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footer145.xml" ContentType="application/vnd.openxmlformats-officedocument.wordprocessingml.footer+xml"/>
  <Override PartName="/word/footer146.xml" ContentType="application/vnd.openxmlformats-officedocument.wordprocessingml.footer+xml"/>
  <Override PartName="/word/footer147.xml" ContentType="application/vnd.openxmlformats-officedocument.wordprocessingml.footer+xml"/>
  <Override PartName="/word/footer148.xml" ContentType="application/vnd.openxmlformats-officedocument.wordprocessingml.footer+xml"/>
  <Override PartName="/word/footer149.xml" ContentType="application/vnd.openxmlformats-officedocument.wordprocessingml.footer+xml"/>
  <Override PartName="/word/footer15.xml" ContentType="application/vnd.openxmlformats-officedocument.wordprocessingml.footer+xml"/>
  <Override PartName="/word/footer150.xml" ContentType="application/vnd.openxmlformats-officedocument.wordprocessingml.footer+xml"/>
  <Override PartName="/word/footer151.xml" ContentType="application/vnd.openxmlformats-officedocument.wordprocessingml.footer+xml"/>
  <Override PartName="/word/footer152.xml" ContentType="application/vnd.openxmlformats-officedocument.wordprocessingml.footer+xml"/>
  <Override PartName="/word/footer153.xml" ContentType="application/vnd.openxmlformats-officedocument.wordprocessingml.footer+xml"/>
  <Override PartName="/word/footer154.xml" ContentType="application/vnd.openxmlformats-officedocument.wordprocessingml.footer+xml"/>
  <Override PartName="/word/footer155.xml" ContentType="application/vnd.openxmlformats-officedocument.wordprocessingml.footer+xml"/>
  <Override PartName="/word/footer156.xml" ContentType="application/vnd.openxmlformats-officedocument.wordprocessingml.footer+xml"/>
  <Override PartName="/word/footer157.xml" ContentType="application/vnd.openxmlformats-officedocument.wordprocessingml.footer+xml"/>
  <Override PartName="/word/footer158.xml" ContentType="application/vnd.openxmlformats-officedocument.wordprocessingml.footer+xml"/>
  <Override PartName="/word/footer159.xml" ContentType="application/vnd.openxmlformats-officedocument.wordprocessingml.footer+xml"/>
  <Override PartName="/word/footer16.xml" ContentType="application/vnd.openxmlformats-officedocument.wordprocessingml.footer+xml"/>
  <Override PartName="/word/footer160.xml" ContentType="application/vnd.openxmlformats-officedocument.wordprocessingml.footer+xml"/>
  <Override PartName="/word/footer161.xml" ContentType="application/vnd.openxmlformats-officedocument.wordprocessingml.footer+xml"/>
  <Override PartName="/word/footer162.xml" ContentType="application/vnd.openxmlformats-officedocument.wordprocessingml.footer+xml"/>
  <Override PartName="/word/footer163.xml" ContentType="application/vnd.openxmlformats-officedocument.wordprocessingml.footer+xml"/>
  <Override PartName="/word/footer164.xml" ContentType="application/vnd.openxmlformats-officedocument.wordprocessingml.footer+xml"/>
  <Override PartName="/word/footer165.xml" ContentType="application/vnd.openxmlformats-officedocument.wordprocessingml.footer+xml"/>
  <Override PartName="/word/footer166.xml" ContentType="application/vnd.openxmlformats-officedocument.wordprocessingml.footer+xml"/>
  <Override PartName="/word/footer167.xml" ContentType="application/vnd.openxmlformats-officedocument.wordprocessingml.footer+xml"/>
  <Override PartName="/word/footer168.xml" ContentType="application/vnd.openxmlformats-officedocument.wordprocessingml.footer+xml"/>
  <Override PartName="/word/footer169.xml" ContentType="application/vnd.openxmlformats-officedocument.wordprocessingml.footer+xml"/>
  <Override PartName="/word/footer17.xml" ContentType="application/vnd.openxmlformats-officedocument.wordprocessingml.footer+xml"/>
  <Override PartName="/word/footer170.xml" ContentType="application/vnd.openxmlformats-officedocument.wordprocessingml.footer+xml"/>
  <Override PartName="/word/footer171.xml" ContentType="application/vnd.openxmlformats-officedocument.wordprocessingml.footer+xml"/>
  <Override PartName="/word/footer172.xml" ContentType="application/vnd.openxmlformats-officedocument.wordprocessingml.footer+xml"/>
  <Override PartName="/word/footer173.xml" ContentType="application/vnd.openxmlformats-officedocument.wordprocessingml.footer+xml"/>
  <Override PartName="/word/footer174.xml" ContentType="application/vnd.openxmlformats-officedocument.wordprocessingml.footer+xml"/>
  <Override PartName="/word/footer175.xml" ContentType="application/vnd.openxmlformats-officedocument.wordprocessingml.footer+xml"/>
  <Override PartName="/word/footer176.xml" ContentType="application/vnd.openxmlformats-officedocument.wordprocessingml.footer+xml"/>
  <Override PartName="/word/footer177.xml" ContentType="application/vnd.openxmlformats-officedocument.wordprocessingml.footer+xml"/>
  <Override PartName="/word/footer178.xml" ContentType="application/vnd.openxmlformats-officedocument.wordprocessingml.footer+xml"/>
  <Override PartName="/word/footer179.xml" ContentType="application/vnd.openxmlformats-officedocument.wordprocessingml.footer+xml"/>
  <Override PartName="/word/footer18.xml" ContentType="application/vnd.openxmlformats-officedocument.wordprocessingml.footer+xml"/>
  <Override PartName="/word/footer180.xml" ContentType="application/vnd.openxmlformats-officedocument.wordprocessingml.footer+xml"/>
  <Override PartName="/word/footer181.xml" ContentType="application/vnd.openxmlformats-officedocument.wordprocessingml.footer+xml"/>
  <Override PartName="/word/footer182.xml" ContentType="application/vnd.openxmlformats-officedocument.wordprocessingml.footer+xml"/>
  <Override PartName="/word/footer183.xml" ContentType="application/vnd.openxmlformats-officedocument.wordprocessingml.footer+xml"/>
  <Override PartName="/word/footer184.xml" ContentType="application/vnd.openxmlformats-officedocument.wordprocessingml.footer+xml"/>
  <Override PartName="/word/footer185.xml" ContentType="application/vnd.openxmlformats-officedocument.wordprocessingml.footer+xml"/>
  <Override PartName="/word/footer186.xml" ContentType="application/vnd.openxmlformats-officedocument.wordprocessingml.footer+xml"/>
  <Override PartName="/word/footer187.xml" ContentType="application/vnd.openxmlformats-officedocument.wordprocessingml.footer+xml"/>
  <Override PartName="/word/footer188.xml" ContentType="application/vnd.openxmlformats-officedocument.wordprocessingml.footer+xml"/>
  <Override PartName="/word/footer189.xml" ContentType="application/vnd.openxmlformats-officedocument.wordprocessingml.footer+xml"/>
  <Override PartName="/word/footer19.xml" ContentType="application/vnd.openxmlformats-officedocument.wordprocessingml.footer+xml"/>
  <Override PartName="/word/footer190.xml" ContentType="application/vnd.openxmlformats-officedocument.wordprocessingml.footer+xml"/>
  <Override PartName="/word/footer191.xml" ContentType="application/vnd.openxmlformats-officedocument.wordprocessingml.footer+xml"/>
  <Override PartName="/word/footer192.xml" ContentType="application/vnd.openxmlformats-officedocument.wordprocessingml.footer+xml"/>
  <Override PartName="/word/footer193.xml" ContentType="application/vnd.openxmlformats-officedocument.wordprocessingml.footer+xml"/>
  <Override PartName="/word/footer194.xml" ContentType="application/vnd.openxmlformats-officedocument.wordprocessingml.footer+xml"/>
  <Override PartName="/word/footer195.xml" ContentType="application/vnd.openxmlformats-officedocument.wordprocessingml.footer+xml"/>
  <Override PartName="/word/footer196.xml" ContentType="application/vnd.openxmlformats-officedocument.wordprocessingml.footer+xml"/>
  <Override PartName="/word/footer197.xml" ContentType="application/vnd.openxmlformats-officedocument.wordprocessingml.footer+xml"/>
  <Override PartName="/word/footer198.xml" ContentType="application/vnd.openxmlformats-officedocument.wordprocessingml.footer+xml"/>
  <Override PartName="/word/footer19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00.xml" ContentType="application/vnd.openxmlformats-officedocument.wordprocessingml.footer+xml"/>
  <Override PartName="/word/footer201.xml" ContentType="application/vnd.openxmlformats-officedocument.wordprocessingml.footer+xml"/>
  <Override PartName="/word/footer202.xml" ContentType="application/vnd.openxmlformats-officedocument.wordprocessingml.footer+xml"/>
  <Override PartName="/word/footer203.xml" ContentType="application/vnd.openxmlformats-officedocument.wordprocessingml.footer+xml"/>
  <Override PartName="/word/footer204.xml" ContentType="application/vnd.openxmlformats-officedocument.wordprocessingml.footer+xml"/>
  <Override PartName="/word/footer205.xml" ContentType="application/vnd.openxmlformats-officedocument.wordprocessingml.footer+xml"/>
  <Override PartName="/word/footer206.xml" ContentType="application/vnd.openxmlformats-officedocument.wordprocessingml.footer+xml"/>
  <Override PartName="/word/footer207.xml" ContentType="application/vnd.openxmlformats-officedocument.wordprocessingml.footer+xml"/>
  <Override PartName="/word/footer208.xml" ContentType="application/vnd.openxmlformats-officedocument.wordprocessingml.footer+xml"/>
  <Override PartName="/word/footer209.xml" ContentType="application/vnd.openxmlformats-officedocument.wordprocessingml.footer+xml"/>
  <Override PartName="/word/footer21.xml" ContentType="application/vnd.openxmlformats-officedocument.wordprocessingml.footer+xml"/>
  <Override PartName="/word/footer210.xml" ContentType="application/vnd.openxmlformats-officedocument.wordprocessingml.footer+xml"/>
  <Override PartName="/word/footer211.xml" ContentType="application/vnd.openxmlformats-officedocument.wordprocessingml.footer+xml"/>
  <Override PartName="/word/footer212.xml" ContentType="application/vnd.openxmlformats-officedocument.wordprocessingml.footer+xml"/>
  <Override PartName="/word/footer213.xml" ContentType="application/vnd.openxmlformats-officedocument.wordprocessingml.footer+xml"/>
  <Override PartName="/word/footer214.xml" ContentType="application/vnd.openxmlformats-officedocument.wordprocessingml.footer+xml"/>
  <Override PartName="/word/footer215.xml" ContentType="application/vnd.openxmlformats-officedocument.wordprocessingml.footer+xml"/>
  <Override PartName="/word/footer216.xml" ContentType="application/vnd.openxmlformats-officedocument.wordprocessingml.footer+xml"/>
  <Override PartName="/word/footer217.xml" ContentType="application/vnd.openxmlformats-officedocument.wordprocessingml.footer+xml"/>
  <Override PartName="/word/footer218.xml" ContentType="application/vnd.openxmlformats-officedocument.wordprocessingml.footer+xml"/>
  <Override PartName="/word/footer219.xml" ContentType="application/vnd.openxmlformats-officedocument.wordprocessingml.footer+xml"/>
  <Override PartName="/word/footer22.xml" ContentType="application/vnd.openxmlformats-officedocument.wordprocessingml.footer+xml"/>
  <Override PartName="/word/footer220.xml" ContentType="application/vnd.openxmlformats-officedocument.wordprocessingml.footer+xml"/>
  <Override PartName="/word/footer221.xml" ContentType="application/vnd.openxmlformats-officedocument.wordprocessingml.footer+xml"/>
  <Override PartName="/word/footer222.xml" ContentType="application/vnd.openxmlformats-officedocument.wordprocessingml.footer+xml"/>
  <Override PartName="/word/footer223.xml" ContentType="application/vnd.openxmlformats-officedocument.wordprocessingml.footer+xml"/>
  <Override PartName="/word/footer224.xml" ContentType="application/vnd.openxmlformats-officedocument.wordprocessingml.footer+xml"/>
  <Override PartName="/word/footer225.xml" ContentType="application/vnd.openxmlformats-officedocument.wordprocessingml.footer+xml"/>
  <Override PartName="/word/footer226.xml" ContentType="application/vnd.openxmlformats-officedocument.wordprocessingml.footer+xml"/>
  <Override PartName="/word/footer227.xml" ContentType="application/vnd.openxmlformats-officedocument.wordprocessingml.footer+xml"/>
  <Override PartName="/word/footer228.xml" ContentType="application/vnd.openxmlformats-officedocument.wordprocessingml.footer+xml"/>
  <Override PartName="/word/footer229.xml" ContentType="application/vnd.openxmlformats-officedocument.wordprocessingml.footer+xml"/>
  <Override PartName="/word/footer23.xml" ContentType="application/vnd.openxmlformats-officedocument.wordprocessingml.footer+xml"/>
  <Override PartName="/word/footer230.xml" ContentType="application/vnd.openxmlformats-officedocument.wordprocessingml.footer+xml"/>
  <Override PartName="/word/footer231.xml" ContentType="application/vnd.openxmlformats-officedocument.wordprocessingml.footer+xml"/>
  <Override PartName="/word/footer232.xml" ContentType="application/vnd.openxmlformats-officedocument.wordprocessingml.footer+xml"/>
  <Override PartName="/word/footer233.xml" ContentType="application/vnd.openxmlformats-officedocument.wordprocessingml.footer+xml"/>
  <Override PartName="/word/footer234.xml" ContentType="application/vnd.openxmlformats-officedocument.wordprocessingml.footer+xml"/>
  <Override PartName="/word/footer235.xml" ContentType="application/vnd.openxmlformats-officedocument.wordprocessingml.footer+xml"/>
  <Override PartName="/word/footer236.xml" ContentType="application/vnd.openxmlformats-officedocument.wordprocessingml.footer+xml"/>
  <Override PartName="/word/footer237.xml" ContentType="application/vnd.openxmlformats-officedocument.wordprocessingml.footer+xml"/>
  <Override PartName="/word/footer238.xml" ContentType="application/vnd.openxmlformats-officedocument.wordprocessingml.footer+xml"/>
  <Override PartName="/word/footer239.xml" ContentType="application/vnd.openxmlformats-officedocument.wordprocessingml.footer+xml"/>
  <Override PartName="/word/footer24.xml" ContentType="application/vnd.openxmlformats-officedocument.wordprocessingml.footer+xml"/>
  <Override PartName="/word/footer240.xml" ContentType="application/vnd.openxmlformats-officedocument.wordprocessingml.footer+xml"/>
  <Override PartName="/word/footer241.xml" ContentType="application/vnd.openxmlformats-officedocument.wordprocessingml.footer+xml"/>
  <Override PartName="/word/footer242.xml" ContentType="application/vnd.openxmlformats-officedocument.wordprocessingml.footer+xml"/>
  <Override PartName="/word/footer243.xml" ContentType="application/vnd.openxmlformats-officedocument.wordprocessingml.footer+xml"/>
  <Override PartName="/word/footer244.xml" ContentType="application/vnd.openxmlformats-officedocument.wordprocessingml.footer+xml"/>
  <Override PartName="/word/footer245.xml" ContentType="application/vnd.openxmlformats-officedocument.wordprocessingml.footer+xml"/>
  <Override PartName="/word/footer246.xml" ContentType="application/vnd.openxmlformats-officedocument.wordprocessingml.footer+xml"/>
  <Override PartName="/word/footer247.xml" ContentType="application/vnd.openxmlformats-officedocument.wordprocessingml.footer+xml"/>
  <Override PartName="/word/footer248.xml" ContentType="application/vnd.openxmlformats-officedocument.wordprocessingml.footer+xml"/>
  <Override PartName="/word/footer249.xml" ContentType="application/vnd.openxmlformats-officedocument.wordprocessingml.footer+xml"/>
  <Override PartName="/word/footer25.xml" ContentType="application/vnd.openxmlformats-officedocument.wordprocessingml.footer+xml"/>
  <Override PartName="/word/footer250.xml" ContentType="application/vnd.openxmlformats-officedocument.wordprocessingml.footer+xml"/>
  <Override PartName="/word/footer251.xml" ContentType="application/vnd.openxmlformats-officedocument.wordprocessingml.footer+xml"/>
  <Override PartName="/word/footer252.xml" ContentType="application/vnd.openxmlformats-officedocument.wordprocessingml.footer+xml"/>
  <Override PartName="/word/footer253.xml" ContentType="application/vnd.openxmlformats-officedocument.wordprocessingml.footer+xml"/>
  <Override PartName="/word/footer254.xml" ContentType="application/vnd.openxmlformats-officedocument.wordprocessingml.footer+xml"/>
  <Override PartName="/word/footer255.xml" ContentType="application/vnd.openxmlformats-officedocument.wordprocessingml.footer+xml"/>
  <Override PartName="/word/footer256.xml" ContentType="application/vnd.openxmlformats-officedocument.wordprocessingml.footer+xml"/>
  <Override PartName="/word/footer257.xml" ContentType="application/vnd.openxmlformats-officedocument.wordprocessingml.footer+xml"/>
  <Override PartName="/word/footer258.xml" ContentType="application/vnd.openxmlformats-officedocument.wordprocessingml.footer+xml"/>
  <Override PartName="/word/footer259.xml" ContentType="application/vnd.openxmlformats-officedocument.wordprocessingml.footer+xml"/>
  <Override PartName="/word/footer26.xml" ContentType="application/vnd.openxmlformats-officedocument.wordprocessingml.footer+xml"/>
  <Override PartName="/word/footer260.xml" ContentType="application/vnd.openxmlformats-officedocument.wordprocessingml.footer+xml"/>
  <Override PartName="/word/footer261.xml" ContentType="application/vnd.openxmlformats-officedocument.wordprocessingml.footer+xml"/>
  <Override PartName="/word/footer262.xml" ContentType="application/vnd.openxmlformats-officedocument.wordprocessingml.footer+xml"/>
  <Override PartName="/word/footer263.xml" ContentType="application/vnd.openxmlformats-officedocument.wordprocessingml.footer+xml"/>
  <Override PartName="/word/footer264.xml" ContentType="application/vnd.openxmlformats-officedocument.wordprocessingml.footer+xml"/>
  <Override PartName="/word/footer265.xml" ContentType="application/vnd.openxmlformats-officedocument.wordprocessingml.footer+xml"/>
  <Override PartName="/word/footer266.xml" ContentType="application/vnd.openxmlformats-officedocument.wordprocessingml.footer+xml"/>
  <Override PartName="/word/footer267.xml" ContentType="application/vnd.openxmlformats-officedocument.wordprocessingml.footer+xml"/>
  <Override PartName="/word/footer268.xml" ContentType="application/vnd.openxmlformats-officedocument.wordprocessingml.footer+xml"/>
  <Override PartName="/word/footer269.xml" ContentType="application/vnd.openxmlformats-officedocument.wordprocessingml.footer+xml"/>
  <Override PartName="/word/footer27.xml" ContentType="application/vnd.openxmlformats-officedocument.wordprocessingml.footer+xml"/>
  <Override PartName="/word/footer270.xml" ContentType="application/vnd.openxmlformats-officedocument.wordprocessingml.footer+xml"/>
  <Override PartName="/word/footer271.xml" ContentType="application/vnd.openxmlformats-officedocument.wordprocessingml.footer+xml"/>
  <Override PartName="/word/footer272.xml" ContentType="application/vnd.openxmlformats-officedocument.wordprocessingml.footer+xml"/>
  <Override PartName="/word/footer273.xml" ContentType="application/vnd.openxmlformats-officedocument.wordprocessingml.footer+xml"/>
  <Override PartName="/word/footer274.xml" ContentType="application/vnd.openxmlformats-officedocument.wordprocessingml.footer+xml"/>
  <Override PartName="/word/footer275.xml" ContentType="application/vnd.openxmlformats-officedocument.wordprocessingml.footer+xml"/>
  <Override PartName="/word/footer276.xml" ContentType="application/vnd.openxmlformats-officedocument.wordprocessingml.footer+xml"/>
  <Override PartName="/word/footer277.xml" ContentType="application/vnd.openxmlformats-officedocument.wordprocessingml.footer+xml"/>
  <Override PartName="/word/footer278.xml" ContentType="application/vnd.openxmlformats-officedocument.wordprocessingml.footer+xml"/>
  <Override PartName="/word/footer279.xml" ContentType="application/vnd.openxmlformats-officedocument.wordprocessingml.footer+xml"/>
  <Override PartName="/word/footer28.xml" ContentType="application/vnd.openxmlformats-officedocument.wordprocessingml.footer+xml"/>
  <Override PartName="/word/footer280.xml" ContentType="application/vnd.openxmlformats-officedocument.wordprocessingml.footer+xml"/>
  <Override PartName="/word/footer281.xml" ContentType="application/vnd.openxmlformats-officedocument.wordprocessingml.footer+xml"/>
  <Override PartName="/word/footer282.xml" ContentType="application/vnd.openxmlformats-officedocument.wordprocessingml.footer+xml"/>
  <Override PartName="/word/footer283.xml" ContentType="application/vnd.openxmlformats-officedocument.wordprocessingml.footer+xml"/>
  <Override PartName="/word/footer284.xml" ContentType="application/vnd.openxmlformats-officedocument.wordprocessingml.footer+xml"/>
  <Override PartName="/word/footer285.xml" ContentType="application/vnd.openxmlformats-officedocument.wordprocessingml.footer+xml"/>
  <Override PartName="/word/footer286.xml" ContentType="application/vnd.openxmlformats-officedocument.wordprocessingml.footer+xml"/>
  <Override PartName="/word/footer287.xml" ContentType="application/vnd.openxmlformats-officedocument.wordprocessingml.footer+xml"/>
  <Override PartName="/word/footer288.xml" ContentType="application/vnd.openxmlformats-officedocument.wordprocessingml.footer+xml"/>
  <Override PartName="/word/footer289.xml" ContentType="application/vnd.openxmlformats-officedocument.wordprocessingml.footer+xml"/>
  <Override PartName="/word/footer29.xml" ContentType="application/vnd.openxmlformats-officedocument.wordprocessingml.footer+xml"/>
  <Override PartName="/word/footer290.xml" ContentType="application/vnd.openxmlformats-officedocument.wordprocessingml.footer+xml"/>
  <Override PartName="/word/footer291.xml" ContentType="application/vnd.openxmlformats-officedocument.wordprocessingml.footer+xml"/>
  <Override PartName="/word/footer292.xml" ContentType="application/vnd.openxmlformats-officedocument.wordprocessingml.footer+xml"/>
  <Override PartName="/word/footer293.xml" ContentType="application/vnd.openxmlformats-officedocument.wordprocessingml.footer+xml"/>
  <Override PartName="/word/footer294.xml" ContentType="application/vnd.openxmlformats-officedocument.wordprocessingml.footer+xml"/>
  <Override PartName="/word/footer295.xml" ContentType="application/vnd.openxmlformats-officedocument.wordprocessingml.footer+xml"/>
  <Override PartName="/word/footer296.xml" ContentType="application/vnd.openxmlformats-officedocument.wordprocessingml.footer+xml"/>
  <Override PartName="/word/footer297.xml" ContentType="application/vnd.openxmlformats-officedocument.wordprocessingml.footer+xml"/>
  <Override PartName="/word/footer298.xml" ContentType="application/vnd.openxmlformats-officedocument.wordprocessingml.footer+xml"/>
  <Override PartName="/word/footer29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00.xml" ContentType="application/vnd.openxmlformats-officedocument.wordprocessingml.footer+xml"/>
  <Override PartName="/word/footer301.xml" ContentType="application/vnd.openxmlformats-officedocument.wordprocessingml.footer+xml"/>
  <Override PartName="/word/footer302.xml" ContentType="application/vnd.openxmlformats-officedocument.wordprocessingml.footer+xml"/>
  <Override PartName="/word/footer303.xml" ContentType="application/vnd.openxmlformats-officedocument.wordprocessingml.footer+xml"/>
  <Override PartName="/word/footer304.xml" ContentType="application/vnd.openxmlformats-officedocument.wordprocessingml.footer+xml"/>
  <Override PartName="/word/footer305.xml" ContentType="application/vnd.openxmlformats-officedocument.wordprocessingml.footer+xml"/>
  <Override PartName="/word/footer306.xml" ContentType="application/vnd.openxmlformats-officedocument.wordprocessingml.footer+xml"/>
  <Override PartName="/word/footer307.xml" ContentType="application/vnd.openxmlformats-officedocument.wordprocessingml.footer+xml"/>
  <Override PartName="/word/footer308.xml" ContentType="application/vnd.openxmlformats-officedocument.wordprocessingml.footer+xml"/>
  <Override PartName="/word/footer309.xml" ContentType="application/vnd.openxmlformats-officedocument.wordprocessingml.footer+xml"/>
  <Override PartName="/word/footer31.xml" ContentType="application/vnd.openxmlformats-officedocument.wordprocessingml.footer+xml"/>
  <Override PartName="/word/footer310.xml" ContentType="application/vnd.openxmlformats-officedocument.wordprocessingml.footer+xml"/>
  <Override PartName="/word/footer311.xml" ContentType="application/vnd.openxmlformats-officedocument.wordprocessingml.footer+xml"/>
  <Override PartName="/word/footer312.xml" ContentType="application/vnd.openxmlformats-officedocument.wordprocessingml.footer+xml"/>
  <Override PartName="/word/footer313.xml" ContentType="application/vnd.openxmlformats-officedocument.wordprocessingml.footer+xml"/>
  <Override PartName="/word/footer314.xml" ContentType="application/vnd.openxmlformats-officedocument.wordprocessingml.footer+xml"/>
  <Override PartName="/word/footer315.xml" ContentType="application/vnd.openxmlformats-officedocument.wordprocessingml.footer+xml"/>
  <Override PartName="/word/footer316.xml" ContentType="application/vnd.openxmlformats-officedocument.wordprocessingml.footer+xml"/>
  <Override PartName="/word/footer317.xml" ContentType="application/vnd.openxmlformats-officedocument.wordprocessingml.footer+xml"/>
  <Override PartName="/word/footer318.xml" ContentType="application/vnd.openxmlformats-officedocument.wordprocessingml.footer+xml"/>
  <Override PartName="/word/footer319.xml" ContentType="application/vnd.openxmlformats-officedocument.wordprocessingml.footer+xml"/>
  <Override PartName="/word/footer32.xml" ContentType="application/vnd.openxmlformats-officedocument.wordprocessingml.footer+xml"/>
  <Override PartName="/word/footer320.xml" ContentType="application/vnd.openxmlformats-officedocument.wordprocessingml.footer+xml"/>
  <Override PartName="/word/footer321.xml" ContentType="application/vnd.openxmlformats-officedocument.wordprocessingml.footer+xml"/>
  <Override PartName="/word/footer322.xml" ContentType="application/vnd.openxmlformats-officedocument.wordprocessingml.footer+xml"/>
  <Override PartName="/word/footer323.xml" ContentType="application/vnd.openxmlformats-officedocument.wordprocessingml.footer+xml"/>
  <Override PartName="/word/footer324.xml" ContentType="application/vnd.openxmlformats-officedocument.wordprocessingml.footer+xml"/>
  <Override PartName="/word/footer325.xml" ContentType="application/vnd.openxmlformats-officedocument.wordprocessingml.footer+xml"/>
  <Override PartName="/word/footer326.xml" ContentType="application/vnd.openxmlformats-officedocument.wordprocessingml.footer+xml"/>
  <Override PartName="/word/footer327.xml" ContentType="application/vnd.openxmlformats-officedocument.wordprocessingml.footer+xml"/>
  <Override PartName="/word/footer328.xml" ContentType="application/vnd.openxmlformats-officedocument.wordprocessingml.footer+xml"/>
  <Override PartName="/word/footer329.xml" ContentType="application/vnd.openxmlformats-officedocument.wordprocessingml.footer+xml"/>
  <Override PartName="/word/footer33.xml" ContentType="application/vnd.openxmlformats-officedocument.wordprocessingml.footer+xml"/>
  <Override PartName="/word/footer330.xml" ContentType="application/vnd.openxmlformats-officedocument.wordprocessingml.footer+xml"/>
  <Override PartName="/word/footer331.xml" ContentType="application/vnd.openxmlformats-officedocument.wordprocessingml.footer+xml"/>
  <Override PartName="/word/footer332.xml" ContentType="application/vnd.openxmlformats-officedocument.wordprocessingml.footer+xml"/>
  <Override PartName="/word/footer333.xml" ContentType="application/vnd.openxmlformats-officedocument.wordprocessingml.footer+xml"/>
  <Override PartName="/word/footer334.xml" ContentType="application/vnd.openxmlformats-officedocument.wordprocessingml.footer+xml"/>
  <Override PartName="/word/footer335.xml" ContentType="application/vnd.openxmlformats-officedocument.wordprocessingml.footer+xml"/>
  <Override PartName="/word/footer336.xml" ContentType="application/vnd.openxmlformats-officedocument.wordprocessingml.footer+xml"/>
  <Override PartName="/word/footer337.xml" ContentType="application/vnd.openxmlformats-officedocument.wordprocessingml.footer+xml"/>
  <Override PartName="/word/footer338.xml" ContentType="application/vnd.openxmlformats-officedocument.wordprocessingml.footer+xml"/>
  <Override PartName="/word/footer339.xml" ContentType="application/vnd.openxmlformats-officedocument.wordprocessingml.footer+xml"/>
  <Override PartName="/word/footer34.xml" ContentType="application/vnd.openxmlformats-officedocument.wordprocessingml.footer+xml"/>
  <Override PartName="/word/footer340.xml" ContentType="application/vnd.openxmlformats-officedocument.wordprocessingml.footer+xml"/>
  <Override PartName="/word/footer341.xml" ContentType="application/vnd.openxmlformats-officedocument.wordprocessingml.footer+xml"/>
  <Override PartName="/word/footer342.xml" ContentType="application/vnd.openxmlformats-officedocument.wordprocessingml.footer+xml"/>
  <Override PartName="/word/footer343.xml" ContentType="application/vnd.openxmlformats-officedocument.wordprocessingml.footer+xml"/>
  <Override PartName="/word/footer344.xml" ContentType="application/vnd.openxmlformats-officedocument.wordprocessingml.footer+xml"/>
  <Override PartName="/word/footer345.xml" ContentType="application/vnd.openxmlformats-officedocument.wordprocessingml.footer+xml"/>
  <Override PartName="/word/footer346.xml" ContentType="application/vnd.openxmlformats-officedocument.wordprocessingml.footer+xml"/>
  <Override PartName="/word/footer347.xml" ContentType="application/vnd.openxmlformats-officedocument.wordprocessingml.footer+xml"/>
  <Override PartName="/word/footer348.xml" ContentType="application/vnd.openxmlformats-officedocument.wordprocessingml.footer+xml"/>
  <Override PartName="/word/footer349.xml" ContentType="application/vnd.openxmlformats-officedocument.wordprocessingml.footer+xml"/>
  <Override PartName="/word/footer35.xml" ContentType="application/vnd.openxmlformats-officedocument.wordprocessingml.footer+xml"/>
  <Override PartName="/word/footer350.xml" ContentType="application/vnd.openxmlformats-officedocument.wordprocessingml.footer+xml"/>
  <Override PartName="/word/footer351.xml" ContentType="application/vnd.openxmlformats-officedocument.wordprocessingml.footer+xml"/>
  <Override PartName="/word/footer352.xml" ContentType="application/vnd.openxmlformats-officedocument.wordprocessingml.footer+xml"/>
  <Override PartName="/word/footer353.xml" ContentType="application/vnd.openxmlformats-officedocument.wordprocessingml.footer+xml"/>
  <Override PartName="/word/footer354.xml" ContentType="application/vnd.openxmlformats-officedocument.wordprocessingml.footer+xml"/>
  <Override PartName="/word/footer355.xml" ContentType="application/vnd.openxmlformats-officedocument.wordprocessingml.footer+xml"/>
  <Override PartName="/word/footer356.xml" ContentType="application/vnd.openxmlformats-officedocument.wordprocessingml.footer+xml"/>
  <Override PartName="/word/footer357.xml" ContentType="application/vnd.openxmlformats-officedocument.wordprocessingml.footer+xml"/>
  <Override PartName="/word/footer358.xml" ContentType="application/vnd.openxmlformats-officedocument.wordprocessingml.footer+xml"/>
  <Override PartName="/word/footer359.xml" ContentType="application/vnd.openxmlformats-officedocument.wordprocessingml.footer+xml"/>
  <Override PartName="/word/footer36.xml" ContentType="application/vnd.openxmlformats-officedocument.wordprocessingml.footer+xml"/>
  <Override PartName="/word/footer360.xml" ContentType="application/vnd.openxmlformats-officedocument.wordprocessingml.footer+xml"/>
  <Override PartName="/word/footer361.xml" ContentType="application/vnd.openxmlformats-officedocument.wordprocessingml.footer+xml"/>
  <Override PartName="/word/footer362.xml" ContentType="application/vnd.openxmlformats-officedocument.wordprocessingml.footer+xml"/>
  <Override PartName="/word/footer363.xml" ContentType="application/vnd.openxmlformats-officedocument.wordprocessingml.footer+xml"/>
  <Override PartName="/word/footer364.xml" ContentType="application/vnd.openxmlformats-officedocument.wordprocessingml.footer+xml"/>
  <Override PartName="/word/footer365.xml" ContentType="application/vnd.openxmlformats-officedocument.wordprocessingml.footer+xml"/>
  <Override PartName="/word/footer366.xml" ContentType="application/vnd.openxmlformats-officedocument.wordprocessingml.footer+xml"/>
  <Override PartName="/word/footer367.xml" ContentType="application/vnd.openxmlformats-officedocument.wordprocessingml.footer+xml"/>
  <Override PartName="/word/footer368.xml" ContentType="application/vnd.openxmlformats-officedocument.wordprocessingml.footer+xml"/>
  <Override PartName="/word/footer369.xml" ContentType="application/vnd.openxmlformats-officedocument.wordprocessingml.footer+xml"/>
  <Override PartName="/word/footer37.xml" ContentType="application/vnd.openxmlformats-officedocument.wordprocessingml.footer+xml"/>
  <Override PartName="/word/footer370.xml" ContentType="application/vnd.openxmlformats-officedocument.wordprocessingml.footer+xml"/>
  <Override PartName="/word/footer371.xml" ContentType="application/vnd.openxmlformats-officedocument.wordprocessingml.footer+xml"/>
  <Override PartName="/word/footer372.xml" ContentType="application/vnd.openxmlformats-officedocument.wordprocessingml.footer+xml"/>
  <Override PartName="/word/footer373.xml" ContentType="application/vnd.openxmlformats-officedocument.wordprocessingml.footer+xml"/>
  <Override PartName="/word/footer374.xml" ContentType="application/vnd.openxmlformats-officedocument.wordprocessingml.footer+xml"/>
  <Override PartName="/word/footer375.xml" ContentType="application/vnd.openxmlformats-officedocument.wordprocessingml.footer+xml"/>
  <Override PartName="/word/footer376.xml" ContentType="application/vnd.openxmlformats-officedocument.wordprocessingml.footer+xml"/>
  <Override PartName="/word/footer377.xml" ContentType="application/vnd.openxmlformats-officedocument.wordprocessingml.footer+xml"/>
  <Override PartName="/word/footer378.xml" ContentType="application/vnd.openxmlformats-officedocument.wordprocessingml.footer+xml"/>
  <Override PartName="/word/footer379.xml" ContentType="application/vnd.openxmlformats-officedocument.wordprocessingml.footer+xml"/>
  <Override PartName="/word/footer38.xml" ContentType="application/vnd.openxmlformats-officedocument.wordprocessingml.footer+xml"/>
  <Override PartName="/word/footer380.xml" ContentType="application/vnd.openxmlformats-officedocument.wordprocessingml.footer+xml"/>
  <Override PartName="/word/footer381.xml" ContentType="application/vnd.openxmlformats-officedocument.wordprocessingml.footer+xml"/>
  <Override PartName="/word/footer382.xml" ContentType="application/vnd.openxmlformats-officedocument.wordprocessingml.footer+xml"/>
  <Override PartName="/word/footer383.xml" ContentType="application/vnd.openxmlformats-officedocument.wordprocessingml.footer+xml"/>
  <Override PartName="/word/footer384.xml" ContentType="application/vnd.openxmlformats-officedocument.wordprocessingml.footer+xml"/>
  <Override PartName="/word/footer385.xml" ContentType="application/vnd.openxmlformats-officedocument.wordprocessingml.footer+xml"/>
  <Override PartName="/word/footer386.xml" ContentType="application/vnd.openxmlformats-officedocument.wordprocessingml.footer+xml"/>
  <Override PartName="/word/footer387.xml" ContentType="application/vnd.openxmlformats-officedocument.wordprocessingml.footer+xml"/>
  <Override PartName="/word/footer388.xml" ContentType="application/vnd.openxmlformats-officedocument.wordprocessingml.footer+xml"/>
  <Override PartName="/word/footer389.xml" ContentType="application/vnd.openxmlformats-officedocument.wordprocessingml.footer+xml"/>
  <Override PartName="/word/footer39.xml" ContentType="application/vnd.openxmlformats-officedocument.wordprocessingml.footer+xml"/>
  <Override PartName="/word/footer390.xml" ContentType="application/vnd.openxmlformats-officedocument.wordprocessingml.footer+xml"/>
  <Override PartName="/word/footer391.xml" ContentType="application/vnd.openxmlformats-officedocument.wordprocessingml.footer+xml"/>
  <Override PartName="/word/footer392.xml" ContentType="application/vnd.openxmlformats-officedocument.wordprocessingml.footer+xml"/>
  <Override PartName="/word/footer393.xml" ContentType="application/vnd.openxmlformats-officedocument.wordprocessingml.footer+xml"/>
  <Override PartName="/word/footer394.xml" ContentType="application/vnd.openxmlformats-officedocument.wordprocessingml.footer+xml"/>
  <Override PartName="/word/footer395.xml" ContentType="application/vnd.openxmlformats-officedocument.wordprocessingml.footer+xml"/>
  <Override PartName="/word/footer396.xml" ContentType="application/vnd.openxmlformats-officedocument.wordprocessingml.footer+xml"/>
  <Override PartName="/word/footer397.xml" ContentType="application/vnd.openxmlformats-officedocument.wordprocessingml.footer+xml"/>
  <Override PartName="/word/footer398.xml" ContentType="application/vnd.openxmlformats-officedocument.wordprocessingml.footer+xml"/>
  <Override PartName="/word/footer39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00.xml" ContentType="application/vnd.openxmlformats-officedocument.wordprocessingml.footer+xml"/>
  <Override PartName="/word/footer401.xml" ContentType="application/vnd.openxmlformats-officedocument.wordprocessingml.footer+xml"/>
  <Override PartName="/word/footer402.xml" ContentType="application/vnd.openxmlformats-officedocument.wordprocessingml.footer+xml"/>
  <Override PartName="/word/footer403.xml" ContentType="application/vnd.openxmlformats-officedocument.wordprocessingml.footer+xml"/>
  <Override PartName="/word/footer404.xml" ContentType="application/vnd.openxmlformats-officedocument.wordprocessingml.footer+xml"/>
  <Override PartName="/word/footer405.xml" ContentType="application/vnd.openxmlformats-officedocument.wordprocessingml.footer+xml"/>
  <Override PartName="/word/footer406.xml" ContentType="application/vnd.openxmlformats-officedocument.wordprocessingml.footer+xml"/>
  <Override PartName="/word/footer407.xml" ContentType="application/vnd.openxmlformats-officedocument.wordprocessingml.footer+xml"/>
  <Override PartName="/word/footer408.xml" ContentType="application/vnd.openxmlformats-officedocument.wordprocessingml.footer+xml"/>
  <Override PartName="/word/footer409.xml" ContentType="application/vnd.openxmlformats-officedocument.wordprocessingml.footer+xml"/>
  <Override PartName="/word/footer41.xml" ContentType="application/vnd.openxmlformats-officedocument.wordprocessingml.footer+xml"/>
  <Override PartName="/word/footer410.xml" ContentType="application/vnd.openxmlformats-officedocument.wordprocessingml.footer+xml"/>
  <Override PartName="/word/footer411.xml" ContentType="application/vnd.openxmlformats-officedocument.wordprocessingml.footer+xml"/>
  <Override PartName="/word/footer412.xml" ContentType="application/vnd.openxmlformats-officedocument.wordprocessingml.footer+xml"/>
  <Override PartName="/word/footer413.xml" ContentType="application/vnd.openxmlformats-officedocument.wordprocessingml.footer+xml"/>
  <Override PartName="/word/footer414.xml" ContentType="application/vnd.openxmlformats-officedocument.wordprocessingml.footer+xml"/>
  <Override PartName="/word/footer415.xml" ContentType="application/vnd.openxmlformats-officedocument.wordprocessingml.footer+xml"/>
  <Override PartName="/word/footer416.xml" ContentType="application/vnd.openxmlformats-officedocument.wordprocessingml.footer+xml"/>
  <Override PartName="/word/footer417.xml" ContentType="application/vnd.openxmlformats-officedocument.wordprocessingml.footer+xml"/>
  <Override PartName="/word/footer418.xml" ContentType="application/vnd.openxmlformats-officedocument.wordprocessingml.footer+xml"/>
  <Override PartName="/word/footer419.xml" ContentType="application/vnd.openxmlformats-officedocument.wordprocessingml.footer+xml"/>
  <Override PartName="/word/footer42.xml" ContentType="application/vnd.openxmlformats-officedocument.wordprocessingml.footer+xml"/>
  <Override PartName="/word/footer420.xml" ContentType="application/vnd.openxmlformats-officedocument.wordprocessingml.footer+xml"/>
  <Override PartName="/word/footer421.xml" ContentType="application/vnd.openxmlformats-officedocument.wordprocessingml.footer+xml"/>
  <Override PartName="/word/footer422.xml" ContentType="application/vnd.openxmlformats-officedocument.wordprocessingml.footer+xml"/>
  <Override PartName="/word/footer423.xml" ContentType="application/vnd.openxmlformats-officedocument.wordprocessingml.footer+xml"/>
  <Override PartName="/word/footer424.xml" ContentType="application/vnd.openxmlformats-officedocument.wordprocessingml.footer+xml"/>
  <Override PartName="/word/footer425.xml" ContentType="application/vnd.openxmlformats-officedocument.wordprocessingml.footer+xml"/>
  <Override PartName="/word/footer426.xml" ContentType="application/vnd.openxmlformats-officedocument.wordprocessingml.footer+xml"/>
  <Override PartName="/word/footer427.xml" ContentType="application/vnd.openxmlformats-officedocument.wordprocessingml.footer+xml"/>
  <Override PartName="/word/footer428.xml" ContentType="application/vnd.openxmlformats-officedocument.wordprocessingml.footer+xml"/>
  <Override PartName="/word/footer429.xml" ContentType="application/vnd.openxmlformats-officedocument.wordprocessingml.footer+xml"/>
  <Override PartName="/word/footer43.xml" ContentType="application/vnd.openxmlformats-officedocument.wordprocessingml.footer+xml"/>
  <Override PartName="/word/footer430.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3238D98">
      <w:pPr>
        <w:spacing w:line="278" w:lineRule="auto"/>
        <w:rPr>
          <w:rFonts w:ascii="Arial"/>
          <w:sz w:val="21"/>
        </w:rPr>
      </w:pPr>
    </w:p>
    <w:p w14:paraId="45C9DD1A">
      <w:pPr>
        <w:spacing w:line="279" w:lineRule="auto"/>
        <w:rPr>
          <w:rFonts w:ascii="Arial"/>
          <w:sz w:val="21"/>
        </w:rPr>
      </w:pPr>
    </w:p>
    <w:p w14:paraId="4A9ABF24">
      <w:pPr>
        <w:spacing w:line="279" w:lineRule="auto"/>
        <w:rPr>
          <w:rFonts w:ascii="Arial"/>
          <w:sz w:val="21"/>
        </w:rPr>
      </w:pPr>
    </w:p>
    <w:p w14:paraId="7A6A9918">
      <w:pPr>
        <w:spacing w:line="279" w:lineRule="auto"/>
        <w:rPr>
          <w:rFonts w:ascii="Arial"/>
          <w:sz w:val="21"/>
        </w:rPr>
      </w:pPr>
    </w:p>
    <w:p w14:paraId="656DC78A">
      <w:pPr>
        <w:pStyle w:val="2"/>
        <w:spacing w:before="101" w:line="224" w:lineRule="auto"/>
        <w:jc w:val="center"/>
        <w:rPr>
          <w:rFonts w:hint="eastAsia" w:eastAsia="仿宋"/>
          <w:sz w:val="31"/>
          <w:szCs w:val="31"/>
          <w:lang w:eastAsia="zh-CN"/>
        </w:rPr>
      </w:pPr>
      <w:r>
        <w:rPr>
          <w:rFonts w:hint="eastAsia"/>
          <w:b/>
          <w:bCs/>
          <w:color w:val="7030A0"/>
          <w:spacing w:val="-13"/>
          <w:sz w:val="31"/>
          <w:szCs w:val="31"/>
          <w:lang w:eastAsia="zh-CN"/>
        </w:rPr>
        <w:t>某路供水管道工程施工</w:t>
      </w:r>
      <w:bookmarkStart w:id="313" w:name="_GoBack"/>
      <w:bookmarkEnd w:id="313"/>
    </w:p>
    <w:p w14:paraId="065345DC">
      <w:pPr>
        <w:spacing w:line="315" w:lineRule="auto"/>
        <w:rPr>
          <w:rFonts w:ascii="Arial"/>
          <w:sz w:val="21"/>
        </w:rPr>
      </w:pPr>
    </w:p>
    <w:p w14:paraId="4DFCD0C6">
      <w:pPr>
        <w:spacing w:line="315" w:lineRule="auto"/>
        <w:rPr>
          <w:rFonts w:ascii="Arial"/>
          <w:sz w:val="21"/>
        </w:rPr>
      </w:pPr>
    </w:p>
    <w:p w14:paraId="5C9566A9">
      <w:pPr>
        <w:spacing w:line="315" w:lineRule="auto"/>
        <w:rPr>
          <w:rFonts w:ascii="Arial"/>
          <w:sz w:val="21"/>
        </w:rPr>
      </w:pPr>
    </w:p>
    <w:p w14:paraId="2423D404">
      <w:pPr>
        <w:spacing w:line="8802" w:lineRule="exact"/>
        <w:ind w:firstLine="355"/>
      </w:pPr>
      <w:r>
        <w:rPr>
          <w:position w:val="-176"/>
        </w:rPr>
        <w:drawing>
          <wp:inline distT="0" distB="0" distL="0" distR="0">
            <wp:extent cx="7334885" cy="5589270"/>
            <wp:effectExtent l="0" t="0" r="0" b="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448"/>
                    <a:stretch>
                      <a:fillRect/>
                    </a:stretch>
                  </pic:blipFill>
                  <pic:spPr>
                    <a:xfrm>
                      <a:off x="0" y="0"/>
                      <a:ext cx="7335139" cy="5589270"/>
                    </a:xfrm>
                    <a:prstGeom prst="rect">
                      <a:avLst/>
                    </a:prstGeom>
                  </pic:spPr>
                </pic:pic>
              </a:graphicData>
            </a:graphic>
          </wp:inline>
        </w:drawing>
      </w:r>
    </w:p>
    <w:p w14:paraId="07867BE5">
      <w:pPr>
        <w:spacing w:line="280" w:lineRule="auto"/>
        <w:rPr>
          <w:rFonts w:ascii="Arial"/>
          <w:sz w:val="21"/>
        </w:rPr>
      </w:pPr>
    </w:p>
    <w:p w14:paraId="7DD8F2DC">
      <w:pPr>
        <w:spacing w:line="280" w:lineRule="auto"/>
        <w:rPr>
          <w:rFonts w:ascii="Arial"/>
          <w:sz w:val="21"/>
        </w:rPr>
      </w:pPr>
    </w:p>
    <w:p w14:paraId="55D453F5">
      <w:pPr>
        <w:pStyle w:val="2"/>
        <w:spacing w:before="118" w:line="217" w:lineRule="auto"/>
        <w:ind w:left="3578"/>
        <w:rPr>
          <w:rFonts w:hint="default" w:eastAsia="仿宋"/>
          <w:lang w:val="en-US" w:eastAsia="zh-CN"/>
        </w:rPr>
      </w:pPr>
      <w:r>
        <w:rPr>
          <w:b/>
          <w:bCs/>
          <w:color w:val="7030A0"/>
          <w:spacing w:val="-42"/>
        </w:rPr>
        <w:t>项</w:t>
      </w:r>
      <w:r>
        <w:rPr>
          <w:rFonts w:hint="eastAsia"/>
          <w:b/>
          <w:bCs/>
          <w:color w:val="7030A0"/>
          <w:spacing w:val="-42"/>
          <w:lang w:val="en-US" w:eastAsia="zh-CN"/>
        </w:rPr>
        <w:t>限制时间：二零二二年五月</w:t>
      </w:r>
    </w:p>
    <w:p w14:paraId="586D3054">
      <w:pPr>
        <w:pStyle w:val="2"/>
        <w:spacing w:before="278" w:line="218" w:lineRule="auto"/>
        <w:ind w:left="4652"/>
      </w:pPr>
    </w:p>
    <w:p w14:paraId="7AA4013A">
      <w:pPr>
        <w:spacing w:line="218" w:lineRule="auto"/>
        <w:sectPr>
          <w:headerReference r:id="rId5" w:type="default"/>
          <w:footerReference r:id="rId6" w:type="default"/>
          <w:pgSz w:w="11907" w:h="16839"/>
          <w:pgMar w:top="1063" w:right="0" w:bottom="1078" w:left="0" w:header="607" w:footer="623" w:gutter="0"/>
          <w:pgBorders>
            <w:top w:val="none" w:sz="0" w:space="0"/>
            <w:left w:val="none" w:sz="0" w:space="0"/>
            <w:bottom w:val="none" w:sz="0" w:space="0"/>
            <w:right w:val="none" w:sz="0" w:space="0"/>
          </w:pgBorders>
          <w:cols w:space="720" w:num="1"/>
        </w:sectPr>
      </w:pPr>
    </w:p>
    <w:p w14:paraId="371BB48C">
      <w:pPr>
        <w:spacing w:line="320" w:lineRule="auto"/>
        <w:rPr>
          <w:rFonts w:ascii="Arial"/>
          <w:sz w:val="21"/>
        </w:rPr>
      </w:pPr>
    </w:p>
    <w:p w14:paraId="5AFED060">
      <w:pPr>
        <w:pStyle w:val="2"/>
        <w:spacing w:before="139" w:line="223" w:lineRule="auto"/>
        <w:ind w:left="5540"/>
        <w:outlineLvl w:val="0"/>
        <w:rPr>
          <w:sz w:val="43"/>
          <w:szCs w:val="43"/>
        </w:rPr>
      </w:pPr>
      <w:bookmarkStart w:id="0" w:name="bookmark1"/>
      <w:bookmarkEnd w:id="0"/>
      <w:r>
        <w:rPr>
          <w:b/>
          <w:bCs/>
          <w:color w:val="7030A0"/>
          <w:spacing w:val="-54"/>
          <w:sz w:val="43"/>
          <w:szCs w:val="43"/>
        </w:rPr>
        <w:t>目录</w:t>
      </w:r>
    </w:p>
    <w:sdt>
      <w:sdtPr>
        <w:rPr>
          <w:rFonts w:ascii="仿宋" w:hAnsi="仿宋" w:eastAsia="仿宋" w:cs="仿宋"/>
          <w:sz w:val="21"/>
          <w:szCs w:val="21"/>
        </w:rPr>
        <w:id w:val="147468850"/>
        <w:docPartObj>
          <w:docPartGallery w:val="Table of Contents"/>
          <w:docPartUnique/>
        </w:docPartObj>
      </w:sdtPr>
      <w:sdtEndPr>
        <w:rPr>
          <w:rFonts w:ascii="仿宋" w:hAnsi="仿宋" w:eastAsia="仿宋" w:cs="仿宋"/>
          <w:sz w:val="24"/>
          <w:szCs w:val="24"/>
        </w:rPr>
      </w:sdtEndPr>
      <w:sdtContent>
        <w:p w14:paraId="1BADC645">
          <w:pPr>
            <w:pStyle w:val="2"/>
            <w:tabs>
              <w:tab w:val="right" w:leader="dot" w:pos="10109"/>
            </w:tabs>
            <w:spacing w:before="120" w:line="185" w:lineRule="auto"/>
            <w:ind w:left="1815"/>
            <w:rPr>
              <w:sz w:val="30"/>
              <w:szCs w:val="30"/>
            </w:rPr>
          </w:pPr>
          <w:r>
            <w:fldChar w:fldCharType="begin"/>
          </w:r>
          <w:r>
            <w:instrText xml:space="preserve">HYPERLINK\l"bookmark1"</w:instrText>
          </w:r>
          <w:r>
            <w:fldChar w:fldCharType="separate"/>
          </w:r>
          <w:r>
            <w:rPr>
              <w:b/>
              <w:bCs/>
              <w:color w:val="7030A0"/>
              <w:spacing w:val="-22"/>
              <w:sz w:val="21"/>
              <w:szCs w:val="21"/>
            </w:rPr>
            <w:t>评分索引表</w:t>
          </w:r>
          <w:r>
            <w:rPr>
              <w:color w:val="7030A0"/>
              <w:sz w:val="21"/>
              <w:szCs w:val="21"/>
              <w14:textOutline w14:w="5448" w14:cap="flat" w14:cmpd="sng">
                <w14:solidFill>
                  <w14:srgbClr w14:val="7030A0"/>
                </w14:solidFill>
                <w14:prstDash w14:val="solid"/>
                <w14:miter w14:val="0"/>
              </w14:textOutline>
            </w:rPr>
            <w:tab/>
          </w:r>
          <w:r>
            <w:rPr>
              <w:b/>
              <w:bCs/>
              <w:color w:val="7030A0"/>
              <w:spacing w:val="-4"/>
              <w:sz w:val="30"/>
              <w:szCs w:val="30"/>
            </w:rPr>
            <w:t>1</w:t>
          </w:r>
          <w:r>
            <w:rPr>
              <w:b/>
              <w:bCs/>
              <w:color w:val="7030A0"/>
              <w:spacing w:val="-4"/>
              <w:sz w:val="30"/>
              <w:szCs w:val="30"/>
            </w:rPr>
            <w:fldChar w:fldCharType="end"/>
          </w:r>
        </w:p>
        <w:p w14:paraId="5AE36657">
          <w:pPr>
            <w:pStyle w:val="2"/>
            <w:tabs>
              <w:tab w:val="right" w:leader="dot" w:pos="10109"/>
            </w:tabs>
            <w:spacing w:before="138" w:line="185" w:lineRule="auto"/>
            <w:ind w:left="1815"/>
            <w:rPr>
              <w:sz w:val="30"/>
              <w:szCs w:val="30"/>
            </w:rPr>
          </w:pPr>
          <w:r>
            <w:fldChar w:fldCharType="begin"/>
          </w:r>
          <w:r>
            <w:instrText xml:space="preserve">HYPERLINK\l"bookmark2"</w:instrText>
          </w:r>
          <w:r>
            <w:fldChar w:fldCharType="separate"/>
          </w:r>
          <w:r>
            <w:rPr>
              <w:b/>
              <w:bCs/>
              <w:color w:val="7030A0"/>
              <w:spacing w:val="-21"/>
              <w:sz w:val="21"/>
              <w:szCs w:val="21"/>
            </w:rPr>
            <w:t>企业简介</w:t>
          </w:r>
          <w:r>
            <w:rPr>
              <w:color w:val="7030A0"/>
              <w:sz w:val="21"/>
              <w:szCs w:val="21"/>
              <w14:textOutline w14:w="5448" w14:cap="flat" w14:cmpd="sng">
                <w14:solidFill>
                  <w14:srgbClr w14:val="7030A0"/>
                </w14:solidFill>
                <w14:prstDash w14:val="solid"/>
                <w14:miter w14:val="0"/>
              </w14:textOutline>
            </w:rPr>
            <w:tab/>
          </w:r>
          <w:r>
            <w:rPr>
              <w:b/>
              <w:bCs/>
              <w:color w:val="7030A0"/>
              <w:spacing w:val="-14"/>
              <w:sz w:val="30"/>
              <w:szCs w:val="30"/>
            </w:rPr>
            <w:t>12</w:t>
          </w:r>
          <w:r>
            <w:rPr>
              <w:b/>
              <w:bCs/>
              <w:color w:val="7030A0"/>
              <w:spacing w:val="-14"/>
              <w:sz w:val="30"/>
              <w:szCs w:val="30"/>
            </w:rPr>
            <w:fldChar w:fldCharType="end"/>
          </w:r>
        </w:p>
        <w:p w14:paraId="2C794ACB">
          <w:pPr>
            <w:pStyle w:val="2"/>
            <w:tabs>
              <w:tab w:val="right" w:leader="dot" w:pos="10109"/>
            </w:tabs>
            <w:spacing w:before="139" w:line="185" w:lineRule="auto"/>
            <w:ind w:left="1823"/>
            <w:rPr>
              <w:sz w:val="30"/>
              <w:szCs w:val="30"/>
            </w:rPr>
          </w:pPr>
          <w:r>
            <w:fldChar w:fldCharType="begin"/>
          </w:r>
          <w:r>
            <w:instrText xml:space="preserve">HYPERLINK\l"bookmark3"</w:instrText>
          </w:r>
          <w:r>
            <w:fldChar w:fldCharType="separate"/>
          </w:r>
          <w:r>
            <w:rPr>
              <w:b/>
              <w:bCs/>
              <w:color w:val="7030A0"/>
              <w:spacing w:val="-23"/>
              <w:sz w:val="21"/>
              <w:szCs w:val="21"/>
            </w:rPr>
            <w:t>第一章、工程概况</w:t>
          </w:r>
          <w:r>
            <w:rPr>
              <w:b/>
              <w:bCs/>
              <w:color w:val="7030A0"/>
              <w:sz w:val="21"/>
              <w:szCs w:val="21"/>
              <w14:textOutline w14:w="5448" w14:cap="flat" w14:cmpd="sng">
                <w14:solidFill>
                  <w14:srgbClr w14:val="7030A0"/>
                </w14:solidFill>
                <w14:prstDash w14:val="solid"/>
                <w14:miter w14:val="0"/>
              </w14:textOutline>
            </w:rPr>
            <w:tab/>
          </w:r>
          <w:r>
            <w:rPr>
              <w:b/>
              <w:bCs/>
              <w:color w:val="7030A0"/>
              <w:spacing w:val="-14"/>
              <w:sz w:val="30"/>
              <w:szCs w:val="30"/>
            </w:rPr>
            <w:t>13</w:t>
          </w:r>
          <w:r>
            <w:rPr>
              <w:b/>
              <w:bCs/>
              <w:color w:val="7030A0"/>
              <w:spacing w:val="-14"/>
              <w:sz w:val="30"/>
              <w:szCs w:val="30"/>
            </w:rPr>
            <w:fldChar w:fldCharType="end"/>
          </w:r>
        </w:p>
        <w:p w14:paraId="5A25D152">
          <w:pPr>
            <w:pStyle w:val="2"/>
            <w:tabs>
              <w:tab w:val="right" w:leader="dot" w:pos="10107"/>
            </w:tabs>
            <w:spacing w:before="192" w:line="185" w:lineRule="auto"/>
            <w:ind w:left="2243"/>
            <w:rPr>
              <w:sz w:val="24"/>
              <w:szCs w:val="24"/>
            </w:rPr>
          </w:pPr>
          <w:r>
            <w:fldChar w:fldCharType="begin"/>
          </w:r>
          <w:r>
            <w:instrText xml:space="preserve">HYPERLINK\l"bookmark4"</w:instrText>
          </w:r>
          <w:r>
            <w:fldChar w:fldCharType="separate"/>
          </w:r>
          <w:r>
            <w:rPr>
              <w:b/>
              <w:bCs/>
              <w:color w:val="0070C0"/>
              <w:spacing w:val="-23"/>
              <w:sz w:val="21"/>
              <w:szCs w:val="21"/>
            </w:rPr>
            <w:t>第一节、编制说明</w:t>
          </w:r>
          <w:r>
            <w:rPr>
              <w:color w:val="0070C0"/>
              <w:sz w:val="21"/>
              <w:szCs w:val="21"/>
              <w14:textOutline w14:w="4356" w14:cap="flat" w14:cmpd="sng">
                <w14:solidFill>
                  <w14:srgbClr w14:val="0070C0"/>
                </w14:solidFill>
                <w14:prstDash w14:val="solid"/>
                <w14:miter w14:val="0"/>
              </w14:textOutline>
            </w:rPr>
            <w:tab/>
          </w:r>
          <w:r>
            <w:rPr>
              <w:b/>
              <w:bCs/>
              <w:color w:val="0070C0"/>
              <w:spacing w:val="-12"/>
              <w:sz w:val="24"/>
              <w:szCs w:val="24"/>
            </w:rPr>
            <w:t>13</w:t>
          </w:r>
          <w:r>
            <w:rPr>
              <w:b/>
              <w:bCs/>
              <w:color w:val="0070C0"/>
              <w:spacing w:val="-12"/>
              <w:sz w:val="24"/>
              <w:szCs w:val="24"/>
            </w:rPr>
            <w:fldChar w:fldCharType="end"/>
          </w:r>
        </w:p>
        <w:p w14:paraId="048C9A06">
          <w:pPr>
            <w:pStyle w:val="2"/>
            <w:tabs>
              <w:tab w:val="right" w:leader="dot" w:pos="10107"/>
            </w:tabs>
            <w:spacing w:before="199" w:line="185" w:lineRule="auto"/>
            <w:ind w:left="2243"/>
            <w:rPr>
              <w:sz w:val="24"/>
              <w:szCs w:val="24"/>
            </w:rPr>
          </w:pPr>
          <w:r>
            <w:fldChar w:fldCharType="begin"/>
          </w:r>
          <w:r>
            <w:instrText xml:space="preserve">HYPERLINK\l"bookmark5"</w:instrText>
          </w:r>
          <w:r>
            <w:fldChar w:fldCharType="separate"/>
          </w:r>
          <w:r>
            <w:rPr>
              <w:b/>
              <w:bCs/>
              <w:color w:val="0070C0"/>
              <w:spacing w:val="-23"/>
              <w:sz w:val="21"/>
              <w:szCs w:val="21"/>
            </w:rPr>
            <w:t>第二节、编制依据</w:t>
          </w:r>
          <w:r>
            <w:rPr>
              <w:color w:val="0070C0"/>
              <w:sz w:val="21"/>
              <w:szCs w:val="21"/>
              <w14:textOutline w14:w="4356" w14:cap="flat" w14:cmpd="sng">
                <w14:solidFill>
                  <w14:srgbClr w14:val="0070C0"/>
                </w14:solidFill>
                <w14:prstDash w14:val="solid"/>
                <w14:miter w14:val="0"/>
              </w14:textOutline>
            </w:rPr>
            <w:tab/>
          </w:r>
          <w:r>
            <w:rPr>
              <w:b/>
              <w:bCs/>
              <w:color w:val="0070C0"/>
              <w:spacing w:val="-12"/>
              <w:sz w:val="24"/>
              <w:szCs w:val="24"/>
            </w:rPr>
            <w:t>15</w:t>
          </w:r>
          <w:r>
            <w:rPr>
              <w:b/>
              <w:bCs/>
              <w:color w:val="0070C0"/>
              <w:spacing w:val="-12"/>
              <w:sz w:val="24"/>
              <w:szCs w:val="24"/>
            </w:rPr>
            <w:fldChar w:fldCharType="end"/>
          </w:r>
        </w:p>
        <w:p w14:paraId="684E1B74">
          <w:pPr>
            <w:pStyle w:val="2"/>
            <w:tabs>
              <w:tab w:val="right" w:leader="dot" w:pos="10107"/>
            </w:tabs>
            <w:spacing w:before="199" w:line="185" w:lineRule="auto"/>
            <w:ind w:left="2516"/>
            <w:rPr>
              <w:sz w:val="24"/>
              <w:szCs w:val="24"/>
            </w:rPr>
          </w:pPr>
          <w:r>
            <w:fldChar w:fldCharType="begin"/>
          </w:r>
          <w:r>
            <w:instrText xml:space="preserve">HYPERLINK\l"bookmark6"</w:instrText>
          </w:r>
          <w:r>
            <w:fldChar w:fldCharType="separate"/>
          </w:r>
          <w:r>
            <w:rPr>
              <w:spacing w:val="-22"/>
              <w:sz w:val="21"/>
              <w:szCs w:val="21"/>
            </w:rPr>
            <w:t>一、招标人提供的招标文件、招标图纸及相关资料</w:t>
          </w:r>
          <w:r>
            <w:rPr>
              <w:sz w:val="21"/>
              <w:szCs w:val="21"/>
            </w:rPr>
            <w:tab/>
          </w:r>
          <w:r>
            <w:rPr>
              <w:spacing w:val="-10"/>
              <w:sz w:val="24"/>
              <w:szCs w:val="24"/>
            </w:rPr>
            <w:t>15</w:t>
          </w:r>
          <w:r>
            <w:rPr>
              <w:spacing w:val="-10"/>
              <w:sz w:val="24"/>
              <w:szCs w:val="24"/>
            </w:rPr>
            <w:fldChar w:fldCharType="end"/>
          </w:r>
        </w:p>
        <w:p w14:paraId="61728B1A">
          <w:pPr>
            <w:pStyle w:val="2"/>
            <w:tabs>
              <w:tab w:val="right" w:leader="dot" w:pos="10107"/>
            </w:tabs>
            <w:spacing w:before="201" w:line="185" w:lineRule="auto"/>
            <w:ind w:left="2519"/>
            <w:rPr>
              <w:sz w:val="24"/>
              <w:szCs w:val="24"/>
            </w:rPr>
          </w:pPr>
          <w:r>
            <w:fldChar w:fldCharType="begin"/>
          </w:r>
          <w:r>
            <w:instrText xml:space="preserve">HYPERLINK\l"bookmark7"</w:instrText>
          </w:r>
          <w:r>
            <w:fldChar w:fldCharType="separate"/>
          </w:r>
          <w:r>
            <w:rPr>
              <w:spacing w:val="-22"/>
              <w:sz w:val="21"/>
              <w:szCs w:val="21"/>
            </w:rPr>
            <w:t>二、主要的法律、法规及标准、规范</w:t>
          </w:r>
          <w:r>
            <w:rPr>
              <w:sz w:val="21"/>
              <w:szCs w:val="21"/>
            </w:rPr>
            <w:tab/>
          </w:r>
          <w:r>
            <w:rPr>
              <w:spacing w:val="-10"/>
              <w:sz w:val="24"/>
              <w:szCs w:val="24"/>
            </w:rPr>
            <w:t>15</w:t>
          </w:r>
          <w:r>
            <w:rPr>
              <w:spacing w:val="-10"/>
              <w:sz w:val="24"/>
              <w:szCs w:val="24"/>
            </w:rPr>
            <w:fldChar w:fldCharType="end"/>
          </w:r>
        </w:p>
        <w:p w14:paraId="1F4C67F4">
          <w:pPr>
            <w:pStyle w:val="2"/>
            <w:tabs>
              <w:tab w:val="right" w:leader="dot" w:pos="10107"/>
            </w:tabs>
            <w:spacing w:before="199" w:line="185" w:lineRule="auto"/>
            <w:ind w:left="2243"/>
            <w:rPr>
              <w:sz w:val="24"/>
              <w:szCs w:val="24"/>
            </w:rPr>
          </w:pPr>
          <w:r>
            <w:fldChar w:fldCharType="begin"/>
          </w:r>
          <w:r>
            <w:instrText xml:space="preserve">HYPERLINK\l"bookmark8"</w:instrText>
          </w:r>
          <w:r>
            <w:fldChar w:fldCharType="separate"/>
          </w:r>
          <w:r>
            <w:rPr>
              <w:b/>
              <w:bCs/>
              <w:color w:val="0070C0"/>
              <w:spacing w:val="-23"/>
              <w:sz w:val="21"/>
              <w:szCs w:val="21"/>
            </w:rPr>
            <w:t>第三节、工程基本情况</w:t>
          </w:r>
          <w:r>
            <w:rPr>
              <w:b/>
              <w:bCs/>
              <w:color w:val="0070C0"/>
              <w:sz w:val="21"/>
              <w:szCs w:val="21"/>
              <w14:textOutline w14:w="4356" w14:cap="flat" w14:cmpd="sng">
                <w14:solidFill>
                  <w14:srgbClr w14:val="0070C0"/>
                </w14:solidFill>
                <w14:prstDash w14:val="solid"/>
                <w14:miter w14:val="0"/>
              </w14:textOutline>
            </w:rPr>
            <w:tab/>
          </w:r>
          <w:r>
            <w:rPr>
              <w:b/>
              <w:bCs/>
              <w:color w:val="0070C0"/>
              <w:spacing w:val="-12"/>
              <w:sz w:val="24"/>
              <w:szCs w:val="24"/>
            </w:rPr>
            <w:t>18</w:t>
          </w:r>
          <w:r>
            <w:rPr>
              <w:b/>
              <w:bCs/>
              <w:color w:val="0070C0"/>
              <w:spacing w:val="-12"/>
              <w:sz w:val="24"/>
              <w:szCs w:val="24"/>
            </w:rPr>
            <w:fldChar w:fldCharType="end"/>
          </w:r>
        </w:p>
        <w:p w14:paraId="71EFA3E9">
          <w:pPr>
            <w:pStyle w:val="2"/>
            <w:tabs>
              <w:tab w:val="right" w:leader="dot" w:pos="10107"/>
            </w:tabs>
            <w:spacing w:before="199" w:line="185" w:lineRule="auto"/>
            <w:ind w:left="2516"/>
            <w:rPr>
              <w:sz w:val="24"/>
              <w:szCs w:val="24"/>
            </w:rPr>
          </w:pPr>
          <w:r>
            <w:fldChar w:fldCharType="begin"/>
          </w:r>
          <w:r>
            <w:instrText xml:space="preserve">HYPERLINK\l"bookmark9"</w:instrText>
          </w:r>
          <w:r>
            <w:fldChar w:fldCharType="separate"/>
          </w:r>
          <w:r>
            <w:rPr>
              <w:spacing w:val="-22"/>
              <w:sz w:val="21"/>
              <w:szCs w:val="21"/>
            </w:rPr>
            <w:t>一、主要信息概况</w:t>
          </w:r>
          <w:r>
            <w:rPr>
              <w:sz w:val="21"/>
              <w:szCs w:val="21"/>
            </w:rPr>
            <w:tab/>
          </w:r>
          <w:r>
            <w:rPr>
              <w:spacing w:val="-10"/>
              <w:sz w:val="24"/>
              <w:szCs w:val="24"/>
            </w:rPr>
            <w:t>18</w:t>
          </w:r>
          <w:r>
            <w:rPr>
              <w:spacing w:val="-10"/>
              <w:sz w:val="24"/>
              <w:szCs w:val="24"/>
            </w:rPr>
            <w:fldChar w:fldCharType="end"/>
          </w:r>
        </w:p>
        <w:p w14:paraId="1F912454">
          <w:pPr>
            <w:pStyle w:val="2"/>
            <w:tabs>
              <w:tab w:val="right" w:leader="dot" w:pos="10107"/>
            </w:tabs>
            <w:spacing w:before="201" w:line="185" w:lineRule="auto"/>
            <w:ind w:left="2519"/>
            <w:rPr>
              <w:sz w:val="24"/>
              <w:szCs w:val="24"/>
            </w:rPr>
          </w:pPr>
          <w:r>
            <w:fldChar w:fldCharType="begin"/>
          </w:r>
          <w:r>
            <w:instrText xml:space="preserve">HYPERLINK\l"bookmark10"</w:instrText>
          </w:r>
          <w:r>
            <w:fldChar w:fldCharType="separate"/>
          </w:r>
          <w:r>
            <w:rPr>
              <w:spacing w:val="-22"/>
              <w:sz w:val="21"/>
              <w:szCs w:val="21"/>
            </w:rPr>
            <w:t>二、主要施工图纸</w:t>
          </w:r>
          <w:r>
            <w:rPr>
              <w:sz w:val="21"/>
              <w:szCs w:val="21"/>
            </w:rPr>
            <w:tab/>
          </w:r>
          <w:r>
            <w:rPr>
              <w:spacing w:val="-6"/>
              <w:sz w:val="24"/>
              <w:szCs w:val="24"/>
            </w:rPr>
            <w:t>21</w:t>
          </w:r>
          <w:r>
            <w:rPr>
              <w:spacing w:val="-6"/>
              <w:sz w:val="24"/>
              <w:szCs w:val="24"/>
            </w:rPr>
            <w:fldChar w:fldCharType="end"/>
          </w:r>
        </w:p>
        <w:p w14:paraId="4036CD99">
          <w:pPr>
            <w:pStyle w:val="2"/>
            <w:tabs>
              <w:tab w:val="right" w:leader="dot" w:pos="10107"/>
            </w:tabs>
            <w:spacing w:before="198" w:line="185" w:lineRule="auto"/>
            <w:ind w:left="2518"/>
            <w:rPr>
              <w:sz w:val="24"/>
              <w:szCs w:val="24"/>
            </w:rPr>
          </w:pPr>
          <w:r>
            <w:fldChar w:fldCharType="begin"/>
          </w:r>
          <w:r>
            <w:instrText xml:space="preserve">HYPERLINK\l"bookmark11"</w:instrText>
          </w:r>
          <w:r>
            <w:fldChar w:fldCharType="separate"/>
          </w:r>
          <w:r>
            <w:rPr>
              <w:spacing w:val="-21"/>
              <w:sz w:val="21"/>
              <w:szCs w:val="21"/>
            </w:rPr>
            <w:t>三、现场环境特征</w:t>
          </w:r>
          <w:r>
            <w:rPr>
              <w:sz w:val="21"/>
              <w:szCs w:val="21"/>
            </w:rPr>
            <w:tab/>
          </w:r>
          <w:r>
            <w:rPr>
              <w:spacing w:val="-6"/>
              <w:sz w:val="24"/>
              <w:szCs w:val="24"/>
            </w:rPr>
            <w:t>25</w:t>
          </w:r>
          <w:r>
            <w:rPr>
              <w:spacing w:val="-6"/>
              <w:sz w:val="24"/>
              <w:szCs w:val="24"/>
            </w:rPr>
            <w:fldChar w:fldCharType="end"/>
          </w:r>
        </w:p>
        <w:p w14:paraId="3CAEC33F">
          <w:pPr>
            <w:pStyle w:val="2"/>
            <w:tabs>
              <w:tab w:val="right" w:leader="dot" w:pos="10107"/>
            </w:tabs>
            <w:spacing w:before="199" w:line="185" w:lineRule="auto"/>
            <w:ind w:left="2537"/>
            <w:rPr>
              <w:sz w:val="24"/>
              <w:szCs w:val="24"/>
            </w:rPr>
          </w:pPr>
          <w:r>
            <w:fldChar w:fldCharType="begin"/>
          </w:r>
          <w:r>
            <w:instrText xml:space="preserve">HYPERLINK\l"bookmark12"</w:instrText>
          </w:r>
          <w:r>
            <w:fldChar w:fldCharType="separate"/>
          </w:r>
          <w:r>
            <w:rPr>
              <w:spacing w:val="-22"/>
              <w:sz w:val="21"/>
              <w:szCs w:val="21"/>
            </w:rPr>
            <w:t>四、踏勘本工程现场特点</w:t>
          </w:r>
          <w:r>
            <w:rPr>
              <w:sz w:val="21"/>
              <w:szCs w:val="21"/>
            </w:rPr>
            <w:tab/>
          </w:r>
          <w:r>
            <w:rPr>
              <w:spacing w:val="-6"/>
              <w:sz w:val="24"/>
              <w:szCs w:val="24"/>
            </w:rPr>
            <w:t>27</w:t>
          </w:r>
          <w:r>
            <w:rPr>
              <w:spacing w:val="-6"/>
              <w:sz w:val="24"/>
              <w:szCs w:val="24"/>
            </w:rPr>
            <w:fldChar w:fldCharType="end"/>
          </w:r>
        </w:p>
        <w:p w14:paraId="54C2CC9C">
          <w:pPr>
            <w:pStyle w:val="2"/>
            <w:tabs>
              <w:tab w:val="right" w:leader="dot" w:pos="10107"/>
            </w:tabs>
            <w:spacing w:before="201" w:line="185" w:lineRule="auto"/>
            <w:ind w:left="2243"/>
            <w:rPr>
              <w:sz w:val="24"/>
              <w:szCs w:val="24"/>
            </w:rPr>
          </w:pPr>
          <w:r>
            <w:fldChar w:fldCharType="begin"/>
          </w:r>
          <w:r>
            <w:instrText xml:space="preserve">HYPERLINK\l"bookmark13"</w:instrText>
          </w:r>
          <w:r>
            <w:fldChar w:fldCharType="separate"/>
          </w:r>
          <w:r>
            <w:rPr>
              <w:b/>
              <w:bCs/>
              <w:color w:val="0070C0"/>
              <w:spacing w:val="-23"/>
              <w:sz w:val="21"/>
              <w:szCs w:val="21"/>
            </w:rPr>
            <w:t>第四节、施工现场航拍、踏勘图</w:t>
          </w:r>
          <w:r>
            <w:rPr>
              <w:b/>
              <w:bCs/>
              <w:color w:val="0070C0"/>
              <w:sz w:val="21"/>
              <w:szCs w:val="21"/>
              <w14:textOutline w14:w="4356" w14:cap="flat" w14:cmpd="sng">
                <w14:solidFill>
                  <w14:srgbClr w14:val="0070C0"/>
                </w14:solidFill>
                <w14:prstDash w14:val="solid"/>
                <w14:miter w14:val="0"/>
              </w14:textOutline>
            </w:rPr>
            <w:tab/>
          </w:r>
          <w:r>
            <w:rPr>
              <w:b/>
              <w:bCs/>
              <w:color w:val="0070C0"/>
              <w:spacing w:val="-9"/>
              <w:sz w:val="24"/>
              <w:szCs w:val="24"/>
            </w:rPr>
            <w:t>30</w:t>
          </w:r>
          <w:r>
            <w:rPr>
              <w:b/>
              <w:bCs/>
              <w:color w:val="0070C0"/>
              <w:spacing w:val="-9"/>
              <w:sz w:val="24"/>
              <w:szCs w:val="24"/>
            </w:rPr>
            <w:fldChar w:fldCharType="end"/>
          </w:r>
        </w:p>
        <w:p w14:paraId="686C85F6">
          <w:pPr>
            <w:pStyle w:val="2"/>
            <w:tabs>
              <w:tab w:val="right" w:leader="dot" w:pos="10107"/>
            </w:tabs>
            <w:spacing w:before="199" w:line="185" w:lineRule="auto"/>
            <w:ind w:left="2243"/>
            <w:rPr>
              <w:sz w:val="24"/>
              <w:szCs w:val="24"/>
            </w:rPr>
          </w:pPr>
          <w:r>
            <w:fldChar w:fldCharType="begin"/>
          </w:r>
          <w:r>
            <w:instrText xml:space="preserve">HYPERLINK\l"bookmark14"</w:instrText>
          </w:r>
          <w:r>
            <w:fldChar w:fldCharType="separate"/>
          </w:r>
          <w:r>
            <w:rPr>
              <w:b/>
              <w:bCs/>
              <w:color w:val="0070C0"/>
              <w:spacing w:val="-23"/>
              <w:sz w:val="21"/>
              <w:szCs w:val="21"/>
            </w:rPr>
            <w:t>第五节、施工目标与总体筹划部署</w:t>
          </w:r>
          <w:r>
            <w:rPr>
              <w:color w:val="0070C0"/>
              <w:sz w:val="21"/>
              <w:szCs w:val="21"/>
              <w14:textOutline w14:w="4356" w14:cap="flat" w14:cmpd="sng">
                <w14:solidFill>
                  <w14:srgbClr w14:val="0070C0"/>
                </w14:solidFill>
                <w14:prstDash w14:val="solid"/>
                <w14:miter w14:val="0"/>
              </w14:textOutline>
            </w:rPr>
            <w:tab/>
          </w:r>
          <w:r>
            <w:rPr>
              <w:b/>
              <w:bCs/>
              <w:color w:val="0070C0"/>
              <w:spacing w:val="-7"/>
              <w:sz w:val="24"/>
              <w:szCs w:val="24"/>
            </w:rPr>
            <w:t>43</w:t>
          </w:r>
          <w:r>
            <w:rPr>
              <w:b/>
              <w:bCs/>
              <w:color w:val="0070C0"/>
              <w:spacing w:val="-7"/>
              <w:sz w:val="24"/>
              <w:szCs w:val="24"/>
            </w:rPr>
            <w:fldChar w:fldCharType="end"/>
          </w:r>
        </w:p>
        <w:p w14:paraId="21585C19">
          <w:pPr>
            <w:pStyle w:val="2"/>
            <w:tabs>
              <w:tab w:val="right" w:leader="dot" w:pos="10107"/>
            </w:tabs>
            <w:spacing w:before="199" w:line="185" w:lineRule="auto"/>
            <w:ind w:left="2516"/>
            <w:rPr>
              <w:sz w:val="24"/>
              <w:szCs w:val="24"/>
            </w:rPr>
          </w:pPr>
          <w:r>
            <w:fldChar w:fldCharType="begin"/>
          </w:r>
          <w:r>
            <w:instrText xml:space="preserve">HYPERLINK\l"bookmark15"</w:instrText>
          </w:r>
          <w:r>
            <w:fldChar w:fldCharType="separate"/>
          </w:r>
          <w:r>
            <w:rPr>
              <w:spacing w:val="-21"/>
              <w:sz w:val="21"/>
              <w:szCs w:val="21"/>
            </w:rPr>
            <w:t>一、工程目标</w:t>
          </w:r>
          <w:r>
            <w:rPr>
              <w:sz w:val="21"/>
              <w:szCs w:val="21"/>
            </w:rPr>
            <w:tab/>
          </w:r>
          <w:r>
            <w:rPr>
              <w:spacing w:val="-5"/>
              <w:sz w:val="24"/>
              <w:szCs w:val="24"/>
            </w:rPr>
            <w:t>43</w:t>
          </w:r>
          <w:r>
            <w:rPr>
              <w:spacing w:val="-5"/>
              <w:sz w:val="24"/>
              <w:szCs w:val="24"/>
            </w:rPr>
            <w:fldChar w:fldCharType="end"/>
          </w:r>
        </w:p>
        <w:p w14:paraId="55C5B304">
          <w:pPr>
            <w:pStyle w:val="2"/>
            <w:tabs>
              <w:tab w:val="right" w:leader="dot" w:pos="10107"/>
            </w:tabs>
            <w:spacing w:before="201" w:line="185" w:lineRule="auto"/>
            <w:ind w:left="2519"/>
            <w:rPr>
              <w:sz w:val="24"/>
              <w:szCs w:val="24"/>
            </w:rPr>
          </w:pPr>
          <w:r>
            <w:fldChar w:fldCharType="begin"/>
          </w:r>
          <w:r>
            <w:instrText xml:space="preserve">HYPERLINK\l"bookmark16"</w:instrText>
          </w:r>
          <w:r>
            <w:fldChar w:fldCharType="separate"/>
          </w:r>
          <w:r>
            <w:rPr>
              <w:spacing w:val="-23"/>
              <w:sz w:val="21"/>
              <w:szCs w:val="21"/>
            </w:rPr>
            <w:t>二、总体部署原则</w:t>
          </w:r>
          <w:r>
            <w:rPr>
              <w:sz w:val="21"/>
              <w:szCs w:val="21"/>
            </w:rPr>
            <w:tab/>
          </w:r>
          <w:r>
            <w:rPr>
              <w:spacing w:val="-5"/>
              <w:sz w:val="24"/>
              <w:szCs w:val="24"/>
            </w:rPr>
            <w:t>45</w:t>
          </w:r>
          <w:r>
            <w:rPr>
              <w:spacing w:val="-5"/>
              <w:sz w:val="24"/>
              <w:szCs w:val="24"/>
            </w:rPr>
            <w:fldChar w:fldCharType="end"/>
          </w:r>
        </w:p>
        <w:p w14:paraId="3C7D6F6B">
          <w:pPr>
            <w:pStyle w:val="2"/>
            <w:tabs>
              <w:tab w:val="right" w:leader="dot" w:pos="10109"/>
            </w:tabs>
            <w:spacing w:before="147" w:line="185" w:lineRule="auto"/>
            <w:ind w:left="1823"/>
            <w:rPr>
              <w:sz w:val="30"/>
              <w:szCs w:val="30"/>
            </w:rPr>
          </w:pPr>
          <w:r>
            <w:fldChar w:fldCharType="begin"/>
          </w:r>
          <w:r>
            <w:instrText xml:space="preserve">HYPERLINK\l"bookmark17"</w:instrText>
          </w:r>
          <w:r>
            <w:fldChar w:fldCharType="separate"/>
          </w:r>
          <w:r>
            <w:rPr>
              <w:b/>
              <w:bCs/>
              <w:color w:val="7030A0"/>
              <w:spacing w:val="-24"/>
              <w:sz w:val="21"/>
              <w:szCs w:val="21"/>
            </w:rPr>
            <w:t>第二章、主要施工方法与技术</w:t>
          </w:r>
          <w:r>
            <w:rPr>
              <w:color w:val="7030A0"/>
              <w:sz w:val="21"/>
              <w:szCs w:val="21"/>
              <w14:textOutline w14:w="5448" w14:cap="flat" w14:cmpd="sng">
                <w14:solidFill>
                  <w14:srgbClr w14:val="7030A0"/>
                </w14:solidFill>
                <w14:prstDash w14:val="solid"/>
                <w14:miter w14:val="0"/>
              </w14:textOutline>
            </w:rPr>
            <w:tab/>
          </w:r>
          <w:r>
            <w:rPr>
              <w:b/>
              <w:bCs/>
              <w:color w:val="7030A0"/>
              <w:spacing w:val="-10"/>
              <w:sz w:val="30"/>
              <w:szCs w:val="30"/>
            </w:rPr>
            <w:t>54</w:t>
          </w:r>
          <w:r>
            <w:rPr>
              <w:b/>
              <w:bCs/>
              <w:color w:val="7030A0"/>
              <w:spacing w:val="-10"/>
              <w:sz w:val="30"/>
              <w:szCs w:val="30"/>
            </w:rPr>
            <w:fldChar w:fldCharType="end"/>
          </w:r>
        </w:p>
        <w:p w14:paraId="01DE617A">
          <w:pPr>
            <w:pStyle w:val="2"/>
            <w:tabs>
              <w:tab w:val="right" w:leader="dot" w:pos="10107"/>
            </w:tabs>
            <w:spacing w:before="190" w:line="185" w:lineRule="auto"/>
            <w:ind w:left="2243"/>
            <w:rPr>
              <w:sz w:val="24"/>
              <w:szCs w:val="24"/>
            </w:rPr>
          </w:pPr>
          <w:r>
            <w:fldChar w:fldCharType="begin"/>
          </w:r>
          <w:r>
            <w:instrText xml:space="preserve">HYPERLINK\l"bookmark18"</w:instrText>
          </w:r>
          <w:r>
            <w:fldChar w:fldCharType="separate"/>
          </w:r>
          <w:r>
            <w:rPr>
              <w:b/>
              <w:bCs/>
              <w:color w:val="0070C0"/>
              <w:spacing w:val="-23"/>
              <w:sz w:val="21"/>
              <w:szCs w:val="21"/>
            </w:rPr>
            <w:t>第一节、测量放线</w:t>
          </w:r>
          <w:r>
            <w:rPr>
              <w:color w:val="0070C0"/>
              <w:sz w:val="21"/>
              <w:szCs w:val="21"/>
              <w14:textOutline w14:w="4356" w14:cap="flat" w14:cmpd="sng">
                <w14:solidFill>
                  <w14:srgbClr w14:val="0070C0"/>
                </w14:solidFill>
                <w14:prstDash w14:val="solid"/>
                <w14:miter w14:val="0"/>
              </w14:textOutline>
            </w:rPr>
            <w:tab/>
          </w:r>
          <w:r>
            <w:rPr>
              <w:b/>
              <w:bCs/>
              <w:color w:val="0070C0"/>
              <w:spacing w:val="-9"/>
              <w:sz w:val="24"/>
              <w:szCs w:val="24"/>
            </w:rPr>
            <w:t>54</w:t>
          </w:r>
          <w:r>
            <w:rPr>
              <w:b/>
              <w:bCs/>
              <w:color w:val="0070C0"/>
              <w:spacing w:val="-9"/>
              <w:sz w:val="24"/>
              <w:szCs w:val="24"/>
            </w:rPr>
            <w:fldChar w:fldCharType="end"/>
          </w:r>
        </w:p>
        <w:p w14:paraId="7A4AA9B4">
          <w:pPr>
            <w:pStyle w:val="2"/>
            <w:tabs>
              <w:tab w:val="right" w:leader="dot" w:pos="10107"/>
            </w:tabs>
            <w:spacing w:before="202" w:line="185" w:lineRule="auto"/>
            <w:ind w:left="2516"/>
            <w:rPr>
              <w:sz w:val="24"/>
              <w:szCs w:val="24"/>
            </w:rPr>
          </w:pPr>
          <w:r>
            <w:fldChar w:fldCharType="begin"/>
          </w:r>
          <w:r>
            <w:instrText xml:space="preserve">HYPERLINK\l"bookmark19"</w:instrText>
          </w:r>
          <w:r>
            <w:fldChar w:fldCharType="separate"/>
          </w:r>
          <w:r>
            <w:rPr>
              <w:spacing w:val="-21"/>
              <w:sz w:val="21"/>
              <w:szCs w:val="21"/>
            </w:rPr>
            <w:t>一、测量放线与监测施工方案</w:t>
          </w:r>
          <w:r>
            <w:rPr>
              <w:sz w:val="21"/>
              <w:szCs w:val="21"/>
            </w:rPr>
            <w:tab/>
          </w:r>
          <w:r>
            <w:rPr>
              <w:spacing w:val="-7"/>
              <w:sz w:val="24"/>
              <w:szCs w:val="24"/>
            </w:rPr>
            <w:t>54</w:t>
          </w:r>
          <w:r>
            <w:rPr>
              <w:spacing w:val="-7"/>
              <w:sz w:val="24"/>
              <w:szCs w:val="24"/>
            </w:rPr>
            <w:fldChar w:fldCharType="end"/>
          </w:r>
        </w:p>
        <w:p w14:paraId="25D8D3AA">
          <w:pPr>
            <w:pStyle w:val="2"/>
            <w:tabs>
              <w:tab w:val="right" w:leader="dot" w:pos="10107"/>
            </w:tabs>
            <w:spacing w:before="198" w:line="185" w:lineRule="auto"/>
            <w:ind w:left="2519"/>
            <w:rPr>
              <w:sz w:val="24"/>
              <w:szCs w:val="24"/>
            </w:rPr>
          </w:pPr>
          <w:r>
            <w:fldChar w:fldCharType="begin"/>
          </w:r>
          <w:r>
            <w:instrText xml:space="preserve">HYPERLINK\l"bookmark20"</w:instrText>
          </w:r>
          <w:r>
            <w:fldChar w:fldCharType="separate"/>
          </w:r>
          <w:r>
            <w:rPr>
              <w:spacing w:val="-21"/>
              <w:sz w:val="21"/>
              <w:szCs w:val="21"/>
            </w:rPr>
            <w:t>二、测量施工方法</w:t>
          </w:r>
          <w:r>
            <w:rPr>
              <w:sz w:val="21"/>
              <w:szCs w:val="21"/>
            </w:rPr>
            <w:tab/>
          </w:r>
          <w:r>
            <w:rPr>
              <w:spacing w:val="-7"/>
              <w:sz w:val="24"/>
              <w:szCs w:val="24"/>
            </w:rPr>
            <w:t>58</w:t>
          </w:r>
          <w:r>
            <w:rPr>
              <w:spacing w:val="-7"/>
              <w:sz w:val="24"/>
              <w:szCs w:val="24"/>
            </w:rPr>
            <w:fldChar w:fldCharType="end"/>
          </w:r>
        </w:p>
        <w:p w14:paraId="3A9861FE">
          <w:pPr>
            <w:pStyle w:val="2"/>
            <w:tabs>
              <w:tab w:val="right" w:leader="dot" w:pos="10107"/>
            </w:tabs>
            <w:spacing w:before="199" w:line="185" w:lineRule="auto"/>
            <w:ind w:left="2243"/>
            <w:rPr>
              <w:sz w:val="24"/>
              <w:szCs w:val="24"/>
            </w:rPr>
          </w:pPr>
          <w:r>
            <w:fldChar w:fldCharType="begin"/>
          </w:r>
          <w:r>
            <w:instrText xml:space="preserve">HYPERLINK\l"bookmark21"</w:instrText>
          </w:r>
          <w:r>
            <w:fldChar w:fldCharType="separate"/>
          </w:r>
          <w:r>
            <w:rPr>
              <w:b/>
              <w:bCs/>
              <w:color w:val="0070C0"/>
              <w:spacing w:val="-23"/>
              <w:sz w:val="21"/>
              <w:szCs w:val="21"/>
            </w:rPr>
            <w:t>第二节、拆除工程施工方案与技术措施</w:t>
          </w:r>
          <w:r>
            <w:rPr>
              <w:b/>
              <w:bCs/>
              <w:color w:val="0070C0"/>
              <w:sz w:val="21"/>
              <w:szCs w:val="21"/>
              <w14:textOutline w14:w="4356" w14:cap="flat" w14:cmpd="sng">
                <w14:solidFill>
                  <w14:srgbClr w14:val="0070C0"/>
                </w14:solidFill>
                <w14:prstDash w14:val="solid"/>
                <w14:miter w14:val="0"/>
              </w14:textOutline>
            </w:rPr>
            <w:tab/>
          </w:r>
          <w:r>
            <w:rPr>
              <w:b/>
              <w:bCs/>
              <w:color w:val="0070C0"/>
              <w:spacing w:val="-9"/>
              <w:sz w:val="24"/>
              <w:szCs w:val="24"/>
            </w:rPr>
            <w:t>59</w:t>
          </w:r>
          <w:r>
            <w:rPr>
              <w:b/>
              <w:bCs/>
              <w:color w:val="0070C0"/>
              <w:spacing w:val="-9"/>
              <w:sz w:val="24"/>
              <w:szCs w:val="24"/>
            </w:rPr>
            <w:fldChar w:fldCharType="end"/>
          </w:r>
        </w:p>
        <w:p w14:paraId="2DD7A8AE">
          <w:pPr>
            <w:pStyle w:val="2"/>
            <w:tabs>
              <w:tab w:val="right" w:leader="dot" w:pos="10107"/>
            </w:tabs>
            <w:spacing w:before="201" w:line="185" w:lineRule="auto"/>
            <w:ind w:left="2516"/>
            <w:rPr>
              <w:sz w:val="24"/>
              <w:szCs w:val="24"/>
            </w:rPr>
          </w:pPr>
          <w:r>
            <w:fldChar w:fldCharType="begin"/>
          </w:r>
          <w:r>
            <w:instrText xml:space="preserve">HYPERLINK\l"bookmark22"</w:instrText>
          </w:r>
          <w:r>
            <w:fldChar w:fldCharType="separate"/>
          </w:r>
          <w:r>
            <w:rPr>
              <w:spacing w:val="-20"/>
              <w:sz w:val="21"/>
              <w:szCs w:val="21"/>
            </w:rPr>
            <w:t>一、拆除内容</w:t>
          </w:r>
          <w:r>
            <w:rPr>
              <w:sz w:val="21"/>
              <w:szCs w:val="21"/>
            </w:rPr>
            <w:tab/>
          </w:r>
          <w:r>
            <w:rPr>
              <w:spacing w:val="-7"/>
              <w:sz w:val="24"/>
              <w:szCs w:val="24"/>
            </w:rPr>
            <w:t>59</w:t>
          </w:r>
          <w:r>
            <w:rPr>
              <w:spacing w:val="-7"/>
              <w:sz w:val="24"/>
              <w:szCs w:val="24"/>
            </w:rPr>
            <w:fldChar w:fldCharType="end"/>
          </w:r>
        </w:p>
        <w:p w14:paraId="4030AD8B">
          <w:pPr>
            <w:pStyle w:val="2"/>
            <w:tabs>
              <w:tab w:val="right" w:leader="dot" w:pos="10107"/>
            </w:tabs>
            <w:spacing w:before="199" w:line="185" w:lineRule="auto"/>
            <w:ind w:left="2519"/>
            <w:rPr>
              <w:sz w:val="24"/>
              <w:szCs w:val="24"/>
            </w:rPr>
          </w:pPr>
          <w:r>
            <w:fldChar w:fldCharType="begin"/>
          </w:r>
          <w:r>
            <w:instrText xml:space="preserve">HYPERLINK\l"bookmark23"</w:instrText>
          </w:r>
          <w:r>
            <w:fldChar w:fldCharType="separate"/>
          </w:r>
          <w:r>
            <w:rPr>
              <w:spacing w:val="-22"/>
              <w:sz w:val="21"/>
              <w:szCs w:val="21"/>
            </w:rPr>
            <w:t>二、拆除工程施工流程</w:t>
          </w:r>
          <w:r>
            <w:rPr>
              <w:sz w:val="21"/>
              <w:szCs w:val="21"/>
            </w:rPr>
            <w:tab/>
          </w:r>
          <w:r>
            <w:rPr>
              <w:spacing w:val="-7"/>
              <w:sz w:val="24"/>
              <w:szCs w:val="24"/>
            </w:rPr>
            <w:t>59</w:t>
          </w:r>
          <w:r>
            <w:rPr>
              <w:spacing w:val="-7"/>
              <w:sz w:val="24"/>
              <w:szCs w:val="24"/>
            </w:rPr>
            <w:fldChar w:fldCharType="end"/>
          </w:r>
        </w:p>
        <w:p w14:paraId="3588F519">
          <w:pPr>
            <w:pStyle w:val="2"/>
            <w:tabs>
              <w:tab w:val="right" w:leader="dot" w:pos="10107"/>
            </w:tabs>
            <w:spacing w:before="199" w:line="185" w:lineRule="auto"/>
            <w:ind w:left="2518"/>
            <w:rPr>
              <w:sz w:val="24"/>
              <w:szCs w:val="24"/>
            </w:rPr>
          </w:pPr>
          <w:r>
            <w:fldChar w:fldCharType="begin"/>
          </w:r>
          <w:r>
            <w:instrText xml:space="preserve">HYPERLINK\l"bookmark24"</w:instrText>
          </w:r>
          <w:r>
            <w:fldChar w:fldCharType="separate"/>
          </w:r>
          <w:r>
            <w:rPr>
              <w:spacing w:val="-21"/>
              <w:sz w:val="21"/>
              <w:szCs w:val="21"/>
            </w:rPr>
            <w:t>三、测量放线</w:t>
          </w:r>
          <w:r>
            <w:rPr>
              <w:sz w:val="21"/>
              <w:szCs w:val="21"/>
            </w:rPr>
            <w:tab/>
          </w:r>
          <w:r>
            <w:rPr>
              <w:spacing w:val="-7"/>
              <w:sz w:val="24"/>
              <w:szCs w:val="24"/>
            </w:rPr>
            <w:t>59</w:t>
          </w:r>
          <w:r>
            <w:rPr>
              <w:spacing w:val="-7"/>
              <w:sz w:val="24"/>
              <w:szCs w:val="24"/>
            </w:rPr>
            <w:fldChar w:fldCharType="end"/>
          </w:r>
        </w:p>
        <w:p w14:paraId="034A657A">
          <w:pPr>
            <w:pStyle w:val="2"/>
            <w:tabs>
              <w:tab w:val="right" w:leader="dot" w:pos="10107"/>
            </w:tabs>
            <w:spacing w:before="201" w:line="185" w:lineRule="auto"/>
            <w:ind w:left="2537"/>
            <w:rPr>
              <w:sz w:val="24"/>
              <w:szCs w:val="24"/>
            </w:rPr>
          </w:pPr>
          <w:r>
            <w:fldChar w:fldCharType="begin"/>
          </w:r>
          <w:r>
            <w:instrText xml:space="preserve">HYPERLINK\l"bookmark25"</w:instrText>
          </w:r>
          <w:r>
            <w:fldChar w:fldCharType="separate"/>
          </w:r>
          <w:r>
            <w:rPr>
              <w:spacing w:val="-23"/>
              <w:sz w:val="21"/>
              <w:szCs w:val="21"/>
            </w:rPr>
            <w:t>四、主要施工工艺和措施</w:t>
          </w:r>
          <w:r>
            <w:rPr>
              <w:sz w:val="21"/>
              <w:szCs w:val="21"/>
            </w:rPr>
            <w:tab/>
          </w:r>
          <w:r>
            <w:rPr>
              <w:spacing w:val="-7"/>
              <w:sz w:val="24"/>
              <w:szCs w:val="24"/>
            </w:rPr>
            <w:t>59</w:t>
          </w:r>
          <w:r>
            <w:rPr>
              <w:spacing w:val="-7"/>
              <w:sz w:val="24"/>
              <w:szCs w:val="24"/>
            </w:rPr>
            <w:fldChar w:fldCharType="end"/>
          </w:r>
        </w:p>
        <w:p w14:paraId="06DAE3CE">
          <w:pPr>
            <w:pStyle w:val="2"/>
            <w:tabs>
              <w:tab w:val="right" w:leader="dot" w:pos="10107"/>
            </w:tabs>
            <w:spacing w:before="199" w:line="185" w:lineRule="auto"/>
            <w:ind w:left="2516"/>
            <w:rPr>
              <w:sz w:val="24"/>
              <w:szCs w:val="24"/>
            </w:rPr>
          </w:pPr>
          <w:r>
            <w:fldChar w:fldCharType="begin"/>
          </w:r>
          <w:r>
            <w:instrText xml:space="preserve">HYPERLINK\l"bookmark26"</w:instrText>
          </w:r>
          <w:r>
            <w:fldChar w:fldCharType="separate"/>
          </w:r>
          <w:r>
            <w:rPr>
              <w:spacing w:val="-20"/>
              <w:sz w:val="21"/>
              <w:szCs w:val="21"/>
            </w:rPr>
            <w:t>五、路面、人行道等拆除</w:t>
          </w:r>
          <w:r>
            <w:rPr>
              <w:sz w:val="21"/>
              <w:szCs w:val="21"/>
            </w:rPr>
            <w:tab/>
          </w:r>
          <w:r>
            <w:rPr>
              <w:spacing w:val="-6"/>
              <w:sz w:val="24"/>
              <w:szCs w:val="24"/>
            </w:rPr>
            <w:t>62</w:t>
          </w:r>
          <w:r>
            <w:rPr>
              <w:spacing w:val="-6"/>
              <w:sz w:val="24"/>
              <w:szCs w:val="24"/>
            </w:rPr>
            <w:fldChar w:fldCharType="end"/>
          </w:r>
        </w:p>
        <w:p w14:paraId="3CE8AC38">
          <w:pPr>
            <w:pStyle w:val="2"/>
            <w:tabs>
              <w:tab w:val="right" w:leader="dot" w:pos="10107"/>
            </w:tabs>
            <w:spacing w:before="199" w:line="185" w:lineRule="auto"/>
            <w:ind w:left="2514"/>
            <w:rPr>
              <w:sz w:val="24"/>
              <w:szCs w:val="24"/>
            </w:rPr>
          </w:pPr>
          <w:r>
            <w:fldChar w:fldCharType="begin"/>
          </w:r>
          <w:r>
            <w:instrText xml:space="preserve">HYPERLINK\l"bookmark27"</w:instrText>
          </w:r>
          <w:r>
            <w:fldChar w:fldCharType="separate"/>
          </w:r>
          <w:r>
            <w:rPr>
              <w:spacing w:val="-20"/>
              <w:sz w:val="21"/>
              <w:szCs w:val="21"/>
            </w:rPr>
            <w:t>六、路缘石、侧石等拆除</w:t>
          </w:r>
          <w:r>
            <w:rPr>
              <w:sz w:val="21"/>
              <w:szCs w:val="21"/>
            </w:rPr>
            <w:tab/>
          </w:r>
          <w:r>
            <w:rPr>
              <w:spacing w:val="-6"/>
              <w:sz w:val="24"/>
              <w:szCs w:val="24"/>
            </w:rPr>
            <w:t>65</w:t>
          </w:r>
          <w:r>
            <w:rPr>
              <w:spacing w:val="-6"/>
              <w:sz w:val="24"/>
              <w:szCs w:val="24"/>
            </w:rPr>
            <w:fldChar w:fldCharType="end"/>
          </w:r>
        </w:p>
        <w:p w14:paraId="554D0731">
          <w:pPr>
            <w:pStyle w:val="2"/>
            <w:tabs>
              <w:tab w:val="right" w:leader="dot" w:pos="10107"/>
            </w:tabs>
            <w:spacing w:before="201" w:line="185" w:lineRule="auto"/>
            <w:ind w:left="2243"/>
            <w:rPr>
              <w:sz w:val="24"/>
              <w:szCs w:val="24"/>
            </w:rPr>
          </w:pPr>
          <w:r>
            <w:fldChar w:fldCharType="begin"/>
          </w:r>
          <w:r>
            <w:instrText xml:space="preserve">HYPERLINK\l"bookmark28"</w:instrText>
          </w:r>
          <w:r>
            <w:fldChar w:fldCharType="separate"/>
          </w:r>
          <w:r>
            <w:rPr>
              <w:b/>
              <w:bCs/>
              <w:color w:val="0070C0"/>
              <w:spacing w:val="-23"/>
              <w:sz w:val="21"/>
              <w:szCs w:val="21"/>
            </w:rPr>
            <w:t>第三节、土石方工程</w:t>
          </w:r>
          <w:r>
            <w:rPr>
              <w:color w:val="0070C0"/>
              <w:sz w:val="21"/>
              <w:szCs w:val="21"/>
              <w14:textOutline w14:w="4356" w14:cap="flat" w14:cmpd="sng">
                <w14:solidFill>
                  <w14:srgbClr w14:val="0070C0"/>
                </w14:solidFill>
                <w14:prstDash w14:val="solid"/>
                <w14:miter w14:val="0"/>
              </w14:textOutline>
            </w:rPr>
            <w:tab/>
          </w:r>
          <w:r>
            <w:rPr>
              <w:b/>
              <w:bCs/>
              <w:color w:val="0070C0"/>
              <w:spacing w:val="-8"/>
              <w:sz w:val="24"/>
              <w:szCs w:val="24"/>
            </w:rPr>
            <w:t>65</w:t>
          </w:r>
          <w:r>
            <w:rPr>
              <w:b/>
              <w:bCs/>
              <w:color w:val="0070C0"/>
              <w:spacing w:val="-8"/>
              <w:sz w:val="24"/>
              <w:szCs w:val="24"/>
            </w:rPr>
            <w:fldChar w:fldCharType="end"/>
          </w:r>
        </w:p>
        <w:p w14:paraId="417053AA">
          <w:pPr>
            <w:pStyle w:val="2"/>
            <w:tabs>
              <w:tab w:val="right" w:leader="dot" w:pos="10107"/>
            </w:tabs>
            <w:spacing w:before="198" w:line="185" w:lineRule="auto"/>
            <w:ind w:left="2243"/>
            <w:rPr>
              <w:sz w:val="24"/>
              <w:szCs w:val="24"/>
            </w:rPr>
          </w:pPr>
          <w:r>
            <w:fldChar w:fldCharType="begin"/>
          </w:r>
          <w:r>
            <w:instrText xml:space="preserve">HYPERLINK\l"bookmark29"</w:instrText>
          </w:r>
          <w:r>
            <w:fldChar w:fldCharType="separate"/>
          </w:r>
          <w:r>
            <w:rPr>
              <w:b/>
              <w:bCs/>
              <w:color w:val="0070C0"/>
              <w:spacing w:val="-23"/>
              <w:sz w:val="21"/>
              <w:szCs w:val="21"/>
            </w:rPr>
            <w:t>第四节、砂垫层施工方案</w:t>
          </w:r>
          <w:r>
            <w:rPr>
              <w:b/>
              <w:bCs/>
              <w:color w:val="0070C0"/>
              <w:sz w:val="21"/>
              <w:szCs w:val="21"/>
              <w14:textOutline w14:w="4356" w14:cap="flat" w14:cmpd="sng">
                <w14:solidFill>
                  <w14:srgbClr w14:val="0070C0"/>
                </w14:solidFill>
                <w14:prstDash w14:val="solid"/>
                <w14:miter w14:val="0"/>
              </w14:textOutline>
            </w:rPr>
            <w:tab/>
          </w:r>
          <w:r>
            <w:rPr>
              <w:b/>
              <w:bCs/>
              <w:color w:val="0070C0"/>
              <w:spacing w:val="-9"/>
              <w:sz w:val="24"/>
              <w:szCs w:val="24"/>
            </w:rPr>
            <w:t>70</w:t>
          </w:r>
          <w:r>
            <w:rPr>
              <w:b/>
              <w:bCs/>
              <w:color w:val="0070C0"/>
              <w:spacing w:val="-9"/>
              <w:sz w:val="24"/>
              <w:szCs w:val="24"/>
            </w:rPr>
            <w:fldChar w:fldCharType="end"/>
          </w:r>
        </w:p>
        <w:p w14:paraId="5E71E238">
          <w:pPr>
            <w:pStyle w:val="2"/>
            <w:tabs>
              <w:tab w:val="right" w:leader="dot" w:pos="10107"/>
            </w:tabs>
            <w:spacing w:before="199" w:line="220" w:lineRule="auto"/>
            <w:ind w:left="2243"/>
            <w:rPr>
              <w:sz w:val="24"/>
              <w:szCs w:val="24"/>
            </w:rPr>
          </w:pPr>
          <w:r>
            <w:fldChar w:fldCharType="begin"/>
          </w:r>
          <w:r>
            <w:instrText xml:space="preserve">HYPERLINK\l"bookmark30"</w:instrText>
          </w:r>
          <w:r>
            <w:fldChar w:fldCharType="separate"/>
          </w:r>
          <w:r>
            <w:rPr>
              <w:b/>
              <w:bCs/>
              <w:color w:val="0070C0"/>
              <w:spacing w:val="-24"/>
              <w:sz w:val="21"/>
              <w:szCs w:val="21"/>
            </w:rPr>
            <w:t>第五节、管道安装施工方案</w:t>
          </w:r>
          <w:r>
            <w:rPr>
              <w:color w:val="0070C0"/>
              <w:sz w:val="21"/>
              <w:szCs w:val="21"/>
              <w14:textOutline w14:w="4356" w14:cap="flat" w14:cmpd="sng">
                <w14:solidFill>
                  <w14:srgbClr w14:val="0070C0"/>
                </w14:solidFill>
                <w14:prstDash w14:val="solid"/>
                <w14:miter w14:val="0"/>
              </w14:textOutline>
            </w:rPr>
            <w:tab/>
          </w:r>
          <w:r>
            <w:rPr>
              <w:b/>
              <w:bCs/>
              <w:color w:val="0070C0"/>
              <w:spacing w:val="-9"/>
              <w:sz w:val="24"/>
              <w:szCs w:val="24"/>
            </w:rPr>
            <w:t>72</w:t>
          </w:r>
          <w:r>
            <w:rPr>
              <w:b/>
              <w:bCs/>
              <w:color w:val="0070C0"/>
              <w:spacing w:val="-9"/>
              <w:sz w:val="24"/>
              <w:szCs w:val="24"/>
            </w:rPr>
            <w:fldChar w:fldCharType="end"/>
          </w:r>
        </w:p>
      </w:sdtContent>
    </w:sdt>
    <w:p w14:paraId="317420D6">
      <w:pPr>
        <w:spacing w:line="220" w:lineRule="auto"/>
        <w:rPr>
          <w:sz w:val="24"/>
          <w:szCs w:val="24"/>
        </w:rPr>
        <w:sectPr>
          <w:headerReference r:id="rId7" w:type="default"/>
          <w:footerReference r:id="rId8" w:type="default"/>
          <w:pgSz w:w="11907" w:h="16839"/>
          <w:pgMar w:top="1018" w:right="3" w:bottom="1179" w:left="0" w:header="562" w:footer="498" w:gutter="0"/>
          <w:pgBorders>
            <w:top w:val="none" w:sz="0" w:space="0"/>
            <w:left w:val="none" w:sz="0" w:space="0"/>
            <w:bottom w:val="none" w:sz="0" w:space="0"/>
            <w:right w:val="none" w:sz="0" w:space="0"/>
          </w:pgBorders>
          <w:cols w:space="720" w:num="1"/>
        </w:sectPr>
      </w:pPr>
    </w:p>
    <w:p w14:paraId="7554773E">
      <w:pPr>
        <w:spacing w:line="243" w:lineRule="auto"/>
        <w:rPr>
          <w:rFonts w:ascii="Arial"/>
          <w:sz w:val="21"/>
        </w:rPr>
      </w:pPr>
    </w:p>
    <w:p w14:paraId="49A0557D">
      <w:pPr>
        <w:spacing w:line="244" w:lineRule="auto"/>
        <w:rPr>
          <w:rFonts w:ascii="Arial"/>
          <w:sz w:val="21"/>
        </w:rPr>
      </w:pPr>
    </w:p>
    <w:sdt>
      <w:sdtPr>
        <w:rPr>
          <w:rFonts w:ascii="仿宋" w:hAnsi="仿宋" w:eastAsia="仿宋" w:cs="仿宋"/>
          <w:sz w:val="21"/>
          <w:szCs w:val="21"/>
        </w:rPr>
        <w:id w:val="147466337"/>
        <w:docPartObj>
          <w:docPartGallery w:val="Table of Contents"/>
          <w:docPartUnique/>
        </w:docPartObj>
      </w:sdtPr>
      <w:sdtEndPr>
        <w:rPr>
          <w:rFonts w:ascii="仿宋" w:hAnsi="仿宋" w:eastAsia="仿宋" w:cs="仿宋"/>
          <w:sz w:val="24"/>
          <w:szCs w:val="24"/>
        </w:rPr>
      </w:sdtEndPr>
      <w:sdtContent>
        <w:p w14:paraId="713049B1">
          <w:pPr>
            <w:pStyle w:val="2"/>
            <w:tabs>
              <w:tab w:val="right" w:leader="dot" w:pos="10107"/>
            </w:tabs>
            <w:spacing w:before="78" w:line="185" w:lineRule="auto"/>
            <w:ind w:left="2516"/>
            <w:rPr>
              <w:sz w:val="24"/>
              <w:szCs w:val="24"/>
            </w:rPr>
          </w:pPr>
          <w:r>
            <w:fldChar w:fldCharType="begin"/>
          </w:r>
          <w:r>
            <w:instrText xml:space="preserve">HYPERLINK\l"bookmark31"</w:instrText>
          </w:r>
          <w:r>
            <w:fldChar w:fldCharType="separate"/>
          </w:r>
          <w:r>
            <w:rPr>
              <w:spacing w:val="-20"/>
              <w:sz w:val="21"/>
              <w:szCs w:val="21"/>
            </w:rPr>
            <w:t>一、球墨铸铁管施工方法</w:t>
          </w:r>
          <w:r>
            <w:rPr>
              <w:sz w:val="21"/>
              <w:szCs w:val="21"/>
            </w:rPr>
            <w:tab/>
          </w:r>
          <w:r>
            <w:rPr>
              <w:spacing w:val="-7"/>
              <w:sz w:val="24"/>
              <w:szCs w:val="24"/>
            </w:rPr>
            <w:t>72</w:t>
          </w:r>
          <w:r>
            <w:rPr>
              <w:spacing w:val="-7"/>
              <w:sz w:val="24"/>
              <w:szCs w:val="24"/>
            </w:rPr>
            <w:fldChar w:fldCharType="end"/>
          </w:r>
        </w:p>
        <w:p w14:paraId="0BF0A44D">
          <w:pPr>
            <w:pStyle w:val="2"/>
            <w:tabs>
              <w:tab w:val="right" w:leader="dot" w:pos="10107"/>
            </w:tabs>
            <w:spacing w:before="198" w:line="185" w:lineRule="auto"/>
            <w:ind w:left="2519"/>
            <w:rPr>
              <w:sz w:val="24"/>
              <w:szCs w:val="24"/>
            </w:rPr>
          </w:pPr>
          <w:r>
            <w:fldChar w:fldCharType="begin"/>
          </w:r>
          <w:r>
            <w:instrText xml:space="preserve">HYPERLINK\l"bookmark32"</w:instrText>
          </w:r>
          <w:r>
            <w:fldChar w:fldCharType="separate"/>
          </w:r>
          <w:r>
            <w:rPr>
              <w:spacing w:val="-22"/>
              <w:sz w:val="21"/>
              <w:szCs w:val="21"/>
            </w:rPr>
            <w:t>二、钢管安装施工方法</w:t>
          </w:r>
          <w:r>
            <w:rPr>
              <w:sz w:val="21"/>
              <w:szCs w:val="21"/>
            </w:rPr>
            <w:tab/>
          </w:r>
          <w:r>
            <w:rPr>
              <w:spacing w:val="-7"/>
              <w:sz w:val="24"/>
              <w:szCs w:val="24"/>
            </w:rPr>
            <w:t>78</w:t>
          </w:r>
          <w:r>
            <w:rPr>
              <w:spacing w:val="-7"/>
              <w:sz w:val="24"/>
              <w:szCs w:val="24"/>
            </w:rPr>
            <w:fldChar w:fldCharType="end"/>
          </w:r>
        </w:p>
        <w:p w14:paraId="1525EA59">
          <w:pPr>
            <w:pStyle w:val="2"/>
            <w:tabs>
              <w:tab w:val="right" w:leader="dot" w:pos="10107"/>
            </w:tabs>
            <w:spacing w:before="201" w:line="185" w:lineRule="auto"/>
            <w:ind w:left="2518"/>
            <w:rPr>
              <w:sz w:val="24"/>
              <w:szCs w:val="24"/>
            </w:rPr>
          </w:pPr>
          <w:r>
            <w:fldChar w:fldCharType="begin"/>
          </w:r>
          <w:r>
            <w:instrText xml:space="preserve">HYPERLINK\l"bookmark33"</w:instrText>
          </w:r>
          <w:r>
            <w:fldChar w:fldCharType="separate"/>
          </w:r>
          <w:r>
            <w:rPr>
              <w:spacing w:val="-21"/>
              <w:sz w:val="21"/>
              <w:szCs w:val="21"/>
            </w:rPr>
            <w:t>三、水泥支墩施工方案</w:t>
          </w:r>
          <w:r>
            <w:rPr>
              <w:sz w:val="21"/>
              <w:szCs w:val="21"/>
            </w:rPr>
            <w:tab/>
          </w:r>
          <w:r>
            <w:rPr>
              <w:spacing w:val="-6"/>
              <w:sz w:val="24"/>
              <w:szCs w:val="24"/>
            </w:rPr>
            <w:t>91</w:t>
          </w:r>
          <w:r>
            <w:rPr>
              <w:spacing w:val="-6"/>
              <w:sz w:val="24"/>
              <w:szCs w:val="24"/>
            </w:rPr>
            <w:fldChar w:fldCharType="end"/>
          </w:r>
        </w:p>
        <w:p w14:paraId="3B23C13B">
          <w:pPr>
            <w:pStyle w:val="2"/>
            <w:tabs>
              <w:tab w:val="right" w:leader="dot" w:pos="10107"/>
            </w:tabs>
            <w:spacing w:before="198" w:line="185" w:lineRule="auto"/>
            <w:ind w:left="2537"/>
            <w:rPr>
              <w:sz w:val="24"/>
              <w:szCs w:val="24"/>
            </w:rPr>
          </w:pPr>
          <w:r>
            <w:fldChar w:fldCharType="begin"/>
          </w:r>
          <w:r>
            <w:instrText xml:space="preserve">HYPERLINK\l"bookmark34"</w:instrText>
          </w:r>
          <w:r>
            <w:fldChar w:fldCharType="separate"/>
          </w:r>
          <w:r>
            <w:rPr>
              <w:spacing w:val="-25"/>
              <w:sz w:val="21"/>
              <w:szCs w:val="21"/>
            </w:rPr>
            <w:t>四、阀门安装</w:t>
          </w:r>
          <w:r>
            <w:rPr>
              <w:sz w:val="21"/>
              <w:szCs w:val="21"/>
            </w:rPr>
            <w:tab/>
          </w:r>
          <w:r>
            <w:rPr>
              <w:spacing w:val="-6"/>
              <w:sz w:val="24"/>
              <w:szCs w:val="24"/>
            </w:rPr>
            <w:t>92</w:t>
          </w:r>
          <w:r>
            <w:rPr>
              <w:spacing w:val="-6"/>
              <w:sz w:val="24"/>
              <w:szCs w:val="24"/>
            </w:rPr>
            <w:fldChar w:fldCharType="end"/>
          </w:r>
        </w:p>
        <w:p w14:paraId="1AAA3D5C">
          <w:pPr>
            <w:pStyle w:val="2"/>
            <w:tabs>
              <w:tab w:val="right" w:leader="dot" w:pos="10107"/>
            </w:tabs>
            <w:spacing w:before="198" w:line="185" w:lineRule="auto"/>
            <w:ind w:left="2516"/>
            <w:rPr>
              <w:sz w:val="24"/>
              <w:szCs w:val="24"/>
            </w:rPr>
          </w:pPr>
          <w:r>
            <w:fldChar w:fldCharType="begin"/>
          </w:r>
          <w:r>
            <w:instrText xml:space="preserve">HYPERLINK\l"bookmark35"</w:instrText>
          </w:r>
          <w:r>
            <w:fldChar w:fldCharType="separate"/>
          </w:r>
          <w:r>
            <w:rPr>
              <w:spacing w:val="-21"/>
              <w:sz w:val="21"/>
              <w:szCs w:val="21"/>
            </w:rPr>
            <w:t>五、室外消火栓</w:t>
          </w:r>
          <w:r>
            <w:rPr>
              <w:sz w:val="21"/>
              <w:szCs w:val="21"/>
            </w:rPr>
            <w:tab/>
          </w:r>
          <w:r>
            <w:rPr>
              <w:spacing w:val="-6"/>
              <w:sz w:val="24"/>
              <w:szCs w:val="24"/>
            </w:rPr>
            <w:t>94</w:t>
          </w:r>
          <w:r>
            <w:rPr>
              <w:spacing w:val="-6"/>
              <w:sz w:val="24"/>
              <w:szCs w:val="24"/>
            </w:rPr>
            <w:fldChar w:fldCharType="end"/>
          </w:r>
        </w:p>
        <w:p w14:paraId="671B9DC0">
          <w:pPr>
            <w:pStyle w:val="2"/>
            <w:tabs>
              <w:tab w:val="right" w:leader="dot" w:pos="10107"/>
            </w:tabs>
            <w:spacing w:before="201" w:line="185" w:lineRule="auto"/>
            <w:ind w:left="2514"/>
            <w:rPr>
              <w:sz w:val="24"/>
              <w:szCs w:val="24"/>
            </w:rPr>
          </w:pPr>
          <w:r>
            <w:fldChar w:fldCharType="begin"/>
          </w:r>
          <w:r>
            <w:instrText xml:space="preserve">HYPERLINK\l"bookmark36"</w:instrText>
          </w:r>
          <w:r>
            <w:fldChar w:fldCharType="separate"/>
          </w:r>
          <w:r>
            <w:rPr>
              <w:spacing w:val="-20"/>
              <w:sz w:val="21"/>
              <w:szCs w:val="21"/>
            </w:rPr>
            <w:t>六、混凝土包管</w:t>
          </w:r>
          <w:r>
            <w:rPr>
              <w:sz w:val="21"/>
              <w:szCs w:val="21"/>
            </w:rPr>
            <w:tab/>
          </w:r>
          <w:r>
            <w:rPr>
              <w:spacing w:val="-6"/>
              <w:sz w:val="24"/>
              <w:szCs w:val="24"/>
            </w:rPr>
            <w:t>95</w:t>
          </w:r>
          <w:r>
            <w:rPr>
              <w:spacing w:val="-6"/>
              <w:sz w:val="24"/>
              <w:szCs w:val="24"/>
            </w:rPr>
            <w:fldChar w:fldCharType="end"/>
          </w:r>
        </w:p>
        <w:p w14:paraId="588655DC">
          <w:pPr>
            <w:pStyle w:val="2"/>
            <w:tabs>
              <w:tab w:val="right" w:leader="dot" w:pos="10107"/>
            </w:tabs>
            <w:spacing w:before="199" w:line="185" w:lineRule="auto"/>
            <w:ind w:left="2516"/>
            <w:rPr>
              <w:sz w:val="24"/>
              <w:szCs w:val="24"/>
            </w:rPr>
          </w:pPr>
          <w:r>
            <w:fldChar w:fldCharType="begin"/>
          </w:r>
          <w:r>
            <w:instrText xml:space="preserve">HYPERLINK\l"bookmark37"</w:instrText>
          </w:r>
          <w:r>
            <w:fldChar w:fldCharType="separate"/>
          </w:r>
          <w:r>
            <w:rPr>
              <w:spacing w:val="-21"/>
              <w:sz w:val="21"/>
              <w:szCs w:val="21"/>
            </w:rPr>
            <w:t>七、钢筋混凝土检查井施工</w:t>
          </w:r>
          <w:r>
            <w:rPr>
              <w:sz w:val="21"/>
              <w:szCs w:val="21"/>
            </w:rPr>
            <w:tab/>
          </w:r>
          <w:r>
            <w:rPr>
              <w:spacing w:val="-6"/>
              <w:sz w:val="24"/>
              <w:szCs w:val="24"/>
            </w:rPr>
            <w:t>97</w:t>
          </w:r>
          <w:r>
            <w:rPr>
              <w:spacing w:val="-6"/>
              <w:sz w:val="24"/>
              <w:szCs w:val="24"/>
            </w:rPr>
            <w:fldChar w:fldCharType="end"/>
          </w:r>
        </w:p>
        <w:p w14:paraId="6418C8E1">
          <w:pPr>
            <w:pStyle w:val="2"/>
            <w:tabs>
              <w:tab w:val="right" w:leader="dot" w:pos="10107"/>
            </w:tabs>
            <w:spacing w:before="199" w:line="185" w:lineRule="auto"/>
            <w:ind w:left="2512"/>
            <w:rPr>
              <w:sz w:val="24"/>
              <w:szCs w:val="24"/>
            </w:rPr>
          </w:pPr>
          <w:r>
            <w:fldChar w:fldCharType="begin"/>
          </w:r>
          <w:r>
            <w:instrText xml:space="preserve">HYPERLINK\l"bookmark38"</w:instrText>
          </w:r>
          <w:r>
            <w:fldChar w:fldCharType="separate"/>
          </w:r>
          <w:r>
            <w:rPr>
              <w:spacing w:val="-21"/>
              <w:sz w:val="21"/>
              <w:szCs w:val="21"/>
            </w:rPr>
            <w:t>八、混凝土模块式检查井施工方法</w:t>
          </w:r>
          <w:r>
            <w:rPr>
              <w:sz w:val="21"/>
              <w:szCs w:val="21"/>
            </w:rPr>
            <w:tab/>
          </w:r>
          <w:r>
            <w:rPr>
              <w:spacing w:val="-6"/>
              <w:sz w:val="24"/>
              <w:szCs w:val="24"/>
            </w:rPr>
            <w:t>98</w:t>
          </w:r>
          <w:r>
            <w:rPr>
              <w:spacing w:val="-6"/>
              <w:sz w:val="24"/>
              <w:szCs w:val="24"/>
            </w:rPr>
            <w:fldChar w:fldCharType="end"/>
          </w:r>
        </w:p>
        <w:p w14:paraId="5E4A547D">
          <w:pPr>
            <w:pStyle w:val="2"/>
            <w:tabs>
              <w:tab w:val="right" w:leader="dot" w:pos="10107"/>
            </w:tabs>
            <w:spacing w:before="201" w:line="185" w:lineRule="auto"/>
            <w:ind w:left="2520"/>
            <w:rPr>
              <w:sz w:val="24"/>
              <w:szCs w:val="24"/>
            </w:rPr>
          </w:pPr>
          <w:r>
            <w:fldChar w:fldCharType="begin"/>
          </w:r>
          <w:r>
            <w:instrText xml:space="preserve">HYPERLINK\l"bookmark39"</w:instrText>
          </w:r>
          <w:r>
            <w:fldChar w:fldCharType="separate"/>
          </w:r>
          <w:r>
            <w:rPr>
              <w:spacing w:val="-21"/>
              <w:sz w:val="21"/>
              <w:szCs w:val="21"/>
            </w:rPr>
            <w:t>九、水压试验</w:t>
          </w:r>
          <w:r>
            <w:rPr>
              <w:sz w:val="21"/>
              <w:szCs w:val="21"/>
            </w:rPr>
            <w:tab/>
          </w:r>
          <w:r>
            <w:rPr>
              <w:spacing w:val="-12"/>
              <w:sz w:val="24"/>
              <w:szCs w:val="24"/>
            </w:rPr>
            <w:t>101</w:t>
          </w:r>
          <w:r>
            <w:rPr>
              <w:spacing w:val="-12"/>
              <w:sz w:val="24"/>
              <w:szCs w:val="24"/>
            </w:rPr>
            <w:fldChar w:fldCharType="end"/>
          </w:r>
        </w:p>
        <w:p w14:paraId="5DC2D86E">
          <w:pPr>
            <w:pStyle w:val="2"/>
            <w:tabs>
              <w:tab w:val="right" w:leader="dot" w:pos="10107"/>
            </w:tabs>
            <w:spacing w:before="199" w:line="185" w:lineRule="auto"/>
            <w:ind w:left="2518"/>
            <w:rPr>
              <w:sz w:val="24"/>
              <w:szCs w:val="24"/>
            </w:rPr>
          </w:pPr>
          <w:r>
            <w:fldChar w:fldCharType="begin"/>
          </w:r>
          <w:r>
            <w:instrText xml:space="preserve">HYPERLINK\l"bookmark40"</w:instrText>
          </w:r>
          <w:r>
            <w:fldChar w:fldCharType="separate"/>
          </w:r>
          <w:r>
            <w:rPr>
              <w:spacing w:val="-22"/>
              <w:sz w:val="21"/>
              <w:szCs w:val="21"/>
            </w:rPr>
            <w:t>十、供水管道冲洗消毒</w:t>
          </w:r>
          <w:r>
            <w:rPr>
              <w:sz w:val="21"/>
              <w:szCs w:val="21"/>
            </w:rPr>
            <w:tab/>
          </w:r>
          <w:r>
            <w:rPr>
              <w:spacing w:val="-12"/>
              <w:sz w:val="24"/>
              <w:szCs w:val="24"/>
            </w:rPr>
            <w:t>103</w:t>
          </w:r>
          <w:r>
            <w:rPr>
              <w:spacing w:val="-12"/>
              <w:sz w:val="24"/>
              <w:szCs w:val="24"/>
            </w:rPr>
            <w:fldChar w:fldCharType="end"/>
          </w:r>
        </w:p>
        <w:p w14:paraId="5FC5C17A">
          <w:pPr>
            <w:pStyle w:val="2"/>
            <w:tabs>
              <w:tab w:val="right" w:leader="dot" w:pos="10110"/>
            </w:tabs>
            <w:spacing w:before="199" w:line="185" w:lineRule="auto"/>
            <w:ind w:left="2243"/>
            <w:rPr>
              <w:sz w:val="24"/>
              <w:szCs w:val="24"/>
            </w:rPr>
          </w:pPr>
          <w:r>
            <w:fldChar w:fldCharType="begin"/>
          </w:r>
          <w:r>
            <w:instrText xml:space="preserve">HYPERLINK\l"bookmark41"</w:instrText>
          </w:r>
          <w:r>
            <w:fldChar w:fldCharType="separate"/>
          </w:r>
          <w:r>
            <w:rPr>
              <w:b/>
              <w:bCs/>
              <w:color w:val="0070C0"/>
              <w:spacing w:val="-23"/>
              <w:sz w:val="21"/>
              <w:szCs w:val="21"/>
            </w:rPr>
            <w:t>第六节、现状管线迁移恢复</w:t>
          </w:r>
          <w:r>
            <w:rPr>
              <w:color w:val="0070C0"/>
              <w:sz w:val="21"/>
              <w:szCs w:val="21"/>
              <w14:textOutline w14:w="4356" w14:cap="flat" w14:cmpd="sng">
                <w14:solidFill>
                  <w14:srgbClr w14:val="0070C0"/>
                </w14:solidFill>
                <w14:prstDash w14:val="solid"/>
                <w14:miter w14:val="0"/>
              </w14:textOutline>
            </w:rPr>
            <w:tab/>
          </w:r>
          <w:r>
            <w:rPr>
              <w:b/>
              <w:bCs/>
              <w:color w:val="0070C0"/>
              <w:spacing w:val="-13"/>
              <w:sz w:val="24"/>
              <w:szCs w:val="24"/>
            </w:rPr>
            <w:t>105</w:t>
          </w:r>
          <w:r>
            <w:rPr>
              <w:b/>
              <w:bCs/>
              <w:color w:val="0070C0"/>
              <w:spacing w:val="-13"/>
              <w:sz w:val="24"/>
              <w:szCs w:val="24"/>
            </w:rPr>
            <w:fldChar w:fldCharType="end"/>
          </w:r>
        </w:p>
        <w:p w14:paraId="20058BA0">
          <w:pPr>
            <w:pStyle w:val="2"/>
            <w:tabs>
              <w:tab w:val="right" w:leader="dot" w:pos="10107"/>
            </w:tabs>
            <w:spacing w:before="201" w:line="185" w:lineRule="auto"/>
            <w:ind w:left="2516"/>
            <w:rPr>
              <w:sz w:val="24"/>
              <w:szCs w:val="24"/>
            </w:rPr>
          </w:pPr>
          <w:r>
            <w:fldChar w:fldCharType="begin"/>
          </w:r>
          <w:r>
            <w:instrText xml:space="preserve">HYPERLINK\l"bookmark42"</w:instrText>
          </w:r>
          <w:r>
            <w:fldChar w:fldCharType="separate"/>
          </w:r>
          <w:r>
            <w:rPr>
              <w:spacing w:val="-22"/>
              <w:sz w:val="21"/>
              <w:szCs w:val="21"/>
            </w:rPr>
            <w:t>一、混凝土管迁移恢复</w:t>
          </w:r>
          <w:r>
            <w:rPr>
              <w:sz w:val="21"/>
              <w:szCs w:val="21"/>
            </w:rPr>
            <w:tab/>
          </w:r>
          <w:r>
            <w:rPr>
              <w:spacing w:val="-12"/>
              <w:sz w:val="24"/>
              <w:szCs w:val="24"/>
            </w:rPr>
            <w:t>105</w:t>
          </w:r>
          <w:r>
            <w:rPr>
              <w:spacing w:val="-12"/>
              <w:sz w:val="24"/>
              <w:szCs w:val="24"/>
            </w:rPr>
            <w:fldChar w:fldCharType="end"/>
          </w:r>
        </w:p>
        <w:p w14:paraId="38063CF6">
          <w:pPr>
            <w:pStyle w:val="2"/>
            <w:tabs>
              <w:tab w:val="right" w:leader="dot" w:pos="10107"/>
            </w:tabs>
            <w:spacing w:before="199" w:line="185" w:lineRule="auto"/>
            <w:ind w:left="2519"/>
            <w:rPr>
              <w:sz w:val="24"/>
              <w:szCs w:val="24"/>
            </w:rPr>
          </w:pPr>
          <w:r>
            <w:fldChar w:fldCharType="begin"/>
          </w:r>
          <w:r>
            <w:instrText xml:space="preserve">HYPERLINK\l"bookmark43"</w:instrText>
          </w:r>
          <w:r>
            <w:fldChar w:fldCharType="separate"/>
          </w:r>
          <w:r>
            <w:rPr>
              <w:spacing w:val="-21"/>
              <w:sz w:val="21"/>
              <w:szCs w:val="21"/>
            </w:rPr>
            <w:t>二、铸铁管迁移恢复</w:t>
          </w:r>
          <w:r>
            <w:rPr>
              <w:sz w:val="21"/>
              <w:szCs w:val="21"/>
            </w:rPr>
            <w:tab/>
          </w:r>
          <w:r>
            <w:rPr>
              <w:spacing w:val="-12"/>
              <w:sz w:val="24"/>
              <w:szCs w:val="24"/>
            </w:rPr>
            <w:t>110</w:t>
          </w:r>
          <w:r>
            <w:rPr>
              <w:spacing w:val="-12"/>
              <w:sz w:val="24"/>
              <w:szCs w:val="24"/>
            </w:rPr>
            <w:fldChar w:fldCharType="end"/>
          </w:r>
        </w:p>
        <w:p w14:paraId="264235EF">
          <w:pPr>
            <w:pStyle w:val="2"/>
            <w:tabs>
              <w:tab w:val="right" w:leader="dot" w:pos="10107"/>
            </w:tabs>
            <w:spacing w:before="198" w:line="185" w:lineRule="auto"/>
            <w:ind w:left="2518"/>
            <w:rPr>
              <w:sz w:val="24"/>
              <w:szCs w:val="24"/>
            </w:rPr>
          </w:pPr>
          <w:r>
            <w:fldChar w:fldCharType="begin"/>
          </w:r>
          <w:r>
            <w:instrText xml:space="preserve">HYPERLINK\l"bookmark44"</w:instrText>
          </w:r>
          <w:r>
            <w:fldChar w:fldCharType="separate"/>
          </w:r>
          <w:r>
            <w:rPr>
              <w:spacing w:val="-22"/>
              <w:sz w:val="21"/>
              <w:szCs w:val="21"/>
            </w:rPr>
            <w:t>三、电缆排管迁移恢复</w:t>
          </w:r>
          <w:r>
            <w:rPr>
              <w:sz w:val="21"/>
              <w:szCs w:val="21"/>
            </w:rPr>
            <w:tab/>
          </w:r>
          <w:r>
            <w:rPr>
              <w:spacing w:val="-12"/>
              <w:sz w:val="24"/>
              <w:szCs w:val="24"/>
            </w:rPr>
            <w:t>114</w:t>
          </w:r>
          <w:r>
            <w:rPr>
              <w:spacing w:val="-12"/>
              <w:sz w:val="24"/>
              <w:szCs w:val="24"/>
            </w:rPr>
            <w:fldChar w:fldCharType="end"/>
          </w:r>
        </w:p>
        <w:p w14:paraId="6FDC0D50">
          <w:pPr>
            <w:pStyle w:val="2"/>
            <w:tabs>
              <w:tab w:val="right" w:leader="dot" w:pos="10107"/>
            </w:tabs>
            <w:spacing w:before="201" w:line="185" w:lineRule="auto"/>
            <w:ind w:left="2537"/>
            <w:rPr>
              <w:sz w:val="24"/>
              <w:szCs w:val="24"/>
            </w:rPr>
          </w:pPr>
          <w:r>
            <w:fldChar w:fldCharType="begin"/>
          </w:r>
          <w:r>
            <w:instrText xml:space="preserve">HYPERLINK\l"bookmark45"</w:instrText>
          </w:r>
          <w:r>
            <w:fldChar w:fldCharType="separate"/>
          </w:r>
          <w:r>
            <w:rPr>
              <w:spacing w:val="-24"/>
              <w:sz w:val="21"/>
              <w:szCs w:val="21"/>
            </w:rPr>
            <w:t>四、钢管迁移恢复</w:t>
          </w:r>
          <w:r>
            <w:rPr>
              <w:sz w:val="21"/>
              <w:szCs w:val="21"/>
            </w:rPr>
            <w:tab/>
          </w:r>
          <w:r>
            <w:rPr>
              <w:spacing w:val="-12"/>
              <w:sz w:val="24"/>
              <w:szCs w:val="24"/>
            </w:rPr>
            <w:t>119</w:t>
          </w:r>
          <w:r>
            <w:rPr>
              <w:spacing w:val="-12"/>
              <w:sz w:val="24"/>
              <w:szCs w:val="24"/>
            </w:rPr>
            <w:fldChar w:fldCharType="end"/>
          </w:r>
        </w:p>
        <w:p w14:paraId="7D7CDF04">
          <w:pPr>
            <w:pStyle w:val="2"/>
            <w:tabs>
              <w:tab w:val="right" w:leader="dot" w:pos="10107"/>
            </w:tabs>
            <w:spacing w:before="199" w:line="185" w:lineRule="auto"/>
            <w:ind w:left="2516"/>
            <w:rPr>
              <w:sz w:val="24"/>
              <w:szCs w:val="24"/>
            </w:rPr>
          </w:pPr>
          <w:r>
            <w:fldChar w:fldCharType="begin"/>
          </w:r>
          <w:r>
            <w:instrText xml:space="preserve">HYPERLINK\l"bookmark46"</w:instrText>
          </w:r>
          <w:r>
            <w:fldChar w:fldCharType="separate"/>
          </w:r>
          <w:r>
            <w:rPr>
              <w:spacing w:val="-21"/>
              <w:sz w:val="21"/>
              <w:szCs w:val="21"/>
            </w:rPr>
            <w:t>五、弱电综合管迁移恢复</w:t>
          </w:r>
          <w:r>
            <w:rPr>
              <w:sz w:val="21"/>
              <w:szCs w:val="21"/>
            </w:rPr>
            <w:tab/>
          </w:r>
          <w:r>
            <w:rPr>
              <w:spacing w:val="-12"/>
              <w:sz w:val="24"/>
              <w:szCs w:val="24"/>
            </w:rPr>
            <w:t>121</w:t>
          </w:r>
          <w:r>
            <w:rPr>
              <w:spacing w:val="-12"/>
              <w:sz w:val="24"/>
              <w:szCs w:val="24"/>
            </w:rPr>
            <w:fldChar w:fldCharType="end"/>
          </w:r>
        </w:p>
        <w:p w14:paraId="2BDDA34D">
          <w:pPr>
            <w:pStyle w:val="2"/>
            <w:tabs>
              <w:tab w:val="right" w:leader="dot" w:pos="10110"/>
            </w:tabs>
            <w:spacing w:before="199" w:line="185" w:lineRule="auto"/>
            <w:ind w:left="2243"/>
            <w:rPr>
              <w:sz w:val="24"/>
              <w:szCs w:val="24"/>
            </w:rPr>
          </w:pPr>
          <w:r>
            <w:fldChar w:fldCharType="begin"/>
          </w:r>
          <w:r>
            <w:instrText xml:space="preserve">HYPERLINK\l"bookmark47"</w:instrText>
          </w:r>
          <w:r>
            <w:fldChar w:fldCharType="separate"/>
          </w:r>
          <w:r>
            <w:rPr>
              <w:b/>
              <w:bCs/>
              <w:color w:val="0070C0"/>
              <w:spacing w:val="-23"/>
              <w:sz w:val="21"/>
              <w:szCs w:val="21"/>
            </w:rPr>
            <w:t>第七节、现状沥青道路恢复工程</w:t>
          </w:r>
          <w:r>
            <w:rPr>
              <w:b/>
              <w:bCs/>
              <w:color w:val="0070C0"/>
              <w:sz w:val="21"/>
              <w:szCs w:val="21"/>
              <w14:textOutline w14:w="4356" w14:cap="flat" w14:cmpd="sng">
                <w14:solidFill>
                  <w14:srgbClr w14:val="0070C0"/>
                </w14:solidFill>
                <w14:prstDash w14:val="solid"/>
                <w14:miter w14:val="0"/>
              </w14:textOutline>
            </w:rPr>
            <w:tab/>
          </w:r>
          <w:r>
            <w:rPr>
              <w:b/>
              <w:bCs/>
              <w:color w:val="0070C0"/>
              <w:spacing w:val="-13"/>
              <w:sz w:val="24"/>
              <w:szCs w:val="24"/>
            </w:rPr>
            <w:t>123</w:t>
          </w:r>
          <w:r>
            <w:rPr>
              <w:b/>
              <w:bCs/>
              <w:color w:val="0070C0"/>
              <w:spacing w:val="-13"/>
              <w:sz w:val="24"/>
              <w:szCs w:val="24"/>
            </w:rPr>
            <w:fldChar w:fldCharType="end"/>
          </w:r>
        </w:p>
        <w:p w14:paraId="2D2682E1">
          <w:pPr>
            <w:pStyle w:val="2"/>
            <w:tabs>
              <w:tab w:val="right" w:leader="dot" w:pos="10107"/>
            </w:tabs>
            <w:spacing w:before="201" w:line="185" w:lineRule="auto"/>
            <w:ind w:left="2516"/>
            <w:rPr>
              <w:sz w:val="24"/>
              <w:szCs w:val="24"/>
            </w:rPr>
          </w:pPr>
          <w:r>
            <w:fldChar w:fldCharType="begin"/>
          </w:r>
          <w:r>
            <w:instrText xml:space="preserve">HYPERLINK\l"bookmark48"</w:instrText>
          </w:r>
          <w:r>
            <w:fldChar w:fldCharType="separate"/>
          </w:r>
          <w:r>
            <w:rPr>
              <w:spacing w:val="-21"/>
              <w:sz w:val="21"/>
              <w:szCs w:val="21"/>
            </w:rPr>
            <w:t>一、土方工程</w:t>
          </w:r>
          <w:r>
            <w:rPr>
              <w:sz w:val="21"/>
              <w:szCs w:val="21"/>
            </w:rPr>
            <w:tab/>
          </w:r>
          <w:r>
            <w:rPr>
              <w:spacing w:val="-12"/>
              <w:sz w:val="24"/>
              <w:szCs w:val="24"/>
            </w:rPr>
            <w:t>123</w:t>
          </w:r>
          <w:r>
            <w:rPr>
              <w:spacing w:val="-12"/>
              <w:sz w:val="24"/>
              <w:szCs w:val="24"/>
            </w:rPr>
            <w:fldChar w:fldCharType="end"/>
          </w:r>
        </w:p>
        <w:p w14:paraId="21E70DCB">
          <w:pPr>
            <w:pStyle w:val="2"/>
            <w:tabs>
              <w:tab w:val="right" w:leader="dot" w:pos="10107"/>
            </w:tabs>
            <w:spacing w:before="199" w:line="185" w:lineRule="auto"/>
            <w:ind w:left="2519"/>
            <w:rPr>
              <w:sz w:val="24"/>
              <w:szCs w:val="24"/>
            </w:rPr>
          </w:pPr>
          <w:r>
            <w:fldChar w:fldCharType="begin"/>
          </w:r>
          <w:r>
            <w:instrText xml:space="preserve">HYPERLINK\l"bookmark49"</w:instrText>
          </w:r>
          <w:r>
            <w:fldChar w:fldCharType="separate"/>
          </w:r>
          <w:r>
            <w:rPr>
              <w:spacing w:val="-22"/>
              <w:sz w:val="21"/>
              <w:szCs w:val="21"/>
            </w:rPr>
            <w:t>二、水泥稳定碎石施工</w:t>
          </w:r>
          <w:r>
            <w:rPr>
              <w:sz w:val="21"/>
              <w:szCs w:val="21"/>
            </w:rPr>
            <w:tab/>
          </w:r>
          <w:r>
            <w:rPr>
              <w:spacing w:val="-12"/>
              <w:sz w:val="24"/>
              <w:szCs w:val="24"/>
            </w:rPr>
            <w:t>126</w:t>
          </w:r>
          <w:r>
            <w:rPr>
              <w:spacing w:val="-12"/>
              <w:sz w:val="24"/>
              <w:szCs w:val="24"/>
            </w:rPr>
            <w:fldChar w:fldCharType="end"/>
          </w:r>
        </w:p>
        <w:p w14:paraId="1D708085">
          <w:pPr>
            <w:pStyle w:val="2"/>
            <w:tabs>
              <w:tab w:val="right" w:leader="dot" w:pos="10107"/>
            </w:tabs>
            <w:spacing w:before="199" w:line="185" w:lineRule="auto"/>
            <w:ind w:left="2518"/>
            <w:rPr>
              <w:sz w:val="24"/>
              <w:szCs w:val="24"/>
            </w:rPr>
          </w:pPr>
          <w:r>
            <w:fldChar w:fldCharType="begin"/>
          </w:r>
          <w:r>
            <w:instrText xml:space="preserve">HYPERLINK\l"bookmark50"</w:instrText>
          </w:r>
          <w:r>
            <w:fldChar w:fldCharType="separate"/>
          </w:r>
          <w:r>
            <w:rPr>
              <w:spacing w:val="-20"/>
              <w:sz w:val="21"/>
              <w:szCs w:val="21"/>
            </w:rPr>
            <w:t>三、侧（平）石安装工程</w:t>
          </w:r>
          <w:r>
            <w:rPr>
              <w:sz w:val="21"/>
              <w:szCs w:val="21"/>
            </w:rPr>
            <w:tab/>
          </w:r>
          <w:r>
            <w:rPr>
              <w:spacing w:val="-12"/>
              <w:sz w:val="24"/>
              <w:szCs w:val="24"/>
            </w:rPr>
            <w:t>129</w:t>
          </w:r>
          <w:r>
            <w:rPr>
              <w:spacing w:val="-12"/>
              <w:sz w:val="24"/>
              <w:szCs w:val="24"/>
            </w:rPr>
            <w:fldChar w:fldCharType="end"/>
          </w:r>
        </w:p>
        <w:p w14:paraId="7785F58B">
          <w:pPr>
            <w:pStyle w:val="2"/>
            <w:tabs>
              <w:tab w:val="right" w:leader="dot" w:pos="10107"/>
            </w:tabs>
            <w:spacing w:before="201" w:line="185" w:lineRule="auto"/>
            <w:ind w:left="2537"/>
            <w:rPr>
              <w:sz w:val="24"/>
              <w:szCs w:val="24"/>
            </w:rPr>
          </w:pPr>
          <w:r>
            <w:fldChar w:fldCharType="begin"/>
          </w:r>
          <w:r>
            <w:instrText xml:space="preserve">HYPERLINK\l"bookmark51"</w:instrText>
          </w:r>
          <w:r>
            <w:fldChar w:fldCharType="separate"/>
          </w:r>
          <w:r>
            <w:rPr>
              <w:spacing w:val="-22"/>
              <w:sz w:val="21"/>
              <w:szCs w:val="21"/>
            </w:rPr>
            <w:t>四、沥青混凝土路面工程</w:t>
          </w:r>
          <w:r>
            <w:rPr>
              <w:sz w:val="21"/>
              <w:szCs w:val="21"/>
            </w:rPr>
            <w:tab/>
          </w:r>
          <w:r>
            <w:rPr>
              <w:spacing w:val="-12"/>
              <w:sz w:val="24"/>
              <w:szCs w:val="24"/>
            </w:rPr>
            <w:t>131</w:t>
          </w:r>
          <w:r>
            <w:rPr>
              <w:spacing w:val="-12"/>
              <w:sz w:val="24"/>
              <w:szCs w:val="24"/>
            </w:rPr>
            <w:fldChar w:fldCharType="end"/>
          </w:r>
        </w:p>
        <w:p w14:paraId="14C7035E">
          <w:pPr>
            <w:pStyle w:val="2"/>
            <w:tabs>
              <w:tab w:val="right" w:leader="dot" w:pos="10107"/>
            </w:tabs>
            <w:spacing w:before="199" w:line="185" w:lineRule="auto"/>
            <w:ind w:left="2516"/>
            <w:rPr>
              <w:sz w:val="24"/>
              <w:szCs w:val="24"/>
            </w:rPr>
          </w:pPr>
          <w:r>
            <w:fldChar w:fldCharType="begin"/>
          </w:r>
          <w:r>
            <w:instrText xml:space="preserve">HYPERLINK\l"bookmark52"</w:instrText>
          </w:r>
          <w:r>
            <w:fldChar w:fldCharType="separate"/>
          </w:r>
          <w:r>
            <w:rPr>
              <w:spacing w:val="-21"/>
              <w:sz w:val="21"/>
              <w:szCs w:val="21"/>
            </w:rPr>
            <w:t>五、道路标线施工方案</w:t>
          </w:r>
          <w:r>
            <w:rPr>
              <w:sz w:val="21"/>
              <w:szCs w:val="21"/>
            </w:rPr>
            <w:tab/>
          </w:r>
          <w:r>
            <w:rPr>
              <w:spacing w:val="-12"/>
              <w:sz w:val="24"/>
              <w:szCs w:val="24"/>
            </w:rPr>
            <w:t>141</w:t>
          </w:r>
          <w:r>
            <w:rPr>
              <w:spacing w:val="-12"/>
              <w:sz w:val="24"/>
              <w:szCs w:val="24"/>
            </w:rPr>
            <w:fldChar w:fldCharType="end"/>
          </w:r>
        </w:p>
        <w:p w14:paraId="23C24A3A">
          <w:pPr>
            <w:pStyle w:val="2"/>
            <w:tabs>
              <w:tab w:val="right" w:leader="dot" w:pos="10110"/>
            </w:tabs>
            <w:spacing w:before="198" w:line="185" w:lineRule="auto"/>
            <w:ind w:left="2243"/>
            <w:rPr>
              <w:sz w:val="24"/>
              <w:szCs w:val="24"/>
            </w:rPr>
          </w:pPr>
          <w:r>
            <w:fldChar w:fldCharType="begin"/>
          </w:r>
          <w:r>
            <w:instrText xml:space="preserve">HYPERLINK\l"bookmark53"</w:instrText>
          </w:r>
          <w:r>
            <w:fldChar w:fldCharType="separate"/>
          </w:r>
          <w:r>
            <w:rPr>
              <w:b/>
              <w:bCs/>
              <w:color w:val="0070C0"/>
              <w:spacing w:val="-22"/>
              <w:sz w:val="21"/>
              <w:szCs w:val="21"/>
            </w:rPr>
            <w:t>第八节、现状人行道恢复工程</w:t>
          </w:r>
          <w:r>
            <w:rPr>
              <w:color w:val="0070C0"/>
              <w:sz w:val="21"/>
              <w:szCs w:val="21"/>
              <w14:textOutline w14:w="4356" w14:cap="flat" w14:cmpd="sng">
                <w14:solidFill>
                  <w14:srgbClr w14:val="0070C0"/>
                </w14:solidFill>
                <w14:prstDash w14:val="solid"/>
                <w14:miter w14:val="0"/>
              </w14:textOutline>
            </w:rPr>
            <w:tab/>
          </w:r>
          <w:r>
            <w:rPr>
              <w:b/>
              <w:bCs/>
              <w:color w:val="0070C0"/>
              <w:spacing w:val="-13"/>
              <w:sz w:val="24"/>
              <w:szCs w:val="24"/>
            </w:rPr>
            <w:t>146</w:t>
          </w:r>
          <w:r>
            <w:rPr>
              <w:b/>
              <w:bCs/>
              <w:color w:val="0070C0"/>
              <w:spacing w:val="-13"/>
              <w:sz w:val="24"/>
              <w:szCs w:val="24"/>
            </w:rPr>
            <w:fldChar w:fldCharType="end"/>
          </w:r>
        </w:p>
        <w:p w14:paraId="6405B9C4">
          <w:pPr>
            <w:pStyle w:val="2"/>
            <w:tabs>
              <w:tab w:val="right" w:leader="dot" w:pos="10107"/>
            </w:tabs>
            <w:spacing w:before="201" w:line="185" w:lineRule="auto"/>
            <w:ind w:left="2516"/>
            <w:rPr>
              <w:sz w:val="24"/>
              <w:szCs w:val="24"/>
            </w:rPr>
          </w:pPr>
          <w:r>
            <w:fldChar w:fldCharType="begin"/>
          </w:r>
          <w:r>
            <w:instrText xml:space="preserve">HYPERLINK\l"bookmark54"</w:instrText>
          </w:r>
          <w:r>
            <w:fldChar w:fldCharType="separate"/>
          </w:r>
          <w:r>
            <w:rPr>
              <w:spacing w:val="-21"/>
              <w:sz w:val="21"/>
              <w:szCs w:val="21"/>
            </w:rPr>
            <w:t>一、级配碎石施工</w:t>
          </w:r>
          <w:r>
            <w:rPr>
              <w:sz w:val="21"/>
              <w:szCs w:val="21"/>
            </w:rPr>
            <w:tab/>
          </w:r>
          <w:r>
            <w:rPr>
              <w:spacing w:val="-12"/>
              <w:sz w:val="24"/>
              <w:szCs w:val="24"/>
            </w:rPr>
            <w:t>146</w:t>
          </w:r>
          <w:r>
            <w:rPr>
              <w:spacing w:val="-12"/>
              <w:sz w:val="24"/>
              <w:szCs w:val="24"/>
            </w:rPr>
            <w:fldChar w:fldCharType="end"/>
          </w:r>
        </w:p>
        <w:p w14:paraId="727D2641">
          <w:pPr>
            <w:pStyle w:val="2"/>
            <w:tabs>
              <w:tab w:val="right" w:leader="dot" w:pos="10107"/>
            </w:tabs>
            <w:spacing w:before="199" w:line="185" w:lineRule="auto"/>
            <w:ind w:left="2519"/>
            <w:rPr>
              <w:sz w:val="24"/>
              <w:szCs w:val="24"/>
            </w:rPr>
          </w:pPr>
          <w:r>
            <w:fldChar w:fldCharType="begin"/>
          </w:r>
          <w:r>
            <w:instrText xml:space="preserve">HYPERLINK\l"bookmark55"</w:instrText>
          </w:r>
          <w:r>
            <w:fldChar w:fldCharType="separate"/>
          </w:r>
          <w:r>
            <w:rPr>
              <w:spacing w:val="-22"/>
              <w:sz w:val="21"/>
              <w:szCs w:val="21"/>
            </w:rPr>
            <w:t>二、人行道混凝土基层</w:t>
          </w:r>
          <w:r>
            <w:rPr>
              <w:sz w:val="21"/>
              <w:szCs w:val="21"/>
            </w:rPr>
            <w:tab/>
          </w:r>
          <w:r>
            <w:rPr>
              <w:spacing w:val="-12"/>
              <w:sz w:val="24"/>
              <w:szCs w:val="24"/>
            </w:rPr>
            <w:t>148</w:t>
          </w:r>
          <w:r>
            <w:rPr>
              <w:spacing w:val="-12"/>
              <w:sz w:val="24"/>
              <w:szCs w:val="24"/>
            </w:rPr>
            <w:fldChar w:fldCharType="end"/>
          </w:r>
        </w:p>
        <w:p w14:paraId="70367C31">
          <w:pPr>
            <w:pStyle w:val="2"/>
            <w:tabs>
              <w:tab w:val="right" w:leader="dot" w:pos="10107"/>
            </w:tabs>
            <w:spacing w:before="199" w:line="185" w:lineRule="auto"/>
            <w:ind w:left="2518"/>
            <w:rPr>
              <w:sz w:val="24"/>
              <w:szCs w:val="24"/>
            </w:rPr>
          </w:pPr>
          <w:r>
            <w:fldChar w:fldCharType="begin"/>
          </w:r>
          <w:r>
            <w:instrText xml:space="preserve">HYPERLINK\l"bookmark56"</w:instrText>
          </w:r>
          <w:r>
            <w:fldChar w:fldCharType="separate"/>
          </w:r>
          <w:r>
            <w:rPr>
              <w:spacing w:val="-21"/>
              <w:sz w:val="21"/>
              <w:szCs w:val="21"/>
            </w:rPr>
            <w:t>三、块料铺设</w:t>
          </w:r>
          <w:r>
            <w:rPr>
              <w:sz w:val="21"/>
              <w:szCs w:val="21"/>
            </w:rPr>
            <w:tab/>
          </w:r>
          <w:r>
            <w:rPr>
              <w:spacing w:val="-12"/>
              <w:sz w:val="24"/>
              <w:szCs w:val="24"/>
            </w:rPr>
            <w:t>153</w:t>
          </w:r>
          <w:r>
            <w:rPr>
              <w:spacing w:val="-12"/>
              <w:sz w:val="24"/>
              <w:szCs w:val="24"/>
            </w:rPr>
            <w:fldChar w:fldCharType="end"/>
          </w:r>
        </w:p>
        <w:p w14:paraId="242C4009">
          <w:pPr>
            <w:pStyle w:val="2"/>
            <w:tabs>
              <w:tab w:val="right" w:leader="dot" w:pos="10110"/>
            </w:tabs>
            <w:spacing w:before="201" w:line="185" w:lineRule="auto"/>
            <w:ind w:left="2243"/>
            <w:rPr>
              <w:sz w:val="24"/>
              <w:szCs w:val="24"/>
            </w:rPr>
          </w:pPr>
          <w:r>
            <w:fldChar w:fldCharType="begin"/>
          </w:r>
          <w:r>
            <w:instrText xml:space="preserve">HYPERLINK\l"bookmark57"</w:instrText>
          </w:r>
          <w:r>
            <w:fldChar w:fldCharType="separate"/>
          </w:r>
          <w:r>
            <w:rPr>
              <w:b/>
              <w:bCs/>
              <w:color w:val="0070C0"/>
              <w:spacing w:val="-23"/>
              <w:sz w:val="21"/>
              <w:szCs w:val="21"/>
            </w:rPr>
            <w:t>第九节、绿化苗木迁移恢复</w:t>
          </w:r>
          <w:r>
            <w:rPr>
              <w:color w:val="0070C0"/>
              <w:sz w:val="21"/>
              <w:szCs w:val="21"/>
              <w14:textOutline w14:w="4356" w14:cap="flat" w14:cmpd="sng">
                <w14:solidFill>
                  <w14:srgbClr w14:val="0070C0"/>
                </w14:solidFill>
                <w14:prstDash w14:val="solid"/>
                <w14:miter w14:val="0"/>
              </w14:textOutline>
            </w:rPr>
            <w:tab/>
          </w:r>
          <w:r>
            <w:rPr>
              <w:b/>
              <w:bCs/>
              <w:color w:val="0070C0"/>
              <w:spacing w:val="-13"/>
              <w:sz w:val="24"/>
              <w:szCs w:val="24"/>
            </w:rPr>
            <w:t>156</w:t>
          </w:r>
          <w:r>
            <w:rPr>
              <w:b/>
              <w:bCs/>
              <w:color w:val="0070C0"/>
              <w:spacing w:val="-13"/>
              <w:sz w:val="24"/>
              <w:szCs w:val="24"/>
            </w:rPr>
            <w:fldChar w:fldCharType="end"/>
          </w:r>
        </w:p>
        <w:p w14:paraId="2BB2B253">
          <w:pPr>
            <w:pStyle w:val="2"/>
            <w:tabs>
              <w:tab w:val="right" w:leader="dot" w:pos="10107"/>
            </w:tabs>
            <w:spacing w:before="199" w:line="185" w:lineRule="auto"/>
            <w:ind w:left="2516"/>
            <w:rPr>
              <w:sz w:val="24"/>
              <w:szCs w:val="24"/>
            </w:rPr>
          </w:pPr>
          <w:r>
            <w:fldChar w:fldCharType="begin"/>
          </w:r>
          <w:r>
            <w:instrText xml:space="preserve">HYPERLINK\l"bookmark58"</w:instrText>
          </w:r>
          <w:r>
            <w:fldChar w:fldCharType="separate"/>
          </w:r>
          <w:r>
            <w:rPr>
              <w:spacing w:val="-22"/>
              <w:sz w:val="21"/>
              <w:szCs w:val="21"/>
            </w:rPr>
            <w:t>一、种植土整理及检验工程</w:t>
          </w:r>
          <w:r>
            <w:rPr>
              <w:sz w:val="21"/>
              <w:szCs w:val="21"/>
            </w:rPr>
            <w:tab/>
          </w:r>
          <w:r>
            <w:rPr>
              <w:spacing w:val="-12"/>
              <w:sz w:val="24"/>
              <w:szCs w:val="24"/>
            </w:rPr>
            <w:t>158</w:t>
          </w:r>
          <w:r>
            <w:rPr>
              <w:spacing w:val="-12"/>
              <w:sz w:val="24"/>
              <w:szCs w:val="24"/>
            </w:rPr>
            <w:fldChar w:fldCharType="end"/>
          </w:r>
        </w:p>
        <w:p w14:paraId="403D16BE">
          <w:pPr>
            <w:pStyle w:val="2"/>
            <w:tabs>
              <w:tab w:val="right" w:leader="dot" w:pos="10107"/>
            </w:tabs>
            <w:spacing w:before="199" w:line="185" w:lineRule="auto"/>
            <w:ind w:left="2519"/>
            <w:rPr>
              <w:sz w:val="24"/>
              <w:szCs w:val="24"/>
            </w:rPr>
          </w:pPr>
          <w:r>
            <w:fldChar w:fldCharType="begin"/>
          </w:r>
          <w:r>
            <w:instrText xml:space="preserve">HYPERLINK\l"bookmark59"</w:instrText>
          </w:r>
          <w:r>
            <w:fldChar w:fldCharType="separate"/>
          </w:r>
          <w:r>
            <w:rPr>
              <w:spacing w:val="-22"/>
              <w:sz w:val="21"/>
              <w:szCs w:val="21"/>
            </w:rPr>
            <w:t>二、绿化种植工程</w:t>
          </w:r>
          <w:r>
            <w:rPr>
              <w:sz w:val="21"/>
              <w:szCs w:val="21"/>
            </w:rPr>
            <w:tab/>
          </w:r>
          <w:r>
            <w:rPr>
              <w:spacing w:val="-12"/>
              <w:sz w:val="24"/>
              <w:szCs w:val="24"/>
            </w:rPr>
            <w:t>158</w:t>
          </w:r>
          <w:r>
            <w:rPr>
              <w:spacing w:val="-12"/>
              <w:sz w:val="24"/>
              <w:szCs w:val="24"/>
            </w:rPr>
            <w:fldChar w:fldCharType="end"/>
          </w:r>
        </w:p>
        <w:p w14:paraId="0DCABA65">
          <w:pPr>
            <w:pStyle w:val="2"/>
            <w:tabs>
              <w:tab w:val="right" w:leader="dot" w:pos="10107"/>
            </w:tabs>
            <w:spacing w:before="201" w:line="185" w:lineRule="auto"/>
            <w:ind w:left="2518"/>
            <w:rPr>
              <w:sz w:val="24"/>
              <w:szCs w:val="24"/>
            </w:rPr>
          </w:pPr>
          <w:r>
            <w:fldChar w:fldCharType="begin"/>
          </w:r>
          <w:r>
            <w:instrText xml:space="preserve">HYPERLINK\l"bookmark60"</w:instrText>
          </w:r>
          <w:r>
            <w:fldChar w:fldCharType="separate"/>
          </w:r>
          <w:r>
            <w:rPr>
              <w:spacing w:val="-22"/>
              <w:sz w:val="21"/>
              <w:szCs w:val="21"/>
            </w:rPr>
            <w:t>三、大树移植施工方案</w:t>
          </w:r>
          <w:r>
            <w:rPr>
              <w:sz w:val="21"/>
              <w:szCs w:val="21"/>
            </w:rPr>
            <w:tab/>
          </w:r>
          <w:r>
            <w:rPr>
              <w:spacing w:val="-12"/>
              <w:sz w:val="24"/>
              <w:szCs w:val="24"/>
            </w:rPr>
            <w:t>165</w:t>
          </w:r>
          <w:r>
            <w:rPr>
              <w:spacing w:val="-12"/>
              <w:sz w:val="24"/>
              <w:szCs w:val="24"/>
            </w:rPr>
            <w:fldChar w:fldCharType="end"/>
          </w:r>
        </w:p>
        <w:p w14:paraId="7DCD0387">
          <w:pPr>
            <w:pStyle w:val="2"/>
            <w:tabs>
              <w:tab w:val="right" w:leader="dot" w:pos="10110"/>
            </w:tabs>
            <w:spacing w:before="199" w:line="220" w:lineRule="auto"/>
            <w:ind w:left="2243"/>
            <w:rPr>
              <w:sz w:val="24"/>
              <w:szCs w:val="24"/>
            </w:rPr>
          </w:pPr>
          <w:r>
            <w:fldChar w:fldCharType="begin"/>
          </w:r>
          <w:r>
            <w:instrText xml:space="preserve">HYPERLINK\l"bookmark61"</w:instrText>
          </w:r>
          <w:r>
            <w:fldChar w:fldCharType="separate"/>
          </w:r>
          <w:r>
            <w:rPr>
              <w:b/>
              <w:bCs/>
              <w:color w:val="0070C0"/>
              <w:spacing w:val="-23"/>
              <w:sz w:val="21"/>
              <w:szCs w:val="21"/>
            </w:rPr>
            <w:t>第十节、地下管线探测及防护措施</w:t>
          </w:r>
          <w:r>
            <w:rPr>
              <w:color w:val="0070C0"/>
              <w:sz w:val="21"/>
              <w:szCs w:val="21"/>
              <w14:textOutline w14:w="4356" w14:cap="flat" w14:cmpd="sng">
                <w14:solidFill>
                  <w14:srgbClr w14:val="0070C0"/>
                </w14:solidFill>
                <w14:prstDash w14:val="solid"/>
                <w14:miter w14:val="0"/>
              </w14:textOutline>
            </w:rPr>
            <w:tab/>
          </w:r>
          <w:r>
            <w:rPr>
              <w:b/>
              <w:bCs/>
              <w:color w:val="0070C0"/>
              <w:spacing w:val="-13"/>
              <w:sz w:val="24"/>
              <w:szCs w:val="24"/>
            </w:rPr>
            <w:t>169</w:t>
          </w:r>
          <w:r>
            <w:rPr>
              <w:b/>
              <w:bCs/>
              <w:color w:val="0070C0"/>
              <w:spacing w:val="-13"/>
              <w:sz w:val="24"/>
              <w:szCs w:val="24"/>
            </w:rPr>
            <w:fldChar w:fldCharType="end"/>
          </w:r>
        </w:p>
      </w:sdtContent>
    </w:sdt>
    <w:p w14:paraId="04E4E5C0">
      <w:pPr>
        <w:spacing w:line="220" w:lineRule="auto"/>
        <w:rPr>
          <w:sz w:val="24"/>
          <w:szCs w:val="24"/>
        </w:rPr>
        <w:sectPr>
          <w:footerReference r:id="rId9" w:type="default"/>
          <w:pgSz w:w="11907" w:h="16839"/>
          <w:pgMar w:top="1018" w:right="3" w:bottom="1179" w:left="0" w:header="562" w:footer="498" w:gutter="0"/>
          <w:pgBorders>
            <w:top w:val="none" w:sz="0" w:space="0"/>
            <w:left w:val="none" w:sz="0" w:space="0"/>
            <w:bottom w:val="none" w:sz="0" w:space="0"/>
            <w:right w:val="none" w:sz="0" w:space="0"/>
          </w:pgBorders>
          <w:cols w:space="720" w:num="1"/>
        </w:sectPr>
      </w:pPr>
    </w:p>
    <w:p w14:paraId="70679B3D">
      <w:pPr>
        <w:spacing w:line="243" w:lineRule="auto"/>
        <w:rPr>
          <w:rFonts w:ascii="Arial"/>
          <w:sz w:val="21"/>
        </w:rPr>
      </w:pPr>
    </w:p>
    <w:p w14:paraId="353B731C">
      <w:pPr>
        <w:spacing w:line="244" w:lineRule="auto"/>
        <w:rPr>
          <w:rFonts w:ascii="Arial"/>
          <w:sz w:val="21"/>
        </w:rPr>
      </w:pPr>
    </w:p>
    <w:sdt>
      <w:sdtPr>
        <w:rPr>
          <w:rFonts w:ascii="仿宋" w:hAnsi="仿宋" w:eastAsia="仿宋" w:cs="仿宋"/>
          <w:sz w:val="21"/>
          <w:szCs w:val="21"/>
        </w:rPr>
        <w:id w:val="147457293"/>
        <w:docPartObj>
          <w:docPartGallery w:val="Table of Contents"/>
          <w:docPartUnique/>
        </w:docPartObj>
      </w:sdtPr>
      <w:sdtEndPr>
        <w:rPr>
          <w:rFonts w:ascii="仿宋" w:hAnsi="仿宋" w:eastAsia="仿宋" w:cs="仿宋"/>
          <w:sz w:val="24"/>
          <w:szCs w:val="24"/>
        </w:rPr>
      </w:sdtEndPr>
      <w:sdtContent>
        <w:p w14:paraId="7AC0CBE7">
          <w:pPr>
            <w:pStyle w:val="2"/>
            <w:tabs>
              <w:tab w:val="right" w:leader="dot" w:pos="10107"/>
            </w:tabs>
            <w:spacing w:before="78" w:line="185" w:lineRule="auto"/>
            <w:ind w:left="2516"/>
            <w:rPr>
              <w:sz w:val="24"/>
              <w:szCs w:val="24"/>
            </w:rPr>
          </w:pPr>
          <w:r>
            <w:fldChar w:fldCharType="begin"/>
          </w:r>
          <w:r>
            <w:instrText xml:space="preserve">HYPERLINK\l"bookmark62"</w:instrText>
          </w:r>
          <w:r>
            <w:fldChar w:fldCharType="separate"/>
          </w:r>
          <w:r>
            <w:rPr>
              <w:spacing w:val="-21"/>
              <w:sz w:val="21"/>
              <w:szCs w:val="21"/>
            </w:rPr>
            <w:t>一、地下管线探测方案</w:t>
          </w:r>
          <w:r>
            <w:rPr>
              <w:sz w:val="21"/>
              <w:szCs w:val="21"/>
            </w:rPr>
            <w:tab/>
          </w:r>
          <w:r>
            <w:rPr>
              <w:spacing w:val="-12"/>
              <w:sz w:val="24"/>
              <w:szCs w:val="24"/>
            </w:rPr>
            <w:t>169</w:t>
          </w:r>
          <w:r>
            <w:rPr>
              <w:spacing w:val="-12"/>
              <w:sz w:val="24"/>
              <w:szCs w:val="24"/>
            </w:rPr>
            <w:fldChar w:fldCharType="end"/>
          </w:r>
        </w:p>
        <w:p w14:paraId="47E0FA67">
          <w:pPr>
            <w:pStyle w:val="2"/>
            <w:tabs>
              <w:tab w:val="right" w:leader="dot" w:pos="10107"/>
            </w:tabs>
            <w:spacing w:before="198" w:line="185" w:lineRule="auto"/>
            <w:ind w:left="2519"/>
            <w:rPr>
              <w:sz w:val="24"/>
              <w:szCs w:val="24"/>
            </w:rPr>
          </w:pPr>
          <w:r>
            <w:fldChar w:fldCharType="begin"/>
          </w:r>
          <w:r>
            <w:instrText xml:space="preserve">HYPERLINK\l"bookmark63"</w:instrText>
          </w:r>
          <w:r>
            <w:fldChar w:fldCharType="separate"/>
          </w:r>
          <w:r>
            <w:rPr>
              <w:spacing w:val="-22"/>
              <w:sz w:val="21"/>
              <w:szCs w:val="21"/>
            </w:rPr>
            <w:t>二、地下管线保护措施</w:t>
          </w:r>
          <w:r>
            <w:rPr>
              <w:sz w:val="21"/>
              <w:szCs w:val="21"/>
            </w:rPr>
            <w:tab/>
          </w:r>
          <w:r>
            <w:rPr>
              <w:spacing w:val="-12"/>
              <w:sz w:val="24"/>
              <w:szCs w:val="24"/>
            </w:rPr>
            <w:t>172</w:t>
          </w:r>
          <w:r>
            <w:rPr>
              <w:spacing w:val="-12"/>
              <w:sz w:val="24"/>
              <w:szCs w:val="24"/>
            </w:rPr>
            <w:fldChar w:fldCharType="end"/>
          </w:r>
        </w:p>
        <w:p w14:paraId="3F680830">
          <w:pPr>
            <w:pStyle w:val="2"/>
            <w:tabs>
              <w:tab w:val="right" w:leader="dot" w:pos="10107"/>
            </w:tabs>
            <w:spacing w:before="201" w:line="185" w:lineRule="auto"/>
            <w:ind w:left="2518"/>
            <w:rPr>
              <w:sz w:val="24"/>
              <w:szCs w:val="24"/>
            </w:rPr>
          </w:pPr>
          <w:r>
            <w:fldChar w:fldCharType="begin"/>
          </w:r>
          <w:r>
            <w:instrText xml:space="preserve">HYPERLINK\l"bookmark64"</w:instrText>
          </w:r>
          <w:r>
            <w:fldChar w:fldCharType="separate"/>
          </w:r>
          <w:r>
            <w:rPr>
              <w:spacing w:val="-21"/>
              <w:sz w:val="21"/>
              <w:szCs w:val="21"/>
            </w:rPr>
            <w:t>三、应急救援措施</w:t>
          </w:r>
          <w:r>
            <w:rPr>
              <w:sz w:val="21"/>
              <w:szCs w:val="21"/>
            </w:rPr>
            <w:tab/>
          </w:r>
          <w:r>
            <w:rPr>
              <w:spacing w:val="-12"/>
              <w:sz w:val="24"/>
              <w:szCs w:val="24"/>
            </w:rPr>
            <w:t>176</w:t>
          </w:r>
          <w:r>
            <w:rPr>
              <w:spacing w:val="-12"/>
              <w:sz w:val="24"/>
              <w:szCs w:val="24"/>
            </w:rPr>
            <w:fldChar w:fldCharType="end"/>
          </w:r>
        </w:p>
        <w:p w14:paraId="0E526478">
          <w:pPr>
            <w:pStyle w:val="2"/>
            <w:tabs>
              <w:tab w:val="right" w:leader="dot" w:pos="10109"/>
            </w:tabs>
            <w:spacing w:before="147" w:line="185" w:lineRule="auto"/>
            <w:ind w:left="1823"/>
            <w:rPr>
              <w:sz w:val="30"/>
              <w:szCs w:val="30"/>
            </w:rPr>
          </w:pPr>
          <w:r>
            <w:fldChar w:fldCharType="begin"/>
          </w:r>
          <w:r>
            <w:instrText xml:space="preserve">HYPERLINK\l"bookmark65"</w:instrText>
          </w:r>
          <w:r>
            <w:fldChar w:fldCharType="separate"/>
          </w:r>
          <w:r>
            <w:rPr>
              <w:b/>
              <w:bCs/>
              <w:color w:val="7030A0"/>
              <w:spacing w:val="-23"/>
              <w:sz w:val="21"/>
              <w:szCs w:val="21"/>
            </w:rPr>
            <w:t>第三章、确保安全生产的技术组织措施</w:t>
          </w:r>
          <w:r>
            <w:rPr>
              <w:b/>
              <w:bCs/>
              <w:color w:val="7030A0"/>
              <w:sz w:val="21"/>
              <w:szCs w:val="21"/>
              <w14:textOutline w14:w="5448" w14:cap="flat" w14:cmpd="sng">
                <w14:solidFill>
                  <w14:srgbClr w14:val="7030A0"/>
                </w14:solidFill>
                <w14:prstDash w14:val="solid"/>
                <w14:miter w14:val="0"/>
              </w14:textOutline>
            </w:rPr>
            <w:tab/>
          </w:r>
          <w:r>
            <w:rPr>
              <w:b/>
              <w:bCs/>
              <w:color w:val="7030A0"/>
              <w:spacing w:val="-17"/>
              <w:sz w:val="30"/>
              <w:szCs w:val="30"/>
            </w:rPr>
            <w:t>177</w:t>
          </w:r>
          <w:r>
            <w:rPr>
              <w:b/>
              <w:bCs/>
              <w:color w:val="7030A0"/>
              <w:spacing w:val="-17"/>
              <w:sz w:val="30"/>
              <w:szCs w:val="30"/>
            </w:rPr>
            <w:fldChar w:fldCharType="end"/>
          </w:r>
        </w:p>
        <w:p w14:paraId="7301AE8E">
          <w:pPr>
            <w:pStyle w:val="2"/>
            <w:tabs>
              <w:tab w:val="right" w:leader="dot" w:pos="10110"/>
            </w:tabs>
            <w:spacing w:before="190" w:line="185" w:lineRule="auto"/>
            <w:ind w:left="2243"/>
            <w:rPr>
              <w:sz w:val="24"/>
              <w:szCs w:val="24"/>
            </w:rPr>
          </w:pPr>
          <w:r>
            <w:fldChar w:fldCharType="begin"/>
          </w:r>
          <w:r>
            <w:instrText xml:space="preserve">HYPERLINK\l"bookmark66"</w:instrText>
          </w:r>
          <w:r>
            <w:fldChar w:fldCharType="separate"/>
          </w:r>
          <w:r>
            <w:rPr>
              <w:b/>
              <w:bCs/>
              <w:color w:val="0070C0"/>
              <w:spacing w:val="-23"/>
              <w:sz w:val="21"/>
              <w:szCs w:val="21"/>
            </w:rPr>
            <w:t>第一节、安全生产目标计划</w:t>
          </w:r>
          <w:r>
            <w:rPr>
              <w:color w:val="0070C0"/>
              <w:sz w:val="21"/>
              <w:szCs w:val="21"/>
              <w14:textOutline w14:w="4356" w14:cap="flat" w14:cmpd="sng">
                <w14:solidFill>
                  <w14:srgbClr w14:val="0070C0"/>
                </w14:solidFill>
                <w14:prstDash w14:val="solid"/>
                <w14:miter w14:val="0"/>
              </w14:textOutline>
            </w:rPr>
            <w:tab/>
          </w:r>
          <w:r>
            <w:rPr>
              <w:b/>
              <w:bCs/>
              <w:color w:val="0070C0"/>
              <w:spacing w:val="-13"/>
              <w:sz w:val="24"/>
              <w:szCs w:val="24"/>
            </w:rPr>
            <w:t>177</w:t>
          </w:r>
          <w:r>
            <w:rPr>
              <w:b/>
              <w:bCs/>
              <w:color w:val="0070C0"/>
              <w:spacing w:val="-13"/>
              <w:sz w:val="24"/>
              <w:szCs w:val="24"/>
            </w:rPr>
            <w:fldChar w:fldCharType="end"/>
          </w:r>
        </w:p>
        <w:p w14:paraId="361425A0">
          <w:pPr>
            <w:pStyle w:val="2"/>
            <w:tabs>
              <w:tab w:val="right" w:leader="dot" w:pos="10110"/>
            </w:tabs>
            <w:spacing w:before="201" w:line="185" w:lineRule="auto"/>
            <w:ind w:left="2243"/>
            <w:rPr>
              <w:sz w:val="24"/>
              <w:szCs w:val="24"/>
            </w:rPr>
          </w:pPr>
          <w:r>
            <w:fldChar w:fldCharType="begin"/>
          </w:r>
          <w:r>
            <w:instrText xml:space="preserve">HYPERLINK\l"bookmark67"</w:instrText>
          </w:r>
          <w:r>
            <w:fldChar w:fldCharType="separate"/>
          </w:r>
          <w:r>
            <w:rPr>
              <w:b/>
              <w:bCs/>
              <w:color w:val="0070C0"/>
              <w:spacing w:val="-23"/>
              <w:sz w:val="21"/>
              <w:szCs w:val="21"/>
            </w:rPr>
            <w:t>第二节、针对于本项目安全生产管理体系</w:t>
          </w:r>
          <w:r>
            <w:rPr>
              <w:b/>
              <w:bCs/>
              <w:color w:val="0070C0"/>
              <w:sz w:val="21"/>
              <w:szCs w:val="21"/>
              <w14:textOutline w14:w="4356" w14:cap="flat" w14:cmpd="sng">
                <w14:solidFill>
                  <w14:srgbClr w14:val="0070C0"/>
                </w14:solidFill>
                <w14:prstDash w14:val="solid"/>
                <w14:miter w14:val="0"/>
              </w14:textOutline>
            </w:rPr>
            <w:tab/>
          </w:r>
          <w:r>
            <w:rPr>
              <w:b/>
              <w:bCs/>
              <w:color w:val="0070C0"/>
              <w:spacing w:val="-13"/>
              <w:sz w:val="24"/>
              <w:szCs w:val="24"/>
            </w:rPr>
            <w:t>178</w:t>
          </w:r>
          <w:r>
            <w:rPr>
              <w:b/>
              <w:bCs/>
              <w:color w:val="0070C0"/>
              <w:spacing w:val="-13"/>
              <w:sz w:val="24"/>
              <w:szCs w:val="24"/>
            </w:rPr>
            <w:fldChar w:fldCharType="end"/>
          </w:r>
        </w:p>
        <w:p w14:paraId="4EC0DCB5">
          <w:pPr>
            <w:pStyle w:val="2"/>
            <w:tabs>
              <w:tab w:val="right" w:leader="dot" w:pos="10110"/>
            </w:tabs>
            <w:spacing w:before="198" w:line="185" w:lineRule="auto"/>
            <w:ind w:left="2243"/>
            <w:rPr>
              <w:sz w:val="24"/>
              <w:szCs w:val="24"/>
            </w:rPr>
          </w:pPr>
          <w:r>
            <w:fldChar w:fldCharType="begin"/>
          </w:r>
          <w:r>
            <w:instrText xml:space="preserve">HYPERLINK\l"bookmark68"</w:instrText>
          </w:r>
          <w:r>
            <w:fldChar w:fldCharType="separate"/>
          </w:r>
          <w:r>
            <w:rPr>
              <w:b/>
              <w:bCs/>
              <w:color w:val="0070C0"/>
              <w:spacing w:val="-23"/>
              <w:sz w:val="21"/>
              <w:szCs w:val="21"/>
            </w:rPr>
            <w:t>第三节、针对于本项目安全管理工作的措施</w:t>
          </w:r>
          <w:r>
            <w:rPr>
              <w:color w:val="0070C0"/>
              <w:sz w:val="21"/>
              <w:szCs w:val="21"/>
              <w14:textOutline w14:w="4356" w14:cap="flat" w14:cmpd="sng">
                <w14:solidFill>
                  <w14:srgbClr w14:val="0070C0"/>
                </w14:solidFill>
                <w14:prstDash w14:val="solid"/>
                <w14:miter w14:val="0"/>
              </w14:textOutline>
            </w:rPr>
            <w:tab/>
          </w:r>
          <w:r>
            <w:rPr>
              <w:b/>
              <w:bCs/>
              <w:color w:val="0070C0"/>
              <w:spacing w:val="-13"/>
              <w:sz w:val="24"/>
              <w:szCs w:val="24"/>
            </w:rPr>
            <w:t>179</w:t>
          </w:r>
          <w:r>
            <w:rPr>
              <w:b/>
              <w:bCs/>
              <w:color w:val="0070C0"/>
              <w:spacing w:val="-13"/>
              <w:sz w:val="24"/>
              <w:szCs w:val="24"/>
            </w:rPr>
            <w:fldChar w:fldCharType="end"/>
          </w:r>
        </w:p>
        <w:p w14:paraId="037A4F3B">
          <w:pPr>
            <w:pStyle w:val="2"/>
            <w:tabs>
              <w:tab w:val="right" w:leader="dot" w:pos="10107"/>
            </w:tabs>
            <w:spacing w:before="199" w:line="185" w:lineRule="auto"/>
            <w:ind w:left="2516"/>
            <w:rPr>
              <w:sz w:val="24"/>
              <w:szCs w:val="24"/>
            </w:rPr>
          </w:pPr>
          <w:r>
            <w:fldChar w:fldCharType="begin"/>
          </w:r>
          <w:r>
            <w:instrText xml:space="preserve">HYPERLINK\l"bookmark69"</w:instrText>
          </w:r>
          <w:r>
            <w:fldChar w:fldCharType="separate"/>
          </w:r>
          <w:r>
            <w:rPr>
              <w:spacing w:val="-21"/>
              <w:sz w:val="21"/>
              <w:szCs w:val="21"/>
            </w:rPr>
            <w:t>一、加强对施工队伍的安全管理。</w:t>
          </w:r>
          <w:r>
            <w:rPr>
              <w:sz w:val="21"/>
              <w:szCs w:val="21"/>
            </w:rPr>
            <w:tab/>
          </w:r>
          <w:r>
            <w:rPr>
              <w:spacing w:val="-12"/>
              <w:sz w:val="24"/>
              <w:szCs w:val="24"/>
            </w:rPr>
            <w:t>179</w:t>
          </w:r>
          <w:r>
            <w:rPr>
              <w:spacing w:val="-12"/>
              <w:sz w:val="24"/>
              <w:szCs w:val="24"/>
            </w:rPr>
            <w:fldChar w:fldCharType="end"/>
          </w:r>
        </w:p>
        <w:p w14:paraId="53A0BF39">
          <w:pPr>
            <w:pStyle w:val="2"/>
            <w:tabs>
              <w:tab w:val="right" w:leader="dot" w:pos="10107"/>
            </w:tabs>
            <w:spacing w:before="201" w:line="185" w:lineRule="auto"/>
            <w:ind w:left="2519"/>
            <w:rPr>
              <w:sz w:val="24"/>
              <w:szCs w:val="24"/>
            </w:rPr>
          </w:pPr>
          <w:r>
            <w:fldChar w:fldCharType="begin"/>
          </w:r>
          <w:r>
            <w:instrText xml:space="preserve">HYPERLINK\l"bookmark70"</w:instrText>
          </w:r>
          <w:r>
            <w:fldChar w:fldCharType="separate"/>
          </w:r>
          <w:r>
            <w:rPr>
              <w:spacing w:val="-22"/>
              <w:sz w:val="21"/>
              <w:szCs w:val="21"/>
            </w:rPr>
            <w:t>二、施工场地必须封闭管理。</w:t>
          </w:r>
          <w:r>
            <w:rPr>
              <w:sz w:val="21"/>
              <w:szCs w:val="21"/>
            </w:rPr>
            <w:tab/>
          </w:r>
          <w:r>
            <w:rPr>
              <w:spacing w:val="-12"/>
              <w:sz w:val="24"/>
              <w:szCs w:val="24"/>
            </w:rPr>
            <w:t>179</w:t>
          </w:r>
          <w:r>
            <w:rPr>
              <w:spacing w:val="-12"/>
              <w:sz w:val="24"/>
              <w:szCs w:val="24"/>
            </w:rPr>
            <w:fldChar w:fldCharType="end"/>
          </w:r>
        </w:p>
        <w:p w14:paraId="74A0CF07">
          <w:pPr>
            <w:pStyle w:val="2"/>
            <w:tabs>
              <w:tab w:val="right" w:leader="dot" w:pos="10107"/>
            </w:tabs>
            <w:spacing w:before="199" w:line="185" w:lineRule="auto"/>
            <w:ind w:left="2518"/>
            <w:rPr>
              <w:sz w:val="24"/>
              <w:szCs w:val="24"/>
            </w:rPr>
          </w:pPr>
          <w:r>
            <w:fldChar w:fldCharType="begin"/>
          </w:r>
          <w:r>
            <w:instrText xml:space="preserve">HYPERLINK\l"bookmark71"</w:instrText>
          </w:r>
          <w:r>
            <w:fldChar w:fldCharType="separate"/>
          </w:r>
          <w:r>
            <w:rPr>
              <w:spacing w:val="-21"/>
              <w:sz w:val="21"/>
              <w:szCs w:val="21"/>
            </w:rPr>
            <w:t>三、对务工人员加强教育和管理。</w:t>
          </w:r>
          <w:r>
            <w:rPr>
              <w:sz w:val="21"/>
              <w:szCs w:val="21"/>
            </w:rPr>
            <w:tab/>
          </w:r>
          <w:r>
            <w:rPr>
              <w:spacing w:val="-12"/>
              <w:sz w:val="24"/>
              <w:szCs w:val="24"/>
            </w:rPr>
            <w:t>180</w:t>
          </w:r>
          <w:r>
            <w:rPr>
              <w:spacing w:val="-12"/>
              <w:sz w:val="24"/>
              <w:szCs w:val="24"/>
            </w:rPr>
            <w:fldChar w:fldCharType="end"/>
          </w:r>
        </w:p>
        <w:p w14:paraId="3395E38D">
          <w:pPr>
            <w:pStyle w:val="2"/>
            <w:tabs>
              <w:tab w:val="right" w:leader="dot" w:pos="10107"/>
            </w:tabs>
            <w:spacing w:before="199" w:line="185" w:lineRule="auto"/>
            <w:ind w:left="2537"/>
            <w:rPr>
              <w:sz w:val="24"/>
              <w:szCs w:val="24"/>
            </w:rPr>
          </w:pPr>
          <w:r>
            <w:fldChar w:fldCharType="begin"/>
          </w:r>
          <w:r>
            <w:instrText xml:space="preserve">HYPERLINK\l"bookmark72"</w:instrText>
          </w:r>
          <w:r>
            <w:fldChar w:fldCharType="separate"/>
          </w:r>
          <w:r>
            <w:rPr>
              <w:spacing w:val="-23"/>
              <w:sz w:val="21"/>
              <w:szCs w:val="21"/>
            </w:rPr>
            <w:t>四、加强施工车辆管理</w:t>
          </w:r>
          <w:r>
            <w:rPr>
              <w:sz w:val="21"/>
              <w:szCs w:val="21"/>
            </w:rPr>
            <w:tab/>
          </w:r>
          <w:r>
            <w:rPr>
              <w:spacing w:val="-12"/>
              <w:sz w:val="24"/>
              <w:szCs w:val="24"/>
            </w:rPr>
            <w:t>180</w:t>
          </w:r>
          <w:r>
            <w:rPr>
              <w:spacing w:val="-12"/>
              <w:sz w:val="24"/>
              <w:szCs w:val="24"/>
            </w:rPr>
            <w:fldChar w:fldCharType="end"/>
          </w:r>
        </w:p>
        <w:p w14:paraId="5835DAD6">
          <w:pPr>
            <w:pStyle w:val="2"/>
            <w:tabs>
              <w:tab w:val="right" w:leader="dot" w:pos="10107"/>
            </w:tabs>
            <w:spacing w:before="201" w:line="185" w:lineRule="auto"/>
            <w:ind w:left="2516"/>
            <w:rPr>
              <w:sz w:val="24"/>
              <w:szCs w:val="24"/>
            </w:rPr>
          </w:pPr>
          <w:r>
            <w:fldChar w:fldCharType="begin"/>
          </w:r>
          <w:r>
            <w:instrText xml:space="preserve">HYPERLINK\l"bookmark73"</w:instrText>
          </w:r>
          <w:r>
            <w:fldChar w:fldCharType="separate"/>
          </w:r>
          <w:r>
            <w:rPr>
              <w:spacing w:val="-21"/>
              <w:sz w:val="21"/>
              <w:szCs w:val="21"/>
            </w:rPr>
            <w:t>五、加强施工现场的安全管理</w:t>
          </w:r>
          <w:r>
            <w:rPr>
              <w:sz w:val="21"/>
              <w:szCs w:val="21"/>
            </w:rPr>
            <w:tab/>
          </w:r>
          <w:r>
            <w:rPr>
              <w:spacing w:val="-12"/>
              <w:sz w:val="24"/>
              <w:szCs w:val="24"/>
            </w:rPr>
            <w:t>181</w:t>
          </w:r>
          <w:r>
            <w:rPr>
              <w:spacing w:val="-12"/>
              <w:sz w:val="24"/>
              <w:szCs w:val="24"/>
            </w:rPr>
            <w:fldChar w:fldCharType="end"/>
          </w:r>
        </w:p>
        <w:p w14:paraId="18DFA445">
          <w:pPr>
            <w:pStyle w:val="2"/>
            <w:tabs>
              <w:tab w:val="right" w:leader="dot" w:pos="10107"/>
            </w:tabs>
            <w:spacing w:before="199" w:line="185" w:lineRule="auto"/>
            <w:ind w:left="2514"/>
            <w:rPr>
              <w:sz w:val="24"/>
              <w:szCs w:val="24"/>
            </w:rPr>
          </w:pPr>
          <w:r>
            <w:fldChar w:fldCharType="begin"/>
          </w:r>
          <w:r>
            <w:instrText xml:space="preserve">HYPERLINK\l"bookmark74"</w:instrText>
          </w:r>
          <w:r>
            <w:fldChar w:fldCharType="separate"/>
          </w:r>
          <w:r>
            <w:rPr>
              <w:spacing w:val="-22"/>
              <w:sz w:val="21"/>
              <w:szCs w:val="21"/>
            </w:rPr>
            <w:t>六、编制专项方案，将严格实行防尘降噪措施</w:t>
          </w:r>
          <w:r>
            <w:rPr>
              <w:sz w:val="21"/>
              <w:szCs w:val="21"/>
            </w:rPr>
            <w:tab/>
          </w:r>
          <w:r>
            <w:rPr>
              <w:spacing w:val="-12"/>
              <w:sz w:val="24"/>
              <w:szCs w:val="24"/>
            </w:rPr>
            <w:t>182</w:t>
          </w:r>
          <w:r>
            <w:rPr>
              <w:spacing w:val="-12"/>
              <w:sz w:val="24"/>
              <w:szCs w:val="24"/>
            </w:rPr>
            <w:fldChar w:fldCharType="end"/>
          </w:r>
        </w:p>
        <w:p w14:paraId="4D465AD2">
          <w:pPr>
            <w:pStyle w:val="2"/>
            <w:tabs>
              <w:tab w:val="right" w:leader="dot" w:pos="10110"/>
            </w:tabs>
            <w:spacing w:before="198" w:line="185" w:lineRule="auto"/>
            <w:ind w:left="2243"/>
            <w:rPr>
              <w:sz w:val="24"/>
              <w:szCs w:val="24"/>
            </w:rPr>
          </w:pPr>
          <w:r>
            <w:fldChar w:fldCharType="begin"/>
          </w:r>
          <w:r>
            <w:instrText xml:space="preserve">HYPERLINK\l"bookmark75"</w:instrText>
          </w:r>
          <w:r>
            <w:fldChar w:fldCharType="separate"/>
          </w:r>
          <w:r>
            <w:rPr>
              <w:b/>
              <w:bCs/>
              <w:color w:val="0070C0"/>
              <w:spacing w:val="-23"/>
              <w:sz w:val="21"/>
              <w:szCs w:val="21"/>
            </w:rPr>
            <w:t>第四节、施工现场安全规范管理</w:t>
          </w:r>
          <w:r>
            <w:rPr>
              <w:b/>
              <w:bCs/>
              <w:color w:val="0070C0"/>
              <w:sz w:val="21"/>
              <w:szCs w:val="21"/>
              <w14:textOutline w14:w="4356" w14:cap="flat" w14:cmpd="sng">
                <w14:solidFill>
                  <w14:srgbClr w14:val="0070C0"/>
                </w14:solidFill>
                <w14:prstDash w14:val="solid"/>
                <w14:miter w14:val="0"/>
              </w14:textOutline>
            </w:rPr>
            <w:tab/>
          </w:r>
          <w:r>
            <w:rPr>
              <w:b/>
              <w:bCs/>
              <w:color w:val="0070C0"/>
              <w:spacing w:val="-13"/>
              <w:sz w:val="24"/>
              <w:szCs w:val="24"/>
            </w:rPr>
            <w:t>182</w:t>
          </w:r>
          <w:r>
            <w:rPr>
              <w:b/>
              <w:bCs/>
              <w:color w:val="0070C0"/>
              <w:spacing w:val="-13"/>
              <w:sz w:val="24"/>
              <w:szCs w:val="24"/>
            </w:rPr>
            <w:fldChar w:fldCharType="end"/>
          </w:r>
        </w:p>
        <w:p w14:paraId="25919DA8">
          <w:pPr>
            <w:pStyle w:val="2"/>
            <w:tabs>
              <w:tab w:val="right" w:leader="dot" w:pos="10107"/>
            </w:tabs>
            <w:spacing w:before="201" w:line="185" w:lineRule="auto"/>
            <w:ind w:left="2516"/>
            <w:rPr>
              <w:sz w:val="24"/>
              <w:szCs w:val="24"/>
            </w:rPr>
          </w:pPr>
          <w:r>
            <w:fldChar w:fldCharType="begin"/>
          </w:r>
          <w:r>
            <w:instrText xml:space="preserve">HYPERLINK\l"bookmark76"</w:instrText>
          </w:r>
          <w:r>
            <w:fldChar w:fldCharType="separate"/>
          </w:r>
          <w:r>
            <w:rPr>
              <w:spacing w:val="-23"/>
              <w:sz w:val="21"/>
              <w:szCs w:val="21"/>
            </w:rPr>
            <w:t>一、生活区</w:t>
          </w:r>
          <w:r>
            <w:rPr>
              <w:sz w:val="21"/>
              <w:szCs w:val="21"/>
            </w:rPr>
            <w:tab/>
          </w:r>
          <w:r>
            <w:rPr>
              <w:spacing w:val="-12"/>
              <w:sz w:val="24"/>
              <w:szCs w:val="24"/>
            </w:rPr>
            <w:t>182</w:t>
          </w:r>
          <w:r>
            <w:rPr>
              <w:spacing w:val="-12"/>
              <w:sz w:val="24"/>
              <w:szCs w:val="24"/>
            </w:rPr>
            <w:fldChar w:fldCharType="end"/>
          </w:r>
        </w:p>
        <w:p w14:paraId="019BDEC8">
          <w:pPr>
            <w:pStyle w:val="2"/>
            <w:tabs>
              <w:tab w:val="right" w:leader="dot" w:pos="10107"/>
            </w:tabs>
            <w:spacing w:before="199" w:line="185" w:lineRule="auto"/>
            <w:ind w:left="2519"/>
            <w:rPr>
              <w:sz w:val="24"/>
              <w:szCs w:val="24"/>
            </w:rPr>
          </w:pPr>
          <w:r>
            <w:fldChar w:fldCharType="begin"/>
          </w:r>
          <w:r>
            <w:instrText xml:space="preserve">HYPERLINK\l"bookmark77"</w:instrText>
          </w:r>
          <w:r>
            <w:fldChar w:fldCharType="separate"/>
          </w:r>
          <w:r>
            <w:rPr>
              <w:spacing w:val="-21"/>
              <w:sz w:val="21"/>
              <w:szCs w:val="21"/>
            </w:rPr>
            <w:t>二、场容场貌</w:t>
          </w:r>
          <w:r>
            <w:rPr>
              <w:sz w:val="21"/>
              <w:szCs w:val="21"/>
            </w:rPr>
            <w:tab/>
          </w:r>
          <w:r>
            <w:rPr>
              <w:spacing w:val="-12"/>
              <w:sz w:val="24"/>
              <w:szCs w:val="24"/>
            </w:rPr>
            <w:t>182</w:t>
          </w:r>
          <w:r>
            <w:rPr>
              <w:spacing w:val="-12"/>
              <w:sz w:val="24"/>
              <w:szCs w:val="24"/>
            </w:rPr>
            <w:fldChar w:fldCharType="end"/>
          </w:r>
        </w:p>
        <w:p w14:paraId="18155216">
          <w:pPr>
            <w:pStyle w:val="2"/>
            <w:tabs>
              <w:tab w:val="right" w:leader="dot" w:pos="10107"/>
            </w:tabs>
            <w:spacing w:before="199" w:line="185" w:lineRule="auto"/>
            <w:ind w:left="2518"/>
            <w:rPr>
              <w:sz w:val="24"/>
              <w:szCs w:val="24"/>
            </w:rPr>
          </w:pPr>
          <w:r>
            <w:fldChar w:fldCharType="begin"/>
          </w:r>
          <w:r>
            <w:instrText xml:space="preserve">HYPERLINK\l"bookmark78"</w:instrText>
          </w:r>
          <w:r>
            <w:fldChar w:fldCharType="separate"/>
          </w:r>
          <w:r>
            <w:rPr>
              <w:spacing w:val="-21"/>
              <w:sz w:val="21"/>
              <w:szCs w:val="21"/>
            </w:rPr>
            <w:t>三、标牌标识</w:t>
          </w:r>
          <w:r>
            <w:rPr>
              <w:sz w:val="21"/>
              <w:szCs w:val="21"/>
            </w:rPr>
            <w:tab/>
          </w:r>
          <w:r>
            <w:rPr>
              <w:spacing w:val="-12"/>
              <w:sz w:val="24"/>
              <w:szCs w:val="24"/>
            </w:rPr>
            <w:t>183</w:t>
          </w:r>
          <w:r>
            <w:rPr>
              <w:spacing w:val="-12"/>
              <w:sz w:val="24"/>
              <w:szCs w:val="24"/>
            </w:rPr>
            <w:fldChar w:fldCharType="end"/>
          </w:r>
        </w:p>
        <w:p w14:paraId="36784E91">
          <w:pPr>
            <w:pStyle w:val="2"/>
            <w:tabs>
              <w:tab w:val="right" w:leader="dot" w:pos="10107"/>
            </w:tabs>
            <w:spacing w:before="201" w:line="185" w:lineRule="auto"/>
            <w:ind w:left="2537"/>
            <w:rPr>
              <w:sz w:val="24"/>
              <w:szCs w:val="24"/>
            </w:rPr>
          </w:pPr>
          <w:r>
            <w:fldChar w:fldCharType="begin"/>
          </w:r>
          <w:r>
            <w:instrText xml:space="preserve">HYPERLINK\l"bookmark79"</w:instrText>
          </w:r>
          <w:r>
            <w:fldChar w:fldCharType="separate"/>
          </w:r>
          <w:r>
            <w:rPr>
              <w:spacing w:val="-24"/>
              <w:sz w:val="21"/>
              <w:szCs w:val="21"/>
            </w:rPr>
            <w:t>四、作业条件环境保护</w:t>
          </w:r>
          <w:r>
            <w:rPr>
              <w:sz w:val="21"/>
              <w:szCs w:val="21"/>
            </w:rPr>
            <w:tab/>
          </w:r>
          <w:r>
            <w:rPr>
              <w:spacing w:val="-12"/>
              <w:sz w:val="24"/>
              <w:szCs w:val="24"/>
            </w:rPr>
            <w:t>184</w:t>
          </w:r>
          <w:r>
            <w:rPr>
              <w:spacing w:val="-12"/>
              <w:sz w:val="24"/>
              <w:szCs w:val="24"/>
            </w:rPr>
            <w:fldChar w:fldCharType="end"/>
          </w:r>
        </w:p>
        <w:p w14:paraId="0D54BC2D">
          <w:pPr>
            <w:pStyle w:val="2"/>
            <w:tabs>
              <w:tab w:val="right" w:leader="dot" w:pos="10107"/>
            </w:tabs>
            <w:spacing w:before="199" w:line="185" w:lineRule="auto"/>
            <w:ind w:left="2516"/>
            <w:rPr>
              <w:sz w:val="24"/>
              <w:szCs w:val="24"/>
            </w:rPr>
          </w:pPr>
          <w:r>
            <w:fldChar w:fldCharType="begin"/>
          </w:r>
          <w:r>
            <w:instrText xml:space="preserve">HYPERLINK\l"bookmark80"</w:instrText>
          </w:r>
          <w:r>
            <w:fldChar w:fldCharType="separate"/>
          </w:r>
          <w:r>
            <w:rPr>
              <w:spacing w:val="-23"/>
              <w:sz w:val="21"/>
              <w:szCs w:val="21"/>
            </w:rPr>
            <w:t>五、防火防爆防毒</w:t>
          </w:r>
          <w:r>
            <w:rPr>
              <w:sz w:val="21"/>
              <w:szCs w:val="21"/>
            </w:rPr>
            <w:tab/>
          </w:r>
          <w:r>
            <w:rPr>
              <w:spacing w:val="-12"/>
              <w:sz w:val="24"/>
              <w:szCs w:val="24"/>
            </w:rPr>
            <w:t>185</w:t>
          </w:r>
          <w:r>
            <w:rPr>
              <w:spacing w:val="-12"/>
              <w:sz w:val="24"/>
              <w:szCs w:val="24"/>
            </w:rPr>
            <w:fldChar w:fldCharType="end"/>
          </w:r>
        </w:p>
        <w:p w14:paraId="472E426B">
          <w:pPr>
            <w:pStyle w:val="2"/>
            <w:tabs>
              <w:tab w:val="right" w:leader="dot" w:pos="10107"/>
            </w:tabs>
            <w:spacing w:before="199" w:line="185" w:lineRule="auto"/>
            <w:ind w:left="2514"/>
            <w:rPr>
              <w:sz w:val="24"/>
              <w:szCs w:val="24"/>
            </w:rPr>
          </w:pPr>
          <w:r>
            <w:fldChar w:fldCharType="begin"/>
          </w:r>
          <w:r>
            <w:instrText xml:space="preserve">HYPERLINK\l"bookmark81"</w:instrText>
          </w:r>
          <w:r>
            <w:fldChar w:fldCharType="separate"/>
          </w:r>
          <w:r>
            <w:rPr>
              <w:spacing w:val="-20"/>
              <w:sz w:val="21"/>
              <w:szCs w:val="21"/>
            </w:rPr>
            <w:t>六、施工组织设计与管理</w:t>
          </w:r>
          <w:r>
            <w:rPr>
              <w:sz w:val="21"/>
              <w:szCs w:val="21"/>
            </w:rPr>
            <w:tab/>
          </w:r>
          <w:r>
            <w:rPr>
              <w:spacing w:val="-12"/>
              <w:sz w:val="24"/>
              <w:szCs w:val="24"/>
            </w:rPr>
            <w:t>186</w:t>
          </w:r>
          <w:r>
            <w:rPr>
              <w:spacing w:val="-12"/>
              <w:sz w:val="24"/>
              <w:szCs w:val="24"/>
            </w:rPr>
            <w:fldChar w:fldCharType="end"/>
          </w:r>
        </w:p>
        <w:p w14:paraId="447AB04A">
          <w:pPr>
            <w:pStyle w:val="2"/>
            <w:tabs>
              <w:tab w:val="right" w:leader="dot" w:pos="10110"/>
            </w:tabs>
            <w:spacing w:before="201" w:line="185" w:lineRule="auto"/>
            <w:ind w:left="2243"/>
            <w:rPr>
              <w:sz w:val="24"/>
              <w:szCs w:val="24"/>
            </w:rPr>
          </w:pPr>
          <w:r>
            <w:fldChar w:fldCharType="begin"/>
          </w:r>
          <w:r>
            <w:instrText xml:space="preserve">HYPERLINK\l"bookmark82"</w:instrText>
          </w:r>
          <w:r>
            <w:fldChar w:fldCharType="separate"/>
          </w:r>
          <w:r>
            <w:rPr>
              <w:b/>
              <w:bCs/>
              <w:color w:val="0070C0"/>
              <w:spacing w:val="-23"/>
              <w:sz w:val="21"/>
              <w:szCs w:val="21"/>
            </w:rPr>
            <w:t>第五节、安全生产责任制</w:t>
          </w:r>
          <w:r>
            <w:rPr>
              <w:b/>
              <w:bCs/>
              <w:color w:val="0070C0"/>
              <w:sz w:val="21"/>
              <w:szCs w:val="21"/>
              <w14:textOutline w14:w="4356" w14:cap="flat" w14:cmpd="sng">
                <w14:solidFill>
                  <w14:srgbClr w14:val="0070C0"/>
                </w14:solidFill>
                <w14:prstDash w14:val="solid"/>
                <w14:miter w14:val="0"/>
              </w14:textOutline>
            </w:rPr>
            <w:tab/>
          </w:r>
          <w:r>
            <w:rPr>
              <w:b/>
              <w:bCs/>
              <w:color w:val="0070C0"/>
              <w:spacing w:val="-13"/>
              <w:sz w:val="24"/>
              <w:szCs w:val="24"/>
            </w:rPr>
            <w:t>186</w:t>
          </w:r>
          <w:r>
            <w:rPr>
              <w:b/>
              <w:bCs/>
              <w:color w:val="0070C0"/>
              <w:spacing w:val="-13"/>
              <w:sz w:val="24"/>
              <w:szCs w:val="24"/>
            </w:rPr>
            <w:fldChar w:fldCharType="end"/>
          </w:r>
        </w:p>
        <w:p w14:paraId="50CD932D">
          <w:pPr>
            <w:pStyle w:val="2"/>
            <w:tabs>
              <w:tab w:val="right" w:leader="dot" w:pos="10107"/>
            </w:tabs>
            <w:spacing w:before="198" w:line="185" w:lineRule="auto"/>
            <w:ind w:left="2516"/>
            <w:rPr>
              <w:sz w:val="24"/>
              <w:szCs w:val="24"/>
            </w:rPr>
          </w:pPr>
          <w:r>
            <w:fldChar w:fldCharType="begin"/>
          </w:r>
          <w:r>
            <w:instrText xml:space="preserve">HYPERLINK\l"bookmark83"</w:instrText>
          </w:r>
          <w:r>
            <w:fldChar w:fldCharType="separate"/>
          </w:r>
          <w:r>
            <w:rPr>
              <w:spacing w:val="-21"/>
              <w:sz w:val="21"/>
              <w:szCs w:val="21"/>
            </w:rPr>
            <w:t>一、安全生产责任制</w:t>
          </w:r>
          <w:r>
            <w:rPr>
              <w:sz w:val="21"/>
              <w:szCs w:val="21"/>
            </w:rPr>
            <w:tab/>
          </w:r>
          <w:r>
            <w:rPr>
              <w:spacing w:val="-13"/>
              <w:sz w:val="24"/>
              <w:szCs w:val="24"/>
            </w:rPr>
            <w:t>186</w:t>
          </w:r>
          <w:r>
            <w:rPr>
              <w:spacing w:val="-13"/>
              <w:sz w:val="24"/>
              <w:szCs w:val="24"/>
            </w:rPr>
            <w:fldChar w:fldCharType="end"/>
          </w:r>
        </w:p>
        <w:p w14:paraId="38E9E39E">
          <w:pPr>
            <w:pStyle w:val="2"/>
            <w:tabs>
              <w:tab w:val="right" w:leader="dot" w:pos="10107"/>
            </w:tabs>
            <w:spacing w:before="199" w:line="185" w:lineRule="auto"/>
            <w:ind w:left="2519"/>
            <w:rPr>
              <w:sz w:val="24"/>
              <w:szCs w:val="24"/>
            </w:rPr>
          </w:pPr>
          <w:r>
            <w:fldChar w:fldCharType="begin"/>
          </w:r>
          <w:r>
            <w:instrText xml:space="preserve">HYPERLINK\l"bookmark84"</w:instrText>
          </w:r>
          <w:r>
            <w:fldChar w:fldCharType="separate"/>
          </w:r>
          <w:r>
            <w:rPr>
              <w:spacing w:val="-22"/>
              <w:sz w:val="21"/>
              <w:szCs w:val="21"/>
            </w:rPr>
            <w:t>二、安全生产制度</w:t>
          </w:r>
          <w:r>
            <w:rPr>
              <w:sz w:val="21"/>
              <w:szCs w:val="21"/>
            </w:rPr>
            <w:tab/>
          </w:r>
          <w:r>
            <w:rPr>
              <w:spacing w:val="-12"/>
              <w:sz w:val="24"/>
              <w:szCs w:val="24"/>
            </w:rPr>
            <w:t>187</w:t>
          </w:r>
          <w:r>
            <w:rPr>
              <w:spacing w:val="-12"/>
              <w:sz w:val="24"/>
              <w:szCs w:val="24"/>
            </w:rPr>
            <w:fldChar w:fldCharType="end"/>
          </w:r>
        </w:p>
        <w:p w14:paraId="5C223C3F">
          <w:pPr>
            <w:pStyle w:val="2"/>
            <w:tabs>
              <w:tab w:val="right" w:leader="dot" w:pos="10110"/>
            </w:tabs>
            <w:spacing w:before="201" w:line="185" w:lineRule="auto"/>
            <w:ind w:left="2243"/>
            <w:rPr>
              <w:sz w:val="24"/>
              <w:szCs w:val="24"/>
            </w:rPr>
          </w:pPr>
          <w:r>
            <w:fldChar w:fldCharType="begin"/>
          </w:r>
          <w:r>
            <w:instrText xml:space="preserve">HYPERLINK\l"bookmark85"</w:instrText>
          </w:r>
          <w:r>
            <w:fldChar w:fldCharType="separate"/>
          </w:r>
          <w:r>
            <w:rPr>
              <w:b/>
              <w:bCs/>
              <w:color w:val="0070C0"/>
              <w:spacing w:val="-23"/>
              <w:sz w:val="21"/>
              <w:szCs w:val="21"/>
            </w:rPr>
            <w:t>第六节、确保安全施工的技术组织措施</w:t>
          </w:r>
          <w:r>
            <w:rPr>
              <w:b/>
              <w:bCs/>
              <w:color w:val="0070C0"/>
              <w:sz w:val="21"/>
              <w:szCs w:val="21"/>
              <w14:textOutline w14:w="4356" w14:cap="flat" w14:cmpd="sng">
                <w14:solidFill>
                  <w14:srgbClr w14:val="0070C0"/>
                </w14:solidFill>
                <w14:prstDash w14:val="solid"/>
                <w14:miter w14:val="0"/>
              </w14:textOutline>
            </w:rPr>
            <w:tab/>
          </w:r>
          <w:r>
            <w:rPr>
              <w:b/>
              <w:bCs/>
              <w:color w:val="0070C0"/>
              <w:spacing w:val="-13"/>
              <w:sz w:val="24"/>
              <w:szCs w:val="24"/>
            </w:rPr>
            <w:t>187</w:t>
          </w:r>
          <w:r>
            <w:rPr>
              <w:b/>
              <w:bCs/>
              <w:color w:val="0070C0"/>
              <w:spacing w:val="-13"/>
              <w:sz w:val="24"/>
              <w:szCs w:val="24"/>
            </w:rPr>
            <w:fldChar w:fldCharType="end"/>
          </w:r>
        </w:p>
        <w:p w14:paraId="3DF19E60">
          <w:pPr>
            <w:pStyle w:val="2"/>
            <w:tabs>
              <w:tab w:val="right" w:leader="dot" w:pos="10107"/>
            </w:tabs>
            <w:spacing w:before="199" w:line="185" w:lineRule="auto"/>
            <w:ind w:left="2516"/>
            <w:rPr>
              <w:sz w:val="24"/>
              <w:szCs w:val="24"/>
            </w:rPr>
          </w:pPr>
          <w:r>
            <w:fldChar w:fldCharType="begin"/>
          </w:r>
          <w:r>
            <w:instrText xml:space="preserve">HYPERLINK\l"bookmark86"</w:instrText>
          </w:r>
          <w:r>
            <w:fldChar w:fldCharType="separate"/>
          </w:r>
          <w:r>
            <w:rPr>
              <w:spacing w:val="-22"/>
              <w:sz w:val="21"/>
              <w:szCs w:val="21"/>
            </w:rPr>
            <w:t>一、工程施工阶段的防护措施</w:t>
          </w:r>
          <w:r>
            <w:rPr>
              <w:sz w:val="21"/>
              <w:szCs w:val="21"/>
            </w:rPr>
            <w:tab/>
          </w:r>
          <w:r>
            <w:rPr>
              <w:spacing w:val="-12"/>
              <w:sz w:val="24"/>
              <w:szCs w:val="24"/>
            </w:rPr>
            <w:t>187</w:t>
          </w:r>
          <w:r>
            <w:rPr>
              <w:spacing w:val="-12"/>
              <w:sz w:val="24"/>
              <w:szCs w:val="24"/>
            </w:rPr>
            <w:fldChar w:fldCharType="end"/>
          </w:r>
        </w:p>
        <w:p w14:paraId="00874D2D">
          <w:pPr>
            <w:pStyle w:val="2"/>
            <w:tabs>
              <w:tab w:val="right" w:leader="dot" w:pos="10107"/>
            </w:tabs>
            <w:spacing w:before="199" w:line="185" w:lineRule="auto"/>
            <w:ind w:left="2519"/>
            <w:rPr>
              <w:sz w:val="24"/>
              <w:szCs w:val="24"/>
            </w:rPr>
          </w:pPr>
          <w:r>
            <w:fldChar w:fldCharType="begin"/>
          </w:r>
          <w:r>
            <w:instrText xml:space="preserve">HYPERLINK\l"bookmark87"</w:instrText>
          </w:r>
          <w:r>
            <w:fldChar w:fldCharType="separate"/>
          </w:r>
          <w:r>
            <w:rPr>
              <w:spacing w:val="-22"/>
              <w:sz w:val="21"/>
              <w:szCs w:val="21"/>
            </w:rPr>
            <w:t>二、基坑支护及安全施工方案</w:t>
          </w:r>
          <w:r>
            <w:rPr>
              <w:sz w:val="21"/>
              <w:szCs w:val="21"/>
            </w:rPr>
            <w:tab/>
          </w:r>
          <w:r>
            <w:rPr>
              <w:spacing w:val="-12"/>
              <w:sz w:val="24"/>
              <w:szCs w:val="24"/>
            </w:rPr>
            <w:t>187</w:t>
          </w:r>
          <w:r>
            <w:rPr>
              <w:spacing w:val="-12"/>
              <w:sz w:val="24"/>
              <w:szCs w:val="24"/>
            </w:rPr>
            <w:fldChar w:fldCharType="end"/>
          </w:r>
        </w:p>
        <w:p w14:paraId="1AFB6356">
          <w:pPr>
            <w:pStyle w:val="2"/>
            <w:tabs>
              <w:tab w:val="right" w:leader="dot" w:pos="10107"/>
            </w:tabs>
            <w:spacing w:before="201" w:line="185" w:lineRule="auto"/>
            <w:ind w:left="2518"/>
            <w:rPr>
              <w:sz w:val="24"/>
              <w:szCs w:val="24"/>
            </w:rPr>
          </w:pPr>
          <w:r>
            <w:fldChar w:fldCharType="begin"/>
          </w:r>
          <w:r>
            <w:instrText xml:space="preserve">HYPERLINK\l"bookmark88"</w:instrText>
          </w:r>
          <w:r>
            <w:fldChar w:fldCharType="separate"/>
          </w:r>
          <w:r>
            <w:rPr>
              <w:spacing w:val="-23"/>
              <w:sz w:val="21"/>
              <w:szCs w:val="21"/>
            </w:rPr>
            <w:t>三、管线施工安全管理措施</w:t>
          </w:r>
          <w:r>
            <w:rPr>
              <w:sz w:val="21"/>
              <w:szCs w:val="21"/>
            </w:rPr>
            <w:tab/>
          </w:r>
          <w:r>
            <w:rPr>
              <w:spacing w:val="-12"/>
              <w:sz w:val="24"/>
              <w:szCs w:val="24"/>
            </w:rPr>
            <w:t>188</w:t>
          </w:r>
          <w:r>
            <w:rPr>
              <w:spacing w:val="-12"/>
              <w:sz w:val="24"/>
              <w:szCs w:val="24"/>
            </w:rPr>
            <w:fldChar w:fldCharType="end"/>
          </w:r>
        </w:p>
        <w:p w14:paraId="3B09E6B3">
          <w:pPr>
            <w:pStyle w:val="2"/>
            <w:tabs>
              <w:tab w:val="right" w:leader="dot" w:pos="10107"/>
            </w:tabs>
            <w:spacing w:before="199" w:line="185" w:lineRule="auto"/>
            <w:ind w:left="2537"/>
            <w:rPr>
              <w:sz w:val="24"/>
              <w:szCs w:val="24"/>
            </w:rPr>
          </w:pPr>
          <w:r>
            <w:fldChar w:fldCharType="begin"/>
          </w:r>
          <w:r>
            <w:instrText xml:space="preserve">HYPERLINK\l"bookmark89"</w:instrText>
          </w:r>
          <w:r>
            <w:fldChar w:fldCharType="separate"/>
          </w:r>
          <w:r>
            <w:rPr>
              <w:spacing w:val="-23"/>
              <w:sz w:val="21"/>
              <w:szCs w:val="21"/>
            </w:rPr>
            <w:t>四、焊缝检测安全技术组织措施</w:t>
          </w:r>
          <w:r>
            <w:rPr>
              <w:sz w:val="21"/>
              <w:szCs w:val="21"/>
            </w:rPr>
            <w:tab/>
          </w:r>
          <w:r>
            <w:rPr>
              <w:spacing w:val="-12"/>
              <w:sz w:val="24"/>
              <w:szCs w:val="24"/>
            </w:rPr>
            <w:t>188</w:t>
          </w:r>
          <w:r>
            <w:rPr>
              <w:spacing w:val="-12"/>
              <w:sz w:val="24"/>
              <w:szCs w:val="24"/>
            </w:rPr>
            <w:fldChar w:fldCharType="end"/>
          </w:r>
        </w:p>
        <w:p w14:paraId="3FD7B02A">
          <w:pPr>
            <w:pStyle w:val="2"/>
            <w:tabs>
              <w:tab w:val="right" w:leader="dot" w:pos="10107"/>
            </w:tabs>
            <w:spacing w:before="199" w:line="185" w:lineRule="auto"/>
            <w:ind w:left="2516"/>
            <w:rPr>
              <w:sz w:val="24"/>
              <w:szCs w:val="24"/>
            </w:rPr>
          </w:pPr>
          <w:r>
            <w:fldChar w:fldCharType="begin"/>
          </w:r>
          <w:r>
            <w:instrText xml:space="preserve">HYPERLINK\l"bookmark90"</w:instrText>
          </w:r>
          <w:r>
            <w:fldChar w:fldCharType="separate"/>
          </w:r>
          <w:r>
            <w:rPr>
              <w:spacing w:val="-22"/>
              <w:sz w:val="21"/>
              <w:szCs w:val="21"/>
            </w:rPr>
            <w:t>五、管道防腐管理措施</w:t>
          </w:r>
          <w:r>
            <w:rPr>
              <w:sz w:val="21"/>
              <w:szCs w:val="21"/>
            </w:rPr>
            <w:tab/>
          </w:r>
          <w:r>
            <w:rPr>
              <w:spacing w:val="-12"/>
              <w:sz w:val="24"/>
              <w:szCs w:val="24"/>
            </w:rPr>
            <w:t>189</w:t>
          </w:r>
          <w:r>
            <w:rPr>
              <w:spacing w:val="-12"/>
              <w:sz w:val="24"/>
              <w:szCs w:val="24"/>
            </w:rPr>
            <w:fldChar w:fldCharType="end"/>
          </w:r>
        </w:p>
        <w:p w14:paraId="6E0EFABE">
          <w:pPr>
            <w:pStyle w:val="2"/>
            <w:tabs>
              <w:tab w:val="right" w:leader="dot" w:pos="10107"/>
            </w:tabs>
            <w:spacing w:before="201" w:line="185" w:lineRule="auto"/>
            <w:ind w:left="2514"/>
            <w:rPr>
              <w:sz w:val="24"/>
              <w:szCs w:val="24"/>
            </w:rPr>
          </w:pPr>
          <w:r>
            <w:fldChar w:fldCharType="begin"/>
          </w:r>
          <w:r>
            <w:instrText xml:space="preserve">HYPERLINK\l"bookmark91"</w:instrText>
          </w:r>
          <w:r>
            <w:fldChar w:fldCharType="separate"/>
          </w:r>
          <w:r>
            <w:rPr>
              <w:spacing w:val="-21"/>
              <w:sz w:val="21"/>
              <w:szCs w:val="21"/>
            </w:rPr>
            <w:t>六、道路施工安全管理措施</w:t>
          </w:r>
          <w:r>
            <w:rPr>
              <w:sz w:val="21"/>
              <w:szCs w:val="21"/>
            </w:rPr>
            <w:tab/>
          </w:r>
          <w:r>
            <w:rPr>
              <w:spacing w:val="-12"/>
              <w:sz w:val="24"/>
              <w:szCs w:val="24"/>
            </w:rPr>
            <w:t>189</w:t>
          </w:r>
          <w:r>
            <w:rPr>
              <w:spacing w:val="-12"/>
              <w:sz w:val="24"/>
              <w:szCs w:val="24"/>
            </w:rPr>
            <w:fldChar w:fldCharType="end"/>
          </w:r>
        </w:p>
        <w:p w14:paraId="0F2B4917">
          <w:pPr>
            <w:pStyle w:val="2"/>
            <w:tabs>
              <w:tab w:val="right" w:leader="dot" w:pos="10107"/>
            </w:tabs>
            <w:spacing w:before="199" w:line="221" w:lineRule="auto"/>
            <w:ind w:left="2516"/>
            <w:rPr>
              <w:sz w:val="24"/>
              <w:szCs w:val="24"/>
            </w:rPr>
          </w:pPr>
          <w:r>
            <w:fldChar w:fldCharType="begin"/>
          </w:r>
          <w:r>
            <w:instrText xml:space="preserve">HYPERLINK\l"bookmark92"</w:instrText>
          </w:r>
          <w:r>
            <w:fldChar w:fldCharType="separate"/>
          </w:r>
          <w:r>
            <w:rPr>
              <w:spacing w:val="-21"/>
              <w:sz w:val="21"/>
              <w:szCs w:val="21"/>
            </w:rPr>
            <w:t>七、其它安全措施</w:t>
          </w:r>
          <w:r>
            <w:rPr>
              <w:sz w:val="21"/>
              <w:szCs w:val="21"/>
            </w:rPr>
            <w:tab/>
          </w:r>
          <w:r>
            <w:rPr>
              <w:spacing w:val="-12"/>
              <w:sz w:val="24"/>
              <w:szCs w:val="24"/>
            </w:rPr>
            <w:t>190</w:t>
          </w:r>
          <w:r>
            <w:rPr>
              <w:spacing w:val="-12"/>
              <w:sz w:val="24"/>
              <w:szCs w:val="24"/>
            </w:rPr>
            <w:fldChar w:fldCharType="end"/>
          </w:r>
        </w:p>
      </w:sdtContent>
    </w:sdt>
    <w:p w14:paraId="64B1389F">
      <w:pPr>
        <w:spacing w:line="221" w:lineRule="auto"/>
        <w:rPr>
          <w:sz w:val="24"/>
          <w:szCs w:val="24"/>
        </w:rPr>
        <w:sectPr>
          <w:footerReference r:id="rId10" w:type="default"/>
          <w:pgSz w:w="11907" w:h="16839"/>
          <w:pgMar w:top="1018" w:right="3" w:bottom="1179" w:left="0" w:header="562" w:footer="498" w:gutter="0"/>
          <w:pgBorders>
            <w:top w:val="none" w:sz="0" w:space="0"/>
            <w:left w:val="none" w:sz="0" w:space="0"/>
            <w:bottom w:val="none" w:sz="0" w:space="0"/>
            <w:right w:val="none" w:sz="0" w:space="0"/>
          </w:pgBorders>
          <w:cols w:space="720" w:num="1"/>
        </w:sectPr>
      </w:pPr>
    </w:p>
    <w:p w14:paraId="7459E6F8">
      <w:pPr>
        <w:spacing w:line="243" w:lineRule="auto"/>
        <w:rPr>
          <w:rFonts w:ascii="Arial"/>
          <w:sz w:val="21"/>
        </w:rPr>
      </w:pPr>
    </w:p>
    <w:p w14:paraId="02B8377B">
      <w:pPr>
        <w:spacing w:line="244" w:lineRule="auto"/>
        <w:rPr>
          <w:rFonts w:ascii="Arial"/>
          <w:sz w:val="21"/>
        </w:rPr>
      </w:pPr>
    </w:p>
    <w:sdt>
      <w:sdtPr>
        <w:rPr>
          <w:rFonts w:ascii="仿宋" w:hAnsi="仿宋" w:eastAsia="仿宋" w:cs="仿宋"/>
          <w:sz w:val="21"/>
          <w:szCs w:val="21"/>
        </w:rPr>
        <w:id w:val="147463794"/>
        <w:docPartObj>
          <w:docPartGallery w:val="Table of Contents"/>
          <w:docPartUnique/>
        </w:docPartObj>
      </w:sdtPr>
      <w:sdtEndPr>
        <w:rPr>
          <w:rFonts w:ascii="仿宋" w:hAnsi="仿宋" w:eastAsia="仿宋" w:cs="仿宋"/>
          <w:sz w:val="24"/>
          <w:szCs w:val="24"/>
        </w:rPr>
      </w:sdtEndPr>
      <w:sdtContent>
        <w:p w14:paraId="590B1958">
          <w:pPr>
            <w:pStyle w:val="2"/>
            <w:tabs>
              <w:tab w:val="right" w:leader="dot" w:pos="10110"/>
            </w:tabs>
            <w:spacing w:before="78" w:line="185" w:lineRule="auto"/>
            <w:ind w:left="2243"/>
            <w:rPr>
              <w:sz w:val="24"/>
              <w:szCs w:val="24"/>
            </w:rPr>
          </w:pPr>
          <w:r>
            <w:fldChar w:fldCharType="begin"/>
          </w:r>
          <w:r>
            <w:instrText xml:space="preserve">HYPERLINK\l"bookmark93"</w:instrText>
          </w:r>
          <w:r>
            <w:fldChar w:fldCharType="separate"/>
          </w:r>
          <w:r>
            <w:rPr>
              <w:b/>
              <w:bCs/>
              <w:color w:val="0070C0"/>
              <w:spacing w:val="-23"/>
              <w:sz w:val="21"/>
              <w:szCs w:val="21"/>
            </w:rPr>
            <w:t>第七节、安全保证承诺及措施</w:t>
          </w:r>
          <w:r>
            <w:rPr>
              <w:color w:val="0070C0"/>
              <w:sz w:val="21"/>
              <w:szCs w:val="21"/>
              <w14:textOutline w14:w="4356" w14:cap="flat" w14:cmpd="sng">
                <w14:solidFill>
                  <w14:srgbClr w14:val="0070C0"/>
                </w14:solidFill>
                <w14:prstDash w14:val="solid"/>
                <w14:miter w14:val="0"/>
              </w14:textOutline>
            </w:rPr>
            <w:tab/>
          </w:r>
          <w:r>
            <w:rPr>
              <w:b/>
              <w:bCs/>
              <w:color w:val="0070C0"/>
              <w:spacing w:val="-13"/>
              <w:sz w:val="24"/>
              <w:szCs w:val="24"/>
            </w:rPr>
            <w:t>191</w:t>
          </w:r>
          <w:r>
            <w:rPr>
              <w:b/>
              <w:bCs/>
              <w:color w:val="0070C0"/>
              <w:spacing w:val="-13"/>
              <w:sz w:val="24"/>
              <w:szCs w:val="24"/>
            </w:rPr>
            <w:fldChar w:fldCharType="end"/>
          </w:r>
        </w:p>
        <w:p w14:paraId="6EC46D42">
          <w:pPr>
            <w:pStyle w:val="2"/>
            <w:tabs>
              <w:tab w:val="right" w:leader="dot" w:pos="10107"/>
            </w:tabs>
            <w:spacing w:before="198" w:line="185" w:lineRule="auto"/>
            <w:ind w:left="2516"/>
            <w:rPr>
              <w:sz w:val="24"/>
              <w:szCs w:val="24"/>
            </w:rPr>
          </w:pPr>
          <w:r>
            <w:fldChar w:fldCharType="begin"/>
          </w:r>
          <w:r>
            <w:instrText xml:space="preserve">HYPERLINK\l"bookmark94"</w:instrText>
          </w:r>
          <w:r>
            <w:fldChar w:fldCharType="separate"/>
          </w:r>
          <w:r>
            <w:rPr>
              <w:spacing w:val="-21"/>
              <w:sz w:val="21"/>
              <w:szCs w:val="21"/>
            </w:rPr>
            <w:t>一、安全管理</w:t>
          </w:r>
          <w:r>
            <w:rPr>
              <w:sz w:val="21"/>
              <w:szCs w:val="21"/>
            </w:rPr>
            <w:tab/>
          </w:r>
          <w:r>
            <w:rPr>
              <w:spacing w:val="-12"/>
              <w:sz w:val="24"/>
              <w:szCs w:val="24"/>
            </w:rPr>
            <w:t>191</w:t>
          </w:r>
          <w:r>
            <w:rPr>
              <w:spacing w:val="-12"/>
              <w:sz w:val="24"/>
              <w:szCs w:val="24"/>
            </w:rPr>
            <w:fldChar w:fldCharType="end"/>
          </w:r>
        </w:p>
        <w:p w14:paraId="4166BE08">
          <w:pPr>
            <w:pStyle w:val="2"/>
            <w:tabs>
              <w:tab w:val="right" w:leader="dot" w:pos="10107"/>
            </w:tabs>
            <w:spacing w:before="201" w:line="185" w:lineRule="auto"/>
            <w:ind w:left="2519"/>
            <w:rPr>
              <w:sz w:val="24"/>
              <w:szCs w:val="24"/>
            </w:rPr>
          </w:pPr>
          <w:r>
            <w:fldChar w:fldCharType="begin"/>
          </w:r>
          <w:r>
            <w:instrText xml:space="preserve">HYPERLINK\l"bookmark95"</w:instrText>
          </w:r>
          <w:r>
            <w:fldChar w:fldCharType="separate"/>
          </w:r>
          <w:r>
            <w:rPr>
              <w:spacing w:val="-21"/>
              <w:sz w:val="21"/>
              <w:szCs w:val="21"/>
            </w:rPr>
            <w:t>二、施工用电</w:t>
          </w:r>
          <w:r>
            <w:rPr>
              <w:sz w:val="21"/>
              <w:szCs w:val="21"/>
            </w:rPr>
            <w:tab/>
          </w:r>
          <w:r>
            <w:rPr>
              <w:spacing w:val="-12"/>
              <w:sz w:val="24"/>
              <w:szCs w:val="24"/>
            </w:rPr>
            <w:t>193</w:t>
          </w:r>
          <w:r>
            <w:rPr>
              <w:spacing w:val="-12"/>
              <w:sz w:val="24"/>
              <w:szCs w:val="24"/>
            </w:rPr>
            <w:fldChar w:fldCharType="end"/>
          </w:r>
        </w:p>
        <w:p w14:paraId="438B2DBB">
          <w:pPr>
            <w:pStyle w:val="2"/>
            <w:tabs>
              <w:tab w:val="right" w:leader="dot" w:pos="10107"/>
            </w:tabs>
            <w:spacing w:before="198" w:line="185" w:lineRule="auto"/>
            <w:ind w:left="2518"/>
            <w:rPr>
              <w:sz w:val="24"/>
              <w:szCs w:val="24"/>
            </w:rPr>
          </w:pPr>
          <w:r>
            <w:fldChar w:fldCharType="begin"/>
          </w:r>
          <w:r>
            <w:instrText xml:space="preserve">HYPERLINK\l"bookmark96"</w:instrText>
          </w:r>
          <w:r>
            <w:fldChar w:fldCharType="separate"/>
          </w:r>
          <w:r>
            <w:rPr>
              <w:spacing w:val="-21"/>
              <w:sz w:val="21"/>
              <w:szCs w:val="21"/>
            </w:rPr>
            <w:t>三、“三宝”、“四口”与临边防护</w:t>
          </w:r>
          <w:r>
            <w:rPr>
              <w:sz w:val="21"/>
              <w:szCs w:val="21"/>
            </w:rPr>
            <w:tab/>
          </w:r>
          <w:r>
            <w:rPr>
              <w:spacing w:val="-12"/>
              <w:sz w:val="24"/>
              <w:szCs w:val="24"/>
            </w:rPr>
            <w:t>193</w:t>
          </w:r>
          <w:r>
            <w:rPr>
              <w:spacing w:val="-12"/>
              <w:sz w:val="24"/>
              <w:szCs w:val="24"/>
            </w:rPr>
            <w:fldChar w:fldCharType="end"/>
          </w:r>
        </w:p>
        <w:p w14:paraId="480482FD">
          <w:pPr>
            <w:pStyle w:val="2"/>
            <w:tabs>
              <w:tab w:val="right" w:leader="dot" w:pos="10110"/>
            </w:tabs>
            <w:spacing w:before="198" w:line="185" w:lineRule="auto"/>
            <w:ind w:left="2243"/>
            <w:rPr>
              <w:sz w:val="24"/>
              <w:szCs w:val="24"/>
            </w:rPr>
          </w:pPr>
          <w:r>
            <w:fldChar w:fldCharType="begin"/>
          </w:r>
          <w:r>
            <w:instrText xml:space="preserve">HYPERLINK\l"bookmark97"</w:instrText>
          </w:r>
          <w:r>
            <w:fldChar w:fldCharType="separate"/>
          </w:r>
          <w:r>
            <w:rPr>
              <w:b/>
              <w:bCs/>
              <w:color w:val="0070C0"/>
              <w:spacing w:val="-23"/>
              <w:sz w:val="21"/>
              <w:szCs w:val="21"/>
            </w:rPr>
            <w:t>第八节、火灾及应急响应措施</w:t>
          </w:r>
          <w:r>
            <w:rPr>
              <w:color w:val="0070C0"/>
              <w:sz w:val="21"/>
              <w:szCs w:val="21"/>
              <w14:textOutline w14:w="4356" w14:cap="flat" w14:cmpd="sng">
                <w14:solidFill>
                  <w14:srgbClr w14:val="0070C0"/>
                </w14:solidFill>
                <w14:prstDash w14:val="solid"/>
                <w14:miter w14:val="0"/>
              </w14:textOutline>
            </w:rPr>
            <w:tab/>
          </w:r>
          <w:r>
            <w:rPr>
              <w:b/>
              <w:bCs/>
              <w:color w:val="0070C0"/>
              <w:spacing w:val="-13"/>
              <w:sz w:val="24"/>
              <w:szCs w:val="24"/>
            </w:rPr>
            <w:t>194</w:t>
          </w:r>
          <w:r>
            <w:rPr>
              <w:b/>
              <w:bCs/>
              <w:color w:val="0070C0"/>
              <w:spacing w:val="-13"/>
              <w:sz w:val="24"/>
              <w:szCs w:val="24"/>
            </w:rPr>
            <w:fldChar w:fldCharType="end"/>
          </w:r>
        </w:p>
        <w:p w14:paraId="0ECAB454">
          <w:pPr>
            <w:pStyle w:val="2"/>
            <w:tabs>
              <w:tab w:val="right" w:leader="dot" w:pos="10107"/>
            </w:tabs>
            <w:spacing w:before="201" w:line="185" w:lineRule="auto"/>
            <w:ind w:left="2516"/>
            <w:rPr>
              <w:sz w:val="24"/>
              <w:szCs w:val="24"/>
            </w:rPr>
          </w:pPr>
          <w:r>
            <w:fldChar w:fldCharType="begin"/>
          </w:r>
          <w:r>
            <w:instrText xml:space="preserve">HYPERLINK\l"bookmark98"</w:instrText>
          </w:r>
          <w:r>
            <w:fldChar w:fldCharType="separate"/>
          </w:r>
          <w:r>
            <w:rPr>
              <w:spacing w:val="-21"/>
              <w:sz w:val="21"/>
              <w:szCs w:val="21"/>
            </w:rPr>
            <w:t>一、事故事件和紧急情况清单</w:t>
          </w:r>
          <w:r>
            <w:rPr>
              <w:sz w:val="21"/>
              <w:szCs w:val="21"/>
            </w:rPr>
            <w:tab/>
          </w:r>
          <w:r>
            <w:rPr>
              <w:spacing w:val="-12"/>
              <w:sz w:val="24"/>
              <w:szCs w:val="24"/>
            </w:rPr>
            <w:t>194</w:t>
          </w:r>
          <w:r>
            <w:rPr>
              <w:spacing w:val="-12"/>
              <w:sz w:val="24"/>
              <w:szCs w:val="24"/>
            </w:rPr>
            <w:fldChar w:fldCharType="end"/>
          </w:r>
        </w:p>
        <w:p w14:paraId="657C86EA">
          <w:pPr>
            <w:pStyle w:val="2"/>
            <w:tabs>
              <w:tab w:val="right" w:leader="dot" w:pos="10107"/>
            </w:tabs>
            <w:spacing w:before="199" w:line="185" w:lineRule="auto"/>
            <w:ind w:left="2519"/>
            <w:rPr>
              <w:sz w:val="24"/>
              <w:szCs w:val="24"/>
            </w:rPr>
          </w:pPr>
          <w:r>
            <w:fldChar w:fldCharType="begin"/>
          </w:r>
          <w:r>
            <w:instrText xml:space="preserve">HYPERLINK\l"bookmark99"</w:instrText>
          </w:r>
          <w:r>
            <w:fldChar w:fldCharType="separate"/>
          </w:r>
          <w:r>
            <w:rPr>
              <w:spacing w:val="-22"/>
              <w:sz w:val="21"/>
              <w:szCs w:val="21"/>
            </w:rPr>
            <w:t>二、应急期间组织机构及职责</w:t>
          </w:r>
          <w:r>
            <w:rPr>
              <w:sz w:val="21"/>
              <w:szCs w:val="21"/>
            </w:rPr>
            <w:tab/>
          </w:r>
          <w:r>
            <w:rPr>
              <w:spacing w:val="-12"/>
              <w:sz w:val="24"/>
              <w:szCs w:val="24"/>
            </w:rPr>
            <w:t>195</w:t>
          </w:r>
          <w:r>
            <w:rPr>
              <w:spacing w:val="-12"/>
              <w:sz w:val="24"/>
              <w:szCs w:val="24"/>
            </w:rPr>
            <w:fldChar w:fldCharType="end"/>
          </w:r>
        </w:p>
        <w:p w14:paraId="659EAEC5">
          <w:pPr>
            <w:pStyle w:val="2"/>
            <w:tabs>
              <w:tab w:val="right" w:leader="dot" w:pos="10107"/>
            </w:tabs>
            <w:spacing w:before="199" w:line="185" w:lineRule="auto"/>
            <w:ind w:left="2518"/>
            <w:rPr>
              <w:sz w:val="24"/>
              <w:szCs w:val="24"/>
            </w:rPr>
          </w:pPr>
          <w:r>
            <w:fldChar w:fldCharType="begin"/>
          </w:r>
          <w:r>
            <w:instrText xml:space="preserve">HYPERLINK\l"bookmark100"</w:instrText>
          </w:r>
          <w:r>
            <w:fldChar w:fldCharType="separate"/>
          </w:r>
          <w:r>
            <w:rPr>
              <w:spacing w:val="-21"/>
              <w:sz w:val="21"/>
              <w:szCs w:val="21"/>
            </w:rPr>
            <w:t>三、事故事件和紧急情况响应措施</w:t>
          </w:r>
          <w:r>
            <w:rPr>
              <w:sz w:val="21"/>
              <w:szCs w:val="21"/>
            </w:rPr>
            <w:tab/>
          </w:r>
          <w:r>
            <w:rPr>
              <w:spacing w:val="-8"/>
              <w:sz w:val="24"/>
              <w:szCs w:val="24"/>
            </w:rPr>
            <w:t>201</w:t>
          </w:r>
          <w:r>
            <w:rPr>
              <w:spacing w:val="-8"/>
              <w:sz w:val="24"/>
              <w:szCs w:val="24"/>
            </w:rPr>
            <w:fldChar w:fldCharType="end"/>
          </w:r>
        </w:p>
        <w:p w14:paraId="357F99D1">
          <w:pPr>
            <w:pStyle w:val="2"/>
            <w:tabs>
              <w:tab w:val="right" w:leader="dot" w:pos="10107"/>
            </w:tabs>
            <w:spacing w:before="201" w:line="185" w:lineRule="auto"/>
            <w:ind w:left="2537"/>
            <w:rPr>
              <w:sz w:val="24"/>
              <w:szCs w:val="24"/>
            </w:rPr>
          </w:pPr>
          <w:r>
            <w:fldChar w:fldCharType="begin"/>
          </w:r>
          <w:r>
            <w:instrText xml:space="preserve">HYPERLINK\l"bookmark101"</w:instrText>
          </w:r>
          <w:r>
            <w:fldChar w:fldCharType="separate"/>
          </w:r>
          <w:r>
            <w:rPr>
              <w:spacing w:val="-24"/>
              <w:sz w:val="21"/>
              <w:szCs w:val="21"/>
            </w:rPr>
            <w:t>四、安全管理组织计划</w:t>
          </w:r>
          <w:r>
            <w:rPr>
              <w:sz w:val="21"/>
              <w:szCs w:val="21"/>
            </w:rPr>
            <w:tab/>
          </w:r>
          <w:r>
            <w:rPr>
              <w:spacing w:val="-8"/>
              <w:sz w:val="24"/>
              <w:szCs w:val="24"/>
            </w:rPr>
            <w:t>205</w:t>
          </w:r>
          <w:r>
            <w:rPr>
              <w:spacing w:val="-8"/>
              <w:sz w:val="24"/>
              <w:szCs w:val="24"/>
            </w:rPr>
            <w:fldChar w:fldCharType="end"/>
          </w:r>
        </w:p>
        <w:p w14:paraId="202E3A9F">
          <w:pPr>
            <w:pStyle w:val="2"/>
            <w:tabs>
              <w:tab w:val="right" w:leader="dot" w:pos="10107"/>
            </w:tabs>
            <w:spacing w:before="199" w:line="185" w:lineRule="auto"/>
            <w:ind w:left="2516"/>
            <w:rPr>
              <w:sz w:val="24"/>
              <w:szCs w:val="24"/>
            </w:rPr>
          </w:pPr>
          <w:r>
            <w:fldChar w:fldCharType="begin"/>
          </w:r>
          <w:r>
            <w:instrText xml:space="preserve">HYPERLINK\l"bookmark102"</w:instrText>
          </w:r>
          <w:r>
            <w:fldChar w:fldCharType="separate"/>
          </w:r>
          <w:r>
            <w:rPr>
              <w:spacing w:val="-21"/>
              <w:sz w:val="21"/>
              <w:szCs w:val="21"/>
            </w:rPr>
            <w:t>五、安全检查制度</w:t>
          </w:r>
          <w:r>
            <w:rPr>
              <w:sz w:val="21"/>
              <w:szCs w:val="21"/>
            </w:rPr>
            <w:tab/>
          </w:r>
          <w:r>
            <w:rPr>
              <w:spacing w:val="-8"/>
              <w:sz w:val="24"/>
              <w:szCs w:val="24"/>
            </w:rPr>
            <w:t>207</w:t>
          </w:r>
          <w:r>
            <w:rPr>
              <w:spacing w:val="-8"/>
              <w:sz w:val="24"/>
              <w:szCs w:val="24"/>
            </w:rPr>
            <w:fldChar w:fldCharType="end"/>
          </w:r>
        </w:p>
        <w:p w14:paraId="48B07550">
          <w:pPr>
            <w:pStyle w:val="2"/>
            <w:tabs>
              <w:tab w:val="right" w:leader="dot" w:pos="10107"/>
            </w:tabs>
            <w:spacing w:before="199" w:line="185" w:lineRule="auto"/>
            <w:ind w:left="2514"/>
            <w:rPr>
              <w:sz w:val="24"/>
              <w:szCs w:val="24"/>
            </w:rPr>
          </w:pPr>
          <w:r>
            <w:fldChar w:fldCharType="begin"/>
          </w:r>
          <w:r>
            <w:instrText xml:space="preserve">HYPERLINK\l"bookmark103"</w:instrText>
          </w:r>
          <w:r>
            <w:fldChar w:fldCharType="separate"/>
          </w:r>
          <w:r>
            <w:rPr>
              <w:spacing w:val="-20"/>
              <w:sz w:val="21"/>
              <w:szCs w:val="21"/>
            </w:rPr>
            <w:t>六、安全教育</w:t>
          </w:r>
          <w:r>
            <w:rPr>
              <w:sz w:val="21"/>
              <w:szCs w:val="21"/>
            </w:rPr>
            <w:tab/>
          </w:r>
          <w:r>
            <w:rPr>
              <w:spacing w:val="-8"/>
              <w:sz w:val="24"/>
              <w:szCs w:val="24"/>
            </w:rPr>
            <w:t>208</w:t>
          </w:r>
          <w:r>
            <w:rPr>
              <w:spacing w:val="-8"/>
              <w:sz w:val="24"/>
              <w:szCs w:val="24"/>
            </w:rPr>
            <w:fldChar w:fldCharType="end"/>
          </w:r>
        </w:p>
        <w:p w14:paraId="4C2DE194">
          <w:pPr>
            <w:pStyle w:val="2"/>
            <w:tabs>
              <w:tab w:val="right" w:leader="dot" w:pos="10109"/>
            </w:tabs>
            <w:spacing w:before="149" w:line="185" w:lineRule="auto"/>
            <w:ind w:left="1823"/>
            <w:rPr>
              <w:sz w:val="30"/>
              <w:szCs w:val="30"/>
            </w:rPr>
          </w:pPr>
          <w:r>
            <w:fldChar w:fldCharType="begin"/>
          </w:r>
          <w:r>
            <w:instrText xml:space="preserve">HYPERLINK\l"bookmark104"</w:instrText>
          </w:r>
          <w:r>
            <w:fldChar w:fldCharType="separate"/>
          </w:r>
          <w:r>
            <w:rPr>
              <w:b/>
              <w:bCs/>
              <w:color w:val="7030A0"/>
              <w:spacing w:val="-23"/>
              <w:sz w:val="21"/>
              <w:szCs w:val="21"/>
            </w:rPr>
            <w:t>第四章、确保文明施工的技术组织措施</w:t>
          </w:r>
          <w:r>
            <w:rPr>
              <w:b/>
              <w:bCs/>
              <w:color w:val="7030A0"/>
              <w:sz w:val="21"/>
              <w:szCs w:val="21"/>
              <w14:textOutline w14:w="5448" w14:cap="flat" w14:cmpd="sng">
                <w14:solidFill>
                  <w14:srgbClr w14:val="7030A0"/>
                </w14:solidFill>
                <w14:prstDash w14:val="solid"/>
                <w14:miter w14:val="0"/>
              </w14:textOutline>
            </w:rPr>
            <w:tab/>
          </w:r>
          <w:r>
            <w:rPr>
              <w:b/>
              <w:bCs/>
              <w:color w:val="7030A0"/>
              <w:spacing w:val="-11"/>
              <w:sz w:val="30"/>
              <w:szCs w:val="30"/>
            </w:rPr>
            <w:t>209</w:t>
          </w:r>
          <w:r>
            <w:rPr>
              <w:b/>
              <w:bCs/>
              <w:color w:val="7030A0"/>
              <w:spacing w:val="-11"/>
              <w:sz w:val="30"/>
              <w:szCs w:val="30"/>
            </w:rPr>
            <w:fldChar w:fldCharType="end"/>
          </w:r>
        </w:p>
        <w:p w14:paraId="388CA98B">
          <w:pPr>
            <w:pStyle w:val="2"/>
            <w:tabs>
              <w:tab w:val="right" w:leader="dot" w:pos="10110"/>
            </w:tabs>
            <w:spacing w:before="191" w:line="185" w:lineRule="auto"/>
            <w:ind w:left="2243"/>
            <w:rPr>
              <w:sz w:val="24"/>
              <w:szCs w:val="24"/>
            </w:rPr>
          </w:pPr>
          <w:r>
            <w:fldChar w:fldCharType="begin"/>
          </w:r>
          <w:r>
            <w:instrText xml:space="preserve">HYPERLINK\l"bookmark105"</w:instrText>
          </w:r>
          <w:r>
            <w:fldChar w:fldCharType="separate"/>
          </w:r>
          <w:r>
            <w:rPr>
              <w:b/>
              <w:bCs/>
              <w:color w:val="0070C0"/>
              <w:spacing w:val="-23"/>
              <w:sz w:val="21"/>
              <w:szCs w:val="21"/>
            </w:rPr>
            <w:t>第一节、文明施工管理体系与措施</w:t>
          </w:r>
          <w:r>
            <w:rPr>
              <w:color w:val="0070C0"/>
              <w:sz w:val="21"/>
              <w:szCs w:val="21"/>
              <w14:textOutline w14:w="4356" w14:cap="flat" w14:cmpd="sng">
                <w14:solidFill>
                  <w14:srgbClr w14:val="0070C0"/>
                </w14:solidFill>
                <w14:prstDash w14:val="solid"/>
                <w14:miter w14:val="0"/>
              </w14:textOutline>
            </w:rPr>
            <w:tab/>
          </w:r>
          <w:r>
            <w:rPr>
              <w:b/>
              <w:bCs/>
              <w:color w:val="0070C0"/>
              <w:spacing w:val="-10"/>
              <w:sz w:val="24"/>
              <w:szCs w:val="24"/>
            </w:rPr>
            <w:t>209</w:t>
          </w:r>
          <w:r>
            <w:rPr>
              <w:b/>
              <w:bCs/>
              <w:color w:val="0070C0"/>
              <w:spacing w:val="-10"/>
              <w:sz w:val="24"/>
              <w:szCs w:val="24"/>
            </w:rPr>
            <w:fldChar w:fldCharType="end"/>
          </w:r>
        </w:p>
        <w:p w14:paraId="6D44263B">
          <w:pPr>
            <w:pStyle w:val="2"/>
            <w:tabs>
              <w:tab w:val="right" w:leader="dot" w:pos="10107"/>
            </w:tabs>
            <w:spacing w:before="198" w:line="185" w:lineRule="auto"/>
            <w:ind w:left="2516"/>
            <w:rPr>
              <w:sz w:val="24"/>
              <w:szCs w:val="24"/>
            </w:rPr>
          </w:pPr>
          <w:r>
            <w:fldChar w:fldCharType="begin"/>
          </w:r>
          <w:r>
            <w:instrText xml:space="preserve">HYPERLINK\l"bookmark106"</w:instrText>
          </w:r>
          <w:r>
            <w:fldChar w:fldCharType="separate"/>
          </w:r>
          <w:r>
            <w:rPr>
              <w:spacing w:val="-21"/>
              <w:sz w:val="21"/>
              <w:szCs w:val="21"/>
            </w:rPr>
            <w:t>一、文明施工目标</w:t>
          </w:r>
          <w:r>
            <w:rPr>
              <w:sz w:val="21"/>
              <w:szCs w:val="21"/>
            </w:rPr>
            <w:tab/>
          </w:r>
          <w:r>
            <w:rPr>
              <w:spacing w:val="-8"/>
              <w:sz w:val="24"/>
              <w:szCs w:val="24"/>
            </w:rPr>
            <w:t>209</w:t>
          </w:r>
          <w:r>
            <w:rPr>
              <w:spacing w:val="-8"/>
              <w:sz w:val="24"/>
              <w:szCs w:val="24"/>
            </w:rPr>
            <w:fldChar w:fldCharType="end"/>
          </w:r>
        </w:p>
        <w:p w14:paraId="18A9DA3E">
          <w:pPr>
            <w:pStyle w:val="2"/>
            <w:tabs>
              <w:tab w:val="right" w:leader="dot" w:pos="10107"/>
            </w:tabs>
            <w:spacing w:before="201" w:line="185" w:lineRule="auto"/>
            <w:ind w:left="2519"/>
            <w:rPr>
              <w:sz w:val="24"/>
              <w:szCs w:val="24"/>
            </w:rPr>
          </w:pPr>
          <w:r>
            <w:fldChar w:fldCharType="begin"/>
          </w:r>
          <w:r>
            <w:instrText xml:space="preserve">HYPERLINK\l"bookmark107"</w:instrText>
          </w:r>
          <w:r>
            <w:fldChar w:fldCharType="separate"/>
          </w:r>
          <w:r>
            <w:rPr>
              <w:spacing w:val="-22"/>
              <w:sz w:val="21"/>
              <w:szCs w:val="21"/>
            </w:rPr>
            <w:t>二、文明施工管理体系</w:t>
          </w:r>
          <w:r>
            <w:rPr>
              <w:sz w:val="21"/>
              <w:szCs w:val="21"/>
            </w:rPr>
            <w:tab/>
          </w:r>
          <w:r>
            <w:rPr>
              <w:spacing w:val="-8"/>
              <w:sz w:val="24"/>
              <w:szCs w:val="24"/>
            </w:rPr>
            <w:t>209</w:t>
          </w:r>
          <w:r>
            <w:rPr>
              <w:spacing w:val="-8"/>
              <w:sz w:val="24"/>
              <w:szCs w:val="24"/>
            </w:rPr>
            <w:fldChar w:fldCharType="end"/>
          </w:r>
        </w:p>
        <w:p w14:paraId="7BC3DA8A">
          <w:pPr>
            <w:pStyle w:val="2"/>
            <w:tabs>
              <w:tab w:val="right" w:leader="dot" w:pos="10107"/>
            </w:tabs>
            <w:spacing w:before="199" w:line="185" w:lineRule="auto"/>
            <w:ind w:left="2518"/>
            <w:rPr>
              <w:sz w:val="24"/>
              <w:szCs w:val="24"/>
            </w:rPr>
          </w:pPr>
          <w:r>
            <w:fldChar w:fldCharType="begin"/>
          </w:r>
          <w:r>
            <w:instrText xml:space="preserve">HYPERLINK\l"bookmark108"</w:instrText>
          </w:r>
          <w:r>
            <w:fldChar w:fldCharType="separate"/>
          </w:r>
          <w:r>
            <w:rPr>
              <w:spacing w:val="-22"/>
              <w:sz w:val="21"/>
              <w:szCs w:val="21"/>
            </w:rPr>
            <w:t>三、文明施工的重点难点分析</w:t>
          </w:r>
          <w:r>
            <w:rPr>
              <w:sz w:val="21"/>
              <w:szCs w:val="21"/>
            </w:rPr>
            <w:tab/>
          </w:r>
          <w:r>
            <w:rPr>
              <w:spacing w:val="-8"/>
              <w:sz w:val="24"/>
              <w:szCs w:val="24"/>
            </w:rPr>
            <w:t>211</w:t>
          </w:r>
          <w:r>
            <w:rPr>
              <w:spacing w:val="-8"/>
              <w:sz w:val="24"/>
              <w:szCs w:val="24"/>
            </w:rPr>
            <w:fldChar w:fldCharType="end"/>
          </w:r>
        </w:p>
        <w:p w14:paraId="487C079A">
          <w:pPr>
            <w:pStyle w:val="2"/>
            <w:tabs>
              <w:tab w:val="right" w:leader="dot" w:pos="10107"/>
            </w:tabs>
            <w:spacing w:before="199" w:line="185" w:lineRule="auto"/>
            <w:ind w:left="2537"/>
            <w:rPr>
              <w:sz w:val="24"/>
              <w:szCs w:val="24"/>
            </w:rPr>
          </w:pPr>
          <w:r>
            <w:fldChar w:fldCharType="begin"/>
          </w:r>
          <w:r>
            <w:instrText xml:space="preserve">HYPERLINK\l"bookmark109"</w:instrText>
          </w:r>
          <w:r>
            <w:fldChar w:fldCharType="separate"/>
          </w:r>
          <w:r>
            <w:rPr>
              <w:spacing w:val="-24"/>
              <w:sz w:val="21"/>
              <w:szCs w:val="21"/>
            </w:rPr>
            <w:t>四、文明施工措施</w:t>
          </w:r>
          <w:r>
            <w:rPr>
              <w:sz w:val="21"/>
              <w:szCs w:val="21"/>
            </w:rPr>
            <w:tab/>
          </w:r>
          <w:r>
            <w:rPr>
              <w:spacing w:val="-8"/>
              <w:sz w:val="24"/>
              <w:szCs w:val="24"/>
            </w:rPr>
            <w:t>212</w:t>
          </w:r>
          <w:r>
            <w:rPr>
              <w:spacing w:val="-8"/>
              <w:sz w:val="24"/>
              <w:szCs w:val="24"/>
            </w:rPr>
            <w:fldChar w:fldCharType="end"/>
          </w:r>
        </w:p>
        <w:p w14:paraId="56FCDC2A">
          <w:pPr>
            <w:pStyle w:val="2"/>
            <w:tabs>
              <w:tab w:val="right" w:leader="dot" w:pos="10107"/>
            </w:tabs>
            <w:spacing w:before="201" w:line="185" w:lineRule="auto"/>
            <w:ind w:left="2516"/>
            <w:rPr>
              <w:sz w:val="24"/>
              <w:szCs w:val="24"/>
            </w:rPr>
          </w:pPr>
          <w:r>
            <w:fldChar w:fldCharType="begin"/>
          </w:r>
          <w:r>
            <w:instrText xml:space="preserve">HYPERLINK\l"bookmark110"</w:instrText>
          </w:r>
          <w:r>
            <w:fldChar w:fldCharType="separate"/>
          </w:r>
          <w:r>
            <w:rPr>
              <w:spacing w:val="-21"/>
              <w:sz w:val="21"/>
              <w:szCs w:val="21"/>
            </w:rPr>
            <w:t>五、现场文明施工保证措施</w:t>
          </w:r>
          <w:r>
            <w:rPr>
              <w:sz w:val="21"/>
              <w:szCs w:val="21"/>
            </w:rPr>
            <w:tab/>
          </w:r>
          <w:r>
            <w:rPr>
              <w:spacing w:val="-8"/>
              <w:sz w:val="24"/>
              <w:szCs w:val="24"/>
            </w:rPr>
            <w:t>214</w:t>
          </w:r>
          <w:r>
            <w:rPr>
              <w:spacing w:val="-8"/>
              <w:sz w:val="24"/>
              <w:szCs w:val="24"/>
            </w:rPr>
            <w:fldChar w:fldCharType="end"/>
          </w:r>
        </w:p>
        <w:p w14:paraId="32484ED5">
          <w:pPr>
            <w:pStyle w:val="2"/>
            <w:tabs>
              <w:tab w:val="right" w:leader="dot" w:pos="10110"/>
            </w:tabs>
            <w:spacing w:before="199" w:line="185" w:lineRule="auto"/>
            <w:ind w:left="2243"/>
            <w:rPr>
              <w:sz w:val="24"/>
              <w:szCs w:val="24"/>
            </w:rPr>
          </w:pPr>
          <w:r>
            <w:fldChar w:fldCharType="begin"/>
          </w:r>
          <w:r>
            <w:instrText xml:space="preserve">HYPERLINK\l"bookmark111"</w:instrText>
          </w:r>
          <w:r>
            <w:fldChar w:fldCharType="separate"/>
          </w:r>
          <w:r>
            <w:rPr>
              <w:b/>
              <w:bCs/>
              <w:color w:val="0070C0"/>
              <w:spacing w:val="-23"/>
              <w:sz w:val="21"/>
              <w:szCs w:val="21"/>
            </w:rPr>
            <w:t>第二节、环境保护管理体系与措施</w:t>
          </w:r>
          <w:r>
            <w:rPr>
              <w:color w:val="0070C0"/>
              <w:sz w:val="21"/>
              <w:szCs w:val="21"/>
              <w14:textOutline w14:w="4356" w14:cap="flat" w14:cmpd="sng">
                <w14:solidFill>
                  <w14:srgbClr w14:val="0070C0"/>
                </w14:solidFill>
                <w14:prstDash w14:val="solid"/>
                <w14:miter w14:val="0"/>
              </w14:textOutline>
            </w:rPr>
            <w:tab/>
          </w:r>
          <w:r>
            <w:rPr>
              <w:b/>
              <w:bCs/>
              <w:color w:val="0070C0"/>
              <w:spacing w:val="-10"/>
              <w:sz w:val="24"/>
              <w:szCs w:val="24"/>
            </w:rPr>
            <w:t>219</w:t>
          </w:r>
          <w:r>
            <w:rPr>
              <w:b/>
              <w:bCs/>
              <w:color w:val="0070C0"/>
              <w:spacing w:val="-10"/>
              <w:sz w:val="24"/>
              <w:szCs w:val="24"/>
            </w:rPr>
            <w:fldChar w:fldCharType="end"/>
          </w:r>
        </w:p>
        <w:p w14:paraId="55D13AB8">
          <w:pPr>
            <w:pStyle w:val="2"/>
            <w:tabs>
              <w:tab w:val="right" w:leader="dot" w:pos="10107"/>
            </w:tabs>
            <w:spacing w:before="199" w:line="185" w:lineRule="auto"/>
            <w:ind w:left="2516"/>
            <w:rPr>
              <w:sz w:val="24"/>
              <w:szCs w:val="24"/>
            </w:rPr>
          </w:pPr>
          <w:r>
            <w:fldChar w:fldCharType="begin"/>
          </w:r>
          <w:r>
            <w:instrText xml:space="preserve">HYPERLINK\l"bookmark112"</w:instrText>
          </w:r>
          <w:r>
            <w:fldChar w:fldCharType="separate"/>
          </w:r>
          <w:r>
            <w:rPr>
              <w:spacing w:val="-21"/>
              <w:sz w:val="21"/>
              <w:szCs w:val="21"/>
            </w:rPr>
            <w:t>一、环境保护管理体系与制度</w:t>
          </w:r>
          <w:r>
            <w:rPr>
              <w:sz w:val="21"/>
              <w:szCs w:val="21"/>
            </w:rPr>
            <w:tab/>
          </w:r>
          <w:r>
            <w:rPr>
              <w:spacing w:val="-8"/>
              <w:sz w:val="24"/>
              <w:szCs w:val="24"/>
            </w:rPr>
            <w:t>219</w:t>
          </w:r>
          <w:r>
            <w:rPr>
              <w:spacing w:val="-8"/>
              <w:sz w:val="24"/>
              <w:szCs w:val="24"/>
            </w:rPr>
            <w:fldChar w:fldCharType="end"/>
          </w:r>
        </w:p>
        <w:p w14:paraId="4CA2DE50">
          <w:pPr>
            <w:pStyle w:val="2"/>
            <w:tabs>
              <w:tab w:val="right" w:leader="dot" w:pos="10107"/>
            </w:tabs>
            <w:spacing w:before="201" w:line="185" w:lineRule="auto"/>
            <w:ind w:left="2519"/>
            <w:rPr>
              <w:sz w:val="24"/>
              <w:szCs w:val="24"/>
            </w:rPr>
          </w:pPr>
          <w:r>
            <w:fldChar w:fldCharType="begin"/>
          </w:r>
          <w:r>
            <w:instrText xml:space="preserve">HYPERLINK\l"bookmark113"</w:instrText>
          </w:r>
          <w:r>
            <w:fldChar w:fldCharType="separate"/>
          </w:r>
          <w:r>
            <w:rPr>
              <w:spacing w:val="-21"/>
              <w:sz w:val="21"/>
              <w:szCs w:val="21"/>
            </w:rPr>
            <w:t>二、环境保护措施</w:t>
          </w:r>
          <w:r>
            <w:rPr>
              <w:sz w:val="21"/>
              <w:szCs w:val="21"/>
            </w:rPr>
            <w:tab/>
          </w:r>
          <w:r>
            <w:rPr>
              <w:spacing w:val="-8"/>
              <w:sz w:val="24"/>
              <w:szCs w:val="24"/>
            </w:rPr>
            <w:t>224</w:t>
          </w:r>
          <w:r>
            <w:rPr>
              <w:spacing w:val="-8"/>
              <w:sz w:val="24"/>
              <w:szCs w:val="24"/>
            </w:rPr>
            <w:fldChar w:fldCharType="end"/>
          </w:r>
        </w:p>
        <w:p w14:paraId="467BFEE6">
          <w:pPr>
            <w:pStyle w:val="2"/>
            <w:tabs>
              <w:tab w:val="right" w:leader="dot" w:pos="10107"/>
            </w:tabs>
            <w:spacing w:before="198" w:line="185" w:lineRule="auto"/>
            <w:ind w:left="2518"/>
            <w:rPr>
              <w:sz w:val="24"/>
              <w:szCs w:val="24"/>
            </w:rPr>
          </w:pPr>
          <w:r>
            <w:fldChar w:fldCharType="begin"/>
          </w:r>
          <w:r>
            <w:instrText xml:space="preserve">HYPERLINK\l"bookmark114"</w:instrText>
          </w:r>
          <w:r>
            <w:fldChar w:fldCharType="separate"/>
          </w:r>
          <w:r>
            <w:rPr>
              <w:spacing w:val="-21"/>
              <w:sz w:val="21"/>
              <w:szCs w:val="21"/>
            </w:rPr>
            <w:t>三、环境监测</w:t>
          </w:r>
          <w:r>
            <w:rPr>
              <w:sz w:val="21"/>
              <w:szCs w:val="21"/>
            </w:rPr>
            <w:tab/>
          </w:r>
          <w:r>
            <w:rPr>
              <w:spacing w:val="-8"/>
              <w:sz w:val="24"/>
              <w:szCs w:val="24"/>
            </w:rPr>
            <w:t>230</w:t>
          </w:r>
          <w:r>
            <w:rPr>
              <w:spacing w:val="-8"/>
              <w:sz w:val="24"/>
              <w:szCs w:val="24"/>
            </w:rPr>
            <w:fldChar w:fldCharType="end"/>
          </w:r>
        </w:p>
        <w:p w14:paraId="212421CE">
          <w:pPr>
            <w:pStyle w:val="2"/>
            <w:tabs>
              <w:tab w:val="right" w:leader="dot" w:pos="10107"/>
            </w:tabs>
            <w:spacing w:before="199" w:line="185" w:lineRule="auto"/>
            <w:ind w:left="2537"/>
            <w:rPr>
              <w:sz w:val="24"/>
              <w:szCs w:val="24"/>
            </w:rPr>
          </w:pPr>
          <w:r>
            <w:fldChar w:fldCharType="begin"/>
          </w:r>
          <w:r>
            <w:instrText xml:space="preserve">HYPERLINK\l"bookmark115"</w:instrText>
          </w:r>
          <w:r>
            <w:fldChar w:fldCharType="separate"/>
          </w:r>
          <w:r>
            <w:rPr>
              <w:spacing w:val="-23"/>
              <w:sz w:val="21"/>
              <w:szCs w:val="21"/>
            </w:rPr>
            <w:t>四、环境保护应急预案</w:t>
          </w:r>
          <w:r>
            <w:rPr>
              <w:sz w:val="21"/>
              <w:szCs w:val="21"/>
            </w:rPr>
            <w:tab/>
          </w:r>
          <w:r>
            <w:rPr>
              <w:spacing w:val="-8"/>
              <w:sz w:val="24"/>
              <w:szCs w:val="24"/>
            </w:rPr>
            <w:t>231</w:t>
          </w:r>
          <w:r>
            <w:rPr>
              <w:spacing w:val="-8"/>
              <w:sz w:val="24"/>
              <w:szCs w:val="24"/>
            </w:rPr>
            <w:fldChar w:fldCharType="end"/>
          </w:r>
        </w:p>
        <w:p w14:paraId="3FFEB57F">
          <w:pPr>
            <w:pStyle w:val="2"/>
            <w:tabs>
              <w:tab w:val="right" w:leader="dot" w:pos="10110"/>
            </w:tabs>
            <w:spacing w:before="201" w:line="185" w:lineRule="auto"/>
            <w:ind w:left="2243"/>
            <w:rPr>
              <w:sz w:val="24"/>
              <w:szCs w:val="24"/>
            </w:rPr>
          </w:pPr>
          <w:r>
            <w:fldChar w:fldCharType="begin"/>
          </w:r>
          <w:r>
            <w:instrText xml:space="preserve">HYPERLINK\l"bookmark116"</w:instrText>
          </w:r>
          <w:r>
            <w:fldChar w:fldCharType="separate"/>
          </w:r>
          <w:r>
            <w:rPr>
              <w:b/>
              <w:bCs/>
              <w:color w:val="0070C0"/>
              <w:spacing w:val="-23"/>
              <w:sz w:val="21"/>
              <w:szCs w:val="21"/>
            </w:rPr>
            <w:t>第三节、扬尘治理措施</w:t>
          </w:r>
          <w:r>
            <w:rPr>
              <w:b/>
              <w:bCs/>
              <w:color w:val="0070C0"/>
              <w:sz w:val="21"/>
              <w:szCs w:val="21"/>
              <w14:textOutline w14:w="4356" w14:cap="flat" w14:cmpd="sng">
                <w14:solidFill>
                  <w14:srgbClr w14:val="0070C0"/>
                </w14:solidFill>
                <w14:prstDash w14:val="solid"/>
                <w14:miter w14:val="0"/>
              </w14:textOutline>
            </w:rPr>
            <w:tab/>
          </w:r>
          <w:r>
            <w:rPr>
              <w:b/>
              <w:bCs/>
              <w:color w:val="0070C0"/>
              <w:spacing w:val="-10"/>
              <w:sz w:val="24"/>
              <w:szCs w:val="24"/>
            </w:rPr>
            <w:t>234</w:t>
          </w:r>
          <w:r>
            <w:rPr>
              <w:b/>
              <w:bCs/>
              <w:color w:val="0070C0"/>
              <w:spacing w:val="-10"/>
              <w:sz w:val="24"/>
              <w:szCs w:val="24"/>
            </w:rPr>
            <w:fldChar w:fldCharType="end"/>
          </w:r>
        </w:p>
        <w:p w14:paraId="15806624">
          <w:pPr>
            <w:pStyle w:val="2"/>
            <w:tabs>
              <w:tab w:val="right" w:leader="dot" w:pos="10107"/>
            </w:tabs>
            <w:spacing w:before="199" w:line="185" w:lineRule="auto"/>
            <w:ind w:left="2516"/>
            <w:rPr>
              <w:sz w:val="24"/>
              <w:szCs w:val="24"/>
            </w:rPr>
          </w:pPr>
          <w:r>
            <w:fldChar w:fldCharType="begin"/>
          </w:r>
          <w:r>
            <w:instrText xml:space="preserve">HYPERLINK\l"bookmark117"</w:instrText>
          </w:r>
          <w:r>
            <w:fldChar w:fldCharType="separate"/>
          </w:r>
          <w:r>
            <w:rPr>
              <w:spacing w:val="-21"/>
              <w:sz w:val="21"/>
              <w:szCs w:val="21"/>
            </w:rPr>
            <w:t>一、扬尘治理管理目标及体系</w:t>
          </w:r>
          <w:r>
            <w:rPr>
              <w:sz w:val="21"/>
              <w:szCs w:val="21"/>
            </w:rPr>
            <w:tab/>
          </w:r>
          <w:r>
            <w:rPr>
              <w:spacing w:val="-8"/>
              <w:sz w:val="24"/>
              <w:szCs w:val="24"/>
            </w:rPr>
            <w:t>234</w:t>
          </w:r>
          <w:r>
            <w:rPr>
              <w:spacing w:val="-8"/>
              <w:sz w:val="24"/>
              <w:szCs w:val="24"/>
            </w:rPr>
            <w:fldChar w:fldCharType="end"/>
          </w:r>
        </w:p>
        <w:p w14:paraId="11D80E8A">
          <w:pPr>
            <w:pStyle w:val="2"/>
            <w:tabs>
              <w:tab w:val="right" w:leader="dot" w:pos="10107"/>
            </w:tabs>
            <w:spacing w:before="199" w:line="185" w:lineRule="auto"/>
            <w:ind w:left="2519"/>
            <w:rPr>
              <w:sz w:val="24"/>
              <w:szCs w:val="24"/>
            </w:rPr>
          </w:pPr>
          <w:r>
            <w:fldChar w:fldCharType="begin"/>
          </w:r>
          <w:r>
            <w:instrText xml:space="preserve">HYPERLINK\l"bookmark118"</w:instrText>
          </w:r>
          <w:r>
            <w:fldChar w:fldCharType="separate"/>
          </w:r>
          <w:r>
            <w:rPr>
              <w:spacing w:val="-22"/>
              <w:sz w:val="21"/>
              <w:szCs w:val="21"/>
            </w:rPr>
            <w:t>二、扬尘治理管理制度和方针</w:t>
          </w:r>
          <w:r>
            <w:rPr>
              <w:sz w:val="21"/>
              <w:szCs w:val="21"/>
            </w:rPr>
            <w:tab/>
          </w:r>
          <w:r>
            <w:rPr>
              <w:spacing w:val="-8"/>
              <w:sz w:val="24"/>
              <w:szCs w:val="24"/>
            </w:rPr>
            <w:t>237</w:t>
          </w:r>
          <w:r>
            <w:rPr>
              <w:spacing w:val="-8"/>
              <w:sz w:val="24"/>
              <w:szCs w:val="24"/>
            </w:rPr>
            <w:fldChar w:fldCharType="end"/>
          </w:r>
        </w:p>
        <w:p w14:paraId="04A6C2AF">
          <w:pPr>
            <w:pStyle w:val="2"/>
            <w:tabs>
              <w:tab w:val="right" w:leader="dot" w:pos="10107"/>
            </w:tabs>
            <w:spacing w:before="201" w:line="185" w:lineRule="auto"/>
            <w:ind w:left="2518"/>
            <w:rPr>
              <w:sz w:val="24"/>
              <w:szCs w:val="24"/>
            </w:rPr>
          </w:pPr>
          <w:r>
            <w:fldChar w:fldCharType="begin"/>
          </w:r>
          <w:r>
            <w:instrText xml:space="preserve">HYPERLINK\l"bookmark119"</w:instrText>
          </w:r>
          <w:r>
            <w:fldChar w:fldCharType="separate"/>
          </w:r>
          <w:r>
            <w:rPr>
              <w:spacing w:val="-21"/>
              <w:sz w:val="21"/>
              <w:szCs w:val="21"/>
            </w:rPr>
            <w:t>三、扬尘治理措施</w:t>
          </w:r>
          <w:r>
            <w:rPr>
              <w:sz w:val="21"/>
              <w:szCs w:val="21"/>
            </w:rPr>
            <w:tab/>
          </w:r>
          <w:r>
            <w:rPr>
              <w:spacing w:val="-8"/>
              <w:sz w:val="24"/>
              <w:szCs w:val="24"/>
            </w:rPr>
            <w:t>240</w:t>
          </w:r>
          <w:r>
            <w:rPr>
              <w:spacing w:val="-8"/>
              <w:sz w:val="24"/>
              <w:szCs w:val="24"/>
            </w:rPr>
            <w:fldChar w:fldCharType="end"/>
          </w:r>
        </w:p>
        <w:p w14:paraId="3824BD41">
          <w:pPr>
            <w:pStyle w:val="2"/>
            <w:tabs>
              <w:tab w:val="right" w:leader="dot" w:pos="10110"/>
            </w:tabs>
            <w:spacing w:before="199" w:line="185" w:lineRule="auto"/>
            <w:ind w:left="2243"/>
            <w:rPr>
              <w:sz w:val="24"/>
              <w:szCs w:val="24"/>
            </w:rPr>
          </w:pPr>
          <w:r>
            <w:fldChar w:fldCharType="begin"/>
          </w:r>
          <w:r>
            <w:instrText xml:space="preserve">HYPERLINK\l"bookmark120"</w:instrText>
          </w:r>
          <w:r>
            <w:fldChar w:fldCharType="separate"/>
          </w:r>
          <w:r>
            <w:rPr>
              <w:b/>
              <w:bCs/>
              <w:color w:val="0070C0"/>
              <w:spacing w:val="-23"/>
              <w:sz w:val="21"/>
              <w:szCs w:val="21"/>
            </w:rPr>
            <w:t>第四节、针对农民工工资支付的保证措施及承诺</w:t>
          </w:r>
          <w:r>
            <w:rPr>
              <w:b/>
              <w:bCs/>
              <w:color w:val="0070C0"/>
              <w:sz w:val="21"/>
              <w:szCs w:val="21"/>
              <w14:textOutline w14:w="4356" w14:cap="flat" w14:cmpd="sng">
                <w14:solidFill>
                  <w14:srgbClr w14:val="0070C0"/>
                </w14:solidFill>
                <w14:prstDash w14:val="solid"/>
                <w14:miter w14:val="0"/>
              </w14:textOutline>
            </w:rPr>
            <w:tab/>
          </w:r>
          <w:r>
            <w:rPr>
              <w:b/>
              <w:bCs/>
              <w:color w:val="0070C0"/>
              <w:spacing w:val="-10"/>
              <w:sz w:val="24"/>
              <w:szCs w:val="24"/>
            </w:rPr>
            <w:t>241</w:t>
          </w:r>
          <w:r>
            <w:rPr>
              <w:b/>
              <w:bCs/>
              <w:color w:val="0070C0"/>
              <w:spacing w:val="-10"/>
              <w:sz w:val="24"/>
              <w:szCs w:val="24"/>
            </w:rPr>
            <w:fldChar w:fldCharType="end"/>
          </w:r>
        </w:p>
        <w:p w14:paraId="35CA43C6">
          <w:pPr>
            <w:pStyle w:val="2"/>
            <w:tabs>
              <w:tab w:val="right" w:leader="dot" w:pos="10107"/>
            </w:tabs>
            <w:spacing w:before="199" w:line="185" w:lineRule="auto"/>
            <w:ind w:left="2516"/>
            <w:rPr>
              <w:sz w:val="24"/>
              <w:szCs w:val="24"/>
            </w:rPr>
          </w:pPr>
          <w:r>
            <w:fldChar w:fldCharType="begin"/>
          </w:r>
          <w:r>
            <w:instrText xml:space="preserve">HYPERLINK\l"bookmark121"</w:instrText>
          </w:r>
          <w:r>
            <w:fldChar w:fldCharType="separate"/>
          </w:r>
          <w:r>
            <w:rPr>
              <w:spacing w:val="-22"/>
              <w:sz w:val="21"/>
              <w:szCs w:val="21"/>
            </w:rPr>
            <w:t>一、施工现场实行实名制管理、刷卡考勤制度措施</w:t>
          </w:r>
          <w:r>
            <w:rPr>
              <w:sz w:val="21"/>
              <w:szCs w:val="21"/>
            </w:rPr>
            <w:tab/>
          </w:r>
          <w:r>
            <w:rPr>
              <w:spacing w:val="-8"/>
              <w:sz w:val="24"/>
              <w:szCs w:val="24"/>
            </w:rPr>
            <w:t>241</w:t>
          </w:r>
          <w:r>
            <w:rPr>
              <w:spacing w:val="-8"/>
              <w:sz w:val="24"/>
              <w:szCs w:val="24"/>
            </w:rPr>
            <w:fldChar w:fldCharType="end"/>
          </w:r>
        </w:p>
        <w:p w14:paraId="4F5AA610">
          <w:pPr>
            <w:pStyle w:val="2"/>
            <w:tabs>
              <w:tab w:val="right" w:leader="dot" w:pos="10107"/>
            </w:tabs>
            <w:spacing w:before="201" w:line="185" w:lineRule="auto"/>
            <w:ind w:left="2519"/>
            <w:rPr>
              <w:sz w:val="24"/>
              <w:szCs w:val="24"/>
            </w:rPr>
          </w:pPr>
          <w:r>
            <w:fldChar w:fldCharType="begin"/>
          </w:r>
          <w:r>
            <w:instrText xml:space="preserve">HYPERLINK\l"bookmark122"</w:instrText>
          </w:r>
          <w:r>
            <w:fldChar w:fldCharType="separate"/>
          </w:r>
          <w:r>
            <w:rPr>
              <w:spacing w:val="-22"/>
              <w:sz w:val="21"/>
              <w:szCs w:val="21"/>
            </w:rPr>
            <w:t>二、农民工工资的保证措施</w:t>
          </w:r>
          <w:r>
            <w:rPr>
              <w:sz w:val="21"/>
              <w:szCs w:val="21"/>
            </w:rPr>
            <w:tab/>
          </w:r>
          <w:r>
            <w:rPr>
              <w:spacing w:val="-8"/>
              <w:sz w:val="24"/>
              <w:szCs w:val="24"/>
            </w:rPr>
            <w:t>242</w:t>
          </w:r>
          <w:r>
            <w:rPr>
              <w:spacing w:val="-8"/>
              <w:sz w:val="24"/>
              <w:szCs w:val="24"/>
            </w:rPr>
            <w:fldChar w:fldCharType="end"/>
          </w:r>
        </w:p>
        <w:p w14:paraId="6B5E70A8">
          <w:pPr>
            <w:pStyle w:val="2"/>
            <w:tabs>
              <w:tab w:val="right" w:leader="dot" w:pos="10107"/>
            </w:tabs>
            <w:spacing w:before="199" w:line="221" w:lineRule="auto"/>
            <w:ind w:left="2518"/>
            <w:rPr>
              <w:sz w:val="24"/>
              <w:szCs w:val="24"/>
            </w:rPr>
          </w:pPr>
          <w:r>
            <w:fldChar w:fldCharType="begin"/>
          </w:r>
          <w:r>
            <w:instrText xml:space="preserve">HYPERLINK\l"bookmark123"</w:instrText>
          </w:r>
          <w:r>
            <w:fldChar w:fldCharType="separate"/>
          </w:r>
          <w:r>
            <w:rPr>
              <w:spacing w:val="-22"/>
              <w:sz w:val="21"/>
              <w:szCs w:val="21"/>
            </w:rPr>
            <w:t>三、不拖欠农民工工资的承诺书</w:t>
          </w:r>
          <w:r>
            <w:rPr>
              <w:sz w:val="21"/>
              <w:szCs w:val="21"/>
            </w:rPr>
            <w:tab/>
          </w:r>
          <w:r>
            <w:rPr>
              <w:spacing w:val="-8"/>
              <w:sz w:val="24"/>
              <w:szCs w:val="24"/>
            </w:rPr>
            <w:t>243</w:t>
          </w:r>
          <w:r>
            <w:rPr>
              <w:spacing w:val="-8"/>
              <w:sz w:val="24"/>
              <w:szCs w:val="24"/>
            </w:rPr>
            <w:fldChar w:fldCharType="end"/>
          </w:r>
        </w:p>
      </w:sdtContent>
    </w:sdt>
    <w:p w14:paraId="7FC1B529">
      <w:pPr>
        <w:spacing w:line="221" w:lineRule="auto"/>
        <w:rPr>
          <w:sz w:val="24"/>
          <w:szCs w:val="24"/>
        </w:rPr>
        <w:sectPr>
          <w:footerReference r:id="rId11" w:type="default"/>
          <w:pgSz w:w="11907" w:h="16839"/>
          <w:pgMar w:top="1018" w:right="3" w:bottom="1179" w:left="0" w:header="562" w:footer="498" w:gutter="0"/>
          <w:pgBorders>
            <w:top w:val="none" w:sz="0" w:space="0"/>
            <w:left w:val="none" w:sz="0" w:space="0"/>
            <w:bottom w:val="none" w:sz="0" w:space="0"/>
            <w:right w:val="none" w:sz="0" w:space="0"/>
          </w:pgBorders>
          <w:cols w:space="720" w:num="1"/>
        </w:sectPr>
      </w:pPr>
    </w:p>
    <w:p w14:paraId="4B3964E6">
      <w:pPr>
        <w:spacing w:line="416" w:lineRule="auto"/>
        <w:rPr>
          <w:rFonts w:ascii="Arial"/>
          <w:sz w:val="21"/>
        </w:rPr>
      </w:pPr>
    </w:p>
    <w:sdt>
      <w:sdtPr>
        <w:rPr>
          <w:rFonts w:ascii="仿宋" w:hAnsi="仿宋" w:eastAsia="仿宋" w:cs="仿宋"/>
          <w:sz w:val="21"/>
          <w:szCs w:val="21"/>
        </w:rPr>
        <w:id w:val="147471579"/>
        <w:docPartObj>
          <w:docPartGallery w:val="Table of Contents"/>
          <w:docPartUnique/>
        </w:docPartObj>
      </w:sdtPr>
      <w:sdtEndPr>
        <w:rPr>
          <w:rFonts w:ascii="仿宋" w:hAnsi="仿宋" w:eastAsia="仿宋" w:cs="仿宋"/>
          <w:sz w:val="24"/>
          <w:szCs w:val="24"/>
        </w:rPr>
      </w:sdtEndPr>
      <w:sdtContent>
        <w:p w14:paraId="65C0FAA7">
          <w:pPr>
            <w:pStyle w:val="2"/>
            <w:tabs>
              <w:tab w:val="right" w:leader="dot" w:pos="10109"/>
            </w:tabs>
            <w:spacing w:before="98" w:line="185" w:lineRule="auto"/>
            <w:ind w:left="1823"/>
            <w:rPr>
              <w:sz w:val="30"/>
              <w:szCs w:val="30"/>
            </w:rPr>
          </w:pPr>
          <w:r>
            <w:fldChar w:fldCharType="begin"/>
          </w:r>
          <w:r>
            <w:instrText xml:space="preserve">HYPERLINK\l"bookmark124"</w:instrText>
          </w:r>
          <w:r>
            <w:fldChar w:fldCharType="separate"/>
          </w:r>
          <w:r>
            <w:rPr>
              <w:b/>
              <w:bCs/>
              <w:color w:val="7030A0"/>
              <w:spacing w:val="-23"/>
              <w:sz w:val="21"/>
              <w:szCs w:val="21"/>
            </w:rPr>
            <w:t>第五章、确保工程质量的技术组织措施</w:t>
          </w:r>
          <w:r>
            <w:rPr>
              <w:b/>
              <w:bCs/>
              <w:color w:val="7030A0"/>
              <w:sz w:val="21"/>
              <w:szCs w:val="21"/>
              <w14:textOutline w14:w="5448" w14:cap="flat" w14:cmpd="sng">
                <w14:solidFill>
                  <w14:srgbClr w14:val="7030A0"/>
                </w14:solidFill>
                <w14:prstDash w14:val="solid"/>
                <w14:miter w14:val="0"/>
              </w14:textOutline>
            </w:rPr>
            <w:tab/>
          </w:r>
          <w:r>
            <w:rPr>
              <w:b/>
              <w:bCs/>
              <w:color w:val="7030A0"/>
              <w:spacing w:val="-11"/>
              <w:sz w:val="30"/>
              <w:szCs w:val="30"/>
            </w:rPr>
            <w:t>244</w:t>
          </w:r>
          <w:r>
            <w:rPr>
              <w:b/>
              <w:bCs/>
              <w:color w:val="7030A0"/>
              <w:spacing w:val="-11"/>
              <w:sz w:val="30"/>
              <w:szCs w:val="30"/>
            </w:rPr>
            <w:fldChar w:fldCharType="end"/>
          </w:r>
        </w:p>
        <w:p w14:paraId="3F43DFDE">
          <w:pPr>
            <w:pStyle w:val="2"/>
            <w:tabs>
              <w:tab w:val="right" w:leader="dot" w:pos="10110"/>
            </w:tabs>
            <w:spacing w:before="190" w:line="185" w:lineRule="auto"/>
            <w:ind w:left="2243"/>
            <w:rPr>
              <w:sz w:val="24"/>
              <w:szCs w:val="24"/>
            </w:rPr>
          </w:pPr>
          <w:r>
            <w:fldChar w:fldCharType="begin"/>
          </w:r>
          <w:r>
            <w:instrText xml:space="preserve">HYPERLINK\l"bookmark125"</w:instrText>
          </w:r>
          <w:r>
            <w:fldChar w:fldCharType="separate"/>
          </w:r>
          <w:r>
            <w:rPr>
              <w:b/>
              <w:bCs/>
              <w:color w:val="0070C0"/>
              <w:spacing w:val="-23"/>
              <w:sz w:val="21"/>
              <w:szCs w:val="21"/>
            </w:rPr>
            <w:t>第一节、施工质量目标</w:t>
          </w:r>
          <w:r>
            <w:rPr>
              <w:b/>
              <w:bCs/>
              <w:color w:val="0070C0"/>
              <w:sz w:val="21"/>
              <w:szCs w:val="21"/>
              <w14:textOutline w14:w="4356" w14:cap="flat" w14:cmpd="sng">
                <w14:solidFill>
                  <w14:srgbClr w14:val="0070C0"/>
                </w14:solidFill>
                <w14:prstDash w14:val="solid"/>
                <w14:miter w14:val="0"/>
              </w14:textOutline>
            </w:rPr>
            <w:tab/>
          </w:r>
          <w:r>
            <w:rPr>
              <w:b/>
              <w:bCs/>
              <w:color w:val="0070C0"/>
              <w:spacing w:val="-10"/>
              <w:sz w:val="24"/>
              <w:szCs w:val="24"/>
            </w:rPr>
            <w:t>244</w:t>
          </w:r>
          <w:r>
            <w:rPr>
              <w:b/>
              <w:bCs/>
              <w:color w:val="0070C0"/>
              <w:spacing w:val="-10"/>
              <w:sz w:val="24"/>
              <w:szCs w:val="24"/>
            </w:rPr>
            <w:fldChar w:fldCharType="end"/>
          </w:r>
        </w:p>
        <w:p w14:paraId="28B1D0BA">
          <w:pPr>
            <w:pStyle w:val="2"/>
            <w:tabs>
              <w:tab w:val="right" w:leader="dot" w:pos="10107"/>
            </w:tabs>
            <w:spacing w:before="201" w:line="185" w:lineRule="auto"/>
            <w:ind w:left="2516"/>
            <w:rPr>
              <w:sz w:val="24"/>
              <w:szCs w:val="24"/>
            </w:rPr>
          </w:pPr>
          <w:r>
            <w:fldChar w:fldCharType="begin"/>
          </w:r>
          <w:r>
            <w:instrText xml:space="preserve">HYPERLINK\l"bookmark126"</w:instrText>
          </w:r>
          <w:r>
            <w:fldChar w:fldCharType="separate"/>
          </w:r>
          <w:r>
            <w:rPr>
              <w:spacing w:val="-21"/>
              <w:sz w:val="21"/>
              <w:szCs w:val="21"/>
            </w:rPr>
            <w:t>一、工程质量目标及承诺</w:t>
          </w:r>
          <w:r>
            <w:rPr>
              <w:sz w:val="21"/>
              <w:szCs w:val="21"/>
            </w:rPr>
            <w:tab/>
          </w:r>
          <w:r>
            <w:rPr>
              <w:spacing w:val="-8"/>
              <w:sz w:val="24"/>
              <w:szCs w:val="24"/>
            </w:rPr>
            <w:t>244</w:t>
          </w:r>
          <w:r>
            <w:rPr>
              <w:spacing w:val="-8"/>
              <w:sz w:val="24"/>
              <w:szCs w:val="24"/>
            </w:rPr>
            <w:fldChar w:fldCharType="end"/>
          </w:r>
        </w:p>
        <w:p w14:paraId="64F7EC48">
          <w:pPr>
            <w:pStyle w:val="2"/>
            <w:tabs>
              <w:tab w:val="right" w:leader="dot" w:pos="10107"/>
            </w:tabs>
            <w:spacing w:before="198" w:line="185" w:lineRule="auto"/>
            <w:ind w:left="2519"/>
            <w:rPr>
              <w:sz w:val="24"/>
              <w:szCs w:val="24"/>
            </w:rPr>
          </w:pPr>
          <w:r>
            <w:fldChar w:fldCharType="begin"/>
          </w:r>
          <w:r>
            <w:instrText xml:space="preserve">HYPERLINK\l"bookmark127"</w:instrText>
          </w:r>
          <w:r>
            <w:fldChar w:fldCharType="separate"/>
          </w:r>
          <w:r>
            <w:rPr>
              <w:spacing w:val="-22"/>
              <w:sz w:val="21"/>
              <w:szCs w:val="21"/>
            </w:rPr>
            <w:t>二、质量分项目标</w:t>
          </w:r>
          <w:r>
            <w:rPr>
              <w:sz w:val="21"/>
              <w:szCs w:val="21"/>
            </w:rPr>
            <w:tab/>
          </w:r>
          <w:r>
            <w:rPr>
              <w:spacing w:val="-8"/>
              <w:sz w:val="24"/>
              <w:szCs w:val="24"/>
            </w:rPr>
            <w:t>244</w:t>
          </w:r>
          <w:r>
            <w:rPr>
              <w:spacing w:val="-8"/>
              <w:sz w:val="24"/>
              <w:szCs w:val="24"/>
            </w:rPr>
            <w:fldChar w:fldCharType="end"/>
          </w:r>
        </w:p>
        <w:p w14:paraId="68F7C3D1">
          <w:pPr>
            <w:pStyle w:val="2"/>
            <w:tabs>
              <w:tab w:val="right" w:leader="dot" w:pos="10107"/>
            </w:tabs>
            <w:spacing w:before="198" w:line="185" w:lineRule="auto"/>
            <w:ind w:left="2518"/>
            <w:rPr>
              <w:sz w:val="24"/>
              <w:szCs w:val="24"/>
            </w:rPr>
          </w:pPr>
          <w:r>
            <w:fldChar w:fldCharType="begin"/>
          </w:r>
          <w:r>
            <w:instrText xml:space="preserve">HYPERLINK\l"bookmark128"</w:instrText>
          </w:r>
          <w:r>
            <w:fldChar w:fldCharType="separate"/>
          </w:r>
          <w:r>
            <w:rPr>
              <w:spacing w:val="-22"/>
              <w:sz w:val="21"/>
              <w:szCs w:val="21"/>
            </w:rPr>
            <w:t>三、工程检验目标</w:t>
          </w:r>
          <w:r>
            <w:rPr>
              <w:sz w:val="21"/>
              <w:szCs w:val="21"/>
            </w:rPr>
            <w:tab/>
          </w:r>
          <w:r>
            <w:rPr>
              <w:spacing w:val="-8"/>
              <w:sz w:val="24"/>
              <w:szCs w:val="24"/>
            </w:rPr>
            <w:t>244</w:t>
          </w:r>
          <w:r>
            <w:rPr>
              <w:spacing w:val="-8"/>
              <w:sz w:val="24"/>
              <w:szCs w:val="24"/>
            </w:rPr>
            <w:fldChar w:fldCharType="end"/>
          </w:r>
        </w:p>
        <w:p w14:paraId="4CD44B39">
          <w:pPr>
            <w:pStyle w:val="2"/>
            <w:tabs>
              <w:tab w:val="right" w:leader="dot" w:pos="10110"/>
            </w:tabs>
            <w:spacing w:before="201" w:line="185" w:lineRule="auto"/>
            <w:ind w:left="2243"/>
            <w:rPr>
              <w:sz w:val="24"/>
              <w:szCs w:val="24"/>
            </w:rPr>
          </w:pPr>
          <w:r>
            <w:fldChar w:fldCharType="begin"/>
          </w:r>
          <w:r>
            <w:instrText xml:space="preserve">HYPERLINK\l"bookmark129"</w:instrText>
          </w:r>
          <w:r>
            <w:fldChar w:fldCharType="separate"/>
          </w:r>
          <w:r>
            <w:rPr>
              <w:b/>
              <w:bCs/>
              <w:color w:val="0070C0"/>
              <w:spacing w:val="-24"/>
              <w:sz w:val="21"/>
              <w:szCs w:val="21"/>
            </w:rPr>
            <w:t>第二节、质量管理体系及机构设置</w:t>
          </w:r>
          <w:r>
            <w:rPr>
              <w:color w:val="0070C0"/>
              <w:sz w:val="21"/>
              <w:szCs w:val="21"/>
              <w14:textOutline w14:w="4356" w14:cap="flat" w14:cmpd="sng">
                <w14:solidFill>
                  <w14:srgbClr w14:val="0070C0"/>
                </w14:solidFill>
                <w14:prstDash w14:val="solid"/>
                <w14:miter w14:val="0"/>
              </w14:textOutline>
            </w:rPr>
            <w:tab/>
          </w:r>
          <w:r>
            <w:rPr>
              <w:b/>
              <w:bCs/>
              <w:color w:val="0070C0"/>
              <w:spacing w:val="-10"/>
              <w:sz w:val="24"/>
              <w:szCs w:val="24"/>
            </w:rPr>
            <w:t>244</w:t>
          </w:r>
          <w:r>
            <w:rPr>
              <w:b/>
              <w:bCs/>
              <w:color w:val="0070C0"/>
              <w:spacing w:val="-10"/>
              <w:sz w:val="24"/>
              <w:szCs w:val="24"/>
            </w:rPr>
            <w:fldChar w:fldCharType="end"/>
          </w:r>
        </w:p>
        <w:p w14:paraId="0F888C03">
          <w:pPr>
            <w:pStyle w:val="2"/>
            <w:tabs>
              <w:tab w:val="right" w:leader="dot" w:pos="10107"/>
            </w:tabs>
            <w:spacing w:before="198" w:line="185" w:lineRule="auto"/>
            <w:ind w:left="2516"/>
            <w:rPr>
              <w:sz w:val="24"/>
              <w:szCs w:val="24"/>
            </w:rPr>
          </w:pPr>
          <w:r>
            <w:fldChar w:fldCharType="begin"/>
          </w:r>
          <w:r>
            <w:instrText xml:space="preserve">HYPERLINK\l"bookmark130"</w:instrText>
          </w:r>
          <w:r>
            <w:fldChar w:fldCharType="separate"/>
          </w:r>
          <w:r>
            <w:rPr>
              <w:spacing w:val="-22"/>
              <w:sz w:val="21"/>
              <w:szCs w:val="21"/>
            </w:rPr>
            <w:t>一、质量管理体系</w:t>
          </w:r>
          <w:r>
            <w:rPr>
              <w:sz w:val="21"/>
              <w:szCs w:val="21"/>
            </w:rPr>
            <w:tab/>
          </w:r>
          <w:r>
            <w:rPr>
              <w:spacing w:val="-8"/>
              <w:sz w:val="24"/>
              <w:szCs w:val="24"/>
            </w:rPr>
            <w:t>244</w:t>
          </w:r>
          <w:r>
            <w:rPr>
              <w:spacing w:val="-8"/>
              <w:sz w:val="24"/>
              <w:szCs w:val="24"/>
            </w:rPr>
            <w:fldChar w:fldCharType="end"/>
          </w:r>
        </w:p>
        <w:p w14:paraId="58B8F5B5">
          <w:pPr>
            <w:pStyle w:val="2"/>
            <w:tabs>
              <w:tab w:val="right" w:leader="dot" w:pos="10107"/>
            </w:tabs>
            <w:spacing w:before="199" w:line="185" w:lineRule="auto"/>
            <w:ind w:left="2519"/>
            <w:rPr>
              <w:sz w:val="24"/>
              <w:szCs w:val="24"/>
            </w:rPr>
          </w:pPr>
          <w:r>
            <w:fldChar w:fldCharType="begin"/>
          </w:r>
          <w:r>
            <w:instrText xml:space="preserve">HYPERLINK\l"bookmark131"</w:instrText>
          </w:r>
          <w:r>
            <w:fldChar w:fldCharType="separate"/>
          </w:r>
          <w:r>
            <w:rPr>
              <w:spacing w:val="-22"/>
              <w:sz w:val="21"/>
              <w:szCs w:val="21"/>
            </w:rPr>
            <w:t>二、质量控制体系</w:t>
          </w:r>
          <w:r>
            <w:rPr>
              <w:sz w:val="21"/>
              <w:szCs w:val="21"/>
            </w:rPr>
            <w:tab/>
          </w:r>
          <w:r>
            <w:rPr>
              <w:spacing w:val="-8"/>
              <w:sz w:val="24"/>
              <w:szCs w:val="24"/>
            </w:rPr>
            <w:t>245</w:t>
          </w:r>
          <w:r>
            <w:rPr>
              <w:spacing w:val="-8"/>
              <w:sz w:val="24"/>
              <w:szCs w:val="24"/>
            </w:rPr>
            <w:fldChar w:fldCharType="end"/>
          </w:r>
        </w:p>
        <w:p w14:paraId="0C98E5B4">
          <w:pPr>
            <w:pStyle w:val="2"/>
            <w:tabs>
              <w:tab w:val="right" w:leader="dot" w:pos="10107"/>
            </w:tabs>
            <w:spacing w:before="201" w:line="185" w:lineRule="auto"/>
            <w:ind w:left="2518"/>
            <w:rPr>
              <w:sz w:val="24"/>
              <w:szCs w:val="24"/>
            </w:rPr>
          </w:pPr>
          <w:r>
            <w:fldChar w:fldCharType="begin"/>
          </w:r>
          <w:r>
            <w:instrText xml:space="preserve">HYPERLINK\l"bookmark132"</w:instrText>
          </w:r>
          <w:r>
            <w:fldChar w:fldCharType="separate"/>
          </w:r>
          <w:r>
            <w:rPr>
              <w:spacing w:val="-22"/>
              <w:sz w:val="21"/>
              <w:szCs w:val="21"/>
            </w:rPr>
            <w:t>三、质量管理模式</w:t>
          </w:r>
          <w:r>
            <w:rPr>
              <w:sz w:val="21"/>
              <w:szCs w:val="21"/>
            </w:rPr>
            <w:tab/>
          </w:r>
          <w:r>
            <w:rPr>
              <w:spacing w:val="-8"/>
              <w:sz w:val="24"/>
              <w:szCs w:val="24"/>
            </w:rPr>
            <w:t>246</w:t>
          </w:r>
          <w:r>
            <w:rPr>
              <w:spacing w:val="-8"/>
              <w:sz w:val="24"/>
              <w:szCs w:val="24"/>
            </w:rPr>
            <w:fldChar w:fldCharType="end"/>
          </w:r>
        </w:p>
        <w:p w14:paraId="710307C3">
          <w:pPr>
            <w:pStyle w:val="2"/>
            <w:tabs>
              <w:tab w:val="right" w:leader="dot" w:pos="10107"/>
            </w:tabs>
            <w:spacing w:before="199" w:line="185" w:lineRule="auto"/>
            <w:ind w:left="2537"/>
            <w:rPr>
              <w:sz w:val="24"/>
              <w:szCs w:val="24"/>
            </w:rPr>
          </w:pPr>
          <w:r>
            <w:fldChar w:fldCharType="begin"/>
          </w:r>
          <w:r>
            <w:instrText xml:space="preserve">HYPERLINK\l"bookmark133"</w:instrText>
          </w:r>
          <w:r>
            <w:fldChar w:fldCharType="separate"/>
          </w:r>
          <w:r>
            <w:rPr>
              <w:spacing w:val="-24"/>
              <w:sz w:val="21"/>
              <w:szCs w:val="21"/>
            </w:rPr>
            <w:t>四、质量管理机构建立</w:t>
          </w:r>
          <w:r>
            <w:rPr>
              <w:sz w:val="21"/>
              <w:szCs w:val="21"/>
            </w:rPr>
            <w:tab/>
          </w:r>
          <w:r>
            <w:rPr>
              <w:spacing w:val="-8"/>
              <w:sz w:val="24"/>
              <w:szCs w:val="24"/>
            </w:rPr>
            <w:t>246</w:t>
          </w:r>
          <w:r>
            <w:rPr>
              <w:spacing w:val="-8"/>
              <w:sz w:val="24"/>
              <w:szCs w:val="24"/>
            </w:rPr>
            <w:fldChar w:fldCharType="end"/>
          </w:r>
        </w:p>
        <w:p w14:paraId="443F6C69">
          <w:pPr>
            <w:pStyle w:val="2"/>
            <w:tabs>
              <w:tab w:val="right" w:leader="dot" w:pos="10107"/>
            </w:tabs>
            <w:spacing w:before="199" w:line="185" w:lineRule="auto"/>
            <w:ind w:left="2516"/>
            <w:rPr>
              <w:sz w:val="24"/>
              <w:szCs w:val="24"/>
            </w:rPr>
          </w:pPr>
          <w:r>
            <w:fldChar w:fldCharType="begin"/>
          </w:r>
          <w:r>
            <w:instrText xml:space="preserve">HYPERLINK\l"bookmark134"</w:instrText>
          </w:r>
          <w:r>
            <w:fldChar w:fldCharType="separate"/>
          </w:r>
          <w:r>
            <w:rPr>
              <w:spacing w:val="-21"/>
              <w:sz w:val="21"/>
              <w:szCs w:val="21"/>
            </w:rPr>
            <w:t>五、项目部及管理人员职责</w:t>
          </w:r>
          <w:r>
            <w:rPr>
              <w:sz w:val="21"/>
              <w:szCs w:val="21"/>
            </w:rPr>
            <w:tab/>
          </w:r>
          <w:r>
            <w:rPr>
              <w:spacing w:val="-8"/>
              <w:sz w:val="24"/>
              <w:szCs w:val="24"/>
            </w:rPr>
            <w:t>247</w:t>
          </w:r>
          <w:r>
            <w:rPr>
              <w:spacing w:val="-8"/>
              <w:sz w:val="24"/>
              <w:szCs w:val="24"/>
            </w:rPr>
            <w:fldChar w:fldCharType="end"/>
          </w:r>
        </w:p>
        <w:p w14:paraId="770C8023">
          <w:pPr>
            <w:pStyle w:val="2"/>
            <w:tabs>
              <w:tab w:val="right" w:leader="dot" w:pos="10110"/>
            </w:tabs>
            <w:spacing w:before="201" w:line="185" w:lineRule="auto"/>
            <w:ind w:left="2243"/>
            <w:rPr>
              <w:sz w:val="24"/>
              <w:szCs w:val="24"/>
            </w:rPr>
          </w:pPr>
          <w:r>
            <w:fldChar w:fldCharType="begin"/>
          </w:r>
          <w:r>
            <w:instrText xml:space="preserve">HYPERLINK\l"bookmark135"</w:instrText>
          </w:r>
          <w:r>
            <w:fldChar w:fldCharType="separate"/>
          </w:r>
          <w:r>
            <w:rPr>
              <w:b/>
              <w:bCs/>
              <w:color w:val="0070C0"/>
              <w:spacing w:val="-23"/>
              <w:sz w:val="21"/>
              <w:szCs w:val="21"/>
            </w:rPr>
            <w:t>第三节、施工质量管理制度</w:t>
          </w:r>
          <w:r>
            <w:rPr>
              <w:color w:val="0070C0"/>
              <w:sz w:val="21"/>
              <w:szCs w:val="21"/>
              <w14:textOutline w14:w="4356" w14:cap="flat" w14:cmpd="sng">
                <w14:solidFill>
                  <w14:srgbClr w14:val="0070C0"/>
                </w14:solidFill>
                <w14:prstDash w14:val="solid"/>
                <w14:miter w14:val="0"/>
              </w14:textOutline>
            </w:rPr>
            <w:tab/>
          </w:r>
          <w:r>
            <w:rPr>
              <w:b/>
              <w:bCs/>
              <w:color w:val="0070C0"/>
              <w:spacing w:val="-10"/>
              <w:sz w:val="24"/>
              <w:szCs w:val="24"/>
            </w:rPr>
            <w:t>250</w:t>
          </w:r>
          <w:r>
            <w:rPr>
              <w:b/>
              <w:bCs/>
              <w:color w:val="0070C0"/>
              <w:spacing w:val="-10"/>
              <w:sz w:val="24"/>
              <w:szCs w:val="24"/>
            </w:rPr>
            <w:fldChar w:fldCharType="end"/>
          </w:r>
        </w:p>
        <w:p w14:paraId="35635AC7">
          <w:pPr>
            <w:pStyle w:val="2"/>
            <w:tabs>
              <w:tab w:val="right" w:leader="dot" w:pos="10107"/>
            </w:tabs>
            <w:spacing w:before="199" w:line="185" w:lineRule="auto"/>
            <w:ind w:left="2516"/>
            <w:rPr>
              <w:sz w:val="24"/>
              <w:szCs w:val="24"/>
            </w:rPr>
          </w:pPr>
          <w:r>
            <w:fldChar w:fldCharType="begin"/>
          </w:r>
          <w:r>
            <w:instrText xml:space="preserve">HYPERLINK\l"bookmark136"</w:instrText>
          </w:r>
          <w:r>
            <w:fldChar w:fldCharType="separate"/>
          </w:r>
          <w:r>
            <w:rPr>
              <w:spacing w:val="-22"/>
              <w:sz w:val="21"/>
              <w:szCs w:val="21"/>
            </w:rPr>
            <w:t>一、质量管理制度</w:t>
          </w:r>
          <w:r>
            <w:rPr>
              <w:sz w:val="21"/>
              <w:szCs w:val="21"/>
            </w:rPr>
            <w:tab/>
          </w:r>
          <w:r>
            <w:rPr>
              <w:spacing w:val="-8"/>
              <w:sz w:val="24"/>
              <w:szCs w:val="24"/>
            </w:rPr>
            <w:t>250</w:t>
          </w:r>
          <w:r>
            <w:rPr>
              <w:spacing w:val="-8"/>
              <w:sz w:val="24"/>
              <w:szCs w:val="24"/>
            </w:rPr>
            <w:fldChar w:fldCharType="end"/>
          </w:r>
        </w:p>
        <w:p w14:paraId="40D3DD66">
          <w:pPr>
            <w:pStyle w:val="2"/>
            <w:tabs>
              <w:tab w:val="right" w:leader="dot" w:pos="10107"/>
            </w:tabs>
            <w:spacing w:before="199" w:line="185" w:lineRule="auto"/>
            <w:ind w:left="2519"/>
            <w:rPr>
              <w:sz w:val="24"/>
              <w:szCs w:val="24"/>
            </w:rPr>
          </w:pPr>
          <w:r>
            <w:fldChar w:fldCharType="begin"/>
          </w:r>
          <w:r>
            <w:instrText xml:space="preserve">HYPERLINK\l"bookmark137"</w:instrText>
          </w:r>
          <w:r>
            <w:fldChar w:fldCharType="separate"/>
          </w:r>
          <w:r>
            <w:rPr>
              <w:spacing w:val="-22"/>
              <w:sz w:val="21"/>
              <w:szCs w:val="21"/>
            </w:rPr>
            <w:t>二、质量检查制度</w:t>
          </w:r>
          <w:r>
            <w:rPr>
              <w:sz w:val="21"/>
              <w:szCs w:val="21"/>
            </w:rPr>
            <w:tab/>
          </w:r>
          <w:r>
            <w:rPr>
              <w:spacing w:val="-8"/>
              <w:sz w:val="24"/>
              <w:szCs w:val="24"/>
            </w:rPr>
            <w:t>253</w:t>
          </w:r>
          <w:r>
            <w:rPr>
              <w:spacing w:val="-8"/>
              <w:sz w:val="24"/>
              <w:szCs w:val="24"/>
            </w:rPr>
            <w:fldChar w:fldCharType="end"/>
          </w:r>
        </w:p>
        <w:p w14:paraId="57DCF5FD">
          <w:pPr>
            <w:pStyle w:val="2"/>
            <w:tabs>
              <w:tab w:val="right" w:leader="dot" w:pos="10110"/>
            </w:tabs>
            <w:spacing w:before="201" w:line="185" w:lineRule="auto"/>
            <w:ind w:left="2243"/>
            <w:rPr>
              <w:sz w:val="24"/>
              <w:szCs w:val="24"/>
            </w:rPr>
          </w:pPr>
          <w:r>
            <w:fldChar w:fldCharType="begin"/>
          </w:r>
          <w:r>
            <w:instrText xml:space="preserve">HYPERLINK\l"bookmark138"</w:instrText>
          </w:r>
          <w:r>
            <w:fldChar w:fldCharType="separate"/>
          </w:r>
          <w:r>
            <w:rPr>
              <w:b/>
              <w:bCs/>
              <w:color w:val="0070C0"/>
              <w:spacing w:val="-23"/>
              <w:sz w:val="21"/>
              <w:szCs w:val="21"/>
            </w:rPr>
            <w:t>第四节、确保工程质量的技术措施</w:t>
          </w:r>
          <w:r>
            <w:rPr>
              <w:color w:val="0070C0"/>
              <w:sz w:val="21"/>
              <w:szCs w:val="21"/>
              <w14:textOutline w14:w="4356" w14:cap="flat" w14:cmpd="sng">
                <w14:solidFill>
                  <w14:srgbClr w14:val="0070C0"/>
                </w14:solidFill>
                <w14:prstDash w14:val="solid"/>
                <w14:miter w14:val="0"/>
              </w14:textOutline>
            </w:rPr>
            <w:tab/>
          </w:r>
          <w:r>
            <w:rPr>
              <w:b/>
              <w:bCs/>
              <w:color w:val="0070C0"/>
              <w:spacing w:val="-10"/>
              <w:sz w:val="24"/>
              <w:szCs w:val="24"/>
            </w:rPr>
            <w:t>254</w:t>
          </w:r>
          <w:r>
            <w:rPr>
              <w:b/>
              <w:bCs/>
              <w:color w:val="0070C0"/>
              <w:spacing w:val="-10"/>
              <w:sz w:val="24"/>
              <w:szCs w:val="24"/>
            </w:rPr>
            <w:fldChar w:fldCharType="end"/>
          </w:r>
        </w:p>
        <w:p w14:paraId="0F9FFB0E">
          <w:pPr>
            <w:pStyle w:val="2"/>
            <w:tabs>
              <w:tab w:val="right" w:leader="dot" w:pos="10110"/>
            </w:tabs>
            <w:spacing w:before="198" w:line="185" w:lineRule="auto"/>
            <w:ind w:left="2243"/>
            <w:rPr>
              <w:sz w:val="24"/>
              <w:szCs w:val="24"/>
            </w:rPr>
          </w:pPr>
          <w:r>
            <w:fldChar w:fldCharType="begin"/>
          </w:r>
          <w:r>
            <w:instrText xml:space="preserve">HYPERLINK\l"bookmark139"</w:instrText>
          </w:r>
          <w:r>
            <w:fldChar w:fldCharType="separate"/>
          </w:r>
          <w:r>
            <w:rPr>
              <w:b/>
              <w:bCs/>
              <w:color w:val="0070C0"/>
              <w:spacing w:val="-23"/>
              <w:sz w:val="21"/>
              <w:szCs w:val="21"/>
            </w:rPr>
            <w:t>第五节、全面质量管理措施</w:t>
          </w:r>
          <w:r>
            <w:rPr>
              <w:color w:val="0070C0"/>
              <w:sz w:val="21"/>
              <w:szCs w:val="21"/>
              <w14:textOutline w14:w="4356" w14:cap="flat" w14:cmpd="sng">
                <w14:solidFill>
                  <w14:srgbClr w14:val="0070C0"/>
                </w14:solidFill>
                <w14:prstDash w14:val="solid"/>
                <w14:miter w14:val="0"/>
              </w14:textOutline>
            </w:rPr>
            <w:tab/>
          </w:r>
          <w:r>
            <w:rPr>
              <w:b/>
              <w:bCs/>
              <w:color w:val="0070C0"/>
              <w:spacing w:val="-10"/>
              <w:sz w:val="24"/>
              <w:szCs w:val="24"/>
            </w:rPr>
            <w:t>257</w:t>
          </w:r>
          <w:r>
            <w:rPr>
              <w:b/>
              <w:bCs/>
              <w:color w:val="0070C0"/>
              <w:spacing w:val="-10"/>
              <w:sz w:val="24"/>
              <w:szCs w:val="24"/>
            </w:rPr>
            <w:fldChar w:fldCharType="end"/>
          </w:r>
        </w:p>
        <w:p w14:paraId="5AB5E12A">
          <w:pPr>
            <w:pStyle w:val="2"/>
            <w:tabs>
              <w:tab w:val="right" w:leader="dot" w:pos="10110"/>
            </w:tabs>
            <w:spacing w:before="199" w:line="185" w:lineRule="auto"/>
            <w:ind w:left="2243"/>
            <w:rPr>
              <w:sz w:val="24"/>
              <w:szCs w:val="24"/>
            </w:rPr>
          </w:pPr>
          <w:r>
            <w:fldChar w:fldCharType="begin"/>
          </w:r>
          <w:r>
            <w:instrText xml:space="preserve">HYPERLINK\l"bookmark140"</w:instrText>
          </w:r>
          <w:r>
            <w:fldChar w:fldCharType="separate"/>
          </w:r>
          <w:r>
            <w:rPr>
              <w:b/>
              <w:bCs/>
              <w:color w:val="0070C0"/>
              <w:spacing w:val="-23"/>
              <w:sz w:val="21"/>
              <w:szCs w:val="21"/>
            </w:rPr>
            <w:t>第六节、材料和设备质量保证措施</w:t>
          </w:r>
          <w:r>
            <w:rPr>
              <w:color w:val="0070C0"/>
              <w:sz w:val="21"/>
              <w:szCs w:val="21"/>
              <w14:textOutline w14:w="4356" w14:cap="flat" w14:cmpd="sng">
                <w14:solidFill>
                  <w14:srgbClr w14:val="0070C0"/>
                </w14:solidFill>
                <w14:prstDash w14:val="solid"/>
                <w14:miter w14:val="0"/>
              </w14:textOutline>
            </w:rPr>
            <w:tab/>
          </w:r>
          <w:r>
            <w:rPr>
              <w:b/>
              <w:bCs/>
              <w:color w:val="0070C0"/>
              <w:spacing w:val="-10"/>
              <w:sz w:val="24"/>
              <w:szCs w:val="24"/>
            </w:rPr>
            <w:t>257</w:t>
          </w:r>
          <w:r>
            <w:rPr>
              <w:b/>
              <w:bCs/>
              <w:color w:val="0070C0"/>
              <w:spacing w:val="-10"/>
              <w:sz w:val="24"/>
              <w:szCs w:val="24"/>
            </w:rPr>
            <w:fldChar w:fldCharType="end"/>
          </w:r>
        </w:p>
        <w:p w14:paraId="614A1A02">
          <w:pPr>
            <w:pStyle w:val="2"/>
            <w:tabs>
              <w:tab w:val="right" w:leader="dot" w:pos="10110"/>
            </w:tabs>
            <w:spacing w:before="202" w:line="185" w:lineRule="auto"/>
            <w:ind w:left="2243"/>
            <w:rPr>
              <w:sz w:val="24"/>
              <w:szCs w:val="24"/>
            </w:rPr>
          </w:pPr>
          <w:r>
            <w:fldChar w:fldCharType="begin"/>
          </w:r>
          <w:r>
            <w:instrText xml:space="preserve">HYPERLINK\l"bookmark141"</w:instrText>
          </w:r>
          <w:r>
            <w:fldChar w:fldCharType="separate"/>
          </w:r>
          <w:r>
            <w:rPr>
              <w:b/>
              <w:bCs/>
              <w:color w:val="0070C0"/>
              <w:spacing w:val="-23"/>
              <w:sz w:val="21"/>
              <w:szCs w:val="21"/>
            </w:rPr>
            <w:t>第七节、各分部分项工程质量保证措施</w:t>
          </w:r>
          <w:r>
            <w:rPr>
              <w:b/>
              <w:bCs/>
              <w:color w:val="0070C0"/>
              <w:sz w:val="21"/>
              <w:szCs w:val="21"/>
              <w14:textOutline w14:w="4356" w14:cap="flat" w14:cmpd="sng">
                <w14:solidFill>
                  <w14:srgbClr w14:val="0070C0"/>
                </w14:solidFill>
                <w14:prstDash w14:val="solid"/>
                <w14:miter w14:val="0"/>
              </w14:textOutline>
            </w:rPr>
            <w:tab/>
          </w:r>
          <w:r>
            <w:rPr>
              <w:b/>
              <w:bCs/>
              <w:color w:val="0070C0"/>
              <w:spacing w:val="-10"/>
              <w:sz w:val="24"/>
              <w:szCs w:val="24"/>
            </w:rPr>
            <w:t>258</w:t>
          </w:r>
          <w:r>
            <w:rPr>
              <w:b/>
              <w:bCs/>
              <w:color w:val="0070C0"/>
              <w:spacing w:val="-10"/>
              <w:sz w:val="24"/>
              <w:szCs w:val="24"/>
            </w:rPr>
            <w:fldChar w:fldCharType="end"/>
          </w:r>
        </w:p>
        <w:p w14:paraId="78505BC3">
          <w:pPr>
            <w:pStyle w:val="2"/>
            <w:tabs>
              <w:tab w:val="right" w:leader="dot" w:pos="10107"/>
            </w:tabs>
            <w:spacing w:before="198" w:line="185" w:lineRule="auto"/>
            <w:ind w:left="2516"/>
            <w:rPr>
              <w:sz w:val="24"/>
              <w:szCs w:val="24"/>
            </w:rPr>
          </w:pPr>
          <w:r>
            <w:fldChar w:fldCharType="begin"/>
          </w:r>
          <w:r>
            <w:instrText xml:space="preserve">HYPERLINK\l"bookmark142"</w:instrText>
          </w:r>
          <w:r>
            <w:fldChar w:fldCharType="separate"/>
          </w:r>
          <w:r>
            <w:rPr>
              <w:spacing w:val="-22"/>
              <w:sz w:val="21"/>
              <w:szCs w:val="21"/>
            </w:rPr>
            <w:t>一、沟槽施工质量保证措施</w:t>
          </w:r>
          <w:r>
            <w:rPr>
              <w:sz w:val="21"/>
              <w:szCs w:val="21"/>
            </w:rPr>
            <w:tab/>
          </w:r>
          <w:r>
            <w:rPr>
              <w:spacing w:val="-8"/>
              <w:sz w:val="24"/>
              <w:szCs w:val="24"/>
            </w:rPr>
            <w:t>258</w:t>
          </w:r>
          <w:r>
            <w:rPr>
              <w:spacing w:val="-8"/>
              <w:sz w:val="24"/>
              <w:szCs w:val="24"/>
            </w:rPr>
            <w:fldChar w:fldCharType="end"/>
          </w:r>
        </w:p>
        <w:p w14:paraId="667C01B2">
          <w:pPr>
            <w:pStyle w:val="2"/>
            <w:tabs>
              <w:tab w:val="right" w:leader="dot" w:pos="10107"/>
            </w:tabs>
            <w:spacing w:before="199" w:line="185" w:lineRule="auto"/>
            <w:ind w:left="2519"/>
            <w:rPr>
              <w:sz w:val="24"/>
              <w:szCs w:val="24"/>
            </w:rPr>
          </w:pPr>
          <w:r>
            <w:fldChar w:fldCharType="begin"/>
          </w:r>
          <w:r>
            <w:instrText xml:space="preserve">HYPERLINK\l"bookmark143"</w:instrText>
          </w:r>
          <w:r>
            <w:fldChar w:fldCharType="separate"/>
          </w:r>
          <w:r>
            <w:rPr>
              <w:spacing w:val="-22"/>
              <w:sz w:val="21"/>
              <w:szCs w:val="21"/>
            </w:rPr>
            <w:t>二、球墨铸铁管质量保证措施</w:t>
          </w:r>
          <w:r>
            <w:rPr>
              <w:sz w:val="21"/>
              <w:szCs w:val="21"/>
            </w:rPr>
            <w:tab/>
          </w:r>
          <w:r>
            <w:rPr>
              <w:spacing w:val="-8"/>
              <w:sz w:val="24"/>
              <w:szCs w:val="24"/>
            </w:rPr>
            <w:t>259</w:t>
          </w:r>
          <w:r>
            <w:rPr>
              <w:spacing w:val="-8"/>
              <w:sz w:val="24"/>
              <w:szCs w:val="24"/>
            </w:rPr>
            <w:fldChar w:fldCharType="end"/>
          </w:r>
        </w:p>
        <w:p w14:paraId="0FF65DF6">
          <w:pPr>
            <w:pStyle w:val="2"/>
            <w:tabs>
              <w:tab w:val="right" w:leader="dot" w:pos="10107"/>
            </w:tabs>
            <w:spacing w:before="201" w:line="185" w:lineRule="auto"/>
            <w:ind w:left="2518"/>
            <w:rPr>
              <w:sz w:val="24"/>
              <w:szCs w:val="24"/>
            </w:rPr>
          </w:pPr>
          <w:r>
            <w:fldChar w:fldCharType="begin"/>
          </w:r>
          <w:r>
            <w:instrText xml:space="preserve">HYPERLINK\l"bookmark144"</w:instrText>
          </w:r>
          <w:r>
            <w:fldChar w:fldCharType="separate"/>
          </w:r>
          <w:r>
            <w:rPr>
              <w:spacing w:val="-22"/>
              <w:sz w:val="21"/>
              <w:szCs w:val="21"/>
            </w:rPr>
            <w:t>三、钢管焊接质量保证措施</w:t>
          </w:r>
          <w:r>
            <w:rPr>
              <w:sz w:val="21"/>
              <w:szCs w:val="21"/>
            </w:rPr>
            <w:tab/>
          </w:r>
          <w:r>
            <w:rPr>
              <w:spacing w:val="-8"/>
              <w:sz w:val="24"/>
              <w:szCs w:val="24"/>
            </w:rPr>
            <w:t>261</w:t>
          </w:r>
          <w:r>
            <w:rPr>
              <w:spacing w:val="-8"/>
              <w:sz w:val="24"/>
              <w:szCs w:val="24"/>
            </w:rPr>
            <w:fldChar w:fldCharType="end"/>
          </w:r>
        </w:p>
        <w:p w14:paraId="2D255253">
          <w:pPr>
            <w:pStyle w:val="2"/>
            <w:tabs>
              <w:tab w:val="right" w:leader="dot" w:pos="10107"/>
            </w:tabs>
            <w:spacing w:before="199" w:line="185" w:lineRule="auto"/>
            <w:ind w:left="2537"/>
            <w:rPr>
              <w:sz w:val="24"/>
              <w:szCs w:val="24"/>
            </w:rPr>
          </w:pPr>
          <w:r>
            <w:fldChar w:fldCharType="begin"/>
          </w:r>
          <w:r>
            <w:instrText xml:space="preserve">HYPERLINK\l"bookmark145"</w:instrText>
          </w:r>
          <w:r>
            <w:fldChar w:fldCharType="separate"/>
          </w:r>
          <w:r>
            <w:rPr>
              <w:spacing w:val="-23"/>
              <w:sz w:val="21"/>
              <w:szCs w:val="21"/>
            </w:rPr>
            <w:t>四、焊口防腐质量保证措施</w:t>
          </w:r>
          <w:r>
            <w:rPr>
              <w:sz w:val="21"/>
              <w:szCs w:val="21"/>
            </w:rPr>
            <w:tab/>
          </w:r>
          <w:r>
            <w:rPr>
              <w:spacing w:val="-8"/>
              <w:sz w:val="24"/>
              <w:szCs w:val="24"/>
            </w:rPr>
            <w:t>261</w:t>
          </w:r>
          <w:r>
            <w:rPr>
              <w:spacing w:val="-8"/>
              <w:sz w:val="24"/>
              <w:szCs w:val="24"/>
            </w:rPr>
            <w:fldChar w:fldCharType="end"/>
          </w:r>
        </w:p>
        <w:p w14:paraId="7CF0CDE0">
          <w:pPr>
            <w:pStyle w:val="2"/>
            <w:tabs>
              <w:tab w:val="right" w:leader="dot" w:pos="10107"/>
            </w:tabs>
            <w:spacing w:before="199" w:line="185" w:lineRule="auto"/>
            <w:ind w:left="2516"/>
            <w:rPr>
              <w:sz w:val="24"/>
              <w:szCs w:val="24"/>
            </w:rPr>
          </w:pPr>
          <w:r>
            <w:fldChar w:fldCharType="begin"/>
          </w:r>
          <w:r>
            <w:instrText xml:space="preserve">HYPERLINK\l"bookmark146"</w:instrText>
          </w:r>
          <w:r>
            <w:fldChar w:fldCharType="separate"/>
          </w:r>
          <w:r>
            <w:rPr>
              <w:spacing w:val="-21"/>
              <w:sz w:val="21"/>
              <w:szCs w:val="21"/>
            </w:rPr>
            <w:t>五、焊缝的无损检测质量保证措施</w:t>
          </w:r>
          <w:r>
            <w:rPr>
              <w:sz w:val="21"/>
              <w:szCs w:val="21"/>
            </w:rPr>
            <w:tab/>
          </w:r>
          <w:r>
            <w:rPr>
              <w:spacing w:val="-8"/>
              <w:sz w:val="24"/>
              <w:szCs w:val="24"/>
            </w:rPr>
            <w:t>262</w:t>
          </w:r>
          <w:r>
            <w:rPr>
              <w:spacing w:val="-8"/>
              <w:sz w:val="24"/>
              <w:szCs w:val="24"/>
            </w:rPr>
            <w:fldChar w:fldCharType="end"/>
          </w:r>
        </w:p>
        <w:p w14:paraId="2A7FB30C">
          <w:pPr>
            <w:pStyle w:val="2"/>
            <w:tabs>
              <w:tab w:val="right" w:leader="dot" w:pos="10107"/>
            </w:tabs>
            <w:spacing w:before="201" w:line="185" w:lineRule="auto"/>
            <w:ind w:left="2514"/>
            <w:rPr>
              <w:sz w:val="24"/>
              <w:szCs w:val="24"/>
            </w:rPr>
          </w:pPr>
          <w:r>
            <w:fldChar w:fldCharType="begin"/>
          </w:r>
          <w:r>
            <w:instrText xml:space="preserve">HYPERLINK\l"bookmark147"</w:instrText>
          </w:r>
          <w:r>
            <w:fldChar w:fldCharType="separate"/>
          </w:r>
          <w:r>
            <w:rPr>
              <w:spacing w:val="-21"/>
              <w:sz w:val="21"/>
              <w:szCs w:val="21"/>
            </w:rPr>
            <w:t>六、供水管道冲洗消毒质量措施</w:t>
          </w:r>
          <w:r>
            <w:rPr>
              <w:sz w:val="21"/>
              <w:szCs w:val="21"/>
            </w:rPr>
            <w:tab/>
          </w:r>
          <w:r>
            <w:rPr>
              <w:spacing w:val="-8"/>
              <w:sz w:val="24"/>
              <w:szCs w:val="24"/>
            </w:rPr>
            <w:t>265</w:t>
          </w:r>
          <w:r>
            <w:rPr>
              <w:spacing w:val="-8"/>
              <w:sz w:val="24"/>
              <w:szCs w:val="24"/>
            </w:rPr>
            <w:fldChar w:fldCharType="end"/>
          </w:r>
        </w:p>
        <w:p w14:paraId="68D5B06F">
          <w:pPr>
            <w:pStyle w:val="2"/>
            <w:tabs>
              <w:tab w:val="right" w:leader="dot" w:pos="10110"/>
            </w:tabs>
            <w:spacing w:before="198" w:line="185" w:lineRule="auto"/>
            <w:ind w:left="2243"/>
            <w:rPr>
              <w:sz w:val="24"/>
              <w:szCs w:val="24"/>
            </w:rPr>
          </w:pPr>
          <w:r>
            <w:fldChar w:fldCharType="begin"/>
          </w:r>
          <w:r>
            <w:instrText xml:space="preserve">HYPERLINK\l"bookmark148"</w:instrText>
          </w:r>
          <w:r>
            <w:fldChar w:fldCharType="separate"/>
          </w:r>
          <w:r>
            <w:rPr>
              <w:b/>
              <w:bCs/>
              <w:color w:val="0070C0"/>
              <w:spacing w:val="-23"/>
              <w:sz w:val="21"/>
              <w:szCs w:val="21"/>
            </w:rPr>
            <w:t>第八节、质量通病防治措施</w:t>
          </w:r>
          <w:r>
            <w:rPr>
              <w:color w:val="0070C0"/>
              <w:sz w:val="21"/>
              <w:szCs w:val="21"/>
              <w14:textOutline w14:w="4356" w14:cap="flat" w14:cmpd="sng">
                <w14:solidFill>
                  <w14:srgbClr w14:val="0070C0"/>
                </w14:solidFill>
                <w14:prstDash w14:val="solid"/>
                <w14:miter w14:val="0"/>
              </w14:textOutline>
            </w:rPr>
            <w:tab/>
          </w:r>
          <w:r>
            <w:rPr>
              <w:b/>
              <w:bCs/>
              <w:color w:val="0070C0"/>
              <w:spacing w:val="-10"/>
              <w:sz w:val="24"/>
              <w:szCs w:val="24"/>
            </w:rPr>
            <w:t>267</w:t>
          </w:r>
          <w:r>
            <w:rPr>
              <w:b/>
              <w:bCs/>
              <w:color w:val="0070C0"/>
              <w:spacing w:val="-10"/>
              <w:sz w:val="24"/>
              <w:szCs w:val="24"/>
            </w:rPr>
            <w:fldChar w:fldCharType="end"/>
          </w:r>
        </w:p>
        <w:p w14:paraId="2B801E2D">
          <w:pPr>
            <w:pStyle w:val="2"/>
            <w:tabs>
              <w:tab w:val="right" w:leader="dot" w:pos="10107"/>
            </w:tabs>
            <w:spacing w:before="200" w:line="185" w:lineRule="auto"/>
            <w:ind w:left="2516"/>
            <w:rPr>
              <w:sz w:val="24"/>
              <w:szCs w:val="24"/>
            </w:rPr>
          </w:pPr>
          <w:r>
            <w:fldChar w:fldCharType="begin"/>
          </w:r>
          <w:r>
            <w:instrText xml:space="preserve">HYPERLINK\l"bookmark149"</w:instrText>
          </w:r>
          <w:r>
            <w:fldChar w:fldCharType="separate"/>
          </w:r>
          <w:r>
            <w:rPr>
              <w:spacing w:val="-22"/>
              <w:sz w:val="21"/>
              <w:szCs w:val="21"/>
            </w:rPr>
            <w:t>一、路基恢复的质量通病与防治措施</w:t>
          </w:r>
          <w:r>
            <w:rPr>
              <w:sz w:val="21"/>
              <w:szCs w:val="21"/>
            </w:rPr>
            <w:tab/>
          </w:r>
          <w:r>
            <w:rPr>
              <w:spacing w:val="-8"/>
              <w:sz w:val="24"/>
              <w:szCs w:val="24"/>
            </w:rPr>
            <w:t>267</w:t>
          </w:r>
          <w:r>
            <w:rPr>
              <w:spacing w:val="-8"/>
              <w:sz w:val="24"/>
              <w:szCs w:val="24"/>
            </w:rPr>
            <w:fldChar w:fldCharType="end"/>
          </w:r>
        </w:p>
        <w:p w14:paraId="26C90774">
          <w:pPr>
            <w:pStyle w:val="2"/>
            <w:tabs>
              <w:tab w:val="right" w:leader="dot" w:pos="10107"/>
            </w:tabs>
            <w:spacing w:before="201" w:line="185" w:lineRule="auto"/>
            <w:ind w:left="2519"/>
            <w:rPr>
              <w:sz w:val="24"/>
              <w:szCs w:val="24"/>
            </w:rPr>
          </w:pPr>
          <w:r>
            <w:fldChar w:fldCharType="begin"/>
          </w:r>
          <w:r>
            <w:instrText xml:space="preserve">HYPERLINK\l"bookmark150"</w:instrText>
          </w:r>
          <w:r>
            <w:fldChar w:fldCharType="separate"/>
          </w:r>
          <w:r>
            <w:rPr>
              <w:spacing w:val="-22"/>
              <w:sz w:val="21"/>
              <w:szCs w:val="21"/>
            </w:rPr>
            <w:t>二、路基附属恢复常见的质量通病与预防措施</w:t>
          </w:r>
          <w:r>
            <w:rPr>
              <w:sz w:val="21"/>
              <w:szCs w:val="21"/>
            </w:rPr>
            <w:tab/>
          </w:r>
          <w:r>
            <w:rPr>
              <w:spacing w:val="-8"/>
              <w:sz w:val="24"/>
              <w:szCs w:val="24"/>
            </w:rPr>
            <w:t>270</w:t>
          </w:r>
          <w:r>
            <w:rPr>
              <w:spacing w:val="-8"/>
              <w:sz w:val="24"/>
              <w:szCs w:val="24"/>
            </w:rPr>
            <w:fldChar w:fldCharType="end"/>
          </w:r>
        </w:p>
        <w:p w14:paraId="2E842D92">
          <w:pPr>
            <w:pStyle w:val="2"/>
            <w:tabs>
              <w:tab w:val="right" w:leader="dot" w:pos="10107"/>
            </w:tabs>
            <w:spacing w:before="198" w:line="185" w:lineRule="auto"/>
            <w:ind w:left="2518"/>
            <w:rPr>
              <w:sz w:val="24"/>
              <w:szCs w:val="24"/>
            </w:rPr>
          </w:pPr>
          <w:r>
            <w:fldChar w:fldCharType="begin"/>
          </w:r>
          <w:r>
            <w:instrText xml:space="preserve">HYPERLINK\l"bookmark151"</w:instrText>
          </w:r>
          <w:r>
            <w:fldChar w:fldCharType="separate"/>
          </w:r>
          <w:r>
            <w:rPr>
              <w:spacing w:val="-22"/>
              <w:sz w:val="21"/>
              <w:szCs w:val="21"/>
            </w:rPr>
            <w:t>三、路基结构层恢复的质量通病及防治措施</w:t>
          </w:r>
          <w:r>
            <w:rPr>
              <w:sz w:val="21"/>
              <w:szCs w:val="21"/>
            </w:rPr>
            <w:tab/>
          </w:r>
          <w:r>
            <w:rPr>
              <w:spacing w:val="-8"/>
              <w:sz w:val="24"/>
              <w:szCs w:val="24"/>
            </w:rPr>
            <w:t>274</w:t>
          </w:r>
          <w:r>
            <w:rPr>
              <w:spacing w:val="-8"/>
              <w:sz w:val="24"/>
              <w:szCs w:val="24"/>
            </w:rPr>
            <w:fldChar w:fldCharType="end"/>
          </w:r>
        </w:p>
        <w:p w14:paraId="6AB605F7">
          <w:pPr>
            <w:pStyle w:val="2"/>
            <w:tabs>
              <w:tab w:val="right" w:leader="dot" w:pos="10107"/>
            </w:tabs>
            <w:spacing w:before="199" w:line="185" w:lineRule="auto"/>
            <w:ind w:left="2537"/>
            <w:rPr>
              <w:sz w:val="24"/>
              <w:szCs w:val="24"/>
            </w:rPr>
          </w:pPr>
          <w:r>
            <w:fldChar w:fldCharType="begin"/>
          </w:r>
          <w:r>
            <w:instrText xml:space="preserve">HYPERLINK\l"bookmark152"</w:instrText>
          </w:r>
          <w:r>
            <w:fldChar w:fldCharType="separate"/>
          </w:r>
          <w:r>
            <w:rPr>
              <w:spacing w:val="-23"/>
              <w:sz w:val="21"/>
              <w:szCs w:val="21"/>
            </w:rPr>
            <w:t>四、路面面层恢复质量通病及防治措施</w:t>
          </w:r>
          <w:r>
            <w:rPr>
              <w:sz w:val="21"/>
              <w:szCs w:val="21"/>
            </w:rPr>
            <w:tab/>
          </w:r>
          <w:r>
            <w:rPr>
              <w:spacing w:val="-8"/>
              <w:sz w:val="24"/>
              <w:szCs w:val="24"/>
            </w:rPr>
            <w:t>276</w:t>
          </w:r>
          <w:r>
            <w:rPr>
              <w:spacing w:val="-8"/>
              <w:sz w:val="24"/>
              <w:szCs w:val="24"/>
            </w:rPr>
            <w:fldChar w:fldCharType="end"/>
          </w:r>
        </w:p>
        <w:p w14:paraId="787487C5">
          <w:pPr>
            <w:pStyle w:val="2"/>
            <w:tabs>
              <w:tab w:val="right" w:leader="dot" w:pos="10107"/>
            </w:tabs>
            <w:spacing w:before="201" w:line="185" w:lineRule="auto"/>
            <w:ind w:left="2516"/>
            <w:rPr>
              <w:sz w:val="24"/>
              <w:szCs w:val="24"/>
            </w:rPr>
          </w:pPr>
          <w:r>
            <w:fldChar w:fldCharType="begin"/>
          </w:r>
          <w:r>
            <w:instrText xml:space="preserve">HYPERLINK\l"bookmark153"</w:instrText>
          </w:r>
          <w:r>
            <w:fldChar w:fldCharType="separate"/>
          </w:r>
          <w:r>
            <w:rPr>
              <w:spacing w:val="-21"/>
              <w:sz w:val="21"/>
              <w:szCs w:val="21"/>
            </w:rPr>
            <w:t>五、管道焊接质量通病及防治措施</w:t>
          </w:r>
          <w:r>
            <w:rPr>
              <w:sz w:val="21"/>
              <w:szCs w:val="21"/>
            </w:rPr>
            <w:tab/>
          </w:r>
          <w:r>
            <w:rPr>
              <w:spacing w:val="-8"/>
              <w:sz w:val="24"/>
              <w:szCs w:val="24"/>
            </w:rPr>
            <w:t>279</w:t>
          </w:r>
          <w:r>
            <w:rPr>
              <w:spacing w:val="-8"/>
              <w:sz w:val="24"/>
              <w:szCs w:val="24"/>
            </w:rPr>
            <w:fldChar w:fldCharType="end"/>
          </w:r>
        </w:p>
        <w:p w14:paraId="0DC72D97">
          <w:pPr>
            <w:pStyle w:val="2"/>
            <w:tabs>
              <w:tab w:val="right" w:leader="dot" w:pos="10110"/>
            </w:tabs>
            <w:spacing w:before="199" w:line="219" w:lineRule="auto"/>
            <w:ind w:left="2243"/>
            <w:rPr>
              <w:sz w:val="24"/>
              <w:szCs w:val="24"/>
            </w:rPr>
          </w:pPr>
          <w:r>
            <w:fldChar w:fldCharType="begin"/>
          </w:r>
          <w:r>
            <w:instrText xml:space="preserve">HYPERLINK\l"bookmark154"</w:instrText>
          </w:r>
          <w:r>
            <w:fldChar w:fldCharType="separate"/>
          </w:r>
          <w:r>
            <w:rPr>
              <w:b/>
              <w:bCs/>
              <w:color w:val="0070C0"/>
              <w:spacing w:val="-23"/>
              <w:sz w:val="21"/>
              <w:szCs w:val="21"/>
            </w:rPr>
            <w:t>第九节、材料和设备质量保证措施</w:t>
          </w:r>
          <w:r>
            <w:rPr>
              <w:color w:val="0070C0"/>
              <w:sz w:val="21"/>
              <w:szCs w:val="21"/>
              <w14:textOutline w14:w="4356" w14:cap="flat" w14:cmpd="sng">
                <w14:solidFill>
                  <w14:srgbClr w14:val="0070C0"/>
                </w14:solidFill>
                <w14:prstDash w14:val="solid"/>
                <w14:miter w14:val="0"/>
              </w14:textOutline>
            </w:rPr>
            <w:tab/>
          </w:r>
          <w:r>
            <w:rPr>
              <w:b/>
              <w:bCs/>
              <w:color w:val="0070C0"/>
              <w:spacing w:val="-10"/>
              <w:sz w:val="24"/>
              <w:szCs w:val="24"/>
            </w:rPr>
            <w:t>282</w:t>
          </w:r>
          <w:r>
            <w:rPr>
              <w:b/>
              <w:bCs/>
              <w:color w:val="0070C0"/>
              <w:spacing w:val="-10"/>
              <w:sz w:val="24"/>
              <w:szCs w:val="24"/>
            </w:rPr>
            <w:fldChar w:fldCharType="end"/>
          </w:r>
        </w:p>
      </w:sdtContent>
    </w:sdt>
    <w:p w14:paraId="16290825">
      <w:pPr>
        <w:spacing w:line="219" w:lineRule="auto"/>
        <w:rPr>
          <w:sz w:val="24"/>
          <w:szCs w:val="24"/>
        </w:rPr>
        <w:sectPr>
          <w:footerReference r:id="rId12" w:type="default"/>
          <w:pgSz w:w="11907" w:h="16839"/>
          <w:pgMar w:top="1018" w:right="3" w:bottom="1179" w:left="0" w:header="562" w:footer="498" w:gutter="0"/>
          <w:pgBorders>
            <w:top w:val="none" w:sz="0" w:space="0"/>
            <w:left w:val="none" w:sz="0" w:space="0"/>
            <w:bottom w:val="none" w:sz="0" w:space="0"/>
            <w:right w:val="none" w:sz="0" w:space="0"/>
          </w:pgBorders>
          <w:cols w:space="720" w:num="1"/>
        </w:sectPr>
      </w:pPr>
    </w:p>
    <w:p w14:paraId="7521EF1D">
      <w:pPr>
        <w:spacing w:line="243" w:lineRule="auto"/>
        <w:rPr>
          <w:rFonts w:ascii="Arial"/>
          <w:sz w:val="21"/>
        </w:rPr>
      </w:pPr>
    </w:p>
    <w:p w14:paraId="39193FF1">
      <w:pPr>
        <w:spacing w:line="244" w:lineRule="auto"/>
        <w:rPr>
          <w:rFonts w:ascii="Arial"/>
          <w:sz w:val="21"/>
        </w:rPr>
      </w:pPr>
    </w:p>
    <w:sdt>
      <w:sdtPr>
        <w:rPr>
          <w:rFonts w:ascii="仿宋" w:hAnsi="仿宋" w:eastAsia="仿宋" w:cs="仿宋"/>
          <w:sz w:val="21"/>
          <w:szCs w:val="21"/>
        </w:rPr>
        <w:id w:val="147453798"/>
        <w:docPartObj>
          <w:docPartGallery w:val="Table of Contents"/>
          <w:docPartUnique/>
        </w:docPartObj>
      </w:sdtPr>
      <w:sdtEndPr>
        <w:rPr>
          <w:rFonts w:ascii="仿宋" w:hAnsi="仿宋" w:eastAsia="仿宋" w:cs="仿宋"/>
          <w:sz w:val="24"/>
          <w:szCs w:val="24"/>
        </w:rPr>
      </w:sdtEndPr>
      <w:sdtContent>
        <w:p w14:paraId="3FC43382">
          <w:pPr>
            <w:pStyle w:val="2"/>
            <w:tabs>
              <w:tab w:val="right" w:leader="dot" w:pos="10107"/>
            </w:tabs>
            <w:spacing w:before="78" w:line="185" w:lineRule="auto"/>
            <w:ind w:left="2516"/>
            <w:rPr>
              <w:sz w:val="24"/>
              <w:szCs w:val="24"/>
            </w:rPr>
          </w:pPr>
          <w:r>
            <w:fldChar w:fldCharType="begin"/>
          </w:r>
          <w:r>
            <w:instrText xml:space="preserve">HYPERLINK\l"bookmark155"</w:instrText>
          </w:r>
          <w:r>
            <w:fldChar w:fldCharType="separate"/>
          </w:r>
          <w:r>
            <w:rPr>
              <w:spacing w:val="-21"/>
              <w:sz w:val="21"/>
              <w:szCs w:val="21"/>
            </w:rPr>
            <w:t>一、原材料质量控制</w:t>
          </w:r>
          <w:r>
            <w:rPr>
              <w:sz w:val="21"/>
              <w:szCs w:val="21"/>
            </w:rPr>
            <w:tab/>
          </w:r>
          <w:r>
            <w:rPr>
              <w:spacing w:val="-8"/>
              <w:sz w:val="24"/>
              <w:szCs w:val="24"/>
            </w:rPr>
            <w:t>282</w:t>
          </w:r>
          <w:r>
            <w:rPr>
              <w:spacing w:val="-8"/>
              <w:sz w:val="24"/>
              <w:szCs w:val="24"/>
            </w:rPr>
            <w:fldChar w:fldCharType="end"/>
          </w:r>
        </w:p>
        <w:p w14:paraId="0F86D458">
          <w:pPr>
            <w:pStyle w:val="2"/>
            <w:tabs>
              <w:tab w:val="right" w:leader="dot" w:pos="10107"/>
            </w:tabs>
            <w:spacing w:before="198" w:line="185" w:lineRule="auto"/>
            <w:ind w:left="2519"/>
            <w:rPr>
              <w:sz w:val="24"/>
              <w:szCs w:val="24"/>
            </w:rPr>
          </w:pPr>
          <w:r>
            <w:fldChar w:fldCharType="begin"/>
          </w:r>
          <w:r>
            <w:instrText xml:space="preserve">HYPERLINK\l"bookmark156"</w:instrText>
          </w:r>
          <w:r>
            <w:fldChar w:fldCharType="separate"/>
          </w:r>
          <w:r>
            <w:rPr>
              <w:spacing w:val="-22"/>
              <w:sz w:val="21"/>
              <w:szCs w:val="21"/>
            </w:rPr>
            <w:t>二、施工机械设备质量控制</w:t>
          </w:r>
          <w:r>
            <w:rPr>
              <w:sz w:val="21"/>
              <w:szCs w:val="21"/>
            </w:rPr>
            <w:tab/>
          </w:r>
          <w:r>
            <w:rPr>
              <w:spacing w:val="-8"/>
              <w:sz w:val="24"/>
              <w:szCs w:val="24"/>
            </w:rPr>
            <w:t>283</w:t>
          </w:r>
          <w:r>
            <w:rPr>
              <w:spacing w:val="-8"/>
              <w:sz w:val="24"/>
              <w:szCs w:val="24"/>
            </w:rPr>
            <w:fldChar w:fldCharType="end"/>
          </w:r>
        </w:p>
        <w:p w14:paraId="16755671">
          <w:pPr>
            <w:pStyle w:val="2"/>
            <w:tabs>
              <w:tab w:val="right" w:leader="dot" w:pos="10110"/>
            </w:tabs>
            <w:spacing w:before="201" w:line="185" w:lineRule="auto"/>
            <w:ind w:left="2243"/>
            <w:rPr>
              <w:sz w:val="24"/>
              <w:szCs w:val="24"/>
            </w:rPr>
          </w:pPr>
          <w:r>
            <w:fldChar w:fldCharType="begin"/>
          </w:r>
          <w:r>
            <w:instrText xml:space="preserve">HYPERLINK\l"bookmark157"</w:instrText>
          </w:r>
          <w:r>
            <w:fldChar w:fldCharType="separate"/>
          </w:r>
          <w:r>
            <w:rPr>
              <w:b/>
              <w:bCs/>
              <w:color w:val="0070C0"/>
              <w:spacing w:val="-23"/>
              <w:sz w:val="21"/>
              <w:szCs w:val="21"/>
            </w:rPr>
            <w:t>第十节、项维修管理暂行规定</w:t>
          </w:r>
          <w:r>
            <w:rPr>
              <w:color w:val="0070C0"/>
              <w:sz w:val="21"/>
              <w:szCs w:val="21"/>
              <w14:textOutline w14:w="4356" w14:cap="flat" w14:cmpd="sng">
                <w14:solidFill>
                  <w14:srgbClr w14:val="0070C0"/>
                </w14:solidFill>
                <w14:prstDash w14:val="solid"/>
                <w14:miter w14:val="0"/>
              </w14:textOutline>
            </w:rPr>
            <w:tab/>
          </w:r>
          <w:r>
            <w:rPr>
              <w:b/>
              <w:bCs/>
              <w:color w:val="0070C0"/>
              <w:spacing w:val="-10"/>
              <w:sz w:val="24"/>
              <w:szCs w:val="24"/>
            </w:rPr>
            <w:t>283</w:t>
          </w:r>
          <w:r>
            <w:rPr>
              <w:b/>
              <w:bCs/>
              <w:color w:val="0070C0"/>
              <w:spacing w:val="-10"/>
              <w:sz w:val="24"/>
              <w:szCs w:val="24"/>
            </w:rPr>
            <w:fldChar w:fldCharType="end"/>
          </w:r>
        </w:p>
        <w:p w14:paraId="5DCF99A2">
          <w:pPr>
            <w:pStyle w:val="2"/>
            <w:tabs>
              <w:tab w:val="right" w:leader="dot" w:pos="10107"/>
            </w:tabs>
            <w:spacing w:before="198" w:line="185" w:lineRule="auto"/>
            <w:ind w:left="2516"/>
            <w:rPr>
              <w:sz w:val="24"/>
              <w:szCs w:val="24"/>
            </w:rPr>
          </w:pPr>
          <w:r>
            <w:fldChar w:fldCharType="begin"/>
          </w:r>
          <w:r>
            <w:instrText xml:space="preserve">HYPERLINK\l"bookmark158"</w:instrText>
          </w:r>
          <w:r>
            <w:fldChar w:fldCharType="separate"/>
          </w:r>
          <w:r>
            <w:rPr>
              <w:spacing w:val="-22"/>
              <w:sz w:val="21"/>
              <w:szCs w:val="21"/>
            </w:rPr>
            <w:t>一、维修管理职责</w:t>
          </w:r>
          <w:r>
            <w:rPr>
              <w:sz w:val="21"/>
              <w:szCs w:val="21"/>
            </w:rPr>
            <w:tab/>
          </w:r>
          <w:r>
            <w:rPr>
              <w:spacing w:val="-8"/>
              <w:sz w:val="24"/>
              <w:szCs w:val="24"/>
            </w:rPr>
            <w:t>283</w:t>
          </w:r>
          <w:r>
            <w:rPr>
              <w:spacing w:val="-8"/>
              <w:sz w:val="24"/>
              <w:szCs w:val="24"/>
            </w:rPr>
            <w:fldChar w:fldCharType="end"/>
          </w:r>
        </w:p>
        <w:p w14:paraId="1223A595">
          <w:pPr>
            <w:pStyle w:val="2"/>
            <w:tabs>
              <w:tab w:val="right" w:leader="dot" w:pos="10107"/>
            </w:tabs>
            <w:spacing w:before="198" w:line="185" w:lineRule="auto"/>
            <w:ind w:left="2519"/>
            <w:rPr>
              <w:sz w:val="24"/>
              <w:szCs w:val="24"/>
            </w:rPr>
          </w:pPr>
          <w:r>
            <w:fldChar w:fldCharType="begin"/>
          </w:r>
          <w:r>
            <w:instrText xml:space="preserve">HYPERLINK\l"bookmark159"</w:instrText>
          </w:r>
          <w:r>
            <w:fldChar w:fldCharType="separate"/>
          </w:r>
          <w:r>
            <w:rPr>
              <w:spacing w:val="-22"/>
              <w:sz w:val="21"/>
              <w:szCs w:val="21"/>
            </w:rPr>
            <w:t>二、工程回访</w:t>
          </w:r>
          <w:r>
            <w:rPr>
              <w:sz w:val="21"/>
              <w:szCs w:val="21"/>
            </w:rPr>
            <w:tab/>
          </w:r>
          <w:r>
            <w:rPr>
              <w:spacing w:val="-8"/>
              <w:sz w:val="24"/>
              <w:szCs w:val="24"/>
            </w:rPr>
            <w:t>284</w:t>
          </w:r>
          <w:r>
            <w:rPr>
              <w:spacing w:val="-8"/>
              <w:sz w:val="24"/>
              <w:szCs w:val="24"/>
            </w:rPr>
            <w:fldChar w:fldCharType="end"/>
          </w:r>
        </w:p>
        <w:p w14:paraId="3C1D76A9">
          <w:pPr>
            <w:pStyle w:val="2"/>
            <w:tabs>
              <w:tab w:val="right" w:leader="dot" w:pos="10107"/>
            </w:tabs>
            <w:spacing w:before="201" w:line="185" w:lineRule="auto"/>
            <w:ind w:left="2518"/>
            <w:rPr>
              <w:sz w:val="24"/>
              <w:szCs w:val="24"/>
            </w:rPr>
          </w:pPr>
          <w:r>
            <w:fldChar w:fldCharType="begin"/>
          </w:r>
          <w:r>
            <w:instrText xml:space="preserve">HYPERLINK\l"bookmark160"</w:instrText>
          </w:r>
          <w:r>
            <w:fldChar w:fldCharType="separate"/>
          </w:r>
          <w:r>
            <w:rPr>
              <w:spacing w:val="-20"/>
              <w:sz w:val="21"/>
              <w:szCs w:val="21"/>
            </w:rPr>
            <w:t>三、业主/用户投诉</w:t>
          </w:r>
          <w:r>
            <w:rPr>
              <w:sz w:val="21"/>
              <w:szCs w:val="21"/>
            </w:rPr>
            <w:tab/>
          </w:r>
          <w:r>
            <w:rPr>
              <w:spacing w:val="-8"/>
              <w:sz w:val="24"/>
              <w:szCs w:val="24"/>
            </w:rPr>
            <w:t>284</w:t>
          </w:r>
          <w:r>
            <w:rPr>
              <w:spacing w:val="-8"/>
              <w:sz w:val="24"/>
              <w:szCs w:val="24"/>
            </w:rPr>
            <w:fldChar w:fldCharType="end"/>
          </w:r>
        </w:p>
        <w:p w14:paraId="627B1A44">
          <w:pPr>
            <w:pStyle w:val="2"/>
            <w:tabs>
              <w:tab w:val="right" w:leader="dot" w:pos="10107"/>
            </w:tabs>
            <w:spacing w:before="199" w:line="185" w:lineRule="auto"/>
            <w:ind w:left="2537"/>
            <w:rPr>
              <w:sz w:val="24"/>
              <w:szCs w:val="24"/>
            </w:rPr>
          </w:pPr>
          <w:r>
            <w:fldChar w:fldCharType="begin"/>
          </w:r>
          <w:r>
            <w:instrText xml:space="preserve">HYPERLINK\l"bookmark161"</w:instrText>
          </w:r>
          <w:r>
            <w:fldChar w:fldCharType="separate"/>
          </w:r>
          <w:r>
            <w:rPr>
              <w:spacing w:val="-25"/>
              <w:sz w:val="21"/>
              <w:szCs w:val="21"/>
            </w:rPr>
            <w:t>四、工程维修</w:t>
          </w:r>
          <w:r>
            <w:rPr>
              <w:sz w:val="21"/>
              <w:szCs w:val="21"/>
            </w:rPr>
            <w:tab/>
          </w:r>
          <w:r>
            <w:rPr>
              <w:spacing w:val="-8"/>
              <w:sz w:val="24"/>
              <w:szCs w:val="24"/>
            </w:rPr>
            <w:t>284</w:t>
          </w:r>
          <w:r>
            <w:rPr>
              <w:spacing w:val="-8"/>
              <w:sz w:val="24"/>
              <w:szCs w:val="24"/>
            </w:rPr>
            <w:fldChar w:fldCharType="end"/>
          </w:r>
        </w:p>
        <w:p w14:paraId="4389D88E">
          <w:pPr>
            <w:pStyle w:val="2"/>
            <w:tabs>
              <w:tab w:val="right" w:leader="dot" w:pos="10107"/>
            </w:tabs>
            <w:spacing w:before="199" w:line="185" w:lineRule="auto"/>
            <w:ind w:left="2516"/>
            <w:rPr>
              <w:sz w:val="24"/>
              <w:szCs w:val="24"/>
            </w:rPr>
          </w:pPr>
          <w:r>
            <w:fldChar w:fldCharType="begin"/>
          </w:r>
          <w:r>
            <w:instrText xml:space="preserve">HYPERLINK\l"bookmark162"</w:instrText>
          </w:r>
          <w:r>
            <w:fldChar w:fldCharType="separate"/>
          </w:r>
          <w:r>
            <w:rPr>
              <w:spacing w:val="-22"/>
              <w:sz w:val="21"/>
              <w:szCs w:val="21"/>
            </w:rPr>
            <w:t>五、附则</w:t>
          </w:r>
          <w:r>
            <w:rPr>
              <w:sz w:val="21"/>
              <w:szCs w:val="21"/>
            </w:rPr>
            <w:tab/>
          </w:r>
          <w:r>
            <w:rPr>
              <w:spacing w:val="-8"/>
              <w:sz w:val="24"/>
              <w:szCs w:val="24"/>
            </w:rPr>
            <w:t>285</w:t>
          </w:r>
          <w:r>
            <w:rPr>
              <w:spacing w:val="-8"/>
              <w:sz w:val="24"/>
              <w:szCs w:val="24"/>
            </w:rPr>
            <w:fldChar w:fldCharType="end"/>
          </w:r>
        </w:p>
        <w:p w14:paraId="1107F225">
          <w:pPr>
            <w:pStyle w:val="2"/>
            <w:tabs>
              <w:tab w:val="right" w:leader="dot" w:pos="10109"/>
            </w:tabs>
            <w:spacing w:before="149" w:line="185" w:lineRule="auto"/>
            <w:ind w:left="1823"/>
            <w:rPr>
              <w:sz w:val="30"/>
              <w:szCs w:val="30"/>
            </w:rPr>
          </w:pPr>
          <w:r>
            <w:fldChar w:fldCharType="begin"/>
          </w:r>
          <w:r>
            <w:instrText xml:space="preserve">HYPERLINK\l"bookmark163"</w:instrText>
          </w:r>
          <w:r>
            <w:fldChar w:fldCharType="separate"/>
          </w:r>
          <w:r>
            <w:rPr>
              <w:b/>
              <w:bCs/>
              <w:color w:val="7030A0"/>
              <w:spacing w:val="-22"/>
              <w:sz w:val="21"/>
              <w:szCs w:val="21"/>
            </w:rPr>
            <w:t>第六章、确保工期的技术组织措施</w:t>
          </w:r>
          <w:r>
            <w:rPr>
              <w:color w:val="7030A0"/>
              <w:sz w:val="21"/>
              <w:szCs w:val="21"/>
              <w14:textOutline w14:w="5448" w14:cap="flat" w14:cmpd="sng">
                <w14:solidFill>
                  <w14:srgbClr w14:val="7030A0"/>
                </w14:solidFill>
                <w14:prstDash w14:val="solid"/>
                <w14:miter w14:val="0"/>
              </w14:textOutline>
            </w:rPr>
            <w:tab/>
          </w:r>
          <w:r>
            <w:rPr>
              <w:b/>
              <w:bCs/>
              <w:color w:val="7030A0"/>
              <w:spacing w:val="-11"/>
              <w:sz w:val="30"/>
              <w:szCs w:val="30"/>
            </w:rPr>
            <w:t>288</w:t>
          </w:r>
          <w:r>
            <w:rPr>
              <w:b/>
              <w:bCs/>
              <w:color w:val="7030A0"/>
              <w:spacing w:val="-11"/>
              <w:sz w:val="30"/>
              <w:szCs w:val="30"/>
            </w:rPr>
            <w:fldChar w:fldCharType="end"/>
          </w:r>
        </w:p>
        <w:p w14:paraId="224A0EAB">
          <w:pPr>
            <w:pStyle w:val="2"/>
            <w:tabs>
              <w:tab w:val="right" w:leader="dot" w:pos="10110"/>
            </w:tabs>
            <w:spacing w:before="191" w:line="185" w:lineRule="auto"/>
            <w:ind w:left="2243"/>
            <w:rPr>
              <w:sz w:val="24"/>
              <w:szCs w:val="24"/>
            </w:rPr>
          </w:pPr>
          <w:r>
            <w:fldChar w:fldCharType="begin"/>
          </w:r>
          <w:r>
            <w:instrText xml:space="preserve">HYPERLINK\l"bookmark164"</w:instrText>
          </w:r>
          <w:r>
            <w:fldChar w:fldCharType="separate"/>
          </w:r>
          <w:r>
            <w:rPr>
              <w:b/>
              <w:bCs/>
              <w:color w:val="0070C0"/>
              <w:spacing w:val="-23"/>
              <w:sz w:val="21"/>
              <w:szCs w:val="21"/>
            </w:rPr>
            <w:t>第一节、工程总进度计划编制</w:t>
          </w:r>
          <w:r>
            <w:rPr>
              <w:color w:val="0070C0"/>
              <w:sz w:val="21"/>
              <w:szCs w:val="21"/>
              <w14:textOutline w14:w="4356" w14:cap="flat" w14:cmpd="sng">
                <w14:solidFill>
                  <w14:srgbClr w14:val="0070C0"/>
                </w14:solidFill>
                <w14:prstDash w14:val="solid"/>
                <w14:miter w14:val="0"/>
              </w14:textOutline>
            </w:rPr>
            <w:tab/>
          </w:r>
          <w:r>
            <w:rPr>
              <w:b/>
              <w:bCs/>
              <w:color w:val="0070C0"/>
              <w:spacing w:val="-10"/>
              <w:sz w:val="24"/>
              <w:szCs w:val="24"/>
            </w:rPr>
            <w:t>288</w:t>
          </w:r>
          <w:r>
            <w:rPr>
              <w:b/>
              <w:bCs/>
              <w:color w:val="0070C0"/>
              <w:spacing w:val="-10"/>
              <w:sz w:val="24"/>
              <w:szCs w:val="24"/>
            </w:rPr>
            <w:fldChar w:fldCharType="end"/>
          </w:r>
        </w:p>
        <w:p w14:paraId="4CD546CF">
          <w:pPr>
            <w:pStyle w:val="2"/>
            <w:tabs>
              <w:tab w:val="right" w:leader="dot" w:pos="10107"/>
            </w:tabs>
            <w:spacing w:before="199" w:line="185" w:lineRule="auto"/>
            <w:ind w:left="2516"/>
            <w:rPr>
              <w:sz w:val="24"/>
              <w:szCs w:val="24"/>
            </w:rPr>
          </w:pPr>
          <w:r>
            <w:fldChar w:fldCharType="begin"/>
          </w:r>
          <w:r>
            <w:instrText xml:space="preserve">HYPERLINK\l"bookmark165"</w:instrText>
          </w:r>
          <w:r>
            <w:fldChar w:fldCharType="separate"/>
          </w:r>
          <w:r>
            <w:rPr>
              <w:spacing w:val="-21"/>
              <w:sz w:val="21"/>
              <w:szCs w:val="21"/>
            </w:rPr>
            <w:t>一、施工总工期安排</w:t>
          </w:r>
          <w:r>
            <w:rPr>
              <w:sz w:val="21"/>
              <w:szCs w:val="21"/>
            </w:rPr>
            <w:tab/>
          </w:r>
          <w:r>
            <w:rPr>
              <w:spacing w:val="-8"/>
              <w:sz w:val="24"/>
              <w:szCs w:val="24"/>
            </w:rPr>
            <w:t>288</w:t>
          </w:r>
          <w:r>
            <w:rPr>
              <w:spacing w:val="-8"/>
              <w:sz w:val="24"/>
              <w:szCs w:val="24"/>
            </w:rPr>
            <w:fldChar w:fldCharType="end"/>
          </w:r>
        </w:p>
        <w:p w14:paraId="44823F48">
          <w:pPr>
            <w:pStyle w:val="2"/>
            <w:tabs>
              <w:tab w:val="right" w:leader="dot" w:pos="10107"/>
            </w:tabs>
            <w:spacing w:before="201" w:line="185" w:lineRule="auto"/>
            <w:ind w:left="2519"/>
            <w:rPr>
              <w:sz w:val="24"/>
              <w:szCs w:val="24"/>
            </w:rPr>
          </w:pPr>
          <w:r>
            <w:fldChar w:fldCharType="begin"/>
          </w:r>
          <w:r>
            <w:instrText xml:space="preserve">HYPERLINK\l"bookmark166"</w:instrText>
          </w:r>
          <w:r>
            <w:fldChar w:fldCharType="separate"/>
          </w:r>
          <w:r>
            <w:rPr>
              <w:spacing w:val="-22"/>
              <w:sz w:val="21"/>
              <w:szCs w:val="21"/>
            </w:rPr>
            <w:t>二、进度网络计划</w:t>
          </w:r>
          <w:r>
            <w:rPr>
              <w:sz w:val="21"/>
              <w:szCs w:val="21"/>
            </w:rPr>
            <w:tab/>
          </w:r>
          <w:r>
            <w:rPr>
              <w:spacing w:val="-8"/>
              <w:sz w:val="24"/>
              <w:szCs w:val="24"/>
            </w:rPr>
            <w:t>289</w:t>
          </w:r>
          <w:r>
            <w:rPr>
              <w:spacing w:val="-8"/>
              <w:sz w:val="24"/>
              <w:szCs w:val="24"/>
            </w:rPr>
            <w:fldChar w:fldCharType="end"/>
          </w:r>
        </w:p>
        <w:p w14:paraId="7152BE96">
          <w:pPr>
            <w:pStyle w:val="2"/>
            <w:tabs>
              <w:tab w:val="right" w:leader="dot" w:pos="10107"/>
            </w:tabs>
            <w:spacing w:before="199" w:line="185" w:lineRule="auto"/>
            <w:ind w:left="2518"/>
            <w:rPr>
              <w:sz w:val="24"/>
              <w:szCs w:val="24"/>
            </w:rPr>
          </w:pPr>
          <w:r>
            <w:fldChar w:fldCharType="begin"/>
          </w:r>
          <w:r>
            <w:instrText xml:space="preserve">HYPERLINK\l"bookmark167"</w:instrText>
          </w:r>
          <w:r>
            <w:fldChar w:fldCharType="separate"/>
          </w:r>
          <w:r>
            <w:rPr>
              <w:spacing w:val="-21"/>
              <w:sz w:val="21"/>
              <w:szCs w:val="21"/>
            </w:rPr>
            <w:t>三、施工网络图编制指导思想</w:t>
          </w:r>
          <w:r>
            <w:rPr>
              <w:sz w:val="21"/>
              <w:szCs w:val="21"/>
            </w:rPr>
            <w:tab/>
          </w:r>
          <w:r>
            <w:rPr>
              <w:spacing w:val="-8"/>
              <w:sz w:val="24"/>
              <w:szCs w:val="24"/>
            </w:rPr>
            <w:t>291</w:t>
          </w:r>
          <w:r>
            <w:rPr>
              <w:spacing w:val="-8"/>
              <w:sz w:val="24"/>
              <w:szCs w:val="24"/>
            </w:rPr>
            <w:fldChar w:fldCharType="end"/>
          </w:r>
        </w:p>
        <w:p w14:paraId="5E29C14F">
          <w:pPr>
            <w:pStyle w:val="2"/>
            <w:tabs>
              <w:tab w:val="right" w:leader="dot" w:pos="10107"/>
            </w:tabs>
            <w:spacing w:before="198" w:line="185" w:lineRule="auto"/>
            <w:ind w:left="2537"/>
            <w:rPr>
              <w:sz w:val="24"/>
              <w:szCs w:val="24"/>
            </w:rPr>
          </w:pPr>
          <w:r>
            <w:fldChar w:fldCharType="begin"/>
          </w:r>
          <w:r>
            <w:instrText xml:space="preserve">HYPERLINK\l"bookmark168"</w:instrText>
          </w:r>
          <w:r>
            <w:fldChar w:fldCharType="separate"/>
          </w:r>
          <w:r>
            <w:rPr>
              <w:spacing w:val="-23"/>
              <w:sz w:val="21"/>
              <w:szCs w:val="21"/>
            </w:rPr>
            <w:t>四、施工进度网络图横道图</w:t>
          </w:r>
          <w:r>
            <w:rPr>
              <w:sz w:val="21"/>
              <w:szCs w:val="21"/>
            </w:rPr>
            <w:tab/>
          </w:r>
          <w:r>
            <w:rPr>
              <w:spacing w:val="-8"/>
              <w:sz w:val="24"/>
              <w:szCs w:val="24"/>
            </w:rPr>
            <w:t>293</w:t>
          </w:r>
          <w:r>
            <w:rPr>
              <w:spacing w:val="-8"/>
              <w:sz w:val="24"/>
              <w:szCs w:val="24"/>
            </w:rPr>
            <w:fldChar w:fldCharType="end"/>
          </w:r>
        </w:p>
        <w:p w14:paraId="0CCBF896">
          <w:pPr>
            <w:pStyle w:val="2"/>
            <w:tabs>
              <w:tab w:val="right" w:leader="dot" w:pos="10110"/>
            </w:tabs>
            <w:spacing w:before="201" w:line="185" w:lineRule="auto"/>
            <w:ind w:left="2243"/>
            <w:rPr>
              <w:sz w:val="24"/>
              <w:szCs w:val="24"/>
            </w:rPr>
          </w:pPr>
          <w:r>
            <w:fldChar w:fldCharType="begin"/>
          </w:r>
          <w:r>
            <w:instrText xml:space="preserve">HYPERLINK\l"bookmark169"</w:instrText>
          </w:r>
          <w:r>
            <w:fldChar w:fldCharType="separate"/>
          </w:r>
          <w:r>
            <w:rPr>
              <w:b/>
              <w:bCs/>
              <w:color w:val="0070C0"/>
              <w:spacing w:val="-23"/>
              <w:sz w:val="21"/>
              <w:szCs w:val="21"/>
            </w:rPr>
            <w:t>第二节、保证工程进度计划实施保证措施</w:t>
          </w:r>
          <w:r>
            <w:rPr>
              <w:b/>
              <w:bCs/>
              <w:color w:val="0070C0"/>
              <w:sz w:val="21"/>
              <w:szCs w:val="21"/>
              <w14:textOutline w14:w="4356" w14:cap="flat" w14:cmpd="sng">
                <w14:solidFill>
                  <w14:srgbClr w14:val="0070C0"/>
                </w14:solidFill>
                <w14:prstDash w14:val="solid"/>
                <w14:miter w14:val="0"/>
              </w14:textOutline>
            </w:rPr>
            <w:tab/>
          </w:r>
          <w:r>
            <w:rPr>
              <w:b/>
              <w:bCs/>
              <w:color w:val="0070C0"/>
              <w:spacing w:val="-10"/>
              <w:sz w:val="24"/>
              <w:szCs w:val="24"/>
            </w:rPr>
            <w:t>296</w:t>
          </w:r>
          <w:r>
            <w:rPr>
              <w:b/>
              <w:bCs/>
              <w:color w:val="0070C0"/>
              <w:spacing w:val="-10"/>
              <w:sz w:val="24"/>
              <w:szCs w:val="24"/>
            </w:rPr>
            <w:fldChar w:fldCharType="end"/>
          </w:r>
        </w:p>
        <w:p w14:paraId="167B287B">
          <w:pPr>
            <w:pStyle w:val="2"/>
            <w:tabs>
              <w:tab w:val="right" w:leader="dot" w:pos="10107"/>
            </w:tabs>
            <w:spacing w:before="199" w:line="185" w:lineRule="auto"/>
            <w:ind w:left="2516"/>
            <w:rPr>
              <w:sz w:val="24"/>
              <w:szCs w:val="24"/>
            </w:rPr>
          </w:pPr>
          <w:r>
            <w:fldChar w:fldCharType="begin"/>
          </w:r>
          <w:r>
            <w:instrText xml:space="preserve">HYPERLINK\l"bookmark170"</w:instrText>
          </w:r>
          <w:r>
            <w:fldChar w:fldCharType="separate"/>
          </w:r>
          <w:r>
            <w:rPr>
              <w:spacing w:val="-21"/>
              <w:sz w:val="21"/>
              <w:szCs w:val="21"/>
            </w:rPr>
            <w:t>一、确保工期的技术组织措施</w:t>
          </w:r>
          <w:r>
            <w:rPr>
              <w:sz w:val="21"/>
              <w:szCs w:val="21"/>
            </w:rPr>
            <w:tab/>
          </w:r>
          <w:r>
            <w:rPr>
              <w:spacing w:val="-8"/>
              <w:sz w:val="24"/>
              <w:szCs w:val="24"/>
            </w:rPr>
            <w:t>296</w:t>
          </w:r>
          <w:r>
            <w:rPr>
              <w:spacing w:val="-8"/>
              <w:sz w:val="24"/>
              <w:szCs w:val="24"/>
            </w:rPr>
            <w:fldChar w:fldCharType="end"/>
          </w:r>
        </w:p>
        <w:p w14:paraId="72BBF5A4">
          <w:pPr>
            <w:pStyle w:val="2"/>
            <w:tabs>
              <w:tab w:val="right" w:leader="dot" w:pos="10107"/>
            </w:tabs>
            <w:spacing w:before="199" w:line="185" w:lineRule="auto"/>
            <w:ind w:left="2519"/>
            <w:rPr>
              <w:sz w:val="24"/>
              <w:szCs w:val="24"/>
            </w:rPr>
          </w:pPr>
          <w:r>
            <w:fldChar w:fldCharType="begin"/>
          </w:r>
          <w:r>
            <w:instrText xml:space="preserve">HYPERLINK\l"bookmark171"</w:instrText>
          </w:r>
          <w:r>
            <w:fldChar w:fldCharType="separate"/>
          </w:r>
          <w:r>
            <w:rPr>
              <w:spacing w:val="-22"/>
              <w:sz w:val="21"/>
              <w:szCs w:val="21"/>
            </w:rPr>
            <w:t>二、影响关键工期节点及其按时完成保证措施</w:t>
          </w:r>
          <w:r>
            <w:rPr>
              <w:sz w:val="21"/>
              <w:szCs w:val="21"/>
            </w:rPr>
            <w:tab/>
          </w:r>
          <w:r>
            <w:rPr>
              <w:spacing w:val="-8"/>
              <w:sz w:val="24"/>
              <w:szCs w:val="24"/>
            </w:rPr>
            <w:t>298</w:t>
          </w:r>
          <w:r>
            <w:rPr>
              <w:spacing w:val="-8"/>
              <w:sz w:val="24"/>
              <w:szCs w:val="24"/>
            </w:rPr>
            <w:fldChar w:fldCharType="end"/>
          </w:r>
        </w:p>
        <w:p w14:paraId="75377720">
          <w:pPr>
            <w:pStyle w:val="2"/>
            <w:tabs>
              <w:tab w:val="right" w:leader="dot" w:pos="10107"/>
            </w:tabs>
            <w:spacing w:before="201" w:line="185" w:lineRule="auto"/>
            <w:ind w:left="2518"/>
            <w:rPr>
              <w:sz w:val="24"/>
              <w:szCs w:val="24"/>
            </w:rPr>
          </w:pPr>
          <w:r>
            <w:fldChar w:fldCharType="begin"/>
          </w:r>
          <w:r>
            <w:instrText xml:space="preserve">HYPERLINK\l"bookmark172"</w:instrText>
          </w:r>
          <w:r>
            <w:fldChar w:fldCharType="separate"/>
          </w:r>
          <w:r>
            <w:rPr>
              <w:spacing w:val="-21"/>
              <w:sz w:val="21"/>
              <w:szCs w:val="21"/>
            </w:rPr>
            <w:t>三、施工过程中进度计划实施管理</w:t>
          </w:r>
          <w:r>
            <w:rPr>
              <w:sz w:val="21"/>
              <w:szCs w:val="21"/>
            </w:rPr>
            <w:tab/>
          </w:r>
          <w:r>
            <w:rPr>
              <w:spacing w:val="-9"/>
              <w:sz w:val="24"/>
              <w:szCs w:val="24"/>
            </w:rPr>
            <w:t>300</w:t>
          </w:r>
          <w:r>
            <w:rPr>
              <w:spacing w:val="-9"/>
              <w:sz w:val="24"/>
              <w:szCs w:val="24"/>
            </w:rPr>
            <w:fldChar w:fldCharType="end"/>
          </w:r>
        </w:p>
        <w:p w14:paraId="41588ECF">
          <w:pPr>
            <w:pStyle w:val="2"/>
            <w:tabs>
              <w:tab w:val="right" w:leader="dot" w:pos="10107"/>
            </w:tabs>
            <w:spacing w:before="199" w:line="185" w:lineRule="auto"/>
            <w:ind w:left="2537"/>
            <w:rPr>
              <w:sz w:val="24"/>
              <w:szCs w:val="24"/>
            </w:rPr>
          </w:pPr>
          <w:r>
            <w:fldChar w:fldCharType="begin"/>
          </w:r>
          <w:r>
            <w:instrText xml:space="preserve">HYPERLINK\l"bookmark173"</w:instrText>
          </w:r>
          <w:r>
            <w:fldChar w:fldCharType="separate"/>
          </w:r>
          <w:r>
            <w:rPr>
              <w:spacing w:val="-23"/>
              <w:sz w:val="21"/>
              <w:szCs w:val="21"/>
            </w:rPr>
            <w:t>四、沟槽开挖施工阶段进度保证措施</w:t>
          </w:r>
          <w:r>
            <w:rPr>
              <w:sz w:val="21"/>
              <w:szCs w:val="21"/>
            </w:rPr>
            <w:tab/>
          </w:r>
          <w:r>
            <w:rPr>
              <w:spacing w:val="-9"/>
              <w:sz w:val="24"/>
              <w:szCs w:val="24"/>
            </w:rPr>
            <w:t>303</w:t>
          </w:r>
          <w:r>
            <w:rPr>
              <w:spacing w:val="-9"/>
              <w:sz w:val="24"/>
              <w:szCs w:val="24"/>
            </w:rPr>
            <w:fldChar w:fldCharType="end"/>
          </w:r>
        </w:p>
        <w:p w14:paraId="7BFD3B86">
          <w:pPr>
            <w:pStyle w:val="2"/>
            <w:tabs>
              <w:tab w:val="right" w:leader="dot" w:pos="10107"/>
            </w:tabs>
            <w:spacing w:before="199" w:line="185" w:lineRule="auto"/>
            <w:ind w:left="2516"/>
            <w:rPr>
              <w:sz w:val="24"/>
              <w:szCs w:val="24"/>
            </w:rPr>
          </w:pPr>
          <w:r>
            <w:fldChar w:fldCharType="begin"/>
          </w:r>
          <w:r>
            <w:instrText xml:space="preserve">HYPERLINK\l"bookmark174"</w:instrText>
          </w:r>
          <w:r>
            <w:fldChar w:fldCharType="separate"/>
          </w:r>
          <w:r>
            <w:rPr>
              <w:spacing w:val="-21"/>
              <w:sz w:val="21"/>
              <w:szCs w:val="21"/>
            </w:rPr>
            <w:t>五、其他各施工阶段进度保证措施</w:t>
          </w:r>
          <w:r>
            <w:rPr>
              <w:sz w:val="21"/>
              <w:szCs w:val="21"/>
            </w:rPr>
            <w:tab/>
          </w:r>
          <w:r>
            <w:rPr>
              <w:spacing w:val="-9"/>
              <w:sz w:val="24"/>
              <w:szCs w:val="24"/>
            </w:rPr>
            <w:t>304</w:t>
          </w:r>
          <w:r>
            <w:rPr>
              <w:spacing w:val="-9"/>
              <w:sz w:val="24"/>
              <w:szCs w:val="24"/>
            </w:rPr>
            <w:fldChar w:fldCharType="end"/>
          </w:r>
        </w:p>
        <w:p w14:paraId="45BFCBE3">
          <w:pPr>
            <w:pStyle w:val="2"/>
            <w:tabs>
              <w:tab w:val="right" w:leader="dot" w:pos="10110"/>
            </w:tabs>
            <w:spacing w:before="201" w:line="185" w:lineRule="auto"/>
            <w:ind w:left="2243"/>
            <w:rPr>
              <w:sz w:val="24"/>
              <w:szCs w:val="24"/>
            </w:rPr>
          </w:pPr>
          <w:r>
            <w:fldChar w:fldCharType="begin"/>
          </w:r>
          <w:r>
            <w:instrText xml:space="preserve">HYPERLINK\l"bookmark175"</w:instrText>
          </w:r>
          <w:r>
            <w:fldChar w:fldCharType="separate"/>
          </w:r>
          <w:r>
            <w:rPr>
              <w:b/>
              <w:bCs/>
              <w:color w:val="0070C0"/>
              <w:spacing w:val="-24"/>
              <w:sz w:val="21"/>
              <w:szCs w:val="21"/>
            </w:rPr>
            <w:t>第三节、工期保证具体落实措施</w:t>
          </w:r>
          <w:r>
            <w:rPr>
              <w:b/>
              <w:bCs/>
              <w:color w:val="0070C0"/>
              <w:sz w:val="21"/>
              <w:szCs w:val="21"/>
              <w14:textOutline w14:w="4356" w14:cap="flat" w14:cmpd="sng">
                <w14:solidFill>
                  <w14:srgbClr w14:val="0070C0"/>
                </w14:solidFill>
                <w14:prstDash w14:val="solid"/>
                <w14:miter w14:val="0"/>
              </w14:textOutline>
            </w:rPr>
            <w:tab/>
          </w:r>
          <w:r>
            <w:rPr>
              <w:b/>
              <w:bCs/>
              <w:color w:val="0070C0"/>
              <w:spacing w:val="-10"/>
              <w:sz w:val="24"/>
              <w:szCs w:val="24"/>
            </w:rPr>
            <w:t>310</w:t>
          </w:r>
          <w:r>
            <w:rPr>
              <w:b/>
              <w:bCs/>
              <w:color w:val="0070C0"/>
              <w:spacing w:val="-10"/>
              <w:sz w:val="24"/>
              <w:szCs w:val="24"/>
            </w:rPr>
            <w:fldChar w:fldCharType="end"/>
          </w:r>
        </w:p>
        <w:p w14:paraId="15A9A60A">
          <w:pPr>
            <w:pStyle w:val="2"/>
            <w:tabs>
              <w:tab w:val="right" w:leader="dot" w:pos="10107"/>
            </w:tabs>
            <w:spacing w:before="198" w:line="185" w:lineRule="auto"/>
            <w:ind w:left="2516"/>
            <w:rPr>
              <w:sz w:val="24"/>
              <w:szCs w:val="24"/>
            </w:rPr>
          </w:pPr>
          <w:r>
            <w:fldChar w:fldCharType="begin"/>
          </w:r>
          <w:r>
            <w:instrText xml:space="preserve">HYPERLINK\l"bookmark176"</w:instrText>
          </w:r>
          <w:r>
            <w:fldChar w:fldCharType="separate"/>
          </w:r>
          <w:r>
            <w:rPr>
              <w:spacing w:val="-21"/>
              <w:sz w:val="21"/>
              <w:szCs w:val="21"/>
            </w:rPr>
            <w:t>一、前端控制措施</w:t>
          </w:r>
          <w:r>
            <w:rPr>
              <w:sz w:val="21"/>
              <w:szCs w:val="21"/>
            </w:rPr>
            <w:tab/>
          </w:r>
          <w:r>
            <w:rPr>
              <w:spacing w:val="-9"/>
              <w:sz w:val="24"/>
              <w:szCs w:val="24"/>
            </w:rPr>
            <w:t>310</w:t>
          </w:r>
          <w:r>
            <w:rPr>
              <w:spacing w:val="-9"/>
              <w:sz w:val="24"/>
              <w:szCs w:val="24"/>
            </w:rPr>
            <w:fldChar w:fldCharType="end"/>
          </w:r>
        </w:p>
        <w:p w14:paraId="17CF7B7A">
          <w:pPr>
            <w:pStyle w:val="2"/>
            <w:tabs>
              <w:tab w:val="right" w:leader="dot" w:pos="10107"/>
            </w:tabs>
            <w:spacing w:before="199" w:line="185" w:lineRule="auto"/>
            <w:ind w:left="2519"/>
            <w:rPr>
              <w:sz w:val="24"/>
              <w:szCs w:val="24"/>
            </w:rPr>
          </w:pPr>
          <w:r>
            <w:fldChar w:fldCharType="begin"/>
          </w:r>
          <w:r>
            <w:instrText xml:space="preserve">HYPERLINK\l"bookmark177"</w:instrText>
          </w:r>
          <w:r>
            <w:fldChar w:fldCharType="separate"/>
          </w:r>
          <w:r>
            <w:rPr>
              <w:spacing w:val="-21"/>
              <w:sz w:val="21"/>
              <w:szCs w:val="21"/>
            </w:rPr>
            <w:t>二、劳动力和设备投入的保证措施</w:t>
          </w:r>
          <w:r>
            <w:rPr>
              <w:sz w:val="21"/>
              <w:szCs w:val="21"/>
            </w:rPr>
            <w:tab/>
          </w:r>
          <w:r>
            <w:rPr>
              <w:spacing w:val="-9"/>
              <w:sz w:val="24"/>
              <w:szCs w:val="24"/>
            </w:rPr>
            <w:t>311</w:t>
          </w:r>
          <w:r>
            <w:rPr>
              <w:spacing w:val="-9"/>
              <w:sz w:val="24"/>
              <w:szCs w:val="24"/>
            </w:rPr>
            <w:fldChar w:fldCharType="end"/>
          </w:r>
        </w:p>
        <w:p w14:paraId="57399D12">
          <w:pPr>
            <w:pStyle w:val="2"/>
            <w:tabs>
              <w:tab w:val="right" w:leader="dot" w:pos="10107"/>
            </w:tabs>
            <w:spacing w:before="201" w:line="185" w:lineRule="auto"/>
            <w:ind w:left="2518"/>
            <w:rPr>
              <w:sz w:val="24"/>
              <w:szCs w:val="24"/>
            </w:rPr>
          </w:pPr>
          <w:r>
            <w:fldChar w:fldCharType="begin"/>
          </w:r>
          <w:r>
            <w:instrText xml:space="preserve">HYPERLINK\l"bookmark178"</w:instrText>
          </w:r>
          <w:r>
            <w:fldChar w:fldCharType="separate"/>
          </w:r>
          <w:r>
            <w:rPr>
              <w:spacing w:val="-21"/>
              <w:sz w:val="21"/>
              <w:szCs w:val="21"/>
            </w:rPr>
            <w:t>三、应急和纠正措施</w:t>
          </w:r>
          <w:r>
            <w:rPr>
              <w:sz w:val="21"/>
              <w:szCs w:val="21"/>
            </w:rPr>
            <w:tab/>
          </w:r>
          <w:r>
            <w:rPr>
              <w:spacing w:val="-9"/>
              <w:sz w:val="24"/>
              <w:szCs w:val="24"/>
            </w:rPr>
            <w:t>311</w:t>
          </w:r>
          <w:r>
            <w:rPr>
              <w:spacing w:val="-9"/>
              <w:sz w:val="24"/>
              <w:szCs w:val="24"/>
            </w:rPr>
            <w:fldChar w:fldCharType="end"/>
          </w:r>
        </w:p>
        <w:p w14:paraId="240900EF">
          <w:pPr>
            <w:pStyle w:val="2"/>
            <w:tabs>
              <w:tab w:val="right" w:leader="dot" w:pos="10107"/>
            </w:tabs>
            <w:spacing w:before="199" w:line="185" w:lineRule="auto"/>
            <w:ind w:left="2537"/>
            <w:rPr>
              <w:sz w:val="24"/>
              <w:szCs w:val="24"/>
            </w:rPr>
          </w:pPr>
          <w:r>
            <w:fldChar w:fldCharType="begin"/>
          </w:r>
          <w:r>
            <w:instrText xml:space="preserve">HYPERLINK\l"bookmark179"</w:instrText>
          </w:r>
          <w:r>
            <w:fldChar w:fldCharType="separate"/>
          </w:r>
          <w:r>
            <w:rPr>
              <w:spacing w:val="-24"/>
              <w:sz w:val="21"/>
              <w:szCs w:val="21"/>
            </w:rPr>
            <w:t>四、工期目标保证措施</w:t>
          </w:r>
          <w:r>
            <w:rPr>
              <w:sz w:val="21"/>
              <w:szCs w:val="21"/>
            </w:rPr>
            <w:tab/>
          </w:r>
          <w:r>
            <w:rPr>
              <w:spacing w:val="-9"/>
              <w:sz w:val="24"/>
              <w:szCs w:val="24"/>
            </w:rPr>
            <w:t>312</w:t>
          </w:r>
          <w:r>
            <w:rPr>
              <w:spacing w:val="-9"/>
              <w:sz w:val="24"/>
              <w:szCs w:val="24"/>
            </w:rPr>
            <w:fldChar w:fldCharType="end"/>
          </w:r>
        </w:p>
        <w:p w14:paraId="2B91E03C">
          <w:pPr>
            <w:pStyle w:val="2"/>
            <w:tabs>
              <w:tab w:val="right" w:leader="dot" w:pos="10107"/>
            </w:tabs>
            <w:spacing w:before="199" w:line="185" w:lineRule="auto"/>
            <w:ind w:left="2516"/>
            <w:rPr>
              <w:sz w:val="24"/>
              <w:szCs w:val="24"/>
            </w:rPr>
          </w:pPr>
          <w:r>
            <w:fldChar w:fldCharType="begin"/>
          </w:r>
          <w:r>
            <w:instrText xml:space="preserve">HYPERLINK\l"bookmark180"</w:instrText>
          </w:r>
          <w:r>
            <w:fldChar w:fldCharType="separate"/>
          </w:r>
          <w:r>
            <w:rPr>
              <w:spacing w:val="-20"/>
              <w:sz w:val="21"/>
              <w:szCs w:val="21"/>
            </w:rPr>
            <w:t>五、技术措施</w:t>
          </w:r>
          <w:r>
            <w:rPr>
              <w:sz w:val="21"/>
              <w:szCs w:val="21"/>
            </w:rPr>
            <w:tab/>
          </w:r>
          <w:r>
            <w:rPr>
              <w:spacing w:val="-9"/>
              <w:sz w:val="24"/>
              <w:szCs w:val="24"/>
            </w:rPr>
            <w:t>320</w:t>
          </w:r>
          <w:r>
            <w:rPr>
              <w:spacing w:val="-9"/>
              <w:sz w:val="24"/>
              <w:szCs w:val="24"/>
            </w:rPr>
            <w:fldChar w:fldCharType="end"/>
          </w:r>
        </w:p>
        <w:p w14:paraId="7D7C3512">
          <w:pPr>
            <w:pStyle w:val="2"/>
            <w:tabs>
              <w:tab w:val="right" w:leader="dot" w:pos="10107"/>
            </w:tabs>
            <w:spacing w:before="201" w:line="185" w:lineRule="auto"/>
            <w:ind w:left="2514"/>
            <w:rPr>
              <w:sz w:val="24"/>
              <w:szCs w:val="24"/>
            </w:rPr>
          </w:pPr>
          <w:r>
            <w:fldChar w:fldCharType="begin"/>
          </w:r>
          <w:r>
            <w:instrText xml:space="preserve">HYPERLINK\l"bookmark181"</w:instrText>
          </w:r>
          <w:r>
            <w:fldChar w:fldCharType="separate"/>
          </w:r>
          <w:r>
            <w:rPr>
              <w:spacing w:val="-20"/>
              <w:sz w:val="21"/>
              <w:szCs w:val="21"/>
            </w:rPr>
            <w:t>六、经济措施</w:t>
          </w:r>
          <w:r>
            <w:rPr>
              <w:sz w:val="21"/>
              <w:szCs w:val="21"/>
            </w:rPr>
            <w:tab/>
          </w:r>
          <w:r>
            <w:rPr>
              <w:spacing w:val="-9"/>
              <w:sz w:val="24"/>
              <w:szCs w:val="24"/>
            </w:rPr>
            <w:t>321</w:t>
          </w:r>
          <w:r>
            <w:rPr>
              <w:spacing w:val="-9"/>
              <w:sz w:val="24"/>
              <w:szCs w:val="24"/>
            </w:rPr>
            <w:fldChar w:fldCharType="end"/>
          </w:r>
        </w:p>
        <w:p w14:paraId="4FF538BE">
          <w:pPr>
            <w:pStyle w:val="2"/>
            <w:tabs>
              <w:tab w:val="right" w:leader="dot" w:pos="10107"/>
            </w:tabs>
            <w:spacing w:before="199" w:line="185" w:lineRule="auto"/>
            <w:ind w:left="2516"/>
            <w:rPr>
              <w:sz w:val="24"/>
              <w:szCs w:val="24"/>
            </w:rPr>
          </w:pPr>
          <w:r>
            <w:fldChar w:fldCharType="begin"/>
          </w:r>
          <w:r>
            <w:instrText xml:space="preserve">HYPERLINK\l"bookmark182"</w:instrText>
          </w:r>
          <w:r>
            <w:fldChar w:fldCharType="separate"/>
          </w:r>
          <w:r>
            <w:rPr>
              <w:spacing w:val="-21"/>
              <w:sz w:val="21"/>
              <w:szCs w:val="21"/>
            </w:rPr>
            <w:t>七、夜间施工安排</w:t>
          </w:r>
          <w:r>
            <w:rPr>
              <w:sz w:val="21"/>
              <w:szCs w:val="21"/>
            </w:rPr>
            <w:tab/>
          </w:r>
          <w:r>
            <w:rPr>
              <w:spacing w:val="-9"/>
              <w:sz w:val="24"/>
              <w:szCs w:val="24"/>
            </w:rPr>
            <w:t>321</w:t>
          </w:r>
          <w:r>
            <w:rPr>
              <w:spacing w:val="-9"/>
              <w:sz w:val="24"/>
              <w:szCs w:val="24"/>
            </w:rPr>
            <w:fldChar w:fldCharType="end"/>
          </w:r>
        </w:p>
        <w:p w14:paraId="59CA1024">
          <w:pPr>
            <w:pStyle w:val="2"/>
            <w:tabs>
              <w:tab w:val="right" w:leader="dot" w:pos="10107"/>
            </w:tabs>
            <w:spacing w:before="199" w:line="185" w:lineRule="auto"/>
            <w:ind w:left="2512"/>
            <w:rPr>
              <w:sz w:val="24"/>
              <w:szCs w:val="24"/>
            </w:rPr>
          </w:pPr>
          <w:r>
            <w:fldChar w:fldCharType="begin"/>
          </w:r>
          <w:r>
            <w:instrText xml:space="preserve">HYPERLINK\l"bookmark183"</w:instrText>
          </w:r>
          <w:r>
            <w:fldChar w:fldCharType="separate"/>
          </w:r>
          <w:r>
            <w:rPr>
              <w:spacing w:val="-21"/>
              <w:sz w:val="21"/>
              <w:szCs w:val="21"/>
            </w:rPr>
            <w:t>八、节假日施工安排</w:t>
          </w:r>
          <w:r>
            <w:rPr>
              <w:sz w:val="21"/>
              <w:szCs w:val="21"/>
            </w:rPr>
            <w:tab/>
          </w:r>
          <w:r>
            <w:rPr>
              <w:spacing w:val="-9"/>
              <w:sz w:val="24"/>
              <w:szCs w:val="24"/>
            </w:rPr>
            <w:t>322</w:t>
          </w:r>
          <w:r>
            <w:rPr>
              <w:spacing w:val="-9"/>
              <w:sz w:val="24"/>
              <w:szCs w:val="24"/>
            </w:rPr>
            <w:fldChar w:fldCharType="end"/>
          </w:r>
        </w:p>
        <w:p w14:paraId="2363EFCE">
          <w:pPr>
            <w:pStyle w:val="2"/>
            <w:tabs>
              <w:tab w:val="right" w:leader="dot" w:pos="10107"/>
            </w:tabs>
            <w:spacing w:before="201" w:line="185" w:lineRule="auto"/>
            <w:ind w:left="2520"/>
            <w:rPr>
              <w:sz w:val="24"/>
              <w:szCs w:val="24"/>
            </w:rPr>
          </w:pPr>
          <w:r>
            <w:fldChar w:fldCharType="begin"/>
          </w:r>
          <w:r>
            <w:instrText xml:space="preserve">HYPERLINK\l"bookmark184"</w:instrText>
          </w:r>
          <w:r>
            <w:fldChar w:fldCharType="separate"/>
          </w:r>
          <w:r>
            <w:rPr>
              <w:spacing w:val="-22"/>
              <w:sz w:val="21"/>
              <w:szCs w:val="21"/>
            </w:rPr>
            <w:t>九、雨季施工保障措施</w:t>
          </w:r>
          <w:r>
            <w:rPr>
              <w:sz w:val="21"/>
              <w:szCs w:val="21"/>
            </w:rPr>
            <w:tab/>
          </w:r>
          <w:r>
            <w:rPr>
              <w:spacing w:val="-9"/>
              <w:sz w:val="24"/>
              <w:szCs w:val="24"/>
            </w:rPr>
            <w:t>323</w:t>
          </w:r>
          <w:r>
            <w:rPr>
              <w:spacing w:val="-9"/>
              <w:sz w:val="24"/>
              <w:szCs w:val="24"/>
            </w:rPr>
            <w:fldChar w:fldCharType="end"/>
          </w:r>
        </w:p>
        <w:p w14:paraId="49936CE8">
          <w:pPr>
            <w:pStyle w:val="2"/>
            <w:tabs>
              <w:tab w:val="right" w:leader="dot" w:pos="10107"/>
            </w:tabs>
            <w:spacing w:before="199" w:line="219" w:lineRule="auto"/>
            <w:ind w:left="2518"/>
            <w:rPr>
              <w:sz w:val="24"/>
              <w:szCs w:val="24"/>
            </w:rPr>
          </w:pPr>
          <w:r>
            <w:fldChar w:fldCharType="begin"/>
          </w:r>
          <w:r>
            <w:instrText xml:space="preserve">HYPERLINK\l"bookmark185"</w:instrText>
          </w:r>
          <w:r>
            <w:fldChar w:fldCharType="separate"/>
          </w:r>
          <w:r>
            <w:rPr>
              <w:spacing w:val="-22"/>
              <w:sz w:val="21"/>
              <w:szCs w:val="21"/>
            </w:rPr>
            <w:t>十、外部环境保障措施</w:t>
          </w:r>
          <w:r>
            <w:rPr>
              <w:sz w:val="21"/>
              <w:szCs w:val="21"/>
            </w:rPr>
            <w:tab/>
          </w:r>
          <w:r>
            <w:rPr>
              <w:spacing w:val="-9"/>
              <w:sz w:val="24"/>
              <w:szCs w:val="24"/>
            </w:rPr>
            <w:t>323</w:t>
          </w:r>
          <w:r>
            <w:rPr>
              <w:spacing w:val="-9"/>
              <w:sz w:val="24"/>
              <w:szCs w:val="24"/>
            </w:rPr>
            <w:fldChar w:fldCharType="end"/>
          </w:r>
        </w:p>
      </w:sdtContent>
    </w:sdt>
    <w:p w14:paraId="360AF49F">
      <w:pPr>
        <w:spacing w:line="219" w:lineRule="auto"/>
        <w:rPr>
          <w:sz w:val="24"/>
          <w:szCs w:val="24"/>
        </w:rPr>
        <w:sectPr>
          <w:footerReference r:id="rId13" w:type="default"/>
          <w:pgSz w:w="11907" w:h="16839"/>
          <w:pgMar w:top="1018" w:right="3" w:bottom="1179" w:left="0" w:header="562" w:footer="498" w:gutter="0"/>
          <w:pgBorders>
            <w:top w:val="none" w:sz="0" w:space="0"/>
            <w:left w:val="none" w:sz="0" w:space="0"/>
            <w:bottom w:val="none" w:sz="0" w:space="0"/>
            <w:right w:val="none" w:sz="0" w:space="0"/>
          </w:pgBorders>
          <w:cols w:space="720" w:num="1"/>
        </w:sectPr>
      </w:pPr>
    </w:p>
    <w:p w14:paraId="62B0CFE6">
      <w:pPr>
        <w:spacing w:line="416" w:lineRule="auto"/>
        <w:rPr>
          <w:rFonts w:ascii="Arial"/>
          <w:sz w:val="21"/>
        </w:rPr>
      </w:pPr>
    </w:p>
    <w:sdt>
      <w:sdtPr>
        <w:rPr>
          <w:rFonts w:ascii="仿宋" w:hAnsi="仿宋" w:eastAsia="仿宋" w:cs="仿宋"/>
          <w:sz w:val="21"/>
          <w:szCs w:val="21"/>
        </w:rPr>
        <w:id w:val="147473854"/>
        <w:docPartObj>
          <w:docPartGallery w:val="Table of Contents"/>
          <w:docPartUnique/>
        </w:docPartObj>
      </w:sdtPr>
      <w:sdtEndPr>
        <w:rPr>
          <w:rFonts w:ascii="仿宋" w:hAnsi="仿宋" w:eastAsia="仿宋" w:cs="仿宋"/>
          <w:sz w:val="24"/>
          <w:szCs w:val="24"/>
        </w:rPr>
      </w:sdtEndPr>
      <w:sdtContent>
        <w:p w14:paraId="03B48A37">
          <w:pPr>
            <w:pStyle w:val="2"/>
            <w:tabs>
              <w:tab w:val="right" w:leader="dot" w:pos="10109"/>
            </w:tabs>
            <w:spacing w:before="98" w:line="185" w:lineRule="auto"/>
            <w:ind w:left="1823"/>
            <w:rPr>
              <w:sz w:val="30"/>
              <w:szCs w:val="30"/>
            </w:rPr>
          </w:pPr>
          <w:r>
            <w:fldChar w:fldCharType="begin"/>
          </w:r>
          <w:r>
            <w:instrText xml:space="preserve">HYPERLINK\l"bookmark186"</w:instrText>
          </w:r>
          <w:r>
            <w:fldChar w:fldCharType="separate"/>
          </w:r>
          <w:r>
            <w:rPr>
              <w:b/>
              <w:bCs/>
              <w:color w:val="7030A0"/>
              <w:spacing w:val="-22"/>
              <w:sz w:val="21"/>
              <w:szCs w:val="21"/>
            </w:rPr>
            <w:t>第七章、甲供材管理</w:t>
          </w:r>
          <w:r>
            <w:rPr>
              <w:color w:val="7030A0"/>
              <w:sz w:val="21"/>
              <w:szCs w:val="21"/>
              <w14:textOutline w14:w="5448" w14:cap="flat" w14:cmpd="sng">
                <w14:solidFill>
                  <w14:srgbClr w14:val="7030A0"/>
                </w14:solidFill>
                <w14:prstDash w14:val="solid"/>
                <w14:miter w14:val="0"/>
              </w14:textOutline>
            </w:rPr>
            <w:tab/>
          </w:r>
          <w:r>
            <w:rPr>
              <w:b/>
              <w:bCs/>
              <w:color w:val="7030A0"/>
              <w:spacing w:val="-12"/>
              <w:sz w:val="30"/>
              <w:szCs w:val="30"/>
            </w:rPr>
            <w:t>324</w:t>
          </w:r>
          <w:r>
            <w:rPr>
              <w:b/>
              <w:bCs/>
              <w:color w:val="7030A0"/>
              <w:spacing w:val="-12"/>
              <w:sz w:val="30"/>
              <w:szCs w:val="30"/>
            </w:rPr>
            <w:fldChar w:fldCharType="end"/>
          </w:r>
        </w:p>
        <w:p w14:paraId="5BD74A2B">
          <w:pPr>
            <w:pStyle w:val="2"/>
            <w:tabs>
              <w:tab w:val="right" w:leader="dot" w:pos="10110"/>
            </w:tabs>
            <w:spacing w:before="190" w:line="185" w:lineRule="auto"/>
            <w:ind w:left="2243"/>
            <w:rPr>
              <w:sz w:val="24"/>
              <w:szCs w:val="24"/>
            </w:rPr>
          </w:pPr>
          <w:r>
            <w:fldChar w:fldCharType="begin"/>
          </w:r>
          <w:r>
            <w:instrText xml:space="preserve">HYPERLINK\l"bookmark187"</w:instrText>
          </w:r>
          <w:r>
            <w:fldChar w:fldCharType="separate"/>
          </w:r>
          <w:r>
            <w:rPr>
              <w:b/>
              <w:bCs/>
              <w:color w:val="0070C0"/>
              <w:spacing w:val="-23"/>
              <w:sz w:val="21"/>
              <w:szCs w:val="21"/>
            </w:rPr>
            <w:t>第一节、材料采购及进场存储方案</w:t>
          </w:r>
          <w:r>
            <w:rPr>
              <w:color w:val="0070C0"/>
              <w:sz w:val="21"/>
              <w:szCs w:val="21"/>
              <w14:textOutline w14:w="4356" w14:cap="flat" w14:cmpd="sng">
                <w14:solidFill>
                  <w14:srgbClr w14:val="0070C0"/>
                </w14:solidFill>
                <w14:prstDash w14:val="solid"/>
                <w14:miter w14:val="0"/>
              </w14:textOutline>
            </w:rPr>
            <w:tab/>
          </w:r>
          <w:r>
            <w:rPr>
              <w:b/>
              <w:bCs/>
              <w:color w:val="0070C0"/>
              <w:spacing w:val="-10"/>
              <w:sz w:val="24"/>
              <w:szCs w:val="24"/>
            </w:rPr>
            <w:t>324</w:t>
          </w:r>
          <w:r>
            <w:rPr>
              <w:b/>
              <w:bCs/>
              <w:color w:val="0070C0"/>
              <w:spacing w:val="-10"/>
              <w:sz w:val="24"/>
              <w:szCs w:val="24"/>
            </w:rPr>
            <w:fldChar w:fldCharType="end"/>
          </w:r>
        </w:p>
        <w:p w14:paraId="3C8E8836">
          <w:pPr>
            <w:pStyle w:val="2"/>
            <w:tabs>
              <w:tab w:val="right" w:leader="dot" w:pos="10107"/>
            </w:tabs>
            <w:spacing w:before="201" w:line="185" w:lineRule="auto"/>
            <w:ind w:left="2516"/>
            <w:rPr>
              <w:sz w:val="24"/>
              <w:szCs w:val="24"/>
            </w:rPr>
          </w:pPr>
          <w:r>
            <w:fldChar w:fldCharType="begin"/>
          </w:r>
          <w:r>
            <w:instrText xml:space="preserve">HYPERLINK\l"bookmark188"</w:instrText>
          </w:r>
          <w:r>
            <w:fldChar w:fldCharType="separate"/>
          </w:r>
          <w:r>
            <w:rPr>
              <w:spacing w:val="-22"/>
              <w:sz w:val="21"/>
              <w:szCs w:val="21"/>
            </w:rPr>
            <w:t>一、组织机构及材料及半成品物质管理流程</w:t>
          </w:r>
          <w:r>
            <w:rPr>
              <w:sz w:val="21"/>
              <w:szCs w:val="21"/>
            </w:rPr>
            <w:tab/>
          </w:r>
          <w:r>
            <w:rPr>
              <w:spacing w:val="-9"/>
              <w:sz w:val="24"/>
              <w:szCs w:val="24"/>
            </w:rPr>
            <w:t>324</w:t>
          </w:r>
          <w:r>
            <w:rPr>
              <w:spacing w:val="-9"/>
              <w:sz w:val="24"/>
              <w:szCs w:val="24"/>
            </w:rPr>
            <w:fldChar w:fldCharType="end"/>
          </w:r>
        </w:p>
        <w:p w14:paraId="4C301E0E">
          <w:pPr>
            <w:pStyle w:val="2"/>
            <w:tabs>
              <w:tab w:val="right" w:leader="dot" w:pos="10107"/>
            </w:tabs>
            <w:spacing w:before="198" w:line="185" w:lineRule="auto"/>
            <w:ind w:left="2519"/>
            <w:rPr>
              <w:sz w:val="24"/>
              <w:szCs w:val="24"/>
            </w:rPr>
          </w:pPr>
          <w:r>
            <w:fldChar w:fldCharType="begin"/>
          </w:r>
          <w:r>
            <w:instrText xml:space="preserve">HYPERLINK\l"bookmark189"</w:instrText>
          </w:r>
          <w:r>
            <w:fldChar w:fldCharType="separate"/>
          </w:r>
          <w:r>
            <w:rPr>
              <w:spacing w:val="-21"/>
              <w:sz w:val="21"/>
              <w:szCs w:val="21"/>
            </w:rPr>
            <w:t>二、物资采购和合同签订</w:t>
          </w:r>
          <w:r>
            <w:rPr>
              <w:sz w:val="21"/>
              <w:szCs w:val="21"/>
            </w:rPr>
            <w:tab/>
          </w:r>
          <w:r>
            <w:rPr>
              <w:spacing w:val="-9"/>
              <w:sz w:val="24"/>
              <w:szCs w:val="24"/>
            </w:rPr>
            <w:t>324</w:t>
          </w:r>
          <w:r>
            <w:rPr>
              <w:spacing w:val="-9"/>
              <w:sz w:val="24"/>
              <w:szCs w:val="24"/>
            </w:rPr>
            <w:fldChar w:fldCharType="end"/>
          </w:r>
        </w:p>
        <w:p w14:paraId="5C37BD14">
          <w:pPr>
            <w:pStyle w:val="2"/>
            <w:tabs>
              <w:tab w:val="right" w:leader="dot" w:pos="10107"/>
            </w:tabs>
            <w:spacing w:before="198" w:line="185" w:lineRule="auto"/>
            <w:ind w:left="2518"/>
            <w:rPr>
              <w:sz w:val="24"/>
              <w:szCs w:val="24"/>
            </w:rPr>
          </w:pPr>
          <w:r>
            <w:fldChar w:fldCharType="begin"/>
          </w:r>
          <w:r>
            <w:instrText xml:space="preserve">HYPERLINK\l"bookmark190"</w:instrText>
          </w:r>
          <w:r>
            <w:fldChar w:fldCharType="separate"/>
          </w:r>
          <w:r>
            <w:rPr>
              <w:spacing w:val="-22"/>
              <w:sz w:val="21"/>
              <w:szCs w:val="21"/>
            </w:rPr>
            <w:t>三、运输组织方式</w:t>
          </w:r>
          <w:r>
            <w:rPr>
              <w:sz w:val="21"/>
              <w:szCs w:val="21"/>
            </w:rPr>
            <w:tab/>
          </w:r>
          <w:r>
            <w:rPr>
              <w:spacing w:val="-9"/>
              <w:sz w:val="24"/>
              <w:szCs w:val="24"/>
            </w:rPr>
            <w:t>325</w:t>
          </w:r>
          <w:r>
            <w:rPr>
              <w:spacing w:val="-9"/>
              <w:sz w:val="24"/>
              <w:szCs w:val="24"/>
            </w:rPr>
            <w:fldChar w:fldCharType="end"/>
          </w:r>
        </w:p>
        <w:p w14:paraId="771132AF">
          <w:pPr>
            <w:pStyle w:val="2"/>
            <w:tabs>
              <w:tab w:val="right" w:leader="dot" w:pos="10107"/>
            </w:tabs>
            <w:spacing w:before="201" w:line="185" w:lineRule="auto"/>
            <w:ind w:left="2537"/>
            <w:rPr>
              <w:sz w:val="24"/>
              <w:szCs w:val="24"/>
            </w:rPr>
          </w:pPr>
          <w:r>
            <w:fldChar w:fldCharType="begin"/>
          </w:r>
          <w:r>
            <w:instrText xml:space="preserve">HYPERLINK\l"bookmark191"</w:instrText>
          </w:r>
          <w:r>
            <w:fldChar w:fldCharType="separate"/>
          </w:r>
          <w:r>
            <w:rPr>
              <w:spacing w:val="-24"/>
              <w:sz w:val="21"/>
              <w:szCs w:val="21"/>
            </w:rPr>
            <w:t>四、现检验和验收</w:t>
          </w:r>
          <w:r>
            <w:rPr>
              <w:sz w:val="21"/>
              <w:szCs w:val="21"/>
            </w:rPr>
            <w:tab/>
          </w:r>
          <w:r>
            <w:rPr>
              <w:spacing w:val="-9"/>
              <w:sz w:val="24"/>
              <w:szCs w:val="24"/>
            </w:rPr>
            <w:t>325</w:t>
          </w:r>
          <w:r>
            <w:rPr>
              <w:spacing w:val="-9"/>
              <w:sz w:val="24"/>
              <w:szCs w:val="24"/>
            </w:rPr>
            <w:fldChar w:fldCharType="end"/>
          </w:r>
        </w:p>
        <w:p w14:paraId="08AB2C64">
          <w:pPr>
            <w:pStyle w:val="2"/>
            <w:tabs>
              <w:tab w:val="right" w:leader="dot" w:pos="10107"/>
            </w:tabs>
            <w:spacing w:before="198" w:line="185" w:lineRule="auto"/>
            <w:ind w:left="2516"/>
            <w:rPr>
              <w:sz w:val="24"/>
              <w:szCs w:val="24"/>
            </w:rPr>
          </w:pPr>
          <w:r>
            <w:fldChar w:fldCharType="begin"/>
          </w:r>
          <w:r>
            <w:instrText xml:space="preserve">HYPERLINK\l"bookmark192"</w:instrText>
          </w:r>
          <w:r>
            <w:fldChar w:fldCharType="separate"/>
          </w:r>
          <w:r>
            <w:rPr>
              <w:spacing w:val="-20"/>
              <w:sz w:val="21"/>
              <w:szCs w:val="21"/>
            </w:rPr>
            <w:t>五、现检验和验收的方法</w:t>
          </w:r>
          <w:r>
            <w:rPr>
              <w:sz w:val="21"/>
              <w:szCs w:val="21"/>
            </w:rPr>
            <w:tab/>
          </w:r>
          <w:r>
            <w:rPr>
              <w:spacing w:val="-9"/>
              <w:sz w:val="24"/>
              <w:szCs w:val="24"/>
            </w:rPr>
            <w:t>326</w:t>
          </w:r>
          <w:r>
            <w:rPr>
              <w:spacing w:val="-9"/>
              <w:sz w:val="24"/>
              <w:szCs w:val="24"/>
            </w:rPr>
            <w:fldChar w:fldCharType="end"/>
          </w:r>
        </w:p>
        <w:p w14:paraId="1FC57E53">
          <w:pPr>
            <w:pStyle w:val="2"/>
            <w:tabs>
              <w:tab w:val="right" w:leader="dot" w:pos="10107"/>
            </w:tabs>
            <w:spacing w:before="199" w:line="185" w:lineRule="auto"/>
            <w:ind w:left="2514"/>
            <w:rPr>
              <w:sz w:val="24"/>
              <w:szCs w:val="24"/>
            </w:rPr>
          </w:pPr>
          <w:r>
            <w:fldChar w:fldCharType="begin"/>
          </w:r>
          <w:r>
            <w:instrText xml:space="preserve">HYPERLINK\l"bookmark193"</w:instrText>
          </w:r>
          <w:r>
            <w:fldChar w:fldCharType="separate"/>
          </w:r>
          <w:r>
            <w:rPr>
              <w:spacing w:val="-21"/>
              <w:sz w:val="21"/>
              <w:szCs w:val="21"/>
            </w:rPr>
            <w:t>六、物资仓储和发放</w:t>
          </w:r>
          <w:r>
            <w:rPr>
              <w:sz w:val="21"/>
              <w:szCs w:val="21"/>
            </w:rPr>
            <w:tab/>
          </w:r>
          <w:r>
            <w:rPr>
              <w:spacing w:val="-9"/>
              <w:sz w:val="24"/>
              <w:szCs w:val="24"/>
            </w:rPr>
            <w:t>326</w:t>
          </w:r>
          <w:r>
            <w:rPr>
              <w:spacing w:val="-9"/>
              <w:sz w:val="24"/>
              <w:szCs w:val="24"/>
            </w:rPr>
            <w:fldChar w:fldCharType="end"/>
          </w:r>
        </w:p>
        <w:p w14:paraId="01A34547">
          <w:pPr>
            <w:pStyle w:val="2"/>
            <w:tabs>
              <w:tab w:val="right" w:leader="dot" w:pos="10110"/>
            </w:tabs>
            <w:spacing w:before="201" w:line="185" w:lineRule="auto"/>
            <w:ind w:left="2243"/>
            <w:rPr>
              <w:sz w:val="24"/>
              <w:szCs w:val="24"/>
            </w:rPr>
          </w:pPr>
          <w:r>
            <w:fldChar w:fldCharType="begin"/>
          </w:r>
          <w:r>
            <w:instrText xml:space="preserve">HYPERLINK\l"bookmark194"</w:instrText>
          </w:r>
          <w:r>
            <w:fldChar w:fldCharType="separate"/>
          </w:r>
          <w:r>
            <w:rPr>
              <w:b/>
              <w:bCs/>
              <w:color w:val="0070C0"/>
              <w:spacing w:val="-23"/>
              <w:sz w:val="21"/>
              <w:szCs w:val="21"/>
            </w:rPr>
            <w:t>第二节、材料采购环保措施</w:t>
          </w:r>
          <w:r>
            <w:rPr>
              <w:color w:val="0070C0"/>
              <w:sz w:val="21"/>
              <w:szCs w:val="21"/>
              <w14:textOutline w14:w="4356" w14:cap="flat" w14:cmpd="sng">
                <w14:solidFill>
                  <w14:srgbClr w14:val="0070C0"/>
                </w14:solidFill>
                <w14:prstDash w14:val="solid"/>
                <w14:miter w14:val="0"/>
              </w14:textOutline>
            </w:rPr>
            <w:tab/>
          </w:r>
          <w:r>
            <w:rPr>
              <w:b/>
              <w:bCs/>
              <w:color w:val="0070C0"/>
              <w:spacing w:val="-10"/>
              <w:sz w:val="24"/>
              <w:szCs w:val="24"/>
            </w:rPr>
            <w:t>327</w:t>
          </w:r>
          <w:r>
            <w:rPr>
              <w:b/>
              <w:bCs/>
              <w:color w:val="0070C0"/>
              <w:spacing w:val="-10"/>
              <w:sz w:val="24"/>
              <w:szCs w:val="24"/>
            </w:rPr>
            <w:fldChar w:fldCharType="end"/>
          </w:r>
        </w:p>
        <w:p w14:paraId="3933853B">
          <w:pPr>
            <w:pStyle w:val="2"/>
            <w:tabs>
              <w:tab w:val="right" w:leader="dot" w:pos="10107"/>
            </w:tabs>
            <w:spacing w:before="199" w:line="185" w:lineRule="auto"/>
            <w:ind w:left="2516"/>
            <w:rPr>
              <w:sz w:val="24"/>
              <w:szCs w:val="24"/>
            </w:rPr>
          </w:pPr>
          <w:r>
            <w:fldChar w:fldCharType="begin"/>
          </w:r>
          <w:r>
            <w:instrText xml:space="preserve">HYPERLINK\l"bookmark195"</w:instrText>
          </w:r>
          <w:r>
            <w:fldChar w:fldCharType="separate"/>
          </w:r>
          <w:r>
            <w:rPr>
              <w:spacing w:val="-20"/>
              <w:sz w:val="21"/>
              <w:szCs w:val="21"/>
            </w:rPr>
            <w:t>一、材使用原则</w:t>
          </w:r>
          <w:r>
            <w:rPr>
              <w:sz w:val="21"/>
              <w:szCs w:val="21"/>
            </w:rPr>
            <w:tab/>
          </w:r>
          <w:r>
            <w:rPr>
              <w:spacing w:val="-9"/>
              <w:sz w:val="24"/>
              <w:szCs w:val="24"/>
            </w:rPr>
            <w:t>327</w:t>
          </w:r>
          <w:r>
            <w:rPr>
              <w:spacing w:val="-9"/>
              <w:sz w:val="24"/>
              <w:szCs w:val="24"/>
            </w:rPr>
            <w:fldChar w:fldCharType="end"/>
          </w:r>
        </w:p>
        <w:p w14:paraId="462DEF9F">
          <w:pPr>
            <w:pStyle w:val="2"/>
            <w:tabs>
              <w:tab w:val="right" w:leader="dot" w:pos="10107"/>
            </w:tabs>
            <w:spacing w:before="199" w:line="185" w:lineRule="auto"/>
            <w:ind w:left="2519"/>
            <w:rPr>
              <w:sz w:val="24"/>
              <w:szCs w:val="24"/>
            </w:rPr>
          </w:pPr>
          <w:r>
            <w:fldChar w:fldCharType="begin"/>
          </w:r>
          <w:r>
            <w:instrText xml:space="preserve">HYPERLINK\l"bookmark196"</w:instrText>
          </w:r>
          <w:r>
            <w:fldChar w:fldCharType="separate"/>
          </w:r>
          <w:r>
            <w:rPr>
              <w:spacing w:val="-22"/>
              <w:sz w:val="21"/>
              <w:szCs w:val="21"/>
            </w:rPr>
            <w:t>二、实行材料及半成品检验制度</w:t>
          </w:r>
          <w:r>
            <w:rPr>
              <w:sz w:val="21"/>
              <w:szCs w:val="21"/>
            </w:rPr>
            <w:tab/>
          </w:r>
          <w:r>
            <w:rPr>
              <w:spacing w:val="-9"/>
              <w:sz w:val="24"/>
              <w:szCs w:val="24"/>
            </w:rPr>
            <w:t>327</w:t>
          </w:r>
          <w:r>
            <w:rPr>
              <w:spacing w:val="-9"/>
              <w:sz w:val="24"/>
              <w:szCs w:val="24"/>
            </w:rPr>
            <w:fldChar w:fldCharType="end"/>
          </w:r>
        </w:p>
        <w:p w14:paraId="3FEBF456">
          <w:pPr>
            <w:pStyle w:val="2"/>
            <w:tabs>
              <w:tab w:val="right" w:leader="dot" w:pos="10110"/>
            </w:tabs>
            <w:spacing w:before="201" w:line="185" w:lineRule="auto"/>
            <w:ind w:left="2243"/>
            <w:rPr>
              <w:sz w:val="24"/>
              <w:szCs w:val="24"/>
            </w:rPr>
          </w:pPr>
          <w:r>
            <w:fldChar w:fldCharType="begin"/>
          </w:r>
          <w:r>
            <w:instrText xml:space="preserve">HYPERLINK\l"bookmark197"</w:instrText>
          </w:r>
          <w:r>
            <w:fldChar w:fldCharType="separate"/>
          </w:r>
          <w:r>
            <w:rPr>
              <w:b/>
              <w:bCs/>
              <w:color w:val="0070C0"/>
              <w:spacing w:val="-24"/>
              <w:sz w:val="21"/>
              <w:szCs w:val="21"/>
            </w:rPr>
            <w:t>第三节、主要材料性能和档次保证措施</w:t>
          </w:r>
          <w:r>
            <w:rPr>
              <w:b/>
              <w:bCs/>
              <w:color w:val="0070C0"/>
              <w:sz w:val="21"/>
              <w:szCs w:val="21"/>
              <w14:textOutline w14:w="4356" w14:cap="flat" w14:cmpd="sng">
                <w14:solidFill>
                  <w14:srgbClr w14:val="0070C0"/>
                </w14:solidFill>
                <w14:prstDash w14:val="solid"/>
                <w14:miter w14:val="0"/>
              </w14:textOutline>
            </w:rPr>
            <w:tab/>
          </w:r>
          <w:r>
            <w:rPr>
              <w:b/>
              <w:bCs/>
              <w:color w:val="0070C0"/>
              <w:spacing w:val="-10"/>
              <w:sz w:val="24"/>
              <w:szCs w:val="24"/>
            </w:rPr>
            <w:t>328</w:t>
          </w:r>
          <w:r>
            <w:rPr>
              <w:b/>
              <w:bCs/>
              <w:color w:val="0070C0"/>
              <w:spacing w:val="-10"/>
              <w:sz w:val="24"/>
              <w:szCs w:val="24"/>
            </w:rPr>
            <w:fldChar w:fldCharType="end"/>
          </w:r>
        </w:p>
        <w:p w14:paraId="658D9F47">
          <w:pPr>
            <w:pStyle w:val="2"/>
            <w:tabs>
              <w:tab w:val="right" w:leader="dot" w:pos="10110"/>
            </w:tabs>
            <w:spacing w:before="199" w:line="185" w:lineRule="auto"/>
            <w:ind w:left="2243"/>
            <w:rPr>
              <w:sz w:val="24"/>
              <w:szCs w:val="24"/>
            </w:rPr>
          </w:pPr>
          <w:r>
            <w:fldChar w:fldCharType="begin"/>
          </w:r>
          <w:r>
            <w:instrText xml:space="preserve">HYPERLINK\l"bookmark198"</w:instrText>
          </w:r>
          <w:r>
            <w:fldChar w:fldCharType="separate"/>
          </w:r>
          <w:r>
            <w:rPr>
              <w:b/>
              <w:bCs/>
              <w:color w:val="0070C0"/>
              <w:spacing w:val="-23"/>
              <w:sz w:val="21"/>
              <w:szCs w:val="21"/>
            </w:rPr>
            <w:t>第四节、现场材料管理及材料发放管理办法</w:t>
          </w:r>
          <w:r>
            <w:rPr>
              <w:color w:val="0070C0"/>
              <w:sz w:val="21"/>
              <w:szCs w:val="21"/>
              <w14:textOutline w14:w="4356" w14:cap="flat" w14:cmpd="sng">
                <w14:solidFill>
                  <w14:srgbClr w14:val="0070C0"/>
                </w14:solidFill>
                <w14:prstDash w14:val="solid"/>
                <w14:miter w14:val="0"/>
              </w14:textOutline>
            </w:rPr>
            <w:tab/>
          </w:r>
          <w:r>
            <w:rPr>
              <w:b/>
              <w:bCs/>
              <w:color w:val="0070C0"/>
              <w:spacing w:val="-10"/>
              <w:sz w:val="24"/>
              <w:szCs w:val="24"/>
            </w:rPr>
            <w:t>329</w:t>
          </w:r>
          <w:r>
            <w:rPr>
              <w:b/>
              <w:bCs/>
              <w:color w:val="0070C0"/>
              <w:spacing w:val="-10"/>
              <w:sz w:val="24"/>
              <w:szCs w:val="24"/>
            </w:rPr>
            <w:fldChar w:fldCharType="end"/>
          </w:r>
        </w:p>
        <w:p w14:paraId="765C0296">
          <w:pPr>
            <w:pStyle w:val="2"/>
            <w:tabs>
              <w:tab w:val="right" w:leader="dot" w:pos="10107"/>
            </w:tabs>
            <w:spacing w:before="199" w:line="185" w:lineRule="auto"/>
            <w:ind w:left="2516"/>
            <w:rPr>
              <w:sz w:val="24"/>
              <w:szCs w:val="24"/>
            </w:rPr>
          </w:pPr>
          <w:r>
            <w:fldChar w:fldCharType="begin"/>
          </w:r>
          <w:r>
            <w:instrText xml:space="preserve">HYPERLINK\l"bookmark199"</w:instrText>
          </w:r>
          <w:r>
            <w:fldChar w:fldCharType="separate"/>
          </w:r>
          <w:r>
            <w:rPr>
              <w:spacing w:val="-21"/>
              <w:sz w:val="21"/>
              <w:szCs w:val="21"/>
            </w:rPr>
            <w:t>一、现场材料管理的具体内容</w:t>
          </w:r>
          <w:r>
            <w:rPr>
              <w:sz w:val="21"/>
              <w:szCs w:val="21"/>
            </w:rPr>
            <w:tab/>
          </w:r>
          <w:r>
            <w:rPr>
              <w:spacing w:val="-9"/>
              <w:sz w:val="24"/>
              <w:szCs w:val="24"/>
            </w:rPr>
            <w:t>329</w:t>
          </w:r>
          <w:r>
            <w:rPr>
              <w:spacing w:val="-9"/>
              <w:sz w:val="24"/>
              <w:szCs w:val="24"/>
            </w:rPr>
            <w:fldChar w:fldCharType="end"/>
          </w:r>
        </w:p>
        <w:p w14:paraId="77E7512C">
          <w:pPr>
            <w:pStyle w:val="2"/>
            <w:tabs>
              <w:tab w:val="right" w:leader="dot" w:pos="10107"/>
            </w:tabs>
            <w:spacing w:before="201" w:line="185" w:lineRule="auto"/>
            <w:ind w:left="2519"/>
            <w:rPr>
              <w:sz w:val="24"/>
              <w:szCs w:val="24"/>
            </w:rPr>
          </w:pPr>
          <w:r>
            <w:fldChar w:fldCharType="begin"/>
          </w:r>
          <w:r>
            <w:instrText xml:space="preserve">HYPERLINK\l"bookmark200"</w:instrText>
          </w:r>
          <w:r>
            <w:fldChar w:fldCharType="separate"/>
          </w:r>
          <w:r>
            <w:rPr>
              <w:spacing w:val="-22"/>
              <w:sz w:val="21"/>
              <w:szCs w:val="21"/>
            </w:rPr>
            <w:t>二、现场材料发放管理方法</w:t>
          </w:r>
          <w:r>
            <w:rPr>
              <w:sz w:val="21"/>
              <w:szCs w:val="21"/>
            </w:rPr>
            <w:tab/>
          </w:r>
          <w:r>
            <w:rPr>
              <w:spacing w:val="-9"/>
              <w:sz w:val="24"/>
              <w:szCs w:val="24"/>
            </w:rPr>
            <w:t>329</w:t>
          </w:r>
          <w:r>
            <w:rPr>
              <w:spacing w:val="-9"/>
              <w:sz w:val="24"/>
              <w:szCs w:val="24"/>
            </w:rPr>
            <w:fldChar w:fldCharType="end"/>
          </w:r>
        </w:p>
        <w:p w14:paraId="3C2CA264">
          <w:pPr>
            <w:pStyle w:val="2"/>
            <w:tabs>
              <w:tab w:val="right" w:leader="dot" w:pos="10110"/>
            </w:tabs>
            <w:spacing w:before="198" w:line="185" w:lineRule="auto"/>
            <w:ind w:left="2243"/>
            <w:rPr>
              <w:sz w:val="24"/>
              <w:szCs w:val="24"/>
            </w:rPr>
          </w:pPr>
          <w:r>
            <w:fldChar w:fldCharType="begin"/>
          </w:r>
          <w:r>
            <w:instrText xml:space="preserve">HYPERLINK\l"bookmark201"</w:instrText>
          </w:r>
          <w:r>
            <w:fldChar w:fldCharType="separate"/>
          </w:r>
          <w:r>
            <w:rPr>
              <w:b/>
              <w:bCs/>
              <w:color w:val="0070C0"/>
              <w:spacing w:val="-23"/>
              <w:sz w:val="21"/>
              <w:szCs w:val="21"/>
            </w:rPr>
            <w:t>第五节、材料进场供应保证措施</w:t>
          </w:r>
          <w:r>
            <w:rPr>
              <w:b/>
              <w:bCs/>
              <w:color w:val="0070C0"/>
              <w:sz w:val="21"/>
              <w:szCs w:val="21"/>
              <w14:textOutline w14:w="4356" w14:cap="flat" w14:cmpd="sng">
                <w14:solidFill>
                  <w14:srgbClr w14:val="0070C0"/>
                </w14:solidFill>
                <w14:prstDash w14:val="solid"/>
                <w14:miter w14:val="0"/>
              </w14:textOutline>
            </w:rPr>
            <w:tab/>
          </w:r>
          <w:r>
            <w:rPr>
              <w:b/>
              <w:bCs/>
              <w:color w:val="0070C0"/>
              <w:spacing w:val="-10"/>
              <w:sz w:val="24"/>
              <w:szCs w:val="24"/>
            </w:rPr>
            <w:t>330</w:t>
          </w:r>
          <w:r>
            <w:rPr>
              <w:b/>
              <w:bCs/>
              <w:color w:val="0070C0"/>
              <w:spacing w:val="-10"/>
              <w:sz w:val="24"/>
              <w:szCs w:val="24"/>
            </w:rPr>
            <w:fldChar w:fldCharType="end"/>
          </w:r>
        </w:p>
        <w:p w14:paraId="09D44B59">
          <w:pPr>
            <w:pStyle w:val="2"/>
            <w:tabs>
              <w:tab w:val="right" w:leader="dot" w:pos="10107"/>
            </w:tabs>
            <w:spacing w:before="199" w:line="185" w:lineRule="auto"/>
            <w:ind w:left="2516"/>
            <w:rPr>
              <w:sz w:val="24"/>
              <w:szCs w:val="24"/>
            </w:rPr>
          </w:pPr>
          <w:r>
            <w:fldChar w:fldCharType="begin"/>
          </w:r>
          <w:r>
            <w:instrText xml:space="preserve">HYPERLINK\l"bookmark202"</w:instrText>
          </w:r>
          <w:r>
            <w:fldChar w:fldCharType="separate"/>
          </w:r>
          <w:r>
            <w:rPr>
              <w:spacing w:val="-22"/>
              <w:sz w:val="21"/>
              <w:szCs w:val="21"/>
            </w:rPr>
            <w:t>一、工程材料采购进场计划</w:t>
          </w:r>
          <w:r>
            <w:rPr>
              <w:sz w:val="21"/>
              <w:szCs w:val="21"/>
            </w:rPr>
            <w:tab/>
          </w:r>
          <w:r>
            <w:rPr>
              <w:spacing w:val="-9"/>
              <w:sz w:val="24"/>
              <w:szCs w:val="24"/>
            </w:rPr>
            <w:t>331</w:t>
          </w:r>
          <w:r>
            <w:rPr>
              <w:spacing w:val="-9"/>
              <w:sz w:val="24"/>
              <w:szCs w:val="24"/>
            </w:rPr>
            <w:fldChar w:fldCharType="end"/>
          </w:r>
        </w:p>
        <w:p w14:paraId="2460B6E2">
          <w:pPr>
            <w:pStyle w:val="2"/>
            <w:tabs>
              <w:tab w:val="right" w:leader="dot" w:pos="10107"/>
            </w:tabs>
            <w:spacing w:before="202" w:line="185" w:lineRule="auto"/>
            <w:ind w:left="2519"/>
            <w:rPr>
              <w:sz w:val="24"/>
              <w:szCs w:val="24"/>
            </w:rPr>
          </w:pPr>
          <w:r>
            <w:fldChar w:fldCharType="begin"/>
          </w:r>
          <w:r>
            <w:instrText xml:space="preserve">HYPERLINK\l"bookmark203"</w:instrText>
          </w:r>
          <w:r>
            <w:fldChar w:fldCharType="separate"/>
          </w:r>
          <w:r>
            <w:rPr>
              <w:spacing w:val="-22"/>
              <w:sz w:val="21"/>
              <w:szCs w:val="21"/>
            </w:rPr>
            <w:t>二、加强材料计划的严肃性</w:t>
          </w:r>
          <w:r>
            <w:rPr>
              <w:sz w:val="21"/>
              <w:szCs w:val="21"/>
            </w:rPr>
            <w:tab/>
          </w:r>
          <w:r>
            <w:rPr>
              <w:spacing w:val="-9"/>
              <w:sz w:val="24"/>
              <w:szCs w:val="24"/>
            </w:rPr>
            <w:t>333</w:t>
          </w:r>
          <w:r>
            <w:rPr>
              <w:spacing w:val="-9"/>
              <w:sz w:val="24"/>
              <w:szCs w:val="24"/>
            </w:rPr>
            <w:fldChar w:fldCharType="end"/>
          </w:r>
        </w:p>
        <w:p w14:paraId="55A8E9B3">
          <w:pPr>
            <w:pStyle w:val="2"/>
            <w:tabs>
              <w:tab w:val="right" w:leader="dot" w:pos="10107"/>
            </w:tabs>
            <w:spacing w:before="198" w:line="185" w:lineRule="auto"/>
            <w:ind w:left="2518"/>
            <w:rPr>
              <w:sz w:val="24"/>
              <w:szCs w:val="24"/>
            </w:rPr>
          </w:pPr>
          <w:r>
            <w:fldChar w:fldCharType="begin"/>
          </w:r>
          <w:r>
            <w:instrText xml:space="preserve">HYPERLINK\l"bookmark204"</w:instrText>
          </w:r>
          <w:r>
            <w:fldChar w:fldCharType="separate"/>
          </w:r>
          <w:r>
            <w:rPr>
              <w:spacing w:val="-20"/>
              <w:sz w:val="21"/>
              <w:szCs w:val="21"/>
            </w:rPr>
            <w:t>三、加强采购成本的控制</w:t>
          </w:r>
          <w:r>
            <w:rPr>
              <w:sz w:val="21"/>
              <w:szCs w:val="21"/>
            </w:rPr>
            <w:tab/>
          </w:r>
          <w:r>
            <w:rPr>
              <w:spacing w:val="-9"/>
              <w:sz w:val="24"/>
              <w:szCs w:val="24"/>
            </w:rPr>
            <w:t>334</w:t>
          </w:r>
          <w:r>
            <w:rPr>
              <w:spacing w:val="-9"/>
              <w:sz w:val="24"/>
              <w:szCs w:val="24"/>
            </w:rPr>
            <w:fldChar w:fldCharType="end"/>
          </w:r>
        </w:p>
        <w:p w14:paraId="2D99AB75">
          <w:pPr>
            <w:pStyle w:val="2"/>
            <w:tabs>
              <w:tab w:val="right" w:leader="dot" w:pos="10107"/>
            </w:tabs>
            <w:spacing w:before="199" w:line="185" w:lineRule="auto"/>
            <w:ind w:left="2537"/>
            <w:rPr>
              <w:sz w:val="24"/>
              <w:szCs w:val="24"/>
            </w:rPr>
          </w:pPr>
          <w:r>
            <w:fldChar w:fldCharType="begin"/>
          </w:r>
          <w:r>
            <w:instrText xml:space="preserve">HYPERLINK\l"bookmark205"</w:instrText>
          </w:r>
          <w:r>
            <w:fldChar w:fldCharType="separate"/>
          </w:r>
          <w:r>
            <w:rPr>
              <w:spacing w:val="-24"/>
              <w:sz w:val="21"/>
              <w:szCs w:val="21"/>
            </w:rPr>
            <w:t>四、坚持审批的环节</w:t>
          </w:r>
          <w:r>
            <w:rPr>
              <w:sz w:val="21"/>
              <w:szCs w:val="21"/>
            </w:rPr>
            <w:tab/>
          </w:r>
          <w:r>
            <w:rPr>
              <w:spacing w:val="-9"/>
              <w:sz w:val="24"/>
              <w:szCs w:val="24"/>
            </w:rPr>
            <w:t>334</w:t>
          </w:r>
          <w:r>
            <w:rPr>
              <w:spacing w:val="-9"/>
              <w:sz w:val="24"/>
              <w:szCs w:val="24"/>
            </w:rPr>
            <w:fldChar w:fldCharType="end"/>
          </w:r>
        </w:p>
        <w:p w14:paraId="645F0631">
          <w:pPr>
            <w:pStyle w:val="2"/>
            <w:tabs>
              <w:tab w:val="right" w:leader="dot" w:pos="10107"/>
            </w:tabs>
            <w:spacing w:before="201" w:line="185" w:lineRule="auto"/>
            <w:ind w:left="2516"/>
            <w:rPr>
              <w:sz w:val="24"/>
              <w:szCs w:val="24"/>
            </w:rPr>
          </w:pPr>
          <w:r>
            <w:fldChar w:fldCharType="begin"/>
          </w:r>
          <w:r>
            <w:instrText xml:space="preserve">HYPERLINK\l"bookmark206"</w:instrText>
          </w:r>
          <w:r>
            <w:fldChar w:fldCharType="separate"/>
          </w:r>
          <w:r>
            <w:rPr>
              <w:spacing w:val="-20"/>
              <w:sz w:val="21"/>
              <w:szCs w:val="21"/>
            </w:rPr>
            <w:t>五、加及时回收</w:t>
          </w:r>
          <w:r>
            <w:rPr>
              <w:sz w:val="21"/>
              <w:szCs w:val="21"/>
            </w:rPr>
            <w:tab/>
          </w:r>
          <w:r>
            <w:rPr>
              <w:spacing w:val="-9"/>
              <w:sz w:val="24"/>
              <w:szCs w:val="24"/>
            </w:rPr>
            <w:t>334</w:t>
          </w:r>
          <w:r>
            <w:rPr>
              <w:spacing w:val="-9"/>
              <w:sz w:val="24"/>
              <w:szCs w:val="24"/>
            </w:rPr>
            <w:fldChar w:fldCharType="end"/>
          </w:r>
        </w:p>
        <w:p w14:paraId="4EAD2389">
          <w:pPr>
            <w:pStyle w:val="2"/>
            <w:tabs>
              <w:tab w:val="right" w:leader="dot" w:pos="10110"/>
            </w:tabs>
            <w:spacing w:before="199" w:line="185" w:lineRule="auto"/>
            <w:ind w:left="2243"/>
            <w:rPr>
              <w:sz w:val="24"/>
              <w:szCs w:val="24"/>
            </w:rPr>
          </w:pPr>
          <w:r>
            <w:fldChar w:fldCharType="begin"/>
          </w:r>
          <w:r>
            <w:instrText xml:space="preserve">HYPERLINK\l"bookmark207"</w:instrText>
          </w:r>
          <w:r>
            <w:fldChar w:fldCharType="separate"/>
          </w:r>
          <w:r>
            <w:rPr>
              <w:b/>
              <w:bCs/>
              <w:color w:val="0070C0"/>
              <w:spacing w:val="-24"/>
              <w:sz w:val="21"/>
              <w:szCs w:val="21"/>
            </w:rPr>
            <w:t>第六节、甲供材管理</w:t>
          </w:r>
          <w:r>
            <w:rPr>
              <w:color w:val="0070C0"/>
              <w:sz w:val="21"/>
              <w:szCs w:val="21"/>
              <w14:textOutline w14:w="4356" w14:cap="flat" w14:cmpd="sng">
                <w14:solidFill>
                  <w14:srgbClr w14:val="0070C0"/>
                </w14:solidFill>
                <w14:prstDash w14:val="solid"/>
                <w14:miter w14:val="0"/>
              </w14:textOutline>
            </w:rPr>
            <w:tab/>
          </w:r>
          <w:r>
            <w:rPr>
              <w:b/>
              <w:bCs/>
              <w:color w:val="0070C0"/>
              <w:spacing w:val="-10"/>
              <w:sz w:val="24"/>
              <w:szCs w:val="24"/>
            </w:rPr>
            <w:t>334</w:t>
          </w:r>
          <w:r>
            <w:rPr>
              <w:b/>
              <w:bCs/>
              <w:color w:val="0070C0"/>
              <w:spacing w:val="-10"/>
              <w:sz w:val="24"/>
              <w:szCs w:val="24"/>
            </w:rPr>
            <w:fldChar w:fldCharType="end"/>
          </w:r>
        </w:p>
        <w:p w14:paraId="6C2116FC">
          <w:pPr>
            <w:pStyle w:val="2"/>
            <w:tabs>
              <w:tab w:val="right" w:leader="dot" w:pos="10107"/>
            </w:tabs>
            <w:spacing w:before="199" w:line="185" w:lineRule="auto"/>
            <w:ind w:left="2516"/>
            <w:rPr>
              <w:sz w:val="24"/>
              <w:szCs w:val="24"/>
            </w:rPr>
          </w:pPr>
          <w:r>
            <w:fldChar w:fldCharType="begin"/>
          </w:r>
          <w:r>
            <w:instrText xml:space="preserve">HYPERLINK\l"bookmark208"</w:instrText>
          </w:r>
          <w:r>
            <w:fldChar w:fldCharType="separate"/>
          </w:r>
          <w:r>
            <w:rPr>
              <w:spacing w:val="-22"/>
              <w:sz w:val="21"/>
              <w:szCs w:val="21"/>
            </w:rPr>
            <w:t>一、甲供材进场管理</w:t>
          </w:r>
          <w:r>
            <w:rPr>
              <w:sz w:val="21"/>
              <w:szCs w:val="21"/>
            </w:rPr>
            <w:tab/>
          </w:r>
          <w:r>
            <w:rPr>
              <w:spacing w:val="-9"/>
              <w:sz w:val="24"/>
              <w:szCs w:val="24"/>
            </w:rPr>
            <w:t>334</w:t>
          </w:r>
          <w:r>
            <w:rPr>
              <w:spacing w:val="-9"/>
              <w:sz w:val="24"/>
              <w:szCs w:val="24"/>
            </w:rPr>
            <w:fldChar w:fldCharType="end"/>
          </w:r>
        </w:p>
        <w:p w14:paraId="74AB59F3">
          <w:pPr>
            <w:pStyle w:val="2"/>
            <w:tabs>
              <w:tab w:val="right" w:leader="dot" w:pos="10107"/>
            </w:tabs>
            <w:spacing w:before="201" w:line="185" w:lineRule="auto"/>
            <w:ind w:left="2519"/>
            <w:rPr>
              <w:sz w:val="24"/>
              <w:szCs w:val="24"/>
            </w:rPr>
          </w:pPr>
          <w:r>
            <w:fldChar w:fldCharType="begin"/>
          </w:r>
          <w:r>
            <w:instrText xml:space="preserve">HYPERLINK\l"bookmark209"</w:instrText>
          </w:r>
          <w:r>
            <w:fldChar w:fldCharType="separate"/>
          </w:r>
          <w:r>
            <w:rPr>
              <w:spacing w:val="-22"/>
              <w:sz w:val="21"/>
              <w:szCs w:val="21"/>
            </w:rPr>
            <w:t>二、甲供材进场验收</w:t>
          </w:r>
          <w:r>
            <w:rPr>
              <w:sz w:val="21"/>
              <w:szCs w:val="21"/>
            </w:rPr>
            <w:tab/>
          </w:r>
          <w:r>
            <w:rPr>
              <w:spacing w:val="-9"/>
              <w:sz w:val="24"/>
              <w:szCs w:val="24"/>
            </w:rPr>
            <w:t>337</w:t>
          </w:r>
          <w:r>
            <w:rPr>
              <w:spacing w:val="-9"/>
              <w:sz w:val="24"/>
              <w:szCs w:val="24"/>
            </w:rPr>
            <w:fldChar w:fldCharType="end"/>
          </w:r>
        </w:p>
        <w:p w14:paraId="42E76640">
          <w:pPr>
            <w:pStyle w:val="2"/>
            <w:tabs>
              <w:tab w:val="right" w:leader="dot" w:pos="10107"/>
            </w:tabs>
            <w:spacing w:before="198" w:line="185" w:lineRule="auto"/>
            <w:ind w:left="2518"/>
            <w:rPr>
              <w:sz w:val="24"/>
              <w:szCs w:val="24"/>
            </w:rPr>
          </w:pPr>
          <w:r>
            <w:fldChar w:fldCharType="begin"/>
          </w:r>
          <w:r>
            <w:instrText xml:space="preserve">HYPERLINK\l"bookmark210"</w:instrText>
          </w:r>
          <w:r>
            <w:fldChar w:fldCharType="separate"/>
          </w:r>
          <w:r>
            <w:rPr>
              <w:spacing w:val="-22"/>
              <w:sz w:val="21"/>
              <w:szCs w:val="21"/>
            </w:rPr>
            <w:t>三、甲供材管理制度</w:t>
          </w:r>
          <w:r>
            <w:rPr>
              <w:sz w:val="21"/>
              <w:szCs w:val="21"/>
            </w:rPr>
            <w:tab/>
          </w:r>
          <w:r>
            <w:rPr>
              <w:spacing w:val="-9"/>
              <w:sz w:val="24"/>
              <w:szCs w:val="24"/>
            </w:rPr>
            <w:t>338</w:t>
          </w:r>
          <w:r>
            <w:rPr>
              <w:spacing w:val="-9"/>
              <w:sz w:val="24"/>
              <w:szCs w:val="24"/>
            </w:rPr>
            <w:fldChar w:fldCharType="end"/>
          </w:r>
        </w:p>
        <w:p w14:paraId="0195F51C">
          <w:pPr>
            <w:pStyle w:val="2"/>
            <w:tabs>
              <w:tab w:val="right" w:leader="dot" w:pos="10107"/>
            </w:tabs>
            <w:spacing w:before="200" w:line="185" w:lineRule="auto"/>
            <w:ind w:left="2537"/>
            <w:rPr>
              <w:sz w:val="24"/>
              <w:szCs w:val="24"/>
            </w:rPr>
          </w:pPr>
          <w:r>
            <w:fldChar w:fldCharType="begin"/>
          </w:r>
          <w:r>
            <w:instrText xml:space="preserve">HYPERLINK\l"bookmark211"</w:instrText>
          </w:r>
          <w:r>
            <w:fldChar w:fldCharType="separate"/>
          </w:r>
          <w:r>
            <w:rPr>
              <w:spacing w:val="-24"/>
              <w:sz w:val="21"/>
              <w:szCs w:val="21"/>
            </w:rPr>
            <w:t>四、甲供材管理流程</w:t>
          </w:r>
          <w:r>
            <w:rPr>
              <w:sz w:val="21"/>
              <w:szCs w:val="21"/>
            </w:rPr>
            <w:tab/>
          </w:r>
          <w:r>
            <w:rPr>
              <w:spacing w:val="-9"/>
              <w:sz w:val="24"/>
              <w:szCs w:val="24"/>
            </w:rPr>
            <w:t>339</w:t>
          </w:r>
          <w:r>
            <w:rPr>
              <w:spacing w:val="-9"/>
              <w:sz w:val="24"/>
              <w:szCs w:val="24"/>
            </w:rPr>
            <w:fldChar w:fldCharType="end"/>
          </w:r>
        </w:p>
        <w:p w14:paraId="01464917">
          <w:pPr>
            <w:pStyle w:val="2"/>
            <w:tabs>
              <w:tab w:val="right" w:leader="dot" w:pos="10107"/>
            </w:tabs>
            <w:spacing w:before="201" w:line="185" w:lineRule="auto"/>
            <w:ind w:left="2516"/>
            <w:rPr>
              <w:sz w:val="24"/>
              <w:szCs w:val="24"/>
            </w:rPr>
          </w:pPr>
          <w:r>
            <w:fldChar w:fldCharType="begin"/>
          </w:r>
          <w:r>
            <w:instrText xml:space="preserve">HYPERLINK\l"bookmark212"</w:instrText>
          </w:r>
          <w:r>
            <w:fldChar w:fldCharType="separate"/>
          </w:r>
          <w:r>
            <w:rPr>
              <w:spacing w:val="-20"/>
              <w:sz w:val="21"/>
              <w:szCs w:val="21"/>
            </w:rPr>
            <w:t>五、职责分工</w:t>
          </w:r>
          <w:r>
            <w:rPr>
              <w:sz w:val="21"/>
              <w:szCs w:val="21"/>
            </w:rPr>
            <w:tab/>
          </w:r>
          <w:r>
            <w:rPr>
              <w:spacing w:val="-9"/>
              <w:sz w:val="24"/>
              <w:szCs w:val="24"/>
            </w:rPr>
            <w:t>340</w:t>
          </w:r>
          <w:r>
            <w:rPr>
              <w:spacing w:val="-9"/>
              <w:sz w:val="24"/>
              <w:szCs w:val="24"/>
            </w:rPr>
            <w:fldChar w:fldCharType="end"/>
          </w:r>
        </w:p>
        <w:p w14:paraId="5F05DDBD">
          <w:pPr>
            <w:pStyle w:val="2"/>
            <w:tabs>
              <w:tab w:val="right" w:leader="dot" w:pos="10107"/>
            </w:tabs>
            <w:spacing w:before="198" w:line="185" w:lineRule="auto"/>
            <w:ind w:left="2514"/>
            <w:rPr>
              <w:sz w:val="24"/>
              <w:szCs w:val="24"/>
            </w:rPr>
          </w:pPr>
          <w:r>
            <w:fldChar w:fldCharType="begin"/>
          </w:r>
          <w:r>
            <w:instrText xml:space="preserve">HYPERLINK\l"bookmark213"</w:instrText>
          </w:r>
          <w:r>
            <w:fldChar w:fldCharType="separate"/>
          </w:r>
          <w:r>
            <w:rPr>
              <w:spacing w:val="-22"/>
              <w:sz w:val="21"/>
              <w:szCs w:val="21"/>
            </w:rPr>
            <w:t>六、管理内容</w:t>
          </w:r>
          <w:r>
            <w:rPr>
              <w:sz w:val="21"/>
              <w:szCs w:val="21"/>
            </w:rPr>
            <w:tab/>
          </w:r>
          <w:r>
            <w:rPr>
              <w:spacing w:val="-9"/>
              <w:sz w:val="24"/>
              <w:szCs w:val="24"/>
            </w:rPr>
            <w:t>341</w:t>
          </w:r>
          <w:r>
            <w:rPr>
              <w:spacing w:val="-9"/>
              <w:sz w:val="24"/>
              <w:szCs w:val="24"/>
            </w:rPr>
            <w:fldChar w:fldCharType="end"/>
          </w:r>
        </w:p>
        <w:p w14:paraId="6A6D36D6">
          <w:pPr>
            <w:pStyle w:val="2"/>
            <w:tabs>
              <w:tab w:val="right" w:leader="dot" w:pos="10107"/>
            </w:tabs>
            <w:spacing w:before="199" w:line="185" w:lineRule="auto"/>
            <w:ind w:left="2516"/>
            <w:rPr>
              <w:sz w:val="24"/>
              <w:szCs w:val="24"/>
            </w:rPr>
          </w:pPr>
          <w:r>
            <w:fldChar w:fldCharType="begin"/>
          </w:r>
          <w:r>
            <w:instrText xml:space="preserve">HYPERLINK\l"bookmark214"</w:instrText>
          </w:r>
          <w:r>
            <w:fldChar w:fldCharType="separate"/>
          </w:r>
          <w:r>
            <w:rPr>
              <w:spacing w:val="-20"/>
              <w:sz w:val="21"/>
              <w:szCs w:val="21"/>
            </w:rPr>
            <w:t>七、验收管理</w:t>
          </w:r>
          <w:r>
            <w:rPr>
              <w:sz w:val="21"/>
              <w:szCs w:val="21"/>
            </w:rPr>
            <w:tab/>
          </w:r>
          <w:r>
            <w:rPr>
              <w:spacing w:val="-9"/>
              <w:sz w:val="24"/>
              <w:szCs w:val="24"/>
            </w:rPr>
            <w:t>343</w:t>
          </w:r>
          <w:r>
            <w:rPr>
              <w:spacing w:val="-9"/>
              <w:sz w:val="24"/>
              <w:szCs w:val="24"/>
            </w:rPr>
            <w:fldChar w:fldCharType="end"/>
          </w:r>
        </w:p>
        <w:p w14:paraId="57672915">
          <w:pPr>
            <w:pStyle w:val="2"/>
            <w:tabs>
              <w:tab w:val="right" w:leader="dot" w:pos="10107"/>
            </w:tabs>
            <w:spacing w:before="201" w:line="185" w:lineRule="auto"/>
            <w:ind w:left="2512"/>
            <w:rPr>
              <w:sz w:val="24"/>
              <w:szCs w:val="24"/>
            </w:rPr>
          </w:pPr>
          <w:r>
            <w:fldChar w:fldCharType="begin"/>
          </w:r>
          <w:r>
            <w:instrText xml:space="preserve">HYPERLINK\l"bookmark215"</w:instrText>
          </w:r>
          <w:r>
            <w:fldChar w:fldCharType="separate"/>
          </w:r>
          <w:r>
            <w:rPr>
              <w:spacing w:val="-21"/>
              <w:sz w:val="21"/>
              <w:szCs w:val="21"/>
            </w:rPr>
            <w:t>八、出库管理</w:t>
          </w:r>
          <w:r>
            <w:rPr>
              <w:sz w:val="21"/>
              <w:szCs w:val="21"/>
            </w:rPr>
            <w:tab/>
          </w:r>
          <w:r>
            <w:rPr>
              <w:spacing w:val="-9"/>
              <w:sz w:val="24"/>
              <w:szCs w:val="24"/>
            </w:rPr>
            <w:t>343</w:t>
          </w:r>
          <w:r>
            <w:rPr>
              <w:spacing w:val="-9"/>
              <w:sz w:val="24"/>
              <w:szCs w:val="24"/>
            </w:rPr>
            <w:fldChar w:fldCharType="end"/>
          </w:r>
        </w:p>
        <w:p w14:paraId="6F946FEE">
          <w:pPr>
            <w:pStyle w:val="2"/>
            <w:tabs>
              <w:tab w:val="right" w:leader="dot" w:pos="10107"/>
            </w:tabs>
            <w:spacing w:before="200" w:line="219" w:lineRule="auto"/>
            <w:ind w:left="2520"/>
            <w:rPr>
              <w:sz w:val="24"/>
              <w:szCs w:val="24"/>
            </w:rPr>
          </w:pPr>
          <w:r>
            <w:fldChar w:fldCharType="begin"/>
          </w:r>
          <w:r>
            <w:instrText xml:space="preserve">HYPERLINK\l"bookmark216"</w:instrText>
          </w:r>
          <w:r>
            <w:fldChar w:fldCharType="separate"/>
          </w:r>
          <w:r>
            <w:rPr>
              <w:spacing w:val="-22"/>
              <w:sz w:val="21"/>
              <w:szCs w:val="21"/>
            </w:rPr>
            <w:t>九、台帐管理</w:t>
          </w:r>
          <w:r>
            <w:rPr>
              <w:sz w:val="21"/>
              <w:szCs w:val="21"/>
            </w:rPr>
            <w:tab/>
          </w:r>
          <w:r>
            <w:rPr>
              <w:spacing w:val="-9"/>
              <w:sz w:val="24"/>
              <w:szCs w:val="24"/>
            </w:rPr>
            <w:t>344</w:t>
          </w:r>
          <w:r>
            <w:rPr>
              <w:spacing w:val="-9"/>
              <w:sz w:val="24"/>
              <w:szCs w:val="24"/>
            </w:rPr>
            <w:fldChar w:fldCharType="end"/>
          </w:r>
        </w:p>
      </w:sdtContent>
    </w:sdt>
    <w:p w14:paraId="39B70784">
      <w:pPr>
        <w:spacing w:line="219" w:lineRule="auto"/>
        <w:rPr>
          <w:sz w:val="24"/>
          <w:szCs w:val="24"/>
        </w:rPr>
        <w:sectPr>
          <w:footerReference r:id="rId14" w:type="default"/>
          <w:pgSz w:w="11907" w:h="16839"/>
          <w:pgMar w:top="1018" w:right="3" w:bottom="1179" w:left="0" w:header="562" w:footer="498" w:gutter="0"/>
          <w:pgBorders>
            <w:top w:val="none" w:sz="0" w:space="0"/>
            <w:left w:val="none" w:sz="0" w:space="0"/>
            <w:bottom w:val="none" w:sz="0" w:space="0"/>
            <w:right w:val="none" w:sz="0" w:space="0"/>
          </w:pgBorders>
          <w:cols w:space="720" w:num="1"/>
        </w:sectPr>
      </w:pPr>
    </w:p>
    <w:p w14:paraId="6657E30A">
      <w:pPr>
        <w:spacing w:line="243" w:lineRule="auto"/>
        <w:rPr>
          <w:rFonts w:ascii="Arial"/>
          <w:sz w:val="21"/>
        </w:rPr>
      </w:pPr>
    </w:p>
    <w:p w14:paraId="6015B8B8">
      <w:pPr>
        <w:spacing w:line="244" w:lineRule="auto"/>
        <w:rPr>
          <w:rFonts w:ascii="Arial"/>
          <w:sz w:val="21"/>
        </w:rPr>
      </w:pPr>
    </w:p>
    <w:sdt>
      <w:sdtPr>
        <w:rPr>
          <w:rFonts w:ascii="仿宋" w:hAnsi="仿宋" w:eastAsia="仿宋" w:cs="仿宋"/>
          <w:sz w:val="21"/>
          <w:szCs w:val="21"/>
        </w:rPr>
        <w:id w:val="147481306"/>
        <w:docPartObj>
          <w:docPartGallery w:val="Table of Contents"/>
          <w:docPartUnique/>
        </w:docPartObj>
      </w:sdtPr>
      <w:sdtEndPr>
        <w:rPr>
          <w:rFonts w:ascii="仿宋" w:hAnsi="仿宋" w:eastAsia="仿宋" w:cs="仿宋"/>
          <w:sz w:val="24"/>
          <w:szCs w:val="24"/>
        </w:rPr>
      </w:sdtEndPr>
      <w:sdtContent>
        <w:p w14:paraId="33C4E8EB">
          <w:pPr>
            <w:pStyle w:val="2"/>
            <w:tabs>
              <w:tab w:val="right" w:leader="dot" w:pos="10107"/>
            </w:tabs>
            <w:spacing w:before="78" w:line="185" w:lineRule="auto"/>
            <w:ind w:left="2518"/>
            <w:rPr>
              <w:sz w:val="24"/>
              <w:szCs w:val="24"/>
            </w:rPr>
          </w:pPr>
          <w:r>
            <w:fldChar w:fldCharType="begin"/>
          </w:r>
          <w:r>
            <w:instrText xml:space="preserve">HYPERLINK\l"bookmark217"</w:instrText>
          </w:r>
          <w:r>
            <w:fldChar w:fldCharType="separate"/>
          </w:r>
          <w:r>
            <w:rPr>
              <w:spacing w:val="-22"/>
              <w:sz w:val="21"/>
              <w:szCs w:val="21"/>
            </w:rPr>
            <w:t>十、甲供材管理措施</w:t>
          </w:r>
          <w:r>
            <w:rPr>
              <w:sz w:val="21"/>
              <w:szCs w:val="21"/>
            </w:rPr>
            <w:tab/>
          </w:r>
          <w:r>
            <w:rPr>
              <w:spacing w:val="-9"/>
              <w:sz w:val="24"/>
              <w:szCs w:val="24"/>
            </w:rPr>
            <w:t>344</w:t>
          </w:r>
          <w:r>
            <w:rPr>
              <w:spacing w:val="-9"/>
              <w:sz w:val="24"/>
              <w:szCs w:val="24"/>
            </w:rPr>
            <w:fldChar w:fldCharType="end"/>
          </w:r>
        </w:p>
        <w:p w14:paraId="1EFF5DF8">
          <w:pPr>
            <w:pStyle w:val="2"/>
            <w:tabs>
              <w:tab w:val="right" w:leader="dot" w:pos="10109"/>
            </w:tabs>
            <w:spacing w:before="147" w:line="185" w:lineRule="auto"/>
            <w:ind w:left="1823"/>
            <w:rPr>
              <w:sz w:val="30"/>
              <w:szCs w:val="30"/>
            </w:rPr>
          </w:pPr>
          <w:r>
            <w:fldChar w:fldCharType="begin"/>
          </w:r>
          <w:r>
            <w:instrText xml:space="preserve">HYPERLINK\l"bookmark218"</w:instrText>
          </w:r>
          <w:r>
            <w:fldChar w:fldCharType="separate"/>
          </w:r>
          <w:r>
            <w:rPr>
              <w:b/>
              <w:bCs/>
              <w:color w:val="7030A0"/>
              <w:spacing w:val="-23"/>
              <w:sz w:val="21"/>
              <w:szCs w:val="21"/>
            </w:rPr>
            <w:t>第八章、重难点及措施</w:t>
          </w:r>
          <w:r>
            <w:rPr>
              <w:color w:val="7030A0"/>
              <w:sz w:val="21"/>
              <w:szCs w:val="21"/>
              <w14:textOutline w14:w="5448" w14:cap="flat" w14:cmpd="sng">
                <w14:solidFill>
                  <w14:srgbClr w14:val="7030A0"/>
                </w14:solidFill>
                <w14:prstDash w14:val="solid"/>
                <w14:miter w14:val="0"/>
              </w14:textOutline>
            </w:rPr>
            <w:tab/>
          </w:r>
          <w:r>
            <w:rPr>
              <w:b/>
              <w:bCs/>
              <w:color w:val="7030A0"/>
              <w:spacing w:val="-12"/>
              <w:sz w:val="30"/>
              <w:szCs w:val="30"/>
            </w:rPr>
            <w:t>347</w:t>
          </w:r>
          <w:r>
            <w:rPr>
              <w:b/>
              <w:bCs/>
              <w:color w:val="7030A0"/>
              <w:spacing w:val="-12"/>
              <w:sz w:val="30"/>
              <w:szCs w:val="30"/>
            </w:rPr>
            <w:fldChar w:fldCharType="end"/>
          </w:r>
        </w:p>
        <w:p w14:paraId="2620EEDA">
          <w:pPr>
            <w:pStyle w:val="2"/>
            <w:tabs>
              <w:tab w:val="right" w:leader="dot" w:pos="10110"/>
            </w:tabs>
            <w:spacing w:before="192" w:line="185" w:lineRule="auto"/>
            <w:ind w:left="2243"/>
            <w:rPr>
              <w:sz w:val="24"/>
              <w:szCs w:val="24"/>
            </w:rPr>
          </w:pPr>
          <w:r>
            <w:fldChar w:fldCharType="begin"/>
          </w:r>
          <w:r>
            <w:instrText xml:space="preserve">HYPERLINK\l"bookmark219"</w:instrText>
          </w:r>
          <w:r>
            <w:fldChar w:fldCharType="separate"/>
          </w:r>
          <w:r>
            <w:rPr>
              <w:b/>
              <w:bCs/>
              <w:color w:val="0070C0"/>
              <w:spacing w:val="-24"/>
              <w:sz w:val="21"/>
              <w:szCs w:val="21"/>
            </w:rPr>
            <w:t>第一节、多位置同时施工</w:t>
          </w:r>
          <w:r>
            <w:rPr>
              <w:b/>
              <w:bCs/>
              <w:color w:val="0070C0"/>
              <w:sz w:val="21"/>
              <w:szCs w:val="21"/>
              <w14:textOutline w14:w="4356" w14:cap="flat" w14:cmpd="sng">
                <w14:solidFill>
                  <w14:srgbClr w14:val="0070C0"/>
                </w14:solidFill>
                <w14:prstDash w14:val="solid"/>
                <w14:miter w14:val="0"/>
              </w14:textOutline>
            </w:rPr>
            <w:tab/>
          </w:r>
          <w:r>
            <w:rPr>
              <w:b/>
              <w:bCs/>
              <w:color w:val="0070C0"/>
              <w:spacing w:val="-10"/>
              <w:sz w:val="24"/>
              <w:szCs w:val="24"/>
            </w:rPr>
            <w:t>347</w:t>
          </w:r>
          <w:r>
            <w:rPr>
              <w:b/>
              <w:bCs/>
              <w:color w:val="0070C0"/>
              <w:spacing w:val="-10"/>
              <w:sz w:val="24"/>
              <w:szCs w:val="24"/>
            </w:rPr>
            <w:fldChar w:fldCharType="end"/>
          </w:r>
        </w:p>
        <w:p w14:paraId="7EDC9BF9">
          <w:pPr>
            <w:pStyle w:val="2"/>
            <w:tabs>
              <w:tab w:val="right" w:leader="dot" w:pos="10107"/>
            </w:tabs>
            <w:spacing w:before="198" w:line="185" w:lineRule="auto"/>
            <w:ind w:left="2516"/>
            <w:rPr>
              <w:sz w:val="24"/>
              <w:szCs w:val="24"/>
            </w:rPr>
          </w:pPr>
          <w:r>
            <w:fldChar w:fldCharType="begin"/>
          </w:r>
          <w:r>
            <w:instrText xml:space="preserve">HYPERLINK\l"bookmark220"</w:instrText>
          </w:r>
          <w:r>
            <w:fldChar w:fldCharType="separate"/>
          </w:r>
          <w:r>
            <w:rPr>
              <w:spacing w:val="-20"/>
              <w:sz w:val="21"/>
              <w:szCs w:val="21"/>
            </w:rPr>
            <w:t>一、重难点分析</w:t>
          </w:r>
          <w:r>
            <w:rPr>
              <w:sz w:val="21"/>
              <w:szCs w:val="21"/>
            </w:rPr>
            <w:tab/>
          </w:r>
          <w:r>
            <w:rPr>
              <w:spacing w:val="-9"/>
              <w:sz w:val="24"/>
              <w:szCs w:val="24"/>
            </w:rPr>
            <w:t>347</w:t>
          </w:r>
          <w:r>
            <w:rPr>
              <w:spacing w:val="-9"/>
              <w:sz w:val="24"/>
              <w:szCs w:val="24"/>
            </w:rPr>
            <w:fldChar w:fldCharType="end"/>
          </w:r>
        </w:p>
        <w:p w14:paraId="0FBBA683">
          <w:pPr>
            <w:pStyle w:val="2"/>
            <w:tabs>
              <w:tab w:val="right" w:leader="dot" w:pos="10107"/>
            </w:tabs>
            <w:spacing w:before="198" w:line="185" w:lineRule="auto"/>
            <w:ind w:left="2519"/>
            <w:rPr>
              <w:sz w:val="24"/>
              <w:szCs w:val="24"/>
            </w:rPr>
          </w:pPr>
          <w:r>
            <w:fldChar w:fldCharType="begin"/>
          </w:r>
          <w:r>
            <w:instrText xml:space="preserve">HYPERLINK\l"bookmark221"</w:instrText>
          </w:r>
          <w:r>
            <w:fldChar w:fldCharType="separate"/>
          </w:r>
          <w:r>
            <w:rPr>
              <w:spacing w:val="-22"/>
              <w:sz w:val="21"/>
              <w:szCs w:val="21"/>
            </w:rPr>
            <w:t>二、对应保证措施</w:t>
          </w:r>
          <w:r>
            <w:rPr>
              <w:sz w:val="21"/>
              <w:szCs w:val="21"/>
            </w:rPr>
            <w:tab/>
          </w:r>
          <w:r>
            <w:rPr>
              <w:spacing w:val="-9"/>
              <w:sz w:val="24"/>
              <w:szCs w:val="24"/>
            </w:rPr>
            <w:t>347</w:t>
          </w:r>
          <w:r>
            <w:rPr>
              <w:spacing w:val="-9"/>
              <w:sz w:val="24"/>
              <w:szCs w:val="24"/>
            </w:rPr>
            <w:fldChar w:fldCharType="end"/>
          </w:r>
        </w:p>
        <w:p w14:paraId="107A46B5">
          <w:pPr>
            <w:pStyle w:val="2"/>
            <w:tabs>
              <w:tab w:val="right" w:leader="dot" w:pos="10110"/>
            </w:tabs>
            <w:spacing w:before="201" w:line="185" w:lineRule="auto"/>
            <w:ind w:left="2243"/>
            <w:rPr>
              <w:sz w:val="24"/>
              <w:szCs w:val="24"/>
            </w:rPr>
          </w:pPr>
          <w:r>
            <w:fldChar w:fldCharType="begin"/>
          </w:r>
          <w:r>
            <w:instrText xml:space="preserve">HYPERLINK\l"bookmark222"</w:instrText>
          </w:r>
          <w:r>
            <w:fldChar w:fldCharType="separate"/>
          </w:r>
          <w:r>
            <w:rPr>
              <w:b/>
              <w:bCs/>
              <w:color w:val="0070C0"/>
              <w:spacing w:val="-23"/>
              <w:sz w:val="21"/>
              <w:szCs w:val="21"/>
            </w:rPr>
            <w:t>第二节、分段试压冲洗施工</w:t>
          </w:r>
          <w:r>
            <w:rPr>
              <w:color w:val="0070C0"/>
              <w:sz w:val="21"/>
              <w:szCs w:val="21"/>
              <w14:textOutline w14:w="4356" w14:cap="flat" w14:cmpd="sng">
                <w14:solidFill>
                  <w14:srgbClr w14:val="0070C0"/>
                </w14:solidFill>
                <w14:prstDash w14:val="solid"/>
                <w14:miter w14:val="0"/>
              </w14:textOutline>
            </w:rPr>
            <w:tab/>
          </w:r>
          <w:r>
            <w:rPr>
              <w:b/>
              <w:bCs/>
              <w:color w:val="0070C0"/>
              <w:spacing w:val="-10"/>
              <w:sz w:val="24"/>
              <w:szCs w:val="24"/>
            </w:rPr>
            <w:t>354</w:t>
          </w:r>
          <w:r>
            <w:rPr>
              <w:b/>
              <w:bCs/>
              <w:color w:val="0070C0"/>
              <w:spacing w:val="-10"/>
              <w:sz w:val="24"/>
              <w:szCs w:val="24"/>
            </w:rPr>
            <w:fldChar w:fldCharType="end"/>
          </w:r>
        </w:p>
        <w:p w14:paraId="1ACE3D5D">
          <w:pPr>
            <w:pStyle w:val="2"/>
            <w:tabs>
              <w:tab w:val="right" w:leader="dot" w:pos="10107"/>
            </w:tabs>
            <w:spacing w:before="199" w:line="185" w:lineRule="auto"/>
            <w:ind w:left="2516"/>
            <w:rPr>
              <w:sz w:val="24"/>
              <w:szCs w:val="24"/>
            </w:rPr>
          </w:pPr>
          <w:r>
            <w:fldChar w:fldCharType="begin"/>
          </w:r>
          <w:r>
            <w:instrText xml:space="preserve">HYPERLINK\l"bookmark223"</w:instrText>
          </w:r>
          <w:r>
            <w:fldChar w:fldCharType="separate"/>
          </w:r>
          <w:r>
            <w:rPr>
              <w:spacing w:val="-20"/>
              <w:sz w:val="21"/>
              <w:szCs w:val="21"/>
            </w:rPr>
            <w:t>一、重难点分析</w:t>
          </w:r>
          <w:r>
            <w:rPr>
              <w:sz w:val="21"/>
              <w:szCs w:val="21"/>
            </w:rPr>
            <w:tab/>
          </w:r>
          <w:r>
            <w:rPr>
              <w:spacing w:val="-9"/>
              <w:sz w:val="24"/>
              <w:szCs w:val="24"/>
            </w:rPr>
            <w:t>354</w:t>
          </w:r>
          <w:r>
            <w:rPr>
              <w:spacing w:val="-9"/>
              <w:sz w:val="24"/>
              <w:szCs w:val="24"/>
            </w:rPr>
            <w:fldChar w:fldCharType="end"/>
          </w:r>
        </w:p>
        <w:p w14:paraId="781AB1C4">
          <w:pPr>
            <w:pStyle w:val="2"/>
            <w:tabs>
              <w:tab w:val="right" w:leader="dot" w:pos="10107"/>
            </w:tabs>
            <w:spacing w:before="199" w:line="185" w:lineRule="auto"/>
            <w:ind w:left="2519"/>
            <w:rPr>
              <w:sz w:val="24"/>
              <w:szCs w:val="24"/>
            </w:rPr>
          </w:pPr>
          <w:r>
            <w:fldChar w:fldCharType="begin"/>
          </w:r>
          <w:r>
            <w:instrText xml:space="preserve">HYPERLINK\l"bookmark224"</w:instrText>
          </w:r>
          <w:r>
            <w:fldChar w:fldCharType="separate"/>
          </w:r>
          <w:r>
            <w:rPr>
              <w:spacing w:val="-22"/>
              <w:sz w:val="21"/>
              <w:szCs w:val="21"/>
            </w:rPr>
            <w:t>二、对应保证措施</w:t>
          </w:r>
          <w:r>
            <w:rPr>
              <w:sz w:val="21"/>
              <w:szCs w:val="21"/>
            </w:rPr>
            <w:tab/>
          </w:r>
          <w:r>
            <w:rPr>
              <w:spacing w:val="-9"/>
              <w:sz w:val="24"/>
              <w:szCs w:val="24"/>
            </w:rPr>
            <w:t>354</w:t>
          </w:r>
          <w:r>
            <w:rPr>
              <w:spacing w:val="-9"/>
              <w:sz w:val="24"/>
              <w:szCs w:val="24"/>
            </w:rPr>
            <w:fldChar w:fldCharType="end"/>
          </w:r>
        </w:p>
        <w:p w14:paraId="43AB8697">
          <w:pPr>
            <w:pStyle w:val="2"/>
            <w:tabs>
              <w:tab w:val="right" w:leader="dot" w:pos="10110"/>
            </w:tabs>
            <w:spacing w:before="201" w:line="185" w:lineRule="auto"/>
            <w:ind w:left="2243"/>
            <w:rPr>
              <w:sz w:val="24"/>
              <w:szCs w:val="24"/>
            </w:rPr>
          </w:pPr>
          <w:r>
            <w:fldChar w:fldCharType="begin"/>
          </w:r>
          <w:r>
            <w:instrText xml:space="preserve">HYPERLINK\l"bookmark225"</w:instrText>
          </w:r>
          <w:r>
            <w:fldChar w:fldCharType="separate"/>
          </w:r>
          <w:r>
            <w:rPr>
              <w:b/>
              <w:bCs/>
              <w:color w:val="0070C0"/>
              <w:spacing w:val="-24"/>
              <w:sz w:val="21"/>
              <w:szCs w:val="21"/>
            </w:rPr>
            <w:t>第三节、管线迁改及停水施工</w:t>
          </w:r>
          <w:r>
            <w:rPr>
              <w:color w:val="0070C0"/>
              <w:sz w:val="21"/>
              <w:szCs w:val="21"/>
              <w14:textOutline w14:w="4356" w14:cap="flat" w14:cmpd="sng">
                <w14:solidFill>
                  <w14:srgbClr w14:val="0070C0"/>
                </w14:solidFill>
                <w14:prstDash w14:val="solid"/>
                <w14:miter w14:val="0"/>
              </w14:textOutline>
            </w:rPr>
            <w:tab/>
          </w:r>
          <w:r>
            <w:rPr>
              <w:b/>
              <w:bCs/>
              <w:color w:val="0070C0"/>
              <w:spacing w:val="-10"/>
              <w:sz w:val="24"/>
              <w:szCs w:val="24"/>
            </w:rPr>
            <w:t>358</w:t>
          </w:r>
          <w:r>
            <w:rPr>
              <w:b/>
              <w:bCs/>
              <w:color w:val="0070C0"/>
              <w:spacing w:val="-10"/>
              <w:sz w:val="24"/>
              <w:szCs w:val="24"/>
            </w:rPr>
            <w:fldChar w:fldCharType="end"/>
          </w:r>
        </w:p>
        <w:p w14:paraId="247C2FD1">
          <w:pPr>
            <w:pStyle w:val="2"/>
            <w:tabs>
              <w:tab w:val="right" w:leader="dot" w:pos="10107"/>
            </w:tabs>
            <w:spacing w:before="199" w:line="185" w:lineRule="auto"/>
            <w:ind w:left="2516"/>
            <w:rPr>
              <w:sz w:val="24"/>
              <w:szCs w:val="24"/>
            </w:rPr>
          </w:pPr>
          <w:r>
            <w:fldChar w:fldCharType="begin"/>
          </w:r>
          <w:r>
            <w:instrText xml:space="preserve">HYPERLINK\l"bookmark226"</w:instrText>
          </w:r>
          <w:r>
            <w:fldChar w:fldCharType="separate"/>
          </w:r>
          <w:r>
            <w:rPr>
              <w:spacing w:val="-20"/>
              <w:sz w:val="21"/>
              <w:szCs w:val="21"/>
            </w:rPr>
            <w:t>一、重难点分析</w:t>
          </w:r>
          <w:r>
            <w:rPr>
              <w:sz w:val="21"/>
              <w:szCs w:val="21"/>
            </w:rPr>
            <w:tab/>
          </w:r>
          <w:r>
            <w:rPr>
              <w:spacing w:val="-9"/>
              <w:sz w:val="24"/>
              <w:szCs w:val="24"/>
            </w:rPr>
            <w:t>358</w:t>
          </w:r>
          <w:r>
            <w:rPr>
              <w:spacing w:val="-9"/>
              <w:sz w:val="24"/>
              <w:szCs w:val="24"/>
            </w:rPr>
            <w:fldChar w:fldCharType="end"/>
          </w:r>
        </w:p>
        <w:p w14:paraId="404708AC">
          <w:pPr>
            <w:pStyle w:val="2"/>
            <w:tabs>
              <w:tab w:val="right" w:leader="dot" w:pos="10107"/>
            </w:tabs>
            <w:spacing w:before="199" w:line="185" w:lineRule="auto"/>
            <w:ind w:left="2519"/>
            <w:rPr>
              <w:sz w:val="24"/>
              <w:szCs w:val="24"/>
            </w:rPr>
          </w:pPr>
          <w:r>
            <w:fldChar w:fldCharType="begin"/>
          </w:r>
          <w:r>
            <w:instrText xml:space="preserve">HYPERLINK\l"bookmark227"</w:instrText>
          </w:r>
          <w:r>
            <w:fldChar w:fldCharType="separate"/>
          </w:r>
          <w:r>
            <w:rPr>
              <w:spacing w:val="-22"/>
              <w:sz w:val="21"/>
              <w:szCs w:val="21"/>
            </w:rPr>
            <w:t>二、对应保证措施</w:t>
          </w:r>
          <w:r>
            <w:rPr>
              <w:sz w:val="21"/>
              <w:szCs w:val="21"/>
            </w:rPr>
            <w:tab/>
          </w:r>
          <w:r>
            <w:rPr>
              <w:spacing w:val="-9"/>
              <w:sz w:val="24"/>
              <w:szCs w:val="24"/>
            </w:rPr>
            <w:t>358</w:t>
          </w:r>
          <w:r>
            <w:rPr>
              <w:spacing w:val="-9"/>
              <w:sz w:val="24"/>
              <w:szCs w:val="24"/>
            </w:rPr>
            <w:fldChar w:fldCharType="end"/>
          </w:r>
        </w:p>
        <w:p w14:paraId="3FE99919">
          <w:pPr>
            <w:pStyle w:val="2"/>
            <w:tabs>
              <w:tab w:val="right" w:leader="dot" w:pos="10110"/>
            </w:tabs>
            <w:spacing w:before="201" w:line="185" w:lineRule="auto"/>
            <w:ind w:left="2243"/>
            <w:rPr>
              <w:sz w:val="24"/>
              <w:szCs w:val="24"/>
            </w:rPr>
          </w:pPr>
          <w:r>
            <w:fldChar w:fldCharType="begin"/>
          </w:r>
          <w:r>
            <w:instrText xml:space="preserve">HYPERLINK\l"bookmark228"</w:instrText>
          </w:r>
          <w:r>
            <w:fldChar w:fldCharType="separate"/>
          </w:r>
          <w:r>
            <w:rPr>
              <w:b/>
              <w:bCs/>
              <w:color w:val="0070C0"/>
              <w:spacing w:val="-23"/>
              <w:sz w:val="21"/>
              <w:szCs w:val="21"/>
            </w:rPr>
            <w:t>第四节、停水勾点专项施工方案及措施</w:t>
          </w:r>
          <w:r>
            <w:rPr>
              <w:b/>
              <w:bCs/>
              <w:color w:val="0070C0"/>
              <w:sz w:val="21"/>
              <w:szCs w:val="21"/>
              <w14:textOutline w14:w="4356" w14:cap="flat" w14:cmpd="sng">
                <w14:solidFill>
                  <w14:srgbClr w14:val="0070C0"/>
                </w14:solidFill>
                <w14:prstDash w14:val="solid"/>
                <w14:miter w14:val="0"/>
              </w14:textOutline>
            </w:rPr>
            <w:tab/>
          </w:r>
          <w:r>
            <w:rPr>
              <w:b/>
              <w:bCs/>
              <w:color w:val="0070C0"/>
              <w:spacing w:val="-10"/>
              <w:sz w:val="24"/>
              <w:szCs w:val="24"/>
            </w:rPr>
            <w:t>378</w:t>
          </w:r>
          <w:r>
            <w:rPr>
              <w:b/>
              <w:bCs/>
              <w:color w:val="0070C0"/>
              <w:spacing w:val="-10"/>
              <w:sz w:val="24"/>
              <w:szCs w:val="24"/>
            </w:rPr>
            <w:fldChar w:fldCharType="end"/>
          </w:r>
        </w:p>
        <w:p w14:paraId="6B73A5E0">
          <w:pPr>
            <w:pStyle w:val="2"/>
            <w:tabs>
              <w:tab w:val="right" w:leader="dot" w:pos="10107"/>
            </w:tabs>
            <w:spacing w:before="199" w:line="185" w:lineRule="auto"/>
            <w:ind w:left="2516"/>
            <w:rPr>
              <w:sz w:val="24"/>
              <w:szCs w:val="24"/>
            </w:rPr>
          </w:pPr>
          <w:r>
            <w:fldChar w:fldCharType="begin"/>
          </w:r>
          <w:r>
            <w:instrText xml:space="preserve">HYPERLINK\l"bookmark229"</w:instrText>
          </w:r>
          <w:r>
            <w:fldChar w:fldCharType="separate"/>
          </w:r>
          <w:r>
            <w:rPr>
              <w:spacing w:val="-20"/>
              <w:sz w:val="21"/>
              <w:szCs w:val="21"/>
            </w:rPr>
            <w:t>一、重难点分析</w:t>
          </w:r>
          <w:r>
            <w:rPr>
              <w:sz w:val="21"/>
              <w:szCs w:val="21"/>
            </w:rPr>
            <w:tab/>
          </w:r>
          <w:r>
            <w:rPr>
              <w:spacing w:val="-9"/>
              <w:sz w:val="24"/>
              <w:szCs w:val="24"/>
            </w:rPr>
            <w:t>378</w:t>
          </w:r>
          <w:r>
            <w:rPr>
              <w:spacing w:val="-9"/>
              <w:sz w:val="24"/>
              <w:szCs w:val="24"/>
            </w:rPr>
            <w:fldChar w:fldCharType="end"/>
          </w:r>
        </w:p>
        <w:p w14:paraId="4DFC9C3E">
          <w:pPr>
            <w:pStyle w:val="2"/>
            <w:tabs>
              <w:tab w:val="right" w:leader="dot" w:pos="10107"/>
            </w:tabs>
            <w:spacing w:before="198" w:line="185" w:lineRule="auto"/>
            <w:ind w:left="2519"/>
            <w:rPr>
              <w:sz w:val="24"/>
              <w:szCs w:val="24"/>
            </w:rPr>
          </w:pPr>
          <w:r>
            <w:fldChar w:fldCharType="begin"/>
          </w:r>
          <w:r>
            <w:instrText xml:space="preserve">HYPERLINK\l"bookmark230"</w:instrText>
          </w:r>
          <w:r>
            <w:fldChar w:fldCharType="separate"/>
          </w:r>
          <w:r>
            <w:rPr>
              <w:spacing w:val="-22"/>
              <w:sz w:val="21"/>
              <w:szCs w:val="21"/>
            </w:rPr>
            <w:t>二、对应保证措施</w:t>
          </w:r>
          <w:r>
            <w:rPr>
              <w:sz w:val="21"/>
              <w:szCs w:val="21"/>
            </w:rPr>
            <w:tab/>
          </w:r>
          <w:r>
            <w:rPr>
              <w:spacing w:val="-9"/>
              <w:sz w:val="24"/>
              <w:szCs w:val="24"/>
            </w:rPr>
            <w:t>378</w:t>
          </w:r>
          <w:r>
            <w:rPr>
              <w:spacing w:val="-9"/>
              <w:sz w:val="24"/>
              <w:szCs w:val="24"/>
            </w:rPr>
            <w:fldChar w:fldCharType="end"/>
          </w:r>
        </w:p>
        <w:p w14:paraId="34499E1F">
          <w:pPr>
            <w:pStyle w:val="2"/>
            <w:tabs>
              <w:tab w:val="right" w:leader="dot" w:pos="10110"/>
            </w:tabs>
            <w:spacing w:before="201" w:line="185" w:lineRule="auto"/>
            <w:ind w:left="2243"/>
            <w:rPr>
              <w:sz w:val="24"/>
              <w:szCs w:val="24"/>
            </w:rPr>
          </w:pPr>
          <w:r>
            <w:fldChar w:fldCharType="begin"/>
          </w:r>
          <w:r>
            <w:instrText xml:space="preserve">HYPERLINK\l"bookmark231"</w:instrText>
          </w:r>
          <w:r>
            <w:fldChar w:fldCharType="separate"/>
          </w:r>
          <w:r>
            <w:rPr>
              <w:b/>
              <w:bCs/>
              <w:color w:val="0070C0"/>
              <w:spacing w:val="-23"/>
              <w:sz w:val="21"/>
              <w:szCs w:val="21"/>
            </w:rPr>
            <w:t>第五节、工期实现保证措施</w:t>
          </w:r>
          <w:r>
            <w:rPr>
              <w:color w:val="0070C0"/>
              <w:sz w:val="21"/>
              <w:szCs w:val="21"/>
              <w14:textOutline w14:w="4356" w14:cap="flat" w14:cmpd="sng">
                <w14:solidFill>
                  <w14:srgbClr w14:val="0070C0"/>
                </w14:solidFill>
                <w14:prstDash w14:val="solid"/>
                <w14:miter w14:val="0"/>
              </w14:textOutline>
            </w:rPr>
            <w:tab/>
          </w:r>
          <w:r>
            <w:rPr>
              <w:b/>
              <w:bCs/>
              <w:color w:val="0070C0"/>
              <w:spacing w:val="-10"/>
              <w:sz w:val="24"/>
              <w:szCs w:val="24"/>
            </w:rPr>
            <w:t>383</w:t>
          </w:r>
          <w:r>
            <w:rPr>
              <w:b/>
              <w:bCs/>
              <w:color w:val="0070C0"/>
              <w:spacing w:val="-10"/>
              <w:sz w:val="24"/>
              <w:szCs w:val="24"/>
            </w:rPr>
            <w:fldChar w:fldCharType="end"/>
          </w:r>
        </w:p>
        <w:p w14:paraId="1912C814">
          <w:pPr>
            <w:pStyle w:val="2"/>
            <w:tabs>
              <w:tab w:val="right" w:leader="dot" w:pos="10107"/>
            </w:tabs>
            <w:spacing w:before="199" w:line="185" w:lineRule="auto"/>
            <w:ind w:left="2516"/>
            <w:rPr>
              <w:sz w:val="24"/>
              <w:szCs w:val="24"/>
            </w:rPr>
          </w:pPr>
          <w:r>
            <w:fldChar w:fldCharType="begin"/>
          </w:r>
          <w:r>
            <w:instrText xml:space="preserve">HYPERLINK\l"bookmark232"</w:instrText>
          </w:r>
          <w:r>
            <w:fldChar w:fldCharType="separate"/>
          </w:r>
          <w:r>
            <w:rPr>
              <w:spacing w:val="-20"/>
              <w:sz w:val="21"/>
              <w:szCs w:val="21"/>
            </w:rPr>
            <w:t>一、重难点分析</w:t>
          </w:r>
          <w:r>
            <w:rPr>
              <w:sz w:val="21"/>
              <w:szCs w:val="21"/>
            </w:rPr>
            <w:tab/>
          </w:r>
          <w:r>
            <w:rPr>
              <w:spacing w:val="-9"/>
              <w:sz w:val="24"/>
              <w:szCs w:val="24"/>
            </w:rPr>
            <w:t>383</w:t>
          </w:r>
          <w:r>
            <w:rPr>
              <w:spacing w:val="-9"/>
              <w:sz w:val="24"/>
              <w:szCs w:val="24"/>
            </w:rPr>
            <w:fldChar w:fldCharType="end"/>
          </w:r>
        </w:p>
        <w:p w14:paraId="1FE9098E">
          <w:pPr>
            <w:pStyle w:val="2"/>
            <w:tabs>
              <w:tab w:val="right" w:leader="dot" w:pos="10107"/>
            </w:tabs>
            <w:spacing w:before="199" w:line="185" w:lineRule="auto"/>
            <w:ind w:left="2519"/>
            <w:rPr>
              <w:sz w:val="24"/>
              <w:szCs w:val="24"/>
            </w:rPr>
          </w:pPr>
          <w:r>
            <w:fldChar w:fldCharType="begin"/>
          </w:r>
          <w:r>
            <w:instrText xml:space="preserve">HYPERLINK\l"bookmark233"</w:instrText>
          </w:r>
          <w:r>
            <w:fldChar w:fldCharType="separate"/>
          </w:r>
          <w:r>
            <w:rPr>
              <w:spacing w:val="-22"/>
              <w:sz w:val="21"/>
              <w:szCs w:val="21"/>
            </w:rPr>
            <w:t>二、对应保证措施</w:t>
          </w:r>
          <w:r>
            <w:rPr>
              <w:sz w:val="21"/>
              <w:szCs w:val="21"/>
            </w:rPr>
            <w:tab/>
          </w:r>
          <w:r>
            <w:rPr>
              <w:spacing w:val="-9"/>
              <w:sz w:val="24"/>
              <w:szCs w:val="24"/>
            </w:rPr>
            <w:t>383</w:t>
          </w:r>
          <w:r>
            <w:rPr>
              <w:spacing w:val="-9"/>
              <w:sz w:val="24"/>
              <w:szCs w:val="24"/>
            </w:rPr>
            <w:fldChar w:fldCharType="end"/>
          </w:r>
        </w:p>
        <w:p w14:paraId="2568DA70">
          <w:pPr>
            <w:pStyle w:val="2"/>
            <w:tabs>
              <w:tab w:val="right" w:leader="dot" w:pos="10110"/>
            </w:tabs>
            <w:spacing w:before="201" w:line="185" w:lineRule="auto"/>
            <w:ind w:left="2243"/>
            <w:rPr>
              <w:sz w:val="24"/>
              <w:szCs w:val="24"/>
            </w:rPr>
          </w:pPr>
          <w:r>
            <w:fldChar w:fldCharType="begin"/>
          </w:r>
          <w:r>
            <w:instrText xml:space="preserve">HYPERLINK\l"bookmark234"</w:instrText>
          </w:r>
          <w:r>
            <w:fldChar w:fldCharType="separate"/>
          </w:r>
          <w:r>
            <w:rPr>
              <w:b/>
              <w:bCs/>
              <w:color w:val="0070C0"/>
              <w:spacing w:val="-23"/>
              <w:sz w:val="21"/>
              <w:szCs w:val="21"/>
            </w:rPr>
            <w:t>第六节、项目与相关部门、企业及居民协调应对</w:t>
          </w:r>
          <w:r>
            <w:rPr>
              <w:b/>
              <w:bCs/>
              <w:color w:val="0070C0"/>
              <w:spacing w:val="-24"/>
              <w:sz w:val="21"/>
              <w:szCs w:val="21"/>
            </w:rPr>
            <w:t>措施</w:t>
          </w:r>
          <w:r>
            <w:rPr>
              <w:color w:val="0070C0"/>
              <w:sz w:val="21"/>
              <w:szCs w:val="21"/>
              <w14:textOutline w14:w="4356" w14:cap="flat" w14:cmpd="sng">
                <w14:solidFill>
                  <w14:srgbClr w14:val="0070C0"/>
                </w14:solidFill>
                <w14:prstDash w14:val="solid"/>
                <w14:miter w14:val="0"/>
              </w14:textOutline>
            </w:rPr>
            <w:tab/>
          </w:r>
          <w:r>
            <w:rPr>
              <w:b/>
              <w:bCs/>
              <w:color w:val="0070C0"/>
              <w:spacing w:val="-10"/>
              <w:sz w:val="24"/>
              <w:szCs w:val="24"/>
            </w:rPr>
            <w:t>390</w:t>
          </w:r>
          <w:r>
            <w:rPr>
              <w:b/>
              <w:bCs/>
              <w:color w:val="0070C0"/>
              <w:spacing w:val="-10"/>
              <w:sz w:val="24"/>
              <w:szCs w:val="24"/>
            </w:rPr>
            <w:fldChar w:fldCharType="end"/>
          </w:r>
        </w:p>
        <w:p w14:paraId="41A2CAE1">
          <w:pPr>
            <w:pStyle w:val="2"/>
            <w:tabs>
              <w:tab w:val="right" w:leader="dot" w:pos="10107"/>
            </w:tabs>
            <w:spacing w:before="199" w:line="185" w:lineRule="auto"/>
            <w:ind w:left="2516"/>
            <w:rPr>
              <w:sz w:val="24"/>
              <w:szCs w:val="24"/>
            </w:rPr>
          </w:pPr>
          <w:r>
            <w:fldChar w:fldCharType="begin"/>
          </w:r>
          <w:r>
            <w:instrText xml:space="preserve">HYPERLINK\l"bookmark235"</w:instrText>
          </w:r>
          <w:r>
            <w:fldChar w:fldCharType="separate"/>
          </w:r>
          <w:r>
            <w:rPr>
              <w:spacing w:val="-20"/>
              <w:sz w:val="21"/>
              <w:szCs w:val="21"/>
            </w:rPr>
            <w:t>一、重难点分析</w:t>
          </w:r>
          <w:r>
            <w:rPr>
              <w:sz w:val="21"/>
              <w:szCs w:val="21"/>
            </w:rPr>
            <w:tab/>
          </w:r>
          <w:r>
            <w:rPr>
              <w:spacing w:val="-9"/>
              <w:sz w:val="24"/>
              <w:szCs w:val="24"/>
            </w:rPr>
            <w:t>390</w:t>
          </w:r>
          <w:r>
            <w:rPr>
              <w:spacing w:val="-9"/>
              <w:sz w:val="24"/>
              <w:szCs w:val="24"/>
            </w:rPr>
            <w:fldChar w:fldCharType="end"/>
          </w:r>
        </w:p>
        <w:p w14:paraId="7489A306">
          <w:pPr>
            <w:pStyle w:val="2"/>
            <w:tabs>
              <w:tab w:val="right" w:leader="dot" w:pos="10107"/>
            </w:tabs>
            <w:spacing w:before="199" w:line="185" w:lineRule="auto"/>
            <w:ind w:left="2519"/>
            <w:rPr>
              <w:sz w:val="24"/>
              <w:szCs w:val="24"/>
            </w:rPr>
          </w:pPr>
          <w:r>
            <w:fldChar w:fldCharType="begin"/>
          </w:r>
          <w:r>
            <w:instrText xml:space="preserve">HYPERLINK\l"bookmark236"</w:instrText>
          </w:r>
          <w:r>
            <w:fldChar w:fldCharType="separate"/>
          </w:r>
          <w:r>
            <w:rPr>
              <w:spacing w:val="-22"/>
              <w:sz w:val="21"/>
              <w:szCs w:val="21"/>
            </w:rPr>
            <w:t>二、对应保证措施</w:t>
          </w:r>
          <w:r>
            <w:rPr>
              <w:sz w:val="21"/>
              <w:szCs w:val="21"/>
            </w:rPr>
            <w:tab/>
          </w:r>
          <w:r>
            <w:rPr>
              <w:spacing w:val="-9"/>
              <w:sz w:val="24"/>
              <w:szCs w:val="24"/>
            </w:rPr>
            <w:t>390</w:t>
          </w:r>
          <w:r>
            <w:rPr>
              <w:spacing w:val="-9"/>
              <w:sz w:val="24"/>
              <w:szCs w:val="24"/>
            </w:rPr>
            <w:fldChar w:fldCharType="end"/>
          </w:r>
        </w:p>
        <w:p w14:paraId="40527A61">
          <w:pPr>
            <w:pStyle w:val="2"/>
            <w:tabs>
              <w:tab w:val="right" w:leader="dot" w:pos="10110"/>
            </w:tabs>
            <w:spacing w:before="201" w:line="185" w:lineRule="auto"/>
            <w:ind w:left="2243"/>
            <w:rPr>
              <w:sz w:val="24"/>
              <w:szCs w:val="24"/>
            </w:rPr>
          </w:pPr>
          <w:r>
            <w:fldChar w:fldCharType="begin"/>
          </w:r>
          <w:r>
            <w:instrText xml:space="preserve">HYPERLINK\l"bookmark237"</w:instrText>
          </w:r>
          <w:r>
            <w:fldChar w:fldCharType="separate"/>
          </w:r>
          <w:r>
            <w:rPr>
              <w:b/>
              <w:bCs/>
              <w:color w:val="0070C0"/>
              <w:spacing w:val="-23"/>
              <w:sz w:val="21"/>
              <w:szCs w:val="21"/>
            </w:rPr>
            <w:t>第七节、供水管道施工交通导改方案</w:t>
          </w:r>
          <w:r>
            <w:rPr>
              <w:color w:val="0070C0"/>
              <w:sz w:val="21"/>
              <w:szCs w:val="21"/>
              <w14:textOutline w14:w="4356" w14:cap="flat" w14:cmpd="sng">
                <w14:solidFill>
                  <w14:srgbClr w14:val="0070C0"/>
                </w14:solidFill>
                <w14:prstDash w14:val="solid"/>
                <w14:miter w14:val="0"/>
              </w14:textOutline>
            </w:rPr>
            <w:tab/>
          </w:r>
          <w:r>
            <w:rPr>
              <w:b/>
              <w:bCs/>
              <w:color w:val="0070C0"/>
              <w:spacing w:val="-10"/>
              <w:sz w:val="24"/>
              <w:szCs w:val="24"/>
            </w:rPr>
            <w:t>392</w:t>
          </w:r>
          <w:r>
            <w:rPr>
              <w:b/>
              <w:bCs/>
              <w:color w:val="0070C0"/>
              <w:spacing w:val="-10"/>
              <w:sz w:val="24"/>
              <w:szCs w:val="24"/>
            </w:rPr>
            <w:fldChar w:fldCharType="end"/>
          </w:r>
        </w:p>
        <w:p w14:paraId="2A38C04F">
          <w:pPr>
            <w:pStyle w:val="2"/>
            <w:tabs>
              <w:tab w:val="right" w:leader="dot" w:pos="10107"/>
            </w:tabs>
            <w:spacing w:before="198" w:line="185" w:lineRule="auto"/>
            <w:ind w:left="2516"/>
            <w:rPr>
              <w:sz w:val="24"/>
              <w:szCs w:val="24"/>
            </w:rPr>
          </w:pPr>
          <w:r>
            <w:fldChar w:fldCharType="begin"/>
          </w:r>
          <w:r>
            <w:instrText xml:space="preserve">HYPERLINK\l"bookmark238"</w:instrText>
          </w:r>
          <w:r>
            <w:fldChar w:fldCharType="separate"/>
          </w:r>
          <w:r>
            <w:rPr>
              <w:spacing w:val="-22"/>
              <w:sz w:val="21"/>
              <w:szCs w:val="21"/>
            </w:rPr>
            <w:t>一、重点、难点分析</w:t>
          </w:r>
          <w:r>
            <w:rPr>
              <w:sz w:val="21"/>
              <w:szCs w:val="21"/>
            </w:rPr>
            <w:tab/>
          </w:r>
          <w:r>
            <w:rPr>
              <w:spacing w:val="-9"/>
              <w:sz w:val="24"/>
              <w:szCs w:val="24"/>
            </w:rPr>
            <w:t>392</w:t>
          </w:r>
          <w:r>
            <w:rPr>
              <w:spacing w:val="-9"/>
              <w:sz w:val="24"/>
              <w:szCs w:val="24"/>
            </w:rPr>
            <w:fldChar w:fldCharType="end"/>
          </w:r>
        </w:p>
        <w:p w14:paraId="48B6CD05">
          <w:pPr>
            <w:pStyle w:val="2"/>
            <w:tabs>
              <w:tab w:val="right" w:leader="dot" w:pos="10107"/>
            </w:tabs>
            <w:spacing w:before="199" w:line="185" w:lineRule="auto"/>
            <w:ind w:left="2519"/>
            <w:rPr>
              <w:sz w:val="24"/>
              <w:szCs w:val="24"/>
            </w:rPr>
          </w:pPr>
          <w:r>
            <w:fldChar w:fldCharType="begin"/>
          </w:r>
          <w:r>
            <w:instrText xml:space="preserve">HYPERLINK\l"bookmark239"</w:instrText>
          </w:r>
          <w:r>
            <w:fldChar w:fldCharType="separate"/>
          </w:r>
          <w:r>
            <w:rPr>
              <w:spacing w:val="-22"/>
              <w:sz w:val="21"/>
              <w:szCs w:val="21"/>
            </w:rPr>
            <w:t>二、对应保证措施</w:t>
          </w:r>
          <w:r>
            <w:rPr>
              <w:sz w:val="21"/>
              <w:szCs w:val="21"/>
            </w:rPr>
            <w:tab/>
          </w:r>
          <w:r>
            <w:rPr>
              <w:spacing w:val="-9"/>
              <w:sz w:val="24"/>
              <w:szCs w:val="24"/>
            </w:rPr>
            <w:t>392</w:t>
          </w:r>
          <w:r>
            <w:rPr>
              <w:spacing w:val="-9"/>
              <w:sz w:val="24"/>
              <w:szCs w:val="24"/>
            </w:rPr>
            <w:fldChar w:fldCharType="end"/>
          </w:r>
        </w:p>
        <w:p w14:paraId="062A4A76">
          <w:pPr>
            <w:pStyle w:val="2"/>
            <w:tabs>
              <w:tab w:val="right" w:leader="dot" w:pos="10110"/>
            </w:tabs>
            <w:spacing w:before="201" w:line="185" w:lineRule="auto"/>
            <w:ind w:left="2243"/>
            <w:rPr>
              <w:sz w:val="24"/>
              <w:szCs w:val="24"/>
            </w:rPr>
          </w:pPr>
          <w:r>
            <w:fldChar w:fldCharType="begin"/>
          </w:r>
          <w:r>
            <w:instrText xml:space="preserve">HYPERLINK\l"bookmark240"</w:instrText>
          </w:r>
          <w:r>
            <w:fldChar w:fldCharType="separate"/>
          </w:r>
          <w:r>
            <w:rPr>
              <w:b/>
              <w:bCs/>
              <w:color w:val="0070C0"/>
              <w:spacing w:val="-23"/>
              <w:sz w:val="21"/>
              <w:szCs w:val="21"/>
            </w:rPr>
            <w:t>第八节、扬尘治理及施工噪声控制方案</w:t>
          </w:r>
          <w:r>
            <w:rPr>
              <w:b/>
              <w:bCs/>
              <w:color w:val="0070C0"/>
              <w:sz w:val="21"/>
              <w:szCs w:val="21"/>
              <w14:textOutline w14:w="4356" w14:cap="flat" w14:cmpd="sng">
                <w14:solidFill>
                  <w14:srgbClr w14:val="0070C0"/>
                </w14:solidFill>
                <w14:prstDash w14:val="solid"/>
                <w14:miter w14:val="0"/>
              </w14:textOutline>
            </w:rPr>
            <w:tab/>
          </w:r>
          <w:r>
            <w:rPr>
              <w:b/>
              <w:bCs/>
              <w:color w:val="0070C0"/>
              <w:spacing w:val="-9"/>
              <w:sz w:val="24"/>
              <w:szCs w:val="24"/>
            </w:rPr>
            <w:t>404</w:t>
          </w:r>
          <w:r>
            <w:rPr>
              <w:b/>
              <w:bCs/>
              <w:color w:val="0070C0"/>
              <w:spacing w:val="-9"/>
              <w:sz w:val="24"/>
              <w:szCs w:val="24"/>
            </w:rPr>
            <w:fldChar w:fldCharType="end"/>
          </w:r>
        </w:p>
        <w:p w14:paraId="7684136F">
          <w:pPr>
            <w:pStyle w:val="2"/>
            <w:tabs>
              <w:tab w:val="right" w:leader="dot" w:pos="10107"/>
            </w:tabs>
            <w:spacing w:before="199" w:line="185" w:lineRule="auto"/>
            <w:ind w:left="2516"/>
            <w:rPr>
              <w:sz w:val="24"/>
              <w:szCs w:val="24"/>
            </w:rPr>
          </w:pPr>
          <w:r>
            <w:fldChar w:fldCharType="begin"/>
          </w:r>
          <w:r>
            <w:instrText xml:space="preserve">HYPERLINK\l"bookmark241"</w:instrText>
          </w:r>
          <w:r>
            <w:fldChar w:fldCharType="separate"/>
          </w:r>
          <w:r>
            <w:rPr>
              <w:spacing w:val="-22"/>
              <w:sz w:val="21"/>
              <w:szCs w:val="21"/>
            </w:rPr>
            <w:t>一、重点、难点分析</w:t>
          </w:r>
          <w:r>
            <w:rPr>
              <w:sz w:val="21"/>
              <w:szCs w:val="21"/>
            </w:rPr>
            <w:tab/>
          </w:r>
          <w:r>
            <w:rPr>
              <w:spacing w:val="-7"/>
              <w:sz w:val="24"/>
              <w:szCs w:val="24"/>
            </w:rPr>
            <w:t>404</w:t>
          </w:r>
          <w:r>
            <w:rPr>
              <w:spacing w:val="-7"/>
              <w:sz w:val="24"/>
              <w:szCs w:val="24"/>
            </w:rPr>
            <w:fldChar w:fldCharType="end"/>
          </w:r>
        </w:p>
        <w:p w14:paraId="26173A4B">
          <w:pPr>
            <w:pStyle w:val="2"/>
            <w:tabs>
              <w:tab w:val="right" w:leader="dot" w:pos="10107"/>
            </w:tabs>
            <w:spacing w:before="199" w:line="185" w:lineRule="auto"/>
            <w:ind w:left="2519"/>
            <w:rPr>
              <w:sz w:val="24"/>
              <w:szCs w:val="24"/>
            </w:rPr>
          </w:pPr>
          <w:r>
            <w:fldChar w:fldCharType="begin"/>
          </w:r>
          <w:r>
            <w:instrText xml:space="preserve">HYPERLINK\l"bookmark242"</w:instrText>
          </w:r>
          <w:r>
            <w:fldChar w:fldCharType="separate"/>
          </w:r>
          <w:r>
            <w:rPr>
              <w:spacing w:val="-22"/>
              <w:sz w:val="21"/>
              <w:szCs w:val="21"/>
            </w:rPr>
            <w:t>二、对应保障措施</w:t>
          </w:r>
          <w:r>
            <w:rPr>
              <w:sz w:val="21"/>
              <w:szCs w:val="21"/>
            </w:rPr>
            <w:tab/>
          </w:r>
          <w:r>
            <w:rPr>
              <w:spacing w:val="-7"/>
              <w:sz w:val="24"/>
              <w:szCs w:val="24"/>
            </w:rPr>
            <w:t>404</w:t>
          </w:r>
          <w:r>
            <w:rPr>
              <w:spacing w:val="-7"/>
              <w:sz w:val="24"/>
              <w:szCs w:val="24"/>
            </w:rPr>
            <w:fldChar w:fldCharType="end"/>
          </w:r>
        </w:p>
        <w:p w14:paraId="7CEC7A3A">
          <w:pPr>
            <w:pStyle w:val="2"/>
            <w:tabs>
              <w:tab w:val="right" w:leader="dot" w:pos="10110"/>
            </w:tabs>
            <w:spacing w:before="201" w:line="185" w:lineRule="auto"/>
            <w:ind w:left="2243"/>
            <w:rPr>
              <w:sz w:val="24"/>
              <w:szCs w:val="24"/>
            </w:rPr>
          </w:pPr>
          <w:r>
            <w:fldChar w:fldCharType="begin"/>
          </w:r>
          <w:r>
            <w:instrText xml:space="preserve">HYPERLINK\l"bookmark243"</w:instrText>
          </w:r>
          <w:r>
            <w:fldChar w:fldCharType="separate"/>
          </w:r>
          <w:r>
            <w:rPr>
              <w:b/>
              <w:bCs/>
              <w:color w:val="0070C0"/>
              <w:spacing w:val="-23"/>
              <w:sz w:val="21"/>
              <w:szCs w:val="21"/>
            </w:rPr>
            <w:t>第九节、季节性施工专项方案</w:t>
          </w:r>
          <w:r>
            <w:rPr>
              <w:color w:val="0070C0"/>
              <w:sz w:val="21"/>
              <w:szCs w:val="21"/>
              <w14:textOutline w14:w="4356" w14:cap="flat" w14:cmpd="sng">
                <w14:solidFill>
                  <w14:srgbClr w14:val="0070C0"/>
                </w14:solidFill>
                <w14:prstDash w14:val="solid"/>
                <w14:miter w14:val="0"/>
              </w14:textOutline>
            </w:rPr>
            <w:tab/>
          </w:r>
          <w:r>
            <w:rPr>
              <w:b/>
              <w:bCs/>
              <w:color w:val="0070C0"/>
              <w:spacing w:val="-9"/>
              <w:sz w:val="24"/>
              <w:szCs w:val="24"/>
            </w:rPr>
            <w:t>418</w:t>
          </w:r>
          <w:r>
            <w:rPr>
              <w:b/>
              <w:bCs/>
              <w:color w:val="0070C0"/>
              <w:spacing w:val="-9"/>
              <w:sz w:val="24"/>
              <w:szCs w:val="24"/>
            </w:rPr>
            <w:fldChar w:fldCharType="end"/>
          </w:r>
        </w:p>
        <w:p w14:paraId="0660DF8B">
          <w:pPr>
            <w:pStyle w:val="2"/>
            <w:tabs>
              <w:tab w:val="right" w:leader="dot" w:pos="10107"/>
            </w:tabs>
            <w:spacing w:before="199" w:line="185" w:lineRule="auto"/>
            <w:ind w:left="2516"/>
            <w:rPr>
              <w:sz w:val="24"/>
              <w:szCs w:val="24"/>
            </w:rPr>
          </w:pPr>
          <w:r>
            <w:fldChar w:fldCharType="begin"/>
          </w:r>
          <w:r>
            <w:instrText xml:space="preserve">HYPERLINK\l"bookmark244"</w:instrText>
          </w:r>
          <w:r>
            <w:fldChar w:fldCharType="separate"/>
          </w:r>
          <w:r>
            <w:rPr>
              <w:spacing w:val="-22"/>
              <w:sz w:val="21"/>
              <w:szCs w:val="21"/>
            </w:rPr>
            <w:t>一、重点、难点分析</w:t>
          </w:r>
          <w:r>
            <w:rPr>
              <w:sz w:val="21"/>
              <w:szCs w:val="21"/>
            </w:rPr>
            <w:tab/>
          </w:r>
          <w:r>
            <w:rPr>
              <w:spacing w:val="-7"/>
              <w:sz w:val="24"/>
              <w:szCs w:val="24"/>
            </w:rPr>
            <w:t>418</w:t>
          </w:r>
          <w:r>
            <w:rPr>
              <w:spacing w:val="-7"/>
              <w:sz w:val="24"/>
              <w:szCs w:val="24"/>
            </w:rPr>
            <w:fldChar w:fldCharType="end"/>
          </w:r>
        </w:p>
        <w:p w14:paraId="4D8A1939">
          <w:pPr>
            <w:pStyle w:val="2"/>
            <w:tabs>
              <w:tab w:val="right" w:leader="dot" w:pos="10107"/>
            </w:tabs>
            <w:spacing w:before="199" w:line="185" w:lineRule="auto"/>
            <w:ind w:left="2519"/>
            <w:rPr>
              <w:sz w:val="24"/>
              <w:szCs w:val="24"/>
            </w:rPr>
          </w:pPr>
          <w:r>
            <w:fldChar w:fldCharType="begin"/>
          </w:r>
          <w:r>
            <w:instrText xml:space="preserve">HYPERLINK\l"bookmark245"</w:instrText>
          </w:r>
          <w:r>
            <w:fldChar w:fldCharType="separate"/>
          </w:r>
          <w:r>
            <w:rPr>
              <w:spacing w:val="-22"/>
              <w:sz w:val="21"/>
              <w:szCs w:val="21"/>
            </w:rPr>
            <w:t>二、对应保障措施</w:t>
          </w:r>
          <w:r>
            <w:rPr>
              <w:sz w:val="21"/>
              <w:szCs w:val="21"/>
            </w:rPr>
            <w:tab/>
          </w:r>
          <w:r>
            <w:rPr>
              <w:spacing w:val="-7"/>
              <w:sz w:val="24"/>
              <w:szCs w:val="24"/>
            </w:rPr>
            <w:t>418</w:t>
          </w:r>
          <w:r>
            <w:rPr>
              <w:spacing w:val="-7"/>
              <w:sz w:val="24"/>
              <w:szCs w:val="24"/>
            </w:rPr>
            <w:fldChar w:fldCharType="end"/>
          </w:r>
        </w:p>
        <w:p w14:paraId="4CEB37E0">
          <w:pPr>
            <w:pStyle w:val="2"/>
            <w:tabs>
              <w:tab w:val="right" w:leader="dot" w:pos="10110"/>
            </w:tabs>
            <w:spacing w:before="201" w:line="185" w:lineRule="auto"/>
            <w:ind w:left="2243"/>
            <w:rPr>
              <w:sz w:val="24"/>
              <w:szCs w:val="24"/>
            </w:rPr>
          </w:pPr>
          <w:r>
            <w:fldChar w:fldCharType="begin"/>
          </w:r>
          <w:r>
            <w:instrText xml:space="preserve">HYPERLINK\l"bookmark246"</w:instrText>
          </w:r>
          <w:r>
            <w:fldChar w:fldCharType="separate"/>
          </w:r>
          <w:r>
            <w:rPr>
              <w:b/>
              <w:bCs/>
              <w:color w:val="0070C0"/>
              <w:spacing w:val="-24"/>
              <w:sz w:val="21"/>
              <w:szCs w:val="21"/>
            </w:rPr>
            <w:t>第十节、管道焊接重难点及应对措施</w:t>
          </w:r>
          <w:r>
            <w:rPr>
              <w:color w:val="0070C0"/>
              <w:sz w:val="21"/>
              <w:szCs w:val="21"/>
              <w14:textOutline w14:w="4356" w14:cap="flat" w14:cmpd="sng">
                <w14:solidFill>
                  <w14:srgbClr w14:val="0070C0"/>
                </w14:solidFill>
                <w14:prstDash w14:val="solid"/>
                <w14:miter w14:val="0"/>
              </w14:textOutline>
            </w:rPr>
            <w:tab/>
          </w:r>
          <w:r>
            <w:rPr>
              <w:b/>
              <w:bCs/>
              <w:color w:val="0070C0"/>
              <w:spacing w:val="-9"/>
              <w:sz w:val="24"/>
              <w:szCs w:val="24"/>
            </w:rPr>
            <w:t>431</w:t>
          </w:r>
          <w:r>
            <w:rPr>
              <w:b/>
              <w:bCs/>
              <w:color w:val="0070C0"/>
              <w:spacing w:val="-9"/>
              <w:sz w:val="24"/>
              <w:szCs w:val="24"/>
            </w:rPr>
            <w:fldChar w:fldCharType="end"/>
          </w:r>
        </w:p>
        <w:p w14:paraId="20740C92">
          <w:pPr>
            <w:pStyle w:val="2"/>
            <w:tabs>
              <w:tab w:val="right" w:leader="dot" w:pos="10107"/>
            </w:tabs>
            <w:spacing w:before="199" w:line="220" w:lineRule="auto"/>
            <w:ind w:left="2516"/>
            <w:rPr>
              <w:sz w:val="24"/>
              <w:szCs w:val="24"/>
            </w:rPr>
          </w:pPr>
          <w:r>
            <w:fldChar w:fldCharType="begin"/>
          </w:r>
          <w:r>
            <w:instrText xml:space="preserve">HYPERLINK\l"bookmark247"</w:instrText>
          </w:r>
          <w:r>
            <w:fldChar w:fldCharType="separate"/>
          </w:r>
          <w:r>
            <w:rPr>
              <w:spacing w:val="-20"/>
              <w:sz w:val="21"/>
              <w:szCs w:val="21"/>
            </w:rPr>
            <w:t>一、重难点分析</w:t>
          </w:r>
          <w:r>
            <w:rPr>
              <w:sz w:val="21"/>
              <w:szCs w:val="21"/>
            </w:rPr>
            <w:tab/>
          </w:r>
          <w:r>
            <w:rPr>
              <w:spacing w:val="-7"/>
              <w:sz w:val="24"/>
              <w:szCs w:val="24"/>
            </w:rPr>
            <w:t>431</w:t>
          </w:r>
          <w:r>
            <w:rPr>
              <w:spacing w:val="-7"/>
              <w:sz w:val="24"/>
              <w:szCs w:val="24"/>
            </w:rPr>
            <w:fldChar w:fldCharType="end"/>
          </w:r>
        </w:p>
      </w:sdtContent>
    </w:sdt>
    <w:p w14:paraId="258AEA86">
      <w:pPr>
        <w:spacing w:line="220" w:lineRule="auto"/>
        <w:rPr>
          <w:sz w:val="24"/>
          <w:szCs w:val="24"/>
        </w:rPr>
        <w:sectPr>
          <w:footerReference r:id="rId15" w:type="default"/>
          <w:pgSz w:w="11907" w:h="16839"/>
          <w:pgMar w:top="1018" w:right="3" w:bottom="1179" w:left="0" w:header="562" w:footer="498" w:gutter="0"/>
          <w:pgBorders>
            <w:top w:val="none" w:sz="0" w:space="0"/>
            <w:left w:val="none" w:sz="0" w:space="0"/>
            <w:bottom w:val="none" w:sz="0" w:space="0"/>
            <w:right w:val="none" w:sz="0" w:space="0"/>
          </w:pgBorders>
          <w:cols w:space="720" w:num="1"/>
        </w:sectPr>
      </w:pPr>
    </w:p>
    <w:p w14:paraId="194E71E6">
      <w:pPr>
        <w:spacing w:line="243" w:lineRule="auto"/>
        <w:rPr>
          <w:rFonts w:ascii="Arial"/>
          <w:sz w:val="21"/>
        </w:rPr>
      </w:pPr>
    </w:p>
    <w:p w14:paraId="6CE71C5C">
      <w:pPr>
        <w:spacing w:line="244" w:lineRule="auto"/>
        <w:rPr>
          <w:rFonts w:ascii="Arial"/>
          <w:sz w:val="21"/>
        </w:rPr>
      </w:pPr>
    </w:p>
    <w:sdt>
      <w:sdtPr>
        <w:rPr>
          <w:rFonts w:ascii="仿宋" w:hAnsi="仿宋" w:eastAsia="仿宋" w:cs="仿宋"/>
          <w:sz w:val="21"/>
          <w:szCs w:val="21"/>
        </w:rPr>
        <w:id w:val="147467499"/>
        <w:docPartObj>
          <w:docPartGallery w:val="Table of Contents"/>
          <w:docPartUnique/>
        </w:docPartObj>
      </w:sdtPr>
      <w:sdtEndPr>
        <w:rPr>
          <w:rFonts w:ascii="仿宋" w:hAnsi="仿宋" w:eastAsia="仿宋" w:cs="仿宋"/>
          <w:sz w:val="24"/>
          <w:szCs w:val="24"/>
        </w:rPr>
      </w:sdtEndPr>
      <w:sdtContent>
        <w:p w14:paraId="718DE922">
          <w:pPr>
            <w:pStyle w:val="2"/>
            <w:tabs>
              <w:tab w:val="right" w:leader="dot" w:pos="10107"/>
            </w:tabs>
            <w:spacing w:before="78" w:line="185" w:lineRule="auto"/>
            <w:ind w:left="2519"/>
            <w:rPr>
              <w:sz w:val="24"/>
              <w:szCs w:val="24"/>
            </w:rPr>
          </w:pPr>
          <w:r>
            <w:fldChar w:fldCharType="begin"/>
          </w:r>
          <w:r>
            <w:instrText xml:space="preserve">HYPERLINK\l"bookmark248"</w:instrText>
          </w:r>
          <w:r>
            <w:fldChar w:fldCharType="separate"/>
          </w:r>
          <w:r>
            <w:rPr>
              <w:spacing w:val="-22"/>
              <w:sz w:val="21"/>
              <w:szCs w:val="21"/>
            </w:rPr>
            <w:t>二、对应保证措施</w:t>
          </w:r>
          <w:r>
            <w:rPr>
              <w:sz w:val="21"/>
              <w:szCs w:val="21"/>
            </w:rPr>
            <w:tab/>
          </w:r>
          <w:r>
            <w:rPr>
              <w:spacing w:val="-7"/>
              <w:sz w:val="24"/>
              <w:szCs w:val="24"/>
            </w:rPr>
            <w:t>431</w:t>
          </w:r>
          <w:r>
            <w:rPr>
              <w:spacing w:val="-7"/>
              <w:sz w:val="24"/>
              <w:szCs w:val="24"/>
            </w:rPr>
            <w:fldChar w:fldCharType="end"/>
          </w:r>
        </w:p>
        <w:p w14:paraId="4CB623B6">
          <w:pPr>
            <w:pStyle w:val="2"/>
            <w:tabs>
              <w:tab w:val="right" w:leader="dot" w:pos="10109"/>
            </w:tabs>
            <w:spacing w:before="147" w:line="185" w:lineRule="auto"/>
            <w:ind w:left="1823"/>
            <w:rPr>
              <w:sz w:val="30"/>
              <w:szCs w:val="30"/>
            </w:rPr>
          </w:pPr>
          <w:r>
            <w:fldChar w:fldCharType="begin"/>
          </w:r>
          <w:r>
            <w:instrText xml:space="preserve">HYPERLINK\l"bookmark249"</w:instrText>
          </w:r>
          <w:r>
            <w:fldChar w:fldCharType="separate"/>
          </w:r>
          <w:r>
            <w:rPr>
              <w:b/>
              <w:bCs/>
              <w:color w:val="7030A0"/>
              <w:spacing w:val="-23"/>
              <w:sz w:val="21"/>
              <w:szCs w:val="21"/>
            </w:rPr>
            <w:t>第九章、拟投入的主要施工机械、设备计划</w:t>
          </w:r>
          <w:r>
            <w:rPr>
              <w:color w:val="7030A0"/>
              <w:sz w:val="21"/>
              <w:szCs w:val="21"/>
              <w14:textOutline w14:w="5448" w14:cap="flat" w14:cmpd="sng">
                <w14:solidFill>
                  <w14:srgbClr w14:val="7030A0"/>
                </w14:solidFill>
                <w14:prstDash w14:val="solid"/>
                <w14:miter w14:val="0"/>
              </w14:textOutline>
            </w:rPr>
            <w:tab/>
          </w:r>
          <w:r>
            <w:rPr>
              <w:b/>
              <w:bCs/>
              <w:color w:val="7030A0"/>
              <w:spacing w:val="-10"/>
              <w:sz w:val="30"/>
              <w:szCs w:val="30"/>
            </w:rPr>
            <w:t>435</w:t>
          </w:r>
          <w:r>
            <w:rPr>
              <w:b/>
              <w:bCs/>
              <w:color w:val="7030A0"/>
              <w:spacing w:val="-10"/>
              <w:sz w:val="30"/>
              <w:szCs w:val="30"/>
            </w:rPr>
            <w:fldChar w:fldCharType="end"/>
          </w:r>
        </w:p>
        <w:p w14:paraId="3E62A23F">
          <w:pPr>
            <w:pStyle w:val="2"/>
            <w:tabs>
              <w:tab w:val="right" w:leader="dot" w:pos="10110"/>
            </w:tabs>
            <w:spacing w:before="192" w:line="185" w:lineRule="auto"/>
            <w:ind w:left="2243"/>
            <w:rPr>
              <w:sz w:val="24"/>
              <w:szCs w:val="24"/>
            </w:rPr>
          </w:pPr>
          <w:r>
            <w:fldChar w:fldCharType="begin"/>
          </w:r>
          <w:r>
            <w:instrText xml:space="preserve">HYPERLINK\l"bookmark250"</w:instrText>
          </w:r>
          <w:r>
            <w:fldChar w:fldCharType="separate"/>
          </w:r>
          <w:r>
            <w:rPr>
              <w:b/>
              <w:bCs/>
              <w:color w:val="0070C0"/>
              <w:spacing w:val="-23"/>
              <w:sz w:val="21"/>
              <w:szCs w:val="21"/>
            </w:rPr>
            <w:t>第一节、主要施设备进场计划</w:t>
          </w:r>
          <w:r>
            <w:rPr>
              <w:color w:val="0070C0"/>
              <w:sz w:val="21"/>
              <w:szCs w:val="21"/>
              <w14:textOutline w14:w="4356" w14:cap="flat" w14:cmpd="sng">
                <w14:solidFill>
                  <w14:srgbClr w14:val="0070C0"/>
                </w14:solidFill>
                <w14:prstDash w14:val="solid"/>
                <w14:miter w14:val="0"/>
              </w14:textOutline>
            </w:rPr>
            <w:tab/>
          </w:r>
          <w:r>
            <w:rPr>
              <w:b/>
              <w:bCs/>
              <w:color w:val="0070C0"/>
              <w:spacing w:val="-9"/>
              <w:sz w:val="24"/>
              <w:szCs w:val="24"/>
            </w:rPr>
            <w:t>435</w:t>
          </w:r>
          <w:r>
            <w:rPr>
              <w:b/>
              <w:bCs/>
              <w:color w:val="0070C0"/>
              <w:spacing w:val="-9"/>
              <w:sz w:val="24"/>
              <w:szCs w:val="24"/>
            </w:rPr>
            <w:fldChar w:fldCharType="end"/>
          </w:r>
        </w:p>
        <w:p w14:paraId="6AC48C6B">
          <w:pPr>
            <w:pStyle w:val="2"/>
            <w:tabs>
              <w:tab w:val="right" w:leader="dot" w:pos="10110"/>
            </w:tabs>
            <w:spacing w:before="198" w:line="185" w:lineRule="auto"/>
            <w:ind w:left="2243"/>
            <w:rPr>
              <w:sz w:val="24"/>
              <w:szCs w:val="24"/>
            </w:rPr>
          </w:pPr>
          <w:r>
            <w:fldChar w:fldCharType="begin"/>
          </w:r>
          <w:r>
            <w:instrText xml:space="preserve">HYPERLINK\l"bookmark251"</w:instrText>
          </w:r>
          <w:r>
            <w:fldChar w:fldCharType="separate"/>
          </w:r>
          <w:r>
            <w:rPr>
              <w:b/>
              <w:bCs/>
              <w:color w:val="0070C0"/>
              <w:spacing w:val="-24"/>
              <w:sz w:val="21"/>
              <w:szCs w:val="21"/>
            </w:rPr>
            <w:t>第二节、主要设维护及保养措施</w:t>
          </w:r>
          <w:r>
            <w:rPr>
              <w:b/>
              <w:bCs/>
              <w:color w:val="0070C0"/>
              <w:sz w:val="21"/>
              <w:szCs w:val="21"/>
              <w14:textOutline w14:w="4356" w14:cap="flat" w14:cmpd="sng">
                <w14:solidFill>
                  <w14:srgbClr w14:val="0070C0"/>
                </w14:solidFill>
                <w14:prstDash w14:val="solid"/>
                <w14:miter w14:val="0"/>
              </w14:textOutline>
            </w:rPr>
            <w:tab/>
          </w:r>
          <w:r>
            <w:rPr>
              <w:b/>
              <w:bCs/>
              <w:color w:val="0070C0"/>
              <w:spacing w:val="-9"/>
              <w:sz w:val="24"/>
              <w:szCs w:val="24"/>
            </w:rPr>
            <w:t>435</w:t>
          </w:r>
          <w:r>
            <w:rPr>
              <w:b/>
              <w:bCs/>
              <w:color w:val="0070C0"/>
              <w:spacing w:val="-9"/>
              <w:sz w:val="24"/>
              <w:szCs w:val="24"/>
            </w:rPr>
            <w:fldChar w:fldCharType="end"/>
          </w:r>
        </w:p>
        <w:p w14:paraId="2F1FAE6A">
          <w:pPr>
            <w:pStyle w:val="2"/>
            <w:tabs>
              <w:tab w:val="right" w:leader="dot" w:pos="10107"/>
            </w:tabs>
            <w:spacing w:before="198" w:line="185" w:lineRule="auto"/>
            <w:ind w:left="2516"/>
            <w:rPr>
              <w:sz w:val="24"/>
              <w:szCs w:val="24"/>
            </w:rPr>
          </w:pPr>
          <w:r>
            <w:fldChar w:fldCharType="begin"/>
          </w:r>
          <w:r>
            <w:instrText xml:space="preserve">HYPERLINK\l"bookmark252"</w:instrText>
          </w:r>
          <w:r>
            <w:fldChar w:fldCharType="separate"/>
          </w:r>
          <w:r>
            <w:rPr>
              <w:spacing w:val="-21"/>
              <w:sz w:val="21"/>
              <w:szCs w:val="21"/>
            </w:rPr>
            <w:t>一、主要设备的安全技术操作规程</w:t>
          </w:r>
          <w:r>
            <w:rPr>
              <w:sz w:val="21"/>
              <w:szCs w:val="21"/>
            </w:rPr>
            <w:tab/>
          </w:r>
          <w:r>
            <w:rPr>
              <w:spacing w:val="-7"/>
              <w:sz w:val="24"/>
              <w:szCs w:val="24"/>
            </w:rPr>
            <w:t>435</w:t>
          </w:r>
          <w:r>
            <w:rPr>
              <w:spacing w:val="-7"/>
              <w:sz w:val="24"/>
              <w:szCs w:val="24"/>
            </w:rPr>
            <w:fldChar w:fldCharType="end"/>
          </w:r>
        </w:p>
        <w:p w14:paraId="53E15CBC">
          <w:pPr>
            <w:pStyle w:val="2"/>
            <w:tabs>
              <w:tab w:val="right" w:leader="dot" w:pos="10107"/>
            </w:tabs>
            <w:spacing w:before="201" w:line="185" w:lineRule="auto"/>
            <w:ind w:left="2519"/>
            <w:rPr>
              <w:sz w:val="24"/>
              <w:szCs w:val="24"/>
            </w:rPr>
          </w:pPr>
          <w:r>
            <w:fldChar w:fldCharType="begin"/>
          </w:r>
          <w:r>
            <w:instrText xml:space="preserve">HYPERLINK\l"bookmark253"</w:instrText>
          </w:r>
          <w:r>
            <w:fldChar w:fldCharType="separate"/>
          </w:r>
          <w:r>
            <w:rPr>
              <w:spacing w:val="-22"/>
              <w:sz w:val="21"/>
              <w:szCs w:val="21"/>
            </w:rPr>
            <w:t>二、机械设备保养修理制度</w:t>
          </w:r>
          <w:r>
            <w:rPr>
              <w:sz w:val="21"/>
              <w:szCs w:val="21"/>
            </w:rPr>
            <w:tab/>
          </w:r>
          <w:r>
            <w:rPr>
              <w:spacing w:val="-7"/>
              <w:sz w:val="24"/>
              <w:szCs w:val="24"/>
            </w:rPr>
            <w:t>439</w:t>
          </w:r>
          <w:r>
            <w:rPr>
              <w:spacing w:val="-7"/>
              <w:sz w:val="24"/>
              <w:szCs w:val="24"/>
            </w:rPr>
            <w:fldChar w:fldCharType="end"/>
          </w:r>
        </w:p>
        <w:p w14:paraId="538EDA57">
          <w:pPr>
            <w:pStyle w:val="2"/>
            <w:tabs>
              <w:tab w:val="right" w:leader="dot" w:pos="10107"/>
            </w:tabs>
            <w:spacing w:before="199" w:line="185" w:lineRule="auto"/>
            <w:ind w:left="2518"/>
            <w:rPr>
              <w:sz w:val="24"/>
              <w:szCs w:val="24"/>
            </w:rPr>
          </w:pPr>
          <w:r>
            <w:fldChar w:fldCharType="begin"/>
          </w:r>
          <w:r>
            <w:instrText xml:space="preserve">HYPERLINK\l"bookmark254"</w:instrText>
          </w:r>
          <w:r>
            <w:fldChar w:fldCharType="separate"/>
          </w:r>
          <w:r>
            <w:rPr>
              <w:spacing w:val="-22"/>
              <w:sz w:val="21"/>
              <w:szCs w:val="21"/>
            </w:rPr>
            <w:t>三、机械设备使用制度</w:t>
          </w:r>
          <w:r>
            <w:rPr>
              <w:sz w:val="21"/>
              <w:szCs w:val="21"/>
            </w:rPr>
            <w:tab/>
          </w:r>
          <w:r>
            <w:rPr>
              <w:spacing w:val="-7"/>
              <w:sz w:val="24"/>
              <w:szCs w:val="24"/>
            </w:rPr>
            <w:t>439</w:t>
          </w:r>
          <w:r>
            <w:rPr>
              <w:spacing w:val="-7"/>
              <w:sz w:val="24"/>
              <w:szCs w:val="24"/>
            </w:rPr>
            <w:fldChar w:fldCharType="end"/>
          </w:r>
        </w:p>
        <w:p w14:paraId="070E5F24">
          <w:pPr>
            <w:pStyle w:val="2"/>
            <w:tabs>
              <w:tab w:val="right" w:leader="dot" w:pos="10110"/>
            </w:tabs>
            <w:spacing w:before="199" w:line="185" w:lineRule="auto"/>
            <w:ind w:left="2243"/>
            <w:rPr>
              <w:sz w:val="24"/>
              <w:szCs w:val="24"/>
            </w:rPr>
          </w:pPr>
          <w:r>
            <w:fldChar w:fldCharType="begin"/>
          </w:r>
          <w:r>
            <w:instrText xml:space="preserve">HYPERLINK\l"bookmark255"</w:instrText>
          </w:r>
          <w:r>
            <w:fldChar w:fldCharType="separate"/>
          </w:r>
          <w:r>
            <w:rPr>
              <w:b/>
              <w:bCs/>
              <w:color w:val="0070C0"/>
              <w:spacing w:val="-23"/>
              <w:sz w:val="21"/>
              <w:szCs w:val="21"/>
            </w:rPr>
            <w:t>第三节、机械设备配置计划</w:t>
          </w:r>
          <w:r>
            <w:rPr>
              <w:color w:val="0070C0"/>
              <w:sz w:val="21"/>
              <w:szCs w:val="21"/>
              <w14:textOutline w14:w="4356" w14:cap="flat" w14:cmpd="sng">
                <w14:solidFill>
                  <w14:srgbClr w14:val="0070C0"/>
                </w14:solidFill>
                <w14:prstDash w14:val="solid"/>
                <w14:miter w14:val="0"/>
              </w14:textOutline>
            </w:rPr>
            <w:tab/>
          </w:r>
          <w:r>
            <w:rPr>
              <w:b/>
              <w:bCs/>
              <w:color w:val="0070C0"/>
              <w:spacing w:val="-9"/>
              <w:sz w:val="24"/>
              <w:szCs w:val="24"/>
            </w:rPr>
            <w:t>440</w:t>
          </w:r>
          <w:r>
            <w:rPr>
              <w:b/>
              <w:bCs/>
              <w:color w:val="0070C0"/>
              <w:spacing w:val="-9"/>
              <w:sz w:val="24"/>
              <w:szCs w:val="24"/>
            </w:rPr>
            <w:fldChar w:fldCharType="end"/>
          </w:r>
        </w:p>
        <w:p w14:paraId="5BB717A8">
          <w:pPr>
            <w:pStyle w:val="2"/>
            <w:tabs>
              <w:tab w:val="right" w:leader="dot" w:pos="10107"/>
            </w:tabs>
            <w:spacing w:before="201" w:line="185" w:lineRule="auto"/>
            <w:ind w:left="2516"/>
            <w:rPr>
              <w:sz w:val="24"/>
              <w:szCs w:val="24"/>
            </w:rPr>
          </w:pPr>
          <w:r>
            <w:fldChar w:fldCharType="begin"/>
          </w:r>
          <w:r>
            <w:instrText xml:space="preserve">HYPERLINK\l"bookmark256"</w:instrText>
          </w:r>
          <w:r>
            <w:fldChar w:fldCharType="separate"/>
          </w:r>
          <w:r>
            <w:rPr>
              <w:spacing w:val="-22"/>
              <w:sz w:val="21"/>
              <w:szCs w:val="21"/>
            </w:rPr>
            <w:t>一、主要施工机械设备投入计划</w:t>
          </w:r>
          <w:r>
            <w:rPr>
              <w:sz w:val="21"/>
              <w:szCs w:val="21"/>
            </w:rPr>
            <w:tab/>
          </w:r>
          <w:r>
            <w:rPr>
              <w:spacing w:val="-7"/>
              <w:sz w:val="24"/>
              <w:szCs w:val="24"/>
            </w:rPr>
            <w:t>440</w:t>
          </w:r>
          <w:r>
            <w:rPr>
              <w:spacing w:val="-7"/>
              <w:sz w:val="24"/>
              <w:szCs w:val="24"/>
            </w:rPr>
            <w:fldChar w:fldCharType="end"/>
          </w:r>
        </w:p>
        <w:p w14:paraId="61F4593B">
          <w:pPr>
            <w:pStyle w:val="2"/>
            <w:tabs>
              <w:tab w:val="right" w:leader="dot" w:pos="10107"/>
            </w:tabs>
            <w:spacing w:before="199" w:line="185" w:lineRule="auto"/>
            <w:ind w:left="2519"/>
            <w:rPr>
              <w:sz w:val="24"/>
              <w:szCs w:val="24"/>
            </w:rPr>
          </w:pPr>
          <w:r>
            <w:fldChar w:fldCharType="begin"/>
          </w:r>
          <w:r>
            <w:instrText xml:space="preserve">HYPERLINK\l"bookmark257"</w:instrText>
          </w:r>
          <w:r>
            <w:fldChar w:fldCharType="separate"/>
          </w:r>
          <w:r>
            <w:rPr>
              <w:spacing w:val="-22"/>
              <w:sz w:val="21"/>
              <w:szCs w:val="21"/>
            </w:rPr>
            <w:t>二、主模板机械选择与配备</w:t>
          </w:r>
          <w:r>
            <w:rPr>
              <w:sz w:val="21"/>
              <w:szCs w:val="21"/>
            </w:rPr>
            <w:tab/>
          </w:r>
          <w:r>
            <w:rPr>
              <w:spacing w:val="-7"/>
              <w:sz w:val="24"/>
              <w:szCs w:val="24"/>
            </w:rPr>
            <w:t>446</w:t>
          </w:r>
          <w:r>
            <w:rPr>
              <w:spacing w:val="-7"/>
              <w:sz w:val="24"/>
              <w:szCs w:val="24"/>
            </w:rPr>
            <w:fldChar w:fldCharType="end"/>
          </w:r>
        </w:p>
        <w:p w14:paraId="2C85CCD1">
          <w:pPr>
            <w:pStyle w:val="2"/>
            <w:tabs>
              <w:tab w:val="right" w:leader="dot" w:pos="10107"/>
            </w:tabs>
            <w:spacing w:before="199" w:line="185" w:lineRule="auto"/>
            <w:ind w:left="2518"/>
            <w:rPr>
              <w:sz w:val="24"/>
              <w:szCs w:val="24"/>
            </w:rPr>
          </w:pPr>
          <w:r>
            <w:fldChar w:fldCharType="begin"/>
          </w:r>
          <w:r>
            <w:instrText xml:space="preserve">HYPERLINK\l"bookmark258"</w:instrText>
          </w:r>
          <w:r>
            <w:fldChar w:fldCharType="separate"/>
          </w:r>
          <w:r>
            <w:rPr>
              <w:spacing w:val="-22"/>
              <w:sz w:val="21"/>
              <w:szCs w:val="21"/>
            </w:rPr>
            <w:t>三、主要施工机械设备投入的保证措施</w:t>
          </w:r>
          <w:r>
            <w:rPr>
              <w:sz w:val="21"/>
              <w:szCs w:val="21"/>
            </w:rPr>
            <w:tab/>
          </w:r>
          <w:r>
            <w:rPr>
              <w:spacing w:val="-7"/>
              <w:sz w:val="24"/>
              <w:szCs w:val="24"/>
            </w:rPr>
            <w:t>446</w:t>
          </w:r>
          <w:r>
            <w:rPr>
              <w:spacing w:val="-7"/>
              <w:sz w:val="24"/>
              <w:szCs w:val="24"/>
            </w:rPr>
            <w:fldChar w:fldCharType="end"/>
          </w:r>
        </w:p>
        <w:p w14:paraId="5F019031">
          <w:pPr>
            <w:pStyle w:val="2"/>
            <w:tabs>
              <w:tab w:val="right" w:leader="dot" w:pos="10109"/>
            </w:tabs>
            <w:spacing w:before="149" w:line="185" w:lineRule="auto"/>
            <w:ind w:left="1823"/>
            <w:rPr>
              <w:sz w:val="30"/>
              <w:szCs w:val="30"/>
            </w:rPr>
          </w:pPr>
          <w:r>
            <w:fldChar w:fldCharType="begin"/>
          </w:r>
          <w:r>
            <w:instrText xml:space="preserve">HYPERLINK\l"bookmark259"</w:instrText>
          </w:r>
          <w:r>
            <w:fldChar w:fldCharType="separate"/>
          </w:r>
          <w:r>
            <w:rPr>
              <w:b/>
              <w:bCs/>
              <w:color w:val="7030A0"/>
              <w:spacing w:val="-24"/>
              <w:sz w:val="21"/>
              <w:szCs w:val="21"/>
            </w:rPr>
            <w:t>第十章、劳动力安排计划</w:t>
          </w:r>
          <w:r>
            <w:rPr>
              <w:b/>
              <w:bCs/>
              <w:color w:val="7030A0"/>
              <w:sz w:val="21"/>
              <w:szCs w:val="21"/>
              <w14:textOutline w14:w="5448" w14:cap="flat" w14:cmpd="sng">
                <w14:solidFill>
                  <w14:srgbClr w14:val="7030A0"/>
                </w14:solidFill>
                <w14:prstDash w14:val="solid"/>
                <w14:miter w14:val="0"/>
              </w14:textOutline>
            </w:rPr>
            <w:tab/>
          </w:r>
          <w:r>
            <w:rPr>
              <w:b/>
              <w:bCs/>
              <w:color w:val="7030A0"/>
              <w:spacing w:val="-10"/>
              <w:sz w:val="30"/>
              <w:szCs w:val="30"/>
            </w:rPr>
            <w:t>448</w:t>
          </w:r>
          <w:r>
            <w:rPr>
              <w:b/>
              <w:bCs/>
              <w:color w:val="7030A0"/>
              <w:spacing w:val="-10"/>
              <w:sz w:val="30"/>
              <w:szCs w:val="30"/>
            </w:rPr>
            <w:fldChar w:fldCharType="end"/>
          </w:r>
        </w:p>
        <w:p w14:paraId="66981527">
          <w:pPr>
            <w:pStyle w:val="2"/>
            <w:tabs>
              <w:tab w:val="right" w:leader="dot" w:pos="10110"/>
            </w:tabs>
            <w:spacing w:before="190" w:line="185" w:lineRule="auto"/>
            <w:ind w:left="2243"/>
            <w:rPr>
              <w:sz w:val="24"/>
              <w:szCs w:val="24"/>
            </w:rPr>
          </w:pPr>
          <w:r>
            <w:fldChar w:fldCharType="begin"/>
          </w:r>
          <w:r>
            <w:instrText xml:space="preserve">HYPERLINK\l"bookmark260"</w:instrText>
          </w:r>
          <w:r>
            <w:fldChar w:fldCharType="separate"/>
          </w:r>
          <w:r>
            <w:rPr>
              <w:b/>
              <w:bCs/>
              <w:color w:val="0070C0"/>
              <w:spacing w:val="-24"/>
              <w:sz w:val="21"/>
              <w:szCs w:val="21"/>
            </w:rPr>
            <w:t>第一节、工程项目劳务人员组织</w:t>
          </w:r>
          <w:r>
            <w:rPr>
              <w:b/>
              <w:bCs/>
              <w:color w:val="0070C0"/>
              <w:sz w:val="21"/>
              <w:szCs w:val="21"/>
              <w14:textOutline w14:w="4356" w14:cap="flat" w14:cmpd="sng">
                <w14:solidFill>
                  <w14:srgbClr w14:val="0070C0"/>
                </w14:solidFill>
                <w14:prstDash w14:val="solid"/>
                <w14:miter w14:val="0"/>
              </w14:textOutline>
            </w:rPr>
            <w:tab/>
          </w:r>
          <w:r>
            <w:rPr>
              <w:b/>
              <w:bCs/>
              <w:color w:val="0070C0"/>
              <w:spacing w:val="-9"/>
              <w:sz w:val="24"/>
              <w:szCs w:val="24"/>
            </w:rPr>
            <w:t>448</w:t>
          </w:r>
          <w:r>
            <w:rPr>
              <w:b/>
              <w:bCs/>
              <w:color w:val="0070C0"/>
              <w:spacing w:val="-9"/>
              <w:sz w:val="24"/>
              <w:szCs w:val="24"/>
            </w:rPr>
            <w:fldChar w:fldCharType="end"/>
          </w:r>
        </w:p>
        <w:p w14:paraId="31B8F9EA">
          <w:pPr>
            <w:pStyle w:val="2"/>
            <w:tabs>
              <w:tab w:val="right" w:leader="dot" w:pos="10110"/>
            </w:tabs>
            <w:spacing w:before="199" w:line="185" w:lineRule="auto"/>
            <w:ind w:left="2243"/>
            <w:rPr>
              <w:sz w:val="24"/>
              <w:szCs w:val="24"/>
            </w:rPr>
          </w:pPr>
          <w:r>
            <w:fldChar w:fldCharType="begin"/>
          </w:r>
          <w:r>
            <w:instrText xml:space="preserve">HYPERLINK\l"bookmark261"</w:instrText>
          </w:r>
          <w:r>
            <w:fldChar w:fldCharType="separate"/>
          </w:r>
          <w:r>
            <w:rPr>
              <w:b/>
              <w:bCs/>
              <w:color w:val="0070C0"/>
              <w:spacing w:val="-24"/>
              <w:sz w:val="21"/>
              <w:szCs w:val="21"/>
            </w:rPr>
            <w:t>第二节、劳动力的组织管理保证措施</w:t>
          </w:r>
          <w:r>
            <w:rPr>
              <w:color w:val="0070C0"/>
              <w:sz w:val="21"/>
              <w:szCs w:val="21"/>
              <w14:textOutline w14:w="4356" w14:cap="flat" w14:cmpd="sng">
                <w14:solidFill>
                  <w14:srgbClr w14:val="0070C0"/>
                </w14:solidFill>
                <w14:prstDash w14:val="solid"/>
                <w14:miter w14:val="0"/>
              </w14:textOutline>
            </w:rPr>
            <w:tab/>
          </w:r>
          <w:r>
            <w:rPr>
              <w:b/>
              <w:bCs/>
              <w:color w:val="0070C0"/>
              <w:spacing w:val="-9"/>
              <w:sz w:val="24"/>
              <w:szCs w:val="24"/>
            </w:rPr>
            <w:t>448</w:t>
          </w:r>
          <w:r>
            <w:rPr>
              <w:b/>
              <w:bCs/>
              <w:color w:val="0070C0"/>
              <w:spacing w:val="-9"/>
              <w:sz w:val="24"/>
              <w:szCs w:val="24"/>
            </w:rPr>
            <w:fldChar w:fldCharType="end"/>
          </w:r>
        </w:p>
        <w:p w14:paraId="4DBC8F44">
          <w:pPr>
            <w:pStyle w:val="2"/>
            <w:tabs>
              <w:tab w:val="right" w:leader="dot" w:pos="10110"/>
            </w:tabs>
            <w:spacing w:before="201" w:line="185" w:lineRule="auto"/>
            <w:ind w:left="2243"/>
            <w:rPr>
              <w:sz w:val="24"/>
              <w:szCs w:val="24"/>
            </w:rPr>
          </w:pPr>
          <w:r>
            <w:fldChar w:fldCharType="begin"/>
          </w:r>
          <w:r>
            <w:instrText xml:space="preserve">HYPERLINK\l"bookmark262"</w:instrText>
          </w:r>
          <w:r>
            <w:fldChar w:fldCharType="separate"/>
          </w:r>
          <w:r>
            <w:rPr>
              <w:b/>
              <w:bCs/>
              <w:color w:val="0070C0"/>
              <w:spacing w:val="-24"/>
              <w:sz w:val="21"/>
              <w:szCs w:val="21"/>
            </w:rPr>
            <w:t>第三节、劳动力投入计划保证措施</w:t>
          </w:r>
          <w:r>
            <w:rPr>
              <w:color w:val="0070C0"/>
              <w:sz w:val="21"/>
              <w:szCs w:val="21"/>
              <w14:textOutline w14:w="4356" w14:cap="flat" w14:cmpd="sng">
                <w14:solidFill>
                  <w14:srgbClr w14:val="0070C0"/>
                </w14:solidFill>
                <w14:prstDash w14:val="solid"/>
                <w14:miter w14:val="0"/>
              </w14:textOutline>
            </w:rPr>
            <w:tab/>
          </w:r>
          <w:r>
            <w:rPr>
              <w:b/>
              <w:bCs/>
              <w:color w:val="0070C0"/>
              <w:spacing w:val="-9"/>
              <w:sz w:val="24"/>
              <w:szCs w:val="24"/>
            </w:rPr>
            <w:t>449</w:t>
          </w:r>
          <w:r>
            <w:rPr>
              <w:b/>
              <w:bCs/>
              <w:color w:val="0070C0"/>
              <w:spacing w:val="-9"/>
              <w:sz w:val="24"/>
              <w:szCs w:val="24"/>
            </w:rPr>
            <w:fldChar w:fldCharType="end"/>
          </w:r>
        </w:p>
        <w:p w14:paraId="2740E87B">
          <w:pPr>
            <w:pStyle w:val="2"/>
            <w:tabs>
              <w:tab w:val="right" w:leader="dot" w:pos="10107"/>
            </w:tabs>
            <w:spacing w:before="199" w:line="185" w:lineRule="auto"/>
            <w:ind w:left="2516"/>
            <w:rPr>
              <w:sz w:val="24"/>
              <w:szCs w:val="24"/>
            </w:rPr>
          </w:pPr>
          <w:r>
            <w:fldChar w:fldCharType="begin"/>
          </w:r>
          <w:r>
            <w:instrText xml:space="preserve">HYPERLINK\l"bookmark263"</w:instrText>
          </w:r>
          <w:r>
            <w:fldChar w:fldCharType="separate"/>
          </w:r>
          <w:r>
            <w:rPr>
              <w:spacing w:val="-22"/>
              <w:sz w:val="21"/>
              <w:szCs w:val="21"/>
            </w:rPr>
            <w:t>一、劳动力投入计划</w:t>
          </w:r>
          <w:r>
            <w:rPr>
              <w:sz w:val="21"/>
              <w:szCs w:val="21"/>
            </w:rPr>
            <w:tab/>
          </w:r>
          <w:r>
            <w:rPr>
              <w:spacing w:val="-7"/>
              <w:sz w:val="24"/>
              <w:szCs w:val="24"/>
            </w:rPr>
            <w:t>449</w:t>
          </w:r>
          <w:r>
            <w:rPr>
              <w:spacing w:val="-7"/>
              <w:sz w:val="24"/>
              <w:szCs w:val="24"/>
            </w:rPr>
            <w:fldChar w:fldCharType="end"/>
          </w:r>
        </w:p>
        <w:p w14:paraId="7A7FD5D7">
          <w:pPr>
            <w:pStyle w:val="2"/>
            <w:tabs>
              <w:tab w:val="right" w:leader="dot" w:pos="10107"/>
            </w:tabs>
            <w:spacing w:before="199" w:line="185" w:lineRule="auto"/>
            <w:ind w:left="2519"/>
            <w:rPr>
              <w:sz w:val="24"/>
              <w:szCs w:val="24"/>
            </w:rPr>
          </w:pPr>
          <w:r>
            <w:fldChar w:fldCharType="begin"/>
          </w:r>
          <w:r>
            <w:instrText xml:space="preserve">HYPERLINK\l"bookmark264"</w:instrText>
          </w:r>
          <w:r>
            <w:fldChar w:fldCharType="separate"/>
          </w:r>
          <w:r>
            <w:rPr>
              <w:spacing w:val="-22"/>
              <w:sz w:val="21"/>
              <w:szCs w:val="21"/>
            </w:rPr>
            <w:t>二、劳动力组织投入保证措施</w:t>
          </w:r>
          <w:r>
            <w:rPr>
              <w:sz w:val="21"/>
              <w:szCs w:val="21"/>
            </w:rPr>
            <w:tab/>
          </w:r>
          <w:r>
            <w:rPr>
              <w:spacing w:val="-7"/>
              <w:sz w:val="24"/>
              <w:szCs w:val="24"/>
            </w:rPr>
            <w:t>449</w:t>
          </w:r>
          <w:r>
            <w:rPr>
              <w:spacing w:val="-7"/>
              <w:sz w:val="24"/>
              <w:szCs w:val="24"/>
            </w:rPr>
            <w:fldChar w:fldCharType="end"/>
          </w:r>
        </w:p>
        <w:p w14:paraId="7DFCBF25">
          <w:pPr>
            <w:pStyle w:val="2"/>
            <w:tabs>
              <w:tab w:val="right" w:leader="dot" w:pos="10110"/>
            </w:tabs>
            <w:spacing w:before="201" w:line="185" w:lineRule="auto"/>
            <w:ind w:left="2243"/>
            <w:rPr>
              <w:sz w:val="24"/>
              <w:szCs w:val="24"/>
            </w:rPr>
          </w:pPr>
          <w:r>
            <w:fldChar w:fldCharType="begin"/>
          </w:r>
          <w:r>
            <w:instrText xml:space="preserve">HYPERLINK\l"bookmark265"</w:instrText>
          </w:r>
          <w:r>
            <w:fldChar w:fldCharType="separate"/>
          </w:r>
          <w:r>
            <w:rPr>
              <w:b/>
              <w:bCs/>
              <w:color w:val="0070C0"/>
              <w:spacing w:val="-23"/>
              <w:sz w:val="21"/>
              <w:szCs w:val="21"/>
            </w:rPr>
            <w:t>第四节、对工人素质的控制措施</w:t>
          </w:r>
          <w:r>
            <w:rPr>
              <w:b/>
              <w:bCs/>
              <w:color w:val="0070C0"/>
              <w:sz w:val="21"/>
              <w:szCs w:val="21"/>
              <w14:textOutline w14:w="4356" w14:cap="flat" w14:cmpd="sng">
                <w14:solidFill>
                  <w14:srgbClr w14:val="0070C0"/>
                </w14:solidFill>
                <w14:prstDash w14:val="solid"/>
                <w14:miter w14:val="0"/>
              </w14:textOutline>
            </w:rPr>
            <w:tab/>
          </w:r>
          <w:r>
            <w:rPr>
              <w:b/>
              <w:bCs/>
              <w:color w:val="0070C0"/>
              <w:spacing w:val="-9"/>
              <w:sz w:val="24"/>
              <w:szCs w:val="24"/>
            </w:rPr>
            <w:t>450</w:t>
          </w:r>
          <w:r>
            <w:rPr>
              <w:b/>
              <w:bCs/>
              <w:color w:val="0070C0"/>
              <w:spacing w:val="-9"/>
              <w:sz w:val="24"/>
              <w:szCs w:val="24"/>
            </w:rPr>
            <w:fldChar w:fldCharType="end"/>
          </w:r>
        </w:p>
        <w:p w14:paraId="51A01874">
          <w:pPr>
            <w:pStyle w:val="2"/>
            <w:tabs>
              <w:tab w:val="right" w:leader="dot" w:pos="10110"/>
            </w:tabs>
            <w:spacing w:before="199" w:line="185" w:lineRule="auto"/>
            <w:ind w:left="2243"/>
            <w:rPr>
              <w:sz w:val="24"/>
              <w:szCs w:val="24"/>
            </w:rPr>
          </w:pPr>
          <w:r>
            <w:fldChar w:fldCharType="begin"/>
          </w:r>
          <w:r>
            <w:instrText xml:space="preserve">HYPERLINK\l"bookmark266"</w:instrText>
          </w:r>
          <w:r>
            <w:fldChar w:fldCharType="separate"/>
          </w:r>
          <w:r>
            <w:rPr>
              <w:b/>
              <w:bCs/>
              <w:color w:val="0070C0"/>
              <w:spacing w:val="-23"/>
              <w:sz w:val="21"/>
              <w:szCs w:val="21"/>
            </w:rPr>
            <w:t>第五节、劳动力现场管理办法</w:t>
          </w:r>
          <w:r>
            <w:rPr>
              <w:color w:val="0070C0"/>
              <w:sz w:val="21"/>
              <w:szCs w:val="21"/>
              <w14:textOutline w14:w="4356" w14:cap="flat" w14:cmpd="sng">
                <w14:solidFill>
                  <w14:srgbClr w14:val="0070C0"/>
                </w14:solidFill>
                <w14:prstDash w14:val="solid"/>
                <w14:miter w14:val="0"/>
              </w14:textOutline>
            </w:rPr>
            <w:tab/>
          </w:r>
          <w:r>
            <w:rPr>
              <w:b/>
              <w:bCs/>
              <w:color w:val="0070C0"/>
              <w:spacing w:val="-9"/>
              <w:sz w:val="24"/>
              <w:szCs w:val="24"/>
            </w:rPr>
            <w:t>450</w:t>
          </w:r>
          <w:r>
            <w:rPr>
              <w:b/>
              <w:bCs/>
              <w:color w:val="0070C0"/>
              <w:spacing w:val="-9"/>
              <w:sz w:val="24"/>
              <w:szCs w:val="24"/>
            </w:rPr>
            <w:fldChar w:fldCharType="end"/>
          </w:r>
        </w:p>
        <w:p w14:paraId="6E8EF0B5">
          <w:pPr>
            <w:pStyle w:val="2"/>
            <w:tabs>
              <w:tab w:val="right" w:leader="dot" w:pos="10107"/>
            </w:tabs>
            <w:spacing w:before="198" w:line="185" w:lineRule="auto"/>
            <w:ind w:left="2516"/>
            <w:rPr>
              <w:sz w:val="24"/>
              <w:szCs w:val="24"/>
            </w:rPr>
          </w:pPr>
          <w:r>
            <w:fldChar w:fldCharType="begin"/>
          </w:r>
          <w:r>
            <w:instrText xml:space="preserve">HYPERLINK\l"bookmark267"</w:instrText>
          </w:r>
          <w:r>
            <w:fldChar w:fldCharType="separate"/>
          </w:r>
          <w:r>
            <w:rPr>
              <w:spacing w:val="-21"/>
              <w:sz w:val="21"/>
              <w:szCs w:val="21"/>
            </w:rPr>
            <w:t>一、进场阶段的管理</w:t>
          </w:r>
          <w:r>
            <w:rPr>
              <w:sz w:val="21"/>
              <w:szCs w:val="21"/>
            </w:rPr>
            <w:tab/>
          </w:r>
          <w:r>
            <w:rPr>
              <w:spacing w:val="-7"/>
              <w:sz w:val="24"/>
              <w:szCs w:val="24"/>
            </w:rPr>
            <w:t>451</w:t>
          </w:r>
          <w:r>
            <w:rPr>
              <w:spacing w:val="-7"/>
              <w:sz w:val="24"/>
              <w:szCs w:val="24"/>
            </w:rPr>
            <w:fldChar w:fldCharType="end"/>
          </w:r>
        </w:p>
        <w:p w14:paraId="656DD2B4">
          <w:pPr>
            <w:pStyle w:val="2"/>
            <w:tabs>
              <w:tab w:val="right" w:leader="dot" w:pos="10107"/>
            </w:tabs>
            <w:spacing w:before="202" w:line="185" w:lineRule="auto"/>
            <w:ind w:left="2519"/>
            <w:rPr>
              <w:sz w:val="24"/>
              <w:szCs w:val="24"/>
            </w:rPr>
          </w:pPr>
          <w:r>
            <w:fldChar w:fldCharType="begin"/>
          </w:r>
          <w:r>
            <w:instrText xml:space="preserve">HYPERLINK\l"bookmark268"</w:instrText>
          </w:r>
          <w:r>
            <w:fldChar w:fldCharType="separate"/>
          </w:r>
          <w:r>
            <w:rPr>
              <w:spacing w:val="-21"/>
              <w:sz w:val="21"/>
              <w:szCs w:val="21"/>
            </w:rPr>
            <w:t>二、施工阶段的管理</w:t>
          </w:r>
          <w:r>
            <w:rPr>
              <w:sz w:val="21"/>
              <w:szCs w:val="21"/>
            </w:rPr>
            <w:tab/>
          </w:r>
          <w:r>
            <w:rPr>
              <w:spacing w:val="-7"/>
              <w:sz w:val="24"/>
              <w:szCs w:val="24"/>
            </w:rPr>
            <w:t>451</w:t>
          </w:r>
          <w:r>
            <w:rPr>
              <w:spacing w:val="-7"/>
              <w:sz w:val="24"/>
              <w:szCs w:val="24"/>
            </w:rPr>
            <w:fldChar w:fldCharType="end"/>
          </w:r>
        </w:p>
        <w:p w14:paraId="3FDA8A42">
          <w:pPr>
            <w:pStyle w:val="2"/>
            <w:tabs>
              <w:tab w:val="right" w:leader="dot" w:pos="10107"/>
            </w:tabs>
            <w:spacing w:before="198" w:line="185" w:lineRule="auto"/>
            <w:ind w:left="2518"/>
            <w:rPr>
              <w:sz w:val="24"/>
              <w:szCs w:val="24"/>
            </w:rPr>
          </w:pPr>
          <w:r>
            <w:fldChar w:fldCharType="begin"/>
          </w:r>
          <w:r>
            <w:instrText xml:space="preserve">HYPERLINK\l"bookmark269"</w:instrText>
          </w:r>
          <w:r>
            <w:fldChar w:fldCharType="separate"/>
          </w:r>
          <w:r>
            <w:rPr>
              <w:spacing w:val="-21"/>
              <w:sz w:val="21"/>
              <w:szCs w:val="21"/>
            </w:rPr>
            <w:t>三、撤离阶段的管理</w:t>
          </w:r>
          <w:r>
            <w:rPr>
              <w:sz w:val="21"/>
              <w:szCs w:val="21"/>
            </w:rPr>
            <w:tab/>
          </w:r>
          <w:r>
            <w:rPr>
              <w:spacing w:val="-7"/>
              <w:sz w:val="24"/>
              <w:szCs w:val="24"/>
            </w:rPr>
            <w:t>453</w:t>
          </w:r>
          <w:r>
            <w:rPr>
              <w:spacing w:val="-7"/>
              <w:sz w:val="24"/>
              <w:szCs w:val="24"/>
            </w:rPr>
            <w:fldChar w:fldCharType="end"/>
          </w:r>
        </w:p>
        <w:p w14:paraId="41243FB7">
          <w:pPr>
            <w:pStyle w:val="2"/>
            <w:tabs>
              <w:tab w:val="right" w:leader="dot" w:pos="10109"/>
            </w:tabs>
            <w:spacing w:before="147" w:line="185" w:lineRule="auto"/>
            <w:ind w:left="1823"/>
            <w:rPr>
              <w:sz w:val="30"/>
              <w:szCs w:val="30"/>
            </w:rPr>
          </w:pPr>
          <w:r>
            <w:fldChar w:fldCharType="begin"/>
          </w:r>
          <w:r>
            <w:instrText xml:space="preserve">HYPERLINK\l"bookmark270"</w:instrText>
          </w:r>
          <w:r>
            <w:fldChar w:fldCharType="separate"/>
          </w:r>
          <w:r>
            <w:rPr>
              <w:b/>
              <w:bCs/>
              <w:color w:val="7030A0"/>
              <w:spacing w:val="-23"/>
              <w:sz w:val="21"/>
              <w:szCs w:val="21"/>
            </w:rPr>
            <w:t>第十一章、施工总平面布置图</w:t>
          </w:r>
          <w:r>
            <w:rPr>
              <w:color w:val="7030A0"/>
              <w:sz w:val="21"/>
              <w:szCs w:val="21"/>
              <w14:textOutline w14:w="5448" w14:cap="flat" w14:cmpd="sng">
                <w14:solidFill>
                  <w14:srgbClr w14:val="7030A0"/>
                </w14:solidFill>
                <w14:prstDash w14:val="solid"/>
                <w14:miter w14:val="0"/>
              </w14:textOutline>
            </w:rPr>
            <w:tab/>
          </w:r>
          <w:r>
            <w:rPr>
              <w:b/>
              <w:bCs/>
              <w:color w:val="7030A0"/>
              <w:spacing w:val="-10"/>
              <w:sz w:val="30"/>
              <w:szCs w:val="30"/>
            </w:rPr>
            <w:t>455</w:t>
          </w:r>
          <w:r>
            <w:rPr>
              <w:b/>
              <w:bCs/>
              <w:color w:val="7030A0"/>
              <w:spacing w:val="-10"/>
              <w:sz w:val="30"/>
              <w:szCs w:val="30"/>
            </w:rPr>
            <w:fldChar w:fldCharType="end"/>
          </w:r>
        </w:p>
        <w:p w14:paraId="1B1107E8">
          <w:pPr>
            <w:pStyle w:val="2"/>
            <w:tabs>
              <w:tab w:val="right" w:leader="dot" w:pos="10110"/>
            </w:tabs>
            <w:spacing w:before="193" w:line="185" w:lineRule="auto"/>
            <w:ind w:left="2243"/>
            <w:rPr>
              <w:sz w:val="24"/>
              <w:szCs w:val="24"/>
            </w:rPr>
          </w:pPr>
          <w:r>
            <w:fldChar w:fldCharType="begin"/>
          </w:r>
          <w:r>
            <w:instrText xml:space="preserve">HYPERLINK\l"bookmark271"</w:instrText>
          </w:r>
          <w:r>
            <w:fldChar w:fldCharType="separate"/>
          </w:r>
          <w:r>
            <w:rPr>
              <w:b/>
              <w:bCs/>
              <w:color w:val="0070C0"/>
              <w:spacing w:val="-23"/>
              <w:sz w:val="21"/>
              <w:szCs w:val="21"/>
            </w:rPr>
            <w:t>第一节、施工总体筹划</w:t>
          </w:r>
          <w:r>
            <w:rPr>
              <w:b/>
              <w:bCs/>
              <w:color w:val="0070C0"/>
              <w:sz w:val="21"/>
              <w:szCs w:val="21"/>
              <w14:textOutline w14:w="4356" w14:cap="flat" w14:cmpd="sng">
                <w14:solidFill>
                  <w14:srgbClr w14:val="0070C0"/>
                </w14:solidFill>
                <w14:prstDash w14:val="solid"/>
                <w14:miter w14:val="0"/>
              </w14:textOutline>
            </w:rPr>
            <w:tab/>
          </w:r>
          <w:r>
            <w:rPr>
              <w:b/>
              <w:bCs/>
              <w:color w:val="0070C0"/>
              <w:spacing w:val="-9"/>
              <w:sz w:val="24"/>
              <w:szCs w:val="24"/>
            </w:rPr>
            <w:t>455</w:t>
          </w:r>
          <w:r>
            <w:rPr>
              <w:b/>
              <w:bCs/>
              <w:color w:val="0070C0"/>
              <w:spacing w:val="-9"/>
              <w:sz w:val="24"/>
              <w:szCs w:val="24"/>
            </w:rPr>
            <w:fldChar w:fldCharType="end"/>
          </w:r>
        </w:p>
        <w:p w14:paraId="6386372B">
          <w:pPr>
            <w:pStyle w:val="2"/>
            <w:tabs>
              <w:tab w:val="right" w:leader="dot" w:pos="10107"/>
            </w:tabs>
            <w:spacing w:before="199" w:line="185" w:lineRule="auto"/>
            <w:ind w:left="2516"/>
            <w:rPr>
              <w:sz w:val="24"/>
              <w:szCs w:val="24"/>
            </w:rPr>
          </w:pPr>
          <w:r>
            <w:fldChar w:fldCharType="begin"/>
          </w:r>
          <w:r>
            <w:instrText xml:space="preserve">HYPERLINK\l"bookmark272"</w:instrText>
          </w:r>
          <w:r>
            <w:fldChar w:fldCharType="separate"/>
          </w:r>
          <w:r>
            <w:rPr>
              <w:spacing w:val="-20"/>
              <w:sz w:val="21"/>
              <w:szCs w:val="21"/>
            </w:rPr>
            <w:t>一、踏勘本工程现场特点</w:t>
          </w:r>
          <w:r>
            <w:rPr>
              <w:sz w:val="21"/>
              <w:szCs w:val="21"/>
            </w:rPr>
            <w:tab/>
          </w:r>
          <w:r>
            <w:rPr>
              <w:spacing w:val="-7"/>
              <w:sz w:val="24"/>
              <w:szCs w:val="24"/>
            </w:rPr>
            <w:t>455</w:t>
          </w:r>
          <w:r>
            <w:rPr>
              <w:spacing w:val="-7"/>
              <w:sz w:val="24"/>
              <w:szCs w:val="24"/>
            </w:rPr>
            <w:fldChar w:fldCharType="end"/>
          </w:r>
        </w:p>
        <w:p w14:paraId="4B73EAA4">
          <w:pPr>
            <w:pStyle w:val="2"/>
            <w:tabs>
              <w:tab w:val="right" w:leader="dot" w:pos="10107"/>
            </w:tabs>
            <w:spacing w:before="199" w:line="185" w:lineRule="auto"/>
            <w:ind w:left="2519"/>
            <w:rPr>
              <w:sz w:val="24"/>
              <w:szCs w:val="24"/>
            </w:rPr>
          </w:pPr>
          <w:r>
            <w:fldChar w:fldCharType="begin"/>
          </w:r>
          <w:r>
            <w:instrText xml:space="preserve">HYPERLINK\l"bookmark273"</w:instrText>
          </w:r>
          <w:r>
            <w:fldChar w:fldCharType="separate"/>
          </w:r>
          <w:r>
            <w:rPr>
              <w:spacing w:val="-22"/>
              <w:sz w:val="21"/>
              <w:szCs w:val="21"/>
            </w:rPr>
            <w:t>二、项目基本情况</w:t>
          </w:r>
          <w:r>
            <w:rPr>
              <w:sz w:val="21"/>
              <w:szCs w:val="21"/>
            </w:rPr>
            <w:tab/>
          </w:r>
          <w:r>
            <w:rPr>
              <w:spacing w:val="-7"/>
              <w:sz w:val="24"/>
              <w:szCs w:val="24"/>
            </w:rPr>
            <w:t>455</w:t>
          </w:r>
          <w:r>
            <w:rPr>
              <w:spacing w:val="-7"/>
              <w:sz w:val="24"/>
              <w:szCs w:val="24"/>
            </w:rPr>
            <w:fldChar w:fldCharType="end"/>
          </w:r>
        </w:p>
        <w:p w14:paraId="3A0B894E">
          <w:pPr>
            <w:pStyle w:val="2"/>
            <w:tabs>
              <w:tab w:val="right" w:leader="dot" w:pos="10107"/>
            </w:tabs>
            <w:spacing w:before="201" w:line="185" w:lineRule="auto"/>
            <w:ind w:left="2518"/>
            <w:rPr>
              <w:sz w:val="24"/>
              <w:szCs w:val="24"/>
            </w:rPr>
          </w:pPr>
          <w:r>
            <w:fldChar w:fldCharType="begin"/>
          </w:r>
          <w:r>
            <w:instrText xml:space="preserve">HYPERLINK\l"bookmark274"</w:instrText>
          </w:r>
          <w:r>
            <w:fldChar w:fldCharType="separate"/>
          </w:r>
          <w:r>
            <w:rPr>
              <w:spacing w:val="-21"/>
              <w:sz w:val="21"/>
              <w:szCs w:val="21"/>
            </w:rPr>
            <w:t>三、现场环境特征</w:t>
          </w:r>
          <w:r>
            <w:rPr>
              <w:sz w:val="21"/>
              <w:szCs w:val="21"/>
            </w:rPr>
            <w:tab/>
          </w:r>
          <w:r>
            <w:rPr>
              <w:spacing w:val="-7"/>
              <w:sz w:val="24"/>
              <w:szCs w:val="24"/>
            </w:rPr>
            <w:t>458</w:t>
          </w:r>
          <w:r>
            <w:rPr>
              <w:spacing w:val="-7"/>
              <w:sz w:val="24"/>
              <w:szCs w:val="24"/>
            </w:rPr>
            <w:fldChar w:fldCharType="end"/>
          </w:r>
        </w:p>
        <w:p w14:paraId="6C996AFD">
          <w:pPr>
            <w:pStyle w:val="2"/>
            <w:tabs>
              <w:tab w:val="right" w:leader="dot" w:pos="10107"/>
            </w:tabs>
            <w:spacing w:before="199" w:line="185" w:lineRule="auto"/>
            <w:ind w:left="2537"/>
            <w:rPr>
              <w:sz w:val="24"/>
              <w:szCs w:val="24"/>
            </w:rPr>
          </w:pPr>
          <w:r>
            <w:fldChar w:fldCharType="begin"/>
          </w:r>
          <w:r>
            <w:instrText xml:space="preserve">HYPERLINK\l"bookmark275"</w:instrText>
          </w:r>
          <w:r>
            <w:fldChar w:fldCharType="separate"/>
          </w:r>
          <w:r>
            <w:rPr>
              <w:spacing w:val="-22"/>
              <w:sz w:val="21"/>
              <w:szCs w:val="21"/>
            </w:rPr>
            <w:t>四、施工总体安排及流程</w:t>
          </w:r>
          <w:r>
            <w:rPr>
              <w:sz w:val="21"/>
              <w:szCs w:val="21"/>
            </w:rPr>
            <w:tab/>
          </w:r>
          <w:r>
            <w:rPr>
              <w:spacing w:val="-7"/>
              <w:sz w:val="24"/>
              <w:szCs w:val="24"/>
            </w:rPr>
            <w:t>460</w:t>
          </w:r>
          <w:r>
            <w:rPr>
              <w:spacing w:val="-7"/>
              <w:sz w:val="24"/>
              <w:szCs w:val="24"/>
            </w:rPr>
            <w:fldChar w:fldCharType="end"/>
          </w:r>
        </w:p>
        <w:p w14:paraId="4EA96542">
          <w:pPr>
            <w:pStyle w:val="2"/>
            <w:tabs>
              <w:tab w:val="right" w:leader="dot" w:pos="10107"/>
            </w:tabs>
            <w:spacing w:before="198" w:line="185" w:lineRule="auto"/>
            <w:ind w:left="2516"/>
            <w:rPr>
              <w:sz w:val="24"/>
              <w:szCs w:val="24"/>
            </w:rPr>
          </w:pPr>
          <w:r>
            <w:fldChar w:fldCharType="begin"/>
          </w:r>
          <w:r>
            <w:instrText xml:space="preserve">HYPERLINK\l"bookmark276"</w:instrText>
          </w:r>
          <w:r>
            <w:fldChar w:fldCharType="separate"/>
          </w:r>
          <w:r>
            <w:rPr>
              <w:spacing w:val="-21"/>
              <w:sz w:val="21"/>
              <w:szCs w:val="21"/>
            </w:rPr>
            <w:t>五、施工配合措施</w:t>
          </w:r>
          <w:r>
            <w:rPr>
              <w:sz w:val="21"/>
              <w:szCs w:val="21"/>
            </w:rPr>
            <w:tab/>
          </w:r>
          <w:r>
            <w:rPr>
              <w:spacing w:val="-7"/>
              <w:sz w:val="24"/>
              <w:szCs w:val="24"/>
            </w:rPr>
            <w:t>462</w:t>
          </w:r>
          <w:r>
            <w:rPr>
              <w:spacing w:val="-7"/>
              <w:sz w:val="24"/>
              <w:szCs w:val="24"/>
            </w:rPr>
            <w:fldChar w:fldCharType="end"/>
          </w:r>
        </w:p>
        <w:p w14:paraId="5D059BFA">
          <w:pPr>
            <w:pStyle w:val="2"/>
            <w:tabs>
              <w:tab w:val="right" w:leader="dot" w:pos="10110"/>
            </w:tabs>
            <w:spacing w:before="202" w:line="185" w:lineRule="auto"/>
            <w:ind w:left="2243"/>
            <w:rPr>
              <w:sz w:val="24"/>
              <w:szCs w:val="24"/>
            </w:rPr>
          </w:pPr>
          <w:r>
            <w:fldChar w:fldCharType="begin"/>
          </w:r>
          <w:r>
            <w:instrText xml:space="preserve">HYPERLINK\l"bookmark277"</w:instrText>
          </w:r>
          <w:r>
            <w:fldChar w:fldCharType="separate"/>
          </w:r>
          <w:r>
            <w:rPr>
              <w:b/>
              <w:bCs/>
              <w:color w:val="0070C0"/>
              <w:spacing w:val="-23"/>
              <w:sz w:val="21"/>
              <w:szCs w:val="21"/>
            </w:rPr>
            <w:t>第二节、施工场地布置</w:t>
          </w:r>
          <w:r>
            <w:rPr>
              <w:b/>
              <w:bCs/>
              <w:color w:val="0070C0"/>
              <w:sz w:val="21"/>
              <w:szCs w:val="21"/>
              <w14:textOutline w14:w="4356" w14:cap="flat" w14:cmpd="sng">
                <w14:solidFill>
                  <w14:srgbClr w14:val="0070C0"/>
                </w14:solidFill>
                <w14:prstDash w14:val="solid"/>
                <w14:miter w14:val="0"/>
              </w14:textOutline>
            </w:rPr>
            <w:tab/>
          </w:r>
          <w:r>
            <w:rPr>
              <w:b/>
              <w:bCs/>
              <w:color w:val="0070C0"/>
              <w:spacing w:val="-9"/>
              <w:sz w:val="24"/>
              <w:szCs w:val="24"/>
            </w:rPr>
            <w:t>464</w:t>
          </w:r>
          <w:r>
            <w:rPr>
              <w:b/>
              <w:bCs/>
              <w:color w:val="0070C0"/>
              <w:spacing w:val="-9"/>
              <w:sz w:val="24"/>
              <w:szCs w:val="24"/>
            </w:rPr>
            <w:fldChar w:fldCharType="end"/>
          </w:r>
        </w:p>
        <w:p w14:paraId="53B53CCB">
          <w:pPr>
            <w:pStyle w:val="2"/>
            <w:tabs>
              <w:tab w:val="right" w:leader="dot" w:pos="10107"/>
            </w:tabs>
            <w:spacing w:before="198" w:line="219" w:lineRule="auto"/>
            <w:ind w:left="2516"/>
            <w:rPr>
              <w:sz w:val="24"/>
              <w:szCs w:val="24"/>
            </w:rPr>
          </w:pPr>
          <w:r>
            <w:fldChar w:fldCharType="begin"/>
          </w:r>
          <w:r>
            <w:instrText xml:space="preserve">HYPERLINK\l"bookmark278"</w:instrText>
          </w:r>
          <w:r>
            <w:fldChar w:fldCharType="separate"/>
          </w:r>
          <w:r>
            <w:rPr>
              <w:spacing w:val="-21"/>
              <w:sz w:val="21"/>
              <w:szCs w:val="21"/>
            </w:rPr>
            <w:t>一、施工场地布置设计</w:t>
          </w:r>
          <w:r>
            <w:rPr>
              <w:sz w:val="21"/>
              <w:szCs w:val="21"/>
            </w:rPr>
            <w:tab/>
          </w:r>
          <w:r>
            <w:rPr>
              <w:spacing w:val="-7"/>
              <w:sz w:val="24"/>
              <w:szCs w:val="24"/>
            </w:rPr>
            <w:t>464</w:t>
          </w:r>
          <w:r>
            <w:rPr>
              <w:spacing w:val="-7"/>
              <w:sz w:val="24"/>
              <w:szCs w:val="24"/>
            </w:rPr>
            <w:fldChar w:fldCharType="end"/>
          </w:r>
        </w:p>
      </w:sdtContent>
    </w:sdt>
    <w:p w14:paraId="66905611">
      <w:pPr>
        <w:spacing w:line="219" w:lineRule="auto"/>
        <w:rPr>
          <w:sz w:val="24"/>
          <w:szCs w:val="24"/>
        </w:rPr>
        <w:sectPr>
          <w:footerReference r:id="rId16" w:type="default"/>
          <w:pgSz w:w="11907" w:h="16839"/>
          <w:pgMar w:top="1018" w:right="3" w:bottom="1179" w:left="0" w:header="562" w:footer="498" w:gutter="0"/>
          <w:pgBorders>
            <w:top w:val="none" w:sz="0" w:space="0"/>
            <w:left w:val="none" w:sz="0" w:space="0"/>
            <w:bottom w:val="none" w:sz="0" w:space="0"/>
            <w:right w:val="none" w:sz="0" w:space="0"/>
          </w:pgBorders>
          <w:cols w:space="720" w:num="1"/>
        </w:sectPr>
      </w:pPr>
    </w:p>
    <w:p w14:paraId="203821B3">
      <w:pPr>
        <w:spacing w:line="243" w:lineRule="auto"/>
        <w:rPr>
          <w:rFonts w:ascii="Arial"/>
          <w:sz w:val="21"/>
        </w:rPr>
      </w:pPr>
    </w:p>
    <w:p w14:paraId="4F715A94">
      <w:pPr>
        <w:spacing w:line="244" w:lineRule="auto"/>
        <w:rPr>
          <w:rFonts w:ascii="Arial"/>
          <w:sz w:val="21"/>
        </w:rPr>
      </w:pPr>
    </w:p>
    <w:sdt>
      <w:sdtPr>
        <w:rPr>
          <w:rFonts w:ascii="仿宋" w:hAnsi="仿宋" w:eastAsia="仿宋" w:cs="仿宋"/>
          <w:sz w:val="21"/>
          <w:szCs w:val="21"/>
        </w:rPr>
        <w:id w:val="147455263"/>
        <w:docPartObj>
          <w:docPartGallery w:val="Table of Contents"/>
          <w:docPartUnique/>
        </w:docPartObj>
      </w:sdtPr>
      <w:sdtEndPr>
        <w:rPr>
          <w:rFonts w:ascii="仿宋" w:hAnsi="仿宋" w:eastAsia="仿宋" w:cs="仿宋"/>
          <w:sz w:val="30"/>
          <w:szCs w:val="30"/>
        </w:rPr>
      </w:sdtEndPr>
      <w:sdtContent>
        <w:p w14:paraId="13C2DF66">
          <w:pPr>
            <w:pStyle w:val="2"/>
            <w:tabs>
              <w:tab w:val="right" w:leader="dot" w:pos="10107"/>
            </w:tabs>
            <w:spacing w:before="78" w:line="185" w:lineRule="auto"/>
            <w:ind w:left="2519"/>
            <w:rPr>
              <w:sz w:val="24"/>
              <w:szCs w:val="24"/>
            </w:rPr>
          </w:pPr>
          <w:r>
            <w:fldChar w:fldCharType="begin"/>
          </w:r>
          <w:r>
            <w:instrText xml:space="preserve">HYPERLINK\l"bookmark279"</w:instrText>
          </w:r>
          <w:r>
            <w:fldChar w:fldCharType="separate"/>
          </w:r>
          <w:r>
            <w:rPr>
              <w:spacing w:val="-22"/>
              <w:sz w:val="21"/>
              <w:szCs w:val="21"/>
            </w:rPr>
            <w:t>二、施工场地布置原则</w:t>
          </w:r>
          <w:r>
            <w:rPr>
              <w:sz w:val="21"/>
              <w:szCs w:val="21"/>
            </w:rPr>
            <w:tab/>
          </w:r>
          <w:r>
            <w:rPr>
              <w:spacing w:val="-7"/>
              <w:sz w:val="24"/>
              <w:szCs w:val="24"/>
            </w:rPr>
            <w:t>470</w:t>
          </w:r>
          <w:r>
            <w:rPr>
              <w:spacing w:val="-7"/>
              <w:sz w:val="24"/>
              <w:szCs w:val="24"/>
            </w:rPr>
            <w:fldChar w:fldCharType="end"/>
          </w:r>
        </w:p>
        <w:p w14:paraId="6020D364">
          <w:pPr>
            <w:pStyle w:val="2"/>
            <w:tabs>
              <w:tab w:val="right" w:leader="dot" w:pos="10107"/>
            </w:tabs>
            <w:spacing w:before="198" w:line="185" w:lineRule="auto"/>
            <w:ind w:left="2518"/>
            <w:rPr>
              <w:sz w:val="24"/>
              <w:szCs w:val="24"/>
            </w:rPr>
          </w:pPr>
          <w:r>
            <w:fldChar w:fldCharType="begin"/>
          </w:r>
          <w:r>
            <w:instrText xml:space="preserve">HYPERLINK\l"bookmark280"</w:instrText>
          </w:r>
          <w:r>
            <w:fldChar w:fldCharType="separate"/>
          </w:r>
          <w:r>
            <w:rPr>
              <w:spacing w:val="-21"/>
              <w:sz w:val="21"/>
              <w:szCs w:val="21"/>
            </w:rPr>
            <w:t>三、施工现场已有条件</w:t>
          </w:r>
          <w:r>
            <w:rPr>
              <w:sz w:val="21"/>
              <w:szCs w:val="21"/>
            </w:rPr>
            <w:tab/>
          </w:r>
          <w:r>
            <w:rPr>
              <w:spacing w:val="-7"/>
              <w:sz w:val="24"/>
              <w:szCs w:val="24"/>
            </w:rPr>
            <w:t>470</w:t>
          </w:r>
          <w:r>
            <w:rPr>
              <w:spacing w:val="-7"/>
              <w:sz w:val="24"/>
              <w:szCs w:val="24"/>
            </w:rPr>
            <w:fldChar w:fldCharType="end"/>
          </w:r>
        </w:p>
        <w:p w14:paraId="640F34C3">
          <w:pPr>
            <w:pStyle w:val="2"/>
            <w:tabs>
              <w:tab w:val="right" w:leader="dot" w:pos="10107"/>
            </w:tabs>
            <w:spacing w:before="201" w:line="185" w:lineRule="auto"/>
            <w:ind w:left="2537"/>
            <w:rPr>
              <w:sz w:val="24"/>
              <w:szCs w:val="24"/>
            </w:rPr>
          </w:pPr>
          <w:r>
            <w:fldChar w:fldCharType="begin"/>
          </w:r>
          <w:r>
            <w:instrText xml:space="preserve">HYPERLINK\l"bookmark281"</w:instrText>
          </w:r>
          <w:r>
            <w:fldChar w:fldCharType="separate"/>
          </w:r>
          <w:r>
            <w:rPr>
              <w:spacing w:val="-23"/>
              <w:sz w:val="21"/>
              <w:szCs w:val="21"/>
            </w:rPr>
            <w:t>四、施工场地布置规划</w:t>
          </w:r>
          <w:r>
            <w:rPr>
              <w:sz w:val="21"/>
              <w:szCs w:val="21"/>
            </w:rPr>
            <w:tab/>
          </w:r>
          <w:r>
            <w:rPr>
              <w:spacing w:val="-7"/>
              <w:sz w:val="24"/>
              <w:szCs w:val="24"/>
            </w:rPr>
            <w:t>470</w:t>
          </w:r>
          <w:r>
            <w:rPr>
              <w:spacing w:val="-7"/>
              <w:sz w:val="24"/>
              <w:szCs w:val="24"/>
            </w:rPr>
            <w:fldChar w:fldCharType="end"/>
          </w:r>
        </w:p>
        <w:p w14:paraId="37DE00AA">
          <w:pPr>
            <w:pStyle w:val="2"/>
            <w:tabs>
              <w:tab w:val="right" w:leader="dot" w:pos="10107"/>
            </w:tabs>
            <w:spacing w:before="198" w:line="185" w:lineRule="auto"/>
            <w:ind w:left="2516"/>
            <w:rPr>
              <w:sz w:val="24"/>
              <w:szCs w:val="24"/>
            </w:rPr>
          </w:pPr>
          <w:r>
            <w:fldChar w:fldCharType="begin"/>
          </w:r>
          <w:r>
            <w:instrText xml:space="preserve">HYPERLINK\l"bookmark282"</w:instrText>
          </w:r>
          <w:r>
            <w:fldChar w:fldCharType="separate"/>
          </w:r>
          <w:r>
            <w:rPr>
              <w:spacing w:val="-21"/>
              <w:sz w:val="21"/>
              <w:szCs w:val="21"/>
            </w:rPr>
            <w:t>五、施工场地管理方案</w:t>
          </w:r>
          <w:r>
            <w:rPr>
              <w:sz w:val="21"/>
              <w:szCs w:val="21"/>
            </w:rPr>
            <w:tab/>
          </w:r>
          <w:r>
            <w:rPr>
              <w:spacing w:val="-7"/>
              <w:sz w:val="24"/>
              <w:szCs w:val="24"/>
            </w:rPr>
            <w:t>473</w:t>
          </w:r>
          <w:r>
            <w:rPr>
              <w:spacing w:val="-7"/>
              <w:sz w:val="24"/>
              <w:szCs w:val="24"/>
            </w:rPr>
            <w:fldChar w:fldCharType="end"/>
          </w:r>
        </w:p>
        <w:p w14:paraId="24C90483">
          <w:pPr>
            <w:pStyle w:val="2"/>
            <w:tabs>
              <w:tab w:val="right" w:leader="dot" w:pos="10107"/>
            </w:tabs>
            <w:spacing w:before="198" w:line="185" w:lineRule="auto"/>
            <w:ind w:left="2514"/>
            <w:rPr>
              <w:sz w:val="24"/>
              <w:szCs w:val="24"/>
            </w:rPr>
          </w:pPr>
          <w:r>
            <w:fldChar w:fldCharType="begin"/>
          </w:r>
          <w:r>
            <w:instrText xml:space="preserve">HYPERLINK\l"bookmark283"</w:instrText>
          </w:r>
          <w:r>
            <w:fldChar w:fldCharType="separate"/>
          </w:r>
          <w:r>
            <w:rPr>
              <w:spacing w:val="-22"/>
              <w:sz w:val="21"/>
              <w:szCs w:val="21"/>
            </w:rPr>
            <w:t>六、临时设施的布置</w:t>
          </w:r>
          <w:r>
            <w:rPr>
              <w:sz w:val="21"/>
              <w:szCs w:val="21"/>
            </w:rPr>
            <w:tab/>
          </w:r>
          <w:r>
            <w:rPr>
              <w:spacing w:val="-7"/>
              <w:sz w:val="24"/>
              <w:szCs w:val="24"/>
            </w:rPr>
            <w:t>473</w:t>
          </w:r>
          <w:r>
            <w:rPr>
              <w:spacing w:val="-7"/>
              <w:sz w:val="24"/>
              <w:szCs w:val="24"/>
            </w:rPr>
            <w:fldChar w:fldCharType="end"/>
          </w:r>
        </w:p>
        <w:p w14:paraId="56C6BBFA">
          <w:pPr>
            <w:pStyle w:val="2"/>
            <w:tabs>
              <w:tab w:val="right" w:leader="dot" w:pos="10107"/>
            </w:tabs>
            <w:spacing w:before="201" w:line="185" w:lineRule="auto"/>
            <w:ind w:left="2516"/>
            <w:rPr>
              <w:sz w:val="24"/>
              <w:szCs w:val="24"/>
            </w:rPr>
          </w:pPr>
          <w:r>
            <w:fldChar w:fldCharType="begin"/>
          </w:r>
          <w:r>
            <w:instrText xml:space="preserve">HYPERLINK\l"bookmark284"</w:instrText>
          </w:r>
          <w:r>
            <w:fldChar w:fldCharType="separate"/>
          </w:r>
          <w:r>
            <w:rPr>
              <w:spacing w:val="-21"/>
              <w:sz w:val="21"/>
              <w:szCs w:val="21"/>
            </w:rPr>
            <w:t>七、施工场地布置图</w:t>
          </w:r>
          <w:r>
            <w:rPr>
              <w:sz w:val="21"/>
              <w:szCs w:val="21"/>
            </w:rPr>
            <w:tab/>
          </w:r>
          <w:r>
            <w:rPr>
              <w:spacing w:val="-7"/>
              <w:sz w:val="24"/>
              <w:szCs w:val="24"/>
            </w:rPr>
            <w:t>475</w:t>
          </w:r>
          <w:r>
            <w:rPr>
              <w:spacing w:val="-7"/>
              <w:sz w:val="24"/>
              <w:szCs w:val="24"/>
            </w:rPr>
            <w:fldChar w:fldCharType="end"/>
          </w:r>
        </w:p>
        <w:p w14:paraId="612E93C1">
          <w:pPr>
            <w:pStyle w:val="2"/>
            <w:tabs>
              <w:tab w:val="right" w:leader="dot" w:pos="10109"/>
            </w:tabs>
            <w:spacing w:before="147" w:line="185" w:lineRule="auto"/>
            <w:ind w:left="1823"/>
            <w:rPr>
              <w:sz w:val="30"/>
              <w:szCs w:val="30"/>
            </w:rPr>
          </w:pPr>
          <w:r>
            <w:fldChar w:fldCharType="begin"/>
          </w:r>
          <w:r>
            <w:instrText xml:space="preserve">HYPERLINK\l"bookmark285"</w:instrText>
          </w:r>
          <w:r>
            <w:fldChar w:fldCharType="separate"/>
          </w:r>
          <w:r>
            <w:rPr>
              <w:b/>
              <w:bCs/>
              <w:color w:val="7030A0"/>
              <w:spacing w:val="-24"/>
              <w:sz w:val="21"/>
              <w:szCs w:val="21"/>
            </w:rPr>
            <w:t>第十二章、危大工程安全管理</w:t>
          </w:r>
          <w:r>
            <w:rPr>
              <w:color w:val="7030A0"/>
              <w:sz w:val="21"/>
              <w:szCs w:val="21"/>
              <w14:textOutline w14:w="5448" w14:cap="flat" w14:cmpd="sng">
                <w14:solidFill>
                  <w14:srgbClr w14:val="7030A0"/>
                </w14:solidFill>
                <w14:prstDash w14:val="solid"/>
                <w14:miter w14:val="0"/>
              </w14:textOutline>
            </w:rPr>
            <w:tab/>
          </w:r>
          <w:r>
            <w:rPr>
              <w:b/>
              <w:bCs/>
              <w:color w:val="7030A0"/>
              <w:spacing w:val="-10"/>
              <w:sz w:val="30"/>
              <w:szCs w:val="30"/>
            </w:rPr>
            <w:t>476</w:t>
          </w:r>
          <w:r>
            <w:rPr>
              <w:b/>
              <w:bCs/>
              <w:color w:val="7030A0"/>
              <w:spacing w:val="-10"/>
              <w:sz w:val="30"/>
              <w:szCs w:val="30"/>
            </w:rPr>
            <w:fldChar w:fldCharType="end"/>
          </w:r>
        </w:p>
        <w:p w14:paraId="0613C11C">
          <w:pPr>
            <w:pStyle w:val="2"/>
            <w:tabs>
              <w:tab w:val="right" w:leader="dot" w:pos="10110"/>
            </w:tabs>
            <w:spacing w:before="191" w:line="185" w:lineRule="auto"/>
            <w:ind w:left="2243"/>
            <w:rPr>
              <w:sz w:val="24"/>
              <w:szCs w:val="24"/>
            </w:rPr>
          </w:pPr>
          <w:r>
            <w:fldChar w:fldCharType="begin"/>
          </w:r>
          <w:r>
            <w:instrText xml:space="preserve">HYPERLINK\l"bookmark286"</w:instrText>
          </w:r>
          <w:r>
            <w:fldChar w:fldCharType="separate"/>
          </w:r>
          <w:r>
            <w:rPr>
              <w:b/>
              <w:bCs/>
              <w:color w:val="0070C0"/>
              <w:spacing w:val="-23"/>
              <w:sz w:val="21"/>
              <w:szCs w:val="21"/>
            </w:rPr>
            <w:t>第一节、危大危险源清单</w:t>
          </w:r>
          <w:r>
            <w:rPr>
              <w:b/>
              <w:bCs/>
              <w:color w:val="0070C0"/>
              <w:sz w:val="21"/>
              <w:szCs w:val="21"/>
              <w14:textOutline w14:w="4356" w14:cap="flat" w14:cmpd="sng">
                <w14:solidFill>
                  <w14:srgbClr w14:val="0070C0"/>
                </w14:solidFill>
                <w14:prstDash w14:val="solid"/>
                <w14:miter w14:val="0"/>
              </w14:textOutline>
            </w:rPr>
            <w:tab/>
          </w:r>
          <w:r>
            <w:rPr>
              <w:b/>
              <w:bCs/>
              <w:color w:val="0070C0"/>
              <w:spacing w:val="-9"/>
              <w:sz w:val="24"/>
              <w:szCs w:val="24"/>
            </w:rPr>
            <w:t>476</w:t>
          </w:r>
          <w:r>
            <w:rPr>
              <w:b/>
              <w:bCs/>
              <w:color w:val="0070C0"/>
              <w:spacing w:val="-9"/>
              <w:sz w:val="24"/>
              <w:szCs w:val="24"/>
            </w:rPr>
            <w:fldChar w:fldCharType="end"/>
          </w:r>
        </w:p>
        <w:p w14:paraId="49FB1DE8">
          <w:pPr>
            <w:pStyle w:val="2"/>
            <w:tabs>
              <w:tab w:val="right" w:leader="dot" w:pos="10110"/>
            </w:tabs>
            <w:spacing w:before="201" w:line="185" w:lineRule="auto"/>
            <w:ind w:left="2243"/>
            <w:rPr>
              <w:sz w:val="24"/>
              <w:szCs w:val="24"/>
            </w:rPr>
          </w:pPr>
          <w:r>
            <w:fldChar w:fldCharType="begin"/>
          </w:r>
          <w:r>
            <w:instrText xml:space="preserve">HYPERLINK\l"bookmark287"</w:instrText>
          </w:r>
          <w:r>
            <w:fldChar w:fldCharType="separate"/>
          </w:r>
          <w:r>
            <w:rPr>
              <w:b/>
              <w:bCs/>
              <w:color w:val="0070C0"/>
              <w:spacing w:val="-23"/>
              <w:sz w:val="21"/>
              <w:szCs w:val="21"/>
            </w:rPr>
            <w:t>第二节、模板工程及支撑体系专项施工方案</w:t>
          </w:r>
          <w:r>
            <w:rPr>
              <w:color w:val="0070C0"/>
              <w:sz w:val="21"/>
              <w:szCs w:val="21"/>
              <w14:textOutline w14:w="4356" w14:cap="flat" w14:cmpd="sng">
                <w14:solidFill>
                  <w14:srgbClr w14:val="0070C0"/>
                </w14:solidFill>
                <w14:prstDash w14:val="solid"/>
                <w14:miter w14:val="0"/>
              </w14:textOutline>
            </w:rPr>
            <w:tab/>
          </w:r>
          <w:r>
            <w:rPr>
              <w:b/>
              <w:bCs/>
              <w:color w:val="0070C0"/>
              <w:spacing w:val="-9"/>
              <w:sz w:val="24"/>
              <w:szCs w:val="24"/>
            </w:rPr>
            <w:t>477</w:t>
          </w:r>
          <w:r>
            <w:rPr>
              <w:b/>
              <w:bCs/>
              <w:color w:val="0070C0"/>
              <w:spacing w:val="-9"/>
              <w:sz w:val="24"/>
              <w:szCs w:val="24"/>
            </w:rPr>
            <w:fldChar w:fldCharType="end"/>
          </w:r>
        </w:p>
        <w:p w14:paraId="1359A8F4">
          <w:pPr>
            <w:pStyle w:val="2"/>
            <w:tabs>
              <w:tab w:val="right" w:leader="dot" w:pos="10110"/>
            </w:tabs>
            <w:spacing w:before="199" w:line="185" w:lineRule="auto"/>
            <w:ind w:left="2243"/>
            <w:rPr>
              <w:sz w:val="24"/>
              <w:szCs w:val="24"/>
            </w:rPr>
          </w:pPr>
          <w:r>
            <w:fldChar w:fldCharType="begin"/>
          </w:r>
          <w:r>
            <w:instrText xml:space="preserve">HYPERLINK\l"bookmark288"</w:instrText>
          </w:r>
          <w:r>
            <w:fldChar w:fldCharType="separate"/>
          </w:r>
          <w:r>
            <w:rPr>
              <w:b/>
              <w:bCs/>
              <w:color w:val="0070C0"/>
              <w:spacing w:val="-23"/>
              <w:sz w:val="21"/>
              <w:szCs w:val="21"/>
            </w:rPr>
            <w:t>第三节、起重吊装及安装拆除工程专项施工方案</w:t>
          </w:r>
          <w:r>
            <w:rPr>
              <w:b/>
              <w:bCs/>
              <w:color w:val="0070C0"/>
              <w:sz w:val="21"/>
              <w:szCs w:val="21"/>
              <w14:textOutline w14:w="4356" w14:cap="flat" w14:cmpd="sng">
                <w14:solidFill>
                  <w14:srgbClr w14:val="0070C0"/>
                </w14:solidFill>
                <w14:prstDash w14:val="solid"/>
                <w14:miter w14:val="0"/>
              </w14:textOutline>
            </w:rPr>
            <w:tab/>
          </w:r>
          <w:r>
            <w:rPr>
              <w:b/>
              <w:bCs/>
              <w:color w:val="0070C0"/>
              <w:spacing w:val="-9"/>
              <w:sz w:val="24"/>
              <w:szCs w:val="24"/>
            </w:rPr>
            <w:t>477</w:t>
          </w:r>
          <w:r>
            <w:rPr>
              <w:b/>
              <w:bCs/>
              <w:color w:val="0070C0"/>
              <w:spacing w:val="-9"/>
              <w:sz w:val="24"/>
              <w:szCs w:val="24"/>
            </w:rPr>
            <w:fldChar w:fldCharType="end"/>
          </w:r>
        </w:p>
        <w:p w14:paraId="04135A19">
          <w:pPr>
            <w:pStyle w:val="2"/>
            <w:tabs>
              <w:tab w:val="right" w:leader="dot" w:pos="10110"/>
            </w:tabs>
            <w:spacing w:before="199" w:line="185" w:lineRule="auto"/>
            <w:ind w:left="2243"/>
            <w:rPr>
              <w:sz w:val="24"/>
              <w:szCs w:val="24"/>
            </w:rPr>
          </w:pPr>
          <w:r>
            <w:fldChar w:fldCharType="begin"/>
          </w:r>
          <w:r>
            <w:instrText xml:space="preserve">HYPERLINK\l"bookmark289"</w:instrText>
          </w:r>
          <w:r>
            <w:fldChar w:fldCharType="separate"/>
          </w:r>
          <w:r>
            <w:rPr>
              <w:b/>
              <w:bCs/>
              <w:color w:val="0070C0"/>
              <w:spacing w:val="-23"/>
              <w:sz w:val="21"/>
              <w:szCs w:val="21"/>
            </w:rPr>
            <w:t>第四节、拆除工程专项施工方案</w:t>
          </w:r>
          <w:r>
            <w:rPr>
              <w:b/>
              <w:bCs/>
              <w:color w:val="0070C0"/>
              <w:sz w:val="21"/>
              <w:szCs w:val="21"/>
              <w14:textOutline w14:w="4356" w14:cap="flat" w14:cmpd="sng">
                <w14:solidFill>
                  <w14:srgbClr w14:val="0070C0"/>
                </w14:solidFill>
                <w14:prstDash w14:val="solid"/>
                <w14:miter w14:val="0"/>
              </w14:textOutline>
            </w:rPr>
            <w:tab/>
          </w:r>
          <w:r>
            <w:rPr>
              <w:b/>
              <w:bCs/>
              <w:color w:val="0070C0"/>
              <w:spacing w:val="-9"/>
              <w:sz w:val="24"/>
              <w:szCs w:val="24"/>
            </w:rPr>
            <w:t>480</w:t>
          </w:r>
          <w:r>
            <w:rPr>
              <w:b/>
              <w:bCs/>
              <w:color w:val="0070C0"/>
              <w:spacing w:val="-9"/>
              <w:sz w:val="24"/>
              <w:szCs w:val="24"/>
            </w:rPr>
            <w:fldChar w:fldCharType="end"/>
          </w:r>
        </w:p>
        <w:p w14:paraId="74CEF4A9">
          <w:pPr>
            <w:pStyle w:val="2"/>
            <w:tabs>
              <w:tab w:val="right" w:leader="dot" w:pos="10107"/>
            </w:tabs>
            <w:spacing w:before="201" w:line="185" w:lineRule="auto"/>
            <w:ind w:left="2516"/>
            <w:rPr>
              <w:sz w:val="24"/>
              <w:szCs w:val="24"/>
            </w:rPr>
          </w:pPr>
          <w:r>
            <w:fldChar w:fldCharType="begin"/>
          </w:r>
          <w:r>
            <w:instrText xml:space="preserve">HYPERLINK\l"bookmark290"</w:instrText>
          </w:r>
          <w:r>
            <w:fldChar w:fldCharType="separate"/>
          </w:r>
          <w:r>
            <w:rPr>
              <w:spacing w:val="-20"/>
              <w:sz w:val="21"/>
              <w:szCs w:val="21"/>
            </w:rPr>
            <w:t>一、施工测量</w:t>
          </w:r>
          <w:r>
            <w:rPr>
              <w:sz w:val="21"/>
              <w:szCs w:val="21"/>
            </w:rPr>
            <w:tab/>
          </w:r>
          <w:r>
            <w:rPr>
              <w:spacing w:val="-7"/>
              <w:sz w:val="24"/>
              <w:szCs w:val="24"/>
            </w:rPr>
            <w:t>480</w:t>
          </w:r>
          <w:r>
            <w:rPr>
              <w:spacing w:val="-7"/>
              <w:sz w:val="24"/>
              <w:szCs w:val="24"/>
            </w:rPr>
            <w:fldChar w:fldCharType="end"/>
          </w:r>
        </w:p>
        <w:p w14:paraId="706A8B40">
          <w:pPr>
            <w:pStyle w:val="2"/>
            <w:tabs>
              <w:tab w:val="right" w:leader="dot" w:pos="10107"/>
            </w:tabs>
            <w:spacing w:before="199" w:line="185" w:lineRule="auto"/>
            <w:ind w:left="2519"/>
            <w:rPr>
              <w:sz w:val="24"/>
              <w:szCs w:val="24"/>
            </w:rPr>
          </w:pPr>
          <w:r>
            <w:fldChar w:fldCharType="begin"/>
          </w:r>
          <w:r>
            <w:instrText xml:space="preserve">HYPERLINK\l"bookmark291"</w:instrText>
          </w:r>
          <w:r>
            <w:fldChar w:fldCharType="separate"/>
          </w:r>
          <w:r>
            <w:rPr>
              <w:spacing w:val="-21"/>
              <w:sz w:val="21"/>
              <w:szCs w:val="21"/>
            </w:rPr>
            <w:t>二、路面拆除</w:t>
          </w:r>
          <w:r>
            <w:rPr>
              <w:sz w:val="21"/>
              <w:szCs w:val="21"/>
            </w:rPr>
            <w:tab/>
          </w:r>
          <w:r>
            <w:rPr>
              <w:spacing w:val="-7"/>
              <w:sz w:val="24"/>
              <w:szCs w:val="24"/>
            </w:rPr>
            <w:t>481</w:t>
          </w:r>
          <w:r>
            <w:rPr>
              <w:spacing w:val="-7"/>
              <w:sz w:val="24"/>
              <w:szCs w:val="24"/>
            </w:rPr>
            <w:fldChar w:fldCharType="end"/>
          </w:r>
        </w:p>
        <w:p w14:paraId="5E49311D">
          <w:pPr>
            <w:pStyle w:val="2"/>
            <w:tabs>
              <w:tab w:val="right" w:leader="dot" w:pos="10109"/>
            </w:tabs>
            <w:spacing w:before="147" w:line="185" w:lineRule="auto"/>
            <w:ind w:left="1823"/>
            <w:rPr>
              <w:sz w:val="30"/>
              <w:szCs w:val="30"/>
            </w:rPr>
          </w:pPr>
          <w:r>
            <w:fldChar w:fldCharType="begin"/>
          </w:r>
          <w:r>
            <w:instrText xml:space="preserve">HYPERLINK\l"bookmark292"</w:instrText>
          </w:r>
          <w:r>
            <w:fldChar w:fldCharType="separate"/>
          </w:r>
          <w:r>
            <w:rPr>
              <w:b/>
              <w:bCs/>
              <w:color w:val="7030A0"/>
              <w:spacing w:val="-24"/>
              <w:sz w:val="21"/>
              <w:szCs w:val="21"/>
            </w:rPr>
            <w:t>附表一：拟投入本标段的主要施工设备表</w:t>
          </w:r>
          <w:r>
            <w:rPr>
              <w:b/>
              <w:bCs/>
              <w:color w:val="7030A0"/>
              <w:sz w:val="21"/>
              <w:szCs w:val="21"/>
              <w14:textOutline w14:w="5448" w14:cap="flat" w14:cmpd="sng">
                <w14:solidFill>
                  <w14:srgbClr w14:val="7030A0"/>
                </w14:solidFill>
                <w14:prstDash w14:val="solid"/>
                <w14:miter w14:val="0"/>
              </w14:textOutline>
            </w:rPr>
            <w:tab/>
          </w:r>
          <w:r>
            <w:rPr>
              <w:b/>
              <w:bCs/>
              <w:color w:val="7030A0"/>
              <w:spacing w:val="-10"/>
              <w:sz w:val="30"/>
              <w:szCs w:val="30"/>
            </w:rPr>
            <w:t>486</w:t>
          </w:r>
          <w:r>
            <w:rPr>
              <w:b/>
              <w:bCs/>
              <w:color w:val="7030A0"/>
              <w:spacing w:val="-10"/>
              <w:sz w:val="30"/>
              <w:szCs w:val="30"/>
            </w:rPr>
            <w:fldChar w:fldCharType="end"/>
          </w:r>
        </w:p>
        <w:p w14:paraId="1AE7FD7C">
          <w:pPr>
            <w:pStyle w:val="2"/>
            <w:tabs>
              <w:tab w:val="right" w:leader="dot" w:pos="10109"/>
            </w:tabs>
            <w:spacing w:before="141" w:line="185" w:lineRule="auto"/>
            <w:ind w:left="1823"/>
            <w:rPr>
              <w:sz w:val="30"/>
              <w:szCs w:val="30"/>
            </w:rPr>
          </w:pPr>
          <w:r>
            <w:fldChar w:fldCharType="begin"/>
          </w:r>
          <w:r>
            <w:instrText xml:space="preserve">HYPERLINK\l"bookmark293"</w:instrText>
          </w:r>
          <w:r>
            <w:fldChar w:fldCharType="separate"/>
          </w:r>
          <w:r>
            <w:rPr>
              <w:b/>
              <w:bCs/>
              <w:color w:val="7030A0"/>
              <w:spacing w:val="-24"/>
              <w:sz w:val="21"/>
              <w:szCs w:val="21"/>
            </w:rPr>
            <w:t>附表二：拟配备本标段的试验和检测仪器设备表</w:t>
          </w:r>
          <w:r>
            <w:rPr>
              <w:b/>
              <w:bCs/>
              <w:color w:val="7030A0"/>
              <w:sz w:val="21"/>
              <w:szCs w:val="21"/>
              <w14:textOutline w14:w="5448" w14:cap="flat" w14:cmpd="sng">
                <w14:solidFill>
                  <w14:srgbClr w14:val="7030A0"/>
                </w14:solidFill>
                <w14:prstDash w14:val="solid"/>
                <w14:miter w14:val="0"/>
              </w14:textOutline>
            </w:rPr>
            <w:tab/>
          </w:r>
          <w:r>
            <w:rPr>
              <w:b/>
              <w:bCs/>
              <w:color w:val="7030A0"/>
              <w:spacing w:val="-10"/>
              <w:sz w:val="30"/>
              <w:szCs w:val="30"/>
            </w:rPr>
            <w:t>489</w:t>
          </w:r>
          <w:r>
            <w:rPr>
              <w:b/>
              <w:bCs/>
              <w:color w:val="7030A0"/>
              <w:spacing w:val="-10"/>
              <w:sz w:val="30"/>
              <w:szCs w:val="30"/>
            </w:rPr>
            <w:fldChar w:fldCharType="end"/>
          </w:r>
        </w:p>
        <w:p w14:paraId="04070DBF">
          <w:pPr>
            <w:pStyle w:val="2"/>
            <w:tabs>
              <w:tab w:val="right" w:leader="dot" w:pos="10109"/>
            </w:tabs>
            <w:spacing w:before="138" w:line="185" w:lineRule="auto"/>
            <w:ind w:left="1823"/>
            <w:rPr>
              <w:sz w:val="30"/>
              <w:szCs w:val="30"/>
            </w:rPr>
          </w:pPr>
          <w:r>
            <w:fldChar w:fldCharType="begin"/>
          </w:r>
          <w:r>
            <w:instrText xml:space="preserve">HYPERLINK\l"bookmark294"</w:instrText>
          </w:r>
          <w:r>
            <w:fldChar w:fldCharType="separate"/>
          </w:r>
          <w:r>
            <w:rPr>
              <w:b/>
              <w:bCs/>
              <w:color w:val="7030A0"/>
              <w:spacing w:val="-24"/>
              <w:sz w:val="21"/>
              <w:szCs w:val="21"/>
            </w:rPr>
            <w:t>附表三：劳动力计划表</w:t>
          </w:r>
          <w:r>
            <w:rPr>
              <w:color w:val="7030A0"/>
              <w:sz w:val="21"/>
              <w:szCs w:val="21"/>
              <w14:textOutline w14:w="5448" w14:cap="flat" w14:cmpd="sng">
                <w14:solidFill>
                  <w14:srgbClr w14:val="7030A0"/>
                </w14:solidFill>
                <w14:prstDash w14:val="solid"/>
                <w14:miter w14:val="0"/>
              </w14:textOutline>
            </w:rPr>
            <w:tab/>
          </w:r>
          <w:r>
            <w:rPr>
              <w:b/>
              <w:bCs/>
              <w:color w:val="7030A0"/>
              <w:spacing w:val="-10"/>
              <w:sz w:val="30"/>
              <w:szCs w:val="30"/>
            </w:rPr>
            <w:t>491</w:t>
          </w:r>
          <w:r>
            <w:rPr>
              <w:b/>
              <w:bCs/>
              <w:color w:val="7030A0"/>
              <w:spacing w:val="-10"/>
              <w:sz w:val="30"/>
              <w:szCs w:val="30"/>
            </w:rPr>
            <w:fldChar w:fldCharType="end"/>
          </w:r>
        </w:p>
        <w:p w14:paraId="571074AF">
          <w:pPr>
            <w:pStyle w:val="2"/>
            <w:tabs>
              <w:tab w:val="right" w:leader="dot" w:pos="10109"/>
            </w:tabs>
            <w:spacing w:before="139" w:line="185" w:lineRule="auto"/>
            <w:ind w:left="1823"/>
            <w:rPr>
              <w:sz w:val="30"/>
              <w:szCs w:val="30"/>
            </w:rPr>
          </w:pPr>
          <w:r>
            <w:fldChar w:fldCharType="begin"/>
          </w:r>
          <w:r>
            <w:instrText xml:space="preserve">HYPERLINK\l"bookmark295"</w:instrText>
          </w:r>
          <w:r>
            <w:fldChar w:fldCharType="separate"/>
          </w:r>
          <w:r>
            <w:rPr>
              <w:b/>
              <w:bCs/>
              <w:color w:val="7030A0"/>
              <w:spacing w:val="-24"/>
              <w:sz w:val="21"/>
              <w:szCs w:val="21"/>
            </w:rPr>
            <w:t>附表四：施工进度网络图</w:t>
          </w:r>
          <w:r>
            <w:rPr>
              <w:color w:val="7030A0"/>
              <w:sz w:val="21"/>
              <w:szCs w:val="21"/>
              <w14:textOutline w14:w="5448" w14:cap="flat" w14:cmpd="sng">
                <w14:solidFill>
                  <w14:srgbClr w14:val="7030A0"/>
                </w14:solidFill>
                <w14:prstDash w14:val="solid"/>
                <w14:miter w14:val="0"/>
              </w14:textOutline>
            </w:rPr>
            <w:tab/>
          </w:r>
          <w:r>
            <w:rPr>
              <w:b/>
              <w:bCs/>
              <w:color w:val="7030A0"/>
              <w:spacing w:val="-10"/>
              <w:sz w:val="30"/>
              <w:szCs w:val="30"/>
            </w:rPr>
            <w:t>493</w:t>
          </w:r>
          <w:r>
            <w:rPr>
              <w:b/>
              <w:bCs/>
              <w:color w:val="7030A0"/>
              <w:spacing w:val="-10"/>
              <w:sz w:val="30"/>
              <w:szCs w:val="30"/>
            </w:rPr>
            <w:fldChar w:fldCharType="end"/>
          </w:r>
        </w:p>
        <w:p w14:paraId="61E7FDF7">
          <w:pPr>
            <w:pStyle w:val="2"/>
            <w:tabs>
              <w:tab w:val="right" w:leader="dot" w:pos="10109"/>
            </w:tabs>
            <w:spacing w:before="141" w:line="185" w:lineRule="auto"/>
            <w:ind w:left="1823"/>
            <w:rPr>
              <w:sz w:val="30"/>
              <w:szCs w:val="30"/>
            </w:rPr>
          </w:pPr>
          <w:r>
            <w:fldChar w:fldCharType="begin"/>
          </w:r>
          <w:r>
            <w:instrText xml:space="preserve">HYPERLINK\l"bookmark296"</w:instrText>
          </w:r>
          <w:r>
            <w:fldChar w:fldCharType="separate"/>
          </w:r>
          <w:r>
            <w:rPr>
              <w:b/>
              <w:bCs/>
              <w:color w:val="7030A0"/>
              <w:spacing w:val="-24"/>
              <w:sz w:val="21"/>
              <w:szCs w:val="21"/>
            </w:rPr>
            <w:t>附表五：施工总平面布置图</w:t>
          </w:r>
          <w:r>
            <w:rPr>
              <w:b/>
              <w:bCs/>
              <w:color w:val="7030A0"/>
              <w:sz w:val="21"/>
              <w:szCs w:val="21"/>
              <w14:textOutline w14:w="5448" w14:cap="flat" w14:cmpd="sng">
                <w14:solidFill>
                  <w14:srgbClr w14:val="7030A0"/>
                </w14:solidFill>
                <w14:prstDash w14:val="solid"/>
                <w14:miter w14:val="0"/>
              </w14:textOutline>
            </w:rPr>
            <w:tab/>
          </w:r>
          <w:r>
            <w:rPr>
              <w:b/>
              <w:bCs/>
              <w:color w:val="7030A0"/>
              <w:spacing w:val="-10"/>
              <w:sz w:val="30"/>
              <w:szCs w:val="30"/>
            </w:rPr>
            <w:t>495</w:t>
          </w:r>
          <w:r>
            <w:rPr>
              <w:b/>
              <w:bCs/>
              <w:color w:val="7030A0"/>
              <w:spacing w:val="-10"/>
              <w:sz w:val="30"/>
              <w:szCs w:val="30"/>
            </w:rPr>
            <w:fldChar w:fldCharType="end"/>
          </w:r>
        </w:p>
        <w:p w14:paraId="4E87FCC3">
          <w:pPr>
            <w:pStyle w:val="2"/>
            <w:tabs>
              <w:tab w:val="right" w:leader="dot" w:pos="10109"/>
            </w:tabs>
            <w:spacing w:before="139" w:line="225" w:lineRule="auto"/>
            <w:ind w:left="1823"/>
            <w:rPr>
              <w:sz w:val="30"/>
              <w:szCs w:val="30"/>
            </w:rPr>
          </w:pPr>
          <w:r>
            <w:fldChar w:fldCharType="begin"/>
          </w:r>
          <w:r>
            <w:instrText xml:space="preserve">HYPERLINK\l"bookmark297"</w:instrText>
          </w:r>
          <w:r>
            <w:fldChar w:fldCharType="separate"/>
          </w:r>
          <w:r>
            <w:rPr>
              <w:b/>
              <w:bCs/>
              <w:color w:val="7030A0"/>
              <w:spacing w:val="-24"/>
              <w:sz w:val="21"/>
              <w:szCs w:val="21"/>
            </w:rPr>
            <w:t>附表六：临时用地表</w:t>
          </w:r>
          <w:r>
            <w:rPr>
              <w:b/>
              <w:bCs/>
              <w:color w:val="7030A0"/>
              <w:sz w:val="21"/>
              <w:szCs w:val="21"/>
              <w14:textOutline w14:w="5448" w14:cap="flat" w14:cmpd="sng">
                <w14:solidFill>
                  <w14:srgbClr w14:val="7030A0"/>
                </w14:solidFill>
                <w14:prstDash w14:val="solid"/>
                <w14:miter w14:val="0"/>
              </w14:textOutline>
            </w:rPr>
            <w:tab/>
          </w:r>
          <w:r>
            <w:rPr>
              <w:b/>
              <w:bCs/>
              <w:color w:val="7030A0"/>
              <w:spacing w:val="-10"/>
              <w:sz w:val="30"/>
              <w:szCs w:val="30"/>
            </w:rPr>
            <w:t>498</w:t>
          </w:r>
          <w:r>
            <w:rPr>
              <w:b/>
              <w:bCs/>
              <w:color w:val="7030A0"/>
              <w:spacing w:val="-10"/>
              <w:sz w:val="30"/>
              <w:szCs w:val="30"/>
            </w:rPr>
            <w:fldChar w:fldCharType="end"/>
          </w:r>
        </w:p>
      </w:sdtContent>
    </w:sdt>
    <w:p w14:paraId="2B1F778F">
      <w:pPr>
        <w:spacing w:line="225" w:lineRule="auto"/>
        <w:rPr>
          <w:sz w:val="30"/>
          <w:szCs w:val="30"/>
        </w:rPr>
        <w:sectPr>
          <w:footerReference r:id="rId17" w:type="default"/>
          <w:pgSz w:w="11907" w:h="16839"/>
          <w:pgMar w:top="1018" w:right="3" w:bottom="1179" w:left="0" w:header="562" w:footer="498" w:gutter="0"/>
          <w:pgBorders>
            <w:top w:val="none" w:sz="0" w:space="0"/>
            <w:left w:val="none" w:sz="0" w:space="0"/>
            <w:bottom w:val="none" w:sz="0" w:space="0"/>
            <w:right w:val="none" w:sz="0" w:space="0"/>
          </w:pgBorders>
          <w:cols w:space="720" w:num="1"/>
        </w:sectPr>
      </w:pPr>
    </w:p>
    <w:p w14:paraId="38F4AB4A">
      <w:pPr>
        <w:pStyle w:val="2"/>
        <w:spacing w:before="101" w:line="224" w:lineRule="auto"/>
        <w:ind w:left="4790"/>
        <w:outlineLvl w:val="0"/>
        <w:rPr>
          <w:sz w:val="31"/>
          <w:szCs w:val="31"/>
        </w:rPr>
      </w:pPr>
      <w:bookmarkStart w:id="1" w:name="bookmark3"/>
      <w:bookmarkEnd w:id="1"/>
      <w:bookmarkStart w:id="2" w:name="bookmark4"/>
      <w:bookmarkEnd w:id="2"/>
      <w:r>
        <w:rPr>
          <w:b/>
          <w:bCs/>
          <w:color w:val="7030A0"/>
          <w:spacing w:val="-15"/>
          <w:sz w:val="31"/>
          <w:szCs w:val="31"/>
        </w:rPr>
        <w:t>第一章、工程概况</w:t>
      </w:r>
    </w:p>
    <w:p w14:paraId="082E57B8">
      <w:pPr>
        <w:pStyle w:val="2"/>
        <w:spacing w:before="40" w:line="217" w:lineRule="auto"/>
        <w:ind w:left="4869"/>
        <w:outlineLvl w:val="1"/>
        <w:rPr>
          <w:sz w:val="30"/>
          <w:szCs w:val="30"/>
        </w:rPr>
      </w:pPr>
      <w:bookmarkStart w:id="3" w:name="bookmark298"/>
      <w:bookmarkEnd w:id="3"/>
      <w:r>
        <w:rPr>
          <w:b/>
          <w:bCs/>
          <w:color w:val="0070C0"/>
          <w:spacing w:val="-24"/>
          <w:sz w:val="30"/>
          <w:szCs w:val="30"/>
        </w:rPr>
        <w:t>第一节、编制说明</w:t>
      </w:r>
    </w:p>
    <w:p w14:paraId="248D1245">
      <w:pPr>
        <w:pStyle w:val="2"/>
        <w:spacing w:before="97" w:line="308" w:lineRule="auto"/>
        <w:ind w:left="1819" w:right="1774" w:firstLine="434"/>
        <w:jc w:val="both"/>
        <w:rPr>
          <w:sz w:val="24"/>
          <w:szCs w:val="24"/>
        </w:rPr>
      </w:pPr>
      <w:r>
        <w:rPr>
          <w:spacing w:val="-21"/>
          <w:sz w:val="24"/>
          <w:szCs w:val="24"/>
        </w:rPr>
        <w:t>本工程施工组织设计是根据业主招标文件、答疑文件要求</w:t>
      </w:r>
      <w:r>
        <w:rPr>
          <w:spacing w:val="-22"/>
          <w:sz w:val="24"/>
          <w:szCs w:val="24"/>
        </w:rPr>
        <w:t>以及对现场的实地踏勘，</w:t>
      </w:r>
      <w:r>
        <w:rPr>
          <w:spacing w:val="-21"/>
          <w:sz w:val="24"/>
          <w:szCs w:val="24"/>
        </w:rPr>
        <w:t>结合我公司多年来对类似项目施工技术的研究，加之我</w:t>
      </w:r>
      <w:r>
        <w:rPr>
          <w:spacing w:val="-22"/>
          <w:sz w:val="24"/>
          <w:szCs w:val="24"/>
        </w:rPr>
        <w:t>公司人员、技术、装备和管理等</w:t>
      </w:r>
      <w:r>
        <w:rPr>
          <w:spacing w:val="-21"/>
          <w:sz w:val="24"/>
          <w:szCs w:val="24"/>
        </w:rPr>
        <w:t>综合水平与实力编制而成的。</w:t>
      </w:r>
    </w:p>
    <w:p w14:paraId="749B45FD">
      <w:pPr>
        <w:pStyle w:val="2"/>
        <w:spacing w:before="4" w:line="307" w:lineRule="auto"/>
        <w:ind w:left="1814" w:right="1714" w:firstLine="437"/>
        <w:jc w:val="both"/>
        <w:rPr>
          <w:sz w:val="24"/>
          <w:szCs w:val="24"/>
        </w:rPr>
      </w:pPr>
      <w:r>
        <w:rPr>
          <w:spacing w:val="-21"/>
          <w:sz w:val="24"/>
          <w:szCs w:val="24"/>
        </w:rPr>
        <w:t>衷心感谢</w:t>
      </w:r>
      <w:r>
        <w:rPr>
          <w:rFonts w:hint="eastAsia"/>
          <w:spacing w:val="-21"/>
          <w:sz w:val="24"/>
          <w:szCs w:val="24"/>
          <w:lang w:eastAsia="zh-CN"/>
        </w:rPr>
        <w:t>某市水务集团</w:t>
      </w:r>
      <w:r>
        <w:rPr>
          <w:spacing w:val="-21"/>
          <w:sz w:val="24"/>
          <w:szCs w:val="24"/>
        </w:rPr>
        <w:t>有限公司给予我司参与本工程竞标的机会!我们倍感珍惜,精</w:t>
      </w:r>
      <w:r>
        <w:rPr>
          <w:spacing w:val="-25"/>
          <w:sz w:val="24"/>
          <w:szCs w:val="24"/>
        </w:rPr>
        <w:t>心组织管理人员认真编制了本施工组织设计。真诚期待合作</w:t>
      </w:r>
      <w:r>
        <w:rPr>
          <w:spacing w:val="-26"/>
          <w:sz w:val="24"/>
          <w:szCs w:val="24"/>
        </w:rPr>
        <w:t>，我们将发挥公司创新优势，</w:t>
      </w:r>
      <w:r>
        <w:rPr>
          <w:spacing w:val="-22"/>
          <w:sz w:val="24"/>
          <w:szCs w:val="24"/>
        </w:rPr>
        <w:t>以优厚的技术实力、成熟的类似项目施工经验和成功的总承包管理理念运用于</w:t>
      </w:r>
      <w:r>
        <w:rPr>
          <w:rFonts w:hint="eastAsia"/>
          <w:spacing w:val="-22"/>
          <w:sz w:val="24"/>
          <w:szCs w:val="24"/>
          <w:lang w:eastAsia="zh-CN"/>
        </w:rPr>
        <w:t>某路</w:t>
      </w:r>
      <w:r>
        <w:rPr>
          <w:spacing w:val="-20"/>
          <w:sz w:val="24"/>
          <w:szCs w:val="24"/>
        </w:rPr>
        <w:t>供水管道工程施工，充分保障本工程建设的顺利进行。</w:t>
      </w:r>
    </w:p>
    <w:p w14:paraId="74EF5008">
      <w:pPr>
        <w:pStyle w:val="2"/>
        <w:spacing w:before="3" w:line="307" w:lineRule="auto"/>
        <w:ind w:left="1815" w:right="1775" w:firstLine="437"/>
        <w:jc w:val="both"/>
        <w:rPr>
          <w:sz w:val="24"/>
          <w:szCs w:val="24"/>
        </w:rPr>
      </w:pPr>
      <w:r>
        <w:rPr>
          <w:spacing w:val="-21"/>
          <w:sz w:val="24"/>
          <w:szCs w:val="24"/>
        </w:rPr>
        <w:t>若如愿中标，我们将在此基础上依据合同要求，进一步按</w:t>
      </w:r>
      <w:r>
        <w:rPr>
          <w:spacing w:val="-22"/>
          <w:sz w:val="24"/>
          <w:szCs w:val="24"/>
        </w:rPr>
        <w:t>照设计文件、技术规范和</w:t>
      </w:r>
      <w:r>
        <w:rPr>
          <w:spacing w:val="-21"/>
          <w:sz w:val="24"/>
          <w:szCs w:val="24"/>
        </w:rPr>
        <w:t>标准提供详细的实施性施工组织设计，并严格按照经过批准的</w:t>
      </w:r>
      <w:r>
        <w:rPr>
          <w:spacing w:val="-22"/>
          <w:sz w:val="24"/>
          <w:szCs w:val="24"/>
        </w:rPr>
        <w:t>施工组织设计进行施工，</w:t>
      </w:r>
      <w:r>
        <w:rPr>
          <w:spacing w:val="-20"/>
          <w:sz w:val="24"/>
          <w:szCs w:val="24"/>
        </w:rPr>
        <w:t>确保工程优质、高效实施。</w:t>
      </w:r>
    </w:p>
    <w:p w14:paraId="4BE1EBAC">
      <w:pPr>
        <w:pStyle w:val="2"/>
        <w:spacing w:before="5" w:line="289" w:lineRule="auto"/>
        <w:ind w:left="1805" w:right="1773" w:firstLine="446"/>
        <w:jc w:val="both"/>
        <w:rPr>
          <w:sz w:val="24"/>
          <w:szCs w:val="24"/>
        </w:rPr>
      </w:pPr>
      <w:r>
        <w:pict>
          <v:shape id="_x0000_s1033" o:spid="_x0000_s1033" style="position:absolute;left:0pt;margin-left:233.8pt;margin-top:95.85pt;height:0.75pt;width:2.2pt;z-index:251661312;mso-width-relative:page;mso-height-relative:page;" fillcolor="#1C456A" filled="t" stroked="f" coordsize="44,15" path="m0,14l43,14,43,0,0,0,0,14xe">
            <v:path/>
            <v:fill on="t" focussize="0,0"/>
            <v:stroke on="f"/>
            <v:imagedata o:title=""/>
            <o:lock v:ext="edit"/>
          </v:shape>
        </w:pict>
      </w:r>
      <w:r>
        <w:rPr>
          <w:spacing w:val="-21"/>
          <w:sz w:val="24"/>
          <w:szCs w:val="24"/>
        </w:rPr>
        <w:t>施工组织设计是指导施工活动的重要技术、经济文件。本施</w:t>
      </w:r>
      <w:r>
        <w:rPr>
          <w:spacing w:val="-22"/>
          <w:sz w:val="24"/>
          <w:szCs w:val="24"/>
        </w:rPr>
        <w:t>工组织设计编写时结合</w:t>
      </w:r>
      <w:r>
        <w:rPr>
          <w:rFonts w:hint="eastAsia"/>
          <w:spacing w:val="-22"/>
          <w:sz w:val="24"/>
          <w:szCs w:val="24"/>
          <w:lang w:eastAsia="zh-CN"/>
        </w:rPr>
        <w:t>某路供水管道工程施工</w:t>
      </w:r>
      <w:r>
        <w:rPr>
          <w:spacing w:val="-22"/>
          <w:sz w:val="24"/>
          <w:szCs w:val="24"/>
        </w:rPr>
        <w:t>施工工期紧、现场交叉作业安</w:t>
      </w:r>
      <w:r>
        <w:rPr>
          <w:spacing w:val="-21"/>
          <w:sz w:val="24"/>
          <w:szCs w:val="24"/>
        </w:rPr>
        <w:t>全隐患大、协调难度大、多位置同时施工、分段试压冲洗多、迁改多，停水施工多；等施工特点，力求前期策划管理全面、重点突出、方法得当、工艺先进。本施工组织设计</w:t>
      </w:r>
      <w:r>
        <w:rPr>
          <w:spacing w:val="-20"/>
          <w:sz w:val="24"/>
          <w:szCs w:val="24"/>
        </w:rPr>
        <w:t>编制时必须满足下表的要求。</w:t>
      </w:r>
    </w:p>
    <w:tbl>
      <w:tblPr>
        <w:tblStyle w:val="6"/>
        <w:tblW w:w="9673" w:type="dxa"/>
        <w:tblInd w:w="1116"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19"/>
        <w:gridCol w:w="641"/>
        <w:gridCol w:w="2707"/>
        <w:gridCol w:w="1433"/>
        <w:gridCol w:w="4581"/>
        <w:gridCol w:w="92"/>
      </w:tblGrid>
      <w:tr w14:paraId="00A612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2" w:hRule="atLeast"/>
        </w:trPr>
        <w:tc>
          <w:tcPr>
            <w:tcW w:w="860" w:type="dxa"/>
            <w:gridSpan w:val="2"/>
            <w:tcBorders>
              <w:top w:val="single" w:color="000000" w:sz="4" w:space="0"/>
              <w:left w:val="single" w:color="000000" w:sz="4" w:space="0"/>
            </w:tcBorders>
            <w:shd w:val="clear" w:color="auto" w:fill="DEEAF6"/>
            <w:vAlign w:val="top"/>
          </w:tcPr>
          <w:p w14:paraId="050D0D69">
            <w:pPr>
              <w:spacing w:line="93" w:lineRule="exact"/>
            </w:pPr>
            <w:r>
              <w:rPr>
                <w:position w:val="-1"/>
              </w:rPr>
              <w:pict>
                <v:group id="_x0000_s1034" o:spid="_x0000_s1034" o:spt="203" style="height:5.2pt;width:44.8pt;" coordsize="895,103">
                  <o:lock v:ext="edit"/>
                  <v:shape id="_x0000_s1035" o:spid="_x0000_s1035" style="position:absolute;left:0;top:0;height:15;width:44;" fillcolor="#5B9BD5" filled="t" stroked="f" coordsize="44,15" path="m0,14l43,14,43,0,0,0,0,14xe">
                    <v:path/>
                    <v:fill on="t" focussize="0,0"/>
                    <v:stroke on="f"/>
                    <v:imagedata o:title=""/>
                    <o:lock v:ext="edit"/>
                  </v:shape>
                  <v:shape id="_x0000_s1036" o:spid="_x0000_s1036" style="position:absolute;left:43;top:43;height:60;width:810;" fillcolor="#DEEAF6" filled="t" stroked="f" coordsize="810,60" path="m0,60l809,60,809,0,0,0,0,60xe">
                    <v:path/>
                    <v:fill on="t" focussize="0,0"/>
                    <v:stroke on="f"/>
                    <v:imagedata o:title=""/>
                    <o:lock v:ext="edit"/>
                  </v:shape>
                  <v:shape id="_x0000_s1037" o:spid="_x0000_s1037" style="position:absolute;left:852;top:0;height:15;width:44;" fillcolor="#5B9BD5" filled="t" stroked="f" coordsize="44,15" path="m0,14l43,14,43,0,0,0,0,14xe">
                    <v:path/>
                    <v:fill on="t" focussize="0,0"/>
                    <v:stroke on="f"/>
                    <v:imagedata o:title=""/>
                    <o:lock v:ext="edit"/>
                  </v:shape>
                  <v:shape id="_x0000_s1038" o:spid="_x0000_s1038" style="position:absolute;left:852;top:14;height:15;width:44;" fillcolor="#20507B" filled="t" stroked="f" coordsize="44,15" path="m0,14l43,14,43,0,0,0,0,14xe">
                    <v:path/>
                    <v:fill on="t" focussize="0,0"/>
                    <v:stroke on="f"/>
                    <v:imagedata o:title=""/>
                    <o:lock v:ext="edit"/>
                  </v:shape>
                  <v:shape id="_x0000_s1039" o:spid="_x0000_s1039" style="position:absolute;left:852;top:28;height:15;width:44;" fillcolor="#1C456A" filled="t" stroked="f" coordsize="44,15" path="m0,14l43,14,43,0,0,0,0,14xe">
                    <v:path/>
                    <v:fill on="t" focussize="0,0"/>
                    <v:stroke on="f"/>
                    <v:imagedata o:title=""/>
                    <o:lock v:ext="edit"/>
                  </v:shape>
                  <w10:wrap type="none"/>
                  <w10:anchorlock/>
                </v:group>
              </w:pict>
            </w:r>
          </w:p>
          <w:p w14:paraId="4703B408">
            <w:pPr>
              <w:pStyle w:val="7"/>
              <w:spacing w:before="125" w:line="218" w:lineRule="auto"/>
              <w:ind w:left="227"/>
            </w:pPr>
            <w:r>
              <w:rPr>
                <w:b/>
                <w:bCs/>
                <w:spacing w:val="-12"/>
              </w:rPr>
              <w:t>序号</w:t>
            </w:r>
          </w:p>
        </w:tc>
        <w:tc>
          <w:tcPr>
            <w:tcW w:w="2707" w:type="dxa"/>
            <w:tcBorders>
              <w:top w:val="single" w:color="000000" w:sz="4" w:space="0"/>
            </w:tcBorders>
            <w:shd w:val="clear" w:color="auto" w:fill="DEEAF6"/>
            <w:vAlign w:val="top"/>
          </w:tcPr>
          <w:p w14:paraId="3DE63025">
            <w:pPr>
              <w:pStyle w:val="7"/>
              <w:spacing w:before="218" w:line="218" w:lineRule="auto"/>
              <w:ind w:left="1147"/>
            </w:pPr>
            <w:r>
              <w:rPr>
                <w:b/>
                <w:bCs/>
                <w:spacing w:val="-14"/>
              </w:rPr>
              <w:t>要求</w:t>
            </w:r>
          </w:p>
        </w:tc>
        <w:tc>
          <w:tcPr>
            <w:tcW w:w="1433" w:type="dxa"/>
            <w:tcBorders>
              <w:top w:val="single" w:color="5B9BD5" w:sz="4" w:space="0"/>
              <w:right w:val="nil"/>
            </w:tcBorders>
            <w:shd w:val="clear" w:color="auto" w:fill="DEEAF6"/>
            <w:vAlign w:val="top"/>
          </w:tcPr>
          <w:p w14:paraId="6290925C">
            <w:pPr>
              <w:spacing w:line="18" w:lineRule="exact"/>
            </w:pPr>
            <w:r>
              <w:pict>
                <v:group id="_x0000_s1040" o:spid="_x0000_s1040" o:spt="203" style="height:1.45pt;width:2.2pt;" coordsize="44,29">
                  <o:lock v:ext="edit"/>
                  <v:shape id="_x0000_s1041" o:spid="_x0000_s1041" style="position:absolute;left:0;top:0;height:15;width:44;" fillcolor="#5B9BD5" filled="t" stroked="f" coordsize="44,15" path="m0,14l43,14,43,0,0,0,0,14xe">
                    <v:path/>
                    <v:fill on="t" focussize="0,0"/>
                    <v:stroke on="f"/>
                    <v:imagedata o:title=""/>
                    <o:lock v:ext="edit"/>
                  </v:shape>
                  <v:shape id="_x0000_s1042" o:spid="_x0000_s1042" style="position:absolute;left:0;top:14;height:15;width:44;" fillcolor="#20507B" filled="t" stroked="f" coordsize="44,15" path="m0,14l43,14,43,0,0,0,0,14xe">
                    <v:path/>
                    <v:fill on="t" focussize="0,0"/>
                    <v:stroke on="f"/>
                    <v:imagedata o:title=""/>
                    <o:lock v:ext="edit"/>
                  </v:shape>
                  <w10:wrap type="none"/>
                  <w10:anchorlock/>
                </v:group>
              </w:pict>
            </w:r>
          </w:p>
        </w:tc>
        <w:tc>
          <w:tcPr>
            <w:tcW w:w="4581" w:type="dxa"/>
            <w:tcBorders>
              <w:top w:val="single" w:color="5B9BD5" w:sz="4" w:space="0"/>
              <w:left w:val="nil"/>
              <w:right w:val="nil"/>
            </w:tcBorders>
            <w:shd w:val="clear" w:color="auto" w:fill="DEEAF6"/>
            <w:vAlign w:val="top"/>
          </w:tcPr>
          <w:p w14:paraId="17D3C020">
            <w:pPr>
              <w:pStyle w:val="7"/>
              <w:spacing w:before="218" w:line="218" w:lineRule="auto"/>
              <w:ind w:left="1437"/>
            </w:pPr>
            <w:r>
              <w:rPr>
                <w:b/>
                <w:bCs/>
                <w:spacing w:val="-20"/>
              </w:rPr>
              <w:t>内容</w:t>
            </w:r>
          </w:p>
        </w:tc>
        <w:tc>
          <w:tcPr>
            <w:tcW w:w="92" w:type="dxa"/>
            <w:tcBorders>
              <w:top w:val="single" w:color="5B9BD5" w:sz="4" w:space="0"/>
              <w:left w:val="nil"/>
              <w:right w:val="single" w:color="5B9BD5" w:sz="4" w:space="0"/>
            </w:tcBorders>
            <w:vAlign w:val="top"/>
          </w:tcPr>
          <w:p w14:paraId="76B0CD6D">
            <w:pPr>
              <w:rPr>
                <w:rFonts w:ascii="Arial"/>
                <w:sz w:val="21"/>
              </w:rPr>
            </w:pPr>
            <w:r>
              <w:pict>
                <v:shape id="_x0000_s1043" o:spid="_x0000_s1043" style="position:absolute;left:0pt;margin-left:2.75pt;margin-top:0pt;height:0.75pt;width:2.2pt;mso-position-horizontal-relative:page;mso-position-vertical-relative:page;z-index:251664384;mso-width-relative:page;mso-height-relative:page;" fillcolor="#5B9BD5" filled="t" stroked="f" coordsize="44,15" path="m0,14l43,14,43,0,0,0,0,14xe">
                  <v:path/>
                  <v:fill on="t" focussize="0,0"/>
                  <v:stroke on="f"/>
                  <v:imagedata o:title=""/>
                  <o:lock v:ext="edit"/>
                </v:shape>
              </w:pict>
            </w:r>
          </w:p>
        </w:tc>
      </w:tr>
      <w:tr w14:paraId="65E28D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01" w:hRule="atLeast"/>
        </w:trPr>
        <w:tc>
          <w:tcPr>
            <w:tcW w:w="860" w:type="dxa"/>
            <w:gridSpan w:val="2"/>
            <w:tcBorders>
              <w:left w:val="single" w:color="000000" w:sz="4" w:space="0"/>
            </w:tcBorders>
            <w:vAlign w:val="top"/>
          </w:tcPr>
          <w:p w14:paraId="113D39E2">
            <w:pPr>
              <w:spacing w:line="378" w:lineRule="auto"/>
              <w:rPr>
                <w:rFonts w:ascii="Arial"/>
                <w:sz w:val="21"/>
              </w:rPr>
            </w:pPr>
          </w:p>
          <w:p w14:paraId="0D2B7FD5">
            <w:pPr>
              <w:pStyle w:val="7"/>
              <w:spacing w:before="78" w:line="238" w:lineRule="auto"/>
              <w:ind w:left="400"/>
            </w:pPr>
            <w:r>
              <w:t>1</w:t>
            </w:r>
          </w:p>
        </w:tc>
        <w:tc>
          <w:tcPr>
            <w:tcW w:w="2707" w:type="dxa"/>
            <w:vAlign w:val="top"/>
          </w:tcPr>
          <w:p w14:paraId="1FC81345">
            <w:pPr>
              <w:spacing w:line="377" w:lineRule="auto"/>
              <w:rPr>
                <w:rFonts w:ascii="Arial"/>
                <w:sz w:val="21"/>
              </w:rPr>
            </w:pPr>
          </w:p>
          <w:p w14:paraId="1648AC8C">
            <w:pPr>
              <w:pStyle w:val="7"/>
              <w:spacing w:before="79" w:line="216" w:lineRule="auto"/>
              <w:ind w:left="606"/>
            </w:pPr>
            <w:r>
              <w:rPr>
                <w:spacing w:val="-20"/>
              </w:rPr>
              <w:t>法律上的合法性</w:t>
            </w:r>
          </w:p>
        </w:tc>
        <w:tc>
          <w:tcPr>
            <w:tcW w:w="6106" w:type="dxa"/>
            <w:gridSpan w:val="3"/>
            <w:tcBorders>
              <w:right w:val="single" w:color="000000" w:sz="4" w:space="0"/>
            </w:tcBorders>
            <w:vAlign w:val="top"/>
          </w:tcPr>
          <w:p w14:paraId="71B1BEBF">
            <w:pPr>
              <w:pStyle w:val="7"/>
              <w:spacing w:before="213" w:line="216" w:lineRule="auto"/>
              <w:ind w:left="120"/>
            </w:pPr>
            <w:r>
              <w:rPr>
                <w:spacing w:val="-21"/>
              </w:rPr>
              <w:t>符合国家法律、法规、规范、规定、标准及</w:t>
            </w:r>
            <w:r>
              <w:rPr>
                <w:spacing w:val="-22"/>
              </w:rPr>
              <w:t>强制性条文、设计</w:t>
            </w:r>
          </w:p>
          <w:p w14:paraId="64814275">
            <w:pPr>
              <w:pStyle w:val="7"/>
              <w:spacing w:before="209" w:line="218" w:lineRule="auto"/>
              <w:ind w:left="659"/>
            </w:pPr>
            <w:r>
              <w:rPr>
                <w:spacing w:val="-21"/>
              </w:rPr>
              <w:t>文件、合同条件、安全第一、质量第一的方针等。</w:t>
            </w:r>
          </w:p>
        </w:tc>
      </w:tr>
      <w:tr w14:paraId="12BCAC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2" w:hRule="atLeast"/>
        </w:trPr>
        <w:tc>
          <w:tcPr>
            <w:tcW w:w="860" w:type="dxa"/>
            <w:gridSpan w:val="2"/>
            <w:tcBorders>
              <w:left w:val="single" w:color="000000" w:sz="4" w:space="0"/>
            </w:tcBorders>
            <w:vAlign w:val="top"/>
          </w:tcPr>
          <w:p w14:paraId="11A273BA">
            <w:pPr>
              <w:pStyle w:val="7"/>
              <w:spacing w:before="209" w:line="238" w:lineRule="auto"/>
              <w:ind w:left="385"/>
            </w:pPr>
            <w:r>
              <w:t>2</w:t>
            </w:r>
          </w:p>
        </w:tc>
        <w:tc>
          <w:tcPr>
            <w:tcW w:w="2707" w:type="dxa"/>
            <w:vAlign w:val="top"/>
          </w:tcPr>
          <w:p w14:paraId="3B1765D9">
            <w:pPr>
              <w:pStyle w:val="7"/>
              <w:spacing w:before="209" w:line="216" w:lineRule="auto"/>
              <w:ind w:left="599"/>
            </w:pPr>
            <w:r>
              <w:rPr>
                <w:spacing w:val="-19"/>
              </w:rPr>
              <w:t>组织上的可能性</w:t>
            </w:r>
          </w:p>
        </w:tc>
        <w:tc>
          <w:tcPr>
            <w:tcW w:w="6106" w:type="dxa"/>
            <w:gridSpan w:val="3"/>
            <w:tcBorders>
              <w:right w:val="single" w:color="000000" w:sz="4" w:space="0"/>
            </w:tcBorders>
            <w:vAlign w:val="top"/>
          </w:tcPr>
          <w:p w14:paraId="022F222C">
            <w:pPr>
              <w:pStyle w:val="7"/>
              <w:spacing w:before="208" w:line="217" w:lineRule="auto"/>
              <w:ind w:left="880"/>
            </w:pPr>
            <w:r>
              <w:rPr>
                <w:spacing w:val="-21"/>
              </w:rPr>
              <w:t>质量、安全、工期、技术管理体系切实可行。</w:t>
            </w:r>
          </w:p>
        </w:tc>
      </w:tr>
      <w:tr w14:paraId="569B2A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0" w:hRule="atLeast"/>
        </w:trPr>
        <w:tc>
          <w:tcPr>
            <w:tcW w:w="860" w:type="dxa"/>
            <w:gridSpan w:val="2"/>
            <w:tcBorders>
              <w:left w:val="single" w:color="000000" w:sz="4" w:space="0"/>
            </w:tcBorders>
            <w:vAlign w:val="top"/>
          </w:tcPr>
          <w:p w14:paraId="61EF08FB">
            <w:pPr>
              <w:pStyle w:val="7"/>
              <w:spacing w:before="206" w:line="237" w:lineRule="auto"/>
              <w:ind w:left="387"/>
            </w:pPr>
            <w:r>
              <w:t>3</w:t>
            </w:r>
          </w:p>
        </w:tc>
        <w:tc>
          <w:tcPr>
            <w:tcW w:w="2707" w:type="dxa"/>
            <w:vAlign w:val="top"/>
          </w:tcPr>
          <w:p w14:paraId="3085E339">
            <w:pPr>
              <w:pStyle w:val="7"/>
              <w:spacing w:before="206" w:line="216" w:lineRule="auto"/>
              <w:ind w:left="598"/>
            </w:pPr>
            <w:r>
              <w:rPr>
                <w:spacing w:val="-19"/>
              </w:rPr>
              <w:t>经济上的合理性</w:t>
            </w:r>
          </w:p>
        </w:tc>
        <w:tc>
          <w:tcPr>
            <w:tcW w:w="6106" w:type="dxa"/>
            <w:gridSpan w:val="3"/>
            <w:tcBorders>
              <w:right w:val="single" w:color="000000" w:sz="4" w:space="0"/>
            </w:tcBorders>
            <w:vAlign w:val="top"/>
          </w:tcPr>
          <w:p w14:paraId="3A38FDF8">
            <w:pPr>
              <w:pStyle w:val="7"/>
              <w:spacing w:before="206" w:line="217" w:lineRule="auto"/>
              <w:ind w:left="1973"/>
            </w:pPr>
            <w:r>
              <w:rPr>
                <w:spacing w:val="-20"/>
              </w:rPr>
              <w:t>方案、措施经济合理。</w:t>
            </w:r>
          </w:p>
        </w:tc>
      </w:tr>
      <w:tr w14:paraId="414D6A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1101" w:hRule="atLeast"/>
        </w:trPr>
        <w:tc>
          <w:tcPr>
            <w:tcW w:w="860" w:type="dxa"/>
            <w:gridSpan w:val="2"/>
            <w:tcBorders>
              <w:left w:val="single" w:color="000000" w:sz="4" w:space="0"/>
            </w:tcBorders>
            <w:vAlign w:val="top"/>
          </w:tcPr>
          <w:p w14:paraId="18ED0658">
            <w:pPr>
              <w:spacing w:line="368" w:lineRule="auto"/>
              <w:rPr>
                <w:rFonts w:ascii="Arial"/>
                <w:sz w:val="21"/>
              </w:rPr>
            </w:pPr>
          </w:p>
          <w:p w14:paraId="6152A04F">
            <w:pPr>
              <w:pStyle w:val="7"/>
              <w:spacing w:before="78" w:line="238" w:lineRule="auto"/>
              <w:ind w:left="381"/>
            </w:pPr>
            <w:r>
              <w:t>4</w:t>
            </w:r>
          </w:p>
        </w:tc>
        <w:tc>
          <w:tcPr>
            <w:tcW w:w="2707" w:type="dxa"/>
            <w:vAlign w:val="top"/>
          </w:tcPr>
          <w:p w14:paraId="763E7328">
            <w:pPr>
              <w:spacing w:line="368" w:lineRule="auto"/>
              <w:rPr>
                <w:rFonts w:ascii="Arial"/>
                <w:sz w:val="21"/>
              </w:rPr>
            </w:pPr>
          </w:p>
          <w:p w14:paraId="03BCA799">
            <w:pPr>
              <w:pStyle w:val="7"/>
              <w:spacing w:before="78" w:line="216" w:lineRule="auto"/>
              <w:ind w:left="598"/>
            </w:pPr>
            <w:r>
              <w:rPr>
                <w:spacing w:val="-19"/>
              </w:rPr>
              <w:t>措施上的可行性</w:t>
            </w:r>
          </w:p>
        </w:tc>
        <w:tc>
          <w:tcPr>
            <w:tcW w:w="6106" w:type="dxa"/>
            <w:gridSpan w:val="3"/>
            <w:tcBorders>
              <w:right w:val="single" w:color="000000" w:sz="4" w:space="0"/>
            </w:tcBorders>
            <w:vAlign w:val="top"/>
          </w:tcPr>
          <w:p w14:paraId="7D8B05EC">
            <w:pPr>
              <w:pStyle w:val="7"/>
              <w:spacing w:before="203" w:line="217" w:lineRule="auto"/>
              <w:ind w:left="120"/>
            </w:pPr>
            <w:r>
              <w:rPr>
                <w:spacing w:val="-21"/>
              </w:rPr>
              <w:t>质量、安全、工期、技术、环保、消防、文</w:t>
            </w:r>
            <w:r>
              <w:rPr>
                <w:spacing w:val="-22"/>
              </w:rPr>
              <w:t>明施工等措施切实</w:t>
            </w:r>
          </w:p>
          <w:p w14:paraId="494B5D47">
            <w:pPr>
              <w:pStyle w:val="7"/>
              <w:spacing w:before="207" w:line="217" w:lineRule="auto"/>
              <w:ind w:left="2732"/>
            </w:pPr>
            <w:r>
              <w:rPr>
                <w:spacing w:val="-22"/>
              </w:rPr>
              <w:t>可行。</w:t>
            </w:r>
          </w:p>
        </w:tc>
      </w:tr>
      <w:tr w14:paraId="4816B9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04" w:hRule="atLeast"/>
        </w:trPr>
        <w:tc>
          <w:tcPr>
            <w:tcW w:w="860" w:type="dxa"/>
            <w:gridSpan w:val="2"/>
            <w:tcBorders>
              <w:left w:val="single" w:color="000000" w:sz="4" w:space="0"/>
            </w:tcBorders>
            <w:vAlign w:val="top"/>
          </w:tcPr>
          <w:p w14:paraId="45330B3B">
            <w:pPr>
              <w:spacing w:line="364" w:lineRule="auto"/>
              <w:rPr>
                <w:rFonts w:ascii="Arial"/>
                <w:sz w:val="21"/>
              </w:rPr>
            </w:pPr>
          </w:p>
          <w:p w14:paraId="10F10B6C">
            <w:pPr>
              <w:pStyle w:val="7"/>
              <w:spacing w:before="78" w:line="237" w:lineRule="auto"/>
              <w:ind w:left="387"/>
            </w:pPr>
            <w:r>
              <w:t>5</w:t>
            </w:r>
          </w:p>
        </w:tc>
        <w:tc>
          <w:tcPr>
            <w:tcW w:w="2707" w:type="dxa"/>
            <w:vAlign w:val="top"/>
          </w:tcPr>
          <w:p w14:paraId="661878E5">
            <w:pPr>
              <w:spacing w:line="364" w:lineRule="auto"/>
              <w:rPr>
                <w:rFonts w:ascii="Arial"/>
                <w:sz w:val="21"/>
              </w:rPr>
            </w:pPr>
          </w:p>
          <w:p w14:paraId="6F3A1E09">
            <w:pPr>
              <w:pStyle w:val="7"/>
              <w:spacing w:before="78" w:line="216" w:lineRule="auto"/>
              <w:ind w:left="597"/>
            </w:pPr>
            <w:r>
              <w:rPr>
                <w:spacing w:val="-18"/>
              </w:rPr>
              <w:t>施工上的针对性</w:t>
            </w:r>
          </w:p>
        </w:tc>
        <w:tc>
          <w:tcPr>
            <w:tcW w:w="6106" w:type="dxa"/>
            <w:gridSpan w:val="3"/>
            <w:tcBorders>
              <w:right w:val="single" w:color="000000" w:sz="4" w:space="0"/>
            </w:tcBorders>
            <w:vAlign w:val="top"/>
          </w:tcPr>
          <w:p w14:paraId="3ED76EC6">
            <w:pPr>
              <w:pStyle w:val="7"/>
              <w:spacing w:before="199" w:line="218" w:lineRule="auto"/>
              <w:ind w:left="113"/>
            </w:pPr>
            <w:r>
              <w:rPr>
                <w:spacing w:val="-21"/>
              </w:rPr>
              <w:t>针对合同条件、施工现场条件、法规条件的特点及重难点</w:t>
            </w:r>
            <w:r>
              <w:rPr>
                <w:spacing w:val="-22"/>
              </w:rPr>
              <w:t>充分</w:t>
            </w:r>
          </w:p>
          <w:p w14:paraId="7E854905">
            <w:pPr>
              <w:pStyle w:val="7"/>
              <w:spacing w:before="206" w:line="218" w:lineRule="auto"/>
              <w:ind w:left="2729"/>
            </w:pPr>
            <w:r>
              <w:rPr>
                <w:spacing w:val="-13"/>
              </w:rPr>
              <w:t>考虑。</w:t>
            </w:r>
          </w:p>
        </w:tc>
      </w:tr>
      <w:tr w14:paraId="4CCACC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219" w:type="dxa"/>
            <w:tcBorders>
              <w:left w:val="single" w:color="1C456A" w:sz="4" w:space="0"/>
              <w:bottom w:val="single" w:color="1C456A" w:sz="4" w:space="0"/>
              <w:right w:val="nil"/>
            </w:tcBorders>
            <w:vAlign w:val="top"/>
          </w:tcPr>
          <w:p w14:paraId="7F40FE87">
            <w:pPr>
              <w:rPr>
                <w:rFonts w:ascii="Arial"/>
                <w:sz w:val="21"/>
              </w:rPr>
            </w:pPr>
            <w:r>
              <w:pict>
                <v:shape id="_x0000_s1044" o:spid="_x0000_s1044" style="position:absolute;left:0pt;margin-left:-0.25pt;margin-top:32.5pt;height:0.75pt;width:2.2pt;mso-position-horizontal-relative:page;mso-position-vertical-relative:page;z-index:251663360;mso-width-relative:page;mso-height-relative:page;" fillcolor="#5B9BD5" filled="t" stroked="f" coordsize="44,15" path="m0,14l43,14,43,0,0,0,0,14xe">
                  <v:path/>
                  <v:fill on="t" focussize="0,0"/>
                  <v:stroke on="f"/>
                  <v:imagedata o:title=""/>
                  <o:lock v:ext="edit"/>
                </v:shape>
              </w:pict>
            </w:r>
          </w:p>
        </w:tc>
        <w:tc>
          <w:tcPr>
            <w:tcW w:w="641" w:type="dxa"/>
            <w:tcBorders>
              <w:left w:val="nil"/>
              <w:bottom w:val="single" w:color="1C456A" w:sz="4" w:space="0"/>
            </w:tcBorders>
            <w:vAlign w:val="top"/>
          </w:tcPr>
          <w:p w14:paraId="498CE48A">
            <w:pPr>
              <w:pStyle w:val="7"/>
              <w:spacing w:before="194" w:line="237" w:lineRule="auto"/>
              <w:ind w:left="170"/>
            </w:pPr>
            <w:r>
              <w:t>6</w:t>
            </w:r>
          </w:p>
        </w:tc>
        <w:tc>
          <w:tcPr>
            <w:tcW w:w="2707" w:type="dxa"/>
            <w:tcBorders>
              <w:bottom w:val="single" w:color="000000" w:sz="4" w:space="0"/>
            </w:tcBorders>
            <w:vAlign w:val="top"/>
          </w:tcPr>
          <w:p w14:paraId="73AF553C">
            <w:pPr>
              <w:pStyle w:val="7"/>
              <w:spacing w:before="194" w:line="216" w:lineRule="auto"/>
              <w:ind w:left="492"/>
            </w:pPr>
            <w:r>
              <w:rPr>
                <w:spacing w:val="-20"/>
              </w:rPr>
              <w:t>实施上的可操作性</w:t>
            </w:r>
          </w:p>
        </w:tc>
        <w:tc>
          <w:tcPr>
            <w:tcW w:w="6106" w:type="dxa"/>
            <w:gridSpan w:val="3"/>
            <w:tcBorders>
              <w:bottom w:val="single" w:color="5B9BD5" w:sz="4" w:space="0"/>
              <w:right w:val="single" w:color="5B9BD5" w:sz="4" w:space="0"/>
            </w:tcBorders>
            <w:vAlign w:val="top"/>
          </w:tcPr>
          <w:p w14:paraId="2FE4894F">
            <w:pPr>
              <w:pStyle w:val="7"/>
              <w:spacing w:before="194" w:line="216" w:lineRule="auto"/>
              <w:ind w:left="228"/>
            </w:pPr>
            <w:r>
              <w:pict>
                <v:shape id="_x0000_s1045" o:spid="_x0000_s1045" style="position:absolute;left:0pt;margin-left:303.45pt;margin-top:32.5pt;height:0.75pt;width:2.2pt;mso-position-horizontal-relative:page;mso-position-vertical-relative:page;z-index:251662336;mso-width-relative:page;mso-height-relative:page;" fillcolor="#5B9BD5" filled="t" stroked="f" coordsize="44,15" path="m0,14l43,14,43,0,0,0,0,14xe">
                  <v:path/>
                  <v:fill on="t" focussize="0,0"/>
                  <v:stroke on="f"/>
                  <v:imagedata o:title=""/>
                  <o:lock v:ext="edit"/>
                </v:shape>
              </w:pict>
            </w:r>
            <w:r>
              <w:rPr>
                <w:spacing w:val="-21"/>
              </w:rPr>
              <w:t>方案切实可行、并能保证质量、安全、工期等目</w:t>
            </w:r>
            <w:r>
              <w:rPr>
                <w:spacing w:val="-22"/>
              </w:rPr>
              <w:t>标的实现。</w:t>
            </w:r>
          </w:p>
        </w:tc>
      </w:tr>
    </w:tbl>
    <w:p w14:paraId="1DF488A0">
      <w:pPr>
        <w:pStyle w:val="2"/>
        <w:spacing w:before="114" w:line="308" w:lineRule="auto"/>
        <w:ind w:left="1817" w:right="1770" w:firstLine="436"/>
        <w:jc w:val="both"/>
        <w:rPr>
          <w:sz w:val="24"/>
          <w:szCs w:val="24"/>
        </w:rPr>
      </w:pPr>
      <w:r>
        <w:rPr>
          <w:spacing w:val="-22"/>
          <w:sz w:val="24"/>
          <w:szCs w:val="24"/>
        </w:rPr>
        <w:t>本施工组织设计是我单位通过熟悉“</w:t>
      </w:r>
      <w:r>
        <w:rPr>
          <w:rFonts w:hint="eastAsia"/>
          <w:spacing w:val="-22"/>
          <w:sz w:val="24"/>
          <w:szCs w:val="24"/>
          <w:lang w:eastAsia="zh-CN"/>
        </w:rPr>
        <w:t>某路）</w:t>
      </w:r>
      <w:r>
        <w:rPr>
          <w:spacing w:val="-22"/>
          <w:sz w:val="24"/>
          <w:szCs w:val="24"/>
        </w:rPr>
        <w:t>供水管</w:t>
      </w:r>
      <w:r>
        <w:rPr>
          <w:spacing w:val="-21"/>
          <w:sz w:val="24"/>
          <w:szCs w:val="24"/>
        </w:rPr>
        <w:t>道工程施工”的招标文件、补遗、图纸的基础上，参照国家、</w:t>
      </w:r>
      <w:r>
        <w:rPr>
          <w:spacing w:val="-22"/>
          <w:sz w:val="24"/>
          <w:szCs w:val="24"/>
        </w:rPr>
        <w:t>行业及安徽省、现</w:t>
      </w:r>
      <w:r>
        <w:rPr>
          <w:spacing w:val="-21"/>
          <w:sz w:val="24"/>
          <w:szCs w:val="24"/>
        </w:rPr>
        <w:t>行规范、标准及相关文件要求编制的施工组织设计，在满足各项招标要求的同时，追求</w:t>
      </w:r>
    </w:p>
    <w:p w14:paraId="7711DF71">
      <w:pPr>
        <w:spacing w:line="308" w:lineRule="auto"/>
        <w:rPr>
          <w:sz w:val="24"/>
          <w:szCs w:val="24"/>
        </w:rPr>
        <w:sectPr>
          <w:footerReference r:id="rId18" w:type="default"/>
          <w:pgSz w:w="11907" w:h="16839"/>
          <w:pgMar w:top="1018" w:right="3" w:bottom="1179" w:left="0" w:header="562" w:footer="498" w:gutter="0"/>
          <w:pgBorders>
            <w:top w:val="none" w:sz="0" w:space="0"/>
            <w:left w:val="none" w:sz="0" w:space="0"/>
            <w:bottom w:val="none" w:sz="0" w:space="0"/>
            <w:right w:val="none" w:sz="0" w:space="0"/>
          </w:pgBorders>
          <w:cols w:space="720" w:num="1"/>
        </w:sectPr>
      </w:pPr>
    </w:p>
    <w:p w14:paraId="67DC0600">
      <w:pPr>
        <w:spacing w:line="456" w:lineRule="auto"/>
        <w:rPr>
          <w:rFonts w:ascii="Arial"/>
          <w:sz w:val="21"/>
        </w:rPr>
      </w:pPr>
    </w:p>
    <w:p w14:paraId="70834560">
      <w:pPr>
        <w:pStyle w:val="2"/>
        <w:spacing w:before="78" w:line="216" w:lineRule="auto"/>
        <w:ind w:left="1815"/>
        <w:rPr>
          <w:sz w:val="24"/>
          <w:szCs w:val="24"/>
        </w:rPr>
      </w:pPr>
      <w:r>
        <w:rPr>
          <w:spacing w:val="-21"/>
          <w:sz w:val="24"/>
          <w:szCs w:val="24"/>
        </w:rPr>
        <w:t>施工工艺的先进性、合理性和适用性。</w:t>
      </w:r>
    </w:p>
    <w:p w14:paraId="30F22D33">
      <w:pPr>
        <w:pStyle w:val="2"/>
        <w:spacing w:before="115" w:line="308" w:lineRule="auto"/>
        <w:ind w:left="1817" w:right="1704" w:firstLine="444"/>
        <w:jc w:val="both"/>
        <w:rPr>
          <w:sz w:val="24"/>
          <w:szCs w:val="24"/>
        </w:rPr>
      </w:pPr>
      <w:r>
        <w:rPr>
          <w:spacing w:val="-22"/>
          <w:sz w:val="24"/>
          <w:szCs w:val="24"/>
        </w:rPr>
        <w:t>我公司完全接受招标文件提出的质量控制和施工技术要求，严格按照设计要求、施</w:t>
      </w:r>
      <w:r>
        <w:rPr>
          <w:spacing w:val="-21"/>
          <w:sz w:val="24"/>
          <w:szCs w:val="24"/>
        </w:rPr>
        <w:t>工技术规范标准有关质量规定进行施工，全面贯彻执行国</w:t>
      </w:r>
      <w:r>
        <w:rPr>
          <w:spacing w:val="-22"/>
          <w:sz w:val="24"/>
          <w:szCs w:val="24"/>
        </w:rPr>
        <w:t>家颁发的强制性标准。我们将</w:t>
      </w:r>
      <w:r>
        <w:rPr>
          <w:spacing w:val="-21"/>
          <w:sz w:val="24"/>
          <w:szCs w:val="24"/>
        </w:rPr>
        <w:t>认真组织、精心施工，全力以赴建设好本工程。如我单位中</w:t>
      </w:r>
      <w:r>
        <w:rPr>
          <w:spacing w:val="-22"/>
          <w:sz w:val="24"/>
          <w:szCs w:val="24"/>
        </w:rPr>
        <w:t>标，我单位将成立由类似施</w:t>
      </w:r>
      <w:r>
        <w:rPr>
          <w:spacing w:val="-21"/>
          <w:sz w:val="24"/>
          <w:szCs w:val="24"/>
        </w:rPr>
        <w:t>工的管理人员组成的项目管理班子，施工中发挥我公司在</w:t>
      </w:r>
      <w:r>
        <w:rPr>
          <w:spacing w:val="-22"/>
          <w:sz w:val="24"/>
          <w:szCs w:val="24"/>
        </w:rPr>
        <w:t>施工及管理经验，贯彻和实施</w:t>
      </w:r>
      <w:r>
        <w:rPr>
          <w:spacing w:val="-25"/>
          <w:sz w:val="24"/>
          <w:szCs w:val="24"/>
        </w:rPr>
        <w:t>我单位各项技术措施、环境保护措施、安全保证措施和文明施工措施，实现本</w:t>
      </w:r>
      <w:r>
        <w:rPr>
          <w:spacing w:val="-26"/>
          <w:sz w:val="24"/>
          <w:szCs w:val="24"/>
        </w:rPr>
        <w:t>工程工期、</w:t>
      </w:r>
      <w:r>
        <w:rPr>
          <w:spacing w:val="-21"/>
          <w:sz w:val="24"/>
          <w:szCs w:val="24"/>
        </w:rPr>
        <w:t>质量、安全、文明施工及各项目标。向业主交付满意工程。</w:t>
      </w:r>
    </w:p>
    <w:p w14:paraId="650FA444">
      <w:pPr>
        <w:pStyle w:val="2"/>
        <w:spacing w:before="3" w:line="285" w:lineRule="auto"/>
        <w:ind w:left="1817" w:right="1775" w:firstLine="436"/>
        <w:jc w:val="both"/>
        <w:rPr>
          <w:sz w:val="24"/>
          <w:szCs w:val="24"/>
        </w:rPr>
      </w:pPr>
      <w:r>
        <w:rPr>
          <w:spacing w:val="-21"/>
          <w:sz w:val="24"/>
          <w:szCs w:val="24"/>
        </w:rPr>
        <w:t>本施工组织设计中对重要的施工方案进行描述，若有幸</w:t>
      </w:r>
      <w:r>
        <w:rPr>
          <w:spacing w:val="-22"/>
          <w:sz w:val="24"/>
          <w:szCs w:val="24"/>
        </w:rPr>
        <w:t>中标，我们将依据本文件确</w:t>
      </w:r>
      <w:r>
        <w:rPr>
          <w:spacing w:val="-21"/>
          <w:sz w:val="24"/>
          <w:szCs w:val="24"/>
        </w:rPr>
        <w:t>定的原则，严格遵循我单位技术管理标准和管理体系文件</w:t>
      </w:r>
      <w:r>
        <w:rPr>
          <w:spacing w:val="-22"/>
          <w:sz w:val="24"/>
          <w:szCs w:val="24"/>
        </w:rPr>
        <w:t>，在图纸会审完成后，编制详</w:t>
      </w:r>
      <w:r>
        <w:rPr>
          <w:spacing w:val="-21"/>
          <w:sz w:val="24"/>
          <w:szCs w:val="24"/>
        </w:rPr>
        <w:t>细的施工组织设计及分部分项工程施工方案和作业设计，</w:t>
      </w:r>
      <w:r>
        <w:rPr>
          <w:spacing w:val="-22"/>
          <w:sz w:val="24"/>
          <w:szCs w:val="24"/>
        </w:rPr>
        <w:t>用以指导和规范工程施工，确</w:t>
      </w:r>
      <w:r>
        <w:rPr>
          <w:spacing w:val="-21"/>
          <w:sz w:val="24"/>
          <w:szCs w:val="24"/>
        </w:rPr>
        <w:t>保优质、高速、安全文明、低耗地完成本工程的施工任务。</w:t>
      </w:r>
    </w:p>
    <w:tbl>
      <w:tblPr>
        <w:tblStyle w:val="6"/>
        <w:tblW w:w="9094" w:type="dxa"/>
        <w:tblInd w:w="140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798"/>
        <w:gridCol w:w="5296"/>
      </w:tblGrid>
      <w:tr w14:paraId="1E0AD2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1" w:hRule="atLeast"/>
        </w:trPr>
        <w:tc>
          <w:tcPr>
            <w:tcW w:w="9094" w:type="dxa"/>
            <w:gridSpan w:val="2"/>
            <w:tcBorders>
              <w:top w:val="single" w:color="5B9BD5" w:sz="4" w:space="0"/>
              <w:left w:val="single" w:color="5B9BD5" w:sz="4" w:space="0"/>
              <w:right w:val="single" w:color="5B9BD5" w:sz="4" w:space="0"/>
            </w:tcBorders>
            <w:shd w:val="clear" w:color="auto" w:fill="DEEAF6"/>
            <w:vAlign w:val="top"/>
          </w:tcPr>
          <w:p w14:paraId="548A497A">
            <w:pPr>
              <w:pStyle w:val="7"/>
              <w:spacing w:before="218" w:line="217" w:lineRule="auto"/>
              <w:ind w:left="3911"/>
            </w:pPr>
            <w:r>
              <w:rPr>
                <w:b/>
                <w:bCs/>
                <w:spacing w:val="-22"/>
              </w:rPr>
              <w:t>总体编制说明</w:t>
            </w:r>
          </w:p>
        </w:tc>
      </w:tr>
      <w:tr w14:paraId="5C86D5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61" w:hRule="atLeast"/>
        </w:trPr>
        <w:tc>
          <w:tcPr>
            <w:tcW w:w="9094" w:type="dxa"/>
            <w:gridSpan w:val="2"/>
            <w:tcBorders>
              <w:left w:val="single" w:color="000000" w:sz="4" w:space="0"/>
              <w:right w:val="single" w:color="000000" w:sz="4" w:space="0"/>
            </w:tcBorders>
            <w:vAlign w:val="top"/>
          </w:tcPr>
          <w:p w14:paraId="3A840978">
            <w:pPr>
              <w:pStyle w:val="7"/>
              <w:spacing w:before="214" w:line="215" w:lineRule="auto"/>
              <w:ind w:left="90"/>
            </w:pPr>
            <w:r>
              <w:rPr>
                <w:spacing w:val="-21"/>
              </w:rPr>
              <w:t>根据本工程业主对工程的安全、质量、进度的高标准、严要</w:t>
            </w:r>
            <w:r>
              <w:rPr>
                <w:spacing w:val="-22"/>
              </w:rPr>
              <w:t>求，在本工程施工组织设计中，将</w:t>
            </w:r>
          </w:p>
          <w:p w14:paraId="3A83A4CD">
            <w:pPr>
              <w:pStyle w:val="7"/>
              <w:spacing w:before="210" w:line="215" w:lineRule="auto"/>
              <w:jc w:val="right"/>
            </w:pPr>
            <w:r>
              <w:rPr>
                <w:spacing w:val="-26"/>
              </w:rPr>
              <w:t>重点阐述有关保证工程安全、质量及工期的保证体系和具体措施，并在绝对保证工程施工安全、</w:t>
            </w:r>
          </w:p>
          <w:p w14:paraId="5750C66C">
            <w:pPr>
              <w:pStyle w:val="7"/>
              <w:spacing w:before="209" w:line="216" w:lineRule="auto"/>
              <w:ind w:left="95"/>
            </w:pPr>
            <w:r>
              <w:rPr>
                <w:spacing w:val="-21"/>
              </w:rPr>
              <w:t>质量的前提下选择最优施工方案，同时加强现</w:t>
            </w:r>
            <w:r>
              <w:rPr>
                <w:spacing w:val="-22"/>
              </w:rPr>
              <w:t>场施工管理及区域其他承建单位的协调，合理组</w:t>
            </w:r>
          </w:p>
          <w:p w14:paraId="1845BCDA">
            <w:pPr>
              <w:pStyle w:val="7"/>
              <w:spacing w:before="206" w:line="215" w:lineRule="auto"/>
              <w:ind w:left="93"/>
            </w:pPr>
            <w:r>
              <w:rPr>
                <w:spacing w:val="-21"/>
              </w:rPr>
              <w:t>织、部署施工，积极配合业主、监督单位对本工程</w:t>
            </w:r>
            <w:r>
              <w:rPr>
                <w:spacing w:val="-22"/>
              </w:rPr>
              <w:t>在施工过程中的检查验收工作，加强原材料</w:t>
            </w:r>
          </w:p>
          <w:p w14:paraId="79F9DA86">
            <w:pPr>
              <w:pStyle w:val="7"/>
              <w:spacing w:before="210" w:line="217" w:lineRule="auto"/>
              <w:ind w:left="104"/>
            </w:pPr>
            <w:r>
              <w:rPr>
                <w:spacing w:val="-22"/>
              </w:rPr>
              <w:t>的质量控制及各施工工序的施工过程控制，充分体现我公司“安全、优质、高效、文明”之宗</w:t>
            </w:r>
          </w:p>
          <w:p w14:paraId="013FF835">
            <w:pPr>
              <w:pStyle w:val="7"/>
              <w:spacing w:before="207" w:line="219" w:lineRule="auto"/>
              <w:ind w:left="4383"/>
            </w:pPr>
            <w:r>
              <w:rPr>
                <w:spacing w:val="-29"/>
              </w:rPr>
              <w:t>旨。</w:t>
            </w:r>
          </w:p>
        </w:tc>
      </w:tr>
      <w:tr w14:paraId="3B879D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02" w:hRule="atLeast"/>
        </w:trPr>
        <w:tc>
          <w:tcPr>
            <w:tcW w:w="3798" w:type="dxa"/>
            <w:tcBorders>
              <w:left w:val="single" w:color="000000" w:sz="4" w:space="0"/>
            </w:tcBorders>
            <w:vAlign w:val="top"/>
          </w:tcPr>
          <w:p w14:paraId="4D7B3A2A">
            <w:pPr>
              <w:spacing w:line="370" w:lineRule="auto"/>
              <w:rPr>
                <w:rFonts w:ascii="Arial"/>
                <w:sz w:val="21"/>
              </w:rPr>
            </w:pPr>
          </w:p>
          <w:p w14:paraId="279537BA">
            <w:pPr>
              <w:pStyle w:val="7"/>
              <w:spacing w:before="78" w:line="218" w:lineRule="auto"/>
              <w:ind w:left="716"/>
            </w:pPr>
            <w:r>
              <w:rPr>
                <w:spacing w:val="-20"/>
              </w:rPr>
              <w:t>遵循招标文件条款的原则</w:t>
            </w:r>
          </w:p>
        </w:tc>
        <w:tc>
          <w:tcPr>
            <w:tcW w:w="5296" w:type="dxa"/>
            <w:tcBorders>
              <w:right w:val="single" w:color="000000" w:sz="4" w:space="0"/>
            </w:tcBorders>
            <w:vAlign w:val="top"/>
          </w:tcPr>
          <w:p w14:paraId="46E8A277">
            <w:pPr>
              <w:pStyle w:val="7"/>
              <w:spacing w:before="206" w:line="215" w:lineRule="auto"/>
              <w:ind w:left="146"/>
            </w:pPr>
            <w:r>
              <w:rPr>
                <w:spacing w:val="-21"/>
              </w:rPr>
              <w:t>在编制施工组织设计时，严格按照招标文件规定的要</w:t>
            </w:r>
          </w:p>
          <w:p w14:paraId="71F6F9D0">
            <w:pPr>
              <w:pStyle w:val="7"/>
              <w:spacing w:before="209" w:line="218" w:lineRule="auto"/>
              <w:ind w:left="695"/>
            </w:pPr>
            <w:r>
              <w:rPr>
                <w:spacing w:val="-21"/>
              </w:rPr>
              <w:t>求，做到施工方案周密，应急措施可靠。</w:t>
            </w:r>
          </w:p>
        </w:tc>
      </w:tr>
      <w:tr w14:paraId="66E55C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90" w:hRule="atLeast"/>
        </w:trPr>
        <w:tc>
          <w:tcPr>
            <w:tcW w:w="3798" w:type="dxa"/>
            <w:tcBorders>
              <w:left w:val="single" w:color="000000" w:sz="4" w:space="0"/>
            </w:tcBorders>
            <w:vAlign w:val="top"/>
          </w:tcPr>
          <w:p w14:paraId="7CB7FAFA">
            <w:pPr>
              <w:spacing w:line="304" w:lineRule="auto"/>
              <w:rPr>
                <w:rFonts w:ascii="Arial"/>
                <w:sz w:val="21"/>
              </w:rPr>
            </w:pPr>
          </w:p>
          <w:p w14:paraId="43A95827">
            <w:pPr>
              <w:spacing w:line="305" w:lineRule="auto"/>
              <w:rPr>
                <w:rFonts w:ascii="Arial"/>
                <w:sz w:val="21"/>
              </w:rPr>
            </w:pPr>
          </w:p>
          <w:p w14:paraId="2ED7812E">
            <w:pPr>
              <w:pStyle w:val="7"/>
              <w:spacing w:before="78" w:line="217" w:lineRule="auto"/>
              <w:ind w:left="388"/>
            </w:pPr>
            <w:r>
              <w:rPr>
                <w:spacing w:val="-20"/>
              </w:rPr>
              <w:t>遵循设计文件和规范编制的原则</w:t>
            </w:r>
          </w:p>
        </w:tc>
        <w:tc>
          <w:tcPr>
            <w:tcW w:w="5296" w:type="dxa"/>
            <w:tcBorders>
              <w:right w:val="single" w:color="000000" w:sz="4" w:space="0"/>
            </w:tcBorders>
            <w:vAlign w:val="top"/>
          </w:tcPr>
          <w:p w14:paraId="0FE4191A">
            <w:pPr>
              <w:pStyle w:val="7"/>
              <w:spacing w:before="203" w:line="215" w:lineRule="auto"/>
              <w:ind w:left="69"/>
            </w:pPr>
            <w:r>
              <w:rPr>
                <w:spacing w:val="-24"/>
              </w:rPr>
              <w:t>在编写主要项目施工方法中严格按设计要求，执行现行</w:t>
            </w:r>
          </w:p>
          <w:p w14:paraId="0C55B5C3">
            <w:pPr>
              <w:pStyle w:val="7"/>
              <w:spacing w:before="206" w:line="217" w:lineRule="auto"/>
              <w:ind w:left="81"/>
            </w:pPr>
            <w:r>
              <w:rPr>
                <w:spacing w:val="-24"/>
              </w:rPr>
              <w:t>的施工规范和验收标准，科学组织施工，确保工</w:t>
            </w:r>
            <w:r>
              <w:rPr>
                <w:spacing w:val="-25"/>
              </w:rPr>
              <w:t>程的质</w:t>
            </w:r>
          </w:p>
          <w:p w14:paraId="14B259FB">
            <w:pPr>
              <w:pStyle w:val="7"/>
              <w:spacing w:before="207" w:line="219" w:lineRule="auto"/>
              <w:ind w:left="2109"/>
            </w:pPr>
            <w:r>
              <w:rPr>
                <w:spacing w:val="-18"/>
              </w:rPr>
              <w:t>量和进度。</w:t>
            </w:r>
          </w:p>
        </w:tc>
      </w:tr>
      <w:tr w14:paraId="26CAC0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88" w:hRule="atLeast"/>
        </w:trPr>
        <w:tc>
          <w:tcPr>
            <w:tcW w:w="3798" w:type="dxa"/>
            <w:tcBorders>
              <w:left w:val="single" w:color="000000" w:sz="4" w:space="0"/>
            </w:tcBorders>
            <w:vAlign w:val="top"/>
          </w:tcPr>
          <w:p w14:paraId="5545E165">
            <w:pPr>
              <w:spacing w:line="302" w:lineRule="auto"/>
              <w:rPr>
                <w:rFonts w:ascii="Arial"/>
                <w:sz w:val="21"/>
              </w:rPr>
            </w:pPr>
          </w:p>
          <w:p w14:paraId="18ED1098">
            <w:pPr>
              <w:spacing w:line="303" w:lineRule="auto"/>
              <w:rPr>
                <w:rFonts w:ascii="Arial"/>
                <w:sz w:val="21"/>
              </w:rPr>
            </w:pPr>
          </w:p>
          <w:p w14:paraId="151A4EA4">
            <w:pPr>
              <w:pStyle w:val="7"/>
              <w:spacing w:before="78" w:line="218" w:lineRule="auto"/>
              <w:ind w:right="13"/>
              <w:jc w:val="right"/>
            </w:pPr>
            <w:r>
              <w:rPr>
                <w:spacing w:val="-24"/>
              </w:rPr>
              <w:t>坚持实事求是，一切从实际出发的原则</w:t>
            </w:r>
          </w:p>
        </w:tc>
        <w:tc>
          <w:tcPr>
            <w:tcW w:w="5296" w:type="dxa"/>
            <w:tcBorders>
              <w:right w:val="single" w:color="000000" w:sz="4" w:space="0"/>
            </w:tcBorders>
            <w:vAlign w:val="top"/>
          </w:tcPr>
          <w:p w14:paraId="13141A11">
            <w:pPr>
              <w:pStyle w:val="7"/>
              <w:spacing w:before="197" w:line="215" w:lineRule="auto"/>
              <w:jc w:val="right"/>
            </w:pPr>
            <w:r>
              <w:rPr>
                <w:spacing w:val="-24"/>
              </w:rPr>
              <w:t>在制定施工方法中根据本公司的施工能力、经济实力、</w:t>
            </w:r>
          </w:p>
          <w:p w14:paraId="47CE5C68">
            <w:pPr>
              <w:pStyle w:val="7"/>
              <w:spacing w:before="209" w:line="217" w:lineRule="auto"/>
              <w:ind w:left="68"/>
            </w:pPr>
            <w:r>
              <w:rPr>
                <w:spacing w:val="-24"/>
              </w:rPr>
              <w:t>技术水准，坚持科学组织、合理安排、均衡生产，确保</w:t>
            </w:r>
          </w:p>
          <w:p w14:paraId="663CB162">
            <w:pPr>
              <w:pStyle w:val="7"/>
              <w:spacing w:before="207" w:line="219" w:lineRule="auto"/>
              <w:ind w:left="1460"/>
            </w:pPr>
            <w:r>
              <w:rPr>
                <w:spacing w:val="-21"/>
              </w:rPr>
              <w:t>高质量地完成项目建设。</w:t>
            </w:r>
          </w:p>
        </w:tc>
      </w:tr>
      <w:tr w14:paraId="3BA4CC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40" w:hRule="atLeast"/>
        </w:trPr>
        <w:tc>
          <w:tcPr>
            <w:tcW w:w="3798" w:type="dxa"/>
            <w:tcBorders>
              <w:left w:val="single" w:color="1C456A" w:sz="4" w:space="0"/>
              <w:bottom w:val="single" w:color="1C456A" w:sz="4" w:space="0"/>
            </w:tcBorders>
            <w:vAlign w:val="top"/>
          </w:tcPr>
          <w:p w14:paraId="4615DD96">
            <w:pPr>
              <w:spacing w:line="360" w:lineRule="auto"/>
              <w:rPr>
                <w:rFonts w:ascii="Arial"/>
                <w:sz w:val="21"/>
              </w:rPr>
            </w:pPr>
            <w:r>
              <w:pict>
                <v:shape id="_x0000_s1046" o:spid="_x0000_s1046" style="position:absolute;left:0pt;margin-left:-0.2pt;margin-top:57.05pt;height:0.75pt;width:2.2pt;mso-position-horizontal-relative:page;mso-position-vertical-relative:page;z-index:251666432;mso-width-relative:page;mso-height-relative:page;" fillcolor="#5B9BD5" filled="t" stroked="f" coordsize="44,15" path="m0,14l43,14,43,0,0,0,0,14xe">
                  <v:path/>
                  <v:fill on="t" focussize="0,0"/>
                  <v:stroke on="f"/>
                  <v:imagedata o:title=""/>
                  <o:lock v:ext="edit"/>
                </v:shape>
              </w:pict>
            </w:r>
          </w:p>
          <w:p w14:paraId="7E85233A">
            <w:pPr>
              <w:pStyle w:val="7"/>
              <w:spacing w:before="78" w:line="218" w:lineRule="auto"/>
              <w:ind w:left="286"/>
            </w:pPr>
            <w:r>
              <w:rPr>
                <w:spacing w:val="-21"/>
              </w:rPr>
              <w:t>坚持积极推广“四新”成果的原则</w:t>
            </w:r>
          </w:p>
        </w:tc>
        <w:tc>
          <w:tcPr>
            <w:tcW w:w="5296" w:type="dxa"/>
            <w:tcBorders>
              <w:bottom w:val="single" w:color="5B9BD5" w:sz="4" w:space="0"/>
              <w:right w:val="single" w:color="5B9BD5" w:sz="4" w:space="0"/>
            </w:tcBorders>
            <w:vAlign w:val="top"/>
          </w:tcPr>
          <w:p w14:paraId="50EE8BA4">
            <w:pPr>
              <w:pStyle w:val="7"/>
              <w:spacing w:before="196" w:line="359" w:lineRule="auto"/>
              <w:ind w:left="67" w:right="45" w:firstLine="1"/>
            </w:pPr>
            <w:r>
              <w:pict>
                <v:shape id="_x0000_s1047" o:spid="_x0000_s1047" style="position:absolute;left:0pt;margin-left:262.95pt;margin-top:57.05pt;height:0.75pt;width:2.2pt;mso-position-horizontal-relative:page;mso-position-vertical-relative:page;z-index:251665408;mso-width-relative:page;mso-height-relative:page;" fillcolor="#5B9BD5" filled="t" stroked="f" coordsize="44,15" path="m0,14l43,14,43,0,0,0,0,14xe">
                  <v:path/>
                  <v:fill on="t" focussize="0,0"/>
                  <v:stroke on="f"/>
                  <v:imagedata o:title=""/>
                  <o:lock v:ext="edit"/>
                </v:shape>
              </w:pict>
            </w:r>
            <w:r>
              <w:rPr>
                <w:spacing w:val="-25"/>
              </w:rPr>
              <w:t>在各工序施工中，对于能提高或保证工程质量、施工进度、降低成本的新技术、新工艺、新材料、新设备要积</w:t>
            </w:r>
          </w:p>
        </w:tc>
      </w:tr>
    </w:tbl>
    <w:p w14:paraId="1D6C5D84">
      <w:pPr>
        <w:rPr>
          <w:rFonts w:ascii="Arial"/>
          <w:sz w:val="21"/>
        </w:rPr>
      </w:pPr>
    </w:p>
    <w:p w14:paraId="183CE79E">
      <w:pPr>
        <w:rPr>
          <w:rFonts w:ascii="Arial" w:hAnsi="Arial" w:eastAsia="Arial" w:cs="Arial"/>
          <w:sz w:val="21"/>
          <w:szCs w:val="21"/>
        </w:rPr>
        <w:sectPr>
          <w:footerReference r:id="rId19" w:type="default"/>
          <w:pgSz w:w="11907" w:h="16839"/>
          <w:pgMar w:top="1018" w:right="3" w:bottom="1179" w:left="0" w:header="562" w:footer="498" w:gutter="0"/>
          <w:pgBorders>
            <w:top w:val="none" w:sz="0" w:space="0"/>
            <w:left w:val="none" w:sz="0" w:space="0"/>
            <w:bottom w:val="none" w:sz="0" w:space="0"/>
            <w:right w:val="none" w:sz="0" w:space="0"/>
          </w:pgBorders>
          <w:cols w:space="720" w:num="1"/>
        </w:sectPr>
      </w:pPr>
    </w:p>
    <w:p w14:paraId="7D1EEC20">
      <w:pPr>
        <w:spacing w:before="180"/>
      </w:pPr>
    </w:p>
    <w:tbl>
      <w:tblPr>
        <w:tblStyle w:val="6"/>
        <w:tblW w:w="9094" w:type="dxa"/>
        <w:tblInd w:w="140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798"/>
        <w:gridCol w:w="5296"/>
      </w:tblGrid>
      <w:tr w14:paraId="1D4336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16" w:hRule="atLeast"/>
        </w:trPr>
        <w:tc>
          <w:tcPr>
            <w:tcW w:w="3798" w:type="dxa"/>
            <w:tcBorders>
              <w:top w:val="single" w:color="000000" w:sz="4" w:space="0"/>
              <w:left w:val="single" w:color="000000" w:sz="4" w:space="0"/>
            </w:tcBorders>
            <w:vAlign w:val="top"/>
          </w:tcPr>
          <w:p w14:paraId="45E82291">
            <w:pPr>
              <w:rPr>
                <w:rFonts w:ascii="Arial"/>
                <w:sz w:val="21"/>
              </w:rPr>
            </w:pPr>
          </w:p>
        </w:tc>
        <w:tc>
          <w:tcPr>
            <w:tcW w:w="5296" w:type="dxa"/>
            <w:tcBorders>
              <w:top w:val="single" w:color="5B9BD5" w:sz="4" w:space="0"/>
              <w:right w:val="single" w:color="5B9BD5" w:sz="4" w:space="0"/>
            </w:tcBorders>
            <w:vAlign w:val="top"/>
          </w:tcPr>
          <w:p w14:paraId="0CF6CC13">
            <w:pPr>
              <w:pStyle w:val="7"/>
              <w:spacing w:before="218" w:line="216" w:lineRule="auto"/>
              <w:ind w:left="66"/>
            </w:pPr>
            <w:r>
              <w:rPr>
                <w:spacing w:val="-24"/>
              </w:rPr>
              <w:t>极地采用并推广，提高工程施工的科学含量，降低工程</w:t>
            </w:r>
          </w:p>
          <w:p w14:paraId="4B7CBF5F">
            <w:pPr>
              <w:pStyle w:val="7"/>
              <w:spacing w:before="206" w:line="217" w:lineRule="auto"/>
              <w:ind w:left="66"/>
            </w:pPr>
            <w:r>
              <w:rPr>
                <w:spacing w:val="-24"/>
              </w:rPr>
              <w:t>造价。保护生态环境，建设绿色环保工地，落实建筑工</w:t>
            </w:r>
          </w:p>
          <w:p w14:paraId="09EDB3DA">
            <w:pPr>
              <w:pStyle w:val="7"/>
              <w:spacing w:before="207" w:line="216" w:lineRule="auto"/>
              <w:ind w:left="1125"/>
            </w:pPr>
            <w:r>
              <w:rPr>
                <w:spacing w:val="-22"/>
              </w:rPr>
              <w:t>地“六个百分之百”相关要求。</w:t>
            </w:r>
          </w:p>
        </w:tc>
      </w:tr>
      <w:tr w14:paraId="17543C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7" w:hRule="atLeast"/>
        </w:trPr>
        <w:tc>
          <w:tcPr>
            <w:tcW w:w="3798" w:type="dxa"/>
            <w:tcBorders>
              <w:left w:val="single" w:color="000000" w:sz="4" w:space="0"/>
            </w:tcBorders>
            <w:vAlign w:val="top"/>
          </w:tcPr>
          <w:p w14:paraId="6997FD6C">
            <w:pPr>
              <w:pStyle w:val="7"/>
              <w:spacing w:before="186" w:line="216" w:lineRule="auto"/>
              <w:ind w:left="178"/>
            </w:pPr>
            <w:r>
              <w:rPr>
                <w:spacing w:val="-21"/>
              </w:rPr>
              <w:t>坚持专业化作业与综合管理相结合的</w:t>
            </w:r>
          </w:p>
          <w:p w14:paraId="55C06C96">
            <w:pPr>
              <w:pStyle w:val="7"/>
              <w:spacing w:before="208" w:line="219" w:lineRule="auto"/>
              <w:ind w:left="1702"/>
            </w:pPr>
            <w:r>
              <w:rPr>
                <w:spacing w:val="-11"/>
              </w:rPr>
              <w:t>原则</w:t>
            </w:r>
          </w:p>
        </w:tc>
        <w:tc>
          <w:tcPr>
            <w:tcW w:w="5296" w:type="dxa"/>
            <w:tcBorders>
              <w:right w:val="single" w:color="000000" w:sz="4" w:space="0"/>
            </w:tcBorders>
            <w:vAlign w:val="top"/>
          </w:tcPr>
          <w:p w14:paraId="4390A7B5">
            <w:pPr>
              <w:pStyle w:val="7"/>
              <w:spacing w:before="187" w:line="346" w:lineRule="auto"/>
              <w:ind w:left="69" w:right="15"/>
            </w:pPr>
            <w:r>
              <w:rPr>
                <w:spacing w:val="-25"/>
              </w:rPr>
              <w:t>在施工组织方面，发挥专业施工队伍的优势，同时采用</w:t>
            </w:r>
            <w:r>
              <w:rPr>
                <w:spacing w:val="-24"/>
              </w:rPr>
              <w:t>综合管理手段，合理调配，以求达到整体优化的目的。</w:t>
            </w:r>
          </w:p>
        </w:tc>
      </w:tr>
      <w:tr w14:paraId="7FC959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21" w:hRule="atLeast"/>
        </w:trPr>
        <w:tc>
          <w:tcPr>
            <w:tcW w:w="3798" w:type="dxa"/>
            <w:tcBorders>
              <w:left w:val="single" w:color="1C456A" w:sz="4" w:space="0"/>
              <w:bottom w:val="single" w:color="1C456A" w:sz="4" w:space="0"/>
            </w:tcBorders>
            <w:vAlign w:val="top"/>
          </w:tcPr>
          <w:p w14:paraId="28DF8439">
            <w:pPr>
              <w:spacing w:line="297" w:lineRule="auto"/>
              <w:rPr>
                <w:rFonts w:ascii="Arial"/>
                <w:sz w:val="21"/>
              </w:rPr>
            </w:pPr>
          </w:p>
          <w:p w14:paraId="712362F2">
            <w:pPr>
              <w:spacing w:line="297" w:lineRule="auto"/>
              <w:rPr>
                <w:rFonts w:ascii="Arial"/>
                <w:sz w:val="21"/>
              </w:rPr>
            </w:pPr>
          </w:p>
          <w:p w14:paraId="064EE6D5">
            <w:pPr>
              <w:pStyle w:val="7"/>
              <w:spacing w:before="78" w:line="217" w:lineRule="auto"/>
              <w:ind w:left="178"/>
            </w:pPr>
            <w:r>
              <w:rPr>
                <w:spacing w:val="-21"/>
              </w:rPr>
              <w:t>坚持遵循国家、省市及地方相关要求</w:t>
            </w:r>
          </w:p>
        </w:tc>
        <w:tc>
          <w:tcPr>
            <w:tcW w:w="5296" w:type="dxa"/>
            <w:tcBorders>
              <w:bottom w:val="single" w:color="5B9BD5" w:sz="4" w:space="0"/>
              <w:right w:val="single" w:color="5B9BD5" w:sz="4" w:space="0"/>
            </w:tcBorders>
            <w:vAlign w:val="top"/>
          </w:tcPr>
          <w:p w14:paraId="223068BF">
            <w:pPr>
              <w:pStyle w:val="7"/>
              <w:spacing w:before="187" w:line="217" w:lineRule="auto"/>
              <w:ind w:left="65"/>
            </w:pPr>
            <w:r>
              <w:rPr>
                <w:spacing w:val="-24"/>
              </w:rPr>
              <w:t>遵循国家、省、市政府有关环保文件精神，采取有效措</w:t>
            </w:r>
          </w:p>
          <w:p w14:paraId="32189C9F">
            <w:pPr>
              <w:pStyle w:val="7"/>
              <w:spacing w:before="205" w:line="218" w:lineRule="auto"/>
              <w:ind w:left="66"/>
            </w:pPr>
            <w:r>
              <w:rPr>
                <w:spacing w:val="-25"/>
              </w:rPr>
              <w:t>施，减少环境污染，降低噪音。严格遵守国家、省、市</w:t>
            </w:r>
          </w:p>
          <w:p w14:paraId="74B828B5">
            <w:pPr>
              <w:pStyle w:val="7"/>
              <w:spacing w:before="206" w:line="216" w:lineRule="auto"/>
              <w:ind w:left="794"/>
            </w:pPr>
            <w:r>
              <w:rPr>
                <w:spacing w:val="-21"/>
              </w:rPr>
              <w:t>有关消防要求，做好消防、环保工作。</w:t>
            </w:r>
          </w:p>
        </w:tc>
      </w:tr>
    </w:tbl>
    <w:p w14:paraId="5D1C41A7">
      <w:pPr>
        <w:pStyle w:val="2"/>
        <w:spacing w:before="64" w:line="217" w:lineRule="auto"/>
        <w:ind w:left="4869"/>
        <w:outlineLvl w:val="1"/>
        <w:rPr>
          <w:sz w:val="30"/>
          <w:szCs w:val="30"/>
        </w:rPr>
      </w:pPr>
      <w:bookmarkStart w:id="4" w:name="bookmark5"/>
      <w:bookmarkEnd w:id="4"/>
      <w:r>
        <w:rPr>
          <w:b/>
          <w:bCs/>
          <w:color w:val="0070C0"/>
          <w:spacing w:val="-24"/>
          <w:sz w:val="30"/>
          <w:szCs w:val="30"/>
        </w:rPr>
        <w:t>第二节、编制依据</w:t>
      </w:r>
    </w:p>
    <w:p w14:paraId="5855A45B">
      <w:pPr>
        <w:pStyle w:val="2"/>
        <w:spacing w:before="64" w:line="211" w:lineRule="auto"/>
        <w:ind w:left="2341"/>
        <w:outlineLvl w:val="2"/>
        <w:rPr>
          <w:sz w:val="28"/>
          <w:szCs w:val="28"/>
        </w:rPr>
      </w:pPr>
      <w:bookmarkStart w:id="5" w:name="bookmark6"/>
      <w:bookmarkEnd w:id="5"/>
      <w:r>
        <w:rPr>
          <w:b/>
          <w:bCs/>
          <w:spacing w:val="-23"/>
          <w:sz w:val="28"/>
          <w:szCs w:val="28"/>
        </w:rPr>
        <w:t>一、招标人提供的招标文件、招标图纸及相关资料</w:t>
      </w:r>
    </w:p>
    <w:tbl>
      <w:tblPr>
        <w:tblStyle w:val="6"/>
        <w:tblW w:w="9673" w:type="dxa"/>
        <w:tblInd w:w="1116"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58"/>
        <w:gridCol w:w="6685"/>
        <w:gridCol w:w="2130"/>
      </w:tblGrid>
      <w:tr w14:paraId="02DAAD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4" w:hRule="atLeast"/>
        </w:trPr>
        <w:tc>
          <w:tcPr>
            <w:tcW w:w="858" w:type="dxa"/>
            <w:tcBorders>
              <w:top w:val="single" w:color="000000" w:sz="4" w:space="0"/>
              <w:left w:val="single" w:color="000000" w:sz="4" w:space="0"/>
            </w:tcBorders>
            <w:shd w:val="clear" w:color="auto" w:fill="DEEAF6"/>
            <w:vAlign w:val="top"/>
          </w:tcPr>
          <w:p w14:paraId="4678C67B">
            <w:pPr>
              <w:spacing w:line="93" w:lineRule="exact"/>
            </w:pPr>
            <w:r>
              <w:rPr>
                <w:position w:val="-1"/>
              </w:rPr>
              <w:pict>
                <v:group id="_x0000_s1048" o:spid="_x0000_s1048" o:spt="203" style="height:5.2pt;width:44.7pt;" coordsize="894,103">
                  <o:lock v:ext="edit"/>
                  <v:shape id="_x0000_s1049" o:spid="_x0000_s1049" style="position:absolute;left:0;top:0;height:15;width:44;" fillcolor="#5B9BD5" filled="t" stroked="f" coordsize="44,15" path="m0,14l43,14,43,0,0,0,0,14xe">
                    <v:path/>
                    <v:fill on="t" focussize="0,0"/>
                    <v:stroke on="f"/>
                    <v:imagedata o:title=""/>
                    <o:lock v:ext="edit"/>
                  </v:shape>
                  <v:shape id="_x0000_s1050" o:spid="_x0000_s1050" style="position:absolute;left:43;top:43;height:60;width:806;" fillcolor="#DEEAF6" filled="t" stroked="f" coordsize="806,60" path="m0,60l806,60,806,0,0,0,0,60xe">
                    <v:path/>
                    <v:fill on="t" focussize="0,0"/>
                    <v:stroke on="f"/>
                    <v:imagedata o:title=""/>
                    <o:lock v:ext="edit"/>
                  </v:shape>
                  <v:shape id="_x0000_s1051" o:spid="_x0000_s1051" style="position:absolute;left:850;top:0;height:15;width:44;" fillcolor="#5B9BD5" filled="t" stroked="f" coordsize="44,15" path="m0,14l43,14,43,0,0,0,0,14xe">
                    <v:path/>
                    <v:fill on="t" focussize="0,0"/>
                    <v:stroke on="f"/>
                    <v:imagedata o:title=""/>
                    <o:lock v:ext="edit"/>
                  </v:shape>
                  <v:shape id="_x0000_s1052" o:spid="_x0000_s1052" style="position:absolute;left:850;top:14;height:15;width:44;" fillcolor="#20507B" filled="t" stroked="f" coordsize="44,15" path="m0,14l43,14,43,0,0,0,0,14xe">
                    <v:path/>
                    <v:fill on="t" focussize="0,0"/>
                    <v:stroke on="f"/>
                    <v:imagedata o:title=""/>
                    <o:lock v:ext="edit"/>
                  </v:shape>
                  <v:shape id="_x0000_s1053" o:spid="_x0000_s1053" style="position:absolute;left:850;top:28;height:15;width:44;" fillcolor="#1C456A" filled="t" stroked="f" coordsize="44,15" path="m0,14l43,14,43,0,0,0,0,14xe">
                    <v:path/>
                    <v:fill on="t" focussize="0,0"/>
                    <v:stroke on="f"/>
                    <v:imagedata o:title=""/>
                    <o:lock v:ext="edit"/>
                  </v:shape>
                  <w10:wrap type="none"/>
                  <w10:anchorlock/>
                </v:group>
              </w:pict>
            </w:r>
          </w:p>
          <w:p w14:paraId="06E92261">
            <w:pPr>
              <w:pStyle w:val="7"/>
              <w:spacing w:before="122" w:line="218" w:lineRule="auto"/>
              <w:ind w:left="224"/>
            </w:pPr>
            <w:r>
              <w:rPr>
                <w:b/>
                <w:bCs/>
                <w:spacing w:val="-12"/>
              </w:rPr>
              <w:t>序号</w:t>
            </w:r>
          </w:p>
        </w:tc>
        <w:tc>
          <w:tcPr>
            <w:tcW w:w="6685" w:type="dxa"/>
            <w:tcBorders>
              <w:top w:val="single" w:color="5B9BD5" w:sz="4" w:space="0"/>
              <w:right w:val="nil"/>
            </w:tcBorders>
            <w:shd w:val="clear" w:color="auto" w:fill="DEEAF6"/>
            <w:vAlign w:val="top"/>
          </w:tcPr>
          <w:p w14:paraId="63F76A68">
            <w:pPr>
              <w:pStyle w:val="7"/>
              <w:spacing w:before="215" w:line="218" w:lineRule="auto"/>
              <w:ind w:left="4218"/>
            </w:pPr>
            <w:r>
              <w:rPr>
                <w:b/>
                <w:bCs/>
                <w:spacing w:val="-20"/>
              </w:rPr>
              <w:t>内容</w:t>
            </w:r>
          </w:p>
        </w:tc>
        <w:tc>
          <w:tcPr>
            <w:tcW w:w="2130" w:type="dxa"/>
            <w:tcBorders>
              <w:top w:val="single" w:color="5B9BD5" w:sz="4" w:space="0"/>
              <w:left w:val="nil"/>
              <w:right w:val="single" w:color="5B9BD5" w:sz="4" w:space="0"/>
            </w:tcBorders>
            <w:shd w:val="clear" w:color="auto" w:fill="DEEAF6"/>
            <w:vAlign w:val="top"/>
          </w:tcPr>
          <w:p w14:paraId="52D8E828">
            <w:pPr>
              <w:rPr>
                <w:rFonts w:ascii="Arial"/>
                <w:sz w:val="21"/>
              </w:rPr>
            </w:pPr>
            <w:r>
              <w:pict>
                <v:shape id="_x0000_s1054" o:spid="_x0000_s1054" style="position:absolute;left:0pt;margin-left:104.65pt;margin-top:0pt;height:0.75pt;width:2.2pt;mso-position-horizontal-relative:page;mso-position-vertical-relative:page;z-index:251667456;mso-width-relative:page;mso-height-relative:page;" fillcolor="#5B9BD5" filled="t" stroked="f" coordsize="44,15" path="m0,14l43,14,43,0,0,0,0,14xe">
                  <v:path/>
                  <v:fill on="t" focussize="0,0"/>
                  <v:stroke on="f"/>
                  <v:imagedata o:title=""/>
                  <o:lock v:ext="edit"/>
                </v:shape>
              </w:pict>
            </w:r>
          </w:p>
        </w:tc>
      </w:tr>
      <w:tr w14:paraId="47DF78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1" w:hRule="atLeast"/>
        </w:trPr>
        <w:tc>
          <w:tcPr>
            <w:tcW w:w="858" w:type="dxa"/>
            <w:tcBorders>
              <w:left w:val="single" w:color="000000" w:sz="4" w:space="0"/>
            </w:tcBorders>
            <w:vAlign w:val="top"/>
          </w:tcPr>
          <w:p w14:paraId="2D87C39A">
            <w:pPr>
              <w:pStyle w:val="7"/>
              <w:spacing w:before="211" w:line="238" w:lineRule="auto"/>
              <w:ind w:left="400"/>
            </w:pPr>
            <w:r>
              <w:t>1</w:t>
            </w:r>
          </w:p>
        </w:tc>
        <w:tc>
          <w:tcPr>
            <w:tcW w:w="8815" w:type="dxa"/>
            <w:gridSpan w:val="2"/>
            <w:tcBorders>
              <w:right w:val="single" w:color="000000" w:sz="4" w:space="0"/>
            </w:tcBorders>
            <w:vAlign w:val="top"/>
          </w:tcPr>
          <w:p w14:paraId="093A9E70">
            <w:pPr>
              <w:pStyle w:val="7"/>
              <w:spacing w:before="211" w:line="218" w:lineRule="auto"/>
              <w:ind w:left="1180"/>
            </w:pPr>
            <w:r>
              <w:rPr>
                <w:rFonts w:hint="eastAsia"/>
                <w:spacing w:val="-18"/>
                <w:lang w:eastAsia="zh-CN"/>
              </w:rPr>
              <w:t>某路供水管道工程施工</w:t>
            </w:r>
            <w:r>
              <w:rPr>
                <w:spacing w:val="-19"/>
              </w:rPr>
              <w:t>招标文件</w:t>
            </w:r>
          </w:p>
        </w:tc>
      </w:tr>
      <w:tr w14:paraId="446ABC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2" w:hRule="atLeast"/>
        </w:trPr>
        <w:tc>
          <w:tcPr>
            <w:tcW w:w="858" w:type="dxa"/>
            <w:tcBorders>
              <w:left w:val="single" w:color="000000" w:sz="4" w:space="0"/>
            </w:tcBorders>
            <w:vAlign w:val="top"/>
          </w:tcPr>
          <w:p w14:paraId="71A89D64">
            <w:pPr>
              <w:pStyle w:val="7"/>
              <w:spacing w:before="207" w:line="238" w:lineRule="auto"/>
              <w:ind w:left="385"/>
            </w:pPr>
            <w:r>
              <w:t>2</w:t>
            </w:r>
          </w:p>
        </w:tc>
        <w:tc>
          <w:tcPr>
            <w:tcW w:w="8815" w:type="dxa"/>
            <w:gridSpan w:val="2"/>
            <w:tcBorders>
              <w:right w:val="single" w:color="000000" w:sz="4" w:space="0"/>
            </w:tcBorders>
            <w:vAlign w:val="top"/>
          </w:tcPr>
          <w:p w14:paraId="53AF251A">
            <w:pPr>
              <w:pStyle w:val="7"/>
              <w:spacing w:before="207" w:line="218" w:lineRule="auto"/>
              <w:ind w:left="1070"/>
            </w:pPr>
            <w:r>
              <w:rPr>
                <w:rFonts w:hint="eastAsia"/>
                <w:spacing w:val="-18"/>
                <w:lang w:eastAsia="zh-CN"/>
              </w:rPr>
              <w:t>某路供水管道工程施工</w:t>
            </w:r>
            <w:r>
              <w:rPr>
                <w:spacing w:val="-19"/>
              </w:rPr>
              <w:t>施工图设计</w:t>
            </w:r>
          </w:p>
        </w:tc>
      </w:tr>
      <w:tr w14:paraId="03F783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4" w:hRule="atLeast"/>
        </w:trPr>
        <w:tc>
          <w:tcPr>
            <w:tcW w:w="858" w:type="dxa"/>
            <w:tcBorders>
              <w:left w:val="single" w:color="000000" w:sz="4" w:space="0"/>
            </w:tcBorders>
            <w:vAlign w:val="top"/>
          </w:tcPr>
          <w:p w14:paraId="66A6CE6D">
            <w:pPr>
              <w:pStyle w:val="7"/>
              <w:spacing w:before="202" w:line="237" w:lineRule="auto"/>
              <w:ind w:left="387"/>
            </w:pPr>
            <w:r>
              <w:t>3</w:t>
            </w:r>
          </w:p>
        </w:tc>
        <w:tc>
          <w:tcPr>
            <w:tcW w:w="8815" w:type="dxa"/>
            <w:gridSpan w:val="2"/>
            <w:tcBorders>
              <w:right w:val="single" w:color="000000" w:sz="4" w:space="0"/>
            </w:tcBorders>
            <w:vAlign w:val="top"/>
          </w:tcPr>
          <w:p w14:paraId="2B06AFA2">
            <w:pPr>
              <w:pStyle w:val="7"/>
              <w:spacing w:before="202" w:line="218" w:lineRule="auto"/>
              <w:ind w:left="1180"/>
            </w:pPr>
            <w:r>
              <w:rPr>
                <w:rFonts w:hint="eastAsia"/>
                <w:spacing w:val="-18"/>
                <w:lang w:eastAsia="zh-CN"/>
              </w:rPr>
              <w:t>某路供水管道工程施工</w:t>
            </w:r>
            <w:r>
              <w:rPr>
                <w:spacing w:val="-19"/>
              </w:rPr>
              <w:t>答疑文件</w:t>
            </w:r>
          </w:p>
        </w:tc>
      </w:tr>
      <w:tr w14:paraId="30BEBF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3" w:hRule="atLeast"/>
        </w:trPr>
        <w:tc>
          <w:tcPr>
            <w:tcW w:w="858" w:type="dxa"/>
            <w:tcBorders>
              <w:left w:val="single" w:color="000000" w:sz="4" w:space="0"/>
              <w:bottom w:val="single" w:color="000000" w:sz="4" w:space="0"/>
            </w:tcBorders>
            <w:vAlign w:val="top"/>
          </w:tcPr>
          <w:p w14:paraId="258486AF">
            <w:pPr>
              <w:pStyle w:val="7"/>
              <w:spacing w:before="198" w:line="238" w:lineRule="auto"/>
              <w:ind w:left="381"/>
            </w:pPr>
            <w:r>
              <w:t>4</w:t>
            </w:r>
          </w:p>
          <w:p w14:paraId="05272255">
            <w:pPr>
              <w:spacing w:before="112" w:line="23" w:lineRule="exact"/>
            </w:pPr>
            <w:r>
              <w:rPr>
                <w:position w:val="-2"/>
              </w:rPr>
              <w:pict>
                <v:group id="_x0000_s1055" o:spid="_x0000_s1055" o:spt="203" style="height:2.2pt;width:42.55pt;" coordsize="850,44">
                  <o:lock v:ext="edit"/>
                  <v:shape id="_x0000_s1056" o:spid="_x0000_s1056" style="position:absolute;left:0;top:28;height:15;width:44;" fillcolor="#5B9BD5" filled="t" stroked="f" coordsize="44,15" path="m0,14l43,14,43,0,0,0,0,14xe">
                    <v:path/>
                    <v:fill on="t" focussize="0,0"/>
                    <v:stroke on="f"/>
                    <v:imagedata o:title=""/>
                    <o:lock v:ext="edit"/>
                  </v:shape>
                  <v:shape id="_x0000_s1057" o:spid="_x0000_s1057" style="position:absolute;left:43;top:0;height:15;width:806;" fillcolor="#1C456A" filled="t" stroked="f" coordsize="806,15" path="m0,14l806,14,806,0,0,0,0,14xe">
                    <v:path/>
                    <v:fill on="t" focussize="0,0"/>
                    <v:stroke on="f"/>
                    <v:imagedata o:title=""/>
                    <o:lock v:ext="edit"/>
                  </v:shape>
                  <w10:wrap type="none"/>
                  <w10:anchorlock/>
                </v:group>
              </w:pict>
            </w:r>
          </w:p>
        </w:tc>
        <w:tc>
          <w:tcPr>
            <w:tcW w:w="8815" w:type="dxa"/>
            <w:gridSpan w:val="2"/>
            <w:tcBorders>
              <w:bottom w:val="single" w:color="5B9BD5" w:sz="4" w:space="0"/>
              <w:right w:val="single" w:color="5B9BD5" w:sz="4" w:space="0"/>
            </w:tcBorders>
            <w:vAlign w:val="top"/>
          </w:tcPr>
          <w:p w14:paraId="49ACF15F">
            <w:pPr>
              <w:pStyle w:val="7"/>
              <w:spacing w:before="197" w:line="216" w:lineRule="auto"/>
              <w:ind w:left="3756"/>
            </w:pPr>
            <w:r>
              <w:rPr>
                <w:spacing w:val="-18"/>
              </w:rPr>
              <w:t>其他相关材料</w:t>
            </w:r>
          </w:p>
          <w:p w14:paraId="0FCC78C6">
            <w:pPr>
              <w:spacing w:before="141" w:line="23" w:lineRule="exact"/>
              <w:ind w:firstLine="27"/>
            </w:pPr>
            <w:r>
              <w:rPr>
                <w:position w:val="-2"/>
              </w:rPr>
              <w:pict>
                <v:group id="_x0000_s1058" o:spid="_x0000_s1058" o:spt="203" style="height:2.2pt;width:439.55pt;" coordsize="8790,44">
                  <o:lock v:ext="edit"/>
                  <v:shape id="_x0000_s1059" o:spid="_x0000_s1059" style="position:absolute;left:0;top:0;height:15;width:8747;" fillcolor="#1C456A" filled="t" stroked="f" coordsize="8747,15" path="m0,14l8746,14,8746,0,0,0,0,14xe">
                    <v:path/>
                    <v:fill on="t" focussize="0,0"/>
                    <v:stroke on="f"/>
                    <v:imagedata o:title=""/>
                    <o:lock v:ext="edit"/>
                  </v:shape>
                  <v:shape id="_x0000_s1060" o:spid="_x0000_s1060" style="position:absolute;left:8747;top:28;height:15;width:44;" fillcolor="#5B9BD5" filled="t" stroked="f" coordsize="44,15" path="m0,14l43,14,43,0,0,0,0,14xe">
                    <v:path/>
                    <v:fill on="t" focussize="0,0"/>
                    <v:stroke on="f"/>
                    <v:imagedata o:title=""/>
                    <o:lock v:ext="edit"/>
                  </v:shape>
                  <w10:wrap type="none"/>
                  <w10:anchorlock/>
                </v:group>
              </w:pict>
            </w:r>
          </w:p>
        </w:tc>
      </w:tr>
    </w:tbl>
    <w:p w14:paraId="7E54888B">
      <w:pPr>
        <w:rPr>
          <w:rFonts w:ascii="Arial"/>
          <w:sz w:val="21"/>
        </w:rPr>
      </w:pPr>
      <w:bookmarkStart w:id="6" w:name="bookmark7"/>
      <w:bookmarkEnd w:id="6"/>
    </w:p>
    <w:p w14:paraId="7380D99E">
      <w:pPr>
        <w:rPr>
          <w:rFonts w:ascii="Arial" w:hAnsi="Arial" w:eastAsia="Arial" w:cs="Arial"/>
          <w:sz w:val="21"/>
          <w:szCs w:val="21"/>
        </w:rPr>
        <w:sectPr>
          <w:footerReference r:id="rId20" w:type="default"/>
          <w:pgSz w:w="11907" w:h="16839"/>
          <w:pgMar w:top="1018" w:right="3" w:bottom="1179" w:left="0" w:header="562" w:footer="498" w:gutter="0"/>
          <w:pgBorders>
            <w:top w:val="none" w:sz="0" w:space="0"/>
            <w:left w:val="none" w:sz="0" w:space="0"/>
            <w:bottom w:val="none" w:sz="0" w:space="0"/>
            <w:right w:val="none" w:sz="0" w:space="0"/>
          </w:pgBorders>
          <w:cols w:space="720" w:num="1"/>
        </w:sectPr>
      </w:pPr>
    </w:p>
    <w:p w14:paraId="19684E9A">
      <w:pPr>
        <w:spacing w:before="180"/>
      </w:pPr>
    </w:p>
    <w:p w14:paraId="1BA5BEB3">
      <w:pPr>
        <w:pStyle w:val="2"/>
        <w:spacing w:before="115" w:line="216" w:lineRule="auto"/>
        <w:ind w:left="2263"/>
        <w:rPr>
          <w:sz w:val="24"/>
          <w:szCs w:val="24"/>
        </w:rPr>
      </w:pPr>
      <w:r>
        <w:rPr>
          <w:spacing w:val="-14"/>
          <w:sz w:val="24"/>
          <w:szCs w:val="24"/>
        </w:rPr>
        <w:t>主要相关国家法律、法规及规范性文件一览表</w:t>
      </w:r>
    </w:p>
    <w:p w14:paraId="642B07CB">
      <w:pPr>
        <w:spacing w:line="55" w:lineRule="auto"/>
        <w:rPr>
          <w:rFonts w:ascii="Arial"/>
          <w:sz w:val="2"/>
        </w:rPr>
      </w:pPr>
    </w:p>
    <w:tbl>
      <w:tblPr>
        <w:tblStyle w:val="6"/>
        <w:tblW w:w="9493" w:type="dxa"/>
        <w:tblInd w:w="120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96"/>
        <w:gridCol w:w="872"/>
        <w:gridCol w:w="5864"/>
        <w:gridCol w:w="2294"/>
        <w:gridCol w:w="167"/>
      </w:tblGrid>
      <w:tr w14:paraId="31092A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5" w:hRule="atLeast"/>
        </w:trPr>
        <w:tc>
          <w:tcPr>
            <w:tcW w:w="1168" w:type="dxa"/>
            <w:gridSpan w:val="2"/>
            <w:tcBorders>
              <w:top w:val="single" w:color="000000" w:sz="4" w:space="0"/>
              <w:left w:val="single" w:color="000000" w:sz="4" w:space="0"/>
            </w:tcBorders>
            <w:shd w:val="clear" w:color="auto" w:fill="DEEAF6"/>
            <w:vAlign w:val="top"/>
          </w:tcPr>
          <w:p w14:paraId="6C544073">
            <w:pPr>
              <w:pStyle w:val="7"/>
              <w:spacing w:before="268" w:line="218" w:lineRule="auto"/>
              <w:ind w:left="380"/>
            </w:pPr>
            <w:r>
              <w:rPr>
                <w:b/>
                <w:bCs/>
                <w:spacing w:val="-12"/>
              </w:rPr>
              <w:t>序号</w:t>
            </w:r>
          </w:p>
        </w:tc>
        <w:tc>
          <w:tcPr>
            <w:tcW w:w="5864" w:type="dxa"/>
            <w:tcBorders>
              <w:top w:val="single" w:color="000000" w:sz="4" w:space="0"/>
            </w:tcBorders>
            <w:shd w:val="clear" w:color="auto" w:fill="DEEAF6"/>
            <w:vAlign w:val="top"/>
          </w:tcPr>
          <w:p w14:paraId="599DEB06">
            <w:pPr>
              <w:pStyle w:val="7"/>
              <w:spacing w:before="268" w:line="216" w:lineRule="auto"/>
              <w:ind w:left="1853"/>
            </w:pPr>
            <w:r>
              <w:rPr>
                <w:b/>
                <w:bCs/>
                <w:spacing w:val="-22"/>
              </w:rPr>
              <w:t>法规和规范性文件名称</w:t>
            </w:r>
          </w:p>
        </w:tc>
        <w:tc>
          <w:tcPr>
            <w:tcW w:w="2461" w:type="dxa"/>
            <w:gridSpan w:val="2"/>
            <w:tcBorders>
              <w:top w:val="single" w:color="5B9BD5" w:sz="4" w:space="0"/>
              <w:right w:val="single" w:color="5B9BD5" w:sz="4" w:space="0"/>
            </w:tcBorders>
            <w:shd w:val="clear" w:color="auto" w:fill="DEEAF6"/>
            <w:vAlign w:val="top"/>
          </w:tcPr>
          <w:p w14:paraId="3E66E43A">
            <w:pPr>
              <w:pStyle w:val="7"/>
              <w:spacing w:before="268" w:line="220" w:lineRule="auto"/>
              <w:ind w:left="917"/>
            </w:pPr>
            <w:r>
              <w:rPr>
                <w:b/>
                <w:bCs/>
                <w:spacing w:val="-11"/>
              </w:rPr>
              <w:t>文号</w:t>
            </w:r>
          </w:p>
        </w:tc>
      </w:tr>
      <w:tr w14:paraId="7F0791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1168" w:type="dxa"/>
            <w:gridSpan w:val="2"/>
            <w:tcBorders>
              <w:left w:val="single" w:color="000000" w:sz="4" w:space="0"/>
            </w:tcBorders>
            <w:vAlign w:val="top"/>
          </w:tcPr>
          <w:p w14:paraId="0B5E417E">
            <w:pPr>
              <w:pStyle w:val="7"/>
              <w:spacing w:before="223" w:line="238" w:lineRule="auto"/>
              <w:ind w:left="556"/>
            </w:pPr>
            <w:r>
              <w:t>1</w:t>
            </w:r>
          </w:p>
        </w:tc>
        <w:tc>
          <w:tcPr>
            <w:tcW w:w="5864" w:type="dxa"/>
            <w:vAlign w:val="top"/>
          </w:tcPr>
          <w:p w14:paraId="2DE4B74B">
            <w:pPr>
              <w:pStyle w:val="7"/>
              <w:spacing w:before="223" w:line="217" w:lineRule="auto"/>
              <w:ind w:left="1627"/>
            </w:pPr>
            <w:r>
              <w:rPr>
                <w:spacing w:val="-20"/>
              </w:rPr>
              <w:t>《中华人民共和国民法典》</w:t>
            </w:r>
          </w:p>
        </w:tc>
        <w:tc>
          <w:tcPr>
            <w:tcW w:w="2294" w:type="dxa"/>
            <w:tcBorders>
              <w:right w:val="nil"/>
            </w:tcBorders>
            <w:vAlign w:val="top"/>
          </w:tcPr>
          <w:p w14:paraId="1DD0106A">
            <w:pPr>
              <w:pStyle w:val="7"/>
              <w:spacing w:before="223" w:line="218" w:lineRule="auto"/>
              <w:ind w:left="337"/>
            </w:pPr>
            <w:r>
              <w:rPr>
                <w:spacing w:val="-22"/>
              </w:rPr>
              <w:t>国家主席令第15号</w:t>
            </w:r>
          </w:p>
        </w:tc>
        <w:tc>
          <w:tcPr>
            <w:tcW w:w="167" w:type="dxa"/>
            <w:tcBorders>
              <w:left w:val="nil"/>
              <w:right w:val="single" w:color="000000" w:sz="4" w:space="0"/>
            </w:tcBorders>
            <w:vAlign w:val="top"/>
          </w:tcPr>
          <w:p w14:paraId="2060B4FE">
            <w:pPr>
              <w:spacing w:before="21" w:line="67" w:lineRule="exact"/>
              <w:ind w:firstLine="129"/>
            </w:pPr>
            <w:r>
              <w:rPr>
                <w:position w:val="-1"/>
              </w:rPr>
              <w:pict>
                <v:group id="_x0000_s1089" o:spid="_x0000_s1089" o:spt="203" style="height:3.4pt;width:1.45pt;" coordsize="29,68">
                  <o:lock v:ext="edit"/>
                  <v:shape id="_x0000_s1090" o:spid="_x0000_s1090" style="position:absolute;left:14;top:0;height:68;width:15;" fillcolor="#20507B" filled="t" stroked="f" coordsize="15,68" path="m0,67l14,67,14,0,0,0,0,67xe">
                    <v:path/>
                    <v:fill on="t" focussize="0,0"/>
                    <v:stroke on="f"/>
                    <v:imagedata o:title=""/>
                    <o:lock v:ext="edit"/>
                  </v:shape>
                  <v:shape id="_x0000_s1091" o:spid="_x0000_s1091" style="position:absolute;left:0;top:0;height:68;width:15;" fillcolor="#1C456A" filled="t" stroked="f" coordsize="15,68" path="m0,67l14,67,14,0,0,0,0,67xe">
                    <v:path/>
                    <v:fill on="t" focussize="0,0"/>
                    <v:stroke on="f"/>
                    <v:imagedata o:title=""/>
                    <o:lock v:ext="edit"/>
                  </v:shape>
                  <w10:wrap type="none"/>
                  <w10:anchorlock/>
                </v:group>
              </w:pict>
            </w:r>
          </w:p>
        </w:tc>
      </w:tr>
      <w:tr w14:paraId="0F9CEB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1" w:hRule="atLeast"/>
        </w:trPr>
        <w:tc>
          <w:tcPr>
            <w:tcW w:w="1168" w:type="dxa"/>
            <w:gridSpan w:val="2"/>
            <w:tcBorders>
              <w:left w:val="single" w:color="000000" w:sz="4" w:space="0"/>
            </w:tcBorders>
            <w:vAlign w:val="top"/>
          </w:tcPr>
          <w:p w14:paraId="55D087E0">
            <w:pPr>
              <w:pStyle w:val="7"/>
              <w:spacing w:before="216" w:line="238" w:lineRule="auto"/>
              <w:ind w:left="541"/>
            </w:pPr>
            <w:r>
              <w:t>2</w:t>
            </w:r>
          </w:p>
        </w:tc>
        <w:tc>
          <w:tcPr>
            <w:tcW w:w="5864" w:type="dxa"/>
            <w:vAlign w:val="top"/>
          </w:tcPr>
          <w:p w14:paraId="7EA10DEA">
            <w:pPr>
              <w:pStyle w:val="7"/>
              <w:spacing w:before="215" w:line="217" w:lineRule="auto"/>
              <w:ind w:left="1408"/>
            </w:pPr>
            <w:r>
              <w:rPr>
                <w:spacing w:val="-20"/>
              </w:rPr>
              <w:t>《中华人民共和国环境保护法》</w:t>
            </w:r>
          </w:p>
        </w:tc>
        <w:tc>
          <w:tcPr>
            <w:tcW w:w="2294" w:type="dxa"/>
            <w:tcBorders>
              <w:right w:val="nil"/>
            </w:tcBorders>
            <w:vAlign w:val="top"/>
          </w:tcPr>
          <w:p w14:paraId="62F5B63E">
            <w:pPr>
              <w:pStyle w:val="7"/>
              <w:spacing w:before="216" w:line="218" w:lineRule="auto"/>
              <w:ind w:left="337"/>
            </w:pPr>
            <w:r>
              <w:rPr>
                <w:spacing w:val="-15"/>
              </w:rPr>
              <w:t>国家主席令第22号</w:t>
            </w:r>
          </w:p>
        </w:tc>
        <w:tc>
          <w:tcPr>
            <w:tcW w:w="167" w:type="dxa"/>
            <w:tcBorders>
              <w:left w:val="nil"/>
              <w:right w:val="single" w:color="000000" w:sz="4" w:space="0"/>
            </w:tcBorders>
            <w:vAlign w:val="top"/>
          </w:tcPr>
          <w:p w14:paraId="232E54EF">
            <w:pPr>
              <w:spacing w:before="19" w:line="67" w:lineRule="exact"/>
              <w:ind w:firstLine="129"/>
            </w:pPr>
            <w:r>
              <w:rPr>
                <w:position w:val="-1"/>
              </w:rPr>
              <w:pict>
                <v:group id="_x0000_s1092" o:spid="_x0000_s1092" o:spt="203" style="height:3.4pt;width:1.45pt;" coordsize="29,68">
                  <o:lock v:ext="edit"/>
                  <v:shape id="_x0000_s1093" o:spid="_x0000_s1093" style="position:absolute;left:14;top:0;height:68;width:15;" fillcolor="#20507B" filled="t" stroked="f" coordsize="15,68" path="m0,67l14,67,14,0,0,0,0,67xe">
                    <v:path/>
                    <v:fill on="t" focussize="0,0"/>
                    <v:stroke on="f"/>
                    <v:imagedata o:title=""/>
                    <o:lock v:ext="edit"/>
                  </v:shape>
                  <v:shape id="_x0000_s1094" o:spid="_x0000_s1094" style="position:absolute;left:0;top:0;height:68;width:15;" fillcolor="#1C456A" filled="t" stroked="f" coordsize="15,68" path="m0,67l14,67,14,0,0,0,0,67xe">
                    <v:path/>
                    <v:fill on="t" focussize="0,0"/>
                    <v:stroke on="f"/>
                    <v:imagedata o:title=""/>
                    <o:lock v:ext="edit"/>
                  </v:shape>
                  <w10:wrap type="none"/>
                  <w10:anchorlock/>
                </v:group>
              </w:pict>
            </w:r>
          </w:p>
        </w:tc>
      </w:tr>
      <w:tr w14:paraId="6B517A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4" w:hRule="atLeast"/>
        </w:trPr>
        <w:tc>
          <w:tcPr>
            <w:tcW w:w="1168" w:type="dxa"/>
            <w:gridSpan w:val="2"/>
            <w:tcBorders>
              <w:left w:val="single" w:color="000000" w:sz="4" w:space="0"/>
            </w:tcBorders>
            <w:vAlign w:val="top"/>
          </w:tcPr>
          <w:p w14:paraId="21BBB1C1">
            <w:pPr>
              <w:pStyle w:val="7"/>
              <w:spacing w:before="216" w:line="237" w:lineRule="auto"/>
              <w:ind w:left="543"/>
            </w:pPr>
            <w:r>
              <w:t>3</w:t>
            </w:r>
          </w:p>
        </w:tc>
        <w:tc>
          <w:tcPr>
            <w:tcW w:w="5864" w:type="dxa"/>
            <w:vAlign w:val="top"/>
          </w:tcPr>
          <w:p w14:paraId="280B6D4C">
            <w:pPr>
              <w:pStyle w:val="7"/>
              <w:spacing w:before="217" w:line="217" w:lineRule="auto"/>
              <w:ind w:left="1627"/>
            </w:pPr>
            <w:r>
              <w:rPr>
                <w:spacing w:val="-20"/>
              </w:rPr>
              <w:t>《中华人民共和国建筑法》</w:t>
            </w:r>
          </w:p>
        </w:tc>
        <w:tc>
          <w:tcPr>
            <w:tcW w:w="2294" w:type="dxa"/>
            <w:tcBorders>
              <w:right w:val="nil"/>
            </w:tcBorders>
            <w:vAlign w:val="top"/>
          </w:tcPr>
          <w:p w14:paraId="06977E50">
            <w:pPr>
              <w:pStyle w:val="7"/>
              <w:spacing w:before="216" w:line="218" w:lineRule="auto"/>
              <w:ind w:left="337"/>
            </w:pPr>
            <w:r>
              <w:rPr>
                <w:spacing w:val="-15"/>
              </w:rPr>
              <w:t>国家主席令第46号</w:t>
            </w:r>
          </w:p>
        </w:tc>
        <w:tc>
          <w:tcPr>
            <w:tcW w:w="167" w:type="dxa"/>
            <w:tcBorders>
              <w:left w:val="nil"/>
              <w:right w:val="single" w:color="000000" w:sz="4" w:space="0"/>
            </w:tcBorders>
            <w:vAlign w:val="top"/>
          </w:tcPr>
          <w:p w14:paraId="212B716C">
            <w:pPr>
              <w:spacing w:before="17" w:line="67" w:lineRule="exact"/>
              <w:ind w:firstLine="129"/>
            </w:pPr>
            <w:r>
              <w:rPr>
                <w:position w:val="-1"/>
              </w:rPr>
              <w:pict>
                <v:group id="_x0000_s1095" o:spid="_x0000_s1095" o:spt="203" style="height:3.4pt;width:1.45pt;" coordsize="29,68">
                  <o:lock v:ext="edit"/>
                  <v:shape id="_x0000_s1096" o:spid="_x0000_s1096" style="position:absolute;left:14;top:0;height:68;width:15;" fillcolor="#20507B" filled="t" stroked="f" coordsize="15,68" path="m0,67l14,67,14,0,0,0,0,67xe">
                    <v:path/>
                    <v:fill on="t" focussize="0,0"/>
                    <v:stroke on="f"/>
                    <v:imagedata o:title=""/>
                    <o:lock v:ext="edit"/>
                  </v:shape>
                  <v:shape id="_x0000_s1097" o:spid="_x0000_s1097" style="position:absolute;left:0;top:0;height:68;width:15;" fillcolor="#1C456A" filled="t" stroked="f" coordsize="15,68" path="m0,67l14,67,14,0,0,0,0,67xe">
                    <v:path/>
                    <v:fill on="t" focussize="0,0"/>
                    <v:stroke on="f"/>
                    <v:imagedata o:title=""/>
                    <o:lock v:ext="edit"/>
                  </v:shape>
                  <w10:wrap type="none"/>
                  <w10:anchorlock/>
                </v:group>
              </w:pict>
            </w:r>
          </w:p>
        </w:tc>
      </w:tr>
      <w:tr w14:paraId="447C56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4" w:hRule="atLeast"/>
        </w:trPr>
        <w:tc>
          <w:tcPr>
            <w:tcW w:w="1168" w:type="dxa"/>
            <w:gridSpan w:val="2"/>
            <w:tcBorders>
              <w:left w:val="single" w:color="000000" w:sz="4" w:space="0"/>
            </w:tcBorders>
            <w:vAlign w:val="top"/>
          </w:tcPr>
          <w:p w14:paraId="5D1D46EE">
            <w:pPr>
              <w:pStyle w:val="7"/>
              <w:spacing w:before="214" w:line="238" w:lineRule="auto"/>
              <w:ind w:left="537"/>
            </w:pPr>
            <w:r>
              <w:t>4</w:t>
            </w:r>
          </w:p>
        </w:tc>
        <w:tc>
          <w:tcPr>
            <w:tcW w:w="5864" w:type="dxa"/>
            <w:vAlign w:val="top"/>
          </w:tcPr>
          <w:p w14:paraId="0F01F003">
            <w:pPr>
              <w:pStyle w:val="7"/>
              <w:spacing w:before="214" w:line="217" w:lineRule="auto"/>
              <w:ind w:left="1408"/>
            </w:pPr>
            <w:r>
              <w:rPr>
                <w:spacing w:val="-20"/>
              </w:rPr>
              <w:t>《中华人民共和国安全生产法》</w:t>
            </w:r>
          </w:p>
        </w:tc>
        <w:tc>
          <w:tcPr>
            <w:tcW w:w="2294" w:type="dxa"/>
            <w:tcBorders>
              <w:right w:val="nil"/>
            </w:tcBorders>
            <w:vAlign w:val="top"/>
          </w:tcPr>
          <w:p w14:paraId="6205C28B">
            <w:pPr>
              <w:pStyle w:val="7"/>
              <w:spacing w:before="214" w:line="218" w:lineRule="auto"/>
              <w:ind w:left="337"/>
            </w:pPr>
            <w:r>
              <w:rPr>
                <w:spacing w:val="-15"/>
              </w:rPr>
              <w:t>国家主席令第70号</w:t>
            </w:r>
          </w:p>
        </w:tc>
        <w:tc>
          <w:tcPr>
            <w:tcW w:w="167" w:type="dxa"/>
            <w:tcBorders>
              <w:left w:val="nil"/>
              <w:right w:val="single" w:color="000000" w:sz="4" w:space="0"/>
            </w:tcBorders>
            <w:vAlign w:val="top"/>
          </w:tcPr>
          <w:p w14:paraId="5B1E189D">
            <w:pPr>
              <w:spacing w:before="14" w:line="68" w:lineRule="exact"/>
              <w:ind w:firstLine="129"/>
            </w:pPr>
            <w:r>
              <w:rPr>
                <w:position w:val="-1"/>
              </w:rPr>
              <w:pict>
                <v:group id="_x0000_s1098" o:spid="_x0000_s1098" o:spt="203" style="height:3.4pt;width:1.45pt;" coordsize="29,68">
                  <o:lock v:ext="edit"/>
                  <v:shape id="_x0000_s1099" o:spid="_x0000_s1099" style="position:absolute;left:14;top:0;height:68;width:15;" fillcolor="#20507B" filled="t" stroked="f" coordsize="15,68" path="m0,67l14,67,14,0,0,0,0,67xe">
                    <v:path/>
                    <v:fill on="t" focussize="0,0"/>
                    <v:stroke on="f"/>
                    <v:imagedata o:title=""/>
                    <o:lock v:ext="edit"/>
                  </v:shape>
                  <v:shape id="_x0000_s1100" o:spid="_x0000_s1100" style="position:absolute;left:0;top:0;height:68;width:15;" fillcolor="#1C456A" filled="t" stroked="f" coordsize="15,68" path="m0,67l14,67,14,0,0,0,0,67xe">
                    <v:path/>
                    <v:fill on="t" focussize="0,0"/>
                    <v:stroke on="f"/>
                    <v:imagedata o:title=""/>
                    <o:lock v:ext="edit"/>
                  </v:shape>
                  <w10:wrap type="none"/>
                  <w10:anchorlock/>
                </v:group>
              </w:pict>
            </w:r>
          </w:p>
        </w:tc>
      </w:tr>
      <w:tr w14:paraId="557E06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6" w:hRule="atLeast"/>
        </w:trPr>
        <w:tc>
          <w:tcPr>
            <w:tcW w:w="1168" w:type="dxa"/>
            <w:gridSpan w:val="2"/>
            <w:tcBorders>
              <w:left w:val="single" w:color="000000" w:sz="4" w:space="0"/>
            </w:tcBorders>
            <w:vAlign w:val="top"/>
          </w:tcPr>
          <w:p w14:paraId="2C3AF569">
            <w:pPr>
              <w:pStyle w:val="7"/>
              <w:spacing w:before="211" w:line="237" w:lineRule="auto"/>
              <w:ind w:left="543"/>
            </w:pPr>
            <w:r>
              <w:t>5</w:t>
            </w:r>
          </w:p>
        </w:tc>
        <w:tc>
          <w:tcPr>
            <w:tcW w:w="5864" w:type="dxa"/>
            <w:vAlign w:val="top"/>
          </w:tcPr>
          <w:p w14:paraId="74600E62">
            <w:pPr>
              <w:pStyle w:val="7"/>
              <w:spacing w:before="211" w:line="219" w:lineRule="auto"/>
              <w:ind w:left="1627"/>
            </w:pPr>
            <w:r>
              <w:rPr>
                <w:spacing w:val="-20"/>
              </w:rPr>
              <w:t>《建设工程质量管理条例》</w:t>
            </w:r>
          </w:p>
        </w:tc>
        <w:tc>
          <w:tcPr>
            <w:tcW w:w="2294" w:type="dxa"/>
            <w:tcBorders>
              <w:right w:val="nil"/>
            </w:tcBorders>
            <w:vAlign w:val="top"/>
          </w:tcPr>
          <w:p w14:paraId="7D79D9D6">
            <w:pPr>
              <w:pStyle w:val="7"/>
              <w:spacing w:before="212" w:line="218" w:lineRule="auto"/>
              <w:ind w:left="389"/>
            </w:pPr>
            <w:r>
              <w:rPr>
                <w:spacing w:val="-14"/>
              </w:rPr>
              <w:t>国务院令第279号</w:t>
            </w:r>
          </w:p>
        </w:tc>
        <w:tc>
          <w:tcPr>
            <w:tcW w:w="167" w:type="dxa"/>
            <w:tcBorders>
              <w:left w:val="nil"/>
              <w:right w:val="single" w:color="000000" w:sz="4" w:space="0"/>
            </w:tcBorders>
            <w:vAlign w:val="top"/>
          </w:tcPr>
          <w:p w14:paraId="78980C93">
            <w:pPr>
              <w:spacing w:before="12" w:line="67" w:lineRule="exact"/>
              <w:ind w:firstLine="129"/>
            </w:pPr>
            <w:r>
              <w:rPr>
                <w:position w:val="-1"/>
              </w:rPr>
              <w:pict>
                <v:group id="_x0000_s1101" o:spid="_x0000_s1101" o:spt="203" style="height:3.4pt;width:1.45pt;" coordsize="29,68">
                  <o:lock v:ext="edit"/>
                  <v:shape id="_x0000_s1102" o:spid="_x0000_s1102" style="position:absolute;left:14;top:0;height:68;width:15;" fillcolor="#20507B" filled="t" stroked="f" coordsize="15,68" path="m0,67l14,67,14,0,0,0,0,67xe">
                    <v:path/>
                    <v:fill on="t" focussize="0,0"/>
                    <v:stroke on="f"/>
                    <v:imagedata o:title=""/>
                    <o:lock v:ext="edit"/>
                  </v:shape>
                  <v:shape id="_x0000_s1103" o:spid="_x0000_s1103" style="position:absolute;left:0;top:0;height:68;width:15;" fillcolor="#1C456A" filled="t" stroked="f" coordsize="15,68" path="m0,67l14,67,14,0,0,0,0,67xe">
                    <v:path/>
                    <v:fill on="t" focussize="0,0"/>
                    <v:stroke on="f"/>
                    <v:imagedata o:title=""/>
                    <o:lock v:ext="edit"/>
                  </v:shape>
                  <w10:wrap type="none"/>
                  <w10:anchorlock/>
                </v:group>
              </w:pict>
            </w:r>
          </w:p>
        </w:tc>
      </w:tr>
      <w:tr w14:paraId="4BD435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9" w:hRule="atLeast"/>
        </w:trPr>
        <w:tc>
          <w:tcPr>
            <w:tcW w:w="1168" w:type="dxa"/>
            <w:gridSpan w:val="2"/>
            <w:tcBorders>
              <w:left w:val="single" w:color="000000" w:sz="4" w:space="0"/>
            </w:tcBorders>
            <w:vAlign w:val="top"/>
          </w:tcPr>
          <w:p w14:paraId="3D38C4DB">
            <w:pPr>
              <w:pStyle w:val="7"/>
              <w:spacing w:before="202" w:line="237" w:lineRule="auto"/>
              <w:ind w:left="540"/>
            </w:pPr>
            <w:r>
              <w:t>6</w:t>
            </w:r>
          </w:p>
        </w:tc>
        <w:tc>
          <w:tcPr>
            <w:tcW w:w="5864" w:type="dxa"/>
            <w:vAlign w:val="top"/>
          </w:tcPr>
          <w:p w14:paraId="2D4F05F7">
            <w:pPr>
              <w:pStyle w:val="7"/>
              <w:spacing w:before="202" w:line="219" w:lineRule="auto"/>
              <w:ind w:left="1408"/>
            </w:pPr>
            <w:r>
              <w:rPr>
                <w:spacing w:val="-20"/>
              </w:rPr>
              <w:t>《建设工程安全生产管理条例》</w:t>
            </w:r>
          </w:p>
        </w:tc>
        <w:tc>
          <w:tcPr>
            <w:tcW w:w="2294" w:type="dxa"/>
            <w:tcBorders>
              <w:right w:val="nil"/>
            </w:tcBorders>
            <w:vAlign w:val="top"/>
          </w:tcPr>
          <w:p w14:paraId="42719099">
            <w:pPr>
              <w:pStyle w:val="7"/>
              <w:spacing w:before="202" w:line="218" w:lineRule="auto"/>
              <w:ind w:left="389"/>
            </w:pPr>
            <w:r>
              <w:rPr>
                <w:spacing w:val="-14"/>
              </w:rPr>
              <w:t>国务院令第393号</w:t>
            </w:r>
          </w:p>
        </w:tc>
        <w:tc>
          <w:tcPr>
            <w:tcW w:w="167" w:type="dxa"/>
            <w:tcBorders>
              <w:left w:val="nil"/>
              <w:right w:val="single" w:color="000000" w:sz="4" w:space="0"/>
            </w:tcBorders>
            <w:vAlign w:val="top"/>
          </w:tcPr>
          <w:p w14:paraId="5CB5B9CB">
            <w:pPr>
              <w:spacing w:before="10" w:line="67" w:lineRule="exact"/>
              <w:ind w:firstLine="129"/>
            </w:pPr>
            <w:r>
              <w:rPr>
                <w:position w:val="-1"/>
              </w:rPr>
              <w:pict>
                <v:group id="_x0000_s1104" o:spid="_x0000_s1104" o:spt="203" style="height:3.4pt;width:1.45pt;" coordsize="29,68">
                  <o:lock v:ext="edit"/>
                  <v:shape id="_x0000_s1105" o:spid="_x0000_s1105" style="position:absolute;left:14;top:0;height:68;width:15;" fillcolor="#20507B" filled="t" stroked="f" coordsize="15,68" path="m0,67l14,67,14,0,0,0,0,67xe">
                    <v:path/>
                    <v:fill on="t" focussize="0,0"/>
                    <v:stroke on="f"/>
                    <v:imagedata o:title=""/>
                    <o:lock v:ext="edit"/>
                  </v:shape>
                  <v:shape id="_x0000_s1106" o:spid="_x0000_s1106" style="position:absolute;left:0;top:0;height:68;width:15;" fillcolor="#1C456A" filled="t" stroked="f" coordsize="15,68" path="m0,67l14,67,14,0,0,0,0,67xe">
                    <v:path/>
                    <v:fill on="t" focussize="0,0"/>
                    <v:stroke on="f"/>
                    <v:imagedata o:title=""/>
                    <o:lock v:ext="edit"/>
                  </v:shape>
                  <w10:wrap type="none"/>
                  <w10:anchorlock/>
                </v:group>
              </w:pict>
            </w:r>
          </w:p>
        </w:tc>
      </w:tr>
      <w:tr w14:paraId="7A3512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4" w:hRule="atLeast"/>
        </w:trPr>
        <w:tc>
          <w:tcPr>
            <w:tcW w:w="1168" w:type="dxa"/>
            <w:gridSpan w:val="2"/>
            <w:tcBorders>
              <w:left w:val="single" w:color="000000" w:sz="4" w:space="0"/>
            </w:tcBorders>
            <w:vAlign w:val="top"/>
          </w:tcPr>
          <w:p w14:paraId="044764D6">
            <w:pPr>
              <w:pStyle w:val="7"/>
              <w:spacing w:before="208" w:line="237" w:lineRule="auto"/>
              <w:ind w:left="544"/>
            </w:pPr>
            <w:r>
              <w:t>7</w:t>
            </w:r>
          </w:p>
        </w:tc>
        <w:tc>
          <w:tcPr>
            <w:tcW w:w="5864" w:type="dxa"/>
            <w:vAlign w:val="top"/>
          </w:tcPr>
          <w:p w14:paraId="2684A83E">
            <w:pPr>
              <w:pStyle w:val="7"/>
              <w:spacing w:before="208" w:line="218" w:lineRule="auto"/>
              <w:ind w:left="1737"/>
            </w:pPr>
            <w:r>
              <w:rPr>
                <w:spacing w:val="-20"/>
              </w:rPr>
              <w:t>《安全生产许可证条例》</w:t>
            </w:r>
          </w:p>
        </w:tc>
        <w:tc>
          <w:tcPr>
            <w:tcW w:w="2294" w:type="dxa"/>
            <w:tcBorders>
              <w:right w:val="nil"/>
            </w:tcBorders>
            <w:vAlign w:val="top"/>
          </w:tcPr>
          <w:p w14:paraId="349D2048">
            <w:pPr>
              <w:pStyle w:val="7"/>
              <w:spacing w:before="208" w:line="218" w:lineRule="auto"/>
              <w:ind w:left="389"/>
            </w:pPr>
            <w:r>
              <w:rPr>
                <w:spacing w:val="-14"/>
              </w:rPr>
              <w:t>国务院令第397号</w:t>
            </w:r>
          </w:p>
        </w:tc>
        <w:tc>
          <w:tcPr>
            <w:tcW w:w="167" w:type="dxa"/>
            <w:tcBorders>
              <w:left w:val="nil"/>
              <w:right w:val="single" w:color="000000" w:sz="4" w:space="0"/>
            </w:tcBorders>
            <w:vAlign w:val="top"/>
          </w:tcPr>
          <w:p w14:paraId="219C8C46">
            <w:pPr>
              <w:spacing w:before="8" w:line="68" w:lineRule="exact"/>
              <w:ind w:firstLine="129"/>
            </w:pPr>
            <w:r>
              <w:rPr>
                <w:position w:val="-1"/>
              </w:rPr>
              <w:pict>
                <v:group id="_x0000_s1107" o:spid="_x0000_s1107" o:spt="203" style="height:3.4pt;width:1.45pt;" coordsize="29,68">
                  <o:lock v:ext="edit"/>
                  <v:shape id="_x0000_s1108" o:spid="_x0000_s1108" style="position:absolute;left:14;top:0;height:68;width:15;" fillcolor="#20507B" filled="t" stroked="f" coordsize="15,68" path="m0,67l14,67,14,0,0,0,0,67xe">
                    <v:path/>
                    <v:fill on="t" focussize="0,0"/>
                    <v:stroke on="f"/>
                    <v:imagedata o:title=""/>
                    <o:lock v:ext="edit"/>
                  </v:shape>
                  <v:shape id="_x0000_s1109" o:spid="_x0000_s1109" style="position:absolute;left:0;top:0;height:68;width:15;" fillcolor="#1C456A" filled="t" stroked="f" coordsize="15,68" path="m0,67l14,67,14,0,0,0,0,67xe">
                    <v:path/>
                    <v:fill on="t" focussize="0,0"/>
                    <v:stroke on="f"/>
                    <v:imagedata o:title=""/>
                    <o:lock v:ext="edit"/>
                  </v:shape>
                  <w10:wrap type="none"/>
                  <w10:anchorlock/>
                </v:group>
              </w:pict>
            </w:r>
          </w:p>
        </w:tc>
      </w:tr>
      <w:tr w14:paraId="29C0EC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4" w:hRule="atLeast"/>
        </w:trPr>
        <w:tc>
          <w:tcPr>
            <w:tcW w:w="1168" w:type="dxa"/>
            <w:gridSpan w:val="2"/>
            <w:tcBorders>
              <w:left w:val="single" w:color="000000" w:sz="4" w:space="0"/>
            </w:tcBorders>
            <w:vAlign w:val="top"/>
          </w:tcPr>
          <w:p w14:paraId="0DA53D0E">
            <w:pPr>
              <w:pStyle w:val="7"/>
              <w:spacing w:before="203" w:line="237" w:lineRule="auto"/>
              <w:ind w:left="539"/>
            </w:pPr>
            <w:r>
              <w:t>8</w:t>
            </w:r>
          </w:p>
        </w:tc>
        <w:tc>
          <w:tcPr>
            <w:tcW w:w="5864" w:type="dxa"/>
            <w:vAlign w:val="top"/>
          </w:tcPr>
          <w:p w14:paraId="418CB20F">
            <w:pPr>
              <w:pStyle w:val="7"/>
              <w:spacing w:before="203" w:line="218" w:lineRule="auto"/>
              <w:ind w:left="1319"/>
            </w:pPr>
            <w:r>
              <w:rPr>
                <w:spacing w:val="-21"/>
              </w:rPr>
              <w:t>生产安全事故报告和调查处理条例</w:t>
            </w:r>
          </w:p>
        </w:tc>
        <w:tc>
          <w:tcPr>
            <w:tcW w:w="2294" w:type="dxa"/>
            <w:tcBorders>
              <w:right w:val="nil"/>
            </w:tcBorders>
            <w:vAlign w:val="top"/>
          </w:tcPr>
          <w:p w14:paraId="746213DA">
            <w:pPr>
              <w:pStyle w:val="7"/>
              <w:spacing w:before="203" w:line="218" w:lineRule="auto"/>
              <w:ind w:left="389"/>
            </w:pPr>
            <w:r>
              <w:rPr>
                <w:spacing w:val="-14"/>
              </w:rPr>
              <w:t>国务院令第493号</w:t>
            </w:r>
          </w:p>
        </w:tc>
        <w:tc>
          <w:tcPr>
            <w:tcW w:w="167" w:type="dxa"/>
            <w:tcBorders>
              <w:left w:val="nil"/>
              <w:right w:val="single" w:color="000000" w:sz="4" w:space="0"/>
            </w:tcBorders>
            <w:vAlign w:val="top"/>
          </w:tcPr>
          <w:p w14:paraId="41C89992">
            <w:pPr>
              <w:spacing w:before="6" w:line="67" w:lineRule="exact"/>
              <w:ind w:firstLine="129"/>
            </w:pPr>
            <w:r>
              <w:rPr>
                <w:position w:val="-1"/>
              </w:rPr>
              <w:pict>
                <v:group id="_x0000_s1110" o:spid="_x0000_s1110" o:spt="203" style="height:3.4pt;width:1.45pt;" coordsize="29,68">
                  <o:lock v:ext="edit"/>
                  <v:shape id="_x0000_s1111" o:spid="_x0000_s1111" style="position:absolute;left:14;top:0;height:68;width:15;" fillcolor="#20507B" filled="t" stroked="f" coordsize="15,68" path="m0,67l14,67,14,0,0,0,0,67xe">
                    <v:path/>
                    <v:fill on="t" focussize="0,0"/>
                    <v:stroke on="f"/>
                    <v:imagedata o:title=""/>
                    <o:lock v:ext="edit"/>
                  </v:shape>
                  <v:shape id="_x0000_s1112" o:spid="_x0000_s1112" style="position:absolute;left:0;top:0;height:68;width:15;" fillcolor="#1C456A" filled="t" stroked="f" coordsize="15,68" path="m0,67l14,67,14,0,0,0,0,67xe">
                    <v:path/>
                    <v:fill on="t" focussize="0,0"/>
                    <v:stroke on="f"/>
                    <v:imagedata o:title=""/>
                    <o:lock v:ext="edit"/>
                  </v:shape>
                  <w10:wrap type="none"/>
                  <w10:anchorlock/>
                </v:group>
              </w:pict>
            </w:r>
          </w:p>
        </w:tc>
      </w:tr>
      <w:tr w14:paraId="52B6D6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2" w:hRule="atLeast"/>
        </w:trPr>
        <w:tc>
          <w:tcPr>
            <w:tcW w:w="296" w:type="dxa"/>
            <w:tcBorders>
              <w:left w:val="single" w:color="1C456A" w:sz="4" w:space="0"/>
              <w:bottom w:val="single" w:color="1C456A" w:sz="4" w:space="0"/>
              <w:right w:val="nil"/>
            </w:tcBorders>
            <w:vAlign w:val="top"/>
          </w:tcPr>
          <w:p w14:paraId="589C7F07">
            <w:pPr>
              <w:rPr>
                <w:rFonts w:ascii="Arial"/>
                <w:sz w:val="21"/>
              </w:rPr>
            </w:pPr>
            <w:r>
              <w:pict>
                <v:shape id="_x0000_s1113" o:spid="_x0000_s1113" style="position:absolute;left:0pt;margin-left:-0.25pt;margin-top:33.65pt;height:0.75pt;width:2.2pt;mso-position-horizontal-relative:page;mso-position-vertical-relative:page;z-index:251670528;mso-width-relative:page;mso-height-relative:page;" fillcolor="#5B9BD5" filled="t" stroked="f" coordsize="44,15" path="m0,14l43,14,43,0,0,0,0,14xe">
                  <v:path/>
                  <v:fill on="t" focussize="0,0"/>
                  <v:stroke on="f"/>
                  <v:imagedata o:title=""/>
                  <o:lock v:ext="edit"/>
                </v:shape>
              </w:pict>
            </w:r>
          </w:p>
        </w:tc>
        <w:tc>
          <w:tcPr>
            <w:tcW w:w="872" w:type="dxa"/>
            <w:tcBorders>
              <w:left w:val="nil"/>
              <w:bottom w:val="single" w:color="1C456A" w:sz="4" w:space="0"/>
            </w:tcBorders>
            <w:vAlign w:val="top"/>
          </w:tcPr>
          <w:p w14:paraId="687E0794">
            <w:pPr>
              <w:pStyle w:val="7"/>
              <w:spacing w:before="205" w:line="237" w:lineRule="auto"/>
              <w:ind w:left="248"/>
            </w:pPr>
            <w:r>
              <w:t>9</w:t>
            </w:r>
          </w:p>
        </w:tc>
        <w:tc>
          <w:tcPr>
            <w:tcW w:w="5864" w:type="dxa"/>
            <w:tcBorders>
              <w:bottom w:val="single" w:color="000000" w:sz="4" w:space="0"/>
            </w:tcBorders>
            <w:vAlign w:val="top"/>
          </w:tcPr>
          <w:p w14:paraId="2489FF4E">
            <w:pPr>
              <w:pStyle w:val="7"/>
              <w:spacing w:before="205" w:line="218" w:lineRule="auto"/>
              <w:ind w:left="873"/>
            </w:pPr>
            <w:r>
              <w:rPr>
                <w:spacing w:val="-21"/>
              </w:rPr>
              <w:t>房屋建筑和市政基础设施工程竣工验收规定</w:t>
            </w:r>
          </w:p>
        </w:tc>
        <w:tc>
          <w:tcPr>
            <w:tcW w:w="2294" w:type="dxa"/>
            <w:tcBorders>
              <w:bottom w:val="single" w:color="5B9BD5" w:sz="4" w:space="0"/>
              <w:right w:val="nil"/>
            </w:tcBorders>
            <w:vAlign w:val="top"/>
          </w:tcPr>
          <w:p w14:paraId="0359E9EF">
            <w:pPr>
              <w:pStyle w:val="7"/>
              <w:spacing w:before="204" w:line="220" w:lineRule="auto"/>
              <w:ind w:left="391"/>
            </w:pPr>
            <w:r>
              <w:rPr>
                <w:spacing w:val="-13"/>
              </w:rPr>
              <w:t>建质[2013]171号</w:t>
            </w:r>
          </w:p>
        </w:tc>
        <w:tc>
          <w:tcPr>
            <w:tcW w:w="167" w:type="dxa"/>
            <w:tcBorders>
              <w:left w:val="nil"/>
              <w:bottom w:val="single" w:color="5B9BD5" w:sz="4" w:space="0"/>
              <w:right w:val="single" w:color="5B9BD5" w:sz="4" w:space="0"/>
            </w:tcBorders>
            <w:vAlign w:val="top"/>
          </w:tcPr>
          <w:p w14:paraId="43EF77B0">
            <w:pPr>
              <w:spacing w:before="3" w:line="67" w:lineRule="exact"/>
              <w:ind w:firstLine="129"/>
            </w:pPr>
            <w:r>
              <w:pict>
                <v:shape id="_x0000_s1114" o:spid="_x0000_s1114" style="position:absolute;left:0pt;margin-left:6.5pt;margin-top:33.65pt;height:0.75pt;width:2.2pt;mso-position-horizontal-relative:page;mso-position-vertical-relative:page;z-index:251669504;mso-width-relative:page;mso-height-relative:page;" fillcolor="#5B9BD5" filled="t" stroked="f" coordsize="44,15" path="m0,14l43,14,43,0,0,0,0,14xe">
                  <v:path/>
                  <v:fill on="t" focussize="0,0"/>
                  <v:stroke on="f"/>
                  <v:imagedata o:title=""/>
                  <o:lock v:ext="edit"/>
                </v:shape>
              </w:pict>
            </w:r>
            <w:r>
              <w:rPr>
                <w:position w:val="-1"/>
              </w:rPr>
              <w:pict>
                <v:group id="_x0000_s1115" o:spid="_x0000_s1115" o:spt="203" style="height:3.4pt;width:1.45pt;" coordsize="29,68">
                  <o:lock v:ext="edit"/>
                  <v:shape id="_x0000_s1116" o:spid="_x0000_s1116" style="position:absolute;left:14;top:0;height:68;width:15;" fillcolor="#20507B" filled="t" stroked="f" coordsize="15,68" path="m0,67l14,67,14,0,0,0,0,67xe">
                    <v:path/>
                    <v:fill on="t" focussize="0,0"/>
                    <v:stroke on="f"/>
                    <v:imagedata o:title=""/>
                    <o:lock v:ext="edit"/>
                  </v:shape>
                  <v:shape id="_x0000_s1117" o:spid="_x0000_s1117" style="position:absolute;left:0;top:0;height:68;width:15;" fillcolor="#1C456A" filled="t" stroked="f" coordsize="15,68" path="m0,67l14,67,14,0,0,0,0,67xe">
                    <v:path/>
                    <v:fill on="t" focussize="0,0"/>
                    <v:stroke on="f"/>
                    <v:imagedata o:title=""/>
                    <o:lock v:ext="edit"/>
                  </v:shape>
                  <w10:wrap type="none"/>
                  <w10:anchorlock/>
                </v:group>
              </w:pict>
            </w:r>
          </w:p>
        </w:tc>
      </w:tr>
    </w:tbl>
    <w:p w14:paraId="10922CFD">
      <w:pPr>
        <w:pStyle w:val="2"/>
        <w:spacing w:before="112" w:line="289" w:lineRule="auto"/>
        <w:ind w:left="1815" w:right="1774" w:firstLine="447"/>
        <w:rPr>
          <w:sz w:val="24"/>
          <w:szCs w:val="24"/>
        </w:rPr>
      </w:pPr>
      <w:r>
        <w:rPr>
          <w:spacing w:val="-24"/>
          <w:sz w:val="24"/>
          <w:szCs w:val="24"/>
        </w:rPr>
        <w:t>15.本项目设计提供的施工图纸，以及上述图纸中明确要采用的国家、部颁、地方的</w:t>
      </w:r>
      <w:r>
        <w:rPr>
          <w:spacing w:val="-21"/>
          <w:sz w:val="24"/>
          <w:szCs w:val="24"/>
        </w:rPr>
        <w:t>施工技术（验收）规程和规范等。</w:t>
      </w:r>
    </w:p>
    <w:p w14:paraId="528CAF27">
      <w:pPr>
        <w:pStyle w:val="2"/>
        <w:spacing w:line="217" w:lineRule="auto"/>
        <w:ind w:left="4591"/>
        <w:outlineLvl w:val="1"/>
        <w:rPr>
          <w:sz w:val="30"/>
          <w:szCs w:val="30"/>
        </w:rPr>
      </w:pPr>
      <w:bookmarkStart w:id="7" w:name="bookmark8"/>
      <w:bookmarkEnd w:id="7"/>
      <w:r>
        <w:rPr>
          <w:b/>
          <w:bCs/>
          <w:color w:val="0070C0"/>
          <w:spacing w:val="-24"/>
          <w:sz w:val="30"/>
          <w:szCs w:val="30"/>
        </w:rPr>
        <w:t>第三节、工程基本情况</w:t>
      </w:r>
    </w:p>
    <w:p w14:paraId="1FF9367A">
      <w:pPr>
        <w:pStyle w:val="2"/>
        <w:spacing w:before="62" w:line="211" w:lineRule="auto"/>
        <w:ind w:left="2341"/>
        <w:outlineLvl w:val="2"/>
        <w:rPr>
          <w:sz w:val="28"/>
          <w:szCs w:val="28"/>
        </w:rPr>
      </w:pPr>
      <w:bookmarkStart w:id="8" w:name="bookmark9"/>
      <w:bookmarkEnd w:id="8"/>
      <w:r>
        <w:rPr>
          <w:b/>
          <w:bCs/>
          <w:spacing w:val="-22"/>
          <w:sz w:val="28"/>
          <w:szCs w:val="28"/>
        </w:rPr>
        <w:t>一、主要信息概况</w:t>
      </w:r>
    </w:p>
    <w:tbl>
      <w:tblPr>
        <w:tblStyle w:val="6"/>
        <w:tblW w:w="9970" w:type="dxa"/>
        <w:tblInd w:w="969"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
        <w:gridCol w:w="1573"/>
        <w:gridCol w:w="1"/>
        <w:gridCol w:w="10"/>
        <w:gridCol w:w="6484"/>
        <w:gridCol w:w="544"/>
        <w:gridCol w:w="632"/>
        <w:gridCol w:w="653"/>
        <w:gridCol w:w="66"/>
        <w:gridCol w:w="2"/>
      </w:tblGrid>
      <w:tr w14:paraId="4459F3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2" w:type="dxa"/>
          <w:trHeight w:val="620" w:hRule="atLeast"/>
        </w:trPr>
        <w:tc>
          <w:tcPr>
            <w:tcW w:w="1589" w:type="dxa"/>
            <w:gridSpan w:val="4"/>
            <w:tcBorders>
              <w:top w:val="single" w:color="000000" w:sz="4" w:space="0"/>
              <w:left w:val="single" w:color="000000" w:sz="4" w:space="0"/>
            </w:tcBorders>
            <w:shd w:val="clear" w:color="auto" w:fill="DEEAF6"/>
            <w:vAlign w:val="top"/>
          </w:tcPr>
          <w:p w14:paraId="7758289B">
            <w:pPr>
              <w:spacing w:line="93" w:lineRule="exact"/>
            </w:pPr>
            <w:r>
              <w:rPr>
                <w:position w:val="-1"/>
              </w:rPr>
              <w:pict>
                <v:group id="_x0000_s1118" o:spid="_x0000_s1118" o:spt="203" style="height:5.2pt;width:80.9pt;" coordsize="1618,103">
                  <o:lock v:ext="edit"/>
                  <v:shape id="_x0000_s1119" o:spid="_x0000_s1119" style="position:absolute;left:0;top:0;height:15;width:44;" fillcolor="#5B9BD5" filled="t" stroked="f" coordsize="44,15" path="m0,14l43,14,43,0,0,0,0,14xe">
                    <v:path/>
                    <v:fill on="t" focussize="0,0"/>
                    <v:stroke on="f"/>
                    <v:imagedata o:title=""/>
                    <o:lock v:ext="edit"/>
                  </v:shape>
                  <v:shape id="_x0000_s1120" o:spid="_x0000_s1120" style="position:absolute;left:43;top:43;height:60;width:1531;" fillcolor="#DEEAF6" filled="t" stroked="f" coordsize="1531,60" path="m0,60l1531,60,1531,0,0,0,0,60xe">
                    <v:path/>
                    <v:fill on="t" focussize="0,0"/>
                    <v:stroke on="f"/>
                    <v:imagedata o:title=""/>
                    <o:lock v:ext="edit"/>
                  </v:shape>
                  <v:shape id="_x0000_s1121" o:spid="_x0000_s1121" style="position:absolute;left:1574;top:0;height:15;width:44;" fillcolor="#5B9BD5" filled="t" stroked="f" coordsize="44,15" path="m0,14l43,14,43,0,0,0,0,14xe">
                    <v:path/>
                    <v:fill on="t" focussize="0,0"/>
                    <v:stroke on="f"/>
                    <v:imagedata o:title=""/>
                    <o:lock v:ext="edit"/>
                  </v:shape>
                  <v:shape id="_x0000_s1122" o:spid="_x0000_s1122" style="position:absolute;left:1574;top:14;height:15;width:44;" fillcolor="#20507B" filled="t" stroked="f" coordsize="44,15" path="m0,14l43,14,43,0,0,0,0,14xe">
                    <v:path/>
                    <v:fill on="t" focussize="0,0"/>
                    <v:stroke on="f"/>
                    <v:imagedata o:title=""/>
                    <o:lock v:ext="edit"/>
                  </v:shape>
                  <v:shape id="_x0000_s1123" o:spid="_x0000_s1123" style="position:absolute;left:1574;top:28;height:15;width:44;" fillcolor="#1C456A" filled="t" stroked="f" coordsize="44,15" path="m0,14l43,14,43,0,0,0,0,14xe">
                    <v:path/>
                    <v:fill on="t" focussize="0,0"/>
                    <v:stroke on="f"/>
                    <v:imagedata o:title=""/>
                    <o:lock v:ext="edit"/>
                  </v:shape>
                  <w10:wrap type="none"/>
                  <w10:anchorlock/>
                </v:group>
              </w:pict>
            </w:r>
          </w:p>
          <w:p w14:paraId="46A78F5B">
            <w:pPr>
              <w:pStyle w:val="7"/>
              <w:spacing w:before="124" w:line="217" w:lineRule="auto"/>
              <w:ind w:left="369"/>
            </w:pPr>
            <w:r>
              <w:rPr>
                <w:b/>
                <w:bCs/>
                <w:spacing w:val="-18"/>
              </w:rPr>
              <w:t>项目名称</w:t>
            </w:r>
          </w:p>
        </w:tc>
        <w:tc>
          <w:tcPr>
            <w:tcW w:w="7660" w:type="dxa"/>
            <w:gridSpan w:val="3"/>
            <w:tcBorders>
              <w:top w:val="single" w:color="5B9BD5" w:sz="4" w:space="0"/>
              <w:right w:val="nil"/>
            </w:tcBorders>
            <w:shd w:val="clear" w:color="auto" w:fill="DEEAF6"/>
            <w:vAlign w:val="top"/>
          </w:tcPr>
          <w:p w14:paraId="49AD5D47">
            <w:pPr>
              <w:pStyle w:val="7"/>
              <w:spacing w:before="218" w:line="218" w:lineRule="auto"/>
              <w:ind w:left="1381"/>
              <w:rPr>
                <w:rFonts w:hint="eastAsia" w:eastAsia="仿宋"/>
                <w:lang w:eastAsia="zh-CN"/>
              </w:rPr>
            </w:pPr>
            <w:r>
              <w:rPr>
                <w:rFonts w:hint="eastAsia"/>
                <w:b/>
                <w:bCs/>
                <w:spacing w:val="-20"/>
                <w:lang w:eastAsia="zh-CN"/>
              </w:rPr>
              <w:t>某路供水管道工程施工</w:t>
            </w:r>
          </w:p>
        </w:tc>
        <w:tc>
          <w:tcPr>
            <w:tcW w:w="719" w:type="dxa"/>
            <w:gridSpan w:val="2"/>
            <w:tcBorders>
              <w:top w:val="single" w:color="5B9BD5" w:sz="4" w:space="0"/>
              <w:left w:val="nil"/>
              <w:right w:val="single" w:color="5B9BD5" w:sz="4" w:space="0"/>
            </w:tcBorders>
            <w:shd w:val="clear" w:color="auto" w:fill="DEEAF6"/>
            <w:vAlign w:val="top"/>
          </w:tcPr>
          <w:p w14:paraId="4E8D35F7">
            <w:pPr>
              <w:rPr>
                <w:rFonts w:ascii="Arial"/>
                <w:sz w:val="21"/>
              </w:rPr>
            </w:pPr>
            <w:r>
              <w:pict>
                <v:shape id="_x0000_s1124" o:spid="_x0000_s1124" style="position:absolute;left:0pt;margin-left:34.1pt;margin-top:0pt;height:0.75pt;width:2.2pt;mso-position-horizontal-relative:page;mso-position-vertical-relative:page;z-index:251668480;mso-width-relative:page;mso-height-relative:page;" fillcolor="#5B9BD5" filled="t" stroked="f" coordsize="44,15" path="m0,14l43,14,43,0,0,0,0,14xe">
                  <v:path/>
                  <v:fill on="t" focussize="0,0"/>
                  <v:stroke on="f"/>
                  <v:imagedata o:title=""/>
                  <o:lock v:ext="edit"/>
                </v:shape>
              </w:pict>
            </w:r>
          </w:p>
        </w:tc>
      </w:tr>
      <w:tr w14:paraId="6D5472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6"/>
          <w:wAfter w:w="8381" w:type="dxa"/>
          <w:trHeight w:val="160" w:hRule="atLeast"/>
        </w:trPr>
        <w:tc>
          <w:tcPr>
            <w:tcW w:w="1589" w:type="dxa"/>
            <w:gridSpan w:val="4"/>
            <w:tcBorders>
              <w:left w:val="nil"/>
              <w:bottom w:val="single" w:color="5B9BD5" w:sz="4" w:space="0"/>
              <w:right w:val="single" w:color="5B9BD5" w:sz="4" w:space="0"/>
            </w:tcBorders>
            <w:vAlign w:val="top"/>
          </w:tcPr>
          <w:p w14:paraId="4A6EB0E1">
            <w:pPr>
              <w:spacing w:before="13" w:line="67" w:lineRule="exact"/>
              <w:ind w:firstLine="681"/>
            </w:pPr>
          </w:p>
        </w:tc>
      </w:tr>
      <w:tr w14:paraId="0641A2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2" w:type="dxa"/>
          <w:trHeight w:val="3051" w:hRule="atLeast"/>
        </w:trPr>
        <w:tc>
          <w:tcPr>
            <w:tcW w:w="1578" w:type="dxa"/>
            <w:gridSpan w:val="2"/>
            <w:tcBorders>
              <w:left w:val="single" w:color="000000" w:sz="4" w:space="0"/>
            </w:tcBorders>
            <w:vAlign w:val="top"/>
          </w:tcPr>
          <w:p w14:paraId="7ACB800D">
            <w:pPr>
              <w:spacing w:line="264" w:lineRule="auto"/>
              <w:rPr>
                <w:rFonts w:ascii="Arial"/>
                <w:sz w:val="21"/>
              </w:rPr>
            </w:pPr>
          </w:p>
          <w:p w14:paraId="7C1E6C61">
            <w:pPr>
              <w:spacing w:line="264" w:lineRule="auto"/>
              <w:rPr>
                <w:rFonts w:ascii="Arial"/>
                <w:sz w:val="21"/>
              </w:rPr>
            </w:pPr>
          </w:p>
          <w:p w14:paraId="2D241EB3">
            <w:pPr>
              <w:spacing w:line="264" w:lineRule="auto"/>
              <w:rPr>
                <w:rFonts w:ascii="Arial"/>
                <w:sz w:val="21"/>
              </w:rPr>
            </w:pPr>
          </w:p>
          <w:p w14:paraId="3AD8E005">
            <w:pPr>
              <w:spacing w:line="265" w:lineRule="auto"/>
              <w:rPr>
                <w:rFonts w:ascii="Arial"/>
                <w:sz w:val="21"/>
              </w:rPr>
            </w:pPr>
          </w:p>
          <w:p w14:paraId="71170CC7">
            <w:pPr>
              <w:spacing w:line="265" w:lineRule="auto"/>
              <w:rPr>
                <w:rFonts w:ascii="Arial"/>
                <w:sz w:val="21"/>
              </w:rPr>
            </w:pPr>
          </w:p>
          <w:p w14:paraId="65DECBC1">
            <w:pPr>
              <w:pStyle w:val="7"/>
              <w:spacing w:before="78" w:line="219" w:lineRule="auto"/>
              <w:ind w:left="371"/>
            </w:pPr>
            <w:r>
              <w:rPr>
                <w:spacing w:val="-15"/>
              </w:rPr>
              <w:t>建设规模</w:t>
            </w:r>
          </w:p>
        </w:tc>
        <w:tc>
          <w:tcPr>
            <w:tcW w:w="8390" w:type="dxa"/>
            <w:gridSpan w:val="7"/>
            <w:tcBorders>
              <w:right w:val="single" w:color="000000" w:sz="4" w:space="0"/>
            </w:tcBorders>
            <w:vAlign w:val="top"/>
          </w:tcPr>
          <w:p w14:paraId="6387F1CA">
            <w:pPr>
              <w:spacing w:line="61" w:lineRule="exact"/>
              <w:ind w:firstLine="8350"/>
            </w:pPr>
            <w:r>
              <w:rPr>
                <w:position w:val="-1"/>
              </w:rPr>
              <w:pict>
                <v:group id="_x0000_s1139" o:spid="_x0000_s1139" o:spt="203" style="height:3.4pt;width:1.45pt;" coordsize="29,68">
                  <o:lock v:ext="edit"/>
                  <v:shape id="_x0000_s1140" o:spid="_x0000_s1140" style="position:absolute;left:14;top:0;height:68;width:15;" fillcolor="#20507B" filled="t" stroked="f" coordsize="15,68" path="m0,67l14,67,14,0,0,0,0,67xe">
                    <v:path/>
                    <v:fill on="t" focussize="0,0"/>
                    <v:stroke on="f"/>
                    <v:imagedata o:title=""/>
                    <o:lock v:ext="edit"/>
                  </v:shape>
                  <v:shape id="_x0000_s1141" o:spid="_x0000_s1141" style="position:absolute;left:0;top:0;height:68;width:15;" fillcolor="#1C456A" filled="t" stroked="f" coordsize="15,68" path="m0,67l14,67,14,0,0,0,0,67xe">
                    <v:path/>
                    <v:fill on="t" focussize="0,0"/>
                    <v:stroke on="f"/>
                    <v:imagedata o:title=""/>
                    <o:lock v:ext="edit"/>
                  </v:shape>
                  <w10:wrap type="none"/>
                  <w10:anchorlock/>
                </v:group>
              </w:pict>
            </w:r>
          </w:p>
          <w:p w14:paraId="1FFF9E1F">
            <w:pPr>
              <w:pStyle w:val="7"/>
              <w:spacing w:before="125" w:line="218" w:lineRule="auto"/>
              <w:ind w:left="82"/>
            </w:pPr>
            <w:r>
              <w:rPr>
                <w:spacing w:val="-18"/>
              </w:rPr>
              <w:t>本项目分为一个标段，其中本标段工程包括</w:t>
            </w:r>
            <w:r>
              <w:rPr>
                <w:rFonts w:hint="eastAsia"/>
                <w:spacing w:val="-18"/>
                <w:lang w:eastAsia="zh-CN"/>
              </w:rPr>
              <w:t>某路）</w:t>
            </w:r>
            <w:r>
              <w:rPr>
                <w:spacing w:val="-19"/>
              </w:rPr>
              <w:t>供</w:t>
            </w:r>
          </w:p>
          <w:p w14:paraId="0EA94FAB">
            <w:pPr>
              <w:pStyle w:val="7"/>
              <w:spacing w:before="204" w:line="217" w:lineRule="auto"/>
              <w:ind w:left="491"/>
            </w:pPr>
            <w:r>
              <w:rPr>
                <w:spacing w:val="-21"/>
              </w:rPr>
              <w:t>水管道工程施工。除特殊说明外，图纸设计范围内的所有内容</w:t>
            </w:r>
            <w:r>
              <w:rPr>
                <w:spacing w:val="-22"/>
              </w:rPr>
              <w:t>，均按图计入。</w:t>
            </w:r>
          </w:p>
          <w:p w14:paraId="2A64961C">
            <w:pPr>
              <w:pStyle w:val="7"/>
              <w:spacing w:before="207" w:line="217" w:lineRule="auto"/>
              <w:ind w:left="68"/>
            </w:pPr>
            <w:r>
              <w:rPr>
                <w:spacing w:val="-23"/>
              </w:rPr>
              <w:t>本项目位于</w:t>
            </w:r>
            <w:r>
              <w:rPr>
                <w:rFonts w:hint="eastAsia"/>
                <w:spacing w:val="-23"/>
                <w:lang w:eastAsia="zh-CN"/>
              </w:rPr>
              <w:t>安徽某市某路</w:t>
            </w:r>
            <w:r>
              <w:rPr>
                <w:spacing w:val="-23"/>
              </w:rPr>
              <w:t>，主要施工内容为：供水管道敷设及配套阀门、井</w:t>
            </w:r>
          </w:p>
          <w:p w14:paraId="6FFBEB03">
            <w:pPr>
              <w:pStyle w:val="7"/>
              <w:spacing w:before="207" w:line="216" w:lineRule="auto"/>
              <w:ind w:left="128"/>
            </w:pPr>
            <w:r>
              <w:rPr>
                <w:spacing w:val="-19"/>
              </w:rPr>
              <w:t>室构筑物、部分现状道路破除恢复及土石方工程等。其中球墨铸铁管DN10</w:t>
            </w:r>
            <w:r>
              <w:rPr>
                <w:spacing w:val="-20"/>
              </w:rPr>
              <w:t>00管道敷设</w:t>
            </w:r>
          </w:p>
          <w:p w14:paraId="21FEBB5C">
            <w:pPr>
              <w:pStyle w:val="7"/>
              <w:spacing w:before="208" w:line="219" w:lineRule="auto"/>
              <w:jc w:val="right"/>
            </w:pPr>
            <w:r>
              <w:rPr>
                <w:spacing w:val="-14"/>
              </w:rPr>
              <w:t>约0.6km，球墨铸铁管管道敷设约1.6km，球墨铸铁管DN300管道敷设约0.7km，</w:t>
            </w:r>
          </w:p>
          <w:p w14:paraId="35C30A29">
            <w:pPr>
              <w:pStyle w:val="7"/>
              <w:spacing w:before="203" w:line="216" w:lineRule="auto"/>
              <w:ind w:left="1204"/>
            </w:pPr>
            <w:r>
              <w:rPr>
                <w:spacing w:val="-16"/>
              </w:rPr>
              <w:t>混凝土阀门井266座，沥青混凝土路面破</w:t>
            </w:r>
            <w:r>
              <w:rPr>
                <w:spacing w:val="-17"/>
              </w:rPr>
              <w:t>除恢复2100平方米。</w:t>
            </w:r>
          </w:p>
        </w:tc>
      </w:tr>
      <w:tr w14:paraId="7259CA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2" w:type="dxa"/>
          <w:trHeight w:val="606" w:hRule="atLeast"/>
        </w:trPr>
        <w:tc>
          <w:tcPr>
            <w:tcW w:w="1578" w:type="dxa"/>
            <w:gridSpan w:val="2"/>
            <w:tcBorders>
              <w:left w:val="single" w:color="000000" w:sz="4" w:space="0"/>
            </w:tcBorders>
            <w:vAlign w:val="top"/>
          </w:tcPr>
          <w:p w14:paraId="482D25FF">
            <w:pPr>
              <w:pStyle w:val="7"/>
              <w:spacing w:before="189" w:line="218" w:lineRule="auto"/>
              <w:ind w:left="376"/>
            </w:pPr>
            <w:r>
              <w:rPr>
                <w:spacing w:val="-17"/>
              </w:rPr>
              <w:t>质量标准</w:t>
            </w:r>
          </w:p>
        </w:tc>
        <w:tc>
          <w:tcPr>
            <w:tcW w:w="7039" w:type="dxa"/>
            <w:gridSpan w:val="4"/>
            <w:tcBorders>
              <w:right w:val="nil"/>
            </w:tcBorders>
            <w:vAlign w:val="top"/>
          </w:tcPr>
          <w:p w14:paraId="5B177D5F">
            <w:pPr>
              <w:pStyle w:val="7"/>
              <w:spacing w:before="189" w:line="218" w:lineRule="auto"/>
              <w:ind w:left="2786"/>
            </w:pPr>
            <w:r>
              <w:rPr>
                <w:spacing w:val="-21"/>
              </w:rPr>
              <w:t>合格，争创优质工程奖</w:t>
            </w:r>
          </w:p>
        </w:tc>
        <w:tc>
          <w:tcPr>
            <w:tcW w:w="1351" w:type="dxa"/>
            <w:gridSpan w:val="3"/>
            <w:tcBorders>
              <w:left w:val="nil"/>
              <w:right w:val="single" w:color="000000" w:sz="4" w:space="0"/>
            </w:tcBorders>
            <w:vAlign w:val="top"/>
          </w:tcPr>
          <w:p w14:paraId="676492C9">
            <w:pPr>
              <w:spacing w:line="63" w:lineRule="exact"/>
              <w:ind w:firstLine="1313"/>
            </w:pPr>
            <w:r>
              <w:rPr>
                <w:position w:val="-1"/>
              </w:rPr>
              <w:pict>
                <v:group id="_x0000_s1142" o:spid="_x0000_s1142" o:spt="203" style="height:3.4pt;width:1.45pt;" coordsize="29,68">
                  <o:lock v:ext="edit"/>
                  <v:shape id="_x0000_s1143" o:spid="_x0000_s1143" style="position:absolute;left:14;top:0;height:68;width:15;" fillcolor="#20507B" filled="t" stroked="f" coordsize="15,68" path="m0,67l14,67,14,0,0,0,0,67xe">
                    <v:path/>
                    <v:fill on="t" focussize="0,0"/>
                    <v:stroke on="f"/>
                    <v:imagedata o:title=""/>
                    <o:lock v:ext="edit"/>
                  </v:shape>
                  <v:shape id="_x0000_s1144" o:spid="_x0000_s1144" style="position:absolute;left:0;top:0;height:68;width:15;" fillcolor="#1C456A" filled="t" stroked="f" coordsize="15,68" path="m0,67l14,67,14,0,0,0,0,67xe">
                    <v:path/>
                    <v:fill on="t" focussize="0,0"/>
                    <v:stroke on="f"/>
                    <v:imagedata o:title=""/>
                    <o:lock v:ext="edit"/>
                  </v:shape>
                  <w10:wrap type="none"/>
                  <w10:anchorlock/>
                </v:group>
              </w:pict>
            </w:r>
          </w:p>
        </w:tc>
      </w:tr>
      <w:tr w14:paraId="43C797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2" w:type="dxa"/>
          <w:trHeight w:val="3091" w:hRule="atLeast"/>
        </w:trPr>
        <w:tc>
          <w:tcPr>
            <w:tcW w:w="1578" w:type="dxa"/>
            <w:gridSpan w:val="2"/>
            <w:tcBorders>
              <w:left w:val="single" w:color="1C456A" w:sz="4" w:space="0"/>
              <w:bottom w:val="single" w:color="1C456A" w:sz="4" w:space="0"/>
            </w:tcBorders>
            <w:vAlign w:val="top"/>
          </w:tcPr>
          <w:p w14:paraId="405E108B">
            <w:pPr>
              <w:spacing w:line="265" w:lineRule="auto"/>
              <w:rPr>
                <w:rFonts w:ascii="Arial"/>
                <w:sz w:val="21"/>
              </w:rPr>
            </w:pPr>
            <w:r>
              <w:pict>
                <v:shape id="_x0000_s1145" o:spid="_x0000_s1145" style="position:absolute;left:0pt;margin-left:-0.2pt;margin-top:154.6pt;height:0.75pt;width:2.2pt;mso-position-horizontal-relative:page;mso-position-vertical-relative:page;z-index:251671552;mso-width-relative:page;mso-height-relative:page;" fillcolor="#5B9BD5" filled="t" stroked="f" coordsize="44,15" path="m0,14l43,14,43,0,0,0,0,14xe">
                  <v:path/>
                  <v:fill on="t" focussize="0,0"/>
                  <v:stroke on="f"/>
                  <v:imagedata o:title=""/>
                  <o:lock v:ext="edit"/>
                </v:shape>
              </w:pict>
            </w:r>
          </w:p>
          <w:p w14:paraId="0A38640B">
            <w:pPr>
              <w:spacing w:line="265" w:lineRule="auto"/>
              <w:rPr>
                <w:rFonts w:ascii="Arial"/>
                <w:sz w:val="21"/>
              </w:rPr>
            </w:pPr>
          </w:p>
          <w:p w14:paraId="34EE4BEF">
            <w:pPr>
              <w:spacing w:line="266" w:lineRule="auto"/>
              <w:rPr>
                <w:rFonts w:ascii="Arial"/>
                <w:sz w:val="21"/>
              </w:rPr>
            </w:pPr>
          </w:p>
          <w:p w14:paraId="7E91FB28">
            <w:pPr>
              <w:spacing w:line="266" w:lineRule="auto"/>
              <w:rPr>
                <w:rFonts w:ascii="Arial"/>
                <w:sz w:val="21"/>
              </w:rPr>
            </w:pPr>
          </w:p>
          <w:p w14:paraId="6A891A8D">
            <w:pPr>
              <w:spacing w:line="266" w:lineRule="auto"/>
              <w:rPr>
                <w:rFonts w:ascii="Arial"/>
                <w:sz w:val="21"/>
              </w:rPr>
            </w:pPr>
          </w:p>
          <w:p w14:paraId="72A7BA59">
            <w:pPr>
              <w:pStyle w:val="7"/>
              <w:spacing w:before="78" w:line="218" w:lineRule="auto"/>
              <w:ind w:left="155"/>
            </w:pPr>
            <w:r>
              <w:rPr>
                <w:spacing w:val="-18"/>
              </w:rPr>
              <w:t>安全文明要求</w:t>
            </w:r>
          </w:p>
        </w:tc>
        <w:tc>
          <w:tcPr>
            <w:tcW w:w="8390" w:type="dxa"/>
            <w:gridSpan w:val="7"/>
            <w:tcBorders>
              <w:bottom w:val="single" w:color="5B9BD5" w:sz="4" w:space="0"/>
              <w:right w:val="single" w:color="5B9BD5" w:sz="4" w:space="0"/>
            </w:tcBorders>
            <w:vAlign w:val="top"/>
          </w:tcPr>
          <w:p w14:paraId="1C8A7A56">
            <w:pPr>
              <w:spacing w:line="64" w:lineRule="exact"/>
              <w:ind w:right="3"/>
              <w:jc w:val="right"/>
            </w:pPr>
            <w:r>
              <w:rPr>
                <w:position w:val="-1"/>
              </w:rPr>
              <w:drawing>
                <wp:inline distT="0" distB="0" distL="0" distR="0">
                  <wp:extent cx="17780" cy="40640"/>
                  <wp:effectExtent l="0" t="0" r="0" b="0"/>
                  <wp:docPr id="56" name="IM 56"/>
                  <wp:cNvGraphicFramePr/>
                  <a:graphic xmlns:a="http://schemas.openxmlformats.org/drawingml/2006/main">
                    <a:graphicData uri="http://schemas.openxmlformats.org/drawingml/2006/picture">
                      <pic:pic xmlns:pic="http://schemas.openxmlformats.org/drawingml/2006/picture">
                        <pic:nvPicPr>
                          <pic:cNvPr id="56" name="IM 56"/>
                          <pic:cNvPicPr/>
                        </pic:nvPicPr>
                        <pic:blipFill>
                          <a:blip r:embed="rId449"/>
                          <a:stretch>
                            <a:fillRect/>
                          </a:stretch>
                        </pic:blipFill>
                        <pic:spPr>
                          <a:xfrm>
                            <a:off x="0" y="0"/>
                            <a:ext cx="18287" cy="41274"/>
                          </a:xfrm>
                          <a:prstGeom prst="rect">
                            <a:avLst/>
                          </a:prstGeom>
                        </pic:spPr>
                      </pic:pic>
                    </a:graphicData>
                  </a:graphic>
                </wp:inline>
              </w:drawing>
            </w:r>
          </w:p>
          <w:p w14:paraId="1A171FB8">
            <w:pPr>
              <w:pStyle w:val="7"/>
              <w:spacing w:before="125" w:line="217" w:lineRule="auto"/>
              <w:ind w:left="121"/>
            </w:pPr>
            <w:r>
              <w:rPr>
                <w:spacing w:val="-19"/>
              </w:rPr>
              <w:t>1、本项目必须严格执行国务院393号令《建设工程</w:t>
            </w:r>
            <w:r>
              <w:rPr>
                <w:spacing w:val="-20"/>
              </w:rPr>
              <w:t>安全生产管理条例》。必须严格执</w:t>
            </w:r>
          </w:p>
          <w:p w14:paraId="5A7691FE">
            <w:pPr>
              <w:pStyle w:val="7"/>
              <w:spacing w:before="207" w:line="216" w:lineRule="auto"/>
              <w:ind w:left="69"/>
            </w:pPr>
            <w:r>
              <w:rPr>
                <w:spacing w:val="-22"/>
              </w:rPr>
              <w:t>行《创建文明城市责任考评办法（试行）》、《建设系统创文明城市工作</w:t>
            </w:r>
          </w:p>
          <w:p w14:paraId="0C487802">
            <w:pPr>
              <w:pStyle w:val="7"/>
              <w:spacing w:before="208" w:line="217" w:lineRule="auto"/>
              <w:ind w:left="1587"/>
            </w:pPr>
            <w:r>
              <w:rPr>
                <w:spacing w:val="-25"/>
              </w:rPr>
              <w:t>实施细则》，确保符合创建文明卫生城市要</w:t>
            </w:r>
            <w:r>
              <w:rPr>
                <w:spacing w:val="-26"/>
              </w:rPr>
              <w:t>求。</w:t>
            </w:r>
          </w:p>
          <w:p w14:paraId="1E7BECC8">
            <w:pPr>
              <w:pStyle w:val="7"/>
              <w:spacing w:before="204" w:line="367" w:lineRule="auto"/>
              <w:ind w:left="66" w:firstLine="39"/>
              <w:jc w:val="both"/>
            </w:pPr>
            <w:r>
              <w:rPr>
                <w:spacing w:val="-22"/>
              </w:rPr>
              <w:t>2、必须严格执行国家及现行相关文件规定，工程施工中</w:t>
            </w:r>
            <w:r>
              <w:rPr>
                <w:spacing w:val="-23"/>
              </w:rPr>
              <w:t>，承包人要建立专职安</w:t>
            </w:r>
            <w:r>
              <w:rPr>
                <w:spacing w:val="-27"/>
              </w:rPr>
              <w:t>全文明施工领导机构，由专人负责工地文明施工和安全施工的安排、指导、监督等工作。</w:t>
            </w:r>
            <w:r>
              <w:rPr>
                <w:spacing w:val="-23"/>
              </w:rPr>
              <w:t>施工期间施工现场及在周边沿线道路上洒落的各种渣土等材料必须及时清运。确保符合</w:t>
            </w:r>
          </w:p>
        </w:tc>
      </w:tr>
      <w:tr w14:paraId="3056B6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5" w:type="dxa"/>
          <w:trHeight w:val="23" w:hRule="atLeast"/>
        </w:trPr>
        <w:tc>
          <w:tcPr>
            <w:tcW w:w="1574" w:type="dxa"/>
            <w:gridSpan w:val="2"/>
            <w:tcBorders>
              <w:top w:val="single" w:color="000000" w:sz="4" w:space="0"/>
              <w:left w:val="single" w:color="000000" w:sz="4" w:space="0"/>
            </w:tcBorders>
            <w:vAlign w:val="top"/>
          </w:tcPr>
          <w:p w14:paraId="5D68AC27">
            <w:pPr>
              <w:rPr>
                <w:rFonts w:ascii="Arial"/>
                <w:sz w:val="21"/>
              </w:rPr>
            </w:pPr>
          </w:p>
        </w:tc>
        <w:tc>
          <w:tcPr>
            <w:tcW w:w="8391" w:type="dxa"/>
            <w:gridSpan w:val="7"/>
            <w:tcBorders>
              <w:top w:val="single" w:color="5B9BD5" w:sz="4" w:space="0"/>
              <w:right w:val="single" w:color="5B9BD5" w:sz="4" w:space="0"/>
            </w:tcBorders>
            <w:vAlign w:val="top"/>
          </w:tcPr>
          <w:p w14:paraId="4874CC41">
            <w:pPr>
              <w:pStyle w:val="7"/>
              <w:spacing w:before="218" w:line="218" w:lineRule="auto"/>
              <w:ind w:left="2679"/>
            </w:pPr>
            <w:r>
              <w:rPr>
                <w:spacing w:val="-21"/>
              </w:rPr>
              <w:t>创建文明卫生城市要求。</w:t>
            </w:r>
          </w:p>
          <w:p w14:paraId="0035F1CD">
            <w:pPr>
              <w:pStyle w:val="7"/>
              <w:spacing w:before="203" w:line="217" w:lineRule="auto"/>
              <w:ind w:left="1852"/>
            </w:pPr>
            <w:r>
              <w:rPr>
                <w:spacing w:val="-21"/>
              </w:rPr>
              <w:t>3、必须确保安全文明施工，国家现行相关规定。</w:t>
            </w:r>
          </w:p>
          <w:p w14:paraId="6178F275">
            <w:pPr>
              <w:pStyle w:val="7"/>
              <w:spacing w:before="207" w:line="217" w:lineRule="auto"/>
              <w:ind w:left="319"/>
            </w:pPr>
            <w:r>
              <w:rPr>
                <w:spacing w:val="-21"/>
              </w:rPr>
              <w:t>4、严格按照市建设工程扬尘污染防治暂行规定文件规定落实扬尘污染防治措施。</w:t>
            </w:r>
          </w:p>
          <w:p w14:paraId="299F2B5A">
            <w:pPr>
              <w:pStyle w:val="7"/>
              <w:spacing w:before="209" w:line="296" w:lineRule="auto"/>
              <w:ind w:left="1288" w:right="110" w:hanging="1179"/>
            </w:pPr>
            <w:r>
              <w:rPr>
                <w:spacing w:val="-22"/>
              </w:rPr>
              <w:t>5、文明施工：在整治过程中，做好施工便道、安全围挡、扬尘防治等措施，同步和居民做好施工中的沟通协调，避免噪音、扬尘等扰</w:t>
            </w:r>
            <w:r>
              <w:rPr>
                <w:spacing w:val="-23"/>
              </w:rPr>
              <w:t>民投诉发生。</w:t>
            </w:r>
          </w:p>
          <w:p w14:paraId="0EA2BB1A">
            <w:pPr>
              <w:pStyle w:val="7"/>
              <w:spacing w:before="205" w:line="216" w:lineRule="auto"/>
              <w:ind w:left="403"/>
            </w:pPr>
            <w:r>
              <w:rPr>
                <w:spacing w:val="-20"/>
              </w:rPr>
              <w:t>6、严格执行《2018年安徽省大气污染防治重点工作任务》六个百分百的要求。</w:t>
            </w:r>
          </w:p>
        </w:tc>
      </w:tr>
      <w:tr w14:paraId="210409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5" w:type="dxa"/>
          <w:trHeight w:val="23" w:hRule="atLeast"/>
        </w:trPr>
        <w:tc>
          <w:tcPr>
            <w:tcW w:w="1574" w:type="dxa"/>
            <w:gridSpan w:val="2"/>
            <w:tcBorders>
              <w:left w:val="single" w:color="000000" w:sz="4" w:space="0"/>
            </w:tcBorders>
            <w:vAlign w:val="top"/>
          </w:tcPr>
          <w:p w14:paraId="07A30777">
            <w:pPr>
              <w:pStyle w:val="7"/>
              <w:spacing w:before="185" w:line="217" w:lineRule="auto"/>
              <w:ind w:left="383"/>
            </w:pPr>
            <w:r>
              <w:rPr>
                <w:spacing w:val="-18"/>
              </w:rPr>
              <w:t>资金来源</w:t>
            </w:r>
          </w:p>
        </w:tc>
        <w:tc>
          <w:tcPr>
            <w:tcW w:w="6494" w:type="dxa"/>
            <w:gridSpan w:val="2"/>
            <w:tcBorders>
              <w:right w:val="nil"/>
            </w:tcBorders>
            <w:vAlign w:val="top"/>
          </w:tcPr>
          <w:p w14:paraId="69CBE348">
            <w:pPr>
              <w:pStyle w:val="7"/>
              <w:spacing w:before="184" w:line="219" w:lineRule="auto"/>
              <w:ind w:left="3765"/>
            </w:pPr>
            <w:r>
              <w:rPr>
                <w:spacing w:val="-16"/>
              </w:rPr>
              <w:t>财政拨款</w:t>
            </w:r>
          </w:p>
        </w:tc>
        <w:tc>
          <w:tcPr>
            <w:tcW w:w="1897" w:type="dxa"/>
            <w:gridSpan w:val="5"/>
            <w:tcBorders>
              <w:left w:val="nil"/>
              <w:right w:val="single" w:color="000000" w:sz="4" w:space="0"/>
            </w:tcBorders>
            <w:vAlign w:val="top"/>
          </w:tcPr>
          <w:p w14:paraId="25D7427C">
            <w:pPr>
              <w:spacing w:line="60" w:lineRule="exact"/>
              <w:ind w:firstLine="1859"/>
            </w:pPr>
            <w:r>
              <w:rPr>
                <w:position w:val="-1"/>
              </w:rPr>
              <w:pict>
                <v:group id="_x0000_s1146" o:spid="_x0000_s1146" o:spt="203" style="height:3.4pt;width:1.45pt;" coordsize="29,68">
                  <o:lock v:ext="edit"/>
                  <v:shape id="_x0000_s1147" o:spid="_x0000_s1147" style="position:absolute;left:14;top:0;height:68;width:15;" fillcolor="#20507B" filled="t" stroked="f" coordsize="15,68" path="m0,67l14,67,14,0,0,0,0,67xe">
                    <v:path/>
                    <v:fill on="t" focussize="0,0"/>
                    <v:stroke on="f"/>
                    <v:imagedata o:title=""/>
                    <o:lock v:ext="edit"/>
                  </v:shape>
                  <v:shape id="_x0000_s1148" o:spid="_x0000_s1148" style="position:absolute;left:0;top:0;height:68;width:15;" fillcolor="#1C456A" filled="t" stroked="f" coordsize="15,68" path="m0,67l14,67,14,0,0,0,0,67xe">
                    <v:path/>
                    <v:fill on="t" focussize="0,0"/>
                    <v:stroke on="f"/>
                    <v:imagedata o:title=""/>
                    <o:lock v:ext="edit"/>
                  </v:shape>
                  <w10:wrap type="none"/>
                  <w10:anchorlock/>
                </v:group>
              </w:pict>
            </w:r>
          </w:p>
        </w:tc>
      </w:tr>
      <w:tr w14:paraId="212B5F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gridAfter w:val="1"/>
          <w:wBefore w:w="5" w:type="dxa"/>
          <w:wAfter w:w="2" w:type="dxa"/>
          <w:trHeight w:val="23" w:hRule="atLeast"/>
        </w:trPr>
        <w:tc>
          <w:tcPr>
            <w:tcW w:w="1573" w:type="dxa"/>
            <w:tcBorders>
              <w:top w:val="single" w:color="000000" w:sz="4" w:space="0"/>
              <w:left w:val="single" w:color="000000" w:sz="4" w:space="0"/>
            </w:tcBorders>
            <w:vAlign w:val="top"/>
          </w:tcPr>
          <w:p w14:paraId="0553CE67">
            <w:pPr>
              <w:rPr>
                <w:rFonts w:ascii="Arial"/>
                <w:sz w:val="21"/>
              </w:rPr>
            </w:pPr>
          </w:p>
          <w:p w14:paraId="2574BE0D">
            <w:pPr>
              <w:rPr>
                <w:rFonts w:ascii="Arial"/>
                <w:sz w:val="21"/>
              </w:rPr>
            </w:pPr>
          </w:p>
          <w:p w14:paraId="59E81A79">
            <w:pPr>
              <w:rPr>
                <w:rFonts w:ascii="Arial"/>
                <w:sz w:val="21"/>
              </w:rPr>
            </w:pPr>
          </w:p>
          <w:p w14:paraId="23B78DD7">
            <w:pPr>
              <w:rPr>
                <w:rFonts w:ascii="Arial"/>
                <w:sz w:val="21"/>
              </w:rPr>
            </w:pPr>
          </w:p>
          <w:p w14:paraId="31272A8F">
            <w:pPr>
              <w:spacing w:line="241" w:lineRule="auto"/>
              <w:rPr>
                <w:rFonts w:ascii="Arial"/>
                <w:sz w:val="21"/>
              </w:rPr>
            </w:pPr>
          </w:p>
          <w:p w14:paraId="6D988B30">
            <w:pPr>
              <w:spacing w:line="241" w:lineRule="auto"/>
              <w:rPr>
                <w:rFonts w:ascii="Arial"/>
                <w:sz w:val="21"/>
              </w:rPr>
            </w:pPr>
          </w:p>
          <w:p w14:paraId="3C1A30CC">
            <w:pPr>
              <w:spacing w:line="241" w:lineRule="auto"/>
              <w:rPr>
                <w:rFonts w:ascii="Arial"/>
                <w:sz w:val="21"/>
              </w:rPr>
            </w:pPr>
          </w:p>
          <w:p w14:paraId="04412B3B">
            <w:pPr>
              <w:spacing w:line="241" w:lineRule="auto"/>
              <w:rPr>
                <w:rFonts w:ascii="Arial"/>
                <w:sz w:val="21"/>
              </w:rPr>
            </w:pPr>
          </w:p>
          <w:p w14:paraId="3CABFEBE">
            <w:pPr>
              <w:spacing w:line="241" w:lineRule="auto"/>
              <w:rPr>
                <w:rFonts w:ascii="Arial"/>
                <w:sz w:val="21"/>
              </w:rPr>
            </w:pPr>
          </w:p>
          <w:p w14:paraId="28AF9CFA">
            <w:pPr>
              <w:spacing w:line="241" w:lineRule="auto"/>
              <w:rPr>
                <w:rFonts w:ascii="Arial"/>
                <w:sz w:val="21"/>
              </w:rPr>
            </w:pPr>
          </w:p>
          <w:p w14:paraId="2282D890">
            <w:pPr>
              <w:pStyle w:val="7"/>
              <w:spacing w:before="78" w:line="215" w:lineRule="auto"/>
              <w:ind w:left="158"/>
            </w:pPr>
            <w:r>
              <w:rPr>
                <w:spacing w:val="-19"/>
              </w:rPr>
              <w:t>车行道沟槽回</w:t>
            </w:r>
          </w:p>
          <w:p w14:paraId="366DE0D6">
            <w:pPr>
              <w:pStyle w:val="7"/>
              <w:spacing w:before="209" w:line="219" w:lineRule="auto"/>
              <w:ind w:left="699"/>
            </w:pPr>
            <w:r>
              <w:t>填</w:t>
            </w:r>
          </w:p>
        </w:tc>
        <w:tc>
          <w:tcPr>
            <w:tcW w:w="8390" w:type="dxa"/>
            <w:gridSpan w:val="7"/>
            <w:tcBorders>
              <w:top w:val="single" w:color="5B9BD5" w:sz="4" w:space="0"/>
              <w:right w:val="single" w:color="5B9BD5" w:sz="4" w:space="0"/>
            </w:tcBorders>
            <w:vAlign w:val="top"/>
          </w:tcPr>
          <w:p w14:paraId="03C33BFC">
            <w:pPr>
              <w:spacing w:before="162" w:line="5405" w:lineRule="exact"/>
              <w:ind w:firstLine="89"/>
            </w:pPr>
            <w:r>
              <w:rPr>
                <w:position w:val="-108"/>
              </w:rPr>
              <w:drawing>
                <wp:inline distT="0" distB="0" distL="0" distR="0">
                  <wp:extent cx="5194935" cy="3432175"/>
                  <wp:effectExtent l="0" t="0" r="5715" b="15875"/>
                  <wp:docPr id="64" name="IM 64"/>
                  <wp:cNvGraphicFramePr/>
                  <a:graphic xmlns:a="http://schemas.openxmlformats.org/drawingml/2006/main">
                    <a:graphicData uri="http://schemas.openxmlformats.org/drawingml/2006/picture">
                      <pic:pic xmlns:pic="http://schemas.openxmlformats.org/drawingml/2006/picture">
                        <pic:nvPicPr>
                          <pic:cNvPr id="64" name="IM 64"/>
                          <pic:cNvPicPr/>
                        </pic:nvPicPr>
                        <pic:blipFill>
                          <a:blip r:embed="rId450"/>
                          <a:stretch>
                            <a:fillRect/>
                          </a:stretch>
                        </pic:blipFill>
                        <pic:spPr>
                          <a:xfrm>
                            <a:off x="0" y="0"/>
                            <a:ext cx="5195569" cy="3432175"/>
                          </a:xfrm>
                          <a:prstGeom prst="rect">
                            <a:avLst/>
                          </a:prstGeom>
                        </pic:spPr>
                      </pic:pic>
                    </a:graphicData>
                  </a:graphic>
                </wp:inline>
              </w:drawing>
            </w:r>
          </w:p>
        </w:tc>
      </w:tr>
      <w:tr w14:paraId="3F57BD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gridAfter w:val="1"/>
          <w:wBefore w:w="5" w:type="dxa"/>
          <w:wAfter w:w="2" w:type="dxa"/>
          <w:trHeight w:val="23" w:hRule="atLeast"/>
        </w:trPr>
        <w:tc>
          <w:tcPr>
            <w:tcW w:w="1573" w:type="dxa"/>
            <w:tcBorders>
              <w:left w:val="single" w:color="000000" w:sz="4" w:space="0"/>
            </w:tcBorders>
            <w:vAlign w:val="top"/>
          </w:tcPr>
          <w:p w14:paraId="73ACE783">
            <w:pPr>
              <w:spacing w:line="264" w:lineRule="auto"/>
              <w:rPr>
                <w:rFonts w:ascii="Arial"/>
                <w:sz w:val="21"/>
              </w:rPr>
            </w:pPr>
          </w:p>
          <w:p w14:paraId="2BAE736F">
            <w:pPr>
              <w:spacing w:line="264" w:lineRule="auto"/>
              <w:rPr>
                <w:rFonts w:ascii="Arial"/>
                <w:sz w:val="21"/>
              </w:rPr>
            </w:pPr>
          </w:p>
          <w:p w14:paraId="66BFE729">
            <w:pPr>
              <w:spacing w:line="264" w:lineRule="auto"/>
              <w:rPr>
                <w:rFonts w:ascii="Arial"/>
                <w:sz w:val="21"/>
              </w:rPr>
            </w:pPr>
          </w:p>
          <w:p w14:paraId="107301A2">
            <w:pPr>
              <w:spacing w:line="264" w:lineRule="auto"/>
              <w:rPr>
                <w:rFonts w:ascii="Arial"/>
                <w:sz w:val="21"/>
              </w:rPr>
            </w:pPr>
          </w:p>
          <w:p w14:paraId="0A9F8508">
            <w:pPr>
              <w:spacing w:line="264" w:lineRule="auto"/>
              <w:rPr>
                <w:rFonts w:ascii="Arial"/>
                <w:sz w:val="21"/>
              </w:rPr>
            </w:pPr>
          </w:p>
          <w:p w14:paraId="6A764E21">
            <w:pPr>
              <w:spacing w:line="264" w:lineRule="auto"/>
              <w:rPr>
                <w:rFonts w:ascii="Arial"/>
                <w:sz w:val="21"/>
              </w:rPr>
            </w:pPr>
          </w:p>
          <w:p w14:paraId="4B27A16F">
            <w:pPr>
              <w:spacing w:line="264" w:lineRule="auto"/>
              <w:rPr>
                <w:rFonts w:ascii="Arial"/>
                <w:sz w:val="21"/>
              </w:rPr>
            </w:pPr>
          </w:p>
          <w:p w14:paraId="70E3A846">
            <w:pPr>
              <w:spacing w:line="264" w:lineRule="auto"/>
              <w:rPr>
                <w:rFonts w:ascii="Arial"/>
                <w:sz w:val="21"/>
              </w:rPr>
            </w:pPr>
          </w:p>
          <w:p w14:paraId="16427682">
            <w:pPr>
              <w:spacing w:line="264" w:lineRule="auto"/>
              <w:rPr>
                <w:rFonts w:ascii="Arial"/>
                <w:sz w:val="21"/>
              </w:rPr>
            </w:pPr>
          </w:p>
          <w:p w14:paraId="206D654F">
            <w:pPr>
              <w:pStyle w:val="7"/>
              <w:spacing w:before="78" w:line="217" w:lineRule="auto"/>
              <w:ind w:left="156"/>
            </w:pPr>
            <w:r>
              <w:rPr>
                <w:spacing w:val="-19"/>
              </w:rPr>
              <w:t>人行道沟槽回</w:t>
            </w:r>
          </w:p>
          <w:p w14:paraId="7FE44022">
            <w:pPr>
              <w:pStyle w:val="7"/>
              <w:spacing w:before="207" w:line="219" w:lineRule="auto"/>
              <w:ind w:left="699"/>
            </w:pPr>
            <w:r>
              <w:t>填</w:t>
            </w:r>
          </w:p>
        </w:tc>
        <w:tc>
          <w:tcPr>
            <w:tcW w:w="8390" w:type="dxa"/>
            <w:gridSpan w:val="7"/>
            <w:tcBorders>
              <w:right w:val="single" w:color="000000" w:sz="4" w:space="0"/>
            </w:tcBorders>
            <w:vAlign w:val="top"/>
          </w:tcPr>
          <w:p w14:paraId="2156C586">
            <w:pPr>
              <w:spacing w:line="62" w:lineRule="exact"/>
              <w:ind w:firstLine="8350"/>
            </w:pPr>
            <w:r>
              <w:rPr>
                <w:position w:val="-1"/>
              </w:rPr>
              <w:pict>
                <v:group id="_x0000_s1159" o:spid="_x0000_s1159" o:spt="203" style="height:3.4pt;width:1.45pt;" coordsize="29,68">
                  <o:lock v:ext="edit"/>
                  <v:shape id="_x0000_s1160" o:spid="_x0000_s1160" style="position:absolute;left:14;top:0;height:68;width:15;" fillcolor="#20507B" filled="t" stroked="f" coordsize="15,68" path="m0,67l14,67,14,0,0,0,0,67xe">
                    <v:path/>
                    <v:fill on="t" focussize="0,0"/>
                    <v:stroke on="f"/>
                    <v:imagedata o:title=""/>
                    <o:lock v:ext="edit"/>
                  </v:shape>
                  <v:shape id="_x0000_s1161" o:spid="_x0000_s1161" style="position:absolute;left:0;top:0;height:68;width:15;" fillcolor="#1C456A" filled="t" stroked="f" coordsize="15,68" path="m0,67l14,67,14,0,0,0,0,67xe">
                    <v:path/>
                    <v:fill on="t" focussize="0,0"/>
                    <v:stroke on="f"/>
                    <v:imagedata o:title=""/>
                    <o:lock v:ext="edit"/>
                  </v:shape>
                  <w10:wrap type="none"/>
                  <w10:anchorlock/>
                </v:group>
              </w:pict>
            </w:r>
          </w:p>
          <w:p w14:paraId="652D0B0A">
            <w:pPr>
              <w:spacing w:before="109" w:line="5320" w:lineRule="exact"/>
              <w:ind w:firstLine="60"/>
            </w:pPr>
            <w:r>
              <w:rPr>
                <w:position w:val="-106"/>
              </w:rPr>
              <w:drawing>
                <wp:inline distT="0" distB="0" distL="0" distR="0">
                  <wp:extent cx="5233670" cy="3096260"/>
                  <wp:effectExtent l="0" t="0" r="5080" b="8890"/>
                  <wp:docPr id="66" name="IM 66"/>
                  <wp:cNvGraphicFramePr/>
                  <a:graphic xmlns:a="http://schemas.openxmlformats.org/drawingml/2006/main">
                    <a:graphicData uri="http://schemas.openxmlformats.org/drawingml/2006/picture">
                      <pic:pic xmlns:pic="http://schemas.openxmlformats.org/drawingml/2006/picture">
                        <pic:nvPicPr>
                          <pic:cNvPr id="66" name="IM 66"/>
                          <pic:cNvPicPr/>
                        </pic:nvPicPr>
                        <pic:blipFill>
                          <a:blip r:embed="rId451"/>
                          <a:stretch>
                            <a:fillRect/>
                          </a:stretch>
                        </pic:blipFill>
                        <pic:spPr>
                          <a:xfrm>
                            <a:off x="0" y="0"/>
                            <a:ext cx="5233670" cy="3096260"/>
                          </a:xfrm>
                          <a:prstGeom prst="rect">
                            <a:avLst/>
                          </a:prstGeom>
                        </pic:spPr>
                      </pic:pic>
                    </a:graphicData>
                  </a:graphic>
                </wp:inline>
              </w:drawing>
            </w:r>
          </w:p>
        </w:tc>
      </w:tr>
      <w:tr w14:paraId="03CF6A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gridAfter w:val="1"/>
          <w:wBefore w:w="5" w:type="dxa"/>
          <w:wAfter w:w="2" w:type="dxa"/>
          <w:trHeight w:val="23" w:hRule="atLeast"/>
        </w:trPr>
        <w:tc>
          <w:tcPr>
            <w:tcW w:w="1573" w:type="dxa"/>
            <w:tcBorders>
              <w:left w:val="single" w:color="1C456A" w:sz="4" w:space="0"/>
              <w:bottom w:val="single" w:color="1C456A" w:sz="4" w:space="0"/>
            </w:tcBorders>
            <w:vAlign w:val="top"/>
          </w:tcPr>
          <w:p w14:paraId="6ED52B51">
            <w:pPr>
              <w:pStyle w:val="7"/>
              <w:spacing w:before="192" w:line="219" w:lineRule="auto"/>
              <w:ind w:left="372"/>
            </w:pPr>
            <w:r>
              <w:pict>
                <v:shape id="_x0000_s1162" o:spid="_x0000_s1162" style="position:absolute;left:0pt;margin-left:-0.2pt;margin-top:32.4pt;height:0.75pt;width:2.2pt;mso-position-horizontal-relative:page;mso-position-vertical-relative:page;z-index:251672576;mso-width-relative:page;mso-height-relative:page;" fillcolor="#5B9BD5" filled="t" stroked="f" coordsize="44,15" path="m0,14l43,14,43,0,0,0,0,14xe">
                  <v:path/>
                  <v:fill on="t" focussize="0,0"/>
                  <v:stroke on="f"/>
                  <v:imagedata o:title=""/>
                  <o:lock v:ext="edit"/>
                </v:shape>
              </w:pict>
            </w:r>
            <w:r>
              <w:rPr>
                <w:spacing w:val="-15"/>
              </w:rPr>
              <w:t>项目类别</w:t>
            </w:r>
          </w:p>
        </w:tc>
        <w:tc>
          <w:tcPr>
            <w:tcW w:w="8324" w:type="dxa"/>
            <w:gridSpan w:val="6"/>
            <w:tcBorders>
              <w:bottom w:val="single" w:color="5B9BD5" w:sz="4" w:space="0"/>
              <w:right w:val="nil"/>
            </w:tcBorders>
            <w:vAlign w:val="top"/>
          </w:tcPr>
          <w:p w14:paraId="048C23C0">
            <w:pPr>
              <w:pStyle w:val="7"/>
              <w:spacing w:before="192" w:line="219" w:lineRule="auto"/>
              <w:ind w:left="3767"/>
            </w:pPr>
            <w:r>
              <w:rPr>
                <w:spacing w:val="-17"/>
              </w:rPr>
              <w:t>工程施工</w:t>
            </w:r>
          </w:p>
        </w:tc>
        <w:tc>
          <w:tcPr>
            <w:tcW w:w="66" w:type="dxa"/>
            <w:tcBorders>
              <w:left w:val="nil"/>
              <w:bottom w:val="single" w:color="5B9BD5" w:sz="4" w:space="0"/>
              <w:right w:val="single" w:color="5B9BD5" w:sz="4" w:space="0"/>
            </w:tcBorders>
            <w:vAlign w:val="top"/>
          </w:tcPr>
          <w:p w14:paraId="18F1B56A">
            <w:pPr>
              <w:spacing w:line="67" w:lineRule="exact"/>
              <w:ind w:firstLine="28"/>
            </w:pPr>
            <w:r>
              <w:rPr>
                <w:position w:val="-1"/>
              </w:rPr>
              <w:pict>
                <v:group id="_x0000_s1163" o:spid="_x0000_s1163" o:spt="203" style="height:3.4pt;width:1.45pt;" coordsize="29,68">
                  <o:lock v:ext="edit"/>
                  <v:shape id="_x0000_s1164" o:spid="_x0000_s1164" style="position:absolute;left:14;top:0;height:68;width:15;" fillcolor="#20507B" filled="t" stroked="f" coordsize="15,68" path="m0,67l14,67,14,0,0,0,0,67xe">
                    <v:path/>
                    <v:fill on="t" focussize="0,0"/>
                    <v:stroke on="f"/>
                    <v:imagedata o:title=""/>
                    <o:lock v:ext="edit"/>
                  </v:shape>
                  <v:shape id="_x0000_s1165" o:spid="_x0000_s1165" style="position:absolute;left:0;top:0;height:68;width:15;" fillcolor="#1C456A" filled="t" stroked="f" coordsize="15,68" path="m0,67l14,67,14,0,0,0,0,67xe">
                    <v:path/>
                    <v:fill on="t" focussize="0,0"/>
                    <v:stroke on="f"/>
                    <v:imagedata o:title=""/>
                    <o:lock v:ext="edit"/>
                  </v:shape>
                  <w10:wrap type="none"/>
                  <w10:anchorlock/>
                </v:group>
              </w:pict>
            </w:r>
          </w:p>
          <w:p w14:paraId="7E292E94">
            <w:pPr>
              <w:spacing w:line="271" w:lineRule="auto"/>
              <w:rPr>
                <w:rFonts w:ascii="Arial"/>
                <w:sz w:val="21"/>
              </w:rPr>
            </w:pPr>
          </w:p>
          <w:p w14:paraId="5FEEBCB7">
            <w:pPr>
              <w:spacing w:line="272" w:lineRule="auto"/>
              <w:rPr>
                <w:rFonts w:ascii="Arial"/>
                <w:sz w:val="21"/>
              </w:rPr>
            </w:pPr>
          </w:p>
          <w:p w14:paraId="322CB8D8">
            <w:pPr>
              <w:spacing w:line="23" w:lineRule="exact"/>
              <w:ind w:firstLine="28"/>
            </w:pPr>
            <w:r>
              <w:rPr>
                <w:position w:val="-2"/>
              </w:rPr>
              <w:pict>
                <v:group id="_x0000_s1166" o:spid="_x0000_s1166" o:spt="203" style="height:2.2pt;width:2.2pt;" coordsize="44,44">
                  <o:lock v:ext="edit"/>
                  <v:shape id="_x0000_s1167" o:spid="_x0000_s1167" style="position:absolute;left:0;top:28;height:15;width:44;" fillcolor="#5B9BD5" filled="t" stroked="f" coordsize="44,15" path="m0,14l43,14,43,0,0,0,0,14xe">
                    <v:path/>
                    <v:fill on="t" focussize="0,0"/>
                    <v:stroke on="f"/>
                    <v:imagedata o:title=""/>
                    <o:lock v:ext="edit"/>
                  </v:shape>
                  <v:shape id="_x0000_s1168" o:spid="_x0000_s1168" style="position:absolute;left:14;top:0;height:29;width:15;" fillcolor="#20507B" filled="t" stroked="f" coordsize="15,29" path="m0,28l14,28,14,0,0,0,0,28xe">
                    <v:path/>
                    <v:fill on="t" focussize="0,0"/>
                    <v:stroke on="f"/>
                    <v:imagedata o:title=""/>
                    <o:lock v:ext="edit"/>
                  </v:shape>
                  <w10:wrap type="none"/>
                  <w10:anchorlock/>
                </v:group>
              </w:pict>
            </w:r>
          </w:p>
        </w:tc>
      </w:tr>
    </w:tbl>
    <w:p w14:paraId="18C9C590">
      <w:pPr>
        <w:pStyle w:val="2"/>
        <w:spacing w:before="81" w:line="211" w:lineRule="auto"/>
        <w:ind w:left="2345"/>
        <w:outlineLvl w:val="2"/>
        <w:rPr>
          <w:sz w:val="28"/>
          <w:szCs w:val="28"/>
        </w:rPr>
      </w:pPr>
      <w:bookmarkStart w:id="9" w:name="bookmark10"/>
      <w:bookmarkEnd w:id="9"/>
      <w:bookmarkStart w:id="10" w:name="bookmark11"/>
      <w:bookmarkEnd w:id="10"/>
      <w:r>
        <w:rPr>
          <w:b/>
          <w:bCs/>
          <w:spacing w:val="-22"/>
          <w:sz w:val="28"/>
          <w:szCs w:val="28"/>
        </w:rPr>
        <w:t>三、现场环境特征</w:t>
      </w:r>
    </w:p>
    <w:tbl>
      <w:tblPr>
        <w:tblStyle w:val="6"/>
        <w:tblW w:w="9635" w:type="dxa"/>
        <w:tblInd w:w="113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07"/>
        <w:gridCol w:w="11"/>
        <w:gridCol w:w="6317"/>
        <w:gridCol w:w="2000"/>
      </w:tblGrid>
      <w:tr w14:paraId="2E0BC8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1" w:hRule="atLeast"/>
        </w:trPr>
        <w:tc>
          <w:tcPr>
            <w:tcW w:w="1318" w:type="dxa"/>
            <w:gridSpan w:val="2"/>
            <w:tcBorders>
              <w:top w:val="single" w:color="000000" w:sz="4" w:space="0"/>
              <w:left w:val="single" w:color="000000" w:sz="4" w:space="0"/>
            </w:tcBorders>
            <w:shd w:val="clear" w:color="auto" w:fill="DEEAF6"/>
            <w:vAlign w:val="top"/>
          </w:tcPr>
          <w:p w14:paraId="0984CB79">
            <w:pPr>
              <w:spacing w:line="4" w:lineRule="exact"/>
              <w:jc w:val="right"/>
            </w:pPr>
            <w:r>
              <w:drawing>
                <wp:inline distT="0" distB="0" distL="0" distR="0">
                  <wp:extent cx="831850" cy="2540"/>
                  <wp:effectExtent l="0" t="0" r="0" b="0"/>
                  <wp:docPr id="98" name="IM 98"/>
                  <wp:cNvGraphicFramePr/>
                  <a:graphic xmlns:a="http://schemas.openxmlformats.org/drawingml/2006/main">
                    <a:graphicData uri="http://schemas.openxmlformats.org/drawingml/2006/picture">
                      <pic:pic xmlns:pic="http://schemas.openxmlformats.org/drawingml/2006/picture">
                        <pic:nvPicPr>
                          <pic:cNvPr id="98" name="IM 98"/>
                          <pic:cNvPicPr/>
                        </pic:nvPicPr>
                        <pic:blipFill>
                          <a:blip r:embed="rId452"/>
                          <a:stretch>
                            <a:fillRect/>
                          </a:stretch>
                        </pic:blipFill>
                        <pic:spPr>
                          <a:xfrm>
                            <a:off x="0" y="0"/>
                            <a:ext cx="832167" cy="2794"/>
                          </a:xfrm>
                          <a:prstGeom prst="rect">
                            <a:avLst/>
                          </a:prstGeom>
                        </pic:spPr>
                      </pic:pic>
                    </a:graphicData>
                  </a:graphic>
                </wp:inline>
              </w:drawing>
            </w:r>
          </w:p>
          <w:p w14:paraId="395B2F3C">
            <w:pPr>
              <w:spacing w:line="14" w:lineRule="exact"/>
              <w:jc w:val="right"/>
            </w:pPr>
            <w:r>
              <w:drawing>
                <wp:inline distT="0" distB="0" distL="0" distR="0">
                  <wp:extent cx="10160" cy="8890"/>
                  <wp:effectExtent l="0" t="0" r="0" b="0"/>
                  <wp:docPr id="100" name="IM 100"/>
                  <wp:cNvGraphicFramePr/>
                  <a:graphic xmlns:a="http://schemas.openxmlformats.org/drawingml/2006/main">
                    <a:graphicData uri="http://schemas.openxmlformats.org/drawingml/2006/picture">
                      <pic:pic xmlns:pic="http://schemas.openxmlformats.org/drawingml/2006/picture">
                        <pic:nvPicPr>
                          <pic:cNvPr id="100" name="IM 100"/>
                          <pic:cNvPicPr/>
                        </pic:nvPicPr>
                        <pic:blipFill>
                          <a:blip r:embed="rId453"/>
                          <a:stretch>
                            <a:fillRect/>
                          </a:stretch>
                        </pic:blipFill>
                        <pic:spPr>
                          <a:xfrm>
                            <a:off x="0" y="0"/>
                            <a:ext cx="10731" cy="9144"/>
                          </a:xfrm>
                          <a:prstGeom prst="rect">
                            <a:avLst/>
                          </a:prstGeom>
                        </pic:spPr>
                      </pic:pic>
                    </a:graphicData>
                  </a:graphic>
                </wp:inline>
              </w:drawing>
            </w:r>
          </w:p>
          <w:p w14:paraId="24E44A9E">
            <w:pPr>
              <w:spacing w:line="14" w:lineRule="exact"/>
              <w:jc w:val="right"/>
            </w:pPr>
            <w:r>
              <w:drawing>
                <wp:inline distT="0" distB="0" distL="0" distR="0">
                  <wp:extent cx="10160" cy="8890"/>
                  <wp:effectExtent l="0" t="0" r="0" b="0"/>
                  <wp:docPr id="102" name="IM 102"/>
                  <wp:cNvGraphicFramePr/>
                  <a:graphic xmlns:a="http://schemas.openxmlformats.org/drawingml/2006/main">
                    <a:graphicData uri="http://schemas.openxmlformats.org/drawingml/2006/picture">
                      <pic:pic xmlns:pic="http://schemas.openxmlformats.org/drawingml/2006/picture">
                        <pic:nvPicPr>
                          <pic:cNvPr id="102" name="IM 102"/>
                          <pic:cNvPicPr/>
                        </pic:nvPicPr>
                        <pic:blipFill>
                          <a:blip r:embed="rId454"/>
                          <a:stretch>
                            <a:fillRect/>
                          </a:stretch>
                        </pic:blipFill>
                        <pic:spPr>
                          <a:xfrm>
                            <a:off x="0" y="0"/>
                            <a:ext cx="10731" cy="9144"/>
                          </a:xfrm>
                          <a:prstGeom prst="rect">
                            <a:avLst/>
                          </a:prstGeom>
                        </pic:spPr>
                      </pic:pic>
                    </a:graphicData>
                  </a:graphic>
                </wp:inline>
              </w:drawing>
            </w:r>
          </w:p>
          <w:p w14:paraId="7458FDAE">
            <w:pPr>
              <w:pStyle w:val="7"/>
              <w:spacing w:before="182" w:line="220" w:lineRule="auto"/>
              <w:ind w:left="232"/>
            </w:pPr>
            <w:r>
              <w:rPr>
                <w:b/>
                <w:bCs/>
                <w:spacing w:val="-18"/>
              </w:rPr>
              <w:t>项目类型</w:t>
            </w:r>
          </w:p>
        </w:tc>
        <w:tc>
          <w:tcPr>
            <w:tcW w:w="6317" w:type="dxa"/>
            <w:tcBorders>
              <w:top w:val="single" w:color="5B9BD5" w:sz="4" w:space="0"/>
              <w:right w:val="nil"/>
            </w:tcBorders>
            <w:shd w:val="clear" w:color="auto" w:fill="DEEAF6"/>
            <w:vAlign w:val="top"/>
          </w:tcPr>
          <w:p w14:paraId="7AF2F8A6">
            <w:pPr>
              <w:pStyle w:val="7"/>
              <w:spacing w:before="215" w:line="220" w:lineRule="auto"/>
              <w:ind w:left="3937"/>
            </w:pPr>
            <w:r>
              <w:rPr>
                <w:b/>
                <w:bCs/>
                <w:spacing w:val="-12"/>
              </w:rPr>
              <w:t>特点</w:t>
            </w:r>
          </w:p>
        </w:tc>
        <w:tc>
          <w:tcPr>
            <w:tcW w:w="2000" w:type="dxa"/>
            <w:tcBorders>
              <w:top w:val="single" w:color="5B9BD5" w:sz="4" w:space="0"/>
              <w:left w:val="nil"/>
              <w:right w:val="single" w:color="5B9BD5" w:sz="4" w:space="0"/>
            </w:tcBorders>
            <w:shd w:val="clear" w:color="auto" w:fill="DEEAF6"/>
            <w:vAlign w:val="top"/>
          </w:tcPr>
          <w:p w14:paraId="61D58040">
            <w:pPr>
              <w:rPr>
                <w:rFonts w:ascii="Arial"/>
                <w:sz w:val="21"/>
              </w:rPr>
            </w:pPr>
            <w:r>
              <w:pict>
                <v:shape id="_x0000_s1174" o:spid="_x0000_s1174" style="position:absolute;left:0pt;margin-left:98.1pt;margin-top:0pt;height:0.75pt;width:2.2pt;mso-position-horizontal-relative:page;mso-position-vertical-relative:page;z-index:251674624;mso-width-relative:page;mso-height-relative:page;" fillcolor="#5B9BD5" filled="t" stroked="f" coordsize="44,15" path="m0,14l43,14,43,0,0,0,0,14xe">
                  <v:path/>
                  <v:fill on="t" focussize="0,0"/>
                  <v:stroke on="f"/>
                  <v:imagedata o:title=""/>
                  <o:lock v:ext="edit"/>
                </v:shape>
              </w:pict>
            </w:r>
          </w:p>
        </w:tc>
      </w:tr>
      <w:tr w14:paraId="649C4C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58" w:hRule="atLeast"/>
        </w:trPr>
        <w:tc>
          <w:tcPr>
            <w:tcW w:w="1318" w:type="dxa"/>
            <w:gridSpan w:val="2"/>
            <w:tcBorders>
              <w:left w:val="single" w:color="1C456A" w:sz="4" w:space="0"/>
              <w:bottom w:val="single" w:color="1C456A" w:sz="4" w:space="0"/>
            </w:tcBorders>
            <w:vAlign w:val="top"/>
          </w:tcPr>
          <w:p w14:paraId="384B66FC">
            <w:pPr>
              <w:spacing w:line="256" w:lineRule="auto"/>
              <w:rPr>
                <w:rFonts w:ascii="Arial"/>
                <w:sz w:val="21"/>
              </w:rPr>
            </w:pPr>
            <w:r>
              <w:pict>
                <v:shape id="_x0000_s1175" o:spid="_x0000_s1175" style="position:absolute;left:0pt;margin-left:-0.2pt;margin-top:277.95pt;height:0.75pt;width:2.2pt;mso-position-horizontal-relative:page;mso-position-vertical-relative:page;z-index:251673600;mso-width-relative:page;mso-height-relative:page;" fillcolor="#5B9BD5" filled="t" stroked="f" coordsize="44,15" path="m0,14l43,14,43,0,0,0,0,14xe">
                  <v:path/>
                  <v:fill on="t" focussize="0,0"/>
                  <v:stroke on="f"/>
                  <v:imagedata o:title=""/>
                  <o:lock v:ext="edit"/>
                </v:shape>
              </w:pict>
            </w:r>
          </w:p>
          <w:p w14:paraId="52197981">
            <w:pPr>
              <w:spacing w:line="256" w:lineRule="auto"/>
              <w:rPr>
                <w:rFonts w:ascii="Arial"/>
                <w:sz w:val="21"/>
              </w:rPr>
            </w:pPr>
          </w:p>
          <w:p w14:paraId="65A60755">
            <w:pPr>
              <w:spacing w:line="256" w:lineRule="auto"/>
              <w:rPr>
                <w:rFonts w:ascii="Arial"/>
                <w:sz w:val="21"/>
              </w:rPr>
            </w:pPr>
          </w:p>
          <w:p w14:paraId="28E91B3F">
            <w:pPr>
              <w:spacing w:line="256" w:lineRule="auto"/>
              <w:rPr>
                <w:rFonts w:ascii="Arial"/>
                <w:sz w:val="21"/>
              </w:rPr>
            </w:pPr>
          </w:p>
          <w:p w14:paraId="3EDC4AB7">
            <w:pPr>
              <w:spacing w:line="256" w:lineRule="auto"/>
              <w:rPr>
                <w:rFonts w:ascii="Arial"/>
                <w:sz w:val="21"/>
              </w:rPr>
            </w:pPr>
          </w:p>
          <w:p w14:paraId="4DED679C">
            <w:pPr>
              <w:spacing w:line="256" w:lineRule="auto"/>
              <w:rPr>
                <w:rFonts w:ascii="Arial"/>
                <w:sz w:val="21"/>
              </w:rPr>
            </w:pPr>
          </w:p>
          <w:p w14:paraId="3D293941">
            <w:pPr>
              <w:spacing w:line="256" w:lineRule="auto"/>
              <w:rPr>
                <w:rFonts w:ascii="Arial"/>
                <w:sz w:val="21"/>
              </w:rPr>
            </w:pPr>
          </w:p>
          <w:p w14:paraId="01A2B4B7">
            <w:pPr>
              <w:spacing w:line="257" w:lineRule="auto"/>
              <w:rPr>
                <w:rFonts w:ascii="Arial"/>
                <w:sz w:val="21"/>
              </w:rPr>
            </w:pPr>
          </w:p>
          <w:p w14:paraId="6D4AB063">
            <w:pPr>
              <w:spacing w:line="257" w:lineRule="auto"/>
              <w:rPr>
                <w:rFonts w:ascii="Arial"/>
                <w:sz w:val="21"/>
              </w:rPr>
            </w:pPr>
          </w:p>
          <w:p w14:paraId="7C3D2561">
            <w:pPr>
              <w:spacing w:line="257" w:lineRule="auto"/>
              <w:rPr>
                <w:rFonts w:ascii="Arial"/>
                <w:sz w:val="21"/>
              </w:rPr>
            </w:pPr>
          </w:p>
          <w:p w14:paraId="3E96B7F2">
            <w:pPr>
              <w:pStyle w:val="7"/>
              <w:spacing w:before="78" w:line="219" w:lineRule="auto"/>
              <w:ind w:left="240"/>
            </w:pPr>
            <w:r>
              <w:rPr>
                <w:spacing w:val="-17"/>
              </w:rPr>
              <w:t>工程地质</w:t>
            </w:r>
          </w:p>
        </w:tc>
        <w:tc>
          <w:tcPr>
            <w:tcW w:w="8317" w:type="dxa"/>
            <w:gridSpan w:val="2"/>
            <w:tcBorders>
              <w:bottom w:val="single" w:color="5B9BD5" w:sz="4" w:space="0"/>
              <w:right w:val="single" w:color="5B9BD5" w:sz="4" w:space="0"/>
            </w:tcBorders>
            <w:vAlign w:val="top"/>
          </w:tcPr>
          <w:p w14:paraId="4D9F6F6B">
            <w:pPr>
              <w:pStyle w:val="7"/>
              <w:spacing w:before="213" w:line="217" w:lineRule="auto"/>
              <w:ind w:left="1105"/>
            </w:pPr>
            <w:r>
              <w:rPr>
                <w:spacing w:val="-21"/>
              </w:rPr>
              <w:t>拟建场地属于江淮波状平原地貌单元，微地貌属河漫滩及</w:t>
            </w:r>
            <w:r>
              <w:rPr>
                <w:spacing w:val="-22"/>
              </w:rPr>
              <w:t>阶地。</w:t>
            </w:r>
          </w:p>
          <w:p w14:paraId="410E6E83">
            <w:pPr>
              <w:pStyle w:val="7"/>
              <w:spacing w:before="205" w:line="218" w:lineRule="auto"/>
              <w:ind w:left="2084"/>
            </w:pPr>
            <w:r>
              <w:rPr>
                <w:spacing w:val="-21"/>
              </w:rPr>
              <w:t>拟建场地地基土构成层序自上而下依次为：</w:t>
            </w:r>
          </w:p>
          <w:p w14:paraId="1925697E">
            <w:pPr>
              <w:pStyle w:val="7"/>
              <w:spacing w:before="206" w:line="217" w:lineRule="auto"/>
              <w:jc w:val="right"/>
            </w:pPr>
            <w:r>
              <w:rPr>
                <w:spacing w:val="-20"/>
              </w:rPr>
              <w:t>①层杂填土（Q4ml）——层厚0.50～4.20米，层底标高25.96～53.</w:t>
            </w:r>
            <w:r>
              <w:rPr>
                <w:spacing w:val="-21"/>
              </w:rPr>
              <w:t>25米。灰褐、褐黄、</w:t>
            </w:r>
          </w:p>
          <w:p w14:paraId="2314C590">
            <w:pPr>
              <w:pStyle w:val="7"/>
              <w:spacing w:before="206" w:line="216" w:lineRule="auto"/>
              <w:ind w:left="58"/>
            </w:pPr>
            <w:r>
              <w:rPr>
                <w:spacing w:val="-23"/>
              </w:rPr>
              <w:t>杂色，湿，松散～稍密状态，主要以粘性土组</w:t>
            </w:r>
            <w:r>
              <w:rPr>
                <w:spacing w:val="-24"/>
              </w:rPr>
              <w:t>成为主，含植物根茎、有机质、少量建筑</w:t>
            </w:r>
          </w:p>
          <w:p w14:paraId="31B679CD">
            <w:pPr>
              <w:pStyle w:val="7"/>
              <w:spacing w:before="210" w:line="215" w:lineRule="auto"/>
              <w:ind w:left="70"/>
            </w:pPr>
            <w:r>
              <w:rPr>
                <w:spacing w:val="-19"/>
              </w:rPr>
              <w:t>垃圾等，局部河沟、水塘地段夹有淤泥。在原路面位置其顶部0.6～1.0米为路基土，</w:t>
            </w:r>
          </w:p>
          <w:p w14:paraId="062F2F44">
            <w:pPr>
              <w:pStyle w:val="7"/>
              <w:spacing w:before="208" w:line="216" w:lineRule="auto"/>
              <w:ind w:left="70"/>
            </w:pPr>
            <w:r>
              <w:rPr>
                <w:spacing w:val="-19"/>
              </w:rPr>
              <w:t>上部0.3～0.4米为砼路面，下部为路基，由碎石、灰土等压实。此层土属于高压缩性</w:t>
            </w:r>
          </w:p>
          <w:p w14:paraId="341A6273">
            <w:pPr>
              <w:pStyle w:val="7"/>
              <w:spacing w:before="208" w:line="229" w:lineRule="auto"/>
              <w:ind w:left="3941"/>
            </w:pPr>
            <w:r>
              <w:rPr>
                <w:spacing w:val="-19"/>
              </w:rPr>
              <w:t>土。</w:t>
            </w:r>
          </w:p>
          <w:p w14:paraId="0B538F4C">
            <w:pPr>
              <w:pStyle w:val="7"/>
              <w:spacing w:before="193" w:line="212" w:lineRule="auto"/>
              <w:jc w:val="right"/>
            </w:pPr>
            <w:r>
              <w:rPr>
                <w:spacing w:val="-17"/>
              </w:rPr>
              <w:t>②层粉质粘土（Q4al+pl）——层厚0.50～3.60米，层底标高</w:t>
            </w:r>
            <w:r>
              <w:rPr>
                <w:spacing w:val="-18"/>
              </w:rPr>
              <w:t>27.46～48.74米。褐灰、</w:t>
            </w:r>
          </w:p>
          <w:p w14:paraId="09721DFF">
            <w:pPr>
              <w:pStyle w:val="7"/>
              <w:spacing w:before="214" w:line="217" w:lineRule="auto"/>
              <w:jc w:val="right"/>
            </w:pPr>
            <w:r>
              <w:rPr>
                <w:spacing w:val="-23"/>
              </w:rPr>
              <w:t>灰褐色，湿，可塑状态，含粉质、高岭土、氧化铁等，局部夹</w:t>
            </w:r>
            <w:r>
              <w:rPr>
                <w:spacing w:val="-24"/>
              </w:rPr>
              <w:t>薄层粉土，摇振无反应，</w:t>
            </w:r>
          </w:p>
          <w:p w14:paraId="5C620848">
            <w:pPr>
              <w:pStyle w:val="7"/>
              <w:spacing w:before="204" w:line="216" w:lineRule="auto"/>
              <w:ind w:left="886"/>
            </w:pPr>
            <w:r>
              <w:rPr>
                <w:spacing w:val="-21"/>
              </w:rPr>
              <w:t>切面稍有光滑，干强度低，韧性低。此层土属于中等偏高压缩</w:t>
            </w:r>
            <w:r>
              <w:rPr>
                <w:spacing w:val="-22"/>
              </w:rPr>
              <w:t>性土。</w:t>
            </w:r>
          </w:p>
          <w:p w14:paraId="2CCFCF89">
            <w:pPr>
              <w:pStyle w:val="7"/>
              <w:spacing w:before="209" w:line="212" w:lineRule="auto"/>
              <w:jc w:val="right"/>
            </w:pPr>
            <w:r>
              <w:rPr>
                <w:spacing w:val="-18"/>
              </w:rPr>
              <w:t>③层淤泥质粉质粘土（Q4al+pl）——层厚1.</w:t>
            </w:r>
            <w:r>
              <w:rPr>
                <w:spacing w:val="-19"/>
              </w:rPr>
              <w:t>80～4.30米，层底标高23.26～27.41米。</w:t>
            </w:r>
          </w:p>
        </w:tc>
      </w:tr>
      <w:tr w14:paraId="68BF01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96" w:hRule="atLeast"/>
        </w:trPr>
        <w:tc>
          <w:tcPr>
            <w:tcW w:w="1307" w:type="dxa"/>
            <w:tcBorders>
              <w:top w:val="single" w:color="000000" w:sz="4" w:space="0"/>
              <w:left w:val="single" w:color="000000" w:sz="4" w:space="0"/>
            </w:tcBorders>
            <w:vAlign w:val="top"/>
          </w:tcPr>
          <w:p w14:paraId="6DCA5E16">
            <w:pPr>
              <w:rPr>
                <w:rFonts w:ascii="Arial"/>
                <w:sz w:val="21"/>
              </w:rPr>
            </w:pPr>
          </w:p>
        </w:tc>
        <w:tc>
          <w:tcPr>
            <w:tcW w:w="8328" w:type="dxa"/>
            <w:gridSpan w:val="3"/>
            <w:tcBorders>
              <w:top w:val="single" w:color="5B9BD5" w:sz="4" w:space="0"/>
              <w:right w:val="single" w:color="5B9BD5" w:sz="4" w:space="0"/>
            </w:tcBorders>
            <w:vAlign w:val="top"/>
          </w:tcPr>
          <w:p w14:paraId="5B28B249">
            <w:pPr>
              <w:pStyle w:val="7"/>
              <w:spacing w:before="218" w:line="217" w:lineRule="auto"/>
              <w:jc w:val="right"/>
            </w:pPr>
            <w:r>
              <w:rPr>
                <w:spacing w:val="-23"/>
              </w:rPr>
              <w:t>深灰、灰黑色，湿，流塑状态，含有机质、少量腐烂木等，有嗅味，局部夹薄层粉土、</w:t>
            </w:r>
          </w:p>
          <w:p w14:paraId="547EEF68">
            <w:pPr>
              <w:pStyle w:val="7"/>
              <w:spacing w:before="205" w:line="216" w:lineRule="auto"/>
              <w:ind w:left="2533"/>
            </w:pPr>
            <w:r>
              <w:rPr>
                <w:spacing w:val="-21"/>
              </w:rPr>
              <w:t>粉砂等。此层土属于高压缩性土。</w:t>
            </w:r>
          </w:p>
          <w:p w14:paraId="114BAC4F">
            <w:pPr>
              <w:pStyle w:val="7"/>
              <w:spacing w:before="209" w:line="212" w:lineRule="auto"/>
              <w:ind w:left="70"/>
            </w:pPr>
            <w:r>
              <w:rPr>
                <w:spacing w:val="-15"/>
              </w:rPr>
              <w:t>④层粘土（Q4al+pl）——层厚1.60～4.70米，层底标高27.00～28.80米。褐、</w:t>
            </w:r>
            <w:r>
              <w:rPr>
                <w:spacing w:val="-16"/>
              </w:rPr>
              <w:t>灰黄</w:t>
            </w:r>
          </w:p>
          <w:p w14:paraId="38A39379">
            <w:pPr>
              <w:pStyle w:val="7"/>
              <w:spacing w:before="213" w:line="217" w:lineRule="auto"/>
              <w:ind w:left="71"/>
            </w:pPr>
            <w:r>
              <w:rPr>
                <w:spacing w:val="-24"/>
              </w:rPr>
              <w:t>色，湿，可塑～硬塑状态，含高岭土、铁锰质氧化物等，局部夹有粉质粘土，摇振无反</w:t>
            </w:r>
          </w:p>
          <w:p w14:paraId="6A990452">
            <w:pPr>
              <w:pStyle w:val="7"/>
              <w:spacing w:before="205" w:line="216" w:lineRule="auto"/>
              <w:ind w:left="1005"/>
            </w:pPr>
            <w:r>
              <w:rPr>
                <w:spacing w:val="-21"/>
              </w:rPr>
              <w:t>应，切面光滑，干强度中等，韧性低。此层土属于中等压</w:t>
            </w:r>
            <w:r>
              <w:rPr>
                <w:spacing w:val="-22"/>
              </w:rPr>
              <w:t>缩性土。</w:t>
            </w:r>
          </w:p>
          <w:p w14:paraId="4271C3E2">
            <w:pPr>
              <w:pStyle w:val="7"/>
              <w:spacing w:before="209" w:line="212" w:lineRule="auto"/>
              <w:jc w:val="right"/>
            </w:pPr>
            <w:r>
              <w:rPr>
                <w:spacing w:val="-18"/>
              </w:rPr>
              <w:t>⑤层粉质粘土（Q4al+pl）——层厚0.80～6.9</w:t>
            </w:r>
            <w:r>
              <w:rPr>
                <w:spacing w:val="-19"/>
              </w:rPr>
              <w:t>0米，层底标高19.36～25.30米。褐灰、</w:t>
            </w:r>
          </w:p>
          <w:p w14:paraId="79279A40">
            <w:pPr>
              <w:pStyle w:val="7"/>
              <w:spacing w:before="213" w:line="218" w:lineRule="auto"/>
              <w:ind w:left="69"/>
            </w:pPr>
            <w:r>
              <w:rPr>
                <w:spacing w:val="-24"/>
              </w:rPr>
              <w:t>灰黄色，湿，可塑状态，含粉质、高岭土、氧化铁等，局部夹有粉土、粉细砂等，摇振</w:t>
            </w:r>
          </w:p>
          <w:p w14:paraId="1E48F47D">
            <w:pPr>
              <w:pStyle w:val="7"/>
              <w:spacing w:before="206" w:line="216" w:lineRule="auto"/>
              <w:ind w:left="574"/>
            </w:pPr>
            <w:r>
              <w:rPr>
                <w:spacing w:val="-21"/>
              </w:rPr>
              <w:t>无反应，切面稍有光滑，干强度中等，韧性低。此</w:t>
            </w:r>
            <w:r>
              <w:rPr>
                <w:spacing w:val="-22"/>
              </w:rPr>
              <w:t>层土属于中等压缩性土。</w:t>
            </w:r>
          </w:p>
          <w:p w14:paraId="1BA808D7">
            <w:pPr>
              <w:pStyle w:val="7"/>
              <w:spacing w:before="207" w:line="212" w:lineRule="auto"/>
              <w:jc w:val="right"/>
            </w:pPr>
            <w:r>
              <w:rPr>
                <w:spacing w:val="-19"/>
              </w:rPr>
              <w:t>⑥层粘土（Q3al+pl）——层厚5.60～12.90米，层底</w:t>
            </w:r>
            <w:r>
              <w:rPr>
                <w:spacing w:val="-20"/>
              </w:rPr>
              <w:t>标高26.09～45.48米。褐、褐黄、</w:t>
            </w:r>
          </w:p>
          <w:p w14:paraId="17834EFE">
            <w:pPr>
              <w:pStyle w:val="7"/>
              <w:spacing w:before="214" w:line="217" w:lineRule="auto"/>
              <w:jc w:val="right"/>
            </w:pPr>
            <w:r>
              <w:rPr>
                <w:spacing w:val="-23"/>
              </w:rPr>
              <w:t>灰黄色，湿，硬塑状态，含高岭土、铁锰质氧化物等，局部夹</w:t>
            </w:r>
            <w:r>
              <w:rPr>
                <w:spacing w:val="-24"/>
              </w:rPr>
              <w:t>粉质粘土，无摇震反应，</w:t>
            </w:r>
          </w:p>
          <w:p w14:paraId="6535E0BA">
            <w:pPr>
              <w:pStyle w:val="7"/>
              <w:spacing w:before="208" w:line="216" w:lineRule="auto"/>
              <w:ind w:left="1333"/>
            </w:pPr>
            <w:r>
              <w:rPr>
                <w:spacing w:val="-21"/>
              </w:rPr>
              <w:t>切面光滑，干强度高，韧性高。此层土属于中等压缩性土。</w:t>
            </w:r>
          </w:p>
          <w:p w14:paraId="2B99C363">
            <w:pPr>
              <w:pStyle w:val="7"/>
              <w:spacing w:before="209" w:line="217" w:lineRule="auto"/>
              <w:ind w:left="58"/>
            </w:pPr>
            <w:r>
              <w:rPr>
                <w:spacing w:val="-21"/>
              </w:rPr>
              <w:t>⑦层强风化粉砂岩（K）——此层未钻穿，最大钻遇厚度为1.80米。灰黄、褐红色，稍</w:t>
            </w:r>
          </w:p>
          <w:p w14:paraId="53A40FCA">
            <w:pPr>
              <w:pStyle w:val="7"/>
              <w:spacing w:before="205" w:line="217" w:lineRule="auto"/>
              <w:jc w:val="right"/>
            </w:pPr>
            <w:r>
              <w:rPr>
                <w:spacing w:val="-28"/>
              </w:rPr>
              <w:t>湿，密实状态，原岩风化成砂土状，裂隙发育</w:t>
            </w:r>
            <w:r>
              <w:rPr>
                <w:spacing w:val="-29"/>
              </w:rPr>
              <w:t>，干钻钻进较困难，遇水易软化，含泥质、</w:t>
            </w:r>
          </w:p>
          <w:p w14:paraId="2D231773">
            <w:pPr>
              <w:pStyle w:val="7"/>
              <w:spacing w:before="207" w:line="216" w:lineRule="auto"/>
              <w:ind w:left="1661"/>
            </w:pPr>
            <w:r>
              <w:rPr>
                <w:spacing w:val="-21"/>
              </w:rPr>
              <w:t>石英、云母片等。此层土属于低压缩性强风化软岩。</w:t>
            </w:r>
          </w:p>
        </w:tc>
      </w:tr>
      <w:tr w14:paraId="4506A8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40" w:hRule="atLeast"/>
        </w:trPr>
        <w:tc>
          <w:tcPr>
            <w:tcW w:w="1307" w:type="dxa"/>
            <w:tcBorders>
              <w:left w:val="single" w:color="000000" w:sz="4" w:space="0"/>
            </w:tcBorders>
            <w:vAlign w:val="top"/>
          </w:tcPr>
          <w:p w14:paraId="3C8EF987">
            <w:pPr>
              <w:spacing w:line="261" w:lineRule="auto"/>
              <w:rPr>
                <w:rFonts w:ascii="Arial"/>
                <w:sz w:val="21"/>
              </w:rPr>
            </w:pPr>
          </w:p>
          <w:p w14:paraId="68BF8917">
            <w:pPr>
              <w:spacing w:line="261" w:lineRule="auto"/>
              <w:rPr>
                <w:rFonts w:ascii="Arial"/>
                <w:sz w:val="21"/>
              </w:rPr>
            </w:pPr>
          </w:p>
          <w:p w14:paraId="65091F56">
            <w:pPr>
              <w:spacing w:line="261" w:lineRule="auto"/>
              <w:rPr>
                <w:rFonts w:ascii="Arial"/>
                <w:sz w:val="21"/>
              </w:rPr>
            </w:pPr>
          </w:p>
          <w:p w14:paraId="25571F58">
            <w:pPr>
              <w:spacing w:line="261" w:lineRule="auto"/>
              <w:rPr>
                <w:rFonts w:ascii="Arial"/>
                <w:sz w:val="21"/>
              </w:rPr>
            </w:pPr>
          </w:p>
          <w:p w14:paraId="47589782">
            <w:pPr>
              <w:spacing w:line="261" w:lineRule="auto"/>
              <w:rPr>
                <w:rFonts w:ascii="Arial"/>
                <w:sz w:val="21"/>
              </w:rPr>
            </w:pPr>
          </w:p>
          <w:p w14:paraId="73B8D9B9">
            <w:pPr>
              <w:spacing w:line="262" w:lineRule="auto"/>
              <w:rPr>
                <w:rFonts w:ascii="Arial"/>
                <w:sz w:val="21"/>
              </w:rPr>
            </w:pPr>
          </w:p>
          <w:p w14:paraId="5F97C4BD">
            <w:pPr>
              <w:pStyle w:val="7"/>
              <w:spacing w:before="78" w:line="218" w:lineRule="auto"/>
              <w:ind w:left="243"/>
            </w:pPr>
            <w:r>
              <w:rPr>
                <w:spacing w:val="-18"/>
              </w:rPr>
              <w:t>气象条件</w:t>
            </w:r>
          </w:p>
        </w:tc>
        <w:tc>
          <w:tcPr>
            <w:tcW w:w="8328" w:type="dxa"/>
            <w:gridSpan w:val="3"/>
            <w:tcBorders>
              <w:right w:val="single" w:color="000000" w:sz="4" w:space="0"/>
            </w:tcBorders>
            <w:vAlign w:val="top"/>
          </w:tcPr>
          <w:p w14:paraId="7DC2A549">
            <w:pPr>
              <w:pStyle w:val="7"/>
              <w:spacing w:before="187" w:line="216" w:lineRule="auto"/>
              <w:jc w:val="right"/>
            </w:pPr>
            <w:r>
              <w:rPr>
                <w:spacing w:val="-26"/>
              </w:rPr>
              <w:t>1、</w:t>
            </w:r>
            <w:r>
              <w:rPr>
                <w:rFonts w:hint="eastAsia"/>
                <w:spacing w:val="-26"/>
                <w:lang w:eastAsia="zh-CN"/>
              </w:rPr>
              <w:t>安徽某市</w:t>
            </w:r>
            <w:r>
              <w:rPr>
                <w:spacing w:val="-26"/>
              </w:rPr>
              <w:t>地处中纬度地带，位于江淮之间，属亚热带湿润性季风气候，具有季风明显、</w:t>
            </w:r>
          </w:p>
          <w:p w14:paraId="0B4DD481">
            <w:pPr>
              <w:pStyle w:val="7"/>
              <w:spacing w:before="206" w:line="217" w:lineRule="auto"/>
              <w:ind w:left="67"/>
            </w:pPr>
            <w:r>
              <w:rPr>
                <w:spacing w:val="-24"/>
              </w:rPr>
              <w:t>雨量充沛、霜期短、日照长的特点。全年盛行风向以</w:t>
            </w:r>
            <w:r>
              <w:rPr>
                <w:spacing w:val="-25"/>
              </w:rPr>
              <w:t>东北偏东南为主，年平均气温15.7</w:t>
            </w:r>
          </w:p>
          <w:p w14:paraId="2B9225ED">
            <w:pPr>
              <w:pStyle w:val="7"/>
              <w:spacing w:before="208" w:line="218" w:lineRule="auto"/>
              <w:jc w:val="right"/>
            </w:pPr>
            <w:r>
              <w:rPr>
                <w:spacing w:val="-18"/>
              </w:rPr>
              <w:t>度，一年中以1月气温最低（平均2.4°C左右</w:t>
            </w:r>
            <w:r>
              <w:rPr>
                <w:spacing w:val="-43"/>
              </w:rPr>
              <w:t>），</w:t>
            </w:r>
            <w:r>
              <w:rPr>
                <w:spacing w:val="-18"/>
              </w:rPr>
              <w:t>7月气温最高（平均34°C左右</w:t>
            </w:r>
            <w:r>
              <w:rPr>
                <w:spacing w:val="-43"/>
              </w:rPr>
              <w:t>），</w:t>
            </w:r>
          </w:p>
          <w:p w14:paraId="13693212">
            <w:pPr>
              <w:pStyle w:val="7"/>
              <w:spacing w:before="206" w:line="218" w:lineRule="auto"/>
              <w:ind w:left="1719"/>
            </w:pPr>
            <w:r>
              <w:rPr>
                <w:spacing w:val="-15"/>
              </w:rPr>
              <w:t>年均日照时数2163.3小时，平均无霜期为227天。</w:t>
            </w:r>
          </w:p>
          <w:p w14:paraId="716D8903">
            <w:pPr>
              <w:pStyle w:val="7"/>
              <w:spacing w:before="207" w:line="355" w:lineRule="auto"/>
              <w:ind w:left="67" w:firstLine="7"/>
              <w:jc w:val="both"/>
            </w:pPr>
            <w:r>
              <w:rPr>
                <w:spacing w:val="-20"/>
              </w:rPr>
              <w:t>2、本区雨量充沛，雨水夏季最多，春秋次之，冬季</w:t>
            </w:r>
            <w:r>
              <w:rPr>
                <w:spacing w:val="-21"/>
              </w:rPr>
              <w:t>最少，年平均降雨约990毫米，降</w:t>
            </w:r>
            <w:r>
              <w:rPr>
                <w:spacing w:val="-18"/>
              </w:rPr>
              <w:t>水多集中在5～8月，降水量约占全年总降水量的60</w:t>
            </w:r>
            <w:r>
              <w:rPr>
                <w:spacing w:val="-13"/>
              </w:rPr>
              <w:t>％，</w:t>
            </w:r>
            <w:r>
              <w:rPr>
                <w:spacing w:val="-18"/>
              </w:rPr>
              <w:t>每年11～12月降水最少；年</w:t>
            </w:r>
            <w:r>
              <w:rPr>
                <w:spacing w:val="-24"/>
              </w:rPr>
              <w:t>平均蒸发量1760毫米，6～8月蒸发最强，12～2月蒸发最弱。年相对湿度76～79.5％。</w:t>
            </w:r>
          </w:p>
        </w:tc>
      </w:tr>
      <w:tr w14:paraId="180DC0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86" w:hRule="atLeast"/>
        </w:trPr>
        <w:tc>
          <w:tcPr>
            <w:tcW w:w="1307" w:type="dxa"/>
            <w:tcBorders>
              <w:left w:val="single" w:color="000000" w:sz="4" w:space="0"/>
            </w:tcBorders>
            <w:vAlign w:val="top"/>
          </w:tcPr>
          <w:p w14:paraId="1F94E335">
            <w:pPr>
              <w:spacing w:line="298" w:lineRule="auto"/>
              <w:rPr>
                <w:rFonts w:ascii="Arial"/>
                <w:sz w:val="21"/>
              </w:rPr>
            </w:pPr>
          </w:p>
          <w:p w14:paraId="5CFB30FC">
            <w:pPr>
              <w:spacing w:line="298" w:lineRule="auto"/>
              <w:rPr>
                <w:rFonts w:ascii="Arial"/>
                <w:sz w:val="21"/>
              </w:rPr>
            </w:pPr>
          </w:p>
          <w:p w14:paraId="6166B012">
            <w:pPr>
              <w:pStyle w:val="7"/>
              <w:spacing w:before="78" w:line="218" w:lineRule="auto"/>
              <w:ind w:left="233"/>
            </w:pPr>
            <w:r>
              <w:rPr>
                <w:spacing w:val="-15"/>
              </w:rPr>
              <w:t>水文条件</w:t>
            </w:r>
          </w:p>
        </w:tc>
        <w:tc>
          <w:tcPr>
            <w:tcW w:w="8328" w:type="dxa"/>
            <w:gridSpan w:val="3"/>
            <w:tcBorders>
              <w:right w:val="single" w:color="000000" w:sz="4" w:space="0"/>
            </w:tcBorders>
            <w:vAlign w:val="top"/>
          </w:tcPr>
          <w:p w14:paraId="1188ED66">
            <w:pPr>
              <w:pStyle w:val="7"/>
              <w:spacing w:before="190" w:line="217" w:lineRule="auto"/>
              <w:jc w:val="right"/>
            </w:pPr>
            <w:r>
              <w:rPr>
                <w:rFonts w:hint="eastAsia"/>
                <w:spacing w:val="-23"/>
                <w:lang w:eastAsia="zh-CN"/>
              </w:rPr>
              <w:t>安徽某市</w:t>
            </w:r>
            <w:r>
              <w:rPr>
                <w:spacing w:val="-23"/>
              </w:rPr>
              <w:t>气候湿润，水系发育分别源于江淮分水岭两侧，或南流注长江，或北流入淮河。</w:t>
            </w:r>
          </w:p>
          <w:p w14:paraId="35282F5B">
            <w:pPr>
              <w:pStyle w:val="7"/>
              <w:spacing w:before="205" w:line="217" w:lineRule="auto"/>
              <w:ind w:left="67"/>
            </w:pPr>
            <w:r>
              <w:rPr>
                <w:spacing w:val="-24"/>
              </w:rPr>
              <w:t>属长江流域的河流主要有南淝河、店埠河、丰乐河、派河等；湖泊主要有巢湖。属淮河</w:t>
            </w:r>
          </w:p>
          <w:p w14:paraId="10FB2074">
            <w:pPr>
              <w:pStyle w:val="7"/>
              <w:spacing w:before="207" w:line="218" w:lineRule="auto"/>
              <w:ind w:left="242"/>
            </w:pPr>
            <w:r>
              <w:rPr>
                <w:spacing w:val="-21"/>
              </w:rPr>
              <w:t>流域水系的河流主要有东淝河、高塘河、庄墓河等；湖泊主</w:t>
            </w:r>
            <w:r>
              <w:rPr>
                <w:spacing w:val="-22"/>
              </w:rPr>
              <w:t>要有瓦埠湖、高塘湖。</w:t>
            </w:r>
          </w:p>
        </w:tc>
      </w:tr>
      <w:tr w14:paraId="053467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23" w:hRule="atLeast"/>
        </w:trPr>
        <w:tc>
          <w:tcPr>
            <w:tcW w:w="1307" w:type="dxa"/>
            <w:tcBorders>
              <w:left w:val="single" w:color="1C456A" w:sz="4" w:space="0"/>
              <w:bottom w:val="single" w:color="1C456A" w:sz="4" w:space="0"/>
            </w:tcBorders>
            <w:vAlign w:val="top"/>
          </w:tcPr>
          <w:p w14:paraId="34DA00D7">
            <w:pPr>
              <w:spacing w:line="298" w:lineRule="auto"/>
              <w:rPr>
                <w:rFonts w:ascii="Arial"/>
                <w:sz w:val="21"/>
              </w:rPr>
            </w:pPr>
            <w:r>
              <w:pict>
                <v:shape id="_x0000_s1176" o:spid="_x0000_s1176" style="position:absolute;left:0pt;margin-left:-0.2pt;margin-top:81.15pt;height:0.75pt;width:2.2pt;mso-position-horizontal-relative:page;mso-position-vertical-relative:page;z-index:251675648;mso-width-relative:page;mso-height-relative:page;" fillcolor="#5B9BD5" filled="t" stroked="f" coordsize="44,15" path="m0,14l43,14,43,0,0,0,0,14xe">
                  <v:path/>
                  <v:fill on="t" focussize="0,0"/>
                  <v:stroke on="f"/>
                  <v:imagedata o:title=""/>
                  <o:lock v:ext="edit"/>
                </v:shape>
              </w:pict>
            </w:r>
          </w:p>
          <w:p w14:paraId="0217B539">
            <w:pPr>
              <w:spacing w:line="298" w:lineRule="auto"/>
              <w:rPr>
                <w:rFonts w:ascii="Arial"/>
                <w:sz w:val="21"/>
              </w:rPr>
            </w:pPr>
          </w:p>
          <w:p w14:paraId="10E82A7E">
            <w:pPr>
              <w:pStyle w:val="7"/>
              <w:spacing w:before="78" w:line="218" w:lineRule="auto"/>
              <w:ind w:left="246"/>
            </w:pPr>
            <w:r>
              <w:rPr>
                <w:spacing w:val="-18"/>
              </w:rPr>
              <w:t>降雨情况</w:t>
            </w:r>
          </w:p>
        </w:tc>
        <w:tc>
          <w:tcPr>
            <w:tcW w:w="8328" w:type="dxa"/>
            <w:gridSpan w:val="3"/>
            <w:tcBorders>
              <w:bottom w:val="single" w:color="5B9BD5" w:sz="4" w:space="0"/>
              <w:right w:val="single" w:color="5B9BD5" w:sz="4" w:space="0"/>
            </w:tcBorders>
            <w:vAlign w:val="top"/>
          </w:tcPr>
          <w:p w14:paraId="578074C4">
            <w:pPr>
              <w:pStyle w:val="7"/>
              <w:spacing w:before="189" w:line="215" w:lineRule="auto"/>
              <w:jc w:val="right"/>
            </w:pPr>
            <w:r>
              <w:pict>
                <v:shape id="_x0000_s1177" o:spid="_x0000_s1177" style="position:absolute;left:0pt;margin-left:414.5pt;margin-top:81.15pt;height:0.75pt;width:2.2pt;mso-position-horizontal-relative:page;mso-position-vertical-relative:page;z-index:251676672;mso-width-relative:page;mso-height-relative:page;" fillcolor="#5B9BD5" filled="t" stroked="f" coordsize="44,15" path="m0,14l43,14,43,0,0,0,0,14xe">
                  <v:path/>
                  <v:fill on="t" focussize="0,0"/>
                  <v:stroke on="f"/>
                  <v:imagedata o:title=""/>
                  <o:lock v:ext="edit"/>
                </v:shape>
              </w:pict>
            </w:r>
            <w:r>
              <w:rPr>
                <w:rFonts w:hint="eastAsia"/>
                <w:lang w:val="en-US" w:eastAsia="zh-CN"/>
              </w:rPr>
              <w:t>城市</w:t>
            </w:r>
            <w:r>
              <w:rPr>
                <w:spacing w:val="-25"/>
              </w:rPr>
              <w:t>降雨充沛，年降雨量1200毫米，但分布不均，主要集中在春季、梅雨季</w:t>
            </w:r>
            <w:r>
              <w:rPr>
                <w:spacing w:val="-26"/>
              </w:rPr>
              <w:t>节和初冬。</w:t>
            </w:r>
          </w:p>
          <w:p w14:paraId="43B2961E">
            <w:pPr>
              <w:pStyle w:val="7"/>
              <w:spacing w:before="209" w:line="216" w:lineRule="auto"/>
              <w:ind w:left="68"/>
            </w:pPr>
            <w:r>
              <w:rPr>
                <w:spacing w:val="-23"/>
              </w:rPr>
              <w:t>依据往年经验，我单位将做好相应工序布置，</w:t>
            </w:r>
            <w:r>
              <w:rPr>
                <w:spacing w:val="-24"/>
              </w:rPr>
              <w:t>将降雨对工程的影响降到最小，保证施工</w:t>
            </w:r>
          </w:p>
          <w:p w14:paraId="32F6A330">
            <w:pPr>
              <w:pStyle w:val="7"/>
              <w:spacing w:before="208" w:line="217" w:lineRule="auto"/>
              <w:ind w:left="3623"/>
            </w:pPr>
            <w:r>
              <w:rPr>
                <w:spacing w:val="-17"/>
              </w:rPr>
              <w:t>顺利进行。</w:t>
            </w:r>
          </w:p>
        </w:tc>
      </w:tr>
    </w:tbl>
    <w:p w14:paraId="2A3D76A6">
      <w:pPr>
        <w:pStyle w:val="2"/>
        <w:spacing w:before="279" w:line="217" w:lineRule="auto"/>
        <w:ind w:left="3892"/>
        <w:outlineLvl w:val="1"/>
        <w:rPr>
          <w:sz w:val="30"/>
          <w:szCs w:val="30"/>
        </w:rPr>
      </w:pPr>
      <w:bookmarkStart w:id="11" w:name="bookmark15"/>
      <w:bookmarkEnd w:id="11"/>
      <w:bookmarkStart w:id="12" w:name="bookmark14"/>
      <w:bookmarkEnd w:id="12"/>
      <w:r>
        <w:rPr>
          <w:b/>
          <w:bCs/>
          <w:color w:val="0070C0"/>
          <w:spacing w:val="-24"/>
          <w:sz w:val="30"/>
          <w:szCs w:val="30"/>
        </w:rPr>
        <w:t>第五节、施工目标与总体筹划部署</w:t>
      </w:r>
    </w:p>
    <w:p w14:paraId="0EE88A35">
      <w:pPr>
        <w:pStyle w:val="2"/>
        <w:spacing w:before="64" w:line="211" w:lineRule="auto"/>
        <w:ind w:left="1981"/>
        <w:outlineLvl w:val="2"/>
        <w:rPr>
          <w:sz w:val="28"/>
          <w:szCs w:val="28"/>
        </w:rPr>
      </w:pPr>
      <w:bookmarkStart w:id="13" w:name="bookmark299"/>
      <w:bookmarkEnd w:id="13"/>
      <w:r>
        <w:rPr>
          <w:b/>
          <w:bCs/>
          <w:spacing w:val="-21"/>
          <w:sz w:val="28"/>
          <w:szCs w:val="28"/>
        </w:rPr>
        <w:t>一、工程目标</w:t>
      </w:r>
    </w:p>
    <w:tbl>
      <w:tblPr>
        <w:tblStyle w:val="6"/>
        <w:tblW w:w="9063" w:type="dxa"/>
        <w:tblInd w:w="142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437"/>
        <w:gridCol w:w="1154"/>
        <w:gridCol w:w="6472"/>
      </w:tblGrid>
      <w:tr w14:paraId="0B13AB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5" w:hRule="atLeast"/>
        </w:trPr>
        <w:tc>
          <w:tcPr>
            <w:tcW w:w="1437" w:type="dxa"/>
            <w:tcBorders>
              <w:top w:val="single" w:color="000000" w:sz="4" w:space="0"/>
              <w:left w:val="single" w:color="000000" w:sz="4" w:space="0"/>
            </w:tcBorders>
            <w:shd w:val="clear" w:color="auto" w:fill="DEEAF6"/>
            <w:vAlign w:val="top"/>
          </w:tcPr>
          <w:p w14:paraId="513C0E82">
            <w:pPr>
              <w:pStyle w:val="7"/>
              <w:spacing w:before="141" w:line="218" w:lineRule="auto"/>
              <w:ind w:left="333"/>
            </w:pPr>
            <w:r>
              <w:rPr>
                <w:b/>
                <w:bCs/>
                <w:spacing w:val="-26"/>
              </w:rPr>
              <w:t>目标类别</w:t>
            </w:r>
          </w:p>
        </w:tc>
        <w:tc>
          <w:tcPr>
            <w:tcW w:w="7626" w:type="dxa"/>
            <w:gridSpan w:val="2"/>
            <w:tcBorders>
              <w:top w:val="single" w:color="5B9BD5" w:sz="4" w:space="0"/>
              <w:right w:val="single" w:color="5B9BD5" w:sz="4" w:space="0"/>
            </w:tcBorders>
            <w:shd w:val="clear" w:color="auto" w:fill="DEEAF6"/>
            <w:vAlign w:val="top"/>
          </w:tcPr>
          <w:p w14:paraId="2BC703F4">
            <w:pPr>
              <w:pStyle w:val="7"/>
              <w:spacing w:before="141" w:line="218" w:lineRule="auto"/>
              <w:ind w:left="3416"/>
            </w:pPr>
            <w:r>
              <w:rPr>
                <w:b/>
                <w:bCs/>
                <w:spacing w:val="-26"/>
              </w:rPr>
              <w:t>目标内容</w:t>
            </w:r>
          </w:p>
        </w:tc>
      </w:tr>
      <w:tr w14:paraId="250BE3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789" w:hRule="atLeast"/>
        </w:trPr>
        <w:tc>
          <w:tcPr>
            <w:tcW w:w="1437" w:type="dxa"/>
            <w:tcBorders>
              <w:left w:val="single" w:color="1C456A" w:sz="4" w:space="0"/>
              <w:bottom w:val="single" w:color="1C456A" w:sz="4" w:space="0"/>
            </w:tcBorders>
            <w:vAlign w:val="top"/>
          </w:tcPr>
          <w:p w14:paraId="17C1E3CC">
            <w:pPr>
              <w:spacing w:line="243" w:lineRule="auto"/>
              <w:rPr>
                <w:rFonts w:ascii="Arial"/>
                <w:sz w:val="21"/>
              </w:rPr>
            </w:pPr>
            <w:r>
              <w:pict>
                <v:shape id="_x0000_s1243" o:spid="_x0000_s1243" style="position:absolute;left:0pt;margin-left:-0.2pt;margin-top:639.5pt;height:0.75pt;width:2.2pt;mso-position-horizontal-relative:page;mso-position-vertical-relative:page;z-index:251677696;mso-width-relative:page;mso-height-relative:page;" fillcolor="#5B9BD5" filled="t" stroked="f" coordsize="44,15" path="m0,14l43,14,43,0,0,0,0,14xe">
                  <v:path/>
                  <v:fill on="t" focussize="0,0"/>
                  <v:stroke on="f"/>
                  <v:imagedata o:title=""/>
                  <o:lock v:ext="edit"/>
                </v:shape>
              </w:pict>
            </w:r>
          </w:p>
          <w:p w14:paraId="7E549D00">
            <w:pPr>
              <w:spacing w:line="243" w:lineRule="auto"/>
              <w:rPr>
                <w:rFonts w:ascii="Arial"/>
                <w:sz w:val="21"/>
              </w:rPr>
            </w:pPr>
          </w:p>
          <w:p w14:paraId="63286950">
            <w:pPr>
              <w:spacing w:line="243" w:lineRule="auto"/>
              <w:rPr>
                <w:rFonts w:ascii="Arial"/>
                <w:sz w:val="21"/>
              </w:rPr>
            </w:pPr>
          </w:p>
          <w:p w14:paraId="7F266A5F">
            <w:pPr>
              <w:spacing w:line="243" w:lineRule="auto"/>
              <w:rPr>
                <w:rFonts w:ascii="Arial"/>
                <w:sz w:val="21"/>
              </w:rPr>
            </w:pPr>
          </w:p>
          <w:p w14:paraId="123675AF">
            <w:pPr>
              <w:spacing w:line="243" w:lineRule="auto"/>
              <w:rPr>
                <w:rFonts w:ascii="Arial"/>
                <w:sz w:val="21"/>
              </w:rPr>
            </w:pPr>
          </w:p>
          <w:p w14:paraId="1D28B5E3">
            <w:pPr>
              <w:spacing w:line="243" w:lineRule="auto"/>
              <w:rPr>
                <w:rFonts w:ascii="Arial"/>
                <w:sz w:val="21"/>
              </w:rPr>
            </w:pPr>
          </w:p>
          <w:p w14:paraId="350DDFDC">
            <w:pPr>
              <w:spacing w:line="243" w:lineRule="auto"/>
              <w:rPr>
                <w:rFonts w:ascii="Arial"/>
                <w:sz w:val="21"/>
              </w:rPr>
            </w:pPr>
          </w:p>
          <w:p w14:paraId="15630115">
            <w:pPr>
              <w:spacing w:line="243" w:lineRule="auto"/>
              <w:rPr>
                <w:rFonts w:ascii="Arial"/>
                <w:sz w:val="21"/>
              </w:rPr>
            </w:pPr>
          </w:p>
          <w:p w14:paraId="50FE6FFD">
            <w:pPr>
              <w:spacing w:line="243" w:lineRule="auto"/>
              <w:rPr>
                <w:rFonts w:ascii="Arial"/>
                <w:sz w:val="21"/>
              </w:rPr>
            </w:pPr>
          </w:p>
          <w:p w14:paraId="5EF6E57B">
            <w:pPr>
              <w:spacing w:line="243" w:lineRule="auto"/>
              <w:rPr>
                <w:rFonts w:ascii="Arial"/>
                <w:sz w:val="21"/>
              </w:rPr>
            </w:pPr>
          </w:p>
          <w:p w14:paraId="51BFC184">
            <w:pPr>
              <w:spacing w:line="243" w:lineRule="auto"/>
              <w:rPr>
                <w:rFonts w:ascii="Arial"/>
                <w:sz w:val="21"/>
              </w:rPr>
            </w:pPr>
          </w:p>
          <w:p w14:paraId="4D15E07A">
            <w:pPr>
              <w:spacing w:line="243" w:lineRule="auto"/>
              <w:rPr>
                <w:rFonts w:ascii="Arial"/>
                <w:sz w:val="21"/>
              </w:rPr>
            </w:pPr>
          </w:p>
          <w:p w14:paraId="57A540F9">
            <w:pPr>
              <w:spacing w:line="243" w:lineRule="auto"/>
              <w:rPr>
                <w:rFonts w:ascii="Arial"/>
                <w:sz w:val="21"/>
              </w:rPr>
            </w:pPr>
          </w:p>
          <w:p w14:paraId="1AD7176E">
            <w:pPr>
              <w:spacing w:line="243" w:lineRule="auto"/>
              <w:rPr>
                <w:rFonts w:ascii="Arial"/>
                <w:sz w:val="21"/>
              </w:rPr>
            </w:pPr>
          </w:p>
          <w:p w14:paraId="2B72C7FC">
            <w:pPr>
              <w:spacing w:line="243" w:lineRule="auto"/>
              <w:rPr>
                <w:rFonts w:ascii="Arial"/>
                <w:sz w:val="21"/>
              </w:rPr>
            </w:pPr>
          </w:p>
          <w:p w14:paraId="5898342D">
            <w:pPr>
              <w:spacing w:line="243" w:lineRule="auto"/>
              <w:rPr>
                <w:rFonts w:ascii="Arial"/>
                <w:sz w:val="21"/>
              </w:rPr>
            </w:pPr>
          </w:p>
          <w:p w14:paraId="22727AC6">
            <w:pPr>
              <w:spacing w:line="243" w:lineRule="auto"/>
              <w:rPr>
                <w:rFonts w:ascii="Arial"/>
                <w:sz w:val="21"/>
              </w:rPr>
            </w:pPr>
          </w:p>
          <w:p w14:paraId="3577B6C7">
            <w:pPr>
              <w:spacing w:line="243" w:lineRule="auto"/>
              <w:rPr>
                <w:rFonts w:ascii="Arial"/>
                <w:sz w:val="21"/>
              </w:rPr>
            </w:pPr>
          </w:p>
          <w:p w14:paraId="5F87F325">
            <w:pPr>
              <w:spacing w:line="243" w:lineRule="auto"/>
              <w:rPr>
                <w:rFonts w:ascii="Arial"/>
                <w:sz w:val="21"/>
              </w:rPr>
            </w:pPr>
          </w:p>
          <w:p w14:paraId="4E88FEC1">
            <w:pPr>
              <w:spacing w:line="244" w:lineRule="auto"/>
              <w:rPr>
                <w:rFonts w:ascii="Arial"/>
                <w:sz w:val="21"/>
              </w:rPr>
            </w:pPr>
          </w:p>
          <w:p w14:paraId="07132B14">
            <w:pPr>
              <w:spacing w:line="244" w:lineRule="auto"/>
              <w:rPr>
                <w:rFonts w:ascii="Arial"/>
                <w:sz w:val="21"/>
              </w:rPr>
            </w:pPr>
          </w:p>
          <w:p w14:paraId="33BFA5CF">
            <w:pPr>
              <w:spacing w:line="244" w:lineRule="auto"/>
              <w:rPr>
                <w:rFonts w:ascii="Arial"/>
                <w:sz w:val="21"/>
              </w:rPr>
            </w:pPr>
          </w:p>
          <w:p w14:paraId="10987165">
            <w:pPr>
              <w:spacing w:line="244" w:lineRule="auto"/>
              <w:rPr>
                <w:rFonts w:ascii="Arial"/>
                <w:sz w:val="21"/>
              </w:rPr>
            </w:pPr>
          </w:p>
          <w:p w14:paraId="4835C788">
            <w:pPr>
              <w:spacing w:line="244" w:lineRule="auto"/>
              <w:rPr>
                <w:rFonts w:ascii="Arial"/>
                <w:sz w:val="21"/>
              </w:rPr>
            </w:pPr>
          </w:p>
          <w:p w14:paraId="308704F3">
            <w:pPr>
              <w:spacing w:line="244" w:lineRule="auto"/>
              <w:rPr>
                <w:rFonts w:ascii="Arial"/>
                <w:sz w:val="21"/>
              </w:rPr>
            </w:pPr>
          </w:p>
          <w:p w14:paraId="65A7FFC1">
            <w:pPr>
              <w:pStyle w:val="7"/>
              <w:spacing w:before="78" w:line="218" w:lineRule="auto"/>
              <w:ind w:left="299"/>
            </w:pPr>
            <w:r>
              <w:rPr>
                <w:spacing w:val="-17"/>
              </w:rPr>
              <w:t>工期目标</w:t>
            </w:r>
          </w:p>
        </w:tc>
        <w:tc>
          <w:tcPr>
            <w:tcW w:w="1154" w:type="dxa"/>
            <w:tcBorders>
              <w:bottom w:val="single" w:color="000000" w:sz="4" w:space="0"/>
            </w:tcBorders>
            <w:vAlign w:val="top"/>
          </w:tcPr>
          <w:p w14:paraId="0F24398A">
            <w:pPr>
              <w:spacing w:line="243" w:lineRule="auto"/>
              <w:rPr>
                <w:rFonts w:ascii="Arial"/>
                <w:sz w:val="21"/>
              </w:rPr>
            </w:pPr>
          </w:p>
          <w:p w14:paraId="320BE584">
            <w:pPr>
              <w:spacing w:line="243" w:lineRule="auto"/>
              <w:rPr>
                <w:rFonts w:ascii="Arial"/>
                <w:sz w:val="21"/>
              </w:rPr>
            </w:pPr>
          </w:p>
          <w:p w14:paraId="0F104A6F">
            <w:pPr>
              <w:spacing w:line="243" w:lineRule="auto"/>
              <w:rPr>
                <w:rFonts w:ascii="Arial"/>
                <w:sz w:val="21"/>
              </w:rPr>
            </w:pPr>
          </w:p>
          <w:p w14:paraId="0057FECF">
            <w:pPr>
              <w:spacing w:line="243" w:lineRule="auto"/>
              <w:rPr>
                <w:rFonts w:ascii="Arial"/>
                <w:sz w:val="21"/>
              </w:rPr>
            </w:pPr>
          </w:p>
          <w:p w14:paraId="3989BB79">
            <w:pPr>
              <w:spacing w:line="243" w:lineRule="auto"/>
              <w:rPr>
                <w:rFonts w:ascii="Arial"/>
                <w:sz w:val="21"/>
              </w:rPr>
            </w:pPr>
          </w:p>
          <w:p w14:paraId="220ED84F">
            <w:pPr>
              <w:spacing w:line="243" w:lineRule="auto"/>
              <w:rPr>
                <w:rFonts w:ascii="Arial"/>
                <w:sz w:val="21"/>
              </w:rPr>
            </w:pPr>
          </w:p>
          <w:p w14:paraId="46289F07">
            <w:pPr>
              <w:spacing w:line="243" w:lineRule="auto"/>
              <w:rPr>
                <w:rFonts w:ascii="Arial"/>
                <w:sz w:val="21"/>
              </w:rPr>
            </w:pPr>
          </w:p>
          <w:p w14:paraId="73C10745">
            <w:pPr>
              <w:spacing w:line="243" w:lineRule="auto"/>
              <w:rPr>
                <w:rFonts w:ascii="Arial"/>
                <w:sz w:val="21"/>
              </w:rPr>
            </w:pPr>
          </w:p>
          <w:p w14:paraId="119428F1">
            <w:pPr>
              <w:spacing w:line="243" w:lineRule="auto"/>
              <w:rPr>
                <w:rFonts w:ascii="Arial"/>
                <w:sz w:val="21"/>
              </w:rPr>
            </w:pPr>
          </w:p>
          <w:p w14:paraId="5A0CCD2C">
            <w:pPr>
              <w:spacing w:line="243" w:lineRule="auto"/>
              <w:rPr>
                <w:rFonts w:ascii="Arial"/>
                <w:sz w:val="21"/>
              </w:rPr>
            </w:pPr>
          </w:p>
          <w:p w14:paraId="767CE833">
            <w:pPr>
              <w:spacing w:line="243" w:lineRule="auto"/>
              <w:rPr>
                <w:rFonts w:ascii="Arial"/>
                <w:sz w:val="21"/>
              </w:rPr>
            </w:pPr>
          </w:p>
          <w:p w14:paraId="4D6A84A0">
            <w:pPr>
              <w:spacing w:line="243" w:lineRule="auto"/>
              <w:rPr>
                <w:rFonts w:ascii="Arial"/>
                <w:sz w:val="21"/>
              </w:rPr>
            </w:pPr>
          </w:p>
          <w:p w14:paraId="217FC3E0">
            <w:pPr>
              <w:spacing w:line="243" w:lineRule="auto"/>
              <w:rPr>
                <w:rFonts w:ascii="Arial"/>
                <w:sz w:val="21"/>
              </w:rPr>
            </w:pPr>
          </w:p>
          <w:p w14:paraId="223AC419">
            <w:pPr>
              <w:spacing w:line="243" w:lineRule="auto"/>
              <w:rPr>
                <w:rFonts w:ascii="Arial"/>
                <w:sz w:val="21"/>
              </w:rPr>
            </w:pPr>
          </w:p>
          <w:p w14:paraId="1D08E74C">
            <w:pPr>
              <w:spacing w:line="243" w:lineRule="auto"/>
              <w:rPr>
                <w:rFonts w:ascii="Arial"/>
                <w:sz w:val="21"/>
              </w:rPr>
            </w:pPr>
          </w:p>
          <w:p w14:paraId="28C1A753">
            <w:pPr>
              <w:spacing w:line="243" w:lineRule="auto"/>
              <w:rPr>
                <w:rFonts w:ascii="Arial"/>
                <w:sz w:val="21"/>
              </w:rPr>
            </w:pPr>
          </w:p>
          <w:p w14:paraId="7117DA80">
            <w:pPr>
              <w:spacing w:line="243" w:lineRule="auto"/>
              <w:rPr>
                <w:rFonts w:ascii="Arial"/>
                <w:sz w:val="21"/>
              </w:rPr>
            </w:pPr>
          </w:p>
          <w:p w14:paraId="013B229A">
            <w:pPr>
              <w:spacing w:line="243" w:lineRule="auto"/>
              <w:rPr>
                <w:rFonts w:ascii="Arial"/>
                <w:sz w:val="21"/>
              </w:rPr>
            </w:pPr>
          </w:p>
          <w:p w14:paraId="30D5DB11">
            <w:pPr>
              <w:spacing w:line="243" w:lineRule="auto"/>
              <w:rPr>
                <w:rFonts w:ascii="Arial"/>
                <w:sz w:val="21"/>
              </w:rPr>
            </w:pPr>
          </w:p>
          <w:p w14:paraId="7A9A1758">
            <w:pPr>
              <w:spacing w:line="244" w:lineRule="auto"/>
              <w:rPr>
                <w:rFonts w:ascii="Arial"/>
                <w:sz w:val="21"/>
              </w:rPr>
            </w:pPr>
          </w:p>
          <w:p w14:paraId="169F92E1">
            <w:pPr>
              <w:spacing w:line="244" w:lineRule="auto"/>
              <w:rPr>
                <w:rFonts w:ascii="Arial"/>
                <w:sz w:val="21"/>
              </w:rPr>
            </w:pPr>
          </w:p>
          <w:p w14:paraId="450D282E">
            <w:pPr>
              <w:spacing w:line="244" w:lineRule="auto"/>
              <w:rPr>
                <w:rFonts w:ascii="Arial"/>
                <w:sz w:val="21"/>
              </w:rPr>
            </w:pPr>
          </w:p>
          <w:p w14:paraId="359CD798">
            <w:pPr>
              <w:spacing w:line="244" w:lineRule="auto"/>
              <w:rPr>
                <w:rFonts w:ascii="Arial"/>
                <w:sz w:val="21"/>
              </w:rPr>
            </w:pPr>
          </w:p>
          <w:p w14:paraId="005F4024">
            <w:pPr>
              <w:spacing w:line="244" w:lineRule="auto"/>
              <w:rPr>
                <w:rFonts w:ascii="Arial"/>
                <w:sz w:val="21"/>
              </w:rPr>
            </w:pPr>
          </w:p>
          <w:p w14:paraId="74789D66">
            <w:pPr>
              <w:spacing w:line="244" w:lineRule="auto"/>
              <w:rPr>
                <w:rFonts w:ascii="Arial"/>
                <w:sz w:val="21"/>
              </w:rPr>
            </w:pPr>
          </w:p>
          <w:p w14:paraId="4A73D91E">
            <w:pPr>
              <w:pStyle w:val="7"/>
              <w:spacing w:before="78" w:line="218" w:lineRule="auto"/>
              <w:ind w:left="259"/>
            </w:pPr>
            <w:r>
              <w:rPr>
                <w:spacing w:val="-16"/>
              </w:rPr>
              <w:t>总目标</w:t>
            </w:r>
          </w:p>
        </w:tc>
        <w:tc>
          <w:tcPr>
            <w:tcW w:w="6472" w:type="dxa"/>
            <w:tcBorders>
              <w:bottom w:val="single" w:color="5B9BD5" w:sz="4" w:space="0"/>
              <w:right w:val="single" w:color="5B9BD5" w:sz="4" w:space="0"/>
            </w:tcBorders>
            <w:vAlign w:val="top"/>
          </w:tcPr>
          <w:p w14:paraId="6B09AEC6">
            <w:pPr>
              <w:pStyle w:val="7"/>
              <w:spacing w:before="183" w:line="359" w:lineRule="auto"/>
              <w:ind w:left="59" w:right="67" w:firstLine="479"/>
            </w:pPr>
            <w:r>
              <w:rPr>
                <w:spacing w:val="4"/>
              </w:rPr>
              <w:t>根据编制详细赶工施工进度计划，保证在赶工完后施工</w:t>
            </w:r>
            <w:r>
              <w:rPr>
                <w:spacing w:val="3"/>
              </w:rPr>
              <w:t>进度满足或超过项目总进度计划，并对相关分包、劳务单位</w:t>
            </w:r>
            <w:r>
              <w:rPr>
                <w:spacing w:val="-12"/>
              </w:rPr>
              <w:t>进行交底：</w:t>
            </w:r>
          </w:p>
          <w:p w14:paraId="117C331B">
            <w:pPr>
              <w:pStyle w:val="7"/>
              <w:spacing w:before="1" w:line="359" w:lineRule="auto"/>
              <w:ind w:left="59" w:right="67" w:firstLine="480"/>
              <w:jc w:val="both"/>
            </w:pPr>
            <w:r>
              <w:rPr>
                <w:spacing w:val="4"/>
              </w:rPr>
              <w:t>编制施工进度计划时采用倒排工期法，根据已经确定的</w:t>
            </w:r>
            <w:r>
              <w:rPr>
                <w:spacing w:val="3"/>
              </w:rPr>
              <w:t>赶工工期目标，反推工期，确定若干个节点工期，根据节点工期计划排出每一天的工作内容、需要的材料、</w:t>
            </w:r>
            <w:r>
              <w:rPr>
                <w:spacing w:val="2"/>
              </w:rPr>
              <w:t>各工种劳动</w:t>
            </w:r>
            <w:r>
              <w:rPr>
                <w:spacing w:val="-3"/>
              </w:rPr>
              <w:t>力等资源，明确责任人，每天负责督促落实。</w:t>
            </w:r>
          </w:p>
          <w:p w14:paraId="7A85B4AD">
            <w:pPr>
              <w:pStyle w:val="7"/>
              <w:spacing w:before="1" w:line="359" w:lineRule="auto"/>
              <w:ind w:left="59" w:firstLine="492"/>
              <w:jc w:val="both"/>
            </w:pPr>
            <w:r>
              <w:rPr>
                <w:spacing w:val="-4"/>
              </w:rPr>
              <w:t>明确因赶工增加的劳动力、机械设备、材料等资源数量，</w:t>
            </w:r>
            <w:r>
              <w:rPr>
                <w:spacing w:val="3"/>
              </w:rPr>
              <w:t>编制资源进场计划，积极组织资源进场，保证赶工期间施工</w:t>
            </w:r>
            <w:r>
              <w:rPr>
                <w:spacing w:val="-16"/>
              </w:rPr>
              <w:t>要求：</w:t>
            </w:r>
          </w:p>
          <w:p w14:paraId="2A05D85B">
            <w:pPr>
              <w:pStyle w:val="7"/>
              <w:spacing w:line="359" w:lineRule="auto"/>
              <w:ind w:left="58" w:firstLine="479"/>
              <w:jc w:val="both"/>
            </w:pPr>
            <w:r>
              <w:rPr>
                <w:spacing w:val="-3"/>
              </w:rPr>
              <w:t>各相关责任人提前一周向项目、公司提出材料需用计划，以便材料及时进场；提前一周向劳务队伍提出人员需用要求，</w:t>
            </w:r>
            <w:r>
              <w:rPr>
                <w:spacing w:val="3"/>
              </w:rPr>
              <w:t>确保劳动力及时到位；提前一周向配合单位、部门提出配合</w:t>
            </w:r>
            <w:r>
              <w:rPr>
                <w:spacing w:val="-3"/>
              </w:rPr>
              <w:t>需求，确保不因配合问题影响当日进度。</w:t>
            </w:r>
          </w:p>
          <w:p w14:paraId="5FD71586">
            <w:pPr>
              <w:pStyle w:val="7"/>
              <w:spacing w:before="1" w:line="215" w:lineRule="auto"/>
              <w:ind w:left="537"/>
            </w:pPr>
            <w:r>
              <w:rPr>
                <w:spacing w:val="-5"/>
              </w:rPr>
              <w:t>加大劳动力投入并做好保障措施：</w:t>
            </w:r>
          </w:p>
          <w:p w14:paraId="5C1EFD9C">
            <w:pPr>
              <w:pStyle w:val="7"/>
              <w:spacing w:before="186" w:line="359" w:lineRule="auto"/>
              <w:ind w:left="57" w:right="67" w:firstLine="508"/>
            </w:pPr>
            <w:r>
              <w:rPr>
                <w:spacing w:val="3"/>
              </w:rPr>
              <w:t>同劳务队伍签订工期协议及劳动力协议，在最短</w:t>
            </w:r>
            <w:r>
              <w:rPr>
                <w:spacing w:val="2"/>
              </w:rPr>
              <w:t>时间内调动所需劳动力投入施工。做好现场工人的后勤保障工作。</w:t>
            </w:r>
            <w:r>
              <w:rPr>
                <w:spacing w:val="-3"/>
              </w:rPr>
              <w:t>跟踪工人的工资发放工作，保证工人的工作热情。</w:t>
            </w:r>
          </w:p>
          <w:p w14:paraId="6F88DE88">
            <w:pPr>
              <w:pStyle w:val="7"/>
              <w:spacing w:before="1" w:line="219" w:lineRule="auto"/>
              <w:ind w:left="538"/>
            </w:pPr>
            <w:r>
              <w:rPr>
                <w:spacing w:val="-7"/>
              </w:rPr>
              <w:t>各方面的通力配合：</w:t>
            </w:r>
          </w:p>
          <w:p w14:paraId="703743F7">
            <w:pPr>
              <w:pStyle w:val="7"/>
              <w:spacing w:before="183" w:line="359" w:lineRule="auto"/>
              <w:ind w:left="60" w:firstLine="478"/>
            </w:pPr>
            <w:r>
              <w:rPr>
                <w:spacing w:val="-11"/>
              </w:rPr>
              <w:t>提前与业主、监理协商，获得业主和监理的配合和协助，</w:t>
            </w:r>
            <w:r>
              <w:rPr>
                <w:spacing w:val="-3"/>
              </w:rPr>
              <w:t>及早办理相关手续，为各项抢工措施提供便利。</w:t>
            </w:r>
          </w:p>
          <w:p w14:paraId="5997068B">
            <w:pPr>
              <w:pStyle w:val="7"/>
              <w:spacing w:before="1" w:line="359" w:lineRule="auto"/>
              <w:ind w:left="57" w:right="67" w:firstLine="489"/>
            </w:pPr>
            <w:r>
              <w:rPr>
                <w:spacing w:val="3"/>
              </w:rPr>
              <w:t>与设计协商，及时解决确认施工中的问题，并将部分设</w:t>
            </w:r>
            <w:r>
              <w:rPr>
                <w:spacing w:val="-3"/>
              </w:rPr>
              <w:t>计更改为有利于加快施工进度的方面。</w:t>
            </w:r>
          </w:p>
          <w:p w14:paraId="23E0D341">
            <w:pPr>
              <w:pStyle w:val="7"/>
              <w:spacing w:before="1" w:line="358" w:lineRule="auto"/>
              <w:ind w:left="62" w:right="67" w:firstLine="480"/>
            </w:pPr>
            <w:r>
              <w:rPr>
                <w:spacing w:val="4"/>
              </w:rPr>
              <w:t>结构、机电预留预埋属于专业施工，在总包的整</w:t>
            </w:r>
            <w:r>
              <w:rPr>
                <w:spacing w:val="3"/>
              </w:rPr>
              <w:t>体计划</w:t>
            </w:r>
            <w:r>
              <w:rPr>
                <w:spacing w:val="-2"/>
              </w:rPr>
              <w:t>统领下，及时做好专业内的现场施工，并对总包做好配合。</w:t>
            </w:r>
          </w:p>
          <w:p w14:paraId="1CD62758">
            <w:pPr>
              <w:pStyle w:val="7"/>
              <w:spacing w:before="1" w:line="216" w:lineRule="auto"/>
              <w:ind w:left="542"/>
            </w:pPr>
            <w:r>
              <w:rPr>
                <w:spacing w:val="2"/>
              </w:rPr>
              <w:t>公司各部门全力配合项目施工，及时进场相关原材料，</w:t>
            </w:r>
          </w:p>
        </w:tc>
      </w:tr>
    </w:tbl>
    <w:p w14:paraId="123208C3">
      <w:pPr>
        <w:rPr>
          <w:rFonts w:ascii="Arial"/>
          <w:sz w:val="21"/>
        </w:rPr>
      </w:pPr>
    </w:p>
    <w:p w14:paraId="08973251">
      <w:pPr>
        <w:rPr>
          <w:rFonts w:ascii="Arial" w:hAnsi="Arial" w:eastAsia="Arial" w:cs="Arial"/>
          <w:sz w:val="21"/>
          <w:szCs w:val="21"/>
        </w:rPr>
        <w:sectPr>
          <w:headerReference r:id="rId21" w:type="default"/>
          <w:footerReference r:id="rId22" w:type="default"/>
          <w:pgSz w:w="11907" w:h="16839"/>
          <w:pgMar w:top="954" w:right="4" w:bottom="1038" w:left="0" w:header="499" w:footer="357" w:gutter="0"/>
          <w:pgBorders>
            <w:top w:val="none" w:sz="0" w:space="0"/>
            <w:left w:val="none" w:sz="0" w:space="0"/>
            <w:bottom w:val="none" w:sz="0" w:space="0"/>
            <w:right w:val="none" w:sz="0" w:space="0"/>
          </w:pgBorders>
          <w:cols w:space="720" w:num="1"/>
        </w:sectPr>
      </w:pPr>
    </w:p>
    <w:p w14:paraId="77B31C57">
      <w:pPr>
        <w:spacing w:line="214" w:lineRule="exact"/>
      </w:pPr>
    </w:p>
    <w:tbl>
      <w:tblPr>
        <w:tblStyle w:val="6"/>
        <w:tblW w:w="9063" w:type="dxa"/>
        <w:tblInd w:w="142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426"/>
        <w:gridCol w:w="1154"/>
        <w:gridCol w:w="6424"/>
        <w:gridCol w:w="59"/>
      </w:tblGrid>
      <w:tr w14:paraId="1339E1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21" w:hRule="atLeast"/>
        </w:trPr>
        <w:tc>
          <w:tcPr>
            <w:tcW w:w="1426" w:type="dxa"/>
            <w:tcBorders>
              <w:top w:val="single" w:color="000000" w:sz="4" w:space="0"/>
              <w:left w:val="single" w:color="000000" w:sz="4" w:space="0"/>
            </w:tcBorders>
            <w:vAlign w:val="top"/>
          </w:tcPr>
          <w:p w14:paraId="1B8D8C1E">
            <w:pPr>
              <w:rPr>
                <w:rFonts w:ascii="Arial"/>
                <w:sz w:val="21"/>
              </w:rPr>
            </w:pPr>
          </w:p>
        </w:tc>
        <w:tc>
          <w:tcPr>
            <w:tcW w:w="1154" w:type="dxa"/>
            <w:tcBorders>
              <w:top w:val="single" w:color="000000" w:sz="4" w:space="0"/>
            </w:tcBorders>
            <w:vAlign w:val="top"/>
          </w:tcPr>
          <w:p w14:paraId="2797EADB">
            <w:pPr>
              <w:rPr>
                <w:rFonts w:ascii="Arial"/>
                <w:sz w:val="21"/>
              </w:rPr>
            </w:pPr>
          </w:p>
        </w:tc>
        <w:tc>
          <w:tcPr>
            <w:tcW w:w="6483" w:type="dxa"/>
            <w:gridSpan w:val="2"/>
            <w:tcBorders>
              <w:top w:val="single" w:color="5B9BD5" w:sz="4" w:space="0"/>
              <w:right w:val="single" w:color="5B9BD5" w:sz="4" w:space="0"/>
            </w:tcBorders>
            <w:vAlign w:val="top"/>
          </w:tcPr>
          <w:p w14:paraId="41A9F46F">
            <w:pPr>
              <w:pStyle w:val="7"/>
              <w:spacing w:before="129" w:line="359" w:lineRule="auto"/>
              <w:ind w:left="82" w:right="67" w:hanging="5"/>
            </w:pPr>
            <w:r>
              <w:rPr>
                <w:spacing w:val="3"/>
              </w:rPr>
              <w:t>为项目提供技术支持，及时快速的协助项目解决施工中出现</w:t>
            </w:r>
            <w:r>
              <w:rPr>
                <w:spacing w:val="-9"/>
              </w:rPr>
              <w:t>的各种问题。</w:t>
            </w:r>
          </w:p>
          <w:p w14:paraId="0174A2D8">
            <w:pPr>
              <w:pStyle w:val="7"/>
              <w:spacing w:line="218" w:lineRule="auto"/>
              <w:ind w:left="548"/>
            </w:pPr>
            <w:r>
              <w:rPr>
                <w:spacing w:val="-11"/>
              </w:rPr>
              <w:t>适当奖励：</w:t>
            </w:r>
          </w:p>
          <w:p w14:paraId="647DA211">
            <w:pPr>
              <w:pStyle w:val="7"/>
              <w:spacing w:before="182" w:line="359" w:lineRule="auto"/>
              <w:ind w:left="73" w:right="66" w:firstLine="477"/>
            </w:pPr>
            <w:r>
              <w:rPr>
                <w:spacing w:val="4"/>
              </w:rPr>
              <w:t>赶工前，与项目管理人员、各分包、劳务队伍约定赶工</w:t>
            </w:r>
            <w:r>
              <w:rPr>
                <w:spacing w:val="-9"/>
              </w:rPr>
              <w:t>奖励办法。</w:t>
            </w:r>
          </w:p>
          <w:p w14:paraId="14284CCA">
            <w:pPr>
              <w:pStyle w:val="7"/>
              <w:spacing w:before="1" w:line="359" w:lineRule="auto"/>
              <w:ind w:left="72" w:right="67" w:firstLine="478"/>
              <w:jc w:val="both"/>
            </w:pPr>
            <w:r>
              <w:rPr>
                <w:spacing w:val="4"/>
              </w:rPr>
              <w:t>赶工期间，根据制定的赶工节点进行考核，若进度达到</w:t>
            </w:r>
            <w:r>
              <w:rPr>
                <w:spacing w:val="3"/>
              </w:rPr>
              <w:t>或者超过节点要求，给予管理人员、各分包、劳务队一定的</w:t>
            </w:r>
            <w:r>
              <w:rPr>
                <w:spacing w:val="-6"/>
              </w:rPr>
              <w:t>奖励，以示激励。</w:t>
            </w:r>
          </w:p>
          <w:p w14:paraId="6D907DEC">
            <w:pPr>
              <w:pStyle w:val="7"/>
              <w:spacing w:before="2" w:line="361" w:lineRule="auto"/>
              <w:ind w:left="70" w:right="67" w:firstLine="478"/>
            </w:pPr>
            <w:r>
              <w:rPr>
                <w:spacing w:val="4"/>
              </w:rPr>
              <w:t>若进度滞后于考核节点，则需组织进行夜晚抢工，直至</w:t>
            </w:r>
            <w:r>
              <w:rPr>
                <w:spacing w:val="-6"/>
              </w:rPr>
              <w:t>进度回至计划内。</w:t>
            </w:r>
          </w:p>
        </w:tc>
      </w:tr>
      <w:tr w14:paraId="672D10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52" w:hRule="atLeast"/>
        </w:trPr>
        <w:tc>
          <w:tcPr>
            <w:tcW w:w="1426" w:type="dxa"/>
            <w:tcBorders>
              <w:left w:val="single" w:color="000000" w:sz="4" w:space="0"/>
            </w:tcBorders>
            <w:vAlign w:val="top"/>
          </w:tcPr>
          <w:p w14:paraId="41997B01">
            <w:pPr>
              <w:pStyle w:val="7"/>
              <w:spacing w:before="97" w:line="218" w:lineRule="auto"/>
              <w:ind w:left="191"/>
            </w:pPr>
            <w:r>
              <w:rPr>
                <w:spacing w:val="-18"/>
              </w:rPr>
              <w:t>质量标准要</w:t>
            </w:r>
          </w:p>
          <w:p w14:paraId="394927EF">
            <w:pPr>
              <w:pStyle w:val="7"/>
              <w:spacing w:before="182" w:line="218" w:lineRule="auto"/>
              <w:ind w:left="626"/>
            </w:pPr>
            <w:r>
              <w:t>求</w:t>
            </w:r>
          </w:p>
        </w:tc>
        <w:tc>
          <w:tcPr>
            <w:tcW w:w="7637" w:type="dxa"/>
            <w:gridSpan w:val="3"/>
            <w:tcBorders>
              <w:right w:val="single" w:color="000000" w:sz="4" w:space="0"/>
            </w:tcBorders>
            <w:vAlign w:val="top"/>
          </w:tcPr>
          <w:p w14:paraId="51CC58AA">
            <w:pPr>
              <w:spacing w:line="250" w:lineRule="auto"/>
              <w:rPr>
                <w:rFonts w:ascii="Arial"/>
                <w:sz w:val="21"/>
              </w:rPr>
            </w:pPr>
          </w:p>
          <w:p w14:paraId="484E9413">
            <w:pPr>
              <w:pStyle w:val="7"/>
              <w:spacing w:before="78" w:line="218" w:lineRule="auto"/>
              <w:ind w:left="1756"/>
            </w:pPr>
            <w:r>
              <w:rPr>
                <w:spacing w:val="-21"/>
              </w:rPr>
              <w:t>质量标准：合格，争创</w:t>
            </w:r>
            <w:r>
              <w:rPr>
                <w:rFonts w:hint="eastAsia"/>
                <w:spacing w:val="-21"/>
                <w:lang w:eastAsia="zh-CN"/>
              </w:rPr>
              <w:t>安徽某市</w:t>
            </w:r>
            <w:r>
              <w:rPr>
                <w:spacing w:val="-21"/>
              </w:rPr>
              <w:t>优质工程奖。</w:t>
            </w:r>
          </w:p>
        </w:tc>
      </w:tr>
      <w:tr w14:paraId="2DBE5D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90" w:hRule="atLeast"/>
        </w:trPr>
        <w:tc>
          <w:tcPr>
            <w:tcW w:w="1426" w:type="dxa"/>
            <w:tcBorders>
              <w:left w:val="single" w:color="1C456A" w:sz="4" w:space="0"/>
              <w:bottom w:val="single" w:color="1C456A" w:sz="4" w:space="0"/>
            </w:tcBorders>
            <w:vAlign w:val="top"/>
          </w:tcPr>
          <w:p w14:paraId="3F69A5F2">
            <w:pPr>
              <w:spacing w:line="249" w:lineRule="auto"/>
              <w:rPr>
                <w:rFonts w:ascii="Arial"/>
                <w:sz w:val="21"/>
              </w:rPr>
            </w:pPr>
            <w:r>
              <w:pict>
                <v:shape id="_x0000_s1245" o:spid="_x0000_s1245" style="position:absolute;left:0pt;margin-left:-0.2pt;margin-top:404.55pt;height:0.75pt;width:2.2pt;mso-position-horizontal-relative:page;mso-position-vertical-relative:page;z-index:251678720;mso-width-relative:page;mso-height-relative:page;" fillcolor="#5B9BD5" filled="t" stroked="f" coordsize="44,15" path="m0,14l43,14,43,0,0,0,0,14xe">
                  <v:path/>
                  <v:fill on="t" focussize="0,0"/>
                  <v:stroke on="f"/>
                  <v:imagedata o:title=""/>
                  <o:lock v:ext="edit"/>
                </v:shape>
              </w:pict>
            </w:r>
          </w:p>
          <w:p w14:paraId="40131CA0">
            <w:pPr>
              <w:spacing w:line="249" w:lineRule="auto"/>
              <w:rPr>
                <w:rFonts w:ascii="Arial"/>
                <w:sz w:val="21"/>
              </w:rPr>
            </w:pPr>
          </w:p>
          <w:p w14:paraId="10EB7278">
            <w:pPr>
              <w:spacing w:line="250" w:lineRule="auto"/>
              <w:rPr>
                <w:rFonts w:ascii="Arial"/>
                <w:sz w:val="21"/>
              </w:rPr>
            </w:pPr>
          </w:p>
          <w:p w14:paraId="2243A91A">
            <w:pPr>
              <w:spacing w:line="250" w:lineRule="auto"/>
              <w:rPr>
                <w:rFonts w:ascii="Arial"/>
                <w:sz w:val="21"/>
              </w:rPr>
            </w:pPr>
          </w:p>
          <w:p w14:paraId="7DAE96AA">
            <w:pPr>
              <w:spacing w:line="250" w:lineRule="auto"/>
              <w:rPr>
                <w:rFonts w:ascii="Arial"/>
                <w:sz w:val="21"/>
              </w:rPr>
            </w:pPr>
          </w:p>
          <w:p w14:paraId="7811BE50">
            <w:pPr>
              <w:spacing w:line="250" w:lineRule="auto"/>
              <w:rPr>
                <w:rFonts w:ascii="Arial"/>
                <w:sz w:val="21"/>
              </w:rPr>
            </w:pPr>
          </w:p>
          <w:p w14:paraId="1B8F4F0D">
            <w:pPr>
              <w:spacing w:line="250" w:lineRule="auto"/>
              <w:rPr>
                <w:rFonts w:ascii="Arial"/>
                <w:sz w:val="21"/>
              </w:rPr>
            </w:pPr>
          </w:p>
          <w:p w14:paraId="7C31CD9F">
            <w:pPr>
              <w:spacing w:line="250" w:lineRule="auto"/>
              <w:rPr>
                <w:rFonts w:ascii="Arial"/>
                <w:sz w:val="21"/>
              </w:rPr>
            </w:pPr>
          </w:p>
          <w:p w14:paraId="2C2C09A9">
            <w:pPr>
              <w:spacing w:line="250" w:lineRule="auto"/>
              <w:rPr>
                <w:rFonts w:ascii="Arial"/>
                <w:sz w:val="21"/>
              </w:rPr>
            </w:pPr>
          </w:p>
          <w:p w14:paraId="5F119042">
            <w:pPr>
              <w:spacing w:line="250" w:lineRule="auto"/>
              <w:rPr>
                <w:rFonts w:ascii="Arial"/>
                <w:sz w:val="21"/>
              </w:rPr>
            </w:pPr>
          </w:p>
          <w:p w14:paraId="086CD3FB">
            <w:pPr>
              <w:spacing w:line="250" w:lineRule="auto"/>
              <w:rPr>
                <w:rFonts w:ascii="Arial"/>
                <w:sz w:val="21"/>
              </w:rPr>
            </w:pPr>
          </w:p>
          <w:p w14:paraId="25044DEB">
            <w:pPr>
              <w:spacing w:line="250" w:lineRule="auto"/>
              <w:rPr>
                <w:rFonts w:ascii="Arial"/>
                <w:sz w:val="21"/>
              </w:rPr>
            </w:pPr>
          </w:p>
          <w:p w14:paraId="5A023ED5">
            <w:pPr>
              <w:spacing w:line="250" w:lineRule="auto"/>
              <w:rPr>
                <w:rFonts w:ascii="Arial"/>
                <w:sz w:val="21"/>
              </w:rPr>
            </w:pPr>
          </w:p>
          <w:p w14:paraId="7D9CA14F">
            <w:pPr>
              <w:spacing w:line="250" w:lineRule="auto"/>
              <w:rPr>
                <w:rFonts w:ascii="Arial"/>
                <w:sz w:val="21"/>
              </w:rPr>
            </w:pPr>
          </w:p>
          <w:p w14:paraId="329F84E4">
            <w:pPr>
              <w:pStyle w:val="7"/>
              <w:spacing w:before="78" w:line="220" w:lineRule="auto"/>
              <w:ind w:left="188"/>
            </w:pPr>
            <w:r>
              <w:rPr>
                <w:spacing w:val="-18"/>
              </w:rPr>
              <w:t>安全文明及</w:t>
            </w:r>
          </w:p>
          <w:p w14:paraId="3D17FCDE">
            <w:pPr>
              <w:pStyle w:val="7"/>
              <w:spacing w:before="181" w:line="220" w:lineRule="auto"/>
              <w:ind w:left="525"/>
            </w:pPr>
            <w:r>
              <w:rPr>
                <w:spacing w:val="-13"/>
              </w:rPr>
              <w:t>管理</w:t>
            </w:r>
          </w:p>
        </w:tc>
        <w:tc>
          <w:tcPr>
            <w:tcW w:w="7578" w:type="dxa"/>
            <w:gridSpan w:val="2"/>
            <w:tcBorders>
              <w:bottom w:val="single" w:color="5B9BD5" w:sz="4" w:space="0"/>
              <w:right w:val="nil"/>
            </w:tcBorders>
            <w:vAlign w:val="top"/>
          </w:tcPr>
          <w:p w14:paraId="08C3F17D">
            <w:pPr>
              <w:pStyle w:val="7"/>
              <w:spacing w:before="96" w:line="324" w:lineRule="auto"/>
              <w:ind w:left="62" w:right="30" w:firstLine="495"/>
            </w:pPr>
            <w:r>
              <w:rPr>
                <w:spacing w:val="-4"/>
              </w:rPr>
              <w:t>1、本项目必须严格执行国务院393号令《建设</w:t>
            </w:r>
            <w:r>
              <w:rPr>
                <w:spacing w:val="-5"/>
              </w:rPr>
              <w:t>工程安全生产管理条</w:t>
            </w:r>
            <w:r>
              <w:rPr>
                <w:spacing w:val="1"/>
              </w:rPr>
              <w:t>例》。必须严格执行《</w:t>
            </w:r>
            <w:r>
              <w:rPr>
                <w:rFonts w:hint="eastAsia"/>
                <w:spacing w:val="1"/>
                <w:lang w:eastAsia="zh-CN"/>
              </w:rPr>
              <w:t>安徽某市</w:t>
            </w:r>
            <w:r>
              <w:rPr>
                <w:spacing w:val="1"/>
              </w:rPr>
              <w:t>创建文明城市责任考</w:t>
            </w:r>
            <w:r>
              <w:t>评办法（试行）》、</w:t>
            </w:r>
            <w:r>
              <w:rPr>
                <w:spacing w:val="1"/>
              </w:rPr>
              <w:t>《</w:t>
            </w:r>
            <w:r>
              <w:rPr>
                <w:rFonts w:hint="eastAsia"/>
                <w:spacing w:val="1"/>
                <w:lang w:eastAsia="zh-CN"/>
              </w:rPr>
              <w:t>安徽某市</w:t>
            </w:r>
            <w:r>
              <w:rPr>
                <w:spacing w:val="1"/>
              </w:rPr>
              <w:t>建设系统创文明城市工作实施细则》，确保符合</w:t>
            </w:r>
            <w:r>
              <w:rPr>
                <w:rFonts w:hint="eastAsia"/>
                <w:spacing w:val="1"/>
                <w:lang w:eastAsia="zh-CN"/>
              </w:rPr>
              <w:t>安徽某市</w:t>
            </w:r>
            <w:r>
              <w:rPr>
                <w:spacing w:val="1"/>
              </w:rPr>
              <w:t>创建文</w:t>
            </w:r>
            <w:r>
              <w:rPr>
                <w:spacing w:val="-5"/>
              </w:rPr>
              <w:t>明卫生城市要求。</w:t>
            </w:r>
          </w:p>
          <w:p w14:paraId="1F2DE848">
            <w:pPr>
              <w:pStyle w:val="7"/>
              <w:spacing w:before="182" w:line="331" w:lineRule="auto"/>
              <w:ind w:left="66" w:right="10" w:firstLine="477"/>
            </w:pPr>
            <w:r>
              <w:rPr>
                <w:spacing w:val="-2"/>
              </w:rPr>
              <w:t>2、必须严格执行国家及</w:t>
            </w:r>
            <w:r>
              <w:rPr>
                <w:rFonts w:hint="eastAsia"/>
                <w:spacing w:val="-2"/>
                <w:lang w:eastAsia="zh-CN"/>
              </w:rPr>
              <w:t>安徽某市</w:t>
            </w:r>
            <w:r>
              <w:rPr>
                <w:spacing w:val="-2"/>
              </w:rPr>
              <w:t>现行相关文件规定，工程施工中</w:t>
            </w:r>
            <w:r>
              <w:rPr>
                <w:spacing w:val="-3"/>
              </w:rPr>
              <w:t>，承</w:t>
            </w:r>
            <w:r>
              <w:rPr>
                <w:spacing w:val="2"/>
              </w:rPr>
              <w:t>包人要建立专职安全文明施工领导机构，由专人负责工地文</w:t>
            </w:r>
            <w:r>
              <w:rPr>
                <w:spacing w:val="1"/>
              </w:rPr>
              <w:t>明施工和安</w:t>
            </w:r>
            <w:r>
              <w:rPr>
                <w:spacing w:val="2"/>
              </w:rPr>
              <w:t>全施工的安排、指导、监督等工作。施工期间施工现场及</w:t>
            </w:r>
            <w:r>
              <w:rPr>
                <w:spacing w:val="1"/>
              </w:rPr>
              <w:t>在周边沿线道</w:t>
            </w:r>
            <w:r>
              <w:rPr>
                <w:spacing w:val="2"/>
              </w:rPr>
              <w:t>路上洒落的各种渣土等材料必须及时清运。确保符合</w:t>
            </w:r>
            <w:r>
              <w:rPr>
                <w:rFonts w:hint="eastAsia"/>
                <w:spacing w:val="2"/>
                <w:lang w:eastAsia="zh-CN"/>
              </w:rPr>
              <w:t>安徽某市</w:t>
            </w:r>
            <w:r>
              <w:rPr>
                <w:spacing w:val="1"/>
              </w:rPr>
              <w:t>创建文明卫</w:t>
            </w:r>
            <w:r>
              <w:rPr>
                <w:spacing w:val="-1"/>
              </w:rPr>
              <w:t>生城市要求。争创“市级安全生产标准化示范工地”称号。</w:t>
            </w:r>
          </w:p>
          <w:p w14:paraId="68EA1EC0">
            <w:pPr>
              <w:pStyle w:val="7"/>
              <w:spacing w:before="183" w:line="217" w:lineRule="auto"/>
              <w:ind w:left="545"/>
            </w:pPr>
            <w:r>
              <w:rPr>
                <w:spacing w:val="-2"/>
              </w:rPr>
              <w:t>3、必须确保安全文明施工，国家现行相关规定。</w:t>
            </w:r>
          </w:p>
          <w:p w14:paraId="4FEC087B">
            <w:pPr>
              <w:pStyle w:val="7"/>
              <w:spacing w:before="187" w:line="288" w:lineRule="auto"/>
              <w:ind w:left="70" w:right="31" w:firstLine="468"/>
            </w:pPr>
            <w:r>
              <w:rPr>
                <w:spacing w:val="-3"/>
              </w:rPr>
              <w:t>4、严格按照市建设工程扬尘污染防治暂行规定文件规定落实扬尘污</w:t>
            </w:r>
            <w:r>
              <w:rPr>
                <w:spacing w:val="-8"/>
              </w:rPr>
              <w:t>染防治措施。</w:t>
            </w:r>
          </w:p>
          <w:p w14:paraId="241B98BE">
            <w:pPr>
              <w:pStyle w:val="7"/>
              <w:spacing w:before="184" w:line="312" w:lineRule="auto"/>
              <w:ind w:left="67" w:right="11" w:firstLine="477"/>
            </w:pPr>
            <w:r>
              <w:rPr>
                <w:spacing w:val="-8"/>
              </w:rPr>
              <w:t>5、文明施工：在整治过程中，做好施工便道、安全围挡、</w:t>
            </w:r>
            <w:r>
              <w:rPr>
                <w:spacing w:val="-9"/>
              </w:rPr>
              <w:t>扬尘防治</w:t>
            </w:r>
            <w:r>
              <w:rPr>
                <w:spacing w:val="2"/>
              </w:rPr>
              <w:t>等措施，同步和居民做好施工中的沟通协调，避免噪音</w:t>
            </w:r>
            <w:r>
              <w:rPr>
                <w:spacing w:val="1"/>
              </w:rPr>
              <w:t>、扬尘等扰民投</w:t>
            </w:r>
            <w:r>
              <w:rPr>
                <w:spacing w:val="-4"/>
              </w:rPr>
              <w:t>诉发生。</w:t>
            </w:r>
          </w:p>
          <w:p w14:paraId="3C86C26F">
            <w:pPr>
              <w:pStyle w:val="7"/>
              <w:spacing w:before="182" w:line="288" w:lineRule="auto"/>
              <w:ind w:left="80" w:right="13" w:firstLine="462"/>
            </w:pPr>
            <w:r>
              <w:rPr>
                <w:spacing w:val="-5"/>
              </w:rPr>
              <w:t>6、严格执行《2018年安徽省大气污染防治重点工作任务》六个百分</w:t>
            </w:r>
            <w:r>
              <w:rPr>
                <w:spacing w:val="-10"/>
              </w:rPr>
              <w:t>百的要求。</w:t>
            </w:r>
          </w:p>
        </w:tc>
        <w:tc>
          <w:tcPr>
            <w:tcW w:w="59" w:type="dxa"/>
            <w:tcBorders>
              <w:left w:val="nil"/>
              <w:bottom w:val="single" w:color="5B9BD5" w:sz="4" w:space="0"/>
              <w:right w:val="single" w:color="5B9BD5" w:sz="4" w:space="0"/>
            </w:tcBorders>
            <w:vAlign w:val="top"/>
          </w:tcPr>
          <w:p w14:paraId="0419D026">
            <w:pPr>
              <w:rPr>
                <w:rFonts w:ascii="Arial"/>
                <w:sz w:val="21"/>
              </w:rPr>
            </w:pPr>
            <w:r>
              <w:pict>
                <v:shape id="_x0000_s1246" o:spid="_x0000_s1246" style="position:absolute;left:0pt;margin-left:1.1pt;margin-top:404.55pt;height:0.75pt;width:2.2pt;mso-position-horizontal-relative:page;mso-position-vertical-relative:page;z-index:251679744;mso-width-relative:page;mso-height-relative:page;" fillcolor="#5B9BD5" filled="t" stroked="f" coordsize="44,15" path="m0,14l43,14,43,0,0,0,0,14xe">
                  <v:path/>
                  <v:fill on="t" focussize="0,0"/>
                  <v:stroke on="f"/>
                  <v:imagedata o:title=""/>
                  <o:lock v:ext="edit"/>
                </v:shape>
              </w:pict>
            </w:r>
          </w:p>
        </w:tc>
      </w:tr>
    </w:tbl>
    <w:p w14:paraId="372B85DF">
      <w:pPr>
        <w:rPr>
          <w:rFonts w:ascii="Arial"/>
          <w:sz w:val="21"/>
        </w:rPr>
      </w:pPr>
    </w:p>
    <w:p w14:paraId="7BCEB5DA">
      <w:pPr>
        <w:rPr>
          <w:rFonts w:ascii="Arial" w:hAnsi="Arial" w:eastAsia="Arial" w:cs="Arial"/>
          <w:sz w:val="21"/>
          <w:szCs w:val="21"/>
        </w:rPr>
        <w:sectPr>
          <w:footerReference r:id="rId23" w:type="default"/>
          <w:pgSz w:w="11907" w:h="16839"/>
          <w:pgMar w:top="954" w:right="4" w:bottom="1038" w:left="0" w:header="499" w:footer="357" w:gutter="0"/>
          <w:pgBorders>
            <w:top w:val="none" w:sz="0" w:space="0"/>
            <w:left w:val="none" w:sz="0" w:space="0"/>
            <w:bottom w:val="none" w:sz="0" w:space="0"/>
            <w:right w:val="none" w:sz="0" w:space="0"/>
          </w:pgBorders>
          <w:cols w:space="720" w:num="1"/>
        </w:sectPr>
      </w:pPr>
    </w:p>
    <w:p w14:paraId="35C4802B">
      <w:pPr>
        <w:spacing w:line="214" w:lineRule="exact"/>
      </w:pPr>
    </w:p>
    <w:tbl>
      <w:tblPr>
        <w:tblStyle w:val="6"/>
        <w:tblW w:w="9063" w:type="dxa"/>
        <w:tblInd w:w="142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426"/>
        <w:gridCol w:w="7637"/>
      </w:tblGrid>
      <w:tr w14:paraId="573362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86" w:hRule="atLeast"/>
        </w:trPr>
        <w:tc>
          <w:tcPr>
            <w:tcW w:w="1426" w:type="dxa"/>
            <w:tcBorders>
              <w:top w:val="single" w:color="000000" w:sz="4" w:space="0"/>
              <w:left w:val="single" w:color="000000" w:sz="4" w:space="0"/>
            </w:tcBorders>
            <w:vAlign w:val="top"/>
          </w:tcPr>
          <w:p w14:paraId="745F73DD">
            <w:pPr>
              <w:spacing w:line="257" w:lineRule="auto"/>
              <w:rPr>
                <w:rFonts w:ascii="Arial"/>
                <w:sz w:val="21"/>
              </w:rPr>
            </w:pPr>
          </w:p>
          <w:p w14:paraId="03B3BF28">
            <w:pPr>
              <w:spacing w:line="257" w:lineRule="auto"/>
              <w:rPr>
                <w:rFonts w:ascii="Arial"/>
                <w:sz w:val="21"/>
              </w:rPr>
            </w:pPr>
          </w:p>
          <w:p w14:paraId="72691DD4">
            <w:pPr>
              <w:pStyle w:val="7"/>
              <w:spacing w:before="78" w:line="361" w:lineRule="auto"/>
              <w:ind w:left="401" w:right="137" w:hanging="200"/>
            </w:pPr>
            <w:r>
              <w:rPr>
                <w:spacing w:val="-25"/>
              </w:rPr>
              <w:t>防尘降噪控</w:t>
            </w:r>
            <w:r>
              <w:rPr>
                <w:spacing w:val="-14"/>
              </w:rPr>
              <w:t>制目标</w:t>
            </w:r>
          </w:p>
        </w:tc>
        <w:tc>
          <w:tcPr>
            <w:tcW w:w="7637" w:type="dxa"/>
            <w:tcBorders>
              <w:top w:val="single" w:color="5B9BD5" w:sz="4" w:space="0"/>
              <w:right w:val="single" w:color="5B9BD5" w:sz="4" w:space="0"/>
            </w:tcBorders>
            <w:vAlign w:val="top"/>
          </w:tcPr>
          <w:p w14:paraId="44AC4AC6">
            <w:pPr>
              <w:pStyle w:val="7"/>
              <w:spacing w:before="128" w:line="217" w:lineRule="auto"/>
              <w:ind w:left="558"/>
            </w:pPr>
            <w:r>
              <w:rPr>
                <w:spacing w:val="-2"/>
              </w:rPr>
              <w:t>1、噪声排放达标，符合《建筑施工场界噪声</w:t>
            </w:r>
            <w:r>
              <w:rPr>
                <w:spacing w:val="-3"/>
              </w:rPr>
              <w:t>限值》规定。</w:t>
            </w:r>
          </w:p>
          <w:p w14:paraId="054FD0DE">
            <w:pPr>
              <w:pStyle w:val="7"/>
              <w:spacing w:before="184" w:line="289" w:lineRule="auto"/>
              <w:ind w:left="70" w:right="82" w:firstLine="472"/>
            </w:pPr>
            <w:r>
              <w:rPr>
                <w:spacing w:val="-9"/>
              </w:rPr>
              <w:t>2、污水排放达标，生产及生活污水经沉淀后排放，达到</w:t>
            </w:r>
            <w:r>
              <w:rPr>
                <w:rFonts w:hint="eastAsia"/>
                <w:spacing w:val="-9"/>
                <w:lang w:eastAsia="zh-CN"/>
              </w:rPr>
              <w:t>安徽某市</w:t>
            </w:r>
            <w:r>
              <w:rPr>
                <w:spacing w:val="-9"/>
              </w:rPr>
              <w:t>的标</w:t>
            </w:r>
            <w:r>
              <w:rPr>
                <w:spacing w:val="-10"/>
              </w:rPr>
              <w:t>准规定。</w:t>
            </w:r>
          </w:p>
          <w:p w14:paraId="4113CBF2">
            <w:pPr>
              <w:pStyle w:val="7"/>
              <w:spacing w:before="182" w:line="288" w:lineRule="auto"/>
              <w:ind w:left="110" w:right="86" w:firstLine="435"/>
            </w:pPr>
            <w:r>
              <w:rPr>
                <w:spacing w:val="-9"/>
              </w:rPr>
              <w:t>3、控制粉尘排放，施工现场道路硬化，办公区环境绿化，达到现场</w:t>
            </w:r>
            <w:r>
              <w:rPr>
                <w:spacing w:val="-5"/>
              </w:rPr>
              <w:t>目测无扬尘；达到ISO14001环保认证的</w:t>
            </w:r>
            <w:r>
              <w:rPr>
                <w:spacing w:val="-6"/>
              </w:rPr>
              <w:t>要求。</w:t>
            </w:r>
          </w:p>
        </w:tc>
      </w:tr>
      <w:tr w14:paraId="40179C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85" w:hRule="atLeast"/>
        </w:trPr>
        <w:tc>
          <w:tcPr>
            <w:tcW w:w="1426" w:type="dxa"/>
            <w:tcBorders>
              <w:left w:val="single" w:color="000000" w:sz="4" w:space="0"/>
            </w:tcBorders>
            <w:vAlign w:val="top"/>
          </w:tcPr>
          <w:p w14:paraId="337C01AC">
            <w:pPr>
              <w:spacing w:line="357" w:lineRule="auto"/>
              <w:rPr>
                <w:rFonts w:ascii="Arial"/>
                <w:sz w:val="21"/>
              </w:rPr>
            </w:pPr>
          </w:p>
          <w:p w14:paraId="2849F387">
            <w:pPr>
              <w:spacing w:line="357" w:lineRule="auto"/>
              <w:rPr>
                <w:rFonts w:ascii="Arial"/>
                <w:sz w:val="21"/>
              </w:rPr>
            </w:pPr>
          </w:p>
          <w:p w14:paraId="3A274314">
            <w:pPr>
              <w:pStyle w:val="7"/>
              <w:spacing w:before="78" w:line="218" w:lineRule="auto"/>
              <w:ind w:left="293"/>
            </w:pPr>
            <w:r>
              <w:rPr>
                <w:spacing w:val="-15"/>
              </w:rPr>
              <w:t>环境目标</w:t>
            </w:r>
          </w:p>
        </w:tc>
        <w:tc>
          <w:tcPr>
            <w:tcW w:w="7637" w:type="dxa"/>
            <w:tcBorders>
              <w:right w:val="single" w:color="000000" w:sz="4" w:space="0"/>
            </w:tcBorders>
            <w:vAlign w:val="top"/>
          </w:tcPr>
          <w:p w14:paraId="6B825346">
            <w:pPr>
              <w:pStyle w:val="7"/>
              <w:spacing w:before="95" w:line="360" w:lineRule="auto"/>
              <w:ind w:left="67" w:right="64" w:firstLine="480"/>
            </w:pPr>
            <w:r>
              <w:rPr>
                <w:spacing w:val="1"/>
              </w:rPr>
              <w:t>施工噪声场界达标：昼间≤75</w:t>
            </w:r>
            <w:r>
              <w:t>dB</w:t>
            </w:r>
            <w:r>
              <w:rPr>
                <w:spacing w:val="1"/>
              </w:rPr>
              <w:t>、夜间≤55</w:t>
            </w:r>
            <w:r>
              <w:t>dB</w:t>
            </w:r>
            <w:r>
              <w:rPr>
                <w:spacing w:val="1"/>
              </w:rPr>
              <w:t>。施工现场目视无扬尘，道路运输无遗洒。固体废弃物实现资源化、无害</w:t>
            </w:r>
            <w:r>
              <w:t>化、减量化管理。</w:t>
            </w:r>
            <w:r>
              <w:rPr>
                <w:spacing w:val="2"/>
              </w:rPr>
              <w:t>对有毒、有害废物进行有效控制和管理，减少环境污染。</w:t>
            </w:r>
            <w:r>
              <w:rPr>
                <w:spacing w:val="1"/>
              </w:rPr>
              <w:t>生产、生活污</w:t>
            </w:r>
            <w:r>
              <w:rPr>
                <w:spacing w:val="-2"/>
              </w:rPr>
              <w:t>水排放符合</w:t>
            </w:r>
            <w:r>
              <w:rPr>
                <w:rFonts w:hint="eastAsia"/>
                <w:spacing w:val="-2"/>
                <w:lang w:eastAsia="zh-CN"/>
              </w:rPr>
              <w:t>安徽某市</w:t>
            </w:r>
            <w:r>
              <w:rPr>
                <w:spacing w:val="-2"/>
              </w:rPr>
              <w:t>污水排放地方标准。节能降耗，减少资源浪费。</w:t>
            </w:r>
          </w:p>
        </w:tc>
      </w:tr>
      <w:tr w14:paraId="118826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17" w:hRule="atLeast"/>
        </w:trPr>
        <w:tc>
          <w:tcPr>
            <w:tcW w:w="1426" w:type="dxa"/>
            <w:tcBorders>
              <w:left w:val="single" w:color="000000" w:sz="4" w:space="0"/>
            </w:tcBorders>
            <w:vAlign w:val="top"/>
          </w:tcPr>
          <w:p w14:paraId="6716C989">
            <w:pPr>
              <w:spacing w:line="251" w:lineRule="auto"/>
              <w:rPr>
                <w:rFonts w:ascii="Arial"/>
                <w:sz w:val="21"/>
              </w:rPr>
            </w:pPr>
          </w:p>
          <w:p w14:paraId="61DEEAF9">
            <w:pPr>
              <w:pStyle w:val="7"/>
              <w:spacing w:before="78" w:line="220" w:lineRule="auto"/>
              <w:ind w:left="196"/>
            </w:pPr>
            <w:r>
              <w:rPr>
                <w:spacing w:val="-19"/>
              </w:rPr>
              <w:t>总承包管理</w:t>
            </w:r>
          </w:p>
          <w:p w14:paraId="6F755E2D">
            <w:pPr>
              <w:pStyle w:val="7"/>
              <w:spacing w:before="182" w:line="218" w:lineRule="auto"/>
              <w:ind w:left="554"/>
            </w:pPr>
            <w:r>
              <w:rPr>
                <w:spacing w:val="-20"/>
              </w:rPr>
              <w:t>目标</w:t>
            </w:r>
          </w:p>
        </w:tc>
        <w:tc>
          <w:tcPr>
            <w:tcW w:w="7637" w:type="dxa"/>
            <w:tcBorders>
              <w:right w:val="single" w:color="000000" w:sz="4" w:space="0"/>
            </w:tcBorders>
            <w:vAlign w:val="top"/>
          </w:tcPr>
          <w:p w14:paraId="1AE70EE9">
            <w:pPr>
              <w:pStyle w:val="7"/>
              <w:spacing w:before="100" w:line="359" w:lineRule="auto"/>
              <w:ind w:left="68" w:right="65" w:firstLine="480"/>
              <w:jc w:val="both"/>
            </w:pPr>
            <w:r>
              <w:rPr>
                <w:spacing w:val="2"/>
              </w:rPr>
              <w:t>在工程建设过程中，严格履行施工合同所赋</w:t>
            </w:r>
            <w:r>
              <w:rPr>
                <w:spacing w:val="1"/>
              </w:rPr>
              <w:t>予总承包的各项权利和</w:t>
            </w:r>
            <w:r>
              <w:rPr>
                <w:spacing w:val="2"/>
              </w:rPr>
              <w:t>义务，主动协调好与参建各方及相关政府部门的关系</w:t>
            </w:r>
            <w:r>
              <w:rPr>
                <w:spacing w:val="1"/>
              </w:rPr>
              <w:t>，同工程参建各方</w:t>
            </w:r>
            <w:r>
              <w:rPr>
                <w:spacing w:val="-2"/>
              </w:rPr>
              <w:t>一起通力协作，确保工程总承包范围内各项既定目标的实现。</w:t>
            </w:r>
          </w:p>
        </w:tc>
      </w:tr>
      <w:tr w14:paraId="4A58AF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25" w:hRule="atLeast"/>
        </w:trPr>
        <w:tc>
          <w:tcPr>
            <w:tcW w:w="1426" w:type="dxa"/>
            <w:tcBorders>
              <w:left w:val="single" w:color="20507B" w:sz="4" w:space="0"/>
              <w:bottom w:val="single" w:color="20507B" w:sz="4" w:space="0"/>
            </w:tcBorders>
            <w:vAlign w:val="top"/>
          </w:tcPr>
          <w:p w14:paraId="0AA7E0E9">
            <w:pPr>
              <w:spacing w:line="244" w:lineRule="auto"/>
              <w:rPr>
                <w:rFonts w:ascii="Arial"/>
                <w:sz w:val="21"/>
              </w:rPr>
            </w:pPr>
          </w:p>
          <w:p w14:paraId="7AC2BFD5">
            <w:pPr>
              <w:spacing w:line="245" w:lineRule="auto"/>
              <w:rPr>
                <w:rFonts w:ascii="Arial"/>
                <w:sz w:val="21"/>
              </w:rPr>
            </w:pPr>
          </w:p>
          <w:p w14:paraId="22F41B5F">
            <w:pPr>
              <w:pStyle w:val="7"/>
              <w:spacing w:before="78" w:line="359" w:lineRule="auto"/>
              <w:ind w:left="322" w:right="137" w:hanging="137"/>
            </w:pPr>
            <w:r>
              <w:rPr>
                <w:spacing w:val="-21"/>
              </w:rPr>
              <w:t>服务与工程</w:t>
            </w:r>
            <w:r>
              <w:rPr>
                <w:spacing w:val="-23"/>
              </w:rPr>
              <w:t>回访目标</w:t>
            </w:r>
          </w:p>
          <w:p w14:paraId="293C327E">
            <w:pPr>
              <w:spacing w:line="242" w:lineRule="auto"/>
              <w:rPr>
                <w:rFonts w:ascii="Arial"/>
                <w:sz w:val="21"/>
              </w:rPr>
            </w:pPr>
          </w:p>
          <w:p w14:paraId="0323B595">
            <w:pPr>
              <w:spacing w:line="243" w:lineRule="auto"/>
              <w:rPr>
                <w:rFonts w:ascii="Arial"/>
                <w:sz w:val="21"/>
              </w:rPr>
            </w:pPr>
          </w:p>
          <w:p w14:paraId="138CBC92">
            <w:pPr>
              <w:spacing w:line="23" w:lineRule="exact"/>
            </w:pPr>
            <w:r>
              <w:rPr>
                <w:position w:val="-2"/>
              </w:rPr>
              <w:pict>
                <v:group id="_x0000_s1247" o:spid="_x0000_s1247" o:spt="203" style="height:2.2pt;width:71.2pt;" coordsize="1423,44">
                  <o:lock v:ext="edit"/>
                  <v:shape id="_x0000_s1248" o:spid="_x0000_s1248" style="position:absolute;left:0;top:28;height:15;width:44;" fillcolor="#5B9BD5" filled="t" stroked="f" coordsize="44,15" path="m0,14l43,14,43,0,0,0,0,14xe">
                    <v:path/>
                    <v:fill on="t" focussize="0,0"/>
                    <v:stroke on="f"/>
                    <v:imagedata o:title=""/>
                    <o:lock v:ext="edit"/>
                  </v:shape>
                  <v:shape id="_x0000_s1249" o:spid="_x0000_s1249" style="position:absolute;left:43;top:0;height:15;width:1381;" fillcolor="#1C456A" filled="t" stroked="f" coordsize="1381,15" path="m0,14l1380,14,1380,0,0,0,0,14xe">
                    <v:path/>
                    <v:fill on="t" focussize="0,0"/>
                    <v:stroke on="f"/>
                    <v:imagedata o:title=""/>
                    <o:lock v:ext="edit"/>
                  </v:shape>
                  <w10:wrap type="none"/>
                  <w10:anchorlock/>
                </v:group>
              </w:pict>
            </w:r>
          </w:p>
        </w:tc>
        <w:tc>
          <w:tcPr>
            <w:tcW w:w="7637" w:type="dxa"/>
            <w:tcBorders>
              <w:bottom w:val="single" w:color="5B9BD5" w:sz="4" w:space="0"/>
              <w:right w:val="single" w:color="5B9BD5" w:sz="4" w:space="0"/>
            </w:tcBorders>
            <w:vAlign w:val="top"/>
          </w:tcPr>
          <w:p w14:paraId="68245560">
            <w:pPr>
              <w:pStyle w:val="7"/>
              <w:spacing w:before="99" w:line="360" w:lineRule="auto"/>
              <w:ind w:left="69" w:right="65" w:firstLine="480"/>
              <w:jc w:val="both"/>
            </w:pPr>
            <w:r>
              <w:rPr>
                <w:spacing w:val="2"/>
              </w:rPr>
              <w:t>在工程建设过程中，信守合同，接受发包方</w:t>
            </w:r>
            <w:r>
              <w:rPr>
                <w:spacing w:val="1"/>
              </w:rPr>
              <w:t>、监理和质量监督站的</w:t>
            </w:r>
            <w:r>
              <w:rPr>
                <w:spacing w:val="2"/>
              </w:rPr>
              <w:t>监督检查，优质，积极、主动、高效地为业主服务</w:t>
            </w:r>
            <w:r>
              <w:rPr>
                <w:spacing w:val="1"/>
              </w:rPr>
              <w:t>。工程竣工交付使用</w:t>
            </w:r>
            <w:r>
              <w:rPr>
                <w:spacing w:val="2"/>
              </w:rPr>
              <w:t>后，定期主动到建设单位进行回访，以用户满意为</w:t>
            </w:r>
            <w:r>
              <w:rPr>
                <w:spacing w:val="1"/>
              </w:rPr>
              <w:t>原则，履行施工合同</w:t>
            </w:r>
            <w:r>
              <w:rPr>
                <w:spacing w:val="-3"/>
              </w:rPr>
              <w:t>的约定和《工程质量保修书》中的承诺。</w:t>
            </w:r>
          </w:p>
          <w:p w14:paraId="22A4687D">
            <w:pPr>
              <w:spacing w:before="20" w:line="23" w:lineRule="exact"/>
              <w:ind w:firstLine="32"/>
            </w:pPr>
            <w:r>
              <w:rPr>
                <w:position w:val="-2"/>
              </w:rPr>
              <w:pict>
                <v:group id="_x0000_s1250" o:spid="_x0000_s1250" o:spt="203" style="height:2.2pt;width:380.4pt;" coordsize="7607,44">
                  <o:lock v:ext="edit"/>
                  <v:shape id="_x0000_s1251" o:spid="_x0000_s1251" style="position:absolute;left:0;top:0;height:15;width:7564;" fillcolor="#1C456A" filled="t" stroked="f" coordsize="7564,15" path="m0,14l7563,14,7563,0,0,0,0,14xe">
                    <v:path/>
                    <v:fill on="t" focussize="0,0"/>
                    <v:stroke on="f"/>
                    <v:imagedata o:title=""/>
                    <o:lock v:ext="edit"/>
                  </v:shape>
                  <v:shape id="_x0000_s1252" o:spid="_x0000_s1252" style="position:absolute;left:7563;top:28;height:15;width:44;" fillcolor="#5B9BD5" filled="t" stroked="f" coordsize="44,15" path="m0,14l43,14,43,0,0,0,0,14xe">
                    <v:path/>
                    <v:fill on="t" focussize="0,0"/>
                    <v:stroke on="f"/>
                    <v:imagedata o:title=""/>
                    <o:lock v:ext="edit"/>
                  </v:shape>
                  <w10:wrap type="none"/>
                  <w10:anchorlock/>
                </v:group>
              </w:pict>
            </w:r>
          </w:p>
        </w:tc>
      </w:tr>
    </w:tbl>
    <w:p w14:paraId="7FA9BED7">
      <w:pPr>
        <w:pStyle w:val="2"/>
        <w:spacing w:before="77" w:line="219" w:lineRule="auto"/>
        <w:ind w:left="1986"/>
        <w:outlineLvl w:val="2"/>
        <w:rPr>
          <w:sz w:val="28"/>
          <w:szCs w:val="28"/>
        </w:rPr>
      </w:pPr>
      <w:bookmarkStart w:id="14" w:name="bookmark16"/>
      <w:bookmarkEnd w:id="14"/>
      <w:r>
        <w:rPr>
          <w:b/>
          <w:bCs/>
          <w:spacing w:val="-22"/>
          <w:sz w:val="28"/>
          <w:szCs w:val="28"/>
        </w:rPr>
        <w:t>二、总体部署原则</w:t>
      </w:r>
    </w:p>
    <w:p w14:paraId="609F6F4A">
      <w:pPr>
        <w:pStyle w:val="2"/>
        <w:spacing w:before="68" w:line="238" w:lineRule="auto"/>
        <w:ind w:left="1465" w:right="1409" w:firstLine="519"/>
        <w:rPr>
          <w:sz w:val="28"/>
          <w:szCs w:val="28"/>
        </w:rPr>
      </w:pPr>
      <w:r>
        <w:rPr>
          <w:spacing w:val="-22"/>
          <w:sz w:val="28"/>
          <w:szCs w:val="28"/>
        </w:rPr>
        <w:t>我单位将结合本工程特点，从人、机、料、法、环等方面</w:t>
      </w:r>
      <w:r>
        <w:rPr>
          <w:spacing w:val="-23"/>
          <w:sz w:val="28"/>
          <w:szCs w:val="28"/>
        </w:rPr>
        <w:t>制定科学合理的施</w:t>
      </w:r>
      <w:r>
        <w:rPr>
          <w:spacing w:val="-21"/>
          <w:sz w:val="28"/>
          <w:szCs w:val="28"/>
        </w:rPr>
        <w:t>工部署，确保本工程工期、质量、安全、环境保护等</w:t>
      </w:r>
      <w:r>
        <w:rPr>
          <w:spacing w:val="-22"/>
          <w:sz w:val="28"/>
          <w:szCs w:val="28"/>
        </w:rPr>
        <w:t>目标的顺利实现。</w:t>
      </w:r>
    </w:p>
    <w:tbl>
      <w:tblPr>
        <w:tblStyle w:val="6"/>
        <w:tblW w:w="9673" w:type="dxa"/>
        <w:tblInd w:w="1116"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85"/>
        <w:gridCol w:w="543"/>
        <w:gridCol w:w="594"/>
        <w:gridCol w:w="8289"/>
        <w:gridCol w:w="62"/>
      </w:tblGrid>
      <w:tr w14:paraId="057748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1" w:hRule="atLeast"/>
        </w:trPr>
        <w:tc>
          <w:tcPr>
            <w:tcW w:w="728" w:type="dxa"/>
            <w:gridSpan w:val="2"/>
            <w:tcBorders>
              <w:top w:val="single" w:color="000000" w:sz="4" w:space="0"/>
              <w:left w:val="single" w:color="000000" w:sz="4" w:space="0"/>
            </w:tcBorders>
            <w:shd w:val="clear" w:color="auto" w:fill="DEEAF6"/>
            <w:vAlign w:val="top"/>
          </w:tcPr>
          <w:p w14:paraId="156901A4">
            <w:pPr>
              <w:spacing w:before="33" w:line="60" w:lineRule="exact"/>
              <w:ind w:firstLine="33"/>
            </w:pPr>
            <w:r>
              <w:pict>
                <v:shape id="_x0000_s1253" o:spid="_x0000_s1253" style="position:absolute;left:0pt;margin-left:-0.2pt;margin-top:0pt;height:0.75pt;width:2.2pt;mso-position-horizontal-relative:page;mso-position-vertical-relative:page;z-index:251682816;mso-width-relative:page;mso-height-relative:page;" fillcolor="#5B9BD5" filled="t" stroked="f" coordsize="44,15" path="m0,14l43,14,43,0,0,0,0,14xe">
                  <v:path/>
                  <v:fill on="t" focussize="0,0"/>
                  <v:stroke on="f"/>
                  <v:imagedata o:title=""/>
                  <o:lock v:ext="edit"/>
                </v:shape>
              </w:pict>
            </w:r>
            <w:r>
              <w:rPr>
                <w:position w:val="-1"/>
              </w:rPr>
              <w:pict>
                <v:shape id="_x0000_s1254" o:spid="_x0000_s1254" style="height:3pt;width:33.75pt;" fillcolor="#DEEAF6" filled="t" stroked="f" coordsize="675,60" path="m0,60l674,60,674,0,0,0,0,60xe">
                  <v:path/>
                  <v:fill on="t" focussize="0,0"/>
                  <v:stroke on="f"/>
                  <v:imagedata o:title=""/>
                  <o:lock v:ext="edit"/>
                  <w10:wrap type="none"/>
                  <w10:anchorlock/>
                </v:shape>
              </w:pict>
            </w:r>
          </w:p>
          <w:p w14:paraId="1E454CF2">
            <w:pPr>
              <w:pStyle w:val="7"/>
              <w:spacing w:before="33" w:line="218" w:lineRule="auto"/>
              <w:ind w:left="159"/>
            </w:pPr>
            <w:r>
              <w:rPr>
                <w:b/>
                <w:bCs/>
                <w:spacing w:val="-12"/>
              </w:rPr>
              <w:t>序号</w:t>
            </w:r>
          </w:p>
        </w:tc>
        <w:tc>
          <w:tcPr>
            <w:tcW w:w="8883" w:type="dxa"/>
            <w:gridSpan w:val="2"/>
            <w:tcBorders>
              <w:top w:val="single" w:color="5B9BD5" w:sz="4" w:space="0"/>
              <w:right w:val="nil"/>
            </w:tcBorders>
            <w:shd w:val="clear" w:color="auto" w:fill="DEEAF6"/>
            <w:vAlign w:val="top"/>
          </w:tcPr>
          <w:p w14:paraId="476513A1">
            <w:pPr>
              <w:pStyle w:val="7"/>
              <w:spacing w:before="127" w:line="218" w:lineRule="auto"/>
              <w:ind w:left="4036"/>
            </w:pPr>
            <w:r>
              <w:rPr>
                <w:b/>
                <w:bCs/>
                <w:spacing w:val="-18"/>
              </w:rPr>
              <w:t>部署原则</w:t>
            </w:r>
          </w:p>
        </w:tc>
        <w:tc>
          <w:tcPr>
            <w:tcW w:w="62" w:type="dxa"/>
            <w:tcBorders>
              <w:top w:val="single" w:color="5B9BD5" w:sz="4" w:space="0"/>
              <w:left w:val="nil"/>
              <w:right w:val="single" w:color="5B9BD5" w:sz="4" w:space="0"/>
            </w:tcBorders>
            <w:vAlign w:val="top"/>
          </w:tcPr>
          <w:p w14:paraId="55CFED8C">
            <w:pPr>
              <w:rPr>
                <w:rFonts w:ascii="Arial"/>
                <w:sz w:val="21"/>
              </w:rPr>
            </w:pPr>
            <w:r>
              <w:pict>
                <v:shape id="_x0000_s1255" o:spid="_x0000_s1255" style="position:absolute;left:0pt;margin-left:1.25pt;margin-top:0pt;height:0.75pt;width:2.2pt;mso-position-horizontal-relative:page;mso-position-vertical-relative:page;z-index:251683840;mso-width-relative:page;mso-height-relative:page;" fillcolor="#5B9BD5" filled="t" stroked="f" coordsize="44,15" path="m0,14l43,14,43,0,0,0,0,14xe">
                  <v:path/>
                  <v:fill on="t" focussize="0,0"/>
                  <v:stroke on="f"/>
                  <v:imagedata o:title=""/>
                  <o:lock v:ext="edit"/>
                </v:shape>
              </w:pict>
            </w:r>
          </w:p>
        </w:tc>
      </w:tr>
      <w:tr w14:paraId="46442A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95" w:hRule="atLeast"/>
        </w:trPr>
        <w:tc>
          <w:tcPr>
            <w:tcW w:w="728" w:type="dxa"/>
            <w:gridSpan w:val="2"/>
            <w:tcBorders>
              <w:left w:val="single" w:color="000000" w:sz="4" w:space="0"/>
            </w:tcBorders>
            <w:vAlign w:val="top"/>
          </w:tcPr>
          <w:p w14:paraId="7681F4C6">
            <w:pPr>
              <w:spacing w:line="246" w:lineRule="auto"/>
              <w:rPr>
                <w:rFonts w:ascii="Arial"/>
                <w:sz w:val="21"/>
              </w:rPr>
            </w:pPr>
          </w:p>
          <w:p w14:paraId="0819878C">
            <w:pPr>
              <w:spacing w:line="247" w:lineRule="auto"/>
              <w:rPr>
                <w:rFonts w:ascii="Arial"/>
                <w:sz w:val="21"/>
              </w:rPr>
            </w:pPr>
          </w:p>
          <w:p w14:paraId="35F8A7E6">
            <w:pPr>
              <w:spacing w:line="247" w:lineRule="auto"/>
              <w:rPr>
                <w:rFonts w:ascii="Arial"/>
                <w:sz w:val="21"/>
              </w:rPr>
            </w:pPr>
          </w:p>
          <w:p w14:paraId="5277F7A7">
            <w:pPr>
              <w:pStyle w:val="7"/>
              <w:spacing w:before="78" w:line="238" w:lineRule="auto"/>
              <w:ind w:left="333"/>
            </w:pPr>
            <w:r>
              <w:t>1</w:t>
            </w:r>
          </w:p>
        </w:tc>
        <w:tc>
          <w:tcPr>
            <w:tcW w:w="594" w:type="dxa"/>
            <w:vAlign w:val="top"/>
          </w:tcPr>
          <w:p w14:paraId="4F6BDF0B">
            <w:pPr>
              <w:spacing w:line="246" w:lineRule="auto"/>
              <w:rPr>
                <w:rFonts w:ascii="Arial"/>
                <w:sz w:val="21"/>
              </w:rPr>
            </w:pPr>
          </w:p>
          <w:p w14:paraId="517CC8D2">
            <w:pPr>
              <w:spacing w:line="247" w:lineRule="auto"/>
              <w:rPr>
                <w:rFonts w:ascii="Arial"/>
                <w:sz w:val="21"/>
              </w:rPr>
            </w:pPr>
          </w:p>
          <w:p w14:paraId="694E7D3D">
            <w:pPr>
              <w:spacing w:line="247" w:lineRule="auto"/>
              <w:rPr>
                <w:rFonts w:ascii="Arial"/>
                <w:sz w:val="21"/>
              </w:rPr>
            </w:pPr>
          </w:p>
          <w:p w14:paraId="054777C2">
            <w:pPr>
              <w:pStyle w:val="7"/>
              <w:spacing w:before="78" w:line="222" w:lineRule="auto"/>
              <w:ind w:left="194"/>
            </w:pPr>
            <w:r>
              <w:t>人</w:t>
            </w:r>
          </w:p>
        </w:tc>
        <w:tc>
          <w:tcPr>
            <w:tcW w:w="8351" w:type="dxa"/>
            <w:gridSpan w:val="2"/>
            <w:tcBorders>
              <w:right w:val="single" w:color="000000" w:sz="4" w:space="0"/>
            </w:tcBorders>
            <w:vAlign w:val="top"/>
          </w:tcPr>
          <w:p w14:paraId="12C11737">
            <w:pPr>
              <w:pStyle w:val="7"/>
              <w:spacing w:before="122" w:line="288" w:lineRule="auto"/>
              <w:ind w:left="60" w:right="70" w:firstLine="513"/>
            </w:pPr>
            <w:r>
              <w:rPr>
                <w:spacing w:val="-3"/>
              </w:rPr>
              <w:t>(1)选择综合素质高、具有丰富同类工程施工经验的项目管理人员组成工程项目经理部，代表我单位法人全面履约。</w:t>
            </w:r>
          </w:p>
          <w:p w14:paraId="1E95F5FC">
            <w:pPr>
              <w:pStyle w:val="7"/>
              <w:spacing w:before="187" w:line="287" w:lineRule="auto"/>
              <w:ind w:left="65" w:right="68" w:firstLine="509"/>
            </w:pPr>
            <w:r>
              <w:rPr>
                <w:spacing w:val="-3"/>
              </w:rPr>
              <w:t>(2)选择与我单位长期合作的核心劳务队；施工人员充足、队伍素质较高，</w:t>
            </w:r>
            <w:r>
              <w:rPr>
                <w:spacing w:val="-2"/>
              </w:rPr>
              <w:t>不受“农忙”、“节假日”的影响。对赶工期、抢进度有保障。</w:t>
            </w:r>
          </w:p>
        </w:tc>
      </w:tr>
      <w:tr w14:paraId="2F4275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38" w:hRule="atLeast"/>
        </w:trPr>
        <w:tc>
          <w:tcPr>
            <w:tcW w:w="185" w:type="dxa"/>
            <w:tcBorders>
              <w:left w:val="single" w:color="1C456A" w:sz="4" w:space="0"/>
              <w:bottom w:val="single" w:color="1C456A" w:sz="4" w:space="0"/>
              <w:right w:val="nil"/>
            </w:tcBorders>
            <w:vAlign w:val="top"/>
          </w:tcPr>
          <w:p w14:paraId="42629546">
            <w:pPr>
              <w:rPr>
                <w:rFonts w:ascii="Arial"/>
                <w:sz w:val="21"/>
              </w:rPr>
            </w:pPr>
            <w:r>
              <w:pict>
                <v:shape id="_x0000_s1256" o:spid="_x0000_s1256" style="position:absolute;left:0pt;margin-left:-0.25pt;margin-top:101.9pt;height:0.75pt;width:2.2pt;mso-position-horizontal-relative:page;mso-position-vertical-relative:page;z-index:251680768;mso-width-relative:page;mso-height-relative:page;" fillcolor="#5B9BD5" filled="t" stroked="f" coordsize="44,15" path="m0,14l43,14,43,0,0,0,0,14xe">
                  <v:path/>
                  <v:fill on="t" focussize="0,0"/>
                  <v:stroke on="f"/>
                  <v:imagedata o:title=""/>
                  <o:lock v:ext="edit"/>
                </v:shape>
              </w:pict>
            </w:r>
          </w:p>
        </w:tc>
        <w:tc>
          <w:tcPr>
            <w:tcW w:w="543" w:type="dxa"/>
            <w:tcBorders>
              <w:left w:val="nil"/>
              <w:bottom w:val="single" w:color="1C456A" w:sz="4" w:space="0"/>
            </w:tcBorders>
            <w:vAlign w:val="top"/>
          </w:tcPr>
          <w:p w14:paraId="7013991F">
            <w:pPr>
              <w:spacing w:line="244" w:lineRule="auto"/>
              <w:rPr>
                <w:rFonts w:ascii="Arial"/>
                <w:sz w:val="21"/>
              </w:rPr>
            </w:pPr>
          </w:p>
          <w:p w14:paraId="6ABCE26A">
            <w:pPr>
              <w:spacing w:line="244" w:lineRule="auto"/>
              <w:rPr>
                <w:rFonts w:ascii="Arial"/>
                <w:sz w:val="21"/>
              </w:rPr>
            </w:pPr>
          </w:p>
          <w:p w14:paraId="169C91D6">
            <w:pPr>
              <w:spacing w:line="244" w:lineRule="auto"/>
              <w:rPr>
                <w:rFonts w:ascii="Arial"/>
                <w:sz w:val="21"/>
              </w:rPr>
            </w:pPr>
          </w:p>
          <w:p w14:paraId="4FB68D6F">
            <w:pPr>
              <w:pStyle w:val="7"/>
              <w:spacing w:before="78" w:line="238" w:lineRule="auto"/>
              <w:ind w:left="138"/>
            </w:pPr>
            <w:r>
              <w:t>2</w:t>
            </w:r>
          </w:p>
        </w:tc>
        <w:tc>
          <w:tcPr>
            <w:tcW w:w="594" w:type="dxa"/>
            <w:tcBorders>
              <w:bottom w:val="single" w:color="000000" w:sz="4" w:space="0"/>
            </w:tcBorders>
            <w:vAlign w:val="top"/>
          </w:tcPr>
          <w:p w14:paraId="50795B9F">
            <w:pPr>
              <w:spacing w:line="244" w:lineRule="auto"/>
              <w:rPr>
                <w:rFonts w:ascii="Arial"/>
                <w:sz w:val="21"/>
              </w:rPr>
            </w:pPr>
          </w:p>
          <w:p w14:paraId="403E0E0B">
            <w:pPr>
              <w:spacing w:line="244" w:lineRule="auto"/>
              <w:rPr>
                <w:rFonts w:ascii="Arial"/>
                <w:sz w:val="21"/>
              </w:rPr>
            </w:pPr>
          </w:p>
          <w:p w14:paraId="3118F158">
            <w:pPr>
              <w:spacing w:line="244" w:lineRule="auto"/>
              <w:rPr>
                <w:rFonts w:ascii="Arial"/>
                <w:sz w:val="21"/>
              </w:rPr>
            </w:pPr>
          </w:p>
          <w:p w14:paraId="785F02AD">
            <w:pPr>
              <w:pStyle w:val="7"/>
              <w:spacing w:before="78" w:line="218" w:lineRule="auto"/>
              <w:ind w:left="190"/>
            </w:pPr>
            <w:r>
              <w:t>机</w:t>
            </w:r>
          </w:p>
        </w:tc>
        <w:tc>
          <w:tcPr>
            <w:tcW w:w="8351" w:type="dxa"/>
            <w:gridSpan w:val="2"/>
            <w:tcBorders>
              <w:bottom w:val="single" w:color="5B9BD5" w:sz="4" w:space="0"/>
              <w:right w:val="single" w:color="5B9BD5" w:sz="4" w:space="0"/>
            </w:tcBorders>
            <w:vAlign w:val="top"/>
          </w:tcPr>
          <w:p w14:paraId="3E6673C6">
            <w:pPr>
              <w:pStyle w:val="7"/>
              <w:spacing w:before="112" w:line="288" w:lineRule="auto"/>
              <w:ind w:left="61" w:right="72" w:firstLine="512"/>
            </w:pPr>
            <w:r>
              <w:pict>
                <v:shape id="_x0000_s1257" o:spid="_x0000_s1257" style="position:absolute;left:0pt;margin-left:415.7pt;margin-top:101.9pt;height:0.75pt;width:2.2pt;mso-position-horizontal-relative:page;mso-position-vertical-relative:page;z-index:251681792;mso-width-relative:page;mso-height-relative:page;" fillcolor="#5B9BD5" filled="t" stroked="f" coordsize="44,15" path="m0,14l43,14,43,0,0,0,0,14xe">
                  <v:path/>
                  <v:fill on="t" focussize="0,0"/>
                  <v:stroke on="f"/>
                  <v:imagedata o:title=""/>
                  <o:lock v:ext="edit"/>
                </v:shape>
              </w:pict>
            </w:r>
            <w:r>
              <w:rPr>
                <w:spacing w:val="-3"/>
              </w:rPr>
              <w:t>(1)项目设立施工机械动力设备保障工作小组，配备有经验的机电工</w:t>
            </w:r>
            <w:r>
              <w:rPr>
                <w:spacing w:val="-4"/>
              </w:rPr>
              <w:t>长，机</w:t>
            </w:r>
            <w:r>
              <w:rPr>
                <w:spacing w:val="-2"/>
              </w:rPr>
              <w:t>械发生故障后立即维修，确保施工过程中机械设备能正常、稳定运行。</w:t>
            </w:r>
          </w:p>
          <w:p w14:paraId="0063D721">
            <w:pPr>
              <w:pStyle w:val="7"/>
              <w:spacing w:before="185" w:line="289" w:lineRule="auto"/>
              <w:ind w:left="60" w:right="69" w:firstLine="513"/>
            </w:pPr>
            <w:r>
              <w:rPr>
                <w:spacing w:val="-5"/>
              </w:rPr>
              <w:t>(2)现场设置1台300KVA的应急柴油发电机，确保工地外部突然停电时现场依然能够正常施工。</w:t>
            </w:r>
          </w:p>
        </w:tc>
      </w:tr>
    </w:tbl>
    <w:p w14:paraId="49857563">
      <w:pPr>
        <w:rPr>
          <w:rFonts w:ascii="Arial"/>
          <w:sz w:val="21"/>
        </w:rPr>
      </w:pPr>
    </w:p>
    <w:p w14:paraId="1E9C038E">
      <w:pPr>
        <w:rPr>
          <w:rFonts w:ascii="Arial" w:hAnsi="Arial" w:eastAsia="Arial" w:cs="Arial"/>
          <w:sz w:val="21"/>
          <w:szCs w:val="21"/>
        </w:rPr>
        <w:sectPr>
          <w:footerReference r:id="rId24" w:type="default"/>
          <w:pgSz w:w="11907" w:h="16839"/>
          <w:pgMar w:top="954" w:right="4" w:bottom="1038" w:left="0" w:header="499" w:footer="357" w:gutter="0"/>
          <w:pgBorders>
            <w:top w:val="none" w:sz="0" w:space="0"/>
            <w:left w:val="none" w:sz="0" w:space="0"/>
            <w:bottom w:val="none" w:sz="0" w:space="0"/>
            <w:right w:val="none" w:sz="0" w:space="0"/>
          </w:pgBorders>
          <w:cols w:space="720" w:num="1"/>
        </w:sectPr>
      </w:pPr>
    </w:p>
    <w:p w14:paraId="26380681">
      <w:pPr>
        <w:spacing w:line="214" w:lineRule="exact"/>
      </w:pPr>
    </w:p>
    <w:tbl>
      <w:tblPr>
        <w:tblStyle w:val="6"/>
        <w:tblW w:w="9673" w:type="dxa"/>
        <w:tblInd w:w="1116"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22"/>
        <w:gridCol w:w="594"/>
        <w:gridCol w:w="8357"/>
      </w:tblGrid>
      <w:tr w14:paraId="61B213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19" w:hRule="atLeast"/>
        </w:trPr>
        <w:tc>
          <w:tcPr>
            <w:tcW w:w="722" w:type="dxa"/>
            <w:tcBorders>
              <w:top w:val="single" w:color="000000" w:sz="4" w:space="0"/>
              <w:left w:val="single" w:color="000000" w:sz="4" w:space="0"/>
            </w:tcBorders>
            <w:vAlign w:val="top"/>
          </w:tcPr>
          <w:p w14:paraId="239D3B56">
            <w:pPr>
              <w:spacing w:line="249" w:lineRule="auto"/>
              <w:rPr>
                <w:rFonts w:ascii="Arial"/>
                <w:sz w:val="21"/>
              </w:rPr>
            </w:pPr>
          </w:p>
          <w:p w14:paraId="2CB61B22">
            <w:pPr>
              <w:spacing w:line="249" w:lineRule="auto"/>
              <w:rPr>
                <w:rFonts w:ascii="Arial"/>
                <w:sz w:val="21"/>
              </w:rPr>
            </w:pPr>
          </w:p>
          <w:p w14:paraId="317E2A45">
            <w:pPr>
              <w:spacing w:line="249" w:lineRule="auto"/>
              <w:rPr>
                <w:rFonts w:ascii="Arial"/>
                <w:sz w:val="21"/>
              </w:rPr>
            </w:pPr>
          </w:p>
          <w:p w14:paraId="623346A1">
            <w:pPr>
              <w:pStyle w:val="7"/>
              <w:spacing w:before="78" w:line="237" w:lineRule="auto"/>
              <w:ind w:left="320"/>
            </w:pPr>
            <w:r>
              <w:t>3</w:t>
            </w:r>
          </w:p>
        </w:tc>
        <w:tc>
          <w:tcPr>
            <w:tcW w:w="594" w:type="dxa"/>
            <w:tcBorders>
              <w:top w:val="single" w:color="000000" w:sz="4" w:space="0"/>
            </w:tcBorders>
            <w:vAlign w:val="top"/>
          </w:tcPr>
          <w:p w14:paraId="4A65D24E">
            <w:pPr>
              <w:spacing w:line="249" w:lineRule="auto"/>
              <w:rPr>
                <w:rFonts w:ascii="Arial"/>
                <w:sz w:val="21"/>
              </w:rPr>
            </w:pPr>
          </w:p>
          <w:p w14:paraId="7CCBB920">
            <w:pPr>
              <w:spacing w:line="249" w:lineRule="auto"/>
              <w:rPr>
                <w:rFonts w:ascii="Arial"/>
                <w:sz w:val="21"/>
              </w:rPr>
            </w:pPr>
          </w:p>
          <w:p w14:paraId="3785C410">
            <w:pPr>
              <w:spacing w:line="249" w:lineRule="auto"/>
              <w:rPr>
                <w:rFonts w:ascii="Arial"/>
                <w:sz w:val="21"/>
              </w:rPr>
            </w:pPr>
          </w:p>
          <w:p w14:paraId="270565D3">
            <w:pPr>
              <w:pStyle w:val="7"/>
              <w:spacing w:before="78" w:line="216" w:lineRule="auto"/>
              <w:ind w:left="195"/>
            </w:pPr>
            <w:r>
              <w:t>料</w:t>
            </w:r>
          </w:p>
        </w:tc>
        <w:tc>
          <w:tcPr>
            <w:tcW w:w="8357" w:type="dxa"/>
            <w:tcBorders>
              <w:top w:val="single" w:color="5B9BD5" w:sz="4" w:space="0"/>
              <w:right w:val="single" w:color="5B9BD5" w:sz="4" w:space="0"/>
            </w:tcBorders>
            <w:vAlign w:val="top"/>
          </w:tcPr>
          <w:p w14:paraId="0E8F2337">
            <w:pPr>
              <w:pStyle w:val="7"/>
              <w:spacing w:before="129" w:line="287" w:lineRule="auto"/>
              <w:ind w:left="66" w:right="58" w:firstLine="513"/>
            </w:pPr>
            <w:r>
              <w:rPr>
                <w:spacing w:val="-3"/>
              </w:rPr>
              <w:t>(1)为本工程施工准备资金专用帐户，确保专款专用，保证工程材料及时、充足进场，并编制材料进场计划，确保材料按时。</w:t>
            </w:r>
          </w:p>
          <w:p w14:paraId="3F6F8E15">
            <w:pPr>
              <w:pStyle w:val="7"/>
              <w:spacing w:before="187" w:line="216" w:lineRule="auto"/>
              <w:ind w:left="580"/>
            </w:pPr>
            <w:r>
              <w:rPr>
                <w:spacing w:val="-3"/>
              </w:rPr>
              <w:t>(2)建立合格材料供应商管理体系，严格保证进场材料质量。</w:t>
            </w:r>
          </w:p>
          <w:p w14:paraId="7AF34C50">
            <w:pPr>
              <w:pStyle w:val="7"/>
              <w:spacing w:before="185" w:line="215" w:lineRule="auto"/>
              <w:ind w:left="580"/>
            </w:pPr>
            <w:r>
              <w:rPr>
                <w:spacing w:val="-3"/>
              </w:rPr>
              <w:t>(3)材料进场后有统一的堆场规划，存放安全，尽量避免损耗。</w:t>
            </w:r>
          </w:p>
        </w:tc>
      </w:tr>
      <w:tr w14:paraId="2CA3FF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15" w:hRule="atLeast"/>
        </w:trPr>
        <w:tc>
          <w:tcPr>
            <w:tcW w:w="722" w:type="dxa"/>
            <w:tcBorders>
              <w:left w:val="single" w:color="000000" w:sz="4" w:space="0"/>
            </w:tcBorders>
            <w:vAlign w:val="top"/>
          </w:tcPr>
          <w:p w14:paraId="386594CD">
            <w:pPr>
              <w:spacing w:line="241" w:lineRule="auto"/>
              <w:rPr>
                <w:rFonts w:ascii="Arial"/>
                <w:sz w:val="21"/>
              </w:rPr>
            </w:pPr>
          </w:p>
          <w:p w14:paraId="7A57CD3C">
            <w:pPr>
              <w:spacing w:line="241" w:lineRule="auto"/>
              <w:rPr>
                <w:rFonts w:ascii="Arial"/>
                <w:sz w:val="21"/>
              </w:rPr>
            </w:pPr>
          </w:p>
          <w:p w14:paraId="4A2745CF">
            <w:pPr>
              <w:pStyle w:val="7"/>
              <w:spacing w:before="78" w:line="238" w:lineRule="auto"/>
              <w:ind w:left="314"/>
            </w:pPr>
            <w:r>
              <w:t>4</w:t>
            </w:r>
          </w:p>
        </w:tc>
        <w:tc>
          <w:tcPr>
            <w:tcW w:w="594" w:type="dxa"/>
            <w:vAlign w:val="top"/>
          </w:tcPr>
          <w:p w14:paraId="6D0DE75C">
            <w:pPr>
              <w:spacing w:line="241" w:lineRule="auto"/>
              <w:rPr>
                <w:rFonts w:ascii="Arial"/>
                <w:sz w:val="21"/>
              </w:rPr>
            </w:pPr>
          </w:p>
          <w:p w14:paraId="371C07ED">
            <w:pPr>
              <w:spacing w:line="241" w:lineRule="auto"/>
              <w:rPr>
                <w:rFonts w:ascii="Arial"/>
                <w:sz w:val="21"/>
              </w:rPr>
            </w:pPr>
          </w:p>
          <w:p w14:paraId="53B94529">
            <w:pPr>
              <w:pStyle w:val="7"/>
              <w:spacing w:before="78" w:line="222" w:lineRule="auto"/>
              <w:ind w:left="204"/>
            </w:pPr>
            <w:r>
              <w:t>法</w:t>
            </w:r>
          </w:p>
        </w:tc>
        <w:tc>
          <w:tcPr>
            <w:tcW w:w="8357" w:type="dxa"/>
            <w:tcBorders>
              <w:right w:val="single" w:color="000000" w:sz="4" w:space="0"/>
            </w:tcBorders>
            <w:vAlign w:val="top"/>
          </w:tcPr>
          <w:p w14:paraId="43EE10D2">
            <w:pPr>
              <w:pStyle w:val="7"/>
              <w:spacing w:before="97" w:line="359" w:lineRule="auto"/>
              <w:ind w:left="65" w:firstLine="514"/>
              <w:jc w:val="both"/>
            </w:pPr>
            <w:r>
              <w:rPr>
                <w:spacing w:val="-9"/>
              </w:rPr>
              <w:t>(1)施工方法经过我司与监理、业主多方研</w:t>
            </w:r>
            <w:r>
              <w:rPr>
                <w:spacing w:val="-10"/>
              </w:rPr>
              <w:t>讨后确定，具有科学性、安全性、</w:t>
            </w:r>
            <w:r>
              <w:rPr>
                <w:spacing w:val="1"/>
              </w:rPr>
              <w:t>经济性，各分部分项工程施工方案的选择重点以确保工期、质量、安全目标为</w:t>
            </w:r>
            <w:r>
              <w:rPr>
                <w:spacing w:val="-4"/>
              </w:rPr>
              <w:t>基础，在此基础上兼顾经济性。</w:t>
            </w:r>
          </w:p>
        </w:tc>
      </w:tr>
      <w:tr w14:paraId="276C97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0" w:hRule="atLeast"/>
        </w:trPr>
        <w:tc>
          <w:tcPr>
            <w:tcW w:w="722" w:type="dxa"/>
            <w:tcBorders>
              <w:left w:val="single" w:color="1C456A" w:sz="4" w:space="0"/>
              <w:bottom w:val="single" w:color="1C456A" w:sz="4" w:space="0"/>
            </w:tcBorders>
            <w:vAlign w:val="top"/>
          </w:tcPr>
          <w:p w14:paraId="74272A78">
            <w:pPr>
              <w:spacing w:line="254" w:lineRule="auto"/>
              <w:rPr>
                <w:rFonts w:ascii="Arial"/>
                <w:sz w:val="21"/>
              </w:rPr>
            </w:pPr>
          </w:p>
          <w:p w14:paraId="291C7797">
            <w:pPr>
              <w:pStyle w:val="7"/>
              <w:spacing w:before="78" w:line="237" w:lineRule="auto"/>
              <w:ind w:left="320"/>
            </w:pPr>
            <w:r>
              <w:t>5</w:t>
            </w:r>
          </w:p>
        </w:tc>
        <w:tc>
          <w:tcPr>
            <w:tcW w:w="594" w:type="dxa"/>
            <w:tcBorders>
              <w:bottom w:val="single" w:color="000000" w:sz="4" w:space="0"/>
            </w:tcBorders>
            <w:vAlign w:val="top"/>
          </w:tcPr>
          <w:p w14:paraId="08C90A22">
            <w:pPr>
              <w:spacing w:line="255" w:lineRule="auto"/>
              <w:rPr>
                <w:rFonts w:ascii="Arial"/>
                <w:sz w:val="21"/>
              </w:rPr>
            </w:pPr>
          </w:p>
          <w:p w14:paraId="45F39872">
            <w:pPr>
              <w:pStyle w:val="7"/>
              <w:spacing w:before="78" w:line="218" w:lineRule="auto"/>
              <w:ind w:left="196"/>
            </w:pPr>
            <w:r>
              <w:t>环</w:t>
            </w:r>
          </w:p>
        </w:tc>
        <w:tc>
          <w:tcPr>
            <w:tcW w:w="8357" w:type="dxa"/>
            <w:tcBorders>
              <w:bottom w:val="single" w:color="5B9BD5" w:sz="4" w:space="0"/>
              <w:right w:val="single" w:color="5B9BD5" w:sz="4" w:space="0"/>
            </w:tcBorders>
            <w:vAlign w:val="top"/>
          </w:tcPr>
          <w:p w14:paraId="2C1AAD78">
            <w:pPr>
              <w:pStyle w:val="7"/>
              <w:spacing w:before="102" w:line="359" w:lineRule="auto"/>
              <w:ind w:left="70" w:right="72" w:firstLine="510"/>
            </w:pPr>
            <w:r>
              <w:rPr>
                <w:spacing w:val="-3"/>
              </w:rPr>
              <w:t>(1)考虑本工程附近在建工地多，需严格执行绿色施工措施。需确保</w:t>
            </w:r>
            <w:r>
              <w:rPr>
                <w:spacing w:val="-4"/>
              </w:rPr>
              <w:t>基坑周</w:t>
            </w:r>
            <w:r>
              <w:rPr>
                <w:spacing w:val="-3"/>
              </w:rPr>
              <w:t>边地下管线及地上建筑物、供电设施安全。</w:t>
            </w:r>
          </w:p>
        </w:tc>
      </w:tr>
    </w:tbl>
    <w:p w14:paraId="6AB7CA36">
      <w:pPr>
        <w:pStyle w:val="2"/>
        <w:spacing w:before="115" w:line="216" w:lineRule="auto"/>
        <w:ind w:left="1903"/>
        <w:rPr>
          <w:sz w:val="24"/>
          <w:szCs w:val="24"/>
        </w:rPr>
      </w:pPr>
      <w:r>
        <w:rPr>
          <w:spacing w:val="-19"/>
          <w:sz w:val="24"/>
          <w:szCs w:val="24"/>
        </w:rPr>
        <w:t>1整体方案布置</w:t>
      </w:r>
    </w:p>
    <w:p w14:paraId="1E33DCCD">
      <w:pPr>
        <w:pStyle w:val="2"/>
        <w:spacing w:before="87" w:line="263" w:lineRule="auto"/>
        <w:ind w:left="1461" w:right="1409" w:firstLine="501"/>
        <w:rPr>
          <w:sz w:val="28"/>
          <w:szCs w:val="28"/>
        </w:rPr>
      </w:pPr>
      <w:r>
        <w:rPr>
          <w:rFonts w:hint="eastAsia"/>
          <w:spacing w:val="-18"/>
          <w:sz w:val="28"/>
          <w:szCs w:val="28"/>
          <w:lang w:eastAsia="zh-CN"/>
        </w:rPr>
        <w:t>某路供水管道工程施工</w:t>
      </w:r>
      <w:r>
        <w:rPr>
          <w:spacing w:val="-19"/>
          <w:sz w:val="28"/>
          <w:szCs w:val="28"/>
        </w:rPr>
        <w:t>，新建供水管道</w:t>
      </w:r>
      <w:r>
        <w:rPr>
          <w:spacing w:val="-21"/>
          <w:sz w:val="28"/>
          <w:szCs w:val="28"/>
        </w:rPr>
        <w:t>约20公里。其中，DN1000管道约660米，DN800管道约18米，</w:t>
      </w:r>
      <w:r>
        <w:rPr>
          <w:spacing w:val="-22"/>
          <w:sz w:val="28"/>
          <w:szCs w:val="28"/>
        </w:rPr>
        <w:t>管道约17.1</w:t>
      </w:r>
      <w:r>
        <w:rPr>
          <w:spacing w:val="-19"/>
          <w:sz w:val="28"/>
          <w:szCs w:val="28"/>
        </w:rPr>
        <w:t>公里。其中本标段工程包括</w:t>
      </w:r>
      <w:r>
        <w:rPr>
          <w:rFonts w:hint="eastAsia"/>
          <w:spacing w:val="-74"/>
          <w:sz w:val="28"/>
          <w:szCs w:val="28"/>
          <w:lang w:eastAsia="zh-CN"/>
        </w:rPr>
        <w:t>某市某路</w:t>
      </w:r>
      <w:r>
        <w:rPr>
          <w:rFonts w:hint="eastAsia"/>
          <w:spacing w:val="-19"/>
          <w:sz w:val="28"/>
          <w:szCs w:val="28"/>
          <w:lang w:eastAsia="zh-CN"/>
        </w:rPr>
        <w:t>）</w:t>
      </w:r>
      <w:r>
        <w:rPr>
          <w:spacing w:val="-20"/>
          <w:sz w:val="28"/>
          <w:szCs w:val="28"/>
        </w:rPr>
        <w:t>供水管道工</w:t>
      </w:r>
      <w:r>
        <w:rPr>
          <w:spacing w:val="-21"/>
          <w:sz w:val="28"/>
          <w:szCs w:val="28"/>
        </w:rPr>
        <w:t>程施工。除特殊说明外，图纸设计范围内的所有内容，均按</w:t>
      </w:r>
      <w:r>
        <w:rPr>
          <w:spacing w:val="-22"/>
          <w:sz w:val="28"/>
          <w:szCs w:val="28"/>
        </w:rPr>
        <w:t>图计入。</w:t>
      </w:r>
    </w:p>
    <w:p w14:paraId="01D2D07F">
      <w:pPr>
        <w:pStyle w:val="2"/>
        <w:spacing w:before="5" w:line="263" w:lineRule="auto"/>
        <w:ind w:left="1444" w:right="1320" w:firstLine="531"/>
        <w:rPr>
          <w:sz w:val="28"/>
          <w:szCs w:val="28"/>
        </w:rPr>
      </w:pPr>
      <w:r>
        <w:rPr>
          <w:spacing w:val="-22"/>
          <w:sz w:val="28"/>
          <w:szCs w:val="28"/>
        </w:rPr>
        <w:t>本项目位于</w:t>
      </w:r>
      <w:r>
        <w:rPr>
          <w:rFonts w:hint="eastAsia"/>
          <w:spacing w:val="-22"/>
          <w:sz w:val="28"/>
          <w:szCs w:val="28"/>
          <w:lang w:eastAsia="zh-CN"/>
        </w:rPr>
        <w:t>安徽某市某路</w:t>
      </w:r>
      <w:r>
        <w:rPr>
          <w:spacing w:val="-22"/>
          <w:sz w:val="28"/>
          <w:szCs w:val="28"/>
        </w:rPr>
        <w:t>，主要施工内容为：供水管道敷设及配套阀门、井室构筑物、部分现状道路破除恢复及土石方工程等。其中球墨铸铁管</w:t>
      </w:r>
      <w:r>
        <w:rPr>
          <w:spacing w:val="-19"/>
          <w:sz w:val="28"/>
          <w:szCs w:val="28"/>
        </w:rPr>
        <w:t>DN1000管道敷设约0.6km，球墨铸铁管管道敷设约1.6km，球墨铸铁管DN300</w:t>
      </w:r>
      <w:r>
        <w:rPr>
          <w:spacing w:val="-20"/>
          <w:sz w:val="28"/>
          <w:szCs w:val="28"/>
        </w:rPr>
        <w:t>管道敷设约0.7km，混凝土阀门井266座，沥青混凝土路面破除恢复2100平方米。</w:t>
      </w:r>
    </w:p>
    <w:p w14:paraId="425CA336">
      <w:pPr>
        <w:pStyle w:val="2"/>
        <w:spacing w:before="4" w:line="263" w:lineRule="auto"/>
        <w:ind w:left="1458" w:right="1409" w:firstLine="523"/>
        <w:rPr>
          <w:sz w:val="28"/>
          <w:szCs w:val="28"/>
        </w:rPr>
      </w:pPr>
      <w:r>
        <w:rPr>
          <w:spacing w:val="-22"/>
          <w:sz w:val="28"/>
          <w:szCs w:val="28"/>
        </w:rPr>
        <w:t>工程协调同步进行，互为依托，相互配合、穿插进行。投入充足</w:t>
      </w:r>
      <w:r>
        <w:rPr>
          <w:spacing w:val="-23"/>
          <w:sz w:val="28"/>
          <w:szCs w:val="28"/>
        </w:rPr>
        <w:t>的劳动力、</w:t>
      </w:r>
      <w:r>
        <w:rPr>
          <w:spacing w:val="-22"/>
          <w:sz w:val="28"/>
          <w:szCs w:val="28"/>
        </w:rPr>
        <w:t>材料和设备，投入先进的机械设备，配备精干高效的管理及施工队伍，在保证各结构的同时协调管理各工种及时插入（安装预埋施工同时进行，砌体和室内粉刷</w:t>
      </w:r>
      <w:r>
        <w:rPr>
          <w:spacing w:val="-21"/>
          <w:sz w:val="28"/>
          <w:szCs w:val="28"/>
        </w:rPr>
        <w:t>在施工主楼主体结构时合理插入</w:t>
      </w:r>
      <w:r>
        <w:rPr>
          <w:spacing w:val="-22"/>
          <w:sz w:val="28"/>
          <w:szCs w:val="28"/>
        </w:rPr>
        <w:t>），</w:t>
      </w:r>
      <w:r>
        <w:rPr>
          <w:spacing w:val="-21"/>
          <w:sz w:val="28"/>
          <w:szCs w:val="28"/>
        </w:rPr>
        <w:t>通过合理的工序保证各个工期节点。</w:t>
      </w:r>
    </w:p>
    <w:p w14:paraId="5E317783">
      <w:pPr>
        <w:pStyle w:val="2"/>
        <w:spacing w:before="3" w:line="263" w:lineRule="auto"/>
        <w:ind w:left="1465" w:right="1409" w:firstLine="516"/>
        <w:rPr>
          <w:sz w:val="28"/>
          <w:szCs w:val="28"/>
        </w:rPr>
      </w:pPr>
      <w:r>
        <w:rPr>
          <w:spacing w:val="-22"/>
          <w:sz w:val="28"/>
          <w:szCs w:val="28"/>
        </w:rPr>
        <w:t>工程确定目标为确保工程一次性验收合格。质量标准：合格，争</w:t>
      </w:r>
      <w:r>
        <w:rPr>
          <w:spacing w:val="-23"/>
          <w:sz w:val="28"/>
          <w:szCs w:val="28"/>
        </w:rPr>
        <w:t>创</w:t>
      </w:r>
      <w:r>
        <w:rPr>
          <w:rFonts w:hint="eastAsia"/>
          <w:spacing w:val="-23"/>
          <w:sz w:val="28"/>
          <w:szCs w:val="28"/>
          <w:lang w:eastAsia="zh-CN"/>
        </w:rPr>
        <w:t>安徽某市</w:t>
      </w:r>
      <w:r>
        <w:rPr>
          <w:spacing w:val="-23"/>
          <w:sz w:val="28"/>
          <w:szCs w:val="28"/>
        </w:rPr>
        <w:t>优</w:t>
      </w:r>
      <w:r>
        <w:rPr>
          <w:spacing w:val="-19"/>
          <w:sz w:val="28"/>
          <w:szCs w:val="28"/>
        </w:rPr>
        <w:t>质工程奖。</w:t>
      </w:r>
    </w:p>
    <w:p w14:paraId="5C37F7E5">
      <w:pPr>
        <w:pStyle w:val="2"/>
        <w:spacing w:before="6" w:line="263" w:lineRule="auto"/>
        <w:ind w:left="1461" w:right="1409" w:firstLine="523"/>
        <w:jc w:val="both"/>
        <w:rPr>
          <w:sz w:val="28"/>
          <w:szCs w:val="28"/>
        </w:rPr>
      </w:pPr>
      <w:r>
        <w:rPr>
          <w:spacing w:val="-22"/>
          <w:sz w:val="28"/>
          <w:szCs w:val="28"/>
        </w:rPr>
        <w:t>为确保以上施工安排和施工目标的实现，工程成立包括指</w:t>
      </w:r>
      <w:r>
        <w:rPr>
          <w:spacing w:val="-23"/>
          <w:sz w:val="28"/>
          <w:szCs w:val="28"/>
        </w:rPr>
        <w:t>挥部的总承包各层</w:t>
      </w:r>
      <w:r>
        <w:rPr>
          <w:spacing w:val="-22"/>
          <w:sz w:val="28"/>
          <w:szCs w:val="28"/>
        </w:rPr>
        <w:t>的管理机构，充分发挥我司的优势，作好项目施工的全面保障工作，完善总包管理体系，对项目的工期协调、资源调配、管理流程等作好明确的规定，避免因管</w:t>
      </w:r>
      <w:r>
        <w:rPr>
          <w:spacing w:val="-20"/>
          <w:sz w:val="28"/>
          <w:szCs w:val="28"/>
        </w:rPr>
        <w:t>理不足导致工期的延误。</w:t>
      </w:r>
    </w:p>
    <w:p w14:paraId="73201847">
      <w:pPr>
        <w:pStyle w:val="2"/>
        <w:spacing w:before="7" w:line="263" w:lineRule="auto"/>
        <w:ind w:left="1459" w:right="1327" w:firstLine="522"/>
        <w:jc w:val="both"/>
        <w:rPr>
          <w:sz w:val="28"/>
          <w:szCs w:val="28"/>
        </w:rPr>
      </w:pPr>
      <w:r>
        <w:rPr>
          <w:spacing w:val="-22"/>
          <w:sz w:val="28"/>
          <w:szCs w:val="28"/>
        </w:rPr>
        <w:t>工程根据设计特点，工程量较为巨大，工期要求较为紧张，</w:t>
      </w:r>
      <w:r>
        <w:rPr>
          <w:spacing w:val="-23"/>
          <w:sz w:val="28"/>
          <w:szCs w:val="28"/>
        </w:rPr>
        <w:t>施工工艺较为复</w:t>
      </w:r>
      <w:r>
        <w:rPr>
          <w:spacing w:val="-22"/>
          <w:sz w:val="28"/>
          <w:szCs w:val="28"/>
        </w:rPr>
        <w:t>杂，因此在施工过程中对图纸设计范围内主要建设内容包含供水管道工程、自锚</w:t>
      </w:r>
      <w:r>
        <w:rPr>
          <w:spacing w:val="-27"/>
          <w:sz w:val="28"/>
          <w:szCs w:val="28"/>
        </w:rPr>
        <w:t>式球墨铸铁管拖管工程、管件、阀门、室外消火栓、消防水表、流量计、阀门井、</w:t>
      </w:r>
      <w:r>
        <w:rPr>
          <w:spacing w:val="-22"/>
          <w:sz w:val="28"/>
          <w:szCs w:val="28"/>
        </w:rPr>
        <w:t>支墩、沟槽土方、管道试压消毒冲洗，以及井室砌筑等，除特殊说明外，图纸设</w:t>
      </w:r>
      <w:r>
        <w:rPr>
          <w:spacing w:val="-21"/>
          <w:sz w:val="28"/>
          <w:szCs w:val="28"/>
        </w:rPr>
        <w:t>计范围内的所有内容，均按图计入。</w:t>
      </w:r>
    </w:p>
    <w:p w14:paraId="7D74315E">
      <w:pPr>
        <w:spacing w:line="263" w:lineRule="auto"/>
        <w:rPr>
          <w:sz w:val="28"/>
          <w:szCs w:val="28"/>
        </w:rPr>
        <w:sectPr>
          <w:footerReference r:id="rId25" w:type="default"/>
          <w:pgSz w:w="11907" w:h="16839"/>
          <w:pgMar w:top="954" w:right="4" w:bottom="1038" w:left="0" w:header="499" w:footer="357" w:gutter="0"/>
          <w:pgBorders>
            <w:top w:val="none" w:sz="0" w:space="0"/>
            <w:left w:val="none" w:sz="0" w:space="0"/>
            <w:bottom w:val="none" w:sz="0" w:space="0"/>
            <w:right w:val="none" w:sz="0" w:space="0"/>
          </w:pgBorders>
          <w:cols w:space="720" w:num="1"/>
        </w:sectPr>
      </w:pPr>
    </w:p>
    <w:p w14:paraId="7948E35D">
      <w:pPr>
        <w:pStyle w:val="2"/>
        <w:spacing w:before="293" w:line="264" w:lineRule="auto"/>
        <w:ind w:left="1463" w:right="1411" w:firstLine="514"/>
        <w:rPr>
          <w:sz w:val="28"/>
          <w:szCs w:val="28"/>
        </w:rPr>
      </w:pPr>
      <w:r>
        <w:rPr>
          <w:spacing w:val="-22"/>
          <w:sz w:val="28"/>
          <w:szCs w:val="28"/>
        </w:rPr>
        <w:t>土石方工程：含沟槽土方开挖、回填、余土外运等，具体详见本项目</w:t>
      </w:r>
      <w:r>
        <w:rPr>
          <w:spacing w:val="-23"/>
          <w:sz w:val="28"/>
          <w:szCs w:val="28"/>
        </w:rPr>
        <w:t>施工图</w:t>
      </w:r>
      <w:r>
        <w:rPr>
          <w:spacing w:val="-21"/>
          <w:sz w:val="28"/>
          <w:szCs w:val="28"/>
        </w:rPr>
        <w:t>纸。</w:t>
      </w:r>
    </w:p>
    <w:p w14:paraId="5F1A811C">
      <w:pPr>
        <w:pStyle w:val="2"/>
        <w:spacing w:before="6" w:line="263" w:lineRule="auto"/>
        <w:ind w:left="1460" w:right="1339" w:firstLine="517"/>
        <w:jc w:val="both"/>
        <w:rPr>
          <w:sz w:val="28"/>
          <w:szCs w:val="28"/>
        </w:rPr>
      </w:pPr>
      <w:r>
        <w:rPr>
          <w:spacing w:val="-22"/>
          <w:sz w:val="28"/>
          <w:szCs w:val="28"/>
        </w:rPr>
        <w:t>给水工程：包含管道基础、支墩、给水管道、管件、消火栓、消防水表</w:t>
      </w:r>
      <w:r>
        <w:rPr>
          <w:spacing w:val="-23"/>
          <w:sz w:val="28"/>
          <w:szCs w:val="28"/>
        </w:rPr>
        <w:t>、阀</w:t>
      </w:r>
      <w:r>
        <w:rPr>
          <w:spacing w:val="-22"/>
          <w:sz w:val="28"/>
          <w:szCs w:val="28"/>
        </w:rPr>
        <w:t>门、阀门井、市政道路、绿化破坏及恢复等，具体详见本项目施工图纸（球墨铸</w:t>
      </w:r>
      <w:r>
        <w:rPr>
          <w:spacing w:val="-27"/>
          <w:sz w:val="28"/>
          <w:szCs w:val="28"/>
        </w:rPr>
        <w:t>铁管、钢管、阀门、胶圈、消火栓、消防水表、流量计为甲供材料</w:t>
      </w:r>
      <w:r>
        <w:rPr>
          <w:spacing w:val="-28"/>
          <w:sz w:val="28"/>
          <w:szCs w:val="28"/>
        </w:rPr>
        <w:t>，主材不计价，</w:t>
      </w:r>
      <w:r>
        <w:rPr>
          <w:spacing w:val="-22"/>
          <w:sz w:val="28"/>
          <w:szCs w:val="28"/>
        </w:rPr>
        <w:t>由甲方采购送到乙方工地，乙方负责卸货、验收、保管、二次倒运、施工等全部工作内容。工程的工艺选择、资源保证、工期控制及各工种工序协调和安全</w:t>
      </w:r>
      <w:r>
        <w:rPr>
          <w:spacing w:val="-23"/>
          <w:sz w:val="28"/>
          <w:szCs w:val="28"/>
        </w:rPr>
        <w:t>性是</w:t>
      </w:r>
      <w:r>
        <w:rPr>
          <w:spacing w:val="-21"/>
          <w:sz w:val="28"/>
          <w:szCs w:val="28"/>
        </w:rPr>
        <w:t>本工程的施工控制的重中之重。</w:t>
      </w:r>
    </w:p>
    <w:p w14:paraId="46E2F6D6">
      <w:pPr>
        <w:pStyle w:val="2"/>
        <w:spacing w:line="218" w:lineRule="auto"/>
        <w:ind w:left="1969"/>
        <w:rPr>
          <w:sz w:val="28"/>
          <w:szCs w:val="28"/>
        </w:rPr>
      </w:pPr>
      <w:r>
        <w:rPr>
          <w:spacing w:val="-18"/>
          <w:sz w:val="28"/>
          <w:szCs w:val="28"/>
        </w:rPr>
        <w:t>2施工组织机构</w:t>
      </w:r>
    </w:p>
    <w:p w14:paraId="67922CBC">
      <w:pPr>
        <w:pStyle w:val="2"/>
        <w:spacing w:before="69" w:line="218" w:lineRule="auto"/>
        <w:ind w:left="1972"/>
        <w:rPr>
          <w:sz w:val="28"/>
          <w:szCs w:val="28"/>
        </w:rPr>
      </w:pPr>
      <w:r>
        <w:rPr>
          <w:b/>
          <w:bCs/>
          <w:spacing w:val="-18"/>
          <w:sz w:val="28"/>
          <w:szCs w:val="28"/>
        </w:rPr>
        <w:t>2.1、施工管理网络</w:t>
      </w:r>
    </w:p>
    <w:p w14:paraId="6C0ED0B5">
      <w:pPr>
        <w:pStyle w:val="2"/>
        <w:spacing w:before="71" w:line="246" w:lineRule="auto"/>
        <w:ind w:left="1460" w:right="1409" w:firstLine="516"/>
        <w:jc w:val="both"/>
        <w:rPr>
          <w:sz w:val="28"/>
          <w:szCs w:val="28"/>
        </w:rPr>
      </w:pPr>
      <w:r>
        <w:rPr>
          <w:spacing w:val="-22"/>
          <w:sz w:val="28"/>
          <w:szCs w:val="28"/>
        </w:rPr>
        <w:t>本工程工期紧，质量要求高，为保质保量地圆满完成整个工程，我公司拟设置一支强有力的项目经理部、建立项目经理负责制的机制，实施项目法施工，选</w:t>
      </w:r>
      <w:r>
        <w:rPr>
          <w:spacing w:val="-21"/>
          <w:sz w:val="28"/>
          <w:szCs w:val="28"/>
        </w:rPr>
        <w:t>派组织能力强，有丰富施工技术经验的人员担任项目经理。</w:t>
      </w:r>
    </w:p>
    <w:tbl>
      <w:tblPr>
        <w:tblStyle w:val="6"/>
        <w:tblW w:w="9097" w:type="dxa"/>
        <w:tblInd w:w="1404" w:type="dxa"/>
        <w:tblBorders>
          <w:top w:val="single" w:color="1C456A" w:sz="4" w:space="0"/>
          <w:left w:val="single" w:color="1C456A" w:sz="4" w:space="0"/>
          <w:bottom w:val="single" w:color="1C456A" w:sz="4" w:space="0"/>
          <w:right w:val="single" w:color="1C456A" w:sz="4" w:space="0"/>
          <w:insideH w:val="single" w:color="1C456A" w:sz="4" w:space="0"/>
          <w:insideV w:val="single" w:color="1C456A" w:sz="4" w:space="0"/>
        </w:tblBorders>
        <w:tblLayout w:type="fixed"/>
        <w:tblCellMar>
          <w:top w:w="0" w:type="dxa"/>
          <w:left w:w="0" w:type="dxa"/>
          <w:bottom w:w="0" w:type="dxa"/>
          <w:right w:w="0" w:type="dxa"/>
        </w:tblCellMar>
      </w:tblPr>
      <w:tblGrid>
        <w:gridCol w:w="1868"/>
        <w:gridCol w:w="7229"/>
      </w:tblGrid>
      <w:tr w14:paraId="7629DE4E">
        <w:tblPrEx>
          <w:tblBorders>
            <w:top w:val="single" w:color="1C456A" w:sz="4" w:space="0"/>
            <w:left w:val="single" w:color="1C456A" w:sz="4" w:space="0"/>
            <w:bottom w:val="single" w:color="1C456A" w:sz="4" w:space="0"/>
            <w:right w:val="single" w:color="1C456A" w:sz="4" w:space="0"/>
            <w:insideH w:val="single" w:color="1C456A" w:sz="4" w:space="0"/>
            <w:insideV w:val="single" w:color="1C456A" w:sz="4" w:space="0"/>
          </w:tblBorders>
          <w:tblCellMar>
            <w:top w:w="0" w:type="dxa"/>
            <w:left w:w="0" w:type="dxa"/>
            <w:bottom w:w="0" w:type="dxa"/>
            <w:right w:w="0" w:type="dxa"/>
          </w:tblCellMar>
        </w:tblPrEx>
        <w:trPr>
          <w:trHeight w:val="5372" w:hRule="atLeast"/>
        </w:trPr>
        <w:tc>
          <w:tcPr>
            <w:tcW w:w="9097" w:type="dxa"/>
            <w:gridSpan w:val="2"/>
            <w:tcBorders>
              <w:top w:val="single" w:color="5B9BD5" w:sz="4" w:space="0"/>
              <w:left w:val="single" w:color="5B9BD5" w:sz="4" w:space="0"/>
              <w:bottom w:val="single" w:color="000000" w:sz="2" w:space="0"/>
              <w:right w:val="single" w:color="5B9BD5" w:sz="4" w:space="0"/>
            </w:tcBorders>
            <w:shd w:val="clear" w:color="auto" w:fill="DEEAF6"/>
            <w:vAlign w:val="top"/>
          </w:tcPr>
          <w:p w14:paraId="53ED7794">
            <w:pPr>
              <w:spacing w:before="89" w:line="5072" w:lineRule="exact"/>
              <w:ind w:firstLine="390"/>
            </w:pPr>
            <w:r>
              <w:rPr>
                <w:position w:val="-101"/>
              </w:rPr>
              <w:drawing>
                <wp:inline distT="0" distB="0" distL="0" distR="0">
                  <wp:extent cx="5273040" cy="3220085"/>
                  <wp:effectExtent l="0" t="0" r="0" b="0"/>
                  <wp:docPr id="160" name="IM 160"/>
                  <wp:cNvGraphicFramePr/>
                  <a:graphic xmlns:a="http://schemas.openxmlformats.org/drawingml/2006/main">
                    <a:graphicData uri="http://schemas.openxmlformats.org/drawingml/2006/picture">
                      <pic:pic xmlns:pic="http://schemas.openxmlformats.org/drawingml/2006/picture">
                        <pic:nvPicPr>
                          <pic:cNvPr id="160" name="IM 160"/>
                          <pic:cNvPicPr/>
                        </pic:nvPicPr>
                        <pic:blipFill>
                          <a:blip r:embed="rId455"/>
                          <a:stretch>
                            <a:fillRect/>
                          </a:stretch>
                        </pic:blipFill>
                        <pic:spPr>
                          <a:xfrm>
                            <a:off x="0" y="0"/>
                            <a:ext cx="5273040" cy="3220719"/>
                          </a:xfrm>
                          <a:prstGeom prst="rect">
                            <a:avLst/>
                          </a:prstGeom>
                        </pic:spPr>
                      </pic:pic>
                    </a:graphicData>
                  </a:graphic>
                </wp:inline>
              </w:drawing>
            </w:r>
          </w:p>
        </w:tc>
      </w:tr>
      <w:tr w14:paraId="0963A559">
        <w:tblPrEx>
          <w:tblBorders>
            <w:top w:val="single" w:color="1C456A" w:sz="4" w:space="0"/>
            <w:left w:val="single" w:color="1C456A" w:sz="4" w:space="0"/>
            <w:bottom w:val="single" w:color="1C456A" w:sz="4" w:space="0"/>
            <w:right w:val="single" w:color="1C456A" w:sz="4" w:space="0"/>
            <w:insideH w:val="single" w:color="1C456A" w:sz="4" w:space="0"/>
            <w:insideV w:val="single" w:color="1C456A" w:sz="4" w:space="0"/>
          </w:tblBorders>
          <w:tblCellMar>
            <w:top w:w="0" w:type="dxa"/>
            <w:left w:w="0" w:type="dxa"/>
            <w:bottom w:w="0" w:type="dxa"/>
            <w:right w:w="0" w:type="dxa"/>
          </w:tblCellMar>
        </w:tblPrEx>
        <w:trPr>
          <w:trHeight w:val="822" w:hRule="atLeast"/>
        </w:trPr>
        <w:tc>
          <w:tcPr>
            <w:tcW w:w="1868" w:type="dxa"/>
            <w:tcBorders>
              <w:top w:val="single" w:color="000000" w:sz="2" w:space="0"/>
              <w:right w:val="nil"/>
            </w:tcBorders>
            <w:vAlign w:val="top"/>
          </w:tcPr>
          <w:p w14:paraId="2DF4247E">
            <w:pPr>
              <w:rPr>
                <w:rFonts w:ascii="Arial"/>
                <w:sz w:val="21"/>
              </w:rPr>
            </w:pPr>
            <w:r>
              <w:pict>
                <v:shape id="_x0000_s1258" o:spid="_x0000_s1258" style="position:absolute;left:0pt;margin-left:-0.25pt;margin-top:41.15pt;height:0.75pt;width:2.2pt;mso-position-horizontal-relative:page;mso-position-vertical-relative:page;z-index:251688960;mso-width-relative:page;mso-height-relative:page;" fillcolor="#5B9BD5" filled="t" stroked="f" coordsize="44,15" path="m0,14l43,14,43,0,0,0,0,14xe">
                  <v:path/>
                  <v:fill on="t" focussize="0,0"/>
                  <v:stroke on="f"/>
                  <v:imagedata o:title=""/>
                  <o:lock v:ext="edit"/>
                </v:shape>
              </w:pict>
            </w:r>
          </w:p>
        </w:tc>
        <w:tc>
          <w:tcPr>
            <w:tcW w:w="7229" w:type="dxa"/>
            <w:tcBorders>
              <w:top w:val="single" w:color="000000" w:sz="2" w:space="0"/>
              <w:left w:val="nil"/>
            </w:tcBorders>
            <w:vAlign w:val="top"/>
          </w:tcPr>
          <w:p w14:paraId="7745C3B1">
            <w:pPr>
              <w:pStyle w:val="7"/>
              <w:spacing w:before="200" w:line="218" w:lineRule="auto"/>
              <w:ind w:left="1823"/>
            </w:pPr>
            <w:r>
              <w:pict>
                <v:shape id="_x0000_s1259" o:spid="_x0000_s1259" style="position:absolute;left:0pt;margin-left:359.55pt;margin-top:41.15pt;height:0.75pt;width:2.2pt;mso-position-horizontal-relative:page;mso-position-vertical-relative:page;z-index:251687936;mso-width-relative:page;mso-height-relative:page;" fillcolor="#5B9BD5" filled="t" stroked="f" coordsize="44,15" path="m0,14l43,14,43,0,0,0,0,14xe">
                  <v:path/>
                  <v:fill on="t" focussize="0,0"/>
                  <v:stroke on="f"/>
                  <v:imagedata o:title=""/>
                  <o:lock v:ext="edit"/>
                </v:shape>
              </w:pict>
            </w:r>
            <w:r>
              <w:rPr>
                <w:spacing w:val="-19"/>
              </w:rPr>
              <w:t>项目部的组织机构</w:t>
            </w:r>
          </w:p>
        </w:tc>
      </w:tr>
    </w:tbl>
    <w:p w14:paraId="57CA8743">
      <w:pPr>
        <w:pStyle w:val="2"/>
        <w:spacing w:before="116" w:line="216" w:lineRule="auto"/>
        <w:ind w:left="1892"/>
        <w:rPr>
          <w:sz w:val="24"/>
          <w:szCs w:val="24"/>
        </w:rPr>
      </w:pPr>
      <w:r>
        <w:rPr>
          <w:spacing w:val="-20"/>
          <w:sz w:val="24"/>
          <w:szCs w:val="24"/>
        </w:rPr>
        <w:t>施工管理工作特点及针对措施</w:t>
      </w:r>
    </w:p>
    <w:p w14:paraId="59C2EB20">
      <w:pPr>
        <w:spacing w:line="51" w:lineRule="auto"/>
        <w:rPr>
          <w:rFonts w:ascii="Arial"/>
          <w:sz w:val="2"/>
        </w:rPr>
      </w:pPr>
    </w:p>
    <w:tbl>
      <w:tblPr>
        <w:tblStyle w:val="6"/>
        <w:tblW w:w="8696" w:type="dxa"/>
        <w:tblInd w:w="1606"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210"/>
        <w:gridCol w:w="5975"/>
        <w:gridCol w:w="511"/>
      </w:tblGrid>
      <w:tr w14:paraId="228789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6" w:hRule="atLeast"/>
        </w:trPr>
        <w:tc>
          <w:tcPr>
            <w:tcW w:w="2210" w:type="dxa"/>
            <w:tcBorders>
              <w:top w:val="single" w:color="000000" w:sz="4" w:space="0"/>
              <w:left w:val="single" w:color="000000" w:sz="4" w:space="0"/>
            </w:tcBorders>
            <w:shd w:val="clear" w:color="auto" w:fill="DEEAF6"/>
            <w:vAlign w:val="top"/>
          </w:tcPr>
          <w:p w14:paraId="0C82D043">
            <w:pPr>
              <w:spacing w:line="4" w:lineRule="exact"/>
            </w:pPr>
            <w:r>
              <w:drawing>
                <wp:inline distT="0" distB="0" distL="0" distR="0">
                  <wp:extent cx="20955" cy="2540"/>
                  <wp:effectExtent l="0" t="0" r="0" b="0"/>
                  <wp:docPr id="162" name="IM 162"/>
                  <wp:cNvGraphicFramePr/>
                  <a:graphic xmlns:a="http://schemas.openxmlformats.org/drawingml/2006/main">
                    <a:graphicData uri="http://schemas.openxmlformats.org/drawingml/2006/picture">
                      <pic:pic xmlns:pic="http://schemas.openxmlformats.org/drawingml/2006/picture">
                        <pic:nvPicPr>
                          <pic:cNvPr id="162" name="IM 162"/>
                          <pic:cNvPicPr/>
                        </pic:nvPicPr>
                        <pic:blipFill>
                          <a:blip r:embed="rId456"/>
                          <a:stretch>
                            <a:fillRect/>
                          </a:stretch>
                        </pic:blipFill>
                        <pic:spPr>
                          <a:xfrm>
                            <a:off x="0" y="0"/>
                            <a:ext cx="21082" cy="2794"/>
                          </a:xfrm>
                          <a:prstGeom prst="rect">
                            <a:avLst/>
                          </a:prstGeom>
                        </pic:spPr>
                      </pic:pic>
                    </a:graphicData>
                  </a:graphic>
                </wp:inline>
              </w:drawing>
            </w:r>
          </w:p>
          <w:p w14:paraId="64767C5D">
            <w:pPr>
              <w:pStyle w:val="7"/>
              <w:spacing w:before="122" w:line="216" w:lineRule="auto"/>
              <w:ind w:left="240"/>
            </w:pPr>
            <w:r>
              <w:rPr>
                <w:b/>
                <w:bCs/>
                <w:spacing w:val="-21"/>
              </w:rPr>
              <w:t>施工管理工作特点</w:t>
            </w:r>
          </w:p>
        </w:tc>
        <w:tc>
          <w:tcPr>
            <w:tcW w:w="5975" w:type="dxa"/>
            <w:tcBorders>
              <w:top w:val="single" w:color="5B9BD5" w:sz="4" w:space="0"/>
              <w:right w:val="nil"/>
            </w:tcBorders>
            <w:shd w:val="clear" w:color="auto" w:fill="DEEAF6"/>
            <w:vAlign w:val="top"/>
          </w:tcPr>
          <w:p w14:paraId="28018295">
            <w:pPr>
              <w:pStyle w:val="7"/>
              <w:spacing w:before="127" w:line="218" w:lineRule="auto"/>
              <w:ind w:left="2802"/>
            </w:pPr>
            <w:r>
              <w:rPr>
                <w:b/>
                <w:bCs/>
                <w:spacing w:val="-18"/>
              </w:rPr>
              <w:t>针对措施</w:t>
            </w:r>
          </w:p>
        </w:tc>
        <w:tc>
          <w:tcPr>
            <w:tcW w:w="511" w:type="dxa"/>
            <w:tcBorders>
              <w:top w:val="single" w:color="5B9BD5" w:sz="4" w:space="0"/>
              <w:left w:val="nil"/>
              <w:right w:val="single" w:color="5B9BD5" w:sz="4" w:space="0"/>
            </w:tcBorders>
            <w:shd w:val="clear" w:color="auto" w:fill="DEEAF6"/>
            <w:vAlign w:val="top"/>
          </w:tcPr>
          <w:p w14:paraId="38315A6D">
            <w:pPr>
              <w:rPr>
                <w:rFonts w:ascii="Arial"/>
                <w:sz w:val="21"/>
              </w:rPr>
            </w:pPr>
            <w:r>
              <w:pict>
                <v:shape id="_x0000_s1260" o:spid="_x0000_s1260" style="position:absolute;left:0pt;margin-left:23.7pt;margin-top:0pt;height:0.75pt;width:2.2pt;mso-position-horizontal-relative:page;mso-position-vertical-relative:page;z-index:251685888;mso-width-relative:page;mso-height-relative:page;" fillcolor="#5B9BD5" filled="t" stroked="f" coordsize="44,15" path="m0,14l43,14,43,0,0,0,0,14xe">
                  <v:path/>
                  <v:fill on="t" focussize="0,0"/>
                  <v:stroke on="f"/>
                  <v:imagedata o:title=""/>
                  <o:lock v:ext="edit"/>
                </v:shape>
              </w:pict>
            </w:r>
          </w:p>
        </w:tc>
      </w:tr>
      <w:tr w14:paraId="5AE471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07" w:hRule="atLeast"/>
        </w:trPr>
        <w:tc>
          <w:tcPr>
            <w:tcW w:w="2210" w:type="dxa"/>
            <w:tcBorders>
              <w:left w:val="single" w:color="1C456A" w:sz="4" w:space="0"/>
              <w:bottom w:val="single" w:color="1C456A" w:sz="4" w:space="0"/>
            </w:tcBorders>
            <w:vAlign w:val="top"/>
          </w:tcPr>
          <w:p w14:paraId="11E30576">
            <w:pPr>
              <w:spacing w:line="271" w:lineRule="auto"/>
              <w:rPr>
                <w:rFonts w:ascii="Arial"/>
                <w:sz w:val="21"/>
              </w:rPr>
            </w:pPr>
            <w:r>
              <w:pict>
                <v:shape id="_x0000_s1261" o:spid="_x0000_s1261" style="position:absolute;left:0pt;margin-left:-0.2pt;margin-top:55.35pt;height:0.75pt;width:2.2pt;mso-position-horizontal-relative:page;mso-position-vertical-relative:page;z-index:251684864;mso-width-relative:page;mso-height-relative:page;" fillcolor="#5B9BD5" filled="t" stroked="f" coordsize="44,15" path="m0,14l43,14,43,0,0,0,0,14xe">
                  <v:path/>
                  <v:fill on="t" focussize="0,0"/>
                  <v:stroke on="f"/>
                  <v:imagedata o:title=""/>
                  <o:lock v:ext="edit"/>
                </v:shape>
              </w:pict>
            </w:r>
          </w:p>
          <w:p w14:paraId="2217F33D">
            <w:pPr>
              <w:pStyle w:val="7"/>
              <w:spacing w:before="78" w:line="219" w:lineRule="auto"/>
              <w:ind w:left="461"/>
            </w:pPr>
            <w:r>
              <w:rPr>
                <w:spacing w:val="-18"/>
              </w:rPr>
              <w:t>文明现场施工</w:t>
            </w:r>
          </w:p>
        </w:tc>
        <w:tc>
          <w:tcPr>
            <w:tcW w:w="6486" w:type="dxa"/>
            <w:gridSpan w:val="2"/>
            <w:tcBorders>
              <w:bottom w:val="single" w:color="5B9BD5" w:sz="4" w:space="0"/>
              <w:right w:val="single" w:color="5B9BD5" w:sz="4" w:space="0"/>
            </w:tcBorders>
            <w:vAlign w:val="top"/>
          </w:tcPr>
          <w:p w14:paraId="6A8B4879">
            <w:pPr>
              <w:pStyle w:val="7"/>
              <w:spacing w:before="116" w:line="216" w:lineRule="auto"/>
              <w:ind w:left="547"/>
            </w:pPr>
            <w:r>
              <w:pict>
                <v:shape id="_x0000_s1262" o:spid="_x0000_s1262" style="position:absolute;left:0pt;margin-left:322.45pt;margin-top:55.35pt;height:0.75pt;width:2.2pt;mso-position-horizontal-relative:page;mso-position-vertical-relative:page;z-index:251686912;mso-width-relative:page;mso-height-relative:page;" fillcolor="#5B9BD5" filled="t" stroked="f" coordsize="44,15" path="m0,14l43,14,43,0,0,0,0,14xe">
                  <v:path/>
                  <v:fill on="t" focussize="0,0"/>
                  <v:stroke on="f"/>
                  <v:imagedata o:title=""/>
                  <o:lock v:ext="edit"/>
                </v:shape>
              </w:pict>
            </w:r>
            <w:r>
              <w:rPr>
                <w:spacing w:val="-3"/>
              </w:rPr>
              <w:t>1．项目经理亲自负责全现场文明施工管理工作。</w:t>
            </w:r>
          </w:p>
          <w:p w14:paraId="1FD9C08A">
            <w:pPr>
              <w:pStyle w:val="7"/>
              <w:spacing w:before="187" w:line="217" w:lineRule="auto"/>
              <w:ind w:left="532"/>
            </w:pPr>
            <w:r>
              <w:rPr>
                <w:spacing w:val="-3"/>
              </w:rPr>
              <w:t>2．制定适于该项目的文明施工管理办法。</w:t>
            </w:r>
          </w:p>
        </w:tc>
      </w:tr>
    </w:tbl>
    <w:p w14:paraId="0B82F63A">
      <w:pPr>
        <w:rPr>
          <w:rFonts w:ascii="Arial"/>
          <w:sz w:val="21"/>
        </w:rPr>
      </w:pPr>
    </w:p>
    <w:p w14:paraId="2D2C356D">
      <w:pPr>
        <w:rPr>
          <w:rFonts w:ascii="Arial" w:hAnsi="Arial" w:eastAsia="Arial" w:cs="Arial"/>
          <w:sz w:val="21"/>
          <w:szCs w:val="21"/>
        </w:rPr>
        <w:sectPr>
          <w:footerReference r:id="rId26" w:type="default"/>
          <w:pgSz w:w="11907" w:h="16839"/>
          <w:pgMar w:top="954" w:right="4" w:bottom="1038" w:left="0" w:header="499" w:footer="357" w:gutter="0"/>
          <w:pgBorders>
            <w:top w:val="none" w:sz="0" w:space="0"/>
            <w:left w:val="none" w:sz="0" w:space="0"/>
            <w:bottom w:val="none" w:sz="0" w:space="0"/>
            <w:right w:val="none" w:sz="0" w:space="0"/>
          </w:pgBorders>
          <w:cols w:space="720" w:num="1"/>
        </w:sectPr>
      </w:pPr>
    </w:p>
    <w:p w14:paraId="14FEDE84">
      <w:pPr>
        <w:spacing w:line="214" w:lineRule="exact"/>
      </w:pPr>
    </w:p>
    <w:tbl>
      <w:tblPr>
        <w:tblStyle w:val="6"/>
        <w:tblW w:w="8696" w:type="dxa"/>
        <w:tblInd w:w="1606"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199"/>
        <w:gridCol w:w="6497"/>
      </w:tblGrid>
      <w:tr w14:paraId="082CA2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19" w:hRule="atLeast"/>
        </w:trPr>
        <w:tc>
          <w:tcPr>
            <w:tcW w:w="2199" w:type="dxa"/>
            <w:tcBorders>
              <w:top w:val="single" w:color="000000" w:sz="4" w:space="0"/>
              <w:left w:val="single" w:color="000000" w:sz="4" w:space="0"/>
            </w:tcBorders>
            <w:vAlign w:val="top"/>
          </w:tcPr>
          <w:p w14:paraId="47D65A1B">
            <w:pPr>
              <w:spacing w:line="249" w:lineRule="auto"/>
              <w:rPr>
                <w:rFonts w:ascii="Arial"/>
                <w:sz w:val="21"/>
              </w:rPr>
            </w:pPr>
          </w:p>
          <w:p w14:paraId="3D8E1AC3">
            <w:pPr>
              <w:spacing w:line="249" w:lineRule="auto"/>
              <w:rPr>
                <w:rFonts w:ascii="Arial"/>
                <w:sz w:val="21"/>
              </w:rPr>
            </w:pPr>
          </w:p>
          <w:p w14:paraId="2F36365E">
            <w:pPr>
              <w:spacing w:line="249" w:lineRule="auto"/>
              <w:rPr>
                <w:rFonts w:ascii="Arial"/>
                <w:sz w:val="21"/>
              </w:rPr>
            </w:pPr>
          </w:p>
          <w:p w14:paraId="054C247B">
            <w:pPr>
              <w:pStyle w:val="7"/>
              <w:spacing w:before="78" w:line="216" w:lineRule="auto"/>
              <w:ind w:left="247"/>
            </w:pPr>
            <w:r>
              <w:rPr>
                <w:spacing w:val="-19"/>
              </w:rPr>
              <w:t>人工、材料及工期</w:t>
            </w:r>
          </w:p>
        </w:tc>
        <w:tc>
          <w:tcPr>
            <w:tcW w:w="6497" w:type="dxa"/>
            <w:tcBorders>
              <w:top w:val="single" w:color="5B9BD5" w:sz="4" w:space="0"/>
              <w:right w:val="single" w:color="5B9BD5" w:sz="4" w:space="0"/>
            </w:tcBorders>
            <w:vAlign w:val="top"/>
          </w:tcPr>
          <w:p w14:paraId="6FC035BF">
            <w:pPr>
              <w:pStyle w:val="7"/>
              <w:spacing w:before="128" w:line="288" w:lineRule="auto"/>
              <w:ind w:left="72" w:right="72" w:firstLine="486"/>
            </w:pPr>
            <w:r>
              <w:rPr>
                <w:spacing w:val="-1"/>
              </w:rPr>
              <w:t>1．合理安排现场劳动力资源，材料资源以及机械设备调</w:t>
            </w:r>
            <w:r>
              <w:rPr>
                <w:spacing w:val="-4"/>
              </w:rPr>
              <w:t>配，确保关键线路按计划实施。</w:t>
            </w:r>
          </w:p>
          <w:p w14:paraId="2D565983">
            <w:pPr>
              <w:pStyle w:val="7"/>
              <w:spacing w:before="186" w:line="292" w:lineRule="auto"/>
              <w:ind w:left="68" w:right="72" w:firstLine="475"/>
            </w:pPr>
            <w:r>
              <w:rPr>
                <w:spacing w:val="-1"/>
              </w:rPr>
              <w:t>2．利用现场微机实行微机管理，对网络计划采用动态调</w:t>
            </w:r>
            <w:r>
              <w:rPr>
                <w:spacing w:val="-12"/>
              </w:rPr>
              <w:t>整。</w:t>
            </w:r>
          </w:p>
        </w:tc>
      </w:tr>
      <w:tr w14:paraId="5EBAE0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3" w:hRule="atLeast"/>
        </w:trPr>
        <w:tc>
          <w:tcPr>
            <w:tcW w:w="2199" w:type="dxa"/>
            <w:tcBorders>
              <w:left w:val="single" w:color="1C456A" w:sz="4" w:space="0"/>
              <w:bottom w:val="single" w:color="1C456A" w:sz="4" w:space="0"/>
            </w:tcBorders>
            <w:vAlign w:val="top"/>
          </w:tcPr>
          <w:p w14:paraId="76DF1A38">
            <w:pPr>
              <w:spacing w:line="294" w:lineRule="auto"/>
              <w:rPr>
                <w:rFonts w:ascii="Arial"/>
                <w:sz w:val="21"/>
              </w:rPr>
            </w:pPr>
          </w:p>
          <w:p w14:paraId="60C9E1C6">
            <w:pPr>
              <w:spacing w:line="294" w:lineRule="auto"/>
              <w:rPr>
                <w:rFonts w:ascii="Arial"/>
                <w:sz w:val="21"/>
              </w:rPr>
            </w:pPr>
          </w:p>
          <w:p w14:paraId="2CBA4A5C">
            <w:pPr>
              <w:spacing w:line="295" w:lineRule="auto"/>
              <w:rPr>
                <w:rFonts w:ascii="Arial"/>
                <w:sz w:val="21"/>
              </w:rPr>
            </w:pPr>
          </w:p>
          <w:p w14:paraId="6A2E4439">
            <w:pPr>
              <w:spacing w:line="295" w:lineRule="auto"/>
              <w:rPr>
                <w:rFonts w:ascii="Arial"/>
                <w:sz w:val="21"/>
              </w:rPr>
            </w:pPr>
          </w:p>
          <w:p w14:paraId="1F1D1E57">
            <w:pPr>
              <w:pStyle w:val="7"/>
              <w:spacing w:before="78" w:line="217" w:lineRule="auto"/>
              <w:ind w:left="683"/>
            </w:pPr>
            <w:r>
              <w:rPr>
                <w:spacing w:val="-16"/>
              </w:rPr>
              <w:t>安全保障</w:t>
            </w:r>
          </w:p>
        </w:tc>
        <w:tc>
          <w:tcPr>
            <w:tcW w:w="6497" w:type="dxa"/>
            <w:tcBorders>
              <w:bottom w:val="single" w:color="5B9BD5" w:sz="4" w:space="0"/>
              <w:right w:val="single" w:color="5B9BD5" w:sz="4" w:space="0"/>
            </w:tcBorders>
            <w:vAlign w:val="top"/>
          </w:tcPr>
          <w:p w14:paraId="77DA4B58">
            <w:pPr>
              <w:pStyle w:val="7"/>
              <w:spacing w:before="99" w:line="288" w:lineRule="auto"/>
              <w:ind w:left="74" w:right="72" w:firstLine="483"/>
            </w:pPr>
            <w:r>
              <w:rPr>
                <w:spacing w:val="-1"/>
              </w:rPr>
              <w:t>1．项目成立安全监督小组，并由项目经理亲自担任安全</w:t>
            </w:r>
            <w:r>
              <w:rPr>
                <w:spacing w:val="-9"/>
              </w:rPr>
              <w:t>监督组长。</w:t>
            </w:r>
          </w:p>
          <w:p w14:paraId="5A030D7A">
            <w:pPr>
              <w:pStyle w:val="7"/>
              <w:spacing w:before="184" w:line="287" w:lineRule="auto"/>
              <w:ind w:left="73" w:right="72" w:firstLine="470"/>
            </w:pPr>
            <w:r>
              <w:rPr>
                <w:spacing w:val="-1"/>
              </w:rPr>
              <w:t>2．施工前，根据规范和公司文件并结合现场实际情况制</w:t>
            </w:r>
            <w:r>
              <w:rPr>
                <w:spacing w:val="-5"/>
              </w:rPr>
              <w:t>定详尽的安全施工方案。</w:t>
            </w:r>
          </w:p>
          <w:p w14:paraId="49C06D93">
            <w:pPr>
              <w:pStyle w:val="7"/>
              <w:spacing w:before="187" w:line="287" w:lineRule="auto"/>
              <w:ind w:left="76" w:right="72" w:firstLine="468"/>
            </w:pPr>
            <w:r>
              <w:rPr>
                <w:spacing w:val="-1"/>
              </w:rPr>
              <w:t>3．积极开展对操作人员的三级安全教育，加强对操作行</w:t>
            </w:r>
            <w:r>
              <w:rPr>
                <w:spacing w:val="-6"/>
              </w:rPr>
              <w:t>为安全性的管理力度。</w:t>
            </w:r>
          </w:p>
        </w:tc>
      </w:tr>
    </w:tbl>
    <w:p w14:paraId="7CD9A1D7">
      <w:pPr>
        <w:pStyle w:val="2"/>
        <w:spacing w:before="114" w:line="220" w:lineRule="auto"/>
        <w:ind w:left="1900"/>
        <w:rPr>
          <w:sz w:val="24"/>
          <w:szCs w:val="24"/>
        </w:rPr>
      </w:pPr>
      <w:r>
        <w:rPr>
          <w:spacing w:val="-20"/>
          <w:sz w:val="24"/>
          <w:szCs w:val="24"/>
        </w:rPr>
        <w:t>二、管理人员职责</w:t>
      </w:r>
    </w:p>
    <w:p w14:paraId="4208DA60">
      <w:pPr>
        <w:pStyle w:val="2"/>
        <w:spacing w:before="115" w:line="217" w:lineRule="auto"/>
        <w:ind w:left="1956"/>
        <w:rPr>
          <w:sz w:val="24"/>
          <w:szCs w:val="24"/>
        </w:rPr>
      </w:pPr>
      <w:r>
        <w:rPr>
          <w:b/>
          <w:bCs/>
          <w:spacing w:val="-11"/>
          <w:sz w:val="24"/>
          <w:szCs w:val="24"/>
        </w:rPr>
        <w:t>1项目经理岗位职责</w:t>
      </w:r>
    </w:p>
    <w:p w14:paraId="1043126A">
      <w:pPr>
        <w:pStyle w:val="2"/>
        <w:spacing w:before="117" w:line="262" w:lineRule="auto"/>
        <w:ind w:left="1461" w:right="1445" w:firstLine="492"/>
        <w:rPr>
          <w:sz w:val="24"/>
          <w:szCs w:val="24"/>
        </w:rPr>
      </w:pPr>
      <w:r>
        <w:rPr>
          <w:spacing w:val="1"/>
          <w:sz w:val="24"/>
          <w:szCs w:val="24"/>
        </w:rPr>
        <w:t>1)贯彻执行国家和上级的有关方针、政策、法规，执行企业的各项规章制</w:t>
      </w:r>
      <w:r>
        <w:rPr>
          <w:sz w:val="24"/>
          <w:szCs w:val="24"/>
        </w:rPr>
        <w:t>度，自</w:t>
      </w:r>
      <w:r>
        <w:rPr>
          <w:spacing w:val="3"/>
          <w:sz w:val="24"/>
          <w:szCs w:val="24"/>
        </w:rPr>
        <w:t>觉维护企业和职工利益，确保项目管理总目</w:t>
      </w:r>
      <w:r>
        <w:rPr>
          <w:spacing w:val="2"/>
          <w:sz w:val="24"/>
          <w:szCs w:val="24"/>
        </w:rPr>
        <w:t>标的完成。</w:t>
      </w:r>
    </w:p>
    <w:p w14:paraId="27DDB92E">
      <w:pPr>
        <w:pStyle w:val="2"/>
        <w:spacing w:before="120" w:line="261" w:lineRule="auto"/>
        <w:ind w:left="1463" w:right="1445" w:firstLine="475"/>
        <w:rPr>
          <w:sz w:val="24"/>
          <w:szCs w:val="24"/>
        </w:rPr>
      </w:pPr>
      <w:r>
        <w:rPr>
          <w:spacing w:val="3"/>
          <w:sz w:val="24"/>
          <w:szCs w:val="24"/>
        </w:rPr>
        <w:t>2)确定项目经理部组织机构并配备人员，制定适应项目实际的规章制度，明确有</w:t>
      </w:r>
      <w:r>
        <w:rPr>
          <w:spacing w:val="2"/>
          <w:sz w:val="24"/>
          <w:szCs w:val="24"/>
        </w:rPr>
        <w:t>关人员的职责，主持项目经理部的全面工作。</w:t>
      </w:r>
    </w:p>
    <w:p w14:paraId="385DFB10">
      <w:pPr>
        <w:pStyle w:val="2"/>
        <w:spacing w:before="120" w:line="266" w:lineRule="auto"/>
        <w:ind w:left="1458" w:right="1447" w:firstLine="482"/>
        <w:rPr>
          <w:sz w:val="24"/>
          <w:szCs w:val="24"/>
        </w:rPr>
      </w:pPr>
      <w:r>
        <w:rPr>
          <w:spacing w:val="3"/>
          <w:sz w:val="24"/>
          <w:szCs w:val="24"/>
        </w:rPr>
        <w:t>3)考核、监督和评价项目经理部各业务部门及管理人员的工作业绩，适时进行奖</w:t>
      </w:r>
      <w:r>
        <w:rPr>
          <w:spacing w:val="-12"/>
          <w:sz w:val="24"/>
          <w:szCs w:val="24"/>
        </w:rPr>
        <w:t>惩。</w:t>
      </w:r>
    </w:p>
    <w:p w14:paraId="5BAA7623">
      <w:pPr>
        <w:pStyle w:val="2"/>
        <w:spacing w:before="108" w:line="263" w:lineRule="auto"/>
        <w:ind w:left="1455" w:right="1447" w:firstLine="479"/>
        <w:rPr>
          <w:sz w:val="24"/>
          <w:szCs w:val="24"/>
        </w:rPr>
      </w:pPr>
      <w:r>
        <w:rPr>
          <w:spacing w:val="3"/>
          <w:sz w:val="24"/>
          <w:szCs w:val="24"/>
        </w:rPr>
        <w:t>4)确定管理总目标和阶段性控制目标，进行目标分解。确保项目运行过程正常顺</w:t>
      </w:r>
      <w:r>
        <w:rPr>
          <w:spacing w:val="-11"/>
          <w:sz w:val="24"/>
          <w:szCs w:val="24"/>
        </w:rPr>
        <w:t>利。</w:t>
      </w:r>
    </w:p>
    <w:p w14:paraId="08021AF7">
      <w:pPr>
        <w:pStyle w:val="2"/>
        <w:spacing w:before="116" w:line="262" w:lineRule="auto"/>
        <w:ind w:left="1456" w:right="1372" w:firstLine="484"/>
        <w:rPr>
          <w:sz w:val="24"/>
          <w:szCs w:val="24"/>
        </w:rPr>
      </w:pPr>
      <w:r>
        <w:rPr>
          <w:spacing w:val="-1"/>
          <w:sz w:val="24"/>
          <w:szCs w:val="24"/>
        </w:rPr>
        <w:t>5)科学组织和管理进入项目工地的人、财、物资</w:t>
      </w:r>
      <w:r>
        <w:rPr>
          <w:spacing w:val="-2"/>
          <w:sz w:val="24"/>
          <w:szCs w:val="24"/>
        </w:rPr>
        <w:t>源，协调分包、单位之间的关系，</w:t>
      </w:r>
      <w:r>
        <w:rPr>
          <w:spacing w:val="3"/>
          <w:sz w:val="24"/>
          <w:szCs w:val="24"/>
        </w:rPr>
        <w:t>做好人力、物力和机械设备的调配与供应，及时解决施工中出现的问题。</w:t>
      </w:r>
    </w:p>
    <w:p w14:paraId="0572E5C2">
      <w:pPr>
        <w:pStyle w:val="2"/>
        <w:spacing w:before="120" w:line="262" w:lineRule="auto"/>
        <w:ind w:left="1456" w:right="1447" w:firstLine="481"/>
        <w:rPr>
          <w:sz w:val="24"/>
          <w:szCs w:val="24"/>
        </w:rPr>
      </w:pPr>
      <w:r>
        <w:rPr>
          <w:spacing w:val="3"/>
          <w:sz w:val="24"/>
          <w:szCs w:val="24"/>
        </w:rPr>
        <w:t>6)加强财务和预算管理，推行劳务层工序单价承包制，项目经理部管理人员模拟股份制，激励全员的劳动积极性，正确处理好国家、企业和个人三者利益关系。</w:t>
      </w:r>
    </w:p>
    <w:p w14:paraId="75A875A0">
      <w:pPr>
        <w:pStyle w:val="2"/>
        <w:spacing w:before="119" w:line="278" w:lineRule="auto"/>
        <w:ind w:left="1469" w:right="1443" w:firstLine="472"/>
        <w:rPr>
          <w:sz w:val="24"/>
          <w:szCs w:val="24"/>
        </w:rPr>
      </w:pPr>
      <w:r>
        <w:rPr>
          <w:spacing w:val="3"/>
          <w:sz w:val="24"/>
          <w:szCs w:val="24"/>
        </w:rPr>
        <w:t>7)认真履行工种承包合同，落实项目的开工、竣工、交付和回访事宜。强化项目管理的质量、进度、成本、安全控制，搞好项目的合同、现场、信息管理，</w:t>
      </w:r>
      <w:r>
        <w:rPr>
          <w:spacing w:val="2"/>
          <w:sz w:val="24"/>
          <w:szCs w:val="24"/>
        </w:rPr>
        <w:t>对本项目</w:t>
      </w:r>
      <w:r>
        <w:rPr>
          <w:spacing w:val="1"/>
          <w:sz w:val="24"/>
          <w:szCs w:val="24"/>
        </w:rPr>
        <w:t>的质量、进度、成本、安全负全面贡任。</w:t>
      </w:r>
    </w:p>
    <w:p w14:paraId="6450A42A">
      <w:pPr>
        <w:pStyle w:val="2"/>
        <w:spacing w:before="113" w:line="278" w:lineRule="auto"/>
        <w:ind w:left="1455" w:right="1439" w:firstLine="481"/>
        <w:rPr>
          <w:sz w:val="24"/>
          <w:szCs w:val="24"/>
        </w:rPr>
      </w:pPr>
      <w:r>
        <w:rPr>
          <w:spacing w:val="-1"/>
          <w:sz w:val="24"/>
          <w:szCs w:val="24"/>
        </w:rPr>
        <w:t>8)领导编制《项目质量计划》，及时组织不合格品质量分析会；组织动员项目经</w:t>
      </w:r>
      <w:r>
        <w:rPr>
          <w:spacing w:val="3"/>
          <w:sz w:val="24"/>
          <w:szCs w:val="24"/>
        </w:rPr>
        <w:t>理部全体人员配合内外部质量审核，对审核发现的不合格项，制定切实可行的纠正措施，限期整改。批准和发布当地合格材料供应商</w:t>
      </w:r>
      <w:r>
        <w:rPr>
          <w:spacing w:val="2"/>
          <w:sz w:val="24"/>
          <w:szCs w:val="24"/>
        </w:rPr>
        <w:t>名单。</w:t>
      </w:r>
    </w:p>
    <w:p w14:paraId="26D21E81">
      <w:pPr>
        <w:pStyle w:val="2"/>
        <w:spacing w:before="118" w:line="217" w:lineRule="auto"/>
        <w:ind w:left="1941"/>
        <w:rPr>
          <w:sz w:val="24"/>
          <w:szCs w:val="24"/>
        </w:rPr>
      </w:pPr>
      <w:r>
        <w:rPr>
          <w:b/>
          <w:bCs/>
          <w:spacing w:val="-1"/>
          <w:sz w:val="24"/>
          <w:szCs w:val="24"/>
        </w:rPr>
        <w:t>2项目技术负责人岗位职责</w:t>
      </w:r>
    </w:p>
    <w:p w14:paraId="698D44F1">
      <w:pPr>
        <w:pStyle w:val="2"/>
        <w:spacing w:before="117" w:line="309" w:lineRule="auto"/>
        <w:ind w:left="1460" w:right="1456" w:firstLine="493"/>
        <w:rPr>
          <w:sz w:val="24"/>
          <w:szCs w:val="24"/>
        </w:rPr>
      </w:pPr>
      <w:r>
        <w:rPr>
          <w:spacing w:val="2"/>
          <w:sz w:val="24"/>
          <w:szCs w:val="24"/>
        </w:rPr>
        <w:t>1)技术负责人是项目经理的技术管理助手，主要抓项目部技术人员的技术业务工</w:t>
      </w:r>
      <w:r>
        <w:rPr>
          <w:spacing w:val="3"/>
          <w:sz w:val="24"/>
          <w:szCs w:val="24"/>
        </w:rPr>
        <w:t>作，负责考核、监督和评价他们的工作成绩，并实施具体</w:t>
      </w:r>
      <w:r>
        <w:rPr>
          <w:spacing w:val="2"/>
          <w:sz w:val="24"/>
          <w:szCs w:val="24"/>
        </w:rPr>
        <w:t>指导。</w:t>
      </w:r>
    </w:p>
    <w:p w14:paraId="7FBC3F5F">
      <w:pPr>
        <w:spacing w:line="309" w:lineRule="auto"/>
        <w:rPr>
          <w:sz w:val="24"/>
          <w:szCs w:val="24"/>
        </w:rPr>
        <w:sectPr>
          <w:footerReference r:id="rId27" w:type="default"/>
          <w:pgSz w:w="11907" w:h="16839"/>
          <w:pgMar w:top="954" w:right="4" w:bottom="1038" w:left="0" w:header="499" w:footer="357" w:gutter="0"/>
          <w:pgBorders>
            <w:top w:val="none" w:sz="0" w:space="0"/>
            <w:left w:val="none" w:sz="0" w:space="0"/>
            <w:bottom w:val="none" w:sz="0" w:space="0"/>
            <w:right w:val="none" w:sz="0" w:space="0"/>
          </w:pgBorders>
          <w:cols w:space="720" w:num="1"/>
        </w:sectPr>
      </w:pPr>
    </w:p>
    <w:p w14:paraId="1D438C27">
      <w:pPr>
        <w:spacing w:line="251" w:lineRule="auto"/>
        <w:rPr>
          <w:rFonts w:ascii="Arial"/>
          <w:sz w:val="21"/>
        </w:rPr>
      </w:pPr>
    </w:p>
    <w:p w14:paraId="74933527">
      <w:pPr>
        <w:pStyle w:val="2"/>
        <w:spacing w:before="78" w:line="262" w:lineRule="auto"/>
        <w:ind w:left="1459" w:right="1481" w:firstLine="479"/>
        <w:rPr>
          <w:sz w:val="24"/>
          <w:szCs w:val="24"/>
        </w:rPr>
      </w:pPr>
      <w:r>
        <w:rPr>
          <w:spacing w:val="2"/>
          <w:sz w:val="24"/>
          <w:szCs w:val="24"/>
        </w:rPr>
        <w:t>2)技术负责人具体抓项目管理中的质量控制和安全工作技术方案，对工程质量、安全工作的技术方案负具体责任。</w:t>
      </w:r>
    </w:p>
    <w:p w14:paraId="6EEB51FA">
      <w:pPr>
        <w:pStyle w:val="2"/>
        <w:spacing w:before="118" w:line="263" w:lineRule="auto"/>
        <w:ind w:left="1463" w:right="1445" w:firstLine="476"/>
        <w:rPr>
          <w:sz w:val="24"/>
          <w:szCs w:val="24"/>
        </w:rPr>
      </w:pPr>
      <w:r>
        <w:rPr>
          <w:spacing w:val="3"/>
          <w:sz w:val="24"/>
          <w:szCs w:val="24"/>
        </w:rPr>
        <w:t>3)组织项目专业技术人员对设计施工图纸审查，参加图纸会审、技术交底，做好</w:t>
      </w:r>
      <w:r>
        <w:rPr>
          <w:sz w:val="24"/>
          <w:szCs w:val="24"/>
        </w:rPr>
        <w:t>会审和交底记录。</w:t>
      </w:r>
    </w:p>
    <w:p w14:paraId="68CC3D4A">
      <w:pPr>
        <w:pStyle w:val="2"/>
        <w:spacing w:before="116" w:line="263" w:lineRule="auto"/>
        <w:ind w:left="1456" w:right="1447" w:firstLine="478"/>
        <w:rPr>
          <w:sz w:val="24"/>
          <w:szCs w:val="24"/>
        </w:rPr>
      </w:pPr>
      <w:r>
        <w:rPr>
          <w:spacing w:val="3"/>
          <w:sz w:val="24"/>
          <w:szCs w:val="24"/>
        </w:rPr>
        <w:t>4)组织编制《项目质量计划》、实施性施工组织设计和关键工序及特殊过程作业</w:t>
      </w:r>
      <w:r>
        <w:rPr>
          <w:spacing w:val="-7"/>
          <w:sz w:val="24"/>
          <w:szCs w:val="24"/>
        </w:rPr>
        <w:t>指导书。</w:t>
      </w:r>
    </w:p>
    <w:p w14:paraId="6E7677C2">
      <w:pPr>
        <w:pStyle w:val="2"/>
        <w:spacing w:before="116" w:line="262" w:lineRule="auto"/>
        <w:ind w:left="1458" w:right="1445" w:firstLine="482"/>
        <w:rPr>
          <w:sz w:val="24"/>
          <w:szCs w:val="24"/>
        </w:rPr>
      </w:pPr>
      <w:r>
        <w:rPr>
          <w:spacing w:val="3"/>
          <w:sz w:val="24"/>
          <w:szCs w:val="24"/>
        </w:rPr>
        <w:t>5)审核项目材料需求计划和非标构件加工定货计划；监督有关人员做好进货或过程的质量自检、专检和交接检，保证进货过程和质量控制符合标准的要求。</w:t>
      </w:r>
    </w:p>
    <w:p w14:paraId="41D222AA">
      <w:pPr>
        <w:pStyle w:val="2"/>
        <w:spacing w:before="117" w:line="262" w:lineRule="auto"/>
        <w:ind w:left="1459" w:right="1445" w:firstLine="478"/>
        <w:rPr>
          <w:sz w:val="24"/>
          <w:szCs w:val="24"/>
        </w:rPr>
      </w:pPr>
      <w:r>
        <w:rPr>
          <w:spacing w:val="3"/>
          <w:sz w:val="24"/>
          <w:szCs w:val="24"/>
        </w:rPr>
        <w:t>6)组织重要施工部位和特殊过程的隐蔽工程验收，对发现的不合格或潜在不合格分析存在原因，及时采取纠正和预防措施，并验证措施的落实情</w:t>
      </w:r>
      <w:r>
        <w:rPr>
          <w:spacing w:val="2"/>
          <w:sz w:val="24"/>
          <w:szCs w:val="24"/>
        </w:rPr>
        <w:t>况。</w:t>
      </w:r>
    </w:p>
    <w:p w14:paraId="31374FE7">
      <w:pPr>
        <w:pStyle w:val="2"/>
        <w:spacing w:before="122" w:line="261" w:lineRule="auto"/>
        <w:ind w:left="1456" w:right="1438" w:firstLine="485"/>
        <w:rPr>
          <w:sz w:val="24"/>
          <w:szCs w:val="24"/>
        </w:rPr>
      </w:pPr>
      <w:r>
        <w:rPr>
          <w:spacing w:val="3"/>
          <w:sz w:val="24"/>
          <w:szCs w:val="24"/>
        </w:rPr>
        <w:t>7)推广应用新工艺、新技术、新材料，努力提高项目经理部人员的施工工艺水平</w:t>
      </w:r>
      <w:r>
        <w:rPr>
          <w:sz w:val="24"/>
          <w:szCs w:val="24"/>
        </w:rPr>
        <w:t>和操作技能。</w:t>
      </w:r>
    </w:p>
    <w:p w14:paraId="6FEC485E">
      <w:pPr>
        <w:pStyle w:val="2"/>
        <w:spacing w:before="120" w:line="263" w:lineRule="auto"/>
        <w:ind w:left="1455" w:right="1445" w:firstLine="481"/>
        <w:rPr>
          <w:sz w:val="24"/>
          <w:szCs w:val="24"/>
        </w:rPr>
      </w:pPr>
      <w:r>
        <w:rPr>
          <w:spacing w:val="3"/>
          <w:sz w:val="24"/>
          <w:szCs w:val="24"/>
        </w:rPr>
        <w:t>8)组织召开周、旬、月质量分析会，检查质量体系运行的适应性和有效性，及时研究处理质量活动中的重大技术问题，对工程质量持有一票否决权。</w:t>
      </w:r>
    </w:p>
    <w:p w14:paraId="580457F6">
      <w:pPr>
        <w:pStyle w:val="2"/>
        <w:spacing w:before="115" w:line="217" w:lineRule="auto"/>
        <w:ind w:left="1943"/>
        <w:rPr>
          <w:sz w:val="24"/>
          <w:szCs w:val="24"/>
        </w:rPr>
      </w:pPr>
      <w:r>
        <w:rPr>
          <w:b/>
          <w:bCs/>
          <w:spacing w:val="-2"/>
          <w:sz w:val="24"/>
          <w:szCs w:val="24"/>
        </w:rPr>
        <w:t>3项目副经理岗位职责</w:t>
      </w:r>
    </w:p>
    <w:p w14:paraId="08B0C3C6">
      <w:pPr>
        <w:pStyle w:val="2"/>
        <w:spacing w:before="119" w:line="278" w:lineRule="auto"/>
        <w:ind w:left="1458" w:right="1438" w:firstLine="495"/>
        <w:rPr>
          <w:sz w:val="24"/>
          <w:szCs w:val="24"/>
        </w:rPr>
      </w:pPr>
      <w:r>
        <w:rPr>
          <w:spacing w:val="6"/>
          <w:sz w:val="24"/>
          <w:szCs w:val="24"/>
        </w:rPr>
        <w:t>1）生产经理是项目经理的行政管理和经营管理助手，主要负责项目整体运作中</w:t>
      </w:r>
      <w:r>
        <w:rPr>
          <w:spacing w:val="3"/>
          <w:sz w:val="24"/>
          <w:szCs w:val="24"/>
        </w:rPr>
        <w:t>的协调工作，负责考核、监督和评价项目部各工作人员的工作成绩，并实施具体的指</w:t>
      </w:r>
      <w:r>
        <w:rPr>
          <w:spacing w:val="-12"/>
          <w:sz w:val="24"/>
          <w:szCs w:val="24"/>
        </w:rPr>
        <w:t>导。</w:t>
      </w:r>
    </w:p>
    <w:p w14:paraId="39D92972">
      <w:pPr>
        <w:pStyle w:val="2"/>
        <w:spacing w:before="116" w:line="215" w:lineRule="auto"/>
        <w:ind w:left="1938"/>
        <w:rPr>
          <w:sz w:val="24"/>
          <w:szCs w:val="24"/>
        </w:rPr>
      </w:pPr>
      <w:r>
        <w:rPr>
          <w:spacing w:val="3"/>
          <w:sz w:val="24"/>
          <w:szCs w:val="24"/>
        </w:rPr>
        <w:t>2)对进入项目工作的全部人员有调动、建议任用、加薪和建议降级降薪的权力。</w:t>
      </w:r>
    </w:p>
    <w:p w14:paraId="746BC811">
      <w:pPr>
        <w:pStyle w:val="2"/>
        <w:spacing w:before="120" w:line="263" w:lineRule="auto"/>
        <w:ind w:left="1460" w:right="1447" w:firstLine="480"/>
        <w:rPr>
          <w:sz w:val="24"/>
          <w:szCs w:val="24"/>
        </w:rPr>
      </w:pPr>
      <w:r>
        <w:rPr>
          <w:spacing w:val="3"/>
          <w:sz w:val="24"/>
          <w:szCs w:val="24"/>
        </w:rPr>
        <w:t>3)具体抓项目管理中的成本控制，搞好合同、现场、信息管理。对项目的成本和</w:t>
      </w:r>
      <w:r>
        <w:rPr>
          <w:sz w:val="24"/>
          <w:szCs w:val="24"/>
        </w:rPr>
        <w:t>效益负直接责任。</w:t>
      </w:r>
    </w:p>
    <w:p w14:paraId="0B39C3B8">
      <w:pPr>
        <w:pStyle w:val="2"/>
        <w:spacing w:before="117" w:line="263" w:lineRule="auto"/>
        <w:ind w:left="1456" w:right="1445" w:firstLine="478"/>
        <w:rPr>
          <w:sz w:val="24"/>
          <w:szCs w:val="24"/>
        </w:rPr>
      </w:pPr>
      <w:r>
        <w:rPr>
          <w:spacing w:val="3"/>
          <w:sz w:val="24"/>
          <w:szCs w:val="24"/>
        </w:rPr>
        <w:t>4)负责对协调和各分包方之间的关系，组织签订分包合同，审定对分包方的验工</w:t>
      </w:r>
      <w:r>
        <w:rPr>
          <w:spacing w:val="-9"/>
          <w:sz w:val="24"/>
          <w:szCs w:val="24"/>
        </w:rPr>
        <w:t>计价。</w:t>
      </w:r>
    </w:p>
    <w:p w14:paraId="732410BE">
      <w:pPr>
        <w:pStyle w:val="2"/>
        <w:spacing w:before="115" w:line="263" w:lineRule="auto"/>
        <w:ind w:left="1457" w:right="1445" w:firstLine="483"/>
        <w:rPr>
          <w:sz w:val="24"/>
          <w:szCs w:val="24"/>
        </w:rPr>
      </w:pPr>
      <w:r>
        <w:rPr>
          <w:spacing w:val="3"/>
          <w:sz w:val="24"/>
          <w:szCs w:val="24"/>
        </w:rPr>
        <w:t>5)组织对分包商、劳务承包商、材料供应商、设备租赁商的资格预审、招标、签</w:t>
      </w:r>
      <w:r>
        <w:rPr>
          <w:spacing w:val="1"/>
          <w:sz w:val="24"/>
          <w:szCs w:val="24"/>
        </w:rPr>
        <w:t>订合同及验工计价。</w:t>
      </w:r>
    </w:p>
    <w:p w14:paraId="4AA25CF2">
      <w:pPr>
        <w:pStyle w:val="2"/>
        <w:spacing w:before="117" w:line="216" w:lineRule="auto"/>
        <w:ind w:left="1938"/>
        <w:rPr>
          <w:sz w:val="24"/>
          <w:szCs w:val="24"/>
        </w:rPr>
      </w:pPr>
      <w:r>
        <w:rPr>
          <w:spacing w:val="3"/>
          <w:sz w:val="24"/>
          <w:szCs w:val="24"/>
        </w:rPr>
        <w:t>6)负责重要合同的起草工作，组织项目内部的合同评审工作。</w:t>
      </w:r>
    </w:p>
    <w:p w14:paraId="0A4AECD1">
      <w:pPr>
        <w:pStyle w:val="2"/>
        <w:spacing w:before="118" w:line="216" w:lineRule="auto"/>
        <w:ind w:left="1941"/>
        <w:rPr>
          <w:sz w:val="24"/>
          <w:szCs w:val="24"/>
        </w:rPr>
      </w:pPr>
      <w:r>
        <w:rPr>
          <w:sz w:val="24"/>
          <w:szCs w:val="24"/>
        </w:rPr>
        <w:t>7)协调项目与政府管理部门、周边群众、团体之间的关系，确</w:t>
      </w:r>
      <w:r>
        <w:rPr>
          <w:spacing w:val="-1"/>
          <w:sz w:val="24"/>
          <w:szCs w:val="24"/>
        </w:rPr>
        <w:t>保项目的正常运作。</w:t>
      </w:r>
    </w:p>
    <w:p w14:paraId="5F439F60">
      <w:pPr>
        <w:pStyle w:val="2"/>
        <w:spacing w:before="120" w:line="278" w:lineRule="auto"/>
        <w:ind w:left="1455" w:right="1439" w:firstLine="481"/>
        <w:rPr>
          <w:sz w:val="24"/>
          <w:szCs w:val="24"/>
        </w:rPr>
      </w:pPr>
      <w:r>
        <w:rPr>
          <w:spacing w:val="3"/>
          <w:sz w:val="24"/>
          <w:szCs w:val="24"/>
        </w:rPr>
        <w:t>8)组织做好项目的成本预测、控制、分析和考核工作，适时提出成本运作纠偏措施，确保项目责任成本的完成。同时抓好项目的变更索赔及验工计价，努力提高项目</w:t>
      </w:r>
      <w:r>
        <w:rPr>
          <w:spacing w:val="-9"/>
          <w:sz w:val="24"/>
          <w:szCs w:val="24"/>
        </w:rPr>
        <w:t>效益。</w:t>
      </w:r>
    </w:p>
    <w:p w14:paraId="59BDEAA9">
      <w:pPr>
        <w:pStyle w:val="2"/>
        <w:spacing w:before="116" w:line="217" w:lineRule="auto"/>
        <w:ind w:left="1937"/>
        <w:rPr>
          <w:sz w:val="24"/>
          <w:szCs w:val="24"/>
        </w:rPr>
      </w:pPr>
      <w:r>
        <w:rPr>
          <w:b/>
          <w:bCs/>
          <w:spacing w:val="-1"/>
          <w:sz w:val="24"/>
          <w:szCs w:val="24"/>
        </w:rPr>
        <w:t>4项目总经济师岗位职责</w:t>
      </w:r>
    </w:p>
    <w:p w14:paraId="3DBCA8B9">
      <w:pPr>
        <w:pStyle w:val="2"/>
        <w:spacing w:before="119" w:line="307" w:lineRule="auto"/>
        <w:ind w:left="1457" w:right="1438" w:firstLine="488"/>
        <w:rPr>
          <w:sz w:val="24"/>
          <w:szCs w:val="24"/>
        </w:rPr>
      </w:pPr>
      <w:r>
        <w:rPr>
          <w:spacing w:val="3"/>
          <w:sz w:val="24"/>
          <w:szCs w:val="24"/>
        </w:rPr>
        <w:t>在项目经理的领导下，组织协调项目部成本体系各职能部门作好成本管理、成本</w:t>
      </w:r>
      <w:r>
        <w:rPr>
          <w:spacing w:val="1"/>
          <w:sz w:val="24"/>
          <w:szCs w:val="24"/>
        </w:rPr>
        <w:t>控制及成本核算工作。</w:t>
      </w:r>
    </w:p>
    <w:p w14:paraId="6B4216A8">
      <w:pPr>
        <w:pStyle w:val="2"/>
        <w:spacing w:before="1" w:line="216" w:lineRule="auto"/>
        <w:ind w:left="1950"/>
        <w:rPr>
          <w:sz w:val="24"/>
          <w:szCs w:val="24"/>
        </w:rPr>
      </w:pPr>
      <w:r>
        <w:rPr>
          <w:spacing w:val="3"/>
          <w:sz w:val="24"/>
          <w:szCs w:val="24"/>
        </w:rPr>
        <w:t>负责项目部与经济相关的工作及辅助项目经理完成项目部的日常管理</w:t>
      </w:r>
      <w:r>
        <w:rPr>
          <w:spacing w:val="2"/>
          <w:sz w:val="24"/>
          <w:szCs w:val="24"/>
        </w:rPr>
        <w:t>工作。</w:t>
      </w:r>
    </w:p>
    <w:p w14:paraId="35A2A403">
      <w:pPr>
        <w:pStyle w:val="2"/>
        <w:spacing w:before="120" w:line="217" w:lineRule="auto"/>
        <w:ind w:left="1950"/>
        <w:rPr>
          <w:sz w:val="24"/>
          <w:szCs w:val="24"/>
        </w:rPr>
      </w:pPr>
      <w:r>
        <w:rPr>
          <w:spacing w:val="3"/>
          <w:sz w:val="24"/>
          <w:szCs w:val="24"/>
        </w:rPr>
        <w:t>负责与业主、监理和其他有关单位就经济问题进行</w:t>
      </w:r>
      <w:r>
        <w:rPr>
          <w:spacing w:val="2"/>
          <w:sz w:val="24"/>
          <w:szCs w:val="24"/>
        </w:rPr>
        <w:t>协调和联络。</w:t>
      </w:r>
    </w:p>
    <w:p w14:paraId="699C7E2B">
      <w:pPr>
        <w:pStyle w:val="2"/>
        <w:spacing w:before="116" w:line="216" w:lineRule="auto"/>
        <w:ind w:left="1950"/>
        <w:rPr>
          <w:sz w:val="24"/>
          <w:szCs w:val="24"/>
        </w:rPr>
      </w:pPr>
      <w:r>
        <w:rPr>
          <w:spacing w:val="2"/>
          <w:sz w:val="24"/>
          <w:szCs w:val="24"/>
        </w:rPr>
        <w:t>负责组织工程承包价的核算与分析工作。</w:t>
      </w:r>
    </w:p>
    <w:p w14:paraId="469B4B9A">
      <w:pPr>
        <w:spacing w:line="216" w:lineRule="auto"/>
        <w:rPr>
          <w:sz w:val="24"/>
          <w:szCs w:val="24"/>
        </w:rPr>
        <w:sectPr>
          <w:footerReference r:id="rId28" w:type="default"/>
          <w:pgSz w:w="11907" w:h="16839"/>
          <w:pgMar w:top="954" w:right="4" w:bottom="1038" w:left="0" w:header="499" w:footer="357" w:gutter="0"/>
          <w:pgBorders>
            <w:top w:val="none" w:sz="0" w:space="0"/>
            <w:left w:val="none" w:sz="0" w:space="0"/>
            <w:bottom w:val="none" w:sz="0" w:space="0"/>
            <w:right w:val="none" w:sz="0" w:space="0"/>
          </w:pgBorders>
          <w:cols w:space="720" w:num="1"/>
        </w:sectPr>
      </w:pPr>
    </w:p>
    <w:p w14:paraId="52F45AAD">
      <w:pPr>
        <w:spacing w:line="251" w:lineRule="auto"/>
        <w:rPr>
          <w:rFonts w:ascii="Arial"/>
          <w:sz w:val="21"/>
        </w:rPr>
      </w:pPr>
    </w:p>
    <w:p w14:paraId="315843CC">
      <w:pPr>
        <w:pStyle w:val="2"/>
        <w:spacing w:before="78" w:line="217" w:lineRule="auto"/>
        <w:ind w:left="1950"/>
        <w:rPr>
          <w:sz w:val="24"/>
          <w:szCs w:val="24"/>
        </w:rPr>
      </w:pPr>
      <w:r>
        <w:rPr>
          <w:spacing w:val="3"/>
          <w:sz w:val="24"/>
          <w:szCs w:val="24"/>
        </w:rPr>
        <w:t>负责落实项目施工预算、成本控制目标、成本控制</w:t>
      </w:r>
      <w:r>
        <w:rPr>
          <w:spacing w:val="2"/>
          <w:sz w:val="24"/>
          <w:szCs w:val="24"/>
        </w:rPr>
        <w:t>计划的编制。</w:t>
      </w:r>
    </w:p>
    <w:p w14:paraId="11690C7A">
      <w:pPr>
        <w:pStyle w:val="2"/>
        <w:spacing w:before="118" w:line="218" w:lineRule="auto"/>
        <w:ind w:left="1950"/>
        <w:rPr>
          <w:sz w:val="24"/>
          <w:szCs w:val="24"/>
        </w:rPr>
      </w:pPr>
      <w:r>
        <w:rPr>
          <w:spacing w:val="3"/>
          <w:sz w:val="24"/>
          <w:szCs w:val="24"/>
        </w:rPr>
        <w:t>负责工程索赔的组织与实施，对工程变更、洽商及索赔文件的审核。</w:t>
      </w:r>
    </w:p>
    <w:p w14:paraId="4DB79390">
      <w:pPr>
        <w:pStyle w:val="2"/>
        <w:spacing w:before="114" w:line="216" w:lineRule="auto"/>
        <w:ind w:left="1950"/>
        <w:rPr>
          <w:sz w:val="24"/>
          <w:szCs w:val="24"/>
        </w:rPr>
      </w:pPr>
      <w:r>
        <w:rPr>
          <w:spacing w:val="2"/>
          <w:sz w:val="24"/>
          <w:szCs w:val="24"/>
        </w:rPr>
        <w:t>负责工程结算编制的组织工作及结算的审核、谈判工作。</w:t>
      </w:r>
    </w:p>
    <w:p w14:paraId="7563508B">
      <w:pPr>
        <w:pStyle w:val="2"/>
        <w:spacing w:before="120" w:line="217" w:lineRule="auto"/>
        <w:ind w:left="1950"/>
        <w:rPr>
          <w:sz w:val="24"/>
          <w:szCs w:val="24"/>
        </w:rPr>
      </w:pPr>
      <w:r>
        <w:rPr>
          <w:spacing w:val="2"/>
          <w:sz w:val="24"/>
          <w:szCs w:val="24"/>
        </w:rPr>
        <w:t>负责成本核算、成本分析报告的编制、实施。</w:t>
      </w:r>
    </w:p>
    <w:p w14:paraId="463214AD">
      <w:pPr>
        <w:pStyle w:val="2"/>
        <w:spacing w:before="118" w:line="218" w:lineRule="auto"/>
        <w:ind w:left="1974"/>
        <w:rPr>
          <w:sz w:val="24"/>
          <w:szCs w:val="24"/>
        </w:rPr>
      </w:pPr>
      <w:r>
        <w:rPr>
          <w:spacing w:val="1"/>
          <w:sz w:val="24"/>
          <w:szCs w:val="24"/>
        </w:rPr>
        <w:t>中间计量报表审核，对于计量批复情况的追踪落实。</w:t>
      </w:r>
    </w:p>
    <w:p w14:paraId="4425005B">
      <w:pPr>
        <w:pStyle w:val="2"/>
        <w:spacing w:before="115" w:line="216" w:lineRule="auto"/>
        <w:ind w:left="1950"/>
        <w:rPr>
          <w:sz w:val="24"/>
          <w:szCs w:val="24"/>
        </w:rPr>
      </w:pPr>
      <w:r>
        <w:rPr>
          <w:spacing w:val="2"/>
          <w:sz w:val="24"/>
          <w:szCs w:val="24"/>
        </w:rPr>
        <w:t>负责组织该项目部的各种经济资料，上报部门组卷。</w:t>
      </w:r>
    </w:p>
    <w:p w14:paraId="4B91C8E0">
      <w:pPr>
        <w:pStyle w:val="2"/>
        <w:spacing w:before="120" w:line="217" w:lineRule="auto"/>
        <w:ind w:left="1950"/>
        <w:rPr>
          <w:sz w:val="24"/>
          <w:szCs w:val="24"/>
        </w:rPr>
      </w:pPr>
      <w:r>
        <w:rPr>
          <w:spacing w:val="1"/>
          <w:sz w:val="24"/>
          <w:szCs w:val="24"/>
        </w:rPr>
        <w:t>负责定期编写商务部经济案例。</w:t>
      </w:r>
    </w:p>
    <w:p w14:paraId="35B1289D">
      <w:pPr>
        <w:pStyle w:val="2"/>
        <w:spacing w:before="118" w:line="217" w:lineRule="auto"/>
        <w:ind w:left="1950"/>
        <w:rPr>
          <w:sz w:val="24"/>
          <w:szCs w:val="24"/>
        </w:rPr>
      </w:pPr>
      <w:r>
        <w:rPr>
          <w:spacing w:val="2"/>
          <w:sz w:val="24"/>
          <w:szCs w:val="24"/>
        </w:rPr>
        <w:t>负责组织项目部人员对合同与经济业务的培训。</w:t>
      </w:r>
    </w:p>
    <w:p w14:paraId="40B986D1">
      <w:pPr>
        <w:pStyle w:val="2"/>
        <w:spacing w:before="117" w:line="217" w:lineRule="auto"/>
        <w:ind w:left="1944"/>
        <w:rPr>
          <w:sz w:val="24"/>
          <w:szCs w:val="24"/>
        </w:rPr>
      </w:pPr>
      <w:r>
        <w:rPr>
          <w:spacing w:val="3"/>
          <w:sz w:val="24"/>
          <w:szCs w:val="24"/>
        </w:rPr>
        <w:t>项目部资金及支付的管理，对项目各项目费用支出进行签</w:t>
      </w:r>
      <w:r>
        <w:rPr>
          <w:spacing w:val="2"/>
          <w:sz w:val="24"/>
          <w:szCs w:val="24"/>
        </w:rPr>
        <w:t>认。</w:t>
      </w:r>
    </w:p>
    <w:p w14:paraId="1126527E">
      <w:pPr>
        <w:pStyle w:val="2"/>
        <w:spacing w:before="119" w:line="216" w:lineRule="auto"/>
        <w:ind w:left="1950"/>
        <w:rPr>
          <w:sz w:val="24"/>
          <w:szCs w:val="24"/>
        </w:rPr>
      </w:pPr>
      <w:r>
        <w:rPr>
          <w:spacing w:val="1"/>
          <w:sz w:val="24"/>
          <w:szCs w:val="24"/>
        </w:rPr>
        <w:t>负责项目商务部的管理工作。</w:t>
      </w:r>
    </w:p>
    <w:p w14:paraId="33108EC7">
      <w:pPr>
        <w:pStyle w:val="2"/>
        <w:spacing w:before="120" w:line="217" w:lineRule="auto"/>
        <w:ind w:left="1944"/>
        <w:rPr>
          <w:sz w:val="24"/>
          <w:szCs w:val="24"/>
        </w:rPr>
      </w:pPr>
      <w:r>
        <w:rPr>
          <w:spacing w:val="1"/>
          <w:sz w:val="24"/>
          <w:szCs w:val="24"/>
        </w:rPr>
        <w:t>项目外报经济文件的审核。</w:t>
      </w:r>
    </w:p>
    <w:p w14:paraId="6357D97B">
      <w:pPr>
        <w:pStyle w:val="2"/>
        <w:spacing w:before="117" w:line="217" w:lineRule="auto"/>
        <w:ind w:left="1943"/>
        <w:rPr>
          <w:sz w:val="24"/>
          <w:szCs w:val="24"/>
        </w:rPr>
      </w:pPr>
      <w:r>
        <w:rPr>
          <w:b/>
          <w:bCs/>
          <w:spacing w:val="-3"/>
          <w:sz w:val="24"/>
          <w:szCs w:val="24"/>
        </w:rPr>
        <w:t>5工长岗位岗位职责</w:t>
      </w:r>
    </w:p>
    <w:p w14:paraId="36DB31B7">
      <w:pPr>
        <w:pStyle w:val="2"/>
        <w:spacing w:before="118" w:line="218" w:lineRule="auto"/>
        <w:ind w:left="1892"/>
        <w:rPr>
          <w:sz w:val="24"/>
          <w:szCs w:val="24"/>
        </w:rPr>
      </w:pPr>
      <w:r>
        <w:rPr>
          <w:spacing w:val="-21"/>
          <w:sz w:val="24"/>
          <w:szCs w:val="24"/>
        </w:rPr>
        <w:t>施工工长是施工/安装生产过程的组织者，对工程质量、环境及安全负直接责任。</w:t>
      </w:r>
    </w:p>
    <w:p w14:paraId="7C9B9CB3">
      <w:pPr>
        <w:pStyle w:val="2"/>
        <w:spacing w:before="117" w:line="307" w:lineRule="auto"/>
        <w:ind w:left="1459" w:right="1409" w:firstLine="440"/>
        <w:rPr>
          <w:sz w:val="24"/>
          <w:szCs w:val="24"/>
        </w:rPr>
      </w:pPr>
      <w:r>
        <w:rPr>
          <w:spacing w:val="-20"/>
          <w:sz w:val="24"/>
          <w:szCs w:val="24"/>
        </w:rPr>
        <w:t>负责执行有效版本技术规范、操作规程和各项技术文件，按照施工作业计划要求向班组下</w:t>
      </w:r>
      <w:r>
        <w:rPr>
          <w:spacing w:val="-21"/>
          <w:sz w:val="24"/>
          <w:szCs w:val="24"/>
        </w:rPr>
        <w:t>达施工任务书，签发材料限额，进行技术交底。</w:t>
      </w:r>
    </w:p>
    <w:p w14:paraId="0D0A7D4F">
      <w:pPr>
        <w:pStyle w:val="2"/>
        <w:spacing w:before="3" w:line="307" w:lineRule="auto"/>
        <w:ind w:left="1462" w:right="1411" w:firstLine="434"/>
        <w:rPr>
          <w:sz w:val="24"/>
          <w:szCs w:val="24"/>
        </w:rPr>
      </w:pPr>
      <w:r>
        <w:rPr>
          <w:spacing w:val="-20"/>
          <w:sz w:val="24"/>
          <w:szCs w:val="24"/>
        </w:rPr>
        <w:t>配合工程定位放线，负责施工过程中的抄平、放线。组织各工种之间的工序搭接，搞好施</w:t>
      </w:r>
      <w:r>
        <w:rPr>
          <w:spacing w:val="-21"/>
          <w:sz w:val="24"/>
          <w:szCs w:val="24"/>
        </w:rPr>
        <w:t>工现场的平面管理，达到文明施工。</w:t>
      </w:r>
    </w:p>
    <w:p w14:paraId="5D5F8F79">
      <w:pPr>
        <w:pStyle w:val="2"/>
        <w:spacing w:before="1" w:line="308" w:lineRule="auto"/>
        <w:ind w:left="1460" w:right="1411" w:firstLine="433"/>
        <w:rPr>
          <w:sz w:val="24"/>
          <w:szCs w:val="24"/>
        </w:rPr>
      </w:pPr>
      <w:r>
        <w:rPr>
          <w:spacing w:val="-20"/>
          <w:sz w:val="24"/>
          <w:szCs w:val="24"/>
        </w:rPr>
        <w:t>组织隐检、预检、填写预检单，组织分项工程的质量评定，参与分部工程、单位工程的质</w:t>
      </w:r>
      <w:r>
        <w:rPr>
          <w:spacing w:val="-16"/>
          <w:sz w:val="24"/>
          <w:szCs w:val="24"/>
        </w:rPr>
        <w:t>量评定。</w:t>
      </w:r>
    </w:p>
    <w:p w14:paraId="4157F8BD">
      <w:pPr>
        <w:pStyle w:val="2"/>
        <w:spacing w:before="1" w:line="215" w:lineRule="auto"/>
        <w:ind w:left="1899"/>
        <w:rPr>
          <w:sz w:val="24"/>
          <w:szCs w:val="24"/>
        </w:rPr>
      </w:pPr>
      <w:r>
        <w:rPr>
          <w:spacing w:val="-22"/>
          <w:sz w:val="24"/>
          <w:szCs w:val="24"/>
        </w:rPr>
        <w:t>负责组织各生产班组的质量自检，互检和工序之间的交接检查，记录齐全。</w:t>
      </w:r>
    </w:p>
    <w:p w14:paraId="320228E4">
      <w:pPr>
        <w:pStyle w:val="2"/>
        <w:spacing w:before="118" w:line="216" w:lineRule="auto"/>
        <w:ind w:left="1896"/>
        <w:rPr>
          <w:sz w:val="24"/>
          <w:szCs w:val="24"/>
        </w:rPr>
      </w:pPr>
      <w:r>
        <w:rPr>
          <w:spacing w:val="-21"/>
          <w:sz w:val="24"/>
          <w:szCs w:val="24"/>
        </w:rPr>
        <w:t>参加项目质量、安全检查，对查出的问题，按技术</w:t>
      </w:r>
      <w:r>
        <w:rPr>
          <w:spacing w:val="-22"/>
          <w:sz w:val="24"/>
          <w:szCs w:val="24"/>
        </w:rPr>
        <w:t>负责人签发的措施进行监督实施。</w:t>
      </w:r>
    </w:p>
    <w:p w14:paraId="43A15535">
      <w:pPr>
        <w:pStyle w:val="2"/>
        <w:spacing w:before="120" w:line="216" w:lineRule="auto"/>
        <w:ind w:left="1899"/>
        <w:rPr>
          <w:sz w:val="24"/>
          <w:szCs w:val="24"/>
        </w:rPr>
      </w:pPr>
      <w:r>
        <w:rPr>
          <w:spacing w:val="-21"/>
          <w:sz w:val="24"/>
          <w:szCs w:val="24"/>
        </w:rPr>
        <w:t>负责施工关键过程，特殊过程作业人员的操作</w:t>
      </w:r>
      <w:r>
        <w:rPr>
          <w:spacing w:val="-22"/>
          <w:sz w:val="24"/>
          <w:szCs w:val="24"/>
        </w:rPr>
        <w:t>方法控制和专业指导。</w:t>
      </w:r>
    </w:p>
    <w:p w14:paraId="3AAEE430">
      <w:pPr>
        <w:pStyle w:val="2"/>
        <w:spacing w:before="120" w:line="217" w:lineRule="auto"/>
        <w:ind w:left="1940"/>
        <w:rPr>
          <w:sz w:val="24"/>
          <w:szCs w:val="24"/>
        </w:rPr>
      </w:pPr>
      <w:r>
        <w:rPr>
          <w:b/>
          <w:bCs/>
          <w:spacing w:val="-3"/>
          <w:sz w:val="24"/>
          <w:szCs w:val="24"/>
        </w:rPr>
        <w:t>6技术员岗位职责</w:t>
      </w:r>
    </w:p>
    <w:p w14:paraId="17EB2FC1">
      <w:pPr>
        <w:pStyle w:val="2"/>
        <w:spacing w:before="115" w:line="265" w:lineRule="auto"/>
        <w:ind w:left="1463" w:right="1445" w:firstLine="489"/>
        <w:rPr>
          <w:sz w:val="24"/>
          <w:szCs w:val="24"/>
        </w:rPr>
      </w:pPr>
      <w:r>
        <w:rPr>
          <w:spacing w:val="3"/>
          <w:sz w:val="24"/>
          <w:szCs w:val="24"/>
        </w:rPr>
        <w:t>1)负责本项目的技术、质量管理工作，执行国家、地方的相关规</w:t>
      </w:r>
      <w:r>
        <w:rPr>
          <w:spacing w:val="2"/>
          <w:sz w:val="24"/>
          <w:szCs w:val="24"/>
        </w:rPr>
        <w:t>范、规程及有关</w:t>
      </w:r>
      <w:r>
        <w:rPr>
          <w:spacing w:val="-11"/>
          <w:sz w:val="24"/>
          <w:szCs w:val="24"/>
        </w:rPr>
        <w:t>法规。</w:t>
      </w:r>
    </w:p>
    <w:p w14:paraId="2545914D">
      <w:pPr>
        <w:pStyle w:val="2"/>
        <w:spacing w:before="114" w:line="262" w:lineRule="auto"/>
        <w:ind w:left="1461" w:right="1445" w:firstLine="477"/>
        <w:rPr>
          <w:sz w:val="24"/>
          <w:szCs w:val="24"/>
        </w:rPr>
      </w:pPr>
      <w:r>
        <w:rPr>
          <w:spacing w:val="3"/>
          <w:sz w:val="24"/>
          <w:szCs w:val="24"/>
        </w:rPr>
        <w:t>2)根据质量管理体系的文件和质量管理制度，在技术负责人的领导下，编制、落</w:t>
      </w:r>
      <w:r>
        <w:rPr>
          <w:spacing w:val="2"/>
          <w:sz w:val="24"/>
          <w:szCs w:val="24"/>
        </w:rPr>
        <w:t>实本项目质量计划，完成质量目标。</w:t>
      </w:r>
    </w:p>
    <w:p w14:paraId="1E65FF1D">
      <w:pPr>
        <w:pStyle w:val="2"/>
        <w:spacing w:before="118" w:line="277" w:lineRule="auto"/>
        <w:ind w:left="1458" w:right="1445" w:firstLine="482"/>
        <w:rPr>
          <w:sz w:val="24"/>
          <w:szCs w:val="24"/>
        </w:rPr>
      </w:pPr>
      <w:r>
        <w:rPr>
          <w:spacing w:val="3"/>
          <w:sz w:val="24"/>
          <w:szCs w:val="24"/>
        </w:rPr>
        <w:t>3)负责根据合同要求，进行施工组织设计和重大技术方案及测量方案的编制，负责对各项施工方案的进行审核，并呈报总工审批；组织施工方案及技术交底工作；参</w:t>
      </w:r>
      <w:r>
        <w:rPr>
          <w:spacing w:val="2"/>
          <w:sz w:val="24"/>
          <w:szCs w:val="24"/>
        </w:rPr>
        <w:t>与分包商选择，负责分包商技术方案的审核工作。</w:t>
      </w:r>
    </w:p>
    <w:p w14:paraId="54DF9A1E">
      <w:pPr>
        <w:pStyle w:val="2"/>
        <w:spacing w:before="120" w:line="263" w:lineRule="auto"/>
        <w:ind w:left="1457" w:right="1445" w:firstLine="477"/>
        <w:rPr>
          <w:sz w:val="24"/>
          <w:szCs w:val="24"/>
        </w:rPr>
      </w:pPr>
      <w:r>
        <w:rPr>
          <w:spacing w:val="3"/>
          <w:sz w:val="24"/>
          <w:szCs w:val="24"/>
        </w:rPr>
        <w:t>4)负责在图纸、技术等方面与业主、设计、监理进行协调，及时解决施工中的技</w:t>
      </w:r>
      <w:r>
        <w:rPr>
          <w:spacing w:val="-7"/>
          <w:sz w:val="24"/>
          <w:szCs w:val="24"/>
        </w:rPr>
        <w:t>术问题。</w:t>
      </w:r>
    </w:p>
    <w:p w14:paraId="1ED784F9">
      <w:pPr>
        <w:pStyle w:val="2"/>
        <w:spacing w:before="115" w:line="216" w:lineRule="auto"/>
        <w:ind w:left="1940"/>
        <w:rPr>
          <w:sz w:val="24"/>
          <w:szCs w:val="24"/>
        </w:rPr>
      </w:pPr>
      <w:r>
        <w:rPr>
          <w:spacing w:val="3"/>
          <w:sz w:val="24"/>
          <w:szCs w:val="24"/>
        </w:rPr>
        <w:t>5)负责分部、分项工程质量评定，按规定组织过程验收，参加最终检验。</w:t>
      </w:r>
    </w:p>
    <w:p w14:paraId="6D49FD34">
      <w:pPr>
        <w:pStyle w:val="2"/>
        <w:spacing w:before="120" w:line="216" w:lineRule="auto"/>
        <w:ind w:left="1938"/>
        <w:rPr>
          <w:sz w:val="24"/>
          <w:szCs w:val="24"/>
        </w:rPr>
      </w:pPr>
      <w:r>
        <w:rPr>
          <w:spacing w:val="2"/>
          <w:sz w:val="24"/>
          <w:szCs w:val="24"/>
        </w:rPr>
        <w:t>6)完成项目经理布置的其他任务。</w:t>
      </w:r>
    </w:p>
    <w:p w14:paraId="02BD53D3">
      <w:pPr>
        <w:pStyle w:val="2"/>
        <w:spacing w:before="120" w:line="216" w:lineRule="auto"/>
        <w:ind w:left="1944"/>
        <w:rPr>
          <w:sz w:val="24"/>
          <w:szCs w:val="24"/>
        </w:rPr>
      </w:pPr>
      <w:r>
        <w:rPr>
          <w:b/>
          <w:bCs/>
          <w:spacing w:val="-2"/>
          <w:sz w:val="24"/>
          <w:szCs w:val="24"/>
        </w:rPr>
        <w:t>7质量（检）员岗位职责</w:t>
      </w:r>
    </w:p>
    <w:p w14:paraId="641E91B7">
      <w:pPr>
        <w:pStyle w:val="2"/>
        <w:spacing w:before="118" w:line="215" w:lineRule="auto"/>
        <w:ind w:left="1953"/>
        <w:rPr>
          <w:sz w:val="24"/>
          <w:szCs w:val="24"/>
        </w:rPr>
      </w:pPr>
      <w:r>
        <w:rPr>
          <w:spacing w:val="2"/>
          <w:sz w:val="24"/>
          <w:szCs w:val="24"/>
        </w:rPr>
        <w:t>1)在项目经理领导下，负责整个施工过程的质量和计量工作。</w:t>
      </w:r>
    </w:p>
    <w:p w14:paraId="5BBE1F0A">
      <w:pPr>
        <w:spacing w:line="215" w:lineRule="auto"/>
        <w:rPr>
          <w:sz w:val="24"/>
          <w:szCs w:val="24"/>
        </w:rPr>
        <w:sectPr>
          <w:footerReference r:id="rId29" w:type="default"/>
          <w:pgSz w:w="11907" w:h="16839"/>
          <w:pgMar w:top="954" w:right="4" w:bottom="1038" w:left="0" w:header="499" w:footer="357" w:gutter="0"/>
          <w:pgBorders>
            <w:top w:val="none" w:sz="0" w:space="0"/>
            <w:left w:val="none" w:sz="0" w:space="0"/>
            <w:bottom w:val="none" w:sz="0" w:space="0"/>
            <w:right w:val="none" w:sz="0" w:space="0"/>
          </w:pgBorders>
          <w:cols w:space="720" w:num="1"/>
        </w:sectPr>
      </w:pPr>
    </w:p>
    <w:p w14:paraId="19A6DEA8">
      <w:pPr>
        <w:spacing w:line="251" w:lineRule="auto"/>
        <w:rPr>
          <w:rFonts w:ascii="Arial"/>
          <w:sz w:val="21"/>
        </w:rPr>
      </w:pPr>
    </w:p>
    <w:p w14:paraId="23449200">
      <w:pPr>
        <w:pStyle w:val="2"/>
        <w:spacing w:before="78" w:line="263" w:lineRule="auto"/>
        <w:ind w:left="1461" w:right="1445" w:firstLine="477"/>
        <w:rPr>
          <w:sz w:val="24"/>
          <w:szCs w:val="24"/>
        </w:rPr>
      </w:pPr>
      <w:r>
        <w:rPr>
          <w:spacing w:val="3"/>
          <w:sz w:val="24"/>
          <w:szCs w:val="24"/>
        </w:rPr>
        <w:t>2)熟悉工程图纸、规程、规范，监督施新林员按图施工，有权纠正错误施工，必</w:t>
      </w:r>
      <w:r>
        <w:rPr>
          <w:spacing w:val="-1"/>
          <w:sz w:val="24"/>
          <w:szCs w:val="24"/>
        </w:rPr>
        <w:t>要时可令其停工，同时向项目经理汇报。</w:t>
      </w:r>
    </w:p>
    <w:p w14:paraId="1529F7F1">
      <w:pPr>
        <w:pStyle w:val="2"/>
        <w:spacing w:before="113" w:line="264" w:lineRule="auto"/>
        <w:ind w:left="1455" w:right="1445" w:firstLine="485"/>
        <w:rPr>
          <w:sz w:val="24"/>
          <w:szCs w:val="24"/>
        </w:rPr>
      </w:pPr>
      <w:r>
        <w:rPr>
          <w:spacing w:val="3"/>
          <w:sz w:val="24"/>
          <w:szCs w:val="24"/>
        </w:rPr>
        <w:t>3)检查、监督施工班组自检、互检、交接检情况，负责工程质量验收工作，并对</w:t>
      </w:r>
      <w:r>
        <w:rPr>
          <w:spacing w:val="1"/>
          <w:sz w:val="24"/>
          <w:szCs w:val="24"/>
        </w:rPr>
        <w:t>验收工程质量负责。</w:t>
      </w:r>
    </w:p>
    <w:p w14:paraId="0564980C">
      <w:pPr>
        <w:pStyle w:val="2"/>
        <w:spacing w:before="116" w:line="216" w:lineRule="auto"/>
        <w:ind w:left="1935"/>
        <w:rPr>
          <w:sz w:val="24"/>
          <w:szCs w:val="24"/>
        </w:rPr>
      </w:pPr>
      <w:r>
        <w:rPr>
          <w:spacing w:val="3"/>
          <w:sz w:val="24"/>
          <w:szCs w:val="24"/>
        </w:rPr>
        <w:t>4)检查工程隐蔽部分质量、并监督、会同有关人员做好签证。</w:t>
      </w:r>
    </w:p>
    <w:p w14:paraId="188006B2">
      <w:pPr>
        <w:pStyle w:val="2"/>
        <w:spacing w:before="117" w:line="216" w:lineRule="auto"/>
        <w:ind w:left="1940"/>
        <w:rPr>
          <w:sz w:val="24"/>
          <w:szCs w:val="24"/>
        </w:rPr>
      </w:pPr>
      <w:r>
        <w:rPr>
          <w:spacing w:val="3"/>
          <w:sz w:val="24"/>
          <w:szCs w:val="24"/>
        </w:rPr>
        <w:t>5)严格监督进场原料、半成品的质量，发现不合格材料坚决清退出场。</w:t>
      </w:r>
    </w:p>
    <w:p w14:paraId="0B3AF02B">
      <w:pPr>
        <w:pStyle w:val="2"/>
        <w:spacing w:before="119" w:line="264" w:lineRule="auto"/>
        <w:ind w:left="1458" w:right="1438" w:firstLine="479"/>
        <w:rPr>
          <w:sz w:val="24"/>
          <w:szCs w:val="24"/>
        </w:rPr>
      </w:pPr>
      <w:r>
        <w:rPr>
          <w:spacing w:val="3"/>
          <w:sz w:val="24"/>
          <w:szCs w:val="24"/>
        </w:rPr>
        <w:t>6)参与并协助领导组织各级质量检查，参与质量事故调查和分析会议，积极推广</w:t>
      </w:r>
      <w:r>
        <w:rPr>
          <w:spacing w:val="1"/>
          <w:sz w:val="24"/>
          <w:szCs w:val="24"/>
        </w:rPr>
        <w:t>提高质量的经验和措施。</w:t>
      </w:r>
    </w:p>
    <w:p w14:paraId="357B908D">
      <w:pPr>
        <w:pStyle w:val="2"/>
        <w:spacing w:before="112" w:line="264" w:lineRule="auto"/>
        <w:ind w:left="1456" w:right="1447" w:firstLine="485"/>
        <w:rPr>
          <w:sz w:val="24"/>
          <w:szCs w:val="24"/>
        </w:rPr>
      </w:pPr>
      <w:r>
        <w:rPr>
          <w:spacing w:val="3"/>
          <w:sz w:val="24"/>
          <w:szCs w:val="24"/>
        </w:rPr>
        <w:t>7)在工程施工中，对分部分项工程存在的质量问题，可行使质量否权，实行监督</w:t>
      </w:r>
      <w:r>
        <w:rPr>
          <w:spacing w:val="-9"/>
          <w:sz w:val="24"/>
          <w:szCs w:val="24"/>
        </w:rPr>
        <w:t>整改。</w:t>
      </w:r>
    </w:p>
    <w:p w14:paraId="637FCC8F">
      <w:pPr>
        <w:pStyle w:val="2"/>
        <w:spacing w:before="117" w:line="216" w:lineRule="auto"/>
        <w:ind w:left="1937"/>
        <w:rPr>
          <w:sz w:val="24"/>
          <w:szCs w:val="24"/>
        </w:rPr>
      </w:pPr>
      <w:r>
        <w:rPr>
          <w:spacing w:val="2"/>
          <w:sz w:val="24"/>
          <w:szCs w:val="24"/>
        </w:rPr>
        <w:t>8)完成项目经理布置的其他任务。</w:t>
      </w:r>
    </w:p>
    <w:p w14:paraId="0CC1B0E0">
      <w:pPr>
        <w:pStyle w:val="2"/>
        <w:spacing w:before="118" w:line="217" w:lineRule="auto"/>
        <w:ind w:left="1939"/>
        <w:rPr>
          <w:sz w:val="24"/>
          <w:szCs w:val="24"/>
        </w:rPr>
      </w:pPr>
      <w:r>
        <w:rPr>
          <w:b/>
          <w:bCs/>
          <w:spacing w:val="-2"/>
          <w:sz w:val="24"/>
          <w:szCs w:val="24"/>
        </w:rPr>
        <w:t>8试验员岗位职责</w:t>
      </w:r>
    </w:p>
    <w:p w14:paraId="5532BD09">
      <w:pPr>
        <w:pStyle w:val="2"/>
        <w:spacing w:before="120" w:line="307" w:lineRule="auto"/>
        <w:ind w:left="1459" w:right="1445" w:firstLine="491"/>
        <w:rPr>
          <w:sz w:val="24"/>
          <w:szCs w:val="24"/>
        </w:rPr>
      </w:pPr>
      <w:r>
        <w:rPr>
          <w:spacing w:val="3"/>
          <w:sz w:val="24"/>
          <w:szCs w:val="24"/>
        </w:rPr>
        <w:t>负责所从事专业的试验、检测工作，并对其工作质量负责，做到行为公正、检测</w:t>
      </w:r>
      <w:r>
        <w:rPr>
          <w:spacing w:val="1"/>
          <w:sz w:val="24"/>
          <w:szCs w:val="24"/>
        </w:rPr>
        <w:t>准确、数据真实、结论有效。</w:t>
      </w:r>
    </w:p>
    <w:p w14:paraId="1D9CB0EF">
      <w:pPr>
        <w:pStyle w:val="2"/>
        <w:spacing w:line="308" w:lineRule="auto"/>
        <w:ind w:left="1461" w:right="1445" w:firstLine="486"/>
        <w:rPr>
          <w:sz w:val="24"/>
          <w:szCs w:val="24"/>
        </w:rPr>
      </w:pPr>
      <w:r>
        <w:rPr>
          <w:spacing w:val="3"/>
          <w:sz w:val="24"/>
          <w:szCs w:val="24"/>
        </w:rPr>
        <w:t>必须严格执行有关标准、规范和操作规程，确保设施设备质量能够达到好满足规</w:t>
      </w:r>
      <w:r>
        <w:rPr>
          <w:spacing w:val="-8"/>
          <w:sz w:val="24"/>
          <w:szCs w:val="24"/>
        </w:rPr>
        <w:t>定要求。</w:t>
      </w:r>
    </w:p>
    <w:p w14:paraId="6DB75A72">
      <w:pPr>
        <w:pStyle w:val="2"/>
        <w:spacing w:before="2" w:line="306" w:lineRule="auto"/>
        <w:ind w:left="1455" w:right="1439" w:firstLine="491"/>
        <w:rPr>
          <w:sz w:val="24"/>
          <w:szCs w:val="24"/>
        </w:rPr>
      </w:pPr>
      <w:r>
        <w:rPr>
          <w:spacing w:val="3"/>
          <w:sz w:val="24"/>
          <w:szCs w:val="24"/>
        </w:rPr>
        <w:t>必须严格执行有关试验、检测规范，负责对试验、检测过程进行控制，准确进行</w:t>
      </w:r>
      <w:r>
        <w:rPr>
          <w:spacing w:val="2"/>
          <w:sz w:val="24"/>
          <w:szCs w:val="24"/>
        </w:rPr>
        <w:t>数据数据分析处理，正确填写试验、检测报告。</w:t>
      </w:r>
    </w:p>
    <w:p w14:paraId="0374E92D">
      <w:pPr>
        <w:pStyle w:val="2"/>
        <w:spacing w:before="1" w:line="308" w:lineRule="auto"/>
        <w:ind w:left="1455" w:right="1439" w:firstLine="491"/>
        <w:jc w:val="both"/>
        <w:rPr>
          <w:sz w:val="24"/>
          <w:szCs w:val="24"/>
        </w:rPr>
      </w:pPr>
      <w:r>
        <w:rPr>
          <w:spacing w:val="3"/>
          <w:sz w:val="24"/>
          <w:szCs w:val="24"/>
        </w:rPr>
        <w:t>必须严格执行有关标准、规范和操作规程，正确使用和维护用于试验、检测的仪器设备，确保工作质量能够达到和满足规定要求，确保相关仪器设备的技术性能和工</w:t>
      </w:r>
      <w:r>
        <w:rPr>
          <w:spacing w:val="2"/>
          <w:sz w:val="24"/>
          <w:szCs w:val="24"/>
        </w:rPr>
        <w:t>作环境能够达到满足规定要求。</w:t>
      </w:r>
    </w:p>
    <w:p w14:paraId="5CFC7458">
      <w:pPr>
        <w:pStyle w:val="2"/>
        <w:spacing w:before="1" w:line="215" w:lineRule="auto"/>
        <w:ind w:left="1945"/>
        <w:rPr>
          <w:sz w:val="24"/>
          <w:szCs w:val="24"/>
        </w:rPr>
      </w:pPr>
      <w:r>
        <w:rPr>
          <w:spacing w:val="3"/>
          <w:sz w:val="24"/>
          <w:szCs w:val="24"/>
        </w:rPr>
        <w:t>在试验过程中确保用电安全，做好自身防护工作，并确保设备用电安全。</w:t>
      </w:r>
    </w:p>
    <w:p w14:paraId="55DB6051">
      <w:pPr>
        <w:pStyle w:val="2"/>
        <w:spacing w:before="121" w:line="217" w:lineRule="auto"/>
        <w:ind w:left="1941"/>
        <w:rPr>
          <w:sz w:val="24"/>
          <w:szCs w:val="24"/>
        </w:rPr>
      </w:pPr>
      <w:r>
        <w:rPr>
          <w:spacing w:val="2"/>
          <w:sz w:val="24"/>
          <w:szCs w:val="24"/>
        </w:rPr>
        <w:t>遵守试验各项规章制度。</w:t>
      </w:r>
    </w:p>
    <w:p w14:paraId="6AD1A16C">
      <w:pPr>
        <w:pStyle w:val="2"/>
        <w:spacing w:before="116" w:line="216" w:lineRule="auto"/>
        <w:ind w:left="1939"/>
        <w:rPr>
          <w:sz w:val="24"/>
          <w:szCs w:val="24"/>
        </w:rPr>
      </w:pPr>
      <w:r>
        <w:rPr>
          <w:b/>
          <w:bCs/>
          <w:spacing w:val="-2"/>
          <w:sz w:val="24"/>
          <w:szCs w:val="24"/>
        </w:rPr>
        <w:t>9材料员岗位职责</w:t>
      </w:r>
    </w:p>
    <w:p w14:paraId="6876CA63">
      <w:pPr>
        <w:pStyle w:val="2"/>
        <w:spacing w:before="120" w:line="262" w:lineRule="auto"/>
        <w:ind w:left="1456" w:right="1447" w:firstLine="497"/>
        <w:rPr>
          <w:sz w:val="24"/>
          <w:szCs w:val="24"/>
        </w:rPr>
      </w:pPr>
      <w:r>
        <w:rPr>
          <w:spacing w:val="3"/>
          <w:sz w:val="24"/>
          <w:szCs w:val="24"/>
        </w:rPr>
        <w:t>1)材料员在项目经理领导下，对采购的材料质量负直接责任</w:t>
      </w:r>
      <w:r>
        <w:rPr>
          <w:spacing w:val="2"/>
          <w:sz w:val="24"/>
          <w:szCs w:val="24"/>
        </w:rPr>
        <w:t>，材料员有权拒绝采</w:t>
      </w:r>
      <w:r>
        <w:rPr>
          <w:spacing w:val="3"/>
          <w:sz w:val="24"/>
          <w:szCs w:val="24"/>
        </w:rPr>
        <w:t>购不合格的建筑材料，对违规指挥有越级上诉的</w:t>
      </w:r>
      <w:r>
        <w:rPr>
          <w:spacing w:val="2"/>
          <w:sz w:val="24"/>
          <w:szCs w:val="24"/>
        </w:rPr>
        <w:t>权利。</w:t>
      </w:r>
    </w:p>
    <w:p w14:paraId="7D46DE66">
      <w:pPr>
        <w:pStyle w:val="2"/>
        <w:spacing w:before="119" w:line="262" w:lineRule="auto"/>
        <w:ind w:left="1467" w:right="1415" w:firstLine="471"/>
        <w:rPr>
          <w:sz w:val="24"/>
          <w:szCs w:val="24"/>
        </w:rPr>
      </w:pPr>
      <w:r>
        <w:rPr>
          <w:spacing w:val="-20"/>
          <w:sz w:val="24"/>
          <w:szCs w:val="24"/>
        </w:rPr>
        <w:t>2)材料员采购的建筑材料的质量必须依据国家及行业标准</w:t>
      </w:r>
      <w:r>
        <w:rPr>
          <w:spacing w:val="-21"/>
          <w:sz w:val="24"/>
          <w:szCs w:val="24"/>
        </w:rPr>
        <w:t>，依据图纸、设计及变更的规格</w:t>
      </w:r>
      <w:r>
        <w:rPr>
          <w:spacing w:val="-20"/>
          <w:sz w:val="24"/>
          <w:szCs w:val="24"/>
        </w:rPr>
        <w:t>型号进行采购。</w:t>
      </w:r>
    </w:p>
    <w:p w14:paraId="5C1469D3">
      <w:pPr>
        <w:pStyle w:val="2"/>
        <w:spacing w:before="120" w:line="261" w:lineRule="auto"/>
        <w:ind w:left="1462" w:right="1414" w:firstLine="478"/>
        <w:rPr>
          <w:sz w:val="24"/>
          <w:szCs w:val="24"/>
        </w:rPr>
      </w:pPr>
      <w:r>
        <w:rPr>
          <w:spacing w:val="-20"/>
          <w:sz w:val="24"/>
          <w:szCs w:val="24"/>
        </w:rPr>
        <w:t>3)材料员采购进场的材料，必须接受各方监督，同时应</w:t>
      </w:r>
      <w:r>
        <w:rPr>
          <w:spacing w:val="-21"/>
          <w:sz w:val="24"/>
          <w:szCs w:val="24"/>
        </w:rPr>
        <w:t>配合有关人员做好材料的取样复试</w:t>
      </w:r>
      <w:r>
        <w:rPr>
          <w:spacing w:val="-22"/>
          <w:sz w:val="24"/>
          <w:szCs w:val="24"/>
        </w:rPr>
        <w:t>工作，对不符合有关标准的材料负责退换。</w:t>
      </w:r>
    </w:p>
    <w:p w14:paraId="4A438A70">
      <w:pPr>
        <w:pStyle w:val="2"/>
        <w:spacing w:before="120" w:line="216" w:lineRule="auto"/>
        <w:ind w:left="1935"/>
        <w:rPr>
          <w:sz w:val="24"/>
          <w:szCs w:val="24"/>
        </w:rPr>
      </w:pPr>
      <w:r>
        <w:rPr>
          <w:spacing w:val="-20"/>
          <w:sz w:val="24"/>
          <w:szCs w:val="24"/>
        </w:rPr>
        <w:t>4)材料员采购建筑材料除必须保证质量外，还需提供符合要求的质保证明和合格证。</w:t>
      </w:r>
    </w:p>
    <w:p w14:paraId="5AC9E975">
      <w:pPr>
        <w:pStyle w:val="2"/>
        <w:spacing w:before="120" w:line="264" w:lineRule="auto"/>
        <w:ind w:left="1458" w:right="1415" w:firstLine="482"/>
        <w:rPr>
          <w:sz w:val="24"/>
          <w:szCs w:val="24"/>
        </w:rPr>
      </w:pPr>
      <w:r>
        <w:rPr>
          <w:spacing w:val="-20"/>
          <w:sz w:val="24"/>
          <w:szCs w:val="24"/>
        </w:rPr>
        <w:t>5)材料员采购建筑材料应事先提供样品，并保证采购</w:t>
      </w:r>
      <w:r>
        <w:rPr>
          <w:spacing w:val="-21"/>
          <w:sz w:val="24"/>
          <w:szCs w:val="24"/>
        </w:rPr>
        <w:t>的材料数量、规格型号、时间准确无</w:t>
      </w:r>
      <w:r>
        <w:rPr>
          <w:spacing w:val="-18"/>
          <w:sz w:val="24"/>
          <w:szCs w:val="24"/>
        </w:rPr>
        <w:t>误。</w:t>
      </w:r>
    </w:p>
    <w:p w14:paraId="53EC6AFC">
      <w:pPr>
        <w:pStyle w:val="2"/>
        <w:spacing w:before="113" w:line="262" w:lineRule="auto"/>
        <w:ind w:left="1457" w:right="1415" w:firstLine="480"/>
        <w:rPr>
          <w:sz w:val="24"/>
          <w:szCs w:val="24"/>
        </w:rPr>
      </w:pPr>
      <w:r>
        <w:rPr>
          <w:spacing w:val="-20"/>
          <w:sz w:val="24"/>
          <w:szCs w:val="24"/>
        </w:rPr>
        <w:t>6)对采购有毒、有害危险品的材料时，应把材料说明书交给</w:t>
      </w:r>
      <w:r>
        <w:rPr>
          <w:spacing w:val="-21"/>
          <w:sz w:val="24"/>
          <w:szCs w:val="24"/>
        </w:rPr>
        <w:t>技术负责人或技术负责人，有待可靠安全方案，在进行按量采购。</w:t>
      </w:r>
    </w:p>
    <w:p w14:paraId="63E9D1C1">
      <w:pPr>
        <w:pStyle w:val="2"/>
        <w:spacing w:before="118" w:line="216" w:lineRule="auto"/>
        <w:ind w:left="1941"/>
        <w:rPr>
          <w:sz w:val="24"/>
          <w:szCs w:val="24"/>
        </w:rPr>
      </w:pPr>
      <w:r>
        <w:rPr>
          <w:spacing w:val="-18"/>
          <w:sz w:val="24"/>
          <w:szCs w:val="24"/>
        </w:rPr>
        <w:t>7)完成项目经理布置的其他任务。</w:t>
      </w:r>
    </w:p>
    <w:p w14:paraId="4CA25894">
      <w:pPr>
        <w:spacing w:line="216" w:lineRule="auto"/>
        <w:rPr>
          <w:sz w:val="24"/>
          <w:szCs w:val="24"/>
        </w:rPr>
        <w:sectPr>
          <w:footerReference r:id="rId30" w:type="default"/>
          <w:pgSz w:w="11907" w:h="16839"/>
          <w:pgMar w:top="954" w:right="4" w:bottom="1038" w:left="0" w:header="499" w:footer="357" w:gutter="0"/>
          <w:pgBorders>
            <w:top w:val="none" w:sz="0" w:space="0"/>
            <w:left w:val="none" w:sz="0" w:space="0"/>
            <w:bottom w:val="none" w:sz="0" w:space="0"/>
            <w:right w:val="none" w:sz="0" w:space="0"/>
          </w:pgBorders>
          <w:cols w:space="720" w:num="1"/>
        </w:sectPr>
      </w:pPr>
    </w:p>
    <w:p w14:paraId="65930454">
      <w:pPr>
        <w:spacing w:line="251" w:lineRule="auto"/>
        <w:rPr>
          <w:rFonts w:ascii="Arial"/>
          <w:sz w:val="21"/>
        </w:rPr>
      </w:pPr>
    </w:p>
    <w:p w14:paraId="7B41C3E8">
      <w:pPr>
        <w:pStyle w:val="2"/>
        <w:spacing w:before="78" w:line="217" w:lineRule="auto"/>
        <w:ind w:left="1956"/>
        <w:rPr>
          <w:sz w:val="24"/>
          <w:szCs w:val="24"/>
        </w:rPr>
      </w:pPr>
      <w:r>
        <w:rPr>
          <w:b/>
          <w:bCs/>
          <w:spacing w:val="-5"/>
          <w:sz w:val="24"/>
          <w:szCs w:val="24"/>
        </w:rPr>
        <w:t>10安全员岗位职责</w:t>
      </w:r>
    </w:p>
    <w:p w14:paraId="60B2AEC1">
      <w:pPr>
        <w:pStyle w:val="2"/>
        <w:spacing w:before="118" w:line="216" w:lineRule="auto"/>
        <w:ind w:left="1953"/>
        <w:rPr>
          <w:sz w:val="24"/>
          <w:szCs w:val="24"/>
        </w:rPr>
      </w:pPr>
      <w:r>
        <w:rPr>
          <w:spacing w:val="-20"/>
          <w:sz w:val="24"/>
          <w:szCs w:val="24"/>
        </w:rPr>
        <w:t>1)认真贯彻执行安全技术操作规程、安全文明施工规则及安</w:t>
      </w:r>
      <w:r>
        <w:rPr>
          <w:spacing w:val="-21"/>
          <w:sz w:val="24"/>
          <w:szCs w:val="24"/>
        </w:rPr>
        <w:t>全检查考核评分标准。</w:t>
      </w:r>
    </w:p>
    <w:p w14:paraId="11E184D5">
      <w:pPr>
        <w:pStyle w:val="2"/>
        <w:spacing w:before="115" w:line="278" w:lineRule="auto"/>
        <w:ind w:left="1456" w:right="1415" w:firstLine="482"/>
        <w:rPr>
          <w:sz w:val="24"/>
          <w:szCs w:val="24"/>
        </w:rPr>
      </w:pPr>
      <w:r>
        <w:rPr>
          <w:spacing w:val="-20"/>
          <w:sz w:val="24"/>
          <w:szCs w:val="24"/>
        </w:rPr>
        <w:t>2)落实安全设施的设置，对施工全过程的安全进行监督。在</w:t>
      </w:r>
      <w:r>
        <w:rPr>
          <w:spacing w:val="-21"/>
          <w:sz w:val="24"/>
          <w:szCs w:val="24"/>
        </w:rPr>
        <w:t>检查安全过程中，对照施工组</w:t>
      </w:r>
      <w:r>
        <w:rPr>
          <w:spacing w:val="-20"/>
          <w:sz w:val="24"/>
          <w:szCs w:val="24"/>
        </w:rPr>
        <w:t>织设计、施工方案和安全技术规范，检查发现危险源和事故隐患，有权先令其采取措施，再报</w:t>
      </w:r>
      <w:r>
        <w:rPr>
          <w:spacing w:val="-21"/>
          <w:sz w:val="24"/>
          <w:szCs w:val="24"/>
        </w:rPr>
        <w:t>告有关领导，并积极协助和参加对该情况的处理。</w:t>
      </w:r>
    </w:p>
    <w:p w14:paraId="1AB69F13">
      <w:pPr>
        <w:pStyle w:val="2"/>
        <w:spacing w:before="117" w:line="216" w:lineRule="auto"/>
        <w:ind w:left="1940"/>
        <w:rPr>
          <w:sz w:val="24"/>
          <w:szCs w:val="24"/>
        </w:rPr>
      </w:pPr>
      <w:r>
        <w:rPr>
          <w:spacing w:val="-20"/>
          <w:sz w:val="24"/>
          <w:szCs w:val="24"/>
        </w:rPr>
        <w:t>3)认真及时做好现场各项安全检查、考核评定、任务单签证工作。</w:t>
      </w:r>
    </w:p>
    <w:p w14:paraId="67F388E4">
      <w:pPr>
        <w:pStyle w:val="2"/>
        <w:spacing w:before="119" w:line="264" w:lineRule="auto"/>
        <w:ind w:left="1462" w:right="1415" w:firstLine="473"/>
        <w:rPr>
          <w:sz w:val="24"/>
          <w:szCs w:val="24"/>
        </w:rPr>
      </w:pPr>
      <w:r>
        <w:rPr>
          <w:spacing w:val="-20"/>
          <w:sz w:val="24"/>
          <w:szCs w:val="24"/>
        </w:rPr>
        <w:t>4)依法报告生产安全事故情况，积极参加工伤事故调查与分析，</w:t>
      </w:r>
      <w:r>
        <w:rPr>
          <w:spacing w:val="-21"/>
          <w:sz w:val="24"/>
          <w:szCs w:val="24"/>
        </w:rPr>
        <w:t>做到实事求是，按照“四不放过”原则对事故提出处理意见和建议。</w:t>
      </w:r>
    </w:p>
    <w:p w14:paraId="2A8AFC49">
      <w:pPr>
        <w:pStyle w:val="2"/>
        <w:spacing w:before="114" w:line="262" w:lineRule="auto"/>
        <w:ind w:left="1456" w:right="1415" w:firstLine="484"/>
        <w:rPr>
          <w:sz w:val="24"/>
          <w:szCs w:val="24"/>
        </w:rPr>
      </w:pPr>
      <w:r>
        <w:rPr>
          <w:spacing w:val="-20"/>
          <w:sz w:val="24"/>
          <w:szCs w:val="24"/>
        </w:rPr>
        <w:t>5)组织现场安全教育和全员安全活动，监督检查劳保</w:t>
      </w:r>
      <w:r>
        <w:rPr>
          <w:spacing w:val="-21"/>
          <w:sz w:val="24"/>
          <w:szCs w:val="24"/>
        </w:rPr>
        <w:t>用品质量和正确使用，有权制止违章指挥、违章作业、违反劳动纪律的行为。</w:t>
      </w:r>
    </w:p>
    <w:p w14:paraId="7E4DF78C">
      <w:pPr>
        <w:pStyle w:val="2"/>
        <w:spacing w:before="120" w:line="216" w:lineRule="auto"/>
        <w:ind w:left="1938"/>
        <w:rPr>
          <w:sz w:val="24"/>
          <w:szCs w:val="24"/>
        </w:rPr>
      </w:pPr>
      <w:r>
        <w:rPr>
          <w:spacing w:val="-21"/>
          <w:sz w:val="24"/>
          <w:szCs w:val="24"/>
        </w:rPr>
        <w:t>6)向安全部门和有关领导提出安全生产的奖罚对象，并提供具体资料。</w:t>
      </w:r>
    </w:p>
    <w:p w14:paraId="23DA8E65">
      <w:pPr>
        <w:pStyle w:val="2"/>
        <w:spacing w:before="118" w:line="216" w:lineRule="auto"/>
        <w:ind w:left="1941"/>
        <w:rPr>
          <w:sz w:val="24"/>
          <w:szCs w:val="24"/>
        </w:rPr>
      </w:pPr>
      <w:r>
        <w:rPr>
          <w:spacing w:val="-19"/>
          <w:sz w:val="24"/>
          <w:szCs w:val="24"/>
        </w:rPr>
        <w:t>7)认真及时做好有关安全生产活动统计上报工作。</w:t>
      </w:r>
    </w:p>
    <w:p w14:paraId="1D3CDF1D">
      <w:pPr>
        <w:pStyle w:val="2"/>
        <w:spacing w:before="120" w:line="216" w:lineRule="auto"/>
        <w:ind w:left="1937"/>
        <w:rPr>
          <w:sz w:val="24"/>
          <w:szCs w:val="24"/>
        </w:rPr>
      </w:pPr>
      <w:r>
        <w:rPr>
          <w:spacing w:val="-17"/>
          <w:sz w:val="24"/>
          <w:szCs w:val="24"/>
        </w:rPr>
        <w:t>8)完成项目经理布置的其他任务。</w:t>
      </w:r>
    </w:p>
    <w:p w14:paraId="150376FF">
      <w:pPr>
        <w:pStyle w:val="2"/>
        <w:spacing w:before="120" w:line="216" w:lineRule="auto"/>
        <w:ind w:left="1956"/>
        <w:rPr>
          <w:sz w:val="24"/>
          <w:szCs w:val="24"/>
        </w:rPr>
      </w:pPr>
      <w:r>
        <w:rPr>
          <w:b/>
          <w:bCs/>
          <w:spacing w:val="-6"/>
          <w:sz w:val="24"/>
          <w:szCs w:val="24"/>
        </w:rPr>
        <w:t>11资料员岗位职责</w:t>
      </w:r>
    </w:p>
    <w:p w14:paraId="39763808">
      <w:pPr>
        <w:pStyle w:val="2"/>
        <w:spacing w:before="118" w:line="216" w:lineRule="auto"/>
        <w:ind w:left="1953"/>
        <w:rPr>
          <w:sz w:val="24"/>
          <w:szCs w:val="24"/>
        </w:rPr>
      </w:pPr>
      <w:r>
        <w:rPr>
          <w:spacing w:val="-20"/>
          <w:sz w:val="24"/>
          <w:szCs w:val="24"/>
        </w:rPr>
        <w:t>1)按国家和地方建设行政主观部门要求收集、整理施工技术资料。</w:t>
      </w:r>
    </w:p>
    <w:p w14:paraId="7507C526">
      <w:pPr>
        <w:pStyle w:val="2"/>
        <w:spacing w:before="120" w:line="215" w:lineRule="auto"/>
        <w:ind w:left="1938"/>
        <w:rPr>
          <w:sz w:val="24"/>
          <w:szCs w:val="24"/>
        </w:rPr>
      </w:pPr>
      <w:r>
        <w:rPr>
          <w:spacing w:val="-20"/>
          <w:sz w:val="24"/>
          <w:szCs w:val="24"/>
        </w:rPr>
        <w:t>2)对分包单位的施工资料有责任进行指导和检查，在分包工程工作量完成时收集汇总。</w:t>
      </w:r>
    </w:p>
    <w:p w14:paraId="7A2AC349">
      <w:pPr>
        <w:pStyle w:val="2"/>
        <w:spacing w:before="121" w:line="216" w:lineRule="auto"/>
        <w:ind w:left="1940"/>
        <w:rPr>
          <w:sz w:val="24"/>
          <w:szCs w:val="24"/>
        </w:rPr>
      </w:pPr>
      <w:r>
        <w:rPr>
          <w:spacing w:val="-20"/>
          <w:sz w:val="24"/>
          <w:szCs w:val="24"/>
        </w:rPr>
        <w:t>3)负责标准养护室的管理工作，做好标记录及时将到龄期的试件送实验室。</w:t>
      </w:r>
    </w:p>
    <w:p w14:paraId="2F253011">
      <w:pPr>
        <w:pStyle w:val="2"/>
        <w:spacing w:before="118" w:line="262" w:lineRule="auto"/>
        <w:ind w:left="1456" w:right="1415" w:firstLine="478"/>
        <w:rPr>
          <w:sz w:val="24"/>
          <w:szCs w:val="24"/>
        </w:rPr>
      </w:pPr>
      <w:r>
        <w:rPr>
          <w:spacing w:val="-20"/>
          <w:sz w:val="24"/>
          <w:szCs w:val="24"/>
        </w:rPr>
        <w:t>4)有责任检查原材料质保书和复试报告，发现不符合规定和要求</w:t>
      </w:r>
      <w:r>
        <w:rPr>
          <w:spacing w:val="-21"/>
          <w:sz w:val="24"/>
          <w:szCs w:val="24"/>
        </w:rPr>
        <w:t>的原材料质保证明和复试报告的，应立即报告才俩爱够部门协助做好善后工作。</w:t>
      </w:r>
    </w:p>
    <w:p w14:paraId="08997426">
      <w:pPr>
        <w:pStyle w:val="2"/>
        <w:spacing w:before="120" w:line="216" w:lineRule="auto"/>
        <w:ind w:left="1940"/>
        <w:rPr>
          <w:sz w:val="24"/>
          <w:szCs w:val="24"/>
        </w:rPr>
      </w:pPr>
      <w:r>
        <w:rPr>
          <w:spacing w:val="-20"/>
          <w:sz w:val="24"/>
          <w:szCs w:val="24"/>
        </w:rPr>
        <w:t>5)有责任配六建设单位完成竣工验收备案资料和建设单位送档案的档案资料。</w:t>
      </w:r>
    </w:p>
    <w:p w14:paraId="0C1B0E0E">
      <w:pPr>
        <w:pStyle w:val="2"/>
        <w:spacing w:before="118" w:line="216" w:lineRule="auto"/>
        <w:ind w:left="1938"/>
        <w:rPr>
          <w:sz w:val="24"/>
          <w:szCs w:val="24"/>
        </w:rPr>
      </w:pPr>
      <w:r>
        <w:rPr>
          <w:spacing w:val="-17"/>
          <w:sz w:val="24"/>
          <w:szCs w:val="24"/>
        </w:rPr>
        <w:t>6)完成项目经理布置的其他任务。</w:t>
      </w:r>
    </w:p>
    <w:p w14:paraId="2B9B2764">
      <w:pPr>
        <w:pStyle w:val="2"/>
        <w:spacing w:before="120" w:line="217" w:lineRule="auto"/>
        <w:ind w:left="1956"/>
        <w:rPr>
          <w:sz w:val="24"/>
          <w:szCs w:val="24"/>
        </w:rPr>
      </w:pPr>
      <w:r>
        <w:rPr>
          <w:b/>
          <w:bCs/>
          <w:spacing w:val="-4"/>
          <w:sz w:val="24"/>
          <w:szCs w:val="24"/>
        </w:rPr>
        <w:t>12测量员岗位职责</w:t>
      </w:r>
    </w:p>
    <w:p w14:paraId="196B88D0">
      <w:pPr>
        <w:pStyle w:val="2"/>
        <w:spacing w:before="120" w:line="307" w:lineRule="auto"/>
        <w:ind w:left="1457" w:right="1443" w:firstLine="492"/>
        <w:rPr>
          <w:sz w:val="24"/>
          <w:szCs w:val="24"/>
        </w:rPr>
      </w:pPr>
      <w:r>
        <w:rPr>
          <w:spacing w:val="3"/>
          <w:sz w:val="24"/>
          <w:szCs w:val="24"/>
        </w:rPr>
        <w:t>紧密配合施工，坚持实事实是、认真负责的工作作风，听从工作安排，按时完成</w:t>
      </w:r>
      <w:r>
        <w:rPr>
          <w:spacing w:val="1"/>
          <w:sz w:val="24"/>
          <w:szCs w:val="24"/>
        </w:rPr>
        <w:t>各项施工测量、放线任务。</w:t>
      </w:r>
    </w:p>
    <w:p w14:paraId="3CCDACA1">
      <w:pPr>
        <w:pStyle w:val="2"/>
        <w:spacing w:before="1" w:line="307" w:lineRule="auto"/>
        <w:ind w:left="1462" w:right="1448" w:firstLine="488"/>
        <w:rPr>
          <w:sz w:val="24"/>
          <w:szCs w:val="24"/>
        </w:rPr>
      </w:pPr>
      <w:r>
        <w:rPr>
          <w:spacing w:val="3"/>
          <w:sz w:val="24"/>
          <w:szCs w:val="24"/>
        </w:rPr>
        <w:t>熟悉施工图纸，根据有关规定、标准的要求编制好测量方案，准备好测量</w:t>
      </w:r>
      <w:r>
        <w:rPr>
          <w:spacing w:val="2"/>
          <w:sz w:val="24"/>
          <w:szCs w:val="24"/>
        </w:rPr>
        <w:t>所需的</w:t>
      </w:r>
      <w:r>
        <w:rPr>
          <w:spacing w:val="-1"/>
          <w:sz w:val="24"/>
          <w:szCs w:val="24"/>
        </w:rPr>
        <w:t>工具的表格。</w:t>
      </w:r>
    </w:p>
    <w:p w14:paraId="2FB2E618">
      <w:pPr>
        <w:pStyle w:val="2"/>
        <w:spacing w:before="3" w:line="307" w:lineRule="auto"/>
        <w:ind w:left="1943" w:right="1475"/>
        <w:jc w:val="both"/>
        <w:rPr>
          <w:sz w:val="24"/>
          <w:szCs w:val="24"/>
        </w:rPr>
      </w:pPr>
      <w:r>
        <w:rPr>
          <w:spacing w:val="2"/>
          <w:sz w:val="24"/>
          <w:szCs w:val="24"/>
        </w:rPr>
        <w:t>测量时仔细认真安设、调整仪器、读数准确，记录整洁，并使用法定计量单位。</w:t>
      </w:r>
      <w:r>
        <w:rPr>
          <w:spacing w:val="1"/>
          <w:sz w:val="24"/>
          <w:szCs w:val="24"/>
        </w:rPr>
        <w:t>测量前需了解设计意图，学习和校核图纸；了解施工部署，制</w:t>
      </w:r>
      <w:r>
        <w:rPr>
          <w:sz w:val="24"/>
          <w:szCs w:val="24"/>
        </w:rPr>
        <w:t>定测量放线方案。</w:t>
      </w:r>
      <w:r>
        <w:rPr>
          <w:spacing w:val="3"/>
          <w:sz w:val="24"/>
          <w:szCs w:val="24"/>
        </w:rPr>
        <w:t>会同建设单位一起对红线桩测量控制点进行实地</w:t>
      </w:r>
      <w:r>
        <w:rPr>
          <w:spacing w:val="2"/>
          <w:sz w:val="24"/>
          <w:szCs w:val="24"/>
        </w:rPr>
        <w:t>校测。</w:t>
      </w:r>
    </w:p>
    <w:p w14:paraId="3FF57887">
      <w:pPr>
        <w:pStyle w:val="2"/>
        <w:spacing w:line="217" w:lineRule="auto"/>
        <w:ind w:left="1943"/>
        <w:rPr>
          <w:sz w:val="24"/>
          <w:szCs w:val="24"/>
        </w:rPr>
      </w:pPr>
      <w:r>
        <w:rPr>
          <w:spacing w:val="1"/>
          <w:sz w:val="24"/>
          <w:szCs w:val="24"/>
        </w:rPr>
        <w:t>测量仪器的核定、校正。</w:t>
      </w:r>
    </w:p>
    <w:p w14:paraId="37222120">
      <w:pPr>
        <w:pStyle w:val="2"/>
        <w:spacing w:before="119" w:line="216" w:lineRule="auto"/>
        <w:ind w:left="1950"/>
        <w:rPr>
          <w:sz w:val="24"/>
          <w:szCs w:val="24"/>
        </w:rPr>
      </w:pPr>
      <w:r>
        <w:rPr>
          <w:spacing w:val="3"/>
          <w:sz w:val="24"/>
          <w:szCs w:val="24"/>
        </w:rPr>
        <w:t>熟悉所使用测量仪器的性能，管好测量仪器按时进行仪器周检。</w:t>
      </w:r>
    </w:p>
    <w:p w14:paraId="1642EC6F">
      <w:pPr>
        <w:pStyle w:val="2"/>
        <w:spacing w:before="121" w:line="307" w:lineRule="auto"/>
        <w:ind w:left="1455" w:right="1440" w:firstLine="497"/>
        <w:rPr>
          <w:sz w:val="24"/>
          <w:szCs w:val="24"/>
        </w:rPr>
      </w:pPr>
      <w:r>
        <w:rPr>
          <w:spacing w:val="3"/>
          <w:sz w:val="24"/>
          <w:szCs w:val="24"/>
        </w:rPr>
        <w:t>与设计、施工等方面密切配合，并事先做好充分的准备工作，制定切实可行的与</w:t>
      </w:r>
      <w:r>
        <w:rPr>
          <w:spacing w:val="1"/>
          <w:sz w:val="24"/>
          <w:szCs w:val="24"/>
        </w:rPr>
        <w:t>施工同步的测量放线方案。</w:t>
      </w:r>
    </w:p>
    <w:p w14:paraId="33E36AB8">
      <w:pPr>
        <w:pStyle w:val="2"/>
        <w:spacing w:before="1" w:line="307" w:lineRule="auto"/>
        <w:ind w:left="1463" w:right="1445" w:firstLine="480"/>
        <w:rPr>
          <w:sz w:val="24"/>
          <w:szCs w:val="24"/>
        </w:rPr>
      </w:pPr>
      <w:r>
        <w:rPr>
          <w:spacing w:val="3"/>
          <w:sz w:val="24"/>
          <w:szCs w:val="24"/>
        </w:rPr>
        <w:t>须在整个施工的各个阶段和各主要部位做好放线、验线工作，并要在审查测量放</w:t>
      </w:r>
      <w:r>
        <w:rPr>
          <w:spacing w:val="2"/>
          <w:sz w:val="24"/>
          <w:szCs w:val="24"/>
        </w:rPr>
        <w:t>线方案和指导检查测量放线工作等方面加强工作，避免返工。</w:t>
      </w:r>
    </w:p>
    <w:p w14:paraId="79FB8346">
      <w:pPr>
        <w:pStyle w:val="2"/>
        <w:spacing w:line="215" w:lineRule="auto"/>
        <w:ind w:left="1942"/>
        <w:rPr>
          <w:sz w:val="24"/>
          <w:szCs w:val="24"/>
        </w:rPr>
      </w:pPr>
      <w:r>
        <w:rPr>
          <w:spacing w:val="3"/>
          <w:sz w:val="24"/>
          <w:szCs w:val="24"/>
        </w:rPr>
        <w:t>验线工作要主动。验线工作要从审核测量放线方案开始，在各主要阶段施工前，</w:t>
      </w:r>
    </w:p>
    <w:p w14:paraId="0A92AE3A">
      <w:pPr>
        <w:spacing w:line="215" w:lineRule="auto"/>
        <w:rPr>
          <w:sz w:val="24"/>
          <w:szCs w:val="24"/>
        </w:rPr>
        <w:sectPr>
          <w:footerReference r:id="rId31" w:type="default"/>
          <w:pgSz w:w="11907" w:h="16839"/>
          <w:pgMar w:top="954" w:right="4" w:bottom="1038" w:left="0" w:header="499" w:footer="357" w:gutter="0"/>
          <w:pgBorders>
            <w:top w:val="none" w:sz="0" w:space="0"/>
            <w:left w:val="none" w:sz="0" w:space="0"/>
            <w:bottom w:val="none" w:sz="0" w:space="0"/>
            <w:right w:val="none" w:sz="0" w:space="0"/>
          </w:pgBorders>
          <w:cols w:space="720" w:num="1"/>
        </w:sectPr>
      </w:pPr>
    </w:p>
    <w:p w14:paraId="733738C7">
      <w:pPr>
        <w:spacing w:line="250" w:lineRule="auto"/>
        <w:rPr>
          <w:rFonts w:ascii="Arial"/>
          <w:sz w:val="21"/>
        </w:rPr>
      </w:pPr>
    </w:p>
    <w:p w14:paraId="06F281FD">
      <w:pPr>
        <w:pStyle w:val="2"/>
        <w:spacing w:before="78" w:line="216" w:lineRule="auto"/>
        <w:ind w:left="1458"/>
        <w:rPr>
          <w:sz w:val="24"/>
          <w:szCs w:val="24"/>
        </w:rPr>
      </w:pPr>
      <w:r>
        <w:rPr>
          <w:spacing w:val="3"/>
          <w:sz w:val="24"/>
          <w:szCs w:val="24"/>
        </w:rPr>
        <w:t>对测量放线工作提出预防性要求，真正做到防患</w:t>
      </w:r>
      <w:r>
        <w:rPr>
          <w:spacing w:val="2"/>
          <w:sz w:val="24"/>
          <w:szCs w:val="24"/>
        </w:rPr>
        <w:t>于未然。</w:t>
      </w:r>
    </w:p>
    <w:p w14:paraId="35181C30">
      <w:pPr>
        <w:pStyle w:val="2"/>
        <w:spacing w:before="120" w:line="218" w:lineRule="auto"/>
        <w:ind w:left="1946"/>
        <w:rPr>
          <w:sz w:val="24"/>
          <w:szCs w:val="24"/>
        </w:rPr>
      </w:pPr>
      <w:r>
        <w:rPr>
          <w:sz w:val="24"/>
          <w:szCs w:val="24"/>
        </w:rPr>
        <w:t>准确地测设标高。</w:t>
      </w:r>
    </w:p>
    <w:p w14:paraId="462BC302">
      <w:pPr>
        <w:pStyle w:val="2"/>
        <w:spacing w:before="114" w:line="216" w:lineRule="auto"/>
        <w:ind w:left="1950"/>
        <w:rPr>
          <w:sz w:val="24"/>
          <w:szCs w:val="24"/>
        </w:rPr>
      </w:pPr>
      <w:r>
        <w:rPr>
          <w:spacing w:val="3"/>
          <w:sz w:val="24"/>
          <w:szCs w:val="24"/>
        </w:rPr>
        <w:t>负责垂直观测、沉降观测，并记录整理观测结果（</w:t>
      </w:r>
      <w:r>
        <w:rPr>
          <w:spacing w:val="2"/>
          <w:sz w:val="24"/>
          <w:szCs w:val="24"/>
        </w:rPr>
        <w:t>数据和曲线图表）。</w:t>
      </w:r>
    </w:p>
    <w:p w14:paraId="60DFA891">
      <w:pPr>
        <w:pStyle w:val="2"/>
        <w:spacing w:before="120" w:line="216" w:lineRule="auto"/>
        <w:ind w:left="1950"/>
        <w:rPr>
          <w:sz w:val="24"/>
          <w:szCs w:val="24"/>
        </w:rPr>
      </w:pPr>
      <w:r>
        <w:rPr>
          <w:spacing w:val="2"/>
          <w:sz w:val="24"/>
          <w:szCs w:val="24"/>
        </w:rPr>
        <w:t>负责及时整理完善基线复核、测量记录等测量资料。</w:t>
      </w:r>
    </w:p>
    <w:p w14:paraId="52FAAEC6">
      <w:pPr>
        <w:pStyle w:val="2"/>
        <w:spacing w:before="120" w:line="217" w:lineRule="auto"/>
        <w:ind w:left="1956"/>
        <w:rPr>
          <w:sz w:val="24"/>
          <w:szCs w:val="24"/>
        </w:rPr>
      </w:pPr>
      <w:r>
        <w:rPr>
          <w:b/>
          <w:bCs/>
          <w:spacing w:val="-5"/>
          <w:sz w:val="24"/>
          <w:szCs w:val="24"/>
        </w:rPr>
        <w:t>13财务部岗位职责</w:t>
      </w:r>
    </w:p>
    <w:p w14:paraId="350F434F">
      <w:pPr>
        <w:pStyle w:val="2"/>
        <w:spacing w:before="101" w:line="292" w:lineRule="auto"/>
        <w:ind w:left="1454" w:right="1492" w:firstLine="489"/>
        <w:rPr>
          <w:sz w:val="24"/>
          <w:szCs w:val="24"/>
        </w:rPr>
      </w:pPr>
      <w:r>
        <w:rPr>
          <w:spacing w:val="2"/>
          <w:sz w:val="24"/>
          <w:szCs w:val="24"/>
        </w:rPr>
        <w:t>认真学习、贯彻国家的方针、政策和有关经济、金融法规，执行</w:t>
      </w:r>
      <w:r>
        <w:rPr>
          <w:spacing w:val="1"/>
          <w:sz w:val="24"/>
          <w:szCs w:val="24"/>
        </w:rPr>
        <w:t>财务会计制度，</w:t>
      </w:r>
      <w:r>
        <w:rPr>
          <w:spacing w:val="2"/>
          <w:sz w:val="24"/>
          <w:szCs w:val="24"/>
        </w:rPr>
        <w:t>遵守财经纪律，实事求是，廉洁奉公。</w:t>
      </w:r>
    </w:p>
    <w:p w14:paraId="5EB3EB9C">
      <w:pPr>
        <w:pStyle w:val="2"/>
        <w:spacing w:before="1" w:line="292" w:lineRule="auto"/>
        <w:ind w:left="1485" w:right="1481" w:firstLine="469"/>
        <w:rPr>
          <w:sz w:val="24"/>
          <w:szCs w:val="24"/>
        </w:rPr>
      </w:pPr>
      <w:r>
        <w:rPr>
          <w:spacing w:val="2"/>
          <w:sz w:val="24"/>
          <w:szCs w:val="24"/>
        </w:rPr>
        <w:t>复核各种借款、收、支原始凭据，切实做好记帐、算帐、报帐，做</w:t>
      </w:r>
      <w:r>
        <w:rPr>
          <w:spacing w:val="1"/>
          <w:sz w:val="24"/>
          <w:szCs w:val="24"/>
        </w:rPr>
        <w:t>到手续完备、</w:t>
      </w:r>
      <w:r>
        <w:rPr>
          <w:spacing w:val="2"/>
          <w:sz w:val="24"/>
          <w:szCs w:val="24"/>
        </w:rPr>
        <w:t>内容真实、数字准确、帐目清楚、日清月结</w:t>
      </w:r>
      <w:r>
        <w:rPr>
          <w:spacing w:val="1"/>
          <w:sz w:val="24"/>
          <w:szCs w:val="24"/>
        </w:rPr>
        <w:t>、按期报告。</w:t>
      </w:r>
    </w:p>
    <w:p w14:paraId="7699D54B">
      <w:pPr>
        <w:pStyle w:val="2"/>
        <w:spacing w:before="2" w:line="292" w:lineRule="auto"/>
        <w:ind w:left="1458" w:right="1446" w:firstLine="498"/>
        <w:jc w:val="both"/>
        <w:rPr>
          <w:sz w:val="24"/>
          <w:szCs w:val="24"/>
        </w:rPr>
      </w:pPr>
      <w:r>
        <w:rPr>
          <w:spacing w:val="3"/>
          <w:sz w:val="24"/>
          <w:szCs w:val="24"/>
        </w:rPr>
        <w:t>管理好各类帐册、凭据，保证帐页整齐、整洁，不丢失；做</w:t>
      </w:r>
      <w:r>
        <w:rPr>
          <w:spacing w:val="2"/>
          <w:sz w:val="24"/>
          <w:szCs w:val="24"/>
        </w:rPr>
        <w:t>到总帐与明细帐核算</w:t>
      </w:r>
      <w:r>
        <w:rPr>
          <w:spacing w:val="3"/>
          <w:sz w:val="24"/>
          <w:szCs w:val="24"/>
        </w:rPr>
        <w:t>相符，决算准确、真实；为成本核算、决策、目标考核提供可靠资料；认真做好会计</w:t>
      </w:r>
      <w:r>
        <w:rPr>
          <w:spacing w:val="1"/>
          <w:sz w:val="24"/>
          <w:szCs w:val="24"/>
        </w:rPr>
        <w:t>凭证的立卷归档工作。</w:t>
      </w:r>
    </w:p>
    <w:p w14:paraId="695139BF">
      <w:pPr>
        <w:pStyle w:val="2"/>
        <w:spacing w:before="2" w:line="292" w:lineRule="auto"/>
        <w:ind w:left="1473" w:right="1445" w:firstLine="472"/>
        <w:rPr>
          <w:sz w:val="24"/>
          <w:szCs w:val="24"/>
        </w:rPr>
      </w:pPr>
      <w:r>
        <w:rPr>
          <w:spacing w:val="3"/>
          <w:sz w:val="24"/>
          <w:szCs w:val="24"/>
        </w:rPr>
        <w:t>编制财务会计月、年度报表，编写文字说明，做到帐表相符；一旦发现问题，及</w:t>
      </w:r>
      <w:r>
        <w:rPr>
          <w:spacing w:val="1"/>
          <w:sz w:val="24"/>
          <w:szCs w:val="24"/>
        </w:rPr>
        <w:t>时向主管领导提出合理化意义。</w:t>
      </w:r>
    </w:p>
    <w:p w14:paraId="6A41ADF9">
      <w:pPr>
        <w:pStyle w:val="2"/>
        <w:spacing w:before="1" w:line="292" w:lineRule="auto"/>
        <w:ind w:left="1455" w:right="1352" w:firstLine="489"/>
        <w:rPr>
          <w:sz w:val="24"/>
          <w:szCs w:val="24"/>
        </w:rPr>
      </w:pPr>
      <w:r>
        <w:rPr>
          <w:spacing w:val="2"/>
          <w:sz w:val="24"/>
          <w:szCs w:val="24"/>
        </w:rPr>
        <w:t>严格执行财务印鉴章、空白支票分流管理制度（会计保管印鉴章、</w:t>
      </w:r>
      <w:r>
        <w:rPr>
          <w:spacing w:val="1"/>
          <w:sz w:val="24"/>
          <w:szCs w:val="24"/>
        </w:rPr>
        <w:t>发票；出纳保</w:t>
      </w:r>
      <w:r>
        <w:rPr>
          <w:spacing w:val="2"/>
          <w:sz w:val="24"/>
          <w:szCs w:val="24"/>
        </w:rPr>
        <w:t>管空白支票及有价证券</w:t>
      </w:r>
      <w:r>
        <w:rPr>
          <w:spacing w:val="14"/>
          <w:sz w:val="24"/>
          <w:szCs w:val="24"/>
        </w:rPr>
        <w:t>），</w:t>
      </w:r>
      <w:r>
        <w:rPr>
          <w:spacing w:val="2"/>
          <w:sz w:val="24"/>
          <w:szCs w:val="24"/>
        </w:rPr>
        <w:t>保管、使用好有关印鉴章和</w:t>
      </w:r>
      <w:r>
        <w:rPr>
          <w:spacing w:val="1"/>
          <w:sz w:val="24"/>
          <w:szCs w:val="24"/>
        </w:rPr>
        <w:t>空白、回笼凭据，注意安全、</w:t>
      </w:r>
      <w:r>
        <w:rPr>
          <w:spacing w:val="3"/>
          <w:sz w:val="24"/>
          <w:szCs w:val="24"/>
        </w:rPr>
        <w:t>保密。经费的开支、使用，一律由会计汇总，核对无误后，再由出纳支付现金，严格</w:t>
      </w:r>
      <w:r>
        <w:rPr>
          <w:spacing w:val="-1"/>
          <w:sz w:val="24"/>
          <w:szCs w:val="24"/>
        </w:rPr>
        <w:t>执行国家有关财务报销制度，凡有不符报销规定者，会计有权拒审，并做好解释工作。</w:t>
      </w:r>
    </w:p>
    <w:p w14:paraId="6943358B">
      <w:pPr>
        <w:pStyle w:val="2"/>
        <w:spacing w:line="216" w:lineRule="auto"/>
        <w:ind w:left="1942"/>
        <w:rPr>
          <w:sz w:val="24"/>
          <w:szCs w:val="24"/>
        </w:rPr>
      </w:pPr>
      <w:r>
        <w:rPr>
          <w:spacing w:val="2"/>
          <w:sz w:val="24"/>
          <w:szCs w:val="24"/>
        </w:rPr>
        <w:t>搞好财务核算，严格执行各项经费开支标准。</w:t>
      </w:r>
    </w:p>
    <w:p w14:paraId="5F5E941B">
      <w:pPr>
        <w:pStyle w:val="2"/>
        <w:spacing w:before="97" w:line="217" w:lineRule="auto"/>
        <w:ind w:left="1946"/>
        <w:rPr>
          <w:sz w:val="24"/>
          <w:szCs w:val="24"/>
        </w:rPr>
      </w:pPr>
      <w:r>
        <w:rPr>
          <w:spacing w:val="3"/>
          <w:sz w:val="24"/>
          <w:szCs w:val="24"/>
        </w:rPr>
        <w:t>及时正确编制会计报表，帐表相符，认真分析，有情况要说明，按时上报。</w:t>
      </w:r>
    </w:p>
    <w:p w14:paraId="7906EC42">
      <w:pPr>
        <w:pStyle w:val="2"/>
        <w:spacing w:before="100" w:line="292" w:lineRule="auto"/>
        <w:ind w:left="1461" w:right="1447" w:firstLine="482"/>
        <w:rPr>
          <w:sz w:val="24"/>
          <w:szCs w:val="24"/>
        </w:rPr>
      </w:pPr>
      <w:r>
        <w:rPr>
          <w:spacing w:val="3"/>
          <w:sz w:val="24"/>
          <w:szCs w:val="24"/>
        </w:rPr>
        <w:t>经常检查收支情况，分析费用增减原因，提合理化建议，及时向项目经理反映本</w:t>
      </w:r>
      <w:r>
        <w:rPr>
          <w:sz w:val="24"/>
          <w:szCs w:val="24"/>
        </w:rPr>
        <w:t>单位经济活动情况。</w:t>
      </w:r>
    </w:p>
    <w:p w14:paraId="2CE79213">
      <w:pPr>
        <w:pStyle w:val="2"/>
        <w:spacing w:before="2" w:line="292" w:lineRule="auto"/>
        <w:ind w:left="1472" w:right="1484" w:firstLine="473"/>
        <w:rPr>
          <w:sz w:val="24"/>
          <w:szCs w:val="24"/>
        </w:rPr>
      </w:pPr>
      <w:r>
        <w:rPr>
          <w:spacing w:val="2"/>
          <w:sz w:val="24"/>
          <w:szCs w:val="24"/>
        </w:rPr>
        <w:t>严格执行结算纪律，按规定拔付工程款，经常与工程、计划、材料等部门沟通，防止超拔工程款，并及时做好清理债权债务工作。</w:t>
      </w:r>
    </w:p>
    <w:p w14:paraId="171326F0">
      <w:pPr>
        <w:pStyle w:val="2"/>
        <w:spacing w:before="2" w:line="291" w:lineRule="auto"/>
        <w:ind w:left="1462" w:right="1448" w:firstLine="482"/>
        <w:rPr>
          <w:sz w:val="24"/>
          <w:szCs w:val="24"/>
        </w:rPr>
      </w:pPr>
      <w:r>
        <w:rPr>
          <w:spacing w:val="3"/>
          <w:sz w:val="24"/>
          <w:szCs w:val="24"/>
        </w:rPr>
        <w:t>本帐数字真实凭证完整，装订整齐，字迹清晰，报账及时。且做好会计档案管理</w:t>
      </w:r>
      <w:r>
        <w:rPr>
          <w:spacing w:val="1"/>
          <w:sz w:val="24"/>
          <w:szCs w:val="24"/>
        </w:rPr>
        <w:t>工作，做到安全、保密。</w:t>
      </w:r>
    </w:p>
    <w:p w14:paraId="0B48A20A">
      <w:pPr>
        <w:pStyle w:val="2"/>
        <w:spacing w:before="2" w:line="217" w:lineRule="auto"/>
        <w:ind w:left="1956"/>
        <w:rPr>
          <w:sz w:val="24"/>
          <w:szCs w:val="24"/>
        </w:rPr>
      </w:pPr>
      <w:r>
        <w:rPr>
          <w:b/>
          <w:bCs/>
          <w:spacing w:val="-4"/>
          <w:sz w:val="24"/>
          <w:szCs w:val="24"/>
        </w:rPr>
        <w:t>14预算员岗位职责</w:t>
      </w:r>
    </w:p>
    <w:p w14:paraId="57B9E1EE">
      <w:pPr>
        <w:pStyle w:val="2"/>
        <w:spacing w:before="96" w:line="293" w:lineRule="auto"/>
        <w:ind w:left="1455" w:right="1448" w:firstLine="489"/>
        <w:rPr>
          <w:sz w:val="24"/>
          <w:szCs w:val="24"/>
        </w:rPr>
      </w:pPr>
      <w:r>
        <w:rPr>
          <w:spacing w:val="3"/>
          <w:sz w:val="24"/>
          <w:szCs w:val="24"/>
        </w:rPr>
        <w:t>编制各工程的材料总计划，包括材料的规格、型号、材质。在材料总计划中，主</w:t>
      </w:r>
      <w:r>
        <w:rPr>
          <w:spacing w:val="2"/>
          <w:sz w:val="24"/>
          <w:szCs w:val="24"/>
        </w:rPr>
        <w:t>材应按部位编制，耗材按工程编制。</w:t>
      </w:r>
    </w:p>
    <w:p w14:paraId="74363871">
      <w:pPr>
        <w:pStyle w:val="2"/>
        <w:spacing w:line="216" w:lineRule="auto"/>
        <w:ind w:left="1950"/>
        <w:rPr>
          <w:sz w:val="24"/>
          <w:szCs w:val="24"/>
        </w:rPr>
      </w:pPr>
      <w:r>
        <w:rPr>
          <w:spacing w:val="3"/>
          <w:sz w:val="24"/>
          <w:szCs w:val="24"/>
        </w:rPr>
        <w:t>负责编制工程的施工图预、结算及工料分析，编审工程分包、劳务层的结</w:t>
      </w:r>
      <w:r>
        <w:rPr>
          <w:spacing w:val="2"/>
          <w:sz w:val="24"/>
          <w:szCs w:val="24"/>
        </w:rPr>
        <w:t>算。</w:t>
      </w:r>
    </w:p>
    <w:p w14:paraId="74ED96C1">
      <w:pPr>
        <w:pStyle w:val="2"/>
        <w:spacing w:before="99" w:line="292" w:lineRule="auto"/>
        <w:ind w:left="1455" w:right="1442" w:firstLine="489"/>
        <w:rPr>
          <w:sz w:val="24"/>
          <w:szCs w:val="24"/>
        </w:rPr>
      </w:pPr>
      <w:r>
        <w:rPr>
          <w:spacing w:val="3"/>
          <w:sz w:val="24"/>
          <w:szCs w:val="24"/>
        </w:rPr>
        <w:t>编制每月工程进度预算及材料调差（根据材料员提供市场价格或财务提供实际价</w:t>
      </w:r>
      <w:r>
        <w:rPr>
          <w:spacing w:val="2"/>
          <w:sz w:val="24"/>
          <w:szCs w:val="24"/>
        </w:rPr>
        <w:t>格）并及时上报有关部门审批。</w:t>
      </w:r>
    </w:p>
    <w:p w14:paraId="346C942B">
      <w:pPr>
        <w:pStyle w:val="2"/>
        <w:spacing w:before="2" w:line="217" w:lineRule="auto"/>
        <w:ind w:left="1962"/>
        <w:rPr>
          <w:sz w:val="24"/>
          <w:szCs w:val="24"/>
        </w:rPr>
      </w:pPr>
      <w:r>
        <w:rPr>
          <w:spacing w:val="2"/>
          <w:sz w:val="24"/>
          <w:szCs w:val="24"/>
        </w:rPr>
        <w:t>审核分包、劳务层的工程进度预算（技术员认可工程量）。</w:t>
      </w:r>
    </w:p>
    <w:p w14:paraId="5823AADB">
      <w:pPr>
        <w:pStyle w:val="2"/>
        <w:spacing w:before="96" w:line="217" w:lineRule="auto"/>
        <w:ind w:left="1944"/>
        <w:rPr>
          <w:sz w:val="24"/>
          <w:szCs w:val="24"/>
        </w:rPr>
      </w:pPr>
      <w:r>
        <w:rPr>
          <w:spacing w:val="2"/>
          <w:sz w:val="24"/>
          <w:szCs w:val="24"/>
        </w:rPr>
        <w:t>根据现场设计变更和签证及时调整预算。</w:t>
      </w:r>
    </w:p>
    <w:p w14:paraId="5F1DD415">
      <w:pPr>
        <w:pStyle w:val="2"/>
        <w:spacing w:before="98" w:line="215" w:lineRule="auto"/>
        <w:ind w:left="1945"/>
        <w:rPr>
          <w:sz w:val="24"/>
          <w:szCs w:val="24"/>
        </w:rPr>
      </w:pPr>
      <w:r>
        <w:rPr>
          <w:spacing w:val="3"/>
          <w:sz w:val="24"/>
          <w:szCs w:val="24"/>
        </w:rPr>
        <w:t>在工程投标阶段，及时、准确做出预算，提供报</w:t>
      </w:r>
      <w:r>
        <w:rPr>
          <w:spacing w:val="2"/>
          <w:sz w:val="24"/>
          <w:szCs w:val="24"/>
        </w:rPr>
        <w:t>价依据。</w:t>
      </w:r>
    </w:p>
    <w:p w14:paraId="02D4D7D9">
      <w:pPr>
        <w:pStyle w:val="2"/>
        <w:spacing w:before="102" w:line="217" w:lineRule="auto"/>
        <w:ind w:left="1951"/>
        <w:rPr>
          <w:sz w:val="24"/>
          <w:szCs w:val="24"/>
        </w:rPr>
      </w:pPr>
      <w:r>
        <w:rPr>
          <w:spacing w:val="2"/>
          <w:sz w:val="24"/>
          <w:szCs w:val="24"/>
        </w:rPr>
        <w:t>掌握准确的市场价格和预算价格，及时调整预、结算。</w:t>
      </w:r>
    </w:p>
    <w:p w14:paraId="394CB023">
      <w:pPr>
        <w:pStyle w:val="2"/>
        <w:spacing w:before="97" w:line="216" w:lineRule="auto"/>
        <w:ind w:left="1945"/>
        <w:rPr>
          <w:sz w:val="24"/>
          <w:szCs w:val="24"/>
        </w:rPr>
      </w:pPr>
      <w:r>
        <w:rPr>
          <w:spacing w:val="3"/>
          <w:sz w:val="24"/>
          <w:szCs w:val="24"/>
        </w:rPr>
        <w:t>对各劳务层的工作内容及时提供价格，作为决策</w:t>
      </w:r>
      <w:r>
        <w:rPr>
          <w:spacing w:val="2"/>
          <w:sz w:val="24"/>
          <w:szCs w:val="24"/>
        </w:rPr>
        <w:t>的依据。</w:t>
      </w:r>
    </w:p>
    <w:p w14:paraId="5C924BBF">
      <w:pPr>
        <w:spacing w:line="216" w:lineRule="auto"/>
        <w:rPr>
          <w:sz w:val="24"/>
          <w:szCs w:val="24"/>
        </w:rPr>
        <w:sectPr>
          <w:footerReference r:id="rId32" w:type="default"/>
          <w:pgSz w:w="11907" w:h="16839"/>
          <w:pgMar w:top="954" w:right="4" w:bottom="1038" w:left="0" w:header="499" w:footer="357" w:gutter="0"/>
          <w:pgBorders>
            <w:top w:val="none" w:sz="0" w:space="0"/>
            <w:left w:val="none" w:sz="0" w:space="0"/>
            <w:bottom w:val="none" w:sz="0" w:space="0"/>
            <w:right w:val="none" w:sz="0" w:space="0"/>
          </w:pgBorders>
          <w:cols w:space="720" w:num="1"/>
        </w:sectPr>
      </w:pPr>
    </w:p>
    <w:p w14:paraId="4B1B9BBE">
      <w:pPr>
        <w:pStyle w:val="2"/>
        <w:spacing w:before="261" w:line="224" w:lineRule="auto"/>
        <w:ind w:left="4041"/>
        <w:outlineLvl w:val="0"/>
        <w:rPr>
          <w:rFonts w:hint="eastAsia" w:eastAsia="仿宋"/>
          <w:sz w:val="31"/>
          <w:szCs w:val="31"/>
          <w:lang w:val="en-US" w:eastAsia="zh-CN"/>
        </w:rPr>
      </w:pPr>
      <w:bookmarkStart w:id="15" w:name="bookmark18"/>
      <w:bookmarkEnd w:id="15"/>
      <w:bookmarkStart w:id="16" w:name="bookmark17"/>
      <w:bookmarkEnd w:id="16"/>
      <w:bookmarkStart w:id="17" w:name="bookmark19"/>
      <w:bookmarkEnd w:id="17"/>
      <w:r>
        <w:rPr>
          <w:b/>
          <w:bCs/>
          <w:color w:val="7030A0"/>
          <w:spacing w:val="-15"/>
          <w:sz w:val="31"/>
          <w:szCs w:val="31"/>
        </w:rPr>
        <w:t>第二章、主要施工方法与技术</w:t>
      </w:r>
      <w:r>
        <w:rPr>
          <w:rFonts w:hint="eastAsia"/>
          <w:b/>
          <w:bCs/>
          <w:color w:val="7030A0"/>
          <w:spacing w:val="-15"/>
          <w:sz w:val="31"/>
          <w:szCs w:val="31"/>
          <w:lang w:val="en-US" w:eastAsia="zh-CN"/>
        </w:rPr>
        <w:t>措施</w:t>
      </w:r>
    </w:p>
    <w:p w14:paraId="213DA0F7">
      <w:pPr>
        <w:pStyle w:val="2"/>
        <w:spacing w:before="42" w:line="217" w:lineRule="auto"/>
        <w:ind w:left="4869"/>
        <w:outlineLvl w:val="1"/>
        <w:rPr>
          <w:sz w:val="30"/>
          <w:szCs w:val="30"/>
        </w:rPr>
      </w:pPr>
      <w:bookmarkStart w:id="18" w:name="bookmark300"/>
      <w:bookmarkEnd w:id="18"/>
      <w:r>
        <w:rPr>
          <w:b/>
          <w:bCs/>
          <w:color w:val="0070C0"/>
          <w:spacing w:val="-24"/>
          <w:sz w:val="30"/>
          <w:szCs w:val="30"/>
        </w:rPr>
        <w:t>第一节、测量放线</w:t>
      </w:r>
    </w:p>
    <w:p w14:paraId="3C4EA828">
      <w:pPr>
        <w:pStyle w:val="2"/>
        <w:spacing w:before="62" w:line="219" w:lineRule="auto"/>
        <w:ind w:left="1981"/>
        <w:outlineLvl w:val="2"/>
        <w:rPr>
          <w:sz w:val="28"/>
          <w:szCs w:val="28"/>
        </w:rPr>
      </w:pPr>
      <w:bookmarkStart w:id="19" w:name="bookmark301"/>
      <w:bookmarkEnd w:id="19"/>
      <w:r>
        <w:rPr>
          <w:b/>
          <w:bCs/>
          <w:spacing w:val="-23"/>
          <w:sz w:val="28"/>
          <w:szCs w:val="28"/>
        </w:rPr>
        <w:t>一、测量放线与监测施工方案</w:t>
      </w:r>
    </w:p>
    <w:p w14:paraId="4A24AA3B">
      <w:pPr>
        <w:pStyle w:val="2"/>
        <w:spacing w:before="102" w:line="219" w:lineRule="auto"/>
        <w:ind w:left="1903"/>
        <w:rPr>
          <w:sz w:val="24"/>
          <w:szCs w:val="24"/>
        </w:rPr>
      </w:pPr>
      <w:r>
        <w:rPr>
          <w:spacing w:val="-19"/>
          <w:sz w:val="24"/>
          <w:szCs w:val="24"/>
        </w:rPr>
        <w:t>1、主要测量设备</w:t>
      </w:r>
    </w:p>
    <w:p w14:paraId="3B05DE73">
      <w:pPr>
        <w:pStyle w:val="2"/>
        <w:spacing w:before="117" w:line="278" w:lineRule="auto"/>
        <w:ind w:left="1456" w:right="1415" w:firstLine="463"/>
        <w:rPr>
          <w:sz w:val="24"/>
          <w:szCs w:val="24"/>
        </w:rPr>
      </w:pPr>
      <w:r>
        <w:rPr>
          <w:spacing w:val="-9"/>
          <w:sz w:val="24"/>
          <w:szCs w:val="24"/>
        </w:rPr>
        <w:t>测量先行是施工管理中的要求，测量工作的质量直接影响到工程的质量，我公司在工</w:t>
      </w:r>
      <w:r>
        <w:rPr>
          <w:spacing w:val="-20"/>
          <w:sz w:val="24"/>
          <w:szCs w:val="24"/>
        </w:rPr>
        <w:t>程施工管理中，历来注重测量管理工作。除建立两级测量复核制度外，对本工程还将成立专职</w:t>
      </w:r>
      <w:r>
        <w:rPr>
          <w:spacing w:val="-21"/>
          <w:sz w:val="24"/>
          <w:szCs w:val="24"/>
        </w:rPr>
        <w:t>测量小组，以确保测量工作高效、优质。</w:t>
      </w:r>
    </w:p>
    <w:tbl>
      <w:tblPr>
        <w:tblStyle w:val="6"/>
        <w:tblW w:w="9426" w:type="dxa"/>
        <w:tblInd w:w="124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37"/>
        <w:gridCol w:w="1735"/>
        <w:gridCol w:w="1686"/>
        <w:gridCol w:w="874"/>
        <w:gridCol w:w="1261"/>
        <w:gridCol w:w="3033"/>
      </w:tblGrid>
      <w:tr w14:paraId="1C6A52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4" w:hRule="atLeast"/>
        </w:trPr>
        <w:tc>
          <w:tcPr>
            <w:tcW w:w="837" w:type="dxa"/>
            <w:tcBorders>
              <w:top w:val="single" w:color="000000" w:sz="4" w:space="0"/>
              <w:left w:val="single" w:color="000000" w:sz="4" w:space="0"/>
            </w:tcBorders>
            <w:shd w:val="clear" w:color="auto" w:fill="DEEAF6"/>
            <w:vAlign w:val="top"/>
          </w:tcPr>
          <w:p w14:paraId="1FDC8C79">
            <w:pPr>
              <w:spacing w:before="33" w:line="60" w:lineRule="exact"/>
              <w:ind w:firstLine="33"/>
            </w:pPr>
            <w:r>
              <w:rPr>
                <w:position w:val="-1"/>
              </w:rPr>
              <w:pict>
                <v:shape id="_x0000_s1263" o:spid="_x0000_s1263" style="height:3pt;width:39.15pt;" fillcolor="#DEEAF6" filled="t" stroked="f" coordsize="783,60" path="m0,60l782,60,782,0,0,0,0,60xe">
                  <v:path/>
                  <v:fill on="t" focussize="0,0"/>
                  <v:stroke on="f"/>
                  <v:imagedata o:title=""/>
                  <o:lock v:ext="edit"/>
                  <w10:wrap type="none"/>
                  <w10:anchorlock/>
                </v:shape>
              </w:pict>
            </w:r>
          </w:p>
          <w:p w14:paraId="3A7C2796">
            <w:pPr>
              <w:pStyle w:val="7"/>
              <w:spacing w:before="57" w:line="218" w:lineRule="auto"/>
              <w:ind w:left="215"/>
            </w:pPr>
            <w:r>
              <w:rPr>
                <w:b/>
                <w:bCs/>
                <w:spacing w:val="-12"/>
              </w:rPr>
              <w:t>序号</w:t>
            </w:r>
          </w:p>
          <w:p w14:paraId="6ED17DD8">
            <w:pPr>
              <w:spacing w:before="167" w:line="52" w:lineRule="exact"/>
              <w:ind w:firstLine="11"/>
            </w:pPr>
            <w:r>
              <w:rPr>
                <w:position w:val="-1"/>
              </w:rPr>
              <w:pict>
                <v:shape id="_x0000_s1264" o:spid="_x0000_s1264" style="height:2.9pt;width:40.5pt;" fillcolor="#DEEAF6" filled="t" stroked="f" coordsize="810,58" path="m0,57l809,57,809,0,0,0,0,57xe">
                  <v:path/>
                  <v:fill on="t" focussize="0,0"/>
                  <v:stroke on="f"/>
                  <v:imagedata o:title=""/>
                  <o:lock v:ext="edit"/>
                  <w10:wrap type="none"/>
                  <w10:anchorlock/>
                </v:shape>
              </w:pict>
            </w:r>
          </w:p>
        </w:tc>
        <w:tc>
          <w:tcPr>
            <w:tcW w:w="1735" w:type="dxa"/>
            <w:tcBorders>
              <w:top w:val="single" w:color="000000" w:sz="4" w:space="0"/>
            </w:tcBorders>
            <w:shd w:val="clear" w:color="auto" w:fill="DEEAF6"/>
            <w:vAlign w:val="top"/>
          </w:tcPr>
          <w:p w14:paraId="3B59440E">
            <w:pPr>
              <w:pStyle w:val="7"/>
              <w:spacing w:before="150" w:line="217" w:lineRule="auto"/>
              <w:ind w:left="431"/>
            </w:pPr>
            <w:r>
              <w:rPr>
                <w:b/>
                <w:bCs/>
                <w:spacing w:val="-18"/>
              </w:rPr>
              <w:t>器具名称</w:t>
            </w:r>
          </w:p>
        </w:tc>
        <w:tc>
          <w:tcPr>
            <w:tcW w:w="1686" w:type="dxa"/>
            <w:tcBorders>
              <w:top w:val="single" w:color="000000" w:sz="4" w:space="0"/>
            </w:tcBorders>
            <w:shd w:val="clear" w:color="auto" w:fill="DEEAF6"/>
            <w:vAlign w:val="top"/>
          </w:tcPr>
          <w:p w14:paraId="6CEF09B5">
            <w:pPr>
              <w:pStyle w:val="7"/>
              <w:spacing w:before="150" w:line="220" w:lineRule="auto"/>
              <w:ind w:left="643"/>
            </w:pPr>
            <w:r>
              <w:rPr>
                <w:b/>
                <w:bCs/>
                <w:spacing w:val="-15"/>
              </w:rPr>
              <w:t>型号</w:t>
            </w:r>
          </w:p>
        </w:tc>
        <w:tc>
          <w:tcPr>
            <w:tcW w:w="874" w:type="dxa"/>
            <w:tcBorders>
              <w:top w:val="single" w:color="000000" w:sz="4" w:space="0"/>
            </w:tcBorders>
            <w:shd w:val="clear" w:color="auto" w:fill="DEEAF6"/>
            <w:vAlign w:val="top"/>
          </w:tcPr>
          <w:p w14:paraId="5959EDE6">
            <w:pPr>
              <w:pStyle w:val="7"/>
              <w:spacing w:before="150" w:line="217" w:lineRule="auto"/>
              <w:ind w:left="234"/>
            </w:pPr>
            <w:r>
              <w:rPr>
                <w:b/>
                <w:bCs/>
                <w:spacing w:val="-14"/>
              </w:rPr>
              <w:t>单位</w:t>
            </w:r>
          </w:p>
        </w:tc>
        <w:tc>
          <w:tcPr>
            <w:tcW w:w="1261" w:type="dxa"/>
            <w:tcBorders>
              <w:top w:val="single" w:color="000000" w:sz="4" w:space="0"/>
            </w:tcBorders>
            <w:shd w:val="clear" w:color="auto" w:fill="DEEAF6"/>
            <w:vAlign w:val="top"/>
          </w:tcPr>
          <w:p w14:paraId="4AE860D0">
            <w:pPr>
              <w:pStyle w:val="7"/>
              <w:spacing w:before="150" w:line="219" w:lineRule="auto"/>
              <w:ind w:left="425"/>
            </w:pPr>
            <w:r>
              <w:rPr>
                <w:b/>
                <w:bCs/>
                <w:spacing w:val="-12"/>
              </w:rPr>
              <w:t>数量</w:t>
            </w:r>
          </w:p>
        </w:tc>
        <w:tc>
          <w:tcPr>
            <w:tcW w:w="3033" w:type="dxa"/>
            <w:tcBorders>
              <w:top w:val="single" w:color="5B9BD5" w:sz="4" w:space="0"/>
              <w:right w:val="single" w:color="5B9BD5" w:sz="4" w:space="0"/>
            </w:tcBorders>
            <w:shd w:val="clear" w:color="auto" w:fill="DEEAF6"/>
            <w:vAlign w:val="top"/>
          </w:tcPr>
          <w:p w14:paraId="5DD2CCD3">
            <w:pPr>
              <w:pStyle w:val="7"/>
              <w:spacing w:before="150" w:line="219" w:lineRule="auto"/>
              <w:ind w:left="1328"/>
            </w:pPr>
            <w:r>
              <w:rPr>
                <w:b/>
                <w:bCs/>
                <w:spacing w:val="-23"/>
              </w:rPr>
              <w:t>图例</w:t>
            </w:r>
          </w:p>
        </w:tc>
      </w:tr>
      <w:tr w14:paraId="6E024F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87" w:hRule="atLeast"/>
        </w:trPr>
        <w:tc>
          <w:tcPr>
            <w:tcW w:w="837" w:type="dxa"/>
            <w:tcBorders>
              <w:left w:val="single" w:color="000000" w:sz="4" w:space="0"/>
            </w:tcBorders>
            <w:vAlign w:val="top"/>
          </w:tcPr>
          <w:p w14:paraId="7EC2BFC9">
            <w:pPr>
              <w:spacing w:line="242" w:lineRule="auto"/>
              <w:rPr>
                <w:rFonts w:ascii="Arial"/>
                <w:sz w:val="21"/>
              </w:rPr>
            </w:pPr>
          </w:p>
          <w:p w14:paraId="21C8320E">
            <w:pPr>
              <w:spacing w:line="242" w:lineRule="auto"/>
              <w:rPr>
                <w:rFonts w:ascii="Arial"/>
                <w:sz w:val="21"/>
              </w:rPr>
            </w:pPr>
          </w:p>
          <w:p w14:paraId="2C1E1E2F">
            <w:pPr>
              <w:spacing w:line="242" w:lineRule="auto"/>
              <w:rPr>
                <w:rFonts w:ascii="Arial"/>
                <w:sz w:val="21"/>
              </w:rPr>
            </w:pPr>
          </w:p>
          <w:p w14:paraId="5FF7560C">
            <w:pPr>
              <w:spacing w:line="242" w:lineRule="auto"/>
              <w:rPr>
                <w:rFonts w:ascii="Arial"/>
                <w:sz w:val="21"/>
              </w:rPr>
            </w:pPr>
          </w:p>
          <w:p w14:paraId="52FAC3B6">
            <w:pPr>
              <w:spacing w:line="243" w:lineRule="auto"/>
              <w:rPr>
                <w:rFonts w:ascii="Arial"/>
                <w:sz w:val="21"/>
              </w:rPr>
            </w:pPr>
          </w:p>
          <w:p w14:paraId="03474A2D">
            <w:pPr>
              <w:pStyle w:val="7"/>
              <w:spacing w:before="78" w:line="238" w:lineRule="auto"/>
              <w:ind w:left="388"/>
            </w:pPr>
            <w:r>
              <w:t>1</w:t>
            </w:r>
          </w:p>
        </w:tc>
        <w:tc>
          <w:tcPr>
            <w:tcW w:w="1735" w:type="dxa"/>
            <w:vAlign w:val="top"/>
          </w:tcPr>
          <w:p w14:paraId="11456102">
            <w:pPr>
              <w:spacing w:line="251" w:lineRule="auto"/>
              <w:rPr>
                <w:rFonts w:ascii="Arial"/>
                <w:sz w:val="21"/>
              </w:rPr>
            </w:pPr>
          </w:p>
          <w:p w14:paraId="2D2BB4DE">
            <w:pPr>
              <w:spacing w:line="251" w:lineRule="auto"/>
              <w:rPr>
                <w:rFonts w:ascii="Arial"/>
                <w:sz w:val="21"/>
              </w:rPr>
            </w:pPr>
          </w:p>
          <w:p w14:paraId="22789CAB">
            <w:pPr>
              <w:spacing w:line="251" w:lineRule="auto"/>
              <w:rPr>
                <w:rFonts w:ascii="Arial"/>
                <w:sz w:val="21"/>
              </w:rPr>
            </w:pPr>
          </w:p>
          <w:p w14:paraId="4AE351D0">
            <w:pPr>
              <w:spacing w:line="251" w:lineRule="auto"/>
              <w:rPr>
                <w:rFonts w:ascii="Arial"/>
                <w:sz w:val="21"/>
              </w:rPr>
            </w:pPr>
          </w:p>
          <w:p w14:paraId="2F76A5B3">
            <w:pPr>
              <w:spacing w:line="251" w:lineRule="auto"/>
              <w:rPr>
                <w:rFonts w:ascii="Arial"/>
                <w:sz w:val="21"/>
              </w:rPr>
            </w:pPr>
          </w:p>
          <w:p w14:paraId="0F0C8A1F">
            <w:pPr>
              <w:pStyle w:val="7"/>
              <w:spacing w:before="78" w:line="178" w:lineRule="auto"/>
              <w:ind w:left="697"/>
            </w:pPr>
            <w:r>
              <w:rPr>
                <w:spacing w:val="-7"/>
              </w:rPr>
              <w:t>GPS</w:t>
            </w:r>
          </w:p>
        </w:tc>
        <w:tc>
          <w:tcPr>
            <w:tcW w:w="1686" w:type="dxa"/>
            <w:vAlign w:val="top"/>
          </w:tcPr>
          <w:p w14:paraId="7C4C0ACC">
            <w:pPr>
              <w:spacing w:line="251" w:lineRule="auto"/>
              <w:rPr>
                <w:rFonts w:ascii="Arial"/>
                <w:sz w:val="21"/>
              </w:rPr>
            </w:pPr>
          </w:p>
          <w:p w14:paraId="1D6CD2D1">
            <w:pPr>
              <w:spacing w:line="251" w:lineRule="auto"/>
              <w:rPr>
                <w:rFonts w:ascii="Arial"/>
                <w:sz w:val="21"/>
              </w:rPr>
            </w:pPr>
          </w:p>
          <w:p w14:paraId="538D816D">
            <w:pPr>
              <w:spacing w:line="251" w:lineRule="auto"/>
              <w:rPr>
                <w:rFonts w:ascii="Arial"/>
                <w:sz w:val="21"/>
              </w:rPr>
            </w:pPr>
          </w:p>
          <w:p w14:paraId="1EED6A98">
            <w:pPr>
              <w:spacing w:line="251" w:lineRule="auto"/>
              <w:rPr>
                <w:rFonts w:ascii="Arial"/>
                <w:sz w:val="21"/>
              </w:rPr>
            </w:pPr>
          </w:p>
          <w:p w14:paraId="5CAC4E6D">
            <w:pPr>
              <w:spacing w:line="251" w:lineRule="auto"/>
              <w:rPr>
                <w:rFonts w:ascii="Arial"/>
                <w:sz w:val="21"/>
              </w:rPr>
            </w:pPr>
          </w:p>
          <w:p w14:paraId="6B73F4CB">
            <w:pPr>
              <w:pStyle w:val="7"/>
              <w:spacing w:before="78" w:line="178" w:lineRule="auto"/>
              <w:ind w:left="673"/>
            </w:pPr>
            <w:r>
              <w:rPr>
                <w:spacing w:val="-6"/>
              </w:rPr>
              <w:t>V30</w:t>
            </w:r>
          </w:p>
        </w:tc>
        <w:tc>
          <w:tcPr>
            <w:tcW w:w="874" w:type="dxa"/>
            <w:vAlign w:val="top"/>
          </w:tcPr>
          <w:p w14:paraId="608FC974">
            <w:pPr>
              <w:spacing w:line="242" w:lineRule="auto"/>
              <w:rPr>
                <w:rFonts w:ascii="Arial"/>
                <w:sz w:val="21"/>
              </w:rPr>
            </w:pPr>
          </w:p>
          <w:p w14:paraId="2B70BB76">
            <w:pPr>
              <w:spacing w:line="242" w:lineRule="auto"/>
              <w:rPr>
                <w:rFonts w:ascii="Arial"/>
                <w:sz w:val="21"/>
              </w:rPr>
            </w:pPr>
          </w:p>
          <w:p w14:paraId="10B6EBEC">
            <w:pPr>
              <w:spacing w:line="242" w:lineRule="auto"/>
              <w:rPr>
                <w:rFonts w:ascii="Arial"/>
                <w:sz w:val="21"/>
              </w:rPr>
            </w:pPr>
          </w:p>
          <w:p w14:paraId="323F683F">
            <w:pPr>
              <w:spacing w:line="242" w:lineRule="auto"/>
              <w:rPr>
                <w:rFonts w:ascii="Arial"/>
                <w:sz w:val="21"/>
              </w:rPr>
            </w:pPr>
          </w:p>
          <w:p w14:paraId="6C19CA2B">
            <w:pPr>
              <w:spacing w:line="243" w:lineRule="auto"/>
              <w:rPr>
                <w:rFonts w:ascii="Arial"/>
                <w:sz w:val="21"/>
              </w:rPr>
            </w:pPr>
          </w:p>
          <w:p w14:paraId="1B3B9DA2">
            <w:pPr>
              <w:pStyle w:val="7"/>
              <w:spacing w:before="78" w:line="217" w:lineRule="auto"/>
              <w:ind w:left="360"/>
            </w:pPr>
            <w:r>
              <w:t>台</w:t>
            </w:r>
          </w:p>
        </w:tc>
        <w:tc>
          <w:tcPr>
            <w:tcW w:w="1261" w:type="dxa"/>
            <w:vAlign w:val="top"/>
          </w:tcPr>
          <w:p w14:paraId="347ECAEE">
            <w:pPr>
              <w:spacing w:line="242" w:lineRule="auto"/>
              <w:rPr>
                <w:rFonts w:ascii="Arial"/>
                <w:sz w:val="21"/>
              </w:rPr>
            </w:pPr>
          </w:p>
          <w:p w14:paraId="58C6BE81">
            <w:pPr>
              <w:spacing w:line="242" w:lineRule="auto"/>
              <w:rPr>
                <w:rFonts w:ascii="Arial"/>
                <w:sz w:val="21"/>
              </w:rPr>
            </w:pPr>
          </w:p>
          <w:p w14:paraId="498AA76B">
            <w:pPr>
              <w:spacing w:line="242" w:lineRule="auto"/>
              <w:rPr>
                <w:rFonts w:ascii="Arial"/>
                <w:sz w:val="21"/>
              </w:rPr>
            </w:pPr>
          </w:p>
          <w:p w14:paraId="06C4AC48">
            <w:pPr>
              <w:spacing w:line="242" w:lineRule="auto"/>
              <w:rPr>
                <w:rFonts w:ascii="Arial"/>
                <w:sz w:val="21"/>
              </w:rPr>
            </w:pPr>
          </w:p>
          <w:p w14:paraId="2793C612">
            <w:pPr>
              <w:spacing w:line="243" w:lineRule="auto"/>
              <w:rPr>
                <w:rFonts w:ascii="Arial"/>
                <w:sz w:val="21"/>
              </w:rPr>
            </w:pPr>
          </w:p>
          <w:p w14:paraId="10C60641">
            <w:pPr>
              <w:pStyle w:val="7"/>
              <w:spacing w:before="78" w:line="238" w:lineRule="auto"/>
              <w:ind w:left="600"/>
            </w:pPr>
            <w:r>
              <w:t>1</w:t>
            </w:r>
          </w:p>
        </w:tc>
        <w:tc>
          <w:tcPr>
            <w:tcW w:w="3033" w:type="dxa"/>
            <w:tcBorders>
              <w:right w:val="single" w:color="000000" w:sz="4" w:space="0"/>
            </w:tcBorders>
            <w:vAlign w:val="top"/>
          </w:tcPr>
          <w:p w14:paraId="56932B61">
            <w:pPr>
              <w:spacing w:before="56" w:line="2717" w:lineRule="exact"/>
              <w:ind w:firstLine="57"/>
            </w:pPr>
            <w:r>
              <w:rPr>
                <w:position w:val="-54"/>
              </w:rPr>
              <w:drawing>
                <wp:inline distT="0" distB="0" distL="0" distR="0">
                  <wp:extent cx="1845945" cy="1725295"/>
                  <wp:effectExtent l="0" t="0" r="0" b="0"/>
                  <wp:docPr id="178" name="IM 178"/>
                  <wp:cNvGraphicFramePr/>
                  <a:graphic xmlns:a="http://schemas.openxmlformats.org/drawingml/2006/main">
                    <a:graphicData uri="http://schemas.openxmlformats.org/drawingml/2006/picture">
                      <pic:pic xmlns:pic="http://schemas.openxmlformats.org/drawingml/2006/picture">
                        <pic:nvPicPr>
                          <pic:cNvPr id="178" name="IM 178"/>
                          <pic:cNvPicPr/>
                        </pic:nvPicPr>
                        <pic:blipFill>
                          <a:blip r:embed="rId457"/>
                          <a:stretch>
                            <a:fillRect/>
                          </a:stretch>
                        </pic:blipFill>
                        <pic:spPr>
                          <a:xfrm>
                            <a:off x="0" y="0"/>
                            <a:ext cx="1845945" cy="1725295"/>
                          </a:xfrm>
                          <a:prstGeom prst="rect">
                            <a:avLst/>
                          </a:prstGeom>
                        </pic:spPr>
                      </pic:pic>
                    </a:graphicData>
                  </a:graphic>
                </wp:inline>
              </w:drawing>
            </w:r>
          </w:p>
        </w:tc>
      </w:tr>
      <w:tr w14:paraId="122851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661" w:hRule="atLeast"/>
        </w:trPr>
        <w:tc>
          <w:tcPr>
            <w:tcW w:w="837" w:type="dxa"/>
            <w:tcBorders>
              <w:left w:val="single" w:color="000000" w:sz="4" w:space="0"/>
            </w:tcBorders>
            <w:vAlign w:val="top"/>
          </w:tcPr>
          <w:p w14:paraId="680C60AE">
            <w:pPr>
              <w:spacing w:line="263" w:lineRule="auto"/>
              <w:rPr>
                <w:rFonts w:ascii="Arial"/>
                <w:sz w:val="21"/>
              </w:rPr>
            </w:pPr>
          </w:p>
          <w:p w14:paraId="0C015D0E">
            <w:pPr>
              <w:spacing w:line="263" w:lineRule="auto"/>
              <w:rPr>
                <w:rFonts w:ascii="Arial"/>
                <w:sz w:val="21"/>
              </w:rPr>
            </w:pPr>
          </w:p>
          <w:p w14:paraId="62930B63">
            <w:pPr>
              <w:spacing w:line="263" w:lineRule="auto"/>
              <w:rPr>
                <w:rFonts w:ascii="Arial"/>
                <w:sz w:val="21"/>
              </w:rPr>
            </w:pPr>
          </w:p>
          <w:p w14:paraId="66B6F275">
            <w:pPr>
              <w:spacing w:line="264" w:lineRule="auto"/>
              <w:rPr>
                <w:rFonts w:ascii="Arial"/>
                <w:sz w:val="21"/>
              </w:rPr>
            </w:pPr>
          </w:p>
          <w:p w14:paraId="0CB4D5B5">
            <w:pPr>
              <w:pStyle w:val="7"/>
              <w:spacing w:before="78" w:line="238" w:lineRule="auto"/>
              <w:ind w:left="373"/>
            </w:pPr>
            <w:r>
              <w:t>2</w:t>
            </w:r>
          </w:p>
        </w:tc>
        <w:tc>
          <w:tcPr>
            <w:tcW w:w="1735" w:type="dxa"/>
            <w:vAlign w:val="top"/>
          </w:tcPr>
          <w:p w14:paraId="217D52B9">
            <w:pPr>
              <w:spacing w:line="263" w:lineRule="auto"/>
              <w:rPr>
                <w:rFonts w:ascii="Arial"/>
                <w:sz w:val="21"/>
              </w:rPr>
            </w:pPr>
          </w:p>
          <w:p w14:paraId="66660324">
            <w:pPr>
              <w:spacing w:line="263" w:lineRule="auto"/>
              <w:rPr>
                <w:rFonts w:ascii="Arial"/>
                <w:sz w:val="21"/>
              </w:rPr>
            </w:pPr>
          </w:p>
          <w:p w14:paraId="5952A40D">
            <w:pPr>
              <w:spacing w:line="263" w:lineRule="auto"/>
              <w:rPr>
                <w:rFonts w:ascii="Arial"/>
                <w:sz w:val="21"/>
              </w:rPr>
            </w:pPr>
          </w:p>
          <w:p w14:paraId="47CF0F22">
            <w:pPr>
              <w:spacing w:line="264" w:lineRule="auto"/>
              <w:rPr>
                <w:rFonts w:ascii="Arial"/>
                <w:sz w:val="21"/>
              </w:rPr>
            </w:pPr>
          </w:p>
          <w:p w14:paraId="03380514">
            <w:pPr>
              <w:pStyle w:val="7"/>
              <w:spacing w:before="78" w:line="218" w:lineRule="auto"/>
              <w:ind w:left="547"/>
            </w:pPr>
            <w:r>
              <w:rPr>
                <w:spacing w:val="-15"/>
              </w:rPr>
              <w:t>全站仪</w:t>
            </w:r>
          </w:p>
        </w:tc>
        <w:tc>
          <w:tcPr>
            <w:tcW w:w="1686" w:type="dxa"/>
            <w:vAlign w:val="top"/>
          </w:tcPr>
          <w:p w14:paraId="21668B1C">
            <w:pPr>
              <w:spacing w:line="263" w:lineRule="auto"/>
              <w:rPr>
                <w:rFonts w:ascii="Arial"/>
                <w:sz w:val="21"/>
              </w:rPr>
            </w:pPr>
          </w:p>
          <w:p w14:paraId="06C5DC84">
            <w:pPr>
              <w:spacing w:line="263" w:lineRule="auto"/>
              <w:rPr>
                <w:rFonts w:ascii="Arial"/>
                <w:sz w:val="21"/>
              </w:rPr>
            </w:pPr>
          </w:p>
          <w:p w14:paraId="49E9CE3A">
            <w:pPr>
              <w:spacing w:line="263" w:lineRule="auto"/>
              <w:rPr>
                <w:rFonts w:ascii="Arial"/>
                <w:sz w:val="21"/>
              </w:rPr>
            </w:pPr>
          </w:p>
          <w:p w14:paraId="602B238D">
            <w:pPr>
              <w:spacing w:line="264" w:lineRule="auto"/>
              <w:rPr>
                <w:rFonts w:ascii="Arial"/>
                <w:sz w:val="21"/>
              </w:rPr>
            </w:pPr>
          </w:p>
          <w:p w14:paraId="3A50053F">
            <w:pPr>
              <w:pStyle w:val="7"/>
              <w:spacing w:before="78" w:line="236" w:lineRule="auto"/>
              <w:ind w:left="458"/>
            </w:pPr>
            <w:r>
              <w:rPr>
                <w:spacing w:val="-9"/>
              </w:rPr>
              <w:t>TC-1700</w:t>
            </w:r>
          </w:p>
        </w:tc>
        <w:tc>
          <w:tcPr>
            <w:tcW w:w="874" w:type="dxa"/>
            <w:vAlign w:val="top"/>
          </w:tcPr>
          <w:p w14:paraId="746DE7F9">
            <w:pPr>
              <w:spacing w:line="263" w:lineRule="auto"/>
              <w:rPr>
                <w:rFonts w:ascii="Arial"/>
                <w:sz w:val="21"/>
              </w:rPr>
            </w:pPr>
          </w:p>
          <w:p w14:paraId="26A2AE79">
            <w:pPr>
              <w:spacing w:line="263" w:lineRule="auto"/>
              <w:rPr>
                <w:rFonts w:ascii="Arial"/>
                <w:sz w:val="21"/>
              </w:rPr>
            </w:pPr>
          </w:p>
          <w:p w14:paraId="30AA3CCA">
            <w:pPr>
              <w:spacing w:line="263" w:lineRule="auto"/>
              <w:rPr>
                <w:rFonts w:ascii="Arial"/>
                <w:sz w:val="21"/>
              </w:rPr>
            </w:pPr>
          </w:p>
          <w:p w14:paraId="5306AD1B">
            <w:pPr>
              <w:spacing w:line="263" w:lineRule="auto"/>
              <w:rPr>
                <w:rFonts w:ascii="Arial"/>
                <w:sz w:val="21"/>
              </w:rPr>
            </w:pPr>
          </w:p>
          <w:p w14:paraId="2399104E">
            <w:pPr>
              <w:pStyle w:val="7"/>
              <w:spacing w:before="78" w:line="217" w:lineRule="auto"/>
              <w:ind w:left="360"/>
            </w:pPr>
            <w:r>
              <w:t>台</w:t>
            </w:r>
          </w:p>
        </w:tc>
        <w:tc>
          <w:tcPr>
            <w:tcW w:w="1261" w:type="dxa"/>
            <w:vAlign w:val="top"/>
          </w:tcPr>
          <w:p w14:paraId="3D82717D">
            <w:pPr>
              <w:spacing w:line="263" w:lineRule="auto"/>
              <w:rPr>
                <w:rFonts w:ascii="Arial"/>
                <w:sz w:val="21"/>
              </w:rPr>
            </w:pPr>
          </w:p>
          <w:p w14:paraId="13BF09DD">
            <w:pPr>
              <w:spacing w:line="263" w:lineRule="auto"/>
              <w:rPr>
                <w:rFonts w:ascii="Arial"/>
                <w:sz w:val="21"/>
              </w:rPr>
            </w:pPr>
          </w:p>
          <w:p w14:paraId="37C9E9EC">
            <w:pPr>
              <w:spacing w:line="263" w:lineRule="auto"/>
              <w:rPr>
                <w:rFonts w:ascii="Arial"/>
                <w:sz w:val="21"/>
              </w:rPr>
            </w:pPr>
          </w:p>
          <w:p w14:paraId="02D6F39F">
            <w:pPr>
              <w:spacing w:line="263" w:lineRule="auto"/>
              <w:rPr>
                <w:rFonts w:ascii="Arial"/>
                <w:sz w:val="21"/>
              </w:rPr>
            </w:pPr>
          </w:p>
          <w:p w14:paraId="1FBEED69">
            <w:pPr>
              <w:pStyle w:val="7"/>
              <w:spacing w:before="78" w:line="237" w:lineRule="auto"/>
              <w:ind w:left="587"/>
            </w:pPr>
            <w:r>
              <w:t>3</w:t>
            </w:r>
          </w:p>
        </w:tc>
        <w:tc>
          <w:tcPr>
            <w:tcW w:w="3033" w:type="dxa"/>
            <w:tcBorders>
              <w:right w:val="single" w:color="000000" w:sz="4" w:space="0"/>
            </w:tcBorders>
            <w:vAlign w:val="top"/>
          </w:tcPr>
          <w:p w14:paraId="7D4FD9B6">
            <w:pPr>
              <w:spacing w:before="60" w:line="2388" w:lineRule="exact"/>
              <w:ind w:firstLine="57"/>
            </w:pPr>
            <w:r>
              <w:rPr>
                <w:position w:val="-47"/>
              </w:rPr>
              <w:drawing>
                <wp:inline distT="0" distB="0" distL="0" distR="0">
                  <wp:extent cx="1845945" cy="1515745"/>
                  <wp:effectExtent l="0" t="0" r="0" b="0"/>
                  <wp:docPr id="180" name="IM 180"/>
                  <wp:cNvGraphicFramePr/>
                  <a:graphic xmlns:a="http://schemas.openxmlformats.org/drawingml/2006/main">
                    <a:graphicData uri="http://schemas.openxmlformats.org/drawingml/2006/picture">
                      <pic:pic xmlns:pic="http://schemas.openxmlformats.org/drawingml/2006/picture">
                        <pic:nvPicPr>
                          <pic:cNvPr id="180" name="IM 180"/>
                          <pic:cNvPicPr/>
                        </pic:nvPicPr>
                        <pic:blipFill>
                          <a:blip r:embed="rId458"/>
                          <a:stretch>
                            <a:fillRect/>
                          </a:stretch>
                        </pic:blipFill>
                        <pic:spPr>
                          <a:xfrm>
                            <a:off x="0" y="0"/>
                            <a:ext cx="1845945" cy="1516379"/>
                          </a:xfrm>
                          <a:prstGeom prst="rect">
                            <a:avLst/>
                          </a:prstGeom>
                        </pic:spPr>
                      </pic:pic>
                    </a:graphicData>
                  </a:graphic>
                </wp:inline>
              </w:drawing>
            </w:r>
          </w:p>
        </w:tc>
      </w:tr>
      <w:tr w14:paraId="136C39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163" w:hRule="atLeast"/>
        </w:trPr>
        <w:tc>
          <w:tcPr>
            <w:tcW w:w="837" w:type="dxa"/>
            <w:tcBorders>
              <w:left w:val="single" w:color="20507B" w:sz="4" w:space="0"/>
              <w:bottom w:val="single" w:color="20507B" w:sz="4" w:space="0"/>
            </w:tcBorders>
            <w:vAlign w:val="top"/>
          </w:tcPr>
          <w:p w14:paraId="301658A3">
            <w:pPr>
              <w:spacing w:line="256" w:lineRule="auto"/>
              <w:rPr>
                <w:rFonts w:ascii="Arial"/>
                <w:sz w:val="21"/>
              </w:rPr>
            </w:pPr>
          </w:p>
          <w:p w14:paraId="45743FAA">
            <w:pPr>
              <w:spacing w:line="257" w:lineRule="auto"/>
              <w:rPr>
                <w:rFonts w:ascii="Arial"/>
                <w:sz w:val="21"/>
              </w:rPr>
            </w:pPr>
          </w:p>
          <w:p w14:paraId="5342BAD3">
            <w:pPr>
              <w:spacing w:line="257" w:lineRule="auto"/>
              <w:rPr>
                <w:rFonts w:ascii="Arial"/>
                <w:sz w:val="21"/>
              </w:rPr>
            </w:pPr>
          </w:p>
          <w:p w14:paraId="074A844B">
            <w:pPr>
              <w:spacing w:line="257" w:lineRule="auto"/>
              <w:rPr>
                <w:rFonts w:ascii="Arial"/>
                <w:sz w:val="21"/>
              </w:rPr>
            </w:pPr>
          </w:p>
          <w:p w14:paraId="6C980BFE">
            <w:pPr>
              <w:spacing w:line="257" w:lineRule="auto"/>
              <w:rPr>
                <w:rFonts w:ascii="Arial"/>
                <w:sz w:val="21"/>
              </w:rPr>
            </w:pPr>
          </w:p>
          <w:p w14:paraId="36219465">
            <w:pPr>
              <w:pStyle w:val="7"/>
              <w:spacing w:before="78" w:line="237" w:lineRule="auto"/>
              <w:ind w:left="375"/>
            </w:pPr>
            <w:r>
              <w:t>3</w:t>
            </w:r>
          </w:p>
        </w:tc>
        <w:tc>
          <w:tcPr>
            <w:tcW w:w="1735" w:type="dxa"/>
            <w:tcBorders>
              <w:bottom w:val="single" w:color="000000" w:sz="4" w:space="0"/>
            </w:tcBorders>
            <w:vAlign w:val="top"/>
          </w:tcPr>
          <w:p w14:paraId="1C79C599">
            <w:pPr>
              <w:spacing w:line="256" w:lineRule="auto"/>
              <w:rPr>
                <w:rFonts w:ascii="Arial"/>
                <w:sz w:val="21"/>
              </w:rPr>
            </w:pPr>
          </w:p>
          <w:p w14:paraId="01F3861F">
            <w:pPr>
              <w:spacing w:line="257" w:lineRule="auto"/>
              <w:rPr>
                <w:rFonts w:ascii="Arial"/>
                <w:sz w:val="21"/>
              </w:rPr>
            </w:pPr>
          </w:p>
          <w:p w14:paraId="60CDCF8A">
            <w:pPr>
              <w:spacing w:line="257" w:lineRule="auto"/>
              <w:rPr>
                <w:rFonts w:ascii="Arial"/>
                <w:sz w:val="21"/>
              </w:rPr>
            </w:pPr>
          </w:p>
          <w:p w14:paraId="78F19A0E">
            <w:pPr>
              <w:spacing w:line="257" w:lineRule="auto"/>
              <w:rPr>
                <w:rFonts w:ascii="Arial"/>
                <w:sz w:val="21"/>
              </w:rPr>
            </w:pPr>
          </w:p>
          <w:p w14:paraId="0A755D10">
            <w:pPr>
              <w:spacing w:line="257" w:lineRule="auto"/>
              <w:rPr>
                <w:rFonts w:ascii="Arial"/>
                <w:sz w:val="21"/>
              </w:rPr>
            </w:pPr>
          </w:p>
          <w:p w14:paraId="482DB4DC">
            <w:pPr>
              <w:pStyle w:val="7"/>
              <w:spacing w:before="78" w:line="217" w:lineRule="auto"/>
              <w:ind w:left="542"/>
            </w:pPr>
            <w:r>
              <w:rPr>
                <w:spacing w:val="-13"/>
              </w:rPr>
              <w:t>经纬仪</w:t>
            </w:r>
          </w:p>
        </w:tc>
        <w:tc>
          <w:tcPr>
            <w:tcW w:w="1686" w:type="dxa"/>
            <w:tcBorders>
              <w:bottom w:val="single" w:color="000000" w:sz="4" w:space="0"/>
            </w:tcBorders>
            <w:vAlign w:val="top"/>
          </w:tcPr>
          <w:p w14:paraId="430D07A4">
            <w:pPr>
              <w:spacing w:line="265" w:lineRule="auto"/>
              <w:rPr>
                <w:rFonts w:ascii="Arial"/>
                <w:sz w:val="21"/>
              </w:rPr>
            </w:pPr>
          </w:p>
          <w:p w14:paraId="276D1909">
            <w:pPr>
              <w:spacing w:line="265" w:lineRule="auto"/>
              <w:rPr>
                <w:rFonts w:ascii="Arial"/>
                <w:sz w:val="21"/>
              </w:rPr>
            </w:pPr>
          </w:p>
          <w:p w14:paraId="7B526F13">
            <w:pPr>
              <w:spacing w:line="265" w:lineRule="auto"/>
              <w:rPr>
                <w:rFonts w:ascii="Arial"/>
                <w:sz w:val="21"/>
              </w:rPr>
            </w:pPr>
          </w:p>
          <w:p w14:paraId="59A9A495">
            <w:pPr>
              <w:spacing w:line="266" w:lineRule="auto"/>
              <w:rPr>
                <w:rFonts w:ascii="Arial"/>
                <w:sz w:val="21"/>
              </w:rPr>
            </w:pPr>
          </w:p>
          <w:p w14:paraId="2A5F24D9">
            <w:pPr>
              <w:spacing w:line="266" w:lineRule="auto"/>
              <w:rPr>
                <w:rFonts w:ascii="Arial"/>
                <w:sz w:val="21"/>
              </w:rPr>
            </w:pPr>
          </w:p>
          <w:p w14:paraId="10C58089">
            <w:pPr>
              <w:pStyle w:val="7"/>
              <w:spacing w:before="78" w:line="179" w:lineRule="auto"/>
              <w:ind w:left="626"/>
            </w:pPr>
            <w:r>
              <w:rPr>
                <w:spacing w:val="-9"/>
              </w:rPr>
              <w:t>010B</w:t>
            </w:r>
          </w:p>
        </w:tc>
        <w:tc>
          <w:tcPr>
            <w:tcW w:w="874" w:type="dxa"/>
            <w:tcBorders>
              <w:bottom w:val="single" w:color="000000" w:sz="4" w:space="0"/>
            </w:tcBorders>
            <w:vAlign w:val="top"/>
          </w:tcPr>
          <w:p w14:paraId="13AEC3AB">
            <w:pPr>
              <w:spacing w:line="256" w:lineRule="auto"/>
              <w:rPr>
                <w:rFonts w:ascii="Arial"/>
                <w:sz w:val="21"/>
              </w:rPr>
            </w:pPr>
          </w:p>
          <w:p w14:paraId="2A49B791">
            <w:pPr>
              <w:spacing w:line="257" w:lineRule="auto"/>
              <w:rPr>
                <w:rFonts w:ascii="Arial"/>
                <w:sz w:val="21"/>
              </w:rPr>
            </w:pPr>
          </w:p>
          <w:p w14:paraId="62036A6B">
            <w:pPr>
              <w:spacing w:line="257" w:lineRule="auto"/>
              <w:rPr>
                <w:rFonts w:ascii="Arial"/>
                <w:sz w:val="21"/>
              </w:rPr>
            </w:pPr>
          </w:p>
          <w:p w14:paraId="34B75A75">
            <w:pPr>
              <w:spacing w:line="257" w:lineRule="auto"/>
              <w:rPr>
                <w:rFonts w:ascii="Arial"/>
                <w:sz w:val="21"/>
              </w:rPr>
            </w:pPr>
          </w:p>
          <w:p w14:paraId="5C5DF218">
            <w:pPr>
              <w:spacing w:line="257" w:lineRule="auto"/>
              <w:rPr>
                <w:rFonts w:ascii="Arial"/>
                <w:sz w:val="21"/>
              </w:rPr>
            </w:pPr>
          </w:p>
          <w:p w14:paraId="3853755B">
            <w:pPr>
              <w:pStyle w:val="7"/>
              <w:spacing w:before="78" w:line="217" w:lineRule="auto"/>
              <w:ind w:left="360"/>
            </w:pPr>
            <w:r>
              <w:t>台</w:t>
            </w:r>
          </w:p>
        </w:tc>
        <w:tc>
          <w:tcPr>
            <w:tcW w:w="1261" w:type="dxa"/>
            <w:tcBorders>
              <w:bottom w:val="single" w:color="000000" w:sz="4" w:space="0"/>
            </w:tcBorders>
            <w:vAlign w:val="top"/>
          </w:tcPr>
          <w:p w14:paraId="30F131A2">
            <w:pPr>
              <w:spacing w:line="256" w:lineRule="auto"/>
              <w:rPr>
                <w:rFonts w:ascii="Arial"/>
                <w:sz w:val="21"/>
              </w:rPr>
            </w:pPr>
          </w:p>
          <w:p w14:paraId="3412C52F">
            <w:pPr>
              <w:spacing w:line="257" w:lineRule="auto"/>
              <w:rPr>
                <w:rFonts w:ascii="Arial"/>
                <w:sz w:val="21"/>
              </w:rPr>
            </w:pPr>
          </w:p>
          <w:p w14:paraId="2210D5CD">
            <w:pPr>
              <w:spacing w:line="257" w:lineRule="auto"/>
              <w:rPr>
                <w:rFonts w:ascii="Arial"/>
                <w:sz w:val="21"/>
              </w:rPr>
            </w:pPr>
          </w:p>
          <w:p w14:paraId="557894E1">
            <w:pPr>
              <w:spacing w:line="257" w:lineRule="auto"/>
              <w:rPr>
                <w:rFonts w:ascii="Arial"/>
                <w:sz w:val="21"/>
              </w:rPr>
            </w:pPr>
          </w:p>
          <w:p w14:paraId="4440B347">
            <w:pPr>
              <w:spacing w:line="257" w:lineRule="auto"/>
              <w:rPr>
                <w:rFonts w:ascii="Arial"/>
                <w:sz w:val="21"/>
              </w:rPr>
            </w:pPr>
          </w:p>
          <w:p w14:paraId="72506531">
            <w:pPr>
              <w:pStyle w:val="7"/>
              <w:spacing w:before="78" w:line="237" w:lineRule="auto"/>
              <w:ind w:left="584"/>
            </w:pPr>
            <w:r>
              <w:t>6</w:t>
            </w:r>
          </w:p>
        </w:tc>
        <w:tc>
          <w:tcPr>
            <w:tcW w:w="3033" w:type="dxa"/>
            <w:tcBorders>
              <w:bottom w:val="single" w:color="5B9BD5" w:sz="4" w:space="0"/>
              <w:right w:val="single" w:color="5B9BD5" w:sz="4" w:space="0"/>
            </w:tcBorders>
            <w:vAlign w:val="top"/>
          </w:tcPr>
          <w:p w14:paraId="2642382F">
            <w:pPr>
              <w:spacing w:before="62" w:line="2852" w:lineRule="exact"/>
              <w:ind w:firstLine="57"/>
            </w:pPr>
            <w:r>
              <w:pict>
                <v:shape id="_x0000_s1265" o:spid="_x0000_s1265" style="position:absolute;left:0pt;margin-left:149.8pt;margin-top:158.2pt;height:0.75pt;width:2.2pt;mso-position-horizontal-relative:page;mso-position-vertical-relative:page;z-index:251689984;mso-width-relative:page;mso-height-relative:page;" fillcolor="#5B9BD5" filled="t" stroked="f" coordsize="44,15" path="m0,14l43,14,43,0,0,0,0,14xe">
                  <v:path/>
                  <v:fill on="t" focussize="0,0"/>
                  <v:stroke on="f"/>
                  <v:imagedata o:title=""/>
                  <o:lock v:ext="edit"/>
                </v:shape>
              </w:pict>
            </w:r>
            <w:r>
              <w:rPr>
                <w:position w:val="-57"/>
              </w:rPr>
              <w:drawing>
                <wp:inline distT="0" distB="0" distL="0" distR="0">
                  <wp:extent cx="1844040" cy="1811020"/>
                  <wp:effectExtent l="0" t="0" r="0" b="0"/>
                  <wp:docPr id="182" name="IM 182"/>
                  <wp:cNvGraphicFramePr/>
                  <a:graphic xmlns:a="http://schemas.openxmlformats.org/drawingml/2006/main">
                    <a:graphicData uri="http://schemas.openxmlformats.org/drawingml/2006/picture">
                      <pic:pic xmlns:pic="http://schemas.openxmlformats.org/drawingml/2006/picture">
                        <pic:nvPicPr>
                          <pic:cNvPr id="182" name="IM 182"/>
                          <pic:cNvPicPr/>
                        </pic:nvPicPr>
                        <pic:blipFill>
                          <a:blip r:embed="rId459"/>
                          <a:stretch>
                            <a:fillRect/>
                          </a:stretch>
                        </pic:blipFill>
                        <pic:spPr>
                          <a:xfrm>
                            <a:off x="0" y="0"/>
                            <a:ext cx="1844040" cy="1811020"/>
                          </a:xfrm>
                          <a:prstGeom prst="rect">
                            <a:avLst/>
                          </a:prstGeom>
                        </pic:spPr>
                      </pic:pic>
                    </a:graphicData>
                  </a:graphic>
                </wp:inline>
              </w:drawing>
            </w:r>
          </w:p>
        </w:tc>
      </w:tr>
    </w:tbl>
    <w:p w14:paraId="7AD666A5">
      <w:pPr>
        <w:rPr>
          <w:rFonts w:ascii="Arial"/>
          <w:sz w:val="21"/>
        </w:rPr>
      </w:pPr>
    </w:p>
    <w:p w14:paraId="189F8513">
      <w:pPr>
        <w:rPr>
          <w:rFonts w:ascii="Arial" w:hAnsi="Arial" w:eastAsia="Arial" w:cs="Arial"/>
          <w:sz w:val="21"/>
          <w:szCs w:val="21"/>
        </w:rPr>
        <w:sectPr>
          <w:footerReference r:id="rId33" w:type="default"/>
          <w:pgSz w:w="11907" w:h="16839"/>
          <w:pgMar w:top="954" w:right="4" w:bottom="1038" w:left="0" w:header="499" w:footer="357" w:gutter="0"/>
          <w:pgBorders>
            <w:top w:val="none" w:sz="0" w:space="0"/>
            <w:left w:val="none" w:sz="0" w:space="0"/>
            <w:bottom w:val="none" w:sz="0" w:space="0"/>
            <w:right w:val="none" w:sz="0" w:space="0"/>
          </w:pgBorders>
          <w:cols w:space="720" w:num="1"/>
        </w:sectPr>
      </w:pPr>
    </w:p>
    <w:p w14:paraId="5ED8FBB5">
      <w:pPr>
        <w:spacing w:line="214" w:lineRule="exact"/>
      </w:pPr>
    </w:p>
    <w:tbl>
      <w:tblPr>
        <w:tblStyle w:val="6"/>
        <w:tblW w:w="9426" w:type="dxa"/>
        <w:tblInd w:w="124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30"/>
        <w:gridCol w:w="1736"/>
        <w:gridCol w:w="1688"/>
        <w:gridCol w:w="878"/>
        <w:gridCol w:w="1263"/>
        <w:gridCol w:w="3031"/>
      </w:tblGrid>
      <w:tr w14:paraId="301FFF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4" w:hRule="atLeast"/>
        </w:trPr>
        <w:tc>
          <w:tcPr>
            <w:tcW w:w="830" w:type="dxa"/>
            <w:tcBorders>
              <w:top w:val="single" w:color="000000" w:sz="4" w:space="0"/>
              <w:left w:val="single" w:color="000000" w:sz="4" w:space="0"/>
            </w:tcBorders>
            <w:vAlign w:val="top"/>
          </w:tcPr>
          <w:p w14:paraId="423317B5">
            <w:pPr>
              <w:spacing w:line="281" w:lineRule="auto"/>
              <w:rPr>
                <w:rFonts w:ascii="Arial"/>
                <w:sz w:val="21"/>
              </w:rPr>
            </w:pPr>
          </w:p>
          <w:p w14:paraId="6F59213F">
            <w:pPr>
              <w:spacing w:line="282" w:lineRule="auto"/>
              <w:rPr>
                <w:rFonts w:ascii="Arial"/>
                <w:sz w:val="21"/>
              </w:rPr>
            </w:pPr>
          </w:p>
          <w:p w14:paraId="1F995FC5">
            <w:pPr>
              <w:spacing w:line="282" w:lineRule="auto"/>
              <w:rPr>
                <w:rFonts w:ascii="Arial"/>
                <w:sz w:val="21"/>
              </w:rPr>
            </w:pPr>
          </w:p>
          <w:p w14:paraId="46F26E77">
            <w:pPr>
              <w:spacing w:line="282" w:lineRule="auto"/>
              <w:rPr>
                <w:rFonts w:ascii="Arial"/>
                <w:sz w:val="21"/>
              </w:rPr>
            </w:pPr>
          </w:p>
          <w:p w14:paraId="30FDF1BF">
            <w:pPr>
              <w:pStyle w:val="7"/>
              <w:spacing w:before="78" w:line="238" w:lineRule="auto"/>
              <w:ind w:left="369"/>
            </w:pPr>
            <w:r>
              <w:t>4</w:t>
            </w:r>
          </w:p>
        </w:tc>
        <w:tc>
          <w:tcPr>
            <w:tcW w:w="1736" w:type="dxa"/>
            <w:tcBorders>
              <w:top w:val="single" w:color="000000" w:sz="4" w:space="0"/>
            </w:tcBorders>
            <w:vAlign w:val="top"/>
          </w:tcPr>
          <w:p w14:paraId="2C853E5B">
            <w:pPr>
              <w:spacing w:line="281" w:lineRule="auto"/>
              <w:rPr>
                <w:rFonts w:ascii="Arial"/>
                <w:sz w:val="21"/>
              </w:rPr>
            </w:pPr>
          </w:p>
          <w:p w14:paraId="6956E28F">
            <w:pPr>
              <w:spacing w:line="282" w:lineRule="auto"/>
              <w:rPr>
                <w:rFonts w:ascii="Arial"/>
                <w:sz w:val="21"/>
              </w:rPr>
            </w:pPr>
          </w:p>
          <w:p w14:paraId="24DF2142">
            <w:pPr>
              <w:spacing w:line="282" w:lineRule="auto"/>
              <w:rPr>
                <w:rFonts w:ascii="Arial"/>
                <w:sz w:val="21"/>
              </w:rPr>
            </w:pPr>
          </w:p>
          <w:p w14:paraId="1F8FBC62">
            <w:pPr>
              <w:spacing w:line="282" w:lineRule="auto"/>
              <w:rPr>
                <w:rFonts w:ascii="Arial"/>
                <w:sz w:val="21"/>
              </w:rPr>
            </w:pPr>
          </w:p>
          <w:p w14:paraId="712022DF">
            <w:pPr>
              <w:pStyle w:val="7"/>
              <w:spacing w:before="78" w:line="218" w:lineRule="auto"/>
              <w:ind w:left="548"/>
            </w:pPr>
            <w:r>
              <w:rPr>
                <w:spacing w:val="-13"/>
              </w:rPr>
              <w:t>水准仪</w:t>
            </w:r>
          </w:p>
        </w:tc>
        <w:tc>
          <w:tcPr>
            <w:tcW w:w="1688" w:type="dxa"/>
            <w:tcBorders>
              <w:top w:val="single" w:color="000000" w:sz="4" w:space="0"/>
            </w:tcBorders>
            <w:vAlign w:val="top"/>
          </w:tcPr>
          <w:p w14:paraId="6A5997E6">
            <w:pPr>
              <w:spacing w:line="292" w:lineRule="auto"/>
              <w:rPr>
                <w:rFonts w:ascii="Arial"/>
                <w:sz w:val="21"/>
              </w:rPr>
            </w:pPr>
          </w:p>
          <w:p w14:paraId="4E96B487">
            <w:pPr>
              <w:spacing w:line="293" w:lineRule="auto"/>
              <w:rPr>
                <w:rFonts w:ascii="Arial"/>
                <w:sz w:val="21"/>
              </w:rPr>
            </w:pPr>
          </w:p>
          <w:p w14:paraId="66BEC99E">
            <w:pPr>
              <w:spacing w:line="293" w:lineRule="auto"/>
              <w:rPr>
                <w:rFonts w:ascii="Arial"/>
                <w:sz w:val="21"/>
              </w:rPr>
            </w:pPr>
          </w:p>
          <w:p w14:paraId="1B4FCC3D">
            <w:pPr>
              <w:spacing w:line="293" w:lineRule="auto"/>
              <w:rPr>
                <w:rFonts w:ascii="Arial"/>
                <w:sz w:val="21"/>
              </w:rPr>
            </w:pPr>
          </w:p>
          <w:p w14:paraId="41E75EEB">
            <w:pPr>
              <w:pStyle w:val="7"/>
              <w:spacing w:before="78" w:line="178" w:lineRule="auto"/>
              <w:ind w:left="627"/>
            </w:pPr>
            <w:r>
              <w:rPr>
                <w:spacing w:val="-8"/>
              </w:rPr>
              <w:t>TDJ2</w:t>
            </w:r>
          </w:p>
        </w:tc>
        <w:tc>
          <w:tcPr>
            <w:tcW w:w="878" w:type="dxa"/>
            <w:tcBorders>
              <w:top w:val="single" w:color="000000" w:sz="4" w:space="0"/>
            </w:tcBorders>
            <w:vAlign w:val="top"/>
          </w:tcPr>
          <w:p w14:paraId="07CD57D7">
            <w:pPr>
              <w:spacing w:line="281" w:lineRule="auto"/>
              <w:rPr>
                <w:rFonts w:ascii="Arial"/>
                <w:sz w:val="21"/>
              </w:rPr>
            </w:pPr>
          </w:p>
          <w:p w14:paraId="6D48505C">
            <w:pPr>
              <w:spacing w:line="281" w:lineRule="auto"/>
              <w:rPr>
                <w:rFonts w:ascii="Arial"/>
                <w:sz w:val="21"/>
              </w:rPr>
            </w:pPr>
          </w:p>
          <w:p w14:paraId="43C34DB6">
            <w:pPr>
              <w:spacing w:line="282" w:lineRule="auto"/>
              <w:rPr>
                <w:rFonts w:ascii="Arial"/>
                <w:sz w:val="21"/>
              </w:rPr>
            </w:pPr>
          </w:p>
          <w:p w14:paraId="773263CB">
            <w:pPr>
              <w:spacing w:line="282" w:lineRule="auto"/>
              <w:rPr>
                <w:rFonts w:ascii="Arial"/>
                <w:sz w:val="21"/>
              </w:rPr>
            </w:pPr>
          </w:p>
          <w:p w14:paraId="4074AEA1">
            <w:pPr>
              <w:pStyle w:val="7"/>
              <w:spacing w:before="78" w:line="217" w:lineRule="auto"/>
              <w:ind w:left="364"/>
            </w:pPr>
            <w:r>
              <w:t>台</w:t>
            </w:r>
          </w:p>
        </w:tc>
        <w:tc>
          <w:tcPr>
            <w:tcW w:w="1263" w:type="dxa"/>
            <w:tcBorders>
              <w:top w:val="single" w:color="000000" w:sz="4" w:space="0"/>
            </w:tcBorders>
            <w:vAlign w:val="top"/>
          </w:tcPr>
          <w:p w14:paraId="2A479746">
            <w:pPr>
              <w:spacing w:line="281" w:lineRule="auto"/>
              <w:rPr>
                <w:rFonts w:ascii="Arial"/>
                <w:sz w:val="21"/>
              </w:rPr>
            </w:pPr>
          </w:p>
          <w:p w14:paraId="06519C63">
            <w:pPr>
              <w:spacing w:line="282" w:lineRule="auto"/>
              <w:rPr>
                <w:rFonts w:ascii="Arial"/>
                <w:sz w:val="21"/>
              </w:rPr>
            </w:pPr>
          </w:p>
          <w:p w14:paraId="4CB6DCAA">
            <w:pPr>
              <w:spacing w:line="282" w:lineRule="auto"/>
              <w:rPr>
                <w:rFonts w:ascii="Arial"/>
                <w:sz w:val="21"/>
              </w:rPr>
            </w:pPr>
          </w:p>
          <w:p w14:paraId="7768774E">
            <w:pPr>
              <w:spacing w:line="282" w:lineRule="auto"/>
              <w:rPr>
                <w:rFonts w:ascii="Arial"/>
                <w:sz w:val="21"/>
              </w:rPr>
            </w:pPr>
          </w:p>
          <w:p w14:paraId="558C33C8">
            <w:pPr>
              <w:pStyle w:val="7"/>
              <w:spacing w:before="78" w:line="237" w:lineRule="auto"/>
              <w:ind w:left="544"/>
            </w:pPr>
            <w:r>
              <w:rPr>
                <w:spacing w:val="-14"/>
              </w:rPr>
              <w:t>10</w:t>
            </w:r>
          </w:p>
        </w:tc>
        <w:tc>
          <w:tcPr>
            <w:tcW w:w="3031" w:type="dxa"/>
            <w:tcBorders>
              <w:top w:val="single" w:color="5B9BD5" w:sz="4" w:space="0"/>
              <w:right w:val="single" w:color="5B9BD5" w:sz="4" w:space="0"/>
            </w:tcBorders>
            <w:vAlign w:val="top"/>
          </w:tcPr>
          <w:p w14:paraId="389BDDAE">
            <w:pPr>
              <w:spacing w:before="93" w:line="2477" w:lineRule="exact"/>
              <w:ind w:firstLine="55"/>
            </w:pPr>
            <w:r>
              <w:rPr>
                <w:position w:val="-49"/>
              </w:rPr>
              <w:drawing>
                <wp:inline distT="0" distB="0" distL="0" distR="0">
                  <wp:extent cx="1871345" cy="1572895"/>
                  <wp:effectExtent l="0" t="0" r="0" b="0"/>
                  <wp:docPr id="186" name="IM 186"/>
                  <wp:cNvGraphicFramePr/>
                  <a:graphic xmlns:a="http://schemas.openxmlformats.org/drawingml/2006/main">
                    <a:graphicData uri="http://schemas.openxmlformats.org/drawingml/2006/picture">
                      <pic:pic xmlns:pic="http://schemas.openxmlformats.org/drawingml/2006/picture">
                        <pic:nvPicPr>
                          <pic:cNvPr id="186" name="IM 186"/>
                          <pic:cNvPicPr/>
                        </pic:nvPicPr>
                        <pic:blipFill>
                          <a:blip r:embed="rId460"/>
                          <a:stretch>
                            <a:fillRect/>
                          </a:stretch>
                        </pic:blipFill>
                        <pic:spPr>
                          <a:xfrm>
                            <a:off x="0" y="0"/>
                            <a:ext cx="1871979" cy="1572895"/>
                          </a:xfrm>
                          <a:prstGeom prst="rect">
                            <a:avLst/>
                          </a:prstGeom>
                        </pic:spPr>
                      </pic:pic>
                    </a:graphicData>
                  </a:graphic>
                </wp:inline>
              </w:drawing>
            </w:r>
          </w:p>
        </w:tc>
      </w:tr>
      <w:tr w14:paraId="69C613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0" w:hRule="atLeast"/>
        </w:trPr>
        <w:tc>
          <w:tcPr>
            <w:tcW w:w="830" w:type="dxa"/>
            <w:tcBorders>
              <w:left w:val="single" w:color="000000" w:sz="4" w:space="0"/>
            </w:tcBorders>
            <w:vAlign w:val="top"/>
          </w:tcPr>
          <w:p w14:paraId="0A0283C9">
            <w:pPr>
              <w:spacing w:line="277" w:lineRule="auto"/>
              <w:rPr>
                <w:rFonts w:ascii="Arial"/>
                <w:sz w:val="21"/>
              </w:rPr>
            </w:pPr>
          </w:p>
          <w:p w14:paraId="6CA127E4">
            <w:pPr>
              <w:spacing w:line="277" w:lineRule="auto"/>
              <w:rPr>
                <w:rFonts w:ascii="Arial"/>
                <w:sz w:val="21"/>
              </w:rPr>
            </w:pPr>
          </w:p>
          <w:p w14:paraId="0DE1FCBA">
            <w:pPr>
              <w:spacing w:line="278" w:lineRule="auto"/>
              <w:rPr>
                <w:rFonts w:ascii="Arial"/>
                <w:sz w:val="21"/>
              </w:rPr>
            </w:pPr>
          </w:p>
          <w:p w14:paraId="3E6E6F28">
            <w:pPr>
              <w:spacing w:line="278" w:lineRule="auto"/>
              <w:rPr>
                <w:rFonts w:ascii="Arial"/>
                <w:sz w:val="21"/>
              </w:rPr>
            </w:pPr>
          </w:p>
          <w:p w14:paraId="0905CF82">
            <w:pPr>
              <w:pStyle w:val="7"/>
              <w:spacing w:before="78" w:line="237" w:lineRule="auto"/>
              <w:ind w:left="375"/>
            </w:pPr>
            <w:r>
              <w:t>5</w:t>
            </w:r>
          </w:p>
        </w:tc>
        <w:tc>
          <w:tcPr>
            <w:tcW w:w="1736" w:type="dxa"/>
            <w:vAlign w:val="top"/>
          </w:tcPr>
          <w:p w14:paraId="639666C9">
            <w:pPr>
              <w:spacing w:line="277" w:lineRule="auto"/>
              <w:rPr>
                <w:rFonts w:ascii="Arial"/>
                <w:sz w:val="21"/>
              </w:rPr>
            </w:pPr>
          </w:p>
          <w:p w14:paraId="5852328D">
            <w:pPr>
              <w:spacing w:line="277" w:lineRule="auto"/>
              <w:rPr>
                <w:rFonts w:ascii="Arial"/>
                <w:sz w:val="21"/>
              </w:rPr>
            </w:pPr>
          </w:p>
          <w:p w14:paraId="773A0DA2">
            <w:pPr>
              <w:spacing w:line="278" w:lineRule="auto"/>
              <w:rPr>
                <w:rFonts w:ascii="Arial"/>
                <w:sz w:val="21"/>
              </w:rPr>
            </w:pPr>
          </w:p>
          <w:p w14:paraId="507C51D8">
            <w:pPr>
              <w:spacing w:line="278" w:lineRule="auto"/>
              <w:rPr>
                <w:rFonts w:ascii="Arial"/>
                <w:sz w:val="21"/>
              </w:rPr>
            </w:pPr>
          </w:p>
          <w:p w14:paraId="459CBB13">
            <w:pPr>
              <w:pStyle w:val="7"/>
              <w:spacing w:before="78" w:line="219" w:lineRule="auto"/>
              <w:ind w:left="658"/>
            </w:pPr>
            <w:r>
              <w:rPr>
                <w:spacing w:val="-10"/>
              </w:rPr>
              <w:t>钢尺</w:t>
            </w:r>
          </w:p>
        </w:tc>
        <w:tc>
          <w:tcPr>
            <w:tcW w:w="1688" w:type="dxa"/>
            <w:vAlign w:val="top"/>
          </w:tcPr>
          <w:p w14:paraId="72195CA6">
            <w:pPr>
              <w:spacing w:line="277" w:lineRule="auto"/>
              <w:rPr>
                <w:rFonts w:ascii="Arial"/>
                <w:sz w:val="21"/>
              </w:rPr>
            </w:pPr>
          </w:p>
          <w:p w14:paraId="52B7712C">
            <w:pPr>
              <w:spacing w:line="277" w:lineRule="auto"/>
              <w:rPr>
                <w:rFonts w:ascii="Arial"/>
                <w:sz w:val="21"/>
              </w:rPr>
            </w:pPr>
          </w:p>
          <w:p w14:paraId="5A3586AD">
            <w:pPr>
              <w:spacing w:line="278" w:lineRule="auto"/>
              <w:rPr>
                <w:rFonts w:ascii="Arial"/>
                <w:sz w:val="21"/>
              </w:rPr>
            </w:pPr>
          </w:p>
          <w:p w14:paraId="30B1A511">
            <w:pPr>
              <w:spacing w:line="278" w:lineRule="auto"/>
              <w:rPr>
                <w:rFonts w:ascii="Arial"/>
                <w:sz w:val="21"/>
              </w:rPr>
            </w:pPr>
          </w:p>
          <w:p w14:paraId="158582D4">
            <w:pPr>
              <w:pStyle w:val="7"/>
              <w:spacing w:before="78" w:line="237" w:lineRule="auto"/>
              <w:ind w:left="690"/>
            </w:pPr>
            <w:r>
              <w:rPr>
                <w:spacing w:val="-9"/>
              </w:rPr>
              <w:t>50m</w:t>
            </w:r>
          </w:p>
        </w:tc>
        <w:tc>
          <w:tcPr>
            <w:tcW w:w="878" w:type="dxa"/>
            <w:vAlign w:val="top"/>
          </w:tcPr>
          <w:p w14:paraId="16008712">
            <w:pPr>
              <w:spacing w:line="277" w:lineRule="auto"/>
              <w:rPr>
                <w:rFonts w:ascii="Arial"/>
                <w:sz w:val="21"/>
              </w:rPr>
            </w:pPr>
          </w:p>
          <w:p w14:paraId="2A2BB3F6">
            <w:pPr>
              <w:spacing w:line="278" w:lineRule="auto"/>
              <w:rPr>
                <w:rFonts w:ascii="Arial"/>
                <w:sz w:val="21"/>
              </w:rPr>
            </w:pPr>
          </w:p>
          <w:p w14:paraId="2980F5AD">
            <w:pPr>
              <w:spacing w:line="278" w:lineRule="auto"/>
              <w:rPr>
                <w:rFonts w:ascii="Arial"/>
                <w:sz w:val="21"/>
              </w:rPr>
            </w:pPr>
          </w:p>
          <w:p w14:paraId="129E4D04">
            <w:pPr>
              <w:spacing w:line="278" w:lineRule="auto"/>
              <w:rPr>
                <w:rFonts w:ascii="Arial"/>
                <w:sz w:val="21"/>
              </w:rPr>
            </w:pPr>
          </w:p>
          <w:p w14:paraId="31698D7D">
            <w:pPr>
              <w:pStyle w:val="7"/>
              <w:spacing w:before="78" w:line="220" w:lineRule="auto"/>
              <w:ind w:left="341"/>
            </w:pPr>
            <w:r>
              <w:t>把</w:t>
            </w:r>
          </w:p>
        </w:tc>
        <w:tc>
          <w:tcPr>
            <w:tcW w:w="1263" w:type="dxa"/>
            <w:vAlign w:val="top"/>
          </w:tcPr>
          <w:p w14:paraId="7BDC5196">
            <w:pPr>
              <w:spacing w:line="277" w:lineRule="auto"/>
              <w:rPr>
                <w:rFonts w:ascii="Arial"/>
                <w:sz w:val="21"/>
              </w:rPr>
            </w:pPr>
          </w:p>
          <w:p w14:paraId="6483A219">
            <w:pPr>
              <w:spacing w:line="277" w:lineRule="auto"/>
              <w:rPr>
                <w:rFonts w:ascii="Arial"/>
                <w:sz w:val="21"/>
              </w:rPr>
            </w:pPr>
          </w:p>
          <w:p w14:paraId="0FC2F0DF">
            <w:pPr>
              <w:spacing w:line="278" w:lineRule="auto"/>
              <w:rPr>
                <w:rFonts w:ascii="Arial"/>
                <w:sz w:val="21"/>
              </w:rPr>
            </w:pPr>
          </w:p>
          <w:p w14:paraId="538DA823">
            <w:pPr>
              <w:spacing w:line="278" w:lineRule="auto"/>
              <w:rPr>
                <w:rFonts w:ascii="Arial"/>
                <w:sz w:val="21"/>
              </w:rPr>
            </w:pPr>
          </w:p>
          <w:p w14:paraId="0DA99EED">
            <w:pPr>
              <w:pStyle w:val="7"/>
              <w:spacing w:before="78" w:line="237" w:lineRule="auto"/>
              <w:ind w:left="544"/>
            </w:pPr>
            <w:r>
              <w:rPr>
                <w:spacing w:val="-10"/>
              </w:rPr>
              <w:t>10</w:t>
            </w:r>
          </w:p>
        </w:tc>
        <w:tc>
          <w:tcPr>
            <w:tcW w:w="3031" w:type="dxa"/>
            <w:tcBorders>
              <w:right w:val="single" w:color="000000" w:sz="4" w:space="0"/>
            </w:tcBorders>
            <w:vAlign w:val="top"/>
          </w:tcPr>
          <w:p w14:paraId="08CEABAC">
            <w:pPr>
              <w:spacing w:before="86" w:line="2457" w:lineRule="exact"/>
              <w:ind w:firstLine="55"/>
            </w:pPr>
            <w:r>
              <w:rPr>
                <w:position w:val="-49"/>
              </w:rPr>
              <w:drawing>
                <wp:inline distT="0" distB="0" distL="0" distR="0">
                  <wp:extent cx="1873250" cy="1560195"/>
                  <wp:effectExtent l="0" t="0" r="0" b="0"/>
                  <wp:docPr id="188" name="IM 188"/>
                  <wp:cNvGraphicFramePr/>
                  <a:graphic xmlns:a="http://schemas.openxmlformats.org/drawingml/2006/main">
                    <a:graphicData uri="http://schemas.openxmlformats.org/drawingml/2006/picture">
                      <pic:pic xmlns:pic="http://schemas.openxmlformats.org/drawingml/2006/picture">
                        <pic:nvPicPr>
                          <pic:cNvPr id="188" name="IM 188"/>
                          <pic:cNvPicPr/>
                        </pic:nvPicPr>
                        <pic:blipFill>
                          <a:blip r:embed="rId461"/>
                          <a:stretch>
                            <a:fillRect/>
                          </a:stretch>
                        </pic:blipFill>
                        <pic:spPr>
                          <a:xfrm>
                            <a:off x="0" y="0"/>
                            <a:ext cx="1873250" cy="1560195"/>
                          </a:xfrm>
                          <a:prstGeom prst="rect">
                            <a:avLst/>
                          </a:prstGeom>
                        </pic:spPr>
                      </pic:pic>
                    </a:graphicData>
                  </a:graphic>
                </wp:inline>
              </w:drawing>
            </w:r>
          </w:p>
        </w:tc>
      </w:tr>
      <w:tr w14:paraId="6B8EAF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34" w:hRule="atLeast"/>
        </w:trPr>
        <w:tc>
          <w:tcPr>
            <w:tcW w:w="830" w:type="dxa"/>
            <w:tcBorders>
              <w:left w:val="single" w:color="000000" w:sz="4" w:space="0"/>
            </w:tcBorders>
            <w:vAlign w:val="top"/>
          </w:tcPr>
          <w:p w14:paraId="29546DC9">
            <w:pPr>
              <w:spacing w:line="272" w:lineRule="auto"/>
              <w:rPr>
                <w:rFonts w:ascii="Arial"/>
                <w:sz w:val="21"/>
              </w:rPr>
            </w:pPr>
          </w:p>
          <w:p w14:paraId="5FE58B42">
            <w:pPr>
              <w:spacing w:line="272" w:lineRule="auto"/>
              <w:rPr>
                <w:rFonts w:ascii="Arial"/>
                <w:sz w:val="21"/>
              </w:rPr>
            </w:pPr>
          </w:p>
          <w:p w14:paraId="7FB9B796">
            <w:pPr>
              <w:spacing w:line="272" w:lineRule="auto"/>
              <w:rPr>
                <w:rFonts w:ascii="Arial"/>
                <w:sz w:val="21"/>
              </w:rPr>
            </w:pPr>
          </w:p>
          <w:p w14:paraId="697512E6">
            <w:pPr>
              <w:spacing w:line="272" w:lineRule="auto"/>
              <w:rPr>
                <w:rFonts w:ascii="Arial"/>
                <w:sz w:val="21"/>
              </w:rPr>
            </w:pPr>
          </w:p>
          <w:p w14:paraId="6BA06B58">
            <w:pPr>
              <w:pStyle w:val="7"/>
              <w:spacing w:before="78" w:line="237" w:lineRule="auto"/>
              <w:ind w:left="372"/>
            </w:pPr>
            <w:r>
              <w:t>6</w:t>
            </w:r>
          </w:p>
        </w:tc>
        <w:tc>
          <w:tcPr>
            <w:tcW w:w="1736" w:type="dxa"/>
            <w:vAlign w:val="top"/>
          </w:tcPr>
          <w:p w14:paraId="24C57E99">
            <w:pPr>
              <w:spacing w:line="272" w:lineRule="auto"/>
              <w:rPr>
                <w:rFonts w:ascii="Arial"/>
                <w:sz w:val="21"/>
              </w:rPr>
            </w:pPr>
          </w:p>
          <w:p w14:paraId="4E041989">
            <w:pPr>
              <w:spacing w:line="272" w:lineRule="auto"/>
              <w:rPr>
                <w:rFonts w:ascii="Arial"/>
                <w:sz w:val="21"/>
              </w:rPr>
            </w:pPr>
          </w:p>
          <w:p w14:paraId="5FC8F0BF">
            <w:pPr>
              <w:spacing w:line="272" w:lineRule="auto"/>
              <w:rPr>
                <w:rFonts w:ascii="Arial"/>
                <w:sz w:val="21"/>
              </w:rPr>
            </w:pPr>
          </w:p>
          <w:p w14:paraId="758D6067">
            <w:pPr>
              <w:spacing w:line="272" w:lineRule="auto"/>
              <w:rPr>
                <w:rFonts w:ascii="Arial"/>
                <w:sz w:val="21"/>
              </w:rPr>
            </w:pPr>
          </w:p>
          <w:p w14:paraId="1CCE8636">
            <w:pPr>
              <w:pStyle w:val="7"/>
              <w:spacing w:before="78" w:line="219" w:lineRule="auto"/>
              <w:ind w:left="658"/>
            </w:pPr>
            <w:r>
              <w:rPr>
                <w:spacing w:val="-10"/>
              </w:rPr>
              <w:t>钢尺</w:t>
            </w:r>
          </w:p>
        </w:tc>
        <w:tc>
          <w:tcPr>
            <w:tcW w:w="1688" w:type="dxa"/>
            <w:vAlign w:val="top"/>
          </w:tcPr>
          <w:p w14:paraId="349CA988">
            <w:pPr>
              <w:spacing w:line="272" w:lineRule="auto"/>
              <w:rPr>
                <w:rFonts w:ascii="Arial"/>
                <w:sz w:val="21"/>
              </w:rPr>
            </w:pPr>
          </w:p>
          <w:p w14:paraId="03A5D287">
            <w:pPr>
              <w:spacing w:line="272" w:lineRule="auto"/>
              <w:rPr>
                <w:rFonts w:ascii="Arial"/>
                <w:sz w:val="21"/>
              </w:rPr>
            </w:pPr>
          </w:p>
          <w:p w14:paraId="778C029D">
            <w:pPr>
              <w:spacing w:line="272" w:lineRule="auto"/>
              <w:rPr>
                <w:rFonts w:ascii="Arial"/>
                <w:sz w:val="21"/>
              </w:rPr>
            </w:pPr>
          </w:p>
          <w:p w14:paraId="6F6CCCDA">
            <w:pPr>
              <w:spacing w:line="272" w:lineRule="auto"/>
              <w:rPr>
                <w:rFonts w:ascii="Arial"/>
                <w:sz w:val="21"/>
              </w:rPr>
            </w:pPr>
          </w:p>
          <w:p w14:paraId="53B29573">
            <w:pPr>
              <w:pStyle w:val="7"/>
              <w:spacing w:before="78" w:line="237" w:lineRule="auto"/>
              <w:ind w:left="690"/>
            </w:pPr>
            <w:r>
              <w:rPr>
                <w:spacing w:val="-9"/>
              </w:rPr>
              <w:t>30m</w:t>
            </w:r>
          </w:p>
        </w:tc>
        <w:tc>
          <w:tcPr>
            <w:tcW w:w="878" w:type="dxa"/>
            <w:vAlign w:val="top"/>
          </w:tcPr>
          <w:p w14:paraId="526EEC1C">
            <w:pPr>
              <w:spacing w:line="272" w:lineRule="auto"/>
              <w:rPr>
                <w:rFonts w:ascii="Arial"/>
                <w:sz w:val="21"/>
              </w:rPr>
            </w:pPr>
          </w:p>
          <w:p w14:paraId="2C26C44D">
            <w:pPr>
              <w:spacing w:line="272" w:lineRule="auto"/>
              <w:rPr>
                <w:rFonts w:ascii="Arial"/>
                <w:sz w:val="21"/>
              </w:rPr>
            </w:pPr>
          </w:p>
          <w:p w14:paraId="19920759">
            <w:pPr>
              <w:spacing w:line="272" w:lineRule="auto"/>
              <w:rPr>
                <w:rFonts w:ascii="Arial"/>
                <w:sz w:val="21"/>
              </w:rPr>
            </w:pPr>
          </w:p>
          <w:p w14:paraId="5D472270">
            <w:pPr>
              <w:spacing w:line="272" w:lineRule="auto"/>
              <w:rPr>
                <w:rFonts w:ascii="Arial"/>
                <w:sz w:val="21"/>
              </w:rPr>
            </w:pPr>
          </w:p>
          <w:p w14:paraId="744DE568">
            <w:pPr>
              <w:pStyle w:val="7"/>
              <w:spacing w:before="78" w:line="220" w:lineRule="auto"/>
              <w:ind w:left="341"/>
            </w:pPr>
            <w:r>
              <w:t>把</w:t>
            </w:r>
          </w:p>
        </w:tc>
        <w:tc>
          <w:tcPr>
            <w:tcW w:w="1263" w:type="dxa"/>
            <w:vAlign w:val="top"/>
          </w:tcPr>
          <w:p w14:paraId="7215F139">
            <w:pPr>
              <w:spacing w:line="272" w:lineRule="auto"/>
              <w:rPr>
                <w:rFonts w:ascii="Arial"/>
                <w:sz w:val="21"/>
              </w:rPr>
            </w:pPr>
          </w:p>
          <w:p w14:paraId="2C2B24C5">
            <w:pPr>
              <w:spacing w:line="272" w:lineRule="auto"/>
              <w:rPr>
                <w:rFonts w:ascii="Arial"/>
                <w:sz w:val="21"/>
              </w:rPr>
            </w:pPr>
          </w:p>
          <w:p w14:paraId="7A5105CB">
            <w:pPr>
              <w:spacing w:line="272" w:lineRule="auto"/>
              <w:rPr>
                <w:rFonts w:ascii="Arial"/>
                <w:sz w:val="21"/>
              </w:rPr>
            </w:pPr>
          </w:p>
          <w:p w14:paraId="0483AEDD">
            <w:pPr>
              <w:spacing w:line="272" w:lineRule="auto"/>
              <w:rPr>
                <w:rFonts w:ascii="Arial"/>
                <w:sz w:val="21"/>
              </w:rPr>
            </w:pPr>
          </w:p>
          <w:p w14:paraId="362668F4">
            <w:pPr>
              <w:pStyle w:val="7"/>
              <w:spacing w:before="78" w:line="237" w:lineRule="auto"/>
              <w:ind w:left="544"/>
            </w:pPr>
            <w:r>
              <w:rPr>
                <w:spacing w:val="-10"/>
              </w:rPr>
              <w:t>10</w:t>
            </w:r>
          </w:p>
        </w:tc>
        <w:tc>
          <w:tcPr>
            <w:tcW w:w="3031" w:type="dxa"/>
            <w:tcBorders>
              <w:right w:val="single" w:color="000000" w:sz="4" w:space="0"/>
            </w:tcBorders>
            <w:vAlign w:val="top"/>
          </w:tcPr>
          <w:p w14:paraId="2E0EA779">
            <w:pPr>
              <w:spacing w:before="61" w:line="2460" w:lineRule="exact"/>
              <w:ind w:firstLine="55"/>
            </w:pPr>
            <w:r>
              <w:rPr>
                <w:position w:val="-49"/>
              </w:rPr>
              <w:drawing>
                <wp:inline distT="0" distB="0" distL="0" distR="0">
                  <wp:extent cx="1844040" cy="1562100"/>
                  <wp:effectExtent l="0" t="0" r="0" b="0"/>
                  <wp:docPr id="190" name="IM 190"/>
                  <wp:cNvGraphicFramePr/>
                  <a:graphic xmlns:a="http://schemas.openxmlformats.org/drawingml/2006/main">
                    <a:graphicData uri="http://schemas.openxmlformats.org/drawingml/2006/picture">
                      <pic:pic xmlns:pic="http://schemas.openxmlformats.org/drawingml/2006/picture">
                        <pic:nvPicPr>
                          <pic:cNvPr id="190" name="IM 190"/>
                          <pic:cNvPicPr/>
                        </pic:nvPicPr>
                        <pic:blipFill>
                          <a:blip r:embed="rId462"/>
                          <a:stretch>
                            <a:fillRect/>
                          </a:stretch>
                        </pic:blipFill>
                        <pic:spPr>
                          <a:xfrm>
                            <a:off x="0" y="0"/>
                            <a:ext cx="1844040" cy="1562100"/>
                          </a:xfrm>
                          <a:prstGeom prst="rect">
                            <a:avLst/>
                          </a:prstGeom>
                        </pic:spPr>
                      </pic:pic>
                    </a:graphicData>
                  </a:graphic>
                </wp:inline>
              </w:drawing>
            </w:r>
          </w:p>
        </w:tc>
      </w:tr>
      <w:tr w14:paraId="027F59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34" w:hRule="atLeast"/>
        </w:trPr>
        <w:tc>
          <w:tcPr>
            <w:tcW w:w="830" w:type="dxa"/>
            <w:tcBorders>
              <w:left w:val="single" w:color="000000" w:sz="4" w:space="0"/>
            </w:tcBorders>
            <w:vAlign w:val="top"/>
          </w:tcPr>
          <w:p w14:paraId="552EAE91">
            <w:pPr>
              <w:spacing w:line="272" w:lineRule="auto"/>
              <w:rPr>
                <w:rFonts w:ascii="Arial"/>
                <w:sz w:val="21"/>
              </w:rPr>
            </w:pPr>
          </w:p>
          <w:p w14:paraId="1D38CF6A">
            <w:pPr>
              <w:spacing w:line="272" w:lineRule="auto"/>
              <w:rPr>
                <w:rFonts w:ascii="Arial"/>
                <w:sz w:val="21"/>
              </w:rPr>
            </w:pPr>
          </w:p>
          <w:p w14:paraId="76CC8CDA">
            <w:pPr>
              <w:spacing w:line="273" w:lineRule="auto"/>
              <w:rPr>
                <w:rFonts w:ascii="Arial"/>
                <w:sz w:val="21"/>
              </w:rPr>
            </w:pPr>
          </w:p>
          <w:p w14:paraId="39FD207F">
            <w:pPr>
              <w:spacing w:line="273" w:lineRule="auto"/>
              <w:rPr>
                <w:rFonts w:ascii="Arial"/>
                <w:sz w:val="21"/>
              </w:rPr>
            </w:pPr>
          </w:p>
          <w:p w14:paraId="51DBB8D8">
            <w:pPr>
              <w:pStyle w:val="7"/>
              <w:spacing w:before="78" w:line="237" w:lineRule="auto"/>
              <w:ind w:left="376"/>
            </w:pPr>
            <w:r>
              <w:t>7</w:t>
            </w:r>
          </w:p>
        </w:tc>
        <w:tc>
          <w:tcPr>
            <w:tcW w:w="1736" w:type="dxa"/>
            <w:vAlign w:val="top"/>
          </w:tcPr>
          <w:p w14:paraId="066891E1">
            <w:pPr>
              <w:spacing w:line="272" w:lineRule="auto"/>
              <w:rPr>
                <w:rFonts w:ascii="Arial"/>
                <w:sz w:val="21"/>
              </w:rPr>
            </w:pPr>
          </w:p>
          <w:p w14:paraId="7B1FC272">
            <w:pPr>
              <w:spacing w:line="272" w:lineRule="auto"/>
              <w:rPr>
                <w:rFonts w:ascii="Arial"/>
                <w:sz w:val="21"/>
              </w:rPr>
            </w:pPr>
          </w:p>
          <w:p w14:paraId="6FC4A0E0">
            <w:pPr>
              <w:spacing w:line="273" w:lineRule="auto"/>
              <w:rPr>
                <w:rFonts w:ascii="Arial"/>
                <w:sz w:val="21"/>
              </w:rPr>
            </w:pPr>
          </w:p>
          <w:p w14:paraId="1E604ABC">
            <w:pPr>
              <w:spacing w:line="273" w:lineRule="auto"/>
              <w:rPr>
                <w:rFonts w:ascii="Arial"/>
                <w:sz w:val="21"/>
              </w:rPr>
            </w:pPr>
          </w:p>
          <w:p w14:paraId="30B99D35">
            <w:pPr>
              <w:pStyle w:val="7"/>
              <w:spacing w:before="78" w:line="219" w:lineRule="auto"/>
              <w:ind w:left="663"/>
            </w:pPr>
            <w:r>
              <w:rPr>
                <w:spacing w:val="-11"/>
              </w:rPr>
              <w:t>盒尺</w:t>
            </w:r>
          </w:p>
        </w:tc>
        <w:tc>
          <w:tcPr>
            <w:tcW w:w="1688" w:type="dxa"/>
            <w:vAlign w:val="top"/>
          </w:tcPr>
          <w:p w14:paraId="44614277">
            <w:pPr>
              <w:spacing w:line="272" w:lineRule="auto"/>
              <w:rPr>
                <w:rFonts w:ascii="Arial"/>
                <w:sz w:val="21"/>
              </w:rPr>
            </w:pPr>
          </w:p>
          <w:p w14:paraId="0F11FC25">
            <w:pPr>
              <w:spacing w:line="272" w:lineRule="auto"/>
              <w:rPr>
                <w:rFonts w:ascii="Arial"/>
                <w:sz w:val="21"/>
              </w:rPr>
            </w:pPr>
          </w:p>
          <w:p w14:paraId="07AC300D">
            <w:pPr>
              <w:spacing w:line="273" w:lineRule="auto"/>
              <w:rPr>
                <w:rFonts w:ascii="Arial"/>
                <w:sz w:val="21"/>
              </w:rPr>
            </w:pPr>
          </w:p>
          <w:p w14:paraId="0CBEDE14">
            <w:pPr>
              <w:spacing w:line="273" w:lineRule="auto"/>
              <w:rPr>
                <w:rFonts w:ascii="Arial"/>
                <w:sz w:val="21"/>
              </w:rPr>
            </w:pPr>
          </w:p>
          <w:p w14:paraId="6982AAA8">
            <w:pPr>
              <w:pStyle w:val="7"/>
              <w:spacing w:before="78" w:line="237" w:lineRule="auto"/>
              <w:ind w:left="743"/>
            </w:pPr>
            <w:r>
              <w:rPr>
                <w:spacing w:val="-7"/>
              </w:rPr>
              <w:t>5m</w:t>
            </w:r>
          </w:p>
        </w:tc>
        <w:tc>
          <w:tcPr>
            <w:tcW w:w="878" w:type="dxa"/>
            <w:vAlign w:val="top"/>
          </w:tcPr>
          <w:p w14:paraId="73B600F2">
            <w:pPr>
              <w:spacing w:line="272" w:lineRule="auto"/>
              <w:rPr>
                <w:rFonts w:ascii="Arial"/>
                <w:sz w:val="21"/>
              </w:rPr>
            </w:pPr>
          </w:p>
          <w:p w14:paraId="4F5B79E3">
            <w:pPr>
              <w:spacing w:line="273" w:lineRule="auto"/>
              <w:rPr>
                <w:rFonts w:ascii="Arial"/>
                <w:sz w:val="21"/>
              </w:rPr>
            </w:pPr>
          </w:p>
          <w:p w14:paraId="33E1F299">
            <w:pPr>
              <w:spacing w:line="273" w:lineRule="auto"/>
              <w:rPr>
                <w:rFonts w:ascii="Arial"/>
                <w:sz w:val="21"/>
              </w:rPr>
            </w:pPr>
          </w:p>
          <w:p w14:paraId="18BE252F">
            <w:pPr>
              <w:spacing w:line="273" w:lineRule="auto"/>
              <w:rPr>
                <w:rFonts w:ascii="Arial"/>
                <w:sz w:val="21"/>
              </w:rPr>
            </w:pPr>
          </w:p>
          <w:p w14:paraId="3ADD4B37">
            <w:pPr>
              <w:pStyle w:val="7"/>
              <w:spacing w:before="78" w:line="220" w:lineRule="auto"/>
              <w:ind w:left="341"/>
            </w:pPr>
            <w:r>
              <w:t>把</w:t>
            </w:r>
          </w:p>
        </w:tc>
        <w:tc>
          <w:tcPr>
            <w:tcW w:w="1263" w:type="dxa"/>
            <w:vAlign w:val="top"/>
          </w:tcPr>
          <w:p w14:paraId="6D37098F">
            <w:pPr>
              <w:spacing w:line="272" w:lineRule="auto"/>
              <w:rPr>
                <w:rFonts w:ascii="Arial"/>
                <w:sz w:val="21"/>
              </w:rPr>
            </w:pPr>
          </w:p>
          <w:p w14:paraId="13F60764">
            <w:pPr>
              <w:spacing w:line="272" w:lineRule="auto"/>
              <w:rPr>
                <w:rFonts w:ascii="Arial"/>
                <w:sz w:val="21"/>
              </w:rPr>
            </w:pPr>
          </w:p>
          <w:p w14:paraId="66BAB8A6">
            <w:pPr>
              <w:spacing w:line="273" w:lineRule="auto"/>
              <w:rPr>
                <w:rFonts w:ascii="Arial"/>
                <w:sz w:val="21"/>
              </w:rPr>
            </w:pPr>
          </w:p>
          <w:p w14:paraId="60C405C6">
            <w:pPr>
              <w:spacing w:line="273" w:lineRule="auto"/>
              <w:rPr>
                <w:rFonts w:ascii="Arial"/>
                <w:sz w:val="21"/>
              </w:rPr>
            </w:pPr>
          </w:p>
          <w:p w14:paraId="5EBC7905">
            <w:pPr>
              <w:pStyle w:val="7"/>
              <w:spacing w:before="78" w:line="219" w:lineRule="auto"/>
              <w:ind w:left="426"/>
            </w:pPr>
            <w:r>
              <w:rPr>
                <w:spacing w:val="-10"/>
              </w:rPr>
              <w:t>若干</w:t>
            </w:r>
          </w:p>
        </w:tc>
        <w:tc>
          <w:tcPr>
            <w:tcW w:w="3031" w:type="dxa"/>
            <w:tcBorders>
              <w:right w:val="single" w:color="000000" w:sz="4" w:space="0"/>
            </w:tcBorders>
            <w:vAlign w:val="top"/>
          </w:tcPr>
          <w:p w14:paraId="1CF5FF54">
            <w:pPr>
              <w:spacing w:before="62" w:line="2460" w:lineRule="exact"/>
              <w:ind w:firstLine="58"/>
            </w:pPr>
            <w:r>
              <w:rPr>
                <w:position w:val="-49"/>
              </w:rPr>
              <w:drawing>
                <wp:inline distT="0" distB="0" distL="0" distR="0">
                  <wp:extent cx="1836420" cy="1562100"/>
                  <wp:effectExtent l="0" t="0" r="0" b="0"/>
                  <wp:docPr id="192" name="IM 192"/>
                  <wp:cNvGraphicFramePr/>
                  <a:graphic xmlns:a="http://schemas.openxmlformats.org/drawingml/2006/main">
                    <a:graphicData uri="http://schemas.openxmlformats.org/drawingml/2006/picture">
                      <pic:pic xmlns:pic="http://schemas.openxmlformats.org/drawingml/2006/picture">
                        <pic:nvPicPr>
                          <pic:cNvPr id="192" name="IM 192"/>
                          <pic:cNvPicPr/>
                        </pic:nvPicPr>
                        <pic:blipFill>
                          <a:blip r:embed="rId463"/>
                          <a:stretch>
                            <a:fillRect/>
                          </a:stretch>
                        </pic:blipFill>
                        <pic:spPr>
                          <a:xfrm>
                            <a:off x="0" y="0"/>
                            <a:ext cx="1836420" cy="1562100"/>
                          </a:xfrm>
                          <a:prstGeom prst="rect">
                            <a:avLst/>
                          </a:prstGeom>
                        </pic:spPr>
                      </pic:pic>
                    </a:graphicData>
                  </a:graphic>
                </wp:inline>
              </w:drawing>
            </w:r>
          </w:p>
        </w:tc>
      </w:tr>
      <w:tr w14:paraId="5910A2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61" w:hRule="atLeast"/>
        </w:trPr>
        <w:tc>
          <w:tcPr>
            <w:tcW w:w="830" w:type="dxa"/>
            <w:tcBorders>
              <w:left w:val="single" w:color="20507B" w:sz="4" w:space="0"/>
              <w:bottom w:val="single" w:color="20507B" w:sz="4" w:space="0"/>
            </w:tcBorders>
            <w:vAlign w:val="top"/>
          </w:tcPr>
          <w:p w14:paraId="68DE1BBA">
            <w:pPr>
              <w:spacing w:line="283" w:lineRule="auto"/>
              <w:rPr>
                <w:rFonts w:ascii="Arial"/>
                <w:sz w:val="21"/>
              </w:rPr>
            </w:pPr>
            <w:r>
              <w:pict>
                <v:shape id="_x0000_s1266" o:spid="_x0000_s1266" style="position:absolute;left:0pt;margin-left:2pt;margin-top:141.65pt;height:0.75pt;width:39.15pt;mso-position-horizontal-relative:page;mso-position-vertical-relative:page;z-index:251695104;mso-width-relative:page;mso-height-relative:page;" fillcolor="#1C456A" filled="t" stroked="f" coordsize="783,15" path="m0,14l782,14,782,0,0,0,0,14xe">
                  <v:path/>
                  <v:fill on="t" focussize="0,0"/>
                  <v:stroke on="f"/>
                  <v:imagedata o:title=""/>
                  <o:lock v:ext="edit"/>
                </v:shape>
              </w:pict>
            </w:r>
          </w:p>
          <w:p w14:paraId="6E199833">
            <w:pPr>
              <w:spacing w:line="284" w:lineRule="auto"/>
              <w:rPr>
                <w:rFonts w:ascii="Arial"/>
                <w:sz w:val="21"/>
              </w:rPr>
            </w:pPr>
          </w:p>
          <w:p w14:paraId="0F0191B7">
            <w:pPr>
              <w:spacing w:line="284" w:lineRule="auto"/>
              <w:rPr>
                <w:rFonts w:ascii="Arial"/>
                <w:sz w:val="21"/>
              </w:rPr>
            </w:pPr>
          </w:p>
          <w:p w14:paraId="62FFEB97">
            <w:pPr>
              <w:spacing w:line="284" w:lineRule="auto"/>
              <w:rPr>
                <w:rFonts w:ascii="Arial"/>
                <w:sz w:val="21"/>
              </w:rPr>
            </w:pPr>
          </w:p>
          <w:p w14:paraId="39F9A6BE">
            <w:pPr>
              <w:pStyle w:val="7"/>
              <w:spacing w:before="78" w:line="237" w:lineRule="auto"/>
              <w:ind w:left="371"/>
            </w:pPr>
            <w:r>
              <w:t>8</w:t>
            </w:r>
          </w:p>
        </w:tc>
        <w:tc>
          <w:tcPr>
            <w:tcW w:w="1736" w:type="dxa"/>
            <w:tcBorders>
              <w:bottom w:val="single" w:color="000000" w:sz="4" w:space="0"/>
            </w:tcBorders>
            <w:vAlign w:val="top"/>
          </w:tcPr>
          <w:p w14:paraId="7D885932">
            <w:pPr>
              <w:spacing w:line="284" w:lineRule="auto"/>
              <w:rPr>
                <w:rFonts w:ascii="Arial"/>
                <w:sz w:val="21"/>
              </w:rPr>
            </w:pPr>
            <w:r>
              <w:pict>
                <v:shape id="_x0000_s1267" o:spid="_x0000_s1267" style="position:absolute;left:0pt;margin-left:1.75pt;margin-top:141.65pt;height:0.75pt;width:84.75pt;mso-position-horizontal-relative:page;mso-position-vertical-relative:page;z-index:251691008;mso-width-relative:page;mso-height-relative:page;" fillcolor="#1C456A" filled="t" stroked="f" coordsize="1695,15" path="m0,14l1694,14,1694,0,0,0,0,14xe">
                  <v:path/>
                  <v:fill on="t" focussize="0,0"/>
                  <v:stroke on="f"/>
                  <v:imagedata o:title=""/>
                  <o:lock v:ext="edit"/>
                </v:shape>
              </w:pict>
            </w:r>
          </w:p>
          <w:p w14:paraId="6D6CF30A">
            <w:pPr>
              <w:spacing w:line="284" w:lineRule="auto"/>
              <w:rPr>
                <w:rFonts w:ascii="Arial"/>
                <w:sz w:val="21"/>
              </w:rPr>
            </w:pPr>
          </w:p>
          <w:p w14:paraId="213BE7C7">
            <w:pPr>
              <w:spacing w:line="284" w:lineRule="auto"/>
              <w:rPr>
                <w:rFonts w:ascii="Arial"/>
                <w:sz w:val="21"/>
              </w:rPr>
            </w:pPr>
          </w:p>
          <w:p w14:paraId="1324D2E7">
            <w:pPr>
              <w:spacing w:line="284" w:lineRule="auto"/>
              <w:rPr>
                <w:rFonts w:ascii="Arial"/>
                <w:sz w:val="21"/>
              </w:rPr>
            </w:pPr>
          </w:p>
          <w:p w14:paraId="420072E7">
            <w:pPr>
              <w:pStyle w:val="7"/>
              <w:spacing w:before="78" w:line="218" w:lineRule="auto"/>
              <w:ind w:left="551"/>
            </w:pPr>
            <w:r>
              <w:rPr>
                <w:spacing w:val="-14"/>
              </w:rPr>
              <w:t>对讲机</w:t>
            </w:r>
          </w:p>
        </w:tc>
        <w:tc>
          <w:tcPr>
            <w:tcW w:w="1688" w:type="dxa"/>
            <w:tcBorders>
              <w:bottom w:val="single" w:color="000000" w:sz="4" w:space="0"/>
            </w:tcBorders>
            <w:vAlign w:val="top"/>
          </w:tcPr>
          <w:p w14:paraId="75318772">
            <w:pPr>
              <w:spacing w:line="283" w:lineRule="auto"/>
              <w:rPr>
                <w:rFonts w:ascii="Arial"/>
                <w:sz w:val="21"/>
              </w:rPr>
            </w:pPr>
            <w:r>
              <w:pict>
                <v:shape id="_x0000_s1268" o:spid="_x0000_s1268" style="position:absolute;left:0pt;margin-left:1.85pt;margin-top:141.65pt;height:0.75pt;width:82.35pt;mso-position-horizontal-relative:page;mso-position-vertical-relative:page;z-index:251692032;mso-width-relative:page;mso-height-relative:page;" fillcolor="#1C456A" filled="t" stroked="f" coordsize="1646,15" path="m0,14l1646,14,1646,0,0,0,0,14xe">
                  <v:path/>
                  <v:fill on="t" focussize="0,0"/>
                  <v:stroke on="f"/>
                  <v:imagedata o:title=""/>
                  <o:lock v:ext="edit"/>
                </v:shape>
              </w:pict>
            </w:r>
          </w:p>
          <w:p w14:paraId="6CAD61D3">
            <w:pPr>
              <w:spacing w:line="284" w:lineRule="auto"/>
              <w:rPr>
                <w:rFonts w:ascii="Arial"/>
                <w:sz w:val="21"/>
              </w:rPr>
            </w:pPr>
          </w:p>
          <w:p w14:paraId="30CF3B6F">
            <w:pPr>
              <w:spacing w:line="284" w:lineRule="auto"/>
              <w:rPr>
                <w:rFonts w:ascii="Arial"/>
                <w:sz w:val="21"/>
              </w:rPr>
            </w:pPr>
          </w:p>
          <w:p w14:paraId="46A94B85">
            <w:pPr>
              <w:spacing w:line="284" w:lineRule="auto"/>
              <w:rPr>
                <w:rFonts w:ascii="Arial"/>
                <w:sz w:val="21"/>
              </w:rPr>
            </w:pPr>
          </w:p>
          <w:p w14:paraId="6A84FC4D">
            <w:pPr>
              <w:pStyle w:val="7"/>
              <w:spacing w:before="78" w:line="237" w:lineRule="auto"/>
              <w:ind w:left="633"/>
            </w:pPr>
            <w:r>
              <w:rPr>
                <w:spacing w:val="-9"/>
              </w:rPr>
              <w:t>200m</w:t>
            </w:r>
          </w:p>
        </w:tc>
        <w:tc>
          <w:tcPr>
            <w:tcW w:w="878" w:type="dxa"/>
            <w:tcBorders>
              <w:bottom w:val="single" w:color="000000" w:sz="4" w:space="0"/>
            </w:tcBorders>
            <w:vAlign w:val="top"/>
          </w:tcPr>
          <w:p w14:paraId="3BFD2B81">
            <w:pPr>
              <w:spacing w:line="283" w:lineRule="auto"/>
              <w:rPr>
                <w:rFonts w:ascii="Arial"/>
                <w:sz w:val="21"/>
              </w:rPr>
            </w:pPr>
            <w:r>
              <w:pict>
                <v:shape id="_x0000_s1269" o:spid="_x0000_s1269" style="position:absolute;left:0pt;margin-left:1.95pt;margin-top:141.65pt;height:0.75pt;width:41.8pt;mso-position-horizontal-relative:page;mso-position-vertical-relative:page;z-index:251694080;mso-width-relative:page;mso-height-relative:page;" fillcolor="#1C456A" filled="t" stroked="f" coordsize="835,15" path="m0,14l835,14,835,0,0,0,0,14xe">
                  <v:path/>
                  <v:fill on="t" focussize="0,0"/>
                  <v:stroke on="f"/>
                  <v:imagedata o:title=""/>
                  <o:lock v:ext="edit"/>
                </v:shape>
              </w:pict>
            </w:r>
          </w:p>
          <w:p w14:paraId="2B121DE3">
            <w:pPr>
              <w:spacing w:line="284" w:lineRule="auto"/>
              <w:rPr>
                <w:rFonts w:ascii="Arial"/>
                <w:sz w:val="21"/>
              </w:rPr>
            </w:pPr>
          </w:p>
          <w:p w14:paraId="5333D77F">
            <w:pPr>
              <w:spacing w:line="284" w:lineRule="auto"/>
              <w:rPr>
                <w:rFonts w:ascii="Arial"/>
                <w:sz w:val="21"/>
              </w:rPr>
            </w:pPr>
          </w:p>
          <w:p w14:paraId="4329DD3F">
            <w:pPr>
              <w:spacing w:line="284" w:lineRule="auto"/>
              <w:rPr>
                <w:rFonts w:ascii="Arial"/>
                <w:sz w:val="21"/>
              </w:rPr>
            </w:pPr>
          </w:p>
          <w:p w14:paraId="6735D66C">
            <w:pPr>
              <w:pStyle w:val="7"/>
              <w:spacing w:before="78" w:line="220" w:lineRule="auto"/>
              <w:ind w:left="343"/>
            </w:pPr>
            <w:r>
              <w:t>对</w:t>
            </w:r>
          </w:p>
        </w:tc>
        <w:tc>
          <w:tcPr>
            <w:tcW w:w="1263" w:type="dxa"/>
            <w:tcBorders>
              <w:bottom w:val="single" w:color="000000" w:sz="4" w:space="0"/>
            </w:tcBorders>
            <w:vAlign w:val="top"/>
          </w:tcPr>
          <w:p w14:paraId="5E03F04C">
            <w:pPr>
              <w:spacing w:line="283" w:lineRule="auto"/>
              <w:rPr>
                <w:rFonts w:ascii="Arial"/>
                <w:sz w:val="21"/>
              </w:rPr>
            </w:pPr>
            <w:r>
              <w:pict>
                <v:shape id="_x0000_s1270" o:spid="_x0000_s1270" style="position:absolute;left:0pt;margin-left:2pt;margin-top:141.65pt;height:0.75pt;width:61.1pt;mso-position-horizontal-relative:page;mso-position-vertical-relative:page;z-index:251693056;mso-width-relative:page;mso-height-relative:page;" fillcolor="#1C456A" filled="t" stroked="f" coordsize="1221,15" path="m0,14l1221,14,1221,0,0,0,0,14xe">
                  <v:path/>
                  <v:fill on="t" focussize="0,0"/>
                  <v:stroke on="f"/>
                  <v:imagedata o:title=""/>
                  <o:lock v:ext="edit"/>
                </v:shape>
              </w:pict>
            </w:r>
          </w:p>
          <w:p w14:paraId="3C241010">
            <w:pPr>
              <w:spacing w:line="284" w:lineRule="auto"/>
              <w:rPr>
                <w:rFonts w:ascii="Arial"/>
                <w:sz w:val="21"/>
              </w:rPr>
            </w:pPr>
          </w:p>
          <w:p w14:paraId="58AD4EB1">
            <w:pPr>
              <w:spacing w:line="284" w:lineRule="auto"/>
              <w:rPr>
                <w:rFonts w:ascii="Arial"/>
                <w:sz w:val="21"/>
              </w:rPr>
            </w:pPr>
          </w:p>
          <w:p w14:paraId="2E85B10F">
            <w:pPr>
              <w:spacing w:line="284" w:lineRule="auto"/>
              <w:rPr>
                <w:rFonts w:ascii="Arial"/>
                <w:sz w:val="21"/>
              </w:rPr>
            </w:pPr>
          </w:p>
          <w:p w14:paraId="1A77E878">
            <w:pPr>
              <w:pStyle w:val="7"/>
              <w:spacing w:before="78" w:line="237" w:lineRule="auto"/>
              <w:ind w:left="531"/>
            </w:pPr>
            <w:r>
              <w:rPr>
                <w:spacing w:val="-7"/>
              </w:rPr>
              <w:t>30</w:t>
            </w:r>
          </w:p>
        </w:tc>
        <w:tc>
          <w:tcPr>
            <w:tcW w:w="3031" w:type="dxa"/>
            <w:tcBorders>
              <w:bottom w:val="single" w:color="5B9BD5" w:sz="4" w:space="0"/>
              <w:right w:val="single" w:color="5B9BD5" w:sz="4" w:space="0"/>
            </w:tcBorders>
            <w:vAlign w:val="top"/>
          </w:tcPr>
          <w:p w14:paraId="506891E0">
            <w:pPr>
              <w:spacing w:before="62" w:line="2549" w:lineRule="exact"/>
              <w:ind w:firstLine="70"/>
            </w:pPr>
            <w:r>
              <w:rPr>
                <w:position w:val="-50"/>
              </w:rPr>
              <w:drawing>
                <wp:inline distT="0" distB="0" distL="0" distR="0">
                  <wp:extent cx="1818640" cy="1618615"/>
                  <wp:effectExtent l="0" t="0" r="0" b="0"/>
                  <wp:docPr id="194" name="IM 194"/>
                  <wp:cNvGraphicFramePr/>
                  <a:graphic xmlns:a="http://schemas.openxmlformats.org/drawingml/2006/main">
                    <a:graphicData uri="http://schemas.openxmlformats.org/drawingml/2006/picture">
                      <pic:pic xmlns:pic="http://schemas.openxmlformats.org/drawingml/2006/picture">
                        <pic:nvPicPr>
                          <pic:cNvPr id="194" name="IM 194"/>
                          <pic:cNvPicPr/>
                        </pic:nvPicPr>
                        <pic:blipFill>
                          <a:blip r:embed="rId464"/>
                          <a:stretch>
                            <a:fillRect/>
                          </a:stretch>
                        </pic:blipFill>
                        <pic:spPr>
                          <a:xfrm>
                            <a:off x="0" y="0"/>
                            <a:ext cx="1819274" cy="1618615"/>
                          </a:xfrm>
                          <a:prstGeom prst="rect">
                            <a:avLst/>
                          </a:prstGeom>
                        </pic:spPr>
                      </pic:pic>
                    </a:graphicData>
                  </a:graphic>
                </wp:inline>
              </w:drawing>
            </w:r>
          </w:p>
          <w:p w14:paraId="2492A335">
            <w:pPr>
              <w:spacing w:before="217" w:line="22" w:lineRule="exact"/>
              <w:ind w:firstLine="38"/>
            </w:pPr>
            <w:r>
              <w:rPr>
                <w:position w:val="-2"/>
              </w:rPr>
              <w:pict>
                <v:group id="_x0000_s1271" o:spid="_x0000_s1271" o:spt="203" style="height:2.2pt;width:149.8pt;" coordsize="2996,44">
                  <o:lock v:ext="edit"/>
                  <v:shape id="_x0000_s1272" o:spid="_x0000_s1272" style="position:absolute;left:0;top:0;height:15;width:2952;" fillcolor="#1C456A" filled="t" stroked="f" coordsize="2952,15" path="m0,14l2952,14,2952,0,0,0,0,14xe">
                    <v:path/>
                    <v:fill on="t" focussize="0,0"/>
                    <v:stroke on="f"/>
                    <v:imagedata o:title=""/>
                    <o:lock v:ext="edit"/>
                  </v:shape>
                  <v:shape id="_x0000_s1273" o:spid="_x0000_s1273" style="position:absolute;left:2952;top:28;height:15;width:44;" fillcolor="#5B9BD5" filled="t" stroked="f" coordsize="44,15" path="m0,14l43,14,43,0,0,0,0,14xe">
                    <v:path/>
                    <v:fill on="t" focussize="0,0"/>
                    <v:stroke on="f"/>
                    <v:imagedata o:title=""/>
                    <o:lock v:ext="edit"/>
                  </v:shape>
                  <w10:wrap type="none"/>
                  <w10:anchorlock/>
                </v:group>
              </w:pict>
            </w:r>
          </w:p>
        </w:tc>
      </w:tr>
    </w:tbl>
    <w:p w14:paraId="6D3FBB9E">
      <w:pPr>
        <w:pStyle w:val="2"/>
        <w:spacing w:before="115" w:line="218" w:lineRule="auto"/>
        <w:ind w:left="1888"/>
        <w:rPr>
          <w:sz w:val="24"/>
          <w:szCs w:val="24"/>
        </w:rPr>
      </w:pPr>
      <w:r>
        <w:rPr>
          <w:spacing w:val="-18"/>
          <w:sz w:val="24"/>
          <w:szCs w:val="24"/>
        </w:rPr>
        <w:t>2、工程测量总体方案</w:t>
      </w:r>
    </w:p>
    <w:p w14:paraId="0777EB56">
      <w:pPr>
        <w:spacing w:line="218" w:lineRule="auto"/>
        <w:rPr>
          <w:sz w:val="24"/>
          <w:szCs w:val="24"/>
        </w:rPr>
        <w:sectPr>
          <w:footerReference r:id="rId34" w:type="default"/>
          <w:pgSz w:w="11907" w:h="16839"/>
          <w:pgMar w:top="954" w:right="4" w:bottom="1038" w:left="0" w:header="499" w:footer="357" w:gutter="0"/>
          <w:pgBorders>
            <w:top w:val="none" w:sz="0" w:space="0"/>
            <w:left w:val="none" w:sz="0" w:space="0"/>
            <w:bottom w:val="none" w:sz="0" w:space="0"/>
            <w:right w:val="none" w:sz="0" w:space="0"/>
          </w:pgBorders>
          <w:cols w:space="720" w:num="1"/>
        </w:sectPr>
      </w:pPr>
    </w:p>
    <w:p w14:paraId="4F58DA49">
      <w:pPr>
        <w:spacing w:line="252" w:lineRule="auto"/>
        <w:rPr>
          <w:rFonts w:ascii="Arial"/>
          <w:sz w:val="21"/>
        </w:rPr>
      </w:pPr>
    </w:p>
    <w:p w14:paraId="766B1A68">
      <w:pPr>
        <w:pStyle w:val="2"/>
        <w:spacing w:before="78" w:line="290" w:lineRule="auto"/>
        <w:ind w:left="1456" w:right="1409" w:firstLine="438"/>
        <w:jc w:val="both"/>
        <w:rPr>
          <w:sz w:val="24"/>
          <w:szCs w:val="24"/>
        </w:rPr>
      </w:pPr>
      <w:r>
        <w:rPr>
          <w:spacing w:val="-20"/>
          <w:sz w:val="24"/>
          <w:szCs w:val="24"/>
        </w:rPr>
        <w:t>在设计单位提供完整的基准点后，我单位及时组织技术人员对基准点进行贯通测量，确认无误后，引测/布置各单位工程导线控制网</w:t>
      </w:r>
      <w:r>
        <w:rPr>
          <w:spacing w:val="-21"/>
          <w:sz w:val="24"/>
          <w:szCs w:val="24"/>
        </w:rPr>
        <w:t>和水准控制网。导线网允许偏差：边长L/15000，角</w:t>
      </w:r>
      <w:r>
        <w:rPr>
          <w:spacing w:val="-22"/>
          <w:sz w:val="24"/>
          <w:szCs w:val="24"/>
        </w:rPr>
        <w:t>度闭合差±15″；水准网允许偏差：±L。依据单位工程导线网测设各构筑物定位线和沟槽开挖</w:t>
      </w:r>
      <w:r>
        <w:rPr>
          <w:spacing w:val="-20"/>
          <w:sz w:val="24"/>
          <w:szCs w:val="24"/>
        </w:rPr>
        <w:t>线，并标出与管线冲突的地上、地下构筑物位置，校对永久水准点，建立临时水准点，测量管线地面高程，以确定挖深。</w:t>
      </w:r>
    </w:p>
    <w:tbl>
      <w:tblPr>
        <w:tblStyle w:val="6"/>
        <w:tblW w:w="9157" w:type="dxa"/>
        <w:tblInd w:w="137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881"/>
        <w:gridCol w:w="2739"/>
        <w:gridCol w:w="4537"/>
      </w:tblGrid>
      <w:tr w14:paraId="1CE333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414" w:hRule="atLeast"/>
        </w:trPr>
        <w:tc>
          <w:tcPr>
            <w:tcW w:w="4620" w:type="dxa"/>
            <w:gridSpan w:val="2"/>
            <w:vMerge w:val="restart"/>
            <w:tcBorders>
              <w:top w:val="single" w:color="000000" w:sz="4" w:space="0"/>
              <w:left w:val="single" w:color="000000" w:sz="4" w:space="0"/>
              <w:bottom w:val="nil"/>
            </w:tcBorders>
            <w:shd w:val="clear" w:color="auto" w:fill="DEEAF6"/>
            <w:vAlign w:val="top"/>
          </w:tcPr>
          <w:p w14:paraId="158E6050">
            <w:pPr>
              <w:spacing w:before="33" w:line="60" w:lineRule="exact"/>
              <w:ind w:firstLine="33"/>
            </w:pPr>
            <w:r>
              <w:rPr>
                <w:position w:val="-1"/>
              </w:rPr>
              <w:pict>
                <v:shape id="_x0000_s1274" o:spid="_x0000_s1274" style="height:3pt;width:227.8pt;" fillcolor="#DEEAF6" filled="t" stroked="f" coordsize="4556,60" path="m0,60l4555,60,4555,0,0,0,0,60xe">
                  <v:path/>
                  <v:fill on="t" focussize="0,0"/>
                  <v:stroke on="f"/>
                  <v:imagedata o:title=""/>
                  <o:lock v:ext="edit"/>
                  <w10:wrap type="none"/>
                  <w10:anchorlock/>
                </v:shape>
              </w:pict>
            </w:r>
          </w:p>
          <w:p w14:paraId="1A9FC4D9">
            <w:pPr>
              <w:spacing w:before="121" w:line="2904" w:lineRule="exact"/>
              <w:ind w:firstLine="117"/>
            </w:pPr>
            <w:r>
              <w:rPr>
                <w:position w:val="-58"/>
              </w:rPr>
              <w:drawing>
                <wp:inline distT="0" distB="0" distL="0" distR="0">
                  <wp:extent cx="2773045" cy="1844040"/>
                  <wp:effectExtent l="0" t="0" r="0" b="0"/>
                  <wp:docPr id="198" name="IM 198"/>
                  <wp:cNvGraphicFramePr/>
                  <a:graphic xmlns:a="http://schemas.openxmlformats.org/drawingml/2006/main">
                    <a:graphicData uri="http://schemas.openxmlformats.org/drawingml/2006/picture">
                      <pic:pic xmlns:pic="http://schemas.openxmlformats.org/drawingml/2006/picture">
                        <pic:nvPicPr>
                          <pic:cNvPr id="198" name="IM 198"/>
                          <pic:cNvPicPr/>
                        </pic:nvPicPr>
                        <pic:blipFill>
                          <a:blip r:embed="rId465"/>
                          <a:stretch>
                            <a:fillRect/>
                          </a:stretch>
                        </pic:blipFill>
                        <pic:spPr>
                          <a:xfrm>
                            <a:off x="0" y="0"/>
                            <a:ext cx="2773679" cy="1844040"/>
                          </a:xfrm>
                          <a:prstGeom prst="rect">
                            <a:avLst/>
                          </a:prstGeom>
                        </pic:spPr>
                      </pic:pic>
                    </a:graphicData>
                  </a:graphic>
                </wp:inline>
              </w:drawing>
            </w:r>
          </w:p>
          <w:p w14:paraId="0C7B645F">
            <w:pPr>
              <w:spacing w:line="280" w:lineRule="auto"/>
              <w:rPr>
                <w:rFonts w:ascii="Arial"/>
                <w:sz w:val="21"/>
              </w:rPr>
            </w:pPr>
          </w:p>
          <w:p w14:paraId="1565C000">
            <w:pPr>
              <w:spacing w:line="43" w:lineRule="exact"/>
              <w:ind w:firstLine="11"/>
            </w:pPr>
            <w:r>
              <w:rPr>
                <w:position w:val="-2"/>
              </w:rPr>
              <w:pict>
                <v:shape id="_x0000_s1275" o:spid="_x0000_s1275" style="height:2.9pt;width:229.15pt;" fillcolor="#DEEAF6" filled="t" stroked="f" coordsize="4582,58" path="m0,57l4582,57,4582,0,0,0,0,57xe">
                  <v:path/>
                  <v:fill on="t" focussize="0,0"/>
                  <v:stroke on="f"/>
                  <v:imagedata o:title=""/>
                  <o:lock v:ext="edit"/>
                  <w10:wrap type="none"/>
                  <w10:anchorlock/>
                </v:shape>
              </w:pict>
            </w:r>
          </w:p>
        </w:tc>
        <w:tc>
          <w:tcPr>
            <w:tcW w:w="4537" w:type="dxa"/>
            <w:tcBorders>
              <w:top w:val="single" w:color="5B9BD5" w:sz="4" w:space="0"/>
              <w:bottom w:val="single" w:color="DEEAF6" w:sz="8" w:space="0"/>
              <w:right w:val="single" w:color="5B9BD5" w:sz="4" w:space="0"/>
            </w:tcBorders>
            <w:shd w:val="clear" w:color="auto" w:fill="DEEAF6"/>
            <w:vAlign w:val="top"/>
          </w:tcPr>
          <w:p w14:paraId="2FB79BFC">
            <w:pPr>
              <w:spacing w:before="33" w:line="60" w:lineRule="exact"/>
              <w:ind w:firstLine="14"/>
            </w:pPr>
            <w:r>
              <w:rPr>
                <w:position w:val="-1"/>
              </w:rPr>
              <w:pict>
                <v:shape id="_x0000_s1276" o:spid="_x0000_s1276" style="height:3pt;width:224.1pt;" fillcolor="#DEEAF6" filled="t" stroked="f" coordsize="4482,60" path="m0,60l4481,60,4481,0,0,0,0,60xe">
                  <v:path/>
                  <v:fill on="t" focussize="0,0"/>
                  <v:stroke on="f"/>
                  <v:imagedata o:title=""/>
                  <o:lock v:ext="edit"/>
                  <w10:wrap type="none"/>
                  <w10:anchorlock/>
                </v:shape>
              </w:pict>
            </w:r>
          </w:p>
          <w:p w14:paraId="4D7B2F2C">
            <w:pPr>
              <w:spacing w:before="1" w:line="3033" w:lineRule="exact"/>
              <w:ind w:firstLine="83"/>
            </w:pPr>
            <w:r>
              <w:rPr>
                <w:position w:val="-60"/>
              </w:rPr>
              <w:drawing>
                <wp:inline distT="0" distB="0" distL="0" distR="0">
                  <wp:extent cx="2745740" cy="1925320"/>
                  <wp:effectExtent l="0" t="0" r="0" b="0"/>
                  <wp:docPr id="200" name="IM 200"/>
                  <wp:cNvGraphicFramePr/>
                  <a:graphic xmlns:a="http://schemas.openxmlformats.org/drawingml/2006/main">
                    <a:graphicData uri="http://schemas.openxmlformats.org/drawingml/2006/picture">
                      <pic:pic xmlns:pic="http://schemas.openxmlformats.org/drawingml/2006/picture">
                        <pic:nvPicPr>
                          <pic:cNvPr id="200" name="IM 200"/>
                          <pic:cNvPicPr/>
                        </pic:nvPicPr>
                        <pic:blipFill>
                          <a:blip r:embed="rId466"/>
                          <a:stretch>
                            <a:fillRect/>
                          </a:stretch>
                        </pic:blipFill>
                        <pic:spPr>
                          <a:xfrm>
                            <a:off x="0" y="0"/>
                            <a:ext cx="2746374" cy="1925954"/>
                          </a:xfrm>
                          <a:prstGeom prst="rect">
                            <a:avLst/>
                          </a:prstGeom>
                        </pic:spPr>
                      </pic:pic>
                    </a:graphicData>
                  </a:graphic>
                </wp:inline>
              </w:drawing>
            </w:r>
          </w:p>
        </w:tc>
      </w:tr>
      <w:tr w14:paraId="0326DA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 w:hRule="atLeast"/>
        </w:trPr>
        <w:tc>
          <w:tcPr>
            <w:tcW w:w="4620" w:type="dxa"/>
            <w:gridSpan w:val="2"/>
            <w:vMerge w:val="continue"/>
            <w:tcBorders>
              <w:top w:val="nil"/>
              <w:left w:val="single" w:color="000000" w:sz="4" w:space="0"/>
            </w:tcBorders>
            <w:vAlign w:val="top"/>
          </w:tcPr>
          <w:p w14:paraId="6FE028B7">
            <w:pPr>
              <w:rPr>
                <w:rFonts w:ascii="Arial"/>
                <w:sz w:val="21"/>
              </w:rPr>
            </w:pPr>
          </w:p>
        </w:tc>
        <w:tc>
          <w:tcPr>
            <w:tcW w:w="4537" w:type="dxa"/>
            <w:tcBorders>
              <w:top w:val="single" w:color="DEEAF6" w:sz="2" w:space="0"/>
              <w:right w:val="single" w:color="5B9BD5" w:sz="4" w:space="0"/>
            </w:tcBorders>
            <w:shd w:val="clear" w:color="auto" w:fill="DEEAF6"/>
            <w:vAlign w:val="top"/>
          </w:tcPr>
          <w:p w14:paraId="26E513A9">
            <w:pPr>
              <w:spacing w:line="104" w:lineRule="auto"/>
              <w:rPr>
                <w:rFonts w:ascii="Arial"/>
                <w:sz w:val="2"/>
              </w:rPr>
            </w:pPr>
          </w:p>
        </w:tc>
      </w:tr>
      <w:tr w14:paraId="565B8A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56" w:hRule="atLeast"/>
        </w:trPr>
        <w:tc>
          <w:tcPr>
            <w:tcW w:w="1881" w:type="dxa"/>
            <w:tcBorders>
              <w:left w:val="single" w:color="1C456A" w:sz="4" w:space="0"/>
              <w:bottom w:val="single" w:color="1C456A" w:sz="4" w:space="0"/>
              <w:right w:val="nil"/>
            </w:tcBorders>
            <w:vAlign w:val="top"/>
          </w:tcPr>
          <w:p w14:paraId="342B223B">
            <w:pPr>
              <w:rPr>
                <w:rFonts w:ascii="Arial"/>
                <w:sz w:val="21"/>
              </w:rPr>
            </w:pPr>
            <w:r>
              <w:pict>
                <v:shape id="_x0000_s1277" o:spid="_x0000_s1277" style="position:absolute;left:0pt;margin-left:-0.25pt;margin-top:32.85pt;height:0.75pt;width:2.2pt;mso-position-horizontal-relative:page;mso-position-vertical-relative:page;z-index:251698176;mso-width-relative:page;mso-height-relative:page;" fillcolor="#5B9BD5" filled="t" stroked="f" coordsize="44,15" path="m0,14l43,14,43,0,0,0,0,14xe">
                  <v:path/>
                  <v:fill on="t" focussize="0,0"/>
                  <v:stroke on="f"/>
                  <v:imagedata o:title=""/>
                  <o:lock v:ext="edit"/>
                </v:shape>
              </w:pict>
            </w:r>
          </w:p>
        </w:tc>
        <w:tc>
          <w:tcPr>
            <w:tcW w:w="7276" w:type="dxa"/>
            <w:gridSpan w:val="2"/>
            <w:tcBorders>
              <w:left w:val="nil"/>
              <w:bottom w:val="single" w:color="1C456A" w:sz="4" w:space="0"/>
              <w:right w:val="single" w:color="1C456A" w:sz="4" w:space="0"/>
            </w:tcBorders>
            <w:vAlign w:val="top"/>
          </w:tcPr>
          <w:p w14:paraId="1EAEBCFE">
            <w:pPr>
              <w:pStyle w:val="7"/>
              <w:spacing w:before="119" w:line="219" w:lineRule="auto"/>
              <w:ind w:left="1837"/>
            </w:pPr>
            <w:r>
              <w:pict>
                <v:shape id="_x0000_s1278" o:spid="_x0000_s1278" style="position:absolute;left:0pt;margin-left:361.9pt;margin-top:32.85pt;height:0.75pt;width:2.2pt;mso-position-horizontal-relative:page;mso-position-vertical-relative:page;z-index:251697152;mso-width-relative:page;mso-height-relative:page;" fillcolor="#5B9BD5" filled="t" stroked="f" coordsize="44,15" path="m0,14l43,14,43,0,0,0,0,14xe">
                  <v:path/>
                  <v:fill on="t" focussize="0,0"/>
                  <v:stroke on="f"/>
                  <v:imagedata o:title=""/>
                  <o:lock v:ext="edit"/>
                </v:shape>
              </w:pict>
            </w:r>
            <w:r>
              <w:rPr>
                <w:spacing w:val="-19"/>
              </w:rPr>
              <w:t>施工现场测量放线</w:t>
            </w:r>
          </w:p>
        </w:tc>
      </w:tr>
    </w:tbl>
    <w:p w14:paraId="28DC3136">
      <w:pPr>
        <w:pStyle w:val="2"/>
        <w:spacing w:before="115" w:line="216" w:lineRule="auto"/>
        <w:ind w:left="1888"/>
        <w:rPr>
          <w:sz w:val="24"/>
          <w:szCs w:val="24"/>
        </w:rPr>
      </w:pPr>
      <w:r>
        <w:rPr>
          <w:spacing w:val="-17"/>
          <w:sz w:val="24"/>
          <w:szCs w:val="24"/>
        </w:rPr>
        <w:t>2.1、平面轴线控制测量</w:t>
      </w:r>
    </w:p>
    <w:p w14:paraId="161478AF">
      <w:pPr>
        <w:pStyle w:val="2"/>
        <w:spacing w:before="120" w:line="216" w:lineRule="auto"/>
        <w:ind w:left="1888"/>
        <w:rPr>
          <w:sz w:val="24"/>
          <w:szCs w:val="24"/>
        </w:rPr>
      </w:pPr>
      <w:r>
        <w:rPr>
          <w:spacing w:val="-16"/>
          <w:sz w:val="24"/>
          <w:szCs w:val="24"/>
        </w:rPr>
        <w:t>2.1.1平面轴线控制测量</w:t>
      </w:r>
    </w:p>
    <w:p w14:paraId="753E971E">
      <w:pPr>
        <w:pStyle w:val="2"/>
        <w:spacing w:before="118" w:line="308" w:lineRule="auto"/>
        <w:ind w:left="1459" w:right="1411" w:firstLine="433"/>
        <w:rPr>
          <w:sz w:val="24"/>
          <w:szCs w:val="24"/>
        </w:rPr>
      </w:pPr>
      <w:r>
        <w:rPr>
          <w:spacing w:val="-21"/>
          <w:sz w:val="24"/>
          <w:szCs w:val="24"/>
        </w:rPr>
        <w:t>基准平面控制网的设置以业主提供的基准点为依据。其基准点精度应控制在2mm以内。基准点的精确程度将直接影响整个工程的测量精度。</w:t>
      </w:r>
    </w:p>
    <w:p w14:paraId="31EBCFF0">
      <w:pPr>
        <w:pStyle w:val="2"/>
        <w:spacing w:before="1" w:line="215" w:lineRule="auto"/>
        <w:ind w:left="1888"/>
        <w:rPr>
          <w:sz w:val="24"/>
          <w:szCs w:val="24"/>
        </w:rPr>
      </w:pPr>
      <w:r>
        <w:rPr>
          <w:spacing w:val="-15"/>
          <w:sz w:val="24"/>
          <w:szCs w:val="24"/>
        </w:rPr>
        <w:t>2.1.2轴线控制测量</w:t>
      </w:r>
    </w:p>
    <w:p w14:paraId="1551C6A0">
      <w:pPr>
        <w:pStyle w:val="2"/>
        <w:spacing w:before="118" w:line="262" w:lineRule="auto"/>
        <w:ind w:left="1456" w:right="1410" w:firstLine="436"/>
        <w:rPr>
          <w:sz w:val="24"/>
          <w:szCs w:val="24"/>
        </w:rPr>
      </w:pPr>
      <w:r>
        <w:rPr>
          <w:spacing w:val="-22"/>
          <w:sz w:val="24"/>
          <w:szCs w:val="24"/>
        </w:rPr>
        <w:t>（1）利用基准平面控制网中的某一点作为测站（满足通视和方便的要求</w:t>
      </w:r>
      <w:r>
        <w:rPr>
          <w:spacing w:val="-24"/>
          <w:sz w:val="24"/>
          <w:szCs w:val="24"/>
        </w:rPr>
        <w:t>），</w:t>
      </w:r>
      <w:r>
        <w:rPr>
          <w:spacing w:val="-22"/>
          <w:sz w:val="24"/>
          <w:szCs w:val="24"/>
        </w:rPr>
        <w:t>采用平面坐标</w:t>
      </w:r>
      <w:r>
        <w:rPr>
          <w:spacing w:val="-21"/>
          <w:sz w:val="24"/>
          <w:szCs w:val="24"/>
        </w:rPr>
        <w:t>测量法测量轴线，原则上应一次测量到位。</w:t>
      </w:r>
    </w:p>
    <w:p w14:paraId="57CDCD11">
      <w:pPr>
        <w:pStyle w:val="2"/>
        <w:spacing w:before="120" w:line="261" w:lineRule="auto"/>
        <w:ind w:left="1462" w:right="1412" w:firstLine="431"/>
        <w:rPr>
          <w:sz w:val="24"/>
          <w:szCs w:val="24"/>
        </w:rPr>
      </w:pPr>
      <w:r>
        <w:rPr>
          <w:spacing w:val="-22"/>
          <w:sz w:val="24"/>
          <w:szCs w:val="24"/>
        </w:rPr>
        <w:t>（2）选定相应的横轴和竖轴作矩形，使矩形的测量闭合误差均必须小于规范允</w:t>
      </w:r>
      <w:r>
        <w:rPr>
          <w:spacing w:val="-23"/>
          <w:sz w:val="24"/>
          <w:szCs w:val="24"/>
        </w:rPr>
        <w:t>许值。轴线</w:t>
      </w:r>
      <w:r>
        <w:rPr>
          <w:spacing w:val="-21"/>
          <w:sz w:val="24"/>
          <w:szCs w:val="24"/>
        </w:rPr>
        <w:t>坐标控制点投测完毕后，互相之间应进行校核。</w:t>
      </w:r>
      <w:r>
        <w:rPr>
          <w:spacing w:val="-22"/>
          <w:sz w:val="24"/>
          <w:szCs w:val="24"/>
        </w:rPr>
        <w:t>同时可检验偏差情况，以及时纠正。</w:t>
      </w:r>
    </w:p>
    <w:p w14:paraId="1BFDAB13">
      <w:pPr>
        <w:spacing w:line="51" w:lineRule="auto"/>
        <w:rPr>
          <w:rFonts w:ascii="Arial"/>
          <w:sz w:val="2"/>
        </w:rPr>
      </w:pPr>
    </w:p>
    <w:tbl>
      <w:tblPr>
        <w:tblStyle w:val="6"/>
        <w:tblW w:w="8864" w:type="dxa"/>
        <w:tblInd w:w="1522" w:type="dxa"/>
        <w:tblBorders>
          <w:top w:val="single" w:color="1C456A" w:sz="4" w:space="0"/>
          <w:left w:val="single" w:color="1C456A" w:sz="4" w:space="0"/>
          <w:bottom w:val="single" w:color="1C456A" w:sz="4" w:space="0"/>
          <w:right w:val="single" w:color="1C456A" w:sz="4" w:space="0"/>
          <w:insideH w:val="single" w:color="1C456A" w:sz="4" w:space="0"/>
          <w:insideV w:val="single" w:color="1C456A" w:sz="4" w:space="0"/>
        </w:tblBorders>
        <w:tblLayout w:type="fixed"/>
        <w:tblCellMar>
          <w:top w:w="0" w:type="dxa"/>
          <w:left w:w="0" w:type="dxa"/>
          <w:bottom w:w="0" w:type="dxa"/>
          <w:right w:w="0" w:type="dxa"/>
        </w:tblCellMar>
      </w:tblPr>
      <w:tblGrid>
        <w:gridCol w:w="4525"/>
        <w:gridCol w:w="4339"/>
      </w:tblGrid>
      <w:tr w14:paraId="00E2E384">
        <w:tblPrEx>
          <w:tblBorders>
            <w:top w:val="single" w:color="1C456A" w:sz="4" w:space="0"/>
            <w:left w:val="single" w:color="1C456A" w:sz="4" w:space="0"/>
            <w:bottom w:val="single" w:color="1C456A" w:sz="4" w:space="0"/>
            <w:right w:val="single" w:color="1C456A" w:sz="4" w:space="0"/>
            <w:insideH w:val="single" w:color="1C456A" w:sz="4" w:space="0"/>
            <w:insideV w:val="single" w:color="1C456A" w:sz="4" w:space="0"/>
          </w:tblBorders>
          <w:tblCellMar>
            <w:top w:w="0" w:type="dxa"/>
            <w:left w:w="0" w:type="dxa"/>
            <w:bottom w:w="0" w:type="dxa"/>
            <w:right w:w="0" w:type="dxa"/>
          </w:tblCellMar>
        </w:tblPrEx>
        <w:trPr>
          <w:trHeight w:val="4574" w:hRule="atLeast"/>
        </w:trPr>
        <w:tc>
          <w:tcPr>
            <w:tcW w:w="4525" w:type="dxa"/>
            <w:tcBorders>
              <w:right w:val="single" w:color="000000" w:sz="2" w:space="0"/>
            </w:tcBorders>
            <w:shd w:val="clear" w:color="auto" w:fill="DEEAF6"/>
            <w:vAlign w:val="top"/>
          </w:tcPr>
          <w:p w14:paraId="5B3D47EB">
            <w:pPr>
              <w:spacing w:before="91" w:line="4233" w:lineRule="exact"/>
              <w:ind w:firstLine="102"/>
            </w:pPr>
            <w:r>
              <w:pict>
                <v:group id="_x0000_s1279" o:spid="_x0000_s1279" o:spt="203" style="position:absolute;left:0pt;margin-left:-0.2pt;margin-top:0.05pt;height:229.75pt;width:227.95pt;mso-position-horizontal-relative:page;mso-position-vertical-relative:page;z-index:251696128;mso-width-relative:page;mso-height-relative:page;" coordsize="4558,4595">
                  <o:lock v:ext="edit"/>
                  <v:group id="_x0000_s1280" o:spid="_x0000_s1280" o:spt="203" style="position:absolute;left:0;top:0;height:103;width:4558;" coordsize="4558,103">
                    <o:lock v:ext="edit"/>
                    <v:shape id="_x0000_s1281" o:spid="_x0000_s1281" style="position:absolute;left:0;top:0;height:15;width:44;" fillcolor="#5B9BD5" filled="t" stroked="f" coordsize="44,15" path="m0,14l43,14,43,0,0,0,0,14xe">
                      <v:path/>
                      <v:fill on="t" focussize="0,0"/>
                      <v:stroke on="f"/>
                      <v:imagedata o:title=""/>
                      <o:lock v:ext="edit"/>
                    </v:shape>
                    <v:shape id="_x0000_s1282" o:spid="_x0000_s1282" style="position:absolute;left:43;top:43;height:60;width:4472;" fillcolor="#DEEAF6" filled="t" stroked="f" coordsize="4472,60" path="m0,60l4471,60,4471,0,0,0,0,60xe">
                      <v:path/>
                      <v:fill on="t" focussize="0,0"/>
                      <v:stroke on="f"/>
                      <v:imagedata o:title=""/>
                      <o:lock v:ext="edit"/>
                    </v:shape>
                    <v:shape id="_x0000_s1283" o:spid="_x0000_s1283" style="position:absolute;left:4514;top:0;height:15;width:44;" fillcolor="#5B9BD5" filled="t" stroked="f" coordsize="44,15" path="m0,14l43,14,43,0,0,0,0,14xe">
                      <v:path/>
                      <v:fill on="t" focussize="0,0"/>
                      <v:stroke on="f"/>
                      <v:imagedata o:title=""/>
                      <o:lock v:ext="edit"/>
                    </v:shape>
                    <v:shape id="_x0000_s1284" o:spid="_x0000_s1284" style="position:absolute;left:4514;top:14;height:15;width:44;" fillcolor="#20507B" filled="t" stroked="f" coordsize="44,15" path="m0,14l43,14,43,0,0,0,0,14xe">
                      <v:path/>
                      <v:fill on="t" focussize="0,0"/>
                      <v:stroke on="f"/>
                      <v:imagedata o:title=""/>
                      <o:lock v:ext="edit"/>
                    </v:shape>
                    <v:shape id="_x0000_s1285" o:spid="_x0000_s1285" style="position:absolute;left:4514;top:28;height:15;width:44;" fillcolor="#1C456A" filled="t" stroked="f" coordsize="44,15" path="m0,14l43,14,43,0,0,0,0,14xe">
                      <v:path/>
                      <v:fill on="t" focussize="0,0"/>
                      <v:stroke on="f"/>
                      <v:imagedata o:title=""/>
                      <o:lock v:ext="edit"/>
                    </v:shape>
                  </v:group>
                  <v:group id="_x0000_s1286" o:spid="_x0000_s1286" o:spt="203" style="position:absolute;left:0;top:4490;height:103;width:4520;" coordsize="4520,103">
                    <o:lock v:ext="edit"/>
                    <v:shape id="_x0000_s1287" o:spid="_x0000_s1287" style="position:absolute;left:21;top:0;height:58;width:4497;" fillcolor="#DEEAF6" filled="t" stroked="f" coordsize="4497,58" path="m0,57l4497,57,4497,0,0,0,0,57xe">
                      <v:path/>
                      <v:fill on="t" focussize="0,0"/>
                      <v:stroke on="f"/>
                      <v:imagedata o:title=""/>
                      <o:lock v:ext="edit"/>
                    </v:shape>
                    <v:shape id="_x0000_s1288" o:spid="_x0000_s1288" style="position:absolute;left:0;top:88;height:15;width:44;" fillcolor="#5B9BD5" filled="t" stroked="f" coordsize="44,15" path="m0,14l43,14,43,0,0,0,0,14xe">
                      <v:path/>
                      <v:fill on="t" focussize="0,0"/>
                      <v:stroke on="f"/>
                      <v:imagedata o:title=""/>
                      <o:lock v:ext="edit"/>
                    </v:shape>
                  </v:group>
                </v:group>
              </w:pict>
            </w:r>
            <w:r>
              <w:rPr>
                <w:position w:val="-84"/>
              </w:rPr>
              <w:drawing>
                <wp:inline distT="0" distB="0" distL="0" distR="0">
                  <wp:extent cx="2740025" cy="2687955"/>
                  <wp:effectExtent l="0" t="0" r="0" b="0"/>
                  <wp:docPr id="202" name="IM 202"/>
                  <wp:cNvGraphicFramePr/>
                  <a:graphic xmlns:a="http://schemas.openxmlformats.org/drawingml/2006/main">
                    <a:graphicData uri="http://schemas.openxmlformats.org/drawingml/2006/picture">
                      <pic:pic xmlns:pic="http://schemas.openxmlformats.org/drawingml/2006/picture">
                        <pic:nvPicPr>
                          <pic:cNvPr id="202" name="IM 202"/>
                          <pic:cNvPicPr/>
                        </pic:nvPicPr>
                        <pic:blipFill>
                          <a:blip r:embed="rId467"/>
                          <a:stretch>
                            <a:fillRect/>
                          </a:stretch>
                        </pic:blipFill>
                        <pic:spPr>
                          <a:xfrm>
                            <a:off x="0" y="0"/>
                            <a:ext cx="2740025" cy="2687955"/>
                          </a:xfrm>
                          <a:prstGeom prst="rect">
                            <a:avLst/>
                          </a:prstGeom>
                        </pic:spPr>
                      </pic:pic>
                    </a:graphicData>
                  </a:graphic>
                </wp:inline>
              </w:drawing>
            </w:r>
          </w:p>
        </w:tc>
        <w:tc>
          <w:tcPr>
            <w:tcW w:w="4339" w:type="dxa"/>
            <w:tcBorders>
              <w:top w:val="single" w:color="5B9BD5" w:sz="4" w:space="0"/>
              <w:left w:val="single" w:color="000000" w:sz="2" w:space="0"/>
              <w:bottom w:val="single" w:color="5B9BD5" w:sz="4" w:space="0"/>
              <w:right w:val="single" w:color="5B9BD5" w:sz="4" w:space="0"/>
            </w:tcBorders>
            <w:shd w:val="clear" w:color="auto" w:fill="DEEAF6"/>
            <w:vAlign w:val="top"/>
          </w:tcPr>
          <w:p w14:paraId="1A79918F">
            <w:pPr>
              <w:spacing w:line="93" w:lineRule="exact"/>
              <w:ind w:firstLine="25"/>
            </w:pPr>
            <w:r>
              <w:rPr>
                <w:position w:val="-1"/>
              </w:rPr>
              <w:pict>
                <v:group id="_x0000_s1289" o:spid="_x0000_s1289" o:spt="203" style="height:5.2pt;width:215.85pt;" coordsize="4317,103">
                  <o:lock v:ext="edit"/>
                  <v:shape id="_x0000_s1290" o:spid="_x0000_s1290" style="position:absolute;left:0;top:43;height:60;width:4273;" fillcolor="#DEEAF6" filled="t" stroked="f" coordsize="4273,60" path="m0,60l4273,60,4273,0,0,0,0,60xe">
                    <v:path/>
                    <v:fill on="t" focussize="0,0"/>
                    <v:stroke on="f"/>
                    <v:imagedata o:title=""/>
                    <o:lock v:ext="edit"/>
                  </v:shape>
                  <v:shape id="_x0000_s1291" o:spid="_x0000_s1291" style="position:absolute;left:4273;top:0;height:15;width:44;" fillcolor="#5B9BD5" filled="t" stroked="f" coordsize="44,15" path="m0,14l43,14,43,0,0,0,0,14xe">
                    <v:path/>
                    <v:fill on="t" focussize="0,0"/>
                    <v:stroke on="f"/>
                    <v:imagedata o:title=""/>
                    <o:lock v:ext="edit"/>
                  </v:shape>
                  <w10:wrap type="none"/>
                  <w10:anchorlock/>
                </v:group>
              </w:pict>
            </w:r>
          </w:p>
          <w:p w14:paraId="4D8C6C7F">
            <w:pPr>
              <w:spacing w:before="39" w:line="4149" w:lineRule="exact"/>
              <w:ind w:firstLine="140"/>
            </w:pPr>
            <w:r>
              <w:rPr>
                <w:position w:val="-82"/>
              </w:rPr>
              <w:drawing>
                <wp:inline distT="0" distB="0" distL="0" distR="0">
                  <wp:extent cx="2555240" cy="2633980"/>
                  <wp:effectExtent l="0" t="0" r="0" b="0"/>
                  <wp:docPr id="204" name="IM 204"/>
                  <wp:cNvGraphicFramePr/>
                  <a:graphic xmlns:a="http://schemas.openxmlformats.org/drawingml/2006/main">
                    <a:graphicData uri="http://schemas.openxmlformats.org/drawingml/2006/picture">
                      <pic:pic xmlns:pic="http://schemas.openxmlformats.org/drawingml/2006/picture">
                        <pic:nvPicPr>
                          <pic:cNvPr id="204" name="IM 204"/>
                          <pic:cNvPicPr/>
                        </pic:nvPicPr>
                        <pic:blipFill>
                          <a:blip r:embed="rId468"/>
                          <a:stretch>
                            <a:fillRect/>
                          </a:stretch>
                        </pic:blipFill>
                        <pic:spPr>
                          <a:xfrm>
                            <a:off x="0" y="0"/>
                            <a:ext cx="2555240" cy="2634614"/>
                          </a:xfrm>
                          <a:prstGeom prst="rect">
                            <a:avLst/>
                          </a:prstGeom>
                        </pic:spPr>
                      </pic:pic>
                    </a:graphicData>
                  </a:graphic>
                </wp:inline>
              </w:drawing>
            </w:r>
          </w:p>
          <w:p w14:paraId="00680766">
            <w:pPr>
              <w:spacing w:before="198" w:line="83" w:lineRule="exact"/>
            </w:pPr>
            <w:r>
              <w:rPr>
                <w:position w:val="-3"/>
              </w:rPr>
              <w:pict>
                <v:group id="_x0000_s1292" o:spid="_x0000_s1292" o:spt="203" style="height:5.2pt;width:217.75pt;" coordsize="4355,103">
                  <o:lock v:ext="edit"/>
                  <v:shape id="_x0000_s1293" o:spid="_x0000_s1293" style="position:absolute;left:0;top:0;height:58;width:4333;" fillcolor="#DEEAF6" filled="t" stroked="f" coordsize="4333,58" path="m0,57l4333,57,4333,0,0,0,0,57xe">
                    <v:path/>
                    <v:fill on="t" focussize="0,0"/>
                    <v:stroke on="f"/>
                    <v:imagedata o:title=""/>
                    <o:lock v:ext="edit"/>
                  </v:shape>
                  <v:shape id="_x0000_s1294" o:spid="_x0000_s1294" style="position:absolute;left:4311;top:88;height:15;width:44;" fillcolor="#5B9BD5" filled="t" stroked="f" coordsize="44,15" path="m0,14l43,14,43,0,0,0,0,14xe">
                    <v:path/>
                    <v:fill on="t" focussize="0,0"/>
                    <v:stroke on="f"/>
                    <v:imagedata o:title=""/>
                    <o:lock v:ext="edit"/>
                  </v:shape>
                  <w10:wrap type="none"/>
                  <w10:anchorlock/>
                </v:group>
              </w:pict>
            </w:r>
          </w:p>
        </w:tc>
      </w:tr>
    </w:tbl>
    <w:p w14:paraId="752FAB4C">
      <w:pPr>
        <w:rPr>
          <w:rFonts w:ascii="Arial"/>
          <w:sz w:val="21"/>
        </w:rPr>
      </w:pPr>
    </w:p>
    <w:p w14:paraId="27AE0F0D">
      <w:pPr>
        <w:rPr>
          <w:rFonts w:ascii="Arial" w:hAnsi="Arial" w:eastAsia="Arial" w:cs="Arial"/>
          <w:sz w:val="21"/>
          <w:szCs w:val="21"/>
        </w:rPr>
        <w:sectPr>
          <w:footerReference r:id="rId35" w:type="default"/>
          <w:pgSz w:w="11907" w:h="16839"/>
          <w:pgMar w:top="954" w:right="4" w:bottom="1038" w:left="0" w:header="499" w:footer="357" w:gutter="0"/>
          <w:pgBorders>
            <w:top w:val="none" w:sz="0" w:space="0"/>
            <w:left w:val="none" w:sz="0" w:space="0"/>
            <w:bottom w:val="none" w:sz="0" w:space="0"/>
            <w:right w:val="none" w:sz="0" w:space="0"/>
          </w:pgBorders>
          <w:cols w:space="720" w:num="1"/>
        </w:sectPr>
      </w:pPr>
    </w:p>
    <w:p w14:paraId="3EA769A1">
      <w:pPr>
        <w:spacing w:line="251" w:lineRule="auto"/>
        <w:rPr>
          <w:rFonts w:ascii="Arial"/>
          <w:sz w:val="21"/>
        </w:rPr>
      </w:pPr>
    </w:p>
    <w:p w14:paraId="43C98ABE">
      <w:pPr>
        <w:pStyle w:val="2"/>
        <w:spacing w:before="78" w:line="217" w:lineRule="auto"/>
        <w:ind w:left="1888"/>
        <w:rPr>
          <w:sz w:val="24"/>
          <w:szCs w:val="24"/>
        </w:rPr>
      </w:pPr>
      <w:r>
        <w:rPr>
          <w:spacing w:val="-16"/>
          <w:sz w:val="24"/>
          <w:szCs w:val="24"/>
        </w:rPr>
        <w:t>2.2、高程控制测量</w:t>
      </w:r>
    </w:p>
    <w:p w14:paraId="234EFFA6">
      <w:pPr>
        <w:pStyle w:val="2"/>
        <w:spacing w:before="119" w:line="262" w:lineRule="auto"/>
        <w:ind w:left="1462" w:right="1410" w:firstLine="426"/>
        <w:rPr>
          <w:sz w:val="24"/>
          <w:szCs w:val="24"/>
        </w:rPr>
      </w:pPr>
      <w:r>
        <w:rPr>
          <w:spacing w:val="-22"/>
          <w:sz w:val="24"/>
          <w:szCs w:val="24"/>
        </w:rPr>
        <w:t>2.2.1根据业主提供的城市等级水准点，采用往返水</w:t>
      </w:r>
      <w:r>
        <w:rPr>
          <w:spacing w:val="-23"/>
          <w:sz w:val="24"/>
          <w:szCs w:val="24"/>
        </w:rPr>
        <w:t>准或闭合水准测量。用精密水准仪测施工基准水准点，测试探发二等水准精度测量。</w:t>
      </w:r>
    </w:p>
    <w:p w14:paraId="1020AB41">
      <w:pPr>
        <w:pStyle w:val="2"/>
        <w:spacing w:before="117" w:line="217" w:lineRule="auto"/>
        <w:ind w:left="1888"/>
        <w:rPr>
          <w:sz w:val="24"/>
          <w:szCs w:val="24"/>
        </w:rPr>
      </w:pPr>
      <w:r>
        <w:rPr>
          <w:spacing w:val="-20"/>
          <w:sz w:val="24"/>
          <w:szCs w:val="24"/>
        </w:rPr>
        <w:t>2.2.2以基准水准控制点为依据，用精密</w:t>
      </w:r>
      <w:r>
        <w:rPr>
          <w:spacing w:val="-21"/>
          <w:sz w:val="24"/>
          <w:szCs w:val="24"/>
        </w:rPr>
        <w:t>水准仪采用闭合水准测量的方法。</w:t>
      </w:r>
    </w:p>
    <w:p w14:paraId="6790D96A">
      <w:pPr>
        <w:pStyle w:val="2"/>
        <w:spacing w:before="118" w:line="262" w:lineRule="auto"/>
        <w:ind w:left="1470" w:right="1410" w:firstLine="418"/>
        <w:rPr>
          <w:sz w:val="24"/>
          <w:szCs w:val="24"/>
        </w:rPr>
      </w:pPr>
      <w:r>
        <w:rPr>
          <w:spacing w:val="-22"/>
          <w:sz w:val="24"/>
          <w:szCs w:val="24"/>
        </w:rPr>
        <w:t>2.2.3根据本工程相对标高，用将本工程控制水准点</w:t>
      </w:r>
      <w:r>
        <w:rPr>
          <w:spacing w:val="-23"/>
          <w:sz w:val="24"/>
          <w:szCs w:val="24"/>
        </w:rPr>
        <w:t>测出并作好固定标记。具体作法详后面</w:t>
      </w:r>
      <w:r>
        <w:rPr>
          <w:spacing w:val="-21"/>
          <w:sz w:val="24"/>
          <w:szCs w:val="24"/>
        </w:rPr>
        <w:t>的主体结构施工方案。</w:t>
      </w:r>
    </w:p>
    <w:p w14:paraId="2633AADC">
      <w:pPr>
        <w:spacing w:before="47" w:line="3867" w:lineRule="exact"/>
        <w:ind w:firstLine="1751"/>
      </w:pPr>
      <w:r>
        <w:rPr>
          <w:position w:val="-77"/>
        </w:rPr>
        <w:drawing>
          <wp:inline distT="0" distB="0" distL="0" distR="0">
            <wp:extent cx="5458460" cy="2454910"/>
            <wp:effectExtent l="0" t="0" r="0" b="0"/>
            <wp:docPr id="218" name="IM 218"/>
            <wp:cNvGraphicFramePr/>
            <a:graphic xmlns:a="http://schemas.openxmlformats.org/drawingml/2006/main">
              <a:graphicData uri="http://schemas.openxmlformats.org/drawingml/2006/picture">
                <pic:pic xmlns:pic="http://schemas.openxmlformats.org/drawingml/2006/picture">
                  <pic:nvPicPr>
                    <pic:cNvPr id="218" name="IM 218"/>
                    <pic:cNvPicPr/>
                  </pic:nvPicPr>
                  <pic:blipFill>
                    <a:blip r:embed="rId469"/>
                    <a:stretch>
                      <a:fillRect/>
                    </a:stretch>
                  </pic:blipFill>
                  <pic:spPr>
                    <a:xfrm>
                      <a:off x="0" y="0"/>
                      <a:ext cx="5459094" cy="2455417"/>
                    </a:xfrm>
                    <a:prstGeom prst="rect">
                      <a:avLst/>
                    </a:prstGeom>
                  </pic:spPr>
                </pic:pic>
              </a:graphicData>
            </a:graphic>
          </wp:inline>
        </w:drawing>
      </w:r>
    </w:p>
    <w:p w14:paraId="7D41326F">
      <w:pPr>
        <w:pStyle w:val="2"/>
        <w:spacing w:before="159" w:line="217" w:lineRule="auto"/>
        <w:ind w:left="1888"/>
        <w:rPr>
          <w:sz w:val="24"/>
          <w:szCs w:val="24"/>
        </w:rPr>
      </w:pPr>
      <w:r>
        <w:rPr>
          <w:spacing w:val="-17"/>
          <w:sz w:val="24"/>
          <w:szCs w:val="24"/>
        </w:rPr>
        <w:t>2.3、测量点维护和移交</w:t>
      </w:r>
    </w:p>
    <w:p w14:paraId="68470B16">
      <w:pPr>
        <w:pStyle w:val="2"/>
        <w:spacing w:before="117" w:line="308" w:lineRule="auto"/>
        <w:ind w:left="1456" w:right="1409" w:firstLine="438"/>
        <w:rPr>
          <w:sz w:val="24"/>
          <w:szCs w:val="24"/>
        </w:rPr>
      </w:pPr>
      <w:r>
        <w:rPr>
          <w:spacing w:val="-20"/>
          <w:sz w:val="24"/>
          <w:szCs w:val="24"/>
        </w:rPr>
        <w:t>在施工过程及施工养护中，我们将认真维护和管理三角网点、测量基准点、以及我方自己</w:t>
      </w:r>
      <w:r>
        <w:rPr>
          <w:spacing w:val="-21"/>
          <w:sz w:val="24"/>
          <w:szCs w:val="24"/>
        </w:rPr>
        <w:t>测定和设置的控制点，直到移交给发包单位。</w:t>
      </w:r>
    </w:p>
    <w:p w14:paraId="23883F22">
      <w:pPr>
        <w:pStyle w:val="2"/>
        <w:spacing w:before="3" w:line="307" w:lineRule="auto"/>
        <w:ind w:left="1460" w:right="1409" w:firstLine="432"/>
        <w:jc w:val="both"/>
        <w:rPr>
          <w:sz w:val="24"/>
          <w:szCs w:val="24"/>
        </w:rPr>
      </w:pPr>
      <w:r>
        <w:rPr>
          <w:spacing w:val="-19"/>
          <w:sz w:val="24"/>
          <w:szCs w:val="24"/>
        </w:rPr>
        <w:t>施工测量准备工作是保证施工测量全过程顺</w:t>
      </w:r>
      <w:r>
        <w:rPr>
          <w:spacing w:val="-20"/>
          <w:sz w:val="24"/>
          <w:szCs w:val="24"/>
        </w:rPr>
        <w:t>利进行的重要环节，包括图纸和测量方法的熟</w:t>
      </w:r>
      <w:r>
        <w:rPr>
          <w:spacing w:val="-22"/>
          <w:sz w:val="24"/>
          <w:szCs w:val="24"/>
        </w:rPr>
        <w:t>悉，测量基准点的交接与校核，人员的组织及测量仪器的配备与检定，测</w:t>
      </w:r>
      <w:r>
        <w:rPr>
          <w:spacing w:val="-23"/>
          <w:sz w:val="24"/>
          <w:szCs w:val="24"/>
        </w:rPr>
        <w:t>量方案的讨论,工程测</w:t>
      </w:r>
      <w:r>
        <w:rPr>
          <w:spacing w:val="-21"/>
          <w:sz w:val="24"/>
          <w:szCs w:val="24"/>
        </w:rPr>
        <w:t>量重难点的分析与应对措施。</w:t>
      </w:r>
    </w:p>
    <w:p w14:paraId="03C24461">
      <w:pPr>
        <w:pStyle w:val="2"/>
        <w:spacing w:before="1" w:line="219" w:lineRule="auto"/>
        <w:ind w:left="1903"/>
        <w:rPr>
          <w:sz w:val="24"/>
          <w:szCs w:val="24"/>
        </w:rPr>
      </w:pPr>
      <w:r>
        <w:pict>
          <v:shape id="_x0000_s1295" o:spid="_x0000_s1295" style="position:absolute;left:0pt;margin-left:365.7pt;margin-top:15.7pt;height:0.75pt;width:2.2pt;z-index:251700224;mso-width-relative:page;mso-height-relative:page;" fillcolor="#1C456A" filled="t" stroked="f" coordsize="44,15" path="m0,14l43,14,43,0,0,0,0,14xe">
            <v:path/>
            <v:fill on="t" focussize="0,0"/>
            <v:stroke on="f"/>
            <v:imagedata o:title=""/>
            <o:lock v:ext="edit"/>
          </v:shape>
        </w:pict>
      </w:r>
      <w:r>
        <w:pict>
          <v:shape id="_x0000_s1296" o:spid="_x0000_s1296" style="position:absolute;left:0pt;margin-left:181.3pt;margin-top:15.7pt;height:0.75pt;width:2.2pt;z-index:251699200;mso-width-relative:page;mso-height-relative:page;" fillcolor="#1C456A" filled="t" stroked="f" coordsize="44,15" path="m0,14l43,14,43,0,0,0,0,14xe">
            <v:path/>
            <v:fill on="t" focussize="0,0"/>
            <v:stroke on="f"/>
            <v:imagedata o:title=""/>
            <o:lock v:ext="edit"/>
          </v:shape>
        </w:pict>
      </w:r>
      <w:r>
        <w:rPr>
          <w:spacing w:val="-18"/>
          <w:sz w:val="24"/>
          <w:szCs w:val="24"/>
        </w:rPr>
        <w:t>1、人员的配置</w:t>
      </w:r>
    </w:p>
    <w:tbl>
      <w:tblPr>
        <w:tblStyle w:val="6"/>
        <w:tblW w:w="9416" w:type="dxa"/>
        <w:tblInd w:w="124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405"/>
        <w:gridCol w:w="986"/>
        <w:gridCol w:w="558"/>
        <w:gridCol w:w="3124"/>
        <w:gridCol w:w="3343"/>
      </w:tblGrid>
      <w:tr w14:paraId="47829C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1" w:hRule="atLeast"/>
        </w:trPr>
        <w:tc>
          <w:tcPr>
            <w:tcW w:w="1405" w:type="dxa"/>
            <w:tcBorders>
              <w:top w:val="single" w:color="000000" w:sz="4" w:space="0"/>
              <w:left w:val="single" w:color="000000" w:sz="4" w:space="0"/>
            </w:tcBorders>
            <w:shd w:val="clear" w:color="auto" w:fill="DEEAF6"/>
            <w:vAlign w:val="top"/>
          </w:tcPr>
          <w:p w14:paraId="222CB17F">
            <w:pPr>
              <w:spacing w:line="93" w:lineRule="exact"/>
              <w:ind w:firstLine="33"/>
            </w:pPr>
            <w:r>
              <w:rPr>
                <w:position w:val="-1"/>
              </w:rPr>
              <w:pict>
                <v:group id="_x0000_s1297" o:spid="_x0000_s1297" o:spt="203" style="height:5.2pt;width:69.75pt;" coordsize="1395,103">
                  <o:lock v:ext="edit"/>
                  <v:shape id="_x0000_s1298" o:spid="_x0000_s1298" style="position:absolute;left:0;top:43;height:60;width:1351;" fillcolor="#DEEAF6" filled="t" stroked="f" coordsize="1351,60" path="m0,60l1351,60,1351,0,0,0,0,60xe">
                    <v:path/>
                    <v:fill on="t" focussize="0,0"/>
                    <v:stroke on="f"/>
                    <v:imagedata o:title=""/>
                    <o:lock v:ext="edit"/>
                  </v:shape>
                  <v:shape id="_x0000_s1299" o:spid="_x0000_s1299" style="position:absolute;left:1351;top:0;height:15;width:44;" fillcolor="#5B9BD5" filled="t" stroked="f" coordsize="44,15" path="m0,14l43,14,43,0,0,0,0,14xe">
                    <v:path/>
                    <v:fill on="t" focussize="0,0"/>
                    <v:stroke on="f"/>
                    <v:imagedata o:title=""/>
                    <o:lock v:ext="edit"/>
                  </v:shape>
                  <v:shape id="_x0000_s1300" o:spid="_x0000_s1300" style="position:absolute;left:1351;top:14;height:15;width:44;" fillcolor="#20507B" filled="t" stroked="f" coordsize="44,15" path="m0,14l43,14,43,0,0,0,0,14xe">
                    <v:path/>
                    <v:fill on="t" focussize="0,0"/>
                    <v:stroke on="f"/>
                    <v:imagedata o:title=""/>
                    <o:lock v:ext="edit"/>
                  </v:shape>
                  <v:shape id="_x0000_s1301" o:spid="_x0000_s1301" style="position:absolute;left:1351;top:28;height:15;width:44;" fillcolor="#1C456A" filled="t" stroked="f" coordsize="44,15" path="m0,14l43,14,43,0,0,0,0,14xe">
                    <v:path/>
                    <v:fill on="t" focussize="0,0"/>
                    <v:stroke on="f"/>
                    <v:imagedata o:title=""/>
                    <o:lock v:ext="edit"/>
                  </v:shape>
                  <w10:wrap type="none"/>
                  <w10:anchorlock/>
                </v:group>
              </w:pict>
            </w:r>
          </w:p>
          <w:p w14:paraId="213CFCB0">
            <w:pPr>
              <w:pStyle w:val="7"/>
              <w:spacing w:before="35" w:line="217" w:lineRule="auto"/>
              <w:ind w:left="276"/>
            </w:pPr>
            <w:r>
              <w:rPr>
                <w:b/>
                <w:bCs/>
                <w:spacing w:val="-18"/>
              </w:rPr>
              <w:t>职称资质</w:t>
            </w:r>
          </w:p>
        </w:tc>
        <w:tc>
          <w:tcPr>
            <w:tcW w:w="986" w:type="dxa"/>
            <w:tcBorders>
              <w:top w:val="single" w:color="000000" w:sz="4" w:space="0"/>
            </w:tcBorders>
            <w:shd w:val="clear" w:color="auto" w:fill="DEEAF6"/>
            <w:vAlign w:val="top"/>
          </w:tcPr>
          <w:p w14:paraId="18D0B442">
            <w:pPr>
              <w:pStyle w:val="7"/>
              <w:spacing w:before="129" w:line="219" w:lineRule="auto"/>
              <w:ind w:left="285"/>
            </w:pPr>
            <w:r>
              <w:rPr>
                <w:b/>
                <w:bCs/>
                <w:spacing w:val="-13"/>
              </w:rPr>
              <w:t>人数</w:t>
            </w:r>
          </w:p>
        </w:tc>
        <w:tc>
          <w:tcPr>
            <w:tcW w:w="558" w:type="dxa"/>
            <w:tcBorders>
              <w:top w:val="single" w:color="000000" w:sz="4" w:space="0"/>
              <w:right w:val="nil"/>
            </w:tcBorders>
            <w:shd w:val="clear" w:color="auto" w:fill="DEEAF6"/>
            <w:vAlign w:val="top"/>
          </w:tcPr>
          <w:p w14:paraId="69510ABE">
            <w:pPr>
              <w:spacing w:line="18" w:lineRule="exact"/>
            </w:pPr>
            <w:r>
              <w:pict>
                <v:group id="_x0000_s1302" o:spid="_x0000_s1302" o:spt="203" style="height:1.45pt;width:2.2pt;" coordsize="44,29">
                  <o:lock v:ext="edit"/>
                  <v:shape id="_x0000_s1303" o:spid="_x0000_s1303" style="position:absolute;left:0;top:0;height:15;width:44;" fillcolor="#5B9BD5" filled="t" stroked="f" coordsize="44,15" path="m0,14l43,14,43,0,0,0,0,14xe">
                    <v:path/>
                    <v:fill on="t" focussize="0,0"/>
                    <v:stroke on="f"/>
                    <v:imagedata o:title=""/>
                    <o:lock v:ext="edit"/>
                  </v:shape>
                  <v:shape id="_x0000_s1304" o:spid="_x0000_s1304" style="position:absolute;left:0;top:14;height:15;width:44;" fillcolor="#20507B" filled="t" stroked="f" coordsize="44,15" path="m0,14l43,14,43,0,0,0,0,14xe">
                    <v:path/>
                    <v:fill on="t" focussize="0,0"/>
                    <v:stroke on="f"/>
                    <v:imagedata o:title=""/>
                    <o:lock v:ext="edit"/>
                  </v:shape>
                  <w10:wrap type="none"/>
                  <w10:anchorlock/>
                </v:group>
              </w:pict>
            </w:r>
          </w:p>
        </w:tc>
        <w:tc>
          <w:tcPr>
            <w:tcW w:w="3124" w:type="dxa"/>
            <w:tcBorders>
              <w:top w:val="single" w:color="000000" w:sz="4" w:space="0"/>
              <w:left w:val="nil"/>
            </w:tcBorders>
            <w:shd w:val="clear" w:color="auto" w:fill="DEEAF6"/>
            <w:vAlign w:val="top"/>
          </w:tcPr>
          <w:p w14:paraId="19655DDE">
            <w:pPr>
              <w:pStyle w:val="7"/>
              <w:spacing w:before="129" w:line="217" w:lineRule="auto"/>
              <w:ind w:left="558"/>
            </w:pPr>
            <w:r>
              <w:rPr>
                <w:b/>
                <w:bCs/>
                <w:spacing w:val="-25"/>
              </w:rPr>
              <w:t>岗位分工及责任</w:t>
            </w:r>
          </w:p>
        </w:tc>
        <w:tc>
          <w:tcPr>
            <w:tcW w:w="3343" w:type="dxa"/>
            <w:tcBorders>
              <w:top w:val="single" w:color="5B9BD5" w:sz="4" w:space="0"/>
              <w:right w:val="single" w:color="5B9BD5" w:sz="4" w:space="0"/>
            </w:tcBorders>
            <w:shd w:val="clear" w:color="auto" w:fill="DEEAF6"/>
            <w:vAlign w:val="top"/>
          </w:tcPr>
          <w:p w14:paraId="37E8EFF2">
            <w:pPr>
              <w:spacing w:line="93" w:lineRule="exact"/>
            </w:pPr>
            <w:r>
              <w:rPr>
                <w:position w:val="-1"/>
              </w:rPr>
              <w:pict>
                <v:group id="_x0000_s1305" o:spid="_x0000_s1305" o:spt="203" style="height:5.2pt;width:167.7pt;" coordsize="3353,103">
                  <o:lock v:ext="edit"/>
                  <v:shape id="_x0000_s1306" o:spid="_x0000_s1306" style="position:absolute;left:0;top:0;height:15;width:44;" fillcolor="#5B9BD5" filled="t" stroked="f" coordsize="44,15" path="m0,14l43,14,43,0,0,0,0,14xe">
                    <v:path/>
                    <v:fill on="t" focussize="0,0"/>
                    <v:stroke on="f"/>
                    <v:imagedata o:title=""/>
                    <o:lock v:ext="edit"/>
                  </v:shape>
                  <v:shape id="_x0000_s1307" o:spid="_x0000_s1307" style="position:absolute;left:0;top:14;height:15;width:44;" fillcolor="#20507B" filled="t" stroked="f" coordsize="44,15" path="m0,14l43,14,43,0,0,0,0,14xe">
                    <v:path/>
                    <v:fill on="t" focussize="0,0"/>
                    <v:stroke on="f"/>
                    <v:imagedata o:title=""/>
                    <o:lock v:ext="edit"/>
                  </v:shape>
                  <v:shape id="_x0000_s1308" o:spid="_x0000_s1308" style="position:absolute;left:43;top:43;height:60;width:3267;" fillcolor="#DEEAF6" filled="t" stroked="f" coordsize="3267,60" path="m0,60l3266,60,3266,0,0,0,0,60xe">
                    <v:path/>
                    <v:fill on="t" focussize="0,0"/>
                    <v:stroke on="f"/>
                    <v:imagedata o:title=""/>
                    <o:lock v:ext="edit"/>
                  </v:shape>
                  <v:shape id="_x0000_s1309" o:spid="_x0000_s1309" style="position:absolute;left:3310;top:0;height:15;width:44;" fillcolor="#5B9BD5" filled="t" stroked="f" coordsize="44,15" path="m0,14l43,14,43,0,0,0,0,14xe">
                    <v:path/>
                    <v:fill on="t" focussize="0,0"/>
                    <v:stroke on="f"/>
                    <v:imagedata o:title=""/>
                    <o:lock v:ext="edit"/>
                  </v:shape>
                  <w10:wrap type="none"/>
                  <w10:anchorlock/>
                </v:group>
              </w:pict>
            </w:r>
          </w:p>
          <w:p w14:paraId="55F5AB69">
            <w:pPr>
              <w:pStyle w:val="7"/>
              <w:spacing w:before="36" w:line="218" w:lineRule="auto"/>
              <w:ind w:left="1132"/>
            </w:pPr>
            <w:r>
              <w:rPr>
                <w:b/>
                <w:bCs/>
                <w:spacing w:val="-20"/>
              </w:rPr>
              <w:t>具备的条件</w:t>
            </w:r>
          </w:p>
        </w:tc>
      </w:tr>
      <w:tr w14:paraId="2E9EE7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30" w:hRule="atLeast"/>
        </w:trPr>
        <w:tc>
          <w:tcPr>
            <w:tcW w:w="1405" w:type="dxa"/>
            <w:tcBorders>
              <w:left w:val="single" w:color="000000" w:sz="4" w:space="0"/>
            </w:tcBorders>
            <w:vAlign w:val="top"/>
          </w:tcPr>
          <w:p w14:paraId="603AE8B4">
            <w:pPr>
              <w:spacing w:line="279" w:lineRule="auto"/>
              <w:rPr>
                <w:rFonts w:ascii="Arial"/>
                <w:sz w:val="21"/>
              </w:rPr>
            </w:pPr>
          </w:p>
          <w:p w14:paraId="10F3981C">
            <w:pPr>
              <w:pStyle w:val="7"/>
              <w:spacing w:before="78" w:line="218" w:lineRule="auto"/>
              <w:ind w:left="184"/>
            </w:pPr>
            <w:r>
              <w:rPr>
                <w:spacing w:val="-20"/>
              </w:rPr>
              <w:t>资深测量工</w:t>
            </w:r>
          </w:p>
          <w:p w14:paraId="0E96C58C">
            <w:pPr>
              <w:pStyle w:val="7"/>
              <w:spacing w:before="182" w:line="218" w:lineRule="auto"/>
              <w:ind w:left="500"/>
            </w:pPr>
            <w:r>
              <w:rPr>
                <w:spacing w:val="-10"/>
              </w:rPr>
              <w:t>程师</w:t>
            </w:r>
          </w:p>
        </w:tc>
        <w:tc>
          <w:tcPr>
            <w:tcW w:w="986" w:type="dxa"/>
            <w:vAlign w:val="top"/>
          </w:tcPr>
          <w:p w14:paraId="7FCFFFE3">
            <w:pPr>
              <w:spacing w:line="255" w:lineRule="auto"/>
              <w:rPr>
                <w:rFonts w:ascii="Arial"/>
                <w:sz w:val="21"/>
              </w:rPr>
            </w:pPr>
          </w:p>
          <w:p w14:paraId="02C01D3C">
            <w:pPr>
              <w:spacing w:line="256" w:lineRule="auto"/>
              <w:rPr>
                <w:rFonts w:ascii="Arial"/>
                <w:sz w:val="21"/>
              </w:rPr>
            </w:pPr>
          </w:p>
          <w:p w14:paraId="285EB7BA">
            <w:pPr>
              <w:pStyle w:val="7"/>
              <w:spacing w:before="78" w:line="220" w:lineRule="auto"/>
              <w:ind w:left="305"/>
            </w:pPr>
            <w:r>
              <w:rPr>
                <w:spacing w:val="-7"/>
              </w:rPr>
              <w:t>5名</w:t>
            </w:r>
          </w:p>
        </w:tc>
        <w:tc>
          <w:tcPr>
            <w:tcW w:w="3682" w:type="dxa"/>
            <w:gridSpan w:val="2"/>
            <w:vAlign w:val="top"/>
          </w:tcPr>
          <w:p w14:paraId="25B6B9AE">
            <w:pPr>
              <w:spacing w:line="280" w:lineRule="auto"/>
              <w:rPr>
                <w:rFonts w:ascii="Arial"/>
                <w:sz w:val="21"/>
              </w:rPr>
            </w:pPr>
          </w:p>
          <w:p w14:paraId="4F786687">
            <w:pPr>
              <w:pStyle w:val="7"/>
              <w:spacing w:before="78" w:line="358" w:lineRule="auto"/>
              <w:ind w:left="122" w:right="76" w:hanging="10"/>
            </w:pPr>
            <w:r>
              <w:rPr>
                <w:spacing w:val="-23"/>
              </w:rPr>
              <w:t>方案编制、理论分析、组织测量工程师一起进行测量控制网的布设和传递</w:t>
            </w:r>
          </w:p>
        </w:tc>
        <w:tc>
          <w:tcPr>
            <w:tcW w:w="3343" w:type="dxa"/>
            <w:tcBorders>
              <w:right w:val="single" w:color="000000" w:sz="4" w:space="0"/>
            </w:tcBorders>
            <w:vAlign w:val="top"/>
          </w:tcPr>
          <w:p w14:paraId="6A397AB9">
            <w:pPr>
              <w:spacing w:line="279" w:lineRule="auto"/>
              <w:rPr>
                <w:rFonts w:ascii="Arial"/>
                <w:sz w:val="21"/>
              </w:rPr>
            </w:pPr>
          </w:p>
          <w:p w14:paraId="62CC774D">
            <w:pPr>
              <w:pStyle w:val="7"/>
              <w:spacing w:before="78" w:line="359" w:lineRule="auto"/>
              <w:ind w:left="694" w:right="73" w:hanging="600"/>
            </w:pPr>
            <w:r>
              <w:rPr>
                <w:spacing w:val="-23"/>
              </w:rPr>
              <w:t>从事测量工作10以上，并具有相</w:t>
            </w:r>
            <w:r>
              <w:rPr>
                <w:spacing w:val="-19"/>
              </w:rPr>
              <w:t>应测量岗位资质证书</w:t>
            </w:r>
          </w:p>
        </w:tc>
      </w:tr>
      <w:tr w14:paraId="179790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62" w:hRule="atLeast"/>
        </w:trPr>
        <w:tc>
          <w:tcPr>
            <w:tcW w:w="1405" w:type="dxa"/>
            <w:tcBorders>
              <w:left w:val="single" w:color="000000" w:sz="4" w:space="0"/>
            </w:tcBorders>
            <w:vAlign w:val="top"/>
          </w:tcPr>
          <w:p w14:paraId="1FF0BEDC">
            <w:pPr>
              <w:pStyle w:val="7"/>
              <w:spacing w:before="117" w:line="219" w:lineRule="auto"/>
              <w:ind w:left="279"/>
            </w:pPr>
            <w:r>
              <w:rPr>
                <w:spacing w:val="-15"/>
              </w:rPr>
              <w:t>测量工程</w:t>
            </w:r>
          </w:p>
          <w:p w14:paraId="257854D1">
            <w:pPr>
              <w:pStyle w:val="7"/>
              <w:spacing w:before="181" w:line="218" w:lineRule="auto"/>
              <w:ind w:left="622"/>
            </w:pPr>
            <w:r>
              <w:t>师</w:t>
            </w:r>
          </w:p>
        </w:tc>
        <w:tc>
          <w:tcPr>
            <w:tcW w:w="986" w:type="dxa"/>
            <w:vAlign w:val="top"/>
          </w:tcPr>
          <w:p w14:paraId="51E5E542">
            <w:pPr>
              <w:spacing w:line="271" w:lineRule="auto"/>
              <w:rPr>
                <w:rFonts w:ascii="Arial"/>
                <w:sz w:val="21"/>
              </w:rPr>
            </w:pPr>
          </w:p>
          <w:p w14:paraId="69620D12">
            <w:pPr>
              <w:pStyle w:val="7"/>
              <w:spacing w:before="78" w:line="220" w:lineRule="auto"/>
              <w:ind w:left="305"/>
            </w:pPr>
            <w:r>
              <w:rPr>
                <w:spacing w:val="-7"/>
              </w:rPr>
              <w:t>5名</w:t>
            </w:r>
          </w:p>
        </w:tc>
        <w:tc>
          <w:tcPr>
            <w:tcW w:w="3682" w:type="dxa"/>
            <w:gridSpan w:val="2"/>
            <w:vAlign w:val="top"/>
          </w:tcPr>
          <w:p w14:paraId="71C1F0AE">
            <w:pPr>
              <w:pStyle w:val="7"/>
              <w:spacing w:before="118" w:line="216" w:lineRule="auto"/>
              <w:ind w:left="111"/>
            </w:pPr>
            <w:r>
              <w:rPr>
                <w:spacing w:val="-21"/>
              </w:rPr>
              <w:t>实施楼层测量操作，技术资料编制，</w:t>
            </w:r>
          </w:p>
          <w:p w14:paraId="74C0E696">
            <w:pPr>
              <w:pStyle w:val="7"/>
              <w:spacing w:before="185" w:line="217" w:lineRule="auto"/>
              <w:ind w:left="1196"/>
            </w:pPr>
            <w:r>
              <w:rPr>
                <w:spacing w:val="-18"/>
              </w:rPr>
              <w:t>测量数据计算</w:t>
            </w:r>
          </w:p>
        </w:tc>
        <w:tc>
          <w:tcPr>
            <w:tcW w:w="3343" w:type="dxa"/>
            <w:tcBorders>
              <w:right w:val="single" w:color="000000" w:sz="4" w:space="0"/>
            </w:tcBorders>
            <w:vAlign w:val="top"/>
          </w:tcPr>
          <w:p w14:paraId="18EF2C6B">
            <w:pPr>
              <w:pStyle w:val="7"/>
              <w:spacing w:before="118" w:line="359" w:lineRule="auto"/>
              <w:ind w:left="694" w:right="46" w:hanging="624"/>
            </w:pPr>
            <w:r>
              <w:rPr>
                <w:spacing w:val="-22"/>
              </w:rPr>
              <w:t>从事测量工作8年以上，并具有相</w:t>
            </w:r>
            <w:r>
              <w:rPr>
                <w:spacing w:val="-19"/>
              </w:rPr>
              <w:t>应测量岗位资质证书</w:t>
            </w:r>
          </w:p>
        </w:tc>
      </w:tr>
      <w:tr w14:paraId="569F45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00" w:hRule="atLeast"/>
        </w:trPr>
        <w:tc>
          <w:tcPr>
            <w:tcW w:w="1405" w:type="dxa"/>
            <w:tcBorders>
              <w:left w:val="single" w:color="20507B" w:sz="4" w:space="0"/>
              <w:bottom w:val="single" w:color="20507B" w:sz="4" w:space="0"/>
            </w:tcBorders>
            <w:vAlign w:val="top"/>
          </w:tcPr>
          <w:p w14:paraId="230A22DC">
            <w:pPr>
              <w:spacing w:line="265" w:lineRule="auto"/>
              <w:rPr>
                <w:rFonts w:ascii="Arial"/>
                <w:sz w:val="21"/>
              </w:rPr>
            </w:pPr>
          </w:p>
          <w:p w14:paraId="7E8752AB">
            <w:pPr>
              <w:pStyle w:val="7"/>
              <w:spacing w:before="78" w:line="218" w:lineRule="auto"/>
              <w:ind w:left="279"/>
            </w:pPr>
            <w:r>
              <w:rPr>
                <w:spacing w:val="-15"/>
              </w:rPr>
              <w:t>测量技师</w:t>
            </w:r>
          </w:p>
        </w:tc>
        <w:tc>
          <w:tcPr>
            <w:tcW w:w="986" w:type="dxa"/>
            <w:tcBorders>
              <w:bottom w:val="single" w:color="000000" w:sz="4" w:space="0"/>
            </w:tcBorders>
            <w:vAlign w:val="top"/>
          </w:tcPr>
          <w:p w14:paraId="34680B2D">
            <w:pPr>
              <w:spacing w:line="265" w:lineRule="auto"/>
              <w:rPr>
                <w:rFonts w:ascii="Arial"/>
                <w:sz w:val="21"/>
              </w:rPr>
            </w:pPr>
          </w:p>
          <w:p w14:paraId="2A3E7116">
            <w:pPr>
              <w:pStyle w:val="7"/>
              <w:spacing w:before="78" w:line="220" w:lineRule="auto"/>
              <w:ind w:left="265"/>
            </w:pPr>
            <w:r>
              <w:rPr>
                <w:spacing w:val="-13"/>
              </w:rPr>
              <w:t>10名</w:t>
            </w:r>
          </w:p>
        </w:tc>
        <w:tc>
          <w:tcPr>
            <w:tcW w:w="3682" w:type="dxa"/>
            <w:gridSpan w:val="2"/>
            <w:tcBorders>
              <w:bottom w:val="single" w:color="000000" w:sz="4" w:space="0"/>
            </w:tcBorders>
            <w:vAlign w:val="top"/>
          </w:tcPr>
          <w:p w14:paraId="76A0AE73">
            <w:pPr>
              <w:spacing w:line="265" w:lineRule="auto"/>
              <w:rPr>
                <w:rFonts w:ascii="Arial"/>
                <w:sz w:val="21"/>
              </w:rPr>
            </w:pPr>
          </w:p>
          <w:p w14:paraId="7A6BC24C">
            <w:pPr>
              <w:pStyle w:val="7"/>
              <w:spacing w:before="78" w:line="216" w:lineRule="auto"/>
              <w:ind w:left="1196"/>
            </w:pPr>
            <w:r>
              <w:rPr>
                <w:spacing w:val="-18"/>
              </w:rPr>
              <w:t>测量放线操作</w:t>
            </w:r>
          </w:p>
        </w:tc>
        <w:tc>
          <w:tcPr>
            <w:tcW w:w="3343" w:type="dxa"/>
            <w:tcBorders>
              <w:bottom w:val="single" w:color="5B9BD5" w:sz="4" w:space="0"/>
              <w:right w:val="single" w:color="5B9BD5" w:sz="4" w:space="0"/>
            </w:tcBorders>
            <w:vAlign w:val="top"/>
          </w:tcPr>
          <w:p w14:paraId="08E6D26F">
            <w:pPr>
              <w:pStyle w:val="7"/>
              <w:spacing w:before="109" w:line="361" w:lineRule="auto"/>
              <w:ind w:left="694" w:right="46" w:hanging="624"/>
            </w:pPr>
            <w:r>
              <w:pict>
                <v:shape id="_x0000_s1310" o:spid="_x0000_s1310" style="position:absolute;left:0pt;margin-left:165.3pt;margin-top:55pt;height:0.75pt;width:2.2pt;mso-position-horizontal-relative:page;mso-position-vertical-relative:page;z-index:251701248;mso-width-relative:page;mso-height-relative:page;" fillcolor="#5B9BD5" filled="t" stroked="f" coordsize="44,15" path="m0,14l43,14,43,0,0,0,0,14xe">
                  <v:path/>
                  <v:fill on="t" focussize="0,0"/>
                  <v:stroke on="f"/>
                  <v:imagedata o:title=""/>
                  <o:lock v:ext="edit"/>
                </v:shape>
              </w:pict>
            </w:r>
            <w:r>
              <w:rPr>
                <w:spacing w:val="-22"/>
              </w:rPr>
              <w:t>从事测量工作3年以上，并具有相</w:t>
            </w:r>
            <w:r>
              <w:rPr>
                <w:spacing w:val="-19"/>
              </w:rPr>
              <w:t>应测量岗位资质证书</w:t>
            </w:r>
          </w:p>
        </w:tc>
      </w:tr>
    </w:tbl>
    <w:p w14:paraId="07E6D4D0">
      <w:pPr>
        <w:pStyle w:val="2"/>
        <w:spacing w:before="115" w:line="218" w:lineRule="auto"/>
        <w:ind w:left="1888"/>
        <w:rPr>
          <w:sz w:val="24"/>
          <w:szCs w:val="24"/>
        </w:rPr>
      </w:pPr>
      <w:r>
        <w:rPr>
          <w:spacing w:val="-16"/>
          <w:sz w:val="24"/>
          <w:szCs w:val="24"/>
        </w:rPr>
        <w:t>2、仪器的配备</w:t>
      </w:r>
    </w:p>
    <w:p w14:paraId="554648C1">
      <w:pPr>
        <w:pStyle w:val="2"/>
        <w:spacing w:before="117" w:line="217" w:lineRule="auto"/>
        <w:ind w:left="1901"/>
        <w:rPr>
          <w:sz w:val="24"/>
          <w:szCs w:val="24"/>
        </w:rPr>
      </w:pPr>
      <w:r>
        <w:rPr>
          <w:spacing w:val="-19"/>
          <w:sz w:val="24"/>
          <w:szCs w:val="24"/>
        </w:rPr>
        <w:t>为了保证测量精度，采用了全站仪、激光铅垂仪、高精度水准仪</w:t>
      </w:r>
      <w:r>
        <w:rPr>
          <w:spacing w:val="-20"/>
          <w:sz w:val="24"/>
          <w:szCs w:val="24"/>
        </w:rPr>
        <w:t>等。测量仪器均通过计量</w:t>
      </w:r>
    </w:p>
    <w:p w14:paraId="1CE8E80A">
      <w:pPr>
        <w:spacing w:line="217" w:lineRule="auto"/>
        <w:rPr>
          <w:sz w:val="24"/>
          <w:szCs w:val="24"/>
        </w:rPr>
        <w:sectPr>
          <w:headerReference r:id="rId36" w:type="default"/>
          <w:footerReference r:id="rId37" w:type="default"/>
          <w:pgSz w:w="11907" w:h="16839"/>
          <w:pgMar w:top="954" w:right="4" w:bottom="1038" w:left="0" w:header="499" w:footer="357" w:gutter="0"/>
          <w:pgBorders>
            <w:top w:val="none" w:sz="0" w:space="0"/>
            <w:left w:val="none" w:sz="0" w:space="0"/>
            <w:bottom w:val="none" w:sz="0" w:space="0"/>
            <w:right w:val="none" w:sz="0" w:space="0"/>
          </w:pgBorders>
          <w:cols w:space="720" w:num="1"/>
        </w:sectPr>
      </w:pPr>
    </w:p>
    <w:p w14:paraId="7E20A54C">
      <w:pPr>
        <w:spacing w:line="250" w:lineRule="auto"/>
        <w:rPr>
          <w:rFonts w:ascii="Arial"/>
          <w:sz w:val="21"/>
        </w:rPr>
      </w:pPr>
    </w:p>
    <w:p w14:paraId="6D987D97">
      <w:pPr>
        <w:pStyle w:val="2"/>
        <w:spacing w:before="78" w:line="216" w:lineRule="auto"/>
        <w:ind w:left="1457"/>
        <w:rPr>
          <w:sz w:val="24"/>
          <w:szCs w:val="24"/>
        </w:rPr>
      </w:pPr>
      <w:r>
        <w:rPr>
          <w:spacing w:val="-22"/>
          <w:sz w:val="24"/>
          <w:szCs w:val="24"/>
        </w:rPr>
        <w:t>所定期的检验并有合格证书。</w:t>
      </w:r>
    </w:p>
    <w:p w14:paraId="5FC76870">
      <w:pPr>
        <w:pStyle w:val="2"/>
        <w:spacing w:before="120" w:line="218" w:lineRule="auto"/>
        <w:ind w:left="1890"/>
        <w:rPr>
          <w:sz w:val="24"/>
          <w:szCs w:val="24"/>
        </w:rPr>
      </w:pPr>
      <w:r>
        <w:rPr>
          <w:spacing w:val="-16"/>
          <w:sz w:val="24"/>
          <w:szCs w:val="24"/>
        </w:rPr>
        <w:t>3、施工准备</w:t>
      </w:r>
    </w:p>
    <w:p w14:paraId="2B16EB74">
      <w:pPr>
        <w:spacing w:line="19" w:lineRule="auto"/>
        <w:rPr>
          <w:rFonts w:ascii="Arial"/>
          <w:sz w:val="2"/>
        </w:rPr>
      </w:pPr>
    </w:p>
    <w:tbl>
      <w:tblPr>
        <w:tblStyle w:val="6"/>
        <w:tblW w:w="9209" w:type="dxa"/>
        <w:tblInd w:w="1349"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88"/>
        <w:gridCol w:w="8021"/>
      </w:tblGrid>
      <w:tr w14:paraId="6BD055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9" w:hRule="atLeast"/>
        </w:trPr>
        <w:tc>
          <w:tcPr>
            <w:tcW w:w="1188" w:type="dxa"/>
            <w:tcBorders>
              <w:top w:val="single" w:color="000000" w:sz="4" w:space="0"/>
              <w:left w:val="single" w:color="000000" w:sz="4" w:space="0"/>
            </w:tcBorders>
            <w:shd w:val="clear" w:color="auto" w:fill="DEEAF6"/>
            <w:vAlign w:val="top"/>
          </w:tcPr>
          <w:p w14:paraId="0B8B6FE4">
            <w:pPr>
              <w:pStyle w:val="7"/>
              <w:spacing w:before="127" w:line="218" w:lineRule="auto"/>
              <w:ind w:left="392"/>
            </w:pPr>
            <w:r>
              <w:rPr>
                <w:b/>
                <w:bCs/>
                <w:spacing w:val="-12"/>
              </w:rPr>
              <w:t>序号</w:t>
            </w:r>
          </w:p>
        </w:tc>
        <w:tc>
          <w:tcPr>
            <w:tcW w:w="8021" w:type="dxa"/>
            <w:tcBorders>
              <w:top w:val="single" w:color="5B9BD5" w:sz="4" w:space="0"/>
              <w:right w:val="single" w:color="5B9BD5" w:sz="4" w:space="0"/>
            </w:tcBorders>
            <w:shd w:val="clear" w:color="auto" w:fill="DEEAF6"/>
            <w:vAlign w:val="top"/>
          </w:tcPr>
          <w:p w14:paraId="66C409AC">
            <w:pPr>
              <w:pStyle w:val="7"/>
              <w:spacing w:before="126" w:line="216" w:lineRule="auto"/>
              <w:ind w:left="3578"/>
            </w:pPr>
            <w:r>
              <w:rPr>
                <w:b/>
                <w:bCs/>
                <w:spacing w:val="-19"/>
              </w:rPr>
              <w:t>工作内容</w:t>
            </w:r>
          </w:p>
        </w:tc>
      </w:tr>
      <w:tr w14:paraId="68F96A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26" w:hRule="atLeast"/>
        </w:trPr>
        <w:tc>
          <w:tcPr>
            <w:tcW w:w="1188" w:type="dxa"/>
            <w:tcBorders>
              <w:left w:val="single" w:color="000000" w:sz="4" w:space="0"/>
            </w:tcBorders>
            <w:vAlign w:val="top"/>
          </w:tcPr>
          <w:p w14:paraId="14296621">
            <w:pPr>
              <w:spacing w:line="256" w:lineRule="auto"/>
              <w:rPr>
                <w:rFonts w:ascii="Arial"/>
                <w:sz w:val="21"/>
              </w:rPr>
            </w:pPr>
          </w:p>
          <w:p w14:paraId="7E22C10E">
            <w:pPr>
              <w:spacing w:line="257" w:lineRule="auto"/>
              <w:rPr>
                <w:rFonts w:ascii="Arial"/>
                <w:sz w:val="21"/>
              </w:rPr>
            </w:pPr>
          </w:p>
          <w:p w14:paraId="0E0ED972">
            <w:pPr>
              <w:pStyle w:val="7"/>
              <w:spacing w:before="78" w:line="238" w:lineRule="auto"/>
              <w:ind w:left="565"/>
            </w:pPr>
            <w:r>
              <w:t>1</w:t>
            </w:r>
          </w:p>
        </w:tc>
        <w:tc>
          <w:tcPr>
            <w:tcW w:w="8021" w:type="dxa"/>
            <w:tcBorders>
              <w:right w:val="single" w:color="000000" w:sz="4" w:space="0"/>
            </w:tcBorders>
            <w:vAlign w:val="top"/>
          </w:tcPr>
          <w:p w14:paraId="453D496F">
            <w:pPr>
              <w:pStyle w:val="7"/>
              <w:spacing w:before="126" w:line="217" w:lineRule="auto"/>
              <w:ind w:left="2377"/>
            </w:pPr>
            <w:r>
              <w:rPr>
                <w:spacing w:val="-21"/>
              </w:rPr>
              <w:t>测量人员必须认真熟悉相关图纸。</w:t>
            </w:r>
          </w:p>
          <w:p w14:paraId="728526D8">
            <w:pPr>
              <w:pStyle w:val="7"/>
              <w:spacing w:before="185" w:line="216" w:lineRule="auto"/>
              <w:ind w:left="1505"/>
            </w:pPr>
            <w:r>
              <w:rPr>
                <w:spacing w:val="-22"/>
              </w:rPr>
              <w:t>制定可行性的施工方案后，对施工员进行方案交底。</w:t>
            </w:r>
          </w:p>
          <w:p w14:paraId="6DCE7D07">
            <w:pPr>
              <w:pStyle w:val="7"/>
              <w:spacing w:before="184" w:line="217" w:lineRule="auto"/>
              <w:ind w:left="632"/>
            </w:pPr>
            <w:r>
              <w:rPr>
                <w:spacing w:val="-21"/>
              </w:rPr>
              <w:t>测量施工前总包测量员应对分包测量员和测量工进行详细的技术</w:t>
            </w:r>
            <w:r>
              <w:rPr>
                <w:spacing w:val="-22"/>
              </w:rPr>
              <w:t>交底。</w:t>
            </w:r>
          </w:p>
        </w:tc>
      </w:tr>
      <w:tr w14:paraId="0EDEF3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57" w:hRule="atLeast"/>
        </w:trPr>
        <w:tc>
          <w:tcPr>
            <w:tcW w:w="1188" w:type="dxa"/>
            <w:tcBorders>
              <w:left w:val="single" w:color="000000" w:sz="4" w:space="0"/>
            </w:tcBorders>
            <w:vAlign w:val="top"/>
          </w:tcPr>
          <w:p w14:paraId="1B83BF89">
            <w:pPr>
              <w:spacing w:line="274" w:lineRule="auto"/>
              <w:rPr>
                <w:rFonts w:ascii="Arial"/>
                <w:sz w:val="21"/>
              </w:rPr>
            </w:pPr>
          </w:p>
          <w:p w14:paraId="1653C632">
            <w:pPr>
              <w:pStyle w:val="7"/>
              <w:spacing w:before="78" w:line="238" w:lineRule="auto"/>
              <w:ind w:left="550"/>
            </w:pPr>
            <w:r>
              <w:t>2</w:t>
            </w:r>
          </w:p>
        </w:tc>
        <w:tc>
          <w:tcPr>
            <w:tcW w:w="8021" w:type="dxa"/>
            <w:tcBorders>
              <w:right w:val="single" w:color="000000" w:sz="4" w:space="0"/>
            </w:tcBorders>
            <w:vAlign w:val="top"/>
          </w:tcPr>
          <w:p w14:paraId="2EE3B476">
            <w:pPr>
              <w:pStyle w:val="7"/>
              <w:spacing w:before="121" w:line="216" w:lineRule="auto"/>
              <w:ind w:left="1396"/>
            </w:pPr>
            <w:r>
              <w:rPr>
                <w:spacing w:val="-21"/>
              </w:rPr>
              <w:t>基准点现场确认，并要求提供移交点位记录及成果表；</w:t>
            </w:r>
          </w:p>
          <w:p w14:paraId="0740B930">
            <w:pPr>
              <w:pStyle w:val="7"/>
              <w:spacing w:before="187" w:line="216" w:lineRule="auto"/>
              <w:ind w:left="861"/>
            </w:pPr>
            <w:r>
              <w:rPr>
                <w:spacing w:val="-22"/>
              </w:rPr>
              <w:t>复核已完基坑支护工程，定期对控制点进行校准</w:t>
            </w:r>
            <w:r>
              <w:rPr>
                <w:spacing w:val="-23"/>
              </w:rPr>
              <w:t>并设醒目的围栏。</w:t>
            </w:r>
          </w:p>
        </w:tc>
      </w:tr>
      <w:tr w14:paraId="30EF6F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13" w:hRule="atLeast"/>
        </w:trPr>
        <w:tc>
          <w:tcPr>
            <w:tcW w:w="1188" w:type="dxa"/>
            <w:vMerge w:val="restart"/>
            <w:tcBorders>
              <w:left w:val="single" w:color="20507B" w:sz="4" w:space="0"/>
              <w:bottom w:val="nil"/>
            </w:tcBorders>
            <w:vAlign w:val="top"/>
          </w:tcPr>
          <w:p w14:paraId="3DA63C80">
            <w:pPr>
              <w:spacing w:line="270" w:lineRule="auto"/>
              <w:rPr>
                <w:rFonts w:ascii="Arial"/>
                <w:sz w:val="21"/>
              </w:rPr>
            </w:pPr>
          </w:p>
          <w:p w14:paraId="4861F050">
            <w:pPr>
              <w:spacing w:line="270" w:lineRule="auto"/>
              <w:rPr>
                <w:rFonts w:ascii="Arial"/>
                <w:sz w:val="21"/>
              </w:rPr>
            </w:pPr>
          </w:p>
          <w:p w14:paraId="0B1D8A46">
            <w:pPr>
              <w:spacing w:line="270" w:lineRule="auto"/>
              <w:rPr>
                <w:rFonts w:ascii="Arial"/>
                <w:sz w:val="21"/>
              </w:rPr>
            </w:pPr>
          </w:p>
          <w:p w14:paraId="66E3C563">
            <w:pPr>
              <w:spacing w:line="270" w:lineRule="auto"/>
              <w:rPr>
                <w:rFonts w:ascii="Arial"/>
                <w:sz w:val="21"/>
              </w:rPr>
            </w:pPr>
          </w:p>
          <w:p w14:paraId="52F7FA0C">
            <w:pPr>
              <w:spacing w:line="270" w:lineRule="auto"/>
              <w:rPr>
                <w:rFonts w:ascii="Arial"/>
                <w:sz w:val="21"/>
              </w:rPr>
            </w:pPr>
          </w:p>
          <w:p w14:paraId="58C6641D">
            <w:pPr>
              <w:spacing w:line="270" w:lineRule="auto"/>
              <w:rPr>
                <w:rFonts w:ascii="Arial"/>
                <w:sz w:val="21"/>
              </w:rPr>
            </w:pPr>
          </w:p>
          <w:p w14:paraId="562A51F3">
            <w:pPr>
              <w:spacing w:line="270" w:lineRule="auto"/>
              <w:rPr>
                <w:rFonts w:ascii="Arial"/>
                <w:sz w:val="21"/>
              </w:rPr>
            </w:pPr>
          </w:p>
          <w:p w14:paraId="061FBACB">
            <w:pPr>
              <w:pStyle w:val="7"/>
              <w:spacing w:before="78" w:line="237" w:lineRule="auto"/>
              <w:ind w:left="552"/>
            </w:pPr>
            <w:r>
              <w:t>3</w:t>
            </w:r>
          </w:p>
          <w:p w14:paraId="199FF69F">
            <w:pPr>
              <w:spacing w:line="253" w:lineRule="auto"/>
              <w:rPr>
                <w:rFonts w:ascii="Arial"/>
                <w:sz w:val="21"/>
              </w:rPr>
            </w:pPr>
          </w:p>
          <w:p w14:paraId="572BABB4">
            <w:pPr>
              <w:spacing w:line="253" w:lineRule="auto"/>
              <w:rPr>
                <w:rFonts w:ascii="Arial"/>
                <w:sz w:val="21"/>
              </w:rPr>
            </w:pPr>
          </w:p>
          <w:p w14:paraId="30A8C896">
            <w:pPr>
              <w:spacing w:line="253" w:lineRule="auto"/>
              <w:rPr>
                <w:rFonts w:ascii="Arial"/>
                <w:sz w:val="21"/>
              </w:rPr>
            </w:pPr>
          </w:p>
          <w:p w14:paraId="61216F2A">
            <w:pPr>
              <w:spacing w:line="254" w:lineRule="auto"/>
              <w:rPr>
                <w:rFonts w:ascii="Arial"/>
                <w:sz w:val="21"/>
              </w:rPr>
            </w:pPr>
          </w:p>
          <w:p w14:paraId="58DF05F2">
            <w:pPr>
              <w:spacing w:line="254" w:lineRule="auto"/>
              <w:rPr>
                <w:rFonts w:ascii="Arial"/>
                <w:sz w:val="21"/>
              </w:rPr>
            </w:pPr>
          </w:p>
          <w:p w14:paraId="22BAC554">
            <w:pPr>
              <w:spacing w:line="254" w:lineRule="auto"/>
              <w:rPr>
                <w:rFonts w:ascii="Arial"/>
                <w:sz w:val="21"/>
              </w:rPr>
            </w:pPr>
          </w:p>
          <w:p w14:paraId="7F190A90">
            <w:pPr>
              <w:spacing w:line="254" w:lineRule="auto"/>
              <w:rPr>
                <w:rFonts w:ascii="Arial"/>
                <w:sz w:val="21"/>
              </w:rPr>
            </w:pPr>
          </w:p>
          <w:p w14:paraId="00B7648E">
            <w:pPr>
              <w:spacing w:line="254" w:lineRule="auto"/>
              <w:rPr>
                <w:rFonts w:ascii="Arial"/>
                <w:sz w:val="21"/>
              </w:rPr>
            </w:pPr>
          </w:p>
          <w:p w14:paraId="7CA039B5">
            <w:pPr>
              <w:spacing w:line="22" w:lineRule="exact"/>
            </w:pPr>
            <w:r>
              <w:rPr>
                <w:position w:val="-2"/>
              </w:rPr>
              <w:pict>
                <v:group id="_x0000_s1311" o:spid="_x0000_s1311" o:spt="203" style="height:2.2pt;width:59.05pt;" coordsize="1180,44">
                  <o:lock v:ext="edit"/>
                  <v:shape id="_x0000_s1312" o:spid="_x0000_s1312" style="position:absolute;left:0;top:28;height:15;width:44;" fillcolor="#5B9BD5" filled="t" stroked="f" coordsize="44,15" path="m0,14l43,14,43,0,0,0,0,14xe">
                    <v:path/>
                    <v:fill on="t" focussize="0,0"/>
                    <v:stroke on="f"/>
                    <v:imagedata o:title=""/>
                    <o:lock v:ext="edit"/>
                  </v:shape>
                  <v:shape id="_x0000_s1313" o:spid="_x0000_s1313" style="position:absolute;left:43;top:0;height:15;width:1138;" fillcolor="#1C456A" filled="t" stroked="f" coordsize="1138,15" path="m0,14l1137,14,1137,0,0,0,0,14xe">
                    <v:path/>
                    <v:fill on="t" focussize="0,0"/>
                    <v:stroke on="f"/>
                    <v:imagedata o:title=""/>
                    <o:lock v:ext="edit"/>
                  </v:shape>
                  <w10:wrap type="none"/>
                  <w10:anchorlock/>
                </v:group>
              </w:pict>
            </w:r>
          </w:p>
        </w:tc>
        <w:tc>
          <w:tcPr>
            <w:tcW w:w="8021" w:type="dxa"/>
            <w:tcBorders>
              <w:bottom w:val="nil"/>
              <w:right w:val="single" w:color="5B9BD5" w:sz="4" w:space="0"/>
            </w:tcBorders>
            <w:vAlign w:val="top"/>
          </w:tcPr>
          <w:p w14:paraId="2D35E199">
            <w:pPr>
              <w:rPr>
                <w:rFonts w:ascii="Arial"/>
                <w:sz w:val="21"/>
              </w:rPr>
            </w:pPr>
            <w:r>
              <w:pict>
                <v:group id="_x0000_s1314" o:spid="_x0000_s1314" o:spt="203" style="position:absolute;left:0pt;margin-left:57.8pt;margin-top:4.5pt;height:145.45pt;width:216.85pt;mso-position-horizontal-relative:page;mso-position-vertical-relative:page;z-index:251706368;mso-width-relative:page;mso-height-relative:page;" coordsize="4337,2908">
                  <o:lock v:ext="edit"/>
                  <v:shape id="_x0000_s1315" o:spid="_x0000_s1315" o:spt="75" type="#_x0000_t75" style="position:absolute;left:17;top:17;height:2877;width:4305;" filled="f" stroked="f" coordsize="21600,21600">
                    <v:path/>
                    <v:fill on="f" focussize="0,0"/>
                    <v:stroke on="f"/>
                    <v:imagedata r:id="rId470" o:title=""/>
                    <o:lock v:ext="edit" aspectratio="t"/>
                  </v:shape>
                  <v:shape id="_x0000_s1316" o:spid="_x0000_s1316" o:spt="202" type="#_x0000_t202" style="position:absolute;left:-20;top:-20;height:2948;width:4377;" filled="f" stroked="f" coordsize="21600,21600">
                    <v:path/>
                    <v:fill on="f" focussize="0,0"/>
                    <v:stroke on="f"/>
                    <v:imagedata o:title=""/>
                    <o:lock v:ext="edit" aspectratio="f"/>
                    <v:textbox inset="0mm,0mm,0mm,0mm">
                      <w:txbxContent>
                        <w:p w14:paraId="01D49EC9">
                          <w:pPr>
                            <w:spacing w:line="20" w:lineRule="exact"/>
                          </w:pPr>
                        </w:p>
                        <w:tbl>
                          <w:tblPr>
                            <w:tblStyle w:val="6"/>
                            <w:tblW w:w="4321" w:type="dxa"/>
                            <w:tblInd w:w="27" w:type="dxa"/>
                            <w:tblBorders>
                              <w:top w:val="none" w:color="auto" w:sz="0" w:space="0"/>
                              <w:left w:val="single" w:color="0070C0" w:sz="6" w:space="0"/>
                              <w:bottom w:val="single" w:color="0070C0" w:sz="6" w:space="0"/>
                              <w:right w:val="single" w:color="0070C0" w:sz="6" w:space="0"/>
                              <w:insideH w:val="none" w:color="auto" w:sz="0" w:space="0"/>
                              <w:insideV w:val="none" w:color="auto" w:sz="0" w:space="0"/>
                            </w:tblBorders>
                            <w:tblLayout w:type="fixed"/>
                            <w:tblCellMar>
                              <w:top w:w="0" w:type="dxa"/>
                              <w:left w:w="0" w:type="dxa"/>
                              <w:bottom w:w="0" w:type="dxa"/>
                              <w:right w:w="0" w:type="dxa"/>
                            </w:tblCellMar>
                          </w:tblPr>
                          <w:tblGrid>
                            <w:gridCol w:w="4321"/>
                          </w:tblGrid>
                          <w:tr w14:paraId="022D08DB">
                            <w:tblPrEx>
                              <w:tblBorders>
                                <w:top w:val="none" w:color="auto" w:sz="0" w:space="0"/>
                                <w:left w:val="single" w:color="0070C0" w:sz="6" w:space="0"/>
                                <w:bottom w:val="single" w:color="0070C0" w:sz="6" w:space="0"/>
                                <w:right w:val="single" w:color="0070C0" w:sz="6" w:space="0"/>
                                <w:insideH w:val="none" w:color="auto" w:sz="0" w:space="0"/>
                                <w:insideV w:val="none" w:color="auto" w:sz="0" w:space="0"/>
                              </w:tblBorders>
                              <w:tblCellMar>
                                <w:top w:w="0" w:type="dxa"/>
                                <w:left w:w="0" w:type="dxa"/>
                                <w:bottom w:w="0" w:type="dxa"/>
                                <w:right w:w="0" w:type="dxa"/>
                              </w:tblCellMar>
                            </w:tblPrEx>
                            <w:trPr>
                              <w:trHeight w:val="2893" w:hRule="atLeast"/>
                            </w:trPr>
                            <w:tc>
                              <w:tcPr>
                                <w:tcW w:w="4321" w:type="dxa"/>
                                <w:vAlign w:val="top"/>
                              </w:tcPr>
                              <w:p w14:paraId="42C93752">
                                <w:pPr>
                                  <w:rPr>
                                    <w:rFonts w:ascii="Arial"/>
                                    <w:sz w:val="21"/>
                                  </w:rPr>
                                </w:pPr>
                              </w:p>
                            </w:tc>
                          </w:tr>
                        </w:tbl>
                        <w:p w14:paraId="5E3DD1A8">
                          <w:pPr>
                            <w:rPr>
                              <w:rFonts w:ascii="Arial"/>
                              <w:sz w:val="21"/>
                            </w:rPr>
                          </w:pPr>
                        </w:p>
                      </w:txbxContent>
                    </v:textbox>
                  </v:shape>
                </v:group>
              </w:pict>
            </w:r>
            <w:r>
              <w:pict>
                <v:group id="_x0000_s1317" o:spid="_x0000_s1317" o:spt="203" style="position:absolute;left:0pt;margin-left:164.95pt;margin-top:47.45pt;height:48.65pt;width:221pt;mso-position-horizontal-relative:page;mso-position-vertical-relative:page;z-index:251707392;mso-width-relative:page;mso-height-relative:page;" coordsize="4420,973">
                  <o:lock v:ext="edit"/>
                  <v:shape id="_x0000_s1318" o:spid="_x0000_s1318" o:spt="75" type="#_x0000_t75" style="position:absolute;left:0;top:0;height:973;width:4420;" filled="f" stroked="f" coordsize="21600,21600">
                    <v:path/>
                    <v:fill on="f" focussize="0,0"/>
                    <v:stroke on="f"/>
                    <v:imagedata r:id="rId471" o:title=""/>
                    <o:lock v:ext="edit" aspectratio="t"/>
                  </v:shape>
                  <v:shape id="_x0000_s1319" o:spid="_x0000_s1319" o:spt="202" type="#_x0000_t202" style="position:absolute;left:-20;top:-20;height:1055;width:4460;" filled="f" stroked="f" coordsize="21600,21600">
                    <v:path/>
                    <v:fill on="f" focussize="0,0"/>
                    <v:stroke on="f"/>
                    <v:imagedata o:title=""/>
                    <o:lock v:ext="edit" aspectratio="f"/>
                    <v:textbox inset="0mm,0mm,0mm,0mm">
                      <w:txbxContent>
                        <w:p w14:paraId="333CB27C">
                          <w:pPr>
                            <w:pStyle w:val="7"/>
                            <w:spacing w:before="108" w:line="217" w:lineRule="auto"/>
                            <w:ind w:left="3553"/>
                          </w:pPr>
                          <w:r>
                            <w:rPr>
                              <w:spacing w:val="-14"/>
                            </w:rPr>
                            <w:t>控制点</w:t>
                          </w:r>
                        </w:p>
                      </w:txbxContent>
                    </v:textbox>
                  </v:shape>
                </v:group>
              </w:pict>
            </w:r>
          </w:p>
        </w:tc>
      </w:tr>
      <w:tr w14:paraId="64124C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0" w:hRule="atLeast"/>
        </w:trPr>
        <w:tc>
          <w:tcPr>
            <w:tcW w:w="1188" w:type="dxa"/>
            <w:vMerge w:val="continue"/>
            <w:tcBorders>
              <w:top w:val="nil"/>
              <w:left w:val="single" w:color="20507B" w:sz="4" w:space="0"/>
              <w:bottom w:val="single" w:color="20507B" w:sz="4" w:space="0"/>
            </w:tcBorders>
            <w:vAlign w:val="top"/>
          </w:tcPr>
          <w:p w14:paraId="2D7BB286">
            <w:pPr>
              <w:rPr>
                <w:rFonts w:ascii="Arial"/>
                <w:sz w:val="21"/>
              </w:rPr>
            </w:pPr>
          </w:p>
        </w:tc>
        <w:tc>
          <w:tcPr>
            <w:tcW w:w="8021" w:type="dxa"/>
            <w:tcBorders>
              <w:top w:val="nil"/>
              <w:bottom w:val="single" w:color="5B9BD5" w:sz="4" w:space="0"/>
              <w:right w:val="single" w:color="5B9BD5" w:sz="4" w:space="0"/>
            </w:tcBorders>
            <w:vAlign w:val="top"/>
          </w:tcPr>
          <w:p w14:paraId="0FC11165">
            <w:pPr>
              <w:spacing w:line="148" w:lineRule="exact"/>
            </w:pPr>
          </w:p>
          <w:tbl>
            <w:tblPr>
              <w:tblStyle w:val="6"/>
              <w:tblW w:w="6265" w:type="dxa"/>
              <w:tblInd w:w="270" w:type="dxa"/>
              <w:tblBorders>
                <w:top w:val="single" w:color="0070C0" w:sz="6" w:space="0"/>
                <w:left w:val="single" w:color="0070C0" w:sz="6" w:space="0"/>
                <w:bottom w:val="single" w:color="0070C0" w:sz="6" w:space="0"/>
                <w:right w:val="single" w:color="0070C0" w:sz="6" w:space="0"/>
                <w:insideH w:val="none" w:color="auto" w:sz="0" w:space="0"/>
                <w:insideV w:val="none" w:color="auto" w:sz="0" w:space="0"/>
              </w:tblBorders>
              <w:tblLayout w:type="fixed"/>
              <w:tblCellMar>
                <w:top w:w="0" w:type="dxa"/>
                <w:left w:w="0" w:type="dxa"/>
                <w:bottom w:w="0" w:type="dxa"/>
                <w:right w:w="0" w:type="dxa"/>
              </w:tblCellMar>
            </w:tblPr>
            <w:tblGrid>
              <w:gridCol w:w="6265"/>
            </w:tblGrid>
            <w:tr w14:paraId="6DCE0901">
              <w:tblPrEx>
                <w:tblBorders>
                  <w:top w:val="single" w:color="0070C0" w:sz="6" w:space="0"/>
                  <w:left w:val="single" w:color="0070C0" w:sz="6" w:space="0"/>
                  <w:bottom w:val="single" w:color="0070C0" w:sz="6" w:space="0"/>
                  <w:right w:val="single" w:color="0070C0" w:sz="6" w:space="0"/>
                  <w:insideH w:val="none" w:color="auto" w:sz="0" w:space="0"/>
                  <w:insideV w:val="none" w:color="auto" w:sz="0" w:space="0"/>
                </w:tblBorders>
                <w:tblCellMar>
                  <w:top w:w="0" w:type="dxa"/>
                  <w:left w:w="0" w:type="dxa"/>
                  <w:bottom w:w="0" w:type="dxa"/>
                  <w:right w:w="0" w:type="dxa"/>
                </w:tblCellMar>
              </w:tblPrEx>
              <w:trPr>
                <w:trHeight w:val="822" w:hRule="atLeast"/>
              </w:trPr>
              <w:tc>
                <w:tcPr>
                  <w:tcW w:w="6265" w:type="dxa"/>
                  <w:vAlign w:val="top"/>
                </w:tcPr>
                <w:p w14:paraId="03828DEF">
                  <w:pPr>
                    <w:pStyle w:val="7"/>
                    <w:spacing w:before="110" w:line="217" w:lineRule="auto"/>
                    <w:ind w:left="2487"/>
                  </w:pPr>
                  <w:r>
                    <w:rPr>
                      <w:spacing w:val="-18"/>
                    </w:rPr>
                    <w:t>控制点示意图</w:t>
                  </w:r>
                </w:p>
              </w:tc>
            </w:tr>
          </w:tbl>
          <w:p w14:paraId="2DFEEB02">
            <w:pPr>
              <w:spacing w:line="238" w:lineRule="exact"/>
              <w:rPr>
                <w:rFonts w:ascii="Arial"/>
                <w:sz w:val="20"/>
              </w:rPr>
            </w:pPr>
          </w:p>
        </w:tc>
      </w:tr>
    </w:tbl>
    <w:p w14:paraId="480977FD">
      <w:pPr>
        <w:pStyle w:val="2"/>
        <w:spacing w:before="80" w:line="219" w:lineRule="auto"/>
        <w:ind w:left="1986"/>
        <w:outlineLvl w:val="2"/>
        <w:rPr>
          <w:sz w:val="28"/>
          <w:szCs w:val="28"/>
        </w:rPr>
      </w:pPr>
      <w:bookmarkStart w:id="20" w:name="bookmark20"/>
      <w:bookmarkEnd w:id="20"/>
      <w:r>
        <w:rPr>
          <w:b/>
          <w:bCs/>
          <w:spacing w:val="-22"/>
          <w:sz w:val="28"/>
          <w:szCs w:val="28"/>
        </w:rPr>
        <w:t>二、测量施工方法</w:t>
      </w:r>
    </w:p>
    <w:p w14:paraId="693F970C">
      <w:pPr>
        <w:pStyle w:val="2"/>
        <w:spacing w:before="103" w:line="217" w:lineRule="auto"/>
        <w:ind w:left="1903"/>
        <w:rPr>
          <w:sz w:val="24"/>
          <w:szCs w:val="24"/>
        </w:rPr>
      </w:pPr>
      <w:r>
        <w:rPr>
          <w:spacing w:val="-19"/>
          <w:sz w:val="24"/>
          <w:szCs w:val="24"/>
        </w:rPr>
        <w:t>1、起始依据的校核</w:t>
      </w:r>
    </w:p>
    <w:p w14:paraId="20B8BE7A">
      <w:pPr>
        <w:pStyle w:val="2"/>
        <w:spacing w:before="117" w:line="308" w:lineRule="auto"/>
        <w:ind w:left="1456" w:right="1409" w:firstLine="438"/>
        <w:rPr>
          <w:sz w:val="24"/>
          <w:szCs w:val="24"/>
        </w:rPr>
      </w:pPr>
      <w:r>
        <w:rPr>
          <w:spacing w:val="-20"/>
          <w:sz w:val="24"/>
          <w:szCs w:val="24"/>
        </w:rPr>
        <w:t>对甲方提供的基准点进行复测校核，经校核无误后再通过基准点对场区进行施工总控制网</w:t>
      </w:r>
      <w:r>
        <w:rPr>
          <w:spacing w:val="-21"/>
          <w:sz w:val="24"/>
          <w:szCs w:val="24"/>
        </w:rPr>
        <w:t>测设。</w:t>
      </w:r>
    </w:p>
    <w:p w14:paraId="11BAABC0">
      <w:pPr>
        <w:pStyle w:val="2"/>
        <w:spacing w:line="217" w:lineRule="auto"/>
        <w:ind w:left="1888"/>
        <w:rPr>
          <w:sz w:val="24"/>
          <w:szCs w:val="24"/>
        </w:rPr>
      </w:pPr>
      <w:r>
        <w:rPr>
          <w:spacing w:val="-19"/>
          <w:sz w:val="24"/>
          <w:szCs w:val="24"/>
        </w:rPr>
        <w:t>2、施工平面总控制网测量</w:t>
      </w:r>
    </w:p>
    <w:p w14:paraId="7D27432F">
      <w:pPr>
        <w:pStyle w:val="2"/>
        <w:spacing w:before="116" w:line="308" w:lineRule="auto"/>
        <w:ind w:left="1456" w:right="1411" w:firstLine="436"/>
        <w:rPr>
          <w:sz w:val="24"/>
          <w:szCs w:val="24"/>
        </w:rPr>
      </w:pPr>
      <w:r>
        <w:rPr>
          <w:spacing w:val="-20"/>
          <w:sz w:val="24"/>
          <w:szCs w:val="24"/>
        </w:rPr>
        <w:t>施工控制测量遵循由整体到局部，先控制后碎步的原则。针对本工程的具体情况，本工程平面控制网分三级测设，首级平面总控制网为方格网，二级控制网为建筑物轴线控制网，三级</w:t>
      </w:r>
      <w:r>
        <w:rPr>
          <w:spacing w:val="-18"/>
          <w:sz w:val="24"/>
          <w:szCs w:val="24"/>
        </w:rPr>
        <w:t>控制网为3层以上（垂直传递）的轴线控制网。</w:t>
      </w:r>
    </w:p>
    <w:p w14:paraId="77B1B97B">
      <w:pPr>
        <w:pStyle w:val="2"/>
        <w:spacing w:line="217" w:lineRule="auto"/>
        <w:ind w:left="1893"/>
        <w:rPr>
          <w:sz w:val="24"/>
          <w:szCs w:val="24"/>
        </w:rPr>
      </w:pPr>
      <w:r>
        <w:rPr>
          <w:spacing w:val="-19"/>
          <w:sz w:val="24"/>
          <w:szCs w:val="24"/>
        </w:rPr>
        <w:t>（1）一级平面控制技术要求</w:t>
      </w:r>
    </w:p>
    <w:p w14:paraId="5DCFA237">
      <w:pPr>
        <w:pStyle w:val="2"/>
        <w:spacing w:before="118" w:line="264" w:lineRule="auto"/>
        <w:ind w:left="1482" w:right="1409" w:firstLine="441"/>
        <w:rPr>
          <w:sz w:val="24"/>
          <w:szCs w:val="24"/>
        </w:rPr>
      </w:pPr>
      <w:r>
        <w:rPr>
          <w:spacing w:val="-20"/>
          <w:sz w:val="24"/>
          <w:szCs w:val="24"/>
        </w:rPr>
        <w:t>由于本标规模大、造型相对复杂，根据现场情况需要做方格</w:t>
      </w:r>
      <w:r>
        <w:rPr>
          <w:spacing w:val="-21"/>
          <w:sz w:val="24"/>
          <w:szCs w:val="24"/>
        </w:rPr>
        <w:t>网，作为首级施工平面总控制</w:t>
      </w:r>
      <w:r>
        <w:rPr>
          <w:spacing w:val="-19"/>
          <w:sz w:val="24"/>
          <w:szCs w:val="24"/>
        </w:rPr>
        <w:t>网。方格网的建立其主要技术要求依据《工程测量规范》</w:t>
      </w:r>
      <w:r>
        <w:rPr>
          <w:spacing w:val="-20"/>
          <w:sz w:val="24"/>
          <w:szCs w:val="24"/>
        </w:rPr>
        <w:t>(GB50026-2007)见下表：</w:t>
      </w:r>
    </w:p>
    <w:tbl>
      <w:tblPr>
        <w:tblStyle w:val="6"/>
        <w:tblW w:w="8979" w:type="dxa"/>
        <w:tblInd w:w="1464" w:type="dxa"/>
        <w:tblBorders>
          <w:top w:val="single" w:color="5B9BD5" w:sz="4" w:space="0"/>
          <w:left w:val="single" w:color="5B9BD5" w:sz="4" w:space="0"/>
          <w:bottom w:val="single" w:color="5B9BD5" w:sz="4" w:space="0"/>
          <w:right w:val="single" w:color="5B9BD5" w:sz="4" w:space="0"/>
          <w:insideH w:val="single" w:color="5B9BD5" w:sz="4" w:space="0"/>
          <w:insideV w:val="single" w:color="5B9BD5" w:sz="4" w:space="0"/>
        </w:tblBorders>
        <w:tblLayout w:type="fixed"/>
        <w:tblCellMar>
          <w:top w:w="0" w:type="dxa"/>
          <w:left w:w="0" w:type="dxa"/>
          <w:bottom w:w="0" w:type="dxa"/>
          <w:right w:w="0" w:type="dxa"/>
        </w:tblCellMar>
      </w:tblPr>
      <w:tblGrid>
        <w:gridCol w:w="1367"/>
        <w:gridCol w:w="2005"/>
        <w:gridCol w:w="2930"/>
        <w:gridCol w:w="2368"/>
        <w:gridCol w:w="309"/>
      </w:tblGrid>
      <w:tr w14:paraId="22A57D4E">
        <w:tblPrEx>
          <w:tblBorders>
            <w:top w:val="single" w:color="5B9BD5" w:sz="4" w:space="0"/>
            <w:left w:val="single" w:color="5B9BD5" w:sz="4" w:space="0"/>
            <w:bottom w:val="single" w:color="5B9BD5" w:sz="4" w:space="0"/>
            <w:right w:val="single" w:color="5B9BD5" w:sz="4" w:space="0"/>
            <w:insideH w:val="single" w:color="5B9BD5" w:sz="4" w:space="0"/>
            <w:insideV w:val="single" w:color="5B9BD5" w:sz="4" w:space="0"/>
          </w:tblBorders>
          <w:tblCellMar>
            <w:top w:w="0" w:type="dxa"/>
            <w:left w:w="0" w:type="dxa"/>
            <w:bottom w:w="0" w:type="dxa"/>
            <w:right w:w="0" w:type="dxa"/>
          </w:tblCellMar>
        </w:tblPrEx>
        <w:trPr>
          <w:trHeight w:val="1033" w:hRule="atLeast"/>
        </w:trPr>
        <w:tc>
          <w:tcPr>
            <w:tcW w:w="1367" w:type="dxa"/>
            <w:tcBorders>
              <w:top w:val="single" w:color="1C456A" w:sz="4" w:space="0"/>
              <w:left w:val="single" w:color="1C456A" w:sz="4" w:space="0"/>
              <w:bottom w:val="single" w:color="1C456A" w:sz="4" w:space="0"/>
              <w:right w:val="single" w:color="000000" w:sz="2" w:space="0"/>
            </w:tcBorders>
            <w:shd w:val="clear" w:color="auto" w:fill="DEEAF6"/>
            <w:vAlign w:val="top"/>
          </w:tcPr>
          <w:p w14:paraId="6E09BDB9">
            <w:pPr>
              <w:spacing w:before="33" w:line="60" w:lineRule="exact"/>
              <w:ind w:firstLine="33"/>
            </w:pPr>
            <w:r>
              <w:pict>
                <v:shape id="_x0000_s1320" o:spid="_x0000_s1320" style="position:absolute;left:0pt;margin-left:-0.2pt;margin-top:0pt;height:0.75pt;width:2.2pt;mso-position-horizontal-relative:page;mso-position-vertical-relative:page;z-index:251704320;mso-width-relative:page;mso-height-relative:page;" fillcolor="#5B9BD5" filled="t" stroked="f" coordsize="44,15" path="m0,14l43,14,43,0,0,0,0,14xe">
                  <v:path/>
                  <v:fill on="t" focussize="0,0"/>
                  <v:stroke on="f"/>
                  <v:imagedata o:title=""/>
                  <o:lock v:ext="edit"/>
                </v:shape>
              </w:pict>
            </w:r>
            <w:r>
              <w:pict>
                <v:shape id="_x0000_s1321" o:spid="_x0000_s1321" style="position:absolute;left:0pt;margin-left:-0.2pt;margin-top:51.95pt;height:0.75pt;width:2.2pt;mso-position-horizontal-relative:page;mso-position-vertical-relative:page;z-index:251705344;mso-width-relative:page;mso-height-relative:page;" fillcolor="#5B9BD5" filled="t" stroked="f" coordsize="44,15" path="m0,14l43,14,43,0,0,0,0,14xe">
                  <v:path/>
                  <v:fill on="t" focussize="0,0"/>
                  <v:stroke on="f"/>
                  <v:imagedata o:title=""/>
                  <o:lock v:ext="edit"/>
                </v:shape>
              </w:pict>
            </w:r>
            <w:r>
              <w:rPr>
                <w:position w:val="-1"/>
              </w:rPr>
              <w:pict>
                <v:shape id="_x0000_s1322" o:spid="_x0000_s1322" style="height:3pt;width:64.85pt;" fillcolor="#DEEAF6" filled="t" stroked="f" coordsize="1296,60" path="m0,60l1296,60,1296,0,0,0,0,60xe">
                  <v:path/>
                  <v:fill on="t" focussize="0,0"/>
                  <v:stroke on="f"/>
                  <v:imagedata o:title=""/>
                  <o:lock v:ext="edit"/>
                  <w10:wrap type="none"/>
                  <w10:anchorlock/>
                </v:shape>
              </w:pict>
            </w:r>
          </w:p>
          <w:p w14:paraId="60BCD0B4">
            <w:pPr>
              <w:pStyle w:val="7"/>
              <w:spacing w:before="225" w:line="220" w:lineRule="auto"/>
              <w:ind w:left="477"/>
            </w:pPr>
            <w:r>
              <w:rPr>
                <w:b/>
                <w:bCs/>
                <w:spacing w:val="-15"/>
              </w:rPr>
              <w:t>等级</w:t>
            </w:r>
          </w:p>
          <w:p w14:paraId="43023CBD">
            <w:pPr>
              <w:spacing w:line="333" w:lineRule="auto"/>
              <w:rPr>
                <w:rFonts w:ascii="Arial"/>
                <w:sz w:val="21"/>
              </w:rPr>
            </w:pPr>
          </w:p>
          <w:p w14:paraId="687FD2CC">
            <w:pPr>
              <w:spacing w:line="58" w:lineRule="exact"/>
              <w:ind w:firstLine="11"/>
            </w:pPr>
            <w:r>
              <w:rPr>
                <w:position w:val="-1"/>
              </w:rPr>
              <w:pict>
                <v:shape id="_x0000_s1323" o:spid="_x0000_s1323" style="height:2.9pt;width:66.15pt;" fillcolor="#DEEAF6" filled="t" stroked="f" coordsize="1323,58" path="m0,57l1322,57,1322,0,0,0,0,57xe">
                  <v:path/>
                  <v:fill on="t" focussize="0,0"/>
                  <v:stroke on="f"/>
                  <v:imagedata o:title=""/>
                  <o:lock v:ext="edit"/>
                  <w10:wrap type="none"/>
                  <w10:anchorlock/>
                </v:shape>
              </w:pict>
            </w:r>
          </w:p>
        </w:tc>
        <w:tc>
          <w:tcPr>
            <w:tcW w:w="2005" w:type="dxa"/>
            <w:tcBorders>
              <w:left w:val="single" w:color="000000" w:sz="2" w:space="0"/>
              <w:right w:val="single" w:color="000000" w:sz="2" w:space="0"/>
            </w:tcBorders>
            <w:shd w:val="clear" w:color="auto" w:fill="DEEAF6"/>
            <w:vAlign w:val="top"/>
          </w:tcPr>
          <w:p w14:paraId="05A8496E">
            <w:pPr>
              <w:spacing w:line="18" w:lineRule="exact"/>
              <w:ind w:firstLine="1966"/>
            </w:pPr>
            <w:r>
              <w:pict>
                <v:group id="_x0000_s1324" o:spid="_x0000_s1324" o:spt="203" style="height:1.45pt;width:2.2pt;" coordsize="44,29">
                  <o:lock v:ext="edit"/>
                  <v:shape id="_x0000_s1325" o:spid="_x0000_s1325" style="position:absolute;left:0;top:0;height:15;width:44;" fillcolor="#5B9BD5" filled="t" stroked="f" coordsize="44,15" path="m0,14l43,14,43,0,0,0,0,14xe">
                    <v:path/>
                    <v:fill on="t" focussize="0,0"/>
                    <v:stroke on="f"/>
                    <v:imagedata o:title=""/>
                    <o:lock v:ext="edit"/>
                  </v:shape>
                  <v:shape id="_x0000_s1326" o:spid="_x0000_s1326" style="position:absolute;left:0;top:14;height:15;width:44;" fillcolor="#20507B" filled="t" stroked="f" coordsize="44,15" path="m0,14l43,14,43,0,0,0,0,14xe">
                    <v:path/>
                    <v:fill on="t" focussize="0,0"/>
                    <v:stroke on="f"/>
                    <v:imagedata o:title=""/>
                    <o:lock v:ext="edit"/>
                  </v:shape>
                  <w10:wrap type="none"/>
                  <w10:anchorlock/>
                </v:group>
              </w:pict>
            </w:r>
          </w:p>
          <w:p w14:paraId="7BAAF08D">
            <w:pPr>
              <w:pStyle w:val="7"/>
              <w:spacing w:before="300" w:line="221" w:lineRule="auto"/>
              <w:ind w:left="496"/>
            </w:pPr>
            <w:r>
              <w:rPr>
                <w:b/>
                <w:bCs/>
                <w:spacing w:val="-20"/>
              </w:rPr>
              <w:t>边长（m）</w:t>
            </w:r>
          </w:p>
          <w:p w14:paraId="1552E39D">
            <w:pPr>
              <w:spacing w:line="391" w:lineRule="auto"/>
              <w:rPr>
                <w:rFonts w:ascii="Arial"/>
                <w:sz w:val="21"/>
              </w:rPr>
            </w:pPr>
          </w:p>
          <w:p w14:paraId="02B75C59">
            <w:pPr>
              <w:spacing w:line="23" w:lineRule="exact"/>
              <w:ind w:firstLine="1966"/>
            </w:pPr>
            <w:r>
              <w:rPr>
                <w:position w:val="-2"/>
              </w:rPr>
              <w:pict>
                <v:group id="_x0000_s1327" o:spid="_x0000_s1327" o:spt="203" style="height:2.2pt;width:2.2pt;" coordsize="44,44">
                  <o:lock v:ext="edit"/>
                  <v:shape id="_x0000_s1328" o:spid="_x0000_s1328" style="position:absolute;left:0;top:0;height:15;width:44;" fillcolor="#1C456A" filled="t" stroked="f" coordsize="44,15" path="m0,14l43,14,43,0,0,0,0,14xe">
                    <v:path/>
                    <v:fill on="t" focussize="0,0"/>
                    <v:stroke on="f"/>
                    <v:imagedata o:title=""/>
                    <o:lock v:ext="edit"/>
                  </v:shape>
                  <v:shape id="_x0000_s1329" o:spid="_x0000_s1329" style="position:absolute;left:0;top:14;height:15;width:44;" fillcolor="#20507B" filled="t" stroked="f" coordsize="44,15" path="m0,14l43,14,43,0,0,0,0,14xe">
                    <v:path/>
                    <v:fill on="t" focussize="0,0"/>
                    <v:stroke on="f"/>
                    <v:imagedata o:title=""/>
                    <o:lock v:ext="edit"/>
                  </v:shape>
                  <v:shape id="_x0000_s1330" o:spid="_x0000_s1330" style="position:absolute;left:0;top:28;height:15;width:44;" fillcolor="#5B9BD5" filled="t" stroked="f" coordsize="44,15" path="m0,14l43,14,43,0,0,0,0,14xe">
                    <v:path/>
                    <v:fill on="t" focussize="0,0"/>
                    <v:stroke on="f"/>
                    <v:imagedata o:title=""/>
                    <o:lock v:ext="edit"/>
                  </v:shape>
                  <w10:wrap type="none"/>
                  <w10:anchorlock/>
                </v:group>
              </w:pict>
            </w:r>
          </w:p>
        </w:tc>
        <w:tc>
          <w:tcPr>
            <w:tcW w:w="2930" w:type="dxa"/>
            <w:tcBorders>
              <w:left w:val="single" w:color="000000" w:sz="2" w:space="0"/>
              <w:right w:val="single" w:color="000000" w:sz="2" w:space="0"/>
            </w:tcBorders>
            <w:shd w:val="clear" w:color="auto" w:fill="DEEAF6"/>
            <w:vAlign w:val="top"/>
          </w:tcPr>
          <w:p w14:paraId="556C42E9">
            <w:pPr>
              <w:pStyle w:val="7"/>
              <w:spacing w:before="319" w:line="218" w:lineRule="auto"/>
              <w:ind w:left="577"/>
            </w:pPr>
            <w:r>
              <w:rPr>
                <w:b/>
                <w:bCs/>
                <w:spacing w:val="4"/>
              </w:rPr>
              <w:t>测角中误差(")</w:t>
            </w:r>
          </w:p>
        </w:tc>
        <w:tc>
          <w:tcPr>
            <w:tcW w:w="2368" w:type="dxa"/>
            <w:tcBorders>
              <w:left w:val="single" w:color="000000" w:sz="2" w:space="0"/>
              <w:right w:val="nil"/>
            </w:tcBorders>
            <w:shd w:val="clear" w:color="auto" w:fill="DEEAF6"/>
            <w:vAlign w:val="top"/>
          </w:tcPr>
          <w:p w14:paraId="0FCDE7CF">
            <w:pPr>
              <w:rPr>
                <w:rFonts w:ascii="Arial"/>
                <w:sz w:val="21"/>
              </w:rPr>
            </w:pPr>
          </w:p>
          <w:p w14:paraId="53DA0F11">
            <w:pPr>
              <w:pStyle w:val="7"/>
              <w:spacing w:before="78" w:line="217" w:lineRule="auto"/>
              <w:ind w:left="573"/>
            </w:pPr>
            <w:r>
              <w:rPr>
                <w:b/>
                <w:bCs/>
                <w:spacing w:val="-21"/>
              </w:rPr>
              <w:t>边长相对中误差</w:t>
            </w:r>
          </w:p>
        </w:tc>
        <w:tc>
          <w:tcPr>
            <w:tcW w:w="309" w:type="dxa"/>
            <w:tcBorders>
              <w:left w:val="nil"/>
            </w:tcBorders>
            <w:shd w:val="clear" w:color="auto" w:fill="DEEAF6"/>
            <w:vAlign w:val="top"/>
          </w:tcPr>
          <w:p w14:paraId="3610F4E0">
            <w:pPr>
              <w:rPr>
                <w:rFonts w:ascii="Arial"/>
                <w:sz w:val="21"/>
              </w:rPr>
            </w:pPr>
            <w:r>
              <w:pict>
                <v:shape id="_x0000_s1331" o:spid="_x0000_s1331" style="position:absolute;left:0pt;margin-left:13.6pt;margin-top:0pt;height:0.75pt;width:2.2pt;mso-position-horizontal-relative:page;mso-position-vertical-relative:page;z-index:251702272;mso-width-relative:page;mso-height-relative:page;" fillcolor="#5B9BD5" filled="t" stroked="f" coordsize="44,15" path="m0,14l43,14,43,0,0,0,0,14xe">
                  <v:path/>
                  <v:fill on="t" focussize="0,0"/>
                  <v:stroke on="f"/>
                  <v:imagedata o:title=""/>
                  <o:lock v:ext="edit"/>
                </v:shape>
              </w:pict>
            </w:r>
            <w:r>
              <w:pict>
                <v:shape id="_x0000_s1332" o:spid="_x0000_s1332" style="position:absolute;left:0pt;margin-left:13.6pt;margin-top:51.95pt;height:0.75pt;width:2.2pt;mso-position-horizontal-relative:page;mso-position-vertical-relative:page;z-index:251703296;mso-width-relative:page;mso-height-relative:page;" fillcolor="#5B9BD5" filled="t" stroked="f" coordsize="44,15" path="m0,14l43,14,43,0,0,0,0,14xe">
                  <v:path/>
                  <v:fill on="t" focussize="0,0"/>
                  <v:stroke on="f"/>
                  <v:imagedata o:title=""/>
                  <o:lock v:ext="edit"/>
                </v:shape>
              </w:pict>
            </w:r>
          </w:p>
        </w:tc>
      </w:tr>
    </w:tbl>
    <w:p w14:paraId="56E888BD">
      <w:pPr>
        <w:rPr>
          <w:rFonts w:ascii="Arial"/>
          <w:sz w:val="21"/>
        </w:rPr>
      </w:pPr>
    </w:p>
    <w:p w14:paraId="758BDDB3">
      <w:pPr>
        <w:rPr>
          <w:rFonts w:ascii="Arial" w:hAnsi="Arial" w:eastAsia="Arial" w:cs="Arial"/>
          <w:sz w:val="21"/>
          <w:szCs w:val="21"/>
        </w:rPr>
        <w:sectPr>
          <w:headerReference r:id="rId38" w:type="default"/>
          <w:footerReference r:id="rId39" w:type="default"/>
          <w:pgSz w:w="11907" w:h="16839"/>
          <w:pgMar w:top="954" w:right="4" w:bottom="1038" w:left="0" w:header="499" w:footer="357" w:gutter="0"/>
          <w:pgBorders>
            <w:top w:val="none" w:sz="0" w:space="0"/>
            <w:left w:val="none" w:sz="0" w:space="0"/>
            <w:bottom w:val="none" w:sz="0" w:space="0"/>
            <w:right w:val="none" w:sz="0" w:space="0"/>
          </w:pgBorders>
          <w:cols w:space="720" w:num="1"/>
        </w:sectPr>
      </w:pPr>
    </w:p>
    <w:p w14:paraId="029BB18A">
      <w:pPr>
        <w:spacing w:line="214" w:lineRule="exact"/>
      </w:pPr>
    </w:p>
    <w:tbl>
      <w:tblPr>
        <w:tblStyle w:val="6"/>
        <w:tblW w:w="8979" w:type="dxa"/>
        <w:tblInd w:w="146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42"/>
        <w:gridCol w:w="2000"/>
        <w:gridCol w:w="2944"/>
        <w:gridCol w:w="2693"/>
      </w:tblGrid>
      <w:tr w14:paraId="1895FA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00" w:hRule="atLeast"/>
        </w:trPr>
        <w:tc>
          <w:tcPr>
            <w:tcW w:w="1342" w:type="dxa"/>
            <w:tcBorders>
              <w:top w:val="single" w:color="000000" w:sz="4" w:space="0"/>
              <w:left w:val="single" w:color="000000" w:sz="4" w:space="0"/>
            </w:tcBorders>
            <w:vAlign w:val="top"/>
          </w:tcPr>
          <w:p w14:paraId="05115A10">
            <w:pPr>
              <w:spacing w:line="241" w:lineRule="auto"/>
              <w:rPr>
                <w:rFonts w:ascii="Arial"/>
                <w:sz w:val="21"/>
              </w:rPr>
            </w:pPr>
          </w:p>
          <w:p w14:paraId="3F99BA94">
            <w:pPr>
              <w:pStyle w:val="7"/>
              <w:spacing w:before="78" w:line="220" w:lineRule="auto"/>
              <w:ind w:left="472"/>
            </w:pPr>
            <w:r>
              <w:rPr>
                <w:spacing w:val="-10"/>
              </w:rPr>
              <w:t>一级</w:t>
            </w:r>
          </w:p>
        </w:tc>
        <w:tc>
          <w:tcPr>
            <w:tcW w:w="2000" w:type="dxa"/>
            <w:tcBorders>
              <w:top w:val="single" w:color="000000" w:sz="4" w:space="0"/>
            </w:tcBorders>
            <w:vAlign w:val="top"/>
          </w:tcPr>
          <w:p w14:paraId="513C4331">
            <w:pPr>
              <w:spacing w:line="241" w:lineRule="auto"/>
              <w:rPr>
                <w:rFonts w:ascii="Arial"/>
                <w:sz w:val="21"/>
              </w:rPr>
            </w:pPr>
          </w:p>
          <w:p w14:paraId="2697C743">
            <w:pPr>
              <w:pStyle w:val="7"/>
              <w:spacing w:before="78" w:line="237" w:lineRule="auto"/>
              <w:ind w:left="584"/>
            </w:pPr>
            <w:r>
              <w:rPr>
                <w:spacing w:val="-14"/>
              </w:rPr>
              <w:t>100～300</w:t>
            </w:r>
          </w:p>
        </w:tc>
        <w:tc>
          <w:tcPr>
            <w:tcW w:w="2944" w:type="dxa"/>
            <w:tcBorders>
              <w:top w:val="single" w:color="000000" w:sz="4" w:space="0"/>
            </w:tcBorders>
            <w:vAlign w:val="top"/>
          </w:tcPr>
          <w:p w14:paraId="3EF16AB2">
            <w:pPr>
              <w:spacing w:line="241" w:lineRule="auto"/>
              <w:rPr>
                <w:rFonts w:ascii="Arial"/>
                <w:sz w:val="21"/>
              </w:rPr>
            </w:pPr>
          </w:p>
          <w:p w14:paraId="11C80BFF">
            <w:pPr>
              <w:pStyle w:val="7"/>
              <w:spacing w:before="78" w:line="237" w:lineRule="auto"/>
              <w:ind w:left="1425"/>
            </w:pPr>
            <w:r>
              <w:t>5</w:t>
            </w:r>
          </w:p>
        </w:tc>
        <w:tc>
          <w:tcPr>
            <w:tcW w:w="2693" w:type="dxa"/>
            <w:tcBorders>
              <w:top w:val="single" w:color="5B9BD5" w:sz="4" w:space="0"/>
              <w:right w:val="single" w:color="5B9BD5" w:sz="4" w:space="0"/>
            </w:tcBorders>
            <w:vAlign w:val="top"/>
          </w:tcPr>
          <w:p w14:paraId="26FC0C07">
            <w:pPr>
              <w:spacing w:line="241" w:lineRule="auto"/>
              <w:rPr>
                <w:rFonts w:ascii="Arial"/>
                <w:sz w:val="21"/>
              </w:rPr>
            </w:pPr>
          </w:p>
          <w:p w14:paraId="1901E2E4">
            <w:pPr>
              <w:pStyle w:val="7"/>
              <w:spacing w:before="78" w:line="222" w:lineRule="auto"/>
              <w:ind w:left="871"/>
            </w:pPr>
            <w:r>
              <w:rPr>
                <w:spacing w:val="-13"/>
              </w:rPr>
              <w:t>≤1/30000</w:t>
            </w:r>
          </w:p>
        </w:tc>
      </w:tr>
      <w:tr w14:paraId="3206A5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03" w:hRule="atLeast"/>
        </w:trPr>
        <w:tc>
          <w:tcPr>
            <w:tcW w:w="1342" w:type="dxa"/>
            <w:tcBorders>
              <w:left w:val="single" w:color="1C456A" w:sz="4" w:space="0"/>
              <w:bottom w:val="single" w:color="1C456A" w:sz="4" w:space="0"/>
            </w:tcBorders>
            <w:vAlign w:val="top"/>
          </w:tcPr>
          <w:p w14:paraId="4EBDE530">
            <w:pPr>
              <w:pStyle w:val="7"/>
              <w:spacing w:before="288" w:line="220" w:lineRule="auto"/>
              <w:ind w:left="476"/>
            </w:pPr>
            <w:r>
              <w:rPr>
                <w:spacing w:val="-12"/>
              </w:rPr>
              <w:t>二级</w:t>
            </w:r>
          </w:p>
        </w:tc>
        <w:tc>
          <w:tcPr>
            <w:tcW w:w="2000" w:type="dxa"/>
            <w:tcBorders>
              <w:bottom w:val="single" w:color="000000" w:sz="4" w:space="0"/>
            </w:tcBorders>
            <w:vAlign w:val="top"/>
          </w:tcPr>
          <w:p w14:paraId="162720DD">
            <w:pPr>
              <w:pStyle w:val="7"/>
              <w:spacing w:before="288" w:line="237" w:lineRule="auto"/>
              <w:ind w:left="584"/>
            </w:pPr>
            <w:r>
              <w:rPr>
                <w:spacing w:val="-14"/>
              </w:rPr>
              <w:t>100～300</w:t>
            </w:r>
          </w:p>
        </w:tc>
        <w:tc>
          <w:tcPr>
            <w:tcW w:w="2944" w:type="dxa"/>
            <w:tcBorders>
              <w:bottom w:val="single" w:color="000000" w:sz="4" w:space="0"/>
            </w:tcBorders>
            <w:vAlign w:val="top"/>
          </w:tcPr>
          <w:p w14:paraId="4547C4F1">
            <w:pPr>
              <w:pStyle w:val="7"/>
              <w:spacing w:before="288" w:line="237" w:lineRule="auto"/>
              <w:ind w:left="1421"/>
            </w:pPr>
            <w:r>
              <w:t>8</w:t>
            </w:r>
          </w:p>
        </w:tc>
        <w:tc>
          <w:tcPr>
            <w:tcW w:w="2693" w:type="dxa"/>
            <w:tcBorders>
              <w:bottom w:val="single" w:color="5B9BD5" w:sz="4" w:space="0"/>
              <w:right w:val="single" w:color="5B9BD5" w:sz="4" w:space="0"/>
            </w:tcBorders>
            <w:vAlign w:val="top"/>
          </w:tcPr>
          <w:p w14:paraId="07B745AD">
            <w:pPr>
              <w:pStyle w:val="7"/>
              <w:spacing w:before="288" w:line="222" w:lineRule="auto"/>
              <w:ind w:left="871"/>
            </w:pPr>
            <w:r>
              <w:rPr>
                <w:spacing w:val="-14"/>
              </w:rPr>
              <w:t>≤1/20000</w:t>
            </w:r>
          </w:p>
        </w:tc>
      </w:tr>
    </w:tbl>
    <w:p w14:paraId="0E80081E">
      <w:pPr>
        <w:pStyle w:val="2"/>
        <w:spacing w:before="116" w:line="307" w:lineRule="auto"/>
        <w:ind w:left="1455" w:right="1411" w:firstLine="443"/>
        <w:rPr>
          <w:sz w:val="24"/>
          <w:szCs w:val="24"/>
        </w:rPr>
      </w:pPr>
      <w:r>
        <w:rPr>
          <w:spacing w:val="-20"/>
          <w:sz w:val="24"/>
          <w:szCs w:val="24"/>
        </w:rPr>
        <w:t>方格网的布设应与建（构）筑物的设计轴线平行，并构成正方形或矩形格网。方格网的测</w:t>
      </w:r>
      <w:r>
        <w:rPr>
          <w:spacing w:val="-21"/>
          <w:sz w:val="24"/>
          <w:szCs w:val="24"/>
        </w:rPr>
        <w:t>设方法，可采用布网法或轴线法，本工程采用的是轴线法。</w:t>
      </w:r>
    </w:p>
    <w:p w14:paraId="51A2D3A0">
      <w:pPr>
        <w:pStyle w:val="2"/>
        <w:spacing w:line="217" w:lineRule="auto"/>
        <w:ind w:left="1893"/>
        <w:rPr>
          <w:sz w:val="24"/>
          <w:szCs w:val="24"/>
        </w:rPr>
      </w:pPr>
      <w:r>
        <w:rPr>
          <w:spacing w:val="-19"/>
          <w:sz w:val="24"/>
          <w:szCs w:val="24"/>
        </w:rPr>
        <w:t>（2）一级平面控制网的埋设</w:t>
      </w:r>
    </w:p>
    <w:p w14:paraId="5AF24601">
      <w:pPr>
        <w:pStyle w:val="2"/>
        <w:spacing w:before="117" w:line="308" w:lineRule="auto"/>
        <w:ind w:left="1470" w:right="1409" w:firstLine="422"/>
        <w:rPr>
          <w:sz w:val="24"/>
          <w:szCs w:val="24"/>
        </w:rPr>
      </w:pPr>
      <w:r>
        <w:rPr>
          <w:spacing w:val="-20"/>
          <w:sz w:val="24"/>
          <w:szCs w:val="24"/>
        </w:rPr>
        <w:t>平面总控制网的桩点应按照永久标志进行埋设，力求稳固可靠。控制点埋设应有三至五天</w:t>
      </w:r>
      <w:r>
        <w:rPr>
          <w:spacing w:val="-22"/>
          <w:sz w:val="24"/>
          <w:szCs w:val="24"/>
        </w:rPr>
        <w:t>的稳定期后才能开始观测。控制点埋设示意见下图。</w:t>
      </w:r>
    </w:p>
    <w:p w14:paraId="62B7D402">
      <w:pPr>
        <w:pStyle w:val="2"/>
        <w:spacing w:line="217" w:lineRule="auto"/>
        <w:ind w:left="1893"/>
        <w:rPr>
          <w:sz w:val="24"/>
          <w:szCs w:val="24"/>
        </w:rPr>
      </w:pPr>
      <w:r>
        <w:rPr>
          <w:spacing w:val="-19"/>
          <w:sz w:val="24"/>
          <w:szCs w:val="24"/>
        </w:rPr>
        <w:t>（3）二级平面控制网的埋设</w:t>
      </w:r>
    </w:p>
    <w:p w14:paraId="3C0E5F40">
      <w:pPr>
        <w:spacing w:line="33" w:lineRule="auto"/>
        <w:rPr>
          <w:rFonts w:ascii="Arial"/>
          <w:sz w:val="2"/>
        </w:rPr>
      </w:pPr>
    </w:p>
    <w:tbl>
      <w:tblPr>
        <w:tblStyle w:val="6"/>
        <w:tblW w:w="8554" w:type="dxa"/>
        <w:tblInd w:w="1675" w:type="dxa"/>
        <w:tblBorders>
          <w:top w:val="single" w:color="1C456A" w:sz="4" w:space="0"/>
          <w:left w:val="single" w:color="1C456A" w:sz="4" w:space="0"/>
          <w:bottom w:val="single" w:color="1C456A" w:sz="4" w:space="0"/>
          <w:right w:val="single" w:color="1C456A" w:sz="4" w:space="0"/>
          <w:insideH w:val="single" w:color="1C456A" w:sz="4" w:space="0"/>
          <w:insideV w:val="single" w:color="1C456A" w:sz="4" w:space="0"/>
        </w:tblBorders>
        <w:tblLayout w:type="fixed"/>
        <w:tblCellMar>
          <w:top w:w="0" w:type="dxa"/>
          <w:left w:w="0" w:type="dxa"/>
          <w:bottom w:w="0" w:type="dxa"/>
          <w:right w:w="0" w:type="dxa"/>
        </w:tblCellMar>
      </w:tblPr>
      <w:tblGrid>
        <w:gridCol w:w="69"/>
        <w:gridCol w:w="8485"/>
      </w:tblGrid>
      <w:tr w14:paraId="2423D5FD">
        <w:tblPrEx>
          <w:tblBorders>
            <w:top w:val="single" w:color="1C456A" w:sz="4" w:space="0"/>
            <w:left w:val="single" w:color="1C456A" w:sz="4" w:space="0"/>
            <w:bottom w:val="single" w:color="1C456A" w:sz="4" w:space="0"/>
            <w:right w:val="single" w:color="1C456A" w:sz="4" w:space="0"/>
            <w:insideH w:val="single" w:color="1C456A" w:sz="4" w:space="0"/>
            <w:insideV w:val="single" w:color="1C456A" w:sz="4" w:space="0"/>
          </w:tblBorders>
          <w:tblCellMar>
            <w:top w:w="0" w:type="dxa"/>
            <w:left w:w="0" w:type="dxa"/>
            <w:bottom w:w="0" w:type="dxa"/>
            <w:right w:w="0" w:type="dxa"/>
          </w:tblCellMar>
        </w:tblPrEx>
        <w:trPr>
          <w:trHeight w:val="585" w:hRule="atLeast"/>
        </w:trPr>
        <w:tc>
          <w:tcPr>
            <w:tcW w:w="8554" w:type="dxa"/>
            <w:gridSpan w:val="2"/>
            <w:tcBorders>
              <w:top w:val="single" w:color="5B9BD5" w:sz="4" w:space="0"/>
              <w:left w:val="single" w:color="5B9BD5" w:sz="4" w:space="0"/>
              <w:bottom w:val="single" w:color="000000" w:sz="2" w:space="0"/>
              <w:right w:val="single" w:color="5B9BD5" w:sz="4" w:space="0"/>
            </w:tcBorders>
            <w:shd w:val="clear" w:color="auto" w:fill="DEEAF6"/>
            <w:vAlign w:val="top"/>
          </w:tcPr>
          <w:p w14:paraId="2849685A">
            <w:pPr>
              <w:pStyle w:val="7"/>
              <w:spacing w:before="129" w:line="217" w:lineRule="auto"/>
              <w:ind w:left="3748"/>
            </w:pPr>
            <w:r>
              <w:rPr>
                <w:b/>
                <w:bCs/>
                <w:spacing w:val="-21"/>
              </w:rPr>
              <w:t>二级控制网</w:t>
            </w:r>
          </w:p>
        </w:tc>
      </w:tr>
      <w:tr w14:paraId="292C10DB">
        <w:tblPrEx>
          <w:tblBorders>
            <w:top w:val="single" w:color="1C456A" w:sz="4" w:space="0"/>
            <w:left w:val="single" w:color="1C456A" w:sz="4" w:space="0"/>
            <w:bottom w:val="single" w:color="1C456A" w:sz="4" w:space="0"/>
            <w:right w:val="single" w:color="1C456A" w:sz="4" w:space="0"/>
            <w:insideH w:val="single" w:color="1C456A" w:sz="4" w:space="0"/>
            <w:insideV w:val="single" w:color="1C456A" w:sz="4" w:space="0"/>
          </w:tblBorders>
          <w:tblCellMar>
            <w:top w:w="0" w:type="dxa"/>
            <w:left w:w="0" w:type="dxa"/>
            <w:bottom w:w="0" w:type="dxa"/>
            <w:right w:w="0" w:type="dxa"/>
          </w:tblCellMar>
        </w:tblPrEx>
        <w:trPr>
          <w:trHeight w:val="2937" w:hRule="atLeast"/>
        </w:trPr>
        <w:tc>
          <w:tcPr>
            <w:tcW w:w="69" w:type="dxa"/>
            <w:tcBorders>
              <w:top w:val="single" w:color="DEEAF6" w:sz="22" w:space="0"/>
              <w:right w:val="nil"/>
            </w:tcBorders>
            <w:vAlign w:val="top"/>
          </w:tcPr>
          <w:p w14:paraId="4D3FF91F">
            <w:pPr>
              <w:rPr>
                <w:rFonts w:ascii="Arial"/>
                <w:sz w:val="21"/>
              </w:rPr>
            </w:pPr>
            <w:r>
              <w:pict>
                <v:shape id="_x0000_s1333" o:spid="_x0000_s1333" style="position:absolute;left:0pt;margin-left:-0.25pt;margin-top:149.4pt;height:0.75pt;width:2.2pt;mso-position-horizontal-relative:page;mso-position-vertical-relative:page;z-index:251709440;mso-width-relative:page;mso-height-relative:page;" fillcolor="#5B9BD5" filled="t" stroked="f" coordsize="44,15" path="m0,14l43,14,43,0,0,0,0,14xe">
                  <v:path/>
                  <v:fill on="t" focussize="0,0"/>
                  <v:stroke on="f"/>
                  <v:imagedata o:title=""/>
                  <o:lock v:ext="edit"/>
                </v:shape>
              </w:pict>
            </w:r>
          </w:p>
        </w:tc>
        <w:tc>
          <w:tcPr>
            <w:tcW w:w="8485" w:type="dxa"/>
            <w:tcBorders>
              <w:top w:val="single" w:color="DEEAF6" w:sz="22" w:space="0"/>
              <w:left w:val="nil"/>
            </w:tcBorders>
            <w:vAlign w:val="top"/>
          </w:tcPr>
          <w:p w14:paraId="0CABDA6E">
            <w:pPr>
              <w:pStyle w:val="7"/>
              <w:spacing w:before="80" w:line="215" w:lineRule="auto"/>
              <w:ind w:left="28"/>
            </w:pPr>
            <w:r>
              <w:pict>
                <v:shape id="_x0000_s1334" o:spid="_x0000_s1334" style="position:absolute;left:0pt;margin-left:422.4pt;margin-top:149.4pt;height:0.75pt;width:2.2pt;mso-position-horizontal-relative:page;mso-position-vertical-relative:page;z-index:251708416;mso-width-relative:page;mso-height-relative:page;" fillcolor="#5B9BD5" filled="t" stroked="f" coordsize="44,15" path="m0,14l43,14,43,0,0,0,0,14xe">
                  <v:path/>
                  <v:fill on="t" focussize="0,0"/>
                  <v:stroke on="f"/>
                  <v:imagedata o:title=""/>
                  <o:lock v:ext="edit"/>
                </v:shape>
              </w:pict>
            </w:r>
            <w:r>
              <w:rPr>
                <w:spacing w:val="-24"/>
              </w:rPr>
              <w:t>二级平面控制网的布网以甲方给定的首级平面控制网为依据，布置在施工现场以内相对可</w:t>
            </w:r>
          </w:p>
          <w:p w14:paraId="19CD5D4E">
            <w:pPr>
              <w:pStyle w:val="7"/>
              <w:spacing w:before="188" w:line="216" w:lineRule="auto"/>
              <w:ind w:left="27"/>
            </w:pPr>
            <w:r>
              <w:rPr>
                <w:spacing w:val="-24"/>
              </w:rPr>
              <w:t>靠处，用于为受破坏可能性较大的下一级平面控制网的恢复提供基准，同时也可直接引用</w:t>
            </w:r>
          </w:p>
          <w:p w14:paraId="77B270F5">
            <w:pPr>
              <w:pStyle w:val="7"/>
              <w:spacing w:before="185" w:line="217" w:lineRule="auto"/>
              <w:ind w:left="2589"/>
            </w:pPr>
            <w:r>
              <w:rPr>
                <w:spacing w:val="-21"/>
              </w:rPr>
              <w:t>该级平面控制网中的控制点测量。</w:t>
            </w:r>
          </w:p>
          <w:p w14:paraId="1227A94E">
            <w:pPr>
              <w:pStyle w:val="7"/>
              <w:spacing w:before="185" w:line="215" w:lineRule="auto"/>
              <w:ind w:left="22"/>
            </w:pPr>
            <w:r>
              <w:rPr>
                <w:spacing w:val="-24"/>
              </w:rPr>
              <w:t>在所要测设的各轴线控制网布设后，根据结构图纸上的墙、柱的具体分布情况，在建筑物</w:t>
            </w:r>
          </w:p>
          <w:p w14:paraId="0240309E">
            <w:pPr>
              <w:pStyle w:val="7"/>
              <w:spacing w:before="185" w:line="216" w:lineRule="auto"/>
              <w:ind w:left="21"/>
            </w:pPr>
            <w:r>
              <w:rPr>
                <w:spacing w:val="-24"/>
              </w:rPr>
              <w:t>平面上建立控制网，然后根据施工需要，进行轴线加密和细部放线，以满足施工需要。施</w:t>
            </w:r>
          </w:p>
          <w:p w14:paraId="002FF1E7">
            <w:pPr>
              <w:pStyle w:val="7"/>
              <w:spacing w:before="187" w:line="216" w:lineRule="auto"/>
              <w:ind w:left="1286"/>
            </w:pPr>
            <w:r>
              <w:rPr>
                <w:spacing w:val="-21"/>
              </w:rPr>
              <w:t>工过程中要定期复查轴线之间的距离和角度</w:t>
            </w:r>
            <w:r>
              <w:rPr>
                <w:spacing w:val="-22"/>
              </w:rPr>
              <w:t>，确保测量精度。</w:t>
            </w:r>
          </w:p>
        </w:tc>
      </w:tr>
    </w:tbl>
    <w:p w14:paraId="0843B6B1">
      <w:pPr>
        <w:pStyle w:val="2"/>
        <w:spacing w:before="62" w:line="217" w:lineRule="auto"/>
        <w:ind w:left="3611"/>
        <w:outlineLvl w:val="1"/>
        <w:rPr>
          <w:sz w:val="30"/>
          <w:szCs w:val="30"/>
        </w:rPr>
      </w:pPr>
      <w:bookmarkStart w:id="21" w:name="bookmark21"/>
      <w:bookmarkEnd w:id="21"/>
      <w:r>
        <w:rPr>
          <w:b/>
          <w:bCs/>
          <w:color w:val="0070C0"/>
          <w:spacing w:val="-24"/>
          <w:sz w:val="30"/>
          <w:szCs w:val="30"/>
        </w:rPr>
        <w:t>第二节、拆除工程施工方案与技术措施</w:t>
      </w:r>
    </w:p>
    <w:p w14:paraId="28F19087">
      <w:pPr>
        <w:pStyle w:val="2"/>
        <w:spacing w:before="63" w:line="219" w:lineRule="auto"/>
        <w:ind w:left="1981"/>
        <w:outlineLvl w:val="2"/>
        <w:rPr>
          <w:sz w:val="28"/>
          <w:szCs w:val="28"/>
        </w:rPr>
      </w:pPr>
      <w:bookmarkStart w:id="22" w:name="bookmark22"/>
      <w:bookmarkEnd w:id="22"/>
      <w:r>
        <w:rPr>
          <w:b/>
          <w:bCs/>
          <w:spacing w:val="-21"/>
          <w:sz w:val="28"/>
          <w:szCs w:val="28"/>
        </w:rPr>
        <w:t>一、拆除内容</w:t>
      </w:r>
    </w:p>
    <w:p w14:paraId="64EDAA1C">
      <w:pPr>
        <w:pStyle w:val="2"/>
        <w:spacing w:before="103" w:line="301" w:lineRule="auto"/>
        <w:ind w:left="1460" w:right="1353" w:firstLine="433"/>
        <w:jc w:val="both"/>
        <w:rPr>
          <w:sz w:val="24"/>
          <w:szCs w:val="24"/>
        </w:rPr>
      </w:pPr>
      <w:r>
        <w:rPr>
          <w:spacing w:val="-20"/>
          <w:sz w:val="24"/>
          <w:szCs w:val="24"/>
        </w:rPr>
        <w:t>本项目多处含拆除工程，包括施工范围内涉及到的所有拆除工程（包括但不限于路面、铺</w:t>
      </w:r>
      <w:r>
        <w:rPr>
          <w:spacing w:val="-24"/>
          <w:sz w:val="24"/>
          <w:szCs w:val="24"/>
        </w:rPr>
        <w:t>装、排水管、检查井、围墙及影响施工的其他障碍物等）。拆除施工内容繁杂，沿线障碍物多，工程任务重，工期紧，为了确保整体工程施工工期和质量，根据我公司多年供水管道工程经验，</w:t>
      </w:r>
      <w:r>
        <w:rPr>
          <w:spacing w:val="-21"/>
          <w:sz w:val="24"/>
          <w:szCs w:val="24"/>
        </w:rPr>
        <w:t>合理组织劳动力和机械设备，将本工程全线设置成</w:t>
      </w:r>
      <w:r>
        <w:rPr>
          <w:spacing w:val="-22"/>
          <w:sz w:val="24"/>
          <w:szCs w:val="24"/>
        </w:rPr>
        <w:t>不同的工区同时进行工程施工。</w:t>
      </w:r>
    </w:p>
    <w:p w14:paraId="5E3716A8">
      <w:pPr>
        <w:pStyle w:val="2"/>
        <w:spacing w:line="219" w:lineRule="auto"/>
        <w:ind w:left="1986"/>
        <w:outlineLvl w:val="2"/>
        <w:rPr>
          <w:sz w:val="28"/>
          <w:szCs w:val="28"/>
        </w:rPr>
      </w:pPr>
      <w:bookmarkStart w:id="23" w:name="bookmark23"/>
      <w:bookmarkEnd w:id="23"/>
      <w:r>
        <w:rPr>
          <w:b/>
          <w:bCs/>
          <w:spacing w:val="-23"/>
          <w:sz w:val="28"/>
          <w:szCs w:val="28"/>
        </w:rPr>
        <w:t>二、拆除工程施工流程</w:t>
      </w:r>
    </w:p>
    <w:p w14:paraId="2FB9336F">
      <w:pPr>
        <w:pStyle w:val="2"/>
        <w:spacing w:before="103" w:line="299" w:lineRule="auto"/>
        <w:ind w:left="1455" w:right="1409" w:firstLine="437"/>
        <w:jc w:val="both"/>
        <w:rPr>
          <w:sz w:val="24"/>
          <w:szCs w:val="24"/>
        </w:rPr>
      </w:pPr>
      <w:r>
        <w:rPr>
          <w:spacing w:val="-20"/>
          <w:sz w:val="24"/>
          <w:szCs w:val="24"/>
        </w:rPr>
        <w:t>测量放线→施工搭围及资源准备→人行道绿化带拆除→红线范围内围墙拆除→交安井及路灯井拆除→标志标牌基础拆除→路缘石拆除→雨水、污水管拆除→路面拆除→其它零星工程拆</w:t>
      </w:r>
      <w:r>
        <w:rPr>
          <w:spacing w:val="-18"/>
          <w:sz w:val="24"/>
          <w:szCs w:val="24"/>
        </w:rPr>
        <w:t>除。</w:t>
      </w:r>
    </w:p>
    <w:p w14:paraId="585012BC">
      <w:pPr>
        <w:pStyle w:val="2"/>
        <w:spacing w:line="219" w:lineRule="auto"/>
        <w:ind w:left="1985"/>
        <w:outlineLvl w:val="2"/>
        <w:rPr>
          <w:sz w:val="28"/>
          <w:szCs w:val="28"/>
        </w:rPr>
      </w:pPr>
      <w:bookmarkStart w:id="24" w:name="bookmark24"/>
      <w:bookmarkEnd w:id="24"/>
      <w:r>
        <w:rPr>
          <w:b/>
          <w:bCs/>
          <w:spacing w:val="-22"/>
          <w:sz w:val="28"/>
          <w:szCs w:val="28"/>
        </w:rPr>
        <w:t>三、测量放线</w:t>
      </w:r>
    </w:p>
    <w:p w14:paraId="3322D04C">
      <w:pPr>
        <w:pStyle w:val="2"/>
        <w:spacing w:before="103" w:line="217" w:lineRule="auto"/>
        <w:ind w:left="1894"/>
        <w:rPr>
          <w:sz w:val="24"/>
          <w:szCs w:val="24"/>
        </w:rPr>
      </w:pPr>
      <w:r>
        <w:rPr>
          <w:spacing w:val="-21"/>
          <w:sz w:val="24"/>
          <w:szCs w:val="24"/>
        </w:rPr>
        <w:t>根据业主提供的导线点，准确测放出拟建道路红线，确定</w:t>
      </w:r>
      <w:r>
        <w:rPr>
          <w:spacing w:val="-22"/>
          <w:sz w:val="24"/>
          <w:szCs w:val="24"/>
        </w:rPr>
        <w:t>施工范围内需拆除的工程项目。</w:t>
      </w:r>
    </w:p>
    <w:p w14:paraId="5F4DFC8A">
      <w:pPr>
        <w:pStyle w:val="2"/>
        <w:spacing w:before="82" w:line="219" w:lineRule="auto"/>
        <w:ind w:left="2010"/>
        <w:outlineLvl w:val="2"/>
        <w:rPr>
          <w:sz w:val="28"/>
          <w:szCs w:val="28"/>
        </w:rPr>
      </w:pPr>
      <w:bookmarkStart w:id="25" w:name="bookmark25"/>
      <w:bookmarkEnd w:id="25"/>
      <w:r>
        <w:rPr>
          <w:b/>
          <w:bCs/>
          <w:spacing w:val="-25"/>
          <w:sz w:val="28"/>
          <w:szCs w:val="28"/>
        </w:rPr>
        <w:t>四、主要施工工艺和措施</w:t>
      </w:r>
    </w:p>
    <w:p w14:paraId="416C2E0B">
      <w:pPr>
        <w:pStyle w:val="2"/>
        <w:spacing w:before="103" w:line="219" w:lineRule="auto"/>
        <w:ind w:left="1903"/>
        <w:rPr>
          <w:sz w:val="24"/>
          <w:szCs w:val="24"/>
        </w:rPr>
      </w:pPr>
      <w:r>
        <w:rPr>
          <w:spacing w:val="-20"/>
          <w:sz w:val="24"/>
          <w:szCs w:val="24"/>
        </w:rPr>
        <w:t>1、临时路面结构拆除</w:t>
      </w:r>
    </w:p>
    <w:p w14:paraId="1508AB55">
      <w:pPr>
        <w:pStyle w:val="2"/>
        <w:spacing w:before="116" w:line="218" w:lineRule="auto"/>
        <w:ind w:left="1903"/>
        <w:rPr>
          <w:sz w:val="24"/>
          <w:szCs w:val="24"/>
        </w:rPr>
      </w:pPr>
      <w:r>
        <w:rPr>
          <w:spacing w:val="-16"/>
          <w:sz w:val="24"/>
          <w:szCs w:val="24"/>
        </w:rPr>
        <w:t>1.1施工准备</w:t>
      </w:r>
    </w:p>
    <w:p w14:paraId="7358FA79">
      <w:pPr>
        <w:spacing w:line="218" w:lineRule="auto"/>
        <w:rPr>
          <w:sz w:val="24"/>
          <w:szCs w:val="24"/>
        </w:rPr>
        <w:sectPr>
          <w:footerReference r:id="rId40" w:type="default"/>
          <w:pgSz w:w="11907" w:h="16839"/>
          <w:pgMar w:top="954" w:right="4" w:bottom="1038" w:left="0" w:header="499" w:footer="357" w:gutter="0"/>
          <w:pgBorders>
            <w:top w:val="none" w:sz="0" w:space="0"/>
            <w:left w:val="none" w:sz="0" w:space="0"/>
            <w:bottom w:val="none" w:sz="0" w:space="0"/>
            <w:right w:val="none" w:sz="0" w:space="0"/>
          </w:pgBorders>
          <w:cols w:space="720" w:num="1"/>
        </w:sectPr>
      </w:pPr>
    </w:p>
    <w:p w14:paraId="498A6DB9">
      <w:pPr>
        <w:spacing w:line="250" w:lineRule="auto"/>
        <w:rPr>
          <w:rFonts w:ascii="Arial"/>
          <w:sz w:val="21"/>
        </w:rPr>
      </w:pPr>
    </w:p>
    <w:p w14:paraId="6855ACD0">
      <w:pPr>
        <w:pStyle w:val="2"/>
        <w:spacing w:before="78" w:line="217" w:lineRule="auto"/>
        <w:ind w:left="1893"/>
        <w:rPr>
          <w:sz w:val="24"/>
          <w:szCs w:val="24"/>
        </w:rPr>
      </w:pPr>
      <w:r>
        <w:rPr>
          <w:spacing w:val="-20"/>
          <w:sz w:val="24"/>
          <w:szCs w:val="24"/>
        </w:rPr>
        <w:t>开工前至少7天内，应对施工范围断面进行实测，将</w:t>
      </w:r>
      <w:r>
        <w:rPr>
          <w:spacing w:val="-21"/>
          <w:sz w:val="24"/>
          <w:szCs w:val="24"/>
        </w:rPr>
        <w:t>实测结果报监理工程师审核。</w:t>
      </w:r>
    </w:p>
    <w:p w14:paraId="1BA58C97">
      <w:pPr>
        <w:pStyle w:val="2"/>
        <w:spacing w:before="120" w:line="306" w:lineRule="auto"/>
        <w:ind w:left="1472" w:right="1428" w:firstLine="422"/>
        <w:rPr>
          <w:sz w:val="24"/>
          <w:szCs w:val="24"/>
        </w:rPr>
      </w:pPr>
      <w:r>
        <w:rPr>
          <w:spacing w:val="-20"/>
          <w:sz w:val="24"/>
          <w:szCs w:val="24"/>
        </w:rPr>
        <w:t>进行全面复测，测量结果报请监理工程师批准，及时编制实施性施工组织设计报监</w:t>
      </w:r>
      <w:r>
        <w:rPr>
          <w:spacing w:val="-21"/>
          <w:sz w:val="24"/>
          <w:szCs w:val="24"/>
        </w:rPr>
        <w:t>理工程</w:t>
      </w:r>
      <w:r>
        <w:rPr>
          <w:spacing w:val="-22"/>
          <w:sz w:val="24"/>
          <w:szCs w:val="24"/>
        </w:rPr>
        <w:t>师审批和测量放样工作。</w:t>
      </w:r>
    </w:p>
    <w:p w14:paraId="2CDF3BBD">
      <w:pPr>
        <w:pStyle w:val="2"/>
        <w:spacing w:before="2" w:line="217" w:lineRule="auto"/>
        <w:ind w:left="1894"/>
        <w:rPr>
          <w:sz w:val="24"/>
          <w:szCs w:val="24"/>
        </w:rPr>
      </w:pPr>
      <w:r>
        <w:rPr>
          <w:spacing w:val="-22"/>
          <w:sz w:val="24"/>
          <w:szCs w:val="24"/>
        </w:rPr>
        <w:t>制定详细的路基填筑环保措施。</w:t>
      </w:r>
    </w:p>
    <w:p w14:paraId="12E6DE8E">
      <w:pPr>
        <w:pStyle w:val="2"/>
        <w:spacing w:before="119" w:line="218" w:lineRule="auto"/>
        <w:ind w:left="1897"/>
        <w:rPr>
          <w:sz w:val="24"/>
          <w:szCs w:val="24"/>
        </w:rPr>
      </w:pPr>
      <w:r>
        <w:rPr>
          <w:spacing w:val="-21"/>
          <w:sz w:val="24"/>
          <w:szCs w:val="24"/>
        </w:rPr>
        <w:t>完善合同段总体施工进度计划和施工工艺、施工</w:t>
      </w:r>
      <w:r>
        <w:rPr>
          <w:spacing w:val="-22"/>
          <w:sz w:val="24"/>
          <w:szCs w:val="24"/>
        </w:rPr>
        <w:t>方案，报监理工程师审批。</w:t>
      </w:r>
    </w:p>
    <w:p w14:paraId="572A7821">
      <w:pPr>
        <w:pStyle w:val="2"/>
        <w:spacing w:before="115" w:line="220" w:lineRule="auto"/>
        <w:ind w:left="1903"/>
        <w:rPr>
          <w:sz w:val="24"/>
          <w:szCs w:val="24"/>
        </w:rPr>
      </w:pPr>
      <w:r>
        <w:rPr>
          <w:spacing w:val="-16"/>
          <w:sz w:val="24"/>
          <w:szCs w:val="24"/>
        </w:rPr>
        <w:t>1.2施工工艺</w:t>
      </w:r>
    </w:p>
    <w:p w14:paraId="4A86C579">
      <w:pPr>
        <w:pStyle w:val="2"/>
        <w:spacing w:before="114" w:line="215" w:lineRule="auto"/>
        <w:ind w:left="1892"/>
        <w:rPr>
          <w:sz w:val="24"/>
          <w:szCs w:val="24"/>
        </w:rPr>
      </w:pPr>
      <w:r>
        <w:rPr>
          <w:spacing w:val="-21"/>
          <w:sz w:val="24"/>
          <w:szCs w:val="24"/>
        </w:rPr>
        <w:t>施工准备→施工放样→机械设备就位→凿除→装运废渣→原地</w:t>
      </w:r>
      <w:r>
        <w:rPr>
          <w:spacing w:val="-22"/>
          <w:sz w:val="24"/>
          <w:szCs w:val="24"/>
        </w:rPr>
        <w:t>面处理。</w:t>
      </w:r>
    </w:p>
    <w:p w14:paraId="6E31A33D">
      <w:pPr>
        <w:pStyle w:val="2"/>
        <w:spacing w:before="121" w:line="220" w:lineRule="auto"/>
        <w:ind w:left="1903"/>
        <w:rPr>
          <w:sz w:val="24"/>
          <w:szCs w:val="24"/>
        </w:rPr>
      </w:pPr>
      <w:r>
        <w:rPr>
          <w:spacing w:val="-16"/>
          <w:sz w:val="24"/>
          <w:szCs w:val="24"/>
        </w:rPr>
        <w:t>1.3施工方法</w:t>
      </w:r>
    </w:p>
    <w:p w14:paraId="28CEBF87">
      <w:pPr>
        <w:pStyle w:val="2"/>
        <w:spacing w:before="112" w:line="308" w:lineRule="auto"/>
        <w:ind w:left="1463" w:right="1409" w:firstLine="434"/>
        <w:rPr>
          <w:sz w:val="24"/>
          <w:szCs w:val="24"/>
        </w:rPr>
      </w:pPr>
      <w:r>
        <w:rPr>
          <w:spacing w:val="-20"/>
          <w:sz w:val="24"/>
          <w:szCs w:val="24"/>
        </w:rPr>
        <w:t>原有路面凿除采用人工配合机械进行作业，大面积作业时，采用挖掘机、推土机、装载机等机械配合，小面积的采用空压机带动风镐，电钻的设备进行凿除，在凿除破损路面时，应该</w:t>
      </w:r>
      <w:r>
        <w:rPr>
          <w:spacing w:val="-25"/>
          <w:sz w:val="24"/>
          <w:szCs w:val="24"/>
        </w:rPr>
        <w:t>注意以下几点：</w:t>
      </w:r>
    </w:p>
    <w:p w14:paraId="508A1A72">
      <w:pPr>
        <w:pStyle w:val="2"/>
        <w:spacing w:line="308" w:lineRule="auto"/>
        <w:ind w:left="1456" w:right="1409" w:firstLine="438"/>
        <w:rPr>
          <w:sz w:val="24"/>
          <w:szCs w:val="24"/>
        </w:rPr>
      </w:pPr>
      <w:r>
        <w:rPr>
          <w:spacing w:val="-20"/>
          <w:sz w:val="24"/>
          <w:szCs w:val="24"/>
        </w:rPr>
        <w:t>在凿除前必须经过测量放样，避免盲目的施工，而造成成本增加；在凿除时，尽量避免损坏旁边未损坏的原有路面；</w:t>
      </w:r>
    </w:p>
    <w:p w14:paraId="243F61F8">
      <w:pPr>
        <w:pStyle w:val="2"/>
        <w:spacing w:before="1" w:line="216" w:lineRule="auto"/>
        <w:ind w:left="1897"/>
        <w:rPr>
          <w:sz w:val="24"/>
          <w:szCs w:val="24"/>
        </w:rPr>
      </w:pPr>
      <w:r>
        <w:rPr>
          <w:spacing w:val="-21"/>
          <w:sz w:val="24"/>
          <w:szCs w:val="24"/>
        </w:rPr>
        <w:t>凿除的深度必须符合设计要求；</w:t>
      </w:r>
    </w:p>
    <w:p w14:paraId="302E9120">
      <w:pPr>
        <w:pStyle w:val="2"/>
        <w:spacing w:before="117" w:line="215" w:lineRule="auto"/>
        <w:ind w:left="1895"/>
        <w:rPr>
          <w:sz w:val="24"/>
          <w:szCs w:val="24"/>
        </w:rPr>
      </w:pPr>
      <w:r>
        <w:rPr>
          <w:spacing w:val="-21"/>
          <w:sz w:val="24"/>
          <w:szCs w:val="24"/>
        </w:rPr>
        <w:t>在施工过程中，必须做好保通措施，避免影响车辆的行驶；</w:t>
      </w:r>
    </w:p>
    <w:p w14:paraId="2E6860CD">
      <w:pPr>
        <w:pStyle w:val="2"/>
        <w:spacing w:before="122" w:line="307" w:lineRule="auto"/>
        <w:ind w:left="1456" w:right="1409" w:firstLine="436"/>
        <w:rPr>
          <w:sz w:val="24"/>
          <w:szCs w:val="24"/>
        </w:rPr>
      </w:pPr>
      <w:r>
        <w:rPr>
          <w:spacing w:val="-20"/>
          <w:sz w:val="24"/>
          <w:szCs w:val="24"/>
        </w:rPr>
        <w:t>做到工地排水畅通，指定专人负责挖沟、疏导排水等工作。在低洼地段和工程不良地质路基段尽量避开雨季施工。</w:t>
      </w:r>
    </w:p>
    <w:p w14:paraId="0AA09DF7">
      <w:pPr>
        <w:pStyle w:val="2"/>
        <w:spacing w:before="1" w:line="308" w:lineRule="auto"/>
        <w:ind w:left="1463" w:right="1409" w:firstLine="430"/>
        <w:rPr>
          <w:sz w:val="24"/>
          <w:szCs w:val="24"/>
        </w:rPr>
      </w:pPr>
      <w:r>
        <w:rPr>
          <w:spacing w:val="-20"/>
          <w:sz w:val="24"/>
          <w:szCs w:val="24"/>
        </w:rPr>
        <w:t>雨季施工时，必须作好气象资料的收集与整理。协调安排施工计划，合理调整雨季施工任</w:t>
      </w:r>
      <w:r>
        <w:rPr>
          <w:spacing w:val="-22"/>
          <w:sz w:val="24"/>
          <w:szCs w:val="24"/>
        </w:rPr>
        <w:t>务量。</w:t>
      </w:r>
    </w:p>
    <w:p w14:paraId="4ABE5E98">
      <w:pPr>
        <w:pStyle w:val="2"/>
        <w:spacing w:before="1" w:line="218" w:lineRule="auto"/>
        <w:ind w:left="1888"/>
        <w:rPr>
          <w:sz w:val="24"/>
          <w:szCs w:val="24"/>
        </w:rPr>
      </w:pPr>
      <w:r>
        <w:rPr>
          <w:spacing w:val="-15"/>
          <w:sz w:val="24"/>
          <w:szCs w:val="24"/>
        </w:rPr>
        <w:t>2、拆除基层</w:t>
      </w:r>
    </w:p>
    <w:p w14:paraId="79388978">
      <w:pPr>
        <w:pStyle w:val="2"/>
        <w:spacing w:before="114" w:line="217" w:lineRule="auto"/>
        <w:ind w:left="1888"/>
        <w:rPr>
          <w:sz w:val="24"/>
          <w:szCs w:val="24"/>
        </w:rPr>
      </w:pPr>
      <w:r>
        <w:rPr>
          <w:spacing w:val="-19"/>
          <w:sz w:val="24"/>
          <w:szCs w:val="24"/>
        </w:rPr>
        <w:t>2.1多锤头水泥路面破碎机</w:t>
      </w:r>
    </w:p>
    <w:p w14:paraId="01051383">
      <w:pPr>
        <w:pStyle w:val="2"/>
        <w:spacing w:before="120" w:line="307" w:lineRule="auto"/>
        <w:ind w:left="1458" w:right="1410" w:firstLine="449"/>
        <w:rPr>
          <w:sz w:val="24"/>
          <w:szCs w:val="24"/>
        </w:rPr>
      </w:pPr>
      <w:r>
        <w:rPr>
          <w:spacing w:val="-20"/>
          <w:sz w:val="24"/>
          <w:szCs w:val="24"/>
        </w:rPr>
        <w:t>多锤头水泥路面破碎机采用的是自行式破碎设备，设备后部平均配备两排成对锤头，这样在设备全宽范围内可以连续破碎，锤头的提升高度在油缸行程范围内可独立调节，该破碎机具</w:t>
      </w:r>
      <w:r>
        <w:rPr>
          <w:spacing w:val="-16"/>
          <w:sz w:val="24"/>
          <w:szCs w:val="24"/>
        </w:rPr>
        <w:t>备一次破碎4米车道的能力。</w:t>
      </w:r>
    </w:p>
    <w:p w14:paraId="005C0907">
      <w:pPr>
        <w:pStyle w:val="2"/>
        <w:spacing w:before="2" w:line="217" w:lineRule="auto"/>
        <w:ind w:left="1888"/>
        <w:rPr>
          <w:sz w:val="24"/>
          <w:szCs w:val="24"/>
        </w:rPr>
      </w:pPr>
      <w:r>
        <w:rPr>
          <w:spacing w:val="-18"/>
          <w:sz w:val="24"/>
          <w:szCs w:val="24"/>
        </w:rPr>
        <w:t>2.2制定临时的交通管制方案</w:t>
      </w:r>
    </w:p>
    <w:p w14:paraId="47AB63E4">
      <w:pPr>
        <w:pStyle w:val="2"/>
        <w:spacing w:before="117" w:line="308" w:lineRule="auto"/>
        <w:ind w:left="1460" w:right="1410" w:firstLine="463"/>
        <w:rPr>
          <w:sz w:val="24"/>
          <w:szCs w:val="24"/>
        </w:rPr>
      </w:pPr>
      <w:r>
        <w:rPr>
          <w:spacing w:val="-23"/>
          <w:sz w:val="24"/>
          <w:szCs w:val="24"/>
        </w:rPr>
        <w:t>由于进行拆除的施工范围在没有拆除之前是不允许开放道路交通的，因此,在施工期间对交</w:t>
      </w:r>
      <w:r>
        <w:rPr>
          <w:spacing w:val="-22"/>
          <w:sz w:val="24"/>
          <w:szCs w:val="24"/>
        </w:rPr>
        <w:t>通管制的要求相对就比较高，为了确保拆除过程中的安全效果,在条件允许的情况</w:t>
      </w:r>
      <w:r>
        <w:rPr>
          <w:spacing w:val="-23"/>
          <w:sz w:val="24"/>
          <w:szCs w:val="24"/>
        </w:rPr>
        <w:t>下应尽量一次</w:t>
      </w:r>
      <w:r>
        <w:rPr>
          <w:spacing w:val="-22"/>
          <w:sz w:val="24"/>
          <w:szCs w:val="24"/>
        </w:rPr>
        <w:t>性全封闭施工路段；若条件困难，至少应实行半封闭施工。</w:t>
      </w:r>
    </w:p>
    <w:p w14:paraId="04A17F07">
      <w:pPr>
        <w:pStyle w:val="2"/>
        <w:spacing w:line="217" w:lineRule="auto"/>
        <w:ind w:left="1888"/>
        <w:rPr>
          <w:sz w:val="24"/>
          <w:szCs w:val="24"/>
        </w:rPr>
      </w:pPr>
      <w:r>
        <w:rPr>
          <w:spacing w:val="-19"/>
          <w:sz w:val="24"/>
          <w:szCs w:val="24"/>
        </w:rPr>
        <w:t>2.3做好通道、涵洞等隐蔽构造物的调查</w:t>
      </w:r>
    </w:p>
    <w:p w14:paraId="473CDE2F">
      <w:pPr>
        <w:pStyle w:val="2"/>
        <w:spacing w:before="116" w:line="308" w:lineRule="auto"/>
        <w:ind w:left="1456" w:right="1409" w:firstLine="438"/>
        <w:rPr>
          <w:sz w:val="24"/>
          <w:szCs w:val="24"/>
        </w:rPr>
      </w:pPr>
      <w:r>
        <w:rPr>
          <w:spacing w:val="-20"/>
          <w:sz w:val="24"/>
          <w:szCs w:val="24"/>
        </w:rPr>
        <w:t>进行破碎施工前，应结合设计图纸提供的隐蔽构造物的分布情况，如地下管线等情况进行</w:t>
      </w:r>
      <w:r>
        <w:rPr>
          <w:spacing w:val="-22"/>
          <w:sz w:val="24"/>
          <w:szCs w:val="24"/>
        </w:rPr>
        <w:t>调查，以确定破碎是否会对这些构造物造成损坏。正常情况下，埋深在1米以下的构造物是不</w:t>
      </w:r>
      <w:r>
        <w:rPr>
          <w:spacing w:val="-20"/>
          <w:sz w:val="24"/>
          <w:szCs w:val="24"/>
        </w:rPr>
        <w:t>会由于破碎而带来的损坏，因此，对于不满足上列条件的构造物，可采取降低锤头高度来紧慎</w:t>
      </w:r>
      <w:r>
        <w:rPr>
          <w:spacing w:val="-21"/>
          <w:sz w:val="24"/>
          <w:szCs w:val="24"/>
        </w:rPr>
        <w:t>完成对特殊路段的破碎等其它保护方案。</w:t>
      </w:r>
    </w:p>
    <w:p w14:paraId="5339142B">
      <w:pPr>
        <w:pStyle w:val="2"/>
        <w:spacing w:before="1" w:line="215" w:lineRule="auto"/>
        <w:ind w:left="1888"/>
        <w:rPr>
          <w:sz w:val="24"/>
          <w:szCs w:val="24"/>
        </w:rPr>
      </w:pPr>
      <w:r>
        <w:rPr>
          <w:spacing w:val="-18"/>
          <w:sz w:val="24"/>
          <w:szCs w:val="24"/>
        </w:rPr>
        <w:t>2.4清除存在的沥青面层</w:t>
      </w:r>
    </w:p>
    <w:p w14:paraId="344CE631">
      <w:pPr>
        <w:pStyle w:val="2"/>
        <w:spacing w:before="121" w:line="307" w:lineRule="auto"/>
        <w:ind w:left="1463" w:right="1409" w:firstLine="431"/>
        <w:rPr>
          <w:sz w:val="24"/>
          <w:szCs w:val="24"/>
        </w:rPr>
      </w:pPr>
      <w:r>
        <w:rPr>
          <w:spacing w:val="-20"/>
          <w:sz w:val="24"/>
          <w:szCs w:val="24"/>
        </w:rPr>
        <w:t>在碎石化前，应清除旧沥青混凝土路面上的沥青修复材料，因为这些材料的存在，会影响到破碎处理的效果。</w:t>
      </w:r>
    </w:p>
    <w:p w14:paraId="7BE87A09">
      <w:pPr>
        <w:spacing w:line="307" w:lineRule="auto"/>
        <w:rPr>
          <w:sz w:val="24"/>
          <w:szCs w:val="24"/>
        </w:rPr>
        <w:sectPr>
          <w:footerReference r:id="rId41" w:type="default"/>
          <w:pgSz w:w="11907" w:h="16839"/>
          <w:pgMar w:top="954" w:right="4" w:bottom="1038" w:left="0" w:header="499" w:footer="357" w:gutter="0"/>
          <w:pgBorders>
            <w:top w:val="none" w:sz="0" w:space="0"/>
            <w:left w:val="none" w:sz="0" w:space="0"/>
            <w:bottom w:val="none" w:sz="0" w:space="0"/>
            <w:right w:val="none" w:sz="0" w:space="0"/>
          </w:pgBorders>
          <w:cols w:space="720" w:num="1"/>
        </w:sectPr>
      </w:pPr>
    </w:p>
    <w:p w14:paraId="028BE900">
      <w:pPr>
        <w:spacing w:line="250" w:lineRule="auto"/>
        <w:rPr>
          <w:rFonts w:ascii="Arial"/>
          <w:sz w:val="21"/>
        </w:rPr>
      </w:pPr>
    </w:p>
    <w:p w14:paraId="5F7032BB">
      <w:pPr>
        <w:pStyle w:val="2"/>
        <w:spacing w:before="78" w:line="219" w:lineRule="auto"/>
        <w:ind w:left="1890"/>
        <w:rPr>
          <w:sz w:val="24"/>
          <w:szCs w:val="24"/>
        </w:rPr>
      </w:pPr>
      <w:r>
        <w:rPr>
          <w:spacing w:val="-18"/>
          <w:sz w:val="24"/>
          <w:szCs w:val="24"/>
        </w:rPr>
        <w:t>3、路缘石、平石拆除</w:t>
      </w:r>
    </w:p>
    <w:p w14:paraId="426993C0">
      <w:pPr>
        <w:pStyle w:val="2"/>
        <w:spacing w:before="116" w:line="217" w:lineRule="auto"/>
        <w:ind w:left="1891"/>
        <w:rPr>
          <w:sz w:val="24"/>
          <w:szCs w:val="24"/>
        </w:rPr>
      </w:pPr>
      <w:r>
        <w:rPr>
          <w:spacing w:val="-21"/>
          <w:sz w:val="24"/>
          <w:szCs w:val="24"/>
        </w:rPr>
        <w:t>路缘石分为立缘石和平缘石，位于道路与人行道交接的位置。</w:t>
      </w:r>
    </w:p>
    <w:p w14:paraId="7E4D439E">
      <w:pPr>
        <w:pStyle w:val="2"/>
        <w:spacing w:before="116" w:line="308" w:lineRule="auto"/>
        <w:ind w:left="1462" w:right="1410" w:firstLine="439"/>
        <w:rPr>
          <w:sz w:val="24"/>
          <w:szCs w:val="24"/>
        </w:rPr>
      </w:pPr>
      <w:r>
        <w:rPr>
          <w:spacing w:val="-20"/>
          <w:sz w:val="24"/>
          <w:szCs w:val="24"/>
        </w:rPr>
        <w:t>为避免扰动和破坏到地下管线，采用人工风镐破除人行道砖、粘层及砼垫层，紧后采用人</w:t>
      </w:r>
      <w:r>
        <w:rPr>
          <w:spacing w:val="-21"/>
          <w:sz w:val="24"/>
          <w:szCs w:val="24"/>
        </w:rPr>
        <w:t>工配合小挖掘机清理装车、转运外弃至业主指定</w:t>
      </w:r>
      <w:r>
        <w:rPr>
          <w:spacing w:val="-22"/>
          <w:sz w:val="24"/>
          <w:szCs w:val="24"/>
        </w:rPr>
        <w:t>的弃土场。</w:t>
      </w:r>
    </w:p>
    <w:p w14:paraId="62E1E61F">
      <w:pPr>
        <w:pStyle w:val="2"/>
        <w:spacing w:before="1" w:line="306" w:lineRule="auto"/>
        <w:ind w:left="1462" w:right="1410" w:firstLine="434"/>
        <w:rPr>
          <w:sz w:val="24"/>
          <w:szCs w:val="24"/>
        </w:rPr>
      </w:pPr>
      <w:r>
        <w:rPr>
          <w:spacing w:val="-20"/>
          <w:sz w:val="24"/>
          <w:szCs w:val="24"/>
        </w:rPr>
        <w:t>人工先用风镐逐一破除人行道结构后在用人工进行清检，装车外运。原有人行道路沿石需</w:t>
      </w:r>
      <w:r>
        <w:rPr>
          <w:spacing w:val="-21"/>
          <w:sz w:val="24"/>
          <w:szCs w:val="24"/>
        </w:rPr>
        <w:t>全部拆除，该路沿石随人行道垫层破除一并拆</w:t>
      </w:r>
      <w:r>
        <w:rPr>
          <w:spacing w:val="-22"/>
          <w:sz w:val="24"/>
          <w:szCs w:val="24"/>
        </w:rPr>
        <w:t>除，转运至业主指定的弃土场。</w:t>
      </w:r>
    </w:p>
    <w:p w14:paraId="320E4A19">
      <w:pPr>
        <w:pStyle w:val="2"/>
        <w:spacing w:before="3" w:line="219" w:lineRule="auto"/>
        <w:ind w:left="1884"/>
        <w:rPr>
          <w:sz w:val="24"/>
          <w:szCs w:val="24"/>
        </w:rPr>
      </w:pPr>
      <w:r>
        <w:rPr>
          <w:spacing w:val="-19"/>
          <w:sz w:val="24"/>
          <w:szCs w:val="24"/>
        </w:rPr>
        <w:t>4、雨污水管道及支管拆除</w:t>
      </w:r>
    </w:p>
    <w:p w14:paraId="7F044759">
      <w:pPr>
        <w:pStyle w:val="2"/>
        <w:spacing w:before="117" w:line="260" w:lineRule="auto"/>
        <w:ind w:left="1467" w:right="1409" w:firstLine="417"/>
        <w:rPr>
          <w:sz w:val="24"/>
          <w:szCs w:val="24"/>
        </w:rPr>
      </w:pPr>
      <w:r>
        <w:rPr>
          <w:spacing w:val="-23"/>
          <w:sz w:val="24"/>
          <w:szCs w:val="24"/>
        </w:rPr>
        <w:t>4.1首先人工拆除雨水箅将雨水口内积水及淤泥清理干净并及时清运出场，人工采用风镐破</w:t>
      </w:r>
      <w:r>
        <w:rPr>
          <w:spacing w:val="-22"/>
          <w:sz w:val="24"/>
          <w:szCs w:val="24"/>
        </w:rPr>
        <w:t>除雨水口砖砌体，及时将破除的建渣清理出场，转运至业主指定的弃土场。</w:t>
      </w:r>
    </w:p>
    <w:p w14:paraId="173FD515">
      <w:pPr>
        <w:pStyle w:val="2"/>
        <w:spacing w:before="121" w:line="262" w:lineRule="auto"/>
        <w:ind w:left="1456" w:right="1411" w:firstLine="428"/>
        <w:rPr>
          <w:sz w:val="24"/>
          <w:szCs w:val="24"/>
        </w:rPr>
      </w:pPr>
      <w:r>
        <w:rPr>
          <w:spacing w:val="-19"/>
          <w:sz w:val="24"/>
          <w:szCs w:val="24"/>
        </w:rPr>
        <w:t>4.2然后采用现代60-7小挖掘机挖出雨水口支管顶的覆土，采用风镐破除满包D300雨水口</w:t>
      </w:r>
      <w:r>
        <w:rPr>
          <w:spacing w:val="-21"/>
          <w:sz w:val="24"/>
          <w:szCs w:val="24"/>
        </w:rPr>
        <w:t>支管，及时将破除的建渣清理出场，转运至业主指定的弃</w:t>
      </w:r>
      <w:r>
        <w:rPr>
          <w:spacing w:val="-22"/>
          <w:sz w:val="24"/>
          <w:szCs w:val="24"/>
        </w:rPr>
        <w:t>土场。</w:t>
      </w:r>
    </w:p>
    <w:p w14:paraId="42CE0CF2">
      <w:pPr>
        <w:pStyle w:val="2"/>
        <w:spacing w:before="121" w:line="262" w:lineRule="auto"/>
        <w:ind w:left="1458" w:right="1409" w:firstLine="426"/>
        <w:rPr>
          <w:sz w:val="24"/>
          <w:szCs w:val="24"/>
        </w:rPr>
      </w:pPr>
      <w:r>
        <w:rPr>
          <w:spacing w:val="-21"/>
          <w:sz w:val="24"/>
          <w:szCs w:val="24"/>
        </w:rPr>
        <w:t>4.3按道路结构采用级配碎石分层回填雨水口，接入原有检查井的雨水口支管洞采用C25砼填实（因新建雨水口高程与原雨水口不符）。</w:t>
      </w:r>
    </w:p>
    <w:p w14:paraId="5AB52A69">
      <w:pPr>
        <w:pStyle w:val="2"/>
        <w:spacing w:before="119" w:line="216" w:lineRule="auto"/>
        <w:ind w:left="1890"/>
        <w:rPr>
          <w:sz w:val="24"/>
          <w:szCs w:val="24"/>
        </w:rPr>
      </w:pPr>
      <w:r>
        <w:rPr>
          <w:spacing w:val="-17"/>
          <w:sz w:val="24"/>
          <w:szCs w:val="24"/>
        </w:rPr>
        <w:t>5、绿化带拆除</w:t>
      </w:r>
    </w:p>
    <w:p w14:paraId="6269B7A9">
      <w:pPr>
        <w:pStyle w:val="2"/>
        <w:spacing w:before="116" w:line="308" w:lineRule="auto"/>
        <w:ind w:left="1458" w:right="1411" w:firstLine="439"/>
        <w:rPr>
          <w:sz w:val="24"/>
          <w:szCs w:val="24"/>
        </w:rPr>
      </w:pPr>
      <w:r>
        <w:rPr>
          <w:spacing w:val="-20"/>
          <w:sz w:val="24"/>
          <w:szCs w:val="24"/>
        </w:rPr>
        <w:t>原有绿化带内的灌木、乔木、设施、设备受道路扩建的影响，需全部拆除。拆除前，需与相关单位接洽，若需拆除利用的设备、设施（如路灯、管线）请相关单位提前迁改拆除。我部</w:t>
      </w:r>
      <w:r>
        <w:rPr>
          <w:spacing w:val="-21"/>
          <w:sz w:val="24"/>
          <w:szCs w:val="24"/>
        </w:rPr>
        <w:t>负责现场维护，对拆除后的绿化带采用绿色遮阳网覆盖。</w:t>
      </w:r>
    </w:p>
    <w:p w14:paraId="7650A21B">
      <w:pPr>
        <w:pStyle w:val="2"/>
        <w:spacing w:before="1" w:line="215" w:lineRule="auto"/>
        <w:ind w:left="1887"/>
        <w:rPr>
          <w:sz w:val="24"/>
          <w:szCs w:val="24"/>
        </w:rPr>
      </w:pPr>
      <w:r>
        <w:rPr>
          <w:spacing w:val="-19"/>
          <w:sz w:val="24"/>
          <w:szCs w:val="24"/>
        </w:rPr>
        <w:t>6、交安、路灯检查井拆除</w:t>
      </w:r>
    </w:p>
    <w:p w14:paraId="7F0715C5">
      <w:pPr>
        <w:pStyle w:val="2"/>
        <w:spacing w:before="120" w:line="308" w:lineRule="auto"/>
        <w:ind w:left="1465" w:right="1414" w:firstLine="428"/>
        <w:rPr>
          <w:sz w:val="24"/>
          <w:szCs w:val="24"/>
        </w:rPr>
      </w:pPr>
      <w:r>
        <w:rPr>
          <w:spacing w:val="-20"/>
          <w:sz w:val="24"/>
          <w:szCs w:val="24"/>
        </w:rPr>
        <w:t>道路红线范围内遗留的的交安、路灯检查井，受道路扩建的影响，需全部拆除。拆除前，需与相关单位衔接，若需拆除利用的设备、设施（如路灯、管线）先申请相关单位提前迁改拆除。</w:t>
      </w:r>
    </w:p>
    <w:p w14:paraId="7980CA2F">
      <w:pPr>
        <w:pStyle w:val="2"/>
        <w:spacing w:before="2" w:line="307" w:lineRule="auto"/>
        <w:ind w:left="1458" w:right="1412" w:firstLine="434"/>
        <w:jc w:val="both"/>
        <w:rPr>
          <w:sz w:val="24"/>
          <w:szCs w:val="24"/>
        </w:rPr>
      </w:pPr>
      <w:r>
        <w:rPr>
          <w:spacing w:val="-19"/>
          <w:sz w:val="24"/>
          <w:szCs w:val="24"/>
        </w:rPr>
        <w:t>经现场调查，交安、路灯检查井均为240mm厚砖砌井，井径Φ</w:t>
      </w:r>
      <w:r>
        <w:rPr>
          <w:spacing w:val="-20"/>
          <w:sz w:val="24"/>
          <w:szCs w:val="24"/>
        </w:rPr>
        <w:t>700，井盖为轻型钢纤维，井</w:t>
      </w:r>
      <w:r>
        <w:rPr>
          <w:spacing w:val="-21"/>
          <w:sz w:val="24"/>
          <w:szCs w:val="24"/>
        </w:rPr>
        <w:t>深1.5米~2.2米。采用风镐破除，随破随转运至业主指定的弃土场，保持场内整洁，并按道路</w:t>
      </w:r>
      <w:r>
        <w:rPr>
          <w:spacing w:val="-23"/>
          <w:sz w:val="24"/>
          <w:szCs w:val="24"/>
        </w:rPr>
        <w:t>结构采用级配砂砾石填实坑洞，确保安全。</w:t>
      </w:r>
    </w:p>
    <w:p w14:paraId="5B45E0C1">
      <w:pPr>
        <w:pStyle w:val="2"/>
        <w:spacing w:line="218" w:lineRule="auto"/>
        <w:ind w:left="1891"/>
        <w:rPr>
          <w:sz w:val="24"/>
          <w:szCs w:val="24"/>
        </w:rPr>
      </w:pPr>
      <w:r>
        <w:rPr>
          <w:spacing w:val="-18"/>
          <w:sz w:val="24"/>
          <w:szCs w:val="24"/>
        </w:rPr>
        <w:t>7、标志牌基础拆除</w:t>
      </w:r>
    </w:p>
    <w:p w14:paraId="658EFD8F">
      <w:pPr>
        <w:pStyle w:val="2"/>
        <w:spacing w:before="118" w:line="307" w:lineRule="auto"/>
        <w:ind w:left="1461" w:right="1410" w:firstLine="432"/>
        <w:rPr>
          <w:sz w:val="24"/>
          <w:szCs w:val="24"/>
        </w:rPr>
      </w:pPr>
      <w:r>
        <w:rPr>
          <w:spacing w:val="-20"/>
          <w:sz w:val="24"/>
          <w:szCs w:val="24"/>
        </w:rPr>
        <w:t>经现场踏勘，道路红线范围内有路灯杆、交安杆、悬臂标志标牌基础均为钢筋砼基础，位</w:t>
      </w:r>
      <w:r>
        <w:rPr>
          <w:spacing w:val="-21"/>
          <w:sz w:val="24"/>
          <w:szCs w:val="24"/>
        </w:rPr>
        <w:t>于新建道路辅道内，需破除外弃。</w:t>
      </w:r>
    </w:p>
    <w:p w14:paraId="593695F1">
      <w:pPr>
        <w:pStyle w:val="2"/>
        <w:spacing w:before="4" w:line="277" w:lineRule="auto"/>
        <w:ind w:left="1455" w:right="1411" w:firstLine="435"/>
        <w:rPr>
          <w:sz w:val="24"/>
          <w:szCs w:val="24"/>
        </w:rPr>
      </w:pPr>
      <w:r>
        <w:rPr>
          <w:spacing w:val="-23"/>
          <w:sz w:val="24"/>
          <w:szCs w:val="24"/>
        </w:rPr>
        <w:t>7.1首先与相关责任单位衔接，对路灯杆、交通信号灯杆及悬臂标志标</w:t>
      </w:r>
      <w:r>
        <w:rPr>
          <w:spacing w:val="-24"/>
          <w:sz w:val="24"/>
          <w:szCs w:val="24"/>
        </w:rPr>
        <w:t>牌进行拆除回收。经</w:t>
      </w:r>
      <w:r>
        <w:rPr>
          <w:spacing w:val="-18"/>
          <w:sz w:val="24"/>
          <w:szCs w:val="24"/>
        </w:rPr>
        <w:t>现场量测，路灯基础、交安基础均为钢筋砼，平面尺寸为0.75m*0.75m，深</w:t>
      </w:r>
      <w:r>
        <w:rPr>
          <w:spacing w:val="-19"/>
          <w:sz w:val="24"/>
          <w:szCs w:val="24"/>
        </w:rPr>
        <w:t>1.2m；悬臂标志标</w:t>
      </w:r>
      <w:r>
        <w:rPr>
          <w:spacing w:val="-15"/>
          <w:sz w:val="24"/>
          <w:szCs w:val="24"/>
        </w:rPr>
        <w:t>牌基础为钢筋砼，平面尺寸为1.5m*1.5m，深2.5m。</w:t>
      </w:r>
    </w:p>
    <w:p w14:paraId="61A160A8">
      <w:pPr>
        <w:pStyle w:val="2"/>
        <w:spacing w:before="118" w:line="214" w:lineRule="auto"/>
        <w:ind w:left="1891"/>
        <w:rPr>
          <w:sz w:val="24"/>
          <w:szCs w:val="24"/>
        </w:rPr>
      </w:pPr>
      <w:r>
        <w:rPr>
          <w:spacing w:val="-18"/>
          <w:sz w:val="24"/>
          <w:szCs w:val="24"/>
        </w:rPr>
        <w:t>7.2采用现代225-C大破碎机破除钢筋砼基础</w:t>
      </w:r>
      <w:r>
        <w:rPr>
          <w:spacing w:val="-19"/>
          <w:sz w:val="24"/>
          <w:szCs w:val="24"/>
        </w:rPr>
        <w:t>，随破除随装车随转运至业主指定的弃土场。</w:t>
      </w:r>
    </w:p>
    <w:p w14:paraId="47913C9D">
      <w:pPr>
        <w:pStyle w:val="2"/>
        <w:spacing w:before="121" w:line="219" w:lineRule="auto"/>
        <w:ind w:left="1886"/>
        <w:rPr>
          <w:sz w:val="24"/>
          <w:szCs w:val="24"/>
        </w:rPr>
      </w:pPr>
      <w:r>
        <w:rPr>
          <w:spacing w:val="-15"/>
          <w:sz w:val="24"/>
          <w:szCs w:val="24"/>
        </w:rPr>
        <w:t>8、零星拆除</w:t>
      </w:r>
    </w:p>
    <w:p w14:paraId="0136509A">
      <w:pPr>
        <w:pStyle w:val="2"/>
        <w:spacing w:before="114" w:line="217" w:lineRule="auto"/>
        <w:ind w:left="1895"/>
        <w:rPr>
          <w:sz w:val="24"/>
          <w:szCs w:val="24"/>
        </w:rPr>
      </w:pPr>
      <w:r>
        <w:rPr>
          <w:spacing w:val="-21"/>
          <w:sz w:val="24"/>
          <w:szCs w:val="24"/>
        </w:rPr>
        <w:t>过程中遇到其他障碍物，参照以上施工方法，采取人</w:t>
      </w:r>
      <w:r>
        <w:rPr>
          <w:spacing w:val="-22"/>
          <w:sz w:val="24"/>
          <w:szCs w:val="24"/>
        </w:rPr>
        <w:t>工或人工配合机械对其进行拆除。</w:t>
      </w:r>
    </w:p>
    <w:p w14:paraId="602332B8">
      <w:pPr>
        <w:pStyle w:val="2"/>
        <w:spacing w:before="119" w:line="217" w:lineRule="auto"/>
        <w:ind w:left="1886"/>
        <w:rPr>
          <w:sz w:val="24"/>
          <w:szCs w:val="24"/>
        </w:rPr>
      </w:pPr>
      <w:r>
        <w:rPr>
          <w:spacing w:val="-19"/>
          <w:sz w:val="24"/>
          <w:szCs w:val="24"/>
        </w:rPr>
        <w:t>9、拆除工程安全保证措施</w:t>
      </w:r>
    </w:p>
    <w:p w14:paraId="4A17F4FE">
      <w:pPr>
        <w:pStyle w:val="2"/>
        <w:spacing w:before="118" w:line="217" w:lineRule="auto"/>
        <w:ind w:left="1886"/>
        <w:rPr>
          <w:sz w:val="24"/>
          <w:szCs w:val="24"/>
        </w:rPr>
      </w:pPr>
      <w:r>
        <w:rPr>
          <w:spacing w:val="-18"/>
          <w:sz w:val="24"/>
          <w:szCs w:val="24"/>
        </w:rPr>
        <w:t>9.1施工人员安全保证措施</w:t>
      </w:r>
    </w:p>
    <w:p w14:paraId="5D0E620B">
      <w:pPr>
        <w:pStyle w:val="2"/>
        <w:spacing w:before="117" w:line="215" w:lineRule="auto"/>
        <w:ind w:left="1895"/>
        <w:rPr>
          <w:sz w:val="24"/>
          <w:szCs w:val="24"/>
        </w:rPr>
      </w:pPr>
      <w:r>
        <w:rPr>
          <w:spacing w:val="-22"/>
          <w:sz w:val="24"/>
          <w:szCs w:val="24"/>
        </w:rPr>
        <w:t>在施工过程中，每周每月定期组织安全生产学习班，不断加强施工人员的安全教育和学习，</w:t>
      </w:r>
    </w:p>
    <w:p w14:paraId="3574A4EB">
      <w:pPr>
        <w:spacing w:line="215" w:lineRule="auto"/>
        <w:rPr>
          <w:sz w:val="24"/>
          <w:szCs w:val="24"/>
        </w:rPr>
        <w:sectPr>
          <w:footerReference r:id="rId42" w:type="default"/>
          <w:pgSz w:w="11907" w:h="16839"/>
          <w:pgMar w:top="954" w:right="4" w:bottom="1038" w:left="0" w:header="499" w:footer="357" w:gutter="0"/>
          <w:pgBorders>
            <w:top w:val="none" w:sz="0" w:space="0"/>
            <w:left w:val="none" w:sz="0" w:space="0"/>
            <w:bottom w:val="none" w:sz="0" w:space="0"/>
            <w:right w:val="none" w:sz="0" w:space="0"/>
          </w:pgBorders>
          <w:cols w:space="720" w:num="1"/>
        </w:sectPr>
      </w:pPr>
    </w:p>
    <w:p w14:paraId="4E988D69">
      <w:pPr>
        <w:spacing w:line="250" w:lineRule="auto"/>
        <w:rPr>
          <w:rFonts w:ascii="Arial"/>
          <w:sz w:val="21"/>
        </w:rPr>
      </w:pPr>
    </w:p>
    <w:p w14:paraId="46A8A90D">
      <w:pPr>
        <w:pStyle w:val="2"/>
        <w:spacing w:before="78" w:line="216" w:lineRule="auto"/>
        <w:ind w:left="1463"/>
        <w:rPr>
          <w:sz w:val="24"/>
          <w:szCs w:val="24"/>
        </w:rPr>
      </w:pPr>
      <w:r>
        <w:rPr>
          <w:spacing w:val="-22"/>
          <w:sz w:val="24"/>
          <w:szCs w:val="24"/>
        </w:rPr>
        <w:t>强化其自身的安全意识，使施工作业人员自觉地进行规范作业、安全作业，趋利避害。</w:t>
      </w:r>
    </w:p>
    <w:p w14:paraId="6AB8CD6F">
      <w:pPr>
        <w:pStyle w:val="2"/>
        <w:spacing w:before="119" w:line="307" w:lineRule="auto"/>
        <w:ind w:left="1463" w:right="1410" w:firstLine="431"/>
        <w:rPr>
          <w:sz w:val="24"/>
          <w:szCs w:val="24"/>
        </w:rPr>
      </w:pPr>
      <w:r>
        <w:rPr>
          <w:spacing w:val="-20"/>
          <w:sz w:val="24"/>
          <w:szCs w:val="24"/>
        </w:rPr>
        <w:t>对安全员及电工、各种机械操作、高空作业等特殊作业岗位上的人员，上岗前必须进行认</w:t>
      </w:r>
      <w:r>
        <w:rPr>
          <w:spacing w:val="-22"/>
          <w:sz w:val="24"/>
          <w:szCs w:val="24"/>
        </w:rPr>
        <w:t>真的学习培训，经严格考核合格，取得安全施工资格证书后才能上岗作业。</w:t>
      </w:r>
    </w:p>
    <w:p w14:paraId="41A2449F">
      <w:pPr>
        <w:pStyle w:val="2"/>
        <w:spacing w:line="308" w:lineRule="auto"/>
        <w:ind w:left="1460" w:right="1411" w:firstLine="434"/>
        <w:jc w:val="both"/>
        <w:rPr>
          <w:sz w:val="24"/>
          <w:szCs w:val="24"/>
        </w:rPr>
      </w:pPr>
      <w:r>
        <w:rPr>
          <w:spacing w:val="-20"/>
          <w:sz w:val="24"/>
          <w:szCs w:val="24"/>
        </w:rPr>
        <w:t>对安全危险程度较高的作业，每班上岗前，工班长均要进行班前安全讲话，检查施工作业人员自身的安全防护情况，强调施工作业中的安全注意事项。同时，在施工中投入防护网、安</w:t>
      </w:r>
      <w:r>
        <w:rPr>
          <w:spacing w:val="-21"/>
          <w:sz w:val="24"/>
          <w:szCs w:val="24"/>
        </w:rPr>
        <w:t>全绳等相应的安全防护设施，方便施工人员的作业，</w:t>
      </w:r>
      <w:r>
        <w:rPr>
          <w:spacing w:val="-22"/>
          <w:sz w:val="24"/>
          <w:szCs w:val="24"/>
        </w:rPr>
        <w:t>确保其人身安全。</w:t>
      </w:r>
    </w:p>
    <w:p w14:paraId="4926862A">
      <w:pPr>
        <w:pStyle w:val="2"/>
        <w:spacing w:before="1" w:line="307" w:lineRule="auto"/>
        <w:ind w:left="1458" w:right="1409" w:firstLine="435"/>
        <w:rPr>
          <w:sz w:val="24"/>
          <w:szCs w:val="24"/>
        </w:rPr>
      </w:pPr>
      <w:r>
        <w:rPr>
          <w:spacing w:val="-20"/>
          <w:sz w:val="24"/>
          <w:szCs w:val="24"/>
        </w:rPr>
        <w:t>项目经理部、作业队各级组织，每周或不定期对安全生产情况、安全防护设施等进行大检</w:t>
      </w:r>
      <w:r>
        <w:rPr>
          <w:spacing w:val="-21"/>
          <w:sz w:val="24"/>
          <w:szCs w:val="24"/>
        </w:rPr>
        <w:t>查，严格查处存在的安全隐患，并以重罚来强化安全</w:t>
      </w:r>
      <w:r>
        <w:rPr>
          <w:spacing w:val="-22"/>
          <w:sz w:val="24"/>
          <w:szCs w:val="24"/>
        </w:rPr>
        <w:t>作业，杜绝安全漏洞。</w:t>
      </w:r>
    </w:p>
    <w:p w14:paraId="73C54F2A">
      <w:pPr>
        <w:pStyle w:val="2"/>
        <w:spacing w:line="216" w:lineRule="auto"/>
        <w:ind w:left="1886"/>
        <w:rPr>
          <w:sz w:val="24"/>
          <w:szCs w:val="24"/>
        </w:rPr>
      </w:pPr>
      <w:r>
        <w:rPr>
          <w:spacing w:val="-18"/>
          <w:sz w:val="24"/>
          <w:szCs w:val="24"/>
        </w:rPr>
        <w:t>9.2施工技术安全保证措施</w:t>
      </w:r>
    </w:p>
    <w:p w14:paraId="7CC842A3">
      <w:pPr>
        <w:pStyle w:val="2"/>
        <w:spacing w:before="118" w:line="308" w:lineRule="auto"/>
        <w:ind w:left="1467" w:right="1411" w:firstLine="427"/>
        <w:rPr>
          <w:sz w:val="24"/>
          <w:szCs w:val="24"/>
        </w:rPr>
      </w:pPr>
      <w:r>
        <w:rPr>
          <w:spacing w:val="-25"/>
          <w:sz w:val="24"/>
          <w:szCs w:val="24"/>
        </w:rPr>
        <w:t>在危险地点悬挂符合规范要求的标牌，施工现场设置大幅安全宣传标语。危</w:t>
      </w:r>
      <w:r>
        <w:rPr>
          <w:spacing w:val="-26"/>
          <w:sz w:val="24"/>
          <w:szCs w:val="24"/>
        </w:rPr>
        <w:t>险地区悬挂“危</w:t>
      </w:r>
      <w:r>
        <w:rPr>
          <w:spacing w:val="-22"/>
          <w:sz w:val="24"/>
          <w:szCs w:val="24"/>
        </w:rPr>
        <w:t>险”或“禁止通行”、“严禁烟火”等标志，夜间设红灯警示。</w:t>
      </w:r>
    </w:p>
    <w:p w14:paraId="185A9E94">
      <w:pPr>
        <w:pStyle w:val="2"/>
        <w:spacing w:before="1" w:line="308" w:lineRule="auto"/>
        <w:ind w:left="1453" w:right="1409" w:firstLine="440"/>
        <w:rPr>
          <w:sz w:val="24"/>
          <w:szCs w:val="24"/>
        </w:rPr>
      </w:pPr>
      <w:r>
        <w:rPr>
          <w:spacing w:val="-20"/>
          <w:sz w:val="24"/>
          <w:szCs w:val="24"/>
        </w:rPr>
        <w:t>各类房屋、库棚、料场等安全消防距离符合有关规定，现场的易燃杂物随时清理，严禁在</w:t>
      </w:r>
      <w:r>
        <w:rPr>
          <w:spacing w:val="-21"/>
          <w:sz w:val="24"/>
          <w:szCs w:val="24"/>
        </w:rPr>
        <w:t>有火种的场所或其近旁堆放易燃物品。</w:t>
      </w:r>
    </w:p>
    <w:p w14:paraId="010630F1">
      <w:pPr>
        <w:pStyle w:val="2"/>
        <w:spacing w:before="3" w:line="293" w:lineRule="auto"/>
        <w:ind w:left="1475" w:right="1410" w:firstLine="417"/>
        <w:rPr>
          <w:sz w:val="24"/>
          <w:szCs w:val="24"/>
        </w:rPr>
      </w:pPr>
      <w:r>
        <w:rPr>
          <w:spacing w:val="-20"/>
          <w:sz w:val="24"/>
          <w:szCs w:val="24"/>
        </w:rPr>
        <w:t>从事电力、高空作业及起重作业等特殊作业人员，各种机械的操作人员及机动车辆驾驶人</w:t>
      </w:r>
      <w:r>
        <w:rPr>
          <w:spacing w:val="-22"/>
          <w:sz w:val="24"/>
          <w:szCs w:val="24"/>
        </w:rPr>
        <w:t>员，必须经过劳动部门专业培训并考试取得合格证后，方准持证独立操作。</w:t>
      </w:r>
    </w:p>
    <w:p w14:paraId="49D054FB">
      <w:pPr>
        <w:pStyle w:val="2"/>
        <w:spacing w:line="211" w:lineRule="auto"/>
        <w:ind w:left="1981"/>
        <w:outlineLvl w:val="2"/>
        <w:rPr>
          <w:sz w:val="28"/>
          <w:szCs w:val="28"/>
        </w:rPr>
      </w:pPr>
      <w:bookmarkStart w:id="26" w:name="bookmark26"/>
      <w:bookmarkEnd w:id="26"/>
      <w:r>
        <w:rPr>
          <w:b/>
          <w:bCs/>
          <w:spacing w:val="-22"/>
          <w:sz w:val="28"/>
          <w:szCs w:val="28"/>
        </w:rPr>
        <w:t>五、路面、人行道等拆除</w:t>
      </w:r>
    </w:p>
    <w:tbl>
      <w:tblPr>
        <w:tblStyle w:val="6"/>
        <w:tblW w:w="9277" w:type="dxa"/>
        <w:tblInd w:w="1315" w:type="dxa"/>
        <w:tblBorders>
          <w:top w:val="single" w:color="5B9BD5" w:sz="4" w:space="0"/>
          <w:left w:val="single" w:color="5B9BD5" w:sz="4" w:space="0"/>
          <w:bottom w:val="single" w:color="5B9BD5" w:sz="4" w:space="0"/>
          <w:right w:val="single" w:color="5B9BD5" w:sz="4" w:space="0"/>
          <w:insideH w:val="single" w:color="5B9BD5" w:sz="4" w:space="0"/>
          <w:insideV w:val="single" w:color="5B9BD5" w:sz="4" w:space="0"/>
        </w:tblBorders>
        <w:tblLayout w:type="fixed"/>
        <w:tblCellMar>
          <w:top w:w="0" w:type="dxa"/>
          <w:left w:w="0" w:type="dxa"/>
          <w:bottom w:w="0" w:type="dxa"/>
          <w:right w:w="0" w:type="dxa"/>
        </w:tblCellMar>
      </w:tblPr>
      <w:tblGrid>
        <w:gridCol w:w="4519"/>
        <w:gridCol w:w="4758"/>
      </w:tblGrid>
      <w:tr w14:paraId="3435C377">
        <w:tblPrEx>
          <w:tblBorders>
            <w:top w:val="single" w:color="5B9BD5" w:sz="4" w:space="0"/>
            <w:left w:val="single" w:color="5B9BD5" w:sz="4" w:space="0"/>
            <w:bottom w:val="single" w:color="5B9BD5" w:sz="4" w:space="0"/>
            <w:right w:val="single" w:color="5B9BD5" w:sz="4" w:space="0"/>
            <w:insideH w:val="single" w:color="5B9BD5" w:sz="4" w:space="0"/>
            <w:insideV w:val="single" w:color="5B9BD5" w:sz="4" w:space="0"/>
          </w:tblBorders>
          <w:tblCellMar>
            <w:top w:w="0" w:type="dxa"/>
            <w:left w:w="0" w:type="dxa"/>
            <w:bottom w:w="0" w:type="dxa"/>
            <w:right w:w="0" w:type="dxa"/>
          </w:tblCellMar>
        </w:tblPrEx>
        <w:trPr>
          <w:trHeight w:val="3446" w:hRule="atLeast"/>
        </w:trPr>
        <w:tc>
          <w:tcPr>
            <w:tcW w:w="4519" w:type="dxa"/>
            <w:tcBorders>
              <w:right w:val="single" w:color="000000" w:sz="2" w:space="0"/>
            </w:tcBorders>
            <w:shd w:val="clear" w:color="auto" w:fill="DEEAF6"/>
            <w:vAlign w:val="top"/>
          </w:tcPr>
          <w:p w14:paraId="1059D8C9">
            <w:pPr>
              <w:spacing w:line="93" w:lineRule="exact"/>
            </w:pPr>
            <w:r>
              <w:rPr>
                <w:position w:val="-1"/>
              </w:rPr>
              <w:pict>
                <v:group id="_x0000_s1335" o:spid="_x0000_s1335" o:spt="203" style="height:5.2pt;width:227.55pt;" coordsize="4551,103">
                  <o:lock v:ext="edit"/>
                  <v:shape id="_x0000_s1336" o:spid="_x0000_s1336" style="position:absolute;left:0;top:0;height:15;width:44;" fillcolor="#5B9BD5" filled="t" stroked="f" coordsize="44,15" path="m0,14l43,14,43,0,0,0,0,14xe">
                    <v:path/>
                    <v:fill on="t" focussize="0,0"/>
                    <v:stroke on="f"/>
                    <v:imagedata o:title=""/>
                    <o:lock v:ext="edit"/>
                  </v:shape>
                  <v:shape id="_x0000_s1337" o:spid="_x0000_s1337" style="position:absolute;left:43;top:43;height:60;width:4465;" fillcolor="#DEEAF6" filled="t" stroked="f" coordsize="4465,60" path="m0,60l4464,60,4464,0,0,0,0,60xe">
                    <v:path/>
                    <v:fill on="t" focussize="0,0"/>
                    <v:stroke on="f"/>
                    <v:imagedata o:title=""/>
                    <o:lock v:ext="edit"/>
                  </v:shape>
                  <v:shape id="_x0000_s1338" o:spid="_x0000_s1338" style="position:absolute;left:4507;top:0;height:15;width:44;" fillcolor="#5B9BD5" filled="t" stroked="f" coordsize="44,15" path="m0,14l43,14,43,0,0,0,0,14xe">
                    <v:path/>
                    <v:fill on="t" focussize="0,0"/>
                    <v:stroke on="f"/>
                    <v:imagedata o:title=""/>
                    <o:lock v:ext="edit"/>
                  </v:shape>
                  <v:shape id="_x0000_s1339" o:spid="_x0000_s1339" style="position:absolute;left:4507;top:14;height:15;width:44;" fillcolor="#20507B" filled="t" stroked="f" coordsize="44,15" path="m0,14l43,14,43,0,0,0,0,14xe">
                    <v:path/>
                    <v:fill on="t" focussize="0,0"/>
                    <v:stroke on="f"/>
                    <v:imagedata o:title=""/>
                    <o:lock v:ext="edit"/>
                  </v:shape>
                  <v:shape id="_x0000_s1340" o:spid="_x0000_s1340" style="position:absolute;left:4507;top:28;height:15;width:44;" fillcolor="#1C456A" filled="t" stroked="f" coordsize="44,15" path="m0,14l43,14,43,0,0,0,0,14xe">
                    <v:path/>
                    <v:fill on="t" focussize="0,0"/>
                    <v:stroke on="f"/>
                    <v:imagedata o:title=""/>
                    <o:lock v:ext="edit"/>
                  </v:shape>
                  <w10:wrap type="none"/>
                  <w10:anchorlock/>
                </v:group>
              </w:pict>
            </w:r>
          </w:p>
          <w:p w14:paraId="2D153DBD">
            <w:pPr>
              <w:spacing w:before="4" w:line="3093" w:lineRule="exact"/>
              <w:ind w:firstLine="69"/>
            </w:pPr>
            <w:r>
              <w:rPr>
                <w:position w:val="-61"/>
              </w:rPr>
              <w:drawing>
                <wp:inline distT="0" distB="0" distL="0" distR="0">
                  <wp:extent cx="2783840" cy="1964055"/>
                  <wp:effectExtent l="0" t="0" r="0" b="0"/>
                  <wp:docPr id="230" name="IM 230"/>
                  <wp:cNvGraphicFramePr/>
                  <a:graphic xmlns:a="http://schemas.openxmlformats.org/drawingml/2006/main">
                    <a:graphicData uri="http://schemas.openxmlformats.org/drawingml/2006/picture">
                      <pic:pic xmlns:pic="http://schemas.openxmlformats.org/drawingml/2006/picture">
                        <pic:nvPicPr>
                          <pic:cNvPr id="230" name="IM 230"/>
                          <pic:cNvPicPr/>
                        </pic:nvPicPr>
                        <pic:blipFill>
                          <a:blip r:embed="rId472"/>
                          <a:stretch>
                            <a:fillRect/>
                          </a:stretch>
                        </pic:blipFill>
                        <pic:spPr>
                          <a:xfrm>
                            <a:off x="0" y="0"/>
                            <a:ext cx="2783840" cy="1964055"/>
                          </a:xfrm>
                          <a:prstGeom prst="rect">
                            <a:avLst/>
                          </a:prstGeom>
                        </pic:spPr>
                      </pic:pic>
                    </a:graphicData>
                  </a:graphic>
                </wp:inline>
              </w:drawing>
            </w:r>
          </w:p>
          <w:p w14:paraId="696F5977">
            <w:pPr>
              <w:spacing w:before="162" w:line="83" w:lineRule="exact"/>
            </w:pPr>
            <w:r>
              <w:rPr>
                <w:position w:val="-3"/>
              </w:rPr>
              <w:pict>
                <v:group id="_x0000_s1341" o:spid="_x0000_s1341" o:spt="203" style="height:5.2pt;width:225.65pt;" coordsize="4512,103">
                  <o:lock v:ext="edit"/>
                  <v:shape id="_x0000_s1342" o:spid="_x0000_s1342" style="position:absolute;left:21;top:0;height:58;width:4491;" fillcolor="#DEEAF6" filled="t" stroked="f" coordsize="4491,58" path="m0,57l4490,57,4490,0,0,0,0,57xe">
                    <v:path/>
                    <v:fill on="t" focussize="0,0"/>
                    <v:stroke on="f"/>
                    <v:imagedata o:title=""/>
                    <o:lock v:ext="edit"/>
                  </v:shape>
                  <v:shape id="_x0000_s1343" o:spid="_x0000_s1343" style="position:absolute;left:0;top:88;height:15;width:44;" fillcolor="#5B9BD5" filled="t" stroked="f" coordsize="44,15" path="m0,14l43,14,43,0,0,0,0,14xe">
                    <v:path/>
                    <v:fill on="t" focussize="0,0"/>
                    <v:stroke on="f"/>
                    <v:imagedata o:title=""/>
                    <o:lock v:ext="edit"/>
                  </v:shape>
                  <v:shape id="_x0000_s1344" o:spid="_x0000_s1344" style="position:absolute;left:43;top:60;height:15;width:4465;" fillcolor="#1C456A" filled="t" stroked="f" coordsize="4465,15" path="m0,14l4464,14,4464,0,0,0,0,14xe">
                    <v:path/>
                    <v:fill on="t" focussize="0,0"/>
                    <v:stroke on="f"/>
                    <v:imagedata o:title=""/>
                    <o:lock v:ext="edit"/>
                  </v:shape>
                  <w10:wrap type="none"/>
                  <w10:anchorlock/>
                </v:group>
              </w:pict>
            </w:r>
          </w:p>
        </w:tc>
        <w:tc>
          <w:tcPr>
            <w:tcW w:w="4758" w:type="dxa"/>
            <w:tcBorders>
              <w:left w:val="single" w:color="000000" w:sz="2" w:space="0"/>
            </w:tcBorders>
            <w:shd w:val="clear" w:color="auto" w:fill="DEEAF6"/>
            <w:vAlign w:val="top"/>
          </w:tcPr>
          <w:p w14:paraId="56584BF6">
            <w:pPr>
              <w:spacing w:before="89" w:line="3108" w:lineRule="exact"/>
              <w:ind w:firstLine="42"/>
            </w:pPr>
            <w:r>
              <w:pict>
                <v:group id="_x0000_s1345" o:spid="_x0000_s1345" o:spt="203" style="position:absolute;left:0pt;margin-left:-0.55pt;margin-top:0pt;height:173.35pt;width:238.75pt;mso-position-horizontal-relative:page;mso-position-vertical-relative:page;z-index:251710464;mso-width-relative:page;mso-height-relative:page;" coordsize="4775,3467">
                  <o:lock v:ext="edit"/>
                  <v:group id="_x0000_s1346" o:spid="_x0000_s1346" o:spt="203" style="position:absolute;left:0;top:3362;height:103;width:4775;" coordsize="4775,103">
                    <o:lock v:ext="edit"/>
                    <v:shape id="_x0000_s1347" o:spid="_x0000_s1347" style="position:absolute;left:0;top:0;height:58;width:4752;" fillcolor="#DEEAF6" filled="t" stroked="f" coordsize="4752,58" path="m0,57l4752,57,4752,0,0,0,0,57xe">
                      <v:path/>
                      <v:fill on="t" focussize="0,0"/>
                      <v:stroke on="f"/>
                      <v:imagedata o:title=""/>
                      <o:lock v:ext="edit"/>
                    </v:shape>
                    <v:shape id="_x0000_s1348" o:spid="_x0000_s1348" style="position:absolute;left:38;top:60;height:15;width:4692;" fillcolor="#1C456A" filled="t" stroked="f" coordsize="4692,15" path="m0,14l4692,14,4692,0,0,0,0,14xe">
                      <v:path/>
                      <v:fill on="t" focussize="0,0"/>
                      <v:stroke on="f"/>
                      <v:imagedata o:title=""/>
                      <o:lock v:ext="edit"/>
                    </v:shape>
                    <v:shape id="_x0000_s1349" o:spid="_x0000_s1349" style="position:absolute;left:4731;top:88;height:15;width:44;" fillcolor="#5B9BD5" filled="t" stroked="f" coordsize="44,15" path="m0,14l43,14,43,0,0,0,0,14xe">
                      <v:path/>
                      <v:fill on="t" focussize="0,0"/>
                      <v:stroke on="f"/>
                      <v:imagedata o:title=""/>
                      <o:lock v:ext="edit"/>
                    </v:shape>
                  </v:group>
                  <v:group id="_x0000_s1350" o:spid="_x0000_s1350" o:spt="203" style="position:absolute;left:38;top:0;height:103;width:4737;" coordsize="4737,103">
                    <o:lock v:ext="edit"/>
                    <v:shape id="_x0000_s1351" o:spid="_x0000_s1351" style="position:absolute;left:0;top:43;height:60;width:4692;" fillcolor="#DEEAF6" filled="t" stroked="f" coordsize="4692,60" path="m0,60l4692,60,4692,0,0,0,0,60xe">
                      <v:path/>
                      <v:fill on="t" focussize="0,0"/>
                      <v:stroke on="f"/>
                      <v:imagedata o:title=""/>
                      <o:lock v:ext="edit"/>
                    </v:shape>
                    <v:shape id="_x0000_s1352" o:spid="_x0000_s1352" style="position:absolute;left:4692;top:0;height:15;width:44;" fillcolor="#5B9BD5" filled="t" stroked="f" coordsize="44,15" path="m0,14l43,14,43,0,0,0,0,14xe">
                      <v:path/>
                      <v:fill on="t" focussize="0,0"/>
                      <v:stroke on="f"/>
                      <v:imagedata o:title=""/>
                      <o:lock v:ext="edit"/>
                    </v:shape>
                  </v:group>
                </v:group>
              </w:pict>
            </w:r>
            <w:r>
              <w:rPr>
                <w:position w:val="-62"/>
              </w:rPr>
              <w:drawing>
                <wp:inline distT="0" distB="0" distL="0" distR="0">
                  <wp:extent cx="2962275" cy="1972945"/>
                  <wp:effectExtent l="0" t="0" r="0" b="0"/>
                  <wp:docPr id="232" name="IM 232"/>
                  <wp:cNvGraphicFramePr/>
                  <a:graphic xmlns:a="http://schemas.openxmlformats.org/drawingml/2006/main">
                    <a:graphicData uri="http://schemas.openxmlformats.org/drawingml/2006/picture">
                      <pic:pic xmlns:pic="http://schemas.openxmlformats.org/drawingml/2006/picture">
                        <pic:nvPicPr>
                          <pic:cNvPr id="232" name="IM 232"/>
                          <pic:cNvPicPr/>
                        </pic:nvPicPr>
                        <pic:blipFill>
                          <a:blip r:embed="rId473"/>
                          <a:stretch>
                            <a:fillRect/>
                          </a:stretch>
                        </pic:blipFill>
                        <pic:spPr>
                          <a:xfrm>
                            <a:off x="0" y="0"/>
                            <a:ext cx="2962909" cy="1973579"/>
                          </a:xfrm>
                          <a:prstGeom prst="rect">
                            <a:avLst/>
                          </a:prstGeom>
                        </pic:spPr>
                      </pic:pic>
                    </a:graphicData>
                  </a:graphic>
                </wp:inline>
              </w:drawing>
            </w:r>
          </w:p>
        </w:tc>
      </w:tr>
    </w:tbl>
    <w:p w14:paraId="6A65D761">
      <w:pPr>
        <w:pStyle w:val="2"/>
        <w:spacing w:before="115" w:line="216" w:lineRule="auto"/>
        <w:ind w:left="1903"/>
        <w:rPr>
          <w:sz w:val="24"/>
          <w:szCs w:val="24"/>
        </w:rPr>
      </w:pPr>
      <w:r>
        <w:rPr>
          <w:spacing w:val="-20"/>
          <w:sz w:val="24"/>
          <w:szCs w:val="24"/>
        </w:rPr>
        <w:t>1、施工前的准备工作：</w:t>
      </w:r>
    </w:p>
    <w:p w14:paraId="317FF1A0">
      <w:pPr>
        <w:pStyle w:val="2"/>
        <w:spacing w:before="121" w:line="215" w:lineRule="auto"/>
        <w:ind w:left="1903"/>
        <w:rPr>
          <w:sz w:val="24"/>
          <w:szCs w:val="24"/>
        </w:rPr>
      </w:pPr>
      <w:r>
        <w:rPr>
          <w:spacing w:val="-21"/>
          <w:sz w:val="24"/>
          <w:szCs w:val="24"/>
        </w:rPr>
        <w:t>1.1首先组织现场情况核实，与图纸内容是否一致，并在图纸上编注和说明。</w:t>
      </w:r>
    </w:p>
    <w:p w14:paraId="2C7003BF">
      <w:pPr>
        <w:pStyle w:val="2"/>
        <w:spacing w:before="118" w:line="263" w:lineRule="auto"/>
        <w:ind w:left="1455" w:right="1409" w:firstLine="447"/>
        <w:rPr>
          <w:sz w:val="24"/>
          <w:szCs w:val="24"/>
        </w:rPr>
      </w:pPr>
      <w:r>
        <w:rPr>
          <w:spacing w:val="-23"/>
          <w:sz w:val="24"/>
          <w:szCs w:val="24"/>
        </w:rPr>
        <w:t>1.2进行详细的书面技术交底，提供原建筑物的图纸及地质资</w:t>
      </w:r>
      <w:r>
        <w:rPr>
          <w:spacing w:val="-24"/>
          <w:sz w:val="24"/>
          <w:szCs w:val="24"/>
        </w:rPr>
        <w:t>料，切断和封堵通往被拆除区</w:t>
      </w:r>
      <w:r>
        <w:rPr>
          <w:spacing w:val="-22"/>
          <w:sz w:val="24"/>
          <w:szCs w:val="24"/>
        </w:rPr>
        <w:t>域内的一切水、电、通风等线路及各种管道。</w:t>
      </w:r>
    </w:p>
    <w:p w14:paraId="72B79A7A">
      <w:pPr>
        <w:pStyle w:val="2"/>
        <w:spacing w:before="118" w:line="295" w:lineRule="auto"/>
        <w:ind w:left="1455" w:right="1387" w:firstLine="447"/>
        <w:rPr>
          <w:sz w:val="24"/>
          <w:szCs w:val="24"/>
        </w:rPr>
      </w:pPr>
      <w:r>
        <w:rPr>
          <w:spacing w:val="-23"/>
          <w:sz w:val="24"/>
          <w:szCs w:val="24"/>
        </w:rPr>
        <w:t>1.3准备拆除所需要的设备及物资，拆除施工开始前技术负责人对拆除区域内的技术交底，</w:t>
      </w:r>
      <w:r>
        <w:rPr>
          <w:spacing w:val="-20"/>
          <w:sz w:val="24"/>
          <w:szCs w:val="24"/>
        </w:rPr>
        <w:t>地上、地下障碍物的书面交底，双方做好记录。组织工长、安全员及施工人员要认真熟悉和掌握施工范围及结构特点，清楚地上、地下障碍物和制订安全措施，要有严格的安全和施工工艺的记录。设专人对拆除周围设置警戒线，并派专人看护阻止非施工人员进入现场，以防安全事故发生。在施工现场，乙方在拆除前准备水车防尘。组织施工有关人员商讨、研究，编制施工组织设计。根据现场情况及工程安排，准备必要机械设备、材料、人员等进场，并提前做好关</w:t>
      </w:r>
      <w:r>
        <w:rPr>
          <w:spacing w:val="-19"/>
          <w:sz w:val="24"/>
          <w:szCs w:val="24"/>
        </w:rPr>
        <w:t>键路口的安全标记及指挥。拆除施工中必须采取降尘措施，施工现</w:t>
      </w:r>
      <w:r>
        <w:rPr>
          <w:spacing w:val="-20"/>
          <w:sz w:val="24"/>
          <w:szCs w:val="24"/>
        </w:rPr>
        <w:t>场采取低噪音、低粉尘的施</w:t>
      </w:r>
    </w:p>
    <w:p w14:paraId="5DB9E6E1">
      <w:pPr>
        <w:spacing w:line="295" w:lineRule="auto"/>
        <w:rPr>
          <w:sz w:val="24"/>
          <w:szCs w:val="24"/>
        </w:rPr>
        <w:sectPr>
          <w:footerReference r:id="rId43" w:type="default"/>
          <w:pgSz w:w="11907" w:h="16839"/>
          <w:pgMar w:top="954" w:right="4" w:bottom="1038" w:left="0" w:header="499" w:footer="357" w:gutter="0"/>
          <w:pgBorders>
            <w:top w:val="none" w:sz="0" w:space="0"/>
            <w:left w:val="none" w:sz="0" w:space="0"/>
            <w:bottom w:val="none" w:sz="0" w:space="0"/>
            <w:right w:val="none" w:sz="0" w:space="0"/>
          </w:pgBorders>
          <w:cols w:space="720" w:num="1"/>
        </w:sectPr>
      </w:pPr>
    </w:p>
    <w:p w14:paraId="738A718E">
      <w:pPr>
        <w:spacing w:line="251" w:lineRule="auto"/>
        <w:rPr>
          <w:rFonts w:ascii="Arial"/>
          <w:sz w:val="21"/>
        </w:rPr>
      </w:pPr>
    </w:p>
    <w:p w14:paraId="36FE15B5">
      <w:pPr>
        <w:pStyle w:val="2"/>
        <w:spacing w:before="78" w:line="220" w:lineRule="auto"/>
        <w:ind w:left="1462"/>
        <w:rPr>
          <w:sz w:val="24"/>
          <w:szCs w:val="24"/>
        </w:rPr>
      </w:pPr>
      <w:r>
        <w:rPr>
          <w:spacing w:val="-17"/>
          <w:sz w:val="24"/>
          <w:szCs w:val="24"/>
        </w:rPr>
        <w:t>工方法。</w:t>
      </w:r>
    </w:p>
    <w:p w14:paraId="31F76E10">
      <w:pPr>
        <w:pStyle w:val="2"/>
        <w:spacing w:before="114" w:line="218" w:lineRule="auto"/>
        <w:ind w:left="1888"/>
        <w:rPr>
          <w:sz w:val="24"/>
          <w:szCs w:val="24"/>
        </w:rPr>
      </w:pPr>
      <w:r>
        <w:rPr>
          <w:spacing w:val="-18"/>
          <w:sz w:val="24"/>
          <w:szCs w:val="24"/>
        </w:rPr>
        <w:t>2、拆除方法施工顺序</w:t>
      </w:r>
    </w:p>
    <w:p w14:paraId="57B1FFB3">
      <w:pPr>
        <w:pStyle w:val="2"/>
        <w:spacing w:before="114" w:line="216" w:lineRule="auto"/>
        <w:ind w:left="1888"/>
        <w:rPr>
          <w:sz w:val="24"/>
          <w:szCs w:val="24"/>
        </w:rPr>
      </w:pPr>
      <w:r>
        <w:rPr>
          <w:spacing w:val="-20"/>
          <w:sz w:val="24"/>
          <w:szCs w:val="24"/>
        </w:rPr>
        <w:t>2.1首先检查各层的安全通道情况，各层必</w:t>
      </w:r>
      <w:r>
        <w:rPr>
          <w:spacing w:val="-21"/>
          <w:sz w:val="24"/>
          <w:szCs w:val="24"/>
        </w:rPr>
        <w:t>须保持各通道畅通无阻。</w:t>
      </w:r>
    </w:p>
    <w:p w14:paraId="663F90E7">
      <w:pPr>
        <w:pStyle w:val="2"/>
        <w:spacing w:before="121" w:line="262" w:lineRule="auto"/>
        <w:ind w:left="1455" w:right="1409" w:firstLine="432"/>
        <w:rPr>
          <w:sz w:val="24"/>
          <w:szCs w:val="24"/>
        </w:rPr>
      </w:pPr>
      <w:r>
        <w:rPr>
          <w:spacing w:val="-23"/>
          <w:sz w:val="24"/>
          <w:szCs w:val="24"/>
        </w:rPr>
        <w:t>2.2作好一些原有设施、重要部位、部件的防护保护工作。特别是运送物品的设备要用大芯</w:t>
      </w:r>
      <w:r>
        <w:rPr>
          <w:spacing w:val="-20"/>
          <w:sz w:val="24"/>
          <w:szCs w:val="24"/>
        </w:rPr>
        <w:t>板做好防护后方能运送货物。</w:t>
      </w:r>
    </w:p>
    <w:p w14:paraId="542D1AAF">
      <w:pPr>
        <w:pStyle w:val="2"/>
        <w:spacing w:before="117" w:line="217" w:lineRule="auto"/>
        <w:ind w:left="1888"/>
        <w:rPr>
          <w:sz w:val="24"/>
          <w:szCs w:val="24"/>
        </w:rPr>
      </w:pPr>
      <w:r>
        <w:rPr>
          <w:spacing w:val="-20"/>
          <w:sz w:val="24"/>
          <w:szCs w:val="24"/>
        </w:rPr>
        <w:t>2.3将拆除区域内的易燃易爆品包括废纸、纺织品、木制</w:t>
      </w:r>
      <w:r>
        <w:rPr>
          <w:spacing w:val="-21"/>
          <w:sz w:val="24"/>
          <w:szCs w:val="24"/>
        </w:rPr>
        <w:t>品等集中外运。</w:t>
      </w:r>
    </w:p>
    <w:p w14:paraId="45027EC0">
      <w:pPr>
        <w:pStyle w:val="2"/>
        <w:spacing w:before="118" w:line="218" w:lineRule="auto"/>
        <w:ind w:left="1888"/>
        <w:rPr>
          <w:sz w:val="24"/>
          <w:szCs w:val="24"/>
        </w:rPr>
      </w:pPr>
      <w:r>
        <w:rPr>
          <w:spacing w:val="-18"/>
          <w:sz w:val="24"/>
          <w:szCs w:val="24"/>
        </w:rPr>
        <w:t>2.4从上往下顺次拆除。</w:t>
      </w:r>
    </w:p>
    <w:p w14:paraId="26A9CEF6">
      <w:pPr>
        <w:pStyle w:val="2"/>
        <w:spacing w:before="118" w:line="215" w:lineRule="auto"/>
        <w:ind w:left="1888"/>
        <w:rPr>
          <w:sz w:val="24"/>
          <w:szCs w:val="24"/>
        </w:rPr>
      </w:pPr>
      <w:r>
        <w:rPr>
          <w:spacing w:val="-20"/>
          <w:sz w:val="24"/>
          <w:szCs w:val="24"/>
        </w:rPr>
        <w:t>2.5拆除建筑垃圾装车外运。</w:t>
      </w:r>
    </w:p>
    <w:p w14:paraId="50F39F54">
      <w:pPr>
        <w:pStyle w:val="2"/>
        <w:spacing w:before="118" w:line="217" w:lineRule="auto"/>
        <w:ind w:left="1888"/>
        <w:rPr>
          <w:sz w:val="24"/>
          <w:szCs w:val="24"/>
        </w:rPr>
      </w:pPr>
      <w:r>
        <w:rPr>
          <w:spacing w:val="-19"/>
          <w:sz w:val="24"/>
          <w:szCs w:val="24"/>
        </w:rPr>
        <w:t>2.6清理各路层遗留物及垃圾等。</w:t>
      </w:r>
    </w:p>
    <w:p w14:paraId="793C7E12">
      <w:pPr>
        <w:pStyle w:val="2"/>
        <w:spacing w:before="119" w:line="218" w:lineRule="auto"/>
        <w:ind w:left="1888"/>
        <w:rPr>
          <w:sz w:val="24"/>
          <w:szCs w:val="24"/>
        </w:rPr>
      </w:pPr>
      <w:r>
        <w:rPr>
          <w:spacing w:val="-20"/>
          <w:sz w:val="24"/>
          <w:szCs w:val="24"/>
        </w:rPr>
        <w:t>2.7清理现场、竣工验收。防震、减少噪音措施</w:t>
      </w:r>
    </w:p>
    <w:p w14:paraId="5F9515A2">
      <w:pPr>
        <w:pStyle w:val="2"/>
        <w:spacing w:before="119" w:line="217" w:lineRule="auto"/>
        <w:ind w:left="1890"/>
        <w:rPr>
          <w:sz w:val="24"/>
          <w:szCs w:val="24"/>
        </w:rPr>
      </w:pPr>
      <w:r>
        <w:rPr>
          <w:spacing w:val="-18"/>
          <w:sz w:val="24"/>
          <w:szCs w:val="24"/>
        </w:rPr>
        <w:t>3、其他要求</w:t>
      </w:r>
    </w:p>
    <w:p w14:paraId="7D9C2BC9">
      <w:pPr>
        <w:pStyle w:val="2"/>
        <w:spacing w:before="115" w:line="216" w:lineRule="auto"/>
        <w:ind w:left="1890"/>
        <w:rPr>
          <w:sz w:val="24"/>
          <w:szCs w:val="24"/>
        </w:rPr>
      </w:pPr>
      <w:r>
        <w:rPr>
          <w:spacing w:val="-20"/>
          <w:sz w:val="24"/>
          <w:szCs w:val="24"/>
        </w:rPr>
        <w:t>3.1本工程大多采用性能好、噪音低、振动小的机具及设</w:t>
      </w:r>
      <w:r>
        <w:rPr>
          <w:spacing w:val="-21"/>
          <w:sz w:val="24"/>
          <w:szCs w:val="24"/>
        </w:rPr>
        <w:t>备。</w:t>
      </w:r>
    </w:p>
    <w:p w14:paraId="74242D5D">
      <w:pPr>
        <w:pStyle w:val="2"/>
        <w:spacing w:before="120" w:line="217" w:lineRule="auto"/>
        <w:ind w:left="1890"/>
        <w:rPr>
          <w:sz w:val="24"/>
          <w:szCs w:val="24"/>
        </w:rPr>
      </w:pPr>
      <w:r>
        <w:rPr>
          <w:spacing w:val="-20"/>
          <w:sz w:val="24"/>
          <w:szCs w:val="24"/>
        </w:rPr>
        <w:t>3.2不破坏任何主体结构及其他保留物。</w:t>
      </w:r>
    </w:p>
    <w:p w14:paraId="1BC44555">
      <w:pPr>
        <w:pStyle w:val="2"/>
        <w:spacing w:before="119" w:line="215" w:lineRule="auto"/>
        <w:ind w:left="1890"/>
        <w:rPr>
          <w:sz w:val="24"/>
          <w:szCs w:val="24"/>
        </w:rPr>
      </w:pPr>
      <w:r>
        <w:rPr>
          <w:spacing w:val="-19"/>
          <w:sz w:val="24"/>
          <w:szCs w:val="24"/>
        </w:rPr>
        <w:t>3.3运输车辆在场区及居民区行驶速度控制在5公里/小时内</w:t>
      </w:r>
      <w:r>
        <w:rPr>
          <w:spacing w:val="-20"/>
          <w:sz w:val="24"/>
          <w:szCs w:val="24"/>
        </w:rPr>
        <w:t>，禁止鸣笛、哄油门。</w:t>
      </w:r>
    </w:p>
    <w:p w14:paraId="6C0052AF">
      <w:pPr>
        <w:pStyle w:val="2"/>
        <w:spacing w:before="119" w:line="215" w:lineRule="auto"/>
        <w:ind w:left="1890"/>
        <w:rPr>
          <w:sz w:val="24"/>
          <w:szCs w:val="24"/>
        </w:rPr>
      </w:pPr>
      <w:r>
        <w:rPr>
          <w:spacing w:val="-20"/>
          <w:sz w:val="24"/>
          <w:szCs w:val="24"/>
        </w:rPr>
        <w:t>3.4人员在施工其他场所或经过时，禁止大声喧哗。</w:t>
      </w:r>
    </w:p>
    <w:p w14:paraId="6FE31A5F">
      <w:pPr>
        <w:pStyle w:val="2"/>
        <w:spacing w:before="121" w:line="217" w:lineRule="auto"/>
        <w:ind w:left="1890"/>
        <w:rPr>
          <w:sz w:val="24"/>
          <w:szCs w:val="24"/>
        </w:rPr>
      </w:pPr>
      <w:r>
        <w:rPr>
          <w:spacing w:val="-18"/>
          <w:sz w:val="24"/>
          <w:szCs w:val="24"/>
        </w:rPr>
        <w:t>3.5装卸物品时轻拿轻放。</w:t>
      </w:r>
    </w:p>
    <w:p w14:paraId="7898C803">
      <w:pPr>
        <w:pStyle w:val="2"/>
        <w:spacing w:before="119" w:line="219" w:lineRule="auto"/>
        <w:ind w:left="1884"/>
        <w:rPr>
          <w:sz w:val="24"/>
          <w:szCs w:val="24"/>
        </w:rPr>
      </w:pPr>
      <w:r>
        <w:rPr>
          <w:spacing w:val="-17"/>
          <w:sz w:val="24"/>
          <w:szCs w:val="24"/>
        </w:rPr>
        <w:t>4、路面拆除</w:t>
      </w:r>
    </w:p>
    <w:p w14:paraId="5EF739EB">
      <w:pPr>
        <w:pStyle w:val="2"/>
        <w:spacing w:before="114" w:line="218" w:lineRule="auto"/>
        <w:ind w:left="1884"/>
        <w:rPr>
          <w:sz w:val="24"/>
          <w:szCs w:val="24"/>
        </w:rPr>
      </w:pPr>
      <w:r>
        <w:rPr>
          <w:spacing w:val="-14"/>
          <w:sz w:val="24"/>
          <w:szCs w:val="24"/>
        </w:rPr>
        <w:t>4.1施工准备</w:t>
      </w:r>
    </w:p>
    <w:p w14:paraId="580E65CE">
      <w:pPr>
        <w:pStyle w:val="2"/>
        <w:spacing w:before="116" w:line="308" w:lineRule="auto"/>
        <w:ind w:left="1463" w:right="1410" w:firstLine="434"/>
        <w:rPr>
          <w:sz w:val="24"/>
          <w:szCs w:val="24"/>
        </w:rPr>
      </w:pPr>
      <w:r>
        <w:rPr>
          <w:spacing w:val="-20"/>
          <w:sz w:val="24"/>
          <w:szCs w:val="24"/>
        </w:rPr>
        <w:t>原有路面凿除采用人工配合机械进行作业，大面积作业时，采用挖掘机、推土机、装载机等机械配合，小面积的采用空压机带动风镐，电钻的设备进行凿除，在凿除破损路面时，应该</w:t>
      </w:r>
      <w:r>
        <w:rPr>
          <w:spacing w:val="-19"/>
          <w:sz w:val="24"/>
          <w:szCs w:val="24"/>
        </w:rPr>
        <w:t>注意以下几点：</w:t>
      </w:r>
    </w:p>
    <w:p w14:paraId="1D22A767">
      <w:pPr>
        <w:pStyle w:val="2"/>
        <w:spacing w:before="1" w:line="215" w:lineRule="auto"/>
        <w:ind w:left="1884"/>
        <w:rPr>
          <w:sz w:val="24"/>
          <w:szCs w:val="24"/>
        </w:rPr>
      </w:pPr>
      <w:r>
        <w:rPr>
          <w:spacing w:val="-20"/>
          <w:sz w:val="24"/>
          <w:szCs w:val="24"/>
        </w:rPr>
        <w:t>4.1.1在凿除前必须经过测量放样，避免盲目</w:t>
      </w:r>
      <w:r>
        <w:rPr>
          <w:spacing w:val="-21"/>
          <w:sz w:val="24"/>
          <w:szCs w:val="24"/>
        </w:rPr>
        <w:t>的施工，而造成成本增加；</w:t>
      </w:r>
    </w:p>
    <w:p w14:paraId="6C9A6DCF">
      <w:pPr>
        <w:pStyle w:val="2"/>
        <w:spacing w:before="120" w:line="217" w:lineRule="auto"/>
        <w:ind w:left="1884"/>
        <w:rPr>
          <w:sz w:val="24"/>
          <w:szCs w:val="24"/>
        </w:rPr>
      </w:pPr>
      <w:r>
        <w:rPr>
          <w:spacing w:val="-18"/>
          <w:sz w:val="24"/>
          <w:szCs w:val="24"/>
        </w:rPr>
        <w:t>4.1.2凿除的深度必须符合设计要求；</w:t>
      </w:r>
    </w:p>
    <w:p w14:paraId="471677D8">
      <w:pPr>
        <w:pStyle w:val="2"/>
        <w:spacing w:before="117" w:line="215" w:lineRule="auto"/>
        <w:ind w:left="1884"/>
        <w:rPr>
          <w:sz w:val="24"/>
          <w:szCs w:val="24"/>
        </w:rPr>
      </w:pPr>
      <w:r>
        <w:rPr>
          <w:spacing w:val="-20"/>
          <w:sz w:val="24"/>
          <w:szCs w:val="24"/>
        </w:rPr>
        <w:t>4.1.3在施工过程中，必须做好保通措施，避免影响</w:t>
      </w:r>
      <w:r>
        <w:rPr>
          <w:spacing w:val="-21"/>
          <w:sz w:val="24"/>
          <w:szCs w:val="24"/>
        </w:rPr>
        <w:t>车辆的行驶；</w:t>
      </w:r>
    </w:p>
    <w:p w14:paraId="671E7D37">
      <w:pPr>
        <w:pStyle w:val="2"/>
        <w:spacing w:before="121" w:line="216" w:lineRule="auto"/>
        <w:ind w:left="1884"/>
        <w:rPr>
          <w:sz w:val="24"/>
          <w:szCs w:val="24"/>
        </w:rPr>
      </w:pPr>
      <w:r>
        <w:rPr>
          <w:spacing w:val="-19"/>
          <w:sz w:val="24"/>
          <w:szCs w:val="24"/>
        </w:rPr>
        <w:t>4.1.4做到工地排水畅通，指定专人负责挖沟、</w:t>
      </w:r>
      <w:r>
        <w:rPr>
          <w:spacing w:val="-20"/>
          <w:sz w:val="24"/>
          <w:szCs w:val="24"/>
        </w:rPr>
        <w:t>疏导排水等工作；</w:t>
      </w:r>
    </w:p>
    <w:p w14:paraId="26F679CC">
      <w:pPr>
        <w:pStyle w:val="2"/>
        <w:spacing w:before="120" w:line="215" w:lineRule="auto"/>
        <w:ind w:left="1884"/>
        <w:rPr>
          <w:sz w:val="24"/>
          <w:szCs w:val="24"/>
        </w:rPr>
      </w:pPr>
      <w:r>
        <w:rPr>
          <w:spacing w:val="-19"/>
          <w:sz w:val="24"/>
          <w:szCs w:val="24"/>
        </w:rPr>
        <w:t>4.1.5在低洼地段和工程不良地质路基段尽量避</w:t>
      </w:r>
      <w:r>
        <w:rPr>
          <w:spacing w:val="-20"/>
          <w:sz w:val="24"/>
          <w:szCs w:val="24"/>
        </w:rPr>
        <w:t>开雨季施工。</w:t>
      </w:r>
    </w:p>
    <w:p w14:paraId="513922D3">
      <w:pPr>
        <w:pStyle w:val="2"/>
        <w:spacing w:before="119" w:line="216" w:lineRule="auto"/>
        <w:ind w:left="1884"/>
        <w:rPr>
          <w:sz w:val="24"/>
          <w:szCs w:val="24"/>
        </w:rPr>
      </w:pPr>
      <w:r>
        <w:rPr>
          <w:spacing w:val="-19"/>
          <w:sz w:val="24"/>
          <w:szCs w:val="24"/>
        </w:rPr>
        <w:t>4.1.6雨季施工时，必须作好气象资料的收集与整理。</w:t>
      </w:r>
    </w:p>
    <w:p w14:paraId="68F109D1">
      <w:pPr>
        <w:pStyle w:val="2"/>
        <w:spacing w:before="120" w:line="218" w:lineRule="auto"/>
        <w:ind w:left="1884"/>
        <w:rPr>
          <w:sz w:val="24"/>
          <w:szCs w:val="24"/>
        </w:rPr>
      </w:pPr>
      <w:r>
        <w:rPr>
          <w:spacing w:val="-19"/>
          <w:sz w:val="24"/>
          <w:szCs w:val="24"/>
        </w:rPr>
        <w:t>4.1.7协调安排施工计划，合理调整雨季施工任务量。</w:t>
      </w:r>
    </w:p>
    <w:p w14:paraId="7485705C">
      <w:pPr>
        <w:pStyle w:val="2"/>
        <w:spacing w:before="118" w:line="219" w:lineRule="auto"/>
        <w:ind w:left="1884"/>
        <w:rPr>
          <w:sz w:val="24"/>
          <w:szCs w:val="24"/>
        </w:rPr>
      </w:pPr>
      <w:r>
        <w:rPr>
          <w:spacing w:val="-14"/>
          <w:sz w:val="24"/>
          <w:szCs w:val="24"/>
        </w:rPr>
        <w:t>4.2施工测量</w:t>
      </w:r>
    </w:p>
    <w:p w14:paraId="5347F0D8">
      <w:pPr>
        <w:pStyle w:val="2"/>
        <w:spacing w:before="115" w:line="308" w:lineRule="auto"/>
        <w:ind w:left="1457" w:right="1409" w:firstLine="466"/>
        <w:rPr>
          <w:sz w:val="24"/>
          <w:szCs w:val="24"/>
        </w:rPr>
      </w:pPr>
      <w:r>
        <w:rPr>
          <w:spacing w:val="-20"/>
          <w:sz w:val="24"/>
          <w:szCs w:val="24"/>
        </w:rPr>
        <w:t>由测量人员根据设计图纸放出管线中心线及井位，再根据管</w:t>
      </w:r>
      <w:r>
        <w:rPr>
          <w:spacing w:val="-21"/>
          <w:sz w:val="24"/>
          <w:szCs w:val="24"/>
        </w:rPr>
        <w:t>中线及基坑开挖要求，放出基</w:t>
      </w:r>
      <w:r>
        <w:rPr>
          <w:spacing w:val="-15"/>
          <w:sz w:val="24"/>
          <w:szCs w:val="24"/>
        </w:rPr>
        <w:t>坑边线。</w:t>
      </w:r>
    </w:p>
    <w:p w14:paraId="23ECC0FD">
      <w:pPr>
        <w:pStyle w:val="2"/>
        <w:spacing w:line="217" w:lineRule="auto"/>
        <w:ind w:left="1894"/>
        <w:rPr>
          <w:sz w:val="24"/>
          <w:szCs w:val="24"/>
        </w:rPr>
      </w:pPr>
      <w:r>
        <w:rPr>
          <w:spacing w:val="-22"/>
          <w:sz w:val="24"/>
          <w:szCs w:val="24"/>
        </w:rPr>
        <w:t>将施工地段的原地标高复测一次，以确定该施工地段的开挖深度。</w:t>
      </w:r>
    </w:p>
    <w:p w14:paraId="15154214">
      <w:pPr>
        <w:pStyle w:val="2"/>
        <w:spacing w:before="117" w:line="308" w:lineRule="auto"/>
        <w:ind w:left="1475" w:right="1411" w:firstLine="419"/>
        <w:rPr>
          <w:sz w:val="24"/>
          <w:szCs w:val="24"/>
        </w:rPr>
      </w:pPr>
      <w:r>
        <w:rPr>
          <w:spacing w:val="-20"/>
          <w:sz w:val="24"/>
          <w:szCs w:val="24"/>
        </w:rPr>
        <w:t>在施工过程中，施工人注意保护测量控制点，如发现测量控制点被破坏，及时会知测量人</w:t>
      </w:r>
      <w:r>
        <w:rPr>
          <w:spacing w:val="-22"/>
          <w:sz w:val="24"/>
          <w:szCs w:val="24"/>
        </w:rPr>
        <w:t>员补测，以保证测量精度。</w:t>
      </w:r>
    </w:p>
    <w:p w14:paraId="4E6D0F94">
      <w:pPr>
        <w:pStyle w:val="2"/>
        <w:spacing w:line="217" w:lineRule="auto"/>
        <w:ind w:left="1893"/>
        <w:rPr>
          <w:sz w:val="24"/>
          <w:szCs w:val="24"/>
        </w:rPr>
      </w:pPr>
      <w:r>
        <w:rPr>
          <w:spacing w:val="-21"/>
          <w:sz w:val="24"/>
          <w:szCs w:val="24"/>
        </w:rPr>
        <w:t>拆除老路面，均应测定好设计标高，由测量员计算好现有高程与</w:t>
      </w:r>
      <w:r>
        <w:rPr>
          <w:spacing w:val="-22"/>
          <w:sz w:val="24"/>
          <w:szCs w:val="24"/>
        </w:rPr>
        <w:t>设计标高拆除高差。</w:t>
      </w:r>
    </w:p>
    <w:p w14:paraId="62819D8B">
      <w:pPr>
        <w:pStyle w:val="2"/>
        <w:spacing w:before="116" w:line="215" w:lineRule="auto"/>
        <w:ind w:left="1894"/>
        <w:rPr>
          <w:sz w:val="24"/>
          <w:szCs w:val="24"/>
        </w:rPr>
      </w:pPr>
      <w:r>
        <w:rPr>
          <w:spacing w:val="-21"/>
          <w:sz w:val="24"/>
          <w:szCs w:val="24"/>
        </w:rPr>
        <w:t>根据计算好的高差应在各桩号上标注好。</w:t>
      </w:r>
    </w:p>
    <w:p w14:paraId="179E49DA">
      <w:pPr>
        <w:spacing w:line="215" w:lineRule="auto"/>
        <w:rPr>
          <w:sz w:val="24"/>
          <w:szCs w:val="24"/>
        </w:rPr>
        <w:sectPr>
          <w:footerReference r:id="rId44" w:type="default"/>
          <w:pgSz w:w="11907" w:h="16839"/>
          <w:pgMar w:top="954" w:right="4" w:bottom="1038" w:left="0" w:header="499" w:footer="357" w:gutter="0"/>
          <w:pgBorders>
            <w:top w:val="none" w:sz="0" w:space="0"/>
            <w:left w:val="none" w:sz="0" w:space="0"/>
            <w:bottom w:val="none" w:sz="0" w:space="0"/>
            <w:right w:val="none" w:sz="0" w:space="0"/>
          </w:pgBorders>
          <w:cols w:space="720" w:num="1"/>
        </w:sectPr>
      </w:pPr>
    </w:p>
    <w:p w14:paraId="3EE48604">
      <w:pPr>
        <w:spacing w:line="249" w:lineRule="auto"/>
        <w:rPr>
          <w:rFonts w:ascii="Arial"/>
          <w:sz w:val="21"/>
        </w:rPr>
      </w:pPr>
    </w:p>
    <w:p w14:paraId="5A273E88">
      <w:pPr>
        <w:pStyle w:val="2"/>
        <w:spacing w:before="78" w:line="308" w:lineRule="auto"/>
        <w:ind w:left="1459" w:right="1409" w:firstLine="434"/>
        <w:rPr>
          <w:sz w:val="24"/>
          <w:szCs w:val="24"/>
        </w:rPr>
      </w:pPr>
      <w:r>
        <w:rPr>
          <w:spacing w:val="-20"/>
          <w:sz w:val="24"/>
          <w:szCs w:val="24"/>
        </w:rPr>
        <w:t>根据现场情况，组织施工，正常情况下，先用风钻机队老路面实施点对点的打孔成缝，使</w:t>
      </w:r>
      <w:r>
        <w:rPr>
          <w:spacing w:val="-16"/>
          <w:sz w:val="24"/>
          <w:szCs w:val="24"/>
        </w:rPr>
        <w:t>之开裂。</w:t>
      </w:r>
    </w:p>
    <w:p w14:paraId="27C3105B">
      <w:pPr>
        <w:pStyle w:val="2"/>
        <w:spacing w:line="215" w:lineRule="auto"/>
        <w:ind w:left="1894"/>
        <w:rPr>
          <w:sz w:val="24"/>
          <w:szCs w:val="24"/>
        </w:rPr>
      </w:pPr>
      <w:r>
        <w:rPr>
          <w:spacing w:val="-21"/>
          <w:sz w:val="24"/>
          <w:szCs w:val="24"/>
        </w:rPr>
        <w:t>组织挖掘机，装载车对拆除后的老路面成块废渣进行集中清</w:t>
      </w:r>
      <w:r>
        <w:rPr>
          <w:spacing w:val="-22"/>
          <w:sz w:val="24"/>
          <w:szCs w:val="24"/>
        </w:rPr>
        <w:t>除，运至指定弃土场。</w:t>
      </w:r>
    </w:p>
    <w:p w14:paraId="12181EA2">
      <w:pPr>
        <w:pStyle w:val="2"/>
        <w:spacing w:before="121" w:line="215" w:lineRule="auto"/>
        <w:ind w:left="1895"/>
        <w:rPr>
          <w:sz w:val="24"/>
          <w:szCs w:val="24"/>
        </w:rPr>
      </w:pPr>
      <w:r>
        <w:rPr>
          <w:spacing w:val="-21"/>
          <w:sz w:val="24"/>
          <w:szCs w:val="24"/>
        </w:rPr>
        <w:t>对老路面下能够用于填筑的土石料可取样送检，可用作填</w:t>
      </w:r>
      <w:r>
        <w:rPr>
          <w:spacing w:val="-22"/>
          <w:sz w:val="24"/>
          <w:szCs w:val="24"/>
        </w:rPr>
        <w:t>筑料，运至填方区填筑。</w:t>
      </w:r>
    </w:p>
    <w:p w14:paraId="0CC26B5C">
      <w:pPr>
        <w:pStyle w:val="2"/>
        <w:spacing w:before="120" w:line="307" w:lineRule="auto"/>
        <w:ind w:left="1458" w:right="1412" w:firstLine="436"/>
        <w:rPr>
          <w:sz w:val="24"/>
          <w:szCs w:val="24"/>
        </w:rPr>
      </w:pPr>
      <w:r>
        <w:rPr>
          <w:spacing w:val="-21"/>
          <w:sz w:val="24"/>
          <w:szCs w:val="24"/>
        </w:rPr>
        <w:t>对根据设计标高形成的新路基应复测，复测后，对新路基表层30cm内应复松，</w:t>
      </w:r>
      <w:r>
        <w:rPr>
          <w:spacing w:val="-22"/>
          <w:sz w:val="24"/>
          <w:szCs w:val="24"/>
        </w:rPr>
        <w:t>采用路基分</w:t>
      </w:r>
      <w:r>
        <w:rPr>
          <w:spacing w:val="-21"/>
          <w:sz w:val="24"/>
          <w:szCs w:val="24"/>
        </w:rPr>
        <w:t>层填筑的碾压方案进行碾压并调平标高。</w:t>
      </w:r>
    </w:p>
    <w:p w14:paraId="3A74A4CE">
      <w:pPr>
        <w:pStyle w:val="2"/>
        <w:spacing w:before="2" w:line="307" w:lineRule="auto"/>
        <w:ind w:left="1456" w:right="1409" w:firstLine="436"/>
        <w:rPr>
          <w:sz w:val="24"/>
          <w:szCs w:val="24"/>
        </w:rPr>
      </w:pPr>
      <w:r>
        <w:rPr>
          <w:spacing w:val="-20"/>
          <w:sz w:val="24"/>
          <w:szCs w:val="24"/>
        </w:rPr>
        <w:t>施工工艺流程：把路面大致破裂→推土机清除路面上的碎裂混凝土进行清理→垃圾外运→</w:t>
      </w:r>
      <w:r>
        <w:rPr>
          <w:spacing w:val="-21"/>
          <w:sz w:val="24"/>
          <w:szCs w:val="24"/>
        </w:rPr>
        <w:t>拆除旧路（包括水泥砼路面面层、沥青砼和沥青碎石面层、联结层、人行道板面层、道</w:t>
      </w:r>
      <w:r>
        <w:rPr>
          <w:spacing w:val="-22"/>
          <w:sz w:val="24"/>
          <w:szCs w:val="24"/>
        </w:rPr>
        <w:t>牙）。</w:t>
      </w:r>
    </w:p>
    <w:p w14:paraId="157F9C36">
      <w:pPr>
        <w:pStyle w:val="2"/>
        <w:spacing w:before="1" w:line="218" w:lineRule="auto"/>
        <w:ind w:left="1884"/>
        <w:rPr>
          <w:sz w:val="24"/>
          <w:szCs w:val="24"/>
        </w:rPr>
      </w:pPr>
      <w:r>
        <w:rPr>
          <w:spacing w:val="-14"/>
          <w:sz w:val="24"/>
          <w:szCs w:val="24"/>
        </w:rPr>
        <w:t>4.3路面拆除</w:t>
      </w:r>
    </w:p>
    <w:p w14:paraId="0C450BE6">
      <w:pPr>
        <w:pStyle w:val="2"/>
        <w:spacing w:before="115" w:line="308" w:lineRule="auto"/>
        <w:ind w:left="1455" w:right="1409" w:firstLine="439"/>
        <w:rPr>
          <w:sz w:val="24"/>
          <w:szCs w:val="24"/>
        </w:rPr>
      </w:pPr>
      <w:r>
        <w:rPr>
          <w:spacing w:val="-20"/>
          <w:sz w:val="24"/>
          <w:szCs w:val="24"/>
        </w:rPr>
        <w:t>采用挖掘机挖除，人工配合整平的方法。挖路槽时，必须采取临时排水设施，以免路槽积</w:t>
      </w:r>
      <w:r>
        <w:rPr>
          <w:spacing w:val="-18"/>
          <w:sz w:val="24"/>
          <w:szCs w:val="24"/>
        </w:rPr>
        <w:t>水，泡软路基。</w:t>
      </w:r>
    </w:p>
    <w:p w14:paraId="023F185B">
      <w:pPr>
        <w:pStyle w:val="2"/>
        <w:spacing w:before="1" w:line="308" w:lineRule="auto"/>
        <w:ind w:left="1455" w:right="1410" w:firstLine="438"/>
        <w:rPr>
          <w:sz w:val="24"/>
          <w:szCs w:val="24"/>
        </w:rPr>
      </w:pPr>
      <w:r>
        <w:rPr>
          <w:spacing w:val="-20"/>
          <w:sz w:val="24"/>
          <w:szCs w:val="24"/>
        </w:rPr>
        <w:t>根据现场土质情况开挖，挖至基层为止。发生弹簧现象时，采用挖开、凉晒，换土、掺集</w:t>
      </w:r>
      <w:r>
        <w:rPr>
          <w:spacing w:val="-17"/>
          <w:sz w:val="24"/>
          <w:szCs w:val="24"/>
        </w:rPr>
        <w:t>料等措施。</w:t>
      </w:r>
    </w:p>
    <w:p w14:paraId="515F4542">
      <w:pPr>
        <w:pStyle w:val="2"/>
        <w:spacing w:line="218" w:lineRule="auto"/>
        <w:ind w:left="1892"/>
        <w:rPr>
          <w:sz w:val="24"/>
          <w:szCs w:val="24"/>
        </w:rPr>
      </w:pPr>
      <w:r>
        <w:rPr>
          <w:spacing w:val="-21"/>
          <w:sz w:val="24"/>
          <w:szCs w:val="24"/>
        </w:rPr>
        <w:t>挖出的路渣采用边挖边运出的方法。施工场地周围设置围挡。</w:t>
      </w:r>
    </w:p>
    <w:p w14:paraId="01B2C846">
      <w:pPr>
        <w:pStyle w:val="2"/>
        <w:spacing w:before="114" w:line="285" w:lineRule="auto"/>
        <w:ind w:left="1455" w:right="1351" w:firstLine="429"/>
        <w:rPr>
          <w:sz w:val="24"/>
          <w:szCs w:val="24"/>
        </w:rPr>
      </w:pPr>
      <w:r>
        <w:rPr>
          <w:spacing w:val="-23"/>
          <w:sz w:val="24"/>
          <w:szCs w:val="24"/>
        </w:rPr>
        <w:t>4.4碾压：机械挖好路槽，并经人工整平后，要立即碾压，碾压时，以达到最大压实度，碾</w:t>
      </w:r>
      <w:r>
        <w:rPr>
          <w:spacing w:val="-24"/>
          <w:sz w:val="24"/>
          <w:szCs w:val="24"/>
        </w:rPr>
        <w:t>压要由轻到重，先用12～15吨的压路机初压几遍后，再用30吨振动压路机压实.。纵坡的路段，</w:t>
      </w:r>
      <w:r>
        <w:rPr>
          <w:spacing w:val="-20"/>
          <w:sz w:val="24"/>
          <w:szCs w:val="24"/>
        </w:rPr>
        <w:t>自坡低处压向高处，由慢到快，碾压前后行间，必须重迭压路机轮宽一半，使路槽全宽范围内</w:t>
      </w:r>
      <w:r>
        <w:rPr>
          <w:spacing w:val="-22"/>
          <w:sz w:val="24"/>
          <w:szCs w:val="24"/>
        </w:rPr>
        <w:t>碾压均匀密实。压路机碾压不到的地方，要用电动夯夯实，打夯时，前后左右均应重迭一半。</w:t>
      </w:r>
    </w:p>
    <w:p w14:paraId="15953382">
      <w:pPr>
        <w:pStyle w:val="2"/>
        <w:spacing w:before="120" w:line="215" w:lineRule="auto"/>
        <w:ind w:left="1884"/>
        <w:rPr>
          <w:sz w:val="24"/>
          <w:szCs w:val="24"/>
        </w:rPr>
      </w:pPr>
      <w:r>
        <w:rPr>
          <w:spacing w:val="-20"/>
          <w:sz w:val="24"/>
          <w:szCs w:val="24"/>
        </w:rPr>
        <w:t>4.5压好的路槽，断面要同路拱一致，表面平整，没有波状</w:t>
      </w:r>
      <w:r>
        <w:rPr>
          <w:spacing w:val="-21"/>
          <w:sz w:val="24"/>
          <w:szCs w:val="24"/>
        </w:rPr>
        <w:t>起伏以及显著轮迹。</w:t>
      </w:r>
    </w:p>
    <w:p w14:paraId="182FEB69">
      <w:pPr>
        <w:pStyle w:val="2"/>
        <w:spacing w:before="121" w:line="216" w:lineRule="auto"/>
        <w:ind w:left="1884"/>
        <w:rPr>
          <w:sz w:val="24"/>
          <w:szCs w:val="24"/>
        </w:rPr>
      </w:pPr>
      <w:r>
        <w:rPr>
          <w:spacing w:val="-20"/>
          <w:sz w:val="24"/>
          <w:szCs w:val="24"/>
        </w:rPr>
        <w:t>4.6检验压实度达到要求后，报检工地监理工程师检验</w:t>
      </w:r>
      <w:r>
        <w:rPr>
          <w:spacing w:val="-21"/>
          <w:sz w:val="24"/>
          <w:szCs w:val="24"/>
        </w:rPr>
        <w:t>批准，进行下道工序。</w:t>
      </w:r>
    </w:p>
    <w:p w14:paraId="3D92F44F">
      <w:pPr>
        <w:pStyle w:val="2"/>
        <w:spacing w:before="117" w:line="217" w:lineRule="auto"/>
        <w:ind w:left="1890"/>
        <w:rPr>
          <w:sz w:val="24"/>
          <w:szCs w:val="24"/>
        </w:rPr>
      </w:pPr>
      <w:r>
        <w:rPr>
          <w:spacing w:val="-18"/>
          <w:sz w:val="24"/>
          <w:szCs w:val="24"/>
        </w:rPr>
        <w:t>5、人行道铺装拆除</w:t>
      </w:r>
    </w:p>
    <w:p w14:paraId="7201C934">
      <w:pPr>
        <w:pStyle w:val="2"/>
        <w:spacing w:before="119" w:line="217" w:lineRule="auto"/>
        <w:ind w:left="1890"/>
        <w:rPr>
          <w:sz w:val="24"/>
          <w:szCs w:val="24"/>
        </w:rPr>
      </w:pPr>
      <w:r>
        <w:rPr>
          <w:spacing w:val="-17"/>
          <w:sz w:val="24"/>
          <w:szCs w:val="24"/>
        </w:rPr>
        <w:t>5.1人行道破除施工</w:t>
      </w:r>
    </w:p>
    <w:p w14:paraId="28281ECA">
      <w:pPr>
        <w:pStyle w:val="2"/>
        <w:spacing w:before="119" w:line="218" w:lineRule="auto"/>
        <w:ind w:left="1903"/>
        <w:rPr>
          <w:sz w:val="24"/>
          <w:szCs w:val="24"/>
        </w:rPr>
      </w:pPr>
      <w:r>
        <w:rPr>
          <w:spacing w:val="-18"/>
          <w:sz w:val="24"/>
          <w:szCs w:val="24"/>
        </w:rPr>
        <w:t>1、施工准备：</w:t>
      </w:r>
    </w:p>
    <w:p w14:paraId="1C77CB07">
      <w:pPr>
        <w:pStyle w:val="2"/>
        <w:spacing w:before="114" w:line="264" w:lineRule="auto"/>
        <w:ind w:left="1457" w:right="1430" w:firstLine="435"/>
        <w:rPr>
          <w:sz w:val="24"/>
          <w:szCs w:val="24"/>
        </w:rPr>
      </w:pPr>
      <w:r>
        <w:rPr>
          <w:spacing w:val="-23"/>
          <w:sz w:val="24"/>
          <w:szCs w:val="24"/>
        </w:rPr>
        <w:t>（1）人员准备组织强有力的有多年从事混凝土铺装层拆除拆除施工经验的作业队伍及时进</w:t>
      </w:r>
      <w:r>
        <w:rPr>
          <w:spacing w:val="-18"/>
          <w:sz w:val="24"/>
          <w:szCs w:val="24"/>
        </w:rPr>
        <w:t>场。</w:t>
      </w:r>
    </w:p>
    <w:p w14:paraId="500C21C2">
      <w:pPr>
        <w:pStyle w:val="2"/>
        <w:spacing w:before="116" w:line="217" w:lineRule="auto"/>
        <w:ind w:left="1893"/>
        <w:rPr>
          <w:sz w:val="24"/>
          <w:szCs w:val="24"/>
        </w:rPr>
      </w:pPr>
      <w:r>
        <w:rPr>
          <w:spacing w:val="-20"/>
          <w:sz w:val="24"/>
          <w:szCs w:val="24"/>
        </w:rPr>
        <w:t>（2）机械设备凿岩机、发电机、空压机等。</w:t>
      </w:r>
    </w:p>
    <w:p w14:paraId="21D99465">
      <w:pPr>
        <w:pStyle w:val="2"/>
        <w:spacing w:before="117" w:line="218" w:lineRule="auto"/>
        <w:ind w:left="1893"/>
        <w:rPr>
          <w:sz w:val="24"/>
          <w:szCs w:val="24"/>
        </w:rPr>
      </w:pPr>
      <w:r>
        <w:rPr>
          <w:spacing w:val="-18"/>
          <w:sz w:val="24"/>
          <w:szCs w:val="24"/>
        </w:rPr>
        <w:t>（3）技术准备：</w:t>
      </w:r>
    </w:p>
    <w:p w14:paraId="11DF6CF0">
      <w:pPr>
        <w:pStyle w:val="2"/>
        <w:spacing w:before="117" w:line="216" w:lineRule="auto"/>
        <w:ind w:left="1903"/>
        <w:rPr>
          <w:sz w:val="24"/>
          <w:szCs w:val="24"/>
        </w:rPr>
      </w:pPr>
      <w:r>
        <w:rPr>
          <w:spacing w:val="-21"/>
          <w:sz w:val="24"/>
          <w:szCs w:val="24"/>
        </w:rPr>
        <w:t>1）根据工程施工需要准备相应的技术资料，如施工图纸、施工规</w:t>
      </w:r>
      <w:r>
        <w:rPr>
          <w:spacing w:val="-22"/>
          <w:sz w:val="24"/>
          <w:szCs w:val="24"/>
        </w:rPr>
        <w:t>范等。</w:t>
      </w:r>
    </w:p>
    <w:p w14:paraId="5CF4E429">
      <w:pPr>
        <w:pStyle w:val="2"/>
        <w:spacing w:before="121" w:line="217" w:lineRule="auto"/>
        <w:ind w:left="1888"/>
        <w:rPr>
          <w:sz w:val="24"/>
          <w:szCs w:val="24"/>
        </w:rPr>
      </w:pPr>
      <w:r>
        <w:rPr>
          <w:spacing w:val="-21"/>
          <w:sz w:val="24"/>
          <w:szCs w:val="24"/>
        </w:rPr>
        <w:t>2）提前对施工人员讲解施工技术，组织学习相关</w:t>
      </w:r>
      <w:r>
        <w:rPr>
          <w:spacing w:val="-22"/>
          <w:sz w:val="24"/>
          <w:szCs w:val="24"/>
        </w:rPr>
        <w:t>技术要求及施工注意事项等。</w:t>
      </w:r>
    </w:p>
    <w:p w14:paraId="1EDAEF8B">
      <w:pPr>
        <w:pStyle w:val="2"/>
        <w:spacing w:before="116" w:line="216" w:lineRule="auto"/>
        <w:ind w:left="1890"/>
        <w:rPr>
          <w:sz w:val="24"/>
          <w:szCs w:val="24"/>
        </w:rPr>
      </w:pPr>
      <w:r>
        <w:rPr>
          <w:spacing w:val="-21"/>
          <w:sz w:val="24"/>
          <w:szCs w:val="24"/>
        </w:rPr>
        <w:t>3）根据需要准备好相应的技术资料和各种记录表格。</w:t>
      </w:r>
    </w:p>
    <w:p w14:paraId="0F7233EB">
      <w:pPr>
        <w:pStyle w:val="2"/>
        <w:spacing w:before="120" w:line="217" w:lineRule="auto"/>
        <w:ind w:left="1884"/>
        <w:rPr>
          <w:sz w:val="24"/>
          <w:szCs w:val="24"/>
        </w:rPr>
      </w:pPr>
      <w:r>
        <w:rPr>
          <w:spacing w:val="-20"/>
          <w:sz w:val="24"/>
          <w:szCs w:val="24"/>
        </w:rPr>
        <w:t>4）拆除施工前首先进行原有绿化铺装层的相对</w:t>
      </w:r>
      <w:r>
        <w:rPr>
          <w:spacing w:val="-21"/>
          <w:sz w:val="24"/>
          <w:szCs w:val="24"/>
        </w:rPr>
        <w:t>高程测量。</w:t>
      </w:r>
    </w:p>
    <w:p w14:paraId="08CF3AA8">
      <w:pPr>
        <w:pStyle w:val="2"/>
        <w:spacing w:before="120" w:line="307" w:lineRule="auto"/>
        <w:ind w:left="1456" w:right="1409" w:firstLine="436"/>
        <w:rPr>
          <w:sz w:val="24"/>
          <w:szCs w:val="24"/>
        </w:rPr>
      </w:pPr>
      <w:r>
        <w:rPr>
          <w:spacing w:val="-19"/>
          <w:sz w:val="24"/>
          <w:szCs w:val="24"/>
        </w:rPr>
        <w:t>（4）材料准备:根据施工实际进度情况，确定材料进场的数量和时间，保证不耽误工</w:t>
      </w:r>
      <w:r>
        <w:rPr>
          <w:spacing w:val="-20"/>
          <w:sz w:val="24"/>
          <w:szCs w:val="24"/>
        </w:rPr>
        <w:t>程进</w:t>
      </w:r>
      <w:r>
        <w:rPr>
          <w:spacing w:val="-17"/>
          <w:sz w:val="24"/>
          <w:szCs w:val="24"/>
        </w:rPr>
        <w:t>度为原则。</w:t>
      </w:r>
    </w:p>
    <w:p w14:paraId="6449029C">
      <w:pPr>
        <w:pStyle w:val="2"/>
        <w:spacing w:line="218" w:lineRule="auto"/>
        <w:ind w:left="1888"/>
        <w:rPr>
          <w:sz w:val="24"/>
          <w:szCs w:val="24"/>
        </w:rPr>
      </w:pPr>
      <w:r>
        <w:rPr>
          <w:spacing w:val="-18"/>
          <w:sz w:val="24"/>
          <w:szCs w:val="24"/>
        </w:rPr>
        <w:t>2、施工部署</w:t>
      </w:r>
    </w:p>
    <w:p w14:paraId="2DE51648">
      <w:pPr>
        <w:pStyle w:val="2"/>
        <w:spacing w:before="116" w:line="307" w:lineRule="auto"/>
        <w:ind w:left="1456" w:right="1410" w:firstLine="437"/>
        <w:rPr>
          <w:sz w:val="24"/>
          <w:szCs w:val="24"/>
        </w:rPr>
      </w:pPr>
      <w:r>
        <w:rPr>
          <w:spacing w:val="-20"/>
          <w:sz w:val="24"/>
          <w:szCs w:val="24"/>
        </w:rPr>
        <w:t>本次加固改造工程工期要求紧，施工任务重，根据业主和工程进度计划要求，拆除施工的</w:t>
      </w:r>
      <w:r>
        <w:rPr>
          <w:spacing w:val="-21"/>
          <w:sz w:val="24"/>
          <w:szCs w:val="24"/>
        </w:rPr>
        <w:t>机械设备不得少于1台/套，12小时不间断施工，并适时增减施工人员</w:t>
      </w:r>
      <w:r>
        <w:rPr>
          <w:spacing w:val="-22"/>
          <w:sz w:val="24"/>
          <w:szCs w:val="24"/>
        </w:rPr>
        <w:t>数量。</w:t>
      </w:r>
    </w:p>
    <w:p w14:paraId="3249A0BF">
      <w:pPr>
        <w:spacing w:line="307" w:lineRule="auto"/>
        <w:rPr>
          <w:sz w:val="24"/>
          <w:szCs w:val="24"/>
        </w:rPr>
        <w:sectPr>
          <w:footerReference r:id="rId45" w:type="default"/>
          <w:pgSz w:w="11907" w:h="16839"/>
          <w:pgMar w:top="954" w:right="4" w:bottom="1038" w:left="0" w:header="499" w:footer="357" w:gutter="0"/>
          <w:pgBorders>
            <w:top w:val="none" w:sz="0" w:space="0"/>
            <w:left w:val="none" w:sz="0" w:space="0"/>
            <w:bottom w:val="none" w:sz="0" w:space="0"/>
            <w:right w:val="none" w:sz="0" w:space="0"/>
          </w:pgBorders>
          <w:cols w:space="720" w:num="1"/>
        </w:sectPr>
      </w:pPr>
    </w:p>
    <w:p w14:paraId="2DA7838C">
      <w:pPr>
        <w:spacing w:line="251" w:lineRule="auto"/>
        <w:rPr>
          <w:rFonts w:ascii="Arial"/>
          <w:sz w:val="21"/>
        </w:rPr>
      </w:pPr>
    </w:p>
    <w:p w14:paraId="3FA0623F">
      <w:pPr>
        <w:pStyle w:val="2"/>
        <w:spacing w:before="78" w:line="220" w:lineRule="auto"/>
        <w:ind w:left="1890"/>
        <w:rPr>
          <w:sz w:val="24"/>
          <w:szCs w:val="24"/>
        </w:rPr>
      </w:pPr>
      <w:r>
        <w:rPr>
          <w:spacing w:val="-19"/>
          <w:sz w:val="24"/>
          <w:szCs w:val="24"/>
        </w:rPr>
        <w:t>3、施工工艺</w:t>
      </w:r>
    </w:p>
    <w:p w14:paraId="74C83F05">
      <w:pPr>
        <w:pStyle w:val="2"/>
        <w:spacing w:before="115" w:line="307" w:lineRule="auto"/>
        <w:ind w:left="1461" w:right="1410" w:firstLine="432"/>
        <w:rPr>
          <w:sz w:val="24"/>
          <w:szCs w:val="24"/>
        </w:rPr>
      </w:pPr>
      <w:r>
        <w:rPr>
          <w:spacing w:val="-20"/>
          <w:sz w:val="24"/>
          <w:szCs w:val="24"/>
        </w:rPr>
        <w:t>拆除施工工艺流程：施工准备→施工放样→机械设备就位→原有草木移植→拆除原有铺装</w:t>
      </w:r>
      <w:r>
        <w:rPr>
          <w:spacing w:val="-21"/>
          <w:sz w:val="24"/>
          <w:szCs w:val="24"/>
        </w:rPr>
        <w:t>面、路牙石、扶手→铺装混凝土层拆除→垃圾、土</w:t>
      </w:r>
      <w:r>
        <w:rPr>
          <w:spacing w:val="-22"/>
          <w:sz w:val="24"/>
          <w:szCs w:val="24"/>
        </w:rPr>
        <w:t>方外运→原地面处理</w:t>
      </w:r>
    </w:p>
    <w:p w14:paraId="5C1C13F9">
      <w:pPr>
        <w:pStyle w:val="2"/>
        <w:spacing w:before="2" w:line="277" w:lineRule="auto"/>
        <w:ind w:left="1459" w:right="1353" w:firstLine="433"/>
        <w:rPr>
          <w:sz w:val="24"/>
          <w:szCs w:val="24"/>
        </w:rPr>
      </w:pPr>
      <w:r>
        <w:rPr>
          <w:spacing w:val="-25"/>
          <w:sz w:val="24"/>
          <w:szCs w:val="24"/>
        </w:rPr>
        <w:t>（1）混凝土铺装层的凿除工作采用风镐拆除。为提高工作效率，配备发电设备及</w:t>
      </w:r>
      <w:r>
        <w:rPr>
          <w:spacing w:val="-26"/>
          <w:sz w:val="24"/>
          <w:szCs w:val="24"/>
        </w:rPr>
        <w:t>2台风镐，</w:t>
      </w:r>
      <w:r>
        <w:rPr>
          <w:spacing w:val="-20"/>
          <w:sz w:val="24"/>
          <w:szCs w:val="24"/>
        </w:rPr>
        <w:t>分区分块进行。同时，坚持不间断施工。倒轮流施工制度，做到人停设备不能停。设备坏了有</w:t>
      </w:r>
      <w:r>
        <w:rPr>
          <w:spacing w:val="-19"/>
          <w:sz w:val="24"/>
          <w:szCs w:val="24"/>
        </w:rPr>
        <w:t>人修。</w:t>
      </w:r>
    </w:p>
    <w:p w14:paraId="128E4FDC">
      <w:pPr>
        <w:pStyle w:val="2"/>
        <w:spacing w:before="116" w:line="217" w:lineRule="auto"/>
        <w:ind w:left="1893"/>
        <w:rPr>
          <w:sz w:val="24"/>
          <w:szCs w:val="24"/>
        </w:rPr>
      </w:pPr>
      <w:r>
        <w:rPr>
          <w:spacing w:val="-21"/>
          <w:sz w:val="24"/>
          <w:szCs w:val="24"/>
        </w:rPr>
        <w:t>（2）所拆除下来的混凝土块及时运出施工现场，保持施工现场整洁。</w:t>
      </w:r>
    </w:p>
    <w:p w14:paraId="04EB1BDA">
      <w:pPr>
        <w:pStyle w:val="2"/>
        <w:spacing w:before="118" w:line="262" w:lineRule="auto"/>
        <w:ind w:left="1455" w:right="1413" w:firstLine="437"/>
        <w:rPr>
          <w:sz w:val="24"/>
          <w:szCs w:val="24"/>
        </w:rPr>
      </w:pPr>
      <w:r>
        <w:rPr>
          <w:spacing w:val="-22"/>
          <w:sz w:val="24"/>
          <w:szCs w:val="24"/>
        </w:rPr>
        <w:t>（3）对于在施工过程中造成的质量缺陷应经得监理工程师或业主代表同意后</w:t>
      </w:r>
      <w:r>
        <w:rPr>
          <w:spacing w:val="-23"/>
          <w:sz w:val="24"/>
          <w:szCs w:val="24"/>
        </w:rPr>
        <w:t>，采用相应措</w:t>
      </w:r>
      <w:r>
        <w:rPr>
          <w:spacing w:val="-18"/>
          <w:sz w:val="24"/>
          <w:szCs w:val="24"/>
        </w:rPr>
        <w:t>施进行修补。</w:t>
      </w:r>
    </w:p>
    <w:p w14:paraId="726C9D17">
      <w:pPr>
        <w:spacing w:line="40" w:lineRule="auto"/>
        <w:rPr>
          <w:rFonts w:ascii="Arial"/>
          <w:sz w:val="2"/>
        </w:rPr>
      </w:pPr>
    </w:p>
    <w:tbl>
      <w:tblPr>
        <w:tblStyle w:val="6"/>
        <w:tblW w:w="8549" w:type="dxa"/>
        <w:tblInd w:w="1678" w:type="dxa"/>
        <w:tblBorders>
          <w:top w:val="single" w:color="5B9BD5" w:sz="4" w:space="0"/>
          <w:left w:val="single" w:color="5B9BD5" w:sz="4" w:space="0"/>
          <w:bottom w:val="single" w:color="5B9BD5" w:sz="4" w:space="0"/>
          <w:right w:val="single" w:color="5B9BD5" w:sz="4" w:space="0"/>
          <w:insideH w:val="single" w:color="5B9BD5" w:sz="4" w:space="0"/>
          <w:insideV w:val="single" w:color="5B9BD5" w:sz="4" w:space="0"/>
        </w:tblBorders>
        <w:tblLayout w:type="fixed"/>
        <w:tblCellMar>
          <w:top w:w="0" w:type="dxa"/>
          <w:left w:w="0" w:type="dxa"/>
          <w:bottom w:w="0" w:type="dxa"/>
          <w:right w:w="0" w:type="dxa"/>
        </w:tblCellMar>
      </w:tblPr>
      <w:tblGrid>
        <w:gridCol w:w="724"/>
        <w:gridCol w:w="7095"/>
        <w:gridCol w:w="730"/>
      </w:tblGrid>
      <w:tr w14:paraId="3437F7B3">
        <w:tblPrEx>
          <w:tblBorders>
            <w:top w:val="single" w:color="5B9BD5" w:sz="4" w:space="0"/>
            <w:left w:val="single" w:color="5B9BD5" w:sz="4" w:space="0"/>
            <w:bottom w:val="single" w:color="5B9BD5" w:sz="4" w:space="0"/>
            <w:right w:val="single" w:color="5B9BD5" w:sz="4" w:space="0"/>
            <w:insideH w:val="single" w:color="5B9BD5" w:sz="4" w:space="0"/>
            <w:insideV w:val="single" w:color="5B9BD5" w:sz="4" w:space="0"/>
          </w:tblBorders>
          <w:tblCellMar>
            <w:top w:w="0" w:type="dxa"/>
            <w:left w:w="0" w:type="dxa"/>
            <w:bottom w:w="0" w:type="dxa"/>
            <w:right w:w="0" w:type="dxa"/>
          </w:tblCellMar>
        </w:tblPrEx>
        <w:trPr>
          <w:trHeight w:val="620" w:hRule="atLeast"/>
        </w:trPr>
        <w:tc>
          <w:tcPr>
            <w:tcW w:w="8549" w:type="dxa"/>
            <w:gridSpan w:val="3"/>
            <w:tcBorders>
              <w:bottom w:val="single" w:color="000000" w:sz="2" w:space="0"/>
            </w:tcBorders>
            <w:shd w:val="clear" w:color="auto" w:fill="DEEAF6"/>
            <w:vAlign w:val="top"/>
          </w:tcPr>
          <w:p w14:paraId="169D58CF">
            <w:pPr>
              <w:pStyle w:val="7"/>
              <w:spacing w:before="129" w:line="219" w:lineRule="auto"/>
              <w:ind w:left="3845"/>
            </w:pPr>
            <w:r>
              <w:rPr>
                <w:b/>
                <w:bCs/>
                <w:spacing w:val="-18"/>
              </w:rPr>
              <w:t>铺装拆除</w:t>
            </w:r>
          </w:p>
        </w:tc>
      </w:tr>
      <w:tr w14:paraId="5E2FEDB0">
        <w:tblPrEx>
          <w:tblBorders>
            <w:top w:val="single" w:color="5B9BD5" w:sz="4" w:space="0"/>
            <w:left w:val="single" w:color="5B9BD5" w:sz="4" w:space="0"/>
            <w:bottom w:val="single" w:color="5B9BD5" w:sz="4" w:space="0"/>
            <w:right w:val="single" w:color="5B9BD5" w:sz="4" w:space="0"/>
            <w:insideH w:val="single" w:color="5B9BD5" w:sz="4" w:space="0"/>
            <w:insideV w:val="single" w:color="5B9BD5" w:sz="4" w:space="0"/>
          </w:tblBorders>
          <w:tblCellMar>
            <w:top w:w="0" w:type="dxa"/>
            <w:left w:w="0" w:type="dxa"/>
            <w:bottom w:w="0" w:type="dxa"/>
            <w:right w:w="0" w:type="dxa"/>
          </w:tblCellMar>
        </w:tblPrEx>
        <w:trPr>
          <w:trHeight w:val="4029" w:hRule="atLeast"/>
        </w:trPr>
        <w:tc>
          <w:tcPr>
            <w:tcW w:w="724" w:type="dxa"/>
            <w:vMerge w:val="restart"/>
            <w:tcBorders>
              <w:top w:val="single" w:color="000000" w:sz="2" w:space="0"/>
              <w:left w:val="single" w:color="1C456A" w:sz="4" w:space="0"/>
              <w:bottom w:val="nil"/>
              <w:right w:val="single" w:color="0070C0" w:sz="18" w:space="0"/>
            </w:tcBorders>
            <w:vAlign w:val="top"/>
          </w:tcPr>
          <w:p w14:paraId="1C4181FC">
            <w:pPr>
              <w:rPr>
                <w:rFonts w:ascii="Arial"/>
                <w:sz w:val="21"/>
              </w:rPr>
            </w:pPr>
            <w:r>
              <w:pict>
                <v:rect id="_x0000_s1353" o:spid="_x0000_s1353" o:spt="1" style="position:absolute;left:0pt;margin-left:-0.2pt;margin-top:213.35pt;height:0.75pt;width:2.2pt;mso-position-horizontal-relative:page;mso-position-vertical-relative:page;z-index:251714560;mso-width-relative:page;mso-height-relative:page;" fillcolor="#5B9BD5" filled="t" stroked="f" coordsize="21600,21600">
                  <v:path/>
                  <v:fill on="t" focussize="0,0"/>
                  <v:stroke on="f"/>
                  <v:imagedata o:title=""/>
                  <o:lock v:ext="edit"/>
                </v:rect>
              </w:pict>
            </w:r>
          </w:p>
        </w:tc>
        <w:tc>
          <w:tcPr>
            <w:tcW w:w="7095" w:type="dxa"/>
            <w:tcBorders>
              <w:top w:val="single" w:color="000000" w:sz="2" w:space="0"/>
              <w:left w:val="single" w:color="0070C0" w:sz="18" w:space="0"/>
              <w:bottom w:val="single" w:color="0070C0" w:sz="18" w:space="0"/>
              <w:right w:val="single" w:color="0070C0" w:sz="18" w:space="0"/>
            </w:tcBorders>
            <w:vAlign w:val="top"/>
          </w:tcPr>
          <w:p w14:paraId="12A80801">
            <w:pPr>
              <w:spacing w:before="11" w:line="45" w:lineRule="exact"/>
            </w:pPr>
            <w:r>
              <w:pict>
                <v:shape id="_x0000_s1354" o:spid="_x0000_s1354" style="height:2.25pt;width:357.45pt;" filled="f" stroked="t" coordsize="7149,45" path="m7125,22l22,22e">
                  <v:fill on="f" focussize="0,0"/>
                  <v:stroke weight="2.25pt" color="#0070C0" miterlimit="10" joinstyle="miter" endcap="round"/>
                  <v:imagedata o:title=""/>
                  <o:lock v:ext="edit"/>
                  <w10:wrap type="none"/>
                  <w10:anchorlock/>
                </v:shape>
              </w:pict>
            </w:r>
          </w:p>
          <w:p w14:paraId="0ED2CFFE">
            <w:pPr>
              <w:spacing w:before="1" w:line="3960" w:lineRule="exact"/>
            </w:pPr>
            <w:r>
              <w:rPr>
                <w:position w:val="-79"/>
              </w:rPr>
              <w:drawing>
                <wp:inline distT="0" distB="0" distL="0" distR="0">
                  <wp:extent cx="4476750" cy="2514600"/>
                  <wp:effectExtent l="0" t="0" r="0" b="0"/>
                  <wp:docPr id="240" name="IM 240"/>
                  <wp:cNvGraphicFramePr/>
                  <a:graphic xmlns:a="http://schemas.openxmlformats.org/drawingml/2006/main">
                    <a:graphicData uri="http://schemas.openxmlformats.org/drawingml/2006/picture">
                      <pic:pic xmlns:pic="http://schemas.openxmlformats.org/drawingml/2006/picture">
                        <pic:nvPicPr>
                          <pic:cNvPr id="240" name="IM 240"/>
                          <pic:cNvPicPr/>
                        </pic:nvPicPr>
                        <pic:blipFill>
                          <a:blip r:embed="rId474"/>
                          <a:stretch>
                            <a:fillRect/>
                          </a:stretch>
                        </pic:blipFill>
                        <pic:spPr>
                          <a:xfrm>
                            <a:off x="0" y="0"/>
                            <a:ext cx="4476750" cy="2514600"/>
                          </a:xfrm>
                          <a:prstGeom prst="rect">
                            <a:avLst/>
                          </a:prstGeom>
                        </pic:spPr>
                      </pic:pic>
                    </a:graphicData>
                  </a:graphic>
                </wp:inline>
              </w:drawing>
            </w:r>
          </w:p>
        </w:tc>
        <w:tc>
          <w:tcPr>
            <w:tcW w:w="730" w:type="dxa"/>
            <w:vMerge w:val="restart"/>
            <w:tcBorders>
              <w:top w:val="single" w:color="000000" w:sz="2" w:space="0"/>
              <w:left w:val="single" w:color="0070C0" w:sz="18" w:space="0"/>
              <w:bottom w:val="nil"/>
            </w:tcBorders>
            <w:vAlign w:val="top"/>
          </w:tcPr>
          <w:p w14:paraId="79C9A6E0">
            <w:pPr>
              <w:rPr>
                <w:rFonts w:ascii="Arial"/>
                <w:sz w:val="21"/>
              </w:rPr>
            </w:pPr>
          </w:p>
        </w:tc>
      </w:tr>
      <w:tr w14:paraId="256E681A">
        <w:tblPrEx>
          <w:tblBorders>
            <w:top w:val="single" w:color="5B9BD5" w:sz="4" w:space="0"/>
            <w:left w:val="single" w:color="5B9BD5" w:sz="4" w:space="0"/>
            <w:bottom w:val="single" w:color="5B9BD5" w:sz="4" w:space="0"/>
            <w:right w:val="single" w:color="5B9BD5" w:sz="4" w:space="0"/>
            <w:insideH w:val="single" w:color="5B9BD5" w:sz="4" w:space="0"/>
            <w:insideV w:val="single" w:color="5B9BD5" w:sz="4" w:space="0"/>
          </w:tblBorders>
          <w:tblCellMar>
            <w:top w:w="0" w:type="dxa"/>
            <w:left w:w="0" w:type="dxa"/>
            <w:bottom w:w="0" w:type="dxa"/>
            <w:right w:w="0" w:type="dxa"/>
          </w:tblCellMar>
        </w:tblPrEx>
        <w:trPr>
          <w:trHeight w:val="192" w:hRule="atLeast"/>
        </w:trPr>
        <w:tc>
          <w:tcPr>
            <w:tcW w:w="724" w:type="dxa"/>
            <w:vMerge w:val="continue"/>
            <w:tcBorders>
              <w:top w:val="nil"/>
              <w:left w:val="single" w:color="1C456A" w:sz="4" w:space="0"/>
              <w:bottom w:val="single" w:color="1C456A" w:sz="4" w:space="0"/>
              <w:right w:val="single" w:color="0070C0" w:sz="18" w:space="0"/>
            </w:tcBorders>
            <w:vAlign w:val="top"/>
          </w:tcPr>
          <w:p w14:paraId="18860DD4">
            <w:pPr>
              <w:rPr>
                <w:rFonts w:ascii="Arial"/>
                <w:sz w:val="21"/>
              </w:rPr>
            </w:pPr>
          </w:p>
        </w:tc>
        <w:tc>
          <w:tcPr>
            <w:tcW w:w="7095" w:type="dxa"/>
            <w:tcBorders>
              <w:top w:val="single" w:color="0070C0" w:sz="18" w:space="0"/>
              <w:left w:val="nil"/>
              <w:right w:val="nil"/>
            </w:tcBorders>
            <w:vAlign w:val="top"/>
          </w:tcPr>
          <w:p w14:paraId="253399F0">
            <w:pPr>
              <w:spacing w:line="182" w:lineRule="exact"/>
              <w:rPr>
                <w:rFonts w:ascii="Arial"/>
                <w:sz w:val="15"/>
              </w:rPr>
            </w:pPr>
          </w:p>
        </w:tc>
        <w:tc>
          <w:tcPr>
            <w:tcW w:w="730" w:type="dxa"/>
            <w:vMerge w:val="continue"/>
            <w:tcBorders>
              <w:top w:val="nil"/>
              <w:left w:val="single" w:color="0070C0" w:sz="18" w:space="0"/>
            </w:tcBorders>
            <w:vAlign w:val="top"/>
          </w:tcPr>
          <w:p w14:paraId="2A66D789">
            <w:pPr>
              <w:rPr>
                <w:rFonts w:ascii="Arial"/>
                <w:sz w:val="21"/>
              </w:rPr>
            </w:pPr>
          </w:p>
        </w:tc>
      </w:tr>
    </w:tbl>
    <w:p w14:paraId="07130C65">
      <w:pPr>
        <w:pStyle w:val="2"/>
        <w:spacing w:before="80" w:line="219" w:lineRule="auto"/>
        <w:ind w:left="1979"/>
        <w:outlineLvl w:val="2"/>
        <w:rPr>
          <w:sz w:val="28"/>
          <w:szCs w:val="28"/>
        </w:rPr>
      </w:pPr>
      <w:bookmarkStart w:id="27" w:name="bookmark27"/>
      <w:bookmarkEnd w:id="27"/>
      <w:r>
        <w:rPr>
          <w:b/>
          <w:bCs/>
          <w:spacing w:val="-22"/>
          <w:sz w:val="28"/>
          <w:szCs w:val="28"/>
        </w:rPr>
        <w:t>六、路缘石、侧石等拆除</w:t>
      </w:r>
    </w:p>
    <w:p w14:paraId="10FEF360">
      <w:pPr>
        <w:pStyle w:val="2"/>
        <w:spacing w:before="101" w:line="300" w:lineRule="auto"/>
        <w:ind w:left="1457" w:right="1335" w:firstLine="434"/>
        <w:jc w:val="both"/>
        <w:rPr>
          <w:sz w:val="24"/>
          <w:szCs w:val="24"/>
        </w:rPr>
      </w:pPr>
      <w:r>
        <w:rPr>
          <w:spacing w:val="-19"/>
          <w:sz w:val="24"/>
          <w:szCs w:val="24"/>
        </w:rPr>
        <w:t>路缘石分为立缘石和平缘石，位于道路与人</w:t>
      </w:r>
      <w:r>
        <w:rPr>
          <w:spacing w:val="-20"/>
          <w:sz w:val="24"/>
          <w:szCs w:val="24"/>
        </w:rPr>
        <w:t>行道交接的位置。为避免扰动和破坏到地下管线，采用人工风镐破除人行道砖、粘层及砼垫层，紧后采用人工配合小挖掘机清理装车、转运</w:t>
      </w:r>
      <w:r>
        <w:rPr>
          <w:spacing w:val="-23"/>
          <w:sz w:val="24"/>
          <w:szCs w:val="24"/>
        </w:rPr>
        <w:t>外弃至业主指定的弃土场。人工先用风镐逐一破除人行道结构后在用人工进行清</w:t>
      </w:r>
      <w:r>
        <w:rPr>
          <w:spacing w:val="-24"/>
          <w:sz w:val="24"/>
          <w:szCs w:val="24"/>
        </w:rPr>
        <w:t>检，装车外运。</w:t>
      </w:r>
      <w:r>
        <w:rPr>
          <w:spacing w:val="-20"/>
          <w:sz w:val="24"/>
          <w:szCs w:val="24"/>
        </w:rPr>
        <w:t>原有人行道路沿石需全部拆除，该路沿石随人行道垫层破除一并拆除，转运至业主指定的弃土</w:t>
      </w:r>
      <w:r>
        <w:rPr>
          <w:spacing w:val="-18"/>
          <w:sz w:val="24"/>
          <w:szCs w:val="24"/>
        </w:rPr>
        <w:t>场。</w:t>
      </w:r>
    </w:p>
    <w:p w14:paraId="1DFE6309">
      <w:pPr>
        <w:pStyle w:val="2"/>
        <w:spacing w:before="1" w:line="217" w:lineRule="auto"/>
        <w:ind w:left="4730"/>
        <w:outlineLvl w:val="1"/>
        <w:rPr>
          <w:sz w:val="30"/>
          <w:szCs w:val="30"/>
        </w:rPr>
      </w:pPr>
      <w:bookmarkStart w:id="28" w:name="bookmark28"/>
      <w:bookmarkEnd w:id="28"/>
      <w:r>
        <w:rPr>
          <w:b/>
          <w:bCs/>
          <w:color w:val="0070C0"/>
          <w:spacing w:val="-24"/>
          <w:sz w:val="30"/>
          <w:szCs w:val="30"/>
        </w:rPr>
        <w:t>第三节、土石方工程</w:t>
      </w:r>
    </w:p>
    <w:p w14:paraId="779B5125">
      <w:pPr>
        <w:pStyle w:val="2"/>
        <w:spacing w:before="99" w:line="216" w:lineRule="auto"/>
        <w:ind w:left="1903"/>
        <w:rPr>
          <w:sz w:val="24"/>
          <w:szCs w:val="24"/>
        </w:rPr>
      </w:pPr>
      <w:r>
        <w:pict>
          <v:shape id="_x0000_s1355" o:spid="_x0000_s1355" style="position:absolute;left:0pt;margin-left:441.2pt;margin-top:20.65pt;height:0.75pt;width:2.2pt;z-index:251711488;mso-width-relative:page;mso-height-relative:page;" fillcolor="#1C456A" filled="t" stroked="f" coordsize="44,15" path="m0,14l43,14,43,0,0,0,0,14xe">
            <v:path/>
            <v:fill on="t" focussize="0,0"/>
            <v:stroke on="f"/>
            <v:imagedata o:title=""/>
            <o:lock v:ext="edit"/>
          </v:shape>
        </w:pict>
      </w:r>
      <w:r>
        <w:rPr>
          <w:spacing w:val="-20"/>
          <w:sz w:val="24"/>
          <w:szCs w:val="24"/>
        </w:rPr>
        <w:t>1、施工前的准备工作</w:t>
      </w:r>
    </w:p>
    <w:p w14:paraId="0C0A4B86">
      <w:pPr>
        <w:spacing w:line="58" w:lineRule="auto"/>
        <w:rPr>
          <w:rFonts w:ascii="Arial"/>
          <w:sz w:val="2"/>
        </w:rPr>
      </w:pPr>
    </w:p>
    <w:tbl>
      <w:tblPr>
        <w:tblStyle w:val="6"/>
        <w:tblW w:w="9370" w:type="dxa"/>
        <w:tblInd w:w="126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39"/>
        <w:gridCol w:w="706"/>
        <w:gridCol w:w="614"/>
        <w:gridCol w:w="6004"/>
        <w:gridCol w:w="1616"/>
        <w:gridCol w:w="191"/>
      </w:tblGrid>
      <w:tr w14:paraId="7D837E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6" w:hRule="atLeast"/>
        </w:trPr>
        <w:tc>
          <w:tcPr>
            <w:tcW w:w="945" w:type="dxa"/>
            <w:gridSpan w:val="2"/>
            <w:tcBorders>
              <w:top w:val="single" w:color="000000" w:sz="4" w:space="0"/>
              <w:left w:val="single" w:color="000000" w:sz="4" w:space="0"/>
            </w:tcBorders>
            <w:shd w:val="clear" w:color="auto" w:fill="DEEAF6"/>
            <w:vAlign w:val="top"/>
          </w:tcPr>
          <w:p w14:paraId="172DAA98">
            <w:pPr>
              <w:spacing w:line="93" w:lineRule="exact"/>
            </w:pPr>
            <w:r>
              <w:rPr>
                <w:position w:val="-1"/>
              </w:rPr>
              <w:pict>
                <v:group id="_x0000_s1356" o:spid="_x0000_s1356" o:spt="203" style="height:5.2pt;width:48.85pt;" coordsize="976,103">
                  <o:lock v:ext="edit"/>
                  <v:shape id="_x0000_s1357" o:spid="_x0000_s1357" style="position:absolute;left:0;top:0;height:15;width:44;" fillcolor="#5B9BD5" filled="t" stroked="f" coordsize="44,15" path="m0,14l43,14,43,0,0,0,0,14xe">
                    <v:path/>
                    <v:fill on="t" focussize="0,0"/>
                    <v:stroke on="f"/>
                    <v:imagedata o:title=""/>
                    <o:lock v:ext="edit"/>
                  </v:shape>
                  <v:shape id="_x0000_s1358" o:spid="_x0000_s1358" style="position:absolute;left:43;top:43;height:60;width:890;" fillcolor="#DEEAF6" filled="t" stroked="f" coordsize="890,60" path="m0,60l890,60,890,0,0,0,0,60xe">
                    <v:path/>
                    <v:fill on="t" focussize="0,0"/>
                    <v:stroke on="f"/>
                    <v:imagedata o:title=""/>
                    <o:lock v:ext="edit"/>
                  </v:shape>
                  <v:shape id="_x0000_s1359" o:spid="_x0000_s1359" style="position:absolute;left:933;top:0;height:15;width:44;" fillcolor="#5B9BD5" filled="t" stroked="f" coordsize="44,15" path="m0,14l43,14,43,0,0,0,0,14xe">
                    <v:path/>
                    <v:fill on="t" focussize="0,0"/>
                    <v:stroke on="f"/>
                    <v:imagedata o:title=""/>
                    <o:lock v:ext="edit"/>
                  </v:shape>
                  <v:shape id="_x0000_s1360" o:spid="_x0000_s1360" style="position:absolute;left:933;top:14;height:15;width:44;" fillcolor="#20507B" filled="t" stroked="f" coordsize="44,15" path="m0,14l43,14,43,0,0,0,0,14xe">
                    <v:path/>
                    <v:fill on="t" focussize="0,0"/>
                    <v:stroke on="f"/>
                    <v:imagedata o:title=""/>
                    <o:lock v:ext="edit"/>
                  </v:shape>
                  <v:shape id="_x0000_s1361" o:spid="_x0000_s1361" style="position:absolute;left:933;top:28;height:15;width:44;" fillcolor="#1C456A" filled="t" stroked="f" coordsize="44,15" path="m0,14l43,14,43,0,0,0,0,14xe">
                    <v:path/>
                    <v:fill on="t" focussize="0,0"/>
                    <v:stroke on="f"/>
                    <v:imagedata o:title=""/>
                    <o:lock v:ext="edit"/>
                  </v:shape>
                  <w10:wrap type="none"/>
                  <w10:anchorlock/>
                </v:group>
              </w:pict>
            </w:r>
          </w:p>
          <w:p w14:paraId="712074FC">
            <w:pPr>
              <w:pStyle w:val="7"/>
              <w:spacing w:before="55" w:line="218" w:lineRule="auto"/>
              <w:ind w:left="267"/>
            </w:pPr>
            <w:r>
              <w:rPr>
                <w:b/>
                <w:bCs/>
                <w:spacing w:val="-12"/>
              </w:rPr>
              <w:t>序号</w:t>
            </w:r>
          </w:p>
          <w:p w14:paraId="23E8ADFD">
            <w:pPr>
              <w:spacing w:before="165" w:line="48" w:lineRule="exact"/>
              <w:ind w:firstLine="11"/>
            </w:pPr>
            <w:r>
              <w:rPr>
                <w:position w:val="-1"/>
              </w:rPr>
              <w:pict>
                <v:shape id="_x0000_s1362" o:spid="_x0000_s1362" style="height:2.9pt;width:45.85pt;" fillcolor="#DEEAF6" filled="t" stroked="f" coordsize="916,58" path="m0,57l916,57,916,0,0,0,0,57xe">
                  <v:path/>
                  <v:fill on="t" focussize="0,0"/>
                  <v:stroke on="f"/>
                  <v:imagedata o:title=""/>
                  <o:lock v:ext="edit"/>
                  <w10:wrap type="none"/>
                  <w10:anchorlock/>
                </v:shape>
              </w:pict>
            </w:r>
          </w:p>
        </w:tc>
        <w:tc>
          <w:tcPr>
            <w:tcW w:w="6618" w:type="dxa"/>
            <w:gridSpan w:val="2"/>
            <w:tcBorders>
              <w:top w:val="single" w:color="000000" w:sz="4" w:space="0"/>
            </w:tcBorders>
            <w:shd w:val="clear" w:color="auto" w:fill="DEEAF6"/>
            <w:vAlign w:val="top"/>
          </w:tcPr>
          <w:p w14:paraId="4FC6058B">
            <w:pPr>
              <w:pStyle w:val="7"/>
              <w:spacing w:before="148" w:line="218" w:lineRule="auto"/>
              <w:ind w:left="2877"/>
            </w:pPr>
            <w:r>
              <w:rPr>
                <w:b/>
                <w:bCs/>
                <w:spacing w:val="-19"/>
              </w:rPr>
              <w:t>准备内容</w:t>
            </w:r>
          </w:p>
        </w:tc>
        <w:tc>
          <w:tcPr>
            <w:tcW w:w="1807" w:type="dxa"/>
            <w:gridSpan w:val="2"/>
            <w:tcBorders>
              <w:top w:val="single" w:color="5B9BD5" w:sz="4" w:space="0"/>
              <w:right w:val="single" w:color="5B9BD5" w:sz="4" w:space="0"/>
            </w:tcBorders>
            <w:shd w:val="clear" w:color="auto" w:fill="DEEAF6"/>
            <w:vAlign w:val="top"/>
          </w:tcPr>
          <w:p w14:paraId="0EC1B6DE">
            <w:pPr>
              <w:spacing w:line="93" w:lineRule="exact"/>
            </w:pPr>
            <w:r>
              <w:rPr>
                <w:position w:val="-1"/>
              </w:rPr>
              <w:pict>
                <v:group id="_x0000_s1363" o:spid="_x0000_s1363" o:spt="203" style="height:5.2pt;width:91pt;" coordsize="1820,103">
                  <o:lock v:ext="edit"/>
                  <v:shape id="_x0000_s1364" o:spid="_x0000_s1364" style="position:absolute;left:0;top:0;height:15;width:44;" fillcolor="#5B9BD5" filled="t" stroked="f" coordsize="44,15" path="m0,14l43,14,43,0,0,0,0,14xe">
                    <v:path/>
                    <v:fill on="t" focussize="0,0"/>
                    <v:stroke on="f"/>
                    <v:imagedata o:title=""/>
                    <o:lock v:ext="edit"/>
                  </v:shape>
                  <v:shape id="_x0000_s1365" o:spid="_x0000_s1365" style="position:absolute;left:0;top:14;height:15;width:44;" fillcolor="#20507B" filled="t" stroked="f" coordsize="44,15" path="m0,14l43,14,43,0,0,0,0,14xe">
                    <v:path/>
                    <v:fill on="t" focussize="0,0"/>
                    <v:stroke on="f"/>
                    <v:imagedata o:title=""/>
                    <o:lock v:ext="edit"/>
                  </v:shape>
                  <v:shape id="_x0000_s1366" o:spid="_x0000_s1366" style="position:absolute;left:43;top:43;height:60;width:1733;" fillcolor="#DEEAF6" filled="t" stroked="f" coordsize="1733,60" path="m0,60l1732,60,1732,0,0,0,0,60xe">
                    <v:path/>
                    <v:fill on="t" focussize="0,0"/>
                    <v:stroke on="f"/>
                    <v:imagedata o:title=""/>
                    <o:lock v:ext="edit"/>
                  </v:shape>
                  <v:shape id="_x0000_s1367" o:spid="_x0000_s1367" style="position:absolute;left:1776;top:0;height:15;width:44;" fillcolor="#5B9BD5" filled="t" stroked="f" coordsize="44,15" path="m0,14l43,14,43,0,0,0,0,14xe">
                    <v:path/>
                    <v:fill on="t" focussize="0,0"/>
                    <v:stroke on="f"/>
                    <v:imagedata o:title=""/>
                    <o:lock v:ext="edit"/>
                  </v:shape>
                  <w10:wrap type="none"/>
                  <w10:anchorlock/>
                </v:group>
              </w:pict>
            </w:r>
          </w:p>
          <w:p w14:paraId="52B452B3">
            <w:pPr>
              <w:pStyle w:val="7"/>
              <w:spacing w:before="55" w:line="217" w:lineRule="auto"/>
              <w:ind w:left="472"/>
            </w:pPr>
            <w:r>
              <w:rPr>
                <w:b/>
                <w:bCs/>
                <w:spacing w:val="-19"/>
              </w:rPr>
              <w:t>实施部门</w:t>
            </w:r>
          </w:p>
          <w:p w14:paraId="1CB5EE17">
            <w:pPr>
              <w:spacing w:before="165" w:line="49" w:lineRule="exact"/>
            </w:pPr>
            <w:r>
              <w:rPr>
                <w:position w:val="-1"/>
              </w:rPr>
              <w:pict>
                <v:shape id="_x0000_s1368" o:spid="_x0000_s1368" style="height:2.9pt;width:89.65pt;" fillcolor="#DEEAF6" filled="t" stroked="f" coordsize="1793,58" path="m0,57l1792,57,1792,0,0,0,0,57xe">
                  <v:path/>
                  <v:fill on="t" focussize="0,0"/>
                  <v:stroke on="f"/>
                  <v:imagedata o:title=""/>
                  <o:lock v:ext="edit"/>
                  <w10:wrap type="none"/>
                  <w10:anchorlock/>
                </v:shape>
              </w:pict>
            </w:r>
          </w:p>
        </w:tc>
      </w:tr>
      <w:tr w14:paraId="58113A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6" w:hRule="atLeast"/>
        </w:trPr>
        <w:tc>
          <w:tcPr>
            <w:tcW w:w="945" w:type="dxa"/>
            <w:gridSpan w:val="2"/>
            <w:tcBorders>
              <w:left w:val="single" w:color="000000" w:sz="4" w:space="0"/>
            </w:tcBorders>
            <w:vAlign w:val="top"/>
          </w:tcPr>
          <w:p w14:paraId="7BA1E130">
            <w:pPr>
              <w:pStyle w:val="7"/>
              <w:spacing w:before="109" w:line="238" w:lineRule="auto"/>
              <w:ind w:left="440"/>
            </w:pPr>
            <w:r>
              <w:t>1</w:t>
            </w:r>
          </w:p>
        </w:tc>
        <w:tc>
          <w:tcPr>
            <w:tcW w:w="614" w:type="dxa"/>
            <w:vMerge w:val="restart"/>
            <w:tcBorders>
              <w:bottom w:val="nil"/>
            </w:tcBorders>
            <w:vAlign w:val="top"/>
          </w:tcPr>
          <w:p w14:paraId="3186C18F">
            <w:pPr>
              <w:pStyle w:val="7"/>
              <w:spacing w:before="293" w:line="219" w:lineRule="auto"/>
              <w:ind w:left="87"/>
            </w:pPr>
            <w:r>
              <w:rPr>
                <w:spacing w:val="-10"/>
              </w:rPr>
              <w:t>现场</w:t>
            </w:r>
          </w:p>
          <w:p w14:paraId="13B2AAB1">
            <w:pPr>
              <w:pStyle w:val="7"/>
              <w:spacing w:before="181" w:line="218" w:lineRule="auto"/>
              <w:ind w:left="89"/>
            </w:pPr>
            <w:r>
              <w:rPr>
                <w:spacing w:val="-10"/>
              </w:rPr>
              <w:t>技术</w:t>
            </w:r>
          </w:p>
        </w:tc>
        <w:tc>
          <w:tcPr>
            <w:tcW w:w="6004" w:type="dxa"/>
            <w:vAlign w:val="top"/>
          </w:tcPr>
          <w:p w14:paraId="0C7B75FC">
            <w:pPr>
              <w:pStyle w:val="7"/>
              <w:spacing w:before="108" w:line="217" w:lineRule="auto"/>
              <w:ind w:left="390"/>
            </w:pPr>
            <w:r>
              <w:rPr>
                <w:spacing w:val="-21"/>
              </w:rPr>
              <w:t>建立建设、设计、监理单位的联系渠道，保持联系畅通</w:t>
            </w:r>
          </w:p>
        </w:tc>
        <w:tc>
          <w:tcPr>
            <w:tcW w:w="1616" w:type="dxa"/>
            <w:tcBorders>
              <w:right w:val="nil"/>
            </w:tcBorders>
            <w:vAlign w:val="top"/>
          </w:tcPr>
          <w:p w14:paraId="492149D2">
            <w:pPr>
              <w:pStyle w:val="7"/>
              <w:spacing w:before="109" w:line="218" w:lineRule="auto"/>
              <w:ind w:left="363"/>
            </w:pPr>
            <w:r>
              <w:rPr>
                <w:spacing w:val="-17"/>
              </w:rPr>
              <w:t>项目经理部</w:t>
            </w:r>
          </w:p>
        </w:tc>
        <w:tc>
          <w:tcPr>
            <w:tcW w:w="191" w:type="dxa"/>
            <w:tcBorders>
              <w:left w:val="nil"/>
              <w:right w:val="single" w:color="000000" w:sz="4" w:space="0"/>
            </w:tcBorders>
            <w:vAlign w:val="top"/>
          </w:tcPr>
          <w:p w14:paraId="032DC5CB">
            <w:pPr>
              <w:spacing w:line="61" w:lineRule="exact"/>
              <w:ind w:firstLine="153"/>
            </w:pPr>
            <w:r>
              <w:rPr>
                <w:position w:val="-1"/>
              </w:rPr>
              <w:pict>
                <v:group id="_x0000_s1369" o:spid="_x0000_s1369" o:spt="203" style="height:3.4pt;width:1.45pt;" coordsize="29,68">
                  <o:lock v:ext="edit"/>
                  <v:shape id="_x0000_s1370" o:spid="_x0000_s1370" style="position:absolute;left:14;top:0;height:68;width:15;" fillcolor="#20507B" filled="t" stroked="f" coordsize="15,68" path="m0,67l14,67,14,0,0,0,0,67xe">
                    <v:path/>
                    <v:fill on="t" focussize="0,0"/>
                    <v:stroke on="f"/>
                    <v:imagedata o:title=""/>
                    <o:lock v:ext="edit"/>
                  </v:shape>
                  <v:shape id="_x0000_s1371" o:spid="_x0000_s1371" style="position:absolute;left:0;top:0;height:68;width:15;" fillcolor="#1C456A" filled="t" stroked="f" coordsize="15,68" path="m0,67l14,67,14,0,0,0,0,67xe">
                    <v:path/>
                    <v:fill on="t" focussize="0,0"/>
                    <v:stroke on="f"/>
                    <v:imagedata o:title=""/>
                    <o:lock v:ext="edit"/>
                  </v:shape>
                  <w10:wrap type="none"/>
                  <w10:anchorlock/>
                </v:group>
              </w:pict>
            </w:r>
          </w:p>
        </w:tc>
      </w:tr>
      <w:tr w14:paraId="675902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67" w:hRule="atLeast"/>
        </w:trPr>
        <w:tc>
          <w:tcPr>
            <w:tcW w:w="239" w:type="dxa"/>
            <w:tcBorders>
              <w:left w:val="single" w:color="1C456A" w:sz="4" w:space="0"/>
              <w:bottom w:val="single" w:color="1C456A" w:sz="4" w:space="0"/>
              <w:right w:val="nil"/>
            </w:tcBorders>
            <w:vAlign w:val="top"/>
          </w:tcPr>
          <w:p w14:paraId="3843B6AD">
            <w:pPr>
              <w:rPr>
                <w:rFonts w:ascii="Arial"/>
                <w:sz w:val="21"/>
              </w:rPr>
            </w:pPr>
            <w:r>
              <w:pict>
                <v:shape id="_x0000_s1372" o:spid="_x0000_s1372" style="position:absolute;left:0pt;margin-left:-0.25pt;margin-top:43.4pt;height:0.75pt;width:2.2pt;mso-position-horizontal-relative:page;mso-position-vertical-relative:page;z-index:251713536;mso-width-relative:page;mso-height-relative:page;" fillcolor="#5B9BD5" filled="t" stroked="f" coordsize="44,15" path="m0,14l43,14,43,0,0,0,0,14xe">
                  <v:path/>
                  <v:fill on="t" focussize="0,0"/>
                  <v:stroke on="f"/>
                  <v:imagedata o:title=""/>
                  <o:lock v:ext="edit"/>
                </v:shape>
              </w:pict>
            </w:r>
          </w:p>
        </w:tc>
        <w:tc>
          <w:tcPr>
            <w:tcW w:w="706" w:type="dxa"/>
            <w:tcBorders>
              <w:left w:val="nil"/>
              <w:bottom w:val="single" w:color="1C456A" w:sz="4" w:space="0"/>
            </w:tcBorders>
            <w:vAlign w:val="top"/>
          </w:tcPr>
          <w:p w14:paraId="1259E239">
            <w:pPr>
              <w:pStyle w:val="7"/>
              <w:spacing w:before="223" w:line="238" w:lineRule="auto"/>
              <w:ind w:left="192"/>
            </w:pPr>
            <w:r>
              <w:t>2</w:t>
            </w:r>
          </w:p>
        </w:tc>
        <w:tc>
          <w:tcPr>
            <w:tcW w:w="614" w:type="dxa"/>
            <w:vMerge w:val="continue"/>
            <w:tcBorders>
              <w:top w:val="nil"/>
              <w:bottom w:val="single" w:color="000000" w:sz="4" w:space="0"/>
            </w:tcBorders>
            <w:vAlign w:val="top"/>
          </w:tcPr>
          <w:p w14:paraId="067AC3A5">
            <w:pPr>
              <w:rPr>
                <w:rFonts w:ascii="Arial"/>
                <w:sz w:val="21"/>
              </w:rPr>
            </w:pPr>
          </w:p>
        </w:tc>
        <w:tc>
          <w:tcPr>
            <w:tcW w:w="6004" w:type="dxa"/>
            <w:tcBorders>
              <w:bottom w:val="single" w:color="000000" w:sz="4" w:space="0"/>
            </w:tcBorders>
            <w:vAlign w:val="top"/>
          </w:tcPr>
          <w:p w14:paraId="13FE09FB">
            <w:pPr>
              <w:pStyle w:val="7"/>
              <w:spacing w:before="222" w:line="216" w:lineRule="auto"/>
              <w:ind w:left="1288"/>
            </w:pPr>
            <w:r>
              <w:rPr>
                <w:spacing w:val="-22"/>
              </w:rPr>
              <w:t>图纸自审和会审，收集各项技术资料</w:t>
            </w:r>
          </w:p>
        </w:tc>
        <w:tc>
          <w:tcPr>
            <w:tcW w:w="1616" w:type="dxa"/>
            <w:tcBorders>
              <w:bottom w:val="single" w:color="5B9BD5" w:sz="4" w:space="0"/>
              <w:right w:val="nil"/>
            </w:tcBorders>
            <w:vAlign w:val="top"/>
          </w:tcPr>
          <w:p w14:paraId="49CD9D50">
            <w:pPr>
              <w:pStyle w:val="7"/>
              <w:spacing w:before="223" w:line="218" w:lineRule="auto"/>
              <w:ind w:left="367"/>
            </w:pPr>
            <w:r>
              <w:rPr>
                <w:spacing w:val="-18"/>
              </w:rPr>
              <w:t>工程技术科</w:t>
            </w:r>
          </w:p>
        </w:tc>
        <w:tc>
          <w:tcPr>
            <w:tcW w:w="191" w:type="dxa"/>
            <w:tcBorders>
              <w:left w:val="nil"/>
              <w:bottom w:val="single" w:color="5B9BD5" w:sz="4" w:space="0"/>
              <w:right w:val="single" w:color="5B9BD5" w:sz="4" w:space="0"/>
            </w:tcBorders>
            <w:vAlign w:val="top"/>
          </w:tcPr>
          <w:p w14:paraId="1E874A5C">
            <w:pPr>
              <w:spacing w:line="64" w:lineRule="exact"/>
              <w:ind w:firstLine="153"/>
            </w:pPr>
            <w:r>
              <w:pict>
                <v:shape id="_x0000_s1373" o:spid="_x0000_s1373" style="position:absolute;left:0pt;margin-left:7.7pt;margin-top:43.4pt;height:0.75pt;width:2.2pt;mso-position-horizontal-relative:page;mso-position-vertical-relative:page;z-index:251712512;mso-width-relative:page;mso-height-relative:page;" fillcolor="#5B9BD5" filled="t" stroked="f" coordsize="44,15" path="m0,14l43,14,43,0,0,0,0,14xe">
                  <v:path/>
                  <v:fill on="t" focussize="0,0"/>
                  <v:stroke on="f"/>
                  <v:imagedata o:title=""/>
                  <o:lock v:ext="edit"/>
                </v:shape>
              </w:pict>
            </w:r>
            <w:r>
              <w:rPr>
                <w:position w:val="-1"/>
              </w:rPr>
              <w:pict>
                <v:group id="_x0000_s1374" o:spid="_x0000_s1374" o:spt="203" style="height:3.4pt;width:1.45pt;" coordsize="29,68">
                  <o:lock v:ext="edit"/>
                  <v:shape id="_x0000_s1375" o:spid="_x0000_s1375" style="position:absolute;left:14;top:0;height:68;width:15;" fillcolor="#20507B" filled="t" stroked="f" coordsize="15,68" path="m0,67l14,67,14,0,0,0,0,67xe">
                    <v:path/>
                    <v:fill on="t" focussize="0,0"/>
                    <v:stroke on="f"/>
                    <v:imagedata o:title=""/>
                    <o:lock v:ext="edit"/>
                  </v:shape>
                  <v:shape id="_x0000_s1376" o:spid="_x0000_s1376" style="position:absolute;left:0;top:0;height:68;width:15;" fillcolor="#1C456A" filled="t" stroked="f" coordsize="15,68" path="m0,67l14,67,14,0,0,0,0,67xe">
                    <v:path/>
                    <v:fill on="t" focussize="0,0"/>
                    <v:stroke on="f"/>
                    <v:imagedata o:title=""/>
                    <o:lock v:ext="edit"/>
                  </v:shape>
                  <w10:wrap type="none"/>
                  <w10:anchorlock/>
                </v:group>
              </w:pict>
            </w:r>
          </w:p>
        </w:tc>
      </w:tr>
    </w:tbl>
    <w:p w14:paraId="389A91B8">
      <w:pPr>
        <w:rPr>
          <w:rFonts w:ascii="Arial"/>
          <w:sz w:val="21"/>
        </w:rPr>
      </w:pPr>
    </w:p>
    <w:p w14:paraId="60E3FC35">
      <w:pPr>
        <w:rPr>
          <w:rFonts w:ascii="Arial" w:hAnsi="Arial" w:eastAsia="Arial" w:cs="Arial"/>
          <w:sz w:val="21"/>
          <w:szCs w:val="21"/>
        </w:rPr>
        <w:sectPr>
          <w:footerReference r:id="rId46" w:type="default"/>
          <w:pgSz w:w="11907" w:h="16839"/>
          <w:pgMar w:top="954" w:right="4" w:bottom="1038" w:left="0" w:header="499" w:footer="357" w:gutter="0"/>
          <w:pgBorders>
            <w:top w:val="none" w:sz="0" w:space="0"/>
            <w:left w:val="none" w:sz="0" w:space="0"/>
            <w:bottom w:val="none" w:sz="0" w:space="0"/>
            <w:right w:val="none" w:sz="0" w:space="0"/>
          </w:pgBorders>
          <w:cols w:space="720" w:num="1"/>
        </w:sectPr>
      </w:pPr>
    </w:p>
    <w:p w14:paraId="50F11CC8">
      <w:pPr>
        <w:spacing w:line="214" w:lineRule="exact"/>
      </w:pPr>
    </w:p>
    <w:tbl>
      <w:tblPr>
        <w:tblStyle w:val="6"/>
        <w:tblW w:w="9370" w:type="dxa"/>
        <w:tblInd w:w="126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19"/>
        <w:gridCol w:w="718"/>
        <w:gridCol w:w="614"/>
        <w:gridCol w:w="6007"/>
        <w:gridCol w:w="1614"/>
        <w:gridCol w:w="198"/>
      </w:tblGrid>
      <w:tr w14:paraId="1BA425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2" w:hRule="atLeast"/>
        </w:trPr>
        <w:tc>
          <w:tcPr>
            <w:tcW w:w="937" w:type="dxa"/>
            <w:gridSpan w:val="2"/>
            <w:tcBorders>
              <w:top w:val="single" w:color="000000" w:sz="4" w:space="0"/>
              <w:left w:val="single" w:color="000000" w:sz="4" w:space="0"/>
            </w:tcBorders>
            <w:vAlign w:val="top"/>
          </w:tcPr>
          <w:p w14:paraId="7E3B8481">
            <w:pPr>
              <w:pStyle w:val="7"/>
              <w:spacing w:before="143" w:line="237" w:lineRule="auto"/>
              <w:ind w:left="428"/>
            </w:pPr>
            <w:r>
              <w:t>3</w:t>
            </w:r>
          </w:p>
        </w:tc>
        <w:tc>
          <w:tcPr>
            <w:tcW w:w="614" w:type="dxa"/>
            <w:vMerge w:val="restart"/>
            <w:tcBorders>
              <w:top w:val="single" w:color="000000" w:sz="4" w:space="0"/>
              <w:bottom w:val="nil"/>
            </w:tcBorders>
            <w:vAlign w:val="top"/>
          </w:tcPr>
          <w:p w14:paraId="2C55A943">
            <w:pPr>
              <w:pStyle w:val="7"/>
              <w:spacing w:before="129" w:line="218" w:lineRule="auto"/>
              <w:ind w:left="98"/>
            </w:pPr>
            <w:r>
              <w:rPr>
                <w:spacing w:val="-11"/>
              </w:rPr>
              <w:t>准备</w:t>
            </w:r>
          </w:p>
        </w:tc>
        <w:tc>
          <w:tcPr>
            <w:tcW w:w="6007" w:type="dxa"/>
            <w:tcBorders>
              <w:top w:val="single" w:color="000000" w:sz="4" w:space="0"/>
            </w:tcBorders>
            <w:vAlign w:val="top"/>
          </w:tcPr>
          <w:p w14:paraId="7517A2A0">
            <w:pPr>
              <w:pStyle w:val="7"/>
              <w:spacing w:before="143" w:line="216" w:lineRule="auto"/>
              <w:ind w:left="945"/>
            </w:pPr>
            <w:r>
              <w:rPr>
                <w:spacing w:val="-21"/>
              </w:rPr>
              <w:t>编制项目质量保证计划，并送有关部门审批</w:t>
            </w:r>
          </w:p>
        </w:tc>
        <w:tc>
          <w:tcPr>
            <w:tcW w:w="1812" w:type="dxa"/>
            <w:gridSpan w:val="2"/>
            <w:tcBorders>
              <w:top w:val="single" w:color="5B9BD5" w:sz="4" w:space="0"/>
              <w:right w:val="single" w:color="5B9BD5" w:sz="4" w:space="0"/>
            </w:tcBorders>
            <w:vAlign w:val="top"/>
          </w:tcPr>
          <w:p w14:paraId="60004C73">
            <w:pPr>
              <w:pStyle w:val="7"/>
              <w:spacing w:before="143" w:line="218" w:lineRule="auto"/>
              <w:ind w:left="372"/>
            </w:pPr>
            <w:r>
              <w:rPr>
                <w:spacing w:val="-18"/>
              </w:rPr>
              <w:t>质量安全部</w:t>
            </w:r>
          </w:p>
        </w:tc>
      </w:tr>
      <w:tr w14:paraId="6CA174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12" w:hRule="atLeast"/>
        </w:trPr>
        <w:tc>
          <w:tcPr>
            <w:tcW w:w="937" w:type="dxa"/>
            <w:gridSpan w:val="2"/>
            <w:tcBorders>
              <w:left w:val="single" w:color="000000" w:sz="4" w:space="0"/>
            </w:tcBorders>
            <w:vAlign w:val="top"/>
          </w:tcPr>
          <w:p w14:paraId="64046890">
            <w:pPr>
              <w:spacing w:line="279" w:lineRule="auto"/>
              <w:rPr>
                <w:rFonts w:ascii="Arial"/>
                <w:sz w:val="21"/>
              </w:rPr>
            </w:pPr>
          </w:p>
          <w:p w14:paraId="33923D75">
            <w:pPr>
              <w:pStyle w:val="7"/>
              <w:spacing w:before="78" w:line="238" w:lineRule="auto"/>
              <w:ind w:left="422"/>
            </w:pPr>
            <w:r>
              <w:t>4</w:t>
            </w:r>
          </w:p>
        </w:tc>
        <w:tc>
          <w:tcPr>
            <w:tcW w:w="614" w:type="dxa"/>
            <w:vMerge w:val="continue"/>
            <w:tcBorders>
              <w:top w:val="nil"/>
              <w:bottom w:val="nil"/>
            </w:tcBorders>
            <w:vAlign w:val="top"/>
          </w:tcPr>
          <w:p w14:paraId="4E6D49A4">
            <w:pPr>
              <w:rPr>
                <w:rFonts w:ascii="Arial"/>
                <w:sz w:val="21"/>
              </w:rPr>
            </w:pPr>
          </w:p>
        </w:tc>
        <w:tc>
          <w:tcPr>
            <w:tcW w:w="6007" w:type="dxa"/>
            <w:vAlign w:val="top"/>
          </w:tcPr>
          <w:p w14:paraId="6DFB71BB">
            <w:pPr>
              <w:spacing w:line="279" w:lineRule="auto"/>
              <w:rPr>
                <w:rFonts w:ascii="Arial"/>
                <w:sz w:val="21"/>
              </w:rPr>
            </w:pPr>
          </w:p>
          <w:p w14:paraId="62F3E261">
            <w:pPr>
              <w:pStyle w:val="7"/>
              <w:spacing w:before="78" w:line="217" w:lineRule="auto"/>
              <w:ind w:left="291"/>
            </w:pPr>
            <w:r>
              <w:rPr>
                <w:spacing w:val="-21"/>
              </w:rPr>
              <w:t>制定各项工程技术措施，组织技术、安全、文明施工交底</w:t>
            </w:r>
          </w:p>
        </w:tc>
        <w:tc>
          <w:tcPr>
            <w:tcW w:w="1614" w:type="dxa"/>
            <w:tcBorders>
              <w:right w:val="nil"/>
            </w:tcBorders>
            <w:vAlign w:val="top"/>
          </w:tcPr>
          <w:p w14:paraId="12D5EAA7">
            <w:pPr>
              <w:spacing w:line="278" w:lineRule="auto"/>
              <w:rPr>
                <w:rFonts w:ascii="Arial"/>
                <w:sz w:val="21"/>
              </w:rPr>
            </w:pPr>
          </w:p>
          <w:p w14:paraId="716C1D19">
            <w:pPr>
              <w:pStyle w:val="7"/>
              <w:spacing w:before="78" w:line="218" w:lineRule="auto"/>
              <w:ind w:left="372"/>
            </w:pPr>
            <w:r>
              <w:rPr>
                <w:spacing w:val="-18"/>
              </w:rPr>
              <w:t>工程技术科</w:t>
            </w:r>
          </w:p>
        </w:tc>
        <w:tc>
          <w:tcPr>
            <w:tcW w:w="198" w:type="dxa"/>
            <w:tcBorders>
              <w:left w:val="nil"/>
              <w:right w:val="single" w:color="000000" w:sz="4" w:space="0"/>
            </w:tcBorders>
            <w:vAlign w:val="top"/>
          </w:tcPr>
          <w:p w14:paraId="7BA6E745">
            <w:pPr>
              <w:spacing w:line="58" w:lineRule="exact"/>
              <w:ind w:firstLine="160"/>
            </w:pPr>
            <w:r>
              <w:rPr>
                <w:position w:val="-1"/>
              </w:rPr>
              <w:pict>
                <v:group id="_x0000_s1377" o:spid="_x0000_s1377" o:spt="203" style="height:3.4pt;width:1.45pt;" coordsize="29,68">
                  <o:lock v:ext="edit"/>
                  <v:shape id="_x0000_s1378" o:spid="_x0000_s1378" style="position:absolute;left:14;top:0;height:68;width:15;" fillcolor="#20507B" filled="t" stroked="f" coordsize="15,68" path="m0,67l14,67,14,0,0,0,0,67xe">
                    <v:path/>
                    <v:fill on="t" focussize="0,0"/>
                    <v:stroke on="f"/>
                    <v:imagedata o:title=""/>
                    <o:lock v:ext="edit"/>
                  </v:shape>
                  <v:shape id="_x0000_s1379" o:spid="_x0000_s1379" style="position:absolute;left:0;top:0;height:68;width:15;" fillcolor="#1C456A" filled="t" stroked="f" coordsize="15,68" path="m0,67l14,67,14,0,0,0,0,67xe">
                    <v:path/>
                    <v:fill on="t" focussize="0,0"/>
                    <v:stroke on="f"/>
                    <v:imagedata o:title=""/>
                    <o:lock v:ext="edit"/>
                  </v:shape>
                  <w10:wrap type="none"/>
                  <w10:anchorlock/>
                </v:group>
              </w:pict>
            </w:r>
          </w:p>
        </w:tc>
      </w:tr>
      <w:tr w14:paraId="2FA515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6" w:hRule="atLeast"/>
        </w:trPr>
        <w:tc>
          <w:tcPr>
            <w:tcW w:w="937" w:type="dxa"/>
            <w:gridSpan w:val="2"/>
            <w:tcBorders>
              <w:left w:val="single" w:color="000000" w:sz="4" w:space="0"/>
            </w:tcBorders>
            <w:vAlign w:val="top"/>
          </w:tcPr>
          <w:p w14:paraId="334D2884">
            <w:pPr>
              <w:pStyle w:val="7"/>
              <w:spacing w:before="110" w:line="237" w:lineRule="auto"/>
              <w:ind w:left="428"/>
            </w:pPr>
            <w:r>
              <w:t>5</w:t>
            </w:r>
          </w:p>
        </w:tc>
        <w:tc>
          <w:tcPr>
            <w:tcW w:w="614" w:type="dxa"/>
            <w:vMerge w:val="continue"/>
            <w:tcBorders>
              <w:top w:val="nil"/>
              <w:bottom w:val="nil"/>
            </w:tcBorders>
            <w:vAlign w:val="top"/>
          </w:tcPr>
          <w:p w14:paraId="2E555E74">
            <w:pPr>
              <w:rPr>
                <w:rFonts w:ascii="Arial"/>
                <w:sz w:val="21"/>
              </w:rPr>
            </w:pPr>
          </w:p>
        </w:tc>
        <w:tc>
          <w:tcPr>
            <w:tcW w:w="6007" w:type="dxa"/>
            <w:vAlign w:val="top"/>
          </w:tcPr>
          <w:p w14:paraId="348F97B2">
            <w:pPr>
              <w:pStyle w:val="7"/>
              <w:spacing w:before="110" w:line="216" w:lineRule="auto"/>
              <w:ind w:left="1381"/>
            </w:pPr>
            <w:r>
              <w:rPr>
                <w:spacing w:val="-21"/>
              </w:rPr>
              <w:t>做好施工预算及分部工程工料分析</w:t>
            </w:r>
          </w:p>
        </w:tc>
        <w:tc>
          <w:tcPr>
            <w:tcW w:w="1614" w:type="dxa"/>
            <w:tcBorders>
              <w:right w:val="nil"/>
            </w:tcBorders>
            <w:vAlign w:val="top"/>
          </w:tcPr>
          <w:p w14:paraId="7D5552BC">
            <w:pPr>
              <w:pStyle w:val="7"/>
              <w:spacing w:before="109" w:line="217" w:lineRule="auto"/>
              <w:ind w:left="368"/>
            </w:pPr>
            <w:r>
              <w:rPr>
                <w:spacing w:val="-17"/>
              </w:rPr>
              <w:t>物资设备部</w:t>
            </w:r>
          </w:p>
        </w:tc>
        <w:tc>
          <w:tcPr>
            <w:tcW w:w="198" w:type="dxa"/>
            <w:tcBorders>
              <w:left w:val="nil"/>
              <w:right w:val="single" w:color="000000" w:sz="4" w:space="0"/>
            </w:tcBorders>
            <w:vAlign w:val="top"/>
          </w:tcPr>
          <w:p w14:paraId="439F457F">
            <w:pPr>
              <w:spacing w:line="59" w:lineRule="exact"/>
              <w:ind w:firstLine="160"/>
            </w:pPr>
            <w:r>
              <w:rPr>
                <w:position w:val="-1"/>
              </w:rPr>
              <w:pict>
                <v:group id="_x0000_s1380" o:spid="_x0000_s1380" o:spt="203" style="height:3.4pt;width:1.45pt;" coordsize="29,68">
                  <o:lock v:ext="edit"/>
                  <v:shape id="_x0000_s1381" o:spid="_x0000_s1381" style="position:absolute;left:14;top:0;height:68;width:15;" fillcolor="#20507B" filled="t" stroked="f" coordsize="15,68" path="m0,67l14,67,14,0,0,0,0,67xe">
                    <v:path/>
                    <v:fill on="t" focussize="0,0"/>
                    <v:stroke on="f"/>
                    <v:imagedata o:title=""/>
                    <o:lock v:ext="edit"/>
                  </v:shape>
                  <v:shape id="_x0000_s1382" o:spid="_x0000_s1382" style="position:absolute;left:0;top:0;height:68;width:15;" fillcolor="#1C456A" filled="t" stroked="f" coordsize="15,68" path="m0,67l14,67,14,0,0,0,0,67xe">
                    <v:path/>
                    <v:fill on="t" focussize="0,0"/>
                    <v:stroke on="f"/>
                    <v:imagedata o:title=""/>
                    <o:lock v:ext="edit"/>
                  </v:shape>
                  <w10:wrap type="none"/>
                  <w10:anchorlock/>
                </v:group>
              </w:pict>
            </w:r>
          </w:p>
        </w:tc>
      </w:tr>
      <w:tr w14:paraId="530684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1115" w:hRule="atLeast"/>
        </w:trPr>
        <w:tc>
          <w:tcPr>
            <w:tcW w:w="937" w:type="dxa"/>
            <w:gridSpan w:val="2"/>
            <w:tcBorders>
              <w:left w:val="single" w:color="000000" w:sz="4" w:space="0"/>
            </w:tcBorders>
            <w:vAlign w:val="top"/>
          </w:tcPr>
          <w:p w14:paraId="078C650D">
            <w:pPr>
              <w:spacing w:line="280" w:lineRule="auto"/>
              <w:rPr>
                <w:rFonts w:ascii="Arial"/>
                <w:sz w:val="21"/>
              </w:rPr>
            </w:pPr>
          </w:p>
          <w:p w14:paraId="606A2BFE">
            <w:pPr>
              <w:pStyle w:val="7"/>
              <w:spacing w:before="78" w:line="237" w:lineRule="auto"/>
              <w:ind w:left="425"/>
            </w:pPr>
            <w:r>
              <w:t>6</w:t>
            </w:r>
          </w:p>
        </w:tc>
        <w:tc>
          <w:tcPr>
            <w:tcW w:w="614" w:type="dxa"/>
            <w:vMerge w:val="continue"/>
            <w:tcBorders>
              <w:top w:val="nil"/>
            </w:tcBorders>
            <w:vAlign w:val="top"/>
          </w:tcPr>
          <w:p w14:paraId="6E3A38E9">
            <w:pPr>
              <w:rPr>
                <w:rFonts w:ascii="Arial"/>
                <w:sz w:val="21"/>
              </w:rPr>
            </w:pPr>
          </w:p>
        </w:tc>
        <w:tc>
          <w:tcPr>
            <w:tcW w:w="6007" w:type="dxa"/>
            <w:vAlign w:val="top"/>
          </w:tcPr>
          <w:p w14:paraId="1C656750">
            <w:pPr>
              <w:spacing w:line="280" w:lineRule="auto"/>
              <w:rPr>
                <w:rFonts w:ascii="Arial"/>
                <w:sz w:val="21"/>
              </w:rPr>
            </w:pPr>
          </w:p>
          <w:p w14:paraId="2AC74311">
            <w:pPr>
              <w:pStyle w:val="7"/>
              <w:spacing w:before="78" w:line="218" w:lineRule="auto"/>
              <w:ind w:left="297"/>
            </w:pPr>
            <w:r>
              <w:rPr>
                <w:spacing w:val="-21"/>
              </w:rPr>
              <w:t>主要构配件及时统计，提出加工定货数量规格</w:t>
            </w:r>
            <w:r>
              <w:rPr>
                <w:spacing w:val="-22"/>
              </w:rPr>
              <w:t>和需用日期</w:t>
            </w:r>
          </w:p>
        </w:tc>
        <w:tc>
          <w:tcPr>
            <w:tcW w:w="1812" w:type="dxa"/>
            <w:gridSpan w:val="2"/>
            <w:tcBorders>
              <w:right w:val="single" w:color="000000" w:sz="4" w:space="0"/>
            </w:tcBorders>
            <w:vAlign w:val="top"/>
          </w:tcPr>
          <w:p w14:paraId="745A92D6">
            <w:pPr>
              <w:spacing w:line="60" w:lineRule="exact"/>
              <w:ind w:right="3"/>
              <w:jc w:val="right"/>
            </w:pPr>
            <w:r>
              <w:rPr>
                <w:position w:val="-1"/>
              </w:rPr>
              <w:drawing>
                <wp:inline distT="0" distB="0" distL="0" distR="0">
                  <wp:extent cx="17780" cy="38100"/>
                  <wp:effectExtent l="0" t="0" r="0" b="0"/>
                  <wp:docPr id="244" name="IM 244"/>
                  <wp:cNvGraphicFramePr/>
                  <a:graphic xmlns:a="http://schemas.openxmlformats.org/drawingml/2006/main">
                    <a:graphicData uri="http://schemas.openxmlformats.org/drawingml/2006/picture">
                      <pic:pic xmlns:pic="http://schemas.openxmlformats.org/drawingml/2006/picture">
                        <pic:nvPicPr>
                          <pic:cNvPr id="244" name="IM 244"/>
                          <pic:cNvPicPr/>
                        </pic:nvPicPr>
                        <pic:blipFill>
                          <a:blip r:embed="rId475"/>
                          <a:stretch>
                            <a:fillRect/>
                          </a:stretch>
                        </pic:blipFill>
                        <pic:spPr>
                          <a:xfrm>
                            <a:off x="0" y="0"/>
                            <a:ext cx="18287" cy="38227"/>
                          </a:xfrm>
                          <a:prstGeom prst="rect">
                            <a:avLst/>
                          </a:prstGeom>
                        </pic:spPr>
                      </pic:pic>
                    </a:graphicData>
                  </a:graphic>
                </wp:inline>
              </w:drawing>
            </w:r>
          </w:p>
          <w:p w14:paraId="79720299">
            <w:pPr>
              <w:pStyle w:val="7"/>
              <w:spacing w:before="68" w:line="359" w:lineRule="auto"/>
              <w:ind w:left="581" w:right="46" w:hanging="504"/>
            </w:pPr>
            <w:r>
              <w:rPr>
                <w:spacing w:val="-30"/>
              </w:rPr>
              <w:t>工程技术科、物资</w:t>
            </w:r>
            <w:r>
              <w:rPr>
                <w:spacing w:val="-13"/>
              </w:rPr>
              <w:t>设备部</w:t>
            </w:r>
          </w:p>
        </w:tc>
      </w:tr>
      <w:tr w14:paraId="46E310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6" w:hRule="atLeast"/>
        </w:trPr>
        <w:tc>
          <w:tcPr>
            <w:tcW w:w="937" w:type="dxa"/>
            <w:gridSpan w:val="2"/>
            <w:tcBorders>
              <w:left w:val="single" w:color="000000" w:sz="4" w:space="0"/>
            </w:tcBorders>
            <w:vAlign w:val="top"/>
          </w:tcPr>
          <w:p w14:paraId="053467C8">
            <w:pPr>
              <w:pStyle w:val="7"/>
              <w:spacing w:before="111" w:line="237" w:lineRule="auto"/>
              <w:ind w:left="428"/>
            </w:pPr>
            <w:r>
              <w:t>7</w:t>
            </w:r>
          </w:p>
        </w:tc>
        <w:tc>
          <w:tcPr>
            <w:tcW w:w="614" w:type="dxa"/>
            <w:vMerge w:val="restart"/>
            <w:tcBorders>
              <w:bottom w:val="nil"/>
            </w:tcBorders>
            <w:vAlign w:val="top"/>
          </w:tcPr>
          <w:p w14:paraId="5E8F940B">
            <w:pPr>
              <w:spacing w:line="258" w:lineRule="auto"/>
              <w:rPr>
                <w:rFonts w:ascii="Arial"/>
                <w:sz w:val="21"/>
              </w:rPr>
            </w:pPr>
          </w:p>
          <w:p w14:paraId="49169605">
            <w:pPr>
              <w:spacing w:line="258" w:lineRule="auto"/>
              <w:rPr>
                <w:rFonts w:ascii="Arial"/>
                <w:sz w:val="21"/>
              </w:rPr>
            </w:pPr>
          </w:p>
          <w:p w14:paraId="3123918A">
            <w:pPr>
              <w:spacing w:line="258" w:lineRule="auto"/>
              <w:rPr>
                <w:rFonts w:ascii="Arial"/>
                <w:sz w:val="21"/>
              </w:rPr>
            </w:pPr>
          </w:p>
          <w:p w14:paraId="1D1B104D">
            <w:pPr>
              <w:spacing w:line="259" w:lineRule="auto"/>
              <w:rPr>
                <w:rFonts w:ascii="Arial"/>
                <w:sz w:val="21"/>
              </w:rPr>
            </w:pPr>
          </w:p>
          <w:p w14:paraId="5FDC7E2B">
            <w:pPr>
              <w:spacing w:line="259" w:lineRule="auto"/>
              <w:rPr>
                <w:rFonts w:ascii="Arial"/>
                <w:sz w:val="21"/>
              </w:rPr>
            </w:pPr>
          </w:p>
          <w:p w14:paraId="09F41DC8">
            <w:pPr>
              <w:spacing w:line="259" w:lineRule="auto"/>
              <w:rPr>
                <w:rFonts w:ascii="Arial"/>
                <w:sz w:val="21"/>
              </w:rPr>
            </w:pPr>
          </w:p>
          <w:p w14:paraId="2440BA94">
            <w:pPr>
              <w:spacing w:line="259" w:lineRule="auto"/>
              <w:rPr>
                <w:rFonts w:ascii="Arial"/>
                <w:sz w:val="21"/>
              </w:rPr>
            </w:pPr>
          </w:p>
          <w:p w14:paraId="209C114C">
            <w:pPr>
              <w:spacing w:line="259" w:lineRule="auto"/>
              <w:rPr>
                <w:rFonts w:ascii="Arial"/>
                <w:sz w:val="21"/>
              </w:rPr>
            </w:pPr>
          </w:p>
          <w:p w14:paraId="4098F11B">
            <w:pPr>
              <w:spacing w:line="259" w:lineRule="auto"/>
              <w:rPr>
                <w:rFonts w:ascii="Arial"/>
                <w:sz w:val="21"/>
              </w:rPr>
            </w:pPr>
          </w:p>
          <w:p w14:paraId="16AB1877">
            <w:pPr>
              <w:spacing w:line="259" w:lineRule="auto"/>
              <w:rPr>
                <w:rFonts w:ascii="Arial"/>
                <w:sz w:val="21"/>
              </w:rPr>
            </w:pPr>
          </w:p>
          <w:p w14:paraId="1B5BA7DC">
            <w:pPr>
              <w:spacing w:line="259" w:lineRule="auto"/>
              <w:rPr>
                <w:rFonts w:ascii="Arial"/>
                <w:sz w:val="21"/>
              </w:rPr>
            </w:pPr>
          </w:p>
          <w:p w14:paraId="0122A1B6">
            <w:pPr>
              <w:pStyle w:val="7"/>
              <w:spacing w:before="78" w:line="219" w:lineRule="auto"/>
              <w:ind w:left="95"/>
            </w:pPr>
            <w:r>
              <w:rPr>
                <w:spacing w:val="-10"/>
              </w:rPr>
              <w:t>现场</w:t>
            </w:r>
          </w:p>
          <w:p w14:paraId="3D43E4F4">
            <w:pPr>
              <w:pStyle w:val="7"/>
              <w:spacing w:before="182" w:line="220" w:lineRule="auto"/>
              <w:ind w:left="110"/>
            </w:pPr>
            <w:r>
              <w:rPr>
                <w:spacing w:val="-13"/>
              </w:rPr>
              <w:t>生产</w:t>
            </w:r>
          </w:p>
          <w:p w14:paraId="0AE10195">
            <w:pPr>
              <w:pStyle w:val="7"/>
              <w:spacing w:before="180" w:line="218" w:lineRule="auto"/>
              <w:ind w:left="98"/>
            </w:pPr>
            <w:r>
              <w:rPr>
                <w:spacing w:val="-11"/>
              </w:rPr>
              <w:t>准备</w:t>
            </w:r>
          </w:p>
        </w:tc>
        <w:tc>
          <w:tcPr>
            <w:tcW w:w="6007" w:type="dxa"/>
            <w:vAlign w:val="top"/>
          </w:tcPr>
          <w:p w14:paraId="7923F820">
            <w:pPr>
              <w:pStyle w:val="7"/>
              <w:spacing w:before="111" w:line="217" w:lineRule="auto"/>
              <w:ind w:left="2035"/>
            </w:pPr>
            <w:r>
              <w:rPr>
                <w:spacing w:val="-20"/>
              </w:rPr>
              <w:t>对施工区进行全封闭</w:t>
            </w:r>
          </w:p>
        </w:tc>
        <w:tc>
          <w:tcPr>
            <w:tcW w:w="1614" w:type="dxa"/>
            <w:tcBorders>
              <w:right w:val="nil"/>
            </w:tcBorders>
            <w:vAlign w:val="top"/>
          </w:tcPr>
          <w:p w14:paraId="5161E023">
            <w:pPr>
              <w:pStyle w:val="7"/>
              <w:spacing w:before="111" w:line="218" w:lineRule="auto"/>
              <w:ind w:left="372"/>
            </w:pPr>
            <w:r>
              <w:rPr>
                <w:spacing w:val="-18"/>
              </w:rPr>
              <w:t>工程技术科</w:t>
            </w:r>
          </w:p>
        </w:tc>
        <w:tc>
          <w:tcPr>
            <w:tcW w:w="198" w:type="dxa"/>
            <w:tcBorders>
              <w:left w:val="nil"/>
              <w:right w:val="single" w:color="000000" w:sz="4" w:space="0"/>
            </w:tcBorders>
            <w:vAlign w:val="top"/>
          </w:tcPr>
          <w:p w14:paraId="0F68313F">
            <w:pPr>
              <w:spacing w:line="61" w:lineRule="exact"/>
              <w:ind w:firstLine="160"/>
            </w:pPr>
            <w:r>
              <w:rPr>
                <w:position w:val="-1"/>
              </w:rPr>
              <w:pict>
                <v:group id="_x0000_s1383" o:spid="_x0000_s1383" o:spt="203" style="height:3.4pt;width:1.45pt;" coordsize="29,68">
                  <o:lock v:ext="edit"/>
                  <v:shape id="_x0000_s1384" o:spid="_x0000_s1384" style="position:absolute;left:14;top:0;height:68;width:15;" fillcolor="#20507B" filled="t" stroked="f" coordsize="15,68" path="m0,67l14,67,14,0,0,0,0,67xe">
                    <v:path/>
                    <v:fill on="t" focussize="0,0"/>
                    <v:stroke on="f"/>
                    <v:imagedata o:title=""/>
                    <o:lock v:ext="edit"/>
                  </v:shape>
                  <v:shape id="_x0000_s1385" o:spid="_x0000_s1385" style="position:absolute;left:0;top:0;height:68;width:15;" fillcolor="#1C456A" filled="t" stroked="f" coordsize="15,68" path="m0,67l14,67,14,0,0,0,0,67xe">
                    <v:path/>
                    <v:fill on="t" focussize="0,0"/>
                    <v:stroke on="f"/>
                    <v:imagedata o:title=""/>
                    <o:lock v:ext="edit"/>
                  </v:shape>
                  <w10:wrap type="none"/>
                  <w10:anchorlock/>
                </v:group>
              </w:pict>
            </w:r>
          </w:p>
        </w:tc>
      </w:tr>
      <w:tr w14:paraId="1D114B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1113" w:hRule="atLeast"/>
        </w:trPr>
        <w:tc>
          <w:tcPr>
            <w:tcW w:w="937" w:type="dxa"/>
            <w:gridSpan w:val="2"/>
            <w:tcBorders>
              <w:left w:val="single" w:color="000000" w:sz="4" w:space="0"/>
            </w:tcBorders>
            <w:vAlign w:val="top"/>
          </w:tcPr>
          <w:p w14:paraId="4192EBCA">
            <w:pPr>
              <w:spacing w:line="282" w:lineRule="auto"/>
              <w:rPr>
                <w:rFonts w:ascii="Arial"/>
                <w:sz w:val="21"/>
              </w:rPr>
            </w:pPr>
          </w:p>
          <w:p w14:paraId="76EBB6EA">
            <w:pPr>
              <w:pStyle w:val="7"/>
              <w:spacing w:before="78" w:line="237" w:lineRule="auto"/>
              <w:ind w:left="424"/>
            </w:pPr>
            <w:r>
              <w:t>8</w:t>
            </w:r>
          </w:p>
        </w:tc>
        <w:tc>
          <w:tcPr>
            <w:tcW w:w="614" w:type="dxa"/>
            <w:vMerge w:val="continue"/>
            <w:tcBorders>
              <w:top w:val="nil"/>
              <w:bottom w:val="nil"/>
            </w:tcBorders>
            <w:vAlign w:val="top"/>
          </w:tcPr>
          <w:p w14:paraId="25D5DE34">
            <w:pPr>
              <w:rPr>
                <w:rFonts w:ascii="Arial"/>
                <w:sz w:val="21"/>
              </w:rPr>
            </w:pPr>
          </w:p>
        </w:tc>
        <w:tc>
          <w:tcPr>
            <w:tcW w:w="6007" w:type="dxa"/>
            <w:vAlign w:val="top"/>
          </w:tcPr>
          <w:p w14:paraId="36D613BD">
            <w:pPr>
              <w:pStyle w:val="7"/>
              <w:spacing w:before="129" w:line="216" w:lineRule="auto"/>
              <w:ind w:left="71"/>
            </w:pPr>
            <w:r>
              <w:rPr>
                <w:spacing w:val="-21"/>
              </w:rPr>
              <w:t>利用原有场内道路，按平面布置作好场内外的接口道路，</w:t>
            </w:r>
            <w:r>
              <w:rPr>
                <w:spacing w:val="-22"/>
              </w:rPr>
              <w:t>材料</w:t>
            </w:r>
          </w:p>
          <w:p w14:paraId="203B9FEF">
            <w:pPr>
              <w:pStyle w:val="7"/>
              <w:spacing w:before="184" w:line="217" w:lineRule="auto"/>
              <w:ind w:left="1490"/>
            </w:pPr>
            <w:r>
              <w:rPr>
                <w:spacing w:val="-21"/>
              </w:rPr>
              <w:t>堆放场地进行级配砂石或砼硬化</w:t>
            </w:r>
          </w:p>
        </w:tc>
        <w:tc>
          <w:tcPr>
            <w:tcW w:w="1614" w:type="dxa"/>
            <w:tcBorders>
              <w:right w:val="nil"/>
            </w:tcBorders>
            <w:vAlign w:val="top"/>
          </w:tcPr>
          <w:p w14:paraId="25204C60">
            <w:pPr>
              <w:spacing w:line="282" w:lineRule="auto"/>
              <w:rPr>
                <w:rFonts w:ascii="Arial"/>
                <w:sz w:val="21"/>
              </w:rPr>
            </w:pPr>
          </w:p>
          <w:p w14:paraId="32096762">
            <w:pPr>
              <w:pStyle w:val="7"/>
              <w:spacing w:before="78" w:line="218" w:lineRule="auto"/>
              <w:ind w:left="372"/>
            </w:pPr>
            <w:r>
              <w:rPr>
                <w:spacing w:val="-18"/>
              </w:rPr>
              <w:t>工程技术科</w:t>
            </w:r>
          </w:p>
        </w:tc>
        <w:tc>
          <w:tcPr>
            <w:tcW w:w="198" w:type="dxa"/>
            <w:tcBorders>
              <w:left w:val="nil"/>
              <w:right w:val="single" w:color="000000" w:sz="4" w:space="0"/>
            </w:tcBorders>
            <w:vAlign w:val="top"/>
          </w:tcPr>
          <w:p w14:paraId="5822D124">
            <w:pPr>
              <w:spacing w:line="62" w:lineRule="exact"/>
              <w:ind w:firstLine="160"/>
            </w:pPr>
            <w:r>
              <w:rPr>
                <w:position w:val="-1"/>
              </w:rPr>
              <w:pict>
                <v:group id="_x0000_s1386" o:spid="_x0000_s1386" o:spt="203" style="height:3.4pt;width:1.45pt;" coordsize="29,68">
                  <o:lock v:ext="edit"/>
                  <v:shape id="_x0000_s1387" o:spid="_x0000_s1387" style="position:absolute;left:14;top:0;height:68;width:15;" fillcolor="#20507B" filled="t" stroked="f" coordsize="15,68" path="m0,67l14,67,14,0,0,0,0,67xe">
                    <v:path/>
                    <v:fill on="t" focussize="0,0"/>
                    <v:stroke on="f"/>
                    <v:imagedata o:title=""/>
                    <o:lock v:ext="edit"/>
                  </v:shape>
                  <v:shape id="_x0000_s1388" o:spid="_x0000_s1388" style="position:absolute;left:0;top:0;height:68;width:15;" fillcolor="#1C456A" filled="t" stroked="f" coordsize="15,68" path="m0,67l14,67,14,0,0,0,0,67xe">
                    <v:path/>
                    <v:fill on="t" focussize="0,0"/>
                    <v:stroke on="f"/>
                    <v:imagedata o:title=""/>
                    <o:lock v:ext="edit"/>
                  </v:shape>
                  <w10:wrap type="none"/>
                  <w10:anchorlock/>
                </v:group>
              </w:pict>
            </w:r>
          </w:p>
        </w:tc>
      </w:tr>
      <w:tr w14:paraId="685F8F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1115" w:hRule="atLeast"/>
        </w:trPr>
        <w:tc>
          <w:tcPr>
            <w:tcW w:w="937" w:type="dxa"/>
            <w:gridSpan w:val="2"/>
            <w:tcBorders>
              <w:left w:val="single" w:color="000000" w:sz="4" w:space="0"/>
            </w:tcBorders>
            <w:vAlign w:val="top"/>
          </w:tcPr>
          <w:p w14:paraId="6EF56B67">
            <w:pPr>
              <w:spacing w:line="282" w:lineRule="auto"/>
              <w:rPr>
                <w:rFonts w:ascii="Arial"/>
                <w:sz w:val="21"/>
              </w:rPr>
            </w:pPr>
          </w:p>
          <w:p w14:paraId="41B896AC">
            <w:pPr>
              <w:pStyle w:val="7"/>
              <w:spacing w:before="78" w:line="237" w:lineRule="auto"/>
              <w:ind w:left="424"/>
            </w:pPr>
            <w:r>
              <w:t>9</w:t>
            </w:r>
          </w:p>
        </w:tc>
        <w:tc>
          <w:tcPr>
            <w:tcW w:w="614" w:type="dxa"/>
            <w:vMerge w:val="continue"/>
            <w:tcBorders>
              <w:top w:val="nil"/>
              <w:bottom w:val="nil"/>
            </w:tcBorders>
            <w:vAlign w:val="top"/>
          </w:tcPr>
          <w:p w14:paraId="3794179D">
            <w:pPr>
              <w:rPr>
                <w:rFonts w:ascii="Arial"/>
                <w:sz w:val="21"/>
              </w:rPr>
            </w:pPr>
          </w:p>
        </w:tc>
        <w:tc>
          <w:tcPr>
            <w:tcW w:w="6007" w:type="dxa"/>
            <w:vAlign w:val="top"/>
          </w:tcPr>
          <w:p w14:paraId="7E24AA4C">
            <w:pPr>
              <w:pStyle w:val="7"/>
              <w:spacing w:before="129" w:line="216" w:lineRule="auto"/>
              <w:ind w:left="77"/>
            </w:pPr>
            <w:r>
              <w:rPr>
                <w:spacing w:val="-21"/>
              </w:rPr>
              <w:t>通过现场详细勘察和计算，确定用电、用水计划</w:t>
            </w:r>
            <w:r>
              <w:rPr>
                <w:spacing w:val="-22"/>
              </w:rPr>
              <w:t>，按平面布置</w:t>
            </w:r>
          </w:p>
          <w:p w14:paraId="4A444A6D">
            <w:pPr>
              <w:pStyle w:val="7"/>
              <w:spacing w:before="187" w:line="216" w:lineRule="auto"/>
              <w:ind w:left="947"/>
            </w:pPr>
            <w:r>
              <w:rPr>
                <w:spacing w:val="-21"/>
              </w:rPr>
              <w:t>作好水、电线路的敷设，建立施工排污系统</w:t>
            </w:r>
          </w:p>
        </w:tc>
        <w:tc>
          <w:tcPr>
            <w:tcW w:w="1614" w:type="dxa"/>
            <w:tcBorders>
              <w:right w:val="nil"/>
            </w:tcBorders>
            <w:vAlign w:val="top"/>
          </w:tcPr>
          <w:p w14:paraId="333A6262">
            <w:pPr>
              <w:spacing w:line="283" w:lineRule="auto"/>
              <w:rPr>
                <w:rFonts w:ascii="Arial"/>
                <w:sz w:val="21"/>
              </w:rPr>
            </w:pPr>
          </w:p>
          <w:p w14:paraId="169FB9F0">
            <w:pPr>
              <w:pStyle w:val="7"/>
              <w:spacing w:before="78" w:line="218" w:lineRule="auto"/>
              <w:ind w:left="372"/>
            </w:pPr>
            <w:r>
              <w:rPr>
                <w:spacing w:val="-18"/>
              </w:rPr>
              <w:t>工程技术科</w:t>
            </w:r>
          </w:p>
        </w:tc>
        <w:tc>
          <w:tcPr>
            <w:tcW w:w="198" w:type="dxa"/>
            <w:tcBorders>
              <w:left w:val="nil"/>
              <w:right w:val="single" w:color="000000" w:sz="4" w:space="0"/>
            </w:tcBorders>
            <w:vAlign w:val="top"/>
          </w:tcPr>
          <w:p w14:paraId="4FC9CC49">
            <w:pPr>
              <w:spacing w:line="62" w:lineRule="exact"/>
              <w:ind w:firstLine="160"/>
            </w:pPr>
            <w:r>
              <w:rPr>
                <w:position w:val="-1"/>
              </w:rPr>
              <w:pict>
                <v:group id="_x0000_s1389" o:spid="_x0000_s1389" o:spt="203" style="height:3.4pt;width:1.45pt;" coordsize="29,68">
                  <o:lock v:ext="edit"/>
                  <v:shape id="_x0000_s1390" o:spid="_x0000_s1390" style="position:absolute;left:14;top:0;height:68;width:15;" fillcolor="#20507B" filled="t" stroked="f" coordsize="15,68" path="m0,67l14,67,14,0,0,0,0,67xe">
                    <v:path/>
                    <v:fill on="t" focussize="0,0"/>
                    <v:stroke on="f"/>
                    <v:imagedata o:title=""/>
                    <o:lock v:ext="edit"/>
                  </v:shape>
                  <v:shape id="_x0000_s1391" o:spid="_x0000_s1391" style="position:absolute;left:0;top:0;height:68;width:15;" fillcolor="#1C456A" filled="t" stroked="f" coordsize="15,68" path="m0,67l14,67,14,0,0,0,0,67xe">
                    <v:path/>
                    <v:fill on="t" focussize="0,0"/>
                    <v:stroke on="f"/>
                    <v:imagedata o:title=""/>
                    <o:lock v:ext="edit"/>
                  </v:shape>
                  <w10:wrap type="none"/>
                  <w10:anchorlock/>
                </v:group>
              </w:pict>
            </w:r>
          </w:p>
        </w:tc>
      </w:tr>
      <w:tr w14:paraId="486223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11" w:hRule="atLeast"/>
        </w:trPr>
        <w:tc>
          <w:tcPr>
            <w:tcW w:w="937" w:type="dxa"/>
            <w:gridSpan w:val="2"/>
            <w:tcBorders>
              <w:left w:val="single" w:color="000000" w:sz="4" w:space="0"/>
            </w:tcBorders>
            <w:vAlign w:val="top"/>
          </w:tcPr>
          <w:p w14:paraId="035735FE">
            <w:pPr>
              <w:spacing w:line="264" w:lineRule="auto"/>
              <w:rPr>
                <w:rFonts w:ascii="Arial"/>
                <w:sz w:val="21"/>
              </w:rPr>
            </w:pPr>
          </w:p>
          <w:p w14:paraId="7C6BF38A">
            <w:pPr>
              <w:spacing w:line="265" w:lineRule="auto"/>
              <w:rPr>
                <w:rFonts w:ascii="Arial"/>
                <w:sz w:val="21"/>
              </w:rPr>
            </w:pPr>
          </w:p>
          <w:p w14:paraId="18542840">
            <w:pPr>
              <w:pStyle w:val="7"/>
              <w:spacing w:before="78" w:line="237" w:lineRule="auto"/>
              <w:ind w:left="385"/>
            </w:pPr>
            <w:r>
              <w:rPr>
                <w:spacing w:val="-10"/>
              </w:rPr>
              <w:t>10</w:t>
            </w:r>
          </w:p>
        </w:tc>
        <w:tc>
          <w:tcPr>
            <w:tcW w:w="614" w:type="dxa"/>
            <w:vMerge w:val="continue"/>
            <w:tcBorders>
              <w:top w:val="nil"/>
              <w:bottom w:val="nil"/>
            </w:tcBorders>
            <w:vAlign w:val="top"/>
          </w:tcPr>
          <w:p w14:paraId="6C7A1483">
            <w:pPr>
              <w:rPr>
                <w:rFonts w:ascii="Arial"/>
                <w:sz w:val="21"/>
              </w:rPr>
            </w:pPr>
          </w:p>
        </w:tc>
        <w:tc>
          <w:tcPr>
            <w:tcW w:w="6007" w:type="dxa"/>
            <w:vAlign w:val="top"/>
          </w:tcPr>
          <w:p w14:paraId="5D427F77">
            <w:pPr>
              <w:spacing w:line="264" w:lineRule="auto"/>
              <w:rPr>
                <w:rFonts w:ascii="Arial"/>
                <w:sz w:val="21"/>
              </w:rPr>
            </w:pPr>
          </w:p>
          <w:p w14:paraId="53063BF5">
            <w:pPr>
              <w:spacing w:line="265" w:lineRule="auto"/>
              <w:rPr>
                <w:rFonts w:ascii="Arial"/>
                <w:sz w:val="21"/>
              </w:rPr>
            </w:pPr>
          </w:p>
          <w:p w14:paraId="1A0EB4BA">
            <w:pPr>
              <w:pStyle w:val="7"/>
              <w:spacing w:before="78" w:line="216" w:lineRule="auto"/>
              <w:ind w:left="1054"/>
            </w:pPr>
            <w:r>
              <w:rPr>
                <w:spacing w:val="-21"/>
              </w:rPr>
              <w:t>按照平面布置，搭设好设备及材料的仓库</w:t>
            </w:r>
          </w:p>
        </w:tc>
        <w:tc>
          <w:tcPr>
            <w:tcW w:w="1812" w:type="dxa"/>
            <w:gridSpan w:val="2"/>
            <w:tcBorders>
              <w:right w:val="single" w:color="000000" w:sz="4" w:space="0"/>
            </w:tcBorders>
            <w:vAlign w:val="top"/>
          </w:tcPr>
          <w:p w14:paraId="27124388">
            <w:pPr>
              <w:spacing w:line="63" w:lineRule="exact"/>
              <w:ind w:right="3"/>
              <w:jc w:val="right"/>
            </w:pPr>
            <w:r>
              <w:rPr>
                <w:position w:val="-1"/>
              </w:rPr>
              <w:drawing>
                <wp:inline distT="0" distB="0" distL="0" distR="0">
                  <wp:extent cx="17780" cy="40005"/>
                  <wp:effectExtent l="0" t="0" r="0" b="0"/>
                  <wp:docPr id="246" name="IM 246"/>
                  <wp:cNvGraphicFramePr/>
                  <a:graphic xmlns:a="http://schemas.openxmlformats.org/drawingml/2006/main">
                    <a:graphicData uri="http://schemas.openxmlformats.org/drawingml/2006/picture">
                      <pic:pic xmlns:pic="http://schemas.openxmlformats.org/drawingml/2006/picture">
                        <pic:nvPicPr>
                          <pic:cNvPr id="246" name="IM 246"/>
                          <pic:cNvPicPr/>
                        </pic:nvPicPr>
                        <pic:blipFill>
                          <a:blip r:embed="rId476"/>
                          <a:stretch>
                            <a:fillRect/>
                          </a:stretch>
                        </pic:blipFill>
                        <pic:spPr>
                          <a:xfrm>
                            <a:off x="0" y="0"/>
                            <a:ext cx="18287" cy="40259"/>
                          </a:xfrm>
                          <a:prstGeom prst="rect">
                            <a:avLst/>
                          </a:prstGeom>
                        </pic:spPr>
                      </pic:pic>
                    </a:graphicData>
                  </a:graphic>
                </wp:inline>
              </w:drawing>
            </w:r>
          </w:p>
          <w:p w14:paraId="0CFED180">
            <w:pPr>
              <w:pStyle w:val="7"/>
              <w:spacing w:before="81" w:line="217" w:lineRule="auto"/>
              <w:ind w:left="72"/>
            </w:pPr>
            <w:r>
              <w:rPr>
                <w:spacing w:val="-27"/>
              </w:rPr>
              <w:t>物资设备部、工程</w:t>
            </w:r>
          </w:p>
          <w:p w14:paraId="4AEB6FFB">
            <w:pPr>
              <w:pStyle w:val="7"/>
              <w:spacing w:before="184" w:line="218" w:lineRule="auto"/>
              <w:ind w:left="72"/>
            </w:pPr>
            <w:r>
              <w:rPr>
                <w:spacing w:val="-27"/>
              </w:rPr>
              <w:t>技术科、质量安全</w:t>
            </w:r>
          </w:p>
          <w:p w14:paraId="07CBCB7E">
            <w:pPr>
              <w:pStyle w:val="7"/>
              <w:spacing w:before="184" w:line="218" w:lineRule="auto"/>
              <w:ind w:left="802"/>
            </w:pPr>
            <w:r>
              <w:t>部</w:t>
            </w:r>
          </w:p>
        </w:tc>
      </w:tr>
      <w:tr w14:paraId="553775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12" w:hRule="atLeast"/>
        </w:trPr>
        <w:tc>
          <w:tcPr>
            <w:tcW w:w="937" w:type="dxa"/>
            <w:gridSpan w:val="2"/>
            <w:tcBorders>
              <w:left w:val="single" w:color="000000" w:sz="4" w:space="0"/>
            </w:tcBorders>
            <w:vAlign w:val="top"/>
          </w:tcPr>
          <w:p w14:paraId="05737187">
            <w:pPr>
              <w:spacing w:line="286" w:lineRule="auto"/>
              <w:rPr>
                <w:rFonts w:ascii="Arial"/>
                <w:sz w:val="21"/>
              </w:rPr>
            </w:pPr>
          </w:p>
          <w:p w14:paraId="6CE17D86">
            <w:pPr>
              <w:pStyle w:val="7"/>
              <w:spacing w:before="78" w:line="238" w:lineRule="auto"/>
              <w:ind w:left="385"/>
            </w:pPr>
            <w:r>
              <w:rPr>
                <w:spacing w:val="-10"/>
              </w:rPr>
              <w:t>11</w:t>
            </w:r>
          </w:p>
        </w:tc>
        <w:tc>
          <w:tcPr>
            <w:tcW w:w="614" w:type="dxa"/>
            <w:vMerge w:val="continue"/>
            <w:tcBorders>
              <w:top w:val="nil"/>
              <w:bottom w:val="nil"/>
            </w:tcBorders>
            <w:vAlign w:val="top"/>
          </w:tcPr>
          <w:p w14:paraId="0B239FA7">
            <w:pPr>
              <w:rPr>
                <w:rFonts w:ascii="Arial"/>
                <w:sz w:val="21"/>
              </w:rPr>
            </w:pPr>
          </w:p>
        </w:tc>
        <w:tc>
          <w:tcPr>
            <w:tcW w:w="6007" w:type="dxa"/>
            <w:vAlign w:val="top"/>
          </w:tcPr>
          <w:p w14:paraId="191C9193">
            <w:pPr>
              <w:spacing w:line="285" w:lineRule="auto"/>
              <w:rPr>
                <w:rFonts w:ascii="Arial"/>
                <w:sz w:val="21"/>
              </w:rPr>
            </w:pPr>
          </w:p>
          <w:p w14:paraId="0BC66090">
            <w:pPr>
              <w:pStyle w:val="7"/>
              <w:spacing w:before="78" w:line="216" w:lineRule="auto"/>
              <w:ind w:left="1270"/>
            </w:pPr>
            <w:r>
              <w:rPr>
                <w:spacing w:val="-21"/>
              </w:rPr>
              <w:t>有计划逐步安装机械设备并调试运行</w:t>
            </w:r>
          </w:p>
        </w:tc>
        <w:tc>
          <w:tcPr>
            <w:tcW w:w="1812" w:type="dxa"/>
            <w:gridSpan w:val="2"/>
            <w:tcBorders>
              <w:right w:val="single" w:color="000000" w:sz="4" w:space="0"/>
            </w:tcBorders>
            <w:vAlign w:val="top"/>
          </w:tcPr>
          <w:p w14:paraId="52A8E4A0">
            <w:pPr>
              <w:spacing w:line="65" w:lineRule="exact"/>
              <w:ind w:right="3"/>
              <w:jc w:val="right"/>
            </w:pPr>
            <w:r>
              <w:rPr>
                <w:position w:val="-1"/>
              </w:rPr>
              <w:drawing>
                <wp:inline distT="0" distB="0" distL="0" distR="0">
                  <wp:extent cx="17780" cy="41275"/>
                  <wp:effectExtent l="0" t="0" r="0" b="0"/>
                  <wp:docPr id="248" name="IM 248"/>
                  <wp:cNvGraphicFramePr/>
                  <a:graphic xmlns:a="http://schemas.openxmlformats.org/drawingml/2006/main">
                    <a:graphicData uri="http://schemas.openxmlformats.org/drawingml/2006/picture">
                      <pic:pic xmlns:pic="http://schemas.openxmlformats.org/drawingml/2006/picture">
                        <pic:nvPicPr>
                          <pic:cNvPr id="248" name="IM 248"/>
                          <pic:cNvPicPr/>
                        </pic:nvPicPr>
                        <pic:blipFill>
                          <a:blip r:embed="rId449"/>
                          <a:stretch>
                            <a:fillRect/>
                          </a:stretch>
                        </pic:blipFill>
                        <pic:spPr>
                          <a:xfrm>
                            <a:off x="0" y="0"/>
                            <a:ext cx="18287" cy="41529"/>
                          </a:xfrm>
                          <a:prstGeom prst="rect">
                            <a:avLst/>
                          </a:prstGeom>
                        </pic:spPr>
                      </pic:pic>
                    </a:graphicData>
                  </a:graphic>
                </wp:inline>
              </w:drawing>
            </w:r>
          </w:p>
          <w:p w14:paraId="2228C99D">
            <w:pPr>
              <w:pStyle w:val="7"/>
              <w:spacing w:before="65" w:line="361" w:lineRule="auto"/>
              <w:ind w:left="585" w:right="46" w:hanging="513"/>
            </w:pPr>
            <w:r>
              <w:rPr>
                <w:spacing w:val="-30"/>
              </w:rPr>
              <w:t>物资设备部、质量</w:t>
            </w:r>
            <w:r>
              <w:rPr>
                <w:spacing w:val="-14"/>
              </w:rPr>
              <w:t>安全部</w:t>
            </w:r>
          </w:p>
        </w:tc>
      </w:tr>
      <w:tr w14:paraId="6C3AE1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52" w:hRule="atLeast"/>
        </w:trPr>
        <w:tc>
          <w:tcPr>
            <w:tcW w:w="219" w:type="dxa"/>
            <w:tcBorders>
              <w:left w:val="single" w:color="1C456A" w:sz="4" w:space="0"/>
              <w:bottom w:val="single" w:color="1C456A" w:sz="4" w:space="0"/>
              <w:right w:val="nil"/>
            </w:tcBorders>
            <w:vAlign w:val="top"/>
          </w:tcPr>
          <w:p w14:paraId="4F7BE2A5">
            <w:pPr>
              <w:rPr>
                <w:rFonts w:ascii="Arial"/>
                <w:sz w:val="21"/>
              </w:rPr>
            </w:pPr>
            <w:r>
              <w:pict>
                <v:shape id="_x0000_s1392" o:spid="_x0000_s1392" style="position:absolute;left:0pt;margin-left:-0.25pt;margin-top:82.65pt;height:0.75pt;width:2.2pt;mso-position-horizontal-relative:page;mso-position-vertical-relative:page;z-index:251715584;mso-width-relative:page;mso-height-relative:page;" fillcolor="#5B9BD5" filled="t" stroked="f" coordsize="44,15" path="m0,14l43,14,43,0,0,0,0,14xe">
                  <v:path/>
                  <v:fill on="t" focussize="0,0"/>
                  <v:stroke on="f"/>
                  <v:imagedata o:title=""/>
                  <o:lock v:ext="edit"/>
                </v:shape>
              </w:pict>
            </w:r>
          </w:p>
        </w:tc>
        <w:tc>
          <w:tcPr>
            <w:tcW w:w="718" w:type="dxa"/>
            <w:tcBorders>
              <w:left w:val="nil"/>
              <w:bottom w:val="single" w:color="1C456A" w:sz="4" w:space="0"/>
            </w:tcBorders>
            <w:vAlign w:val="top"/>
          </w:tcPr>
          <w:p w14:paraId="6AC612E1">
            <w:pPr>
              <w:spacing w:line="267" w:lineRule="auto"/>
              <w:rPr>
                <w:rFonts w:ascii="Arial"/>
                <w:sz w:val="21"/>
              </w:rPr>
            </w:pPr>
          </w:p>
          <w:p w14:paraId="2674C881">
            <w:pPr>
              <w:spacing w:line="268" w:lineRule="auto"/>
              <w:rPr>
                <w:rFonts w:ascii="Arial"/>
                <w:sz w:val="21"/>
              </w:rPr>
            </w:pPr>
          </w:p>
          <w:p w14:paraId="2DC4FA93">
            <w:pPr>
              <w:pStyle w:val="7"/>
              <w:spacing w:before="78" w:line="238" w:lineRule="auto"/>
              <w:ind w:left="171"/>
            </w:pPr>
            <w:r>
              <w:rPr>
                <w:spacing w:val="-10"/>
              </w:rPr>
              <w:t>12</w:t>
            </w:r>
          </w:p>
        </w:tc>
        <w:tc>
          <w:tcPr>
            <w:tcW w:w="614" w:type="dxa"/>
            <w:vMerge w:val="continue"/>
            <w:tcBorders>
              <w:top w:val="nil"/>
              <w:bottom w:val="single" w:color="000000" w:sz="4" w:space="0"/>
            </w:tcBorders>
            <w:vAlign w:val="top"/>
          </w:tcPr>
          <w:p w14:paraId="0E520C7C">
            <w:pPr>
              <w:rPr>
                <w:rFonts w:ascii="Arial"/>
                <w:sz w:val="21"/>
              </w:rPr>
            </w:pPr>
          </w:p>
        </w:tc>
        <w:tc>
          <w:tcPr>
            <w:tcW w:w="6007" w:type="dxa"/>
            <w:tcBorders>
              <w:bottom w:val="single" w:color="000000" w:sz="4" w:space="0"/>
            </w:tcBorders>
            <w:vAlign w:val="top"/>
          </w:tcPr>
          <w:p w14:paraId="2DF2FD29">
            <w:pPr>
              <w:spacing w:line="305" w:lineRule="auto"/>
              <w:rPr>
                <w:rFonts w:ascii="Arial"/>
                <w:sz w:val="21"/>
              </w:rPr>
            </w:pPr>
          </w:p>
          <w:p w14:paraId="40412003">
            <w:pPr>
              <w:pStyle w:val="7"/>
              <w:spacing w:before="78" w:line="358" w:lineRule="auto"/>
              <w:ind w:left="289" w:right="38" w:hanging="216"/>
            </w:pPr>
            <w:r>
              <w:rPr>
                <w:spacing w:val="-22"/>
              </w:rPr>
              <w:t>制定测量方法，会同建设单位、监理工程师或规划部门共同检</w:t>
            </w:r>
            <w:r>
              <w:rPr>
                <w:spacing w:val="-21"/>
              </w:rPr>
              <w:t>验与确认红线和标准点后，即可放线建立轴控网和基准点</w:t>
            </w:r>
          </w:p>
        </w:tc>
        <w:tc>
          <w:tcPr>
            <w:tcW w:w="1812" w:type="dxa"/>
            <w:gridSpan w:val="2"/>
            <w:tcBorders>
              <w:bottom w:val="single" w:color="5B9BD5" w:sz="4" w:space="0"/>
              <w:right w:val="single" w:color="5B9BD5" w:sz="4" w:space="0"/>
            </w:tcBorders>
            <w:vAlign w:val="top"/>
          </w:tcPr>
          <w:p w14:paraId="41F01C5A">
            <w:pPr>
              <w:spacing w:line="66" w:lineRule="exact"/>
              <w:ind w:firstLine="1772"/>
            </w:pPr>
            <w:r>
              <w:rPr>
                <w:position w:val="-1"/>
              </w:rPr>
              <w:pict>
                <v:group id="_x0000_s1393" o:spid="_x0000_s1393" o:spt="203" style="height:3.4pt;width:1.45pt;" coordsize="29,68">
                  <o:lock v:ext="edit"/>
                  <v:shape id="_x0000_s1394" o:spid="_x0000_s1394" style="position:absolute;left:14;top:0;height:68;width:15;" fillcolor="#20507B" filled="t" stroked="f" coordsize="15,68" path="m0,67l14,67,14,0,0,0,0,67xe">
                    <v:path/>
                    <v:fill on="t" focussize="0,0"/>
                    <v:stroke on="f"/>
                    <v:imagedata o:title=""/>
                    <o:lock v:ext="edit"/>
                  </v:shape>
                  <v:shape id="_x0000_s1395" o:spid="_x0000_s1395" style="position:absolute;left:0;top:0;height:68;width:15;" fillcolor="#1C456A" filled="t" stroked="f" coordsize="15,68" path="m0,67l14,67,14,0,0,0,0,67xe">
                    <v:path/>
                    <v:fill on="t" focussize="0,0"/>
                    <v:stroke on="f"/>
                    <v:imagedata o:title=""/>
                    <o:lock v:ext="edit"/>
                  </v:shape>
                  <w10:wrap type="none"/>
                  <w10:anchorlock/>
                </v:group>
              </w:pict>
            </w:r>
          </w:p>
          <w:p w14:paraId="0C8DB017">
            <w:pPr>
              <w:pStyle w:val="7"/>
              <w:spacing w:before="315" w:line="360" w:lineRule="auto"/>
              <w:ind w:left="801" w:right="46" w:hanging="730"/>
            </w:pPr>
            <w:r>
              <w:rPr>
                <w:spacing w:val="-30"/>
              </w:rPr>
              <w:t>测量组、工程技术</w:t>
            </w:r>
            <w:r>
              <w:t>科</w:t>
            </w:r>
          </w:p>
        </w:tc>
      </w:tr>
    </w:tbl>
    <w:p w14:paraId="432C49D2">
      <w:pPr>
        <w:pStyle w:val="2"/>
        <w:spacing w:before="110" w:line="309" w:lineRule="auto"/>
        <w:ind w:left="1458" w:right="1414" w:firstLine="435"/>
        <w:rPr>
          <w:sz w:val="24"/>
          <w:szCs w:val="24"/>
        </w:rPr>
      </w:pPr>
      <w:r>
        <w:rPr>
          <w:spacing w:val="-20"/>
          <w:sz w:val="24"/>
          <w:szCs w:val="24"/>
        </w:rPr>
        <w:t>根据施工图纸及有关资料核对现场平面尺寸和坑底标高，图纸相互之间有无错误和矛盾；掌握设计内容及各项技术要求，了解工程规模、结构形式、特点、工程量和质量要求；熟悉土层地质、水文勘察资料；审查地基处理和基础设计，会审图纸，搞清地下构筑物、基础平面与</w:t>
      </w:r>
      <w:r>
        <w:rPr>
          <w:spacing w:val="-21"/>
          <w:sz w:val="24"/>
          <w:szCs w:val="24"/>
        </w:rPr>
        <w:t>周围地下设施管线的关系，明确各专业工序之间的关系和</w:t>
      </w:r>
      <w:r>
        <w:rPr>
          <w:spacing w:val="-22"/>
          <w:sz w:val="24"/>
          <w:szCs w:val="24"/>
        </w:rPr>
        <w:t>施工工期要求。</w:t>
      </w:r>
    </w:p>
    <w:p w14:paraId="3F366F51">
      <w:pPr>
        <w:spacing w:line="309" w:lineRule="auto"/>
        <w:rPr>
          <w:sz w:val="24"/>
          <w:szCs w:val="24"/>
        </w:rPr>
        <w:sectPr>
          <w:footerReference r:id="rId47" w:type="default"/>
          <w:pgSz w:w="11907" w:h="16839"/>
          <w:pgMar w:top="954" w:right="4" w:bottom="1038" w:left="0" w:header="499" w:footer="357" w:gutter="0"/>
          <w:pgBorders>
            <w:top w:val="none" w:sz="0" w:space="0"/>
            <w:left w:val="none" w:sz="0" w:space="0"/>
            <w:bottom w:val="none" w:sz="0" w:space="0"/>
            <w:right w:val="none" w:sz="0" w:space="0"/>
          </w:pgBorders>
          <w:cols w:space="720" w:num="1"/>
        </w:sectPr>
      </w:pPr>
    </w:p>
    <w:p w14:paraId="08DF9B3D">
      <w:pPr>
        <w:spacing w:line="214" w:lineRule="exact"/>
      </w:pPr>
    </w:p>
    <w:tbl>
      <w:tblPr>
        <w:tblStyle w:val="6"/>
        <w:tblW w:w="9277" w:type="dxa"/>
        <w:tblInd w:w="131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757"/>
        <w:gridCol w:w="4520"/>
      </w:tblGrid>
      <w:tr w14:paraId="662CFD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42" w:hRule="atLeast"/>
        </w:trPr>
        <w:tc>
          <w:tcPr>
            <w:tcW w:w="9277" w:type="dxa"/>
            <w:gridSpan w:val="2"/>
            <w:tcBorders>
              <w:top w:val="single" w:color="5B9BD5" w:sz="4" w:space="0"/>
              <w:left w:val="single" w:color="5B9BD5" w:sz="4" w:space="0"/>
              <w:right w:val="single" w:color="5B9BD5" w:sz="4" w:space="0"/>
            </w:tcBorders>
            <w:shd w:val="clear" w:color="auto" w:fill="DEEAF6"/>
            <w:vAlign w:val="top"/>
          </w:tcPr>
          <w:p w14:paraId="6E0C0CE8">
            <w:pPr>
              <w:spacing w:before="93" w:line="4836" w:lineRule="exact"/>
              <w:ind w:firstLine="124"/>
            </w:pPr>
            <w:r>
              <w:pict>
                <v:group id="_x0000_s1396" o:spid="_x0000_s1396" o:spt="203" style="position:absolute;left:0pt;margin-left:0.85pt;margin-top:2.15pt;height:255.45pt;width:462.2pt;mso-position-horizontal-relative:page;mso-position-vertical-relative:page;z-index:251718656;mso-width-relative:page;mso-height-relative:page;" coordsize="9244,5108">
                  <o:lock v:ext="edit"/>
                  <v:shape id="_x0000_s1397" o:spid="_x0000_s1397" style="position:absolute;left:21;top:0;height:60;width:9200;" fillcolor="#DEEAF6" filled="t" stroked="f" coordsize="9200,60" path="m0,60l9200,60,9200,0,0,0,0,60xe">
                    <v:path/>
                    <v:fill on="t" focussize="0,0"/>
                    <v:stroke on="f"/>
                    <v:imagedata o:title=""/>
                    <o:lock v:ext="edit"/>
                  </v:shape>
                  <v:shape id="_x0000_s1398" o:spid="_x0000_s1398" style="position:absolute;left:0;top:5050;height:58;width:9244;" fillcolor="#DEEAF6" filled="t" stroked="f" coordsize="9244,58" path="m0,57l9243,57,9243,0,0,0,0,57xe">
                    <v:path/>
                    <v:fill on="t" focussize="0,0"/>
                    <v:stroke on="f"/>
                    <v:imagedata o:title=""/>
                    <o:lock v:ext="edit"/>
                  </v:shape>
                </v:group>
              </w:pict>
            </w:r>
            <w:r>
              <w:rPr>
                <w:position w:val="-96"/>
              </w:rPr>
              <w:drawing>
                <wp:inline distT="0" distB="0" distL="0" distR="0">
                  <wp:extent cx="5723890" cy="3070225"/>
                  <wp:effectExtent l="0" t="0" r="0" b="0"/>
                  <wp:docPr id="252" name="IM 252"/>
                  <wp:cNvGraphicFramePr/>
                  <a:graphic xmlns:a="http://schemas.openxmlformats.org/drawingml/2006/main">
                    <a:graphicData uri="http://schemas.openxmlformats.org/drawingml/2006/picture">
                      <pic:pic xmlns:pic="http://schemas.openxmlformats.org/drawingml/2006/picture">
                        <pic:nvPicPr>
                          <pic:cNvPr id="252" name="IM 252"/>
                          <pic:cNvPicPr/>
                        </pic:nvPicPr>
                        <pic:blipFill>
                          <a:blip r:embed="rId477"/>
                          <a:stretch>
                            <a:fillRect/>
                          </a:stretch>
                        </pic:blipFill>
                        <pic:spPr>
                          <a:xfrm>
                            <a:off x="0" y="0"/>
                            <a:ext cx="5723890" cy="3070859"/>
                          </a:xfrm>
                          <a:prstGeom prst="rect">
                            <a:avLst/>
                          </a:prstGeom>
                        </pic:spPr>
                      </pic:pic>
                    </a:graphicData>
                  </a:graphic>
                </wp:inline>
              </w:drawing>
            </w:r>
          </w:p>
        </w:tc>
      </w:tr>
      <w:tr w14:paraId="398F71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5" w:hRule="atLeast"/>
        </w:trPr>
        <w:tc>
          <w:tcPr>
            <w:tcW w:w="9277" w:type="dxa"/>
            <w:gridSpan w:val="2"/>
            <w:tcBorders>
              <w:left w:val="single" w:color="000000" w:sz="4" w:space="0"/>
              <w:right w:val="single" w:color="000000" w:sz="4" w:space="0"/>
            </w:tcBorders>
            <w:vAlign w:val="top"/>
          </w:tcPr>
          <w:p w14:paraId="75FD6275">
            <w:pPr>
              <w:pStyle w:val="7"/>
              <w:spacing w:before="97" w:line="217" w:lineRule="auto"/>
              <w:ind w:left="3561"/>
            </w:pPr>
            <w:r>
              <w:rPr>
                <w:spacing w:val="-20"/>
              </w:rPr>
              <w:t>土方施工部分施工机械</w:t>
            </w:r>
          </w:p>
        </w:tc>
      </w:tr>
      <w:tr w14:paraId="4E4853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59" w:hRule="atLeast"/>
        </w:trPr>
        <w:tc>
          <w:tcPr>
            <w:tcW w:w="4757" w:type="dxa"/>
            <w:tcBorders>
              <w:left w:val="single" w:color="000000" w:sz="4" w:space="0"/>
            </w:tcBorders>
            <w:vAlign w:val="top"/>
          </w:tcPr>
          <w:p w14:paraId="3518F6D4">
            <w:pPr>
              <w:spacing w:before="61" w:line="5887" w:lineRule="exact"/>
              <w:ind w:firstLine="119"/>
            </w:pPr>
            <w:r>
              <w:rPr>
                <w:position w:val="-117"/>
              </w:rPr>
              <w:drawing>
                <wp:inline distT="0" distB="0" distL="0" distR="0">
                  <wp:extent cx="2872740" cy="3738245"/>
                  <wp:effectExtent l="0" t="0" r="0" b="0"/>
                  <wp:docPr id="254" name="IM 254"/>
                  <wp:cNvGraphicFramePr/>
                  <a:graphic xmlns:a="http://schemas.openxmlformats.org/drawingml/2006/main">
                    <a:graphicData uri="http://schemas.openxmlformats.org/drawingml/2006/picture">
                      <pic:pic xmlns:pic="http://schemas.openxmlformats.org/drawingml/2006/picture">
                        <pic:nvPicPr>
                          <pic:cNvPr id="254" name="IM 254"/>
                          <pic:cNvPicPr/>
                        </pic:nvPicPr>
                        <pic:blipFill>
                          <a:blip r:embed="rId478"/>
                          <a:stretch>
                            <a:fillRect/>
                          </a:stretch>
                        </pic:blipFill>
                        <pic:spPr>
                          <a:xfrm>
                            <a:off x="0" y="0"/>
                            <a:ext cx="2872740" cy="3738245"/>
                          </a:xfrm>
                          <a:prstGeom prst="rect">
                            <a:avLst/>
                          </a:prstGeom>
                        </pic:spPr>
                      </pic:pic>
                    </a:graphicData>
                  </a:graphic>
                </wp:inline>
              </w:drawing>
            </w:r>
          </w:p>
        </w:tc>
        <w:tc>
          <w:tcPr>
            <w:tcW w:w="4520" w:type="dxa"/>
            <w:tcBorders>
              <w:right w:val="single" w:color="000000" w:sz="4" w:space="0"/>
            </w:tcBorders>
            <w:vAlign w:val="top"/>
          </w:tcPr>
          <w:p w14:paraId="04D8BC7B">
            <w:pPr>
              <w:spacing w:before="154" w:line="5703" w:lineRule="exact"/>
              <w:ind w:firstLine="109"/>
            </w:pPr>
            <w:r>
              <w:rPr>
                <w:position w:val="-114"/>
              </w:rPr>
              <w:drawing>
                <wp:inline distT="0" distB="0" distL="0" distR="0">
                  <wp:extent cx="2715260" cy="3620770"/>
                  <wp:effectExtent l="0" t="0" r="0" b="0"/>
                  <wp:docPr id="256" name="IM 256"/>
                  <wp:cNvGraphicFramePr/>
                  <a:graphic xmlns:a="http://schemas.openxmlformats.org/drawingml/2006/main">
                    <a:graphicData uri="http://schemas.openxmlformats.org/drawingml/2006/picture">
                      <pic:pic xmlns:pic="http://schemas.openxmlformats.org/drawingml/2006/picture">
                        <pic:nvPicPr>
                          <pic:cNvPr id="256" name="IM 256"/>
                          <pic:cNvPicPr/>
                        </pic:nvPicPr>
                        <pic:blipFill>
                          <a:blip r:embed="rId479"/>
                          <a:stretch>
                            <a:fillRect/>
                          </a:stretch>
                        </pic:blipFill>
                        <pic:spPr>
                          <a:xfrm>
                            <a:off x="0" y="0"/>
                            <a:ext cx="2715894" cy="3621404"/>
                          </a:xfrm>
                          <a:prstGeom prst="rect">
                            <a:avLst/>
                          </a:prstGeom>
                        </pic:spPr>
                      </pic:pic>
                    </a:graphicData>
                  </a:graphic>
                </wp:inline>
              </w:drawing>
            </w:r>
          </w:p>
        </w:tc>
      </w:tr>
      <w:tr w14:paraId="7475FF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5" w:hRule="atLeast"/>
        </w:trPr>
        <w:tc>
          <w:tcPr>
            <w:tcW w:w="4757" w:type="dxa"/>
            <w:tcBorders>
              <w:left w:val="single" w:color="1C456A" w:sz="4" w:space="0"/>
              <w:bottom w:val="single" w:color="1C456A" w:sz="4" w:space="0"/>
            </w:tcBorders>
            <w:vAlign w:val="top"/>
          </w:tcPr>
          <w:p w14:paraId="4FE1E2CD">
            <w:pPr>
              <w:pStyle w:val="7"/>
              <w:spacing w:before="103" w:line="215" w:lineRule="auto"/>
              <w:ind w:left="2069"/>
            </w:pPr>
            <w:r>
              <w:pict>
                <v:shape id="_x0000_s1399" o:spid="_x0000_s1399" style="position:absolute;left:0pt;margin-left:-0.2pt;margin-top:31.3pt;height:0.75pt;width:2.2pt;mso-position-horizontal-relative:page;mso-position-vertical-relative:page;z-index:251717632;mso-width-relative:page;mso-height-relative:page;" fillcolor="#5B9BD5" filled="t" stroked="f" coordsize="44,15" path="m0,14l43,14,43,0,0,0,0,14xe">
                  <v:path/>
                  <v:fill on="t" focussize="0,0"/>
                  <v:stroke on="f"/>
                  <v:imagedata o:title=""/>
                  <o:lock v:ext="edit"/>
                </v:shape>
              </w:pict>
            </w:r>
            <w:r>
              <w:rPr>
                <w:spacing w:val="-14"/>
              </w:rPr>
              <w:t>洒水车</w:t>
            </w:r>
          </w:p>
        </w:tc>
        <w:tc>
          <w:tcPr>
            <w:tcW w:w="4520" w:type="dxa"/>
            <w:tcBorders>
              <w:bottom w:val="single" w:color="5B9BD5" w:sz="4" w:space="0"/>
              <w:right w:val="single" w:color="5B9BD5" w:sz="4" w:space="0"/>
            </w:tcBorders>
            <w:vAlign w:val="top"/>
          </w:tcPr>
          <w:p w14:paraId="19BCD0D0">
            <w:pPr>
              <w:pStyle w:val="7"/>
              <w:spacing w:before="103" w:line="215" w:lineRule="auto"/>
              <w:ind w:left="1941"/>
            </w:pPr>
            <w:r>
              <w:pict>
                <v:shape id="_x0000_s1400" o:spid="_x0000_s1400" style="position:absolute;left:0pt;margin-left:224.1pt;margin-top:31.3pt;height:0.75pt;width:2.2pt;mso-position-horizontal-relative:page;mso-position-vertical-relative:page;z-index:251716608;mso-width-relative:page;mso-height-relative:page;" fillcolor="#5B9BD5" filled="t" stroked="f" coordsize="44,15" path="m0,14l43,14,43,0,0,0,0,14xe">
                  <v:path/>
                  <v:fill on="t" focussize="0,0"/>
                  <v:stroke on="f"/>
                  <v:imagedata o:title=""/>
                  <o:lock v:ext="edit"/>
                </v:shape>
              </w:pict>
            </w:r>
            <w:r>
              <w:rPr>
                <w:spacing w:val="-15"/>
              </w:rPr>
              <w:t>雾炮车</w:t>
            </w:r>
          </w:p>
        </w:tc>
      </w:tr>
    </w:tbl>
    <w:p w14:paraId="6757B470">
      <w:pPr>
        <w:pStyle w:val="2"/>
        <w:spacing w:before="116" w:line="308" w:lineRule="auto"/>
        <w:ind w:left="1454" w:right="1375" w:firstLine="448"/>
        <w:rPr>
          <w:sz w:val="24"/>
          <w:szCs w:val="24"/>
        </w:rPr>
      </w:pPr>
      <w:r>
        <w:rPr>
          <w:spacing w:val="-22"/>
          <w:sz w:val="24"/>
          <w:szCs w:val="24"/>
        </w:rPr>
        <w:t>1.1对施工现场场地上的障碍物必须进行全面</w:t>
      </w:r>
      <w:r>
        <w:rPr>
          <w:spacing w:val="-23"/>
          <w:sz w:val="24"/>
          <w:szCs w:val="24"/>
        </w:rPr>
        <w:t>清查，包括施工场地地形、地貌、地质水文、</w:t>
      </w:r>
      <w:r>
        <w:rPr>
          <w:spacing w:val="-20"/>
          <w:sz w:val="24"/>
          <w:szCs w:val="24"/>
        </w:rPr>
        <w:t>河流、气象、运输道路、邻近建筑物、地下基础、管线、电缆坑基、防空洞、坟墓、土洞、垃</w:t>
      </w:r>
      <w:r>
        <w:rPr>
          <w:spacing w:val="-19"/>
          <w:sz w:val="24"/>
          <w:szCs w:val="24"/>
        </w:rPr>
        <w:t>圾、树根、地面下施工范围内的障碍物和堆积物，供水、供电、通讯线路，防洪排水系统等；制定排障计划和处理方案幷采取有效地防护加固措施，综合考虑工程的</w:t>
      </w:r>
      <w:r>
        <w:rPr>
          <w:spacing w:val="-20"/>
          <w:sz w:val="24"/>
          <w:szCs w:val="24"/>
        </w:rPr>
        <w:t>现场情况、进度要求和</w:t>
      </w:r>
    </w:p>
    <w:p w14:paraId="2D852332">
      <w:pPr>
        <w:spacing w:line="308" w:lineRule="auto"/>
        <w:rPr>
          <w:sz w:val="24"/>
          <w:szCs w:val="24"/>
        </w:rPr>
        <w:sectPr>
          <w:footerReference r:id="rId48" w:type="default"/>
          <w:pgSz w:w="11907" w:h="16839"/>
          <w:pgMar w:top="954" w:right="4" w:bottom="1038" w:left="0" w:header="499" w:footer="357" w:gutter="0"/>
          <w:pgBorders>
            <w:top w:val="none" w:sz="0" w:space="0"/>
            <w:left w:val="none" w:sz="0" w:space="0"/>
            <w:bottom w:val="none" w:sz="0" w:space="0"/>
            <w:right w:val="none" w:sz="0" w:space="0"/>
          </w:pgBorders>
          <w:cols w:space="720" w:num="1"/>
        </w:sectPr>
      </w:pPr>
    </w:p>
    <w:p w14:paraId="030BE4D7">
      <w:pPr>
        <w:spacing w:line="249" w:lineRule="auto"/>
        <w:rPr>
          <w:rFonts w:ascii="Arial"/>
          <w:sz w:val="21"/>
        </w:rPr>
      </w:pPr>
    </w:p>
    <w:p w14:paraId="530248F9">
      <w:pPr>
        <w:pStyle w:val="2"/>
        <w:spacing w:before="78" w:line="308" w:lineRule="auto"/>
        <w:ind w:left="1458" w:right="1464"/>
        <w:rPr>
          <w:sz w:val="24"/>
          <w:szCs w:val="24"/>
        </w:rPr>
      </w:pPr>
      <w:r>
        <w:rPr>
          <w:spacing w:val="-21"/>
          <w:sz w:val="24"/>
          <w:szCs w:val="24"/>
        </w:rPr>
        <w:t>土方施工方法以及分期分批施工工程的土方堆放和调运问题，划分并确定土方的最优调配</w:t>
      </w:r>
      <w:r>
        <w:rPr>
          <w:spacing w:val="-22"/>
          <w:sz w:val="24"/>
          <w:szCs w:val="24"/>
        </w:rPr>
        <w:t>区，</w:t>
      </w:r>
      <w:r>
        <w:rPr>
          <w:spacing w:val="-19"/>
          <w:sz w:val="24"/>
          <w:szCs w:val="24"/>
        </w:rPr>
        <w:t>减少重复倒运。</w:t>
      </w:r>
    </w:p>
    <w:p w14:paraId="1C154AA5">
      <w:pPr>
        <w:pStyle w:val="2"/>
        <w:spacing w:before="1" w:line="215" w:lineRule="auto"/>
        <w:ind w:left="1903"/>
        <w:rPr>
          <w:sz w:val="24"/>
          <w:szCs w:val="24"/>
        </w:rPr>
      </w:pPr>
      <w:r>
        <w:rPr>
          <w:spacing w:val="-20"/>
          <w:sz w:val="24"/>
          <w:szCs w:val="24"/>
        </w:rPr>
        <w:t>1.2建筑物的定位桩需经检验核准后方可施工。</w:t>
      </w:r>
    </w:p>
    <w:p w14:paraId="5910ADC6">
      <w:pPr>
        <w:pStyle w:val="2"/>
        <w:spacing w:before="121" w:line="262" w:lineRule="auto"/>
        <w:ind w:left="1458" w:right="1411" w:firstLine="445"/>
        <w:rPr>
          <w:sz w:val="24"/>
          <w:szCs w:val="24"/>
        </w:rPr>
      </w:pPr>
      <w:r>
        <w:rPr>
          <w:spacing w:val="-23"/>
          <w:sz w:val="24"/>
          <w:szCs w:val="24"/>
        </w:rPr>
        <w:t>1.3施工机械容易碰压测量定位桩，因此开挖范围内所有的轴线</w:t>
      </w:r>
      <w:r>
        <w:rPr>
          <w:spacing w:val="-24"/>
          <w:sz w:val="24"/>
          <w:szCs w:val="24"/>
        </w:rPr>
        <w:t>桩和水准点都要引出施工机</w:t>
      </w:r>
      <w:r>
        <w:rPr>
          <w:spacing w:val="-21"/>
          <w:sz w:val="24"/>
          <w:szCs w:val="24"/>
        </w:rPr>
        <w:t>械活动区域以外，幷设置涂红白油漆的钢筋支架予以保护。</w:t>
      </w:r>
    </w:p>
    <w:p w14:paraId="6715EE2F">
      <w:pPr>
        <w:pStyle w:val="2"/>
        <w:spacing w:before="115" w:line="290" w:lineRule="auto"/>
        <w:ind w:left="1451" w:right="1409" w:firstLine="451"/>
        <w:rPr>
          <w:sz w:val="24"/>
          <w:szCs w:val="24"/>
        </w:rPr>
      </w:pPr>
      <w:r>
        <w:rPr>
          <w:spacing w:val="-23"/>
          <w:sz w:val="24"/>
          <w:szCs w:val="24"/>
        </w:rPr>
        <w:t>1.4根据给定的国家永久性控制点，按构（建）物平面要求，引</w:t>
      </w:r>
      <w:r>
        <w:rPr>
          <w:spacing w:val="-24"/>
          <w:sz w:val="24"/>
          <w:szCs w:val="24"/>
        </w:rPr>
        <w:t>测到现场，在工程施工区域</w:t>
      </w:r>
      <w:r>
        <w:rPr>
          <w:spacing w:val="-20"/>
          <w:sz w:val="24"/>
          <w:szCs w:val="24"/>
        </w:rPr>
        <w:t>内设置测量控制网，包控制基线、轴线和水平基准点；做好轴线的控制和校核，控制网要避开</w:t>
      </w:r>
      <w:r>
        <w:rPr>
          <w:spacing w:val="-18"/>
          <w:sz w:val="24"/>
          <w:szCs w:val="24"/>
        </w:rPr>
        <w:t>构筑物、建筑物、土方机械操作及运输线路，并有保护标志；场</w:t>
      </w:r>
      <w:r>
        <w:rPr>
          <w:spacing w:val="-19"/>
          <w:sz w:val="24"/>
          <w:szCs w:val="24"/>
        </w:rPr>
        <w:t>地整平应设10m×10m或20m×</w:t>
      </w:r>
      <w:r>
        <w:rPr>
          <w:spacing w:val="-23"/>
          <w:sz w:val="24"/>
          <w:szCs w:val="24"/>
        </w:rPr>
        <w:t>20m的方格网，在各方格点上做好控制桩，并测出各标桩处的自然地形</w:t>
      </w:r>
      <w:r>
        <w:rPr>
          <w:spacing w:val="-24"/>
          <w:sz w:val="24"/>
          <w:szCs w:val="24"/>
        </w:rPr>
        <w:t>、标高，作为计算挖、填</w:t>
      </w:r>
      <w:r>
        <w:rPr>
          <w:spacing w:val="-20"/>
          <w:sz w:val="24"/>
          <w:szCs w:val="24"/>
        </w:rPr>
        <w:t>方量和施工控制的依据。</w:t>
      </w:r>
    </w:p>
    <w:p w14:paraId="1DB95011">
      <w:pPr>
        <w:pStyle w:val="2"/>
        <w:spacing w:before="117" w:line="277" w:lineRule="auto"/>
        <w:ind w:left="1460" w:right="1411" w:firstLine="443"/>
        <w:rPr>
          <w:sz w:val="24"/>
          <w:szCs w:val="24"/>
        </w:rPr>
      </w:pPr>
      <w:r>
        <w:rPr>
          <w:spacing w:val="-23"/>
          <w:sz w:val="24"/>
          <w:szCs w:val="24"/>
        </w:rPr>
        <w:t>1.5做好轴线定位的控制和校核，进行测量定位放线，设置龙门</w:t>
      </w:r>
      <w:r>
        <w:rPr>
          <w:spacing w:val="-24"/>
          <w:sz w:val="24"/>
          <w:szCs w:val="24"/>
        </w:rPr>
        <w:t>板、放出基坑（槽）挖土灰</w:t>
      </w:r>
      <w:r>
        <w:rPr>
          <w:spacing w:val="-20"/>
          <w:sz w:val="24"/>
          <w:szCs w:val="24"/>
        </w:rPr>
        <w:t>线、上部边线和底部边线与水准标志，龙门板应离开坑边缘1.5m～3.</w:t>
      </w:r>
      <w:r>
        <w:rPr>
          <w:spacing w:val="-21"/>
          <w:sz w:val="24"/>
          <w:szCs w:val="24"/>
        </w:rPr>
        <w:t>0m，经常查看校核加以保存，根据图纸复核轴线、标高、灰线等数据无误</w:t>
      </w:r>
      <w:r>
        <w:rPr>
          <w:spacing w:val="-22"/>
          <w:sz w:val="24"/>
          <w:szCs w:val="24"/>
        </w:rPr>
        <w:t>后方可开挖。</w:t>
      </w:r>
    </w:p>
    <w:p w14:paraId="16E70536">
      <w:pPr>
        <w:pStyle w:val="2"/>
        <w:spacing w:before="41" w:line="217" w:lineRule="auto"/>
        <w:ind w:left="1888"/>
        <w:rPr>
          <w:sz w:val="24"/>
          <w:szCs w:val="24"/>
        </w:rPr>
      </w:pPr>
      <w:r>
        <w:rPr>
          <w:spacing w:val="-16"/>
          <w:sz w:val="24"/>
          <w:szCs w:val="24"/>
        </w:rPr>
        <w:t>2、机械挖土方</w:t>
      </w:r>
    </w:p>
    <w:p w14:paraId="7A8DD2ED">
      <w:pPr>
        <w:pStyle w:val="2"/>
        <w:spacing w:before="93" w:line="220" w:lineRule="auto"/>
        <w:ind w:left="6203"/>
        <w:rPr>
          <w:sz w:val="21"/>
          <w:szCs w:val="21"/>
        </w:rPr>
      </w:pPr>
      <w:r>
        <w:rPr>
          <w:spacing w:val="-3"/>
          <w:sz w:val="21"/>
          <w:szCs w:val="21"/>
        </w:rPr>
        <w:t>现场调查</w:t>
      </w:r>
    </w:p>
    <w:p w14:paraId="1085A76A">
      <w:pPr>
        <w:spacing w:line="293" w:lineRule="auto"/>
        <w:rPr>
          <w:rFonts w:ascii="Arial"/>
          <w:sz w:val="21"/>
        </w:rPr>
      </w:pPr>
    </w:p>
    <w:p w14:paraId="6FF7870D">
      <w:pPr>
        <w:spacing w:line="294" w:lineRule="auto"/>
        <w:rPr>
          <w:rFonts w:ascii="Arial"/>
          <w:sz w:val="21"/>
        </w:rPr>
      </w:pPr>
    </w:p>
    <w:p w14:paraId="61DC4D8F">
      <w:pPr>
        <w:pStyle w:val="2"/>
        <w:spacing w:before="69" w:line="216" w:lineRule="auto"/>
        <w:ind w:left="6146"/>
        <w:rPr>
          <w:sz w:val="21"/>
          <w:szCs w:val="21"/>
        </w:rPr>
      </w:pPr>
      <w:r>
        <w:rPr>
          <w:spacing w:val="-21"/>
          <w:sz w:val="21"/>
          <w:szCs w:val="21"/>
        </w:rPr>
        <w:t>测量、放样</w:t>
      </w:r>
    </w:p>
    <w:p w14:paraId="5064F23F">
      <w:pPr>
        <w:spacing w:line="338" w:lineRule="auto"/>
        <w:rPr>
          <w:rFonts w:ascii="Arial"/>
          <w:sz w:val="21"/>
        </w:rPr>
      </w:pPr>
    </w:p>
    <w:p w14:paraId="7097052C">
      <w:pPr>
        <w:spacing w:line="339" w:lineRule="auto"/>
        <w:rPr>
          <w:rFonts w:ascii="Arial"/>
          <w:sz w:val="21"/>
        </w:rPr>
      </w:pPr>
    </w:p>
    <w:p w14:paraId="4C5FBA44">
      <w:pPr>
        <w:pStyle w:val="2"/>
        <w:spacing w:before="69" w:line="219" w:lineRule="auto"/>
        <w:ind w:left="6418"/>
        <w:rPr>
          <w:sz w:val="21"/>
          <w:szCs w:val="21"/>
        </w:rPr>
      </w:pPr>
      <w:r>
        <w:rPr>
          <w:spacing w:val="-4"/>
          <w:sz w:val="21"/>
          <w:szCs w:val="21"/>
        </w:rPr>
        <w:t>清表</w:t>
      </w:r>
    </w:p>
    <w:p w14:paraId="7D787964">
      <w:pPr>
        <w:spacing w:line="337" w:lineRule="auto"/>
        <w:rPr>
          <w:rFonts w:ascii="Arial"/>
          <w:sz w:val="21"/>
        </w:rPr>
      </w:pPr>
    </w:p>
    <w:p w14:paraId="05594318">
      <w:pPr>
        <w:spacing w:line="337" w:lineRule="auto"/>
        <w:rPr>
          <w:rFonts w:ascii="Arial"/>
          <w:sz w:val="21"/>
        </w:rPr>
      </w:pPr>
    </w:p>
    <w:p w14:paraId="57C6D339">
      <w:pPr>
        <w:pStyle w:val="2"/>
        <w:spacing w:before="69" w:line="219" w:lineRule="auto"/>
        <w:ind w:left="5527"/>
        <w:rPr>
          <w:sz w:val="21"/>
          <w:szCs w:val="21"/>
        </w:rPr>
      </w:pPr>
      <w:r>
        <w:drawing>
          <wp:anchor distT="0" distB="0" distL="0" distR="0" simplePos="0" relativeHeight="251719680" behindDoc="1" locked="0" layoutInCell="1" allowOverlap="1">
            <wp:simplePos x="0" y="0"/>
            <wp:positionH relativeFrom="column">
              <wp:posOffset>2407920</wp:posOffset>
            </wp:positionH>
            <wp:positionV relativeFrom="paragraph">
              <wp:posOffset>-1861820</wp:posOffset>
            </wp:positionV>
            <wp:extent cx="2764790" cy="3500755"/>
            <wp:effectExtent l="0" t="0" r="0" b="0"/>
            <wp:wrapNone/>
            <wp:docPr id="260" name="IM 260"/>
            <wp:cNvGraphicFramePr/>
            <a:graphic xmlns:a="http://schemas.openxmlformats.org/drawingml/2006/main">
              <a:graphicData uri="http://schemas.openxmlformats.org/drawingml/2006/picture">
                <pic:pic xmlns:pic="http://schemas.openxmlformats.org/drawingml/2006/picture">
                  <pic:nvPicPr>
                    <pic:cNvPr id="260" name="IM 260"/>
                    <pic:cNvPicPr/>
                  </pic:nvPicPr>
                  <pic:blipFill>
                    <a:blip r:embed="rId480"/>
                    <a:stretch>
                      <a:fillRect/>
                    </a:stretch>
                  </pic:blipFill>
                  <pic:spPr>
                    <a:xfrm>
                      <a:off x="0" y="0"/>
                      <a:ext cx="2764790" cy="3500755"/>
                    </a:xfrm>
                    <a:prstGeom prst="rect">
                      <a:avLst/>
                    </a:prstGeom>
                  </pic:spPr>
                </pic:pic>
              </a:graphicData>
            </a:graphic>
          </wp:anchor>
        </w:drawing>
      </w:r>
      <w:r>
        <w:rPr>
          <w:spacing w:val="-2"/>
          <w:sz w:val="21"/>
          <w:szCs w:val="21"/>
        </w:rPr>
        <w:t>测量清表后的地面标高</w:t>
      </w:r>
    </w:p>
    <w:p w14:paraId="18930491">
      <w:pPr>
        <w:spacing w:line="326" w:lineRule="auto"/>
        <w:rPr>
          <w:rFonts w:ascii="Arial"/>
          <w:sz w:val="21"/>
        </w:rPr>
      </w:pPr>
    </w:p>
    <w:p w14:paraId="7048DC5A">
      <w:pPr>
        <w:spacing w:line="326" w:lineRule="auto"/>
        <w:rPr>
          <w:rFonts w:ascii="Arial"/>
          <w:sz w:val="21"/>
        </w:rPr>
      </w:pPr>
    </w:p>
    <w:p w14:paraId="5B2D04F8">
      <w:pPr>
        <w:pStyle w:val="2"/>
        <w:spacing w:before="69" w:line="472" w:lineRule="auto"/>
        <w:ind w:left="6913" w:right="4374" w:hanging="1055"/>
        <w:rPr>
          <w:sz w:val="21"/>
          <w:szCs w:val="21"/>
        </w:rPr>
      </w:pPr>
      <w:r>
        <w:pict>
          <v:shape id="_x0000_s1401" o:spid="_x0000_s1401" o:spt="202" type="#_x0000_t202" style="position:absolute;left:0pt;margin-left:223.3pt;margin-top:8.3pt;height:14.5pt;width:32.75pt;z-index:251720704;mso-width-relative:page;mso-height-relative:page;" filled="f" stroked="f" coordsize="21600,21600">
            <v:path/>
            <v:fill on="f" focussize="0,0"/>
            <v:stroke on="f"/>
            <v:imagedata o:title=""/>
            <o:lock v:ext="edit" aspectratio="f"/>
            <v:textbox inset="0mm,0mm,0mm,0mm">
              <w:txbxContent>
                <w:p w14:paraId="26D09477">
                  <w:pPr>
                    <w:pStyle w:val="2"/>
                    <w:spacing w:before="20" w:line="219" w:lineRule="auto"/>
                    <w:ind w:left="20"/>
                    <w:rPr>
                      <w:sz w:val="21"/>
                      <w:szCs w:val="21"/>
                    </w:rPr>
                  </w:pPr>
                  <w:r>
                    <w:rPr>
                      <w:spacing w:val="-4"/>
                      <w:sz w:val="21"/>
                      <w:szCs w:val="21"/>
                    </w:rPr>
                    <w:t>不合格</w:t>
                  </w:r>
                </w:p>
              </w:txbxContent>
            </v:textbox>
          </v:shape>
        </w:pict>
      </w:r>
      <w:r>
        <w:rPr>
          <w:spacing w:val="-2"/>
          <w:sz w:val="21"/>
          <w:szCs w:val="21"/>
        </w:rPr>
        <w:t>报监理工程师验收</w:t>
      </w:r>
      <w:r>
        <w:rPr>
          <w:spacing w:val="-5"/>
          <w:sz w:val="21"/>
          <w:szCs w:val="21"/>
        </w:rPr>
        <w:t>合格</w:t>
      </w:r>
    </w:p>
    <w:p w14:paraId="358E91AD">
      <w:pPr>
        <w:pStyle w:val="2"/>
        <w:spacing w:before="45" w:line="219" w:lineRule="auto"/>
        <w:ind w:left="6208"/>
        <w:rPr>
          <w:sz w:val="21"/>
          <w:szCs w:val="21"/>
        </w:rPr>
      </w:pPr>
      <w:r>
        <w:rPr>
          <w:spacing w:val="-4"/>
          <w:sz w:val="21"/>
          <w:szCs w:val="21"/>
        </w:rPr>
        <w:t>下一工序</w:t>
      </w:r>
    </w:p>
    <w:p w14:paraId="72155DF4">
      <w:pPr>
        <w:pStyle w:val="2"/>
        <w:spacing w:before="308" w:line="307" w:lineRule="auto"/>
        <w:ind w:left="1456" w:right="1409" w:firstLine="436"/>
        <w:rPr>
          <w:sz w:val="24"/>
          <w:szCs w:val="24"/>
        </w:rPr>
      </w:pPr>
      <w:r>
        <w:rPr>
          <w:spacing w:val="-20"/>
          <w:sz w:val="24"/>
          <w:szCs w:val="24"/>
        </w:rPr>
        <w:t>基坑开挖程序：测量放线→切线分层开挖→排、降水→修坡整平→留足预留土层等，相邻</w:t>
      </w:r>
      <w:r>
        <w:rPr>
          <w:spacing w:val="-21"/>
          <w:sz w:val="24"/>
          <w:szCs w:val="24"/>
        </w:rPr>
        <w:t>基坑开挖时，遵循先深后浅或同时进行的施工工序。</w:t>
      </w:r>
    </w:p>
    <w:p w14:paraId="7CF02BC8">
      <w:pPr>
        <w:spacing w:line="307" w:lineRule="auto"/>
        <w:rPr>
          <w:sz w:val="24"/>
          <w:szCs w:val="24"/>
        </w:rPr>
        <w:sectPr>
          <w:footerReference r:id="rId49" w:type="default"/>
          <w:pgSz w:w="11907" w:h="16839"/>
          <w:pgMar w:top="954" w:right="4" w:bottom="1038" w:left="0" w:header="499" w:footer="357" w:gutter="0"/>
          <w:pgBorders>
            <w:top w:val="none" w:sz="0" w:space="0"/>
            <w:left w:val="none" w:sz="0" w:space="0"/>
            <w:bottom w:val="none" w:sz="0" w:space="0"/>
            <w:right w:val="none" w:sz="0" w:space="0"/>
          </w:pgBorders>
          <w:cols w:space="720" w:num="1"/>
        </w:sectPr>
      </w:pPr>
    </w:p>
    <w:p w14:paraId="3D973496">
      <w:pPr>
        <w:spacing w:line="214" w:lineRule="exact"/>
      </w:pPr>
    </w:p>
    <w:tbl>
      <w:tblPr>
        <w:tblStyle w:val="6"/>
        <w:tblW w:w="9277" w:type="dxa"/>
        <w:tblInd w:w="131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708"/>
        <w:gridCol w:w="4569"/>
      </w:tblGrid>
      <w:tr w14:paraId="57983B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83" w:hRule="atLeast"/>
        </w:trPr>
        <w:tc>
          <w:tcPr>
            <w:tcW w:w="4708" w:type="dxa"/>
            <w:tcBorders>
              <w:top w:val="single" w:color="000000" w:sz="4" w:space="0"/>
              <w:left w:val="single" w:color="000000" w:sz="4" w:space="0"/>
            </w:tcBorders>
            <w:shd w:val="clear" w:color="auto" w:fill="DEEAF6"/>
            <w:vAlign w:val="top"/>
          </w:tcPr>
          <w:p w14:paraId="03526609">
            <w:pPr>
              <w:spacing w:before="33" w:line="60" w:lineRule="exact"/>
              <w:ind w:firstLine="33"/>
            </w:pPr>
            <w:r>
              <w:rPr>
                <w:position w:val="-1"/>
              </w:rPr>
              <w:pict>
                <v:shape id="_x0000_s1402" o:spid="_x0000_s1402" style="height:3pt;width:232.7pt;" fillcolor="#DEEAF6" filled="t" stroked="f" coordsize="4653,60" path="m0,60l4653,60,4653,0,0,0,0,60xe">
                  <v:path/>
                  <v:fill on="t" focussize="0,0"/>
                  <v:stroke on="f"/>
                  <v:imagedata o:title=""/>
                  <o:lock v:ext="edit"/>
                  <w10:wrap type="none"/>
                  <w10:anchorlock/>
                </v:shape>
              </w:pict>
            </w:r>
          </w:p>
          <w:p w14:paraId="07F17410">
            <w:pPr>
              <w:spacing w:before="45" w:line="2690" w:lineRule="exact"/>
              <w:ind w:firstLine="129"/>
            </w:pPr>
            <w:r>
              <w:rPr>
                <w:position w:val="-53"/>
              </w:rPr>
              <w:drawing>
                <wp:inline distT="0" distB="0" distL="0" distR="0">
                  <wp:extent cx="2821940" cy="1708150"/>
                  <wp:effectExtent l="0" t="0" r="0" b="0"/>
                  <wp:docPr id="264" name="IM 264"/>
                  <wp:cNvGraphicFramePr/>
                  <a:graphic xmlns:a="http://schemas.openxmlformats.org/drawingml/2006/main">
                    <a:graphicData uri="http://schemas.openxmlformats.org/drawingml/2006/picture">
                      <pic:pic xmlns:pic="http://schemas.openxmlformats.org/drawingml/2006/picture">
                        <pic:nvPicPr>
                          <pic:cNvPr id="264" name="IM 264"/>
                          <pic:cNvPicPr/>
                        </pic:nvPicPr>
                        <pic:blipFill>
                          <a:blip r:embed="rId481"/>
                          <a:stretch>
                            <a:fillRect/>
                          </a:stretch>
                        </pic:blipFill>
                        <pic:spPr>
                          <a:xfrm>
                            <a:off x="0" y="0"/>
                            <a:ext cx="2821940" cy="1708150"/>
                          </a:xfrm>
                          <a:prstGeom prst="rect">
                            <a:avLst/>
                          </a:prstGeom>
                        </pic:spPr>
                      </pic:pic>
                    </a:graphicData>
                  </a:graphic>
                </wp:inline>
              </w:drawing>
            </w:r>
          </w:p>
          <w:p w14:paraId="45F9AE6E">
            <w:pPr>
              <w:spacing w:before="199" w:line="44" w:lineRule="exact"/>
              <w:ind w:firstLine="11"/>
            </w:pPr>
            <w:r>
              <w:rPr>
                <w:position w:val="-2"/>
              </w:rPr>
              <w:pict>
                <v:shape id="_x0000_s1403" o:spid="_x0000_s1403" style="height:2.9pt;width:234.05pt;" fillcolor="#DEEAF6" filled="t" stroked="f" coordsize="4681,58" path="m0,57l4680,57,4680,0,0,0,0,57xe">
                  <v:path/>
                  <v:fill on="t" focussize="0,0"/>
                  <v:stroke on="f"/>
                  <v:imagedata o:title=""/>
                  <o:lock v:ext="edit"/>
                  <w10:wrap type="none"/>
                  <w10:anchorlock/>
                </v:shape>
              </w:pict>
            </w:r>
          </w:p>
        </w:tc>
        <w:tc>
          <w:tcPr>
            <w:tcW w:w="4569" w:type="dxa"/>
            <w:tcBorders>
              <w:top w:val="single" w:color="5B9BD5" w:sz="4" w:space="0"/>
              <w:right w:val="single" w:color="5B9BD5" w:sz="4" w:space="0"/>
            </w:tcBorders>
            <w:shd w:val="clear" w:color="auto" w:fill="DEEAF6"/>
            <w:vAlign w:val="top"/>
          </w:tcPr>
          <w:p w14:paraId="5CD70061">
            <w:pPr>
              <w:spacing w:before="93" w:line="2782" w:lineRule="exact"/>
              <w:ind w:firstLine="107"/>
            </w:pPr>
            <w:r>
              <w:pict>
                <v:group id="_x0000_s1404" o:spid="_x0000_s1404" o:spt="203" style="position:absolute;left:0pt;margin-left:-0.5pt;margin-top:2.15pt;height:152.7pt;width:228.2pt;mso-position-horizontal-relative:page;mso-position-vertical-relative:page;z-index:251721728;mso-width-relative:page;mso-height-relative:page;" coordsize="4563,3053">
                  <o:lock v:ext="edit"/>
                  <v:shape id="_x0000_s1405" o:spid="_x0000_s1405" style="position:absolute;left:38;top:0;height:60;width:4503;" fillcolor="#DEEAF6" filled="t" stroked="f" coordsize="4503,60" path="m0,60l4503,60,4503,0,0,0,0,60xe">
                    <v:path/>
                    <v:fill on="t" focussize="0,0"/>
                    <v:stroke on="f"/>
                    <v:imagedata o:title=""/>
                    <o:lock v:ext="edit"/>
                  </v:shape>
                  <v:shape id="_x0000_s1406" o:spid="_x0000_s1406" style="position:absolute;left:0;top:2995;height:58;width:4563;" fillcolor="#DEEAF6" filled="t" stroked="f" coordsize="4563,58" path="m0,57l4563,57,4563,0,0,0,0,57xe">
                    <v:path/>
                    <v:fill on="t" focussize="0,0"/>
                    <v:stroke on="f"/>
                    <v:imagedata o:title=""/>
                    <o:lock v:ext="edit"/>
                  </v:shape>
                </v:group>
              </w:pict>
            </w:r>
            <w:r>
              <w:rPr>
                <w:position w:val="-55"/>
              </w:rPr>
              <w:drawing>
                <wp:inline distT="0" distB="0" distL="0" distR="0">
                  <wp:extent cx="2741295" cy="1766570"/>
                  <wp:effectExtent l="0" t="0" r="0" b="0"/>
                  <wp:docPr id="266" name="IM 266"/>
                  <wp:cNvGraphicFramePr/>
                  <a:graphic xmlns:a="http://schemas.openxmlformats.org/drawingml/2006/main">
                    <a:graphicData uri="http://schemas.openxmlformats.org/drawingml/2006/picture">
                      <pic:pic xmlns:pic="http://schemas.openxmlformats.org/drawingml/2006/picture">
                        <pic:nvPicPr>
                          <pic:cNvPr id="266" name="IM 266"/>
                          <pic:cNvPicPr/>
                        </pic:nvPicPr>
                        <pic:blipFill>
                          <a:blip r:embed="rId482"/>
                          <a:stretch>
                            <a:fillRect/>
                          </a:stretch>
                        </pic:blipFill>
                        <pic:spPr>
                          <a:xfrm>
                            <a:off x="0" y="0"/>
                            <a:ext cx="2741929" cy="1766570"/>
                          </a:xfrm>
                          <a:prstGeom prst="rect">
                            <a:avLst/>
                          </a:prstGeom>
                        </pic:spPr>
                      </pic:pic>
                    </a:graphicData>
                  </a:graphic>
                </wp:inline>
              </w:drawing>
            </w:r>
          </w:p>
        </w:tc>
      </w:tr>
      <w:tr w14:paraId="7FC8BB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4" w:hRule="atLeast"/>
        </w:trPr>
        <w:tc>
          <w:tcPr>
            <w:tcW w:w="4708" w:type="dxa"/>
            <w:tcBorders>
              <w:left w:val="single" w:color="1C456A" w:sz="4" w:space="0"/>
              <w:bottom w:val="single" w:color="1C456A" w:sz="4" w:space="0"/>
            </w:tcBorders>
            <w:vAlign w:val="top"/>
          </w:tcPr>
          <w:p w14:paraId="0AB3469E">
            <w:pPr>
              <w:pStyle w:val="7"/>
              <w:spacing w:before="101" w:line="219" w:lineRule="auto"/>
              <w:ind w:left="1307"/>
            </w:pPr>
            <w:r>
              <w:rPr>
                <w:spacing w:val="-17"/>
              </w:rPr>
              <w:t>土方工程施工示意图1</w:t>
            </w:r>
          </w:p>
        </w:tc>
        <w:tc>
          <w:tcPr>
            <w:tcW w:w="4569" w:type="dxa"/>
            <w:tcBorders>
              <w:bottom w:val="single" w:color="5B9BD5" w:sz="4" w:space="0"/>
              <w:right w:val="single" w:color="5B9BD5" w:sz="4" w:space="0"/>
            </w:tcBorders>
            <w:vAlign w:val="top"/>
          </w:tcPr>
          <w:p w14:paraId="6587EE26">
            <w:pPr>
              <w:pStyle w:val="7"/>
              <w:spacing w:before="101" w:line="219" w:lineRule="auto"/>
              <w:ind w:left="1222"/>
            </w:pPr>
            <w:r>
              <w:rPr>
                <w:spacing w:val="-16"/>
              </w:rPr>
              <w:t>土方工程施工示意图2</w:t>
            </w:r>
          </w:p>
        </w:tc>
      </w:tr>
    </w:tbl>
    <w:p w14:paraId="5D547E7F">
      <w:pPr>
        <w:pStyle w:val="2"/>
        <w:spacing w:before="114" w:line="262" w:lineRule="auto"/>
        <w:ind w:left="1460" w:right="1412" w:firstLine="428"/>
        <w:rPr>
          <w:sz w:val="24"/>
          <w:szCs w:val="24"/>
        </w:rPr>
      </w:pPr>
      <w:r>
        <w:rPr>
          <w:spacing w:val="-18"/>
          <w:sz w:val="24"/>
          <w:szCs w:val="24"/>
        </w:rPr>
        <w:t>2.1在开挖土方时,安排二人用经纬仪和水准仪进行轴线和桩的标高测量,以利于</w:t>
      </w:r>
      <w:r>
        <w:rPr>
          <w:spacing w:val="-19"/>
          <w:sz w:val="24"/>
          <w:szCs w:val="24"/>
        </w:rPr>
        <w:t>接桩与切</w:t>
      </w:r>
      <w:r>
        <w:rPr>
          <w:spacing w:val="-21"/>
          <w:sz w:val="24"/>
          <w:szCs w:val="24"/>
        </w:rPr>
        <w:t>割高于基础标高的桩，确保位置正确和开挖土方</w:t>
      </w:r>
      <w:r>
        <w:rPr>
          <w:spacing w:val="-22"/>
          <w:sz w:val="24"/>
          <w:szCs w:val="24"/>
        </w:rPr>
        <w:t>时不得超挖。</w:t>
      </w:r>
    </w:p>
    <w:p w14:paraId="25408B60">
      <w:pPr>
        <w:pStyle w:val="2"/>
        <w:spacing w:before="120" w:line="262" w:lineRule="auto"/>
        <w:ind w:left="1457" w:right="1412" w:firstLine="431"/>
        <w:rPr>
          <w:sz w:val="24"/>
          <w:szCs w:val="24"/>
        </w:rPr>
      </w:pPr>
      <w:r>
        <w:rPr>
          <w:spacing w:val="-23"/>
          <w:sz w:val="24"/>
          <w:szCs w:val="24"/>
        </w:rPr>
        <w:t>2.2机械开挖后，应采用人工进行清理基坑并整平，测量人员必须准确测放基底标高、轴线</w:t>
      </w:r>
      <w:r>
        <w:rPr>
          <w:spacing w:val="-21"/>
          <w:sz w:val="24"/>
          <w:szCs w:val="24"/>
        </w:rPr>
        <w:t>位置、承台的外形尺寸，基坑应经验收合格后，方可进行</w:t>
      </w:r>
      <w:r>
        <w:rPr>
          <w:spacing w:val="-22"/>
          <w:sz w:val="24"/>
          <w:szCs w:val="24"/>
        </w:rPr>
        <w:t>下道工序（垫层）的施工。</w:t>
      </w:r>
    </w:p>
    <w:p w14:paraId="49B7293B">
      <w:pPr>
        <w:pStyle w:val="2"/>
        <w:spacing w:before="117" w:line="262" w:lineRule="auto"/>
        <w:ind w:left="1480" w:right="1387" w:firstLine="407"/>
        <w:rPr>
          <w:sz w:val="24"/>
          <w:szCs w:val="24"/>
        </w:rPr>
      </w:pPr>
      <w:r>
        <w:rPr>
          <w:spacing w:val="-22"/>
          <w:sz w:val="24"/>
          <w:szCs w:val="24"/>
        </w:rPr>
        <w:t>2.3雨期施工时，基坑（槽）应分段进行开挖，并在基坑</w:t>
      </w:r>
      <w:r>
        <w:rPr>
          <w:spacing w:val="-23"/>
          <w:sz w:val="24"/>
          <w:szCs w:val="24"/>
        </w:rPr>
        <w:t>（槽）两侧围以土堤或挖排水沟，</w:t>
      </w:r>
      <w:r>
        <w:rPr>
          <w:spacing w:val="-22"/>
          <w:sz w:val="24"/>
          <w:szCs w:val="24"/>
        </w:rPr>
        <w:t>以防地面雨水流入基坑槽，同时应经常检查边坡和支护情况，防止坑壁受雨水浸泡造成塌方。</w:t>
      </w:r>
    </w:p>
    <w:p w14:paraId="42121E7C">
      <w:pPr>
        <w:pStyle w:val="2"/>
        <w:spacing w:before="119" w:line="220" w:lineRule="auto"/>
        <w:ind w:left="1890"/>
        <w:rPr>
          <w:sz w:val="24"/>
          <w:szCs w:val="24"/>
        </w:rPr>
      </w:pPr>
      <w:r>
        <w:rPr>
          <w:spacing w:val="-18"/>
          <w:sz w:val="24"/>
          <w:szCs w:val="24"/>
        </w:rPr>
        <w:t>3、基础处理</w:t>
      </w:r>
    </w:p>
    <w:p w14:paraId="6C4ABCDB">
      <w:pPr>
        <w:pStyle w:val="2"/>
        <w:spacing w:before="114" w:line="262" w:lineRule="auto"/>
        <w:ind w:left="1457" w:right="1411" w:firstLine="433"/>
        <w:rPr>
          <w:sz w:val="24"/>
          <w:szCs w:val="24"/>
        </w:rPr>
      </w:pPr>
      <w:r>
        <w:rPr>
          <w:spacing w:val="-23"/>
          <w:sz w:val="24"/>
          <w:szCs w:val="24"/>
        </w:rPr>
        <w:t>3.1开挖中如果出现了软弱土层，应及时与业主、设计、监理等部门研究，采取诸如换土等</w:t>
      </w:r>
      <w:r>
        <w:rPr>
          <w:spacing w:val="-20"/>
          <w:sz w:val="24"/>
          <w:szCs w:val="24"/>
        </w:rPr>
        <w:t>技术措施。确保工程质量。</w:t>
      </w:r>
    </w:p>
    <w:p w14:paraId="7F750380">
      <w:pPr>
        <w:pStyle w:val="2"/>
        <w:spacing w:before="118" w:line="278" w:lineRule="auto"/>
        <w:ind w:left="1455" w:right="1409" w:firstLine="434"/>
        <w:rPr>
          <w:sz w:val="24"/>
          <w:szCs w:val="24"/>
        </w:rPr>
      </w:pPr>
      <w:r>
        <w:rPr>
          <w:spacing w:val="-23"/>
          <w:sz w:val="24"/>
          <w:szCs w:val="24"/>
        </w:rPr>
        <w:t>3.2软弱土层换土处理的方法是：对于软弱土层比较大的部位采取挖掘机挖掘、自卸汽车运</w:t>
      </w:r>
      <w:r>
        <w:rPr>
          <w:spacing w:val="-20"/>
          <w:sz w:val="24"/>
          <w:szCs w:val="24"/>
        </w:rPr>
        <w:t>输的方法，对于软弱土层较小的部位，采取人工开挖、人工填筑的方法。填筑土料选择含水量</w:t>
      </w:r>
      <w:r>
        <w:rPr>
          <w:spacing w:val="-21"/>
          <w:sz w:val="24"/>
          <w:szCs w:val="24"/>
        </w:rPr>
        <w:t>适中的粉质壤土，分层摊铺，分层压实。</w:t>
      </w:r>
    </w:p>
    <w:p w14:paraId="76FC948C">
      <w:pPr>
        <w:pStyle w:val="2"/>
        <w:spacing w:before="118" w:line="262" w:lineRule="auto"/>
        <w:ind w:left="1455" w:right="1411" w:firstLine="434"/>
        <w:rPr>
          <w:sz w:val="24"/>
          <w:szCs w:val="24"/>
        </w:rPr>
      </w:pPr>
      <w:r>
        <w:rPr>
          <w:spacing w:val="-23"/>
          <w:sz w:val="24"/>
          <w:szCs w:val="24"/>
        </w:rPr>
        <w:t>3.3路基土方完成后，用推土机对路床进行初步整平，稳定后再用人工进行精整后，压实至</w:t>
      </w:r>
      <w:r>
        <w:rPr>
          <w:spacing w:val="-21"/>
          <w:sz w:val="24"/>
          <w:szCs w:val="24"/>
        </w:rPr>
        <w:t>规范要求的压实度。</w:t>
      </w:r>
    </w:p>
    <w:p w14:paraId="7640D87E">
      <w:pPr>
        <w:pStyle w:val="2"/>
        <w:spacing w:before="118" w:line="218" w:lineRule="auto"/>
        <w:ind w:left="1890"/>
        <w:rPr>
          <w:sz w:val="24"/>
          <w:szCs w:val="24"/>
        </w:rPr>
      </w:pPr>
      <w:r>
        <w:rPr>
          <w:spacing w:val="-15"/>
          <w:sz w:val="24"/>
          <w:szCs w:val="24"/>
        </w:rPr>
        <w:t>3.4挖淤泥技术</w:t>
      </w:r>
    </w:p>
    <w:p w14:paraId="64EB364F">
      <w:pPr>
        <w:pStyle w:val="2"/>
        <w:spacing w:before="115" w:line="308" w:lineRule="auto"/>
        <w:ind w:left="1455" w:right="1335" w:firstLine="437"/>
        <w:jc w:val="both"/>
        <w:rPr>
          <w:sz w:val="24"/>
          <w:szCs w:val="24"/>
        </w:rPr>
      </w:pPr>
      <w:r>
        <w:rPr>
          <w:spacing w:val="-20"/>
          <w:sz w:val="24"/>
          <w:szCs w:val="24"/>
        </w:rPr>
        <w:t>开挖时，应合理确定开挖顺序、路线及开挖深度。然后分段分层均匀下挖。采用挖土机开</w:t>
      </w:r>
      <w:r>
        <w:rPr>
          <w:spacing w:val="-21"/>
          <w:sz w:val="24"/>
          <w:szCs w:val="24"/>
        </w:rPr>
        <w:t>挖时，应从上而下分层分段，按照坡度线向下开挖，严禁在高度超过3m或在不稳定土体之下作</w:t>
      </w:r>
      <w:r>
        <w:rPr>
          <w:spacing w:val="-20"/>
          <w:sz w:val="24"/>
          <w:szCs w:val="24"/>
        </w:rPr>
        <w:t>业，但每层的中心地段应比两边稍高一些，以防积水。在挖方边坡上如发现有软弱土、流砂土</w:t>
      </w:r>
      <w:r>
        <w:rPr>
          <w:spacing w:val="-23"/>
          <w:sz w:val="24"/>
          <w:szCs w:val="24"/>
        </w:rPr>
        <w:t>层时，或地表面出现裂缝时，应停止开挖，并及时采取相应补救措施，以防止土体崩</w:t>
      </w:r>
      <w:r>
        <w:rPr>
          <w:spacing w:val="-24"/>
          <w:sz w:val="24"/>
          <w:szCs w:val="24"/>
        </w:rPr>
        <w:t>塌与下滑。</w:t>
      </w:r>
    </w:p>
    <w:p w14:paraId="582FFFFE">
      <w:pPr>
        <w:pStyle w:val="2"/>
        <w:spacing w:line="216" w:lineRule="auto"/>
        <w:ind w:left="1895"/>
        <w:rPr>
          <w:sz w:val="24"/>
          <w:szCs w:val="24"/>
        </w:rPr>
      </w:pPr>
      <w:r>
        <w:rPr>
          <w:spacing w:val="-21"/>
          <w:sz w:val="24"/>
          <w:szCs w:val="24"/>
        </w:rPr>
        <w:t>采用反铲、拉铲挖土机开挖时，其施工方法有下列两种：</w:t>
      </w:r>
    </w:p>
    <w:p w14:paraId="4C6C9718">
      <w:pPr>
        <w:pStyle w:val="2"/>
        <w:spacing w:before="121" w:line="307" w:lineRule="auto"/>
        <w:ind w:left="1459" w:right="1409" w:firstLine="435"/>
        <w:rPr>
          <w:sz w:val="24"/>
          <w:szCs w:val="24"/>
        </w:rPr>
      </w:pPr>
      <w:r>
        <w:rPr>
          <w:spacing w:val="-20"/>
          <w:sz w:val="24"/>
          <w:szCs w:val="24"/>
        </w:rPr>
        <w:t>端头挖土法：挖土机从坑或管沟的端头，以倒退行驶的方法进行开挖，自卸汽车配置在挖</w:t>
      </w:r>
      <w:r>
        <w:rPr>
          <w:spacing w:val="-22"/>
          <w:sz w:val="24"/>
          <w:szCs w:val="24"/>
        </w:rPr>
        <w:t>土机的两侧装运土。</w:t>
      </w:r>
    </w:p>
    <w:p w14:paraId="0AE83858">
      <w:pPr>
        <w:pStyle w:val="2"/>
        <w:spacing w:line="215" w:lineRule="auto"/>
        <w:ind w:left="1893"/>
        <w:rPr>
          <w:sz w:val="24"/>
          <w:szCs w:val="24"/>
        </w:rPr>
      </w:pPr>
      <w:r>
        <w:rPr>
          <w:spacing w:val="-21"/>
          <w:sz w:val="24"/>
          <w:szCs w:val="24"/>
        </w:rPr>
        <w:t>侧向挖土法：挖土机沿着坑边或管沟的一侧移动，自卸汽车在另</w:t>
      </w:r>
      <w:r>
        <w:rPr>
          <w:spacing w:val="-22"/>
          <w:sz w:val="24"/>
          <w:szCs w:val="24"/>
        </w:rPr>
        <w:t>一侧装。</w:t>
      </w:r>
    </w:p>
    <w:p w14:paraId="51F0EE27">
      <w:pPr>
        <w:pStyle w:val="2"/>
        <w:spacing w:before="122" w:line="307" w:lineRule="auto"/>
        <w:ind w:left="1459" w:right="1355" w:firstLine="433"/>
        <w:rPr>
          <w:sz w:val="24"/>
          <w:szCs w:val="24"/>
        </w:rPr>
      </w:pPr>
      <w:r>
        <w:rPr>
          <w:spacing w:val="-23"/>
          <w:sz w:val="24"/>
          <w:szCs w:val="24"/>
        </w:rPr>
        <w:t>挖土机沿挖方边缘移动时，机械距离边坡上缘的宽度不得小于基坑和管沟深度的1/2，如挖</w:t>
      </w:r>
      <w:r>
        <w:rPr>
          <w:spacing w:val="-25"/>
          <w:sz w:val="24"/>
          <w:szCs w:val="24"/>
        </w:rPr>
        <w:t>土深度超过5m时应按专业性施工方案来确定。机械开挖基坑和管沟，应采取措施防止基底超挖，</w:t>
      </w:r>
      <w:r>
        <w:rPr>
          <w:spacing w:val="-20"/>
          <w:sz w:val="24"/>
          <w:szCs w:val="24"/>
        </w:rPr>
        <w:t>一般可在设计标高以上暂留300mm一层土不挖，以便经抄平后由人工清底挖出。机械挖不到的</w:t>
      </w:r>
    </w:p>
    <w:p w14:paraId="5DEBFDA0">
      <w:pPr>
        <w:spacing w:line="307" w:lineRule="auto"/>
        <w:rPr>
          <w:sz w:val="24"/>
          <w:szCs w:val="24"/>
        </w:rPr>
        <w:sectPr>
          <w:footerReference r:id="rId50" w:type="default"/>
          <w:pgSz w:w="11907" w:h="16839"/>
          <w:pgMar w:top="954" w:right="4" w:bottom="1038" w:left="0" w:header="499" w:footer="357" w:gutter="0"/>
          <w:pgBorders>
            <w:top w:val="none" w:sz="0" w:space="0"/>
            <w:left w:val="none" w:sz="0" w:space="0"/>
            <w:bottom w:val="none" w:sz="0" w:space="0"/>
            <w:right w:val="none" w:sz="0" w:space="0"/>
          </w:pgBorders>
          <w:cols w:space="720" w:num="1"/>
        </w:sectPr>
      </w:pPr>
    </w:p>
    <w:p w14:paraId="3459EA35">
      <w:pPr>
        <w:spacing w:line="248" w:lineRule="auto"/>
        <w:rPr>
          <w:rFonts w:ascii="Arial"/>
          <w:sz w:val="21"/>
        </w:rPr>
      </w:pPr>
    </w:p>
    <w:p w14:paraId="49054648">
      <w:pPr>
        <w:pStyle w:val="2"/>
        <w:spacing w:before="78" w:line="308" w:lineRule="auto"/>
        <w:ind w:left="1458" w:right="1354"/>
        <w:jc w:val="both"/>
        <w:rPr>
          <w:sz w:val="24"/>
          <w:szCs w:val="24"/>
        </w:rPr>
      </w:pPr>
      <w:r>
        <w:rPr>
          <w:spacing w:val="-20"/>
          <w:sz w:val="24"/>
          <w:szCs w:val="24"/>
        </w:rPr>
        <w:t>土方，应配以人工跟随挖掘，并用手推车将土运到机械能挖到的地方，以便及时挖走。修帮和清底。在距槽底实际标高500mm槽帮处，抄出水</w:t>
      </w:r>
      <w:r>
        <w:rPr>
          <w:spacing w:val="-21"/>
          <w:sz w:val="24"/>
          <w:szCs w:val="24"/>
        </w:rPr>
        <w:t>平线，钉上小木撅，然后用人工将暂留土层挖</w:t>
      </w:r>
      <w:r>
        <w:rPr>
          <w:spacing w:val="-20"/>
          <w:sz w:val="24"/>
          <w:szCs w:val="24"/>
        </w:rPr>
        <w:t>走。同时由两端轴线（中心线）引桩拉通线（用小线或铅丝</w:t>
      </w:r>
      <w:r>
        <w:rPr>
          <w:spacing w:val="-16"/>
          <w:sz w:val="24"/>
          <w:szCs w:val="24"/>
        </w:rPr>
        <w:t>），</w:t>
      </w:r>
      <w:r>
        <w:rPr>
          <w:spacing w:val="-20"/>
          <w:sz w:val="24"/>
          <w:szCs w:val="24"/>
        </w:rPr>
        <w:t>检查距槽边尺寸，确定槽宽标</w:t>
      </w:r>
      <w:r>
        <w:rPr>
          <w:spacing w:val="-24"/>
          <w:sz w:val="24"/>
          <w:szCs w:val="24"/>
        </w:rPr>
        <w:t>准。以此修整槽边，最后清理槽底土方。槽底修理铲平后进行质量检查验收。开挖基坑的土方，</w:t>
      </w:r>
      <w:r>
        <w:rPr>
          <w:spacing w:val="-21"/>
          <w:sz w:val="24"/>
          <w:szCs w:val="24"/>
        </w:rPr>
        <w:t>在场地有条件堆放时，应留足回填用的好土；多余土方应</w:t>
      </w:r>
      <w:r>
        <w:rPr>
          <w:spacing w:val="-22"/>
          <w:sz w:val="24"/>
          <w:szCs w:val="24"/>
        </w:rPr>
        <w:t>一次运走，避免二次搬运。</w:t>
      </w:r>
    </w:p>
    <w:p w14:paraId="43C4E835">
      <w:pPr>
        <w:pStyle w:val="2"/>
        <w:spacing w:before="1" w:line="218" w:lineRule="auto"/>
        <w:ind w:left="1884"/>
        <w:rPr>
          <w:sz w:val="24"/>
          <w:szCs w:val="24"/>
        </w:rPr>
      </w:pPr>
      <w:r>
        <w:rPr>
          <w:spacing w:val="-17"/>
          <w:sz w:val="24"/>
          <w:szCs w:val="24"/>
        </w:rPr>
        <w:t>4、土方回填</w:t>
      </w:r>
    </w:p>
    <w:p w14:paraId="0D881800">
      <w:pPr>
        <w:pStyle w:val="2"/>
        <w:spacing w:before="115" w:line="308" w:lineRule="auto"/>
        <w:ind w:left="1456" w:right="1415" w:firstLine="428"/>
        <w:jc w:val="both"/>
        <w:rPr>
          <w:sz w:val="24"/>
          <w:szCs w:val="24"/>
        </w:rPr>
      </w:pPr>
      <w:r>
        <w:rPr>
          <w:spacing w:val="-23"/>
          <w:sz w:val="24"/>
          <w:szCs w:val="24"/>
        </w:rPr>
        <w:t>4.1填方前，应清除基底垃圾、树根、模板、杂草等有机杂物，抽出坑穴积水、淤泥及验收</w:t>
      </w:r>
      <w:r>
        <w:rPr>
          <w:spacing w:val="-20"/>
          <w:sz w:val="24"/>
          <w:szCs w:val="24"/>
        </w:rPr>
        <w:t>基底标高，检查地下管道、通信器材、地下电缆等是否安装完毕、管道支承是否牢固可靠，有</w:t>
      </w:r>
      <w:r>
        <w:rPr>
          <w:spacing w:val="-15"/>
          <w:sz w:val="24"/>
          <w:szCs w:val="24"/>
        </w:rPr>
        <w:t>无支墩。</w:t>
      </w:r>
    </w:p>
    <w:p w14:paraId="354124AC">
      <w:pPr>
        <w:pStyle w:val="2"/>
        <w:spacing w:before="1" w:line="307" w:lineRule="auto"/>
        <w:ind w:left="1462" w:right="1409" w:firstLine="432"/>
        <w:rPr>
          <w:sz w:val="24"/>
          <w:szCs w:val="24"/>
        </w:rPr>
      </w:pPr>
      <w:r>
        <w:rPr>
          <w:spacing w:val="-20"/>
          <w:sz w:val="24"/>
          <w:szCs w:val="24"/>
        </w:rPr>
        <w:t>对填方基底和已完成隐蔽工程进行检查和中间验收，幷作好记录，在基础达到规定强度后</w:t>
      </w:r>
      <w:r>
        <w:rPr>
          <w:spacing w:val="-22"/>
          <w:sz w:val="24"/>
          <w:szCs w:val="24"/>
        </w:rPr>
        <w:t>方可进行，回填土应采取在构（建）物四周同时对称下料进</w:t>
      </w:r>
      <w:r>
        <w:rPr>
          <w:spacing w:val="-23"/>
          <w:sz w:val="24"/>
          <w:szCs w:val="24"/>
        </w:rPr>
        <w:t>行回填。</w:t>
      </w:r>
    </w:p>
    <w:p w14:paraId="08FCD2BE">
      <w:pPr>
        <w:pStyle w:val="2"/>
        <w:spacing w:before="3" w:line="307" w:lineRule="auto"/>
        <w:ind w:left="1456" w:right="1353" w:firstLine="428"/>
        <w:jc w:val="both"/>
        <w:rPr>
          <w:sz w:val="24"/>
          <w:szCs w:val="24"/>
        </w:rPr>
      </w:pPr>
      <w:r>
        <w:rPr>
          <w:spacing w:val="-24"/>
          <w:sz w:val="24"/>
          <w:szCs w:val="24"/>
        </w:rPr>
        <w:t>4.2回填土质应符合施工规范要求。回填土由基坑边下土，分层回填，人工铺设，采用打夯</w:t>
      </w:r>
      <w:r>
        <w:rPr>
          <w:spacing w:val="-19"/>
          <w:sz w:val="24"/>
          <w:szCs w:val="24"/>
        </w:rPr>
        <w:t>机夯实，幷注意控制土壤含水率，虚铺厚度每层控制</w:t>
      </w:r>
      <w:r>
        <w:rPr>
          <w:spacing w:val="-20"/>
          <w:sz w:val="24"/>
          <w:szCs w:val="24"/>
        </w:rPr>
        <w:t>在300mm之内，每回填一层，打夯3~4遍，</w:t>
      </w:r>
      <w:r>
        <w:rPr>
          <w:spacing w:val="-19"/>
          <w:sz w:val="24"/>
          <w:szCs w:val="24"/>
        </w:rPr>
        <w:t>机械夯不到的位置采用人工夯实，厚度每层不应超过200m</w:t>
      </w:r>
      <w:r>
        <w:rPr>
          <w:spacing w:val="-20"/>
          <w:sz w:val="24"/>
          <w:szCs w:val="24"/>
        </w:rPr>
        <w:t>m，打夯3~4遍。夯实后应取样送检，</w:t>
      </w:r>
      <w:r>
        <w:rPr>
          <w:spacing w:val="-22"/>
          <w:sz w:val="24"/>
          <w:szCs w:val="24"/>
        </w:rPr>
        <w:t>取样方法和数量要符合施工规范要求。</w:t>
      </w:r>
    </w:p>
    <w:p w14:paraId="4190BE27">
      <w:pPr>
        <w:pStyle w:val="2"/>
        <w:spacing w:before="2" w:line="307" w:lineRule="auto"/>
        <w:ind w:left="1459" w:right="1410" w:firstLine="425"/>
        <w:rPr>
          <w:sz w:val="24"/>
          <w:szCs w:val="24"/>
        </w:rPr>
      </w:pPr>
      <w:r>
        <w:rPr>
          <w:spacing w:val="-22"/>
          <w:sz w:val="24"/>
          <w:szCs w:val="24"/>
        </w:rPr>
        <w:t>4.2.1填方施工过程中应检查排水措施，每层填筑厚度、含</w:t>
      </w:r>
      <w:r>
        <w:rPr>
          <w:spacing w:val="-23"/>
          <w:sz w:val="24"/>
          <w:szCs w:val="24"/>
        </w:rPr>
        <w:t>水量控制、压实程度。填筑厚度</w:t>
      </w:r>
      <w:r>
        <w:rPr>
          <w:spacing w:val="-21"/>
          <w:sz w:val="24"/>
          <w:szCs w:val="24"/>
        </w:rPr>
        <w:t>及压实遍数应根据土质、压实系数及所用机具而确定。</w:t>
      </w:r>
      <w:r>
        <w:rPr>
          <w:spacing w:val="-22"/>
          <w:sz w:val="24"/>
          <w:szCs w:val="24"/>
        </w:rPr>
        <w:t>如无试验依据:</w:t>
      </w:r>
    </w:p>
    <w:p w14:paraId="7B426AA3">
      <w:pPr>
        <w:pStyle w:val="2"/>
        <w:spacing w:line="216" w:lineRule="auto"/>
        <w:ind w:left="1893"/>
        <w:rPr>
          <w:sz w:val="24"/>
          <w:szCs w:val="24"/>
        </w:rPr>
      </w:pPr>
      <w:r>
        <w:rPr>
          <w:spacing w:val="-19"/>
          <w:sz w:val="24"/>
          <w:szCs w:val="24"/>
        </w:rPr>
        <w:t>应符合下表的规定</w:t>
      </w:r>
    </w:p>
    <w:p w14:paraId="3A15D715">
      <w:pPr>
        <w:spacing w:line="42" w:lineRule="auto"/>
        <w:rPr>
          <w:rFonts w:ascii="Arial"/>
          <w:sz w:val="2"/>
        </w:rPr>
      </w:pPr>
    </w:p>
    <w:tbl>
      <w:tblPr>
        <w:tblStyle w:val="6"/>
        <w:tblW w:w="9661" w:type="dxa"/>
        <w:tblInd w:w="112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26"/>
        <w:gridCol w:w="1272"/>
        <w:gridCol w:w="2913"/>
        <w:gridCol w:w="2876"/>
        <w:gridCol w:w="1923"/>
        <w:gridCol w:w="251"/>
      </w:tblGrid>
      <w:tr w14:paraId="029704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5" w:hRule="atLeast"/>
        </w:trPr>
        <w:tc>
          <w:tcPr>
            <w:tcW w:w="1698" w:type="dxa"/>
            <w:gridSpan w:val="2"/>
            <w:tcBorders>
              <w:top w:val="single" w:color="000000" w:sz="4" w:space="0"/>
              <w:left w:val="single" w:color="000000" w:sz="4" w:space="0"/>
            </w:tcBorders>
            <w:shd w:val="clear" w:color="auto" w:fill="DEEAF6"/>
            <w:vAlign w:val="top"/>
          </w:tcPr>
          <w:p w14:paraId="51FAE4F5">
            <w:pPr>
              <w:spacing w:line="93" w:lineRule="exact"/>
            </w:pPr>
            <w:r>
              <w:rPr>
                <w:position w:val="-1"/>
              </w:rPr>
              <w:pict>
                <v:group id="_x0000_s1407" o:spid="_x0000_s1407" o:spt="203" style="height:5.2pt;width:86.7pt;" coordsize="1733,103">
                  <o:lock v:ext="edit"/>
                  <v:shape id="_x0000_s1408" o:spid="_x0000_s1408" style="position:absolute;left:0;top:0;height:15;width:44;" fillcolor="#5B9BD5" filled="t" stroked="f" coordsize="44,15" path="m0,14l43,14,43,0,0,0,0,14xe">
                    <v:path/>
                    <v:fill on="t" focussize="0,0"/>
                    <v:stroke on="f"/>
                    <v:imagedata o:title=""/>
                    <o:lock v:ext="edit"/>
                  </v:shape>
                  <v:shape id="_x0000_s1409" o:spid="_x0000_s1409" style="position:absolute;left:43;top:43;height:60;width:1646;" fillcolor="#DEEAF6" filled="t" stroked="f" coordsize="1646,60" path="m0,60l1646,60,1646,0,0,0,0,60xe">
                    <v:path/>
                    <v:fill on="t" focussize="0,0"/>
                    <v:stroke on="f"/>
                    <v:imagedata o:title=""/>
                    <o:lock v:ext="edit"/>
                  </v:shape>
                  <v:shape id="_x0000_s1410" o:spid="_x0000_s1410" style="position:absolute;left:1690;top:0;height:15;width:44;" fillcolor="#5B9BD5" filled="t" stroked="f" coordsize="44,15" path="m0,14l43,14,43,0,0,0,0,14xe">
                    <v:path/>
                    <v:fill on="t" focussize="0,0"/>
                    <v:stroke on="f"/>
                    <v:imagedata o:title=""/>
                    <o:lock v:ext="edit"/>
                  </v:shape>
                  <v:shape id="_x0000_s1411" o:spid="_x0000_s1411" style="position:absolute;left:1690;top:14;height:15;width:44;" fillcolor="#20507B" filled="t" stroked="f" coordsize="44,15" path="m0,14l43,14,43,0,0,0,0,14xe">
                    <v:path/>
                    <v:fill on="t" focussize="0,0"/>
                    <v:stroke on="f"/>
                    <v:imagedata o:title=""/>
                    <o:lock v:ext="edit"/>
                  </v:shape>
                  <v:shape id="_x0000_s1412" o:spid="_x0000_s1412" style="position:absolute;left:1690;top:28;height:15;width:44;" fillcolor="#1C456A" filled="t" stroked="f" coordsize="44,15" path="m0,14l43,14,43,0,0,0,0,14xe">
                    <v:path/>
                    <v:fill on="t" focussize="0,0"/>
                    <v:stroke on="f"/>
                    <v:imagedata o:title=""/>
                    <o:lock v:ext="edit"/>
                  </v:shape>
                  <w10:wrap type="none"/>
                  <w10:anchorlock/>
                </v:group>
              </w:pict>
            </w:r>
          </w:p>
          <w:p w14:paraId="62328FBA">
            <w:pPr>
              <w:pStyle w:val="7"/>
              <w:spacing w:before="45" w:line="218" w:lineRule="auto"/>
              <w:ind w:left="644"/>
            </w:pPr>
            <w:r>
              <w:rPr>
                <w:b/>
                <w:bCs/>
                <w:spacing w:val="-12"/>
              </w:rPr>
              <w:t>序号</w:t>
            </w:r>
          </w:p>
        </w:tc>
        <w:tc>
          <w:tcPr>
            <w:tcW w:w="2913" w:type="dxa"/>
            <w:tcBorders>
              <w:top w:val="single" w:color="000000" w:sz="4" w:space="0"/>
            </w:tcBorders>
            <w:shd w:val="clear" w:color="auto" w:fill="DEEAF6"/>
            <w:vAlign w:val="top"/>
          </w:tcPr>
          <w:p w14:paraId="177A3EDE">
            <w:pPr>
              <w:pStyle w:val="7"/>
              <w:spacing w:before="139" w:line="218" w:lineRule="auto"/>
              <w:ind w:left="1025"/>
            </w:pPr>
            <w:r>
              <w:rPr>
                <w:b/>
                <w:bCs/>
                <w:spacing w:val="-18"/>
              </w:rPr>
              <w:t>压实机具</w:t>
            </w:r>
          </w:p>
        </w:tc>
        <w:tc>
          <w:tcPr>
            <w:tcW w:w="2876" w:type="dxa"/>
            <w:tcBorders>
              <w:top w:val="single" w:color="000000" w:sz="4" w:space="0"/>
            </w:tcBorders>
            <w:shd w:val="clear" w:color="auto" w:fill="DEEAF6"/>
            <w:vAlign w:val="top"/>
          </w:tcPr>
          <w:p w14:paraId="65D42BA4">
            <w:pPr>
              <w:pStyle w:val="7"/>
              <w:spacing w:before="138" w:line="219" w:lineRule="auto"/>
              <w:ind w:left="686"/>
            </w:pPr>
            <w:r>
              <w:rPr>
                <w:b/>
                <w:bCs/>
                <w:spacing w:val="-20"/>
              </w:rPr>
              <w:t>分层厚度（mm）</w:t>
            </w:r>
          </w:p>
        </w:tc>
        <w:tc>
          <w:tcPr>
            <w:tcW w:w="1923" w:type="dxa"/>
            <w:tcBorders>
              <w:top w:val="single" w:color="5B9BD5" w:sz="4" w:space="0"/>
              <w:right w:val="nil"/>
            </w:tcBorders>
            <w:shd w:val="clear" w:color="auto" w:fill="DEEAF6"/>
            <w:vAlign w:val="top"/>
          </w:tcPr>
          <w:p w14:paraId="0BD47100">
            <w:pPr>
              <w:pStyle w:val="7"/>
              <w:spacing w:before="139" w:line="218" w:lineRule="auto"/>
              <w:ind w:left="444"/>
            </w:pPr>
            <w:r>
              <w:rPr>
                <w:b/>
                <w:bCs/>
                <w:spacing w:val="-21"/>
              </w:rPr>
              <w:t>每层压实遍数</w:t>
            </w:r>
          </w:p>
        </w:tc>
        <w:tc>
          <w:tcPr>
            <w:tcW w:w="251" w:type="dxa"/>
            <w:tcBorders>
              <w:top w:val="single" w:color="5B9BD5" w:sz="4" w:space="0"/>
              <w:left w:val="nil"/>
              <w:right w:val="single" w:color="5B9BD5" w:sz="4" w:space="0"/>
            </w:tcBorders>
            <w:vAlign w:val="top"/>
          </w:tcPr>
          <w:p w14:paraId="607AE9E0">
            <w:pPr>
              <w:rPr>
                <w:rFonts w:ascii="Arial"/>
                <w:sz w:val="21"/>
              </w:rPr>
            </w:pPr>
            <w:r>
              <w:pict>
                <v:shape id="_x0000_s1413" o:spid="_x0000_s1413" style="position:absolute;left:0pt;margin-left:10.7pt;margin-top:0pt;height:0.75pt;width:2.2pt;mso-position-horizontal-relative:page;mso-position-vertical-relative:page;z-index:251724800;mso-width-relative:page;mso-height-relative:page;" fillcolor="#5B9BD5" filled="t" stroked="f" coordsize="44,15" path="m0,14l43,14,43,0,0,0,0,14xe">
                  <v:path/>
                  <v:fill on="t" focussize="0,0"/>
                  <v:stroke on="f"/>
                  <v:imagedata o:title=""/>
                  <o:lock v:ext="edit"/>
                </v:shape>
              </w:pict>
            </w:r>
          </w:p>
        </w:tc>
      </w:tr>
      <w:tr w14:paraId="6B55E6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6" w:hRule="atLeast"/>
        </w:trPr>
        <w:tc>
          <w:tcPr>
            <w:tcW w:w="1698" w:type="dxa"/>
            <w:gridSpan w:val="2"/>
            <w:tcBorders>
              <w:top w:val="single" w:color="DEEAF6" w:sz="22" w:space="0"/>
              <w:left w:val="single" w:color="000000" w:sz="4" w:space="0"/>
            </w:tcBorders>
            <w:vAlign w:val="top"/>
          </w:tcPr>
          <w:p w14:paraId="20009149">
            <w:pPr>
              <w:pStyle w:val="7"/>
              <w:spacing w:before="89" w:line="238" w:lineRule="auto"/>
              <w:ind w:left="818"/>
            </w:pPr>
            <w:r>
              <w:t>1</w:t>
            </w:r>
          </w:p>
        </w:tc>
        <w:tc>
          <w:tcPr>
            <w:tcW w:w="2913" w:type="dxa"/>
            <w:tcBorders>
              <w:top w:val="single" w:color="DEEAF6" w:sz="22" w:space="0"/>
            </w:tcBorders>
            <w:vAlign w:val="top"/>
          </w:tcPr>
          <w:p w14:paraId="6E07412E">
            <w:pPr>
              <w:pStyle w:val="7"/>
              <w:spacing w:before="88" w:line="219" w:lineRule="auto"/>
              <w:ind w:left="1244"/>
            </w:pPr>
            <w:r>
              <w:rPr>
                <w:spacing w:val="-10"/>
              </w:rPr>
              <w:t>平碾</w:t>
            </w:r>
          </w:p>
        </w:tc>
        <w:tc>
          <w:tcPr>
            <w:tcW w:w="2876" w:type="dxa"/>
            <w:tcBorders>
              <w:top w:val="single" w:color="DEEAF6" w:sz="22" w:space="0"/>
            </w:tcBorders>
            <w:vAlign w:val="top"/>
          </w:tcPr>
          <w:p w14:paraId="054EAE31">
            <w:pPr>
              <w:pStyle w:val="7"/>
              <w:spacing w:before="88" w:line="237" w:lineRule="auto"/>
              <w:ind w:left="1010"/>
            </w:pPr>
            <w:r>
              <w:rPr>
                <w:spacing w:val="-12"/>
              </w:rPr>
              <w:t>250～300</w:t>
            </w:r>
          </w:p>
        </w:tc>
        <w:tc>
          <w:tcPr>
            <w:tcW w:w="2174" w:type="dxa"/>
            <w:gridSpan w:val="2"/>
            <w:tcBorders>
              <w:top w:val="single" w:color="DEEAF6" w:sz="22" w:space="0"/>
              <w:right w:val="single" w:color="000000" w:sz="4" w:space="0"/>
            </w:tcBorders>
            <w:vAlign w:val="top"/>
          </w:tcPr>
          <w:p w14:paraId="19C9989A">
            <w:pPr>
              <w:pStyle w:val="7"/>
              <w:spacing w:before="88" w:line="237" w:lineRule="auto"/>
              <w:ind w:left="869"/>
            </w:pPr>
            <w:r>
              <w:rPr>
                <w:spacing w:val="-15"/>
              </w:rPr>
              <w:t>6～8</w:t>
            </w:r>
          </w:p>
        </w:tc>
      </w:tr>
      <w:tr w14:paraId="31A733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3" w:hRule="atLeast"/>
        </w:trPr>
        <w:tc>
          <w:tcPr>
            <w:tcW w:w="1698" w:type="dxa"/>
            <w:gridSpan w:val="2"/>
            <w:tcBorders>
              <w:left w:val="single" w:color="000000" w:sz="4" w:space="0"/>
            </w:tcBorders>
            <w:vAlign w:val="top"/>
          </w:tcPr>
          <w:p w14:paraId="60C1578E">
            <w:pPr>
              <w:pStyle w:val="7"/>
              <w:spacing w:before="107" w:line="238" w:lineRule="auto"/>
              <w:ind w:left="803"/>
            </w:pPr>
            <w:r>
              <w:t>2</w:t>
            </w:r>
          </w:p>
        </w:tc>
        <w:tc>
          <w:tcPr>
            <w:tcW w:w="2913" w:type="dxa"/>
            <w:vAlign w:val="top"/>
          </w:tcPr>
          <w:p w14:paraId="023E112A">
            <w:pPr>
              <w:pStyle w:val="7"/>
              <w:spacing w:before="107" w:line="218" w:lineRule="auto"/>
              <w:ind w:left="916"/>
            </w:pPr>
            <w:r>
              <w:rPr>
                <w:spacing w:val="-17"/>
              </w:rPr>
              <w:t>振动压实机</w:t>
            </w:r>
          </w:p>
        </w:tc>
        <w:tc>
          <w:tcPr>
            <w:tcW w:w="2876" w:type="dxa"/>
            <w:vAlign w:val="top"/>
          </w:tcPr>
          <w:p w14:paraId="313562C9">
            <w:pPr>
              <w:pStyle w:val="7"/>
              <w:spacing w:before="107" w:line="237" w:lineRule="auto"/>
              <w:ind w:left="1010"/>
            </w:pPr>
            <w:r>
              <w:rPr>
                <w:spacing w:val="-12"/>
              </w:rPr>
              <w:t>250～350</w:t>
            </w:r>
          </w:p>
        </w:tc>
        <w:tc>
          <w:tcPr>
            <w:tcW w:w="2174" w:type="dxa"/>
            <w:gridSpan w:val="2"/>
            <w:tcBorders>
              <w:right w:val="single" w:color="000000" w:sz="4" w:space="0"/>
            </w:tcBorders>
            <w:vAlign w:val="top"/>
          </w:tcPr>
          <w:p w14:paraId="22453AE2">
            <w:pPr>
              <w:pStyle w:val="7"/>
              <w:spacing w:before="107" w:line="237" w:lineRule="auto"/>
              <w:ind w:left="872"/>
            </w:pPr>
            <w:r>
              <w:rPr>
                <w:spacing w:val="-16"/>
              </w:rPr>
              <w:t>3～4</w:t>
            </w:r>
          </w:p>
        </w:tc>
      </w:tr>
      <w:tr w14:paraId="0C4C5E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6" w:hRule="atLeast"/>
        </w:trPr>
        <w:tc>
          <w:tcPr>
            <w:tcW w:w="1698" w:type="dxa"/>
            <w:gridSpan w:val="2"/>
            <w:tcBorders>
              <w:left w:val="single" w:color="000000" w:sz="4" w:space="0"/>
            </w:tcBorders>
            <w:vAlign w:val="top"/>
          </w:tcPr>
          <w:p w14:paraId="3B6327DC">
            <w:pPr>
              <w:pStyle w:val="7"/>
              <w:spacing w:before="99" w:line="237" w:lineRule="auto"/>
              <w:ind w:left="805"/>
            </w:pPr>
            <w:r>
              <w:t>3</w:t>
            </w:r>
          </w:p>
        </w:tc>
        <w:tc>
          <w:tcPr>
            <w:tcW w:w="2913" w:type="dxa"/>
            <w:vAlign w:val="top"/>
          </w:tcPr>
          <w:p w14:paraId="3F02B690">
            <w:pPr>
              <w:pStyle w:val="7"/>
              <w:spacing w:before="99" w:line="216" w:lineRule="auto"/>
              <w:ind w:left="918"/>
            </w:pPr>
            <w:r>
              <w:rPr>
                <w:spacing w:val="-17"/>
              </w:rPr>
              <w:t>柴油打夯机</w:t>
            </w:r>
          </w:p>
        </w:tc>
        <w:tc>
          <w:tcPr>
            <w:tcW w:w="2876" w:type="dxa"/>
            <w:vAlign w:val="top"/>
          </w:tcPr>
          <w:p w14:paraId="09BCA0CD">
            <w:pPr>
              <w:pStyle w:val="7"/>
              <w:spacing w:before="99" w:line="237" w:lineRule="auto"/>
              <w:ind w:left="1010"/>
            </w:pPr>
            <w:r>
              <w:rPr>
                <w:spacing w:val="-12"/>
              </w:rPr>
              <w:t>200～350</w:t>
            </w:r>
          </w:p>
        </w:tc>
        <w:tc>
          <w:tcPr>
            <w:tcW w:w="2174" w:type="dxa"/>
            <w:gridSpan w:val="2"/>
            <w:tcBorders>
              <w:right w:val="single" w:color="000000" w:sz="4" w:space="0"/>
            </w:tcBorders>
            <w:vAlign w:val="top"/>
          </w:tcPr>
          <w:p w14:paraId="50E597F2">
            <w:pPr>
              <w:pStyle w:val="7"/>
              <w:spacing w:before="99" w:line="237" w:lineRule="auto"/>
              <w:ind w:left="872"/>
            </w:pPr>
            <w:r>
              <w:rPr>
                <w:spacing w:val="-16"/>
              </w:rPr>
              <w:t>3～4</w:t>
            </w:r>
          </w:p>
        </w:tc>
      </w:tr>
      <w:tr w14:paraId="66925A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7" w:hRule="atLeast"/>
        </w:trPr>
        <w:tc>
          <w:tcPr>
            <w:tcW w:w="426" w:type="dxa"/>
            <w:tcBorders>
              <w:left w:val="single" w:color="1C456A" w:sz="4" w:space="0"/>
              <w:bottom w:val="single" w:color="1C456A" w:sz="4" w:space="0"/>
              <w:right w:val="nil"/>
            </w:tcBorders>
            <w:vAlign w:val="top"/>
          </w:tcPr>
          <w:p w14:paraId="549E41D8">
            <w:pPr>
              <w:rPr>
                <w:rFonts w:ascii="Arial"/>
                <w:sz w:val="21"/>
              </w:rPr>
            </w:pPr>
            <w:r>
              <w:pict>
                <v:shape id="_x0000_s1414" o:spid="_x0000_s1414" style="position:absolute;left:0pt;margin-left:-0.25pt;margin-top:33.35pt;height:0.75pt;width:2.2pt;mso-position-horizontal-relative:page;mso-position-vertical-relative:page;z-index:251723776;mso-width-relative:page;mso-height-relative:page;" fillcolor="#5B9BD5" filled="t" stroked="f" coordsize="44,15" path="m0,14l43,14,43,0,0,0,0,14xe">
                  <v:path/>
                  <v:fill on="t" focussize="0,0"/>
                  <v:stroke on="f"/>
                  <v:imagedata o:title=""/>
                  <o:lock v:ext="edit"/>
                </v:shape>
              </w:pict>
            </w:r>
          </w:p>
        </w:tc>
        <w:tc>
          <w:tcPr>
            <w:tcW w:w="1272" w:type="dxa"/>
            <w:tcBorders>
              <w:left w:val="nil"/>
              <w:bottom w:val="single" w:color="1C456A" w:sz="4" w:space="0"/>
            </w:tcBorders>
            <w:vAlign w:val="top"/>
          </w:tcPr>
          <w:p w14:paraId="2F5D5450">
            <w:pPr>
              <w:pStyle w:val="7"/>
              <w:spacing w:before="123" w:line="238" w:lineRule="auto"/>
              <w:ind w:left="378"/>
            </w:pPr>
            <w:r>
              <w:t>4</w:t>
            </w:r>
          </w:p>
        </w:tc>
        <w:tc>
          <w:tcPr>
            <w:tcW w:w="2913" w:type="dxa"/>
            <w:tcBorders>
              <w:bottom w:val="single" w:color="000000" w:sz="4" w:space="0"/>
            </w:tcBorders>
            <w:vAlign w:val="top"/>
          </w:tcPr>
          <w:p w14:paraId="693722D8">
            <w:pPr>
              <w:pStyle w:val="7"/>
              <w:spacing w:before="122" w:line="219" w:lineRule="auto"/>
              <w:ind w:left="1031"/>
            </w:pPr>
            <w:r>
              <w:rPr>
                <w:spacing w:val="-16"/>
              </w:rPr>
              <w:t>人工打夯</w:t>
            </w:r>
          </w:p>
        </w:tc>
        <w:tc>
          <w:tcPr>
            <w:tcW w:w="2876" w:type="dxa"/>
            <w:tcBorders>
              <w:bottom w:val="single" w:color="000000" w:sz="4" w:space="0"/>
            </w:tcBorders>
            <w:vAlign w:val="top"/>
          </w:tcPr>
          <w:p w14:paraId="52950DE8">
            <w:pPr>
              <w:pStyle w:val="7"/>
              <w:spacing w:before="122" w:line="237" w:lineRule="auto"/>
              <w:ind w:left="1230"/>
            </w:pPr>
            <w:r>
              <w:rPr>
                <w:spacing w:val="-26"/>
              </w:rPr>
              <w:t>﹤200</w:t>
            </w:r>
          </w:p>
        </w:tc>
        <w:tc>
          <w:tcPr>
            <w:tcW w:w="2174" w:type="dxa"/>
            <w:gridSpan w:val="2"/>
            <w:tcBorders>
              <w:bottom w:val="single" w:color="5B9BD5" w:sz="4" w:space="0"/>
              <w:right w:val="single" w:color="5B9BD5" w:sz="4" w:space="0"/>
            </w:tcBorders>
            <w:vAlign w:val="top"/>
          </w:tcPr>
          <w:p w14:paraId="2D768067">
            <w:pPr>
              <w:pStyle w:val="7"/>
              <w:spacing w:before="122" w:line="237" w:lineRule="auto"/>
              <w:ind w:left="872"/>
            </w:pPr>
            <w:r>
              <w:pict>
                <v:shape id="_x0000_s1415" o:spid="_x0000_s1415" style="position:absolute;left:0pt;margin-left:106.85pt;margin-top:33.35pt;height:0.75pt;width:2.2pt;mso-position-horizontal-relative:page;mso-position-vertical-relative:page;z-index:251722752;mso-width-relative:page;mso-height-relative:page;" fillcolor="#5B9BD5" filled="t" stroked="f" coordsize="44,15" path="m0,14l43,14,43,0,0,0,0,14xe">
                  <v:path/>
                  <v:fill on="t" focussize="0,0"/>
                  <v:stroke on="f"/>
                  <v:imagedata o:title=""/>
                  <o:lock v:ext="edit"/>
                </v:shape>
              </w:pict>
            </w:r>
            <w:r>
              <w:rPr>
                <w:spacing w:val="-16"/>
              </w:rPr>
              <w:t>3～4</w:t>
            </w:r>
          </w:p>
        </w:tc>
      </w:tr>
    </w:tbl>
    <w:p w14:paraId="008D81D0">
      <w:pPr>
        <w:pStyle w:val="2"/>
        <w:spacing w:before="115" w:line="263" w:lineRule="auto"/>
        <w:ind w:left="1470" w:right="1411" w:firstLine="414"/>
        <w:rPr>
          <w:sz w:val="24"/>
          <w:szCs w:val="24"/>
        </w:rPr>
      </w:pPr>
      <w:r>
        <w:rPr>
          <w:spacing w:val="-22"/>
          <w:sz w:val="24"/>
          <w:szCs w:val="24"/>
        </w:rPr>
        <w:t>4.2.2碾压夯实过程中，应对地下管道、通信、供电电缆等设施</w:t>
      </w:r>
      <w:r>
        <w:rPr>
          <w:spacing w:val="-23"/>
          <w:sz w:val="24"/>
          <w:szCs w:val="24"/>
        </w:rPr>
        <w:t>采取有效的防护措施。夯击</w:t>
      </w:r>
      <w:r>
        <w:rPr>
          <w:spacing w:val="-13"/>
          <w:sz w:val="24"/>
          <w:szCs w:val="24"/>
        </w:rPr>
        <w:t>能不小于4000KN/M，夯击数:4-10。</w:t>
      </w:r>
    </w:p>
    <w:p w14:paraId="2AB9A5F7">
      <w:pPr>
        <w:pStyle w:val="2"/>
        <w:spacing w:before="115" w:line="265" w:lineRule="auto"/>
        <w:ind w:left="1469" w:right="1409" w:firstLine="415"/>
        <w:rPr>
          <w:sz w:val="24"/>
          <w:szCs w:val="24"/>
        </w:rPr>
      </w:pPr>
      <w:r>
        <w:rPr>
          <w:spacing w:val="-22"/>
          <w:sz w:val="24"/>
          <w:szCs w:val="24"/>
        </w:rPr>
        <w:t>4.2.3填方施工结束后，应检查标高、边坡坡度、压实程度等</w:t>
      </w:r>
      <w:r>
        <w:rPr>
          <w:spacing w:val="-23"/>
          <w:sz w:val="24"/>
          <w:szCs w:val="24"/>
        </w:rPr>
        <w:t>，检验标准应符合有关施工规</w:t>
      </w:r>
      <w:r>
        <w:rPr>
          <w:spacing w:val="-20"/>
          <w:sz w:val="24"/>
          <w:szCs w:val="24"/>
        </w:rPr>
        <w:t>范的规定。</w:t>
      </w:r>
    </w:p>
    <w:p w14:paraId="3A12E2A0">
      <w:pPr>
        <w:pStyle w:val="2"/>
        <w:spacing w:before="63" w:line="217" w:lineRule="auto"/>
        <w:ind w:left="4452"/>
        <w:outlineLvl w:val="1"/>
        <w:rPr>
          <w:sz w:val="30"/>
          <w:szCs w:val="30"/>
        </w:rPr>
      </w:pPr>
      <w:bookmarkStart w:id="29" w:name="bookmark29"/>
      <w:bookmarkEnd w:id="29"/>
      <w:r>
        <w:rPr>
          <w:b/>
          <w:bCs/>
          <w:color w:val="0070C0"/>
          <w:spacing w:val="-24"/>
          <w:sz w:val="30"/>
          <w:szCs w:val="30"/>
        </w:rPr>
        <w:t>第四节、砂垫层施工方案</w:t>
      </w:r>
    </w:p>
    <w:p w14:paraId="52D3B479">
      <w:pPr>
        <w:pStyle w:val="2"/>
        <w:spacing w:before="96" w:line="218" w:lineRule="auto"/>
        <w:ind w:left="1903"/>
        <w:rPr>
          <w:sz w:val="24"/>
          <w:szCs w:val="24"/>
        </w:rPr>
      </w:pPr>
      <w:r>
        <w:rPr>
          <w:spacing w:val="-16"/>
          <w:sz w:val="24"/>
          <w:szCs w:val="24"/>
        </w:rPr>
        <w:t>1.施工顺序</w:t>
      </w:r>
    </w:p>
    <w:p w14:paraId="759258B9">
      <w:pPr>
        <w:pStyle w:val="2"/>
        <w:spacing w:before="116" w:line="308" w:lineRule="auto"/>
        <w:ind w:left="1459" w:right="1411" w:firstLine="447"/>
        <w:rPr>
          <w:sz w:val="24"/>
          <w:szCs w:val="24"/>
        </w:rPr>
      </w:pPr>
      <w:r>
        <w:rPr>
          <w:spacing w:val="-21"/>
          <w:sz w:val="24"/>
          <w:szCs w:val="24"/>
        </w:rPr>
        <w:t>管线联测并确认→填砂垫层至标高20cm→蛙式打夯机夯实→高程检测→压实度检测→管道</w:t>
      </w:r>
      <w:r>
        <w:rPr>
          <w:spacing w:val="-19"/>
          <w:sz w:val="24"/>
          <w:szCs w:val="24"/>
        </w:rPr>
        <w:t>安装→管箍包封→渗水试验→管道180°粗砂包封→蛙式打夯机夯实→高程检测→压实度检测</w:t>
      </w:r>
      <w:r>
        <w:rPr>
          <w:spacing w:val="-20"/>
          <w:sz w:val="24"/>
          <w:szCs w:val="24"/>
        </w:rPr>
        <w:t>→验收→回填土方。</w:t>
      </w:r>
    </w:p>
    <w:p w14:paraId="29109F6F">
      <w:pPr>
        <w:pStyle w:val="2"/>
        <w:spacing w:before="1" w:line="218" w:lineRule="auto"/>
        <w:ind w:left="1888"/>
        <w:rPr>
          <w:sz w:val="24"/>
          <w:szCs w:val="24"/>
        </w:rPr>
      </w:pPr>
      <w:r>
        <w:rPr>
          <w:spacing w:val="-14"/>
          <w:sz w:val="24"/>
          <w:szCs w:val="24"/>
        </w:rPr>
        <w:t>2.队伍安排</w:t>
      </w:r>
    </w:p>
    <w:p w14:paraId="68104C57">
      <w:pPr>
        <w:spacing w:line="218" w:lineRule="auto"/>
        <w:rPr>
          <w:sz w:val="24"/>
          <w:szCs w:val="24"/>
        </w:rPr>
        <w:sectPr>
          <w:footerReference r:id="rId51" w:type="default"/>
          <w:pgSz w:w="11907" w:h="16839"/>
          <w:pgMar w:top="954" w:right="4" w:bottom="1038" w:left="0" w:header="499" w:footer="357" w:gutter="0"/>
          <w:pgBorders>
            <w:top w:val="none" w:sz="0" w:space="0"/>
            <w:left w:val="none" w:sz="0" w:space="0"/>
            <w:bottom w:val="none" w:sz="0" w:space="0"/>
            <w:right w:val="none" w:sz="0" w:space="0"/>
          </w:pgBorders>
          <w:cols w:space="720" w:num="1"/>
        </w:sectPr>
      </w:pPr>
    </w:p>
    <w:p w14:paraId="3EE6CA56">
      <w:pPr>
        <w:spacing w:line="251" w:lineRule="auto"/>
        <w:rPr>
          <w:rFonts w:ascii="Arial"/>
          <w:sz w:val="21"/>
        </w:rPr>
      </w:pPr>
    </w:p>
    <w:p w14:paraId="1BEC0395">
      <w:pPr>
        <w:pStyle w:val="2"/>
        <w:spacing w:before="78" w:line="278" w:lineRule="auto"/>
        <w:ind w:left="1892" w:right="3077" w:firstLine="3"/>
        <w:jc w:val="both"/>
        <w:rPr>
          <w:sz w:val="24"/>
          <w:szCs w:val="24"/>
        </w:rPr>
      </w:pPr>
      <w:r>
        <w:rPr>
          <w:spacing w:val="-22"/>
          <w:sz w:val="24"/>
          <w:szCs w:val="24"/>
        </w:rPr>
        <w:t>安排一个专业施工队负责全合同段内砂垫层的施工。如工作面能够全部</w:t>
      </w:r>
      <w:r>
        <w:rPr>
          <w:spacing w:val="-23"/>
          <w:sz w:val="24"/>
          <w:szCs w:val="24"/>
        </w:rPr>
        <w:t>展开，现有设备不能满足施工进度的情况下</w:t>
      </w:r>
      <w:r>
        <w:rPr>
          <w:spacing w:val="-24"/>
          <w:sz w:val="24"/>
          <w:szCs w:val="24"/>
        </w:rPr>
        <w:t>，还可增加施工设备。总之，</w:t>
      </w:r>
      <w:r>
        <w:rPr>
          <w:spacing w:val="-22"/>
          <w:sz w:val="24"/>
          <w:szCs w:val="24"/>
        </w:rPr>
        <w:t>施工设备根据施工计划动态调整。</w:t>
      </w:r>
    </w:p>
    <w:tbl>
      <w:tblPr>
        <w:tblStyle w:val="6"/>
        <w:tblW w:w="8278" w:type="dxa"/>
        <w:tblInd w:w="181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148"/>
        <w:gridCol w:w="4130"/>
      </w:tblGrid>
      <w:tr w14:paraId="43CB06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6" w:hRule="atLeast"/>
        </w:trPr>
        <w:tc>
          <w:tcPr>
            <w:tcW w:w="4148" w:type="dxa"/>
            <w:tcBorders>
              <w:top w:val="single" w:color="000000" w:sz="4" w:space="0"/>
              <w:left w:val="single" w:color="000000" w:sz="4" w:space="0"/>
            </w:tcBorders>
            <w:shd w:val="clear" w:color="auto" w:fill="DEEAF6"/>
            <w:vAlign w:val="top"/>
          </w:tcPr>
          <w:p w14:paraId="4D5B1C18">
            <w:pPr>
              <w:pStyle w:val="7"/>
              <w:spacing w:before="129" w:line="219" w:lineRule="auto"/>
              <w:ind w:left="1428"/>
            </w:pPr>
            <w:r>
              <w:rPr>
                <w:b/>
                <w:bCs/>
                <w:spacing w:val="-20"/>
              </w:rPr>
              <w:t>砂垫层示意图</w:t>
            </w:r>
          </w:p>
        </w:tc>
        <w:tc>
          <w:tcPr>
            <w:tcW w:w="4130" w:type="dxa"/>
            <w:tcBorders>
              <w:top w:val="single" w:color="5B9BD5" w:sz="4" w:space="0"/>
              <w:right w:val="single" w:color="5B9BD5" w:sz="4" w:space="0"/>
            </w:tcBorders>
            <w:shd w:val="clear" w:color="auto" w:fill="DEEAF6"/>
            <w:vAlign w:val="top"/>
          </w:tcPr>
          <w:p w14:paraId="10D3813D">
            <w:pPr>
              <w:pStyle w:val="7"/>
              <w:spacing w:before="129" w:line="218" w:lineRule="auto"/>
              <w:ind w:left="1517"/>
            </w:pPr>
            <w:r>
              <w:rPr>
                <w:b/>
                <w:bCs/>
                <w:spacing w:val="-19"/>
              </w:rPr>
              <w:t>砂垫层压实</w:t>
            </w:r>
          </w:p>
        </w:tc>
      </w:tr>
      <w:tr w14:paraId="5354C1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63" w:hRule="atLeast"/>
        </w:trPr>
        <w:tc>
          <w:tcPr>
            <w:tcW w:w="4148" w:type="dxa"/>
            <w:tcBorders>
              <w:top w:val="single" w:color="DEEAF6" w:sz="22" w:space="0"/>
              <w:left w:val="single" w:color="1C456A" w:sz="4" w:space="0"/>
              <w:bottom w:val="single" w:color="1C456A" w:sz="4" w:space="0"/>
            </w:tcBorders>
            <w:vAlign w:val="top"/>
          </w:tcPr>
          <w:p w14:paraId="6D3531AD">
            <w:pPr>
              <w:spacing w:line="411" w:lineRule="auto"/>
              <w:rPr>
                <w:rFonts w:ascii="Arial"/>
                <w:sz w:val="21"/>
              </w:rPr>
            </w:pPr>
          </w:p>
          <w:p w14:paraId="339A48C8">
            <w:pPr>
              <w:spacing w:line="1928" w:lineRule="exact"/>
              <w:ind w:firstLine="111"/>
            </w:pPr>
            <w:r>
              <w:rPr>
                <w:position w:val="-38"/>
              </w:rPr>
              <w:drawing>
                <wp:inline distT="0" distB="0" distL="0" distR="0">
                  <wp:extent cx="2487295" cy="1224280"/>
                  <wp:effectExtent l="0" t="0" r="0" b="0"/>
                  <wp:docPr id="272" name="IM 272"/>
                  <wp:cNvGraphicFramePr/>
                  <a:graphic xmlns:a="http://schemas.openxmlformats.org/drawingml/2006/main">
                    <a:graphicData uri="http://schemas.openxmlformats.org/drawingml/2006/picture">
                      <pic:pic xmlns:pic="http://schemas.openxmlformats.org/drawingml/2006/picture">
                        <pic:nvPicPr>
                          <pic:cNvPr id="272" name="IM 272"/>
                          <pic:cNvPicPr/>
                        </pic:nvPicPr>
                        <pic:blipFill>
                          <a:blip r:embed="rId483"/>
                          <a:stretch>
                            <a:fillRect/>
                          </a:stretch>
                        </pic:blipFill>
                        <pic:spPr>
                          <a:xfrm>
                            <a:off x="0" y="0"/>
                            <a:ext cx="2487295" cy="1224280"/>
                          </a:xfrm>
                          <a:prstGeom prst="rect">
                            <a:avLst/>
                          </a:prstGeom>
                        </pic:spPr>
                      </pic:pic>
                    </a:graphicData>
                  </a:graphic>
                </wp:inline>
              </w:drawing>
            </w:r>
          </w:p>
        </w:tc>
        <w:tc>
          <w:tcPr>
            <w:tcW w:w="4130" w:type="dxa"/>
            <w:tcBorders>
              <w:top w:val="single" w:color="DEEAF6" w:sz="22" w:space="0"/>
              <w:bottom w:val="single" w:color="5B9BD5" w:sz="4" w:space="0"/>
              <w:right w:val="single" w:color="5B9BD5" w:sz="4" w:space="0"/>
            </w:tcBorders>
            <w:vAlign w:val="top"/>
          </w:tcPr>
          <w:p w14:paraId="142A9717">
            <w:pPr>
              <w:spacing w:before="41" w:line="2674" w:lineRule="exact"/>
              <w:ind w:firstLine="96"/>
            </w:pPr>
            <w:r>
              <w:rPr>
                <w:position w:val="-53"/>
              </w:rPr>
              <w:drawing>
                <wp:inline distT="0" distB="0" distL="0" distR="0">
                  <wp:extent cx="2478405" cy="1697990"/>
                  <wp:effectExtent l="0" t="0" r="0" b="0"/>
                  <wp:docPr id="274" name="IM 274"/>
                  <wp:cNvGraphicFramePr/>
                  <a:graphic xmlns:a="http://schemas.openxmlformats.org/drawingml/2006/main">
                    <a:graphicData uri="http://schemas.openxmlformats.org/drawingml/2006/picture">
                      <pic:pic xmlns:pic="http://schemas.openxmlformats.org/drawingml/2006/picture">
                        <pic:nvPicPr>
                          <pic:cNvPr id="274" name="IM 274"/>
                          <pic:cNvPicPr/>
                        </pic:nvPicPr>
                        <pic:blipFill>
                          <a:blip r:embed="rId484"/>
                          <a:stretch>
                            <a:fillRect/>
                          </a:stretch>
                        </pic:blipFill>
                        <pic:spPr>
                          <a:xfrm>
                            <a:off x="0" y="0"/>
                            <a:ext cx="2478405" cy="1697990"/>
                          </a:xfrm>
                          <a:prstGeom prst="rect">
                            <a:avLst/>
                          </a:prstGeom>
                        </pic:spPr>
                      </pic:pic>
                    </a:graphicData>
                  </a:graphic>
                </wp:inline>
              </w:drawing>
            </w:r>
          </w:p>
        </w:tc>
      </w:tr>
    </w:tbl>
    <w:p w14:paraId="3D608322">
      <w:pPr>
        <w:pStyle w:val="2"/>
        <w:spacing w:before="115" w:line="220" w:lineRule="auto"/>
        <w:ind w:left="1890"/>
        <w:rPr>
          <w:sz w:val="24"/>
          <w:szCs w:val="24"/>
        </w:rPr>
      </w:pPr>
      <w:r>
        <w:rPr>
          <w:spacing w:val="-14"/>
          <w:sz w:val="24"/>
          <w:szCs w:val="24"/>
        </w:rPr>
        <w:t>3.施工方法</w:t>
      </w:r>
    </w:p>
    <w:p w14:paraId="697FC220">
      <w:pPr>
        <w:pStyle w:val="2"/>
        <w:spacing w:before="110" w:line="278" w:lineRule="auto"/>
        <w:ind w:left="1459" w:right="1335" w:firstLine="433"/>
        <w:rPr>
          <w:sz w:val="24"/>
          <w:szCs w:val="24"/>
        </w:rPr>
      </w:pPr>
      <w:r>
        <w:rPr>
          <w:spacing w:val="-22"/>
          <w:sz w:val="24"/>
          <w:szCs w:val="24"/>
        </w:rPr>
        <w:t>（1）审查和熟悉图纸、设计文件和施工技术规范，根据施工图，进行管基测</w:t>
      </w:r>
      <w:r>
        <w:rPr>
          <w:spacing w:val="-23"/>
          <w:sz w:val="24"/>
          <w:szCs w:val="24"/>
        </w:rPr>
        <w:t>量放样，恢复</w:t>
      </w:r>
      <w:r>
        <w:rPr>
          <w:spacing w:val="-20"/>
          <w:sz w:val="24"/>
          <w:szCs w:val="24"/>
        </w:rPr>
        <w:t>定线，直线部分10m设一中桩，曲线部分5m设一中桩，并同时放出边桩。</w:t>
      </w:r>
      <w:r>
        <w:rPr>
          <w:spacing w:val="-21"/>
          <w:sz w:val="24"/>
          <w:szCs w:val="24"/>
        </w:rPr>
        <w:t>施工前应按设计要求</w:t>
      </w:r>
      <w:r>
        <w:rPr>
          <w:spacing w:val="-23"/>
          <w:sz w:val="24"/>
          <w:szCs w:val="24"/>
        </w:rPr>
        <w:t>及施工规范进行场地清理及平整压实。清除杂草及淤泥，排水晾干表土并对</w:t>
      </w:r>
      <w:r>
        <w:rPr>
          <w:spacing w:val="-24"/>
          <w:sz w:val="24"/>
          <w:szCs w:val="24"/>
        </w:rPr>
        <w:t>表土进行分层压实。</w:t>
      </w:r>
    </w:p>
    <w:p w14:paraId="442013F2">
      <w:pPr>
        <w:pStyle w:val="2"/>
        <w:spacing w:before="117" w:line="216" w:lineRule="auto"/>
        <w:ind w:left="1893"/>
        <w:rPr>
          <w:sz w:val="24"/>
          <w:szCs w:val="24"/>
        </w:rPr>
      </w:pPr>
      <w:r>
        <w:rPr>
          <w:spacing w:val="-21"/>
          <w:sz w:val="24"/>
          <w:szCs w:val="24"/>
        </w:rPr>
        <w:t>（2）根据设计要求，选择合适砂料进场，并应通过质量检测。</w:t>
      </w:r>
    </w:p>
    <w:p w14:paraId="327933E8">
      <w:pPr>
        <w:pStyle w:val="2"/>
        <w:spacing w:before="120" w:line="216" w:lineRule="auto"/>
        <w:ind w:left="1893"/>
        <w:rPr>
          <w:sz w:val="24"/>
          <w:szCs w:val="24"/>
        </w:rPr>
      </w:pPr>
      <w:r>
        <w:rPr>
          <w:spacing w:val="-21"/>
          <w:sz w:val="24"/>
          <w:szCs w:val="24"/>
        </w:rPr>
        <w:t>（3）筑砂垫层前，应对下承层表面进行休整。</w:t>
      </w:r>
    </w:p>
    <w:p w14:paraId="6F1DE354">
      <w:pPr>
        <w:pStyle w:val="2"/>
        <w:spacing w:before="119" w:line="262" w:lineRule="auto"/>
        <w:ind w:left="1459" w:right="1409" w:firstLine="433"/>
        <w:rPr>
          <w:sz w:val="24"/>
          <w:szCs w:val="24"/>
        </w:rPr>
      </w:pPr>
      <w:r>
        <w:rPr>
          <w:spacing w:val="-22"/>
          <w:sz w:val="24"/>
          <w:szCs w:val="24"/>
        </w:rPr>
        <w:t>（4）填料运至管道指定位置后，用挖掘机下料人工配合进行摊铺，在摊铺平整时，做</w:t>
      </w:r>
      <w:r>
        <w:rPr>
          <w:spacing w:val="-23"/>
          <w:sz w:val="24"/>
          <w:szCs w:val="24"/>
        </w:rPr>
        <w:t>到填</w:t>
      </w:r>
      <w:r>
        <w:rPr>
          <w:spacing w:val="-21"/>
          <w:sz w:val="24"/>
          <w:szCs w:val="24"/>
        </w:rPr>
        <w:t>筑面纵向和横向平顺均匀，保证夯实效果。</w:t>
      </w:r>
    </w:p>
    <w:p w14:paraId="7E18B8A2">
      <w:pPr>
        <w:pStyle w:val="2"/>
        <w:spacing w:before="118" w:line="262" w:lineRule="auto"/>
        <w:ind w:left="1458" w:right="1429" w:firstLine="434"/>
        <w:rPr>
          <w:sz w:val="24"/>
          <w:szCs w:val="24"/>
        </w:rPr>
      </w:pPr>
      <w:r>
        <w:rPr>
          <w:spacing w:val="-23"/>
          <w:sz w:val="24"/>
          <w:szCs w:val="24"/>
        </w:rPr>
        <w:t>（5）在摊铺平整工作之前或伴随平整作业时，根据含水量情况对填料进行洒水或晾晒，使</w:t>
      </w:r>
      <w:r>
        <w:rPr>
          <w:spacing w:val="-21"/>
          <w:sz w:val="24"/>
          <w:szCs w:val="24"/>
        </w:rPr>
        <w:t>填料在夯实前含水量保持在最佳含水量的±2%内。</w:t>
      </w:r>
    </w:p>
    <w:p w14:paraId="1148D22D">
      <w:pPr>
        <w:pStyle w:val="2"/>
        <w:spacing w:before="119" w:line="263" w:lineRule="auto"/>
        <w:ind w:left="1461" w:right="1335" w:firstLine="432"/>
        <w:rPr>
          <w:sz w:val="24"/>
          <w:szCs w:val="24"/>
        </w:rPr>
      </w:pPr>
      <w:r>
        <w:rPr>
          <w:spacing w:val="-26"/>
          <w:sz w:val="24"/>
          <w:szCs w:val="24"/>
        </w:rPr>
        <w:t>（6）垫层夯实前对填料的摊铺厚度、平整度和含水量进行检查，符合要求后方可进行夯实。</w:t>
      </w:r>
      <w:r>
        <w:rPr>
          <w:spacing w:val="-18"/>
          <w:sz w:val="24"/>
          <w:szCs w:val="24"/>
        </w:rPr>
        <w:t>要夯实4-6遍直到夯实密度得到图纸设计要求。</w:t>
      </w:r>
    </w:p>
    <w:p w14:paraId="03C1408C">
      <w:pPr>
        <w:pStyle w:val="2"/>
        <w:spacing w:before="118" w:line="261" w:lineRule="auto"/>
        <w:ind w:left="1457" w:right="1412" w:firstLine="435"/>
        <w:rPr>
          <w:sz w:val="24"/>
          <w:szCs w:val="24"/>
        </w:rPr>
      </w:pPr>
      <w:r>
        <w:rPr>
          <w:spacing w:val="-22"/>
          <w:sz w:val="24"/>
          <w:szCs w:val="24"/>
        </w:rPr>
        <w:t>（7）夯实完成后，进行压实度检验。检验合格，并经监理工程师签证后方可进</w:t>
      </w:r>
      <w:r>
        <w:rPr>
          <w:spacing w:val="-23"/>
          <w:sz w:val="24"/>
          <w:szCs w:val="24"/>
        </w:rPr>
        <w:t>行下一层管</w:t>
      </w:r>
      <w:r>
        <w:rPr>
          <w:spacing w:val="-20"/>
          <w:sz w:val="24"/>
          <w:szCs w:val="24"/>
        </w:rPr>
        <w:t>道180°粗砂包封填筑，否则应查明原因，采取措施后进</w:t>
      </w:r>
      <w:r>
        <w:rPr>
          <w:spacing w:val="-21"/>
          <w:sz w:val="24"/>
          <w:szCs w:val="24"/>
        </w:rPr>
        <w:t>行补夯，直到检验合格为止。</w:t>
      </w:r>
    </w:p>
    <w:p w14:paraId="0139C76A">
      <w:pPr>
        <w:pStyle w:val="2"/>
        <w:spacing w:before="120" w:line="216" w:lineRule="auto"/>
        <w:ind w:left="1893"/>
        <w:rPr>
          <w:sz w:val="24"/>
          <w:szCs w:val="24"/>
        </w:rPr>
      </w:pPr>
      <w:r>
        <w:rPr>
          <w:spacing w:val="-21"/>
          <w:sz w:val="24"/>
          <w:szCs w:val="24"/>
        </w:rPr>
        <w:t>（8）粗砂垫层施工完成并检验合格后进行管道安装。</w:t>
      </w:r>
    </w:p>
    <w:p w14:paraId="254C92C6">
      <w:pPr>
        <w:pStyle w:val="2"/>
        <w:spacing w:before="121" w:line="261" w:lineRule="auto"/>
        <w:ind w:left="1466" w:right="1412" w:firstLine="426"/>
        <w:rPr>
          <w:sz w:val="24"/>
          <w:szCs w:val="24"/>
        </w:rPr>
      </w:pPr>
      <w:r>
        <w:rPr>
          <w:spacing w:val="-21"/>
          <w:sz w:val="24"/>
          <w:szCs w:val="24"/>
        </w:rPr>
        <w:t>（9）管道180°粗砂包封用挖掘机下料人工配合进行摊铺，必须分层摊铺，每层摊</w:t>
      </w:r>
      <w:r>
        <w:rPr>
          <w:spacing w:val="-22"/>
          <w:sz w:val="24"/>
          <w:szCs w:val="24"/>
        </w:rPr>
        <w:t>铺厚度</w:t>
      </w:r>
      <w:r>
        <w:rPr>
          <w:spacing w:val="-21"/>
          <w:sz w:val="24"/>
          <w:szCs w:val="24"/>
        </w:rPr>
        <w:t>≤30cm在摊铺平整时，做到填筑面纵向和横向平顺均匀，逐层施工保证夯实效果。</w:t>
      </w:r>
    </w:p>
    <w:p w14:paraId="601C9B58">
      <w:pPr>
        <w:pStyle w:val="2"/>
        <w:spacing w:before="121" w:line="263" w:lineRule="auto"/>
        <w:ind w:left="1461" w:right="1410" w:firstLine="432"/>
        <w:rPr>
          <w:sz w:val="24"/>
          <w:szCs w:val="24"/>
        </w:rPr>
      </w:pPr>
      <w:r>
        <w:rPr>
          <w:spacing w:val="-19"/>
          <w:sz w:val="24"/>
          <w:szCs w:val="24"/>
        </w:rPr>
        <w:t>（10）垫层夯实前对填料的摊铺厚度、平整度和含水量进行检查，符合要求后方可</w:t>
      </w:r>
      <w:r>
        <w:rPr>
          <w:spacing w:val="-20"/>
          <w:sz w:val="24"/>
          <w:szCs w:val="24"/>
        </w:rPr>
        <w:t>进行夯</w:t>
      </w:r>
      <w:r>
        <w:rPr>
          <w:spacing w:val="-18"/>
          <w:sz w:val="24"/>
          <w:szCs w:val="24"/>
        </w:rPr>
        <w:t>实。每层要夯实4-6遍直到夯实密度得到图纸设计要求。</w:t>
      </w:r>
    </w:p>
    <w:p w14:paraId="3D3A61F2">
      <w:pPr>
        <w:pStyle w:val="2"/>
        <w:spacing w:before="115" w:line="262" w:lineRule="auto"/>
        <w:ind w:left="1461" w:right="1410" w:firstLine="432"/>
        <w:rPr>
          <w:sz w:val="24"/>
          <w:szCs w:val="24"/>
        </w:rPr>
      </w:pPr>
      <w:r>
        <w:rPr>
          <w:spacing w:val="-19"/>
          <w:sz w:val="24"/>
          <w:szCs w:val="24"/>
        </w:rPr>
        <w:t>（11）夯实完成后，进行压实度检验。检验合格，并经监理工程师签证后方可进行</w:t>
      </w:r>
      <w:r>
        <w:rPr>
          <w:spacing w:val="-20"/>
          <w:sz w:val="24"/>
          <w:szCs w:val="24"/>
        </w:rPr>
        <w:t>下一层</w:t>
      </w:r>
      <w:r>
        <w:rPr>
          <w:spacing w:val="-21"/>
          <w:sz w:val="24"/>
          <w:szCs w:val="24"/>
        </w:rPr>
        <w:t>下道工序施工，否则应查明原因，采取措施后</w:t>
      </w:r>
      <w:r>
        <w:rPr>
          <w:spacing w:val="-22"/>
          <w:sz w:val="24"/>
          <w:szCs w:val="24"/>
        </w:rPr>
        <w:t>进行补夯，直到检验合格为止。</w:t>
      </w:r>
    </w:p>
    <w:p w14:paraId="217404D8">
      <w:pPr>
        <w:pStyle w:val="2"/>
        <w:spacing w:before="121" w:line="217" w:lineRule="auto"/>
        <w:ind w:left="1890"/>
        <w:rPr>
          <w:sz w:val="24"/>
          <w:szCs w:val="24"/>
        </w:rPr>
      </w:pPr>
      <w:r>
        <w:rPr>
          <w:spacing w:val="-14"/>
          <w:sz w:val="24"/>
          <w:szCs w:val="24"/>
        </w:rPr>
        <w:t>5.质量控制</w:t>
      </w:r>
    </w:p>
    <w:p w14:paraId="68C40346">
      <w:pPr>
        <w:pStyle w:val="2"/>
        <w:spacing w:before="116" w:line="217" w:lineRule="auto"/>
        <w:ind w:left="1890"/>
        <w:rPr>
          <w:sz w:val="24"/>
          <w:szCs w:val="24"/>
        </w:rPr>
      </w:pPr>
      <w:r>
        <w:rPr>
          <w:spacing w:val="-17"/>
          <w:sz w:val="24"/>
          <w:szCs w:val="24"/>
        </w:rPr>
        <w:t>5.1质量控制要点</w:t>
      </w:r>
    </w:p>
    <w:p w14:paraId="50C38D56">
      <w:pPr>
        <w:spacing w:line="217" w:lineRule="auto"/>
        <w:rPr>
          <w:sz w:val="24"/>
          <w:szCs w:val="24"/>
        </w:rPr>
        <w:sectPr>
          <w:footerReference r:id="rId52" w:type="default"/>
          <w:pgSz w:w="11907" w:h="16839"/>
          <w:pgMar w:top="954" w:right="4" w:bottom="1038" w:left="0" w:header="499" w:footer="357" w:gutter="0"/>
          <w:pgBorders>
            <w:top w:val="none" w:sz="0" w:space="0"/>
            <w:left w:val="none" w:sz="0" w:space="0"/>
            <w:bottom w:val="none" w:sz="0" w:space="0"/>
            <w:right w:val="none" w:sz="0" w:space="0"/>
          </w:pgBorders>
          <w:cols w:space="720" w:num="1"/>
        </w:sectPr>
      </w:pPr>
    </w:p>
    <w:p w14:paraId="7D36DF09">
      <w:pPr>
        <w:spacing w:line="251" w:lineRule="auto"/>
        <w:rPr>
          <w:rFonts w:ascii="Arial"/>
          <w:sz w:val="21"/>
        </w:rPr>
      </w:pPr>
    </w:p>
    <w:p w14:paraId="73DA03D5">
      <w:pPr>
        <w:pStyle w:val="2"/>
        <w:spacing w:before="78" w:line="263" w:lineRule="auto"/>
        <w:ind w:left="1458" w:right="1411" w:firstLine="445"/>
        <w:rPr>
          <w:sz w:val="24"/>
          <w:szCs w:val="24"/>
        </w:rPr>
      </w:pPr>
      <w:r>
        <w:rPr>
          <w:spacing w:val="-22"/>
          <w:sz w:val="24"/>
          <w:szCs w:val="24"/>
        </w:rPr>
        <w:t>1）严格控制砂的质量，根据设计要求，按照规定的频率</w:t>
      </w:r>
      <w:r>
        <w:rPr>
          <w:spacing w:val="-23"/>
          <w:sz w:val="24"/>
          <w:szCs w:val="24"/>
        </w:rPr>
        <w:t>及方法对进场砂料进行检验，合格</w:t>
      </w:r>
      <w:r>
        <w:rPr>
          <w:spacing w:val="-22"/>
          <w:sz w:val="24"/>
          <w:szCs w:val="24"/>
        </w:rPr>
        <w:t>后方可用于工程中。</w:t>
      </w:r>
    </w:p>
    <w:p w14:paraId="059B0D03">
      <w:pPr>
        <w:pStyle w:val="2"/>
        <w:spacing w:before="115" w:line="215" w:lineRule="auto"/>
        <w:ind w:left="1888"/>
        <w:rPr>
          <w:sz w:val="24"/>
          <w:szCs w:val="24"/>
        </w:rPr>
      </w:pPr>
      <w:r>
        <w:rPr>
          <w:spacing w:val="-20"/>
          <w:sz w:val="24"/>
          <w:szCs w:val="24"/>
        </w:rPr>
        <w:t>2）严格控制测量放样的工作质量，避免出</w:t>
      </w:r>
      <w:r>
        <w:rPr>
          <w:spacing w:val="-21"/>
          <w:sz w:val="24"/>
          <w:szCs w:val="24"/>
        </w:rPr>
        <w:t>现错误。</w:t>
      </w:r>
    </w:p>
    <w:p w14:paraId="56F38A00">
      <w:pPr>
        <w:pStyle w:val="2"/>
        <w:spacing w:before="120" w:line="216" w:lineRule="auto"/>
        <w:ind w:left="1890"/>
        <w:rPr>
          <w:sz w:val="24"/>
          <w:szCs w:val="24"/>
        </w:rPr>
      </w:pPr>
      <w:r>
        <w:rPr>
          <w:spacing w:val="-21"/>
          <w:sz w:val="24"/>
          <w:szCs w:val="24"/>
        </w:rPr>
        <w:t>3）严格控制摊铺及整平的工作质量，保宽度、平整度满足设计及规范要求。</w:t>
      </w:r>
    </w:p>
    <w:p w14:paraId="112C2CF5">
      <w:pPr>
        <w:pStyle w:val="2"/>
        <w:spacing w:before="120" w:line="215" w:lineRule="auto"/>
        <w:ind w:left="1884"/>
        <w:rPr>
          <w:sz w:val="24"/>
          <w:szCs w:val="24"/>
        </w:rPr>
      </w:pPr>
      <w:r>
        <w:rPr>
          <w:spacing w:val="-21"/>
          <w:sz w:val="24"/>
          <w:szCs w:val="24"/>
        </w:rPr>
        <w:t>4）严格控制填料的含水量，确保在最佳含水量时对填料进行碾压。</w:t>
      </w:r>
    </w:p>
    <w:p w14:paraId="01DC0235">
      <w:pPr>
        <w:pStyle w:val="2"/>
        <w:spacing w:before="118" w:line="215" w:lineRule="auto"/>
        <w:ind w:left="1890"/>
        <w:rPr>
          <w:sz w:val="24"/>
          <w:szCs w:val="24"/>
        </w:rPr>
      </w:pPr>
      <w:r>
        <w:rPr>
          <w:spacing w:val="-20"/>
          <w:sz w:val="24"/>
          <w:szCs w:val="24"/>
        </w:rPr>
        <w:t>5）严格控制厚度在设计和规范要求范围内。</w:t>
      </w:r>
    </w:p>
    <w:p w14:paraId="28B39C7B">
      <w:pPr>
        <w:pStyle w:val="2"/>
        <w:spacing w:before="121" w:line="216" w:lineRule="auto"/>
        <w:ind w:left="1887"/>
        <w:rPr>
          <w:sz w:val="24"/>
          <w:szCs w:val="24"/>
        </w:rPr>
      </w:pPr>
      <w:r>
        <w:rPr>
          <w:spacing w:val="-24"/>
          <w:sz w:val="24"/>
          <w:szCs w:val="24"/>
        </w:rPr>
        <w:t>6）夯实完成后，按规范要求进行密实度检测，合格后，经监理工程师同意方可施工下一层。</w:t>
      </w:r>
    </w:p>
    <w:p w14:paraId="0B1A30A8">
      <w:pPr>
        <w:pStyle w:val="2"/>
        <w:spacing w:before="120" w:line="219" w:lineRule="auto"/>
        <w:ind w:left="1890"/>
        <w:rPr>
          <w:sz w:val="24"/>
          <w:szCs w:val="24"/>
        </w:rPr>
      </w:pPr>
      <w:r>
        <w:rPr>
          <w:spacing w:val="-15"/>
          <w:sz w:val="24"/>
          <w:szCs w:val="24"/>
        </w:rPr>
        <w:t>5.2质量验收</w:t>
      </w:r>
    </w:p>
    <w:p w14:paraId="43F67160">
      <w:pPr>
        <w:pStyle w:val="2"/>
        <w:spacing w:before="114" w:line="217" w:lineRule="auto"/>
        <w:ind w:left="1892"/>
        <w:rPr>
          <w:sz w:val="24"/>
          <w:szCs w:val="24"/>
        </w:rPr>
      </w:pPr>
      <w:r>
        <w:rPr>
          <w:spacing w:val="-21"/>
          <w:sz w:val="24"/>
          <w:szCs w:val="24"/>
        </w:rPr>
        <w:t>砂的质量和规格必须符合设计要求和规范规定；适当洒水，分</w:t>
      </w:r>
      <w:r>
        <w:rPr>
          <w:spacing w:val="-22"/>
          <w:sz w:val="24"/>
          <w:szCs w:val="24"/>
        </w:rPr>
        <w:t>层压实；</w:t>
      </w:r>
    </w:p>
    <w:p w14:paraId="70438CED">
      <w:pPr>
        <w:pStyle w:val="2"/>
        <w:spacing w:before="119" w:line="218" w:lineRule="auto"/>
        <w:ind w:left="1892"/>
        <w:rPr>
          <w:sz w:val="24"/>
          <w:szCs w:val="24"/>
        </w:rPr>
      </w:pPr>
      <w:r>
        <w:rPr>
          <w:spacing w:val="-20"/>
          <w:sz w:val="24"/>
          <w:szCs w:val="24"/>
        </w:rPr>
        <w:t>砂垫层质量标准见下表。</w:t>
      </w:r>
    </w:p>
    <w:p w14:paraId="01EFEA50">
      <w:pPr>
        <w:pStyle w:val="2"/>
        <w:spacing w:before="118" w:line="218" w:lineRule="auto"/>
        <w:ind w:left="1892"/>
        <w:rPr>
          <w:sz w:val="24"/>
          <w:szCs w:val="24"/>
        </w:rPr>
      </w:pPr>
      <w:r>
        <w:rPr>
          <w:spacing w:val="-19"/>
          <w:sz w:val="24"/>
          <w:szCs w:val="24"/>
        </w:rPr>
        <w:t>砂垫层与管道180°粗砂包封施工质量标准</w:t>
      </w:r>
    </w:p>
    <w:p w14:paraId="1B36E658">
      <w:pPr>
        <w:spacing w:line="24" w:lineRule="auto"/>
        <w:rPr>
          <w:rFonts w:ascii="Arial"/>
          <w:sz w:val="2"/>
        </w:rPr>
      </w:pPr>
    </w:p>
    <w:tbl>
      <w:tblPr>
        <w:tblStyle w:val="6"/>
        <w:tblW w:w="9176" w:type="dxa"/>
        <w:tblInd w:w="1366"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53"/>
        <w:gridCol w:w="1041"/>
        <w:gridCol w:w="3901"/>
        <w:gridCol w:w="1938"/>
        <w:gridCol w:w="1943"/>
      </w:tblGrid>
      <w:tr w14:paraId="126871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8" w:hRule="atLeast"/>
        </w:trPr>
        <w:tc>
          <w:tcPr>
            <w:tcW w:w="1394" w:type="dxa"/>
            <w:gridSpan w:val="2"/>
            <w:tcBorders>
              <w:top w:val="single" w:color="000000" w:sz="4" w:space="0"/>
              <w:left w:val="single" w:color="000000" w:sz="4" w:space="0"/>
            </w:tcBorders>
            <w:shd w:val="clear" w:color="auto" w:fill="DEEAF6"/>
            <w:vAlign w:val="top"/>
          </w:tcPr>
          <w:p w14:paraId="41B5770A">
            <w:pPr>
              <w:pStyle w:val="7"/>
              <w:spacing w:before="127" w:line="218" w:lineRule="auto"/>
              <w:ind w:left="493"/>
            </w:pPr>
            <w:r>
              <w:rPr>
                <w:b/>
                <w:bCs/>
                <w:spacing w:val="-12"/>
              </w:rPr>
              <w:t>序号</w:t>
            </w:r>
          </w:p>
        </w:tc>
        <w:tc>
          <w:tcPr>
            <w:tcW w:w="3901" w:type="dxa"/>
            <w:tcBorders>
              <w:top w:val="single" w:color="000000" w:sz="4" w:space="0"/>
            </w:tcBorders>
            <w:shd w:val="clear" w:color="auto" w:fill="DEEAF6"/>
            <w:vAlign w:val="top"/>
          </w:tcPr>
          <w:p w14:paraId="570B565B">
            <w:pPr>
              <w:pStyle w:val="7"/>
              <w:spacing w:before="126" w:line="220" w:lineRule="auto"/>
              <w:ind w:left="1740"/>
            </w:pPr>
            <w:r>
              <w:rPr>
                <w:b/>
                <w:bCs/>
                <w:spacing w:val="-13"/>
              </w:rPr>
              <w:t>项目</w:t>
            </w:r>
          </w:p>
        </w:tc>
        <w:tc>
          <w:tcPr>
            <w:tcW w:w="1938" w:type="dxa"/>
            <w:tcBorders>
              <w:top w:val="single" w:color="000000" w:sz="4" w:space="0"/>
            </w:tcBorders>
            <w:shd w:val="clear" w:color="auto" w:fill="DEEAF6"/>
            <w:vAlign w:val="top"/>
          </w:tcPr>
          <w:p w14:paraId="3C09BFC0">
            <w:pPr>
              <w:pStyle w:val="7"/>
              <w:spacing w:before="127" w:line="218" w:lineRule="auto"/>
              <w:ind w:left="763"/>
            </w:pPr>
            <w:r>
              <w:rPr>
                <w:b/>
                <w:bCs/>
                <w:spacing w:val="-12"/>
              </w:rPr>
              <w:t>标准</w:t>
            </w:r>
          </w:p>
        </w:tc>
        <w:tc>
          <w:tcPr>
            <w:tcW w:w="1943" w:type="dxa"/>
            <w:tcBorders>
              <w:top w:val="single" w:color="5B9BD5" w:sz="4" w:space="0"/>
              <w:right w:val="single" w:color="5B9BD5" w:sz="4" w:space="0"/>
            </w:tcBorders>
            <w:shd w:val="clear" w:color="auto" w:fill="DEEAF6"/>
            <w:vAlign w:val="top"/>
          </w:tcPr>
          <w:p w14:paraId="53F63831">
            <w:pPr>
              <w:pStyle w:val="7"/>
              <w:spacing w:before="126" w:line="216" w:lineRule="auto"/>
              <w:ind w:left="210"/>
            </w:pPr>
            <w:r>
              <w:rPr>
                <w:b/>
                <w:bCs/>
                <w:spacing w:val="-21"/>
              </w:rPr>
              <w:t>检查方法和频率</w:t>
            </w:r>
          </w:p>
        </w:tc>
      </w:tr>
      <w:tr w14:paraId="76BAD9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1" w:hRule="atLeast"/>
        </w:trPr>
        <w:tc>
          <w:tcPr>
            <w:tcW w:w="1394" w:type="dxa"/>
            <w:gridSpan w:val="2"/>
            <w:tcBorders>
              <w:left w:val="single" w:color="000000" w:sz="4" w:space="0"/>
            </w:tcBorders>
            <w:vAlign w:val="top"/>
          </w:tcPr>
          <w:p w14:paraId="2028AA59">
            <w:pPr>
              <w:pStyle w:val="7"/>
              <w:spacing w:before="124" w:line="238" w:lineRule="auto"/>
              <w:ind w:left="668"/>
            </w:pPr>
            <w:r>
              <w:t>1</w:t>
            </w:r>
          </w:p>
        </w:tc>
        <w:tc>
          <w:tcPr>
            <w:tcW w:w="3901" w:type="dxa"/>
            <w:vAlign w:val="top"/>
          </w:tcPr>
          <w:p w14:paraId="578C2FD2">
            <w:pPr>
              <w:pStyle w:val="7"/>
              <w:spacing w:before="124" w:line="219" w:lineRule="auto"/>
              <w:ind w:left="1412"/>
            </w:pPr>
            <w:r>
              <w:rPr>
                <w:spacing w:val="-17"/>
              </w:rPr>
              <w:t>砂垫层厚度</w:t>
            </w:r>
          </w:p>
        </w:tc>
        <w:tc>
          <w:tcPr>
            <w:tcW w:w="1938" w:type="dxa"/>
            <w:vAlign w:val="top"/>
          </w:tcPr>
          <w:p w14:paraId="28104AEE">
            <w:pPr>
              <w:pStyle w:val="7"/>
              <w:spacing w:before="124" w:line="218" w:lineRule="auto"/>
              <w:ind w:left="444"/>
            </w:pPr>
            <w:r>
              <w:rPr>
                <w:spacing w:val="-18"/>
              </w:rPr>
              <w:t>不小于设计</w:t>
            </w:r>
          </w:p>
        </w:tc>
        <w:tc>
          <w:tcPr>
            <w:tcW w:w="1943" w:type="dxa"/>
            <w:tcBorders>
              <w:right w:val="single" w:color="000000" w:sz="4" w:space="0"/>
            </w:tcBorders>
            <w:vAlign w:val="top"/>
          </w:tcPr>
          <w:p w14:paraId="10CEC1AE">
            <w:pPr>
              <w:pStyle w:val="7"/>
              <w:spacing w:before="124" w:line="216" w:lineRule="auto"/>
              <w:ind w:left="167"/>
            </w:pPr>
            <w:r>
              <w:rPr>
                <w:spacing w:val="-5"/>
              </w:rPr>
              <w:t>每200m检查4处</w:t>
            </w:r>
          </w:p>
        </w:tc>
      </w:tr>
      <w:tr w14:paraId="358A83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8" w:hRule="atLeast"/>
        </w:trPr>
        <w:tc>
          <w:tcPr>
            <w:tcW w:w="1394" w:type="dxa"/>
            <w:gridSpan w:val="2"/>
            <w:tcBorders>
              <w:left w:val="single" w:color="000000" w:sz="4" w:space="0"/>
            </w:tcBorders>
            <w:vAlign w:val="top"/>
          </w:tcPr>
          <w:p w14:paraId="7E3B1E2A">
            <w:pPr>
              <w:pStyle w:val="7"/>
              <w:spacing w:before="119" w:line="238" w:lineRule="auto"/>
              <w:ind w:left="654"/>
            </w:pPr>
            <w:r>
              <w:t>2</w:t>
            </w:r>
          </w:p>
        </w:tc>
        <w:tc>
          <w:tcPr>
            <w:tcW w:w="3901" w:type="dxa"/>
            <w:vAlign w:val="top"/>
          </w:tcPr>
          <w:p w14:paraId="43F66D9B">
            <w:pPr>
              <w:pStyle w:val="7"/>
              <w:spacing w:before="118" w:line="219" w:lineRule="auto"/>
              <w:ind w:left="1412"/>
            </w:pPr>
            <w:r>
              <w:rPr>
                <w:spacing w:val="-17"/>
              </w:rPr>
              <w:t>砂垫层宽度</w:t>
            </w:r>
          </w:p>
        </w:tc>
        <w:tc>
          <w:tcPr>
            <w:tcW w:w="1938" w:type="dxa"/>
            <w:vAlign w:val="top"/>
          </w:tcPr>
          <w:p w14:paraId="41C249E2">
            <w:pPr>
              <w:pStyle w:val="7"/>
              <w:spacing w:before="118" w:line="218" w:lineRule="auto"/>
              <w:ind w:left="444"/>
            </w:pPr>
            <w:r>
              <w:rPr>
                <w:spacing w:val="-18"/>
              </w:rPr>
              <w:t>不小于设计</w:t>
            </w:r>
          </w:p>
        </w:tc>
        <w:tc>
          <w:tcPr>
            <w:tcW w:w="1943" w:type="dxa"/>
            <w:tcBorders>
              <w:right w:val="single" w:color="000000" w:sz="4" w:space="0"/>
            </w:tcBorders>
            <w:vAlign w:val="top"/>
          </w:tcPr>
          <w:p w14:paraId="127260D3">
            <w:pPr>
              <w:pStyle w:val="7"/>
              <w:spacing w:before="118" w:line="216" w:lineRule="auto"/>
              <w:ind w:left="167"/>
            </w:pPr>
            <w:r>
              <w:rPr>
                <w:spacing w:val="-5"/>
              </w:rPr>
              <w:t>每200m检查4处</w:t>
            </w:r>
          </w:p>
        </w:tc>
      </w:tr>
      <w:tr w14:paraId="3DD868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8" w:hRule="atLeast"/>
        </w:trPr>
        <w:tc>
          <w:tcPr>
            <w:tcW w:w="1394" w:type="dxa"/>
            <w:gridSpan w:val="2"/>
            <w:tcBorders>
              <w:left w:val="single" w:color="000000" w:sz="4" w:space="0"/>
            </w:tcBorders>
            <w:vAlign w:val="top"/>
          </w:tcPr>
          <w:p w14:paraId="2A7CA6EE">
            <w:pPr>
              <w:pStyle w:val="7"/>
              <w:spacing w:before="118" w:line="237" w:lineRule="auto"/>
              <w:ind w:left="655"/>
            </w:pPr>
            <w:r>
              <w:t>3</w:t>
            </w:r>
          </w:p>
        </w:tc>
        <w:tc>
          <w:tcPr>
            <w:tcW w:w="3901" w:type="dxa"/>
            <w:vAlign w:val="top"/>
          </w:tcPr>
          <w:p w14:paraId="5B2FDB29">
            <w:pPr>
              <w:pStyle w:val="7"/>
              <w:spacing w:before="119" w:line="217" w:lineRule="auto"/>
              <w:ind w:left="1525"/>
            </w:pPr>
            <w:r>
              <w:rPr>
                <w:spacing w:val="-16"/>
              </w:rPr>
              <w:t>相对密度</w:t>
            </w:r>
          </w:p>
        </w:tc>
        <w:tc>
          <w:tcPr>
            <w:tcW w:w="1938" w:type="dxa"/>
            <w:vAlign w:val="top"/>
          </w:tcPr>
          <w:p w14:paraId="2F84B605">
            <w:pPr>
              <w:pStyle w:val="7"/>
              <w:spacing w:before="118" w:line="236" w:lineRule="auto"/>
              <w:ind w:left="485"/>
            </w:pPr>
            <w:r>
              <w:rPr>
                <w:spacing w:val="-12"/>
              </w:rPr>
              <w:t>0.85～0.9</w:t>
            </w:r>
          </w:p>
        </w:tc>
        <w:tc>
          <w:tcPr>
            <w:tcW w:w="1943" w:type="dxa"/>
            <w:tcBorders>
              <w:right w:val="single" w:color="000000" w:sz="4" w:space="0"/>
            </w:tcBorders>
            <w:vAlign w:val="top"/>
          </w:tcPr>
          <w:p w14:paraId="4E20727E">
            <w:pPr>
              <w:pStyle w:val="7"/>
              <w:spacing w:before="118" w:line="216" w:lineRule="auto"/>
              <w:ind w:left="167"/>
            </w:pPr>
            <w:r>
              <w:rPr>
                <w:spacing w:val="-5"/>
              </w:rPr>
              <w:t>每200m检查4处</w:t>
            </w:r>
          </w:p>
        </w:tc>
      </w:tr>
      <w:tr w14:paraId="74B27F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8" w:hRule="atLeast"/>
        </w:trPr>
        <w:tc>
          <w:tcPr>
            <w:tcW w:w="1394" w:type="dxa"/>
            <w:gridSpan w:val="2"/>
            <w:tcBorders>
              <w:left w:val="single" w:color="000000" w:sz="4" w:space="0"/>
            </w:tcBorders>
            <w:vAlign w:val="top"/>
          </w:tcPr>
          <w:p w14:paraId="0B7A0D83">
            <w:pPr>
              <w:pStyle w:val="7"/>
              <w:spacing w:before="116" w:line="238" w:lineRule="auto"/>
              <w:ind w:left="650"/>
            </w:pPr>
            <w:r>
              <w:t>4</w:t>
            </w:r>
          </w:p>
        </w:tc>
        <w:tc>
          <w:tcPr>
            <w:tcW w:w="3901" w:type="dxa"/>
            <w:vAlign w:val="top"/>
          </w:tcPr>
          <w:p w14:paraId="21628F0B">
            <w:pPr>
              <w:pStyle w:val="7"/>
              <w:spacing w:before="116" w:line="218" w:lineRule="auto"/>
              <w:ind w:left="794"/>
            </w:pPr>
            <w:r>
              <w:rPr>
                <w:spacing w:val="-18"/>
              </w:rPr>
              <w:t>管道180°粗砂包封厚度</w:t>
            </w:r>
          </w:p>
        </w:tc>
        <w:tc>
          <w:tcPr>
            <w:tcW w:w="1938" w:type="dxa"/>
            <w:vAlign w:val="top"/>
          </w:tcPr>
          <w:p w14:paraId="18B30B5F">
            <w:pPr>
              <w:pStyle w:val="7"/>
              <w:spacing w:before="116" w:line="218" w:lineRule="auto"/>
              <w:ind w:left="444"/>
            </w:pPr>
            <w:r>
              <w:rPr>
                <w:spacing w:val="-18"/>
              </w:rPr>
              <w:t>不小于设计</w:t>
            </w:r>
          </w:p>
        </w:tc>
        <w:tc>
          <w:tcPr>
            <w:tcW w:w="1943" w:type="dxa"/>
            <w:tcBorders>
              <w:right w:val="single" w:color="000000" w:sz="4" w:space="0"/>
            </w:tcBorders>
            <w:vAlign w:val="top"/>
          </w:tcPr>
          <w:p w14:paraId="4A39B39C">
            <w:pPr>
              <w:pStyle w:val="7"/>
              <w:spacing w:before="115" w:line="216" w:lineRule="auto"/>
              <w:ind w:left="167"/>
            </w:pPr>
            <w:r>
              <w:rPr>
                <w:spacing w:val="-5"/>
              </w:rPr>
              <w:t>每200m检查4处</w:t>
            </w:r>
          </w:p>
        </w:tc>
      </w:tr>
      <w:tr w14:paraId="0AB84C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59" w:hRule="atLeast"/>
        </w:trPr>
        <w:tc>
          <w:tcPr>
            <w:tcW w:w="1394" w:type="dxa"/>
            <w:gridSpan w:val="2"/>
            <w:tcBorders>
              <w:left w:val="single" w:color="000000" w:sz="4" w:space="0"/>
            </w:tcBorders>
            <w:vAlign w:val="top"/>
          </w:tcPr>
          <w:p w14:paraId="744595FB">
            <w:pPr>
              <w:spacing w:line="266" w:lineRule="auto"/>
              <w:rPr>
                <w:rFonts w:ascii="Arial"/>
                <w:sz w:val="21"/>
              </w:rPr>
            </w:pPr>
          </w:p>
          <w:p w14:paraId="13ED2193">
            <w:pPr>
              <w:pStyle w:val="7"/>
              <w:spacing w:before="78" w:line="237" w:lineRule="auto"/>
              <w:ind w:left="655"/>
            </w:pPr>
            <w:r>
              <w:t>5</w:t>
            </w:r>
          </w:p>
        </w:tc>
        <w:tc>
          <w:tcPr>
            <w:tcW w:w="3901" w:type="dxa"/>
            <w:vAlign w:val="top"/>
          </w:tcPr>
          <w:p w14:paraId="7BA5B5B4">
            <w:pPr>
              <w:pStyle w:val="7"/>
              <w:spacing w:before="113" w:line="360" w:lineRule="auto"/>
              <w:ind w:left="1418" w:right="753" w:hanging="624"/>
            </w:pPr>
            <w:r>
              <w:rPr>
                <w:spacing w:val="-20"/>
              </w:rPr>
              <w:t>管道180°粗砂包封宽度</w:t>
            </w:r>
            <w:r>
              <w:rPr>
                <w:spacing w:val="-18"/>
              </w:rPr>
              <w:t>不小于设计</w:t>
            </w:r>
          </w:p>
        </w:tc>
        <w:tc>
          <w:tcPr>
            <w:tcW w:w="1938" w:type="dxa"/>
            <w:vAlign w:val="top"/>
          </w:tcPr>
          <w:p w14:paraId="10A41F90">
            <w:pPr>
              <w:spacing w:line="267" w:lineRule="auto"/>
              <w:rPr>
                <w:rFonts w:ascii="Arial"/>
                <w:sz w:val="21"/>
              </w:rPr>
            </w:pPr>
          </w:p>
          <w:p w14:paraId="000CBCD9">
            <w:pPr>
              <w:pStyle w:val="7"/>
              <w:spacing w:before="78" w:line="218" w:lineRule="auto"/>
              <w:ind w:left="444"/>
            </w:pPr>
            <w:r>
              <w:rPr>
                <w:spacing w:val="-18"/>
              </w:rPr>
              <w:t>不小于设计</w:t>
            </w:r>
          </w:p>
        </w:tc>
        <w:tc>
          <w:tcPr>
            <w:tcW w:w="1943" w:type="dxa"/>
            <w:tcBorders>
              <w:right w:val="single" w:color="000000" w:sz="4" w:space="0"/>
            </w:tcBorders>
            <w:vAlign w:val="top"/>
          </w:tcPr>
          <w:p w14:paraId="7AB33F9A">
            <w:pPr>
              <w:spacing w:line="266" w:lineRule="auto"/>
              <w:rPr>
                <w:rFonts w:ascii="Arial"/>
                <w:sz w:val="21"/>
              </w:rPr>
            </w:pPr>
          </w:p>
          <w:p w14:paraId="70058ED8">
            <w:pPr>
              <w:pStyle w:val="7"/>
              <w:spacing w:before="78" w:line="216" w:lineRule="auto"/>
              <w:ind w:left="167"/>
            </w:pPr>
            <w:r>
              <w:rPr>
                <w:spacing w:val="-5"/>
              </w:rPr>
              <w:t>每200m检查4处</w:t>
            </w:r>
          </w:p>
        </w:tc>
      </w:tr>
      <w:tr w14:paraId="500829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0" w:hRule="atLeast"/>
        </w:trPr>
        <w:tc>
          <w:tcPr>
            <w:tcW w:w="353" w:type="dxa"/>
            <w:tcBorders>
              <w:left w:val="single" w:color="1C456A" w:sz="4" w:space="0"/>
              <w:bottom w:val="single" w:color="1C456A" w:sz="4" w:space="0"/>
              <w:right w:val="nil"/>
            </w:tcBorders>
            <w:vAlign w:val="top"/>
          </w:tcPr>
          <w:p w14:paraId="0A1FC51D">
            <w:pPr>
              <w:rPr>
                <w:rFonts w:ascii="Arial"/>
                <w:sz w:val="21"/>
              </w:rPr>
            </w:pPr>
            <w:r>
              <w:pict>
                <v:shape id="_x0000_s1416" o:spid="_x0000_s1416" style="position:absolute;left:0pt;margin-left:-0.25pt;margin-top:31.55pt;height:0.75pt;width:2.2pt;mso-position-horizontal-relative:page;mso-position-vertical-relative:page;z-index:251729920;mso-width-relative:page;mso-height-relative:page;" fillcolor="#5B9BD5" filled="t" stroked="f" coordsize="44,15" path="m0,14l43,14,43,0,0,0,0,14xe">
                  <v:path/>
                  <v:fill on="t" focussize="0,0"/>
                  <v:stroke on="f"/>
                  <v:imagedata o:title=""/>
                  <o:lock v:ext="edit"/>
                </v:shape>
              </w:pict>
            </w:r>
          </w:p>
        </w:tc>
        <w:tc>
          <w:tcPr>
            <w:tcW w:w="1041" w:type="dxa"/>
            <w:tcBorders>
              <w:left w:val="nil"/>
              <w:bottom w:val="single" w:color="1C456A" w:sz="4" w:space="0"/>
            </w:tcBorders>
            <w:vAlign w:val="top"/>
          </w:tcPr>
          <w:p w14:paraId="62A1B0B0">
            <w:pPr>
              <w:pStyle w:val="7"/>
              <w:spacing w:before="108" w:line="237" w:lineRule="auto"/>
              <w:ind w:left="305"/>
            </w:pPr>
            <w:r>
              <w:t>6</w:t>
            </w:r>
          </w:p>
        </w:tc>
        <w:tc>
          <w:tcPr>
            <w:tcW w:w="3901" w:type="dxa"/>
            <w:tcBorders>
              <w:bottom w:val="single" w:color="000000" w:sz="4" w:space="0"/>
            </w:tcBorders>
            <w:vAlign w:val="top"/>
          </w:tcPr>
          <w:p w14:paraId="5169D200">
            <w:pPr>
              <w:pStyle w:val="7"/>
              <w:spacing w:before="108" w:line="217" w:lineRule="auto"/>
              <w:ind w:left="1525"/>
            </w:pPr>
            <w:r>
              <w:rPr>
                <w:spacing w:val="-16"/>
              </w:rPr>
              <w:t>相对密度</w:t>
            </w:r>
          </w:p>
        </w:tc>
        <w:tc>
          <w:tcPr>
            <w:tcW w:w="1938" w:type="dxa"/>
            <w:tcBorders>
              <w:bottom w:val="single" w:color="000000" w:sz="4" w:space="0"/>
            </w:tcBorders>
            <w:vAlign w:val="top"/>
          </w:tcPr>
          <w:p w14:paraId="38D80A48">
            <w:pPr>
              <w:pStyle w:val="7"/>
              <w:spacing w:before="108" w:line="236" w:lineRule="auto"/>
              <w:ind w:left="759"/>
            </w:pPr>
            <w:r>
              <w:rPr>
                <w:spacing w:val="-9"/>
              </w:rPr>
              <w:t>0.93</w:t>
            </w:r>
          </w:p>
        </w:tc>
        <w:tc>
          <w:tcPr>
            <w:tcW w:w="1943" w:type="dxa"/>
            <w:tcBorders>
              <w:bottom w:val="single" w:color="5B9BD5" w:sz="4" w:space="0"/>
              <w:right w:val="single" w:color="5B9BD5" w:sz="4" w:space="0"/>
            </w:tcBorders>
            <w:vAlign w:val="top"/>
          </w:tcPr>
          <w:p w14:paraId="7EE802DE">
            <w:pPr>
              <w:pStyle w:val="7"/>
              <w:spacing w:before="108" w:line="216" w:lineRule="auto"/>
              <w:ind w:left="167"/>
            </w:pPr>
            <w:r>
              <w:pict>
                <v:shape id="_x0000_s1417" o:spid="_x0000_s1417" style="position:absolute;left:0pt;margin-left:95.3pt;margin-top:31.55pt;height:0.75pt;width:2.2pt;mso-position-horizontal-relative:page;mso-position-vertical-relative:page;z-index:251728896;mso-width-relative:page;mso-height-relative:page;" fillcolor="#5B9BD5" filled="t" stroked="f" coordsize="44,15" path="m0,14l43,14,43,0,0,0,0,14xe">
                  <v:path/>
                  <v:fill on="t" focussize="0,0"/>
                  <v:stroke on="f"/>
                  <v:imagedata o:title=""/>
                  <o:lock v:ext="edit"/>
                </v:shape>
              </w:pict>
            </w:r>
            <w:r>
              <w:rPr>
                <w:spacing w:val="-5"/>
              </w:rPr>
              <w:t>每200m检查4处</w:t>
            </w:r>
          </w:p>
        </w:tc>
      </w:tr>
    </w:tbl>
    <w:p w14:paraId="37D1371F">
      <w:pPr>
        <w:pStyle w:val="2"/>
        <w:spacing w:before="64" w:line="217" w:lineRule="auto"/>
        <w:ind w:left="4310"/>
        <w:outlineLvl w:val="1"/>
        <w:rPr>
          <w:sz w:val="30"/>
          <w:szCs w:val="30"/>
        </w:rPr>
      </w:pPr>
      <w:bookmarkStart w:id="30" w:name="bookmark30"/>
      <w:bookmarkEnd w:id="30"/>
      <w:r>
        <w:rPr>
          <w:b/>
          <w:bCs/>
          <w:color w:val="0070C0"/>
          <w:spacing w:val="-24"/>
          <w:sz w:val="30"/>
          <w:szCs w:val="30"/>
        </w:rPr>
        <w:t>第五节、管道安装施工方案</w:t>
      </w:r>
    </w:p>
    <w:p w14:paraId="49539086">
      <w:pPr>
        <w:pStyle w:val="2"/>
        <w:spacing w:before="62" w:line="211" w:lineRule="auto"/>
        <w:ind w:left="1981"/>
        <w:outlineLvl w:val="2"/>
        <w:rPr>
          <w:sz w:val="28"/>
          <w:szCs w:val="28"/>
        </w:rPr>
      </w:pPr>
      <w:bookmarkStart w:id="31" w:name="bookmark31"/>
      <w:bookmarkEnd w:id="31"/>
      <w:r>
        <w:rPr>
          <w:b/>
          <w:bCs/>
          <w:spacing w:val="-22"/>
          <w:sz w:val="28"/>
          <w:szCs w:val="28"/>
        </w:rPr>
        <w:t>一、球墨铸铁管施工方法</w:t>
      </w:r>
    </w:p>
    <w:tbl>
      <w:tblPr>
        <w:tblStyle w:val="6"/>
        <w:tblW w:w="9973" w:type="dxa"/>
        <w:tblInd w:w="96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579"/>
        <w:gridCol w:w="6389"/>
        <w:gridCol w:w="1906"/>
        <w:gridCol w:w="99"/>
      </w:tblGrid>
      <w:tr w14:paraId="285651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1" w:hRule="atLeast"/>
        </w:trPr>
        <w:tc>
          <w:tcPr>
            <w:tcW w:w="1579" w:type="dxa"/>
            <w:tcBorders>
              <w:top w:val="single" w:color="000000" w:sz="4" w:space="0"/>
              <w:left w:val="nil"/>
            </w:tcBorders>
            <w:vAlign w:val="top"/>
          </w:tcPr>
          <w:p w14:paraId="6075338B">
            <w:pPr>
              <w:spacing w:before="33" w:line="60" w:lineRule="exact"/>
              <w:ind w:firstLine="43"/>
            </w:pPr>
            <w:r>
              <w:rPr>
                <w:position w:val="-1"/>
              </w:rPr>
              <w:pict>
                <v:shape id="_x0000_s1418" o:spid="_x0000_s1418" style="height:3pt;width:76.6pt;" fillcolor="#DEEAF6" filled="t" stroked="f" coordsize="1531,60" path="m0,60l1531,60,1531,0,0,0,0,60xe">
                  <v:path/>
                  <v:fill on="t" focussize="0,0"/>
                  <v:stroke on="f"/>
                  <v:imagedata o:title=""/>
                  <o:lock v:ext="edit"/>
                  <w10:wrap type="none"/>
                  <w10:anchorlock/>
                </v:shape>
              </w:pict>
            </w:r>
          </w:p>
          <w:p w14:paraId="0D4F4185">
            <w:pPr>
              <w:pStyle w:val="7"/>
              <w:spacing w:before="36" w:line="218" w:lineRule="auto"/>
              <w:ind w:left="598"/>
            </w:pPr>
            <w:r>
              <w:pict>
                <v:group id="_x0000_s1419" o:spid="_x0000_s1419" o:spt="203" style="position:absolute;left:0pt;margin-left:0pt;margin-top:-5.15pt;height:192.3pt;width:80.9pt;z-index:251726848;mso-width-relative:page;mso-height-relative:page;" coordsize="1618,3846">
                  <o:lock v:ext="edit"/>
                  <v:shape id="_x0000_s1420" o:spid="_x0000_s1420" style="position:absolute;left:43;top:45;height:580;width:1531;" fillcolor="#DEEAF6" filled="t" stroked="f" coordsize="1531,580" path="m0,580l1531,580,1531,0,0,0,0,580xem35,523l1478,523,1478,57,35,57,35,523xe">
                    <v:path/>
                    <v:fill on="t" focussize="0,0"/>
                    <v:stroke on="f"/>
                    <v:imagedata o:title=""/>
                    <o:lock v:ext="edit"/>
                  </v:shape>
                  <v:shape id="_x0000_s1421" o:spid="_x0000_s1421" style="position:absolute;left:0;top:0;height:103;width:44;" fillcolor="#5B9BD5" filled="t" stroked="f" coordsize="44,103" path="m0,103l14,103,14,0,0,0,0,103xem0,14l43,14,43,0,0,0,0,14xe">
                    <v:path/>
                    <v:fill on="t" focussize="0,0"/>
                    <v:stroke on="f"/>
                    <v:imagedata o:title=""/>
                    <o:lock v:ext="edit"/>
                  </v:shape>
                  <v:shape id="_x0000_s1422" o:spid="_x0000_s1422" style="position:absolute;left:14;top:14;height:88;width:29;" fillcolor="#20507B" filled="t" stroked="f" coordsize="29,88" path="m0,88l14,88,14,0,0,0,0,88xem0,14l28,14,28,0,0,0,0,14xe">
                    <v:path/>
                    <v:fill on="t" focussize="0,0"/>
                    <v:stroke on="f"/>
                    <v:imagedata o:title=""/>
                    <o:lock v:ext="edit"/>
                  </v:shape>
                  <v:shape id="_x0000_s1423" o:spid="_x0000_s1423" style="position:absolute;left:28;top:28;height:75;width:15;" fillcolor="#1C456A" filled="t" stroked="f" coordsize="15,75" path="m0,74l14,74,14,0,0,0,0,74xem0,14l14,14,14,0,0,0,0,14xe">
                    <v:path/>
                    <v:fill on="t" focussize="0,0"/>
                    <v:stroke on="f"/>
                    <v:imagedata o:title=""/>
                    <o:lock v:ext="edit"/>
                  </v:shape>
                  <v:shape id="_x0000_s1424" o:spid="_x0000_s1424" style="position:absolute;left:1584;top:43;height:60;width:34;" fillcolor="#DEEAF6" filled="t" stroked="f" coordsize="34,60" path="m0,60l33,60,33,0,0,0,0,60xe">
                    <v:path/>
                    <v:fill on="t" focussize="0,0"/>
                    <v:stroke on="f"/>
                    <v:imagedata o:title=""/>
                    <o:lock v:ext="edit"/>
                  </v:shape>
                  <v:shape id="_x0000_s1425" o:spid="_x0000_s1425" style="position:absolute;left:1574;top:0;height:15;width:44;" fillcolor="#5B9BD5" filled="t" stroked="f" coordsize="44,15" path="m0,14l43,14,43,0,0,0,0,14xe">
                    <v:path/>
                    <v:fill on="t" focussize="0,0"/>
                    <v:stroke on="f"/>
                    <v:imagedata o:title=""/>
                    <o:lock v:ext="edit"/>
                  </v:shape>
                  <v:shape id="_x0000_s1426" o:spid="_x0000_s1426" style="position:absolute;left:1574;top:14;height:15;width:44;" fillcolor="#20507B" filled="t" stroked="f" coordsize="44,15" path="m0,14l43,14,43,0,0,0,0,14xe">
                    <v:path/>
                    <v:fill on="t" focussize="0,0"/>
                    <v:stroke on="f"/>
                    <v:imagedata o:title=""/>
                    <o:lock v:ext="edit"/>
                  </v:shape>
                  <v:shape id="_x0000_s1427" o:spid="_x0000_s1427" style="position:absolute;left:28;top:28;height:597;width:1590;" fillcolor="#1C456A" filled="t" stroked="f" coordsize="1590,597" path="m1546,14l1589,14,1589,0,1546,0,1546,14xem0,597l14,597,14,74,0,74,0,597xe">
                    <v:path/>
                    <v:fill on="t" focussize="0,0"/>
                    <v:stroke on="f"/>
                    <v:imagedata o:title=""/>
                    <o:lock v:ext="edit"/>
                  </v:shape>
                  <v:shape id="_x0000_s1428" o:spid="_x0000_s1428" style="position:absolute;left:14;top:103;height:524;width:15;" fillcolor="#20507B" filled="t" stroked="f" coordsize="15,524" path="m0,523l14,523,14,0,0,0,0,523xe">
                    <v:path/>
                    <v:fill on="t" focussize="0,0"/>
                    <v:stroke on="f"/>
                    <v:imagedata o:title=""/>
                    <o:lock v:ext="edit"/>
                  </v:shape>
                  <v:shape id="_x0000_s1429" o:spid="_x0000_s1429" style="position:absolute;left:0;top:103;height:524;width:15;" fillcolor="#5B9BD5" filled="t" stroked="f" coordsize="15,524" path="m0,523l14,523,14,0,0,0,0,523xe">
                    <v:path/>
                    <v:fill on="t" focussize="0,0"/>
                    <v:stroke on="f"/>
                    <v:imagedata o:title=""/>
                    <o:lock v:ext="edit"/>
                  </v:shape>
                  <v:shape id="_x0000_s1430" o:spid="_x0000_s1430" style="position:absolute;left:28;top:626;height:68;width:15;" fillcolor="#1C456A" filled="t" stroked="f" coordsize="15,68" path="m0,67l14,67,14,0,0,0,0,67xe">
                    <v:path/>
                    <v:fill on="t" focussize="0,0"/>
                    <v:stroke on="f"/>
                    <v:imagedata o:title=""/>
                    <o:lock v:ext="edit"/>
                  </v:shape>
                  <v:shape id="_x0000_s1431" o:spid="_x0000_s1431" style="position:absolute;left:14;top:626;height:68;width:15;" fillcolor="#20507B" filled="t" stroked="f" coordsize="15,68" path="m0,67l14,67,14,0,0,0,0,67xe">
                    <v:path/>
                    <v:fill on="t" focussize="0,0"/>
                    <v:stroke on="f"/>
                    <v:imagedata o:title=""/>
                    <o:lock v:ext="edit"/>
                  </v:shape>
                  <v:shape id="_x0000_s1432" o:spid="_x0000_s1432" style="position:absolute;left:0;top:626;height:68;width:15;" fillcolor="#5B9BD5" filled="t" stroked="f" coordsize="15,68" path="m0,67l14,67,14,0,0,0,0,67xe">
                    <v:path/>
                    <v:fill on="t" focussize="0,0"/>
                    <v:stroke on="f"/>
                    <v:imagedata o:title=""/>
                    <o:lock v:ext="edit"/>
                  </v:shape>
                  <v:shape id="_x0000_s1433" o:spid="_x0000_s1433" style="position:absolute;left:28;top:693;height:991;width:15;" fillcolor="#1C456A" filled="t" stroked="f" coordsize="15,991" path="m0,991l14,991,14,0,0,0,0,991xe">
                    <v:path/>
                    <v:fill on="t" focussize="0,0"/>
                    <v:stroke on="f"/>
                    <v:imagedata o:title=""/>
                    <o:lock v:ext="edit"/>
                  </v:shape>
                  <v:shape id="_x0000_s1434" o:spid="_x0000_s1434" style="position:absolute;left:14;top:693;height:991;width:15;" fillcolor="#20507B" filled="t" stroked="f" coordsize="15,991" path="m0,991l14,991,14,0,0,0,0,991xe">
                    <v:path/>
                    <v:fill on="t" focussize="0,0"/>
                    <v:stroke on="f"/>
                    <v:imagedata o:title=""/>
                    <o:lock v:ext="edit"/>
                  </v:shape>
                  <v:shape id="_x0000_s1435" o:spid="_x0000_s1435" style="position:absolute;left:0;top:693;height:991;width:15;" fillcolor="#5B9BD5" filled="t" stroked="f" coordsize="15,991" path="m0,991l14,991,14,0,0,0,0,991xe">
                    <v:path/>
                    <v:fill on="t" focussize="0,0"/>
                    <v:stroke on="f"/>
                    <v:imagedata o:title=""/>
                    <o:lock v:ext="edit"/>
                  </v:shape>
                  <v:shape id="_x0000_s1436" o:spid="_x0000_s1436" style="position:absolute;left:28;top:1685;height:68;width:15;" fillcolor="#1C456A" filled="t" stroked="f" coordsize="15,68" path="m0,67l14,67,14,0,0,0,0,67xe">
                    <v:path/>
                    <v:fill on="t" focussize="0,0"/>
                    <v:stroke on="f"/>
                    <v:imagedata o:title=""/>
                    <o:lock v:ext="edit"/>
                  </v:shape>
                  <v:shape id="_x0000_s1437" o:spid="_x0000_s1437" style="position:absolute;left:14;top:1685;height:68;width:15;" fillcolor="#20507B" filled="t" stroked="f" coordsize="15,68" path="m0,67l14,67,14,0,0,0,0,67xe">
                    <v:path/>
                    <v:fill on="t" focussize="0,0"/>
                    <v:stroke on="f"/>
                    <v:imagedata o:title=""/>
                    <o:lock v:ext="edit"/>
                  </v:shape>
                  <v:shape id="_x0000_s1438" o:spid="_x0000_s1438" style="position:absolute;left:0;top:1685;height:68;width:15;" fillcolor="#5B9BD5" filled="t" stroked="f" coordsize="15,68" path="m0,67l14,67,14,0,0,0,0,67xe">
                    <v:path/>
                    <v:fill on="t" focussize="0,0"/>
                    <v:stroke on="f"/>
                    <v:imagedata o:title=""/>
                    <o:lock v:ext="edit"/>
                  </v:shape>
                  <v:shape id="_x0000_s1439" o:spid="_x0000_s1439" style="position:absolute;left:28;top:1752;height:989;width:15;" fillcolor="#1C456A" filled="t" stroked="f" coordsize="15,989" path="m0,988l14,988,14,0,0,0,0,988xe">
                    <v:path/>
                    <v:fill on="t" focussize="0,0"/>
                    <v:stroke on="f"/>
                    <v:imagedata o:title=""/>
                    <o:lock v:ext="edit"/>
                  </v:shape>
                  <v:shape id="_x0000_s1440" o:spid="_x0000_s1440" style="position:absolute;left:14;top:1752;height:989;width:15;" fillcolor="#20507B" filled="t" stroked="f" coordsize="15,989" path="m0,988l14,988,14,0,0,0,0,988xe">
                    <v:path/>
                    <v:fill on="t" focussize="0,0"/>
                    <v:stroke on="f"/>
                    <v:imagedata o:title=""/>
                    <o:lock v:ext="edit"/>
                  </v:shape>
                  <v:shape id="_x0000_s1441" o:spid="_x0000_s1441" style="position:absolute;left:0;top:1752;height:989;width:15;" fillcolor="#5B9BD5" filled="t" stroked="f" coordsize="15,989" path="m0,988l14,988,14,0,0,0,0,988xe">
                    <v:path/>
                    <v:fill on="t" focussize="0,0"/>
                    <v:stroke on="f"/>
                    <v:imagedata o:title=""/>
                    <o:lock v:ext="edit"/>
                  </v:shape>
                  <v:shape id="_x0000_s1442" o:spid="_x0000_s1442" style="position:absolute;left:28;top:2741;height:68;width:15;" fillcolor="#1C456A" filled="t" stroked="f" coordsize="15,68" path="m0,67l14,67,14,0,0,0,0,67xe">
                    <v:path/>
                    <v:fill on="t" focussize="0,0"/>
                    <v:stroke on="f"/>
                    <v:imagedata o:title=""/>
                    <o:lock v:ext="edit"/>
                  </v:shape>
                  <v:shape id="_x0000_s1443" o:spid="_x0000_s1443" style="position:absolute;left:14;top:2741;height:68;width:15;" fillcolor="#20507B" filled="t" stroked="f" coordsize="15,68" path="m0,67l14,67,14,0,0,0,0,67xe">
                    <v:path/>
                    <v:fill on="t" focussize="0,0"/>
                    <v:stroke on="f"/>
                    <v:imagedata o:title=""/>
                    <o:lock v:ext="edit"/>
                  </v:shape>
                  <v:shape id="_x0000_s1444" o:spid="_x0000_s1444" style="position:absolute;left:0;top:2741;height:68;width:15;" fillcolor="#5B9BD5" filled="t" stroked="f" coordsize="15,68" path="m0,67l14,67,14,0,0,0,0,67xe">
                    <v:path/>
                    <v:fill on="t" focussize="0,0"/>
                    <v:stroke on="f"/>
                    <v:imagedata o:title=""/>
                    <o:lock v:ext="edit"/>
                  </v:shape>
                  <v:shape id="_x0000_s1445" o:spid="_x0000_s1445" style="position:absolute;left:28;top:2808;height:994;width:15;" fillcolor="#1C456A" filled="t" stroked="f" coordsize="15,994" path="m0,993l14,993,14,0,0,0,0,993xe">
                    <v:path/>
                    <v:fill on="t" focussize="0,0"/>
                    <v:stroke on="f"/>
                    <v:imagedata o:title=""/>
                    <o:lock v:ext="edit"/>
                  </v:shape>
                  <v:shape id="_x0000_s1446" o:spid="_x0000_s1446" style="position:absolute;left:14;top:2808;height:994;width:15;" fillcolor="#20507B" filled="t" stroked="f" coordsize="15,994" path="m0,993l14,993,14,0,0,0,0,993xe">
                    <v:path/>
                    <v:fill on="t" focussize="0,0"/>
                    <v:stroke on="f"/>
                    <v:imagedata o:title=""/>
                    <o:lock v:ext="edit"/>
                  </v:shape>
                  <v:shape id="_x0000_s1447" o:spid="_x0000_s1447" style="position:absolute;left:0;top:2808;height:1036;width:44;" fillcolor="#5B9BD5" filled="t" stroked="f" coordsize="44,1036" path="m0,993l14,993,14,0,0,0,0,993xem0,1036l14,1036,14,993,0,993,0,1036xem0,1036l43,1036,43,1022,0,1022,0,1036xe">
                    <v:path/>
                    <v:fill on="t" focussize="0,0"/>
                    <v:stroke on="f"/>
                    <v:imagedata o:title=""/>
                    <o:lock v:ext="edit"/>
                  </v:shape>
                  <v:shape id="_x0000_s1448" o:spid="_x0000_s1448" style="position:absolute;left:14;top:3802;height:29;width:29;" fillcolor="#20507B" filled="t" stroked="f" coordsize="29,29" path="m0,28l14,28,14,0,0,0,0,28xem0,28l28,28,28,14,0,14,0,28xe">
                    <v:path/>
                    <v:fill on="t" focussize="0,0"/>
                    <v:stroke on="f"/>
                    <v:imagedata o:title=""/>
                    <o:lock v:ext="edit"/>
                  </v:shape>
                  <v:shape id="_x0000_s1449" o:spid="_x0000_s1449" style="position:absolute;left:28;top:3802;height:15;width:1590;" fillcolor="#1C456A" filled="t" stroked="f" coordsize="1590,15" path="m0,14l14,14,14,0,0,0,0,14xem0,14l14,14,14,0,0,0,0,14xem1546,14l1589,14,1589,0,1546,0,1546,14xe">
                    <v:path/>
                    <v:fill on="t" focussize="0,0"/>
                    <v:stroke on="f"/>
                    <v:imagedata o:title=""/>
                    <o:lock v:ext="edit"/>
                  </v:shape>
                  <v:shape id="_x0000_s1450" o:spid="_x0000_s1450" style="position:absolute;left:1574;top:3816;height:15;width:44;" fillcolor="#20507B" filled="t" stroked="f" coordsize="44,15" path="m0,14l43,14,43,0,0,0,0,14xe">
                    <v:path/>
                    <v:fill on="t" focussize="0,0"/>
                    <v:stroke on="f"/>
                    <v:imagedata o:title=""/>
                    <o:lock v:ext="edit"/>
                  </v:shape>
                  <v:shape id="_x0000_s1451" o:spid="_x0000_s1451" style="position:absolute;left:1574;top:3830;height:15;width:44;" fillcolor="#5B9BD5" filled="t" stroked="f" coordsize="44,15" path="m0,14l43,14,43,0,0,0,0,14xe">
                    <v:path/>
                    <v:fill on="t" focussize="0,0"/>
                    <v:stroke on="f"/>
                    <v:imagedata o:title=""/>
                    <o:lock v:ext="edit"/>
                  </v:shape>
                </v:group>
              </w:pict>
            </w:r>
            <w:r>
              <w:rPr>
                <w:b/>
                <w:bCs/>
                <w:spacing w:val="-12"/>
              </w:rPr>
              <w:t>概述</w:t>
            </w:r>
          </w:p>
        </w:tc>
        <w:tc>
          <w:tcPr>
            <w:tcW w:w="6389" w:type="dxa"/>
            <w:tcBorders>
              <w:top w:val="single" w:color="5B9BD5" w:sz="4" w:space="0"/>
              <w:right w:val="nil"/>
            </w:tcBorders>
            <w:shd w:val="clear" w:color="auto" w:fill="DEEAF6"/>
            <w:vAlign w:val="top"/>
          </w:tcPr>
          <w:p w14:paraId="57CBB418">
            <w:pPr>
              <w:pStyle w:val="7"/>
              <w:spacing w:before="129" w:line="218" w:lineRule="auto"/>
              <w:ind w:left="4013"/>
            </w:pPr>
            <w:r>
              <w:rPr>
                <w:b/>
                <w:bCs/>
                <w:spacing w:val="-20"/>
              </w:rPr>
              <w:t>内容</w:t>
            </w:r>
          </w:p>
        </w:tc>
        <w:tc>
          <w:tcPr>
            <w:tcW w:w="2005" w:type="dxa"/>
            <w:gridSpan w:val="2"/>
            <w:tcBorders>
              <w:top w:val="single" w:color="5B9BD5" w:sz="4" w:space="0"/>
              <w:left w:val="nil"/>
              <w:right w:val="single" w:color="5B9BD5" w:sz="4" w:space="0"/>
            </w:tcBorders>
            <w:shd w:val="clear" w:color="auto" w:fill="DEEAF6"/>
            <w:vAlign w:val="top"/>
          </w:tcPr>
          <w:p w14:paraId="012E1F4E">
            <w:pPr>
              <w:rPr>
                <w:rFonts w:ascii="Arial"/>
                <w:sz w:val="21"/>
              </w:rPr>
            </w:pPr>
            <w:r>
              <w:pict>
                <v:shape id="_x0000_s1452" o:spid="_x0000_s1452" style="position:absolute;left:0pt;margin-left:98.4pt;margin-top:0pt;height:0.75pt;width:2.2pt;mso-position-horizontal-relative:page;mso-position-vertical-relative:page;z-index:251727872;mso-width-relative:page;mso-height-relative:page;" fillcolor="#5B9BD5" filled="t" stroked="f" coordsize="44,15" path="m0,14l43,14,43,0,0,0,0,14xe">
                  <v:path/>
                  <v:fill on="t" focussize="0,0"/>
                  <v:stroke on="f"/>
                  <v:imagedata o:title=""/>
                  <o:lock v:ext="edit"/>
                </v:shape>
              </w:pict>
            </w:r>
          </w:p>
        </w:tc>
      </w:tr>
      <w:tr w14:paraId="2C949B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61" w:hRule="atLeast"/>
        </w:trPr>
        <w:tc>
          <w:tcPr>
            <w:tcW w:w="1579" w:type="dxa"/>
            <w:tcBorders>
              <w:left w:val="nil"/>
            </w:tcBorders>
            <w:vAlign w:val="top"/>
          </w:tcPr>
          <w:p w14:paraId="31EDA55B">
            <w:pPr>
              <w:spacing w:line="277" w:lineRule="auto"/>
              <w:rPr>
                <w:rFonts w:ascii="Arial"/>
                <w:sz w:val="21"/>
              </w:rPr>
            </w:pPr>
          </w:p>
          <w:p w14:paraId="27DD64AA">
            <w:pPr>
              <w:pStyle w:val="7"/>
              <w:spacing w:before="78" w:line="218" w:lineRule="auto"/>
              <w:ind w:left="386"/>
            </w:pPr>
            <w:r>
              <w:rPr>
                <w:spacing w:val="-17"/>
              </w:rPr>
              <w:t>工程概况</w:t>
            </w:r>
          </w:p>
        </w:tc>
        <w:tc>
          <w:tcPr>
            <w:tcW w:w="8295" w:type="dxa"/>
            <w:gridSpan w:val="2"/>
            <w:tcBorders>
              <w:right w:val="nil"/>
            </w:tcBorders>
            <w:vAlign w:val="top"/>
          </w:tcPr>
          <w:p w14:paraId="3B94CD0F">
            <w:pPr>
              <w:pStyle w:val="7"/>
              <w:spacing w:before="124" w:line="217" w:lineRule="auto"/>
              <w:ind w:left="168"/>
            </w:pPr>
            <w:r>
              <w:rPr>
                <w:spacing w:val="-20"/>
              </w:rPr>
              <w:t>本工程为</w:t>
            </w:r>
            <w:r>
              <w:rPr>
                <w:rFonts w:hint="eastAsia"/>
                <w:spacing w:val="-20"/>
                <w:lang w:eastAsia="zh-CN"/>
              </w:rPr>
              <w:t>某路</w:t>
            </w:r>
            <w:r>
              <w:rPr>
                <w:spacing w:val="-20"/>
              </w:rPr>
              <w:t>供水施工图设计,位于小庙镇</w:t>
            </w:r>
            <w:r>
              <w:rPr>
                <w:spacing w:val="-21"/>
              </w:rPr>
              <w:t>,设计起点为</w:t>
            </w:r>
            <w:r>
              <w:rPr>
                <w:rFonts w:hint="eastAsia"/>
                <w:spacing w:val="-21"/>
                <w:lang w:eastAsia="zh-CN"/>
              </w:rPr>
              <w:t>某路</w:t>
            </w:r>
            <w:r>
              <w:rPr>
                <w:spacing w:val="-21"/>
              </w:rPr>
              <w:t>,终点为,道</w:t>
            </w:r>
          </w:p>
          <w:p w14:paraId="5EECA352">
            <w:pPr>
              <w:pStyle w:val="7"/>
              <w:spacing w:before="183" w:line="218" w:lineRule="auto"/>
              <w:ind w:left="3274"/>
            </w:pPr>
            <w:r>
              <w:rPr>
                <w:spacing w:val="-12"/>
              </w:rPr>
              <w:t>路全长约7762米。</w:t>
            </w:r>
          </w:p>
        </w:tc>
        <w:tc>
          <w:tcPr>
            <w:tcW w:w="99" w:type="dxa"/>
            <w:tcBorders>
              <w:left w:val="nil"/>
              <w:right w:val="single" w:color="000000" w:sz="4" w:space="0"/>
            </w:tcBorders>
            <w:vAlign w:val="top"/>
          </w:tcPr>
          <w:p w14:paraId="50EAEFDA">
            <w:pPr>
              <w:spacing w:before="20" w:line="67" w:lineRule="exact"/>
              <w:ind w:firstLine="61"/>
            </w:pPr>
            <w:r>
              <w:rPr>
                <w:position w:val="-1"/>
              </w:rPr>
              <w:pict>
                <v:group id="_x0000_s1453" o:spid="_x0000_s1453" o:spt="203" style="height:3.4pt;width:1.45pt;" coordsize="29,68">
                  <o:lock v:ext="edit"/>
                  <v:shape id="_x0000_s1454" o:spid="_x0000_s1454" style="position:absolute;left:14;top:0;height:68;width:15;" fillcolor="#20507B" filled="t" stroked="f" coordsize="15,68" path="m0,67l14,67,14,0,0,0,0,67xe">
                    <v:path/>
                    <v:fill on="t" focussize="0,0"/>
                    <v:stroke on="f"/>
                    <v:imagedata o:title=""/>
                    <o:lock v:ext="edit"/>
                  </v:shape>
                  <v:shape id="_x0000_s1455" o:spid="_x0000_s1455" style="position:absolute;left:0;top:0;height:68;width:15;" fillcolor="#1C456A" filled="t" stroked="f" coordsize="15,68" path="m0,67l14,67,14,0,0,0,0,67xe">
                    <v:path/>
                    <v:fill on="t" focussize="0,0"/>
                    <v:stroke on="f"/>
                    <v:imagedata o:title=""/>
                    <o:lock v:ext="edit"/>
                  </v:shape>
                  <w10:wrap type="none"/>
                  <w10:anchorlock/>
                </v:group>
              </w:pict>
            </w:r>
          </w:p>
        </w:tc>
      </w:tr>
      <w:tr w14:paraId="4F9088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57" w:hRule="atLeast"/>
        </w:trPr>
        <w:tc>
          <w:tcPr>
            <w:tcW w:w="1579" w:type="dxa"/>
            <w:tcBorders>
              <w:left w:val="nil"/>
            </w:tcBorders>
            <w:vAlign w:val="top"/>
          </w:tcPr>
          <w:p w14:paraId="60096D65">
            <w:pPr>
              <w:spacing w:line="270" w:lineRule="auto"/>
              <w:rPr>
                <w:rFonts w:ascii="Arial"/>
                <w:sz w:val="21"/>
              </w:rPr>
            </w:pPr>
          </w:p>
          <w:p w14:paraId="7EC1F41F">
            <w:pPr>
              <w:pStyle w:val="7"/>
              <w:spacing w:before="78" w:line="218" w:lineRule="auto"/>
              <w:ind w:left="380"/>
            </w:pPr>
            <w:r>
              <w:rPr>
                <w:spacing w:val="-15"/>
              </w:rPr>
              <w:t>设计内容</w:t>
            </w:r>
          </w:p>
        </w:tc>
        <w:tc>
          <w:tcPr>
            <w:tcW w:w="8295" w:type="dxa"/>
            <w:gridSpan w:val="2"/>
            <w:tcBorders>
              <w:right w:val="nil"/>
            </w:tcBorders>
            <w:vAlign w:val="top"/>
          </w:tcPr>
          <w:p w14:paraId="68799D61">
            <w:pPr>
              <w:pStyle w:val="7"/>
              <w:spacing w:before="117" w:line="217" w:lineRule="auto"/>
              <w:jc w:val="right"/>
            </w:pPr>
            <w:r>
              <w:rPr>
                <w:spacing w:val="-23"/>
              </w:rPr>
              <w:t>设计内容</w:t>
            </w:r>
            <w:r>
              <w:rPr>
                <w:spacing w:val="-22"/>
              </w:rPr>
              <w:t>包括道路沿线供水管道、沿线阀门井、排泥井、排气井、消火栓等,具体工</w:t>
            </w:r>
            <w:r>
              <w:rPr>
                <w:spacing w:val="-18"/>
              </w:rPr>
              <w:t>程</w:t>
            </w:r>
          </w:p>
          <w:p w14:paraId="32E0D64A">
            <w:pPr>
              <w:pStyle w:val="7"/>
              <w:spacing w:before="182" w:line="216" w:lineRule="auto"/>
              <w:ind w:left="3443"/>
            </w:pPr>
            <w:r>
              <w:rPr>
                <w:spacing w:val="-19"/>
              </w:rPr>
              <w:t>量详见材料表。</w:t>
            </w:r>
          </w:p>
        </w:tc>
        <w:tc>
          <w:tcPr>
            <w:tcW w:w="99" w:type="dxa"/>
            <w:tcBorders>
              <w:left w:val="nil"/>
              <w:right w:val="single" w:color="000000" w:sz="4" w:space="0"/>
            </w:tcBorders>
            <w:vAlign w:val="top"/>
          </w:tcPr>
          <w:p w14:paraId="515BA91E">
            <w:pPr>
              <w:spacing w:before="13" w:line="67" w:lineRule="exact"/>
              <w:ind w:firstLine="61"/>
            </w:pPr>
            <w:r>
              <w:rPr>
                <w:position w:val="-1"/>
              </w:rPr>
              <w:pict>
                <v:group id="_x0000_s1456" o:spid="_x0000_s1456" o:spt="203" style="height:3.4pt;width:1.45pt;" coordsize="29,68">
                  <o:lock v:ext="edit"/>
                  <v:shape id="_x0000_s1457" o:spid="_x0000_s1457" style="position:absolute;left:14;top:0;height:68;width:15;" fillcolor="#20507B" filled="t" stroked="f" coordsize="15,68" path="m0,67l14,67,14,0,0,0,0,67xe">
                    <v:path/>
                    <v:fill on="t" focussize="0,0"/>
                    <v:stroke on="f"/>
                    <v:imagedata o:title=""/>
                    <o:lock v:ext="edit"/>
                  </v:shape>
                  <v:shape id="_x0000_s1458" o:spid="_x0000_s1458" style="position:absolute;left:0;top:0;height:68;width:15;" fillcolor="#1C456A" filled="t" stroked="f" coordsize="15,68" path="m0,67l14,67,14,0,0,0,0,67xe">
                    <v:path/>
                    <v:fill on="t" focussize="0,0"/>
                    <v:stroke on="f"/>
                    <v:imagedata o:title=""/>
                    <o:lock v:ext="edit"/>
                  </v:shape>
                  <w10:wrap type="none"/>
                  <w10:anchorlock/>
                </v:group>
              </w:pict>
            </w:r>
          </w:p>
        </w:tc>
      </w:tr>
      <w:tr w14:paraId="63C36E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01" w:hRule="atLeast"/>
        </w:trPr>
        <w:tc>
          <w:tcPr>
            <w:tcW w:w="1579" w:type="dxa"/>
            <w:tcBorders>
              <w:left w:val="nil"/>
              <w:bottom w:val="single" w:color="000000" w:sz="4" w:space="0"/>
            </w:tcBorders>
            <w:vAlign w:val="top"/>
          </w:tcPr>
          <w:p w14:paraId="68983238">
            <w:pPr>
              <w:spacing w:line="266" w:lineRule="auto"/>
              <w:rPr>
                <w:rFonts w:ascii="Arial"/>
                <w:sz w:val="21"/>
              </w:rPr>
            </w:pPr>
            <w:r>
              <w:pict>
                <v:shape id="_x0000_s1459" o:spid="_x0000_s1459" style="position:absolute;left:0pt;margin-left:2.2pt;margin-top:53.65pt;height:0.75pt;width:76.6pt;mso-position-horizontal-relative:page;mso-position-vertical-relative:page;z-index:251725824;mso-width-relative:page;mso-height-relative:page;" fillcolor="#1C456A" filled="t" stroked="f" coordsize="1531,15" path="m0,14l1531,14,1531,0,0,0,0,14xe">
                  <v:path/>
                  <v:fill on="t" focussize="0,0"/>
                  <v:stroke on="f"/>
                  <v:imagedata o:title=""/>
                  <o:lock v:ext="edit"/>
                </v:shape>
              </w:pict>
            </w:r>
          </w:p>
          <w:p w14:paraId="5EB76975">
            <w:pPr>
              <w:pStyle w:val="7"/>
              <w:spacing w:before="78" w:line="217" w:lineRule="auto"/>
              <w:ind w:left="388"/>
            </w:pPr>
            <w:r>
              <w:rPr>
                <w:spacing w:val="-17"/>
              </w:rPr>
              <w:t>高程控制</w:t>
            </w:r>
          </w:p>
        </w:tc>
        <w:tc>
          <w:tcPr>
            <w:tcW w:w="8394" w:type="dxa"/>
            <w:gridSpan w:val="3"/>
            <w:tcBorders>
              <w:bottom w:val="single" w:color="5B9BD5" w:sz="4" w:space="0"/>
              <w:right w:val="single" w:color="5B9BD5" w:sz="4" w:space="0"/>
            </w:tcBorders>
            <w:vAlign w:val="top"/>
          </w:tcPr>
          <w:p w14:paraId="1C38B307">
            <w:pPr>
              <w:spacing w:before="7" w:line="67" w:lineRule="exact"/>
              <w:ind w:right="3"/>
              <w:jc w:val="right"/>
            </w:pPr>
            <w:r>
              <w:rPr>
                <w:position w:val="-1"/>
              </w:rPr>
              <w:drawing>
                <wp:inline distT="0" distB="0" distL="0" distR="0">
                  <wp:extent cx="17780" cy="42545"/>
                  <wp:effectExtent l="0" t="0" r="0" b="0"/>
                  <wp:docPr id="278" name="IM 278"/>
                  <wp:cNvGraphicFramePr/>
                  <a:graphic xmlns:a="http://schemas.openxmlformats.org/drawingml/2006/main">
                    <a:graphicData uri="http://schemas.openxmlformats.org/drawingml/2006/picture">
                      <pic:pic xmlns:pic="http://schemas.openxmlformats.org/drawingml/2006/picture">
                        <pic:nvPicPr>
                          <pic:cNvPr id="278" name="IM 278"/>
                          <pic:cNvPicPr/>
                        </pic:nvPicPr>
                        <pic:blipFill>
                          <a:blip r:embed="rId449"/>
                          <a:stretch>
                            <a:fillRect/>
                          </a:stretch>
                        </pic:blipFill>
                        <pic:spPr>
                          <a:xfrm>
                            <a:off x="0" y="0"/>
                            <a:ext cx="18287" cy="42672"/>
                          </a:xfrm>
                          <a:prstGeom prst="rect">
                            <a:avLst/>
                          </a:prstGeom>
                        </pic:spPr>
                      </pic:pic>
                    </a:graphicData>
                  </a:graphic>
                </wp:inline>
              </w:drawing>
            </w:r>
          </w:p>
          <w:p w14:paraId="7A6A5DE0">
            <w:pPr>
              <w:pStyle w:val="7"/>
              <w:spacing w:before="35" w:line="217" w:lineRule="auto"/>
              <w:ind w:left="73"/>
            </w:pPr>
            <w:r>
              <w:rPr>
                <w:spacing w:val="-22"/>
              </w:rPr>
              <w:t>采用的路面高为设计路面标高,管顶覆土为1.5m,局部可根据沿线雨、污水支管标高做相</w:t>
            </w:r>
          </w:p>
          <w:p w14:paraId="110D313D">
            <w:pPr>
              <w:pStyle w:val="7"/>
              <w:spacing w:before="185" w:line="217" w:lineRule="auto"/>
              <w:ind w:left="1639"/>
            </w:pPr>
            <w:r>
              <w:rPr>
                <w:spacing w:val="-21"/>
              </w:rPr>
              <w:t>应的局部调整,具体详见设计图纸“管顶埋设深度”。</w:t>
            </w:r>
          </w:p>
          <w:p w14:paraId="1F0E8384">
            <w:pPr>
              <w:spacing w:before="207" w:line="23" w:lineRule="exact"/>
              <w:ind w:firstLine="36"/>
            </w:pPr>
            <w:r>
              <w:rPr>
                <w:position w:val="-2"/>
              </w:rPr>
              <w:pict>
                <v:group id="_x0000_s1460" o:spid="_x0000_s1460" o:spt="203" style="height:2.2pt;width:418.05pt;" coordsize="8360,44">
                  <o:lock v:ext="edit"/>
                  <v:shape id="_x0000_s1461" o:spid="_x0000_s1461" style="position:absolute;left:0;top:0;height:15;width:8317;" fillcolor="#1C456A" filled="t" stroked="f" coordsize="8317,15" path="m0,14l8317,14,8317,0,0,0,0,14xe">
                    <v:path/>
                    <v:fill on="t" focussize="0,0"/>
                    <v:stroke on="f"/>
                    <v:imagedata o:title=""/>
                    <o:lock v:ext="edit"/>
                  </v:shape>
                  <v:shape id="_x0000_s1462" o:spid="_x0000_s1462" style="position:absolute;left:8317;top:28;height:15;width:44;" fillcolor="#5B9BD5" filled="t" stroked="f" coordsize="44,15" path="m0,14l43,14,43,0,0,0,0,14xe">
                    <v:path/>
                    <v:fill on="t" focussize="0,0"/>
                    <v:stroke on="f"/>
                    <v:imagedata o:title=""/>
                    <o:lock v:ext="edit"/>
                  </v:shape>
                  <v:shape id="_x0000_s1463" o:spid="_x0000_s1463" style="position:absolute;left:8331;top:0;height:29;width:15;" fillcolor="#20507B" filled="t" stroked="f" coordsize="15,29" path="m0,28l14,28,14,0,0,0,0,28xe">
                    <v:path/>
                    <v:fill on="t" focussize="0,0"/>
                    <v:stroke on="f"/>
                    <v:imagedata o:title=""/>
                    <o:lock v:ext="edit"/>
                  </v:shape>
                  <w10:wrap type="none"/>
                  <w10:anchorlock/>
                </v:group>
              </w:pict>
            </w:r>
          </w:p>
        </w:tc>
      </w:tr>
    </w:tbl>
    <w:p w14:paraId="473BDA71">
      <w:pPr>
        <w:rPr>
          <w:rFonts w:ascii="Arial"/>
          <w:sz w:val="21"/>
        </w:rPr>
      </w:pPr>
    </w:p>
    <w:p w14:paraId="3901F03E">
      <w:pPr>
        <w:rPr>
          <w:rFonts w:ascii="Arial" w:hAnsi="Arial" w:eastAsia="Arial" w:cs="Arial"/>
          <w:sz w:val="21"/>
          <w:szCs w:val="21"/>
        </w:rPr>
        <w:sectPr>
          <w:footerReference r:id="rId53" w:type="default"/>
          <w:pgSz w:w="11907" w:h="16839"/>
          <w:pgMar w:top="954" w:right="4" w:bottom="1038" w:left="0" w:header="499" w:footer="357" w:gutter="0"/>
          <w:pgBorders>
            <w:top w:val="none" w:sz="0" w:space="0"/>
            <w:left w:val="none" w:sz="0" w:space="0"/>
            <w:bottom w:val="none" w:sz="0" w:space="0"/>
            <w:right w:val="none" w:sz="0" w:space="0"/>
          </w:pgBorders>
          <w:cols w:space="720" w:num="1"/>
        </w:sectPr>
      </w:pPr>
    </w:p>
    <w:p w14:paraId="03630558">
      <w:pPr>
        <w:spacing w:line="214" w:lineRule="exact"/>
      </w:pPr>
    </w:p>
    <w:tbl>
      <w:tblPr>
        <w:tblStyle w:val="6"/>
        <w:tblW w:w="9968" w:type="dxa"/>
        <w:tblInd w:w="969"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578"/>
        <w:gridCol w:w="8390"/>
      </w:tblGrid>
      <w:tr w14:paraId="46C7CC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05" w:hRule="atLeast"/>
        </w:trPr>
        <w:tc>
          <w:tcPr>
            <w:tcW w:w="1578" w:type="dxa"/>
            <w:tcBorders>
              <w:top w:val="single" w:color="000000" w:sz="4" w:space="0"/>
              <w:left w:val="single" w:color="000000" w:sz="4" w:space="0"/>
            </w:tcBorders>
            <w:vAlign w:val="top"/>
          </w:tcPr>
          <w:p w14:paraId="7BA0707B">
            <w:pPr>
              <w:spacing w:line="242" w:lineRule="auto"/>
              <w:rPr>
                <w:rFonts w:ascii="Arial"/>
                <w:sz w:val="21"/>
              </w:rPr>
            </w:pPr>
          </w:p>
          <w:p w14:paraId="49ED5A6E">
            <w:pPr>
              <w:spacing w:line="242" w:lineRule="auto"/>
              <w:rPr>
                <w:rFonts w:ascii="Arial"/>
                <w:sz w:val="21"/>
              </w:rPr>
            </w:pPr>
          </w:p>
          <w:p w14:paraId="5DC7B877">
            <w:pPr>
              <w:spacing w:line="242" w:lineRule="auto"/>
              <w:rPr>
                <w:rFonts w:ascii="Arial"/>
                <w:sz w:val="21"/>
              </w:rPr>
            </w:pPr>
          </w:p>
          <w:p w14:paraId="6A4BAD5E">
            <w:pPr>
              <w:spacing w:line="242" w:lineRule="auto"/>
              <w:rPr>
                <w:rFonts w:ascii="Arial"/>
                <w:sz w:val="21"/>
              </w:rPr>
            </w:pPr>
          </w:p>
          <w:p w14:paraId="128FB4A8">
            <w:pPr>
              <w:spacing w:line="242" w:lineRule="auto"/>
              <w:rPr>
                <w:rFonts w:ascii="Arial"/>
                <w:sz w:val="21"/>
              </w:rPr>
            </w:pPr>
          </w:p>
          <w:p w14:paraId="1BD93CA1">
            <w:pPr>
              <w:spacing w:line="242" w:lineRule="auto"/>
              <w:rPr>
                <w:rFonts w:ascii="Arial"/>
                <w:sz w:val="21"/>
              </w:rPr>
            </w:pPr>
          </w:p>
          <w:p w14:paraId="3511929D">
            <w:pPr>
              <w:spacing w:line="242" w:lineRule="auto"/>
              <w:rPr>
                <w:rFonts w:ascii="Arial"/>
                <w:sz w:val="21"/>
              </w:rPr>
            </w:pPr>
          </w:p>
          <w:p w14:paraId="7602B0AE">
            <w:pPr>
              <w:spacing w:line="242" w:lineRule="auto"/>
              <w:rPr>
                <w:rFonts w:ascii="Arial"/>
                <w:sz w:val="21"/>
              </w:rPr>
            </w:pPr>
          </w:p>
          <w:p w14:paraId="213163CB">
            <w:pPr>
              <w:spacing w:line="242" w:lineRule="auto"/>
              <w:rPr>
                <w:rFonts w:ascii="Arial"/>
                <w:sz w:val="21"/>
              </w:rPr>
            </w:pPr>
          </w:p>
          <w:p w14:paraId="76C80483">
            <w:pPr>
              <w:spacing w:line="242" w:lineRule="auto"/>
              <w:rPr>
                <w:rFonts w:ascii="Arial"/>
                <w:sz w:val="21"/>
              </w:rPr>
            </w:pPr>
          </w:p>
          <w:p w14:paraId="6784A324">
            <w:pPr>
              <w:spacing w:line="242" w:lineRule="auto"/>
              <w:rPr>
                <w:rFonts w:ascii="Arial"/>
                <w:sz w:val="21"/>
              </w:rPr>
            </w:pPr>
          </w:p>
          <w:p w14:paraId="63F5B599">
            <w:pPr>
              <w:spacing w:line="243" w:lineRule="auto"/>
              <w:rPr>
                <w:rFonts w:ascii="Arial"/>
                <w:sz w:val="21"/>
              </w:rPr>
            </w:pPr>
          </w:p>
          <w:p w14:paraId="0D1294EE">
            <w:pPr>
              <w:spacing w:line="243" w:lineRule="auto"/>
              <w:rPr>
                <w:rFonts w:ascii="Arial"/>
                <w:sz w:val="21"/>
              </w:rPr>
            </w:pPr>
          </w:p>
          <w:p w14:paraId="35BF5335">
            <w:pPr>
              <w:pStyle w:val="7"/>
              <w:spacing w:before="78" w:line="219" w:lineRule="auto"/>
              <w:ind w:left="151"/>
            </w:pPr>
            <w:r>
              <w:rPr>
                <w:spacing w:val="-18"/>
              </w:rPr>
              <w:t>施工工艺流程</w:t>
            </w:r>
          </w:p>
          <w:p w14:paraId="0B2817AE">
            <w:pPr>
              <w:pStyle w:val="7"/>
              <w:spacing w:before="180" w:line="219" w:lineRule="auto"/>
              <w:ind w:left="721"/>
            </w:pPr>
            <w:r>
              <w:t>图</w:t>
            </w:r>
          </w:p>
        </w:tc>
        <w:tc>
          <w:tcPr>
            <w:tcW w:w="8390" w:type="dxa"/>
            <w:tcBorders>
              <w:top w:val="single" w:color="5B9BD5" w:sz="4" w:space="0"/>
              <w:right w:val="single" w:color="5B9BD5" w:sz="4" w:space="0"/>
            </w:tcBorders>
            <w:vAlign w:val="top"/>
          </w:tcPr>
          <w:p w14:paraId="2F3B740B">
            <w:pPr>
              <w:spacing w:before="93" w:line="7498" w:lineRule="exact"/>
              <w:ind w:firstLine="101"/>
            </w:pPr>
            <w:r>
              <w:rPr>
                <w:position w:val="-149"/>
              </w:rPr>
              <w:drawing>
                <wp:inline distT="0" distB="0" distL="0" distR="0">
                  <wp:extent cx="5179695" cy="4011295"/>
                  <wp:effectExtent l="0" t="0" r="1905" b="8255"/>
                  <wp:docPr id="284" name="IM 284"/>
                  <wp:cNvGraphicFramePr/>
                  <a:graphic xmlns:a="http://schemas.openxmlformats.org/drawingml/2006/main">
                    <a:graphicData uri="http://schemas.openxmlformats.org/drawingml/2006/picture">
                      <pic:pic xmlns:pic="http://schemas.openxmlformats.org/drawingml/2006/picture">
                        <pic:nvPicPr>
                          <pic:cNvPr id="284" name="IM 284"/>
                          <pic:cNvPicPr/>
                        </pic:nvPicPr>
                        <pic:blipFill>
                          <a:blip r:embed="rId485"/>
                          <a:srcRect t="15740"/>
                          <a:stretch>
                            <a:fillRect/>
                          </a:stretch>
                        </pic:blipFill>
                        <pic:spPr>
                          <a:xfrm>
                            <a:off x="0" y="0"/>
                            <a:ext cx="5180329" cy="4011295"/>
                          </a:xfrm>
                          <a:prstGeom prst="rect">
                            <a:avLst/>
                          </a:prstGeom>
                        </pic:spPr>
                      </pic:pic>
                    </a:graphicData>
                  </a:graphic>
                </wp:inline>
              </w:drawing>
            </w:r>
          </w:p>
        </w:tc>
      </w:tr>
      <w:tr w14:paraId="1737BA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715" w:hRule="atLeast"/>
        </w:trPr>
        <w:tc>
          <w:tcPr>
            <w:tcW w:w="1578" w:type="dxa"/>
            <w:tcBorders>
              <w:left w:val="single" w:color="1C456A" w:sz="4" w:space="0"/>
              <w:bottom w:val="single" w:color="1C456A" w:sz="4" w:space="0"/>
            </w:tcBorders>
            <w:vAlign w:val="top"/>
          </w:tcPr>
          <w:p w14:paraId="214BAD51">
            <w:pPr>
              <w:spacing w:line="257" w:lineRule="auto"/>
              <w:rPr>
                <w:rFonts w:ascii="Arial"/>
                <w:sz w:val="21"/>
              </w:rPr>
            </w:pPr>
          </w:p>
          <w:p w14:paraId="3282DCA6">
            <w:pPr>
              <w:spacing w:line="257" w:lineRule="auto"/>
              <w:rPr>
                <w:rFonts w:ascii="Arial"/>
                <w:sz w:val="21"/>
              </w:rPr>
            </w:pPr>
          </w:p>
          <w:p w14:paraId="18901CE5">
            <w:pPr>
              <w:spacing w:line="257" w:lineRule="auto"/>
              <w:rPr>
                <w:rFonts w:ascii="Arial"/>
                <w:sz w:val="21"/>
              </w:rPr>
            </w:pPr>
          </w:p>
          <w:p w14:paraId="41A862BA">
            <w:pPr>
              <w:spacing w:line="257" w:lineRule="auto"/>
              <w:rPr>
                <w:rFonts w:ascii="Arial"/>
                <w:sz w:val="21"/>
              </w:rPr>
            </w:pPr>
          </w:p>
          <w:p w14:paraId="75DB9B61">
            <w:pPr>
              <w:spacing w:line="258" w:lineRule="auto"/>
              <w:rPr>
                <w:rFonts w:ascii="Arial"/>
                <w:sz w:val="21"/>
              </w:rPr>
            </w:pPr>
          </w:p>
          <w:p w14:paraId="2748BD7A">
            <w:pPr>
              <w:spacing w:line="258" w:lineRule="auto"/>
              <w:rPr>
                <w:rFonts w:ascii="Arial"/>
                <w:sz w:val="21"/>
              </w:rPr>
            </w:pPr>
          </w:p>
          <w:p w14:paraId="7C5CF05E">
            <w:pPr>
              <w:spacing w:line="258" w:lineRule="auto"/>
              <w:rPr>
                <w:rFonts w:ascii="Arial"/>
                <w:sz w:val="21"/>
              </w:rPr>
            </w:pPr>
          </w:p>
          <w:p w14:paraId="51238341">
            <w:pPr>
              <w:spacing w:line="258" w:lineRule="auto"/>
              <w:rPr>
                <w:rFonts w:ascii="Arial"/>
                <w:sz w:val="21"/>
              </w:rPr>
            </w:pPr>
          </w:p>
          <w:p w14:paraId="3E51732F">
            <w:pPr>
              <w:spacing w:line="258" w:lineRule="auto"/>
              <w:rPr>
                <w:rFonts w:ascii="Arial"/>
                <w:sz w:val="21"/>
              </w:rPr>
            </w:pPr>
          </w:p>
          <w:p w14:paraId="7EA76392">
            <w:pPr>
              <w:pStyle w:val="7"/>
              <w:spacing w:before="78" w:line="215" w:lineRule="auto"/>
              <w:ind w:left="158"/>
            </w:pPr>
            <w:r>
              <w:rPr>
                <w:spacing w:val="-19"/>
              </w:rPr>
              <w:t>车行道沟槽回</w:t>
            </w:r>
          </w:p>
          <w:p w14:paraId="1C543105">
            <w:pPr>
              <w:pStyle w:val="7"/>
              <w:spacing w:before="187" w:line="219" w:lineRule="auto"/>
              <w:ind w:left="699"/>
            </w:pPr>
            <w:r>
              <w:t>填</w:t>
            </w:r>
          </w:p>
        </w:tc>
        <w:tc>
          <w:tcPr>
            <w:tcW w:w="8390" w:type="dxa"/>
            <w:tcBorders>
              <w:bottom w:val="single" w:color="000000" w:sz="4" w:space="0"/>
              <w:right w:val="single" w:color="000000" w:sz="4" w:space="0"/>
            </w:tcBorders>
            <w:vAlign w:val="top"/>
          </w:tcPr>
          <w:p w14:paraId="427F1E4E">
            <w:pPr>
              <w:spacing w:before="61" w:line="5405" w:lineRule="exact"/>
              <w:ind w:firstLine="89"/>
            </w:pPr>
            <w:r>
              <w:rPr>
                <w:position w:val="-108"/>
              </w:rPr>
              <w:drawing>
                <wp:inline distT="0" distB="0" distL="0" distR="0">
                  <wp:extent cx="5194935" cy="3432175"/>
                  <wp:effectExtent l="0" t="0" r="0" b="0"/>
                  <wp:docPr id="286" name="IM 286"/>
                  <wp:cNvGraphicFramePr/>
                  <a:graphic xmlns:a="http://schemas.openxmlformats.org/drawingml/2006/main">
                    <a:graphicData uri="http://schemas.openxmlformats.org/drawingml/2006/picture">
                      <pic:pic xmlns:pic="http://schemas.openxmlformats.org/drawingml/2006/picture">
                        <pic:nvPicPr>
                          <pic:cNvPr id="286" name="IM 286"/>
                          <pic:cNvPicPr/>
                        </pic:nvPicPr>
                        <pic:blipFill>
                          <a:blip r:embed="rId450"/>
                          <a:stretch>
                            <a:fillRect/>
                          </a:stretch>
                        </pic:blipFill>
                        <pic:spPr>
                          <a:xfrm>
                            <a:off x="0" y="0"/>
                            <a:ext cx="5195569" cy="3432175"/>
                          </a:xfrm>
                          <a:prstGeom prst="rect">
                            <a:avLst/>
                          </a:prstGeom>
                        </pic:spPr>
                      </pic:pic>
                    </a:graphicData>
                  </a:graphic>
                </wp:inline>
              </w:drawing>
            </w:r>
          </w:p>
        </w:tc>
      </w:tr>
    </w:tbl>
    <w:p w14:paraId="36E0B3DF">
      <w:pPr>
        <w:rPr>
          <w:rFonts w:ascii="Arial"/>
          <w:sz w:val="21"/>
        </w:rPr>
      </w:pPr>
    </w:p>
    <w:p w14:paraId="429A1929">
      <w:pPr>
        <w:rPr>
          <w:rFonts w:ascii="Arial" w:hAnsi="Arial" w:eastAsia="Arial" w:cs="Arial"/>
          <w:sz w:val="21"/>
          <w:szCs w:val="21"/>
        </w:rPr>
        <w:sectPr>
          <w:footerReference r:id="rId54" w:type="default"/>
          <w:pgSz w:w="11907" w:h="16839"/>
          <w:pgMar w:top="954" w:right="4" w:bottom="1038" w:left="0" w:header="499" w:footer="225" w:gutter="0"/>
          <w:pgBorders>
            <w:top w:val="none" w:sz="0" w:space="0"/>
            <w:left w:val="none" w:sz="0" w:space="0"/>
            <w:bottom w:val="none" w:sz="0" w:space="0"/>
            <w:right w:val="none" w:sz="0" w:space="0"/>
          </w:pgBorders>
          <w:cols w:space="720" w:num="1"/>
        </w:sectPr>
      </w:pPr>
    </w:p>
    <w:p w14:paraId="11CB4C1C">
      <w:pPr>
        <w:spacing w:line="214" w:lineRule="exact"/>
      </w:pPr>
    </w:p>
    <w:tbl>
      <w:tblPr>
        <w:tblStyle w:val="6"/>
        <w:tblW w:w="9968" w:type="dxa"/>
        <w:tblInd w:w="969"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578"/>
        <w:gridCol w:w="8390"/>
      </w:tblGrid>
      <w:tr w14:paraId="0928F7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26" w:hRule="atLeast"/>
        </w:trPr>
        <w:tc>
          <w:tcPr>
            <w:tcW w:w="1578" w:type="dxa"/>
            <w:tcBorders>
              <w:top w:val="single" w:color="000000" w:sz="4" w:space="0"/>
              <w:left w:val="single" w:color="000000" w:sz="4" w:space="0"/>
            </w:tcBorders>
            <w:vAlign w:val="top"/>
          </w:tcPr>
          <w:p w14:paraId="1C96421E">
            <w:pPr>
              <w:spacing w:line="256" w:lineRule="auto"/>
              <w:rPr>
                <w:rFonts w:ascii="Arial"/>
                <w:sz w:val="21"/>
              </w:rPr>
            </w:pPr>
          </w:p>
          <w:p w14:paraId="38367038">
            <w:pPr>
              <w:spacing w:line="256" w:lineRule="auto"/>
              <w:rPr>
                <w:rFonts w:ascii="Arial"/>
                <w:sz w:val="21"/>
              </w:rPr>
            </w:pPr>
          </w:p>
          <w:p w14:paraId="0C471702">
            <w:pPr>
              <w:spacing w:line="256" w:lineRule="auto"/>
              <w:rPr>
                <w:rFonts w:ascii="Arial"/>
                <w:sz w:val="21"/>
              </w:rPr>
            </w:pPr>
          </w:p>
          <w:p w14:paraId="7632E70D">
            <w:pPr>
              <w:spacing w:line="256" w:lineRule="auto"/>
              <w:rPr>
                <w:rFonts w:ascii="Arial"/>
                <w:sz w:val="21"/>
              </w:rPr>
            </w:pPr>
          </w:p>
          <w:p w14:paraId="402BE709">
            <w:pPr>
              <w:spacing w:line="256" w:lineRule="auto"/>
              <w:rPr>
                <w:rFonts w:ascii="Arial"/>
                <w:sz w:val="21"/>
              </w:rPr>
            </w:pPr>
          </w:p>
          <w:p w14:paraId="19A762B6">
            <w:pPr>
              <w:spacing w:line="256" w:lineRule="auto"/>
              <w:rPr>
                <w:rFonts w:ascii="Arial"/>
                <w:sz w:val="21"/>
              </w:rPr>
            </w:pPr>
          </w:p>
          <w:p w14:paraId="7AB7BBCF">
            <w:pPr>
              <w:spacing w:line="257" w:lineRule="auto"/>
              <w:rPr>
                <w:rFonts w:ascii="Arial"/>
                <w:sz w:val="21"/>
              </w:rPr>
            </w:pPr>
          </w:p>
          <w:p w14:paraId="2A5DA9A8">
            <w:pPr>
              <w:spacing w:line="257" w:lineRule="auto"/>
              <w:rPr>
                <w:rFonts w:ascii="Arial"/>
                <w:sz w:val="21"/>
              </w:rPr>
            </w:pPr>
          </w:p>
          <w:p w14:paraId="57FEFDF2">
            <w:pPr>
              <w:spacing w:line="257" w:lineRule="auto"/>
              <w:rPr>
                <w:rFonts w:ascii="Arial"/>
                <w:sz w:val="21"/>
              </w:rPr>
            </w:pPr>
          </w:p>
          <w:p w14:paraId="67DDACC4">
            <w:pPr>
              <w:pStyle w:val="7"/>
              <w:spacing w:before="78" w:line="217" w:lineRule="auto"/>
              <w:ind w:left="156"/>
            </w:pPr>
            <w:r>
              <w:rPr>
                <w:spacing w:val="-19"/>
              </w:rPr>
              <w:t>人行道沟槽回</w:t>
            </w:r>
          </w:p>
          <w:p w14:paraId="5EF2DE60">
            <w:pPr>
              <w:pStyle w:val="7"/>
              <w:spacing w:before="186" w:line="219" w:lineRule="auto"/>
              <w:ind w:left="699"/>
            </w:pPr>
            <w:r>
              <w:t>填</w:t>
            </w:r>
          </w:p>
        </w:tc>
        <w:tc>
          <w:tcPr>
            <w:tcW w:w="8390" w:type="dxa"/>
            <w:tcBorders>
              <w:top w:val="single" w:color="5B9BD5" w:sz="4" w:space="0"/>
              <w:right w:val="single" w:color="5B9BD5" w:sz="4" w:space="0"/>
            </w:tcBorders>
            <w:vAlign w:val="top"/>
          </w:tcPr>
          <w:p w14:paraId="322F7806">
            <w:pPr>
              <w:spacing w:before="93" w:line="5321" w:lineRule="exact"/>
              <w:ind w:firstLine="60"/>
            </w:pPr>
            <w:r>
              <w:rPr>
                <w:position w:val="-106"/>
              </w:rPr>
              <w:drawing>
                <wp:inline distT="0" distB="0" distL="0" distR="0">
                  <wp:extent cx="5233670" cy="3378200"/>
                  <wp:effectExtent l="0" t="0" r="0" b="0"/>
                  <wp:docPr id="290" name="IM 290"/>
                  <wp:cNvGraphicFramePr/>
                  <a:graphic xmlns:a="http://schemas.openxmlformats.org/drawingml/2006/main">
                    <a:graphicData uri="http://schemas.openxmlformats.org/drawingml/2006/picture">
                      <pic:pic xmlns:pic="http://schemas.openxmlformats.org/drawingml/2006/picture">
                        <pic:nvPicPr>
                          <pic:cNvPr id="290" name="IM 290"/>
                          <pic:cNvPicPr/>
                        </pic:nvPicPr>
                        <pic:blipFill>
                          <a:blip r:embed="rId451"/>
                          <a:stretch>
                            <a:fillRect/>
                          </a:stretch>
                        </pic:blipFill>
                        <pic:spPr>
                          <a:xfrm>
                            <a:off x="0" y="0"/>
                            <a:ext cx="5233670" cy="3378834"/>
                          </a:xfrm>
                          <a:prstGeom prst="rect">
                            <a:avLst/>
                          </a:prstGeom>
                        </pic:spPr>
                      </pic:pic>
                    </a:graphicData>
                  </a:graphic>
                </wp:inline>
              </w:drawing>
            </w:r>
          </w:p>
        </w:tc>
      </w:tr>
    </w:tbl>
    <w:p w14:paraId="3C5CD3E4">
      <w:pPr>
        <w:pStyle w:val="2"/>
        <w:spacing w:before="115" w:line="218" w:lineRule="auto"/>
        <w:ind w:left="1903"/>
        <w:rPr>
          <w:sz w:val="24"/>
          <w:szCs w:val="24"/>
        </w:rPr>
      </w:pPr>
      <w:r>
        <w:rPr>
          <w:spacing w:val="-19"/>
          <w:sz w:val="24"/>
          <w:szCs w:val="24"/>
        </w:rPr>
        <w:t>1.1施工放线、沟槽开挖</w:t>
      </w:r>
    </w:p>
    <w:p w14:paraId="7CD0884E">
      <w:pPr>
        <w:pStyle w:val="2"/>
        <w:spacing w:before="117" w:line="289" w:lineRule="auto"/>
        <w:ind w:left="1460" w:right="1414" w:firstLine="443"/>
        <w:rPr>
          <w:sz w:val="24"/>
          <w:szCs w:val="24"/>
        </w:rPr>
      </w:pPr>
      <w:r>
        <w:rPr>
          <w:spacing w:val="-23"/>
          <w:sz w:val="24"/>
          <w:szCs w:val="24"/>
        </w:rPr>
        <w:t>1.2开挖方式：为保证工期，主要采取挖机开挖，在机</w:t>
      </w:r>
      <w:r>
        <w:rPr>
          <w:spacing w:val="-24"/>
          <w:sz w:val="24"/>
          <w:szCs w:val="24"/>
        </w:rPr>
        <w:t>械无法挖掘，地下障碍较复杂或沟槽</w:t>
      </w:r>
      <w:r>
        <w:rPr>
          <w:spacing w:val="-20"/>
          <w:sz w:val="24"/>
          <w:szCs w:val="24"/>
        </w:rPr>
        <w:t>边树木及围墙等密集地段采用人工挖掘，对于沟槽占据公路的及过街的混凝土先用切割机切割</w:t>
      </w:r>
      <w:r>
        <w:rPr>
          <w:spacing w:val="-22"/>
          <w:sz w:val="24"/>
          <w:szCs w:val="24"/>
        </w:rPr>
        <w:t>混凝土路面，然后再进行挖掘，以保证施工端</w:t>
      </w:r>
      <w:r>
        <w:rPr>
          <w:spacing w:val="-23"/>
          <w:sz w:val="24"/>
          <w:szCs w:val="24"/>
        </w:rPr>
        <w:t>面整齐，美观。沟槽开挖时，采用机械开挖为主,</w:t>
      </w:r>
      <w:r>
        <w:rPr>
          <w:spacing w:val="-20"/>
          <w:sz w:val="24"/>
          <w:szCs w:val="24"/>
        </w:rPr>
        <w:t>人工开挖为辅的方法。开挖时沟底表面应连续平整。沟壁应视情况考虑放</w:t>
      </w:r>
      <w:r>
        <w:rPr>
          <w:spacing w:val="-21"/>
          <w:sz w:val="24"/>
          <w:szCs w:val="24"/>
        </w:rPr>
        <w:t>坡。以保证安全。清</w:t>
      </w:r>
      <w:r>
        <w:rPr>
          <w:spacing w:val="-19"/>
          <w:sz w:val="24"/>
          <w:szCs w:val="24"/>
        </w:rPr>
        <w:t>除直径大于38mm的圆石或大于25mm的夹角形石块。并清除沟上可能掉落的</w:t>
      </w:r>
      <w:r>
        <w:rPr>
          <w:spacing w:val="-20"/>
          <w:sz w:val="24"/>
          <w:szCs w:val="24"/>
        </w:rPr>
        <w:t>、碰落的物体。以</w:t>
      </w:r>
    </w:p>
    <w:p w14:paraId="6F1E7714">
      <w:pPr>
        <w:pStyle w:val="2"/>
        <w:spacing w:before="78" w:line="218" w:lineRule="auto"/>
        <w:ind w:left="1472"/>
        <w:rPr>
          <w:sz w:val="24"/>
          <w:szCs w:val="24"/>
        </w:rPr>
      </w:pPr>
      <w:r>
        <w:rPr>
          <w:spacing w:val="-21"/>
          <w:sz w:val="24"/>
          <w:szCs w:val="24"/>
        </w:rPr>
        <w:t>防损坏管子。</w:t>
      </w:r>
    </w:p>
    <w:p w14:paraId="31A36F74">
      <w:pPr>
        <w:pStyle w:val="2"/>
        <w:spacing w:before="118" w:line="285" w:lineRule="auto"/>
        <w:ind w:left="1455" w:right="1342" w:firstLine="447"/>
        <w:rPr>
          <w:sz w:val="24"/>
          <w:szCs w:val="24"/>
        </w:rPr>
      </w:pPr>
      <w:r>
        <w:rPr>
          <w:spacing w:val="-22"/>
          <w:sz w:val="24"/>
          <w:szCs w:val="24"/>
        </w:rPr>
        <w:t>1.3沟槽挖深以设计图断面图所示为准。遇土质松软地段，应按规定做好放坡和支撑措施，</w:t>
      </w:r>
      <w:r>
        <w:rPr>
          <w:spacing w:val="-21"/>
          <w:sz w:val="24"/>
          <w:szCs w:val="24"/>
        </w:rPr>
        <w:t>支撑以撑板形式为主，随挖土的加深及时安装，开始支撑的开挖沟槽深度不得超过1.</w:t>
      </w:r>
      <w:r>
        <w:rPr>
          <w:spacing w:val="-22"/>
          <w:sz w:val="24"/>
          <w:szCs w:val="24"/>
        </w:rPr>
        <w:t>0m，以后</w:t>
      </w:r>
      <w:r>
        <w:rPr>
          <w:spacing w:val="-24"/>
          <w:sz w:val="24"/>
          <w:szCs w:val="24"/>
        </w:rPr>
        <w:t>开挖与支撑交替进行，每次交替的深度宜为0.4—0.8m。支撑应经常检查，当发现支撑件有弯曲、</w:t>
      </w:r>
      <w:r>
        <w:rPr>
          <w:spacing w:val="-21"/>
          <w:sz w:val="24"/>
          <w:szCs w:val="24"/>
        </w:rPr>
        <w:t>松动、移位或劈裂等迹象时，应及时处理。</w:t>
      </w:r>
    </w:p>
    <w:p w14:paraId="72C3E250">
      <w:pPr>
        <w:pStyle w:val="2"/>
        <w:spacing w:before="116" w:line="262" w:lineRule="auto"/>
        <w:ind w:left="1459" w:right="1409" w:firstLine="444"/>
        <w:rPr>
          <w:sz w:val="24"/>
          <w:szCs w:val="24"/>
        </w:rPr>
      </w:pPr>
      <w:r>
        <w:rPr>
          <w:spacing w:val="-24"/>
          <w:sz w:val="24"/>
          <w:szCs w:val="24"/>
        </w:rPr>
        <w:t>1.4管沟挖至设计管底标高后，在下管安装前，应按设计要求验槽，并对不达标处修整，槽</w:t>
      </w:r>
      <w:r>
        <w:rPr>
          <w:spacing w:val="-22"/>
          <w:sz w:val="24"/>
          <w:szCs w:val="24"/>
        </w:rPr>
        <w:t>底应检平，有超挖的，用素土和黄沙夯实至设计标高后方可下管安装。</w:t>
      </w:r>
    </w:p>
    <w:p w14:paraId="29AD4C3C">
      <w:pPr>
        <w:pStyle w:val="2"/>
        <w:spacing w:before="121" w:line="277" w:lineRule="auto"/>
        <w:ind w:left="1460" w:right="1409" w:firstLine="443"/>
        <w:rPr>
          <w:sz w:val="24"/>
          <w:szCs w:val="24"/>
        </w:rPr>
      </w:pPr>
      <w:r>
        <w:rPr>
          <w:spacing w:val="-21"/>
          <w:sz w:val="24"/>
          <w:szCs w:val="24"/>
        </w:rPr>
        <w:t>1.5管槽两侧堆土不得高于1.5米，且距槽口边缘不宜小于0.8米；不得</w:t>
      </w:r>
      <w:r>
        <w:rPr>
          <w:spacing w:val="-22"/>
          <w:sz w:val="24"/>
          <w:szCs w:val="24"/>
        </w:rPr>
        <w:t>掩埋消火栓、管道</w:t>
      </w:r>
      <w:r>
        <w:rPr>
          <w:spacing w:val="-20"/>
          <w:sz w:val="24"/>
          <w:szCs w:val="24"/>
        </w:rPr>
        <w:t>闸阀、雨水口、测量标志以及各种地下管道的井盖，以妨碍其正常使用。不得堆放于公路易造</w:t>
      </w:r>
      <w:r>
        <w:rPr>
          <w:spacing w:val="-22"/>
          <w:sz w:val="24"/>
          <w:szCs w:val="24"/>
        </w:rPr>
        <w:t>成交通阻碍的地方，应采取夜间及时运除余土。</w:t>
      </w:r>
    </w:p>
    <w:p w14:paraId="0D6EC260">
      <w:pPr>
        <w:pStyle w:val="2"/>
        <w:spacing w:before="117" w:line="263" w:lineRule="auto"/>
        <w:ind w:left="1462" w:right="1409" w:firstLine="441"/>
        <w:rPr>
          <w:sz w:val="24"/>
          <w:szCs w:val="24"/>
        </w:rPr>
      </w:pPr>
      <w:r>
        <w:rPr>
          <w:spacing w:val="-23"/>
          <w:sz w:val="24"/>
          <w:szCs w:val="24"/>
        </w:rPr>
        <w:t>1.6基础基坑开挖后采取基坑排水，施工时采取潜水泵抽排水，并</w:t>
      </w:r>
      <w:r>
        <w:rPr>
          <w:spacing w:val="-24"/>
          <w:sz w:val="24"/>
          <w:szCs w:val="24"/>
        </w:rPr>
        <w:t>注意坑边坡的稳定和地基</w:t>
      </w:r>
      <w:r>
        <w:rPr>
          <w:spacing w:val="-18"/>
          <w:sz w:val="24"/>
          <w:szCs w:val="24"/>
        </w:rPr>
        <w:t>不被扰动。</w:t>
      </w:r>
    </w:p>
    <w:p w14:paraId="50824AB8">
      <w:pPr>
        <w:pStyle w:val="2"/>
        <w:spacing w:before="116" w:line="217" w:lineRule="auto"/>
        <w:ind w:left="1903"/>
        <w:rPr>
          <w:sz w:val="24"/>
          <w:szCs w:val="24"/>
        </w:rPr>
      </w:pPr>
      <w:r>
        <w:rPr>
          <w:spacing w:val="-21"/>
          <w:sz w:val="24"/>
          <w:szCs w:val="24"/>
        </w:rPr>
        <w:t>1.7沟槽开挖完毕后，应立即浇筑垫层进行封闭。</w:t>
      </w:r>
    </w:p>
    <w:p w14:paraId="74F5DFA7">
      <w:pPr>
        <w:pStyle w:val="2"/>
        <w:spacing w:before="119" w:line="218" w:lineRule="auto"/>
        <w:ind w:left="1903"/>
        <w:rPr>
          <w:sz w:val="24"/>
          <w:szCs w:val="24"/>
        </w:rPr>
      </w:pPr>
      <w:r>
        <w:rPr>
          <w:spacing w:val="-16"/>
          <w:sz w:val="24"/>
          <w:szCs w:val="24"/>
        </w:rPr>
        <w:t>1.8基槽处理</w:t>
      </w:r>
    </w:p>
    <w:p w14:paraId="10E1C712">
      <w:pPr>
        <w:pStyle w:val="2"/>
        <w:spacing w:before="116" w:line="278" w:lineRule="auto"/>
        <w:ind w:left="1456" w:right="1409" w:firstLine="447"/>
        <w:rPr>
          <w:sz w:val="24"/>
          <w:szCs w:val="24"/>
        </w:rPr>
      </w:pPr>
      <w:r>
        <w:rPr>
          <w:spacing w:val="-23"/>
          <w:sz w:val="24"/>
          <w:szCs w:val="24"/>
        </w:rPr>
        <w:t>1.8.1基槽处理是保证管道施工质量的重要工序。开槽时如遇地质情况不良。须按设计文件</w:t>
      </w:r>
      <w:r>
        <w:rPr>
          <w:spacing w:val="-20"/>
          <w:sz w:val="24"/>
          <w:szCs w:val="24"/>
        </w:rPr>
        <w:t>及相应规范要求进行处理．避免产生不均匀沉降。使管道局部应力增大。若有局部超挖。还要</w:t>
      </w:r>
      <w:r>
        <w:rPr>
          <w:spacing w:val="-21"/>
          <w:sz w:val="24"/>
          <w:szCs w:val="24"/>
        </w:rPr>
        <w:t>按照设计要求回填夯实至槽底标高。</w:t>
      </w:r>
    </w:p>
    <w:p w14:paraId="07028193">
      <w:pPr>
        <w:pStyle w:val="2"/>
        <w:spacing w:before="115" w:line="262" w:lineRule="auto"/>
        <w:ind w:left="1457" w:right="1422" w:firstLine="446"/>
        <w:rPr>
          <w:sz w:val="24"/>
          <w:szCs w:val="24"/>
        </w:rPr>
      </w:pPr>
      <w:r>
        <w:rPr>
          <w:spacing w:val="-19"/>
          <w:sz w:val="24"/>
          <w:szCs w:val="24"/>
        </w:rPr>
        <w:t>1.8.2开挖管接头承插工作坑。其底部宽度应大于承口外径。长度应覆</w:t>
      </w:r>
      <w:r>
        <w:rPr>
          <w:spacing w:val="-20"/>
          <w:sz w:val="24"/>
          <w:szCs w:val="24"/>
        </w:rPr>
        <w:t>盖承口前后200mm。</w:t>
      </w:r>
      <w:r>
        <w:rPr>
          <w:spacing w:val="-21"/>
          <w:sz w:val="24"/>
          <w:szCs w:val="24"/>
        </w:rPr>
        <w:t>接口施工完毕后。采用与砂垫层相同的材料和密实度进行</w:t>
      </w:r>
      <w:r>
        <w:rPr>
          <w:spacing w:val="-22"/>
          <w:sz w:val="24"/>
          <w:szCs w:val="24"/>
        </w:rPr>
        <w:t>回填。</w:t>
      </w:r>
    </w:p>
    <w:p w14:paraId="4EFF33C7">
      <w:pPr>
        <w:pStyle w:val="2"/>
        <w:spacing w:before="121" w:line="218" w:lineRule="auto"/>
        <w:ind w:left="1903"/>
        <w:rPr>
          <w:sz w:val="24"/>
          <w:szCs w:val="24"/>
        </w:rPr>
      </w:pPr>
      <w:r>
        <w:rPr>
          <w:spacing w:val="-17"/>
          <w:sz w:val="24"/>
          <w:szCs w:val="24"/>
        </w:rPr>
        <w:t>1.9沟槽验收</w:t>
      </w:r>
    </w:p>
    <w:p w14:paraId="329E945C">
      <w:pPr>
        <w:pStyle w:val="2"/>
        <w:spacing w:before="114" w:line="309" w:lineRule="auto"/>
        <w:ind w:left="1455" w:right="1342" w:firstLine="437"/>
        <w:rPr>
          <w:spacing w:val="-22"/>
          <w:sz w:val="24"/>
          <w:szCs w:val="24"/>
        </w:rPr>
      </w:pPr>
      <w:r>
        <w:rPr>
          <w:spacing w:val="-23"/>
          <w:sz w:val="24"/>
          <w:szCs w:val="24"/>
        </w:rPr>
        <w:t>按工程规定的最小验收长度。在施工单位自检合格的基础</w:t>
      </w:r>
      <w:r>
        <w:rPr>
          <w:spacing w:val="-24"/>
          <w:sz w:val="24"/>
          <w:szCs w:val="24"/>
        </w:rPr>
        <w:t>上。由监理单位会同建设、设计、</w:t>
      </w:r>
      <w:r>
        <w:rPr>
          <w:spacing w:val="-21"/>
          <w:sz w:val="24"/>
          <w:szCs w:val="24"/>
        </w:rPr>
        <w:t>施工单位对槽底高程、底宽、垫层料厚度等指标进行检查。合格</w:t>
      </w:r>
      <w:r>
        <w:rPr>
          <w:spacing w:val="-22"/>
          <w:sz w:val="24"/>
          <w:szCs w:val="24"/>
        </w:rPr>
        <w:t>后移交给安装单位。</w:t>
      </w:r>
    </w:p>
    <w:p w14:paraId="384B1C21">
      <w:pPr>
        <w:spacing w:line="214" w:lineRule="exact"/>
      </w:pPr>
    </w:p>
    <w:tbl>
      <w:tblPr>
        <w:tblStyle w:val="6"/>
        <w:tblW w:w="9089" w:type="dxa"/>
        <w:tblInd w:w="1409"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707"/>
        <w:gridCol w:w="4382"/>
      </w:tblGrid>
      <w:tr w14:paraId="0FFAE5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38" w:hRule="atLeast"/>
        </w:trPr>
        <w:tc>
          <w:tcPr>
            <w:tcW w:w="4707" w:type="dxa"/>
            <w:tcBorders>
              <w:top w:val="single" w:color="000000" w:sz="4" w:space="0"/>
              <w:left w:val="single" w:color="000000" w:sz="4" w:space="0"/>
            </w:tcBorders>
            <w:shd w:val="clear" w:color="auto" w:fill="DEEAF6"/>
            <w:vAlign w:val="top"/>
          </w:tcPr>
          <w:p w14:paraId="694E7551">
            <w:pPr>
              <w:spacing w:before="33" w:line="60" w:lineRule="exact"/>
              <w:ind w:firstLine="33"/>
            </w:pPr>
            <w:r>
              <w:rPr>
                <w:position w:val="-1"/>
              </w:rPr>
              <w:pict>
                <v:shape id="_x0000_s1471" o:spid="_x0000_s1471" style="height:3pt;width:232.7pt;" fillcolor="#DEEAF6" filled="t" stroked="f" coordsize="4653,60" path="m0,60l4653,60,4653,0,0,0,0,60xe">
                  <v:path/>
                  <v:fill on="t" focussize="0,0"/>
                  <v:stroke on="f"/>
                  <v:imagedata o:title=""/>
                  <o:lock v:ext="edit"/>
                  <w10:wrap type="none"/>
                  <w10:anchorlock/>
                </v:shape>
              </w:pict>
            </w:r>
          </w:p>
          <w:p w14:paraId="1F76DBCF">
            <w:pPr>
              <w:spacing w:before="96" w:line="5748" w:lineRule="exact"/>
              <w:ind w:firstLine="169"/>
            </w:pPr>
            <w:r>
              <w:rPr>
                <w:position w:val="-114"/>
              </w:rPr>
              <w:drawing>
                <wp:inline distT="0" distB="0" distL="0" distR="0">
                  <wp:extent cx="2772410" cy="3649345"/>
                  <wp:effectExtent l="0" t="0" r="0" b="0"/>
                  <wp:docPr id="298" name="IM 298"/>
                  <wp:cNvGraphicFramePr/>
                  <a:graphic xmlns:a="http://schemas.openxmlformats.org/drawingml/2006/main">
                    <a:graphicData uri="http://schemas.openxmlformats.org/drawingml/2006/picture">
                      <pic:pic xmlns:pic="http://schemas.openxmlformats.org/drawingml/2006/picture">
                        <pic:nvPicPr>
                          <pic:cNvPr id="298" name="IM 298"/>
                          <pic:cNvPicPr/>
                        </pic:nvPicPr>
                        <pic:blipFill>
                          <a:blip r:embed="rId486"/>
                          <a:stretch>
                            <a:fillRect/>
                          </a:stretch>
                        </pic:blipFill>
                        <pic:spPr>
                          <a:xfrm>
                            <a:off x="0" y="0"/>
                            <a:ext cx="2772410" cy="3649979"/>
                          </a:xfrm>
                          <a:prstGeom prst="rect">
                            <a:avLst/>
                          </a:prstGeom>
                        </pic:spPr>
                      </pic:pic>
                    </a:graphicData>
                  </a:graphic>
                </wp:inline>
              </w:drawing>
            </w:r>
          </w:p>
        </w:tc>
        <w:tc>
          <w:tcPr>
            <w:tcW w:w="4382" w:type="dxa"/>
            <w:tcBorders>
              <w:top w:val="single" w:color="5B9BD5" w:sz="4" w:space="0"/>
              <w:right w:val="single" w:color="5B9BD5" w:sz="4" w:space="0"/>
            </w:tcBorders>
            <w:shd w:val="clear" w:color="auto" w:fill="DEEAF6"/>
            <w:vAlign w:val="top"/>
          </w:tcPr>
          <w:p w14:paraId="6BE2A45C">
            <w:pPr>
              <w:spacing w:before="33" w:line="60" w:lineRule="exact"/>
              <w:ind w:firstLine="26"/>
            </w:pPr>
            <w:r>
              <w:rPr>
                <w:position w:val="-1"/>
              </w:rPr>
              <w:pict>
                <v:shape id="_x0000_s1472" o:spid="_x0000_s1472" style="height:3pt;width:215.85pt;" fillcolor="#DEEAF6" filled="t" stroked="f" coordsize="4317,60" path="m0,60l4316,60,4316,0,0,0,0,60xe">
                  <v:path/>
                  <v:fill on="t" focussize="0,0"/>
                  <v:stroke on="f"/>
                  <v:imagedata o:title=""/>
                  <o:lock v:ext="edit"/>
                  <w10:wrap type="none"/>
                  <w10:anchorlock/>
                </v:shape>
              </w:pict>
            </w:r>
          </w:p>
          <w:p w14:paraId="624B7CB6">
            <w:pPr>
              <w:spacing w:line="5940" w:lineRule="exact"/>
              <w:ind w:firstLine="145"/>
            </w:pPr>
            <w:r>
              <w:rPr>
                <w:position w:val="-118"/>
              </w:rPr>
              <w:drawing>
                <wp:inline distT="0" distB="0" distL="0" distR="0">
                  <wp:extent cx="2576195" cy="3771900"/>
                  <wp:effectExtent l="0" t="0" r="0" b="0"/>
                  <wp:docPr id="300" name="IM 300"/>
                  <wp:cNvGraphicFramePr/>
                  <a:graphic xmlns:a="http://schemas.openxmlformats.org/drawingml/2006/main">
                    <a:graphicData uri="http://schemas.openxmlformats.org/drawingml/2006/picture">
                      <pic:pic xmlns:pic="http://schemas.openxmlformats.org/drawingml/2006/picture">
                        <pic:nvPicPr>
                          <pic:cNvPr id="300" name="IM 300"/>
                          <pic:cNvPicPr/>
                        </pic:nvPicPr>
                        <pic:blipFill>
                          <a:blip r:embed="rId487"/>
                          <a:stretch>
                            <a:fillRect/>
                          </a:stretch>
                        </pic:blipFill>
                        <pic:spPr>
                          <a:xfrm>
                            <a:off x="0" y="0"/>
                            <a:ext cx="2576829" cy="3771900"/>
                          </a:xfrm>
                          <a:prstGeom prst="rect">
                            <a:avLst/>
                          </a:prstGeom>
                        </pic:spPr>
                      </pic:pic>
                    </a:graphicData>
                  </a:graphic>
                </wp:inline>
              </w:drawing>
            </w:r>
          </w:p>
        </w:tc>
      </w:tr>
      <w:tr w14:paraId="619383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28" w:hRule="atLeast"/>
        </w:trPr>
        <w:tc>
          <w:tcPr>
            <w:tcW w:w="4707" w:type="dxa"/>
            <w:tcBorders>
              <w:left w:val="single" w:color="1C456A" w:sz="4" w:space="0"/>
              <w:bottom w:val="single" w:color="1C456A" w:sz="4" w:space="0"/>
            </w:tcBorders>
            <w:vAlign w:val="top"/>
          </w:tcPr>
          <w:p w14:paraId="4C7E2BEE">
            <w:pPr>
              <w:pStyle w:val="7"/>
              <w:spacing w:before="105" w:line="218" w:lineRule="auto"/>
              <w:ind w:left="1524"/>
            </w:pPr>
            <w:r>
              <w:pict>
                <v:shape id="_x0000_s1473" o:spid="_x0000_s1473" style="position:absolute;left:0pt;margin-left:-0.2pt;margin-top:31.45pt;height:0.75pt;width:2.2pt;mso-position-horizontal-relative:page;mso-position-vertical-relative:page;z-index:251730944;mso-width-relative:page;mso-height-relative:page;" fillcolor="#5B9BD5" filled="t" stroked="f" coordsize="44,15" path="m0,14l43,14,43,0,0,0,0,14xe">
                  <v:path/>
                  <v:fill on="t" focussize="0,0"/>
                  <v:stroke on="f"/>
                  <v:imagedata o:title=""/>
                  <o:lock v:ext="edit"/>
                </v:shape>
              </w:pict>
            </w:r>
            <w:r>
              <w:rPr>
                <w:spacing w:val="-19"/>
              </w:rPr>
              <w:t>沟槽开挖施工图1</w:t>
            </w:r>
          </w:p>
        </w:tc>
        <w:tc>
          <w:tcPr>
            <w:tcW w:w="4382" w:type="dxa"/>
            <w:tcBorders>
              <w:bottom w:val="single" w:color="5B9BD5" w:sz="4" w:space="0"/>
              <w:right w:val="single" w:color="5B9BD5" w:sz="4" w:space="0"/>
            </w:tcBorders>
            <w:vAlign w:val="top"/>
          </w:tcPr>
          <w:p w14:paraId="3D775779">
            <w:pPr>
              <w:pStyle w:val="7"/>
              <w:spacing w:before="105" w:line="218" w:lineRule="auto"/>
              <w:ind w:left="1347"/>
            </w:pPr>
            <w:r>
              <w:pict>
                <v:shape id="_x0000_s1474" o:spid="_x0000_s1474" style="position:absolute;left:0pt;margin-left:217.25pt;margin-top:31.45pt;height:0.75pt;width:2.2pt;mso-position-horizontal-relative:page;mso-position-vertical-relative:page;z-index:251731968;mso-width-relative:page;mso-height-relative:page;" fillcolor="#5B9BD5" filled="t" stroked="f" coordsize="44,15" path="m0,14l43,14,43,0,0,0,0,14xe">
                  <v:path/>
                  <v:fill on="t" focussize="0,0"/>
                  <v:stroke on="f"/>
                  <v:imagedata o:title=""/>
                  <o:lock v:ext="edit"/>
                </v:shape>
              </w:pict>
            </w:r>
            <w:r>
              <w:rPr>
                <w:spacing w:val="-15"/>
              </w:rPr>
              <w:t>沟槽开挖施工图2</w:t>
            </w:r>
          </w:p>
        </w:tc>
      </w:tr>
    </w:tbl>
    <w:p w14:paraId="00B5062D">
      <w:pPr>
        <w:pStyle w:val="2"/>
        <w:spacing w:before="115" w:line="219" w:lineRule="auto"/>
        <w:ind w:left="1888"/>
        <w:rPr>
          <w:sz w:val="24"/>
          <w:szCs w:val="24"/>
        </w:rPr>
      </w:pPr>
      <w:r>
        <w:rPr>
          <w:spacing w:val="-16"/>
          <w:sz w:val="24"/>
          <w:szCs w:val="24"/>
        </w:rPr>
        <w:t>2、铸铁管施工</w:t>
      </w:r>
    </w:p>
    <w:p w14:paraId="2C46DFCF">
      <w:pPr>
        <w:pStyle w:val="2"/>
        <w:spacing w:before="113" w:line="219" w:lineRule="auto"/>
        <w:ind w:left="1888"/>
        <w:rPr>
          <w:sz w:val="24"/>
          <w:szCs w:val="24"/>
        </w:rPr>
      </w:pPr>
      <w:r>
        <w:rPr>
          <w:spacing w:val="-18"/>
          <w:sz w:val="24"/>
          <w:szCs w:val="24"/>
        </w:rPr>
        <w:t>2.1管道工程施工测量</w:t>
      </w:r>
    </w:p>
    <w:p w14:paraId="19607F5D">
      <w:pPr>
        <w:pStyle w:val="2"/>
        <w:spacing w:before="116" w:line="216" w:lineRule="auto"/>
        <w:ind w:left="1888"/>
        <w:rPr>
          <w:sz w:val="24"/>
          <w:szCs w:val="24"/>
        </w:rPr>
      </w:pPr>
      <w:r>
        <w:rPr>
          <w:spacing w:val="-18"/>
          <w:sz w:val="24"/>
          <w:szCs w:val="24"/>
        </w:rPr>
        <w:t>2.1.2管道工程测量的准备工作</w:t>
      </w:r>
    </w:p>
    <w:p w14:paraId="39256874">
      <w:pPr>
        <w:pStyle w:val="2"/>
        <w:spacing w:before="120" w:line="216" w:lineRule="auto"/>
        <w:ind w:left="1893"/>
        <w:rPr>
          <w:sz w:val="24"/>
          <w:szCs w:val="24"/>
        </w:rPr>
      </w:pPr>
      <w:r>
        <w:rPr>
          <w:spacing w:val="-21"/>
          <w:sz w:val="24"/>
          <w:szCs w:val="24"/>
        </w:rPr>
        <w:t>（1）熟悉设计图纸资料，清楚管线布置、工艺设计和施工安装要求。</w:t>
      </w:r>
    </w:p>
    <w:p w14:paraId="0ABEF0F6">
      <w:pPr>
        <w:pStyle w:val="2"/>
        <w:spacing w:before="117" w:line="216" w:lineRule="auto"/>
        <w:ind w:left="1893"/>
        <w:rPr>
          <w:sz w:val="24"/>
          <w:szCs w:val="24"/>
        </w:rPr>
      </w:pPr>
      <w:r>
        <w:rPr>
          <w:spacing w:val="-21"/>
          <w:sz w:val="24"/>
          <w:szCs w:val="24"/>
        </w:rPr>
        <w:t>（2）熟悉现场情况，了解设计管线走向，以及管线沿途已有平面和高程控制点分布情</w:t>
      </w:r>
      <w:r>
        <w:rPr>
          <w:spacing w:val="-22"/>
          <w:sz w:val="24"/>
          <w:szCs w:val="24"/>
        </w:rPr>
        <w:t>况。</w:t>
      </w:r>
    </w:p>
    <w:p w14:paraId="79C079CE">
      <w:pPr>
        <w:pStyle w:val="2"/>
        <w:spacing w:before="119" w:line="264" w:lineRule="auto"/>
        <w:ind w:left="1456" w:right="1409" w:firstLine="436"/>
        <w:rPr>
          <w:sz w:val="24"/>
          <w:szCs w:val="24"/>
        </w:rPr>
      </w:pPr>
      <w:r>
        <w:rPr>
          <w:spacing w:val="-22"/>
          <w:sz w:val="24"/>
          <w:szCs w:val="24"/>
        </w:rPr>
        <w:t>（3）根据管道平面图和已有控制点，并结合实际地形，作好实测数据的计算整理，并</w:t>
      </w:r>
      <w:r>
        <w:rPr>
          <w:spacing w:val="-23"/>
          <w:sz w:val="24"/>
          <w:szCs w:val="24"/>
        </w:rPr>
        <w:t>绘制</w:t>
      </w:r>
      <w:r>
        <w:rPr>
          <w:spacing w:val="-15"/>
          <w:sz w:val="24"/>
          <w:szCs w:val="24"/>
        </w:rPr>
        <w:t>测量图。</w:t>
      </w:r>
    </w:p>
    <w:p w14:paraId="1E8521A6">
      <w:pPr>
        <w:pStyle w:val="2"/>
        <w:spacing w:before="115" w:line="217" w:lineRule="auto"/>
        <w:ind w:left="1888"/>
        <w:rPr>
          <w:sz w:val="24"/>
          <w:szCs w:val="24"/>
        </w:rPr>
      </w:pPr>
      <w:r>
        <w:rPr>
          <w:spacing w:val="-19"/>
          <w:sz w:val="24"/>
          <w:szCs w:val="24"/>
        </w:rPr>
        <w:t>2.1.2管道中线定位及高程控制测量。</w:t>
      </w:r>
    </w:p>
    <w:p w14:paraId="25913047">
      <w:pPr>
        <w:pStyle w:val="2"/>
        <w:spacing w:before="119" w:line="307" w:lineRule="auto"/>
        <w:ind w:left="1457" w:right="1410" w:firstLine="449"/>
        <w:rPr>
          <w:sz w:val="24"/>
          <w:szCs w:val="24"/>
        </w:rPr>
      </w:pPr>
      <w:r>
        <w:rPr>
          <w:spacing w:val="-20"/>
          <w:sz w:val="24"/>
          <w:szCs w:val="24"/>
        </w:rPr>
        <w:t>管道的起点、终点及转折点为管道的主点，其位置在施工图中确定，管线中线定位作法为</w:t>
      </w:r>
      <w:r>
        <w:rPr>
          <w:spacing w:val="-21"/>
          <w:sz w:val="24"/>
          <w:szCs w:val="24"/>
        </w:rPr>
        <w:t>将主点位置测设到地面上去，并用木桩标定。</w:t>
      </w:r>
    </w:p>
    <w:p w14:paraId="12C8A7D8">
      <w:pPr>
        <w:pStyle w:val="2"/>
        <w:spacing w:before="1" w:line="217" w:lineRule="auto"/>
        <w:ind w:left="1893"/>
        <w:rPr>
          <w:sz w:val="24"/>
          <w:szCs w:val="24"/>
        </w:rPr>
      </w:pPr>
      <w:r>
        <w:rPr>
          <w:spacing w:val="-18"/>
          <w:sz w:val="24"/>
          <w:szCs w:val="24"/>
        </w:rPr>
        <w:t>（1）管道中线定位</w:t>
      </w:r>
    </w:p>
    <w:p w14:paraId="6BFCCC60">
      <w:pPr>
        <w:pStyle w:val="2"/>
        <w:spacing w:before="119" w:line="308" w:lineRule="auto"/>
        <w:ind w:left="1455" w:right="1410" w:firstLine="450"/>
        <w:rPr>
          <w:sz w:val="24"/>
          <w:szCs w:val="24"/>
        </w:rPr>
      </w:pPr>
      <w:r>
        <w:rPr>
          <w:spacing w:val="-20"/>
          <w:sz w:val="24"/>
          <w:szCs w:val="24"/>
        </w:rPr>
        <w:t>管线走向与抗滑桩、支墩中心线平行。这时管线是在现场直接选定或在大比例尺地形图上设计时，根据地物的关系来确定主点的位置，于此按照设计提供的关系数据，进行管线定位。如现场无适当控制点可资利用，可沿管线近处布设控制导线。管线定位时，最常采用极坐标法</w:t>
      </w:r>
      <w:r>
        <w:rPr>
          <w:spacing w:val="-18"/>
          <w:sz w:val="24"/>
          <w:szCs w:val="24"/>
        </w:rPr>
        <w:t>与角度交会法。其测角精度一般可采用30′，量距精度为1/5000，并应分别计算测设点的点位</w:t>
      </w:r>
      <w:r>
        <w:rPr>
          <w:spacing w:val="-20"/>
          <w:sz w:val="24"/>
          <w:szCs w:val="24"/>
        </w:rPr>
        <w:t>误差。管线的起止点、转折点在地面测定以后，进行检查测量，实测各转折点的夹角，其与设</w:t>
      </w:r>
      <w:r>
        <w:rPr>
          <w:spacing w:val="-22"/>
          <w:sz w:val="24"/>
          <w:szCs w:val="24"/>
        </w:rPr>
        <w:t>计值的比差不得超过±1′。同时应丈量它们之间的距离，实量值与设计值比较，其相对</w:t>
      </w:r>
      <w:r>
        <w:rPr>
          <w:spacing w:val="-23"/>
          <w:sz w:val="24"/>
          <w:szCs w:val="24"/>
        </w:rPr>
        <w:t>误差不</w:t>
      </w:r>
      <w:r>
        <w:rPr>
          <w:spacing w:val="-18"/>
          <w:sz w:val="24"/>
          <w:szCs w:val="24"/>
        </w:rPr>
        <w:t>得超过1/2000，超过时必须予以合理调整。</w:t>
      </w:r>
    </w:p>
    <w:p w14:paraId="29B6FE17">
      <w:pPr>
        <w:spacing w:line="308" w:lineRule="auto"/>
        <w:rPr>
          <w:sz w:val="24"/>
          <w:szCs w:val="24"/>
        </w:rPr>
      </w:pPr>
    </w:p>
    <w:p w14:paraId="629BA8CF">
      <w:pPr>
        <w:pStyle w:val="2"/>
        <w:spacing w:before="78" w:line="217" w:lineRule="auto"/>
        <w:ind w:left="1893"/>
        <w:rPr>
          <w:sz w:val="24"/>
          <w:szCs w:val="24"/>
        </w:rPr>
      </w:pPr>
      <w:r>
        <w:rPr>
          <w:spacing w:val="-20"/>
          <w:sz w:val="24"/>
          <w:szCs w:val="24"/>
        </w:rPr>
        <w:t>（2）管线施工时的高程控制测量</w:t>
      </w:r>
    </w:p>
    <w:p w14:paraId="4D264B5F">
      <w:pPr>
        <w:pStyle w:val="2"/>
        <w:spacing w:before="120" w:line="307" w:lineRule="auto"/>
        <w:ind w:left="1458" w:right="1409" w:firstLine="443"/>
        <w:rPr>
          <w:sz w:val="24"/>
          <w:szCs w:val="24"/>
        </w:rPr>
      </w:pPr>
      <w:r>
        <w:rPr>
          <w:spacing w:val="-20"/>
          <w:sz w:val="24"/>
          <w:szCs w:val="24"/>
        </w:rPr>
        <w:t>为了便于管线施工时引测高程及管线纵横断面测量，应沿管线敷设临时水准点。水准点选在旧建筑墙角、台阶和基岩等处。如无适当的地物，应提前埋设临时标桩作为水准点。临时水</w:t>
      </w:r>
      <w:r>
        <w:rPr>
          <w:spacing w:val="-22"/>
          <w:sz w:val="24"/>
          <w:szCs w:val="24"/>
        </w:rPr>
        <w:t>准点应根据iii等水准点敷设，其精度不得低于iv等水准。临时水准点间距：自流管道和架空</w:t>
      </w:r>
      <w:r>
        <w:rPr>
          <w:spacing w:val="-9"/>
          <w:sz w:val="24"/>
          <w:szCs w:val="24"/>
        </w:rPr>
        <w:t>管道200m，其他管线300m。</w:t>
      </w:r>
    </w:p>
    <w:p w14:paraId="551F4CAB">
      <w:pPr>
        <w:pStyle w:val="2"/>
        <w:spacing w:line="216" w:lineRule="auto"/>
        <w:ind w:left="1888"/>
        <w:rPr>
          <w:sz w:val="24"/>
          <w:szCs w:val="24"/>
        </w:rPr>
      </w:pPr>
      <w:r>
        <w:rPr>
          <w:spacing w:val="-18"/>
          <w:sz w:val="24"/>
          <w:szCs w:val="24"/>
        </w:rPr>
        <w:t>2.2管道运输及堆放</w:t>
      </w:r>
    </w:p>
    <w:p w14:paraId="3BC1FB06">
      <w:pPr>
        <w:pStyle w:val="2"/>
        <w:spacing w:before="118" w:line="308" w:lineRule="auto"/>
        <w:ind w:left="1457" w:right="1410" w:firstLine="435"/>
        <w:rPr>
          <w:sz w:val="24"/>
          <w:szCs w:val="24"/>
        </w:rPr>
      </w:pPr>
      <w:r>
        <w:rPr>
          <w:spacing w:val="-20"/>
          <w:sz w:val="24"/>
          <w:szCs w:val="24"/>
        </w:rPr>
        <w:t>铸铁管在吊装、运输过程应小心轻放，保护成品。球墨铸铁管管道采用加长汽车运输。在运输过程中为了避免管道与管道、管道与车箱碰撞而损坏管道和防腐层，在铸铁管与汽车车箱间用大木方作垫层，铸铁管与管之间用木楞作间隔作用。管道堆放场地应平整、宽敞，重叠堆</w:t>
      </w:r>
      <w:r>
        <w:rPr>
          <w:spacing w:val="-22"/>
          <w:sz w:val="24"/>
          <w:szCs w:val="24"/>
        </w:rPr>
        <w:t>放时第一排为横向，第二排为纵向排列放齐，且最多不超过五层。</w:t>
      </w:r>
    </w:p>
    <w:p w14:paraId="4342AE3C">
      <w:pPr>
        <w:pStyle w:val="2"/>
        <w:spacing w:before="1" w:line="218" w:lineRule="auto"/>
        <w:ind w:left="1888"/>
        <w:rPr>
          <w:sz w:val="24"/>
          <w:szCs w:val="24"/>
        </w:rPr>
      </w:pPr>
      <w:r>
        <w:rPr>
          <w:spacing w:val="-17"/>
          <w:sz w:val="24"/>
          <w:szCs w:val="24"/>
        </w:rPr>
        <w:t>2.3铸铁管安装施工</w:t>
      </w:r>
    </w:p>
    <w:p w14:paraId="725D183D">
      <w:pPr>
        <w:spacing w:line="16" w:lineRule="auto"/>
        <w:rPr>
          <w:rFonts w:ascii="Arial"/>
          <w:sz w:val="2"/>
        </w:rPr>
      </w:pPr>
    </w:p>
    <w:tbl>
      <w:tblPr>
        <w:tblStyle w:val="6"/>
        <w:tblW w:w="8549" w:type="dxa"/>
        <w:tblInd w:w="1678" w:type="dxa"/>
        <w:tblBorders>
          <w:top w:val="single" w:color="5B9BD5" w:sz="4" w:space="0"/>
          <w:left w:val="single" w:color="5B9BD5" w:sz="4" w:space="0"/>
          <w:bottom w:val="single" w:color="5B9BD5" w:sz="4" w:space="0"/>
          <w:right w:val="single" w:color="5B9BD5" w:sz="4" w:space="0"/>
          <w:insideH w:val="single" w:color="5B9BD5" w:sz="4" w:space="0"/>
          <w:insideV w:val="single" w:color="5B9BD5" w:sz="4" w:space="0"/>
        </w:tblBorders>
        <w:tblLayout w:type="fixed"/>
        <w:tblCellMar>
          <w:top w:w="0" w:type="dxa"/>
          <w:left w:w="0" w:type="dxa"/>
          <w:bottom w:w="0" w:type="dxa"/>
          <w:right w:w="0" w:type="dxa"/>
        </w:tblCellMar>
      </w:tblPr>
      <w:tblGrid>
        <w:gridCol w:w="4274"/>
        <w:gridCol w:w="4275"/>
      </w:tblGrid>
      <w:tr w14:paraId="20C149E4">
        <w:tblPrEx>
          <w:tblBorders>
            <w:top w:val="single" w:color="5B9BD5" w:sz="4" w:space="0"/>
            <w:left w:val="single" w:color="5B9BD5" w:sz="4" w:space="0"/>
            <w:bottom w:val="single" w:color="5B9BD5" w:sz="4" w:space="0"/>
            <w:right w:val="single" w:color="5B9BD5" w:sz="4" w:space="0"/>
            <w:insideH w:val="single" w:color="5B9BD5" w:sz="4" w:space="0"/>
            <w:insideV w:val="single" w:color="5B9BD5" w:sz="4" w:space="0"/>
          </w:tblBorders>
          <w:tblCellMar>
            <w:top w:w="0" w:type="dxa"/>
            <w:left w:w="0" w:type="dxa"/>
            <w:bottom w:w="0" w:type="dxa"/>
            <w:right w:w="0" w:type="dxa"/>
          </w:tblCellMar>
        </w:tblPrEx>
        <w:trPr>
          <w:trHeight w:val="588" w:hRule="atLeast"/>
        </w:trPr>
        <w:tc>
          <w:tcPr>
            <w:tcW w:w="8549" w:type="dxa"/>
            <w:gridSpan w:val="2"/>
            <w:tcBorders>
              <w:bottom w:val="single" w:color="000000" w:sz="2" w:space="0"/>
            </w:tcBorders>
            <w:shd w:val="clear" w:color="auto" w:fill="DEEAF6"/>
            <w:vAlign w:val="top"/>
          </w:tcPr>
          <w:p w14:paraId="5DA4DA84">
            <w:pPr>
              <w:pStyle w:val="7"/>
              <w:spacing w:before="126" w:line="217" w:lineRule="auto"/>
              <w:ind w:left="3859"/>
            </w:pPr>
            <w:r>
              <w:rPr>
                <w:b/>
                <w:bCs/>
                <w:spacing w:val="-21"/>
              </w:rPr>
              <w:t>管道堆放</w:t>
            </w:r>
          </w:p>
        </w:tc>
      </w:tr>
      <w:tr w14:paraId="46E5D7CB">
        <w:tblPrEx>
          <w:tblBorders>
            <w:top w:val="single" w:color="5B9BD5" w:sz="4" w:space="0"/>
            <w:left w:val="single" w:color="5B9BD5" w:sz="4" w:space="0"/>
            <w:bottom w:val="single" w:color="5B9BD5" w:sz="4" w:space="0"/>
            <w:right w:val="single" w:color="5B9BD5" w:sz="4" w:space="0"/>
            <w:insideH w:val="single" w:color="5B9BD5" w:sz="4" w:space="0"/>
            <w:insideV w:val="single" w:color="5B9BD5" w:sz="4" w:space="0"/>
          </w:tblBorders>
          <w:tblCellMar>
            <w:top w:w="0" w:type="dxa"/>
            <w:left w:w="0" w:type="dxa"/>
            <w:bottom w:w="0" w:type="dxa"/>
            <w:right w:w="0" w:type="dxa"/>
          </w:tblCellMar>
        </w:tblPrEx>
        <w:trPr>
          <w:trHeight w:val="3289" w:hRule="atLeast"/>
        </w:trPr>
        <w:tc>
          <w:tcPr>
            <w:tcW w:w="4274" w:type="dxa"/>
            <w:tcBorders>
              <w:top w:val="single" w:color="000000" w:sz="2" w:space="0"/>
              <w:left w:val="single" w:color="1C456A" w:sz="4" w:space="0"/>
              <w:bottom w:val="single" w:color="1C456A" w:sz="4" w:space="0"/>
              <w:right w:val="single" w:color="000000" w:sz="2" w:space="0"/>
            </w:tcBorders>
            <w:vAlign w:val="top"/>
          </w:tcPr>
          <w:p w14:paraId="165651D3">
            <w:pPr>
              <w:spacing w:before="166" w:line="2793" w:lineRule="exact"/>
              <w:ind w:firstLine="121"/>
            </w:pPr>
            <w:r>
              <w:pict>
                <v:shape id="_x0000_s1475" o:spid="_x0000_s1475" style="position:absolute;left:0pt;margin-left:-0.2pt;margin-top:164.5pt;height:0.75pt;width:2.2pt;mso-position-horizontal-relative:page;mso-position-vertical-relative:page;z-index:251732992;mso-width-relative:page;mso-height-relative:page;" fillcolor="#5B9BD5" filled="t" stroked="f" coordsize="44,15" path="m0,14l43,14,43,0,0,0,0,14xe">
                  <v:path/>
                  <v:fill on="t" focussize="0,0"/>
                  <v:stroke on="f"/>
                  <v:imagedata o:title=""/>
                  <o:lock v:ext="edit"/>
                </v:shape>
              </w:pict>
            </w:r>
            <w:r>
              <w:rPr>
                <w:position w:val="-55"/>
              </w:rPr>
              <w:drawing>
                <wp:inline distT="0" distB="0" distL="0" distR="0">
                  <wp:extent cx="2561590" cy="1772920"/>
                  <wp:effectExtent l="0" t="0" r="0" b="0"/>
                  <wp:docPr id="304" name="IM 304"/>
                  <wp:cNvGraphicFramePr/>
                  <a:graphic xmlns:a="http://schemas.openxmlformats.org/drawingml/2006/main">
                    <a:graphicData uri="http://schemas.openxmlformats.org/drawingml/2006/picture">
                      <pic:pic xmlns:pic="http://schemas.openxmlformats.org/drawingml/2006/picture">
                        <pic:nvPicPr>
                          <pic:cNvPr id="304" name="IM 304"/>
                          <pic:cNvPicPr/>
                        </pic:nvPicPr>
                        <pic:blipFill>
                          <a:blip r:embed="rId488"/>
                          <a:stretch>
                            <a:fillRect/>
                          </a:stretch>
                        </pic:blipFill>
                        <pic:spPr>
                          <a:xfrm>
                            <a:off x="0" y="0"/>
                            <a:ext cx="2561590" cy="1773554"/>
                          </a:xfrm>
                          <a:prstGeom prst="rect">
                            <a:avLst/>
                          </a:prstGeom>
                        </pic:spPr>
                      </pic:pic>
                    </a:graphicData>
                  </a:graphic>
                </wp:inline>
              </w:drawing>
            </w:r>
          </w:p>
        </w:tc>
        <w:tc>
          <w:tcPr>
            <w:tcW w:w="4275" w:type="dxa"/>
            <w:tcBorders>
              <w:top w:val="single" w:color="000000" w:sz="2" w:space="0"/>
              <w:left w:val="single" w:color="000000" w:sz="2" w:space="0"/>
            </w:tcBorders>
            <w:vAlign w:val="top"/>
          </w:tcPr>
          <w:p w14:paraId="0F952F7E">
            <w:pPr>
              <w:spacing w:before="87" w:line="2952" w:lineRule="exact"/>
              <w:ind w:firstLine="131"/>
            </w:pPr>
            <w:r>
              <w:rPr>
                <w:position w:val="-59"/>
              </w:rPr>
              <w:drawing>
                <wp:inline distT="0" distB="0" distL="0" distR="0">
                  <wp:extent cx="2534920" cy="1874520"/>
                  <wp:effectExtent l="0" t="0" r="0" b="0"/>
                  <wp:docPr id="306" name="IM 306"/>
                  <wp:cNvGraphicFramePr/>
                  <a:graphic xmlns:a="http://schemas.openxmlformats.org/drawingml/2006/main">
                    <a:graphicData uri="http://schemas.openxmlformats.org/drawingml/2006/picture">
                      <pic:pic xmlns:pic="http://schemas.openxmlformats.org/drawingml/2006/picture">
                        <pic:nvPicPr>
                          <pic:cNvPr id="306" name="IM 306"/>
                          <pic:cNvPicPr/>
                        </pic:nvPicPr>
                        <pic:blipFill>
                          <a:blip r:embed="rId489"/>
                          <a:stretch>
                            <a:fillRect/>
                          </a:stretch>
                        </pic:blipFill>
                        <pic:spPr>
                          <a:xfrm>
                            <a:off x="0" y="0"/>
                            <a:ext cx="2534920" cy="1874520"/>
                          </a:xfrm>
                          <a:prstGeom prst="rect">
                            <a:avLst/>
                          </a:prstGeom>
                        </pic:spPr>
                      </pic:pic>
                    </a:graphicData>
                  </a:graphic>
                </wp:inline>
              </w:drawing>
            </w:r>
          </w:p>
        </w:tc>
      </w:tr>
    </w:tbl>
    <w:p w14:paraId="5BB8821D">
      <w:pPr>
        <w:pStyle w:val="2"/>
        <w:spacing w:before="114" w:line="285" w:lineRule="auto"/>
        <w:ind w:left="1455" w:right="1410" w:firstLine="432"/>
        <w:rPr>
          <w:sz w:val="24"/>
          <w:szCs w:val="24"/>
        </w:rPr>
      </w:pPr>
      <w:r>
        <w:rPr>
          <w:spacing w:val="-22"/>
          <w:sz w:val="24"/>
          <w:szCs w:val="24"/>
        </w:rPr>
        <w:t>2.3.1在铸铁管运至施工现场后，待碎石垫层施工</w:t>
      </w:r>
      <w:r>
        <w:rPr>
          <w:spacing w:val="-23"/>
          <w:sz w:val="24"/>
          <w:szCs w:val="24"/>
        </w:rPr>
        <w:t>完毕后即可进行管道安装。施工安装时采</w:t>
      </w:r>
      <w:r>
        <w:rPr>
          <w:spacing w:val="-20"/>
          <w:sz w:val="24"/>
          <w:szCs w:val="24"/>
        </w:rPr>
        <w:t>用吊车将铸铁管从堆放场地吊至管沟内。吊装时，钢丝绳与铸铁管接触处用废旧橡胶垫隔（见附图）以保护铸铁管和防腐层。吊装钢绳应拴牢固，起吊和放下时的速度不宜太快，做到小心轻放，避免摔跌、碰撞管道。</w:t>
      </w:r>
    </w:p>
    <w:p w14:paraId="379EC988">
      <w:pPr>
        <w:pStyle w:val="2"/>
        <w:spacing w:before="119" w:line="262" w:lineRule="auto"/>
        <w:ind w:left="1474" w:right="1409" w:firstLine="414"/>
        <w:rPr>
          <w:sz w:val="24"/>
          <w:szCs w:val="24"/>
        </w:rPr>
      </w:pPr>
      <w:r>
        <w:rPr>
          <w:spacing w:val="-23"/>
          <w:sz w:val="24"/>
          <w:szCs w:val="24"/>
        </w:rPr>
        <w:t>2.3.2管道安装施工前，应用钢丝刷、绵纱布等仔细将承口内腔和插口端外表面的泥沙及其</w:t>
      </w:r>
      <w:r>
        <w:rPr>
          <w:spacing w:val="-22"/>
          <w:sz w:val="24"/>
          <w:szCs w:val="24"/>
        </w:rPr>
        <w:t>它异物清理干净，不得含有泥沙、油污及其它异物。</w:t>
      </w:r>
    </w:p>
    <w:p w14:paraId="0966399F">
      <w:pPr>
        <w:pStyle w:val="2"/>
        <w:spacing w:before="117" w:line="263" w:lineRule="auto"/>
        <w:ind w:left="1456" w:right="1411" w:firstLine="432"/>
        <w:rPr>
          <w:sz w:val="24"/>
          <w:szCs w:val="24"/>
        </w:rPr>
      </w:pPr>
      <w:r>
        <w:rPr>
          <w:spacing w:val="-20"/>
          <w:sz w:val="24"/>
          <w:szCs w:val="24"/>
        </w:rPr>
        <w:t>2.3.3管道接口清理干净后，将随管配套的胶</w:t>
      </w:r>
      <w:r>
        <w:rPr>
          <w:spacing w:val="-21"/>
          <w:sz w:val="24"/>
          <w:szCs w:val="24"/>
        </w:rPr>
        <w:t>圈清理干净并捏成心脏形或“8”字形安放在</w:t>
      </w:r>
      <w:r>
        <w:rPr>
          <w:spacing w:val="-15"/>
          <w:sz w:val="24"/>
          <w:szCs w:val="24"/>
        </w:rPr>
        <w:t>承口内。</w:t>
      </w:r>
    </w:p>
    <w:p w14:paraId="2BA898A2">
      <w:pPr>
        <w:pStyle w:val="2"/>
        <w:spacing w:before="117" w:line="261" w:lineRule="auto"/>
        <w:ind w:left="1462" w:right="1409" w:firstLine="426"/>
        <w:rPr>
          <w:sz w:val="24"/>
          <w:szCs w:val="24"/>
        </w:rPr>
      </w:pPr>
      <w:r>
        <w:rPr>
          <w:spacing w:val="-22"/>
          <w:sz w:val="24"/>
          <w:szCs w:val="24"/>
        </w:rPr>
        <w:t>2.3.4仔细检查胶圈安放位置是否正确，准确无误</w:t>
      </w:r>
      <w:r>
        <w:rPr>
          <w:spacing w:val="-23"/>
          <w:sz w:val="24"/>
          <w:szCs w:val="24"/>
        </w:rPr>
        <w:t>后用木锤沿管口内周围轻敲打，使胶圈完</w:t>
      </w:r>
      <w:r>
        <w:rPr>
          <w:spacing w:val="-20"/>
          <w:sz w:val="24"/>
          <w:szCs w:val="24"/>
        </w:rPr>
        <w:t>全安放在承口凹槽内。</w:t>
      </w:r>
    </w:p>
    <w:p w14:paraId="6055162A">
      <w:pPr>
        <w:pStyle w:val="2"/>
        <w:spacing w:before="121" w:line="263" w:lineRule="auto"/>
        <w:ind w:left="1469" w:right="1352" w:firstLine="419"/>
        <w:rPr>
          <w:sz w:val="24"/>
          <w:szCs w:val="24"/>
        </w:rPr>
      </w:pPr>
      <w:r>
        <w:rPr>
          <w:spacing w:val="-26"/>
          <w:sz w:val="24"/>
          <w:szCs w:val="24"/>
        </w:rPr>
        <w:t>2.3.5胶圈安放完毕后用肥皂水作润滑剂，将承口内胶圈和插口端充分湿润，起到</w:t>
      </w:r>
      <w:r>
        <w:rPr>
          <w:spacing w:val="-27"/>
          <w:sz w:val="24"/>
          <w:szCs w:val="24"/>
        </w:rPr>
        <w:t>润滑作用，</w:t>
      </w:r>
      <w:r>
        <w:rPr>
          <w:spacing w:val="-22"/>
          <w:sz w:val="24"/>
          <w:szCs w:val="24"/>
        </w:rPr>
        <w:t>管道承插安装时节约劳动力和减轻施工难度。</w:t>
      </w:r>
    </w:p>
    <w:p w14:paraId="54D804BF">
      <w:pPr>
        <w:pStyle w:val="2"/>
        <w:spacing w:before="117" w:line="262" w:lineRule="auto"/>
        <w:ind w:left="1490" w:right="1409" w:firstLine="398"/>
        <w:rPr>
          <w:sz w:val="24"/>
          <w:szCs w:val="24"/>
        </w:rPr>
      </w:pPr>
      <w:r>
        <w:rPr>
          <w:spacing w:val="-22"/>
          <w:sz w:val="24"/>
          <w:szCs w:val="24"/>
        </w:rPr>
        <w:t>2.3.6铸铁管在安装时采用由无缝钢管、钢绳和手板葫芦</w:t>
      </w:r>
      <w:r>
        <w:rPr>
          <w:spacing w:val="-23"/>
          <w:sz w:val="24"/>
          <w:szCs w:val="24"/>
        </w:rPr>
        <w:t>组成的三角架扒杆作少许起吊，起</w:t>
      </w:r>
      <w:r>
        <w:rPr>
          <w:spacing w:val="-20"/>
          <w:sz w:val="24"/>
          <w:szCs w:val="24"/>
        </w:rPr>
        <w:t>吊高度以铸铁管底高出碎石土垫层5cm为宜。</w:t>
      </w:r>
    </w:p>
    <w:p w14:paraId="668A6BB1">
      <w:pPr>
        <w:pStyle w:val="2"/>
        <w:spacing w:before="119" w:line="215" w:lineRule="auto"/>
        <w:ind w:left="1888"/>
        <w:rPr>
          <w:sz w:val="24"/>
          <w:szCs w:val="24"/>
        </w:rPr>
      </w:pPr>
      <w:r>
        <w:rPr>
          <w:spacing w:val="-24"/>
          <w:sz w:val="24"/>
          <w:szCs w:val="24"/>
        </w:rPr>
        <w:t>2.3.7插口与承口管道中心线对准一致，在起吊管末端用撬棍</w:t>
      </w:r>
      <w:r>
        <w:rPr>
          <w:spacing w:val="-25"/>
          <w:sz w:val="24"/>
          <w:szCs w:val="24"/>
        </w:rPr>
        <w:t>（或千斤顶）将铸铁管向前撬，</w:t>
      </w:r>
    </w:p>
    <w:p w14:paraId="6EB63AA1">
      <w:pPr>
        <w:pStyle w:val="2"/>
        <w:spacing w:before="78" w:line="308" w:lineRule="auto"/>
        <w:ind w:left="1459" w:right="1410" w:firstLine="7"/>
        <w:rPr>
          <w:sz w:val="24"/>
          <w:szCs w:val="24"/>
        </w:rPr>
      </w:pPr>
      <w:r>
        <w:rPr>
          <w:spacing w:val="-19"/>
          <w:sz w:val="24"/>
          <w:szCs w:val="24"/>
        </w:rPr>
        <w:t>第300页/共376页将插口插入承口，插入深度为插口处的两条标志线将铸铁管插到</w:t>
      </w:r>
      <w:r>
        <w:rPr>
          <w:spacing w:val="-20"/>
          <w:sz w:val="24"/>
          <w:szCs w:val="24"/>
        </w:rPr>
        <w:t>看不到第一</w:t>
      </w:r>
      <w:r>
        <w:rPr>
          <w:spacing w:val="-22"/>
          <w:sz w:val="24"/>
          <w:szCs w:val="24"/>
        </w:rPr>
        <w:t>条线，只看到第二条线的位置为止。</w:t>
      </w:r>
    </w:p>
    <w:p w14:paraId="5058FE6F">
      <w:pPr>
        <w:pStyle w:val="2"/>
        <w:spacing w:before="1" w:line="261" w:lineRule="auto"/>
        <w:ind w:left="1455" w:right="1351" w:firstLine="432"/>
        <w:rPr>
          <w:sz w:val="24"/>
          <w:szCs w:val="24"/>
        </w:rPr>
      </w:pPr>
      <w:r>
        <w:rPr>
          <w:spacing w:val="-21"/>
          <w:sz w:val="24"/>
          <w:szCs w:val="24"/>
        </w:rPr>
        <w:t>2.3.8铸铁管承插施工完后卸下扒杆及工具，</w:t>
      </w:r>
      <w:r>
        <w:rPr>
          <w:spacing w:val="-22"/>
          <w:sz w:val="24"/>
          <w:szCs w:val="24"/>
        </w:rPr>
        <w:t>管道承插头处及中部立即回填50cm厚碎石土，</w:t>
      </w:r>
      <w:r>
        <w:rPr>
          <w:spacing w:val="-21"/>
          <w:sz w:val="24"/>
          <w:szCs w:val="24"/>
        </w:rPr>
        <w:t>轻夯压实，避免铸铁管在施工时发生偏移。</w:t>
      </w:r>
    </w:p>
    <w:p w14:paraId="65873DE2">
      <w:pPr>
        <w:pStyle w:val="2"/>
        <w:spacing w:before="121" w:line="215" w:lineRule="auto"/>
        <w:ind w:left="1888"/>
        <w:rPr>
          <w:sz w:val="24"/>
          <w:szCs w:val="24"/>
        </w:rPr>
      </w:pPr>
      <w:r>
        <w:rPr>
          <w:spacing w:val="-20"/>
          <w:sz w:val="24"/>
          <w:szCs w:val="24"/>
        </w:rPr>
        <w:t>2.3.9重复上述操作步骤，安装球墨铸铁管。</w:t>
      </w:r>
    </w:p>
    <w:p w14:paraId="28A847CD">
      <w:pPr>
        <w:pStyle w:val="2"/>
        <w:spacing w:before="119" w:line="262" w:lineRule="auto"/>
        <w:ind w:left="1458" w:right="1411" w:firstLine="430"/>
        <w:rPr>
          <w:sz w:val="24"/>
          <w:szCs w:val="24"/>
        </w:rPr>
      </w:pPr>
      <w:r>
        <w:rPr>
          <w:spacing w:val="-20"/>
          <w:sz w:val="24"/>
          <w:szCs w:val="24"/>
        </w:rPr>
        <w:t>2.3.10检查井施工应与铸铁管安装相配合，</w:t>
      </w:r>
      <w:r>
        <w:rPr>
          <w:spacing w:val="-21"/>
          <w:sz w:val="24"/>
          <w:szCs w:val="24"/>
        </w:rPr>
        <w:t>安装完毕符合设计要求和施工规范规定后立即</w:t>
      </w:r>
      <w:r>
        <w:rPr>
          <w:spacing w:val="-22"/>
          <w:sz w:val="24"/>
          <w:szCs w:val="24"/>
        </w:rPr>
        <w:t>进行排水管闭水试验。</w:t>
      </w:r>
    </w:p>
    <w:p w14:paraId="3AB4C5DA">
      <w:pPr>
        <w:pStyle w:val="2"/>
        <w:spacing w:before="121" w:line="277" w:lineRule="auto"/>
        <w:ind w:left="1458" w:right="1351" w:firstLine="430"/>
        <w:rPr>
          <w:sz w:val="24"/>
          <w:szCs w:val="24"/>
        </w:rPr>
      </w:pPr>
      <w:r>
        <w:rPr>
          <w:spacing w:val="-20"/>
          <w:sz w:val="24"/>
          <w:szCs w:val="24"/>
        </w:rPr>
        <w:t>2.3.11闭水试验合格后方可进行碎石土回填</w:t>
      </w:r>
      <w:r>
        <w:rPr>
          <w:spacing w:val="-21"/>
          <w:sz w:val="24"/>
          <w:szCs w:val="24"/>
        </w:rPr>
        <w:t>作业，回填土时分层回填，为避免过大的夯击</w:t>
      </w:r>
      <w:r>
        <w:rPr>
          <w:spacing w:val="-27"/>
          <w:sz w:val="24"/>
          <w:szCs w:val="24"/>
        </w:rPr>
        <w:t>力影响管道，第一层虚铺厚度不应小于1米，并采用低能量轻夯，以后每层虚铺厚度不小于500mm，</w:t>
      </w:r>
      <w:r>
        <w:rPr>
          <w:spacing w:val="-22"/>
          <w:sz w:val="24"/>
          <w:szCs w:val="24"/>
        </w:rPr>
        <w:t>采用低能量轻夯。</w:t>
      </w:r>
    </w:p>
    <w:p w14:paraId="69326529">
      <w:pPr>
        <w:pStyle w:val="2"/>
        <w:spacing w:before="118" w:line="219" w:lineRule="auto"/>
        <w:ind w:left="1888"/>
        <w:rPr>
          <w:sz w:val="24"/>
          <w:szCs w:val="24"/>
        </w:rPr>
      </w:pPr>
      <w:r>
        <w:rPr>
          <w:spacing w:val="-15"/>
          <w:sz w:val="24"/>
          <w:szCs w:val="24"/>
        </w:rPr>
        <w:t>2.4安全措施</w:t>
      </w:r>
    </w:p>
    <w:p w14:paraId="0E5748B0">
      <w:pPr>
        <w:pStyle w:val="2"/>
        <w:spacing w:before="115" w:line="263" w:lineRule="auto"/>
        <w:ind w:left="1459" w:right="1387" w:firstLine="429"/>
        <w:rPr>
          <w:sz w:val="24"/>
          <w:szCs w:val="24"/>
        </w:rPr>
      </w:pPr>
      <w:r>
        <w:rPr>
          <w:spacing w:val="-22"/>
          <w:sz w:val="24"/>
          <w:szCs w:val="24"/>
        </w:rPr>
        <w:t>2.4.1在吊车起吊铸铁管时应先试吊，确定机械运转正常后才开始吊装施工。吊车吊装时，派专人指挥。</w:t>
      </w:r>
    </w:p>
    <w:p w14:paraId="1CB07F0A">
      <w:pPr>
        <w:pStyle w:val="2"/>
        <w:spacing w:before="118" w:line="261" w:lineRule="auto"/>
        <w:ind w:left="1455" w:right="1369" w:firstLine="432"/>
        <w:rPr>
          <w:sz w:val="24"/>
          <w:szCs w:val="24"/>
        </w:rPr>
      </w:pPr>
      <w:r>
        <w:rPr>
          <w:spacing w:val="-21"/>
          <w:sz w:val="24"/>
          <w:szCs w:val="24"/>
        </w:rPr>
        <w:t>2.4.2用于安装时起吊的三角架扒杆必须牢固结实，</w:t>
      </w:r>
      <w:r>
        <w:rPr>
          <w:spacing w:val="-22"/>
          <w:sz w:val="24"/>
          <w:szCs w:val="24"/>
        </w:rPr>
        <w:t>保证要有足够的刚度、强度及稳定性。</w:t>
      </w:r>
      <w:r>
        <w:rPr>
          <w:spacing w:val="-21"/>
          <w:sz w:val="24"/>
          <w:szCs w:val="24"/>
        </w:rPr>
        <w:t>钢绳、手板葫芦应每吊一次随即检查一遍，确保安全施工。</w:t>
      </w:r>
    </w:p>
    <w:p w14:paraId="480FB319">
      <w:pPr>
        <w:pStyle w:val="2"/>
        <w:spacing w:before="120" w:line="215" w:lineRule="auto"/>
        <w:ind w:left="1888"/>
        <w:rPr>
          <w:sz w:val="24"/>
          <w:szCs w:val="24"/>
        </w:rPr>
      </w:pPr>
      <w:r>
        <w:rPr>
          <w:spacing w:val="-20"/>
          <w:sz w:val="24"/>
          <w:szCs w:val="24"/>
        </w:rPr>
        <w:t>2.4.3管道在运输、吊装过程中要加强保护，避免碰</w:t>
      </w:r>
      <w:r>
        <w:rPr>
          <w:spacing w:val="-21"/>
          <w:sz w:val="24"/>
          <w:szCs w:val="24"/>
        </w:rPr>
        <w:t>撞等使管道破损或损坏铸铁管防腐层。</w:t>
      </w:r>
    </w:p>
    <w:p w14:paraId="19F1BA79">
      <w:pPr>
        <w:pStyle w:val="2"/>
        <w:spacing w:before="121" w:line="217" w:lineRule="auto"/>
        <w:ind w:left="1888"/>
        <w:rPr>
          <w:sz w:val="24"/>
          <w:szCs w:val="24"/>
        </w:rPr>
      </w:pPr>
      <w:r>
        <w:rPr>
          <w:spacing w:val="-19"/>
          <w:sz w:val="24"/>
          <w:szCs w:val="24"/>
        </w:rPr>
        <w:t>2.4.4施工过程中要注意安全施工，保证工程质量。</w:t>
      </w:r>
    </w:p>
    <w:p w14:paraId="4FEE3EA7">
      <w:pPr>
        <w:pStyle w:val="2"/>
        <w:spacing w:before="82" w:line="219" w:lineRule="auto"/>
        <w:ind w:left="1986"/>
        <w:outlineLvl w:val="2"/>
        <w:rPr>
          <w:sz w:val="28"/>
          <w:szCs w:val="28"/>
        </w:rPr>
      </w:pPr>
      <w:bookmarkStart w:id="32" w:name="bookmark32"/>
      <w:bookmarkEnd w:id="32"/>
      <w:r>
        <w:rPr>
          <w:b/>
          <w:bCs/>
          <w:spacing w:val="-23"/>
          <w:sz w:val="28"/>
          <w:szCs w:val="28"/>
        </w:rPr>
        <w:t>二、钢管安装施工方法</w:t>
      </w:r>
    </w:p>
    <w:p w14:paraId="180774A3">
      <w:pPr>
        <w:pStyle w:val="2"/>
        <w:spacing w:before="103" w:line="217" w:lineRule="auto"/>
        <w:ind w:left="1903"/>
        <w:rPr>
          <w:sz w:val="24"/>
          <w:szCs w:val="24"/>
        </w:rPr>
      </w:pPr>
      <w:r>
        <w:rPr>
          <w:spacing w:val="-20"/>
          <w:sz w:val="24"/>
          <w:szCs w:val="24"/>
        </w:rPr>
        <w:t>1、管道就位安装施工工艺</w:t>
      </w:r>
    </w:p>
    <w:p w14:paraId="51782F6A">
      <w:pPr>
        <w:pStyle w:val="2"/>
        <w:spacing w:before="120" w:line="306" w:lineRule="auto"/>
        <w:ind w:left="1447" w:right="1409" w:firstLine="445"/>
        <w:rPr>
          <w:sz w:val="24"/>
          <w:szCs w:val="24"/>
        </w:rPr>
      </w:pPr>
      <w:r>
        <w:rPr>
          <w:spacing w:val="-20"/>
          <w:sz w:val="24"/>
          <w:szCs w:val="24"/>
        </w:rPr>
        <w:t>测量—沟槽开挖—基底处理—钢管进场—拼装焊接—无损检测—焊缝处理及内外表面防腐</w:t>
      </w:r>
      <w:r>
        <w:rPr>
          <w:spacing w:val="-22"/>
          <w:sz w:val="24"/>
          <w:szCs w:val="24"/>
        </w:rPr>
        <w:t>—逐口油渗试验—水压试验—管道安装—防腐再修补—管道沉放—管道稳固。</w:t>
      </w:r>
    </w:p>
    <w:p w14:paraId="009BF845">
      <w:pPr>
        <w:pStyle w:val="2"/>
        <w:spacing w:before="2" w:line="219" w:lineRule="auto"/>
        <w:ind w:left="1888"/>
        <w:rPr>
          <w:sz w:val="24"/>
          <w:szCs w:val="24"/>
        </w:rPr>
      </w:pPr>
      <w:r>
        <w:rPr>
          <w:spacing w:val="-17"/>
          <w:sz w:val="24"/>
          <w:szCs w:val="24"/>
        </w:rPr>
        <w:t>2、钢管安装施工</w:t>
      </w:r>
    </w:p>
    <w:p w14:paraId="7137B365">
      <w:pPr>
        <w:pStyle w:val="2"/>
        <w:spacing w:before="117" w:line="261" w:lineRule="auto"/>
        <w:ind w:left="1457" w:right="1412" w:firstLine="431"/>
        <w:rPr>
          <w:sz w:val="24"/>
          <w:szCs w:val="24"/>
        </w:rPr>
      </w:pPr>
      <w:r>
        <w:rPr>
          <w:spacing w:val="-20"/>
          <w:sz w:val="24"/>
          <w:szCs w:val="24"/>
        </w:rPr>
        <w:t>2.1在钢管进厂前先处理好管槽基底，换填0.3m砂石做为基础垫层；然后在垫层上安装预</w:t>
      </w:r>
      <w:r>
        <w:rPr>
          <w:spacing w:val="-22"/>
          <w:sz w:val="24"/>
          <w:szCs w:val="24"/>
        </w:rPr>
        <w:t>制管枕，控制好标高及轴线。</w:t>
      </w:r>
    </w:p>
    <w:p w14:paraId="3C78D9EA">
      <w:pPr>
        <w:pStyle w:val="2"/>
        <w:spacing w:before="121" w:line="262" w:lineRule="auto"/>
        <w:ind w:left="1455" w:right="1409" w:firstLine="432"/>
        <w:rPr>
          <w:sz w:val="24"/>
          <w:szCs w:val="24"/>
        </w:rPr>
      </w:pPr>
      <w:r>
        <w:rPr>
          <w:spacing w:val="-20"/>
          <w:sz w:val="24"/>
          <w:szCs w:val="24"/>
        </w:rPr>
        <w:t>2.2按计划分批安排钢管进场，每节钢管重约3吨，采用360式挖机把钢管从车上直接缷到</w:t>
      </w:r>
      <w:r>
        <w:rPr>
          <w:spacing w:val="-21"/>
          <w:sz w:val="24"/>
          <w:szCs w:val="24"/>
        </w:rPr>
        <w:t>施工现场并安装至管枕上，并按照设计图纸排列拼接。</w:t>
      </w:r>
    </w:p>
    <w:p w14:paraId="50B8B437">
      <w:pPr>
        <w:pStyle w:val="2"/>
        <w:spacing w:before="117" w:line="218" w:lineRule="auto"/>
        <w:ind w:left="1888"/>
        <w:rPr>
          <w:sz w:val="24"/>
          <w:szCs w:val="24"/>
        </w:rPr>
      </w:pPr>
      <w:r>
        <w:rPr>
          <w:spacing w:val="-21"/>
          <w:sz w:val="24"/>
          <w:szCs w:val="24"/>
        </w:rPr>
        <w:t>2.3坡口加工（整管进场时已有坡口，遇切割整管时坡口加工如下</w:t>
      </w:r>
      <w:r>
        <w:rPr>
          <w:spacing w:val="-11"/>
          <w:sz w:val="24"/>
          <w:szCs w:val="24"/>
        </w:rPr>
        <w:t>：）</w:t>
      </w:r>
    </w:p>
    <w:p w14:paraId="774370EB">
      <w:pPr>
        <w:pStyle w:val="2"/>
        <w:spacing w:before="118" w:line="217" w:lineRule="auto"/>
        <w:ind w:left="1885"/>
        <w:rPr>
          <w:sz w:val="24"/>
          <w:szCs w:val="24"/>
        </w:rPr>
      </w:pPr>
      <w:r>
        <w:rPr>
          <w:spacing w:val="-13"/>
          <w:sz w:val="24"/>
          <w:szCs w:val="24"/>
        </w:rPr>
        <w:t>①、管道坡口加工时，由于壁厚均小于25mm，故均采用V型坡口（25°~30°)。</w:t>
      </w:r>
    </w:p>
    <w:p w14:paraId="6CC61F06">
      <w:pPr>
        <w:pStyle w:val="2"/>
        <w:spacing w:before="120" w:line="262" w:lineRule="auto"/>
        <w:ind w:left="1455" w:right="1411" w:firstLine="429"/>
        <w:rPr>
          <w:sz w:val="24"/>
          <w:szCs w:val="24"/>
        </w:rPr>
      </w:pPr>
      <w:r>
        <w:rPr>
          <w:spacing w:val="-22"/>
          <w:sz w:val="24"/>
          <w:szCs w:val="24"/>
        </w:rPr>
        <w:t>②、管道坡口采用氧气-乙炔半自动割刀加工，半自动割刀无法加工的特殊部位可采用手工</w:t>
      </w:r>
      <w:r>
        <w:rPr>
          <w:spacing w:val="-17"/>
          <w:sz w:val="24"/>
          <w:szCs w:val="24"/>
        </w:rPr>
        <w:t>切割加工。</w:t>
      </w:r>
    </w:p>
    <w:p w14:paraId="56B087EE">
      <w:pPr>
        <w:pStyle w:val="2"/>
        <w:spacing w:before="116" w:line="264" w:lineRule="auto"/>
        <w:ind w:left="1462" w:right="1409" w:firstLine="422"/>
        <w:rPr>
          <w:sz w:val="24"/>
          <w:szCs w:val="24"/>
        </w:rPr>
      </w:pPr>
      <w:r>
        <w:rPr>
          <w:spacing w:val="-19"/>
          <w:sz w:val="24"/>
          <w:szCs w:val="24"/>
        </w:rPr>
        <w:t>③、坡口加工后必须除去坡口表面的氧化皮、溶渣及影响接</w:t>
      </w:r>
      <w:r>
        <w:rPr>
          <w:spacing w:val="-20"/>
          <w:sz w:val="24"/>
          <w:szCs w:val="24"/>
        </w:rPr>
        <w:t>头质量的表面后，并应将凹凸不平处打磨平整。</w:t>
      </w:r>
    </w:p>
    <w:p w14:paraId="2BF24979">
      <w:pPr>
        <w:pStyle w:val="2"/>
        <w:spacing w:before="114" w:line="218" w:lineRule="auto"/>
        <w:ind w:left="1890"/>
        <w:rPr>
          <w:sz w:val="24"/>
          <w:szCs w:val="24"/>
        </w:rPr>
      </w:pPr>
      <w:r>
        <w:rPr>
          <w:spacing w:val="-18"/>
          <w:sz w:val="24"/>
          <w:szCs w:val="24"/>
        </w:rPr>
        <w:t>3、钢管焊接</w:t>
      </w:r>
    </w:p>
    <w:p w14:paraId="275C0F2D">
      <w:pPr>
        <w:pStyle w:val="2"/>
        <w:spacing w:before="117" w:line="217" w:lineRule="auto"/>
        <w:ind w:left="1890"/>
        <w:rPr>
          <w:sz w:val="24"/>
          <w:szCs w:val="24"/>
        </w:rPr>
      </w:pPr>
      <w:r>
        <w:rPr>
          <w:spacing w:val="-26"/>
          <w:sz w:val="24"/>
          <w:szCs w:val="24"/>
        </w:rPr>
        <w:t>3.1管节组对焊接时应先修口、清根，管端端面的坡口角度、钝边、间隙，应符合设计要求。</w:t>
      </w:r>
    </w:p>
    <w:p w14:paraId="54B80F33">
      <w:pPr>
        <w:pStyle w:val="2"/>
        <w:spacing w:before="119" w:line="262" w:lineRule="auto"/>
        <w:ind w:left="1458" w:right="1411" w:firstLine="432"/>
        <w:rPr>
          <w:sz w:val="24"/>
          <w:szCs w:val="24"/>
        </w:rPr>
      </w:pPr>
      <w:r>
        <w:rPr>
          <w:spacing w:val="-21"/>
          <w:sz w:val="24"/>
          <w:szCs w:val="24"/>
        </w:rPr>
        <w:t>3.2焊接设备：焊接设备应处于正常工作状态，安全可靠，满足焊接工艺和材料的要求,其上的计量仪表必须经校验合格。</w:t>
      </w:r>
    </w:p>
    <w:p w14:paraId="73EF0CBB">
      <w:pPr>
        <w:pStyle w:val="2"/>
        <w:spacing w:before="78" w:line="262" w:lineRule="auto"/>
        <w:ind w:left="1457" w:right="1340" w:firstLine="433"/>
        <w:rPr>
          <w:sz w:val="24"/>
          <w:szCs w:val="24"/>
        </w:rPr>
      </w:pPr>
      <w:r>
        <w:rPr>
          <w:spacing w:val="-25"/>
          <w:sz w:val="24"/>
          <w:szCs w:val="24"/>
        </w:rPr>
        <w:t>3.3焊接材料：采用E50型焊条，建立和严格执行焊接材料管理制度，对焊接材料进行验收、</w:t>
      </w:r>
      <w:r>
        <w:rPr>
          <w:spacing w:val="-21"/>
          <w:sz w:val="24"/>
          <w:szCs w:val="24"/>
        </w:rPr>
        <w:t>保管，并根据要求发放焊材。焊条不得有药皮脱落、裂纹</w:t>
      </w:r>
      <w:r>
        <w:rPr>
          <w:spacing w:val="-22"/>
          <w:sz w:val="24"/>
          <w:szCs w:val="24"/>
        </w:rPr>
        <w:t>等，并应保持干燥。</w:t>
      </w:r>
    </w:p>
    <w:p w14:paraId="4A6E667A">
      <w:pPr>
        <w:pStyle w:val="2"/>
        <w:spacing w:before="119" w:line="285" w:lineRule="auto"/>
        <w:ind w:left="1456" w:right="1414" w:firstLine="434"/>
        <w:rPr>
          <w:sz w:val="24"/>
          <w:szCs w:val="24"/>
        </w:rPr>
      </w:pPr>
      <w:r>
        <w:rPr>
          <w:spacing w:val="-19"/>
          <w:sz w:val="24"/>
          <w:szCs w:val="24"/>
        </w:rPr>
        <w:t>3.4焊接坡口：坡口角度应均匀，组装间隙为2～3mm，且均匀一致，最大不超过2mm。坡口</w:t>
      </w:r>
      <w:r>
        <w:rPr>
          <w:spacing w:val="-20"/>
          <w:sz w:val="24"/>
          <w:szCs w:val="24"/>
        </w:rPr>
        <w:t>表面两侧将水、锈、油污、渣及其它有害杂质去除干净。氩弧焊作为焊接第一层，焊接时应对称焊接，之后打磨掉表皮氧化层、渣皮，之后用电弧焊焊接第二、第三、和表面层，每一层都</w:t>
      </w:r>
      <w:r>
        <w:rPr>
          <w:spacing w:val="-22"/>
          <w:sz w:val="24"/>
          <w:szCs w:val="24"/>
        </w:rPr>
        <w:t>必须打磨掉氧化层、渣皮，其焊接厚度应与第一层焊接厚度一致。</w:t>
      </w:r>
    </w:p>
    <w:p w14:paraId="084769DA">
      <w:pPr>
        <w:pStyle w:val="2"/>
        <w:spacing w:before="117" w:line="219" w:lineRule="auto"/>
        <w:ind w:left="1890"/>
        <w:rPr>
          <w:sz w:val="24"/>
          <w:szCs w:val="24"/>
        </w:rPr>
      </w:pPr>
      <w:r>
        <w:rPr>
          <w:spacing w:val="-20"/>
          <w:sz w:val="24"/>
          <w:szCs w:val="24"/>
        </w:rPr>
        <w:t>3.5与球墨铸铁管连接均用法兰盘连接。</w:t>
      </w:r>
    </w:p>
    <w:p w14:paraId="6D51199E">
      <w:pPr>
        <w:pStyle w:val="2"/>
        <w:spacing w:before="115" w:line="220" w:lineRule="auto"/>
        <w:ind w:left="1884"/>
        <w:rPr>
          <w:sz w:val="24"/>
          <w:szCs w:val="24"/>
        </w:rPr>
      </w:pPr>
      <w:r>
        <w:rPr>
          <w:spacing w:val="-16"/>
          <w:sz w:val="24"/>
          <w:szCs w:val="24"/>
        </w:rPr>
        <w:t>4、防腐</w:t>
      </w:r>
    </w:p>
    <w:p w14:paraId="4A5BB38A">
      <w:pPr>
        <w:pStyle w:val="2"/>
        <w:spacing w:before="112" w:line="217" w:lineRule="auto"/>
        <w:ind w:left="1884"/>
        <w:rPr>
          <w:sz w:val="24"/>
          <w:szCs w:val="24"/>
        </w:rPr>
      </w:pPr>
      <w:r>
        <w:rPr>
          <w:spacing w:val="-20"/>
          <w:sz w:val="24"/>
          <w:szCs w:val="24"/>
        </w:rPr>
        <w:t>4.1管道拼接完毕后必须进行管道防腐。</w:t>
      </w:r>
    </w:p>
    <w:p w14:paraId="01119DCE">
      <w:pPr>
        <w:pStyle w:val="2"/>
        <w:spacing w:before="118" w:line="263" w:lineRule="auto"/>
        <w:ind w:left="1461" w:right="1411" w:firstLine="423"/>
        <w:rPr>
          <w:sz w:val="24"/>
          <w:szCs w:val="24"/>
        </w:rPr>
      </w:pPr>
      <w:r>
        <w:rPr>
          <w:spacing w:val="-23"/>
          <w:sz w:val="24"/>
          <w:szCs w:val="24"/>
        </w:rPr>
        <w:t>4.2焊缝表面涂装前，必须进行表面预处理。在预处理前，钢材表面的焊渣、毛刺、油脂等</w:t>
      </w:r>
      <w:r>
        <w:rPr>
          <w:spacing w:val="-20"/>
          <w:sz w:val="24"/>
          <w:szCs w:val="24"/>
        </w:rPr>
        <w:t>污物应清除干净。</w:t>
      </w:r>
    </w:p>
    <w:p w14:paraId="36C3F82B">
      <w:pPr>
        <w:pStyle w:val="2"/>
        <w:spacing w:before="117" w:line="218" w:lineRule="auto"/>
        <w:ind w:left="1884"/>
        <w:rPr>
          <w:sz w:val="24"/>
          <w:szCs w:val="24"/>
        </w:rPr>
      </w:pPr>
      <w:r>
        <w:rPr>
          <w:spacing w:val="-20"/>
          <w:sz w:val="24"/>
          <w:szCs w:val="24"/>
        </w:rPr>
        <w:t>4.3严格按照图纸及设计规范要求施工。</w:t>
      </w:r>
    </w:p>
    <w:p w14:paraId="2949D364">
      <w:pPr>
        <w:pStyle w:val="2"/>
        <w:spacing w:before="117" w:line="218" w:lineRule="auto"/>
        <w:ind w:left="1890"/>
        <w:rPr>
          <w:sz w:val="24"/>
          <w:szCs w:val="24"/>
        </w:rPr>
      </w:pPr>
      <w:r>
        <w:rPr>
          <w:spacing w:val="-18"/>
          <w:sz w:val="24"/>
          <w:szCs w:val="24"/>
        </w:rPr>
        <w:t>5、管道试压、冲洗</w:t>
      </w:r>
    </w:p>
    <w:p w14:paraId="3DBF866B">
      <w:pPr>
        <w:spacing w:line="25" w:lineRule="auto"/>
        <w:rPr>
          <w:rFonts w:ascii="Arial"/>
          <w:sz w:val="2"/>
        </w:rPr>
      </w:pPr>
    </w:p>
    <w:tbl>
      <w:tblPr>
        <w:tblStyle w:val="6"/>
        <w:tblW w:w="8789" w:type="dxa"/>
        <w:tblInd w:w="155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46"/>
        <w:gridCol w:w="718"/>
        <w:gridCol w:w="1698"/>
        <w:gridCol w:w="6127"/>
      </w:tblGrid>
      <w:tr w14:paraId="687F90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9" w:hRule="atLeast"/>
        </w:trPr>
        <w:tc>
          <w:tcPr>
            <w:tcW w:w="964" w:type="dxa"/>
            <w:gridSpan w:val="2"/>
            <w:tcBorders>
              <w:top w:val="single" w:color="000000" w:sz="4" w:space="0"/>
              <w:left w:val="single" w:color="000000" w:sz="4" w:space="0"/>
            </w:tcBorders>
            <w:shd w:val="clear" w:color="auto" w:fill="DEEAF6"/>
            <w:vAlign w:val="top"/>
          </w:tcPr>
          <w:p w14:paraId="70E9923E">
            <w:pPr>
              <w:pStyle w:val="7"/>
              <w:spacing w:before="127" w:line="218" w:lineRule="auto"/>
              <w:ind w:left="277"/>
            </w:pPr>
            <w:r>
              <w:rPr>
                <w:b/>
                <w:bCs/>
                <w:spacing w:val="-12"/>
              </w:rPr>
              <w:t>序号</w:t>
            </w:r>
          </w:p>
        </w:tc>
        <w:tc>
          <w:tcPr>
            <w:tcW w:w="1698" w:type="dxa"/>
            <w:tcBorders>
              <w:top w:val="single" w:color="000000" w:sz="4" w:space="0"/>
            </w:tcBorders>
            <w:shd w:val="clear" w:color="auto" w:fill="DEEAF6"/>
            <w:vAlign w:val="top"/>
          </w:tcPr>
          <w:p w14:paraId="57613220">
            <w:pPr>
              <w:pStyle w:val="7"/>
              <w:spacing w:before="127" w:line="218" w:lineRule="auto"/>
              <w:ind w:left="632"/>
            </w:pPr>
            <w:r>
              <w:rPr>
                <w:b/>
                <w:bCs/>
                <w:spacing w:val="-12"/>
              </w:rPr>
              <w:t>概况</w:t>
            </w:r>
          </w:p>
        </w:tc>
        <w:tc>
          <w:tcPr>
            <w:tcW w:w="6127" w:type="dxa"/>
            <w:tcBorders>
              <w:top w:val="single" w:color="5B9BD5" w:sz="4" w:space="0"/>
              <w:right w:val="single" w:color="5B9BD5" w:sz="4" w:space="0"/>
            </w:tcBorders>
            <w:shd w:val="clear" w:color="auto" w:fill="DEEAF6"/>
            <w:vAlign w:val="top"/>
          </w:tcPr>
          <w:p w14:paraId="4644A542">
            <w:pPr>
              <w:pStyle w:val="7"/>
              <w:spacing w:before="127" w:line="218" w:lineRule="auto"/>
              <w:ind w:left="2874"/>
            </w:pPr>
            <w:r>
              <w:rPr>
                <w:b/>
                <w:bCs/>
                <w:spacing w:val="-20"/>
              </w:rPr>
              <w:t>内容</w:t>
            </w:r>
          </w:p>
        </w:tc>
      </w:tr>
      <w:tr w14:paraId="67163E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92" w:hRule="atLeast"/>
        </w:trPr>
        <w:tc>
          <w:tcPr>
            <w:tcW w:w="964" w:type="dxa"/>
            <w:gridSpan w:val="2"/>
            <w:tcBorders>
              <w:left w:val="single" w:color="000000" w:sz="4" w:space="0"/>
            </w:tcBorders>
            <w:vAlign w:val="top"/>
          </w:tcPr>
          <w:p w14:paraId="1E3CBB5D">
            <w:pPr>
              <w:spacing w:line="247" w:lineRule="auto"/>
              <w:rPr>
                <w:rFonts w:ascii="Arial"/>
                <w:sz w:val="21"/>
              </w:rPr>
            </w:pPr>
          </w:p>
          <w:p w14:paraId="39C573E3">
            <w:pPr>
              <w:spacing w:line="247" w:lineRule="auto"/>
              <w:rPr>
                <w:rFonts w:ascii="Arial"/>
                <w:sz w:val="21"/>
              </w:rPr>
            </w:pPr>
          </w:p>
          <w:p w14:paraId="7F0E4CAB">
            <w:pPr>
              <w:spacing w:line="248" w:lineRule="auto"/>
              <w:rPr>
                <w:rFonts w:ascii="Arial"/>
                <w:sz w:val="21"/>
              </w:rPr>
            </w:pPr>
          </w:p>
          <w:p w14:paraId="7871D701">
            <w:pPr>
              <w:pStyle w:val="7"/>
              <w:spacing w:before="78" w:line="238" w:lineRule="auto"/>
              <w:ind w:left="452"/>
            </w:pPr>
            <w:r>
              <w:t>1</w:t>
            </w:r>
          </w:p>
        </w:tc>
        <w:tc>
          <w:tcPr>
            <w:tcW w:w="1698" w:type="dxa"/>
            <w:vAlign w:val="top"/>
          </w:tcPr>
          <w:p w14:paraId="754C5875">
            <w:pPr>
              <w:spacing w:line="247" w:lineRule="auto"/>
              <w:rPr>
                <w:rFonts w:ascii="Arial"/>
                <w:sz w:val="21"/>
              </w:rPr>
            </w:pPr>
          </w:p>
          <w:p w14:paraId="7EE6C6C5">
            <w:pPr>
              <w:spacing w:line="247" w:lineRule="auto"/>
              <w:rPr>
                <w:rFonts w:ascii="Arial"/>
                <w:sz w:val="21"/>
              </w:rPr>
            </w:pPr>
          </w:p>
          <w:p w14:paraId="4648CDF7">
            <w:pPr>
              <w:spacing w:line="247" w:lineRule="auto"/>
              <w:rPr>
                <w:rFonts w:ascii="Arial"/>
                <w:sz w:val="21"/>
              </w:rPr>
            </w:pPr>
          </w:p>
          <w:p w14:paraId="6A643397">
            <w:pPr>
              <w:pStyle w:val="7"/>
              <w:spacing w:before="78" w:line="219" w:lineRule="auto"/>
              <w:ind w:left="211"/>
            </w:pPr>
            <w:r>
              <w:rPr>
                <w:spacing w:val="-20"/>
              </w:rPr>
              <w:t>管道水压试验</w:t>
            </w:r>
          </w:p>
        </w:tc>
        <w:tc>
          <w:tcPr>
            <w:tcW w:w="6127" w:type="dxa"/>
            <w:tcBorders>
              <w:right w:val="single" w:color="000000" w:sz="4" w:space="0"/>
            </w:tcBorders>
            <w:vAlign w:val="top"/>
          </w:tcPr>
          <w:p w14:paraId="1A47D390">
            <w:pPr>
              <w:pStyle w:val="7"/>
              <w:spacing w:before="126" w:line="217" w:lineRule="auto"/>
              <w:ind w:left="76"/>
            </w:pPr>
            <w:r>
              <w:rPr>
                <w:spacing w:val="-25"/>
              </w:rPr>
              <w:t>管道试压是管道工程中不可忽视的一个环节，管道试</w:t>
            </w:r>
            <w:r>
              <w:rPr>
                <w:spacing w:val="-26"/>
              </w:rPr>
              <w:t>压常采用水</w:t>
            </w:r>
          </w:p>
          <w:p w14:paraId="59E8F471">
            <w:pPr>
              <w:pStyle w:val="7"/>
              <w:spacing w:before="182" w:line="217" w:lineRule="auto"/>
              <w:ind w:left="63"/>
            </w:pPr>
            <w:r>
              <w:rPr>
                <w:spacing w:val="-25"/>
              </w:rPr>
              <w:t>压试验。根据场地实际条件，可利用的试压水源，组成管道系统</w:t>
            </w:r>
          </w:p>
          <w:p w14:paraId="01DB52CC">
            <w:pPr>
              <w:pStyle w:val="7"/>
              <w:spacing w:before="186" w:line="217" w:lineRule="auto"/>
              <w:ind w:left="77"/>
            </w:pPr>
            <w:r>
              <w:rPr>
                <w:spacing w:val="-24"/>
              </w:rPr>
              <w:t>的配件和附件(阀门、井室)的数量，管道各部位</w:t>
            </w:r>
            <w:r>
              <w:rPr>
                <w:spacing w:val="-25"/>
              </w:rPr>
              <w:t>的高差情况等条</w:t>
            </w:r>
          </w:p>
          <w:p w14:paraId="4071C75E">
            <w:pPr>
              <w:pStyle w:val="7"/>
              <w:spacing w:before="183" w:line="218" w:lineRule="auto"/>
              <w:ind w:left="2082"/>
            </w:pPr>
            <w:r>
              <w:rPr>
                <w:spacing w:val="-19"/>
              </w:rPr>
              <w:t>件决定试压的长度。</w:t>
            </w:r>
          </w:p>
        </w:tc>
      </w:tr>
      <w:tr w14:paraId="31BEFB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26" w:hRule="atLeast"/>
        </w:trPr>
        <w:tc>
          <w:tcPr>
            <w:tcW w:w="964" w:type="dxa"/>
            <w:gridSpan w:val="2"/>
            <w:tcBorders>
              <w:left w:val="single" w:color="000000" w:sz="4" w:space="0"/>
            </w:tcBorders>
            <w:vAlign w:val="top"/>
          </w:tcPr>
          <w:p w14:paraId="2BB3C301">
            <w:pPr>
              <w:rPr>
                <w:rFonts w:ascii="Arial"/>
                <w:sz w:val="21"/>
              </w:rPr>
            </w:pPr>
          </w:p>
          <w:p w14:paraId="0FA58E0A">
            <w:pPr>
              <w:rPr>
                <w:rFonts w:ascii="Arial"/>
                <w:sz w:val="21"/>
              </w:rPr>
            </w:pPr>
          </w:p>
          <w:p w14:paraId="01834680">
            <w:pPr>
              <w:rPr>
                <w:rFonts w:ascii="Arial"/>
                <w:sz w:val="21"/>
              </w:rPr>
            </w:pPr>
          </w:p>
          <w:p w14:paraId="6EF2431B">
            <w:pPr>
              <w:spacing w:line="241" w:lineRule="auto"/>
              <w:rPr>
                <w:rFonts w:ascii="Arial"/>
                <w:sz w:val="21"/>
              </w:rPr>
            </w:pPr>
          </w:p>
          <w:p w14:paraId="14C580AF">
            <w:pPr>
              <w:spacing w:line="241" w:lineRule="auto"/>
              <w:rPr>
                <w:rFonts w:ascii="Arial"/>
                <w:sz w:val="21"/>
              </w:rPr>
            </w:pPr>
          </w:p>
          <w:p w14:paraId="2BA54003">
            <w:pPr>
              <w:pStyle w:val="7"/>
              <w:spacing w:before="78" w:line="238" w:lineRule="auto"/>
              <w:ind w:left="438"/>
            </w:pPr>
            <w:r>
              <w:t>2</w:t>
            </w:r>
          </w:p>
        </w:tc>
        <w:tc>
          <w:tcPr>
            <w:tcW w:w="1698" w:type="dxa"/>
            <w:vAlign w:val="top"/>
          </w:tcPr>
          <w:p w14:paraId="0A8260DE">
            <w:pPr>
              <w:spacing w:line="242" w:lineRule="auto"/>
              <w:rPr>
                <w:rFonts w:ascii="Arial"/>
                <w:sz w:val="21"/>
              </w:rPr>
            </w:pPr>
          </w:p>
          <w:p w14:paraId="117072D4">
            <w:pPr>
              <w:spacing w:line="242" w:lineRule="auto"/>
              <w:rPr>
                <w:rFonts w:ascii="Arial"/>
                <w:sz w:val="21"/>
              </w:rPr>
            </w:pPr>
          </w:p>
          <w:p w14:paraId="3E101F7B">
            <w:pPr>
              <w:spacing w:line="242" w:lineRule="auto"/>
              <w:rPr>
                <w:rFonts w:ascii="Arial"/>
                <w:sz w:val="21"/>
              </w:rPr>
            </w:pPr>
          </w:p>
          <w:p w14:paraId="7FAAEC9A">
            <w:pPr>
              <w:spacing w:line="243" w:lineRule="auto"/>
              <w:rPr>
                <w:rFonts w:ascii="Arial"/>
                <w:sz w:val="21"/>
              </w:rPr>
            </w:pPr>
          </w:p>
          <w:p w14:paraId="4B568F2F">
            <w:pPr>
              <w:pStyle w:val="7"/>
              <w:spacing w:before="78" w:line="361" w:lineRule="auto"/>
              <w:ind w:left="92" w:right="72" w:firstLine="9"/>
            </w:pPr>
            <w:r>
              <w:rPr>
                <w:spacing w:val="-24"/>
              </w:rPr>
              <w:t>管道水压试验前</w:t>
            </w:r>
            <w:r>
              <w:rPr>
                <w:spacing w:val="-22"/>
              </w:rPr>
              <w:t>必须具备的条件</w:t>
            </w:r>
          </w:p>
        </w:tc>
        <w:tc>
          <w:tcPr>
            <w:tcW w:w="6127" w:type="dxa"/>
            <w:tcBorders>
              <w:right w:val="single" w:color="000000" w:sz="4" w:space="0"/>
            </w:tcBorders>
            <w:vAlign w:val="top"/>
          </w:tcPr>
          <w:p w14:paraId="1B94A15C">
            <w:pPr>
              <w:pStyle w:val="7"/>
              <w:spacing w:before="118" w:line="217" w:lineRule="auto"/>
              <w:ind w:left="62"/>
            </w:pPr>
            <w:r>
              <w:rPr>
                <w:spacing w:val="-25"/>
              </w:rPr>
              <w:t>水压试验前必须对管道节点、接口、支墩等及其他附属构筑物的</w:t>
            </w:r>
          </w:p>
          <w:p w14:paraId="38B7BFE5">
            <w:pPr>
              <w:pStyle w:val="7"/>
              <w:spacing w:before="186" w:line="216" w:lineRule="auto"/>
              <w:ind w:left="66"/>
            </w:pPr>
            <w:r>
              <w:rPr>
                <w:spacing w:val="-24"/>
              </w:rPr>
              <w:t>外观进行认真的检查。对管道的排气系统(排气阀)进行检查和落</w:t>
            </w:r>
          </w:p>
          <w:p w14:paraId="3FFE71B1">
            <w:pPr>
              <w:pStyle w:val="7"/>
              <w:spacing w:before="185" w:line="218" w:lineRule="auto"/>
              <w:jc w:val="right"/>
            </w:pPr>
            <w:r>
              <w:rPr>
                <w:spacing w:val="-32"/>
              </w:rPr>
              <w:t>实。落实水源、试压设备、放水及量测设备是否准备妥当和齐全，</w:t>
            </w:r>
          </w:p>
          <w:p w14:paraId="3D0D019D">
            <w:pPr>
              <w:pStyle w:val="7"/>
              <w:spacing w:before="184" w:line="216" w:lineRule="auto"/>
              <w:ind w:left="69"/>
            </w:pPr>
            <w:r>
              <w:rPr>
                <w:spacing w:val="-25"/>
              </w:rPr>
              <w:t>工作状况是否良好。准备试压的管段其管顶以上的回填土的厚度</w:t>
            </w:r>
          </w:p>
          <w:p w14:paraId="02B6C0C0">
            <w:pPr>
              <w:pStyle w:val="7"/>
              <w:spacing w:before="187" w:line="218" w:lineRule="auto"/>
              <w:ind w:left="92"/>
            </w:pPr>
            <w:r>
              <w:rPr>
                <w:spacing w:val="-17"/>
              </w:rPr>
              <w:t>应不少于0.5M。(接口处不填)试压管段的所有敞口应堵严，不</w:t>
            </w:r>
          </w:p>
          <w:p w14:paraId="14C444AE">
            <w:pPr>
              <w:pStyle w:val="7"/>
              <w:spacing w:before="181" w:line="216" w:lineRule="auto"/>
              <w:ind w:left="572"/>
            </w:pPr>
            <w:r>
              <w:rPr>
                <w:spacing w:val="-22"/>
              </w:rPr>
              <w:t>能有漏水现象。试压管段不得采用闸阀作试压堵板。</w:t>
            </w:r>
          </w:p>
        </w:tc>
      </w:tr>
      <w:tr w14:paraId="01E1DE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9" w:hRule="atLeast"/>
        </w:trPr>
        <w:tc>
          <w:tcPr>
            <w:tcW w:w="246" w:type="dxa"/>
            <w:tcBorders>
              <w:left w:val="single" w:color="1C456A" w:sz="4" w:space="0"/>
              <w:bottom w:val="single" w:color="1C456A" w:sz="4" w:space="0"/>
              <w:right w:val="nil"/>
            </w:tcBorders>
            <w:vAlign w:val="top"/>
          </w:tcPr>
          <w:p w14:paraId="2E7A10BD">
            <w:pPr>
              <w:rPr>
                <w:rFonts w:ascii="Arial"/>
                <w:sz w:val="21"/>
              </w:rPr>
            </w:pPr>
            <w:r>
              <w:pict>
                <v:shape id="_x0000_s1476" o:spid="_x0000_s1476" style="position:absolute;left:0pt;margin-left:-0.25pt;margin-top:172pt;height:0.75pt;width:2.2pt;mso-position-horizontal-relative:page;mso-position-vertical-relative:page;z-index:251734016;mso-width-relative:page;mso-height-relative:page;" fillcolor="#5B9BD5" filled="t" stroked="f" coordsize="44,15" path="m0,14l43,14,43,0,0,0,0,14xe">
                  <v:path/>
                  <v:fill on="t" focussize="0,0"/>
                  <v:stroke on="f"/>
                  <v:imagedata o:title=""/>
                  <o:lock v:ext="edit"/>
                </v:shape>
              </w:pict>
            </w:r>
          </w:p>
        </w:tc>
        <w:tc>
          <w:tcPr>
            <w:tcW w:w="718" w:type="dxa"/>
            <w:tcBorders>
              <w:left w:val="nil"/>
              <w:bottom w:val="single" w:color="1C456A" w:sz="4" w:space="0"/>
            </w:tcBorders>
            <w:vAlign w:val="top"/>
          </w:tcPr>
          <w:p w14:paraId="2E42F6AE">
            <w:pPr>
              <w:spacing w:line="285" w:lineRule="auto"/>
              <w:rPr>
                <w:rFonts w:ascii="Arial"/>
                <w:sz w:val="21"/>
              </w:rPr>
            </w:pPr>
          </w:p>
          <w:p w14:paraId="79E64457">
            <w:pPr>
              <w:spacing w:line="285" w:lineRule="auto"/>
              <w:rPr>
                <w:rFonts w:ascii="Arial"/>
                <w:sz w:val="21"/>
              </w:rPr>
            </w:pPr>
          </w:p>
          <w:p w14:paraId="7AD8EA24">
            <w:pPr>
              <w:spacing w:line="286" w:lineRule="auto"/>
              <w:rPr>
                <w:rFonts w:ascii="Arial"/>
                <w:sz w:val="21"/>
              </w:rPr>
            </w:pPr>
          </w:p>
          <w:p w14:paraId="77D21026">
            <w:pPr>
              <w:spacing w:line="286" w:lineRule="auto"/>
              <w:rPr>
                <w:rFonts w:ascii="Arial"/>
                <w:sz w:val="21"/>
              </w:rPr>
            </w:pPr>
          </w:p>
          <w:p w14:paraId="318A4D96">
            <w:pPr>
              <w:spacing w:line="286" w:lineRule="auto"/>
              <w:rPr>
                <w:rFonts w:ascii="Arial"/>
                <w:sz w:val="21"/>
              </w:rPr>
            </w:pPr>
          </w:p>
          <w:p w14:paraId="28666585">
            <w:pPr>
              <w:pStyle w:val="7"/>
              <w:spacing w:before="78" w:line="237" w:lineRule="auto"/>
              <w:ind w:left="199"/>
            </w:pPr>
            <w:r>
              <w:t>3</w:t>
            </w:r>
          </w:p>
        </w:tc>
        <w:tc>
          <w:tcPr>
            <w:tcW w:w="1698" w:type="dxa"/>
            <w:tcBorders>
              <w:bottom w:val="single" w:color="000000" w:sz="4" w:space="0"/>
            </w:tcBorders>
            <w:vAlign w:val="top"/>
          </w:tcPr>
          <w:p w14:paraId="55DCF0BF">
            <w:pPr>
              <w:spacing w:line="285" w:lineRule="auto"/>
              <w:rPr>
                <w:rFonts w:ascii="Arial"/>
                <w:sz w:val="21"/>
              </w:rPr>
            </w:pPr>
          </w:p>
          <w:p w14:paraId="15274185">
            <w:pPr>
              <w:spacing w:line="285" w:lineRule="auto"/>
              <w:rPr>
                <w:rFonts w:ascii="Arial"/>
                <w:sz w:val="21"/>
              </w:rPr>
            </w:pPr>
          </w:p>
          <w:p w14:paraId="08E0408B">
            <w:pPr>
              <w:spacing w:line="286" w:lineRule="auto"/>
              <w:rPr>
                <w:rFonts w:ascii="Arial"/>
                <w:sz w:val="21"/>
              </w:rPr>
            </w:pPr>
          </w:p>
          <w:p w14:paraId="4BEA3015">
            <w:pPr>
              <w:spacing w:line="286" w:lineRule="auto"/>
              <w:rPr>
                <w:rFonts w:ascii="Arial"/>
                <w:sz w:val="21"/>
              </w:rPr>
            </w:pPr>
          </w:p>
          <w:p w14:paraId="57C3B9F0">
            <w:pPr>
              <w:spacing w:line="286" w:lineRule="auto"/>
              <w:rPr>
                <w:rFonts w:ascii="Arial"/>
                <w:sz w:val="21"/>
              </w:rPr>
            </w:pPr>
          </w:p>
          <w:p w14:paraId="361351FF">
            <w:pPr>
              <w:pStyle w:val="7"/>
              <w:spacing w:before="78" w:line="221" w:lineRule="auto"/>
              <w:ind w:left="414"/>
            </w:pPr>
            <w:r>
              <w:rPr>
                <w:spacing w:val="-15"/>
              </w:rPr>
              <w:t>试压装置</w:t>
            </w:r>
          </w:p>
        </w:tc>
        <w:tc>
          <w:tcPr>
            <w:tcW w:w="6127" w:type="dxa"/>
            <w:tcBorders>
              <w:bottom w:val="single" w:color="5B9BD5" w:sz="4" w:space="0"/>
              <w:right w:val="single" w:color="5B9BD5" w:sz="4" w:space="0"/>
            </w:tcBorders>
            <w:vAlign w:val="top"/>
          </w:tcPr>
          <w:p w14:paraId="7211F197">
            <w:pPr>
              <w:pStyle w:val="7"/>
              <w:spacing w:before="113" w:line="217" w:lineRule="auto"/>
              <w:ind w:left="66"/>
            </w:pPr>
            <w:r>
              <w:rPr>
                <w:spacing w:val="-20"/>
              </w:rPr>
              <w:t>压力表:弹簧压力表的精度不能低于1.5级，即压力表最大允许</w:t>
            </w:r>
          </w:p>
          <w:p w14:paraId="0FBDF6FD">
            <w:pPr>
              <w:pStyle w:val="7"/>
              <w:spacing w:before="186" w:line="218" w:lineRule="auto"/>
              <w:jc w:val="right"/>
            </w:pPr>
            <w:r>
              <w:rPr>
                <w:spacing w:val="-24"/>
              </w:rPr>
              <w:t>误差不超过最高刻度的1.5%。最大量程应为试验压力的1.5倍。</w:t>
            </w:r>
          </w:p>
          <w:p w14:paraId="287457D0">
            <w:pPr>
              <w:pStyle w:val="7"/>
              <w:spacing w:before="182" w:line="215" w:lineRule="auto"/>
              <w:ind w:left="72"/>
            </w:pPr>
            <w:r>
              <w:rPr>
                <w:spacing w:val="-21"/>
              </w:rPr>
              <w:t>为方便读数，表壳的公称直径不应小于150mm。且在</w:t>
            </w:r>
            <w:r>
              <w:rPr>
                <w:spacing w:val="-22"/>
              </w:rPr>
              <w:t>使用前应校</w:t>
            </w:r>
          </w:p>
          <w:p w14:paraId="3BA772AA">
            <w:pPr>
              <w:pStyle w:val="7"/>
              <w:spacing w:before="187" w:line="232" w:lineRule="auto"/>
              <w:ind w:left="2848"/>
            </w:pPr>
            <w:r>
              <w:rPr>
                <w:spacing w:val="-19"/>
              </w:rPr>
              <w:t>正。</w:t>
            </w:r>
          </w:p>
          <w:p w14:paraId="535F9470">
            <w:pPr>
              <w:pStyle w:val="7"/>
              <w:spacing w:before="164" w:line="218" w:lineRule="auto"/>
              <w:ind w:left="1810"/>
            </w:pPr>
            <w:r>
              <w:rPr>
                <w:spacing w:val="-21"/>
              </w:rPr>
              <w:t>加压泵:采用多级离心泵。</w:t>
            </w:r>
          </w:p>
          <w:p w14:paraId="32E8EF1E">
            <w:pPr>
              <w:pStyle w:val="7"/>
              <w:spacing w:before="185" w:line="215" w:lineRule="auto"/>
              <w:ind w:left="62"/>
            </w:pPr>
            <w:r>
              <w:rPr>
                <w:spacing w:val="-25"/>
              </w:rPr>
              <w:t>加压泵、压力表应安装在试验段下游端部与管道轴线垂直的支管</w:t>
            </w:r>
          </w:p>
          <w:p w14:paraId="231319DB">
            <w:pPr>
              <w:pStyle w:val="7"/>
              <w:spacing w:before="185" w:line="232" w:lineRule="auto"/>
              <w:ind w:left="2847"/>
            </w:pPr>
            <w:r>
              <w:rPr>
                <w:spacing w:val="-18"/>
              </w:rPr>
              <w:t>上。</w:t>
            </w:r>
          </w:p>
        </w:tc>
      </w:tr>
    </w:tbl>
    <w:p w14:paraId="1EE27025">
      <w:pPr>
        <w:rPr>
          <w:rFonts w:ascii="Arial"/>
          <w:sz w:val="21"/>
        </w:rPr>
      </w:pPr>
    </w:p>
    <w:p w14:paraId="27846CD0">
      <w:pPr>
        <w:spacing w:line="214" w:lineRule="exact"/>
      </w:pPr>
    </w:p>
    <w:tbl>
      <w:tblPr>
        <w:tblStyle w:val="6"/>
        <w:tblW w:w="8789" w:type="dxa"/>
        <w:tblInd w:w="155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45"/>
        <w:gridCol w:w="714"/>
        <w:gridCol w:w="1697"/>
        <w:gridCol w:w="6133"/>
      </w:tblGrid>
      <w:tr w14:paraId="79CCA8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89" w:hRule="atLeast"/>
        </w:trPr>
        <w:tc>
          <w:tcPr>
            <w:tcW w:w="959" w:type="dxa"/>
            <w:gridSpan w:val="2"/>
            <w:tcBorders>
              <w:top w:val="single" w:color="000000" w:sz="4" w:space="0"/>
              <w:left w:val="single" w:color="000000" w:sz="4" w:space="0"/>
            </w:tcBorders>
            <w:vAlign w:val="top"/>
          </w:tcPr>
          <w:p w14:paraId="126F44AE">
            <w:pPr>
              <w:rPr>
                <w:rFonts w:ascii="Arial"/>
                <w:sz w:val="21"/>
              </w:rPr>
            </w:pPr>
          </w:p>
        </w:tc>
        <w:tc>
          <w:tcPr>
            <w:tcW w:w="1697" w:type="dxa"/>
            <w:tcBorders>
              <w:top w:val="single" w:color="000000" w:sz="4" w:space="0"/>
            </w:tcBorders>
            <w:vAlign w:val="top"/>
          </w:tcPr>
          <w:p w14:paraId="6BA5762E">
            <w:pPr>
              <w:rPr>
                <w:rFonts w:ascii="Arial"/>
                <w:sz w:val="21"/>
              </w:rPr>
            </w:pPr>
          </w:p>
        </w:tc>
        <w:tc>
          <w:tcPr>
            <w:tcW w:w="6133" w:type="dxa"/>
            <w:tcBorders>
              <w:top w:val="single" w:color="5B9BD5" w:sz="4" w:space="0"/>
              <w:right w:val="single" w:color="5B9BD5" w:sz="4" w:space="0"/>
            </w:tcBorders>
            <w:vAlign w:val="top"/>
          </w:tcPr>
          <w:p w14:paraId="6BC95EB3">
            <w:pPr>
              <w:pStyle w:val="7"/>
              <w:spacing w:before="129" w:line="217" w:lineRule="auto"/>
              <w:jc w:val="right"/>
            </w:pPr>
            <w:r>
              <w:rPr>
                <w:spacing w:val="-27"/>
              </w:rPr>
              <w:t>试压堵板:堵板必须有足够的强度，试压过程中，堵板不能变形，</w:t>
            </w:r>
          </w:p>
          <w:p w14:paraId="7D2374C6">
            <w:pPr>
              <w:pStyle w:val="7"/>
              <w:spacing w:before="183" w:line="217" w:lineRule="auto"/>
              <w:ind w:left="1771"/>
            </w:pPr>
            <w:r>
              <w:rPr>
                <w:spacing w:val="-23"/>
              </w:rPr>
              <w:t>与管道的接口处不能漏水。</w:t>
            </w:r>
          </w:p>
        </w:tc>
      </w:tr>
      <w:tr w14:paraId="544C65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584" w:hRule="atLeast"/>
        </w:trPr>
        <w:tc>
          <w:tcPr>
            <w:tcW w:w="959" w:type="dxa"/>
            <w:gridSpan w:val="2"/>
            <w:tcBorders>
              <w:left w:val="single" w:color="000000" w:sz="4" w:space="0"/>
            </w:tcBorders>
            <w:vAlign w:val="top"/>
          </w:tcPr>
          <w:p w14:paraId="424C4016">
            <w:pPr>
              <w:spacing w:line="249" w:lineRule="auto"/>
              <w:rPr>
                <w:rFonts w:ascii="Arial"/>
                <w:sz w:val="21"/>
              </w:rPr>
            </w:pPr>
          </w:p>
          <w:p w14:paraId="3F076858">
            <w:pPr>
              <w:spacing w:line="249" w:lineRule="auto"/>
              <w:rPr>
                <w:rFonts w:ascii="Arial"/>
                <w:sz w:val="21"/>
              </w:rPr>
            </w:pPr>
          </w:p>
          <w:p w14:paraId="2C0D4C1E">
            <w:pPr>
              <w:spacing w:line="249" w:lineRule="auto"/>
              <w:rPr>
                <w:rFonts w:ascii="Arial"/>
                <w:sz w:val="21"/>
              </w:rPr>
            </w:pPr>
          </w:p>
          <w:p w14:paraId="40E13638">
            <w:pPr>
              <w:spacing w:line="249" w:lineRule="auto"/>
              <w:rPr>
                <w:rFonts w:ascii="Arial"/>
                <w:sz w:val="21"/>
              </w:rPr>
            </w:pPr>
          </w:p>
          <w:p w14:paraId="543C8869">
            <w:pPr>
              <w:spacing w:line="249" w:lineRule="auto"/>
              <w:rPr>
                <w:rFonts w:ascii="Arial"/>
                <w:sz w:val="21"/>
              </w:rPr>
            </w:pPr>
          </w:p>
          <w:p w14:paraId="4A31F081">
            <w:pPr>
              <w:spacing w:line="249" w:lineRule="auto"/>
              <w:rPr>
                <w:rFonts w:ascii="Arial"/>
                <w:sz w:val="21"/>
              </w:rPr>
            </w:pPr>
          </w:p>
          <w:p w14:paraId="1D534592">
            <w:pPr>
              <w:spacing w:line="250" w:lineRule="auto"/>
              <w:rPr>
                <w:rFonts w:ascii="Arial"/>
                <w:sz w:val="21"/>
              </w:rPr>
            </w:pPr>
          </w:p>
          <w:p w14:paraId="0E22102C">
            <w:pPr>
              <w:spacing w:line="250" w:lineRule="auto"/>
              <w:rPr>
                <w:rFonts w:ascii="Arial"/>
                <w:sz w:val="21"/>
              </w:rPr>
            </w:pPr>
          </w:p>
          <w:p w14:paraId="700CE449">
            <w:pPr>
              <w:spacing w:line="250" w:lineRule="auto"/>
              <w:rPr>
                <w:rFonts w:ascii="Arial"/>
                <w:sz w:val="21"/>
              </w:rPr>
            </w:pPr>
          </w:p>
          <w:p w14:paraId="0858A90E">
            <w:pPr>
              <w:spacing w:line="250" w:lineRule="auto"/>
              <w:rPr>
                <w:rFonts w:ascii="Arial"/>
                <w:sz w:val="21"/>
              </w:rPr>
            </w:pPr>
          </w:p>
          <w:p w14:paraId="17C2373F">
            <w:pPr>
              <w:spacing w:line="250" w:lineRule="auto"/>
              <w:rPr>
                <w:rFonts w:ascii="Arial"/>
                <w:sz w:val="21"/>
              </w:rPr>
            </w:pPr>
          </w:p>
          <w:p w14:paraId="2B69729F">
            <w:pPr>
              <w:spacing w:line="250" w:lineRule="auto"/>
              <w:rPr>
                <w:rFonts w:ascii="Arial"/>
                <w:sz w:val="21"/>
              </w:rPr>
            </w:pPr>
          </w:p>
          <w:p w14:paraId="2929A639">
            <w:pPr>
              <w:spacing w:line="250" w:lineRule="auto"/>
              <w:rPr>
                <w:rFonts w:ascii="Arial"/>
                <w:sz w:val="21"/>
              </w:rPr>
            </w:pPr>
          </w:p>
          <w:p w14:paraId="495B4C76">
            <w:pPr>
              <w:spacing w:line="250" w:lineRule="auto"/>
              <w:rPr>
                <w:rFonts w:ascii="Arial"/>
                <w:sz w:val="21"/>
              </w:rPr>
            </w:pPr>
          </w:p>
          <w:p w14:paraId="49290240">
            <w:pPr>
              <w:pStyle w:val="7"/>
              <w:spacing w:before="78" w:line="238" w:lineRule="auto"/>
              <w:ind w:left="434"/>
            </w:pPr>
            <w:r>
              <w:t>4</w:t>
            </w:r>
          </w:p>
        </w:tc>
        <w:tc>
          <w:tcPr>
            <w:tcW w:w="1697" w:type="dxa"/>
            <w:vAlign w:val="top"/>
          </w:tcPr>
          <w:p w14:paraId="25E6FB98">
            <w:pPr>
              <w:spacing w:line="249" w:lineRule="auto"/>
              <w:rPr>
                <w:rFonts w:ascii="Arial"/>
                <w:sz w:val="21"/>
              </w:rPr>
            </w:pPr>
          </w:p>
          <w:p w14:paraId="6BB5FF2F">
            <w:pPr>
              <w:spacing w:line="249" w:lineRule="auto"/>
              <w:rPr>
                <w:rFonts w:ascii="Arial"/>
                <w:sz w:val="21"/>
              </w:rPr>
            </w:pPr>
          </w:p>
          <w:p w14:paraId="59348D6A">
            <w:pPr>
              <w:spacing w:line="249" w:lineRule="auto"/>
              <w:rPr>
                <w:rFonts w:ascii="Arial"/>
                <w:sz w:val="21"/>
              </w:rPr>
            </w:pPr>
          </w:p>
          <w:p w14:paraId="7DFA3B31">
            <w:pPr>
              <w:spacing w:line="249" w:lineRule="auto"/>
              <w:rPr>
                <w:rFonts w:ascii="Arial"/>
                <w:sz w:val="21"/>
              </w:rPr>
            </w:pPr>
          </w:p>
          <w:p w14:paraId="1AB050AF">
            <w:pPr>
              <w:spacing w:line="249" w:lineRule="auto"/>
              <w:rPr>
                <w:rFonts w:ascii="Arial"/>
                <w:sz w:val="21"/>
              </w:rPr>
            </w:pPr>
          </w:p>
          <w:p w14:paraId="12BADE48">
            <w:pPr>
              <w:spacing w:line="249" w:lineRule="auto"/>
              <w:rPr>
                <w:rFonts w:ascii="Arial"/>
                <w:sz w:val="21"/>
              </w:rPr>
            </w:pPr>
          </w:p>
          <w:p w14:paraId="7D262847">
            <w:pPr>
              <w:spacing w:line="250" w:lineRule="auto"/>
              <w:rPr>
                <w:rFonts w:ascii="Arial"/>
                <w:sz w:val="21"/>
              </w:rPr>
            </w:pPr>
          </w:p>
          <w:p w14:paraId="4DAA079A">
            <w:pPr>
              <w:spacing w:line="250" w:lineRule="auto"/>
              <w:rPr>
                <w:rFonts w:ascii="Arial"/>
                <w:sz w:val="21"/>
              </w:rPr>
            </w:pPr>
          </w:p>
          <w:p w14:paraId="43FFED46">
            <w:pPr>
              <w:spacing w:line="250" w:lineRule="auto"/>
              <w:rPr>
                <w:rFonts w:ascii="Arial"/>
                <w:sz w:val="21"/>
              </w:rPr>
            </w:pPr>
          </w:p>
          <w:p w14:paraId="17474C8E">
            <w:pPr>
              <w:spacing w:line="250" w:lineRule="auto"/>
              <w:rPr>
                <w:rFonts w:ascii="Arial"/>
                <w:sz w:val="21"/>
              </w:rPr>
            </w:pPr>
          </w:p>
          <w:p w14:paraId="0425668E">
            <w:pPr>
              <w:spacing w:line="250" w:lineRule="auto"/>
              <w:rPr>
                <w:rFonts w:ascii="Arial"/>
                <w:sz w:val="21"/>
              </w:rPr>
            </w:pPr>
          </w:p>
          <w:p w14:paraId="7AF1F1E3">
            <w:pPr>
              <w:spacing w:line="250" w:lineRule="auto"/>
              <w:rPr>
                <w:rFonts w:ascii="Arial"/>
                <w:sz w:val="21"/>
              </w:rPr>
            </w:pPr>
          </w:p>
          <w:p w14:paraId="493AB173">
            <w:pPr>
              <w:spacing w:line="250" w:lineRule="auto"/>
              <w:rPr>
                <w:rFonts w:ascii="Arial"/>
                <w:sz w:val="21"/>
              </w:rPr>
            </w:pPr>
          </w:p>
          <w:p w14:paraId="561077CB">
            <w:pPr>
              <w:spacing w:line="250" w:lineRule="auto"/>
              <w:rPr>
                <w:rFonts w:ascii="Arial"/>
                <w:sz w:val="21"/>
              </w:rPr>
            </w:pPr>
          </w:p>
          <w:p w14:paraId="5BC51F81">
            <w:pPr>
              <w:pStyle w:val="7"/>
              <w:spacing w:before="78" w:line="218" w:lineRule="auto"/>
              <w:ind w:left="201"/>
            </w:pPr>
            <w:r>
              <w:rPr>
                <w:spacing w:val="-18"/>
              </w:rPr>
              <w:t>试压时的要求</w:t>
            </w:r>
          </w:p>
        </w:tc>
        <w:tc>
          <w:tcPr>
            <w:tcW w:w="6133" w:type="dxa"/>
            <w:tcBorders>
              <w:right w:val="single" w:color="000000" w:sz="4" w:space="0"/>
            </w:tcBorders>
            <w:vAlign w:val="top"/>
          </w:tcPr>
          <w:p w14:paraId="299529E5">
            <w:pPr>
              <w:pStyle w:val="7"/>
              <w:spacing w:before="92" w:line="212" w:lineRule="auto"/>
              <w:ind w:left="1285"/>
            </w:pPr>
            <w:r>
              <w:rPr>
                <w:spacing w:val="-19"/>
              </w:rPr>
              <w:t>管道实验压力为管道特性压力+2Mpa。</w:t>
            </w:r>
          </w:p>
          <w:p w14:paraId="47BA6A69">
            <w:pPr>
              <w:pStyle w:val="7"/>
              <w:spacing w:before="192" w:line="217" w:lineRule="auto"/>
              <w:ind w:left="85"/>
            </w:pPr>
            <w:r>
              <w:rPr>
                <w:spacing w:val="-19"/>
              </w:rPr>
              <w:t>管道充水:管道试压前3天，向试压管道充水，充水时水自</w:t>
            </w:r>
            <w:r>
              <w:rPr>
                <w:spacing w:val="-20"/>
              </w:rPr>
              <w:t>管道</w:t>
            </w:r>
          </w:p>
          <w:p w14:paraId="4C15F0B3">
            <w:pPr>
              <w:pStyle w:val="7"/>
              <w:spacing w:before="185" w:line="216" w:lineRule="auto"/>
              <w:ind w:left="69"/>
            </w:pPr>
            <w:r>
              <w:rPr>
                <w:spacing w:val="-25"/>
              </w:rPr>
              <w:t>低端流入，并打开排气阀，当充水至排出的水流中不带气泡且水</w:t>
            </w:r>
          </w:p>
          <w:p w14:paraId="251EFDE0">
            <w:pPr>
              <w:pStyle w:val="7"/>
              <w:spacing w:before="185" w:line="217" w:lineRule="auto"/>
              <w:ind w:left="69"/>
            </w:pPr>
            <w:r>
              <w:rPr>
                <w:spacing w:val="-25"/>
              </w:rPr>
              <w:t>流连续时，关闭排气阀，停止充水。试压前管道充水浸泡的时间</w:t>
            </w:r>
          </w:p>
          <w:p w14:paraId="0336292C">
            <w:pPr>
              <w:pStyle w:val="7"/>
              <w:spacing w:before="185" w:line="219" w:lineRule="auto"/>
              <w:ind w:left="2259"/>
            </w:pPr>
            <w:r>
              <w:rPr>
                <w:spacing w:val="-11"/>
              </w:rPr>
              <w:t>不少于48小时。</w:t>
            </w:r>
          </w:p>
          <w:p w14:paraId="4D2EDA0A">
            <w:pPr>
              <w:pStyle w:val="7"/>
              <w:spacing w:before="180" w:line="217" w:lineRule="auto"/>
              <w:ind w:left="75"/>
            </w:pPr>
            <w:r>
              <w:rPr>
                <w:spacing w:val="-21"/>
              </w:rPr>
              <w:t>升压:水压试验前，应多次进行初步升压试验方可将管道内的气</w:t>
            </w:r>
          </w:p>
          <w:p w14:paraId="0B6A7545">
            <w:pPr>
              <w:pStyle w:val="7"/>
              <w:spacing w:before="186" w:line="217" w:lineRule="auto"/>
              <w:jc w:val="right"/>
            </w:pPr>
            <w:r>
              <w:rPr>
                <w:spacing w:val="-31"/>
              </w:rPr>
              <w:t>体排尽，当且仅当确定管道内的气体排尽后，才</w:t>
            </w:r>
            <w:r>
              <w:rPr>
                <w:spacing w:val="-32"/>
              </w:rPr>
              <w:t>能进行水压试验。</w:t>
            </w:r>
          </w:p>
          <w:p w14:paraId="35473708">
            <w:pPr>
              <w:pStyle w:val="7"/>
              <w:spacing w:before="184" w:line="217" w:lineRule="auto"/>
              <w:jc w:val="right"/>
            </w:pPr>
            <w:r>
              <w:rPr>
                <w:spacing w:val="-22"/>
              </w:rPr>
              <w:t>出现下列3种情况表明管道内的气体未排干净，应继续排气:A、</w:t>
            </w:r>
          </w:p>
          <w:p w14:paraId="4A24370E">
            <w:pPr>
              <w:pStyle w:val="7"/>
              <w:spacing w:before="186" w:line="217" w:lineRule="auto"/>
              <w:ind w:left="73"/>
            </w:pPr>
            <w:r>
              <w:rPr>
                <w:spacing w:val="-24"/>
              </w:rPr>
              <w:t>升压时，水泵不断充水，但升压很慢;B、升压时，压力表指针摆</w:t>
            </w:r>
          </w:p>
          <w:p w14:paraId="4F392F44">
            <w:pPr>
              <w:pStyle w:val="7"/>
              <w:spacing w:before="184" w:line="215" w:lineRule="auto"/>
              <w:ind w:left="103"/>
            </w:pPr>
            <w:r>
              <w:rPr>
                <w:spacing w:val="-14"/>
              </w:rPr>
              <w:t>动幅度很大且第301页/共376页读数不稳定;C、当升压至80%</w:t>
            </w:r>
          </w:p>
          <w:p w14:paraId="3149A0EB">
            <w:pPr>
              <w:pStyle w:val="7"/>
              <w:spacing w:before="188" w:line="216" w:lineRule="auto"/>
              <w:ind w:left="86"/>
            </w:pPr>
            <w:r>
              <w:rPr>
                <w:spacing w:val="-25"/>
              </w:rPr>
              <w:t>时，停止升压，打开放水阀门，水柱中有“突</w:t>
            </w:r>
            <w:r>
              <w:rPr>
                <w:spacing w:val="-26"/>
              </w:rPr>
              <w:t>突”的声响并喷出</w:t>
            </w:r>
          </w:p>
          <w:p w14:paraId="20BD4366">
            <w:pPr>
              <w:pStyle w:val="7"/>
              <w:spacing w:before="185" w:line="212" w:lineRule="auto"/>
              <w:ind w:left="74"/>
            </w:pPr>
            <w:r>
              <w:rPr>
                <w:spacing w:val="-18"/>
              </w:rPr>
              <w:t>许多气泡。升压时要分级升压，每次以0.2Mpa为一级，每升一</w:t>
            </w:r>
          </w:p>
          <w:p w14:paraId="72051CA5">
            <w:pPr>
              <w:pStyle w:val="7"/>
              <w:spacing w:before="192" w:line="216" w:lineRule="auto"/>
              <w:ind w:left="72"/>
            </w:pPr>
            <w:r>
              <w:rPr>
                <w:spacing w:val="-26"/>
              </w:rPr>
              <w:t>级检查后背、管身及接口，当确定无异常后，才能继续升压。水</w:t>
            </w:r>
          </w:p>
          <w:p w14:paraId="0C438E1B">
            <w:pPr>
              <w:pStyle w:val="7"/>
              <w:spacing w:before="185" w:line="218" w:lineRule="auto"/>
              <w:ind w:left="72"/>
            </w:pPr>
            <w:r>
              <w:rPr>
                <w:spacing w:val="-21"/>
              </w:rPr>
              <w:t>压试验时，后背顶撑和管道两端严禁站人。水压试验时,严禁对</w:t>
            </w:r>
          </w:p>
          <w:p w14:paraId="5BD68F43">
            <w:pPr>
              <w:pStyle w:val="7"/>
              <w:spacing w:before="185" w:line="216" w:lineRule="auto"/>
              <w:ind w:left="82"/>
            </w:pPr>
            <w:r>
              <w:rPr>
                <w:spacing w:val="-25"/>
              </w:rPr>
              <w:t>管身、接口进行敲打或修补缺陷，遇有缺陷</w:t>
            </w:r>
            <w:r>
              <w:rPr>
                <w:spacing w:val="-26"/>
              </w:rPr>
              <w:t>时，应作出标记，卸</w:t>
            </w:r>
          </w:p>
          <w:p w14:paraId="5933EF0A">
            <w:pPr>
              <w:pStyle w:val="7"/>
              <w:spacing w:before="185" w:line="217" w:lineRule="auto"/>
              <w:ind w:left="2306"/>
            </w:pPr>
            <w:r>
              <w:rPr>
                <w:spacing w:val="-19"/>
              </w:rPr>
              <w:t>压后才能修补。</w:t>
            </w:r>
          </w:p>
        </w:tc>
      </w:tr>
      <w:tr w14:paraId="531694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50" w:hRule="atLeast"/>
        </w:trPr>
        <w:tc>
          <w:tcPr>
            <w:tcW w:w="959" w:type="dxa"/>
            <w:gridSpan w:val="2"/>
            <w:tcBorders>
              <w:left w:val="single" w:color="000000" w:sz="4" w:space="0"/>
            </w:tcBorders>
            <w:vAlign w:val="top"/>
          </w:tcPr>
          <w:p w14:paraId="7F4C08E7">
            <w:pPr>
              <w:spacing w:line="252" w:lineRule="auto"/>
              <w:rPr>
                <w:rFonts w:ascii="Arial"/>
                <w:sz w:val="21"/>
              </w:rPr>
            </w:pPr>
          </w:p>
          <w:p w14:paraId="262E1BF0">
            <w:pPr>
              <w:pStyle w:val="7"/>
              <w:spacing w:before="78" w:line="237" w:lineRule="auto"/>
              <w:ind w:left="440"/>
            </w:pPr>
            <w:r>
              <w:t>5</w:t>
            </w:r>
          </w:p>
        </w:tc>
        <w:tc>
          <w:tcPr>
            <w:tcW w:w="1697" w:type="dxa"/>
            <w:vAlign w:val="top"/>
          </w:tcPr>
          <w:p w14:paraId="69E40D19">
            <w:pPr>
              <w:pStyle w:val="7"/>
              <w:spacing w:before="101" w:line="359" w:lineRule="auto"/>
              <w:ind w:left="529" w:right="66" w:hanging="437"/>
            </w:pPr>
            <w:r>
              <w:rPr>
                <w:spacing w:val="-22"/>
              </w:rPr>
              <w:t>水压试验的要求</w:t>
            </w:r>
            <w:r>
              <w:rPr>
                <w:spacing w:val="-13"/>
              </w:rPr>
              <w:t>和标准</w:t>
            </w:r>
          </w:p>
        </w:tc>
        <w:tc>
          <w:tcPr>
            <w:tcW w:w="6133" w:type="dxa"/>
            <w:tcBorders>
              <w:right w:val="single" w:color="000000" w:sz="4" w:space="0"/>
            </w:tcBorders>
            <w:vAlign w:val="top"/>
          </w:tcPr>
          <w:p w14:paraId="29EEE195">
            <w:pPr>
              <w:pStyle w:val="7"/>
              <w:spacing w:before="100" w:line="212" w:lineRule="auto"/>
              <w:jc w:val="right"/>
            </w:pPr>
            <w:r>
              <w:rPr>
                <w:spacing w:val="-22"/>
              </w:rPr>
              <w:t>在整个试压期间，不论管段有多长，压力下降值不超过0.3Mpa。</w:t>
            </w:r>
          </w:p>
          <w:p w14:paraId="12952350">
            <w:pPr>
              <w:pStyle w:val="7"/>
              <w:spacing w:before="190" w:line="215" w:lineRule="auto"/>
              <w:ind w:left="347"/>
            </w:pPr>
            <w:r>
              <w:rPr>
                <w:spacing w:val="-21"/>
              </w:rPr>
              <w:t>在实验压力下，管段不得出现裂缝、变色、渗漏等现象。</w:t>
            </w:r>
          </w:p>
        </w:tc>
      </w:tr>
      <w:tr w14:paraId="3909C7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60" w:hRule="atLeast"/>
        </w:trPr>
        <w:tc>
          <w:tcPr>
            <w:tcW w:w="245" w:type="dxa"/>
            <w:tcBorders>
              <w:left w:val="single" w:color="1C456A" w:sz="4" w:space="0"/>
              <w:bottom w:val="single" w:color="1C456A" w:sz="4" w:space="0"/>
              <w:right w:val="nil"/>
            </w:tcBorders>
            <w:vAlign w:val="top"/>
          </w:tcPr>
          <w:p w14:paraId="20E4389C">
            <w:pPr>
              <w:rPr>
                <w:rFonts w:ascii="Arial"/>
                <w:sz w:val="21"/>
              </w:rPr>
            </w:pPr>
            <w:r>
              <w:pict>
                <v:shape id="_x0000_s1477" o:spid="_x0000_s1477" style="position:absolute;left:0pt;margin-left:-0.25pt;margin-top:218.05pt;height:0.75pt;width:2.2pt;mso-position-horizontal-relative:page;mso-position-vertical-relative:page;z-index:251735040;mso-width-relative:page;mso-height-relative:page;" fillcolor="#5B9BD5" filled="t" stroked="f" coordsize="44,15" path="m0,14l43,14,43,0,0,0,0,14xe">
                  <v:path/>
                  <v:fill on="t" focussize="0,0"/>
                  <v:stroke on="f"/>
                  <v:imagedata o:title=""/>
                  <o:lock v:ext="edit"/>
                </v:shape>
              </w:pict>
            </w:r>
          </w:p>
        </w:tc>
        <w:tc>
          <w:tcPr>
            <w:tcW w:w="714" w:type="dxa"/>
            <w:tcBorders>
              <w:left w:val="nil"/>
              <w:bottom w:val="single" w:color="1C456A" w:sz="4" w:space="0"/>
            </w:tcBorders>
            <w:vAlign w:val="top"/>
          </w:tcPr>
          <w:p w14:paraId="345D3FCF">
            <w:pPr>
              <w:spacing w:line="268" w:lineRule="auto"/>
              <w:rPr>
                <w:rFonts w:ascii="Arial"/>
                <w:sz w:val="21"/>
              </w:rPr>
            </w:pPr>
          </w:p>
          <w:p w14:paraId="4201B570">
            <w:pPr>
              <w:spacing w:line="268" w:lineRule="auto"/>
              <w:rPr>
                <w:rFonts w:ascii="Arial"/>
                <w:sz w:val="21"/>
              </w:rPr>
            </w:pPr>
          </w:p>
          <w:p w14:paraId="6AE1C2F4">
            <w:pPr>
              <w:spacing w:line="269" w:lineRule="auto"/>
              <w:rPr>
                <w:rFonts w:ascii="Arial"/>
                <w:sz w:val="21"/>
              </w:rPr>
            </w:pPr>
          </w:p>
          <w:p w14:paraId="4BA74A84">
            <w:pPr>
              <w:spacing w:line="269" w:lineRule="auto"/>
              <w:rPr>
                <w:rFonts w:ascii="Arial"/>
                <w:sz w:val="21"/>
              </w:rPr>
            </w:pPr>
          </w:p>
          <w:p w14:paraId="60D01414">
            <w:pPr>
              <w:spacing w:line="269" w:lineRule="auto"/>
              <w:rPr>
                <w:rFonts w:ascii="Arial"/>
                <w:sz w:val="21"/>
              </w:rPr>
            </w:pPr>
          </w:p>
          <w:p w14:paraId="28FD2E35">
            <w:pPr>
              <w:spacing w:line="269" w:lineRule="auto"/>
              <w:rPr>
                <w:rFonts w:ascii="Arial"/>
                <w:sz w:val="21"/>
              </w:rPr>
            </w:pPr>
          </w:p>
          <w:p w14:paraId="593D8777">
            <w:pPr>
              <w:spacing w:line="269" w:lineRule="auto"/>
              <w:rPr>
                <w:rFonts w:ascii="Arial"/>
                <w:sz w:val="21"/>
              </w:rPr>
            </w:pPr>
          </w:p>
          <w:p w14:paraId="0544EDD9">
            <w:pPr>
              <w:pStyle w:val="7"/>
              <w:spacing w:before="78" w:line="237" w:lineRule="auto"/>
              <w:ind w:left="197"/>
            </w:pPr>
            <w:r>
              <w:t>6</w:t>
            </w:r>
          </w:p>
        </w:tc>
        <w:tc>
          <w:tcPr>
            <w:tcW w:w="1697" w:type="dxa"/>
            <w:tcBorders>
              <w:bottom w:val="single" w:color="000000" w:sz="4" w:space="0"/>
            </w:tcBorders>
            <w:vAlign w:val="top"/>
          </w:tcPr>
          <w:p w14:paraId="0E7F8FD3">
            <w:pPr>
              <w:spacing w:line="268" w:lineRule="auto"/>
              <w:rPr>
                <w:rFonts w:ascii="Arial"/>
                <w:sz w:val="21"/>
              </w:rPr>
            </w:pPr>
          </w:p>
          <w:p w14:paraId="7E90772C">
            <w:pPr>
              <w:spacing w:line="268" w:lineRule="auto"/>
              <w:rPr>
                <w:rFonts w:ascii="Arial"/>
                <w:sz w:val="21"/>
              </w:rPr>
            </w:pPr>
          </w:p>
          <w:p w14:paraId="11455E54">
            <w:pPr>
              <w:spacing w:line="269" w:lineRule="auto"/>
              <w:rPr>
                <w:rFonts w:ascii="Arial"/>
                <w:sz w:val="21"/>
              </w:rPr>
            </w:pPr>
          </w:p>
          <w:p w14:paraId="085561AC">
            <w:pPr>
              <w:spacing w:line="269" w:lineRule="auto"/>
              <w:rPr>
                <w:rFonts w:ascii="Arial"/>
                <w:sz w:val="21"/>
              </w:rPr>
            </w:pPr>
          </w:p>
          <w:p w14:paraId="237D833E">
            <w:pPr>
              <w:spacing w:line="269" w:lineRule="auto"/>
              <w:rPr>
                <w:rFonts w:ascii="Arial"/>
                <w:sz w:val="21"/>
              </w:rPr>
            </w:pPr>
          </w:p>
          <w:p w14:paraId="5EC05C1F">
            <w:pPr>
              <w:spacing w:line="269" w:lineRule="auto"/>
              <w:rPr>
                <w:rFonts w:ascii="Arial"/>
                <w:sz w:val="21"/>
              </w:rPr>
            </w:pPr>
          </w:p>
          <w:p w14:paraId="27B76A55">
            <w:pPr>
              <w:spacing w:line="269" w:lineRule="auto"/>
              <w:rPr>
                <w:rFonts w:ascii="Arial"/>
                <w:sz w:val="21"/>
              </w:rPr>
            </w:pPr>
          </w:p>
          <w:p w14:paraId="32594639">
            <w:pPr>
              <w:pStyle w:val="7"/>
              <w:spacing w:before="78" w:line="218" w:lineRule="auto"/>
              <w:ind w:left="435"/>
            </w:pPr>
            <w:r>
              <w:rPr>
                <w:spacing w:val="-19"/>
              </w:rPr>
              <w:t>管道冲洗</w:t>
            </w:r>
          </w:p>
        </w:tc>
        <w:tc>
          <w:tcPr>
            <w:tcW w:w="6133" w:type="dxa"/>
            <w:tcBorders>
              <w:bottom w:val="single" w:color="5B9BD5" w:sz="4" w:space="0"/>
              <w:right w:val="single" w:color="5B9BD5" w:sz="4" w:space="0"/>
            </w:tcBorders>
            <w:vAlign w:val="top"/>
          </w:tcPr>
          <w:p w14:paraId="0B818974">
            <w:pPr>
              <w:pStyle w:val="7"/>
              <w:spacing w:before="101" w:line="215" w:lineRule="auto"/>
              <w:jc w:val="right"/>
            </w:pPr>
            <w:r>
              <w:rPr>
                <w:spacing w:val="-24"/>
              </w:rPr>
              <w:t>管网的冲洗应在强度试验合格后分段进行，应先</w:t>
            </w:r>
            <w:r>
              <w:rPr>
                <w:spacing w:val="-25"/>
              </w:rPr>
              <w:t>地下，后地上，</w:t>
            </w:r>
          </w:p>
          <w:p w14:paraId="095FC648">
            <w:pPr>
              <w:pStyle w:val="7"/>
              <w:spacing w:before="188" w:line="218" w:lineRule="auto"/>
              <w:ind w:left="1163"/>
            </w:pPr>
            <w:r>
              <w:rPr>
                <w:spacing w:val="-20"/>
              </w:rPr>
              <w:t>其顺序:配水干管—配水管—配水支管。</w:t>
            </w:r>
          </w:p>
          <w:p w14:paraId="5ED450F3">
            <w:pPr>
              <w:pStyle w:val="7"/>
              <w:spacing w:before="181" w:line="217" w:lineRule="auto"/>
              <w:ind w:left="72"/>
            </w:pPr>
            <w:r>
              <w:rPr>
                <w:spacing w:val="-25"/>
              </w:rPr>
              <w:t>冲洗前，应对系统的仪表采取保护措施，止回阀和报警阀等应拆</w:t>
            </w:r>
          </w:p>
          <w:p w14:paraId="494C5BB1">
            <w:pPr>
              <w:pStyle w:val="7"/>
              <w:spacing w:before="187" w:line="215" w:lineRule="auto"/>
              <w:ind w:left="83"/>
            </w:pPr>
            <w:r>
              <w:rPr>
                <w:spacing w:val="-21"/>
              </w:rPr>
              <w:t>除，在其结束后及时复位，对管道的支架，吊架</w:t>
            </w:r>
            <w:r>
              <w:rPr>
                <w:spacing w:val="-22"/>
              </w:rPr>
              <w:t>进行检查,必要</w:t>
            </w:r>
          </w:p>
          <w:p w14:paraId="10F9A0F1">
            <w:pPr>
              <w:pStyle w:val="7"/>
              <w:spacing w:before="188" w:line="215" w:lineRule="auto"/>
              <w:ind w:left="86"/>
            </w:pPr>
            <w:r>
              <w:rPr>
                <w:spacing w:val="-25"/>
              </w:rPr>
              <w:t>时应采取加固措施。对不能经受冲洗的设备和</w:t>
            </w:r>
            <w:r>
              <w:rPr>
                <w:spacing w:val="-26"/>
              </w:rPr>
              <w:t>冲洗后可能存留脏</w:t>
            </w:r>
          </w:p>
          <w:p w14:paraId="14566BA8">
            <w:pPr>
              <w:pStyle w:val="7"/>
              <w:spacing w:before="185" w:line="217" w:lineRule="auto"/>
              <w:ind w:left="70"/>
            </w:pPr>
            <w:r>
              <w:rPr>
                <w:spacing w:val="-24"/>
              </w:rPr>
              <w:t>物、杂物的管段应进行清理，冲洗直径100mm以上的管道时，应</w:t>
            </w:r>
          </w:p>
          <w:p w14:paraId="1F747926">
            <w:pPr>
              <w:pStyle w:val="7"/>
              <w:spacing w:before="186" w:line="217" w:lineRule="auto"/>
              <w:ind w:left="892"/>
            </w:pPr>
            <w:r>
              <w:rPr>
                <w:spacing w:val="-21"/>
              </w:rPr>
              <w:t>对其死角和底部进行敲打，但不得损伤管道。</w:t>
            </w:r>
          </w:p>
          <w:p w14:paraId="737BEDD8">
            <w:pPr>
              <w:pStyle w:val="7"/>
              <w:spacing w:before="183" w:line="217" w:lineRule="auto"/>
              <w:ind w:left="71"/>
            </w:pPr>
            <w:r>
              <w:rPr>
                <w:spacing w:val="-21"/>
              </w:rPr>
              <w:t>水压试验和冲洗应用生活用水进行,冲洗时，排水管道的截面不</w:t>
            </w:r>
          </w:p>
          <w:p w14:paraId="04E4186E">
            <w:pPr>
              <w:pStyle w:val="7"/>
              <w:spacing w:before="186" w:line="218" w:lineRule="auto"/>
              <w:ind w:left="70"/>
            </w:pPr>
            <w:r>
              <w:rPr>
                <w:spacing w:val="-18"/>
              </w:rPr>
              <w:t>得小于被冲洗管道截面的60%，水流速度应</w:t>
            </w:r>
            <w:r>
              <w:rPr>
                <w:spacing w:val="-19"/>
              </w:rPr>
              <w:t>大于3m/s，其流量应</w:t>
            </w:r>
          </w:p>
        </w:tc>
      </w:tr>
    </w:tbl>
    <w:p w14:paraId="1284FA55">
      <w:pPr>
        <w:rPr>
          <w:rFonts w:ascii="Arial"/>
          <w:sz w:val="21"/>
        </w:rPr>
      </w:pPr>
    </w:p>
    <w:tbl>
      <w:tblPr>
        <w:tblStyle w:val="6"/>
        <w:tblW w:w="8789" w:type="dxa"/>
        <w:tblInd w:w="1558" w:type="dxa"/>
        <w:tblBorders>
          <w:top w:val="single" w:color="5B9BD5" w:sz="4" w:space="0"/>
          <w:left w:val="single" w:color="5B9BD5" w:sz="4" w:space="0"/>
          <w:bottom w:val="single" w:color="5B9BD5" w:sz="4" w:space="0"/>
          <w:right w:val="single" w:color="5B9BD5" w:sz="4" w:space="0"/>
          <w:insideH w:val="single" w:color="5B9BD5" w:sz="4" w:space="0"/>
          <w:insideV w:val="single" w:color="5B9BD5" w:sz="4" w:space="0"/>
        </w:tblBorders>
        <w:tblLayout w:type="fixed"/>
        <w:tblCellMar>
          <w:top w:w="0" w:type="dxa"/>
          <w:left w:w="0" w:type="dxa"/>
          <w:bottom w:w="0" w:type="dxa"/>
          <w:right w:w="0" w:type="dxa"/>
        </w:tblCellMar>
      </w:tblPr>
      <w:tblGrid>
        <w:gridCol w:w="958"/>
        <w:gridCol w:w="1698"/>
        <w:gridCol w:w="6133"/>
      </w:tblGrid>
      <w:tr w14:paraId="3033B200">
        <w:tblPrEx>
          <w:tblBorders>
            <w:top w:val="single" w:color="5B9BD5" w:sz="4" w:space="0"/>
            <w:left w:val="single" w:color="5B9BD5" w:sz="4" w:space="0"/>
            <w:bottom w:val="single" w:color="5B9BD5" w:sz="4" w:space="0"/>
            <w:right w:val="single" w:color="5B9BD5" w:sz="4" w:space="0"/>
            <w:insideH w:val="single" w:color="5B9BD5" w:sz="4" w:space="0"/>
            <w:insideV w:val="single" w:color="5B9BD5" w:sz="4" w:space="0"/>
          </w:tblBorders>
          <w:tblCellMar>
            <w:top w:w="0" w:type="dxa"/>
            <w:left w:w="0" w:type="dxa"/>
            <w:bottom w:w="0" w:type="dxa"/>
            <w:right w:w="0" w:type="dxa"/>
          </w:tblCellMar>
        </w:tblPrEx>
        <w:trPr>
          <w:trHeight w:val="1585" w:hRule="atLeast"/>
        </w:trPr>
        <w:tc>
          <w:tcPr>
            <w:tcW w:w="958" w:type="dxa"/>
            <w:tcBorders>
              <w:top w:val="single" w:color="1C456A" w:sz="4" w:space="0"/>
              <w:left w:val="single" w:color="1C456A" w:sz="4" w:space="0"/>
              <w:bottom w:val="single" w:color="1C456A" w:sz="4" w:space="0"/>
              <w:right w:val="single" w:color="000000" w:sz="2" w:space="0"/>
            </w:tcBorders>
            <w:vAlign w:val="top"/>
          </w:tcPr>
          <w:p w14:paraId="74CBE0E8">
            <w:pPr>
              <w:rPr>
                <w:rFonts w:ascii="Arial"/>
                <w:sz w:val="21"/>
              </w:rPr>
            </w:pPr>
          </w:p>
        </w:tc>
        <w:tc>
          <w:tcPr>
            <w:tcW w:w="1698" w:type="dxa"/>
            <w:tcBorders>
              <w:left w:val="single" w:color="000000" w:sz="2" w:space="0"/>
              <w:right w:val="single" w:color="000000" w:sz="2" w:space="0"/>
            </w:tcBorders>
            <w:vAlign w:val="top"/>
          </w:tcPr>
          <w:p w14:paraId="56CA7AA4">
            <w:pPr>
              <w:rPr>
                <w:rFonts w:ascii="Arial"/>
                <w:sz w:val="21"/>
              </w:rPr>
            </w:pPr>
          </w:p>
        </w:tc>
        <w:tc>
          <w:tcPr>
            <w:tcW w:w="6133" w:type="dxa"/>
            <w:tcBorders>
              <w:left w:val="single" w:color="000000" w:sz="2" w:space="0"/>
            </w:tcBorders>
            <w:vAlign w:val="top"/>
          </w:tcPr>
          <w:p w14:paraId="6BF3261F">
            <w:pPr>
              <w:pStyle w:val="7"/>
              <w:spacing w:before="128" w:line="217" w:lineRule="auto"/>
              <w:ind w:left="72"/>
            </w:pPr>
            <w:r>
              <w:rPr>
                <w:spacing w:val="-25"/>
              </w:rPr>
              <w:t>大于设计流量，冲洗时应连续进行，当出水口的颜色透明度与入</w:t>
            </w:r>
          </w:p>
          <w:p w14:paraId="1A348F5B">
            <w:pPr>
              <w:pStyle w:val="7"/>
              <w:spacing w:before="184" w:line="216" w:lineRule="auto"/>
              <w:ind w:left="112"/>
            </w:pPr>
            <w:r>
              <w:rPr>
                <w:spacing w:val="-26"/>
              </w:rPr>
              <w:t>口一致时方可结束，水流和方向应与其工作方向</w:t>
            </w:r>
            <w:r>
              <w:rPr>
                <w:spacing w:val="-27"/>
              </w:rPr>
              <w:t>一致，冲洗结束</w:t>
            </w:r>
          </w:p>
          <w:p w14:paraId="651FB36C">
            <w:pPr>
              <w:pStyle w:val="7"/>
              <w:spacing w:before="187" w:line="216" w:lineRule="auto"/>
              <w:ind w:left="784"/>
            </w:pPr>
            <w:r>
              <w:rPr>
                <w:spacing w:val="-21"/>
              </w:rPr>
              <w:t>后，应将管内的水排清，并按规范填写记录卡。</w:t>
            </w:r>
          </w:p>
        </w:tc>
      </w:tr>
    </w:tbl>
    <w:p w14:paraId="73EC5400">
      <w:pPr>
        <w:pStyle w:val="2"/>
        <w:spacing w:before="115" w:line="219" w:lineRule="auto"/>
        <w:ind w:left="1890"/>
        <w:rPr>
          <w:sz w:val="24"/>
          <w:szCs w:val="24"/>
        </w:rPr>
      </w:pPr>
      <w:r>
        <w:rPr>
          <w:spacing w:val="-16"/>
          <w:sz w:val="24"/>
          <w:szCs w:val="24"/>
        </w:rPr>
        <w:t>5.1、管道水压试验</w:t>
      </w:r>
    </w:p>
    <w:p w14:paraId="5A7CE72F">
      <w:pPr>
        <w:pStyle w:val="2"/>
        <w:spacing w:before="112" w:line="308" w:lineRule="auto"/>
        <w:ind w:left="1456" w:right="1410" w:firstLine="450"/>
        <w:rPr>
          <w:sz w:val="24"/>
          <w:szCs w:val="24"/>
        </w:rPr>
      </w:pPr>
      <w:r>
        <w:rPr>
          <w:spacing w:val="-20"/>
          <w:sz w:val="24"/>
          <w:szCs w:val="24"/>
        </w:rPr>
        <w:t>管道试压是管道工程中不可忽视的一个环节，管道试压常采用水压试验。根据场地实际条</w:t>
      </w:r>
      <w:r>
        <w:rPr>
          <w:spacing w:val="-19"/>
          <w:sz w:val="24"/>
          <w:szCs w:val="24"/>
        </w:rPr>
        <w:t>件，可利用的试压水源，组成管道系统的配件和附件(阀门、井室)的数</w:t>
      </w:r>
      <w:r>
        <w:rPr>
          <w:spacing w:val="-20"/>
          <w:sz w:val="24"/>
          <w:szCs w:val="24"/>
        </w:rPr>
        <w:t>量，管道各部位的高差情况等条件决定试压的长度</w:t>
      </w:r>
    </w:p>
    <w:p w14:paraId="3546D5E5">
      <w:pPr>
        <w:pStyle w:val="2"/>
        <w:spacing w:line="217" w:lineRule="auto"/>
        <w:ind w:left="1890"/>
        <w:rPr>
          <w:sz w:val="24"/>
          <w:szCs w:val="24"/>
        </w:rPr>
      </w:pPr>
      <w:r>
        <w:rPr>
          <w:spacing w:val="-19"/>
          <w:sz w:val="24"/>
          <w:szCs w:val="24"/>
        </w:rPr>
        <w:t>5.2、管道水压试验前必须具备的条件</w:t>
      </w:r>
    </w:p>
    <w:p w14:paraId="0C4C3154">
      <w:pPr>
        <w:pStyle w:val="2"/>
        <w:spacing w:before="118" w:line="308" w:lineRule="auto"/>
        <w:ind w:left="1469" w:right="1410" w:firstLine="422"/>
        <w:rPr>
          <w:sz w:val="24"/>
          <w:szCs w:val="24"/>
        </w:rPr>
      </w:pPr>
      <w:r>
        <w:rPr>
          <w:spacing w:val="-20"/>
          <w:sz w:val="24"/>
          <w:szCs w:val="24"/>
        </w:rPr>
        <w:t>水压试验前必须对管道节点、接口、支墩等及其他附属构筑物的外观进行认真的检查。对管道的排气系统(排气阀)进行检查和落实。落实水源、试压设备、放水及量测设备是否准备妥</w:t>
      </w:r>
      <w:r>
        <w:rPr>
          <w:spacing w:val="-21"/>
          <w:sz w:val="24"/>
          <w:szCs w:val="24"/>
        </w:rPr>
        <w:t>当和齐全，工作状况是否良好。准备试压的管段其管顶以上的</w:t>
      </w:r>
      <w:r>
        <w:rPr>
          <w:spacing w:val="-22"/>
          <w:sz w:val="24"/>
          <w:szCs w:val="24"/>
        </w:rPr>
        <w:t>回填土的厚度应不少于0.5M。(接</w:t>
      </w:r>
      <w:r>
        <w:rPr>
          <w:spacing w:val="-23"/>
          <w:sz w:val="24"/>
          <w:szCs w:val="24"/>
        </w:rPr>
        <w:t>口处不填)试压管段的所有敞口应堵严，不能有漏水现象。试压管段不得采用闸阀作试压堵板。</w:t>
      </w:r>
    </w:p>
    <w:p w14:paraId="5CCA781D">
      <w:pPr>
        <w:pStyle w:val="2"/>
        <w:spacing w:before="1" w:line="220" w:lineRule="auto"/>
        <w:ind w:left="1890"/>
        <w:rPr>
          <w:sz w:val="24"/>
          <w:szCs w:val="24"/>
        </w:rPr>
      </w:pPr>
      <w:r>
        <w:rPr>
          <w:spacing w:val="-14"/>
          <w:sz w:val="24"/>
          <w:szCs w:val="24"/>
        </w:rPr>
        <w:t>5.3、试压装置</w:t>
      </w:r>
    </w:p>
    <w:p w14:paraId="5BC17447">
      <w:pPr>
        <w:pStyle w:val="2"/>
        <w:spacing w:before="110" w:line="308" w:lineRule="auto"/>
        <w:ind w:left="1456" w:right="1333" w:firstLine="436"/>
        <w:rPr>
          <w:sz w:val="24"/>
          <w:szCs w:val="24"/>
        </w:rPr>
      </w:pPr>
      <w:r>
        <w:rPr>
          <w:spacing w:val="-21"/>
          <w:sz w:val="24"/>
          <w:szCs w:val="24"/>
        </w:rPr>
        <w:t>压力表:弹簧压力表的精度不能低于1.5级，即压力表最大允许误差不超过最高刻度的1.5</w:t>
      </w:r>
      <w:r>
        <w:rPr>
          <w:spacing w:val="-22"/>
          <w:sz w:val="24"/>
          <w:szCs w:val="24"/>
        </w:rPr>
        <w:t>%。最大量程应为试验压力的1.5倍。为方便读数，表壳的公称直径不应小于150mm。且在使用前应</w:t>
      </w:r>
      <w:r>
        <w:rPr>
          <w:spacing w:val="-21"/>
          <w:sz w:val="24"/>
          <w:szCs w:val="24"/>
        </w:rPr>
        <w:t>校正。</w:t>
      </w:r>
    </w:p>
    <w:p w14:paraId="3035141C">
      <w:pPr>
        <w:pStyle w:val="2"/>
        <w:spacing w:line="218" w:lineRule="auto"/>
        <w:ind w:left="1892"/>
        <w:rPr>
          <w:sz w:val="24"/>
          <w:szCs w:val="24"/>
        </w:rPr>
      </w:pPr>
      <w:r>
        <w:rPr>
          <w:spacing w:val="-19"/>
          <w:sz w:val="24"/>
          <w:szCs w:val="24"/>
        </w:rPr>
        <w:t>加压泵:采用多级离心泵。</w:t>
      </w:r>
    </w:p>
    <w:p w14:paraId="4F0E9564">
      <w:pPr>
        <w:pStyle w:val="2"/>
        <w:spacing w:before="118" w:line="215" w:lineRule="auto"/>
        <w:ind w:left="1892"/>
        <w:rPr>
          <w:sz w:val="24"/>
          <w:szCs w:val="24"/>
        </w:rPr>
      </w:pPr>
      <w:r>
        <w:rPr>
          <w:spacing w:val="-21"/>
          <w:sz w:val="24"/>
          <w:szCs w:val="24"/>
        </w:rPr>
        <w:t>加压泵、压力表应安装在试验段下游端部与管道轴线垂直的支</w:t>
      </w:r>
      <w:r>
        <w:rPr>
          <w:spacing w:val="-22"/>
          <w:sz w:val="24"/>
          <w:szCs w:val="24"/>
        </w:rPr>
        <w:t>管上。</w:t>
      </w:r>
    </w:p>
    <w:p w14:paraId="4A7A9413">
      <w:pPr>
        <w:pStyle w:val="2"/>
        <w:spacing w:before="122" w:line="217" w:lineRule="auto"/>
        <w:ind w:left="1890"/>
        <w:rPr>
          <w:sz w:val="24"/>
          <w:szCs w:val="24"/>
        </w:rPr>
      </w:pPr>
      <w:r>
        <w:rPr>
          <w:spacing w:val="-24"/>
          <w:sz w:val="24"/>
          <w:szCs w:val="24"/>
        </w:rPr>
        <w:t>试压堵板:堵板必须有足够的强度，试压过程中，堵板不能变形，与管道的接口</w:t>
      </w:r>
      <w:r>
        <w:rPr>
          <w:spacing w:val="-25"/>
          <w:sz w:val="24"/>
          <w:szCs w:val="24"/>
        </w:rPr>
        <w:t>处不能漏水。</w:t>
      </w:r>
    </w:p>
    <w:p w14:paraId="00C4E406">
      <w:pPr>
        <w:pStyle w:val="2"/>
        <w:spacing w:before="115" w:line="218" w:lineRule="auto"/>
        <w:ind w:left="1890"/>
        <w:rPr>
          <w:sz w:val="24"/>
          <w:szCs w:val="24"/>
        </w:rPr>
      </w:pPr>
      <w:r>
        <w:rPr>
          <w:spacing w:val="-16"/>
          <w:sz w:val="24"/>
          <w:szCs w:val="24"/>
        </w:rPr>
        <w:t>5.4、试压时的要求</w:t>
      </w:r>
    </w:p>
    <w:p w14:paraId="3FD9E6C1">
      <w:pPr>
        <w:pStyle w:val="2"/>
        <w:spacing w:before="118" w:line="212" w:lineRule="auto"/>
        <w:ind w:left="1906"/>
        <w:rPr>
          <w:sz w:val="24"/>
          <w:szCs w:val="24"/>
        </w:rPr>
      </w:pPr>
      <w:r>
        <w:rPr>
          <w:spacing w:val="-19"/>
          <w:sz w:val="24"/>
          <w:szCs w:val="24"/>
        </w:rPr>
        <w:t>管道实验压力为管道特性压力+2Mpa。</w:t>
      </w:r>
    </w:p>
    <w:p w14:paraId="1B3A5683">
      <w:pPr>
        <w:pStyle w:val="2"/>
        <w:spacing w:before="124" w:line="308" w:lineRule="auto"/>
        <w:ind w:left="1470" w:right="1414" w:firstLine="435"/>
        <w:rPr>
          <w:sz w:val="24"/>
          <w:szCs w:val="24"/>
        </w:rPr>
      </w:pPr>
      <w:r>
        <w:rPr>
          <w:spacing w:val="-21"/>
          <w:sz w:val="24"/>
          <w:szCs w:val="24"/>
        </w:rPr>
        <w:t>管道充水:管道试压前3天，向试压管道充水，充水时水自管道低端流入，并打开排</w:t>
      </w:r>
      <w:r>
        <w:rPr>
          <w:spacing w:val="-22"/>
          <w:sz w:val="24"/>
          <w:szCs w:val="24"/>
        </w:rPr>
        <w:t>气阀，</w:t>
      </w:r>
      <w:r>
        <w:rPr>
          <w:spacing w:val="-20"/>
          <w:sz w:val="24"/>
          <w:szCs w:val="24"/>
        </w:rPr>
        <w:t>当充水至排出的水流中不带气泡且水流连续时，关闭排气阀，停止充水。试压前管道</w:t>
      </w:r>
      <w:r>
        <w:rPr>
          <w:spacing w:val="-21"/>
          <w:sz w:val="24"/>
          <w:szCs w:val="24"/>
        </w:rPr>
        <w:t>充水浸泡</w:t>
      </w:r>
      <w:r>
        <w:rPr>
          <w:spacing w:val="-17"/>
          <w:sz w:val="24"/>
          <w:szCs w:val="24"/>
        </w:rPr>
        <w:t>的时间不少于48小时。</w:t>
      </w:r>
    </w:p>
    <w:p w14:paraId="63296158">
      <w:pPr>
        <w:pStyle w:val="2"/>
        <w:spacing w:before="5" w:line="307" w:lineRule="auto"/>
        <w:ind w:left="1453" w:right="1410" w:firstLine="443"/>
        <w:jc w:val="both"/>
        <w:rPr>
          <w:sz w:val="24"/>
          <w:szCs w:val="24"/>
        </w:rPr>
      </w:pPr>
      <w:r>
        <w:rPr>
          <w:spacing w:val="-22"/>
          <w:sz w:val="24"/>
          <w:szCs w:val="24"/>
        </w:rPr>
        <w:t>升压:水压试验前，应多次进行初步升压试验方可将管道内的气体排尽，</w:t>
      </w:r>
      <w:r>
        <w:rPr>
          <w:spacing w:val="-23"/>
          <w:sz w:val="24"/>
          <w:szCs w:val="24"/>
        </w:rPr>
        <w:t>当且仅当确定管道</w:t>
      </w:r>
      <w:r>
        <w:rPr>
          <w:spacing w:val="-21"/>
          <w:sz w:val="24"/>
          <w:szCs w:val="24"/>
        </w:rPr>
        <w:t>内的气体排尽后，才能进行水压试验。出现下列3种情况表明</w:t>
      </w:r>
      <w:r>
        <w:rPr>
          <w:spacing w:val="-22"/>
          <w:sz w:val="24"/>
          <w:szCs w:val="24"/>
        </w:rPr>
        <w:t>管道内的气体未排干净，应继续</w:t>
      </w:r>
      <w:r>
        <w:rPr>
          <w:spacing w:val="-18"/>
          <w:sz w:val="24"/>
          <w:szCs w:val="24"/>
        </w:rPr>
        <w:t>排气:A、升压时，水泵不断充水，但升压很慢;B、升压时，压力表指针摆动幅度很大且</w:t>
      </w:r>
      <w:r>
        <w:rPr>
          <w:spacing w:val="-19"/>
          <w:sz w:val="24"/>
          <w:szCs w:val="24"/>
        </w:rPr>
        <w:t>第301</w:t>
      </w:r>
      <w:r>
        <w:rPr>
          <w:spacing w:val="-18"/>
          <w:sz w:val="24"/>
          <w:szCs w:val="24"/>
        </w:rPr>
        <w:t>页/共376页读数不稳定;C、当升压至</w:t>
      </w:r>
      <w:r>
        <w:rPr>
          <w:spacing w:val="-19"/>
          <w:sz w:val="24"/>
          <w:szCs w:val="24"/>
        </w:rPr>
        <w:t>80%时，停止升压，打开放水阀门，水柱中有“突突”的</w:t>
      </w:r>
      <w:r>
        <w:rPr>
          <w:spacing w:val="-20"/>
          <w:sz w:val="24"/>
          <w:szCs w:val="24"/>
        </w:rPr>
        <w:t>声响并喷出许多气泡。升压时要分级升压，每次以0.2Mpa为一级，每升一级检查后背、管身及接口，当确定无异常后，才能继续升压。水压试验时，后背顶撑和管道两端严禁站人。水压试</w:t>
      </w:r>
      <w:r>
        <w:rPr>
          <w:spacing w:val="-21"/>
          <w:sz w:val="24"/>
          <w:szCs w:val="24"/>
        </w:rPr>
        <w:t>验时,严禁对管身、接口进行敲打或修补缺陷，遇有缺陷时，应作出标记，卸压后才能修补。</w:t>
      </w:r>
    </w:p>
    <w:p w14:paraId="2E02D3CD">
      <w:pPr>
        <w:pStyle w:val="2"/>
        <w:spacing w:line="218" w:lineRule="auto"/>
        <w:ind w:left="1890"/>
        <w:rPr>
          <w:sz w:val="24"/>
          <w:szCs w:val="24"/>
        </w:rPr>
      </w:pPr>
      <w:r>
        <w:rPr>
          <w:spacing w:val="-18"/>
          <w:sz w:val="24"/>
          <w:szCs w:val="24"/>
        </w:rPr>
        <w:t>5.5、水压试验的要求和标准</w:t>
      </w:r>
    </w:p>
    <w:p w14:paraId="17B46290">
      <w:pPr>
        <w:pStyle w:val="2"/>
        <w:spacing w:before="118" w:line="307" w:lineRule="auto"/>
        <w:ind w:left="1480" w:right="1411" w:firstLine="414"/>
        <w:rPr>
          <w:sz w:val="24"/>
          <w:szCs w:val="24"/>
        </w:rPr>
      </w:pPr>
      <w:r>
        <w:rPr>
          <w:spacing w:val="-20"/>
          <w:sz w:val="24"/>
          <w:szCs w:val="24"/>
        </w:rPr>
        <w:t>在整个试压期间，不论管段有多长，压力下降值不超过0.3Mpa。在实验压力下</w:t>
      </w:r>
      <w:r>
        <w:rPr>
          <w:spacing w:val="-21"/>
          <w:sz w:val="24"/>
          <w:szCs w:val="24"/>
        </w:rPr>
        <w:t>，管段不得</w:t>
      </w:r>
      <w:r>
        <w:rPr>
          <w:spacing w:val="-22"/>
          <w:sz w:val="24"/>
          <w:szCs w:val="24"/>
        </w:rPr>
        <w:t>出现裂缝、变色、渗漏等现象。</w:t>
      </w:r>
    </w:p>
    <w:p w14:paraId="166725FE">
      <w:pPr>
        <w:pStyle w:val="2"/>
        <w:spacing w:line="218" w:lineRule="auto"/>
        <w:ind w:left="1890"/>
        <w:rPr>
          <w:sz w:val="24"/>
          <w:szCs w:val="24"/>
        </w:rPr>
      </w:pPr>
      <w:r>
        <w:rPr>
          <w:spacing w:val="-14"/>
          <w:sz w:val="24"/>
          <w:szCs w:val="24"/>
        </w:rPr>
        <w:t>5.6、管道冲洗</w:t>
      </w:r>
    </w:p>
    <w:p w14:paraId="73132062">
      <w:pPr>
        <w:spacing w:line="249" w:lineRule="auto"/>
        <w:rPr>
          <w:rFonts w:ascii="Arial"/>
          <w:sz w:val="21"/>
        </w:rPr>
      </w:pPr>
    </w:p>
    <w:p w14:paraId="2475D2C3">
      <w:pPr>
        <w:pStyle w:val="2"/>
        <w:spacing w:before="78" w:line="308" w:lineRule="auto"/>
        <w:ind w:left="1447" w:right="1411" w:firstLine="458"/>
        <w:rPr>
          <w:sz w:val="24"/>
          <w:szCs w:val="24"/>
        </w:rPr>
      </w:pPr>
      <w:r>
        <w:rPr>
          <w:spacing w:val="-22"/>
          <w:sz w:val="24"/>
          <w:szCs w:val="24"/>
        </w:rPr>
        <w:t>管网的冲洗应在强度试验合格后分段进行，应先地</w:t>
      </w:r>
      <w:r>
        <w:rPr>
          <w:spacing w:val="-23"/>
          <w:sz w:val="24"/>
          <w:szCs w:val="24"/>
        </w:rPr>
        <w:t>下，后地上，其顺序:配水干管—配水管</w:t>
      </w:r>
      <w:r>
        <w:rPr>
          <w:spacing w:val="-17"/>
          <w:sz w:val="24"/>
          <w:szCs w:val="24"/>
        </w:rPr>
        <w:t>—配水支管。</w:t>
      </w:r>
    </w:p>
    <w:p w14:paraId="7E951D15">
      <w:pPr>
        <w:pStyle w:val="2"/>
        <w:spacing w:before="4" w:line="307" w:lineRule="auto"/>
        <w:ind w:left="1457" w:right="1356" w:firstLine="438"/>
        <w:jc w:val="both"/>
        <w:rPr>
          <w:sz w:val="24"/>
          <w:szCs w:val="24"/>
        </w:rPr>
      </w:pPr>
      <w:r>
        <w:rPr>
          <w:spacing w:val="-24"/>
          <w:sz w:val="24"/>
          <w:szCs w:val="24"/>
        </w:rPr>
        <w:t>冲洗前，应对系统的仪表采取保护措施，止回阀和报警阀等应拆除，在其结束后及时复位，</w:t>
      </w:r>
      <w:r>
        <w:rPr>
          <w:spacing w:val="-22"/>
          <w:sz w:val="24"/>
          <w:szCs w:val="24"/>
        </w:rPr>
        <w:t>对管道的支架，吊架进行检查,必要时应采取加固措施。对不能经受冲洗的设备和冲洗后可</w:t>
      </w:r>
      <w:r>
        <w:rPr>
          <w:spacing w:val="-23"/>
          <w:sz w:val="24"/>
          <w:szCs w:val="24"/>
        </w:rPr>
        <w:t>能存留脏物、杂物的管段应进行清理，冲洗直径100mm以上的管道时，应对其死角和底部进</w:t>
      </w:r>
      <w:r>
        <w:rPr>
          <w:spacing w:val="-24"/>
          <w:sz w:val="24"/>
          <w:szCs w:val="24"/>
        </w:rPr>
        <w:t>行敲打，</w:t>
      </w:r>
      <w:r>
        <w:rPr>
          <w:spacing w:val="-22"/>
          <w:sz w:val="24"/>
          <w:szCs w:val="24"/>
        </w:rPr>
        <w:t>但不得损伤管道。</w:t>
      </w:r>
    </w:p>
    <w:p w14:paraId="0221C9C5">
      <w:pPr>
        <w:pStyle w:val="2"/>
        <w:spacing w:before="4" w:line="307" w:lineRule="auto"/>
        <w:ind w:left="1450" w:right="1356" w:firstLine="441"/>
        <w:jc w:val="both"/>
        <w:rPr>
          <w:sz w:val="24"/>
          <w:szCs w:val="24"/>
        </w:rPr>
      </w:pPr>
      <w:r>
        <w:rPr>
          <w:spacing w:val="-16"/>
          <w:sz w:val="24"/>
          <w:szCs w:val="24"/>
        </w:rPr>
        <w:t>水压试验和冲洗应用生活用水进行,冲洗时，排</w:t>
      </w:r>
      <w:r>
        <w:rPr>
          <w:spacing w:val="-17"/>
          <w:sz w:val="24"/>
          <w:szCs w:val="24"/>
        </w:rPr>
        <w:t>水管道的截面不得小于被冲洗管道截面的</w:t>
      </w:r>
      <w:r>
        <w:rPr>
          <w:spacing w:val="-20"/>
          <w:sz w:val="24"/>
          <w:szCs w:val="24"/>
        </w:rPr>
        <w:t>60%，水流速度应大于3m/s，其流量应大于设计流</w:t>
      </w:r>
      <w:r>
        <w:rPr>
          <w:spacing w:val="-21"/>
          <w:sz w:val="24"/>
          <w:szCs w:val="24"/>
        </w:rPr>
        <w:t>量，冲洗时应连续进行，当出水口的颜色透明</w:t>
      </w:r>
      <w:r>
        <w:rPr>
          <w:spacing w:val="-23"/>
          <w:sz w:val="24"/>
          <w:szCs w:val="24"/>
        </w:rPr>
        <w:t>度与入口一致时方可结束，水流和方向应与其工作</w:t>
      </w:r>
      <w:r>
        <w:rPr>
          <w:spacing w:val="-24"/>
          <w:sz w:val="24"/>
          <w:szCs w:val="24"/>
        </w:rPr>
        <w:t>方向一致，冲洗结束后，应将管内的水排清，</w:t>
      </w:r>
      <w:r>
        <w:rPr>
          <w:spacing w:val="-19"/>
          <w:sz w:val="24"/>
          <w:szCs w:val="24"/>
        </w:rPr>
        <w:t>并按规范填写记录卡。</w:t>
      </w:r>
    </w:p>
    <w:p w14:paraId="71C6A2B9">
      <w:pPr>
        <w:pStyle w:val="2"/>
        <w:spacing w:before="1" w:line="217" w:lineRule="auto"/>
        <w:ind w:left="1887"/>
        <w:rPr>
          <w:sz w:val="24"/>
          <w:szCs w:val="24"/>
        </w:rPr>
      </w:pPr>
      <w:r>
        <w:rPr>
          <w:spacing w:val="-18"/>
          <w:sz w:val="24"/>
          <w:szCs w:val="24"/>
        </w:rPr>
        <w:t>6、管道及阀门的安装</w:t>
      </w:r>
    </w:p>
    <w:p w14:paraId="1200A2B2">
      <w:pPr>
        <w:pStyle w:val="2"/>
        <w:spacing w:before="115" w:line="216" w:lineRule="auto"/>
        <w:ind w:left="1887"/>
        <w:rPr>
          <w:sz w:val="24"/>
          <w:szCs w:val="24"/>
        </w:rPr>
      </w:pPr>
      <w:r>
        <w:rPr>
          <w:spacing w:val="-14"/>
          <w:sz w:val="24"/>
          <w:szCs w:val="24"/>
        </w:rPr>
        <w:t>6.1、材料验收</w:t>
      </w:r>
    </w:p>
    <w:p w14:paraId="34F6951D">
      <w:pPr>
        <w:pStyle w:val="2"/>
        <w:spacing w:before="121" w:line="262" w:lineRule="auto"/>
        <w:ind w:left="1456" w:right="1409" w:firstLine="431"/>
        <w:rPr>
          <w:sz w:val="24"/>
          <w:szCs w:val="24"/>
        </w:rPr>
      </w:pPr>
      <w:r>
        <w:rPr>
          <w:spacing w:val="-22"/>
          <w:sz w:val="24"/>
          <w:szCs w:val="24"/>
        </w:rPr>
        <w:t>6.1.1全部管子应进行外观检查，其表面应无</w:t>
      </w:r>
      <w:r>
        <w:rPr>
          <w:spacing w:val="-23"/>
          <w:sz w:val="24"/>
          <w:szCs w:val="24"/>
        </w:rPr>
        <w:t>裂纹、结疤、麻点、夹杂物、折皱、重皮、划</w:t>
      </w:r>
      <w:r>
        <w:rPr>
          <w:spacing w:val="-21"/>
          <w:sz w:val="24"/>
          <w:szCs w:val="24"/>
        </w:rPr>
        <w:t>痕、严重锈蚀等缺陷。对玻璃钢复合管不能有压碎、断裂、凿</w:t>
      </w:r>
      <w:r>
        <w:rPr>
          <w:spacing w:val="-22"/>
          <w:sz w:val="24"/>
          <w:szCs w:val="24"/>
        </w:rPr>
        <w:t>痕等现象。</w:t>
      </w:r>
    </w:p>
    <w:p w14:paraId="6F2497C7">
      <w:pPr>
        <w:pStyle w:val="2"/>
        <w:spacing w:before="117" w:line="262" w:lineRule="auto"/>
        <w:ind w:left="1463" w:right="1409" w:firstLine="424"/>
        <w:rPr>
          <w:sz w:val="24"/>
          <w:szCs w:val="24"/>
        </w:rPr>
      </w:pPr>
      <w:r>
        <w:rPr>
          <w:spacing w:val="-22"/>
          <w:sz w:val="24"/>
          <w:szCs w:val="24"/>
        </w:rPr>
        <w:t>6.1.2各种材质与规格的管子应按规范规定进行检查，检</w:t>
      </w:r>
      <w:r>
        <w:rPr>
          <w:spacing w:val="-23"/>
          <w:sz w:val="24"/>
          <w:szCs w:val="24"/>
        </w:rPr>
        <w:t>查直径、壁厚、弯曲度等，均应符</w:t>
      </w:r>
      <w:r>
        <w:rPr>
          <w:spacing w:val="-20"/>
          <w:sz w:val="24"/>
          <w:szCs w:val="24"/>
        </w:rPr>
        <w:t>合材料标准的规定。</w:t>
      </w:r>
    </w:p>
    <w:p w14:paraId="0F33F422">
      <w:pPr>
        <w:pStyle w:val="2"/>
        <w:spacing w:before="120" w:line="216" w:lineRule="auto"/>
        <w:ind w:left="1887"/>
        <w:rPr>
          <w:sz w:val="24"/>
          <w:szCs w:val="24"/>
        </w:rPr>
      </w:pPr>
      <w:r>
        <w:rPr>
          <w:spacing w:val="-20"/>
          <w:sz w:val="24"/>
          <w:szCs w:val="24"/>
        </w:rPr>
        <w:t>6.1.3全部阀门应做外观检查，检查项目包括：</w:t>
      </w:r>
    </w:p>
    <w:p w14:paraId="2778462F">
      <w:pPr>
        <w:pStyle w:val="2"/>
        <w:spacing w:before="117" w:line="217" w:lineRule="auto"/>
        <w:ind w:left="1927"/>
        <w:rPr>
          <w:sz w:val="24"/>
          <w:szCs w:val="24"/>
        </w:rPr>
      </w:pPr>
      <w:r>
        <w:rPr>
          <w:spacing w:val="-21"/>
          <w:sz w:val="24"/>
          <w:szCs w:val="24"/>
        </w:rPr>
        <w:t>(A)阀门型号、规格、铭牌、编号、压力等级、材质标注</w:t>
      </w:r>
      <w:r>
        <w:rPr>
          <w:spacing w:val="-22"/>
          <w:sz w:val="24"/>
          <w:szCs w:val="24"/>
        </w:rPr>
        <w:t>应符合图纸设计要求。</w:t>
      </w:r>
    </w:p>
    <w:p w14:paraId="0A6B9EE3">
      <w:pPr>
        <w:pStyle w:val="2"/>
        <w:spacing w:before="120" w:line="262" w:lineRule="auto"/>
        <w:ind w:left="1456" w:right="1432" w:firstLine="471"/>
        <w:rPr>
          <w:sz w:val="24"/>
          <w:szCs w:val="24"/>
        </w:rPr>
      </w:pPr>
      <w:r>
        <w:rPr>
          <w:spacing w:val="-23"/>
          <w:sz w:val="24"/>
          <w:szCs w:val="24"/>
        </w:rPr>
        <w:t>(B)外部和可见的表面，螺纹、密封面应无损伤、锈蚀现象，铸造阀体应无砂眼、缩孔、气</w:t>
      </w:r>
      <w:r>
        <w:rPr>
          <w:spacing w:val="-21"/>
          <w:sz w:val="24"/>
          <w:szCs w:val="24"/>
        </w:rPr>
        <w:t>孔、裂纹等有害性缺陷，锻体阀件应无裂纹、折皱、重皮、</w:t>
      </w:r>
      <w:r>
        <w:rPr>
          <w:spacing w:val="-22"/>
          <w:sz w:val="24"/>
          <w:szCs w:val="24"/>
        </w:rPr>
        <w:t>锈蚀、凹陷等。</w:t>
      </w:r>
    </w:p>
    <w:p w14:paraId="1437CCA1">
      <w:pPr>
        <w:pStyle w:val="2"/>
        <w:spacing w:before="119" w:line="308" w:lineRule="auto"/>
        <w:ind w:left="1463" w:right="1409" w:firstLine="423"/>
        <w:rPr>
          <w:sz w:val="24"/>
          <w:szCs w:val="24"/>
        </w:rPr>
      </w:pPr>
      <w:r>
        <w:rPr>
          <w:spacing w:val="-22"/>
          <w:sz w:val="24"/>
          <w:szCs w:val="24"/>
        </w:rPr>
        <w:t>6.1.4该批阀门到现场后，应根据该批的同一制造厂、同一</w:t>
      </w:r>
      <w:r>
        <w:rPr>
          <w:spacing w:val="-23"/>
          <w:sz w:val="24"/>
          <w:szCs w:val="24"/>
        </w:rPr>
        <w:t>规格、同一型号按比例进行抽查</w:t>
      </w:r>
      <w:r>
        <w:rPr>
          <w:spacing w:val="-21"/>
          <w:sz w:val="24"/>
          <w:szCs w:val="24"/>
        </w:rPr>
        <w:t>强度试验和严密性试验。</w:t>
      </w:r>
    </w:p>
    <w:p w14:paraId="24FD67FA">
      <w:pPr>
        <w:pStyle w:val="2"/>
        <w:spacing w:line="215" w:lineRule="auto"/>
        <w:ind w:left="1887"/>
        <w:rPr>
          <w:sz w:val="24"/>
          <w:szCs w:val="24"/>
        </w:rPr>
      </w:pPr>
      <w:r>
        <w:rPr>
          <w:spacing w:val="-15"/>
          <w:sz w:val="24"/>
          <w:szCs w:val="24"/>
        </w:rPr>
        <w:t>6.2、材料的存放</w:t>
      </w:r>
    </w:p>
    <w:p w14:paraId="0076A749">
      <w:pPr>
        <w:pStyle w:val="2"/>
        <w:spacing w:before="118" w:line="262" w:lineRule="auto"/>
        <w:ind w:left="1457" w:right="1338" w:firstLine="430"/>
        <w:rPr>
          <w:sz w:val="24"/>
          <w:szCs w:val="24"/>
        </w:rPr>
      </w:pPr>
      <w:r>
        <w:rPr>
          <w:spacing w:val="-22"/>
          <w:sz w:val="24"/>
          <w:szCs w:val="24"/>
        </w:rPr>
        <w:t>6.2.1根据本工程工艺管道材质的区别，各种材质的管道</w:t>
      </w:r>
      <w:r>
        <w:rPr>
          <w:spacing w:val="-23"/>
          <w:sz w:val="24"/>
          <w:szCs w:val="24"/>
        </w:rPr>
        <w:t>均应分开堆放，碳钢管允许露天存放，但要垫平道木和盖篷布，所有阀门要检查两端口封闭状况，小型管件和</w:t>
      </w:r>
      <w:r>
        <w:rPr>
          <w:spacing w:val="-24"/>
          <w:sz w:val="24"/>
          <w:szCs w:val="24"/>
        </w:rPr>
        <w:t>阀门要放在货架上。</w:t>
      </w:r>
    </w:p>
    <w:p w14:paraId="1D9C14B5">
      <w:pPr>
        <w:pStyle w:val="2"/>
        <w:spacing w:before="121" w:line="215" w:lineRule="auto"/>
        <w:ind w:left="1887"/>
        <w:rPr>
          <w:sz w:val="24"/>
          <w:szCs w:val="24"/>
        </w:rPr>
      </w:pPr>
      <w:r>
        <w:rPr>
          <w:spacing w:val="-20"/>
          <w:sz w:val="24"/>
          <w:szCs w:val="24"/>
        </w:rPr>
        <w:t>6.2.2所有存放的材料均要作出明显标识，注明规格、材质、合格证号、数量等内容。</w:t>
      </w:r>
    </w:p>
    <w:p w14:paraId="2D91051E">
      <w:pPr>
        <w:pStyle w:val="2"/>
        <w:spacing w:before="119" w:line="215" w:lineRule="auto"/>
        <w:ind w:left="1887"/>
        <w:rPr>
          <w:sz w:val="24"/>
          <w:szCs w:val="24"/>
        </w:rPr>
      </w:pPr>
      <w:r>
        <w:rPr>
          <w:spacing w:val="-14"/>
          <w:sz w:val="24"/>
          <w:szCs w:val="24"/>
        </w:rPr>
        <w:t>6.2.3焊材的存放</w:t>
      </w:r>
    </w:p>
    <w:p w14:paraId="2B7D9E89">
      <w:pPr>
        <w:pStyle w:val="2"/>
        <w:spacing w:before="122" w:line="262" w:lineRule="auto"/>
        <w:ind w:left="1459" w:right="1406" w:firstLine="468"/>
        <w:rPr>
          <w:sz w:val="24"/>
          <w:szCs w:val="24"/>
        </w:rPr>
      </w:pPr>
      <w:r>
        <w:rPr>
          <w:spacing w:val="-22"/>
          <w:sz w:val="24"/>
          <w:szCs w:val="24"/>
        </w:rPr>
        <w:t>(A)现场设立焊条二级库，有专人看管，库内应装有性能良好的</w:t>
      </w:r>
      <w:r>
        <w:rPr>
          <w:spacing w:val="-23"/>
          <w:sz w:val="24"/>
          <w:szCs w:val="24"/>
        </w:rPr>
        <w:t>去湿机、通风机、干（湿）</w:t>
      </w:r>
      <w:r>
        <w:rPr>
          <w:spacing w:val="-21"/>
          <w:sz w:val="24"/>
          <w:szCs w:val="24"/>
        </w:rPr>
        <w:t>温度计及焊条烘烤设备，并挂有产品合格证和校验合格</w:t>
      </w:r>
      <w:r>
        <w:rPr>
          <w:spacing w:val="-22"/>
          <w:sz w:val="24"/>
          <w:szCs w:val="24"/>
        </w:rPr>
        <w:t>证。</w:t>
      </w:r>
    </w:p>
    <w:p w14:paraId="2970923B">
      <w:pPr>
        <w:pStyle w:val="2"/>
        <w:spacing w:before="118" w:line="218" w:lineRule="auto"/>
        <w:ind w:left="1927"/>
        <w:rPr>
          <w:sz w:val="24"/>
          <w:szCs w:val="24"/>
        </w:rPr>
      </w:pPr>
      <w:r>
        <w:rPr>
          <w:spacing w:val="-22"/>
          <w:sz w:val="24"/>
          <w:szCs w:val="24"/>
        </w:rPr>
        <w:t>(B)焊条严格按规范要求分类，按规格摆放整齐，挂标识。</w:t>
      </w:r>
    </w:p>
    <w:p w14:paraId="71437365">
      <w:pPr>
        <w:pStyle w:val="2"/>
        <w:spacing w:before="117" w:line="217" w:lineRule="auto"/>
        <w:ind w:left="1927"/>
        <w:rPr>
          <w:sz w:val="24"/>
          <w:szCs w:val="24"/>
        </w:rPr>
      </w:pPr>
      <w:r>
        <w:rPr>
          <w:spacing w:val="-21"/>
          <w:sz w:val="24"/>
          <w:szCs w:val="24"/>
        </w:rPr>
        <w:t>(C)焊条库应建立一套完整的焊条保管、发放制度。</w:t>
      </w:r>
    </w:p>
    <w:p w14:paraId="58932F32">
      <w:pPr>
        <w:pStyle w:val="2"/>
        <w:spacing w:before="119" w:line="219" w:lineRule="auto"/>
        <w:ind w:left="1887"/>
        <w:rPr>
          <w:sz w:val="24"/>
          <w:szCs w:val="24"/>
        </w:rPr>
      </w:pPr>
      <w:r>
        <w:rPr>
          <w:spacing w:val="-14"/>
          <w:sz w:val="24"/>
          <w:szCs w:val="24"/>
        </w:rPr>
        <w:t>6.3、管子加工</w:t>
      </w:r>
    </w:p>
    <w:p w14:paraId="105249BC">
      <w:pPr>
        <w:pStyle w:val="2"/>
        <w:spacing w:before="114" w:line="262" w:lineRule="auto"/>
        <w:ind w:left="1461" w:right="1409" w:firstLine="426"/>
        <w:rPr>
          <w:sz w:val="24"/>
          <w:szCs w:val="24"/>
        </w:rPr>
      </w:pPr>
      <w:r>
        <w:rPr>
          <w:spacing w:val="-22"/>
          <w:sz w:val="24"/>
          <w:szCs w:val="24"/>
        </w:rPr>
        <w:t>6.3.1所有管子按单线图下料，必须进行钢号移植。各种</w:t>
      </w:r>
      <w:r>
        <w:rPr>
          <w:spacing w:val="-23"/>
          <w:sz w:val="24"/>
          <w:szCs w:val="24"/>
        </w:rPr>
        <w:t>材质的管道预制时分开进行，预制</w:t>
      </w:r>
      <w:r>
        <w:rPr>
          <w:spacing w:val="-20"/>
          <w:sz w:val="24"/>
          <w:szCs w:val="24"/>
        </w:rPr>
        <w:t>完毕要作好标记。</w:t>
      </w:r>
    </w:p>
    <w:p w14:paraId="4D8BC8BD">
      <w:pPr>
        <w:pStyle w:val="2"/>
        <w:spacing w:before="120" w:line="218" w:lineRule="auto"/>
        <w:ind w:left="1887"/>
        <w:rPr>
          <w:sz w:val="24"/>
          <w:szCs w:val="24"/>
        </w:rPr>
      </w:pPr>
      <w:r>
        <w:rPr>
          <w:spacing w:val="-11"/>
          <w:sz w:val="24"/>
          <w:szCs w:val="24"/>
        </w:rPr>
        <w:t>6.3.2切割</w:t>
      </w:r>
    </w:p>
    <w:p w14:paraId="33586A26">
      <w:pPr>
        <w:pStyle w:val="2"/>
        <w:spacing w:before="115" w:line="215" w:lineRule="auto"/>
        <w:ind w:left="1893"/>
        <w:rPr>
          <w:sz w:val="24"/>
          <w:szCs w:val="24"/>
        </w:rPr>
      </w:pPr>
      <w:r>
        <w:rPr>
          <w:spacing w:val="-18"/>
          <w:sz w:val="24"/>
          <w:szCs w:val="24"/>
        </w:rPr>
        <w:t>碳钢管道可采用氧乙炔焰或用机械(砂轮切</w:t>
      </w:r>
      <w:r>
        <w:rPr>
          <w:spacing w:val="-19"/>
          <w:sz w:val="24"/>
          <w:szCs w:val="24"/>
        </w:rPr>
        <w:t>割机)切割下料。切割后的坡口要平整，坡口表</w:t>
      </w:r>
    </w:p>
    <w:p w14:paraId="38600BE3">
      <w:pPr>
        <w:pStyle w:val="2"/>
        <w:spacing w:before="78" w:line="215" w:lineRule="auto"/>
        <w:ind w:left="1461"/>
        <w:rPr>
          <w:sz w:val="24"/>
          <w:szCs w:val="24"/>
        </w:rPr>
      </w:pPr>
      <w:r>
        <w:rPr>
          <w:spacing w:val="-21"/>
          <w:sz w:val="24"/>
          <w:szCs w:val="24"/>
        </w:rPr>
        <w:t>面要清理干净，碳钢管用锉刀和砂轮机清理。</w:t>
      </w:r>
    </w:p>
    <w:p w14:paraId="4BA9B4A7">
      <w:pPr>
        <w:pStyle w:val="2"/>
        <w:spacing w:before="121" w:line="217" w:lineRule="auto"/>
        <w:ind w:left="1887"/>
        <w:rPr>
          <w:sz w:val="24"/>
          <w:szCs w:val="24"/>
        </w:rPr>
      </w:pPr>
      <w:r>
        <w:rPr>
          <w:spacing w:val="-17"/>
          <w:sz w:val="24"/>
          <w:szCs w:val="24"/>
        </w:rPr>
        <w:t>6.3.3坡口的制备及管子的组对</w:t>
      </w:r>
    </w:p>
    <w:p w14:paraId="568F4AD6">
      <w:pPr>
        <w:pStyle w:val="2"/>
        <w:spacing w:before="115" w:line="218" w:lineRule="auto"/>
        <w:ind w:left="1927"/>
        <w:rPr>
          <w:sz w:val="24"/>
          <w:szCs w:val="24"/>
        </w:rPr>
      </w:pPr>
      <w:r>
        <w:rPr>
          <w:spacing w:val="-19"/>
          <w:sz w:val="24"/>
          <w:szCs w:val="24"/>
        </w:rPr>
        <w:t>(A)焊接坡口采用V型坡口。坡口形式如右图所示</w:t>
      </w:r>
    </w:p>
    <w:p w14:paraId="4C036465">
      <w:pPr>
        <w:pStyle w:val="2"/>
        <w:spacing w:before="117" w:line="217" w:lineRule="auto"/>
        <w:ind w:left="1927"/>
        <w:rPr>
          <w:sz w:val="24"/>
          <w:szCs w:val="24"/>
        </w:rPr>
      </w:pPr>
      <w:r>
        <w:rPr>
          <w:spacing w:val="-21"/>
          <w:sz w:val="24"/>
          <w:szCs w:val="24"/>
        </w:rPr>
        <w:t>(B)对焊壁厚相同的管子、管件时，其内壁要做到平</w:t>
      </w:r>
      <w:r>
        <w:rPr>
          <w:spacing w:val="-22"/>
          <w:sz w:val="24"/>
          <w:szCs w:val="24"/>
        </w:rPr>
        <w:t>齐，内壁错边量应符合规范规定。</w:t>
      </w:r>
    </w:p>
    <w:p w14:paraId="7385E6A1">
      <w:pPr>
        <w:pStyle w:val="2"/>
        <w:spacing w:before="120" w:line="306" w:lineRule="auto"/>
        <w:ind w:left="1456" w:right="1353" w:firstLine="471"/>
        <w:rPr>
          <w:sz w:val="24"/>
          <w:szCs w:val="24"/>
        </w:rPr>
      </w:pPr>
      <w:r>
        <w:rPr>
          <w:spacing w:val="-24"/>
          <w:sz w:val="24"/>
          <w:szCs w:val="24"/>
        </w:rPr>
        <w:t>(C)对焊壁厚不同的管子、管件时，如果厚度差在外表面大于3mm或在内表面大于1.5mm时，</w:t>
      </w:r>
      <w:r>
        <w:rPr>
          <w:spacing w:val="-21"/>
          <w:sz w:val="24"/>
          <w:szCs w:val="24"/>
        </w:rPr>
        <w:t>按下图修整较厚的管端，在修整较厚的管端，修理的和非修整</w:t>
      </w:r>
      <w:r>
        <w:rPr>
          <w:spacing w:val="-22"/>
          <w:sz w:val="24"/>
          <w:szCs w:val="24"/>
        </w:rPr>
        <w:t>件之间，修整坡度应：</w:t>
      </w:r>
    </w:p>
    <w:p w14:paraId="1FB6B386">
      <w:pPr>
        <w:pStyle w:val="2"/>
        <w:spacing w:before="4" w:line="262" w:lineRule="auto"/>
        <w:ind w:left="1460" w:right="1409" w:firstLine="425"/>
        <w:rPr>
          <w:sz w:val="24"/>
          <w:szCs w:val="24"/>
        </w:rPr>
      </w:pPr>
      <w:r>
        <w:rPr>
          <w:spacing w:val="-19"/>
          <w:sz w:val="24"/>
          <w:szCs w:val="24"/>
        </w:rPr>
        <w:t>①根据本工程的施工特点，管道的制作、加工采取在施工</w:t>
      </w:r>
      <w:r>
        <w:rPr>
          <w:spacing w:val="-20"/>
          <w:sz w:val="24"/>
          <w:szCs w:val="24"/>
        </w:rPr>
        <w:t>现场加工。施工时，在现场搭设</w:t>
      </w:r>
      <w:r>
        <w:rPr>
          <w:spacing w:val="-21"/>
          <w:sz w:val="24"/>
          <w:szCs w:val="24"/>
        </w:rPr>
        <w:t>一座简易的管道预制场地，以保证管道的预制深度。</w:t>
      </w:r>
    </w:p>
    <w:p w14:paraId="21A36689">
      <w:pPr>
        <w:pStyle w:val="2"/>
        <w:spacing w:before="117" w:line="278" w:lineRule="auto"/>
        <w:ind w:left="1457" w:right="1387" w:firstLine="427"/>
        <w:rPr>
          <w:sz w:val="24"/>
          <w:szCs w:val="24"/>
        </w:rPr>
      </w:pPr>
      <w:r>
        <w:rPr>
          <w:spacing w:val="-19"/>
          <w:sz w:val="24"/>
          <w:szCs w:val="24"/>
        </w:rPr>
        <w:t>②管道预制过程中要充分考虑现场条件，按照方便运输和安</w:t>
      </w:r>
      <w:r>
        <w:rPr>
          <w:spacing w:val="-20"/>
          <w:sz w:val="24"/>
          <w:szCs w:val="24"/>
        </w:rPr>
        <w:t>装的原则来确定预制深度和活</w:t>
      </w:r>
      <w:r>
        <w:rPr>
          <w:spacing w:val="-18"/>
          <w:sz w:val="24"/>
          <w:szCs w:val="24"/>
        </w:rPr>
        <w:t>口位置，管道预制深度一般为40～60%，活口处应留50～100mm</w:t>
      </w:r>
      <w:r>
        <w:rPr>
          <w:spacing w:val="-19"/>
          <w:sz w:val="24"/>
          <w:szCs w:val="24"/>
        </w:rPr>
        <w:t>的下料余量，以便安装时调整，</w:t>
      </w:r>
      <w:r>
        <w:rPr>
          <w:spacing w:val="-21"/>
          <w:sz w:val="24"/>
          <w:szCs w:val="24"/>
        </w:rPr>
        <w:t>仪表一次元件开孔预制时应按图同时进行加工。</w:t>
      </w:r>
    </w:p>
    <w:p w14:paraId="5804CC59">
      <w:pPr>
        <w:pStyle w:val="2"/>
        <w:spacing w:before="116" w:line="263" w:lineRule="auto"/>
        <w:ind w:left="1457" w:right="1409" w:firstLine="427"/>
        <w:rPr>
          <w:sz w:val="24"/>
          <w:szCs w:val="24"/>
        </w:rPr>
      </w:pPr>
      <w:r>
        <w:rPr>
          <w:spacing w:val="-19"/>
          <w:sz w:val="24"/>
          <w:szCs w:val="24"/>
        </w:rPr>
        <w:t>③管道组成件应按单线图规定的数量、规格、材质选配，并</w:t>
      </w:r>
      <w:r>
        <w:rPr>
          <w:spacing w:val="-20"/>
          <w:sz w:val="24"/>
          <w:szCs w:val="24"/>
        </w:rPr>
        <w:t>应按单线图标明管系号和按预</w:t>
      </w:r>
      <w:r>
        <w:rPr>
          <w:spacing w:val="-21"/>
          <w:sz w:val="24"/>
          <w:szCs w:val="24"/>
        </w:rPr>
        <w:t>制顺序标明各组成件的顺序号。</w:t>
      </w:r>
    </w:p>
    <w:p w14:paraId="6496C0E6">
      <w:pPr>
        <w:pStyle w:val="2"/>
        <w:spacing w:before="118" w:line="216" w:lineRule="auto"/>
        <w:ind w:left="1884"/>
        <w:rPr>
          <w:sz w:val="24"/>
          <w:szCs w:val="24"/>
        </w:rPr>
      </w:pPr>
      <w:r>
        <w:rPr>
          <w:spacing w:val="-22"/>
          <w:sz w:val="24"/>
          <w:szCs w:val="24"/>
        </w:rPr>
        <w:t>④管道组成件的焊接、无损探伤、加工、组装和检查，应符合规范有关规定。</w:t>
      </w:r>
    </w:p>
    <w:p w14:paraId="3EC48C71">
      <w:pPr>
        <w:pStyle w:val="2"/>
        <w:spacing w:before="118" w:line="215" w:lineRule="auto"/>
        <w:ind w:left="1884"/>
        <w:rPr>
          <w:sz w:val="24"/>
          <w:szCs w:val="24"/>
        </w:rPr>
      </w:pPr>
      <w:r>
        <w:rPr>
          <w:spacing w:val="-22"/>
          <w:sz w:val="24"/>
          <w:szCs w:val="24"/>
        </w:rPr>
        <w:t>⑤预制管段应具有足够的刚性，必要时可进行加固，以保证存放及运输过程中不产生变形。</w:t>
      </w:r>
    </w:p>
    <w:p w14:paraId="7A4EA08B">
      <w:pPr>
        <w:pStyle w:val="2"/>
        <w:spacing w:before="121" w:line="217" w:lineRule="auto"/>
        <w:ind w:left="1884"/>
        <w:rPr>
          <w:sz w:val="24"/>
          <w:szCs w:val="24"/>
        </w:rPr>
      </w:pPr>
      <w:r>
        <w:rPr>
          <w:spacing w:val="-21"/>
          <w:sz w:val="24"/>
          <w:szCs w:val="24"/>
        </w:rPr>
        <w:t>⑥预制完毕的管段，应将内部清理干净，及时封闭管口，保持管内清洁。</w:t>
      </w:r>
    </w:p>
    <w:p w14:paraId="7B9AA41E">
      <w:pPr>
        <w:pStyle w:val="2"/>
        <w:spacing w:before="118" w:line="217" w:lineRule="auto"/>
        <w:ind w:left="1887"/>
        <w:rPr>
          <w:sz w:val="24"/>
          <w:szCs w:val="24"/>
        </w:rPr>
      </w:pPr>
      <w:r>
        <w:rPr>
          <w:spacing w:val="-18"/>
          <w:sz w:val="24"/>
          <w:szCs w:val="24"/>
        </w:rPr>
        <w:t>6.4、管道焊接(详见焊接方案)</w:t>
      </w:r>
    </w:p>
    <w:p w14:paraId="5B7F7697">
      <w:pPr>
        <w:pStyle w:val="2"/>
        <w:spacing w:before="117" w:line="216" w:lineRule="auto"/>
        <w:ind w:left="1887"/>
        <w:rPr>
          <w:sz w:val="24"/>
          <w:szCs w:val="24"/>
        </w:rPr>
      </w:pPr>
      <w:r>
        <w:rPr>
          <w:spacing w:val="-20"/>
          <w:sz w:val="24"/>
          <w:szCs w:val="24"/>
        </w:rPr>
        <w:t>6.4.1对接焊缝的内部质量，根据图纸设计要求</w:t>
      </w:r>
      <w:r>
        <w:rPr>
          <w:spacing w:val="-21"/>
          <w:sz w:val="24"/>
          <w:szCs w:val="24"/>
        </w:rPr>
        <w:t>及技术规范的要求进行检查。</w:t>
      </w:r>
    </w:p>
    <w:p w14:paraId="780DFC24">
      <w:pPr>
        <w:pStyle w:val="2"/>
        <w:spacing w:before="119" w:line="263" w:lineRule="auto"/>
        <w:ind w:left="1456" w:right="1409" w:firstLine="431"/>
        <w:rPr>
          <w:sz w:val="24"/>
          <w:szCs w:val="24"/>
        </w:rPr>
      </w:pPr>
      <w:r>
        <w:rPr>
          <w:spacing w:val="-22"/>
          <w:sz w:val="24"/>
          <w:szCs w:val="24"/>
        </w:rPr>
        <w:t>6.4.2对于不进行内部质量检验的焊缝，质检人员应对</w:t>
      </w:r>
      <w:r>
        <w:rPr>
          <w:spacing w:val="-23"/>
          <w:sz w:val="24"/>
          <w:szCs w:val="24"/>
        </w:rPr>
        <w:t>所有焊缝的外观进行检查，焊缝的外</w:t>
      </w:r>
      <w:r>
        <w:rPr>
          <w:spacing w:val="-21"/>
          <w:sz w:val="24"/>
          <w:szCs w:val="24"/>
        </w:rPr>
        <w:t>观质量应符合规范的要求。发现焊缝缺陷超过规定时，必须进</w:t>
      </w:r>
      <w:r>
        <w:rPr>
          <w:spacing w:val="-22"/>
          <w:sz w:val="24"/>
          <w:szCs w:val="24"/>
        </w:rPr>
        <w:t>行返修。</w:t>
      </w:r>
    </w:p>
    <w:p w14:paraId="19E4F7D5">
      <w:pPr>
        <w:pStyle w:val="2"/>
        <w:spacing w:before="117" w:line="216" w:lineRule="auto"/>
        <w:ind w:left="1887"/>
        <w:rPr>
          <w:sz w:val="24"/>
          <w:szCs w:val="24"/>
        </w:rPr>
      </w:pPr>
      <w:r>
        <w:rPr>
          <w:spacing w:val="-19"/>
          <w:sz w:val="24"/>
          <w:szCs w:val="24"/>
        </w:rPr>
        <w:t>6.4.3所有焊缝随时接受甲方代表的检查。</w:t>
      </w:r>
    </w:p>
    <w:p w14:paraId="388AEE85">
      <w:pPr>
        <w:pStyle w:val="2"/>
        <w:spacing w:before="119" w:line="277" w:lineRule="auto"/>
        <w:ind w:left="1455" w:right="1409" w:firstLine="432"/>
        <w:rPr>
          <w:sz w:val="24"/>
          <w:szCs w:val="24"/>
        </w:rPr>
      </w:pPr>
      <w:r>
        <w:rPr>
          <w:spacing w:val="-23"/>
          <w:sz w:val="24"/>
          <w:szCs w:val="24"/>
        </w:rPr>
        <w:t>6.4.4当抽样检验未发现需要返修的焊缝缺陷时，则该次抽样代表的一批焊缝应认为全部合</w:t>
      </w:r>
      <w:r>
        <w:rPr>
          <w:spacing w:val="-20"/>
          <w:sz w:val="24"/>
          <w:szCs w:val="24"/>
        </w:rPr>
        <w:t>格；当抽样检验发现需要返修的焊缝缺陷时，除返修该焊缝外，还应采取原规定方法按下列规</w:t>
      </w:r>
      <w:r>
        <w:rPr>
          <w:spacing w:val="-18"/>
          <w:sz w:val="24"/>
          <w:szCs w:val="24"/>
        </w:rPr>
        <w:t>定进一步检验：</w:t>
      </w:r>
    </w:p>
    <w:p w14:paraId="439FC12A">
      <w:pPr>
        <w:pStyle w:val="2"/>
        <w:spacing w:before="120" w:line="216" w:lineRule="auto"/>
        <w:ind w:left="1887"/>
        <w:rPr>
          <w:sz w:val="24"/>
          <w:szCs w:val="24"/>
        </w:rPr>
      </w:pPr>
      <w:r>
        <w:rPr>
          <w:spacing w:val="-21"/>
          <w:sz w:val="24"/>
          <w:szCs w:val="24"/>
        </w:rPr>
        <w:t>6.4.5每出现一道不合格焊缝应再检验两道该焊工所焊的同一批焊缝。</w:t>
      </w:r>
    </w:p>
    <w:p w14:paraId="68998F04">
      <w:pPr>
        <w:pStyle w:val="2"/>
        <w:spacing w:before="120" w:line="216" w:lineRule="auto"/>
        <w:ind w:left="1887"/>
        <w:rPr>
          <w:sz w:val="24"/>
          <w:szCs w:val="24"/>
        </w:rPr>
      </w:pPr>
      <w:r>
        <w:rPr>
          <w:spacing w:val="-21"/>
          <w:sz w:val="24"/>
          <w:szCs w:val="24"/>
        </w:rPr>
        <w:t>6.4.6当这两道焊缝又出现不合格时，每道不合格焊缝应再检验两道该焊工的同一批焊缝。</w:t>
      </w:r>
    </w:p>
    <w:p w14:paraId="4E63319D">
      <w:pPr>
        <w:pStyle w:val="2"/>
        <w:spacing w:before="118" w:line="216" w:lineRule="auto"/>
        <w:ind w:left="1887"/>
        <w:rPr>
          <w:sz w:val="24"/>
          <w:szCs w:val="24"/>
        </w:rPr>
      </w:pPr>
      <w:r>
        <w:rPr>
          <w:spacing w:val="-20"/>
          <w:sz w:val="24"/>
          <w:szCs w:val="24"/>
        </w:rPr>
        <w:t>6.4.7当再次检验均合格时，可认为检验所代表的</w:t>
      </w:r>
      <w:r>
        <w:rPr>
          <w:spacing w:val="-21"/>
          <w:sz w:val="24"/>
          <w:szCs w:val="24"/>
        </w:rPr>
        <w:t>这一批焊缝合格。</w:t>
      </w:r>
    </w:p>
    <w:p w14:paraId="3795D867">
      <w:pPr>
        <w:pStyle w:val="2"/>
        <w:spacing w:before="120" w:line="216" w:lineRule="auto"/>
        <w:ind w:left="1887"/>
        <w:rPr>
          <w:sz w:val="24"/>
          <w:szCs w:val="24"/>
        </w:rPr>
      </w:pPr>
      <w:r>
        <w:rPr>
          <w:spacing w:val="-21"/>
          <w:sz w:val="24"/>
          <w:szCs w:val="24"/>
        </w:rPr>
        <w:t>6.4.8当再次检验又出现不合格时，应对该焊工所焊的同一批焊缝全部进行检</w:t>
      </w:r>
      <w:r>
        <w:rPr>
          <w:spacing w:val="-22"/>
          <w:sz w:val="24"/>
          <w:szCs w:val="24"/>
        </w:rPr>
        <w:t>验。</w:t>
      </w:r>
    </w:p>
    <w:p w14:paraId="77F26D63">
      <w:pPr>
        <w:pStyle w:val="2"/>
        <w:spacing w:before="120" w:line="267" w:lineRule="auto"/>
        <w:ind w:left="1461" w:right="1409" w:firstLine="426"/>
        <w:rPr>
          <w:sz w:val="24"/>
          <w:szCs w:val="24"/>
        </w:rPr>
      </w:pPr>
      <w:r>
        <w:rPr>
          <w:spacing w:val="-22"/>
          <w:sz w:val="24"/>
          <w:szCs w:val="24"/>
        </w:rPr>
        <w:t>6.4.9焊缝需抽样进行射线探伤时，其检验位置应由建设单</w:t>
      </w:r>
      <w:r>
        <w:rPr>
          <w:spacing w:val="-23"/>
          <w:sz w:val="24"/>
          <w:szCs w:val="24"/>
        </w:rPr>
        <w:t>位和施工单位的质检人员共同确</w:t>
      </w:r>
      <w:r>
        <w:rPr>
          <w:spacing w:val="-11"/>
          <w:sz w:val="24"/>
          <w:szCs w:val="24"/>
        </w:rPr>
        <w:t>定。</w:t>
      </w:r>
    </w:p>
    <w:p w14:paraId="099DBECA">
      <w:pPr>
        <w:pStyle w:val="2"/>
        <w:spacing w:before="106" w:line="262" w:lineRule="auto"/>
        <w:ind w:left="1456" w:right="1351" w:firstLine="431"/>
        <w:rPr>
          <w:sz w:val="24"/>
          <w:szCs w:val="24"/>
        </w:rPr>
      </w:pPr>
      <w:r>
        <w:rPr>
          <w:spacing w:val="-23"/>
          <w:sz w:val="24"/>
          <w:szCs w:val="24"/>
        </w:rPr>
        <w:t>6.4.10对不合格焊缝的返修，返修前应进行质量分析，当同一</w:t>
      </w:r>
      <w:r>
        <w:rPr>
          <w:spacing w:val="-24"/>
          <w:sz w:val="24"/>
          <w:szCs w:val="24"/>
        </w:rPr>
        <w:t>部位的返修次数超过两次时，</w:t>
      </w:r>
      <w:r>
        <w:rPr>
          <w:spacing w:val="-21"/>
          <w:sz w:val="24"/>
          <w:szCs w:val="24"/>
        </w:rPr>
        <w:t>应制订返修措施并经焊接技术负责人审批后方可进行返修。</w:t>
      </w:r>
    </w:p>
    <w:p w14:paraId="4B92991E">
      <w:pPr>
        <w:pStyle w:val="2"/>
        <w:spacing w:before="118" w:line="217" w:lineRule="auto"/>
        <w:ind w:left="1887"/>
        <w:rPr>
          <w:sz w:val="24"/>
          <w:szCs w:val="24"/>
        </w:rPr>
      </w:pPr>
      <w:r>
        <w:rPr>
          <w:spacing w:val="-16"/>
          <w:sz w:val="24"/>
          <w:szCs w:val="24"/>
        </w:rPr>
        <w:t>6.5、管道、阀门安装</w:t>
      </w:r>
    </w:p>
    <w:p w14:paraId="05D543CE">
      <w:pPr>
        <w:pStyle w:val="2"/>
        <w:spacing w:before="118" w:line="219" w:lineRule="auto"/>
        <w:ind w:left="1887"/>
        <w:rPr>
          <w:sz w:val="24"/>
          <w:szCs w:val="24"/>
        </w:rPr>
      </w:pPr>
      <w:r>
        <w:rPr>
          <w:spacing w:val="-14"/>
          <w:sz w:val="24"/>
          <w:szCs w:val="24"/>
        </w:rPr>
        <w:t>6.5.1安装原则</w:t>
      </w:r>
    </w:p>
    <w:p w14:paraId="3E5FCEF9">
      <w:pPr>
        <w:pStyle w:val="2"/>
        <w:spacing w:before="118" w:line="307" w:lineRule="auto"/>
        <w:ind w:left="1469" w:right="1410" w:firstLine="436"/>
        <w:rPr>
          <w:spacing w:val="-21"/>
          <w:sz w:val="24"/>
          <w:szCs w:val="24"/>
        </w:rPr>
      </w:pPr>
      <w:r>
        <w:rPr>
          <w:spacing w:val="-20"/>
          <w:sz w:val="24"/>
          <w:szCs w:val="24"/>
        </w:rPr>
        <w:t>管道安装顺序本着分片区、分系统，先大直径后小直径，先下层后上层，先难后易，先上管廊后连设备，与设备相连接的管道原则上是从里向外配，以减少焊接应力对设备安装</w:t>
      </w:r>
      <w:r>
        <w:rPr>
          <w:spacing w:val="-21"/>
          <w:sz w:val="24"/>
          <w:szCs w:val="24"/>
        </w:rPr>
        <w:t>精度的</w:t>
      </w:r>
    </w:p>
    <w:p w14:paraId="7CB87D86">
      <w:pPr>
        <w:pStyle w:val="2"/>
        <w:spacing w:before="78" w:line="215" w:lineRule="auto"/>
        <w:ind w:left="1459"/>
        <w:rPr>
          <w:sz w:val="24"/>
          <w:szCs w:val="24"/>
        </w:rPr>
      </w:pPr>
      <w:r>
        <w:rPr>
          <w:spacing w:val="-21"/>
          <w:sz w:val="24"/>
          <w:szCs w:val="24"/>
        </w:rPr>
        <w:t>影响，室内与室外管线的碰口应留在室外。</w:t>
      </w:r>
    </w:p>
    <w:p w14:paraId="2D23CB1D">
      <w:pPr>
        <w:pStyle w:val="2"/>
        <w:spacing w:before="121" w:line="218" w:lineRule="auto"/>
        <w:ind w:left="1887"/>
        <w:rPr>
          <w:sz w:val="24"/>
          <w:szCs w:val="24"/>
        </w:rPr>
      </w:pPr>
      <w:r>
        <w:rPr>
          <w:spacing w:val="-14"/>
          <w:sz w:val="24"/>
          <w:szCs w:val="24"/>
        </w:rPr>
        <w:t>6.5.2安装要求</w:t>
      </w:r>
    </w:p>
    <w:p w14:paraId="64BC9025">
      <w:pPr>
        <w:pStyle w:val="2"/>
        <w:spacing w:before="115" w:line="263" w:lineRule="auto"/>
        <w:ind w:left="1455" w:right="1411" w:firstLine="472"/>
        <w:rPr>
          <w:sz w:val="24"/>
          <w:szCs w:val="24"/>
        </w:rPr>
      </w:pPr>
      <w:r>
        <w:rPr>
          <w:spacing w:val="-22"/>
          <w:sz w:val="24"/>
          <w:szCs w:val="24"/>
        </w:rPr>
        <w:t>(A)管道在安装前应对设备管口、预埋件、预留孔洞</w:t>
      </w:r>
      <w:r>
        <w:rPr>
          <w:spacing w:val="-23"/>
          <w:sz w:val="24"/>
          <w:szCs w:val="24"/>
        </w:rPr>
        <w:t>、钢结构等涉及管道安装的内容进行复</w:t>
      </w:r>
      <w:r>
        <w:rPr>
          <w:spacing w:val="-18"/>
          <w:sz w:val="24"/>
          <w:szCs w:val="24"/>
        </w:rPr>
        <w:t>核。</w:t>
      </w:r>
    </w:p>
    <w:p w14:paraId="1836E2C7">
      <w:pPr>
        <w:pStyle w:val="2"/>
        <w:spacing w:before="117" w:line="262" w:lineRule="auto"/>
        <w:ind w:left="1464" w:right="1411" w:firstLine="462"/>
        <w:rPr>
          <w:sz w:val="24"/>
          <w:szCs w:val="24"/>
        </w:rPr>
      </w:pPr>
      <w:r>
        <w:rPr>
          <w:spacing w:val="-22"/>
          <w:sz w:val="24"/>
          <w:szCs w:val="24"/>
        </w:rPr>
        <w:t>(B)与传动设备连接的管道，安装前内部要处理干净</w:t>
      </w:r>
      <w:r>
        <w:rPr>
          <w:spacing w:val="-23"/>
          <w:sz w:val="24"/>
          <w:szCs w:val="24"/>
        </w:rPr>
        <w:t>，焊接固定管口一般应远离设备，以避</w:t>
      </w:r>
      <w:r>
        <w:rPr>
          <w:spacing w:val="-22"/>
          <w:sz w:val="24"/>
          <w:szCs w:val="24"/>
        </w:rPr>
        <w:t>免焊接产生应力对传动设备安装精度的影响。</w:t>
      </w:r>
    </w:p>
    <w:p w14:paraId="7F8ED99F">
      <w:pPr>
        <w:pStyle w:val="2"/>
        <w:spacing w:before="118" w:line="215" w:lineRule="auto"/>
        <w:ind w:left="1927"/>
        <w:rPr>
          <w:sz w:val="24"/>
          <w:szCs w:val="24"/>
        </w:rPr>
      </w:pPr>
      <w:r>
        <w:rPr>
          <w:spacing w:val="-22"/>
          <w:sz w:val="24"/>
          <w:szCs w:val="24"/>
        </w:rPr>
        <w:t>(C)管道与设备连接前，应防止强力相对，在自由状态下检查法兰的平行度和同轴度。</w:t>
      </w:r>
    </w:p>
    <w:p w14:paraId="0F76BF2B">
      <w:pPr>
        <w:pStyle w:val="2"/>
        <w:spacing w:before="120" w:line="262" w:lineRule="auto"/>
        <w:ind w:left="1458" w:right="1428" w:firstLine="469"/>
        <w:rPr>
          <w:sz w:val="24"/>
          <w:szCs w:val="24"/>
        </w:rPr>
      </w:pPr>
      <w:r>
        <w:rPr>
          <w:spacing w:val="-23"/>
          <w:sz w:val="24"/>
          <w:szCs w:val="24"/>
        </w:rPr>
        <w:t>(D)安全阀应垂直安装，在投入试运行时，要及时调校安全阀。安全阀的最终调校在系统上</w:t>
      </w:r>
      <w:r>
        <w:rPr>
          <w:spacing w:val="-21"/>
          <w:sz w:val="24"/>
          <w:szCs w:val="24"/>
        </w:rPr>
        <w:t>进行，开启和回座压力要符合设计文件的规定。</w:t>
      </w:r>
    </w:p>
    <w:p w14:paraId="149D9A79">
      <w:pPr>
        <w:pStyle w:val="2"/>
        <w:spacing w:before="119" w:line="262" w:lineRule="auto"/>
        <w:ind w:left="1463" w:right="1411" w:firstLine="463"/>
        <w:rPr>
          <w:sz w:val="24"/>
          <w:szCs w:val="24"/>
        </w:rPr>
      </w:pPr>
      <w:r>
        <w:rPr>
          <w:spacing w:val="-22"/>
          <w:sz w:val="24"/>
          <w:szCs w:val="24"/>
        </w:rPr>
        <w:t>(E)阀门安装前，按设计文件核对其型号，并按介质</w:t>
      </w:r>
      <w:r>
        <w:rPr>
          <w:spacing w:val="-23"/>
          <w:sz w:val="24"/>
          <w:szCs w:val="24"/>
        </w:rPr>
        <w:t>流向确定其安装方向。当阀门与管道以</w:t>
      </w:r>
      <w:r>
        <w:rPr>
          <w:spacing w:val="-22"/>
          <w:sz w:val="24"/>
          <w:szCs w:val="24"/>
        </w:rPr>
        <w:t>法兰或螺纹方式连接时，阀门应在关闭状态下安装；如以焊接方式安装时，阀门不得</w:t>
      </w:r>
      <w:r>
        <w:rPr>
          <w:spacing w:val="-23"/>
          <w:sz w:val="24"/>
          <w:szCs w:val="24"/>
        </w:rPr>
        <w:t>关闭。</w:t>
      </w:r>
    </w:p>
    <w:p w14:paraId="59F30183">
      <w:pPr>
        <w:pStyle w:val="2"/>
        <w:spacing w:before="118" w:line="217" w:lineRule="auto"/>
        <w:ind w:left="1927"/>
        <w:rPr>
          <w:sz w:val="24"/>
          <w:szCs w:val="24"/>
        </w:rPr>
      </w:pPr>
      <w:r>
        <w:rPr>
          <w:spacing w:val="-23"/>
          <w:sz w:val="24"/>
          <w:szCs w:val="24"/>
        </w:rPr>
        <w:t>(F)管道安装的允许偏差应符合规范的规定：</w:t>
      </w:r>
    </w:p>
    <w:p w14:paraId="352CEAEA">
      <w:pPr>
        <w:pStyle w:val="2"/>
        <w:spacing w:before="119" w:line="220" w:lineRule="auto"/>
        <w:ind w:left="1896"/>
        <w:rPr>
          <w:sz w:val="24"/>
          <w:szCs w:val="24"/>
        </w:rPr>
      </w:pPr>
      <w:r>
        <w:rPr>
          <w:spacing w:val="-19"/>
          <w:sz w:val="24"/>
          <w:szCs w:val="24"/>
        </w:rPr>
        <w:t>一般管道安装</w:t>
      </w:r>
    </w:p>
    <w:p w14:paraId="084D1989">
      <w:pPr>
        <w:pStyle w:val="2"/>
        <w:spacing w:before="114" w:line="262" w:lineRule="auto"/>
        <w:ind w:left="1478" w:right="1409" w:firstLine="449"/>
        <w:rPr>
          <w:sz w:val="24"/>
          <w:szCs w:val="24"/>
        </w:rPr>
      </w:pPr>
      <w:r>
        <w:rPr>
          <w:spacing w:val="-22"/>
          <w:sz w:val="24"/>
          <w:szCs w:val="24"/>
        </w:rPr>
        <w:t>(A)管道安装前与管道有关的土建工程已完工，需要配管</w:t>
      </w:r>
      <w:r>
        <w:rPr>
          <w:spacing w:val="-23"/>
          <w:sz w:val="24"/>
          <w:szCs w:val="24"/>
        </w:rPr>
        <w:t>的设备安装经检验合格，并办理中</w:t>
      </w:r>
      <w:r>
        <w:rPr>
          <w:spacing w:val="-22"/>
          <w:sz w:val="24"/>
          <w:szCs w:val="24"/>
        </w:rPr>
        <w:t>间交接手续方可进行配管。</w:t>
      </w:r>
    </w:p>
    <w:p w14:paraId="315CE2D0">
      <w:pPr>
        <w:pStyle w:val="2"/>
        <w:spacing w:before="120" w:line="262" w:lineRule="auto"/>
        <w:ind w:left="1463" w:right="1409" w:firstLine="463"/>
        <w:rPr>
          <w:sz w:val="24"/>
          <w:szCs w:val="24"/>
        </w:rPr>
      </w:pPr>
      <w:r>
        <w:rPr>
          <w:spacing w:val="-19"/>
          <w:sz w:val="24"/>
          <w:szCs w:val="24"/>
        </w:rPr>
        <w:t>(B)对已预制好的管道进行检查，与图纸核对无误。(C)管道应严格按照图纸进行安装，做</w:t>
      </w:r>
      <w:r>
        <w:rPr>
          <w:spacing w:val="-22"/>
          <w:sz w:val="24"/>
          <w:szCs w:val="24"/>
        </w:rPr>
        <w:t>到横平竖直，有坡度要求的管道，其坡度、坡向应符合设计要求。</w:t>
      </w:r>
    </w:p>
    <w:p w14:paraId="1580AC60">
      <w:pPr>
        <w:pStyle w:val="2"/>
        <w:spacing w:before="117" w:line="262" w:lineRule="auto"/>
        <w:ind w:left="1469" w:right="1411" w:firstLine="458"/>
        <w:rPr>
          <w:sz w:val="24"/>
          <w:szCs w:val="24"/>
        </w:rPr>
      </w:pPr>
      <w:r>
        <w:rPr>
          <w:spacing w:val="-22"/>
          <w:sz w:val="24"/>
          <w:szCs w:val="24"/>
        </w:rPr>
        <w:t>(D)穿越墙体、楼板、道路，一般应加套管，穿墙套</w:t>
      </w:r>
      <w:r>
        <w:rPr>
          <w:spacing w:val="-23"/>
          <w:sz w:val="24"/>
          <w:szCs w:val="24"/>
        </w:rPr>
        <w:t>管长度不应小于墙体厚度，穿楼板的套</w:t>
      </w:r>
      <w:r>
        <w:rPr>
          <w:spacing w:val="-19"/>
          <w:sz w:val="24"/>
          <w:szCs w:val="24"/>
        </w:rPr>
        <w:t>管应高出楼面或地面50mm左右，管道与套管的空</w:t>
      </w:r>
      <w:r>
        <w:rPr>
          <w:spacing w:val="-20"/>
          <w:sz w:val="24"/>
          <w:szCs w:val="24"/>
        </w:rPr>
        <w:t>隙应用石棉绳或其它不能燃烧的材料填充。</w:t>
      </w:r>
    </w:p>
    <w:p w14:paraId="158A9241">
      <w:pPr>
        <w:pStyle w:val="2"/>
        <w:spacing w:before="121" w:line="217" w:lineRule="auto"/>
        <w:ind w:left="1902"/>
        <w:rPr>
          <w:sz w:val="24"/>
          <w:szCs w:val="24"/>
        </w:rPr>
      </w:pPr>
      <w:r>
        <w:rPr>
          <w:spacing w:val="-21"/>
          <w:sz w:val="24"/>
          <w:szCs w:val="24"/>
        </w:rPr>
        <w:t>与设备相连的管道安装</w:t>
      </w:r>
    </w:p>
    <w:p w14:paraId="3A9D5F84">
      <w:pPr>
        <w:pStyle w:val="2"/>
        <w:spacing w:before="116" w:line="217" w:lineRule="auto"/>
        <w:ind w:left="1927"/>
        <w:rPr>
          <w:sz w:val="24"/>
          <w:szCs w:val="24"/>
        </w:rPr>
      </w:pPr>
      <w:r>
        <w:rPr>
          <w:spacing w:val="-21"/>
          <w:sz w:val="24"/>
          <w:szCs w:val="24"/>
        </w:rPr>
        <w:t>(A)与设备相连的管道安装应符合设计和设备制造厂的</w:t>
      </w:r>
      <w:r>
        <w:rPr>
          <w:spacing w:val="-22"/>
          <w:sz w:val="24"/>
          <w:szCs w:val="24"/>
        </w:rPr>
        <w:t>有关技术要求的规定。</w:t>
      </w:r>
    </w:p>
    <w:p w14:paraId="34DA3891">
      <w:pPr>
        <w:pStyle w:val="2"/>
        <w:spacing w:before="119" w:line="262" w:lineRule="auto"/>
        <w:ind w:left="1457" w:right="1409" w:firstLine="470"/>
        <w:rPr>
          <w:sz w:val="24"/>
          <w:szCs w:val="24"/>
        </w:rPr>
      </w:pPr>
      <w:r>
        <w:rPr>
          <w:spacing w:val="-19"/>
          <w:sz w:val="24"/>
          <w:szCs w:val="24"/>
        </w:rPr>
        <w:t>(B)管道安装应确保不对设备产生附加应力，做到自由对中。(C)与设备相连的第一块法兰</w:t>
      </w:r>
      <w:r>
        <w:rPr>
          <w:spacing w:val="-21"/>
          <w:sz w:val="24"/>
          <w:szCs w:val="24"/>
        </w:rPr>
        <w:t>连接螺栓应松开，呈自由状态，并检查法兰的平行度和同</w:t>
      </w:r>
      <w:r>
        <w:rPr>
          <w:spacing w:val="-22"/>
          <w:sz w:val="24"/>
          <w:szCs w:val="24"/>
        </w:rPr>
        <w:t>轴度。</w:t>
      </w:r>
    </w:p>
    <w:p w14:paraId="50B8983A">
      <w:pPr>
        <w:pStyle w:val="2"/>
        <w:spacing w:before="118" w:line="260" w:lineRule="auto"/>
        <w:ind w:left="1450" w:right="1410" w:firstLine="477"/>
        <w:rPr>
          <w:sz w:val="24"/>
          <w:szCs w:val="24"/>
        </w:rPr>
      </w:pPr>
      <w:r>
        <w:rPr>
          <w:spacing w:val="-17"/>
          <w:sz w:val="24"/>
          <w:szCs w:val="24"/>
        </w:rPr>
        <w:t>(D)管道最终与设备形成闭合时，应在联轴节上架设百分表监视设备的位移，当转速大于</w:t>
      </w:r>
      <w:r>
        <w:rPr>
          <w:spacing w:val="-14"/>
          <w:sz w:val="24"/>
          <w:szCs w:val="24"/>
        </w:rPr>
        <w:t>6000rpm时，其位移应小于0.02mm，当转速小于或等于6000rpm时，其位移应小于0.5mm。</w:t>
      </w:r>
    </w:p>
    <w:p w14:paraId="06FAC4F5">
      <w:pPr>
        <w:pStyle w:val="2"/>
        <w:spacing w:before="125" w:line="217" w:lineRule="auto"/>
        <w:ind w:left="1927"/>
        <w:rPr>
          <w:sz w:val="24"/>
          <w:szCs w:val="24"/>
        </w:rPr>
      </w:pPr>
      <w:r>
        <w:rPr>
          <w:spacing w:val="-21"/>
          <w:sz w:val="24"/>
          <w:szCs w:val="24"/>
        </w:rPr>
        <w:t>(E)符合要求后应尽快固定好管道及支架，管道上不得承</w:t>
      </w:r>
      <w:r>
        <w:rPr>
          <w:spacing w:val="-22"/>
          <w:sz w:val="24"/>
          <w:szCs w:val="24"/>
        </w:rPr>
        <w:t>受设计外的任何附加载荷。</w:t>
      </w:r>
    </w:p>
    <w:p w14:paraId="68FC7822">
      <w:pPr>
        <w:pStyle w:val="2"/>
        <w:spacing w:before="117" w:line="217" w:lineRule="auto"/>
        <w:ind w:left="1912"/>
        <w:rPr>
          <w:sz w:val="24"/>
          <w:szCs w:val="24"/>
        </w:rPr>
      </w:pPr>
      <w:r>
        <w:rPr>
          <w:spacing w:val="-20"/>
          <w:sz w:val="24"/>
          <w:szCs w:val="24"/>
        </w:rPr>
        <w:t>阀门安装</w:t>
      </w:r>
    </w:p>
    <w:p w14:paraId="0DE90C84">
      <w:pPr>
        <w:pStyle w:val="2"/>
        <w:spacing w:before="119" w:line="263" w:lineRule="auto"/>
        <w:ind w:left="1456" w:right="1409" w:firstLine="471"/>
        <w:rPr>
          <w:sz w:val="24"/>
          <w:szCs w:val="24"/>
        </w:rPr>
      </w:pPr>
      <w:r>
        <w:rPr>
          <w:spacing w:val="-19"/>
          <w:sz w:val="24"/>
          <w:szCs w:val="24"/>
        </w:rPr>
        <w:t>(A)核对阀门的规格、型号、材质，并确定安装方向。(B)法兰或螺栓连接的阀门应在关闭</w:t>
      </w:r>
      <w:r>
        <w:rPr>
          <w:spacing w:val="-21"/>
          <w:sz w:val="24"/>
          <w:szCs w:val="24"/>
        </w:rPr>
        <w:t>状态下安装，焊接阀门焊接时不得关闭。</w:t>
      </w:r>
    </w:p>
    <w:p w14:paraId="349C7D57">
      <w:pPr>
        <w:pStyle w:val="2"/>
        <w:spacing w:before="116" w:line="215" w:lineRule="auto"/>
        <w:ind w:left="1927"/>
        <w:rPr>
          <w:sz w:val="24"/>
          <w:szCs w:val="24"/>
        </w:rPr>
      </w:pPr>
      <w:r>
        <w:rPr>
          <w:spacing w:val="-24"/>
          <w:sz w:val="24"/>
          <w:szCs w:val="24"/>
        </w:rPr>
        <w:t>(C)体积较大，重量较重的阀门安装前应仔细检</w:t>
      </w:r>
      <w:r>
        <w:rPr>
          <w:spacing w:val="-25"/>
          <w:sz w:val="24"/>
          <w:szCs w:val="24"/>
        </w:rPr>
        <w:t>查操作是否灵活，存在问题在安装前处理好。</w:t>
      </w:r>
    </w:p>
    <w:p w14:paraId="7F721380">
      <w:pPr>
        <w:pStyle w:val="2"/>
        <w:spacing w:before="121" w:line="216" w:lineRule="auto"/>
        <w:ind w:left="1927"/>
        <w:rPr>
          <w:sz w:val="24"/>
          <w:szCs w:val="24"/>
        </w:rPr>
      </w:pPr>
      <w:r>
        <w:rPr>
          <w:spacing w:val="-21"/>
          <w:sz w:val="24"/>
          <w:szCs w:val="24"/>
        </w:rPr>
        <w:t>(D)阀门安装要便于操作、维修，符合安全要求的原则</w:t>
      </w:r>
      <w:r>
        <w:rPr>
          <w:spacing w:val="-22"/>
          <w:sz w:val="24"/>
          <w:szCs w:val="24"/>
        </w:rPr>
        <w:t>，安全阀安装时应保证其铅垂度。</w:t>
      </w:r>
    </w:p>
    <w:p w14:paraId="1FF7FE6B">
      <w:pPr>
        <w:pStyle w:val="2"/>
        <w:spacing w:before="120" w:line="216" w:lineRule="auto"/>
        <w:ind w:left="1906"/>
        <w:rPr>
          <w:sz w:val="24"/>
          <w:szCs w:val="24"/>
        </w:rPr>
      </w:pPr>
      <w:r>
        <w:rPr>
          <w:spacing w:val="-21"/>
          <w:sz w:val="24"/>
          <w:szCs w:val="24"/>
        </w:rPr>
        <w:t>管道支、吊架的制作与安装</w:t>
      </w:r>
    </w:p>
    <w:p w14:paraId="54CE6275">
      <w:pPr>
        <w:pStyle w:val="2"/>
        <w:spacing w:before="118" w:line="263" w:lineRule="auto"/>
        <w:ind w:left="1487" w:right="1410" w:firstLine="440"/>
        <w:rPr>
          <w:sz w:val="24"/>
          <w:szCs w:val="24"/>
        </w:rPr>
      </w:pPr>
      <w:r>
        <w:rPr>
          <w:spacing w:val="-19"/>
          <w:sz w:val="24"/>
          <w:szCs w:val="24"/>
        </w:rPr>
        <w:t>(A)现场制作的管架严格按规范和图纸进行，并涂漆保护。(B)所有管架位置，应在单线图</w:t>
      </w:r>
      <w:r>
        <w:rPr>
          <w:spacing w:val="-23"/>
          <w:sz w:val="24"/>
          <w:szCs w:val="24"/>
        </w:rPr>
        <w:t>中标明。</w:t>
      </w:r>
    </w:p>
    <w:p w14:paraId="5788EC71">
      <w:pPr>
        <w:pStyle w:val="2"/>
        <w:spacing w:before="118" w:line="263" w:lineRule="auto"/>
        <w:ind w:left="1456" w:right="1409" w:firstLine="471"/>
        <w:rPr>
          <w:sz w:val="24"/>
          <w:szCs w:val="24"/>
        </w:rPr>
      </w:pPr>
      <w:r>
        <w:rPr>
          <w:spacing w:val="-22"/>
          <w:sz w:val="24"/>
          <w:szCs w:val="24"/>
        </w:rPr>
        <w:t>(C)管道安装时，应及时固定和调整支架，支架位置应准</w:t>
      </w:r>
      <w:r>
        <w:rPr>
          <w:spacing w:val="-23"/>
          <w:sz w:val="24"/>
          <w:szCs w:val="24"/>
        </w:rPr>
        <w:t>确，安装应平整牢固，与管子接触</w:t>
      </w:r>
      <w:r>
        <w:rPr>
          <w:spacing w:val="-15"/>
          <w:sz w:val="24"/>
          <w:szCs w:val="24"/>
        </w:rPr>
        <w:t>应紧密。</w:t>
      </w:r>
    </w:p>
    <w:p w14:paraId="16CB81A3">
      <w:pPr>
        <w:spacing w:line="250" w:lineRule="auto"/>
        <w:rPr>
          <w:rFonts w:ascii="Arial"/>
          <w:sz w:val="21"/>
        </w:rPr>
      </w:pPr>
    </w:p>
    <w:p w14:paraId="1FCE7647">
      <w:pPr>
        <w:pStyle w:val="2"/>
        <w:spacing w:before="78" w:line="216" w:lineRule="auto"/>
        <w:ind w:left="1927"/>
        <w:rPr>
          <w:sz w:val="24"/>
          <w:szCs w:val="24"/>
        </w:rPr>
      </w:pPr>
      <w:r>
        <w:rPr>
          <w:spacing w:val="-21"/>
          <w:sz w:val="24"/>
          <w:szCs w:val="24"/>
        </w:rPr>
        <w:t>(D)固定支架应按设计文件要求安装，并应补偿器预拉伸</w:t>
      </w:r>
      <w:r>
        <w:rPr>
          <w:spacing w:val="-22"/>
          <w:sz w:val="24"/>
          <w:szCs w:val="24"/>
        </w:rPr>
        <w:t>之前固定。</w:t>
      </w:r>
    </w:p>
    <w:p w14:paraId="6E3782FD">
      <w:pPr>
        <w:pStyle w:val="2"/>
        <w:spacing w:before="119" w:line="278" w:lineRule="auto"/>
        <w:ind w:left="1456" w:right="1410" w:firstLine="471"/>
        <w:rPr>
          <w:sz w:val="24"/>
          <w:szCs w:val="24"/>
        </w:rPr>
      </w:pPr>
      <w:r>
        <w:rPr>
          <w:spacing w:val="-22"/>
          <w:sz w:val="24"/>
          <w:szCs w:val="24"/>
        </w:rPr>
        <w:t>(E)导向支架或滑动支架的滑动面应洁净平整，不得有</w:t>
      </w:r>
      <w:r>
        <w:rPr>
          <w:spacing w:val="-23"/>
          <w:sz w:val="24"/>
          <w:szCs w:val="24"/>
        </w:rPr>
        <w:t>歪斜和卡涩现象。其安装位置应从支</w:t>
      </w:r>
      <w:r>
        <w:rPr>
          <w:spacing w:val="-21"/>
          <w:sz w:val="24"/>
          <w:szCs w:val="24"/>
        </w:rPr>
        <w:t>承面中心向反方向偏移，偏移量应为位移值的1/2或符合设计文件规定，绝热层不得</w:t>
      </w:r>
      <w:r>
        <w:rPr>
          <w:spacing w:val="-22"/>
          <w:sz w:val="24"/>
          <w:szCs w:val="24"/>
        </w:rPr>
        <w:t>妨碍其位</w:t>
      </w:r>
      <w:r>
        <w:rPr>
          <w:spacing w:val="-18"/>
          <w:sz w:val="24"/>
          <w:szCs w:val="24"/>
        </w:rPr>
        <w:t>移。</w:t>
      </w:r>
    </w:p>
    <w:p w14:paraId="04CB3554">
      <w:pPr>
        <w:pStyle w:val="2"/>
        <w:spacing w:before="115" w:line="263" w:lineRule="auto"/>
        <w:ind w:left="1458" w:right="1411" w:firstLine="469"/>
        <w:rPr>
          <w:sz w:val="24"/>
          <w:szCs w:val="24"/>
        </w:rPr>
      </w:pPr>
      <w:r>
        <w:rPr>
          <w:spacing w:val="-22"/>
          <w:sz w:val="24"/>
          <w:szCs w:val="24"/>
        </w:rPr>
        <w:t>(F)管道安装使用临时支架时，不得与正式支架位置</w:t>
      </w:r>
      <w:r>
        <w:rPr>
          <w:spacing w:val="-23"/>
          <w:sz w:val="24"/>
          <w:szCs w:val="24"/>
        </w:rPr>
        <w:t>冲突，并有明显标记，在管道安装完毕</w:t>
      </w:r>
      <w:r>
        <w:rPr>
          <w:spacing w:val="-18"/>
          <w:sz w:val="24"/>
          <w:szCs w:val="24"/>
        </w:rPr>
        <w:t>后应予拆除。</w:t>
      </w:r>
    </w:p>
    <w:p w14:paraId="30B7D712">
      <w:pPr>
        <w:pStyle w:val="2"/>
        <w:spacing w:before="115" w:line="217" w:lineRule="auto"/>
        <w:ind w:left="1927"/>
        <w:rPr>
          <w:sz w:val="24"/>
          <w:szCs w:val="24"/>
        </w:rPr>
      </w:pPr>
      <w:r>
        <w:rPr>
          <w:spacing w:val="-21"/>
          <w:sz w:val="24"/>
          <w:szCs w:val="24"/>
        </w:rPr>
        <w:t>(G)管道安装完毕后，应按设计文件规定逐个核对支架的</w:t>
      </w:r>
      <w:r>
        <w:rPr>
          <w:spacing w:val="-22"/>
          <w:sz w:val="24"/>
          <w:szCs w:val="24"/>
        </w:rPr>
        <w:t>形式和位置。</w:t>
      </w:r>
    </w:p>
    <w:p w14:paraId="4680BE50">
      <w:pPr>
        <w:pStyle w:val="2"/>
        <w:spacing w:before="120" w:line="218" w:lineRule="auto"/>
        <w:ind w:left="1887"/>
        <w:rPr>
          <w:sz w:val="24"/>
          <w:szCs w:val="24"/>
        </w:rPr>
      </w:pPr>
      <w:r>
        <w:rPr>
          <w:spacing w:val="-17"/>
          <w:sz w:val="24"/>
          <w:szCs w:val="24"/>
        </w:rPr>
        <w:t>6.6、管道的试压冲洗</w:t>
      </w:r>
    </w:p>
    <w:p w14:paraId="4B6C0F2C">
      <w:pPr>
        <w:pStyle w:val="2"/>
        <w:spacing w:before="115" w:line="262" w:lineRule="auto"/>
        <w:ind w:left="1467" w:right="1409" w:firstLine="420"/>
        <w:rPr>
          <w:sz w:val="24"/>
          <w:szCs w:val="24"/>
        </w:rPr>
      </w:pPr>
      <w:r>
        <w:rPr>
          <w:spacing w:val="-22"/>
          <w:sz w:val="24"/>
          <w:szCs w:val="24"/>
        </w:rPr>
        <w:t>6.6.1为了减少吹扫时增加的临时管线</w:t>
      </w:r>
      <w:r>
        <w:rPr>
          <w:spacing w:val="-23"/>
          <w:sz w:val="24"/>
          <w:szCs w:val="24"/>
        </w:rPr>
        <w:t>，节省试压吹扫时间，提高试压吹扫合格率，管道试</w:t>
      </w:r>
      <w:r>
        <w:rPr>
          <w:spacing w:val="-22"/>
          <w:sz w:val="24"/>
          <w:szCs w:val="24"/>
        </w:rPr>
        <w:t>吹扫工作按系统、片区、压力等级进行，试压、吹扫前必须编制方案指导施工。</w:t>
      </w:r>
    </w:p>
    <w:p w14:paraId="0DEC1B1A">
      <w:pPr>
        <w:pStyle w:val="2"/>
        <w:spacing w:before="121" w:line="215" w:lineRule="auto"/>
        <w:ind w:left="1887"/>
        <w:rPr>
          <w:sz w:val="24"/>
          <w:szCs w:val="24"/>
        </w:rPr>
      </w:pPr>
      <w:r>
        <w:rPr>
          <w:spacing w:val="-20"/>
          <w:sz w:val="24"/>
          <w:szCs w:val="24"/>
        </w:rPr>
        <w:t>6.6.2压力试验时，无关人员不得进入。压力试验完毕，不得在管道上进行修补。</w:t>
      </w:r>
    </w:p>
    <w:p w14:paraId="235CA010">
      <w:pPr>
        <w:pStyle w:val="2"/>
        <w:spacing w:before="119" w:line="217" w:lineRule="auto"/>
        <w:ind w:left="1887"/>
        <w:rPr>
          <w:sz w:val="24"/>
          <w:szCs w:val="24"/>
        </w:rPr>
      </w:pPr>
      <w:r>
        <w:rPr>
          <w:spacing w:val="-18"/>
          <w:sz w:val="24"/>
          <w:szCs w:val="24"/>
        </w:rPr>
        <w:t>6.6.3压力试验前，应具备下列条件：</w:t>
      </w:r>
    </w:p>
    <w:p w14:paraId="6B856CD4">
      <w:pPr>
        <w:pStyle w:val="2"/>
        <w:spacing w:before="119" w:line="264" w:lineRule="auto"/>
        <w:ind w:left="1463" w:right="1411" w:firstLine="464"/>
        <w:rPr>
          <w:sz w:val="24"/>
          <w:szCs w:val="24"/>
        </w:rPr>
      </w:pPr>
      <w:r>
        <w:rPr>
          <w:spacing w:val="-22"/>
          <w:sz w:val="24"/>
          <w:szCs w:val="24"/>
        </w:rPr>
        <w:t>(A)试验范围内的管道安装工程除涂漆、绝热外，已</w:t>
      </w:r>
      <w:r>
        <w:rPr>
          <w:spacing w:val="-23"/>
          <w:sz w:val="24"/>
          <w:szCs w:val="24"/>
        </w:rPr>
        <w:t>按设计图纸全部完成，安装质量符合有</w:t>
      </w:r>
      <w:r>
        <w:rPr>
          <w:spacing w:val="-17"/>
          <w:sz w:val="24"/>
          <w:szCs w:val="24"/>
        </w:rPr>
        <w:t>关规定。</w:t>
      </w:r>
    </w:p>
    <w:p w14:paraId="21571F11">
      <w:pPr>
        <w:pStyle w:val="2"/>
        <w:spacing w:before="112" w:line="216" w:lineRule="auto"/>
        <w:ind w:left="1927"/>
        <w:rPr>
          <w:sz w:val="24"/>
          <w:szCs w:val="24"/>
        </w:rPr>
      </w:pPr>
      <w:r>
        <w:rPr>
          <w:spacing w:val="-22"/>
          <w:sz w:val="24"/>
          <w:szCs w:val="24"/>
        </w:rPr>
        <w:t>(B)焊缝和其它待检部位尚未涂漆和绝热。</w:t>
      </w:r>
    </w:p>
    <w:p w14:paraId="60D88FF5">
      <w:pPr>
        <w:pStyle w:val="2"/>
        <w:spacing w:before="120" w:line="216" w:lineRule="auto"/>
        <w:ind w:left="1927"/>
        <w:rPr>
          <w:sz w:val="24"/>
          <w:szCs w:val="24"/>
        </w:rPr>
      </w:pPr>
      <w:r>
        <w:rPr>
          <w:spacing w:val="-21"/>
          <w:sz w:val="24"/>
          <w:szCs w:val="24"/>
        </w:rPr>
        <w:t>(C)管道上的膨胀节已设置了临时约束装置。</w:t>
      </w:r>
    </w:p>
    <w:p w14:paraId="2C05797B">
      <w:pPr>
        <w:pStyle w:val="2"/>
        <w:spacing w:before="121" w:line="262" w:lineRule="auto"/>
        <w:ind w:left="1463" w:right="1412" w:firstLine="464"/>
        <w:rPr>
          <w:sz w:val="24"/>
          <w:szCs w:val="24"/>
        </w:rPr>
      </w:pPr>
      <w:r>
        <w:rPr>
          <w:spacing w:val="-22"/>
          <w:sz w:val="24"/>
          <w:szCs w:val="24"/>
        </w:rPr>
        <w:t>(D)试验用压力表已经校验，并在周期内，其精度不得低于1.5级，表的满刻度值应为被测</w:t>
      </w:r>
      <w:r>
        <w:rPr>
          <w:spacing w:val="-21"/>
          <w:sz w:val="24"/>
          <w:szCs w:val="24"/>
        </w:rPr>
        <w:t>最大压力的1.5-2倍，压力表不得少于两块。</w:t>
      </w:r>
    </w:p>
    <w:p w14:paraId="3E553223">
      <w:pPr>
        <w:pStyle w:val="2"/>
        <w:spacing w:before="116" w:line="217" w:lineRule="auto"/>
        <w:ind w:left="1927"/>
        <w:rPr>
          <w:sz w:val="24"/>
          <w:szCs w:val="24"/>
        </w:rPr>
      </w:pPr>
      <w:r>
        <w:rPr>
          <w:spacing w:val="-21"/>
          <w:sz w:val="24"/>
          <w:szCs w:val="24"/>
        </w:rPr>
        <w:t>(E)符合压力试验要求的液体或气体已备齐。(F)按试验要求，管道已经加固。</w:t>
      </w:r>
    </w:p>
    <w:p w14:paraId="2C615735">
      <w:pPr>
        <w:pStyle w:val="2"/>
        <w:spacing w:before="120" w:line="261" w:lineRule="auto"/>
        <w:ind w:left="1456" w:right="1410" w:firstLine="471"/>
        <w:rPr>
          <w:sz w:val="24"/>
          <w:szCs w:val="24"/>
        </w:rPr>
      </w:pPr>
      <w:r>
        <w:rPr>
          <w:spacing w:val="-19"/>
          <w:sz w:val="24"/>
          <w:szCs w:val="24"/>
        </w:rPr>
        <w:t>(G)待试管道与无关系统已用盲板或采取其它措施隔开。(H)待试管道上的安全阀及仪表元</w:t>
      </w:r>
      <w:r>
        <w:rPr>
          <w:spacing w:val="-20"/>
          <w:sz w:val="24"/>
          <w:szCs w:val="24"/>
        </w:rPr>
        <w:t>件等已经拆下或加以隔离。(I)试验方案已经批准，并进行了</w:t>
      </w:r>
      <w:r>
        <w:rPr>
          <w:spacing w:val="-21"/>
          <w:sz w:val="24"/>
          <w:szCs w:val="24"/>
        </w:rPr>
        <w:t>技术交底。</w:t>
      </w:r>
    </w:p>
    <w:p w14:paraId="0135F9C1">
      <w:pPr>
        <w:pStyle w:val="2"/>
        <w:spacing w:before="121" w:line="218" w:lineRule="auto"/>
        <w:ind w:left="1887"/>
        <w:rPr>
          <w:sz w:val="24"/>
          <w:szCs w:val="24"/>
        </w:rPr>
      </w:pPr>
      <w:r>
        <w:rPr>
          <w:spacing w:val="-18"/>
          <w:sz w:val="24"/>
          <w:szCs w:val="24"/>
        </w:rPr>
        <w:t>6.6.4水压试验应遵守下列规定：</w:t>
      </w:r>
    </w:p>
    <w:p w14:paraId="24233336">
      <w:pPr>
        <w:pStyle w:val="2"/>
        <w:spacing w:before="117" w:line="217" w:lineRule="auto"/>
        <w:ind w:left="1927"/>
        <w:rPr>
          <w:sz w:val="24"/>
          <w:szCs w:val="24"/>
        </w:rPr>
      </w:pPr>
      <w:r>
        <w:rPr>
          <w:spacing w:val="-21"/>
          <w:sz w:val="24"/>
          <w:szCs w:val="24"/>
        </w:rPr>
        <w:t>(A)根据图纸要求确定管道试验压力,试验前，注水时应排尽空气。</w:t>
      </w:r>
    </w:p>
    <w:p w14:paraId="6CF8D0E7">
      <w:pPr>
        <w:pStyle w:val="2"/>
        <w:spacing w:before="116" w:line="218" w:lineRule="auto"/>
        <w:ind w:left="1927"/>
        <w:rPr>
          <w:sz w:val="24"/>
          <w:szCs w:val="24"/>
        </w:rPr>
      </w:pPr>
      <w:r>
        <w:rPr>
          <w:spacing w:val="-20"/>
          <w:sz w:val="24"/>
          <w:szCs w:val="24"/>
        </w:rPr>
        <w:t>(B)试验时环境温度不宜低于5℃,当环境温度低于5℃时，</w:t>
      </w:r>
      <w:r>
        <w:rPr>
          <w:spacing w:val="-21"/>
          <w:sz w:val="24"/>
          <w:szCs w:val="24"/>
        </w:rPr>
        <w:t>要采取防冻措施。</w:t>
      </w:r>
    </w:p>
    <w:p w14:paraId="2CE4AFE1">
      <w:pPr>
        <w:pStyle w:val="2"/>
        <w:spacing w:before="118" w:line="277" w:lineRule="auto"/>
        <w:ind w:left="1456" w:right="1414" w:firstLine="471"/>
        <w:rPr>
          <w:sz w:val="24"/>
          <w:szCs w:val="24"/>
        </w:rPr>
      </w:pPr>
      <w:r>
        <w:rPr>
          <w:spacing w:val="-22"/>
          <w:sz w:val="24"/>
          <w:szCs w:val="24"/>
        </w:rPr>
        <w:t>(C)当管道与设备作为一个系统进行试验，管</w:t>
      </w:r>
      <w:r>
        <w:rPr>
          <w:spacing w:val="-23"/>
          <w:sz w:val="24"/>
          <w:szCs w:val="24"/>
        </w:rPr>
        <w:t>道的试验压力等于或小于设备的试验压力时，</w:t>
      </w:r>
      <w:r>
        <w:rPr>
          <w:spacing w:val="-20"/>
          <w:sz w:val="24"/>
          <w:szCs w:val="24"/>
        </w:rPr>
        <w:t>应按管道的试验压力进行试验；当管道试验压力大于设备试验压力，且设备的试验压力不低于管道设计压力的1.15倍时，经建设单位同意，可按</w:t>
      </w:r>
      <w:r>
        <w:rPr>
          <w:spacing w:val="-21"/>
          <w:sz w:val="24"/>
          <w:szCs w:val="24"/>
        </w:rPr>
        <w:t>设备的试验压力进行试验。</w:t>
      </w:r>
    </w:p>
    <w:p w14:paraId="5602DA9B">
      <w:pPr>
        <w:pStyle w:val="2"/>
        <w:spacing w:before="120" w:line="263" w:lineRule="auto"/>
        <w:ind w:left="1469" w:right="1411" w:firstLine="458"/>
        <w:rPr>
          <w:sz w:val="24"/>
          <w:szCs w:val="24"/>
        </w:rPr>
      </w:pPr>
      <w:r>
        <w:rPr>
          <w:spacing w:val="-22"/>
          <w:sz w:val="24"/>
          <w:szCs w:val="24"/>
        </w:rPr>
        <w:t>(D)对位差较大的管道，应将试验介质的静压计入试</w:t>
      </w:r>
      <w:r>
        <w:rPr>
          <w:spacing w:val="-23"/>
          <w:sz w:val="24"/>
          <w:szCs w:val="24"/>
        </w:rPr>
        <w:t>验压力中。液体管道的试验压力以最高</w:t>
      </w:r>
      <w:r>
        <w:rPr>
          <w:spacing w:val="-22"/>
          <w:sz w:val="24"/>
          <w:szCs w:val="24"/>
        </w:rPr>
        <w:t>点为准，但最低点的压力不得超过管道组成件的承受力。</w:t>
      </w:r>
    </w:p>
    <w:p w14:paraId="7BAB17A2">
      <w:pPr>
        <w:pStyle w:val="2"/>
        <w:spacing w:before="116" w:line="263" w:lineRule="auto"/>
        <w:ind w:left="1458" w:right="1442" w:firstLine="469"/>
        <w:rPr>
          <w:sz w:val="24"/>
          <w:szCs w:val="24"/>
        </w:rPr>
      </w:pPr>
      <w:r>
        <w:rPr>
          <w:spacing w:val="-22"/>
          <w:sz w:val="24"/>
          <w:szCs w:val="24"/>
        </w:rPr>
        <w:t>(E)试验压力应缓慢升压，待达到试验压力后，稳压10min，再将试验压力降至设计压力。</w:t>
      </w:r>
      <w:r>
        <w:rPr>
          <w:spacing w:val="-16"/>
          <w:sz w:val="24"/>
          <w:szCs w:val="24"/>
        </w:rPr>
        <w:t>停压30min，以压力不降、无渗漏为合格。</w:t>
      </w:r>
    </w:p>
    <w:p w14:paraId="4B1C7BE5">
      <w:pPr>
        <w:pStyle w:val="2"/>
        <w:spacing w:before="118" w:line="261" w:lineRule="auto"/>
        <w:ind w:left="1459" w:right="1440" w:firstLine="468"/>
        <w:rPr>
          <w:sz w:val="24"/>
          <w:szCs w:val="24"/>
        </w:rPr>
      </w:pPr>
      <w:r>
        <w:rPr>
          <w:spacing w:val="-23"/>
          <w:sz w:val="24"/>
          <w:szCs w:val="24"/>
        </w:rPr>
        <w:t>(F)试验结束后，应及时拆除盲板、膨胀节限位设施，排尽积水。排水时要防止形</w:t>
      </w:r>
      <w:r>
        <w:rPr>
          <w:spacing w:val="-24"/>
          <w:sz w:val="24"/>
          <w:szCs w:val="24"/>
        </w:rPr>
        <w:t>成负压，</w:t>
      </w:r>
      <w:r>
        <w:rPr>
          <w:spacing w:val="-21"/>
          <w:sz w:val="24"/>
          <w:szCs w:val="24"/>
        </w:rPr>
        <w:t>并不得随地排放。</w:t>
      </w:r>
    </w:p>
    <w:p w14:paraId="3F1CF328">
      <w:pPr>
        <w:pStyle w:val="2"/>
        <w:spacing w:before="120" w:line="216" w:lineRule="auto"/>
        <w:ind w:left="1927"/>
        <w:rPr>
          <w:sz w:val="24"/>
          <w:szCs w:val="24"/>
        </w:rPr>
      </w:pPr>
      <w:r>
        <w:rPr>
          <w:spacing w:val="-21"/>
          <w:sz w:val="24"/>
          <w:szCs w:val="24"/>
        </w:rPr>
        <w:t>(G)当试验过程中发现泄漏时，不得带压处理。消除缺陷</w:t>
      </w:r>
      <w:r>
        <w:rPr>
          <w:spacing w:val="-22"/>
          <w:sz w:val="24"/>
          <w:szCs w:val="24"/>
        </w:rPr>
        <w:t>后，应重新进行试验。</w:t>
      </w:r>
    </w:p>
    <w:p w14:paraId="524A51B5">
      <w:pPr>
        <w:pStyle w:val="2"/>
        <w:spacing w:before="120" w:line="218" w:lineRule="auto"/>
        <w:ind w:left="1887"/>
        <w:rPr>
          <w:sz w:val="24"/>
          <w:szCs w:val="24"/>
        </w:rPr>
      </w:pPr>
      <w:r>
        <w:rPr>
          <w:spacing w:val="-16"/>
          <w:sz w:val="24"/>
          <w:szCs w:val="24"/>
        </w:rPr>
        <w:t>6.6.5气密试验要求</w:t>
      </w:r>
    </w:p>
    <w:p w14:paraId="5CE13128">
      <w:pPr>
        <w:pStyle w:val="2"/>
        <w:spacing w:before="115" w:line="218" w:lineRule="auto"/>
        <w:ind w:left="1927"/>
        <w:rPr>
          <w:sz w:val="24"/>
          <w:szCs w:val="24"/>
        </w:rPr>
      </w:pPr>
      <w:r>
        <w:rPr>
          <w:spacing w:val="-21"/>
          <w:sz w:val="24"/>
          <w:szCs w:val="24"/>
        </w:rPr>
        <w:t>(A)气密试验压力应按图纸的要求。</w:t>
      </w:r>
    </w:p>
    <w:p w14:paraId="7402703F">
      <w:pPr>
        <w:spacing w:line="250" w:lineRule="auto"/>
        <w:rPr>
          <w:rFonts w:ascii="Arial"/>
          <w:sz w:val="21"/>
        </w:rPr>
      </w:pPr>
    </w:p>
    <w:p w14:paraId="31F038A7">
      <w:pPr>
        <w:pStyle w:val="2"/>
        <w:spacing w:before="78" w:line="216" w:lineRule="auto"/>
        <w:ind w:left="1927"/>
        <w:rPr>
          <w:sz w:val="24"/>
          <w:szCs w:val="24"/>
        </w:rPr>
      </w:pPr>
      <w:r>
        <w:rPr>
          <w:spacing w:val="-21"/>
          <w:sz w:val="24"/>
          <w:szCs w:val="24"/>
        </w:rPr>
        <w:t>(B)气密试验重点检验阀门填料函、法兰或螺纹连接处</w:t>
      </w:r>
      <w:r>
        <w:rPr>
          <w:spacing w:val="-22"/>
          <w:sz w:val="24"/>
          <w:szCs w:val="24"/>
        </w:rPr>
        <w:t>、放空阀、排气阀、排水阀等。</w:t>
      </w:r>
    </w:p>
    <w:p w14:paraId="58B77C41">
      <w:pPr>
        <w:pStyle w:val="2"/>
        <w:spacing w:before="121" w:line="262" w:lineRule="auto"/>
        <w:ind w:left="1456" w:right="1411" w:firstLine="471"/>
        <w:rPr>
          <w:sz w:val="24"/>
          <w:szCs w:val="24"/>
        </w:rPr>
      </w:pPr>
      <w:r>
        <w:rPr>
          <w:spacing w:val="-21"/>
          <w:sz w:val="24"/>
          <w:szCs w:val="24"/>
        </w:rPr>
        <w:t>(C)气密试验用涂刷肥皂水或其它发泡剂的方法进行检查，压缩空气管保压24小</w:t>
      </w:r>
      <w:r>
        <w:rPr>
          <w:spacing w:val="-22"/>
          <w:sz w:val="24"/>
          <w:szCs w:val="24"/>
        </w:rPr>
        <w:t>时，以每</w:t>
      </w:r>
      <w:r>
        <w:rPr>
          <w:spacing w:val="-19"/>
          <w:sz w:val="24"/>
          <w:szCs w:val="24"/>
        </w:rPr>
        <w:t>小时平均降压率不大于3%为合格，其余管线以不泄漏为合格。</w:t>
      </w:r>
    </w:p>
    <w:p w14:paraId="70327F1F">
      <w:pPr>
        <w:pStyle w:val="2"/>
        <w:spacing w:before="117" w:line="218" w:lineRule="auto"/>
        <w:ind w:left="1887"/>
        <w:rPr>
          <w:sz w:val="24"/>
          <w:szCs w:val="24"/>
        </w:rPr>
      </w:pPr>
      <w:r>
        <w:rPr>
          <w:spacing w:val="-17"/>
          <w:sz w:val="24"/>
          <w:szCs w:val="24"/>
        </w:rPr>
        <w:t>6.6.6管道吹扫与清洗</w:t>
      </w:r>
    </w:p>
    <w:p w14:paraId="332724A9">
      <w:pPr>
        <w:pStyle w:val="2"/>
        <w:spacing w:before="117" w:line="218" w:lineRule="auto"/>
        <w:ind w:left="1927"/>
        <w:rPr>
          <w:sz w:val="24"/>
          <w:szCs w:val="24"/>
        </w:rPr>
      </w:pPr>
      <w:r>
        <w:rPr>
          <w:spacing w:val="-19"/>
          <w:sz w:val="24"/>
          <w:szCs w:val="24"/>
        </w:rPr>
        <w:t>(A)一般要求</w:t>
      </w:r>
    </w:p>
    <w:p w14:paraId="146F28D4">
      <w:pPr>
        <w:pStyle w:val="2"/>
        <w:spacing w:before="114" w:line="217" w:lineRule="auto"/>
        <w:ind w:left="1886"/>
        <w:rPr>
          <w:sz w:val="24"/>
          <w:szCs w:val="24"/>
        </w:rPr>
      </w:pPr>
      <w:r>
        <w:rPr>
          <w:spacing w:val="-20"/>
          <w:sz w:val="24"/>
          <w:szCs w:val="24"/>
        </w:rPr>
        <w:t>a管道应分段进行吹扫与清洗（简称吹洗）。</w:t>
      </w:r>
    </w:p>
    <w:p w14:paraId="69392473">
      <w:pPr>
        <w:pStyle w:val="2"/>
        <w:spacing w:before="120" w:line="307" w:lineRule="auto"/>
        <w:ind w:left="1457" w:right="1409" w:firstLine="424"/>
        <w:rPr>
          <w:sz w:val="24"/>
          <w:szCs w:val="24"/>
        </w:rPr>
      </w:pPr>
      <w:r>
        <w:rPr>
          <w:spacing w:val="-23"/>
          <w:sz w:val="24"/>
          <w:szCs w:val="24"/>
        </w:rPr>
        <w:t>b吹洗方法应根据对管道的使用要求、工作</w:t>
      </w:r>
      <w:r>
        <w:rPr>
          <w:spacing w:val="-24"/>
          <w:sz w:val="24"/>
          <w:szCs w:val="24"/>
        </w:rPr>
        <w:t>介质及管道内表面的脏污程序确定，吹洗顺序一</w:t>
      </w:r>
      <w:r>
        <w:rPr>
          <w:spacing w:val="-21"/>
          <w:sz w:val="24"/>
          <w:szCs w:val="24"/>
        </w:rPr>
        <w:t>般按主管、支管、排放管依次进行。</w:t>
      </w:r>
    </w:p>
    <w:p w14:paraId="68E8B35E">
      <w:pPr>
        <w:pStyle w:val="2"/>
        <w:spacing w:before="2" w:line="262" w:lineRule="auto"/>
        <w:ind w:left="1469" w:right="1412" w:firstLine="420"/>
        <w:rPr>
          <w:sz w:val="24"/>
          <w:szCs w:val="24"/>
        </w:rPr>
      </w:pPr>
      <w:r>
        <w:rPr>
          <w:spacing w:val="-24"/>
          <w:sz w:val="24"/>
          <w:szCs w:val="24"/>
        </w:rPr>
        <w:t>c吹洗前应将系统内的仪表加以保护，并将孔板、滤网调节阀及止回阀阀芯等拆除，妥善保</w:t>
      </w:r>
      <w:r>
        <w:rPr>
          <w:spacing w:val="-21"/>
          <w:sz w:val="24"/>
          <w:szCs w:val="24"/>
        </w:rPr>
        <w:t>管，等吹洗后复位。</w:t>
      </w:r>
    </w:p>
    <w:p w14:paraId="14799560">
      <w:pPr>
        <w:pStyle w:val="2"/>
        <w:spacing w:before="119" w:line="262" w:lineRule="auto"/>
        <w:ind w:left="1890" w:right="1369"/>
        <w:rPr>
          <w:sz w:val="24"/>
          <w:szCs w:val="24"/>
        </w:rPr>
      </w:pPr>
      <w:r>
        <w:rPr>
          <w:spacing w:val="-23"/>
          <w:sz w:val="24"/>
          <w:szCs w:val="24"/>
        </w:rPr>
        <w:t>d吹洗时管道内脏物不得进入设备，设备吹出的脏物也不得进入管道，阀门前法兰加挡板。</w:t>
      </w:r>
      <w:r>
        <w:rPr>
          <w:spacing w:val="-21"/>
          <w:sz w:val="24"/>
          <w:szCs w:val="24"/>
        </w:rPr>
        <w:t>e不允许吹洗的设备及管道应与吹洗系统隔离。</w:t>
      </w:r>
    </w:p>
    <w:p w14:paraId="41D52017">
      <w:pPr>
        <w:pStyle w:val="2"/>
        <w:spacing w:before="119" w:line="307" w:lineRule="auto"/>
        <w:ind w:left="1456" w:right="1424" w:firstLine="433"/>
        <w:rPr>
          <w:sz w:val="24"/>
          <w:szCs w:val="24"/>
        </w:rPr>
      </w:pPr>
      <w:r>
        <w:rPr>
          <w:spacing w:val="-20"/>
          <w:sz w:val="24"/>
          <w:szCs w:val="24"/>
        </w:rPr>
        <w:t>f管道吹扫应有足够的流量，吹扫压力不得超过设计压力，流速一般不小于20m</w:t>
      </w:r>
      <w:r>
        <w:rPr>
          <w:spacing w:val="-21"/>
          <w:sz w:val="24"/>
          <w:szCs w:val="24"/>
        </w:rPr>
        <w:t>/s，吹洗时应用木锤敲打管子，对焊缝死角和管底等部位重点敲打，但</w:t>
      </w:r>
      <w:r>
        <w:rPr>
          <w:spacing w:val="-22"/>
          <w:sz w:val="24"/>
          <w:szCs w:val="24"/>
        </w:rPr>
        <w:t>不得损伤管子。</w:t>
      </w:r>
    </w:p>
    <w:p w14:paraId="658F6F40">
      <w:pPr>
        <w:pStyle w:val="2"/>
        <w:spacing w:before="1" w:line="211" w:lineRule="auto"/>
        <w:ind w:left="1889"/>
        <w:rPr>
          <w:sz w:val="24"/>
          <w:szCs w:val="24"/>
        </w:rPr>
      </w:pPr>
      <w:r>
        <w:rPr>
          <w:spacing w:val="-21"/>
          <w:sz w:val="24"/>
          <w:szCs w:val="24"/>
        </w:rPr>
        <w:t>g吹洗前应考虑管道支、吊架的牢固程序，必要时应予加固。</w:t>
      </w:r>
    </w:p>
    <w:p w14:paraId="0F13A7B6">
      <w:pPr>
        <w:pStyle w:val="2"/>
        <w:spacing w:before="125" w:line="219" w:lineRule="auto"/>
        <w:ind w:left="1927"/>
        <w:rPr>
          <w:sz w:val="24"/>
          <w:szCs w:val="24"/>
        </w:rPr>
      </w:pPr>
      <w:r>
        <w:rPr>
          <w:spacing w:val="-20"/>
          <w:sz w:val="24"/>
          <w:szCs w:val="24"/>
        </w:rPr>
        <w:t>(B)管道吹洗方法</w:t>
      </w:r>
    </w:p>
    <w:p w14:paraId="0980BA97">
      <w:pPr>
        <w:pStyle w:val="2"/>
        <w:spacing w:before="116" w:line="216" w:lineRule="auto"/>
        <w:ind w:left="1886"/>
        <w:rPr>
          <w:sz w:val="24"/>
          <w:szCs w:val="24"/>
        </w:rPr>
      </w:pPr>
      <w:r>
        <w:rPr>
          <w:spacing w:val="-22"/>
          <w:sz w:val="24"/>
          <w:szCs w:val="24"/>
        </w:rPr>
        <w:t>a工作介质为液体的管道，应进行水冲洗。</w:t>
      </w:r>
    </w:p>
    <w:p w14:paraId="042CC614">
      <w:pPr>
        <w:pStyle w:val="2"/>
        <w:spacing w:before="117" w:line="217" w:lineRule="auto"/>
        <w:ind w:left="1892"/>
        <w:rPr>
          <w:sz w:val="24"/>
          <w:szCs w:val="24"/>
        </w:rPr>
      </w:pPr>
      <w:r>
        <w:rPr>
          <w:spacing w:val="-18"/>
          <w:sz w:val="24"/>
          <w:szCs w:val="24"/>
        </w:rPr>
        <w:t>水冲洗应以管内可能达到最大流量或不小于1.5m/s的流速进行。</w:t>
      </w:r>
    </w:p>
    <w:p w14:paraId="5DF85F64">
      <w:pPr>
        <w:pStyle w:val="2"/>
        <w:spacing w:before="119" w:line="217" w:lineRule="auto"/>
        <w:ind w:left="1892"/>
        <w:rPr>
          <w:sz w:val="24"/>
          <w:szCs w:val="24"/>
        </w:rPr>
      </w:pPr>
      <w:r>
        <w:rPr>
          <w:spacing w:val="-21"/>
          <w:sz w:val="24"/>
          <w:szCs w:val="24"/>
        </w:rPr>
        <w:t>水冲洗应连续进行，以出口水色和透明度与入口处目测一致为</w:t>
      </w:r>
      <w:r>
        <w:rPr>
          <w:spacing w:val="-22"/>
          <w:sz w:val="24"/>
          <w:szCs w:val="24"/>
        </w:rPr>
        <w:t>合格。</w:t>
      </w:r>
    </w:p>
    <w:p w14:paraId="25D894F2">
      <w:pPr>
        <w:pStyle w:val="2"/>
        <w:spacing w:before="120" w:line="217" w:lineRule="auto"/>
        <w:ind w:left="1906"/>
        <w:rPr>
          <w:sz w:val="24"/>
          <w:szCs w:val="24"/>
        </w:rPr>
      </w:pPr>
      <w:r>
        <w:rPr>
          <w:spacing w:val="-22"/>
          <w:sz w:val="24"/>
          <w:szCs w:val="24"/>
        </w:rPr>
        <w:t>管道冲洗合格后，应及时将水排尽。</w:t>
      </w:r>
    </w:p>
    <w:p w14:paraId="1C64CD16">
      <w:pPr>
        <w:pStyle w:val="2"/>
        <w:spacing w:before="115" w:line="308" w:lineRule="auto"/>
        <w:ind w:left="1455" w:right="1333" w:firstLine="426"/>
        <w:rPr>
          <w:sz w:val="24"/>
          <w:szCs w:val="24"/>
        </w:rPr>
      </w:pPr>
      <w:r>
        <w:rPr>
          <w:spacing w:val="-23"/>
          <w:sz w:val="24"/>
          <w:szCs w:val="24"/>
        </w:rPr>
        <w:t>b工作介质为气体的管线用压缩空气分段逐步进行吹扫</w:t>
      </w:r>
      <w:r>
        <w:rPr>
          <w:spacing w:val="-24"/>
          <w:sz w:val="24"/>
          <w:szCs w:val="24"/>
        </w:rPr>
        <w:t>。凡遇阀门，必须将其前法兰拆开加挡板，待管道吹净后再复位。空气吹扫压力不得超过容器和管道设计压力，流速不</w:t>
      </w:r>
      <w:r>
        <w:rPr>
          <w:spacing w:val="-25"/>
          <w:sz w:val="24"/>
          <w:szCs w:val="24"/>
        </w:rPr>
        <w:t>宜小于20m/s。</w:t>
      </w:r>
      <w:r>
        <w:rPr>
          <w:spacing w:val="-21"/>
          <w:sz w:val="24"/>
          <w:szCs w:val="24"/>
        </w:rPr>
        <w:t>空气吹扫过程中，当目测排气无烟尘时，应在排气口设置涂白漆的木制靶板检验，5mi</w:t>
      </w:r>
      <w:r>
        <w:rPr>
          <w:spacing w:val="-22"/>
          <w:sz w:val="24"/>
          <w:szCs w:val="24"/>
        </w:rPr>
        <w:t>n内靶板</w:t>
      </w:r>
      <w:r>
        <w:rPr>
          <w:spacing w:val="-21"/>
          <w:sz w:val="24"/>
          <w:szCs w:val="24"/>
        </w:rPr>
        <w:t>上无铁锈、尘土、水分及其它杂物，应为合格。</w:t>
      </w:r>
    </w:p>
    <w:p w14:paraId="04BB4B9D">
      <w:pPr>
        <w:pStyle w:val="2"/>
        <w:spacing w:before="5" w:line="292" w:lineRule="auto"/>
        <w:ind w:left="1455" w:right="1410" w:firstLine="434"/>
        <w:rPr>
          <w:sz w:val="24"/>
          <w:szCs w:val="24"/>
        </w:rPr>
      </w:pPr>
      <w:r>
        <w:rPr>
          <w:spacing w:val="-24"/>
          <w:sz w:val="24"/>
          <w:szCs w:val="24"/>
        </w:rPr>
        <w:t>c工作介质为蒸汽管道应用蒸汽吹扫。蒸汽吹扫前应缓慢升温暖管进行吹扫，然后自然降温</w:t>
      </w:r>
      <w:r>
        <w:rPr>
          <w:spacing w:val="-20"/>
          <w:sz w:val="24"/>
          <w:szCs w:val="24"/>
        </w:rPr>
        <w:t>到环境温度，再升温暖管，进行第二次吹扫，如此反复一般不少于三次。蒸汽吹扫排气应标明标志，管口应朝上倾斜，保证安全排放，排气管直径不宜小于被吹扫管的直径，长度应尽量短捷。蒸汽吹扫检查方法和合格标准应按技术文件的要求，如无要求应符合以下要求：连续两次</w:t>
      </w:r>
      <w:r>
        <w:rPr>
          <w:spacing w:val="-18"/>
          <w:sz w:val="24"/>
          <w:szCs w:val="24"/>
        </w:rPr>
        <w:t>更换靶板检查，如靶板上肉眼可见的斑点痕迹大小在Φ0.6</w:t>
      </w:r>
      <w:r>
        <w:rPr>
          <w:spacing w:val="-19"/>
          <w:sz w:val="24"/>
          <w:szCs w:val="24"/>
        </w:rPr>
        <w:t>mm以下，痕深小于0.5mm斑粒数为1</w:t>
      </w:r>
      <w:r>
        <w:rPr>
          <w:spacing w:val="-18"/>
          <w:sz w:val="24"/>
          <w:szCs w:val="24"/>
        </w:rPr>
        <w:t>个/cm2；吹扫时间为15分钟（即两次都合格的情况下</w:t>
      </w:r>
      <w:r>
        <w:rPr>
          <w:spacing w:val="-19"/>
          <w:sz w:val="24"/>
          <w:szCs w:val="24"/>
        </w:rPr>
        <w:t>），</w:t>
      </w:r>
      <w:r>
        <w:rPr>
          <w:spacing w:val="-18"/>
          <w:sz w:val="24"/>
          <w:szCs w:val="24"/>
        </w:rPr>
        <w:t>即为吹扫合格。</w:t>
      </w:r>
    </w:p>
    <w:p w14:paraId="4B0D78AD">
      <w:pPr>
        <w:pStyle w:val="2"/>
        <w:spacing w:before="118" w:line="262" w:lineRule="auto"/>
        <w:ind w:left="1456" w:right="1409" w:firstLine="434"/>
        <w:rPr>
          <w:sz w:val="24"/>
          <w:szCs w:val="24"/>
        </w:rPr>
      </w:pPr>
      <w:r>
        <w:rPr>
          <w:spacing w:val="-24"/>
          <w:sz w:val="24"/>
          <w:szCs w:val="24"/>
        </w:rPr>
        <w:t>d管道吹洗合格后，应填写吹洗记录，除规定的检查及恢复工作外，不得进行影响管内清洁</w:t>
      </w:r>
      <w:r>
        <w:rPr>
          <w:spacing w:val="-19"/>
          <w:sz w:val="24"/>
          <w:szCs w:val="24"/>
        </w:rPr>
        <w:t>度的其它作业。</w:t>
      </w:r>
    </w:p>
    <w:p w14:paraId="5524077A">
      <w:pPr>
        <w:pStyle w:val="2"/>
        <w:spacing w:before="119" w:line="308" w:lineRule="auto"/>
        <w:ind w:left="1467" w:right="1339" w:firstLine="423"/>
        <w:rPr>
          <w:sz w:val="24"/>
          <w:szCs w:val="24"/>
        </w:rPr>
      </w:pPr>
      <w:r>
        <w:rPr>
          <w:spacing w:val="-27"/>
          <w:sz w:val="24"/>
          <w:szCs w:val="24"/>
        </w:rPr>
        <w:t>e管道复位。管道试压、吹扫合格后，应按记录及时地拆</w:t>
      </w:r>
      <w:r>
        <w:rPr>
          <w:spacing w:val="-28"/>
          <w:sz w:val="24"/>
          <w:szCs w:val="24"/>
        </w:rPr>
        <w:t>除盲板，复位调节阀、止回阀阀芯、</w:t>
      </w:r>
      <w:r>
        <w:rPr>
          <w:spacing w:val="-20"/>
          <w:sz w:val="24"/>
          <w:szCs w:val="24"/>
        </w:rPr>
        <w:t>复位仪表元件等。</w:t>
      </w:r>
    </w:p>
    <w:p w14:paraId="54689AF8">
      <w:pPr>
        <w:pStyle w:val="2"/>
        <w:spacing w:before="1" w:line="219" w:lineRule="auto"/>
        <w:ind w:left="1891"/>
        <w:rPr>
          <w:sz w:val="24"/>
          <w:szCs w:val="24"/>
        </w:rPr>
      </w:pPr>
      <w:r>
        <w:rPr>
          <w:spacing w:val="-17"/>
          <w:sz w:val="24"/>
          <w:szCs w:val="24"/>
        </w:rPr>
        <w:t>7、混凝土支墩</w:t>
      </w:r>
    </w:p>
    <w:p w14:paraId="6FB8B5AB">
      <w:pPr>
        <w:pStyle w:val="2"/>
        <w:spacing w:before="113" w:line="218" w:lineRule="auto"/>
        <w:ind w:left="1891"/>
        <w:rPr>
          <w:sz w:val="24"/>
          <w:szCs w:val="24"/>
        </w:rPr>
      </w:pPr>
      <w:r>
        <w:rPr>
          <w:spacing w:val="-15"/>
          <w:sz w:val="24"/>
          <w:szCs w:val="24"/>
        </w:rPr>
        <w:t>7.1、施工顺序</w:t>
      </w:r>
    </w:p>
    <w:p w14:paraId="0093A5EA">
      <w:pPr>
        <w:spacing w:line="249" w:lineRule="auto"/>
        <w:rPr>
          <w:rFonts w:ascii="Arial"/>
          <w:sz w:val="21"/>
        </w:rPr>
      </w:pPr>
    </w:p>
    <w:p w14:paraId="7C693803">
      <w:pPr>
        <w:pStyle w:val="2"/>
        <w:spacing w:before="78" w:line="308" w:lineRule="auto"/>
        <w:ind w:left="1458" w:right="1409" w:firstLine="434"/>
        <w:jc w:val="both"/>
        <w:rPr>
          <w:sz w:val="24"/>
          <w:szCs w:val="24"/>
        </w:rPr>
      </w:pPr>
      <w:r>
        <w:rPr>
          <w:spacing w:val="-17"/>
          <w:sz w:val="24"/>
          <w:szCs w:val="24"/>
        </w:rPr>
        <w:t>支墩基础定位放线→确定90°水平支墩后背将其3米范围土方开挖至标高1.2m→水平支墩</w:t>
      </w:r>
      <w:r>
        <w:rPr>
          <w:spacing w:val="-16"/>
          <w:sz w:val="24"/>
          <w:szCs w:val="24"/>
        </w:rPr>
        <w:t>后背压入4m槽钢及3m长钢管支捫→开挖支墩基础其它三面至设计标高基坑降水→支墩基础C15</w:t>
      </w:r>
      <w:r>
        <w:rPr>
          <w:spacing w:val="-21"/>
          <w:sz w:val="24"/>
          <w:szCs w:val="24"/>
        </w:rPr>
        <w:t>垫层浇筑一支墩基础施工→支墩基础养护及测温→土</w:t>
      </w:r>
      <w:r>
        <w:rPr>
          <w:spacing w:val="-22"/>
          <w:sz w:val="24"/>
          <w:szCs w:val="24"/>
        </w:rPr>
        <w:t>方回填。</w:t>
      </w:r>
    </w:p>
    <w:p w14:paraId="42156047">
      <w:pPr>
        <w:pStyle w:val="2"/>
        <w:spacing w:line="218" w:lineRule="auto"/>
        <w:ind w:left="1891"/>
        <w:rPr>
          <w:sz w:val="24"/>
          <w:szCs w:val="24"/>
        </w:rPr>
      </w:pPr>
      <w:r>
        <w:rPr>
          <w:spacing w:val="-17"/>
          <w:sz w:val="24"/>
          <w:szCs w:val="24"/>
        </w:rPr>
        <w:t>7.2、挖土方案及验槽</w:t>
      </w:r>
    </w:p>
    <w:p w14:paraId="49C65118">
      <w:pPr>
        <w:pStyle w:val="2"/>
        <w:spacing w:before="110" w:line="308" w:lineRule="auto"/>
        <w:ind w:left="1451" w:right="1353" w:firstLine="441"/>
        <w:rPr>
          <w:sz w:val="24"/>
          <w:szCs w:val="24"/>
        </w:rPr>
      </w:pPr>
      <w:r>
        <w:rPr>
          <w:spacing w:val="-20"/>
          <w:sz w:val="24"/>
          <w:szCs w:val="24"/>
        </w:rPr>
        <w:t>基槽采用机械开挖和人工开挖相结合的施工方案，采用机械开挖为主，人工开挖为辅。在</w:t>
      </w:r>
      <w:r>
        <w:rPr>
          <w:spacing w:val="-21"/>
          <w:sz w:val="24"/>
          <w:szCs w:val="24"/>
        </w:rPr>
        <w:t>具备开工条件后，选择连续晴好天气开始土方开挖，采用反铲挖</w:t>
      </w:r>
      <w:r>
        <w:rPr>
          <w:spacing w:val="-22"/>
          <w:sz w:val="24"/>
          <w:szCs w:val="24"/>
        </w:rPr>
        <w:t>掘机。首先将水平支墩后背3m</w:t>
      </w:r>
      <w:r>
        <w:rPr>
          <w:spacing w:val="-13"/>
          <w:sz w:val="24"/>
          <w:szCs w:val="24"/>
        </w:rPr>
        <w:t>范围土方开挖至标高1.2m(约60cm);其次在支墩后背紧靠边将长为4m规格180</w:t>
      </w:r>
      <w:r>
        <w:rPr>
          <w:spacing w:val="-14"/>
          <w:sz w:val="24"/>
          <w:szCs w:val="24"/>
        </w:rPr>
        <w:t>*80*15槽钢按间</w:t>
      </w:r>
      <w:r>
        <w:rPr>
          <w:spacing w:val="-15"/>
          <w:sz w:val="24"/>
          <w:szCs w:val="24"/>
        </w:rPr>
        <w:t>距@30cm压入土中3.9m,在露出地面向上10cm处用长为3m钢管横向固定;然后在离4m槽钢距离</w:t>
      </w:r>
      <w:r>
        <w:rPr>
          <w:spacing w:val="-18"/>
          <w:sz w:val="24"/>
          <w:szCs w:val="24"/>
        </w:rPr>
        <w:t>2m处将长为3m钢管按间距@1500m压入土中2.5m，槽钢与立式钢管间利用钢管进行对拉;最后分</w:t>
      </w:r>
      <w:r>
        <w:rPr>
          <w:spacing w:val="-22"/>
          <w:sz w:val="24"/>
          <w:szCs w:val="24"/>
        </w:rPr>
        <w:t>层开挖，开挖前，基坑边范围放好灰线;开挖时技术人员跟班测标高，控制超挖与欠挖，并观测</w:t>
      </w:r>
      <w:r>
        <w:rPr>
          <w:spacing w:val="-19"/>
          <w:sz w:val="24"/>
          <w:szCs w:val="24"/>
        </w:rPr>
        <w:t>边坡位移情况。边坡在机械挖过后，随即进行人工修整、拍实，用彩条布覆盖</w:t>
      </w:r>
      <w:r>
        <w:rPr>
          <w:spacing w:val="-20"/>
          <w:sz w:val="24"/>
          <w:szCs w:val="24"/>
        </w:rPr>
        <w:t>。机械开挖后，进行人工开挖，将基坑向下人工开挖、整平至设计标高，基坑下预留0.5m左</w:t>
      </w:r>
      <w:r>
        <w:rPr>
          <w:spacing w:val="-21"/>
          <w:sz w:val="24"/>
          <w:szCs w:val="24"/>
        </w:rPr>
        <w:t>右宽度作为模板施</w:t>
      </w:r>
      <w:r>
        <w:rPr>
          <w:spacing w:val="-19"/>
          <w:sz w:val="24"/>
          <w:szCs w:val="24"/>
        </w:rPr>
        <w:t>工的工作面，坑上不得堆载或行走机械。挖掘机的履带前</w:t>
      </w:r>
      <w:r>
        <w:rPr>
          <w:spacing w:val="-20"/>
          <w:sz w:val="24"/>
          <w:szCs w:val="24"/>
        </w:rPr>
        <w:t>端到挖掘坑边宜保持一定距离,同时,</w:t>
      </w:r>
      <w:r>
        <w:rPr>
          <w:spacing w:val="-21"/>
          <w:sz w:val="24"/>
          <w:szCs w:val="24"/>
        </w:rPr>
        <w:t>运土汽车始终在挖掘机的后方作业，离坑边保持3m以上的距离,以消除由于施工机械作业对基</w:t>
      </w:r>
      <w:r>
        <w:rPr>
          <w:spacing w:val="-22"/>
          <w:sz w:val="24"/>
          <w:szCs w:val="24"/>
        </w:rPr>
        <w:t>坑产生的侧向挤土压力而造成塌方。在机械开挖过程中,当基槽接近底标高时，严格控制开挖速度，控制机械施工标高,严禁超深而破坏原土结构。机械挖土时，应有专门人员负责测量开挖标</w:t>
      </w:r>
      <w:r>
        <w:rPr>
          <w:spacing w:val="-20"/>
          <w:sz w:val="24"/>
          <w:szCs w:val="24"/>
        </w:rPr>
        <w:t>高，确保基底标高，不得破坏原土层。人工修坡、铲底时，弃土由推车推至挖机处，由挖机向上转运。在斜坡上，增设斜坡道及栏杆，刷红白油漆。人员走动时，必须从此坡道上下。在基</w:t>
      </w:r>
      <w:r>
        <w:rPr>
          <w:spacing w:val="-23"/>
          <w:sz w:val="24"/>
          <w:szCs w:val="24"/>
        </w:rPr>
        <w:t>坑四周设置防护围栏(刷红白油漆)及警示标识。基槽开挖到设计标高后，由施工班组进行自检，</w:t>
      </w:r>
      <w:r>
        <w:rPr>
          <w:spacing w:val="-20"/>
          <w:sz w:val="24"/>
          <w:szCs w:val="24"/>
        </w:rPr>
        <w:t>然后由质检员检查验收，验收合格后通知监理验收，在监理验收合格后通知勘察单位、设计单</w:t>
      </w:r>
      <w:r>
        <w:rPr>
          <w:spacing w:val="-21"/>
          <w:sz w:val="24"/>
          <w:szCs w:val="24"/>
        </w:rPr>
        <w:t>位和业主进行联合验槽，验槽合格后方可进行下一步的施工。</w:t>
      </w:r>
    </w:p>
    <w:p w14:paraId="18C2D83E">
      <w:pPr>
        <w:pStyle w:val="2"/>
        <w:spacing w:line="218" w:lineRule="auto"/>
        <w:ind w:left="1891"/>
        <w:rPr>
          <w:sz w:val="24"/>
          <w:szCs w:val="24"/>
        </w:rPr>
      </w:pPr>
      <w:r>
        <w:rPr>
          <w:spacing w:val="-15"/>
          <w:sz w:val="24"/>
          <w:szCs w:val="24"/>
        </w:rPr>
        <w:t>7.3、排水措施</w:t>
      </w:r>
    </w:p>
    <w:p w14:paraId="40AA2AFA">
      <w:pPr>
        <w:pStyle w:val="2"/>
        <w:spacing w:before="115" w:line="308" w:lineRule="auto"/>
        <w:ind w:left="1458" w:right="1356" w:firstLine="437"/>
        <w:rPr>
          <w:sz w:val="24"/>
          <w:szCs w:val="24"/>
        </w:rPr>
      </w:pPr>
      <w:r>
        <w:rPr>
          <w:spacing w:val="-13"/>
          <w:sz w:val="24"/>
          <w:szCs w:val="24"/>
        </w:rPr>
        <w:t>土方开挖时，基坑底挖300mmX300mm环形排水沟。留500mmX500mm集水坑，深0.5m,配备2</w:t>
      </w:r>
      <w:r>
        <w:rPr>
          <w:spacing w:val="-24"/>
          <w:sz w:val="24"/>
          <w:szCs w:val="24"/>
        </w:rPr>
        <w:t>只水泵集中排水。施工过程中在基坑外四周设置截水明沟，防止地面水冲刷边坡，下雨天气时，</w:t>
      </w:r>
      <w:r>
        <w:rPr>
          <w:spacing w:val="-21"/>
          <w:sz w:val="24"/>
          <w:szCs w:val="24"/>
        </w:rPr>
        <w:t>如有必要应用塑料薄膜覆盖边坡(边坡土地下水位突然增加可能会引起滑移)。</w:t>
      </w:r>
    </w:p>
    <w:p w14:paraId="1BECDEFB">
      <w:pPr>
        <w:pStyle w:val="2"/>
        <w:spacing w:line="219" w:lineRule="auto"/>
        <w:ind w:left="1891"/>
        <w:rPr>
          <w:sz w:val="24"/>
          <w:szCs w:val="24"/>
        </w:rPr>
      </w:pPr>
      <w:r>
        <w:rPr>
          <w:spacing w:val="-17"/>
          <w:sz w:val="24"/>
          <w:szCs w:val="24"/>
        </w:rPr>
        <w:t>7.4、支墩基础垫层浇筑</w:t>
      </w:r>
    </w:p>
    <w:p w14:paraId="63A625AC">
      <w:pPr>
        <w:pStyle w:val="2"/>
        <w:spacing w:before="114" w:line="308" w:lineRule="auto"/>
        <w:ind w:left="1460" w:right="1409" w:firstLine="432"/>
        <w:rPr>
          <w:sz w:val="24"/>
          <w:szCs w:val="24"/>
        </w:rPr>
      </w:pPr>
      <w:r>
        <w:rPr>
          <w:spacing w:val="-20"/>
          <w:sz w:val="24"/>
          <w:szCs w:val="24"/>
        </w:rPr>
        <w:t>基础开挖后必须经过监理和勘察单位验收，并及时做好地基验槽记录，合格后立即安排测</w:t>
      </w:r>
      <w:r>
        <w:rPr>
          <w:spacing w:val="-19"/>
          <w:sz w:val="24"/>
          <w:szCs w:val="24"/>
        </w:rPr>
        <w:t>量放样(需复核)，支模并浇筑垫层砼。在垫层砼浇筑完毕后，</w:t>
      </w:r>
      <w:r>
        <w:rPr>
          <w:spacing w:val="-20"/>
          <w:sz w:val="24"/>
          <w:szCs w:val="24"/>
        </w:rPr>
        <w:t>用经纬仪测出控制线，并在垫层</w:t>
      </w:r>
      <w:r>
        <w:rPr>
          <w:spacing w:val="-21"/>
          <w:sz w:val="24"/>
          <w:szCs w:val="24"/>
        </w:rPr>
        <w:t>面上弹出墨线;以此为基线，根据图纸设计尺寸，用钢尺量出其它边线。</w:t>
      </w:r>
    </w:p>
    <w:p w14:paraId="7D6B4FC3">
      <w:pPr>
        <w:pStyle w:val="2"/>
        <w:spacing w:line="217" w:lineRule="auto"/>
        <w:ind w:left="1886"/>
        <w:rPr>
          <w:sz w:val="24"/>
          <w:szCs w:val="24"/>
        </w:rPr>
      </w:pPr>
      <w:r>
        <w:rPr>
          <w:spacing w:val="-17"/>
          <w:sz w:val="24"/>
          <w:szCs w:val="24"/>
        </w:rPr>
        <w:t>8、混凝土阀门井</w:t>
      </w:r>
    </w:p>
    <w:p w14:paraId="3F8977D0">
      <w:pPr>
        <w:pStyle w:val="2"/>
        <w:spacing w:before="119" w:line="220" w:lineRule="auto"/>
        <w:ind w:left="1886"/>
        <w:rPr>
          <w:sz w:val="24"/>
          <w:szCs w:val="24"/>
        </w:rPr>
      </w:pPr>
      <w:r>
        <w:rPr>
          <w:spacing w:val="-14"/>
          <w:sz w:val="24"/>
          <w:szCs w:val="24"/>
        </w:rPr>
        <w:t>8.1、施工方法</w:t>
      </w:r>
    </w:p>
    <w:p w14:paraId="38657AC0">
      <w:pPr>
        <w:pStyle w:val="2"/>
        <w:spacing w:before="115" w:line="307" w:lineRule="auto"/>
        <w:ind w:left="1457" w:right="1412" w:firstLine="439"/>
        <w:rPr>
          <w:sz w:val="24"/>
          <w:szCs w:val="24"/>
        </w:rPr>
      </w:pPr>
      <w:r>
        <w:rPr>
          <w:spacing w:val="-20"/>
          <w:sz w:val="24"/>
          <w:szCs w:val="24"/>
        </w:rPr>
        <w:t>一般DN600mm以下管道上的阀门井，可先于管道进行施工，但预留套管位置及标高必须准</w:t>
      </w:r>
      <w:r>
        <w:rPr>
          <w:spacing w:val="-21"/>
          <w:sz w:val="24"/>
          <w:szCs w:val="24"/>
        </w:rPr>
        <w:t>确，以免管线无法安装及捻口困难。</w:t>
      </w:r>
    </w:p>
    <w:p w14:paraId="6FAC4E59">
      <w:pPr>
        <w:pStyle w:val="2"/>
        <w:spacing w:before="1" w:line="218" w:lineRule="auto"/>
        <w:ind w:left="1886"/>
        <w:rPr>
          <w:sz w:val="24"/>
          <w:szCs w:val="24"/>
        </w:rPr>
      </w:pPr>
      <w:r>
        <w:rPr>
          <w:spacing w:val="-13"/>
          <w:sz w:val="24"/>
          <w:szCs w:val="24"/>
        </w:rPr>
        <w:t>8.1.1钢筋施工</w:t>
      </w:r>
    </w:p>
    <w:p w14:paraId="55586056">
      <w:pPr>
        <w:pStyle w:val="2"/>
        <w:spacing w:before="116" w:line="216" w:lineRule="auto"/>
        <w:ind w:left="1878"/>
        <w:rPr>
          <w:sz w:val="24"/>
          <w:szCs w:val="24"/>
        </w:rPr>
      </w:pPr>
      <w:r>
        <w:rPr>
          <w:spacing w:val="-20"/>
          <w:sz w:val="24"/>
          <w:szCs w:val="24"/>
        </w:rPr>
        <w:t>A钢筋进场必须进行材料检验，合格后方能使用。</w:t>
      </w:r>
    </w:p>
    <w:p w14:paraId="3E61715B">
      <w:pPr>
        <w:pStyle w:val="2"/>
        <w:spacing w:before="117" w:line="217" w:lineRule="auto"/>
        <w:ind w:left="1880"/>
        <w:rPr>
          <w:sz w:val="24"/>
          <w:szCs w:val="24"/>
        </w:rPr>
      </w:pPr>
      <w:r>
        <w:rPr>
          <w:spacing w:val="-23"/>
          <w:sz w:val="24"/>
          <w:szCs w:val="24"/>
        </w:rPr>
        <w:t>B技术员应根据图纸和规范了解混凝土保护层的厚度、钢筋弯曲、弯勾等规定，计算钢筋的</w:t>
      </w:r>
    </w:p>
    <w:p w14:paraId="06038610">
      <w:pPr>
        <w:pStyle w:val="2"/>
        <w:spacing w:before="78" w:line="308" w:lineRule="auto"/>
        <w:ind w:left="1457" w:right="1414" w:firstLine="3"/>
        <w:rPr>
          <w:sz w:val="24"/>
          <w:szCs w:val="24"/>
        </w:rPr>
      </w:pPr>
      <w:r>
        <w:rPr>
          <w:spacing w:val="-20"/>
          <w:sz w:val="24"/>
          <w:szCs w:val="24"/>
        </w:rPr>
        <w:t>下料长度和根数，填写钢筋配料单，标明钢筋尺寸，注明各弯曲的位置和尺寸；并做好钢筋翻样大样图交给钢筋工加工。</w:t>
      </w:r>
    </w:p>
    <w:p w14:paraId="096B6983">
      <w:pPr>
        <w:pStyle w:val="2"/>
        <w:spacing w:before="1" w:line="262" w:lineRule="auto"/>
        <w:ind w:left="1459" w:right="1435" w:firstLine="424"/>
        <w:rPr>
          <w:sz w:val="24"/>
          <w:szCs w:val="24"/>
        </w:rPr>
      </w:pPr>
      <w:r>
        <w:rPr>
          <w:spacing w:val="-24"/>
          <w:sz w:val="24"/>
          <w:szCs w:val="24"/>
        </w:rPr>
        <w:t>C加工成型的钢筋应分别按结构部位、钢筋编号和规格等，挂牌标识、整齐堆放，并保持钢</w:t>
      </w:r>
      <w:r>
        <w:rPr>
          <w:spacing w:val="-22"/>
          <w:sz w:val="24"/>
          <w:szCs w:val="24"/>
        </w:rPr>
        <w:t>筋表面的洁净，防止被油污、泥土或其他杂物污染或压弯变形。</w:t>
      </w:r>
    </w:p>
    <w:p w14:paraId="3911DA5A">
      <w:pPr>
        <w:pStyle w:val="2"/>
        <w:spacing w:before="118" w:line="217" w:lineRule="auto"/>
        <w:ind w:left="1881"/>
        <w:rPr>
          <w:sz w:val="24"/>
          <w:szCs w:val="24"/>
        </w:rPr>
      </w:pPr>
      <w:r>
        <w:rPr>
          <w:spacing w:val="-20"/>
          <w:sz w:val="24"/>
          <w:szCs w:val="24"/>
        </w:rPr>
        <w:t>D纵向受力钢筋的连接方式应符合设计要求。</w:t>
      </w:r>
    </w:p>
    <w:p w14:paraId="74904A20">
      <w:pPr>
        <w:pStyle w:val="2"/>
        <w:spacing w:before="117" w:line="308" w:lineRule="auto"/>
        <w:ind w:left="1458" w:right="1412" w:firstLine="424"/>
        <w:rPr>
          <w:sz w:val="24"/>
          <w:szCs w:val="24"/>
        </w:rPr>
      </w:pPr>
      <w:r>
        <w:rPr>
          <w:spacing w:val="-23"/>
          <w:sz w:val="24"/>
          <w:szCs w:val="24"/>
        </w:rPr>
        <w:t>E钢筋的接头宜设置在受力较小处同一纵向受力钢筋不宜设置</w:t>
      </w:r>
      <w:r>
        <w:rPr>
          <w:spacing w:val="-24"/>
          <w:sz w:val="24"/>
          <w:szCs w:val="24"/>
        </w:rPr>
        <w:t>两个或两个以上接头，接头末</w:t>
      </w:r>
      <w:r>
        <w:rPr>
          <w:spacing w:val="-22"/>
          <w:sz w:val="24"/>
          <w:szCs w:val="24"/>
        </w:rPr>
        <w:t>端至钢筋弯起点的距离不应小于钢筋直径的10倍。</w:t>
      </w:r>
    </w:p>
    <w:p w14:paraId="71E9A3BE">
      <w:pPr>
        <w:pStyle w:val="2"/>
        <w:spacing w:before="1" w:line="307" w:lineRule="auto"/>
        <w:ind w:left="1451" w:right="1410" w:firstLine="430"/>
        <w:rPr>
          <w:sz w:val="24"/>
          <w:szCs w:val="24"/>
        </w:rPr>
      </w:pPr>
      <w:r>
        <w:rPr>
          <w:spacing w:val="-23"/>
          <w:sz w:val="24"/>
          <w:szCs w:val="24"/>
        </w:rPr>
        <w:t>F相邻纵向受力钢筋的绑扎搭接接头应相互错开，且横向净距</w:t>
      </w:r>
      <w:r>
        <w:rPr>
          <w:spacing w:val="-24"/>
          <w:sz w:val="24"/>
          <w:szCs w:val="24"/>
        </w:rPr>
        <w:t>不应小于钢筋直径且不应小于</w:t>
      </w:r>
      <w:r>
        <w:rPr>
          <w:spacing w:val="-14"/>
          <w:sz w:val="24"/>
          <w:szCs w:val="24"/>
        </w:rPr>
        <w:t>25㎜。</w:t>
      </w:r>
    </w:p>
    <w:p w14:paraId="75C77160">
      <w:pPr>
        <w:pStyle w:val="2"/>
        <w:spacing w:before="5" w:line="307" w:lineRule="auto"/>
        <w:ind w:left="1456" w:right="1409" w:firstLine="426"/>
        <w:jc w:val="both"/>
        <w:rPr>
          <w:sz w:val="24"/>
          <w:szCs w:val="24"/>
        </w:rPr>
      </w:pPr>
      <w:r>
        <w:rPr>
          <w:spacing w:val="-21"/>
          <w:sz w:val="24"/>
          <w:szCs w:val="24"/>
        </w:rPr>
        <w:t>G钢筋安装时：应先绑扎好下层底板筋，再在外壁每方立2-4根</w:t>
      </w:r>
      <w:r>
        <w:rPr>
          <w:spacing w:val="-22"/>
          <w:sz w:val="24"/>
          <w:szCs w:val="24"/>
        </w:rPr>
        <w:t>竖筋，将竖筋与底板伸出的</w:t>
      </w:r>
      <w:r>
        <w:rPr>
          <w:spacing w:val="-20"/>
          <w:sz w:val="24"/>
          <w:szCs w:val="24"/>
        </w:rPr>
        <w:t>搭接筋绑扎，在竖筋上画好水平筋分档标志，在下部及齐胸处绑两根横筋定位，并在横筋上画好竖筋的分档标志，接着绑其余竖筋，最后再绑横筋及其他钢筋；横筋在竖筋的里面或外面应</w:t>
      </w:r>
      <w:r>
        <w:rPr>
          <w:spacing w:val="-22"/>
          <w:sz w:val="24"/>
          <w:szCs w:val="24"/>
        </w:rPr>
        <w:t>符合设计要求；钢筋的弯勾应朝向混凝土内。</w:t>
      </w:r>
    </w:p>
    <w:p w14:paraId="32916B29">
      <w:pPr>
        <w:pStyle w:val="2"/>
        <w:spacing w:before="1" w:line="307" w:lineRule="auto"/>
        <w:ind w:left="1499" w:right="1409" w:firstLine="380"/>
        <w:rPr>
          <w:sz w:val="24"/>
          <w:szCs w:val="24"/>
        </w:rPr>
      </w:pPr>
      <w:r>
        <w:rPr>
          <w:spacing w:val="-23"/>
          <w:sz w:val="24"/>
          <w:szCs w:val="24"/>
        </w:rPr>
        <w:t>H在套管及预留洞处，原先的竖筋不能剪断应绕过套管或洞口绑扎上</w:t>
      </w:r>
      <w:r>
        <w:rPr>
          <w:spacing w:val="-24"/>
          <w:sz w:val="24"/>
          <w:szCs w:val="24"/>
        </w:rPr>
        <w:t>去，再在套管或预留洞</w:t>
      </w:r>
      <w:r>
        <w:rPr>
          <w:spacing w:val="-28"/>
          <w:sz w:val="24"/>
          <w:szCs w:val="24"/>
        </w:rPr>
        <w:t>口设置加强筋。</w:t>
      </w:r>
    </w:p>
    <w:p w14:paraId="15FF4284">
      <w:pPr>
        <w:pStyle w:val="2"/>
        <w:spacing w:line="218" w:lineRule="auto"/>
        <w:ind w:left="1886"/>
        <w:rPr>
          <w:sz w:val="24"/>
          <w:szCs w:val="24"/>
        </w:rPr>
      </w:pPr>
      <w:r>
        <w:rPr>
          <w:spacing w:val="-13"/>
          <w:sz w:val="24"/>
          <w:szCs w:val="24"/>
        </w:rPr>
        <w:t>8.1.2模板支设</w:t>
      </w:r>
    </w:p>
    <w:p w14:paraId="1FB81057">
      <w:pPr>
        <w:pStyle w:val="2"/>
        <w:spacing w:before="116" w:line="217" w:lineRule="auto"/>
        <w:ind w:left="1878"/>
        <w:rPr>
          <w:sz w:val="24"/>
          <w:szCs w:val="24"/>
        </w:rPr>
      </w:pPr>
      <w:r>
        <w:rPr>
          <w:spacing w:val="-21"/>
          <w:sz w:val="24"/>
          <w:szCs w:val="24"/>
        </w:rPr>
        <w:t>A方井施工用模板均采用胶合板支设，以保证井的外观质量及便于拆模。</w:t>
      </w:r>
    </w:p>
    <w:p w14:paraId="1A0D4A2C">
      <w:pPr>
        <w:pStyle w:val="2"/>
        <w:spacing w:before="118" w:line="308" w:lineRule="auto"/>
        <w:ind w:left="1457" w:right="1411" w:firstLine="422"/>
        <w:rPr>
          <w:sz w:val="24"/>
          <w:szCs w:val="24"/>
        </w:rPr>
      </w:pPr>
      <w:r>
        <w:rPr>
          <w:spacing w:val="-23"/>
          <w:sz w:val="24"/>
          <w:szCs w:val="24"/>
        </w:rPr>
        <w:t>B模板安装前，应先根据测量工给出的轴线及中心点在垫层上弹出中</w:t>
      </w:r>
      <w:r>
        <w:rPr>
          <w:spacing w:val="-24"/>
          <w:sz w:val="24"/>
          <w:szCs w:val="24"/>
        </w:rPr>
        <w:t>线及边线按位置安装准</w:t>
      </w:r>
      <w:r>
        <w:rPr>
          <w:spacing w:val="-18"/>
          <w:sz w:val="24"/>
          <w:szCs w:val="24"/>
        </w:rPr>
        <w:t>确。</w:t>
      </w:r>
    </w:p>
    <w:p w14:paraId="7399A777">
      <w:pPr>
        <w:pStyle w:val="2"/>
        <w:spacing w:before="2" w:line="215" w:lineRule="auto"/>
        <w:ind w:left="1883"/>
        <w:rPr>
          <w:sz w:val="24"/>
          <w:szCs w:val="24"/>
        </w:rPr>
      </w:pPr>
      <w:r>
        <w:rPr>
          <w:spacing w:val="-21"/>
          <w:sz w:val="24"/>
          <w:szCs w:val="24"/>
        </w:rPr>
        <w:t>C模板制作时，应先根据井室的尺寸下料加工成形，模板内侧应光滑平整。</w:t>
      </w:r>
    </w:p>
    <w:p w14:paraId="490D58C3">
      <w:pPr>
        <w:pStyle w:val="2"/>
        <w:spacing w:before="118" w:line="263" w:lineRule="auto"/>
        <w:ind w:left="1456" w:right="1409" w:firstLine="424"/>
        <w:rPr>
          <w:sz w:val="24"/>
          <w:szCs w:val="24"/>
        </w:rPr>
      </w:pPr>
      <w:r>
        <w:rPr>
          <w:spacing w:val="-18"/>
          <w:sz w:val="24"/>
          <w:szCs w:val="24"/>
        </w:rPr>
        <w:t>D模板制作好后，应在模板上弹出400mm×</w:t>
      </w:r>
      <w:r>
        <w:rPr>
          <w:spacing w:val="-19"/>
          <w:sz w:val="24"/>
          <w:szCs w:val="24"/>
        </w:rPr>
        <w:t>400mm对拉杆螺栓的轴线，在轴线交叉的位置钻</w:t>
      </w:r>
      <w:r>
        <w:rPr>
          <w:spacing w:val="-22"/>
          <w:sz w:val="24"/>
          <w:szCs w:val="24"/>
        </w:rPr>
        <w:t>好眼，便于安装对拉杆螺栓。</w:t>
      </w:r>
    </w:p>
    <w:p w14:paraId="5C42F83B">
      <w:pPr>
        <w:pStyle w:val="2"/>
        <w:spacing w:before="117" w:line="215" w:lineRule="auto"/>
        <w:ind w:left="1882"/>
        <w:rPr>
          <w:sz w:val="24"/>
          <w:szCs w:val="24"/>
        </w:rPr>
      </w:pPr>
      <w:r>
        <w:rPr>
          <w:spacing w:val="-21"/>
          <w:sz w:val="24"/>
          <w:szCs w:val="24"/>
        </w:rPr>
        <w:t>E对拉杆螺栓在制作时，一定要在中间设止水板，且止水板与钢筋处必须满焊。</w:t>
      </w:r>
    </w:p>
    <w:p w14:paraId="27BE1043">
      <w:pPr>
        <w:pStyle w:val="2"/>
        <w:spacing w:before="119" w:line="215" w:lineRule="auto"/>
        <w:ind w:left="1882"/>
        <w:rPr>
          <w:sz w:val="24"/>
          <w:szCs w:val="24"/>
        </w:rPr>
      </w:pPr>
      <w:r>
        <w:rPr>
          <w:spacing w:val="-21"/>
          <w:sz w:val="24"/>
          <w:szCs w:val="24"/>
        </w:rPr>
        <w:t>F模板的拼缝应严密不漏浆，在浇筑混凝土前，应浇水湿润，但模板内不应有积水。</w:t>
      </w:r>
    </w:p>
    <w:p w14:paraId="4B5DA69B">
      <w:pPr>
        <w:pStyle w:val="2"/>
        <w:spacing w:before="121" w:line="216" w:lineRule="auto"/>
        <w:ind w:left="1882"/>
        <w:rPr>
          <w:sz w:val="24"/>
          <w:szCs w:val="24"/>
        </w:rPr>
      </w:pPr>
      <w:r>
        <w:rPr>
          <w:spacing w:val="-21"/>
          <w:sz w:val="24"/>
          <w:szCs w:val="24"/>
        </w:rPr>
        <w:t>G模板的支撑应牢固紧密，当支撑于土壁时，必须将松土清除修平，并加设垫板。</w:t>
      </w:r>
    </w:p>
    <w:p w14:paraId="0C4C0114">
      <w:pPr>
        <w:pStyle w:val="2"/>
        <w:spacing w:before="121" w:line="307" w:lineRule="auto"/>
        <w:ind w:left="1457" w:right="1410" w:firstLine="422"/>
        <w:rPr>
          <w:sz w:val="24"/>
          <w:szCs w:val="24"/>
        </w:rPr>
      </w:pPr>
      <w:r>
        <w:rPr>
          <w:spacing w:val="-23"/>
          <w:sz w:val="24"/>
          <w:szCs w:val="24"/>
        </w:rPr>
        <w:t>H模板安装完毕固定前，要复查模板的垂直度、位置、对角线偏差及支撑</w:t>
      </w:r>
      <w:r>
        <w:rPr>
          <w:spacing w:val="-24"/>
          <w:sz w:val="24"/>
          <w:szCs w:val="24"/>
        </w:rPr>
        <w:t>、连接件的稳定情</w:t>
      </w:r>
      <w:r>
        <w:rPr>
          <w:spacing w:val="-19"/>
          <w:sz w:val="24"/>
          <w:szCs w:val="24"/>
        </w:rPr>
        <w:t>况，合格后再固定。</w:t>
      </w:r>
    </w:p>
    <w:p w14:paraId="6A155EA6">
      <w:pPr>
        <w:pStyle w:val="2"/>
        <w:spacing w:before="1" w:line="216" w:lineRule="auto"/>
        <w:ind w:left="1898"/>
        <w:rPr>
          <w:sz w:val="24"/>
          <w:szCs w:val="24"/>
        </w:rPr>
      </w:pPr>
      <w:r>
        <w:rPr>
          <w:spacing w:val="-21"/>
          <w:sz w:val="24"/>
          <w:szCs w:val="24"/>
        </w:rPr>
        <w:t>I模板支好后，应保持模内清洁，防止掉入砖头、木屑等杂物。</w:t>
      </w:r>
    </w:p>
    <w:p w14:paraId="754CAFCC">
      <w:pPr>
        <w:pStyle w:val="2"/>
        <w:spacing w:before="120" w:line="219" w:lineRule="auto"/>
        <w:ind w:left="1886"/>
        <w:rPr>
          <w:sz w:val="24"/>
          <w:szCs w:val="24"/>
        </w:rPr>
      </w:pPr>
      <w:r>
        <w:rPr>
          <w:spacing w:val="-15"/>
          <w:sz w:val="24"/>
          <w:szCs w:val="24"/>
        </w:rPr>
        <w:t>8.1.3混凝土浇筑</w:t>
      </w:r>
    </w:p>
    <w:p w14:paraId="758F4249">
      <w:pPr>
        <w:pStyle w:val="2"/>
        <w:spacing w:before="112" w:line="308" w:lineRule="auto"/>
        <w:ind w:left="1463" w:right="1409" w:firstLine="415"/>
        <w:rPr>
          <w:sz w:val="24"/>
          <w:szCs w:val="24"/>
        </w:rPr>
      </w:pPr>
      <w:r>
        <w:rPr>
          <w:spacing w:val="-24"/>
          <w:sz w:val="24"/>
          <w:szCs w:val="24"/>
        </w:rPr>
        <w:t>A阀门井混凝土采用商品混凝土，严格控制塌落度；混凝土浇筑时，采用底板、壁板整体浇</w:t>
      </w:r>
      <w:r>
        <w:rPr>
          <w:spacing w:val="-18"/>
          <w:sz w:val="24"/>
          <w:szCs w:val="24"/>
        </w:rPr>
        <w:t>注；在浇筑期间至混凝土浇筑成型后48小时内控制基坑内水面标高在垫层以下，设专人24小</w:t>
      </w:r>
      <w:r>
        <w:rPr>
          <w:spacing w:val="-21"/>
          <w:sz w:val="24"/>
          <w:szCs w:val="24"/>
        </w:rPr>
        <w:t>时看护，确保混凝土不被地下水浸泡，影响混</w:t>
      </w:r>
      <w:r>
        <w:rPr>
          <w:spacing w:val="-22"/>
          <w:sz w:val="24"/>
          <w:szCs w:val="24"/>
        </w:rPr>
        <w:t>凝土质量。</w:t>
      </w:r>
    </w:p>
    <w:p w14:paraId="529C6BE1">
      <w:pPr>
        <w:pStyle w:val="2"/>
        <w:spacing w:before="1" w:line="308" w:lineRule="auto"/>
        <w:ind w:left="1456" w:right="1426" w:firstLine="423"/>
        <w:rPr>
          <w:sz w:val="24"/>
          <w:szCs w:val="24"/>
        </w:rPr>
      </w:pPr>
      <w:r>
        <w:rPr>
          <w:spacing w:val="-24"/>
          <w:sz w:val="24"/>
          <w:szCs w:val="24"/>
        </w:rPr>
        <w:t>B浇筑底板时必须一次浇筑完成，不得设置施工缝；壁板应对称、分层浇筑混凝土，分层振</w:t>
      </w:r>
      <w:r>
        <w:rPr>
          <w:spacing w:val="-21"/>
          <w:sz w:val="24"/>
          <w:szCs w:val="24"/>
        </w:rPr>
        <w:t>捣，尤其加强套管部位和施工缝部位混凝土的振捣，防止漏</w:t>
      </w:r>
      <w:r>
        <w:rPr>
          <w:spacing w:val="-22"/>
          <w:sz w:val="24"/>
          <w:szCs w:val="24"/>
        </w:rPr>
        <w:t>振产生质量弊病；</w:t>
      </w:r>
    </w:p>
    <w:p w14:paraId="6BE616B8">
      <w:pPr>
        <w:pStyle w:val="2"/>
        <w:spacing w:before="1" w:line="216" w:lineRule="auto"/>
        <w:ind w:left="1883"/>
        <w:rPr>
          <w:sz w:val="24"/>
          <w:szCs w:val="24"/>
        </w:rPr>
      </w:pPr>
      <w:r>
        <w:rPr>
          <w:spacing w:val="-18"/>
          <w:sz w:val="24"/>
          <w:szCs w:val="24"/>
        </w:rPr>
        <w:t>C混凝土试块留置满足每次和每不超过50m3混凝</w:t>
      </w:r>
      <w:r>
        <w:rPr>
          <w:spacing w:val="-19"/>
          <w:sz w:val="24"/>
          <w:szCs w:val="24"/>
        </w:rPr>
        <w:t>土留置一组试块进行标养。</w:t>
      </w:r>
    </w:p>
    <w:p w14:paraId="5EB39C13">
      <w:pPr>
        <w:pStyle w:val="2"/>
        <w:spacing w:before="117" w:line="216" w:lineRule="auto"/>
        <w:ind w:left="1881"/>
        <w:rPr>
          <w:sz w:val="24"/>
          <w:szCs w:val="24"/>
        </w:rPr>
      </w:pPr>
      <w:r>
        <w:rPr>
          <w:spacing w:val="-21"/>
          <w:sz w:val="24"/>
          <w:szCs w:val="24"/>
        </w:rPr>
        <w:t>D混凝土施工前，应严格控制基础或井底、井顶及套管的标高、轴线、方位。</w:t>
      </w:r>
    </w:p>
    <w:p w14:paraId="673D5ABC">
      <w:pPr>
        <w:spacing w:line="251" w:lineRule="auto"/>
        <w:rPr>
          <w:rFonts w:ascii="Arial"/>
          <w:sz w:val="21"/>
        </w:rPr>
      </w:pPr>
    </w:p>
    <w:p w14:paraId="3BD97DB5">
      <w:pPr>
        <w:pStyle w:val="2"/>
        <w:spacing w:before="78" w:line="217" w:lineRule="auto"/>
        <w:ind w:left="1882"/>
        <w:rPr>
          <w:sz w:val="24"/>
          <w:szCs w:val="24"/>
        </w:rPr>
      </w:pPr>
      <w:r>
        <w:rPr>
          <w:spacing w:val="-21"/>
          <w:sz w:val="24"/>
          <w:szCs w:val="24"/>
        </w:rPr>
        <w:t>E混凝土应震捣密实，表面平整光滑，不得有裂纹，蜂窝</w:t>
      </w:r>
      <w:r>
        <w:rPr>
          <w:spacing w:val="-22"/>
          <w:sz w:val="24"/>
          <w:szCs w:val="24"/>
        </w:rPr>
        <w:t>、麻面等缺陷。</w:t>
      </w:r>
    </w:p>
    <w:p w14:paraId="470EF943">
      <w:pPr>
        <w:pStyle w:val="2"/>
        <w:spacing w:before="118" w:line="215" w:lineRule="auto"/>
        <w:ind w:left="1882"/>
        <w:rPr>
          <w:sz w:val="24"/>
          <w:szCs w:val="24"/>
        </w:rPr>
      </w:pPr>
      <w:r>
        <w:rPr>
          <w:spacing w:val="-20"/>
          <w:sz w:val="24"/>
          <w:szCs w:val="24"/>
        </w:rPr>
        <w:t>F混凝土应在浇筑完毕后12小时内，加以覆盖并保湿养护。</w:t>
      </w:r>
    </w:p>
    <w:p w14:paraId="7EC5A91B">
      <w:pPr>
        <w:pStyle w:val="2"/>
        <w:spacing w:before="117" w:line="308" w:lineRule="auto"/>
        <w:ind w:left="1455" w:right="1410" w:firstLine="427"/>
        <w:rPr>
          <w:sz w:val="24"/>
          <w:szCs w:val="24"/>
        </w:rPr>
      </w:pPr>
      <w:r>
        <w:rPr>
          <w:spacing w:val="-23"/>
          <w:sz w:val="24"/>
          <w:szCs w:val="24"/>
        </w:rPr>
        <w:t>G先施工管道后施工井时，在井模板支设前，首先将套管与</w:t>
      </w:r>
      <w:r>
        <w:rPr>
          <w:spacing w:val="-24"/>
          <w:sz w:val="24"/>
          <w:szCs w:val="24"/>
        </w:rPr>
        <w:t>管道之间的缝隙用木楔等物填塞</w:t>
      </w:r>
      <w:r>
        <w:rPr>
          <w:spacing w:val="-20"/>
          <w:sz w:val="24"/>
          <w:szCs w:val="24"/>
        </w:rPr>
        <w:t>密实，然后支模浇灌混凝土，以保证套管与管道之间缝隙均匀，且避免井施工后因操作面狭窄造成捻口困难，出现渗漏现象。</w:t>
      </w:r>
    </w:p>
    <w:p w14:paraId="4ED012A2">
      <w:pPr>
        <w:pStyle w:val="2"/>
        <w:spacing w:line="216" w:lineRule="auto"/>
        <w:ind w:left="1880"/>
        <w:rPr>
          <w:sz w:val="24"/>
          <w:szCs w:val="24"/>
        </w:rPr>
      </w:pPr>
      <w:r>
        <w:rPr>
          <w:spacing w:val="-21"/>
          <w:sz w:val="24"/>
          <w:szCs w:val="24"/>
        </w:rPr>
        <w:t>H根据井的深度，井体混凝土一次浇注，以保证混凝土振</w:t>
      </w:r>
      <w:r>
        <w:rPr>
          <w:spacing w:val="-22"/>
          <w:sz w:val="24"/>
          <w:szCs w:val="24"/>
        </w:rPr>
        <w:t>捣质量。</w:t>
      </w:r>
    </w:p>
    <w:p w14:paraId="64D317A8">
      <w:pPr>
        <w:pStyle w:val="2"/>
        <w:spacing w:before="119" w:line="215" w:lineRule="auto"/>
        <w:ind w:left="1898"/>
        <w:rPr>
          <w:sz w:val="24"/>
          <w:szCs w:val="24"/>
        </w:rPr>
      </w:pPr>
      <w:r>
        <w:rPr>
          <w:spacing w:val="-22"/>
          <w:sz w:val="24"/>
          <w:szCs w:val="24"/>
        </w:rPr>
        <w:t>I阀门井盖板采取在井附近的场地就近预制，用水泥砂浆在场地上制作预制板的底模。</w:t>
      </w:r>
    </w:p>
    <w:p w14:paraId="32AB0E39">
      <w:pPr>
        <w:pStyle w:val="2"/>
        <w:spacing w:before="122" w:line="217" w:lineRule="auto"/>
        <w:ind w:left="1886"/>
        <w:rPr>
          <w:sz w:val="24"/>
          <w:szCs w:val="24"/>
        </w:rPr>
      </w:pPr>
      <w:r>
        <w:rPr>
          <w:spacing w:val="-20"/>
          <w:sz w:val="24"/>
          <w:szCs w:val="24"/>
        </w:rPr>
        <w:t>8.1.4室外给排水井、消火栓井等用的铸铁井盖不</w:t>
      </w:r>
      <w:r>
        <w:rPr>
          <w:spacing w:val="-21"/>
          <w:sz w:val="24"/>
          <w:szCs w:val="24"/>
        </w:rPr>
        <w:t>得混用，重型与轻型井盖不得混用。</w:t>
      </w:r>
    </w:p>
    <w:p w14:paraId="5E3FA3A9">
      <w:pPr>
        <w:pStyle w:val="2"/>
        <w:spacing w:before="114" w:line="264" w:lineRule="auto"/>
        <w:ind w:left="1455" w:right="1412" w:firstLine="431"/>
        <w:rPr>
          <w:sz w:val="24"/>
          <w:szCs w:val="24"/>
        </w:rPr>
      </w:pPr>
      <w:r>
        <w:rPr>
          <w:spacing w:val="-23"/>
          <w:sz w:val="24"/>
          <w:szCs w:val="24"/>
        </w:rPr>
        <w:t>8.1.5穿过井壁的管子与井壁应严密、不漏水。管子与与防水套管间的间隙，宜采用石棉水</w:t>
      </w:r>
      <w:r>
        <w:rPr>
          <w:spacing w:val="-20"/>
          <w:sz w:val="24"/>
          <w:szCs w:val="24"/>
        </w:rPr>
        <w:t>泥接口或纯水泥打口封堵。</w:t>
      </w:r>
    </w:p>
    <w:p w14:paraId="5ABF6DF4">
      <w:pPr>
        <w:pStyle w:val="2"/>
        <w:spacing w:before="118" w:line="217" w:lineRule="auto"/>
        <w:ind w:left="1886"/>
        <w:rPr>
          <w:sz w:val="24"/>
          <w:szCs w:val="24"/>
        </w:rPr>
      </w:pPr>
      <w:r>
        <w:rPr>
          <w:spacing w:val="-20"/>
          <w:sz w:val="24"/>
          <w:szCs w:val="24"/>
        </w:rPr>
        <w:t>8.1.6穿井壁处管子的局部处理要求：</w:t>
      </w:r>
    </w:p>
    <w:p w14:paraId="62B61C1B">
      <w:pPr>
        <w:pStyle w:val="2"/>
        <w:spacing w:before="116" w:line="216" w:lineRule="auto"/>
        <w:ind w:left="1878"/>
        <w:rPr>
          <w:sz w:val="24"/>
          <w:szCs w:val="24"/>
        </w:rPr>
      </w:pPr>
      <w:r>
        <w:rPr>
          <w:spacing w:val="-20"/>
          <w:sz w:val="24"/>
          <w:szCs w:val="24"/>
        </w:rPr>
        <w:t>A、钢管铸铁管的外部防腐层应去除并清理干净。</w:t>
      </w:r>
    </w:p>
    <w:p w14:paraId="77D2171C">
      <w:pPr>
        <w:pStyle w:val="2"/>
        <w:spacing w:before="120" w:line="216" w:lineRule="auto"/>
        <w:ind w:left="1880"/>
        <w:rPr>
          <w:sz w:val="24"/>
          <w:szCs w:val="24"/>
        </w:rPr>
      </w:pPr>
      <w:r>
        <w:rPr>
          <w:spacing w:val="-20"/>
          <w:sz w:val="24"/>
          <w:szCs w:val="24"/>
        </w:rPr>
        <w:t>B、塑料管外表面宜预先作刷粘接剂滚沙处理。</w:t>
      </w:r>
    </w:p>
    <w:p w14:paraId="671DECFF">
      <w:pPr>
        <w:pStyle w:val="2"/>
        <w:spacing w:before="120" w:line="218" w:lineRule="auto"/>
        <w:ind w:left="1886"/>
        <w:rPr>
          <w:sz w:val="24"/>
          <w:szCs w:val="24"/>
        </w:rPr>
      </w:pPr>
      <w:r>
        <w:rPr>
          <w:spacing w:val="-17"/>
          <w:sz w:val="24"/>
          <w:szCs w:val="24"/>
        </w:rPr>
        <w:t>9、沟槽回填</w:t>
      </w:r>
    </w:p>
    <w:p w14:paraId="0A86E5F5">
      <w:pPr>
        <w:spacing w:line="22" w:lineRule="auto"/>
        <w:rPr>
          <w:rFonts w:ascii="Arial"/>
          <w:sz w:val="2"/>
        </w:rPr>
      </w:pPr>
    </w:p>
    <w:tbl>
      <w:tblPr>
        <w:tblStyle w:val="6"/>
        <w:tblW w:w="8890" w:type="dxa"/>
        <w:tblInd w:w="150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24"/>
        <w:gridCol w:w="658"/>
        <w:gridCol w:w="6298"/>
        <w:gridCol w:w="1570"/>
        <w:gridCol w:w="84"/>
        <w:gridCol w:w="56"/>
      </w:tblGrid>
      <w:tr w14:paraId="1AF7C0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95" w:hRule="atLeast"/>
        </w:trPr>
        <w:tc>
          <w:tcPr>
            <w:tcW w:w="882" w:type="dxa"/>
            <w:gridSpan w:val="2"/>
            <w:tcBorders>
              <w:top w:val="single" w:color="000000" w:sz="4" w:space="0"/>
              <w:left w:val="single" w:color="000000" w:sz="4" w:space="0"/>
            </w:tcBorders>
            <w:shd w:val="clear" w:color="auto" w:fill="DEEAF6"/>
            <w:vAlign w:val="top"/>
          </w:tcPr>
          <w:p w14:paraId="4D1D5E70">
            <w:pPr>
              <w:spacing w:before="33" w:line="60" w:lineRule="exact"/>
              <w:ind w:firstLine="33"/>
            </w:pPr>
            <w:r>
              <w:pict>
                <v:shape id="_x0000_s1478" o:spid="_x0000_s1478" style="position:absolute;left:0pt;margin-left:-0.2pt;margin-top:0pt;height:0.75pt;width:2.2pt;mso-position-horizontal-relative:page;mso-position-vertical-relative:page;z-index:251738112;mso-width-relative:page;mso-height-relative:page;" fillcolor="#5B9BD5" filled="t" stroked="f" coordsize="44,15" path="m0,14l43,14,43,0,0,0,0,14xe">
                  <v:path/>
                  <v:fill on="t" focussize="0,0"/>
                  <v:stroke on="f"/>
                  <v:imagedata o:title=""/>
                  <o:lock v:ext="edit"/>
                </v:shape>
              </w:pict>
            </w:r>
            <w:r>
              <w:rPr>
                <w:position w:val="-1"/>
              </w:rPr>
              <w:pict>
                <v:shape id="_x0000_s1479" o:spid="_x0000_s1479" style="height:3pt;width:41.65pt;" fillcolor="#DEEAF6" filled="t" stroked="f" coordsize="833,60" path="m0,60l832,60,832,0,0,0,0,60xe">
                  <v:path/>
                  <v:fill on="t" focussize="0,0"/>
                  <v:stroke on="f"/>
                  <v:imagedata o:title=""/>
                  <o:lock v:ext="edit"/>
                  <w10:wrap type="none"/>
                  <w10:anchorlock/>
                </v:shape>
              </w:pict>
            </w:r>
          </w:p>
          <w:p w14:paraId="31752767">
            <w:pPr>
              <w:pStyle w:val="7"/>
              <w:spacing w:before="122" w:line="218" w:lineRule="auto"/>
              <w:ind w:left="238"/>
            </w:pPr>
            <w:r>
              <w:rPr>
                <w:b/>
                <w:bCs/>
                <w:spacing w:val="-12"/>
              </w:rPr>
              <w:t>序号</w:t>
            </w:r>
          </w:p>
          <w:p w14:paraId="1D5F914C">
            <w:pPr>
              <w:spacing w:before="234" w:line="51" w:lineRule="exact"/>
              <w:ind w:firstLine="11"/>
            </w:pPr>
            <w:r>
              <w:rPr>
                <w:position w:val="-1"/>
              </w:rPr>
              <w:pict>
                <v:shape id="_x0000_s1480" o:spid="_x0000_s1480" style="height:2.9pt;width:43pt;" fillcolor="#DEEAF6" filled="t" stroked="f" coordsize="860,58" path="m0,57l859,57,859,0,0,0,0,57xe">
                  <v:path/>
                  <v:fill on="t" focussize="0,0"/>
                  <v:stroke on="f"/>
                  <v:imagedata o:title=""/>
                  <o:lock v:ext="edit"/>
                  <w10:wrap type="none"/>
                  <w10:anchorlock/>
                </v:shape>
              </w:pict>
            </w:r>
          </w:p>
        </w:tc>
        <w:tc>
          <w:tcPr>
            <w:tcW w:w="6298" w:type="dxa"/>
            <w:tcBorders>
              <w:top w:val="single" w:color="5B9BD5" w:sz="4" w:space="0"/>
              <w:right w:val="nil"/>
            </w:tcBorders>
            <w:shd w:val="clear" w:color="auto" w:fill="DEEAF6"/>
            <w:vAlign w:val="top"/>
          </w:tcPr>
          <w:p w14:paraId="3053861C">
            <w:pPr>
              <w:pStyle w:val="7"/>
              <w:spacing w:before="215" w:line="218" w:lineRule="auto"/>
              <w:ind w:left="3364"/>
            </w:pPr>
            <w:r>
              <w:rPr>
                <w:b/>
                <w:bCs/>
                <w:spacing w:val="-22"/>
              </w:rPr>
              <w:t>管沟回填要求</w:t>
            </w:r>
          </w:p>
        </w:tc>
        <w:tc>
          <w:tcPr>
            <w:tcW w:w="1710" w:type="dxa"/>
            <w:gridSpan w:val="3"/>
            <w:tcBorders>
              <w:top w:val="single" w:color="5B9BD5" w:sz="4" w:space="0"/>
              <w:left w:val="nil"/>
              <w:right w:val="single" w:color="5B9BD5" w:sz="4" w:space="0"/>
            </w:tcBorders>
            <w:shd w:val="clear" w:color="auto" w:fill="DEEAF6"/>
            <w:vAlign w:val="top"/>
          </w:tcPr>
          <w:p w14:paraId="7369E7C6">
            <w:pPr>
              <w:rPr>
                <w:rFonts w:ascii="Arial"/>
                <w:sz w:val="21"/>
              </w:rPr>
            </w:pPr>
            <w:r>
              <w:pict>
                <v:shape id="_x0000_s1481" o:spid="_x0000_s1481" style="position:absolute;left:0pt;margin-left:83.65pt;margin-top:0pt;height:0.75pt;width:2.2pt;mso-position-horizontal-relative:page;mso-position-vertical-relative:page;z-index:251737088;mso-width-relative:page;mso-height-relative:page;" fillcolor="#5B9BD5" filled="t" stroked="f" coordsize="44,15" path="m0,14l43,14,43,0,0,0,0,14xe">
                  <v:path/>
                  <v:fill on="t" focussize="0,0"/>
                  <v:stroke on="f"/>
                  <v:imagedata o:title=""/>
                  <o:lock v:ext="edit"/>
                </v:shape>
              </w:pict>
            </w:r>
          </w:p>
        </w:tc>
      </w:tr>
      <w:tr w14:paraId="70DC1C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162" w:hRule="atLeast"/>
        </w:trPr>
        <w:tc>
          <w:tcPr>
            <w:tcW w:w="882" w:type="dxa"/>
            <w:gridSpan w:val="2"/>
            <w:tcBorders>
              <w:left w:val="single" w:color="000000" w:sz="4" w:space="0"/>
            </w:tcBorders>
            <w:vAlign w:val="top"/>
          </w:tcPr>
          <w:p w14:paraId="1BF706DC">
            <w:pPr>
              <w:spacing w:line="267" w:lineRule="auto"/>
              <w:rPr>
                <w:rFonts w:ascii="Arial"/>
                <w:sz w:val="21"/>
              </w:rPr>
            </w:pPr>
          </w:p>
          <w:p w14:paraId="1410340A">
            <w:pPr>
              <w:spacing w:line="267" w:lineRule="auto"/>
              <w:rPr>
                <w:rFonts w:ascii="Arial"/>
                <w:sz w:val="21"/>
              </w:rPr>
            </w:pPr>
          </w:p>
          <w:p w14:paraId="4822527D">
            <w:pPr>
              <w:spacing w:line="268" w:lineRule="auto"/>
              <w:rPr>
                <w:rFonts w:ascii="Arial"/>
                <w:sz w:val="21"/>
              </w:rPr>
            </w:pPr>
          </w:p>
          <w:p w14:paraId="7A18C157">
            <w:pPr>
              <w:pStyle w:val="7"/>
              <w:spacing w:before="78" w:line="238" w:lineRule="auto"/>
              <w:ind w:left="412"/>
            </w:pPr>
            <w:r>
              <w:t>1</w:t>
            </w:r>
          </w:p>
        </w:tc>
        <w:tc>
          <w:tcPr>
            <w:tcW w:w="8008" w:type="dxa"/>
            <w:gridSpan w:val="4"/>
            <w:tcBorders>
              <w:right w:val="single" w:color="000000" w:sz="4" w:space="0"/>
            </w:tcBorders>
            <w:vAlign w:val="top"/>
          </w:tcPr>
          <w:p w14:paraId="4AD4C436">
            <w:pPr>
              <w:spacing w:line="58" w:lineRule="exact"/>
              <w:ind w:firstLine="7968"/>
            </w:pPr>
            <w:r>
              <w:rPr>
                <w:position w:val="-1"/>
              </w:rPr>
              <w:pict>
                <v:group id="_x0000_s1482" o:spid="_x0000_s1482" o:spt="203" style="height:3.4pt;width:1.45pt;" coordsize="29,68">
                  <o:lock v:ext="edit"/>
                  <v:shape id="_x0000_s1483" o:spid="_x0000_s1483" style="position:absolute;left:14;top:0;height:68;width:15;" fillcolor="#20507B" filled="t" stroked="f" coordsize="15,68" path="m0,67l14,67,14,0,0,0,0,67xe">
                    <v:path/>
                    <v:fill on="t" focussize="0,0"/>
                    <v:stroke on="f"/>
                    <v:imagedata o:title=""/>
                    <o:lock v:ext="edit"/>
                  </v:shape>
                  <v:shape id="_x0000_s1484" o:spid="_x0000_s1484" style="position:absolute;left:0;top:0;height:68;width:15;" fillcolor="#1C456A" filled="t" stroked="f" coordsize="15,68" path="m0,67l14,67,14,0,0,0,0,67xe">
                    <v:path/>
                    <v:fill on="t" focussize="0,0"/>
                    <v:stroke on="f"/>
                    <v:imagedata o:title=""/>
                    <o:lock v:ext="edit"/>
                  </v:shape>
                  <w10:wrap type="none"/>
                  <w10:anchorlock/>
                </v:group>
              </w:pict>
            </w:r>
          </w:p>
          <w:p w14:paraId="58D13975">
            <w:pPr>
              <w:spacing w:line="278" w:lineRule="auto"/>
              <w:rPr>
                <w:rFonts w:ascii="Arial"/>
                <w:sz w:val="21"/>
              </w:rPr>
            </w:pPr>
          </w:p>
          <w:p w14:paraId="3F2E30A3">
            <w:pPr>
              <w:pStyle w:val="7"/>
              <w:spacing w:before="78" w:line="215" w:lineRule="auto"/>
              <w:ind w:left="66"/>
            </w:pPr>
            <w:r>
              <w:rPr>
                <w:spacing w:val="-20"/>
              </w:rPr>
              <w:t>在管道安装完毕后，按图集要求在管道两侧分层回填砂砾石。砂砾石以上</w:t>
            </w:r>
            <w:r>
              <w:rPr>
                <w:spacing w:val="-21"/>
              </w:rPr>
              <w:t>采用6%灰</w:t>
            </w:r>
          </w:p>
          <w:p w14:paraId="59910F7E">
            <w:pPr>
              <w:pStyle w:val="7"/>
              <w:spacing w:before="187" w:line="217" w:lineRule="auto"/>
              <w:ind w:left="84"/>
            </w:pPr>
            <w:r>
              <w:rPr>
                <w:spacing w:val="-19"/>
              </w:rPr>
              <w:t>土回填至设计标高。管顶以上500mm内不得回填大于100mm的石块、砖块等杂物，</w:t>
            </w:r>
          </w:p>
          <w:p w14:paraId="707DFF24">
            <w:pPr>
              <w:pStyle w:val="7"/>
              <w:spacing w:before="184" w:line="216" w:lineRule="auto"/>
              <w:ind w:left="302"/>
            </w:pPr>
            <w:r>
              <w:rPr>
                <w:spacing w:val="-21"/>
              </w:rPr>
              <w:t>并用小型夯实机或小型压路机分层压实，尤其注意对</w:t>
            </w:r>
            <w:r>
              <w:rPr>
                <w:spacing w:val="-22"/>
              </w:rPr>
              <w:t>管沟侧腔和井周边的压实</w:t>
            </w:r>
          </w:p>
        </w:tc>
      </w:tr>
      <w:tr w14:paraId="3CC829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27" w:hRule="atLeast"/>
        </w:trPr>
        <w:tc>
          <w:tcPr>
            <w:tcW w:w="882" w:type="dxa"/>
            <w:gridSpan w:val="2"/>
            <w:tcBorders>
              <w:left w:val="single" w:color="000000" w:sz="4" w:space="0"/>
            </w:tcBorders>
            <w:vAlign w:val="top"/>
          </w:tcPr>
          <w:p w14:paraId="1FA2C705">
            <w:pPr>
              <w:spacing w:line="339" w:lineRule="auto"/>
              <w:rPr>
                <w:rFonts w:ascii="Arial"/>
                <w:sz w:val="21"/>
              </w:rPr>
            </w:pPr>
          </w:p>
          <w:p w14:paraId="062275B4">
            <w:pPr>
              <w:pStyle w:val="7"/>
              <w:spacing w:before="78" w:line="238" w:lineRule="auto"/>
              <w:ind w:left="397"/>
            </w:pPr>
            <w:r>
              <w:t>2</w:t>
            </w:r>
          </w:p>
        </w:tc>
        <w:tc>
          <w:tcPr>
            <w:tcW w:w="7868" w:type="dxa"/>
            <w:gridSpan w:val="2"/>
            <w:tcBorders>
              <w:right w:val="nil"/>
            </w:tcBorders>
            <w:vAlign w:val="top"/>
          </w:tcPr>
          <w:p w14:paraId="06320B55">
            <w:pPr>
              <w:pStyle w:val="7"/>
              <w:spacing w:before="186" w:line="217" w:lineRule="auto"/>
              <w:jc w:val="right"/>
            </w:pPr>
            <w:r>
              <w:rPr>
                <w:spacing w:val="-24"/>
              </w:rPr>
              <w:t>沟槽回填的顺序应按沟槽排水方向由高向低分层进行，沟槽两侧应同时回填夯实，</w:t>
            </w:r>
          </w:p>
          <w:p w14:paraId="31227CDA">
            <w:pPr>
              <w:pStyle w:val="7"/>
              <w:spacing w:before="184" w:line="217" w:lineRule="auto"/>
              <w:ind w:left="3258"/>
            </w:pPr>
            <w:r>
              <w:rPr>
                <w:spacing w:val="-21"/>
              </w:rPr>
              <w:t>防止管道位移。</w:t>
            </w:r>
          </w:p>
        </w:tc>
        <w:tc>
          <w:tcPr>
            <w:tcW w:w="140" w:type="dxa"/>
            <w:gridSpan w:val="2"/>
            <w:tcBorders>
              <w:left w:val="nil"/>
              <w:right w:val="single" w:color="000000" w:sz="4" w:space="0"/>
            </w:tcBorders>
            <w:vAlign w:val="top"/>
          </w:tcPr>
          <w:p w14:paraId="062703F1">
            <w:pPr>
              <w:spacing w:line="61" w:lineRule="exact"/>
              <w:ind w:firstLine="102"/>
            </w:pPr>
            <w:r>
              <w:rPr>
                <w:position w:val="-1"/>
              </w:rPr>
              <w:pict>
                <v:group id="_x0000_s1485" o:spid="_x0000_s1485" o:spt="203" style="height:3.4pt;width:1.45pt;" coordsize="29,68">
                  <o:lock v:ext="edit"/>
                  <v:shape id="_x0000_s1486" o:spid="_x0000_s1486" style="position:absolute;left:14;top:0;height:68;width:15;" fillcolor="#20507B" filled="t" stroked="f" coordsize="15,68" path="m0,67l14,67,14,0,0,0,0,67xe">
                    <v:path/>
                    <v:fill on="t" focussize="0,0"/>
                    <v:stroke on="f"/>
                    <v:imagedata o:title=""/>
                    <o:lock v:ext="edit"/>
                  </v:shape>
                  <v:shape id="_x0000_s1487" o:spid="_x0000_s1487" style="position:absolute;left:0;top:0;height:68;width:15;" fillcolor="#1C456A" filled="t" stroked="f" coordsize="15,68" path="m0,67l14,67,14,0,0,0,0,67xe">
                    <v:path/>
                    <v:fill on="t" focussize="0,0"/>
                    <v:stroke on="f"/>
                    <v:imagedata o:title=""/>
                    <o:lock v:ext="edit"/>
                  </v:shape>
                  <w10:wrap type="none"/>
                  <w10:anchorlock/>
                </v:group>
              </w:pict>
            </w:r>
          </w:p>
        </w:tc>
      </w:tr>
      <w:tr w14:paraId="559881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83" w:hRule="atLeast"/>
        </w:trPr>
        <w:tc>
          <w:tcPr>
            <w:tcW w:w="882" w:type="dxa"/>
            <w:gridSpan w:val="2"/>
            <w:tcBorders>
              <w:left w:val="single" w:color="000000" w:sz="4" w:space="0"/>
            </w:tcBorders>
            <w:vAlign w:val="top"/>
          </w:tcPr>
          <w:p w14:paraId="6B3D33A6">
            <w:pPr>
              <w:spacing w:line="357" w:lineRule="auto"/>
              <w:rPr>
                <w:rFonts w:ascii="Arial"/>
                <w:sz w:val="21"/>
              </w:rPr>
            </w:pPr>
          </w:p>
          <w:p w14:paraId="5DFEEE7E">
            <w:pPr>
              <w:spacing w:line="358" w:lineRule="auto"/>
              <w:rPr>
                <w:rFonts w:ascii="Arial"/>
                <w:sz w:val="21"/>
              </w:rPr>
            </w:pPr>
          </w:p>
          <w:p w14:paraId="59C55148">
            <w:pPr>
              <w:pStyle w:val="7"/>
              <w:spacing w:before="78" w:line="237" w:lineRule="auto"/>
              <w:ind w:left="399"/>
            </w:pPr>
            <w:r>
              <w:t>3</w:t>
            </w:r>
          </w:p>
        </w:tc>
        <w:tc>
          <w:tcPr>
            <w:tcW w:w="8008" w:type="dxa"/>
            <w:gridSpan w:val="4"/>
            <w:tcBorders>
              <w:right w:val="single" w:color="000000" w:sz="4" w:space="0"/>
            </w:tcBorders>
            <w:vAlign w:val="top"/>
          </w:tcPr>
          <w:p w14:paraId="64D0C55F">
            <w:pPr>
              <w:spacing w:line="63" w:lineRule="exact"/>
              <w:ind w:right="3"/>
              <w:jc w:val="right"/>
            </w:pPr>
            <w:r>
              <w:rPr>
                <w:position w:val="-1"/>
              </w:rPr>
              <w:drawing>
                <wp:inline distT="0" distB="0" distL="0" distR="0">
                  <wp:extent cx="17780" cy="40005"/>
                  <wp:effectExtent l="0" t="0" r="0" b="0"/>
                  <wp:docPr id="332" name="IM 332"/>
                  <wp:cNvGraphicFramePr/>
                  <a:graphic xmlns:a="http://schemas.openxmlformats.org/drawingml/2006/main">
                    <a:graphicData uri="http://schemas.openxmlformats.org/drawingml/2006/picture">
                      <pic:pic xmlns:pic="http://schemas.openxmlformats.org/drawingml/2006/picture">
                        <pic:nvPicPr>
                          <pic:cNvPr id="332" name="IM 332"/>
                          <pic:cNvPicPr/>
                        </pic:nvPicPr>
                        <pic:blipFill>
                          <a:blip r:embed="rId490"/>
                          <a:stretch>
                            <a:fillRect/>
                          </a:stretch>
                        </pic:blipFill>
                        <pic:spPr>
                          <a:xfrm>
                            <a:off x="0" y="0"/>
                            <a:ext cx="18287" cy="40258"/>
                          </a:xfrm>
                          <a:prstGeom prst="rect">
                            <a:avLst/>
                          </a:prstGeom>
                        </pic:spPr>
                      </pic:pic>
                    </a:graphicData>
                  </a:graphic>
                </wp:inline>
              </w:drawing>
            </w:r>
          </w:p>
          <w:p w14:paraId="19AC635A">
            <w:pPr>
              <w:pStyle w:val="7"/>
              <w:spacing w:before="35" w:line="217" w:lineRule="auto"/>
              <w:ind w:left="94"/>
            </w:pPr>
            <w:r>
              <w:rPr>
                <w:spacing w:val="-22"/>
              </w:rPr>
              <w:t>管沟填土施工必须同步进行，严禁单侧回填，两侧填土填筑高差，不应超过一个土</w:t>
            </w:r>
          </w:p>
          <w:p w14:paraId="46C95037">
            <w:pPr>
              <w:pStyle w:val="7"/>
              <w:spacing w:before="183" w:line="216" w:lineRule="auto"/>
              <w:ind w:left="83"/>
            </w:pPr>
            <w:r>
              <w:rPr>
                <w:spacing w:val="-21"/>
              </w:rPr>
              <w:t>层厚度；填土应分层夯实，每层的虚铺厚度按设计要求，如</w:t>
            </w:r>
            <w:r>
              <w:rPr>
                <w:spacing w:val="-22"/>
              </w:rPr>
              <w:t>设计未作规定可按下述</w:t>
            </w:r>
          </w:p>
          <w:p w14:paraId="43423A54">
            <w:pPr>
              <w:pStyle w:val="7"/>
              <w:spacing w:before="186" w:line="217" w:lineRule="auto"/>
              <w:ind w:left="107"/>
            </w:pPr>
            <w:r>
              <w:rPr>
                <w:spacing w:val="-18"/>
              </w:rPr>
              <w:t>规定执行：用动力打夯机械，虚铺厚度不大于心不甘</w:t>
            </w:r>
            <w:r>
              <w:rPr>
                <w:spacing w:val="-19"/>
              </w:rPr>
              <w:t>300mm；用人工夯实，虚铺厚</w:t>
            </w:r>
          </w:p>
          <w:p w14:paraId="27A1E0D6">
            <w:pPr>
              <w:pStyle w:val="7"/>
              <w:spacing w:before="184" w:line="217" w:lineRule="auto"/>
              <w:ind w:left="1416"/>
            </w:pPr>
            <w:r>
              <w:rPr>
                <w:spacing w:val="-17"/>
              </w:rPr>
              <w:t>度不大于200mm。管节处局部加深槽坑，应仔细夯实。</w:t>
            </w:r>
          </w:p>
        </w:tc>
      </w:tr>
      <w:tr w14:paraId="35CE68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7" w:hRule="atLeast"/>
        </w:trPr>
        <w:tc>
          <w:tcPr>
            <w:tcW w:w="882" w:type="dxa"/>
            <w:gridSpan w:val="2"/>
            <w:tcBorders>
              <w:left w:val="single" w:color="000000" w:sz="4" w:space="0"/>
            </w:tcBorders>
            <w:vAlign w:val="top"/>
          </w:tcPr>
          <w:p w14:paraId="5CA8DF82">
            <w:pPr>
              <w:pStyle w:val="7"/>
              <w:spacing w:before="102" w:line="238" w:lineRule="auto"/>
              <w:ind w:left="393"/>
            </w:pPr>
            <w:r>
              <w:t>4</w:t>
            </w:r>
          </w:p>
        </w:tc>
        <w:tc>
          <w:tcPr>
            <w:tcW w:w="7868" w:type="dxa"/>
            <w:gridSpan w:val="2"/>
            <w:tcBorders>
              <w:right w:val="nil"/>
            </w:tcBorders>
            <w:vAlign w:val="top"/>
          </w:tcPr>
          <w:p w14:paraId="61697C12">
            <w:pPr>
              <w:pStyle w:val="7"/>
              <w:spacing w:before="101" w:line="217" w:lineRule="auto"/>
              <w:ind w:left="1513"/>
            </w:pPr>
            <w:r>
              <w:rPr>
                <w:spacing w:val="-22"/>
              </w:rPr>
              <w:t>管腋部填土必须塞严、捣实，保持与管道紧密接触。</w:t>
            </w:r>
          </w:p>
        </w:tc>
        <w:tc>
          <w:tcPr>
            <w:tcW w:w="140" w:type="dxa"/>
            <w:gridSpan w:val="2"/>
            <w:tcBorders>
              <w:left w:val="nil"/>
              <w:right w:val="single" w:color="000000" w:sz="4" w:space="0"/>
            </w:tcBorders>
            <w:vAlign w:val="top"/>
          </w:tcPr>
          <w:p w14:paraId="774A0AA7">
            <w:pPr>
              <w:spacing w:line="65" w:lineRule="exact"/>
              <w:ind w:firstLine="102"/>
            </w:pPr>
            <w:r>
              <w:rPr>
                <w:position w:val="-1"/>
              </w:rPr>
              <w:pict>
                <v:group id="_x0000_s1488" o:spid="_x0000_s1488" o:spt="203" style="height:3.4pt;width:1.45pt;" coordsize="29,68">
                  <o:lock v:ext="edit"/>
                  <v:shape id="_x0000_s1489" o:spid="_x0000_s1489" style="position:absolute;left:14;top:0;height:68;width:15;" fillcolor="#20507B" filled="t" stroked="f" coordsize="15,68" path="m0,67l14,67,14,0,0,0,0,67xe">
                    <v:path/>
                    <v:fill on="t" focussize="0,0"/>
                    <v:stroke on="f"/>
                    <v:imagedata o:title=""/>
                    <o:lock v:ext="edit"/>
                  </v:shape>
                  <v:shape id="_x0000_s1490" o:spid="_x0000_s1490" style="position:absolute;left:0;top:0;height:68;width:15;" fillcolor="#1C456A" filled="t" stroked="f" coordsize="15,68" path="m0,67l14,67,14,0,0,0,0,67xe">
                    <v:path/>
                    <v:fill on="t" focussize="0,0"/>
                    <v:stroke on="f"/>
                    <v:imagedata o:title=""/>
                    <o:lock v:ext="edit"/>
                  </v:shape>
                  <w10:wrap type="none"/>
                  <w10:anchorlock/>
                </v:group>
              </w:pict>
            </w:r>
          </w:p>
        </w:tc>
      </w:tr>
      <w:tr w14:paraId="7C014E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1225" w:hRule="atLeast"/>
        </w:trPr>
        <w:tc>
          <w:tcPr>
            <w:tcW w:w="882" w:type="dxa"/>
            <w:gridSpan w:val="2"/>
            <w:tcBorders>
              <w:left w:val="single" w:color="000000" w:sz="4" w:space="0"/>
            </w:tcBorders>
            <w:vAlign w:val="top"/>
          </w:tcPr>
          <w:p w14:paraId="68186D7D">
            <w:pPr>
              <w:spacing w:line="341" w:lineRule="auto"/>
              <w:rPr>
                <w:rFonts w:ascii="Arial"/>
                <w:sz w:val="21"/>
              </w:rPr>
            </w:pPr>
          </w:p>
          <w:p w14:paraId="70D3A428">
            <w:pPr>
              <w:pStyle w:val="7"/>
              <w:spacing w:before="78" w:line="237" w:lineRule="auto"/>
              <w:ind w:left="399"/>
            </w:pPr>
            <w:r>
              <w:t>5</w:t>
            </w:r>
          </w:p>
        </w:tc>
        <w:tc>
          <w:tcPr>
            <w:tcW w:w="7952" w:type="dxa"/>
            <w:gridSpan w:val="3"/>
            <w:tcBorders>
              <w:right w:val="nil"/>
            </w:tcBorders>
            <w:vAlign w:val="top"/>
          </w:tcPr>
          <w:p w14:paraId="3D4F6301">
            <w:pPr>
              <w:pStyle w:val="7"/>
              <w:spacing w:before="188" w:line="216" w:lineRule="auto"/>
              <w:jc w:val="right"/>
            </w:pPr>
            <w:r>
              <w:rPr>
                <w:spacing w:val="-22"/>
              </w:rPr>
              <w:t>管道的管顶部分填土施工应采用人工夯打或轻型机械压实。严禁</w:t>
            </w:r>
            <w:r>
              <w:rPr>
                <w:spacing w:val="-23"/>
              </w:rPr>
              <w:t>压实机具直接作用</w:t>
            </w:r>
          </w:p>
          <w:p w14:paraId="3C1ECA1B">
            <w:pPr>
              <w:pStyle w:val="7"/>
              <w:spacing w:before="185" w:line="215" w:lineRule="auto"/>
              <w:ind w:left="3463"/>
            </w:pPr>
            <w:r>
              <w:rPr>
                <w:spacing w:val="-17"/>
              </w:rPr>
              <w:t>在管道上。</w:t>
            </w:r>
          </w:p>
        </w:tc>
        <w:tc>
          <w:tcPr>
            <w:tcW w:w="56" w:type="dxa"/>
            <w:tcBorders>
              <w:left w:val="nil"/>
              <w:right w:val="single" w:color="000000" w:sz="4" w:space="0"/>
            </w:tcBorders>
            <w:vAlign w:val="top"/>
          </w:tcPr>
          <w:p w14:paraId="4F787662">
            <w:pPr>
              <w:spacing w:line="66" w:lineRule="exact"/>
              <w:ind w:firstLine="18"/>
            </w:pPr>
            <w:r>
              <w:rPr>
                <w:position w:val="-1"/>
              </w:rPr>
              <w:pict>
                <v:group id="_x0000_s1491" o:spid="_x0000_s1491" o:spt="203" style="height:3.4pt;width:1.45pt;" coordsize="29,68">
                  <o:lock v:ext="edit"/>
                  <v:shape id="_x0000_s1492" o:spid="_x0000_s1492" style="position:absolute;left:14;top:0;height:68;width:15;" fillcolor="#20507B" filled="t" stroked="f" coordsize="15,68" path="m0,67l14,67,14,0,0,0,0,67xe">
                    <v:path/>
                    <v:fill on="t" focussize="0,0"/>
                    <v:stroke on="f"/>
                    <v:imagedata o:title=""/>
                    <o:lock v:ext="edit"/>
                  </v:shape>
                  <v:shape id="_x0000_s1493" o:spid="_x0000_s1493" style="position:absolute;left:0;top:0;height:68;width:15;" fillcolor="#1C456A" filled="t" stroked="f" coordsize="15,68" path="m0,67l14,67,14,0,0,0,0,67xe">
                    <v:path/>
                    <v:fill on="t" focussize="0,0"/>
                    <v:stroke on="f"/>
                    <v:imagedata o:title=""/>
                    <o:lock v:ext="edit"/>
                  </v:shape>
                  <w10:wrap type="none"/>
                  <w10:anchorlock/>
                </v:group>
              </w:pict>
            </w:r>
          </w:p>
        </w:tc>
      </w:tr>
      <w:tr w14:paraId="4E3368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9" w:hRule="atLeast"/>
        </w:trPr>
        <w:tc>
          <w:tcPr>
            <w:tcW w:w="224" w:type="dxa"/>
            <w:tcBorders>
              <w:left w:val="single" w:color="1C456A" w:sz="4" w:space="0"/>
              <w:bottom w:val="single" w:color="1C456A" w:sz="4" w:space="0"/>
              <w:right w:val="nil"/>
            </w:tcBorders>
            <w:vAlign w:val="top"/>
          </w:tcPr>
          <w:p w14:paraId="610C1E4E">
            <w:pPr>
              <w:rPr>
                <w:rFonts w:ascii="Arial"/>
                <w:sz w:val="21"/>
              </w:rPr>
            </w:pPr>
            <w:r>
              <w:pict>
                <v:shape id="_x0000_s1494" o:spid="_x0000_s1494" style="position:absolute;left:0pt;margin-left:-0.25pt;margin-top:33.5pt;height:0.75pt;width:2.2pt;mso-position-horizontal-relative:page;mso-position-vertical-relative:page;z-index:251736064;mso-width-relative:page;mso-height-relative:page;" fillcolor="#5B9BD5" filled="t" stroked="f" coordsize="44,15" path="m0,14l43,14,43,0,0,0,0,14xe">
                  <v:path/>
                  <v:fill on="t" focussize="0,0"/>
                  <v:stroke on="f"/>
                  <v:imagedata o:title=""/>
                  <o:lock v:ext="edit"/>
                </v:shape>
              </w:pict>
            </w:r>
          </w:p>
        </w:tc>
        <w:tc>
          <w:tcPr>
            <w:tcW w:w="658" w:type="dxa"/>
            <w:tcBorders>
              <w:left w:val="nil"/>
              <w:bottom w:val="single" w:color="1C456A" w:sz="4" w:space="0"/>
            </w:tcBorders>
            <w:vAlign w:val="top"/>
          </w:tcPr>
          <w:p w14:paraId="13404A03">
            <w:pPr>
              <w:pStyle w:val="7"/>
              <w:spacing w:before="125" w:line="237" w:lineRule="auto"/>
              <w:ind w:left="177"/>
            </w:pPr>
            <w:r>
              <w:t>6</w:t>
            </w:r>
          </w:p>
        </w:tc>
        <w:tc>
          <w:tcPr>
            <w:tcW w:w="7868" w:type="dxa"/>
            <w:gridSpan w:val="2"/>
            <w:tcBorders>
              <w:bottom w:val="single" w:color="5B9BD5" w:sz="4" w:space="0"/>
              <w:right w:val="nil"/>
            </w:tcBorders>
            <w:vAlign w:val="top"/>
          </w:tcPr>
          <w:p w14:paraId="7165DCFD">
            <w:pPr>
              <w:pStyle w:val="7"/>
              <w:spacing w:before="125" w:line="215" w:lineRule="auto"/>
              <w:ind w:left="1276"/>
            </w:pPr>
            <w:r>
              <w:rPr>
                <w:spacing w:val="-21"/>
              </w:rPr>
              <w:t>填土的施工含水量应控制在最优含水量的±3%的范围内。</w:t>
            </w:r>
          </w:p>
        </w:tc>
        <w:tc>
          <w:tcPr>
            <w:tcW w:w="140" w:type="dxa"/>
            <w:gridSpan w:val="2"/>
            <w:tcBorders>
              <w:left w:val="nil"/>
              <w:bottom w:val="single" w:color="5B9BD5" w:sz="4" w:space="0"/>
              <w:right w:val="single" w:color="5B9BD5" w:sz="4" w:space="0"/>
            </w:tcBorders>
            <w:vAlign w:val="top"/>
          </w:tcPr>
          <w:p w14:paraId="77925413">
            <w:pPr>
              <w:spacing w:line="67" w:lineRule="exact"/>
              <w:ind w:firstLine="102"/>
            </w:pPr>
            <w:r>
              <w:pict>
                <v:shape id="_x0000_s1024" o:spid="_x0000_s1024" style="position:absolute;left:0pt;margin-left:5.15pt;margin-top:33.5pt;height:0.75pt;width:2.2pt;mso-position-horizontal-relative:page;mso-position-vertical-relative:page;z-index:251739136;mso-width-relative:page;mso-height-relative:page;" fillcolor="#5B9BD5" filled="t" stroked="f" coordsize="44,15" path="m0,14l43,14,43,0,0,0,0,14xe">
                  <v:path/>
                  <v:fill on="t" focussize="0,0"/>
                  <v:stroke on="f"/>
                  <v:imagedata o:title=""/>
                  <o:lock v:ext="edit"/>
                </v:shape>
              </w:pict>
            </w:r>
            <w:r>
              <w:rPr>
                <w:position w:val="-1"/>
              </w:rPr>
              <w:pict>
                <v:group id="_x0000_s1495" o:spid="_x0000_s1495" o:spt="203" style="height:3.4pt;width:1.45pt;" coordsize="29,68">
                  <o:lock v:ext="edit"/>
                  <v:shape id="_x0000_s1496" o:spid="_x0000_s1496" style="position:absolute;left:14;top:0;height:68;width:15;" fillcolor="#20507B" filled="t" stroked="f" coordsize="15,68" path="m0,67l14,67,14,0,0,0,0,67xe">
                    <v:path/>
                    <v:fill on="t" focussize="0,0"/>
                    <v:stroke on="f"/>
                    <v:imagedata o:title=""/>
                    <o:lock v:ext="edit"/>
                  </v:shape>
                  <v:shape id="_x0000_s1497" o:spid="_x0000_s1497" style="position:absolute;left:0;top:0;height:68;width:15;" fillcolor="#1C456A" filled="t" stroked="f" coordsize="15,68" path="m0,67l14,67,14,0,0,0,0,67xe">
                    <v:path/>
                    <v:fill on="t" focussize="0,0"/>
                    <v:stroke on="f"/>
                    <v:imagedata o:title=""/>
                    <o:lock v:ext="edit"/>
                  </v:shape>
                  <w10:wrap type="none"/>
                  <w10:anchorlock/>
                </v:group>
              </w:pict>
            </w:r>
          </w:p>
        </w:tc>
      </w:tr>
    </w:tbl>
    <w:p w14:paraId="7067FD2E">
      <w:pPr>
        <w:rPr>
          <w:rFonts w:ascii="Arial"/>
          <w:sz w:val="21"/>
        </w:rPr>
      </w:pPr>
    </w:p>
    <w:p w14:paraId="191CBA77">
      <w:pPr>
        <w:spacing w:line="214" w:lineRule="exact"/>
      </w:pPr>
    </w:p>
    <w:tbl>
      <w:tblPr>
        <w:tblStyle w:val="6"/>
        <w:tblW w:w="8890" w:type="dxa"/>
        <w:tblInd w:w="150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24"/>
        <w:gridCol w:w="655"/>
        <w:gridCol w:w="7770"/>
        <w:gridCol w:w="241"/>
      </w:tblGrid>
      <w:tr w14:paraId="36F12C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1" w:hRule="atLeast"/>
        </w:trPr>
        <w:tc>
          <w:tcPr>
            <w:tcW w:w="879" w:type="dxa"/>
            <w:gridSpan w:val="2"/>
            <w:tcBorders>
              <w:top w:val="single" w:color="000000" w:sz="4" w:space="0"/>
              <w:left w:val="single" w:color="000000" w:sz="4" w:space="0"/>
            </w:tcBorders>
            <w:vAlign w:val="top"/>
          </w:tcPr>
          <w:p w14:paraId="48F3337A">
            <w:pPr>
              <w:pStyle w:val="7"/>
              <w:spacing w:before="129" w:line="237" w:lineRule="auto"/>
              <w:ind w:left="400"/>
            </w:pPr>
            <w:r>
              <w:t>7</w:t>
            </w:r>
          </w:p>
        </w:tc>
        <w:tc>
          <w:tcPr>
            <w:tcW w:w="8011" w:type="dxa"/>
            <w:gridSpan w:val="2"/>
            <w:tcBorders>
              <w:top w:val="single" w:color="5B9BD5" w:sz="4" w:space="0"/>
              <w:right w:val="single" w:color="5B9BD5" w:sz="4" w:space="0"/>
            </w:tcBorders>
            <w:vAlign w:val="top"/>
          </w:tcPr>
          <w:p w14:paraId="7DB774E2">
            <w:pPr>
              <w:pStyle w:val="7"/>
              <w:spacing w:before="129" w:line="218" w:lineRule="auto"/>
              <w:ind w:left="1297"/>
            </w:pPr>
            <w:r>
              <w:rPr>
                <w:spacing w:val="-23"/>
              </w:rPr>
              <w:t>管区上部的填土，筑路时，应按道路要求的密实度施工。</w:t>
            </w:r>
          </w:p>
        </w:tc>
      </w:tr>
      <w:tr w14:paraId="795F5D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24" w:hRule="atLeast"/>
        </w:trPr>
        <w:tc>
          <w:tcPr>
            <w:tcW w:w="879" w:type="dxa"/>
            <w:gridSpan w:val="2"/>
            <w:tcBorders>
              <w:left w:val="single" w:color="000000" w:sz="4" w:space="0"/>
            </w:tcBorders>
            <w:vAlign w:val="top"/>
          </w:tcPr>
          <w:p w14:paraId="289803C8">
            <w:pPr>
              <w:spacing w:line="335" w:lineRule="auto"/>
              <w:rPr>
                <w:rFonts w:ascii="Arial"/>
                <w:sz w:val="21"/>
              </w:rPr>
            </w:pPr>
          </w:p>
          <w:p w14:paraId="5CE2FC19">
            <w:pPr>
              <w:pStyle w:val="7"/>
              <w:spacing w:before="78" w:line="237" w:lineRule="auto"/>
              <w:ind w:left="395"/>
            </w:pPr>
            <w:r>
              <w:t>8</w:t>
            </w:r>
          </w:p>
        </w:tc>
        <w:tc>
          <w:tcPr>
            <w:tcW w:w="7770" w:type="dxa"/>
            <w:tcBorders>
              <w:right w:val="nil"/>
            </w:tcBorders>
            <w:vAlign w:val="top"/>
          </w:tcPr>
          <w:p w14:paraId="773A900E">
            <w:pPr>
              <w:spacing w:line="335" w:lineRule="auto"/>
              <w:rPr>
                <w:rFonts w:ascii="Arial"/>
                <w:sz w:val="21"/>
              </w:rPr>
            </w:pPr>
          </w:p>
          <w:p w14:paraId="4992791B">
            <w:pPr>
              <w:pStyle w:val="7"/>
              <w:spacing w:before="78" w:line="217" w:lineRule="auto"/>
              <w:ind w:left="440"/>
            </w:pPr>
            <w:r>
              <w:rPr>
                <w:spacing w:val="-19"/>
              </w:rPr>
              <w:t>使用碾压设备的适宜管顶填土厚度应经过荷载计算决定，且不应小于500mm</w:t>
            </w:r>
          </w:p>
        </w:tc>
        <w:tc>
          <w:tcPr>
            <w:tcW w:w="241" w:type="dxa"/>
            <w:tcBorders>
              <w:left w:val="nil"/>
              <w:right w:val="single" w:color="000000" w:sz="4" w:space="0"/>
            </w:tcBorders>
            <w:vAlign w:val="top"/>
          </w:tcPr>
          <w:p w14:paraId="3FA11D75">
            <w:pPr>
              <w:spacing w:line="57" w:lineRule="exact"/>
              <w:ind w:firstLine="203"/>
            </w:pPr>
            <w:r>
              <w:rPr>
                <w:position w:val="-1"/>
              </w:rPr>
              <w:pict>
                <v:group id="_x0000_s1498" o:spid="_x0000_s1498" o:spt="203" style="height:3.4pt;width:1.45pt;" coordsize="29,68">
                  <o:lock v:ext="edit"/>
                  <v:shape id="_x0000_s1499" o:spid="_x0000_s1499" style="position:absolute;left:14;top:0;height:68;width:15;" fillcolor="#20507B" filled="t" stroked="f" coordsize="15,68" path="m0,67l14,67,14,0,0,0,0,67xe">
                    <v:path/>
                    <v:fill on="t" focussize="0,0"/>
                    <v:stroke on="f"/>
                    <v:imagedata o:title=""/>
                    <o:lock v:ext="edit"/>
                  </v:shape>
                  <v:shape id="_x0000_s1500" o:spid="_x0000_s1500" style="position:absolute;left:0;top:0;height:68;width:15;" fillcolor="#1C456A" filled="t" stroked="f" coordsize="15,68" path="m0,67l14,67,14,0,0,0,0,67xe">
                    <v:path/>
                    <v:fill on="t" focussize="0,0"/>
                    <v:stroke on="f"/>
                    <v:imagedata o:title=""/>
                    <o:lock v:ext="edit"/>
                  </v:shape>
                  <w10:wrap type="none"/>
                  <w10:anchorlock/>
                </v:group>
              </w:pict>
            </w:r>
          </w:p>
        </w:tc>
      </w:tr>
      <w:tr w14:paraId="196DFC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17" w:hRule="atLeast"/>
        </w:trPr>
        <w:tc>
          <w:tcPr>
            <w:tcW w:w="224" w:type="dxa"/>
            <w:vMerge w:val="restart"/>
            <w:tcBorders>
              <w:left w:val="single" w:color="1C456A" w:sz="4" w:space="0"/>
              <w:bottom w:val="nil"/>
              <w:right w:val="nil"/>
            </w:tcBorders>
            <w:vAlign w:val="top"/>
          </w:tcPr>
          <w:p w14:paraId="175F7700">
            <w:pPr>
              <w:rPr>
                <w:rFonts w:ascii="Arial"/>
                <w:sz w:val="21"/>
              </w:rPr>
            </w:pPr>
            <w:r>
              <w:pict>
                <v:shape id="_x0000_s1501" o:spid="_x0000_s1501" style="position:absolute;left:0pt;margin-left:-0.25pt;margin-top:282.4pt;height:0.75pt;width:2.2pt;mso-position-horizontal-relative:page;mso-position-vertical-relative:page;z-index:251741184;mso-width-relative:page;mso-height-relative:page;" fillcolor="#5B9BD5" filled="t" stroked="f" coordsize="44,15" path="m0,14l43,14,43,0,0,0,0,14xe">
                  <v:path/>
                  <v:fill on="t" focussize="0,0"/>
                  <v:stroke on="f"/>
                  <v:imagedata o:title=""/>
                  <o:lock v:ext="edit"/>
                </v:shape>
              </w:pict>
            </w:r>
          </w:p>
        </w:tc>
        <w:tc>
          <w:tcPr>
            <w:tcW w:w="655" w:type="dxa"/>
            <w:vMerge w:val="restart"/>
            <w:tcBorders>
              <w:left w:val="nil"/>
              <w:bottom w:val="nil"/>
            </w:tcBorders>
            <w:vAlign w:val="top"/>
          </w:tcPr>
          <w:p w14:paraId="09E0C8A8">
            <w:pPr>
              <w:spacing w:line="251" w:lineRule="auto"/>
              <w:rPr>
                <w:rFonts w:ascii="Arial"/>
                <w:sz w:val="21"/>
              </w:rPr>
            </w:pPr>
          </w:p>
          <w:p w14:paraId="0399ED2E">
            <w:pPr>
              <w:spacing w:line="251" w:lineRule="auto"/>
              <w:rPr>
                <w:rFonts w:ascii="Arial"/>
                <w:sz w:val="21"/>
              </w:rPr>
            </w:pPr>
          </w:p>
          <w:p w14:paraId="224BFC93">
            <w:pPr>
              <w:spacing w:line="252" w:lineRule="auto"/>
              <w:rPr>
                <w:rFonts w:ascii="Arial"/>
                <w:sz w:val="21"/>
              </w:rPr>
            </w:pPr>
          </w:p>
          <w:p w14:paraId="7B0A7C0D">
            <w:pPr>
              <w:spacing w:line="252" w:lineRule="auto"/>
              <w:rPr>
                <w:rFonts w:ascii="Arial"/>
                <w:sz w:val="21"/>
              </w:rPr>
            </w:pPr>
          </w:p>
          <w:p w14:paraId="65A2EE0B">
            <w:pPr>
              <w:spacing w:line="252" w:lineRule="auto"/>
              <w:rPr>
                <w:rFonts w:ascii="Arial"/>
                <w:sz w:val="21"/>
              </w:rPr>
            </w:pPr>
          </w:p>
          <w:p w14:paraId="265BF6D9">
            <w:pPr>
              <w:spacing w:line="252" w:lineRule="auto"/>
              <w:rPr>
                <w:rFonts w:ascii="Arial"/>
                <w:sz w:val="21"/>
              </w:rPr>
            </w:pPr>
          </w:p>
          <w:p w14:paraId="41E68131">
            <w:pPr>
              <w:spacing w:line="252" w:lineRule="auto"/>
              <w:rPr>
                <w:rFonts w:ascii="Arial"/>
                <w:sz w:val="21"/>
              </w:rPr>
            </w:pPr>
          </w:p>
          <w:p w14:paraId="7F20F772">
            <w:pPr>
              <w:spacing w:line="252" w:lineRule="auto"/>
              <w:rPr>
                <w:rFonts w:ascii="Arial"/>
                <w:sz w:val="21"/>
              </w:rPr>
            </w:pPr>
          </w:p>
          <w:p w14:paraId="0B39B46B">
            <w:pPr>
              <w:spacing w:line="252" w:lineRule="auto"/>
              <w:rPr>
                <w:rFonts w:ascii="Arial"/>
                <w:sz w:val="21"/>
              </w:rPr>
            </w:pPr>
          </w:p>
          <w:p w14:paraId="63CAE944">
            <w:pPr>
              <w:spacing w:line="252" w:lineRule="auto"/>
              <w:rPr>
                <w:rFonts w:ascii="Arial"/>
                <w:sz w:val="21"/>
              </w:rPr>
            </w:pPr>
          </w:p>
          <w:p w14:paraId="3E4C2B78">
            <w:pPr>
              <w:pStyle w:val="7"/>
              <w:spacing w:before="78" w:line="237" w:lineRule="auto"/>
              <w:ind w:left="176"/>
            </w:pPr>
            <w:r>
              <w:t>9</w:t>
            </w:r>
          </w:p>
        </w:tc>
        <w:tc>
          <w:tcPr>
            <w:tcW w:w="8011" w:type="dxa"/>
            <w:gridSpan w:val="2"/>
            <w:tcBorders>
              <w:right w:val="single" w:color="000000" w:sz="4" w:space="0"/>
            </w:tcBorders>
            <w:vAlign w:val="top"/>
          </w:tcPr>
          <w:p w14:paraId="45FF1E18">
            <w:pPr>
              <w:spacing w:line="60" w:lineRule="exact"/>
              <w:ind w:firstLine="7971"/>
            </w:pPr>
            <w:r>
              <w:rPr>
                <w:position w:val="-1"/>
              </w:rPr>
              <w:pict>
                <v:group id="_x0000_s1502" o:spid="_x0000_s1502" o:spt="203" style="height:3.4pt;width:1.45pt;" coordsize="29,68">
                  <o:lock v:ext="edit"/>
                  <v:shape id="_x0000_s1503" o:spid="_x0000_s1503" style="position:absolute;left:14;top:0;height:68;width:15;" fillcolor="#20507B" filled="t" stroked="f" coordsize="15,68" path="m0,67l14,67,14,0,0,0,0,67xe">
                    <v:path/>
                    <v:fill on="t" focussize="0,0"/>
                    <v:stroke on="f"/>
                    <v:imagedata o:title=""/>
                    <o:lock v:ext="edit"/>
                  </v:shape>
                  <v:shape id="_x0000_s1504" o:spid="_x0000_s1504" style="position:absolute;left:0;top:0;height:68;width:15;" fillcolor="#1C456A" filled="t" stroked="f" coordsize="15,68" path="m0,67l14,67,14,0,0,0,0,67xe">
                    <v:path/>
                    <v:fill on="t" focussize="0,0"/>
                    <v:stroke on="f"/>
                    <v:imagedata o:title=""/>
                    <o:lock v:ext="edit"/>
                  </v:shape>
                  <w10:wrap type="none"/>
                  <w10:anchorlock/>
                </v:group>
              </w:pict>
            </w:r>
          </w:p>
          <w:p w14:paraId="6914A659">
            <w:pPr>
              <w:spacing w:line="4747" w:lineRule="exact"/>
              <w:ind w:firstLine="238"/>
            </w:pPr>
            <w:r>
              <w:rPr>
                <w:position w:val="-94"/>
              </w:rPr>
              <w:drawing>
                <wp:inline distT="0" distB="0" distL="0" distR="0">
                  <wp:extent cx="4766310" cy="3014345"/>
                  <wp:effectExtent l="0" t="0" r="0" b="0"/>
                  <wp:docPr id="336" name="IM 336"/>
                  <wp:cNvGraphicFramePr/>
                  <a:graphic xmlns:a="http://schemas.openxmlformats.org/drawingml/2006/main">
                    <a:graphicData uri="http://schemas.openxmlformats.org/drawingml/2006/picture">
                      <pic:pic xmlns:pic="http://schemas.openxmlformats.org/drawingml/2006/picture">
                        <pic:nvPicPr>
                          <pic:cNvPr id="336" name="IM 336"/>
                          <pic:cNvPicPr/>
                        </pic:nvPicPr>
                        <pic:blipFill>
                          <a:blip r:embed="rId491"/>
                          <a:stretch>
                            <a:fillRect/>
                          </a:stretch>
                        </pic:blipFill>
                        <pic:spPr>
                          <a:xfrm>
                            <a:off x="0" y="0"/>
                            <a:ext cx="4766944" cy="3014345"/>
                          </a:xfrm>
                          <a:prstGeom prst="rect">
                            <a:avLst/>
                          </a:prstGeom>
                        </pic:spPr>
                      </pic:pic>
                    </a:graphicData>
                  </a:graphic>
                </wp:inline>
              </w:drawing>
            </w:r>
          </w:p>
        </w:tc>
      </w:tr>
      <w:tr w14:paraId="499B66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5" w:hRule="atLeast"/>
        </w:trPr>
        <w:tc>
          <w:tcPr>
            <w:tcW w:w="224" w:type="dxa"/>
            <w:vMerge w:val="continue"/>
            <w:tcBorders>
              <w:top w:val="nil"/>
              <w:left w:val="single" w:color="1C456A" w:sz="4" w:space="0"/>
              <w:bottom w:val="single" w:color="1C456A" w:sz="4" w:space="0"/>
              <w:right w:val="nil"/>
            </w:tcBorders>
            <w:vAlign w:val="top"/>
          </w:tcPr>
          <w:p w14:paraId="641093AA">
            <w:pPr>
              <w:rPr>
                <w:rFonts w:ascii="Arial"/>
                <w:sz w:val="21"/>
              </w:rPr>
            </w:pPr>
          </w:p>
        </w:tc>
        <w:tc>
          <w:tcPr>
            <w:tcW w:w="655" w:type="dxa"/>
            <w:vMerge w:val="continue"/>
            <w:tcBorders>
              <w:top w:val="nil"/>
              <w:left w:val="nil"/>
              <w:bottom w:val="single" w:color="1C456A" w:sz="4" w:space="0"/>
            </w:tcBorders>
            <w:vAlign w:val="top"/>
          </w:tcPr>
          <w:p w14:paraId="1082EEE1">
            <w:pPr>
              <w:rPr>
                <w:rFonts w:ascii="Arial"/>
                <w:sz w:val="21"/>
              </w:rPr>
            </w:pPr>
          </w:p>
        </w:tc>
        <w:tc>
          <w:tcPr>
            <w:tcW w:w="7770" w:type="dxa"/>
            <w:tcBorders>
              <w:bottom w:val="single" w:color="5B9BD5" w:sz="4" w:space="0"/>
              <w:right w:val="nil"/>
            </w:tcBorders>
            <w:vAlign w:val="top"/>
          </w:tcPr>
          <w:p w14:paraId="277526CD">
            <w:pPr>
              <w:pStyle w:val="7"/>
              <w:spacing w:before="102" w:line="219" w:lineRule="auto"/>
              <w:ind w:left="2920"/>
            </w:pPr>
            <w:r>
              <w:rPr>
                <w:spacing w:val="-20"/>
              </w:rPr>
              <w:t>球磨铸铁管施工示意图</w:t>
            </w:r>
          </w:p>
        </w:tc>
        <w:tc>
          <w:tcPr>
            <w:tcW w:w="241" w:type="dxa"/>
            <w:tcBorders>
              <w:left w:val="nil"/>
              <w:bottom w:val="single" w:color="5B9BD5" w:sz="4" w:space="0"/>
              <w:right w:val="single" w:color="5B9BD5" w:sz="4" w:space="0"/>
            </w:tcBorders>
            <w:vAlign w:val="top"/>
          </w:tcPr>
          <w:p w14:paraId="799BF0D3">
            <w:pPr>
              <w:spacing w:line="66" w:lineRule="exact"/>
              <w:ind w:firstLine="203"/>
            </w:pPr>
            <w:r>
              <w:pict>
                <v:shape id="_x0000_s1505" o:spid="_x0000_s1505" style="position:absolute;left:0pt;margin-left:10.2pt;margin-top:31.3pt;height:0.75pt;width:2.2pt;mso-position-horizontal-relative:page;mso-position-vertical-relative:page;z-index:251740160;mso-width-relative:page;mso-height-relative:page;" fillcolor="#5B9BD5" filled="t" stroked="f" coordsize="44,15" path="m0,14l43,14,43,0,0,0,0,14xe">
                  <v:path/>
                  <v:fill on="t" focussize="0,0"/>
                  <v:stroke on="f"/>
                  <v:imagedata o:title=""/>
                  <o:lock v:ext="edit"/>
                </v:shape>
              </w:pict>
            </w:r>
            <w:r>
              <w:rPr>
                <w:position w:val="-1"/>
              </w:rPr>
              <w:pict>
                <v:group id="_x0000_s1506" o:spid="_x0000_s1506" o:spt="203" style="height:3.4pt;width:1.45pt;" coordsize="29,68">
                  <o:lock v:ext="edit"/>
                  <v:shape id="_x0000_s1507" o:spid="_x0000_s1507" style="position:absolute;left:14;top:0;height:68;width:15;" fillcolor="#20507B" filled="t" stroked="f" coordsize="15,68" path="m0,67l14,67,14,0,0,0,0,67xe">
                    <v:path/>
                    <v:fill on="t" focussize="0,0"/>
                    <v:stroke on="f"/>
                    <v:imagedata o:title=""/>
                    <o:lock v:ext="edit"/>
                  </v:shape>
                  <v:shape id="_x0000_s1508" o:spid="_x0000_s1508" style="position:absolute;left:0;top:0;height:68;width:15;" fillcolor="#1C456A" filled="t" stroked="f" coordsize="15,68" path="m0,67l14,67,14,0,0,0,0,67xe">
                    <v:path/>
                    <v:fill on="t" focussize="0,0"/>
                    <v:stroke on="f"/>
                    <v:imagedata o:title=""/>
                    <o:lock v:ext="edit"/>
                  </v:shape>
                  <w10:wrap type="none"/>
                  <w10:anchorlock/>
                </v:group>
              </w:pict>
            </w:r>
          </w:p>
        </w:tc>
      </w:tr>
    </w:tbl>
    <w:p w14:paraId="37C5511B">
      <w:pPr>
        <w:pStyle w:val="2"/>
        <w:spacing w:before="116" w:line="217" w:lineRule="auto"/>
        <w:ind w:left="1922"/>
        <w:rPr>
          <w:sz w:val="24"/>
          <w:szCs w:val="24"/>
        </w:rPr>
      </w:pPr>
      <w:r>
        <w:rPr>
          <w:spacing w:val="-23"/>
          <w:sz w:val="24"/>
          <w:szCs w:val="24"/>
        </w:rPr>
        <w:t>回填管渠沟槽各部位的划分</w:t>
      </w:r>
    </w:p>
    <w:p w14:paraId="416ED9E3">
      <w:pPr>
        <w:pStyle w:val="2"/>
        <w:spacing w:before="117" w:line="217" w:lineRule="auto"/>
        <w:ind w:left="1894"/>
        <w:rPr>
          <w:sz w:val="24"/>
          <w:szCs w:val="24"/>
        </w:rPr>
      </w:pPr>
      <w:r>
        <w:rPr>
          <w:spacing w:val="-22"/>
          <w:sz w:val="24"/>
          <w:szCs w:val="24"/>
        </w:rPr>
        <w:t>根据管道埋入地下的受力情况不同，管道沟槽回填土按图</w:t>
      </w:r>
      <w:r>
        <w:rPr>
          <w:spacing w:val="-23"/>
          <w:sz w:val="24"/>
          <w:szCs w:val="24"/>
        </w:rPr>
        <w:t>所示，分为三个部位：</w:t>
      </w:r>
    </w:p>
    <w:p w14:paraId="3AFB263D">
      <w:pPr>
        <w:pStyle w:val="2"/>
        <w:spacing w:before="116" w:line="218" w:lineRule="auto"/>
        <w:ind w:left="1886"/>
        <w:rPr>
          <w:sz w:val="24"/>
          <w:szCs w:val="24"/>
        </w:rPr>
      </w:pPr>
      <w:r>
        <w:rPr>
          <w:spacing w:val="-21"/>
          <w:sz w:val="24"/>
          <w:szCs w:val="24"/>
        </w:rPr>
        <w:t>9.1管沟胸腔部分，要求回填密实，有接近原状土的承载力。</w:t>
      </w:r>
    </w:p>
    <w:p w14:paraId="6DFD9DAD">
      <w:pPr>
        <w:pStyle w:val="2"/>
        <w:spacing w:before="117" w:line="262" w:lineRule="auto"/>
        <w:ind w:left="1458" w:right="1412" w:firstLine="428"/>
        <w:rPr>
          <w:sz w:val="24"/>
          <w:szCs w:val="24"/>
        </w:rPr>
      </w:pPr>
      <w:r>
        <w:rPr>
          <w:spacing w:val="-20"/>
          <w:sz w:val="24"/>
          <w:szCs w:val="24"/>
        </w:rPr>
        <w:t>9.2管（沟）顶以上50cm部位，由于紧贴管材或沟盖板，夯实只能用木夯</w:t>
      </w:r>
      <w:r>
        <w:rPr>
          <w:spacing w:val="-21"/>
          <w:sz w:val="24"/>
          <w:szCs w:val="24"/>
        </w:rPr>
        <w:t>，成为其上土及</w:t>
      </w:r>
      <w:r>
        <w:rPr>
          <w:spacing w:val="-18"/>
          <w:sz w:val="24"/>
          <w:szCs w:val="24"/>
        </w:rPr>
        <w:t>荷载传递的缓冲层，密实度应在85%～88%之间，否则易引起管材或盖板</w:t>
      </w:r>
      <w:r>
        <w:rPr>
          <w:spacing w:val="-19"/>
          <w:sz w:val="24"/>
          <w:szCs w:val="24"/>
        </w:rPr>
        <w:t>裂损。</w:t>
      </w:r>
    </w:p>
    <w:p w14:paraId="255BAF51">
      <w:pPr>
        <w:pStyle w:val="2"/>
        <w:spacing w:before="119" w:line="217" w:lineRule="auto"/>
        <w:ind w:left="1886"/>
        <w:rPr>
          <w:sz w:val="24"/>
          <w:szCs w:val="24"/>
        </w:rPr>
      </w:pPr>
      <w:r>
        <w:rPr>
          <w:spacing w:val="-19"/>
          <w:sz w:val="24"/>
          <w:szCs w:val="24"/>
        </w:rPr>
        <w:t>9.3管顶50cm以上至地面部位，按地面的不同功能，其密实度的要求也不同。</w:t>
      </w:r>
    </w:p>
    <w:p w14:paraId="11BFA955">
      <w:pPr>
        <w:pStyle w:val="2"/>
        <w:spacing w:before="118" w:line="277" w:lineRule="auto"/>
        <w:ind w:left="1458" w:right="1414" w:firstLine="428"/>
        <w:rPr>
          <w:sz w:val="24"/>
          <w:szCs w:val="24"/>
        </w:rPr>
      </w:pPr>
      <w:r>
        <w:rPr>
          <w:spacing w:val="-23"/>
          <w:sz w:val="24"/>
          <w:szCs w:val="24"/>
        </w:rPr>
        <w:t>9.3.1管道工程应在其主体结构经隐蔽验收合格，污水或雨污合流管道闭水试验合格后，及</w:t>
      </w:r>
      <w:r>
        <w:rPr>
          <w:spacing w:val="-20"/>
          <w:sz w:val="24"/>
          <w:szCs w:val="24"/>
        </w:rPr>
        <w:t>时进行回填。防止晾槽过久，造成塌方，挤坏管道，或管道接口抹带空鼓开裂；雨季易产生水</w:t>
      </w:r>
      <w:r>
        <w:rPr>
          <w:spacing w:val="-21"/>
          <w:sz w:val="24"/>
          <w:szCs w:val="24"/>
        </w:rPr>
        <w:t>泡槽，漂管或造成回填作业困难。</w:t>
      </w:r>
    </w:p>
    <w:p w14:paraId="02977BC9">
      <w:pPr>
        <w:pStyle w:val="2"/>
        <w:spacing w:before="121" w:line="263" w:lineRule="auto"/>
        <w:ind w:left="1458" w:right="1351" w:firstLine="428"/>
        <w:rPr>
          <w:sz w:val="24"/>
          <w:szCs w:val="24"/>
        </w:rPr>
      </w:pPr>
      <w:r>
        <w:rPr>
          <w:spacing w:val="-26"/>
          <w:sz w:val="24"/>
          <w:szCs w:val="24"/>
        </w:rPr>
        <w:t>9.3.2还土回填要选择合格土源，过湿土、腐殖土、垃圾土、冬季冻土及碎石砖块不</w:t>
      </w:r>
      <w:r>
        <w:rPr>
          <w:spacing w:val="-27"/>
          <w:sz w:val="24"/>
          <w:szCs w:val="24"/>
        </w:rPr>
        <w:t>易压实，</w:t>
      </w:r>
      <w:r>
        <w:rPr>
          <w:spacing w:val="-21"/>
          <w:sz w:val="24"/>
          <w:szCs w:val="24"/>
        </w:rPr>
        <w:t>对管道结构安全有影响，因此均不宜采用。</w:t>
      </w:r>
    </w:p>
    <w:p w14:paraId="63FD8F7E">
      <w:pPr>
        <w:pStyle w:val="2"/>
        <w:spacing w:before="114" w:line="262" w:lineRule="auto"/>
        <w:ind w:left="1457" w:right="1410" w:firstLine="429"/>
        <w:rPr>
          <w:sz w:val="24"/>
          <w:szCs w:val="24"/>
        </w:rPr>
      </w:pPr>
      <w:r>
        <w:rPr>
          <w:spacing w:val="-23"/>
          <w:sz w:val="24"/>
          <w:szCs w:val="24"/>
        </w:rPr>
        <w:t>9.3.3回填前，应将槽内木料、草帘等杂物清理干净。当管槽内有积水时，</w:t>
      </w:r>
      <w:r>
        <w:rPr>
          <w:spacing w:val="-24"/>
          <w:sz w:val="24"/>
          <w:szCs w:val="24"/>
        </w:rPr>
        <w:t>应将水排净，不</w:t>
      </w:r>
      <w:r>
        <w:rPr>
          <w:spacing w:val="-21"/>
          <w:sz w:val="24"/>
          <w:szCs w:val="24"/>
        </w:rPr>
        <w:t>得在水中回填土。冬季、雨季回填应当日还土，当日夯实。</w:t>
      </w:r>
    </w:p>
    <w:p w14:paraId="1F5692F2">
      <w:pPr>
        <w:pStyle w:val="2"/>
        <w:spacing w:before="122" w:line="285" w:lineRule="auto"/>
        <w:ind w:left="1456" w:right="1412" w:firstLine="430"/>
        <w:rPr>
          <w:sz w:val="24"/>
          <w:szCs w:val="24"/>
        </w:rPr>
      </w:pPr>
      <w:r>
        <w:rPr>
          <w:spacing w:val="-19"/>
          <w:sz w:val="24"/>
          <w:szCs w:val="24"/>
        </w:rPr>
        <w:t>9.3.4回填必须在管座混凝土强度达到5.0N/mm2以上时，方可进行。箱涵必须在盖板安装</w:t>
      </w:r>
      <w:r>
        <w:rPr>
          <w:spacing w:val="-21"/>
          <w:sz w:val="24"/>
          <w:szCs w:val="24"/>
        </w:rPr>
        <w:t>后才可回填；沟槽在管、沟结构两侧应同时回填，两侧回填土面高差不得超过30cm；不得将土</w:t>
      </w:r>
      <w:r>
        <w:rPr>
          <w:spacing w:val="-20"/>
          <w:sz w:val="24"/>
          <w:szCs w:val="24"/>
        </w:rPr>
        <w:t>直接砸在接口抹带上。总之，回填夯实操作，应以确保管、沟结构安全、不发生引起管道、接</w:t>
      </w:r>
      <w:r>
        <w:rPr>
          <w:spacing w:val="-21"/>
          <w:sz w:val="24"/>
          <w:szCs w:val="24"/>
        </w:rPr>
        <w:t>口沟墙、井室破坏或移位的事故，且达到各部位密实度要求</w:t>
      </w:r>
      <w:r>
        <w:rPr>
          <w:spacing w:val="-22"/>
          <w:sz w:val="24"/>
          <w:szCs w:val="24"/>
        </w:rPr>
        <w:t>为原则。</w:t>
      </w:r>
    </w:p>
    <w:p w14:paraId="4A1F77FE">
      <w:pPr>
        <w:spacing w:line="252" w:lineRule="auto"/>
        <w:rPr>
          <w:rFonts w:ascii="Arial"/>
          <w:sz w:val="21"/>
        </w:rPr>
      </w:pPr>
    </w:p>
    <w:p w14:paraId="286CFDDF">
      <w:pPr>
        <w:pStyle w:val="2"/>
        <w:spacing w:before="78" w:line="302" w:lineRule="auto"/>
        <w:ind w:left="1449" w:right="1411" w:firstLine="436"/>
        <w:jc w:val="both"/>
        <w:rPr>
          <w:sz w:val="24"/>
          <w:szCs w:val="24"/>
        </w:rPr>
      </w:pPr>
      <w:r>
        <w:rPr>
          <w:spacing w:val="-19"/>
          <w:sz w:val="24"/>
          <w:szCs w:val="24"/>
        </w:rPr>
        <w:t>9.3.5为防止管道在回填夯实中裂损，其胸腔部分必须按虚厚不超过3</w:t>
      </w:r>
      <w:r>
        <w:rPr>
          <w:spacing w:val="-20"/>
          <w:sz w:val="24"/>
          <w:szCs w:val="24"/>
        </w:rPr>
        <w:t>0cm，密实度达轻型击实密度的95%标准，分层夯实；管道顶50cm范围的填土，宜用木夯夯实，密实度达轻型击实</w:t>
      </w:r>
      <w:r>
        <w:rPr>
          <w:spacing w:val="-19"/>
          <w:sz w:val="24"/>
          <w:szCs w:val="24"/>
        </w:rPr>
        <w:t>85%，管沟于路基范围内，管顶以上25cm范围回填土表层的压实度不应小于87%；当管</w:t>
      </w:r>
      <w:r>
        <w:rPr>
          <w:spacing w:val="-20"/>
          <w:sz w:val="24"/>
          <w:szCs w:val="24"/>
        </w:rPr>
        <w:t>顶回填夯</w:t>
      </w:r>
      <w:r>
        <w:rPr>
          <w:spacing w:val="-21"/>
          <w:sz w:val="24"/>
          <w:szCs w:val="24"/>
        </w:rPr>
        <w:t>实高达1.5m以上时，方可使用碾压机械压实；如管顶距路床高不足1.5m时，管道设计应采用</w:t>
      </w:r>
      <w:r>
        <w:rPr>
          <w:spacing w:val="-16"/>
          <w:sz w:val="24"/>
          <w:szCs w:val="24"/>
        </w:rPr>
        <w:t>360度包封来加强。</w:t>
      </w:r>
    </w:p>
    <w:p w14:paraId="4D416B8F">
      <w:pPr>
        <w:pStyle w:val="2"/>
        <w:spacing w:line="211" w:lineRule="auto"/>
        <w:ind w:left="1985"/>
        <w:outlineLvl w:val="2"/>
        <w:rPr>
          <w:sz w:val="28"/>
          <w:szCs w:val="28"/>
        </w:rPr>
      </w:pPr>
      <w:bookmarkStart w:id="33" w:name="bookmark33"/>
      <w:bookmarkEnd w:id="33"/>
      <w:r>
        <w:rPr>
          <w:b/>
          <w:bCs/>
          <w:spacing w:val="-23"/>
          <w:sz w:val="28"/>
          <w:szCs w:val="28"/>
        </w:rPr>
        <w:t>三、水泥支墩施工方案</w:t>
      </w:r>
    </w:p>
    <w:tbl>
      <w:tblPr>
        <w:tblStyle w:val="6"/>
        <w:tblW w:w="8549" w:type="dxa"/>
        <w:tblInd w:w="1678" w:type="dxa"/>
        <w:tblBorders>
          <w:top w:val="single" w:color="5B9BD5" w:sz="4" w:space="0"/>
          <w:left w:val="single" w:color="5B9BD5" w:sz="4" w:space="0"/>
          <w:bottom w:val="single" w:color="5B9BD5" w:sz="4" w:space="0"/>
          <w:right w:val="single" w:color="5B9BD5" w:sz="4" w:space="0"/>
          <w:insideH w:val="single" w:color="5B9BD5" w:sz="4" w:space="0"/>
          <w:insideV w:val="single" w:color="5B9BD5" w:sz="4" w:space="0"/>
        </w:tblBorders>
        <w:tblLayout w:type="fixed"/>
        <w:tblCellMar>
          <w:top w:w="0" w:type="dxa"/>
          <w:left w:w="0" w:type="dxa"/>
          <w:bottom w:w="0" w:type="dxa"/>
          <w:right w:w="0" w:type="dxa"/>
        </w:tblCellMar>
      </w:tblPr>
      <w:tblGrid>
        <w:gridCol w:w="4274"/>
        <w:gridCol w:w="4275"/>
      </w:tblGrid>
      <w:tr w14:paraId="5F02AAC4">
        <w:tblPrEx>
          <w:tblBorders>
            <w:top w:val="single" w:color="5B9BD5" w:sz="4" w:space="0"/>
            <w:left w:val="single" w:color="5B9BD5" w:sz="4" w:space="0"/>
            <w:bottom w:val="single" w:color="5B9BD5" w:sz="4" w:space="0"/>
            <w:right w:val="single" w:color="5B9BD5" w:sz="4" w:space="0"/>
            <w:insideH w:val="single" w:color="5B9BD5" w:sz="4" w:space="0"/>
            <w:insideV w:val="single" w:color="5B9BD5" w:sz="4" w:space="0"/>
          </w:tblBorders>
          <w:tblCellMar>
            <w:top w:w="0" w:type="dxa"/>
            <w:left w:w="0" w:type="dxa"/>
            <w:bottom w:w="0" w:type="dxa"/>
            <w:right w:w="0" w:type="dxa"/>
          </w:tblCellMar>
        </w:tblPrEx>
        <w:trPr>
          <w:trHeight w:val="591" w:hRule="atLeast"/>
        </w:trPr>
        <w:tc>
          <w:tcPr>
            <w:tcW w:w="8549" w:type="dxa"/>
            <w:gridSpan w:val="2"/>
            <w:tcBorders>
              <w:bottom w:val="single" w:color="000000" w:sz="2" w:space="0"/>
            </w:tcBorders>
            <w:shd w:val="clear" w:color="auto" w:fill="DEEAF6"/>
            <w:vAlign w:val="top"/>
          </w:tcPr>
          <w:p w14:paraId="77659717">
            <w:pPr>
              <w:pStyle w:val="7"/>
              <w:spacing w:before="129" w:line="219" w:lineRule="auto"/>
              <w:ind w:left="3845"/>
            </w:pPr>
            <w:r>
              <w:rPr>
                <w:b/>
                <w:bCs/>
                <w:spacing w:val="-18"/>
              </w:rPr>
              <w:t>水泥支墩</w:t>
            </w:r>
          </w:p>
        </w:tc>
      </w:tr>
      <w:tr w14:paraId="08368116">
        <w:tblPrEx>
          <w:tblBorders>
            <w:top w:val="single" w:color="5B9BD5" w:sz="4" w:space="0"/>
            <w:left w:val="single" w:color="5B9BD5" w:sz="4" w:space="0"/>
            <w:bottom w:val="single" w:color="5B9BD5" w:sz="4" w:space="0"/>
            <w:right w:val="single" w:color="5B9BD5" w:sz="4" w:space="0"/>
            <w:insideH w:val="single" w:color="5B9BD5" w:sz="4" w:space="0"/>
            <w:insideV w:val="single" w:color="5B9BD5" w:sz="4" w:space="0"/>
          </w:tblBorders>
          <w:tblCellMar>
            <w:top w:w="0" w:type="dxa"/>
            <w:left w:w="0" w:type="dxa"/>
            <w:bottom w:w="0" w:type="dxa"/>
            <w:right w:w="0" w:type="dxa"/>
          </w:tblCellMar>
        </w:tblPrEx>
        <w:trPr>
          <w:trHeight w:val="3363" w:hRule="atLeast"/>
        </w:trPr>
        <w:tc>
          <w:tcPr>
            <w:tcW w:w="4274" w:type="dxa"/>
            <w:tcBorders>
              <w:top w:val="single" w:color="000000" w:sz="2" w:space="0"/>
              <w:left w:val="single" w:color="1C456A" w:sz="4" w:space="0"/>
              <w:bottom w:val="single" w:color="1C456A" w:sz="4" w:space="0"/>
              <w:right w:val="single" w:color="000000" w:sz="2" w:space="0"/>
            </w:tcBorders>
            <w:vAlign w:val="top"/>
          </w:tcPr>
          <w:p w14:paraId="0258FF17">
            <w:pPr>
              <w:spacing w:before="86" w:line="3029" w:lineRule="exact"/>
              <w:ind w:firstLine="121"/>
            </w:pPr>
            <w:r>
              <w:pict>
                <v:shape id="_x0000_s1509" o:spid="_x0000_s1509" style="position:absolute;left:0pt;margin-left:-0.2pt;margin-top:168.2pt;height:0.75pt;width:2.2pt;mso-position-horizontal-relative:page;mso-position-vertical-relative:page;z-index:251742208;mso-width-relative:page;mso-height-relative:page;" fillcolor="#5B9BD5" filled="t" stroked="f" coordsize="44,15" path="m0,14l43,14,43,0,0,0,0,14xe">
                  <v:path/>
                  <v:fill on="t" focussize="0,0"/>
                  <v:stroke on="f"/>
                  <v:imagedata o:title=""/>
                  <o:lock v:ext="edit"/>
                </v:shape>
              </w:pict>
            </w:r>
            <w:r>
              <w:rPr>
                <w:position w:val="-60"/>
              </w:rPr>
              <w:drawing>
                <wp:inline distT="0" distB="0" distL="0" distR="0">
                  <wp:extent cx="2561590" cy="1922780"/>
                  <wp:effectExtent l="0" t="0" r="0" b="0"/>
                  <wp:docPr id="340" name="IM 340"/>
                  <wp:cNvGraphicFramePr/>
                  <a:graphic xmlns:a="http://schemas.openxmlformats.org/drawingml/2006/main">
                    <a:graphicData uri="http://schemas.openxmlformats.org/drawingml/2006/picture">
                      <pic:pic xmlns:pic="http://schemas.openxmlformats.org/drawingml/2006/picture">
                        <pic:nvPicPr>
                          <pic:cNvPr id="340" name="IM 340"/>
                          <pic:cNvPicPr/>
                        </pic:nvPicPr>
                        <pic:blipFill>
                          <a:blip r:embed="rId492"/>
                          <a:stretch>
                            <a:fillRect/>
                          </a:stretch>
                        </pic:blipFill>
                        <pic:spPr>
                          <a:xfrm>
                            <a:off x="0" y="0"/>
                            <a:ext cx="2561590" cy="1923414"/>
                          </a:xfrm>
                          <a:prstGeom prst="rect">
                            <a:avLst/>
                          </a:prstGeom>
                        </pic:spPr>
                      </pic:pic>
                    </a:graphicData>
                  </a:graphic>
                </wp:inline>
              </w:drawing>
            </w:r>
          </w:p>
        </w:tc>
        <w:tc>
          <w:tcPr>
            <w:tcW w:w="4275" w:type="dxa"/>
            <w:tcBorders>
              <w:top w:val="single" w:color="000000" w:sz="2" w:space="0"/>
              <w:left w:val="single" w:color="000000" w:sz="2" w:space="0"/>
            </w:tcBorders>
            <w:vAlign w:val="top"/>
          </w:tcPr>
          <w:p w14:paraId="7A0676BE">
            <w:pPr>
              <w:spacing w:before="86" w:line="3027" w:lineRule="exact"/>
              <w:ind w:firstLine="107"/>
            </w:pPr>
            <w:r>
              <w:rPr>
                <w:position w:val="-60"/>
              </w:rPr>
              <w:drawing>
                <wp:inline distT="0" distB="0" distL="0" distR="0">
                  <wp:extent cx="2563495" cy="1922145"/>
                  <wp:effectExtent l="0" t="0" r="0" b="0"/>
                  <wp:docPr id="342" name="IM 342"/>
                  <wp:cNvGraphicFramePr/>
                  <a:graphic xmlns:a="http://schemas.openxmlformats.org/drawingml/2006/main">
                    <a:graphicData uri="http://schemas.openxmlformats.org/drawingml/2006/picture">
                      <pic:pic xmlns:pic="http://schemas.openxmlformats.org/drawingml/2006/picture">
                        <pic:nvPicPr>
                          <pic:cNvPr id="342" name="IM 342"/>
                          <pic:cNvPicPr/>
                        </pic:nvPicPr>
                        <pic:blipFill>
                          <a:blip r:embed="rId493"/>
                          <a:stretch>
                            <a:fillRect/>
                          </a:stretch>
                        </pic:blipFill>
                        <pic:spPr>
                          <a:xfrm>
                            <a:off x="0" y="0"/>
                            <a:ext cx="2563495" cy="1922145"/>
                          </a:xfrm>
                          <a:prstGeom prst="rect">
                            <a:avLst/>
                          </a:prstGeom>
                        </pic:spPr>
                      </pic:pic>
                    </a:graphicData>
                  </a:graphic>
                </wp:inline>
              </w:drawing>
            </w:r>
          </w:p>
        </w:tc>
      </w:tr>
    </w:tbl>
    <w:p w14:paraId="5AFDF73E">
      <w:pPr>
        <w:pStyle w:val="2"/>
        <w:spacing w:before="115" w:line="219" w:lineRule="auto"/>
        <w:ind w:left="1903"/>
        <w:rPr>
          <w:sz w:val="24"/>
          <w:szCs w:val="24"/>
        </w:rPr>
      </w:pPr>
      <w:r>
        <w:rPr>
          <w:spacing w:val="-20"/>
          <w:sz w:val="24"/>
          <w:szCs w:val="24"/>
        </w:rPr>
        <w:t>1、工艺流程</w:t>
      </w:r>
    </w:p>
    <w:p w14:paraId="18A6036C">
      <w:pPr>
        <w:pStyle w:val="2"/>
        <w:spacing w:before="116" w:line="307" w:lineRule="auto"/>
        <w:ind w:left="1460" w:right="1410" w:firstLine="437"/>
        <w:rPr>
          <w:sz w:val="24"/>
          <w:szCs w:val="24"/>
        </w:rPr>
      </w:pPr>
      <w:r>
        <w:rPr>
          <w:spacing w:val="-20"/>
          <w:sz w:val="24"/>
          <w:szCs w:val="24"/>
        </w:rPr>
        <w:t>定位清理→混凝土垫层→钢筋绑扎→清理→支模板→清理→商品混凝土浇注→混凝土振捣</w:t>
      </w:r>
      <w:r>
        <w:rPr>
          <w:spacing w:val="-21"/>
          <w:sz w:val="24"/>
          <w:szCs w:val="24"/>
        </w:rPr>
        <w:t>→混凝土找平→混凝土养护→模板拆除</w:t>
      </w:r>
    </w:p>
    <w:p w14:paraId="5EE7D5B0">
      <w:pPr>
        <w:pStyle w:val="2"/>
        <w:spacing w:before="1" w:line="216" w:lineRule="auto"/>
        <w:ind w:left="1888"/>
        <w:rPr>
          <w:sz w:val="24"/>
          <w:szCs w:val="24"/>
        </w:rPr>
      </w:pPr>
      <w:r>
        <w:rPr>
          <w:spacing w:val="-19"/>
          <w:sz w:val="24"/>
          <w:szCs w:val="24"/>
        </w:rPr>
        <w:t>2、操作工艺</w:t>
      </w:r>
    </w:p>
    <w:p w14:paraId="07B6FFF5">
      <w:pPr>
        <w:pStyle w:val="2"/>
        <w:spacing w:before="120" w:line="218" w:lineRule="auto"/>
        <w:ind w:left="1893"/>
        <w:rPr>
          <w:sz w:val="24"/>
          <w:szCs w:val="24"/>
        </w:rPr>
      </w:pPr>
      <w:r>
        <w:rPr>
          <w:spacing w:val="-19"/>
          <w:sz w:val="24"/>
          <w:szCs w:val="24"/>
        </w:rPr>
        <w:t>（1）清理及垫层浇灌</w:t>
      </w:r>
    </w:p>
    <w:p w14:paraId="15CA1246">
      <w:pPr>
        <w:pStyle w:val="2"/>
        <w:spacing w:before="115" w:line="308" w:lineRule="auto"/>
        <w:ind w:left="1454" w:right="1409" w:firstLine="439"/>
        <w:rPr>
          <w:sz w:val="24"/>
          <w:szCs w:val="24"/>
        </w:rPr>
      </w:pPr>
      <w:r>
        <w:rPr>
          <w:spacing w:val="-20"/>
          <w:sz w:val="24"/>
          <w:szCs w:val="24"/>
        </w:rPr>
        <w:t>地基验槽完成后，清除表层浮土及扰动土，不留积水，立即进行垫层混凝土施工，垫层混</w:t>
      </w:r>
      <w:r>
        <w:rPr>
          <w:spacing w:val="-21"/>
          <w:sz w:val="24"/>
          <w:szCs w:val="24"/>
        </w:rPr>
        <w:t>凝土必须振捣密实，表面平整，严禁晾晒基土。</w:t>
      </w:r>
    </w:p>
    <w:p w14:paraId="7B6B368F">
      <w:pPr>
        <w:pStyle w:val="2"/>
        <w:spacing w:before="1" w:line="218" w:lineRule="auto"/>
        <w:ind w:left="1893"/>
        <w:rPr>
          <w:sz w:val="24"/>
          <w:szCs w:val="24"/>
        </w:rPr>
      </w:pPr>
      <w:r>
        <w:rPr>
          <w:spacing w:val="-17"/>
          <w:sz w:val="24"/>
          <w:szCs w:val="24"/>
        </w:rPr>
        <w:t>（2）钢筋绑扎</w:t>
      </w:r>
    </w:p>
    <w:p w14:paraId="4D51B37A">
      <w:pPr>
        <w:pStyle w:val="2"/>
        <w:spacing w:before="113" w:line="308" w:lineRule="auto"/>
        <w:ind w:left="1456" w:right="1411" w:firstLine="440"/>
        <w:rPr>
          <w:sz w:val="24"/>
          <w:szCs w:val="24"/>
        </w:rPr>
      </w:pPr>
      <w:r>
        <w:rPr>
          <w:spacing w:val="-21"/>
          <w:sz w:val="24"/>
          <w:szCs w:val="24"/>
        </w:rPr>
        <w:t>垫层浇灌完成后，混凝土达到1.2MPa后，表面弹线进行钢筋绑扎，钢筋</w:t>
      </w:r>
      <w:r>
        <w:rPr>
          <w:spacing w:val="-22"/>
          <w:sz w:val="24"/>
          <w:szCs w:val="24"/>
        </w:rPr>
        <w:t>绑扎不允许漏扣，</w:t>
      </w:r>
      <w:r>
        <w:rPr>
          <w:spacing w:val="-20"/>
          <w:sz w:val="24"/>
          <w:szCs w:val="24"/>
        </w:rPr>
        <w:t>柱插筋弯钩部分必须与底板筋成45°绑扎，连接点处必须全部绑扎，距底板5cm处绑扎第一个</w:t>
      </w:r>
      <w:r>
        <w:rPr>
          <w:spacing w:val="-21"/>
          <w:sz w:val="24"/>
          <w:szCs w:val="24"/>
        </w:rPr>
        <w:t>箍筋，距基础顶5cm处绑扎最后一道箍筋，作为标高控制筋及定位筋，柱插筋最上部再绑扎一</w:t>
      </w:r>
      <w:r>
        <w:rPr>
          <w:spacing w:val="-20"/>
          <w:sz w:val="24"/>
          <w:szCs w:val="24"/>
        </w:rPr>
        <w:t>道定位筋，上下箍筋及定位箍筋绑扎完成后将柱插筋调整到位并用井字木架临时固定，然后绑</w:t>
      </w:r>
      <w:r>
        <w:rPr>
          <w:spacing w:val="-21"/>
          <w:sz w:val="24"/>
          <w:szCs w:val="24"/>
        </w:rPr>
        <w:t>扎剩余箍筋，保证柱插筋不变形走样，两道定位筋在基础混</w:t>
      </w:r>
      <w:r>
        <w:rPr>
          <w:spacing w:val="-22"/>
          <w:sz w:val="24"/>
          <w:szCs w:val="24"/>
        </w:rPr>
        <w:t>凝土浇完后，必须进行更换。</w:t>
      </w:r>
    </w:p>
    <w:p w14:paraId="21A0577E">
      <w:pPr>
        <w:pStyle w:val="2"/>
        <w:spacing w:before="2" w:line="307" w:lineRule="auto"/>
        <w:ind w:left="1461" w:right="1409" w:firstLine="431"/>
        <w:rPr>
          <w:sz w:val="24"/>
          <w:szCs w:val="24"/>
        </w:rPr>
      </w:pPr>
      <w:r>
        <w:rPr>
          <w:spacing w:val="-19"/>
          <w:sz w:val="24"/>
          <w:szCs w:val="24"/>
        </w:rPr>
        <w:t>钢筋绑扎好后底面及侧面搁置保护层塑料</w:t>
      </w:r>
      <w:r>
        <w:rPr>
          <w:spacing w:val="-20"/>
          <w:sz w:val="24"/>
          <w:szCs w:val="24"/>
        </w:rPr>
        <w:t>垫块，厚度为设计保护层厚度，垫块间距不得大</w:t>
      </w:r>
      <w:r>
        <w:rPr>
          <w:spacing w:val="-19"/>
          <w:sz w:val="24"/>
          <w:szCs w:val="24"/>
        </w:rPr>
        <w:t>于100mm(视设计钢筋直径确定)，以防出现露筋的质量通病。</w:t>
      </w:r>
    </w:p>
    <w:p w14:paraId="22DAF8BD">
      <w:pPr>
        <w:pStyle w:val="2"/>
        <w:spacing w:before="1" w:line="216" w:lineRule="auto"/>
        <w:ind w:left="1899"/>
        <w:rPr>
          <w:sz w:val="24"/>
          <w:szCs w:val="24"/>
        </w:rPr>
      </w:pPr>
      <w:r>
        <w:rPr>
          <w:spacing w:val="-22"/>
          <w:sz w:val="24"/>
          <w:szCs w:val="24"/>
        </w:rPr>
        <w:t>注意对钢筋的成品保护，不得任意碰撞钢筋，造成钢筋移位。</w:t>
      </w:r>
    </w:p>
    <w:p w14:paraId="1B1D946F">
      <w:pPr>
        <w:pStyle w:val="2"/>
        <w:spacing w:before="119" w:line="218" w:lineRule="auto"/>
        <w:ind w:left="1893"/>
        <w:rPr>
          <w:sz w:val="24"/>
          <w:szCs w:val="24"/>
        </w:rPr>
      </w:pPr>
      <w:r>
        <w:rPr>
          <w:spacing w:val="-18"/>
          <w:sz w:val="24"/>
          <w:szCs w:val="24"/>
        </w:rPr>
        <w:t>（3）模板</w:t>
      </w:r>
    </w:p>
    <w:p w14:paraId="4C27A47D">
      <w:pPr>
        <w:pStyle w:val="2"/>
        <w:spacing w:before="116" w:line="309" w:lineRule="auto"/>
        <w:ind w:left="1455" w:right="1410" w:firstLine="436"/>
        <w:rPr>
          <w:sz w:val="24"/>
          <w:szCs w:val="24"/>
        </w:rPr>
      </w:pPr>
      <w:r>
        <w:rPr>
          <w:spacing w:val="-20"/>
          <w:sz w:val="24"/>
          <w:szCs w:val="24"/>
        </w:rPr>
        <w:t>钢筋绑扎及相关专业施工完成后立即进行模板安装，模板采用小钢模或木模，利用架子管</w:t>
      </w:r>
      <w:r>
        <w:rPr>
          <w:spacing w:val="-22"/>
          <w:sz w:val="24"/>
          <w:szCs w:val="24"/>
        </w:rPr>
        <w:t>或木方加固。锥形基础坡度＜30°时，采用斜模板支护，利用螺栓与底板钢筋拉紧，防止上浮.</w:t>
      </w:r>
      <w:r>
        <w:rPr>
          <w:spacing w:val="-19"/>
          <w:sz w:val="24"/>
          <w:szCs w:val="24"/>
        </w:rPr>
        <w:t>模板上部设透气及振捣孔，坡度≤30°时，利用钢丝网(间距3</w:t>
      </w:r>
      <w:r>
        <w:rPr>
          <w:spacing w:val="-20"/>
          <w:sz w:val="24"/>
          <w:szCs w:val="24"/>
        </w:rPr>
        <w:t>0cm)防止混凝土下坠，上口设井</w:t>
      </w:r>
    </w:p>
    <w:p w14:paraId="1456E04C">
      <w:pPr>
        <w:spacing w:line="249" w:lineRule="auto"/>
        <w:rPr>
          <w:rFonts w:ascii="Arial"/>
          <w:sz w:val="21"/>
        </w:rPr>
      </w:pPr>
    </w:p>
    <w:p w14:paraId="0C1F9BCE">
      <w:pPr>
        <w:pStyle w:val="2"/>
        <w:spacing w:before="78" w:line="308" w:lineRule="auto"/>
        <w:ind w:left="1456" w:right="1414" w:firstLine="9"/>
        <w:rPr>
          <w:sz w:val="24"/>
          <w:szCs w:val="24"/>
        </w:rPr>
      </w:pPr>
      <w:r>
        <w:rPr>
          <w:spacing w:val="-20"/>
          <w:sz w:val="24"/>
          <w:szCs w:val="24"/>
        </w:rPr>
        <w:t>字木控制钢筋位置。不得用重物冲击模板，不准在吊帮的模板上搭设脚手架，保证模板的牢固</w:t>
      </w:r>
      <w:r>
        <w:rPr>
          <w:spacing w:val="-15"/>
          <w:sz w:val="24"/>
          <w:szCs w:val="24"/>
        </w:rPr>
        <w:t>和严密。</w:t>
      </w:r>
    </w:p>
    <w:p w14:paraId="7D609549">
      <w:pPr>
        <w:pStyle w:val="2"/>
        <w:spacing w:line="218" w:lineRule="auto"/>
        <w:ind w:left="1893"/>
        <w:rPr>
          <w:sz w:val="24"/>
          <w:szCs w:val="24"/>
        </w:rPr>
      </w:pPr>
      <w:r>
        <w:rPr>
          <w:spacing w:val="-18"/>
          <w:sz w:val="24"/>
          <w:szCs w:val="24"/>
        </w:rPr>
        <w:t>（4）清理</w:t>
      </w:r>
    </w:p>
    <w:p w14:paraId="755B5E66">
      <w:pPr>
        <w:pStyle w:val="2"/>
        <w:spacing w:before="116" w:line="217" w:lineRule="auto"/>
        <w:ind w:left="1895"/>
        <w:rPr>
          <w:sz w:val="24"/>
          <w:szCs w:val="24"/>
        </w:rPr>
      </w:pPr>
      <w:r>
        <w:rPr>
          <w:spacing w:val="-22"/>
          <w:sz w:val="24"/>
          <w:szCs w:val="24"/>
        </w:rPr>
        <w:t>清除模板内的木屑、泥土等杂物，木模浇水湿润，堵严板缝及孔洞。</w:t>
      </w:r>
    </w:p>
    <w:p w14:paraId="42A6E765">
      <w:pPr>
        <w:pStyle w:val="2"/>
        <w:spacing w:before="118" w:line="219" w:lineRule="auto"/>
        <w:ind w:left="1893"/>
        <w:rPr>
          <w:sz w:val="24"/>
          <w:szCs w:val="24"/>
        </w:rPr>
      </w:pPr>
      <w:r>
        <w:rPr>
          <w:spacing w:val="-18"/>
          <w:sz w:val="24"/>
          <w:szCs w:val="24"/>
        </w:rPr>
        <w:t>（5）混凝土浇筑</w:t>
      </w:r>
    </w:p>
    <w:p w14:paraId="5035CF28">
      <w:pPr>
        <w:pStyle w:val="2"/>
        <w:spacing w:before="112" w:line="308" w:lineRule="auto"/>
        <w:ind w:left="1457" w:right="1411" w:firstLine="439"/>
        <w:rPr>
          <w:sz w:val="24"/>
          <w:szCs w:val="24"/>
        </w:rPr>
      </w:pPr>
      <w:r>
        <w:rPr>
          <w:spacing w:val="-21"/>
          <w:sz w:val="24"/>
          <w:szCs w:val="24"/>
        </w:rPr>
        <w:t>混凝土应分层连续进行，问歇时间不超过混凝土初凝时间，一般不超过2h</w:t>
      </w:r>
      <w:r>
        <w:rPr>
          <w:spacing w:val="-22"/>
          <w:sz w:val="24"/>
          <w:szCs w:val="24"/>
        </w:rPr>
        <w:t>，为保证钢筋位</w:t>
      </w:r>
      <w:r>
        <w:rPr>
          <w:spacing w:val="-20"/>
          <w:sz w:val="24"/>
          <w:szCs w:val="24"/>
        </w:rPr>
        <w:t>置正确，先浇一层5～10cm厚混凝土固定钢筋。台阶型基</w:t>
      </w:r>
      <w:r>
        <w:rPr>
          <w:spacing w:val="-21"/>
          <w:sz w:val="24"/>
          <w:szCs w:val="24"/>
        </w:rPr>
        <w:t>础每一台阶高度整体浇捣，每浇完一</w:t>
      </w:r>
      <w:r>
        <w:rPr>
          <w:spacing w:val="-20"/>
          <w:sz w:val="24"/>
          <w:szCs w:val="24"/>
        </w:rPr>
        <w:t>台阶停顿0.5h待其下沉，再浇上一层。分层下料，每层厚度为振动</w:t>
      </w:r>
      <w:r>
        <w:rPr>
          <w:spacing w:val="-21"/>
          <w:sz w:val="24"/>
          <w:szCs w:val="24"/>
        </w:rPr>
        <w:t>棒的有效振动长度。防止由</w:t>
      </w:r>
      <w:r>
        <w:rPr>
          <w:spacing w:val="-20"/>
          <w:sz w:val="24"/>
          <w:szCs w:val="24"/>
        </w:rPr>
        <w:t>于下料过厚、振捣不实或漏振、吊帮的根部砂浆涌出等原因造成蜂窝、麻面或孔洞。浇筑混凝土时，经常观察模板、支架、钢筋、螺栓、预留孔洞和管有无走动情况，一经发现有变形、走</w:t>
      </w:r>
      <w:r>
        <w:rPr>
          <w:spacing w:val="-21"/>
          <w:sz w:val="24"/>
          <w:szCs w:val="24"/>
        </w:rPr>
        <w:t>动或位移时，立即停止浇筑，并及时修整和加固模板，然后</w:t>
      </w:r>
      <w:r>
        <w:rPr>
          <w:spacing w:val="-22"/>
          <w:sz w:val="24"/>
          <w:szCs w:val="24"/>
        </w:rPr>
        <w:t>再继续浇筑。</w:t>
      </w:r>
    </w:p>
    <w:p w14:paraId="1CEC0E23">
      <w:pPr>
        <w:pStyle w:val="2"/>
        <w:spacing w:line="218" w:lineRule="auto"/>
        <w:ind w:left="1893"/>
        <w:rPr>
          <w:sz w:val="24"/>
          <w:szCs w:val="24"/>
        </w:rPr>
      </w:pPr>
      <w:r>
        <w:rPr>
          <w:spacing w:val="-18"/>
          <w:sz w:val="24"/>
          <w:szCs w:val="24"/>
        </w:rPr>
        <w:t>（6）混凝土振捣</w:t>
      </w:r>
    </w:p>
    <w:p w14:paraId="241FCB04">
      <w:pPr>
        <w:pStyle w:val="2"/>
        <w:spacing w:before="117" w:line="216" w:lineRule="auto"/>
        <w:ind w:left="1895"/>
        <w:rPr>
          <w:sz w:val="24"/>
          <w:szCs w:val="24"/>
        </w:rPr>
      </w:pPr>
      <w:r>
        <w:rPr>
          <w:spacing w:val="-21"/>
          <w:sz w:val="24"/>
          <w:szCs w:val="24"/>
        </w:rPr>
        <w:t>采用插入式振捣器，插人的间距不大于振捣器作用部分长度的1.25倍。</w:t>
      </w:r>
    </w:p>
    <w:p w14:paraId="49578339">
      <w:pPr>
        <w:pStyle w:val="2"/>
        <w:spacing w:before="120" w:line="216" w:lineRule="auto"/>
        <w:ind w:left="1895"/>
        <w:rPr>
          <w:sz w:val="24"/>
          <w:szCs w:val="24"/>
        </w:rPr>
      </w:pPr>
      <w:r>
        <w:rPr>
          <w:spacing w:val="-19"/>
          <w:sz w:val="24"/>
          <w:szCs w:val="24"/>
        </w:rPr>
        <w:t>上层振捣棒插人下层3～5cm。尽量避免碰撞预埋件、预埋螺栓，防止预埋件移位。</w:t>
      </w:r>
    </w:p>
    <w:p w14:paraId="3D5871F8">
      <w:pPr>
        <w:pStyle w:val="2"/>
        <w:spacing w:before="118" w:line="219" w:lineRule="auto"/>
        <w:ind w:left="1893"/>
        <w:rPr>
          <w:sz w:val="24"/>
          <w:szCs w:val="24"/>
        </w:rPr>
      </w:pPr>
      <w:r>
        <w:rPr>
          <w:spacing w:val="-18"/>
          <w:sz w:val="24"/>
          <w:szCs w:val="24"/>
        </w:rPr>
        <w:t>（7）混凝土找平</w:t>
      </w:r>
    </w:p>
    <w:p w14:paraId="492A42E0">
      <w:pPr>
        <w:pStyle w:val="2"/>
        <w:spacing w:before="117" w:line="307" w:lineRule="auto"/>
        <w:ind w:left="1457" w:right="1409" w:firstLine="439"/>
        <w:rPr>
          <w:sz w:val="24"/>
          <w:szCs w:val="24"/>
        </w:rPr>
      </w:pPr>
      <w:r>
        <w:rPr>
          <w:spacing w:val="-20"/>
          <w:sz w:val="24"/>
          <w:szCs w:val="24"/>
        </w:rPr>
        <w:t>混凝土浇筑后，表面比较大的混凝土，使用平板振捣器振一遍，然后用刮杆刮平，再用木</w:t>
      </w:r>
      <w:r>
        <w:rPr>
          <w:spacing w:val="-21"/>
          <w:sz w:val="24"/>
          <w:szCs w:val="24"/>
        </w:rPr>
        <w:t>抹子搓平。收面前必须校核混凝土表面标高，不符合要求处</w:t>
      </w:r>
      <w:r>
        <w:rPr>
          <w:spacing w:val="-22"/>
          <w:sz w:val="24"/>
          <w:szCs w:val="24"/>
        </w:rPr>
        <w:t>立即整改。</w:t>
      </w:r>
    </w:p>
    <w:p w14:paraId="50EB0FA1">
      <w:pPr>
        <w:pStyle w:val="2"/>
        <w:spacing w:before="1" w:line="216" w:lineRule="auto"/>
        <w:ind w:left="1893"/>
        <w:rPr>
          <w:sz w:val="24"/>
          <w:szCs w:val="24"/>
        </w:rPr>
      </w:pPr>
      <w:r>
        <w:rPr>
          <w:spacing w:val="-18"/>
          <w:sz w:val="24"/>
          <w:szCs w:val="24"/>
        </w:rPr>
        <w:t>（8）混凝土养护</w:t>
      </w:r>
    </w:p>
    <w:p w14:paraId="7CBA3B13">
      <w:pPr>
        <w:pStyle w:val="2"/>
        <w:spacing w:before="118" w:line="308" w:lineRule="auto"/>
        <w:ind w:left="1455" w:right="1411" w:firstLine="468"/>
        <w:rPr>
          <w:sz w:val="24"/>
          <w:szCs w:val="24"/>
        </w:rPr>
      </w:pPr>
      <w:r>
        <w:rPr>
          <w:spacing w:val="-21"/>
          <w:sz w:val="24"/>
          <w:szCs w:val="24"/>
        </w:rPr>
        <w:t>已浇筑完的混凝土，应在12h左右覆盖和浇水。一般常温养护</w:t>
      </w:r>
      <w:r>
        <w:rPr>
          <w:spacing w:val="-22"/>
          <w:sz w:val="24"/>
          <w:szCs w:val="24"/>
        </w:rPr>
        <w:t>不得少于7d，特种混凝土养</w:t>
      </w:r>
      <w:r>
        <w:rPr>
          <w:spacing w:val="-20"/>
          <w:sz w:val="24"/>
          <w:szCs w:val="24"/>
        </w:rPr>
        <w:t>护不得少于14d。养护设专人检查落实，</w:t>
      </w:r>
      <w:r>
        <w:rPr>
          <w:spacing w:val="-21"/>
          <w:sz w:val="24"/>
          <w:szCs w:val="24"/>
        </w:rPr>
        <w:t>防止由于养护不及时，造成混凝土表面裂缝。</w:t>
      </w:r>
    </w:p>
    <w:p w14:paraId="7591B38A">
      <w:pPr>
        <w:pStyle w:val="2"/>
        <w:spacing w:line="218" w:lineRule="auto"/>
        <w:ind w:left="1893"/>
        <w:rPr>
          <w:sz w:val="24"/>
          <w:szCs w:val="24"/>
        </w:rPr>
      </w:pPr>
      <w:r>
        <w:rPr>
          <w:spacing w:val="-17"/>
          <w:sz w:val="24"/>
          <w:szCs w:val="24"/>
        </w:rPr>
        <w:t>（9）模板拆除</w:t>
      </w:r>
    </w:p>
    <w:p w14:paraId="11464C2D">
      <w:pPr>
        <w:pStyle w:val="2"/>
        <w:spacing w:before="116" w:line="299" w:lineRule="auto"/>
        <w:ind w:left="1456" w:right="1414" w:firstLine="436"/>
        <w:rPr>
          <w:sz w:val="24"/>
          <w:szCs w:val="24"/>
        </w:rPr>
      </w:pPr>
      <w:r>
        <w:rPr>
          <w:spacing w:val="-20"/>
          <w:sz w:val="24"/>
          <w:szCs w:val="24"/>
        </w:rPr>
        <w:t>侧面模板在混凝土强度能保证其棱角不因拆模板而受损坏时方可拆模，拆模前设专人检查混凝土强度，拆除时采用撬棍从一侧顺序拆除，不得采用大锤砸或撬棍乱撬，以免造成混凝土</w:t>
      </w:r>
      <w:r>
        <w:rPr>
          <w:spacing w:val="-21"/>
          <w:sz w:val="24"/>
          <w:szCs w:val="24"/>
        </w:rPr>
        <w:t>损坏。</w:t>
      </w:r>
    </w:p>
    <w:p w14:paraId="3D25D7D9">
      <w:pPr>
        <w:pStyle w:val="2"/>
        <w:spacing w:before="2" w:line="217" w:lineRule="auto"/>
        <w:ind w:left="2010"/>
        <w:outlineLvl w:val="2"/>
        <w:rPr>
          <w:sz w:val="28"/>
          <w:szCs w:val="28"/>
        </w:rPr>
      </w:pPr>
      <w:bookmarkStart w:id="34" w:name="bookmark34"/>
      <w:bookmarkEnd w:id="34"/>
      <w:r>
        <w:rPr>
          <w:b/>
          <w:bCs/>
          <w:spacing w:val="-25"/>
          <w:sz w:val="28"/>
          <w:szCs w:val="28"/>
        </w:rPr>
        <w:t>四、阀门安装</w:t>
      </w:r>
    </w:p>
    <w:p w14:paraId="5AB99524">
      <w:pPr>
        <w:pStyle w:val="2"/>
        <w:spacing w:before="105" w:line="293" w:lineRule="auto"/>
        <w:ind w:left="1456" w:right="1411" w:firstLine="447"/>
        <w:jc w:val="both"/>
        <w:rPr>
          <w:sz w:val="24"/>
          <w:szCs w:val="24"/>
        </w:rPr>
      </w:pPr>
      <w:r>
        <w:rPr>
          <w:spacing w:val="-22"/>
          <w:sz w:val="24"/>
          <w:szCs w:val="24"/>
        </w:rPr>
        <w:t>1、安装前的检查及试验阀门是管路上重要部件、必须保</w:t>
      </w:r>
      <w:r>
        <w:rPr>
          <w:spacing w:val="-23"/>
          <w:sz w:val="24"/>
          <w:szCs w:val="24"/>
        </w:rPr>
        <w:t>证安装质量，才能满足使用功能的</w:t>
      </w:r>
      <w:r>
        <w:rPr>
          <w:spacing w:val="-20"/>
          <w:sz w:val="24"/>
          <w:szCs w:val="24"/>
        </w:rPr>
        <w:t>要求。一般情况下，阀门产品从出厂到安装使用须经过多次运输和较长。在这些过程中，往往会造成阀门的泄漏。因此，阀门在安装前必须对其进行检查、试压。对安装在重要部位或使用压力、温度较高及阀门包装损坏，进入泥沙等赃物时，还应进行清洗，更换填料、垫片；当阀门密封面不严发生泄漏时，还应进行研磨。电动阀、安全阀应在进行工艺性能试验合格后才能</w:t>
      </w:r>
      <w:r>
        <w:rPr>
          <w:spacing w:val="-17"/>
          <w:sz w:val="24"/>
          <w:szCs w:val="24"/>
        </w:rPr>
        <w:t>安装使用。</w:t>
      </w:r>
    </w:p>
    <w:tbl>
      <w:tblPr>
        <w:tblStyle w:val="6"/>
        <w:tblW w:w="8549" w:type="dxa"/>
        <w:tblInd w:w="1678" w:type="dxa"/>
        <w:tblBorders>
          <w:top w:val="single" w:color="5B9BD5" w:sz="4" w:space="0"/>
          <w:left w:val="single" w:color="5B9BD5" w:sz="4" w:space="0"/>
          <w:bottom w:val="single" w:color="5B9BD5" w:sz="4" w:space="0"/>
          <w:right w:val="single" w:color="5B9BD5" w:sz="4" w:space="0"/>
          <w:insideH w:val="single" w:color="5B9BD5" w:sz="4" w:space="0"/>
          <w:insideV w:val="single" w:color="5B9BD5" w:sz="4" w:space="0"/>
        </w:tblBorders>
        <w:tblLayout w:type="fixed"/>
        <w:tblCellMar>
          <w:top w:w="0" w:type="dxa"/>
          <w:left w:w="0" w:type="dxa"/>
          <w:bottom w:w="0" w:type="dxa"/>
          <w:right w:w="0" w:type="dxa"/>
        </w:tblCellMar>
      </w:tblPr>
      <w:tblGrid>
        <w:gridCol w:w="4296"/>
        <w:gridCol w:w="3277"/>
        <w:gridCol w:w="976"/>
      </w:tblGrid>
      <w:tr w14:paraId="7A930AC8">
        <w:tblPrEx>
          <w:tblBorders>
            <w:top w:val="single" w:color="5B9BD5" w:sz="4" w:space="0"/>
            <w:left w:val="single" w:color="5B9BD5" w:sz="4" w:space="0"/>
            <w:bottom w:val="single" w:color="5B9BD5" w:sz="4" w:space="0"/>
            <w:right w:val="single" w:color="5B9BD5" w:sz="4" w:space="0"/>
            <w:insideH w:val="single" w:color="5B9BD5" w:sz="4" w:space="0"/>
            <w:insideV w:val="single" w:color="5B9BD5" w:sz="4" w:space="0"/>
          </w:tblBorders>
          <w:tblCellMar>
            <w:top w:w="0" w:type="dxa"/>
            <w:left w:w="0" w:type="dxa"/>
            <w:bottom w:w="0" w:type="dxa"/>
            <w:right w:w="0" w:type="dxa"/>
          </w:tblCellMar>
        </w:tblPrEx>
        <w:trPr>
          <w:trHeight w:val="649" w:hRule="atLeast"/>
        </w:trPr>
        <w:tc>
          <w:tcPr>
            <w:tcW w:w="4296" w:type="dxa"/>
            <w:tcBorders>
              <w:top w:val="single" w:color="1C456A" w:sz="4" w:space="0"/>
              <w:left w:val="single" w:color="1C456A" w:sz="4" w:space="0"/>
              <w:bottom w:val="single" w:color="1C456A" w:sz="4" w:space="0"/>
              <w:right w:val="single" w:color="000000" w:sz="2" w:space="0"/>
            </w:tcBorders>
            <w:shd w:val="clear" w:color="auto" w:fill="DEEAF6"/>
            <w:vAlign w:val="top"/>
          </w:tcPr>
          <w:p w14:paraId="09223ED1">
            <w:pPr>
              <w:spacing w:line="33" w:lineRule="exact"/>
              <w:ind w:firstLine="4264"/>
            </w:pPr>
            <w:r>
              <w:pict>
                <v:shape id="_x0000_s1510" o:spid="_x0000_s1510" style="position:absolute;left:0pt;margin-left:-0.2pt;margin-top:0pt;height:0.75pt;width:2.2pt;mso-position-horizontal-relative:page;mso-position-vertical-relative:page;z-index:251745280;mso-width-relative:page;mso-height-relative:page;" fillcolor="#5B9BD5" filled="t" stroked="f" coordsize="44,15" path="m0,14l43,14,43,0,0,0,0,14xe">
                  <v:path/>
                  <v:fill on="t" focussize="0,0"/>
                  <v:stroke on="f"/>
                  <v:imagedata o:title=""/>
                  <o:lock v:ext="edit"/>
                </v:shape>
              </w:pict>
            </w:r>
            <w:r>
              <w:pict>
                <v:shape id="_x0000_s1511" o:spid="_x0000_s1511" style="position:absolute;left:0pt;margin-left:-0.2pt;margin-top:32.75pt;height:0.75pt;width:2.2pt;mso-position-horizontal-relative:page;mso-position-vertical-relative:page;z-index:251746304;mso-width-relative:page;mso-height-relative:page;" fillcolor="#5B9BD5" filled="t" stroked="f" coordsize="44,15" path="m0,14l43,14,43,0,0,0,0,14xe">
                  <v:path/>
                  <v:fill on="t" focussize="0,0"/>
                  <v:stroke on="f"/>
                  <v:imagedata o:title=""/>
                  <o:lock v:ext="edit"/>
                </v:shape>
              </w:pict>
            </w:r>
            <w:r>
              <w:pict>
                <v:group id="_x0000_s1512" o:spid="_x0000_s1512" o:spt="203" style="height:2.2pt;width:2.2pt;" coordsize="44,44">
                  <o:lock v:ext="edit"/>
                  <v:shape id="_x0000_s1513" o:spid="_x0000_s1513" style="position:absolute;left:0;top:0;height:15;width:44;" fillcolor="#5B9BD5" filled="t" stroked="f" coordsize="44,15" path="m0,14l43,14,43,0,0,0,0,14xe">
                    <v:path/>
                    <v:fill on="t" focussize="0,0"/>
                    <v:stroke on="f"/>
                    <v:imagedata o:title=""/>
                    <o:lock v:ext="edit"/>
                  </v:shape>
                  <v:shape id="_x0000_s1514" o:spid="_x0000_s1514" style="position:absolute;left:0;top:14;height:15;width:44;" fillcolor="#20507B" filled="t" stroked="f" coordsize="44,15" path="m0,14l43,14,43,0,0,0,0,14xe">
                    <v:path/>
                    <v:fill on="t" focussize="0,0"/>
                    <v:stroke on="f"/>
                    <v:imagedata o:title=""/>
                    <o:lock v:ext="edit"/>
                  </v:shape>
                  <v:shape id="_x0000_s1515" o:spid="_x0000_s1515" style="position:absolute;left:0;top:28;height:15;width:44;" fillcolor="#1C456A" filled="t" stroked="f" coordsize="44,15" path="m0,14l43,14,43,0,0,0,0,14xe">
                    <v:path/>
                    <v:fill on="t" focussize="0,0"/>
                    <v:stroke on="f"/>
                    <v:imagedata o:title=""/>
                    <o:lock v:ext="edit"/>
                  </v:shape>
                  <w10:wrap type="none"/>
                  <w10:anchorlock/>
                </v:group>
              </w:pict>
            </w:r>
          </w:p>
          <w:p w14:paraId="49FFDAF4">
            <w:pPr>
              <w:pStyle w:val="7"/>
              <w:spacing w:before="93" w:line="218" w:lineRule="auto"/>
              <w:ind w:left="1703"/>
            </w:pPr>
            <w:r>
              <w:rPr>
                <w:b/>
                <w:bCs/>
                <w:spacing w:val="-10"/>
              </w:rPr>
              <w:t>45°弯头</w:t>
            </w:r>
          </w:p>
        </w:tc>
        <w:tc>
          <w:tcPr>
            <w:tcW w:w="3277" w:type="dxa"/>
            <w:tcBorders>
              <w:left w:val="single" w:color="000000" w:sz="2" w:space="0"/>
              <w:right w:val="nil"/>
            </w:tcBorders>
            <w:shd w:val="clear" w:color="auto" w:fill="DEEAF6"/>
            <w:vAlign w:val="top"/>
          </w:tcPr>
          <w:p w14:paraId="62E6B6DC">
            <w:pPr>
              <w:pStyle w:val="7"/>
              <w:spacing w:before="126" w:line="227" w:lineRule="auto"/>
              <w:ind w:left="1931"/>
            </w:pPr>
            <w:r>
              <w:rPr>
                <w:b/>
                <w:bCs/>
                <w:spacing w:val="-19"/>
              </w:rPr>
              <w:t>四通</w:t>
            </w:r>
          </w:p>
        </w:tc>
        <w:tc>
          <w:tcPr>
            <w:tcW w:w="976" w:type="dxa"/>
            <w:tcBorders>
              <w:left w:val="nil"/>
            </w:tcBorders>
            <w:shd w:val="clear" w:color="auto" w:fill="DEEAF6"/>
            <w:vAlign w:val="top"/>
          </w:tcPr>
          <w:p w14:paraId="18A3E9D8">
            <w:pPr>
              <w:rPr>
                <w:rFonts w:ascii="Arial"/>
                <w:sz w:val="21"/>
              </w:rPr>
            </w:pPr>
            <w:r>
              <w:pict>
                <v:shape id="_x0000_s1516" o:spid="_x0000_s1516" style="position:absolute;left:0pt;margin-left:46.95pt;margin-top:0pt;height:0.75pt;width:2.2pt;mso-position-horizontal-relative:page;mso-position-vertical-relative:page;z-index:251743232;mso-width-relative:page;mso-height-relative:page;" fillcolor="#5B9BD5" filled="t" stroked="f" coordsize="44,15" path="m0,14l43,14,43,0,0,0,0,14xe">
                  <v:path/>
                  <v:fill on="t" focussize="0,0"/>
                  <v:stroke on="f"/>
                  <v:imagedata o:title=""/>
                  <o:lock v:ext="edit"/>
                </v:shape>
              </w:pict>
            </w:r>
            <w:r>
              <w:pict>
                <v:shape id="_x0000_s1517" o:spid="_x0000_s1517" style="position:absolute;left:0pt;margin-left:46.95pt;margin-top:32.75pt;height:0.75pt;width:2.2pt;mso-position-horizontal-relative:page;mso-position-vertical-relative:page;z-index:251744256;mso-width-relative:page;mso-height-relative:page;" fillcolor="#5B9BD5" filled="t" stroked="f" coordsize="44,15" path="m0,14l43,14,43,0,0,0,0,14xe">
                  <v:path/>
                  <v:fill on="t" focussize="0,0"/>
                  <v:stroke on="f"/>
                  <v:imagedata o:title=""/>
                  <o:lock v:ext="edit"/>
                </v:shape>
              </w:pict>
            </w:r>
          </w:p>
        </w:tc>
      </w:tr>
    </w:tbl>
    <w:p w14:paraId="0D87E82D">
      <w:pPr>
        <w:rPr>
          <w:rFonts w:ascii="Arial"/>
          <w:sz w:val="21"/>
        </w:rPr>
      </w:pPr>
    </w:p>
    <w:p w14:paraId="7811432E">
      <w:pPr>
        <w:spacing w:line="214" w:lineRule="exact"/>
      </w:pPr>
    </w:p>
    <w:tbl>
      <w:tblPr>
        <w:tblStyle w:val="6"/>
        <w:tblW w:w="8549" w:type="dxa"/>
        <w:tblInd w:w="1678" w:type="dxa"/>
        <w:tblBorders>
          <w:top w:val="single" w:color="1C456A" w:sz="4" w:space="0"/>
          <w:left w:val="single" w:color="1C456A" w:sz="4" w:space="0"/>
          <w:bottom w:val="single" w:color="1C456A" w:sz="4" w:space="0"/>
          <w:right w:val="single" w:color="1C456A" w:sz="4" w:space="0"/>
          <w:insideH w:val="single" w:color="1C456A" w:sz="4" w:space="0"/>
          <w:insideV w:val="single" w:color="1C456A" w:sz="4" w:space="0"/>
        </w:tblBorders>
        <w:tblLayout w:type="fixed"/>
        <w:tblCellMar>
          <w:top w:w="0" w:type="dxa"/>
          <w:left w:w="0" w:type="dxa"/>
          <w:bottom w:w="0" w:type="dxa"/>
          <w:right w:w="0" w:type="dxa"/>
        </w:tblCellMar>
      </w:tblPr>
      <w:tblGrid>
        <w:gridCol w:w="4274"/>
        <w:gridCol w:w="4275"/>
      </w:tblGrid>
      <w:tr w14:paraId="505F5F6A">
        <w:tblPrEx>
          <w:tblBorders>
            <w:top w:val="single" w:color="1C456A" w:sz="4" w:space="0"/>
            <w:left w:val="single" w:color="1C456A" w:sz="4" w:space="0"/>
            <w:bottom w:val="single" w:color="1C456A" w:sz="4" w:space="0"/>
            <w:right w:val="single" w:color="1C456A" w:sz="4" w:space="0"/>
            <w:insideH w:val="single" w:color="1C456A" w:sz="4" w:space="0"/>
            <w:insideV w:val="single" w:color="1C456A" w:sz="4" w:space="0"/>
          </w:tblBorders>
          <w:tblCellMar>
            <w:top w:w="0" w:type="dxa"/>
            <w:left w:w="0" w:type="dxa"/>
            <w:bottom w:w="0" w:type="dxa"/>
            <w:right w:w="0" w:type="dxa"/>
          </w:tblCellMar>
        </w:tblPrEx>
        <w:trPr>
          <w:trHeight w:val="3030" w:hRule="atLeast"/>
        </w:trPr>
        <w:tc>
          <w:tcPr>
            <w:tcW w:w="4274" w:type="dxa"/>
            <w:tcBorders>
              <w:right w:val="single" w:color="000000" w:sz="2" w:space="0"/>
            </w:tcBorders>
            <w:vAlign w:val="top"/>
          </w:tcPr>
          <w:p w14:paraId="0A92ADB9">
            <w:pPr>
              <w:spacing w:before="93" w:line="2688" w:lineRule="exact"/>
              <w:ind w:firstLine="121"/>
            </w:pPr>
            <w:r>
              <w:rPr>
                <w:position w:val="-53"/>
              </w:rPr>
              <w:drawing>
                <wp:inline distT="0" distB="0" distL="0" distR="0">
                  <wp:extent cx="2563495" cy="1706245"/>
                  <wp:effectExtent l="0" t="0" r="0" b="0"/>
                  <wp:docPr id="348" name="IM 348"/>
                  <wp:cNvGraphicFramePr/>
                  <a:graphic xmlns:a="http://schemas.openxmlformats.org/drawingml/2006/main">
                    <a:graphicData uri="http://schemas.openxmlformats.org/drawingml/2006/picture">
                      <pic:pic xmlns:pic="http://schemas.openxmlformats.org/drawingml/2006/picture">
                        <pic:nvPicPr>
                          <pic:cNvPr id="348" name="IM 348"/>
                          <pic:cNvPicPr/>
                        </pic:nvPicPr>
                        <pic:blipFill>
                          <a:blip r:embed="rId494"/>
                          <a:stretch>
                            <a:fillRect/>
                          </a:stretch>
                        </pic:blipFill>
                        <pic:spPr>
                          <a:xfrm>
                            <a:off x="0" y="0"/>
                            <a:ext cx="2563495" cy="1706879"/>
                          </a:xfrm>
                          <a:prstGeom prst="rect">
                            <a:avLst/>
                          </a:prstGeom>
                        </pic:spPr>
                      </pic:pic>
                    </a:graphicData>
                  </a:graphic>
                </wp:inline>
              </w:drawing>
            </w:r>
          </w:p>
        </w:tc>
        <w:tc>
          <w:tcPr>
            <w:tcW w:w="4275" w:type="dxa"/>
            <w:tcBorders>
              <w:top w:val="single" w:color="5B9BD5" w:sz="4" w:space="0"/>
              <w:left w:val="single" w:color="000000" w:sz="2" w:space="0"/>
              <w:bottom w:val="single" w:color="5B9BD5" w:sz="4" w:space="0"/>
              <w:right w:val="single" w:color="5B9BD5" w:sz="4" w:space="0"/>
            </w:tcBorders>
            <w:vAlign w:val="top"/>
          </w:tcPr>
          <w:p w14:paraId="4F56A72F">
            <w:pPr>
              <w:spacing w:before="139" w:line="2599" w:lineRule="exact"/>
              <w:ind w:firstLine="107"/>
            </w:pPr>
            <w:r>
              <w:rPr>
                <w:position w:val="-51"/>
              </w:rPr>
              <w:drawing>
                <wp:inline distT="0" distB="0" distL="0" distR="0">
                  <wp:extent cx="2565400" cy="1650365"/>
                  <wp:effectExtent l="0" t="0" r="0" b="0"/>
                  <wp:docPr id="350" name="IM 350"/>
                  <wp:cNvGraphicFramePr/>
                  <a:graphic xmlns:a="http://schemas.openxmlformats.org/drawingml/2006/main">
                    <a:graphicData uri="http://schemas.openxmlformats.org/drawingml/2006/picture">
                      <pic:pic xmlns:pic="http://schemas.openxmlformats.org/drawingml/2006/picture">
                        <pic:nvPicPr>
                          <pic:cNvPr id="350" name="IM 350"/>
                          <pic:cNvPicPr/>
                        </pic:nvPicPr>
                        <pic:blipFill>
                          <a:blip r:embed="rId495"/>
                          <a:stretch>
                            <a:fillRect/>
                          </a:stretch>
                        </pic:blipFill>
                        <pic:spPr>
                          <a:xfrm>
                            <a:off x="0" y="0"/>
                            <a:ext cx="2565400" cy="1650365"/>
                          </a:xfrm>
                          <a:prstGeom prst="rect">
                            <a:avLst/>
                          </a:prstGeom>
                        </pic:spPr>
                      </pic:pic>
                    </a:graphicData>
                  </a:graphic>
                </wp:inline>
              </w:drawing>
            </w:r>
          </w:p>
        </w:tc>
      </w:tr>
    </w:tbl>
    <w:p w14:paraId="69FC9A01">
      <w:pPr>
        <w:pStyle w:val="2"/>
        <w:spacing w:before="112" w:line="216" w:lineRule="auto"/>
        <w:ind w:left="1888"/>
        <w:rPr>
          <w:sz w:val="24"/>
          <w:szCs w:val="24"/>
        </w:rPr>
      </w:pPr>
      <w:r>
        <w:rPr>
          <w:spacing w:val="-16"/>
          <w:sz w:val="24"/>
          <w:szCs w:val="24"/>
        </w:rPr>
        <w:t>2、阀门的检查</w:t>
      </w:r>
    </w:p>
    <w:p w14:paraId="0D2D05AF">
      <w:pPr>
        <w:pStyle w:val="2"/>
        <w:spacing w:before="120" w:line="217" w:lineRule="auto"/>
        <w:ind w:left="1893"/>
        <w:rPr>
          <w:sz w:val="24"/>
          <w:szCs w:val="24"/>
        </w:rPr>
      </w:pPr>
      <w:r>
        <w:rPr>
          <w:spacing w:val="-21"/>
          <w:sz w:val="24"/>
          <w:szCs w:val="24"/>
        </w:rPr>
        <w:t>（1）阀门内外表面有无砂眼、沾砂、氧化皮、毛</w:t>
      </w:r>
      <w:r>
        <w:rPr>
          <w:spacing w:val="-22"/>
          <w:sz w:val="24"/>
          <w:szCs w:val="24"/>
        </w:rPr>
        <w:t>刺、缩孔、裂纹等缺陷。</w:t>
      </w:r>
    </w:p>
    <w:p w14:paraId="7DB5BFA0">
      <w:pPr>
        <w:pStyle w:val="2"/>
        <w:spacing w:before="118" w:line="218" w:lineRule="auto"/>
        <w:ind w:left="1893"/>
        <w:rPr>
          <w:sz w:val="24"/>
          <w:szCs w:val="24"/>
        </w:rPr>
      </w:pPr>
      <w:r>
        <w:rPr>
          <w:spacing w:val="-21"/>
          <w:sz w:val="24"/>
          <w:szCs w:val="24"/>
        </w:rPr>
        <w:t>（2）阀座与客体接合是否牢固，有无松动、脱落现象。</w:t>
      </w:r>
    </w:p>
    <w:p w14:paraId="73B1F1FF">
      <w:pPr>
        <w:pStyle w:val="2"/>
        <w:spacing w:before="116" w:line="217" w:lineRule="auto"/>
        <w:ind w:left="1893"/>
        <w:rPr>
          <w:sz w:val="24"/>
          <w:szCs w:val="24"/>
        </w:rPr>
      </w:pPr>
      <w:r>
        <w:rPr>
          <w:spacing w:val="-20"/>
          <w:sz w:val="24"/>
          <w:szCs w:val="24"/>
        </w:rPr>
        <w:t>（3）阀芯与阀座是否吻合，密封面有无缺</w:t>
      </w:r>
      <w:r>
        <w:rPr>
          <w:spacing w:val="-21"/>
          <w:sz w:val="24"/>
          <w:szCs w:val="24"/>
        </w:rPr>
        <w:t>陷。</w:t>
      </w:r>
    </w:p>
    <w:p w14:paraId="7D18B880">
      <w:pPr>
        <w:pStyle w:val="2"/>
        <w:spacing w:before="118" w:line="218" w:lineRule="auto"/>
        <w:ind w:left="1893"/>
        <w:rPr>
          <w:sz w:val="24"/>
          <w:szCs w:val="24"/>
        </w:rPr>
      </w:pPr>
      <w:r>
        <w:rPr>
          <w:spacing w:val="-22"/>
          <w:sz w:val="24"/>
          <w:szCs w:val="24"/>
        </w:rPr>
        <w:t>（4）阀杆与阀芯连接是否灵活可靠，阀杆有无弯曲、螺纹有无损坏。</w:t>
      </w:r>
    </w:p>
    <w:p w14:paraId="0271AB77">
      <w:pPr>
        <w:pStyle w:val="2"/>
        <w:spacing w:before="118" w:line="216" w:lineRule="auto"/>
        <w:ind w:left="1893"/>
        <w:rPr>
          <w:sz w:val="24"/>
          <w:szCs w:val="24"/>
        </w:rPr>
      </w:pPr>
      <w:r>
        <w:rPr>
          <w:spacing w:val="-21"/>
          <w:sz w:val="24"/>
          <w:szCs w:val="24"/>
        </w:rPr>
        <w:t>（5）阀托与填料压盖是否配合妥当。</w:t>
      </w:r>
    </w:p>
    <w:p w14:paraId="544431F6">
      <w:pPr>
        <w:pStyle w:val="2"/>
        <w:spacing w:before="117" w:line="220" w:lineRule="auto"/>
        <w:ind w:left="1893"/>
        <w:rPr>
          <w:sz w:val="24"/>
          <w:szCs w:val="24"/>
        </w:rPr>
      </w:pPr>
      <w:r>
        <w:rPr>
          <w:spacing w:val="-20"/>
          <w:sz w:val="24"/>
          <w:szCs w:val="24"/>
        </w:rPr>
        <w:t>（6）阀盖法兰的结合是否严密。</w:t>
      </w:r>
    </w:p>
    <w:p w14:paraId="45C7AF45">
      <w:pPr>
        <w:pStyle w:val="2"/>
        <w:spacing w:before="115" w:line="216" w:lineRule="auto"/>
        <w:ind w:left="1893"/>
        <w:rPr>
          <w:sz w:val="24"/>
          <w:szCs w:val="24"/>
        </w:rPr>
      </w:pPr>
      <w:r>
        <w:rPr>
          <w:spacing w:val="-21"/>
          <w:sz w:val="24"/>
          <w:szCs w:val="24"/>
        </w:rPr>
        <w:t>（7）填料、垫片、螺栓的材质是否符合使用要求。</w:t>
      </w:r>
    </w:p>
    <w:p w14:paraId="72FE8C47">
      <w:pPr>
        <w:pStyle w:val="2"/>
        <w:spacing w:before="121" w:line="217" w:lineRule="auto"/>
        <w:ind w:left="1893"/>
        <w:rPr>
          <w:sz w:val="24"/>
          <w:szCs w:val="24"/>
        </w:rPr>
      </w:pPr>
      <w:r>
        <w:rPr>
          <w:spacing w:val="-20"/>
          <w:sz w:val="24"/>
          <w:szCs w:val="24"/>
        </w:rPr>
        <w:t>（8）阀门开启是否灵活，有无卡住现象。</w:t>
      </w:r>
    </w:p>
    <w:p w14:paraId="6C323627">
      <w:pPr>
        <w:pStyle w:val="2"/>
        <w:spacing w:before="115" w:line="216" w:lineRule="auto"/>
        <w:ind w:left="1893"/>
        <w:rPr>
          <w:sz w:val="24"/>
          <w:szCs w:val="24"/>
        </w:rPr>
      </w:pPr>
      <w:r>
        <w:rPr>
          <w:spacing w:val="-22"/>
          <w:sz w:val="24"/>
          <w:szCs w:val="24"/>
        </w:rPr>
        <w:t>（9）对于阀门检查中发现的缺陷，应及时检修处理，不合格的阀门不能安装。</w:t>
      </w:r>
    </w:p>
    <w:p w14:paraId="429C3DE4">
      <w:pPr>
        <w:pStyle w:val="2"/>
        <w:spacing w:before="121" w:line="277" w:lineRule="auto"/>
        <w:ind w:left="1455" w:right="1409" w:firstLine="434"/>
        <w:rPr>
          <w:sz w:val="24"/>
          <w:szCs w:val="24"/>
        </w:rPr>
      </w:pPr>
      <w:r>
        <w:rPr>
          <w:spacing w:val="-22"/>
          <w:sz w:val="24"/>
          <w:szCs w:val="24"/>
        </w:rPr>
        <w:t>3、阀门的清洗阀门的清洗应解体进行。一般是浸泡在煤油里，用刷子和棉布擦拭，除去阀</w:t>
      </w:r>
      <w:r>
        <w:rPr>
          <w:spacing w:val="-20"/>
          <w:sz w:val="24"/>
          <w:szCs w:val="24"/>
        </w:rPr>
        <w:t>腔及各零件上的污物及锈漆。清洗后，保持零件干燥，重新更换己损坏的垫片和填料函。如发</w:t>
      </w:r>
      <w:r>
        <w:rPr>
          <w:spacing w:val="-21"/>
          <w:sz w:val="24"/>
          <w:szCs w:val="24"/>
        </w:rPr>
        <w:t>现密封面受到损伤，还应视损伤情况进行研磨或更换。</w:t>
      </w:r>
    </w:p>
    <w:p w14:paraId="58785B3E">
      <w:pPr>
        <w:pStyle w:val="2"/>
        <w:spacing w:before="120" w:line="217" w:lineRule="auto"/>
        <w:ind w:left="1884"/>
        <w:rPr>
          <w:sz w:val="24"/>
          <w:szCs w:val="24"/>
        </w:rPr>
      </w:pPr>
      <w:r>
        <w:rPr>
          <w:spacing w:val="-16"/>
          <w:sz w:val="24"/>
          <w:szCs w:val="24"/>
        </w:rPr>
        <w:t>4、阀门的安装</w:t>
      </w:r>
    </w:p>
    <w:p w14:paraId="78148044">
      <w:pPr>
        <w:spacing w:line="34" w:lineRule="auto"/>
        <w:rPr>
          <w:rFonts w:ascii="Arial"/>
          <w:sz w:val="2"/>
        </w:rPr>
      </w:pPr>
    </w:p>
    <w:tbl>
      <w:tblPr>
        <w:tblStyle w:val="6"/>
        <w:tblW w:w="8549" w:type="dxa"/>
        <w:tblInd w:w="1678" w:type="dxa"/>
        <w:tblBorders>
          <w:top w:val="single" w:color="5B9BD5" w:sz="4" w:space="0"/>
          <w:left w:val="single" w:color="5B9BD5" w:sz="4" w:space="0"/>
          <w:bottom w:val="single" w:color="5B9BD5" w:sz="4" w:space="0"/>
          <w:right w:val="single" w:color="5B9BD5" w:sz="4" w:space="0"/>
          <w:insideH w:val="single" w:color="5B9BD5" w:sz="4" w:space="0"/>
          <w:insideV w:val="single" w:color="5B9BD5" w:sz="4" w:space="0"/>
        </w:tblBorders>
        <w:tblLayout w:type="fixed"/>
        <w:tblCellMar>
          <w:top w:w="0" w:type="dxa"/>
          <w:left w:w="0" w:type="dxa"/>
          <w:bottom w:w="0" w:type="dxa"/>
          <w:right w:w="0" w:type="dxa"/>
        </w:tblCellMar>
      </w:tblPr>
      <w:tblGrid>
        <w:gridCol w:w="87"/>
        <w:gridCol w:w="4187"/>
        <w:gridCol w:w="4275"/>
      </w:tblGrid>
      <w:tr w14:paraId="10D3B5E3">
        <w:tblPrEx>
          <w:tblBorders>
            <w:top w:val="single" w:color="5B9BD5" w:sz="4" w:space="0"/>
            <w:left w:val="single" w:color="5B9BD5" w:sz="4" w:space="0"/>
            <w:bottom w:val="single" w:color="5B9BD5" w:sz="4" w:space="0"/>
            <w:right w:val="single" w:color="5B9BD5" w:sz="4" w:space="0"/>
            <w:insideH w:val="single" w:color="5B9BD5" w:sz="4" w:space="0"/>
            <w:insideV w:val="single" w:color="5B9BD5" w:sz="4" w:space="0"/>
          </w:tblBorders>
        </w:tblPrEx>
        <w:trPr>
          <w:trHeight w:val="591" w:hRule="atLeast"/>
        </w:trPr>
        <w:tc>
          <w:tcPr>
            <w:tcW w:w="87" w:type="dxa"/>
            <w:tcBorders>
              <w:bottom w:val="single" w:color="000000" w:sz="2" w:space="0"/>
              <w:right w:val="nil"/>
            </w:tcBorders>
            <w:vAlign w:val="top"/>
          </w:tcPr>
          <w:p w14:paraId="1688E3D8">
            <w:pPr>
              <w:rPr>
                <w:rFonts w:ascii="Arial"/>
                <w:sz w:val="21"/>
              </w:rPr>
            </w:pPr>
            <w:r>
              <w:pict>
                <v:shape id="_x0000_s1518" o:spid="_x0000_s1518" style="position:absolute;left:0pt;margin-left:-0.25pt;margin-top:0pt;height:0.75pt;width:2.2pt;mso-position-horizontal-relative:page;mso-position-vertical-relative:page;z-index:251748352;mso-width-relative:page;mso-height-relative:page;" fillcolor="#5B9BD5" filled="t" stroked="f" coordsize="44,15" path="m0,14l43,14,43,0,0,0,0,14xe">
                  <v:path/>
                  <v:fill on="t" focussize="0,0"/>
                  <v:stroke on="f"/>
                  <v:imagedata o:title=""/>
                  <o:lock v:ext="edit"/>
                </v:shape>
              </w:pict>
            </w:r>
          </w:p>
        </w:tc>
        <w:tc>
          <w:tcPr>
            <w:tcW w:w="8462" w:type="dxa"/>
            <w:gridSpan w:val="2"/>
            <w:tcBorders>
              <w:left w:val="nil"/>
              <w:bottom w:val="single" w:color="000000" w:sz="2" w:space="0"/>
            </w:tcBorders>
            <w:shd w:val="clear" w:color="auto" w:fill="DEEAF6"/>
            <w:vAlign w:val="top"/>
          </w:tcPr>
          <w:p w14:paraId="100633F6">
            <w:pPr>
              <w:pStyle w:val="7"/>
              <w:spacing w:before="127" w:line="217" w:lineRule="auto"/>
              <w:ind w:left="4004"/>
            </w:pPr>
            <w:r>
              <w:rPr>
                <w:b/>
                <w:bCs/>
                <w:spacing w:val="-17"/>
              </w:rPr>
              <w:t>阀门</w:t>
            </w:r>
          </w:p>
        </w:tc>
      </w:tr>
      <w:tr w14:paraId="2ABB269C">
        <w:tblPrEx>
          <w:tblBorders>
            <w:top w:val="single" w:color="5B9BD5" w:sz="4" w:space="0"/>
            <w:left w:val="single" w:color="5B9BD5" w:sz="4" w:space="0"/>
            <w:bottom w:val="single" w:color="5B9BD5" w:sz="4" w:space="0"/>
            <w:right w:val="single" w:color="5B9BD5" w:sz="4" w:space="0"/>
            <w:insideH w:val="single" w:color="5B9BD5" w:sz="4" w:space="0"/>
            <w:insideV w:val="single" w:color="5B9BD5" w:sz="4" w:space="0"/>
          </w:tblBorders>
          <w:tblCellMar>
            <w:top w:w="0" w:type="dxa"/>
            <w:left w:w="0" w:type="dxa"/>
            <w:bottom w:w="0" w:type="dxa"/>
            <w:right w:w="0" w:type="dxa"/>
          </w:tblCellMar>
        </w:tblPrEx>
        <w:trPr>
          <w:trHeight w:val="3428" w:hRule="atLeast"/>
        </w:trPr>
        <w:tc>
          <w:tcPr>
            <w:tcW w:w="4274" w:type="dxa"/>
            <w:gridSpan w:val="2"/>
            <w:tcBorders>
              <w:top w:val="single" w:color="000000" w:sz="2" w:space="0"/>
              <w:left w:val="single" w:color="1C456A" w:sz="4" w:space="0"/>
              <w:bottom w:val="single" w:color="1C456A" w:sz="4" w:space="0"/>
              <w:right w:val="single" w:color="000000" w:sz="2" w:space="0"/>
            </w:tcBorders>
            <w:vAlign w:val="top"/>
          </w:tcPr>
          <w:p w14:paraId="263821F6">
            <w:pPr>
              <w:spacing w:before="86" w:line="3094" w:lineRule="exact"/>
              <w:ind w:firstLine="121"/>
            </w:pPr>
            <w:r>
              <w:pict>
                <v:shape id="_x0000_s1519" o:spid="_x0000_s1519" style="position:absolute;left:0pt;margin-left:-0.2pt;margin-top:171.45pt;height:0.75pt;width:2.2pt;mso-position-horizontal-relative:page;mso-position-vertical-relative:page;z-index:251747328;mso-width-relative:page;mso-height-relative:page;" fillcolor="#5B9BD5" filled="t" stroked="f" coordsize="44,15" path="m0,14l43,14,43,0,0,0,0,14xe">
                  <v:path/>
                  <v:fill on="t" focussize="0,0"/>
                  <v:stroke on="f"/>
                  <v:imagedata o:title=""/>
                  <o:lock v:ext="edit"/>
                </v:shape>
              </w:pict>
            </w:r>
            <w:r>
              <w:rPr>
                <w:position w:val="-61"/>
              </w:rPr>
              <w:drawing>
                <wp:inline distT="0" distB="0" distL="0" distR="0">
                  <wp:extent cx="2563495" cy="1964055"/>
                  <wp:effectExtent l="0" t="0" r="0" b="0"/>
                  <wp:docPr id="352" name="IM 352"/>
                  <wp:cNvGraphicFramePr/>
                  <a:graphic xmlns:a="http://schemas.openxmlformats.org/drawingml/2006/main">
                    <a:graphicData uri="http://schemas.openxmlformats.org/drawingml/2006/picture">
                      <pic:pic xmlns:pic="http://schemas.openxmlformats.org/drawingml/2006/picture">
                        <pic:nvPicPr>
                          <pic:cNvPr id="352" name="IM 352"/>
                          <pic:cNvPicPr/>
                        </pic:nvPicPr>
                        <pic:blipFill>
                          <a:blip r:embed="rId496"/>
                          <a:stretch>
                            <a:fillRect/>
                          </a:stretch>
                        </pic:blipFill>
                        <pic:spPr>
                          <a:xfrm>
                            <a:off x="0" y="0"/>
                            <a:ext cx="2563495" cy="1964689"/>
                          </a:xfrm>
                          <a:prstGeom prst="rect">
                            <a:avLst/>
                          </a:prstGeom>
                        </pic:spPr>
                      </pic:pic>
                    </a:graphicData>
                  </a:graphic>
                </wp:inline>
              </w:drawing>
            </w:r>
          </w:p>
        </w:tc>
        <w:tc>
          <w:tcPr>
            <w:tcW w:w="4275" w:type="dxa"/>
            <w:tcBorders>
              <w:top w:val="single" w:color="000000" w:sz="2" w:space="0"/>
              <w:left w:val="single" w:color="000000" w:sz="2" w:space="0"/>
            </w:tcBorders>
            <w:vAlign w:val="top"/>
          </w:tcPr>
          <w:p w14:paraId="538B1997">
            <w:pPr>
              <w:spacing w:before="120" w:line="3026" w:lineRule="exact"/>
              <w:ind w:firstLine="107"/>
            </w:pPr>
            <w:r>
              <w:rPr>
                <w:position w:val="-60"/>
              </w:rPr>
              <w:drawing>
                <wp:inline distT="0" distB="0" distL="0" distR="0">
                  <wp:extent cx="2563495" cy="1920875"/>
                  <wp:effectExtent l="0" t="0" r="0" b="0"/>
                  <wp:docPr id="354" name="IM 354"/>
                  <wp:cNvGraphicFramePr/>
                  <a:graphic xmlns:a="http://schemas.openxmlformats.org/drawingml/2006/main">
                    <a:graphicData uri="http://schemas.openxmlformats.org/drawingml/2006/picture">
                      <pic:pic xmlns:pic="http://schemas.openxmlformats.org/drawingml/2006/picture">
                        <pic:nvPicPr>
                          <pic:cNvPr id="354" name="IM 354"/>
                          <pic:cNvPicPr/>
                        </pic:nvPicPr>
                        <pic:blipFill>
                          <a:blip r:embed="rId497"/>
                          <a:stretch>
                            <a:fillRect/>
                          </a:stretch>
                        </pic:blipFill>
                        <pic:spPr>
                          <a:xfrm>
                            <a:off x="0" y="0"/>
                            <a:ext cx="2563495" cy="1921509"/>
                          </a:xfrm>
                          <a:prstGeom prst="rect">
                            <a:avLst/>
                          </a:prstGeom>
                        </pic:spPr>
                      </pic:pic>
                    </a:graphicData>
                  </a:graphic>
                </wp:inline>
              </w:drawing>
            </w:r>
          </w:p>
        </w:tc>
      </w:tr>
    </w:tbl>
    <w:p w14:paraId="71208BED">
      <w:pPr>
        <w:pStyle w:val="2"/>
        <w:spacing w:before="112" w:line="216" w:lineRule="auto"/>
        <w:ind w:left="1893"/>
        <w:rPr>
          <w:sz w:val="24"/>
          <w:szCs w:val="24"/>
        </w:rPr>
      </w:pPr>
      <w:r>
        <w:rPr>
          <w:spacing w:val="-24"/>
          <w:sz w:val="24"/>
          <w:szCs w:val="24"/>
        </w:rPr>
        <w:t>（1）安装前，应认真核对型号、规格是否符合设计要求：并根据水流方向确定</w:t>
      </w:r>
      <w:r>
        <w:rPr>
          <w:spacing w:val="-25"/>
          <w:sz w:val="24"/>
          <w:szCs w:val="24"/>
        </w:rPr>
        <w:t>其安装方向。</w:t>
      </w:r>
    </w:p>
    <w:p w14:paraId="44D9E368">
      <w:pPr>
        <w:pStyle w:val="2"/>
        <w:spacing w:before="119" w:line="279" w:lineRule="auto"/>
        <w:ind w:left="1460" w:right="1414" w:firstLine="432"/>
        <w:rPr>
          <w:sz w:val="24"/>
          <w:szCs w:val="24"/>
        </w:rPr>
      </w:pPr>
      <w:r>
        <w:rPr>
          <w:spacing w:val="-22"/>
          <w:sz w:val="24"/>
          <w:szCs w:val="24"/>
        </w:rPr>
        <w:t>（2）安装前，应检查阀杆和阀盘是否灵活、有无卡住和歪斜：阀盘关</w:t>
      </w:r>
      <w:r>
        <w:rPr>
          <w:spacing w:val="-23"/>
          <w:sz w:val="24"/>
          <w:szCs w:val="24"/>
        </w:rPr>
        <w:t>闭是否严密，填料是</w:t>
      </w:r>
      <w:r>
        <w:rPr>
          <w:spacing w:val="-20"/>
          <w:sz w:val="24"/>
          <w:szCs w:val="24"/>
        </w:rPr>
        <w:t>否完好，填料压盖有无足够的调节余量，是否进行了压力试验检查，不合格的阀门不得进行安</w:t>
      </w:r>
      <w:r>
        <w:rPr>
          <w:spacing w:val="-19"/>
          <w:sz w:val="24"/>
          <w:szCs w:val="24"/>
        </w:rPr>
        <w:t>装。</w:t>
      </w:r>
    </w:p>
    <w:p w14:paraId="0A630EFB">
      <w:pPr>
        <w:spacing w:line="250" w:lineRule="auto"/>
        <w:rPr>
          <w:rFonts w:ascii="Arial"/>
          <w:sz w:val="21"/>
        </w:rPr>
      </w:pPr>
    </w:p>
    <w:p w14:paraId="3323EB9B">
      <w:pPr>
        <w:pStyle w:val="2"/>
        <w:spacing w:before="78" w:line="277" w:lineRule="auto"/>
        <w:ind w:left="1456" w:right="1409" w:firstLine="436"/>
        <w:rPr>
          <w:sz w:val="24"/>
          <w:szCs w:val="24"/>
        </w:rPr>
      </w:pPr>
      <w:r>
        <w:rPr>
          <w:spacing w:val="-22"/>
          <w:sz w:val="24"/>
          <w:szCs w:val="24"/>
        </w:rPr>
        <w:t>（3）阀门安装的位置不应妨碍设备、管道和阀门本身的安装、操作和检修，安装高度</w:t>
      </w:r>
      <w:r>
        <w:rPr>
          <w:spacing w:val="-23"/>
          <w:sz w:val="24"/>
          <w:szCs w:val="24"/>
        </w:rPr>
        <w:t>一般</w:t>
      </w:r>
      <w:r>
        <w:rPr>
          <w:spacing w:val="-21"/>
          <w:sz w:val="24"/>
          <w:szCs w:val="24"/>
        </w:rPr>
        <w:t>以手轮距地面1~1.2m为宜。对安装在距操作面1.8米以上，且阀门较多时，应设置永久的操作平台，以方便操作。对中量较大的阀门或易损坏的阀门还应</w:t>
      </w:r>
      <w:r>
        <w:rPr>
          <w:spacing w:val="-22"/>
          <w:sz w:val="24"/>
          <w:szCs w:val="24"/>
        </w:rPr>
        <w:t>设置阀门支架。</w:t>
      </w:r>
    </w:p>
    <w:p w14:paraId="52CD2F60">
      <w:pPr>
        <w:pStyle w:val="2"/>
        <w:spacing w:before="120" w:line="262" w:lineRule="auto"/>
        <w:ind w:left="1458" w:right="1410" w:firstLine="434"/>
        <w:rPr>
          <w:sz w:val="24"/>
          <w:szCs w:val="24"/>
        </w:rPr>
      </w:pPr>
      <w:r>
        <w:rPr>
          <w:spacing w:val="-22"/>
          <w:sz w:val="24"/>
          <w:szCs w:val="24"/>
        </w:rPr>
        <w:t>（4）水平管路上的阀门，阀杆一般应安装在上半圆范围内，阀杆不宜向下安装：垂</w:t>
      </w:r>
      <w:r>
        <w:rPr>
          <w:spacing w:val="-23"/>
          <w:sz w:val="24"/>
          <w:szCs w:val="24"/>
        </w:rPr>
        <w:t>直管路</w:t>
      </w:r>
      <w:r>
        <w:rPr>
          <w:spacing w:val="-21"/>
          <w:sz w:val="24"/>
          <w:szCs w:val="24"/>
        </w:rPr>
        <w:t>上的阀门，阀杆应沿着巡回操作信道方向安装，并尽可</w:t>
      </w:r>
      <w:r>
        <w:rPr>
          <w:spacing w:val="-22"/>
          <w:sz w:val="24"/>
          <w:szCs w:val="24"/>
        </w:rPr>
        <w:t>能集中布置，以方便操作。</w:t>
      </w:r>
    </w:p>
    <w:p w14:paraId="0D577FDC">
      <w:pPr>
        <w:pStyle w:val="2"/>
        <w:spacing w:before="117" w:line="263" w:lineRule="auto"/>
        <w:ind w:left="1469" w:right="1427" w:firstLine="423"/>
        <w:rPr>
          <w:sz w:val="24"/>
          <w:szCs w:val="24"/>
        </w:rPr>
      </w:pPr>
      <w:r>
        <w:rPr>
          <w:spacing w:val="-22"/>
          <w:sz w:val="24"/>
          <w:szCs w:val="24"/>
        </w:rPr>
        <w:t>（5）水平并排管路上的阀门，为了缩小管</w:t>
      </w:r>
      <w:r>
        <w:rPr>
          <w:spacing w:val="-23"/>
          <w:sz w:val="24"/>
          <w:szCs w:val="24"/>
        </w:rPr>
        <w:t>道间距，应将阀门前后错开整齐布置：垂直并排</w:t>
      </w:r>
      <w:r>
        <w:rPr>
          <w:spacing w:val="-21"/>
          <w:sz w:val="24"/>
          <w:szCs w:val="24"/>
        </w:rPr>
        <w:t>管道上的阀门最好安装高度一致。</w:t>
      </w:r>
    </w:p>
    <w:p w14:paraId="06B5193B">
      <w:pPr>
        <w:pStyle w:val="2"/>
        <w:spacing w:before="117" w:line="261" w:lineRule="auto"/>
        <w:ind w:left="1480" w:right="1440" w:firstLine="412"/>
        <w:rPr>
          <w:sz w:val="24"/>
          <w:szCs w:val="24"/>
        </w:rPr>
      </w:pPr>
      <w:r>
        <w:rPr>
          <w:spacing w:val="-23"/>
          <w:sz w:val="24"/>
          <w:szCs w:val="24"/>
        </w:rPr>
        <w:t>（6）阀门安装应在关闭状态下进行，搬运要轻拿轻放，吊装绳索不得拴在手轮或阀杆上，</w:t>
      </w:r>
      <w:r>
        <w:rPr>
          <w:spacing w:val="-22"/>
          <w:sz w:val="24"/>
          <w:szCs w:val="24"/>
        </w:rPr>
        <w:t>以防损坏手轮与阀杆。</w:t>
      </w:r>
    </w:p>
    <w:p w14:paraId="14A3A755">
      <w:pPr>
        <w:pStyle w:val="2"/>
        <w:spacing w:before="121" w:line="263" w:lineRule="auto"/>
        <w:ind w:left="1459" w:right="1459" w:firstLine="433"/>
        <w:rPr>
          <w:sz w:val="24"/>
          <w:szCs w:val="24"/>
        </w:rPr>
      </w:pPr>
      <w:r>
        <w:rPr>
          <w:spacing w:val="-22"/>
          <w:sz w:val="24"/>
          <w:szCs w:val="24"/>
        </w:rPr>
        <w:t>（7）阀门传动杆（伸长杆）的夹角不应大于300，其接头应转动灵活。有热位移的阀门，</w:t>
      </w:r>
      <w:r>
        <w:rPr>
          <w:spacing w:val="-20"/>
          <w:sz w:val="24"/>
          <w:szCs w:val="24"/>
        </w:rPr>
        <w:t>传动杆应有补偿措施。</w:t>
      </w:r>
    </w:p>
    <w:p w14:paraId="522E36BE">
      <w:pPr>
        <w:pStyle w:val="2"/>
        <w:spacing w:before="116" w:line="216" w:lineRule="auto"/>
        <w:ind w:left="1893"/>
        <w:rPr>
          <w:sz w:val="24"/>
          <w:szCs w:val="24"/>
        </w:rPr>
      </w:pPr>
      <w:r>
        <w:rPr>
          <w:spacing w:val="-21"/>
          <w:sz w:val="24"/>
          <w:szCs w:val="24"/>
        </w:rPr>
        <w:t>（8）阀门的操作机械和传动装置应进行必要的调整和整定，使其传动灵活，指示准确。</w:t>
      </w:r>
    </w:p>
    <w:p w14:paraId="7618AB83">
      <w:pPr>
        <w:pStyle w:val="2"/>
        <w:spacing w:before="120" w:line="215" w:lineRule="auto"/>
        <w:ind w:left="1893"/>
        <w:rPr>
          <w:sz w:val="24"/>
          <w:szCs w:val="24"/>
        </w:rPr>
      </w:pPr>
      <w:r>
        <w:rPr>
          <w:spacing w:val="-21"/>
          <w:sz w:val="24"/>
          <w:szCs w:val="24"/>
        </w:rPr>
        <w:t>（9）螺纹阀门安装，须在阀门的出口处加装活接头，以方便拆装和检修。</w:t>
      </w:r>
    </w:p>
    <w:p w14:paraId="0A7F7E87">
      <w:pPr>
        <w:pStyle w:val="2"/>
        <w:spacing w:before="86" w:line="218" w:lineRule="auto"/>
        <w:ind w:left="1981"/>
        <w:outlineLvl w:val="2"/>
        <w:rPr>
          <w:sz w:val="28"/>
          <w:szCs w:val="28"/>
        </w:rPr>
      </w:pPr>
      <w:bookmarkStart w:id="35" w:name="bookmark35"/>
      <w:bookmarkEnd w:id="35"/>
      <w:r>
        <w:rPr>
          <w:b/>
          <w:bCs/>
          <w:spacing w:val="-21"/>
          <w:sz w:val="28"/>
          <w:szCs w:val="28"/>
        </w:rPr>
        <w:t>五、室外消火栓</w:t>
      </w:r>
    </w:p>
    <w:p w14:paraId="66286301">
      <w:pPr>
        <w:pStyle w:val="2"/>
        <w:spacing w:before="102" w:line="308" w:lineRule="auto"/>
        <w:ind w:left="1454" w:right="1410" w:firstLine="444"/>
        <w:jc w:val="both"/>
        <w:rPr>
          <w:sz w:val="24"/>
          <w:szCs w:val="24"/>
        </w:rPr>
      </w:pPr>
      <w:r>
        <w:rPr>
          <w:spacing w:val="-18"/>
          <w:sz w:val="24"/>
          <w:szCs w:val="24"/>
        </w:rPr>
        <w:t>消火栓栓口距离地面0.45米，平面距离路侧石0.5米</w:t>
      </w:r>
      <w:r>
        <w:rPr>
          <w:spacing w:val="-19"/>
          <w:sz w:val="24"/>
          <w:szCs w:val="24"/>
        </w:rPr>
        <w:t>。室外消火栓安装详见《室外消火栓</w:t>
      </w:r>
      <w:r>
        <w:rPr>
          <w:spacing w:val="-20"/>
          <w:sz w:val="24"/>
          <w:szCs w:val="24"/>
        </w:rPr>
        <w:t>安装》（13S201）。消火栓与消火栓控制阀间距应不小于2米，地上式消火栓大栓口应朝向马</w:t>
      </w:r>
      <w:r>
        <w:rPr>
          <w:spacing w:val="-21"/>
          <w:sz w:val="24"/>
          <w:szCs w:val="24"/>
        </w:rPr>
        <w:t>路。消火栓位置应避开路口、盲道等影响通行的地方。</w:t>
      </w:r>
    </w:p>
    <w:p w14:paraId="3E4688F7">
      <w:pPr>
        <w:pStyle w:val="2"/>
        <w:spacing w:before="1" w:line="215" w:lineRule="auto"/>
        <w:ind w:left="1903"/>
        <w:rPr>
          <w:sz w:val="24"/>
          <w:szCs w:val="24"/>
        </w:rPr>
      </w:pPr>
      <w:r>
        <w:rPr>
          <w:spacing w:val="-20"/>
          <w:sz w:val="24"/>
          <w:szCs w:val="24"/>
        </w:rPr>
        <w:t>1、检查管道、阀门、消火栓：</w:t>
      </w:r>
    </w:p>
    <w:p w14:paraId="0E3D711E">
      <w:pPr>
        <w:spacing w:line="51" w:lineRule="auto"/>
        <w:rPr>
          <w:rFonts w:ascii="Arial"/>
          <w:sz w:val="2"/>
        </w:rPr>
      </w:pPr>
    </w:p>
    <w:tbl>
      <w:tblPr>
        <w:tblStyle w:val="6"/>
        <w:tblW w:w="8549" w:type="dxa"/>
        <w:tblInd w:w="167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285"/>
        <w:gridCol w:w="4264"/>
      </w:tblGrid>
      <w:tr w14:paraId="08E446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0" w:hRule="atLeast"/>
        </w:trPr>
        <w:tc>
          <w:tcPr>
            <w:tcW w:w="4285" w:type="dxa"/>
            <w:tcBorders>
              <w:top w:val="single" w:color="000000" w:sz="4" w:space="0"/>
              <w:left w:val="single" w:color="000000" w:sz="4" w:space="0"/>
            </w:tcBorders>
            <w:shd w:val="clear" w:color="auto" w:fill="DEEAF6"/>
            <w:vAlign w:val="top"/>
          </w:tcPr>
          <w:p w14:paraId="60DBD9D5">
            <w:pPr>
              <w:spacing w:line="33" w:lineRule="exact"/>
              <w:ind w:firstLine="4264"/>
            </w:pPr>
            <w:r>
              <w:pict>
                <v:shape id="_x0000_s1520" o:spid="_x0000_s1520" style="position:absolute;left:0pt;margin-left:-0.2pt;margin-top:0pt;height:0.75pt;width:2.2pt;mso-position-horizontal-relative:page;mso-position-vertical-relative:page;z-index:251750400;mso-width-relative:page;mso-height-relative:page;" fillcolor="#5B9BD5" filled="t" stroked="f" coordsize="44,15" path="m0,14l43,14,43,0,0,0,0,14xe">
                  <v:path/>
                  <v:fill on="t" focussize="0,0"/>
                  <v:stroke on="f"/>
                  <v:imagedata o:title=""/>
                  <o:lock v:ext="edit"/>
                </v:shape>
              </w:pict>
            </w:r>
            <w:r>
              <w:pict>
                <v:group id="_x0000_s1521" o:spid="_x0000_s1521" o:spt="203" style="height:2.2pt;width:2.2pt;" coordsize="44,44">
                  <o:lock v:ext="edit"/>
                  <v:shape id="_x0000_s1522" o:spid="_x0000_s1522" style="position:absolute;left:0;top:0;height:15;width:44;" fillcolor="#5B9BD5" filled="t" stroked="f" coordsize="44,15" path="m0,14l43,14,43,0,0,0,0,14xe">
                    <v:path/>
                    <v:fill on="t" focussize="0,0"/>
                    <v:stroke on="f"/>
                    <v:imagedata o:title=""/>
                    <o:lock v:ext="edit"/>
                  </v:shape>
                  <v:shape id="_x0000_s1523" o:spid="_x0000_s1523" style="position:absolute;left:0;top:14;height:15;width:44;" fillcolor="#20507B" filled="t" stroked="f" coordsize="44,15" path="m0,14l43,14,43,0,0,0,0,14xe">
                    <v:path/>
                    <v:fill on="t" focussize="0,0"/>
                    <v:stroke on="f"/>
                    <v:imagedata o:title=""/>
                    <o:lock v:ext="edit"/>
                  </v:shape>
                  <v:shape id="_x0000_s1524" o:spid="_x0000_s1524" style="position:absolute;left:0;top:28;height:15;width:44;" fillcolor="#1C456A" filled="t" stroked="f" coordsize="44,15" path="m0,14l43,14,43,0,0,0,0,14xe">
                    <v:path/>
                    <v:fill on="t" focussize="0,0"/>
                    <v:stroke on="f"/>
                    <v:imagedata o:title=""/>
                    <o:lock v:ext="edit"/>
                  </v:shape>
                  <w10:wrap type="none"/>
                  <w10:anchorlock/>
                </v:group>
              </w:pict>
            </w:r>
          </w:p>
          <w:p w14:paraId="704D2909">
            <w:pPr>
              <w:pStyle w:val="7"/>
              <w:spacing w:before="96" w:line="217" w:lineRule="auto"/>
              <w:ind w:left="1956"/>
            </w:pPr>
            <w:r>
              <w:rPr>
                <w:b/>
                <w:bCs/>
                <w:spacing w:val="-17"/>
              </w:rPr>
              <w:t>阀门</w:t>
            </w:r>
          </w:p>
        </w:tc>
        <w:tc>
          <w:tcPr>
            <w:tcW w:w="4264" w:type="dxa"/>
            <w:tcBorders>
              <w:top w:val="single" w:color="5B9BD5" w:sz="4" w:space="0"/>
              <w:right w:val="single" w:color="5B9BD5" w:sz="4" w:space="0"/>
            </w:tcBorders>
            <w:shd w:val="clear" w:color="auto" w:fill="DEEAF6"/>
            <w:vAlign w:val="top"/>
          </w:tcPr>
          <w:p w14:paraId="3C54480E">
            <w:pPr>
              <w:pStyle w:val="7"/>
              <w:spacing w:before="129" w:line="217" w:lineRule="auto"/>
              <w:ind w:left="1809"/>
            </w:pPr>
            <w:r>
              <w:rPr>
                <w:b/>
                <w:bCs/>
                <w:spacing w:val="-17"/>
              </w:rPr>
              <w:t>消火栓</w:t>
            </w:r>
          </w:p>
        </w:tc>
      </w:tr>
      <w:tr w14:paraId="16B02E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88" w:hRule="atLeast"/>
        </w:trPr>
        <w:tc>
          <w:tcPr>
            <w:tcW w:w="4285" w:type="dxa"/>
            <w:tcBorders>
              <w:left w:val="single" w:color="1C456A" w:sz="4" w:space="0"/>
              <w:bottom w:val="single" w:color="1C456A" w:sz="4" w:space="0"/>
            </w:tcBorders>
            <w:vAlign w:val="top"/>
          </w:tcPr>
          <w:p w14:paraId="2F969DC6">
            <w:pPr>
              <w:spacing w:before="57" w:line="4683" w:lineRule="exact"/>
              <w:ind w:firstLine="121"/>
            </w:pPr>
            <w:r>
              <w:pict>
                <v:shape id="_x0000_s1525" o:spid="_x0000_s1525" style="position:absolute;left:0pt;margin-left:-0.2pt;margin-top:249.45pt;height:0.75pt;width:2.2pt;mso-position-horizontal-relative:page;mso-position-vertical-relative:page;z-index:251749376;mso-width-relative:page;mso-height-relative:page;" fillcolor="#5B9BD5" filled="t" stroked="f" coordsize="44,15" path="m0,14l43,14,43,0,0,0,0,14xe">
                  <v:path/>
                  <v:fill on="t" focussize="0,0"/>
                  <v:stroke on="f"/>
                  <v:imagedata o:title=""/>
                  <o:lock v:ext="edit"/>
                </v:shape>
              </w:pict>
            </w:r>
            <w:r>
              <w:rPr>
                <w:position w:val="-93"/>
              </w:rPr>
              <w:drawing>
                <wp:inline distT="0" distB="0" distL="0" distR="0">
                  <wp:extent cx="2563495" cy="2973705"/>
                  <wp:effectExtent l="0" t="0" r="0" b="0"/>
                  <wp:docPr id="358" name="IM 358"/>
                  <wp:cNvGraphicFramePr/>
                  <a:graphic xmlns:a="http://schemas.openxmlformats.org/drawingml/2006/main">
                    <a:graphicData uri="http://schemas.openxmlformats.org/drawingml/2006/picture">
                      <pic:pic xmlns:pic="http://schemas.openxmlformats.org/drawingml/2006/picture">
                        <pic:nvPicPr>
                          <pic:cNvPr id="358" name="IM 358"/>
                          <pic:cNvPicPr/>
                        </pic:nvPicPr>
                        <pic:blipFill>
                          <a:blip r:embed="rId498"/>
                          <a:stretch>
                            <a:fillRect/>
                          </a:stretch>
                        </pic:blipFill>
                        <pic:spPr>
                          <a:xfrm>
                            <a:off x="0" y="0"/>
                            <a:ext cx="2563495" cy="2973705"/>
                          </a:xfrm>
                          <a:prstGeom prst="rect">
                            <a:avLst/>
                          </a:prstGeom>
                        </pic:spPr>
                      </pic:pic>
                    </a:graphicData>
                  </a:graphic>
                </wp:inline>
              </w:drawing>
            </w:r>
          </w:p>
        </w:tc>
        <w:tc>
          <w:tcPr>
            <w:tcW w:w="4264" w:type="dxa"/>
            <w:tcBorders>
              <w:bottom w:val="single" w:color="5B9BD5" w:sz="4" w:space="0"/>
              <w:right w:val="single" w:color="5B9BD5" w:sz="4" w:space="0"/>
            </w:tcBorders>
            <w:vAlign w:val="top"/>
          </w:tcPr>
          <w:p w14:paraId="27D09306">
            <w:pPr>
              <w:spacing w:before="67" w:line="4666" w:lineRule="exact"/>
              <w:ind w:firstLine="94"/>
            </w:pPr>
            <w:r>
              <w:rPr>
                <w:position w:val="-93"/>
              </w:rPr>
              <w:drawing>
                <wp:inline distT="0" distB="0" distL="0" distR="0">
                  <wp:extent cx="2567940" cy="2962910"/>
                  <wp:effectExtent l="0" t="0" r="0" b="0"/>
                  <wp:docPr id="360" name="IM 360"/>
                  <wp:cNvGraphicFramePr/>
                  <a:graphic xmlns:a="http://schemas.openxmlformats.org/drawingml/2006/main">
                    <a:graphicData uri="http://schemas.openxmlformats.org/drawingml/2006/picture">
                      <pic:pic xmlns:pic="http://schemas.openxmlformats.org/drawingml/2006/picture">
                        <pic:nvPicPr>
                          <pic:cNvPr id="360" name="IM 360"/>
                          <pic:cNvPicPr/>
                        </pic:nvPicPr>
                        <pic:blipFill>
                          <a:blip r:embed="rId499"/>
                          <a:stretch>
                            <a:fillRect/>
                          </a:stretch>
                        </pic:blipFill>
                        <pic:spPr>
                          <a:xfrm>
                            <a:off x="0" y="0"/>
                            <a:ext cx="2567940" cy="2962910"/>
                          </a:xfrm>
                          <a:prstGeom prst="rect">
                            <a:avLst/>
                          </a:prstGeom>
                        </pic:spPr>
                      </pic:pic>
                    </a:graphicData>
                  </a:graphic>
                </wp:inline>
              </w:drawing>
            </w:r>
          </w:p>
        </w:tc>
      </w:tr>
    </w:tbl>
    <w:p w14:paraId="66F5BA4B">
      <w:pPr>
        <w:pStyle w:val="2"/>
        <w:spacing w:before="115" w:line="216" w:lineRule="auto"/>
        <w:ind w:left="1895"/>
        <w:rPr>
          <w:sz w:val="24"/>
          <w:szCs w:val="24"/>
        </w:rPr>
      </w:pPr>
      <w:r>
        <w:rPr>
          <w:spacing w:val="-21"/>
          <w:sz w:val="24"/>
          <w:szCs w:val="24"/>
        </w:rPr>
        <w:t>安装前对管网、阀门、消火栓进行外观检查，以确定</w:t>
      </w:r>
      <w:r>
        <w:rPr>
          <w:spacing w:val="-22"/>
          <w:sz w:val="24"/>
          <w:szCs w:val="24"/>
        </w:rPr>
        <w:t>是否可用。</w:t>
      </w:r>
    </w:p>
    <w:p w14:paraId="51B43013">
      <w:pPr>
        <w:pStyle w:val="2"/>
        <w:spacing w:before="117" w:line="220" w:lineRule="auto"/>
        <w:ind w:left="1888"/>
        <w:rPr>
          <w:sz w:val="24"/>
          <w:szCs w:val="24"/>
        </w:rPr>
      </w:pPr>
      <w:r>
        <w:rPr>
          <w:spacing w:val="-16"/>
          <w:sz w:val="24"/>
          <w:szCs w:val="24"/>
        </w:rPr>
        <w:t>2、管网安装：</w:t>
      </w:r>
    </w:p>
    <w:p w14:paraId="10824149">
      <w:pPr>
        <w:pStyle w:val="2"/>
        <w:spacing w:before="115" w:line="217" w:lineRule="auto"/>
        <w:ind w:left="1888"/>
        <w:rPr>
          <w:sz w:val="24"/>
          <w:szCs w:val="24"/>
        </w:rPr>
      </w:pPr>
      <w:r>
        <w:rPr>
          <w:spacing w:val="-20"/>
          <w:sz w:val="24"/>
          <w:szCs w:val="24"/>
        </w:rPr>
        <w:t>2.1施工前应清除管子内外的脏物异物、</w:t>
      </w:r>
      <w:r>
        <w:rPr>
          <w:spacing w:val="-21"/>
          <w:sz w:val="24"/>
          <w:szCs w:val="24"/>
        </w:rPr>
        <w:t>校直管子等。</w:t>
      </w:r>
    </w:p>
    <w:p w14:paraId="149E3AC2">
      <w:pPr>
        <w:spacing w:line="250" w:lineRule="auto"/>
        <w:rPr>
          <w:rFonts w:ascii="Arial"/>
          <w:sz w:val="21"/>
        </w:rPr>
      </w:pPr>
    </w:p>
    <w:p w14:paraId="1BA5846C">
      <w:pPr>
        <w:pStyle w:val="2"/>
        <w:spacing w:before="78" w:line="217" w:lineRule="auto"/>
        <w:ind w:left="1888"/>
        <w:rPr>
          <w:sz w:val="24"/>
          <w:szCs w:val="24"/>
        </w:rPr>
      </w:pPr>
      <w:r>
        <w:rPr>
          <w:spacing w:val="-19"/>
          <w:sz w:val="24"/>
          <w:szCs w:val="24"/>
        </w:rPr>
        <w:t>2.2埋地管道安装前必须进行防腐处理。</w:t>
      </w:r>
    </w:p>
    <w:p w14:paraId="3EBB8E92">
      <w:pPr>
        <w:pStyle w:val="2"/>
        <w:spacing w:before="121" w:line="307" w:lineRule="auto"/>
        <w:ind w:left="1456" w:right="1335" w:firstLine="432"/>
        <w:jc w:val="both"/>
        <w:rPr>
          <w:sz w:val="24"/>
          <w:szCs w:val="24"/>
        </w:rPr>
      </w:pPr>
      <w:r>
        <w:rPr>
          <w:spacing w:val="-20"/>
          <w:sz w:val="24"/>
          <w:szCs w:val="24"/>
        </w:rPr>
        <w:t>2.3管道采用热镀锌钢管，DN≤100mm的采用丝扣连接,连接后外露丝扣应刷红丹</w:t>
      </w:r>
      <w:r>
        <w:rPr>
          <w:spacing w:val="-21"/>
          <w:sz w:val="24"/>
          <w:szCs w:val="24"/>
        </w:rPr>
        <w:t>两道,外刷</w:t>
      </w:r>
      <w:r>
        <w:rPr>
          <w:spacing w:val="-24"/>
          <w:sz w:val="24"/>
          <w:szCs w:val="24"/>
        </w:rPr>
        <w:t>银粉漆两道，外露麻丝应清理干净,管道连接</w:t>
      </w:r>
      <w:r>
        <w:rPr>
          <w:spacing w:val="-25"/>
          <w:sz w:val="24"/>
          <w:szCs w:val="24"/>
        </w:rPr>
        <w:t>不得有缩口现象。管道直径大于100mm的采用卡箍。</w:t>
      </w:r>
      <w:r>
        <w:rPr>
          <w:spacing w:val="-17"/>
          <w:sz w:val="24"/>
          <w:szCs w:val="24"/>
        </w:rPr>
        <w:t>焊工应持有焊工证,焊接完毕应清除管道上溶渣及其它焊接残留杂质,并对焊缝进行外观检查,</w:t>
      </w:r>
      <w:r>
        <w:rPr>
          <w:spacing w:val="-23"/>
          <w:sz w:val="24"/>
          <w:szCs w:val="24"/>
        </w:rPr>
        <w:t>不允许焊接表面有列缝、气孔、夹渣、溶合性飞溅、咬边、接头错位等，焊缝应</w:t>
      </w:r>
      <w:r>
        <w:rPr>
          <w:spacing w:val="-24"/>
          <w:sz w:val="24"/>
          <w:szCs w:val="24"/>
        </w:rPr>
        <w:t>进行防腐处理。</w:t>
      </w:r>
    </w:p>
    <w:p w14:paraId="6C019802">
      <w:pPr>
        <w:pStyle w:val="2"/>
        <w:spacing w:line="215" w:lineRule="auto"/>
        <w:ind w:left="1888"/>
        <w:rPr>
          <w:sz w:val="24"/>
          <w:szCs w:val="24"/>
        </w:rPr>
      </w:pPr>
      <w:r>
        <w:rPr>
          <w:spacing w:val="-20"/>
          <w:sz w:val="24"/>
          <w:szCs w:val="24"/>
        </w:rPr>
        <w:t>2.4管道在安装中断时应用塞子或管堵将敞口封闭,继续</w:t>
      </w:r>
      <w:r>
        <w:rPr>
          <w:spacing w:val="-21"/>
          <w:sz w:val="24"/>
          <w:szCs w:val="24"/>
        </w:rPr>
        <w:t>施工时再打开,防止异物进入管道。</w:t>
      </w:r>
    </w:p>
    <w:p w14:paraId="407080EC">
      <w:pPr>
        <w:pStyle w:val="2"/>
        <w:spacing w:before="121" w:line="218" w:lineRule="auto"/>
        <w:ind w:left="1888"/>
        <w:rPr>
          <w:sz w:val="24"/>
          <w:szCs w:val="24"/>
        </w:rPr>
      </w:pPr>
      <w:r>
        <w:rPr>
          <w:spacing w:val="-20"/>
          <w:sz w:val="24"/>
          <w:szCs w:val="24"/>
        </w:rPr>
        <w:t>2.5埋地部分管道刷冷底子油二道，热沥青两道。</w:t>
      </w:r>
    </w:p>
    <w:p w14:paraId="5E56E430">
      <w:pPr>
        <w:pStyle w:val="2"/>
        <w:spacing w:before="117" w:line="217" w:lineRule="auto"/>
        <w:ind w:left="1890"/>
        <w:rPr>
          <w:sz w:val="24"/>
          <w:szCs w:val="24"/>
        </w:rPr>
      </w:pPr>
      <w:r>
        <w:rPr>
          <w:spacing w:val="-20"/>
          <w:sz w:val="24"/>
          <w:szCs w:val="24"/>
        </w:rPr>
        <w:t>3、室外消火栓安装按国标和省标</w:t>
      </w:r>
    </w:p>
    <w:p w14:paraId="4EC8D614">
      <w:pPr>
        <w:pStyle w:val="2"/>
        <w:spacing w:before="115" w:line="219" w:lineRule="auto"/>
        <w:ind w:left="1884"/>
        <w:rPr>
          <w:sz w:val="24"/>
          <w:szCs w:val="24"/>
        </w:rPr>
      </w:pPr>
      <w:r>
        <w:rPr>
          <w:spacing w:val="-17"/>
          <w:sz w:val="24"/>
          <w:szCs w:val="24"/>
        </w:rPr>
        <w:t>4、水泵接合器安装</w:t>
      </w:r>
    </w:p>
    <w:p w14:paraId="28C27DAA">
      <w:pPr>
        <w:pStyle w:val="2"/>
        <w:spacing w:before="116" w:line="263" w:lineRule="auto"/>
        <w:ind w:left="1455" w:right="1423" w:firstLine="429"/>
        <w:rPr>
          <w:sz w:val="24"/>
          <w:szCs w:val="24"/>
        </w:rPr>
      </w:pPr>
      <w:r>
        <w:rPr>
          <w:spacing w:val="-20"/>
          <w:sz w:val="24"/>
          <w:szCs w:val="24"/>
        </w:rPr>
        <w:t>4.1水泵接合器的组装应按接口,本体及联接管,止回阀,安全阀,放入管控</w:t>
      </w:r>
      <w:r>
        <w:rPr>
          <w:spacing w:val="-21"/>
          <w:sz w:val="24"/>
          <w:szCs w:val="24"/>
        </w:rPr>
        <w:t>制阀的顺序进行,止回阀的安装方向应保证消防水能从水泵接合器口进入系统。地</w:t>
      </w:r>
      <w:r>
        <w:rPr>
          <w:spacing w:val="-22"/>
          <w:sz w:val="24"/>
          <w:szCs w:val="24"/>
        </w:rPr>
        <w:t>下连接管道应防腐。</w:t>
      </w:r>
    </w:p>
    <w:p w14:paraId="4C315703">
      <w:pPr>
        <w:pStyle w:val="2"/>
        <w:spacing w:before="117" w:line="217" w:lineRule="auto"/>
        <w:ind w:left="1884"/>
        <w:rPr>
          <w:sz w:val="24"/>
          <w:szCs w:val="24"/>
        </w:rPr>
      </w:pPr>
      <w:r>
        <w:rPr>
          <w:spacing w:val="-19"/>
          <w:sz w:val="24"/>
          <w:szCs w:val="24"/>
        </w:rPr>
        <w:t>4.2水泵接合器,应有与室外消火栓相区别的标志。</w:t>
      </w:r>
    </w:p>
    <w:p w14:paraId="71357D5A">
      <w:pPr>
        <w:pStyle w:val="2"/>
        <w:spacing w:before="118" w:line="220" w:lineRule="auto"/>
        <w:ind w:left="1890"/>
        <w:rPr>
          <w:sz w:val="24"/>
          <w:szCs w:val="24"/>
        </w:rPr>
      </w:pPr>
      <w:r>
        <w:rPr>
          <w:spacing w:val="-16"/>
          <w:sz w:val="24"/>
          <w:szCs w:val="24"/>
        </w:rPr>
        <w:t>5、系统试压：</w:t>
      </w:r>
    </w:p>
    <w:p w14:paraId="7D64D9A5">
      <w:pPr>
        <w:pStyle w:val="2"/>
        <w:spacing w:before="115" w:line="216" w:lineRule="auto"/>
        <w:ind w:left="1890"/>
        <w:rPr>
          <w:sz w:val="24"/>
          <w:szCs w:val="24"/>
        </w:rPr>
      </w:pPr>
      <w:r>
        <w:rPr>
          <w:spacing w:val="-21"/>
          <w:sz w:val="24"/>
          <w:szCs w:val="24"/>
        </w:rPr>
        <w:t>5.1系统安装完后,应按设计要求对管网进行强度、严密性试验,以验证工程质量。</w:t>
      </w:r>
    </w:p>
    <w:p w14:paraId="74FFB8CF">
      <w:pPr>
        <w:pStyle w:val="2"/>
        <w:spacing w:before="116" w:line="264" w:lineRule="auto"/>
        <w:ind w:left="1456" w:right="1412" w:firstLine="434"/>
        <w:rPr>
          <w:sz w:val="24"/>
          <w:szCs w:val="24"/>
        </w:rPr>
      </w:pPr>
      <w:r>
        <w:rPr>
          <w:spacing w:val="-20"/>
          <w:sz w:val="24"/>
          <w:szCs w:val="24"/>
        </w:rPr>
        <w:t>5.2试压用压力表必须已经校验,精度不低</w:t>
      </w:r>
      <w:r>
        <w:rPr>
          <w:spacing w:val="-21"/>
          <w:sz w:val="24"/>
          <w:szCs w:val="24"/>
        </w:rPr>
        <w:t>于级,表的刻度值为最大被测压力的倍,压力表不</w:t>
      </w:r>
      <w:r>
        <w:rPr>
          <w:spacing w:val="-5"/>
          <w:sz w:val="24"/>
          <w:szCs w:val="24"/>
        </w:rPr>
        <w:t>少于2只。</w:t>
      </w:r>
    </w:p>
    <w:p w14:paraId="373F2FBB">
      <w:pPr>
        <w:pStyle w:val="2"/>
        <w:spacing w:before="116" w:line="262" w:lineRule="auto"/>
        <w:ind w:left="1461" w:right="1423" w:firstLine="429"/>
        <w:rPr>
          <w:sz w:val="24"/>
          <w:szCs w:val="24"/>
        </w:rPr>
      </w:pPr>
      <w:r>
        <w:rPr>
          <w:spacing w:val="-18"/>
          <w:sz w:val="24"/>
          <w:szCs w:val="24"/>
        </w:rPr>
        <w:t>5.3试压前,应对不能参加试压的设备加以隔离,系统试压过程中如遇泄漏,不得带压修理,</w:t>
      </w:r>
      <w:r>
        <w:rPr>
          <w:spacing w:val="-20"/>
          <w:sz w:val="24"/>
          <w:szCs w:val="24"/>
        </w:rPr>
        <w:t>而应放空管网,消除缺陷,重新再试。</w:t>
      </w:r>
    </w:p>
    <w:p w14:paraId="2372ABEF">
      <w:pPr>
        <w:pStyle w:val="2"/>
        <w:spacing w:before="119" w:line="216" w:lineRule="auto"/>
        <w:ind w:left="1890"/>
        <w:rPr>
          <w:sz w:val="24"/>
          <w:szCs w:val="24"/>
        </w:rPr>
      </w:pPr>
      <w:r>
        <w:rPr>
          <w:spacing w:val="-20"/>
          <w:sz w:val="24"/>
          <w:szCs w:val="24"/>
        </w:rPr>
        <w:t>5.4系统试验完毕后,应及时无遗漏地拆除所有临时盲板及管道,并</w:t>
      </w:r>
      <w:r>
        <w:rPr>
          <w:spacing w:val="-21"/>
          <w:sz w:val="24"/>
          <w:szCs w:val="24"/>
        </w:rPr>
        <w:t>与记录核对无误。</w:t>
      </w:r>
    </w:p>
    <w:p w14:paraId="7DB84C5D">
      <w:pPr>
        <w:pStyle w:val="2"/>
        <w:spacing w:before="122" w:line="285" w:lineRule="auto"/>
        <w:ind w:left="1456" w:right="1410" w:firstLine="434"/>
        <w:rPr>
          <w:sz w:val="24"/>
          <w:szCs w:val="24"/>
        </w:rPr>
      </w:pPr>
      <w:r>
        <w:rPr>
          <w:spacing w:val="-21"/>
          <w:sz w:val="24"/>
          <w:szCs w:val="24"/>
        </w:rPr>
        <w:t>5.5水压强度试度试验压力在压力小于或等于时,应为工作压力的倍并不应低于。当工作压</w:t>
      </w:r>
      <w:r>
        <w:rPr>
          <w:spacing w:val="-25"/>
          <w:sz w:val="24"/>
          <w:szCs w:val="24"/>
        </w:rPr>
        <w:t>力大于时应为工作压力加，本工程试验压力为。测压点应该在管道系统最低部位,对管网注水时,</w:t>
      </w:r>
      <w:r>
        <w:rPr>
          <w:spacing w:val="-21"/>
          <w:sz w:val="24"/>
          <w:szCs w:val="24"/>
        </w:rPr>
        <w:t>应将管网内空气排净,然后缓慢升压,达到试验压力后稳压30分钟,目测无</w:t>
      </w:r>
      <w:r>
        <w:rPr>
          <w:spacing w:val="-22"/>
          <w:sz w:val="24"/>
          <w:szCs w:val="24"/>
        </w:rPr>
        <w:t>泄漏,无变形,无压降</w:t>
      </w:r>
      <w:r>
        <w:rPr>
          <w:spacing w:val="-15"/>
          <w:sz w:val="24"/>
          <w:szCs w:val="24"/>
        </w:rPr>
        <w:t>为合格。</w:t>
      </w:r>
    </w:p>
    <w:p w14:paraId="5A1E71C6">
      <w:pPr>
        <w:pStyle w:val="2"/>
        <w:spacing w:before="115" w:line="262" w:lineRule="auto"/>
        <w:ind w:left="1461" w:right="1409" w:firstLine="429"/>
        <w:rPr>
          <w:sz w:val="24"/>
          <w:szCs w:val="24"/>
        </w:rPr>
      </w:pPr>
      <w:r>
        <w:rPr>
          <w:spacing w:val="-18"/>
          <w:sz w:val="24"/>
          <w:szCs w:val="24"/>
        </w:rPr>
        <w:t>5.6系统严密性试验在强度试验合格到进行,其试验压力为设计工作压力,稳压24小时,经全</w:t>
      </w:r>
      <w:r>
        <w:rPr>
          <w:spacing w:val="-21"/>
          <w:sz w:val="24"/>
          <w:szCs w:val="24"/>
        </w:rPr>
        <w:t>面检查,无泄漏,无压降为合格。</w:t>
      </w:r>
    </w:p>
    <w:p w14:paraId="34BB371A">
      <w:pPr>
        <w:pStyle w:val="2"/>
        <w:spacing w:before="120" w:line="216" w:lineRule="auto"/>
        <w:ind w:left="1890"/>
        <w:rPr>
          <w:sz w:val="24"/>
          <w:szCs w:val="24"/>
        </w:rPr>
      </w:pPr>
      <w:r>
        <w:rPr>
          <w:spacing w:val="-20"/>
          <w:sz w:val="24"/>
          <w:szCs w:val="24"/>
        </w:rPr>
        <w:t>5.7系统试验合格后,填写&lt;系统试压记录&gt;,并报建设单位签字后生</w:t>
      </w:r>
      <w:r>
        <w:rPr>
          <w:spacing w:val="-21"/>
          <w:sz w:val="24"/>
          <w:szCs w:val="24"/>
        </w:rPr>
        <w:t>效。</w:t>
      </w:r>
    </w:p>
    <w:p w14:paraId="44120B29">
      <w:pPr>
        <w:pStyle w:val="2"/>
        <w:spacing w:before="118" w:line="218" w:lineRule="auto"/>
        <w:ind w:left="1887"/>
        <w:rPr>
          <w:sz w:val="24"/>
          <w:szCs w:val="24"/>
        </w:rPr>
      </w:pPr>
      <w:r>
        <w:rPr>
          <w:spacing w:val="-17"/>
          <w:sz w:val="24"/>
          <w:szCs w:val="24"/>
        </w:rPr>
        <w:t>6、系统水冲洗：</w:t>
      </w:r>
    </w:p>
    <w:p w14:paraId="1A0619D9">
      <w:pPr>
        <w:pStyle w:val="2"/>
        <w:spacing w:before="116" w:line="217" w:lineRule="auto"/>
        <w:ind w:left="1887"/>
        <w:rPr>
          <w:sz w:val="24"/>
          <w:szCs w:val="24"/>
        </w:rPr>
      </w:pPr>
      <w:r>
        <w:rPr>
          <w:spacing w:val="-19"/>
          <w:sz w:val="24"/>
          <w:szCs w:val="24"/>
        </w:rPr>
        <w:t>6.1系统安装完毕后,应分区进行水冲洗。</w:t>
      </w:r>
    </w:p>
    <w:p w14:paraId="45FEFEE4">
      <w:pPr>
        <w:pStyle w:val="2"/>
        <w:spacing w:before="120" w:line="262" w:lineRule="auto"/>
        <w:ind w:left="1467" w:right="1409" w:firstLine="420"/>
        <w:rPr>
          <w:sz w:val="24"/>
          <w:szCs w:val="24"/>
        </w:rPr>
      </w:pPr>
      <w:r>
        <w:rPr>
          <w:spacing w:val="-18"/>
          <w:sz w:val="24"/>
          <w:szCs w:val="24"/>
        </w:rPr>
        <w:t>6.2冲洗前应将水泵等设备隔离,并将减压阀,止回阀等暂时拆下,待冲洗工作结束后,随即</w:t>
      </w:r>
      <w:r>
        <w:rPr>
          <w:spacing w:val="-23"/>
          <w:sz w:val="24"/>
          <w:szCs w:val="24"/>
        </w:rPr>
        <w:t>复位。</w:t>
      </w:r>
    </w:p>
    <w:p w14:paraId="7FBCA371">
      <w:pPr>
        <w:pStyle w:val="2"/>
        <w:spacing w:before="119" w:line="263" w:lineRule="auto"/>
        <w:ind w:left="1457" w:right="1409" w:firstLine="430"/>
        <w:rPr>
          <w:sz w:val="24"/>
          <w:szCs w:val="24"/>
        </w:rPr>
      </w:pPr>
      <w:r>
        <w:rPr>
          <w:spacing w:val="-20"/>
          <w:sz w:val="24"/>
          <w:szCs w:val="24"/>
        </w:rPr>
        <w:t>6.3对系统进行水冲洗的排放管道,应接入可靠的排水</w:t>
      </w:r>
      <w:r>
        <w:rPr>
          <w:spacing w:val="-21"/>
          <w:sz w:val="24"/>
          <w:szCs w:val="24"/>
        </w:rPr>
        <w:t>系统,并保证排泄畅通和安全,排水管</w:t>
      </w:r>
      <w:r>
        <w:rPr>
          <w:spacing w:val="-17"/>
          <w:sz w:val="24"/>
          <w:szCs w:val="24"/>
        </w:rPr>
        <w:t>道的截面不应小于被冲洗管道截面的60%。</w:t>
      </w:r>
    </w:p>
    <w:p w14:paraId="2EA1C311">
      <w:pPr>
        <w:pStyle w:val="2"/>
        <w:spacing w:before="115" w:line="263" w:lineRule="auto"/>
        <w:ind w:left="1463" w:right="1411" w:firstLine="424"/>
        <w:rPr>
          <w:sz w:val="24"/>
          <w:szCs w:val="24"/>
        </w:rPr>
      </w:pPr>
      <w:r>
        <w:rPr>
          <w:spacing w:val="-21"/>
          <w:sz w:val="24"/>
          <w:szCs w:val="24"/>
        </w:rPr>
        <w:t>6.4水洗应连续进行,以出口处的水色、透明度与入口处的目测基本一致为合格。管道冲洗</w:t>
      </w:r>
      <w:r>
        <w:rPr>
          <w:spacing w:val="-20"/>
          <w:sz w:val="24"/>
          <w:szCs w:val="24"/>
        </w:rPr>
        <w:t>合格后，应及时填写&lt;&lt;系统管道冲洗记录&gt;&gt;。</w:t>
      </w:r>
    </w:p>
    <w:p w14:paraId="36A09810">
      <w:pPr>
        <w:pStyle w:val="2"/>
        <w:spacing w:before="118" w:line="215" w:lineRule="auto"/>
        <w:ind w:left="1887"/>
        <w:rPr>
          <w:sz w:val="24"/>
          <w:szCs w:val="24"/>
        </w:rPr>
      </w:pPr>
      <w:r>
        <w:rPr>
          <w:spacing w:val="-20"/>
          <w:sz w:val="24"/>
          <w:szCs w:val="24"/>
        </w:rPr>
        <w:t>6.5管道冲洗后应将存水排尽,需要时可用压缩空气吹干。</w:t>
      </w:r>
    </w:p>
    <w:p w14:paraId="7D380E3C">
      <w:pPr>
        <w:pStyle w:val="2"/>
        <w:spacing w:before="83" w:line="220" w:lineRule="auto"/>
        <w:ind w:left="1979"/>
        <w:outlineLvl w:val="2"/>
        <w:rPr>
          <w:sz w:val="28"/>
          <w:szCs w:val="28"/>
        </w:rPr>
      </w:pPr>
      <w:bookmarkStart w:id="36" w:name="bookmark36"/>
      <w:bookmarkEnd w:id="36"/>
      <w:r>
        <w:rPr>
          <w:b/>
          <w:bCs/>
          <w:spacing w:val="-21"/>
          <w:sz w:val="28"/>
          <w:szCs w:val="28"/>
        </w:rPr>
        <w:t>六、混凝土包管</w:t>
      </w:r>
    </w:p>
    <w:p w14:paraId="0E1C66D6">
      <w:pPr>
        <w:spacing w:line="214" w:lineRule="exact"/>
      </w:pPr>
    </w:p>
    <w:tbl>
      <w:tblPr>
        <w:tblStyle w:val="6"/>
        <w:tblW w:w="9377" w:type="dxa"/>
        <w:tblInd w:w="126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705"/>
        <w:gridCol w:w="4672"/>
      </w:tblGrid>
      <w:tr w14:paraId="286497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7" w:hRule="atLeast"/>
        </w:trPr>
        <w:tc>
          <w:tcPr>
            <w:tcW w:w="4705" w:type="dxa"/>
            <w:tcBorders>
              <w:top w:val="single" w:color="000000" w:sz="4" w:space="0"/>
              <w:left w:val="single" w:color="000000" w:sz="4" w:space="0"/>
            </w:tcBorders>
            <w:shd w:val="clear" w:color="auto" w:fill="DEEAF6"/>
            <w:vAlign w:val="top"/>
          </w:tcPr>
          <w:p w14:paraId="219C76AD">
            <w:pPr>
              <w:spacing w:before="33" w:line="60" w:lineRule="exact"/>
              <w:ind w:firstLine="33"/>
            </w:pPr>
            <w:r>
              <w:rPr>
                <w:position w:val="-1"/>
              </w:rPr>
              <w:pict>
                <v:shape id="_x0000_s1526" o:spid="_x0000_s1526" style="height:3pt;width:232.6pt;" fillcolor="#DEEAF6" filled="t" stroked="f" coordsize="4652,60" path="m0,60l4651,60,4651,0,0,0,0,60xe">
                  <v:path/>
                  <v:fill on="t" focussize="0,0"/>
                  <v:stroke on="f"/>
                  <v:imagedata o:title=""/>
                  <o:lock v:ext="edit"/>
                  <w10:wrap type="none"/>
                  <w10:anchorlock/>
                </v:shape>
              </w:pict>
            </w:r>
          </w:p>
          <w:p w14:paraId="5DF01346">
            <w:pPr>
              <w:spacing w:before="47" w:line="3300" w:lineRule="exact"/>
              <w:ind w:firstLine="119"/>
            </w:pPr>
            <w:r>
              <w:rPr>
                <w:position w:val="-66"/>
              </w:rPr>
              <w:drawing>
                <wp:inline distT="0" distB="0" distL="0" distR="0">
                  <wp:extent cx="2832100" cy="2095500"/>
                  <wp:effectExtent l="0" t="0" r="0" b="0"/>
                  <wp:docPr id="366" name="IM 366"/>
                  <wp:cNvGraphicFramePr/>
                  <a:graphic xmlns:a="http://schemas.openxmlformats.org/drawingml/2006/main">
                    <a:graphicData uri="http://schemas.openxmlformats.org/drawingml/2006/picture">
                      <pic:pic xmlns:pic="http://schemas.openxmlformats.org/drawingml/2006/picture">
                        <pic:nvPicPr>
                          <pic:cNvPr id="366" name="IM 366"/>
                          <pic:cNvPicPr/>
                        </pic:nvPicPr>
                        <pic:blipFill>
                          <a:blip r:embed="rId500"/>
                          <a:stretch>
                            <a:fillRect/>
                          </a:stretch>
                        </pic:blipFill>
                        <pic:spPr>
                          <a:xfrm>
                            <a:off x="0" y="0"/>
                            <a:ext cx="2832734" cy="2095500"/>
                          </a:xfrm>
                          <a:prstGeom prst="rect">
                            <a:avLst/>
                          </a:prstGeom>
                        </pic:spPr>
                      </pic:pic>
                    </a:graphicData>
                  </a:graphic>
                </wp:inline>
              </w:drawing>
            </w:r>
          </w:p>
          <w:p w14:paraId="18730B15">
            <w:pPr>
              <w:spacing w:before="202" w:line="43" w:lineRule="exact"/>
              <w:ind w:firstLine="11"/>
            </w:pPr>
            <w:r>
              <w:rPr>
                <w:position w:val="-2"/>
              </w:rPr>
              <w:pict>
                <v:shape id="_x0000_s1527" o:spid="_x0000_s1527" style="height:2.9pt;width:233.9pt;" fillcolor="#DEEAF6" filled="t" stroked="f" coordsize="4677,58" path="m0,57l4677,57,4677,0,0,0,0,57xe">
                  <v:path/>
                  <v:fill on="t" focussize="0,0"/>
                  <v:stroke on="f"/>
                  <v:imagedata o:title=""/>
                  <o:lock v:ext="edit"/>
                  <w10:wrap type="none"/>
                  <w10:anchorlock/>
                </v:shape>
              </w:pict>
            </w:r>
          </w:p>
        </w:tc>
        <w:tc>
          <w:tcPr>
            <w:tcW w:w="4672" w:type="dxa"/>
            <w:tcBorders>
              <w:top w:val="single" w:color="5B9BD5" w:sz="4" w:space="0"/>
              <w:right w:val="single" w:color="5B9BD5" w:sz="4" w:space="0"/>
            </w:tcBorders>
            <w:shd w:val="clear" w:color="auto" w:fill="DEEAF6"/>
            <w:vAlign w:val="top"/>
          </w:tcPr>
          <w:p w14:paraId="0F7D40CB">
            <w:pPr>
              <w:spacing w:before="93" w:line="3396" w:lineRule="exact"/>
              <w:ind w:firstLine="92"/>
            </w:pPr>
            <w:r>
              <w:pict>
                <v:group id="_x0000_s1528" o:spid="_x0000_s1528" o:spt="203" style="position:absolute;left:0pt;margin-left:-0.5pt;margin-top:2.15pt;height:183.4pt;width:233.35pt;mso-position-horizontal-relative:page;mso-position-vertical-relative:page;z-index:251751424;mso-width-relative:page;mso-height-relative:page;" coordsize="4667,3667">
                  <o:lock v:ext="edit"/>
                  <v:shape id="_x0000_s1529" o:spid="_x0000_s1529" style="position:absolute;left:38;top:0;height:60;width:4607;" fillcolor="#DEEAF6" filled="t" stroked="f" coordsize="4607,60" path="m0,60l4606,60,4606,0,0,0,0,60xe">
                    <v:path/>
                    <v:fill on="t" focussize="0,0"/>
                    <v:stroke on="f"/>
                    <v:imagedata o:title=""/>
                    <o:lock v:ext="edit"/>
                  </v:shape>
                  <v:shape id="_x0000_s1530" o:spid="_x0000_s1530" style="position:absolute;left:0;top:3610;height:58;width:4667;" fillcolor="#DEEAF6" filled="t" stroked="f" coordsize="4667,58" path="m0,57l4666,57,4666,0,0,0,0,57xe">
                    <v:path/>
                    <v:fill on="t" focussize="0,0"/>
                    <v:stroke on="f"/>
                    <v:imagedata o:title=""/>
                    <o:lock v:ext="edit"/>
                  </v:shape>
                </v:group>
              </w:pict>
            </w:r>
            <w:r>
              <w:rPr>
                <w:position w:val="-67"/>
              </w:rPr>
              <w:drawing>
                <wp:inline distT="0" distB="0" distL="0" distR="0">
                  <wp:extent cx="2826385" cy="2155825"/>
                  <wp:effectExtent l="0" t="0" r="0" b="0"/>
                  <wp:docPr id="368" name="IM 368"/>
                  <wp:cNvGraphicFramePr/>
                  <a:graphic xmlns:a="http://schemas.openxmlformats.org/drawingml/2006/main">
                    <a:graphicData uri="http://schemas.openxmlformats.org/drawingml/2006/picture">
                      <pic:pic xmlns:pic="http://schemas.openxmlformats.org/drawingml/2006/picture">
                        <pic:nvPicPr>
                          <pic:cNvPr id="368" name="IM 368"/>
                          <pic:cNvPicPr/>
                        </pic:nvPicPr>
                        <pic:blipFill>
                          <a:blip r:embed="rId501"/>
                          <a:stretch>
                            <a:fillRect/>
                          </a:stretch>
                        </pic:blipFill>
                        <pic:spPr>
                          <a:xfrm>
                            <a:off x="0" y="0"/>
                            <a:ext cx="2827019" cy="2156459"/>
                          </a:xfrm>
                          <a:prstGeom prst="rect">
                            <a:avLst/>
                          </a:prstGeom>
                        </pic:spPr>
                      </pic:pic>
                    </a:graphicData>
                  </a:graphic>
                </wp:inline>
              </w:drawing>
            </w:r>
          </w:p>
        </w:tc>
      </w:tr>
      <w:tr w14:paraId="53C29A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5" w:hRule="atLeast"/>
        </w:trPr>
        <w:tc>
          <w:tcPr>
            <w:tcW w:w="4705" w:type="dxa"/>
            <w:tcBorders>
              <w:left w:val="single" w:color="1C456A" w:sz="4" w:space="0"/>
              <w:bottom w:val="single" w:color="1C456A" w:sz="4" w:space="0"/>
            </w:tcBorders>
            <w:vAlign w:val="top"/>
          </w:tcPr>
          <w:p w14:paraId="0BBEEEA7">
            <w:pPr>
              <w:pStyle w:val="7"/>
              <w:spacing w:before="101" w:line="217" w:lineRule="auto"/>
              <w:ind w:left="1725"/>
            </w:pPr>
            <w:r>
              <w:rPr>
                <w:spacing w:val="-20"/>
              </w:rPr>
              <w:t>管道包封详图</w:t>
            </w:r>
          </w:p>
        </w:tc>
        <w:tc>
          <w:tcPr>
            <w:tcW w:w="4672" w:type="dxa"/>
            <w:tcBorders>
              <w:bottom w:val="single" w:color="5B9BD5" w:sz="4" w:space="0"/>
              <w:right w:val="single" w:color="5B9BD5" w:sz="4" w:space="0"/>
            </w:tcBorders>
            <w:vAlign w:val="top"/>
          </w:tcPr>
          <w:p w14:paraId="2ADD6560">
            <w:pPr>
              <w:pStyle w:val="7"/>
              <w:spacing w:before="101" w:line="220" w:lineRule="auto"/>
              <w:ind w:left="1694"/>
            </w:pPr>
            <w:r>
              <w:rPr>
                <w:spacing w:val="-20"/>
              </w:rPr>
              <w:t>管道包封说明</w:t>
            </w:r>
          </w:p>
        </w:tc>
      </w:tr>
    </w:tbl>
    <w:p w14:paraId="073FDA5E">
      <w:pPr>
        <w:pStyle w:val="2"/>
        <w:spacing w:before="115" w:line="219" w:lineRule="auto"/>
        <w:ind w:left="1903"/>
        <w:rPr>
          <w:sz w:val="24"/>
          <w:szCs w:val="24"/>
        </w:rPr>
      </w:pPr>
      <w:r>
        <w:rPr>
          <w:spacing w:val="-19"/>
          <w:sz w:val="24"/>
          <w:szCs w:val="24"/>
        </w:rPr>
        <w:t>1雨水管道施工</w:t>
      </w:r>
    </w:p>
    <w:p w14:paraId="42CDC227">
      <w:pPr>
        <w:pStyle w:val="2"/>
        <w:spacing w:before="118" w:line="307" w:lineRule="auto"/>
        <w:ind w:left="1458" w:right="1409" w:firstLine="436"/>
        <w:rPr>
          <w:sz w:val="24"/>
          <w:szCs w:val="24"/>
        </w:rPr>
      </w:pPr>
      <w:r>
        <w:rPr>
          <w:spacing w:val="-20"/>
          <w:sz w:val="24"/>
          <w:szCs w:val="24"/>
        </w:rPr>
        <w:t>沟槽开挖前两边打钢板桩进行围护，人工挖至沟槽底之后，电力管线上方采用槽钢进行支撑。后立即进行沟槽基础施工，管道安装完毕后，立即进行窨井施工，同时取消回填砂至管顶</w:t>
      </w:r>
      <w:r>
        <w:rPr>
          <w:spacing w:val="-18"/>
          <w:sz w:val="24"/>
          <w:szCs w:val="24"/>
        </w:rPr>
        <w:t>以上50cm，采用钢筋混凝土方包至管顶30cm。沟槽回填时，特别对电力管线横穿的位置回填用</w:t>
      </w:r>
      <w:r>
        <w:rPr>
          <w:spacing w:val="-19"/>
          <w:sz w:val="24"/>
          <w:szCs w:val="24"/>
        </w:rPr>
        <w:t>人工回填夯实。</w:t>
      </w:r>
    </w:p>
    <w:p w14:paraId="02DA191A">
      <w:pPr>
        <w:pStyle w:val="2"/>
        <w:spacing w:line="218" w:lineRule="auto"/>
        <w:ind w:left="1888"/>
        <w:rPr>
          <w:sz w:val="24"/>
          <w:szCs w:val="24"/>
        </w:rPr>
      </w:pPr>
      <w:r>
        <w:rPr>
          <w:spacing w:val="-17"/>
          <w:sz w:val="24"/>
          <w:szCs w:val="24"/>
        </w:rPr>
        <w:t>2现场监护措施</w:t>
      </w:r>
    </w:p>
    <w:p w14:paraId="28901685">
      <w:pPr>
        <w:pStyle w:val="2"/>
        <w:spacing w:before="117" w:line="216" w:lineRule="auto"/>
        <w:ind w:left="1888"/>
        <w:rPr>
          <w:sz w:val="24"/>
          <w:szCs w:val="24"/>
        </w:rPr>
      </w:pPr>
      <w:r>
        <w:rPr>
          <w:spacing w:val="-20"/>
          <w:sz w:val="24"/>
          <w:szCs w:val="24"/>
        </w:rPr>
        <w:t>2.1施工前，向有关管线单位提出监护的</w:t>
      </w:r>
      <w:r>
        <w:rPr>
          <w:spacing w:val="-21"/>
          <w:sz w:val="24"/>
          <w:szCs w:val="24"/>
        </w:rPr>
        <w:t>书面申请，办妥《地下管线监护交底卡》手续。</w:t>
      </w:r>
    </w:p>
    <w:p w14:paraId="399C8825">
      <w:pPr>
        <w:pStyle w:val="2"/>
        <w:spacing w:before="121" w:line="277" w:lineRule="auto"/>
        <w:ind w:left="1460" w:right="1412" w:firstLine="428"/>
        <w:rPr>
          <w:sz w:val="24"/>
          <w:szCs w:val="24"/>
        </w:rPr>
      </w:pPr>
      <w:r>
        <w:rPr>
          <w:spacing w:val="-19"/>
          <w:sz w:val="24"/>
          <w:szCs w:val="24"/>
        </w:rPr>
        <w:t>2.2施工前，把施工现场地下管线的详细情况和制定的管线保护措施向现场施工技术负责</w:t>
      </w:r>
      <w:r>
        <w:rPr>
          <w:spacing w:val="-22"/>
          <w:sz w:val="24"/>
          <w:szCs w:val="24"/>
        </w:rPr>
        <w:t>人、工地主管、班组长直至每一位操作工人作层层安全交底，随即填写</w:t>
      </w:r>
      <w:r>
        <w:rPr>
          <w:spacing w:val="-23"/>
          <w:sz w:val="24"/>
          <w:szCs w:val="24"/>
        </w:rPr>
        <w:t>《管线交底卡》，并建</w:t>
      </w:r>
      <w:r>
        <w:rPr>
          <w:spacing w:val="-21"/>
          <w:sz w:val="24"/>
          <w:szCs w:val="24"/>
        </w:rPr>
        <w:t>立“保护公用事业管线责任制”，明确各级人员的</w:t>
      </w:r>
      <w:r>
        <w:rPr>
          <w:spacing w:val="-22"/>
          <w:sz w:val="24"/>
          <w:szCs w:val="24"/>
        </w:rPr>
        <w:t>职责。</w:t>
      </w:r>
    </w:p>
    <w:p w14:paraId="4FF36634">
      <w:pPr>
        <w:pStyle w:val="2"/>
        <w:spacing w:before="117" w:line="278" w:lineRule="auto"/>
        <w:ind w:left="1455" w:right="1409" w:firstLine="432"/>
        <w:rPr>
          <w:sz w:val="24"/>
          <w:szCs w:val="24"/>
        </w:rPr>
      </w:pPr>
      <w:r>
        <w:rPr>
          <w:spacing w:val="-23"/>
          <w:sz w:val="24"/>
          <w:szCs w:val="24"/>
        </w:rPr>
        <w:t>2.3施工前，落实保护本工程地下管线的组织措施，委派管线保护专职人员负责本工程地下</w:t>
      </w:r>
      <w:r>
        <w:rPr>
          <w:spacing w:val="-20"/>
          <w:sz w:val="24"/>
          <w:szCs w:val="24"/>
        </w:rPr>
        <w:t>管线的监护和保护工作，项经部、施工队和各班组设兼职管线保护负责人，组织成地下管线监</w:t>
      </w:r>
      <w:r>
        <w:rPr>
          <w:spacing w:val="-15"/>
          <w:sz w:val="24"/>
          <w:szCs w:val="24"/>
        </w:rPr>
        <w:t>护体系。</w:t>
      </w:r>
    </w:p>
    <w:p w14:paraId="0C03F889">
      <w:pPr>
        <w:pStyle w:val="2"/>
        <w:spacing w:before="118" w:line="278" w:lineRule="auto"/>
        <w:ind w:left="1457" w:right="1409" w:firstLine="431"/>
        <w:rPr>
          <w:sz w:val="24"/>
          <w:szCs w:val="24"/>
        </w:rPr>
      </w:pPr>
      <w:r>
        <w:rPr>
          <w:spacing w:val="-23"/>
          <w:sz w:val="24"/>
          <w:szCs w:val="24"/>
        </w:rPr>
        <w:t>2.4施工过程中发现管线现状与交底内容、样洞资料不符或出现直接危机管线安全等异常情</w:t>
      </w:r>
      <w:r>
        <w:rPr>
          <w:spacing w:val="-20"/>
          <w:sz w:val="24"/>
          <w:szCs w:val="24"/>
        </w:rPr>
        <w:t>况时，立即通知业主和有关管线单位到场研究，商议补救措施，在未作出统一结论前，不擅自</w:t>
      </w:r>
      <w:r>
        <w:rPr>
          <w:spacing w:val="-19"/>
          <w:sz w:val="24"/>
          <w:szCs w:val="24"/>
        </w:rPr>
        <w:t>处理或继续施工。</w:t>
      </w:r>
    </w:p>
    <w:p w14:paraId="7D6A45E4">
      <w:pPr>
        <w:pStyle w:val="2"/>
        <w:spacing w:before="115" w:line="261" w:lineRule="auto"/>
        <w:ind w:left="1457" w:right="1410" w:firstLine="431"/>
        <w:rPr>
          <w:sz w:val="24"/>
          <w:szCs w:val="24"/>
        </w:rPr>
      </w:pPr>
      <w:r>
        <w:rPr>
          <w:spacing w:val="-23"/>
          <w:sz w:val="24"/>
          <w:szCs w:val="24"/>
        </w:rPr>
        <w:t>2.5施工过程中对可能发生意外情况的地下管线，事先制订应急措施，配合好抢修器材，以</w:t>
      </w:r>
      <w:r>
        <w:rPr>
          <w:spacing w:val="-21"/>
          <w:sz w:val="24"/>
          <w:szCs w:val="24"/>
        </w:rPr>
        <w:t>便在管线出现险兆时及时抢修，做到防患于未然。</w:t>
      </w:r>
    </w:p>
    <w:p w14:paraId="79D30BC1">
      <w:pPr>
        <w:pStyle w:val="2"/>
        <w:spacing w:before="121" w:line="262" w:lineRule="auto"/>
        <w:ind w:left="1462" w:right="1427" w:firstLine="426"/>
        <w:rPr>
          <w:sz w:val="24"/>
          <w:szCs w:val="24"/>
        </w:rPr>
      </w:pPr>
      <w:r>
        <w:rPr>
          <w:spacing w:val="-21"/>
          <w:sz w:val="24"/>
          <w:szCs w:val="24"/>
        </w:rPr>
        <w:t>2.6一旦发生管线损坏事故，在24小时内报上级部门和建设单位，特殊管线立即上报，并立即通知有关管线单位要求抢修，积极组织力</w:t>
      </w:r>
      <w:r>
        <w:rPr>
          <w:spacing w:val="-22"/>
          <w:sz w:val="24"/>
          <w:szCs w:val="24"/>
        </w:rPr>
        <w:t>量协助抢修工作。</w:t>
      </w:r>
    </w:p>
    <w:p w14:paraId="5D873CCE">
      <w:pPr>
        <w:pStyle w:val="2"/>
        <w:spacing w:before="119" w:line="262" w:lineRule="auto"/>
        <w:ind w:left="1463" w:right="1411" w:firstLine="425"/>
        <w:rPr>
          <w:sz w:val="24"/>
          <w:szCs w:val="24"/>
        </w:rPr>
      </w:pPr>
      <w:r>
        <w:rPr>
          <w:spacing w:val="-23"/>
          <w:sz w:val="24"/>
          <w:szCs w:val="24"/>
        </w:rPr>
        <w:t>2.7一旦管线发生损坏事故，施工单位必须立即通知项目监理，并上报业主，应立即通知有关管线单位，组织力量抢修。</w:t>
      </w:r>
    </w:p>
    <w:p w14:paraId="18C8C600">
      <w:pPr>
        <w:pStyle w:val="2"/>
        <w:spacing w:before="119" w:line="219" w:lineRule="auto"/>
        <w:ind w:left="1890"/>
        <w:rPr>
          <w:sz w:val="24"/>
          <w:szCs w:val="24"/>
        </w:rPr>
      </w:pPr>
      <w:r>
        <w:rPr>
          <w:spacing w:val="-18"/>
          <w:sz w:val="24"/>
          <w:szCs w:val="24"/>
        </w:rPr>
        <w:t>3、应急预案</w:t>
      </w:r>
    </w:p>
    <w:p w14:paraId="54582B8E">
      <w:pPr>
        <w:pStyle w:val="2"/>
        <w:spacing w:before="113" w:line="309" w:lineRule="auto"/>
        <w:ind w:left="1456" w:right="1459" w:firstLine="463"/>
        <w:rPr>
          <w:spacing w:val="-19"/>
          <w:sz w:val="24"/>
          <w:szCs w:val="24"/>
        </w:rPr>
      </w:pPr>
      <w:r>
        <w:rPr>
          <w:spacing w:val="-21"/>
          <w:sz w:val="24"/>
          <w:szCs w:val="24"/>
        </w:rPr>
        <w:t>电力电缆管线发生破损，导致电路短路后，应</w:t>
      </w:r>
      <w:r>
        <w:rPr>
          <w:spacing w:val="-22"/>
          <w:sz w:val="24"/>
          <w:szCs w:val="24"/>
        </w:rPr>
        <w:t>及时上报业主、监理和电力管线所属单位，</w:t>
      </w:r>
      <w:r>
        <w:rPr>
          <w:spacing w:val="-19"/>
          <w:sz w:val="24"/>
          <w:szCs w:val="24"/>
        </w:rPr>
        <w:t>报请电力公司报修。</w:t>
      </w:r>
    </w:p>
    <w:p w14:paraId="40FA84E1">
      <w:pPr>
        <w:spacing w:line="250" w:lineRule="auto"/>
        <w:rPr>
          <w:rFonts w:ascii="Arial"/>
          <w:sz w:val="21"/>
        </w:rPr>
      </w:pPr>
    </w:p>
    <w:p w14:paraId="0D5D7077">
      <w:pPr>
        <w:pStyle w:val="2"/>
        <w:spacing w:before="78" w:line="215" w:lineRule="auto"/>
        <w:ind w:left="1892"/>
        <w:rPr>
          <w:sz w:val="24"/>
          <w:szCs w:val="24"/>
        </w:rPr>
      </w:pPr>
      <w:r>
        <w:rPr>
          <w:spacing w:val="-21"/>
          <w:sz w:val="24"/>
          <w:szCs w:val="24"/>
        </w:rPr>
        <w:t>现场安全员和专职管线监护员在现场监护，协调相关事宜。</w:t>
      </w:r>
    </w:p>
    <w:p w14:paraId="2F527BFB">
      <w:pPr>
        <w:pStyle w:val="2"/>
        <w:spacing w:before="121" w:line="215" w:lineRule="auto"/>
        <w:ind w:left="1919"/>
        <w:rPr>
          <w:sz w:val="24"/>
          <w:szCs w:val="24"/>
        </w:rPr>
      </w:pPr>
      <w:r>
        <w:rPr>
          <w:spacing w:val="-22"/>
          <w:sz w:val="24"/>
          <w:szCs w:val="24"/>
        </w:rPr>
        <w:t>电工必须随时在现场待命，配合做好保护工作。</w:t>
      </w:r>
    </w:p>
    <w:p w14:paraId="67312F18">
      <w:pPr>
        <w:pStyle w:val="2"/>
        <w:spacing w:before="118" w:line="217" w:lineRule="auto"/>
        <w:ind w:left="1884"/>
        <w:rPr>
          <w:sz w:val="24"/>
          <w:szCs w:val="24"/>
        </w:rPr>
      </w:pPr>
      <w:r>
        <w:rPr>
          <w:spacing w:val="-17"/>
          <w:sz w:val="24"/>
          <w:szCs w:val="24"/>
        </w:rPr>
        <w:t>4、安全保证措施</w:t>
      </w:r>
    </w:p>
    <w:p w14:paraId="1E7F3997">
      <w:pPr>
        <w:pStyle w:val="2"/>
        <w:spacing w:before="118" w:line="219" w:lineRule="auto"/>
        <w:ind w:left="1884"/>
        <w:rPr>
          <w:sz w:val="24"/>
          <w:szCs w:val="24"/>
        </w:rPr>
      </w:pPr>
      <w:r>
        <w:rPr>
          <w:spacing w:val="-16"/>
          <w:sz w:val="24"/>
          <w:szCs w:val="24"/>
        </w:rPr>
        <w:t>4.1安全管理措施</w:t>
      </w:r>
    </w:p>
    <w:p w14:paraId="7C615E8F">
      <w:pPr>
        <w:pStyle w:val="2"/>
        <w:spacing w:before="116" w:line="263" w:lineRule="auto"/>
        <w:ind w:left="1456" w:right="1411" w:firstLine="471"/>
        <w:rPr>
          <w:sz w:val="24"/>
          <w:szCs w:val="24"/>
        </w:rPr>
      </w:pPr>
      <w:r>
        <w:rPr>
          <w:spacing w:val="-22"/>
          <w:sz w:val="24"/>
          <w:szCs w:val="24"/>
        </w:rPr>
        <w:t>(1)进行安全技术交底，每隔工人在施工前进行安全</w:t>
      </w:r>
      <w:r>
        <w:rPr>
          <w:spacing w:val="-23"/>
          <w:sz w:val="24"/>
          <w:szCs w:val="24"/>
        </w:rPr>
        <w:t>技术交底，并提出安全技术要求和安全</w:t>
      </w:r>
      <w:r>
        <w:rPr>
          <w:spacing w:val="-18"/>
          <w:sz w:val="24"/>
          <w:szCs w:val="24"/>
        </w:rPr>
        <w:t>事故。</w:t>
      </w:r>
    </w:p>
    <w:p w14:paraId="34BBA02C">
      <w:pPr>
        <w:pStyle w:val="2"/>
        <w:spacing w:before="116" w:line="215" w:lineRule="auto"/>
        <w:ind w:left="1927"/>
        <w:rPr>
          <w:sz w:val="24"/>
          <w:szCs w:val="24"/>
        </w:rPr>
      </w:pPr>
      <w:r>
        <w:rPr>
          <w:spacing w:val="-21"/>
          <w:sz w:val="24"/>
          <w:szCs w:val="24"/>
        </w:rPr>
        <w:t>(2)在施工全过程中，电缆运行单位的现场监护指导</w:t>
      </w:r>
      <w:r>
        <w:rPr>
          <w:spacing w:val="-22"/>
          <w:sz w:val="24"/>
          <w:szCs w:val="24"/>
        </w:rPr>
        <w:t>下进行。</w:t>
      </w:r>
    </w:p>
    <w:p w14:paraId="7F9CCFB0">
      <w:pPr>
        <w:pStyle w:val="2"/>
        <w:spacing w:before="121" w:line="217" w:lineRule="auto"/>
        <w:ind w:left="1927"/>
        <w:rPr>
          <w:sz w:val="24"/>
          <w:szCs w:val="24"/>
        </w:rPr>
      </w:pPr>
      <w:r>
        <w:rPr>
          <w:spacing w:val="-21"/>
          <w:sz w:val="24"/>
          <w:szCs w:val="24"/>
        </w:rPr>
        <w:t>(3)施工过程中，设置专人配合运行单位的现场监控人员</w:t>
      </w:r>
      <w:r>
        <w:rPr>
          <w:spacing w:val="-22"/>
          <w:sz w:val="24"/>
          <w:szCs w:val="24"/>
        </w:rPr>
        <w:t>一同进行监护。</w:t>
      </w:r>
    </w:p>
    <w:p w14:paraId="50E524F9">
      <w:pPr>
        <w:pStyle w:val="2"/>
        <w:spacing w:before="116" w:line="216" w:lineRule="auto"/>
        <w:ind w:left="1927"/>
        <w:rPr>
          <w:sz w:val="24"/>
          <w:szCs w:val="24"/>
        </w:rPr>
      </w:pPr>
      <w:r>
        <w:rPr>
          <w:spacing w:val="-21"/>
          <w:sz w:val="24"/>
          <w:szCs w:val="24"/>
        </w:rPr>
        <w:t>(4)施工现场悬挂安全标志牌及警告、警示标志，并有</w:t>
      </w:r>
      <w:r>
        <w:rPr>
          <w:spacing w:val="-22"/>
          <w:sz w:val="24"/>
          <w:szCs w:val="24"/>
        </w:rPr>
        <w:t>专人负责。</w:t>
      </w:r>
    </w:p>
    <w:p w14:paraId="542F756F">
      <w:pPr>
        <w:pStyle w:val="2"/>
        <w:spacing w:before="120" w:line="217" w:lineRule="auto"/>
        <w:ind w:left="1927"/>
        <w:rPr>
          <w:sz w:val="24"/>
          <w:szCs w:val="24"/>
        </w:rPr>
      </w:pPr>
      <w:r>
        <w:rPr>
          <w:spacing w:val="-22"/>
          <w:sz w:val="24"/>
          <w:szCs w:val="24"/>
        </w:rPr>
        <w:t>(5)管线位置土方必须用人工清除，严禁用机械开挖。</w:t>
      </w:r>
    </w:p>
    <w:p w14:paraId="63D249F6">
      <w:pPr>
        <w:pStyle w:val="2"/>
        <w:spacing w:before="119" w:line="217" w:lineRule="auto"/>
        <w:ind w:left="1884"/>
        <w:rPr>
          <w:sz w:val="24"/>
          <w:szCs w:val="24"/>
        </w:rPr>
      </w:pPr>
      <w:r>
        <w:rPr>
          <w:spacing w:val="-18"/>
          <w:sz w:val="24"/>
          <w:szCs w:val="24"/>
        </w:rPr>
        <w:t>4.2主要项目安全保证措施</w:t>
      </w:r>
    </w:p>
    <w:p w14:paraId="28E6C662">
      <w:pPr>
        <w:pStyle w:val="2"/>
        <w:spacing w:before="117" w:line="262" w:lineRule="auto"/>
        <w:ind w:left="1459" w:right="1427" w:firstLine="468"/>
        <w:rPr>
          <w:sz w:val="24"/>
          <w:szCs w:val="24"/>
        </w:rPr>
      </w:pPr>
      <w:r>
        <w:rPr>
          <w:spacing w:val="-23"/>
          <w:sz w:val="24"/>
          <w:szCs w:val="24"/>
        </w:rPr>
        <w:t>(1)电缆保护施工：包扎电缆时，必须认真、细致，不能用铁件作撬起电缆工具，必须用茶</w:t>
      </w:r>
      <w:r>
        <w:rPr>
          <w:spacing w:val="-21"/>
          <w:sz w:val="24"/>
          <w:szCs w:val="24"/>
        </w:rPr>
        <w:t>仔棍或专用电缆钩，不能移动电缆，尽量保持原位置</w:t>
      </w:r>
      <w:r>
        <w:rPr>
          <w:spacing w:val="-22"/>
          <w:sz w:val="24"/>
          <w:szCs w:val="24"/>
        </w:rPr>
        <w:t>进行作业。</w:t>
      </w:r>
    </w:p>
    <w:p w14:paraId="6097EEB4">
      <w:pPr>
        <w:pStyle w:val="2"/>
        <w:spacing w:before="120" w:line="261" w:lineRule="auto"/>
        <w:ind w:left="1455" w:right="1338" w:firstLine="472"/>
        <w:rPr>
          <w:sz w:val="24"/>
          <w:szCs w:val="24"/>
        </w:rPr>
      </w:pPr>
      <w:r>
        <w:rPr>
          <w:spacing w:val="-22"/>
          <w:sz w:val="24"/>
          <w:szCs w:val="24"/>
        </w:rPr>
        <w:t>(2)中间接头保护施工：采用接头保护支架进行电缆</w:t>
      </w:r>
      <w:r>
        <w:rPr>
          <w:spacing w:val="-23"/>
          <w:sz w:val="24"/>
          <w:szCs w:val="24"/>
        </w:rPr>
        <w:t>保护，作业时要小心将接头下的沙轻轻掏空，把接头保护支架放在接头下，人后套上固定夹，并将并排的支架的底部用</w:t>
      </w:r>
      <w:r>
        <w:rPr>
          <w:spacing w:val="-24"/>
          <w:sz w:val="24"/>
          <w:szCs w:val="24"/>
        </w:rPr>
        <w:t>钢板整体连接。</w:t>
      </w:r>
    </w:p>
    <w:p w14:paraId="40D6A60B">
      <w:pPr>
        <w:pStyle w:val="2"/>
        <w:spacing w:before="87" w:line="216" w:lineRule="auto"/>
        <w:ind w:left="1983"/>
        <w:outlineLvl w:val="2"/>
        <w:rPr>
          <w:sz w:val="28"/>
          <w:szCs w:val="28"/>
        </w:rPr>
      </w:pPr>
      <w:bookmarkStart w:id="37" w:name="bookmark37"/>
      <w:bookmarkEnd w:id="37"/>
      <w:r>
        <w:rPr>
          <w:b/>
          <w:bCs/>
          <w:spacing w:val="-23"/>
          <w:sz w:val="28"/>
          <w:szCs w:val="28"/>
        </w:rPr>
        <w:t>七、钢筋混凝土检查井施工</w:t>
      </w:r>
    </w:p>
    <w:p w14:paraId="09579EF5">
      <w:pPr>
        <w:pStyle w:val="2"/>
        <w:spacing w:before="107" w:line="219" w:lineRule="auto"/>
        <w:ind w:left="1903"/>
        <w:rPr>
          <w:sz w:val="24"/>
          <w:szCs w:val="24"/>
        </w:rPr>
      </w:pPr>
      <w:r>
        <w:rPr>
          <w:spacing w:val="-19"/>
          <w:sz w:val="24"/>
          <w:szCs w:val="24"/>
        </w:rPr>
        <w:t>1、施工工艺流程</w:t>
      </w:r>
    </w:p>
    <w:p w14:paraId="63F8EE05">
      <w:pPr>
        <w:pStyle w:val="2"/>
        <w:spacing w:before="115" w:line="308" w:lineRule="auto"/>
        <w:ind w:left="1454" w:right="1410" w:firstLine="437"/>
        <w:rPr>
          <w:sz w:val="24"/>
          <w:szCs w:val="24"/>
        </w:rPr>
      </w:pPr>
      <w:r>
        <w:rPr>
          <w:spacing w:val="-20"/>
          <w:sz w:val="24"/>
          <w:szCs w:val="24"/>
        </w:rPr>
        <w:t>施工顺序：垫层混凝土→基础混凝土→管顶面以下侧墙混凝土浇筑→流槽→管顶面以上混</w:t>
      </w:r>
      <w:r>
        <w:rPr>
          <w:spacing w:val="-21"/>
          <w:sz w:val="24"/>
          <w:szCs w:val="24"/>
        </w:rPr>
        <w:t>凝土浇筑→塑钢踏步安装→现场预制混凝土盖板安装→预制混</w:t>
      </w:r>
      <w:r>
        <w:rPr>
          <w:spacing w:val="-22"/>
          <w:sz w:val="24"/>
          <w:szCs w:val="24"/>
        </w:rPr>
        <w:t>凝土井筒安装→井盖安装。</w:t>
      </w:r>
    </w:p>
    <w:p w14:paraId="26CB51E4">
      <w:pPr>
        <w:pStyle w:val="2"/>
        <w:spacing w:before="1" w:line="218" w:lineRule="auto"/>
        <w:ind w:left="1888"/>
        <w:rPr>
          <w:sz w:val="24"/>
          <w:szCs w:val="24"/>
        </w:rPr>
      </w:pPr>
      <w:r>
        <w:rPr>
          <w:spacing w:val="-13"/>
          <w:sz w:val="24"/>
          <w:szCs w:val="24"/>
        </w:rPr>
        <w:t>2、钢筋</w:t>
      </w:r>
    </w:p>
    <w:p w14:paraId="504C3A93">
      <w:pPr>
        <w:pStyle w:val="2"/>
        <w:spacing w:before="114" w:line="217" w:lineRule="auto"/>
        <w:ind w:left="1895"/>
        <w:rPr>
          <w:sz w:val="24"/>
          <w:szCs w:val="24"/>
        </w:rPr>
      </w:pPr>
      <w:r>
        <w:rPr>
          <w:spacing w:val="-21"/>
          <w:sz w:val="24"/>
          <w:szCs w:val="24"/>
        </w:rPr>
        <w:t>运至现场的钢筋要码放整齐、挂号标志牌，底部垫方木与</w:t>
      </w:r>
      <w:r>
        <w:rPr>
          <w:spacing w:val="-22"/>
          <w:sz w:val="24"/>
          <w:szCs w:val="24"/>
        </w:rPr>
        <w:t>地面保持距离。</w:t>
      </w:r>
    </w:p>
    <w:p w14:paraId="642981D2">
      <w:pPr>
        <w:pStyle w:val="2"/>
        <w:spacing w:before="119" w:line="219" w:lineRule="auto"/>
        <w:ind w:left="1890"/>
        <w:rPr>
          <w:sz w:val="24"/>
          <w:szCs w:val="24"/>
        </w:rPr>
      </w:pPr>
      <w:r>
        <w:rPr>
          <w:spacing w:val="-16"/>
          <w:sz w:val="24"/>
          <w:szCs w:val="24"/>
        </w:rPr>
        <w:t>3、绑扎、安装</w:t>
      </w:r>
    </w:p>
    <w:p w14:paraId="58560311">
      <w:pPr>
        <w:pStyle w:val="2"/>
        <w:spacing w:before="116" w:line="263" w:lineRule="auto"/>
        <w:ind w:left="1463" w:right="1411" w:firstLine="428"/>
        <w:rPr>
          <w:sz w:val="24"/>
          <w:szCs w:val="24"/>
        </w:rPr>
      </w:pPr>
      <w:r>
        <w:rPr>
          <w:spacing w:val="-20"/>
          <w:sz w:val="24"/>
          <w:szCs w:val="24"/>
        </w:rPr>
        <w:t>钢筋的现场绑扎及安装严格按照设计图纸的尺寸及要求进行。井室底板钢筋的定位必须弹线。</w:t>
      </w:r>
    </w:p>
    <w:tbl>
      <w:tblPr>
        <w:tblStyle w:val="6"/>
        <w:tblW w:w="9277" w:type="dxa"/>
        <w:tblInd w:w="1315" w:type="dxa"/>
        <w:tblBorders>
          <w:top w:val="single" w:color="5B9BD5" w:sz="4" w:space="0"/>
          <w:left w:val="single" w:color="5B9BD5" w:sz="4" w:space="0"/>
          <w:bottom w:val="single" w:color="5B9BD5" w:sz="4" w:space="0"/>
          <w:right w:val="single" w:color="5B9BD5" w:sz="4" w:space="0"/>
          <w:insideH w:val="single" w:color="5B9BD5" w:sz="4" w:space="0"/>
          <w:insideV w:val="single" w:color="5B9BD5" w:sz="4" w:space="0"/>
        </w:tblBorders>
        <w:tblLayout w:type="fixed"/>
        <w:tblCellMar>
          <w:top w:w="0" w:type="dxa"/>
          <w:left w:w="0" w:type="dxa"/>
          <w:bottom w:w="0" w:type="dxa"/>
          <w:right w:w="0" w:type="dxa"/>
        </w:tblCellMar>
      </w:tblPr>
      <w:tblGrid>
        <w:gridCol w:w="4659"/>
        <w:gridCol w:w="4618"/>
      </w:tblGrid>
      <w:tr w14:paraId="1DD90D2C">
        <w:tblPrEx>
          <w:tblBorders>
            <w:top w:val="single" w:color="5B9BD5" w:sz="4" w:space="0"/>
            <w:left w:val="single" w:color="5B9BD5" w:sz="4" w:space="0"/>
            <w:bottom w:val="single" w:color="5B9BD5" w:sz="4" w:space="0"/>
            <w:right w:val="single" w:color="5B9BD5" w:sz="4" w:space="0"/>
            <w:insideH w:val="single" w:color="5B9BD5" w:sz="4" w:space="0"/>
            <w:insideV w:val="single" w:color="5B9BD5" w:sz="4" w:space="0"/>
          </w:tblBorders>
          <w:tblCellMar>
            <w:top w:w="0" w:type="dxa"/>
            <w:left w:w="0" w:type="dxa"/>
            <w:bottom w:w="0" w:type="dxa"/>
            <w:right w:w="0" w:type="dxa"/>
          </w:tblCellMar>
        </w:tblPrEx>
        <w:trPr>
          <w:trHeight w:val="4302" w:hRule="atLeast"/>
        </w:trPr>
        <w:tc>
          <w:tcPr>
            <w:tcW w:w="4659" w:type="dxa"/>
            <w:tcBorders>
              <w:right w:val="single" w:color="000000" w:sz="2" w:space="0"/>
            </w:tcBorders>
            <w:shd w:val="clear" w:color="auto" w:fill="DEEAF6"/>
            <w:vAlign w:val="top"/>
          </w:tcPr>
          <w:p w14:paraId="1A98E648">
            <w:pPr>
              <w:spacing w:before="91" w:line="3962" w:lineRule="exact"/>
              <w:ind w:firstLine="131"/>
            </w:pPr>
            <w:r>
              <w:pict>
                <v:group id="_x0000_s1531" o:spid="_x0000_s1531" o:spt="203" style="position:absolute;left:0pt;margin-left:-0.2pt;margin-top:0pt;height:216.15pt;width:232.1pt;mso-position-horizontal-relative:page;mso-position-vertical-relative:page;z-index:251752448;mso-width-relative:page;mso-height-relative:page;" coordsize="4642,4322">
                  <o:lock v:ext="edit"/>
                  <v:group id="_x0000_s1532" o:spid="_x0000_s1532" o:spt="203" style="position:absolute;left:0;top:4219;height:103;width:4642;" coordsize="4642,103">
                    <o:lock v:ext="edit"/>
                    <v:shape id="_x0000_s1533" o:spid="_x0000_s1533" style="position:absolute;left:21;top:0;height:58;width:4621;" fillcolor="#DEEAF6" filled="t" stroked="f" coordsize="4621,58" path="m0,57l4620,57,4620,0,0,0,0,57xe">
                      <v:path/>
                      <v:fill on="t" focussize="0,0"/>
                      <v:stroke on="f"/>
                      <v:imagedata o:title=""/>
                      <o:lock v:ext="edit"/>
                    </v:shape>
                    <v:shape id="_x0000_s1534" o:spid="_x0000_s1534" style="position:absolute;left:0;top:88;height:15;width:44;" fillcolor="#5B9BD5" filled="t" stroked="f" coordsize="44,15" path="m0,14l43,14,43,0,0,0,0,14xe">
                      <v:path/>
                      <v:fill on="t" focussize="0,0"/>
                      <v:stroke on="f"/>
                      <v:imagedata o:title=""/>
                      <o:lock v:ext="edit"/>
                    </v:shape>
                    <v:shape id="_x0000_s1535" o:spid="_x0000_s1535" style="position:absolute;left:43;top:59;height:15;width:4593;" fillcolor="#1C456A" filled="t" stroked="f" coordsize="4593,15" path="m0,14l4593,14,4593,0,0,0,0,14xe">
                      <v:path/>
                      <v:fill on="t" focussize="0,0"/>
                      <v:stroke on="f"/>
                      <v:imagedata o:title=""/>
                      <o:lock v:ext="edit"/>
                    </v:shape>
                  </v:group>
                  <v:group id="_x0000_s1536" o:spid="_x0000_s1536" o:spt="203" style="position:absolute;left:0;top:0;height:103;width:4637;" coordsize="4637,103">
                    <o:lock v:ext="edit"/>
                    <v:shape id="_x0000_s1537" o:spid="_x0000_s1537" style="position:absolute;left:0;top:0;height:15;width:44;" fillcolor="#5B9BD5" filled="t" stroked="f" coordsize="44,15" path="m0,14l43,14,43,0,0,0,0,14xe">
                      <v:path/>
                      <v:fill on="t" focussize="0,0"/>
                      <v:stroke on="f"/>
                      <v:imagedata o:title=""/>
                      <o:lock v:ext="edit"/>
                    </v:shape>
                    <v:shape id="_x0000_s1538" o:spid="_x0000_s1538" style="position:absolute;left:43;top:43;height:60;width:4593;" fillcolor="#DEEAF6" filled="t" stroked="f" coordsize="4593,60" path="m0,60l4593,60,4593,0,0,0,0,60xe">
                      <v:path/>
                      <v:fill on="t" focussize="0,0"/>
                      <v:stroke on="f"/>
                      <v:imagedata o:title=""/>
                      <o:lock v:ext="edit"/>
                    </v:shape>
                  </v:group>
                </v:group>
              </w:pict>
            </w:r>
            <w:r>
              <w:rPr>
                <w:position w:val="-79"/>
              </w:rPr>
              <w:drawing>
                <wp:inline distT="0" distB="0" distL="0" distR="0">
                  <wp:extent cx="2781300" cy="2515870"/>
                  <wp:effectExtent l="0" t="0" r="0" b="0"/>
                  <wp:docPr id="372" name="IM 372"/>
                  <wp:cNvGraphicFramePr/>
                  <a:graphic xmlns:a="http://schemas.openxmlformats.org/drawingml/2006/main">
                    <a:graphicData uri="http://schemas.openxmlformats.org/drawingml/2006/picture">
                      <pic:pic xmlns:pic="http://schemas.openxmlformats.org/drawingml/2006/picture">
                        <pic:nvPicPr>
                          <pic:cNvPr id="372" name="IM 372"/>
                          <pic:cNvPicPr/>
                        </pic:nvPicPr>
                        <pic:blipFill>
                          <a:blip r:embed="rId502"/>
                          <a:stretch>
                            <a:fillRect/>
                          </a:stretch>
                        </pic:blipFill>
                        <pic:spPr>
                          <a:xfrm>
                            <a:off x="0" y="0"/>
                            <a:ext cx="2781300" cy="2515870"/>
                          </a:xfrm>
                          <a:prstGeom prst="rect">
                            <a:avLst/>
                          </a:prstGeom>
                        </pic:spPr>
                      </pic:pic>
                    </a:graphicData>
                  </a:graphic>
                </wp:inline>
              </w:drawing>
            </w:r>
          </w:p>
        </w:tc>
        <w:tc>
          <w:tcPr>
            <w:tcW w:w="4618" w:type="dxa"/>
            <w:tcBorders>
              <w:left w:val="single" w:color="000000" w:sz="2" w:space="0"/>
            </w:tcBorders>
            <w:shd w:val="clear" w:color="auto" w:fill="DEEAF6"/>
            <w:vAlign w:val="top"/>
          </w:tcPr>
          <w:p w14:paraId="4B8757F7">
            <w:pPr>
              <w:spacing w:line="93" w:lineRule="exact"/>
              <w:ind w:firstLine="14"/>
            </w:pPr>
            <w:r>
              <w:rPr>
                <w:position w:val="-1"/>
              </w:rPr>
              <w:pict>
                <v:group id="_x0000_s1539" o:spid="_x0000_s1539" o:spt="203" style="height:5.2pt;width:230.35pt;" coordsize="4607,103">
                  <o:lock v:ext="edit"/>
                  <v:shape id="_x0000_s1540" o:spid="_x0000_s1540" style="position:absolute;left:0;top:43;height:60;width:4563;" fillcolor="#DEEAF6" filled="t" stroked="f" coordsize="4563,60" path="m0,60l4563,60,4563,0,0,0,0,60xe">
                    <v:path/>
                    <v:fill on="t" focussize="0,0"/>
                    <v:stroke on="f"/>
                    <v:imagedata o:title=""/>
                    <o:lock v:ext="edit"/>
                  </v:shape>
                  <v:shape id="_x0000_s1541" o:spid="_x0000_s1541" style="position:absolute;left:4563;top:0;height:15;width:44;" fillcolor="#5B9BD5" filled="t" stroked="f" coordsize="44,15" path="m0,14l43,14,43,0,0,0,0,14xe">
                    <v:path/>
                    <v:fill on="t" focussize="0,0"/>
                    <v:stroke on="f"/>
                    <v:imagedata o:title=""/>
                    <o:lock v:ext="edit"/>
                  </v:shape>
                  <w10:wrap type="none"/>
                  <w10:anchorlock/>
                </v:group>
              </w:pict>
            </w:r>
          </w:p>
          <w:p w14:paraId="38DB5853">
            <w:pPr>
              <w:spacing w:before="34" w:line="3890" w:lineRule="exact"/>
              <w:ind w:firstLine="118"/>
            </w:pPr>
            <w:r>
              <w:rPr>
                <w:position w:val="-77"/>
              </w:rPr>
              <w:drawing>
                <wp:inline distT="0" distB="0" distL="0" distR="0">
                  <wp:extent cx="2752090" cy="2470150"/>
                  <wp:effectExtent l="0" t="0" r="0" b="0"/>
                  <wp:docPr id="374" name="IM 374"/>
                  <wp:cNvGraphicFramePr/>
                  <a:graphic xmlns:a="http://schemas.openxmlformats.org/drawingml/2006/main">
                    <a:graphicData uri="http://schemas.openxmlformats.org/drawingml/2006/picture">
                      <pic:pic xmlns:pic="http://schemas.openxmlformats.org/drawingml/2006/picture">
                        <pic:nvPicPr>
                          <pic:cNvPr id="374" name="IM 374"/>
                          <pic:cNvPicPr/>
                        </pic:nvPicPr>
                        <pic:blipFill>
                          <a:blip r:embed="rId503"/>
                          <a:stretch>
                            <a:fillRect/>
                          </a:stretch>
                        </pic:blipFill>
                        <pic:spPr>
                          <a:xfrm>
                            <a:off x="0" y="0"/>
                            <a:ext cx="2752090" cy="2470150"/>
                          </a:xfrm>
                          <a:prstGeom prst="rect">
                            <a:avLst/>
                          </a:prstGeom>
                        </pic:spPr>
                      </pic:pic>
                    </a:graphicData>
                  </a:graphic>
                </wp:inline>
              </w:drawing>
            </w:r>
          </w:p>
          <w:p w14:paraId="1CD4F830">
            <w:pPr>
              <w:spacing w:before="191" w:line="83" w:lineRule="exact"/>
            </w:pPr>
            <w:r>
              <w:rPr>
                <w:position w:val="-3"/>
              </w:rPr>
              <w:pict>
                <v:group id="_x0000_s1542" o:spid="_x0000_s1542" o:spt="203" style="height:5.2pt;width:232.25pt;" coordsize="4645,103">
                  <o:lock v:ext="edit"/>
                  <v:shape id="_x0000_s1543" o:spid="_x0000_s1543" style="position:absolute;left:0;top:0;height:58;width:4623;" fillcolor="#DEEAF6" filled="t" stroked="f" coordsize="4623,58" path="m0,57l4623,57,4623,0,0,0,0,57xe">
                    <v:path/>
                    <v:fill on="t" focussize="0,0"/>
                    <v:stroke on="f"/>
                    <v:imagedata o:title=""/>
                    <o:lock v:ext="edit"/>
                  </v:shape>
                  <v:shape id="_x0000_s1544" o:spid="_x0000_s1544" style="position:absolute;left:38;top:59;height:15;width:4563;" fillcolor="#1C456A" filled="t" stroked="f" coordsize="4563,15" path="m0,14l4563,14,4563,0,0,0,0,14xe">
                    <v:path/>
                    <v:fill on="t" focussize="0,0"/>
                    <v:stroke on="f"/>
                    <v:imagedata o:title=""/>
                    <o:lock v:ext="edit"/>
                  </v:shape>
                  <v:shape id="_x0000_s1545" o:spid="_x0000_s1545" style="position:absolute;left:4601;top:88;height:15;width:44;" fillcolor="#5B9BD5" filled="t" stroked="f" coordsize="44,15" path="m0,14l43,14,43,0,0,0,0,14xe">
                    <v:path/>
                    <v:fill on="t" focussize="0,0"/>
                    <v:stroke on="f"/>
                    <v:imagedata o:title=""/>
                    <o:lock v:ext="edit"/>
                  </v:shape>
                  <w10:wrap type="none"/>
                  <w10:anchorlock/>
                </v:group>
              </w:pict>
            </w:r>
          </w:p>
        </w:tc>
      </w:tr>
    </w:tbl>
    <w:p w14:paraId="2EA5C9AE">
      <w:pPr>
        <w:rPr>
          <w:rFonts w:ascii="Arial"/>
          <w:sz w:val="21"/>
        </w:rPr>
      </w:pPr>
    </w:p>
    <w:p w14:paraId="1D505281">
      <w:pPr>
        <w:rPr>
          <w:rFonts w:ascii="Arial" w:hAnsi="Arial" w:eastAsia="Arial" w:cs="Arial"/>
          <w:sz w:val="21"/>
          <w:szCs w:val="21"/>
        </w:rPr>
        <w:sectPr>
          <w:footerReference r:id="rId55" w:type="default"/>
          <w:pgSz w:w="11907" w:h="16839"/>
          <w:pgMar w:top="954" w:right="4" w:bottom="1038" w:left="0" w:header="499" w:footer="357" w:gutter="0"/>
          <w:pgBorders>
            <w:top w:val="none" w:sz="0" w:space="0"/>
            <w:left w:val="none" w:sz="0" w:space="0"/>
            <w:bottom w:val="none" w:sz="0" w:space="0"/>
            <w:right w:val="none" w:sz="0" w:space="0"/>
          </w:pgBorders>
          <w:cols w:space="720" w:num="1"/>
        </w:sectPr>
      </w:pPr>
    </w:p>
    <w:p w14:paraId="5A73A5E8">
      <w:pPr>
        <w:spacing w:line="214" w:lineRule="exact"/>
      </w:pPr>
    </w:p>
    <w:tbl>
      <w:tblPr>
        <w:tblStyle w:val="6"/>
        <w:tblW w:w="9277" w:type="dxa"/>
        <w:tblInd w:w="1315" w:type="dxa"/>
        <w:tblBorders>
          <w:top w:val="single" w:color="1C456A" w:sz="4" w:space="0"/>
          <w:left w:val="single" w:color="1C456A" w:sz="4" w:space="0"/>
          <w:bottom w:val="single" w:color="1C456A" w:sz="4" w:space="0"/>
          <w:right w:val="single" w:color="1C456A" w:sz="4" w:space="0"/>
          <w:insideH w:val="single" w:color="1C456A" w:sz="4" w:space="0"/>
          <w:insideV w:val="single" w:color="1C456A" w:sz="4" w:space="0"/>
        </w:tblBorders>
        <w:tblLayout w:type="fixed"/>
        <w:tblCellMar>
          <w:top w:w="0" w:type="dxa"/>
          <w:left w:w="0" w:type="dxa"/>
          <w:bottom w:w="0" w:type="dxa"/>
          <w:right w:w="0" w:type="dxa"/>
        </w:tblCellMar>
      </w:tblPr>
      <w:tblGrid>
        <w:gridCol w:w="4637"/>
        <w:gridCol w:w="4640"/>
      </w:tblGrid>
      <w:tr w14:paraId="66D8207D">
        <w:tblPrEx>
          <w:tblBorders>
            <w:top w:val="single" w:color="1C456A" w:sz="4" w:space="0"/>
            <w:left w:val="single" w:color="1C456A" w:sz="4" w:space="0"/>
            <w:bottom w:val="single" w:color="1C456A" w:sz="4" w:space="0"/>
            <w:right w:val="single" w:color="1C456A" w:sz="4" w:space="0"/>
            <w:insideH w:val="single" w:color="1C456A" w:sz="4" w:space="0"/>
            <w:insideV w:val="single" w:color="1C456A" w:sz="4" w:space="0"/>
          </w:tblBorders>
          <w:tblCellMar>
            <w:top w:w="0" w:type="dxa"/>
            <w:left w:w="0" w:type="dxa"/>
            <w:bottom w:w="0" w:type="dxa"/>
            <w:right w:w="0" w:type="dxa"/>
          </w:tblCellMar>
        </w:tblPrEx>
        <w:trPr>
          <w:trHeight w:val="652" w:hRule="atLeast"/>
        </w:trPr>
        <w:tc>
          <w:tcPr>
            <w:tcW w:w="4637" w:type="dxa"/>
            <w:tcBorders>
              <w:right w:val="single" w:color="000000" w:sz="2" w:space="0"/>
            </w:tcBorders>
            <w:vAlign w:val="top"/>
          </w:tcPr>
          <w:p w14:paraId="746BC64D">
            <w:pPr>
              <w:pStyle w:val="7"/>
              <w:spacing w:before="129" w:line="216" w:lineRule="auto"/>
              <w:ind w:left="706"/>
            </w:pPr>
            <w:r>
              <w:rPr>
                <w:spacing w:val="-21"/>
              </w:rPr>
              <w:t>检查井示意图（实际以图纸为准）</w:t>
            </w:r>
          </w:p>
        </w:tc>
        <w:tc>
          <w:tcPr>
            <w:tcW w:w="4640" w:type="dxa"/>
            <w:tcBorders>
              <w:top w:val="single" w:color="5B9BD5" w:sz="4" w:space="0"/>
              <w:left w:val="single" w:color="000000" w:sz="2" w:space="0"/>
              <w:bottom w:val="single" w:color="5B9BD5" w:sz="4" w:space="0"/>
              <w:right w:val="single" w:color="5B9BD5" w:sz="4" w:space="0"/>
            </w:tcBorders>
            <w:vAlign w:val="top"/>
          </w:tcPr>
          <w:p w14:paraId="2A83F8DF">
            <w:pPr>
              <w:pStyle w:val="7"/>
              <w:spacing w:before="129" w:line="216" w:lineRule="auto"/>
              <w:ind w:left="1239"/>
            </w:pPr>
            <w:r>
              <w:rPr>
                <w:spacing w:val="-20"/>
              </w:rPr>
              <w:t>混凝土检查井钢筋绑扎</w:t>
            </w:r>
          </w:p>
        </w:tc>
      </w:tr>
    </w:tbl>
    <w:p w14:paraId="0213FAAE">
      <w:pPr>
        <w:pStyle w:val="2"/>
        <w:spacing w:before="113" w:line="217" w:lineRule="auto"/>
        <w:ind w:left="1902"/>
        <w:rPr>
          <w:sz w:val="24"/>
          <w:szCs w:val="24"/>
        </w:rPr>
      </w:pPr>
      <w:r>
        <w:rPr>
          <w:spacing w:val="-21"/>
          <w:sz w:val="24"/>
          <w:szCs w:val="24"/>
        </w:rPr>
        <w:t>架立筋：井室底板、顶板架立筋按1000mm间放，以此控制上、下层钢筋间</w:t>
      </w:r>
      <w:r>
        <w:rPr>
          <w:spacing w:val="-22"/>
          <w:sz w:val="24"/>
          <w:szCs w:val="24"/>
        </w:rPr>
        <w:t>距。</w:t>
      </w:r>
    </w:p>
    <w:p w14:paraId="6D6A8389">
      <w:pPr>
        <w:pStyle w:val="2"/>
        <w:spacing w:before="119" w:line="307" w:lineRule="auto"/>
        <w:ind w:left="1455" w:right="1410" w:firstLine="439"/>
        <w:rPr>
          <w:sz w:val="24"/>
          <w:szCs w:val="24"/>
        </w:rPr>
      </w:pPr>
      <w:r>
        <w:rPr>
          <w:spacing w:val="-20"/>
          <w:sz w:val="24"/>
          <w:szCs w:val="24"/>
        </w:rPr>
        <w:t>严格控制钢筋保护层，在模板与钢筋之间设置水泥、砂配比与所浇筑混凝土配比相同的水</w:t>
      </w:r>
      <w:r>
        <w:rPr>
          <w:spacing w:val="-17"/>
          <w:sz w:val="24"/>
          <w:szCs w:val="24"/>
        </w:rPr>
        <w:t>泥砂浆垫块,垫块数量不得小于2块/m2。</w:t>
      </w:r>
    </w:p>
    <w:p w14:paraId="0A1E9618">
      <w:pPr>
        <w:pStyle w:val="2"/>
        <w:spacing w:line="308" w:lineRule="auto"/>
        <w:ind w:left="1469" w:right="1409" w:firstLine="424"/>
        <w:rPr>
          <w:sz w:val="24"/>
          <w:szCs w:val="24"/>
        </w:rPr>
      </w:pPr>
      <w:r>
        <w:rPr>
          <w:spacing w:val="-20"/>
          <w:sz w:val="24"/>
          <w:szCs w:val="24"/>
        </w:rPr>
        <w:t>绑扎时铺板作业，严禁踩踏绑扎完毕的钢筋。钢筋安装时接头的位置及数量，符合国标验</w:t>
      </w:r>
      <w:r>
        <w:rPr>
          <w:spacing w:val="-23"/>
          <w:sz w:val="24"/>
          <w:szCs w:val="24"/>
        </w:rPr>
        <w:t>收规范及规定。</w:t>
      </w:r>
    </w:p>
    <w:p w14:paraId="7BE10476">
      <w:pPr>
        <w:pStyle w:val="2"/>
        <w:spacing w:before="1" w:line="307" w:lineRule="auto"/>
        <w:ind w:left="1458" w:right="1409" w:firstLine="437"/>
        <w:rPr>
          <w:sz w:val="24"/>
          <w:szCs w:val="24"/>
        </w:rPr>
      </w:pPr>
      <w:r>
        <w:rPr>
          <w:spacing w:val="-22"/>
          <w:sz w:val="24"/>
          <w:szCs w:val="24"/>
        </w:rPr>
        <w:t>井室底板及顶板同一截面内接头相互错开，其数量不得大于50%，墙体同一截面内接头必须</w:t>
      </w:r>
      <w:r>
        <w:rPr>
          <w:spacing w:val="-16"/>
          <w:sz w:val="24"/>
          <w:szCs w:val="24"/>
        </w:rPr>
        <w:t>相互错开，其数量不得大于25%。</w:t>
      </w:r>
    </w:p>
    <w:p w14:paraId="77A5F8C3">
      <w:pPr>
        <w:pStyle w:val="2"/>
        <w:spacing w:before="1" w:line="215" w:lineRule="auto"/>
        <w:ind w:left="1884"/>
        <w:rPr>
          <w:sz w:val="24"/>
          <w:szCs w:val="24"/>
        </w:rPr>
      </w:pPr>
      <w:r>
        <w:rPr>
          <w:spacing w:val="-13"/>
          <w:sz w:val="24"/>
          <w:szCs w:val="24"/>
        </w:rPr>
        <w:t>4、脚手架</w:t>
      </w:r>
    </w:p>
    <w:p w14:paraId="2378356C">
      <w:pPr>
        <w:pStyle w:val="2"/>
        <w:spacing w:before="123" w:line="307" w:lineRule="auto"/>
        <w:ind w:left="1451" w:right="1411" w:firstLine="443"/>
        <w:rPr>
          <w:sz w:val="24"/>
          <w:szCs w:val="24"/>
        </w:rPr>
      </w:pPr>
      <w:r>
        <w:rPr>
          <w:spacing w:val="-20"/>
          <w:sz w:val="24"/>
          <w:szCs w:val="24"/>
        </w:rPr>
        <w:t>检查井施工时，在其周围事先支搭钢管脚手架。坐落于肥槽上的脚手架用碗扣式钢管系列脚手架系统支搭，采用单排架。脚手架底部设立杆可调座，支腿下垫50mm大</w:t>
      </w:r>
      <w:r>
        <w:rPr>
          <w:spacing w:val="-21"/>
          <w:sz w:val="24"/>
          <w:szCs w:val="24"/>
        </w:rPr>
        <w:t>板，大板宽不小于</w:t>
      </w:r>
      <w:r>
        <w:rPr>
          <w:spacing w:val="-16"/>
          <w:sz w:val="24"/>
          <w:szCs w:val="24"/>
        </w:rPr>
        <w:t>200mm。脚手架内侧距结构墙皮700mm，架</w:t>
      </w:r>
      <w:r>
        <w:rPr>
          <w:spacing w:val="-17"/>
          <w:sz w:val="24"/>
          <w:szCs w:val="24"/>
        </w:rPr>
        <w:t>宽900mm，其立杆间距900mm，横杆间距1200mm。支</w:t>
      </w:r>
      <w:r>
        <w:rPr>
          <w:spacing w:val="-18"/>
          <w:sz w:val="24"/>
          <w:szCs w:val="24"/>
        </w:rPr>
        <w:t>搭时设碗扣式斜杆，脚手架上部设有高度横杆间距600mm，作为护栏。</w:t>
      </w:r>
    </w:p>
    <w:p w14:paraId="67DC280D">
      <w:pPr>
        <w:pStyle w:val="2"/>
        <w:spacing w:before="1" w:line="218" w:lineRule="auto"/>
        <w:ind w:left="1890"/>
        <w:rPr>
          <w:sz w:val="24"/>
          <w:szCs w:val="24"/>
        </w:rPr>
      </w:pPr>
      <w:r>
        <w:rPr>
          <w:spacing w:val="-16"/>
          <w:sz w:val="24"/>
          <w:szCs w:val="24"/>
        </w:rPr>
        <w:t>5、混凝土浇筑</w:t>
      </w:r>
    </w:p>
    <w:p w14:paraId="4F307386">
      <w:pPr>
        <w:pStyle w:val="2"/>
        <w:spacing w:before="116" w:line="218" w:lineRule="auto"/>
        <w:ind w:left="1890"/>
        <w:rPr>
          <w:sz w:val="24"/>
          <w:szCs w:val="24"/>
        </w:rPr>
      </w:pPr>
      <w:r>
        <w:rPr>
          <w:spacing w:val="-15"/>
          <w:sz w:val="24"/>
          <w:szCs w:val="24"/>
        </w:rPr>
        <w:t>5.1浇筑顺序</w:t>
      </w:r>
    </w:p>
    <w:p w14:paraId="44186A62">
      <w:pPr>
        <w:pStyle w:val="2"/>
        <w:spacing w:before="118" w:line="218" w:lineRule="auto"/>
        <w:ind w:left="1895"/>
        <w:rPr>
          <w:sz w:val="24"/>
          <w:szCs w:val="24"/>
        </w:rPr>
      </w:pPr>
      <w:r>
        <w:rPr>
          <w:spacing w:val="-21"/>
          <w:sz w:val="24"/>
          <w:szCs w:val="24"/>
        </w:rPr>
        <w:t>井室混凝土浇筑顺序：垫层混凝土→基础混凝土→</w:t>
      </w:r>
      <w:r>
        <w:rPr>
          <w:spacing w:val="-22"/>
          <w:sz w:val="24"/>
          <w:szCs w:val="24"/>
        </w:rPr>
        <w:t>侧墙混凝土。</w:t>
      </w:r>
    </w:p>
    <w:p w14:paraId="2D7BBB4F">
      <w:pPr>
        <w:pStyle w:val="2"/>
        <w:spacing w:before="115" w:line="218" w:lineRule="auto"/>
        <w:ind w:left="1890"/>
        <w:rPr>
          <w:sz w:val="24"/>
          <w:szCs w:val="24"/>
        </w:rPr>
      </w:pPr>
      <w:r>
        <w:rPr>
          <w:spacing w:val="-19"/>
          <w:sz w:val="24"/>
          <w:szCs w:val="24"/>
        </w:rPr>
        <w:t>5.2施工要求与注意事项如下：</w:t>
      </w:r>
    </w:p>
    <w:p w14:paraId="26DFE784">
      <w:pPr>
        <w:pStyle w:val="2"/>
        <w:spacing w:before="118" w:line="263" w:lineRule="auto"/>
        <w:ind w:left="1459" w:right="1411" w:firstLine="431"/>
        <w:rPr>
          <w:sz w:val="24"/>
          <w:szCs w:val="24"/>
        </w:rPr>
      </w:pPr>
      <w:r>
        <w:rPr>
          <w:spacing w:val="-21"/>
          <w:sz w:val="24"/>
          <w:szCs w:val="24"/>
        </w:rPr>
        <w:t>5.2.1浇筑前，对支架、模板、钢筋和预埋件进行检查，模板内的杂物、积水和钢筋上的污垢清理干净；模板如有缝隙，应填塞严密，模板内面</w:t>
      </w:r>
      <w:r>
        <w:rPr>
          <w:spacing w:val="-22"/>
          <w:sz w:val="24"/>
          <w:szCs w:val="24"/>
        </w:rPr>
        <w:t>应涂刷脱模剂。</w:t>
      </w:r>
    </w:p>
    <w:p w14:paraId="2BC5D3ED">
      <w:pPr>
        <w:pStyle w:val="2"/>
        <w:spacing w:before="115" w:line="216" w:lineRule="auto"/>
        <w:ind w:left="1890"/>
        <w:rPr>
          <w:sz w:val="24"/>
          <w:szCs w:val="24"/>
        </w:rPr>
      </w:pPr>
      <w:r>
        <w:rPr>
          <w:spacing w:val="-19"/>
          <w:sz w:val="24"/>
          <w:szCs w:val="24"/>
        </w:rPr>
        <w:t>5.2.2浇注前，检查混凝土的均匀性和坍落度。</w:t>
      </w:r>
    </w:p>
    <w:p w14:paraId="742D644E">
      <w:pPr>
        <w:pStyle w:val="2"/>
        <w:spacing w:before="120" w:line="216" w:lineRule="auto"/>
        <w:ind w:left="1890"/>
        <w:rPr>
          <w:sz w:val="24"/>
          <w:szCs w:val="24"/>
        </w:rPr>
      </w:pPr>
      <w:r>
        <w:rPr>
          <w:spacing w:val="-20"/>
          <w:sz w:val="24"/>
          <w:szCs w:val="24"/>
        </w:rPr>
        <w:t>5.2.3对浇注混凝土使用的脚手架，应便于人员与料具上下，且必须保证安全。</w:t>
      </w:r>
    </w:p>
    <w:p w14:paraId="07DF8B1A">
      <w:pPr>
        <w:pStyle w:val="2"/>
        <w:spacing w:before="119" w:line="263" w:lineRule="auto"/>
        <w:ind w:left="1458" w:right="1426" w:firstLine="432"/>
        <w:rPr>
          <w:sz w:val="24"/>
          <w:szCs w:val="24"/>
        </w:rPr>
      </w:pPr>
      <w:r>
        <w:rPr>
          <w:spacing w:val="-23"/>
          <w:sz w:val="24"/>
          <w:szCs w:val="24"/>
        </w:rPr>
        <w:t>5.2.4混凝土应按一定厚度、顺序和方向分层浇筑，应在下层混凝土初凝或能重塑前浇筑上</w:t>
      </w:r>
      <w:r>
        <w:rPr>
          <w:spacing w:val="-17"/>
          <w:sz w:val="24"/>
          <w:szCs w:val="24"/>
        </w:rPr>
        <w:t>层混凝土，混凝土分层浇筑厚度不超过40cm。</w:t>
      </w:r>
    </w:p>
    <w:p w14:paraId="08DB3160">
      <w:pPr>
        <w:pStyle w:val="2"/>
        <w:spacing w:before="116" w:line="216" w:lineRule="auto"/>
        <w:ind w:left="1890"/>
        <w:rPr>
          <w:sz w:val="24"/>
          <w:szCs w:val="24"/>
        </w:rPr>
      </w:pPr>
      <w:r>
        <w:rPr>
          <w:spacing w:val="-20"/>
          <w:sz w:val="24"/>
          <w:szCs w:val="24"/>
        </w:rPr>
        <w:t>5.2.5浇筑混凝土时，采用插入式振捣棒捣固。振捣应符合下列规定：</w:t>
      </w:r>
    </w:p>
    <w:p w14:paraId="01A10632">
      <w:pPr>
        <w:pStyle w:val="2"/>
        <w:spacing w:before="120" w:line="277" w:lineRule="auto"/>
        <w:ind w:left="1459" w:right="1413" w:firstLine="427"/>
        <w:rPr>
          <w:sz w:val="24"/>
          <w:szCs w:val="24"/>
        </w:rPr>
      </w:pPr>
      <w:r>
        <w:rPr>
          <w:spacing w:val="-15"/>
          <w:sz w:val="24"/>
          <w:szCs w:val="24"/>
        </w:rPr>
        <w:t>a、使用插入式振动棒时，移动间距不应超过振捣棒作用半径的1.5倍；与侧模应保持5~</w:t>
      </w:r>
      <w:r>
        <w:rPr>
          <w:spacing w:val="-19"/>
          <w:sz w:val="24"/>
          <w:szCs w:val="24"/>
        </w:rPr>
        <w:t>10cm的距离；插入下层混凝土5～10</w:t>
      </w:r>
      <w:r>
        <w:rPr>
          <w:spacing w:val="-20"/>
          <w:sz w:val="24"/>
          <w:szCs w:val="24"/>
        </w:rPr>
        <w:t>cm；每一处振捣完毕后边振动边徐徐提出振动棒；避免振</w:t>
      </w:r>
      <w:r>
        <w:rPr>
          <w:spacing w:val="-21"/>
          <w:sz w:val="24"/>
          <w:szCs w:val="24"/>
        </w:rPr>
        <w:t>动棒碰撞模板、钢筋及其他预埋件。</w:t>
      </w:r>
    </w:p>
    <w:p w14:paraId="46DCA5C6">
      <w:pPr>
        <w:pStyle w:val="2"/>
        <w:spacing w:before="121" w:line="262" w:lineRule="auto"/>
        <w:ind w:left="1462" w:right="1429" w:firstLine="420"/>
        <w:rPr>
          <w:sz w:val="24"/>
          <w:szCs w:val="24"/>
        </w:rPr>
      </w:pPr>
      <w:r>
        <w:rPr>
          <w:spacing w:val="-22"/>
          <w:sz w:val="24"/>
          <w:szCs w:val="24"/>
        </w:rPr>
        <w:t>b、对每一振动部位，必须振动到该部位混凝土密实为止。密实的</w:t>
      </w:r>
      <w:r>
        <w:rPr>
          <w:spacing w:val="-23"/>
          <w:sz w:val="24"/>
          <w:szCs w:val="24"/>
        </w:rPr>
        <w:t>标志是混凝土停止下沉、</w:t>
      </w:r>
      <w:r>
        <w:rPr>
          <w:spacing w:val="-21"/>
          <w:sz w:val="24"/>
          <w:szCs w:val="24"/>
        </w:rPr>
        <w:t>不再有气泡冒出、表面呈现平坦、泛浆。</w:t>
      </w:r>
    </w:p>
    <w:p w14:paraId="69123ACB">
      <w:pPr>
        <w:pStyle w:val="2"/>
        <w:spacing w:before="83" w:line="216" w:lineRule="auto"/>
        <w:ind w:left="1976"/>
        <w:outlineLvl w:val="2"/>
        <w:rPr>
          <w:sz w:val="28"/>
          <w:szCs w:val="28"/>
        </w:rPr>
      </w:pPr>
      <w:bookmarkStart w:id="38" w:name="bookmark38"/>
      <w:bookmarkEnd w:id="38"/>
      <w:r>
        <w:rPr>
          <w:b/>
          <w:bCs/>
          <w:spacing w:val="-23"/>
          <w:sz w:val="28"/>
          <w:szCs w:val="28"/>
        </w:rPr>
        <w:t>八、混凝土模块式检查井施工方法</w:t>
      </w:r>
    </w:p>
    <w:p w14:paraId="5B30AB33">
      <w:pPr>
        <w:pStyle w:val="2"/>
        <w:spacing w:before="108" w:line="216" w:lineRule="auto"/>
        <w:ind w:left="1903"/>
        <w:rPr>
          <w:sz w:val="24"/>
          <w:szCs w:val="24"/>
        </w:rPr>
      </w:pPr>
      <w:r>
        <w:rPr>
          <w:spacing w:val="-20"/>
          <w:sz w:val="24"/>
          <w:szCs w:val="24"/>
        </w:rPr>
        <w:t>1、混凝土模块检查井井室施工</w:t>
      </w:r>
    </w:p>
    <w:p w14:paraId="327D124E">
      <w:pPr>
        <w:pStyle w:val="2"/>
        <w:spacing w:before="117" w:line="220" w:lineRule="auto"/>
        <w:ind w:left="1927"/>
        <w:rPr>
          <w:sz w:val="24"/>
          <w:szCs w:val="24"/>
        </w:rPr>
      </w:pPr>
      <w:r>
        <w:rPr>
          <w:spacing w:val="-20"/>
          <w:sz w:val="24"/>
          <w:szCs w:val="24"/>
        </w:rPr>
        <w:t>(一)施工工艺</w:t>
      </w:r>
    </w:p>
    <w:p w14:paraId="1F1C0FA7">
      <w:pPr>
        <w:pStyle w:val="2"/>
        <w:spacing w:before="116" w:line="307" w:lineRule="auto"/>
        <w:ind w:left="1455" w:right="1409" w:firstLine="440"/>
        <w:rPr>
          <w:sz w:val="24"/>
          <w:szCs w:val="24"/>
        </w:rPr>
      </w:pPr>
      <w:r>
        <w:rPr>
          <w:spacing w:val="-20"/>
          <w:sz w:val="24"/>
          <w:szCs w:val="24"/>
        </w:rPr>
        <w:t>准备工作一混凝土垫层—井室砌筑一流槽一踏步安装一盖板安装—井筒砌筑—抹面勾缝—</w:t>
      </w:r>
      <w:r>
        <w:rPr>
          <w:spacing w:val="-19"/>
          <w:sz w:val="24"/>
          <w:szCs w:val="24"/>
        </w:rPr>
        <w:t>讲圈及井盖安装。</w:t>
      </w:r>
    </w:p>
    <w:p w14:paraId="7E954AC7">
      <w:pPr>
        <w:pStyle w:val="2"/>
        <w:spacing w:before="1" w:line="215" w:lineRule="auto"/>
        <w:ind w:left="1927"/>
        <w:rPr>
          <w:sz w:val="24"/>
          <w:szCs w:val="24"/>
        </w:rPr>
      </w:pPr>
      <w:r>
        <w:rPr>
          <w:spacing w:val="-20"/>
          <w:sz w:val="24"/>
          <w:szCs w:val="24"/>
        </w:rPr>
        <w:t>(二)材料准备</w:t>
      </w:r>
    </w:p>
    <w:p w14:paraId="15C5D997">
      <w:pPr>
        <w:spacing w:line="215" w:lineRule="auto"/>
        <w:rPr>
          <w:sz w:val="24"/>
          <w:szCs w:val="24"/>
        </w:rPr>
        <w:sectPr>
          <w:footerReference r:id="rId56" w:type="default"/>
          <w:pgSz w:w="11907" w:h="16839"/>
          <w:pgMar w:top="954" w:right="4" w:bottom="1038" w:left="0" w:header="499" w:footer="357" w:gutter="0"/>
          <w:pgBorders>
            <w:top w:val="none" w:sz="0" w:space="0"/>
            <w:left w:val="none" w:sz="0" w:space="0"/>
            <w:bottom w:val="none" w:sz="0" w:space="0"/>
            <w:right w:val="none" w:sz="0" w:space="0"/>
          </w:pgBorders>
          <w:cols w:space="720" w:num="1"/>
        </w:sectPr>
      </w:pPr>
    </w:p>
    <w:p w14:paraId="4FAB1AAB">
      <w:pPr>
        <w:spacing w:line="214" w:lineRule="exact"/>
      </w:pPr>
    </w:p>
    <w:tbl>
      <w:tblPr>
        <w:tblStyle w:val="6"/>
        <w:tblW w:w="8549" w:type="dxa"/>
        <w:tblInd w:w="167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296"/>
        <w:gridCol w:w="4253"/>
      </w:tblGrid>
      <w:tr w14:paraId="762810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0" w:hRule="atLeast"/>
        </w:trPr>
        <w:tc>
          <w:tcPr>
            <w:tcW w:w="4296" w:type="dxa"/>
            <w:tcBorders>
              <w:top w:val="single" w:color="000000" w:sz="4" w:space="0"/>
              <w:left w:val="single" w:color="000000" w:sz="4" w:space="0"/>
            </w:tcBorders>
            <w:shd w:val="clear" w:color="auto" w:fill="DEEAF6"/>
            <w:vAlign w:val="top"/>
          </w:tcPr>
          <w:p w14:paraId="53E56DEE">
            <w:pPr>
              <w:spacing w:before="33" w:line="60" w:lineRule="exact"/>
              <w:ind w:firstLine="33"/>
            </w:pPr>
            <w:r>
              <w:rPr>
                <w:position w:val="-1"/>
              </w:rPr>
              <w:pict>
                <v:shape id="_x0000_s1546" o:spid="_x0000_s1546" style="height:3pt;width:211.6pt;" fillcolor="#DEEAF6" filled="t" stroked="f" coordsize="4232,60" path="m0,60l4231,60,4231,0,0,0,0,60xe">
                  <v:path/>
                  <v:fill on="t" focussize="0,0"/>
                  <v:stroke on="f"/>
                  <v:imagedata o:title=""/>
                  <o:lock v:ext="edit"/>
                  <w10:wrap type="none"/>
                  <w10:anchorlock/>
                </v:shape>
              </w:pict>
            </w:r>
          </w:p>
          <w:p w14:paraId="02CB9205">
            <w:pPr>
              <w:spacing w:line="2825" w:lineRule="exact"/>
              <w:ind w:firstLine="121"/>
            </w:pPr>
            <w:r>
              <w:rPr>
                <w:position w:val="-56"/>
              </w:rPr>
              <w:drawing>
                <wp:inline distT="0" distB="0" distL="0" distR="0">
                  <wp:extent cx="2563495" cy="1793875"/>
                  <wp:effectExtent l="0" t="0" r="0" b="0"/>
                  <wp:docPr id="380" name="IM 380"/>
                  <wp:cNvGraphicFramePr/>
                  <a:graphic xmlns:a="http://schemas.openxmlformats.org/drawingml/2006/main">
                    <a:graphicData uri="http://schemas.openxmlformats.org/drawingml/2006/picture">
                      <pic:pic xmlns:pic="http://schemas.openxmlformats.org/drawingml/2006/picture">
                        <pic:nvPicPr>
                          <pic:cNvPr id="380" name="IM 380"/>
                          <pic:cNvPicPr/>
                        </pic:nvPicPr>
                        <pic:blipFill>
                          <a:blip r:embed="rId504"/>
                          <a:stretch>
                            <a:fillRect/>
                          </a:stretch>
                        </pic:blipFill>
                        <pic:spPr>
                          <a:xfrm>
                            <a:off x="0" y="0"/>
                            <a:ext cx="2563495" cy="1793875"/>
                          </a:xfrm>
                          <a:prstGeom prst="rect">
                            <a:avLst/>
                          </a:prstGeom>
                        </pic:spPr>
                      </pic:pic>
                    </a:graphicData>
                  </a:graphic>
                </wp:inline>
              </w:drawing>
            </w:r>
          </w:p>
        </w:tc>
        <w:tc>
          <w:tcPr>
            <w:tcW w:w="4253" w:type="dxa"/>
            <w:tcBorders>
              <w:top w:val="single" w:color="5B9BD5" w:sz="4" w:space="0"/>
              <w:right w:val="single" w:color="5B9BD5" w:sz="4" w:space="0"/>
            </w:tcBorders>
            <w:shd w:val="clear" w:color="auto" w:fill="DEEAF6"/>
            <w:vAlign w:val="top"/>
          </w:tcPr>
          <w:p w14:paraId="3A8DB710">
            <w:pPr>
              <w:spacing w:before="33" w:line="60" w:lineRule="exact"/>
              <w:ind w:firstLine="14"/>
            </w:pPr>
            <w:r>
              <w:rPr>
                <w:position w:val="-1"/>
              </w:rPr>
              <w:pict>
                <v:shape id="_x0000_s1547" o:spid="_x0000_s1547" style="height:3pt;width:209.95pt;" fillcolor="#DEEAF6" filled="t" stroked="f" coordsize="4198,60" path="m0,60l4198,60,4198,0,0,0,0,60xe">
                  <v:path/>
                  <v:fill on="t" focussize="0,0"/>
                  <v:stroke on="f"/>
                  <v:imagedata o:title=""/>
                  <o:lock v:ext="edit"/>
                  <w10:wrap type="none"/>
                  <w10:anchorlock/>
                </v:shape>
              </w:pict>
            </w:r>
          </w:p>
          <w:p w14:paraId="50A6BB55">
            <w:pPr>
              <w:spacing w:before="5" w:line="2815" w:lineRule="exact"/>
              <w:ind w:firstLine="83"/>
            </w:pPr>
            <w:r>
              <w:rPr>
                <w:position w:val="-56"/>
              </w:rPr>
              <w:drawing>
                <wp:inline distT="0" distB="0" distL="0" distR="0">
                  <wp:extent cx="2566670" cy="1787525"/>
                  <wp:effectExtent l="0" t="0" r="0" b="0"/>
                  <wp:docPr id="382" name="IM 382"/>
                  <wp:cNvGraphicFramePr/>
                  <a:graphic xmlns:a="http://schemas.openxmlformats.org/drawingml/2006/main">
                    <a:graphicData uri="http://schemas.openxmlformats.org/drawingml/2006/picture">
                      <pic:pic xmlns:pic="http://schemas.openxmlformats.org/drawingml/2006/picture">
                        <pic:nvPicPr>
                          <pic:cNvPr id="382" name="IM 382"/>
                          <pic:cNvPicPr/>
                        </pic:nvPicPr>
                        <pic:blipFill>
                          <a:blip r:embed="rId505"/>
                          <a:stretch>
                            <a:fillRect/>
                          </a:stretch>
                        </pic:blipFill>
                        <pic:spPr>
                          <a:xfrm>
                            <a:off x="0" y="0"/>
                            <a:ext cx="2566670" cy="1787525"/>
                          </a:xfrm>
                          <a:prstGeom prst="rect">
                            <a:avLst/>
                          </a:prstGeom>
                        </pic:spPr>
                      </pic:pic>
                    </a:graphicData>
                  </a:graphic>
                </wp:inline>
              </w:drawing>
            </w:r>
          </w:p>
        </w:tc>
      </w:tr>
      <w:tr w14:paraId="1BEC39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0" w:hRule="atLeast"/>
        </w:trPr>
        <w:tc>
          <w:tcPr>
            <w:tcW w:w="8549" w:type="dxa"/>
            <w:gridSpan w:val="2"/>
            <w:tcBorders>
              <w:left w:val="single" w:color="1C456A" w:sz="4" w:space="0"/>
              <w:bottom w:val="single" w:color="1C456A" w:sz="4" w:space="0"/>
              <w:right w:val="single" w:color="1C456A" w:sz="4" w:space="0"/>
            </w:tcBorders>
            <w:vAlign w:val="top"/>
          </w:tcPr>
          <w:p w14:paraId="12A3BB98">
            <w:pPr>
              <w:pStyle w:val="7"/>
              <w:spacing w:before="107" w:line="216" w:lineRule="auto"/>
              <w:ind w:left="2762"/>
            </w:pPr>
            <w:r>
              <w:rPr>
                <w:spacing w:val="-21"/>
              </w:rPr>
              <w:t>混凝土模块式检查井砌筑实例图</w:t>
            </w:r>
          </w:p>
        </w:tc>
      </w:tr>
    </w:tbl>
    <w:p w14:paraId="3D9F0DDF">
      <w:pPr>
        <w:pStyle w:val="2"/>
        <w:spacing w:before="115" w:line="216" w:lineRule="auto"/>
        <w:ind w:left="1903"/>
        <w:rPr>
          <w:sz w:val="24"/>
          <w:szCs w:val="24"/>
        </w:rPr>
      </w:pPr>
      <w:r>
        <w:rPr>
          <w:spacing w:val="-19"/>
          <w:sz w:val="24"/>
          <w:szCs w:val="24"/>
        </w:rPr>
        <w:t>1．选择配套模块。</w:t>
      </w:r>
    </w:p>
    <w:p w14:paraId="4A75A128">
      <w:pPr>
        <w:pStyle w:val="2"/>
        <w:spacing w:before="121" w:line="307" w:lineRule="auto"/>
        <w:ind w:left="1470" w:right="1409" w:firstLine="426"/>
        <w:rPr>
          <w:sz w:val="24"/>
          <w:szCs w:val="24"/>
        </w:rPr>
      </w:pPr>
      <w:r>
        <w:rPr>
          <w:spacing w:val="-20"/>
          <w:sz w:val="24"/>
          <w:szCs w:val="24"/>
        </w:rPr>
        <w:t>混凝土模块要及时备料，模块进入施工现场必须提供产品的合格证，标明生产厂家、模块</w:t>
      </w:r>
      <w:r>
        <w:rPr>
          <w:spacing w:val="-22"/>
          <w:sz w:val="24"/>
          <w:szCs w:val="24"/>
        </w:rPr>
        <w:t>的强度等级、型号、批次和生产日期等。</w:t>
      </w:r>
    </w:p>
    <w:p w14:paraId="50A81BB7">
      <w:pPr>
        <w:pStyle w:val="2"/>
        <w:spacing w:before="1" w:line="262" w:lineRule="auto"/>
        <w:ind w:left="1458" w:right="1412" w:firstLine="430"/>
        <w:rPr>
          <w:sz w:val="24"/>
          <w:szCs w:val="24"/>
        </w:rPr>
      </w:pPr>
      <w:r>
        <w:rPr>
          <w:spacing w:val="-22"/>
          <w:sz w:val="24"/>
          <w:szCs w:val="24"/>
        </w:rPr>
        <w:t>2．井壁墙体模块安装前先做基础垫层。基础应该坐落在土质良好的土层上，先需对地基进</w:t>
      </w:r>
      <w:r>
        <w:rPr>
          <w:spacing w:val="-21"/>
          <w:sz w:val="24"/>
          <w:szCs w:val="24"/>
        </w:rPr>
        <w:t>行处理。接入支管超挖部分采用级配砂石或素混凝土基础。</w:t>
      </w:r>
    </w:p>
    <w:p w14:paraId="5FA2B3FF">
      <w:pPr>
        <w:pStyle w:val="2"/>
        <w:spacing w:before="117" w:line="262" w:lineRule="auto"/>
        <w:ind w:left="1456" w:right="1413" w:firstLine="434"/>
        <w:rPr>
          <w:sz w:val="24"/>
          <w:szCs w:val="24"/>
        </w:rPr>
      </w:pPr>
      <w:r>
        <w:rPr>
          <w:spacing w:val="-22"/>
          <w:sz w:val="24"/>
          <w:szCs w:val="24"/>
        </w:rPr>
        <w:t>3．模块检查井砌筑时，砌筑砂浆所用的砂、水泥和外加剂等原材料必须有质保书或</w:t>
      </w:r>
      <w:r>
        <w:rPr>
          <w:spacing w:val="-23"/>
          <w:sz w:val="24"/>
          <w:szCs w:val="24"/>
        </w:rPr>
        <w:t>复试报</w:t>
      </w:r>
      <w:r>
        <w:rPr>
          <w:spacing w:val="-21"/>
          <w:sz w:val="24"/>
          <w:szCs w:val="24"/>
        </w:rPr>
        <w:t>告，材料的报验必须经监理认可后方能使用。</w:t>
      </w:r>
    </w:p>
    <w:p w14:paraId="115EB1B1">
      <w:pPr>
        <w:pStyle w:val="2"/>
        <w:spacing w:before="119" w:line="220" w:lineRule="auto"/>
        <w:ind w:left="1927"/>
        <w:rPr>
          <w:sz w:val="24"/>
          <w:szCs w:val="24"/>
        </w:rPr>
      </w:pPr>
      <w:r>
        <w:rPr>
          <w:spacing w:val="-20"/>
          <w:sz w:val="24"/>
          <w:szCs w:val="24"/>
        </w:rPr>
        <w:t>(三)施工方法</w:t>
      </w:r>
    </w:p>
    <w:p w14:paraId="656DF393">
      <w:pPr>
        <w:pStyle w:val="2"/>
        <w:spacing w:before="112" w:line="278" w:lineRule="auto"/>
        <w:ind w:left="1455" w:right="1411" w:firstLine="447"/>
        <w:rPr>
          <w:sz w:val="24"/>
          <w:szCs w:val="24"/>
        </w:rPr>
      </w:pPr>
      <w:r>
        <w:rPr>
          <w:spacing w:val="-22"/>
          <w:sz w:val="24"/>
          <w:szCs w:val="24"/>
        </w:rPr>
        <w:t>1．放线。圆形井以两节管预留间距中心为圆心画圆，矩</w:t>
      </w:r>
      <w:r>
        <w:rPr>
          <w:spacing w:val="-23"/>
          <w:sz w:val="24"/>
          <w:szCs w:val="24"/>
        </w:rPr>
        <w:t>形井以两节管预留问距中心按设计</w:t>
      </w:r>
      <w:r>
        <w:rPr>
          <w:spacing w:val="-20"/>
          <w:sz w:val="24"/>
          <w:szCs w:val="24"/>
        </w:rPr>
        <w:t>尺寸向四边放线。如开挖沟槽比较深，为防止塌方，放线时，要随时跟踪放坡大小，同时要根据图纸控制好检查井标高。</w:t>
      </w:r>
    </w:p>
    <w:p w14:paraId="5A80D207">
      <w:pPr>
        <w:pStyle w:val="2"/>
        <w:spacing w:before="118" w:line="261" w:lineRule="auto"/>
        <w:ind w:left="1459" w:right="1412" w:firstLine="429"/>
        <w:rPr>
          <w:sz w:val="24"/>
          <w:szCs w:val="24"/>
        </w:rPr>
      </w:pPr>
      <w:r>
        <w:rPr>
          <w:spacing w:val="-22"/>
          <w:sz w:val="24"/>
          <w:szCs w:val="24"/>
        </w:rPr>
        <w:t>2．砌筑。首层混凝土模块应按设计图纸要求定位，根据检查井尺寸正确的摆放模块。矩形</w:t>
      </w:r>
      <w:r>
        <w:rPr>
          <w:spacing w:val="-21"/>
          <w:sz w:val="24"/>
          <w:szCs w:val="24"/>
        </w:rPr>
        <w:t>井根据标准块、转角块的尺寸来决定每层块砌块排放数</w:t>
      </w:r>
      <w:r>
        <w:rPr>
          <w:spacing w:val="-22"/>
          <w:sz w:val="24"/>
          <w:szCs w:val="24"/>
        </w:rPr>
        <w:t>量。</w:t>
      </w:r>
    </w:p>
    <w:p w14:paraId="5CD2FECA">
      <w:pPr>
        <w:pStyle w:val="2"/>
        <w:spacing w:before="124" w:line="307" w:lineRule="auto"/>
        <w:ind w:left="1458" w:right="1356" w:firstLine="460"/>
        <w:jc w:val="both"/>
        <w:rPr>
          <w:sz w:val="24"/>
          <w:szCs w:val="24"/>
        </w:rPr>
      </w:pPr>
      <w:r>
        <w:rPr>
          <w:spacing w:val="-24"/>
          <w:sz w:val="24"/>
          <w:szCs w:val="24"/>
        </w:rPr>
        <w:t>当连接接入管时，模块可用切割机切割，切割后的连接缝座</w:t>
      </w:r>
      <w:r>
        <w:rPr>
          <w:spacing w:val="-25"/>
          <w:sz w:val="24"/>
          <w:szCs w:val="24"/>
        </w:rPr>
        <w:t>浆应密实，凹凸槽口衔接牢固，</w:t>
      </w:r>
      <w:r>
        <w:rPr>
          <w:spacing w:val="-24"/>
          <w:sz w:val="24"/>
          <w:szCs w:val="24"/>
        </w:rPr>
        <w:t>以便流入砂浆，防止渗漏。特别要注意，砌筑时采用专用工具施工，确保砂浆饱满，灰浆均匀，</w:t>
      </w:r>
      <w:r>
        <w:rPr>
          <w:spacing w:val="-21"/>
          <w:sz w:val="24"/>
          <w:szCs w:val="24"/>
        </w:rPr>
        <w:t>严禁使用断裂、壁肋上有竖向裂缝的模块砌筑。当砌筑3～4层时，应备好模板，紧锢器将模块</w:t>
      </w:r>
      <w:r>
        <w:rPr>
          <w:spacing w:val="-22"/>
          <w:sz w:val="24"/>
          <w:szCs w:val="24"/>
        </w:rPr>
        <w:t>周边收紧，防止模块移位。同时随砌随复核井室尺寸。</w:t>
      </w:r>
    </w:p>
    <w:p w14:paraId="625CFFAE">
      <w:pPr>
        <w:pStyle w:val="2"/>
        <w:spacing w:before="4" w:line="289" w:lineRule="auto"/>
        <w:ind w:left="1456" w:right="1352" w:firstLine="434"/>
        <w:rPr>
          <w:sz w:val="24"/>
          <w:szCs w:val="24"/>
        </w:rPr>
      </w:pPr>
      <w:r>
        <w:rPr>
          <w:spacing w:val="-22"/>
          <w:sz w:val="24"/>
          <w:szCs w:val="24"/>
        </w:rPr>
        <w:t>3．灌孔。砼灌芯前应将杂物及落灰清理干净，墙体作必要的支撑加固。分次灌</w:t>
      </w:r>
      <w:r>
        <w:rPr>
          <w:spacing w:val="-23"/>
          <w:sz w:val="24"/>
          <w:szCs w:val="24"/>
        </w:rPr>
        <w:t>注时，应灌</w:t>
      </w:r>
      <w:r>
        <w:rPr>
          <w:spacing w:val="-20"/>
          <w:sz w:val="24"/>
          <w:szCs w:val="24"/>
        </w:rPr>
        <w:t>至灌注最上层砌块的2／3，剩下捣固，但两个灌层灌注间隔时间不得超过下层砼的冷凝时间。芯浇灌最好连续，确保砼连续性和整体粘结性。灌注砼水泥，石子，砂，水，外加剂等应符合</w:t>
      </w:r>
      <w:r>
        <w:rPr>
          <w:spacing w:val="-25"/>
          <w:sz w:val="24"/>
          <w:szCs w:val="24"/>
        </w:rPr>
        <w:t>相关标准，强度等级为C25。灌孔时砼灌注量应达到计算需用量，质量检查时，</w:t>
      </w:r>
      <w:r>
        <w:rPr>
          <w:spacing w:val="-26"/>
          <w:sz w:val="24"/>
          <w:szCs w:val="24"/>
        </w:rPr>
        <w:t>用小锤敲击砌体，</w:t>
      </w:r>
      <w:r>
        <w:rPr>
          <w:spacing w:val="-21"/>
          <w:sz w:val="24"/>
          <w:szCs w:val="24"/>
        </w:rPr>
        <w:t>应无异常无空洞，必要时应凿开异常声响处的模块，进行</w:t>
      </w:r>
      <w:r>
        <w:rPr>
          <w:spacing w:val="-22"/>
          <w:sz w:val="24"/>
          <w:szCs w:val="24"/>
        </w:rPr>
        <w:t>灌孔砼质量检查。</w:t>
      </w:r>
    </w:p>
    <w:p w14:paraId="55F4B5C8">
      <w:pPr>
        <w:pStyle w:val="2"/>
        <w:spacing w:before="121" w:line="278" w:lineRule="auto"/>
        <w:ind w:left="1456" w:right="1411" w:firstLine="428"/>
        <w:rPr>
          <w:sz w:val="24"/>
          <w:szCs w:val="24"/>
        </w:rPr>
      </w:pPr>
      <w:r>
        <w:rPr>
          <w:spacing w:val="-21"/>
          <w:sz w:val="24"/>
          <w:szCs w:val="24"/>
        </w:rPr>
        <w:t>4．勾缝。井壁应进行勾缝，随砌随勾缝，勾缝采用1：2(防水)水泥砂浆，在砌筑检查井时</w:t>
      </w:r>
      <w:r>
        <w:rPr>
          <w:spacing w:val="-20"/>
          <w:sz w:val="24"/>
          <w:szCs w:val="24"/>
        </w:rPr>
        <w:t>应同时安装预留支管，预留支管的管径、方向、高程应符合设计要求，管道与井壁衔接处应严</w:t>
      </w:r>
      <w:r>
        <w:rPr>
          <w:spacing w:val="-18"/>
          <w:sz w:val="24"/>
          <w:szCs w:val="24"/>
        </w:rPr>
        <w:t>密。</w:t>
      </w:r>
    </w:p>
    <w:p w14:paraId="3A9F5BEA">
      <w:pPr>
        <w:pStyle w:val="2"/>
        <w:spacing w:before="115" w:line="216" w:lineRule="auto"/>
        <w:ind w:left="1890"/>
        <w:rPr>
          <w:sz w:val="24"/>
          <w:szCs w:val="24"/>
        </w:rPr>
      </w:pPr>
      <w:r>
        <w:rPr>
          <w:spacing w:val="-22"/>
          <w:sz w:val="24"/>
          <w:szCs w:val="24"/>
        </w:rPr>
        <w:t>5．安装盖板、井圈、井盖。检查井砌筑或安装至规定高程后，应及时浇筑或安装盖板</w:t>
      </w:r>
      <w:r>
        <w:rPr>
          <w:spacing w:val="-23"/>
          <w:sz w:val="24"/>
          <w:szCs w:val="24"/>
        </w:rPr>
        <w:t>、井</w:t>
      </w:r>
    </w:p>
    <w:p w14:paraId="65311708">
      <w:pPr>
        <w:spacing w:line="216" w:lineRule="auto"/>
        <w:rPr>
          <w:sz w:val="24"/>
          <w:szCs w:val="24"/>
        </w:rPr>
        <w:sectPr>
          <w:footerReference r:id="rId57" w:type="default"/>
          <w:pgSz w:w="11907" w:h="16839"/>
          <w:pgMar w:top="954" w:right="4" w:bottom="1038" w:left="0" w:header="499" w:footer="357" w:gutter="0"/>
          <w:pgBorders>
            <w:top w:val="none" w:sz="0" w:space="0"/>
            <w:left w:val="none" w:sz="0" w:space="0"/>
            <w:bottom w:val="none" w:sz="0" w:space="0"/>
            <w:right w:val="none" w:sz="0" w:space="0"/>
          </w:pgBorders>
          <w:cols w:space="720" w:num="1"/>
        </w:sectPr>
      </w:pPr>
    </w:p>
    <w:p w14:paraId="6A117AA0">
      <w:pPr>
        <w:spacing w:line="249" w:lineRule="auto"/>
        <w:rPr>
          <w:rFonts w:ascii="Arial"/>
          <w:sz w:val="21"/>
        </w:rPr>
      </w:pPr>
    </w:p>
    <w:p w14:paraId="51760915">
      <w:pPr>
        <w:pStyle w:val="2"/>
        <w:spacing w:before="78" w:line="308" w:lineRule="auto"/>
        <w:ind w:left="1458" w:right="1414" w:firstLine="24"/>
        <w:rPr>
          <w:sz w:val="24"/>
          <w:szCs w:val="24"/>
        </w:rPr>
      </w:pPr>
      <w:r>
        <w:rPr>
          <w:spacing w:val="-20"/>
          <w:sz w:val="24"/>
          <w:szCs w:val="24"/>
        </w:rPr>
        <w:t>圈，盖好井盖。检查井施工完毕后，应加强养护，混凝</w:t>
      </w:r>
      <w:r>
        <w:rPr>
          <w:spacing w:val="-21"/>
          <w:sz w:val="24"/>
          <w:szCs w:val="24"/>
        </w:rPr>
        <w:t>土及砂浆未达到设计强度前不得进行回填，如有特殊要求，由设计人员确定回填时间，并提出</w:t>
      </w:r>
      <w:r>
        <w:rPr>
          <w:spacing w:val="-22"/>
          <w:sz w:val="24"/>
          <w:szCs w:val="24"/>
        </w:rPr>
        <w:t>相应的技术保障措施。</w:t>
      </w:r>
    </w:p>
    <w:p w14:paraId="48A84FD7">
      <w:pPr>
        <w:pStyle w:val="2"/>
        <w:spacing w:line="217" w:lineRule="auto"/>
        <w:ind w:left="1888"/>
        <w:rPr>
          <w:sz w:val="24"/>
          <w:szCs w:val="24"/>
        </w:rPr>
      </w:pPr>
      <w:r>
        <w:rPr>
          <w:spacing w:val="-19"/>
          <w:sz w:val="24"/>
          <w:szCs w:val="24"/>
        </w:rPr>
        <w:t>2、井室盖板预制及安装</w:t>
      </w:r>
    </w:p>
    <w:p w14:paraId="5F405760">
      <w:pPr>
        <w:spacing w:line="29" w:lineRule="auto"/>
        <w:rPr>
          <w:rFonts w:ascii="Arial"/>
          <w:sz w:val="2"/>
        </w:rPr>
      </w:pPr>
    </w:p>
    <w:tbl>
      <w:tblPr>
        <w:tblStyle w:val="6"/>
        <w:tblW w:w="8890" w:type="dxa"/>
        <w:tblInd w:w="150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34"/>
        <w:gridCol w:w="684"/>
        <w:gridCol w:w="7032"/>
        <w:gridCol w:w="787"/>
        <w:gridCol w:w="153"/>
      </w:tblGrid>
      <w:tr w14:paraId="18C862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27" w:hRule="atLeast"/>
        </w:trPr>
        <w:tc>
          <w:tcPr>
            <w:tcW w:w="918" w:type="dxa"/>
            <w:gridSpan w:val="2"/>
            <w:tcBorders>
              <w:top w:val="single" w:color="000000" w:sz="4" w:space="0"/>
              <w:left w:val="single" w:color="000000" w:sz="4" w:space="0"/>
            </w:tcBorders>
            <w:shd w:val="clear" w:color="auto" w:fill="DEEAF6"/>
            <w:vAlign w:val="top"/>
          </w:tcPr>
          <w:p w14:paraId="7D189454">
            <w:pPr>
              <w:spacing w:before="33" w:line="60" w:lineRule="exact"/>
              <w:ind w:firstLine="33"/>
            </w:pPr>
            <w:r>
              <w:rPr>
                <w:position w:val="-1"/>
              </w:rPr>
              <w:pict>
                <v:shape id="_x0000_s1548" o:spid="_x0000_s1548" style="height:3pt;width:43.45pt;" fillcolor="#DEEAF6" filled="t" stroked="f" coordsize="869,60" path="m0,60l868,60,868,0,0,0,0,60xe">
                  <v:path/>
                  <v:fill on="t" focussize="0,0"/>
                  <v:stroke on="f"/>
                  <v:imagedata o:title=""/>
                  <o:lock v:ext="edit"/>
                  <w10:wrap type="none"/>
                  <w10:anchorlock/>
                </v:shape>
              </w:pict>
            </w:r>
          </w:p>
          <w:p w14:paraId="5A1C666A">
            <w:pPr>
              <w:pStyle w:val="7"/>
              <w:spacing w:before="189" w:line="218" w:lineRule="auto"/>
              <w:ind w:left="257"/>
            </w:pPr>
            <w:r>
              <w:rPr>
                <w:b/>
                <w:bCs/>
                <w:spacing w:val="-12"/>
              </w:rPr>
              <w:t>序号</w:t>
            </w:r>
          </w:p>
          <w:p w14:paraId="291F7D03">
            <w:pPr>
              <w:spacing w:line="297" w:lineRule="auto"/>
              <w:rPr>
                <w:rFonts w:ascii="Arial"/>
                <w:sz w:val="21"/>
              </w:rPr>
            </w:pPr>
          </w:p>
          <w:p w14:paraId="7FE78E3A">
            <w:pPr>
              <w:spacing w:line="51" w:lineRule="exact"/>
              <w:ind w:firstLine="11"/>
            </w:pPr>
            <w:r>
              <w:rPr>
                <w:position w:val="-1"/>
              </w:rPr>
              <w:pict>
                <v:shape id="_x0000_s1549" o:spid="_x0000_s1549" style="height:2.9pt;width:44.8pt;" fillcolor="#DEEAF6" filled="t" stroked="f" coordsize="895,58" path="m0,57l895,57,895,0,0,0,0,57xe">
                  <v:path/>
                  <v:fill on="t" focussize="0,0"/>
                  <v:stroke on="f"/>
                  <v:imagedata o:title=""/>
                  <o:lock v:ext="edit"/>
                  <w10:wrap type="none"/>
                  <w10:anchorlock/>
                </v:shape>
              </w:pict>
            </w:r>
          </w:p>
        </w:tc>
        <w:tc>
          <w:tcPr>
            <w:tcW w:w="7972" w:type="dxa"/>
            <w:gridSpan w:val="3"/>
            <w:tcBorders>
              <w:top w:val="single" w:color="5B9BD5" w:sz="4" w:space="0"/>
              <w:right w:val="single" w:color="5B9BD5" w:sz="4" w:space="0"/>
            </w:tcBorders>
            <w:shd w:val="clear" w:color="auto" w:fill="DEEAF6"/>
            <w:vAlign w:val="top"/>
          </w:tcPr>
          <w:p w14:paraId="5EE00FB1">
            <w:pPr>
              <w:pStyle w:val="7"/>
              <w:spacing w:before="283" w:line="217" w:lineRule="auto"/>
              <w:ind w:left="3005"/>
            </w:pPr>
            <w:r>
              <w:rPr>
                <w:b/>
                <w:bCs/>
                <w:spacing w:val="-22"/>
              </w:rPr>
              <w:t>井室盖板预制及安装</w:t>
            </w:r>
          </w:p>
        </w:tc>
      </w:tr>
      <w:tr w14:paraId="5E318F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52" w:hRule="atLeast"/>
        </w:trPr>
        <w:tc>
          <w:tcPr>
            <w:tcW w:w="918" w:type="dxa"/>
            <w:gridSpan w:val="2"/>
            <w:tcBorders>
              <w:left w:val="single" w:color="000000" w:sz="4" w:space="0"/>
            </w:tcBorders>
            <w:vAlign w:val="top"/>
          </w:tcPr>
          <w:p w14:paraId="129589D1">
            <w:pPr>
              <w:spacing w:line="251" w:lineRule="auto"/>
              <w:rPr>
                <w:rFonts w:ascii="Arial"/>
                <w:sz w:val="21"/>
              </w:rPr>
            </w:pPr>
          </w:p>
          <w:p w14:paraId="655552EC">
            <w:pPr>
              <w:pStyle w:val="7"/>
              <w:spacing w:before="78" w:line="238" w:lineRule="auto"/>
              <w:ind w:left="431"/>
            </w:pPr>
            <w:r>
              <w:t>1</w:t>
            </w:r>
          </w:p>
        </w:tc>
        <w:tc>
          <w:tcPr>
            <w:tcW w:w="7972" w:type="dxa"/>
            <w:gridSpan w:val="3"/>
            <w:tcBorders>
              <w:right w:val="single" w:color="000000" w:sz="4" w:space="0"/>
            </w:tcBorders>
            <w:vAlign w:val="top"/>
          </w:tcPr>
          <w:p w14:paraId="17E46DDA">
            <w:pPr>
              <w:spacing w:line="58" w:lineRule="exact"/>
              <w:ind w:right="3"/>
              <w:jc w:val="right"/>
            </w:pPr>
            <w:r>
              <w:rPr>
                <w:position w:val="-1"/>
              </w:rPr>
              <w:drawing>
                <wp:inline distT="0" distB="0" distL="0" distR="0">
                  <wp:extent cx="17780" cy="36830"/>
                  <wp:effectExtent l="0" t="0" r="0" b="0"/>
                  <wp:docPr id="386" name="IM 386"/>
                  <wp:cNvGraphicFramePr/>
                  <a:graphic xmlns:a="http://schemas.openxmlformats.org/drawingml/2006/main">
                    <a:graphicData uri="http://schemas.openxmlformats.org/drawingml/2006/picture">
                      <pic:pic xmlns:pic="http://schemas.openxmlformats.org/drawingml/2006/picture">
                        <pic:nvPicPr>
                          <pic:cNvPr id="386" name="IM 386"/>
                          <pic:cNvPicPr/>
                        </pic:nvPicPr>
                        <pic:blipFill>
                          <a:blip r:embed="rId506"/>
                          <a:stretch>
                            <a:fillRect/>
                          </a:stretch>
                        </pic:blipFill>
                        <pic:spPr>
                          <a:xfrm>
                            <a:off x="0" y="0"/>
                            <a:ext cx="18287" cy="37337"/>
                          </a:xfrm>
                          <a:prstGeom prst="rect">
                            <a:avLst/>
                          </a:prstGeom>
                        </pic:spPr>
                      </pic:pic>
                    </a:graphicData>
                  </a:graphic>
                </wp:inline>
              </w:drawing>
            </w:r>
          </w:p>
          <w:p w14:paraId="14BE3BD2">
            <w:pPr>
              <w:pStyle w:val="7"/>
              <w:spacing w:before="36" w:line="215" w:lineRule="auto"/>
              <w:ind w:left="67"/>
            </w:pPr>
            <w:r>
              <w:rPr>
                <w:spacing w:val="-21"/>
              </w:rPr>
              <w:t>井室盖板预制采用定型钢模板，盖板钢筋在钢筋棚内集</w:t>
            </w:r>
            <w:r>
              <w:rPr>
                <w:spacing w:val="-22"/>
              </w:rPr>
              <w:t>中加工，混凝土采用强制式</w:t>
            </w:r>
          </w:p>
          <w:p w14:paraId="5D318F96">
            <w:pPr>
              <w:pStyle w:val="7"/>
              <w:spacing w:before="188" w:line="217" w:lineRule="auto"/>
              <w:ind w:left="1154"/>
            </w:pPr>
            <w:r>
              <w:rPr>
                <w:spacing w:val="-21"/>
              </w:rPr>
              <w:t>搅拌机拌和，人工入模，插入式振捣器振捣方法预制盖板。</w:t>
            </w:r>
          </w:p>
        </w:tc>
      </w:tr>
      <w:tr w14:paraId="77FF60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918" w:type="dxa"/>
            <w:gridSpan w:val="2"/>
            <w:tcBorders>
              <w:left w:val="single" w:color="000000" w:sz="4" w:space="0"/>
            </w:tcBorders>
            <w:vAlign w:val="top"/>
          </w:tcPr>
          <w:p w14:paraId="09B7FD22">
            <w:pPr>
              <w:pStyle w:val="7"/>
              <w:spacing w:before="185" w:line="238" w:lineRule="auto"/>
              <w:ind w:left="416"/>
            </w:pPr>
            <w:r>
              <w:t>2</w:t>
            </w:r>
          </w:p>
        </w:tc>
        <w:tc>
          <w:tcPr>
            <w:tcW w:w="7032" w:type="dxa"/>
            <w:tcBorders>
              <w:right w:val="nil"/>
            </w:tcBorders>
            <w:vAlign w:val="top"/>
          </w:tcPr>
          <w:p w14:paraId="60352E05">
            <w:pPr>
              <w:pStyle w:val="7"/>
              <w:spacing w:before="185" w:line="216" w:lineRule="auto"/>
              <w:ind w:left="1703"/>
            </w:pPr>
            <w:r>
              <w:rPr>
                <w:spacing w:val="-21"/>
              </w:rPr>
              <w:t>混凝土盖板预制要控制配筋量和配筋的合理性。</w:t>
            </w:r>
          </w:p>
        </w:tc>
        <w:tc>
          <w:tcPr>
            <w:tcW w:w="940" w:type="dxa"/>
            <w:gridSpan w:val="2"/>
            <w:tcBorders>
              <w:left w:val="nil"/>
              <w:right w:val="single" w:color="000000" w:sz="4" w:space="0"/>
            </w:tcBorders>
            <w:vAlign w:val="top"/>
          </w:tcPr>
          <w:p w14:paraId="682E5546">
            <w:pPr>
              <w:spacing w:line="60" w:lineRule="exact"/>
              <w:ind w:firstLine="902"/>
            </w:pPr>
            <w:r>
              <w:rPr>
                <w:position w:val="-1"/>
              </w:rPr>
              <w:pict>
                <v:group id="_x0000_s1550" o:spid="_x0000_s1550" o:spt="203" style="height:3.4pt;width:1.45pt;" coordsize="29,68">
                  <o:lock v:ext="edit"/>
                  <v:shape id="_x0000_s1551" o:spid="_x0000_s1551" style="position:absolute;left:14;top:0;height:68;width:15;" fillcolor="#20507B" filled="t" stroked="f" coordsize="15,68" path="m0,67l14,67,14,0,0,0,0,67xe">
                    <v:path/>
                    <v:fill on="t" focussize="0,0"/>
                    <v:stroke on="f"/>
                    <v:imagedata o:title=""/>
                    <o:lock v:ext="edit"/>
                  </v:shape>
                  <v:shape id="_x0000_s1552" o:spid="_x0000_s1552" style="position:absolute;left:0;top:0;height:68;width:15;" fillcolor="#1C456A" filled="t" stroked="f" coordsize="15,68" path="m0,67l14,67,14,0,0,0,0,67xe">
                    <v:path/>
                    <v:fill on="t" focussize="0,0"/>
                    <v:stroke on="f"/>
                    <v:imagedata o:title=""/>
                    <o:lock v:ext="edit"/>
                  </v:shape>
                  <w10:wrap type="none"/>
                  <w10:anchorlock/>
                </v:group>
              </w:pict>
            </w:r>
          </w:p>
        </w:tc>
      </w:tr>
      <w:tr w14:paraId="4F462F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7" w:hRule="atLeast"/>
        </w:trPr>
        <w:tc>
          <w:tcPr>
            <w:tcW w:w="918" w:type="dxa"/>
            <w:gridSpan w:val="2"/>
            <w:tcBorders>
              <w:left w:val="single" w:color="000000" w:sz="4" w:space="0"/>
            </w:tcBorders>
            <w:vAlign w:val="top"/>
          </w:tcPr>
          <w:p w14:paraId="2D187748">
            <w:pPr>
              <w:pStyle w:val="7"/>
              <w:spacing w:before="198" w:line="237" w:lineRule="auto"/>
              <w:ind w:left="418"/>
            </w:pPr>
            <w:r>
              <w:t>3</w:t>
            </w:r>
          </w:p>
        </w:tc>
        <w:tc>
          <w:tcPr>
            <w:tcW w:w="7032" w:type="dxa"/>
            <w:tcBorders>
              <w:right w:val="nil"/>
            </w:tcBorders>
            <w:vAlign w:val="top"/>
          </w:tcPr>
          <w:p w14:paraId="72473854">
            <w:pPr>
              <w:pStyle w:val="7"/>
              <w:spacing w:before="197" w:line="217" w:lineRule="auto"/>
              <w:ind w:left="1047"/>
            </w:pPr>
            <w:r>
              <w:rPr>
                <w:spacing w:val="-21"/>
              </w:rPr>
              <w:t>控制钢筋网片的垫块高度和密度，以保证各层厚度，不露</w:t>
            </w:r>
            <w:r>
              <w:rPr>
                <w:spacing w:val="-22"/>
              </w:rPr>
              <w:t>筋。</w:t>
            </w:r>
          </w:p>
        </w:tc>
        <w:tc>
          <w:tcPr>
            <w:tcW w:w="940" w:type="dxa"/>
            <w:gridSpan w:val="2"/>
            <w:tcBorders>
              <w:left w:val="nil"/>
              <w:right w:val="single" w:color="000000" w:sz="4" w:space="0"/>
            </w:tcBorders>
            <w:vAlign w:val="top"/>
          </w:tcPr>
          <w:p w14:paraId="1A09916B">
            <w:pPr>
              <w:spacing w:line="60" w:lineRule="exact"/>
              <w:ind w:firstLine="902"/>
            </w:pPr>
            <w:r>
              <w:rPr>
                <w:position w:val="-1"/>
              </w:rPr>
              <w:pict>
                <v:group id="_x0000_s1553" o:spid="_x0000_s1553" o:spt="203" style="height:3.4pt;width:1.45pt;" coordsize="29,68">
                  <o:lock v:ext="edit"/>
                  <v:shape id="_x0000_s1554" o:spid="_x0000_s1554" style="position:absolute;left:14;top:0;height:68;width:15;" fillcolor="#20507B" filled="t" stroked="f" coordsize="15,68" path="m0,67l14,67,14,0,0,0,0,67xe">
                    <v:path/>
                    <v:fill on="t" focussize="0,0"/>
                    <v:stroke on="f"/>
                    <v:imagedata o:title=""/>
                    <o:lock v:ext="edit"/>
                  </v:shape>
                  <v:shape id="_x0000_s1555" o:spid="_x0000_s1555" style="position:absolute;left:0;top:0;height:68;width:15;" fillcolor="#1C456A" filled="t" stroked="f" coordsize="15,68" path="m0,67l14,67,14,0,0,0,0,67xe">
                    <v:path/>
                    <v:fill on="t" focussize="0,0"/>
                    <v:stroke on="f"/>
                    <v:imagedata o:title=""/>
                    <o:lock v:ext="edit"/>
                  </v:shape>
                  <w10:wrap type="none"/>
                  <w10:anchorlock/>
                </v:group>
              </w:pict>
            </w:r>
          </w:p>
        </w:tc>
      </w:tr>
      <w:tr w14:paraId="3E3A2D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29" w:hRule="atLeast"/>
        </w:trPr>
        <w:tc>
          <w:tcPr>
            <w:tcW w:w="918" w:type="dxa"/>
            <w:gridSpan w:val="2"/>
            <w:tcBorders>
              <w:left w:val="single" w:color="000000" w:sz="4" w:space="0"/>
            </w:tcBorders>
            <w:vAlign w:val="top"/>
          </w:tcPr>
          <w:p w14:paraId="073CA681">
            <w:pPr>
              <w:spacing w:line="339" w:lineRule="auto"/>
              <w:rPr>
                <w:rFonts w:ascii="Arial"/>
                <w:sz w:val="21"/>
              </w:rPr>
            </w:pPr>
          </w:p>
          <w:p w14:paraId="4FE3C077">
            <w:pPr>
              <w:pStyle w:val="7"/>
              <w:spacing w:before="78" w:line="238" w:lineRule="auto"/>
              <w:ind w:left="412"/>
            </w:pPr>
            <w:r>
              <w:t>4</w:t>
            </w:r>
          </w:p>
        </w:tc>
        <w:tc>
          <w:tcPr>
            <w:tcW w:w="7819" w:type="dxa"/>
            <w:gridSpan w:val="2"/>
            <w:tcBorders>
              <w:right w:val="nil"/>
            </w:tcBorders>
            <w:vAlign w:val="top"/>
          </w:tcPr>
          <w:p w14:paraId="0797F9C3">
            <w:pPr>
              <w:pStyle w:val="7"/>
              <w:spacing w:before="185" w:line="217" w:lineRule="auto"/>
              <w:jc w:val="right"/>
            </w:pPr>
            <w:r>
              <w:rPr>
                <w:spacing w:val="-23"/>
              </w:rPr>
              <w:t>控制底模平整度，以保证板底光洁、平整、直顺。e、控制井室盖板的人孔圆润、</w:t>
            </w:r>
          </w:p>
          <w:p w14:paraId="5C8D0CD4">
            <w:pPr>
              <w:pStyle w:val="7"/>
              <w:spacing w:before="185" w:line="217" w:lineRule="auto"/>
              <w:ind w:left="1917"/>
            </w:pPr>
            <w:r>
              <w:rPr>
                <w:spacing w:val="-22"/>
              </w:rPr>
              <w:t>规矩，以保证井筒砌砖易接顺、圆润美观。</w:t>
            </w:r>
          </w:p>
        </w:tc>
        <w:tc>
          <w:tcPr>
            <w:tcW w:w="153" w:type="dxa"/>
            <w:tcBorders>
              <w:left w:val="nil"/>
              <w:right w:val="single" w:color="000000" w:sz="4" w:space="0"/>
            </w:tcBorders>
            <w:vAlign w:val="top"/>
          </w:tcPr>
          <w:p w14:paraId="206F1302">
            <w:pPr>
              <w:spacing w:line="61" w:lineRule="exact"/>
              <w:ind w:firstLine="115"/>
            </w:pPr>
            <w:r>
              <w:rPr>
                <w:position w:val="-1"/>
              </w:rPr>
              <w:pict>
                <v:group id="_x0000_s1556" o:spid="_x0000_s1556" o:spt="203" style="height:3.4pt;width:1.45pt;" coordsize="29,68">
                  <o:lock v:ext="edit"/>
                  <v:shape id="_x0000_s1557" o:spid="_x0000_s1557" style="position:absolute;left:14;top:0;height:68;width:15;" fillcolor="#20507B" filled="t" stroked="f" coordsize="15,68" path="m0,67l14,67,14,0,0,0,0,67xe">
                    <v:path/>
                    <v:fill on="t" focussize="0,0"/>
                    <v:stroke on="f"/>
                    <v:imagedata o:title=""/>
                    <o:lock v:ext="edit"/>
                  </v:shape>
                  <v:shape id="_x0000_s1558" o:spid="_x0000_s1558" style="position:absolute;left:0;top:0;height:68;width:15;" fillcolor="#1C456A" filled="t" stroked="f" coordsize="15,68" path="m0,67l14,67,14,0,0,0,0,67xe">
                    <v:path/>
                    <v:fill on="t" focussize="0,0"/>
                    <v:stroke on="f"/>
                    <v:imagedata o:title=""/>
                    <o:lock v:ext="edit"/>
                  </v:shape>
                  <w10:wrap type="none"/>
                  <w10:anchorlock/>
                </v:group>
              </w:pict>
            </w:r>
          </w:p>
        </w:tc>
      </w:tr>
      <w:tr w14:paraId="5B7A47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918" w:type="dxa"/>
            <w:gridSpan w:val="2"/>
            <w:tcBorders>
              <w:left w:val="single" w:color="000000" w:sz="4" w:space="0"/>
            </w:tcBorders>
            <w:vAlign w:val="top"/>
          </w:tcPr>
          <w:p w14:paraId="179D5DF7">
            <w:pPr>
              <w:pStyle w:val="7"/>
              <w:spacing w:before="185" w:line="237" w:lineRule="auto"/>
              <w:ind w:left="418"/>
            </w:pPr>
            <w:r>
              <w:t>5</w:t>
            </w:r>
          </w:p>
        </w:tc>
        <w:tc>
          <w:tcPr>
            <w:tcW w:w="7819" w:type="dxa"/>
            <w:gridSpan w:val="2"/>
            <w:tcBorders>
              <w:right w:val="nil"/>
            </w:tcBorders>
            <w:vAlign w:val="top"/>
          </w:tcPr>
          <w:p w14:paraId="7414AE9D">
            <w:pPr>
              <w:pStyle w:val="7"/>
              <w:spacing w:before="185" w:line="217" w:lineRule="auto"/>
              <w:ind w:left="610"/>
            </w:pPr>
            <w:r>
              <w:rPr>
                <w:spacing w:val="-21"/>
              </w:rPr>
              <w:t>控制井室盖板的人孔圆润、规矩，以保证井筒砌砖易接顺</w:t>
            </w:r>
            <w:r>
              <w:rPr>
                <w:spacing w:val="-22"/>
              </w:rPr>
              <w:t>、圆润美观。</w:t>
            </w:r>
          </w:p>
        </w:tc>
        <w:tc>
          <w:tcPr>
            <w:tcW w:w="153" w:type="dxa"/>
            <w:tcBorders>
              <w:left w:val="nil"/>
              <w:right w:val="single" w:color="000000" w:sz="4" w:space="0"/>
            </w:tcBorders>
            <w:vAlign w:val="top"/>
          </w:tcPr>
          <w:p w14:paraId="3D195127">
            <w:pPr>
              <w:spacing w:line="63" w:lineRule="exact"/>
              <w:ind w:firstLine="115"/>
            </w:pPr>
            <w:r>
              <w:rPr>
                <w:position w:val="-1"/>
              </w:rPr>
              <w:pict>
                <v:group id="_x0000_s1559" o:spid="_x0000_s1559" o:spt="203" style="height:3.4pt;width:1.45pt;" coordsize="29,68">
                  <o:lock v:ext="edit"/>
                  <v:shape id="_x0000_s1560" o:spid="_x0000_s1560" style="position:absolute;left:14;top:0;height:68;width:15;" fillcolor="#20507B" filled="t" stroked="f" coordsize="15,68" path="m0,67l14,67,14,0,0,0,0,67xe">
                    <v:path/>
                    <v:fill on="t" focussize="0,0"/>
                    <v:stroke on="f"/>
                    <v:imagedata o:title=""/>
                    <o:lock v:ext="edit"/>
                  </v:shape>
                  <v:shape id="_x0000_s1561" o:spid="_x0000_s1561" style="position:absolute;left:0;top:0;height:68;width:15;" fillcolor="#1C456A" filled="t" stroked="f" coordsize="15,68" path="m0,67l14,67,14,0,0,0,0,67xe">
                    <v:path/>
                    <v:fill on="t" focussize="0,0"/>
                    <v:stroke on="f"/>
                    <v:imagedata o:title=""/>
                    <o:lock v:ext="edit"/>
                  </v:shape>
                  <w10:wrap type="none"/>
                  <w10:anchorlock/>
                </v:group>
              </w:pict>
            </w:r>
          </w:p>
        </w:tc>
      </w:tr>
      <w:tr w14:paraId="39021E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38" w:hRule="atLeast"/>
        </w:trPr>
        <w:tc>
          <w:tcPr>
            <w:tcW w:w="234" w:type="dxa"/>
            <w:tcBorders>
              <w:left w:val="single" w:color="1C456A" w:sz="4" w:space="0"/>
              <w:bottom w:val="single" w:color="1C456A" w:sz="4" w:space="0"/>
              <w:right w:val="nil"/>
            </w:tcBorders>
            <w:vAlign w:val="top"/>
          </w:tcPr>
          <w:p w14:paraId="1323EBEB">
            <w:pPr>
              <w:rPr>
                <w:rFonts w:ascii="Arial"/>
                <w:sz w:val="21"/>
              </w:rPr>
            </w:pPr>
            <w:r>
              <w:pict>
                <v:shape id="_x0000_s1562" o:spid="_x0000_s1562" style="position:absolute;left:0pt;margin-left:-0.25pt;margin-top:156.95pt;height:0.75pt;width:2.2pt;mso-position-horizontal-relative:page;mso-position-vertical-relative:page;z-index:251753472;mso-width-relative:page;mso-height-relative:page;" fillcolor="#5B9BD5" filled="t" stroked="f" coordsize="44,15" path="m0,14l43,14,43,0,0,0,0,14xe">
                  <v:path/>
                  <v:fill on="t" focussize="0,0"/>
                  <v:stroke on="f"/>
                  <v:imagedata o:title=""/>
                  <o:lock v:ext="edit"/>
                </v:shape>
              </w:pict>
            </w:r>
          </w:p>
        </w:tc>
        <w:tc>
          <w:tcPr>
            <w:tcW w:w="684" w:type="dxa"/>
            <w:tcBorders>
              <w:left w:val="nil"/>
              <w:bottom w:val="single" w:color="1C456A" w:sz="4" w:space="0"/>
            </w:tcBorders>
            <w:vAlign w:val="top"/>
          </w:tcPr>
          <w:p w14:paraId="016FBAB1">
            <w:pPr>
              <w:spacing w:line="254" w:lineRule="auto"/>
              <w:rPr>
                <w:rFonts w:ascii="Arial"/>
                <w:sz w:val="21"/>
              </w:rPr>
            </w:pPr>
          </w:p>
          <w:p w14:paraId="665BE69A">
            <w:pPr>
              <w:spacing w:line="254" w:lineRule="auto"/>
              <w:rPr>
                <w:rFonts w:ascii="Arial"/>
                <w:sz w:val="21"/>
              </w:rPr>
            </w:pPr>
          </w:p>
          <w:p w14:paraId="45700254">
            <w:pPr>
              <w:spacing w:line="254" w:lineRule="auto"/>
              <w:rPr>
                <w:rFonts w:ascii="Arial"/>
                <w:sz w:val="21"/>
              </w:rPr>
            </w:pPr>
          </w:p>
          <w:p w14:paraId="11B69E71">
            <w:pPr>
              <w:spacing w:line="255" w:lineRule="auto"/>
              <w:rPr>
                <w:rFonts w:ascii="Arial"/>
                <w:sz w:val="21"/>
              </w:rPr>
            </w:pPr>
          </w:p>
          <w:p w14:paraId="6DA2EFCD">
            <w:pPr>
              <w:spacing w:line="255" w:lineRule="auto"/>
              <w:rPr>
                <w:rFonts w:ascii="Arial"/>
                <w:sz w:val="21"/>
              </w:rPr>
            </w:pPr>
          </w:p>
          <w:p w14:paraId="3E4BB717">
            <w:pPr>
              <w:pStyle w:val="7"/>
              <w:spacing w:before="78" w:line="237" w:lineRule="auto"/>
              <w:ind w:left="186"/>
            </w:pPr>
            <w:r>
              <w:t>6</w:t>
            </w:r>
          </w:p>
        </w:tc>
        <w:tc>
          <w:tcPr>
            <w:tcW w:w="7972" w:type="dxa"/>
            <w:gridSpan w:val="3"/>
            <w:tcBorders>
              <w:bottom w:val="single" w:color="5B9BD5" w:sz="4" w:space="0"/>
              <w:right w:val="single" w:color="5B9BD5" w:sz="4" w:space="0"/>
            </w:tcBorders>
            <w:vAlign w:val="top"/>
          </w:tcPr>
          <w:p w14:paraId="4B16545A">
            <w:pPr>
              <w:spacing w:line="64" w:lineRule="exact"/>
              <w:ind w:firstLine="7932"/>
            </w:pPr>
            <w:r>
              <w:pict>
                <v:shape id="_x0000_s1563" o:spid="_x0000_s1563" style="position:absolute;left:0pt;margin-left:396.75pt;margin-top:156.95pt;height:0.75pt;width:2.2pt;mso-position-horizontal-relative:page;mso-position-vertical-relative:page;z-index:251754496;mso-width-relative:page;mso-height-relative:page;" fillcolor="#5B9BD5" filled="t" stroked="f" coordsize="44,15" path="m0,14l43,14,43,0,0,0,0,14xe">
                  <v:path/>
                  <v:fill on="t" focussize="0,0"/>
                  <v:stroke on="f"/>
                  <v:imagedata o:title=""/>
                  <o:lock v:ext="edit"/>
                </v:shape>
              </w:pict>
            </w:r>
            <w:r>
              <w:rPr>
                <w:position w:val="-1"/>
              </w:rPr>
              <w:pict>
                <v:group id="_x0000_s1564" o:spid="_x0000_s1564" o:spt="203" style="height:3.4pt;width:1.45pt;" coordsize="29,68">
                  <o:lock v:ext="edit"/>
                  <v:shape id="_x0000_s1565" o:spid="_x0000_s1565" style="position:absolute;left:14;top:0;height:68;width:15;" fillcolor="#20507B" filled="t" stroked="f" coordsize="15,68" path="m0,67l14,67,14,0,0,0,0,67xe">
                    <v:path/>
                    <v:fill on="t" focussize="0,0"/>
                    <v:stroke on="f"/>
                    <v:imagedata o:title=""/>
                    <o:lock v:ext="edit"/>
                  </v:shape>
                  <v:shape id="_x0000_s1566" o:spid="_x0000_s1566" style="position:absolute;left:0;top:0;height:68;width:15;" fillcolor="#1C456A" filled="t" stroked="f" coordsize="15,68" path="m0,67l14,67,14,0,0,0,0,67xe">
                    <v:path/>
                    <v:fill on="t" focussize="0,0"/>
                    <v:stroke on="f"/>
                    <v:imagedata o:title=""/>
                    <o:lock v:ext="edit"/>
                  </v:shape>
                  <w10:wrap type="none"/>
                  <w10:anchorlock/>
                </v:group>
              </w:pict>
            </w:r>
          </w:p>
          <w:p w14:paraId="586E081A">
            <w:pPr>
              <w:spacing w:line="282" w:lineRule="auto"/>
              <w:rPr>
                <w:rFonts w:ascii="Arial"/>
                <w:sz w:val="21"/>
              </w:rPr>
            </w:pPr>
          </w:p>
          <w:p w14:paraId="788476B7">
            <w:pPr>
              <w:pStyle w:val="7"/>
              <w:spacing w:before="78" w:line="359" w:lineRule="auto"/>
              <w:ind w:left="64" w:firstLine="3"/>
              <w:jc w:val="both"/>
            </w:pPr>
            <w:r>
              <w:rPr>
                <w:spacing w:val="-22"/>
              </w:rPr>
              <w:t>混凝土盖板预制时，要注意吊环安放。盖板预制成型拆除</w:t>
            </w:r>
            <w:r>
              <w:rPr>
                <w:spacing w:val="-23"/>
              </w:rPr>
              <w:t>模板后，用草帘覆盖洒水</w:t>
            </w:r>
            <w:r>
              <w:rPr>
                <w:spacing w:val="-22"/>
              </w:rPr>
              <w:t>养生至设计强度。盖板吊装，预制盖板吊装采用人工配合吊车吊装</w:t>
            </w:r>
            <w:r>
              <w:rPr>
                <w:spacing w:val="-23"/>
              </w:rPr>
              <w:t>。盖板安装质量</w:t>
            </w:r>
            <w:r>
              <w:rPr>
                <w:spacing w:val="-22"/>
              </w:rPr>
              <w:t>要求：盖板安装前，清扫墙顶并洒水湿润，然后铺浆安装；盖板</w:t>
            </w:r>
            <w:r>
              <w:rPr>
                <w:spacing w:val="-23"/>
              </w:rPr>
              <w:t>就位后，相邻板底</w:t>
            </w:r>
            <w:r>
              <w:rPr>
                <w:spacing w:val="-27"/>
              </w:rPr>
              <w:t>错台不大于1厘米，在墙顶铺浆时加入小垫块，以使盖板底面找平，板端压墙长度，</w:t>
            </w:r>
            <w:r>
              <w:rPr>
                <w:spacing w:val="-22"/>
              </w:rPr>
              <w:t>允许偏差为1厘米，板缝及板端的三角灰，用水泥砂浆填抹密实，并与板面齐平。</w:t>
            </w:r>
          </w:p>
        </w:tc>
      </w:tr>
    </w:tbl>
    <w:p w14:paraId="79F65CA0">
      <w:pPr>
        <w:pStyle w:val="2"/>
        <w:spacing w:before="115" w:line="219" w:lineRule="auto"/>
        <w:ind w:left="1890"/>
        <w:rPr>
          <w:sz w:val="24"/>
          <w:szCs w:val="24"/>
        </w:rPr>
      </w:pPr>
      <w:r>
        <w:rPr>
          <w:spacing w:val="-18"/>
          <w:sz w:val="24"/>
          <w:szCs w:val="24"/>
        </w:rPr>
        <w:t>3、井圈及井盖安装</w:t>
      </w:r>
    </w:p>
    <w:p w14:paraId="12053ABE">
      <w:pPr>
        <w:pStyle w:val="2"/>
        <w:spacing w:before="112" w:line="309" w:lineRule="auto"/>
        <w:ind w:left="1459" w:right="1335" w:firstLine="435"/>
        <w:rPr>
          <w:sz w:val="24"/>
          <w:szCs w:val="24"/>
        </w:rPr>
      </w:pPr>
      <w:r>
        <w:rPr>
          <w:spacing w:val="-20"/>
          <w:sz w:val="24"/>
          <w:szCs w:val="24"/>
        </w:rPr>
        <w:t>检查井砌筑至规定高程后，要及时安装井圈，盖好井盖。井圈安放前，将井墙顶面用水冲刷干净，铺砂浆使井圈与路面找平。井口四周用1：2水泥砂浆嵌牢，井口四周围成45度三角。</w:t>
      </w:r>
    </w:p>
    <w:p w14:paraId="1128C76D">
      <w:pPr>
        <w:pStyle w:val="2"/>
        <w:spacing w:before="2" w:line="307" w:lineRule="auto"/>
        <w:ind w:left="1461" w:right="1415" w:firstLine="434"/>
        <w:rPr>
          <w:sz w:val="24"/>
          <w:szCs w:val="24"/>
        </w:rPr>
      </w:pPr>
      <w:r>
        <w:rPr>
          <w:spacing w:val="-18"/>
          <w:sz w:val="24"/>
          <w:szCs w:val="24"/>
        </w:rPr>
        <w:t>井周围还土：检查井周围采用3：7灰土回填，其宽</w:t>
      </w:r>
      <w:r>
        <w:rPr>
          <w:spacing w:val="-19"/>
          <w:sz w:val="24"/>
          <w:szCs w:val="24"/>
        </w:rPr>
        <w:t>度为50-80厘米，并应沿井室及井筒中</w:t>
      </w:r>
      <w:r>
        <w:rPr>
          <w:spacing w:val="-20"/>
          <w:sz w:val="24"/>
          <w:szCs w:val="24"/>
        </w:rPr>
        <w:t>心对称分层进行，不得漏夯。顶管坑的回填压实，比长距离、大面积的压实度难度大，要从以</w:t>
      </w:r>
      <w:r>
        <w:rPr>
          <w:spacing w:val="-19"/>
          <w:sz w:val="24"/>
          <w:szCs w:val="24"/>
        </w:rPr>
        <w:t>下几方面控制：</w:t>
      </w:r>
    </w:p>
    <w:p w14:paraId="4920F3AB">
      <w:pPr>
        <w:pStyle w:val="2"/>
        <w:spacing w:before="1" w:line="217" w:lineRule="auto"/>
        <w:ind w:left="1886"/>
        <w:rPr>
          <w:sz w:val="24"/>
          <w:szCs w:val="24"/>
        </w:rPr>
      </w:pPr>
      <w:r>
        <w:rPr>
          <w:spacing w:val="-18"/>
          <w:sz w:val="24"/>
          <w:szCs w:val="24"/>
        </w:rPr>
        <w:t>a、分层填筑厚度为20厘米，比规定的厚度小一些来控制；</w:t>
      </w:r>
    </w:p>
    <w:p w14:paraId="755D871E">
      <w:pPr>
        <w:pStyle w:val="2"/>
        <w:spacing w:before="115" w:line="217" w:lineRule="auto"/>
        <w:ind w:left="1882"/>
        <w:rPr>
          <w:sz w:val="24"/>
          <w:szCs w:val="24"/>
        </w:rPr>
      </w:pPr>
      <w:r>
        <w:rPr>
          <w:spacing w:val="-20"/>
          <w:sz w:val="24"/>
          <w:szCs w:val="24"/>
        </w:rPr>
        <w:t>b、回填土分层填筑，沿井室及井筒中心对称进行，四周高差不超过30厘米；</w:t>
      </w:r>
    </w:p>
    <w:p w14:paraId="6F0FF7FD">
      <w:pPr>
        <w:pStyle w:val="2"/>
        <w:spacing w:before="120" w:line="263" w:lineRule="auto"/>
        <w:ind w:left="1485" w:right="1356" w:firstLine="404"/>
        <w:rPr>
          <w:sz w:val="24"/>
          <w:szCs w:val="24"/>
        </w:rPr>
      </w:pPr>
      <w:r>
        <w:rPr>
          <w:spacing w:val="-26"/>
          <w:sz w:val="24"/>
          <w:szCs w:val="24"/>
        </w:rPr>
        <w:t>c、井周围回填灰土必须在回填场外集中拌和、过筛、检测灰剂量后才能用以回填于井周围；</w:t>
      </w:r>
      <w:r>
        <w:rPr>
          <w:spacing w:val="-23"/>
          <w:sz w:val="24"/>
          <w:szCs w:val="24"/>
        </w:rPr>
        <w:t>回填土厚度每层尽量做到均匀；</w:t>
      </w:r>
    </w:p>
    <w:p w14:paraId="67ADC12D">
      <w:pPr>
        <w:pStyle w:val="2"/>
        <w:spacing w:before="114" w:line="217" w:lineRule="auto"/>
        <w:ind w:left="1894"/>
        <w:rPr>
          <w:sz w:val="24"/>
          <w:szCs w:val="24"/>
        </w:rPr>
      </w:pPr>
      <w:r>
        <w:rPr>
          <w:spacing w:val="-22"/>
          <w:sz w:val="24"/>
          <w:szCs w:val="24"/>
        </w:rPr>
        <w:t>控制全铺土层均匀的含水量，不能回填过湿土；一定要用符合要求</w:t>
      </w:r>
      <w:r>
        <w:rPr>
          <w:spacing w:val="-23"/>
          <w:sz w:val="24"/>
          <w:szCs w:val="24"/>
        </w:rPr>
        <w:t>的便于夯实的土来回填。</w:t>
      </w:r>
    </w:p>
    <w:p w14:paraId="781C9B36">
      <w:pPr>
        <w:spacing w:line="217" w:lineRule="auto"/>
        <w:rPr>
          <w:sz w:val="24"/>
          <w:szCs w:val="24"/>
        </w:rPr>
        <w:sectPr>
          <w:footerReference r:id="rId58" w:type="default"/>
          <w:pgSz w:w="11907" w:h="16839"/>
          <w:pgMar w:top="954" w:right="4" w:bottom="1038" w:left="0" w:header="499" w:footer="357" w:gutter="0"/>
          <w:pgBorders>
            <w:top w:val="none" w:sz="0" w:space="0"/>
            <w:left w:val="none" w:sz="0" w:space="0"/>
            <w:bottom w:val="none" w:sz="0" w:space="0"/>
            <w:right w:val="none" w:sz="0" w:space="0"/>
          </w:pgBorders>
          <w:cols w:space="720" w:num="1"/>
        </w:sectPr>
      </w:pPr>
    </w:p>
    <w:p w14:paraId="3290CC85">
      <w:pPr>
        <w:spacing w:line="250" w:lineRule="auto"/>
        <w:rPr>
          <w:rFonts w:ascii="Arial"/>
          <w:sz w:val="21"/>
        </w:rPr>
      </w:pPr>
    </w:p>
    <w:p w14:paraId="0E2D95C6">
      <w:pPr>
        <w:pStyle w:val="2"/>
        <w:spacing w:before="78" w:line="218" w:lineRule="auto"/>
        <w:ind w:left="1459"/>
        <w:rPr>
          <w:sz w:val="24"/>
          <w:szCs w:val="24"/>
        </w:rPr>
      </w:pPr>
      <w:r>
        <w:rPr>
          <w:spacing w:val="-20"/>
          <w:sz w:val="24"/>
          <w:szCs w:val="24"/>
        </w:rPr>
        <w:t>土方回填后，使井周围土面呈拱形，其拱高一般为15厘米。</w:t>
      </w:r>
    </w:p>
    <w:p w14:paraId="4FCD76A8">
      <w:pPr>
        <w:pStyle w:val="2"/>
        <w:spacing w:before="117" w:line="216" w:lineRule="auto"/>
        <w:ind w:left="1884"/>
        <w:rPr>
          <w:sz w:val="24"/>
          <w:szCs w:val="24"/>
        </w:rPr>
      </w:pPr>
      <w:r>
        <w:rPr>
          <w:spacing w:val="-22"/>
          <w:sz w:val="24"/>
          <w:szCs w:val="24"/>
        </w:rPr>
        <w:t>4、检查井井周回填技术要求：</w:t>
      </w:r>
    </w:p>
    <w:p w14:paraId="3B234307">
      <w:pPr>
        <w:spacing w:line="48" w:lineRule="auto"/>
        <w:rPr>
          <w:rFonts w:ascii="Arial"/>
          <w:sz w:val="2"/>
        </w:rPr>
      </w:pPr>
    </w:p>
    <w:tbl>
      <w:tblPr>
        <w:tblStyle w:val="6"/>
        <w:tblW w:w="8890" w:type="dxa"/>
        <w:tblInd w:w="150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35"/>
        <w:gridCol w:w="683"/>
        <w:gridCol w:w="3978"/>
        <w:gridCol w:w="2478"/>
        <w:gridCol w:w="1516"/>
      </w:tblGrid>
      <w:tr w14:paraId="3080A6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28" w:hRule="atLeast"/>
        </w:trPr>
        <w:tc>
          <w:tcPr>
            <w:tcW w:w="918" w:type="dxa"/>
            <w:gridSpan w:val="2"/>
            <w:tcBorders>
              <w:top w:val="single" w:color="000000" w:sz="4" w:space="0"/>
              <w:left w:val="single" w:color="000000" w:sz="4" w:space="0"/>
            </w:tcBorders>
            <w:shd w:val="clear" w:color="auto" w:fill="DEEAF6"/>
            <w:vAlign w:val="top"/>
          </w:tcPr>
          <w:p w14:paraId="13DAF0D6">
            <w:pPr>
              <w:spacing w:before="33" w:line="60" w:lineRule="exact"/>
              <w:ind w:firstLine="33"/>
            </w:pPr>
            <w:r>
              <w:rPr>
                <w:position w:val="-1"/>
              </w:rPr>
              <w:pict>
                <v:shape id="_x0000_s1567" o:spid="_x0000_s1567" style="height:3pt;width:43.45pt;" fillcolor="#DEEAF6" filled="t" stroked="f" coordsize="869,60" path="m0,60l868,60,868,0,0,0,0,60xe">
                  <v:path/>
                  <v:fill on="t" focussize="0,0"/>
                  <v:stroke on="f"/>
                  <v:imagedata o:title=""/>
                  <o:lock v:ext="edit"/>
                  <w10:wrap type="none"/>
                  <w10:anchorlock/>
                </v:shape>
              </w:pict>
            </w:r>
          </w:p>
          <w:p w14:paraId="333D4F58">
            <w:pPr>
              <w:pStyle w:val="7"/>
              <w:spacing w:before="187" w:line="218" w:lineRule="auto"/>
              <w:ind w:left="257"/>
            </w:pPr>
            <w:r>
              <w:rPr>
                <w:b/>
                <w:bCs/>
                <w:spacing w:val="-12"/>
              </w:rPr>
              <w:t>序号</w:t>
            </w:r>
          </w:p>
          <w:p w14:paraId="18FFF27D">
            <w:pPr>
              <w:spacing w:line="300" w:lineRule="auto"/>
              <w:rPr>
                <w:rFonts w:ascii="Arial"/>
                <w:sz w:val="21"/>
              </w:rPr>
            </w:pPr>
          </w:p>
          <w:p w14:paraId="6CFEC8AC">
            <w:pPr>
              <w:spacing w:line="52" w:lineRule="exact"/>
              <w:ind w:firstLine="11"/>
            </w:pPr>
            <w:r>
              <w:rPr>
                <w:position w:val="-1"/>
              </w:rPr>
              <w:pict>
                <v:shape id="_x0000_s1568" o:spid="_x0000_s1568" style="height:2.9pt;width:44.8pt;" fillcolor="#DEEAF6" filled="t" stroked="f" coordsize="895,58" path="m0,57l895,57,895,0,0,0,0,57xe">
                  <v:path/>
                  <v:fill on="t" focussize="0,0"/>
                  <v:stroke on="f"/>
                  <v:imagedata o:title=""/>
                  <o:lock v:ext="edit"/>
                  <w10:wrap type="none"/>
                  <w10:anchorlock/>
                </v:shape>
              </w:pict>
            </w:r>
          </w:p>
        </w:tc>
        <w:tc>
          <w:tcPr>
            <w:tcW w:w="7972" w:type="dxa"/>
            <w:gridSpan w:val="3"/>
            <w:tcBorders>
              <w:top w:val="single" w:color="5B9BD5" w:sz="4" w:space="0"/>
              <w:right w:val="single" w:color="5B9BD5" w:sz="4" w:space="0"/>
            </w:tcBorders>
            <w:shd w:val="clear" w:color="auto" w:fill="DEEAF6"/>
            <w:vAlign w:val="top"/>
          </w:tcPr>
          <w:p w14:paraId="0C5C1A5D">
            <w:pPr>
              <w:pStyle w:val="7"/>
              <w:spacing w:before="280" w:line="216" w:lineRule="auto"/>
              <w:ind w:left="2786"/>
            </w:pPr>
            <w:r>
              <w:rPr>
                <w:b/>
                <w:bCs/>
                <w:spacing w:val="-22"/>
              </w:rPr>
              <w:t>检查井井周回填技术要求</w:t>
            </w:r>
          </w:p>
        </w:tc>
      </w:tr>
      <w:tr w14:paraId="65D0D8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27" w:hRule="atLeast"/>
        </w:trPr>
        <w:tc>
          <w:tcPr>
            <w:tcW w:w="918" w:type="dxa"/>
            <w:gridSpan w:val="2"/>
            <w:tcBorders>
              <w:left w:val="single" w:color="000000" w:sz="4" w:space="0"/>
            </w:tcBorders>
            <w:vAlign w:val="top"/>
          </w:tcPr>
          <w:p w14:paraId="1804570C">
            <w:pPr>
              <w:spacing w:line="335" w:lineRule="auto"/>
              <w:rPr>
                <w:rFonts w:ascii="Arial"/>
                <w:sz w:val="21"/>
              </w:rPr>
            </w:pPr>
          </w:p>
          <w:p w14:paraId="3EF89A72">
            <w:pPr>
              <w:pStyle w:val="7"/>
              <w:spacing w:before="78" w:line="238" w:lineRule="auto"/>
              <w:ind w:left="431"/>
            </w:pPr>
            <w:r>
              <w:t>1</w:t>
            </w:r>
          </w:p>
        </w:tc>
        <w:tc>
          <w:tcPr>
            <w:tcW w:w="7972" w:type="dxa"/>
            <w:gridSpan w:val="3"/>
            <w:tcBorders>
              <w:right w:val="single" w:color="000000" w:sz="4" w:space="0"/>
            </w:tcBorders>
            <w:vAlign w:val="top"/>
          </w:tcPr>
          <w:p w14:paraId="4996B052">
            <w:pPr>
              <w:spacing w:line="57" w:lineRule="exact"/>
              <w:ind w:firstLine="7932"/>
            </w:pPr>
            <w:r>
              <w:rPr>
                <w:position w:val="-1"/>
              </w:rPr>
              <w:pict>
                <v:group id="_x0000_s1569" o:spid="_x0000_s1569" o:spt="203" style="height:3.4pt;width:1.45pt;" coordsize="29,68">
                  <o:lock v:ext="edit"/>
                  <v:shape id="_x0000_s1570" o:spid="_x0000_s1570" style="position:absolute;left:14;top:0;height:68;width:15;" fillcolor="#20507B" filled="t" stroked="f" coordsize="15,68" path="m0,67l14,67,14,0,0,0,0,67xe">
                    <v:path/>
                    <v:fill on="t" focussize="0,0"/>
                    <v:stroke on="f"/>
                    <v:imagedata o:title=""/>
                    <o:lock v:ext="edit"/>
                  </v:shape>
                  <v:shape id="_x0000_s1571" o:spid="_x0000_s1571" style="position:absolute;left:0;top:0;height:68;width:15;" fillcolor="#1C456A" filled="t" stroked="f" coordsize="15,68" path="m0,67l14,67,14,0,0,0,0,67xe">
                    <v:path/>
                    <v:fill on="t" focussize="0,0"/>
                    <v:stroke on="f"/>
                    <v:imagedata o:title=""/>
                    <o:lock v:ext="edit"/>
                  </v:shape>
                  <w10:wrap type="none"/>
                  <w10:anchorlock/>
                </v:group>
              </w:pict>
            </w:r>
          </w:p>
          <w:p w14:paraId="2A4D74DF">
            <w:pPr>
              <w:pStyle w:val="7"/>
              <w:spacing w:before="125" w:line="218" w:lineRule="auto"/>
              <w:ind w:left="63"/>
            </w:pPr>
            <w:r>
              <w:rPr>
                <w:spacing w:val="-21"/>
              </w:rPr>
              <w:t>现浇砼水泥砂浆的强度应达到设计规定的强度后方允许回填。</w:t>
            </w:r>
            <w:r>
              <w:rPr>
                <w:spacing w:val="-22"/>
              </w:rPr>
              <w:t>严禁与浇注井体同步</w:t>
            </w:r>
          </w:p>
          <w:p w14:paraId="39AA8425">
            <w:pPr>
              <w:pStyle w:val="7"/>
              <w:spacing w:before="181" w:line="219" w:lineRule="auto"/>
              <w:ind w:left="3689"/>
            </w:pPr>
            <w:r>
              <w:rPr>
                <w:spacing w:val="-27"/>
              </w:rPr>
              <w:t>回填。</w:t>
            </w:r>
          </w:p>
        </w:tc>
      </w:tr>
      <w:tr w14:paraId="6481F6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21" w:hRule="atLeast"/>
        </w:trPr>
        <w:tc>
          <w:tcPr>
            <w:tcW w:w="918" w:type="dxa"/>
            <w:gridSpan w:val="2"/>
            <w:tcBorders>
              <w:left w:val="single" w:color="000000" w:sz="4" w:space="0"/>
            </w:tcBorders>
            <w:vAlign w:val="top"/>
          </w:tcPr>
          <w:p w14:paraId="5D3F9AB1">
            <w:pPr>
              <w:spacing w:line="241" w:lineRule="auto"/>
              <w:rPr>
                <w:rFonts w:ascii="Arial"/>
                <w:sz w:val="21"/>
              </w:rPr>
            </w:pPr>
          </w:p>
          <w:p w14:paraId="4A67D8A4">
            <w:pPr>
              <w:spacing w:line="242" w:lineRule="auto"/>
              <w:rPr>
                <w:rFonts w:ascii="Arial"/>
                <w:sz w:val="21"/>
              </w:rPr>
            </w:pPr>
          </w:p>
          <w:p w14:paraId="23E7781E">
            <w:pPr>
              <w:pStyle w:val="7"/>
              <w:spacing w:before="78" w:line="238" w:lineRule="auto"/>
              <w:ind w:left="416"/>
            </w:pPr>
            <w:r>
              <w:t>2</w:t>
            </w:r>
          </w:p>
        </w:tc>
        <w:tc>
          <w:tcPr>
            <w:tcW w:w="7972" w:type="dxa"/>
            <w:gridSpan w:val="3"/>
            <w:tcBorders>
              <w:right w:val="single" w:color="000000" w:sz="4" w:space="0"/>
            </w:tcBorders>
            <w:vAlign w:val="top"/>
          </w:tcPr>
          <w:p w14:paraId="08DC139D">
            <w:pPr>
              <w:spacing w:line="59" w:lineRule="exact"/>
              <w:ind w:right="3"/>
              <w:jc w:val="right"/>
            </w:pPr>
            <w:r>
              <w:rPr>
                <w:position w:val="-1"/>
              </w:rPr>
              <w:drawing>
                <wp:inline distT="0" distB="0" distL="0" distR="0">
                  <wp:extent cx="17780" cy="37465"/>
                  <wp:effectExtent l="0" t="0" r="0" b="0"/>
                  <wp:docPr id="390" name="IM 390"/>
                  <wp:cNvGraphicFramePr/>
                  <a:graphic xmlns:a="http://schemas.openxmlformats.org/drawingml/2006/main">
                    <a:graphicData uri="http://schemas.openxmlformats.org/drawingml/2006/picture">
                      <pic:pic xmlns:pic="http://schemas.openxmlformats.org/drawingml/2006/picture">
                        <pic:nvPicPr>
                          <pic:cNvPr id="390" name="IM 390"/>
                          <pic:cNvPicPr/>
                        </pic:nvPicPr>
                        <pic:blipFill>
                          <a:blip r:embed="rId507"/>
                          <a:stretch>
                            <a:fillRect/>
                          </a:stretch>
                        </pic:blipFill>
                        <pic:spPr>
                          <a:xfrm>
                            <a:off x="0" y="0"/>
                            <a:ext cx="18287" cy="37719"/>
                          </a:xfrm>
                          <a:prstGeom prst="rect">
                            <a:avLst/>
                          </a:prstGeom>
                        </pic:spPr>
                      </pic:pic>
                    </a:graphicData>
                  </a:graphic>
                </wp:inline>
              </w:drawing>
            </w:r>
          </w:p>
          <w:p w14:paraId="72D18572">
            <w:pPr>
              <w:pStyle w:val="7"/>
              <w:spacing w:before="38" w:line="359" w:lineRule="auto"/>
              <w:ind w:left="55" w:firstLine="12"/>
              <w:jc w:val="both"/>
            </w:pPr>
            <w:r>
              <w:rPr>
                <w:spacing w:val="-20"/>
              </w:rPr>
              <w:t>井周50cm宽范围内的回填材料，均应采用无砂大孔混合料或低标号混凝土,</w:t>
            </w:r>
            <w:r>
              <w:rPr>
                <w:spacing w:val="-21"/>
              </w:rPr>
              <w:t>并振捣</w:t>
            </w:r>
            <w:r>
              <w:rPr>
                <w:spacing w:val="-23"/>
              </w:rPr>
              <w:t>密实。故本设计在排水检查井(井室、井室盖板、井筒周边)50CM范围内应全部回填</w:t>
            </w:r>
            <w:r>
              <w:rPr>
                <w:spacing w:val="-16"/>
              </w:rPr>
              <w:t>C10无砂大孔混合料（配比425#水泥：</w:t>
            </w:r>
            <w:r>
              <w:rPr>
                <w:spacing w:val="-17"/>
              </w:rPr>
              <w:t>石头：水=0.244:1.02:0.05）,并振捣密实。</w:t>
            </w:r>
          </w:p>
        </w:tc>
      </w:tr>
      <w:tr w14:paraId="2E5D55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78" w:hRule="atLeast"/>
        </w:trPr>
        <w:tc>
          <w:tcPr>
            <w:tcW w:w="918" w:type="dxa"/>
            <w:gridSpan w:val="2"/>
            <w:tcBorders>
              <w:left w:val="single" w:color="000000" w:sz="4" w:space="0"/>
            </w:tcBorders>
            <w:vAlign w:val="top"/>
          </w:tcPr>
          <w:p w14:paraId="313EC639">
            <w:pPr>
              <w:spacing w:line="361" w:lineRule="auto"/>
              <w:rPr>
                <w:rFonts w:ascii="Arial"/>
                <w:sz w:val="21"/>
              </w:rPr>
            </w:pPr>
          </w:p>
          <w:p w14:paraId="13E1A748">
            <w:pPr>
              <w:pStyle w:val="7"/>
              <w:spacing w:before="78" w:line="237" w:lineRule="auto"/>
              <w:ind w:left="418"/>
            </w:pPr>
            <w:r>
              <w:t>3</w:t>
            </w:r>
          </w:p>
        </w:tc>
        <w:tc>
          <w:tcPr>
            <w:tcW w:w="7972" w:type="dxa"/>
            <w:gridSpan w:val="3"/>
            <w:tcBorders>
              <w:right w:val="single" w:color="000000" w:sz="4" w:space="0"/>
            </w:tcBorders>
            <w:vAlign w:val="top"/>
          </w:tcPr>
          <w:p w14:paraId="643CD0F6">
            <w:pPr>
              <w:spacing w:line="60" w:lineRule="exact"/>
              <w:ind w:firstLine="7932"/>
            </w:pPr>
            <w:r>
              <w:rPr>
                <w:position w:val="-1"/>
              </w:rPr>
              <w:pict>
                <v:group id="_x0000_s1572" o:spid="_x0000_s1572" o:spt="203" style="height:3.4pt;width:1.45pt;" coordsize="29,68">
                  <o:lock v:ext="edit"/>
                  <v:shape id="_x0000_s1573" o:spid="_x0000_s1573" style="position:absolute;left:14;top:0;height:68;width:15;" fillcolor="#20507B" filled="t" stroked="f" coordsize="15,68" path="m0,67l14,67,14,0,0,0,0,67xe">
                    <v:path/>
                    <v:fill on="t" focussize="0,0"/>
                    <v:stroke on="f"/>
                    <v:imagedata o:title=""/>
                    <o:lock v:ext="edit"/>
                  </v:shape>
                  <v:shape id="_x0000_s1574" o:spid="_x0000_s1574" style="position:absolute;left:0;top:0;height:68;width:15;" fillcolor="#1C456A" filled="t" stroked="f" coordsize="15,68" path="m0,67l14,67,14,0,0,0,0,67xe">
                    <v:path/>
                    <v:fill on="t" focussize="0,0"/>
                    <v:stroke on="f"/>
                    <v:imagedata o:title=""/>
                    <o:lock v:ext="edit"/>
                  </v:shape>
                  <w10:wrap type="none"/>
                  <w10:anchorlock/>
                </v:group>
              </w:pict>
            </w:r>
          </w:p>
          <w:p w14:paraId="1670D3A3">
            <w:pPr>
              <w:pStyle w:val="7"/>
              <w:spacing w:before="148" w:line="217" w:lineRule="auto"/>
              <w:ind w:left="64"/>
            </w:pPr>
            <w:r>
              <w:rPr>
                <w:spacing w:val="-21"/>
              </w:rPr>
              <w:t>压实机具：按规范配置的压路机具。特别要配置小型机械如蛙</w:t>
            </w:r>
            <w:r>
              <w:rPr>
                <w:spacing w:val="-22"/>
              </w:rPr>
              <w:t>式打夯机和立式冲击</w:t>
            </w:r>
          </w:p>
          <w:p w14:paraId="147F6B04">
            <w:pPr>
              <w:pStyle w:val="7"/>
              <w:spacing w:before="184" w:line="215" w:lineRule="auto"/>
              <w:ind w:left="2027"/>
            </w:pPr>
            <w:r>
              <w:rPr>
                <w:spacing w:val="-22"/>
              </w:rPr>
              <w:t>夯等。在施工中，优先采用立式冲击夯。</w:t>
            </w:r>
          </w:p>
        </w:tc>
      </w:tr>
      <w:tr w14:paraId="108947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17" w:hRule="atLeast"/>
        </w:trPr>
        <w:tc>
          <w:tcPr>
            <w:tcW w:w="918" w:type="dxa"/>
            <w:gridSpan w:val="2"/>
            <w:tcBorders>
              <w:left w:val="single" w:color="000000" w:sz="4" w:space="0"/>
            </w:tcBorders>
            <w:vAlign w:val="top"/>
          </w:tcPr>
          <w:p w14:paraId="6ABED079">
            <w:pPr>
              <w:spacing w:line="268" w:lineRule="auto"/>
              <w:rPr>
                <w:rFonts w:ascii="Arial"/>
                <w:sz w:val="21"/>
              </w:rPr>
            </w:pPr>
          </w:p>
          <w:p w14:paraId="5C374A3A">
            <w:pPr>
              <w:spacing w:line="268" w:lineRule="auto"/>
              <w:rPr>
                <w:rFonts w:ascii="Arial"/>
                <w:sz w:val="21"/>
              </w:rPr>
            </w:pPr>
          </w:p>
          <w:p w14:paraId="31B22BE5">
            <w:pPr>
              <w:spacing w:line="268" w:lineRule="auto"/>
              <w:rPr>
                <w:rFonts w:ascii="Arial"/>
                <w:sz w:val="21"/>
              </w:rPr>
            </w:pPr>
          </w:p>
          <w:p w14:paraId="341C2837">
            <w:pPr>
              <w:spacing w:line="268" w:lineRule="auto"/>
              <w:rPr>
                <w:rFonts w:ascii="Arial"/>
                <w:sz w:val="21"/>
              </w:rPr>
            </w:pPr>
          </w:p>
          <w:p w14:paraId="334E744F">
            <w:pPr>
              <w:spacing w:line="268" w:lineRule="auto"/>
              <w:rPr>
                <w:rFonts w:ascii="Arial"/>
                <w:sz w:val="21"/>
              </w:rPr>
            </w:pPr>
          </w:p>
          <w:p w14:paraId="743A6871">
            <w:pPr>
              <w:spacing w:line="268" w:lineRule="auto"/>
              <w:rPr>
                <w:rFonts w:ascii="Arial"/>
                <w:sz w:val="21"/>
              </w:rPr>
            </w:pPr>
          </w:p>
          <w:p w14:paraId="0A41F50D">
            <w:pPr>
              <w:spacing w:line="268" w:lineRule="auto"/>
              <w:rPr>
                <w:rFonts w:ascii="Arial"/>
                <w:sz w:val="21"/>
              </w:rPr>
            </w:pPr>
          </w:p>
          <w:p w14:paraId="3908AAA6">
            <w:pPr>
              <w:pStyle w:val="7"/>
              <w:spacing w:before="78" w:line="238" w:lineRule="auto"/>
              <w:ind w:left="412"/>
            </w:pPr>
            <w:r>
              <w:t>4</w:t>
            </w:r>
          </w:p>
        </w:tc>
        <w:tc>
          <w:tcPr>
            <w:tcW w:w="7972" w:type="dxa"/>
            <w:gridSpan w:val="3"/>
            <w:tcBorders>
              <w:right w:val="single" w:color="000000" w:sz="4" w:space="0"/>
            </w:tcBorders>
            <w:vAlign w:val="top"/>
          </w:tcPr>
          <w:p w14:paraId="762C42B0">
            <w:pPr>
              <w:spacing w:line="61" w:lineRule="exact"/>
              <w:ind w:right="3"/>
              <w:jc w:val="right"/>
            </w:pPr>
            <w:r>
              <w:rPr>
                <w:position w:val="-1"/>
              </w:rPr>
              <w:drawing>
                <wp:inline distT="0" distB="0" distL="0" distR="0">
                  <wp:extent cx="17780" cy="38735"/>
                  <wp:effectExtent l="0" t="0" r="0" b="0"/>
                  <wp:docPr id="392" name="IM 392"/>
                  <wp:cNvGraphicFramePr/>
                  <a:graphic xmlns:a="http://schemas.openxmlformats.org/drawingml/2006/main">
                    <a:graphicData uri="http://schemas.openxmlformats.org/drawingml/2006/picture">
                      <pic:pic xmlns:pic="http://schemas.openxmlformats.org/drawingml/2006/picture">
                        <pic:nvPicPr>
                          <pic:cNvPr id="392" name="IM 392"/>
                          <pic:cNvPicPr/>
                        </pic:nvPicPr>
                        <pic:blipFill>
                          <a:blip r:embed="rId475"/>
                          <a:stretch>
                            <a:fillRect/>
                          </a:stretch>
                        </pic:blipFill>
                        <pic:spPr>
                          <a:xfrm>
                            <a:off x="0" y="0"/>
                            <a:ext cx="18287" cy="38989"/>
                          </a:xfrm>
                          <a:prstGeom prst="rect">
                            <a:avLst/>
                          </a:prstGeom>
                        </pic:spPr>
                      </pic:pic>
                    </a:graphicData>
                  </a:graphic>
                </wp:inline>
              </w:drawing>
            </w:r>
          </w:p>
          <w:p w14:paraId="7ADD7068">
            <w:pPr>
              <w:pStyle w:val="7"/>
              <w:spacing w:before="36" w:line="218" w:lineRule="auto"/>
              <w:ind w:left="3444"/>
            </w:pPr>
            <w:r>
              <w:rPr>
                <w:spacing w:val="-17"/>
              </w:rPr>
              <w:t>压实工艺：</w:t>
            </w:r>
          </w:p>
          <w:p w14:paraId="56C1672E">
            <w:pPr>
              <w:pStyle w:val="7"/>
              <w:spacing w:before="181" w:line="217" w:lineRule="auto"/>
              <w:ind w:left="127"/>
            </w:pPr>
            <w:r>
              <w:rPr>
                <w:spacing w:val="-21"/>
              </w:rPr>
              <w:t>1）井室周围的回填，应与管道沟槽的回填同时进行，当井室周围</w:t>
            </w:r>
            <w:r>
              <w:rPr>
                <w:spacing w:val="-22"/>
              </w:rPr>
              <w:t>的回填与管道沟</w:t>
            </w:r>
          </w:p>
          <w:p w14:paraId="6E629DD1">
            <w:pPr>
              <w:pStyle w:val="7"/>
              <w:spacing w:before="185" w:line="217" w:lineRule="auto"/>
              <w:ind w:left="1806"/>
            </w:pPr>
            <w:r>
              <w:rPr>
                <w:spacing w:val="-21"/>
              </w:rPr>
              <w:t>槽的回填不便同时进行时，应留台阶形接茬。</w:t>
            </w:r>
          </w:p>
          <w:p w14:paraId="06DB8721">
            <w:pPr>
              <w:pStyle w:val="7"/>
              <w:spacing w:before="184" w:line="217" w:lineRule="auto"/>
              <w:jc w:val="right"/>
            </w:pPr>
            <w:r>
              <w:rPr>
                <w:spacing w:val="-24"/>
              </w:rPr>
              <w:t>2）当沟槽内每一层回填土压实成型后，用人工将井室周围50cm范围内的松土挖去，</w:t>
            </w:r>
          </w:p>
          <w:p w14:paraId="04575BF8">
            <w:pPr>
              <w:pStyle w:val="7"/>
              <w:spacing w:before="186" w:line="215" w:lineRule="auto"/>
              <w:ind w:left="65"/>
            </w:pPr>
            <w:r>
              <w:rPr>
                <w:spacing w:val="-21"/>
              </w:rPr>
              <w:t>换填预先拌制好的无砂大孔混合料或低标号混凝土，并在</w:t>
            </w:r>
            <w:r>
              <w:rPr>
                <w:spacing w:val="-22"/>
              </w:rPr>
              <w:t>保证在混合料强度达到要</w:t>
            </w:r>
          </w:p>
          <w:p w14:paraId="5E9A9A05">
            <w:pPr>
              <w:pStyle w:val="7"/>
              <w:spacing w:before="186" w:line="216" w:lineRule="auto"/>
              <w:ind w:left="3232"/>
            </w:pPr>
            <w:r>
              <w:rPr>
                <w:spacing w:val="-19"/>
              </w:rPr>
              <w:t>求时才能回料。</w:t>
            </w:r>
          </w:p>
          <w:p w14:paraId="19077874">
            <w:pPr>
              <w:pStyle w:val="7"/>
              <w:spacing w:before="187" w:line="217" w:lineRule="auto"/>
              <w:ind w:left="1157"/>
            </w:pPr>
            <w:r>
              <w:rPr>
                <w:spacing w:val="-21"/>
              </w:rPr>
              <w:t>井室周围回填压实时应沿井室中心对称进行，且不得漏夯。</w:t>
            </w:r>
          </w:p>
          <w:p w14:paraId="686C7527">
            <w:pPr>
              <w:pStyle w:val="7"/>
              <w:spacing w:before="184" w:line="215" w:lineRule="auto"/>
              <w:ind w:left="66"/>
            </w:pPr>
            <w:r>
              <w:rPr>
                <w:spacing w:val="-21"/>
              </w:rPr>
              <w:t>在进入道路结构层施工时，除采用压路机碾压外，还应采</w:t>
            </w:r>
            <w:r>
              <w:rPr>
                <w:spacing w:val="-22"/>
              </w:rPr>
              <w:t>用蛙式打夯机或立式冲击</w:t>
            </w:r>
          </w:p>
          <w:p w14:paraId="28E69BF3">
            <w:pPr>
              <w:pStyle w:val="7"/>
              <w:spacing w:before="188" w:line="217" w:lineRule="auto"/>
              <w:ind w:left="1210"/>
            </w:pPr>
            <w:r>
              <w:rPr>
                <w:spacing w:val="-19"/>
              </w:rPr>
              <w:t>夯逐层对井周60公分范围内进行补夯，以清除碾压死角。</w:t>
            </w:r>
          </w:p>
        </w:tc>
      </w:tr>
      <w:tr w14:paraId="446977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8" w:hRule="atLeast"/>
        </w:trPr>
        <w:tc>
          <w:tcPr>
            <w:tcW w:w="235" w:type="dxa"/>
            <w:vMerge w:val="restart"/>
            <w:tcBorders>
              <w:left w:val="single" w:color="1C456A" w:sz="4" w:space="0"/>
              <w:bottom w:val="nil"/>
              <w:right w:val="nil"/>
            </w:tcBorders>
            <w:vAlign w:val="top"/>
          </w:tcPr>
          <w:p w14:paraId="462543A7">
            <w:pPr>
              <w:rPr>
                <w:rFonts w:ascii="Arial"/>
                <w:sz w:val="21"/>
              </w:rPr>
            </w:pPr>
            <w:r>
              <w:pict>
                <v:shape id="_x0000_s1575" o:spid="_x0000_s1575" style="position:absolute;left:0pt;margin-left:-0.25pt;margin-top:190.45pt;height:0.75pt;width:2.2pt;mso-position-horizontal-relative:page;mso-position-vertical-relative:page;z-index:251756544;mso-width-relative:page;mso-height-relative:page;" fillcolor="#5B9BD5" filled="t" stroked="f" coordsize="44,15" path="m0,14l43,14,43,0,0,0,0,14xe">
                  <v:path/>
                  <v:fill on="t" focussize="0,0"/>
                  <v:stroke on="f"/>
                  <v:imagedata o:title=""/>
                  <o:lock v:ext="edit"/>
                </v:shape>
              </w:pict>
            </w:r>
          </w:p>
        </w:tc>
        <w:tc>
          <w:tcPr>
            <w:tcW w:w="683" w:type="dxa"/>
            <w:vMerge w:val="restart"/>
            <w:tcBorders>
              <w:left w:val="nil"/>
              <w:bottom w:val="nil"/>
            </w:tcBorders>
            <w:vAlign w:val="top"/>
          </w:tcPr>
          <w:p w14:paraId="46CFD6A0">
            <w:pPr>
              <w:spacing w:line="267" w:lineRule="auto"/>
              <w:rPr>
                <w:rFonts w:ascii="Arial"/>
                <w:sz w:val="21"/>
              </w:rPr>
            </w:pPr>
          </w:p>
          <w:p w14:paraId="0E9C008B">
            <w:pPr>
              <w:spacing w:line="267" w:lineRule="auto"/>
              <w:rPr>
                <w:rFonts w:ascii="Arial"/>
                <w:sz w:val="21"/>
              </w:rPr>
            </w:pPr>
          </w:p>
          <w:p w14:paraId="74DE52E4">
            <w:pPr>
              <w:spacing w:line="268" w:lineRule="auto"/>
              <w:rPr>
                <w:rFonts w:ascii="Arial"/>
                <w:sz w:val="21"/>
              </w:rPr>
            </w:pPr>
          </w:p>
          <w:p w14:paraId="190D0CCF">
            <w:pPr>
              <w:spacing w:line="268" w:lineRule="auto"/>
              <w:rPr>
                <w:rFonts w:ascii="Arial"/>
                <w:sz w:val="21"/>
              </w:rPr>
            </w:pPr>
          </w:p>
          <w:p w14:paraId="4000D4ED">
            <w:pPr>
              <w:spacing w:line="268" w:lineRule="auto"/>
              <w:rPr>
                <w:rFonts w:ascii="Arial"/>
                <w:sz w:val="21"/>
              </w:rPr>
            </w:pPr>
          </w:p>
          <w:p w14:paraId="260FD937">
            <w:pPr>
              <w:spacing w:line="268" w:lineRule="auto"/>
              <w:rPr>
                <w:rFonts w:ascii="Arial"/>
                <w:sz w:val="21"/>
              </w:rPr>
            </w:pPr>
          </w:p>
          <w:p w14:paraId="65B58916">
            <w:pPr>
              <w:pStyle w:val="7"/>
              <w:spacing w:before="78" w:line="237" w:lineRule="auto"/>
              <w:ind w:left="188"/>
            </w:pPr>
            <w:r>
              <w:t>5</w:t>
            </w:r>
          </w:p>
        </w:tc>
        <w:tc>
          <w:tcPr>
            <w:tcW w:w="3978" w:type="dxa"/>
            <w:vAlign w:val="top"/>
          </w:tcPr>
          <w:p w14:paraId="42678875">
            <w:pPr>
              <w:spacing w:before="63" w:line="2906" w:lineRule="exact"/>
              <w:ind w:firstLine="53"/>
            </w:pPr>
            <w:r>
              <w:rPr>
                <w:position w:val="-58"/>
              </w:rPr>
              <w:drawing>
                <wp:inline distT="0" distB="0" distL="0" distR="0">
                  <wp:extent cx="2446655" cy="1845310"/>
                  <wp:effectExtent l="0" t="0" r="0" b="0"/>
                  <wp:docPr id="394" name="IM 394"/>
                  <wp:cNvGraphicFramePr/>
                  <a:graphic xmlns:a="http://schemas.openxmlformats.org/drawingml/2006/main">
                    <a:graphicData uri="http://schemas.openxmlformats.org/drawingml/2006/picture">
                      <pic:pic xmlns:pic="http://schemas.openxmlformats.org/drawingml/2006/picture">
                        <pic:nvPicPr>
                          <pic:cNvPr id="394" name="IM 394"/>
                          <pic:cNvPicPr/>
                        </pic:nvPicPr>
                        <pic:blipFill>
                          <a:blip r:embed="rId508"/>
                          <a:stretch>
                            <a:fillRect/>
                          </a:stretch>
                        </pic:blipFill>
                        <pic:spPr>
                          <a:xfrm>
                            <a:off x="0" y="0"/>
                            <a:ext cx="2447289" cy="1845310"/>
                          </a:xfrm>
                          <a:prstGeom prst="rect">
                            <a:avLst/>
                          </a:prstGeom>
                        </pic:spPr>
                      </pic:pic>
                    </a:graphicData>
                  </a:graphic>
                </wp:inline>
              </w:drawing>
            </w:r>
          </w:p>
        </w:tc>
        <w:tc>
          <w:tcPr>
            <w:tcW w:w="3994" w:type="dxa"/>
            <w:gridSpan w:val="2"/>
            <w:tcBorders>
              <w:right w:val="single" w:color="000000" w:sz="4" w:space="0"/>
            </w:tcBorders>
            <w:vAlign w:val="top"/>
          </w:tcPr>
          <w:p w14:paraId="44142D15">
            <w:pPr>
              <w:spacing w:line="64" w:lineRule="exact"/>
              <w:ind w:firstLine="3954"/>
            </w:pPr>
            <w:r>
              <w:rPr>
                <w:position w:val="-1"/>
              </w:rPr>
              <w:pict>
                <v:group id="_x0000_s1576" o:spid="_x0000_s1576" o:spt="203" style="height:3.4pt;width:1.45pt;" coordsize="29,68">
                  <o:lock v:ext="edit"/>
                  <v:shape id="_x0000_s1577" o:spid="_x0000_s1577" style="position:absolute;left:14;top:0;height:68;width:15;" fillcolor="#20507B" filled="t" stroked="f" coordsize="15,68" path="m0,67l14,67,14,0,0,0,0,67xe">
                    <v:path/>
                    <v:fill on="t" focussize="0,0"/>
                    <v:stroke on="f"/>
                    <v:imagedata o:title=""/>
                    <o:lock v:ext="edit"/>
                  </v:shape>
                  <v:shape id="_x0000_s1578" o:spid="_x0000_s1578" style="position:absolute;left:0;top:0;height:68;width:15;" fillcolor="#1C456A" filled="t" stroked="f" coordsize="15,68" path="m0,67l14,67,14,0,0,0,0,67xe">
                    <v:path/>
                    <v:fill on="t" focussize="0,0"/>
                    <v:stroke on="f"/>
                    <v:imagedata o:title=""/>
                    <o:lock v:ext="edit"/>
                  </v:shape>
                  <w10:wrap type="none"/>
                  <w10:anchorlock/>
                </v:group>
              </w:pict>
            </w:r>
          </w:p>
          <w:p w14:paraId="7D84850B">
            <w:pPr>
              <w:spacing w:before="17" w:line="2868" w:lineRule="exact"/>
              <w:ind w:firstLine="80"/>
            </w:pPr>
            <w:r>
              <w:rPr>
                <w:position w:val="-57"/>
              </w:rPr>
              <w:drawing>
                <wp:inline distT="0" distB="0" distL="0" distR="0">
                  <wp:extent cx="2414905" cy="1820545"/>
                  <wp:effectExtent l="0" t="0" r="0" b="0"/>
                  <wp:docPr id="396" name="IM 396"/>
                  <wp:cNvGraphicFramePr/>
                  <a:graphic xmlns:a="http://schemas.openxmlformats.org/drawingml/2006/main">
                    <a:graphicData uri="http://schemas.openxmlformats.org/drawingml/2006/picture">
                      <pic:pic xmlns:pic="http://schemas.openxmlformats.org/drawingml/2006/picture">
                        <pic:nvPicPr>
                          <pic:cNvPr id="396" name="IM 396"/>
                          <pic:cNvPicPr/>
                        </pic:nvPicPr>
                        <pic:blipFill>
                          <a:blip r:embed="rId509"/>
                          <a:stretch>
                            <a:fillRect/>
                          </a:stretch>
                        </pic:blipFill>
                        <pic:spPr>
                          <a:xfrm>
                            <a:off x="0" y="0"/>
                            <a:ext cx="2415539" cy="1821179"/>
                          </a:xfrm>
                          <a:prstGeom prst="rect">
                            <a:avLst/>
                          </a:prstGeom>
                        </pic:spPr>
                      </pic:pic>
                    </a:graphicData>
                  </a:graphic>
                </wp:inline>
              </w:drawing>
            </w:r>
          </w:p>
        </w:tc>
      </w:tr>
      <w:tr w14:paraId="4068B7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5" w:hRule="atLeast"/>
        </w:trPr>
        <w:tc>
          <w:tcPr>
            <w:tcW w:w="235" w:type="dxa"/>
            <w:vMerge w:val="continue"/>
            <w:tcBorders>
              <w:top w:val="nil"/>
              <w:left w:val="single" w:color="1C456A" w:sz="4" w:space="0"/>
              <w:bottom w:val="single" w:color="1C456A" w:sz="4" w:space="0"/>
              <w:right w:val="nil"/>
            </w:tcBorders>
            <w:vAlign w:val="top"/>
          </w:tcPr>
          <w:p w14:paraId="5C028D29">
            <w:pPr>
              <w:rPr>
                <w:rFonts w:ascii="Arial"/>
                <w:sz w:val="21"/>
              </w:rPr>
            </w:pPr>
          </w:p>
        </w:tc>
        <w:tc>
          <w:tcPr>
            <w:tcW w:w="683" w:type="dxa"/>
            <w:vMerge w:val="continue"/>
            <w:tcBorders>
              <w:top w:val="nil"/>
              <w:left w:val="nil"/>
              <w:bottom w:val="single" w:color="1C456A" w:sz="4" w:space="0"/>
            </w:tcBorders>
            <w:vAlign w:val="top"/>
          </w:tcPr>
          <w:p w14:paraId="11F873CC">
            <w:pPr>
              <w:rPr>
                <w:rFonts w:ascii="Arial"/>
                <w:sz w:val="21"/>
              </w:rPr>
            </w:pPr>
          </w:p>
        </w:tc>
        <w:tc>
          <w:tcPr>
            <w:tcW w:w="6456" w:type="dxa"/>
            <w:gridSpan w:val="2"/>
            <w:tcBorders>
              <w:bottom w:val="single" w:color="5B9BD5" w:sz="4" w:space="0"/>
              <w:right w:val="nil"/>
            </w:tcBorders>
            <w:vAlign w:val="top"/>
          </w:tcPr>
          <w:p w14:paraId="4F935DB5">
            <w:pPr>
              <w:pStyle w:val="7"/>
              <w:spacing w:before="102" w:line="217" w:lineRule="auto"/>
              <w:ind w:left="3010"/>
            </w:pPr>
            <w:r>
              <w:rPr>
                <w:spacing w:val="-22"/>
              </w:rPr>
              <w:t>井框（盖）安装施工</w:t>
            </w:r>
          </w:p>
        </w:tc>
        <w:tc>
          <w:tcPr>
            <w:tcW w:w="1516" w:type="dxa"/>
            <w:tcBorders>
              <w:left w:val="nil"/>
              <w:bottom w:val="single" w:color="5B9BD5" w:sz="4" w:space="0"/>
              <w:right w:val="single" w:color="5B9BD5" w:sz="4" w:space="0"/>
            </w:tcBorders>
            <w:vAlign w:val="top"/>
          </w:tcPr>
          <w:p w14:paraId="5AAAE06C">
            <w:pPr>
              <w:spacing w:line="67" w:lineRule="exact"/>
              <w:ind w:firstLine="1478"/>
            </w:pPr>
            <w:r>
              <w:pict>
                <v:shape id="_x0000_s1579" o:spid="_x0000_s1579" style="position:absolute;left:0pt;margin-left:73.95pt;margin-top:31.3pt;height:0.75pt;width:2.2pt;mso-position-horizontal-relative:page;mso-position-vertical-relative:page;z-index:251755520;mso-width-relative:page;mso-height-relative:page;" fillcolor="#5B9BD5" filled="t" stroked="f" coordsize="44,15" path="m0,14l43,14,43,0,0,0,0,14xe">
                  <v:path/>
                  <v:fill on="t" focussize="0,0"/>
                  <v:stroke on="f"/>
                  <v:imagedata o:title=""/>
                  <o:lock v:ext="edit"/>
                </v:shape>
              </w:pict>
            </w:r>
            <w:r>
              <w:rPr>
                <w:position w:val="-1"/>
              </w:rPr>
              <w:pict>
                <v:group id="_x0000_s1580" o:spid="_x0000_s1580" o:spt="203" style="height:3.4pt;width:1.45pt;" coordsize="29,68">
                  <o:lock v:ext="edit"/>
                  <v:shape id="_x0000_s1581" o:spid="_x0000_s1581" style="position:absolute;left:14;top:0;height:68;width:15;" fillcolor="#20507B" filled="t" stroked="f" coordsize="15,68" path="m0,67l14,67,14,0,0,0,0,67xe">
                    <v:path/>
                    <v:fill on="t" focussize="0,0"/>
                    <v:stroke on="f"/>
                    <v:imagedata o:title=""/>
                    <o:lock v:ext="edit"/>
                  </v:shape>
                  <v:shape id="_x0000_s1582" o:spid="_x0000_s1582" style="position:absolute;left:0;top:0;height:68;width:15;" fillcolor="#1C456A" filled="t" stroked="f" coordsize="15,68" path="m0,67l14,67,14,0,0,0,0,67xe">
                    <v:path/>
                    <v:fill on="t" focussize="0,0"/>
                    <v:stroke on="f"/>
                    <v:imagedata o:title=""/>
                    <o:lock v:ext="edit"/>
                  </v:shape>
                  <w10:wrap type="none"/>
                  <w10:anchorlock/>
                </v:group>
              </w:pict>
            </w:r>
          </w:p>
        </w:tc>
      </w:tr>
    </w:tbl>
    <w:p w14:paraId="58018B16">
      <w:pPr>
        <w:pStyle w:val="2"/>
        <w:spacing w:before="80" w:line="219" w:lineRule="auto"/>
        <w:ind w:left="1987"/>
        <w:outlineLvl w:val="2"/>
        <w:rPr>
          <w:sz w:val="28"/>
          <w:szCs w:val="28"/>
        </w:rPr>
      </w:pPr>
      <w:bookmarkStart w:id="39" w:name="bookmark39"/>
      <w:bookmarkEnd w:id="39"/>
      <w:r>
        <w:rPr>
          <w:b/>
          <w:bCs/>
          <w:spacing w:val="-22"/>
          <w:sz w:val="28"/>
          <w:szCs w:val="28"/>
        </w:rPr>
        <w:t>九、水压试验</w:t>
      </w:r>
    </w:p>
    <w:p w14:paraId="044D1717">
      <w:pPr>
        <w:spacing w:line="219" w:lineRule="auto"/>
        <w:rPr>
          <w:sz w:val="28"/>
          <w:szCs w:val="28"/>
        </w:rPr>
        <w:sectPr>
          <w:footerReference r:id="rId59" w:type="default"/>
          <w:pgSz w:w="11907" w:h="16839"/>
          <w:pgMar w:top="954" w:right="4" w:bottom="1038" w:left="0" w:header="499" w:footer="357" w:gutter="0"/>
          <w:pgBorders>
            <w:top w:val="none" w:sz="0" w:space="0"/>
            <w:left w:val="none" w:sz="0" w:space="0"/>
            <w:bottom w:val="none" w:sz="0" w:space="0"/>
            <w:right w:val="none" w:sz="0" w:space="0"/>
          </w:pgBorders>
          <w:cols w:space="720" w:num="1"/>
        </w:sectPr>
      </w:pPr>
    </w:p>
    <w:p w14:paraId="3087FA50">
      <w:pPr>
        <w:spacing w:line="249" w:lineRule="auto"/>
        <w:rPr>
          <w:rFonts w:ascii="Arial"/>
          <w:sz w:val="21"/>
        </w:rPr>
      </w:pPr>
    </w:p>
    <w:p w14:paraId="7291DEBD">
      <w:pPr>
        <w:pStyle w:val="2"/>
        <w:spacing w:before="78" w:line="308" w:lineRule="auto"/>
        <w:ind w:left="1456" w:right="1409" w:firstLine="450"/>
        <w:jc w:val="both"/>
        <w:rPr>
          <w:sz w:val="24"/>
          <w:szCs w:val="24"/>
        </w:rPr>
      </w:pPr>
      <w:r>
        <w:rPr>
          <w:spacing w:val="-20"/>
          <w:sz w:val="24"/>
          <w:szCs w:val="24"/>
        </w:rPr>
        <w:t>管道试压是管道工程中不可无视的一个环节，管道试压常采用水压试验。根据场地实际条件，可利用的试压水源，组成管道系统的配件和附件〔阀门、井室〕的数量，管道各部位的高差情况等条件决定试压的长度。</w:t>
      </w:r>
    </w:p>
    <w:p w14:paraId="43953052">
      <w:pPr>
        <w:pStyle w:val="2"/>
        <w:spacing w:line="217" w:lineRule="auto"/>
        <w:ind w:left="1903"/>
        <w:rPr>
          <w:sz w:val="24"/>
          <w:szCs w:val="24"/>
        </w:rPr>
      </w:pPr>
      <w:r>
        <w:rPr>
          <w:spacing w:val="-21"/>
          <w:sz w:val="24"/>
          <w:szCs w:val="24"/>
        </w:rPr>
        <w:t>1、管道水压试验前必须具备的条件</w:t>
      </w:r>
    </w:p>
    <w:p w14:paraId="5373FF29">
      <w:pPr>
        <w:pStyle w:val="2"/>
        <w:spacing w:before="118" w:line="216" w:lineRule="auto"/>
        <w:ind w:left="1886"/>
        <w:rPr>
          <w:sz w:val="24"/>
          <w:szCs w:val="24"/>
        </w:rPr>
      </w:pPr>
      <w:r>
        <w:rPr>
          <w:spacing w:val="-21"/>
          <w:sz w:val="24"/>
          <w:szCs w:val="24"/>
        </w:rPr>
        <w:t>a、水压试验前必须对管道节点、接口、支墩等及其他附属构筑物的外观进行认真的检查。</w:t>
      </w:r>
    </w:p>
    <w:p w14:paraId="5D9619EC">
      <w:pPr>
        <w:pStyle w:val="2"/>
        <w:spacing w:before="117" w:line="216" w:lineRule="auto"/>
        <w:ind w:left="1882"/>
        <w:rPr>
          <w:sz w:val="24"/>
          <w:szCs w:val="24"/>
        </w:rPr>
      </w:pPr>
      <w:r>
        <w:rPr>
          <w:spacing w:val="-20"/>
          <w:sz w:val="24"/>
          <w:szCs w:val="24"/>
        </w:rPr>
        <w:t>b、对管道的排气系统〔排气阀〕进行检查和落实。</w:t>
      </w:r>
    </w:p>
    <w:p w14:paraId="10D61413">
      <w:pPr>
        <w:pStyle w:val="2"/>
        <w:spacing w:before="120" w:line="216" w:lineRule="auto"/>
        <w:ind w:left="1890"/>
        <w:rPr>
          <w:sz w:val="24"/>
          <w:szCs w:val="24"/>
        </w:rPr>
      </w:pPr>
      <w:r>
        <w:rPr>
          <w:spacing w:val="-21"/>
          <w:sz w:val="24"/>
          <w:szCs w:val="24"/>
        </w:rPr>
        <w:t>c、落实水源、试压设备、放水及量测设备是否准备妥当和齐全，工作状况是否良好。</w:t>
      </w:r>
    </w:p>
    <w:p w14:paraId="2F5ABF23">
      <w:pPr>
        <w:pStyle w:val="2"/>
        <w:spacing w:before="120" w:line="218" w:lineRule="auto"/>
        <w:ind w:left="1890"/>
        <w:rPr>
          <w:sz w:val="24"/>
          <w:szCs w:val="24"/>
        </w:rPr>
      </w:pPr>
      <w:r>
        <w:rPr>
          <w:spacing w:val="-18"/>
          <w:sz w:val="24"/>
          <w:szCs w:val="24"/>
        </w:rPr>
        <w:t>d、准备试压的管段其管顶以上的回填土的厚度应不少于0.5M</w:t>
      </w:r>
      <w:r>
        <w:rPr>
          <w:spacing w:val="-19"/>
          <w:sz w:val="24"/>
          <w:szCs w:val="24"/>
        </w:rPr>
        <w:t>。〔接口处不填〕</w:t>
      </w:r>
    </w:p>
    <w:p w14:paraId="4841DCAA">
      <w:pPr>
        <w:pStyle w:val="2"/>
        <w:spacing w:before="115" w:line="217" w:lineRule="auto"/>
        <w:ind w:left="1891"/>
        <w:rPr>
          <w:sz w:val="24"/>
          <w:szCs w:val="24"/>
        </w:rPr>
      </w:pPr>
      <w:r>
        <w:rPr>
          <w:spacing w:val="-21"/>
          <w:sz w:val="24"/>
          <w:szCs w:val="24"/>
        </w:rPr>
        <w:t>e、试压管段的所有敞口应堵严，不能有漏水现象。</w:t>
      </w:r>
    </w:p>
    <w:p w14:paraId="11186CCF">
      <w:pPr>
        <w:pStyle w:val="2"/>
        <w:spacing w:before="118" w:line="216" w:lineRule="auto"/>
        <w:ind w:left="1889"/>
        <w:rPr>
          <w:sz w:val="24"/>
          <w:szCs w:val="24"/>
        </w:rPr>
      </w:pPr>
      <w:r>
        <w:rPr>
          <w:spacing w:val="-20"/>
          <w:sz w:val="24"/>
          <w:szCs w:val="24"/>
        </w:rPr>
        <w:t>f、试压管段不得采用闸阀作试压堵板。</w:t>
      </w:r>
    </w:p>
    <w:p w14:paraId="3B2CBE8E">
      <w:pPr>
        <w:pStyle w:val="2"/>
        <w:spacing w:before="121" w:line="218" w:lineRule="auto"/>
        <w:ind w:left="1888"/>
        <w:rPr>
          <w:sz w:val="24"/>
          <w:szCs w:val="24"/>
        </w:rPr>
      </w:pPr>
      <w:r>
        <w:rPr>
          <w:spacing w:val="-19"/>
          <w:sz w:val="24"/>
          <w:szCs w:val="24"/>
        </w:rPr>
        <w:t>2、对试压管段的后背的要求</w:t>
      </w:r>
    </w:p>
    <w:p w14:paraId="55E0B3A2">
      <w:pPr>
        <w:pStyle w:val="2"/>
        <w:spacing w:before="114" w:line="308" w:lineRule="auto"/>
        <w:ind w:left="1458" w:right="1409" w:firstLine="436"/>
        <w:rPr>
          <w:sz w:val="24"/>
          <w:szCs w:val="24"/>
        </w:rPr>
      </w:pPr>
      <w:r>
        <w:rPr>
          <w:spacing w:val="-20"/>
          <w:sz w:val="24"/>
          <w:szCs w:val="24"/>
        </w:rPr>
        <w:t>进行水压试验时，在水的压力的作用下，管端将产生巨大的推力，该推力全部作用在试压段的后背上，如后背不巩固，管段将产生很大的纵向位移，导致接口拔出，甚至于管身产生环</w:t>
      </w:r>
      <w:r>
        <w:rPr>
          <w:spacing w:val="-22"/>
          <w:sz w:val="24"/>
          <w:szCs w:val="24"/>
        </w:rPr>
        <w:t>向开裂，极易引起平安事故，必须加以重视。</w:t>
      </w:r>
    </w:p>
    <w:p w14:paraId="0E193125">
      <w:pPr>
        <w:pStyle w:val="2"/>
        <w:spacing w:before="2" w:line="261" w:lineRule="auto"/>
        <w:ind w:left="1459" w:right="1412" w:firstLine="427"/>
        <w:rPr>
          <w:sz w:val="24"/>
          <w:szCs w:val="24"/>
        </w:rPr>
      </w:pPr>
      <w:r>
        <w:rPr>
          <w:spacing w:val="-22"/>
          <w:sz w:val="24"/>
          <w:szCs w:val="24"/>
        </w:rPr>
        <w:t>a、试压后背必须设在原状土上，当土质松软时，应采取混凝土、钢筋混凝土墙、板柱或换</w:t>
      </w:r>
      <w:r>
        <w:rPr>
          <w:spacing w:val="-21"/>
          <w:sz w:val="24"/>
          <w:szCs w:val="24"/>
        </w:rPr>
        <w:t>土夯实等加固措施，以保证后背稳定。</w:t>
      </w:r>
    </w:p>
    <w:p w14:paraId="7514BDDD">
      <w:pPr>
        <w:pStyle w:val="2"/>
        <w:spacing w:before="121" w:line="216" w:lineRule="auto"/>
        <w:ind w:left="1882"/>
        <w:rPr>
          <w:sz w:val="24"/>
          <w:szCs w:val="24"/>
        </w:rPr>
      </w:pPr>
      <w:r>
        <w:rPr>
          <w:spacing w:val="-21"/>
          <w:sz w:val="24"/>
          <w:szCs w:val="24"/>
        </w:rPr>
        <w:t>b、试压后背墙必须平直与管道轴线垂直。</w:t>
      </w:r>
    </w:p>
    <w:p w14:paraId="5DBB6048">
      <w:pPr>
        <w:pStyle w:val="2"/>
        <w:spacing w:before="118" w:line="215" w:lineRule="auto"/>
        <w:ind w:left="1890"/>
        <w:rPr>
          <w:sz w:val="24"/>
          <w:szCs w:val="24"/>
        </w:rPr>
      </w:pPr>
      <w:r>
        <w:rPr>
          <w:spacing w:val="-18"/>
          <w:sz w:val="24"/>
          <w:szCs w:val="24"/>
        </w:rPr>
        <w:t>c、用天然土作试压后背时，要保存7—10M的沟槽原状</w:t>
      </w:r>
      <w:r>
        <w:rPr>
          <w:spacing w:val="-19"/>
          <w:sz w:val="24"/>
          <w:szCs w:val="24"/>
        </w:rPr>
        <w:t>土不开挖。</w:t>
      </w:r>
    </w:p>
    <w:p w14:paraId="0F56DD30">
      <w:pPr>
        <w:pStyle w:val="2"/>
        <w:spacing w:before="120" w:line="263" w:lineRule="auto"/>
        <w:ind w:left="1470" w:right="1412" w:firstLine="420"/>
        <w:rPr>
          <w:sz w:val="24"/>
          <w:szCs w:val="24"/>
        </w:rPr>
      </w:pPr>
      <w:r>
        <w:rPr>
          <w:spacing w:val="-22"/>
          <w:sz w:val="24"/>
          <w:szCs w:val="24"/>
        </w:rPr>
        <w:t>d、后背支撑的形式：用工字钢纵横交错排列紧贴于土壁上，用千斤顶支撑在堵头，千</w:t>
      </w:r>
      <w:r>
        <w:rPr>
          <w:spacing w:val="-23"/>
          <w:sz w:val="24"/>
          <w:szCs w:val="24"/>
        </w:rPr>
        <w:t>斤顶</w:t>
      </w:r>
      <w:r>
        <w:rPr>
          <w:spacing w:val="-22"/>
          <w:sz w:val="24"/>
          <w:szCs w:val="24"/>
        </w:rPr>
        <w:t>的数量可根据顶力的大小，选用一个或多个千斤顶。</w:t>
      </w:r>
    </w:p>
    <w:p w14:paraId="51D5C1F9">
      <w:pPr>
        <w:pStyle w:val="2"/>
        <w:spacing w:before="116" w:line="220" w:lineRule="auto"/>
        <w:ind w:left="1890"/>
        <w:rPr>
          <w:sz w:val="24"/>
          <w:szCs w:val="24"/>
        </w:rPr>
      </w:pPr>
      <w:r>
        <w:rPr>
          <w:spacing w:val="-18"/>
          <w:sz w:val="24"/>
          <w:szCs w:val="24"/>
        </w:rPr>
        <w:t>3、试压装置</w:t>
      </w:r>
    </w:p>
    <w:tbl>
      <w:tblPr>
        <w:tblStyle w:val="6"/>
        <w:tblW w:w="8549" w:type="dxa"/>
        <w:tblInd w:w="1678" w:type="dxa"/>
        <w:tblBorders>
          <w:top w:val="single" w:color="5B9BD5" w:sz="4" w:space="0"/>
          <w:left w:val="single" w:color="5B9BD5" w:sz="4" w:space="0"/>
          <w:bottom w:val="single" w:color="5B9BD5" w:sz="4" w:space="0"/>
          <w:right w:val="single" w:color="5B9BD5" w:sz="4" w:space="0"/>
          <w:insideH w:val="single" w:color="5B9BD5" w:sz="4" w:space="0"/>
          <w:insideV w:val="single" w:color="5B9BD5" w:sz="4" w:space="0"/>
        </w:tblBorders>
        <w:tblLayout w:type="fixed"/>
        <w:tblCellMar>
          <w:top w:w="0" w:type="dxa"/>
          <w:left w:w="0" w:type="dxa"/>
          <w:bottom w:w="0" w:type="dxa"/>
          <w:right w:w="0" w:type="dxa"/>
        </w:tblCellMar>
      </w:tblPr>
      <w:tblGrid>
        <w:gridCol w:w="87"/>
        <w:gridCol w:w="4187"/>
        <w:gridCol w:w="4275"/>
      </w:tblGrid>
      <w:tr w14:paraId="0615BB8A">
        <w:tblPrEx>
          <w:tblBorders>
            <w:top w:val="single" w:color="5B9BD5" w:sz="4" w:space="0"/>
            <w:left w:val="single" w:color="5B9BD5" w:sz="4" w:space="0"/>
            <w:bottom w:val="single" w:color="5B9BD5" w:sz="4" w:space="0"/>
            <w:right w:val="single" w:color="5B9BD5" w:sz="4" w:space="0"/>
            <w:insideH w:val="single" w:color="5B9BD5" w:sz="4" w:space="0"/>
            <w:insideV w:val="single" w:color="5B9BD5" w:sz="4" w:space="0"/>
          </w:tblBorders>
        </w:tblPrEx>
        <w:trPr>
          <w:trHeight w:val="620" w:hRule="atLeast"/>
        </w:trPr>
        <w:tc>
          <w:tcPr>
            <w:tcW w:w="87" w:type="dxa"/>
            <w:tcBorders>
              <w:bottom w:val="single" w:color="000000" w:sz="2" w:space="0"/>
              <w:right w:val="nil"/>
            </w:tcBorders>
            <w:vAlign w:val="top"/>
          </w:tcPr>
          <w:p w14:paraId="435A8B07">
            <w:pPr>
              <w:rPr>
                <w:rFonts w:ascii="Arial"/>
                <w:sz w:val="21"/>
              </w:rPr>
            </w:pPr>
            <w:r>
              <w:pict>
                <v:shape id="_x0000_s1583" o:spid="_x0000_s1583" style="position:absolute;left:0pt;margin-left:-0.25pt;margin-top:0pt;height:0.75pt;width:2.2pt;mso-position-horizontal-relative:page;mso-position-vertical-relative:page;z-index:251758592;mso-width-relative:page;mso-height-relative:page;" fillcolor="#5B9BD5" filled="t" stroked="f" coordsize="44,15" path="m0,14l43,14,43,0,0,0,0,14xe">
                  <v:path/>
                  <v:fill on="t" focussize="0,0"/>
                  <v:stroke on="f"/>
                  <v:imagedata o:title=""/>
                  <o:lock v:ext="edit"/>
                </v:shape>
              </w:pict>
            </w:r>
          </w:p>
        </w:tc>
        <w:tc>
          <w:tcPr>
            <w:tcW w:w="8462" w:type="dxa"/>
            <w:gridSpan w:val="2"/>
            <w:tcBorders>
              <w:left w:val="nil"/>
              <w:bottom w:val="single" w:color="000000" w:sz="2" w:space="0"/>
            </w:tcBorders>
            <w:shd w:val="clear" w:color="auto" w:fill="DEEAF6"/>
            <w:vAlign w:val="top"/>
          </w:tcPr>
          <w:p w14:paraId="48BB0CEF">
            <w:pPr>
              <w:pStyle w:val="7"/>
              <w:spacing w:before="129" w:line="219" w:lineRule="auto"/>
              <w:ind w:left="3328"/>
            </w:pPr>
            <w:r>
              <w:rPr>
                <w:b/>
                <w:bCs/>
                <w:spacing w:val="-21"/>
              </w:rPr>
              <w:t>供水管道水压试验</w:t>
            </w:r>
          </w:p>
        </w:tc>
      </w:tr>
      <w:tr w14:paraId="39560B6C">
        <w:tblPrEx>
          <w:tblBorders>
            <w:top w:val="single" w:color="5B9BD5" w:sz="4" w:space="0"/>
            <w:left w:val="single" w:color="5B9BD5" w:sz="4" w:space="0"/>
            <w:bottom w:val="single" w:color="5B9BD5" w:sz="4" w:space="0"/>
            <w:right w:val="single" w:color="5B9BD5" w:sz="4" w:space="0"/>
            <w:insideH w:val="single" w:color="5B9BD5" w:sz="4" w:space="0"/>
            <w:insideV w:val="single" w:color="5B9BD5" w:sz="4" w:space="0"/>
          </w:tblBorders>
          <w:tblCellMar>
            <w:top w:w="0" w:type="dxa"/>
            <w:left w:w="0" w:type="dxa"/>
            <w:bottom w:w="0" w:type="dxa"/>
            <w:right w:w="0" w:type="dxa"/>
          </w:tblCellMar>
        </w:tblPrEx>
        <w:trPr>
          <w:trHeight w:val="3330" w:hRule="atLeast"/>
        </w:trPr>
        <w:tc>
          <w:tcPr>
            <w:tcW w:w="4274" w:type="dxa"/>
            <w:gridSpan w:val="2"/>
            <w:tcBorders>
              <w:top w:val="single" w:color="000000" w:sz="2" w:space="0"/>
              <w:left w:val="single" w:color="1C456A" w:sz="4" w:space="0"/>
              <w:bottom w:val="single" w:color="1C456A" w:sz="4" w:space="0"/>
              <w:right w:val="single" w:color="000000" w:sz="2" w:space="0"/>
            </w:tcBorders>
            <w:vAlign w:val="top"/>
          </w:tcPr>
          <w:p w14:paraId="7068CC7D">
            <w:pPr>
              <w:spacing w:before="56" w:line="3024" w:lineRule="exact"/>
              <w:ind w:firstLine="121"/>
            </w:pPr>
            <w:r>
              <w:pict>
                <v:shape id="_x0000_s1584" o:spid="_x0000_s1584" style="position:absolute;left:0pt;margin-left:-0.2pt;margin-top:166.5pt;height:0.75pt;width:2.2pt;mso-position-horizontal-relative:page;mso-position-vertical-relative:page;z-index:251757568;mso-width-relative:page;mso-height-relative:page;" fillcolor="#5B9BD5" filled="t" stroked="f" coordsize="44,15" path="m0,14l43,14,43,0,0,0,0,14xe">
                  <v:path/>
                  <v:fill on="t" focussize="0,0"/>
                  <v:stroke on="f"/>
                  <v:imagedata o:title=""/>
                  <o:lock v:ext="edit"/>
                </v:shape>
              </w:pict>
            </w:r>
            <w:r>
              <w:rPr>
                <w:position w:val="-60"/>
              </w:rPr>
              <w:drawing>
                <wp:inline distT="0" distB="0" distL="0" distR="0">
                  <wp:extent cx="2561590" cy="1919605"/>
                  <wp:effectExtent l="0" t="0" r="0" b="0"/>
                  <wp:docPr id="400" name="IM 400"/>
                  <wp:cNvGraphicFramePr/>
                  <a:graphic xmlns:a="http://schemas.openxmlformats.org/drawingml/2006/main">
                    <a:graphicData uri="http://schemas.openxmlformats.org/drawingml/2006/picture">
                      <pic:pic xmlns:pic="http://schemas.openxmlformats.org/drawingml/2006/picture">
                        <pic:nvPicPr>
                          <pic:cNvPr id="400" name="IM 400"/>
                          <pic:cNvPicPr/>
                        </pic:nvPicPr>
                        <pic:blipFill>
                          <a:blip r:embed="rId510"/>
                          <a:stretch>
                            <a:fillRect/>
                          </a:stretch>
                        </pic:blipFill>
                        <pic:spPr>
                          <a:xfrm>
                            <a:off x="0" y="0"/>
                            <a:ext cx="2561590" cy="1920239"/>
                          </a:xfrm>
                          <a:prstGeom prst="rect">
                            <a:avLst/>
                          </a:prstGeom>
                        </pic:spPr>
                      </pic:pic>
                    </a:graphicData>
                  </a:graphic>
                </wp:inline>
              </w:drawing>
            </w:r>
          </w:p>
        </w:tc>
        <w:tc>
          <w:tcPr>
            <w:tcW w:w="4275" w:type="dxa"/>
            <w:tcBorders>
              <w:top w:val="single" w:color="000000" w:sz="2" w:space="0"/>
              <w:left w:val="single" w:color="000000" w:sz="2" w:space="0"/>
            </w:tcBorders>
            <w:vAlign w:val="top"/>
          </w:tcPr>
          <w:p w14:paraId="3E88A3B0">
            <w:pPr>
              <w:spacing w:before="78" w:line="2981" w:lineRule="exact"/>
              <w:ind w:firstLine="110"/>
            </w:pPr>
            <w:r>
              <w:rPr>
                <w:position w:val="-59"/>
              </w:rPr>
              <w:drawing>
                <wp:inline distT="0" distB="0" distL="0" distR="0">
                  <wp:extent cx="2561590" cy="1892935"/>
                  <wp:effectExtent l="0" t="0" r="0" b="0"/>
                  <wp:docPr id="402" name="IM 402"/>
                  <wp:cNvGraphicFramePr/>
                  <a:graphic xmlns:a="http://schemas.openxmlformats.org/drawingml/2006/main">
                    <a:graphicData uri="http://schemas.openxmlformats.org/drawingml/2006/picture">
                      <pic:pic xmlns:pic="http://schemas.openxmlformats.org/drawingml/2006/picture">
                        <pic:nvPicPr>
                          <pic:cNvPr id="402" name="IM 402"/>
                          <pic:cNvPicPr/>
                        </pic:nvPicPr>
                        <pic:blipFill>
                          <a:blip r:embed="rId511"/>
                          <a:stretch>
                            <a:fillRect/>
                          </a:stretch>
                        </pic:blipFill>
                        <pic:spPr>
                          <a:xfrm>
                            <a:off x="0" y="0"/>
                            <a:ext cx="2561590" cy="1892935"/>
                          </a:xfrm>
                          <a:prstGeom prst="rect">
                            <a:avLst/>
                          </a:prstGeom>
                        </pic:spPr>
                      </pic:pic>
                    </a:graphicData>
                  </a:graphic>
                </wp:inline>
              </w:drawing>
            </w:r>
          </w:p>
        </w:tc>
      </w:tr>
    </w:tbl>
    <w:p w14:paraId="6C471A27">
      <w:pPr>
        <w:pStyle w:val="2"/>
        <w:spacing w:before="117" w:line="277" w:lineRule="auto"/>
        <w:ind w:left="1456" w:right="1412" w:firstLine="430"/>
        <w:rPr>
          <w:sz w:val="24"/>
          <w:szCs w:val="24"/>
        </w:rPr>
      </w:pPr>
      <w:r>
        <w:rPr>
          <w:spacing w:val="-21"/>
          <w:sz w:val="24"/>
          <w:szCs w:val="24"/>
        </w:rPr>
        <w:t>a、压力表：弹簧压力表的精度不能低于1.5级，即</w:t>
      </w:r>
      <w:r>
        <w:rPr>
          <w:spacing w:val="-22"/>
          <w:sz w:val="24"/>
          <w:szCs w:val="24"/>
        </w:rPr>
        <w:t>压力表最大允许误差不超过最高刻度的</w:t>
      </w:r>
      <w:r>
        <w:rPr>
          <w:spacing w:val="-21"/>
          <w:sz w:val="24"/>
          <w:szCs w:val="24"/>
        </w:rPr>
        <w:t>1.5%。最大量程应为试验压力的1.5倍。为方便读数，表壳的公称直径不应小于1</w:t>
      </w:r>
      <w:r>
        <w:rPr>
          <w:spacing w:val="-22"/>
          <w:sz w:val="24"/>
          <w:szCs w:val="24"/>
        </w:rPr>
        <w:t>50mm。且在使</w:t>
      </w:r>
      <w:r>
        <w:rPr>
          <w:spacing w:val="-18"/>
          <w:sz w:val="24"/>
          <w:szCs w:val="24"/>
        </w:rPr>
        <w:t>用前应校正。</w:t>
      </w:r>
    </w:p>
    <w:p w14:paraId="2F8756CF">
      <w:pPr>
        <w:pStyle w:val="2"/>
        <w:spacing w:before="118" w:line="218" w:lineRule="auto"/>
        <w:ind w:left="1882"/>
        <w:rPr>
          <w:sz w:val="24"/>
          <w:szCs w:val="24"/>
        </w:rPr>
      </w:pPr>
      <w:r>
        <w:rPr>
          <w:spacing w:val="-19"/>
          <w:sz w:val="24"/>
          <w:szCs w:val="24"/>
        </w:rPr>
        <w:t>b、加压泵：采用多级离心泵。</w:t>
      </w:r>
    </w:p>
    <w:p w14:paraId="0C5FF25E">
      <w:pPr>
        <w:pStyle w:val="2"/>
        <w:spacing w:before="118" w:line="215" w:lineRule="auto"/>
        <w:ind w:left="1890"/>
        <w:rPr>
          <w:sz w:val="24"/>
          <w:szCs w:val="24"/>
        </w:rPr>
      </w:pPr>
      <w:r>
        <w:rPr>
          <w:spacing w:val="-21"/>
          <w:sz w:val="24"/>
          <w:szCs w:val="24"/>
        </w:rPr>
        <w:t>c、加压泵、压力表应安装在试验段下游端部与管道轴线垂直的支管上。</w:t>
      </w:r>
    </w:p>
    <w:p w14:paraId="79E33082">
      <w:pPr>
        <w:spacing w:line="215" w:lineRule="auto"/>
        <w:rPr>
          <w:sz w:val="24"/>
          <w:szCs w:val="24"/>
        </w:rPr>
        <w:sectPr>
          <w:footerReference r:id="rId60" w:type="default"/>
          <w:pgSz w:w="11907" w:h="16839"/>
          <w:pgMar w:top="954" w:right="4" w:bottom="1038" w:left="0" w:header="499" w:footer="357" w:gutter="0"/>
          <w:pgBorders>
            <w:top w:val="none" w:sz="0" w:space="0"/>
            <w:left w:val="none" w:sz="0" w:space="0"/>
            <w:bottom w:val="none" w:sz="0" w:space="0"/>
            <w:right w:val="none" w:sz="0" w:space="0"/>
          </w:pgBorders>
          <w:cols w:space="720" w:num="1"/>
        </w:sectPr>
      </w:pPr>
    </w:p>
    <w:p w14:paraId="36C1C244">
      <w:pPr>
        <w:spacing w:line="249" w:lineRule="auto"/>
        <w:rPr>
          <w:rFonts w:ascii="Arial"/>
          <w:sz w:val="21"/>
        </w:rPr>
      </w:pPr>
    </w:p>
    <w:p w14:paraId="5F4AD0AC">
      <w:pPr>
        <w:pStyle w:val="2"/>
        <w:spacing w:before="78" w:line="308" w:lineRule="auto"/>
        <w:ind w:left="1460" w:right="1411" w:firstLine="430"/>
        <w:rPr>
          <w:sz w:val="24"/>
          <w:szCs w:val="24"/>
        </w:rPr>
      </w:pPr>
      <w:r>
        <w:rPr>
          <w:spacing w:val="-22"/>
          <w:sz w:val="24"/>
          <w:szCs w:val="24"/>
        </w:rPr>
        <w:t>d、试压堵板：堵板必须有足够的强度，试压过程中，堵板不能变形，与管道的接口处</w:t>
      </w:r>
      <w:r>
        <w:rPr>
          <w:spacing w:val="-23"/>
          <w:sz w:val="24"/>
          <w:szCs w:val="24"/>
        </w:rPr>
        <w:t>不能</w:t>
      </w:r>
      <w:r>
        <w:rPr>
          <w:spacing w:val="-22"/>
          <w:sz w:val="24"/>
          <w:szCs w:val="24"/>
        </w:rPr>
        <w:t>漏水。</w:t>
      </w:r>
    </w:p>
    <w:p w14:paraId="2CB9F141">
      <w:pPr>
        <w:pStyle w:val="2"/>
        <w:spacing w:line="218" w:lineRule="auto"/>
        <w:ind w:left="1884"/>
        <w:rPr>
          <w:sz w:val="24"/>
          <w:szCs w:val="24"/>
        </w:rPr>
      </w:pPr>
      <w:r>
        <w:rPr>
          <w:spacing w:val="-17"/>
          <w:sz w:val="24"/>
          <w:szCs w:val="24"/>
        </w:rPr>
        <w:t>4、试压时的要求</w:t>
      </w:r>
    </w:p>
    <w:p w14:paraId="3D892B9D">
      <w:pPr>
        <w:pStyle w:val="2"/>
        <w:spacing w:before="117" w:line="216" w:lineRule="auto"/>
        <w:ind w:left="1886"/>
        <w:rPr>
          <w:sz w:val="24"/>
          <w:szCs w:val="24"/>
        </w:rPr>
      </w:pPr>
      <w:r>
        <w:rPr>
          <w:spacing w:val="-18"/>
          <w:sz w:val="24"/>
          <w:szCs w:val="24"/>
        </w:rPr>
        <w:t>a、管道实验压力为管道特性压力+2MPa。</w:t>
      </w:r>
    </w:p>
    <w:p w14:paraId="027D8CDB">
      <w:pPr>
        <w:pStyle w:val="2"/>
        <w:spacing w:before="120" w:line="261" w:lineRule="auto"/>
        <w:ind w:left="1475" w:right="1414" w:firstLine="406"/>
        <w:rPr>
          <w:sz w:val="24"/>
          <w:szCs w:val="24"/>
        </w:rPr>
      </w:pPr>
      <w:r>
        <w:rPr>
          <w:spacing w:val="-20"/>
          <w:sz w:val="24"/>
          <w:szCs w:val="24"/>
        </w:rPr>
        <w:t>b、管道充水：管道试压前3天，向试压管道充水</w:t>
      </w:r>
      <w:r>
        <w:rPr>
          <w:spacing w:val="-21"/>
          <w:sz w:val="24"/>
          <w:szCs w:val="24"/>
        </w:rPr>
        <w:t>，充水时水自管道低端流入，并翻开排气</w:t>
      </w:r>
      <w:r>
        <w:rPr>
          <w:spacing w:val="-23"/>
          <w:sz w:val="24"/>
          <w:szCs w:val="24"/>
        </w:rPr>
        <w:t>阀，当充水至排出的水流中不带气泡且水流连续时，</w:t>
      </w:r>
    </w:p>
    <w:p w14:paraId="225732DD">
      <w:pPr>
        <w:pStyle w:val="2"/>
        <w:spacing w:before="120" w:line="217" w:lineRule="auto"/>
        <w:ind w:left="1899"/>
        <w:rPr>
          <w:sz w:val="24"/>
          <w:szCs w:val="24"/>
        </w:rPr>
      </w:pPr>
      <w:r>
        <w:rPr>
          <w:spacing w:val="-20"/>
          <w:sz w:val="24"/>
          <w:szCs w:val="24"/>
        </w:rPr>
        <w:t>关闭排气阀，停止充水。试压前管道充水浸泡的时间不少于48小时。</w:t>
      </w:r>
    </w:p>
    <w:p w14:paraId="1D4B77B9">
      <w:pPr>
        <w:pStyle w:val="2"/>
        <w:spacing w:before="114" w:line="308" w:lineRule="auto"/>
        <w:ind w:left="1457" w:right="1409" w:firstLine="433"/>
        <w:jc w:val="both"/>
        <w:rPr>
          <w:sz w:val="24"/>
          <w:szCs w:val="24"/>
        </w:rPr>
      </w:pPr>
      <w:r>
        <w:rPr>
          <w:spacing w:val="-22"/>
          <w:sz w:val="24"/>
          <w:szCs w:val="24"/>
        </w:rPr>
        <w:t>c、升压：水压试验前，应屡次进行初步升压试验方可将管道内的气体排尽，当且仅当</w:t>
      </w:r>
      <w:r>
        <w:rPr>
          <w:spacing w:val="-23"/>
          <w:sz w:val="24"/>
          <w:szCs w:val="24"/>
        </w:rPr>
        <w:t>确定</w:t>
      </w:r>
      <w:r>
        <w:rPr>
          <w:spacing w:val="-21"/>
          <w:sz w:val="24"/>
          <w:szCs w:val="24"/>
        </w:rPr>
        <w:t>管道内的气体排尽后，才能进行水压试验。出现以下3种情</w:t>
      </w:r>
      <w:r>
        <w:rPr>
          <w:spacing w:val="-22"/>
          <w:sz w:val="24"/>
          <w:szCs w:val="24"/>
        </w:rPr>
        <w:t>况说明管道内的气体未排干净，应</w:t>
      </w:r>
      <w:r>
        <w:rPr>
          <w:spacing w:val="-19"/>
          <w:sz w:val="24"/>
          <w:szCs w:val="24"/>
        </w:rPr>
        <w:t>继续排气：A、升压时，水泵不断充水，但升压很慢；B、升压时，压力表指</w:t>
      </w:r>
      <w:r>
        <w:rPr>
          <w:spacing w:val="-20"/>
          <w:sz w:val="24"/>
          <w:szCs w:val="24"/>
        </w:rPr>
        <w:t>针摆动幅度很大且</w:t>
      </w:r>
      <w:r>
        <w:rPr>
          <w:spacing w:val="-21"/>
          <w:sz w:val="24"/>
          <w:szCs w:val="24"/>
        </w:rPr>
        <w:t>读数不稳定；C、当升压至80%时，停止升压，翻开放水阀门，水柱中有“突突〞的声响</w:t>
      </w:r>
      <w:r>
        <w:rPr>
          <w:spacing w:val="-22"/>
          <w:sz w:val="24"/>
          <w:szCs w:val="24"/>
        </w:rPr>
        <w:t>并喷出</w:t>
      </w:r>
      <w:r>
        <w:rPr>
          <w:spacing w:val="-20"/>
          <w:sz w:val="24"/>
          <w:szCs w:val="24"/>
        </w:rPr>
        <w:t>许多气泡。升压时要分级升压，每次以0.2Mpa为一级，每升一级检查后背、管身及接口，当确定无异常后，才能继续升压。水压试验时，后背顶撑和管道两端严禁站人。水压试验时，严禁</w:t>
      </w:r>
      <w:r>
        <w:rPr>
          <w:spacing w:val="-22"/>
          <w:sz w:val="24"/>
          <w:szCs w:val="24"/>
        </w:rPr>
        <w:t>对管身、接口进行敲打或修补缺陷，遇有缺陷时，应作出标记，卸压后才能修补。</w:t>
      </w:r>
    </w:p>
    <w:p w14:paraId="78A36192">
      <w:pPr>
        <w:pStyle w:val="2"/>
        <w:spacing w:line="218" w:lineRule="auto"/>
        <w:ind w:left="1890"/>
        <w:rPr>
          <w:sz w:val="24"/>
          <w:szCs w:val="24"/>
        </w:rPr>
      </w:pPr>
      <w:r>
        <w:rPr>
          <w:spacing w:val="-19"/>
          <w:sz w:val="24"/>
          <w:szCs w:val="24"/>
        </w:rPr>
        <w:t>5、水压试验的要求和标准</w:t>
      </w:r>
    </w:p>
    <w:p w14:paraId="7521CB58">
      <w:pPr>
        <w:pStyle w:val="2"/>
        <w:spacing w:before="117" w:line="212" w:lineRule="auto"/>
        <w:ind w:left="1886"/>
        <w:rPr>
          <w:sz w:val="24"/>
          <w:szCs w:val="24"/>
        </w:rPr>
      </w:pPr>
      <w:r>
        <w:rPr>
          <w:spacing w:val="-17"/>
          <w:sz w:val="24"/>
          <w:szCs w:val="24"/>
        </w:rPr>
        <w:t>a、在整个试压期间，不管管段有多长，压力下降</w:t>
      </w:r>
      <w:r>
        <w:rPr>
          <w:spacing w:val="-18"/>
          <w:sz w:val="24"/>
          <w:szCs w:val="24"/>
        </w:rPr>
        <w:t>值不超过0.3Mpa。</w:t>
      </w:r>
    </w:p>
    <w:p w14:paraId="17B7B176">
      <w:pPr>
        <w:pStyle w:val="2"/>
        <w:spacing w:before="126" w:line="215" w:lineRule="auto"/>
        <w:ind w:left="1882"/>
        <w:rPr>
          <w:sz w:val="24"/>
          <w:szCs w:val="24"/>
        </w:rPr>
      </w:pPr>
      <w:r>
        <w:rPr>
          <w:spacing w:val="-20"/>
          <w:sz w:val="24"/>
          <w:szCs w:val="24"/>
        </w:rPr>
        <w:t>b、在实验压力下，管段不得出现裂缝、变色、渗</w:t>
      </w:r>
      <w:r>
        <w:rPr>
          <w:spacing w:val="-21"/>
          <w:sz w:val="24"/>
          <w:szCs w:val="24"/>
        </w:rPr>
        <w:t>漏等现象。</w:t>
      </w:r>
    </w:p>
    <w:p w14:paraId="519D4233">
      <w:pPr>
        <w:pStyle w:val="2"/>
        <w:spacing w:before="119" w:line="218" w:lineRule="auto"/>
        <w:ind w:left="1887"/>
        <w:rPr>
          <w:sz w:val="24"/>
          <w:szCs w:val="24"/>
        </w:rPr>
      </w:pPr>
      <w:r>
        <w:rPr>
          <w:spacing w:val="-18"/>
          <w:sz w:val="24"/>
          <w:szCs w:val="24"/>
        </w:rPr>
        <w:t>6、试压报告</w:t>
      </w:r>
    </w:p>
    <w:p w14:paraId="10C56B13">
      <w:pPr>
        <w:pStyle w:val="2"/>
        <w:spacing w:before="117" w:line="218" w:lineRule="auto"/>
        <w:ind w:left="1901"/>
        <w:rPr>
          <w:sz w:val="24"/>
          <w:szCs w:val="24"/>
        </w:rPr>
      </w:pPr>
      <w:r>
        <w:rPr>
          <w:spacing w:val="-22"/>
          <w:sz w:val="24"/>
          <w:szCs w:val="24"/>
        </w:rPr>
        <w:t>每次试压必须出具业主和承包商认可的报告。包括以下内容：</w:t>
      </w:r>
    </w:p>
    <w:p w14:paraId="1E2A617D">
      <w:pPr>
        <w:pStyle w:val="2"/>
        <w:spacing w:before="117" w:line="219" w:lineRule="auto"/>
        <w:ind w:left="1886"/>
        <w:rPr>
          <w:sz w:val="24"/>
          <w:szCs w:val="24"/>
        </w:rPr>
      </w:pPr>
      <w:r>
        <w:rPr>
          <w:spacing w:val="-20"/>
          <w:sz w:val="24"/>
          <w:szCs w:val="24"/>
        </w:rPr>
        <w:t>a、试压日期，编号。</w:t>
      </w:r>
    </w:p>
    <w:p w14:paraId="24F92595">
      <w:pPr>
        <w:pStyle w:val="2"/>
        <w:spacing w:before="115" w:line="217" w:lineRule="auto"/>
        <w:ind w:left="1882"/>
        <w:rPr>
          <w:sz w:val="24"/>
          <w:szCs w:val="24"/>
        </w:rPr>
      </w:pPr>
      <w:r>
        <w:rPr>
          <w:spacing w:val="-18"/>
          <w:sz w:val="24"/>
          <w:szCs w:val="24"/>
        </w:rPr>
        <w:t>b、试压管段的准确位置。</w:t>
      </w:r>
    </w:p>
    <w:p w14:paraId="76742844">
      <w:pPr>
        <w:pStyle w:val="2"/>
        <w:spacing w:before="118" w:line="216" w:lineRule="auto"/>
        <w:ind w:left="1890"/>
        <w:rPr>
          <w:sz w:val="24"/>
          <w:szCs w:val="24"/>
        </w:rPr>
      </w:pPr>
      <w:r>
        <w:rPr>
          <w:spacing w:val="-21"/>
          <w:sz w:val="24"/>
          <w:szCs w:val="24"/>
        </w:rPr>
        <w:t>c、试压草图，标明管道安装顺序、接头、阀门、仪器的</w:t>
      </w:r>
      <w:r>
        <w:rPr>
          <w:spacing w:val="-22"/>
          <w:sz w:val="24"/>
          <w:szCs w:val="24"/>
        </w:rPr>
        <w:t>数量和特性。</w:t>
      </w:r>
    </w:p>
    <w:p w14:paraId="19D20C52">
      <w:pPr>
        <w:pStyle w:val="2"/>
        <w:spacing w:before="120" w:line="218" w:lineRule="auto"/>
        <w:ind w:left="1890"/>
        <w:rPr>
          <w:sz w:val="24"/>
          <w:szCs w:val="24"/>
        </w:rPr>
      </w:pPr>
      <w:r>
        <w:rPr>
          <w:spacing w:val="-20"/>
          <w:sz w:val="24"/>
          <w:szCs w:val="24"/>
        </w:rPr>
        <w:t>d、试压持续时间、压力、结论。</w:t>
      </w:r>
    </w:p>
    <w:p w14:paraId="4D0C0349">
      <w:pPr>
        <w:pStyle w:val="2"/>
        <w:spacing w:before="115" w:line="218" w:lineRule="auto"/>
        <w:ind w:left="1891"/>
        <w:rPr>
          <w:sz w:val="24"/>
          <w:szCs w:val="24"/>
        </w:rPr>
      </w:pPr>
      <w:r>
        <w:rPr>
          <w:spacing w:val="-19"/>
          <w:sz w:val="24"/>
          <w:szCs w:val="24"/>
        </w:rPr>
        <w:t>e、修理的决定。</w:t>
      </w:r>
    </w:p>
    <w:p w14:paraId="6B2BEEC7">
      <w:pPr>
        <w:pStyle w:val="2"/>
        <w:spacing w:before="82" w:line="218" w:lineRule="auto"/>
        <w:ind w:left="1985"/>
        <w:outlineLvl w:val="2"/>
        <w:rPr>
          <w:sz w:val="28"/>
          <w:szCs w:val="28"/>
        </w:rPr>
      </w:pPr>
      <w:bookmarkStart w:id="40" w:name="bookmark40"/>
      <w:bookmarkEnd w:id="40"/>
      <w:r>
        <w:rPr>
          <w:b/>
          <w:bCs/>
          <w:spacing w:val="-23"/>
          <w:sz w:val="28"/>
          <w:szCs w:val="28"/>
        </w:rPr>
        <w:t>十、供水管道冲洗消毒</w:t>
      </w:r>
    </w:p>
    <w:p w14:paraId="5279595B">
      <w:pPr>
        <w:pStyle w:val="2"/>
        <w:spacing w:before="106" w:line="217" w:lineRule="auto"/>
        <w:ind w:left="1903"/>
        <w:rPr>
          <w:sz w:val="24"/>
          <w:szCs w:val="24"/>
        </w:rPr>
      </w:pPr>
      <w:r>
        <w:rPr>
          <w:spacing w:val="-18"/>
          <w:sz w:val="24"/>
          <w:szCs w:val="24"/>
        </w:rPr>
        <w:t>1、施工前准备</w:t>
      </w:r>
    </w:p>
    <w:p w14:paraId="53182995">
      <w:pPr>
        <w:spacing w:line="34" w:lineRule="auto"/>
        <w:rPr>
          <w:rFonts w:ascii="Arial"/>
          <w:sz w:val="2"/>
        </w:rPr>
      </w:pPr>
    </w:p>
    <w:tbl>
      <w:tblPr>
        <w:tblStyle w:val="6"/>
        <w:tblW w:w="8549" w:type="dxa"/>
        <w:tblInd w:w="167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285"/>
        <w:gridCol w:w="4264"/>
      </w:tblGrid>
      <w:tr w14:paraId="0D6A40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9" w:hRule="atLeast"/>
        </w:trPr>
        <w:tc>
          <w:tcPr>
            <w:tcW w:w="4285" w:type="dxa"/>
            <w:tcBorders>
              <w:top w:val="single" w:color="000000" w:sz="4" w:space="0"/>
              <w:left w:val="single" w:color="000000" w:sz="4" w:space="0"/>
            </w:tcBorders>
            <w:shd w:val="clear" w:color="auto" w:fill="DEEAF6"/>
            <w:vAlign w:val="top"/>
          </w:tcPr>
          <w:p w14:paraId="1140AC65">
            <w:pPr>
              <w:spacing w:line="33" w:lineRule="exact"/>
              <w:ind w:firstLine="4264"/>
            </w:pPr>
            <w:r>
              <w:pict>
                <v:shape id="_x0000_s1585" o:spid="_x0000_s1585" style="position:absolute;left:0pt;margin-left:-0.2pt;margin-top:0pt;height:0.75pt;width:2.2pt;mso-position-horizontal-relative:page;mso-position-vertical-relative:page;z-index:251760640;mso-width-relative:page;mso-height-relative:page;" fillcolor="#5B9BD5" filled="t" stroked="f" coordsize="44,15" path="m0,14l43,14,43,0,0,0,0,14xe">
                  <v:path/>
                  <v:fill on="t" focussize="0,0"/>
                  <v:stroke on="f"/>
                  <v:imagedata o:title=""/>
                  <o:lock v:ext="edit"/>
                </v:shape>
              </w:pict>
            </w:r>
            <w:r>
              <w:pict>
                <v:group id="_x0000_s1586" o:spid="_x0000_s1586" o:spt="203" style="height:2.2pt;width:2.2pt;" coordsize="44,44">
                  <o:lock v:ext="edit"/>
                  <v:shape id="_x0000_s1587" o:spid="_x0000_s1587" style="position:absolute;left:0;top:0;height:15;width:44;" fillcolor="#5B9BD5" filled="t" stroked="f" coordsize="44,15" path="m0,14l43,14,43,0,0,0,0,14xe">
                    <v:path/>
                    <v:fill on="t" focussize="0,0"/>
                    <v:stroke on="f"/>
                    <v:imagedata o:title=""/>
                    <o:lock v:ext="edit"/>
                  </v:shape>
                  <v:shape id="_x0000_s1588" o:spid="_x0000_s1588" style="position:absolute;left:0;top:14;height:15;width:44;" fillcolor="#20507B" filled="t" stroked="f" coordsize="44,15" path="m0,14l43,14,43,0,0,0,0,14xe">
                    <v:path/>
                    <v:fill on="t" focussize="0,0"/>
                    <v:stroke on="f"/>
                    <v:imagedata o:title=""/>
                    <o:lock v:ext="edit"/>
                  </v:shape>
                  <v:shape id="_x0000_s1589" o:spid="_x0000_s1589" style="position:absolute;left:0;top:28;height:15;width:44;" fillcolor="#1C456A" filled="t" stroked="f" coordsize="44,15" path="m0,14l43,14,43,0,0,0,0,14xe">
                    <v:path/>
                    <v:fill on="t" focussize="0,0"/>
                    <v:stroke on="f"/>
                    <v:imagedata o:title=""/>
                    <o:lock v:ext="edit"/>
                  </v:shape>
                  <w10:wrap type="none"/>
                  <w10:anchorlock/>
                </v:group>
              </w:pict>
            </w:r>
          </w:p>
          <w:p w14:paraId="53552681">
            <w:pPr>
              <w:pStyle w:val="7"/>
              <w:spacing w:before="94" w:line="217" w:lineRule="auto"/>
              <w:ind w:left="1511"/>
            </w:pPr>
            <w:r>
              <w:rPr>
                <w:b/>
                <w:bCs/>
                <w:spacing w:val="-22"/>
              </w:rPr>
              <w:t>管道全面消毒</w:t>
            </w:r>
          </w:p>
        </w:tc>
        <w:tc>
          <w:tcPr>
            <w:tcW w:w="4264" w:type="dxa"/>
            <w:tcBorders>
              <w:top w:val="single" w:color="5B9BD5" w:sz="4" w:space="0"/>
              <w:right w:val="single" w:color="5B9BD5" w:sz="4" w:space="0"/>
            </w:tcBorders>
            <w:shd w:val="clear" w:color="auto" w:fill="DEEAF6"/>
            <w:vAlign w:val="top"/>
          </w:tcPr>
          <w:p w14:paraId="201D5242">
            <w:pPr>
              <w:pStyle w:val="7"/>
              <w:spacing w:before="127" w:line="218" w:lineRule="auto"/>
              <w:ind w:left="1724"/>
            </w:pPr>
            <w:r>
              <w:rPr>
                <w:b/>
                <w:bCs/>
                <w:spacing w:val="-24"/>
              </w:rPr>
              <w:t>内衬清洗</w:t>
            </w:r>
          </w:p>
        </w:tc>
      </w:tr>
      <w:tr w14:paraId="276167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32" w:hRule="atLeast"/>
        </w:trPr>
        <w:tc>
          <w:tcPr>
            <w:tcW w:w="4285" w:type="dxa"/>
            <w:tcBorders>
              <w:left w:val="single" w:color="1C456A" w:sz="4" w:space="0"/>
              <w:bottom w:val="single" w:color="1C456A" w:sz="4" w:space="0"/>
            </w:tcBorders>
            <w:vAlign w:val="top"/>
          </w:tcPr>
          <w:p w14:paraId="6D1B74FF">
            <w:pPr>
              <w:spacing w:before="86" w:line="2695" w:lineRule="exact"/>
              <w:ind w:firstLine="80"/>
            </w:pPr>
            <w:r>
              <w:pict>
                <v:shape id="_x0000_s1590" o:spid="_x0000_s1590" style="position:absolute;left:0pt;margin-left:-0.2pt;margin-top:151.6pt;height:0.75pt;width:2.2pt;mso-position-horizontal-relative:page;mso-position-vertical-relative:page;z-index:251759616;mso-width-relative:page;mso-height-relative:page;" fillcolor="#5B9BD5" filled="t" stroked="f" coordsize="44,15" path="m0,14l43,14,43,0,0,0,0,14xe">
                  <v:path/>
                  <v:fill on="t" focussize="0,0"/>
                  <v:stroke on="f"/>
                  <v:imagedata o:title=""/>
                  <o:lock v:ext="edit"/>
                </v:shape>
              </w:pict>
            </w:r>
            <w:r>
              <w:rPr>
                <w:position w:val="-53"/>
              </w:rPr>
              <w:drawing>
                <wp:inline distT="0" distB="0" distL="0" distR="0">
                  <wp:extent cx="2613660" cy="1711325"/>
                  <wp:effectExtent l="0" t="0" r="0" b="0"/>
                  <wp:docPr id="406" name="IM 406"/>
                  <wp:cNvGraphicFramePr/>
                  <a:graphic xmlns:a="http://schemas.openxmlformats.org/drawingml/2006/main">
                    <a:graphicData uri="http://schemas.openxmlformats.org/drawingml/2006/picture">
                      <pic:pic xmlns:pic="http://schemas.openxmlformats.org/drawingml/2006/picture">
                        <pic:nvPicPr>
                          <pic:cNvPr id="406" name="IM 406"/>
                          <pic:cNvPicPr/>
                        </pic:nvPicPr>
                        <pic:blipFill>
                          <a:blip r:embed="rId512"/>
                          <a:stretch>
                            <a:fillRect/>
                          </a:stretch>
                        </pic:blipFill>
                        <pic:spPr>
                          <a:xfrm>
                            <a:off x="0" y="0"/>
                            <a:ext cx="2613660" cy="1711325"/>
                          </a:xfrm>
                          <a:prstGeom prst="rect">
                            <a:avLst/>
                          </a:prstGeom>
                        </pic:spPr>
                      </pic:pic>
                    </a:graphicData>
                  </a:graphic>
                </wp:inline>
              </w:drawing>
            </w:r>
          </w:p>
        </w:tc>
        <w:tc>
          <w:tcPr>
            <w:tcW w:w="4264" w:type="dxa"/>
            <w:tcBorders>
              <w:bottom w:val="single" w:color="5B9BD5" w:sz="4" w:space="0"/>
              <w:right w:val="single" w:color="5B9BD5" w:sz="4" w:space="0"/>
            </w:tcBorders>
            <w:vAlign w:val="top"/>
          </w:tcPr>
          <w:p w14:paraId="3D4BC866">
            <w:pPr>
              <w:spacing w:before="98" w:line="2671" w:lineRule="exact"/>
              <w:ind w:firstLine="94"/>
            </w:pPr>
            <w:r>
              <w:rPr>
                <w:position w:val="-53"/>
              </w:rPr>
              <w:drawing>
                <wp:inline distT="0" distB="0" distL="0" distR="0">
                  <wp:extent cx="2566670" cy="1696085"/>
                  <wp:effectExtent l="0" t="0" r="0" b="0"/>
                  <wp:docPr id="408" name="IM 408"/>
                  <wp:cNvGraphicFramePr/>
                  <a:graphic xmlns:a="http://schemas.openxmlformats.org/drawingml/2006/main">
                    <a:graphicData uri="http://schemas.openxmlformats.org/drawingml/2006/picture">
                      <pic:pic xmlns:pic="http://schemas.openxmlformats.org/drawingml/2006/picture">
                        <pic:nvPicPr>
                          <pic:cNvPr id="408" name="IM 408"/>
                          <pic:cNvPicPr/>
                        </pic:nvPicPr>
                        <pic:blipFill>
                          <a:blip r:embed="rId513"/>
                          <a:stretch>
                            <a:fillRect/>
                          </a:stretch>
                        </pic:blipFill>
                        <pic:spPr>
                          <a:xfrm>
                            <a:off x="0" y="0"/>
                            <a:ext cx="2566670" cy="1696085"/>
                          </a:xfrm>
                          <a:prstGeom prst="rect">
                            <a:avLst/>
                          </a:prstGeom>
                        </pic:spPr>
                      </pic:pic>
                    </a:graphicData>
                  </a:graphic>
                </wp:inline>
              </w:drawing>
            </w:r>
          </w:p>
        </w:tc>
      </w:tr>
    </w:tbl>
    <w:p w14:paraId="0B8C4FDA">
      <w:pPr>
        <w:rPr>
          <w:rFonts w:ascii="Arial"/>
          <w:sz w:val="21"/>
        </w:rPr>
      </w:pPr>
    </w:p>
    <w:p w14:paraId="30297C41">
      <w:pPr>
        <w:rPr>
          <w:rFonts w:ascii="Arial" w:hAnsi="Arial" w:eastAsia="Arial" w:cs="Arial"/>
          <w:sz w:val="21"/>
          <w:szCs w:val="21"/>
        </w:rPr>
        <w:sectPr>
          <w:footerReference r:id="rId61" w:type="default"/>
          <w:pgSz w:w="11907" w:h="16839"/>
          <w:pgMar w:top="954" w:right="4" w:bottom="1038" w:left="0" w:header="499" w:footer="357" w:gutter="0"/>
          <w:pgBorders>
            <w:top w:val="none" w:sz="0" w:space="0"/>
            <w:left w:val="none" w:sz="0" w:space="0"/>
            <w:bottom w:val="none" w:sz="0" w:space="0"/>
            <w:right w:val="none" w:sz="0" w:space="0"/>
          </w:pgBorders>
          <w:cols w:space="720" w:num="1"/>
        </w:sectPr>
      </w:pPr>
    </w:p>
    <w:p w14:paraId="665D242B">
      <w:pPr>
        <w:spacing w:line="250" w:lineRule="auto"/>
        <w:rPr>
          <w:rFonts w:ascii="Arial"/>
          <w:sz w:val="21"/>
        </w:rPr>
      </w:pPr>
    </w:p>
    <w:p w14:paraId="056C298A">
      <w:pPr>
        <w:pStyle w:val="2"/>
        <w:spacing w:before="78" w:line="217" w:lineRule="auto"/>
        <w:ind w:left="1903"/>
        <w:rPr>
          <w:sz w:val="24"/>
          <w:szCs w:val="24"/>
        </w:rPr>
      </w:pPr>
      <w:r>
        <w:rPr>
          <w:spacing w:val="-21"/>
          <w:sz w:val="24"/>
          <w:szCs w:val="24"/>
        </w:rPr>
        <w:t>1.1冲洗管道的水质符合国家水质标准，且水量充足，以确保可以随时对管道进行冲洗。</w:t>
      </w:r>
    </w:p>
    <w:p w14:paraId="2E11DD23">
      <w:pPr>
        <w:pStyle w:val="2"/>
        <w:spacing w:before="119" w:line="215" w:lineRule="auto"/>
        <w:ind w:left="1903"/>
        <w:rPr>
          <w:sz w:val="24"/>
          <w:szCs w:val="24"/>
        </w:rPr>
      </w:pPr>
      <w:r>
        <w:rPr>
          <w:spacing w:val="-21"/>
          <w:sz w:val="24"/>
          <w:szCs w:val="24"/>
        </w:rPr>
        <w:t>1.2对进行冲洗的管线进行一次全面检查，以确保在冲洗过程中没有管道漏水等情况发生。</w:t>
      </w:r>
    </w:p>
    <w:p w14:paraId="048F14D2">
      <w:pPr>
        <w:pStyle w:val="2"/>
        <w:spacing w:before="119" w:line="217" w:lineRule="auto"/>
        <w:ind w:left="1888"/>
        <w:rPr>
          <w:sz w:val="24"/>
          <w:szCs w:val="24"/>
        </w:rPr>
      </w:pPr>
      <w:r>
        <w:rPr>
          <w:spacing w:val="-19"/>
          <w:sz w:val="24"/>
          <w:szCs w:val="24"/>
        </w:rPr>
        <w:t>2、管道冲洗消毒实施方案</w:t>
      </w:r>
    </w:p>
    <w:p w14:paraId="61C431C2">
      <w:pPr>
        <w:pStyle w:val="2"/>
        <w:spacing w:before="118" w:line="263" w:lineRule="auto"/>
        <w:ind w:left="1470" w:right="1410" w:firstLine="418"/>
        <w:rPr>
          <w:sz w:val="24"/>
          <w:szCs w:val="24"/>
        </w:rPr>
      </w:pPr>
      <w:r>
        <w:rPr>
          <w:spacing w:val="-21"/>
          <w:sz w:val="24"/>
          <w:szCs w:val="24"/>
        </w:rPr>
        <w:t>2.1对管道进行由高至低逐条冲洗，并再次巡视整条</w:t>
      </w:r>
      <w:r>
        <w:rPr>
          <w:spacing w:val="-22"/>
          <w:sz w:val="24"/>
          <w:szCs w:val="24"/>
        </w:rPr>
        <w:t>管线是否有漏油等现象，如有此现象发</w:t>
      </w:r>
      <w:r>
        <w:rPr>
          <w:spacing w:val="-21"/>
          <w:sz w:val="24"/>
          <w:szCs w:val="24"/>
        </w:rPr>
        <w:t>生，立即停止管道冲洗</w:t>
      </w:r>
    </w:p>
    <w:p w14:paraId="3AC7CC43">
      <w:pPr>
        <w:pStyle w:val="2"/>
        <w:spacing w:before="114" w:line="218" w:lineRule="auto"/>
        <w:ind w:left="1888"/>
        <w:rPr>
          <w:sz w:val="24"/>
          <w:szCs w:val="24"/>
        </w:rPr>
      </w:pPr>
      <w:r>
        <w:rPr>
          <w:spacing w:val="-16"/>
          <w:sz w:val="24"/>
          <w:szCs w:val="24"/>
        </w:rPr>
        <w:t>2.2冲洗管道时，水的流速大于s。</w:t>
      </w:r>
    </w:p>
    <w:p w14:paraId="5A238FBE">
      <w:pPr>
        <w:pStyle w:val="2"/>
        <w:spacing w:before="119" w:line="262" w:lineRule="auto"/>
        <w:ind w:left="1457" w:right="1410" w:firstLine="431"/>
        <w:rPr>
          <w:sz w:val="24"/>
          <w:szCs w:val="24"/>
        </w:rPr>
      </w:pPr>
      <w:r>
        <w:rPr>
          <w:spacing w:val="-23"/>
          <w:sz w:val="24"/>
          <w:szCs w:val="24"/>
        </w:rPr>
        <w:t>2.3管道冲洗所用的清洁水冲洗至出水口水样并用分光光度法（详见</w:t>
      </w:r>
      <w:r>
        <w:rPr>
          <w:spacing w:val="-24"/>
          <w:sz w:val="24"/>
          <w:szCs w:val="24"/>
        </w:rPr>
        <w:t>附表）来确定水的浊度</w:t>
      </w:r>
      <w:r>
        <w:rPr>
          <w:spacing w:val="-15"/>
          <w:sz w:val="24"/>
          <w:szCs w:val="24"/>
        </w:rPr>
        <w:t>是否小于3NTU，当水的浊度小鱼3NTU时，证明冲洗完毕。</w:t>
      </w:r>
    </w:p>
    <w:p w14:paraId="06FD8475">
      <w:pPr>
        <w:pStyle w:val="2"/>
        <w:spacing w:before="115" w:line="293" w:lineRule="auto"/>
        <w:ind w:left="1456" w:right="1409" w:firstLine="432"/>
        <w:rPr>
          <w:sz w:val="24"/>
          <w:szCs w:val="24"/>
        </w:rPr>
      </w:pPr>
      <w:r>
        <w:rPr>
          <w:spacing w:val="-23"/>
          <w:sz w:val="24"/>
          <w:szCs w:val="24"/>
        </w:rPr>
        <w:t>2.4所有管道冲洗完毕后，将给水管道内的水排净，方便给水管道进行第二次冲洗与消毒作</w:t>
      </w:r>
      <w:r>
        <w:rPr>
          <w:spacing w:val="-20"/>
          <w:sz w:val="24"/>
          <w:szCs w:val="24"/>
        </w:rPr>
        <w:t>业。第二次冲洗前，将给水管道用有效氯离子含量不低于20mg/L的清洁水注入管内，高</w:t>
      </w:r>
      <w:r>
        <w:rPr>
          <w:spacing w:val="-21"/>
          <w:sz w:val="24"/>
          <w:szCs w:val="24"/>
        </w:rPr>
        <w:t>压给水</w:t>
      </w:r>
      <w:r>
        <w:rPr>
          <w:spacing w:val="-20"/>
          <w:sz w:val="24"/>
          <w:szCs w:val="24"/>
        </w:rPr>
        <w:t>管压力控制在，中压给水管压力控制在，低压给水管控制在，以确保管内空气尽快排出，并检</w:t>
      </w:r>
      <w:r>
        <w:rPr>
          <w:spacing w:val="-21"/>
          <w:sz w:val="24"/>
          <w:szCs w:val="24"/>
        </w:rPr>
        <w:t>查管内是否注满水，。注满水后对给水管道进行</w:t>
      </w:r>
      <w:r>
        <w:rPr>
          <w:spacing w:val="-22"/>
          <w:sz w:val="24"/>
          <w:szCs w:val="24"/>
        </w:rPr>
        <w:t>封闭消毒作业。浸泡24h，对给水管道进行第二</w:t>
      </w:r>
      <w:r>
        <w:rPr>
          <w:spacing w:val="-21"/>
          <w:sz w:val="24"/>
          <w:szCs w:val="24"/>
        </w:rPr>
        <w:t>次冲洗，冲洗完毕后，进行水质取样检验，如不符合国家《生活饮用水卫生标准》GB5749将再</w:t>
      </w:r>
      <w:r>
        <w:rPr>
          <w:spacing w:val="-20"/>
          <w:sz w:val="24"/>
          <w:szCs w:val="24"/>
        </w:rPr>
        <w:t>次进行冲洗直至合格为止。</w:t>
      </w:r>
    </w:p>
    <w:p w14:paraId="4B46C850">
      <w:pPr>
        <w:pStyle w:val="2"/>
        <w:spacing w:before="117" w:line="219" w:lineRule="auto"/>
        <w:ind w:left="1890"/>
        <w:rPr>
          <w:sz w:val="24"/>
          <w:szCs w:val="24"/>
        </w:rPr>
      </w:pPr>
      <w:r>
        <w:rPr>
          <w:spacing w:val="-16"/>
          <w:sz w:val="24"/>
          <w:szCs w:val="24"/>
        </w:rPr>
        <w:t>3、注意事项</w:t>
      </w:r>
    </w:p>
    <w:p w14:paraId="7D299B07">
      <w:pPr>
        <w:pStyle w:val="2"/>
        <w:spacing w:before="115" w:line="278" w:lineRule="auto"/>
        <w:ind w:left="1462" w:right="1369" w:firstLine="428"/>
        <w:rPr>
          <w:sz w:val="24"/>
          <w:szCs w:val="24"/>
        </w:rPr>
      </w:pPr>
      <w:r>
        <w:rPr>
          <w:spacing w:val="-22"/>
          <w:sz w:val="24"/>
          <w:szCs w:val="24"/>
        </w:rPr>
        <w:t>3.1初次冲洗时，由于管道是空管，冲洗总阀门的最初开启不宜太快以及开启度不宜太大。</w:t>
      </w:r>
      <w:r>
        <w:rPr>
          <w:spacing w:val="-20"/>
          <w:sz w:val="24"/>
          <w:szCs w:val="24"/>
        </w:rPr>
        <w:t>否则管内进水速度太快，管道中空气来不及排除，在局部会形成极大的气水压，有时高出正常</w:t>
      </w:r>
      <w:r>
        <w:rPr>
          <w:spacing w:val="-19"/>
          <w:sz w:val="24"/>
          <w:szCs w:val="24"/>
        </w:rPr>
        <w:t>管网水压几倍，</w:t>
      </w:r>
    </w:p>
    <w:p w14:paraId="272700B7">
      <w:pPr>
        <w:pStyle w:val="2"/>
        <w:spacing w:before="117" w:line="218" w:lineRule="auto"/>
        <w:ind w:left="1890"/>
        <w:rPr>
          <w:sz w:val="24"/>
          <w:szCs w:val="24"/>
        </w:rPr>
      </w:pPr>
      <w:r>
        <w:rPr>
          <w:spacing w:val="-20"/>
          <w:sz w:val="24"/>
          <w:szCs w:val="24"/>
        </w:rPr>
        <w:t>3.2冲洗时，应避开用水高峰，以免影响正常用水</w:t>
      </w:r>
    </w:p>
    <w:p w14:paraId="2D0DDFAC">
      <w:pPr>
        <w:pStyle w:val="2"/>
        <w:spacing w:before="116" w:line="262" w:lineRule="auto"/>
        <w:ind w:left="1455" w:right="1410" w:firstLine="434"/>
        <w:rPr>
          <w:sz w:val="24"/>
          <w:szCs w:val="24"/>
        </w:rPr>
      </w:pPr>
      <w:r>
        <w:rPr>
          <w:spacing w:val="-23"/>
          <w:sz w:val="24"/>
          <w:szCs w:val="24"/>
        </w:rPr>
        <w:t>3.3冲洗管道时，不定期的进行管道巡视，确保管线无漏水等现象。如有此现在发生立即停</w:t>
      </w:r>
      <w:r>
        <w:rPr>
          <w:spacing w:val="-21"/>
          <w:sz w:val="24"/>
          <w:szCs w:val="24"/>
        </w:rPr>
        <w:t>止管道冲洗，进行维修。</w:t>
      </w:r>
    </w:p>
    <w:p w14:paraId="736CA68A">
      <w:pPr>
        <w:pStyle w:val="2"/>
        <w:spacing w:before="120" w:line="217" w:lineRule="auto"/>
        <w:ind w:left="1890"/>
        <w:rPr>
          <w:sz w:val="24"/>
          <w:szCs w:val="24"/>
        </w:rPr>
      </w:pPr>
      <w:r>
        <w:rPr>
          <w:spacing w:val="-21"/>
          <w:sz w:val="24"/>
          <w:szCs w:val="24"/>
        </w:rPr>
        <w:t>3.4第一次冲洗给水管道后，将其管内水排净，封闭进水口，一面受到二次污染</w:t>
      </w:r>
    </w:p>
    <w:p w14:paraId="55006FB8">
      <w:pPr>
        <w:pStyle w:val="2"/>
        <w:spacing w:before="119" w:line="261" w:lineRule="auto"/>
        <w:ind w:left="1464" w:right="1409" w:firstLine="425"/>
        <w:rPr>
          <w:sz w:val="24"/>
          <w:szCs w:val="24"/>
        </w:rPr>
      </w:pPr>
      <w:r>
        <w:rPr>
          <w:spacing w:val="-23"/>
          <w:sz w:val="24"/>
          <w:szCs w:val="24"/>
        </w:rPr>
        <w:t>3.5无论第一次冲洗还是第二次冲洗，每次都要对冲洗时间，水量，水质及冲洗效果进行记</w:t>
      </w:r>
      <w:r>
        <w:rPr>
          <w:spacing w:val="-20"/>
          <w:sz w:val="24"/>
          <w:szCs w:val="24"/>
        </w:rPr>
        <w:t>录及有关的影像资料</w:t>
      </w:r>
    </w:p>
    <w:p w14:paraId="67854485">
      <w:pPr>
        <w:pStyle w:val="2"/>
        <w:spacing w:before="120" w:line="219" w:lineRule="auto"/>
        <w:ind w:left="1903"/>
        <w:rPr>
          <w:sz w:val="24"/>
          <w:szCs w:val="24"/>
        </w:rPr>
      </w:pPr>
      <w:r>
        <w:rPr>
          <w:spacing w:val="-20"/>
          <w:sz w:val="24"/>
          <w:szCs w:val="24"/>
        </w:rPr>
        <w:t>附表：分光光度法</w:t>
      </w:r>
    </w:p>
    <w:tbl>
      <w:tblPr>
        <w:tblStyle w:val="6"/>
        <w:tblW w:w="8549" w:type="dxa"/>
        <w:tblInd w:w="167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557"/>
        <w:gridCol w:w="6825"/>
        <w:gridCol w:w="167"/>
      </w:tblGrid>
      <w:tr w14:paraId="2C2947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65" w:hRule="atLeast"/>
        </w:trPr>
        <w:tc>
          <w:tcPr>
            <w:tcW w:w="1557" w:type="dxa"/>
            <w:tcBorders>
              <w:top w:val="single" w:color="000000" w:sz="4" w:space="0"/>
              <w:left w:val="single" w:color="000000" w:sz="4" w:space="0"/>
            </w:tcBorders>
            <w:shd w:val="clear" w:color="auto" w:fill="DEEAF6"/>
            <w:vAlign w:val="top"/>
          </w:tcPr>
          <w:p w14:paraId="5E733EA6">
            <w:pPr>
              <w:spacing w:line="33" w:lineRule="exact"/>
              <w:ind w:firstLine="1533"/>
            </w:pPr>
            <w:r>
              <w:pict>
                <v:shape id="_x0000_s1591" o:spid="_x0000_s1591" style="position:absolute;left:0pt;margin-left:-0.2pt;margin-top:0.05pt;height:0.75pt;width:2.2pt;mso-position-horizontal-relative:page;mso-position-vertical-relative:page;z-index:251761664;mso-width-relative:page;mso-height-relative:page;" fillcolor="#5B9BD5" filled="t" stroked="f" coordsize="44,15" path="m0,14l43,14,43,0,0,0,0,14xe">
                  <v:path/>
                  <v:fill on="t" focussize="0,0"/>
                  <v:stroke on="f"/>
                  <v:imagedata o:title=""/>
                  <o:lock v:ext="edit"/>
                </v:shape>
              </w:pict>
            </w:r>
            <w:r>
              <w:pict>
                <v:group id="_x0000_s1592" o:spid="_x0000_s1592" o:spt="203" style="height:2.2pt;width:2.2pt;" coordsize="44,44">
                  <o:lock v:ext="edit"/>
                  <v:shape id="_x0000_s1593" o:spid="_x0000_s1593" style="position:absolute;left:0;top:0;height:15;width:44;" fillcolor="#5B9BD5" filled="t" stroked="f" coordsize="44,15" path="m0,14l43,14,43,0,0,0,0,14xe">
                    <v:path/>
                    <v:fill on="t" focussize="0,0"/>
                    <v:stroke on="f"/>
                    <v:imagedata o:title=""/>
                    <o:lock v:ext="edit"/>
                  </v:shape>
                  <v:shape id="_x0000_s1594" o:spid="_x0000_s1594" style="position:absolute;left:0;top:14;height:15;width:44;" fillcolor="#20507B" filled="t" stroked="f" coordsize="44,15" path="m0,14l43,14,43,0,0,0,0,14xe">
                    <v:path/>
                    <v:fill on="t" focussize="0,0"/>
                    <v:stroke on="f"/>
                    <v:imagedata o:title=""/>
                    <o:lock v:ext="edit"/>
                  </v:shape>
                  <v:shape id="_x0000_s1595" o:spid="_x0000_s1595" style="position:absolute;left:0;top:28;height:15;width:44;" fillcolor="#1C456A" filled="t" stroked="f" coordsize="44,15" path="m0,14l43,14,43,0,0,0,0,14xe">
                    <v:path/>
                    <v:fill on="t" focussize="0,0"/>
                    <v:stroke on="f"/>
                    <v:imagedata o:title=""/>
                    <o:lock v:ext="edit"/>
                  </v:shape>
                  <w10:wrap type="none"/>
                  <w10:anchorlock/>
                </v:group>
              </w:pict>
            </w:r>
          </w:p>
          <w:p w14:paraId="557B1106">
            <w:pPr>
              <w:spacing w:line="249" w:lineRule="auto"/>
              <w:rPr>
                <w:rFonts w:ascii="Arial"/>
                <w:sz w:val="21"/>
              </w:rPr>
            </w:pPr>
          </w:p>
          <w:p w14:paraId="0465F7B0">
            <w:pPr>
              <w:pStyle w:val="7"/>
              <w:spacing w:before="78" w:line="219" w:lineRule="auto"/>
              <w:ind w:left="576"/>
            </w:pPr>
            <w:r>
              <w:rPr>
                <w:b/>
                <w:bCs/>
                <w:spacing w:val="-14"/>
              </w:rPr>
              <w:t>原理</w:t>
            </w:r>
          </w:p>
        </w:tc>
        <w:tc>
          <w:tcPr>
            <w:tcW w:w="6825" w:type="dxa"/>
            <w:tcBorders>
              <w:top w:val="single" w:color="5B9BD5" w:sz="4" w:space="0"/>
              <w:right w:val="nil"/>
            </w:tcBorders>
            <w:shd w:val="clear" w:color="auto" w:fill="DEEAF6"/>
            <w:vAlign w:val="top"/>
          </w:tcPr>
          <w:p w14:paraId="6C5222B3">
            <w:pPr>
              <w:pStyle w:val="7"/>
              <w:spacing w:before="127" w:line="215" w:lineRule="auto"/>
              <w:jc w:val="right"/>
            </w:pPr>
            <w:r>
              <w:rPr>
                <w:b/>
                <w:bCs/>
                <w:spacing w:val="-26"/>
              </w:rPr>
              <w:t>在适当温度下，硫酸肼与六次甲基四胺聚合，形成白色高分子聚合物，</w:t>
            </w:r>
          </w:p>
          <w:p w14:paraId="40F5A101">
            <w:pPr>
              <w:pStyle w:val="7"/>
              <w:spacing w:before="188" w:line="215" w:lineRule="auto"/>
              <w:ind w:left="780"/>
            </w:pPr>
            <w:r>
              <w:rPr>
                <w:b/>
                <w:bCs/>
                <w:spacing w:val="-24"/>
              </w:rPr>
              <w:t>以此作为浊度标准液，在一定条件下与水样浊度相比较。</w:t>
            </w:r>
          </w:p>
        </w:tc>
        <w:tc>
          <w:tcPr>
            <w:tcW w:w="167" w:type="dxa"/>
            <w:tcBorders>
              <w:top w:val="single" w:color="5B9BD5" w:sz="4" w:space="0"/>
              <w:left w:val="nil"/>
              <w:right w:val="single" w:color="5B9BD5" w:sz="4" w:space="0"/>
            </w:tcBorders>
            <w:vAlign w:val="top"/>
          </w:tcPr>
          <w:p w14:paraId="3A3B7FCE">
            <w:pPr>
              <w:rPr>
                <w:rFonts w:ascii="Arial"/>
                <w:sz w:val="21"/>
              </w:rPr>
            </w:pPr>
            <w:r>
              <w:pict>
                <v:shape id="_x0000_s1596" o:spid="_x0000_s1596" style="position:absolute;left:0pt;margin-left:6.5pt;margin-top:0.05pt;height:0.75pt;width:2.2pt;mso-position-horizontal-relative:page;mso-position-vertical-relative:page;z-index:251764736;mso-width-relative:page;mso-height-relative:page;" fillcolor="#5B9BD5" filled="t" stroked="f" coordsize="44,15" path="m0,14l43,14,43,0,0,0,0,14xe">
                  <v:path/>
                  <v:fill on="t" focussize="0,0"/>
                  <v:stroke on="f"/>
                  <v:imagedata o:title=""/>
                  <o:lock v:ext="edit"/>
                </v:shape>
              </w:pict>
            </w:r>
          </w:p>
        </w:tc>
      </w:tr>
      <w:tr w14:paraId="324578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06" w:hRule="atLeast"/>
        </w:trPr>
        <w:tc>
          <w:tcPr>
            <w:tcW w:w="1557" w:type="dxa"/>
            <w:tcBorders>
              <w:left w:val="single" w:color="1C456A" w:sz="4" w:space="0"/>
              <w:bottom w:val="single" w:color="1C456A" w:sz="4" w:space="0"/>
            </w:tcBorders>
            <w:vAlign w:val="top"/>
          </w:tcPr>
          <w:p w14:paraId="23BE5E17">
            <w:pPr>
              <w:spacing w:line="268" w:lineRule="auto"/>
              <w:rPr>
                <w:rFonts w:ascii="Arial"/>
                <w:sz w:val="21"/>
              </w:rPr>
            </w:pPr>
            <w:r>
              <w:pict>
                <v:shape id="_x0000_s1597" o:spid="_x0000_s1597" style="position:absolute;left:0pt;margin-left:-0.2pt;margin-top:55.35pt;height:0.75pt;width:2.2pt;mso-position-horizontal-relative:page;mso-position-vertical-relative:page;z-index:251762688;mso-width-relative:page;mso-height-relative:page;" fillcolor="#5B9BD5" filled="t" stroked="f" coordsize="44,15" path="m0,14l43,14,43,0,0,0,0,14xe">
                  <v:path/>
                  <v:fill on="t" focussize="0,0"/>
                  <v:stroke on="f"/>
                  <v:imagedata o:title=""/>
                  <o:lock v:ext="edit"/>
                </v:shape>
              </w:pict>
            </w:r>
          </w:p>
          <w:p w14:paraId="4545324B">
            <w:pPr>
              <w:pStyle w:val="7"/>
              <w:spacing w:before="78" w:line="219" w:lineRule="auto"/>
              <w:ind w:left="569"/>
            </w:pPr>
            <w:r>
              <w:rPr>
                <w:spacing w:val="-9"/>
              </w:rPr>
              <w:t>试剂</w:t>
            </w:r>
          </w:p>
        </w:tc>
        <w:tc>
          <w:tcPr>
            <w:tcW w:w="6992" w:type="dxa"/>
            <w:gridSpan w:val="2"/>
            <w:tcBorders>
              <w:bottom w:val="single" w:color="5B9BD5" w:sz="4" w:space="0"/>
              <w:right w:val="single" w:color="5B9BD5" w:sz="4" w:space="0"/>
            </w:tcBorders>
            <w:vAlign w:val="top"/>
          </w:tcPr>
          <w:p w14:paraId="34E8C9E7">
            <w:pPr>
              <w:spacing w:before="11" w:line="234" w:lineRule="auto"/>
              <w:ind w:left="6952"/>
              <w:rPr>
                <w:rFonts w:ascii="Arial" w:hAnsi="Arial" w:eastAsia="Arial" w:cs="Arial"/>
                <w:sz w:val="6"/>
                <w:szCs w:val="6"/>
              </w:rPr>
            </w:pPr>
            <w:r>
              <w:pict>
                <v:shape id="_x0000_s1598" o:spid="_x0000_s1598" style="position:absolute;left:0pt;margin-left:347.75pt;margin-top:55.35pt;height:0.75pt;width:2.2pt;mso-position-horizontal-relative:page;mso-position-vertical-relative:page;z-index:251763712;mso-width-relative:page;mso-height-relative:page;" fillcolor="#5B9BD5" filled="t" stroked="f" coordsize="44,15" path="m0,14l43,14,43,0,0,0,0,14xe">
                  <v:path/>
                  <v:fill on="t" focussize="0,0"/>
                  <v:stroke on="f"/>
                  <v:imagedata o:title=""/>
                  <o:lock v:ext="edit"/>
                </v:shape>
              </w:pict>
            </w:r>
            <w:r>
              <w:rPr>
                <w:rFonts w:ascii="Arial" w:hAnsi="Arial" w:eastAsia="Arial" w:cs="Arial"/>
                <w:color w:val="1C456A"/>
                <w:sz w:val="6"/>
                <w:szCs w:val="6"/>
              </w:rPr>
              <w:t>I</w:t>
            </w:r>
          </w:p>
          <w:p w14:paraId="34CAC179">
            <w:pPr>
              <w:pStyle w:val="7"/>
              <w:spacing w:before="36" w:line="217" w:lineRule="auto"/>
              <w:ind w:left="68"/>
            </w:pPr>
            <w:r>
              <w:rPr>
                <w:spacing w:val="-25"/>
              </w:rPr>
              <w:t>除非另有说明，分析时均使用符合国家标准或专业标准分析纯试剂，去离</w:t>
            </w:r>
          </w:p>
          <w:p w14:paraId="05A40A3E">
            <w:pPr>
              <w:pStyle w:val="7"/>
              <w:spacing w:before="186" w:line="219" w:lineRule="auto"/>
              <w:ind w:left="2414"/>
            </w:pPr>
            <w:r>
              <w:rPr>
                <w:spacing w:val="-21"/>
              </w:rPr>
              <w:t>子水或同等纯度的水。</w:t>
            </w:r>
          </w:p>
        </w:tc>
      </w:tr>
    </w:tbl>
    <w:p w14:paraId="18EBA2DD">
      <w:pPr>
        <w:pStyle w:val="2"/>
        <w:spacing w:before="113" w:line="219" w:lineRule="auto"/>
        <w:ind w:left="1903"/>
        <w:rPr>
          <w:sz w:val="24"/>
          <w:szCs w:val="24"/>
        </w:rPr>
      </w:pPr>
      <w:r>
        <w:rPr>
          <w:spacing w:val="-16"/>
          <w:sz w:val="24"/>
          <w:szCs w:val="24"/>
        </w:rPr>
        <w:t>1.无浊度水</w:t>
      </w:r>
    </w:p>
    <w:p w14:paraId="1892F4E7">
      <w:pPr>
        <w:pStyle w:val="2"/>
        <w:spacing w:before="117" w:line="217" w:lineRule="auto"/>
        <w:ind w:left="1894"/>
        <w:rPr>
          <w:sz w:val="24"/>
          <w:szCs w:val="24"/>
        </w:rPr>
      </w:pPr>
      <w:r>
        <w:rPr>
          <w:spacing w:val="-21"/>
          <w:sz w:val="24"/>
          <w:szCs w:val="24"/>
        </w:rPr>
        <w:t>将蒸馏水通过μm滤膜过滤，收集于用滤过水荡洗两次的烧瓶中。</w:t>
      </w:r>
    </w:p>
    <w:p w14:paraId="7F73F718">
      <w:pPr>
        <w:pStyle w:val="2"/>
        <w:spacing w:before="119" w:line="218" w:lineRule="auto"/>
        <w:ind w:left="1888"/>
        <w:rPr>
          <w:sz w:val="24"/>
          <w:szCs w:val="24"/>
        </w:rPr>
      </w:pPr>
      <w:r>
        <w:rPr>
          <w:spacing w:val="-16"/>
          <w:sz w:val="24"/>
          <w:szCs w:val="24"/>
        </w:rPr>
        <w:t>2.浊度标准贮备液</w:t>
      </w:r>
    </w:p>
    <w:p w14:paraId="6DD0A35A">
      <w:pPr>
        <w:pStyle w:val="2"/>
        <w:spacing w:before="114" w:line="211" w:lineRule="auto"/>
        <w:ind w:left="1903"/>
        <w:rPr>
          <w:sz w:val="24"/>
          <w:szCs w:val="24"/>
        </w:rPr>
      </w:pPr>
      <w:r>
        <w:rPr>
          <w:spacing w:val="-16"/>
          <w:sz w:val="24"/>
          <w:szCs w:val="24"/>
        </w:rPr>
        <w:t>1g／100mL硫酸肼溶液</w:t>
      </w:r>
    </w:p>
    <w:p w14:paraId="4C5D858F">
      <w:pPr>
        <w:pStyle w:val="2"/>
        <w:spacing w:before="126" w:line="217" w:lineRule="auto"/>
        <w:ind w:left="1893"/>
        <w:rPr>
          <w:sz w:val="24"/>
          <w:szCs w:val="24"/>
        </w:rPr>
      </w:pPr>
      <w:r>
        <w:rPr>
          <w:spacing w:val="-13"/>
          <w:sz w:val="24"/>
          <w:szCs w:val="24"/>
        </w:rPr>
        <w:t>称取硫酸肼[(N2H4)H2SO4]溶</w:t>
      </w:r>
      <w:r>
        <w:rPr>
          <w:spacing w:val="-14"/>
          <w:sz w:val="24"/>
          <w:szCs w:val="24"/>
        </w:rPr>
        <w:t>于水，定容至100mL。</w:t>
      </w:r>
    </w:p>
    <w:p w14:paraId="5E8417EB">
      <w:pPr>
        <w:spacing w:line="217" w:lineRule="auto"/>
        <w:rPr>
          <w:sz w:val="24"/>
          <w:szCs w:val="24"/>
        </w:rPr>
        <w:sectPr>
          <w:footerReference r:id="rId62" w:type="default"/>
          <w:pgSz w:w="11907" w:h="16839"/>
          <w:pgMar w:top="954" w:right="4" w:bottom="1038" w:left="0" w:header="499" w:footer="357" w:gutter="0"/>
          <w:pgBorders>
            <w:top w:val="none" w:sz="0" w:space="0"/>
            <w:left w:val="none" w:sz="0" w:space="0"/>
            <w:bottom w:val="none" w:sz="0" w:space="0"/>
            <w:right w:val="none" w:sz="0" w:space="0"/>
          </w:pgBorders>
          <w:cols w:space="720" w:num="1"/>
        </w:sectPr>
      </w:pPr>
    </w:p>
    <w:p w14:paraId="38B15968">
      <w:pPr>
        <w:spacing w:line="250" w:lineRule="auto"/>
        <w:rPr>
          <w:rFonts w:ascii="Arial"/>
          <w:sz w:val="21"/>
        </w:rPr>
      </w:pPr>
    </w:p>
    <w:p w14:paraId="3FB0D76C">
      <w:pPr>
        <w:pStyle w:val="2"/>
        <w:spacing w:before="78" w:line="218" w:lineRule="auto"/>
        <w:ind w:left="1899"/>
        <w:rPr>
          <w:sz w:val="24"/>
          <w:szCs w:val="24"/>
        </w:rPr>
      </w:pPr>
      <w:r>
        <w:rPr>
          <w:spacing w:val="-21"/>
          <w:sz w:val="24"/>
          <w:szCs w:val="24"/>
        </w:rPr>
        <w:t>注：硫酸肼有毒、致癌!</w:t>
      </w:r>
    </w:p>
    <w:p w14:paraId="58FD3A90">
      <w:pPr>
        <w:pStyle w:val="2"/>
        <w:spacing w:before="117" w:line="211" w:lineRule="auto"/>
        <w:ind w:left="1903"/>
        <w:rPr>
          <w:sz w:val="24"/>
          <w:szCs w:val="24"/>
        </w:rPr>
      </w:pPr>
      <w:r>
        <w:rPr>
          <w:spacing w:val="-17"/>
          <w:sz w:val="24"/>
          <w:szCs w:val="24"/>
        </w:rPr>
        <w:t>10g／100mL六次甲基四胺溶液</w:t>
      </w:r>
    </w:p>
    <w:p w14:paraId="55E7FAA3">
      <w:pPr>
        <w:pStyle w:val="2"/>
        <w:spacing w:before="123" w:line="217" w:lineRule="auto"/>
        <w:ind w:left="1893"/>
        <w:rPr>
          <w:sz w:val="24"/>
          <w:szCs w:val="24"/>
        </w:rPr>
      </w:pPr>
      <w:r>
        <w:rPr>
          <w:spacing w:val="-16"/>
          <w:sz w:val="24"/>
          <w:szCs w:val="24"/>
        </w:rPr>
        <w:t>称取六次甲基四胺[(CH2)6N4)溶于水</w:t>
      </w:r>
      <w:r>
        <w:rPr>
          <w:spacing w:val="-17"/>
          <w:sz w:val="24"/>
          <w:szCs w:val="24"/>
        </w:rPr>
        <w:t>，定容至100mL。</w:t>
      </w:r>
    </w:p>
    <w:p w14:paraId="19C12CE0">
      <w:pPr>
        <w:pStyle w:val="2"/>
        <w:spacing w:before="119" w:line="218" w:lineRule="auto"/>
        <w:ind w:left="1896"/>
        <w:rPr>
          <w:sz w:val="24"/>
          <w:szCs w:val="24"/>
        </w:rPr>
      </w:pPr>
      <w:r>
        <w:rPr>
          <w:spacing w:val="-19"/>
          <w:sz w:val="24"/>
          <w:szCs w:val="24"/>
        </w:rPr>
        <w:t>浊度标准贮备液</w:t>
      </w:r>
    </w:p>
    <w:p w14:paraId="46F8E9EA">
      <w:pPr>
        <w:pStyle w:val="2"/>
        <w:spacing w:before="118" w:line="306" w:lineRule="auto"/>
        <w:ind w:left="1459" w:right="1335" w:firstLine="444"/>
        <w:rPr>
          <w:sz w:val="24"/>
          <w:szCs w:val="24"/>
        </w:rPr>
      </w:pPr>
      <w:r>
        <w:rPr>
          <w:spacing w:val="-21"/>
          <w:sz w:val="24"/>
          <w:szCs w:val="24"/>
        </w:rPr>
        <w:t>吸取硫酸肼溶液与六次甲基四胺溶液于100mL容量瓶中，混匀。于25±3℃下静置反应24h。</w:t>
      </w:r>
      <w:r>
        <w:rPr>
          <w:spacing w:val="-19"/>
          <w:sz w:val="24"/>
          <w:szCs w:val="24"/>
        </w:rPr>
        <w:t>冷后用水稀释至标线，混匀。此溶液浊度为400度。可保存一个月。</w:t>
      </w:r>
    </w:p>
    <w:p w14:paraId="33E51B79">
      <w:pPr>
        <w:pStyle w:val="2"/>
        <w:spacing w:before="3" w:line="218" w:lineRule="auto"/>
        <w:ind w:left="1894"/>
        <w:rPr>
          <w:sz w:val="24"/>
          <w:szCs w:val="24"/>
        </w:rPr>
      </w:pPr>
      <w:r>
        <w:rPr>
          <w:spacing w:val="-10"/>
          <w:sz w:val="24"/>
          <w:szCs w:val="24"/>
        </w:rPr>
        <w:t>仪器</w:t>
      </w:r>
    </w:p>
    <w:p w14:paraId="35C47A21">
      <w:pPr>
        <w:pStyle w:val="2"/>
        <w:spacing w:before="118" w:line="306" w:lineRule="auto"/>
        <w:ind w:left="1457" w:right="1424" w:firstLine="433"/>
        <w:rPr>
          <w:sz w:val="24"/>
          <w:szCs w:val="24"/>
        </w:rPr>
      </w:pPr>
      <w:r>
        <w:rPr>
          <w:spacing w:val="-19"/>
          <w:sz w:val="24"/>
          <w:szCs w:val="24"/>
        </w:rPr>
        <w:t>50mL具塞比色管。分光光度计。洗瓶500ml，容量瓶100ml，移液管2ml，5ml，10ml，50ml5</w:t>
      </w:r>
      <w:r>
        <w:rPr>
          <w:spacing w:val="-14"/>
          <w:sz w:val="24"/>
          <w:szCs w:val="24"/>
        </w:rPr>
        <w:t>个样品</w:t>
      </w:r>
    </w:p>
    <w:p w14:paraId="5263E542">
      <w:pPr>
        <w:pStyle w:val="2"/>
        <w:spacing w:before="2" w:line="308" w:lineRule="auto"/>
        <w:ind w:left="1453" w:right="1436" w:firstLine="440"/>
        <w:rPr>
          <w:sz w:val="24"/>
          <w:szCs w:val="24"/>
        </w:rPr>
      </w:pPr>
      <w:r>
        <w:rPr>
          <w:spacing w:val="-22"/>
          <w:sz w:val="24"/>
          <w:szCs w:val="24"/>
        </w:rPr>
        <w:t>样品应收集到具塞玻璃瓶中，取样后尽快测定。如需保存，可保存在冷暗处</w:t>
      </w:r>
      <w:r>
        <w:rPr>
          <w:spacing w:val="-23"/>
          <w:sz w:val="24"/>
          <w:szCs w:val="24"/>
        </w:rPr>
        <w:t>不超过24h。测</w:t>
      </w:r>
      <w:r>
        <w:rPr>
          <w:spacing w:val="-20"/>
          <w:sz w:val="24"/>
          <w:szCs w:val="24"/>
        </w:rPr>
        <w:t>试前需激烈振摇并恢复到室温。</w:t>
      </w:r>
    </w:p>
    <w:p w14:paraId="572A6BC5">
      <w:pPr>
        <w:pStyle w:val="2"/>
        <w:spacing w:line="215" w:lineRule="auto"/>
        <w:ind w:left="1894"/>
        <w:rPr>
          <w:sz w:val="24"/>
          <w:szCs w:val="24"/>
        </w:rPr>
      </w:pPr>
      <w:r>
        <w:rPr>
          <w:spacing w:val="-21"/>
          <w:sz w:val="24"/>
          <w:szCs w:val="24"/>
        </w:rPr>
        <w:t>所有与样品接触的玻璃器皿必须清洁，可用盐酸或表面活性</w:t>
      </w:r>
      <w:r>
        <w:rPr>
          <w:spacing w:val="-22"/>
          <w:sz w:val="24"/>
          <w:szCs w:val="24"/>
        </w:rPr>
        <w:t>剂清洗。</w:t>
      </w:r>
    </w:p>
    <w:p w14:paraId="10F7440A">
      <w:pPr>
        <w:pStyle w:val="2"/>
        <w:spacing w:before="121" w:line="215" w:lineRule="auto"/>
        <w:ind w:left="1895"/>
        <w:rPr>
          <w:sz w:val="24"/>
          <w:szCs w:val="24"/>
        </w:rPr>
      </w:pPr>
      <w:r>
        <w:rPr>
          <w:spacing w:val="-11"/>
          <w:sz w:val="24"/>
          <w:szCs w:val="24"/>
        </w:rPr>
        <w:t>步骤</w:t>
      </w:r>
    </w:p>
    <w:p w14:paraId="4AF8BF1F">
      <w:pPr>
        <w:pStyle w:val="2"/>
        <w:spacing w:before="122" w:line="217" w:lineRule="auto"/>
        <w:ind w:left="1903"/>
        <w:rPr>
          <w:sz w:val="24"/>
          <w:szCs w:val="24"/>
        </w:rPr>
      </w:pPr>
      <w:r>
        <w:rPr>
          <w:spacing w:val="-18"/>
          <w:sz w:val="24"/>
          <w:szCs w:val="24"/>
        </w:rPr>
        <w:t>1.标准曲线的绘制</w:t>
      </w:r>
    </w:p>
    <w:p w14:paraId="170333AB">
      <w:pPr>
        <w:pStyle w:val="2"/>
        <w:spacing w:before="117" w:line="308" w:lineRule="auto"/>
        <w:ind w:left="1449" w:right="1353" w:firstLine="453"/>
        <w:rPr>
          <w:sz w:val="24"/>
          <w:szCs w:val="24"/>
        </w:rPr>
      </w:pPr>
      <w:r>
        <w:rPr>
          <w:spacing w:val="-23"/>
          <w:sz w:val="24"/>
          <w:szCs w:val="24"/>
        </w:rPr>
        <w:t>吸取浊度标准液，置于50mL的比色管中，加水至标线。摇匀后，即得浊度为，10，20，40，</w:t>
      </w:r>
      <w:r>
        <w:rPr>
          <w:spacing w:val="-18"/>
          <w:sz w:val="24"/>
          <w:szCs w:val="24"/>
        </w:rPr>
        <w:t>80及100度的标准系列。于680nm波长，用30mm比色皿测定吸光度，绘制校</w:t>
      </w:r>
      <w:r>
        <w:rPr>
          <w:spacing w:val="-19"/>
          <w:sz w:val="24"/>
          <w:szCs w:val="24"/>
        </w:rPr>
        <w:t>准曲线。</w:t>
      </w:r>
    </w:p>
    <w:p w14:paraId="13B105DF">
      <w:pPr>
        <w:pStyle w:val="2"/>
        <w:spacing w:line="215" w:lineRule="auto"/>
        <w:ind w:left="1899"/>
        <w:rPr>
          <w:sz w:val="24"/>
          <w:szCs w:val="24"/>
        </w:rPr>
      </w:pPr>
      <w:r>
        <w:rPr>
          <w:spacing w:val="-18"/>
          <w:sz w:val="24"/>
          <w:szCs w:val="24"/>
        </w:rPr>
        <w:t>注：在680nm波长下测定，天然水中存在淡黄色</w:t>
      </w:r>
      <w:r>
        <w:rPr>
          <w:spacing w:val="-19"/>
          <w:sz w:val="24"/>
          <w:szCs w:val="24"/>
        </w:rPr>
        <w:t>、淡绿色无干扰。</w:t>
      </w:r>
    </w:p>
    <w:p w14:paraId="7B854A0D">
      <w:pPr>
        <w:pStyle w:val="2"/>
        <w:spacing w:before="118" w:line="219" w:lineRule="auto"/>
        <w:ind w:left="1888"/>
        <w:rPr>
          <w:sz w:val="24"/>
          <w:szCs w:val="24"/>
        </w:rPr>
      </w:pPr>
      <w:r>
        <w:rPr>
          <w:spacing w:val="-10"/>
          <w:sz w:val="24"/>
          <w:szCs w:val="24"/>
        </w:rPr>
        <w:t>2.测定</w:t>
      </w:r>
    </w:p>
    <w:p w14:paraId="0E8490DD">
      <w:pPr>
        <w:pStyle w:val="2"/>
        <w:spacing w:before="115" w:line="308" w:lineRule="auto"/>
        <w:ind w:left="1469" w:right="1411" w:firstLine="433"/>
        <w:rPr>
          <w:sz w:val="24"/>
          <w:szCs w:val="24"/>
        </w:rPr>
      </w:pPr>
      <w:r>
        <w:rPr>
          <w:spacing w:val="-21"/>
          <w:sz w:val="24"/>
          <w:szCs w:val="24"/>
        </w:rPr>
        <w:t>吸取摇匀水样[无气泡，如浊度超过100</w:t>
      </w:r>
      <w:r>
        <w:rPr>
          <w:spacing w:val="-22"/>
          <w:sz w:val="24"/>
          <w:szCs w:val="24"/>
        </w:rPr>
        <w:t>度可酌情少取，用无浊度水稀释至]，于50mL比色管中，按绘制校准曲线步骤测定吸光度，由校准曲线上查得水样浊</w:t>
      </w:r>
      <w:r>
        <w:rPr>
          <w:spacing w:val="-23"/>
          <w:sz w:val="24"/>
          <w:szCs w:val="24"/>
        </w:rPr>
        <w:t>度。</w:t>
      </w:r>
    </w:p>
    <w:p w14:paraId="61DD169F">
      <w:pPr>
        <w:pStyle w:val="2"/>
        <w:spacing w:before="1" w:line="215" w:lineRule="auto"/>
        <w:ind w:left="1897"/>
        <w:rPr>
          <w:sz w:val="24"/>
          <w:szCs w:val="24"/>
        </w:rPr>
      </w:pPr>
      <w:r>
        <w:rPr>
          <w:spacing w:val="-19"/>
          <w:sz w:val="24"/>
          <w:szCs w:val="24"/>
        </w:rPr>
        <w:t>结果的表述:A（B+C）式中：A——稀释后水样的浊度，(度)</w:t>
      </w:r>
    </w:p>
    <w:p w14:paraId="7EEEA21D">
      <w:pPr>
        <w:pStyle w:val="2"/>
        <w:spacing w:before="120" w:line="217" w:lineRule="auto"/>
        <w:ind w:left="1896"/>
        <w:rPr>
          <w:sz w:val="24"/>
          <w:szCs w:val="24"/>
        </w:rPr>
      </w:pPr>
      <w:r>
        <w:rPr>
          <w:spacing w:val="-19"/>
          <w:sz w:val="24"/>
          <w:szCs w:val="24"/>
        </w:rPr>
        <w:t>浊度=—————B——稀释水体积，(mL)</w:t>
      </w:r>
    </w:p>
    <w:p w14:paraId="7CD30CB0">
      <w:pPr>
        <w:pStyle w:val="2"/>
        <w:spacing w:before="120" w:line="215" w:lineRule="auto"/>
        <w:ind w:left="1883"/>
        <w:rPr>
          <w:sz w:val="24"/>
          <w:szCs w:val="24"/>
        </w:rPr>
      </w:pPr>
      <w:r>
        <w:rPr>
          <w:spacing w:val="-16"/>
          <w:sz w:val="24"/>
          <w:szCs w:val="24"/>
        </w:rPr>
        <w:t>CC——原水样体积，(mL)。</w:t>
      </w:r>
    </w:p>
    <w:p w14:paraId="7837E160">
      <w:pPr>
        <w:pStyle w:val="2"/>
        <w:spacing w:before="67" w:line="216" w:lineRule="auto"/>
        <w:ind w:left="4310"/>
        <w:outlineLvl w:val="1"/>
        <w:rPr>
          <w:sz w:val="30"/>
          <w:szCs w:val="30"/>
        </w:rPr>
      </w:pPr>
      <w:bookmarkStart w:id="41" w:name="bookmark41"/>
      <w:bookmarkEnd w:id="41"/>
      <w:r>
        <w:rPr>
          <w:b/>
          <w:bCs/>
          <w:color w:val="0070C0"/>
          <w:spacing w:val="-24"/>
          <w:sz w:val="30"/>
          <w:szCs w:val="30"/>
        </w:rPr>
        <w:t>第六节、现状管线迁移恢复</w:t>
      </w:r>
    </w:p>
    <w:p w14:paraId="7D8580D6">
      <w:pPr>
        <w:pStyle w:val="2"/>
        <w:spacing w:before="67" w:line="216" w:lineRule="auto"/>
        <w:ind w:left="1981"/>
        <w:outlineLvl w:val="2"/>
        <w:rPr>
          <w:sz w:val="28"/>
          <w:szCs w:val="28"/>
        </w:rPr>
      </w:pPr>
      <w:bookmarkStart w:id="42" w:name="bookmark42"/>
      <w:bookmarkEnd w:id="42"/>
      <w:r>
        <w:rPr>
          <w:b/>
          <w:bCs/>
          <w:spacing w:val="-22"/>
          <w:sz w:val="28"/>
          <w:szCs w:val="28"/>
        </w:rPr>
        <w:t>一、混凝土管迁移恢复</w:t>
      </w:r>
    </w:p>
    <w:p w14:paraId="0A63B73D">
      <w:pPr>
        <w:pStyle w:val="2"/>
        <w:spacing w:before="107" w:line="220" w:lineRule="auto"/>
        <w:ind w:left="1903"/>
        <w:rPr>
          <w:sz w:val="24"/>
          <w:szCs w:val="24"/>
        </w:rPr>
      </w:pPr>
      <w:r>
        <w:rPr>
          <w:spacing w:val="-19"/>
          <w:sz w:val="24"/>
          <w:szCs w:val="24"/>
        </w:rPr>
        <w:t>1、混凝土管道施工</w:t>
      </w:r>
    </w:p>
    <w:p w14:paraId="4C62CE8C">
      <w:pPr>
        <w:pStyle w:val="2"/>
        <w:spacing w:before="113" w:line="218" w:lineRule="auto"/>
        <w:ind w:left="1903"/>
        <w:rPr>
          <w:sz w:val="24"/>
          <w:szCs w:val="24"/>
        </w:rPr>
      </w:pPr>
      <w:r>
        <w:rPr>
          <w:spacing w:val="-19"/>
          <w:sz w:val="24"/>
          <w:szCs w:val="24"/>
        </w:rPr>
        <w:t>1.1施工放线、沟槽开挖</w:t>
      </w:r>
    </w:p>
    <w:p w14:paraId="7EB710A6">
      <w:pPr>
        <w:pStyle w:val="2"/>
        <w:spacing w:before="115" w:line="293" w:lineRule="auto"/>
        <w:ind w:left="1460" w:right="1411" w:firstLine="443"/>
        <w:rPr>
          <w:sz w:val="24"/>
          <w:szCs w:val="24"/>
        </w:rPr>
      </w:pPr>
      <w:r>
        <w:rPr>
          <w:spacing w:val="-23"/>
          <w:sz w:val="24"/>
          <w:szCs w:val="24"/>
        </w:rPr>
        <w:t>1.2开挖方式：为保证工期，主要采取挖机开挖，在机械无法</w:t>
      </w:r>
      <w:r>
        <w:rPr>
          <w:spacing w:val="-24"/>
          <w:sz w:val="24"/>
          <w:szCs w:val="24"/>
        </w:rPr>
        <w:t>挖掘，地下障碍较复杂或沟槽</w:t>
      </w:r>
      <w:r>
        <w:rPr>
          <w:spacing w:val="-20"/>
          <w:sz w:val="24"/>
          <w:szCs w:val="24"/>
        </w:rPr>
        <w:t>边树木及围墙等密集地段采用人工挖掘，对于沟槽占据公路的及过街的混凝土先用切割机切割</w:t>
      </w:r>
      <w:r>
        <w:rPr>
          <w:spacing w:val="-22"/>
          <w:sz w:val="24"/>
          <w:szCs w:val="24"/>
        </w:rPr>
        <w:t>混凝土路面，然后再进行挖掘，以保证施工端</w:t>
      </w:r>
      <w:r>
        <w:rPr>
          <w:spacing w:val="-23"/>
          <w:sz w:val="24"/>
          <w:szCs w:val="24"/>
        </w:rPr>
        <w:t>面整齐，美观。沟槽开挖时，采用机械开挖为主,</w:t>
      </w:r>
      <w:r>
        <w:rPr>
          <w:spacing w:val="-20"/>
          <w:sz w:val="24"/>
          <w:szCs w:val="24"/>
        </w:rPr>
        <w:t>人工开挖为辅的方法。开挖时沟底表面应连续平整。沟壁应视情况考虑放坡。以保证安全。清除直径大于38mm的圆石或大于25m</w:t>
      </w:r>
      <w:r>
        <w:rPr>
          <w:spacing w:val="-21"/>
          <w:sz w:val="24"/>
          <w:szCs w:val="24"/>
        </w:rPr>
        <w:t>m的夹角形石块。并清除沟上可能掉落的、碰落的物体。以</w:t>
      </w:r>
      <w:r>
        <w:rPr>
          <w:spacing w:val="-22"/>
          <w:sz w:val="24"/>
          <w:szCs w:val="24"/>
        </w:rPr>
        <w:t>防损坏管子。</w:t>
      </w:r>
    </w:p>
    <w:p w14:paraId="56221E9D">
      <w:pPr>
        <w:pStyle w:val="2"/>
        <w:spacing w:before="117" w:line="277" w:lineRule="auto"/>
        <w:ind w:left="1456" w:right="1342" w:firstLine="447"/>
        <w:rPr>
          <w:sz w:val="24"/>
          <w:szCs w:val="24"/>
        </w:rPr>
      </w:pPr>
      <w:r>
        <w:rPr>
          <w:spacing w:val="-22"/>
          <w:sz w:val="24"/>
          <w:szCs w:val="24"/>
        </w:rPr>
        <w:t>1.3沟槽挖深以设计图断面图所示为准。遇土质松软地段，应按规定做好放坡和支撑措施，</w:t>
      </w:r>
      <w:r>
        <w:rPr>
          <w:spacing w:val="-21"/>
          <w:sz w:val="24"/>
          <w:szCs w:val="24"/>
        </w:rPr>
        <w:t>支撑以撑板形式为主，随挖土的加深及时安装，开始支撑的开挖沟槽深度不得超过1</w:t>
      </w:r>
      <w:r>
        <w:rPr>
          <w:spacing w:val="-22"/>
          <w:sz w:val="24"/>
          <w:szCs w:val="24"/>
        </w:rPr>
        <w:t>.0m，以后</w:t>
      </w:r>
      <w:r>
        <w:rPr>
          <w:spacing w:val="-24"/>
          <w:sz w:val="24"/>
          <w:szCs w:val="24"/>
        </w:rPr>
        <w:t>开挖与支撑交替进行，每次交替的深度宜为0.4—0.8m。支撑应经常检查，当发现支撑件有弯曲、</w:t>
      </w:r>
    </w:p>
    <w:p w14:paraId="0689BD63">
      <w:pPr>
        <w:spacing w:line="277" w:lineRule="auto"/>
        <w:rPr>
          <w:sz w:val="24"/>
          <w:szCs w:val="24"/>
        </w:rPr>
        <w:sectPr>
          <w:footerReference r:id="rId63" w:type="default"/>
          <w:pgSz w:w="11907" w:h="16839"/>
          <w:pgMar w:top="954" w:right="4" w:bottom="1038" w:left="0" w:header="499" w:footer="357" w:gutter="0"/>
          <w:pgBorders>
            <w:top w:val="none" w:sz="0" w:space="0"/>
            <w:left w:val="none" w:sz="0" w:space="0"/>
            <w:bottom w:val="none" w:sz="0" w:space="0"/>
            <w:right w:val="none" w:sz="0" w:space="0"/>
          </w:pgBorders>
          <w:cols w:space="720" w:num="1"/>
        </w:sectPr>
      </w:pPr>
    </w:p>
    <w:p w14:paraId="58064D55">
      <w:pPr>
        <w:spacing w:line="251" w:lineRule="auto"/>
        <w:rPr>
          <w:rFonts w:ascii="Arial"/>
          <w:sz w:val="21"/>
        </w:rPr>
      </w:pPr>
    </w:p>
    <w:p w14:paraId="40538163">
      <w:pPr>
        <w:pStyle w:val="2"/>
        <w:spacing w:before="78" w:line="217" w:lineRule="auto"/>
        <w:ind w:left="1455"/>
        <w:rPr>
          <w:sz w:val="24"/>
          <w:szCs w:val="24"/>
        </w:rPr>
      </w:pPr>
      <w:r>
        <w:rPr>
          <w:spacing w:val="-21"/>
          <w:sz w:val="24"/>
          <w:szCs w:val="24"/>
        </w:rPr>
        <w:t>松动、移位或劈裂等迹象时，应及时处理。</w:t>
      </w:r>
    </w:p>
    <w:p w14:paraId="2E16DF2A">
      <w:pPr>
        <w:pStyle w:val="2"/>
        <w:spacing w:before="119" w:line="261" w:lineRule="auto"/>
        <w:ind w:left="1459" w:right="1410" w:firstLine="444"/>
        <w:rPr>
          <w:sz w:val="24"/>
          <w:szCs w:val="24"/>
        </w:rPr>
      </w:pPr>
      <w:r>
        <w:rPr>
          <w:spacing w:val="-24"/>
          <w:sz w:val="24"/>
          <w:szCs w:val="24"/>
        </w:rPr>
        <w:t>1.4管沟挖至设计管底标高后，在下管安装前，应按设计要求验槽，并对不达标处修整，槽</w:t>
      </w:r>
      <w:r>
        <w:rPr>
          <w:spacing w:val="-21"/>
          <w:sz w:val="24"/>
          <w:szCs w:val="24"/>
        </w:rPr>
        <w:t>底应检平，有超挖的，用素土和黄沙夯实至设计标高</w:t>
      </w:r>
      <w:r>
        <w:rPr>
          <w:spacing w:val="-22"/>
          <w:sz w:val="24"/>
          <w:szCs w:val="24"/>
        </w:rPr>
        <w:t>后方可下管安装。</w:t>
      </w:r>
    </w:p>
    <w:p w14:paraId="0DFEF1D6">
      <w:pPr>
        <w:pStyle w:val="2"/>
        <w:spacing w:before="121" w:line="277" w:lineRule="auto"/>
        <w:ind w:left="1460" w:right="1409" w:firstLine="443"/>
        <w:rPr>
          <w:sz w:val="24"/>
          <w:szCs w:val="24"/>
        </w:rPr>
      </w:pPr>
      <w:r>
        <w:rPr>
          <w:spacing w:val="-21"/>
          <w:sz w:val="24"/>
          <w:szCs w:val="24"/>
        </w:rPr>
        <w:t>1.5管槽两侧堆土不得高于1.5米，且距槽口边缘不宜小于0.8米；不得</w:t>
      </w:r>
      <w:r>
        <w:rPr>
          <w:spacing w:val="-22"/>
          <w:sz w:val="24"/>
          <w:szCs w:val="24"/>
        </w:rPr>
        <w:t>掩埋消火栓、管道</w:t>
      </w:r>
      <w:r>
        <w:rPr>
          <w:spacing w:val="-20"/>
          <w:sz w:val="24"/>
          <w:szCs w:val="24"/>
        </w:rPr>
        <w:t>闸阀、雨水口、测量标志以及各种地下管道的井盖，以妨碍其正常使用。不得堆放于公路易造</w:t>
      </w:r>
      <w:r>
        <w:rPr>
          <w:spacing w:val="-21"/>
          <w:sz w:val="24"/>
          <w:szCs w:val="24"/>
        </w:rPr>
        <w:t>成交通阻碍的地方，应采取夜间及时运除余土。</w:t>
      </w:r>
    </w:p>
    <w:p w14:paraId="6AE74B00">
      <w:pPr>
        <w:pStyle w:val="2"/>
        <w:spacing w:before="117" w:line="264" w:lineRule="auto"/>
        <w:ind w:left="1462" w:right="1410" w:firstLine="441"/>
        <w:rPr>
          <w:sz w:val="24"/>
          <w:szCs w:val="24"/>
        </w:rPr>
      </w:pPr>
      <w:r>
        <w:rPr>
          <w:spacing w:val="-23"/>
          <w:sz w:val="24"/>
          <w:szCs w:val="24"/>
        </w:rPr>
        <w:t>1.6基础基坑开挖后采取基坑排水，施工时采取潜水泵抽排水，</w:t>
      </w:r>
      <w:r>
        <w:rPr>
          <w:spacing w:val="-24"/>
          <w:sz w:val="24"/>
          <w:szCs w:val="24"/>
        </w:rPr>
        <w:t>并注意坑边坡的稳定和地基</w:t>
      </w:r>
      <w:r>
        <w:rPr>
          <w:spacing w:val="-18"/>
          <w:sz w:val="24"/>
          <w:szCs w:val="24"/>
        </w:rPr>
        <w:t>不被扰动。</w:t>
      </w:r>
    </w:p>
    <w:p w14:paraId="01DA220D">
      <w:pPr>
        <w:pStyle w:val="2"/>
        <w:spacing w:before="113" w:line="217" w:lineRule="auto"/>
        <w:ind w:left="1903"/>
        <w:rPr>
          <w:sz w:val="24"/>
          <w:szCs w:val="24"/>
        </w:rPr>
      </w:pPr>
      <w:r>
        <w:rPr>
          <w:spacing w:val="-21"/>
          <w:sz w:val="24"/>
          <w:szCs w:val="24"/>
        </w:rPr>
        <w:t>1.7沟槽开挖完毕后，应立即浇筑垫层进行封闭。</w:t>
      </w:r>
    </w:p>
    <w:p w14:paraId="5E3905EA">
      <w:pPr>
        <w:pStyle w:val="2"/>
        <w:spacing w:before="119" w:line="218" w:lineRule="auto"/>
        <w:ind w:left="1903"/>
        <w:rPr>
          <w:sz w:val="24"/>
          <w:szCs w:val="24"/>
        </w:rPr>
      </w:pPr>
      <w:r>
        <w:rPr>
          <w:spacing w:val="-16"/>
          <w:sz w:val="24"/>
          <w:szCs w:val="24"/>
        </w:rPr>
        <w:t>1.8基槽处理</w:t>
      </w:r>
    </w:p>
    <w:p w14:paraId="5DE089F6">
      <w:pPr>
        <w:pStyle w:val="2"/>
        <w:spacing w:before="116" w:line="278" w:lineRule="auto"/>
        <w:ind w:left="1456" w:right="1410" w:firstLine="447"/>
        <w:rPr>
          <w:sz w:val="24"/>
          <w:szCs w:val="24"/>
        </w:rPr>
      </w:pPr>
      <w:r>
        <w:rPr>
          <w:spacing w:val="-23"/>
          <w:sz w:val="24"/>
          <w:szCs w:val="24"/>
        </w:rPr>
        <w:t>1.8.1基槽处理是保证管道施工质量的重要工序。开槽时如遇地质情况不良。须按设计文件</w:t>
      </w:r>
      <w:r>
        <w:rPr>
          <w:spacing w:val="-20"/>
          <w:sz w:val="24"/>
          <w:szCs w:val="24"/>
        </w:rPr>
        <w:t>及相应规范要求进行处理．避免产生不均匀沉降。使管道局部应力增大。若有局部超挖。还要</w:t>
      </w:r>
      <w:r>
        <w:rPr>
          <w:spacing w:val="-21"/>
          <w:sz w:val="24"/>
          <w:szCs w:val="24"/>
        </w:rPr>
        <w:t>按照设计要求回填夯实至槽底标高。</w:t>
      </w:r>
    </w:p>
    <w:p w14:paraId="07ADB926">
      <w:pPr>
        <w:pStyle w:val="2"/>
        <w:spacing w:before="117" w:line="261" w:lineRule="auto"/>
        <w:ind w:left="1457" w:right="1422" w:firstLine="446"/>
        <w:rPr>
          <w:sz w:val="24"/>
          <w:szCs w:val="24"/>
        </w:rPr>
      </w:pPr>
      <w:r>
        <w:rPr>
          <w:spacing w:val="-19"/>
          <w:sz w:val="24"/>
          <w:szCs w:val="24"/>
        </w:rPr>
        <w:t>1.8.2开挖管接头承插工作坑。其底部宽度应大于承口外径。长度应覆</w:t>
      </w:r>
      <w:r>
        <w:rPr>
          <w:spacing w:val="-20"/>
          <w:sz w:val="24"/>
          <w:szCs w:val="24"/>
        </w:rPr>
        <w:t>盖承口前后200mm。</w:t>
      </w:r>
      <w:r>
        <w:rPr>
          <w:spacing w:val="-21"/>
          <w:sz w:val="24"/>
          <w:szCs w:val="24"/>
        </w:rPr>
        <w:t>接口施工完毕后。采用与砂垫层相同的材料和密实度进行</w:t>
      </w:r>
      <w:r>
        <w:rPr>
          <w:spacing w:val="-22"/>
          <w:sz w:val="24"/>
          <w:szCs w:val="24"/>
        </w:rPr>
        <w:t>回填。</w:t>
      </w:r>
    </w:p>
    <w:p w14:paraId="1E205C2D">
      <w:pPr>
        <w:pStyle w:val="2"/>
        <w:spacing w:before="121" w:line="218" w:lineRule="auto"/>
        <w:ind w:left="1903"/>
        <w:rPr>
          <w:sz w:val="24"/>
          <w:szCs w:val="24"/>
        </w:rPr>
      </w:pPr>
      <w:r>
        <w:rPr>
          <w:spacing w:val="-17"/>
          <w:sz w:val="24"/>
          <w:szCs w:val="24"/>
        </w:rPr>
        <w:t>1.9沟槽验收</w:t>
      </w:r>
    </w:p>
    <w:p w14:paraId="5D73AC57">
      <w:pPr>
        <w:pStyle w:val="2"/>
        <w:spacing w:before="117" w:line="263" w:lineRule="auto"/>
        <w:ind w:left="1455" w:right="1342" w:firstLine="437"/>
        <w:rPr>
          <w:sz w:val="24"/>
          <w:szCs w:val="24"/>
        </w:rPr>
      </w:pPr>
      <w:r>
        <w:rPr>
          <w:spacing w:val="-23"/>
          <w:sz w:val="24"/>
          <w:szCs w:val="24"/>
        </w:rPr>
        <w:t>按工程规定的最小验收长度。在施工单位自检合格的基</w:t>
      </w:r>
      <w:r>
        <w:rPr>
          <w:spacing w:val="-24"/>
          <w:sz w:val="24"/>
          <w:szCs w:val="24"/>
        </w:rPr>
        <w:t>础上。由监理单位会同建设、设计、</w:t>
      </w:r>
      <w:r>
        <w:rPr>
          <w:spacing w:val="-21"/>
          <w:sz w:val="24"/>
          <w:szCs w:val="24"/>
        </w:rPr>
        <w:t>施工单位对槽底高程、底宽、垫层料厚度等指标进行检查。合</w:t>
      </w:r>
      <w:r>
        <w:rPr>
          <w:spacing w:val="-22"/>
          <w:sz w:val="24"/>
          <w:szCs w:val="24"/>
        </w:rPr>
        <w:t>格后移交给安装单位。</w:t>
      </w:r>
    </w:p>
    <w:tbl>
      <w:tblPr>
        <w:tblStyle w:val="6"/>
        <w:tblW w:w="9089" w:type="dxa"/>
        <w:tblInd w:w="1409"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707"/>
        <w:gridCol w:w="4382"/>
      </w:tblGrid>
      <w:tr w14:paraId="3D46B9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41" w:hRule="atLeast"/>
        </w:trPr>
        <w:tc>
          <w:tcPr>
            <w:tcW w:w="4707" w:type="dxa"/>
            <w:tcBorders>
              <w:top w:val="single" w:color="000000" w:sz="4" w:space="0"/>
              <w:left w:val="single" w:color="000000" w:sz="4" w:space="0"/>
            </w:tcBorders>
            <w:shd w:val="clear" w:color="auto" w:fill="DEEAF6"/>
            <w:vAlign w:val="top"/>
          </w:tcPr>
          <w:p w14:paraId="3F4AF892">
            <w:pPr>
              <w:spacing w:before="188" w:line="5748" w:lineRule="exact"/>
              <w:ind w:firstLine="169"/>
            </w:pPr>
            <w:r>
              <w:pict>
                <v:group id="_x0000_s1599" o:spid="_x0000_s1599" o:spt="203" style="position:absolute;left:0pt;margin-left:-0.2pt;margin-top:0pt;height:312.8pt;width:235.15pt;mso-position-horizontal-relative:page;mso-position-vertical-relative:page;z-index:251768832;mso-width-relative:page;mso-height-relative:page;" coordsize="4702,6255">
                  <o:lock v:ext="edit"/>
                  <v:group id="_x0000_s1600" o:spid="_x0000_s1600" o:spt="203" style="position:absolute;left:0;top:0;height:103;width:4697;" coordsize="4697,103">
                    <o:lock v:ext="edit"/>
                    <v:shape id="_x0000_s1601" o:spid="_x0000_s1601" style="position:absolute;left:0;top:0;height:15;width:44;" fillcolor="#5B9BD5" filled="t" stroked="f" coordsize="44,15" path="m0,14l43,14,43,0,0,0,0,14xe">
                      <v:path/>
                      <v:fill on="t" focussize="0,0"/>
                      <v:stroke on="f"/>
                      <v:imagedata o:title=""/>
                      <o:lock v:ext="edit"/>
                    </v:shape>
                    <v:shape id="_x0000_s1602" o:spid="_x0000_s1602" style="position:absolute;left:43;top:43;height:60;width:4653;" fillcolor="#DEEAF6" filled="t" stroked="f" coordsize="4653,60" path="m0,60l4653,60,4653,0,0,0,0,60xe">
                      <v:path/>
                      <v:fill on="t" focussize="0,0"/>
                      <v:stroke on="f"/>
                      <v:imagedata o:title=""/>
                      <o:lock v:ext="edit"/>
                    </v:shape>
                  </v:group>
                  <v:shape id="_x0000_s1603" o:spid="_x0000_s1603" style="position:absolute;left:21;top:6197;height:58;width:4681;" fillcolor="#DEEAF6" filled="t" stroked="f" coordsize="4681,58" path="m0,57l4680,57,4680,0,0,0,0,57xe">
                    <v:path/>
                    <v:fill on="t" focussize="0,0"/>
                    <v:stroke on="f"/>
                    <v:imagedata o:title=""/>
                    <o:lock v:ext="edit"/>
                  </v:shape>
                </v:group>
              </w:pict>
            </w:r>
            <w:r>
              <w:rPr>
                <w:position w:val="-114"/>
              </w:rPr>
              <w:drawing>
                <wp:inline distT="0" distB="0" distL="0" distR="0">
                  <wp:extent cx="2772410" cy="3649345"/>
                  <wp:effectExtent l="0" t="0" r="0" b="0"/>
                  <wp:docPr id="416" name="IM 416"/>
                  <wp:cNvGraphicFramePr/>
                  <a:graphic xmlns:a="http://schemas.openxmlformats.org/drawingml/2006/main">
                    <a:graphicData uri="http://schemas.openxmlformats.org/drawingml/2006/picture">
                      <pic:pic xmlns:pic="http://schemas.openxmlformats.org/drawingml/2006/picture">
                        <pic:nvPicPr>
                          <pic:cNvPr id="416" name="IM 416"/>
                          <pic:cNvPicPr/>
                        </pic:nvPicPr>
                        <pic:blipFill>
                          <a:blip r:embed="rId486"/>
                          <a:stretch>
                            <a:fillRect/>
                          </a:stretch>
                        </pic:blipFill>
                        <pic:spPr>
                          <a:xfrm>
                            <a:off x="0" y="0"/>
                            <a:ext cx="2772410" cy="3649979"/>
                          </a:xfrm>
                          <a:prstGeom prst="rect">
                            <a:avLst/>
                          </a:prstGeom>
                        </pic:spPr>
                      </pic:pic>
                    </a:graphicData>
                  </a:graphic>
                </wp:inline>
              </w:drawing>
            </w:r>
          </w:p>
        </w:tc>
        <w:tc>
          <w:tcPr>
            <w:tcW w:w="4382" w:type="dxa"/>
            <w:tcBorders>
              <w:top w:val="single" w:color="5B9BD5" w:sz="4" w:space="0"/>
              <w:right w:val="single" w:color="5B9BD5" w:sz="4" w:space="0"/>
            </w:tcBorders>
            <w:shd w:val="clear" w:color="auto" w:fill="DEEAF6"/>
            <w:vAlign w:val="top"/>
          </w:tcPr>
          <w:p w14:paraId="2F877644">
            <w:pPr>
              <w:spacing w:before="92" w:line="5940" w:lineRule="exact"/>
              <w:ind w:firstLine="145"/>
            </w:pPr>
            <w:r>
              <w:pict>
                <v:group id="_x0000_s1604" o:spid="_x0000_s1604" o:spt="203" style="position:absolute;left:0pt;margin-left:-0.45pt;margin-top:0pt;height:312.8pt;width:219.9pt;mso-position-horizontal-relative:page;mso-position-vertical-relative:page;z-index:251766784;mso-width-relative:page;mso-height-relative:page;" coordsize="4397,6255">
                  <o:lock v:ext="edit"/>
                  <v:group id="_x0000_s1605" o:spid="_x0000_s1605" o:spt="203" style="position:absolute;left:38;top:0;height:103;width:4360;" coordsize="4360,103">
                    <o:lock v:ext="edit"/>
                    <v:shape id="_x0000_s1606" o:spid="_x0000_s1606" style="position:absolute;left:0;top:43;height:60;width:4317;" fillcolor="#DEEAF6" filled="t" stroked="f" coordsize="4317,60" path="m0,60l4316,60,4316,0,0,0,0,60xe">
                      <v:path/>
                      <v:fill on="t" focussize="0,0"/>
                      <v:stroke on="f"/>
                      <v:imagedata o:title=""/>
                      <o:lock v:ext="edit"/>
                    </v:shape>
                    <v:shape id="_x0000_s1607" o:spid="_x0000_s1607" style="position:absolute;left:4316;top:0;height:15;width:44;" fillcolor="#5B9BD5" filled="t" stroked="f" coordsize="44,15" path="m0,14l43,14,43,0,0,0,0,14xe">
                      <v:path/>
                      <v:fill on="t" focussize="0,0"/>
                      <v:stroke on="f"/>
                      <v:imagedata o:title=""/>
                      <o:lock v:ext="edit"/>
                    </v:shape>
                  </v:group>
                  <v:shape id="_x0000_s1608" o:spid="_x0000_s1608" style="position:absolute;left:0;top:6197;height:58;width:4377;" fillcolor="#DEEAF6" filled="t" stroked="f" coordsize="4377,58" path="m0,57l4376,57,4376,0,0,0,0,57xe">
                    <v:path/>
                    <v:fill on="t" focussize="0,0"/>
                    <v:stroke on="f"/>
                    <v:imagedata o:title=""/>
                    <o:lock v:ext="edit"/>
                  </v:shape>
                </v:group>
              </w:pict>
            </w:r>
            <w:r>
              <w:rPr>
                <w:position w:val="-118"/>
              </w:rPr>
              <w:drawing>
                <wp:inline distT="0" distB="0" distL="0" distR="0">
                  <wp:extent cx="2576195" cy="3771900"/>
                  <wp:effectExtent l="0" t="0" r="0" b="0"/>
                  <wp:docPr id="418" name="IM 418"/>
                  <wp:cNvGraphicFramePr/>
                  <a:graphic xmlns:a="http://schemas.openxmlformats.org/drawingml/2006/main">
                    <a:graphicData uri="http://schemas.openxmlformats.org/drawingml/2006/picture">
                      <pic:pic xmlns:pic="http://schemas.openxmlformats.org/drawingml/2006/picture">
                        <pic:nvPicPr>
                          <pic:cNvPr id="418" name="IM 418"/>
                          <pic:cNvPicPr/>
                        </pic:nvPicPr>
                        <pic:blipFill>
                          <a:blip r:embed="rId487"/>
                          <a:stretch>
                            <a:fillRect/>
                          </a:stretch>
                        </pic:blipFill>
                        <pic:spPr>
                          <a:xfrm>
                            <a:off x="0" y="0"/>
                            <a:ext cx="2576829" cy="3771900"/>
                          </a:xfrm>
                          <a:prstGeom prst="rect">
                            <a:avLst/>
                          </a:prstGeom>
                        </pic:spPr>
                      </pic:pic>
                    </a:graphicData>
                  </a:graphic>
                </wp:inline>
              </w:drawing>
            </w:r>
          </w:p>
        </w:tc>
      </w:tr>
      <w:tr w14:paraId="2B7C72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5" w:hRule="atLeast"/>
        </w:trPr>
        <w:tc>
          <w:tcPr>
            <w:tcW w:w="4707" w:type="dxa"/>
            <w:tcBorders>
              <w:left w:val="single" w:color="1C456A" w:sz="4" w:space="0"/>
              <w:bottom w:val="single" w:color="1C456A" w:sz="4" w:space="0"/>
            </w:tcBorders>
            <w:vAlign w:val="top"/>
          </w:tcPr>
          <w:p w14:paraId="663AE3D9">
            <w:pPr>
              <w:pStyle w:val="7"/>
              <w:spacing w:before="102" w:line="218" w:lineRule="auto"/>
              <w:ind w:left="1524"/>
            </w:pPr>
            <w:r>
              <w:pict>
                <v:shape id="_x0000_s1609" o:spid="_x0000_s1609" style="position:absolute;left:0pt;margin-left:-0.2pt;margin-top:31.25pt;height:0.75pt;width:2.2pt;mso-position-horizontal-relative:page;mso-position-vertical-relative:page;z-index:251767808;mso-width-relative:page;mso-height-relative:page;" fillcolor="#5B9BD5" filled="t" stroked="f" coordsize="44,15" path="m0,14l43,14,43,0,0,0,0,14xe">
                  <v:path/>
                  <v:fill on="t" focussize="0,0"/>
                  <v:stroke on="f"/>
                  <v:imagedata o:title=""/>
                  <o:lock v:ext="edit"/>
                </v:shape>
              </w:pict>
            </w:r>
            <w:r>
              <w:rPr>
                <w:spacing w:val="-15"/>
              </w:rPr>
              <w:t>沟槽开挖施工图1</w:t>
            </w:r>
          </w:p>
        </w:tc>
        <w:tc>
          <w:tcPr>
            <w:tcW w:w="4382" w:type="dxa"/>
            <w:tcBorders>
              <w:bottom w:val="single" w:color="5B9BD5" w:sz="4" w:space="0"/>
              <w:right w:val="single" w:color="5B9BD5" w:sz="4" w:space="0"/>
            </w:tcBorders>
            <w:vAlign w:val="top"/>
          </w:tcPr>
          <w:p w14:paraId="514D0A5A">
            <w:pPr>
              <w:pStyle w:val="7"/>
              <w:spacing w:before="102" w:line="218" w:lineRule="auto"/>
              <w:ind w:left="1347"/>
            </w:pPr>
            <w:r>
              <w:pict>
                <v:shape id="_x0000_s1610" o:spid="_x0000_s1610" style="position:absolute;left:0pt;margin-left:217.25pt;margin-top:31.25pt;height:0.75pt;width:2.2pt;mso-position-horizontal-relative:page;mso-position-vertical-relative:page;z-index:251765760;mso-width-relative:page;mso-height-relative:page;" fillcolor="#5B9BD5" filled="t" stroked="f" coordsize="44,15" path="m0,14l43,14,43,0,0,0,0,14xe">
                  <v:path/>
                  <v:fill on="t" focussize="0,0"/>
                  <v:stroke on="f"/>
                  <v:imagedata o:title=""/>
                  <o:lock v:ext="edit"/>
                </v:shape>
              </w:pict>
            </w:r>
            <w:r>
              <w:rPr>
                <w:spacing w:val="-15"/>
              </w:rPr>
              <w:t>沟槽开挖施工图2</w:t>
            </w:r>
          </w:p>
        </w:tc>
      </w:tr>
    </w:tbl>
    <w:p w14:paraId="26ECC344">
      <w:pPr>
        <w:rPr>
          <w:rFonts w:ascii="Arial"/>
          <w:sz w:val="21"/>
        </w:rPr>
      </w:pPr>
    </w:p>
    <w:p w14:paraId="143EBE6C">
      <w:pPr>
        <w:rPr>
          <w:rFonts w:ascii="Arial" w:hAnsi="Arial" w:eastAsia="Arial" w:cs="Arial"/>
          <w:sz w:val="21"/>
          <w:szCs w:val="21"/>
        </w:rPr>
        <w:sectPr>
          <w:footerReference r:id="rId64" w:type="default"/>
          <w:pgSz w:w="11907" w:h="16839"/>
          <w:pgMar w:top="954" w:right="4" w:bottom="1038" w:left="0" w:header="499" w:footer="357" w:gutter="0"/>
          <w:pgBorders>
            <w:top w:val="none" w:sz="0" w:space="0"/>
            <w:left w:val="none" w:sz="0" w:space="0"/>
            <w:bottom w:val="none" w:sz="0" w:space="0"/>
            <w:right w:val="none" w:sz="0" w:space="0"/>
          </w:pgBorders>
          <w:cols w:space="720" w:num="1"/>
        </w:sectPr>
      </w:pPr>
    </w:p>
    <w:p w14:paraId="121096C9">
      <w:pPr>
        <w:spacing w:line="250" w:lineRule="auto"/>
        <w:rPr>
          <w:rFonts w:ascii="Arial"/>
          <w:sz w:val="21"/>
        </w:rPr>
      </w:pPr>
    </w:p>
    <w:p w14:paraId="5E1417FD">
      <w:pPr>
        <w:pStyle w:val="2"/>
        <w:spacing w:before="78" w:line="216" w:lineRule="auto"/>
        <w:ind w:left="1888"/>
        <w:rPr>
          <w:sz w:val="24"/>
          <w:szCs w:val="24"/>
        </w:rPr>
      </w:pPr>
      <w:r>
        <w:rPr>
          <w:spacing w:val="-19"/>
          <w:sz w:val="24"/>
          <w:szCs w:val="24"/>
        </w:rPr>
        <w:t>2、混凝土管道及检查井施工</w:t>
      </w:r>
    </w:p>
    <w:p w14:paraId="63AD4A4A">
      <w:pPr>
        <w:pStyle w:val="2"/>
        <w:spacing w:before="120" w:line="218" w:lineRule="auto"/>
        <w:ind w:left="1888"/>
        <w:rPr>
          <w:sz w:val="24"/>
          <w:szCs w:val="24"/>
        </w:rPr>
      </w:pPr>
      <w:r>
        <w:rPr>
          <w:spacing w:val="-15"/>
          <w:sz w:val="24"/>
          <w:szCs w:val="24"/>
        </w:rPr>
        <w:t>2.1沟槽开挖</w:t>
      </w:r>
    </w:p>
    <w:p w14:paraId="1AD53E77">
      <w:pPr>
        <w:pStyle w:val="2"/>
        <w:spacing w:before="115" w:line="308" w:lineRule="auto"/>
        <w:ind w:left="1463" w:right="1411" w:firstLine="431"/>
        <w:rPr>
          <w:sz w:val="24"/>
          <w:szCs w:val="24"/>
        </w:rPr>
      </w:pPr>
      <w:r>
        <w:rPr>
          <w:spacing w:val="-21"/>
          <w:sz w:val="24"/>
          <w:szCs w:val="24"/>
        </w:rPr>
        <w:t>沟槽开挖采用挖掘机挖方自卸汽车、翻斗车配合运转。预留150mm厚作为人工修理，开挖至设计高程，自检合格后即邀请建设方、监</w:t>
      </w:r>
      <w:r>
        <w:rPr>
          <w:spacing w:val="-22"/>
          <w:sz w:val="24"/>
          <w:szCs w:val="24"/>
        </w:rPr>
        <w:t>理方、质量监督方、设计方到场验收。</w:t>
      </w:r>
    </w:p>
    <w:p w14:paraId="4165571F">
      <w:pPr>
        <w:pStyle w:val="2"/>
        <w:spacing w:line="307" w:lineRule="auto"/>
        <w:ind w:left="1458" w:right="1410" w:firstLine="436"/>
        <w:rPr>
          <w:sz w:val="24"/>
          <w:szCs w:val="24"/>
        </w:rPr>
      </w:pPr>
      <w:r>
        <w:rPr>
          <w:spacing w:val="-20"/>
          <w:sz w:val="24"/>
          <w:szCs w:val="24"/>
        </w:rPr>
        <w:t>沟槽开挖必须保证沟槽边坡符合有关规范及土质要求。机械开挖沟槽时，要控制好槽底高</w:t>
      </w:r>
      <w:r>
        <w:rPr>
          <w:spacing w:val="-19"/>
          <w:sz w:val="24"/>
          <w:szCs w:val="24"/>
        </w:rPr>
        <w:t>程，防止超挖。</w:t>
      </w:r>
    </w:p>
    <w:p w14:paraId="1E02EEDA">
      <w:pPr>
        <w:pStyle w:val="2"/>
        <w:spacing w:before="1" w:line="218" w:lineRule="auto"/>
        <w:ind w:left="1888"/>
        <w:rPr>
          <w:sz w:val="24"/>
          <w:szCs w:val="24"/>
        </w:rPr>
      </w:pPr>
      <w:r>
        <w:rPr>
          <w:spacing w:val="-11"/>
          <w:sz w:val="24"/>
          <w:szCs w:val="24"/>
        </w:rPr>
        <w:t>2.2铺管</w:t>
      </w:r>
    </w:p>
    <w:p w14:paraId="04A06180">
      <w:pPr>
        <w:pStyle w:val="2"/>
        <w:spacing w:before="118" w:line="306" w:lineRule="auto"/>
        <w:ind w:left="1456" w:right="1410" w:firstLine="437"/>
        <w:rPr>
          <w:sz w:val="24"/>
          <w:szCs w:val="24"/>
        </w:rPr>
      </w:pPr>
      <w:r>
        <w:rPr>
          <w:spacing w:val="-21"/>
          <w:sz w:val="24"/>
          <w:szCs w:val="24"/>
        </w:rPr>
        <w:t>根据填土深度按S2标准选择管座型式及平基高度。砼平基、浇筑高程严控，振捣严密。二次浇筑管座冲刷后进行，肩高可在管外壁划线控制。安管</w:t>
      </w:r>
      <w:r>
        <w:rPr>
          <w:spacing w:val="-22"/>
          <w:sz w:val="24"/>
          <w:szCs w:val="24"/>
        </w:rPr>
        <w:t>端直，下管小心以防损坏管口。</w:t>
      </w:r>
    </w:p>
    <w:p w14:paraId="56CF7EBA">
      <w:pPr>
        <w:pStyle w:val="2"/>
        <w:spacing w:before="2" w:line="293" w:lineRule="auto"/>
        <w:ind w:left="1455" w:right="1353" w:firstLine="439"/>
        <w:jc w:val="both"/>
        <w:rPr>
          <w:sz w:val="24"/>
          <w:szCs w:val="24"/>
        </w:rPr>
      </w:pPr>
      <w:r>
        <w:rPr>
          <w:spacing w:val="-20"/>
          <w:sz w:val="24"/>
          <w:szCs w:val="24"/>
        </w:rPr>
        <w:t>沟槽回填前，必须将槽底杂物清理干净，回填土从</w:t>
      </w:r>
      <w:r>
        <w:rPr>
          <w:spacing w:val="-21"/>
          <w:sz w:val="24"/>
          <w:szCs w:val="24"/>
        </w:rPr>
        <w:t>槽顶至管顶以上0.5m范围内不含有有机</w:t>
      </w:r>
      <w:r>
        <w:rPr>
          <w:spacing w:val="-24"/>
          <w:sz w:val="24"/>
          <w:szCs w:val="24"/>
        </w:rPr>
        <w:t>物、冻土大于50mm的砖石等硬块。回填土的含水量，按土类和压实工具控制在</w:t>
      </w:r>
      <w:r>
        <w:rPr>
          <w:spacing w:val="-25"/>
          <w:sz w:val="24"/>
          <w:szCs w:val="24"/>
        </w:rPr>
        <w:t>最佳含水量附近，</w:t>
      </w:r>
      <w:r>
        <w:rPr>
          <w:spacing w:val="-19"/>
          <w:sz w:val="24"/>
          <w:szCs w:val="24"/>
        </w:rPr>
        <w:t>胸腔以上及左右30cm人工回填，土方回填在管顶50厘米内对称地在管道两边分层用铁夯人工</w:t>
      </w:r>
      <w:r>
        <w:rPr>
          <w:spacing w:val="-20"/>
          <w:sz w:val="24"/>
          <w:szCs w:val="24"/>
        </w:rPr>
        <w:t>压实，每层虚铺厚度不超过25cm，管顶50厘米以上用打夯机分层碾压，以确保回填压实度，若管道沟槽位于路基范围内，管顶以上25cm范围内回填土表层的压实度不应</w:t>
      </w:r>
      <w:r>
        <w:rPr>
          <w:spacing w:val="-21"/>
          <w:sz w:val="24"/>
          <w:szCs w:val="24"/>
        </w:rPr>
        <w:t>小于87%。其它部位</w:t>
      </w:r>
      <w:r>
        <w:rPr>
          <w:spacing w:val="-19"/>
          <w:sz w:val="24"/>
          <w:szCs w:val="24"/>
        </w:rPr>
        <w:t>回填土压实度如下：</w:t>
      </w:r>
    </w:p>
    <w:tbl>
      <w:tblPr>
        <w:tblStyle w:val="6"/>
        <w:tblW w:w="9661" w:type="dxa"/>
        <w:tblInd w:w="112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47"/>
        <w:gridCol w:w="3888"/>
        <w:gridCol w:w="3749"/>
        <w:gridCol w:w="1077"/>
      </w:tblGrid>
      <w:tr w14:paraId="43A902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2" w:hRule="atLeast"/>
        </w:trPr>
        <w:tc>
          <w:tcPr>
            <w:tcW w:w="947" w:type="dxa"/>
            <w:tcBorders>
              <w:top w:val="single" w:color="000000" w:sz="4" w:space="0"/>
              <w:left w:val="single" w:color="000000" w:sz="4" w:space="0"/>
              <w:right w:val="nil"/>
            </w:tcBorders>
            <w:shd w:val="clear" w:color="auto" w:fill="DEEAF6"/>
            <w:vAlign w:val="top"/>
          </w:tcPr>
          <w:p w14:paraId="0E8A7D92">
            <w:pPr>
              <w:rPr>
                <w:rFonts w:ascii="Arial"/>
                <w:sz w:val="21"/>
              </w:rPr>
            </w:pPr>
            <w:r>
              <w:pict>
                <v:shape id="_x0000_s1611" o:spid="_x0000_s1611" style="position:absolute;left:0pt;margin-left:-0.25pt;margin-top:0pt;height:0.75pt;width:2.2pt;mso-position-horizontal-relative:page;mso-position-vertical-relative:page;z-index:251772928;mso-width-relative:page;mso-height-relative:page;" fillcolor="#5B9BD5" filled="t" stroked="f" coordsize="44,15" path="m0,14l43,14,43,0,0,0,0,14xe">
                  <v:path/>
                  <v:fill on="t" focussize="0,0"/>
                  <v:stroke on="f"/>
                  <v:imagedata o:title=""/>
                  <o:lock v:ext="edit"/>
                </v:shape>
              </w:pict>
            </w:r>
          </w:p>
        </w:tc>
        <w:tc>
          <w:tcPr>
            <w:tcW w:w="3888" w:type="dxa"/>
            <w:tcBorders>
              <w:top w:val="single" w:color="000000" w:sz="4" w:space="0"/>
              <w:left w:val="nil"/>
            </w:tcBorders>
            <w:shd w:val="clear" w:color="auto" w:fill="DEEAF6"/>
            <w:vAlign w:val="top"/>
          </w:tcPr>
          <w:p w14:paraId="6B112C36">
            <w:pPr>
              <w:pStyle w:val="7"/>
              <w:spacing w:before="179" w:line="218" w:lineRule="auto"/>
              <w:ind w:left="1049"/>
            </w:pPr>
            <w:r>
              <w:rPr>
                <w:b/>
                <w:bCs/>
                <w:spacing w:val="-18"/>
              </w:rPr>
              <w:t>路槽以下</w:t>
            </w:r>
          </w:p>
        </w:tc>
        <w:tc>
          <w:tcPr>
            <w:tcW w:w="3749" w:type="dxa"/>
            <w:tcBorders>
              <w:top w:val="single" w:color="5B9BD5" w:sz="4" w:space="0"/>
              <w:right w:val="nil"/>
            </w:tcBorders>
            <w:shd w:val="clear" w:color="auto" w:fill="DEEAF6"/>
            <w:vAlign w:val="top"/>
          </w:tcPr>
          <w:p w14:paraId="588B5D0B">
            <w:pPr>
              <w:pStyle w:val="7"/>
              <w:spacing w:before="179" w:line="218" w:lineRule="auto"/>
              <w:ind w:left="2086"/>
            </w:pPr>
            <w:r>
              <w:rPr>
                <w:b/>
                <w:bCs/>
                <w:spacing w:val="-16"/>
              </w:rPr>
              <w:t>压实度</w:t>
            </w:r>
          </w:p>
        </w:tc>
        <w:tc>
          <w:tcPr>
            <w:tcW w:w="1077" w:type="dxa"/>
            <w:tcBorders>
              <w:top w:val="single" w:color="5B9BD5" w:sz="4" w:space="0"/>
              <w:left w:val="nil"/>
              <w:right w:val="single" w:color="5B9BD5" w:sz="4" w:space="0"/>
            </w:tcBorders>
            <w:shd w:val="clear" w:color="auto" w:fill="DEEAF6"/>
            <w:vAlign w:val="top"/>
          </w:tcPr>
          <w:p w14:paraId="78EE43D5">
            <w:pPr>
              <w:rPr>
                <w:rFonts w:ascii="Arial"/>
                <w:sz w:val="21"/>
              </w:rPr>
            </w:pPr>
            <w:r>
              <w:pict>
                <v:shape id="_x0000_s1612" o:spid="_x0000_s1612" style="position:absolute;left:0pt;margin-left:52pt;margin-top:0pt;height:0.75pt;width:2.2pt;mso-position-horizontal-relative:page;mso-position-vertical-relative:page;z-index:251771904;mso-width-relative:page;mso-height-relative:page;" fillcolor="#5B9BD5" filled="t" stroked="f" coordsize="44,15" path="m0,14l43,14,43,0,0,0,0,14xe">
                  <v:path/>
                  <v:fill on="t" focussize="0,0"/>
                  <v:stroke on="f"/>
                  <v:imagedata o:title=""/>
                  <o:lock v:ext="edit"/>
                </v:shape>
              </w:pict>
            </w:r>
          </w:p>
        </w:tc>
      </w:tr>
      <w:tr w14:paraId="24A134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6" w:hRule="atLeast"/>
        </w:trPr>
        <w:tc>
          <w:tcPr>
            <w:tcW w:w="4835" w:type="dxa"/>
            <w:gridSpan w:val="2"/>
            <w:tcBorders>
              <w:left w:val="single" w:color="000000" w:sz="4" w:space="0"/>
            </w:tcBorders>
            <w:vAlign w:val="top"/>
          </w:tcPr>
          <w:p w14:paraId="132EE07D">
            <w:pPr>
              <w:pStyle w:val="7"/>
              <w:spacing w:before="146" w:line="236" w:lineRule="auto"/>
              <w:ind w:left="2114"/>
            </w:pPr>
            <w:r>
              <w:rPr>
                <w:spacing w:val="-15"/>
              </w:rPr>
              <w:t>≤80cm</w:t>
            </w:r>
          </w:p>
        </w:tc>
        <w:tc>
          <w:tcPr>
            <w:tcW w:w="4826" w:type="dxa"/>
            <w:gridSpan w:val="2"/>
            <w:tcBorders>
              <w:right w:val="single" w:color="000000" w:sz="4" w:space="0"/>
            </w:tcBorders>
            <w:vAlign w:val="top"/>
          </w:tcPr>
          <w:p w14:paraId="321EDD14">
            <w:pPr>
              <w:pStyle w:val="7"/>
              <w:spacing w:before="146" w:line="237" w:lineRule="auto"/>
              <w:ind w:left="2158"/>
            </w:pPr>
            <w:r>
              <w:rPr>
                <w:spacing w:val="-17"/>
              </w:rPr>
              <w:t>≥95%</w:t>
            </w:r>
          </w:p>
        </w:tc>
      </w:tr>
      <w:tr w14:paraId="05FA71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7" w:hRule="atLeast"/>
        </w:trPr>
        <w:tc>
          <w:tcPr>
            <w:tcW w:w="4835" w:type="dxa"/>
            <w:gridSpan w:val="2"/>
            <w:tcBorders>
              <w:left w:val="single" w:color="000000" w:sz="4" w:space="0"/>
            </w:tcBorders>
            <w:vAlign w:val="top"/>
          </w:tcPr>
          <w:p w14:paraId="37968379">
            <w:pPr>
              <w:pStyle w:val="7"/>
              <w:spacing w:before="151" w:line="236" w:lineRule="auto"/>
              <w:ind w:left="1842"/>
            </w:pPr>
            <w:r>
              <w:rPr>
                <w:spacing w:val="-15"/>
              </w:rPr>
              <w:t>≤80～150cm</w:t>
            </w:r>
          </w:p>
        </w:tc>
        <w:tc>
          <w:tcPr>
            <w:tcW w:w="4826" w:type="dxa"/>
            <w:gridSpan w:val="2"/>
            <w:tcBorders>
              <w:right w:val="single" w:color="000000" w:sz="4" w:space="0"/>
            </w:tcBorders>
            <w:vAlign w:val="top"/>
          </w:tcPr>
          <w:p w14:paraId="26DF1759">
            <w:pPr>
              <w:pStyle w:val="7"/>
              <w:spacing w:before="151" w:line="237" w:lineRule="auto"/>
              <w:ind w:left="2158"/>
            </w:pPr>
            <w:r>
              <w:rPr>
                <w:spacing w:val="-17"/>
              </w:rPr>
              <w:t>≥92%</w:t>
            </w:r>
          </w:p>
        </w:tc>
      </w:tr>
      <w:tr w14:paraId="2B85C2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8" w:hRule="atLeast"/>
        </w:trPr>
        <w:tc>
          <w:tcPr>
            <w:tcW w:w="4835" w:type="dxa"/>
            <w:gridSpan w:val="2"/>
            <w:tcBorders>
              <w:left w:val="single" w:color="1C456A" w:sz="4" w:space="0"/>
              <w:bottom w:val="single" w:color="1C456A" w:sz="4" w:space="0"/>
            </w:tcBorders>
            <w:vAlign w:val="top"/>
          </w:tcPr>
          <w:p w14:paraId="3BC37F30">
            <w:pPr>
              <w:pStyle w:val="7"/>
              <w:spacing w:before="162" w:line="237" w:lineRule="auto"/>
              <w:ind w:left="2062"/>
            </w:pPr>
            <w:r>
              <w:pict>
                <v:shape id="_x0000_s1613" o:spid="_x0000_s1613" style="position:absolute;left:0pt;margin-left:-0.2pt;margin-top:37.4pt;height:0.75pt;width:2.2pt;mso-position-horizontal-relative:page;mso-position-vertical-relative:page;z-index:251770880;mso-width-relative:page;mso-height-relative:page;" fillcolor="#5B9BD5" filled="t" stroked="f" coordsize="44,15" path="m0,14l43,14,43,0,0,0,0,14xe">
                  <v:path/>
                  <v:fill on="t" focussize="0,0"/>
                  <v:stroke on="f"/>
                  <v:imagedata o:title=""/>
                  <o:lock v:ext="edit"/>
                </v:shape>
              </w:pict>
            </w:r>
            <w:r>
              <w:rPr>
                <w:spacing w:val="9"/>
              </w:rPr>
              <w:t>&lt;150</w:t>
            </w:r>
            <w:r>
              <w:t>cm</w:t>
            </w:r>
          </w:p>
        </w:tc>
        <w:tc>
          <w:tcPr>
            <w:tcW w:w="4826" w:type="dxa"/>
            <w:gridSpan w:val="2"/>
            <w:tcBorders>
              <w:bottom w:val="single" w:color="5B9BD5" w:sz="4" w:space="0"/>
              <w:right w:val="single" w:color="5B9BD5" w:sz="4" w:space="0"/>
            </w:tcBorders>
            <w:vAlign w:val="top"/>
          </w:tcPr>
          <w:p w14:paraId="03EAFD29">
            <w:pPr>
              <w:pStyle w:val="7"/>
              <w:spacing w:before="162" w:line="237" w:lineRule="auto"/>
              <w:ind w:left="2158"/>
            </w:pPr>
            <w:r>
              <w:pict>
                <v:shape id="_x0000_s1614" o:spid="_x0000_s1614" style="position:absolute;left:0pt;margin-left:239.45pt;margin-top:37.4pt;height:0.75pt;width:2.2pt;mso-position-horizontal-relative:page;mso-position-vertical-relative:page;z-index:251769856;mso-width-relative:page;mso-height-relative:page;" fillcolor="#5B9BD5" filled="t" stroked="f" coordsize="44,15" path="m0,14l43,14,43,0,0,0,0,14xe">
                  <v:path/>
                  <v:fill on="t" focussize="0,0"/>
                  <v:stroke on="f"/>
                  <v:imagedata o:title=""/>
                  <o:lock v:ext="edit"/>
                </v:shape>
              </w:pict>
            </w:r>
            <w:r>
              <w:rPr>
                <w:spacing w:val="-17"/>
              </w:rPr>
              <w:t>≥90%</w:t>
            </w:r>
          </w:p>
        </w:tc>
      </w:tr>
    </w:tbl>
    <w:p w14:paraId="4B359F0E">
      <w:pPr>
        <w:pStyle w:val="2"/>
        <w:spacing w:before="112" w:line="308" w:lineRule="auto"/>
        <w:ind w:left="1455" w:right="1411" w:firstLine="437"/>
        <w:jc w:val="both"/>
        <w:rPr>
          <w:sz w:val="24"/>
          <w:szCs w:val="24"/>
        </w:rPr>
      </w:pPr>
      <w:r>
        <w:rPr>
          <w:spacing w:val="-22"/>
          <w:sz w:val="24"/>
          <w:szCs w:val="24"/>
        </w:rPr>
        <w:t>若干槽超挖在15cm以内时，用原土回填夯实，其压实度不低于原地基天然土</w:t>
      </w:r>
      <w:r>
        <w:rPr>
          <w:spacing w:val="-23"/>
          <w:sz w:val="24"/>
          <w:szCs w:val="24"/>
        </w:rPr>
        <w:t>的密实度；干</w:t>
      </w:r>
      <w:r>
        <w:rPr>
          <w:spacing w:val="-19"/>
          <w:sz w:val="24"/>
          <w:szCs w:val="24"/>
        </w:rPr>
        <w:t>槽超挖在15cm以上时，用三七灰土回填，其压实度不应低于95%，槽底有地下水或</w:t>
      </w:r>
      <w:r>
        <w:rPr>
          <w:spacing w:val="-20"/>
          <w:sz w:val="24"/>
          <w:szCs w:val="24"/>
        </w:rPr>
        <w:t>地基土含水</w:t>
      </w:r>
      <w:r>
        <w:rPr>
          <w:spacing w:val="-21"/>
          <w:sz w:val="24"/>
          <w:szCs w:val="24"/>
        </w:rPr>
        <w:t>量较大，不适于加夯时，可用天然级配砂石回填。排水构筑物一律按国家排水标准图集S2下册</w:t>
      </w:r>
      <w:r>
        <w:rPr>
          <w:spacing w:val="-19"/>
          <w:sz w:val="24"/>
          <w:szCs w:val="24"/>
        </w:rPr>
        <w:t>的有关规定砌筑。</w:t>
      </w:r>
    </w:p>
    <w:p w14:paraId="66205C8B">
      <w:pPr>
        <w:pStyle w:val="2"/>
        <w:spacing w:before="1" w:line="216" w:lineRule="auto"/>
        <w:ind w:left="1888"/>
        <w:rPr>
          <w:sz w:val="24"/>
          <w:szCs w:val="24"/>
        </w:rPr>
      </w:pPr>
      <w:r>
        <w:rPr>
          <w:spacing w:val="-20"/>
          <w:sz w:val="24"/>
          <w:szCs w:val="24"/>
        </w:rPr>
        <w:t>2.3管道防腐处理。施工应按设计规定进行</w:t>
      </w:r>
      <w:r>
        <w:rPr>
          <w:spacing w:val="-21"/>
          <w:sz w:val="24"/>
          <w:szCs w:val="24"/>
        </w:rPr>
        <w:t>防腐处理。</w:t>
      </w:r>
    </w:p>
    <w:p w14:paraId="4D116A3C">
      <w:pPr>
        <w:pStyle w:val="2"/>
        <w:spacing w:before="119" w:line="216" w:lineRule="auto"/>
        <w:ind w:left="1888"/>
        <w:rPr>
          <w:sz w:val="24"/>
          <w:szCs w:val="24"/>
        </w:rPr>
      </w:pPr>
      <w:r>
        <w:rPr>
          <w:spacing w:val="-20"/>
          <w:sz w:val="24"/>
          <w:szCs w:val="24"/>
        </w:rPr>
        <w:t>2.4混凝土检查井、雨水口及进出水口施工</w:t>
      </w:r>
    </w:p>
    <w:p w14:paraId="43975981">
      <w:pPr>
        <w:pStyle w:val="2"/>
        <w:spacing w:before="119" w:line="308" w:lineRule="auto"/>
        <w:ind w:left="1457" w:right="1410" w:firstLine="439"/>
        <w:rPr>
          <w:sz w:val="24"/>
          <w:szCs w:val="24"/>
        </w:rPr>
      </w:pPr>
      <w:r>
        <w:rPr>
          <w:spacing w:val="-20"/>
          <w:sz w:val="24"/>
          <w:szCs w:val="24"/>
        </w:rPr>
        <w:t>混凝土检查井主要有圆形井、矩形井及不规则井，虽然每个井室混凝土量不大，但施工中</w:t>
      </w:r>
      <w:r>
        <w:rPr>
          <w:spacing w:val="-21"/>
          <w:sz w:val="24"/>
          <w:szCs w:val="24"/>
        </w:rPr>
        <w:t>稍有疏忽，就可能使混凝土外观差，其工作缝出现洇水、</w:t>
      </w:r>
      <w:r>
        <w:rPr>
          <w:spacing w:val="-22"/>
          <w:sz w:val="24"/>
          <w:szCs w:val="24"/>
        </w:rPr>
        <w:t>渗水现象。</w:t>
      </w:r>
    </w:p>
    <w:p w14:paraId="1133803C">
      <w:pPr>
        <w:pStyle w:val="2"/>
        <w:spacing w:before="1" w:line="307" w:lineRule="auto"/>
        <w:ind w:left="1454" w:right="1409" w:firstLine="437"/>
        <w:rPr>
          <w:sz w:val="24"/>
          <w:szCs w:val="24"/>
        </w:rPr>
      </w:pPr>
      <w:r>
        <w:rPr>
          <w:spacing w:val="-19"/>
          <w:sz w:val="24"/>
          <w:szCs w:val="24"/>
        </w:rPr>
        <w:t>施工顺序：垫层混凝土→基础混凝土→管</w:t>
      </w:r>
      <w:r>
        <w:rPr>
          <w:spacing w:val="-20"/>
          <w:sz w:val="24"/>
          <w:szCs w:val="24"/>
        </w:rPr>
        <w:t>顶面以下侧墙混凝土浇筑→流槽→管顶面以上混</w:t>
      </w:r>
      <w:r>
        <w:rPr>
          <w:spacing w:val="-22"/>
          <w:sz w:val="24"/>
          <w:szCs w:val="24"/>
        </w:rPr>
        <w:t>凝土浇筑→塑钢踏步安装→现场预制混凝土盖板安装→预制混凝土井筒安装→铸铁井盖安装。</w:t>
      </w:r>
    </w:p>
    <w:p w14:paraId="3422445C">
      <w:pPr>
        <w:pStyle w:val="2"/>
        <w:spacing w:before="1" w:line="218" w:lineRule="auto"/>
        <w:ind w:left="1888"/>
        <w:rPr>
          <w:sz w:val="24"/>
          <w:szCs w:val="24"/>
        </w:rPr>
      </w:pPr>
      <w:r>
        <w:rPr>
          <w:spacing w:val="-11"/>
          <w:sz w:val="24"/>
          <w:szCs w:val="24"/>
        </w:rPr>
        <w:t>2.4.1钢筋</w:t>
      </w:r>
    </w:p>
    <w:p w14:paraId="5588C009">
      <w:pPr>
        <w:pStyle w:val="2"/>
        <w:spacing w:before="116" w:line="217" w:lineRule="auto"/>
        <w:ind w:left="1895"/>
        <w:rPr>
          <w:sz w:val="24"/>
          <w:szCs w:val="24"/>
        </w:rPr>
      </w:pPr>
      <w:r>
        <w:rPr>
          <w:spacing w:val="-21"/>
          <w:sz w:val="24"/>
          <w:szCs w:val="24"/>
        </w:rPr>
        <w:t>运至现场的钢筋要码放整齐、挂号标志牌，底部垫方木与</w:t>
      </w:r>
      <w:r>
        <w:rPr>
          <w:spacing w:val="-22"/>
          <w:sz w:val="24"/>
          <w:szCs w:val="24"/>
        </w:rPr>
        <w:t>地面保持距离。</w:t>
      </w:r>
    </w:p>
    <w:p w14:paraId="20EF9C03">
      <w:pPr>
        <w:pStyle w:val="2"/>
        <w:spacing w:before="117" w:line="219" w:lineRule="auto"/>
        <w:ind w:left="1888"/>
        <w:rPr>
          <w:sz w:val="24"/>
          <w:szCs w:val="24"/>
        </w:rPr>
      </w:pPr>
      <w:r>
        <w:rPr>
          <w:spacing w:val="-14"/>
          <w:sz w:val="24"/>
          <w:szCs w:val="24"/>
        </w:rPr>
        <w:t>2.4.1.1绑扎、安装</w:t>
      </w:r>
    </w:p>
    <w:p w14:paraId="32B01211">
      <w:pPr>
        <w:spacing w:line="219" w:lineRule="auto"/>
        <w:rPr>
          <w:sz w:val="24"/>
          <w:szCs w:val="24"/>
        </w:rPr>
        <w:sectPr>
          <w:footerReference r:id="rId65" w:type="default"/>
          <w:pgSz w:w="11907" w:h="16839"/>
          <w:pgMar w:top="954" w:right="4" w:bottom="1038" w:left="0" w:header="499" w:footer="357" w:gutter="0"/>
          <w:pgBorders>
            <w:top w:val="none" w:sz="0" w:space="0"/>
            <w:left w:val="none" w:sz="0" w:space="0"/>
            <w:bottom w:val="none" w:sz="0" w:space="0"/>
            <w:right w:val="none" w:sz="0" w:space="0"/>
          </w:pgBorders>
          <w:cols w:space="720" w:num="1"/>
        </w:sectPr>
      </w:pPr>
    </w:p>
    <w:p w14:paraId="04E17E31">
      <w:pPr>
        <w:spacing w:line="249" w:lineRule="auto"/>
        <w:rPr>
          <w:rFonts w:ascii="Arial"/>
          <w:sz w:val="21"/>
        </w:rPr>
      </w:pPr>
    </w:p>
    <w:p w14:paraId="6B3374AB">
      <w:pPr>
        <w:pStyle w:val="2"/>
        <w:spacing w:before="78" w:line="308" w:lineRule="auto"/>
        <w:ind w:left="1463" w:right="1411" w:firstLine="428"/>
        <w:rPr>
          <w:sz w:val="24"/>
          <w:szCs w:val="24"/>
        </w:rPr>
      </w:pPr>
      <w:r>
        <w:rPr>
          <w:spacing w:val="-20"/>
          <w:sz w:val="24"/>
          <w:szCs w:val="24"/>
        </w:rPr>
        <w:t>钢筋的现场绑扎及安装严格按照设计图纸的尺寸及要求进行。井室底板钢筋的定位必须弹线。</w:t>
      </w:r>
    </w:p>
    <w:p w14:paraId="658386DD">
      <w:pPr>
        <w:pStyle w:val="2"/>
        <w:spacing w:line="217" w:lineRule="auto"/>
        <w:ind w:left="1902"/>
        <w:rPr>
          <w:sz w:val="24"/>
          <w:szCs w:val="24"/>
        </w:rPr>
      </w:pPr>
      <w:r>
        <w:rPr>
          <w:spacing w:val="-21"/>
          <w:sz w:val="24"/>
          <w:szCs w:val="24"/>
        </w:rPr>
        <w:t>架立筋：井室底板、顶板架立筋按1000mm间放，以此控制上、</w:t>
      </w:r>
      <w:r>
        <w:rPr>
          <w:spacing w:val="-22"/>
          <w:sz w:val="24"/>
          <w:szCs w:val="24"/>
        </w:rPr>
        <w:t>下层钢筋间距。</w:t>
      </w:r>
    </w:p>
    <w:p w14:paraId="1DEBED23">
      <w:pPr>
        <w:pStyle w:val="2"/>
        <w:spacing w:before="119" w:line="307" w:lineRule="auto"/>
        <w:ind w:left="1455" w:right="1411" w:firstLine="439"/>
        <w:rPr>
          <w:sz w:val="24"/>
          <w:szCs w:val="24"/>
        </w:rPr>
      </w:pPr>
      <w:r>
        <w:rPr>
          <w:spacing w:val="-20"/>
          <w:sz w:val="24"/>
          <w:szCs w:val="24"/>
        </w:rPr>
        <w:t>严格控制钢筋保护层，在模板与钢筋之间设置水泥、砂配比与所浇筑混凝土配比相同的水</w:t>
      </w:r>
      <w:r>
        <w:rPr>
          <w:spacing w:val="-17"/>
          <w:sz w:val="24"/>
          <w:szCs w:val="24"/>
        </w:rPr>
        <w:t>泥砂浆垫块,垫块数量不得小于2块/m2。</w:t>
      </w:r>
    </w:p>
    <w:p w14:paraId="7531F830">
      <w:pPr>
        <w:pStyle w:val="2"/>
        <w:spacing w:line="308" w:lineRule="auto"/>
        <w:ind w:left="1469" w:right="1409" w:firstLine="424"/>
        <w:rPr>
          <w:sz w:val="24"/>
          <w:szCs w:val="24"/>
        </w:rPr>
      </w:pPr>
      <w:r>
        <w:rPr>
          <w:spacing w:val="-20"/>
          <w:sz w:val="24"/>
          <w:szCs w:val="24"/>
        </w:rPr>
        <w:t>绑扎时铺板作业，严禁踩踏绑扎完毕的钢筋。钢筋安装时接头的位置及数量，符合国标验</w:t>
      </w:r>
      <w:r>
        <w:rPr>
          <w:spacing w:val="-23"/>
          <w:sz w:val="24"/>
          <w:szCs w:val="24"/>
        </w:rPr>
        <w:t>收规范及规定。</w:t>
      </w:r>
    </w:p>
    <w:p w14:paraId="055C98F7">
      <w:pPr>
        <w:pStyle w:val="2"/>
        <w:spacing w:before="1" w:line="307" w:lineRule="auto"/>
        <w:ind w:left="1458" w:right="1409" w:firstLine="437"/>
        <w:rPr>
          <w:sz w:val="24"/>
          <w:szCs w:val="24"/>
        </w:rPr>
      </w:pPr>
      <w:r>
        <w:rPr>
          <w:spacing w:val="-22"/>
          <w:sz w:val="24"/>
          <w:szCs w:val="24"/>
        </w:rPr>
        <w:t>井室底板及顶板同一截面内接头相互错开，其数量不得大于50%，墙体同一截面内接头必须</w:t>
      </w:r>
      <w:r>
        <w:rPr>
          <w:spacing w:val="-16"/>
          <w:sz w:val="24"/>
          <w:szCs w:val="24"/>
        </w:rPr>
        <w:t>相互错开，其数量不得大于25%。</w:t>
      </w:r>
    </w:p>
    <w:p w14:paraId="7A501BB0">
      <w:pPr>
        <w:pStyle w:val="2"/>
        <w:spacing w:before="1" w:line="215" w:lineRule="auto"/>
        <w:ind w:left="1888"/>
        <w:rPr>
          <w:sz w:val="24"/>
          <w:szCs w:val="24"/>
        </w:rPr>
      </w:pPr>
      <w:r>
        <w:rPr>
          <w:spacing w:val="-13"/>
          <w:sz w:val="24"/>
          <w:szCs w:val="24"/>
        </w:rPr>
        <w:t>2.4.2脚手架</w:t>
      </w:r>
    </w:p>
    <w:p w14:paraId="74C232FA">
      <w:pPr>
        <w:pStyle w:val="2"/>
        <w:spacing w:before="122" w:line="307" w:lineRule="auto"/>
        <w:ind w:left="1451" w:right="1411" w:firstLine="443"/>
        <w:rPr>
          <w:sz w:val="24"/>
          <w:szCs w:val="24"/>
        </w:rPr>
      </w:pPr>
      <w:r>
        <w:rPr>
          <w:spacing w:val="-20"/>
          <w:sz w:val="24"/>
          <w:szCs w:val="24"/>
        </w:rPr>
        <w:t>检查井施工时，在其周围事先支搭钢管脚手架。坐落于肥槽上的脚手架用碗扣式钢管系列脚手架系统支搭，采用单排架。脚手架底部设立杆可调座，支腿下垫50mm大</w:t>
      </w:r>
      <w:r>
        <w:rPr>
          <w:spacing w:val="-21"/>
          <w:sz w:val="24"/>
          <w:szCs w:val="24"/>
        </w:rPr>
        <w:t>板，大板宽不小于</w:t>
      </w:r>
      <w:r>
        <w:rPr>
          <w:spacing w:val="-16"/>
          <w:sz w:val="24"/>
          <w:szCs w:val="24"/>
        </w:rPr>
        <w:t>200mm。脚手架内侧距结构墙皮700mm，架</w:t>
      </w:r>
      <w:r>
        <w:rPr>
          <w:spacing w:val="-17"/>
          <w:sz w:val="24"/>
          <w:szCs w:val="24"/>
        </w:rPr>
        <w:t>宽900mm，其立杆间距900mm，横杆间距1200mm。支</w:t>
      </w:r>
      <w:r>
        <w:rPr>
          <w:spacing w:val="-18"/>
          <w:sz w:val="24"/>
          <w:szCs w:val="24"/>
        </w:rPr>
        <w:t>搭时设碗扣式斜杆，脚手架上部设有高度横杆间距600mm，作为护栏。</w:t>
      </w:r>
    </w:p>
    <w:p w14:paraId="3C536F10">
      <w:pPr>
        <w:pStyle w:val="2"/>
        <w:spacing w:before="1" w:line="218" w:lineRule="auto"/>
        <w:ind w:left="1888"/>
        <w:rPr>
          <w:sz w:val="24"/>
          <w:szCs w:val="24"/>
        </w:rPr>
      </w:pPr>
      <w:r>
        <w:rPr>
          <w:spacing w:val="-15"/>
          <w:sz w:val="24"/>
          <w:szCs w:val="24"/>
        </w:rPr>
        <w:t>2.4.3混凝土浇筑</w:t>
      </w:r>
    </w:p>
    <w:p w14:paraId="3DEB1B96">
      <w:pPr>
        <w:pStyle w:val="2"/>
        <w:spacing w:before="117" w:line="218" w:lineRule="auto"/>
        <w:ind w:left="1888"/>
        <w:rPr>
          <w:sz w:val="24"/>
          <w:szCs w:val="24"/>
        </w:rPr>
      </w:pPr>
      <w:r>
        <w:rPr>
          <w:spacing w:val="-13"/>
          <w:sz w:val="24"/>
          <w:szCs w:val="24"/>
        </w:rPr>
        <w:t>2.4.3.1浇筑顺序</w:t>
      </w:r>
    </w:p>
    <w:p w14:paraId="44A14DE0">
      <w:pPr>
        <w:pStyle w:val="2"/>
        <w:spacing w:before="117" w:line="218" w:lineRule="auto"/>
        <w:ind w:left="1895"/>
        <w:rPr>
          <w:sz w:val="24"/>
          <w:szCs w:val="24"/>
        </w:rPr>
      </w:pPr>
      <w:r>
        <w:rPr>
          <w:spacing w:val="-22"/>
          <w:sz w:val="24"/>
          <w:szCs w:val="24"/>
        </w:rPr>
        <w:t>井室混凝土浇筑顺序：垫层混凝土→基础混凝土→侧墙混凝土。</w:t>
      </w:r>
    </w:p>
    <w:p w14:paraId="60ADDCAD">
      <w:pPr>
        <w:pStyle w:val="2"/>
        <w:spacing w:before="115" w:line="218" w:lineRule="auto"/>
        <w:ind w:left="1888"/>
        <w:rPr>
          <w:sz w:val="24"/>
          <w:szCs w:val="24"/>
        </w:rPr>
      </w:pPr>
      <w:r>
        <w:rPr>
          <w:spacing w:val="-18"/>
          <w:sz w:val="24"/>
          <w:szCs w:val="24"/>
        </w:rPr>
        <w:t>2.4.3.2施工要求与注意事项如下：</w:t>
      </w:r>
    </w:p>
    <w:p w14:paraId="4271F7A7">
      <w:pPr>
        <w:pStyle w:val="2"/>
        <w:spacing w:before="119" w:line="263" w:lineRule="auto"/>
        <w:ind w:left="1470" w:right="1426" w:firstLine="418"/>
        <w:rPr>
          <w:sz w:val="24"/>
          <w:szCs w:val="24"/>
        </w:rPr>
      </w:pPr>
      <w:r>
        <w:rPr>
          <w:spacing w:val="-22"/>
          <w:sz w:val="24"/>
          <w:szCs w:val="24"/>
        </w:rPr>
        <w:t>2.4.3.2.1浇筑前，对支架、模板、钢筋和预埋件进行检查，模板内的杂物、积水和钢筋上的污垢清理干净；模板如有缝隙，应填塞严密，模板内面应涂刷脱模剂。</w:t>
      </w:r>
    </w:p>
    <w:p w14:paraId="23EF90AB">
      <w:pPr>
        <w:pStyle w:val="2"/>
        <w:spacing w:before="115" w:line="262" w:lineRule="auto"/>
        <w:ind w:left="1456" w:right="1356" w:firstLine="432"/>
        <w:rPr>
          <w:sz w:val="24"/>
          <w:szCs w:val="24"/>
        </w:rPr>
      </w:pPr>
      <w:r>
        <w:rPr>
          <w:spacing w:val="-22"/>
          <w:sz w:val="24"/>
          <w:szCs w:val="24"/>
        </w:rPr>
        <w:t>2.4.3.2.2浇注前，检查混凝土的均匀性和坍落度。2.4.3.2.3对浇注混凝土使用的脚手架，应便于人员与料具上下，且必须保证安全。</w:t>
      </w:r>
    </w:p>
    <w:p w14:paraId="6186A58B">
      <w:pPr>
        <w:pStyle w:val="2"/>
        <w:spacing w:before="119" w:line="263" w:lineRule="auto"/>
        <w:ind w:left="1459" w:right="1409" w:firstLine="429"/>
        <w:rPr>
          <w:sz w:val="24"/>
          <w:szCs w:val="24"/>
        </w:rPr>
      </w:pPr>
      <w:r>
        <w:rPr>
          <w:spacing w:val="-21"/>
          <w:sz w:val="24"/>
          <w:szCs w:val="24"/>
        </w:rPr>
        <w:t>2.4.3.2.4混凝土应按一定厚度、顺序和方向分</w:t>
      </w:r>
      <w:r>
        <w:rPr>
          <w:spacing w:val="-22"/>
          <w:sz w:val="24"/>
          <w:szCs w:val="24"/>
        </w:rPr>
        <w:t>层浇筑，应在下层混凝土初凝或能重塑前浇</w:t>
      </w:r>
      <w:r>
        <w:rPr>
          <w:spacing w:val="-18"/>
          <w:sz w:val="24"/>
          <w:szCs w:val="24"/>
        </w:rPr>
        <w:t>筑上层混凝土，混凝土分层浇筑厚度不超过40cm。</w:t>
      </w:r>
    </w:p>
    <w:p w14:paraId="43052615">
      <w:pPr>
        <w:pStyle w:val="2"/>
        <w:spacing w:before="116" w:line="290" w:lineRule="auto"/>
        <w:ind w:left="1455" w:right="1409" w:firstLine="432"/>
        <w:rPr>
          <w:sz w:val="24"/>
          <w:szCs w:val="24"/>
        </w:rPr>
      </w:pPr>
      <w:r>
        <w:rPr>
          <w:spacing w:val="-19"/>
          <w:sz w:val="24"/>
          <w:szCs w:val="24"/>
        </w:rPr>
        <w:t>2.4.3.2.5浇筑混凝土时，采用插</w:t>
      </w:r>
      <w:r>
        <w:rPr>
          <w:spacing w:val="-20"/>
          <w:sz w:val="24"/>
          <w:szCs w:val="24"/>
        </w:rPr>
        <w:t>入式振捣棒捣固。振捣应符合下列规定：a、使用插入式振动棒时，移动间距不应超过振捣棒作用半径的1.5倍</w:t>
      </w:r>
      <w:r>
        <w:rPr>
          <w:spacing w:val="-21"/>
          <w:sz w:val="24"/>
          <w:szCs w:val="24"/>
        </w:rPr>
        <w:t>；与侧模应保持5～10cm的距离；插入下层混凝土5～10cm；每一处振捣完毕后边振动边徐徐提出振动棒；避免振动棒碰撞模板</w:t>
      </w:r>
      <w:r>
        <w:rPr>
          <w:spacing w:val="-22"/>
          <w:sz w:val="24"/>
          <w:szCs w:val="24"/>
        </w:rPr>
        <w:t>、钢筋及其他预埋件。b、对每一振动部位，必须振动到该部位混凝土密实为止。密实的标</w:t>
      </w:r>
      <w:r>
        <w:rPr>
          <w:spacing w:val="-23"/>
          <w:sz w:val="24"/>
          <w:szCs w:val="24"/>
        </w:rPr>
        <w:t>志是混凝土</w:t>
      </w:r>
      <w:r>
        <w:rPr>
          <w:spacing w:val="-21"/>
          <w:sz w:val="24"/>
          <w:szCs w:val="24"/>
        </w:rPr>
        <w:t>停止下沉、不再有气泡冒出、表面呈现平坦、泛浆。</w:t>
      </w:r>
    </w:p>
    <w:p w14:paraId="1A3B1679">
      <w:pPr>
        <w:pStyle w:val="2"/>
        <w:spacing w:before="113" w:line="278" w:lineRule="auto"/>
        <w:ind w:left="1460" w:right="1409" w:firstLine="428"/>
        <w:rPr>
          <w:sz w:val="24"/>
          <w:szCs w:val="24"/>
        </w:rPr>
      </w:pPr>
      <w:r>
        <w:rPr>
          <w:spacing w:val="-21"/>
          <w:sz w:val="24"/>
          <w:szCs w:val="24"/>
        </w:rPr>
        <w:t>2.4.3.2.6混凝土的浇筑必须连续进行，如因故</w:t>
      </w:r>
      <w:r>
        <w:rPr>
          <w:spacing w:val="-22"/>
          <w:sz w:val="24"/>
          <w:szCs w:val="24"/>
        </w:rPr>
        <w:t>间断，间断时间应小于前层混凝土的初凝时</w:t>
      </w:r>
      <w:r>
        <w:rPr>
          <w:spacing w:val="-20"/>
          <w:sz w:val="24"/>
          <w:szCs w:val="24"/>
        </w:rPr>
        <w:t>间或能重塑的时间。允许间断时间应经试验确定，若超过允许间断时间，须采取保证质量措施</w:t>
      </w:r>
      <w:r>
        <w:rPr>
          <w:spacing w:val="-19"/>
          <w:sz w:val="24"/>
          <w:szCs w:val="24"/>
        </w:rPr>
        <w:t>或按工作缝处理。</w:t>
      </w:r>
    </w:p>
    <w:p w14:paraId="58144D88">
      <w:pPr>
        <w:pStyle w:val="2"/>
        <w:spacing w:before="120" w:line="285" w:lineRule="auto"/>
        <w:ind w:left="1462" w:right="1409" w:firstLine="426"/>
        <w:rPr>
          <w:sz w:val="24"/>
          <w:szCs w:val="24"/>
        </w:rPr>
      </w:pPr>
      <w:r>
        <w:rPr>
          <w:spacing w:val="-19"/>
          <w:sz w:val="24"/>
          <w:szCs w:val="24"/>
        </w:rPr>
        <w:t>2.4.3.2.7在混凝土浇筑过程中，应注</w:t>
      </w:r>
      <w:r>
        <w:rPr>
          <w:spacing w:val="-20"/>
          <w:sz w:val="24"/>
          <w:szCs w:val="24"/>
        </w:rPr>
        <w:t>意观测：a、随时观察所设置的预埋螺栓、预留孔是</w:t>
      </w:r>
      <w:r>
        <w:rPr>
          <w:spacing w:val="-19"/>
          <w:sz w:val="24"/>
          <w:szCs w:val="24"/>
        </w:rPr>
        <w:t>否移动，若发现移位时应及时校正。b、预留孔的成型设备</w:t>
      </w:r>
      <w:r>
        <w:rPr>
          <w:spacing w:val="-20"/>
          <w:sz w:val="24"/>
          <w:szCs w:val="24"/>
        </w:rPr>
        <w:t>及时抽拉松动。c、在灌注过程中应注意模板、支架等支撑情况，设专人检查，如有变形，移位或沉陷应立即校正并加固，处理后</w:t>
      </w:r>
      <w:r>
        <w:rPr>
          <w:spacing w:val="-19"/>
          <w:sz w:val="24"/>
          <w:szCs w:val="24"/>
        </w:rPr>
        <w:t>方可继续浇筑。</w:t>
      </w:r>
    </w:p>
    <w:p w14:paraId="166B195D">
      <w:pPr>
        <w:spacing w:line="285" w:lineRule="auto"/>
        <w:rPr>
          <w:sz w:val="24"/>
          <w:szCs w:val="24"/>
        </w:rPr>
        <w:sectPr>
          <w:footerReference r:id="rId66" w:type="default"/>
          <w:pgSz w:w="11907" w:h="16839"/>
          <w:pgMar w:top="954" w:right="4" w:bottom="1038" w:left="0" w:header="499" w:footer="357" w:gutter="0"/>
          <w:pgBorders>
            <w:top w:val="none" w:sz="0" w:space="0"/>
            <w:left w:val="none" w:sz="0" w:space="0"/>
            <w:bottom w:val="none" w:sz="0" w:space="0"/>
            <w:right w:val="none" w:sz="0" w:space="0"/>
          </w:pgBorders>
          <w:cols w:space="720" w:num="1"/>
        </w:sectPr>
      </w:pPr>
    </w:p>
    <w:p w14:paraId="7FDE17BB">
      <w:pPr>
        <w:spacing w:line="250" w:lineRule="auto"/>
        <w:rPr>
          <w:rFonts w:ascii="Arial"/>
          <w:sz w:val="21"/>
        </w:rPr>
      </w:pPr>
    </w:p>
    <w:p w14:paraId="5D6A8CE2">
      <w:pPr>
        <w:pStyle w:val="2"/>
        <w:spacing w:before="78" w:line="263" w:lineRule="auto"/>
        <w:ind w:left="1470" w:right="1409" w:firstLine="418"/>
        <w:rPr>
          <w:sz w:val="24"/>
          <w:szCs w:val="24"/>
        </w:rPr>
      </w:pPr>
      <w:r>
        <w:rPr>
          <w:spacing w:val="-21"/>
          <w:sz w:val="24"/>
          <w:szCs w:val="24"/>
        </w:rPr>
        <w:t>2.4.3.2.8在浇筑过程中或浇筑完成时，如混凝土表</w:t>
      </w:r>
      <w:r>
        <w:rPr>
          <w:spacing w:val="-22"/>
          <w:sz w:val="24"/>
          <w:szCs w:val="24"/>
        </w:rPr>
        <w:t>面泌水较多，须在不扰动已浇筑混凝土的条件下，采取措施将水排除。继续浇筑混凝土时，应查明原因，采取措施，减少泌水。</w:t>
      </w:r>
    </w:p>
    <w:p w14:paraId="6EE21A56">
      <w:pPr>
        <w:pStyle w:val="2"/>
        <w:spacing w:before="115" w:line="264" w:lineRule="auto"/>
        <w:ind w:left="1456" w:right="1410" w:firstLine="432"/>
        <w:rPr>
          <w:sz w:val="24"/>
          <w:szCs w:val="24"/>
        </w:rPr>
      </w:pPr>
      <w:r>
        <w:rPr>
          <w:spacing w:val="-21"/>
          <w:sz w:val="24"/>
          <w:szCs w:val="24"/>
        </w:rPr>
        <w:t>2.4.3.2.9混凝土浇筑完成后，对混凝土裸露</w:t>
      </w:r>
      <w:r>
        <w:rPr>
          <w:spacing w:val="-22"/>
          <w:sz w:val="24"/>
          <w:szCs w:val="24"/>
        </w:rPr>
        <w:t>面应及时进行修整、抹平，定浆后还应第二遍</w:t>
      </w:r>
      <w:r>
        <w:rPr>
          <w:spacing w:val="-18"/>
          <w:sz w:val="24"/>
          <w:szCs w:val="24"/>
        </w:rPr>
        <w:t>压光或拉毛。</w:t>
      </w:r>
    </w:p>
    <w:p w14:paraId="5D6D9C2C">
      <w:pPr>
        <w:pStyle w:val="2"/>
        <w:spacing w:before="114" w:line="217" w:lineRule="auto"/>
        <w:ind w:left="1888"/>
        <w:rPr>
          <w:sz w:val="24"/>
          <w:szCs w:val="24"/>
        </w:rPr>
      </w:pPr>
      <w:r>
        <w:rPr>
          <w:spacing w:val="-19"/>
          <w:sz w:val="24"/>
          <w:szCs w:val="24"/>
        </w:rPr>
        <w:t>2.4.3.2.10混凝土达到一定强度后，要及时洒水养护，天气干燥时还应覆盖养护。</w:t>
      </w:r>
    </w:p>
    <w:p w14:paraId="2150070B">
      <w:pPr>
        <w:pStyle w:val="2"/>
        <w:spacing w:before="115" w:line="264" w:lineRule="auto"/>
        <w:ind w:left="1484" w:right="1411" w:firstLine="403"/>
        <w:rPr>
          <w:sz w:val="24"/>
          <w:szCs w:val="24"/>
        </w:rPr>
      </w:pPr>
      <w:r>
        <w:rPr>
          <w:spacing w:val="-19"/>
          <w:sz w:val="24"/>
          <w:szCs w:val="24"/>
        </w:rPr>
        <w:t>2.4.3.2.11现浇砼水泥砂浆的强</w:t>
      </w:r>
      <w:r>
        <w:rPr>
          <w:spacing w:val="-20"/>
          <w:sz w:val="24"/>
          <w:szCs w:val="24"/>
        </w:rPr>
        <w:t>度应达到设计规定的强度后方允许回填。严禁与浇注井体</w:t>
      </w:r>
      <w:r>
        <w:rPr>
          <w:spacing w:val="-23"/>
          <w:sz w:val="24"/>
          <w:szCs w:val="24"/>
        </w:rPr>
        <w:t>同步回填。</w:t>
      </w:r>
    </w:p>
    <w:p w14:paraId="352179B0">
      <w:pPr>
        <w:pStyle w:val="2"/>
        <w:spacing w:before="117" w:line="218" w:lineRule="auto"/>
        <w:ind w:left="1888"/>
        <w:rPr>
          <w:sz w:val="24"/>
          <w:szCs w:val="24"/>
        </w:rPr>
      </w:pPr>
      <w:r>
        <w:rPr>
          <w:spacing w:val="-11"/>
          <w:sz w:val="24"/>
          <w:szCs w:val="24"/>
        </w:rPr>
        <w:t>2.4.4模板</w:t>
      </w:r>
    </w:p>
    <w:p w14:paraId="71EDA17A">
      <w:pPr>
        <w:pStyle w:val="2"/>
        <w:spacing w:before="114" w:line="308" w:lineRule="auto"/>
        <w:ind w:left="1463" w:right="1426" w:firstLine="431"/>
        <w:rPr>
          <w:sz w:val="24"/>
          <w:szCs w:val="24"/>
        </w:rPr>
      </w:pPr>
      <w:r>
        <w:rPr>
          <w:spacing w:val="-21"/>
          <w:sz w:val="24"/>
          <w:szCs w:val="24"/>
        </w:rPr>
        <w:t>检查井基础模板均选用SZ系列模板。圆形污水检查井墙体模板采用加</w:t>
      </w:r>
      <w:r>
        <w:rPr>
          <w:spacing w:val="-22"/>
          <w:sz w:val="24"/>
          <w:szCs w:val="24"/>
        </w:rPr>
        <w:t>工异型模板；三通、</w:t>
      </w:r>
      <w:r>
        <w:rPr>
          <w:spacing w:val="-21"/>
          <w:sz w:val="24"/>
          <w:szCs w:val="24"/>
        </w:rPr>
        <w:t>四通支线及垂直跌落井方形墙体部分采用SZ系列模</w:t>
      </w:r>
      <w:r>
        <w:rPr>
          <w:spacing w:val="-22"/>
          <w:sz w:val="24"/>
          <w:szCs w:val="24"/>
        </w:rPr>
        <w:t>板，圆形墙体部分采用加工异型模板；三通</w:t>
      </w:r>
      <w:r>
        <w:rPr>
          <w:spacing w:val="-19"/>
          <w:sz w:val="24"/>
          <w:szCs w:val="24"/>
        </w:rPr>
        <w:t>干线跌落井及转弯跌落井采用SZ系列模板。</w:t>
      </w:r>
    </w:p>
    <w:p w14:paraId="4EB8B5A8">
      <w:pPr>
        <w:pStyle w:val="2"/>
        <w:spacing w:line="218" w:lineRule="auto"/>
        <w:ind w:left="1888"/>
        <w:rPr>
          <w:sz w:val="24"/>
          <w:szCs w:val="24"/>
        </w:rPr>
      </w:pPr>
      <w:r>
        <w:rPr>
          <w:spacing w:val="-13"/>
          <w:sz w:val="24"/>
          <w:szCs w:val="24"/>
        </w:rPr>
        <w:t>2.4.4.1模板安装</w:t>
      </w:r>
    </w:p>
    <w:p w14:paraId="57925581">
      <w:pPr>
        <w:pStyle w:val="2"/>
        <w:spacing w:before="119" w:line="307" w:lineRule="auto"/>
        <w:ind w:left="1892" w:right="1337" w:firstLine="1"/>
        <w:rPr>
          <w:sz w:val="24"/>
          <w:szCs w:val="24"/>
        </w:rPr>
      </w:pPr>
      <w:r>
        <w:rPr>
          <w:spacing w:val="-21"/>
          <w:sz w:val="24"/>
          <w:szCs w:val="24"/>
        </w:rPr>
        <w:t>所有模板均采用现场拼装。模板组装好就位前在表面涂刷</w:t>
      </w:r>
      <w:r>
        <w:rPr>
          <w:spacing w:val="-22"/>
          <w:sz w:val="24"/>
          <w:szCs w:val="24"/>
        </w:rPr>
        <w:t>脱模剂并涂刷均匀且不能过厚。</w:t>
      </w:r>
      <w:r>
        <w:rPr>
          <w:spacing w:val="-23"/>
          <w:sz w:val="24"/>
          <w:szCs w:val="24"/>
        </w:rPr>
        <w:t>模板的安装严格按照模板配板设计的要求实施，操作按照《市政工程施</w:t>
      </w:r>
      <w:r>
        <w:rPr>
          <w:spacing w:val="-24"/>
          <w:sz w:val="24"/>
          <w:szCs w:val="24"/>
        </w:rPr>
        <w:t>工技术规程》执行。</w:t>
      </w:r>
    </w:p>
    <w:p w14:paraId="06A5D8BC">
      <w:pPr>
        <w:pStyle w:val="2"/>
        <w:spacing w:line="218" w:lineRule="auto"/>
        <w:ind w:left="1888"/>
        <w:rPr>
          <w:sz w:val="24"/>
          <w:szCs w:val="24"/>
        </w:rPr>
      </w:pPr>
      <w:r>
        <w:rPr>
          <w:spacing w:val="-10"/>
          <w:sz w:val="24"/>
          <w:szCs w:val="24"/>
        </w:rPr>
        <w:t>2.4.4.2模板的拆除</w:t>
      </w:r>
    </w:p>
    <w:p w14:paraId="2ACC7FF3">
      <w:pPr>
        <w:pStyle w:val="2"/>
        <w:spacing w:before="116" w:line="308" w:lineRule="auto"/>
        <w:ind w:left="1455" w:right="1337" w:firstLine="437"/>
        <w:rPr>
          <w:sz w:val="24"/>
          <w:szCs w:val="24"/>
        </w:rPr>
      </w:pPr>
      <w:r>
        <w:rPr>
          <w:spacing w:val="-23"/>
          <w:sz w:val="24"/>
          <w:szCs w:val="24"/>
        </w:rPr>
        <w:t>拆除期限的规定：侧模在混凝土强度能保证井体不因拆模而出现缺棱</w:t>
      </w:r>
      <w:r>
        <w:rPr>
          <w:spacing w:val="-24"/>
          <w:sz w:val="24"/>
          <w:szCs w:val="24"/>
        </w:rPr>
        <w:t>掉角现象时方可拆除。</w:t>
      </w:r>
      <w:r>
        <w:rPr>
          <w:spacing w:val="-20"/>
          <w:sz w:val="24"/>
          <w:szCs w:val="24"/>
        </w:rPr>
        <w:t>模板拆除后涂刷机油，选择平整的场地分类码放。模板的部件分类清点验收堆放有序，及时清</w:t>
      </w:r>
      <w:r>
        <w:rPr>
          <w:spacing w:val="-17"/>
          <w:sz w:val="24"/>
          <w:szCs w:val="24"/>
        </w:rPr>
        <w:t>理及修理。</w:t>
      </w:r>
    </w:p>
    <w:p w14:paraId="3AA74616">
      <w:pPr>
        <w:pStyle w:val="2"/>
        <w:spacing w:line="218" w:lineRule="auto"/>
        <w:ind w:left="1888"/>
        <w:rPr>
          <w:sz w:val="24"/>
          <w:szCs w:val="24"/>
        </w:rPr>
      </w:pPr>
      <w:r>
        <w:rPr>
          <w:spacing w:val="-15"/>
          <w:sz w:val="24"/>
          <w:szCs w:val="24"/>
        </w:rPr>
        <w:t>2.5沟槽回填</w:t>
      </w:r>
    </w:p>
    <w:p w14:paraId="2BEF696F">
      <w:pPr>
        <w:pStyle w:val="2"/>
        <w:spacing w:before="118" w:line="217" w:lineRule="auto"/>
        <w:ind w:left="1922"/>
        <w:rPr>
          <w:sz w:val="24"/>
          <w:szCs w:val="24"/>
        </w:rPr>
      </w:pPr>
      <w:r>
        <w:rPr>
          <w:spacing w:val="-23"/>
          <w:sz w:val="24"/>
          <w:szCs w:val="24"/>
        </w:rPr>
        <w:t>回填管渠沟槽各部位的划分</w:t>
      </w:r>
    </w:p>
    <w:p w14:paraId="2E569E09">
      <w:pPr>
        <w:pStyle w:val="2"/>
        <w:spacing w:before="115" w:line="217" w:lineRule="auto"/>
        <w:ind w:left="1894"/>
        <w:rPr>
          <w:sz w:val="24"/>
          <w:szCs w:val="24"/>
        </w:rPr>
      </w:pPr>
      <w:r>
        <w:rPr>
          <w:spacing w:val="-21"/>
          <w:sz w:val="24"/>
          <w:szCs w:val="24"/>
        </w:rPr>
        <w:t>根据管道埋入地下的受力情况不同，管道沟槽回填土按图</w:t>
      </w:r>
      <w:r>
        <w:rPr>
          <w:spacing w:val="-22"/>
          <w:sz w:val="24"/>
          <w:szCs w:val="24"/>
        </w:rPr>
        <w:t>所示，分为三个部位：</w:t>
      </w:r>
    </w:p>
    <w:p w14:paraId="5C41E9DE">
      <w:pPr>
        <w:pStyle w:val="2"/>
        <w:spacing w:before="120" w:line="218" w:lineRule="auto"/>
        <w:ind w:left="1888"/>
        <w:rPr>
          <w:sz w:val="24"/>
          <w:szCs w:val="24"/>
        </w:rPr>
      </w:pPr>
      <w:r>
        <w:rPr>
          <w:spacing w:val="-21"/>
          <w:sz w:val="24"/>
          <w:szCs w:val="24"/>
        </w:rPr>
        <w:t>2.5.1管沟胸腔部分，要求回填密实，有接近原状土的承载力。</w:t>
      </w:r>
    </w:p>
    <w:p w14:paraId="6F6796B2">
      <w:pPr>
        <w:pStyle w:val="2"/>
        <w:spacing w:before="116" w:line="261" w:lineRule="auto"/>
        <w:ind w:left="1459" w:right="1410" w:firstLine="429"/>
        <w:rPr>
          <w:sz w:val="24"/>
          <w:szCs w:val="24"/>
        </w:rPr>
      </w:pPr>
      <w:r>
        <w:rPr>
          <w:spacing w:val="-20"/>
          <w:sz w:val="24"/>
          <w:szCs w:val="24"/>
        </w:rPr>
        <w:t>2.5.2管（沟）顶以上50cm部位，由于紧贴管材或沟盖板，夯实只能用木夯，成为其上土</w:t>
      </w:r>
      <w:r>
        <w:rPr>
          <w:spacing w:val="-18"/>
          <w:sz w:val="24"/>
          <w:szCs w:val="24"/>
        </w:rPr>
        <w:t>及荷载传递的缓冲层，密实度应在85%～88%之间，否则易引起管</w:t>
      </w:r>
      <w:r>
        <w:rPr>
          <w:spacing w:val="-19"/>
          <w:sz w:val="24"/>
          <w:szCs w:val="24"/>
        </w:rPr>
        <w:t>材或盖板裂损。</w:t>
      </w:r>
    </w:p>
    <w:p w14:paraId="70C72134">
      <w:pPr>
        <w:pStyle w:val="2"/>
        <w:spacing w:before="122" w:line="217" w:lineRule="auto"/>
        <w:ind w:left="1888"/>
        <w:rPr>
          <w:sz w:val="24"/>
          <w:szCs w:val="24"/>
        </w:rPr>
      </w:pPr>
      <w:r>
        <w:rPr>
          <w:spacing w:val="-19"/>
          <w:sz w:val="24"/>
          <w:szCs w:val="24"/>
        </w:rPr>
        <w:t>2.5.3管顶50cm以上至地面部位，按地面的不同功能，其密实度的要求也不同。</w:t>
      </w:r>
    </w:p>
    <w:p w14:paraId="6A8956EC">
      <w:pPr>
        <w:pStyle w:val="2"/>
        <w:spacing w:before="118" w:line="277" w:lineRule="auto"/>
        <w:ind w:left="1455" w:right="1387" w:firstLine="432"/>
        <w:rPr>
          <w:sz w:val="24"/>
          <w:szCs w:val="24"/>
        </w:rPr>
      </w:pPr>
      <w:r>
        <w:rPr>
          <w:spacing w:val="-22"/>
          <w:sz w:val="24"/>
          <w:szCs w:val="24"/>
        </w:rPr>
        <w:t>2.5.3.1管道工程应在其主体结构经隐蔽验收合格，污水或雨污合流管道闭水试验合格后，</w:t>
      </w:r>
      <w:r>
        <w:rPr>
          <w:spacing w:val="-20"/>
          <w:sz w:val="24"/>
          <w:szCs w:val="24"/>
        </w:rPr>
        <w:t>及时进行回填。防止晾槽过久，造成塌方，挤坏管道，或管道接口抹带空鼓开裂；雨季易产生</w:t>
      </w:r>
      <w:r>
        <w:rPr>
          <w:spacing w:val="-21"/>
          <w:sz w:val="24"/>
          <w:szCs w:val="24"/>
        </w:rPr>
        <w:t>水泡槽，漂管或造成回填作业困难。</w:t>
      </w:r>
    </w:p>
    <w:p w14:paraId="068CA5CA">
      <w:pPr>
        <w:pStyle w:val="2"/>
        <w:spacing w:before="121" w:line="262" w:lineRule="auto"/>
        <w:ind w:left="1461" w:right="1410" w:firstLine="427"/>
        <w:rPr>
          <w:sz w:val="24"/>
          <w:szCs w:val="24"/>
        </w:rPr>
      </w:pPr>
      <w:r>
        <w:rPr>
          <w:spacing w:val="-22"/>
          <w:sz w:val="24"/>
          <w:szCs w:val="24"/>
        </w:rPr>
        <w:t>2.5.3.2还土回填要选择合格土源，过湿土、腐殖土、垃圾土、冬季冻土及碎石砖块不易压</w:t>
      </w:r>
      <w:r>
        <w:rPr>
          <w:spacing w:val="-21"/>
          <w:sz w:val="24"/>
          <w:szCs w:val="24"/>
        </w:rPr>
        <w:t>实，对管道结构安全有影响，因此均不宜采用。</w:t>
      </w:r>
    </w:p>
    <w:p w14:paraId="001625EC">
      <w:pPr>
        <w:pStyle w:val="2"/>
        <w:spacing w:before="117" w:line="262" w:lineRule="auto"/>
        <w:ind w:left="1462" w:right="1387" w:firstLine="426"/>
        <w:rPr>
          <w:sz w:val="24"/>
          <w:szCs w:val="24"/>
        </w:rPr>
      </w:pPr>
      <w:r>
        <w:rPr>
          <w:spacing w:val="-22"/>
          <w:sz w:val="24"/>
          <w:szCs w:val="24"/>
        </w:rPr>
        <w:t>2.5.3.3回填前，应将槽内木料、草帘等杂物清理干净。当管槽内有积水时，应将水排净，</w:t>
      </w:r>
      <w:r>
        <w:rPr>
          <w:spacing w:val="-21"/>
          <w:sz w:val="24"/>
          <w:szCs w:val="24"/>
        </w:rPr>
        <w:t>不得在水中回填土。冬季、雨季回填应当日</w:t>
      </w:r>
      <w:r>
        <w:rPr>
          <w:spacing w:val="-22"/>
          <w:sz w:val="24"/>
          <w:szCs w:val="24"/>
        </w:rPr>
        <w:t>还土，当日夯实。</w:t>
      </w:r>
    </w:p>
    <w:p w14:paraId="264A956C">
      <w:pPr>
        <w:pStyle w:val="2"/>
        <w:spacing w:before="119" w:line="285" w:lineRule="auto"/>
        <w:ind w:left="1457" w:right="1411" w:firstLine="431"/>
        <w:rPr>
          <w:sz w:val="24"/>
          <w:szCs w:val="24"/>
        </w:rPr>
      </w:pPr>
      <w:r>
        <w:rPr>
          <w:spacing w:val="-19"/>
          <w:sz w:val="24"/>
          <w:szCs w:val="24"/>
        </w:rPr>
        <w:t>2.5.3.4回填必须在管座混凝土强度达到5</w:t>
      </w:r>
      <w:r>
        <w:rPr>
          <w:spacing w:val="-20"/>
          <w:sz w:val="24"/>
          <w:szCs w:val="24"/>
        </w:rPr>
        <w:t>.0N/mm2以上时，方可进行。箱涵必须在盖板安</w:t>
      </w:r>
      <w:r>
        <w:rPr>
          <w:spacing w:val="-21"/>
          <w:sz w:val="24"/>
          <w:szCs w:val="24"/>
        </w:rPr>
        <w:t>装后才可回填；沟槽在管、沟结构两侧应同时回填，两侧回填土面高差不得超过30cm；不得将</w:t>
      </w:r>
      <w:r>
        <w:rPr>
          <w:spacing w:val="-20"/>
          <w:sz w:val="24"/>
          <w:szCs w:val="24"/>
        </w:rPr>
        <w:t>土直接砸在接口抹带上。总之，回填夯实操作，应以确保管、沟结构安全、不发生引起管道、</w:t>
      </w:r>
      <w:r>
        <w:rPr>
          <w:spacing w:val="-21"/>
          <w:sz w:val="24"/>
          <w:szCs w:val="24"/>
        </w:rPr>
        <w:t>接口沟墙、井室破坏或移位的事故，且达到各部位密实度要</w:t>
      </w:r>
      <w:r>
        <w:rPr>
          <w:spacing w:val="-22"/>
          <w:sz w:val="24"/>
          <w:szCs w:val="24"/>
        </w:rPr>
        <w:t>求为原则。</w:t>
      </w:r>
    </w:p>
    <w:p w14:paraId="255A39AF">
      <w:pPr>
        <w:spacing w:line="285" w:lineRule="auto"/>
        <w:rPr>
          <w:sz w:val="24"/>
          <w:szCs w:val="24"/>
        </w:rPr>
        <w:sectPr>
          <w:footerReference r:id="rId67" w:type="default"/>
          <w:pgSz w:w="11907" w:h="16839"/>
          <w:pgMar w:top="954" w:right="4" w:bottom="1038" w:left="0" w:header="499" w:footer="357" w:gutter="0"/>
          <w:pgBorders>
            <w:top w:val="none" w:sz="0" w:space="0"/>
            <w:left w:val="none" w:sz="0" w:space="0"/>
            <w:bottom w:val="none" w:sz="0" w:space="0"/>
            <w:right w:val="none" w:sz="0" w:space="0"/>
          </w:pgBorders>
          <w:cols w:space="720" w:num="1"/>
        </w:sectPr>
      </w:pPr>
    </w:p>
    <w:p w14:paraId="60D16F96">
      <w:pPr>
        <w:spacing w:line="248" w:lineRule="auto"/>
        <w:rPr>
          <w:rFonts w:ascii="Arial"/>
          <w:sz w:val="21"/>
        </w:rPr>
      </w:pPr>
    </w:p>
    <w:p w14:paraId="61879F65">
      <w:pPr>
        <w:pStyle w:val="2"/>
        <w:spacing w:before="78" w:line="308" w:lineRule="auto"/>
        <w:ind w:left="1458" w:right="1411" w:firstLine="430"/>
        <w:jc w:val="both"/>
        <w:rPr>
          <w:sz w:val="24"/>
          <w:szCs w:val="24"/>
        </w:rPr>
      </w:pPr>
      <w:r>
        <w:rPr>
          <w:spacing w:val="-19"/>
          <w:sz w:val="24"/>
          <w:szCs w:val="24"/>
        </w:rPr>
        <w:t>2.5.3.5为防止管道在回填夯实中裂损，其胸腔部分必须按虚厚不超过30cm，密实度达轻</w:t>
      </w:r>
      <w:r>
        <w:rPr>
          <w:spacing w:val="-20"/>
          <w:sz w:val="24"/>
          <w:szCs w:val="24"/>
        </w:rPr>
        <w:t>型击实密度的95%标准，分层夯实；管道顶50cm范围的填土，宜用木夯夯实，密实度达</w:t>
      </w:r>
      <w:r>
        <w:rPr>
          <w:spacing w:val="-21"/>
          <w:sz w:val="24"/>
          <w:szCs w:val="24"/>
        </w:rPr>
        <w:t>轻型击</w:t>
      </w:r>
      <w:r>
        <w:rPr>
          <w:spacing w:val="-19"/>
          <w:sz w:val="24"/>
          <w:szCs w:val="24"/>
        </w:rPr>
        <w:t>实85%，管沟于路基范围内，管顶以上25cm范围回填土表层的压实度不应小于87</w:t>
      </w:r>
      <w:r>
        <w:rPr>
          <w:spacing w:val="-20"/>
          <w:sz w:val="24"/>
          <w:szCs w:val="24"/>
        </w:rPr>
        <w:t>%；当管顶回</w:t>
      </w:r>
      <w:r>
        <w:rPr>
          <w:spacing w:val="-21"/>
          <w:sz w:val="24"/>
          <w:szCs w:val="24"/>
        </w:rPr>
        <w:t>填夯实高达1.5m以上时，方可使用碾压机械压实；如管顶距路床高不足1.5m时</w:t>
      </w:r>
      <w:r>
        <w:rPr>
          <w:spacing w:val="-22"/>
          <w:sz w:val="24"/>
          <w:szCs w:val="24"/>
        </w:rPr>
        <w:t>，管道设计应</w:t>
      </w:r>
      <w:r>
        <w:rPr>
          <w:spacing w:val="-14"/>
          <w:sz w:val="24"/>
          <w:szCs w:val="24"/>
        </w:rPr>
        <w:t>采用360度包封来加强。</w:t>
      </w:r>
    </w:p>
    <w:p w14:paraId="4E4F2CA5">
      <w:pPr>
        <w:pStyle w:val="2"/>
        <w:spacing w:before="1" w:line="215" w:lineRule="auto"/>
        <w:ind w:left="1888"/>
        <w:rPr>
          <w:sz w:val="24"/>
          <w:szCs w:val="24"/>
        </w:rPr>
      </w:pPr>
      <w:r>
        <w:rPr>
          <w:spacing w:val="-20"/>
          <w:sz w:val="24"/>
          <w:szCs w:val="24"/>
        </w:rPr>
        <w:t>2.6排水管道应进行闭水试验，检查其密闭性情况。</w:t>
      </w:r>
    </w:p>
    <w:p w14:paraId="06C2BA21">
      <w:pPr>
        <w:pStyle w:val="2"/>
        <w:spacing w:before="117" w:line="290" w:lineRule="auto"/>
        <w:ind w:left="1456" w:right="1370" w:firstLine="432"/>
        <w:rPr>
          <w:sz w:val="24"/>
          <w:szCs w:val="24"/>
        </w:rPr>
      </w:pPr>
      <w:r>
        <w:rPr>
          <w:spacing w:val="-22"/>
          <w:sz w:val="24"/>
          <w:szCs w:val="24"/>
        </w:rPr>
        <w:t>2.6.1管线施工完毕后，必须按规定进行闭水试验。闭水试验采用从上游往下游分段进行。</w:t>
      </w:r>
      <w:r>
        <w:rPr>
          <w:spacing w:val="-19"/>
          <w:sz w:val="24"/>
          <w:szCs w:val="24"/>
        </w:rPr>
        <w:t>每段闭水试验长度不宜大于500米。闭水试验的水位应为试验段上游管内顶以</w:t>
      </w:r>
      <w:r>
        <w:rPr>
          <w:spacing w:val="-20"/>
          <w:sz w:val="24"/>
          <w:szCs w:val="24"/>
        </w:rPr>
        <w:t>上2米，采用带</w:t>
      </w:r>
      <w:r>
        <w:rPr>
          <w:spacing w:val="-19"/>
          <w:sz w:val="24"/>
          <w:szCs w:val="24"/>
        </w:rPr>
        <w:t>井试验的方式。闭水试验前，管道及检查井结构应检验合格，将各支线管口堵严保证不漏水，</w:t>
      </w:r>
      <w:r>
        <w:rPr>
          <w:spacing w:val="-22"/>
          <w:sz w:val="24"/>
          <w:szCs w:val="24"/>
        </w:rPr>
        <w:t>每段上游管口砌砖抹灰封严（封堵应经过承压计算）。实验程序：注水浸泡</w:t>
      </w:r>
      <w:r>
        <w:rPr>
          <w:spacing w:val="-23"/>
          <w:sz w:val="24"/>
          <w:szCs w:val="24"/>
        </w:rPr>
        <w:t>1～2天→闭水试验</w:t>
      </w:r>
      <w:r>
        <w:rPr>
          <w:spacing w:val="-19"/>
          <w:sz w:val="24"/>
          <w:szCs w:val="24"/>
        </w:rPr>
        <w:t>（不少于30分钟）→计算试验渗水量→检</w:t>
      </w:r>
      <w:r>
        <w:rPr>
          <w:spacing w:val="-20"/>
          <w:sz w:val="24"/>
          <w:szCs w:val="24"/>
        </w:rPr>
        <w:t>验合格→管线勾头。</w:t>
      </w:r>
    </w:p>
    <w:p w14:paraId="433DD18F">
      <w:pPr>
        <w:pStyle w:val="2"/>
        <w:spacing w:before="118" w:line="262" w:lineRule="auto"/>
        <w:ind w:left="1458" w:right="1410" w:firstLine="430"/>
        <w:rPr>
          <w:sz w:val="24"/>
          <w:szCs w:val="24"/>
        </w:rPr>
      </w:pPr>
      <w:r>
        <w:rPr>
          <w:spacing w:val="-22"/>
          <w:sz w:val="24"/>
          <w:szCs w:val="24"/>
        </w:rPr>
        <w:t>2.6.2根据管线长短可采用分段闭水，分段回填。如</w:t>
      </w:r>
      <w:r>
        <w:rPr>
          <w:spacing w:val="-23"/>
          <w:sz w:val="24"/>
          <w:szCs w:val="24"/>
        </w:rPr>
        <w:t>闭水试验不符合要求，必须对渗水部位</w:t>
      </w:r>
      <w:r>
        <w:rPr>
          <w:spacing w:val="-21"/>
          <w:sz w:val="24"/>
          <w:szCs w:val="24"/>
        </w:rPr>
        <w:t>进行修补处理，合格后方可回填沟槽。</w:t>
      </w:r>
    </w:p>
    <w:p w14:paraId="0C47D014">
      <w:pPr>
        <w:pStyle w:val="2"/>
        <w:spacing w:before="84" w:line="216" w:lineRule="auto"/>
        <w:ind w:left="1986"/>
        <w:outlineLvl w:val="2"/>
        <w:rPr>
          <w:sz w:val="28"/>
          <w:szCs w:val="28"/>
        </w:rPr>
      </w:pPr>
      <w:bookmarkStart w:id="43" w:name="bookmark43"/>
      <w:bookmarkEnd w:id="43"/>
      <w:r>
        <w:rPr>
          <w:b/>
          <w:bCs/>
          <w:spacing w:val="-23"/>
          <w:sz w:val="28"/>
          <w:szCs w:val="28"/>
        </w:rPr>
        <w:t>二、铸铁管迁移恢复</w:t>
      </w:r>
    </w:p>
    <w:p w14:paraId="7B39AB5E">
      <w:pPr>
        <w:pStyle w:val="2"/>
        <w:spacing w:before="105" w:line="219" w:lineRule="auto"/>
        <w:ind w:left="1903"/>
        <w:rPr>
          <w:sz w:val="24"/>
          <w:szCs w:val="24"/>
        </w:rPr>
      </w:pPr>
      <w:r>
        <w:rPr>
          <w:spacing w:val="-18"/>
          <w:sz w:val="24"/>
          <w:szCs w:val="24"/>
        </w:rPr>
        <w:t>1、铸铁管安装</w:t>
      </w:r>
    </w:p>
    <w:p w14:paraId="3BD33C0F">
      <w:pPr>
        <w:pStyle w:val="2"/>
        <w:spacing w:before="114" w:line="286" w:lineRule="auto"/>
        <w:ind w:left="1457" w:right="1410" w:firstLine="446"/>
        <w:jc w:val="both"/>
        <w:rPr>
          <w:sz w:val="24"/>
          <w:szCs w:val="24"/>
        </w:rPr>
      </w:pPr>
      <w:r>
        <w:rPr>
          <w:spacing w:val="-23"/>
          <w:sz w:val="24"/>
          <w:szCs w:val="24"/>
        </w:rPr>
        <w:t>1.1在铸铁管运到现场后，首先进行管沟开挖，待砂垫层铺设</w:t>
      </w:r>
      <w:r>
        <w:rPr>
          <w:spacing w:val="-24"/>
          <w:sz w:val="24"/>
          <w:szCs w:val="24"/>
        </w:rPr>
        <w:t>结束并验收合格后方可进行管</w:t>
      </w:r>
      <w:r>
        <w:rPr>
          <w:spacing w:val="-20"/>
          <w:sz w:val="24"/>
          <w:szCs w:val="24"/>
        </w:rPr>
        <w:t>道安装。施工安装时采用吊车将铸铁管从堆放场地吊至管沟内。吊装时，采用吊带吊装，吊带与铸铁管接触处用废旧橡胶垫隔以保护铸铁管和防腐层。吊装时，起吊和放下时的速度不易太</w:t>
      </w:r>
      <w:r>
        <w:rPr>
          <w:spacing w:val="-21"/>
          <w:sz w:val="24"/>
          <w:szCs w:val="24"/>
        </w:rPr>
        <w:t>快，做到小心轻放，避免摔跌、碰撞管道。</w:t>
      </w:r>
    </w:p>
    <w:tbl>
      <w:tblPr>
        <w:tblStyle w:val="6"/>
        <w:tblW w:w="8557" w:type="dxa"/>
        <w:tblInd w:w="167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372"/>
        <w:gridCol w:w="4185"/>
      </w:tblGrid>
      <w:tr w14:paraId="49CA13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42" w:hRule="atLeast"/>
        </w:trPr>
        <w:tc>
          <w:tcPr>
            <w:tcW w:w="4372" w:type="dxa"/>
            <w:tcBorders>
              <w:top w:val="single" w:color="000000" w:sz="4" w:space="0"/>
              <w:left w:val="single" w:color="000000" w:sz="4" w:space="0"/>
            </w:tcBorders>
            <w:shd w:val="clear" w:color="auto" w:fill="DEEAF6"/>
            <w:vAlign w:val="top"/>
          </w:tcPr>
          <w:p w14:paraId="09AAA9C0">
            <w:pPr>
              <w:spacing w:before="89" w:line="3041" w:lineRule="exact"/>
              <w:ind w:firstLine="126"/>
            </w:pPr>
            <w:r>
              <w:pict>
                <v:group id="_x0000_s1615" o:spid="_x0000_s1615" o:spt="203" style="position:absolute;left:0pt;margin-left:-0.2pt;margin-top:0pt;height:167.8pt;width:218.3pt;mso-position-horizontal-relative:page;mso-position-vertical-relative:page;z-index:251776000;mso-width-relative:page;mso-height-relative:page;" coordsize="4366,3356">
                  <o:lock v:ext="edit"/>
                  <v:group id="_x0000_s1616" o:spid="_x0000_s1616" o:spt="203" style="position:absolute;left:0;top:0;height:103;width:4362;" coordsize="4362,103">
                    <o:lock v:ext="edit"/>
                    <v:shape id="_x0000_s1617" o:spid="_x0000_s1617" style="position:absolute;left:0;top:0;height:15;width:44;" fillcolor="#5B9BD5" filled="t" stroked="f" coordsize="44,15" path="m0,14l43,14,43,0,0,0,0,14xe">
                      <v:path/>
                      <v:fill on="t" focussize="0,0"/>
                      <v:stroke on="f"/>
                      <v:imagedata o:title=""/>
                      <o:lock v:ext="edit"/>
                    </v:shape>
                    <v:shape id="_x0000_s1618" o:spid="_x0000_s1618" style="position:absolute;left:43;top:43;height:60;width:4318;" fillcolor="#DEEAF6" filled="t" stroked="f" coordsize="4318,60" path="m0,60l4318,60,4318,0,0,0,0,60xe">
                      <v:path/>
                      <v:fill on="t" focussize="0,0"/>
                      <v:stroke on="f"/>
                      <v:imagedata o:title=""/>
                      <o:lock v:ext="edit"/>
                    </v:shape>
                  </v:group>
                  <v:shape id="_x0000_s1619" o:spid="_x0000_s1619" style="position:absolute;left:21;top:3298;height:58;width:4345;" fillcolor="#DEEAF6" filled="t" stroked="f" coordsize="4345,58" path="m0,57l4344,57,4344,0,0,0,0,57xe">
                    <v:path/>
                    <v:fill on="t" focussize="0,0"/>
                    <v:stroke on="f"/>
                    <v:imagedata o:title=""/>
                    <o:lock v:ext="edit"/>
                  </v:shape>
                </v:group>
              </w:pict>
            </w:r>
            <w:r>
              <w:rPr>
                <w:position w:val="-60"/>
              </w:rPr>
              <w:drawing>
                <wp:inline distT="0" distB="0" distL="0" distR="0">
                  <wp:extent cx="2612390" cy="1931035"/>
                  <wp:effectExtent l="0" t="0" r="0" b="0"/>
                  <wp:docPr id="428" name="IM 428"/>
                  <wp:cNvGraphicFramePr/>
                  <a:graphic xmlns:a="http://schemas.openxmlformats.org/drawingml/2006/main">
                    <a:graphicData uri="http://schemas.openxmlformats.org/drawingml/2006/picture">
                      <pic:pic xmlns:pic="http://schemas.openxmlformats.org/drawingml/2006/picture">
                        <pic:nvPicPr>
                          <pic:cNvPr id="428" name="IM 428"/>
                          <pic:cNvPicPr/>
                        </pic:nvPicPr>
                        <pic:blipFill>
                          <a:blip r:embed="rId514"/>
                          <a:stretch>
                            <a:fillRect/>
                          </a:stretch>
                        </pic:blipFill>
                        <pic:spPr>
                          <a:xfrm>
                            <a:off x="0" y="0"/>
                            <a:ext cx="2612390" cy="1931035"/>
                          </a:xfrm>
                          <a:prstGeom prst="rect">
                            <a:avLst/>
                          </a:prstGeom>
                        </pic:spPr>
                      </pic:pic>
                    </a:graphicData>
                  </a:graphic>
                </wp:inline>
              </w:drawing>
            </w:r>
          </w:p>
        </w:tc>
        <w:tc>
          <w:tcPr>
            <w:tcW w:w="4185" w:type="dxa"/>
            <w:tcBorders>
              <w:top w:val="single" w:color="5B9BD5" w:sz="4" w:space="0"/>
              <w:right w:val="single" w:color="5B9BD5" w:sz="4" w:space="0"/>
            </w:tcBorders>
            <w:shd w:val="clear" w:color="auto" w:fill="DEEAF6"/>
            <w:vAlign w:val="top"/>
          </w:tcPr>
          <w:p w14:paraId="6D11F38A">
            <w:pPr>
              <w:spacing w:line="93" w:lineRule="exact"/>
              <w:ind w:firstLine="25"/>
            </w:pPr>
            <w:r>
              <w:rPr>
                <w:position w:val="-1"/>
              </w:rPr>
              <w:pict>
                <v:group id="_x0000_s1620" o:spid="_x0000_s1620" o:spt="203" style="height:5.2pt;width:208.15pt;" coordsize="4162,103">
                  <o:lock v:ext="edit"/>
                  <v:shape id="_x0000_s1621" o:spid="_x0000_s1621" style="position:absolute;left:0;top:43;height:60;width:4120;" fillcolor="#DEEAF6" filled="t" stroked="f" coordsize="4120,60" path="m0,60l4119,60,4119,0,0,0,0,60xe">
                    <v:path/>
                    <v:fill on="t" focussize="0,0"/>
                    <v:stroke on="f"/>
                    <v:imagedata o:title=""/>
                    <o:lock v:ext="edit"/>
                  </v:shape>
                  <v:shape id="_x0000_s1622" o:spid="_x0000_s1622" style="position:absolute;left:4119;top:0;height:15;width:44;" fillcolor="#5B9BD5" filled="t" stroked="f" coordsize="44,15" path="m0,14l43,14,43,0,0,0,0,14xe">
                    <v:path/>
                    <v:fill on="t" focussize="0,0"/>
                    <v:stroke on="f"/>
                    <v:imagedata o:title=""/>
                    <o:lock v:ext="edit"/>
                  </v:shape>
                  <w10:wrap type="none"/>
                  <w10:anchorlock/>
                </v:group>
              </w:pict>
            </w:r>
          </w:p>
          <w:p w14:paraId="17774E31">
            <w:pPr>
              <w:spacing w:before="35" w:line="2964" w:lineRule="exact"/>
              <w:ind w:firstLine="95"/>
            </w:pPr>
            <w:r>
              <w:rPr>
                <w:position w:val="-59"/>
              </w:rPr>
              <w:drawing>
                <wp:inline distT="0" distB="0" distL="0" distR="0">
                  <wp:extent cx="2510155" cy="1881505"/>
                  <wp:effectExtent l="0" t="0" r="0" b="0"/>
                  <wp:docPr id="430" name="IM 430"/>
                  <wp:cNvGraphicFramePr/>
                  <a:graphic xmlns:a="http://schemas.openxmlformats.org/drawingml/2006/main">
                    <a:graphicData uri="http://schemas.openxmlformats.org/drawingml/2006/picture">
                      <pic:pic xmlns:pic="http://schemas.openxmlformats.org/drawingml/2006/picture">
                        <pic:nvPicPr>
                          <pic:cNvPr id="430" name="IM 430"/>
                          <pic:cNvPicPr/>
                        </pic:nvPicPr>
                        <pic:blipFill>
                          <a:blip r:embed="rId515"/>
                          <a:stretch>
                            <a:fillRect/>
                          </a:stretch>
                        </pic:blipFill>
                        <pic:spPr>
                          <a:xfrm>
                            <a:off x="0" y="0"/>
                            <a:ext cx="2510155" cy="1882139"/>
                          </a:xfrm>
                          <a:prstGeom prst="rect">
                            <a:avLst/>
                          </a:prstGeom>
                        </pic:spPr>
                      </pic:pic>
                    </a:graphicData>
                  </a:graphic>
                </wp:inline>
              </w:drawing>
            </w:r>
          </w:p>
          <w:p w14:paraId="464E23EC">
            <w:pPr>
              <w:spacing w:before="195" w:line="44" w:lineRule="exact"/>
            </w:pPr>
            <w:r>
              <w:rPr>
                <w:position w:val="-2"/>
              </w:rPr>
              <w:pict>
                <v:shape id="_x0000_s1623" o:spid="_x0000_s1623" style="height:2.9pt;width:209pt;" fillcolor="#DEEAF6" filled="t" stroked="f" coordsize="4180,58" path="m0,57l4179,57,4179,0,0,0,0,57xe">
                  <v:path/>
                  <v:fill on="t" focussize="0,0"/>
                  <v:stroke on="f"/>
                  <v:imagedata o:title=""/>
                  <o:lock v:ext="edit"/>
                  <w10:wrap type="none"/>
                  <w10:anchorlock/>
                </v:shape>
              </w:pict>
            </w:r>
          </w:p>
        </w:tc>
      </w:tr>
      <w:tr w14:paraId="495AA4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5" w:hRule="atLeast"/>
        </w:trPr>
        <w:tc>
          <w:tcPr>
            <w:tcW w:w="4372" w:type="dxa"/>
            <w:tcBorders>
              <w:left w:val="single" w:color="1C456A" w:sz="4" w:space="0"/>
              <w:bottom w:val="single" w:color="1C456A" w:sz="4" w:space="0"/>
            </w:tcBorders>
            <w:vAlign w:val="top"/>
          </w:tcPr>
          <w:p w14:paraId="75B94F6F">
            <w:pPr>
              <w:pStyle w:val="7"/>
              <w:spacing w:before="101" w:line="219" w:lineRule="auto"/>
              <w:ind w:left="1367"/>
            </w:pPr>
            <w:r>
              <w:pict>
                <v:shape id="_x0000_s1624" o:spid="_x0000_s1624" style="position:absolute;left:0pt;margin-left:-0.2pt;margin-top:31.25pt;height:0.75pt;width:2.2pt;mso-position-horizontal-relative:page;mso-position-vertical-relative:page;z-index:251774976;mso-width-relative:page;mso-height-relative:page;" fillcolor="#5B9BD5" filled="t" stroked="f" coordsize="44,15" path="m0,14l43,14,43,0,0,0,0,14xe">
                  <v:path/>
                  <v:fill on="t" focussize="0,0"/>
                  <v:stroke on="f"/>
                  <v:imagedata o:title=""/>
                  <o:lock v:ext="edit"/>
                </v:shape>
              </w:pict>
            </w:r>
            <w:r>
              <w:rPr>
                <w:spacing w:val="-21"/>
              </w:rPr>
              <w:t>管道安装施工图1</w:t>
            </w:r>
          </w:p>
        </w:tc>
        <w:tc>
          <w:tcPr>
            <w:tcW w:w="4185" w:type="dxa"/>
            <w:tcBorders>
              <w:bottom w:val="single" w:color="5B9BD5" w:sz="4" w:space="0"/>
              <w:right w:val="single" w:color="5B9BD5" w:sz="4" w:space="0"/>
            </w:tcBorders>
            <w:vAlign w:val="top"/>
          </w:tcPr>
          <w:p w14:paraId="7FD3AC0D">
            <w:pPr>
              <w:pStyle w:val="7"/>
              <w:spacing w:before="101" w:line="219" w:lineRule="auto"/>
              <w:ind w:left="1259"/>
            </w:pPr>
            <w:r>
              <w:pict>
                <v:shape id="_x0000_s1625" o:spid="_x0000_s1625" style="position:absolute;left:0pt;margin-left:207.35pt;margin-top:31.25pt;height:0.75pt;width:2.2pt;mso-position-horizontal-relative:page;mso-position-vertical-relative:page;z-index:251773952;mso-width-relative:page;mso-height-relative:page;" fillcolor="#5B9BD5" filled="t" stroked="f" coordsize="44,15" path="m0,14l43,14,43,0,0,0,0,14xe">
                  <v:path/>
                  <v:fill on="t" focussize="0,0"/>
                  <v:stroke on="f"/>
                  <v:imagedata o:title=""/>
                  <o:lock v:ext="edit"/>
                </v:shape>
              </w:pict>
            </w:r>
            <w:r>
              <w:rPr>
                <w:spacing w:val="-15"/>
              </w:rPr>
              <w:t>管道安装施工图2</w:t>
            </w:r>
          </w:p>
        </w:tc>
      </w:tr>
    </w:tbl>
    <w:p w14:paraId="012D4F15">
      <w:pPr>
        <w:pStyle w:val="2"/>
        <w:spacing w:before="115" w:line="262" w:lineRule="auto"/>
        <w:ind w:left="1458" w:right="1410" w:firstLine="445"/>
        <w:rPr>
          <w:sz w:val="24"/>
          <w:szCs w:val="24"/>
        </w:rPr>
      </w:pPr>
      <w:r>
        <w:rPr>
          <w:spacing w:val="-24"/>
          <w:sz w:val="24"/>
          <w:szCs w:val="24"/>
        </w:rPr>
        <w:t>1.2管道安装施工前，应用钢丝刷、棉纱布等仔细将承口内腔和插口端外表面的泥沙及其它</w:t>
      </w:r>
      <w:r>
        <w:rPr>
          <w:spacing w:val="-21"/>
          <w:sz w:val="24"/>
          <w:szCs w:val="24"/>
        </w:rPr>
        <w:t>异物清理干净，不得含有泥沙、油污及其它异物。</w:t>
      </w:r>
    </w:p>
    <w:p w14:paraId="20950B78">
      <w:pPr>
        <w:pStyle w:val="2"/>
        <w:spacing w:before="120" w:line="262" w:lineRule="auto"/>
        <w:ind w:left="1499" w:right="1409" w:firstLine="403"/>
        <w:rPr>
          <w:sz w:val="24"/>
          <w:szCs w:val="24"/>
        </w:rPr>
      </w:pPr>
      <w:r>
        <w:rPr>
          <w:spacing w:val="-21"/>
          <w:sz w:val="24"/>
          <w:szCs w:val="24"/>
        </w:rPr>
        <w:t>1.3管道接口清理干净后，将随管配套的胶圈清理干净并捏成心脏</w:t>
      </w:r>
      <w:r>
        <w:rPr>
          <w:spacing w:val="-22"/>
          <w:sz w:val="24"/>
          <w:szCs w:val="24"/>
        </w:rPr>
        <w:t>型或“8”字形安放在承</w:t>
      </w:r>
      <w:r>
        <w:rPr>
          <w:spacing w:val="-27"/>
          <w:sz w:val="24"/>
          <w:szCs w:val="24"/>
        </w:rPr>
        <w:t>口内。</w:t>
      </w:r>
    </w:p>
    <w:p w14:paraId="594DCF03">
      <w:pPr>
        <w:pStyle w:val="2"/>
        <w:spacing w:before="116" w:line="262" w:lineRule="auto"/>
        <w:ind w:left="1462" w:right="1410" w:firstLine="441"/>
        <w:rPr>
          <w:sz w:val="24"/>
          <w:szCs w:val="24"/>
        </w:rPr>
      </w:pPr>
      <w:r>
        <w:rPr>
          <w:spacing w:val="-23"/>
          <w:sz w:val="24"/>
          <w:szCs w:val="24"/>
        </w:rPr>
        <w:t>1.4仔细检查胶圈安放位置是否正确，准确无误后用木锤沿</w:t>
      </w:r>
      <w:r>
        <w:rPr>
          <w:spacing w:val="-24"/>
          <w:sz w:val="24"/>
          <w:szCs w:val="24"/>
        </w:rPr>
        <w:t>管口内周围轻轻敲打，使胶圈完</w:t>
      </w:r>
      <w:r>
        <w:rPr>
          <w:spacing w:val="-20"/>
          <w:sz w:val="24"/>
          <w:szCs w:val="24"/>
        </w:rPr>
        <w:t>全安放在承口凹槽内。</w:t>
      </w:r>
    </w:p>
    <w:p w14:paraId="4C759123">
      <w:pPr>
        <w:pStyle w:val="2"/>
        <w:spacing w:before="119" w:line="216" w:lineRule="auto"/>
        <w:ind w:left="1903"/>
        <w:rPr>
          <w:sz w:val="24"/>
          <w:szCs w:val="24"/>
        </w:rPr>
      </w:pPr>
      <w:r>
        <w:rPr>
          <w:spacing w:val="-21"/>
          <w:sz w:val="24"/>
          <w:szCs w:val="24"/>
        </w:rPr>
        <w:t>1.5胶圈安放完毕后用肥皂水作润滑剂，将承口内胶圈和插口端充分润滑，起到润滑作用，</w:t>
      </w:r>
    </w:p>
    <w:p w14:paraId="0C35082E">
      <w:pPr>
        <w:spacing w:line="216" w:lineRule="auto"/>
        <w:rPr>
          <w:sz w:val="24"/>
          <w:szCs w:val="24"/>
        </w:rPr>
        <w:sectPr>
          <w:footerReference r:id="rId68" w:type="default"/>
          <w:pgSz w:w="11907" w:h="16839"/>
          <w:pgMar w:top="954" w:right="4" w:bottom="1038" w:left="0" w:header="499" w:footer="357" w:gutter="0"/>
          <w:pgBorders>
            <w:top w:val="none" w:sz="0" w:space="0"/>
            <w:left w:val="none" w:sz="0" w:space="0"/>
            <w:bottom w:val="none" w:sz="0" w:space="0"/>
            <w:right w:val="none" w:sz="0" w:space="0"/>
          </w:pgBorders>
          <w:cols w:space="720" w:num="1"/>
        </w:sectPr>
      </w:pPr>
    </w:p>
    <w:p w14:paraId="1B864709">
      <w:pPr>
        <w:spacing w:line="251" w:lineRule="auto"/>
        <w:rPr>
          <w:rFonts w:ascii="Arial"/>
          <w:sz w:val="21"/>
        </w:rPr>
      </w:pPr>
    </w:p>
    <w:p w14:paraId="4A7FAD77">
      <w:pPr>
        <w:pStyle w:val="2"/>
        <w:spacing w:before="78" w:line="217" w:lineRule="auto"/>
        <w:ind w:left="1469"/>
        <w:rPr>
          <w:sz w:val="24"/>
          <w:szCs w:val="24"/>
        </w:rPr>
      </w:pPr>
      <w:r>
        <w:rPr>
          <w:spacing w:val="-23"/>
          <w:sz w:val="24"/>
          <w:szCs w:val="24"/>
        </w:rPr>
        <w:t>管道承插安装时节约劳动力和减轻施工难度。</w:t>
      </w:r>
    </w:p>
    <w:p w14:paraId="3545A5E3">
      <w:pPr>
        <w:pStyle w:val="2"/>
        <w:spacing w:before="118" w:line="215" w:lineRule="auto"/>
        <w:ind w:left="1903"/>
        <w:rPr>
          <w:sz w:val="24"/>
          <w:szCs w:val="24"/>
        </w:rPr>
      </w:pPr>
      <w:r>
        <w:rPr>
          <w:spacing w:val="-21"/>
          <w:sz w:val="24"/>
          <w:szCs w:val="24"/>
        </w:rPr>
        <w:t>1.6铸铁管在安装时吊机作少许起吊，起吊高度以铸铁管底高出粗砂垫层5cm为宜。</w:t>
      </w:r>
    </w:p>
    <w:p w14:paraId="14967FE1">
      <w:pPr>
        <w:pStyle w:val="2"/>
        <w:spacing w:before="118" w:line="278" w:lineRule="auto"/>
        <w:ind w:left="1457" w:right="1387" w:firstLine="446"/>
        <w:rPr>
          <w:sz w:val="24"/>
          <w:szCs w:val="24"/>
        </w:rPr>
      </w:pPr>
      <w:r>
        <w:rPr>
          <w:spacing w:val="-23"/>
          <w:sz w:val="24"/>
          <w:szCs w:val="24"/>
        </w:rPr>
        <w:t>1.7插口与承口管道中心线对准一致，在起吊管末端用撬棍（或千斤顶）将铸铁管向前撬，</w:t>
      </w:r>
      <w:r>
        <w:rPr>
          <w:spacing w:val="-20"/>
          <w:sz w:val="24"/>
          <w:szCs w:val="24"/>
        </w:rPr>
        <w:t>将插口插入承口，插入深度为插口处的两条标志线将铸铁管插到看不见第一条线，只看到第二</w:t>
      </w:r>
      <w:r>
        <w:rPr>
          <w:spacing w:val="-21"/>
          <w:sz w:val="24"/>
          <w:szCs w:val="24"/>
        </w:rPr>
        <w:t>条线的位置为止。</w:t>
      </w:r>
    </w:p>
    <w:p w14:paraId="6821D1C4">
      <w:pPr>
        <w:pStyle w:val="2"/>
        <w:spacing w:before="115" w:line="262" w:lineRule="auto"/>
        <w:ind w:left="1455" w:right="1461" w:firstLine="447"/>
        <w:rPr>
          <w:sz w:val="24"/>
          <w:szCs w:val="24"/>
        </w:rPr>
      </w:pPr>
      <w:r>
        <w:rPr>
          <w:spacing w:val="-21"/>
          <w:sz w:val="24"/>
          <w:szCs w:val="24"/>
        </w:rPr>
        <w:t>1.8铸铁管承插施工完后卸下扒杆及工具，管道承插</w:t>
      </w:r>
      <w:r>
        <w:rPr>
          <w:spacing w:val="-22"/>
          <w:sz w:val="24"/>
          <w:szCs w:val="24"/>
        </w:rPr>
        <w:t>头处及中部立即回填50cm厚二灰砂，轻夯压实，避免铸铁管在施工时发生偏移。</w:t>
      </w:r>
    </w:p>
    <w:p w14:paraId="1903D177">
      <w:pPr>
        <w:pStyle w:val="2"/>
        <w:spacing w:before="121" w:line="215" w:lineRule="auto"/>
        <w:ind w:left="1903"/>
        <w:rPr>
          <w:sz w:val="24"/>
          <w:szCs w:val="24"/>
        </w:rPr>
      </w:pPr>
      <w:r>
        <w:rPr>
          <w:spacing w:val="-21"/>
          <w:sz w:val="24"/>
          <w:szCs w:val="24"/>
        </w:rPr>
        <w:t>1.9重复上述操作布骤，安装球墨铸铁管。</w:t>
      </w:r>
    </w:p>
    <w:p w14:paraId="4CBD3802">
      <w:pPr>
        <w:pStyle w:val="2"/>
        <w:spacing w:before="120" w:line="262" w:lineRule="auto"/>
        <w:ind w:left="1458" w:right="1411" w:firstLine="445"/>
        <w:rPr>
          <w:sz w:val="24"/>
          <w:szCs w:val="24"/>
        </w:rPr>
      </w:pPr>
      <w:r>
        <w:rPr>
          <w:spacing w:val="-21"/>
          <w:sz w:val="24"/>
          <w:szCs w:val="24"/>
        </w:rPr>
        <w:t>1.10检查井施工应与铸铁管安装相配合，安装完毕符合设计</w:t>
      </w:r>
      <w:r>
        <w:rPr>
          <w:spacing w:val="-22"/>
          <w:sz w:val="24"/>
          <w:szCs w:val="24"/>
        </w:rPr>
        <w:t>要求和施工规范规定后立即进</w:t>
      </w:r>
      <w:r>
        <w:rPr>
          <w:spacing w:val="-20"/>
          <w:sz w:val="24"/>
          <w:szCs w:val="24"/>
        </w:rPr>
        <w:t>行排水管闭水试验。</w:t>
      </w:r>
    </w:p>
    <w:p w14:paraId="549866C8">
      <w:pPr>
        <w:pStyle w:val="2"/>
        <w:spacing w:before="119" w:line="216" w:lineRule="auto"/>
        <w:ind w:left="1903"/>
        <w:rPr>
          <w:sz w:val="24"/>
          <w:szCs w:val="24"/>
        </w:rPr>
      </w:pPr>
      <w:r>
        <w:rPr>
          <w:spacing w:val="-21"/>
          <w:sz w:val="24"/>
          <w:szCs w:val="24"/>
        </w:rPr>
        <w:t>1.11闭水试验合格后方可进行二灰砂回填作业，回填土时分层回</w:t>
      </w:r>
      <w:r>
        <w:rPr>
          <w:spacing w:val="-22"/>
          <w:sz w:val="24"/>
          <w:szCs w:val="24"/>
        </w:rPr>
        <w:t>填。</w:t>
      </w:r>
    </w:p>
    <w:p w14:paraId="61C85716">
      <w:pPr>
        <w:pStyle w:val="2"/>
        <w:spacing w:before="118" w:line="219" w:lineRule="auto"/>
        <w:ind w:left="1903"/>
        <w:rPr>
          <w:sz w:val="24"/>
          <w:szCs w:val="24"/>
        </w:rPr>
      </w:pPr>
      <w:r>
        <w:rPr>
          <w:spacing w:val="-20"/>
          <w:sz w:val="24"/>
          <w:szCs w:val="24"/>
        </w:rPr>
        <w:t>1.12球墨铸铁管道安装工艺流程为：</w:t>
      </w:r>
    </w:p>
    <w:p w14:paraId="3F407F4A">
      <w:pPr>
        <w:pStyle w:val="2"/>
        <w:spacing w:before="117" w:line="307" w:lineRule="auto"/>
        <w:ind w:left="1457" w:right="1448" w:firstLine="436"/>
        <w:rPr>
          <w:sz w:val="24"/>
          <w:szCs w:val="24"/>
        </w:rPr>
      </w:pPr>
      <w:r>
        <w:rPr>
          <w:spacing w:val="-21"/>
          <w:sz w:val="24"/>
          <w:szCs w:val="24"/>
        </w:rPr>
        <w:t>场地内管道运输就位→吊装下沟→开挖工作坑→管道平衡起</w:t>
      </w:r>
      <w:r>
        <w:rPr>
          <w:spacing w:val="-22"/>
          <w:sz w:val="24"/>
          <w:szCs w:val="24"/>
        </w:rPr>
        <w:t>吊→插入端带橡胶圈→插口、</w:t>
      </w:r>
      <w:r>
        <w:rPr>
          <w:spacing w:val="-21"/>
          <w:sz w:val="24"/>
          <w:szCs w:val="24"/>
        </w:rPr>
        <w:t>胶圈、承口表面涂刷食用润滑油→平衡对接安装填塞胶圈</w:t>
      </w:r>
      <w:r>
        <w:rPr>
          <w:spacing w:val="-22"/>
          <w:sz w:val="24"/>
          <w:szCs w:val="24"/>
        </w:rPr>
        <w:t>→检查胶圈塞入度</w:t>
      </w:r>
    </w:p>
    <w:p w14:paraId="338D2A71">
      <w:pPr>
        <w:pStyle w:val="2"/>
        <w:spacing w:line="217" w:lineRule="auto"/>
        <w:ind w:left="1888"/>
        <w:rPr>
          <w:sz w:val="24"/>
          <w:szCs w:val="24"/>
        </w:rPr>
      </w:pPr>
      <w:r>
        <w:rPr>
          <w:spacing w:val="-19"/>
          <w:sz w:val="24"/>
          <w:szCs w:val="24"/>
        </w:rPr>
        <w:t>2、阀门、排气阀及管件安装</w:t>
      </w:r>
    </w:p>
    <w:p w14:paraId="7CEA19DF">
      <w:pPr>
        <w:pStyle w:val="2"/>
        <w:spacing w:before="120" w:line="307" w:lineRule="auto"/>
        <w:ind w:left="1459" w:right="1434" w:firstLine="452"/>
        <w:rPr>
          <w:sz w:val="24"/>
          <w:szCs w:val="24"/>
        </w:rPr>
      </w:pPr>
      <w:r>
        <w:rPr>
          <w:spacing w:val="-21"/>
          <w:sz w:val="24"/>
          <w:szCs w:val="24"/>
        </w:rPr>
        <w:t>闸阀、放气阀结构牢固，阀门、放气阀启闭灵活、无松动、卡等现象以及不正常的杂音，</w:t>
      </w:r>
      <w:r>
        <w:rPr>
          <w:spacing w:val="-20"/>
          <w:sz w:val="24"/>
          <w:szCs w:val="24"/>
        </w:rPr>
        <w:t>并能达到全开和全关的程度，有明显的开关标示，布置的位置、</w:t>
      </w:r>
      <w:r>
        <w:rPr>
          <w:spacing w:val="-21"/>
          <w:sz w:val="24"/>
          <w:szCs w:val="24"/>
        </w:rPr>
        <w:t>角度、方向满足安装及运行要求，阀片的强度应保证在最大负荷压力下不弯曲变形。</w:t>
      </w:r>
    </w:p>
    <w:p w14:paraId="66D1A3C8">
      <w:pPr>
        <w:pStyle w:val="2"/>
        <w:spacing w:before="2" w:line="215" w:lineRule="auto"/>
        <w:ind w:left="1888"/>
        <w:rPr>
          <w:sz w:val="24"/>
          <w:szCs w:val="24"/>
        </w:rPr>
      </w:pPr>
      <w:r>
        <w:rPr>
          <w:spacing w:val="-21"/>
          <w:sz w:val="24"/>
          <w:szCs w:val="24"/>
        </w:rPr>
        <w:t>2.1阀门、放气阀安装位置合理，在安装的地方应有修理、调整、维护方便和安全的</w:t>
      </w:r>
      <w:r>
        <w:rPr>
          <w:spacing w:val="-22"/>
          <w:sz w:val="24"/>
          <w:szCs w:val="24"/>
        </w:rPr>
        <w:t>条件。</w:t>
      </w:r>
    </w:p>
    <w:p w14:paraId="5401AC0A">
      <w:pPr>
        <w:pStyle w:val="2"/>
        <w:spacing w:before="121" w:line="261" w:lineRule="auto"/>
        <w:ind w:left="1458" w:right="1411" w:firstLine="430"/>
        <w:rPr>
          <w:sz w:val="24"/>
          <w:szCs w:val="24"/>
        </w:rPr>
      </w:pPr>
      <w:r>
        <w:rPr>
          <w:spacing w:val="-22"/>
          <w:sz w:val="24"/>
          <w:szCs w:val="24"/>
        </w:rPr>
        <w:t>2.2阀门、放气阀安装连接法兰的螺栓应均匀拧紧，法兰中的垫片采用5cm油板，其螺母都</w:t>
      </w:r>
      <w:r>
        <w:rPr>
          <w:spacing w:val="-17"/>
          <w:sz w:val="24"/>
          <w:szCs w:val="24"/>
        </w:rPr>
        <w:t>在同一侧。</w:t>
      </w:r>
    </w:p>
    <w:p w14:paraId="5F0D8263">
      <w:pPr>
        <w:pStyle w:val="2"/>
        <w:spacing w:before="121" w:line="278" w:lineRule="auto"/>
        <w:ind w:left="1462" w:right="1412" w:firstLine="426"/>
        <w:rPr>
          <w:sz w:val="24"/>
          <w:szCs w:val="24"/>
        </w:rPr>
      </w:pPr>
      <w:r>
        <w:rPr>
          <w:spacing w:val="-18"/>
          <w:sz w:val="24"/>
          <w:szCs w:val="24"/>
        </w:rPr>
        <w:t>2.3阀门、放气阀安装前检查外观质量</w:t>
      </w:r>
      <w:r>
        <w:rPr>
          <w:spacing w:val="-19"/>
          <w:sz w:val="24"/>
          <w:szCs w:val="24"/>
        </w:rPr>
        <w:t>，安装前应进行水压试验，试验压力为工作压力的</w:t>
      </w:r>
      <w:r>
        <w:rPr>
          <w:spacing w:val="-21"/>
          <w:sz w:val="24"/>
          <w:szCs w:val="24"/>
        </w:rPr>
        <w:t>1.25倍，试验合格后方能进行安装。安装完成后，是否符合设计要求，</w:t>
      </w:r>
      <w:r>
        <w:rPr>
          <w:spacing w:val="-22"/>
          <w:sz w:val="24"/>
          <w:szCs w:val="24"/>
        </w:rPr>
        <w:t>外形是否完整，标牌是</w:t>
      </w:r>
      <w:r>
        <w:rPr>
          <w:spacing w:val="-17"/>
          <w:sz w:val="24"/>
          <w:szCs w:val="24"/>
        </w:rPr>
        <w:t>否安全。</w:t>
      </w:r>
    </w:p>
    <w:p w14:paraId="7CD00304">
      <w:pPr>
        <w:pStyle w:val="2"/>
        <w:spacing w:before="116" w:line="265" w:lineRule="auto"/>
        <w:ind w:left="1461" w:right="1412" w:firstLine="427"/>
        <w:rPr>
          <w:sz w:val="24"/>
          <w:szCs w:val="24"/>
        </w:rPr>
      </w:pPr>
      <w:r>
        <w:rPr>
          <w:spacing w:val="-19"/>
          <w:sz w:val="24"/>
          <w:szCs w:val="24"/>
        </w:rPr>
        <w:t>2.4放气阀安装位置宜尽量安装在管道标高较高的位置上，或安装在供气方向闸阀位置前面。</w:t>
      </w:r>
    </w:p>
    <w:p w14:paraId="03104846">
      <w:pPr>
        <w:pStyle w:val="2"/>
        <w:spacing w:before="110" w:line="215" w:lineRule="auto"/>
        <w:ind w:left="1888"/>
        <w:rPr>
          <w:sz w:val="24"/>
          <w:szCs w:val="24"/>
        </w:rPr>
      </w:pPr>
      <w:r>
        <w:rPr>
          <w:spacing w:val="-20"/>
          <w:sz w:val="24"/>
          <w:szCs w:val="24"/>
        </w:rPr>
        <w:t>2.5井室应在敷设好管道，装好阀门之后砌筑</w:t>
      </w:r>
      <w:r>
        <w:rPr>
          <w:spacing w:val="-21"/>
          <w:sz w:val="24"/>
          <w:szCs w:val="24"/>
        </w:rPr>
        <w:t>，其尺寸必须满足设计要求。</w:t>
      </w:r>
    </w:p>
    <w:p w14:paraId="356DABA4">
      <w:pPr>
        <w:pStyle w:val="2"/>
        <w:spacing w:before="121" w:line="215" w:lineRule="auto"/>
        <w:ind w:left="1888"/>
        <w:rPr>
          <w:sz w:val="24"/>
          <w:szCs w:val="24"/>
        </w:rPr>
      </w:pPr>
      <w:r>
        <w:rPr>
          <w:spacing w:val="-20"/>
          <w:sz w:val="24"/>
          <w:szCs w:val="24"/>
        </w:rPr>
        <w:t>2.6阀门底座应垂直固定在水泥基础上。</w:t>
      </w:r>
    </w:p>
    <w:p w14:paraId="1A80B1A1">
      <w:pPr>
        <w:pStyle w:val="2"/>
        <w:spacing w:before="122" w:line="219" w:lineRule="auto"/>
        <w:ind w:left="1890"/>
        <w:rPr>
          <w:sz w:val="24"/>
          <w:szCs w:val="24"/>
        </w:rPr>
      </w:pPr>
      <w:r>
        <w:rPr>
          <w:spacing w:val="-17"/>
          <w:sz w:val="24"/>
          <w:szCs w:val="24"/>
        </w:rPr>
        <w:t>3、钢管安装方法</w:t>
      </w:r>
    </w:p>
    <w:p w14:paraId="65B809C3">
      <w:pPr>
        <w:pStyle w:val="2"/>
        <w:spacing w:before="112" w:line="308" w:lineRule="auto"/>
        <w:ind w:left="1457" w:right="1342" w:firstLine="435"/>
        <w:rPr>
          <w:sz w:val="24"/>
          <w:szCs w:val="24"/>
        </w:rPr>
      </w:pPr>
      <w:r>
        <w:rPr>
          <w:spacing w:val="-23"/>
          <w:sz w:val="24"/>
          <w:szCs w:val="24"/>
        </w:rPr>
        <w:t>钢管关节的材料、规格、压力等级、加工质量应符合设计要</w:t>
      </w:r>
      <w:r>
        <w:rPr>
          <w:spacing w:val="-24"/>
          <w:sz w:val="24"/>
          <w:szCs w:val="24"/>
        </w:rPr>
        <w:t>求，管节表面应无疤痕、裂纹、</w:t>
      </w:r>
      <w:r>
        <w:rPr>
          <w:spacing w:val="-20"/>
          <w:sz w:val="24"/>
          <w:szCs w:val="24"/>
        </w:rPr>
        <w:t>严重锈蚀等缺陷；钢管内外防腐采用IPN8710防腐料防腐，管道内外壁的</w:t>
      </w:r>
      <w:r>
        <w:rPr>
          <w:spacing w:val="-21"/>
          <w:sz w:val="24"/>
          <w:szCs w:val="24"/>
        </w:rPr>
        <w:t>浮锈、氧化铁皮、焊渣、油污等，应彻底清除干净。</w:t>
      </w:r>
    </w:p>
    <w:p w14:paraId="68FD6502">
      <w:pPr>
        <w:pStyle w:val="2"/>
        <w:spacing w:before="2" w:line="215" w:lineRule="auto"/>
        <w:ind w:left="1892"/>
        <w:rPr>
          <w:sz w:val="24"/>
          <w:szCs w:val="24"/>
        </w:rPr>
      </w:pPr>
      <w:r>
        <w:rPr>
          <w:spacing w:val="-21"/>
          <w:sz w:val="24"/>
          <w:szCs w:val="24"/>
        </w:rPr>
        <w:t>钢管安装焊接操作人员须持证上岗，并实施检测，管节内外防腐层</w:t>
      </w:r>
      <w:r>
        <w:rPr>
          <w:spacing w:val="-22"/>
          <w:sz w:val="24"/>
          <w:szCs w:val="24"/>
        </w:rPr>
        <w:t>合格后方可下管。</w:t>
      </w:r>
    </w:p>
    <w:p w14:paraId="3C958783">
      <w:pPr>
        <w:pStyle w:val="2"/>
        <w:spacing w:before="121" w:line="307" w:lineRule="auto"/>
        <w:ind w:left="1456" w:right="1410" w:firstLine="450"/>
        <w:rPr>
          <w:sz w:val="24"/>
          <w:szCs w:val="24"/>
        </w:rPr>
      </w:pPr>
      <w:r>
        <w:rPr>
          <w:spacing w:val="-20"/>
          <w:sz w:val="24"/>
          <w:szCs w:val="24"/>
        </w:rPr>
        <w:t>管道安装前，管节应逐根测量、编号宜选用管径相差较小的管节组队对接。管节焊条质量</w:t>
      </w:r>
      <w:r>
        <w:rPr>
          <w:spacing w:val="-21"/>
          <w:sz w:val="24"/>
          <w:szCs w:val="24"/>
        </w:rPr>
        <w:t>应符合现行国家标准《碳钢焊条》、&lt;&lt;低合金焊条》的规定，焊条应干燥。</w:t>
      </w:r>
    </w:p>
    <w:p w14:paraId="662B94B5">
      <w:pPr>
        <w:pStyle w:val="2"/>
        <w:spacing w:line="215" w:lineRule="auto"/>
        <w:ind w:left="1906"/>
        <w:rPr>
          <w:sz w:val="24"/>
          <w:szCs w:val="24"/>
        </w:rPr>
      </w:pPr>
      <w:r>
        <w:rPr>
          <w:spacing w:val="-19"/>
          <w:sz w:val="24"/>
          <w:szCs w:val="24"/>
        </w:rPr>
        <w:t>管节焊接前应修口、清根，管段端面的坡度角度、钝</w:t>
      </w:r>
      <w:r>
        <w:rPr>
          <w:spacing w:val="-20"/>
          <w:sz w:val="24"/>
          <w:szCs w:val="24"/>
        </w:rPr>
        <w:t>边、减息应符合规范要求，不得在对</w:t>
      </w:r>
    </w:p>
    <w:p w14:paraId="69094DE3">
      <w:pPr>
        <w:spacing w:line="215" w:lineRule="auto"/>
        <w:rPr>
          <w:sz w:val="24"/>
          <w:szCs w:val="24"/>
        </w:rPr>
        <w:sectPr>
          <w:footerReference r:id="rId69" w:type="default"/>
          <w:pgSz w:w="11907" w:h="16839"/>
          <w:pgMar w:top="954" w:right="4" w:bottom="1038" w:left="0" w:header="499" w:footer="357" w:gutter="0"/>
          <w:pgBorders>
            <w:top w:val="none" w:sz="0" w:space="0"/>
            <w:left w:val="none" w:sz="0" w:space="0"/>
            <w:bottom w:val="none" w:sz="0" w:space="0"/>
            <w:right w:val="none" w:sz="0" w:space="0"/>
          </w:pgBorders>
          <w:cols w:space="720" w:num="1"/>
        </w:sectPr>
      </w:pPr>
    </w:p>
    <w:p w14:paraId="49BB88B9">
      <w:pPr>
        <w:spacing w:line="250" w:lineRule="auto"/>
        <w:rPr>
          <w:rFonts w:ascii="Arial"/>
          <w:sz w:val="21"/>
        </w:rPr>
      </w:pPr>
    </w:p>
    <w:p w14:paraId="5401A70A">
      <w:pPr>
        <w:pStyle w:val="2"/>
        <w:spacing w:before="78" w:line="308" w:lineRule="auto"/>
        <w:ind w:left="1456" w:right="1411" w:firstLine="43"/>
        <w:jc w:val="both"/>
        <w:rPr>
          <w:sz w:val="24"/>
          <w:szCs w:val="24"/>
        </w:rPr>
      </w:pPr>
      <w:r>
        <w:rPr>
          <w:spacing w:val="-22"/>
          <w:sz w:val="24"/>
          <w:szCs w:val="24"/>
        </w:rPr>
        <w:t>口间隙夹焊帮条或用加热法缩小间隙施焊。对口时应使内壁齐平，错口的允许偏差应为0.2倍</w:t>
      </w:r>
      <w:r>
        <w:rPr>
          <w:spacing w:val="-20"/>
          <w:sz w:val="24"/>
          <w:szCs w:val="24"/>
        </w:rPr>
        <w:t>壁厚，且不得大于2mm。对口时纵向焊缝应放在管道中心垂线上半圆的45D左右处；纵向焊缝应</w:t>
      </w:r>
      <w:r>
        <w:rPr>
          <w:spacing w:val="-19"/>
          <w:sz w:val="24"/>
          <w:szCs w:val="24"/>
        </w:rPr>
        <w:t>错开，错开间距不得小于30mm；直管管段两相邻环向焊缝的间距不应小于20</w:t>
      </w:r>
      <w:r>
        <w:rPr>
          <w:spacing w:val="-20"/>
          <w:sz w:val="24"/>
          <w:szCs w:val="24"/>
        </w:rPr>
        <w:t>0mm。管道任何位置都不得有十字型焊缝。</w:t>
      </w:r>
    </w:p>
    <w:p w14:paraId="0969EAD1">
      <w:pPr>
        <w:pStyle w:val="2"/>
        <w:spacing w:line="307" w:lineRule="auto"/>
        <w:ind w:left="1459" w:right="1410" w:firstLine="447"/>
        <w:rPr>
          <w:sz w:val="24"/>
          <w:szCs w:val="24"/>
        </w:rPr>
      </w:pPr>
      <w:r>
        <w:rPr>
          <w:spacing w:val="-20"/>
          <w:sz w:val="24"/>
          <w:szCs w:val="24"/>
        </w:rPr>
        <w:t>管道上开孔应符合规范要求，不得在干管的纵向、环向焊缝处开孔，不得开方孔，不得在</w:t>
      </w:r>
      <w:r>
        <w:rPr>
          <w:spacing w:val="-22"/>
          <w:sz w:val="24"/>
          <w:szCs w:val="24"/>
        </w:rPr>
        <w:t>短节或管件上开孔。本次施工采用双面焊。</w:t>
      </w:r>
    </w:p>
    <w:p w14:paraId="1E682D2B">
      <w:pPr>
        <w:pStyle w:val="2"/>
        <w:spacing w:line="218" w:lineRule="auto"/>
        <w:ind w:left="1884"/>
        <w:rPr>
          <w:sz w:val="24"/>
          <w:szCs w:val="24"/>
        </w:rPr>
      </w:pPr>
      <w:r>
        <w:rPr>
          <w:spacing w:val="-18"/>
          <w:sz w:val="24"/>
          <w:szCs w:val="24"/>
        </w:rPr>
        <w:t>4、管道冲洗及水压试验</w:t>
      </w:r>
    </w:p>
    <w:p w14:paraId="5FE8DCFD">
      <w:pPr>
        <w:pStyle w:val="2"/>
        <w:spacing w:before="115" w:line="308" w:lineRule="auto"/>
        <w:ind w:left="1453" w:right="1353" w:firstLine="442"/>
        <w:rPr>
          <w:sz w:val="24"/>
          <w:szCs w:val="24"/>
        </w:rPr>
      </w:pPr>
      <w:r>
        <w:rPr>
          <w:spacing w:val="-22"/>
          <w:sz w:val="24"/>
          <w:szCs w:val="24"/>
        </w:rPr>
        <w:t>分段管道水压试验：每段距离低于1000m，</w:t>
      </w:r>
      <w:r>
        <w:rPr>
          <w:spacing w:val="-23"/>
          <w:sz w:val="24"/>
          <w:szCs w:val="24"/>
        </w:rPr>
        <w:t>安装好的管道应认真检查安装质量，承插口连接</w:t>
      </w:r>
      <w:r>
        <w:rPr>
          <w:spacing w:val="-27"/>
          <w:sz w:val="24"/>
          <w:szCs w:val="24"/>
        </w:rPr>
        <w:t>质量、阀门安装质量，外观检查合格后方能进行水压试验，介质用水，管道的工作压力为0.5mpa，</w:t>
      </w:r>
      <w:r>
        <w:rPr>
          <w:spacing w:val="-18"/>
          <w:sz w:val="24"/>
          <w:szCs w:val="24"/>
        </w:rPr>
        <w:t>试验压力为1.0mpa，稳压5min，管道无渗漏，压力下降不超过0.02mpa，试验合格后，</w:t>
      </w:r>
      <w:r>
        <w:rPr>
          <w:spacing w:val="-19"/>
          <w:sz w:val="24"/>
          <w:szCs w:val="24"/>
        </w:rPr>
        <w:t>进行管</w:t>
      </w:r>
      <w:r>
        <w:rPr>
          <w:spacing w:val="-20"/>
          <w:sz w:val="24"/>
          <w:szCs w:val="24"/>
        </w:rPr>
        <w:t>道冲洗，同时做好水压试验及冲洗记录。如果受条件影响，不能一次试压，则采用法兰盲板加</w:t>
      </w:r>
      <w:r>
        <w:rPr>
          <w:spacing w:val="-21"/>
          <w:sz w:val="24"/>
          <w:szCs w:val="24"/>
        </w:rPr>
        <w:t>支撑、顶堵等安全措施，分段进行试压。</w:t>
      </w:r>
    </w:p>
    <w:p w14:paraId="35105A49">
      <w:pPr>
        <w:pStyle w:val="2"/>
        <w:spacing w:before="1" w:line="215" w:lineRule="auto"/>
        <w:ind w:left="1912"/>
        <w:rPr>
          <w:sz w:val="24"/>
          <w:szCs w:val="24"/>
        </w:rPr>
      </w:pPr>
      <w:r>
        <w:rPr>
          <w:spacing w:val="-21"/>
          <w:sz w:val="24"/>
          <w:szCs w:val="24"/>
        </w:rPr>
        <w:t>阀门安装前都应进行水压试验，压力为工作压力1.5倍，试压合格后</w:t>
      </w:r>
      <w:r>
        <w:rPr>
          <w:spacing w:val="-22"/>
          <w:sz w:val="24"/>
          <w:szCs w:val="24"/>
        </w:rPr>
        <w:t>方能进行安装。</w:t>
      </w:r>
    </w:p>
    <w:p w14:paraId="019D310C">
      <w:pPr>
        <w:pStyle w:val="2"/>
        <w:spacing w:before="121" w:line="307" w:lineRule="auto"/>
        <w:ind w:left="1459" w:right="1353" w:firstLine="447"/>
        <w:rPr>
          <w:sz w:val="24"/>
          <w:szCs w:val="24"/>
        </w:rPr>
      </w:pPr>
      <w:r>
        <w:rPr>
          <w:spacing w:val="-24"/>
          <w:sz w:val="24"/>
          <w:szCs w:val="24"/>
        </w:rPr>
        <w:t>管道冲洗：安装好的管道应采用自来水和干净水反复冲洗，直至管道内无杂物、水浊现象，</w:t>
      </w:r>
      <w:r>
        <w:rPr>
          <w:spacing w:val="-21"/>
          <w:sz w:val="24"/>
          <w:szCs w:val="24"/>
        </w:rPr>
        <w:t>冲洗干净后，流出的水质透明为合格。</w:t>
      </w:r>
    </w:p>
    <w:p w14:paraId="5A2C056B">
      <w:pPr>
        <w:pStyle w:val="2"/>
        <w:spacing w:before="1" w:line="218" w:lineRule="auto"/>
        <w:ind w:left="1890"/>
        <w:rPr>
          <w:sz w:val="24"/>
          <w:szCs w:val="24"/>
        </w:rPr>
      </w:pPr>
      <w:r>
        <w:rPr>
          <w:spacing w:val="-19"/>
          <w:sz w:val="24"/>
          <w:szCs w:val="24"/>
        </w:rPr>
        <w:t>5、支墩浇筑</w:t>
      </w:r>
    </w:p>
    <w:p w14:paraId="23BD1498">
      <w:pPr>
        <w:pStyle w:val="2"/>
        <w:spacing w:before="115" w:line="308" w:lineRule="auto"/>
        <w:ind w:left="1461" w:right="1409" w:firstLine="432"/>
        <w:rPr>
          <w:sz w:val="24"/>
          <w:szCs w:val="24"/>
        </w:rPr>
      </w:pPr>
      <w:r>
        <w:rPr>
          <w:spacing w:val="-20"/>
          <w:sz w:val="24"/>
          <w:szCs w:val="24"/>
        </w:rPr>
        <w:t>所有弯头处按图集要求进行支墩施工。管道及管道附近的支墩和锚定结构应位置准确，锚定应牢固；支墩应在坚固的地基上修筑。当无原状土做后背墙时，应采取措施保证支墩在受力</w:t>
      </w:r>
      <w:r>
        <w:rPr>
          <w:spacing w:val="-21"/>
          <w:sz w:val="24"/>
          <w:szCs w:val="24"/>
        </w:rPr>
        <w:t>情况下，不致破坏管道接口。当采用砌筑支墩时</w:t>
      </w:r>
      <w:r>
        <w:rPr>
          <w:spacing w:val="-22"/>
          <w:sz w:val="24"/>
          <w:szCs w:val="24"/>
        </w:rPr>
        <w:t>，原状土与支墩之间应采用砂浆填塞。</w:t>
      </w:r>
    </w:p>
    <w:p w14:paraId="35F79F4F">
      <w:pPr>
        <w:pStyle w:val="2"/>
        <w:spacing w:before="1" w:line="306" w:lineRule="auto"/>
        <w:ind w:left="1458" w:right="1409" w:firstLine="448"/>
        <w:rPr>
          <w:sz w:val="24"/>
          <w:szCs w:val="24"/>
        </w:rPr>
      </w:pPr>
      <w:r>
        <w:rPr>
          <w:spacing w:val="-20"/>
          <w:sz w:val="24"/>
          <w:szCs w:val="24"/>
        </w:rPr>
        <w:t>管道支墩应在管道接口做完、管道位置固定后砌筑。管道安装过程中的临时固定支架，应</w:t>
      </w:r>
      <w:r>
        <w:rPr>
          <w:spacing w:val="-21"/>
          <w:sz w:val="24"/>
          <w:szCs w:val="24"/>
        </w:rPr>
        <w:t>在支墩的砌筑砂浆或混凝土达到规定强度后拆除。</w:t>
      </w:r>
    </w:p>
    <w:p w14:paraId="32583DE8">
      <w:pPr>
        <w:pStyle w:val="2"/>
        <w:spacing w:before="3" w:line="218" w:lineRule="auto"/>
        <w:ind w:left="1887"/>
        <w:rPr>
          <w:sz w:val="24"/>
          <w:szCs w:val="24"/>
        </w:rPr>
      </w:pPr>
      <w:r>
        <w:rPr>
          <w:spacing w:val="-18"/>
          <w:sz w:val="24"/>
          <w:szCs w:val="24"/>
        </w:rPr>
        <w:t>6、锈刷油</w:t>
      </w:r>
    </w:p>
    <w:p w14:paraId="22E34872">
      <w:pPr>
        <w:pStyle w:val="2"/>
        <w:spacing w:before="117" w:line="218" w:lineRule="auto"/>
        <w:ind w:left="1898"/>
        <w:rPr>
          <w:sz w:val="24"/>
          <w:szCs w:val="24"/>
        </w:rPr>
      </w:pPr>
      <w:r>
        <w:rPr>
          <w:spacing w:val="-21"/>
          <w:sz w:val="24"/>
          <w:szCs w:val="24"/>
        </w:rPr>
        <w:t>工艺流程：人工除锈→刷防锈底漆→喷刷防</w:t>
      </w:r>
      <w:r>
        <w:rPr>
          <w:spacing w:val="-22"/>
          <w:sz w:val="24"/>
          <w:szCs w:val="24"/>
        </w:rPr>
        <w:t>腐面层</w:t>
      </w:r>
    </w:p>
    <w:p w14:paraId="0731D907">
      <w:pPr>
        <w:pStyle w:val="2"/>
        <w:spacing w:before="115" w:line="262" w:lineRule="auto"/>
        <w:ind w:left="1458" w:right="1409" w:firstLine="429"/>
        <w:rPr>
          <w:sz w:val="24"/>
          <w:szCs w:val="24"/>
        </w:rPr>
      </w:pPr>
      <w:r>
        <w:rPr>
          <w:spacing w:val="-23"/>
          <w:sz w:val="24"/>
          <w:szCs w:val="24"/>
        </w:rPr>
        <w:t>6.1管道、支架除锈，采用人工除锈，用钢丝刷、砂布除锈，露出金属光</w:t>
      </w:r>
      <w:r>
        <w:rPr>
          <w:spacing w:val="-24"/>
          <w:sz w:val="24"/>
          <w:szCs w:val="24"/>
        </w:rPr>
        <w:t>泽为合格，再用干</w:t>
      </w:r>
      <w:r>
        <w:rPr>
          <w:spacing w:val="-19"/>
          <w:sz w:val="24"/>
          <w:szCs w:val="24"/>
        </w:rPr>
        <w:t>净废布擦拭干净。</w:t>
      </w:r>
    </w:p>
    <w:p w14:paraId="5B7FF25E">
      <w:pPr>
        <w:pStyle w:val="2"/>
        <w:spacing w:before="121" w:line="217" w:lineRule="auto"/>
        <w:ind w:left="1887"/>
        <w:rPr>
          <w:sz w:val="24"/>
          <w:szCs w:val="24"/>
        </w:rPr>
      </w:pPr>
      <w:r>
        <w:rPr>
          <w:spacing w:val="-20"/>
          <w:sz w:val="24"/>
          <w:szCs w:val="24"/>
        </w:rPr>
        <w:t>6.2所有管道、支架涂底漆前，表面的灰尘、铁</w:t>
      </w:r>
      <w:r>
        <w:rPr>
          <w:spacing w:val="-21"/>
          <w:sz w:val="24"/>
          <w:szCs w:val="24"/>
        </w:rPr>
        <w:t>锈、焊渣、油污等必须清除干净。</w:t>
      </w:r>
    </w:p>
    <w:p w14:paraId="542357E5">
      <w:pPr>
        <w:pStyle w:val="2"/>
        <w:spacing w:before="115" w:line="263" w:lineRule="auto"/>
        <w:ind w:left="1487" w:right="1427" w:firstLine="400"/>
        <w:rPr>
          <w:sz w:val="24"/>
          <w:szCs w:val="24"/>
        </w:rPr>
      </w:pPr>
      <w:r>
        <w:rPr>
          <w:spacing w:val="-24"/>
          <w:sz w:val="24"/>
          <w:szCs w:val="24"/>
        </w:rPr>
        <w:t>6.3管道刷油应按设计的颜色面漆进行涂刷，不能在雨天场地进行除锈刷油，在刷油漆过程</w:t>
      </w:r>
      <w:r>
        <w:rPr>
          <w:spacing w:val="-23"/>
          <w:sz w:val="24"/>
          <w:szCs w:val="24"/>
        </w:rPr>
        <w:t>中，尽量将附近场地清扫干净，以免灰尘污染。</w:t>
      </w:r>
    </w:p>
    <w:p w14:paraId="2A25D2A5">
      <w:pPr>
        <w:pStyle w:val="2"/>
        <w:spacing w:before="119" w:line="215" w:lineRule="auto"/>
        <w:ind w:left="1887"/>
        <w:rPr>
          <w:sz w:val="24"/>
          <w:szCs w:val="24"/>
        </w:rPr>
      </w:pPr>
      <w:r>
        <w:rPr>
          <w:spacing w:val="-20"/>
          <w:sz w:val="24"/>
          <w:szCs w:val="24"/>
        </w:rPr>
        <w:t>6.4油漆必须是在有小保质期限内的合格产品。</w:t>
      </w:r>
    </w:p>
    <w:p w14:paraId="549F4D5A">
      <w:pPr>
        <w:pStyle w:val="2"/>
        <w:spacing w:before="118" w:line="217" w:lineRule="auto"/>
        <w:ind w:left="1887"/>
        <w:rPr>
          <w:sz w:val="24"/>
          <w:szCs w:val="24"/>
        </w:rPr>
      </w:pPr>
      <w:r>
        <w:rPr>
          <w:spacing w:val="-20"/>
          <w:sz w:val="24"/>
          <w:szCs w:val="24"/>
        </w:rPr>
        <w:t>6.5颜色符合设计要求，色泽一致，无漏涂不污染管道，设备及</w:t>
      </w:r>
      <w:r>
        <w:rPr>
          <w:spacing w:val="-21"/>
          <w:sz w:val="24"/>
          <w:szCs w:val="24"/>
        </w:rPr>
        <w:t>支撑面。</w:t>
      </w:r>
    </w:p>
    <w:p w14:paraId="087E5080">
      <w:pPr>
        <w:pStyle w:val="2"/>
        <w:spacing w:before="119" w:line="216" w:lineRule="auto"/>
        <w:ind w:left="1887"/>
        <w:rPr>
          <w:sz w:val="24"/>
          <w:szCs w:val="24"/>
        </w:rPr>
      </w:pPr>
      <w:r>
        <w:rPr>
          <w:spacing w:val="-15"/>
          <w:sz w:val="24"/>
          <w:szCs w:val="24"/>
        </w:rPr>
        <w:t>6.6检查井砌筑</w:t>
      </w:r>
    </w:p>
    <w:p w14:paraId="44C00CC0">
      <w:pPr>
        <w:pStyle w:val="2"/>
        <w:spacing w:before="120" w:line="220" w:lineRule="auto"/>
        <w:ind w:left="1878"/>
        <w:rPr>
          <w:sz w:val="24"/>
          <w:szCs w:val="24"/>
        </w:rPr>
      </w:pPr>
      <w:r>
        <w:rPr>
          <w:spacing w:val="-17"/>
          <w:sz w:val="24"/>
          <w:szCs w:val="24"/>
        </w:rPr>
        <w:t>A、井室砌筑</w:t>
      </w:r>
    </w:p>
    <w:p w14:paraId="717F15D5">
      <w:pPr>
        <w:pStyle w:val="2"/>
        <w:spacing w:before="115" w:line="278" w:lineRule="auto"/>
        <w:ind w:left="1456" w:right="1411" w:firstLine="447"/>
        <w:rPr>
          <w:sz w:val="24"/>
          <w:szCs w:val="24"/>
        </w:rPr>
      </w:pPr>
      <w:r>
        <w:rPr>
          <w:spacing w:val="-22"/>
          <w:sz w:val="24"/>
          <w:szCs w:val="24"/>
        </w:rPr>
        <w:t>1、井室一般用机砖砌筑在整体水泥混凝土基础上，不应</w:t>
      </w:r>
      <w:r>
        <w:rPr>
          <w:spacing w:val="-23"/>
          <w:sz w:val="24"/>
          <w:szCs w:val="24"/>
        </w:rPr>
        <w:t>利用管道平基，再帮宽的办法做井</w:t>
      </w:r>
      <w:r>
        <w:rPr>
          <w:spacing w:val="-20"/>
          <w:sz w:val="24"/>
          <w:szCs w:val="24"/>
        </w:rPr>
        <w:t>基。应在挖槽时，就计算好检查井的准确位置，浇筑管道混凝土平基时，应将检查井井基宽度</w:t>
      </w:r>
      <w:r>
        <w:rPr>
          <w:spacing w:val="-17"/>
          <w:sz w:val="24"/>
          <w:szCs w:val="24"/>
        </w:rPr>
        <w:t>一次浇够。</w:t>
      </w:r>
    </w:p>
    <w:p w14:paraId="287EB83F">
      <w:pPr>
        <w:pStyle w:val="2"/>
        <w:spacing w:before="114" w:line="218" w:lineRule="auto"/>
        <w:ind w:left="1888"/>
        <w:rPr>
          <w:sz w:val="24"/>
          <w:szCs w:val="24"/>
        </w:rPr>
      </w:pPr>
      <w:r>
        <w:rPr>
          <w:spacing w:val="-21"/>
          <w:sz w:val="24"/>
          <w:szCs w:val="24"/>
        </w:rPr>
        <w:t>2、井室内的流槽砌砖，应交错插入井墙，</w:t>
      </w:r>
      <w:r>
        <w:rPr>
          <w:spacing w:val="-22"/>
          <w:sz w:val="24"/>
          <w:szCs w:val="24"/>
        </w:rPr>
        <w:t>使井墙与流槽形成整体。不应先砌井墙，然后再</w:t>
      </w:r>
    </w:p>
    <w:p w14:paraId="151FF6AC">
      <w:pPr>
        <w:spacing w:line="218" w:lineRule="auto"/>
        <w:rPr>
          <w:sz w:val="24"/>
          <w:szCs w:val="24"/>
        </w:rPr>
        <w:sectPr>
          <w:footerReference r:id="rId70" w:type="default"/>
          <w:pgSz w:w="11907" w:h="16839"/>
          <w:pgMar w:top="954" w:right="4" w:bottom="1038" w:left="0" w:header="499" w:footer="357" w:gutter="0"/>
          <w:pgBorders>
            <w:top w:val="none" w:sz="0" w:space="0"/>
            <w:left w:val="none" w:sz="0" w:space="0"/>
            <w:bottom w:val="none" w:sz="0" w:space="0"/>
            <w:right w:val="none" w:sz="0" w:space="0"/>
          </w:pgBorders>
          <w:cols w:space="720" w:num="1"/>
        </w:sectPr>
      </w:pPr>
    </w:p>
    <w:p w14:paraId="4A0C3B5F">
      <w:pPr>
        <w:spacing w:line="250" w:lineRule="auto"/>
        <w:rPr>
          <w:rFonts w:ascii="Arial"/>
          <w:sz w:val="21"/>
        </w:rPr>
      </w:pPr>
    </w:p>
    <w:p w14:paraId="49977AB8">
      <w:pPr>
        <w:pStyle w:val="2"/>
        <w:spacing w:before="78" w:line="217" w:lineRule="auto"/>
        <w:ind w:left="1457"/>
        <w:rPr>
          <w:sz w:val="24"/>
          <w:szCs w:val="24"/>
        </w:rPr>
      </w:pPr>
      <w:r>
        <w:rPr>
          <w:spacing w:val="-21"/>
          <w:sz w:val="24"/>
          <w:szCs w:val="24"/>
        </w:rPr>
        <w:t>堆砌流槽，造成流槽与井墙分离。</w:t>
      </w:r>
    </w:p>
    <w:p w14:paraId="0898053B">
      <w:pPr>
        <w:pStyle w:val="2"/>
        <w:spacing w:before="118" w:line="278" w:lineRule="auto"/>
        <w:ind w:left="1455" w:right="1411" w:firstLine="434"/>
        <w:rPr>
          <w:sz w:val="24"/>
          <w:szCs w:val="24"/>
        </w:rPr>
      </w:pPr>
      <w:r>
        <w:rPr>
          <w:spacing w:val="-22"/>
          <w:sz w:val="24"/>
          <w:szCs w:val="24"/>
        </w:rPr>
        <w:t>3、流槽应砌（砖）、抹（面）成与上下游管径相同的半圆弧形，不应无流槽，也不应</w:t>
      </w:r>
      <w:r>
        <w:rPr>
          <w:spacing w:val="-23"/>
          <w:sz w:val="24"/>
          <w:szCs w:val="24"/>
        </w:rPr>
        <w:t>砌成</w:t>
      </w:r>
      <w:r>
        <w:rPr>
          <w:spacing w:val="-20"/>
          <w:sz w:val="24"/>
          <w:szCs w:val="24"/>
        </w:rPr>
        <w:t>梯形或矩形。同时，流槽过水断面不应小于上游和下游管径的过水断面。井底坡度和高程应符</w:t>
      </w:r>
      <w:r>
        <w:rPr>
          <w:spacing w:val="-18"/>
          <w:sz w:val="24"/>
          <w:szCs w:val="24"/>
        </w:rPr>
        <w:t>合设计要求。</w:t>
      </w:r>
    </w:p>
    <w:p w14:paraId="3156C06E">
      <w:pPr>
        <w:pStyle w:val="2"/>
        <w:spacing w:before="116" w:line="277" w:lineRule="auto"/>
        <w:ind w:left="1456" w:right="1351" w:firstLine="428"/>
        <w:rPr>
          <w:sz w:val="24"/>
          <w:szCs w:val="24"/>
        </w:rPr>
      </w:pPr>
      <w:r>
        <w:rPr>
          <w:spacing w:val="-22"/>
          <w:sz w:val="24"/>
          <w:szCs w:val="24"/>
        </w:rPr>
        <w:t>4、圆井的砌筑，应掌握井墙竖直度和圆顺度；掌握井室几何尺寸不超质量标准；砌筑砂浆</w:t>
      </w:r>
      <w:r>
        <w:rPr>
          <w:spacing w:val="-23"/>
          <w:sz w:val="24"/>
          <w:szCs w:val="24"/>
        </w:rPr>
        <w:t>应饱满（包括竖缝</w:t>
      </w:r>
      <w:r>
        <w:rPr>
          <w:spacing w:val="-27"/>
          <w:sz w:val="24"/>
          <w:szCs w:val="24"/>
        </w:rPr>
        <w:t>），</w:t>
      </w:r>
      <w:r>
        <w:rPr>
          <w:spacing w:val="-23"/>
          <w:sz w:val="24"/>
          <w:szCs w:val="24"/>
        </w:rPr>
        <w:t>特别是污水管道的检查井（包括雨、污合流检查井</w:t>
      </w:r>
      <w:r>
        <w:rPr>
          <w:spacing w:val="-27"/>
          <w:sz w:val="24"/>
          <w:szCs w:val="24"/>
        </w:rPr>
        <w:t>），</w:t>
      </w:r>
      <w:r>
        <w:rPr>
          <w:spacing w:val="-23"/>
          <w:sz w:val="24"/>
          <w:szCs w:val="24"/>
        </w:rPr>
        <w:t>更应使</w:t>
      </w:r>
      <w:r>
        <w:rPr>
          <w:spacing w:val="-24"/>
          <w:sz w:val="24"/>
          <w:szCs w:val="24"/>
        </w:rPr>
        <w:t>砌缝饱满，</w:t>
      </w:r>
      <w:r>
        <w:rPr>
          <w:spacing w:val="-21"/>
          <w:sz w:val="24"/>
          <w:szCs w:val="24"/>
        </w:rPr>
        <w:t>防止井壁渗水，保证带井闭水成功。</w:t>
      </w:r>
    </w:p>
    <w:p w14:paraId="141E0EDE">
      <w:pPr>
        <w:pStyle w:val="2"/>
        <w:spacing w:before="118" w:line="262" w:lineRule="auto"/>
        <w:ind w:left="1455" w:right="1411" w:firstLine="434"/>
        <w:rPr>
          <w:sz w:val="24"/>
          <w:szCs w:val="24"/>
        </w:rPr>
      </w:pPr>
      <w:r>
        <w:rPr>
          <w:spacing w:val="-22"/>
          <w:sz w:val="24"/>
          <w:szCs w:val="24"/>
        </w:rPr>
        <w:t>5、水泥砂浆抹面要掌握厚度、均匀、平整、密实。抹完后要封闭井口，以保持井室湿</w:t>
      </w:r>
      <w:r>
        <w:rPr>
          <w:spacing w:val="-23"/>
          <w:sz w:val="24"/>
          <w:szCs w:val="24"/>
        </w:rPr>
        <w:t>润养</w:t>
      </w:r>
      <w:r>
        <w:rPr>
          <w:spacing w:val="-20"/>
          <w:sz w:val="24"/>
          <w:szCs w:val="24"/>
        </w:rPr>
        <w:t>护，不使抹面造成裂缝、空鼓。</w:t>
      </w:r>
    </w:p>
    <w:p w14:paraId="75F595BD">
      <w:pPr>
        <w:pStyle w:val="2"/>
        <w:spacing w:before="119" w:line="219" w:lineRule="auto"/>
        <w:ind w:left="1880"/>
        <w:rPr>
          <w:sz w:val="24"/>
          <w:szCs w:val="24"/>
        </w:rPr>
      </w:pPr>
      <w:r>
        <w:rPr>
          <w:spacing w:val="-16"/>
          <w:sz w:val="24"/>
          <w:szCs w:val="24"/>
        </w:rPr>
        <w:t>B、井室收口砌筑</w:t>
      </w:r>
    </w:p>
    <w:p w14:paraId="2EA7062F">
      <w:pPr>
        <w:pStyle w:val="2"/>
        <w:spacing w:before="115" w:line="262" w:lineRule="auto"/>
        <w:ind w:left="1464" w:right="1411" w:firstLine="438"/>
        <w:rPr>
          <w:sz w:val="24"/>
          <w:szCs w:val="24"/>
        </w:rPr>
      </w:pPr>
      <w:r>
        <w:rPr>
          <w:spacing w:val="-21"/>
          <w:sz w:val="24"/>
          <w:szCs w:val="24"/>
        </w:rPr>
        <w:t>1、检查井设计规定：收口最大收进尺寸不超过50mm，为了保</w:t>
      </w:r>
      <w:r>
        <w:rPr>
          <w:spacing w:val="-22"/>
          <w:sz w:val="24"/>
          <w:szCs w:val="24"/>
        </w:rPr>
        <w:t>证不超过这个数值，一般宜按</w:t>
      </w:r>
      <w:r>
        <w:rPr>
          <w:spacing w:val="-17"/>
          <w:sz w:val="24"/>
          <w:szCs w:val="24"/>
        </w:rPr>
        <w:t>每层收进40mm掌握，较容易保证。</w:t>
      </w:r>
    </w:p>
    <w:p w14:paraId="4787B2CC">
      <w:pPr>
        <w:pStyle w:val="2"/>
        <w:spacing w:before="120" w:line="277" w:lineRule="auto"/>
        <w:ind w:left="1458" w:right="1412" w:firstLine="430"/>
        <w:rPr>
          <w:sz w:val="24"/>
          <w:szCs w:val="24"/>
        </w:rPr>
      </w:pPr>
      <w:r>
        <w:rPr>
          <w:spacing w:val="-22"/>
          <w:sz w:val="24"/>
          <w:szCs w:val="24"/>
        </w:rPr>
        <w:t>2、如果管道浅，检查井必然性也浅，当井深尺寸不能满足收口高度，或满足了收口高度以</w:t>
      </w:r>
      <w:r>
        <w:rPr>
          <w:spacing w:val="-20"/>
          <w:sz w:val="24"/>
          <w:szCs w:val="24"/>
        </w:rPr>
        <w:t>后，井室缩小到难以使用时，可以采用四面收口，减少一半收口高度，来加大井室的办法。至</w:t>
      </w:r>
      <w:r>
        <w:rPr>
          <w:spacing w:val="-21"/>
          <w:sz w:val="24"/>
          <w:szCs w:val="24"/>
        </w:rPr>
        <w:t>于浅到什么程度可采用四面收口，没有统一规定，可根据当</w:t>
      </w:r>
      <w:r>
        <w:rPr>
          <w:spacing w:val="-22"/>
          <w:sz w:val="24"/>
          <w:szCs w:val="24"/>
        </w:rPr>
        <w:t>地情况掌握。</w:t>
      </w:r>
    </w:p>
    <w:p w14:paraId="1280724A">
      <w:pPr>
        <w:pStyle w:val="2"/>
        <w:spacing w:before="120" w:line="262" w:lineRule="auto"/>
        <w:ind w:left="1460" w:right="1413" w:firstLine="430"/>
        <w:rPr>
          <w:sz w:val="24"/>
          <w:szCs w:val="24"/>
        </w:rPr>
      </w:pPr>
      <w:r>
        <w:rPr>
          <w:spacing w:val="-22"/>
          <w:sz w:val="24"/>
          <w:szCs w:val="24"/>
        </w:rPr>
        <w:t>3、收口时，每收进一层，变化一个直径，为了保证每层直径准确，每一块砖收进尺</w:t>
      </w:r>
      <w:r>
        <w:rPr>
          <w:spacing w:val="-23"/>
          <w:sz w:val="24"/>
          <w:szCs w:val="24"/>
        </w:rPr>
        <w:t>寸要均</w:t>
      </w:r>
      <w:r>
        <w:rPr>
          <w:spacing w:val="-22"/>
          <w:sz w:val="24"/>
          <w:szCs w:val="24"/>
        </w:rPr>
        <w:t>匀，每层缩小后的直径圆都要保持圆润。</w:t>
      </w:r>
    </w:p>
    <w:p w14:paraId="6A435C0E">
      <w:pPr>
        <w:pStyle w:val="2"/>
        <w:spacing w:before="118" w:line="285" w:lineRule="auto"/>
        <w:ind w:left="1455" w:right="1414" w:firstLine="429"/>
        <w:rPr>
          <w:sz w:val="24"/>
          <w:szCs w:val="24"/>
        </w:rPr>
      </w:pPr>
      <w:r>
        <w:rPr>
          <w:spacing w:val="-21"/>
          <w:sz w:val="24"/>
          <w:szCs w:val="24"/>
        </w:rPr>
        <w:t>4、收口部分容易出现竖向通缝或鱼鳞缝（错缝尺寸小于1/4块丁</w:t>
      </w:r>
      <w:r>
        <w:rPr>
          <w:spacing w:val="-22"/>
          <w:sz w:val="24"/>
          <w:szCs w:val="24"/>
        </w:rPr>
        <w:t>砖</w:t>
      </w:r>
      <w:r>
        <w:rPr>
          <w:spacing w:val="-26"/>
          <w:sz w:val="24"/>
          <w:szCs w:val="24"/>
        </w:rPr>
        <w:t>），</w:t>
      </w:r>
      <w:r>
        <w:rPr>
          <w:spacing w:val="-22"/>
          <w:sz w:val="24"/>
          <w:szCs w:val="24"/>
        </w:rPr>
        <w:t>应打制六分砖块，</w:t>
      </w:r>
      <w:r>
        <w:rPr>
          <w:spacing w:val="-20"/>
          <w:sz w:val="24"/>
          <w:szCs w:val="24"/>
        </w:rPr>
        <w:t>以满足错缝要求，不使出现通缝或鱼鳞缝。收口收进部分的竖缝，为防止形成空缝，应在砌砖时在砖的接砌一侧面挑上灰浆，将竖缝推挤严密。勾缝时再进一步填严抹平，保证收口部分的砖层能结合成整体受力。</w:t>
      </w:r>
    </w:p>
    <w:p w14:paraId="18C201D6">
      <w:pPr>
        <w:pStyle w:val="2"/>
        <w:spacing w:before="119" w:line="218" w:lineRule="auto"/>
        <w:ind w:left="1883"/>
        <w:rPr>
          <w:sz w:val="24"/>
          <w:szCs w:val="24"/>
        </w:rPr>
      </w:pPr>
      <w:r>
        <w:rPr>
          <w:spacing w:val="-17"/>
          <w:sz w:val="24"/>
          <w:szCs w:val="24"/>
        </w:rPr>
        <w:t>C、井筒砌筑</w:t>
      </w:r>
    </w:p>
    <w:p w14:paraId="4D7BD7E2">
      <w:pPr>
        <w:pStyle w:val="2"/>
        <w:spacing w:before="115" w:line="308" w:lineRule="auto"/>
        <w:ind w:left="1455" w:right="1353" w:firstLine="440"/>
        <w:rPr>
          <w:sz w:val="24"/>
          <w:szCs w:val="24"/>
        </w:rPr>
      </w:pPr>
      <w:r>
        <w:rPr>
          <w:spacing w:val="-20"/>
          <w:sz w:val="24"/>
          <w:szCs w:val="24"/>
        </w:rPr>
        <w:t>井筒的功能是管理、维护者上下井的通道，是埋在道路路面结构层里的构筑物，是检查排水管渠工程质量时首先看到的部分。所以检查井井筒砌筑质量应该要求更好一些。检查井筒多</w:t>
      </w:r>
      <w:r>
        <w:rPr>
          <w:spacing w:val="-23"/>
          <w:sz w:val="24"/>
          <w:szCs w:val="24"/>
        </w:rPr>
        <w:t>为清水墙，因此应该要求所砌筑的砖墙外露</w:t>
      </w:r>
      <w:r>
        <w:rPr>
          <w:spacing w:val="-24"/>
          <w:sz w:val="24"/>
          <w:szCs w:val="24"/>
        </w:rPr>
        <w:t>面完整、无缺损、色泽一致、无花斑；砂浆应饱满，</w:t>
      </w:r>
      <w:r>
        <w:rPr>
          <w:spacing w:val="-20"/>
          <w:sz w:val="24"/>
          <w:szCs w:val="24"/>
        </w:rPr>
        <w:t>无空缝；砖体牢固，无松动；砌筑圆润，无折线；墙面平整，无凹凸。注意随砌随搂缝，勾缝</w:t>
      </w:r>
      <w:r>
        <w:rPr>
          <w:spacing w:val="-22"/>
          <w:sz w:val="24"/>
          <w:szCs w:val="24"/>
        </w:rPr>
        <w:t>时深浅要一致（凹入墙面3～4mm）平整、密实、</w:t>
      </w:r>
      <w:r>
        <w:rPr>
          <w:spacing w:val="-23"/>
          <w:sz w:val="24"/>
          <w:szCs w:val="24"/>
        </w:rPr>
        <w:t>光洁。污水检查井如处在有丰富地表水的地带，</w:t>
      </w:r>
      <w:r>
        <w:rPr>
          <w:spacing w:val="-18"/>
          <w:sz w:val="24"/>
          <w:szCs w:val="24"/>
        </w:rPr>
        <w:t>应加做外抹面。</w:t>
      </w:r>
    </w:p>
    <w:p w14:paraId="48D167ED">
      <w:pPr>
        <w:pStyle w:val="2"/>
        <w:spacing w:before="1" w:line="215" w:lineRule="auto"/>
        <w:ind w:left="1903"/>
        <w:rPr>
          <w:sz w:val="24"/>
          <w:szCs w:val="24"/>
        </w:rPr>
      </w:pPr>
      <w:r>
        <w:rPr>
          <w:spacing w:val="-21"/>
          <w:sz w:val="24"/>
          <w:szCs w:val="24"/>
        </w:rPr>
        <w:t>1、排水管道应进行闭水试验，检查其密闭性情况。</w:t>
      </w:r>
    </w:p>
    <w:p w14:paraId="085A7FC6">
      <w:pPr>
        <w:pStyle w:val="2"/>
        <w:spacing w:before="121" w:line="289" w:lineRule="auto"/>
        <w:ind w:left="1456" w:right="1411" w:firstLine="436"/>
        <w:rPr>
          <w:sz w:val="24"/>
          <w:szCs w:val="24"/>
        </w:rPr>
      </w:pPr>
      <w:r>
        <w:rPr>
          <w:spacing w:val="-22"/>
          <w:sz w:val="24"/>
          <w:szCs w:val="24"/>
        </w:rPr>
        <w:t>（1）管线施工完毕后，必须按规定进行闭水试验。闭水试验采用从上游往下游</w:t>
      </w:r>
      <w:r>
        <w:rPr>
          <w:spacing w:val="-23"/>
          <w:sz w:val="24"/>
          <w:szCs w:val="24"/>
        </w:rPr>
        <w:t>分段进行。</w:t>
      </w:r>
      <w:r>
        <w:rPr>
          <w:spacing w:val="-19"/>
          <w:sz w:val="24"/>
          <w:szCs w:val="24"/>
        </w:rPr>
        <w:t>每段闭水试验长度不宜大于500米。闭水试验的水位应为试验段上游管内顶</w:t>
      </w:r>
      <w:r>
        <w:rPr>
          <w:spacing w:val="-20"/>
          <w:sz w:val="24"/>
          <w:szCs w:val="24"/>
        </w:rPr>
        <w:t>以上2米，采用带井试验的方式。闭水试验前，管道及检查井结构应检验合格，将各支线管口堵严保证不漏水，</w:t>
      </w:r>
      <w:r>
        <w:rPr>
          <w:spacing w:val="-22"/>
          <w:sz w:val="24"/>
          <w:szCs w:val="24"/>
        </w:rPr>
        <w:t>每段上游管口砌砖抹灰封严（封堵应经过承压计算）。实验程序：注水浸泡</w:t>
      </w:r>
      <w:r>
        <w:rPr>
          <w:spacing w:val="-23"/>
          <w:sz w:val="24"/>
          <w:szCs w:val="24"/>
        </w:rPr>
        <w:t>1～2天→闭水试验</w:t>
      </w:r>
      <w:r>
        <w:rPr>
          <w:spacing w:val="-19"/>
          <w:sz w:val="24"/>
          <w:szCs w:val="24"/>
        </w:rPr>
        <w:t>（不少于30分钟）→计算试验渗水量→检验合格→管线勾头。</w:t>
      </w:r>
    </w:p>
    <w:p w14:paraId="43481964">
      <w:pPr>
        <w:pStyle w:val="2"/>
        <w:spacing w:before="119" w:line="262" w:lineRule="auto"/>
        <w:ind w:left="1458" w:right="1425" w:firstLine="434"/>
        <w:rPr>
          <w:sz w:val="24"/>
          <w:szCs w:val="24"/>
        </w:rPr>
      </w:pPr>
      <w:r>
        <w:rPr>
          <w:spacing w:val="-22"/>
          <w:sz w:val="24"/>
          <w:szCs w:val="24"/>
        </w:rPr>
        <w:t>（2）根据管线长短可采用分段闭水，分段回填。</w:t>
      </w:r>
      <w:r>
        <w:rPr>
          <w:spacing w:val="-23"/>
          <w:sz w:val="24"/>
          <w:szCs w:val="24"/>
        </w:rPr>
        <w:t>如闭水试验不符合要求，必须对渗水部位</w:t>
      </w:r>
      <w:r>
        <w:rPr>
          <w:spacing w:val="-21"/>
          <w:sz w:val="24"/>
          <w:szCs w:val="24"/>
        </w:rPr>
        <w:t>进行修补处理，合格后方可回填沟槽。</w:t>
      </w:r>
    </w:p>
    <w:p w14:paraId="523ABD7D">
      <w:pPr>
        <w:spacing w:line="262" w:lineRule="auto"/>
        <w:rPr>
          <w:sz w:val="24"/>
          <w:szCs w:val="24"/>
        </w:rPr>
        <w:sectPr>
          <w:footerReference r:id="rId71" w:type="default"/>
          <w:pgSz w:w="11907" w:h="16839"/>
          <w:pgMar w:top="954" w:right="4" w:bottom="1038" w:left="0" w:header="499" w:footer="357" w:gutter="0"/>
          <w:pgBorders>
            <w:top w:val="none" w:sz="0" w:space="0"/>
            <w:left w:val="none" w:sz="0" w:space="0"/>
            <w:bottom w:val="none" w:sz="0" w:space="0"/>
            <w:right w:val="none" w:sz="0" w:space="0"/>
          </w:pgBorders>
          <w:cols w:space="720" w:num="1"/>
        </w:sectPr>
      </w:pPr>
    </w:p>
    <w:p w14:paraId="500360B5">
      <w:pPr>
        <w:pStyle w:val="2"/>
        <w:spacing w:before="295" w:line="216" w:lineRule="auto"/>
        <w:ind w:left="1985"/>
        <w:outlineLvl w:val="2"/>
        <w:rPr>
          <w:sz w:val="28"/>
          <w:szCs w:val="28"/>
        </w:rPr>
      </w:pPr>
      <w:bookmarkStart w:id="44" w:name="bookmark44"/>
      <w:bookmarkEnd w:id="44"/>
      <w:r>
        <w:rPr>
          <w:b/>
          <w:bCs/>
          <w:spacing w:val="-22"/>
          <w:sz w:val="28"/>
          <w:szCs w:val="28"/>
        </w:rPr>
        <w:t>三、电缆排管迁移恢复</w:t>
      </w:r>
    </w:p>
    <w:p w14:paraId="499B49EB">
      <w:pPr>
        <w:pStyle w:val="2"/>
        <w:spacing w:before="107" w:line="219" w:lineRule="auto"/>
        <w:ind w:left="1903"/>
        <w:rPr>
          <w:sz w:val="24"/>
          <w:szCs w:val="24"/>
        </w:rPr>
      </w:pPr>
      <w:r>
        <w:rPr>
          <w:spacing w:val="-18"/>
          <w:sz w:val="24"/>
          <w:szCs w:val="24"/>
        </w:rPr>
        <w:t>1、挖沟及埋管</w:t>
      </w:r>
    </w:p>
    <w:p w14:paraId="6687ED29">
      <w:pPr>
        <w:pStyle w:val="2"/>
        <w:spacing w:before="114" w:line="217" w:lineRule="auto"/>
        <w:ind w:left="1893"/>
        <w:rPr>
          <w:sz w:val="24"/>
          <w:szCs w:val="24"/>
        </w:rPr>
      </w:pPr>
      <w:r>
        <w:rPr>
          <w:spacing w:val="-21"/>
          <w:sz w:val="24"/>
          <w:szCs w:val="24"/>
        </w:rPr>
        <w:t>按照施工图纸开挖电缆管预埋沟，预埋相应的电缆管。</w:t>
      </w:r>
    </w:p>
    <w:p w14:paraId="2FFF2A94">
      <w:pPr>
        <w:pStyle w:val="2"/>
        <w:spacing w:before="117" w:line="219" w:lineRule="auto"/>
        <w:ind w:left="1893"/>
        <w:rPr>
          <w:sz w:val="24"/>
          <w:szCs w:val="24"/>
        </w:rPr>
      </w:pPr>
      <w:r>
        <w:rPr>
          <w:spacing w:val="-17"/>
          <w:sz w:val="24"/>
          <w:szCs w:val="24"/>
        </w:rPr>
        <w:t>（1）管道铺设</w:t>
      </w:r>
    </w:p>
    <w:p w14:paraId="2CAB98CA">
      <w:pPr>
        <w:pStyle w:val="2"/>
        <w:spacing w:before="117" w:line="217" w:lineRule="auto"/>
        <w:ind w:left="1885"/>
        <w:rPr>
          <w:sz w:val="24"/>
          <w:szCs w:val="24"/>
        </w:rPr>
      </w:pPr>
      <w:r>
        <w:rPr>
          <w:spacing w:val="-12"/>
          <w:sz w:val="24"/>
          <w:szCs w:val="24"/>
        </w:rPr>
        <w:t>①沟槽</w:t>
      </w:r>
    </w:p>
    <w:p w14:paraId="71E6EF08">
      <w:pPr>
        <w:pStyle w:val="2"/>
        <w:spacing w:before="116" w:line="308" w:lineRule="auto"/>
        <w:ind w:left="1455" w:right="1410" w:firstLine="439"/>
        <w:rPr>
          <w:sz w:val="24"/>
          <w:szCs w:val="24"/>
        </w:rPr>
      </w:pPr>
      <w:r>
        <w:rPr>
          <w:spacing w:val="-20"/>
          <w:sz w:val="24"/>
          <w:szCs w:val="24"/>
        </w:rPr>
        <w:t>沟槽槽底净宽度，可按各地区的具体情况确定，宜按管外径加0.6m采用</w:t>
      </w:r>
      <w:r>
        <w:rPr>
          <w:spacing w:val="-21"/>
          <w:sz w:val="24"/>
          <w:szCs w:val="24"/>
        </w:rPr>
        <w:t>。开挖沟槽，应严</w:t>
      </w:r>
      <w:r>
        <w:rPr>
          <w:spacing w:val="-20"/>
          <w:sz w:val="24"/>
          <w:szCs w:val="24"/>
        </w:rPr>
        <w:t>格控制基底高程，不得扰动基底原状土层。基底设计标高以上0.2～0.3m的原状土，应在铺管</w:t>
      </w:r>
      <w:r>
        <w:rPr>
          <w:spacing w:val="-21"/>
          <w:sz w:val="24"/>
          <w:szCs w:val="24"/>
        </w:rPr>
        <w:t>前人工清理至设计标高。如遇局部超挖或发生扰动，不得回填泥土，可换填最大粒径10～15mm</w:t>
      </w:r>
      <w:r>
        <w:rPr>
          <w:spacing w:val="-20"/>
          <w:sz w:val="24"/>
          <w:szCs w:val="24"/>
        </w:rPr>
        <w:t>的天然级配砂石料或最大粒径小于40mm的</w:t>
      </w:r>
      <w:r>
        <w:rPr>
          <w:spacing w:val="-21"/>
          <w:sz w:val="24"/>
          <w:szCs w:val="24"/>
        </w:rPr>
        <w:t>碎石，并整平夯实。槽底如有坚硬物体必须清除，用砂石回填处理。</w:t>
      </w:r>
    </w:p>
    <w:p w14:paraId="0D7D1BC9">
      <w:pPr>
        <w:pStyle w:val="2"/>
        <w:spacing w:before="2" w:line="307" w:lineRule="auto"/>
        <w:ind w:left="1455" w:right="1409" w:firstLine="437"/>
        <w:jc w:val="both"/>
        <w:rPr>
          <w:sz w:val="24"/>
          <w:szCs w:val="24"/>
        </w:rPr>
      </w:pPr>
      <w:r>
        <w:rPr>
          <w:spacing w:val="-20"/>
          <w:sz w:val="24"/>
          <w:szCs w:val="24"/>
        </w:rPr>
        <w:t>雨季施工时，应尽可能缩短开槽长度，且成槽快、回填快，并采取防泡槽措施。一旦发生泡槽，应将受泡的软化土层清除，换填砂石料或中粗砂。人工开槽时，宜将槽上部的混杂土与</w:t>
      </w:r>
      <w:r>
        <w:rPr>
          <w:spacing w:val="-21"/>
          <w:sz w:val="24"/>
          <w:szCs w:val="24"/>
        </w:rPr>
        <w:t>槽下部可用于沟槽回填的良质土分开堆放，且堆土不得影响</w:t>
      </w:r>
      <w:r>
        <w:rPr>
          <w:spacing w:val="-22"/>
          <w:sz w:val="24"/>
          <w:szCs w:val="24"/>
        </w:rPr>
        <w:t>沟槽的稳定性。</w:t>
      </w:r>
    </w:p>
    <w:p w14:paraId="6072190F">
      <w:pPr>
        <w:pStyle w:val="2"/>
        <w:spacing w:before="2" w:line="217" w:lineRule="auto"/>
        <w:ind w:left="1884"/>
        <w:rPr>
          <w:sz w:val="24"/>
          <w:szCs w:val="24"/>
        </w:rPr>
      </w:pPr>
      <w:r>
        <w:rPr>
          <w:spacing w:val="-12"/>
          <w:sz w:val="24"/>
          <w:szCs w:val="24"/>
        </w:rPr>
        <w:t>②基础</w:t>
      </w:r>
    </w:p>
    <w:p w14:paraId="1E3FBB68">
      <w:pPr>
        <w:pStyle w:val="2"/>
        <w:spacing w:before="114" w:line="308" w:lineRule="auto"/>
        <w:ind w:left="1455" w:right="1411" w:firstLine="450"/>
        <w:rPr>
          <w:sz w:val="24"/>
          <w:szCs w:val="24"/>
        </w:rPr>
      </w:pPr>
      <w:r>
        <w:rPr>
          <w:spacing w:val="-21"/>
          <w:sz w:val="24"/>
          <w:szCs w:val="24"/>
        </w:rPr>
        <w:t>管道基础必须采用砂砾垫层基础。对一般的土质地段，基底可铺一层厚度H0为0.1m的粗</w:t>
      </w:r>
      <w:r>
        <w:rPr>
          <w:spacing w:val="-20"/>
          <w:sz w:val="24"/>
          <w:szCs w:val="24"/>
        </w:rPr>
        <w:t>砂基础；对软土地基，且槽底处在地下水位以下时，宜铺垫厚度不小于0</w:t>
      </w:r>
      <w:r>
        <w:rPr>
          <w:spacing w:val="-21"/>
          <w:sz w:val="24"/>
          <w:szCs w:val="24"/>
        </w:rPr>
        <w:t>.20m的砂砾基础，亦</w:t>
      </w:r>
      <w:r>
        <w:rPr>
          <w:spacing w:val="-17"/>
          <w:sz w:val="24"/>
          <w:szCs w:val="24"/>
        </w:rPr>
        <w:t>可分两层铺设，下层用粒径为5～40mm的碎石，上层铺粗砂，厚度不得小于0.05m。</w:t>
      </w:r>
    </w:p>
    <w:p w14:paraId="1F44092C">
      <w:pPr>
        <w:pStyle w:val="2"/>
        <w:spacing w:before="1" w:line="217" w:lineRule="auto"/>
        <w:ind w:left="1906"/>
        <w:rPr>
          <w:sz w:val="24"/>
          <w:szCs w:val="24"/>
        </w:rPr>
      </w:pPr>
      <w:r>
        <w:rPr>
          <w:spacing w:val="-20"/>
          <w:sz w:val="24"/>
          <w:szCs w:val="24"/>
        </w:rPr>
        <w:t>管道基础支承角2α应依基础地质条件、地下水位、管径及埋深等条件由设计计算确定。</w:t>
      </w:r>
    </w:p>
    <w:p w14:paraId="2A11F484">
      <w:pPr>
        <w:pStyle w:val="2"/>
        <w:spacing w:before="117" w:line="308" w:lineRule="auto"/>
        <w:ind w:left="1464" w:right="1356" w:firstLine="441"/>
        <w:rPr>
          <w:sz w:val="24"/>
          <w:szCs w:val="24"/>
        </w:rPr>
      </w:pPr>
      <w:r>
        <w:rPr>
          <w:spacing w:val="-21"/>
          <w:sz w:val="24"/>
          <w:szCs w:val="24"/>
        </w:rPr>
        <w:t>管道基础在接口部位的凹槽，宜在铺设管道时</w:t>
      </w:r>
      <w:r>
        <w:rPr>
          <w:spacing w:val="-22"/>
          <w:sz w:val="24"/>
          <w:szCs w:val="24"/>
        </w:rPr>
        <w:t>随铺随挖。凹槽长度L按管径大小采用，宜</w:t>
      </w:r>
      <w:r>
        <w:rPr>
          <w:spacing w:val="-14"/>
          <w:sz w:val="24"/>
          <w:szCs w:val="24"/>
        </w:rPr>
        <w:t>为0.4～0.6m，凹槽深度h宜为0.05～0.1m，凹槽宽度B宜为管外径的1.</w:t>
      </w:r>
      <w:r>
        <w:rPr>
          <w:spacing w:val="-15"/>
          <w:sz w:val="24"/>
          <w:szCs w:val="24"/>
        </w:rPr>
        <w:t>1倍。在接口完成后，</w:t>
      </w:r>
      <w:r>
        <w:rPr>
          <w:spacing w:val="-20"/>
          <w:sz w:val="24"/>
          <w:szCs w:val="24"/>
        </w:rPr>
        <w:t>凹槽即用砂回填密实。</w:t>
      </w:r>
    </w:p>
    <w:p w14:paraId="1C6F237F">
      <w:pPr>
        <w:pStyle w:val="2"/>
        <w:spacing w:before="1" w:line="217" w:lineRule="auto"/>
        <w:ind w:left="1884"/>
        <w:rPr>
          <w:sz w:val="24"/>
          <w:szCs w:val="24"/>
        </w:rPr>
      </w:pPr>
      <w:r>
        <w:rPr>
          <w:spacing w:val="-18"/>
          <w:sz w:val="24"/>
          <w:szCs w:val="24"/>
        </w:rPr>
        <w:t>③管道安装及连接</w:t>
      </w:r>
    </w:p>
    <w:p w14:paraId="23B9AD84">
      <w:pPr>
        <w:pStyle w:val="2"/>
        <w:spacing w:before="115" w:line="308" w:lineRule="auto"/>
        <w:ind w:left="1458" w:right="1411" w:firstLine="448"/>
        <w:rPr>
          <w:sz w:val="24"/>
          <w:szCs w:val="24"/>
        </w:rPr>
      </w:pPr>
      <w:r>
        <w:rPr>
          <w:spacing w:val="-21"/>
          <w:sz w:val="24"/>
          <w:szCs w:val="24"/>
        </w:rPr>
        <w:t>管道安装可采用人工安装。槽深不大时可由人工抬管入槽，槽深大于3m或管径大于公称直</w:t>
      </w:r>
      <w:r>
        <w:rPr>
          <w:spacing w:val="-20"/>
          <w:sz w:val="24"/>
          <w:szCs w:val="24"/>
        </w:rPr>
        <w:t>径DN400mm时，可用非金属绳索溜管入槽，依次平衡地放在砂砾基础管位上。严禁用金属绳索勾住两端管口或将管材自槽边翻滚抛入槽中。混合槽或支撑槽，可采用从槽的一端集中下管，在槽底将管材运送到位。承插口管安装，在一般情况下插口插入方面应与水流方向一致，由低</w:t>
      </w:r>
      <w:r>
        <w:rPr>
          <w:spacing w:val="-21"/>
          <w:sz w:val="24"/>
          <w:szCs w:val="24"/>
        </w:rPr>
        <w:t>点向高点依次安装。调整管材长短时可用手锯切割，断面应</w:t>
      </w:r>
      <w:r>
        <w:rPr>
          <w:spacing w:val="-22"/>
          <w:sz w:val="24"/>
          <w:szCs w:val="24"/>
        </w:rPr>
        <w:t>垂直平整，不应有损坏。</w:t>
      </w:r>
    </w:p>
    <w:p w14:paraId="13F4A200">
      <w:pPr>
        <w:pStyle w:val="2"/>
        <w:spacing w:before="2" w:line="307" w:lineRule="auto"/>
        <w:ind w:left="1469" w:right="1411" w:firstLine="436"/>
        <w:rPr>
          <w:sz w:val="24"/>
          <w:szCs w:val="24"/>
        </w:rPr>
      </w:pPr>
      <w:r>
        <w:rPr>
          <w:spacing w:val="-20"/>
          <w:sz w:val="24"/>
          <w:szCs w:val="24"/>
        </w:rPr>
        <w:t>管道接头，除另有规定者外，应采用弹性密封圈柔性接头。公称直径小于DN200mm的平壁</w:t>
      </w:r>
      <w:r>
        <w:rPr>
          <w:spacing w:val="-21"/>
          <w:sz w:val="24"/>
          <w:szCs w:val="24"/>
        </w:rPr>
        <w:t>管亦可采用插入式粘接接口。</w:t>
      </w:r>
    </w:p>
    <w:p w14:paraId="1EEBA901">
      <w:pPr>
        <w:pStyle w:val="2"/>
        <w:spacing w:line="218" w:lineRule="auto"/>
        <w:ind w:left="1892"/>
        <w:rPr>
          <w:sz w:val="24"/>
          <w:szCs w:val="24"/>
        </w:rPr>
      </w:pPr>
      <w:r>
        <w:rPr>
          <w:spacing w:val="-20"/>
          <w:sz w:val="24"/>
          <w:szCs w:val="24"/>
        </w:rPr>
        <w:t>橡胶圈接口应遵守下列规定：</w:t>
      </w:r>
    </w:p>
    <w:p w14:paraId="3CCACE6B">
      <w:pPr>
        <w:pStyle w:val="2"/>
        <w:spacing w:before="117" w:line="216" w:lineRule="auto"/>
        <w:ind w:left="1878"/>
        <w:rPr>
          <w:sz w:val="24"/>
          <w:szCs w:val="24"/>
        </w:rPr>
      </w:pPr>
      <w:r>
        <w:rPr>
          <w:spacing w:val="-21"/>
          <w:sz w:val="24"/>
          <w:szCs w:val="24"/>
        </w:rPr>
        <w:t>A、连接前，应先检查胶圈是否配套完好，确认胶圈安放位置及插口应插入承口的深度。</w:t>
      </w:r>
    </w:p>
    <w:p w14:paraId="4E4185EC">
      <w:pPr>
        <w:pStyle w:val="2"/>
        <w:spacing w:before="119" w:line="261" w:lineRule="auto"/>
        <w:ind w:left="1464" w:right="1409" w:firstLine="415"/>
        <w:rPr>
          <w:sz w:val="24"/>
          <w:szCs w:val="24"/>
        </w:rPr>
      </w:pPr>
      <w:r>
        <w:rPr>
          <w:spacing w:val="-22"/>
          <w:sz w:val="24"/>
          <w:szCs w:val="24"/>
        </w:rPr>
        <w:t>B、接口作业时，应先将承口（或插口）的内（或外）工作面用棉纱清理干净，不得有泥土等杂物，并在承口内工作面涂上润滑剂，然后立即将插口端的中心对准承口的中</w:t>
      </w:r>
      <w:r>
        <w:rPr>
          <w:spacing w:val="-23"/>
          <w:sz w:val="24"/>
          <w:szCs w:val="24"/>
        </w:rPr>
        <w:t>心轴线就位。</w:t>
      </w:r>
    </w:p>
    <w:p w14:paraId="235446D1">
      <w:pPr>
        <w:pStyle w:val="2"/>
        <w:spacing w:before="122" w:line="277" w:lineRule="auto"/>
        <w:ind w:left="1456" w:right="1412" w:firstLine="427"/>
        <w:rPr>
          <w:sz w:val="24"/>
          <w:szCs w:val="24"/>
        </w:rPr>
      </w:pPr>
      <w:r>
        <w:rPr>
          <w:spacing w:val="-22"/>
          <w:sz w:val="24"/>
          <w:szCs w:val="24"/>
        </w:rPr>
        <w:t>C、插口插入承口时，小口径管可用人力，可在管端部设置木挡板，用撬棍将被安装的管材</w:t>
      </w:r>
      <w:r>
        <w:rPr>
          <w:spacing w:val="-20"/>
          <w:sz w:val="24"/>
          <w:szCs w:val="24"/>
        </w:rPr>
        <w:t>沿着对准的轴线徐徐插入承口内，逐节依次安装。公称直径大于DN400mm的管道，可用缆绳系</w:t>
      </w:r>
      <w:r>
        <w:rPr>
          <w:spacing w:val="-21"/>
          <w:sz w:val="24"/>
          <w:szCs w:val="24"/>
        </w:rPr>
        <w:t>住管材用手搬葫芦等提力工具安装。严禁采用施工机械强</w:t>
      </w:r>
      <w:r>
        <w:rPr>
          <w:spacing w:val="-22"/>
          <w:sz w:val="24"/>
          <w:szCs w:val="24"/>
        </w:rPr>
        <w:t>行推顶管子插入承口。</w:t>
      </w:r>
    </w:p>
    <w:p w14:paraId="13D30686">
      <w:pPr>
        <w:spacing w:line="277" w:lineRule="auto"/>
        <w:rPr>
          <w:sz w:val="24"/>
          <w:szCs w:val="24"/>
        </w:rPr>
        <w:sectPr>
          <w:footerReference r:id="rId72" w:type="default"/>
          <w:pgSz w:w="11907" w:h="16839"/>
          <w:pgMar w:top="954" w:right="4" w:bottom="1038" w:left="0" w:header="499" w:footer="357" w:gutter="0"/>
          <w:pgBorders>
            <w:top w:val="none" w:sz="0" w:space="0"/>
            <w:left w:val="none" w:sz="0" w:space="0"/>
            <w:bottom w:val="none" w:sz="0" w:space="0"/>
            <w:right w:val="none" w:sz="0" w:space="0"/>
          </w:pgBorders>
          <w:cols w:space="720" w:num="1"/>
        </w:sectPr>
      </w:pPr>
    </w:p>
    <w:p w14:paraId="5869D760">
      <w:pPr>
        <w:spacing w:line="251" w:lineRule="auto"/>
        <w:rPr>
          <w:rFonts w:ascii="Arial"/>
          <w:sz w:val="21"/>
        </w:rPr>
      </w:pPr>
    </w:p>
    <w:p w14:paraId="4EDB6D48">
      <w:pPr>
        <w:pStyle w:val="2"/>
        <w:spacing w:before="78" w:line="217" w:lineRule="auto"/>
        <w:ind w:left="1895"/>
        <w:rPr>
          <w:sz w:val="24"/>
          <w:szCs w:val="24"/>
        </w:rPr>
      </w:pPr>
      <w:r>
        <w:rPr>
          <w:spacing w:val="-21"/>
          <w:sz w:val="24"/>
          <w:szCs w:val="24"/>
        </w:rPr>
        <w:t>螺旋肋管的安装，应采用由管材生产厂提供的特制管</w:t>
      </w:r>
      <w:r>
        <w:rPr>
          <w:spacing w:val="-22"/>
          <w:sz w:val="24"/>
          <w:szCs w:val="24"/>
        </w:rPr>
        <w:t>接头，用粘接接口连接。</w:t>
      </w:r>
    </w:p>
    <w:p w14:paraId="247C5968">
      <w:pPr>
        <w:pStyle w:val="2"/>
        <w:spacing w:before="117" w:line="308" w:lineRule="auto"/>
        <w:ind w:left="1459" w:right="1409" w:firstLine="433"/>
        <w:rPr>
          <w:sz w:val="24"/>
          <w:szCs w:val="24"/>
        </w:rPr>
      </w:pPr>
      <w:r>
        <w:rPr>
          <w:spacing w:val="-20"/>
          <w:sz w:val="24"/>
          <w:szCs w:val="24"/>
        </w:rPr>
        <w:t>雨季施工应采取防止管材漂浮的措施。可先回填到管顶以上大于一倍管径的高度。当管道安装完毕尚未还土而遭到水泡时，应进行管中心线和管底高程复测和外观检查，如出现位移、</w:t>
      </w:r>
      <w:r>
        <w:rPr>
          <w:spacing w:val="-21"/>
          <w:sz w:val="24"/>
          <w:szCs w:val="24"/>
        </w:rPr>
        <w:t>漂浮、拔口现象，应返工处理。</w:t>
      </w:r>
    </w:p>
    <w:p w14:paraId="5468F8EE">
      <w:pPr>
        <w:pStyle w:val="2"/>
        <w:spacing w:before="1" w:line="218" w:lineRule="auto"/>
        <w:ind w:left="1893"/>
        <w:rPr>
          <w:sz w:val="24"/>
          <w:szCs w:val="24"/>
        </w:rPr>
      </w:pPr>
      <w:r>
        <w:rPr>
          <w:spacing w:val="-18"/>
          <w:sz w:val="24"/>
          <w:szCs w:val="24"/>
        </w:rPr>
        <w:t>（2）、钢管铺设</w:t>
      </w:r>
    </w:p>
    <w:p w14:paraId="10D38ECE">
      <w:pPr>
        <w:pStyle w:val="2"/>
        <w:spacing w:before="114" w:line="215" w:lineRule="auto"/>
        <w:ind w:left="1903"/>
        <w:rPr>
          <w:sz w:val="24"/>
          <w:szCs w:val="24"/>
        </w:rPr>
      </w:pPr>
      <w:r>
        <w:rPr>
          <w:spacing w:val="-21"/>
          <w:sz w:val="24"/>
          <w:szCs w:val="24"/>
        </w:rPr>
        <w:t>1、钢管切割可用细齿钢锯、割管机或型钢切割机配纤维增强</w:t>
      </w:r>
      <w:r>
        <w:rPr>
          <w:spacing w:val="-22"/>
          <w:sz w:val="24"/>
          <w:szCs w:val="24"/>
        </w:rPr>
        <w:t>砂轮片切割。</w:t>
      </w:r>
    </w:p>
    <w:p w14:paraId="65BD6AA0">
      <w:pPr>
        <w:pStyle w:val="2"/>
        <w:spacing w:before="121" w:line="263" w:lineRule="auto"/>
        <w:ind w:left="1470" w:right="1319" w:firstLine="418"/>
        <w:rPr>
          <w:sz w:val="24"/>
          <w:szCs w:val="24"/>
        </w:rPr>
      </w:pPr>
      <w:r>
        <w:rPr>
          <w:spacing w:val="-25"/>
          <w:sz w:val="24"/>
          <w:szCs w:val="24"/>
        </w:rPr>
        <w:t>2、管子端部套丝。水煤气钢管可用管子套绞板；电线管可用圆丝板套丝口。钢管与盒</w:t>
      </w:r>
      <w:r>
        <w:rPr>
          <w:spacing w:val="-26"/>
          <w:sz w:val="24"/>
          <w:szCs w:val="24"/>
        </w:rPr>
        <w:t>（箱）</w:t>
      </w:r>
      <w:r>
        <w:rPr>
          <w:spacing w:val="-22"/>
          <w:sz w:val="24"/>
          <w:szCs w:val="24"/>
        </w:rPr>
        <w:t>的连接采用焊接连接或锁紧螺母（护圈帽）固定。</w:t>
      </w:r>
    </w:p>
    <w:p w14:paraId="11DFEA78">
      <w:pPr>
        <w:pStyle w:val="2"/>
        <w:spacing w:before="116" w:line="277" w:lineRule="auto"/>
        <w:ind w:left="1456" w:right="1353" w:firstLine="434"/>
        <w:rPr>
          <w:sz w:val="24"/>
          <w:szCs w:val="24"/>
        </w:rPr>
      </w:pPr>
      <w:r>
        <w:rPr>
          <w:spacing w:val="-22"/>
          <w:sz w:val="24"/>
          <w:szCs w:val="24"/>
        </w:rPr>
        <w:t>3、钢管与设备间连接时，钢管端部宜增设电线保护软管或可饶金属电线保护管后引</w:t>
      </w:r>
      <w:r>
        <w:rPr>
          <w:spacing w:val="-23"/>
          <w:sz w:val="24"/>
          <w:szCs w:val="24"/>
        </w:rPr>
        <w:t>入设备的接线盒内，且钢管管口包孔紧密；对潮湿</w:t>
      </w:r>
      <w:r>
        <w:rPr>
          <w:spacing w:val="-24"/>
          <w:sz w:val="24"/>
          <w:szCs w:val="24"/>
        </w:rPr>
        <w:t>场所，钢管端部增设防水弯头，导线加套保护软管，</w:t>
      </w:r>
      <w:r>
        <w:rPr>
          <w:spacing w:val="-22"/>
          <w:sz w:val="24"/>
          <w:szCs w:val="24"/>
        </w:rPr>
        <w:t>经弯成滴水弧状后，在引入到设备的接线盒。</w:t>
      </w:r>
    </w:p>
    <w:p w14:paraId="4C0D878C">
      <w:pPr>
        <w:pStyle w:val="2"/>
        <w:spacing w:before="119" w:line="263" w:lineRule="auto"/>
        <w:ind w:left="1460" w:right="1410" w:firstLine="424"/>
        <w:rPr>
          <w:sz w:val="24"/>
          <w:szCs w:val="24"/>
        </w:rPr>
      </w:pPr>
      <w:r>
        <w:rPr>
          <w:spacing w:val="-22"/>
          <w:sz w:val="24"/>
          <w:szCs w:val="24"/>
        </w:rPr>
        <w:t>4、镀锌钢薄壁钢管采用套管螺纹接续（又称套管丝扣连接</w:t>
      </w:r>
      <w:r>
        <w:rPr>
          <w:spacing w:val="-19"/>
          <w:sz w:val="24"/>
          <w:szCs w:val="24"/>
        </w:rPr>
        <w:t>），</w:t>
      </w:r>
      <w:r>
        <w:rPr>
          <w:spacing w:val="-22"/>
          <w:sz w:val="24"/>
          <w:szCs w:val="24"/>
        </w:rPr>
        <w:t>管端螺纹长度不应小于管接</w:t>
      </w:r>
      <w:r>
        <w:rPr>
          <w:spacing w:val="-17"/>
          <w:sz w:val="24"/>
          <w:szCs w:val="24"/>
        </w:rPr>
        <w:t>头的1/2；连接后螺纹宜外露2－3扣。</w:t>
      </w:r>
    </w:p>
    <w:p w14:paraId="080CE9C0">
      <w:pPr>
        <w:pStyle w:val="2"/>
        <w:spacing w:before="118" w:line="262" w:lineRule="auto"/>
        <w:ind w:left="1458" w:right="1320" w:firstLine="432"/>
        <w:rPr>
          <w:sz w:val="24"/>
          <w:szCs w:val="24"/>
        </w:rPr>
      </w:pPr>
      <w:r>
        <w:rPr>
          <w:spacing w:val="-30"/>
          <w:sz w:val="24"/>
          <w:szCs w:val="24"/>
        </w:rPr>
        <w:t>5、配管管路通过建筑物变形缝时，要在其两侧各埋设接线盒（箱）做补</w:t>
      </w:r>
      <w:r>
        <w:rPr>
          <w:spacing w:val="-31"/>
          <w:sz w:val="24"/>
          <w:szCs w:val="24"/>
        </w:rPr>
        <w:t>偿装置，接线盒（箱）</w:t>
      </w:r>
      <w:r>
        <w:rPr>
          <w:spacing w:val="-18"/>
          <w:sz w:val="24"/>
          <w:szCs w:val="24"/>
        </w:rPr>
        <w:t>上开长孔，不应小于管外径的2倍。</w:t>
      </w:r>
    </w:p>
    <w:p w14:paraId="63938479">
      <w:pPr>
        <w:pStyle w:val="2"/>
        <w:spacing w:before="117" w:line="218" w:lineRule="auto"/>
        <w:ind w:left="1888"/>
        <w:rPr>
          <w:sz w:val="24"/>
          <w:szCs w:val="24"/>
        </w:rPr>
      </w:pPr>
      <w:r>
        <w:rPr>
          <w:spacing w:val="-17"/>
          <w:sz w:val="24"/>
          <w:szCs w:val="24"/>
        </w:rPr>
        <w:t>2、施工技术措施</w:t>
      </w:r>
    </w:p>
    <w:p w14:paraId="6BE19A52">
      <w:pPr>
        <w:pStyle w:val="2"/>
        <w:spacing w:before="117" w:line="218" w:lineRule="auto"/>
        <w:ind w:left="1888"/>
        <w:rPr>
          <w:sz w:val="24"/>
          <w:szCs w:val="24"/>
        </w:rPr>
      </w:pPr>
      <w:r>
        <w:rPr>
          <w:spacing w:val="-18"/>
          <w:sz w:val="24"/>
          <w:szCs w:val="24"/>
        </w:rPr>
        <w:t>2.1、电缆排管的施工技术措施</w:t>
      </w:r>
    </w:p>
    <w:p w14:paraId="4223B64D">
      <w:pPr>
        <w:pStyle w:val="2"/>
        <w:spacing w:before="116" w:line="308" w:lineRule="auto"/>
        <w:ind w:left="1458" w:right="1410" w:firstLine="436"/>
        <w:rPr>
          <w:sz w:val="24"/>
          <w:szCs w:val="24"/>
        </w:rPr>
      </w:pPr>
      <w:r>
        <w:rPr>
          <w:spacing w:val="-20"/>
          <w:sz w:val="24"/>
          <w:szCs w:val="24"/>
        </w:rPr>
        <w:t>采用挖掘机开挖，人工配合的方法进行电缆沟槽基础施工，沟槽基础形成后由人工整平并进行地板砼的浇筑。</w:t>
      </w:r>
    </w:p>
    <w:p w14:paraId="0040BB19">
      <w:pPr>
        <w:pStyle w:val="2"/>
        <w:spacing w:before="1" w:line="307" w:lineRule="auto"/>
        <w:ind w:left="1457" w:right="1409" w:firstLine="462"/>
        <w:rPr>
          <w:sz w:val="24"/>
          <w:szCs w:val="24"/>
        </w:rPr>
      </w:pPr>
      <w:r>
        <w:rPr>
          <w:spacing w:val="-20"/>
          <w:sz w:val="24"/>
          <w:szCs w:val="24"/>
        </w:rPr>
        <w:t>电缆排管的铺设和埋砂全部由人工进行，逐层管间间距和埋砂厚度要</w:t>
      </w:r>
      <w:r>
        <w:rPr>
          <w:spacing w:val="-21"/>
          <w:sz w:val="24"/>
          <w:szCs w:val="24"/>
        </w:rPr>
        <w:t>求符合设计尺寸，必须使砂和排管形成密实的整体。</w:t>
      </w:r>
    </w:p>
    <w:p w14:paraId="387BF84E">
      <w:pPr>
        <w:pStyle w:val="2"/>
        <w:spacing w:before="1" w:line="307" w:lineRule="auto"/>
        <w:ind w:left="1459" w:right="1410" w:firstLine="460"/>
        <w:rPr>
          <w:sz w:val="24"/>
          <w:szCs w:val="24"/>
        </w:rPr>
      </w:pPr>
      <w:r>
        <w:rPr>
          <w:spacing w:val="-22"/>
          <w:sz w:val="24"/>
          <w:szCs w:val="24"/>
        </w:rPr>
        <w:t>电缆埋设完毕后进行土方回填回填时分层进行。每层厚度不超过15cm由人工进行夯实。余</w:t>
      </w:r>
      <w:r>
        <w:rPr>
          <w:spacing w:val="-20"/>
          <w:sz w:val="24"/>
          <w:szCs w:val="24"/>
        </w:rPr>
        <w:t>土由汽车运至弃置场。</w:t>
      </w:r>
    </w:p>
    <w:p w14:paraId="757E9C88">
      <w:pPr>
        <w:pStyle w:val="2"/>
        <w:spacing w:before="1" w:line="218" w:lineRule="auto"/>
        <w:ind w:left="1888"/>
        <w:rPr>
          <w:sz w:val="24"/>
          <w:szCs w:val="24"/>
        </w:rPr>
      </w:pPr>
      <w:r>
        <w:rPr>
          <w:spacing w:val="-18"/>
          <w:sz w:val="24"/>
          <w:szCs w:val="24"/>
        </w:rPr>
        <w:t>2.2、电缆井的施工技术措施</w:t>
      </w:r>
    </w:p>
    <w:p w14:paraId="1A248CEA">
      <w:pPr>
        <w:pStyle w:val="2"/>
        <w:spacing w:before="117" w:line="216" w:lineRule="auto"/>
        <w:ind w:left="1924"/>
        <w:rPr>
          <w:sz w:val="24"/>
          <w:szCs w:val="24"/>
        </w:rPr>
      </w:pPr>
      <w:r>
        <w:rPr>
          <w:spacing w:val="-22"/>
          <w:sz w:val="24"/>
          <w:szCs w:val="24"/>
        </w:rPr>
        <w:t>由挖掘机开挖出基础，然后由人工平整并浇</w:t>
      </w:r>
      <w:r>
        <w:rPr>
          <w:spacing w:val="-23"/>
          <w:sz w:val="24"/>
          <w:szCs w:val="24"/>
        </w:rPr>
        <w:t>筑砼地板。</w:t>
      </w:r>
    </w:p>
    <w:p w14:paraId="0E901DF5">
      <w:pPr>
        <w:pStyle w:val="2"/>
        <w:spacing w:before="120" w:line="216" w:lineRule="auto"/>
        <w:ind w:left="1896"/>
        <w:rPr>
          <w:sz w:val="24"/>
          <w:szCs w:val="24"/>
        </w:rPr>
      </w:pPr>
      <w:r>
        <w:rPr>
          <w:spacing w:val="-18"/>
          <w:sz w:val="24"/>
          <w:szCs w:val="24"/>
        </w:rPr>
        <w:t>人工砌筑电缆井墙体并按设计要求预埋L100×10电缆支架。</w:t>
      </w:r>
    </w:p>
    <w:p w14:paraId="0CAEFC39">
      <w:pPr>
        <w:pStyle w:val="2"/>
        <w:spacing w:before="118" w:line="308" w:lineRule="auto"/>
        <w:ind w:left="1455" w:right="1460" w:firstLine="463"/>
        <w:rPr>
          <w:sz w:val="24"/>
          <w:szCs w:val="24"/>
        </w:rPr>
      </w:pPr>
      <w:r>
        <w:rPr>
          <w:spacing w:val="-21"/>
          <w:sz w:val="24"/>
          <w:szCs w:val="24"/>
        </w:rPr>
        <w:t>电缆井压顶部分使用现浇方式进行。钢摸板</w:t>
      </w:r>
      <w:r>
        <w:rPr>
          <w:spacing w:val="-22"/>
          <w:sz w:val="24"/>
          <w:szCs w:val="24"/>
        </w:rPr>
        <w:t>的高度和宽度必须符合设计尺寸支撑要牢固，</w:t>
      </w:r>
      <w:r>
        <w:rPr>
          <w:spacing w:val="-21"/>
          <w:sz w:val="24"/>
          <w:szCs w:val="24"/>
        </w:rPr>
        <w:t>摸板稳固。浇筑时振捣密实，严禁漏振。</w:t>
      </w:r>
    </w:p>
    <w:p w14:paraId="118DEBCC">
      <w:pPr>
        <w:pStyle w:val="2"/>
        <w:spacing w:before="2" w:line="307" w:lineRule="auto"/>
        <w:ind w:left="1459" w:right="1410" w:firstLine="439"/>
        <w:rPr>
          <w:sz w:val="24"/>
          <w:szCs w:val="24"/>
        </w:rPr>
      </w:pPr>
      <w:r>
        <w:rPr>
          <w:spacing w:val="-20"/>
          <w:sz w:val="24"/>
          <w:szCs w:val="24"/>
        </w:rPr>
        <w:t>盖板全部预制，安装时采用机械吊装，人工配合。盖板安装完后进行土方回填并夯实，余</w:t>
      </w:r>
      <w:r>
        <w:rPr>
          <w:spacing w:val="-19"/>
          <w:sz w:val="24"/>
          <w:szCs w:val="24"/>
        </w:rPr>
        <w:t>土运至弃置场。</w:t>
      </w:r>
    </w:p>
    <w:p w14:paraId="416ED834">
      <w:pPr>
        <w:pStyle w:val="2"/>
        <w:spacing w:before="1" w:line="215" w:lineRule="auto"/>
        <w:ind w:left="1896"/>
        <w:rPr>
          <w:sz w:val="24"/>
          <w:szCs w:val="24"/>
        </w:rPr>
      </w:pPr>
      <w:r>
        <w:rPr>
          <w:spacing w:val="-20"/>
          <w:sz w:val="24"/>
          <w:szCs w:val="24"/>
        </w:rPr>
        <w:t>混凝土构件的制作工艺流程</w:t>
      </w:r>
    </w:p>
    <w:p w14:paraId="59D8594B">
      <w:pPr>
        <w:pStyle w:val="2"/>
        <w:spacing w:before="120" w:line="216" w:lineRule="auto"/>
        <w:ind w:left="1892"/>
        <w:rPr>
          <w:sz w:val="24"/>
          <w:szCs w:val="24"/>
        </w:rPr>
      </w:pPr>
      <w:r>
        <w:rPr>
          <w:spacing w:val="-21"/>
          <w:sz w:val="24"/>
          <w:szCs w:val="24"/>
        </w:rPr>
        <w:t>钢模制作→刷脱模剂→钢筋制作安装→混凝土的浇筑→脱模→</w:t>
      </w:r>
      <w:r>
        <w:rPr>
          <w:spacing w:val="-22"/>
          <w:sz w:val="24"/>
          <w:szCs w:val="24"/>
        </w:rPr>
        <w:t>养生→集中堆放</w:t>
      </w:r>
    </w:p>
    <w:p w14:paraId="0FD1B7D4">
      <w:pPr>
        <w:pStyle w:val="2"/>
        <w:spacing w:before="119" w:line="308" w:lineRule="auto"/>
        <w:ind w:left="1463" w:right="1409" w:firstLine="431"/>
        <w:rPr>
          <w:sz w:val="24"/>
          <w:szCs w:val="24"/>
        </w:rPr>
      </w:pPr>
      <w:r>
        <w:rPr>
          <w:spacing w:val="-20"/>
          <w:sz w:val="24"/>
          <w:szCs w:val="24"/>
        </w:rPr>
        <w:t>本公司拟在预制厂进行盖板构件的生产。如业主要求订购，我方将经过周密查找并筛选出</w:t>
      </w:r>
      <w:r>
        <w:rPr>
          <w:spacing w:val="-21"/>
          <w:sz w:val="24"/>
          <w:szCs w:val="24"/>
        </w:rPr>
        <w:t>合格的供应商，与之签定供应合同。</w:t>
      </w:r>
    </w:p>
    <w:p w14:paraId="26F7D8A0">
      <w:pPr>
        <w:pStyle w:val="2"/>
        <w:spacing w:line="218" w:lineRule="auto"/>
        <w:ind w:left="1890"/>
        <w:rPr>
          <w:sz w:val="24"/>
          <w:szCs w:val="24"/>
        </w:rPr>
      </w:pPr>
      <w:r>
        <w:rPr>
          <w:spacing w:val="-19"/>
          <w:sz w:val="24"/>
          <w:szCs w:val="24"/>
        </w:rPr>
        <w:t>3、各分项工程施工顺序</w:t>
      </w:r>
    </w:p>
    <w:p w14:paraId="31AFCDA2">
      <w:pPr>
        <w:pStyle w:val="2"/>
        <w:spacing w:before="115" w:line="218" w:lineRule="auto"/>
        <w:ind w:left="1890"/>
        <w:rPr>
          <w:sz w:val="24"/>
          <w:szCs w:val="24"/>
        </w:rPr>
      </w:pPr>
      <w:r>
        <w:rPr>
          <w:spacing w:val="-18"/>
          <w:sz w:val="24"/>
          <w:szCs w:val="24"/>
        </w:rPr>
        <w:t>3.1、电缆排管的施工顺序</w:t>
      </w:r>
    </w:p>
    <w:p w14:paraId="5ECC8212">
      <w:pPr>
        <w:spacing w:line="218" w:lineRule="auto"/>
        <w:rPr>
          <w:sz w:val="24"/>
          <w:szCs w:val="24"/>
        </w:rPr>
        <w:sectPr>
          <w:footerReference r:id="rId73" w:type="default"/>
          <w:pgSz w:w="11907" w:h="16839"/>
          <w:pgMar w:top="954" w:right="4" w:bottom="1038" w:left="0" w:header="499" w:footer="357" w:gutter="0"/>
          <w:pgBorders>
            <w:top w:val="none" w:sz="0" w:space="0"/>
            <w:left w:val="none" w:sz="0" w:space="0"/>
            <w:bottom w:val="none" w:sz="0" w:space="0"/>
            <w:right w:val="none" w:sz="0" w:space="0"/>
          </w:pgBorders>
          <w:cols w:space="720" w:num="1"/>
        </w:sectPr>
      </w:pPr>
    </w:p>
    <w:p w14:paraId="549335A0">
      <w:pPr>
        <w:spacing w:line="250" w:lineRule="auto"/>
        <w:rPr>
          <w:rFonts w:ascii="Arial"/>
          <w:sz w:val="21"/>
        </w:rPr>
      </w:pPr>
    </w:p>
    <w:p w14:paraId="168D567F">
      <w:pPr>
        <w:pStyle w:val="2"/>
        <w:spacing w:before="78" w:line="218" w:lineRule="auto"/>
        <w:ind w:left="1893"/>
        <w:rPr>
          <w:sz w:val="24"/>
          <w:szCs w:val="24"/>
        </w:rPr>
      </w:pPr>
      <w:r>
        <w:rPr>
          <w:spacing w:val="-21"/>
          <w:sz w:val="24"/>
          <w:szCs w:val="24"/>
        </w:rPr>
        <w:t>测量放线→沟槽土方开挖及底板砼浇筑→土方回填夯实、余土</w:t>
      </w:r>
      <w:r>
        <w:rPr>
          <w:spacing w:val="-22"/>
          <w:sz w:val="24"/>
          <w:szCs w:val="24"/>
        </w:rPr>
        <w:t>弃运箭头</w:t>
      </w:r>
    </w:p>
    <w:p w14:paraId="5DACEA96">
      <w:pPr>
        <w:pStyle w:val="2"/>
        <w:spacing w:before="117" w:line="216" w:lineRule="auto"/>
        <w:ind w:left="1890"/>
        <w:rPr>
          <w:sz w:val="24"/>
          <w:szCs w:val="24"/>
        </w:rPr>
      </w:pPr>
      <w:r>
        <w:rPr>
          <w:spacing w:val="-18"/>
          <w:sz w:val="24"/>
          <w:szCs w:val="24"/>
        </w:rPr>
        <w:t>3.2、电缆检查井的施工顺序</w:t>
      </w:r>
    </w:p>
    <w:p w14:paraId="5A0178CE">
      <w:pPr>
        <w:pStyle w:val="2"/>
        <w:spacing w:before="118" w:line="217" w:lineRule="auto"/>
        <w:ind w:left="1895"/>
        <w:rPr>
          <w:sz w:val="24"/>
          <w:szCs w:val="24"/>
        </w:rPr>
      </w:pPr>
      <w:r>
        <w:rPr>
          <w:spacing w:val="-21"/>
          <w:sz w:val="24"/>
          <w:szCs w:val="24"/>
        </w:rPr>
        <w:t>底板基础开挖及砼浇筑→砌筑墙体及预埋铁件制安</w:t>
      </w:r>
      <w:r>
        <w:rPr>
          <w:spacing w:val="-22"/>
          <w:sz w:val="24"/>
          <w:szCs w:val="24"/>
        </w:rPr>
        <w:t>→压顶现浇→盖板的安装→</w:t>
      </w:r>
    </w:p>
    <w:p w14:paraId="24C0B99D">
      <w:pPr>
        <w:pStyle w:val="2"/>
        <w:spacing w:before="118" w:line="218" w:lineRule="auto"/>
        <w:ind w:left="1895"/>
        <w:rPr>
          <w:sz w:val="24"/>
          <w:szCs w:val="24"/>
        </w:rPr>
      </w:pPr>
      <w:r>
        <w:rPr>
          <w:spacing w:val="-20"/>
          <w:sz w:val="24"/>
          <w:szCs w:val="24"/>
        </w:rPr>
        <w:t>土方回填夯实、余土弃运</w:t>
      </w:r>
    </w:p>
    <w:p w14:paraId="27D45E74">
      <w:pPr>
        <w:pStyle w:val="2"/>
        <w:spacing w:before="117" w:line="218" w:lineRule="auto"/>
        <w:ind w:left="1884"/>
        <w:rPr>
          <w:sz w:val="24"/>
          <w:szCs w:val="24"/>
        </w:rPr>
      </w:pPr>
      <w:r>
        <w:rPr>
          <w:spacing w:val="-17"/>
          <w:sz w:val="24"/>
          <w:szCs w:val="24"/>
        </w:rPr>
        <w:t>4、总体施工安排</w:t>
      </w:r>
    </w:p>
    <w:p w14:paraId="5ABEED5F">
      <w:pPr>
        <w:pStyle w:val="2"/>
        <w:spacing w:before="116" w:line="308" w:lineRule="auto"/>
        <w:ind w:left="1464" w:right="1429" w:firstLine="429"/>
        <w:rPr>
          <w:sz w:val="24"/>
          <w:szCs w:val="24"/>
        </w:rPr>
      </w:pPr>
      <w:r>
        <w:rPr>
          <w:spacing w:val="-20"/>
          <w:sz w:val="24"/>
          <w:szCs w:val="24"/>
        </w:rPr>
        <w:t>本工程的主要分项工程分别为施工准备、电缆排管施工、电缆检查井施工、构件预</w:t>
      </w:r>
      <w:r>
        <w:rPr>
          <w:spacing w:val="-21"/>
          <w:sz w:val="24"/>
          <w:szCs w:val="24"/>
        </w:rPr>
        <w:t>制安装</w:t>
      </w:r>
      <w:r>
        <w:rPr>
          <w:spacing w:val="-22"/>
          <w:sz w:val="24"/>
          <w:szCs w:val="24"/>
        </w:rPr>
        <w:t>等四项工程施工。各分项工程总体施工安排如下：</w:t>
      </w:r>
    </w:p>
    <w:p w14:paraId="78900421">
      <w:pPr>
        <w:pStyle w:val="2"/>
        <w:spacing w:line="218" w:lineRule="auto"/>
        <w:ind w:left="1884"/>
        <w:rPr>
          <w:sz w:val="24"/>
          <w:szCs w:val="24"/>
        </w:rPr>
      </w:pPr>
      <w:r>
        <w:rPr>
          <w:spacing w:val="-14"/>
          <w:sz w:val="24"/>
          <w:szCs w:val="24"/>
        </w:rPr>
        <w:t>4.1、施工准备</w:t>
      </w:r>
    </w:p>
    <w:p w14:paraId="59848A74">
      <w:pPr>
        <w:pStyle w:val="2"/>
        <w:spacing w:before="115" w:line="217" w:lineRule="auto"/>
        <w:ind w:left="1894"/>
        <w:rPr>
          <w:sz w:val="24"/>
          <w:szCs w:val="24"/>
        </w:rPr>
      </w:pPr>
      <w:r>
        <w:rPr>
          <w:spacing w:val="-18"/>
          <w:sz w:val="24"/>
          <w:szCs w:val="24"/>
        </w:rPr>
        <w:t>搭建临时设施</w:t>
      </w:r>
    </w:p>
    <w:p w14:paraId="5C3BC8B4">
      <w:pPr>
        <w:pStyle w:val="2"/>
        <w:spacing w:before="117" w:line="308" w:lineRule="auto"/>
        <w:ind w:left="1459" w:right="1410" w:firstLine="443"/>
        <w:rPr>
          <w:sz w:val="24"/>
          <w:szCs w:val="24"/>
        </w:rPr>
      </w:pPr>
      <w:r>
        <w:rPr>
          <w:spacing w:val="-20"/>
          <w:sz w:val="24"/>
          <w:szCs w:val="24"/>
        </w:rPr>
        <w:t>包括办公室、会议室、管理人员宿舍、工人宿舍、仓库和食堂拌和场等。主要安排在施工</w:t>
      </w:r>
      <w:r>
        <w:rPr>
          <w:spacing w:val="-18"/>
          <w:sz w:val="24"/>
          <w:szCs w:val="24"/>
        </w:rPr>
        <w:t>准备阶段，计划5天完成，即安排在开工后第1天～第5天内完成。</w:t>
      </w:r>
    </w:p>
    <w:p w14:paraId="5F0E7E30">
      <w:pPr>
        <w:pStyle w:val="2"/>
        <w:spacing w:before="1" w:line="218" w:lineRule="auto"/>
        <w:ind w:left="1895"/>
        <w:rPr>
          <w:sz w:val="24"/>
          <w:szCs w:val="24"/>
        </w:rPr>
      </w:pPr>
      <w:r>
        <w:rPr>
          <w:spacing w:val="-21"/>
          <w:sz w:val="24"/>
          <w:szCs w:val="24"/>
        </w:rPr>
        <w:t>余土弃置场及其施工便道的施工</w:t>
      </w:r>
    </w:p>
    <w:p w14:paraId="5909CFFC">
      <w:pPr>
        <w:pStyle w:val="2"/>
        <w:spacing w:before="117" w:line="215" w:lineRule="auto"/>
        <w:ind w:left="1895"/>
        <w:rPr>
          <w:sz w:val="24"/>
          <w:szCs w:val="24"/>
        </w:rPr>
      </w:pPr>
      <w:r>
        <w:rPr>
          <w:spacing w:val="-18"/>
          <w:sz w:val="24"/>
          <w:szCs w:val="24"/>
        </w:rPr>
        <w:t>安排在施工准备阶段，计划5天完成，即开工后第</w:t>
      </w:r>
      <w:r>
        <w:rPr>
          <w:spacing w:val="-19"/>
          <w:sz w:val="24"/>
          <w:szCs w:val="24"/>
        </w:rPr>
        <w:t>1天～第5天完工。</w:t>
      </w:r>
    </w:p>
    <w:p w14:paraId="25C84BAC">
      <w:pPr>
        <w:pStyle w:val="2"/>
        <w:spacing w:before="121" w:line="218" w:lineRule="auto"/>
        <w:ind w:left="1884"/>
        <w:rPr>
          <w:sz w:val="24"/>
          <w:szCs w:val="24"/>
        </w:rPr>
      </w:pPr>
      <w:r>
        <w:rPr>
          <w:spacing w:val="-16"/>
          <w:sz w:val="24"/>
          <w:szCs w:val="24"/>
        </w:rPr>
        <w:t>4.2、电缆排管施工</w:t>
      </w:r>
    </w:p>
    <w:p w14:paraId="539C6BFD">
      <w:pPr>
        <w:pStyle w:val="2"/>
        <w:spacing w:before="114" w:line="217" w:lineRule="auto"/>
        <w:ind w:left="1895"/>
        <w:rPr>
          <w:sz w:val="24"/>
          <w:szCs w:val="24"/>
        </w:rPr>
      </w:pPr>
      <w:r>
        <w:rPr>
          <w:spacing w:val="-21"/>
          <w:sz w:val="24"/>
          <w:szCs w:val="24"/>
        </w:rPr>
        <w:t>沟槽基础施工采用机械开挖，人工配合的方法施工。</w:t>
      </w:r>
    </w:p>
    <w:p w14:paraId="54641386">
      <w:pPr>
        <w:pStyle w:val="2"/>
        <w:spacing w:before="119" w:line="217" w:lineRule="auto"/>
        <w:ind w:left="1919"/>
        <w:rPr>
          <w:sz w:val="24"/>
          <w:szCs w:val="24"/>
        </w:rPr>
      </w:pPr>
      <w:r>
        <w:rPr>
          <w:spacing w:val="-22"/>
          <w:sz w:val="24"/>
          <w:szCs w:val="24"/>
        </w:rPr>
        <w:t>电缆管群施工采用人工为主，机械辅助的方法施工。</w:t>
      </w:r>
    </w:p>
    <w:p w14:paraId="52D5BFF2">
      <w:pPr>
        <w:pStyle w:val="2"/>
        <w:spacing w:before="119" w:line="216" w:lineRule="auto"/>
        <w:ind w:left="1884"/>
        <w:rPr>
          <w:sz w:val="24"/>
          <w:szCs w:val="24"/>
        </w:rPr>
      </w:pPr>
      <w:r>
        <w:rPr>
          <w:spacing w:val="-16"/>
          <w:sz w:val="24"/>
          <w:szCs w:val="24"/>
        </w:rPr>
        <w:t>4.3、电缆检查井施工</w:t>
      </w:r>
    </w:p>
    <w:p w14:paraId="289F5310">
      <w:pPr>
        <w:pStyle w:val="2"/>
        <w:spacing w:before="118" w:line="219" w:lineRule="auto"/>
        <w:ind w:left="1890"/>
        <w:rPr>
          <w:sz w:val="24"/>
          <w:szCs w:val="24"/>
        </w:rPr>
      </w:pPr>
      <w:r>
        <w:rPr>
          <w:spacing w:val="-19"/>
          <w:sz w:val="24"/>
          <w:szCs w:val="24"/>
        </w:rPr>
        <w:t>5、主要工程项目的施工方法</w:t>
      </w:r>
    </w:p>
    <w:p w14:paraId="24444F4C">
      <w:pPr>
        <w:pStyle w:val="2"/>
        <w:spacing w:before="116" w:line="218" w:lineRule="auto"/>
        <w:ind w:left="1890"/>
        <w:rPr>
          <w:sz w:val="24"/>
          <w:szCs w:val="24"/>
        </w:rPr>
      </w:pPr>
      <w:r>
        <w:rPr>
          <w:spacing w:val="-18"/>
          <w:sz w:val="24"/>
          <w:szCs w:val="24"/>
        </w:rPr>
        <w:t>5.1、电缆排管的施工方法</w:t>
      </w:r>
    </w:p>
    <w:p w14:paraId="7374C6AB">
      <w:pPr>
        <w:pStyle w:val="2"/>
        <w:spacing w:before="118" w:line="215" w:lineRule="auto"/>
        <w:ind w:left="1892"/>
        <w:rPr>
          <w:sz w:val="24"/>
          <w:szCs w:val="24"/>
        </w:rPr>
      </w:pPr>
      <w:r>
        <w:rPr>
          <w:spacing w:val="-18"/>
          <w:sz w:val="24"/>
          <w:szCs w:val="24"/>
        </w:rPr>
        <w:t>施工测量放样</w:t>
      </w:r>
    </w:p>
    <w:p w14:paraId="67445FF0">
      <w:pPr>
        <w:pStyle w:val="2"/>
        <w:spacing w:before="117" w:line="308" w:lineRule="auto"/>
        <w:ind w:left="1455" w:right="1412" w:firstLine="439"/>
        <w:rPr>
          <w:sz w:val="24"/>
          <w:szCs w:val="24"/>
        </w:rPr>
      </w:pPr>
      <w:r>
        <w:rPr>
          <w:spacing w:val="-20"/>
          <w:sz w:val="24"/>
          <w:szCs w:val="24"/>
        </w:rPr>
        <w:t>在施工前的准备工作阶段，即组织技术人员对业主交付的平面控制点和水准点进行复测，</w:t>
      </w:r>
      <w:r>
        <w:rPr>
          <w:spacing w:val="-21"/>
          <w:sz w:val="24"/>
          <w:szCs w:val="24"/>
        </w:rPr>
        <w:t>按150米左右的间距设置临时水准点，并与高程基准点进行闭合，闭合差小于规范要</w:t>
      </w:r>
      <w:r>
        <w:rPr>
          <w:spacing w:val="-22"/>
          <w:sz w:val="24"/>
          <w:szCs w:val="24"/>
        </w:rPr>
        <w:t>求。高程</w:t>
      </w:r>
      <w:r>
        <w:rPr>
          <w:spacing w:val="-20"/>
          <w:sz w:val="24"/>
          <w:szCs w:val="24"/>
        </w:rPr>
        <w:t>控制底板高程放样均采用北京光学仪器厂生产的BJDZS3型自动安平水准仪测量。施工控制网及</w:t>
      </w:r>
      <w:r>
        <w:rPr>
          <w:spacing w:val="-21"/>
          <w:sz w:val="24"/>
          <w:szCs w:val="24"/>
        </w:rPr>
        <w:t>施工水准起算点均应设置在不受干扰，牢固可靠，且通视</w:t>
      </w:r>
      <w:r>
        <w:rPr>
          <w:spacing w:val="-22"/>
          <w:sz w:val="24"/>
          <w:szCs w:val="24"/>
        </w:rPr>
        <w:t>条件良好，便于控制的地方。</w:t>
      </w:r>
    </w:p>
    <w:p w14:paraId="41474862">
      <w:pPr>
        <w:pStyle w:val="2"/>
        <w:spacing w:before="2" w:line="307" w:lineRule="auto"/>
        <w:ind w:left="1480" w:right="1441" w:firstLine="414"/>
        <w:rPr>
          <w:sz w:val="24"/>
          <w:szCs w:val="24"/>
        </w:rPr>
      </w:pPr>
      <w:r>
        <w:rPr>
          <w:spacing w:val="-20"/>
          <w:sz w:val="24"/>
          <w:szCs w:val="24"/>
        </w:rPr>
        <w:t>在按图控制轴线和高程的前提下，还要重点考虑本工</w:t>
      </w:r>
      <w:r>
        <w:rPr>
          <w:spacing w:val="-21"/>
          <w:sz w:val="24"/>
          <w:szCs w:val="24"/>
        </w:rPr>
        <w:t>程与主体道路和人行道的高程吻合。</w:t>
      </w:r>
      <w:r>
        <w:rPr>
          <w:spacing w:val="-24"/>
          <w:sz w:val="24"/>
          <w:szCs w:val="24"/>
        </w:rPr>
        <w:t>以局部服从整体，为整体美观创造条件。</w:t>
      </w:r>
    </w:p>
    <w:p w14:paraId="6DBCDC71">
      <w:pPr>
        <w:pStyle w:val="2"/>
        <w:spacing w:line="218" w:lineRule="auto"/>
        <w:ind w:left="1895"/>
        <w:rPr>
          <w:sz w:val="24"/>
          <w:szCs w:val="24"/>
        </w:rPr>
      </w:pPr>
      <w:r>
        <w:rPr>
          <w:spacing w:val="-16"/>
          <w:sz w:val="24"/>
          <w:szCs w:val="24"/>
        </w:rPr>
        <w:t>沟槽施工</w:t>
      </w:r>
    </w:p>
    <w:p w14:paraId="6DBED35A">
      <w:pPr>
        <w:pStyle w:val="2"/>
        <w:spacing w:before="117" w:line="218" w:lineRule="auto"/>
        <w:ind w:left="1903"/>
        <w:rPr>
          <w:sz w:val="24"/>
          <w:szCs w:val="24"/>
        </w:rPr>
      </w:pPr>
      <w:r>
        <w:rPr>
          <w:spacing w:val="-19"/>
          <w:sz w:val="24"/>
          <w:szCs w:val="24"/>
        </w:rPr>
        <w:t>1沟槽土方开挖</w:t>
      </w:r>
    </w:p>
    <w:p w14:paraId="3878EBB0">
      <w:pPr>
        <w:pStyle w:val="2"/>
        <w:spacing w:before="117" w:line="308" w:lineRule="auto"/>
        <w:ind w:left="1457" w:right="1409" w:firstLine="437"/>
        <w:rPr>
          <w:sz w:val="24"/>
          <w:szCs w:val="24"/>
        </w:rPr>
      </w:pPr>
      <w:r>
        <w:rPr>
          <w:spacing w:val="-20"/>
          <w:sz w:val="24"/>
          <w:szCs w:val="24"/>
        </w:rPr>
        <w:t>沟槽施工采用梯形断面开挖，以机械为主，人工配合。采用直槽形式开挖。在开挖时严格</w:t>
      </w:r>
      <w:r>
        <w:rPr>
          <w:spacing w:val="-21"/>
          <w:sz w:val="24"/>
          <w:szCs w:val="24"/>
        </w:rPr>
        <w:t>控制沟底设计标高，机械开挖应保留10cm用</w:t>
      </w:r>
      <w:r>
        <w:rPr>
          <w:spacing w:val="-22"/>
          <w:sz w:val="24"/>
          <w:szCs w:val="24"/>
        </w:rPr>
        <w:t>人工清底，以免机械作业超挖扰动沟槽底原状土。</w:t>
      </w:r>
      <w:r>
        <w:rPr>
          <w:spacing w:val="-21"/>
          <w:sz w:val="24"/>
          <w:szCs w:val="24"/>
        </w:rPr>
        <w:t>如遇到不良土壤，以书面形式报告业主和监理工程师，经</w:t>
      </w:r>
      <w:r>
        <w:rPr>
          <w:spacing w:val="-22"/>
          <w:sz w:val="24"/>
          <w:szCs w:val="24"/>
        </w:rPr>
        <w:t>同意后再作施工处理。</w:t>
      </w:r>
    </w:p>
    <w:p w14:paraId="0B04EE93">
      <w:pPr>
        <w:pStyle w:val="2"/>
        <w:spacing w:before="2" w:line="307" w:lineRule="auto"/>
        <w:ind w:left="1458" w:right="1409" w:firstLine="434"/>
        <w:jc w:val="both"/>
        <w:rPr>
          <w:sz w:val="24"/>
          <w:szCs w:val="24"/>
        </w:rPr>
      </w:pPr>
      <w:r>
        <w:rPr>
          <w:spacing w:val="-21"/>
          <w:sz w:val="24"/>
          <w:szCs w:val="24"/>
        </w:rPr>
        <w:t>开挖时做好基坑排水工作，两侧对称挖排水沟的截面积15cm×15cm为宜。施工前和施工过</w:t>
      </w:r>
      <w:r>
        <w:rPr>
          <w:spacing w:val="-20"/>
          <w:sz w:val="24"/>
          <w:szCs w:val="24"/>
        </w:rPr>
        <w:t>程中考虑地表水的排除及基坑中积水的抽排，确保混凝土底板在无水环境下施工。基坑开挖期间，基坑附近不堆放弃土和建筑材料，做到文明施工。开挖基坑时，如遇到不良土壤应适当加大放坡，确保槽底作业面。</w:t>
      </w:r>
    </w:p>
    <w:p w14:paraId="6A1D9ED1">
      <w:pPr>
        <w:pStyle w:val="2"/>
        <w:spacing w:line="218" w:lineRule="auto"/>
        <w:ind w:left="1888"/>
        <w:rPr>
          <w:sz w:val="24"/>
          <w:szCs w:val="24"/>
        </w:rPr>
      </w:pPr>
      <w:r>
        <w:rPr>
          <w:spacing w:val="-19"/>
          <w:sz w:val="24"/>
          <w:szCs w:val="24"/>
        </w:rPr>
        <w:t>2沟槽混凝土底板施工</w:t>
      </w:r>
    </w:p>
    <w:p w14:paraId="177BE902">
      <w:pPr>
        <w:spacing w:line="218" w:lineRule="auto"/>
        <w:rPr>
          <w:sz w:val="24"/>
          <w:szCs w:val="24"/>
        </w:rPr>
        <w:sectPr>
          <w:footerReference r:id="rId74" w:type="default"/>
          <w:pgSz w:w="11907" w:h="16839"/>
          <w:pgMar w:top="954" w:right="4" w:bottom="1038" w:left="0" w:header="499" w:footer="357" w:gutter="0"/>
          <w:pgBorders>
            <w:top w:val="none" w:sz="0" w:space="0"/>
            <w:left w:val="none" w:sz="0" w:space="0"/>
            <w:bottom w:val="none" w:sz="0" w:space="0"/>
            <w:right w:val="none" w:sz="0" w:space="0"/>
          </w:pgBorders>
          <w:cols w:space="720" w:num="1"/>
        </w:sectPr>
      </w:pPr>
    </w:p>
    <w:p w14:paraId="20E58E25">
      <w:pPr>
        <w:spacing w:line="250" w:lineRule="auto"/>
        <w:rPr>
          <w:rFonts w:ascii="Arial"/>
          <w:sz w:val="21"/>
        </w:rPr>
      </w:pPr>
    </w:p>
    <w:p w14:paraId="7CFDF45E">
      <w:pPr>
        <w:pStyle w:val="2"/>
        <w:spacing w:before="78" w:line="308" w:lineRule="auto"/>
        <w:ind w:left="1460" w:right="1409" w:firstLine="432"/>
        <w:jc w:val="both"/>
        <w:rPr>
          <w:sz w:val="24"/>
          <w:szCs w:val="24"/>
        </w:rPr>
      </w:pPr>
      <w:r>
        <w:rPr>
          <w:spacing w:val="-20"/>
          <w:sz w:val="24"/>
          <w:szCs w:val="24"/>
        </w:rPr>
        <w:t>施工前，对沟槽底板进行整平，放出沟槽中心线，按设计的高度和宽度利用沟槽土模浇筑混凝土底板。混凝土标号为C15，采用商品混凝土，厚度10cm。浇筑时严格按要求振捣，直到</w:t>
      </w:r>
      <w:r>
        <w:rPr>
          <w:spacing w:val="-22"/>
          <w:sz w:val="24"/>
          <w:szCs w:val="24"/>
        </w:rPr>
        <w:t>完全密实为止。浇筑后进行收光并做到及时养护，确保混凝土的强度。沟槽底板应3</w:t>
      </w:r>
      <w:r>
        <w:rPr>
          <w:spacing w:val="-23"/>
          <w:sz w:val="24"/>
          <w:szCs w:val="24"/>
        </w:rPr>
        <w:t>‰朝排水方</w:t>
      </w:r>
      <w:r>
        <w:rPr>
          <w:spacing w:val="-21"/>
          <w:sz w:val="24"/>
          <w:szCs w:val="24"/>
        </w:rPr>
        <w:t>向放坡，以便电缆沟的排水。</w:t>
      </w:r>
    </w:p>
    <w:p w14:paraId="6B3B6CE1">
      <w:pPr>
        <w:pStyle w:val="2"/>
        <w:spacing w:line="218" w:lineRule="auto"/>
        <w:ind w:left="1890"/>
        <w:rPr>
          <w:sz w:val="24"/>
          <w:szCs w:val="24"/>
        </w:rPr>
      </w:pPr>
      <w:r>
        <w:rPr>
          <w:spacing w:val="-21"/>
          <w:sz w:val="24"/>
          <w:szCs w:val="24"/>
        </w:rPr>
        <w:t>3电缆排管的铺设</w:t>
      </w:r>
    </w:p>
    <w:p w14:paraId="575487DE">
      <w:pPr>
        <w:spacing w:line="19" w:lineRule="auto"/>
        <w:rPr>
          <w:rFonts w:ascii="Arial"/>
          <w:sz w:val="2"/>
        </w:rPr>
      </w:pPr>
    </w:p>
    <w:tbl>
      <w:tblPr>
        <w:tblStyle w:val="6"/>
        <w:tblW w:w="9104" w:type="dxa"/>
        <w:tblInd w:w="140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552"/>
        <w:gridCol w:w="4552"/>
      </w:tblGrid>
      <w:tr w14:paraId="2E3718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6" w:hRule="atLeast"/>
        </w:trPr>
        <w:tc>
          <w:tcPr>
            <w:tcW w:w="4552" w:type="dxa"/>
            <w:tcBorders>
              <w:top w:val="single" w:color="000000" w:sz="4" w:space="0"/>
              <w:left w:val="single" w:color="000000" w:sz="4" w:space="0"/>
            </w:tcBorders>
            <w:shd w:val="clear" w:color="auto" w:fill="DEEAF6"/>
            <w:vAlign w:val="top"/>
          </w:tcPr>
          <w:p w14:paraId="657B4469">
            <w:pPr>
              <w:spacing w:before="148" w:line="2796" w:lineRule="exact"/>
              <w:ind w:firstLine="68"/>
            </w:pPr>
            <w:r>
              <w:pict>
                <v:group id="_x0000_s1626" o:spid="_x0000_s1626" o:spt="203" style="position:absolute;left:0pt;margin-left:0.9pt;margin-top:2.15pt;height:159.05pt;width:226.7pt;mso-position-horizontal-relative:page;mso-position-vertical-relative:page;z-index:251779072;mso-width-relative:page;mso-height-relative:page;" coordsize="4533,3181">
                  <o:lock v:ext="edit"/>
                  <v:shape id="_x0000_s1627" o:spid="_x0000_s1627" style="position:absolute;left:21;top:0;height:60;width:4507;" fillcolor="#DEEAF6" filled="t" stroked="f" coordsize="4507,60" path="m0,60l4507,60,4507,0,0,0,0,60xe">
                    <v:path/>
                    <v:fill on="t" focussize="0,0"/>
                    <v:stroke on="f"/>
                    <v:imagedata o:title=""/>
                    <o:lock v:ext="edit"/>
                  </v:shape>
                  <v:shape id="_x0000_s1628" o:spid="_x0000_s1628" style="position:absolute;left:0;top:3123;height:58;width:4533;" fillcolor="#DEEAF6" filled="t" stroked="f" coordsize="4533,58" path="m0,57l4533,57,4533,0,0,0,0,57xe">
                    <v:path/>
                    <v:fill on="t" focussize="0,0"/>
                    <v:stroke on="f"/>
                    <v:imagedata o:title=""/>
                    <o:lock v:ext="edit"/>
                  </v:shape>
                </v:group>
              </w:pict>
            </w:r>
            <w:r>
              <w:rPr>
                <w:position w:val="-55"/>
              </w:rPr>
              <w:drawing>
                <wp:inline distT="0" distB="0" distL="0" distR="0">
                  <wp:extent cx="2830830" cy="1774825"/>
                  <wp:effectExtent l="0" t="0" r="0" b="0"/>
                  <wp:docPr id="446" name="IM 446"/>
                  <wp:cNvGraphicFramePr/>
                  <a:graphic xmlns:a="http://schemas.openxmlformats.org/drawingml/2006/main">
                    <a:graphicData uri="http://schemas.openxmlformats.org/drawingml/2006/picture">
                      <pic:pic xmlns:pic="http://schemas.openxmlformats.org/drawingml/2006/picture">
                        <pic:nvPicPr>
                          <pic:cNvPr id="446" name="IM 446"/>
                          <pic:cNvPicPr/>
                        </pic:nvPicPr>
                        <pic:blipFill>
                          <a:blip r:embed="rId516"/>
                          <a:stretch>
                            <a:fillRect/>
                          </a:stretch>
                        </pic:blipFill>
                        <pic:spPr>
                          <a:xfrm>
                            <a:off x="0" y="0"/>
                            <a:ext cx="2831464" cy="1775459"/>
                          </a:xfrm>
                          <a:prstGeom prst="rect">
                            <a:avLst/>
                          </a:prstGeom>
                        </pic:spPr>
                      </pic:pic>
                    </a:graphicData>
                  </a:graphic>
                </wp:inline>
              </w:drawing>
            </w:r>
          </w:p>
        </w:tc>
        <w:tc>
          <w:tcPr>
            <w:tcW w:w="4552" w:type="dxa"/>
            <w:tcBorders>
              <w:top w:val="single" w:color="5B9BD5" w:sz="4" w:space="0"/>
              <w:right w:val="single" w:color="5B9BD5" w:sz="4" w:space="0"/>
            </w:tcBorders>
            <w:shd w:val="clear" w:color="auto" w:fill="DEEAF6"/>
            <w:vAlign w:val="top"/>
          </w:tcPr>
          <w:p w14:paraId="71D4EBA3">
            <w:pPr>
              <w:spacing w:before="174" w:line="2741" w:lineRule="exact"/>
              <w:ind w:firstLine="53"/>
            </w:pPr>
            <w:r>
              <w:pict>
                <v:group id="_x0000_s1629" o:spid="_x0000_s1629" o:spt="203" style="position:absolute;left:0pt;margin-left:-0.05pt;margin-top:2.15pt;height:159.05pt;width:226.9pt;mso-position-horizontal-relative:page;mso-position-vertical-relative:page;z-index:251780096;mso-width-relative:page;mso-height-relative:page;" coordsize="4537,3181">
                  <o:lock v:ext="edit"/>
                  <v:shape id="_x0000_s1630" o:spid="_x0000_s1630" style="position:absolute;left:38;top:0;height:60;width:4477;" fillcolor="#DEEAF6" filled="t" stroked="f" coordsize="4477,60" path="m0,60l4477,60,4477,0,0,0,0,60xe">
                    <v:path/>
                    <v:fill on="t" focussize="0,0"/>
                    <v:stroke on="f"/>
                    <v:imagedata o:title=""/>
                    <o:lock v:ext="edit"/>
                  </v:shape>
                  <v:shape id="_x0000_s1631" o:spid="_x0000_s1631" style="position:absolute;left:0;top:3123;height:58;width:4537;" fillcolor="#DEEAF6" filled="t" stroked="f" coordsize="4537,58" path="m0,57l4537,57,4537,0,0,0,0,57xe">
                    <v:path/>
                    <v:fill on="t" focussize="0,0"/>
                    <v:stroke on="f"/>
                    <v:imagedata o:title=""/>
                    <o:lock v:ext="edit"/>
                  </v:shape>
                </v:group>
              </w:pict>
            </w:r>
            <w:r>
              <w:rPr>
                <w:position w:val="-54"/>
              </w:rPr>
              <w:drawing>
                <wp:inline distT="0" distB="0" distL="0" distR="0">
                  <wp:extent cx="2816225" cy="1739900"/>
                  <wp:effectExtent l="0" t="0" r="0" b="0"/>
                  <wp:docPr id="448" name="IM 448"/>
                  <wp:cNvGraphicFramePr/>
                  <a:graphic xmlns:a="http://schemas.openxmlformats.org/drawingml/2006/main">
                    <a:graphicData uri="http://schemas.openxmlformats.org/drawingml/2006/picture">
                      <pic:pic xmlns:pic="http://schemas.openxmlformats.org/drawingml/2006/picture">
                        <pic:nvPicPr>
                          <pic:cNvPr id="448" name="IM 448"/>
                          <pic:cNvPicPr/>
                        </pic:nvPicPr>
                        <pic:blipFill>
                          <a:blip r:embed="rId517"/>
                          <a:stretch>
                            <a:fillRect/>
                          </a:stretch>
                        </pic:blipFill>
                        <pic:spPr>
                          <a:xfrm>
                            <a:off x="0" y="0"/>
                            <a:ext cx="2816225" cy="1740534"/>
                          </a:xfrm>
                          <a:prstGeom prst="rect">
                            <a:avLst/>
                          </a:prstGeom>
                        </pic:spPr>
                      </pic:pic>
                    </a:graphicData>
                  </a:graphic>
                </wp:inline>
              </w:drawing>
            </w:r>
          </w:p>
        </w:tc>
      </w:tr>
      <w:tr w14:paraId="4F748D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5" w:hRule="atLeast"/>
        </w:trPr>
        <w:tc>
          <w:tcPr>
            <w:tcW w:w="4552" w:type="dxa"/>
            <w:tcBorders>
              <w:left w:val="single" w:color="000000" w:sz="4" w:space="0"/>
            </w:tcBorders>
            <w:vAlign w:val="top"/>
          </w:tcPr>
          <w:p w14:paraId="63A18741">
            <w:pPr>
              <w:pStyle w:val="7"/>
              <w:spacing w:before="95" w:line="220" w:lineRule="auto"/>
              <w:ind w:left="1653"/>
            </w:pPr>
            <w:r>
              <w:rPr>
                <w:spacing w:val="-20"/>
              </w:rPr>
              <w:t>管道垫层施工</w:t>
            </w:r>
          </w:p>
        </w:tc>
        <w:tc>
          <w:tcPr>
            <w:tcW w:w="4552" w:type="dxa"/>
            <w:tcBorders>
              <w:right w:val="single" w:color="000000" w:sz="4" w:space="0"/>
            </w:tcBorders>
            <w:vAlign w:val="top"/>
          </w:tcPr>
          <w:p w14:paraId="5539A918">
            <w:pPr>
              <w:pStyle w:val="7"/>
              <w:spacing w:before="95" w:line="219" w:lineRule="auto"/>
              <w:ind w:left="1847"/>
            </w:pPr>
            <w:r>
              <w:rPr>
                <w:spacing w:val="-16"/>
              </w:rPr>
              <w:t>垫块施工</w:t>
            </w:r>
          </w:p>
        </w:tc>
      </w:tr>
      <w:tr w14:paraId="59497D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4" w:hRule="atLeast"/>
        </w:trPr>
        <w:tc>
          <w:tcPr>
            <w:tcW w:w="4552" w:type="dxa"/>
            <w:tcBorders>
              <w:left w:val="single" w:color="000000" w:sz="4" w:space="0"/>
              <w:bottom w:val="nil"/>
            </w:tcBorders>
            <w:vAlign w:val="top"/>
          </w:tcPr>
          <w:p w14:paraId="0DA72F7E">
            <w:pPr>
              <w:spacing w:line="164" w:lineRule="exact"/>
              <w:rPr>
                <w:rFonts w:ascii="Arial"/>
                <w:sz w:val="14"/>
              </w:rPr>
            </w:pPr>
          </w:p>
        </w:tc>
        <w:tc>
          <w:tcPr>
            <w:tcW w:w="4552" w:type="dxa"/>
            <w:tcBorders>
              <w:bottom w:val="nil"/>
              <w:right w:val="single" w:color="000000" w:sz="4" w:space="0"/>
            </w:tcBorders>
            <w:vAlign w:val="top"/>
          </w:tcPr>
          <w:p w14:paraId="649630E4">
            <w:pPr>
              <w:spacing w:line="164" w:lineRule="exact"/>
              <w:rPr>
                <w:rFonts w:ascii="Arial"/>
                <w:sz w:val="14"/>
              </w:rPr>
            </w:pPr>
          </w:p>
        </w:tc>
      </w:tr>
      <w:tr w14:paraId="192ACC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24" w:hRule="atLeast"/>
        </w:trPr>
        <w:tc>
          <w:tcPr>
            <w:tcW w:w="4552" w:type="dxa"/>
            <w:tcBorders>
              <w:top w:val="nil"/>
              <w:left w:val="single" w:color="1C456A" w:sz="4" w:space="0"/>
              <w:bottom w:val="nil"/>
            </w:tcBorders>
            <w:vAlign w:val="top"/>
          </w:tcPr>
          <w:p w14:paraId="3DC3DE34">
            <w:pPr>
              <w:spacing w:before="24" w:line="2784" w:lineRule="exact"/>
              <w:ind w:firstLine="68"/>
            </w:pPr>
            <w:r>
              <w:rPr>
                <w:position w:val="-55"/>
              </w:rPr>
              <w:drawing>
                <wp:inline distT="0" distB="0" distL="0" distR="0">
                  <wp:extent cx="2841625" cy="1767205"/>
                  <wp:effectExtent l="0" t="0" r="0" b="0"/>
                  <wp:docPr id="450" name="IM 450"/>
                  <wp:cNvGraphicFramePr/>
                  <a:graphic xmlns:a="http://schemas.openxmlformats.org/drawingml/2006/main">
                    <a:graphicData uri="http://schemas.openxmlformats.org/drawingml/2006/picture">
                      <pic:pic xmlns:pic="http://schemas.openxmlformats.org/drawingml/2006/picture">
                        <pic:nvPicPr>
                          <pic:cNvPr id="450" name="IM 450"/>
                          <pic:cNvPicPr/>
                        </pic:nvPicPr>
                        <pic:blipFill>
                          <a:blip r:embed="rId518"/>
                          <a:stretch>
                            <a:fillRect/>
                          </a:stretch>
                        </pic:blipFill>
                        <pic:spPr>
                          <a:xfrm>
                            <a:off x="0" y="0"/>
                            <a:ext cx="2842120" cy="1767839"/>
                          </a:xfrm>
                          <a:prstGeom prst="rect">
                            <a:avLst/>
                          </a:prstGeom>
                        </pic:spPr>
                      </pic:pic>
                    </a:graphicData>
                  </a:graphic>
                </wp:inline>
              </w:drawing>
            </w:r>
          </w:p>
        </w:tc>
        <w:tc>
          <w:tcPr>
            <w:tcW w:w="4552" w:type="dxa"/>
            <w:tcBorders>
              <w:top w:val="nil"/>
              <w:bottom w:val="nil"/>
              <w:right w:val="single" w:color="5B9BD5" w:sz="4" w:space="0"/>
            </w:tcBorders>
            <w:vAlign w:val="top"/>
          </w:tcPr>
          <w:p w14:paraId="091CEFFF">
            <w:pPr>
              <w:spacing w:before="3" w:line="2811" w:lineRule="exact"/>
              <w:ind w:firstLine="53"/>
            </w:pPr>
            <w:r>
              <w:rPr>
                <w:position w:val="-56"/>
              </w:rPr>
              <w:drawing>
                <wp:inline distT="0" distB="0" distL="0" distR="0">
                  <wp:extent cx="2840355" cy="1784350"/>
                  <wp:effectExtent l="0" t="0" r="0" b="0"/>
                  <wp:docPr id="452" name="IM 452"/>
                  <wp:cNvGraphicFramePr/>
                  <a:graphic xmlns:a="http://schemas.openxmlformats.org/drawingml/2006/main">
                    <a:graphicData uri="http://schemas.openxmlformats.org/drawingml/2006/picture">
                      <pic:pic xmlns:pic="http://schemas.openxmlformats.org/drawingml/2006/picture">
                        <pic:nvPicPr>
                          <pic:cNvPr id="452" name="IM 452"/>
                          <pic:cNvPicPr/>
                        </pic:nvPicPr>
                        <pic:blipFill>
                          <a:blip r:embed="rId519"/>
                          <a:stretch>
                            <a:fillRect/>
                          </a:stretch>
                        </pic:blipFill>
                        <pic:spPr>
                          <a:xfrm>
                            <a:off x="0" y="0"/>
                            <a:ext cx="2840355" cy="1784858"/>
                          </a:xfrm>
                          <a:prstGeom prst="rect">
                            <a:avLst/>
                          </a:prstGeom>
                        </pic:spPr>
                      </pic:pic>
                    </a:graphicData>
                  </a:graphic>
                </wp:inline>
              </w:drawing>
            </w:r>
          </w:p>
        </w:tc>
      </w:tr>
      <w:tr w14:paraId="17067A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5" w:hRule="atLeast"/>
        </w:trPr>
        <w:tc>
          <w:tcPr>
            <w:tcW w:w="4552" w:type="dxa"/>
            <w:tcBorders>
              <w:top w:val="nil"/>
              <w:left w:val="single" w:color="000000" w:sz="4" w:space="0"/>
            </w:tcBorders>
            <w:vAlign w:val="top"/>
          </w:tcPr>
          <w:p w14:paraId="38CF41C3">
            <w:pPr>
              <w:rPr>
                <w:rFonts w:ascii="Arial"/>
                <w:sz w:val="21"/>
              </w:rPr>
            </w:pPr>
          </w:p>
        </w:tc>
        <w:tc>
          <w:tcPr>
            <w:tcW w:w="4552" w:type="dxa"/>
            <w:tcBorders>
              <w:top w:val="nil"/>
              <w:right w:val="single" w:color="000000" w:sz="4" w:space="0"/>
            </w:tcBorders>
            <w:vAlign w:val="top"/>
          </w:tcPr>
          <w:p w14:paraId="62E40362">
            <w:pPr>
              <w:rPr>
                <w:rFonts w:ascii="Arial"/>
                <w:sz w:val="21"/>
              </w:rPr>
            </w:pPr>
          </w:p>
        </w:tc>
      </w:tr>
      <w:tr w14:paraId="0418CE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5" w:hRule="atLeast"/>
        </w:trPr>
        <w:tc>
          <w:tcPr>
            <w:tcW w:w="9104" w:type="dxa"/>
            <w:gridSpan w:val="2"/>
            <w:tcBorders>
              <w:left w:val="single" w:color="000000" w:sz="4" w:space="0"/>
              <w:right w:val="single" w:color="000000" w:sz="4" w:space="0"/>
            </w:tcBorders>
            <w:vAlign w:val="top"/>
          </w:tcPr>
          <w:p w14:paraId="10DC4C95">
            <w:pPr>
              <w:pStyle w:val="7"/>
              <w:spacing w:before="99" w:line="219" w:lineRule="auto"/>
              <w:ind w:left="3921"/>
            </w:pPr>
            <w:r>
              <w:rPr>
                <w:spacing w:val="-20"/>
              </w:rPr>
              <w:t>管基钢筋敷设</w:t>
            </w:r>
          </w:p>
        </w:tc>
      </w:tr>
      <w:tr w14:paraId="741413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75" w:hRule="atLeast"/>
        </w:trPr>
        <w:tc>
          <w:tcPr>
            <w:tcW w:w="4552" w:type="dxa"/>
            <w:tcBorders>
              <w:left w:val="single" w:color="000000" w:sz="4" w:space="0"/>
              <w:bottom w:val="nil"/>
            </w:tcBorders>
            <w:vAlign w:val="top"/>
          </w:tcPr>
          <w:p w14:paraId="5DFBDC21">
            <w:pPr>
              <w:spacing w:before="74" w:line="2391" w:lineRule="exact"/>
              <w:ind w:firstLine="68"/>
            </w:pPr>
            <w:r>
              <w:rPr>
                <w:position w:val="-47"/>
              </w:rPr>
              <w:drawing>
                <wp:inline distT="0" distB="0" distL="0" distR="0">
                  <wp:extent cx="2837180" cy="1517650"/>
                  <wp:effectExtent l="0" t="0" r="0" b="0"/>
                  <wp:docPr id="454" name="IM 454"/>
                  <wp:cNvGraphicFramePr/>
                  <a:graphic xmlns:a="http://schemas.openxmlformats.org/drawingml/2006/main">
                    <a:graphicData uri="http://schemas.openxmlformats.org/drawingml/2006/picture">
                      <pic:pic xmlns:pic="http://schemas.openxmlformats.org/drawingml/2006/picture">
                        <pic:nvPicPr>
                          <pic:cNvPr id="454" name="IM 454"/>
                          <pic:cNvPicPr/>
                        </pic:nvPicPr>
                        <pic:blipFill>
                          <a:blip r:embed="rId520"/>
                          <a:stretch>
                            <a:fillRect/>
                          </a:stretch>
                        </pic:blipFill>
                        <pic:spPr>
                          <a:xfrm>
                            <a:off x="0" y="0"/>
                            <a:ext cx="2837814" cy="1518158"/>
                          </a:xfrm>
                          <a:prstGeom prst="rect">
                            <a:avLst/>
                          </a:prstGeom>
                        </pic:spPr>
                      </pic:pic>
                    </a:graphicData>
                  </a:graphic>
                </wp:inline>
              </w:drawing>
            </w:r>
          </w:p>
        </w:tc>
        <w:tc>
          <w:tcPr>
            <w:tcW w:w="4552" w:type="dxa"/>
            <w:tcBorders>
              <w:bottom w:val="nil"/>
              <w:right w:val="single" w:color="000000" w:sz="4" w:space="0"/>
            </w:tcBorders>
            <w:vAlign w:val="top"/>
          </w:tcPr>
          <w:p w14:paraId="5CFF1E8F">
            <w:pPr>
              <w:spacing w:before="62" w:line="2403" w:lineRule="exact"/>
              <w:ind w:firstLine="53"/>
            </w:pPr>
            <w:r>
              <w:rPr>
                <w:position w:val="-48"/>
              </w:rPr>
              <w:drawing>
                <wp:inline distT="0" distB="0" distL="0" distR="0">
                  <wp:extent cx="2851785" cy="1525270"/>
                  <wp:effectExtent l="0" t="0" r="0" b="0"/>
                  <wp:docPr id="456" name="IM 456"/>
                  <wp:cNvGraphicFramePr/>
                  <a:graphic xmlns:a="http://schemas.openxmlformats.org/drawingml/2006/main">
                    <a:graphicData uri="http://schemas.openxmlformats.org/drawingml/2006/picture">
                      <pic:pic xmlns:pic="http://schemas.openxmlformats.org/drawingml/2006/picture">
                        <pic:nvPicPr>
                          <pic:cNvPr id="456" name="IM 456"/>
                          <pic:cNvPicPr/>
                        </pic:nvPicPr>
                        <pic:blipFill>
                          <a:blip r:embed="rId521"/>
                          <a:stretch>
                            <a:fillRect/>
                          </a:stretch>
                        </pic:blipFill>
                        <pic:spPr>
                          <a:xfrm>
                            <a:off x="0" y="0"/>
                            <a:ext cx="2851962" cy="1525778"/>
                          </a:xfrm>
                          <a:prstGeom prst="rect">
                            <a:avLst/>
                          </a:prstGeom>
                        </pic:spPr>
                      </pic:pic>
                    </a:graphicData>
                  </a:graphic>
                </wp:inline>
              </w:drawing>
            </w:r>
          </w:p>
        </w:tc>
      </w:tr>
      <w:tr w14:paraId="2BF396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0" w:hRule="atLeast"/>
        </w:trPr>
        <w:tc>
          <w:tcPr>
            <w:tcW w:w="4552" w:type="dxa"/>
            <w:tcBorders>
              <w:top w:val="nil"/>
              <w:left w:val="single" w:color="000000" w:sz="4" w:space="0"/>
            </w:tcBorders>
            <w:vAlign w:val="top"/>
          </w:tcPr>
          <w:p w14:paraId="41D3F0A9">
            <w:pPr>
              <w:spacing w:line="210" w:lineRule="exact"/>
              <w:rPr>
                <w:rFonts w:ascii="Arial"/>
                <w:sz w:val="18"/>
              </w:rPr>
            </w:pPr>
          </w:p>
        </w:tc>
        <w:tc>
          <w:tcPr>
            <w:tcW w:w="4552" w:type="dxa"/>
            <w:tcBorders>
              <w:top w:val="nil"/>
              <w:right w:val="single" w:color="000000" w:sz="4" w:space="0"/>
            </w:tcBorders>
            <w:vAlign w:val="top"/>
          </w:tcPr>
          <w:p w14:paraId="49B54025">
            <w:pPr>
              <w:spacing w:line="210" w:lineRule="exact"/>
              <w:rPr>
                <w:rFonts w:ascii="Arial"/>
                <w:sz w:val="18"/>
              </w:rPr>
            </w:pPr>
          </w:p>
        </w:tc>
      </w:tr>
      <w:tr w14:paraId="7C8D42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5" w:hRule="atLeast"/>
        </w:trPr>
        <w:tc>
          <w:tcPr>
            <w:tcW w:w="4552" w:type="dxa"/>
            <w:tcBorders>
              <w:left w:val="single" w:color="1C456A" w:sz="4" w:space="0"/>
              <w:bottom w:val="single" w:color="1C456A" w:sz="4" w:space="0"/>
            </w:tcBorders>
            <w:vAlign w:val="top"/>
          </w:tcPr>
          <w:p w14:paraId="06BD8A6F">
            <w:pPr>
              <w:pStyle w:val="7"/>
              <w:spacing w:before="102" w:line="220" w:lineRule="auto"/>
              <w:ind w:left="1871"/>
            </w:pPr>
            <w:r>
              <w:pict>
                <v:shape id="_x0000_s1632" o:spid="_x0000_s1632" style="position:absolute;left:0pt;margin-left:-0.2pt;margin-top:31.3pt;height:0.75pt;width:2.2pt;mso-position-horizontal-relative:page;mso-position-vertical-relative:page;z-index:251778048;mso-width-relative:page;mso-height-relative:page;" fillcolor="#5B9BD5" filled="t" stroked="f" coordsize="44,15" path="m0,14l43,14,43,0,0,0,0,14xe">
                  <v:path/>
                  <v:fill on="t" focussize="0,0"/>
                  <v:stroke on="f"/>
                  <v:imagedata o:title=""/>
                  <o:lock v:ext="edit"/>
                </v:shape>
              </w:pict>
            </w:r>
            <w:r>
              <w:rPr>
                <w:spacing w:val="-19"/>
              </w:rPr>
              <w:t>管道包封</w:t>
            </w:r>
          </w:p>
        </w:tc>
        <w:tc>
          <w:tcPr>
            <w:tcW w:w="4552" w:type="dxa"/>
            <w:tcBorders>
              <w:bottom w:val="single" w:color="5B9BD5" w:sz="4" w:space="0"/>
              <w:right w:val="single" w:color="5B9BD5" w:sz="4" w:space="0"/>
            </w:tcBorders>
            <w:vAlign w:val="top"/>
          </w:tcPr>
          <w:p w14:paraId="07102C4D">
            <w:pPr>
              <w:pStyle w:val="7"/>
              <w:spacing w:before="103" w:line="218" w:lineRule="auto"/>
              <w:ind w:left="1856"/>
            </w:pPr>
            <w:r>
              <w:pict>
                <v:shape id="_x0000_s1633" o:spid="_x0000_s1633" style="position:absolute;left:0pt;margin-left:225.75pt;margin-top:31.3pt;height:0.75pt;width:2.2pt;mso-position-horizontal-relative:page;mso-position-vertical-relative:page;z-index:251777024;mso-width-relative:page;mso-height-relative:page;" fillcolor="#5B9BD5" filled="t" stroked="f" coordsize="44,15" path="m0,14l43,14,43,0,0,0,0,14xe">
                  <v:path/>
                  <v:fill on="t" focussize="0,0"/>
                  <v:stroke on="f"/>
                  <v:imagedata o:title=""/>
                  <o:lock v:ext="edit"/>
                </v:shape>
              </w:pict>
            </w:r>
            <w:r>
              <w:rPr>
                <w:spacing w:val="-19"/>
              </w:rPr>
              <w:t>管道吊装</w:t>
            </w:r>
          </w:p>
        </w:tc>
      </w:tr>
    </w:tbl>
    <w:p w14:paraId="7B9AB56B">
      <w:pPr>
        <w:rPr>
          <w:rFonts w:ascii="Arial"/>
          <w:sz w:val="21"/>
        </w:rPr>
      </w:pPr>
    </w:p>
    <w:p w14:paraId="2444EB70">
      <w:pPr>
        <w:rPr>
          <w:rFonts w:ascii="Arial" w:hAnsi="Arial" w:eastAsia="Arial" w:cs="Arial"/>
          <w:sz w:val="21"/>
          <w:szCs w:val="21"/>
        </w:rPr>
        <w:sectPr>
          <w:footerReference r:id="rId75" w:type="default"/>
          <w:pgSz w:w="11907" w:h="16839"/>
          <w:pgMar w:top="954" w:right="4" w:bottom="1038" w:left="0" w:header="499" w:footer="357" w:gutter="0"/>
          <w:pgBorders>
            <w:top w:val="none" w:sz="0" w:space="0"/>
            <w:left w:val="none" w:sz="0" w:space="0"/>
            <w:bottom w:val="none" w:sz="0" w:space="0"/>
            <w:right w:val="none" w:sz="0" w:space="0"/>
          </w:pgBorders>
          <w:cols w:space="720" w:num="1"/>
        </w:sectPr>
      </w:pPr>
    </w:p>
    <w:p w14:paraId="3A05E658">
      <w:pPr>
        <w:spacing w:line="214" w:lineRule="exact"/>
      </w:pPr>
    </w:p>
    <w:tbl>
      <w:tblPr>
        <w:tblStyle w:val="6"/>
        <w:tblW w:w="9104" w:type="dxa"/>
        <w:tblInd w:w="140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611"/>
        <w:gridCol w:w="2940"/>
        <w:gridCol w:w="4553"/>
      </w:tblGrid>
      <w:tr w14:paraId="19FAC9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33" w:hRule="atLeast"/>
        </w:trPr>
        <w:tc>
          <w:tcPr>
            <w:tcW w:w="4551" w:type="dxa"/>
            <w:gridSpan w:val="2"/>
            <w:tcBorders>
              <w:top w:val="single" w:color="5B9BD5" w:sz="4" w:space="0"/>
              <w:left w:val="single" w:color="1C456A" w:sz="4" w:space="0"/>
              <w:bottom w:val="nil"/>
            </w:tcBorders>
            <w:vAlign w:val="top"/>
          </w:tcPr>
          <w:p w14:paraId="278B3810">
            <w:pPr>
              <w:spacing w:before="194" w:line="2429" w:lineRule="exact"/>
              <w:ind w:firstLine="68"/>
            </w:pPr>
            <w:r>
              <w:rPr>
                <w:position w:val="-48"/>
              </w:rPr>
              <w:drawing>
                <wp:inline distT="0" distB="0" distL="0" distR="0">
                  <wp:extent cx="2825115" cy="1541780"/>
                  <wp:effectExtent l="0" t="0" r="0" b="0"/>
                  <wp:docPr id="460" name="IM 460"/>
                  <wp:cNvGraphicFramePr/>
                  <a:graphic xmlns:a="http://schemas.openxmlformats.org/drawingml/2006/main">
                    <a:graphicData uri="http://schemas.openxmlformats.org/drawingml/2006/picture">
                      <pic:pic xmlns:pic="http://schemas.openxmlformats.org/drawingml/2006/picture">
                        <pic:nvPicPr>
                          <pic:cNvPr id="460" name="IM 460"/>
                          <pic:cNvPicPr/>
                        </pic:nvPicPr>
                        <pic:blipFill>
                          <a:blip r:embed="rId522"/>
                          <a:stretch>
                            <a:fillRect/>
                          </a:stretch>
                        </pic:blipFill>
                        <pic:spPr>
                          <a:xfrm>
                            <a:off x="0" y="0"/>
                            <a:ext cx="2825749" cy="1542288"/>
                          </a:xfrm>
                          <a:prstGeom prst="rect">
                            <a:avLst/>
                          </a:prstGeom>
                        </pic:spPr>
                      </pic:pic>
                    </a:graphicData>
                  </a:graphic>
                </wp:inline>
              </w:drawing>
            </w:r>
          </w:p>
        </w:tc>
        <w:tc>
          <w:tcPr>
            <w:tcW w:w="4553" w:type="dxa"/>
            <w:tcBorders>
              <w:top w:val="single" w:color="5B9BD5" w:sz="4" w:space="0"/>
              <w:bottom w:val="nil"/>
              <w:right w:val="single" w:color="5B9BD5" w:sz="4" w:space="0"/>
            </w:tcBorders>
            <w:vAlign w:val="top"/>
          </w:tcPr>
          <w:p w14:paraId="47D0AD7E">
            <w:pPr>
              <w:spacing w:before="189" w:line="2434" w:lineRule="exact"/>
              <w:ind w:firstLine="78"/>
            </w:pPr>
            <w:r>
              <w:rPr>
                <w:position w:val="-48"/>
              </w:rPr>
              <w:drawing>
                <wp:inline distT="0" distB="0" distL="0" distR="0">
                  <wp:extent cx="2774950" cy="1544955"/>
                  <wp:effectExtent l="0" t="0" r="0" b="0"/>
                  <wp:docPr id="462" name="IM 462"/>
                  <wp:cNvGraphicFramePr/>
                  <a:graphic xmlns:a="http://schemas.openxmlformats.org/drawingml/2006/main">
                    <a:graphicData uri="http://schemas.openxmlformats.org/drawingml/2006/picture">
                      <pic:pic xmlns:pic="http://schemas.openxmlformats.org/drawingml/2006/picture">
                        <pic:nvPicPr>
                          <pic:cNvPr id="462" name="IM 462"/>
                          <pic:cNvPicPr/>
                        </pic:nvPicPr>
                        <pic:blipFill>
                          <a:blip r:embed="rId523"/>
                          <a:stretch>
                            <a:fillRect/>
                          </a:stretch>
                        </pic:blipFill>
                        <pic:spPr>
                          <a:xfrm>
                            <a:off x="0" y="0"/>
                            <a:ext cx="2774950" cy="1545463"/>
                          </a:xfrm>
                          <a:prstGeom prst="rect">
                            <a:avLst/>
                          </a:prstGeom>
                        </pic:spPr>
                      </pic:pic>
                    </a:graphicData>
                  </a:graphic>
                </wp:inline>
              </w:drawing>
            </w:r>
          </w:p>
        </w:tc>
      </w:tr>
      <w:tr w14:paraId="24FA40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16" w:hRule="atLeast"/>
        </w:trPr>
        <w:tc>
          <w:tcPr>
            <w:tcW w:w="4551" w:type="dxa"/>
            <w:gridSpan w:val="2"/>
            <w:tcBorders>
              <w:top w:val="nil"/>
              <w:left w:val="single" w:color="000000" w:sz="4" w:space="0"/>
            </w:tcBorders>
            <w:vAlign w:val="top"/>
          </w:tcPr>
          <w:p w14:paraId="451D3D1D">
            <w:pPr>
              <w:rPr>
                <w:rFonts w:ascii="Arial"/>
                <w:sz w:val="21"/>
              </w:rPr>
            </w:pPr>
          </w:p>
        </w:tc>
        <w:tc>
          <w:tcPr>
            <w:tcW w:w="4553" w:type="dxa"/>
            <w:tcBorders>
              <w:top w:val="nil"/>
              <w:right w:val="single" w:color="000000" w:sz="4" w:space="0"/>
            </w:tcBorders>
            <w:vAlign w:val="top"/>
          </w:tcPr>
          <w:p w14:paraId="20B818C8">
            <w:pPr>
              <w:rPr>
                <w:rFonts w:ascii="Arial"/>
                <w:sz w:val="21"/>
              </w:rPr>
            </w:pPr>
          </w:p>
        </w:tc>
      </w:tr>
      <w:tr w14:paraId="06ECBF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732" w:hRule="atLeast"/>
        </w:trPr>
        <w:tc>
          <w:tcPr>
            <w:tcW w:w="4551" w:type="dxa"/>
            <w:gridSpan w:val="2"/>
            <w:tcBorders>
              <w:left w:val="single" w:color="000000" w:sz="4" w:space="0"/>
            </w:tcBorders>
            <w:vAlign w:val="top"/>
          </w:tcPr>
          <w:p w14:paraId="78EE8D43">
            <w:pPr>
              <w:spacing w:before="57" w:line="2460" w:lineRule="exact"/>
              <w:ind w:firstLine="68"/>
            </w:pPr>
            <w:r>
              <w:rPr>
                <w:position w:val="-49"/>
              </w:rPr>
              <w:drawing>
                <wp:inline distT="0" distB="0" distL="0" distR="0">
                  <wp:extent cx="2840990" cy="1562100"/>
                  <wp:effectExtent l="0" t="0" r="0" b="0"/>
                  <wp:docPr id="464" name="IM 464"/>
                  <wp:cNvGraphicFramePr/>
                  <a:graphic xmlns:a="http://schemas.openxmlformats.org/drawingml/2006/main">
                    <a:graphicData uri="http://schemas.openxmlformats.org/drawingml/2006/picture">
                      <pic:pic xmlns:pic="http://schemas.openxmlformats.org/drawingml/2006/picture">
                        <pic:nvPicPr>
                          <pic:cNvPr id="464" name="IM 464"/>
                          <pic:cNvPicPr/>
                        </pic:nvPicPr>
                        <pic:blipFill>
                          <a:blip r:embed="rId524"/>
                          <a:stretch>
                            <a:fillRect/>
                          </a:stretch>
                        </pic:blipFill>
                        <pic:spPr>
                          <a:xfrm>
                            <a:off x="0" y="0"/>
                            <a:ext cx="2841485" cy="1562100"/>
                          </a:xfrm>
                          <a:prstGeom prst="rect">
                            <a:avLst/>
                          </a:prstGeom>
                        </pic:spPr>
                      </pic:pic>
                    </a:graphicData>
                  </a:graphic>
                </wp:inline>
              </w:drawing>
            </w:r>
          </w:p>
        </w:tc>
        <w:tc>
          <w:tcPr>
            <w:tcW w:w="4553" w:type="dxa"/>
            <w:tcBorders>
              <w:right w:val="single" w:color="000000" w:sz="4" w:space="0"/>
            </w:tcBorders>
            <w:vAlign w:val="top"/>
          </w:tcPr>
          <w:p w14:paraId="0936B6BD">
            <w:pPr>
              <w:spacing w:before="67" w:line="2441" w:lineRule="exact"/>
              <w:ind w:firstLine="54"/>
            </w:pPr>
            <w:r>
              <w:rPr>
                <w:position w:val="-48"/>
              </w:rPr>
              <w:drawing>
                <wp:inline distT="0" distB="0" distL="0" distR="0">
                  <wp:extent cx="2823210" cy="1550035"/>
                  <wp:effectExtent l="0" t="0" r="0" b="0"/>
                  <wp:docPr id="466" name="IM 466"/>
                  <wp:cNvGraphicFramePr/>
                  <a:graphic xmlns:a="http://schemas.openxmlformats.org/drawingml/2006/main">
                    <a:graphicData uri="http://schemas.openxmlformats.org/drawingml/2006/picture">
                      <pic:pic xmlns:pic="http://schemas.openxmlformats.org/drawingml/2006/picture">
                        <pic:nvPicPr>
                          <pic:cNvPr id="466" name="IM 466"/>
                          <pic:cNvPicPr/>
                        </pic:nvPicPr>
                        <pic:blipFill>
                          <a:blip r:embed="rId525"/>
                          <a:stretch>
                            <a:fillRect/>
                          </a:stretch>
                        </pic:blipFill>
                        <pic:spPr>
                          <a:xfrm>
                            <a:off x="0" y="0"/>
                            <a:ext cx="2823844" cy="1550035"/>
                          </a:xfrm>
                          <a:prstGeom prst="rect">
                            <a:avLst/>
                          </a:prstGeom>
                        </pic:spPr>
                      </pic:pic>
                    </a:graphicData>
                  </a:graphic>
                </wp:inline>
              </w:drawing>
            </w:r>
          </w:p>
        </w:tc>
      </w:tr>
      <w:tr w14:paraId="57C04B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85" w:hRule="atLeast"/>
        </w:trPr>
        <w:tc>
          <w:tcPr>
            <w:tcW w:w="9104" w:type="dxa"/>
            <w:gridSpan w:val="3"/>
            <w:tcBorders>
              <w:left w:val="single" w:color="000000" w:sz="4" w:space="0"/>
              <w:right w:val="single" w:color="000000" w:sz="4" w:space="0"/>
            </w:tcBorders>
            <w:vAlign w:val="top"/>
          </w:tcPr>
          <w:p w14:paraId="691554DD">
            <w:pPr>
              <w:pStyle w:val="7"/>
              <w:spacing w:before="98" w:line="220" w:lineRule="auto"/>
              <w:ind w:left="4140"/>
            </w:pPr>
            <w:r>
              <w:rPr>
                <w:spacing w:val="-19"/>
              </w:rPr>
              <w:t>管道安装</w:t>
            </w:r>
          </w:p>
        </w:tc>
      </w:tr>
      <w:tr w14:paraId="76F4BB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80" w:hRule="atLeast"/>
        </w:trPr>
        <w:tc>
          <w:tcPr>
            <w:tcW w:w="4551" w:type="dxa"/>
            <w:gridSpan w:val="2"/>
            <w:tcBorders>
              <w:left w:val="single" w:color="000000" w:sz="4" w:space="0"/>
            </w:tcBorders>
            <w:vAlign w:val="top"/>
          </w:tcPr>
          <w:p w14:paraId="5A70A953">
            <w:pPr>
              <w:spacing w:before="62" w:line="2205" w:lineRule="exact"/>
              <w:ind w:firstLine="70"/>
            </w:pPr>
            <w:r>
              <w:rPr>
                <w:position w:val="-44"/>
              </w:rPr>
              <w:drawing>
                <wp:inline distT="0" distB="0" distL="0" distR="0">
                  <wp:extent cx="2802890" cy="1400175"/>
                  <wp:effectExtent l="0" t="0" r="0" b="0"/>
                  <wp:docPr id="468" name="IM 468"/>
                  <wp:cNvGraphicFramePr/>
                  <a:graphic xmlns:a="http://schemas.openxmlformats.org/drawingml/2006/main">
                    <a:graphicData uri="http://schemas.openxmlformats.org/drawingml/2006/picture">
                      <pic:pic xmlns:pic="http://schemas.openxmlformats.org/drawingml/2006/picture">
                        <pic:nvPicPr>
                          <pic:cNvPr id="468" name="IM 468"/>
                          <pic:cNvPicPr/>
                        </pic:nvPicPr>
                        <pic:blipFill>
                          <a:blip r:embed="rId526"/>
                          <a:stretch>
                            <a:fillRect/>
                          </a:stretch>
                        </pic:blipFill>
                        <pic:spPr>
                          <a:xfrm>
                            <a:off x="0" y="0"/>
                            <a:ext cx="2802890" cy="1400175"/>
                          </a:xfrm>
                          <a:prstGeom prst="rect">
                            <a:avLst/>
                          </a:prstGeom>
                        </pic:spPr>
                      </pic:pic>
                    </a:graphicData>
                  </a:graphic>
                </wp:inline>
              </w:drawing>
            </w:r>
          </w:p>
        </w:tc>
        <w:tc>
          <w:tcPr>
            <w:tcW w:w="4553" w:type="dxa"/>
            <w:tcBorders>
              <w:right w:val="single" w:color="000000" w:sz="4" w:space="0"/>
            </w:tcBorders>
            <w:vAlign w:val="top"/>
          </w:tcPr>
          <w:p w14:paraId="1FF53BB1">
            <w:pPr>
              <w:spacing w:before="78" w:line="2172" w:lineRule="exact"/>
              <w:ind w:firstLine="80"/>
            </w:pPr>
            <w:r>
              <w:rPr>
                <w:position w:val="-43"/>
              </w:rPr>
              <w:drawing>
                <wp:inline distT="0" distB="0" distL="0" distR="0">
                  <wp:extent cx="2773045" cy="1379220"/>
                  <wp:effectExtent l="0" t="0" r="0" b="0"/>
                  <wp:docPr id="470" name="IM 470"/>
                  <wp:cNvGraphicFramePr/>
                  <a:graphic xmlns:a="http://schemas.openxmlformats.org/drawingml/2006/main">
                    <a:graphicData uri="http://schemas.openxmlformats.org/drawingml/2006/picture">
                      <pic:pic xmlns:pic="http://schemas.openxmlformats.org/drawingml/2006/picture">
                        <pic:nvPicPr>
                          <pic:cNvPr id="470" name="IM 470"/>
                          <pic:cNvPicPr/>
                        </pic:nvPicPr>
                        <pic:blipFill>
                          <a:blip r:embed="rId527"/>
                          <a:stretch>
                            <a:fillRect/>
                          </a:stretch>
                        </pic:blipFill>
                        <pic:spPr>
                          <a:xfrm>
                            <a:off x="0" y="0"/>
                            <a:ext cx="2773679" cy="1379220"/>
                          </a:xfrm>
                          <a:prstGeom prst="rect">
                            <a:avLst/>
                          </a:prstGeom>
                        </pic:spPr>
                      </pic:pic>
                    </a:graphicData>
                  </a:graphic>
                </wp:inline>
              </w:drawing>
            </w:r>
          </w:p>
        </w:tc>
      </w:tr>
      <w:tr w14:paraId="071C60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1" w:hRule="atLeast"/>
        </w:trPr>
        <w:tc>
          <w:tcPr>
            <w:tcW w:w="4551" w:type="dxa"/>
            <w:gridSpan w:val="2"/>
            <w:tcBorders>
              <w:left w:val="single" w:color="000000" w:sz="4" w:space="0"/>
              <w:bottom w:val="nil"/>
            </w:tcBorders>
            <w:vAlign w:val="top"/>
          </w:tcPr>
          <w:p w14:paraId="0A07C627">
            <w:pPr>
              <w:spacing w:line="160" w:lineRule="exact"/>
              <w:rPr>
                <w:rFonts w:ascii="Arial"/>
                <w:sz w:val="14"/>
              </w:rPr>
            </w:pPr>
          </w:p>
        </w:tc>
        <w:tc>
          <w:tcPr>
            <w:tcW w:w="4553" w:type="dxa"/>
            <w:tcBorders>
              <w:bottom w:val="nil"/>
              <w:right w:val="single" w:color="000000" w:sz="4" w:space="0"/>
            </w:tcBorders>
            <w:vAlign w:val="top"/>
          </w:tcPr>
          <w:p w14:paraId="1C53A575">
            <w:pPr>
              <w:spacing w:line="160" w:lineRule="exact"/>
              <w:rPr>
                <w:rFonts w:ascii="Arial"/>
                <w:sz w:val="14"/>
              </w:rPr>
            </w:pPr>
          </w:p>
        </w:tc>
      </w:tr>
      <w:tr w14:paraId="0CAD6C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705" w:hRule="atLeast"/>
        </w:trPr>
        <w:tc>
          <w:tcPr>
            <w:tcW w:w="4551" w:type="dxa"/>
            <w:gridSpan w:val="2"/>
            <w:tcBorders>
              <w:top w:val="nil"/>
              <w:left w:val="single" w:color="1C456A" w:sz="4" w:space="0"/>
              <w:bottom w:val="nil"/>
            </w:tcBorders>
            <w:vAlign w:val="top"/>
          </w:tcPr>
          <w:p w14:paraId="1145B2F9">
            <w:pPr>
              <w:spacing w:before="7" w:line="2687" w:lineRule="exact"/>
              <w:ind w:firstLine="68"/>
            </w:pPr>
            <w:r>
              <w:rPr>
                <w:position w:val="-53"/>
              </w:rPr>
              <w:drawing>
                <wp:inline distT="0" distB="0" distL="0" distR="0">
                  <wp:extent cx="2840990" cy="1706245"/>
                  <wp:effectExtent l="0" t="0" r="0" b="0"/>
                  <wp:docPr id="472" name="IM 472"/>
                  <wp:cNvGraphicFramePr/>
                  <a:graphic xmlns:a="http://schemas.openxmlformats.org/drawingml/2006/main">
                    <a:graphicData uri="http://schemas.openxmlformats.org/drawingml/2006/picture">
                      <pic:pic xmlns:pic="http://schemas.openxmlformats.org/drawingml/2006/picture">
                        <pic:nvPicPr>
                          <pic:cNvPr id="472" name="IM 472"/>
                          <pic:cNvPicPr/>
                        </pic:nvPicPr>
                        <pic:blipFill>
                          <a:blip r:embed="rId528"/>
                          <a:stretch>
                            <a:fillRect/>
                          </a:stretch>
                        </pic:blipFill>
                        <pic:spPr>
                          <a:xfrm>
                            <a:off x="0" y="0"/>
                            <a:ext cx="2841485" cy="1706753"/>
                          </a:xfrm>
                          <a:prstGeom prst="rect">
                            <a:avLst/>
                          </a:prstGeom>
                        </pic:spPr>
                      </pic:pic>
                    </a:graphicData>
                  </a:graphic>
                </wp:inline>
              </w:drawing>
            </w:r>
          </w:p>
        </w:tc>
        <w:tc>
          <w:tcPr>
            <w:tcW w:w="4553" w:type="dxa"/>
            <w:tcBorders>
              <w:top w:val="nil"/>
              <w:bottom w:val="nil"/>
              <w:right w:val="single" w:color="5B9BD5" w:sz="4" w:space="0"/>
            </w:tcBorders>
            <w:vAlign w:val="top"/>
          </w:tcPr>
          <w:p w14:paraId="46AE5116">
            <w:pPr>
              <w:spacing w:before="19" w:line="2676" w:lineRule="exact"/>
              <w:ind w:firstLine="54"/>
            </w:pPr>
            <w:r>
              <w:rPr>
                <w:position w:val="-53"/>
              </w:rPr>
              <w:drawing>
                <wp:inline distT="0" distB="0" distL="0" distR="0">
                  <wp:extent cx="2838450" cy="1698625"/>
                  <wp:effectExtent l="0" t="0" r="0" b="0"/>
                  <wp:docPr id="474" name="IM 474"/>
                  <wp:cNvGraphicFramePr/>
                  <a:graphic xmlns:a="http://schemas.openxmlformats.org/drawingml/2006/main">
                    <a:graphicData uri="http://schemas.openxmlformats.org/drawingml/2006/picture">
                      <pic:pic xmlns:pic="http://schemas.openxmlformats.org/drawingml/2006/picture">
                        <pic:nvPicPr>
                          <pic:cNvPr id="474" name="IM 474"/>
                          <pic:cNvPicPr/>
                        </pic:nvPicPr>
                        <pic:blipFill>
                          <a:blip r:embed="rId529"/>
                          <a:stretch>
                            <a:fillRect/>
                          </a:stretch>
                        </pic:blipFill>
                        <pic:spPr>
                          <a:xfrm>
                            <a:off x="0" y="0"/>
                            <a:ext cx="2839084" cy="1699133"/>
                          </a:xfrm>
                          <a:prstGeom prst="rect">
                            <a:avLst/>
                          </a:prstGeom>
                        </pic:spPr>
                      </pic:pic>
                    </a:graphicData>
                  </a:graphic>
                </wp:inline>
              </w:drawing>
            </w:r>
          </w:p>
        </w:tc>
      </w:tr>
      <w:tr w14:paraId="33F58F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4551" w:type="dxa"/>
            <w:gridSpan w:val="2"/>
            <w:tcBorders>
              <w:top w:val="nil"/>
              <w:left w:val="single" w:color="000000" w:sz="4" w:space="0"/>
            </w:tcBorders>
            <w:vAlign w:val="top"/>
          </w:tcPr>
          <w:p w14:paraId="10F22732">
            <w:pPr>
              <w:rPr>
                <w:rFonts w:ascii="Arial"/>
                <w:sz w:val="21"/>
              </w:rPr>
            </w:pPr>
          </w:p>
        </w:tc>
        <w:tc>
          <w:tcPr>
            <w:tcW w:w="4553" w:type="dxa"/>
            <w:tcBorders>
              <w:top w:val="nil"/>
              <w:right w:val="single" w:color="000000" w:sz="4" w:space="0"/>
            </w:tcBorders>
            <w:vAlign w:val="top"/>
          </w:tcPr>
          <w:p w14:paraId="3CD9B20C">
            <w:pPr>
              <w:rPr>
                <w:rFonts w:ascii="Arial"/>
                <w:sz w:val="21"/>
              </w:rPr>
            </w:pPr>
          </w:p>
        </w:tc>
      </w:tr>
      <w:tr w14:paraId="6D8C43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85" w:hRule="atLeast"/>
        </w:trPr>
        <w:tc>
          <w:tcPr>
            <w:tcW w:w="9104" w:type="dxa"/>
            <w:gridSpan w:val="3"/>
            <w:tcBorders>
              <w:left w:val="single" w:color="000000" w:sz="4" w:space="0"/>
              <w:right w:val="single" w:color="000000" w:sz="4" w:space="0"/>
            </w:tcBorders>
            <w:vAlign w:val="top"/>
          </w:tcPr>
          <w:p w14:paraId="0DE5CF39">
            <w:pPr>
              <w:pStyle w:val="7"/>
              <w:spacing w:before="102" w:line="220" w:lineRule="auto"/>
              <w:ind w:left="3921"/>
            </w:pPr>
            <w:r>
              <w:rPr>
                <w:spacing w:val="-20"/>
              </w:rPr>
              <w:t>管道包封施工</w:t>
            </w:r>
          </w:p>
        </w:tc>
      </w:tr>
      <w:tr w14:paraId="66161F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5" w:hRule="atLeast"/>
        </w:trPr>
        <w:tc>
          <w:tcPr>
            <w:tcW w:w="1611" w:type="dxa"/>
            <w:tcBorders>
              <w:left w:val="single" w:color="1C456A" w:sz="4" w:space="0"/>
              <w:bottom w:val="single" w:color="1C456A" w:sz="4" w:space="0"/>
              <w:right w:val="nil"/>
            </w:tcBorders>
            <w:vAlign w:val="top"/>
          </w:tcPr>
          <w:p w14:paraId="759C8670">
            <w:pPr>
              <w:rPr>
                <w:rFonts w:ascii="Arial"/>
                <w:sz w:val="21"/>
              </w:rPr>
            </w:pPr>
            <w:r>
              <w:pict>
                <v:shape id="_x0000_s1634" o:spid="_x0000_s1634" style="position:absolute;left:0pt;margin-left:-0.25pt;margin-top:31.3pt;height:0.75pt;width:2.2pt;mso-position-horizontal-relative:page;mso-position-vertical-relative:page;z-index:251782144;mso-width-relative:page;mso-height-relative:page;" fillcolor="#5B9BD5" filled="t" stroked="f" coordsize="44,15" path="m0,14l43,14,43,0,0,0,0,14xe">
                  <v:path/>
                  <v:fill on="t" focussize="0,0"/>
                  <v:stroke on="f"/>
                  <v:imagedata o:title=""/>
                  <o:lock v:ext="edit"/>
                </v:shape>
              </w:pict>
            </w:r>
          </w:p>
        </w:tc>
        <w:tc>
          <w:tcPr>
            <w:tcW w:w="7493" w:type="dxa"/>
            <w:gridSpan w:val="2"/>
            <w:tcBorders>
              <w:left w:val="nil"/>
              <w:bottom w:val="single" w:color="1C456A" w:sz="4" w:space="0"/>
              <w:right w:val="single" w:color="1C456A" w:sz="4" w:space="0"/>
            </w:tcBorders>
            <w:vAlign w:val="top"/>
          </w:tcPr>
          <w:p w14:paraId="3348467A">
            <w:pPr>
              <w:pStyle w:val="7"/>
              <w:spacing w:before="103" w:line="218" w:lineRule="auto"/>
              <w:ind w:left="1565"/>
            </w:pPr>
            <w:r>
              <w:pict>
                <v:shape id="_x0000_s1635" o:spid="_x0000_s1635" style="position:absolute;left:0pt;margin-left:372.8pt;margin-top:31.3pt;height:0.75pt;width:2.2pt;mso-position-horizontal-relative:page;mso-position-vertical-relative:page;z-index:251781120;mso-width-relative:page;mso-height-relative:page;" fillcolor="#5B9BD5" filled="t" stroked="f" coordsize="44,15" path="m0,14l43,14,43,0,0,0,0,14xe">
                  <v:path/>
                  <v:fill on="t" focussize="0,0"/>
                  <v:stroke on="f"/>
                  <v:imagedata o:title=""/>
                  <o:lock v:ext="edit"/>
                </v:shape>
              </w:pict>
            </w:r>
            <w:r>
              <w:rPr>
                <w:spacing w:val="-22"/>
              </w:rPr>
              <w:t>电力排管工程施工流程示意图</w:t>
            </w:r>
          </w:p>
        </w:tc>
      </w:tr>
    </w:tbl>
    <w:p w14:paraId="60A883C7">
      <w:pPr>
        <w:pStyle w:val="2"/>
        <w:spacing w:before="114" w:line="308" w:lineRule="auto"/>
        <w:ind w:left="1457" w:right="1354" w:firstLine="437"/>
        <w:jc w:val="both"/>
        <w:rPr>
          <w:sz w:val="24"/>
          <w:szCs w:val="24"/>
        </w:rPr>
      </w:pPr>
      <w:r>
        <w:rPr>
          <w:spacing w:val="-22"/>
          <w:sz w:val="24"/>
          <w:szCs w:val="24"/>
        </w:rPr>
        <w:t>在混凝土底板上平铺10cm厚的中砂垫层，再铺设电缆排管，并在管沟管间空隙填砂，用木</w:t>
      </w:r>
      <w:r>
        <w:rPr>
          <w:spacing w:val="-24"/>
          <w:sz w:val="24"/>
          <w:szCs w:val="24"/>
        </w:rPr>
        <w:t>棒捣实，使砂在管外壁形成圆弧状管床。排管的铺设，每段的接头要错开布置，保证连接严密，</w:t>
      </w:r>
      <w:r>
        <w:rPr>
          <w:spacing w:val="-21"/>
          <w:sz w:val="24"/>
          <w:szCs w:val="24"/>
        </w:rPr>
        <w:t>不得有砂粒渗入。管群铺设好后，每孔内穿入8#铁丝一根，以便今后穿线。依照施工要求进行</w:t>
      </w:r>
    </w:p>
    <w:p w14:paraId="1F20827D">
      <w:pPr>
        <w:spacing w:line="308" w:lineRule="auto"/>
        <w:rPr>
          <w:sz w:val="24"/>
          <w:szCs w:val="24"/>
        </w:rPr>
        <w:sectPr>
          <w:footerReference r:id="rId76" w:type="default"/>
          <w:pgSz w:w="11907" w:h="16839"/>
          <w:pgMar w:top="954" w:right="4" w:bottom="1038" w:left="0" w:header="499" w:footer="357" w:gutter="0"/>
          <w:pgBorders>
            <w:top w:val="none" w:sz="0" w:space="0"/>
            <w:left w:val="none" w:sz="0" w:space="0"/>
            <w:bottom w:val="none" w:sz="0" w:space="0"/>
            <w:right w:val="none" w:sz="0" w:space="0"/>
          </w:pgBorders>
          <w:cols w:space="720" w:num="1"/>
        </w:sectPr>
      </w:pPr>
    </w:p>
    <w:p w14:paraId="5A1CDE6B">
      <w:pPr>
        <w:spacing w:line="249" w:lineRule="auto"/>
        <w:rPr>
          <w:rFonts w:ascii="Arial"/>
          <w:sz w:val="21"/>
        </w:rPr>
      </w:pPr>
    </w:p>
    <w:p w14:paraId="0CCDED95">
      <w:pPr>
        <w:pStyle w:val="2"/>
        <w:spacing w:before="78" w:line="308" w:lineRule="auto"/>
        <w:ind w:left="1458" w:right="1411" w:firstLine="1"/>
        <w:rPr>
          <w:sz w:val="24"/>
          <w:szCs w:val="24"/>
        </w:rPr>
      </w:pPr>
      <w:r>
        <w:rPr>
          <w:spacing w:val="-22"/>
          <w:sz w:val="24"/>
          <w:szCs w:val="24"/>
        </w:rPr>
        <w:t>逐层排管的铺设，待最上层排管铺设完后，再铺10cm厚的中砂垫层。最后采用灌水的方法将砂</w:t>
      </w:r>
      <w:r>
        <w:rPr>
          <w:spacing w:val="-21"/>
          <w:sz w:val="24"/>
          <w:szCs w:val="24"/>
        </w:rPr>
        <w:t>进一步沉降，使砂与电缆排管形成密实的整体。</w:t>
      </w:r>
    </w:p>
    <w:p w14:paraId="6726CA19">
      <w:pPr>
        <w:pStyle w:val="2"/>
        <w:spacing w:before="1" w:line="218" w:lineRule="auto"/>
        <w:ind w:left="1884"/>
        <w:rPr>
          <w:sz w:val="24"/>
          <w:szCs w:val="24"/>
        </w:rPr>
      </w:pPr>
      <w:r>
        <w:rPr>
          <w:spacing w:val="-14"/>
          <w:sz w:val="24"/>
          <w:szCs w:val="24"/>
        </w:rPr>
        <w:t>4土方回填</w:t>
      </w:r>
    </w:p>
    <w:p w14:paraId="77A85E00">
      <w:pPr>
        <w:pStyle w:val="2"/>
        <w:spacing w:before="116" w:line="294" w:lineRule="auto"/>
        <w:ind w:left="1459" w:right="1351" w:firstLine="460"/>
        <w:rPr>
          <w:sz w:val="24"/>
          <w:szCs w:val="24"/>
        </w:rPr>
      </w:pPr>
      <w:r>
        <w:rPr>
          <w:spacing w:val="-28"/>
          <w:sz w:val="24"/>
          <w:szCs w:val="24"/>
        </w:rPr>
        <w:t>电缆排管铺设完工后，进行土方回填，以机械为主，人工配合。分层回填，每层厚度</w:t>
      </w:r>
      <w:r>
        <w:rPr>
          <w:spacing w:val="-29"/>
          <w:sz w:val="24"/>
          <w:szCs w:val="24"/>
        </w:rPr>
        <w:t>为15cm，</w:t>
      </w:r>
      <w:r>
        <w:rPr>
          <w:spacing w:val="-21"/>
          <w:sz w:val="24"/>
          <w:szCs w:val="24"/>
        </w:rPr>
        <w:t>并进行夯实。回填的高度与主体道路路面高程吻合</w:t>
      </w:r>
      <w:r>
        <w:rPr>
          <w:spacing w:val="-22"/>
          <w:sz w:val="24"/>
          <w:szCs w:val="24"/>
        </w:rPr>
        <w:t>。余土用自卸汽车运至余土弃置场。</w:t>
      </w:r>
    </w:p>
    <w:p w14:paraId="1946C2D6">
      <w:pPr>
        <w:pStyle w:val="2"/>
        <w:spacing w:line="216" w:lineRule="auto"/>
        <w:ind w:left="2010"/>
        <w:outlineLvl w:val="2"/>
        <w:rPr>
          <w:sz w:val="28"/>
          <w:szCs w:val="28"/>
        </w:rPr>
      </w:pPr>
      <w:bookmarkStart w:id="45" w:name="bookmark45"/>
      <w:bookmarkEnd w:id="45"/>
      <w:r>
        <w:rPr>
          <w:b/>
          <w:bCs/>
          <w:spacing w:val="-25"/>
          <w:sz w:val="28"/>
          <w:szCs w:val="28"/>
        </w:rPr>
        <w:t>四、钢管迁移恢复</w:t>
      </w:r>
    </w:p>
    <w:p w14:paraId="105C2B80">
      <w:pPr>
        <w:pStyle w:val="2"/>
        <w:spacing w:before="106" w:line="308" w:lineRule="auto"/>
        <w:ind w:left="1457" w:right="1342" w:firstLine="435"/>
        <w:jc w:val="both"/>
        <w:rPr>
          <w:sz w:val="24"/>
          <w:szCs w:val="24"/>
        </w:rPr>
      </w:pPr>
      <w:r>
        <w:rPr>
          <w:spacing w:val="-23"/>
          <w:sz w:val="24"/>
          <w:szCs w:val="24"/>
        </w:rPr>
        <w:t>钢管关节的材料、规格、压力等级、加工质量应符合设计要</w:t>
      </w:r>
      <w:r>
        <w:rPr>
          <w:spacing w:val="-24"/>
          <w:sz w:val="24"/>
          <w:szCs w:val="24"/>
        </w:rPr>
        <w:t>求，管节表面应无疤痕、裂纹、</w:t>
      </w:r>
      <w:r>
        <w:rPr>
          <w:spacing w:val="-20"/>
          <w:sz w:val="24"/>
          <w:szCs w:val="24"/>
        </w:rPr>
        <w:t>严重锈蚀等缺陷；钢管内外防腐采用IPN8710防腐料防腐，管道内外壁的</w:t>
      </w:r>
      <w:r>
        <w:rPr>
          <w:spacing w:val="-21"/>
          <w:sz w:val="24"/>
          <w:szCs w:val="24"/>
        </w:rPr>
        <w:t>浮锈、氧化铁皮、焊渣、油污等，应彻底清除干净。</w:t>
      </w:r>
    </w:p>
    <w:p w14:paraId="2E58F112">
      <w:pPr>
        <w:pStyle w:val="2"/>
        <w:spacing w:before="1" w:line="215" w:lineRule="auto"/>
        <w:ind w:left="1892"/>
        <w:rPr>
          <w:sz w:val="24"/>
          <w:szCs w:val="24"/>
        </w:rPr>
      </w:pPr>
      <w:r>
        <w:rPr>
          <w:spacing w:val="-21"/>
          <w:sz w:val="24"/>
          <w:szCs w:val="24"/>
        </w:rPr>
        <w:t>钢管安装焊接操作人员须持证上岗，并实施检测，管节内外防腐</w:t>
      </w:r>
      <w:r>
        <w:rPr>
          <w:spacing w:val="-22"/>
          <w:sz w:val="24"/>
          <w:szCs w:val="24"/>
        </w:rPr>
        <w:t>层合格后方可下管。</w:t>
      </w:r>
    </w:p>
    <w:p w14:paraId="475107EB">
      <w:pPr>
        <w:pStyle w:val="2"/>
        <w:spacing w:before="120" w:line="307" w:lineRule="auto"/>
        <w:ind w:left="1456" w:right="1411" w:firstLine="450"/>
        <w:rPr>
          <w:sz w:val="24"/>
          <w:szCs w:val="24"/>
        </w:rPr>
      </w:pPr>
      <w:r>
        <w:rPr>
          <w:spacing w:val="-20"/>
          <w:sz w:val="24"/>
          <w:szCs w:val="24"/>
        </w:rPr>
        <w:t>管道安装前，管节应逐根测量、编号宜选用管径相差较小的管节组队对接。管节焊条质量</w:t>
      </w:r>
      <w:r>
        <w:rPr>
          <w:spacing w:val="-21"/>
          <w:sz w:val="24"/>
          <w:szCs w:val="24"/>
        </w:rPr>
        <w:t>应符合现行国家标准《碳钢焊条》、&lt;&lt;低合金焊条》的规定，焊条应干燥。</w:t>
      </w:r>
    </w:p>
    <w:p w14:paraId="6CCA9BBF">
      <w:pPr>
        <w:pStyle w:val="2"/>
        <w:spacing w:before="5" w:line="307" w:lineRule="auto"/>
        <w:ind w:left="1456" w:right="1410" w:firstLine="450"/>
        <w:jc w:val="both"/>
        <w:rPr>
          <w:sz w:val="24"/>
          <w:szCs w:val="24"/>
        </w:rPr>
      </w:pPr>
      <w:r>
        <w:rPr>
          <w:spacing w:val="-20"/>
          <w:sz w:val="24"/>
          <w:szCs w:val="24"/>
        </w:rPr>
        <w:t>管节焊接前应修口、清根，管段端面的坡度角度、钝边、减息应符合规范要求，不得在对</w:t>
      </w:r>
      <w:r>
        <w:rPr>
          <w:spacing w:val="-21"/>
          <w:sz w:val="24"/>
          <w:szCs w:val="24"/>
        </w:rPr>
        <w:t>口间隙夹焊帮条或用加热法缩小间隙施焊。对口时应使内壁齐平，错口的允许偏差应为0.2倍</w:t>
      </w:r>
      <w:r>
        <w:rPr>
          <w:spacing w:val="-20"/>
          <w:sz w:val="24"/>
          <w:szCs w:val="24"/>
        </w:rPr>
        <w:t>壁厚，且不得大于2mm。对口时纵向焊缝应放在管道中心垂线上半圆的45D左右处；纵向焊缝应</w:t>
      </w:r>
      <w:r>
        <w:rPr>
          <w:spacing w:val="-19"/>
          <w:sz w:val="24"/>
          <w:szCs w:val="24"/>
        </w:rPr>
        <w:t>错开，错开间距不得小于30mm；直管管段两相邻环向焊缝的间距不应小于2</w:t>
      </w:r>
      <w:r>
        <w:rPr>
          <w:spacing w:val="-20"/>
          <w:sz w:val="24"/>
          <w:szCs w:val="24"/>
        </w:rPr>
        <w:t>00mm。管道任何位置都不得有十字型焊缝。</w:t>
      </w:r>
    </w:p>
    <w:p w14:paraId="4196634A">
      <w:pPr>
        <w:pStyle w:val="2"/>
        <w:spacing w:before="1" w:line="308" w:lineRule="auto"/>
        <w:ind w:left="1459" w:right="1411" w:firstLine="447"/>
        <w:rPr>
          <w:sz w:val="24"/>
          <w:szCs w:val="24"/>
        </w:rPr>
      </w:pPr>
      <w:r>
        <w:rPr>
          <w:spacing w:val="-20"/>
          <w:sz w:val="24"/>
          <w:szCs w:val="24"/>
        </w:rPr>
        <w:t>管道上开孔应符合规范要求，不得在干管的纵向、环向焊缝处开孔，不得开方孔，不得在</w:t>
      </w:r>
      <w:r>
        <w:rPr>
          <w:spacing w:val="-22"/>
          <w:sz w:val="24"/>
          <w:szCs w:val="24"/>
        </w:rPr>
        <w:t>短节或管件上开孔。本次施工采用双面焊。</w:t>
      </w:r>
    </w:p>
    <w:p w14:paraId="3A123BFA">
      <w:pPr>
        <w:pStyle w:val="2"/>
        <w:spacing w:line="218" w:lineRule="auto"/>
        <w:ind w:left="1884"/>
        <w:rPr>
          <w:sz w:val="24"/>
          <w:szCs w:val="24"/>
        </w:rPr>
      </w:pPr>
      <w:r>
        <w:rPr>
          <w:spacing w:val="-18"/>
          <w:sz w:val="24"/>
          <w:szCs w:val="24"/>
        </w:rPr>
        <w:t>4、管道冲洗及水压试验</w:t>
      </w:r>
    </w:p>
    <w:p w14:paraId="6A081CB8">
      <w:pPr>
        <w:pStyle w:val="2"/>
        <w:spacing w:before="115" w:line="308" w:lineRule="auto"/>
        <w:ind w:left="1453" w:right="1353" w:firstLine="442"/>
        <w:rPr>
          <w:sz w:val="24"/>
          <w:szCs w:val="24"/>
        </w:rPr>
      </w:pPr>
      <w:r>
        <w:rPr>
          <w:spacing w:val="-22"/>
          <w:sz w:val="24"/>
          <w:szCs w:val="24"/>
        </w:rPr>
        <w:t>分段管道水压试验：每段距离低于1000m</w:t>
      </w:r>
      <w:r>
        <w:rPr>
          <w:spacing w:val="-23"/>
          <w:sz w:val="24"/>
          <w:szCs w:val="24"/>
        </w:rPr>
        <w:t>，安装好的管道应认真检查安装质量，承插口连接</w:t>
      </w:r>
      <w:r>
        <w:rPr>
          <w:spacing w:val="-27"/>
          <w:sz w:val="24"/>
          <w:szCs w:val="24"/>
        </w:rPr>
        <w:t>质量、阀门安装质量，外观检查合格后方能进行水压试验，介质用水，管道的工作压力为0.5mpa，</w:t>
      </w:r>
      <w:r>
        <w:rPr>
          <w:spacing w:val="-18"/>
          <w:sz w:val="24"/>
          <w:szCs w:val="24"/>
        </w:rPr>
        <w:t>试验压力为1.0mpa，稳压5min，管道无渗漏，压力下降不超过0.02mpa，试验合格后，进</w:t>
      </w:r>
      <w:r>
        <w:rPr>
          <w:spacing w:val="-19"/>
          <w:sz w:val="24"/>
          <w:szCs w:val="24"/>
        </w:rPr>
        <w:t>行管</w:t>
      </w:r>
      <w:r>
        <w:rPr>
          <w:spacing w:val="-20"/>
          <w:sz w:val="24"/>
          <w:szCs w:val="24"/>
        </w:rPr>
        <w:t>道冲洗，同时做好水压试验及冲洗记录。如果受条件影响，不能一次试压，则采用法兰盲板加</w:t>
      </w:r>
      <w:r>
        <w:rPr>
          <w:spacing w:val="-21"/>
          <w:sz w:val="24"/>
          <w:szCs w:val="24"/>
        </w:rPr>
        <w:t>支撑、顶堵等安全措施，分段进行试压。</w:t>
      </w:r>
    </w:p>
    <w:p w14:paraId="1EEA9DC0">
      <w:pPr>
        <w:pStyle w:val="2"/>
        <w:spacing w:before="1" w:line="215" w:lineRule="auto"/>
        <w:ind w:left="1912"/>
        <w:rPr>
          <w:sz w:val="24"/>
          <w:szCs w:val="24"/>
        </w:rPr>
      </w:pPr>
      <w:r>
        <w:rPr>
          <w:spacing w:val="-21"/>
          <w:sz w:val="24"/>
          <w:szCs w:val="24"/>
        </w:rPr>
        <w:t>阀门安装前都应进行水压试验，压力为工作压力1.5倍，试压合格后方</w:t>
      </w:r>
      <w:r>
        <w:rPr>
          <w:spacing w:val="-22"/>
          <w:sz w:val="24"/>
          <w:szCs w:val="24"/>
        </w:rPr>
        <w:t>能进行安装。</w:t>
      </w:r>
    </w:p>
    <w:p w14:paraId="4B80EBAF">
      <w:pPr>
        <w:pStyle w:val="2"/>
        <w:spacing w:before="116" w:line="309" w:lineRule="auto"/>
        <w:ind w:left="1459" w:right="1354" w:firstLine="447"/>
        <w:rPr>
          <w:sz w:val="24"/>
          <w:szCs w:val="24"/>
        </w:rPr>
      </w:pPr>
      <w:r>
        <w:rPr>
          <w:spacing w:val="-24"/>
          <w:sz w:val="24"/>
          <w:szCs w:val="24"/>
        </w:rPr>
        <w:t>管道冲洗：安装好的管道应采用自来水和干净水反复冲洗，直至管道内无杂物、水浊现象，</w:t>
      </w:r>
      <w:r>
        <w:rPr>
          <w:spacing w:val="-21"/>
          <w:sz w:val="24"/>
          <w:szCs w:val="24"/>
        </w:rPr>
        <w:t>冲洗干净后，流出的水质透明为合格。</w:t>
      </w:r>
    </w:p>
    <w:p w14:paraId="7C2729E4">
      <w:pPr>
        <w:pStyle w:val="2"/>
        <w:spacing w:before="1" w:line="218" w:lineRule="auto"/>
        <w:ind w:left="1890"/>
        <w:rPr>
          <w:sz w:val="24"/>
          <w:szCs w:val="24"/>
        </w:rPr>
      </w:pPr>
      <w:r>
        <w:rPr>
          <w:spacing w:val="-19"/>
          <w:sz w:val="24"/>
          <w:szCs w:val="24"/>
        </w:rPr>
        <w:t>5、支墩浇筑</w:t>
      </w:r>
    </w:p>
    <w:p w14:paraId="55F8F6FE">
      <w:pPr>
        <w:pStyle w:val="2"/>
        <w:spacing w:before="113" w:line="308" w:lineRule="auto"/>
        <w:ind w:left="1461" w:right="1414" w:firstLine="432"/>
        <w:rPr>
          <w:sz w:val="24"/>
          <w:szCs w:val="24"/>
        </w:rPr>
      </w:pPr>
      <w:r>
        <w:rPr>
          <w:spacing w:val="-20"/>
          <w:sz w:val="24"/>
          <w:szCs w:val="24"/>
        </w:rPr>
        <w:t>所有弯头处按图集要求进行支墩施工。管道及管道附近的支墩和锚定结构应位置准确，锚定应牢固；支墩应在坚固的地基上修筑。当无原状土做后背墙时，应采取措施保证支墩在受力</w:t>
      </w:r>
      <w:r>
        <w:rPr>
          <w:spacing w:val="-21"/>
          <w:sz w:val="24"/>
          <w:szCs w:val="24"/>
        </w:rPr>
        <w:t>情况下，不致破坏管道接口。当采用砌筑支墩</w:t>
      </w:r>
      <w:r>
        <w:rPr>
          <w:spacing w:val="-22"/>
          <w:sz w:val="24"/>
          <w:szCs w:val="24"/>
        </w:rPr>
        <w:t>时，原状土与支墩之间应采用砂浆填塞。</w:t>
      </w:r>
    </w:p>
    <w:p w14:paraId="0206D673">
      <w:pPr>
        <w:pStyle w:val="2"/>
        <w:spacing w:before="1" w:line="308" w:lineRule="auto"/>
        <w:ind w:left="1458" w:right="1410" w:firstLine="448"/>
        <w:rPr>
          <w:sz w:val="24"/>
          <w:szCs w:val="24"/>
        </w:rPr>
      </w:pPr>
      <w:r>
        <w:rPr>
          <w:spacing w:val="-20"/>
          <w:sz w:val="24"/>
          <w:szCs w:val="24"/>
        </w:rPr>
        <w:t>管道支墩应在管道接口做完、管道位置固定后砌筑。管道安装过程中的临时固定支架，应</w:t>
      </w:r>
      <w:r>
        <w:rPr>
          <w:spacing w:val="-21"/>
          <w:sz w:val="24"/>
          <w:szCs w:val="24"/>
        </w:rPr>
        <w:t>在支墩的砌筑砂浆或混凝土达到规定强度后拆除。</w:t>
      </w:r>
    </w:p>
    <w:p w14:paraId="20048082">
      <w:pPr>
        <w:pStyle w:val="2"/>
        <w:spacing w:line="218" w:lineRule="auto"/>
        <w:ind w:left="1887"/>
        <w:rPr>
          <w:sz w:val="24"/>
          <w:szCs w:val="24"/>
        </w:rPr>
      </w:pPr>
      <w:r>
        <w:rPr>
          <w:spacing w:val="-18"/>
          <w:sz w:val="24"/>
          <w:szCs w:val="24"/>
        </w:rPr>
        <w:t>6、锈刷油</w:t>
      </w:r>
    </w:p>
    <w:p w14:paraId="5FA05EAD">
      <w:pPr>
        <w:pStyle w:val="2"/>
        <w:spacing w:before="115" w:line="218" w:lineRule="auto"/>
        <w:ind w:left="1898"/>
        <w:rPr>
          <w:sz w:val="24"/>
          <w:szCs w:val="24"/>
        </w:rPr>
      </w:pPr>
      <w:r>
        <w:rPr>
          <w:spacing w:val="-21"/>
          <w:sz w:val="24"/>
          <w:szCs w:val="24"/>
        </w:rPr>
        <w:t>工艺流程：人工除锈→刷防锈底漆→喷刷防腐</w:t>
      </w:r>
      <w:r>
        <w:rPr>
          <w:spacing w:val="-22"/>
          <w:sz w:val="24"/>
          <w:szCs w:val="24"/>
        </w:rPr>
        <w:t>面层</w:t>
      </w:r>
    </w:p>
    <w:p w14:paraId="43D461D3">
      <w:pPr>
        <w:spacing w:line="218" w:lineRule="auto"/>
        <w:rPr>
          <w:sz w:val="24"/>
          <w:szCs w:val="24"/>
        </w:rPr>
        <w:sectPr>
          <w:footerReference r:id="rId77" w:type="default"/>
          <w:pgSz w:w="11907" w:h="16839"/>
          <w:pgMar w:top="954" w:right="4" w:bottom="1038" w:left="0" w:header="499" w:footer="357" w:gutter="0"/>
          <w:pgBorders>
            <w:top w:val="none" w:sz="0" w:space="0"/>
            <w:left w:val="none" w:sz="0" w:space="0"/>
            <w:bottom w:val="none" w:sz="0" w:space="0"/>
            <w:right w:val="none" w:sz="0" w:space="0"/>
          </w:pgBorders>
          <w:cols w:space="720" w:num="1"/>
        </w:sectPr>
      </w:pPr>
    </w:p>
    <w:p w14:paraId="0E086AC6">
      <w:pPr>
        <w:spacing w:line="251" w:lineRule="auto"/>
        <w:rPr>
          <w:rFonts w:ascii="Arial"/>
          <w:sz w:val="21"/>
        </w:rPr>
      </w:pPr>
    </w:p>
    <w:p w14:paraId="1527D2D1">
      <w:pPr>
        <w:pStyle w:val="2"/>
        <w:spacing w:before="78" w:line="262" w:lineRule="auto"/>
        <w:ind w:left="1458" w:right="1410" w:firstLine="429"/>
        <w:rPr>
          <w:sz w:val="24"/>
          <w:szCs w:val="24"/>
        </w:rPr>
      </w:pPr>
      <w:r>
        <w:rPr>
          <w:spacing w:val="-23"/>
          <w:sz w:val="24"/>
          <w:szCs w:val="24"/>
        </w:rPr>
        <w:t>6.1管道、支架除锈，采用人工除锈，用钢丝刷、砂布除锈，露出金属</w:t>
      </w:r>
      <w:r>
        <w:rPr>
          <w:spacing w:val="-24"/>
          <w:sz w:val="24"/>
          <w:szCs w:val="24"/>
        </w:rPr>
        <w:t>光泽为合格，再用干</w:t>
      </w:r>
      <w:r>
        <w:rPr>
          <w:spacing w:val="-21"/>
          <w:sz w:val="24"/>
          <w:szCs w:val="24"/>
        </w:rPr>
        <w:t>净废布擦拭干净。</w:t>
      </w:r>
    </w:p>
    <w:p w14:paraId="7CD1EEE7">
      <w:pPr>
        <w:pStyle w:val="2"/>
        <w:spacing w:before="118" w:line="217" w:lineRule="auto"/>
        <w:ind w:left="1887"/>
        <w:rPr>
          <w:sz w:val="24"/>
          <w:szCs w:val="24"/>
        </w:rPr>
      </w:pPr>
      <w:r>
        <w:rPr>
          <w:spacing w:val="-21"/>
          <w:sz w:val="24"/>
          <w:szCs w:val="24"/>
        </w:rPr>
        <w:t>6.2所有管道、支架涂底漆前，表面的灰尘、铁锈、焊渣、油污等必须清除干</w:t>
      </w:r>
      <w:r>
        <w:rPr>
          <w:spacing w:val="-22"/>
          <w:sz w:val="24"/>
          <w:szCs w:val="24"/>
        </w:rPr>
        <w:t>净。</w:t>
      </w:r>
    </w:p>
    <w:p w14:paraId="0D93B0E8">
      <w:pPr>
        <w:pStyle w:val="2"/>
        <w:spacing w:before="117" w:line="263" w:lineRule="auto"/>
        <w:ind w:left="1487" w:right="1410" w:firstLine="400"/>
        <w:rPr>
          <w:sz w:val="24"/>
          <w:szCs w:val="24"/>
        </w:rPr>
      </w:pPr>
      <w:r>
        <w:rPr>
          <w:spacing w:val="-23"/>
          <w:sz w:val="24"/>
          <w:szCs w:val="24"/>
        </w:rPr>
        <w:t>6.3管道刷油应按设计的颜色面漆进行涂刷，不能在雨天场地进行除锈</w:t>
      </w:r>
      <w:r>
        <w:rPr>
          <w:spacing w:val="-24"/>
          <w:sz w:val="24"/>
          <w:szCs w:val="24"/>
        </w:rPr>
        <w:t>刷油，在刷油漆过程</w:t>
      </w:r>
      <w:r>
        <w:rPr>
          <w:spacing w:val="-23"/>
          <w:sz w:val="24"/>
          <w:szCs w:val="24"/>
        </w:rPr>
        <w:t>中，尽量将附近场地清扫干净，以免灰尘污染。</w:t>
      </w:r>
    </w:p>
    <w:p w14:paraId="067B654C">
      <w:pPr>
        <w:pStyle w:val="2"/>
        <w:spacing w:before="116" w:line="215" w:lineRule="auto"/>
        <w:ind w:left="1887"/>
        <w:rPr>
          <w:sz w:val="24"/>
          <w:szCs w:val="24"/>
        </w:rPr>
      </w:pPr>
      <w:r>
        <w:rPr>
          <w:spacing w:val="-20"/>
          <w:sz w:val="24"/>
          <w:szCs w:val="24"/>
        </w:rPr>
        <w:t>6.4油漆必须是在有小保质期限内的合格产品。</w:t>
      </w:r>
    </w:p>
    <w:p w14:paraId="238BEA9C">
      <w:pPr>
        <w:pStyle w:val="2"/>
        <w:spacing w:before="120" w:line="217" w:lineRule="auto"/>
        <w:ind w:left="1887"/>
        <w:rPr>
          <w:sz w:val="24"/>
          <w:szCs w:val="24"/>
        </w:rPr>
      </w:pPr>
      <w:r>
        <w:rPr>
          <w:spacing w:val="-20"/>
          <w:sz w:val="24"/>
          <w:szCs w:val="24"/>
        </w:rPr>
        <w:t>6.5颜色符合设计要求，色泽一致，无漏涂不污染管道，设备</w:t>
      </w:r>
      <w:r>
        <w:rPr>
          <w:spacing w:val="-21"/>
          <w:sz w:val="24"/>
          <w:szCs w:val="24"/>
        </w:rPr>
        <w:t>及支撑面。</w:t>
      </w:r>
    </w:p>
    <w:p w14:paraId="1002D891">
      <w:pPr>
        <w:pStyle w:val="2"/>
        <w:spacing w:before="119" w:line="216" w:lineRule="auto"/>
        <w:ind w:left="1887"/>
        <w:rPr>
          <w:sz w:val="24"/>
          <w:szCs w:val="24"/>
        </w:rPr>
      </w:pPr>
      <w:r>
        <w:rPr>
          <w:spacing w:val="-15"/>
          <w:sz w:val="24"/>
          <w:szCs w:val="24"/>
        </w:rPr>
        <w:t>6.6检查井砌筑</w:t>
      </w:r>
    </w:p>
    <w:p w14:paraId="0F55F693">
      <w:pPr>
        <w:pStyle w:val="2"/>
        <w:spacing w:before="117" w:line="220" w:lineRule="auto"/>
        <w:ind w:left="1878"/>
        <w:rPr>
          <w:sz w:val="24"/>
          <w:szCs w:val="24"/>
        </w:rPr>
      </w:pPr>
      <w:r>
        <w:rPr>
          <w:spacing w:val="-17"/>
          <w:sz w:val="24"/>
          <w:szCs w:val="24"/>
        </w:rPr>
        <w:t>A、井室砌筑</w:t>
      </w:r>
    </w:p>
    <w:p w14:paraId="159829B9">
      <w:pPr>
        <w:pStyle w:val="2"/>
        <w:spacing w:before="115" w:line="278" w:lineRule="auto"/>
        <w:ind w:left="1456" w:right="1412" w:firstLine="447"/>
        <w:rPr>
          <w:sz w:val="24"/>
          <w:szCs w:val="24"/>
        </w:rPr>
      </w:pPr>
      <w:r>
        <w:rPr>
          <w:spacing w:val="-22"/>
          <w:sz w:val="24"/>
          <w:szCs w:val="24"/>
        </w:rPr>
        <w:t>1、井室一般用机砖砌筑在整体水泥混凝土基础上，不</w:t>
      </w:r>
      <w:r>
        <w:rPr>
          <w:spacing w:val="-23"/>
          <w:sz w:val="24"/>
          <w:szCs w:val="24"/>
        </w:rPr>
        <w:t>应利用管道平基，再帮宽的办法做井</w:t>
      </w:r>
      <w:r>
        <w:rPr>
          <w:spacing w:val="-20"/>
          <w:sz w:val="24"/>
          <w:szCs w:val="24"/>
        </w:rPr>
        <w:t>基。应在挖槽时，就计算好检查井的准确位置，浇筑管道混凝土平基时，应将检查井井基宽度</w:t>
      </w:r>
      <w:r>
        <w:rPr>
          <w:spacing w:val="-17"/>
          <w:sz w:val="24"/>
          <w:szCs w:val="24"/>
        </w:rPr>
        <w:t>一次浇够。</w:t>
      </w:r>
    </w:p>
    <w:p w14:paraId="5AC532A9">
      <w:pPr>
        <w:pStyle w:val="2"/>
        <w:spacing w:before="118" w:line="262" w:lineRule="auto"/>
        <w:ind w:left="1457" w:right="1414" w:firstLine="431"/>
        <w:rPr>
          <w:sz w:val="24"/>
          <w:szCs w:val="24"/>
        </w:rPr>
      </w:pPr>
      <w:r>
        <w:rPr>
          <w:spacing w:val="-22"/>
          <w:sz w:val="24"/>
          <w:szCs w:val="24"/>
        </w:rPr>
        <w:t>2、井室内的流槽砌砖，应交错插入井墙，使井墙与流槽形成整体。不应先砌井墙，</w:t>
      </w:r>
      <w:r>
        <w:rPr>
          <w:spacing w:val="-23"/>
          <w:sz w:val="24"/>
          <w:szCs w:val="24"/>
        </w:rPr>
        <w:t>然后再</w:t>
      </w:r>
      <w:r>
        <w:rPr>
          <w:spacing w:val="-21"/>
          <w:sz w:val="24"/>
          <w:szCs w:val="24"/>
        </w:rPr>
        <w:t>堆砌流槽，造成流槽与井墙分离。</w:t>
      </w:r>
    </w:p>
    <w:p w14:paraId="22179574">
      <w:pPr>
        <w:pStyle w:val="2"/>
        <w:spacing w:before="117" w:line="278" w:lineRule="auto"/>
        <w:ind w:left="1455" w:right="1411" w:firstLine="434"/>
        <w:rPr>
          <w:sz w:val="24"/>
          <w:szCs w:val="24"/>
        </w:rPr>
      </w:pPr>
      <w:r>
        <w:rPr>
          <w:spacing w:val="-22"/>
          <w:sz w:val="24"/>
          <w:szCs w:val="24"/>
        </w:rPr>
        <w:t>3、流槽应砌（砖）、抹（面）成与上下游管径相同的半圆弧形，不应无流槽，也不应</w:t>
      </w:r>
      <w:r>
        <w:rPr>
          <w:spacing w:val="-23"/>
          <w:sz w:val="24"/>
          <w:szCs w:val="24"/>
        </w:rPr>
        <w:t>砌成</w:t>
      </w:r>
      <w:r>
        <w:rPr>
          <w:spacing w:val="-20"/>
          <w:sz w:val="24"/>
          <w:szCs w:val="24"/>
        </w:rPr>
        <w:t>梯形或矩形。同时，流槽过水断面不应小于上游和下游管径的过水断面。井底坡度和高程应符</w:t>
      </w:r>
      <w:r>
        <w:rPr>
          <w:spacing w:val="-18"/>
          <w:sz w:val="24"/>
          <w:szCs w:val="24"/>
        </w:rPr>
        <w:t>合设计要求。</w:t>
      </w:r>
    </w:p>
    <w:p w14:paraId="3241AA45">
      <w:pPr>
        <w:pStyle w:val="2"/>
        <w:spacing w:before="114" w:line="278" w:lineRule="auto"/>
        <w:ind w:left="1456" w:right="1351" w:firstLine="428"/>
        <w:rPr>
          <w:sz w:val="24"/>
          <w:szCs w:val="24"/>
        </w:rPr>
      </w:pPr>
      <w:r>
        <w:rPr>
          <w:spacing w:val="-22"/>
          <w:sz w:val="24"/>
          <w:szCs w:val="24"/>
        </w:rPr>
        <w:t>4、圆井的砌筑，应掌握井墙竖直度和圆顺度；掌握井室几何尺寸不超质量标准；砌筑砂浆</w:t>
      </w:r>
      <w:r>
        <w:rPr>
          <w:spacing w:val="-23"/>
          <w:sz w:val="24"/>
          <w:szCs w:val="24"/>
        </w:rPr>
        <w:t>应饱满（包括竖缝</w:t>
      </w:r>
      <w:r>
        <w:rPr>
          <w:spacing w:val="-27"/>
          <w:sz w:val="24"/>
          <w:szCs w:val="24"/>
        </w:rPr>
        <w:t>），</w:t>
      </w:r>
      <w:r>
        <w:rPr>
          <w:spacing w:val="-23"/>
          <w:sz w:val="24"/>
          <w:szCs w:val="24"/>
        </w:rPr>
        <w:t>特别是污水管道的检查井（包括雨、污合流检查井</w:t>
      </w:r>
      <w:r>
        <w:rPr>
          <w:spacing w:val="-27"/>
          <w:sz w:val="24"/>
          <w:szCs w:val="24"/>
        </w:rPr>
        <w:t>），</w:t>
      </w:r>
      <w:r>
        <w:rPr>
          <w:spacing w:val="-23"/>
          <w:sz w:val="24"/>
          <w:szCs w:val="24"/>
        </w:rPr>
        <w:t>更应</w:t>
      </w:r>
      <w:r>
        <w:rPr>
          <w:spacing w:val="-24"/>
          <w:sz w:val="24"/>
          <w:szCs w:val="24"/>
        </w:rPr>
        <w:t>使砌缝饱满，</w:t>
      </w:r>
      <w:r>
        <w:rPr>
          <w:spacing w:val="-21"/>
          <w:sz w:val="24"/>
          <w:szCs w:val="24"/>
        </w:rPr>
        <w:t>防止井壁渗水，保证带井闭水成功。</w:t>
      </w:r>
    </w:p>
    <w:p w14:paraId="583C8EDA">
      <w:pPr>
        <w:pStyle w:val="2"/>
        <w:spacing w:before="119" w:line="262" w:lineRule="auto"/>
        <w:ind w:left="1455" w:right="1411" w:firstLine="434"/>
        <w:rPr>
          <w:sz w:val="24"/>
          <w:szCs w:val="24"/>
        </w:rPr>
      </w:pPr>
      <w:r>
        <w:rPr>
          <w:spacing w:val="-22"/>
          <w:sz w:val="24"/>
          <w:szCs w:val="24"/>
        </w:rPr>
        <w:t>5、水泥砂浆抹面要掌握厚度、均匀、平整、密实。抹完后要封闭井口，以保持井室湿</w:t>
      </w:r>
      <w:r>
        <w:rPr>
          <w:spacing w:val="-23"/>
          <w:sz w:val="24"/>
          <w:szCs w:val="24"/>
        </w:rPr>
        <w:t>润养</w:t>
      </w:r>
      <w:r>
        <w:rPr>
          <w:spacing w:val="-20"/>
          <w:sz w:val="24"/>
          <w:szCs w:val="24"/>
        </w:rPr>
        <w:t>护，不使抹面造成裂缝、空鼓。</w:t>
      </w:r>
    </w:p>
    <w:p w14:paraId="03A0C83F">
      <w:pPr>
        <w:pStyle w:val="2"/>
        <w:spacing w:before="119" w:line="219" w:lineRule="auto"/>
        <w:ind w:left="1880"/>
        <w:rPr>
          <w:sz w:val="24"/>
          <w:szCs w:val="24"/>
        </w:rPr>
      </w:pPr>
      <w:r>
        <w:rPr>
          <w:spacing w:val="-19"/>
          <w:sz w:val="24"/>
          <w:szCs w:val="24"/>
        </w:rPr>
        <w:t>B、井室收口砌筑</w:t>
      </w:r>
    </w:p>
    <w:p w14:paraId="1951977E">
      <w:pPr>
        <w:pStyle w:val="2"/>
        <w:spacing w:before="115" w:line="262" w:lineRule="auto"/>
        <w:ind w:left="1464" w:right="1412" w:firstLine="438"/>
        <w:rPr>
          <w:sz w:val="24"/>
          <w:szCs w:val="24"/>
        </w:rPr>
      </w:pPr>
      <w:r>
        <w:rPr>
          <w:spacing w:val="-21"/>
          <w:sz w:val="24"/>
          <w:szCs w:val="24"/>
        </w:rPr>
        <w:t>1、检查井设计规定：收口最大收进尺寸不超过50mm，为了</w:t>
      </w:r>
      <w:r>
        <w:rPr>
          <w:spacing w:val="-22"/>
          <w:sz w:val="24"/>
          <w:szCs w:val="24"/>
        </w:rPr>
        <w:t>保证不超过这个数值，一般宜按</w:t>
      </w:r>
      <w:r>
        <w:rPr>
          <w:spacing w:val="-16"/>
          <w:sz w:val="24"/>
          <w:szCs w:val="24"/>
        </w:rPr>
        <w:t>每层收进40mm掌握，较容易保证。</w:t>
      </w:r>
    </w:p>
    <w:p w14:paraId="06C99269">
      <w:pPr>
        <w:pStyle w:val="2"/>
        <w:spacing w:before="120" w:line="277" w:lineRule="auto"/>
        <w:ind w:left="1458" w:right="1412" w:firstLine="430"/>
        <w:rPr>
          <w:sz w:val="24"/>
          <w:szCs w:val="24"/>
        </w:rPr>
      </w:pPr>
      <w:r>
        <w:rPr>
          <w:spacing w:val="-22"/>
          <w:sz w:val="24"/>
          <w:szCs w:val="24"/>
        </w:rPr>
        <w:t>2、如果管道浅，检查井必然性也浅，当井深尺寸不能满足收口高度，或满足了收口高度以</w:t>
      </w:r>
      <w:r>
        <w:rPr>
          <w:spacing w:val="-20"/>
          <w:sz w:val="24"/>
          <w:szCs w:val="24"/>
        </w:rPr>
        <w:t>后，井室缩小到难以使用时，可以采用四面收口，减少一半收口高度，来加大井室的办法。至</w:t>
      </w:r>
      <w:r>
        <w:rPr>
          <w:spacing w:val="-21"/>
          <w:sz w:val="24"/>
          <w:szCs w:val="24"/>
        </w:rPr>
        <w:t>于浅到什么程度可采用四面收口，没有统一规定，可根据</w:t>
      </w:r>
      <w:r>
        <w:rPr>
          <w:spacing w:val="-22"/>
          <w:sz w:val="24"/>
          <w:szCs w:val="24"/>
        </w:rPr>
        <w:t>当地情况掌握。</w:t>
      </w:r>
    </w:p>
    <w:p w14:paraId="317196B9">
      <w:pPr>
        <w:pStyle w:val="2"/>
        <w:spacing w:before="118" w:line="262" w:lineRule="auto"/>
        <w:ind w:left="1460" w:right="1411" w:firstLine="430"/>
        <w:rPr>
          <w:sz w:val="24"/>
          <w:szCs w:val="24"/>
        </w:rPr>
      </w:pPr>
      <w:r>
        <w:rPr>
          <w:spacing w:val="-22"/>
          <w:sz w:val="24"/>
          <w:szCs w:val="24"/>
        </w:rPr>
        <w:t>3、收口时，每收进一层，变化一个直径，为了保证每层直径准确，每一块砖收进尺寸</w:t>
      </w:r>
      <w:r>
        <w:rPr>
          <w:spacing w:val="-23"/>
          <w:sz w:val="24"/>
          <w:szCs w:val="24"/>
        </w:rPr>
        <w:t>要均</w:t>
      </w:r>
      <w:r>
        <w:rPr>
          <w:spacing w:val="-22"/>
          <w:sz w:val="24"/>
          <w:szCs w:val="24"/>
        </w:rPr>
        <w:t>匀，每层缩小后的直径圆都要保持圆润。</w:t>
      </w:r>
    </w:p>
    <w:p w14:paraId="083C75F4">
      <w:pPr>
        <w:pStyle w:val="2"/>
        <w:spacing w:before="120" w:line="285" w:lineRule="auto"/>
        <w:ind w:left="1455" w:right="1415" w:firstLine="429"/>
        <w:rPr>
          <w:sz w:val="24"/>
          <w:szCs w:val="24"/>
        </w:rPr>
      </w:pPr>
      <w:r>
        <w:rPr>
          <w:spacing w:val="-21"/>
          <w:sz w:val="24"/>
          <w:szCs w:val="24"/>
        </w:rPr>
        <w:t>4、收口部分容易出现竖向通缝或鱼鳞缝（错缝尺寸小于1/4块</w:t>
      </w:r>
      <w:r>
        <w:rPr>
          <w:spacing w:val="-22"/>
          <w:sz w:val="24"/>
          <w:szCs w:val="24"/>
        </w:rPr>
        <w:t>丁砖</w:t>
      </w:r>
      <w:r>
        <w:rPr>
          <w:spacing w:val="-26"/>
          <w:sz w:val="24"/>
          <w:szCs w:val="24"/>
        </w:rPr>
        <w:t>），</w:t>
      </w:r>
      <w:r>
        <w:rPr>
          <w:spacing w:val="-22"/>
          <w:sz w:val="24"/>
          <w:szCs w:val="24"/>
        </w:rPr>
        <w:t>应打制六分砖块，</w:t>
      </w:r>
      <w:r>
        <w:rPr>
          <w:spacing w:val="-20"/>
          <w:sz w:val="24"/>
          <w:szCs w:val="24"/>
        </w:rPr>
        <w:t>以满足错缝要求，不使出现通缝或鱼鳞缝。收口收进部分的竖缝，为防止形成空缝，应在砌砖时在砖的接砌一侧面挑上灰浆，将竖缝推挤严密。勾缝时再进一步填严抹平，保证收口部分的砖层能结合成整体受力。</w:t>
      </w:r>
    </w:p>
    <w:p w14:paraId="43554CA9">
      <w:pPr>
        <w:pStyle w:val="2"/>
        <w:spacing w:before="118" w:line="218" w:lineRule="auto"/>
        <w:ind w:left="1883"/>
        <w:rPr>
          <w:sz w:val="24"/>
          <w:szCs w:val="24"/>
        </w:rPr>
      </w:pPr>
      <w:r>
        <w:rPr>
          <w:spacing w:val="-17"/>
          <w:sz w:val="24"/>
          <w:szCs w:val="24"/>
        </w:rPr>
        <w:t>C、井筒砌筑</w:t>
      </w:r>
    </w:p>
    <w:p w14:paraId="05E065C1">
      <w:pPr>
        <w:pStyle w:val="2"/>
        <w:spacing w:before="115" w:line="215" w:lineRule="auto"/>
        <w:ind w:left="1895"/>
        <w:rPr>
          <w:sz w:val="24"/>
          <w:szCs w:val="24"/>
        </w:rPr>
      </w:pPr>
      <w:r>
        <w:rPr>
          <w:spacing w:val="-19"/>
          <w:sz w:val="24"/>
          <w:szCs w:val="24"/>
        </w:rPr>
        <w:t>井筒的功能是管理、维护者上下井的通道，是埋在道路路面结构层里的构筑</w:t>
      </w:r>
      <w:r>
        <w:rPr>
          <w:spacing w:val="-20"/>
          <w:sz w:val="24"/>
          <w:szCs w:val="24"/>
        </w:rPr>
        <w:t>物，是检查排</w:t>
      </w:r>
    </w:p>
    <w:p w14:paraId="394D8BD1">
      <w:pPr>
        <w:spacing w:line="215" w:lineRule="auto"/>
        <w:rPr>
          <w:sz w:val="24"/>
          <w:szCs w:val="24"/>
        </w:rPr>
        <w:sectPr>
          <w:footerReference r:id="rId78" w:type="default"/>
          <w:pgSz w:w="11907" w:h="16839"/>
          <w:pgMar w:top="954" w:right="4" w:bottom="1038" w:left="0" w:header="499" w:footer="357" w:gutter="0"/>
          <w:pgBorders>
            <w:top w:val="none" w:sz="0" w:space="0"/>
            <w:left w:val="none" w:sz="0" w:space="0"/>
            <w:bottom w:val="none" w:sz="0" w:space="0"/>
            <w:right w:val="none" w:sz="0" w:space="0"/>
          </w:pgBorders>
          <w:cols w:space="720" w:num="1"/>
        </w:sectPr>
      </w:pPr>
    </w:p>
    <w:p w14:paraId="679925E2">
      <w:pPr>
        <w:spacing w:line="248" w:lineRule="auto"/>
        <w:rPr>
          <w:rFonts w:ascii="Arial"/>
          <w:sz w:val="21"/>
        </w:rPr>
      </w:pPr>
    </w:p>
    <w:p w14:paraId="4068B891">
      <w:pPr>
        <w:pStyle w:val="2"/>
        <w:spacing w:before="78" w:line="308" w:lineRule="auto"/>
        <w:ind w:left="1455" w:right="1353"/>
        <w:jc w:val="both"/>
        <w:rPr>
          <w:sz w:val="24"/>
          <w:szCs w:val="24"/>
        </w:rPr>
      </w:pPr>
      <w:r>
        <w:rPr>
          <w:spacing w:val="-20"/>
          <w:sz w:val="24"/>
          <w:szCs w:val="24"/>
        </w:rPr>
        <w:t>水管渠工程质量时首先看到的部分。所以检查井井筒砌筑质量应该要求更好一些。检查井筒多</w:t>
      </w:r>
      <w:r>
        <w:rPr>
          <w:spacing w:val="-23"/>
          <w:sz w:val="24"/>
          <w:szCs w:val="24"/>
        </w:rPr>
        <w:t>为清水墙，因此应该要求所砌筑的砖墙外露</w:t>
      </w:r>
      <w:r>
        <w:rPr>
          <w:spacing w:val="-24"/>
          <w:sz w:val="24"/>
          <w:szCs w:val="24"/>
        </w:rPr>
        <w:t>面完整、无缺损、色泽一致、无花斑；砂浆应饱满，</w:t>
      </w:r>
      <w:r>
        <w:rPr>
          <w:spacing w:val="-20"/>
          <w:sz w:val="24"/>
          <w:szCs w:val="24"/>
        </w:rPr>
        <w:t>无空缝；砖体牢固，无松动；砌筑圆润，无折线；墙面平整，无凹凸。注意随砌随搂缝，勾缝</w:t>
      </w:r>
      <w:r>
        <w:rPr>
          <w:spacing w:val="-22"/>
          <w:sz w:val="24"/>
          <w:szCs w:val="24"/>
        </w:rPr>
        <w:t>时深浅要一致（凹入墙面3～4mm）平整、密实、</w:t>
      </w:r>
      <w:r>
        <w:rPr>
          <w:spacing w:val="-23"/>
          <w:sz w:val="24"/>
          <w:szCs w:val="24"/>
        </w:rPr>
        <w:t>光洁。污水检查井如处在有丰富地表水的地带，</w:t>
      </w:r>
      <w:r>
        <w:rPr>
          <w:spacing w:val="-22"/>
          <w:sz w:val="24"/>
          <w:szCs w:val="24"/>
        </w:rPr>
        <w:t>应加做外抹面。</w:t>
      </w:r>
    </w:p>
    <w:p w14:paraId="47E50D21">
      <w:pPr>
        <w:pStyle w:val="2"/>
        <w:spacing w:before="1" w:line="215" w:lineRule="auto"/>
        <w:ind w:left="1903"/>
        <w:rPr>
          <w:sz w:val="24"/>
          <w:szCs w:val="24"/>
        </w:rPr>
      </w:pPr>
      <w:r>
        <w:rPr>
          <w:spacing w:val="-21"/>
          <w:sz w:val="24"/>
          <w:szCs w:val="24"/>
        </w:rPr>
        <w:t>1、排水管道应进行闭水试验，检查其密闭性情况。</w:t>
      </w:r>
    </w:p>
    <w:p w14:paraId="40DD0BF1">
      <w:pPr>
        <w:pStyle w:val="2"/>
        <w:spacing w:before="117" w:line="290" w:lineRule="auto"/>
        <w:ind w:left="1456" w:right="1411" w:firstLine="436"/>
        <w:rPr>
          <w:sz w:val="24"/>
          <w:szCs w:val="24"/>
        </w:rPr>
      </w:pPr>
      <w:r>
        <w:rPr>
          <w:spacing w:val="-22"/>
          <w:sz w:val="24"/>
          <w:szCs w:val="24"/>
        </w:rPr>
        <w:t>（1）管线施工完毕后，必须按规定进行闭水试验。闭水试验采用从上游往下游</w:t>
      </w:r>
      <w:r>
        <w:rPr>
          <w:spacing w:val="-23"/>
          <w:sz w:val="24"/>
          <w:szCs w:val="24"/>
        </w:rPr>
        <w:t>分段进行。</w:t>
      </w:r>
      <w:r>
        <w:rPr>
          <w:spacing w:val="-18"/>
          <w:sz w:val="24"/>
          <w:szCs w:val="24"/>
        </w:rPr>
        <w:t>每段闭水试验长度不宜大于500米。闭水试验的水位应为试验段上游管内顶以上2米，采用带</w:t>
      </w:r>
      <w:r>
        <w:rPr>
          <w:spacing w:val="-20"/>
          <w:sz w:val="24"/>
          <w:szCs w:val="24"/>
        </w:rPr>
        <w:t>井试验的方式。闭水试验前，管道及检查井结构应检验合格，将各支线管口堵严保证不漏水，</w:t>
      </w:r>
      <w:r>
        <w:rPr>
          <w:spacing w:val="-22"/>
          <w:sz w:val="24"/>
          <w:szCs w:val="24"/>
        </w:rPr>
        <w:t>每段上游管口砌砖抹灰封严（封堵应经过承压计算）。实验程序：注水浸泡1</w:t>
      </w:r>
      <w:r>
        <w:rPr>
          <w:spacing w:val="-23"/>
          <w:sz w:val="24"/>
          <w:szCs w:val="24"/>
        </w:rPr>
        <w:t>～2天→闭水试验</w:t>
      </w:r>
      <w:r>
        <w:rPr>
          <w:spacing w:val="-19"/>
          <w:sz w:val="24"/>
          <w:szCs w:val="24"/>
        </w:rPr>
        <w:t>（不少于30分钟）→计算试验渗水量→检验合格→管线勾头。</w:t>
      </w:r>
    </w:p>
    <w:p w14:paraId="255220EA">
      <w:pPr>
        <w:pStyle w:val="2"/>
        <w:spacing w:before="118" w:line="262" w:lineRule="auto"/>
        <w:ind w:left="1458" w:right="1409" w:firstLine="434"/>
        <w:rPr>
          <w:sz w:val="24"/>
          <w:szCs w:val="24"/>
        </w:rPr>
      </w:pPr>
      <w:r>
        <w:rPr>
          <w:spacing w:val="-22"/>
          <w:sz w:val="24"/>
          <w:szCs w:val="24"/>
        </w:rPr>
        <w:t>（2）根据管线长短可采用分段闭水，分段回填。如闭水试验不符合要求，必须对渗水</w:t>
      </w:r>
      <w:r>
        <w:rPr>
          <w:spacing w:val="-23"/>
          <w:sz w:val="24"/>
          <w:szCs w:val="24"/>
        </w:rPr>
        <w:t>部位</w:t>
      </w:r>
      <w:r>
        <w:rPr>
          <w:spacing w:val="-21"/>
          <w:sz w:val="24"/>
          <w:szCs w:val="24"/>
        </w:rPr>
        <w:t>进行修补处理，合格后方可回填沟槽。</w:t>
      </w:r>
    </w:p>
    <w:p w14:paraId="39BFAC7E">
      <w:pPr>
        <w:pStyle w:val="2"/>
        <w:spacing w:before="84" w:line="216" w:lineRule="auto"/>
        <w:ind w:left="1981"/>
        <w:outlineLvl w:val="2"/>
        <w:rPr>
          <w:sz w:val="28"/>
          <w:szCs w:val="28"/>
        </w:rPr>
      </w:pPr>
      <w:bookmarkStart w:id="46" w:name="bookmark46"/>
      <w:bookmarkEnd w:id="46"/>
      <w:r>
        <w:rPr>
          <w:b/>
          <w:bCs/>
          <w:spacing w:val="-22"/>
          <w:sz w:val="28"/>
          <w:szCs w:val="28"/>
        </w:rPr>
        <w:t>五、弱电综合管迁移恢复</w:t>
      </w:r>
    </w:p>
    <w:p w14:paraId="4DF7A19C">
      <w:pPr>
        <w:pStyle w:val="2"/>
        <w:spacing w:before="104" w:line="220" w:lineRule="auto"/>
        <w:ind w:left="1903"/>
        <w:rPr>
          <w:sz w:val="24"/>
          <w:szCs w:val="24"/>
        </w:rPr>
      </w:pPr>
      <w:r>
        <w:rPr>
          <w:spacing w:val="-17"/>
          <w:sz w:val="24"/>
          <w:szCs w:val="24"/>
        </w:rPr>
        <w:t>1、电气配管</w:t>
      </w:r>
    </w:p>
    <w:tbl>
      <w:tblPr>
        <w:tblStyle w:val="6"/>
        <w:tblW w:w="8549" w:type="dxa"/>
        <w:tblInd w:w="1678" w:type="dxa"/>
        <w:tblBorders>
          <w:top w:val="single" w:color="5B9BD5" w:sz="4" w:space="0"/>
          <w:left w:val="single" w:color="5B9BD5" w:sz="4" w:space="0"/>
          <w:bottom w:val="single" w:color="5B9BD5" w:sz="4" w:space="0"/>
          <w:right w:val="single" w:color="5B9BD5" w:sz="4" w:space="0"/>
          <w:insideH w:val="single" w:color="5B9BD5" w:sz="4" w:space="0"/>
          <w:insideV w:val="single" w:color="5B9BD5" w:sz="4" w:space="0"/>
        </w:tblBorders>
        <w:tblLayout w:type="fixed"/>
        <w:tblCellMar>
          <w:top w:w="0" w:type="dxa"/>
          <w:left w:w="0" w:type="dxa"/>
          <w:bottom w:w="0" w:type="dxa"/>
          <w:right w:w="0" w:type="dxa"/>
        </w:tblCellMar>
      </w:tblPr>
      <w:tblGrid>
        <w:gridCol w:w="8549"/>
      </w:tblGrid>
      <w:tr w14:paraId="67E6481A">
        <w:tblPrEx>
          <w:tblBorders>
            <w:top w:val="single" w:color="5B9BD5" w:sz="4" w:space="0"/>
            <w:left w:val="single" w:color="5B9BD5" w:sz="4" w:space="0"/>
            <w:bottom w:val="single" w:color="5B9BD5" w:sz="4" w:space="0"/>
            <w:right w:val="single" w:color="5B9BD5" w:sz="4" w:space="0"/>
            <w:insideH w:val="single" w:color="5B9BD5" w:sz="4" w:space="0"/>
            <w:insideV w:val="single" w:color="5B9BD5" w:sz="4" w:space="0"/>
          </w:tblBorders>
        </w:tblPrEx>
        <w:trPr>
          <w:trHeight w:val="4065" w:hRule="atLeast"/>
        </w:trPr>
        <w:tc>
          <w:tcPr>
            <w:tcW w:w="8549" w:type="dxa"/>
            <w:tcBorders>
              <w:bottom w:val="single" w:color="000000" w:sz="2" w:space="0"/>
            </w:tcBorders>
            <w:shd w:val="clear" w:color="auto" w:fill="DEEAF6"/>
            <w:vAlign w:val="top"/>
          </w:tcPr>
          <w:p w14:paraId="60D95868">
            <w:pPr>
              <w:spacing w:line="92" w:lineRule="exact"/>
            </w:pPr>
            <w:r>
              <w:rPr>
                <w:position w:val="-1"/>
              </w:rPr>
              <w:pict>
                <v:group id="_x0000_s1636" o:spid="_x0000_s1636" o:spt="203" style="height:5.2pt;width:425.85pt;" coordsize="8517,103">
                  <o:lock v:ext="edit"/>
                  <v:shape id="_x0000_s1637" o:spid="_x0000_s1637" style="position:absolute;left:0;top:0;height:15;width:44;" fillcolor="#5B9BD5" filled="t" stroked="f" coordsize="44,15" path="m0,14l43,14,43,0,0,0,0,14xe">
                    <v:path/>
                    <v:fill on="t" focussize="0,0"/>
                    <v:stroke on="f"/>
                    <v:imagedata o:title=""/>
                    <o:lock v:ext="edit"/>
                  </v:shape>
                  <v:shape id="_x0000_s1638" o:spid="_x0000_s1638" style="position:absolute;left:43;top:43;height:60;width:8474;" fillcolor="#DEEAF6" filled="t" stroked="f" coordsize="8474,60" path="m0,60l8473,60,8473,0,0,0,0,60xe">
                    <v:path/>
                    <v:fill on="t" focussize="0,0"/>
                    <v:stroke on="f"/>
                    <v:imagedata o:title=""/>
                    <o:lock v:ext="edit"/>
                  </v:shape>
                  <w10:wrap type="none"/>
                  <w10:anchorlock/>
                </v:group>
              </w:pict>
            </w:r>
          </w:p>
          <w:p w14:paraId="60188CDA">
            <w:pPr>
              <w:spacing w:line="3772" w:lineRule="exact"/>
              <w:ind w:firstLine="68"/>
            </w:pPr>
            <w:r>
              <w:rPr>
                <w:position w:val="-75"/>
              </w:rPr>
              <w:drawing>
                <wp:inline distT="0" distB="0" distL="0" distR="0">
                  <wp:extent cx="5337810" cy="2395220"/>
                  <wp:effectExtent l="0" t="0" r="0" b="0"/>
                  <wp:docPr id="482" name="IM 482"/>
                  <wp:cNvGraphicFramePr/>
                  <a:graphic xmlns:a="http://schemas.openxmlformats.org/drawingml/2006/main">
                    <a:graphicData uri="http://schemas.openxmlformats.org/drawingml/2006/picture">
                      <pic:pic xmlns:pic="http://schemas.openxmlformats.org/drawingml/2006/picture">
                        <pic:nvPicPr>
                          <pic:cNvPr id="482" name="IM 482"/>
                          <pic:cNvPicPr/>
                        </pic:nvPicPr>
                        <pic:blipFill>
                          <a:blip r:embed="rId530"/>
                          <a:stretch>
                            <a:fillRect/>
                          </a:stretch>
                        </pic:blipFill>
                        <pic:spPr>
                          <a:xfrm>
                            <a:off x="0" y="0"/>
                            <a:ext cx="5338444" cy="2395537"/>
                          </a:xfrm>
                          <a:prstGeom prst="rect">
                            <a:avLst/>
                          </a:prstGeom>
                        </pic:spPr>
                      </pic:pic>
                    </a:graphicData>
                  </a:graphic>
                </wp:inline>
              </w:drawing>
            </w:r>
          </w:p>
        </w:tc>
      </w:tr>
      <w:tr w14:paraId="4199E430">
        <w:tblPrEx>
          <w:tblBorders>
            <w:top w:val="single" w:color="5B9BD5" w:sz="4" w:space="0"/>
            <w:left w:val="single" w:color="5B9BD5" w:sz="4" w:space="0"/>
            <w:bottom w:val="single" w:color="5B9BD5" w:sz="4" w:space="0"/>
            <w:right w:val="single" w:color="5B9BD5" w:sz="4" w:space="0"/>
            <w:insideH w:val="single" w:color="5B9BD5" w:sz="4" w:space="0"/>
            <w:insideV w:val="single" w:color="5B9BD5" w:sz="4" w:space="0"/>
          </w:tblBorders>
        </w:tblPrEx>
        <w:trPr>
          <w:trHeight w:val="2503" w:hRule="atLeast"/>
        </w:trPr>
        <w:tc>
          <w:tcPr>
            <w:tcW w:w="8549" w:type="dxa"/>
            <w:tcBorders>
              <w:top w:val="single" w:color="000000" w:sz="2" w:space="0"/>
              <w:left w:val="single" w:color="1C456A" w:sz="4" w:space="0"/>
              <w:bottom w:val="single" w:color="1C456A" w:sz="4" w:space="0"/>
              <w:right w:val="single" w:color="1C456A" w:sz="4" w:space="0"/>
            </w:tcBorders>
            <w:vAlign w:val="top"/>
          </w:tcPr>
          <w:p w14:paraId="479F0103">
            <w:pPr>
              <w:pStyle w:val="7"/>
              <w:spacing w:before="113" w:line="216" w:lineRule="auto"/>
              <w:ind w:left="1448"/>
            </w:pPr>
            <w:r>
              <w:pict>
                <v:shape id="_x0000_s1639" o:spid="_x0000_s1639" style="position:absolute;left:0pt;margin-left:-0.25pt;margin-top:125.2pt;height:0.75pt;width:2.2pt;mso-position-horizontal-relative:page;mso-position-vertical-relative:page;z-index:251783168;mso-width-relative:page;mso-height-relative:page;" fillcolor="#5B9BD5" filled="t" stroked="f" coordsize="44,15" path="m0,14l43,14,43,0,0,0,0,14xe">
                  <v:path/>
                  <v:fill on="t" focussize="0,0"/>
                  <v:stroke on="f"/>
                  <v:imagedata o:title=""/>
                  <o:lock v:ext="edit"/>
                </v:shape>
              </w:pict>
            </w:r>
            <w:r>
              <w:rPr>
                <w:spacing w:val="-12"/>
              </w:rPr>
              <w:t>路灯常用PE塑料管型号为DN40~DN75，镀锌钢管为DN100。</w:t>
            </w:r>
          </w:p>
          <w:p w14:paraId="55BA5817">
            <w:pPr>
              <w:pStyle w:val="7"/>
              <w:spacing w:before="184" w:line="217" w:lineRule="auto"/>
              <w:ind w:left="85"/>
            </w:pPr>
            <w:r>
              <w:rPr>
                <w:spacing w:val="-24"/>
              </w:rPr>
              <w:t>控制要点：电缆保护管不应有孔洞、裂缝和明显的凹凸不平，内壁应光滑无毛刺，直线段</w:t>
            </w:r>
          </w:p>
          <w:p w14:paraId="33AE668A">
            <w:pPr>
              <w:pStyle w:val="7"/>
              <w:spacing w:before="186" w:line="216" w:lineRule="auto"/>
              <w:ind w:left="85"/>
            </w:pPr>
            <w:r>
              <w:rPr>
                <w:spacing w:val="-22"/>
              </w:rPr>
              <w:t>保护管内径不应小于电缆外径的1.5倍，有弯曲时不应小于2倍。塑料管连接采用套接或</w:t>
            </w:r>
          </w:p>
          <w:p w14:paraId="3BEC4799">
            <w:pPr>
              <w:pStyle w:val="7"/>
              <w:spacing w:before="185" w:line="215" w:lineRule="auto"/>
              <w:ind w:left="84"/>
            </w:pPr>
            <w:r>
              <w:rPr>
                <w:spacing w:val="-24"/>
              </w:rPr>
              <w:t>插接时，在插接面上应涂以胶粘剂粘牢密封；采用套接时套接两端应采用密封措施。金属</w:t>
            </w:r>
          </w:p>
          <w:p w14:paraId="4B7DB0F1">
            <w:pPr>
              <w:pStyle w:val="7"/>
              <w:spacing w:before="187" w:line="217" w:lineRule="auto"/>
              <w:ind w:left="1803"/>
            </w:pPr>
            <w:r>
              <w:rPr>
                <w:spacing w:val="-22"/>
              </w:rPr>
              <w:t>电缆保护管不宜直接对焊，宜采用套管焊接的方式。</w:t>
            </w:r>
          </w:p>
        </w:tc>
      </w:tr>
    </w:tbl>
    <w:p w14:paraId="0B6B9207">
      <w:pPr>
        <w:pStyle w:val="2"/>
        <w:spacing w:before="115" w:line="262" w:lineRule="auto"/>
        <w:ind w:left="1485" w:right="1410" w:firstLine="417"/>
        <w:rPr>
          <w:sz w:val="24"/>
          <w:szCs w:val="24"/>
        </w:rPr>
      </w:pPr>
      <w:r>
        <w:rPr>
          <w:spacing w:val="-24"/>
          <w:sz w:val="24"/>
          <w:szCs w:val="24"/>
        </w:rPr>
        <w:t>1.1当线路暗配时，电线保护管宜沿最近的路线敷设，并应减少弯曲。埋入建筑物，构筑物</w:t>
      </w:r>
      <w:r>
        <w:rPr>
          <w:spacing w:val="-19"/>
          <w:sz w:val="24"/>
          <w:szCs w:val="24"/>
        </w:rPr>
        <w:t>内的电线保护管，与建筑物、构筑物表面的距离不应小于15-30mm。</w:t>
      </w:r>
    </w:p>
    <w:p w14:paraId="47E0DE8F">
      <w:pPr>
        <w:pStyle w:val="2"/>
        <w:spacing w:before="118" w:line="217" w:lineRule="auto"/>
        <w:ind w:left="1903"/>
        <w:rPr>
          <w:sz w:val="24"/>
          <w:szCs w:val="24"/>
        </w:rPr>
      </w:pPr>
      <w:r>
        <w:rPr>
          <w:spacing w:val="-20"/>
          <w:sz w:val="24"/>
          <w:szCs w:val="24"/>
        </w:rPr>
        <w:t>1.2电线保护管的弯曲处，不应的折皱、凹陷和裂缝，且弯扁程度不应大于管外径的10%。</w:t>
      </w:r>
    </w:p>
    <w:p w14:paraId="58F1512C">
      <w:pPr>
        <w:pStyle w:val="2"/>
        <w:spacing w:before="117" w:line="217" w:lineRule="auto"/>
        <w:ind w:left="1903"/>
        <w:rPr>
          <w:sz w:val="24"/>
          <w:szCs w:val="24"/>
        </w:rPr>
      </w:pPr>
      <w:r>
        <w:rPr>
          <w:spacing w:val="-23"/>
          <w:sz w:val="24"/>
          <w:szCs w:val="24"/>
        </w:rPr>
        <w:t>1.3当电线保护管遇下列情况之一时，中间应增设接线盒或拉线</w:t>
      </w:r>
      <w:r>
        <w:rPr>
          <w:spacing w:val="-24"/>
          <w:sz w:val="24"/>
          <w:szCs w:val="24"/>
        </w:rPr>
        <w:t>盒，且接线盒或拉线盒的位</w:t>
      </w:r>
    </w:p>
    <w:p w14:paraId="30D9AE2B">
      <w:pPr>
        <w:spacing w:line="217" w:lineRule="auto"/>
        <w:rPr>
          <w:sz w:val="24"/>
          <w:szCs w:val="24"/>
        </w:rPr>
        <w:sectPr>
          <w:footerReference r:id="rId79" w:type="default"/>
          <w:pgSz w:w="11907" w:h="16839"/>
          <w:pgMar w:top="954" w:right="4" w:bottom="1038" w:left="0" w:header="499" w:footer="357" w:gutter="0"/>
          <w:pgBorders>
            <w:top w:val="none" w:sz="0" w:space="0"/>
            <w:left w:val="none" w:sz="0" w:space="0"/>
            <w:bottom w:val="none" w:sz="0" w:space="0"/>
            <w:right w:val="none" w:sz="0" w:space="0"/>
          </w:pgBorders>
          <w:cols w:space="720" w:num="1"/>
        </w:sectPr>
      </w:pPr>
    </w:p>
    <w:p w14:paraId="0680975A">
      <w:pPr>
        <w:spacing w:line="251" w:lineRule="auto"/>
        <w:rPr>
          <w:rFonts w:ascii="Arial"/>
          <w:sz w:val="21"/>
        </w:rPr>
      </w:pPr>
    </w:p>
    <w:p w14:paraId="3D2E7B2A">
      <w:pPr>
        <w:pStyle w:val="2"/>
        <w:spacing w:before="78" w:line="217" w:lineRule="auto"/>
        <w:ind w:left="1457"/>
        <w:rPr>
          <w:sz w:val="24"/>
          <w:szCs w:val="24"/>
        </w:rPr>
      </w:pPr>
      <w:r>
        <w:rPr>
          <w:spacing w:val="-19"/>
          <w:sz w:val="24"/>
          <w:szCs w:val="24"/>
        </w:rPr>
        <w:t>置应便于穿线：</w:t>
      </w:r>
    </w:p>
    <w:p w14:paraId="1783FE1D">
      <w:pPr>
        <w:pStyle w:val="2"/>
        <w:spacing w:before="119" w:line="217" w:lineRule="auto"/>
        <w:ind w:left="1885"/>
        <w:rPr>
          <w:sz w:val="24"/>
          <w:szCs w:val="24"/>
        </w:rPr>
      </w:pPr>
      <w:r>
        <w:rPr>
          <w:spacing w:val="-16"/>
          <w:sz w:val="24"/>
          <w:szCs w:val="24"/>
        </w:rPr>
        <w:t>①管长度每超过30米，无弯曲。</w:t>
      </w:r>
    </w:p>
    <w:p w14:paraId="24D599AB">
      <w:pPr>
        <w:pStyle w:val="2"/>
        <w:spacing w:before="116" w:line="217" w:lineRule="auto"/>
        <w:ind w:left="1884"/>
        <w:rPr>
          <w:sz w:val="24"/>
          <w:szCs w:val="24"/>
        </w:rPr>
      </w:pPr>
      <w:r>
        <w:rPr>
          <w:spacing w:val="-16"/>
          <w:sz w:val="24"/>
          <w:szCs w:val="24"/>
        </w:rPr>
        <w:t>②管长度每超过20米，有一个弯曲。</w:t>
      </w:r>
    </w:p>
    <w:p w14:paraId="17B4104A">
      <w:pPr>
        <w:pStyle w:val="2"/>
        <w:spacing w:before="118" w:line="217" w:lineRule="auto"/>
        <w:ind w:left="1884"/>
        <w:rPr>
          <w:sz w:val="24"/>
          <w:szCs w:val="24"/>
        </w:rPr>
      </w:pPr>
      <w:r>
        <w:rPr>
          <w:spacing w:val="-20"/>
          <w:sz w:val="24"/>
          <w:szCs w:val="24"/>
        </w:rPr>
        <w:t>③管长度每超过15米，有二个弯曲。</w:t>
      </w:r>
    </w:p>
    <w:p w14:paraId="35F4FC83">
      <w:pPr>
        <w:pStyle w:val="2"/>
        <w:spacing w:before="118" w:line="217" w:lineRule="auto"/>
        <w:ind w:left="1884"/>
        <w:rPr>
          <w:sz w:val="24"/>
          <w:szCs w:val="24"/>
        </w:rPr>
      </w:pPr>
      <w:r>
        <w:rPr>
          <w:spacing w:val="-17"/>
          <w:sz w:val="24"/>
          <w:szCs w:val="24"/>
        </w:rPr>
        <w:t>④管长度每超过8米，有三个弯曲。</w:t>
      </w:r>
    </w:p>
    <w:p w14:paraId="1AA8D8F9">
      <w:pPr>
        <w:pStyle w:val="2"/>
        <w:spacing w:before="115" w:line="217" w:lineRule="auto"/>
        <w:ind w:left="1903"/>
        <w:rPr>
          <w:sz w:val="24"/>
          <w:szCs w:val="24"/>
        </w:rPr>
      </w:pPr>
      <w:r>
        <w:rPr>
          <w:spacing w:val="-22"/>
          <w:sz w:val="24"/>
          <w:szCs w:val="24"/>
        </w:rPr>
        <w:t>1.4电气保护管的管口和切口要平滑，不应有毛刺，钢管连接处的管内表面应平整、光滑。</w:t>
      </w:r>
    </w:p>
    <w:p w14:paraId="64B7390F">
      <w:pPr>
        <w:pStyle w:val="2"/>
        <w:spacing w:before="119" w:line="263" w:lineRule="auto"/>
        <w:ind w:left="1460" w:right="1412" w:firstLine="443"/>
        <w:rPr>
          <w:sz w:val="24"/>
          <w:szCs w:val="24"/>
        </w:rPr>
      </w:pPr>
      <w:r>
        <w:rPr>
          <w:spacing w:val="-19"/>
          <w:sz w:val="24"/>
          <w:szCs w:val="24"/>
        </w:rPr>
        <w:t>1.5在TN-S、TN-C-S系统中，金属电线保护管和金属盒（箱）必须与保护地线（PE线）有可靠的电气连接。</w:t>
      </w:r>
    </w:p>
    <w:p w14:paraId="1669FDFE">
      <w:pPr>
        <w:pStyle w:val="2"/>
        <w:spacing w:before="115" w:line="218" w:lineRule="auto"/>
        <w:ind w:left="1903"/>
        <w:rPr>
          <w:sz w:val="24"/>
          <w:szCs w:val="24"/>
        </w:rPr>
      </w:pPr>
      <w:r>
        <w:rPr>
          <w:spacing w:val="-26"/>
          <w:sz w:val="24"/>
          <w:szCs w:val="24"/>
        </w:rPr>
        <w:t>1.6明配管或吊顶内敷设时，其支架、吊架、吊钩等设置完成，与管固定可采用管卡等卡紧。</w:t>
      </w:r>
    </w:p>
    <w:p w14:paraId="0BE01C6D">
      <w:pPr>
        <w:pStyle w:val="2"/>
        <w:spacing w:before="118" w:line="217" w:lineRule="auto"/>
        <w:ind w:left="1888"/>
        <w:rPr>
          <w:sz w:val="24"/>
          <w:szCs w:val="24"/>
        </w:rPr>
      </w:pPr>
      <w:r>
        <w:drawing>
          <wp:anchor distT="0" distB="0" distL="0" distR="0" simplePos="0" relativeHeight="251785216" behindDoc="0" locked="0" layoutInCell="1" allowOverlap="1">
            <wp:simplePos x="0" y="0"/>
            <wp:positionH relativeFrom="column">
              <wp:posOffset>1111885</wp:posOffset>
            </wp:positionH>
            <wp:positionV relativeFrom="paragraph">
              <wp:posOffset>319405</wp:posOffset>
            </wp:positionV>
            <wp:extent cx="5439410" cy="3493135"/>
            <wp:effectExtent l="0" t="0" r="0" b="0"/>
            <wp:wrapNone/>
            <wp:docPr id="486" name="IM 486"/>
            <wp:cNvGraphicFramePr/>
            <a:graphic xmlns:a="http://schemas.openxmlformats.org/drawingml/2006/main">
              <a:graphicData uri="http://schemas.openxmlformats.org/drawingml/2006/picture">
                <pic:pic xmlns:pic="http://schemas.openxmlformats.org/drawingml/2006/picture">
                  <pic:nvPicPr>
                    <pic:cNvPr id="486" name="IM 486"/>
                    <pic:cNvPicPr/>
                  </pic:nvPicPr>
                  <pic:blipFill>
                    <a:blip r:embed="rId531"/>
                    <a:stretch>
                      <a:fillRect/>
                    </a:stretch>
                  </pic:blipFill>
                  <pic:spPr>
                    <a:xfrm>
                      <a:off x="0" y="0"/>
                      <a:ext cx="5439409" cy="3493134"/>
                    </a:xfrm>
                    <a:prstGeom prst="rect">
                      <a:avLst/>
                    </a:prstGeom>
                  </pic:spPr>
                </pic:pic>
              </a:graphicData>
            </a:graphic>
          </wp:anchor>
        </w:drawing>
      </w:r>
      <w:r>
        <w:rPr>
          <w:spacing w:val="-18"/>
          <w:sz w:val="24"/>
          <w:szCs w:val="24"/>
        </w:rPr>
        <w:t>2、电气穿线及连接</w:t>
      </w:r>
    </w:p>
    <w:p w14:paraId="1945FC54">
      <w:pPr>
        <w:spacing w:line="37" w:lineRule="auto"/>
        <w:rPr>
          <w:rFonts w:ascii="Arial"/>
          <w:sz w:val="2"/>
        </w:rPr>
      </w:pPr>
    </w:p>
    <w:tbl>
      <w:tblPr>
        <w:tblStyle w:val="6"/>
        <w:tblW w:w="8549" w:type="dxa"/>
        <w:tblInd w:w="1678" w:type="dxa"/>
        <w:tblBorders>
          <w:top w:val="single" w:color="5B9BD5" w:sz="4" w:space="0"/>
          <w:left w:val="single" w:color="5B9BD5" w:sz="4" w:space="0"/>
          <w:bottom w:val="single" w:color="5B9BD5" w:sz="4" w:space="0"/>
          <w:right w:val="single" w:color="5B9BD5" w:sz="4" w:space="0"/>
          <w:insideH w:val="single" w:color="5B9BD5" w:sz="4" w:space="0"/>
          <w:insideV w:val="single" w:color="5B9BD5" w:sz="4" w:space="0"/>
        </w:tblBorders>
        <w:tblLayout w:type="fixed"/>
        <w:tblCellMar>
          <w:top w:w="0" w:type="dxa"/>
          <w:left w:w="0" w:type="dxa"/>
          <w:bottom w:w="0" w:type="dxa"/>
          <w:right w:w="0" w:type="dxa"/>
        </w:tblCellMar>
      </w:tblPr>
      <w:tblGrid>
        <w:gridCol w:w="8549"/>
      </w:tblGrid>
      <w:tr w14:paraId="3BAB1FFA">
        <w:tblPrEx>
          <w:tblBorders>
            <w:top w:val="single" w:color="5B9BD5" w:sz="4" w:space="0"/>
            <w:left w:val="single" w:color="5B9BD5" w:sz="4" w:space="0"/>
            <w:bottom w:val="single" w:color="5B9BD5" w:sz="4" w:space="0"/>
            <w:right w:val="single" w:color="5B9BD5" w:sz="4" w:space="0"/>
            <w:insideH w:val="single" w:color="5B9BD5" w:sz="4" w:space="0"/>
            <w:insideV w:val="single" w:color="5B9BD5" w:sz="4" w:space="0"/>
          </w:tblBorders>
          <w:tblCellMar>
            <w:top w:w="0" w:type="dxa"/>
            <w:left w:w="0" w:type="dxa"/>
            <w:bottom w:w="0" w:type="dxa"/>
            <w:right w:w="0" w:type="dxa"/>
          </w:tblCellMar>
        </w:tblPrEx>
        <w:trPr>
          <w:trHeight w:val="5794" w:hRule="atLeast"/>
        </w:trPr>
        <w:tc>
          <w:tcPr>
            <w:tcW w:w="8549" w:type="dxa"/>
            <w:tcBorders>
              <w:bottom w:val="single" w:color="000000" w:sz="2" w:space="0"/>
            </w:tcBorders>
            <w:shd w:val="clear" w:color="auto" w:fill="DEEAF6"/>
            <w:vAlign w:val="top"/>
          </w:tcPr>
          <w:p w14:paraId="12EB2DD7">
            <w:pPr>
              <w:spacing w:before="33" w:line="60" w:lineRule="exact"/>
              <w:ind w:firstLine="33"/>
            </w:pPr>
            <w:r>
              <w:rPr>
                <w:position w:val="-1"/>
              </w:rPr>
              <w:pict>
                <v:shape id="_x0000_s1640" o:spid="_x0000_s1640" style="height:3pt;width:423.7pt;" fillcolor="#DEEAF6" filled="t" stroked="f" coordsize="8474,60" path="m0,60l8473,60,8473,0,0,0,0,60xe">
                  <v:path/>
                  <v:fill on="t" focussize="0,0"/>
                  <v:stroke on="f"/>
                  <v:imagedata o:title=""/>
                  <o:lock v:ext="edit"/>
                  <w10:wrap type="none"/>
                  <w10:anchorlock/>
                </v:shape>
              </w:pict>
            </w:r>
          </w:p>
        </w:tc>
      </w:tr>
      <w:tr w14:paraId="0BE51E85">
        <w:tblPrEx>
          <w:tblBorders>
            <w:top w:val="single" w:color="5B9BD5" w:sz="4" w:space="0"/>
            <w:left w:val="single" w:color="5B9BD5" w:sz="4" w:space="0"/>
            <w:bottom w:val="single" w:color="5B9BD5" w:sz="4" w:space="0"/>
            <w:right w:val="single" w:color="5B9BD5" w:sz="4" w:space="0"/>
            <w:insideH w:val="single" w:color="5B9BD5" w:sz="4" w:space="0"/>
            <w:insideV w:val="single" w:color="5B9BD5" w:sz="4" w:space="0"/>
          </w:tblBorders>
          <w:tblCellMar>
            <w:top w:w="0" w:type="dxa"/>
            <w:left w:w="0" w:type="dxa"/>
            <w:bottom w:w="0" w:type="dxa"/>
            <w:right w:w="0" w:type="dxa"/>
          </w:tblCellMar>
        </w:tblPrEx>
        <w:trPr>
          <w:trHeight w:val="2032" w:hRule="atLeast"/>
        </w:trPr>
        <w:tc>
          <w:tcPr>
            <w:tcW w:w="8549" w:type="dxa"/>
            <w:tcBorders>
              <w:top w:val="single" w:color="000000" w:sz="2" w:space="0"/>
              <w:left w:val="single" w:color="1C456A" w:sz="4" w:space="0"/>
              <w:bottom w:val="single" w:color="1C456A" w:sz="4" w:space="0"/>
              <w:right w:val="single" w:color="1C456A" w:sz="4" w:space="0"/>
            </w:tcBorders>
            <w:vAlign w:val="top"/>
          </w:tcPr>
          <w:p w14:paraId="2EE6E6A8">
            <w:pPr>
              <w:pStyle w:val="7"/>
              <w:spacing w:before="110" w:line="218" w:lineRule="auto"/>
              <w:ind w:left="3767"/>
            </w:pPr>
            <w:r>
              <w:pict>
                <v:shape id="_x0000_s1641" o:spid="_x0000_s1641" style="position:absolute;left:0pt;margin-left:-0.25pt;margin-top:101.65pt;height:0.75pt;width:2.2pt;mso-position-horizontal-relative:page;mso-position-vertical-relative:page;z-index:251784192;mso-width-relative:page;mso-height-relative:page;" fillcolor="#5B9BD5" filled="t" stroked="f" coordsize="44,15" path="m0,14l43,14,43,0,0,0,0,14xe">
                  <v:path/>
                  <v:fill on="t" focussize="0,0"/>
                  <v:stroke on="f"/>
                  <v:imagedata o:title=""/>
                  <o:lock v:ext="edit"/>
                </v:shape>
              </w:pict>
            </w:r>
            <w:r>
              <w:rPr>
                <w:spacing w:val="-22"/>
              </w:rPr>
              <w:t>电缆准备：</w:t>
            </w:r>
          </w:p>
          <w:p w14:paraId="7EF3C710">
            <w:pPr>
              <w:pStyle w:val="7"/>
              <w:spacing w:before="182" w:line="215" w:lineRule="auto"/>
              <w:ind w:left="534"/>
            </w:pPr>
            <w:r>
              <w:rPr>
                <w:spacing w:val="-21"/>
              </w:rPr>
              <w:t>1、电缆运输装卸过程中严禁将电缆盘直接由车上推下。电缆盘不</w:t>
            </w:r>
            <w:r>
              <w:rPr>
                <w:spacing w:val="-22"/>
              </w:rPr>
              <w:t>应平放运输。</w:t>
            </w:r>
          </w:p>
          <w:p w14:paraId="6ECED871">
            <w:pPr>
              <w:pStyle w:val="7"/>
              <w:spacing w:before="187" w:line="289" w:lineRule="auto"/>
              <w:ind w:left="3745" w:right="52" w:hanging="3663"/>
            </w:pPr>
            <w:r>
              <w:rPr>
                <w:spacing w:val="-21"/>
              </w:rPr>
              <w:t>2、电缆敷设前应检查型号、电压、规格符合设</w:t>
            </w:r>
            <w:r>
              <w:rPr>
                <w:spacing w:val="-22"/>
              </w:rPr>
              <w:t>计，外观无损伤，绝缘良好。金属部分防</w:t>
            </w:r>
            <w:r>
              <w:rPr>
                <w:spacing w:val="-18"/>
              </w:rPr>
              <w:t>腐层完整。</w:t>
            </w:r>
          </w:p>
        </w:tc>
      </w:tr>
    </w:tbl>
    <w:p w14:paraId="295257A2">
      <w:pPr>
        <w:pStyle w:val="2"/>
        <w:spacing w:before="114" w:line="217" w:lineRule="auto"/>
        <w:ind w:left="1888"/>
        <w:rPr>
          <w:sz w:val="24"/>
          <w:szCs w:val="24"/>
        </w:rPr>
      </w:pPr>
      <w:r>
        <w:rPr>
          <w:spacing w:val="-20"/>
          <w:sz w:val="24"/>
          <w:szCs w:val="24"/>
        </w:rPr>
        <w:t>2.1导线规格型号必须符合设计要求，未经设计单位同</w:t>
      </w:r>
      <w:r>
        <w:rPr>
          <w:spacing w:val="-21"/>
          <w:sz w:val="24"/>
          <w:szCs w:val="24"/>
        </w:rPr>
        <w:t>意不得更改。</w:t>
      </w:r>
    </w:p>
    <w:p w14:paraId="116CD474">
      <w:pPr>
        <w:pStyle w:val="2"/>
        <w:spacing w:before="118" w:line="262" w:lineRule="auto"/>
        <w:ind w:left="1458" w:right="1409" w:firstLine="430"/>
        <w:rPr>
          <w:sz w:val="24"/>
          <w:szCs w:val="24"/>
        </w:rPr>
      </w:pPr>
      <w:r>
        <w:rPr>
          <w:spacing w:val="-23"/>
          <w:sz w:val="24"/>
          <w:szCs w:val="24"/>
        </w:rPr>
        <w:t>2.2管内穿线宜在建筑物抹灰，粉刷及地面工程结束后进行，穿线前应</w:t>
      </w:r>
      <w:r>
        <w:rPr>
          <w:spacing w:val="-24"/>
          <w:sz w:val="24"/>
          <w:szCs w:val="24"/>
        </w:rPr>
        <w:t>将电线管内的积水及</w:t>
      </w:r>
      <w:r>
        <w:rPr>
          <w:spacing w:val="-19"/>
          <w:sz w:val="24"/>
          <w:szCs w:val="24"/>
        </w:rPr>
        <w:t>杂物清除干净。</w:t>
      </w:r>
    </w:p>
    <w:p w14:paraId="6DE643F4">
      <w:pPr>
        <w:pStyle w:val="2"/>
        <w:spacing w:before="119" w:line="262" w:lineRule="auto"/>
        <w:ind w:left="1458" w:right="1410" w:firstLine="430"/>
        <w:rPr>
          <w:sz w:val="24"/>
          <w:szCs w:val="24"/>
        </w:rPr>
      </w:pPr>
      <w:r>
        <w:rPr>
          <w:spacing w:val="-23"/>
          <w:sz w:val="24"/>
          <w:szCs w:val="24"/>
        </w:rPr>
        <w:t>2.3不同系统、不同电压等级，不同电压电流类别的线路不应穿同一管内，同一交流回</w:t>
      </w:r>
      <w:r>
        <w:rPr>
          <w:spacing w:val="-24"/>
          <w:sz w:val="24"/>
          <w:szCs w:val="24"/>
        </w:rPr>
        <w:t>路的</w:t>
      </w:r>
      <w:r>
        <w:rPr>
          <w:spacing w:val="-20"/>
          <w:sz w:val="24"/>
          <w:szCs w:val="24"/>
        </w:rPr>
        <w:t>导线应穿于同一钢管内。</w:t>
      </w:r>
    </w:p>
    <w:p w14:paraId="79FB2828">
      <w:pPr>
        <w:pStyle w:val="2"/>
        <w:spacing w:before="119" w:line="215" w:lineRule="auto"/>
        <w:ind w:left="1888"/>
        <w:rPr>
          <w:sz w:val="24"/>
          <w:szCs w:val="24"/>
        </w:rPr>
      </w:pPr>
      <w:r>
        <w:rPr>
          <w:spacing w:val="-19"/>
          <w:sz w:val="24"/>
          <w:szCs w:val="24"/>
        </w:rPr>
        <w:t>2.4导线在管内或线槽内不应有接头或扭结。直线槽内导线，每隔2M应用扎带固定。</w:t>
      </w:r>
    </w:p>
    <w:p w14:paraId="3C487532">
      <w:pPr>
        <w:spacing w:line="215" w:lineRule="auto"/>
        <w:rPr>
          <w:sz w:val="24"/>
          <w:szCs w:val="24"/>
        </w:rPr>
        <w:sectPr>
          <w:footerReference r:id="rId80" w:type="default"/>
          <w:pgSz w:w="11907" w:h="16839"/>
          <w:pgMar w:top="954" w:right="4" w:bottom="1038" w:left="0" w:header="499" w:footer="357" w:gutter="0"/>
          <w:pgBorders>
            <w:top w:val="none" w:sz="0" w:space="0"/>
            <w:left w:val="none" w:sz="0" w:space="0"/>
            <w:bottom w:val="none" w:sz="0" w:space="0"/>
            <w:right w:val="none" w:sz="0" w:space="0"/>
          </w:pgBorders>
          <w:cols w:space="720" w:num="1"/>
        </w:sectPr>
      </w:pPr>
    </w:p>
    <w:p w14:paraId="68D2C08B">
      <w:pPr>
        <w:spacing w:line="249" w:lineRule="auto"/>
        <w:rPr>
          <w:rFonts w:ascii="Arial"/>
          <w:sz w:val="21"/>
        </w:rPr>
      </w:pPr>
    </w:p>
    <w:p w14:paraId="7EE1BD00">
      <w:pPr>
        <w:pStyle w:val="2"/>
        <w:spacing w:before="78" w:line="278" w:lineRule="auto"/>
        <w:ind w:left="1451" w:right="1409" w:firstLine="436"/>
        <w:rPr>
          <w:sz w:val="24"/>
          <w:szCs w:val="24"/>
        </w:rPr>
      </w:pPr>
      <w:r>
        <w:rPr>
          <w:spacing w:val="-17"/>
          <w:sz w:val="24"/>
          <w:szCs w:val="24"/>
        </w:rPr>
        <w:t>2.5导线截面10mm2及以下单股铜芯线可直接与设备、器具的端子连接。截面为2.2.2</w:t>
      </w:r>
      <w:r>
        <w:rPr>
          <w:spacing w:val="-18"/>
          <w:sz w:val="24"/>
          <w:szCs w:val="24"/>
        </w:rPr>
        <w:t>mm2</w:t>
      </w:r>
      <w:r>
        <w:rPr>
          <w:spacing w:val="-8"/>
          <w:sz w:val="24"/>
          <w:szCs w:val="24"/>
        </w:rPr>
        <w:t>及以下的多股铜线或芯线应先拧紧搪锡或压接端子，后再与设备、器</w:t>
      </w:r>
      <w:r>
        <w:rPr>
          <w:spacing w:val="-9"/>
          <w:sz w:val="24"/>
          <w:szCs w:val="24"/>
        </w:rPr>
        <w:t>具的端子连接，大于</w:t>
      </w:r>
      <w:r>
        <w:rPr>
          <w:spacing w:val="-19"/>
          <w:sz w:val="24"/>
          <w:szCs w:val="24"/>
        </w:rPr>
        <w:t>2.2.2mm2多股线的终端应焊接或压接端子后再与设备、</w:t>
      </w:r>
      <w:r>
        <w:rPr>
          <w:spacing w:val="-20"/>
          <w:sz w:val="24"/>
          <w:szCs w:val="24"/>
        </w:rPr>
        <w:t>器具的端子连接。</w:t>
      </w:r>
    </w:p>
    <w:p w14:paraId="7392D9D4">
      <w:pPr>
        <w:pStyle w:val="2"/>
        <w:spacing w:before="116" w:line="263" w:lineRule="auto"/>
        <w:ind w:left="1463" w:right="1388" w:firstLine="424"/>
        <w:rPr>
          <w:sz w:val="24"/>
          <w:szCs w:val="24"/>
        </w:rPr>
      </w:pPr>
      <w:r>
        <w:rPr>
          <w:spacing w:val="-22"/>
          <w:sz w:val="24"/>
          <w:szCs w:val="24"/>
        </w:rPr>
        <w:t>2.6导线穿入钢管时，管口处应装设护线套保护导</w:t>
      </w:r>
      <w:r>
        <w:rPr>
          <w:spacing w:val="-23"/>
          <w:sz w:val="24"/>
          <w:szCs w:val="24"/>
        </w:rPr>
        <w:t>线。在不进入接线盒（箱）的垂直管口，</w:t>
      </w:r>
      <w:r>
        <w:rPr>
          <w:spacing w:val="-21"/>
          <w:sz w:val="24"/>
          <w:szCs w:val="24"/>
        </w:rPr>
        <w:t>穿入导线后应将管口密封。</w:t>
      </w:r>
    </w:p>
    <w:p w14:paraId="16E10E1A">
      <w:pPr>
        <w:pStyle w:val="2"/>
        <w:spacing w:before="114" w:line="264" w:lineRule="auto"/>
        <w:ind w:left="1455" w:right="1412" w:firstLine="432"/>
        <w:rPr>
          <w:sz w:val="24"/>
          <w:szCs w:val="24"/>
        </w:rPr>
      </w:pPr>
      <w:r>
        <w:rPr>
          <w:spacing w:val="-18"/>
          <w:sz w:val="24"/>
          <w:szCs w:val="24"/>
        </w:rPr>
        <w:t>2.7导线敷设后，应对每回路的导线用2.</w:t>
      </w:r>
      <w:r>
        <w:rPr>
          <w:spacing w:val="-19"/>
          <w:sz w:val="24"/>
          <w:szCs w:val="24"/>
        </w:rPr>
        <w:t>200V的的兆欧表测量绝缘电阻，其对地绝缘电阻</w:t>
      </w:r>
      <w:r>
        <w:rPr>
          <w:spacing w:val="-13"/>
          <w:sz w:val="24"/>
          <w:szCs w:val="24"/>
        </w:rPr>
        <w:t>值不应小于0.2.2MΩ。</w:t>
      </w:r>
    </w:p>
    <w:p w14:paraId="5EDD8E01">
      <w:pPr>
        <w:pStyle w:val="2"/>
        <w:spacing w:before="116" w:line="215" w:lineRule="auto"/>
        <w:ind w:left="1888"/>
        <w:rPr>
          <w:sz w:val="24"/>
          <w:szCs w:val="24"/>
        </w:rPr>
      </w:pPr>
      <w:r>
        <w:rPr>
          <w:spacing w:val="-21"/>
          <w:sz w:val="24"/>
          <w:szCs w:val="24"/>
        </w:rPr>
        <w:t>2.8在顶棚内由接线盒引向器具的绝缘导线应用可绕金属软管保护，导线不应有裸露部分。</w:t>
      </w:r>
    </w:p>
    <w:p w14:paraId="7B2FD0CD">
      <w:pPr>
        <w:pStyle w:val="2"/>
        <w:spacing w:before="119" w:line="216" w:lineRule="auto"/>
        <w:ind w:left="1888"/>
        <w:rPr>
          <w:sz w:val="24"/>
          <w:szCs w:val="24"/>
        </w:rPr>
      </w:pPr>
      <w:r>
        <w:rPr>
          <w:spacing w:val="-21"/>
          <w:sz w:val="24"/>
          <w:szCs w:val="24"/>
        </w:rPr>
        <w:t>2.9同一建筑物内当配线的颜色选择应统一和规范，相线之间，保</w:t>
      </w:r>
      <w:r>
        <w:rPr>
          <w:spacing w:val="-22"/>
          <w:sz w:val="24"/>
          <w:szCs w:val="24"/>
        </w:rPr>
        <w:t>护地线和零线颜色不同。</w:t>
      </w:r>
    </w:p>
    <w:p w14:paraId="77C17CDF">
      <w:pPr>
        <w:pStyle w:val="2"/>
        <w:spacing w:before="68" w:line="216" w:lineRule="auto"/>
        <w:ind w:left="4032"/>
        <w:outlineLvl w:val="1"/>
        <w:rPr>
          <w:sz w:val="30"/>
          <w:szCs w:val="30"/>
        </w:rPr>
      </w:pPr>
      <w:bookmarkStart w:id="47" w:name="bookmark47"/>
      <w:bookmarkEnd w:id="47"/>
      <w:r>
        <w:rPr>
          <w:b/>
          <w:bCs/>
          <w:color w:val="0070C0"/>
          <w:spacing w:val="-24"/>
          <w:sz w:val="30"/>
          <w:szCs w:val="30"/>
        </w:rPr>
        <w:t>第七节、现状沥青道路恢复工程</w:t>
      </w:r>
    </w:p>
    <w:p w14:paraId="40ABB795">
      <w:pPr>
        <w:pStyle w:val="2"/>
        <w:spacing w:before="68" w:line="219" w:lineRule="auto"/>
        <w:ind w:left="1981"/>
        <w:outlineLvl w:val="2"/>
        <w:rPr>
          <w:sz w:val="28"/>
          <w:szCs w:val="28"/>
        </w:rPr>
      </w:pPr>
      <w:bookmarkStart w:id="48" w:name="bookmark48"/>
      <w:bookmarkEnd w:id="48"/>
      <w:r>
        <w:rPr>
          <w:b/>
          <w:bCs/>
          <w:spacing w:val="-21"/>
          <w:sz w:val="28"/>
          <w:szCs w:val="28"/>
        </w:rPr>
        <w:t>一、土方工程</w:t>
      </w:r>
    </w:p>
    <w:p w14:paraId="59163107">
      <w:pPr>
        <w:pStyle w:val="2"/>
        <w:spacing w:before="101" w:line="217" w:lineRule="auto"/>
        <w:ind w:left="1903"/>
        <w:rPr>
          <w:sz w:val="24"/>
          <w:szCs w:val="24"/>
        </w:rPr>
      </w:pPr>
      <w:r>
        <w:rPr>
          <w:spacing w:val="-20"/>
          <w:sz w:val="24"/>
          <w:szCs w:val="24"/>
        </w:rPr>
        <w:t>1、土方平衡</w:t>
      </w:r>
    </w:p>
    <w:p w14:paraId="0A233330">
      <w:pPr>
        <w:pStyle w:val="2"/>
        <w:spacing w:before="118" w:line="217" w:lineRule="auto"/>
        <w:ind w:left="1894"/>
        <w:rPr>
          <w:sz w:val="24"/>
          <w:szCs w:val="24"/>
        </w:rPr>
      </w:pPr>
      <w:r>
        <w:rPr>
          <w:spacing w:val="-21"/>
          <w:sz w:val="24"/>
          <w:szCs w:val="24"/>
        </w:rPr>
        <w:t>依据本工程挖填方量情况，为便于施工，降低成本，根据</w:t>
      </w:r>
      <w:r>
        <w:rPr>
          <w:spacing w:val="-22"/>
          <w:sz w:val="24"/>
          <w:szCs w:val="24"/>
        </w:rPr>
        <w:t>本工程特点制定土方平衡方案。</w:t>
      </w:r>
    </w:p>
    <w:p w14:paraId="20A377FB">
      <w:pPr>
        <w:pStyle w:val="2"/>
        <w:spacing w:before="120" w:line="307" w:lineRule="auto"/>
        <w:ind w:left="1456" w:right="1460" w:firstLine="437"/>
        <w:rPr>
          <w:sz w:val="24"/>
          <w:szCs w:val="24"/>
        </w:rPr>
      </w:pPr>
      <w:r>
        <w:rPr>
          <w:spacing w:val="-21"/>
          <w:sz w:val="24"/>
          <w:szCs w:val="24"/>
        </w:rPr>
        <w:t>根据工程土料质量情况确定回填土料的利用。对于表层的建筑垃圾采取一次性清除外运，</w:t>
      </w:r>
      <w:r>
        <w:rPr>
          <w:spacing w:val="-19"/>
          <w:sz w:val="24"/>
          <w:szCs w:val="24"/>
        </w:rPr>
        <w:t>避免发生二次运输。</w:t>
      </w:r>
    </w:p>
    <w:p w14:paraId="623DD486">
      <w:pPr>
        <w:pStyle w:val="2"/>
        <w:spacing w:before="3" w:line="285" w:lineRule="auto"/>
        <w:ind w:left="1455" w:right="1338" w:firstLine="437"/>
        <w:jc w:val="both"/>
        <w:rPr>
          <w:sz w:val="24"/>
          <w:szCs w:val="24"/>
        </w:rPr>
      </w:pPr>
      <w:r>
        <w:rPr>
          <w:spacing w:val="-20"/>
          <w:sz w:val="24"/>
          <w:szCs w:val="24"/>
        </w:rPr>
        <w:t>雨水沟槽开挖的土方大部分要作为沟槽回填土料，为降低工程成本，沟槽开挖的土方尽可能堆放于沟槽两侧，但应离开沟槽边坡一定距离，以确保沟槽边坡的稳定，同时，堆放土方时尽量集中，留出于吊装、运输钢筋砼管道工程所需要的位置。沟槽回填土方工序一般滞后于开</w:t>
      </w:r>
      <w:r>
        <w:rPr>
          <w:spacing w:val="-23"/>
          <w:sz w:val="24"/>
          <w:szCs w:val="24"/>
        </w:rPr>
        <w:t>挖工作，为降低工程成本，因此有必要处理好开挖与填筑的关系，使开挖与填筑</w:t>
      </w:r>
      <w:r>
        <w:rPr>
          <w:spacing w:val="-24"/>
          <w:sz w:val="24"/>
          <w:szCs w:val="24"/>
        </w:rPr>
        <w:t>工作相互协调。</w:t>
      </w:r>
    </w:p>
    <w:tbl>
      <w:tblPr>
        <w:tblStyle w:val="6"/>
        <w:tblW w:w="8557" w:type="dxa"/>
        <w:tblInd w:w="167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468"/>
        <w:gridCol w:w="4089"/>
      </w:tblGrid>
      <w:tr w14:paraId="4AD217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92" w:hRule="atLeast"/>
        </w:trPr>
        <w:tc>
          <w:tcPr>
            <w:tcW w:w="4468" w:type="dxa"/>
            <w:tcBorders>
              <w:top w:val="single" w:color="000000" w:sz="4" w:space="0"/>
              <w:left w:val="single" w:color="000000" w:sz="4" w:space="0"/>
            </w:tcBorders>
            <w:shd w:val="clear" w:color="auto" w:fill="DEEAF6"/>
            <w:vAlign w:val="top"/>
          </w:tcPr>
          <w:p w14:paraId="71969079">
            <w:pPr>
              <w:spacing w:line="93" w:lineRule="exact"/>
            </w:pPr>
            <w:r>
              <w:rPr>
                <w:position w:val="-1"/>
              </w:rPr>
              <w:pict>
                <v:group id="_x0000_s1642" o:spid="_x0000_s1642" o:spt="203" style="height:5.2pt;width:222.9pt;" coordsize="4457,103">
                  <o:lock v:ext="edit"/>
                  <v:shape id="_x0000_s1643" o:spid="_x0000_s1643" style="position:absolute;left:0;top:0;height:15;width:44;" fillcolor="#5B9BD5" filled="t" stroked="f" coordsize="44,15" path="m0,14l43,14,43,0,0,0,0,14xe">
                    <v:path/>
                    <v:fill on="t" focussize="0,0"/>
                    <v:stroke on="f"/>
                    <v:imagedata o:title=""/>
                    <o:lock v:ext="edit"/>
                  </v:shape>
                  <v:shape id="_x0000_s1644" o:spid="_x0000_s1644" style="position:absolute;left:43;top:43;height:60;width:4413;" fillcolor="#DEEAF6" filled="t" stroked="f" coordsize="4413,60" path="m0,60l4413,60,4413,0,0,0,0,60xe">
                    <v:path/>
                    <v:fill on="t" focussize="0,0"/>
                    <v:stroke on="f"/>
                    <v:imagedata o:title=""/>
                    <o:lock v:ext="edit"/>
                  </v:shape>
                  <w10:wrap type="none"/>
                  <w10:anchorlock/>
                </v:group>
              </w:pict>
            </w:r>
          </w:p>
          <w:p w14:paraId="5C6F351A">
            <w:pPr>
              <w:spacing w:before="37" w:line="3012" w:lineRule="exact"/>
              <w:ind w:firstLine="114"/>
            </w:pPr>
            <w:r>
              <w:rPr>
                <w:position w:val="-60"/>
              </w:rPr>
              <w:drawing>
                <wp:inline distT="0" distB="0" distL="0" distR="0">
                  <wp:extent cx="2696845" cy="1911985"/>
                  <wp:effectExtent l="0" t="0" r="0" b="0"/>
                  <wp:docPr id="490" name="IM 490"/>
                  <wp:cNvGraphicFramePr/>
                  <a:graphic xmlns:a="http://schemas.openxmlformats.org/drawingml/2006/main">
                    <a:graphicData uri="http://schemas.openxmlformats.org/drawingml/2006/picture">
                      <pic:pic xmlns:pic="http://schemas.openxmlformats.org/drawingml/2006/picture">
                        <pic:nvPicPr>
                          <pic:cNvPr id="490" name="IM 490"/>
                          <pic:cNvPicPr/>
                        </pic:nvPicPr>
                        <pic:blipFill>
                          <a:blip r:embed="rId532"/>
                          <a:stretch>
                            <a:fillRect/>
                          </a:stretch>
                        </pic:blipFill>
                        <pic:spPr>
                          <a:xfrm>
                            <a:off x="0" y="0"/>
                            <a:ext cx="2696972" cy="1912619"/>
                          </a:xfrm>
                          <a:prstGeom prst="rect">
                            <a:avLst/>
                          </a:prstGeom>
                        </pic:spPr>
                      </pic:pic>
                    </a:graphicData>
                  </a:graphic>
                </wp:inline>
              </w:drawing>
            </w:r>
          </w:p>
        </w:tc>
        <w:tc>
          <w:tcPr>
            <w:tcW w:w="4089" w:type="dxa"/>
            <w:tcBorders>
              <w:top w:val="single" w:color="5B9BD5" w:sz="4" w:space="0"/>
              <w:right w:val="single" w:color="5B9BD5" w:sz="4" w:space="0"/>
            </w:tcBorders>
            <w:shd w:val="clear" w:color="auto" w:fill="DEEAF6"/>
            <w:vAlign w:val="top"/>
          </w:tcPr>
          <w:p w14:paraId="4E4B1536">
            <w:pPr>
              <w:spacing w:line="91" w:lineRule="exact"/>
              <w:ind w:firstLine="25"/>
            </w:pPr>
            <w:r>
              <w:rPr>
                <w:position w:val="-2"/>
              </w:rPr>
              <w:pict>
                <v:group id="_x0000_s1645" o:spid="_x0000_s1645" o:spt="203" style="height:5.2pt;width:203.35pt;" coordsize="4067,103">
                  <o:lock v:ext="edit"/>
                  <v:shape id="_x0000_s1646" o:spid="_x0000_s1646" style="position:absolute;left:0;top:43;height:60;width:4023;" fillcolor="#DEEAF6" filled="t" stroked="f" coordsize="4023,60" path="m0,60l4023,60,4023,0,0,0,0,60xe">
                    <v:path/>
                    <v:fill on="t" focussize="0,0"/>
                    <v:stroke on="f"/>
                    <v:imagedata o:title=""/>
                    <o:lock v:ext="edit"/>
                  </v:shape>
                  <v:shape id="_x0000_s1647" o:spid="_x0000_s1647" style="position:absolute;left:4023;top:0;height:15;width:44;" fillcolor="#5B9BD5" filled="t" stroked="f" coordsize="44,15" path="m0,14l43,14,43,0,0,0,0,14xe">
                    <v:path/>
                    <v:fill on="t" focussize="0,0"/>
                    <v:stroke on="f"/>
                    <v:imagedata o:title=""/>
                    <o:lock v:ext="edit"/>
                  </v:shape>
                  <w10:wrap type="none"/>
                  <w10:anchorlock/>
                </v:group>
              </w:pict>
            </w:r>
          </w:p>
          <w:p w14:paraId="729167EA">
            <w:pPr>
              <w:spacing w:line="3094" w:lineRule="exact"/>
              <w:ind w:firstLine="76"/>
            </w:pPr>
            <w:r>
              <w:rPr>
                <w:position w:val="-61"/>
              </w:rPr>
              <w:drawing>
                <wp:inline distT="0" distB="0" distL="0" distR="0">
                  <wp:extent cx="2476500" cy="1964690"/>
                  <wp:effectExtent l="0" t="0" r="0" b="0"/>
                  <wp:docPr id="492" name="IM 492"/>
                  <wp:cNvGraphicFramePr/>
                  <a:graphic xmlns:a="http://schemas.openxmlformats.org/drawingml/2006/main">
                    <a:graphicData uri="http://schemas.openxmlformats.org/drawingml/2006/picture">
                      <pic:pic xmlns:pic="http://schemas.openxmlformats.org/drawingml/2006/picture">
                        <pic:nvPicPr>
                          <pic:cNvPr id="492" name="IM 492"/>
                          <pic:cNvPicPr/>
                        </pic:nvPicPr>
                        <pic:blipFill>
                          <a:blip r:embed="rId533"/>
                          <a:stretch>
                            <a:fillRect/>
                          </a:stretch>
                        </pic:blipFill>
                        <pic:spPr>
                          <a:xfrm>
                            <a:off x="0" y="0"/>
                            <a:ext cx="2476500" cy="1964753"/>
                          </a:xfrm>
                          <a:prstGeom prst="rect">
                            <a:avLst/>
                          </a:prstGeom>
                        </pic:spPr>
                      </pic:pic>
                    </a:graphicData>
                  </a:graphic>
                </wp:inline>
              </w:drawing>
            </w:r>
          </w:p>
        </w:tc>
      </w:tr>
      <w:tr w14:paraId="25F0F1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0" w:hRule="atLeast"/>
        </w:trPr>
        <w:tc>
          <w:tcPr>
            <w:tcW w:w="4468" w:type="dxa"/>
            <w:tcBorders>
              <w:left w:val="single" w:color="1C456A" w:sz="4" w:space="0"/>
              <w:bottom w:val="single" w:color="1C456A" w:sz="4" w:space="0"/>
            </w:tcBorders>
            <w:vAlign w:val="top"/>
          </w:tcPr>
          <w:p w14:paraId="1E85D271">
            <w:pPr>
              <w:pStyle w:val="7"/>
              <w:spacing w:before="105" w:line="219" w:lineRule="auto"/>
              <w:ind w:left="1403"/>
            </w:pPr>
            <w:r>
              <w:pict>
                <v:shape id="_x0000_s1648" o:spid="_x0000_s1648" style="position:absolute;left:0pt;margin-left:-0.2pt;margin-top:31.55pt;height:0.75pt;width:2.2pt;mso-position-horizontal-relative:page;mso-position-vertical-relative:page;z-index:251786240;mso-width-relative:page;mso-height-relative:page;" fillcolor="#5B9BD5" filled="t" stroked="f" coordsize="44,15" path="m0,14l43,14,43,0,0,0,0,14xe">
                  <v:path/>
                  <v:fill on="t" focussize="0,0"/>
                  <v:stroke on="f"/>
                  <v:imagedata o:title=""/>
                  <o:lock v:ext="edit"/>
                </v:shape>
              </w:pict>
            </w:r>
            <w:r>
              <w:rPr>
                <w:spacing w:val="-19"/>
              </w:rPr>
              <w:t>场地平整施工图1</w:t>
            </w:r>
          </w:p>
        </w:tc>
        <w:tc>
          <w:tcPr>
            <w:tcW w:w="4089" w:type="dxa"/>
            <w:tcBorders>
              <w:bottom w:val="single" w:color="5B9BD5" w:sz="4" w:space="0"/>
              <w:right w:val="single" w:color="5B9BD5" w:sz="4" w:space="0"/>
            </w:tcBorders>
            <w:vAlign w:val="top"/>
          </w:tcPr>
          <w:p w14:paraId="14F20162">
            <w:pPr>
              <w:pStyle w:val="7"/>
              <w:spacing w:before="105" w:line="219" w:lineRule="auto"/>
              <w:ind w:left="1199"/>
            </w:pPr>
            <w:r>
              <w:pict>
                <v:shape id="_x0000_s1649" o:spid="_x0000_s1649" style="position:absolute;left:0pt;margin-left:202.55pt;margin-top:31.55pt;height:0.75pt;width:2.2pt;mso-position-horizontal-relative:page;mso-position-vertical-relative:page;z-index:251787264;mso-width-relative:page;mso-height-relative:page;" fillcolor="#5B9BD5" filled="t" stroked="f" coordsize="44,15" path="m0,14l43,14,43,0,0,0,0,14xe">
                  <v:path/>
                  <v:fill on="t" focussize="0,0"/>
                  <v:stroke on="f"/>
                  <v:imagedata o:title=""/>
                  <o:lock v:ext="edit"/>
                </v:shape>
              </w:pict>
            </w:r>
            <w:r>
              <w:rPr>
                <w:spacing w:val="-14"/>
              </w:rPr>
              <w:t>场地平整施工图2</w:t>
            </w:r>
          </w:p>
        </w:tc>
      </w:tr>
    </w:tbl>
    <w:p w14:paraId="7445EA59">
      <w:pPr>
        <w:rPr>
          <w:rFonts w:ascii="Arial"/>
          <w:sz w:val="21"/>
        </w:rPr>
      </w:pPr>
    </w:p>
    <w:p w14:paraId="5D38A685">
      <w:pPr>
        <w:rPr>
          <w:rFonts w:ascii="Arial" w:hAnsi="Arial" w:eastAsia="Arial" w:cs="Arial"/>
          <w:sz w:val="21"/>
          <w:szCs w:val="21"/>
        </w:rPr>
        <w:sectPr>
          <w:footerReference r:id="rId81" w:type="default"/>
          <w:pgSz w:w="11907" w:h="16839"/>
          <w:pgMar w:top="954" w:right="4" w:bottom="1038" w:left="0" w:header="499" w:footer="357" w:gutter="0"/>
          <w:pgBorders>
            <w:top w:val="none" w:sz="0" w:space="0"/>
            <w:left w:val="none" w:sz="0" w:space="0"/>
            <w:bottom w:val="none" w:sz="0" w:space="0"/>
            <w:right w:val="none" w:sz="0" w:space="0"/>
          </w:pgBorders>
          <w:cols w:space="720" w:num="1"/>
        </w:sectPr>
      </w:pPr>
    </w:p>
    <w:p w14:paraId="52060F74">
      <w:pPr>
        <w:spacing w:line="214" w:lineRule="exact"/>
      </w:pPr>
    </w:p>
    <w:tbl>
      <w:tblPr>
        <w:tblStyle w:val="6"/>
        <w:tblW w:w="8557" w:type="dxa"/>
        <w:tblInd w:w="167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457"/>
        <w:gridCol w:w="4100"/>
      </w:tblGrid>
      <w:tr w14:paraId="354D40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787" w:hRule="atLeast"/>
        </w:trPr>
        <w:tc>
          <w:tcPr>
            <w:tcW w:w="4457" w:type="dxa"/>
            <w:tcBorders>
              <w:top w:val="single" w:color="5B9BD5" w:sz="4" w:space="0"/>
              <w:left w:val="single" w:color="1C456A" w:sz="4" w:space="0"/>
              <w:bottom w:val="nil"/>
            </w:tcBorders>
            <w:vAlign w:val="top"/>
          </w:tcPr>
          <w:p w14:paraId="14ED0D37">
            <w:pPr>
              <w:spacing w:before="93" w:line="2683" w:lineRule="exact"/>
              <w:ind w:firstLine="90"/>
            </w:pPr>
            <w:r>
              <w:rPr>
                <w:position w:val="-53"/>
              </w:rPr>
              <w:drawing>
                <wp:inline distT="0" distB="0" distL="0" distR="0">
                  <wp:extent cx="2719705" cy="1703705"/>
                  <wp:effectExtent l="0" t="0" r="0" b="0"/>
                  <wp:docPr id="496" name="IM 496"/>
                  <wp:cNvGraphicFramePr/>
                  <a:graphic xmlns:a="http://schemas.openxmlformats.org/drawingml/2006/main">
                    <a:graphicData uri="http://schemas.openxmlformats.org/drawingml/2006/picture">
                      <pic:pic xmlns:pic="http://schemas.openxmlformats.org/drawingml/2006/picture">
                        <pic:nvPicPr>
                          <pic:cNvPr id="496" name="IM 496"/>
                          <pic:cNvPicPr/>
                        </pic:nvPicPr>
                        <pic:blipFill>
                          <a:blip r:embed="rId534"/>
                          <a:stretch>
                            <a:fillRect/>
                          </a:stretch>
                        </pic:blipFill>
                        <pic:spPr>
                          <a:xfrm>
                            <a:off x="0" y="0"/>
                            <a:ext cx="2720339" cy="1704213"/>
                          </a:xfrm>
                          <a:prstGeom prst="rect">
                            <a:avLst/>
                          </a:prstGeom>
                        </pic:spPr>
                      </pic:pic>
                    </a:graphicData>
                  </a:graphic>
                </wp:inline>
              </w:drawing>
            </w:r>
          </w:p>
        </w:tc>
        <w:tc>
          <w:tcPr>
            <w:tcW w:w="4100" w:type="dxa"/>
            <w:tcBorders>
              <w:top w:val="single" w:color="5B9BD5" w:sz="4" w:space="0"/>
              <w:bottom w:val="nil"/>
              <w:right w:val="single" w:color="5B9BD5" w:sz="4" w:space="0"/>
            </w:tcBorders>
            <w:vAlign w:val="top"/>
          </w:tcPr>
          <w:p w14:paraId="79DE5D23">
            <w:pPr>
              <w:spacing w:before="93" w:line="2683" w:lineRule="exact"/>
              <w:ind w:firstLine="70"/>
            </w:pPr>
            <w:r>
              <w:rPr>
                <w:position w:val="-53"/>
              </w:rPr>
              <w:drawing>
                <wp:inline distT="0" distB="0" distL="0" distR="0">
                  <wp:extent cx="2496820" cy="1703705"/>
                  <wp:effectExtent l="0" t="0" r="0" b="0"/>
                  <wp:docPr id="498" name="IM 498"/>
                  <wp:cNvGraphicFramePr/>
                  <a:graphic xmlns:a="http://schemas.openxmlformats.org/drawingml/2006/main">
                    <a:graphicData uri="http://schemas.openxmlformats.org/drawingml/2006/picture">
                      <pic:pic xmlns:pic="http://schemas.openxmlformats.org/drawingml/2006/picture">
                        <pic:nvPicPr>
                          <pic:cNvPr id="498" name="IM 498"/>
                          <pic:cNvPicPr/>
                        </pic:nvPicPr>
                        <pic:blipFill>
                          <a:blip r:embed="rId535"/>
                          <a:stretch>
                            <a:fillRect/>
                          </a:stretch>
                        </pic:blipFill>
                        <pic:spPr>
                          <a:xfrm>
                            <a:off x="0" y="0"/>
                            <a:ext cx="2496820" cy="1704213"/>
                          </a:xfrm>
                          <a:prstGeom prst="rect">
                            <a:avLst/>
                          </a:prstGeom>
                        </pic:spPr>
                      </pic:pic>
                    </a:graphicData>
                  </a:graphic>
                </wp:inline>
              </w:drawing>
            </w:r>
          </w:p>
        </w:tc>
      </w:tr>
      <w:tr w14:paraId="0C1739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19" w:hRule="atLeast"/>
        </w:trPr>
        <w:tc>
          <w:tcPr>
            <w:tcW w:w="4457" w:type="dxa"/>
            <w:tcBorders>
              <w:top w:val="nil"/>
              <w:left w:val="single" w:color="000000" w:sz="4" w:space="0"/>
            </w:tcBorders>
            <w:vAlign w:val="top"/>
          </w:tcPr>
          <w:p w14:paraId="54C85C57">
            <w:pPr>
              <w:spacing w:line="209" w:lineRule="exact"/>
              <w:rPr>
                <w:rFonts w:ascii="Arial"/>
                <w:sz w:val="18"/>
              </w:rPr>
            </w:pPr>
          </w:p>
        </w:tc>
        <w:tc>
          <w:tcPr>
            <w:tcW w:w="4100" w:type="dxa"/>
            <w:tcBorders>
              <w:top w:val="nil"/>
              <w:right w:val="single" w:color="000000" w:sz="4" w:space="0"/>
            </w:tcBorders>
            <w:vAlign w:val="top"/>
          </w:tcPr>
          <w:p w14:paraId="17B18176">
            <w:pPr>
              <w:spacing w:line="209" w:lineRule="exact"/>
              <w:rPr>
                <w:rFonts w:ascii="Arial"/>
                <w:sz w:val="18"/>
              </w:rPr>
            </w:pPr>
          </w:p>
        </w:tc>
      </w:tr>
      <w:tr w14:paraId="4D5F81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24" w:hRule="atLeast"/>
        </w:trPr>
        <w:tc>
          <w:tcPr>
            <w:tcW w:w="4457" w:type="dxa"/>
            <w:tcBorders>
              <w:left w:val="single" w:color="1C456A" w:sz="4" w:space="0"/>
              <w:bottom w:val="single" w:color="1C456A" w:sz="4" w:space="0"/>
            </w:tcBorders>
            <w:vAlign w:val="top"/>
          </w:tcPr>
          <w:p w14:paraId="18A514DF">
            <w:pPr>
              <w:pStyle w:val="7"/>
              <w:spacing w:before="101" w:line="219" w:lineRule="auto"/>
              <w:ind w:left="1405"/>
            </w:pPr>
            <w:r>
              <w:rPr>
                <w:spacing w:val="-19"/>
              </w:rPr>
              <w:t>土方工程施工图1</w:t>
            </w:r>
          </w:p>
        </w:tc>
        <w:tc>
          <w:tcPr>
            <w:tcW w:w="4100" w:type="dxa"/>
            <w:tcBorders>
              <w:bottom w:val="single" w:color="5B9BD5" w:sz="4" w:space="0"/>
              <w:right w:val="single" w:color="5B9BD5" w:sz="4" w:space="0"/>
            </w:tcBorders>
            <w:vAlign w:val="top"/>
          </w:tcPr>
          <w:p w14:paraId="0A262796">
            <w:pPr>
              <w:pStyle w:val="7"/>
              <w:spacing w:before="101" w:line="219" w:lineRule="auto"/>
              <w:ind w:left="1211"/>
            </w:pPr>
            <w:r>
              <w:rPr>
                <w:spacing w:val="-14"/>
              </w:rPr>
              <w:t>土方工程施工图2</w:t>
            </w:r>
          </w:p>
        </w:tc>
      </w:tr>
    </w:tbl>
    <w:p w14:paraId="03B5E311">
      <w:pPr>
        <w:pStyle w:val="2"/>
        <w:spacing w:before="113" w:line="218" w:lineRule="auto"/>
        <w:ind w:left="1888"/>
        <w:rPr>
          <w:sz w:val="24"/>
          <w:szCs w:val="24"/>
        </w:rPr>
      </w:pPr>
      <w:r>
        <w:rPr>
          <w:spacing w:val="-17"/>
          <w:sz w:val="24"/>
          <w:szCs w:val="24"/>
        </w:rPr>
        <w:t>2、土方开挖工程</w:t>
      </w:r>
    </w:p>
    <w:p w14:paraId="0319B4E1">
      <w:pPr>
        <w:pStyle w:val="2"/>
        <w:spacing w:before="118" w:line="218" w:lineRule="auto"/>
        <w:ind w:left="1888"/>
        <w:rPr>
          <w:sz w:val="24"/>
          <w:szCs w:val="24"/>
        </w:rPr>
      </w:pPr>
      <w:r>
        <w:rPr>
          <w:spacing w:val="-18"/>
          <w:sz w:val="24"/>
          <w:szCs w:val="24"/>
        </w:rPr>
        <w:t>2.1道路路基土方开挖工程</w:t>
      </w:r>
    </w:p>
    <w:p w14:paraId="50DEEA9D">
      <w:pPr>
        <w:pStyle w:val="2"/>
        <w:spacing w:before="117" w:line="218" w:lineRule="auto"/>
        <w:ind w:left="1888"/>
        <w:rPr>
          <w:sz w:val="24"/>
          <w:szCs w:val="24"/>
        </w:rPr>
      </w:pPr>
      <w:r>
        <w:rPr>
          <w:spacing w:val="-14"/>
          <w:sz w:val="24"/>
          <w:szCs w:val="24"/>
        </w:rPr>
        <w:t>2.1.1开挖方法</w:t>
      </w:r>
    </w:p>
    <w:p w14:paraId="2A18B190">
      <w:pPr>
        <w:pStyle w:val="2"/>
        <w:spacing w:before="114" w:line="216" w:lineRule="auto"/>
        <w:ind w:left="1893"/>
        <w:rPr>
          <w:sz w:val="24"/>
          <w:szCs w:val="24"/>
        </w:rPr>
      </w:pPr>
      <w:r>
        <w:rPr>
          <w:spacing w:val="-21"/>
          <w:sz w:val="24"/>
          <w:szCs w:val="24"/>
        </w:rPr>
        <w:t>按照土方平衡原则安排工程施工计划，尽量将土方的开挖与填</w:t>
      </w:r>
      <w:r>
        <w:rPr>
          <w:spacing w:val="-22"/>
          <w:sz w:val="24"/>
          <w:szCs w:val="24"/>
        </w:rPr>
        <w:t>筑工作结合起来安排。</w:t>
      </w:r>
    </w:p>
    <w:p w14:paraId="0E841A48">
      <w:pPr>
        <w:pStyle w:val="2"/>
        <w:spacing w:before="121" w:line="307" w:lineRule="auto"/>
        <w:ind w:left="1461" w:right="1353" w:firstLine="432"/>
        <w:rPr>
          <w:sz w:val="24"/>
          <w:szCs w:val="24"/>
        </w:rPr>
      </w:pPr>
      <w:r>
        <w:rPr>
          <w:spacing w:val="-19"/>
          <w:sz w:val="24"/>
          <w:szCs w:val="24"/>
        </w:rPr>
        <w:t>根据土方量和运距，我公司认为挖掘机挖装、自卸汽车运输土方不仅是较优的施</w:t>
      </w:r>
      <w:r>
        <w:rPr>
          <w:spacing w:val="-20"/>
          <w:sz w:val="24"/>
          <w:szCs w:val="24"/>
        </w:rPr>
        <w:t>工方案，</w:t>
      </w:r>
      <w:r>
        <w:rPr>
          <w:spacing w:val="-25"/>
          <w:sz w:val="24"/>
          <w:szCs w:val="24"/>
        </w:rPr>
        <w:t>而且具有较好的经济效益。我公司经过仔细的研究决定：90%土方</w:t>
      </w:r>
      <w:r>
        <w:rPr>
          <w:spacing w:val="-26"/>
          <w:sz w:val="24"/>
          <w:szCs w:val="24"/>
        </w:rPr>
        <w:t>由挖掘机开挖、自卸汽车运输，</w:t>
      </w:r>
      <w:r>
        <w:rPr>
          <w:spacing w:val="-20"/>
          <w:sz w:val="24"/>
          <w:szCs w:val="24"/>
        </w:rPr>
        <w:t>10%土方由人工开挖，但人工开挖的土方仍</w:t>
      </w:r>
      <w:r>
        <w:rPr>
          <w:spacing w:val="-21"/>
          <w:sz w:val="24"/>
          <w:szCs w:val="24"/>
        </w:rPr>
        <w:t>由挖掘机挖装、自卸汽车运输。</w:t>
      </w:r>
    </w:p>
    <w:p w14:paraId="085106D1">
      <w:pPr>
        <w:pStyle w:val="2"/>
        <w:spacing w:before="2" w:line="215" w:lineRule="auto"/>
        <w:ind w:left="1891"/>
        <w:rPr>
          <w:sz w:val="24"/>
          <w:szCs w:val="24"/>
        </w:rPr>
      </w:pPr>
      <w:r>
        <w:rPr>
          <w:spacing w:val="-19"/>
          <w:sz w:val="24"/>
          <w:szCs w:val="24"/>
        </w:rPr>
        <w:t>路床开挖时预留20cm的基面保护层，基面保护层</w:t>
      </w:r>
      <w:r>
        <w:rPr>
          <w:spacing w:val="-20"/>
          <w:sz w:val="24"/>
          <w:szCs w:val="24"/>
        </w:rPr>
        <w:t>采用人工开挖，在路基施工前突击挖除。</w:t>
      </w:r>
    </w:p>
    <w:p w14:paraId="5E7A9935">
      <w:pPr>
        <w:pStyle w:val="2"/>
        <w:spacing w:before="120" w:line="217" w:lineRule="auto"/>
        <w:ind w:left="1890"/>
        <w:rPr>
          <w:sz w:val="24"/>
          <w:szCs w:val="24"/>
        </w:rPr>
      </w:pPr>
      <w:r>
        <w:rPr>
          <w:spacing w:val="-18"/>
          <w:sz w:val="24"/>
          <w:szCs w:val="24"/>
        </w:rPr>
        <w:t>3、施工机械组合：</w:t>
      </w:r>
    </w:p>
    <w:p w14:paraId="56BF24BB">
      <w:pPr>
        <w:pStyle w:val="2"/>
        <w:spacing w:before="117" w:line="215" w:lineRule="auto"/>
        <w:ind w:left="1890"/>
        <w:rPr>
          <w:sz w:val="24"/>
          <w:szCs w:val="24"/>
        </w:rPr>
      </w:pPr>
      <w:r>
        <w:rPr>
          <w:spacing w:val="-17"/>
          <w:sz w:val="24"/>
          <w:szCs w:val="24"/>
        </w:rPr>
        <w:t>3.1挖掘机、自卸汽车</w:t>
      </w:r>
    </w:p>
    <w:p w14:paraId="6CCF445D">
      <w:pPr>
        <w:pStyle w:val="2"/>
        <w:spacing w:before="123" w:line="307" w:lineRule="auto"/>
        <w:ind w:left="1455" w:right="1411" w:firstLine="438"/>
        <w:rPr>
          <w:sz w:val="24"/>
          <w:szCs w:val="24"/>
        </w:rPr>
      </w:pPr>
      <w:r>
        <w:rPr>
          <w:spacing w:val="-20"/>
          <w:sz w:val="24"/>
          <w:szCs w:val="24"/>
        </w:rPr>
        <w:t>根据机械设备定额和施工经验计算，需挖掘机、汽车台具体数目见附表拟投入的主要施工</w:t>
      </w:r>
      <w:r>
        <w:rPr>
          <w:spacing w:val="-15"/>
          <w:sz w:val="24"/>
          <w:szCs w:val="24"/>
        </w:rPr>
        <w:t>设备表。</w:t>
      </w:r>
    </w:p>
    <w:p w14:paraId="592B711E">
      <w:pPr>
        <w:pStyle w:val="2"/>
        <w:spacing w:line="218" w:lineRule="auto"/>
        <w:ind w:left="1890"/>
        <w:rPr>
          <w:sz w:val="24"/>
          <w:szCs w:val="24"/>
        </w:rPr>
      </w:pPr>
      <w:r>
        <w:rPr>
          <w:spacing w:val="-19"/>
          <w:sz w:val="24"/>
          <w:szCs w:val="24"/>
        </w:rPr>
        <w:t>3.2管道沟槽土方填筑工程</w:t>
      </w:r>
    </w:p>
    <w:p w14:paraId="6E689E8C">
      <w:pPr>
        <w:pStyle w:val="2"/>
        <w:spacing w:before="117" w:line="216" w:lineRule="auto"/>
        <w:ind w:left="1918"/>
        <w:rPr>
          <w:sz w:val="24"/>
          <w:szCs w:val="24"/>
        </w:rPr>
      </w:pPr>
      <w:r>
        <w:rPr>
          <w:spacing w:val="-22"/>
          <w:sz w:val="24"/>
          <w:szCs w:val="24"/>
        </w:rPr>
        <w:t>当管道安装质量经检查验收合格并经业主、监理</w:t>
      </w:r>
      <w:r>
        <w:rPr>
          <w:spacing w:val="-23"/>
          <w:sz w:val="24"/>
          <w:szCs w:val="24"/>
        </w:rPr>
        <w:t>、质监等部门验收后就可以回填沟槽土方。</w:t>
      </w:r>
    </w:p>
    <w:p w14:paraId="70669863">
      <w:pPr>
        <w:pStyle w:val="2"/>
        <w:spacing w:before="120" w:line="307" w:lineRule="auto"/>
        <w:ind w:left="1456" w:right="1338" w:firstLine="466"/>
        <w:rPr>
          <w:sz w:val="24"/>
          <w:szCs w:val="24"/>
        </w:rPr>
      </w:pPr>
      <w:r>
        <w:rPr>
          <w:spacing w:val="-20"/>
          <w:sz w:val="24"/>
          <w:szCs w:val="24"/>
        </w:rPr>
        <w:t>回填土料主要选自沟槽开挖的粘土，若沟槽开挖的土料质量不能</w:t>
      </w:r>
      <w:r>
        <w:rPr>
          <w:spacing w:val="-21"/>
          <w:sz w:val="24"/>
          <w:szCs w:val="24"/>
        </w:rPr>
        <w:t>满足要求，则选取符合质量要求的路床开挖土料或取土场土料。沟槽采用分层回填方法，层厚控制在30cm以内。沟槽底</w:t>
      </w:r>
      <w:r>
        <w:rPr>
          <w:spacing w:val="-19"/>
          <w:sz w:val="24"/>
          <w:szCs w:val="24"/>
        </w:rPr>
        <w:t>部由于工作面较窄、且有钢筋砼管道，适宜采用蛙式打夯机进行夯实，上部（管顶50cm以上）</w:t>
      </w:r>
      <w:r>
        <w:rPr>
          <w:spacing w:val="-23"/>
          <w:sz w:val="24"/>
          <w:szCs w:val="24"/>
        </w:rPr>
        <w:t>尽量采用压路机碾压。如果因场地狭小，压路机无法进入沟槽工作面，则采</w:t>
      </w:r>
      <w:r>
        <w:rPr>
          <w:spacing w:val="-24"/>
          <w:sz w:val="24"/>
          <w:szCs w:val="24"/>
        </w:rPr>
        <w:t>用蛙式打夯机夯实。</w:t>
      </w:r>
      <w:r>
        <w:rPr>
          <w:spacing w:val="-21"/>
          <w:sz w:val="24"/>
          <w:szCs w:val="24"/>
        </w:rPr>
        <w:t>对于胸腔及检查井周边采用蛙式打夯机，必要时采用平夯及</w:t>
      </w:r>
      <w:r>
        <w:rPr>
          <w:spacing w:val="-22"/>
          <w:sz w:val="24"/>
          <w:szCs w:val="24"/>
        </w:rPr>
        <w:t>木榔头人工夯实方法。</w:t>
      </w:r>
    </w:p>
    <w:p w14:paraId="6E0C69A5">
      <w:pPr>
        <w:pStyle w:val="2"/>
        <w:spacing w:before="5" w:line="307" w:lineRule="auto"/>
        <w:ind w:left="1467" w:right="1409" w:firstLine="454"/>
        <w:rPr>
          <w:sz w:val="24"/>
          <w:szCs w:val="24"/>
        </w:rPr>
      </w:pPr>
      <w:r>
        <w:rPr>
          <w:spacing w:val="-20"/>
          <w:sz w:val="24"/>
          <w:szCs w:val="24"/>
        </w:rPr>
        <w:t>回填沟槽土方时，如果沟槽内有因降雨、地下渗水或施工用水</w:t>
      </w:r>
      <w:r>
        <w:rPr>
          <w:spacing w:val="-21"/>
          <w:sz w:val="24"/>
          <w:szCs w:val="24"/>
        </w:rPr>
        <w:t>造成的积水应先排除，并清</w:t>
      </w:r>
      <w:r>
        <w:rPr>
          <w:spacing w:val="-23"/>
          <w:sz w:val="24"/>
          <w:szCs w:val="24"/>
        </w:rPr>
        <w:t>除表层被水浸泡过的软弱土层。</w:t>
      </w:r>
    </w:p>
    <w:p w14:paraId="17DA8FBF">
      <w:pPr>
        <w:pStyle w:val="2"/>
        <w:spacing w:before="3" w:line="307" w:lineRule="auto"/>
        <w:ind w:left="1456" w:right="1409" w:firstLine="438"/>
        <w:jc w:val="both"/>
        <w:rPr>
          <w:sz w:val="24"/>
          <w:szCs w:val="24"/>
        </w:rPr>
      </w:pPr>
      <w:r>
        <w:rPr>
          <w:spacing w:val="-20"/>
          <w:sz w:val="24"/>
          <w:szCs w:val="24"/>
        </w:rPr>
        <w:t>填筑土方前要对土质、铺土厚度、压实机具进行综合试验，测定各种压实参数，作为施工质量控制的依据。填筑过程中由专业人员，按试验参数对回填土进行控制，并及时取样试验检</w:t>
      </w:r>
      <w:r>
        <w:rPr>
          <w:spacing w:val="-21"/>
          <w:sz w:val="24"/>
          <w:szCs w:val="24"/>
        </w:rPr>
        <w:t>测，确保回填质量。经检查发现不合格的填筑土方坚决返</w:t>
      </w:r>
      <w:r>
        <w:rPr>
          <w:spacing w:val="-22"/>
          <w:sz w:val="24"/>
          <w:szCs w:val="24"/>
        </w:rPr>
        <w:t>工。</w:t>
      </w:r>
    </w:p>
    <w:p w14:paraId="58E00A5F">
      <w:pPr>
        <w:pStyle w:val="2"/>
        <w:spacing w:line="218" w:lineRule="auto"/>
        <w:ind w:left="1884"/>
        <w:rPr>
          <w:sz w:val="24"/>
          <w:szCs w:val="24"/>
        </w:rPr>
      </w:pPr>
      <w:r>
        <w:rPr>
          <w:spacing w:val="-17"/>
          <w:sz w:val="24"/>
          <w:szCs w:val="24"/>
        </w:rPr>
        <w:t>4、技术质量措施</w:t>
      </w:r>
    </w:p>
    <w:p w14:paraId="2CE432C9">
      <w:pPr>
        <w:pStyle w:val="2"/>
        <w:spacing w:before="118" w:line="218" w:lineRule="auto"/>
        <w:ind w:left="1884"/>
        <w:rPr>
          <w:sz w:val="24"/>
          <w:szCs w:val="24"/>
        </w:rPr>
      </w:pPr>
      <w:r>
        <w:rPr>
          <w:spacing w:val="-14"/>
          <w:sz w:val="24"/>
          <w:szCs w:val="24"/>
        </w:rPr>
        <w:t>4.1土方开挖</w:t>
      </w:r>
    </w:p>
    <w:p w14:paraId="78C910DA">
      <w:pPr>
        <w:spacing w:line="218" w:lineRule="auto"/>
        <w:rPr>
          <w:sz w:val="24"/>
          <w:szCs w:val="24"/>
        </w:rPr>
        <w:sectPr>
          <w:footerReference r:id="rId82" w:type="default"/>
          <w:pgSz w:w="11907" w:h="16839"/>
          <w:pgMar w:top="954" w:right="4" w:bottom="1038" w:left="0" w:header="499" w:footer="357" w:gutter="0"/>
          <w:pgBorders>
            <w:top w:val="none" w:sz="0" w:space="0"/>
            <w:left w:val="none" w:sz="0" w:space="0"/>
            <w:bottom w:val="none" w:sz="0" w:space="0"/>
            <w:right w:val="none" w:sz="0" w:space="0"/>
          </w:pgBorders>
          <w:cols w:space="720" w:num="1"/>
        </w:sectPr>
      </w:pPr>
    </w:p>
    <w:p w14:paraId="2360AA43">
      <w:pPr>
        <w:spacing w:line="250" w:lineRule="auto"/>
        <w:rPr>
          <w:rFonts w:ascii="Arial"/>
          <w:sz w:val="21"/>
        </w:rPr>
      </w:pPr>
    </w:p>
    <w:p w14:paraId="7DDEBF15">
      <w:pPr>
        <w:pStyle w:val="2"/>
        <w:spacing w:before="78" w:line="219" w:lineRule="auto"/>
        <w:ind w:left="1884"/>
        <w:rPr>
          <w:sz w:val="24"/>
          <w:szCs w:val="24"/>
        </w:rPr>
      </w:pPr>
      <w:r>
        <w:rPr>
          <w:spacing w:val="-14"/>
          <w:sz w:val="24"/>
          <w:szCs w:val="24"/>
        </w:rPr>
        <w:t>4.1.1施工测量：</w:t>
      </w:r>
    </w:p>
    <w:p w14:paraId="085E49F3">
      <w:pPr>
        <w:pStyle w:val="2"/>
        <w:spacing w:before="117" w:line="306" w:lineRule="auto"/>
        <w:ind w:left="1456" w:right="1410" w:firstLine="436"/>
        <w:rPr>
          <w:sz w:val="24"/>
          <w:szCs w:val="24"/>
        </w:rPr>
      </w:pPr>
      <w:r>
        <w:rPr>
          <w:spacing w:val="-20"/>
          <w:sz w:val="24"/>
          <w:szCs w:val="24"/>
        </w:rPr>
        <w:t>开挖测量依据施工图和监理工程师提供的平面控制网和高程点进行，并认真复核，确保精</w:t>
      </w:r>
      <w:r>
        <w:rPr>
          <w:spacing w:val="-22"/>
          <w:sz w:val="24"/>
          <w:szCs w:val="24"/>
        </w:rPr>
        <w:t>度。在开挖过程中，测量人员依据设计断面不断跟踪复核，防止欠挖，严禁超挖。</w:t>
      </w:r>
    </w:p>
    <w:p w14:paraId="72413B43">
      <w:pPr>
        <w:pStyle w:val="2"/>
        <w:spacing w:before="3" w:line="217" w:lineRule="auto"/>
        <w:ind w:left="1884"/>
        <w:rPr>
          <w:sz w:val="24"/>
          <w:szCs w:val="24"/>
        </w:rPr>
      </w:pPr>
      <w:r>
        <w:rPr>
          <w:spacing w:val="-15"/>
          <w:sz w:val="24"/>
          <w:szCs w:val="24"/>
        </w:rPr>
        <w:t>4.1.2质量控制：</w:t>
      </w:r>
    </w:p>
    <w:p w14:paraId="28AA018A">
      <w:pPr>
        <w:pStyle w:val="2"/>
        <w:spacing w:before="120" w:line="307" w:lineRule="auto"/>
        <w:ind w:left="1455" w:right="1410" w:firstLine="435"/>
        <w:jc w:val="both"/>
        <w:rPr>
          <w:sz w:val="24"/>
          <w:szCs w:val="24"/>
        </w:rPr>
      </w:pPr>
      <w:r>
        <w:rPr>
          <w:spacing w:val="-19"/>
          <w:sz w:val="24"/>
          <w:szCs w:val="24"/>
        </w:rPr>
        <w:t>路床或沟槽底部0.2m左右出由人工开挖,如开挖到设计</w:t>
      </w:r>
      <w:r>
        <w:rPr>
          <w:spacing w:val="-20"/>
          <w:sz w:val="24"/>
          <w:szCs w:val="24"/>
        </w:rPr>
        <w:t>深度,发现在软弱土层等特殊情况要</w:t>
      </w:r>
      <w:r>
        <w:rPr>
          <w:spacing w:val="-21"/>
          <w:sz w:val="24"/>
          <w:szCs w:val="24"/>
        </w:rPr>
        <w:t>立即向监理工程师报告,并提出处理建议方案.</w:t>
      </w:r>
      <w:r>
        <w:rPr>
          <w:spacing w:val="-22"/>
          <w:sz w:val="24"/>
          <w:szCs w:val="24"/>
        </w:rPr>
        <w:t>一旦方案批准后实施,缩短沟槽暴露时间。沟槽开</w:t>
      </w:r>
      <w:r>
        <w:rPr>
          <w:spacing w:val="-20"/>
          <w:sz w:val="24"/>
          <w:szCs w:val="24"/>
        </w:rPr>
        <w:t>挖结束后，做好下列检查项目：基底平面位置、尺寸、高程等。检查项目经自检合格后，报监</w:t>
      </w:r>
      <w:r>
        <w:rPr>
          <w:spacing w:val="-21"/>
          <w:sz w:val="24"/>
          <w:szCs w:val="24"/>
        </w:rPr>
        <w:t>理工程师验收。只有经监理验收合格后才能进行下一步工序的</w:t>
      </w:r>
      <w:r>
        <w:rPr>
          <w:spacing w:val="-22"/>
          <w:sz w:val="24"/>
          <w:szCs w:val="24"/>
        </w:rPr>
        <w:t>施工。</w:t>
      </w:r>
    </w:p>
    <w:p w14:paraId="7D6A2E2D">
      <w:pPr>
        <w:pStyle w:val="2"/>
        <w:spacing w:line="219" w:lineRule="auto"/>
        <w:ind w:left="1884"/>
        <w:rPr>
          <w:sz w:val="24"/>
          <w:szCs w:val="24"/>
        </w:rPr>
      </w:pPr>
      <w:r>
        <w:rPr>
          <w:spacing w:val="-13"/>
          <w:sz w:val="24"/>
          <w:szCs w:val="24"/>
        </w:rPr>
        <w:t>4.1.3基础处理</w:t>
      </w:r>
    </w:p>
    <w:p w14:paraId="6E6680CD">
      <w:pPr>
        <w:pStyle w:val="2"/>
        <w:spacing w:before="114" w:line="308" w:lineRule="auto"/>
        <w:ind w:left="1457" w:right="1410" w:firstLine="435"/>
        <w:rPr>
          <w:sz w:val="24"/>
          <w:szCs w:val="24"/>
        </w:rPr>
      </w:pPr>
      <w:r>
        <w:rPr>
          <w:spacing w:val="-20"/>
          <w:sz w:val="24"/>
          <w:szCs w:val="24"/>
        </w:rPr>
        <w:t>开挖中如果出现了软弱土层，应及时与业主、设计、监理等部门研究，采取诸如换土等技术措施。确保工程质量。</w:t>
      </w:r>
    </w:p>
    <w:p w14:paraId="58C6640C">
      <w:pPr>
        <w:pStyle w:val="2"/>
        <w:spacing w:before="3" w:line="307" w:lineRule="auto"/>
        <w:ind w:left="1470" w:right="1410" w:firstLine="423"/>
        <w:jc w:val="both"/>
        <w:rPr>
          <w:sz w:val="24"/>
          <w:szCs w:val="24"/>
        </w:rPr>
      </w:pPr>
      <w:r>
        <w:rPr>
          <w:spacing w:val="-20"/>
          <w:sz w:val="24"/>
          <w:szCs w:val="24"/>
        </w:rPr>
        <w:t>软弱土层换土处理的方法是：对于软弱土层比较大的部位采取挖掘机挖掘、自卸汽车运输的方法，对于软弱土层较小的部位，采取人工开挖、人工填筑的方法。填筑土料选</w:t>
      </w:r>
      <w:r>
        <w:rPr>
          <w:spacing w:val="-21"/>
          <w:sz w:val="24"/>
          <w:szCs w:val="24"/>
        </w:rPr>
        <w:t>择含水量适</w:t>
      </w:r>
      <w:r>
        <w:rPr>
          <w:spacing w:val="-22"/>
          <w:sz w:val="24"/>
          <w:szCs w:val="24"/>
        </w:rPr>
        <w:t>中的石灰土，分层摊铺，分层压实。</w:t>
      </w:r>
    </w:p>
    <w:p w14:paraId="07308D5A">
      <w:pPr>
        <w:pStyle w:val="2"/>
        <w:spacing w:before="1" w:line="308" w:lineRule="auto"/>
        <w:ind w:left="1469" w:right="1409" w:firstLine="421"/>
        <w:rPr>
          <w:sz w:val="24"/>
          <w:szCs w:val="24"/>
        </w:rPr>
      </w:pPr>
      <w:r>
        <w:rPr>
          <w:spacing w:val="-19"/>
          <w:sz w:val="24"/>
          <w:szCs w:val="24"/>
        </w:rPr>
        <w:t>路基土方完成后，用推土机对路床进行初步</w:t>
      </w:r>
      <w:r>
        <w:rPr>
          <w:spacing w:val="-20"/>
          <w:sz w:val="24"/>
          <w:szCs w:val="24"/>
        </w:rPr>
        <w:t>整平，稳定后再用人工进行精整后，压实至规</w:t>
      </w:r>
      <w:r>
        <w:rPr>
          <w:spacing w:val="-21"/>
          <w:sz w:val="24"/>
          <w:szCs w:val="24"/>
        </w:rPr>
        <w:t>范要求的压实度。</w:t>
      </w:r>
    </w:p>
    <w:p w14:paraId="0835DB76">
      <w:pPr>
        <w:pStyle w:val="2"/>
        <w:spacing w:before="1" w:line="218" w:lineRule="auto"/>
        <w:ind w:left="1884"/>
        <w:rPr>
          <w:sz w:val="24"/>
          <w:szCs w:val="24"/>
        </w:rPr>
      </w:pPr>
      <w:r>
        <w:rPr>
          <w:spacing w:val="-14"/>
          <w:sz w:val="24"/>
          <w:szCs w:val="24"/>
        </w:rPr>
        <w:t>4.1.4河塘处理</w:t>
      </w:r>
    </w:p>
    <w:p w14:paraId="4CA9D9E0">
      <w:pPr>
        <w:pStyle w:val="2"/>
        <w:spacing w:before="113" w:line="290" w:lineRule="auto"/>
        <w:ind w:left="1453" w:right="1410" w:firstLine="431"/>
        <w:rPr>
          <w:sz w:val="24"/>
          <w:szCs w:val="24"/>
        </w:rPr>
      </w:pPr>
      <w:r>
        <w:rPr>
          <w:spacing w:val="-22"/>
          <w:sz w:val="24"/>
          <w:szCs w:val="24"/>
        </w:rPr>
        <w:t>4.1.4.1材料要求优先选用优质道渣石或碎石，但粉尘大的石料不宜采用；材料应洁净，采</w:t>
      </w:r>
      <w:r>
        <w:rPr>
          <w:spacing w:val="-20"/>
          <w:sz w:val="24"/>
          <w:szCs w:val="24"/>
        </w:rPr>
        <w:t>用破碎碎石时，碎石破碎时间不能过长，表面沾有大量石粉的石料不宜于垫层；骨料材料应具</w:t>
      </w:r>
      <w:r>
        <w:rPr>
          <w:spacing w:val="-21"/>
          <w:sz w:val="24"/>
          <w:szCs w:val="24"/>
        </w:rPr>
        <w:t>有足够的强度，应满足三级以上石料的标准；小于5mm部分应基本没有塑性，建议塑性指数小</w:t>
      </w:r>
      <w:r>
        <w:rPr>
          <w:spacing w:val="-18"/>
          <w:sz w:val="24"/>
          <w:szCs w:val="24"/>
        </w:rPr>
        <w:t>于2。其中小于0.075mm颗粒含量应</w:t>
      </w:r>
      <w:r>
        <w:rPr>
          <w:spacing w:val="-19"/>
          <w:sz w:val="24"/>
          <w:szCs w:val="24"/>
        </w:rPr>
        <w:t>尽可能少，最好少于3%，受条件限制进也不宜超过5%，并</w:t>
      </w:r>
      <w:r>
        <w:rPr>
          <w:spacing w:val="-20"/>
          <w:sz w:val="24"/>
          <w:szCs w:val="24"/>
        </w:rPr>
        <w:t>应具有足够的渗透系数。</w:t>
      </w:r>
    </w:p>
    <w:p w14:paraId="5FB9DAAA">
      <w:pPr>
        <w:pStyle w:val="2"/>
        <w:spacing w:before="119" w:line="285" w:lineRule="auto"/>
        <w:ind w:left="1455" w:right="1409" w:firstLine="429"/>
        <w:rPr>
          <w:sz w:val="24"/>
          <w:szCs w:val="24"/>
        </w:rPr>
      </w:pPr>
      <w:r>
        <w:rPr>
          <w:spacing w:val="-23"/>
          <w:sz w:val="24"/>
          <w:szCs w:val="24"/>
        </w:rPr>
        <w:t>4.1.4.2施工工艺流程为：基础整理→天然砂砾混合料检测→施工放样→自卸汽车运料到工</w:t>
      </w:r>
      <w:r>
        <w:rPr>
          <w:spacing w:val="-20"/>
          <w:sz w:val="24"/>
          <w:szCs w:val="24"/>
        </w:rPr>
        <w:t>地→摊铺→检测摊铺料含水量→振动压路机碾压→检测密实度。经监理工程师验收合格后的基础上铺筑垫层材料。垫层施工采用人工和机械结合施工、自卸汽车运天然砂砾混合料，装载机粗平，再用人工精平。</w:t>
      </w:r>
    </w:p>
    <w:p w14:paraId="33A7FFD4">
      <w:pPr>
        <w:pStyle w:val="2"/>
        <w:spacing w:before="111" w:line="295" w:lineRule="auto"/>
        <w:ind w:left="1456" w:right="1411" w:firstLine="428"/>
        <w:rPr>
          <w:sz w:val="24"/>
          <w:szCs w:val="24"/>
        </w:rPr>
      </w:pPr>
      <w:r>
        <w:rPr>
          <w:spacing w:val="-22"/>
          <w:sz w:val="24"/>
          <w:szCs w:val="24"/>
        </w:rPr>
        <w:t>4.1.4.3施工注意事项垫层施工采用人工和机械结合施工、自卸汽车运天然砂砾混合料，装</w:t>
      </w:r>
      <w:r>
        <w:rPr>
          <w:spacing w:val="-20"/>
          <w:sz w:val="24"/>
          <w:szCs w:val="24"/>
        </w:rPr>
        <w:t>载机粗平，再用人工精平。在铺筑垫层前，在放样好的桩位挂线施工，应将基础面上的浮土、杂物全部清除，并洒水湿润。摊铺天然砂砾混合料时无明显离析现象，或采用细集料作嵌缝处</w:t>
      </w:r>
      <w:r>
        <w:rPr>
          <w:spacing w:val="-22"/>
          <w:sz w:val="24"/>
          <w:szCs w:val="24"/>
        </w:rPr>
        <w:t>理。经过平整和整修后，采用压路机进行碾压，保证压实度至重型击实最大密度的96%以上。每</w:t>
      </w:r>
      <w:r>
        <w:rPr>
          <w:spacing w:val="-20"/>
          <w:sz w:val="24"/>
          <w:szCs w:val="24"/>
        </w:rPr>
        <w:t>段路碾压完后质检员进行检测，并把试验资料交经监理工程师审批。凡是压路机不能压到处都要采用夯实机进行夯实，直到符合规范要求止。严禁压路机在已经完成的或正在施工的路段上</w:t>
      </w:r>
      <w:r>
        <w:rPr>
          <w:spacing w:val="-19"/>
          <w:sz w:val="24"/>
          <w:szCs w:val="24"/>
        </w:rPr>
        <w:t>调头和急刹车。</w:t>
      </w:r>
    </w:p>
    <w:p w14:paraId="7C35C17D">
      <w:pPr>
        <w:pStyle w:val="2"/>
        <w:spacing w:before="120" w:line="277" w:lineRule="auto"/>
        <w:ind w:left="1458" w:right="1411" w:firstLine="426"/>
        <w:rPr>
          <w:sz w:val="24"/>
          <w:szCs w:val="24"/>
        </w:rPr>
      </w:pPr>
      <w:r>
        <w:rPr>
          <w:spacing w:val="-22"/>
          <w:sz w:val="24"/>
          <w:szCs w:val="24"/>
        </w:rPr>
        <w:t>4.1.4.4砂砾垫层施工中的质量监控，在基础各项指标均符合设计规范要求后，现场监理许</w:t>
      </w:r>
      <w:r>
        <w:rPr>
          <w:spacing w:val="-20"/>
          <w:sz w:val="24"/>
          <w:szCs w:val="24"/>
        </w:rPr>
        <w:t>可的情况下，可以进行砂砾垫层的摊铺施工。其质量监控主要包括：对材料质量的监控，主要检验材料的物化性质、颗粒级配和液塑限指数，只有以上指标均达标才能使用。施工中主要控</w:t>
      </w:r>
    </w:p>
    <w:p w14:paraId="625D0D68">
      <w:pPr>
        <w:spacing w:line="277" w:lineRule="auto"/>
        <w:rPr>
          <w:sz w:val="24"/>
          <w:szCs w:val="24"/>
        </w:rPr>
        <w:sectPr>
          <w:footerReference r:id="rId83" w:type="default"/>
          <w:pgSz w:w="11907" w:h="16839"/>
          <w:pgMar w:top="954" w:right="4" w:bottom="1038" w:left="0" w:header="499" w:footer="357" w:gutter="0"/>
          <w:pgBorders>
            <w:top w:val="none" w:sz="0" w:space="0"/>
            <w:left w:val="none" w:sz="0" w:space="0"/>
            <w:bottom w:val="none" w:sz="0" w:space="0"/>
            <w:right w:val="none" w:sz="0" w:space="0"/>
          </w:pgBorders>
          <w:cols w:space="720" w:num="1"/>
        </w:sectPr>
      </w:pPr>
    </w:p>
    <w:p w14:paraId="35F112D8">
      <w:pPr>
        <w:spacing w:line="249" w:lineRule="auto"/>
        <w:rPr>
          <w:rFonts w:ascii="Arial"/>
          <w:sz w:val="21"/>
        </w:rPr>
      </w:pPr>
    </w:p>
    <w:p w14:paraId="29A28FA8">
      <w:pPr>
        <w:pStyle w:val="2"/>
        <w:spacing w:before="78" w:line="299" w:lineRule="auto"/>
        <w:ind w:left="1456" w:right="1414"/>
        <w:jc w:val="both"/>
        <w:rPr>
          <w:sz w:val="24"/>
          <w:szCs w:val="24"/>
        </w:rPr>
      </w:pPr>
      <w:r>
        <w:rPr>
          <w:spacing w:val="-20"/>
          <w:sz w:val="24"/>
          <w:szCs w:val="24"/>
        </w:rPr>
        <w:t>制摊铺宽度、厚度、高程、平整度、横坡度，并控制碾压时的最佳含水量，以便使碾压达到最佳效果，密实度达到设计要求。在摊铺碾压完毕后，进行质量自检并整理有关资料，自检合格</w:t>
      </w:r>
      <w:r>
        <w:rPr>
          <w:spacing w:val="-21"/>
          <w:sz w:val="24"/>
          <w:szCs w:val="24"/>
        </w:rPr>
        <w:t>后请监理进一步检查并请求进行弯沉测试，在监理认为各方面</w:t>
      </w:r>
      <w:r>
        <w:rPr>
          <w:spacing w:val="-22"/>
          <w:sz w:val="24"/>
          <w:szCs w:val="24"/>
        </w:rPr>
        <w:t>合格后申请下一工序的施工。</w:t>
      </w:r>
    </w:p>
    <w:p w14:paraId="4F4D9A37">
      <w:pPr>
        <w:pStyle w:val="2"/>
        <w:spacing w:before="1" w:line="215" w:lineRule="auto"/>
        <w:ind w:left="1986"/>
        <w:outlineLvl w:val="2"/>
        <w:rPr>
          <w:sz w:val="28"/>
          <w:szCs w:val="28"/>
        </w:rPr>
      </w:pPr>
      <w:bookmarkStart w:id="49" w:name="bookmark49"/>
      <w:bookmarkEnd w:id="49"/>
      <w:r>
        <w:rPr>
          <w:b/>
          <w:bCs/>
          <w:spacing w:val="-23"/>
          <w:sz w:val="28"/>
          <w:szCs w:val="28"/>
        </w:rPr>
        <w:t>二、水泥稳定碎石施工</w:t>
      </w:r>
    </w:p>
    <w:p w14:paraId="0907AD92">
      <w:pPr>
        <w:pStyle w:val="2"/>
        <w:spacing w:before="108" w:line="215" w:lineRule="auto"/>
        <w:ind w:left="1903"/>
        <w:rPr>
          <w:sz w:val="24"/>
          <w:szCs w:val="24"/>
        </w:rPr>
      </w:pPr>
      <w:r>
        <w:rPr>
          <w:spacing w:val="-20"/>
          <w:sz w:val="24"/>
          <w:szCs w:val="24"/>
        </w:rPr>
        <w:t>1、水泥稳定碎石施工</w:t>
      </w:r>
    </w:p>
    <w:p w14:paraId="14F8108C">
      <w:pPr>
        <w:spacing w:line="58" w:lineRule="auto"/>
        <w:rPr>
          <w:rFonts w:ascii="Arial"/>
          <w:sz w:val="2"/>
        </w:rPr>
      </w:pPr>
    </w:p>
    <w:tbl>
      <w:tblPr>
        <w:tblStyle w:val="6"/>
        <w:tblW w:w="8549" w:type="dxa"/>
        <w:tblInd w:w="1678" w:type="dxa"/>
        <w:tblBorders>
          <w:top w:val="single" w:color="5B9BD5" w:sz="4" w:space="0"/>
          <w:left w:val="single" w:color="5B9BD5" w:sz="4" w:space="0"/>
          <w:bottom w:val="single" w:color="5B9BD5" w:sz="4" w:space="0"/>
          <w:right w:val="single" w:color="5B9BD5" w:sz="4" w:space="0"/>
          <w:insideH w:val="single" w:color="5B9BD5" w:sz="4" w:space="0"/>
          <w:insideV w:val="single" w:color="5B9BD5" w:sz="4" w:space="0"/>
        </w:tblBorders>
        <w:tblLayout w:type="fixed"/>
        <w:tblCellMar>
          <w:top w:w="0" w:type="dxa"/>
          <w:left w:w="0" w:type="dxa"/>
          <w:bottom w:w="0" w:type="dxa"/>
          <w:right w:w="0" w:type="dxa"/>
        </w:tblCellMar>
      </w:tblPr>
      <w:tblGrid>
        <w:gridCol w:w="8549"/>
      </w:tblGrid>
      <w:tr w14:paraId="6A71B67A">
        <w:tblPrEx>
          <w:tblBorders>
            <w:top w:val="single" w:color="5B9BD5" w:sz="4" w:space="0"/>
            <w:left w:val="single" w:color="5B9BD5" w:sz="4" w:space="0"/>
            <w:bottom w:val="single" w:color="5B9BD5" w:sz="4" w:space="0"/>
            <w:right w:val="single" w:color="5B9BD5" w:sz="4" w:space="0"/>
            <w:insideH w:val="single" w:color="5B9BD5" w:sz="4" w:space="0"/>
            <w:insideV w:val="single" w:color="5B9BD5" w:sz="4" w:space="0"/>
          </w:tblBorders>
          <w:tblCellMar>
            <w:top w:w="0" w:type="dxa"/>
            <w:left w:w="0" w:type="dxa"/>
            <w:bottom w:w="0" w:type="dxa"/>
            <w:right w:w="0" w:type="dxa"/>
          </w:tblCellMar>
        </w:tblPrEx>
        <w:trPr>
          <w:trHeight w:val="5542" w:hRule="atLeast"/>
        </w:trPr>
        <w:tc>
          <w:tcPr>
            <w:tcW w:w="8549" w:type="dxa"/>
            <w:tcBorders>
              <w:bottom w:val="single" w:color="000000" w:sz="2" w:space="0"/>
            </w:tcBorders>
            <w:shd w:val="clear" w:color="auto" w:fill="DEEAF6"/>
            <w:vAlign w:val="top"/>
          </w:tcPr>
          <w:p w14:paraId="5AF39939">
            <w:pPr>
              <w:spacing w:before="90" w:line="5244" w:lineRule="exact"/>
              <w:ind w:firstLine="102"/>
            </w:pPr>
            <w:r>
              <w:pict>
                <v:group id="_x0000_s1650" o:spid="_x0000_s1650" o:spt="203" style="position:absolute;left:0pt;margin-left:0.85pt;margin-top:2.15pt;height:275.7pt;width:425.85pt;mso-position-horizontal-relative:page;mso-position-vertical-relative:page;z-index:251789312;mso-width-relative:page;mso-height-relative:page;" coordsize="8517,5514">
                  <o:lock v:ext="edit"/>
                  <v:shape id="_x0000_s1651" o:spid="_x0000_s1651" style="position:absolute;left:21;top:0;height:60;width:8474;" fillcolor="#DEEAF6" filled="t" stroked="f" coordsize="8474,60" path="m0,60l8473,60,8473,0,0,0,0,60xe">
                    <v:path/>
                    <v:fill on="t" focussize="0,0"/>
                    <v:stroke on="f"/>
                    <v:imagedata o:title=""/>
                    <o:lock v:ext="edit"/>
                  </v:shape>
                  <v:shape id="_x0000_s1652" o:spid="_x0000_s1652" style="position:absolute;left:0;top:5455;height:58;width:8517;" fillcolor="#DEEAF6" filled="t" stroked="f" coordsize="8517,58" path="m0,57l8516,57,8516,0,0,0,0,57xe">
                    <v:path/>
                    <v:fill on="t" focussize="0,0"/>
                    <v:stroke on="f"/>
                    <v:imagedata o:title=""/>
                    <o:lock v:ext="edit"/>
                  </v:shape>
                </v:group>
              </w:pict>
            </w:r>
            <w:r>
              <w:rPr>
                <w:position w:val="-104"/>
              </w:rPr>
              <w:drawing>
                <wp:inline distT="0" distB="0" distL="0" distR="0">
                  <wp:extent cx="5290820" cy="3329305"/>
                  <wp:effectExtent l="0" t="0" r="0" b="0"/>
                  <wp:docPr id="504" name="IM 504"/>
                  <wp:cNvGraphicFramePr/>
                  <a:graphic xmlns:a="http://schemas.openxmlformats.org/drawingml/2006/main">
                    <a:graphicData uri="http://schemas.openxmlformats.org/drawingml/2006/picture">
                      <pic:pic xmlns:pic="http://schemas.openxmlformats.org/drawingml/2006/picture">
                        <pic:nvPicPr>
                          <pic:cNvPr id="504" name="IM 504"/>
                          <pic:cNvPicPr/>
                        </pic:nvPicPr>
                        <pic:blipFill>
                          <a:blip r:embed="rId536"/>
                          <a:stretch>
                            <a:fillRect/>
                          </a:stretch>
                        </pic:blipFill>
                        <pic:spPr>
                          <a:xfrm>
                            <a:off x="0" y="0"/>
                            <a:ext cx="5290820" cy="3329939"/>
                          </a:xfrm>
                          <a:prstGeom prst="rect">
                            <a:avLst/>
                          </a:prstGeom>
                        </pic:spPr>
                      </pic:pic>
                    </a:graphicData>
                  </a:graphic>
                </wp:inline>
              </w:drawing>
            </w:r>
          </w:p>
        </w:tc>
      </w:tr>
      <w:tr w14:paraId="7A462968">
        <w:tblPrEx>
          <w:tblBorders>
            <w:top w:val="single" w:color="5B9BD5" w:sz="4" w:space="0"/>
            <w:left w:val="single" w:color="5B9BD5" w:sz="4" w:space="0"/>
            <w:bottom w:val="single" w:color="5B9BD5" w:sz="4" w:space="0"/>
            <w:right w:val="single" w:color="5B9BD5" w:sz="4" w:space="0"/>
            <w:insideH w:val="single" w:color="5B9BD5" w:sz="4" w:space="0"/>
            <w:insideV w:val="single" w:color="5B9BD5" w:sz="4" w:space="0"/>
          </w:tblBorders>
          <w:tblCellMar>
            <w:top w:w="0" w:type="dxa"/>
            <w:left w:w="0" w:type="dxa"/>
            <w:bottom w:w="0" w:type="dxa"/>
            <w:right w:w="0" w:type="dxa"/>
          </w:tblCellMar>
        </w:tblPrEx>
        <w:trPr>
          <w:trHeight w:val="625" w:hRule="atLeast"/>
        </w:trPr>
        <w:tc>
          <w:tcPr>
            <w:tcW w:w="8549" w:type="dxa"/>
            <w:tcBorders>
              <w:top w:val="single" w:color="000000" w:sz="2" w:space="0"/>
              <w:left w:val="single" w:color="1C456A" w:sz="4" w:space="0"/>
              <w:bottom w:val="single" w:color="1C456A" w:sz="4" w:space="0"/>
              <w:right w:val="single" w:color="1C456A" w:sz="4" w:space="0"/>
            </w:tcBorders>
            <w:vAlign w:val="top"/>
          </w:tcPr>
          <w:p w14:paraId="43B948E0">
            <w:pPr>
              <w:pStyle w:val="7"/>
              <w:spacing w:before="103" w:line="215" w:lineRule="auto"/>
              <w:ind w:left="3411"/>
            </w:pPr>
            <w:r>
              <w:pict>
                <v:shape id="_x0000_s1653" o:spid="_x0000_s1653" style="position:absolute;left:0pt;margin-left:-0.25pt;margin-top:31.3pt;height:0.75pt;width:2.2pt;mso-position-horizontal-relative:page;mso-position-vertical-relative:page;z-index:251788288;mso-width-relative:page;mso-height-relative:page;" fillcolor="#5B9BD5" filled="t" stroked="f" coordsize="44,15" path="m0,14l43,14,43,0,0,0,0,14xe">
                  <v:path/>
                  <v:fill on="t" focussize="0,0"/>
                  <v:stroke on="f"/>
                  <v:imagedata o:title=""/>
                  <o:lock v:ext="edit"/>
                </v:shape>
              </w:pict>
            </w:r>
            <w:r>
              <w:rPr>
                <w:spacing w:val="-19"/>
              </w:rPr>
              <w:t>水稳摊铺施工流程</w:t>
            </w:r>
          </w:p>
        </w:tc>
      </w:tr>
    </w:tbl>
    <w:p w14:paraId="07706DB4">
      <w:pPr>
        <w:pStyle w:val="2"/>
        <w:spacing w:before="115" w:line="217" w:lineRule="auto"/>
        <w:ind w:left="1903"/>
        <w:rPr>
          <w:sz w:val="24"/>
          <w:szCs w:val="24"/>
        </w:rPr>
      </w:pPr>
      <w:r>
        <w:rPr>
          <w:spacing w:val="-16"/>
          <w:sz w:val="24"/>
          <w:szCs w:val="24"/>
        </w:rPr>
        <w:t>1.1试验阶段</w:t>
      </w:r>
    </w:p>
    <w:p w14:paraId="50550D7C">
      <w:pPr>
        <w:pStyle w:val="2"/>
        <w:spacing w:before="121" w:line="308" w:lineRule="auto"/>
        <w:ind w:left="1453" w:right="1410" w:firstLine="442"/>
        <w:rPr>
          <w:sz w:val="24"/>
          <w:szCs w:val="24"/>
        </w:rPr>
      </w:pPr>
      <w:r>
        <w:rPr>
          <w:spacing w:val="-20"/>
          <w:sz w:val="24"/>
          <w:szCs w:val="24"/>
        </w:rPr>
        <w:t>先在路幅一侧的车道上，经监理工程师同意按混合料设计实验所认可的配合比和批准的试验方案，修筑长度不少于200m的试验段，施工设备</w:t>
      </w:r>
      <w:r>
        <w:rPr>
          <w:spacing w:val="-21"/>
          <w:sz w:val="24"/>
          <w:szCs w:val="24"/>
        </w:rPr>
        <w:t>和工艺的改变，应试验确定或工程师审定。</w:t>
      </w:r>
      <w:r>
        <w:rPr>
          <w:spacing w:val="-20"/>
          <w:sz w:val="24"/>
          <w:szCs w:val="24"/>
        </w:rPr>
        <w:t>试验路段应采用不同的压实厚度、测试其干容重、含水量、使混合料达到最佳含水量的压实系</w:t>
      </w:r>
      <w:r>
        <w:rPr>
          <w:spacing w:val="-22"/>
          <w:sz w:val="24"/>
          <w:szCs w:val="24"/>
        </w:rPr>
        <w:t>数、压实遍数、压实程序等施工工艺。</w:t>
      </w:r>
    </w:p>
    <w:p w14:paraId="2ED2436E">
      <w:pPr>
        <w:spacing w:line="308" w:lineRule="auto"/>
        <w:rPr>
          <w:sz w:val="24"/>
          <w:szCs w:val="24"/>
        </w:rPr>
        <w:sectPr>
          <w:footerReference r:id="rId84" w:type="default"/>
          <w:pgSz w:w="11907" w:h="16839"/>
          <w:pgMar w:top="954" w:right="4" w:bottom="1038" w:left="0" w:header="499" w:footer="357" w:gutter="0"/>
          <w:pgBorders>
            <w:top w:val="none" w:sz="0" w:space="0"/>
            <w:left w:val="none" w:sz="0" w:space="0"/>
            <w:bottom w:val="none" w:sz="0" w:space="0"/>
            <w:right w:val="none" w:sz="0" w:space="0"/>
          </w:pgBorders>
          <w:cols w:space="720" w:num="1"/>
        </w:sectPr>
      </w:pPr>
    </w:p>
    <w:p w14:paraId="62163DA4">
      <w:pPr>
        <w:spacing w:line="214" w:lineRule="exact"/>
      </w:pPr>
    </w:p>
    <w:tbl>
      <w:tblPr>
        <w:tblStyle w:val="6"/>
        <w:tblW w:w="8549" w:type="dxa"/>
        <w:tblInd w:w="1678" w:type="dxa"/>
        <w:tblBorders>
          <w:top w:val="single" w:color="5B9BD5" w:sz="4" w:space="0"/>
          <w:left w:val="single" w:color="5B9BD5" w:sz="4" w:space="0"/>
          <w:bottom w:val="single" w:color="5B9BD5" w:sz="4" w:space="0"/>
          <w:right w:val="single" w:color="5B9BD5" w:sz="4" w:space="0"/>
          <w:insideH w:val="single" w:color="5B9BD5" w:sz="4" w:space="0"/>
          <w:insideV w:val="single" w:color="5B9BD5" w:sz="4" w:space="0"/>
        </w:tblBorders>
        <w:tblLayout w:type="fixed"/>
        <w:tblCellMar>
          <w:top w:w="0" w:type="dxa"/>
          <w:left w:w="0" w:type="dxa"/>
          <w:bottom w:w="0" w:type="dxa"/>
          <w:right w:w="0" w:type="dxa"/>
        </w:tblCellMar>
      </w:tblPr>
      <w:tblGrid>
        <w:gridCol w:w="8549"/>
      </w:tblGrid>
      <w:tr w14:paraId="139FFF34">
        <w:tblPrEx>
          <w:tblBorders>
            <w:top w:val="single" w:color="5B9BD5" w:sz="4" w:space="0"/>
            <w:left w:val="single" w:color="5B9BD5" w:sz="4" w:space="0"/>
            <w:bottom w:val="single" w:color="5B9BD5" w:sz="4" w:space="0"/>
            <w:right w:val="single" w:color="5B9BD5" w:sz="4" w:space="0"/>
            <w:insideH w:val="single" w:color="5B9BD5" w:sz="4" w:space="0"/>
            <w:insideV w:val="single" w:color="5B9BD5" w:sz="4" w:space="0"/>
          </w:tblBorders>
          <w:tblCellMar>
            <w:top w:w="0" w:type="dxa"/>
            <w:left w:w="0" w:type="dxa"/>
            <w:bottom w:w="0" w:type="dxa"/>
            <w:right w:w="0" w:type="dxa"/>
          </w:tblCellMar>
        </w:tblPrEx>
        <w:trPr>
          <w:trHeight w:val="4668" w:hRule="atLeast"/>
        </w:trPr>
        <w:tc>
          <w:tcPr>
            <w:tcW w:w="8549" w:type="dxa"/>
            <w:tcBorders>
              <w:bottom w:val="single" w:color="000000" w:sz="2" w:space="0"/>
            </w:tcBorders>
            <w:shd w:val="clear" w:color="auto" w:fill="DEEAF6"/>
            <w:vAlign w:val="top"/>
          </w:tcPr>
          <w:p w14:paraId="26A21F0E">
            <w:pPr>
              <w:spacing w:before="93" w:line="4363" w:lineRule="exact"/>
              <w:ind w:firstLine="68"/>
            </w:pPr>
            <w:r>
              <w:pict>
                <v:group id="_x0000_s1654" o:spid="_x0000_s1654" o:spt="203" style="position:absolute;left:0pt;margin-left:0.85pt;margin-top:2.15pt;height:231.8pt;width:425.85pt;mso-position-horizontal-relative:page;mso-position-vertical-relative:page;z-index:251790336;mso-width-relative:page;mso-height-relative:page;" coordsize="8517,4636">
                  <o:lock v:ext="edit"/>
                  <v:shape id="_x0000_s1655" o:spid="_x0000_s1655" style="position:absolute;left:21;top:0;height:60;width:8474;" fillcolor="#DEEAF6" filled="t" stroked="f" coordsize="8474,60" path="m0,60l8473,60,8473,0,0,0,0,60xe">
                    <v:path/>
                    <v:fill on="t" focussize="0,0"/>
                    <v:stroke on="f"/>
                    <v:imagedata o:title=""/>
                    <o:lock v:ext="edit"/>
                  </v:shape>
                  <v:shape id="_x0000_s1656" o:spid="_x0000_s1656" style="position:absolute;left:0;top:4577;height:58;width:8517;" fillcolor="#DEEAF6" filled="t" stroked="f" coordsize="8517,58" path="m0,57l8516,57,8516,0,0,0,0,57xe">
                    <v:path/>
                    <v:fill on="t" focussize="0,0"/>
                    <v:stroke on="f"/>
                    <v:imagedata o:title=""/>
                    <o:lock v:ext="edit"/>
                  </v:shape>
                </v:group>
              </w:pict>
            </w:r>
            <w:r>
              <w:rPr>
                <w:position w:val="-87"/>
              </w:rPr>
              <w:drawing>
                <wp:inline distT="0" distB="0" distL="0" distR="0">
                  <wp:extent cx="5347970" cy="2770505"/>
                  <wp:effectExtent l="0" t="0" r="0" b="0"/>
                  <wp:docPr id="508" name="IM 508"/>
                  <wp:cNvGraphicFramePr/>
                  <a:graphic xmlns:a="http://schemas.openxmlformats.org/drawingml/2006/main">
                    <a:graphicData uri="http://schemas.openxmlformats.org/drawingml/2006/picture">
                      <pic:pic xmlns:pic="http://schemas.openxmlformats.org/drawingml/2006/picture">
                        <pic:nvPicPr>
                          <pic:cNvPr id="508" name="IM 508"/>
                          <pic:cNvPicPr/>
                        </pic:nvPicPr>
                        <pic:blipFill>
                          <a:blip r:embed="rId537"/>
                          <a:stretch>
                            <a:fillRect/>
                          </a:stretch>
                        </pic:blipFill>
                        <pic:spPr>
                          <a:xfrm>
                            <a:off x="0" y="0"/>
                            <a:ext cx="5347970" cy="2770505"/>
                          </a:xfrm>
                          <a:prstGeom prst="rect">
                            <a:avLst/>
                          </a:prstGeom>
                        </pic:spPr>
                      </pic:pic>
                    </a:graphicData>
                  </a:graphic>
                </wp:inline>
              </w:drawing>
            </w:r>
          </w:p>
        </w:tc>
      </w:tr>
      <w:tr w14:paraId="69217D63">
        <w:tblPrEx>
          <w:tblBorders>
            <w:top w:val="single" w:color="5B9BD5" w:sz="4" w:space="0"/>
            <w:left w:val="single" w:color="5B9BD5" w:sz="4" w:space="0"/>
            <w:bottom w:val="single" w:color="5B9BD5" w:sz="4" w:space="0"/>
            <w:right w:val="single" w:color="5B9BD5" w:sz="4" w:space="0"/>
            <w:insideH w:val="single" w:color="5B9BD5" w:sz="4" w:space="0"/>
            <w:insideV w:val="single" w:color="5B9BD5" w:sz="4" w:space="0"/>
          </w:tblBorders>
        </w:tblPrEx>
        <w:trPr>
          <w:trHeight w:val="4718" w:hRule="atLeast"/>
        </w:trPr>
        <w:tc>
          <w:tcPr>
            <w:tcW w:w="8549" w:type="dxa"/>
            <w:tcBorders>
              <w:top w:val="single" w:color="000000" w:sz="2" w:space="0"/>
              <w:left w:val="single" w:color="1C456A" w:sz="4" w:space="0"/>
              <w:bottom w:val="single" w:color="1C456A" w:sz="4" w:space="0"/>
              <w:right w:val="single" w:color="1C456A" w:sz="4" w:space="0"/>
            </w:tcBorders>
            <w:vAlign w:val="top"/>
          </w:tcPr>
          <w:p w14:paraId="6E5C6B5E">
            <w:pPr>
              <w:spacing w:before="62" w:line="4406" w:lineRule="exact"/>
              <w:ind w:firstLine="68"/>
            </w:pPr>
            <w:r>
              <w:pict>
                <v:shape id="_x0000_s1657" o:spid="_x0000_s1657" style="position:absolute;left:0pt;margin-left:-0.25pt;margin-top:235.95pt;height:0.75pt;width:2.2pt;mso-position-horizontal-relative:page;mso-position-vertical-relative:page;z-index:251792384;mso-width-relative:page;mso-height-relative:page;" fillcolor="#5B9BD5" filled="t" stroked="f" coordsize="44,15" path="m0,14l43,14,43,0,0,0,0,14xe">
                  <v:path/>
                  <v:fill on="t" focussize="0,0"/>
                  <v:stroke on="f"/>
                  <v:imagedata o:title=""/>
                  <o:lock v:ext="edit"/>
                </v:shape>
              </w:pict>
            </w:r>
            <w:r>
              <w:pict>
                <v:shape id="_x0000_s1658" o:spid="_x0000_s1658" style="position:absolute;left:0pt;margin-left:425.6pt;margin-top:235.95pt;height:0.75pt;width:2.2pt;mso-position-horizontal-relative:page;mso-position-vertical-relative:page;z-index:251791360;mso-width-relative:page;mso-height-relative:page;" fillcolor="#5B9BD5" filled="t" stroked="f" coordsize="44,15" path="m0,14l43,14,43,0,0,0,0,14xe">
                  <v:path/>
                  <v:fill on="t" focussize="0,0"/>
                  <v:stroke on="f"/>
                  <v:imagedata o:title=""/>
                  <o:lock v:ext="edit"/>
                </v:shape>
              </w:pict>
            </w:r>
            <w:r>
              <w:rPr>
                <w:position w:val="-88"/>
              </w:rPr>
              <w:drawing>
                <wp:inline distT="0" distB="0" distL="0" distR="0">
                  <wp:extent cx="5357495" cy="2797175"/>
                  <wp:effectExtent l="0" t="0" r="0" b="0"/>
                  <wp:docPr id="510" name="IM 510"/>
                  <wp:cNvGraphicFramePr/>
                  <a:graphic xmlns:a="http://schemas.openxmlformats.org/drawingml/2006/main">
                    <a:graphicData uri="http://schemas.openxmlformats.org/drawingml/2006/picture">
                      <pic:pic xmlns:pic="http://schemas.openxmlformats.org/drawingml/2006/picture">
                        <pic:nvPicPr>
                          <pic:cNvPr id="510" name="IM 510"/>
                          <pic:cNvPicPr/>
                        </pic:nvPicPr>
                        <pic:blipFill>
                          <a:blip r:embed="rId538"/>
                          <a:stretch>
                            <a:fillRect/>
                          </a:stretch>
                        </pic:blipFill>
                        <pic:spPr>
                          <a:xfrm>
                            <a:off x="0" y="0"/>
                            <a:ext cx="5358129" cy="2797809"/>
                          </a:xfrm>
                          <a:prstGeom prst="rect">
                            <a:avLst/>
                          </a:prstGeom>
                        </pic:spPr>
                      </pic:pic>
                    </a:graphicData>
                  </a:graphic>
                </wp:inline>
              </w:drawing>
            </w:r>
          </w:p>
        </w:tc>
      </w:tr>
    </w:tbl>
    <w:p w14:paraId="50780DA8">
      <w:pPr>
        <w:pStyle w:val="2"/>
        <w:spacing w:before="113" w:line="215" w:lineRule="auto"/>
        <w:ind w:left="1903"/>
        <w:rPr>
          <w:sz w:val="24"/>
          <w:szCs w:val="24"/>
        </w:rPr>
      </w:pPr>
      <w:r>
        <w:rPr>
          <w:spacing w:val="-19"/>
          <w:sz w:val="24"/>
          <w:szCs w:val="24"/>
        </w:rPr>
        <w:t>1.2水泥稳定碎石的拌和与运输</w:t>
      </w:r>
    </w:p>
    <w:p w14:paraId="71819C03">
      <w:pPr>
        <w:pStyle w:val="2"/>
        <w:spacing w:before="121" w:line="215" w:lineRule="auto"/>
        <w:ind w:left="1892"/>
        <w:rPr>
          <w:sz w:val="24"/>
          <w:szCs w:val="24"/>
        </w:rPr>
      </w:pPr>
      <w:r>
        <w:rPr>
          <w:spacing w:val="-20"/>
          <w:sz w:val="24"/>
          <w:szCs w:val="24"/>
        </w:rPr>
        <w:t>水泥稳定碎石采用厂拌。</w:t>
      </w:r>
    </w:p>
    <w:p w14:paraId="3035A002">
      <w:pPr>
        <w:pStyle w:val="2"/>
        <w:spacing w:before="121" w:line="215" w:lineRule="auto"/>
        <w:ind w:left="1892"/>
        <w:rPr>
          <w:sz w:val="24"/>
          <w:szCs w:val="24"/>
        </w:rPr>
      </w:pPr>
      <w:r>
        <w:rPr>
          <w:spacing w:val="-21"/>
          <w:sz w:val="24"/>
          <w:szCs w:val="24"/>
        </w:rPr>
        <w:t>水泥稳定碎石采用自卸汽车运输方式。</w:t>
      </w:r>
    </w:p>
    <w:p w14:paraId="1BF1B757">
      <w:pPr>
        <w:pStyle w:val="2"/>
        <w:spacing w:before="117" w:line="309" w:lineRule="auto"/>
        <w:ind w:left="1460" w:right="1410" w:firstLine="432"/>
        <w:rPr>
          <w:sz w:val="24"/>
          <w:szCs w:val="24"/>
        </w:rPr>
      </w:pPr>
      <w:r>
        <w:rPr>
          <w:spacing w:val="-20"/>
          <w:sz w:val="24"/>
          <w:szCs w:val="24"/>
        </w:rPr>
        <w:t>厂拌的设备及布置位置在拌和之前提交监理工程师并取得批准。水泥和集料按数量比例掺</w:t>
      </w:r>
      <w:r>
        <w:rPr>
          <w:spacing w:val="-21"/>
          <w:sz w:val="24"/>
          <w:szCs w:val="24"/>
        </w:rPr>
        <w:t>配，并以重量配比、加水。拌和时的加水时间及</w:t>
      </w:r>
      <w:r>
        <w:rPr>
          <w:spacing w:val="-22"/>
          <w:sz w:val="24"/>
          <w:szCs w:val="24"/>
        </w:rPr>
        <w:t>水量要有记录，以备监理工程师检验。</w:t>
      </w:r>
    </w:p>
    <w:p w14:paraId="53B2A484">
      <w:pPr>
        <w:pStyle w:val="2"/>
        <w:spacing w:before="2" w:line="307" w:lineRule="auto"/>
        <w:ind w:left="1456" w:right="1409" w:firstLine="462"/>
        <w:jc w:val="both"/>
        <w:rPr>
          <w:sz w:val="24"/>
          <w:szCs w:val="24"/>
        </w:rPr>
      </w:pPr>
      <w:r>
        <w:rPr>
          <w:spacing w:val="-20"/>
          <w:sz w:val="24"/>
          <w:szCs w:val="24"/>
        </w:rPr>
        <w:t>当进行拌和操作时，稳定料加入方式应能保证自始自终均匀分布于被稳</w:t>
      </w:r>
      <w:r>
        <w:rPr>
          <w:spacing w:val="-21"/>
          <w:sz w:val="24"/>
          <w:szCs w:val="24"/>
        </w:rPr>
        <w:t>定材料中，在通向</w:t>
      </w:r>
      <w:r>
        <w:rPr>
          <w:spacing w:val="-20"/>
          <w:sz w:val="24"/>
          <w:szCs w:val="24"/>
        </w:rPr>
        <w:t>称量漏斗或拌和机的供应线上为抽取试样，提供安全方便的设备。拌和机内的死角中得不到充分搅动的材料，应及时清除。</w:t>
      </w:r>
    </w:p>
    <w:p w14:paraId="4B641F7D">
      <w:pPr>
        <w:pStyle w:val="2"/>
        <w:spacing w:before="1" w:line="306" w:lineRule="auto"/>
        <w:ind w:left="1456" w:right="1410" w:firstLine="438"/>
        <w:rPr>
          <w:sz w:val="24"/>
          <w:szCs w:val="24"/>
        </w:rPr>
      </w:pPr>
      <w:r>
        <w:rPr>
          <w:spacing w:val="-20"/>
          <w:sz w:val="24"/>
          <w:szCs w:val="24"/>
        </w:rPr>
        <w:t>运输混合料的运输设备，要分散设备的压力，均匀地在已完成的铺筑层整个表面通过，速</w:t>
      </w:r>
      <w:r>
        <w:rPr>
          <w:spacing w:val="-21"/>
          <w:sz w:val="24"/>
          <w:szCs w:val="24"/>
        </w:rPr>
        <w:t>度宜缓，减少不均匀碾压及车辙。</w:t>
      </w:r>
    </w:p>
    <w:p w14:paraId="698DC0AF">
      <w:pPr>
        <w:pStyle w:val="2"/>
        <w:spacing w:before="2" w:line="309" w:lineRule="auto"/>
        <w:ind w:left="1480" w:right="1409" w:firstLine="437"/>
        <w:rPr>
          <w:sz w:val="24"/>
          <w:szCs w:val="24"/>
        </w:rPr>
      </w:pPr>
      <w:r>
        <w:rPr>
          <w:spacing w:val="-20"/>
          <w:sz w:val="24"/>
          <w:szCs w:val="24"/>
        </w:rPr>
        <w:t>当场拌离摊铺点较远时，混合料在运输过程中应加覆盖以防水份蒸发，</w:t>
      </w:r>
      <w:r>
        <w:rPr>
          <w:spacing w:val="-21"/>
          <w:sz w:val="24"/>
          <w:szCs w:val="24"/>
        </w:rPr>
        <w:t>保持装载高度均匀以防水份蒸发，保持装载高度均匀以防离析。摊铺时注意卸料速度、数量与摊铺</w:t>
      </w:r>
      <w:r>
        <w:rPr>
          <w:spacing w:val="-22"/>
          <w:sz w:val="24"/>
          <w:szCs w:val="24"/>
        </w:rPr>
        <w:t>厚度及宽度。</w:t>
      </w:r>
    </w:p>
    <w:p w14:paraId="36A58345">
      <w:pPr>
        <w:spacing w:line="309" w:lineRule="auto"/>
        <w:rPr>
          <w:sz w:val="24"/>
          <w:szCs w:val="24"/>
        </w:rPr>
        <w:sectPr>
          <w:footerReference r:id="rId85" w:type="default"/>
          <w:pgSz w:w="11907" w:h="16839"/>
          <w:pgMar w:top="954" w:right="4" w:bottom="1038" w:left="0" w:header="499" w:footer="357" w:gutter="0"/>
          <w:pgBorders>
            <w:top w:val="none" w:sz="0" w:space="0"/>
            <w:left w:val="none" w:sz="0" w:space="0"/>
            <w:bottom w:val="none" w:sz="0" w:space="0"/>
            <w:right w:val="none" w:sz="0" w:space="0"/>
          </w:pgBorders>
          <w:cols w:space="720" w:num="1"/>
        </w:sectPr>
      </w:pPr>
    </w:p>
    <w:p w14:paraId="52D0E12D">
      <w:pPr>
        <w:spacing w:line="250" w:lineRule="auto"/>
        <w:rPr>
          <w:rFonts w:ascii="Arial"/>
          <w:sz w:val="21"/>
        </w:rPr>
      </w:pPr>
    </w:p>
    <w:p w14:paraId="73592117">
      <w:pPr>
        <w:pStyle w:val="2"/>
        <w:spacing w:before="78" w:line="216" w:lineRule="auto"/>
        <w:ind w:left="1458"/>
        <w:rPr>
          <w:sz w:val="24"/>
          <w:szCs w:val="24"/>
        </w:rPr>
      </w:pPr>
      <w:r>
        <w:rPr>
          <w:spacing w:val="-21"/>
          <w:sz w:val="24"/>
          <w:szCs w:val="24"/>
        </w:rPr>
        <w:t>拌和好的混合料要尽快摊铺。</w:t>
      </w:r>
    </w:p>
    <w:p w14:paraId="56405C44">
      <w:pPr>
        <w:pStyle w:val="2"/>
        <w:spacing w:before="120" w:line="215" w:lineRule="auto"/>
        <w:ind w:left="1903"/>
        <w:rPr>
          <w:sz w:val="24"/>
          <w:szCs w:val="24"/>
        </w:rPr>
      </w:pPr>
      <w:r>
        <w:rPr>
          <w:spacing w:val="-19"/>
          <w:sz w:val="24"/>
          <w:szCs w:val="24"/>
        </w:rPr>
        <w:t>1.3水泥稳定碎石的碾压试验</w:t>
      </w:r>
    </w:p>
    <w:p w14:paraId="56568F19">
      <w:pPr>
        <w:pStyle w:val="2"/>
        <w:spacing w:before="117" w:line="308" w:lineRule="auto"/>
        <w:ind w:left="1456" w:right="1409" w:firstLine="436"/>
        <w:rPr>
          <w:sz w:val="24"/>
          <w:szCs w:val="24"/>
        </w:rPr>
      </w:pPr>
      <w:r>
        <w:rPr>
          <w:spacing w:val="-20"/>
          <w:sz w:val="24"/>
          <w:szCs w:val="24"/>
        </w:rPr>
        <w:t>水泥稳定碎石摊铺前要进行碾压试验，一是测定碾压机的碾压参数，包括碾压机械的碾压遍数、碾压机械的型号；二是测定虚铺厚度，以保证每次摊铺的水泥稳定碎石经碾压后基层设</w:t>
      </w:r>
      <w:r>
        <w:rPr>
          <w:spacing w:val="-21"/>
          <w:sz w:val="24"/>
          <w:szCs w:val="24"/>
        </w:rPr>
        <w:t>计厚度的要求，且一次性成型，不需要再添加或挖除，以提高工</w:t>
      </w:r>
      <w:r>
        <w:rPr>
          <w:spacing w:val="-22"/>
          <w:sz w:val="24"/>
          <w:szCs w:val="24"/>
        </w:rPr>
        <w:t>程质量。</w:t>
      </w:r>
    </w:p>
    <w:p w14:paraId="0BAC3882">
      <w:pPr>
        <w:pStyle w:val="2"/>
        <w:spacing w:line="215" w:lineRule="auto"/>
        <w:ind w:left="1903"/>
        <w:rPr>
          <w:sz w:val="24"/>
          <w:szCs w:val="24"/>
        </w:rPr>
      </w:pPr>
      <w:r>
        <w:rPr>
          <w:spacing w:val="-19"/>
          <w:sz w:val="24"/>
          <w:szCs w:val="24"/>
        </w:rPr>
        <w:t>1.4水泥稳定碎石的摊铺</w:t>
      </w:r>
    </w:p>
    <w:p w14:paraId="1EE0DB72">
      <w:pPr>
        <w:pStyle w:val="2"/>
        <w:spacing w:before="122" w:line="307" w:lineRule="auto"/>
        <w:ind w:left="1456" w:right="1410" w:firstLine="436"/>
        <w:rPr>
          <w:sz w:val="24"/>
          <w:szCs w:val="24"/>
        </w:rPr>
      </w:pPr>
      <w:r>
        <w:rPr>
          <w:spacing w:val="-20"/>
          <w:sz w:val="24"/>
          <w:szCs w:val="24"/>
        </w:rPr>
        <w:t>水泥稳定碎石基层要尽可能大面积摊铺，减少水泥稳定碎石摊铺接头数量。水泥稳定碎石</w:t>
      </w:r>
      <w:r>
        <w:rPr>
          <w:spacing w:val="-21"/>
          <w:sz w:val="24"/>
          <w:szCs w:val="24"/>
        </w:rPr>
        <w:t>基层摊铺的宽度采取整幅摊铺的方法。水泥稳定碎石基层摊</w:t>
      </w:r>
      <w:r>
        <w:rPr>
          <w:spacing w:val="-22"/>
          <w:sz w:val="24"/>
          <w:szCs w:val="24"/>
        </w:rPr>
        <w:t>铺的长度以一个施工小段为标准。</w:t>
      </w:r>
    </w:p>
    <w:p w14:paraId="7CB11286">
      <w:pPr>
        <w:pStyle w:val="2"/>
        <w:spacing w:line="215" w:lineRule="auto"/>
        <w:ind w:left="1938"/>
        <w:rPr>
          <w:sz w:val="24"/>
          <w:szCs w:val="24"/>
        </w:rPr>
      </w:pPr>
      <w:r>
        <w:rPr>
          <w:spacing w:val="-23"/>
          <w:sz w:val="24"/>
          <w:szCs w:val="24"/>
        </w:rPr>
        <w:t>自卸汽车将水泥稳定碎石卸至铺筑工作面后，由摊铺机摊铺。</w:t>
      </w:r>
    </w:p>
    <w:p w14:paraId="51FA43B6">
      <w:pPr>
        <w:spacing w:line="62" w:lineRule="auto"/>
        <w:rPr>
          <w:rFonts w:ascii="Arial"/>
          <w:sz w:val="2"/>
        </w:rPr>
      </w:pPr>
    </w:p>
    <w:tbl>
      <w:tblPr>
        <w:tblStyle w:val="6"/>
        <w:tblW w:w="8557" w:type="dxa"/>
        <w:tblInd w:w="167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462"/>
        <w:gridCol w:w="4095"/>
      </w:tblGrid>
      <w:tr w14:paraId="741FB1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4" w:hRule="atLeast"/>
        </w:trPr>
        <w:tc>
          <w:tcPr>
            <w:tcW w:w="4462" w:type="dxa"/>
            <w:tcBorders>
              <w:top w:val="single" w:color="000000" w:sz="4" w:space="0"/>
              <w:left w:val="single" w:color="000000" w:sz="4" w:space="0"/>
            </w:tcBorders>
            <w:shd w:val="clear" w:color="auto" w:fill="DEEAF6"/>
            <w:vAlign w:val="top"/>
          </w:tcPr>
          <w:p w14:paraId="78E11078">
            <w:pPr>
              <w:spacing w:before="92" w:line="2878" w:lineRule="exact"/>
              <w:ind w:firstLine="124"/>
            </w:pPr>
            <w:r>
              <w:pict>
                <v:group id="_x0000_s1659" o:spid="_x0000_s1659" o:spt="203" style="position:absolute;left:0pt;margin-left:0.9pt;margin-top:2.15pt;height:157.5pt;width:222.05pt;mso-position-horizontal-relative:page;mso-position-vertical-relative:page;z-index:251795456;mso-width-relative:page;mso-height-relative:page;" coordsize="4441,3150">
                  <o:lock v:ext="edit"/>
                  <v:shape id="_x0000_s1660" o:spid="_x0000_s1660" style="position:absolute;left:21;top:0;height:60;width:4413;" fillcolor="#DEEAF6" filled="t" stroked="f" coordsize="4413,60" path="m0,60l4413,60,4413,0,0,0,0,60xe">
                    <v:path/>
                    <v:fill on="t" focussize="0,0"/>
                    <v:stroke on="f"/>
                    <v:imagedata o:title=""/>
                    <o:lock v:ext="edit"/>
                  </v:shape>
                  <v:shape id="_x0000_s1661" o:spid="_x0000_s1661" style="position:absolute;left:0;top:3091;height:58;width:4441;" fillcolor="#DEEAF6" filled="t" stroked="f" coordsize="4441,58" path="m0,57l4440,57,4440,0,0,0,0,57xe">
                    <v:path/>
                    <v:fill on="t" focussize="0,0"/>
                    <v:stroke on="f"/>
                    <v:imagedata o:title=""/>
                    <o:lock v:ext="edit"/>
                  </v:shape>
                </v:group>
              </w:pict>
            </w:r>
            <w:r>
              <w:rPr>
                <w:position w:val="-57"/>
              </w:rPr>
              <w:drawing>
                <wp:inline distT="0" distB="0" distL="0" distR="0">
                  <wp:extent cx="2677795" cy="1826895"/>
                  <wp:effectExtent l="0" t="0" r="0" b="0"/>
                  <wp:docPr id="514" name="IM 514"/>
                  <wp:cNvGraphicFramePr/>
                  <a:graphic xmlns:a="http://schemas.openxmlformats.org/drawingml/2006/main">
                    <a:graphicData uri="http://schemas.openxmlformats.org/drawingml/2006/picture">
                      <pic:pic xmlns:pic="http://schemas.openxmlformats.org/drawingml/2006/picture">
                        <pic:nvPicPr>
                          <pic:cNvPr id="514" name="IM 514"/>
                          <pic:cNvPicPr/>
                        </pic:nvPicPr>
                        <pic:blipFill>
                          <a:blip r:embed="rId539"/>
                          <a:stretch>
                            <a:fillRect/>
                          </a:stretch>
                        </pic:blipFill>
                        <pic:spPr>
                          <a:xfrm>
                            <a:off x="0" y="0"/>
                            <a:ext cx="2677795" cy="1827529"/>
                          </a:xfrm>
                          <a:prstGeom prst="rect">
                            <a:avLst/>
                          </a:prstGeom>
                        </pic:spPr>
                      </pic:pic>
                    </a:graphicData>
                  </a:graphic>
                </wp:inline>
              </w:drawing>
            </w:r>
          </w:p>
        </w:tc>
        <w:tc>
          <w:tcPr>
            <w:tcW w:w="4095" w:type="dxa"/>
            <w:tcBorders>
              <w:top w:val="single" w:color="5B9BD5" w:sz="4" w:space="0"/>
              <w:right w:val="single" w:color="5B9BD5" w:sz="4" w:space="0"/>
            </w:tcBorders>
            <w:shd w:val="clear" w:color="auto" w:fill="DEEAF6"/>
            <w:vAlign w:val="top"/>
          </w:tcPr>
          <w:p w14:paraId="77FA0D06">
            <w:pPr>
              <w:spacing w:before="114" w:line="2832" w:lineRule="exact"/>
              <w:ind w:firstLine="145"/>
            </w:pPr>
            <w:r>
              <w:pict>
                <v:group id="_x0000_s1662" o:spid="_x0000_s1662" o:spt="203" style="position:absolute;left:0pt;margin-left:-0.2pt;margin-top:2.15pt;height:157.5pt;width:204.2pt;mso-position-horizontal-relative:page;mso-position-vertical-relative:page;z-index:251796480;mso-width-relative:page;mso-height-relative:page;" coordsize="4083,3150">
                  <o:lock v:ext="edit"/>
                  <v:shape id="_x0000_s1663" o:spid="_x0000_s1663" style="position:absolute;left:38;top:0;height:60;width:4023;" fillcolor="#DEEAF6" filled="t" stroked="f" coordsize="4023,60" path="m0,60l4023,60,4023,0,0,0,0,60xe">
                    <v:path/>
                    <v:fill on="t" focussize="0,0"/>
                    <v:stroke on="f"/>
                    <v:imagedata o:title=""/>
                    <o:lock v:ext="edit"/>
                  </v:shape>
                  <v:shape id="_x0000_s1664" o:spid="_x0000_s1664" style="position:absolute;left:0;top:3091;height:58;width:4083;" fillcolor="#DEEAF6" filled="t" stroked="f" coordsize="4083,58" path="m0,57l4083,57,4083,0,0,0,0,57xe">
                    <v:path/>
                    <v:fill on="t" focussize="0,0"/>
                    <v:stroke on="f"/>
                    <v:imagedata o:title=""/>
                    <o:lock v:ext="edit"/>
                  </v:shape>
                </v:group>
              </w:pict>
            </w:r>
            <w:r>
              <w:rPr>
                <w:position w:val="-56"/>
              </w:rPr>
              <w:drawing>
                <wp:inline distT="0" distB="0" distL="0" distR="0">
                  <wp:extent cx="2397125" cy="1797685"/>
                  <wp:effectExtent l="0" t="0" r="0" b="0"/>
                  <wp:docPr id="516" name="IM 516"/>
                  <wp:cNvGraphicFramePr/>
                  <a:graphic xmlns:a="http://schemas.openxmlformats.org/drawingml/2006/main">
                    <a:graphicData uri="http://schemas.openxmlformats.org/drawingml/2006/picture">
                      <pic:pic xmlns:pic="http://schemas.openxmlformats.org/drawingml/2006/picture">
                        <pic:nvPicPr>
                          <pic:cNvPr id="516" name="IM 516"/>
                          <pic:cNvPicPr/>
                        </pic:nvPicPr>
                        <pic:blipFill>
                          <a:blip r:embed="rId540"/>
                          <a:stretch>
                            <a:fillRect/>
                          </a:stretch>
                        </pic:blipFill>
                        <pic:spPr>
                          <a:xfrm>
                            <a:off x="0" y="0"/>
                            <a:ext cx="2397125" cy="1798319"/>
                          </a:xfrm>
                          <a:prstGeom prst="rect">
                            <a:avLst/>
                          </a:prstGeom>
                        </pic:spPr>
                      </pic:pic>
                    </a:graphicData>
                  </a:graphic>
                </wp:inline>
              </w:drawing>
            </w:r>
          </w:p>
        </w:tc>
      </w:tr>
      <w:tr w14:paraId="114752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4" w:hRule="atLeast"/>
        </w:trPr>
        <w:tc>
          <w:tcPr>
            <w:tcW w:w="4462" w:type="dxa"/>
            <w:tcBorders>
              <w:left w:val="single" w:color="000000" w:sz="4" w:space="0"/>
            </w:tcBorders>
            <w:vAlign w:val="top"/>
          </w:tcPr>
          <w:p w14:paraId="0FEEC83C">
            <w:pPr>
              <w:pStyle w:val="7"/>
              <w:spacing w:before="97" w:line="215" w:lineRule="auto"/>
              <w:ind w:left="967"/>
            </w:pPr>
            <w:r>
              <w:rPr>
                <w:spacing w:val="-17"/>
              </w:rPr>
              <w:t>水泥稳定碎石摊铺施工图1</w:t>
            </w:r>
          </w:p>
        </w:tc>
        <w:tc>
          <w:tcPr>
            <w:tcW w:w="4095" w:type="dxa"/>
            <w:tcBorders>
              <w:right w:val="single" w:color="000000" w:sz="4" w:space="0"/>
            </w:tcBorders>
            <w:vAlign w:val="top"/>
          </w:tcPr>
          <w:p w14:paraId="784ACDDA">
            <w:pPr>
              <w:pStyle w:val="7"/>
              <w:spacing w:before="97" w:line="215" w:lineRule="auto"/>
              <w:ind w:left="768"/>
            </w:pPr>
            <w:r>
              <w:rPr>
                <w:spacing w:val="-17"/>
              </w:rPr>
              <w:t>水泥稳定碎石摊铺施工图2</w:t>
            </w:r>
          </w:p>
        </w:tc>
      </w:tr>
      <w:tr w14:paraId="1FC47E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22" w:hRule="atLeast"/>
        </w:trPr>
        <w:tc>
          <w:tcPr>
            <w:tcW w:w="4462" w:type="dxa"/>
            <w:tcBorders>
              <w:left w:val="single" w:color="000000" w:sz="4" w:space="0"/>
            </w:tcBorders>
            <w:vAlign w:val="top"/>
          </w:tcPr>
          <w:p w14:paraId="1B4065DA">
            <w:pPr>
              <w:spacing w:before="60" w:line="4551" w:lineRule="exact"/>
              <w:ind w:firstLine="145"/>
            </w:pPr>
            <w:r>
              <w:rPr>
                <w:position w:val="-91"/>
              </w:rPr>
              <w:drawing>
                <wp:inline distT="0" distB="0" distL="0" distR="0">
                  <wp:extent cx="2649855" cy="2889885"/>
                  <wp:effectExtent l="0" t="0" r="0" b="0"/>
                  <wp:docPr id="518" name="IM 518"/>
                  <wp:cNvGraphicFramePr/>
                  <a:graphic xmlns:a="http://schemas.openxmlformats.org/drawingml/2006/main">
                    <a:graphicData uri="http://schemas.openxmlformats.org/drawingml/2006/picture">
                      <pic:pic xmlns:pic="http://schemas.openxmlformats.org/drawingml/2006/picture">
                        <pic:nvPicPr>
                          <pic:cNvPr id="518" name="IM 518"/>
                          <pic:cNvPicPr/>
                        </pic:nvPicPr>
                        <pic:blipFill>
                          <a:blip r:embed="rId541"/>
                          <a:stretch>
                            <a:fillRect/>
                          </a:stretch>
                        </pic:blipFill>
                        <pic:spPr>
                          <a:xfrm>
                            <a:off x="0" y="0"/>
                            <a:ext cx="2650489" cy="2889885"/>
                          </a:xfrm>
                          <a:prstGeom prst="rect">
                            <a:avLst/>
                          </a:prstGeom>
                        </pic:spPr>
                      </pic:pic>
                    </a:graphicData>
                  </a:graphic>
                </wp:inline>
              </w:drawing>
            </w:r>
          </w:p>
        </w:tc>
        <w:tc>
          <w:tcPr>
            <w:tcW w:w="4095" w:type="dxa"/>
            <w:tcBorders>
              <w:right w:val="single" w:color="000000" w:sz="4" w:space="0"/>
            </w:tcBorders>
            <w:vAlign w:val="top"/>
          </w:tcPr>
          <w:p w14:paraId="1202D29C">
            <w:pPr>
              <w:spacing w:before="118" w:line="4433" w:lineRule="exact"/>
              <w:ind w:firstLine="104"/>
            </w:pPr>
            <w:r>
              <w:rPr>
                <w:position w:val="-88"/>
              </w:rPr>
              <w:drawing>
                <wp:inline distT="0" distB="0" distL="0" distR="0">
                  <wp:extent cx="2449195" cy="2814955"/>
                  <wp:effectExtent l="0" t="0" r="0" b="0"/>
                  <wp:docPr id="520" name="IM 520"/>
                  <wp:cNvGraphicFramePr/>
                  <a:graphic xmlns:a="http://schemas.openxmlformats.org/drawingml/2006/main">
                    <a:graphicData uri="http://schemas.openxmlformats.org/drawingml/2006/picture">
                      <pic:pic xmlns:pic="http://schemas.openxmlformats.org/drawingml/2006/picture">
                        <pic:nvPicPr>
                          <pic:cNvPr id="520" name="IM 520"/>
                          <pic:cNvPicPr/>
                        </pic:nvPicPr>
                        <pic:blipFill>
                          <a:blip r:embed="rId542"/>
                          <a:stretch>
                            <a:fillRect/>
                          </a:stretch>
                        </pic:blipFill>
                        <pic:spPr>
                          <a:xfrm>
                            <a:off x="0" y="0"/>
                            <a:ext cx="2449195" cy="2814955"/>
                          </a:xfrm>
                          <a:prstGeom prst="rect">
                            <a:avLst/>
                          </a:prstGeom>
                        </pic:spPr>
                      </pic:pic>
                    </a:graphicData>
                  </a:graphic>
                </wp:inline>
              </w:drawing>
            </w:r>
          </w:p>
        </w:tc>
      </w:tr>
      <w:tr w14:paraId="20A5B4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3" w:hRule="atLeast"/>
        </w:trPr>
        <w:tc>
          <w:tcPr>
            <w:tcW w:w="4462" w:type="dxa"/>
            <w:tcBorders>
              <w:left w:val="single" w:color="1C456A" w:sz="4" w:space="0"/>
              <w:bottom w:val="single" w:color="1C456A" w:sz="4" w:space="0"/>
            </w:tcBorders>
            <w:vAlign w:val="top"/>
          </w:tcPr>
          <w:p w14:paraId="0DCA4DC0">
            <w:pPr>
              <w:pStyle w:val="7"/>
              <w:spacing w:before="101" w:line="215" w:lineRule="auto"/>
              <w:ind w:left="967"/>
            </w:pPr>
            <w:r>
              <w:pict>
                <v:shape id="_x0000_s1665" o:spid="_x0000_s1665" style="position:absolute;left:0pt;margin-left:-0.2pt;margin-top:31.2pt;height:0.75pt;width:2.2pt;mso-position-horizontal-relative:page;mso-position-vertical-relative:page;z-index:251793408;mso-width-relative:page;mso-height-relative:page;" fillcolor="#5B9BD5" filled="t" stroked="f" coordsize="44,15" path="m0,14l43,14,43,0,0,0,0,14xe">
                  <v:path/>
                  <v:fill on="t" focussize="0,0"/>
                  <v:stroke on="f"/>
                  <v:imagedata o:title=""/>
                  <o:lock v:ext="edit"/>
                </v:shape>
              </w:pict>
            </w:r>
            <w:r>
              <w:rPr>
                <w:spacing w:val="-17"/>
              </w:rPr>
              <w:t>水泥稳定碎石摊铺施工图3</w:t>
            </w:r>
          </w:p>
        </w:tc>
        <w:tc>
          <w:tcPr>
            <w:tcW w:w="4095" w:type="dxa"/>
            <w:tcBorders>
              <w:bottom w:val="single" w:color="5B9BD5" w:sz="4" w:space="0"/>
              <w:right w:val="single" w:color="5B9BD5" w:sz="4" w:space="0"/>
            </w:tcBorders>
            <w:vAlign w:val="top"/>
          </w:tcPr>
          <w:p w14:paraId="55E37AE5">
            <w:pPr>
              <w:pStyle w:val="7"/>
              <w:spacing w:before="101" w:line="215" w:lineRule="auto"/>
              <w:ind w:left="768"/>
            </w:pPr>
            <w:r>
              <w:pict>
                <v:shape id="_x0000_s1666" o:spid="_x0000_s1666" style="position:absolute;left:0pt;margin-left:202.85pt;margin-top:31.2pt;height:0.75pt;width:2.2pt;mso-position-horizontal-relative:page;mso-position-vertical-relative:page;z-index:251794432;mso-width-relative:page;mso-height-relative:page;" fillcolor="#5B9BD5" filled="t" stroked="f" coordsize="44,15" path="m0,14l43,14,43,0,0,0,0,14xe">
                  <v:path/>
                  <v:fill on="t" focussize="0,0"/>
                  <v:stroke on="f"/>
                  <v:imagedata o:title=""/>
                  <o:lock v:ext="edit"/>
                </v:shape>
              </w:pict>
            </w:r>
            <w:r>
              <w:rPr>
                <w:spacing w:val="-17"/>
              </w:rPr>
              <w:t>水泥稳定碎石摊铺施工图4</w:t>
            </w:r>
          </w:p>
        </w:tc>
      </w:tr>
    </w:tbl>
    <w:p w14:paraId="1BBB269F">
      <w:pPr>
        <w:pStyle w:val="2"/>
        <w:spacing w:before="115" w:line="215" w:lineRule="auto"/>
        <w:ind w:left="1903"/>
        <w:rPr>
          <w:sz w:val="24"/>
          <w:szCs w:val="24"/>
        </w:rPr>
      </w:pPr>
      <w:r>
        <w:rPr>
          <w:spacing w:val="-19"/>
          <w:sz w:val="24"/>
          <w:szCs w:val="24"/>
        </w:rPr>
        <w:t>1.5水泥稳定碎石的碾压</w:t>
      </w:r>
    </w:p>
    <w:p w14:paraId="79F9D14C">
      <w:pPr>
        <w:pStyle w:val="2"/>
        <w:spacing w:before="122" w:line="306" w:lineRule="auto"/>
        <w:ind w:left="1455" w:right="1409" w:firstLine="436"/>
        <w:rPr>
          <w:sz w:val="24"/>
          <w:szCs w:val="24"/>
        </w:rPr>
      </w:pPr>
      <w:r>
        <w:rPr>
          <w:spacing w:val="-19"/>
          <w:sz w:val="24"/>
          <w:szCs w:val="24"/>
        </w:rPr>
        <w:t>水泥稳定碎石经摊铺和整型后立即进行碾</w:t>
      </w:r>
      <w:r>
        <w:rPr>
          <w:spacing w:val="-20"/>
          <w:sz w:val="24"/>
          <w:szCs w:val="24"/>
        </w:rPr>
        <w:t>压。压路机应从道路纵向某一边线开始依次进行碾压，压路机的运行速度要均匀，各处的碾压遍数应一致。碾压成型后的轮迹应能满足规范要</w:t>
      </w:r>
    </w:p>
    <w:p w14:paraId="64C9CEE2">
      <w:pPr>
        <w:spacing w:line="306" w:lineRule="auto"/>
        <w:rPr>
          <w:sz w:val="24"/>
          <w:szCs w:val="24"/>
        </w:rPr>
        <w:sectPr>
          <w:footerReference r:id="rId86" w:type="default"/>
          <w:pgSz w:w="11907" w:h="16839"/>
          <w:pgMar w:top="954" w:right="4" w:bottom="1038" w:left="0" w:header="499" w:footer="357" w:gutter="0"/>
          <w:pgBorders>
            <w:top w:val="none" w:sz="0" w:space="0"/>
            <w:left w:val="none" w:sz="0" w:space="0"/>
            <w:bottom w:val="none" w:sz="0" w:space="0"/>
            <w:right w:val="none" w:sz="0" w:space="0"/>
          </w:pgBorders>
          <w:cols w:space="720" w:num="1"/>
        </w:sectPr>
      </w:pPr>
    </w:p>
    <w:p w14:paraId="7E913A14">
      <w:pPr>
        <w:spacing w:line="250" w:lineRule="auto"/>
        <w:rPr>
          <w:rFonts w:ascii="Arial"/>
          <w:sz w:val="21"/>
        </w:rPr>
      </w:pPr>
    </w:p>
    <w:p w14:paraId="5AA66463">
      <w:pPr>
        <w:pStyle w:val="2"/>
        <w:spacing w:before="78" w:line="218" w:lineRule="auto"/>
        <w:ind w:left="1463"/>
        <w:rPr>
          <w:sz w:val="24"/>
          <w:szCs w:val="24"/>
        </w:rPr>
      </w:pPr>
      <w:r>
        <w:rPr>
          <w:spacing w:val="-18"/>
          <w:sz w:val="24"/>
          <w:szCs w:val="24"/>
        </w:rPr>
        <w:t>求的标准。</w:t>
      </w:r>
    </w:p>
    <w:p w14:paraId="3F3F2F2F">
      <w:pPr>
        <w:spacing w:line="19" w:lineRule="auto"/>
        <w:rPr>
          <w:rFonts w:ascii="Arial"/>
          <w:sz w:val="2"/>
        </w:rPr>
      </w:pPr>
    </w:p>
    <w:tbl>
      <w:tblPr>
        <w:tblStyle w:val="6"/>
        <w:tblW w:w="8557" w:type="dxa"/>
        <w:tblInd w:w="167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468"/>
        <w:gridCol w:w="4089"/>
      </w:tblGrid>
      <w:tr w14:paraId="274B0F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42" w:hRule="atLeast"/>
        </w:trPr>
        <w:tc>
          <w:tcPr>
            <w:tcW w:w="4468" w:type="dxa"/>
            <w:tcBorders>
              <w:top w:val="single" w:color="000000" w:sz="4" w:space="0"/>
              <w:left w:val="single" w:color="000000" w:sz="4" w:space="0"/>
            </w:tcBorders>
            <w:shd w:val="clear" w:color="auto" w:fill="DEEAF6"/>
            <w:vAlign w:val="top"/>
          </w:tcPr>
          <w:p w14:paraId="38ACC125">
            <w:pPr>
              <w:spacing w:before="110" w:line="5205" w:lineRule="exact"/>
              <w:ind w:firstLine="102"/>
            </w:pPr>
            <w:r>
              <w:pict>
                <v:group id="_x0000_s1667" o:spid="_x0000_s1667" o:spt="203" style="position:absolute;left:0pt;margin-left:0.9pt;margin-top:2.15pt;height:275.7pt;width:222.05pt;mso-position-horizontal-relative:page;mso-position-vertical-relative:page;z-index:251807744;mso-width-relative:page;mso-height-relative:page;" coordsize="4441,5514">
                  <o:lock v:ext="edit"/>
                  <v:shape id="_x0000_s1668" o:spid="_x0000_s1668" style="position:absolute;left:21;top:0;height:60;width:4413;" fillcolor="#DEEAF6" filled="t" stroked="f" coordsize="4413,60" path="m0,60l4413,60,4413,0,0,0,0,60xe">
                    <v:path/>
                    <v:fill on="t" focussize="0,0"/>
                    <v:stroke on="f"/>
                    <v:imagedata o:title=""/>
                    <o:lock v:ext="edit"/>
                  </v:shape>
                  <v:shape id="_x0000_s1669" o:spid="_x0000_s1669" style="position:absolute;left:0;top:5456;height:58;width:4441;" fillcolor="#DEEAF6" filled="t" stroked="f" coordsize="4441,58" path="m0,57l4440,57,4440,0,0,0,0,57xe">
                    <v:path/>
                    <v:fill on="t" focussize="0,0"/>
                    <v:stroke on="f"/>
                    <v:imagedata o:title=""/>
                    <o:lock v:ext="edit"/>
                  </v:shape>
                </v:group>
              </w:pict>
            </w:r>
            <w:r>
              <w:rPr>
                <w:position w:val="-104"/>
              </w:rPr>
              <w:drawing>
                <wp:inline distT="0" distB="0" distL="0" distR="0">
                  <wp:extent cx="2703830" cy="3305175"/>
                  <wp:effectExtent l="0" t="0" r="0" b="0"/>
                  <wp:docPr id="524" name="IM 524"/>
                  <wp:cNvGraphicFramePr/>
                  <a:graphic xmlns:a="http://schemas.openxmlformats.org/drawingml/2006/main">
                    <a:graphicData uri="http://schemas.openxmlformats.org/drawingml/2006/picture">
                      <pic:pic xmlns:pic="http://schemas.openxmlformats.org/drawingml/2006/picture">
                        <pic:nvPicPr>
                          <pic:cNvPr id="524" name="IM 524"/>
                          <pic:cNvPicPr/>
                        </pic:nvPicPr>
                        <pic:blipFill>
                          <a:blip r:embed="rId543"/>
                          <a:stretch>
                            <a:fillRect/>
                          </a:stretch>
                        </pic:blipFill>
                        <pic:spPr>
                          <a:xfrm>
                            <a:off x="0" y="0"/>
                            <a:ext cx="2703830" cy="3305175"/>
                          </a:xfrm>
                          <a:prstGeom prst="rect">
                            <a:avLst/>
                          </a:prstGeom>
                        </pic:spPr>
                      </pic:pic>
                    </a:graphicData>
                  </a:graphic>
                </wp:inline>
              </w:drawing>
            </w:r>
          </w:p>
        </w:tc>
        <w:tc>
          <w:tcPr>
            <w:tcW w:w="4089" w:type="dxa"/>
            <w:tcBorders>
              <w:top w:val="single" w:color="5B9BD5" w:sz="4" w:space="0"/>
              <w:right w:val="single" w:color="5B9BD5" w:sz="4" w:space="0"/>
            </w:tcBorders>
            <w:shd w:val="clear" w:color="auto" w:fill="DEEAF6"/>
            <w:vAlign w:val="top"/>
          </w:tcPr>
          <w:p w14:paraId="113E769E">
            <w:pPr>
              <w:spacing w:before="90" w:line="5242" w:lineRule="exact"/>
              <w:ind w:firstLine="136"/>
            </w:pPr>
            <w:r>
              <w:pict>
                <v:group id="_x0000_s1670" o:spid="_x0000_s1670" o:spt="203" style="position:absolute;left:0pt;margin-left:-0.5pt;margin-top:2.15pt;height:275.7pt;width:204.2pt;mso-position-horizontal-relative:page;mso-position-vertical-relative:page;z-index:251806720;mso-width-relative:page;mso-height-relative:page;" coordsize="4083,5514">
                  <o:lock v:ext="edit"/>
                  <v:shape id="_x0000_s1671" o:spid="_x0000_s1671" style="position:absolute;left:38;top:0;height:60;width:4023;" fillcolor="#DEEAF6" filled="t" stroked="f" coordsize="4023,60" path="m0,60l4023,60,4023,0,0,0,0,60xe">
                    <v:path/>
                    <v:fill on="t" focussize="0,0"/>
                    <v:stroke on="f"/>
                    <v:imagedata o:title=""/>
                    <o:lock v:ext="edit"/>
                  </v:shape>
                  <v:shape id="_x0000_s1672" o:spid="_x0000_s1672" style="position:absolute;left:0;top:5456;height:58;width:4083;" fillcolor="#DEEAF6" filled="t" stroked="f" coordsize="4083,58" path="m0,57l4083,57,4083,0,0,0,0,57xe">
                    <v:path/>
                    <v:fill on="t" focussize="0,0"/>
                    <v:stroke on="f"/>
                    <v:imagedata o:title=""/>
                    <o:lock v:ext="edit"/>
                  </v:shape>
                </v:group>
              </w:pict>
            </w:r>
            <w:r>
              <w:rPr>
                <w:position w:val="-104"/>
              </w:rPr>
              <w:drawing>
                <wp:inline distT="0" distB="0" distL="0" distR="0">
                  <wp:extent cx="2400300" cy="3328035"/>
                  <wp:effectExtent l="0" t="0" r="0" b="0"/>
                  <wp:docPr id="526" name="IM 526"/>
                  <wp:cNvGraphicFramePr/>
                  <a:graphic xmlns:a="http://schemas.openxmlformats.org/drawingml/2006/main">
                    <a:graphicData uri="http://schemas.openxmlformats.org/drawingml/2006/picture">
                      <pic:pic xmlns:pic="http://schemas.openxmlformats.org/drawingml/2006/picture">
                        <pic:nvPicPr>
                          <pic:cNvPr id="526" name="IM 526"/>
                          <pic:cNvPicPr/>
                        </pic:nvPicPr>
                        <pic:blipFill>
                          <a:blip r:embed="rId544"/>
                          <a:stretch>
                            <a:fillRect/>
                          </a:stretch>
                        </pic:blipFill>
                        <pic:spPr>
                          <a:xfrm>
                            <a:off x="0" y="0"/>
                            <a:ext cx="2400300" cy="3328669"/>
                          </a:xfrm>
                          <a:prstGeom prst="rect">
                            <a:avLst/>
                          </a:prstGeom>
                        </pic:spPr>
                      </pic:pic>
                    </a:graphicData>
                  </a:graphic>
                </wp:inline>
              </w:drawing>
            </w:r>
          </w:p>
        </w:tc>
      </w:tr>
      <w:tr w14:paraId="57EC48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25" w:hRule="atLeast"/>
        </w:trPr>
        <w:tc>
          <w:tcPr>
            <w:tcW w:w="4468" w:type="dxa"/>
            <w:tcBorders>
              <w:left w:val="single" w:color="1C456A" w:sz="4" w:space="0"/>
              <w:bottom w:val="single" w:color="1C456A" w:sz="4" w:space="0"/>
            </w:tcBorders>
            <w:vAlign w:val="top"/>
          </w:tcPr>
          <w:p w14:paraId="77F66F89">
            <w:pPr>
              <w:pStyle w:val="7"/>
              <w:spacing w:before="101" w:line="215" w:lineRule="auto"/>
              <w:ind w:left="967"/>
            </w:pPr>
            <w:r>
              <w:pict>
                <v:shape id="_x0000_s1673" o:spid="_x0000_s1673" style="position:absolute;left:0pt;margin-left:-0.2pt;margin-top:31.3pt;height:0.75pt;width:2.2pt;mso-position-horizontal-relative:page;mso-position-vertical-relative:page;z-index:251805696;mso-width-relative:page;mso-height-relative:page;" fillcolor="#5B9BD5" filled="t" stroked="f" coordsize="44,15" path="m0,14l43,14,43,0,0,0,0,14xe">
                  <v:path/>
                  <v:fill on="t" focussize="0,0"/>
                  <v:stroke on="f"/>
                  <v:imagedata o:title=""/>
                  <o:lock v:ext="edit"/>
                </v:shape>
              </w:pict>
            </w:r>
            <w:r>
              <w:rPr>
                <w:spacing w:val="-17"/>
              </w:rPr>
              <w:t>水泥稳定碎石碾压施工图1</w:t>
            </w:r>
          </w:p>
        </w:tc>
        <w:tc>
          <w:tcPr>
            <w:tcW w:w="4089" w:type="dxa"/>
            <w:tcBorders>
              <w:bottom w:val="single" w:color="5B9BD5" w:sz="4" w:space="0"/>
              <w:right w:val="single" w:color="5B9BD5" w:sz="4" w:space="0"/>
            </w:tcBorders>
            <w:vAlign w:val="top"/>
          </w:tcPr>
          <w:p w14:paraId="2A1C5BA5">
            <w:pPr>
              <w:pStyle w:val="7"/>
              <w:spacing w:before="101" w:line="215" w:lineRule="auto"/>
              <w:ind w:left="762"/>
            </w:pPr>
            <w:r>
              <w:pict>
                <v:shape id="_x0000_s1674" o:spid="_x0000_s1674" style="position:absolute;left:0pt;margin-left:202.55pt;margin-top:31.3pt;height:0.75pt;width:2.2pt;mso-position-horizontal-relative:page;mso-position-vertical-relative:page;z-index:251804672;mso-width-relative:page;mso-height-relative:page;" fillcolor="#5B9BD5" filled="t" stroked="f" coordsize="44,15" path="m0,14l43,14,43,0,0,0,0,14xe">
                  <v:path/>
                  <v:fill on="t" focussize="0,0"/>
                  <v:stroke on="f"/>
                  <v:imagedata o:title=""/>
                  <o:lock v:ext="edit"/>
                </v:shape>
              </w:pict>
            </w:r>
            <w:r>
              <w:rPr>
                <w:spacing w:val="-17"/>
              </w:rPr>
              <w:t>水泥稳定碎石碾压施工图2</w:t>
            </w:r>
          </w:p>
        </w:tc>
      </w:tr>
    </w:tbl>
    <w:p w14:paraId="20061F6C">
      <w:pPr>
        <w:pStyle w:val="2"/>
        <w:spacing w:before="112" w:line="217" w:lineRule="auto"/>
        <w:ind w:left="1903"/>
        <w:rPr>
          <w:sz w:val="24"/>
          <w:szCs w:val="24"/>
        </w:rPr>
      </w:pPr>
      <w:r>
        <w:rPr>
          <w:spacing w:val="-14"/>
          <w:sz w:val="24"/>
          <w:szCs w:val="24"/>
        </w:rPr>
        <w:t>1.6养护</w:t>
      </w:r>
    </w:p>
    <w:p w14:paraId="32384D9F">
      <w:pPr>
        <w:pStyle w:val="2"/>
        <w:spacing w:before="119" w:line="215" w:lineRule="auto"/>
        <w:ind w:left="1892"/>
        <w:rPr>
          <w:sz w:val="24"/>
          <w:szCs w:val="24"/>
        </w:rPr>
      </w:pPr>
      <w:r>
        <w:rPr>
          <w:spacing w:val="-20"/>
          <w:sz w:val="24"/>
          <w:szCs w:val="24"/>
        </w:rPr>
        <w:t>水泥稳定碎石基层碾压后要及时进行洒水养护，以利于水泥稳定碎石材料强度的增长。养</w:t>
      </w:r>
    </w:p>
    <w:p w14:paraId="308F702A">
      <w:pPr>
        <w:pStyle w:val="2"/>
        <w:spacing w:before="121" w:line="215" w:lineRule="auto"/>
        <w:ind w:left="1455"/>
        <w:rPr>
          <w:sz w:val="24"/>
          <w:szCs w:val="24"/>
        </w:rPr>
      </w:pPr>
      <w:r>
        <w:rPr>
          <w:spacing w:val="-21"/>
          <w:sz w:val="24"/>
          <w:szCs w:val="24"/>
        </w:rPr>
        <w:t>护时间应在14天以上，养拟期间禁止车辆通行，以保证水泥稳定碎石基层的质量。</w:t>
      </w:r>
    </w:p>
    <w:p w14:paraId="46F13F51">
      <w:pPr>
        <w:spacing w:line="64" w:lineRule="auto"/>
        <w:rPr>
          <w:rFonts w:ascii="Arial"/>
          <w:sz w:val="2"/>
        </w:rPr>
      </w:pPr>
    </w:p>
    <w:tbl>
      <w:tblPr>
        <w:tblStyle w:val="6"/>
        <w:tblW w:w="8557" w:type="dxa"/>
        <w:tblInd w:w="167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222"/>
        <w:gridCol w:w="4335"/>
      </w:tblGrid>
      <w:tr w14:paraId="58D396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927" w:hRule="atLeast"/>
        </w:trPr>
        <w:tc>
          <w:tcPr>
            <w:tcW w:w="4222" w:type="dxa"/>
            <w:tcBorders>
              <w:top w:val="single" w:color="000000" w:sz="4" w:space="0"/>
              <w:left w:val="single" w:color="000000" w:sz="4" w:space="0"/>
              <w:bottom w:val="single" w:color="DEEAF6" w:sz="8" w:space="0"/>
            </w:tcBorders>
            <w:shd w:val="clear" w:color="auto" w:fill="DEEAF6"/>
            <w:vAlign w:val="top"/>
          </w:tcPr>
          <w:p w14:paraId="453F4F28">
            <w:pPr>
              <w:spacing w:line="93" w:lineRule="exact"/>
            </w:pPr>
            <w:r>
              <w:rPr>
                <w:position w:val="-1"/>
              </w:rPr>
              <w:pict>
                <v:group id="_x0000_s1675" o:spid="_x0000_s1675" o:spt="203" style="height:5.2pt;width:212.55pt;" coordsize="4251,103">
                  <o:lock v:ext="edit"/>
                  <v:shape id="_x0000_s1676" o:spid="_x0000_s1676" style="position:absolute;left:0;top:0;height:15;width:44;" fillcolor="#5B9BD5" filled="t" stroked="f" coordsize="44,15" path="m0,14l43,14,43,0,0,0,0,14xe">
                    <v:path/>
                    <v:fill on="t" focussize="0,0"/>
                    <v:stroke on="f"/>
                    <v:imagedata o:title=""/>
                    <o:lock v:ext="edit"/>
                  </v:shape>
                  <v:shape id="_x0000_s1677" o:spid="_x0000_s1677" style="position:absolute;left:43;top:43;height:60;width:4165;" fillcolor="#DEEAF6" filled="t" stroked="f" coordsize="4165,60" path="m0,60l4164,60,4164,0,0,0,0,60xe">
                    <v:path/>
                    <v:fill on="t" focussize="0,0"/>
                    <v:stroke on="f"/>
                    <v:imagedata o:title=""/>
                    <o:lock v:ext="edit"/>
                  </v:shape>
                  <v:shape id="_x0000_s1678" o:spid="_x0000_s1678" style="position:absolute;left:4207;top:0;height:15;width:44;" fillcolor="#5B9BD5" filled="t" stroked="f" coordsize="44,15" path="m0,14l43,14,43,0,0,0,0,14xe">
                    <v:path/>
                    <v:fill on="t" focussize="0,0"/>
                    <v:stroke on="f"/>
                    <v:imagedata o:title=""/>
                    <o:lock v:ext="edit"/>
                  </v:shape>
                  <v:shape id="_x0000_s1679" o:spid="_x0000_s1679" style="position:absolute;left:4207;top:14;height:15;width:44;" fillcolor="#20507B" filled="t" stroked="f" coordsize="44,15" path="m0,14l43,14,43,0,0,0,0,14xe">
                    <v:path/>
                    <v:fill on="t" focussize="0,0"/>
                    <v:stroke on="f"/>
                    <v:imagedata o:title=""/>
                    <o:lock v:ext="edit"/>
                  </v:shape>
                  <v:shape id="_x0000_s1680" o:spid="_x0000_s1680" style="position:absolute;left:4207;top:28;height:15;width:44;" fillcolor="#1C456A" filled="t" stroked="f" coordsize="44,15" path="m0,14l43,14,43,0,0,0,0,14xe">
                    <v:path/>
                    <v:fill on="t" focussize="0,0"/>
                    <v:stroke on="f"/>
                    <v:imagedata o:title=""/>
                    <o:lock v:ext="edit"/>
                  </v:shape>
                  <w10:wrap type="none"/>
                  <w10:anchorlock/>
                </v:group>
              </w:pict>
            </w:r>
          </w:p>
          <w:p w14:paraId="3A9FCCC2">
            <w:pPr>
              <w:spacing w:before="7" w:line="2645" w:lineRule="exact"/>
              <w:ind w:firstLine="93"/>
            </w:pPr>
            <w:r>
              <w:rPr>
                <w:position w:val="-52"/>
              </w:rPr>
              <w:drawing>
                <wp:inline distT="0" distB="0" distL="0" distR="0">
                  <wp:extent cx="2554605" cy="1679575"/>
                  <wp:effectExtent l="0" t="0" r="0" b="0"/>
                  <wp:docPr id="528" name="IM 528"/>
                  <wp:cNvGraphicFramePr/>
                  <a:graphic xmlns:a="http://schemas.openxmlformats.org/drawingml/2006/main">
                    <a:graphicData uri="http://schemas.openxmlformats.org/drawingml/2006/picture">
                      <pic:pic xmlns:pic="http://schemas.openxmlformats.org/drawingml/2006/picture">
                        <pic:nvPicPr>
                          <pic:cNvPr id="528" name="IM 528"/>
                          <pic:cNvPicPr/>
                        </pic:nvPicPr>
                        <pic:blipFill>
                          <a:blip r:embed="rId545"/>
                          <a:stretch>
                            <a:fillRect/>
                          </a:stretch>
                        </pic:blipFill>
                        <pic:spPr>
                          <a:xfrm>
                            <a:off x="0" y="0"/>
                            <a:ext cx="2555239" cy="1679575"/>
                          </a:xfrm>
                          <a:prstGeom prst="rect">
                            <a:avLst/>
                          </a:prstGeom>
                        </pic:spPr>
                      </pic:pic>
                    </a:graphicData>
                  </a:graphic>
                </wp:inline>
              </w:drawing>
            </w:r>
          </w:p>
        </w:tc>
        <w:tc>
          <w:tcPr>
            <w:tcW w:w="4335" w:type="dxa"/>
            <w:vMerge w:val="restart"/>
            <w:tcBorders>
              <w:top w:val="single" w:color="5B9BD5" w:sz="4" w:space="0"/>
              <w:bottom w:val="nil"/>
              <w:right w:val="single" w:color="5B9BD5" w:sz="4" w:space="0"/>
            </w:tcBorders>
            <w:shd w:val="clear" w:color="auto" w:fill="DEEAF6"/>
            <w:vAlign w:val="top"/>
          </w:tcPr>
          <w:p w14:paraId="30D964D5">
            <w:pPr>
              <w:spacing w:before="89" w:line="2668" w:lineRule="exact"/>
              <w:ind w:firstLine="46"/>
            </w:pPr>
            <w:r>
              <w:pict>
                <v:group id="_x0000_s1681" o:spid="_x0000_s1681" o:spt="203" style="position:absolute;left:0pt;margin-left:-0.7pt;margin-top:0.05pt;height:149.05pt;width:217.75pt;mso-position-horizontal-relative:page;mso-position-vertical-relative:page;z-index:251803648;mso-width-relative:page;mso-height-relative:page;" coordsize="4355,2981">
                  <o:lock v:ext="edit"/>
                  <v:group id="_x0000_s1682" o:spid="_x0000_s1682" o:spt="203" style="position:absolute;left:38;top:0;height:103;width:4317;" coordsize="4317,103">
                    <o:lock v:ext="edit"/>
                    <v:shape id="_x0000_s1683" o:spid="_x0000_s1683" style="position:absolute;left:0;top:43;height:60;width:4272;" fillcolor="#DEEAF6" filled="t" stroked="f" coordsize="4272,60" path="m0,60l4272,60,4272,0,0,0,0,60xe">
                      <v:path/>
                      <v:fill on="t" focussize="0,0"/>
                      <v:stroke on="f"/>
                      <v:imagedata o:title=""/>
                      <o:lock v:ext="edit"/>
                    </v:shape>
                    <v:shape id="_x0000_s1684" o:spid="_x0000_s1684" style="position:absolute;left:4273;top:0;height:15;width:44;" fillcolor="#5B9BD5" filled="t" stroked="f" coordsize="44,15" path="m0,14l43,14,43,0,0,0,0,14xe">
                      <v:path/>
                      <v:fill on="t" focussize="0,0"/>
                      <v:stroke on="f"/>
                      <v:imagedata o:title=""/>
                      <o:lock v:ext="edit"/>
                    </v:shape>
                  </v:group>
                  <v:shape id="_x0000_s1685" o:spid="_x0000_s1685" style="position:absolute;left:0;top:2923;height:58;width:4332;" fillcolor="#DEEAF6" filled="t" stroked="f" coordsize="4332,58" path="m0,57l4332,57,4332,0,0,0,0,57xe">
                    <v:path/>
                    <v:fill on="t" focussize="0,0"/>
                    <v:stroke on="f"/>
                    <v:imagedata o:title=""/>
                    <o:lock v:ext="edit"/>
                  </v:shape>
                </v:group>
              </w:pict>
            </w:r>
            <w:r>
              <w:rPr>
                <w:position w:val="-53"/>
              </w:rPr>
              <w:drawing>
                <wp:inline distT="0" distB="0" distL="0" distR="0">
                  <wp:extent cx="2667000" cy="1694180"/>
                  <wp:effectExtent l="0" t="0" r="0" b="0"/>
                  <wp:docPr id="530" name="IM 530"/>
                  <wp:cNvGraphicFramePr/>
                  <a:graphic xmlns:a="http://schemas.openxmlformats.org/drawingml/2006/main">
                    <a:graphicData uri="http://schemas.openxmlformats.org/drawingml/2006/picture">
                      <pic:pic xmlns:pic="http://schemas.openxmlformats.org/drawingml/2006/picture">
                        <pic:nvPicPr>
                          <pic:cNvPr id="530" name="IM 530"/>
                          <pic:cNvPicPr/>
                        </pic:nvPicPr>
                        <pic:blipFill>
                          <a:blip r:embed="rId546"/>
                          <a:stretch>
                            <a:fillRect/>
                          </a:stretch>
                        </pic:blipFill>
                        <pic:spPr>
                          <a:xfrm>
                            <a:off x="0" y="0"/>
                            <a:ext cx="2667000" cy="1694814"/>
                          </a:xfrm>
                          <a:prstGeom prst="rect">
                            <a:avLst/>
                          </a:prstGeom>
                        </pic:spPr>
                      </pic:pic>
                    </a:graphicData>
                  </a:graphic>
                </wp:inline>
              </w:drawing>
            </w:r>
          </w:p>
        </w:tc>
      </w:tr>
      <w:tr w14:paraId="28F0A9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0" w:hRule="atLeast"/>
        </w:trPr>
        <w:tc>
          <w:tcPr>
            <w:tcW w:w="4222" w:type="dxa"/>
            <w:tcBorders>
              <w:top w:val="single" w:color="DEEAF6" w:sz="2" w:space="0"/>
              <w:left w:val="single" w:color="000000" w:sz="4" w:space="0"/>
            </w:tcBorders>
            <w:shd w:val="clear" w:color="auto" w:fill="DEEAF6"/>
            <w:vAlign w:val="top"/>
          </w:tcPr>
          <w:p w14:paraId="384F348B">
            <w:pPr>
              <w:spacing w:line="104" w:lineRule="auto"/>
              <w:rPr>
                <w:rFonts w:ascii="Arial"/>
                <w:sz w:val="2"/>
              </w:rPr>
            </w:pPr>
          </w:p>
        </w:tc>
        <w:tc>
          <w:tcPr>
            <w:tcW w:w="4335" w:type="dxa"/>
            <w:vMerge w:val="continue"/>
            <w:tcBorders>
              <w:top w:val="nil"/>
              <w:right w:val="single" w:color="5B9BD5" w:sz="4" w:space="0"/>
            </w:tcBorders>
            <w:vAlign w:val="top"/>
          </w:tcPr>
          <w:p w14:paraId="163BEDC8">
            <w:pPr>
              <w:rPr>
                <w:rFonts w:ascii="Arial"/>
                <w:sz w:val="21"/>
              </w:rPr>
            </w:pPr>
          </w:p>
        </w:tc>
      </w:tr>
      <w:tr w14:paraId="664F5B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25" w:hRule="atLeast"/>
        </w:trPr>
        <w:tc>
          <w:tcPr>
            <w:tcW w:w="4222" w:type="dxa"/>
            <w:tcBorders>
              <w:left w:val="single" w:color="1C456A" w:sz="4" w:space="0"/>
              <w:bottom w:val="single" w:color="1C456A" w:sz="4" w:space="0"/>
            </w:tcBorders>
            <w:vAlign w:val="top"/>
          </w:tcPr>
          <w:p w14:paraId="2D9B6AC5">
            <w:pPr>
              <w:pStyle w:val="7"/>
              <w:spacing w:before="102" w:line="215" w:lineRule="auto"/>
              <w:ind w:left="840"/>
            </w:pPr>
            <w:r>
              <w:pict>
                <v:shape id="_x0000_s1686" o:spid="_x0000_s1686" style="position:absolute;left:0pt;margin-left:-0.2pt;margin-top:31.3pt;height:0.75pt;width:2.2pt;mso-position-horizontal-relative:page;mso-position-vertical-relative:page;z-index:251802624;mso-width-relative:page;mso-height-relative:page;" fillcolor="#5B9BD5" filled="t" stroked="f" coordsize="44,15" path="m0,14l43,14,43,0,0,0,0,14xe">
                  <v:path/>
                  <v:fill on="t" focussize="0,0"/>
                  <v:stroke on="f"/>
                  <v:imagedata o:title=""/>
                  <o:lock v:ext="edit"/>
                </v:shape>
              </w:pict>
            </w:r>
            <w:r>
              <w:rPr>
                <w:spacing w:val="-17"/>
              </w:rPr>
              <w:t>水泥稳定碎石养护施工图1</w:t>
            </w:r>
          </w:p>
        </w:tc>
        <w:tc>
          <w:tcPr>
            <w:tcW w:w="4335" w:type="dxa"/>
            <w:tcBorders>
              <w:bottom w:val="single" w:color="5B9BD5" w:sz="4" w:space="0"/>
              <w:right w:val="single" w:color="5B9BD5" w:sz="4" w:space="0"/>
            </w:tcBorders>
            <w:vAlign w:val="top"/>
          </w:tcPr>
          <w:p w14:paraId="2CF5662C">
            <w:pPr>
              <w:pStyle w:val="7"/>
              <w:spacing w:before="102" w:line="215" w:lineRule="auto"/>
              <w:ind w:left="884"/>
            </w:pPr>
            <w:r>
              <w:pict>
                <v:shape id="_x0000_s1687" o:spid="_x0000_s1687" style="position:absolute;left:0pt;margin-left:214.85pt;margin-top:31.3pt;height:0.75pt;width:2.2pt;mso-position-horizontal-relative:page;mso-position-vertical-relative:page;z-index:251801600;mso-width-relative:page;mso-height-relative:page;" fillcolor="#5B9BD5" filled="t" stroked="f" coordsize="44,15" path="m0,14l43,14,43,0,0,0,0,14xe">
                  <v:path/>
                  <v:fill on="t" focussize="0,0"/>
                  <v:stroke on="f"/>
                  <v:imagedata o:title=""/>
                  <o:lock v:ext="edit"/>
                </v:shape>
              </w:pict>
            </w:r>
            <w:r>
              <w:rPr>
                <w:spacing w:val="-17"/>
              </w:rPr>
              <w:t>水泥稳定碎石养护施工图2</w:t>
            </w:r>
          </w:p>
        </w:tc>
      </w:tr>
    </w:tbl>
    <w:p w14:paraId="08DD4981">
      <w:pPr>
        <w:pStyle w:val="2"/>
        <w:spacing w:before="115" w:line="218" w:lineRule="auto"/>
        <w:ind w:left="1903"/>
        <w:rPr>
          <w:sz w:val="24"/>
          <w:szCs w:val="24"/>
        </w:rPr>
      </w:pPr>
      <w:r>
        <w:rPr>
          <w:spacing w:val="-16"/>
          <w:sz w:val="24"/>
          <w:szCs w:val="24"/>
        </w:rPr>
        <w:t>1.7水泥净浆</w:t>
      </w:r>
    </w:p>
    <w:p w14:paraId="4AE69C96">
      <w:pPr>
        <w:pStyle w:val="2"/>
        <w:spacing w:before="118" w:line="215" w:lineRule="auto"/>
        <w:ind w:left="1892"/>
        <w:rPr>
          <w:sz w:val="24"/>
          <w:szCs w:val="24"/>
        </w:rPr>
      </w:pPr>
      <w:r>
        <w:rPr>
          <w:spacing w:val="-22"/>
          <w:sz w:val="24"/>
          <w:szCs w:val="24"/>
        </w:rPr>
        <w:t>铺筑第二层时应在下层顶面先撒布薄层水泥净浆以增强上下层间的粘结和基层整体强度。</w:t>
      </w:r>
    </w:p>
    <w:p w14:paraId="7685BFFB">
      <w:pPr>
        <w:pStyle w:val="2"/>
        <w:spacing w:before="84" w:line="219" w:lineRule="auto"/>
        <w:ind w:left="1985"/>
        <w:outlineLvl w:val="2"/>
        <w:rPr>
          <w:sz w:val="28"/>
          <w:szCs w:val="28"/>
        </w:rPr>
      </w:pPr>
      <w:bookmarkStart w:id="50" w:name="bookmark50"/>
      <w:bookmarkEnd w:id="50"/>
      <w:r>
        <w:rPr>
          <w:b/>
          <w:bCs/>
          <w:spacing w:val="-23"/>
          <w:sz w:val="28"/>
          <w:szCs w:val="28"/>
        </w:rPr>
        <w:t>三、侧（平）石安装工程</w:t>
      </w:r>
    </w:p>
    <w:p w14:paraId="23F4484A">
      <w:pPr>
        <w:pStyle w:val="2"/>
        <w:spacing w:before="103" w:line="219" w:lineRule="auto"/>
        <w:ind w:left="1903"/>
        <w:rPr>
          <w:sz w:val="24"/>
          <w:szCs w:val="24"/>
        </w:rPr>
      </w:pPr>
      <w:r>
        <w:rPr>
          <w:spacing w:val="-20"/>
          <w:sz w:val="24"/>
          <w:szCs w:val="24"/>
        </w:rPr>
        <w:t>1、路缘石施工工艺流程</w:t>
      </w:r>
    </w:p>
    <w:tbl>
      <w:tblPr>
        <w:tblStyle w:val="6"/>
        <w:tblW w:w="9176" w:type="dxa"/>
        <w:tblInd w:w="1366" w:type="dxa"/>
        <w:tblBorders>
          <w:top w:val="single" w:color="1C456A" w:sz="4" w:space="0"/>
          <w:left w:val="single" w:color="1C456A" w:sz="4" w:space="0"/>
          <w:bottom w:val="single" w:color="1C456A" w:sz="4" w:space="0"/>
          <w:right w:val="single" w:color="1C456A" w:sz="4" w:space="0"/>
          <w:insideH w:val="single" w:color="1C456A" w:sz="4" w:space="0"/>
          <w:insideV w:val="single" w:color="1C456A" w:sz="4" w:space="0"/>
        </w:tblBorders>
        <w:shd w:val="clear" w:color="auto" w:fill="DEEAF6"/>
        <w:tblLayout w:type="fixed"/>
        <w:tblCellMar>
          <w:top w:w="0" w:type="dxa"/>
          <w:left w:w="0" w:type="dxa"/>
          <w:bottom w:w="0" w:type="dxa"/>
          <w:right w:w="0" w:type="dxa"/>
        </w:tblCellMar>
      </w:tblPr>
      <w:tblGrid>
        <w:gridCol w:w="1775"/>
        <w:gridCol w:w="5641"/>
        <w:gridCol w:w="1760"/>
      </w:tblGrid>
      <w:tr w14:paraId="628DDFB7">
        <w:tblPrEx>
          <w:tblBorders>
            <w:top w:val="single" w:color="1C456A" w:sz="4" w:space="0"/>
            <w:left w:val="single" w:color="1C456A" w:sz="4" w:space="0"/>
            <w:bottom w:val="single" w:color="1C456A" w:sz="4" w:space="0"/>
            <w:right w:val="single" w:color="1C456A" w:sz="4" w:space="0"/>
            <w:insideH w:val="single" w:color="1C456A" w:sz="4" w:space="0"/>
            <w:insideV w:val="single" w:color="1C456A" w:sz="4" w:space="0"/>
          </w:tblBorders>
          <w:shd w:val="clear" w:color="auto" w:fill="DEEAF6"/>
          <w:tblCellMar>
            <w:top w:w="0" w:type="dxa"/>
            <w:left w:w="0" w:type="dxa"/>
            <w:bottom w:w="0" w:type="dxa"/>
            <w:right w:w="0" w:type="dxa"/>
          </w:tblCellMar>
        </w:tblPrEx>
        <w:trPr>
          <w:trHeight w:val="649" w:hRule="atLeast"/>
        </w:trPr>
        <w:tc>
          <w:tcPr>
            <w:tcW w:w="1775" w:type="dxa"/>
            <w:tcBorders>
              <w:right w:val="nil"/>
            </w:tcBorders>
            <w:shd w:val="clear" w:color="auto" w:fill="DEEAF6"/>
            <w:vAlign w:val="top"/>
          </w:tcPr>
          <w:p w14:paraId="71480058">
            <w:pPr>
              <w:rPr>
                <w:rFonts w:ascii="Arial"/>
                <w:sz w:val="21"/>
              </w:rPr>
            </w:pPr>
            <w:r>
              <w:pict>
                <v:shape id="_x0000_s1688" o:spid="_x0000_s1688" style="position:absolute;left:0pt;margin-left:-0.25pt;margin-top:0pt;height:0.75pt;width:2.2pt;mso-position-horizontal-relative:page;mso-position-vertical-relative:page;z-index:251798528;mso-width-relative:page;mso-height-relative:page;" fillcolor="#5B9BD5" filled="t" stroked="f" coordsize="44,15" path="m0,14l43,14,43,0,0,0,0,14xe">
                  <v:path/>
                  <v:fill on="t" focussize="0,0"/>
                  <v:stroke on="f"/>
                  <v:imagedata o:title=""/>
                  <o:lock v:ext="edit"/>
                </v:shape>
              </w:pict>
            </w:r>
            <w:r>
              <w:pict>
                <v:shape id="_x0000_s1689" o:spid="_x0000_s1689" style="position:absolute;left:0pt;margin-left:-0.25pt;margin-top:32.75pt;height:0.75pt;width:2.2pt;mso-position-horizontal-relative:page;mso-position-vertical-relative:page;z-index:251797504;mso-width-relative:page;mso-height-relative:page;" fillcolor="#5B9BD5" filled="t" stroked="f" coordsize="44,15" path="m0,14l43,14,43,0,0,0,0,14xe">
                  <v:path/>
                  <v:fill on="t" focussize="0,0"/>
                  <v:stroke on="f"/>
                  <v:imagedata o:title=""/>
                  <o:lock v:ext="edit"/>
                </v:shape>
              </w:pict>
            </w:r>
          </w:p>
        </w:tc>
        <w:tc>
          <w:tcPr>
            <w:tcW w:w="5641" w:type="dxa"/>
            <w:tcBorders>
              <w:left w:val="nil"/>
              <w:right w:val="nil"/>
            </w:tcBorders>
            <w:shd w:val="clear" w:color="auto" w:fill="DEEAF6"/>
            <w:vAlign w:val="top"/>
          </w:tcPr>
          <w:p w14:paraId="41ED913D">
            <w:pPr>
              <w:pStyle w:val="7"/>
              <w:spacing w:before="126" w:line="219" w:lineRule="auto"/>
              <w:ind w:left="1731"/>
            </w:pPr>
            <w:r>
              <w:rPr>
                <w:b/>
                <w:bCs/>
                <w:spacing w:val="-21"/>
              </w:rPr>
              <w:t>路缘石施工工艺流程图</w:t>
            </w:r>
          </w:p>
        </w:tc>
        <w:tc>
          <w:tcPr>
            <w:tcW w:w="1760" w:type="dxa"/>
            <w:tcBorders>
              <w:left w:val="nil"/>
            </w:tcBorders>
            <w:shd w:val="clear" w:color="auto" w:fill="DEEAF6"/>
            <w:vAlign w:val="top"/>
          </w:tcPr>
          <w:p w14:paraId="31C792C4">
            <w:pPr>
              <w:rPr>
                <w:rFonts w:ascii="Arial"/>
                <w:sz w:val="21"/>
              </w:rPr>
            </w:pPr>
            <w:r>
              <w:pict>
                <v:shape id="_x0000_s1690" o:spid="_x0000_s1690" style="position:absolute;left:0pt;margin-left:86.15pt;margin-top:0pt;height:0.75pt;width:2.2pt;mso-position-horizontal-relative:page;mso-position-vertical-relative:page;z-index:251800576;mso-width-relative:page;mso-height-relative:page;" fillcolor="#5B9BD5" filled="t" stroked="f" coordsize="44,15" path="m0,14l43,14,43,0,0,0,0,14xe">
                  <v:path/>
                  <v:fill on="t" focussize="0,0"/>
                  <v:stroke on="f"/>
                  <v:imagedata o:title=""/>
                  <o:lock v:ext="edit"/>
                </v:shape>
              </w:pict>
            </w:r>
            <w:r>
              <w:pict>
                <v:shape id="_x0000_s1691" o:spid="_x0000_s1691" style="position:absolute;left:0pt;margin-left:86.15pt;margin-top:32.75pt;height:0.75pt;width:2.2pt;mso-position-horizontal-relative:page;mso-position-vertical-relative:page;z-index:251799552;mso-width-relative:page;mso-height-relative:page;" fillcolor="#5B9BD5" filled="t" stroked="f" coordsize="44,15" path="m0,14l43,14,43,0,0,0,0,14xe">
                  <v:path/>
                  <v:fill on="t" focussize="0,0"/>
                  <v:stroke on="f"/>
                  <v:imagedata o:title=""/>
                  <o:lock v:ext="edit"/>
                </v:shape>
              </w:pict>
            </w:r>
          </w:p>
        </w:tc>
      </w:tr>
    </w:tbl>
    <w:p w14:paraId="158EE2E7">
      <w:pPr>
        <w:spacing w:before="1"/>
        <w:rPr>
          <w:rFonts w:ascii="Arial"/>
          <w:sz w:val="21"/>
        </w:rPr>
      </w:pPr>
    </w:p>
    <w:p w14:paraId="67DF383E">
      <w:pPr>
        <w:rPr>
          <w:rFonts w:ascii="Arial" w:hAnsi="Arial" w:eastAsia="Arial" w:cs="Arial"/>
          <w:sz w:val="21"/>
          <w:szCs w:val="21"/>
        </w:rPr>
        <w:sectPr>
          <w:footerReference r:id="rId87" w:type="default"/>
          <w:pgSz w:w="11907" w:h="16839"/>
          <w:pgMar w:top="954" w:right="4" w:bottom="1038" w:left="0" w:header="499" w:footer="357" w:gutter="0"/>
          <w:pgBorders>
            <w:top w:val="none" w:sz="0" w:space="0"/>
            <w:left w:val="none" w:sz="0" w:space="0"/>
            <w:bottom w:val="none" w:sz="0" w:space="0"/>
            <w:right w:val="none" w:sz="0" w:space="0"/>
          </w:pgBorders>
          <w:cols w:space="720" w:num="1"/>
        </w:sectPr>
      </w:pPr>
    </w:p>
    <w:p w14:paraId="47AE2550">
      <w:pPr>
        <w:spacing w:line="214" w:lineRule="exact"/>
      </w:pPr>
    </w:p>
    <w:tbl>
      <w:tblPr>
        <w:tblStyle w:val="6"/>
        <w:tblW w:w="9176" w:type="dxa"/>
        <w:tblInd w:w="1366" w:type="dxa"/>
        <w:tblBorders>
          <w:top w:val="single" w:color="0070C0" w:sz="6" w:space="0"/>
          <w:left w:val="single" w:color="0070C0" w:sz="6" w:space="0"/>
          <w:bottom w:val="single" w:color="0070C0" w:sz="6" w:space="0"/>
          <w:right w:val="single" w:color="0070C0" w:sz="6" w:space="0"/>
          <w:insideH w:val="single" w:color="0070C0" w:sz="6" w:space="0"/>
          <w:insideV w:val="single" w:color="0070C0" w:sz="6" w:space="0"/>
        </w:tblBorders>
        <w:tblLayout w:type="fixed"/>
        <w:tblCellMar>
          <w:top w:w="0" w:type="dxa"/>
          <w:left w:w="0" w:type="dxa"/>
          <w:bottom w:w="0" w:type="dxa"/>
          <w:right w:w="0" w:type="dxa"/>
        </w:tblCellMar>
      </w:tblPr>
      <w:tblGrid>
        <w:gridCol w:w="1657"/>
        <w:gridCol w:w="5856"/>
        <w:gridCol w:w="1663"/>
      </w:tblGrid>
      <w:tr w14:paraId="0CB401E5">
        <w:tblPrEx>
          <w:tblBorders>
            <w:top w:val="single" w:color="0070C0" w:sz="6" w:space="0"/>
            <w:left w:val="single" w:color="0070C0" w:sz="6" w:space="0"/>
            <w:bottom w:val="single" w:color="0070C0" w:sz="6" w:space="0"/>
            <w:right w:val="single" w:color="0070C0" w:sz="6" w:space="0"/>
            <w:insideH w:val="single" w:color="0070C0" w:sz="6" w:space="0"/>
            <w:insideV w:val="single" w:color="0070C0" w:sz="6" w:space="0"/>
          </w:tblBorders>
          <w:tblCellMar>
            <w:top w:w="0" w:type="dxa"/>
            <w:left w:w="0" w:type="dxa"/>
            <w:bottom w:w="0" w:type="dxa"/>
            <w:right w:w="0" w:type="dxa"/>
          </w:tblCellMar>
        </w:tblPrEx>
        <w:trPr>
          <w:trHeight w:val="4389" w:hRule="atLeast"/>
        </w:trPr>
        <w:tc>
          <w:tcPr>
            <w:tcW w:w="1657" w:type="dxa"/>
            <w:vMerge w:val="restart"/>
            <w:tcBorders>
              <w:top w:val="single" w:color="1C456A" w:sz="4" w:space="0"/>
              <w:left w:val="single" w:color="1C456A" w:sz="4" w:space="0"/>
              <w:bottom w:val="nil"/>
            </w:tcBorders>
            <w:vAlign w:val="top"/>
          </w:tcPr>
          <w:p w14:paraId="6AAF91B9">
            <w:pPr>
              <w:rPr>
                <w:rFonts w:ascii="Arial"/>
                <w:sz w:val="21"/>
              </w:rPr>
            </w:pPr>
          </w:p>
        </w:tc>
        <w:tc>
          <w:tcPr>
            <w:tcW w:w="5856" w:type="dxa"/>
            <w:vAlign w:val="top"/>
          </w:tcPr>
          <w:p w14:paraId="51983A50">
            <w:pPr>
              <w:spacing w:before="88" w:line="4291" w:lineRule="exact"/>
            </w:pPr>
            <w:r>
              <w:rPr>
                <w:position w:val="-85"/>
              </w:rPr>
              <w:drawing>
                <wp:inline distT="0" distB="0" distL="0" distR="0">
                  <wp:extent cx="3708400" cy="2724150"/>
                  <wp:effectExtent l="0" t="0" r="0" b="0"/>
                  <wp:docPr id="534" name="IM 534"/>
                  <wp:cNvGraphicFramePr/>
                  <a:graphic xmlns:a="http://schemas.openxmlformats.org/drawingml/2006/main">
                    <a:graphicData uri="http://schemas.openxmlformats.org/drawingml/2006/picture">
                      <pic:pic xmlns:pic="http://schemas.openxmlformats.org/drawingml/2006/picture">
                        <pic:nvPicPr>
                          <pic:cNvPr id="534" name="IM 534"/>
                          <pic:cNvPicPr/>
                        </pic:nvPicPr>
                        <pic:blipFill>
                          <a:blip r:embed="rId547"/>
                          <a:stretch>
                            <a:fillRect/>
                          </a:stretch>
                        </pic:blipFill>
                        <pic:spPr>
                          <a:xfrm>
                            <a:off x="0" y="0"/>
                            <a:ext cx="3709034" cy="2724657"/>
                          </a:xfrm>
                          <a:prstGeom prst="rect">
                            <a:avLst/>
                          </a:prstGeom>
                        </pic:spPr>
                      </pic:pic>
                    </a:graphicData>
                  </a:graphic>
                </wp:inline>
              </w:drawing>
            </w:r>
          </w:p>
        </w:tc>
        <w:tc>
          <w:tcPr>
            <w:tcW w:w="1663" w:type="dxa"/>
            <w:vMerge w:val="restart"/>
            <w:tcBorders>
              <w:top w:val="single" w:color="5B9BD5" w:sz="4" w:space="0"/>
              <w:bottom w:val="nil"/>
              <w:right w:val="single" w:color="5B9BD5" w:sz="4" w:space="0"/>
            </w:tcBorders>
            <w:vAlign w:val="top"/>
          </w:tcPr>
          <w:p w14:paraId="004D1B63">
            <w:pPr>
              <w:rPr>
                <w:rFonts w:ascii="Arial"/>
                <w:sz w:val="21"/>
              </w:rPr>
            </w:pPr>
          </w:p>
        </w:tc>
      </w:tr>
      <w:tr w14:paraId="2BA0C157">
        <w:tblPrEx>
          <w:tblBorders>
            <w:top w:val="single" w:color="0070C0" w:sz="6" w:space="0"/>
            <w:left w:val="single" w:color="0070C0" w:sz="6" w:space="0"/>
            <w:bottom w:val="single" w:color="0070C0" w:sz="6" w:space="0"/>
            <w:right w:val="single" w:color="0070C0" w:sz="6" w:space="0"/>
            <w:insideH w:val="single" w:color="0070C0" w:sz="6" w:space="0"/>
            <w:insideV w:val="single" w:color="0070C0" w:sz="6" w:space="0"/>
          </w:tblBorders>
          <w:tblCellMar>
            <w:top w:w="0" w:type="dxa"/>
            <w:left w:w="0" w:type="dxa"/>
            <w:bottom w:w="0" w:type="dxa"/>
            <w:right w:w="0" w:type="dxa"/>
          </w:tblCellMar>
        </w:tblPrEx>
        <w:trPr>
          <w:trHeight w:val="237" w:hRule="atLeast"/>
        </w:trPr>
        <w:tc>
          <w:tcPr>
            <w:tcW w:w="1657" w:type="dxa"/>
            <w:vMerge w:val="continue"/>
            <w:tcBorders>
              <w:top w:val="nil"/>
              <w:left w:val="single" w:color="1C456A" w:sz="4" w:space="0"/>
              <w:bottom w:val="single" w:color="1C456A" w:sz="4" w:space="0"/>
            </w:tcBorders>
            <w:vAlign w:val="top"/>
          </w:tcPr>
          <w:p w14:paraId="3531AFFD">
            <w:pPr>
              <w:rPr>
                <w:rFonts w:ascii="Arial"/>
                <w:sz w:val="21"/>
              </w:rPr>
            </w:pPr>
          </w:p>
        </w:tc>
        <w:tc>
          <w:tcPr>
            <w:tcW w:w="5856" w:type="dxa"/>
            <w:tcBorders>
              <w:left w:val="nil"/>
              <w:bottom w:val="single" w:color="5B9BD5" w:sz="4" w:space="0"/>
              <w:right w:val="nil"/>
            </w:tcBorders>
            <w:vAlign w:val="top"/>
          </w:tcPr>
          <w:p w14:paraId="18DF5912">
            <w:pPr>
              <w:spacing w:line="226" w:lineRule="exact"/>
              <w:rPr>
                <w:rFonts w:ascii="Arial"/>
                <w:sz w:val="19"/>
              </w:rPr>
            </w:pPr>
          </w:p>
        </w:tc>
        <w:tc>
          <w:tcPr>
            <w:tcW w:w="1663" w:type="dxa"/>
            <w:vMerge w:val="continue"/>
            <w:tcBorders>
              <w:top w:val="nil"/>
              <w:bottom w:val="single" w:color="5B9BD5" w:sz="4" w:space="0"/>
              <w:right w:val="single" w:color="5B9BD5" w:sz="4" w:space="0"/>
            </w:tcBorders>
            <w:vAlign w:val="top"/>
          </w:tcPr>
          <w:p w14:paraId="71659194">
            <w:pPr>
              <w:rPr>
                <w:rFonts w:ascii="Arial"/>
                <w:sz w:val="21"/>
              </w:rPr>
            </w:pPr>
          </w:p>
        </w:tc>
      </w:tr>
    </w:tbl>
    <w:p w14:paraId="7F694BC6">
      <w:pPr>
        <w:pStyle w:val="2"/>
        <w:spacing w:before="112" w:line="219" w:lineRule="auto"/>
        <w:ind w:left="1888"/>
        <w:rPr>
          <w:sz w:val="24"/>
          <w:szCs w:val="24"/>
        </w:rPr>
      </w:pPr>
      <w:r>
        <w:rPr>
          <w:spacing w:val="-19"/>
          <w:sz w:val="24"/>
          <w:szCs w:val="24"/>
        </w:rPr>
        <w:t>2、路缘石施工要点及方法</w:t>
      </w:r>
    </w:p>
    <w:tbl>
      <w:tblPr>
        <w:tblStyle w:val="6"/>
        <w:tblW w:w="8794" w:type="dxa"/>
        <w:tblInd w:w="155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24"/>
        <w:gridCol w:w="650"/>
        <w:gridCol w:w="1356"/>
        <w:gridCol w:w="2642"/>
        <w:gridCol w:w="3922"/>
      </w:tblGrid>
      <w:tr w14:paraId="2283B8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9" w:hRule="atLeast"/>
        </w:trPr>
        <w:tc>
          <w:tcPr>
            <w:tcW w:w="874" w:type="dxa"/>
            <w:gridSpan w:val="2"/>
            <w:tcBorders>
              <w:top w:val="single" w:color="000000" w:sz="4" w:space="0"/>
              <w:left w:val="single" w:color="000000" w:sz="4" w:space="0"/>
            </w:tcBorders>
            <w:shd w:val="clear" w:color="auto" w:fill="DEEAF6"/>
            <w:vAlign w:val="top"/>
          </w:tcPr>
          <w:p w14:paraId="6D76EC5E">
            <w:pPr>
              <w:pStyle w:val="7"/>
              <w:spacing w:before="129" w:line="218" w:lineRule="auto"/>
              <w:ind w:left="233"/>
            </w:pPr>
            <w:r>
              <w:rPr>
                <w:b/>
                <w:bCs/>
                <w:spacing w:val="-12"/>
              </w:rPr>
              <w:t>序号</w:t>
            </w:r>
          </w:p>
        </w:tc>
        <w:tc>
          <w:tcPr>
            <w:tcW w:w="1356" w:type="dxa"/>
            <w:tcBorders>
              <w:top w:val="single" w:color="000000" w:sz="4" w:space="0"/>
              <w:right w:val="single" w:color="000000" w:sz="4" w:space="0"/>
            </w:tcBorders>
            <w:shd w:val="clear" w:color="auto" w:fill="DEEAF6"/>
            <w:vAlign w:val="top"/>
          </w:tcPr>
          <w:p w14:paraId="4B94BFF1">
            <w:pPr>
              <w:pStyle w:val="7"/>
              <w:spacing w:before="129" w:line="218" w:lineRule="auto"/>
              <w:ind w:left="244"/>
            </w:pPr>
            <w:r>
              <w:rPr>
                <w:b/>
                <w:bCs/>
                <w:spacing w:val="-18"/>
              </w:rPr>
              <w:t>施工工序</w:t>
            </w:r>
          </w:p>
        </w:tc>
        <w:tc>
          <w:tcPr>
            <w:tcW w:w="2642" w:type="dxa"/>
            <w:tcBorders>
              <w:top w:val="single" w:color="000000" w:sz="4" w:space="0"/>
              <w:left w:val="single" w:color="000000" w:sz="4" w:space="0"/>
            </w:tcBorders>
            <w:shd w:val="clear" w:color="auto" w:fill="DEEAF6"/>
            <w:vAlign w:val="top"/>
          </w:tcPr>
          <w:p w14:paraId="09C4E8F9">
            <w:pPr>
              <w:pStyle w:val="7"/>
              <w:spacing w:before="128" w:line="220" w:lineRule="auto"/>
              <w:ind w:left="562"/>
            </w:pPr>
            <w:r>
              <w:rPr>
                <w:b/>
                <w:bCs/>
                <w:spacing w:val="-20"/>
              </w:rPr>
              <w:t>施工要点及方法</w:t>
            </w:r>
          </w:p>
        </w:tc>
        <w:tc>
          <w:tcPr>
            <w:tcW w:w="3922" w:type="dxa"/>
            <w:tcBorders>
              <w:top w:val="single" w:color="5B9BD5" w:sz="4" w:space="0"/>
              <w:right w:val="single" w:color="5B9BD5" w:sz="4" w:space="0"/>
            </w:tcBorders>
            <w:shd w:val="clear" w:color="auto" w:fill="DEEAF6"/>
            <w:vAlign w:val="top"/>
          </w:tcPr>
          <w:p w14:paraId="2831378E">
            <w:pPr>
              <w:pStyle w:val="7"/>
              <w:spacing w:before="129" w:line="219" w:lineRule="auto"/>
              <w:ind w:left="1637"/>
            </w:pPr>
            <w:r>
              <w:rPr>
                <w:b/>
                <w:bCs/>
                <w:spacing w:val="-16"/>
              </w:rPr>
              <w:t>示意图</w:t>
            </w:r>
          </w:p>
        </w:tc>
      </w:tr>
      <w:tr w14:paraId="09BC0A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70" w:hRule="atLeast"/>
        </w:trPr>
        <w:tc>
          <w:tcPr>
            <w:tcW w:w="874" w:type="dxa"/>
            <w:gridSpan w:val="2"/>
            <w:tcBorders>
              <w:left w:val="single" w:color="000000" w:sz="4" w:space="0"/>
            </w:tcBorders>
            <w:vAlign w:val="top"/>
          </w:tcPr>
          <w:p w14:paraId="34BD70FF">
            <w:pPr>
              <w:spacing w:line="310" w:lineRule="auto"/>
              <w:rPr>
                <w:rFonts w:ascii="Arial"/>
                <w:sz w:val="21"/>
              </w:rPr>
            </w:pPr>
          </w:p>
          <w:p w14:paraId="78890693">
            <w:pPr>
              <w:spacing w:line="310" w:lineRule="auto"/>
              <w:rPr>
                <w:rFonts w:ascii="Arial"/>
                <w:sz w:val="21"/>
              </w:rPr>
            </w:pPr>
          </w:p>
          <w:p w14:paraId="22B26A53">
            <w:pPr>
              <w:spacing w:line="310" w:lineRule="auto"/>
              <w:rPr>
                <w:rFonts w:ascii="Arial"/>
                <w:sz w:val="21"/>
              </w:rPr>
            </w:pPr>
          </w:p>
          <w:p w14:paraId="6FA70D76">
            <w:pPr>
              <w:pStyle w:val="7"/>
              <w:spacing w:before="78" w:line="238" w:lineRule="auto"/>
              <w:ind w:left="407"/>
            </w:pPr>
            <w:r>
              <w:t>1</w:t>
            </w:r>
          </w:p>
        </w:tc>
        <w:tc>
          <w:tcPr>
            <w:tcW w:w="1356" w:type="dxa"/>
            <w:tcBorders>
              <w:right w:val="single" w:color="000000" w:sz="4" w:space="0"/>
            </w:tcBorders>
            <w:vAlign w:val="top"/>
          </w:tcPr>
          <w:p w14:paraId="0D8BBB03">
            <w:pPr>
              <w:spacing w:line="309" w:lineRule="auto"/>
              <w:rPr>
                <w:rFonts w:ascii="Arial"/>
                <w:sz w:val="21"/>
              </w:rPr>
            </w:pPr>
          </w:p>
          <w:p w14:paraId="63B9D016">
            <w:pPr>
              <w:spacing w:line="310" w:lineRule="auto"/>
              <w:rPr>
                <w:rFonts w:ascii="Arial"/>
                <w:sz w:val="21"/>
              </w:rPr>
            </w:pPr>
          </w:p>
          <w:p w14:paraId="2179F56F">
            <w:pPr>
              <w:spacing w:line="310" w:lineRule="auto"/>
              <w:rPr>
                <w:rFonts w:ascii="Arial"/>
                <w:sz w:val="21"/>
              </w:rPr>
            </w:pPr>
          </w:p>
          <w:p w14:paraId="0F5E5D9A">
            <w:pPr>
              <w:pStyle w:val="7"/>
              <w:spacing w:before="78" w:line="219" w:lineRule="auto"/>
              <w:ind w:left="247"/>
            </w:pPr>
            <w:r>
              <w:rPr>
                <w:spacing w:val="-15"/>
              </w:rPr>
              <w:t>测量放线</w:t>
            </w:r>
          </w:p>
        </w:tc>
        <w:tc>
          <w:tcPr>
            <w:tcW w:w="2642" w:type="dxa"/>
            <w:tcBorders>
              <w:left w:val="single" w:color="000000" w:sz="4" w:space="0"/>
            </w:tcBorders>
            <w:vAlign w:val="top"/>
          </w:tcPr>
          <w:p w14:paraId="2E3F9FB1">
            <w:pPr>
              <w:pStyle w:val="7"/>
              <w:spacing w:before="312" w:line="217" w:lineRule="auto"/>
              <w:ind w:left="131"/>
            </w:pPr>
            <w:r>
              <w:rPr>
                <w:spacing w:val="-20"/>
              </w:rPr>
              <w:t>将路缘石线型位置进行放</w:t>
            </w:r>
          </w:p>
          <w:p w14:paraId="34F42138">
            <w:pPr>
              <w:pStyle w:val="7"/>
              <w:spacing w:before="186" w:line="215" w:lineRule="auto"/>
              <w:ind w:left="131"/>
            </w:pPr>
            <w:r>
              <w:rPr>
                <w:spacing w:val="-19"/>
              </w:rPr>
              <w:t>样，直线段按照每10m一</w:t>
            </w:r>
          </w:p>
          <w:p w14:paraId="4FEB8CA7">
            <w:pPr>
              <w:pStyle w:val="7"/>
              <w:spacing w:before="185" w:line="219" w:lineRule="auto"/>
              <w:ind w:left="88"/>
            </w:pPr>
            <w:r>
              <w:rPr>
                <w:spacing w:val="-16"/>
              </w:rPr>
              <w:t>点、曲线段按照每5m一点</w:t>
            </w:r>
          </w:p>
          <w:p w14:paraId="2BFBE391">
            <w:pPr>
              <w:pStyle w:val="7"/>
              <w:spacing w:before="184" w:line="217" w:lineRule="auto"/>
              <w:ind w:left="1002"/>
            </w:pPr>
            <w:r>
              <w:rPr>
                <w:spacing w:val="-21"/>
              </w:rPr>
              <w:t>控制。</w:t>
            </w:r>
          </w:p>
        </w:tc>
        <w:tc>
          <w:tcPr>
            <w:tcW w:w="3922" w:type="dxa"/>
            <w:tcBorders>
              <w:right w:val="single" w:color="000000" w:sz="4" w:space="0"/>
            </w:tcBorders>
            <w:vAlign w:val="top"/>
          </w:tcPr>
          <w:p w14:paraId="678F5095">
            <w:pPr>
              <w:spacing w:before="100" w:line="2067" w:lineRule="exact"/>
              <w:ind w:firstLine="66"/>
            </w:pPr>
            <w:r>
              <w:rPr>
                <w:position w:val="-41"/>
              </w:rPr>
              <w:drawing>
                <wp:inline distT="0" distB="0" distL="0" distR="0">
                  <wp:extent cx="2389505" cy="1312545"/>
                  <wp:effectExtent l="0" t="0" r="0" b="0"/>
                  <wp:docPr id="536" name="IM 536"/>
                  <wp:cNvGraphicFramePr/>
                  <a:graphic xmlns:a="http://schemas.openxmlformats.org/drawingml/2006/main">
                    <a:graphicData uri="http://schemas.openxmlformats.org/drawingml/2006/picture">
                      <pic:pic xmlns:pic="http://schemas.openxmlformats.org/drawingml/2006/picture">
                        <pic:nvPicPr>
                          <pic:cNvPr id="536" name="IM 536"/>
                          <pic:cNvPicPr/>
                        </pic:nvPicPr>
                        <pic:blipFill>
                          <a:blip r:embed="rId548"/>
                          <a:stretch>
                            <a:fillRect/>
                          </a:stretch>
                        </pic:blipFill>
                        <pic:spPr>
                          <a:xfrm>
                            <a:off x="0" y="0"/>
                            <a:ext cx="2389505" cy="1312545"/>
                          </a:xfrm>
                          <a:prstGeom prst="rect">
                            <a:avLst/>
                          </a:prstGeom>
                        </pic:spPr>
                      </pic:pic>
                    </a:graphicData>
                  </a:graphic>
                </wp:inline>
              </w:drawing>
            </w:r>
          </w:p>
        </w:tc>
      </w:tr>
      <w:tr w14:paraId="3AA6CF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16" w:hRule="atLeast"/>
        </w:trPr>
        <w:tc>
          <w:tcPr>
            <w:tcW w:w="874" w:type="dxa"/>
            <w:gridSpan w:val="2"/>
            <w:tcBorders>
              <w:left w:val="single" w:color="000000" w:sz="4" w:space="0"/>
            </w:tcBorders>
            <w:vAlign w:val="top"/>
          </w:tcPr>
          <w:p w14:paraId="23B595F5">
            <w:pPr>
              <w:spacing w:line="258" w:lineRule="auto"/>
              <w:rPr>
                <w:rFonts w:ascii="Arial"/>
                <w:sz w:val="21"/>
              </w:rPr>
            </w:pPr>
          </w:p>
          <w:p w14:paraId="47A04F59">
            <w:pPr>
              <w:spacing w:line="259" w:lineRule="auto"/>
              <w:rPr>
                <w:rFonts w:ascii="Arial"/>
                <w:sz w:val="21"/>
              </w:rPr>
            </w:pPr>
          </w:p>
          <w:p w14:paraId="3FC7AAAC">
            <w:pPr>
              <w:spacing w:line="259" w:lineRule="auto"/>
              <w:rPr>
                <w:rFonts w:ascii="Arial"/>
                <w:sz w:val="21"/>
              </w:rPr>
            </w:pPr>
          </w:p>
          <w:p w14:paraId="0A00C83E">
            <w:pPr>
              <w:spacing w:line="259" w:lineRule="auto"/>
              <w:rPr>
                <w:rFonts w:ascii="Arial"/>
                <w:sz w:val="21"/>
              </w:rPr>
            </w:pPr>
          </w:p>
          <w:p w14:paraId="478F254C">
            <w:pPr>
              <w:spacing w:line="259" w:lineRule="auto"/>
              <w:rPr>
                <w:rFonts w:ascii="Arial"/>
                <w:sz w:val="21"/>
              </w:rPr>
            </w:pPr>
          </w:p>
          <w:p w14:paraId="0AD5D85C">
            <w:pPr>
              <w:pStyle w:val="7"/>
              <w:spacing w:before="78" w:line="238" w:lineRule="auto"/>
              <w:ind w:left="392"/>
            </w:pPr>
            <w:r>
              <w:t>2</w:t>
            </w:r>
          </w:p>
        </w:tc>
        <w:tc>
          <w:tcPr>
            <w:tcW w:w="1356" w:type="dxa"/>
            <w:tcBorders>
              <w:right w:val="single" w:color="000000" w:sz="4" w:space="0"/>
            </w:tcBorders>
            <w:vAlign w:val="top"/>
          </w:tcPr>
          <w:p w14:paraId="65B2C42C">
            <w:pPr>
              <w:spacing w:line="258" w:lineRule="auto"/>
              <w:rPr>
                <w:rFonts w:ascii="Arial"/>
                <w:sz w:val="21"/>
              </w:rPr>
            </w:pPr>
          </w:p>
          <w:p w14:paraId="1C5500D9">
            <w:pPr>
              <w:spacing w:line="259" w:lineRule="auto"/>
              <w:rPr>
                <w:rFonts w:ascii="Arial"/>
                <w:sz w:val="21"/>
              </w:rPr>
            </w:pPr>
          </w:p>
          <w:p w14:paraId="697BA155">
            <w:pPr>
              <w:spacing w:line="259" w:lineRule="auto"/>
              <w:rPr>
                <w:rFonts w:ascii="Arial"/>
                <w:sz w:val="21"/>
              </w:rPr>
            </w:pPr>
          </w:p>
          <w:p w14:paraId="1EF9930A">
            <w:pPr>
              <w:spacing w:line="259" w:lineRule="auto"/>
              <w:rPr>
                <w:rFonts w:ascii="Arial"/>
                <w:sz w:val="21"/>
              </w:rPr>
            </w:pPr>
          </w:p>
          <w:p w14:paraId="62E4542D">
            <w:pPr>
              <w:spacing w:line="259" w:lineRule="auto"/>
              <w:rPr>
                <w:rFonts w:ascii="Arial"/>
                <w:sz w:val="21"/>
              </w:rPr>
            </w:pPr>
          </w:p>
          <w:p w14:paraId="1B9FF6AA">
            <w:pPr>
              <w:pStyle w:val="7"/>
              <w:spacing w:before="78" w:line="218" w:lineRule="auto"/>
              <w:ind w:left="247"/>
            </w:pPr>
            <w:r>
              <w:rPr>
                <w:spacing w:val="-15"/>
              </w:rPr>
              <w:t>铺筑砂浆</w:t>
            </w:r>
          </w:p>
        </w:tc>
        <w:tc>
          <w:tcPr>
            <w:tcW w:w="2642" w:type="dxa"/>
            <w:tcBorders>
              <w:left w:val="single" w:color="000000" w:sz="4" w:space="0"/>
            </w:tcBorders>
            <w:vAlign w:val="top"/>
          </w:tcPr>
          <w:p w14:paraId="6A6A6FA2">
            <w:pPr>
              <w:spacing w:line="298" w:lineRule="auto"/>
              <w:rPr>
                <w:rFonts w:ascii="Arial"/>
                <w:sz w:val="21"/>
              </w:rPr>
            </w:pPr>
          </w:p>
          <w:p w14:paraId="3B9A6CC5">
            <w:pPr>
              <w:spacing w:line="299" w:lineRule="auto"/>
              <w:rPr>
                <w:rFonts w:ascii="Arial"/>
                <w:sz w:val="21"/>
              </w:rPr>
            </w:pPr>
          </w:p>
          <w:p w14:paraId="67C700C9">
            <w:pPr>
              <w:pStyle w:val="7"/>
              <w:spacing w:before="78" w:line="217" w:lineRule="auto"/>
              <w:jc w:val="right"/>
            </w:pPr>
            <w:r>
              <w:rPr>
                <w:spacing w:val="-26"/>
              </w:rPr>
              <w:t>根据放线位置，铺砌砂浆，</w:t>
            </w:r>
          </w:p>
          <w:p w14:paraId="7FD48F62">
            <w:pPr>
              <w:pStyle w:val="7"/>
              <w:spacing w:before="186" w:line="218" w:lineRule="auto"/>
              <w:ind w:left="130"/>
            </w:pPr>
            <w:r>
              <w:rPr>
                <w:spacing w:val="-20"/>
              </w:rPr>
              <w:t>铺砌厚度应按照设计要求</w:t>
            </w:r>
          </w:p>
          <w:p w14:paraId="669C3B60">
            <w:pPr>
              <w:pStyle w:val="7"/>
              <w:spacing w:before="182" w:line="217" w:lineRule="auto"/>
              <w:ind w:left="65"/>
            </w:pPr>
            <w:r>
              <w:rPr>
                <w:spacing w:val="-27"/>
              </w:rPr>
              <w:t>严格控制标高。铺砌前要清</w:t>
            </w:r>
          </w:p>
          <w:p w14:paraId="7249F305">
            <w:pPr>
              <w:pStyle w:val="7"/>
              <w:spacing w:before="185" w:line="219" w:lineRule="auto"/>
              <w:ind w:left="677"/>
            </w:pPr>
            <w:r>
              <w:rPr>
                <w:spacing w:val="-18"/>
              </w:rPr>
              <w:t>理干净基层。</w:t>
            </w:r>
          </w:p>
        </w:tc>
        <w:tc>
          <w:tcPr>
            <w:tcW w:w="3922" w:type="dxa"/>
            <w:tcBorders>
              <w:right w:val="single" w:color="000000" w:sz="4" w:space="0"/>
            </w:tcBorders>
            <w:vAlign w:val="top"/>
          </w:tcPr>
          <w:p w14:paraId="656F4C61">
            <w:pPr>
              <w:spacing w:before="82" w:line="2835" w:lineRule="exact"/>
              <w:ind w:firstLine="75"/>
            </w:pPr>
            <w:r>
              <w:rPr>
                <w:position w:val="-56"/>
              </w:rPr>
              <w:drawing>
                <wp:inline distT="0" distB="0" distL="0" distR="0">
                  <wp:extent cx="2377440" cy="1799590"/>
                  <wp:effectExtent l="0" t="0" r="0" b="0"/>
                  <wp:docPr id="538" name="IM 538"/>
                  <wp:cNvGraphicFramePr/>
                  <a:graphic xmlns:a="http://schemas.openxmlformats.org/drawingml/2006/main">
                    <a:graphicData uri="http://schemas.openxmlformats.org/drawingml/2006/picture">
                      <pic:pic xmlns:pic="http://schemas.openxmlformats.org/drawingml/2006/picture">
                        <pic:nvPicPr>
                          <pic:cNvPr id="538" name="IM 538"/>
                          <pic:cNvPicPr/>
                        </pic:nvPicPr>
                        <pic:blipFill>
                          <a:blip r:embed="rId549"/>
                          <a:stretch>
                            <a:fillRect/>
                          </a:stretch>
                        </pic:blipFill>
                        <pic:spPr>
                          <a:xfrm>
                            <a:off x="0" y="0"/>
                            <a:ext cx="2377440" cy="1800224"/>
                          </a:xfrm>
                          <a:prstGeom prst="rect">
                            <a:avLst/>
                          </a:prstGeom>
                        </pic:spPr>
                      </pic:pic>
                    </a:graphicData>
                  </a:graphic>
                </wp:inline>
              </w:drawing>
            </w:r>
          </w:p>
        </w:tc>
      </w:tr>
      <w:tr w14:paraId="37B233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33" w:hRule="atLeast"/>
        </w:trPr>
        <w:tc>
          <w:tcPr>
            <w:tcW w:w="224" w:type="dxa"/>
            <w:tcBorders>
              <w:left w:val="single" w:color="1C456A" w:sz="4" w:space="0"/>
              <w:bottom w:val="single" w:color="1C456A" w:sz="4" w:space="0"/>
              <w:right w:val="nil"/>
            </w:tcBorders>
            <w:vAlign w:val="top"/>
          </w:tcPr>
          <w:p w14:paraId="589D4A21">
            <w:pPr>
              <w:rPr>
                <w:rFonts w:ascii="Arial"/>
                <w:sz w:val="21"/>
              </w:rPr>
            </w:pPr>
            <w:r>
              <w:pict>
                <v:shape id="_x0000_s1692" o:spid="_x0000_s1692" style="position:absolute;left:0pt;margin-left:-0.25pt;margin-top:156.65pt;height:0.75pt;width:2.2pt;mso-position-horizontal-relative:page;mso-position-vertical-relative:page;z-index:251809792;mso-width-relative:page;mso-height-relative:page;" fillcolor="#5B9BD5" filled="t" stroked="f" coordsize="44,15" path="m0,14l43,14,43,0,0,0,0,14xe">
                  <v:path/>
                  <v:fill on="t" focussize="0,0"/>
                  <v:stroke on="f"/>
                  <v:imagedata o:title=""/>
                  <o:lock v:ext="edit"/>
                </v:shape>
              </w:pict>
            </w:r>
          </w:p>
        </w:tc>
        <w:tc>
          <w:tcPr>
            <w:tcW w:w="650" w:type="dxa"/>
            <w:tcBorders>
              <w:left w:val="nil"/>
              <w:bottom w:val="single" w:color="1C456A" w:sz="4" w:space="0"/>
            </w:tcBorders>
            <w:vAlign w:val="top"/>
          </w:tcPr>
          <w:p w14:paraId="3C661C36">
            <w:pPr>
              <w:spacing w:line="254" w:lineRule="auto"/>
              <w:rPr>
                <w:rFonts w:ascii="Arial"/>
                <w:sz w:val="21"/>
              </w:rPr>
            </w:pPr>
          </w:p>
          <w:p w14:paraId="6342BBFB">
            <w:pPr>
              <w:spacing w:line="255" w:lineRule="auto"/>
              <w:rPr>
                <w:rFonts w:ascii="Arial"/>
                <w:sz w:val="21"/>
              </w:rPr>
            </w:pPr>
          </w:p>
          <w:p w14:paraId="79E08B1C">
            <w:pPr>
              <w:spacing w:line="255" w:lineRule="auto"/>
              <w:rPr>
                <w:rFonts w:ascii="Arial"/>
                <w:sz w:val="21"/>
              </w:rPr>
            </w:pPr>
          </w:p>
          <w:p w14:paraId="5CBAE3B9">
            <w:pPr>
              <w:spacing w:line="255" w:lineRule="auto"/>
              <w:rPr>
                <w:rFonts w:ascii="Arial"/>
                <w:sz w:val="21"/>
              </w:rPr>
            </w:pPr>
          </w:p>
          <w:p w14:paraId="1F71067B">
            <w:pPr>
              <w:spacing w:line="255" w:lineRule="auto"/>
              <w:rPr>
                <w:rFonts w:ascii="Arial"/>
                <w:sz w:val="21"/>
              </w:rPr>
            </w:pPr>
          </w:p>
          <w:p w14:paraId="072CBE49">
            <w:pPr>
              <w:pStyle w:val="7"/>
              <w:spacing w:before="78" w:line="237" w:lineRule="auto"/>
              <w:ind w:left="175"/>
            </w:pPr>
            <w:r>
              <w:t>3</w:t>
            </w:r>
          </w:p>
        </w:tc>
        <w:tc>
          <w:tcPr>
            <w:tcW w:w="1356" w:type="dxa"/>
            <w:tcBorders>
              <w:bottom w:val="single" w:color="000000" w:sz="4" w:space="0"/>
              <w:right w:val="single" w:color="000000" w:sz="4" w:space="0"/>
            </w:tcBorders>
            <w:vAlign w:val="top"/>
          </w:tcPr>
          <w:p w14:paraId="6594B113">
            <w:pPr>
              <w:spacing w:line="254" w:lineRule="auto"/>
              <w:rPr>
                <w:rFonts w:ascii="Arial"/>
                <w:sz w:val="21"/>
              </w:rPr>
            </w:pPr>
          </w:p>
          <w:p w14:paraId="17E48227">
            <w:pPr>
              <w:spacing w:line="254" w:lineRule="auto"/>
              <w:rPr>
                <w:rFonts w:ascii="Arial"/>
                <w:sz w:val="21"/>
              </w:rPr>
            </w:pPr>
          </w:p>
          <w:p w14:paraId="5D37D112">
            <w:pPr>
              <w:spacing w:line="255" w:lineRule="auto"/>
              <w:rPr>
                <w:rFonts w:ascii="Arial"/>
                <w:sz w:val="21"/>
              </w:rPr>
            </w:pPr>
          </w:p>
          <w:p w14:paraId="6C813E92">
            <w:pPr>
              <w:spacing w:line="255" w:lineRule="auto"/>
              <w:rPr>
                <w:rFonts w:ascii="Arial"/>
                <w:sz w:val="21"/>
              </w:rPr>
            </w:pPr>
          </w:p>
          <w:p w14:paraId="18C6CE89">
            <w:pPr>
              <w:spacing w:line="255" w:lineRule="auto"/>
              <w:rPr>
                <w:rFonts w:ascii="Arial"/>
                <w:sz w:val="21"/>
              </w:rPr>
            </w:pPr>
          </w:p>
          <w:p w14:paraId="26F50A7C">
            <w:pPr>
              <w:pStyle w:val="7"/>
              <w:spacing w:before="78" w:line="220" w:lineRule="auto"/>
              <w:ind w:left="253"/>
            </w:pPr>
            <w:r>
              <w:rPr>
                <w:spacing w:val="-17"/>
              </w:rPr>
              <w:t>立石安装</w:t>
            </w:r>
          </w:p>
        </w:tc>
        <w:tc>
          <w:tcPr>
            <w:tcW w:w="2642" w:type="dxa"/>
            <w:tcBorders>
              <w:left w:val="single" w:color="000000" w:sz="4" w:space="0"/>
              <w:bottom w:val="single" w:color="000000" w:sz="4" w:space="0"/>
            </w:tcBorders>
            <w:vAlign w:val="top"/>
          </w:tcPr>
          <w:p w14:paraId="602FB3A0">
            <w:pPr>
              <w:pStyle w:val="7"/>
              <w:spacing w:before="194" w:line="215" w:lineRule="auto"/>
              <w:ind w:left="132"/>
            </w:pPr>
            <w:r>
              <w:rPr>
                <w:spacing w:val="-20"/>
              </w:rPr>
              <w:t>在铺砌的砂浆上及时进行</w:t>
            </w:r>
          </w:p>
          <w:p w14:paraId="344CCB3B">
            <w:pPr>
              <w:pStyle w:val="7"/>
              <w:spacing w:before="187" w:line="219" w:lineRule="auto"/>
              <w:jc w:val="right"/>
            </w:pPr>
            <w:r>
              <w:rPr>
                <w:spacing w:val="-27"/>
              </w:rPr>
              <w:t>立石安装，安装缝宽10mm，</w:t>
            </w:r>
          </w:p>
          <w:p w14:paraId="7E075C46">
            <w:pPr>
              <w:pStyle w:val="7"/>
              <w:spacing w:before="180" w:line="217" w:lineRule="auto"/>
              <w:ind w:left="139"/>
            </w:pPr>
            <w:r>
              <w:rPr>
                <w:spacing w:val="-21"/>
              </w:rPr>
              <w:t>为保证进度可以采用定制</w:t>
            </w:r>
          </w:p>
          <w:p w14:paraId="2278C96A">
            <w:pPr>
              <w:pStyle w:val="7"/>
              <w:spacing w:before="185" w:line="217" w:lineRule="auto"/>
              <w:ind w:left="226"/>
            </w:pPr>
            <w:r>
              <w:rPr>
                <w:spacing w:val="-20"/>
              </w:rPr>
              <w:t>的Ф10钢筋进行插缝控</w:t>
            </w:r>
          </w:p>
          <w:p w14:paraId="0104AB23">
            <w:pPr>
              <w:pStyle w:val="7"/>
              <w:spacing w:before="185" w:line="217" w:lineRule="auto"/>
              <w:ind w:left="64"/>
            </w:pPr>
            <w:r>
              <w:rPr>
                <w:spacing w:val="-27"/>
              </w:rPr>
              <w:t>制。立石后要及时用细石混</w:t>
            </w:r>
          </w:p>
          <w:p w14:paraId="3F826BC3">
            <w:pPr>
              <w:pStyle w:val="7"/>
              <w:spacing w:before="185" w:line="222" w:lineRule="auto"/>
              <w:ind w:left="781"/>
            </w:pPr>
            <w:r>
              <w:rPr>
                <w:spacing w:val="-17"/>
              </w:rPr>
              <w:t>凝土固定。</w:t>
            </w:r>
          </w:p>
        </w:tc>
        <w:tc>
          <w:tcPr>
            <w:tcW w:w="3922" w:type="dxa"/>
            <w:tcBorders>
              <w:bottom w:val="single" w:color="5B9BD5" w:sz="4" w:space="0"/>
              <w:right w:val="single" w:color="5B9BD5" w:sz="4" w:space="0"/>
            </w:tcBorders>
            <w:vAlign w:val="top"/>
          </w:tcPr>
          <w:p w14:paraId="7C97BDF9">
            <w:pPr>
              <w:spacing w:before="74" w:line="2808" w:lineRule="exact"/>
              <w:ind w:firstLine="71"/>
            </w:pPr>
            <w:r>
              <w:pict>
                <v:shape id="_x0000_s1693" o:spid="_x0000_s1693" style="position:absolute;left:0pt;margin-left:194.25pt;margin-top:156.65pt;height:0.75pt;width:2.2pt;mso-position-horizontal-relative:page;mso-position-vertical-relative:page;z-index:251808768;mso-width-relative:page;mso-height-relative:page;" fillcolor="#5B9BD5" filled="t" stroked="f" coordsize="44,15" path="m0,14l43,14,43,0,0,0,0,14xe">
                  <v:path/>
                  <v:fill on="t" focussize="0,0"/>
                  <v:stroke on="f"/>
                  <v:imagedata o:title=""/>
                  <o:lock v:ext="edit"/>
                </v:shape>
              </w:pict>
            </w:r>
            <w:r>
              <w:rPr>
                <w:position w:val="-56"/>
              </w:rPr>
              <w:drawing>
                <wp:inline distT="0" distB="0" distL="0" distR="0">
                  <wp:extent cx="2381885" cy="1782445"/>
                  <wp:effectExtent l="0" t="0" r="0" b="0"/>
                  <wp:docPr id="540" name="IM 540"/>
                  <wp:cNvGraphicFramePr/>
                  <a:graphic xmlns:a="http://schemas.openxmlformats.org/drawingml/2006/main">
                    <a:graphicData uri="http://schemas.openxmlformats.org/drawingml/2006/picture">
                      <pic:pic xmlns:pic="http://schemas.openxmlformats.org/drawingml/2006/picture">
                        <pic:nvPicPr>
                          <pic:cNvPr id="540" name="IM 540"/>
                          <pic:cNvPicPr/>
                        </pic:nvPicPr>
                        <pic:blipFill>
                          <a:blip r:embed="rId550"/>
                          <a:stretch>
                            <a:fillRect/>
                          </a:stretch>
                        </pic:blipFill>
                        <pic:spPr>
                          <a:xfrm>
                            <a:off x="0" y="0"/>
                            <a:ext cx="2381885" cy="1783079"/>
                          </a:xfrm>
                          <a:prstGeom prst="rect">
                            <a:avLst/>
                          </a:prstGeom>
                        </pic:spPr>
                      </pic:pic>
                    </a:graphicData>
                  </a:graphic>
                </wp:inline>
              </w:drawing>
            </w:r>
          </w:p>
        </w:tc>
      </w:tr>
    </w:tbl>
    <w:p w14:paraId="567CC76C">
      <w:pPr>
        <w:rPr>
          <w:rFonts w:ascii="Arial"/>
          <w:sz w:val="21"/>
        </w:rPr>
      </w:pPr>
    </w:p>
    <w:p w14:paraId="5A291A1E">
      <w:pPr>
        <w:rPr>
          <w:rFonts w:ascii="Arial" w:hAnsi="Arial" w:eastAsia="Arial" w:cs="Arial"/>
          <w:sz w:val="21"/>
          <w:szCs w:val="21"/>
        </w:rPr>
        <w:sectPr>
          <w:footerReference r:id="rId88" w:type="default"/>
          <w:pgSz w:w="11907" w:h="16839"/>
          <w:pgMar w:top="954" w:right="4" w:bottom="1038" w:left="0" w:header="499" w:footer="357" w:gutter="0"/>
          <w:pgBorders>
            <w:top w:val="none" w:sz="0" w:space="0"/>
            <w:left w:val="none" w:sz="0" w:space="0"/>
            <w:bottom w:val="none" w:sz="0" w:space="0"/>
            <w:right w:val="none" w:sz="0" w:space="0"/>
          </w:pgBorders>
          <w:cols w:space="720" w:num="1"/>
        </w:sectPr>
      </w:pPr>
    </w:p>
    <w:p w14:paraId="1D6DB524">
      <w:pPr>
        <w:spacing w:line="214" w:lineRule="exact"/>
      </w:pPr>
    </w:p>
    <w:tbl>
      <w:tblPr>
        <w:tblStyle w:val="6"/>
        <w:tblW w:w="8794" w:type="dxa"/>
        <w:tblInd w:w="155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68"/>
        <w:gridCol w:w="1359"/>
        <w:gridCol w:w="2645"/>
        <w:gridCol w:w="3922"/>
      </w:tblGrid>
      <w:tr w14:paraId="564E54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34" w:hRule="atLeast"/>
        </w:trPr>
        <w:tc>
          <w:tcPr>
            <w:tcW w:w="868" w:type="dxa"/>
            <w:tcBorders>
              <w:top w:val="single" w:color="000000" w:sz="4" w:space="0"/>
              <w:left w:val="single" w:color="000000" w:sz="4" w:space="0"/>
            </w:tcBorders>
            <w:vAlign w:val="top"/>
          </w:tcPr>
          <w:p w14:paraId="12B6385D">
            <w:pPr>
              <w:spacing w:line="250" w:lineRule="auto"/>
              <w:rPr>
                <w:rFonts w:ascii="Arial"/>
                <w:sz w:val="21"/>
              </w:rPr>
            </w:pPr>
          </w:p>
          <w:p w14:paraId="3EF2A79B">
            <w:pPr>
              <w:spacing w:line="251" w:lineRule="auto"/>
              <w:rPr>
                <w:rFonts w:ascii="Arial"/>
                <w:sz w:val="21"/>
              </w:rPr>
            </w:pPr>
          </w:p>
          <w:p w14:paraId="4776596E">
            <w:pPr>
              <w:spacing w:line="251" w:lineRule="auto"/>
              <w:rPr>
                <w:rFonts w:ascii="Arial"/>
                <w:sz w:val="21"/>
              </w:rPr>
            </w:pPr>
          </w:p>
          <w:p w14:paraId="4DABE2BD">
            <w:pPr>
              <w:spacing w:line="251" w:lineRule="auto"/>
              <w:rPr>
                <w:rFonts w:ascii="Arial"/>
                <w:sz w:val="21"/>
              </w:rPr>
            </w:pPr>
          </w:p>
          <w:p w14:paraId="51C447E9">
            <w:pPr>
              <w:pStyle w:val="7"/>
              <w:spacing w:before="78" w:line="238" w:lineRule="auto"/>
              <w:ind w:left="388"/>
            </w:pPr>
            <w:r>
              <w:t>4</w:t>
            </w:r>
          </w:p>
        </w:tc>
        <w:tc>
          <w:tcPr>
            <w:tcW w:w="1359" w:type="dxa"/>
            <w:tcBorders>
              <w:top w:val="single" w:color="000000" w:sz="4" w:space="0"/>
              <w:right w:val="single" w:color="000000" w:sz="4" w:space="0"/>
            </w:tcBorders>
            <w:vAlign w:val="top"/>
          </w:tcPr>
          <w:p w14:paraId="350A4105">
            <w:pPr>
              <w:spacing w:line="250" w:lineRule="auto"/>
              <w:rPr>
                <w:rFonts w:ascii="Arial"/>
                <w:sz w:val="21"/>
              </w:rPr>
            </w:pPr>
          </w:p>
          <w:p w14:paraId="617433B0">
            <w:pPr>
              <w:spacing w:line="250" w:lineRule="auto"/>
              <w:rPr>
                <w:rFonts w:ascii="Arial"/>
                <w:sz w:val="21"/>
              </w:rPr>
            </w:pPr>
          </w:p>
          <w:p w14:paraId="4A034BB0">
            <w:pPr>
              <w:spacing w:line="251" w:lineRule="auto"/>
              <w:rPr>
                <w:rFonts w:ascii="Arial"/>
                <w:sz w:val="21"/>
              </w:rPr>
            </w:pPr>
          </w:p>
          <w:p w14:paraId="76C686C3">
            <w:pPr>
              <w:spacing w:line="251" w:lineRule="auto"/>
              <w:rPr>
                <w:rFonts w:ascii="Arial"/>
                <w:sz w:val="21"/>
              </w:rPr>
            </w:pPr>
          </w:p>
          <w:p w14:paraId="6C007621">
            <w:pPr>
              <w:pStyle w:val="7"/>
              <w:spacing w:before="79" w:line="219" w:lineRule="auto"/>
              <w:ind w:left="253"/>
            </w:pPr>
            <w:r>
              <w:rPr>
                <w:spacing w:val="-15"/>
              </w:rPr>
              <w:t>平石安装</w:t>
            </w:r>
          </w:p>
        </w:tc>
        <w:tc>
          <w:tcPr>
            <w:tcW w:w="2645" w:type="dxa"/>
            <w:tcBorders>
              <w:top w:val="single" w:color="000000" w:sz="4" w:space="0"/>
              <w:left w:val="single" w:color="000000" w:sz="4" w:space="0"/>
            </w:tcBorders>
            <w:vAlign w:val="top"/>
          </w:tcPr>
          <w:p w14:paraId="73CC4753">
            <w:pPr>
              <w:spacing w:line="257" w:lineRule="auto"/>
              <w:rPr>
                <w:rFonts w:ascii="Arial"/>
                <w:sz w:val="21"/>
              </w:rPr>
            </w:pPr>
          </w:p>
          <w:p w14:paraId="5843E90E">
            <w:pPr>
              <w:spacing w:line="257" w:lineRule="auto"/>
              <w:rPr>
                <w:rFonts w:ascii="Arial"/>
                <w:sz w:val="21"/>
              </w:rPr>
            </w:pPr>
          </w:p>
          <w:p w14:paraId="59DB4331">
            <w:pPr>
              <w:spacing w:line="257" w:lineRule="auto"/>
              <w:rPr>
                <w:rFonts w:ascii="Arial"/>
                <w:sz w:val="21"/>
              </w:rPr>
            </w:pPr>
          </w:p>
          <w:p w14:paraId="76B1E151">
            <w:pPr>
              <w:pStyle w:val="7"/>
              <w:spacing w:before="78" w:line="362" w:lineRule="auto"/>
              <w:ind w:left="66" w:right="33" w:firstLine="1"/>
            </w:pPr>
            <w:r>
              <w:rPr>
                <w:spacing w:val="-29"/>
              </w:rPr>
              <w:t>在安装立石后，及时进行平石安装，平石和立石要错缝</w:t>
            </w:r>
          </w:p>
        </w:tc>
        <w:tc>
          <w:tcPr>
            <w:tcW w:w="3922" w:type="dxa"/>
            <w:tcBorders>
              <w:top w:val="single" w:color="5B9BD5" w:sz="4" w:space="0"/>
              <w:right w:val="single" w:color="5B9BD5" w:sz="4" w:space="0"/>
            </w:tcBorders>
            <w:vAlign w:val="top"/>
          </w:tcPr>
          <w:p w14:paraId="5CBF2162">
            <w:pPr>
              <w:spacing w:before="93" w:line="2230" w:lineRule="exact"/>
              <w:ind w:firstLine="87"/>
            </w:pPr>
            <w:r>
              <w:rPr>
                <w:position w:val="-44"/>
              </w:rPr>
              <w:drawing>
                <wp:inline distT="0" distB="0" distL="0" distR="0">
                  <wp:extent cx="2360295" cy="1416050"/>
                  <wp:effectExtent l="0" t="0" r="0" b="0"/>
                  <wp:docPr id="544" name="IM 544"/>
                  <wp:cNvGraphicFramePr/>
                  <a:graphic xmlns:a="http://schemas.openxmlformats.org/drawingml/2006/main">
                    <a:graphicData uri="http://schemas.openxmlformats.org/drawingml/2006/picture">
                      <pic:pic xmlns:pic="http://schemas.openxmlformats.org/drawingml/2006/picture">
                        <pic:nvPicPr>
                          <pic:cNvPr id="544" name="IM 544"/>
                          <pic:cNvPicPr/>
                        </pic:nvPicPr>
                        <pic:blipFill>
                          <a:blip r:embed="rId551"/>
                          <a:stretch>
                            <a:fillRect/>
                          </a:stretch>
                        </pic:blipFill>
                        <pic:spPr>
                          <a:xfrm>
                            <a:off x="0" y="0"/>
                            <a:ext cx="2360929" cy="1416050"/>
                          </a:xfrm>
                          <a:prstGeom prst="rect">
                            <a:avLst/>
                          </a:prstGeom>
                        </pic:spPr>
                      </pic:pic>
                    </a:graphicData>
                  </a:graphic>
                </wp:inline>
              </w:drawing>
            </w:r>
          </w:p>
        </w:tc>
      </w:tr>
      <w:tr w14:paraId="0BD8E8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7" w:hRule="atLeast"/>
        </w:trPr>
        <w:tc>
          <w:tcPr>
            <w:tcW w:w="868" w:type="dxa"/>
            <w:tcBorders>
              <w:left w:val="single" w:color="1C456A" w:sz="4" w:space="0"/>
              <w:bottom w:val="single" w:color="1C456A" w:sz="4" w:space="0"/>
            </w:tcBorders>
            <w:vAlign w:val="top"/>
          </w:tcPr>
          <w:p w14:paraId="1FE9CF9D">
            <w:pPr>
              <w:spacing w:line="272" w:lineRule="auto"/>
              <w:rPr>
                <w:rFonts w:ascii="Arial"/>
                <w:sz w:val="21"/>
              </w:rPr>
            </w:pPr>
          </w:p>
          <w:p w14:paraId="09EF5856">
            <w:pPr>
              <w:spacing w:line="273" w:lineRule="auto"/>
              <w:rPr>
                <w:rFonts w:ascii="Arial"/>
                <w:sz w:val="21"/>
              </w:rPr>
            </w:pPr>
          </w:p>
          <w:p w14:paraId="1D66231E">
            <w:pPr>
              <w:spacing w:line="273" w:lineRule="auto"/>
              <w:rPr>
                <w:rFonts w:ascii="Arial"/>
                <w:sz w:val="21"/>
              </w:rPr>
            </w:pPr>
          </w:p>
          <w:p w14:paraId="18560CB3">
            <w:pPr>
              <w:spacing w:line="273" w:lineRule="auto"/>
              <w:rPr>
                <w:rFonts w:ascii="Arial"/>
                <w:sz w:val="21"/>
              </w:rPr>
            </w:pPr>
          </w:p>
          <w:p w14:paraId="5604D6E7">
            <w:pPr>
              <w:pStyle w:val="7"/>
              <w:spacing w:before="78" w:line="237" w:lineRule="auto"/>
              <w:ind w:left="394"/>
            </w:pPr>
            <w:r>
              <w:t>5</w:t>
            </w:r>
          </w:p>
        </w:tc>
        <w:tc>
          <w:tcPr>
            <w:tcW w:w="1359" w:type="dxa"/>
            <w:tcBorders>
              <w:bottom w:val="single" w:color="000000" w:sz="4" w:space="0"/>
              <w:right w:val="single" w:color="000000" w:sz="4" w:space="0"/>
            </w:tcBorders>
            <w:vAlign w:val="top"/>
          </w:tcPr>
          <w:p w14:paraId="6761C8B6">
            <w:pPr>
              <w:spacing w:line="272" w:lineRule="auto"/>
              <w:rPr>
                <w:rFonts w:ascii="Arial"/>
                <w:sz w:val="21"/>
              </w:rPr>
            </w:pPr>
          </w:p>
          <w:p w14:paraId="7DB6A1CA">
            <w:pPr>
              <w:spacing w:line="273" w:lineRule="auto"/>
              <w:rPr>
                <w:rFonts w:ascii="Arial"/>
                <w:sz w:val="21"/>
              </w:rPr>
            </w:pPr>
          </w:p>
          <w:p w14:paraId="4D326675">
            <w:pPr>
              <w:spacing w:line="273" w:lineRule="auto"/>
              <w:rPr>
                <w:rFonts w:ascii="Arial"/>
                <w:sz w:val="21"/>
              </w:rPr>
            </w:pPr>
          </w:p>
          <w:p w14:paraId="75B8BD7F">
            <w:pPr>
              <w:spacing w:line="273" w:lineRule="auto"/>
              <w:rPr>
                <w:rFonts w:ascii="Arial"/>
                <w:sz w:val="21"/>
              </w:rPr>
            </w:pPr>
          </w:p>
          <w:p w14:paraId="1F88686E">
            <w:pPr>
              <w:pStyle w:val="7"/>
              <w:spacing w:before="78" w:line="220" w:lineRule="auto"/>
              <w:ind w:left="265"/>
            </w:pPr>
            <w:r>
              <w:rPr>
                <w:spacing w:val="-18"/>
              </w:rPr>
              <w:t>勾缝处理</w:t>
            </w:r>
          </w:p>
        </w:tc>
        <w:tc>
          <w:tcPr>
            <w:tcW w:w="2645" w:type="dxa"/>
            <w:tcBorders>
              <w:left w:val="single" w:color="000000" w:sz="4" w:space="0"/>
              <w:bottom w:val="single" w:color="000000" w:sz="4" w:space="0"/>
            </w:tcBorders>
            <w:vAlign w:val="top"/>
          </w:tcPr>
          <w:p w14:paraId="74A9DFA4">
            <w:pPr>
              <w:spacing w:line="286" w:lineRule="auto"/>
              <w:rPr>
                <w:rFonts w:ascii="Arial"/>
                <w:sz w:val="21"/>
              </w:rPr>
            </w:pPr>
          </w:p>
          <w:p w14:paraId="70095CC3">
            <w:pPr>
              <w:spacing w:line="286" w:lineRule="auto"/>
              <w:rPr>
                <w:rFonts w:ascii="Arial"/>
                <w:sz w:val="21"/>
              </w:rPr>
            </w:pPr>
          </w:p>
          <w:p w14:paraId="249B88E3">
            <w:pPr>
              <w:spacing w:line="287" w:lineRule="auto"/>
              <w:rPr>
                <w:rFonts w:ascii="Arial"/>
                <w:sz w:val="21"/>
              </w:rPr>
            </w:pPr>
          </w:p>
          <w:p w14:paraId="52785264">
            <w:pPr>
              <w:pStyle w:val="7"/>
              <w:spacing w:before="78" w:line="217" w:lineRule="auto"/>
              <w:ind w:right="6"/>
              <w:jc w:val="right"/>
            </w:pPr>
            <w:r>
              <w:rPr>
                <w:spacing w:val="-27"/>
              </w:rPr>
              <w:t>采用砂浆进行勾缝处理，勾</w:t>
            </w:r>
          </w:p>
          <w:p w14:paraId="12AA00F5">
            <w:pPr>
              <w:pStyle w:val="7"/>
              <w:spacing w:before="183" w:line="219" w:lineRule="auto"/>
              <w:ind w:left="460"/>
            </w:pPr>
            <w:r>
              <w:rPr>
                <w:spacing w:val="-19"/>
              </w:rPr>
              <w:t>缝要均匀、顺直。</w:t>
            </w:r>
          </w:p>
        </w:tc>
        <w:tc>
          <w:tcPr>
            <w:tcW w:w="3922" w:type="dxa"/>
            <w:tcBorders>
              <w:bottom w:val="single" w:color="5B9BD5" w:sz="4" w:space="0"/>
              <w:right w:val="single" w:color="5B9BD5" w:sz="4" w:space="0"/>
            </w:tcBorders>
            <w:vAlign w:val="top"/>
          </w:tcPr>
          <w:p w14:paraId="6612B4AE">
            <w:pPr>
              <w:spacing w:before="62" w:line="2467" w:lineRule="exact"/>
              <w:ind w:firstLine="762"/>
            </w:pPr>
            <w:r>
              <w:rPr>
                <w:position w:val="-49"/>
              </w:rPr>
              <w:drawing>
                <wp:inline distT="0" distB="0" distL="0" distR="0">
                  <wp:extent cx="1505585" cy="1566545"/>
                  <wp:effectExtent l="0" t="0" r="0" b="0"/>
                  <wp:docPr id="546" name="IM 546"/>
                  <wp:cNvGraphicFramePr/>
                  <a:graphic xmlns:a="http://schemas.openxmlformats.org/drawingml/2006/main">
                    <a:graphicData uri="http://schemas.openxmlformats.org/drawingml/2006/picture">
                      <pic:pic xmlns:pic="http://schemas.openxmlformats.org/drawingml/2006/picture">
                        <pic:nvPicPr>
                          <pic:cNvPr id="546" name="IM 546"/>
                          <pic:cNvPicPr/>
                        </pic:nvPicPr>
                        <pic:blipFill>
                          <a:blip r:embed="rId552"/>
                          <a:stretch>
                            <a:fillRect/>
                          </a:stretch>
                        </pic:blipFill>
                        <pic:spPr>
                          <a:xfrm>
                            <a:off x="0" y="0"/>
                            <a:ext cx="1505585" cy="1566545"/>
                          </a:xfrm>
                          <a:prstGeom prst="rect">
                            <a:avLst/>
                          </a:prstGeom>
                        </pic:spPr>
                      </pic:pic>
                    </a:graphicData>
                  </a:graphic>
                </wp:inline>
              </w:drawing>
            </w:r>
          </w:p>
        </w:tc>
      </w:tr>
    </w:tbl>
    <w:p w14:paraId="206F261E">
      <w:pPr>
        <w:pStyle w:val="2"/>
        <w:spacing w:before="115" w:line="217" w:lineRule="auto"/>
        <w:ind w:left="1890"/>
        <w:rPr>
          <w:sz w:val="24"/>
          <w:szCs w:val="24"/>
        </w:rPr>
      </w:pPr>
      <w:r>
        <w:rPr>
          <w:spacing w:val="-19"/>
          <w:sz w:val="24"/>
          <w:szCs w:val="24"/>
        </w:rPr>
        <w:t>3、路缘石施工质量控制</w:t>
      </w:r>
    </w:p>
    <w:p w14:paraId="6367D9D8">
      <w:pPr>
        <w:pStyle w:val="2"/>
        <w:spacing w:before="117" w:line="262" w:lineRule="auto"/>
        <w:ind w:left="1482" w:right="1351" w:firstLine="420"/>
        <w:rPr>
          <w:sz w:val="24"/>
          <w:szCs w:val="24"/>
        </w:rPr>
      </w:pPr>
      <w:r>
        <w:rPr>
          <w:spacing w:val="-28"/>
          <w:sz w:val="24"/>
          <w:szCs w:val="24"/>
        </w:rPr>
        <w:t>1、路缘石安装前，应校核道路中线，测设路缘石安装边桩和高程控制桩，直线段桩距为10m，</w:t>
      </w:r>
      <w:r>
        <w:rPr>
          <w:spacing w:val="-20"/>
          <w:sz w:val="24"/>
          <w:szCs w:val="24"/>
        </w:rPr>
        <w:t>曲线段不大于5m，路口为1～5m。按照设计高程进行控制测量。</w:t>
      </w:r>
    </w:p>
    <w:p w14:paraId="3C64C364">
      <w:pPr>
        <w:pStyle w:val="2"/>
        <w:spacing w:before="118" w:line="217" w:lineRule="auto"/>
        <w:ind w:left="1888"/>
        <w:rPr>
          <w:sz w:val="24"/>
          <w:szCs w:val="24"/>
        </w:rPr>
      </w:pPr>
      <w:r>
        <w:rPr>
          <w:spacing w:val="-20"/>
          <w:sz w:val="24"/>
          <w:szCs w:val="24"/>
        </w:rPr>
        <w:t>2、砂浆严格按照配合比要求进行搅拌均匀。</w:t>
      </w:r>
    </w:p>
    <w:p w14:paraId="3CFE1931">
      <w:pPr>
        <w:pStyle w:val="2"/>
        <w:spacing w:before="119" w:line="215" w:lineRule="auto"/>
        <w:ind w:left="1890"/>
        <w:rPr>
          <w:sz w:val="24"/>
          <w:szCs w:val="24"/>
        </w:rPr>
      </w:pPr>
      <w:r>
        <w:rPr>
          <w:spacing w:val="-21"/>
          <w:sz w:val="24"/>
          <w:szCs w:val="24"/>
        </w:rPr>
        <w:t>3、安砌稳固，顶面平整，缝宽均匀，填缝密实，线条直顺，曲线圆滑美观。</w:t>
      </w:r>
    </w:p>
    <w:p w14:paraId="30E5A59D">
      <w:pPr>
        <w:pStyle w:val="2"/>
        <w:spacing w:before="119" w:line="216" w:lineRule="auto"/>
        <w:ind w:left="1884"/>
        <w:rPr>
          <w:sz w:val="24"/>
          <w:szCs w:val="24"/>
        </w:rPr>
      </w:pPr>
      <w:r>
        <w:rPr>
          <w:spacing w:val="-20"/>
          <w:sz w:val="24"/>
          <w:szCs w:val="24"/>
        </w:rPr>
        <w:t>4、座浆饱满，后背填料必须夯打密实。</w:t>
      </w:r>
    </w:p>
    <w:p w14:paraId="4AAC6607">
      <w:pPr>
        <w:pStyle w:val="2"/>
        <w:spacing w:before="121" w:line="217" w:lineRule="auto"/>
        <w:ind w:left="1890"/>
        <w:rPr>
          <w:sz w:val="24"/>
          <w:szCs w:val="24"/>
        </w:rPr>
      </w:pPr>
      <w:r>
        <w:rPr>
          <w:spacing w:val="-21"/>
          <w:sz w:val="24"/>
          <w:szCs w:val="24"/>
        </w:rPr>
        <w:t>5、路缘石外露面齐平，排水口整齐、畅通，无阻水现象。</w:t>
      </w:r>
    </w:p>
    <w:p w14:paraId="7ABAABD2">
      <w:pPr>
        <w:pStyle w:val="2"/>
        <w:spacing w:before="82" w:line="219" w:lineRule="auto"/>
        <w:ind w:left="2010"/>
        <w:outlineLvl w:val="2"/>
        <w:rPr>
          <w:sz w:val="28"/>
          <w:szCs w:val="28"/>
        </w:rPr>
      </w:pPr>
      <w:bookmarkStart w:id="51" w:name="bookmark51"/>
      <w:bookmarkEnd w:id="51"/>
      <w:r>
        <w:rPr>
          <w:b/>
          <w:bCs/>
          <w:spacing w:val="-25"/>
          <w:sz w:val="28"/>
          <w:szCs w:val="28"/>
        </w:rPr>
        <w:t>四、沥青混凝土路面工程</w:t>
      </w:r>
    </w:p>
    <w:p w14:paraId="2022D1AE">
      <w:pPr>
        <w:pStyle w:val="2"/>
        <w:spacing w:before="102" w:line="218" w:lineRule="auto"/>
        <w:ind w:left="1903"/>
        <w:rPr>
          <w:sz w:val="24"/>
          <w:szCs w:val="24"/>
        </w:rPr>
      </w:pPr>
      <w:r>
        <w:rPr>
          <w:spacing w:val="-20"/>
          <w:sz w:val="24"/>
          <w:szCs w:val="24"/>
        </w:rPr>
        <w:t>1、复合土工格栅及防水膜施工</w:t>
      </w:r>
    </w:p>
    <w:p w14:paraId="03BF8FDF">
      <w:pPr>
        <w:pStyle w:val="2"/>
        <w:spacing w:before="118" w:line="216" w:lineRule="auto"/>
        <w:ind w:left="1891"/>
        <w:rPr>
          <w:sz w:val="24"/>
          <w:szCs w:val="24"/>
        </w:rPr>
      </w:pPr>
      <w:r>
        <w:rPr>
          <w:spacing w:val="-20"/>
          <w:sz w:val="24"/>
          <w:szCs w:val="24"/>
        </w:rPr>
        <w:t>钉子固定法所需材料为：</w:t>
      </w:r>
    </w:p>
    <w:p w14:paraId="40E8B247">
      <w:pPr>
        <w:pStyle w:val="2"/>
        <w:spacing w:before="120" w:line="218" w:lineRule="auto"/>
        <w:ind w:left="1901"/>
        <w:rPr>
          <w:sz w:val="24"/>
          <w:szCs w:val="24"/>
        </w:rPr>
      </w:pPr>
      <w:r>
        <w:rPr>
          <w:spacing w:val="-17"/>
          <w:sz w:val="24"/>
          <w:szCs w:val="24"/>
        </w:rPr>
        <w:t>i.40×40×0.3毫米的固定铁皮，要</w:t>
      </w:r>
      <w:r>
        <w:rPr>
          <w:spacing w:val="-18"/>
          <w:sz w:val="24"/>
          <w:szCs w:val="24"/>
        </w:rPr>
        <w:t>求平整不翘角</w:t>
      </w:r>
    </w:p>
    <w:p w14:paraId="159B1966">
      <w:pPr>
        <w:pStyle w:val="2"/>
        <w:spacing w:before="115" w:line="218" w:lineRule="auto"/>
        <w:ind w:left="1901"/>
        <w:rPr>
          <w:sz w:val="24"/>
          <w:szCs w:val="24"/>
        </w:rPr>
      </w:pPr>
      <w:r>
        <w:rPr>
          <w:spacing w:val="-18"/>
          <w:sz w:val="24"/>
          <w:szCs w:val="24"/>
        </w:rPr>
        <w:t>ii.2英寸钢钉(优质水泥钉)</w:t>
      </w:r>
    </w:p>
    <w:p w14:paraId="2EE3872A">
      <w:pPr>
        <w:pStyle w:val="2"/>
        <w:spacing w:before="115" w:line="286" w:lineRule="auto"/>
        <w:ind w:left="1458" w:right="1356" w:firstLine="445"/>
        <w:rPr>
          <w:sz w:val="24"/>
          <w:szCs w:val="24"/>
        </w:rPr>
      </w:pPr>
      <w:r>
        <w:rPr>
          <w:spacing w:val="-23"/>
          <w:sz w:val="24"/>
          <w:szCs w:val="24"/>
        </w:rPr>
        <w:t>1.1钉子固定法铺设玻纤土工格栅时，先将一端用固定铁皮和钉子固</w:t>
      </w:r>
      <w:r>
        <w:rPr>
          <w:spacing w:val="-24"/>
          <w:sz w:val="24"/>
          <w:szCs w:val="24"/>
        </w:rPr>
        <w:t>定在已洒布粘层沥青的</w:t>
      </w:r>
      <w:r>
        <w:rPr>
          <w:spacing w:val="-22"/>
          <w:sz w:val="24"/>
          <w:szCs w:val="24"/>
        </w:rPr>
        <w:t>下层结构上，钉子可用锤击或射钉枪射入，再将格栅纵向拉紧并分段固定，每段长度为2-5米，</w:t>
      </w:r>
      <w:r>
        <w:rPr>
          <w:spacing w:val="-20"/>
          <w:sz w:val="24"/>
          <w:szCs w:val="24"/>
        </w:rPr>
        <w:t>对于水泥混凝土路面，可按收缩缝间距分段。钢钉位置设于接缝处，要求格栅拉紧时，其纵横</w:t>
      </w:r>
      <w:r>
        <w:rPr>
          <w:spacing w:val="-22"/>
          <w:sz w:val="24"/>
          <w:szCs w:val="24"/>
        </w:rPr>
        <w:t>向均处于挺直张紧状态。</w:t>
      </w:r>
    </w:p>
    <w:p w14:paraId="32D114CF">
      <w:pPr>
        <w:pStyle w:val="2"/>
        <w:spacing w:before="115" w:line="262" w:lineRule="auto"/>
        <w:ind w:left="1487" w:right="1409" w:firstLine="416"/>
        <w:rPr>
          <w:sz w:val="24"/>
          <w:szCs w:val="24"/>
        </w:rPr>
      </w:pPr>
      <w:r>
        <w:rPr>
          <w:spacing w:val="-21"/>
          <w:sz w:val="24"/>
          <w:szCs w:val="24"/>
        </w:rPr>
        <w:t>1.2格栅搭接距离为：纵向接头搭接距离不小于20厘米</w:t>
      </w:r>
      <w:r>
        <w:rPr>
          <w:spacing w:val="-22"/>
          <w:sz w:val="24"/>
          <w:szCs w:val="24"/>
        </w:rPr>
        <w:t>，横向搭接距离不小于15厘米，纵向搭接应根据沥青摊铺方向，将前一幅处于后一</w:t>
      </w:r>
      <w:r>
        <w:rPr>
          <w:spacing w:val="-23"/>
          <w:sz w:val="24"/>
          <w:szCs w:val="24"/>
        </w:rPr>
        <w:t>幅之上。</w:t>
      </w:r>
    </w:p>
    <w:p w14:paraId="7DE472A7">
      <w:pPr>
        <w:pStyle w:val="2"/>
        <w:spacing w:before="121" w:line="262" w:lineRule="auto"/>
        <w:ind w:left="1464" w:right="1410" w:firstLine="438"/>
        <w:rPr>
          <w:sz w:val="24"/>
          <w:szCs w:val="24"/>
        </w:rPr>
      </w:pPr>
      <w:r>
        <w:rPr>
          <w:spacing w:val="-23"/>
          <w:sz w:val="24"/>
          <w:szCs w:val="24"/>
        </w:rPr>
        <w:t>1.3不能将钉子钉于玻纤格栅上，也不能用锤子直接</w:t>
      </w:r>
      <w:r>
        <w:rPr>
          <w:spacing w:val="-24"/>
          <w:sz w:val="24"/>
          <w:szCs w:val="24"/>
        </w:rPr>
        <w:t>敲击玻纤格栅，固定好后，如发现钉子</w:t>
      </w:r>
      <w:r>
        <w:rPr>
          <w:spacing w:val="-21"/>
          <w:sz w:val="24"/>
          <w:szCs w:val="24"/>
        </w:rPr>
        <w:t>断裂或铁皮松动，则需重新固定。</w:t>
      </w:r>
    </w:p>
    <w:p w14:paraId="1C7A4796">
      <w:pPr>
        <w:pStyle w:val="2"/>
        <w:spacing w:before="117" w:line="261" w:lineRule="auto"/>
        <w:ind w:left="1458" w:right="1388" w:firstLine="445"/>
        <w:rPr>
          <w:sz w:val="24"/>
          <w:szCs w:val="24"/>
        </w:rPr>
      </w:pPr>
      <w:r>
        <w:rPr>
          <w:spacing w:val="-23"/>
          <w:sz w:val="24"/>
          <w:szCs w:val="24"/>
        </w:rPr>
        <w:t>1.4玻纤格栅铺设固定完毕后，须用胶辊压路机适度碾压稳定。使格栅与原路表面粘牢固，</w:t>
      </w:r>
      <w:r>
        <w:rPr>
          <w:spacing w:val="-20"/>
          <w:sz w:val="24"/>
          <w:szCs w:val="24"/>
        </w:rPr>
        <w:t>严格控制运送混合料的车辆出入，在格栅层上禁止车辆急转向、急刹车和倾泻混合料脚料，以</w:t>
      </w:r>
    </w:p>
    <w:p w14:paraId="4E7AF2EB">
      <w:pPr>
        <w:spacing w:line="261" w:lineRule="auto"/>
        <w:rPr>
          <w:sz w:val="24"/>
          <w:szCs w:val="24"/>
        </w:rPr>
        <w:sectPr>
          <w:footerReference r:id="rId89" w:type="default"/>
          <w:pgSz w:w="11907" w:h="16839"/>
          <w:pgMar w:top="954" w:right="4" w:bottom="1038" w:left="0" w:header="499" w:footer="357" w:gutter="0"/>
          <w:pgBorders>
            <w:top w:val="none" w:sz="0" w:space="0"/>
            <w:left w:val="none" w:sz="0" w:space="0"/>
            <w:bottom w:val="none" w:sz="0" w:space="0"/>
            <w:right w:val="none" w:sz="0" w:space="0"/>
          </w:pgBorders>
          <w:cols w:space="720" w:num="1"/>
        </w:sectPr>
      </w:pPr>
    </w:p>
    <w:p w14:paraId="15DE8CB9">
      <w:pPr>
        <w:spacing w:line="250" w:lineRule="auto"/>
        <w:rPr>
          <w:rFonts w:ascii="Arial"/>
          <w:sz w:val="21"/>
        </w:rPr>
      </w:pPr>
    </w:p>
    <w:p w14:paraId="28F9B320">
      <w:pPr>
        <w:pStyle w:val="2"/>
        <w:spacing w:before="78" w:line="218" w:lineRule="auto"/>
        <w:ind w:left="1472"/>
        <w:rPr>
          <w:sz w:val="24"/>
          <w:szCs w:val="24"/>
        </w:rPr>
      </w:pPr>
      <w:r>
        <w:rPr>
          <w:spacing w:val="-22"/>
          <w:sz w:val="24"/>
          <w:szCs w:val="24"/>
        </w:rPr>
        <w:t>防止对玻纤格栅的施工损伤。</w:t>
      </w:r>
    </w:p>
    <w:p w14:paraId="30675723">
      <w:pPr>
        <w:pStyle w:val="2"/>
        <w:spacing w:before="117" w:line="218" w:lineRule="auto"/>
        <w:ind w:left="1888"/>
        <w:rPr>
          <w:sz w:val="24"/>
          <w:szCs w:val="24"/>
        </w:rPr>
      </w:pPr>
      <w:r>
        <w:rPr>
          <w:spacing w:val="-19"/>
          <w:sz w:val="24"/>
          <w:szCs w:val="24"/>
        </w:rPr>
        <w:t>2、土工格栅、防水膜施工方法</w:t>
      </w:r>
    </w:p>
    <w:p w14:paraId="23F63BC3">
      <w:pPr>
        <w:pStyle w:val="2"/>
        <w:spacing w:before="114" w:line="216" w:lineRule="auto"/>
        <w:ind w:left="1888"/>
        <w:rPr>
          <w:sz w:val="24"/>
          <w:szCs w:val="24"/>
        </w:rPr>
      </w:pPr>
      <w:r>
        <w:rPr>
          <w:spacing w:val="-16"/>
          <w:sz w:val="24"/>
          <w:szCs w:val="24"/>
        </w:rPr>
        <w:t>2.1准备工作：</w:t>
      </w:r>
    </w:p>
    <w:p w14:paraId="09FDF3B9">
      <w:pPr>
        <w:pStyle w:val="2"/>
        <w:spacing w:before="120" w:line="217" w:lineRule="auto"/>
        <w:ind w:left="1897"/>
        <w:rPr>
          <w:sz w:val="24"/>
          <w:szCs w:val="24"/>
        </w:rPr>
      </w:pPr>
      <w:r>
        <w:rPr>
          <w:spacing w:val="-21"/>
          <w:sz w:val="24"/>
          <w:szCs w:val="24"/>
        </w:rPr>
        <w:t>完成所有的填缝，补坑，基础加固和找平层的铺设。</w:t>
      </w:r>
    </w:p>
    <w:p w14:paraId="24EA416E">
      <w:pPr>
        <w:pStyle w:val="2"/>
        <w:spacing w:before="118" w:line="219" w:lineRule="auto"/>
        <w:ind w:left="1888"/>
        <w:rPr>
          <w:sz w:val="24"/>
          <w:szCs w:val="24"/>
        </w:rPr>
      </w:pPr>
      <w:r>
        <w:rPr>
          <w:spacing w:val="-14"/>
          <w:sz w:val="24"/>
          <w:szCs w:val="24"/>
        </w:rPr>
        <w:t>2.2路表状况</w:t>
      </w:r>
    </w:p>
    <w:p w14:paraId="39259D61">
      <w:pPr>
        <w:pStyle w:val="2"/>
        <w:spacing w:before="115" w:line="215" w:lineRule="auto"/>
        <w:ind w:left="1891"/>
        <w:rPr>
          <w:sz w:val="24"/>
          <w:szCs w:val="24"/>
        </w:rPr>
      </w:pPr>
      <w:r>
        <w:rPr>
          <w:spacing w:val="-18"/>
          <w:sz w:val="24"/>
          <w:szCs w:val="24"/>
        </w:rPr>
        <w:t>路面必须：清洁无尘、干燥、温度在5摄氏度-60摄氏度之间。</w:t>
      </w:r>
    </w:p>
    <w:p w14:paraId="66701F9C">
      <w:pPr>
        <w:pStyle w:val="2"/>
        <w:spacing w:before="121" w:line="218" w:lineRule="auto"/>
        <w:ind w:left="1888"/>
        <w:rPr>
          <w:sz w:val="24"/>
          <w:szCs w:val="24"/>
        </w:rPr>
      </w:pPr>
      <w:r>
        <w:rPr>
          <w:spacing w:val="-15"/>
          <w:sz w:val="24"/>
          <w:szCs w:val="24"/>
        </w:rPr>
        <w:t>2.3产品准备</w:t>
      </w:r>
    </w:p>
    <w:p w14:paraId="74B78072">
      <w:pPr>
        <w:pStyle w:val="2"/>
        <w:spacing w:before="117" w:line="215" w:lineRule="auto"/>
        <w:ind w:left="1938"/>
        <w:rPr>
          <w:sz w:val="24"/>
          <w:szCs w:val="24"/>
        </w:rPr>
      </w:pPr>
      <w:r>
        <w:rPr>
          <w:spacing w:val="-23"/>
          <w:sz w:val="24"/>
          <w:szCs w:val="24"/>
        </w:rPr>
        <w:t>自粘式玻纤土工格栅在工地不得保存在干燥的环境中以保持粘性。</w:t>
      </w:r>
    </w:p>
    <w:p w14:paraId="2A8FFF65">
      <w:pPr>
        <w:pStyle w:val="2"/>
        <w:spacing w:before="119" w:line="219" w:lineRule="auto"/>
        <w:ind w:left="1888"/>
        <w:rPr>
          <w:sz w:val="24"/>
          <w:szCs w:val="24"/>
        </w:rPr>
      </w:pPr>
      <w:r>
        <w:rPr>
          <w:spacing w:val="-15"/>
          <w:sz w:val="24"/>
          <w:szCs w:val="24"/>
        </w:rPr>
        <w:t>2.4注意事项</w:t>
      </w:r>
    </w:p>
    <w:p w14:paraId="0271A389">
      <w:pPr>
        <w:pStyle w:val="2"/>
        <w:spacing w:before="117" w:line="217" w:lineRule="auto"/>
        <w:ind w:left="1888"/>
        <w:rPr>
          <w:sz w:val="24"/>
          <w:szCs w:val="24"/>
        </w:rPr>
      </w:pPr>
      <w:r>
        <w:rPr>
          <w:spacing w:val="-19"/>
          <w:sz w:val="24"/>
          <w:szCs w:val="24"/>
        </w:rPr>
        <w:t>2.4.1接触自粘式玻纤格栅时，工人必须戴手套。</w:t>
      </w:r>
    </w:p>
    <w:p w14:paraId="75BF9C0C">
      <w:pPr>
        <w:pStyle w:val="2"/>
        <w:spacing w:before="118" w:line="217" w:lineRule="auto"/>
        <w:ind w:left="1888"/>
        <w:rPr>
          <w:sz w:val="24"/>
          <w:szCs w:val="24"/>
        </w:rPr>
      </w:pPr>
      <w:r>
        <w:rPr>
          <w:spacing w:val="-21"/>
          <w:sz w:val="24"/>
          <w:szCs w:val="24"/>
        </w:rPr>
        <w:t>2.4.2当自粘式玻纤格栅铺过路标障碍物时，须用刀切断妨碍此位置的土工格栅。</w:t>
      </w:r>
    </w:p>
    <w:p w14:paraId="6698F0D2">
      <w:pPr>
        <w:pStyle w:val="2"/>
        <w:spacing w:before="117" w:line="215" w:lineRule="auto"/>
        <w:ind w:left="1888"/>
        <w:rPr>
          <w:sz w:val="24"/>
          <w:szCs w:val="24"/>
        </w:rPr>
      </w:pPr>
      <w:r>
        <w:rPr>
          <w:spacing w:val="-20"/>
          <w:sz w:val="24"/>
          <w:szCs w:val="24"/>
        </w:rPr>
        <w:t>2.4.3铺设自粘式玻纤格栅时不允许出褶，因此在铺设过程中，必须有足够的拉力。</w:t>
      </w:r>
    </w:p>
    <w:p w14:paraId="18639BE8">
      <w:pPr>
        <w:pStyle w:val="2"/>
        <w:spacing w:before="121" w:line="217" w:lineRule="auto"/>
        <w:ind w:left="1888"/>
        <w:rPr>
          <w:sz w:val="24"/>
          <w:szCs w:val="24"/>
        </w:rPr>
      </w:pPr>
      <w:r>
        <w:rPr>
          <w:spacing w:val="-18"/>
          <w:sz w:val="24"/>
          <w:szCs w:val="24"/>
        </w:rPr>
        <w:t>2.4.4端重叠部分搭接75-150毫米，确保重叠部分顺着铺设方</w:t>
      </w:r>
      <w:r>
        <w:rPr>
          <w:spacing w:val="-19"/>
          <w:sz w:val="24"/>
          <w:szCs w:val="24"/>
        </w:rPr>
        <w:t>向。</w:t>
      </w:r>
    </w:p>
    <w:p w14:paraId="22A232A5">
      <w:pPr>
        <w:pStyle w:val="2"/>
        <w:spacing w:before="119" w:line="217" w:lineRule="auto"/>
        <w:ind w:left="1888"/>
        <w:rPr>
          <w:sz w:val="24"/>
          <w:szCs w:val="24"/>
        </w:rPr>
      </w:pPr>
      <w:r>
        <w:rPr>
          <w:spacing w:val="-15"/>
          <w:sz w:val="24"/>
          <w:szCs w:val="24"/>
        </w:rPr>
        <w:t>2.4.5两侧重叠部分搭接25-50毫米。</w:t>
      </w:r>
    </w:p>
    <w:p w14:paraId="79ABFD71">
      <w:pPr>
        <w:pStyle w:val="2"/>
        <w:spacing w:before="115" w:line="262" w:lineRule="auto"/>
        <w:ind w:left="1455" w:right="1410" w:firstLine="432"/>
        <w:rPr>
          <w:sz w:val="24"/>
          <w:szCs w:val="24"/>
        </w:rPr>
      </w:pPr>
      <w:r>
        <w:rPr>
          <w:spacing w:val="-22"/>
          <w:sz w:val="24"/>
          <w:szCs w:val="24"/>
        </w:rPr>
        <w:t>2.4.6铺设并碾压后，只允许施工车辆或紧急车辆在其上</w:t>
      </w:r>
      <w:r>
        <w:rPr>
          <w:spacing w:val="-23"/>
          <w:sz w:val="24"/>
          <w:szCs w:val="24"/>
        </w:rPr>
        <w:t>行走，但应保证不因车辆的转弯或</w:t>
      </w:r>
      <w:r>
        <w:rPr>
          <w:spacing w:val="-20"/>
          <w:sz w:val="24"/>
          <w:szCs w:val="24"/>
        </w:rPr>
        <w:t>刹车对土工格栅造成破坏。</w:t>
      </w:r>
    </w:p>
    <w:p w14:paraId="1FF4506D">
      <w:pPr>
        <w:pStyle w:val="2"/>
        <w:spacing w:before="122" w:line="262" w:lineRule="auto"/>
        <w:ind w:left="1456" w:right="1410" w:firstLine="432"/>
        <w:rPr>
          <w:sz w:val="24"/>
          <w:szCs w:val="24"/>
        </w:rPr>
      </w:pPr>
      <w:r>
        <w:rPr>
          <w:spacing w:val="-23"/>
          <w:sz w:val="24"/>
          <w:szCs w:val="24"/>
        </w:rPr>
        <w:t>2.4.7已铺设的土工格栅的路面，必须当日完成铺设沥青混合料的工作</w:t>
      </w:r>
      <w:r>
        <w:rPr>
          <w:spacing w:val="-24"/>
          <w:sz w:val="24"/>
          <w:szCs w:val="24"/>
        </w:rPr>
        <w:t>，面层沥青最小厚度</w:t>
      </w:r>
      <w:r>
        <w:rPr>
          <w:spacing w:val="-12"/>
          <w:sz w:val="24"/>
          <w:szCs w:val="24"/>
        </w:rPr>
        <w:t>应大于40毫米。</w:t>
      </w:r>
    </w:p>
    <w:p w14:paraId="030C2394">
      <w:pPr>
        <w:pStyle w:val="2"/>
        <w:spacing w:before="117" w:line="219" w:lineRule="auto"/>
        <w:ind w:left="1890"/>
        <w:rPr>
          <w:sz w:val="24"/>
          <w:szCs w:val="24"/>
        </w:rPr>
      </w:pPr>
      <w:r>
        <w:rPr>
          <w:spacing w:val="-16"/>
          <w:sz w:val="24"/>
          <w:szCs w:val="24"/>
        </w:rPr>
        <w:t>3、铺设方法</w:t>
      </w:r>
    </w:p>
    <w:p w14:paraId="133C0229">
      <w:pPr>
        <w:pStyle w:val="2"/>
        <w:spacing w:before="116" w:line="217" w:lineRule="auto"/>
        <w:ind w:left="1890"/>
        <w:rPr>
          <w:sz w:val="24"/>
          <w:szCs w:val="24"/>
        </w:rPr>
      </w:pPr>
      <w:r>
        <w:rPr>
          <w:spacing w:val="-15"/>
          <w:sz w:val="24"/>
          <w:szCs w:val="24"/>
        </w:rPr>
        <w:t>3.1机械铺设</w:t>
      </w:r>
    </w:p>
    <w:p w14:paraId="45DA1C1B">
      <w:pPr>
        <w:pStyle w:val="2"/>
        <w:spacing w:before="117" w:line="215" w:lineRule="auto"/>
        <w:ind w:left="1894"/>
        <w:rPr>
          <w:sz w:val="24"/>
          <w:szCs w:val="24"/>
        </w:rPr>
      </w:pPr>
      <w:r>
        <w:rPr>
          <w:spacing w:val="-21"/>
          <w:sz w:val="24"/>
          <w:szCs w:val="24"/>
        </w:rPr>
        <w:t>将整卷土工格栅装在拖拉机前的放卷架上，注意其粘性</w:t>
      </w:r>
      <w:r>
        <w:rPr>
          <w:spacing w:val="-22"/>
          <w:sz w:val="24"/>
          <w:szCs w:val="24"/>
        </w:rPr>
        <w:t>面向下。</w:t>
      </w:r>
    </w:p>
    <w:p w14:paraId="4B82CF46">
      <w:pPr>
        <w:pStyle w:val="2"/>
        <w:spacing w:before="122" w:line="215" w:lineRule="auto"/>
        <w:ind w:left="1894"/>
        <w:rPr>
          <w:sz w:val="24"/>
          <w:szCs w:val="24"/>
        </w:rPr>
      </w:pPr>
      <w:r>
        <w:rPr>
          <w:spacing w:val="-21"/>
          <w:sz w:val="24"/>
          <w:szCs w:val="24"/>
        </w:rPr>
        <w:t>使拖拉机向前走，保证土工格栅平直地粘在路面上。</w:t>
      </w:r>
    </w:p>
    <w:p w14:paraId="2777563A">
      <w:pPr>
        <w:pStyle w:val="2"/>
        <w:spacing w:before="121" w:line="215" w:lineRule="auto"/>
        <w:ind w:left="1893"/>
        <w:rPr>
          <w:sz w:val="24"/>
          <w:szCs w:val="24"/>
        </w:rPr>
      </w:pPr>
      <w:r>
        <w:rPr>
          <w:spacing w:val="-21"/>
          <w:sz w:val="24"/>
          <w:szCs w:val="24"/>
        </w:rPr>
        <w:t>用胶轮的轻型压路机碾压1-2遍。</w:t>
      </w:r>
    </w:p>
    <w:p w14:paraId="4ED4AB6F">
      <w:pPr>
        <w:pStyle w:val="2"/>
        <w:spacing w:before="119" w:line="216" w:lineRule="auto"/>
        <w:ind w:left="1893"/>
        <w:rPr>
          <w:sz w:val="24"/>
          <w:szCs w:val="24"/>
        </w:rPr>
      </w:pPr>
      <w:r>
        <w:rPr>
          <w:spacing w:val="-20"/>
          <w:sz w:val="24"/>
          <w:szCs w:val="24"/>
        </w:rPr>
        <w:t>摊铺沥青混合料路面。</w:t>
      </w:r>
    </w:p>
    <w:p w14:paraId="7AA38E87">
      <w:pPr>
        <w:pStyle w:val="2"/>
        <w:spacing w:before="119" w:line="219" w:lineRule="auto"/>
        <w:ind w:left="1890"/>
        <w:rPr>
          <w:sz w:val="24"/>
          <w:szCs w:val="24"/>
        </w:rPr>
      </w:pPr>
      <w:r>
        <w:rPr>
          <w:spacing w:val="-15"/>
          <w:sz w:val="24"/>
          <w:szCs w:val="24"/>
        </w:rPr>
        <w:t>3.2人工铺设</w:t>
      </w:r>
    </w:p>
    <w:p w14:paraId="640DA190">
      <w:pPr>
        <w:pStyle w:val="2"/>
        <w:spacing w:before="117" w:line="215" w:lineRule="auto"/>
        <w:ind w:left="1894"/>
        <w:rPr>
          <w:sz w:val="24"/>
          <w:szCs w:val="24"/>
        </w:rPr>
      </w:pPr>
      <w:r>
        <w:rPr>
          <w:spacing w:val="-21"/>
          <w:sz w:val="24"/>
          <w:szCs w:val="24"/>
        </w:rPr>
        <w:t>将整卷土工格栅放在卡车后或手推车的放卷架上，注意其粘</w:t>
      </w:r>
      <w:r>
        <w:rPr>
          <w:spacing w:val="-22"/>
          <w:sz w:val="24"/>
          <w:szCs w:val="24"/>
        </w:rPr>
        <w:t>性面向下。</w:t>
      </w:r>
    </w:p>
    <w:p w14:paraId="42287F60">
      <w:pPr>
        <w:pStyle w:val="2"/>
        <w:spacing w:before="119" w:line="216" w:lineRule="auto"/>
        <w:ind w:left="1894"/>
        <w:rPr>
          <w:sz w:val="24"/>
          <w:szCs w:val="24"/>
        </w:rPr>
      </w:pPr>
      <w:r>
        <w:rPr>
          <w:spacing w:val="-22"/>
          <w:sz w:val="24"/>
          <w:szCs w:val="24"/>
        </w:rPr>
        <w:t>确保放卷轴已锁定，布卷不致自由松动。</w:t>
      </w:r>
    </w:p>
    <w:p w14:paraId="4DEA7CEE">
      <w:pPr>
        <w:pStyle w:val="2"/>
        <w:spacing w:before="119" w:line="309" w:lineRule="auto"/>
        <w:ind w:left="1893" w:right="1338" w:firstLine="25"/>
        <w:rPr>
          <w:sz w:val="24"/>
          <w:szCs w:val="24"/>
        </w:rPr>
      </w:pPr>
      <w:r>
        <w:rPr>
          <w:spacing w:val="-23"/>
          <w:sz w:val="24"/>
          <w:szCs w:val="24"/>
        </w:rPr>
        <w:t>当卡车(或手推车)慢慢向前走时，应踩住格栅一端。如格栅</w:t>
      </w:r>
      <w:r>
        <w:rPr>
          <w:spacing w:val="-24"/>
          <w:sz w:val="24"/>
          <w:szCs w:val="24"/>
        </w:rPr>
        <w:t>有松驰时，即时调整以防皱折。</w:t>
      </w:r>
      <w:r>
        <w:rPr>
          <w:spacing w:val="-21"/>
          <w:sz w:val="24"/>
          <w:szCs w:val="24"/>
        </w:rPr>
        <w:t>用胶轮的轻型压路机碾压1-2遍，激活格栅背胶即可摊铺沥青路面。</w:t>
      </w:r>
    </w:p>
    <w:p w14:paraId="37CFB656">
      <w:pPr>
        <w:spacing w:line="309" w:lineRule="auto"/>
        <w:rPr>
          <w:sz w:val="24"/>
          <w:szCs w:val="24"/>
        </w:rPr>
        <w:sectPr>
          <w:footerReference r:id="rId90" w:type="default"/>
          <w:pgSz w:w="11907" w:h="16839"/>
          <w:pgMar w:top="954" w:right="4" w:bottom="1038" w:left="0" w:header="499" w:footer="357" w:gutter="0"/>
          <w:pgBorders>
            <w:top w:val="none" w:sz="0" w:space="0"/>
            <w:left w:val="none" w:sz="0" w:space="0"/>
            <w:bottom w:val="none" w:sz="0" w:space="0"/>
            <w:right w:val="none" w:sz="0" w:space="0"/>
          </w:pgBorders>
          <w:cols w:space="720" w:num="1"/>
        </w:sectPr>
      </w:pPr>
    </w:p>
    <w:p w14:paraId="6B53A502">
      <w:pPr>
        <w:spacing w:line="214" w:lineRule="exact"/>
      </w:pPr>
    </w:p>
    <w:tbl>
      <w:tblPr>
        <w:tblStyle w:val="6"/>
        <w:tblW w:w="8549" w:type="dxa"/>
        <w:tblInd w:w="167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278"/>
        <w:gridCol w:w="4271"/>
      </w:tblGrid>
      <w:tr w14:paraId="4BDFC1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0" w:hRule="atLeast"/>
        </w:trPr>
        <w:tc>
          <w:tcPr>
            <w:tcW w:w="4278" w:type="dxa"/>
            <w:tcBorders>
              <w:top w:val="single" w:color="000000" w:sz="4" w:space="0"/>
              <w:left w:val="single" w:color="000000" w:sz="4" w:space="0"/>
            </w:tcBorders>
            <w:shd w:val="clear" w:color="auto" w:fill="DEEAF6"/>
            <w:vAlign w:val="top"/>
          </w:tcPr>
          <w:p w14:paraId="53F4DEA5">
            <w:pPr>
              <w:spacing w:before="93" w:line="3386" w:lineRule="exact"/>
              <w:ind w:firstLine="87"/>
            </w:pPr>
            <w:r>
              <w:pict>
                <v:group id="_x0000_s1694" o:spid="_x0000_s1694" o:spt="203" style="position:absolute;left:0pt;margin-left:0.9pt;margin-top:2.15pt;height:183.05pt;width:212.55pt;mso-position-horizontal-relative:page;mso-position-vertical-relative:page;z-index:251811840;mso-width-relative:page;mso-height-relative:page;" coordsize="4251,3661">
                  <o:lock v:ext="edit"/>
                  <v:shape id="_x0000_s1695" o:spid="_x0000_s1695" style="position:absolute;left:21;top:0;height:60;width:4225;" fillcolor="#DEEAF6" filled="t" stroked="f" coordsize="4225,60" path="m0,60l4224,60,4224,0,0,0,0,60xe">
                    <v:path/>
                    <v:fill on="t" focussize="0,0"/>
                    <v:stroke on="f"/>
                    <v:imagedata o:title=""/>
                    <o:lock v:ext="edit"/>
                  </v:shape>
                  <v:shape id="_x0000_s1696" o:spid="_x0000_s1696" style="position:absolute;left:0;top:3602;height:58;width:4251;" fillcolor="#DEEAF6" filled="t" stroked="f" coordsize="4251,58" path="m0,57l4250,57,4250,0,0,0,0,57xe">
                    <v:path/>
                    <v:fill on="t" focussize="0,0"/>
                    <v:stroke on="f"/>
                    <v:imagedata o:title=""/>
                    <o:lock v:ext="edit"/>
                  </v:shape>
                </v:group>
              </w:pict>
            </w:r>
            <w:r>
              <w:rPr>
                <w:position w:val="-67"/>
              </w:rPr>
              <w:drawing>
                <wp:inline distT="0" distB="0" distL="0" distR="0">
                  <wp:extent cx="2601595" cy="2149475"/>
                  <wp:effectExtent l="0" t="0" r="0" b="0"/>
                  <wp:docPr id="552" name="IM 552"/>
                  <wp:cNvGraphicFramePr/>
                  <a:graphic xmlns:a="http://schemas.openxmlformats.org/drawingml/2006/main">
                    <a:graphicData uri="http://schemas.openxmlformats.org/drawingml/2006/picture">
                      <pic:pic xmlns:pic="http://schemas.openxmlformats.org/drawingml/2006/picture">
                        <pic:nvPicPr>
                          <pic:cNvPr id="552" name="IM 552"/>
                          <pic:cNvPicPr/>
                        </pic:nvPicPr>
                        <pic:blipFill>
                          <a:blip r:embed="rId553"/>
                          <a:stretch>
                            <a:fillRect/>
                          </a:stretch>
                        </pic:blipFill>
                        <pic:spPr>
                          <a:xfrm>
                            <a:off x="0" y="0"/>
                            <a:ext cx="2601595" cy="2150109"/>
                          </a:xfrm>
                          <a:prstGeom prst="rect">
                            <a:avLst/>
                          </a:prstGeom>
                        </pic:spPr>
                      </pic:pic>
                    </a:graphicData>
                  </a:graphic>
                </wp:inline>
              </w:drawing>
            </w:r>
          </w:p>
        </w:tc>
        <w:tc>
          <w:tcPr>
            <w:tcW w:w="4271" w:type="dxa"/>
            <w:tcBorders>
              <w:top w:val="single" w:color="5B9BD5" w:sz="4" w:space="0"/>
              <w:right w:val="single" w:color="5B9BD5" w:sz="4" w:space="0"/>
            </w:tcBorders>
            <w:shd w:val="clear" w:color="auto" w:fill="DEEAF6"/>
            <w:vAlign w:val="top"/>
          </w:tcPr>
          <w:p w14:paraId="51E0EF3E">
            <w:pPr>
              <w:spacing w:before="122" w:line="3329" w:lineRule="exact"/>
              <w:ind w:firstLine="60"/>
            </w:pPr>
            <w:r>
              <w:pict>
                <v:group id="_x0000_s1697" o:spid="_x0000_s1697" o:spt="203" style="position:absolute;left:0pt;margin-left:-0.5pt;margin-top:2.15pt;height:183.05pt;width:213.3pt;mso-position-horizontal-relative:page;mso-position-vertical-relative:page;z-index:251810816;mso-width-relative:page;mso-height-relative:page;" coordsize="4266,3661">
                  <o:lock v:ext="edit"/>
                  <v:shape id="_x0000_s1698" o:spid="_x0000_s1698" style="position:absolute;left:38;top:0;height:60;width:4206;" fillcolor="#DEEAF6" filled="t" stroked="f" coordsize="4206,60" path="m0,60l4205,60,4205,0,0,0,0,60xe">
                    <v:path/>
                    <v:fill on="t" focussize="0,0"/>
                    <v:stroke on="f"/>
                    <v:imagedata o:title=""/>
                    <o:lock v:ext="edit"/>
                  </v:shape>
                  <v:shape id="_x0000_s1699" o:spid="_x0000_s1699" style="position:absolute;left:0;top:3602;height:58;width:4266;" fillcolor="#DEEAF6" filled="t" stroked="f" coordsize="4266,58" path="m0,57l4265,57,4265,0,0,0,0,57xe">
                    <v:path/>
                    <v:fill on="t" focussize="0,0"/>
                    <v:stroke on="f"/>
                    <v:imagedata o:title=""/>
                    <o:lock v:ext="edit"/>
                  </v:shape>
                </v:group>
              </w:pict>
            </w:r>
            <w:r>
              <w:rPr>
                <w:position w:val="-66"/>
              </w:rPr>
              <w:drawing>
                <wp:inline distT="0" distB="0" distL="0" distR="0">
                  <wp:extent cx="2611755" cy="2113915"/>
                  <wp:effectExtent l="0" t="0" r="0" b="0"/>
                  <wp:docPr id="554" name="IM 554"/>
                  <wp:cNvGraphicFramePr/>
                  <a:graphic xmlns:a="http://schemas.openxmlformats.org/drawingml/2006/main">
                    <a:graphicData uri="http://schemas.openxmlformats.org/drawingml/2006/picture">
                      <pic:pic xmlns:pic="http://schemas.openxmlformats.org/drawingml/2006/picture">
                        <pic:nvPicPr>
                          <pic:cNvPr id="554" name="IM 554"/>
                          <pic:cNvPicPr/>
                        </pic:nvPicPr>
                        <pic:blipFill>
                          <a:blip r:embed="rId554"/>
                          <a:stretch>
                            <a:fillRect/>
                          </a:stretch>
                        </pic:blipFill>
                        <pic:spPr>
                          <a:xfrm>
                            <a:off x="0" y="0"/>
                            <a:ext cx="2612389" cy="2113915"/>
                          </a:xfrm>
                          <a:prstGeom prst="rect">
                            <a:avLst/>
                          </a:prstGeom>
                        </pic:spPr>
                      </pic:pic>
                    </a:graphicData>
                  </a:graphic>
                </wp:inline>
              </w:drawing>
            </w:r>
          </w:p>
        </w:tc>
      </w:tr>
      <w:tr w14:paraId="5E592C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5" w:hRule="atLeast"/>
        </w:trPr>
        <w:tc>
          <w:tcPr>
            <w:tcW w:w="4278" w:type="dxa"/>
            <w:tcBorders>
              <w:left w:val="single" w:color="1C456A" w:sz="4" w:space="0"/>
              <w:bottom w:val="single" w:color="1C456A" w:sz="4" w:space="0"/>
            </w:tcBorders>
            <w:vAlign w:val="top"/>
          </w:tcPr>
          <w:p w14:paraId="59BBA22E">
            <w:pPr>
              <w:pStyle w:val="7"/>
              <w:spacing w:before="102" w:line="218" w:lineRule="auto"/>
              <w:ind w:left="1091"/>
            </w:pPr>
            <w:r>
              <w:rPr>
                <w:spacing w:val="-17"/>
              </w:rPr>
              <w:t>土工格栅安装施工图1</w:t>
            </w:r>
          </w:p>
        </w:tc>
        <w:tc>
          <w:tcPr>
            <w:tcW w:w="4271" w:type="dxa"/>
            <w:tcBorders>
              <w:bottom w:val="single" w:color="5B9BD5" w:sz="4" w:space="0"/>
              <w:right w:val="single" w:color="5B9BD5" w:sz="4" w:space="0"/>
            </w:tcBorders>
            <w:vAlign w:val="top"/>
          </w:tcPr>
          <w:p w14:paraId="21D73E38">
            <w:pPr>
              <w:pStyle w:val="7"/>
              <w:spacing w:before="102" w:line="218" w:lineRule="auto"/>
              <w:ind w:left="1074"/>
            </w:pPr>
            <w:r>
              <w:rPr>
                <w:spacing w:val="-16"/>
              </w:rPr>
              <w:t>土工格栅安装施工图2</w:t>
            </w:r>
          </w:p>
        </w:tc>
      </w:tr>
    </w:tbl>
    <w:p w14:paraId="639A67D9">
      <w:pPr>
        <w:pStyle w:val="2"/>
        <w:spacing w:before="113" w:line="217" w:lineRule="auto"/>
        <w:ind w:left="1890"/>
        <w:rPr>
          <w:sz w:val="24"/>
          <w:szCs w:val="24"/>
        </w:rPr>
      </w:pPr>
      <w:r>
        <w:rPr>
          <w:spacing w:val="-19"/>
          <w:sz w:val="24"/>
          <w:szCs w:val="24"/>
        </w:rPr>
        <w:t>3.3铺洒乳化沥青透层、下封层、粘层</w:t>
      </w:r>
    </w:p>
    <w:p w14:paraId="438EA465">
      <w:pPr>
        <w:pStyle w:val="2"/>
        <w:spacing w:before="119" w:line="307" w:lineRule="auto"/>
        <w:ind w:left="1459" w:right="1409" w:firstLine="435"/>
        <w:rPr>
          <w:sz w:val="24"/>
          <w:szCs w:val="24"/>
        </w:rPr>
      </w:pPr>
      <w:r>
        <w:rPr>
          <w:spacing w:val="-21"/>
          <w:sz w:val="24"/>
          <w:szCs w:val="24"/>
        </w:rPr>
        <w:t>在准备好的干燥水泥稳定碎石粒料基层上，采用沥青洒布机喷洒一层约1～1.3L/m2的均匀</w:t>
      </w:r>
      <w:r>
        <w:rPr>
          <w:spacing w:val="-16"/>
          <w:sz w:val="24"/>
          <w:szCs w:val="24"/>
        </w:rPr>
        <w:t>热沥青，沥青采用AH-70，沥青喷洒时应保持沥青温度在150～170℃之间。</w:t>
      </w:r>
    </w:p>
    <w:p w14:paraId="0F46087F">
      <w:pPr>
        <w:pStyle w:val="2"/>
        <w:spacing w:line="218" w:lineRule="auto"/>
        <w:ind w:left="1890"/>
        <w:rPr>
          <w:sz w:val="24"/>
          <w:szCs w:val="24"/>
        </w:rPr>
      </w:pPr>
      <w:r>
        <w:rPr>
          <w:spacing w:val="-18"/>
          <w:sz w:val="24"/>
          <w:szCs w:val="24"/>
        </w:rPr>
        <w:t>3.4铺筑沥青面层试铺路段</w:t>
      </w:r>
    </w:p>
    <w:p w14:paraId="08097EDD">
      <w:pPr>
        <w:pStyle w:val="2"/>
        <w:spacing w:before="118" w:line="307" w:lineRule="auto"/>
        <w:ind w:left="1454" w:right="1426" w:firstLine="442"/>
        <w:rPr>
          <w:sz w:val="24"/>
          <w:szCs w:val="24"/>
        </w:rPr>
      </w:pPr>
      <w:r>
        <w:rPr>
          <w:spacing w:val="-20"/>
          <w:sz w:val="24"/>
          <w:szCs w:val="24"/>
        </w:rPr>
        <w:t>沥青各面层施工开工前，均需先做试铺路段。通过合格的沥青混合料组成设计，拟</w:t>
      </w:r>
      <w:r>
        <w:rPr>
          <w:spacing w:val="-21"/>
          <w:sz w:val="24"/>
          <w:szCs w:val="24"/>
        </w:rPr>
        <w:t>定试铺</w:t>
      </w:r>
      <w:r>
        <w:rPr>
          <w:spacing w:val="-18"/>
          <w:sz w:val="24"/>
          <w:szCs w:val="24"/>
        </w:rPr>
        <w:t>路段铺筑方案，试铺路段宜选在正线直线段，长度不少于</w:t>
      </w:r>
      <w:r>
        <w:rPr>
          <w:spacing w:val="-19"/>
          <w:sz w:val="24"/>
          <w:szCs w:val="24"/>
        </w:rPr>
        <w:t>200m。</w:t>
      </w:r>
    </w:p>
    <w:p w14:paraId="619BAC50">
      <w:pPr>
        <w:pStyle w:val="2"/>
        <w:spacing w:line="217" w:lineRule="auto"/>
        <w:ind w:left="1890"/>
        <w:rPr>
          <w:sz w:val="24"/>
          <w:szCs w:val="24"/>
        </w:rPr>
      </w:pPr>
      <w:r>
        <w:rPr>
          <w:spacing w:val="-21"/>
          <w:sz w:val="24"/>
          <w:szCs w:val="24"/>
        </w:rPr>
        <w:t>试铺路段施工分为试拌和试铺两个阶段：</w:t>
      </w:r>
    </w:p>
    <w:p w14:paraId="055A3D56">
      <w:pPr>
        <w:pStyle w:val="2"/>
        <w:spacing w:before="117" w:line="308" w:lineRule="auto"/>
        <w:ind w:left="1460" w:right="1409" w:firstLine="433"/>
        <w:rPr>
          <w:sz w:val="24"/>
          <w:szCs w:val="24"/>
        </w:rPr>
      </w:pPr>
      <w:r>
        <w:rPr>
          <w:spacing w:val="-20"/>
          <w:sz w:val="24"/>
          <w:szCs w:val="24"/>
        </w:rPr>
        <w:t>根据各种机械的施工能力和相匹配的原则，确定合宜的施工机械，按生产能力决定机械数</w:t>
      </w:r>
      <w:r>
        <w:rPr>
          <w:spacing w:val="-19"/>
          <w:sz w:val="24"/>
          <w:szCs w:val="24"/>
        </w:rPr>
        <w:t>量与组合方式。</w:t>
      </w:r>
    </w:p>
    <w:p w14:paraId="56D7FE53">
      <w:pPr>
        <w:pStyle w:val="2"/>
        <w:spacing w:line="218" w:lineRule="auto"/>
        <w:ind w:left="1897"/>
        <w:rPr>
          <w:sz w:val="24"/>
          <w:szCs w:val="24"/>
        </w:rPr>
      </w:pPr>
      <w:r>
        <w:rPr>
          <w:spacing w:val="-19"/>
          <w:sz w:val="24"/>
          <w:szCs w:val="24"/>
        </w:rPr>
        <w:t>通过试拌决定：</w:t>
      </w:r>
    </w:p>
    <w:p w14:paraId="662E81B0">
      <w:pPr>
        <w:pStyle w:val="2"/>
        <w:spacing w:before="117" w:line="216" w:lineRule="auto"/>
        <w:ind w:left="1895"/>
        <w:rPr>
          <w:sz w:val="24"/>
          <w:szCs w:val="24"/>
        </w:rPr>
      </w:pPr>
      <w:r>
        <w:rPr>
          <w:spacing w:val="-22"/>
          <w:sz w:val="24"/>
          <w:szCs w:val="24"/>
        </w:rPr>
        <w:t>拌和楼的操作方式：如上料速度、拌和数量与拌和时间、拌和温度等。</w:t>
      </w:r>
    </w:p>
    <w:p w14:paraId="72B07BC1">
      <w:pPr>
        <w:pStyle w:val="2"/>
        <w:spacing w:before="120" w:line="216" w:lineRule="auto"/>
        <w:ind w:left="1892"/>
        <w:rPr>
          <w:sz w:val="24"/>
          <w:szCs w:val="24"/>
        </w:rPr>
      </w:pPr>
      <w:r>
        <w:rPr>
          <w:spacing w:val="-21"/>
          <w:sz w:val="24"/>
          <w:szCs w:val="24"/>
        </w:rPr>
        <w:t>验证沥青混合料的配合比设计，决定正式生产用的矿料配合比</w:t>
      </w:r>
      <w:r>
        <w:rPr>
          <w:spacing w:val="-22"/>
          <w:sz w:val="24"/>
          <w:szCs w:val="24"/>
        </w:rPr>
        <w:t>和油石比。</w:t>
      </w:r>
    </w:p>
    <w:p w14:paraId="3A0EC4F8">
      <w:pPr>
        <w:pStyle w:val="2"/>
        <w:spacing w:before="119" w:line="308" w:lineRule="auto"/>
        <w:ind w:left="1456" w:right="1410" w:firstLine="441"/>
        <w:rPr>
          <w:sz w:val="24"/>
          <w:szCs w:val="24"/>
        </w:rPr>
      </w:pPr>
      <w:r>
        <w:rPr>
          <w:spacing w:val="-20"/>
          <w:sz w:val="24"/>
          <w:szCs w:val="24"/>
        </w:rPr>
        <w:t>通过试铺决定：摊铺机的操作方式：摊铺温度、摊铺速度、初步振实的方法和强度、自动</w:t>
      </w:r>
      <w:r>
        <w:rPr>
          <w:spacing w:val="-18"/>
          <w:sz w:val="24"/>
          <w:szCs w:val="24"/>
        </w:rPr>
        <w:t>找平方式等。</w:t>
      </w:r>
    </w:p>
    <w:p w14:paraId="73B50E7D">
      <w:pPr>
        <w:pStyle w:val="2"/>
        <w:spacing w:before="1" w:line="307" w:lineRule="auto"/>
        <w:ind w:left="1459" w:right="1409" w:firstLine="433"/>
        <w:rPr>
          <w:sz w:val="24"/>
          <w:szCs w:val="24"/>
        </w:rPr>
      </w:pPr>
      <w:r>
        <w:rPr>
          <w:spacing w:val="-20"/>
          <w:sz w:val="24"/>
          <w:szCs w:val="24"/>
        </w:rPr>
        <w:t>压实机具的选择、组合、压实顺序、碾压温度、碾压速度及遍数，振动压路机对地下管网</w:t>
      </w:r>
      <w:r>
        <w:rPr>
          <w:spacing w:val="-18"/>
          <w:sz w:val="24"/>
          <w:szCs w:val="24"/>
        </w:rPr>
        <w:t>影响程度等。</w:t>
      </w:r>
    </w:p>
    <w:p w14:paraId="7CC870D9">
      <w:pPr>
        <w:pStyle w:val="2"/>
        <w:spacing w:line="220" w:lineRule="auto"/>
        <w:ind w:left="1892"/>
        <w:rPr>
          <w:sz w:val="24"/>
          <w:szCs w:val="24"/>
        </w:rPr>
      </w:pPr>
      <w:r>
        <w:rPr>
          <w:spacing w:val="-22"/>
          <w:sz w:val="24"/>
          <w:szCs w:val="24"/>
        </w:rPr>
        <w:t>施工缝处理方法。</w:t>
      </w:r>
    </w:p>
    <w:p w14:paraId="1C31AEB9">
      <w:pPr>
        <w:pStyle w:val="2"/>
        <w:spacing w:before="114" w:line="307" w:lineRule="auto"/>
        <w:ind w:left="1455" w:right="1409" w:firstLine="438"/>
        <w:rPr>
          <w:sz w:val="24"/>
          <w:szCs w:val="24"/>
        </w:rPr>
      </w:pPr>
      <w:r>
        <w:rPr>
          <w:spacing w:val="-20"/>
          <w:sz w:val="24"/>
          <w:szCs w:val="24"/>
        </w:rPr>
        <w:t>各种沥青面层的松铺系数：确定施工产量及作业段的长度，修订施工组织计划。全面检查材料及施工质量是否符合要求。</w:t>
      </w:r>
    </w:p>
    <w:p w14:paraId="0A74E10E">
      <w:pPr>
        <w:pStyle w:val="2"/>
        <w:spacing w:before="6" w:line="307" w:lineRule="auto"/>
        <w:ind w:left="1455" w:right="1410" w:firstLine="434"/>
        <w:jc w:val="both"/>
        <w:rPr>
          <w:sz w:val="24"/>
          <w:szCs w:val="24"/>
        </w:rPr>
      </w:pPr>
      <w:r>
        <w:rPr>
          <w:spacing w:val="-21"/>
          <w:sz w:val="24"/>
          <w:szCs w:val="24"/>
        </w:rPr>
        <w:t>试铺段的铺筑。严格按《市政沥青路面施工技术规范》</w:t>
      </w:r>
      <w:r>
        <w:rPr>
          <w:spacing w:val="-22"/>
          <w:sz w:val="24"/>
          <w:szCs w:val="24"/>
        </w:rPr>
        <w:t>JTJ032-94及《市政改性沥青路面施</w:t>
      </w:r>
      <w:r>
        <w:rPr>
          <w:spacing w:val="-21"/>
          <w:sz w:val="24"/>
          <w:szCs w:val="24"/>
        </w:rPr>
        <w:t>工技术规范》JTJ036-98规范操作。在试铺</w:t>
      </w:r>
      <w:r>
        <w:rPr>
          <w:spacing w:val="-22"/>
          <w:sz w:val="24"/>
          <w:szCs w:val="24"/>
        </w:rPr>
        <w:t>段的铺筑过程中，工程技术人员应全过程参加，检查</w:t>
      </w:r>
      <w:r>
        <w:rPr>
          <w:spacing w:val="-20"/>
          <w:sz w:val="24"/>
          <w:szCs w:val="24"/>
        </w:rPr>
        <w:t>施工工艺、技术措施是否符合要求，测温、观色、取样，并记录试验与检测结果，检查各种技术指标情况，对出现的问题提出改进意见。各层度铺，必须力争一次铺筑成功，使试铺面层成</w:t>
      </w:r>
      <w:r>
        <w:rPr>
          <w:spacing w:val="-21"/>
          <w:sz w:val="24"/>
          <w:szCs w:val="24"/>
        </w:rPr>
        <w:t>为正式路面的组成部分，避免材料浪费。试铺段的质量检查</w:t>
      </w:r>
      <w:r>
        <w:rPr>
          <w:spacing w:val="-22"/>
          <w:sz w:val="24"/>
          <w:szCs w:val="24"/>
        </w:rPr>
        <w:t>频率应比正常时增加一倍。</w:t>
      </w:r>
    </w:p>
    <w:p w14:paraId="2BCC8EF0">
      <w:pPr>
        <w:pStyle w:val="2"/>
        <w:spacing w:line="218" w:lineRule="auto"/>
        <w:ind w:left="1884"/>
        <w:rPr>
          <w:sz w:val="24"/>
          <w:szCs w:val="24"/>
        </w:rPr>
      </w:pPr>
      <w:r>
        <w:rPr>
          <w:spacing w:val="-17"/>
          <w:sz w:val="24"/>
          <w:szCs w:val="24"/>
        </w:rPr>
        <w:t>4、沥青混凝土面层</w:t>
      </w:r>
    </w:p>
    <w:p w14:paraId="6F6974AF">
      <w:pPr>
        <w:spacing w:line="218" w:lineRule="auto"/>
        <w:rPr>
          <w:sz w:val="24"/>
          <w:szCs w:val="24"/>
        </w:rPr>
        <w:sectPr>
          <w:footerReference r:id="rId91" w:type="default"/>
          <w:pgSz w:w="11907" w:h="16839"/>
          <w:pgMar w:top="954" w:right="4" w:bottom="1038" w:left="0" w:header="499" w:footer="357" w:gutter="0"/>
          <w:pgBorders>
            <w:top w:val="none" w:sz="0" w:space="0"/>
            <w:left w:val="none" w:sz="0" w:space="0"/>
            <w:bottom w:val="none" w:sz="0" w:space="0"/>
            <w:right w:val="none" w:sz="0" w:space="0"/>
          </w:pgBorders>
          <w:cols w:space="720" w:num="1"/>
        </w:sectPr>
      </w:pPr>
    </w:p>
    <w:p w14:paraId="7043021F">
      <w:pPr>
        <w:spacing w:line="250" w:lineRule="auto"/>
        <w:rPr>
          <w:rFonts w:ascii="Arial"/>
          <w:sz w:val="21"/>
        </w:rPr>
      </w:pPr>
    </w:p>
    <w:p w14:paraId="258347A0">
      <w:pPr>
        <w:pStyle w:val="2"/>
        <w:spacing w:before="78" w:line="216" w:lineRule="auto"/>
        <w:ind w:left="1884"/>
        <w:rPr>
          <w:sz w:val="24"/>
          <w:szCs w:val="24"/>
        </w:rPr>
      </w:pPr>
      <w:r>
        <w:rPr>
          <w:spacing w:val="-17"/>
          <w:sz w:val="24"/>
          <w:szCs w:val="24"/>
        </w:rPr>
        <w:t>4.1施工前的准备工作</w:t>
      </w:r>
    </w:p>
    <w:p w14:paraId="278551D0">
      <w:pPr>
        <w:pStyle w:val="2"/>
        <w:spacing w:before="120" w:line="218" w:lineRule="auto"/>
        <w:ind w:left="1884"/>
        <w:rPr>
          <w:sz w:val="24"/>
          <w:szCs w:val="24"/>
        </w:rPr>
      </w:pPr>
      <w:r>
        <w:rPr>
          <w:spacing w:val="-16"/>
          <w:sz w:val="24"/>
          <w:szCs w:val="24"/>
        </w:rPr>
        <w:t>4.1.1沥青混凝土拌和站</w:t>
      </w:r>
    </w:p>
    <w:p w14:paraId="252EA9DD">
      <w:pPr>
        <w:pStyle w:val="2"/>
        <w:spacing w:before="115" w:line="308" w:lineRule="auto"/>
        <w:ind w:left="1464" w:right="1410" w:firstLine="428"/>
        <w:rPr>
          <w:sz w:val="24"/>
          <w:szCs w:val="24"/>
        </w:rPr>
      </w:pPr>
      <w:r>
        <w:rPr>
          <w:spacing w:val="-20"/>
          <w:sz w:val="24"/>
          <w:szCs w:val="24"/>
        </w:rPr>
        <w:t>经过成本核算分析自建沥青混凝土拌和站，成本较高。经过对市场调查分析，可采用购买</w:t>
      </w:r>
      <w:r>
        <w:rPr>
          <w:spacing w:val="-21"/>
          <w:sz w:val="24"/>
          <w:szCs w:val="24"/>
        </w:rPr>
        <w:t>商品沥青混凝土进行施工。</w:t>
      </w:r>
    </w:p>
    <w:p w14:paraId="5EC96E0E">
      <w:pPr>
        <w:pStyle w:val="2"/>
        <w:spacing w:line="216" w:lineRule="auto"/>
        <w:ind w:left="1884"/>
        <w:rPr>
          <w:sz w:val="24"/>
          <w:szCs w:val="24"/>
        </w:rPr>
      </w:pPr>
      <w:r>
        <w:rPr>
          <w:spacing w:val="-18"/>
          <w:sz w:val="24"/>
          <w:szCs w:val="24"/>
        </w:rPr>
        <w:t>4.1.2沥青混凝土施工机械的配备</w:t>
      </w:r>
    </w:p>
    <w:p w14:paraId="50B0AF7D">
      <w:pPr>
        <w:pStyle w:val="2"/>
        <w:spacing w:before="116" w:line="308" w:lineRule="auto"/>
        <w:ind w:left="1454" w:right="1411" w:firstLine="440"/>
        <w:rPr>
          <w:sz w:val="24"/>
          <w:szCs w:val="24"/>
        </w:rPr>
      </w:pPr>
      <w:r>
        <w:rPr>
          <w:spacing w:val="-20"/>
          <w:sz w:val="24"/>
          <w:szCs w:val="24"/>
        </w:rPr>
        <w:t>在沥青混凝土路面层的施工中，起了保证机械化施工的连续性，沥青混凝土拌和设备、沥青混凝土运输车辆、沥青混凝土摊铺机的合理配备是一个关键，而面层成型的质量又于沥青混</w:t>
      </w:r>
      <w:r>
        <w:rPr>
          <w:spacing w:val="-21"/>
          <w:sz w:val="24"/>
          <w:szCs w:val="24"/>
        </w:rPr>
        <w:t>凝土拌和设备与沥青混凝土的摊铺设备的合理配置密切相关</w:t>
      </w:r>
    </w:p>
    <w:p w14:paraId="5743C304">
      <w:pPr>
        <w:pStyle w:val="2"/>
        <w:spacing w:before="1" w:line="215" w:lineRule="auto"/>
        <w:ind w:left="1884"/>
        <w:rPr>
          <w:sz w:val="24"/>
          <w:szCs w:val="24"/>
        </w:rPr>
      </w:pPr>
      <w:r>
        <w:rPr>
          <w:spacing w:val="-11"/>
          <w:sz w:val="24"/>
          <w:szCs w:val="24"/>
        </w:rPr>
        <w:t>4.1.3材料</w:t>
      </w:r>
    </w:p>
    <w:p w14:paraId="6687ABAA">
      <w:pPr>
        <w:pStyle w:val="2"/>
        <w:spacing w:before="120" w:line="216" w:lineRule="auto"/>
        <w:ind w:left="1884"/>
        <w:rPr>
          <w:sz w:val="24"/>
          <w:szCs w:val="24"/>
        </w:rPr>
      </w:pPr>
      <w:r>
        <w:rPr>
          <w:spacing w:val="-12"/>
          <w:sz w:val="24"/>
          <w:szCs w:val="24"/>
        </w:rPr>
        <w:t>4.1.3.1粗集料</w:t>
      </w:r>
    </w:p>
    <w:p w14:paraId="606CABD3">
      <w:pPr>
        <w:spacing w:line="53" w:lineRule="auto"/>
        <w:rPr>
          <w:rFonts w:ascii="Arial"/>
          <w:sz w:val="2"/>
        </w:rPr>
      </w:pPr>
    </w:p>
    <w:tbl>
      <w:tblPr>
        <w:tblStyle w:val="6"/>
        <w:tblW w:w="8549" w:type="dxa"/>
        <w:tblInd w:w="167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311"/>
        <w:gridCol w:w="4238"/>
      </w:tblGrid>
      <w:tr w14:paraId="69B23A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045" w:hRule="atLeast"/>
        </w:trPr>
        <w:tc>
          <w:tcPr>
            <w:tcW w:w="4311" w:type="dxa"/>
            <w:tcBorders>
              <w:top w:val="single" w:color="000000" w:sz="4" w:space="0"/>
              <w:left w:val="single" w:color="000000" w:sz="4" w:space="0"/>
            </w:tcBorders>
            <w:shd w:val="clear" w:color="auto" w:fill="DEEAF6"/>
            <w:vAlign w:val="top"/>
          </w:tcPr>
          <w:p w14:paraId="27DF968F">
            <w:pPr>
              <w:spacing w:before="106" w:line="2710" w:lineRule="exact"/>
              <w:ind w:firstLine="68"/>
            </w:pPr>
            <w:r>
              <w:pict>
                <v:group id="_x0000_s1700" o:spid="_x0000_s1700" o:spt="203" style="position:absolute;left:0pt;margin-left:0.9pt;margin-top:2.15pt;height:150.75pt;width:214.75pt;mso-position-horizontal-relative:page;mso-position-vertical-relative:page;z-index:251817984;mso-width-relative:page;mso-height-relative:page;" coordsize="4295,3015">
                  <o:lock v:ext="edit"/>
                  <v:shape id="_x0000_s1701" o:spid="_x0000_s1701" style="position:absolute;left:21;top:0;height:60;width:4267;" fillcolor="#DEEAF6" filled="t" stroked="f" coordsize="4267,60" path="m0,60l4267,60,4267,0,0,0,0,60xe">
                    <v:path/>
                    <v:fill on="t" focussize="0,0"/>
                    <v:stroke on="f"/>
                    <v:imagedata o:title=""/>
                    <o:lock v:ext="edit"/>
                  </v:shape>
                  <v:shape id="_x0000_s1702" o:spid="_x0000_s1702" style="position:absolute;left:0;top:2957;height:58;width:4295;" fillcolor="#DEEAF6" filled="t" stroked="f" coordsize="4295,58" path="m0,57l4294,57,4294,0,0,0,0,57xe">
                    <v:path/>
                    <v:fill on="t" focussize="0,0"/>
                    <v:stroke on="f"/>
                    <v:imagedata o:title=""/>
                    <o:lock v:ext="edit"/>
                  </v:shape>
                </v:group>
              </w:pict>
            </w:r>
            <w:r>
              <w:rPr>
                <w:position w:val="-54"/>
              </w:rPr>
              <w:drawing>
                <wp:inline distT="0" distB="0" distL="0" distR="0">
                  <wp:extent cx="2657475" cy="1720850"/>
                  <wp:effectExtent l="0" t="0" r="0" b="0"/>
                  <wp:docPr id="558" name="IM 558"/>
                  <wp:cNvGraphicFramePr/>
                  <a:graphic xmlns:a="http://schemas.openxmlformats.org/drawingml/2006/main">
                    <a:graphicData uri="http://schemas.openxmlformats.org/drawingml/2006/picture">
                      <pic:pic xmlns:pic="http://schemas.openxmlformats.org/drawingml/2006/picture">
                        <pic:nvPicPr>
                          <pic:cNvPr id="558" name="IM 558"/>
                          <pic:cNvPicPr/>
                        </pic:nvPicPr>
                        <pic:blipFill>
                          <a:blip r:embed="rId555"/>
                          <a:stretch>
                            <a:fillRect/>
                          </a:stretch>
                        </pic:blipFill>
                        <pic:spPr>
                          <a:xfrm>
                            <a:off x="0" y="0"/>
                            <a:ext cx="2658109" cy="1720850"/>
                          </a:xfrm>
                          <a:prstGeom prst="rect">
                            <a:avLst/>
                          </a:prstGeom>
                        </pic:spPr>
                      </pic:pic>
                    </a:graphicData>
                  </a:graphic>
                </wp:inline>
              </w:drawing>
            </w:r>
          </w:p>
        </w:tc>
        <w:tc>
          <w:tcPr>
            <w:tcW w:w="4238" w:type="dxa"/>
            <w:tcBorders>
              <w:top w:val="single" w:color="5B9BD5" w:sz="4" w:space="0"/>
              <w:right w:val="single" w:color="5B9BD5" w:sz="4" w:space="0"/>
            </w:tcBorders>
            <w:shd w:val="clear" w:color="auto" w:fill="DEEAF6"/>
            <w:vAlign w:val="top"/>
          </w:tcPr>
          <w:p w14:paraId="1361327E">
            <w:pPr>
              <w:spacing w:before="90" w:line="2743" w:lineRule="exact"/>
              <w:ind w:firstLine="51"/>
            </w:pPr>
            <w:r>
              <w:pict>
                <v:group id="_x0000_s1703" o:spid="_x0000_s1703" o:spt="203" style="position:absolute;left:0pt;margin-left:0pt;margin-top:2.15pt;height:150.75pt;width:211.15pt;mso-position-horizontal-relative:page;mso-position-vertical-relative:page;z-index:251816960;mso-width-relative:page;mso-height-relative:page;" coordsize="4222,3015">
                  <o:lock v:ext="edit"/>
                  <v:shape id="_x0000_s1704" o:spid="_x0000_s1704" style="position:absolute;left:38;top:0;height:60;width:4162;" fillcolor="#DEEAF6" filled="t" stroked="f" coordsize="4162,60" path="m0,60l4162,60,4162,0,0,0,0,60xe">
                    <v:path/>
                    <v:fill on="t" focussize="0,0"/>
                    <v:stroke on="f"/>
                    <v:imagedata o:title=""/>
                    <o:lock v:ext="edit"/>
                  </v:shape>
                  <v:shape id="_x0000_s1705" o:spid="_x0000_s1705" style="position:absolute;left:0;top:2957;height:58;width:4222;" fillcolor="#DEEAF6" filled="t" stroked="f" coordsize="4222,58" path="m0,57l4222,57,4222,0,0,0,0,57xe">
                    <v:path/>
                    <v:fill on="t" focussize="0,0"/>
                    <v:stroke on="f"/>
                    <v:imagedata o:title=""/>
                    <o:lock v:ext="edit"/>
                  </v:shape>
                </v:group>
              </w:pict>
            </w:r>
            <w:r>
              <w:rPr>
                <w:position w:val="-54"/>
              </w:rPr>
              <w:drawing>
                <wp:inline distT="0" distB="0" distL="0" distR="0">
                  <wp:extent cx="2611755" cy="1741805"/>
                  <wp:effectExtent l="0" t="0" r="0" b="0"/>
                  <wp:docPr id="560" name="IM 560"/>
                  <wp:cNvGraphicFramePr/>
                  <a:graphic xmlns:a="http://schemas.openxmlformats.org/drawingml/2006/main">
                    <a:graphicData uri="http://schemas.openxmlformats.org/drawingml/2006/picture">
                      <pic:pic xmlns:pic="http://schemas.openxmlformats.org/drawingml/2006/picture">
                        <pic:nvPicPr>
                          <pic:cNvPr id="560" name="IM 560"/>
                          <pic:cNvPicPr/>
                        </pic:nvPicPr>
                        <pic:blipFill>
                          <a:blip r:embed="rId556"/>
                          <a:stretch>
                            <a:fillRect/>
                          </a:stretch>
                        </pic:blipFill>
                        <pic:spPr>
                          <a:xfrm>
                            <a:off x="0" y="0"/>
                            <a:ext cx="2612389" cy="1742439"/>
                          </a:xfrm>
                          <a:prstGeom prst="rect">
                            <a:avLst/>
                          </a:prstGeom>
                        </pic:spPr>
                      </pic:pic>
                    </a:graphicData>
                  </a:graphic>
                </wp:inline>
              </w:drawing>
            </w:r>
          </w:p>
        </w:tc>
      </w:tr>
      <w:tr w14:paraId="7DD570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24" w:hRule="atLeast"/>
        </w:trPr>
        <w:tc>
          <w:tcPr>
            <w:tcW w:w="4311" w:type="dxa"/>
            <w:tcBorders>
              <w:left w:val="single" w:color="1C456A" w:sz="4" w:space="0"/>
              <w:bottom w:val="single" w:color="1C456A" w:sz="4" w:space="0"/>
            </w:tcBorders>
            <w:vAlign w:val="top"/>
          </w:tcPr>
          <w:p w14:paraId="65E1C7EB">
            <w:pPr>
              <w:pStyle w:val="7"/>
              <w:spacing w:before="101" w:line="216" w:lineRule="auto"/>
              <w:ind w:left="1292"/>
            </w:pPr>
            <w:r>
              <w:pict>
                <v:shape id="_x0000_s1706" o:spid="_x0000_s1706" style="position:absolute;left:0pt;margin-left:-0.2pt;margin-top:31.2pt;height:0.75pt;width:2.2pt;mso-position-horizontal-relative:page;mso-position-vertical-relative:page;z-index:251815936;mso-width-relative:page;mso-height-relative:page;" fillcolor="#5B9BD5" filled="t" stroked="f" coordsize="44,15" path="m0,14l43,14,43,0,0,0,0,14xe">
                  <v:path/>
                  <v:fill on="t" focussize="0,0"/>
                  <v:stroke on="f"/>
                  <v:imagedata o:title=""/>
                  <o:lock v:ext="edit"/>
                </v:shape>
              </w:pict>
            </w:r>
            <w:r>
              <w:rPr>
                <w:spacing w:val="-19"/>
              </w:rPr>
              <w:t>粗粒式沥青混合料</w:t>
            </w:r>
          </w:p>
        </w:tc>
        <w:tc>
          <w:tcPr>
            <w:tcW w:w="4238" w:type="dxa"/>
            <w:tcBorders>
              <w:bottom w:val="single" w:color="5B9BD5" w:sz="4" w:space="0"/>
              <w:right w:val="single" w:color="5B9BD5" w:sz="4" w:space="0"/>
            </w:tcBorders>
            <w:vAlign w:val="top"/>
          </w:tcPr>
          <w:p w14:paraId="40399D07">
            <w:pPr>
              <w:pStyle w:val="7"/>
              <w:spacing w:before="101" w:line="216" w:lineRule="auto"/>
              <w:ind w:left="1247"/>
            </w:pPr>
            <w:r>
              <w:rPr>
                <w:spacing w:val="-20"/>
              </w:rPr>
              <w:t>细粒式沥青混合料</w:t>
            </w:r>
          </w:p>
        </w:tc>
      </w:tr>
    </w:tbl>
    <w:p w14:paraId="0CDF066E">
      <w:pPr>
        <w:pStyle w:val="2"/>
        <w:spacing w:before="116" w:line="261" w:lineRule="auto"/>
        <w:ind w:left="1456" w:right="1369" w:firstLine="428"/>
        <w:rPr>
          <w:sz w:val="24"/>
          <w:szCs w:val="24"/>
        </w:rPr>
      </w:pPr>
      <w:r>
        <w:rPr>
          <w:spacing w:val="-20"/>
          <w:sz w:val="24"/>
          <w:szCs w:val="24"/>
        </w:rPr>
        <w:t>4.1.3.1.1粗集料可采用石灰碎石，并应具有良好的颗粒</w:t>
      </w:r>
      <w:r>
        <w:rPr>
          <w:spacing w:val="-21"/>
          <w:sz w:val="24"/>
          <w:szCs w:val="24"/>
        </w:rPr>
        <w:t>形状，不宜采用颚式破碎机加工。粗集料的粒径规格应符合图纸要求。</w:t>
      </w:r>
    </w:p>
    <w:p w14:paraId="307F1634">
      <w:pPr>
        <w:pStyle w:val="2"/>
        <w:spacing w:before="120" w:line="216" w:lineRule="auto"/>
        <w:ind w:left="1884"/>
        <w:rPr>
          <w:sz w:val="24"/>
          <w:szCs w:val="24"/>
        </w:rPr>
      </w:pPr>
      <w:r>
        <w:rPr>
          <w:spacing w:val="-18"/>
          <w:sz w:val="24"/>
          <w:szCs w:val="24"/>
        </w:rPr>
        <w:t>4.1.3.1.2粗集料的质量应符合下表的要求。</w:t>
      </w:r>
    </w:p>
    <w:p w14:paraId="7372435E">
      <w:pPr>
        <w:pStyle w:val="2"/>
        <w:spacing w:before="120" w:line="216" w:lineRule="auto"/>
        <w:ind w:left="1896"/>
        <w:rPr>
          <w:sz w:val="24"/>
          <w:szCs w:val="24"/>
        </w:rPr>
      </w:pPr>
      <w:r>
        <w:rPr>
          <w:spacing w:val="-21"/>
          <w:sz w:val="24"/>
          <w:szCs w:val="24"/>
        </w:rPr>
        <w:t>沥青面层用粗集料质量技术要求</w:t>
      </w:r>
    </w:p>
    <w:p w14:paraId="56994068">
      <w:pPr>
        <w:spacing w:line="53" w:lineRule="auto"/>
        <w:rPr>
          <w:rFonts w:ascii="Arial"/>
          <w:sz w:val="2"/>
        </w:rPr>
      </w:pPr>
    </w:p>
    <w:tbl>
      <w:tblPr>
        <w:tblStyle w:val="6"/>
        <w:tblW w:w="9013" w:type="dxa"/>
        <w:tblInd w:w="144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61"/>
        <w:gridCol w:w="4271"/>
        <w:gridCol w:w="3170"/>
        <w:gridCol w:w="1011"/>
      </w:tblGrid>
      <w:tr w14:paraId="12623E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6" w:hRule="atLeast"/>
        </w:trPr>
        <w:tc>
          <w:tcPr>
            <w:tcW w:w="561" w:type="dxa"/>
            <w:tcBorders>
              <w:top w:val="single" w:color="000000" w:sz="4" w:space="0"/>
              <w:left w:val="single" w:color="000000" w:sz="4" w:space="0"/>
              <w:right w:val="nil"/>
            </w:tcBorders>
            <w:shd w:val="clear" w:color="auto" w:fill="DEEAF6"/>
            <w:vAlign w:val="top"/>
          </w:tcPr>
          <w:p w14:paraId="56C5E441">
            <w:pPr>
              <w:rPr>
                <w:rFonts w:ascii="Arial"/>
                <w:sz w:val="21"/>
              </w:rPr>
            </w:pPr>
            <w:r>
              <w:pict>
                <v:shape id="_x0000_s1707" o:spid="_x0000_s1707" style="position:absolute;left:0pt;margin-left:-0.25pt;margin-top:0pt;height:0.75pt;width:2.2pt;mso-position-horizontal-relative:page;mso-position-vertical-relative:page;z-index:251813888;mso-width-relative:page;mso-height-relative:page;" fillcolor="#5B9BD5" filled="t" stroked="f" coordsize="44,15" path="m0,14l43,14,43,0,0,0,0,14xe">
                  <v:path/>
                  <v:fill on="t" focussize="0,0"/>
                  <v:stroke on="f"/>
                  <v:imagedata o:title=""/>
                  <o:lock v:ext="edit"/>
                </v:shape>
              </w:pict>
            </w:r>
          </w:p>
        </w:tc>
        <w:tc>
          <w:tcPr>
            <w:tcW w:w="4271" w:type="dxa"/>
            <w:tcBorders>
              <w:top w:val="single" w:color="000000" w:sz="4" w:space="0"/>
              <w:left w:val="nil"/>
            </w:tcBorders>
            <w:shd w:val="clear" w:color="auto" w:fill="DEEAF6"/>
            <w:vAlign w:val="top"/>
          </w:tcPr>
          <w:p w14:paraId="787C14D1">
            <w:pPr>
              <w:pStyle w:val="7"/>
              <w:spacing w:before="206" w:line="218" w:lineRule="auto"/>
              <w:ind w:left="1657"/>
            </w:pPr>
            <w:r>
              <w:rPr>
                <w:b/>
                <w:bCs/>
                <w:spacing w:val="-12"/>
              </w:rPr>
              <w:t>指标</w:t>
            </w:r>
          </w:p>
        </w:tc>
        <w:tc>
          <w:tcPr>
            <w:tcW w:w="4181" w:type="dxa"/>
            <w:gridSpan w:val="2"/>
            <w:tcBorders>
              <w:top w:val="single" w:color="5B9BD5" w:sz="4" w:space="0"/>
              <w:right w:val="single" w:color="5B9BD5" w:sz="4" w:space="0"/>
            </w:tcBorders>
            <w:shd w:val="clear" w:color="auto" w:fill="DEEAF6"/>
            <w:vAlign w:val="top"/>
          </w:tcPr>
          <w:p w14:paraId="25B5CFA8">
            <w:pPr>
              <w:rPr>
                <w:rFonts w:ascii="Arial"/>
                <w:sz w:val="21"/>
              </w:rPr>
            </w:pPr>
            <w:r>
              <w:pict>
                <v:shape id="_x0000_s1708" o:spid="_x0000_s1708" style="position:absolute;left:0pt;margin-left:207.15pt;margin-top:0pt;height:0.75pt;width:2.2pt;mso-position-horizontal-relative:page;mso-position-vertical-relative:page;z-index:251812864;mso-width-relative:page;mso-height-relative:page;" fillcolor="#5B9BD5" filled="t" stroked="f" coordsize="44,15" path="m0,14l43,14,43,0,0,0,0,14xe">
                  <v:path/>
                  <v:fill on="t" focussize="0,0"/>
                  <v:stroke on="f"/>
                  <v:imagedata o:title=""/>
                  <o:lock v:ext="edit"/>
                </v:shape>
              </w:pict>
            </w:r>
          </w:p>
        </w:tc>
      </w:tr>
      <w:tr w14:paraId="3939FB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2" w:hRule="atLeast"/>
        </w:trPr>
        <w:tc>
          <w:tcPr>
            <w:tcW w:w="4832" w:type="dxa"/>
            <w:gridSpan w:val="2"/>
            <w:tcBorders>
              <w:left w:val="single" w:color="000000" w:sz="4" w:space="0"/>
            </w:tcBorders>
            <w:vAlign w:val="top"/>
          </w:tcPr>
          <w:p w14:paraId="55B55CD8">
            <w:pPr>
              <w:pStyle w:val="7"/>
              <w:spacing w:before="173" w:line="216" w:lineRule="auto"/>
              <w:ind w:left="1287"/>
            </w:pPr>
            <w:r>
              <w:rPr>
                <w:spacing w:val="-20"/>
              </w:rPr>
              <w:t>石料压碎值不大于（%）</w:t>
            </w:r>
          </w:p>
        </w:tc>
        <w:tc>
          <w:tcPr>
            <w:tcW w:w="3170" w:type="dxa"/>
            <w:tcBorders>
              <w:right w:val="nil"/>
            </w:tcBorders>
            <w:vAlign w:val="top"/>
          </w:tcPr>
          <w:p w14:paraId="3313A799">
            <w:pPr>
              <w:pStyle w:val="7"/>
              <w:spacing w:before="173" w:line="237" w:lineRule="auto"/>
              <w:ind w:left="1979"/>
            </w:pPr>
            <w:r>
              <w:rPr>
                <w:spacing w:val="-6"/>
              </w:rPr>
              <w:t>28</w:t>
            </w:r>
          </w:p>
        </w:tc>
        <w:tc>
          <w:tcPr>
            <w:tcW w:w="1011" w:type="dxa"/>
            <w:tcBorders>
              <w:left w:val="nil"/>
              <w:right w:val="single" w:color="000000" w:sz="4" w:space="0"/>
            </w:tcBorders>
            <w:vAlign w:val="top"/>
          </w:tcPr>
          <w:p w14:paraId="395FFC39">
            <w:pPr>
              <w:spacing w:line="58" w:lineRule="exact"/>
              <w:ind w:firstLine="972"/>
            </w:pPr>
            <w:r>
              <w:rPr>
                <w:position w:val="-1"/>
              </w:rPr>
              <w:pict>
                <v:group id="_x0000_s1709" o:spid="_x0000_s1709" o:spt="203" style="height:3.4pt;width:1.45pt;" coordsize="29,68">
                  <o:lock v:ext="edit"/>
                  <v:shape id="_x0000_s1710" o:spid="_x0000_s1710" style="position:absolute;left:14;top:0;height:68;width:15;" fillcolor="#20507B" filled="t" stroked="f" coordsize="15,68" path="m0,67l14,67,14,0,0,0,0,67xe">
                    <v:path/>
                    <v:fill on="t" focussize="0,0"/>
                    <v:stroke on="f"/>
                    <v:imagedata o:title=""/>
                    <o:lock v:ext="edit"/>
                  </v:shape>
                  <v:shape id="_x0000_s1711" o:spid="_x0000_s1711" style="position:absolute;left:0;top:0;height:68;width:15;" fillcolor="#1C456A" filled="t" stroked="f" coordsize="15,68" path="m0,67l14,67,14,0,0,0,0,67xe">
                    <v:path/>
                    <v:fill on="t" focussize="0,0"/>
                    <v:stroke on="f"/>
                    <v:imagedata o:title=""/>
                    <o:lock v:ext="edit"/>
                  </v:shape>
                  <w10:wrap type="none"/>
                  <w10:anchorlock/>
                </v:group>
              </w:pict>
            </w:r>
          </w:p>
        </w:tc>
      </w:tr>
      <w:tr w14:paraId="31A682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0" w:hRule="atLeast"/>
        </w:trPr>
        <w:tc>
          <w:tcPr>
            <w:tcW w:w="4832" w:type="dxa"/>
            <w:gridSpan w:val="2"/>
            <w:tcBorders>
              <w:left w:val="single" w:color="000000" w:sz="4" w:space="0"/>
            </w:tcBorders>
            <w:vAlign w:val="top"/>
          </w:tcPr>
          <w:p w14:paraId="65BC5743">
            <w:pPr>
              <w:pStyle w:val="7"/>
              <w:spacing w:before="173" w:line="216" w:lineRule="auto"/>
              <w:ind w:left="1176"/>
            </w:pPr>
            <w:r>
              <w:rPr>
                <w:spacing w:val="-20"/>
              </w:rPr>
              <w:t>石料磨耗损失不大于（%）</w:t>
            </w:r>
          </w:p>
        </w:tc>
        <w:tc>
          <w:tcPr>
            <w:tcW w:w="3170" w:type="dxa"/>
            <w:tcBorders>
              <w:right w:val="nil"/>
            </w:tcBorders>
            <w:vAlign w:val="top"/>
          </w:tcPr>
          <w:p w14:paraId="36F3D2A2">
            <w:pPr>
              <w:pStyle w:val="7"/>
              <w:spacing w:before="173" w:line="237" w:lineRule="auto"/>
              <w:ind w:left="1981"/>
            </w:pPr>
            <w:r>
              <w:rPr>
                <w:spacing w:val="-7"/>
              </w:rPr>
              <w:t>30</w:t>
            </w:r>
          </w:p>
        </w:tc>
        <w:tc>
          <w:tcPr>
            <w:tcW w:w="1011" w:type="dxa"/>
            <w:tcBorders>
              <w:left w:val="nil"/>
              <w:right w:val="single" w:color="000000" w:sz="4" w:space="0"/>
            </w:tcBorders>
            <w:vAlign w:val="top"/>
          </w:tcPr>
          <w:p w14:paraId="349D36DC">
            <w:pPr>
              <w:spacing w:line="60" w:lineRule="exact"/>
              <w:ind w:firstLine="972"/>
            </w:pPr>
            <w:r>
              <w:rPr>
                <w:position w:val="-1"/>
              </w:rPr>
              <w:pict>
                <v:group id="_x0000_s1712" o:spid="_x0000_s1712" o:spt="203" style="height:3.4pt;width:1.45pt;" coordsize="29,68">
                  <o:lock v:ext="edit"/>
                  <v:shape id="_x0000_s1713" o:spid="_x0000_s1713" style="position:absolute;left:14;top:0;height:68;width:15;" fillcolor="#20507B" filled="t" stroked="f" coordsize="15,68" path="m0,67l14,67,14,0,0,0,0,67xe">
                    <v:path/>
                    <v:fill on="t" focussize="0,0"/>
                    <v:stroke on="f"/>
                    <v:imagedata o:title=""/>
                    <o:lock v:ext="edit"/>
                  </v:shape>
                  <v:shape id="_x0000_s1714" o:spid="_x0000_s1714" style="position:absolute;left:0;top:0;height:68;width:15;" fillcolor="#1C456A" filled="t" stroked="f" coordsize="15,68" path="m0,67l14,67,14,0,0,0,0,67xe">
                    <v:path/>
                    <v:fill on="t" focussize="0,0"/>
                    <v:stroke on="f"/>
                    <v:imagedata o:title=""/>
                    <o:lock v:ext="edit"/>
                  </v:shape>
                  <w10:wrap type="none"/>
                  <w10:anchorlock/>
                </v:group>
              </w:pict>
            </w:r>
          </w:p>
        </w:tc>
      </w:tr>
      <w:tr w14:paraId="5A3484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2" w:hRule="atLeast"/>
        </w:trPr>
        <w:tc>
          <w:tcPr>
            <w:tcW w:w="4832" w:type="dxa"/>
            <w:gridSpan w:val="2"/>
            <w:tcBorders>
              <w:left w:val="single" w:color="000000" w:sz="4" w:space="0"/>
            </w:tcBorders>
            <w:vAlign w:val="top"/>
          </w:tcPr>
          <w:p w14:paraId="6AF891E0">
            <w:pPr>
              <w:pStyle w:val="7"/>
              <w:spacing w:before="177" w:line="219" w:lineRule="auto"/>
              <w:ind w:left="1340"/>
            </w:pPr>
            <w:r>
              <w:rPr>
                <w:spacing w:val="-17"/>
              </w:rPr>
              <w:t>视密度不小于（t/m3）</w:t>
            </w:r>
          </w:p>
        </w:tc>
        <w:tc>
          <w:tcPr>
            <w:tcW w:w="3170" w:type="dxa"/>
            <w:tcBorders>
              <w:right w:val="nil"/>
            </w:tcBorders>
            <w:vAlign w:val="top"/>
          </w:tcPr>
          <w:p w14:paraId="2AF4C28F">
            <w:pPr>
              <w:pStyle w:val="7"/>
              <w:spacing w:before="177" w:line="236" w:lineRule="auto"/>
              <w:ind w:left="1871"/>
            </w:pPr>
            <w:r>
              <w:rPr>
                <w:spacing w:val="-11"/>
              </w:rPr>
              <w:t>2．5</w:t>
            </w:r>
          </w:p>
        </w:tc>
        <w:tc>
          <w:tcPr>
            <w:tcW w:w="1011" w:type="dxa"/>
            <w:tcBorders>
              <w:left w:val="nil"/>
              <w:right w:val="single" w:color="000000" w:sz="4" w:space="0"/>
            </w:tcBorders>
            <w:vAlign w:val="top"/>
          </w:tcPr>
          <w:p w14:paraId="0A1FFFDC">
            <w:pPr>
              <w:spacing w:line="62" w:lineRule="exact"/>
              <w:ind w:firstLine="972"/>
            </w:pPr>
            <w:r>
              <w:rPr>
                <w:position w:val="-1"/>
              </w:rPr>
              <w:pict>
                <v:group id="_x0000_s1715" o:spid="_x0000_s1715" o:spt="203" style="height:3.4pt;width:1.45pt;" coordsize="29,68">
                  <o:lock v:ext="edit"/>
                  <v:shape id="_x0000_s1716" o:spid="_x0000_s1716" style="position:absolute;left:14;top:0;height:68;width:15;" fillcolor="#20507B" filled="t" stroked="f" coordsize="15,68" path="m0,67l14,67,14,0,0,0,0,67xe">
                    <v:path/>
                    <v:fill on="t" focussize="0,0"/>
                    <v:stroke on="f"/>
                    <v:imagedata o:title=""/>
                    <o:lock v:ext="edit"/>
                  </v:shape>
                  <v:shape id="_x0000_s1717" o:spid="_x0000_s1717" style="position:absolute;left:0;top:0;height:68;width:15;" fillcolor="#1C456A" filled="t" stroked="f" coordsize="15,68" path="m0,67l14,67,14,0,0,0,0,67xe">
                    <v:path/>
                    <v:fill on="t" focussize="0,0"/>
                    <v:stroke on="f"/>
                    <v:imagedata o:title=""/>
                    <o:lock v:ext="edit"/>
                  </v:shape>
                  <w10:wrap type="none"/>
                  <w10:anchorlock/>
                </v:group>
              </w:pict>
            </w:r>
          </w:p>
        </w:tc>
      </w:tr>
      <w:tr w14:paraId="6FA059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2" w:hRule="atLeast"/>
        </w:trPr>
        <w:tc>
          <w:tcPr>
            <w:tcW w:w="4832" w:type="dxa"/>
            <w:gridSpan w:val="2"/>
            <w:tcBorders>
              <w:left w:val="single" w:color="000000" w:sz="4" w:space="0"/>
            </w:tcBorders>
            <w:vAlign w:val="top"/>
          </w:tcPr>
          <w:p w14:paraId="2078CE4A">
            <w:pPr>
              <w:pStyle w:val="7"/>
              <w:spacing w:before="179" w:line="219" w:lineRule="auto"/>
              <w:ind w:left="1516"/>
            </w:pPr>
            <w:r>
              <w:rPr>
                <w:spacing w:val="-21"/>
              </w:rPr>
              <w:t>吸水率不大于（%）</w:t>
            </w:r>
          </w:p>
        </w:tc>
        <w:tc>
          <w:tcPr>
            <w:tcW w:w="3170" w:type="dxa"/>
            <w:tcBorders>
              <w:right w:val="nil"/>
            </w:tcBorders>
            <w:vAlign w:val="top"/>
          </w:tcPr>
          <w:p w14:paraId="3FFBA8BC">
            <w:pPr>
              <w:pStyle w:val="7"/>
              <w:spacing w:before="179" w:line="236" w:lineRule="auto"/>
              <w:ind w:left="1871"/>
            </w:pPr>
            <w:r>
              <w:rPr>
                <w:spacing w:val="-12"/>
              </w:rPr>
              <w:t>2．0</w:t>
            </w:r>
          </w:p>
        </w:tc>
        <w:tc>
          <w:tcPr>
            <w:tcW w:w="1011" w:type="dxa"/>
            <w:tcBorders>
              <w:left w:val="nil"/>
              <w:right w:val="single" w:color="000000" w:sz="4" w:space="0"/>
            </w:tcBorders>
            <w:vAlign w:val="top"/>
          </w:tcPr>
          <w:p w14:paraId="30041C5E">
            <w:pPr>
              <w:spacing w:line="64" w:lineRule="exact"/>
              <w:ind w:firstLine="972"/>
            </w:pPr>
            <w:r>
              <w:rPr>
                <w:position w:val="-1"/>
              </w:rPr>
              <w:pict>
                <v:group id="_x0000_s1718" o:spid="_x0000_s1718" o:spt="203" style="height:3.4pt;width:1.45pt;" coordsize="29,68">
                  <o:lock v:ext="edit"/>
                  <v:shape id="_x0000_s1719" o:spid="_x0000_s1719" style="position:absolute;left:14;top:0;height:68;width:15;" fillcolor="#20507B" filled="t" stroked="f" coordsize="15,68" path="m0,67l14,67,14,0,0,0,0,67xe">
                    <v:path/>
                    <v:fill on="t" focussize="0,0"/>
                    <v:stroke on="f"/>
                    <v:imagedata o:title=""/>
                    <o:lock v:ext="edit"/>
                  </v:shape>
                  <v:shape id="_x0000_s1720" o:spid="_x0000_s1720" style="position:absolute;left:0;top:0;height:68;width:15;" fillcolor="#1C456A" filled="t" stroked="f" coordsize="15,68" path="m0,67l14,67,14,0,0,0,0,67xe">
                    <v:path/>
                    <v:fill on="t" focussize="0,0"/>
                    <v:stroke on="f"/>
                    <v:imagedata o:title=""/>
                    <o:lock v:ext="edit"/>
                  </v:shape>
                  <w10:wrap type="none"/>
                  <w10:anchorlock/>
                </v:group>
              </w:pict>
            </w:r>
          </w:p>
        </w:tc>
      </w:tr>
      <w:tr w14:paraId="6AD774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0" w:hRule="atLeast"/>
        </w:trPr>
        <w:tc>
          <w:tcPr>
            <w:tcW w:w="4832" w:type="dxa"/>
            <w:gridSpan w:val="2"/>
            <w:tcBorders>
              <w:left w:val="single" w:color="1C456A" w:sz="4" w:space="0"/>
              <w:bottom w:val="single" w:color="1C456A" w:sz="4" w:space="0"/>
            </w:tcBorders>
            <w:vAlign w:val="top"/>
          </w:tcPr>
          <w:p w14:paraId="5180E569">
            <w:pPr>
              <w:pStyle w:val="7"/>
              <w:spacing w:before="178" w:line="216" w:lineRule="auto"/>
              <w:ind w:left="1070"/>
            </w:pPr>
            <w:r>
              <w:pict>
                <v:shape id="_x0000_s1721" o:spid="_x0000_s1721" style="position:absolute;left:0pt;margin-left:-0.2pt;margin-top:39.05pt;height:0.75pt;width:2.2pt;mso-position-horizontal-relative:page;mso-position-vertical-relative:page;z-index:251814912;mso-width-relative:page;mso-height-relative:page;" fillcolor="#5B9BD5" filled="t" stroked="f" coordsize="44,15" path="m0,14l43,14,43,0,0,0,0,14xe">
                  <v:path/>
                  <v:fill on="t" focussize="0,0"/>
                  <v:stroke on="f"/>
                  <v:imagedata o:title=""/>
                  <o:lock v:ext="edit"/>
                </v:shape>
              </w:pict>
            </w:r>
            <w:r>
              <w:rPr>
                <w:spacing w:val="-20"/>
              </w:rPr>
              <w:t>对沥青的粘附性不大于（%）</w:t>
            </w:r>
          </w:p>
        </w:tc>
        <w:tc>
          <w:tcPr>
            <w:tcW w:w="3170" w:type="dxa"/>
            <w:tcBorders>
              <w:bottom w:val="single" w:color="5B9BD5" w:sz="4" w:space="0"/>
              <w:right w:val="nil"/>
            </w:tcBorders>
            <w:vAlign w:val="top"/>
          </w:tcPr>
          <w:p w14:paraId="7248F544">
            <w:pPr>
              <w:pStyle w:val="7"/>
              <w:spacing w:before="178" w:line="220" w:lineRule="auto"/>
              <w:ind w:left="1893"/>
            </w:pPr>
            <w:r>
              <w:rPr>
                <w:spacing w:val="-4"/>
              </w:rPr>
              <w:t>4级</w:t>
            </w:r>
          </w:p>
        </w:tc>
        <w:tc>
          <w:tcPr>
            <w:tcW w:w="1011" w:type="dxa"/>
            <w:tcBorders>
              <w:left w:val="nil"/>
              <w:bottom w:val="single" w:color="5B9BD5" w:sz="4" w:space="0"/>
              <w:right w:val="single" w:color="5B9BD5" w:sz="4" w:space="0"/>
            </w:tcBorders>
            <w:vAlign w:val="top"/>
          </w:tcPr>
          <w:p w14:paraId="376B8B51">
            <w:pPr>
              <w:spacing w:line="65" w:lineRule="exact"/>
              <w:ind w:firstLine="972"/>
            </w:pPr>
            <w:r>
              <w:rPr>
                <w:position w:val="-1"/>
              </w:rPr>
              <w:pict>
                <v:group id="_x0000_s1722" o:spid="_x0000_s1722" o:spt="203" style="height:3.4pt;width:1.45pt;" coordsize="29,68">
                  <o:lock v:ext="edit"/>
                  <v:shape id="_x0000_s1723" o:spid="_x0000_s1723" style="position:absolute;left:14;top:0;height:68;width:15;" fillcolor="#20507B" filled="t" stroked="f" coordsize="15,68" path="m0,67l14,67,14,0,0,0,0,67xe">
                    <v:path/>
                    <v:fill on="t" focussize="0,0"/>
                    <v:stroke on="f"/>
                    <v:imagedata o:title=""/>
                    <o:lock v:ext="edit"/>
                  </v:shape>
                  <v:shape id="_x0000_s1724" o:spid="_x0000_s1724" style="position:absolute;left:0;top:0;height:68;width:15;" fillcolor="#1C456A" filled="t" stroked="f" coordsize="15,68" path="m0,67l14,67,14,0,0,0,0,67xe">
                    <v:path/>
                    <v:fill on="t" focussize="0,0"/>
                    <v:stroke on="f"/>
                    <v:imagedata o:title=""/>
                    <o:lock v:ext="edit"/>
                  </v:shape>
                  <w10:wrap type="none"/>
                  <w10:anchorlock/>
                </v:group>
              </w:pict>
            </w:r>
          </w:p>
          <w:p w14:paraId="664F2221">
            <w:pPr>
              <w:spacing w:line="338" w:lineRule="auto"/>
              <w:rPr>
                <w:rFonts w:ascii="Arial"/>
                <w:sz w:val="21"/>
              </w:rPr>
            </w:pPr>
          </w:p>
          <w:p w14:paraId="63D21FBB">
            <w:pPr>
              <w:spacing w:line="339" w:lineRule="auto"/>
              <w:rPr>
                <w:rFonts w:ascii="Arial"/>
                <w:sz w:val="21"/>
              </w:rPr>
            </w:pPr>
          </w:p>
          <w:p w14:paraId="4EEA4C8E">
            <w:pPr>
              <w:spacing w:line="22" w:lineRule="exact"/>
              <w:ind w:firstLine="972"/>
            </w:pPr>
            <w:r>
              <w:rPr>
                <w:position w:val="-2"/>
              </w:rPr>
              <w:pict>
                <v:group id="_x0000_s1725" o:spid="_x0000_s1725" o:spt="203" style="height:2.2pt;width:2.2pt;" coordsize="44,44">
                  <o:lock v:ext="edit"/>
                  <v:shape id="_x0000_s1726" o:spid="_x0000_s1726" style="position:absolute;left:0;top:28;height:15;width:44;" fillcolor="#5B9BD5" filled="t" stroked="f" coordsize="44,15" path="m0,14l43,14,43,0,0,0,0,14xe">
                    <v:path/>
                    <v:fill on="t" focussize="0,0"/>
                    <v:stroke on="f"/>
                    <v:imagedata o:title=""/>
                    <o:lock v:ext="edit"/>
                  </v:shape>
                  <v:shape id="_x0000_s1727" o:spid="_x0000_s1727" style="position:absolute;left:14;top:0;height:29;width:15;" fillcolor="#20507B" filled="t" stroked="f" coordsize="15,29" path="m0,28l14,28,14,0,0,0,0,28xe">
                    <v:path/>
                    <v:fill on="t" focussize="0,0"/>
                    <v:stroke on="f"/>
                    <v:imagedata o:title=""/>
                    <o:lock v:ext="edit"/>
                  </v:shape>
                  <w10:wrap type="none"/>
                  <w10:anchorlock/>
                </v:group>
              </w:pict>
            </w:r>
          </w:p>
        </w:tc>
      </w:tr>
    </w:tbl>
    <w:p w14:paraId="77440ED8">
      <w:pPr>
        <w:rPr>
          <w:rFonts w:ascii="Arial"/>
          <w:sz w:val="21"/>
        </w:rPr>
      </w:pPr>
    </w:p>
    <w:p w14:paraId="7CD84DF6">
      <w:pPr>
        <w:rPr>
          <w:rFonts w:ascii="Arial" w:hAnsi="Arial" w:eastAsia="Arial" w:cs="Arial"/>
          <w:sz w:val="21"/>
          <w:szCs w:val="21"/>
        </w:rPr>
        <w:sectPr>
          <w:footerReference r:id="rId92" w:type="default"/>
          <w:pgSz w:w="11907" w:h="16839"/>
          <w:pgMar w:top="954" w:right="4" w:bottom="1038" w:left="0" w:header="499" w:footer="357" w:gutter="0"/>
          <w:pgBorders>
            <w:top w:val="none" w:sz="0" w:space="0"/>
            <w:left w:val="none" w:sz="0" w:space="0"/>
            <w:bottom w:val="none" w:sz="0" w:space="0"/>
            <w:right w:val="none" w:sz="0" w:space="0"/>
          </w:pgBorders>
          <w:cols w:space="720" w:num="1"/>
        </w:sectPr>
      </w:pPr>
    </w:p>
    <w:p w14:paraId="72ED6DA5">
      <w:pPr>
        <w:spacing w:line="214" w:lineRule="exact"/>
      </w:pPr>
    </w:p>
    <w:tbl>
      <w:tblPr>
        <w:tblStyle w:val="6"/>
        <w:tblW w:w="9013" w:type="dxa"/>
        <w:tblInd w:w="144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829"/>
        <w:gridCol w:w="3170"/>
        <w:gridCol w:w="1014"/>
      </w:tblGrid>
      <w:tr w14:paraId="7DA7F9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8" w:hRule="atLeast"/>
        </w:trPr>
        <w:tc>
          <w:tcPr>
            <w:tcW w:w="4829" w:type="dxa"/>
            <w:tcBorders>
              <w:top w:val="single" w:color="000000" w:sz="4" w:space="0"/>
              <w:left w:val="single" w:color="000000" w:sz="4" w:space="0"/>
            </w:tcBorders>
            <w:vAlign w:val="top"/>
          </w:tcPr>
          <w:p w14:paraId="647DAA6E">
            <w:pPr>
              <w:pStyle w:val="7"/>
              <w:spacing w:before="208" w:line="216" w:lineRule="auto"/>
              <w:ind w:left="1510"/>
            </w:pPr>
            <w:r>
              <w:rPr>
                <w:spacing w:val="-20"/>
              </w:rPr>
              <w:t>坚固性不大于（%）</w:t>
            </w:r>
          </w:p>
        </w:tc>
        <w:tc>
          <w:tcPr>
            <w:tcW w:w="4184" w:type="dxa"/>
            <w:gridSpan w:val="2"/>
            <w:tcBorders>
              <w:top w:val="single" w:color="5B9BD5" w:sz="4" w:space="0"/>
              <w:right w:val="single" w:color="5B9BD5" w:sz="4" w:space="0"/>
            </w:tcBorders>
            <w:vAlign w:val="top"/>
          </w:tcPr>
          <w:p w14:paraId="0920531F">
            <w:pPr>
              <w:pStyle w:val="7"/>
              <w:spacing w:before="208" w:line="238" w:lineRule="auto"/>
              <w:ind w:left="1996"/>
            </w:pPr>
            <w:r>
              <w:rPr>
                <w:spacing w:val="-10"/>
              </w:rPr>
              <w:t>12</w:t>
            </w:r>
          </w:p>
        </w:tc>
      </w:tr>
      <w:tr w14:paraId="7E6EE4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0" w:hRule="atLeast"/>
        </w:trPr>
        <w:tc>
          <w:tcPr>
            <w:tcW w:w="4829" w:type="dxa"/>
            <w:tcBorders>
              <w:left w:val="single" w:color="000000" w:sz="4" w:space="0"/>
            </w:tcBorders>
            <w:vAlign w:val="top"/>
          </w:tcPr>
          <w:p w14:paraId="7FB14CC6">
            <w:pPr>
              <w:pStyle w:val="7"/>
              <w:spacing w:before="171" w:line="217" w:lineRule="auto"/>
              <w:ind w:left="965"/>
            </w:pPr>
            <w:r>
              <w:rPr>
                <w:spacing w:val="-21"/>
              </w:rPr>
              <w:t>细长扁平颗粒含量不大于（%）</w:t>
            </w:r>
          </w:p>
        </w:tc>
        <w:tc>
          <w:tcPr>
            <w:tcW w:w="3170" w:type="dxa"/>
            <w:tcBorders>
              <w:right w:val="nil"/>
            </w:tcBorders>
            <w:vAlign w:val="top"/>
          </w:tcPr>
          <w:p w14:paraId="10C3AE5F">
            <w:pPr>
              <w:pStyle w:val="7"/>
              <w:spacing w:before="172" w:line="237" w:lineRule="auto"/>
              <w:ind w:left="1996"/>
            </w:pPr>
            <w:r>
              <w:rPr>
                <w:spacing w:val="-10"/>
              </w:rPr>
              <w:t>10</w:t>
            </w:r>
          </w:p>
        </w:tc>
        <w:tc>
          <w:tcPr>
            <w:tcW w:w="1014" w:type="dxa"/>
            <w:tcBorders>
              <w:left w:val="nil"/>
              <w:right w:val="single" w:color="000000" w:sz="4" w:space="0"/>
            </w:tcBorders>
            <w:vAlign w:val="top"/>
          </w:tcPr>
          <w:p w14:paraId="18BD8C86">
            <w:pPr>
              <w:spacing w:line="59" w:lineRule="exact"/>
              <w:ind w:firstLine="975"/>
            </w:pPr>
            <w:r>
              <w:rPr>
                <w:position w:val="-1"/>
              </w:rPr>
              <w:pict>
                <v:group id="_x0000_s1728" o:spid="_x0000_s1728" o:spt="203" style="height:3.4pt;width:1.45pt;" coordsize="29,68">
                  <o:lock v:ext="edit"/>
                  <v:shape id="_x0000_s1729" o:spid="_x0000_s1729" style="position:absolute;left:14;top:0;height:68;width:15;" fillcolor="#20507B" filled="t" stroked="f" coordsize="15,68" path="m0,67l14,67,14,0,0,0,0,67xe">
                    <v:path/>
                    <v:fill on="t" focussize="0,0"/>
                    <v:stroke on="f"/>
                    <v:imagedata o:title=""/>
                    <o:lock v:ext="edit"/>
                  </v:shape>
                  <v:shape id="_x0000_s1730" o:spid="_x0000_s1730" style="position:absolute;left:0;top:0;height:68;width:15;" fillcolor="#1C456A" filled="t" stroked="f" coordsize="15,68" path="m0,67l14,67,14,0,0,0,0,67xe">
                    <v:path/>
                    <v:fill on="t" focussize="0,0"/>
                    <v:stroke on="f"/>
                    <v:imagedata o:title=""/>
                    <o:lock v:ext="edit"/>
                  </v:shape>
                  <w10:wrap type="none"/>
                  <w10:anchorlock/>
                </v:group>
              </w:pict>
            </w:r>
          </w:p>
        </w:tc>
      </w:tr>
      <w:tr w14:paraId="56E055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2" w:hRule="atLeast"/>
        </w:trPr>
        <w:tc>
          <w:tcPr>
            <w:tcW w:w="4829" w:type="dxa"/>
            <w:tcBorders>
              <w:left w:val="single" w:color="000000" w:sz="4" w:space="0"/>
            </w:tcBorders>
            <w:vAlign w:val="top"/>
          </w:tcPr>
          <w:p w14:paraId="226C02AA">
            <w:pPr>
              <w:pStyle w:val="7"/>
              <w:spacing w:before="175" w:line="217" w:lineRule="auto"/>
              <w:ind w:left="549"/>
            </w:pPr>
            <w:r>
              <w:rPr>
                <w:spacing w:val="-18"/>
              </w:rPr>
              <w:t>水洗法＜0.075mm颗粒含量不大于（%）</w:t>
            </w:r>
          </w:p>
        </w:tc>
        <w:tc>
          <w:tcPr>
            <w:tcW w:w="3170" w:type="dxa"/>
            <w:tcBorders>
              <w:right w:val="nil"/>
            </w:tcBorders>
            <w:vAlign w:val="top"/>
          </w:tcPr>
          <w:p w14:paraId="7FC0DBD6">
            <w:pPr>
              <w:pStyle w:val="7"/>
              <w:spacing w:before="176" w:line="238" w:lineRule="auto"/>
              <w:ind w:left="2052"/>
            </w:pPr>
            <w:r>
              <w:t>1</w:t>
            </w:r>
          </w:p>
        </w:tc>
        <w:tc>
          <w:tcPr>
            <w:tcW w:w="1014" w:type="dxa"/>
            <w:tcBorders>
              <w:left w:val="nil"/>
              <w:right w:val="single" w:color="000000" w:sz="4" w:space="0"/>
            </w:tcBorders>
            <w:vAlign w:val="top"/>
          </w:tcPr>
          <w:p w14:paraId="318C4AA6">
            <w:pPr>
              <w:spacing w:line="60" w:lineRule="exact"/>
              <w:ind w:firstLine="975"/>
            </w:pPr>
            <w:r>
              <w:rPr>
                <w:position w:val="-1"/>
              </w:rPr>
              <w:pict>
                <v:group id="_x0000_s1731" o:spid="_x0000_s1731" o:spt="203" style="height:3.4pt;width:1.45pt;" coordsize="29,68">
                  <o:lock v:ext="edit"/>
                  <v:shape id="_x0000_s1732" o:spid="_x0000_s1732" style="position:absolute;left:14;top:0;height:68;width:15;" fillcolor="#20507B" filled="t" stroked="f" coordsize="15,68" path="m0,67l14,67,14,0,0,0,0,67xe">
                    <v:path/>
                    <v:fill on="t" focussize="0,0"/>
                    <v:stroke on="f"/>
                    <v:imagedata o:title=""/>
                    <o:lock v:ext="edit"/>
                  </v:shape>
                  <v:shape id="_x0000_s1733" o:spid="_x0000_s1733" style="position:absolute;left:0;top:0;height:68;width:15;" fillcolor="#1C456A" filled="t" stroked="f" coordsize="15,68" path="m0,67l14,67,14,0,0,0,0,67xe">
                    <v:path/>
                    <v:fill on="t" focussize="0,0"/>
                    <v:stroke on="f"/>
                    <v:imagedata o:title=""/>
                    <o:lock v:ext="edit"/>
                  </v:shape>
                  <w10:wrap type="none"/>
                  <w10:anchorlock/>
                </v:group>
              </w:pict>
            </w:r>
          </w:p>
        </w:tc>
      </w:tr>
      <w:tr w14:paraId="0FF0F3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2" w:hRule="atLeast"/>
        </w:trPr>
        <w:tc>
          <w:tcPr>
            <w:tcW w:w="4829" w:type="dxa"/>
            <w:tcBorders>
              <w:left w:val="single" w:color="000000" w:sz="4" w:space="0"/>
            </w:tcBorders>
            <w:vAlign w:val="top"/>
          </w:tcPr>
          <w:p w14:paraId="0405217B">
            <w:pPr>
              <w:pStyle w:val="7"/>
              <w:spacing w:before="177" w:line="220" w:lineRule="auto"/>
              <w:ind w:left="1396"/>
            </w:pPr>
            <w:r>
              <w:rPr>
                <w:spacing w:val="-20"/>
              </w:rPr>
              <w:t>软石含量不大于（%）</w:t>
            </w:r>
          </w:p>
        </w:tc>
        <w:tc>
          <w:tcPr>
            <w:tcW w:w="3170" w:type="dxa"/>
            <w:tcBorders>
              <w:right w:val="nil"/>
            </w:tcBorders>
            <w:vAlign w:val="top"/>
          </w:tcPr>
          <w:p w14:paraId="7CD18602">
            <w:pPr>
              <w:pStyle w:val="7"/>
              <w:spacing w:before="177" w:line="237" w:lineRule="auto"/>
              <w:ind w:left="2039"/>
            </w:pPr>
            <w:r>
              <w:t>5</w:t>
            </w:r>
          </w:p>
        </w:tc>
        <w:tc>
          <w:tcPr>
            <w:tcW w:w="1014" w:type="dxa"/>
            <w:tcBorders>
              <w:left w:val="nil"/>
              <w:right w:val="single" w:color="000000" w:sz="4" w:space="0"/>
            </w:tcBorders>
            <w:vAlign w:val="top"/>
          </w:tcPr>
          <w:p w14:paraId="0B095960">
            <w:pPr>
              <w:spacing w:line="62" w:lineRule="exact"/>
              <w:ind w:firstLine="975"/>
            </w:pPr>
            <w:r>
              <w:rPr>
                <w:position w:val="-1"/>
              </w:rPr>
              <w:pict>
                <v:group id="_x0000_s1734" o:spid="_x0000_s1734" o:spt="203" style="height:3.4pt;width:1.45pt;" coordsize="29,68">
                  <o:lock v:ext="edit"/>
                  <v:shape id="_x0000_s1735" o:spid="_x0000_s1735" style="position:absolute;left:14;top:0;height:68;width:15;" fillcolor="#20507B" filled="t" stroked="f" coordsize="15,68" path="m0,67l14,67,14,0,0,0,0,67xe">
                    <v:path/>
                    <v:fill on="t" focussize="0,0"/>
                    <v:stroke on="f"/>
                    <v:imagedata o:title=""/>
                    <o:lock v:ext="edit"/>
                  </v:shape>
                  <v:shape id="_x0000_s1736" o:spid="_x0000_s1736" style="position:absolute;left:0;top:0;height:68;width:15;" fillcolor="#1C456A" filled="t" stroked="f" coordsize="15,68" path="m0,67l14,67,14,0,0,0,0,67xe">
                    <v:path/>
                    <v:fill on="t" focussize="0,0"/>
                    <v:stroke on="f"/>
                    <v:imagedata o:title=""/>
                    <o:lock v:ext="edit"/>
                  </v:shape>
                  <w10:wrap type="none"/>
                  <w10:anchorlock/>
                </v:group>
              </w:pict>
            </w:r>
          </w:p>
        </w:tc>
      </w:tr>
      <w:tr w14:paraId="6BEF67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0" w:hRule="atLeast"/>
        </w:trPr>
        <w:tc>
          <w:tcPr>
            <w:tcW w:w="4829" w:type="dxa"/>
            <w:tcBorders>
              <w:left w:val="single" w:color="000000" w:sz="4" w:space="0"/>
            </w:tcBorders>
            <w:vAlign w:val="top"/>
          </w:tcPr>
          <w:p w14:paraId="65661914">
            <w:pPr>
              <w:pStyle w:val="7"/>
              <w:spacing w:before="177" w:line="216" w:lineRule="auto"/>
              <w:ind w:left="1176"/>
            </w:pPr>
            <w:r>
              <w:rPr>
                <w:spacing w:val="-19"/>
              </w:rPr>
              <w:t>石料磨光值不小于（BPN）</w:t>
            </w:r>
          </w:p>
        </w:tc>
        <w:tc>
          <w:tcPr>
            <w:tcW w:w="3170" w:type="dxa"/>
            <w:tcBorders>
              <w:right w:val="nil"/>
            </w:tcBorders>
            <w:vAlign w:val="top"/>
          </w:tcPr>
          <w:p w14:paraId="3307C474">
            <w:pPr>
              <w:pStyle w:val="7"/>
              <w:spacing w:before="177" w:line="238" w:lineRule="auto"/>
              <w:ind w:left="1978"/>
            </w:pPr>
            <w:r>
              <w:rPr>
                <w:spacing w:val="-5"/>
              </w:rPr>
              <w:t>42</w:t>
            </w:r>
          </w:p>
        </w:tc>
        <w:tc>
          <w:tcPr>
            <w:tcW w:w="1014" w:type="dxa"/>
            <w:tcBorders>
              <w:left w:val="nil"/>
              <w:right w:val="single" w:color="000000" w:sz="4" w:space="0"/>
            </w:tcBorders>
            <w:vAlign w:val="top"/>
          </w:tcPr>
          <w:p w14:paraId="7DE37E2E">
            <w:pPr>
              <w:spacing w:line="64" w:lineRule="exact"/>
              <w:ind w:firstLine="975"/>
            </w:pPr>
            <w:r>
              <w:rPr>
                <w:position w:val="-1"/>
              </w:rPr>
              <w:pict>
                <v:group id="_x0000_s1737" o:spid="_x0000_s1737" o:spt="203" style="height:3.4pt;width:1.45pt;" coordsize="29,68">
                  <o:lock v:ext="edit"/>
                  <v:shape id="_x0000_s1738" o:spid="_x0000_s1738" style="position:absolute;left:14;top:0;height:68;width:15;" fillcolor="#20507B" filled="t" stroked="f" coordsize="15,68" path="m0,67l14,67,14,0,0,0,0,67xe">
                    <v:path/>
                    <v:fill on="t" focussize="0,0"/>
                    <v:stroke on="f"/>
                    <v:imagedata o:title=""/>
                    <o:lock v:ext="edit"/>
                  </v:shape>
                  <v:shape id="_x0000_s1739" o:spid="_x0000_s1739" style="position:absolute;left:0;top:0;height:68;width:15;" fillcolor="#1C456A" filled="t" stroked="f" coordsize="15,68" path="m0,67l14,67,14,0,0,0,0,67xe">
                    <v:path/>
                    <v:fill on="t" focussize="0,0"/>
                    <v:stroke on="f"/>
                    <v:imagedata o:title=""/>
                    <o:lock v:ext="edit"/>
                  </v:shape>
                  <w10:wrap type="none"/>
                  <w10:anchorlock/>
                </v:group>
              </w:pict>
            </w:r>
          </w:p>
        </w:tc>
      </w:tr>
      <w:tr w14:paraId="2FCC7E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3" w:hRule="atLeast"/>
        </w:trPr>
        <w:tc>
          <w:tcPr>
            <w:tcW w:w="4829" w:type="dxa"/>
            <w:tcBorders>
              <w:left w:val="single" w:color="1C456A" w:sz="4" w:space="0"/>
              <w:bottom w:val="single" w:color="1C456A" w:sz="4" w:space="0"/>
            </w:tcBorders>
            <w:vAlign w:val="top"/>
          </w:tcPr>
          <w:p w14:paraId="4BCCD627">
            <w:pPr>
              <w:pStyle w:val="7"/>
              <w:spacing w:before="205" w:line="216" w:lineRule="auto"/>
              <w:ind w:left="1287"/>
            </w:pPr>
            <w:r>
              <w:rPr>
                <w:spacing w:val="-20"/>
              </w:rPr>
              <w:t>石料冲击值不大于（%）</w:t>
            </w:r>
          </w:p>
        </w:tc>
        <w:tc>
          <w:tcPr>
            <w:tcW w:w="3170" w:type="dxa"/>
            <w:tcBorders>
              <w:bottom w:val="single" w:color="5B9BD5" w:sz="4" w:space="0"/>
              <w:right w:val="nil"/>
            </w:tcBorders>
            <w:vAlign w:val="top"/>
          </w:tcPr>
          <w:p w14:paraId="013AF2C6">
            <w:pPr>
              <w:pStyle w:val="7"/>
              <w:spacing w:before="206" w:line="220" w:lineRule="auto"/>
              <w:ind w:left="1300"/>
            </w:pPr>
            <w:r>
              <w:rPr>
                <w:spacing w:val="-9"/>
              </w:rPr>
              <w:t>28（表面层25）</w:t>
            </w:r>
          </w:p>
        </w:tc>
        <w:tc>
          <w:tcPr>
            <w:tcW w:w="1014" w:type="dxa"/>
            <w:tcBorders>
              <w:left w:val="nil"/>
              <w:bottom w:val="single" w:color="5B9BD5" w:sz="4" w:space="0"/>
              <w:right w:val="single" w:color="5B9BD5" w:sz="4" w:space="0"/>
            </w:tcBorders>
            <w:vAlign w:val="top"/>
          </w:tcPr>
          <w:p w14:paraId="1C1E898F">
            <w:pPr>
              <w:spacing w:line="65" w:lineRule="exact"/>
              <w:ind w:firstLine="975"/>
            </w:pPr>
            <w:r>
              <w:rPr>
                <w:position w:val="-1"/>
              </w:rPr>
              <w:pict>
                <v:group id="_x0000_s1740" o:spid="_x0000_s1740" o:spt="203" style="height:3.4pt;width:1.45pt;" coordsize="29,68">
                  <o:lock v:ext="edit"/>
                  <v:shape id="_x0000_s1741" o:spid="_x0000_s1741" style="position:absolute;left:14;top:0;height:68;width:15;" fillcolor="#20507B" filled="t" stroked="f" coordsize="15,68" path="m0,67l14,67,14,0,0,0,0,67xe">
                    <v:path/>
                    <v:fill on="t" focussize="0,0"/>
                    <v:stroke on="f"/>
                    <v:imagedata o:title=""/>
                    <o:lock v:ext="edit"/>
                  </v:shape>
                  <v:shape id="_x0000_s1742" o:spid="_x0000_s1742" style="position:absolute;left:0;top:0;height:68;width:15;" fillcolor="#1C456A" filled="t" stroked="f" coordsize="15,68" path="m0,67l14,67,14,0,0,0,0,67xe">
                    <v:path/>
                    <v:fill on="t" focussize="0,0"/>
                    <v:stroke on="f"/>
                    <v:imagedata o:title=""/>
                    <o:lock v:ext="edit"/>
                  </v:shape>
                  <w10:wrap type="none"/>
                  <w10:anchorlock/>
                </v:group>
              </w:pict>
            </w:r>
          </w:p>
        </w:tc>
      </w:tr>
    </w:tbl>
    <w:p w14:paraId="2D178F6D">
      <w:pPr>
        <w:pStyle w:val="2"/>
        <w:spacing w:before="114" w:line="307" w:lineRule="auto"/>
        <w:ind w:left="1473" w:right="1409" w:firstLine="411"/>
        <w:rPr>
          <w:sz w:val="24"/>
          <w:szCs w:val="24"/>
        </w:rPr>
      </w:pPr>
      <w:r>
        <w:rPr>
          <w:spacing w:val="-17"/>
          <w:sz w:val="24"/>
          <w:szCs w:val="24"/>
        </w:rPr>
        <w:t>4.1.3.1.3当按《市政工程沥青及沥青混合料试</w:t>
      </w:r>
      <w:r>
        <w:rPr>
          <w:spacing w:val="-18"/>
          <w:sz w:val="24"/>
          <w:szCs w:val="24"/>
        </w:rPr>
        <w:t>验规程》（JTJ052-2000）规定的方法试验</w:t>
      </w:r>
      <w:r>
        <w:rPr>
          <w:spacing w:val="-20"/>
          <w:sz w:val="24"/>
          <w:szCs w:val="24"/>
        </w:rPr>
        <w:t>时，沥青与集料的粘附性不低于4级。否则，应掺外掺</w:t>
      </w:r>
      <w:r>
        <w:rPr>
          <w:spacing w:val="-21"/>
          <w:sz w:val="24"/>
          <w:szCs w:val="24"/>
        </w:rPr>
        <w:t>剂。外掺剂的精确比例由实验室确定。</w:t>
      </w:r>
    </w:p>
    <w:p w14:paraId="2ACEFECC">
      <w:pPr>
        <w:pStyle w:val="2"/>
        <w:spacing w:before="1" w:line="216" w:lineRule="auto"/>
        <w:ind w:left="1884"/>
        <w:rPr>
          <w:sz w:val="24"/>
          <w:szCs w:val="24"/>
        </w:rPr>
      </w:pPr>
      <w:r>
        <w:rPr>
          <w:spacing w:val="-12"/>
          <w:sz w:val="24"/>
          <w:szCs w:val="24"/>
        </w:rPr>
        <w:t>4.1.3.2细集料</w:t>
      </w:r>
    </w:p>
    <w:p w14:paraId="60773C9D">
      <w:pPr>
        <w:pStyle w:val="2"/>
        <w:spacing w:before="120" w:line="216" w:lineRule="auto"/>
        <w:ind w:left="1884"/>
        <w:rPr>
          <w:sz w:val="24"/>
          <w:szCs w:val="24"/>
        </w:rPr>
      </w:pPr>
      <w:r>
        <w:rPr>
          <w:spacing w:val="-20"/>
          <w:sz w:val="24"/>
          <w:szCs w:val="24"/>
        </w:rPr>
        <w:t>4.1.3.2.1细集料可采用天然砂、人工砂及石屑，或天然砂和石屑两者的混合料。</w:t>
      </w:r>
    </w:p>
    <w:p w14:paraId="260E435F">
      <w:pPr>
        <w:pStyle w:val="2"/>
        <w:spacing w:before="117" w:line="264" w:lineRule="auto"/>
        <w:ind w:left="1458" w:right="1333" w:firstLine="426"/>
        <w:rPr>
          <w:sz w:val="24"/>
          <w:szCs w:val="24"/>
        </w:rPr>
      </w:pPr>
      <w:r>
        <w:rPr>
          <w:spacing w:val="-24"/>
          <w:sz w:val="24"/>
          <w:szCs w:val="24"/>
        </w:rPr>
        <w:t>4.1.3.2.2细集料应洁净、坚硬、干燥</w:t>
      </w:r>
      <w:r>
        <w:rPr>
          <w:spacing w:val="-25"/>
          <w:sz w:val="24"/>
          <w:szCs w:val="24"/>
        </w:rPr>
        <w:t>、无风化、无杂质或其他有害物质，并有适当的级配。</w:t>
      </w:r>
      <w:r>
        <w:rPr>
          <w:spacing w:val="-17"/>
          <w:sz w:val="24"/>
          <w:szCs w:val="24"/>
        </w:rPr>
        <w:t>含泥量＜1%。</w:t>
      </w:r>
    </w:p>
    <w:p w14:paraId="534ED6F5">
      <w:pPr>
        <w:pStyle w:val="2"/>
        <w:spacing w:before="115" w:line="216" w:lineRule="auto"/>
        <w:ind w:left="1884"/>
        <w:rPr>
          <w:sz w:val="24"/>
          <w:szCs w:val="24"/>
        </w:rPr>
      </w:pPr>
      <w:r>
        <w:rPr>
          <w:spacing w:val="-19"/>
          <w:sz w:val="24"/>
          <w:szCs w:val="24"/>
        </w:rPr>
        <w:t>4.1.3.2.3天然砂、石屑的规格和细集料质量技术要求，应符合下表要求：</w:t>
      </w:r>
    </w:p>
    <w:p w14:paraId="552AF288">
      <w:pPr>
        <w:pStyle w:val="2"/>
        <w:spacing w:before="119" w:line="218" w:lineRule="auto"/>
        <w:ind w:left="1896"/>
        <w:rPr>
          <w:sz w:val="24"/>
          <w:szCs w:val="24"/>
        </w:rPr>
      </w:pPr>
      <w:r>
        <w:rPr>
          <w:spacing w:val="-20"/>
          <w:sz w:val="24"/>
          <w:szCs w:val="24"/>
        </w:rPr>
        <w:t>沥青面层用天然砂规格</w:t>
      </w:r>
    </w:p>
    <w:p w14:paraId="3B9BC18C">
      <w:pPr>
        <w:spacing w:line="20" w:lineRule="auto"/>
        <w:rPr>
          <w:rFonts w:ascii="Arial"/>
          <w:sz w:val="2"/>
        </w:rPr>
      </w:pPr>
    </w:p>
    <w:tbl>
      <w:tblPr>
        <w:tblStyle w:val="6"/>
        <w:tblW w:w="9277" w:type="dxa"/>
        <w:tblInd w:w="131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55"/>
        <w:gridCol w:w="1879"/>
        <w:gridCol w:w="2309"/>
        <w:gridCol w:w="2309"/>
        <w:gridCol w:w="500"/>
        <w:gridCol w:w="1305"/>
        <w:gridCol w:w="520"/>
      </w:tblGrid>
      <w:tr w14:paraId="39A134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0" w:hRule="atLeast"/>
        </w:trPr>
        <w:tc>
          <w:tcPr>
            <w:tcW w:w="455" w:type="dxa"/>
            <w:vMerge w:val="restart"/>
            <w:tcBorders>
              <w:top w:val="single" w:color="000000" w:sz="4" w:space="0"/>
              <w:left w:val="single" w:color="000000" w:sz="4" w:space="0"/>
              <w:bottom w:val="nil"/>
              <w:right w:val="nil"/>
            </w:tcBorders>
            <w:shd w:val="clear" w:color="auto" w:fill="DEEAF6"/>
            <w:vAlign w:val="top"/>
          </w:tcPr>
          <w:p w14:paraId="610F9960">
            <w:pPr>
              <w:rPr>
                <w:rFonts w:ascii="Arial"/>
                <w:sz w:val="21"/>
              </w:rPr>
            </w:pPr>
            <w:r>
              <w:pict>
                <v:shape id="_x0000_s1743" o:spid="_x0000_s1743" style="position:absolute;left:0pt;margin-left:-0.25pt;margin-top:0pt;height:0.75pt;width:2.2pt;mso-position-horizontal-relative:page;mso-position-vertical-relative:page;z-index:251820032;mso-width-relative:page;mso-height-relative:page;" fillcolor="#5B9BD5" filled="t" stroked="f" coordsize="44,15" path="m0,14l43,14,43,0,0,0,0,14xe">
                  <v:path/>
                  <v:fill on="t" focussize="0,0"/>
                  <v:stroke on="f"/>
                  <v:imagedata o:title=""/>
                  <o:lock v:ext="edit"/>
                </v:shape>
              </w:pict>
            </w:r>
          </w:p>
        </w:tc>
        <w:tc>
          <w:tcPr>
            <w:tcW w:w="1879" w:type="dxa"/>
            <w:vMerge w:val="restart"/>
            <w:tcBorders>
              <w:top w:val="single" w:color="000000" w:sz="4" w:space="0"/>
              <w:left w:val="nil"/>
              <w:bottom w:val="nil"/>
            </w:tcBorders>
            <w:shd w:val="clear" w:color="auto" w:fill="DEEAF6"/>
            <w:vAlign w:val="top"/>
          </w:tcPr>
          <w:p w14:paraId="3F610C48">
            <w:pPr>
              <w:spacing w:line="344" w:lineRule="auto"/>
              <w:rPr>
                <w:rFonts w:ascii="Arial"/>
                <w:sz w:val="21"/>
              </w:rPr>
            </w:pPr>
          </w:p>
          <w:p w14:paraId="00037079">
            <w:pPr>
              <w:pStyle w:val="7"/>
              <w:spacing w:before="78" w:line="218" w:lineRule="auto"/>
              <w:ind w:left="408"/>
            </w:pPr>
            <w:r>
              <w:rPr>
                <w:b/>
                <w:bCs/>
                <w:spacing w:val="-17"/>
              </w:rPr>
              <w:t>方孔筛</w:t>
            </w:r>
          </w:p>
        </w:tc>
        <w:tc>
          <w:tcPr>
            <w:tcW w:w="5118" w:type="dxa"/>
            <w:gridSpan w:val="3"/>
            <w:tcBorders>
              <w:top w:val="single" w:color="5B9BD5" w:sz="4" w:space="0"/>
              <w:right w:val="nil"/>
            </w:tcBorders>
            <w:shd w:val="clear" w:color="auto" w:fill="DEEAF6"/>
            <w:vAlign w:val="top"/>
          </w:tcPr>
          <w:p w14:paraId="09674520">
            <w:pPr>
              <w:pStyle w:val="7"/>
              <w:spacing w:before="129" w:line="218" w:lineRule="auto"/>
              <w:ind w:left="1999"/>
            </w:pPr>
            <w:r>
              <w:rPr>
                <w:b/>
                <w:bCs/>
                <w:spacing w:val="-22"/>
              </w:rPr>
              <w:t>通过各筛孔的质量面分率（%）</w:t>
            </w:r>
          </w:p>
        </w:tc>
        <w:tc>
          <w:tcPr>
            <w:tcW w:w="1825" w:type="dxa"/>
            <w:gridSpan w:val="2"/>
            <w:tcBorders>
              <w:top w:val="single" w:color="5B9BD5" w:sz="4" w:space="0"/>
              <w:left w:val="nil"/>
              <w:right w:val="single" w:color="5B9BD5" w:sz="4" w:space="0"/>
            </w:tcBorders>
            <w:shd w:val="clear" w:color="auto" w:fill="DEEAF6"/>
            <w:vAlign w:val="top"/>
          </w:tcPr>
          <w:p w14:paraId="3E8DE880">
            <w:pPr>
              <w:rPr>
                <w:rFonts w:ascii="Arial"/>
                <w:sz w:val="21"/>
              </w:rPr>
            </w:pPr>
            <w:r>
              <w:pict>
                <v:shape id="_x0000_s1744" o:spid="_x0000_s1744" style="position:absolute;left:0pt;margin-left:89.35pt;margin-top:0pt;height:0.75pt;width:2.2pt;mso-position-horizontal-relative:page;mso-position-vertical-relative:page;z-index:251819008;mso-width-relative:page;mso-height-relative:page;" fillcolor="#5B9BD5" filled="t" stroked="f" coordsize="44,15" path="m0,14l43,14,43,0,0,0,0,14xe">
                  <v:path/>
                  <v:fill on="t" focussize="0,0"/>
                  <v:stroke on="f"/>
                  <v:imagedata o:title=""/>
                  <o:lock v:ext="edit"/>
                </v:shape>
              </w:pict>
            </w:r>
          </w:p>
        </w:tc>
      </w:tr>
      <w:tr w14:paraId="2ED34D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5" w:hRule="atLeast"/>
        </w:trPr>
        <w:tc>
          <w:tcPr>
            <w:tcW w:w="455" w:type="dxa"/>
            <w:vMerge w:val="continue"/>
            <w:tcBorders>
              <w:top w:val="nil"/>
              <w:left w:val="single" w:color="000000" w:sz="4" w:space="0"/>
              <w:right w:val="nil"/>
            </w:tcBorders>
            <w:vAlign w:val="top"/>
          </w:tcPr>
          <w:p w14:paraId="543E413C">
            <w:pPr>
              <w:rPr>
                <w:rFonts w:ascii="Arial"/>
                <w:sz w:val="21"/>
              </w:rPr>
            </w:pPr>
          </w:p>
        </w:tc>
        <w:tc>
          <w:tcPr>
            <w:tcW w:w="1879" w:type="dxa"/>
            <w:vMerge w:val="continue"/>
            <w:tcBorders>
              <w:top w:val="nil"/>
              <w:left w:val="nil"/>
            </w:tcBorders>
            <w:vAlign w:val="top"/>
          </w:tcPr>
          <w:p w14:paraId="242BC1FA">
            <w:pPr>
              <w:rPr>
                <w:rFonts w:ascii="Arial"/>
                <w:sz w:val="21"/>
              </w:rPr>
            </w:pPr>
          </w:p>
        </w:tc>
        <w:tc>
          <w:tcPr>
            <w:tcW w:w="2309" w:type="dxa"/>
            <w:vAlign w:val="top"/>
          </w:tcPr>
          <w:p w14:paraId="26BE134A">
            <w:pPr>
              <w:pStyle w:val="7"/>
              <w:spacing w:before="94" w:line="218" w:lineRule="auto"/>
              <w:ind w:left="943"/>
            </w:pPr>
            <w:r>
              <w:rPr>
                <w:spacing w:val="-8"/>
              </w:rPr>
              <w:t>粗砂</w:t>
            </w:r>
          </w:p>
        </w:tc>
        <w:tc>
          <w:tcPr>
            <w:tcW w:w="2309" w:type="dxa"/>
            <w:vAlign w:val="top"/>
          </w:tcPr>
          <w:p w14:paraId="5C949501">
            <w:pPr>
              <w:pStyle w:val="7"/>
              <w:spacing w:before="94" w:line="218" w:lineRule="auto"/>
              <w:ind w:left="977"/>
            </w:pPr>
            <w:r>
              <w:rPr>
                <w:spacing w:val="-18"/>
              </w:rPr>
              <w:t>中砂</w:t>
            </w:r>
          </w:p>
        </w:tc>
        <w:tc>
          <w:tcPr>
            <w:tcW w:w="2325" w:type="dxa"/>
            <w:gridSpan w:val="3"/>
            <w:tcBorders>
              <w:right w:val="single" w:color="000000" w:sz="4" w:space="0"/>
            </w:tcBorders>
            <w:vAlign w:val="top"/>
          </w:tcPr>
          <w:p w14:paraId="38C85E88">
            <w:pPr>
              <w:pStyle w:val="7"/>
              <w:spacing w:before="94" w:line="220" w:lineRule="auto"/>
              <w:ind w:left="953"/>
            </w:pPr>
            <w:r>
              <w:rPr>
                <w:spacing w:val="-11"/>
              </w:rPr>
              <w:t>细砂</w:t>
            </w:r>
          </w:p>
        </w:tc>
      </w:tr>
      <w:tr w14:paraId="7A8F07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4" w:hRule="atLeast"/>
        </w:trPr>
        <w:tc>
          <w:tcPr>
            <w:tcW w:w="2334" w:type="dxa"/>
            <w:gridSpan w:val="2"/>
            <w:tcBorders>
              <w:left w:val="single" w:color="000000" w:sz="4" w:space="0"/>
            </w:tcBorders>
            <w:vAlign w:val="top"/>
          </w:tcPr>
          <w:p w14:paraId="259B2E30">
            <w:pPr>
              <w:pStyle w:val="7"/>
              <w:spacing w:before="100" w:line="236" w:lineRule="auto"/>
              <w:ind w:left="1012"/>
            </w:pPr>
            <w:r>
              <w:rPr>
                <w:spacing w:val="-8"/>
              </w:rPr>
              <w:t>9.5</w:t>
            </w:r>
          </w:p>
        </w:tc>
        <w:tc>
          <w:tcPr>
            <w:tcW w:w="2309" w:type="dxa"/>
            <w:vAlign w:val="top"/>
          </w:tcPr>
          <w:p w14:paraId="23238B1E">
            <w:pPr>
              <w:pStyle w:val="7"/>
              <w:spacing w:before="99" w:line="237" w:lineRule="auto"/>
              <w:ind w:left="1009"/>
            </w:pPr>
            <w:r>
              <w:rPr>
                <w:spacing w:val="-12"/>
              </w:rPr>
              <w:t>100</w:t>
            </w:r>
          </w:p>
        </w:tc>
        <w:tc>
          <w:tcPr>
            <w:tcW w:w="2309" w:type="dxa"/>
            <w:vAlign w:val="top"/>
          </w:tcPr>
          <w:p w14:paraId="08EC92F2">
            <w:pPr>
              <w:pStyle w:val="7"/>
              <w:spacing w:before="99" w:line="237" w:lineRule="auto"/>
              <w:ind w:left="1011"/>
            </w:pPr>
            <w:r>
              <w:rPr>
                <w:spacing w:val="-12"/>
              </w:rPr>
              <w:t>100</w:t>
            </w:r>
          </w:p>
        </w:tc>
        <w:tc>
          <w:tcPr>
            <w:tcW w:w="2325" w:type="dxa"/>
            <w:gridSpan w:val="3"/>
            <w:tcBorders>
              <w:right w:val="single" w:color="000000" w:sz="4" w:space="0"/>
            </w:tcBorders>
            <w:vAlign w:val="top"/>
          </w:tcPr>
          <w:p w14:paraId="2EA3DF42">
            <w:pPr>
              <w:pStyle w:val="7"/>
              <w:spacing w:before="99" w:line="237" w:lineRule="auto"/>
              <w:ind w:left="1014"/>
            </w:pPr>
            <w:r>
              <w:rPr>
                <w:spacing w:val="-13"/>
              </w:rPr>
              <w:t>100</w:t>
            </w:r>
          </w:p>
        </w:tc>
      </w:tr>
      <w:tr w14:paraId="30E0FB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4" w:hRule="atLeast"/>
        </w:trPr>
        <w:tc>
          <w:tcPr>
            <w:tcW w:w="2334" w:type="dxa"/>
            <w:gridSpan w:val="2"/>
            <w:tcBorders>
              <w:left w:val="single" w:color="000000" w:sz="4" w:space="0"/>
            </w:tcBorders>
            <w:vAlign w:val="top"/>
          </w:tcPr>
          <w:p w14:paraId="16CF4F2B">
            <w:pPr>
              <w:pStyle w:val="7"/>
              <w:spacing w:before="96" w:line="236" w:lineRule="auto"/>
              <w:ind w:left="954"/>
            </w:pPr>
            <w:r>
              <w:rPr>
                <w:spacing w:val="-8"/>
              </w:rPr>
              <w:t>4.75</w:t>
            </w:r>
          </w:p>
        </w:tc>
        <w:tc>
          <w:tcPr>
            <w:tcW w:w="2309" w:type="dxa"/>
            <w:vAlign w:val="top"/>
          </w:tcPr>
          <w:p w14:paraId="5AA34337">
            <w:pPr>
              <w:pStyle w:val="7"/>
              <w:spacing w:before="96" w:line="237" w:lineRule="auto"/>
              <w:ind w:left="829"/>
            </w:pPr>
            <w:r>
              <w:rPr>
                <w:spacing w:val="-10"/>
              </w:rPr>
              <w:t>90-100</w:t>
            </w:r>
          </w:p>
        </w:tc>
        <w:tc>
          <w:tcPr>
            <w:tcW w:w="2309" w:type="dxa"/>
            <w:vAlign w:val="top"/>
          </w:tcPr>
          <w:p w14:paraId="6E351D71">
            <w:pPr>
              <w:pStyle w:val="7"/>
              <w:spacing w:before="96" w:line="237" w:lineRule="auto"/>
              <w:ind w:left="831"/>
            </w:pPr>
            <w:r>
              <w:rPr>
                <w:spacing w:val="-10"/>
              </w:rPr>
              <w:t>90-100</w:t>
            </w:r>
          </w:p>
        </w:tc>
        <w:tc>
          <w:tcPr>
            <w:tcW w:w="2325" w:type="dxa"/>
            <w:gridSpan w:val="3"/>
            <w:tcBorders>
              <w:right w:val="single" w:color="000000" w:sz="4" w:space="0"/>
            </w:tcBorders>
            <w:vAlign w:val="top"/>
          </w:tcPr>
          <w:p w14:paraId="4F485304">
            <w:pPr>
              <w:pStyle w:val="7"/>
              <w:spacing w:before="96" w:line="237" w:lineRule="auto"/>
              <w:ind w:left="834"/>
            </w:pPr>
            <w:r>
              <w:rPr>
                <w:spacing w:val="-10"/>
              </w:rPr>
              <w:t>90-100</w:t>
            </w:r>
          </w:p>
        </w:tc>
      </w:tr>
      <w:tr w14:paraId="070AC5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5" w:hRule="atLeast"/>
        </w:trPr>
        <w:tc>
          <w:tcPr>
            <w:tcW w:w="2334" w:type="dxa"/>
            <w:gridSpan w:val="2"/>
            <w:tcBorders>
              <w:left w:val="single" w:color="000000" w:sz="4" w:space="0"/>
            </w:tcBorders>
            <w:vAlign w:val="top"/>
          </w:tcPr>
          <w:p w14:paraId="0049B39C">
            <w:pPr>
              <w:pStyle w:val="7"/>
              <w:spacing w:before="97" w:line="236" w:lineRule="auto"/>
              <w:ind w:left="958"/>
            </w:pPr>
            <w:r>
              <w:rPr>
                <w:spacing w:val="-9"/>
              </w:rPr>
              <w:t>2.36</w:t>
            </w:r>
          </w:p>
        </w:tc>
        <w:tc>
          <w:tcPr>
            <w:tcW w:w="2309" w:type="dxa"/>
            <w:vAlign w:val="top"/>
          </w:tcPr>
          <w:p w14:paraId="1624903E">
            <w:pPr>
              <w:pStyle w:val="7"/>
              <w:spacing w:before="97" w:line="237" w:lineRule="auto"/>
              <w:ind w:left="885"/>
            </w:pPr>
            <w:r>
              <w:rPr>
                <w:spacing w:val="-10"/>
              </w:rPr>
              <w:t>65-95</w:t>
            </w:r>
          </w:p>
        </w:tc>
        <w:tc>
          <w:tcPr>
            <w:tcW w:w="2309" w:type="dxa"/>
            <w:vAlign w:val="top"/>
          </w:tcPr>
          <w:p w14:paraId="6F26CC83">
            <w:pPr>
              <w:pStyle w:val="7"/>
              <w:spacing w:before="97" w:line="237" w:lineRule="auto"/>
              <w:ind w:left="836"/>
            </w:pPr>
            <w:r>
              <w:rPr>
                <w:spacing w:val="-10"/>
              </w:rPr>
              <w:t>75-100</w:t>
            </w:r>
          </w:p>
        </w:tc>
        <w:tc>
          <w:tcPr>
            <w:tcW w:w="2325" w:type="dxa"/>
            <w:gridSpan w:val="3"/>
            <w:tcBorders>
              <w:right w:val="single" w:color="000000" w:sz="4" w:space="0"/>
            </w:tcBorders>
            <w:vAlign w:val="top"/>
          </w:tcPr>
          <w:p w14:paraId="24F9548C">
            <w:pPr>
              <w:pStyle w:val="7"/>
              <w:spacing w:before="97" w:line="237" w:lineRule="auto"/>
              <w:ind w:left="834"/>
            </w:pPr>
            <w:r>
              <w:rPr>
                <w:spacing w:val="-10"/>
              </w:rPr>
              <w:t>85-100</w:t>
            </w:r>
          </w:p>
        </w:tc>
      </w:tr>
      <w:tr w14:paraId="0BA421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5" w:hRule="atLeast"/>
        </w:trPr>
        <w:tc>
          <w:tcPr>
            <w:tcW w:w="2334" w:type="dxa"/>
            <w:gridSpan w:val="2"/>
            <w:tcBorders>
              <w:left w:val="single" w:color="000000" w:sz="4" w:space="0"/>
            </w:tcBorders>
            <w:vAlign w:val="top"/>
          </w:tcPr>
          <w:p w14:paraId="77304AF1">
            <w:pPr>
              <w:pStyle w:val="7"/>
              <w:spacing w:before="98" w:line="236" w:lineRule="auto"/>
              <w:ind w:left="973"/>
            </w:pPr>
            <w:r>
              <w:rPr>
                <w:spacing w:val="-13"/>
              </w:rPr>
              <w:t>1.18</w:t>
            </w:r>
          </w:p>
        </w:tc>
        <w:tc>
          <w:tcPr>
            <w:tcW w:w="2309" w:type="dxa"/>
            <w:vAlign w:val="top"/>
          </w:tcPr>
          <w:p w14:paraId="1885D09D">
            <w:pPr>
              <w:pStyle w:val="7"/>
              <w:spacing w:before="97" w:line="237" w:lineRule="auto"/>
              <w:ind w:left="888"/>
            </w:pPr>
            <w:r>
              <w:rPr>
                <w:spacing w:val="-10"/>
              </w:rPr>
              <w:t>35-65</w:t>
            </w:r>
          </w:p>
        </w:tc>
        <w:tc>
          <w:tcPr>
            <w:tcW w:w="2309" w:type="dxa"/>
            <w:vAlign w:val="top"/>
          </w:tcPr>
          <w:p w14:paraId="219F798C">
            <w:pPr>
              <w:pStyle w:val="7"/>
              <w:spacing w:before="97" w:line="237" w:lineRule="auto"/>
              <w:ind w:left="890"/>
            </w:pPr>
            <w:r>
              <w:rPr>
                <w:spacing w:val="-10"/>
              </w:rPr>
              <w:t>50-90</w:t>
            </w:r>
          </w:p>
        </w:tc>
        <w:tc>
          <w:tcPr>
            <w:tcW w:w="2325" w:type="dxa"/>
            <w:gridSpan w:val="3"/>
            <w:tcBorders>
              <w:right w:val="single" w:color="000000" w:sz="4" w:space="0"/>
            </w:tcBorders>
            <w:vAlign w:val="top"/>
          </w:tcPr>
          <w:p w14:paraId="175D28FC">
            <w:pPr>
              <w:pStyle w:val="7"/>
              <w:spacing w:before="97" w:line="237" w:lineRule="auto"/>
              <w:ind w:left="839"/>
            </w:pPr>
            <w:r>
              <w:rPr>
                <w:spacing w:val="-10"/>
              </w:rPr>
              <w:t>75-100</w:t>
            </w:r>
          </w:p>
        </w:tc>
      </w:tr>
      <w:tr w14:paraId="6BB2DD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4" w:hRule="atLeast"/>
        </w:trPr>
        <w:tc>
          <w:tcPr>
            <w:tcW w:w="2334" w:type="dxa"/>
            <w:gridSpan w:val="2"/>
            <w:tcBorders>
              <w:left w:val="single" w:color="000000" w:sz="4" w:space="0"/>
            </w:tcBorders>
            <w:vAlign w:val="top"/>
          </w:tcPr>
          <w:p w14:paraId="4DC73819">
            <w:pPr>
              <w:pStyle w:val="7"/>
              <w:spacing w:before="103" w:line="236" w:lineRule="auto"/>
              <w:ind w:left="1013"/>
            </w:pPr>
            <w:r>
              <w:rPr>
                <w:spacing w:val="-8"/>
              </w:rPr>
              <w:t>0.6</w:t>
            </w:r>
          </w:p>
        </w:tc>
        <w:tc>
          <w:tcPr>
            <w:tcW w:w="2309" w:type="dxa"/>
            <w:vAlign w:val="top"/>
          </w:tcPr>
          <w:p w14:paraId="3DDE0B32">
            <w:pPr>
              <w:pStyle w:val="7"/>
              <w:spacing w:before="103" w:line="237" w:lineRule="auto"/>
              <w:ind w:left="901"/>
            </w:pPr>
            <w:r>
              <w:rPr>
                <w:spacing w:val="-13"/>
              </w:rPr>
              <w:t>15-29</w:t>
            </w:r>
          </w:p>
        </w:tc>
        <w:tc>
          <w:tcPr>
            <w:tcW w:w="2309" w:type="dxa"/>
            <w:vAlign w:val="top"/>
          </w:tcPr>
          <w:p w14:paraId="32668A74">
            <w:pPr>
              <w:pStyle w:val="7"/>
              <w:spacing w:before="103" w:line="237" w:lineRule="auto"/>
              <w:ind w:left="890"/>
            </w:pPr>
            <w:r>
              <w:rPr>
                <w:spacing w:val="-10"/>
              </w:rPr>
              <w:t>30-59</w:t>
            </w:r>
          </w:p>
        </w:tc>
        <w:tc>
          <w:tcPr>
            <w:tcW w:w="2325" w:type="dxa"/>
            <w:gridSpan w:val="3"/>
            <w:tcBorders>
              <w:right w:val="single" w:color="000000" w:sz="4" w:space="0"/>
            </w:tcBorders>
            <w:vAlign w:val="top"/>
          </w:tcPr>
          <w:p w14:paraId="534FD4C7">
            <w:pPr>
              <w:pStyle w:val="7"/>
              <w:spacing w:before="103" w:line="237" w:lineRule="auto"/>
              <w:ind w:left="890"/>
            </w:pPr>
            <w:r>
              <w:rPr>
                <w:spacing w:val="-10"/>
              </w:rPr>
              <w:t>60-84</w:t>
            </w:r>
          </w:p>
        </w:tc>
      </w:tr>
      <w:tr w14:paraId="66E637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4" w:hRule="atLeast"/>
        </w:trPr>
        <w:tc>
          <w:tcPr>
            <w:tcW w:w="2334" w:type="dxa"/>
            <w:gridSpan w:val="2"/>
            <w:tcBorders>
              <w:left w:val="single" w:color="000000" w:sz="4" w:space="0"/>
            </w:tcBorders>
            <w:vAlign w:val="top"/>
          </w:tcPr>
          <w:p w14:paraId="192EDB56">
            <w:pPr>
              <w:pStyle w:val="7"/>
              <w:spacing w:before="100" w:line="236" w:lineRule="auto"/>
              <w:ind w:left="1013"/>
            </w:pPr>
            <w:r>
              <w:rPr>
                <w:spacing w:val="-8"/>
              </w:rPr>
              <w:t>0.3</w:t>
            </w:r>
          </w:p>
        </w:tc>
        <w:tc>
          <w:tcPr>
            <w:tcW w:w="2309" w:type="dxa"/>
            <w:vAlign w:val="top"/>
          </w:tcPr>
          <w:p w14:paraId="161CF8BD">
            <w:pPr>
              <w:pStyle w:val="7"/>
              <w:spacing w:before="99" w:line="237" w:lineRule="auto"/>
              <w:ind w:left="941"/>
            </w:pPr>
            <w:r>
              <w:rPr>
                <w:spacing w:val="-9"/>
              </w:rPr>
              <w:t>5-20</w:t>
            </w:r>
          </w:p>
        </w:tc>
        <w:tc>
          <w:tcPr>
            <w:tcW w:w="2309" w:type="dxa"/>
            <w:vAlign w:val="top"/>
          </w:tcPr>
          <w:p w14:paraId="13623E01">
            <w:pPr>
              <w:pStyle w:val="7"/>
              <w:spacing w:before="99" w:line="237" w:lineRule="auto"/>
              <w:ind w:left="939"/>
            </w:pPr>
            <w:r>
              <w:rPr>
                <w:spacing w:val="-9"/>
              </w:rPr>
              <w:t>8-30</w:t>
            </w:r>
          </w:p>
        </w:tc>
        <w:tc>
          <w:tcPr>
            <w:tcW w:w="2325" w:type="dxa"/>
            <w:gridSpan w:val="3"/>
            <w:tcBorders>
              <w:right w:val="single" w:color="000000" w:sz="4" w:space="0"/>
            </w:tcBorders>
            <w:vAlign w:val="top"/>
          </w:tcPr>
          <w:p w14:paraId="265BCB59">
            <w:pPr>
              <w:pStyle w:val="7"/>
              <w:spacing w:before="99" w:line="237" w:lineRule="auto"/>
              <w:ind w:left="906"/>
            </w:pPr>
            <w:r>
              <w:rPr>
                <w:spacing w:val="-13"/>
              </w:rPr>
              <w:t>15-45</w:t>
            </w:r>
          </w:p>
        </w:tc>
      </w:tr>
      <w:tr w14:paraId="026FEC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4" w:hRule="atLeast"/>
        </w:trPr>
        <w:tc>
          <w:tcPr>
            <w:tcW w:w="2334" w:type="dxa"/>
            <w:gridSpan w:val="2"/>
            <w:tcBorders>
              <w:left w:val="single" w:color="000000" w:sz="4" w:space="0"/>
            </w:tcBorders>
            <w:vAlign w:val="top"/>
          </w:tcPr>
          <w:p w14:paraId="27C6716D">
            <w:pPr>
              <w:pStyle w:val="7"/>
              <w:spacing w:before="101" w:line="236" w:lineRule="auto"/>
              <w:ind w:left="957"/>
            </w:pPr>
            <w:r>
              <w:rPr>
                <w:spacing w:val="-9"/>
              </w:rPr>
              <w:t>0.15</w:t>
            </w:r>
          </w:p>
        </w:tc>
        <w:tc>
          <w:tcPr>
            <w:tcW w:w="2309" w:type="dxa"/>
            <w:vAlign w:val="top"/>
          </w:tcPr>
          <w:p w14:paraId="256F4C32">
            <w:pPr>
              <w:pStyle w:val="7"/>
              <w:spacing w:before="101" w:line="237" w:lineRule="auto"/>
              <w:ind w:left="938"/>
            </w:pPr>
            <w:r>
              <w:rPr>
                <w:spacing w:val="-9"/>
              </w:rPr>
              <w:t>0-10</w:t>
            </w:r>
          </w:p>
        </w:tc>
        <w:tc>
          <w:tcPr>
            <w:tcW w:w="2309" w:type="dxa"/>
            <w:vAlign w:val="top"/>
          </w:tcPr>
          <w:p w14:paraId="6370F362">
            <w:pPr>
              <w:pStyle w:val="7"/>
              <w:spacing w:before="101" w:line="237" w:lineRule="auto"/>
              <w:ind w:left="940"/>
            </w:pPr>
            <w:r>
              <w:rPr>
                <w:spacing w:val="-9"/>
              </w:rPr>
              <w:t>0-10</w:t>
            </w:r>
          </w:p>
        </w:tc>
        <w:tc>
          <w:tcPr>
            <w:tcW w:w="2325" w:type="dxa"/>
            <w:gridSpan w:val="3"/>
            <w:tcBorders>
              <w:right w:val="single" w:color="000000" w:sz="4" w:space="0"/>
            </w:tcBorders>
            <w:vAlign w:val="top"/>
          </w:tcPr>
          <w:p w14:paraId="76D0A090">
            <w:pPr>
              <w:pStyle w:val="7"/>
              <w:spacing w:before="101" w:line="237" w:lineRule="auto"/>
              <w:ind w:left="943"/>
            </w:pPr>
            <w:r>
              <w:rPr>
                <w:spacing w:val="-9"/>
              </w:rPr>
              <w:t>0-10</w:t>
            </w:r>
          </w:p>
        </w:tc>
      </w:tr>
      <w:tr w14:paraId="1BBEB4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5" w:hRule="atLeast"/>
        </w:trPr>
        <w:tc>
          <w:tcPr>
            <w:tcW w:w="2334" w:type="dxa"/>
            <w:gridSpan w:val="2"/>
            <w:tcBorders>
              <w:left w:val="single" w:color="1C456A" w:sz="4" w:space="0"/>
              <w:bottom w:val="single" w:color="1C456A" w:sz="4" w:space="0"/>
            </w:tcBorders>
            <w:vAlign w:val="top"/>
          </w:tcPr>
          <w:p w14:paraId="2FAF3427">
            <w:pPr>
              <w:pStyle w:val="7"/>
              <w:spacing w:before="102" w:line="236" w:lineRule="auto"/>
              <w:ind w:left="905"/>
            </w:pPr>
            <w:r>
              <w:pict>
                <v:shape id="_x0000_s1745" o:spid="_x0000_s1745" style="position:absolute;left:0pt;margin-left:-0.2pt;margin-top:31.25pt;height:0.75pt;width:2.2pt;mso-position-horizontal-relative:page;mso-position-vertical-relative:page;z-index:251821056;mso-width-relative:page;mso-height-relative:page;" fillcolor="#5B9BD5" filled="t" stroked="f" coordsize="44,15" path="m0,14l43,14,43,0,0,0,0,14xe">
                  <v:path/>
                  <v:fill on="t" focussize="0,0"/>
                  <v:stroke on="f"/>
                  <v:imagedata o:title=""/>
                  <o:lock v:ext="edit"/>
                </v:shape>
              </w:pict>
            </w:r>
            <w:r>
              <w:rPr>
                <w:spacing w:val="-9"/>
              </w:rPr>
              <w:t>0.075</w:t>
            </w:r>
          </w:p>
        </w:tc>
        <w:tc>
          <w:tcPr>
            <w:tcW w:w="2309" w:type="dxa"/>
            <w:tcBorders>
              <w:bottom w:val="single" w:color="000000" w:sz="4" w:space="0"/>
            </w:tcBorders>
            <w:vAlign w:val="top"/>
          </w:tcPr>
          <w:p w14:paraId="0D884087">
            <w:pPr>
              <w:pStyle w:val="7"/>
              <w:spacing w:before="102" w:line="237" w:lineRule="auto"/>
              <w:ind w:left="993"/>
            </w:pPr>
            <w:r>
              <w:rPr>
                <w:spacing w:val="-8"/>
              </w:rPr>
              <w:t>0-5</w:t>
            </w:r>
          </w:p>
        </w:tc>
        <w:tc>
          <w:tcPr>
            <w:tcW w:w="2309" w:type="dxa"/>
            <w:tcBorders>
              <w:bottom w:val="single" w:color="000000" w:sz="4" w:space="0"/>
            </w:tcBorders>
            <w:vAlign w:val="top"/>
          </w:tcPr>
          <w:p w14:paraId="105C8244">
            <w:pPr>
              <w:pStyle w:val="7"/>
              <w:spacing w:before="102" w:line="237" w:lineRule="auto"/>
              <w:ind w:left="995"/>
            </w:pPr>
            <w:r>
              <w:rPr>
                <w:spacing w:val="-8"/>
              </w:rPr>
              <w:t>0-5</w:t>
            </w:r>
          </w:p>
        </w:tc>
        <w:tc>
          <w:tcPr>
            <w:tcW w:w="1805" w:type="dxa"/>
            <w:gridSpan w:val="2"/>
            <w:tcBorders>
              <w:bottom w:val="single" w:color="5B9BD5" w:sz="4" w:space="0"/>
              <w:right w:val="nil"/>
            </w:tcBorders>
            <w:vAlign w:val="top"/>
          </w:tcPr>
          <w:p w14:paraId="0CEA091B">
            <w:pPr>
              <w:pStyle w:val="7"/>
              <w:spacing w:before="102" w:line="237" w:lineRule="auto"/>
              <w:ind w:left="998"/>
            </w:pPr>
            <w:r>
              <w:rPr>
                <w:spacing w:val="-8"/>
              </w:rPr>
              <w:t>0-5</w:t>
            </w:r>
          </w:p>
        </w:tc>
        <w:tc>
          <w:tcPr>
            <w:tcW w:w="520" w:type="dxa"/>
            <w:tcBorders>
              <w:left w:val="nil"/>
              <w:bottom w:val="single" w:color="5B9BD5" w:sz="4" w:space="0"/>
              <w:right w:val="single" w:color="5B9BD5" w:sz="4" w:space="0"/>
            </w:tcBorders>
            <w:vAlign w:val="top"/>
          </w:tcPr>
          <w:p w14:paraId="4BCBD2FD">
            <w:pPr>
              <w:rPr>
                <w:rFonts w:ascii="Arial"/>
                <w:sz w:val="21"/>
              </w:rPr>
            </w:pPr>
            <w:r>
              <w:pict>
                <v:shape id="_x0000_s1746" o:spid="_x0000_s1746" style="position:absolute;left:0pt;margin-left:24.1pt;margin-top:31.25pt;height:0.75pt;width:2.2pt;mso-position-horizontal-relative:page;mso-position-vertical-relative:page;z-index:251822080;mso-width-relative:page;mso-height-relative:page;" fillcolor="#5B9BD5" filled="t" stroked="f" coordsize="44,15" path="m0,14l43,14,43,0,0,0,0,14xe">
                  <v:path/>
                  <v:fill on="t" focussize="0,0"/>
                  <v:stroke on="f"/>
                  <v:imagedata o:title=""/>
                  <o:lock v:ext="edit"/>
                </v:shape>
              </w:pict>
            </w:r>
          </w:p>
        </w:tc>
      </w:tr>
    </w:tbl>
    <w:p w14:paraId="37B9D8A5">
      <w:pPr>
        <w:rPr>
          <w:rFonts w:ascii="Arial"/>
          <w:sz w:val="21"/>
        </w:rPr>
      </w:pPr>
    </w:p>
    <w:p w14:paraId="14ACE113">
      <w:pPr>
        <w:rPr>
          <w:rFonts w:ascii="Arial" w:hAnsi="Arial" w:eastAsia="Arial" w:cs="Arial"/>
          <w:sz w:val="21"/>
          <w:szCs w:val="21"/>
        </w:rPr>
        <w:sectPr>
          <w:footerReference r:id="rId93" w:type="default"/>
          <w:pgSz w:w="11907" w:h="16839"/>
          <w:pgMar w:top="954" w:right="4" w:bottom="1038" w:left="0" w:header="499" w:footer="357" w:gutter="0"/>
          <w:pgBorders>
            <w:top w:val="none" w:sz="0" w:space="0"/>
            <w:left w:val="none" w:sz="0" w:space="0"/>
            <w:bottom w:val="none" w:sz="0" w:space="0"/>
            <w:right w:val="none" w:sz="0" w:space="0"/>
          </w:pgBorders>
          <w:cols w:space="720" w:num="1"/>
        </w:sectPr>
      </w:pPr>
    </w:p>
    <w:p w14:paraId="73E4EBBE">
      <w:pPr>
        <w:spacing w:line="214" w:lineRule="exact"/>
      </w:pPr>
    </w:p>
    <w:tbl>
      <w:tblPr>
        <w:tblStyle w:val="6"/>
        <w:tblW w:w="9277" w:type="dxa"/>
        <w:tblInd w:w="1315" w:type="dxa"/>
        <w:tblBorders>
          <w:top w:val="single" w:color="5B9BD5" w:sz="4" w:space="0"/>
          <w:left w:val="single" w:color="5B9BD5" w:sz="4" w:space="0"/>
          <w:bottom w:val="single" w:color="5B9BD5" w:sz="4" w:space="0"/>
          <w:right w:val="single" w:color="5B9BD5" w:sz="4" w:space="0"/>
          <w:insideH w:val="single" w:color="5B9BD5" w:sz="4" w:space="0"/>
          <w:insideV w:val="single" w:color="5B9BD5" w:sz="4" w:space="0"/>
        </w:tblBorders>
        <w:tblLayout w:type="fixed"/>
        <w:tblCellMar>
          <w:top w:w="0" w:type="dxa"/>
          <w:left w:w="0" w:type="dxa"/>
          <w:bottom w:w="0" w:type="dxa"/>
          <w:right w:w="0" w:type="dxa"/>
        </w:tblCellMar>
      </w:tblPr>
      <w:tblGrid>
        <w:gridCol w:w="2330"/>
        <w:gridCol w:w="2309"/>
        <w:gridCol w:w="2309"/>
        <w:gridCol w:w="2329"/>
      </w:tblGrid>
      <w:tr w14:paraId="4975A751">
        <w:tblPrEx>
          <w:tblBorders>
            <w:top w:val="single" w:color="5B9BD5" w:sz="4" w:space="0"/>
            <w:left w:val="single" w:color="5B9BD5" w:sz="4" w:space="0"/>
            <w:bottom w:val="single" w:color="5B9BD5" w:sz="4" w:space="0"/>
            <w:right w:val="single" w:color="5B9BD5" w:sz="4" w:space="0"/>
            <w:insideH w:val="single" w:color="5B9BD5" w:sz="4" w:space="0"/>
            <w:insideV w:val="single" w:color="5B9BD5" w:sz="4" w:space="0"/>
          </w:tblBorders>
          <w:tblCellMar>
            <w:top w:w="0" w:type="dxa"/>
            <w:left w:w="0" w:type="dxa"/>
            <w:bottom w:w="0" w:type="dxa"/>
            <w:right w:w="0" w:type="dxa"/>
          </w:tblCellMar>
        </w:tblPrEx>
        <w:trPr>
          <w:trHeight w:val="659" w:hRule="atLeast"/>
        </w:trPr>
        <w:tc>
          <w:tcPr>
            <w:tcW w:w="2330" w:type="dxa"/>
            <w:tcBorders>
              <w:top w:val="single" w:color="1C456A" w:sz="4" w:space="0"/>
              <w:left w:val="single" w:color="1C456A" w:sz="4" w:space="0"/>
              <w:bottom w:val="single" w:color="1C456A" w:sz="4" w:space="0"/>
              <w:right w:val="single" w:color="000000" w:sz="2" w:space="0"/>
            </w:tcBorders>
            <w:vAlign w:val="top"/>
          </w:tcPr>
          <w:p w14:paraId="07633600">
            <w:pPr>
              <w:pStyle w:val="7"/>
              <w:spacing w:before="131" w:line="219" w:lineRule="auto"/>
              <w:ind w:left="615"/>
            </w:pPr>
            <w:r>
              <w:rPr>
                <w:spacing w:val="-11"/>
              </w:rPr>
              <w:t>细度模数Mx</w:t>
            </w:r>
          </w:p>
        </w:tc>
        <w:tc>
          <w:tcPr>
            <w:tcW w:w="2309" w:type="dxa"/>
            <w:tcBorders>
              <w:left w:val="single" w:color="000000" w:sz="2" w:space="0"/>
              <w:right w:val="single" w:color="000000" w:sz="2" w:space="0"/>
            </w:tcBorders>
            <w:vAlign w:val="top"/>
          </w:tcPr>
          <w:p w14:paraId="08EE762F">
            <w:pPr>
              <w:pStyle w:val="7"/>
              <w:spacing w:before="131" w:line="236" w:lineRule="auto"/>
              <w:ind w:left="781"/>
            </w:pPr>
            <w:r>
              <w:rPr>
                <w:spacing w:val="-10"/>
              </w:rPr>
              <w:t>3.7-3.1</w:t>
            </w:r>
          </w:p>
        </w:tc>
        <w:tc>
          <w:tcPr>
            <w:tcW w:w="2309" w:type="dxa"/>
            <w:tcBorders>
              <w:left w:val="single" w:color="000000" w:sz="2" w:space="0"/>
              <w:right w:val="single" w:color="000000" w:sz="2" w:space="0"/>
            </w:tcBorders>
            <w:vAlign w:val="top"/>
          </w:tcPr>
          <w:p w14:paraId="4BAB3682">
            <w:pPr>
              <w:pStyle w:val="7"/>
              <w:spacing w:before="131" w:line="236" w:lineRule="auto"/>
              <w:ind w:left="784"/>
            </w:pPr>
            <w:r>
              <w:rPr>
                <w:spacing w:val="-10"/>
              </w:rPr>
              <w:t>3.0-2.3</w:t>
            </w:r>
          </w:p>
        </w:tc>
        <w:tc>
          <w:tcPr>
            <w:tcW w:w="2329" w:type="dxa"/>
            <w:tcBorders>
              <w:left w:val="single" w:color="000000" w:sz="2" w:space="0"/>
            </w:tcBorders>
            <w:vAlign w:val="top"/>
          </w:tcPr>
          <w:p w14:paraId="1C91BDC4">
            <w:pPr>
              <w:pStyle w:val="7"/>
              <w:spacing w:before="131" w:line="236" w:lineRule="auto"/>
              <w:ind w:left="785"/>
            </w:pPr>
            <w:r>
              <w:rPr>
                <w:spacing w:val="-10"/>
              </w:rPr>
              <w:t>2.2-1.6</w:t>
            </w:r>
          </w:p>
        </w:tc>
      </w:tr>
    </w:tbl>
    <w:p w14:paraId="017608EC">
      <w:pPr>
        <w:pStyle w:val="2"/>
        <w:spacing w:before="115" w:line="218" w:lineRule="auto"/>
        <w:ind w:left="1896"/>
        <w:rPr>
          <w:sz w:val="24"/>
          <w:szCs w:val="24"/>
        </w:rPr>
      </w:pPr>
      <w:r>
        <w:rPr>
          <w:spacing w:val="-20"/>
          <w:sz w:val="24"/>
          <w:szCs w:val="24"/>
        </w:rPr>
        <w:t>沥青面层用石屑规格</w:t>
      </w:r>
    </w:p>
    <w:p w14:paraId="0C195D4D">
      <w:pPr>
        <w:spacing w:line="19" w:lineRule="auto"/>
        <w:rPr>
          <w:rFonts w:ascii="Arial"/>
          <w:sz w:val="2"/>
        </w:rPr>
      </w:pPr>
    </w:p>
    <w:tbl>
      <w:tblPr>
        <w:tblStyle w:val="6"/>
        <w:tblW w:w="9277" w:type="dxa"/>
        <w:tblInd w:w="131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46"/>
        <w:gridCol w:w="1568"/>
        <w:gridCol w:w="1199"/>
        <w:gridCol w:w="1572"/>
        <w:gridCol w:w="1166"/>
        <w:gridCol w:w="1078"/>
        <w:gridCol w:w="1448"/>
      </w:tblGrid>
      <w:tr w14:paraId="4CA2FF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246" w:type="dxa"/>
            <w:vMerge w:val="restart"/>
            <w:tcBorders>
              <w:top w:val="single" w:color="000000" w:sz="4" w:space="0"/>
              <w:left w:val="single" w:color="000000" w:sz="4" w:space="0"/>
              <w:bottom w:val="nil"/>
            </w:tcBorders>
            <w:shd w:val="clear" w:color="auto" w:fill="DEEAF6"/>
            <w:vAlign w:val="top"/>
          </w:tcPr>
          <w:p w14:paraId="23FC2A9A">
            <w:pPr>
              <w:spacing w:line="245" w:lineRule="auto"/>
              <w:rPr>
                <w:rFonts w:ascii="Arial"/>
                <w:sz w:val="21"/>
              </w:rPr>
            </w:pPr>
          </w:p>
          <w:p w14:paraId="27E7B489">
            <w:pPr>
              <w:spacing w:line="245" w:lineRule="auto"/>
              <w:rPr>
                <w:rFonts w:ascii="Arial"/>
                <w:sz w:val="21"/>
              </w:rPr>
            </w:pPr>
          </w:p>
          <w:p w14:paraId="444D0DA8">
            <w:pPr>
              <w:pStyle w:val="7"/>
              <w:spacing w:before="78" w:line="218" w:lineRule="auto"/>
              <w:ind w:left="415"/>
            </w:pPr>
            <w:r>
              <w:rPr>
                <w:b/>
                <w:bCs/>
                <w:spacing w:val="-12"/>
              </w:rPr>
              <w:t>规格</w:t>
            </w:r>
          </w:p>
        </w:tc>
        <w:tc>
          <w:tcPr>
            <w:tcW w:w="1568" w:type="dxa"/>
            <w:vMerge w:val="restart"/>
            <w:tcBorders>
              <w:top w:val="single" w:color="000000" w:sz="4" w:space="0"/>
              <w:bottom w:val="nil"/>
            </w:tcBorders>
            <w:shd w:val="clear" w:color="auto" w:fill="DEEAF6"/>
            <w:vAlign w:val="top"/>
          </w:tcPr>
          <w:p w14:paraId="6536607F">
            <w:pPr>
              <w:spacing w:line="244" w:lineRule="auto"/>
              <w:rPr>
                <w:rFonts w:ascii="Arial"/>
                <w:sz w:val="21"/>
              </w:rPr>
            </w:pPr>
          </w:p>
          <w:p w14:paraId="1EBD301A">
            <w:pPr>
              <w:spacing w:line="245" w:lineRule="auto"/>
              <w:rPr>
                <w:rFonts w:ascii="Arial"/>
                <w:sz w:val="21"/>
              </w:rPr>
            </w:pPr>
          </w:p>
          <w:p w14:paraId="252D0B6F">
            <w:pPr>
              <w:pStyle w:val="7"/>
              <w:spacing w:before="78" w:line="217" w:lineRule="auto"/>
              <w:ind w:left="353"/>
            </w:pPr>
            <w:r>
              <w:rPr>
                <w:b/>
                <w:bCs/>
                <w:spacing w:val="-19"/>
              </w:rPr>
              <w:t>公称粒径</w:t>
            </w:r>
          </w:p>
        </w:tc>
        <w:tc>
          <w:tcPr>
            <w:tcW w:w="6463" w:type="dxa"/>
            <w:gridSpan w:val="5"/>
            <w:tcBorders>
              <w:top w:val="single" w:color="5B9BD5" w:sz="4" w:space="0"/>
              <w:right w:val="single" w:color="5B9BD5" w:sz="4" w:space="0"/>
            </w:tcBorders>
            <w:shd w:val="clear" w:color="auto" w:fill="DEEAF6"/>
            <w:vAlign w:val="top"/>
          </w:tcPr>
          <w:p w14:paraId="27ABE6AD">
            <w:pPr>
              <w:pStyle w:val="7"/>
              <w:spacing w:before="201" w:line="216" w:lineRule="auto"/>
              <w:ind w:left="1157"/>
            </w:pPr>
            <w:r>
              <w:rPr>
                <w:b/>
                <w:bCs/>
                <w:spacing w:val="-20"/>
              </w:rPr>
              <w:t>通过下列筛孔的质量百分率(%)(方孔筛,mm)</w:t>
            </w:r>
          </w:p>
        </w:tc>
      </w:tr>
      <w:tr w14:paraId="27A02D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9" w:hRule="atLeast"/>
        </w:trPr>
        <w:tc>
          <w:tcPr>
            <w:tcW w:w="1246" w:type="dxa"/>
            <w:vMerge w:val="continue"/>
            <w:tcBorders>
              <w:top w:val="nil"/>
              <w:left w:val="single" w:color="000000" w:sz="4" w:space="0"/>
            </w:tcBorders>
            <w:vAlign w:val="top"/>
          </w:tcPr>
          <w:p w14:paraId="5D636EB7">
            <w:pPr>
              <w:rPr>
                <w:rFonts w:ascii="Arial"/>
                <w:sz w:val="21"/>
              </w:rPr>
            </w:pPr>
          </w:p>
        </w:tc>
        <w:tc>
          <w:tcPr>
            <w:tcW w:w="1568" w:type="dxa"/>
            <w:vMerge w:val="continue"/>
            <w:tcBorders>
              <w:top w:val="nil"/>
            </w:tcBorders>
            <w:vAlign w:val="top"/>
          </w:tcPr>
          <w:p w14:paraId="1101DBB8">
            <w:pPr>
              <w:rPr>
                <w:rFonts w:ascii="Arial"/>
                <w:sz w:val="21"/>
              </w:rPr>
            </w:pPr>
          </w:p>
        </w:tc>
        <w:tc>
          <w:tcPr>
            <w:tcW w:w="1199" w:type="dxa"/>
            <w:vAlign w:val="top"/>
          </w:tcPr>
          <w:p w14:paraId="0736F5DD">
            <w:pPr>
              <w:pStyle w:val="7"/>
              <w:spacing w:before="170" w:line="236" w:lineRule="auto"/>
              <w:ind w:left="440"/>
            </w:pPr>
            <w:r>
              <w:rPr>
                <w:spacing w:val="-8"/>
              </w:rPr>
              <w:t>9.5</w:t>
            </w:r>
          </w:p>
        </w:tc>
        <w:tc>
          <w:tcPr>
            <w:tcW w:w="1572" w:type="dxa"/>
            <w:vAlign w:val="top"/>
          </w:tcPr>
          <w:p w14:paraId="13BF80C2">
            <w:pPr>
              <w:pStyle w:val="7"/>
              <w:spacing w:before="170" w:line="236" w:lineRule="auto"/>
              <w:ind w:left="569"/>
            </w:pPr>
            <w:r>
              <w:rPr>
                <w:spacing w:val="-8"/>
              </w:rPr>
              <w:t>4.75</w:t>
            </w:r>
          </w:p>
        </w:tc>
        <w:tc>
          <w:tcPr>
            <w:tcW w:w="1166" w:type="dxa"/>
            <w:vAlign w:val="top"/>
          </w:tcPr>
          <w:p w14:paraId="56C5AE70">
            <w:pPr>
              <w:pStyle w:val="7"/>
              <w:spacing w:before="170" w:line="236" w:lineRule="auto"/>
              <w:ind w:left="371"/>
            </w:pPr>
            <w:r>
              <w:rPr>
                <w:spacing w:val="-9"/>
              </w:rPr>
              <w:t>2.36</w:t>
            </w:r>
          </w:p>
        </w:tc>
        <w:tc>
          <w:tcPr>
            <w:tcW w:w="1078" w:type="dxa"/>
            <w:vAlign w:val="top"/>
          </w:tcPr>
          <w:p w14:paraId="34DEEFE3">
            <w:pPr>
              <w:pStyle w:val="7"/>
              <w:spacing w:before="170" w:line="236" w:lineRule="auto"/>
              <w:ind w:left="380"/>
            </w:pPr>
            <w:r>
              <w:rPr>
                <w:spacing w:val="-8"/>
              </w:rPr>
              <w:t>0.6</w:t>
            </w:r>
          </w:p>
        </w:tc>
        <w:tc>
          <w:tcPr>
            <w:tcW w:w="1448" w:type="dxa"/>
            <w:tcBorders>
              <w:right w:val="single" w:color="000000" w:sz="4" w:space="0"/>
            </w:tcBorders>
            <w:vAlign w:val="top"/>
          </w:tcPr>
          <w:p w14:paraId="4F099E50">
            <w:pPr>
              <w:pStyle w:val="7"/>
              <w:spacing w:before="170" w:line="236" w:lineRule="auto"/>
              <w:ind w:left="450"/>
            </w:pPr>
            <w:r>
              <w:rPr>
                <w:spacing w:val="-9"/>
              </w:rPr>
              <w:t>0.075</w:t>
            </w:r>
          </w:p>
        </w:tc>
      </w:tr>
      <w:tr w14:paraId="737150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2" w:hRule="atLeast"/>
        </w:trPr>
        <w:tc>
          <w:tcPr>
            <w:tcW w:w="1246" w:type="dxa"/>
            <w:tcBorders>
              <w:left w:val="single" w:color="000000" w:sz="4" w:space="0"/>
            </w:tcBorders>
            <w:vAlign w:val="top"/>
          </w:tcPr>
          <w:p w14:paraId="3445AE64">
            <w:pPr>
              <w:pStyle w:val="7"/>
              <w:spacing w:before="173" w:line="237" w:lineRule="auto"/>
              <w:ind w:left="464"/>
            </w:pPr>
            <w:r>
              <w:rPr>
                <w:spacing w:val="-8"/>
              </w:rPr>
              <w:t>S15</w:t>
            </w:r>
          </w:p>
        </w:tc>
        <w:tc>
          <w:tcPr>
            <w:tcW w:w="1568" w:type="dxa"/>
            <w:vAlign w:val="top"/>
          </w:tcPr>
          <w:p w14:paraId="0C9E4387">
            <w:pPr>
              <w:pStyle w:val="7"/>
              <w:spacing w:before="173" w:line="237" w:lineRule="auto"/>
              <w:ind w:left="619"/>
            </w:pPr>
            <w:r>
              <w:rPr>
                <w:spacing w:val="-8"/>
              </w:rPr>
              <w:t>0-5</w:t>
            </w:r>
          </w:p>
        </w:tc>
        <w:tc>
          <w:tcPr>
            <w:tcW w:w="1199" w:type="dxa"/>
            <w:vAlign w:val="top"/>
          </w:tcPr>
          <w:p w14:paraId="1BF420AD">
            <w:pPr>
              <w:pStyle w:val="7"/>
              <w:spacing w:before="173" w:line="237" w:lineRule="auto"/>
              <w:ind w:left="457"/>
            </w:pPr>
            <w:r>
              <w:rPr>
                <w:spacing w:val="-12"/>
              </w:rPr>
              <w:t>100</w:t>
            </w:r>
          </w:p>
        </w:tc>
        <w:tc>
          <w:tcPr>
            <w:tcW w:w="1572" w:type="dxa"/>
            <w:vAlign w:val="top"/>
          </w:tcPr>
          <w:p w14:paraId="1403953C">
            <w:pPr>
              <w:pStyle w:val="7"/>
              <w:spacing w:before="173" w:line="237" w:lineRule="auto"/>
              <w:ind w:left="462"/>
            </w:pPr>
            <w:r>
              <w:rPr>
                <w:spacing w:val="-10"/>
              </w:rPr>
              <w:t>85-100</w:t>
            </w:r>
          </w:p>
        </w:tc>
        <w:tc>
          <w:tcPr>
            <w:tcW w:w="1166" w:type="dxa"/>
            <w:vAlign w:val="top"/>
          </w:tcPr>
          <w:p w14:paraId="04241239">
            <w:pPr>
              <w:pStyle w:val="7"/>
              <w:spacing w:before="173" w:line="237" w:lineRule="auto"/>
              <w:ind w:left="315"/>
            </w:pPr>
            <w:r>
              <w:rPr>
                <w:spacing w:val="-9"/>
              </w:rPr>
              <w:t>40-70</w:t>
            </w:r>
          </w:p>
        </w:tc>
        <w:tc>
          <w:tcPr>
            <w:tcW w:w="1078" w:type="dxa"/>
            <w:vAlign w:val="top"/>
          </w:tcPr>
          <w:p w14:paraId="50FBCB55">
            <w:pPr>
              <w:rPr>
                <w:rFonts w:ascii="Arial"/>
                <w:sz w:val="21"/>
              </w:rPr>
            </w:pPr>
          </w:p>
        </w:tc>
        <w:tc>
          <w:tcPr>
            <w:tcW w:w="1448" w:type="dxa"/>
            <w:tcBorders>
              <w:right w:val="single" w:color="000000" w:sz="4" w:space="0"/>
            </w:tcBorders>
            <w:vAlign w:val="top"/>
          </w:tcPr>
          <w:p w14:paraId="4C5CD08E">
            <w:pPr>
              <w:pStyle w:val="7"/>
              <w:spacing w:before="173" w:line="237" w:lineRule="auto"/>
              <w:ind w:left="505"/>
            </w:pPr>
            <w:r>
              <w:rPr>
                <w:spacing w:val="-9"/>
              </w:rPr>
              <w:t>0-15</w:t>
            </w:r>
          </w:p>
        </w:tc>
      </w:tr>
      <w:tr w14:paraId="735742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8" w:hRule="atLeast"/>
        </w:trPr>
        <w:tc>
          <w:tcPr>
            <w:tcW w:w="1246" w:type="dxa"/>
            <w:tcBorders>
              <w:left w:val="single" w:color="1C456A" w:sz="4" w:space="0"/>
              <w:bottom w:val="single" w:color="1C456A" w:sz="4" w:space="0"/>
            </w:tcBorders>
            <w:vAlign w:val="top"/>
          </w:tcPr>
          <w:p w14:paraId="33563656">
            <w:pPr>
              <w:pStyle w:val="7"/>
              <w:spacing w:before="235" w:line="179" w:lineRule="auto"/>
              <w:ind w:left="464"/>
            </w:pPr>
            <w:r>
              <w:rPr>
                <w:spacing w:val="-8"/>
              </w:rPr>
              <w:t>S16</w:t>
            </w:r>
          </w:p>
        </w:tc>
        <w:tc>
          <w:tcPr>
            <w:tcW w:w="1568" w:type="dxa"/>
            <w:tcBorders>
              <w:bottom w:val="single" w:color="000000" w:sz="4" w:space="0"/>
            </w:tcBorders>
            <w:vAlign w:val="top"/>
          </w:tcPr>
          <w:p w14:paraId="1B2C7EAE">
            <w:pPr>
              <w:pStyle w:val="7"/>
              <w:spacing w:before="192" w:line="237" w:lineRule="auto"/>
              <w:ind w:left="619"/>
            </w:pPr>
            <w:r>
              <w:rPr>
                <w:spacing w:val="-8"/>
              </w:rPr>
              <w:t>0-3</w:t>
            </w:r>
          </w:p>
        </w:tc>
        <w:tc>
          <w:tcPr>
            <w:tcW w:w="1199" w:type="dxa"/>
            <w:tcBorders>
              <w:bottom w:val="single" w:color="000000" w:sz="4" w:space="0"/>
            </w:tcBorders>
            <w:vAlign w:val="top"/>
          </w:tcPr>
          <w:p w14:paraId="723E33F6">
            <w:pPr>
              <w:rPr>
                <w:rFonts w:ascii="Arial"/>
                <w:sz w:val="21"/>
              </w:rPr>
            </w:pPr>
          </w:p>
        </w:tc>
        <w:tc>
          <w:tcPr>
            <w:tcW w:w="1572" w:type="dxa"/>
            <w:tcBorders>
              <w:bottom w:val="single" w:color="000000" w:sz="4" w:space="0"/>
            </w:tcBorders>
            <w:vAlign w:val="top"/>
          </w:tcPr>
          <w:p w14:paraId="5E05E0B9">
            <w:pPr>
              <w:pStyle w:val="7"/>
              <w:spacing w:before="192" w:line="237" w:lineRule="auto"/>
              <w:ind w:left="642"/>
            </w:pPr>
            <w:r>
              <w:rPr>
                <w:spacing w:val="-12"/>
              </w:rPr>
              <w:t>100</w:t>
            </w:r>
          </w:p>
        </w:tc>
        <w:tc>
          <w:tcPr>
            <w:tcW w:w="1166" w:type="dxa"/>
            <w:tcBorders>
              <w:bottom w:val="single" w:color="000000" w:sz="4" w:space="0"/>
            </w:tcBorders>
            <w:vAlign w:val="top"/>
          </w:tcPr>
          <w:p w14:paraId="66BDC291">
            <w:pPr>
              <w:pStyle w:val="7"/>
              <w:spacing w:before="192" w:line="237" w:lineRule="auto"/>
              <w:ind w:left="261"/>
            </w:pPr>
            <w:r>
              <w:rPr>
                <w:spacing w:val="-10"/>
              </w:rPr>
              <w:t>85-100</w:t>
            </w:r>
          </w:p>
        </w:tc>
        <w:tc>
          <w:tcPr>
            <w:tcW w:w="1078" w:type="dxa"/>
            <w:tcBorders>
              <w:bottom w:val="single" w:color="000000" w:sz="4" w:space="0"/>
            </w:tcBorders>
            <w:vAlign w:val="top"/>
          </w:tcPr>
          <w:p w14:paraId="7D810D17">
            <w:pPr>
              <w:pStyle w:val="7"/>
              <w:spacing w:before="192" w:line="237" w:lineRule="auto"/>
              <w:ind w:left="273"/>
            </w:pPr>
            <w:r>
              <w:rPr>
                <w:spacing w:val="-10"/>
              </w:rPr>
              <w:t>20-50</w:t>
            </w:r>
          </w:p>
        </w:tc>
        <w:tc>
          <w:tcPr>
            <w:tcW w:w="1448" w:type="dxa"/>
            <w:tcBorders>
              <w:bottom w:val="single" w:color="5B9BD5" w:sz="4" w:space="0"/>
              <w:right w:val="single" w:color="5B9BD5" w:sz="4" w:space="0"/>
            </w:tcBorders>
            <w:vAlign w:val="top"/>
          </w:tcPr>
          <w:p w14:paraId="1452D63A">
            <w:pPr>
              <w:pStyle w:val="7"/>
              <w:spacing w:before="192" w:line="237" w:lineRule="auto"/>
              <w:ind w:left="505"/>
            </w:pPr>
            <w:r>
              <w:rPr>
                <w:spacing w:val="-9"/>
              </w:rPr>
              <w:t>0-15</w:t>
            </w:r>
          </w:p>
        </w:tc>
      </w:tr>
    </w:tbl>
    <w:p w14:paraId="731A1A40">
      <w:pPr>
        <w:pStyle w:val="2"/>
        <w:spacing w:before="113" w:line="216" w:lineRule="auto"/>
        <w:ind w:left="1896"/>
        <w:rPr>
          <w:sz w:val="24"/>
          <w:szCs w:val="24"/>
        </w:rPr>
      </w:pPr>
      <w:r>
        <w:rPr>
          <w:spacing w:val="-21"/>
          <w:sz w:val="24"/>
          <w:szCs w:val="24"/>
        </w:rPr>
        <w:t>沥青面层用细集料质量技术要求</w:t>
      </w:r>
    </w:p>
    <w:p w14:paraId="793B0B5D">
      <w:pPr>
        <w:spacing w:line="48" w:lineRule="auto"/>
        <w:rPr>
          <w:rFonts w:ascii="Arial"/>
          <w:sz w:val="2"/>
        </w:rPr>
      </w:pPr>
    </w:p>
    <w:tbl>
      <w:tblPr>
        <w:tblStyle w:val="6"/>
        <w:tblW w:w="9277" w:type="dxa"/>
        <w:tblInd w:w="131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007"/>
        <w:gridCol w:w="2489"/>
        <w:gridCol w:w="781"/>
      </w:tblGrid>
      <w:tr w14:paraId="16B36C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1" w:hRule="atLeast"/>
        </w:trPr>
        <w:tc>
          <w:tcPr>
            <w:tcW w:w="6007" w:type="dxa"/>
            <w:tcBorders>
              <w:top w:val="single" w:color="000000" w:sz="4" w:space="0"/>
              <w:left w:val="single" w:color="000000" w:sz="4" w:space="0"/>
            </w:tcBorders>
            <w:shd w:val="clear" w:color="auto" w:fill="DEEAF6"/>
            <w:vAlign w:val="top"/>
          </w:tcPr>
          <w:p w14:paraId="1F6B1971">
            <w:pPr>
              <w:pStyle w:val="7"/>
              <w:spacing w:before="251" w:line="218" w:lineRule="auto"/>
              <w:ind w:left="2802"/>
            </w:pPr>
            <w:r>
              <w:rPr>
                <w:b/>
                <w:bCs/>
                <w:spacing w:val="-12"/>
              </w:rPr>
              <w:t>指标</w:t>
            </w:r>
          </w:p>
        </w:tc>
        <w:tc>
          <w:tcPr>
            <w:tcW w:w="3270" w:type="dxa"/>
            <w:gridSpan w:val="2"/>
            <w:tcBorders>
              <w:top w:val="single" w:color="5B9BD5" w:sz="4" w:space="0"/>
              <w:right w:val="single" w:color="5B9BD5" w:sz="4" w:space="0"/>
            </w:tcBorders>
            <w:shd w:val="clear" w:color="auto" w:fill="DEEAF6"/>
            <w:vAlign w:val="top"/>
          </w:tcPr>
          <w:p w14:paraId="562B5DAA">
            <w:pPr>
              <w:rPr>
                <w:rFonts w:ascii="Arial"/>
                <w:sz w:val="21"/>
              </w:rPr>
            </w:pPr>
          </w:p>
        </w:tc>
      </w:tr>
      <w:tr w14:paraId="229BD6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9" w:hRule="atLeast"/>
        </w:trPr>
        <w:tc>
          <w:tcPr>
            <w:tcW w:w="6007" w:type="dxa"/>
            <w:tcBorders>
              <w:left w:val="single" w:color="000000" w:sz="4" w:space="0"/>
            </w:tcBorders>
            <w:vAlign w:val="top"/>
          </w:tcPr>
          <w:p w14:paraId="7A53966E">
            <w:pPr>
              <w:pStyle w:val="7"/>
              <w:spacing w:before="228" w:line="219" w:lineRule="auto"/>
              <w:ind w:left="2036"/>
            </w:pPr>
            <w:r>
              <w:rPr>
                <w:spacing w:val="-16"/>
              </w:rPr>
              <w:t>视密度不小于(t/m3)</w:t>
            </w:r>
          </w:p>
        </w:tc>
        <w:tc>
          <w:tcPr>
            <w:tcW w:w="3270" w:type="dxa"/>
            <w:gridSpan w:val="2"/>
            <w:tcBorders>
              <w:right w:val="single" w:color="000000" w:sz="4" w:space="0"/>
            </w:tcBorders>
            <w:vAlign w:val="top"/>
          </w:tcPr>
          <w:p w14:paraId="1168DD9F">
            <w:pPr>
              <w:pStyle w:val="7"/>
              <w:spacing w:before="229" w:line="236" w:lineRule="auto"/>
              <w:ind w:left="1468"/>
            </w:pPr>
            <w:r>
              <w:rPr>
                <w:spacing w:val="-8"/>
              </w:rPr>
              <w:t>2.5</w:t>
            </w:r>
          </w:p>
        </w:tc>
      </w:tr>
      <w:tr w14:paraId="1E0916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8" w:hRule="atLeast"/>
        </w:trPr>
        <w:tc>
          <w:tcPr>
            <w:tcW w:w="6007" w:type="dxa"/>
            <w:tcBorders>
              <w:left w:val="single" w:color="000000" w:sz="4" w:space="0"/>
            </w:tcBorders>
            <w:vAlign w:val="top"/>
          </w:tcPr>
          <w:p w14:paraId="207D0A12">
            <w:pPr>
              <w:pStyle w:val="7"/>
              <w:spacing w:before="238" w:line="216" w:lineRule="auto"/>
              <w:ind w:left="1580"/>
            </w:pPr>
            <w:r>
              <w:rPr>
                <w:spacing w:val="-17"/>
              </w:rPr>
              <w:t>坚固性(0.3mm部分)不大于(%)</w:t>
            </w:r>
          </w:p>
        </w:tc>
        <w:tc>
          <w:tcPr>
            <w:tcW w:w="3270" w:type="dxa"/>
            <w:gridSpan w:val="2"/>
            <w:tcBorders>
              <w:right w:val="single" w:color="000000" w:sz="4" w:space="0"/>
            </w:tcBorders>
            <w:vAlign w:val="top"/>
          </w:tcPr>
          <w:p w14:paraId="36259C5F">
            <w:pPr>
              <w:pStyle w:val="7"/>
              <w:spacing w:before="238" w:line="238" w:lineRule="auto"/>
              <w:ind w:left="1539"/>
            </w:pPr>
            <w:r>
              <w:rPr>
                <w:spacing w:val="-10"/>
              </w:rPr>
              <w:t>12</w:t>
            </w:r>
          </w:p>
        </w:tc>
      </w:tr>
      <w:tr w14:paraId="147BA8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97" w:hRule="atLeast"/>
        </w:trPr>
        <w:tc>
          <w:tcPr>
            <w:tcW w:w="6007" w:type="dxa"/>
            <w:tcBorders>
              <w:left w:val="single" w:color="1C456A" w:sz="4" w:space="0"/>
              <w:bottom w:val="single" w:color="1C456A" w:sz="4" w:space="0"/>
            </w:tcBorders>
            <w:vAlign w:val="top"/>
          </w:tcPr>
          <w:p w14:paraId="6D388461">
            <w:pPr>
              <w:pStyle w:val="7"/>
              <w:spacing w:before="241" w:line="220" w:lineRule="auto"/>
              <w:ind w:left="2203"/>
            </w:pPr>
            <w:r>
              <w:pict>
                <v:shape id="_x0000_s1747" o:spid="_x0000_s1747" style="position:absolute;left:0pt;margin-left:-0.2pt;margin-top:44.9pt;height:0.75pt;width:2.2pt;mso-position-horizontal-relative:page;mso-position-vertical-relative:page;z-index:251828224;mso-width-relative:page;mso-height-relative:page;" fillcolor="#5B9BD5" filled="t" stroked="f" coordsize="44,15" path="m0,14l43,14,43,0,0,0,0,14xe">
                  <v:path/>
                  <v:fill on="t" focussize="0,0"/>
                  <v:stroke on="f"/>
                  <v:imagedata o:title=""/>
                  <o:lock v:ext="edit"/>
                </v:shape>
              </w:pict>
            </w:r>
            <w:r>
              <w:rPr>
                <w:spacing w:val="-18"/>
              </w:rPr>
              <w:t>砂当量不大于(%)</w:t>
            </w:r>
          </w:p>
        </w:tc>
        <w:tc>
          <w:tcPr>
            <w:tcW w:w="2489" w:type="dxa"/>
            <w:tcBorders>
              <w:bottom w:val="single" w:color="5B9BD5" w:sz="4" w:space="0"/>
              <w:right w:val="nil"/>
            </w:tcBorders>
            <w:vAlign w:val="top"/>
          </w:tcPr>
          <w:p w14:paraId="0DCE478C">
            <w:pPr>
              <w:pStyle w:val="7"/>
              <w:spacing w:before="242" w:line="237" w:lineRule="auto"/>
              <w:ind w:left="1523"/>
            </w:pPr>
            <w:r>
              <w:rPr>
                <w:spacing w:val="-6"/>
              </w:rPr>
              <w:t>60</w:t>
            </w:r>
          </w:p>
        </w:tc>
        <w:tc>
          <w:tcPr>
            <w:tcW w:w="781" w:type="dxa"/>
            <w:tcBorders>
              <w:left w:val="nil"/>
              <w:bottom w:val="single" w:color="5B9BD5" w:sz="4" w:space="0"/>
              <w:right w:val="single" w:color="5B9BD5" w:sz="4" w:space="0"/>
            </w:tcBorders>
            <w:vAlign w:val="top"/>
          </w:tcPr>
          <w:p w14:paraId="7522DB95">
            <w:pPr>
              <w:rPr>
                <w:rFonts w:ascii="Arial"/>
                <w:sz w:val="21"/>
              </w:rPr>
            </w:pPr>
            <w:r>
              <w:pict>
                <v:shape id="_x0000_s1748" o:spid="_x0000_s1748" style="position:absolute;left:0pt;margin-left:37.15pt;margin-top:44.9pt;height:0.75pt;width:2.2pt;mso-position-horizontal-relative:page;mso-position-vertical-relative:page;z-index:251827200;mso-width-relative:page;mso-height-relative:page;" fillcolor="#5B9BD5" filled="t" stroked="f" coordsize="44,15" path="m0,14l43,14,43,0,0,0,0,14xe">
                  <v:path/>
                  <v:fill on="t" focussize="0,0"/>
                  <v:stroke on="f"/>
                  <v:imagedata o:title=""/>
                  <o:lock v:ext="edit"/>
                </v:shape>
              </w:pict>
            </w:r>
          </w:p>
        </w:tc>
      </w:tr>
    </w:tbl>
    <w:p w14:paraId="712BACA0">
      <w:pPr>
        <w:pStyle w:val="2"/>
        <w:spacing w:before="115" w:line="216" w:lineRule="auto"/>
        <w:ind w:left="1884"/>
        <w:rPr>
          <w:sz w:val="24"/>
          <w:szCs w:val="24"/>
        </w:rPr>
      </w:pPr>
      <w:r>
        <w:rPr>
          <w:spacing w:val="-11"/>
          <w:sz w:val="24"/>
          <w:szCs w:val="24"/>
        </w:rPr>
        <w:t>4.1.3.3填料</w:t>
      </w:r>
    </w:p>
    <w:p w14:paraId="6D451344">
      <w:pPr>
        <w:pStyle w:val="2"/>
        <w:spacing w:before="118" w:line="308" w:lineRule="auto"/>
        <w:ind w:left="1456" w:right="1409" w:firstLine="438"/>
        <w:rPr>
          <w:sz w:val="24"/>
          <w:szCs w:val="24"/>
        </w:rPr>
      </w:pPr>
      <w:r>
        <w:rPr>
          <w:spacing w:val="-20"/>
          <w:sz w:val="24"/>
          <w:szCs w:val="24"/>
        </w:rPr>
        <w:t>填料宜采用石灰岩或岩浆岩中的强基性岩石等憎水性石料经磨制的矿粉，不应含泥土杂质</w:t>
      </w:r>
      <w:r>
        <w:rPr>
          <w:spacing w:val="-21"/>
          <w:sz w:val="24"/>
          <w:szCs w:val="24"/>
        </w:rPr>
        <w:t>和团粒，要求干燥、洁净、其质量应符合下表的技术要求：</w:t>
      </w:r>
    </w:p>
    <w:p w14:paraId="046A3A89">
      <w:pPr>
        <w:pStyle w:val="2"/>
        <w:spacing w:line="218" w:lineRule="auto"/>
        <w:ind w:left="1896"/>
        <w:rPr>
          <w:sz w:val="24"/>
          <w:szCs w:val="24"/>
        </w:rPr>
      </w:pPr>
      <w:r>
        <w:rPr>
          <w:spacing w:val="-21"/>
          <w:sz w:val="24"/>
          <w:szCs w:val="24"/>
        </w:rPr>
        <w:t>沥青面层用矿粉质量技术要求</w:t>
      </w:r>
    </w:p>
    <w:p w14:paraId="1F4EFA7A">
      <w:pPr>
        <w:spacing w:line="29" w:lineRule="auto"/>
        <w:rPr>
          <w:rFonts w:ascii="Arial"/>
          <w:sz w:val="2"/>
        </w:rPr>
      </w:pPr>
    </w:p>
    <w:tbl>
      <w:tblPr>
        <w:tblStyle w:val="6"/>
        <w:tblW w:w="9277" w:type="dxa"/>
        <w:tblInd w:w="131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741"/>
        <w:gridCol w:w="4072"/>
        <w:gridCol w:w="2464"/>
      </w:tblGrid>
      <w:tr w14:paraId="302823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9" w:hRule="atLeast"/>
        </w:trPr>
        <w:tc>
          <w:tcPr>
            <w:tcW w:w="6813" w:type="dxa"/>
            <w:gridSpan w:val="2"/>
            <w:tcBorders>
              <w:top w:val="single" w:color="000000" w:sz="4" w:space="0"/>
              <w:left w:val="single" w:color="000000" w:sz="4" w:space="0"/>
            </w:tcBorders>
            <w:shd w:val="clear" w:color="auto" w:fill="DEEAF6"/>
            <w:vAlign w:val="top"/>
          </w:tcPr>
          <w:p w14:paraId="197E8ADE">
            <w:pPr>
              <w:spacing w:line="33" w:lineRule="exact"/>
              <w:ind w:firstLine="6802"/>
            </w:pPr>
            <w:r>
              <w:pict>
                <v:shape id="_x0000_s1749" o:spid="_x0000_s1749" style="position:absolute;left:0pt;margin-left:-0.2pt;margin-top:0pt;height:0.75pt;width:2.2pt;mso-position-horizontal-relative:page;mso-position-vertical-relative:page;z-index:251826176;mso-width-relative:page;mso-height-relative:page;" fillcolor="#5B9BD5" filled="t" stroked="f" coordsize="44,15" path="m0,14l43,14,43,0,0,0,0,14xe">
                  <v:path/>
                  <v:fill on="t" focussize="0,0"/>
                  <v:stroke on="f"/>
                  <v:imagedata o:title=""/>
                  <o:lock v:ext="edit"/>
                </v:shape>
              </w:pict>
            </w:r>
            <w:r>
              <w:pict>
                <v:group id="_x0000_s1750" o:spid="_x0000_s1750" o:spt="203" style="height:2.2pt;width:2.2pt;" coordsize="44,44">
                  <o:lock v:ext="edit"/>
                  <v:shape id="_x0000_s1751" o:spid="_x0000_s1751" style="position:absolute;left:0;top:0;height:15;width:44;" fillcolor="#5B9BD5" filled="t" stroked="f" coordsize="44,15" path="m0,14l43,14,43,0,0,0,0,14xe">
                    <v:path/>
                    <v:fill on="t" focussize="0,0"/>
                    <v:stroke on="f"/>
                    <v:imagedata o:title=""/>
                    <o:lock v:ext="edit"/>
                  </v:shape>
                  <v:shape id="_x0000_s1752" o:spid="_x0000_s1752" style="position:absolute;left:0;top:14;height:15;width:44;" fillcolor="#20507B" filled="t" stroked="f" coordsize="44,15" path="m0,14l43,14,43,0,0,0,0,14xe">
                    <v:path/>
                    <v:fill on="t" focussize="0,0"/>
                    <v:stroke on="f"/>
                    <v:imagedata o:title=""/>
                    <o:lock v:ext="edit"/>
                  </v:shape>
                  <v:shape id="_x0000_s1753" o:spid="_x0000_s1753" style="position:absolute;left:0;top:28;height:15;width:44;" fillcolor="#1C456A" filled="t" stroked="f" coordsize="44,15" path="m0,14l43,14,43,0,0,0,0,14xe">
                    <v:path/>
                    <v:fill on="t" focussize="0,0"/>
                    <v:stroke on="f"/>
                    <v:imagedata o:title=""/>
                    <o:lock v:ext="edit"/>
                  </v:shape>
                  <w10:wrap type="none"/>
                  <w10:anchorlock/>
                </v:group>
              </w:pict>
            </w:r>
          </w:p>
          <w:p w14:paraId="56053977">
            <w:pPr>
              <w:pStyle w:val="7"/>
              <w:spacing w:before="93" w:line="218" w:lineRule="auto"/>
              <w:ind w:left="3205"/>
            </w:pPr>
            <w:r>
              <w:rPr>
                <w:b/>
                <w:bCs/>
                <w:spacing w:val="-12"/>
              </w:rPr>
              <w:t>指标</w:t>
            </w:r>
          </w:p>
        </w:tc>
        <w:tc>
          <w:tcPr>
            <w:tcW w:w="2464" w:type="dxa"/>
            <w:tcBorders>
              <w:top w:val="single" w:color="5B9BD5" w:sz="4" w:space="0"/>
              <w:right w:val="single" w:color="5B9BD5" w:sz="4" w:space="0"/>
            </w:tcBorders>
            <w:shd w:val="clear" w:color="auto" w:fill="DEEAF6"/>
            <w:vAlign w:val="top"/>
          </w:tcPr>
          <w:p w14:paraId="4F37E52C">
            <w:pPr>
              <w:rPr>
                <w:rFonts w:ascii="Arial"/>
                <w:sz w:val="21"/>
              </w:rPr>
            </w:pPr>
            <w:r>
              <w:pict>
                <v:shape id="_x0000_s1754" o:spid="_x0000_s1754" style="position:absolute;left:0pt;margin-left:121.3pt;margin-top:0pt;height:0.75pt;width:2.2pt;mso-position-horizontal-relative:page;mso-position-vertical-relative:page;z-index:251825152;mso-width-relative:page;mso-height-relative:page;" fillcolor="#5B9BD5" filled="t" stroked="f" coordsize="44,15" path="m0,14l43,14,43,0,0,0,0,14xe">
                  <v:path/>
                  <v:fill on="t" focussize="0,0"/>
                  <v:stroke on="f"/>
                  <v:imagedata o:title=""/>
                  <o:lock v:ext="edit"/>
                </v:shape>
              </w:pict>
            </w:r>
          </w:p>
        </w:tc>
      </w:tr>
      <w:tr w14:paraId="013384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2" w:hRule="atLeast"/>
        </w:trPr>
        <w:tc>
          <w:tcPr>
            <w:tcW w:w="6813" w:type="dxa"/>
            <w:gridSpan w:val="2"/>
            <w:tcBorders>
              <w:left w:val="single" w:color="000000" w:sz="4" w:space="0"/>
            </w:tcBorders>
            <w:vAlign w:val="top"/>
          </w:tcPr>
          <w:p w14:paraId="5C87BB0D">
            <w:pPr>
              <w:pStyle w:val="7"/>
              <w:spacing w:before="137" w:line="219" w:lineRule="auto"/>
              <w:ind w:left="2332"/>
            </w:pPr>
            <w:r>
              <w:rPr>
                <w:spacing w:val="-17"/>
              </w:rPr>
              <w:t>视密度不小于（t/m3）</w:t>
            </w:r>
          </w:p>
        </w:tc>
        <w:tc>
          <w:tcPr>
            <w:tcW w:w="2464" w:type="dxa"/>
            <w:tcBorders>
              <w:right w:val="single" w:color="000000" w:sz="4" w:space="0"/>
            </w:tcBorders>
            <w:vAlign w:val="top"/>
          </w:tcPr>
          <w:p w14:paraId="38822572">
            <w:pPr>
              <w:pStyle w:val="7"/>
              <w:spacing w:before="137" w:line="236" w:lineRule="auto"/>
              <w:ind w:left="1069"/>
            </w:pPr>
            <w:r>
              <w:rPr>
                <w:spacing w:val="-8"/>
              </w:rPr>
              <w:t>2.5</w:t>
            </w:r>
          </w:p>
        </w:tc>
      </w:tr>
      <w:tr w14:paraId="295A56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3" w:hRule="atLeast"/>
        </w:trPr>
        <w:tc>
          <w:tcPr>
            <w:tcW w:w="6813" w:type="dxa"/>
            <w:gridSpan w:val="2"/>
            <w:tcBorders>
              <w:left w:val="single" w:color="000000" w:sz="4" w:space="0"/>
            </w:tcBorders>
            <w:vAlign w:val="top"/>
          </w:tcPr>
          <w:p w14:paraId="16F56CBF">
            <w:pPr>
              <w:pStyle w:val="7"/>
              <w:spacing w:before="134" w:line="219" w:lineRule="auto"/>
              <w:ind w:left="2499"/>
            </w:pPr>
            <w:r>
              <w:rPr>
                <w:spacing w:val="-20"/>
              </w:rPr>
              <w:t>含水量不小于（%）</w:t>
            </w:r>
          </w:p>
        </w:tc>
        <w:tc>
          <w:tcPr>
            <w:tcW w:w="2464" w:type="dxa"/>
            <w:tcBorders>
              <w:right w:val="single" w:color="000000" w:sz="4" w:space="0"/>
            </w:tcBorders>
            <w:vAlign w:val="top"/>
          </w:tcPr>
          <w:p w14:paraId="65769798">
            <w:pPr>
              <w:pStyle w:val="7"/>
              <w:spacing w:before="135" w:line="238" w:lineRule="auto"/>
              <w:ind w:left="1191"/>
            </w:pPr>
            <w:r>
              <w:t>1</w:t>
            </w:r>
          </w:p>
        </w:tc>
      </w:tr>
      <w:tr w14:paraId="3FE51C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2" w:hRule="atLeast"/>
        </w:trPr>
        <w:tc>
          <w:tcPr>
            <w:tcW w:w="2741" w:type="dxa"/>
            <w:vMerge w:val="restart"/>
            <w:tcBorders>
              <w:left w:val="single" w:color="000000" w:sz="4" w:space="0"/>
              <w:bottom w:val="nil"/>
            </w:tcBorders>
            <w:vAlign w:val="top"/>
          </w:tcPr>
          <w:p w14:paraId="71632FFC">
            <w:pPr>
              <w:spacing w:line="336" w:lineRule="auto"/>
              <w:rPr>
                <w:rFonts w:ascii="Arial"/>
                <w:sz w:val="21"/>
              </w:rPr>
            </w:pPr>
          </w:p>
          <w:p w14:paraId="3049C360">
            <w:pPr>
              <w:spacing w:line="336" w:lineRule="auto"/>
              <w:rPr>
                <w:rFonts w:ascii="Arial"/>
                <w:sz w:val="21"/>
              </w:rPr>
            </w:pPr>
          </w:p>
          <w:p w14:paraId="1484CC97">
            <w:pPr>
              <w:pStyle w:val="7"/>
              <w:spacing w:before="78" w:line="217" w:lineRule="auto"/>
              <w:ind w:left="951"/>
            </w:pPr>
            <w:r>
              <w:rPr>
                <w:spacing w:val="-15"/>
              </w:rPr>
              <w:t>粒度范围</w:t>
            </w:r>
          </w:p>
        </w:tc>
        <w:tc>
          <w:tcPr>
            <w:tcW w:w="4072" w:type="dxa"/>
            <w:vAlign w:val="top"/>
          </w:tcPr>
          <w:p w14:paraId="1C56C7FE">
            <w:pPr>
              <w:pStyle w:val="7"/>
              <w:spacing w:before="131" w:line="232" w:lineRule="auto"/>
              <w:ind w:left="1404"/>
            </w:pPr>
            <w:r>
              <w:rPr>
                <w:spacing w:val="-1"/>
              </w:rPr>
              <w:t>&lt;0.6mm（%）</w:t>
            </w:r>
          </w:p>
        </w:tc>
        <w:tc>
          <w:tcPr>
            <w:tcW w:w="2464" w:type="dxa"/>
            <w:tcBorders>
              <w:right w:val="single" w:color="000000" w:sz="4" w:space="0"/>
            </w:tcBorders>
            <w:vAlign w:val="top"/>
          </w:tcPr>
          <w:p w14:paraId="230F1E09">
            <w:pPr>
              <w:pStyle w:val="7"/>
              <w:spacing w:before="131" w:line="237" w:lineRule="auto"/>
              <w:ind w:left="1083"/>
            </w:pPr>
            <w:r>
              <w:rPr>
                <w:spacing w:val="-12"/>
              </w:rPr>
              <w:t>100</w:t>
            </w:r>
          </w:p>
        </w:tc>
      </w:tr>
      <w:tr w14:paraId="3FDB26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2" w:hRule="atLeast"/>
        </w:trPr>
        <w:tc>
          <w:tcPr>
            <w:tcW w:w="2741" w:type="dxa"/>
            <w:vMerge w:val="continue"/>
            <w:tcBorders>
              <w:top w:val="nil"/>
              <w:left w:val="single" w:color="000000" w:sz="4" w:space="0"/>
              <w:bottom w:val="nil"/>
            </w:tcBorders>
            <w:vAlign w:val="top"/>
          </w:tcPr>
          <w:p w14:paraId="5A0003A9">
            <w:pPr>
              <w:rPr>
                <w:rFonts w:ascii="Arial"/>
                <w:sz w:val="21"/>
              </w:rPr>
            </w:pPr>
          </w:p>
        </w:tc>
        <w:tc>
          <w:tcPr>
            <w:tcW w:w="4072" w:type="dxa"/>
            <w:vAlign w:val="top"/>
          </w:tcPr>
          <w:p w14:paraId="0B87A234">
            <w:pPr>
              <w:pStyle w:val="7"/>
              <w:spacing w:before="127" w:line="220" w:lineRule="auto"/>
              <w:ind w:left="1404"/>
            </w:pPr>
            <w:r>
              <w:rPr>
                <w:spacing w:val="-2"/>
              </w:rPr>
              <w:t>&lt;0．15mm(%)</w:t>
            </w:r>
          </w:p>
        </w:tc>
        <w:tc>
          <w:tcPr>
            <w:tcW w:w="2464" w:type="dxa"/>
            <w:tcBorders>
              <w:right w:val="single" w:color="000000" w:sz="4" w:space="0"/>
            </w:tcBorders>
            <w:vAlign w:val="top"/>
          </w:tcPr>
          <w:p w14:paraId="73704627">
            <w:pPr>
              <w:pStyle w:val="7"/>
              <w:spacing w:before="128" w:line="237" w:lineRule="auto"/>
              <w:ind w:left="901"/>
            </w:pPr>
            <w:r>
              <w:rPr>
                <w:spacing w:val="-10"/>
              </w:rPr>
              <w:t>90-100</w:t>
            </w:r>
          </w:p>
        </w:tc>
      </w:tr>
      <w:tr w14:paraId="714ECD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2" w:hRule="atLeast"/>
        </w:trPr>
        <w:tc>
          <w:tcPr>
            <w:tcW w:w="2741" w:type="dxa"/>
            <w:vMerge w:val="continue"/>
            <w:tcBorders>
              <w:top w:val="nil"/>
              <w:left w:val="single" w:color="000000" w:sz="4" w:space="0"/>
            </w:tcBorders>
            <w:vAlign w:val="top"/>
          </w:tcPr>
          <w:p w14:paraId="7BA78166">
            <w:pPr>
              <w:rPr>
                <w:rFonts w:ascii="Arial"/>
                <w:sz w:val="21"/>
              </w:rPr>
            </w:pPr>
          </w:p>
        </w:tc>
        <w:tc>
          <w:tcPr>
            <w:tcW w:w="4072" w:type="dxa"/>
            <w:vAlign w:val="top"/>
          </w:tcPr>
          <w:p w14:paraId="0AB7994C">
            <w:pPr>
              <w:pStyle w:val="7"/>
              <w:spacing w:before="124" w:line="220" w:lineRule="auto"/>
              <w:ind w:left="1404"/>
            </w:pPr>
            <w:r>
              <w:rPr>
                <w:spacing w:val="-2"/>
              </w:rPr>
              <w:t>&lt;0.075mm(%)</w:t>
            </w:r>
          </w:p>
        </w:tc>
        <w:tc>
          <w:tcPr>
            <w:tcW w:w="2464" w:type="dxa"/>
            <w:tcBorders>
              <w:right w:val="single" w:color="000000" w:sz="4" w:space="0"/>
            </w:tcBorders>
            <w:vAlign w:val="top"/>
          </w:tcPr>
          <w:p w14:paraId="3A759C22">
            <w:pPr>
              <w:pStyle w:val="7"/>
              <w:spacing w:before="125" w:line="237" w:lineRule="auto"/>
              <w:ind w:left="906"/>
            </w:pPr>
            <w:r>
              <w:rPr>
                <w:spacing w:val="-10"/>
              </w:rPr>
              <w:t>75-100</w:t>
            </w:r>
          </w:p>
        </w:tc>
      </w:tr>
      <w:tr w14:paraId="3659CB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1" w:hRule="atLeast"/>
        </w:trPr>
        <w:tc>
          <w:tcPr>
            <w:tcW w:w="6813" w:type="dxa"/>
            <w:gridSpan w:val="2"/>
            <w:tcBorders>
              <w:left w:val="single" w:color="1C456A" w:sz="4" w:space="0"/>
              <w:bottom w:val="single" w:color="1C456A" w:sz="4" w:space="0"/>
            </w:tcBorders>
            <w:vAlign w:val="top"/>
          </w:tcPr>
          <w:p w14:paraId="2949B1DC">
            <w:pPr>
              <w:pStyle w:val="7"/>
              <w:spacing w:before="122" w:line="219" w:lineRule="auto"/>
              <w:ind w:left="3208"/>
            </w:pPr>
            <w:r>
              <w:pict>
                <v:shape id="_x0000_s1755" o:spid="_x0000_s1755" style="position:absolute;left:0pt;margin-left:-0.2pt;margin-top:33.1pt;height:0.75pt;width:2.2pt;mso-position-horizontal-relative:page;mso-position-vertical-relative:page;z-index:251823104;mso-width-relative:page;mso-height-relative:page;" fillcolor="#5B9BD5" filled="t" stroked="f" coordsize="44,15" path="m0,14l43,14,43,0,0,0,0,14xe">
                  <v:path/>
                  <v:fill on="t" focussize="0,0"/>
                  <v:stroke on="f"/>
                  <v:imagedata o:title=""/>
                  <o:lock v:ext="edit"/>
                </v:shape>
              </w:pict>
            </w:r>
            <w:r>
              <w:rPr>
                <w:spacing w:val="-11"/>
              </w:rPr>
              <w:t>外观</w:t>
            </w:r>
          </w:p>
        </w:tc>
        <w:tc>
          <w:tcPr>
            <w:tcW w:w="2464" w:type="dxa"/>
            <w:tcBorders>
              <w:bottom w:val="single" w:color="5B9BD5" w:sz="4" w:space="0"/>
              <w:right w:val="single" w:color="5B9BD5" w:sz="4" w:space="0"/>
            </w:tcBorders>
            <w:vAlign w:val="top"/>
          </w:tcPr>
          <w:p w14:paraId="38708F2A">
            <w:pPr>
              <w:pStyle w:val="7"/>
              <w:spacing w:before="121" w:line="217" w:lineRule="auto"/>
              <w:ind w:left="694"/>
            </w:pPr>
            <w:r>
              <w:pict>
                <v:shape id="_x0000_s1756" o:spid="_x0000_s1756" style="position:absolute;left:0pt;margin-left:121.3pt;margin-top:33.1pt;height:0.75pt;width:2.2pt;mso-position-horizontal-relative:page;mso-position-vertical-relative:page;z-index:251824128;mso-width-relative:page;mso-height-relative:page;" fillcolor="#5B9BD5" filled="t" stroked="f" coordsize="44,15" path="m0,14l43,14,43,0,0,0,0,14xe">
                  <v:path/>
                  <v:fill on="t" focussize="0,0"/>
                  <v:stroke on="f"/>
                  <v:imagedata o:title=""/>
                  <o:lock v:ext="edit"/>
                </v:shape>
              </w:pict>
            </w:r>
            <w:r>
              <w:rPr>
                <w:spacing w:val="-18"/>
              </w:rPr>
              <w:t>无团粒结块</w:t>
            </w:r>
          </w:p>
        </w:tc>
      </w:tr>
    </w:tbl>
    <w:p w14:paraId="5AEAE8BA">
      <w:pPr>
        <w:rPr>
          <w:rFonts w:ascii="Arial"/>
          <w:sz w:val="21"/>
        </w:rPr>
      </w:pPr>
    </w:p>
    <w:p w14:paraId="400302BD">
      <w:pPr>
        <w:rPr>
          <w:rFonts w:ascii="Arial" w:hAnsi="Arial" w:eastAsia="Arial" w:cs="Arial"/>
          <w:sz w:val="21"/>
          <w:szCs w:val="21"/>
        </w:rPr>
        <w:sectPr>
          <w:footerReference r:id="rId94" w:type="default"/>
          <w:pgSz w:w="11907" w:h="16839"/>
          <w:pgMar w:top="954" w:right="4" w:bottom="1038" w:left="0" w:header="499" w:footer="357" w:gutter="0"/>
          <w:pgBorders>
            <w:top w:val="none" w:sz="0" w:space="0"/>
            <w:left w:val="none" w:sz="0" w:space="0"/>
            <w:bottom w:val="none" w:sz="0" w:space="0"/>
            <w:right w:val="none" w:sz="0" w:space="0"/>
          </w:pgBorders>
          <w:cols w:space="720" w:num="1"/>
        </w:sectPr>
      </w:pPr>
    </w:p>
    <w:p w14:paraId="279DADE7">
      <w:pPr>
        <w:spacing w:line="214" w:lineRule="exact"/>
      </w:pPr>
    </w:p>
    <w:tbl>
      <w:tblPr>
        <w:tblStyle w:val="6"/>
        <w:tblW w:w="9277" w:type="dxa"/>
        <w:tblInd w:w="1315" w:type="dxa"/>
        <w:tblBorders>
          <w:top w:val="single" w:color="1C456A" w:sz="4" w:space="0"/>
          <w:left w:val="single" w:color="1C456A" w:sz="4" w:space="0"/>
          <w:bottom w:val="single" w:color="1C456A" w:sz="4" w:space="0"/>
          <w:right w:val="single" w:color="1C456A" w:sz="4" w:space="0"/>
          <w:insideH w:val="single" w:color="1C456A" w:sz="4" w:space="0"/>
          <w:insideV w:val="single" w:color="1C456A" w:sz="4" w:space="0"/>
        </w:tblBorders>
        <w:tblLayout w:type="fixed"/>
        <w:tblCellMar>
          <w:top w:w="0" w:type="dxa"/>
          <w:left w:w="0" w:type="dxa"/>
          <w:bottom w:w="0" w:type="dxa"/>
          <w:right w:w="0" w:type="dxa"/>
        </w:tblCellMar>
      </w:tblPr>
      <w:tblGrid>
        <w:gridCol w:w="6810"/>
        <w:gridCol w:w="2467"/>
      </w:tblGrid>
      <w:tr w14:paraId="56F5DD8B">
        <w:tblPrEx>
          <w:tblBorders>
            <w:top w:val="single" w:color="1C456A" w:sz="4" w:space="0"/>
            <w:left w:val="single" w:color="1C456A" w:sz="4" w:space="0"/>
            <w:bottom w:val="single" w:color="1C456A" w:sz="4" w:space="0"/>
            <w:right w:val="single" w:color="1C456A" w:sz="4" w:space="0"/>
            <w:insideH w:val="single" w:color="1C456A" w:sz="4" w:space="0"/>
            <w:insideV w:val="single" w:color="1C456A" w:sz="4" w:space="0"/>
          </w:tblBorders>
          <w:tblCellMar>
            <w:top w:w="0" w:type="dxa"/>
            <w:left w:w="0" w:type="dxa"/>
            <w:bottom w:w="0" w:type="dxa"/>
            <w:right w:w="0" w:type="dxa"/>
          </w:tblCellMar>
        </w:tblPrEx>
        <w:trPr>
          <w:trHeight w:val="697" w:hRule="atLeast"/>
        </w:trPr>
        <w:tc>
          <w:tcPr>
            <w:tcW w:w="6810" w:type="dxa"/>
            <w:tcBorders>
              <w:right w:val="single" w:color="000000" w:sz="2" w:space="0"/>
            </w:tcBorders>
            <w:vAlign w:val="top"/>
          </w:tcPr>
          <w:p w14:paraId="753EB36E">
            <w:pPr>
              <w:pStyle w:val="7"/>
              <w:spacing w:before="150" w:line="219" w:lineRule="auto"/>
              <w:ind w:left="2998"/>
            </w:pPr>
            <w:r>
              <w:rPr>
                <w:spacing w:val="-18"/>
              </w:rPr>
              <w:t>亲水系数</w:t>
            </w:r>
          </w:p>
        </w:tc>
        <w:tc>
          <w:tcPr>
            <w:tcW w:w="2467" w:type="dxa"/>
            <w:tcBorders>
              <w:top w:val="single" w:color="5B9BD5" w:sz="4" w:space="0"/>
              <w:left w:val="single" w:color="000000" w:sz="2" w:space="0"/>
              <w:bottom w:val="single" w:color="5B9BD5" w:sz="4" w:space="0"/>
              <w:right w:val="single" w:color="5B9BD5" w:sz="4" w:space="0"/>
            </w:tcBorders>
            <w:vAlign w:val="top"/>
          </w:tcPr>
          <w:p w14:paraId="13D0B305">
            <w:pPr>
              <w:pStyle w:val="7"/>
              <w:spacing w:before="150" w:line="238" w:lineRule="auto"/>
              <w:ind w:left="1087"/>
            </w:pPr>
            <w:r>
              <w:rPr>
                <w:spacing w:val="34"/>
              </w:rPr>
              <w:t>&lt;1</w:t>
            </w:r>
          </w:p>
        </w:tc>
      </w:tr>
    </w:tbl>
    <w:p w14:paraId="0E1FBA15">
      <w:pPr>
        <w:pStyle w:val="2"/>
        <w:spacing w:before="113" w:line="218" w:lineRule="auto"/>
        <w:ind w:left="1884"/>
        <w:rPr>
          <w:sz w:val="24"/>
          <w:szCs w:val="24"/>
        </w:rPr>
      </w:pPr>
      <w:r>
        <w:rPr>
          <w:spacing w:val="-11"/>
          <w:sz w:val="24"/>
          <w:szCs w:val="24"/>
        </w:rPr>
        <w:t>4.1.3.4沥青</w:t>
      </w:r>
    </w:p>
    <w:p w14:paraId="7BD158F0">
      <w:pPr>
        <w:spacing w:line="19" w:lineRule="auto"/>
        <w:rPr>
          <w:rFonts w:ascii="Arial"/>
          <w:sz w:val="2"/>
        </w:rPr>
      </w:pPr>
    </w:p>
    <w:tbl>
      <w:tblPr>
        <w:tblStyle w:val="6"/>
        <w:tblW w:w="8549" w:type="dxa"/>
        <w:tblInd w:w="1678" w:type="dxa"/>
        <w:tblBorders>
          <w:top w:val="single" w:color="5B9BD5" w:sz="4" w:space="0"/>
          <w:left w:val="single" w:color="5B9BD5" w:sz="4" w:space="0"/>
          <w:bottom w:val="single" w:color="5B9BD5" w:sz="4" w:space="0"/>
          <w:right w:val="single" w:color="5B9BD5" w:sz="4" w:space="0"/>
          <w:insideH w:val="single" w:color="5B9BD5" w:sz="4" w:space="0"/>
          <w:insideV w:val="single" w:color="5B9BD5" w:sz="4" w:space="0"/>
        </w:tblBorders>
        <w:tblLayout w:type="fixed"/>
        <w:tblCellMar>
          <w:top w:w="0" w:type="dxa"/>
          <w:left w:w="0" w:type="dxa"/>
          <w:bottom w:w="0" w:type="dxa"/>
          <w:right w:w="0" w:type="dxa"/>
        </w:tblCellMar>
      </w:tblPr>
      <w:tblGrid>
        <w:gridCol w:w="8549"/>
      </w:tblGrid>
      <w:tr w14:paraId="0F0576B8">
        <w:tblPrEx>
          <w:tblBorders>
            <w:top w:val="single" w:color="5B9BD5" w:sz="4" w:space="0"/>
            <w:left w:val="single" w:color="5B9BD5" w:sz="4" w:space="0"/>
            <w:bottom w:val="single" w:color="5B9BD5" w:sz="4" w:space="0"/>
            <w:right w:val="single" w:color="5B9BD5" w:sz="4" w:space="0"/>
            <w:insideH w:val="single" w:color="5B9BD5" w:sz="4" w:space="0"/>
            <w:insideV w:val="single" w:color="5B9BD5" w:sz="4" w:space="0"/>
          </w:tblBorders>
          <w:tblCellMar>
            <w:top w:w="0" w:type="dxa"/>
            <w:left w:w="0" w:type="dxa"/>
            <w:bottom w:w="0" w:type="dxa"/>
            <w:right w:w="0" w:type="dxa"/>
          </w:tblCellMar>
        </w:tblPrEx>
        <w:trPr>
          <w:trHeight w:val="6176" w:hRule="atLeast"/>
        </w:trPr>
        <w:tc>
          <w:tcPr>
            <w:tcW w:w="8549" w:type="dxa"/>
            <w:tcBorders>
              <w:bottom w:val="single" w:color="000000" w:sz="2" w:space="0"/>
            </w:tcBorders>
            <w:shd w:val="clear" w:color="auto" w:fill="DEEAF6"/>
            <w:vAlign w:val="top"/>
          </w:tcPr>
          <w:p w14:paraId="5F4D20BC">
            <w:pPr>
              <w:spacing w:before="92" w:line="5875" w:lineRule="exact"/>
              <w:ind w:firstLine="73"/>
            </w:pPr>
            <w:r>
              <w:pict>
                <v:group id="_x0000_s1757" o:spid="_x0000_s1757" o:spt="203" style="position:absolute;left:0pt;margin-left:0.85pt;margin-top:2.15pt;height:307.4pt;width:425.85pt;mso-position-horizontal-relative:page;mso-position-vertical-relative:page;z-index:251830272;mso-width-relative:page;mso-height-relative:page;" coordsize="8517,6147">
                  <o:lock v:ext="edit"/>
                  <v:shape id="_x0000_s1758" o:spid="_x0000_s1758" style="position:absolute;left:21;top:0;height:60;width:8474;" fillcolor="#DEEAF6" filled="t" stroked="f" coordsize="8474,60" path="m0,60l8473,60,8473,0,0,0,0,60xe">
                    <v:path/>
                    <v:fill on="t" focussize="0,0"/>
                    <v:stroke on="f"/>
                    <v:imagedata o:title=""/>
                    <o:lock v:ext="edit"/>
                  </v:shape>
                  <v:shape id="_x0000_s1759" o:spid="_x0000_s1759" style="position:absolute;left:0;top:6089;height:58;width:8517;" fillcolor="#DEEAF6" filled="t" stroked="f" coordsize="8517,58" path="m0,57l8516,57,8516,0,0,0,0,57xe">
                    <v:path/>
                    <v:fill on="t" focussize="0,0"/>
                    <v:stroke on="f"/>
                    <v:imagedata o:title=""/>
                    <o:lock v:ext="edit"/>
                  </v:shape>
                </v:group>
              </w:pict>
            </w:r>
            <w:r>
              <w:rPr>
                <w:position w:val="-117"/>
              </w:rPr>
              <w:drawing>
                <wp:inline distT="0" distB="0" distL="0" distR="0">
                  <wp:extent cx="5325745" cy="3729990"/>
                  <wp:effectExtent l="0" t="0" r="0" b="0"/>
                  <wp:docPr id="568" name="IM 568"/>
                  <wp:cNvGraphicFramePr/>
                  <a:graphic xmlns:a="http://schemas.openxmlformats.org/drawingml/2006/main">
                    <a:graphicData uri="http://schemas.openxmlformats.org/drawingml/2006/picture">
                      <pic:pic xmlns:pic="http://schemas.openxmlformats.org/drawingml/2006/picture">
                        <pic:nvPicPr>
                          <pic:cNvPr id="568" name="IM 568"/>
                          <pic:cNvPicPr/>
                        </pic:nvPicPr>
                        <pic:blipFill>
                          <a:blip r:embed="rId557"/>
                          <a:stretch>
                            <a:fillRect/>
                          </a:stretch>
                        </pic:blipFill>
                        <pic:spPr>
                          <a:xfrm>
                            <a:off x="0" y="0"/>
                            <a:ext cx="5326379" cy="3730624"/>
                          </a:xfrm>
                          <a:prstGeom prst="rect">
                            <a:avLst/>
                          </a:prstGeom>
                        </pic:spPr>
                      </pic:pic>
                    </a:graphicData>
                  </a:graphic>
                </wp:inline>
              </w:drawing>
            </w:r>
          </w:p>
        </w:tc>
      </w:tr>
      <w:tr w14:paraId="4AECB9AA">
        <w:tblPrEx>
          <w:tblBorders>
            <w:top w:val="single" w:color="5B9BD5" w:sz="4" w:space="0"/>
            <w:left w:val="single" w:color="5B9BD5" w:sz="4" w:space="0"/>
            <w:bottom w:val="single" w:color="5B9BD5" w:sz="4" w:space="0"/>
            <w:right w:val="single" w:color="5B9BD5" w:sz="4" w:space="0"/>
            <w:insideH w:val="single" w:color="5B9BD5" w:sz="4" w:space="0"/>
            <w:insideV w:val="single" w:color="5B9BD5" w:sz="4" w:space="0"/>
          </w:tblBorders>
          <w:tblCellMar>
            <w:top w:w="0" w:type="dxa"/>
            <w:left w:w="0" w:type="dxa"/>
            <w:bottom w:w="0" w:type="dxa"/>
            <w:right w:w="0" w:type="dxa"/>
          </w:tblCellMar>
        </w:tblPrEx>
        <w:trPr>
          <w:trHeight w:val="625" w:hRule="atLeast"/>
        </w:trPr>
        <w:tc>
          <w:tcPr>
            <w:tcW w:w="8549" w:type="dxa"/>
            <w:tcBorders>
              <w:top w:val="single" w:color="000000" w:sz="2" w:space="0"/>
              <w:left w:val="single" w:color="1C456A" w:sz="4" w:space="0"/>
              <w:bottom w:val="single" w:color="1C456A" w:sz="4" w:space="0"/>
              <w:right w:val="single" w:color="1C456A" w:sz="4" w:space="0"/>
            </w:tcBorders>
            <w:vAlign w:val="top"/>
          </w:tcPr>
          <w:p w14:paraId="7AFDD80B">
            <w:pPr>
              <w:pStyle w:val="7"/>
              <w:spacing w:before="102" w:line="217" w:lineRule="auto"/>
              <w:ind w:left="3199"/>
            </w:pPr>
            <w:r>
              <w:pict>
                <v:shape id="_x0000_s1760" o:spid="_x0000_s1760" style="position:absolute;left:0pt;margin-left:-0.25pt;margin-top:31.3pt;height:0.75pt;width:2.2pt;mso-position-horizontal-relative:page;mso-position-vertical-relative:page;z-index:251829248;mso-width-relative:page;mso-height-relative:page;" fillcolor="#5B9BD5" filled="t" stroked="f" coordsize="44,15" path="m0,14l43,14,43,0,0,0,0,14xe">
                  <v:path/>
                  <v:fill on="t" focussize="0,0"/>
                  <v:stroke on="f"/>
                  <v:imagedata o:title=""/>
                  <o:lock v:ext="edit"/>
                </v:shape>
              </w:pict>
            </w:r>
            <w:r>
              <w:rPr>
                <w:spacing w:val="-20"/>
              </w:rPr>
              <w:t>沥青路面施工部分机械</w:t>
            </w:r>
          </w:p>
        </w:tc>
      </w:tr>
    </w:tbl>
    <w:p w14:paraId="08CD1A81">
      <w:pPr>
        <w:pStyle w:val="2"/>
        <w:spacing w:before="115" w:line="216" w:lineRule="auto"/>
        <w:ind w:left="1884"/>
        <w:rPr>
          <w:sz w:val="24"/>
          <w:szCs w:val="24"/>
        </w:rPr>
      </w:pPr>
      <w:r>
        <w:rPr>
          <w:spacing w:val="-18"/>
          <w:sz w:val="24"/>
          <w:szCs w:val="24"/>
        </w:rPr>
        <w:t>4.1.3.4.1使用的沥青材料应为重交通道路石油沥青。</w:t>
      </w:r>
    </w:p>
    <w:p w14:paraId="37C6DA07">
      <w:pPr>
        <w:pStyle w:val="2"/>
        <w:spacing w:before="118" w:line="262" w:lineRule="auto"/>
        <w:ind w:left="1499" w:right="1409" w:firstLine="385"/>
        <w:rPr>
          <w:sz w:val="24"/>
          <w:szCs w:val="24"/>
        </w:rPr>
      </w:pPr>
      <w:r>
        <w:rPr>
          <w:spacing w:val="-21"/>
          <w:sz w:val="24"/>
          <w:szCs w:val="24"/>
        </w:rPr>
        <w:t>4.1.3.4.2运到现场的每批沥青都应附有制造厂的证明和出厂</w:t>
      </w:r>
      <w:r>
        <w:rPr>
          <w:spacing w:val="-22"/>
          <w:sz w:val="24"/>
          <w:szCs w:val="24"/>
        </w:rPr>
        <w:t>试验报告，进口沥青应附有进</w:t>
      </w:r>
      <w:r>
        <w:rPr>
          <w:spacing w:val="-23"/>
          <w:sz w:val="24"/>
          <w:szCs w:val="24"/>
        </w:rPr>
        <w:t>口检验合格证，并说明装运数量、装运日期、定货数量等。</w:t>
      </w:r>
    </w:p>
    <w:p w14:paraId="0C889B54">
      <w:pPr>
        <w:pStyle w:val="2"/>
        <w:spacing w:before="120" w:line="216" w:lineRule="auto"/>
        <w:ind w:left="1884"/>
        <w:rPr>
          <w:sz w:val="24"/>
          <w:szCs w:val="24"/>
        </w:rPr>
      </w:pPr>
      <w:r>
        <w:rPr>
          <w:spacing w:val="-17"/>
          <w:sz w:val="24"/>
          <w:szCs w:val="24"/>
        </w:rPr>
        <w:t>4.1.3.4.3面层沥青材料的技术要求应符合重交</w:t>
      </w:r>
      <w:r>
        <w:rPr>
          <w:spacing w:val="-18"/>
          <w:sz w:val="24"/>
          <w:szCs w:val="24"/>
        </w:rPr>
        <w:t>通道路石油沥青AH70技术要求。</w:t>
      </w:r>
    </w:p>
    <w:p w14:paraId="0D508870">
      <w:pPr>
        <w:pStyle w:val="2"/>
        <w:spacing w:before="118" w:line="308" w:lineRule="auto"/>
        <w:ind w:left="1456" w:right="1376" w:firstLine="428"/>
        <w:rPr>
          <w:sz w:val="24"/>
          <w:szCs w:val="24"/>
        </w:rPr>
      </w:pPr>
      <w:r>
        <w:rPr>
          <w:spacing w:val="-19"/>
          <w:sz w:val="24"/>
          <w:szCs w:val="24"/>
        </w:rPr>
        <w:t>4.</w:t>
      </w:r>
      <w:r>
        <w:fldChar w:fldCharType="begin"/>
      </w:r>
      <w:r>
        <w:instrText xml:space="preserve">HYPERLINK"1.3.4.4"</w:instrText>
      </w:r>
      <w:r>
        <w:fldChar w:fldCharType="separate"/>
      </w:r>
      <w:r>
        <w:rPr>
          <w:spacing w:val="-19"/>
          <w:sz w:val="24"/>
          <w:szCs w:val="24"/>
        </w:rPr>
        <w:t>1.3.4.4</w:t>
      </w:r>
      <w:r>
        <w:rPr>
          <w:spacing w:val="-19"/>
          <w:sz w:val="24"/>
          <w:szCs w:val="24"/>
        </w:rPr>
        <w:fldChar w:fldCharType="end"/>
      </w:r>
      <w:r>
        <w:rPr>
          <w:spacing w:val="-19"/>
          <w:sz w:val="24"/>
          <w:szCs w:val="24"/>
        </w:rPr>
        <w:t>施工开始前28d将拟用的沥青样品和上述证明及试验报告提交监理工程师检验、</w:t>
      </w:r>
      <w:r>
        <w:rPr>
          <w:spacing w:val="-21"/>
          <w:sz w:val="24"/>
          <w:szCs w:val="24"/>
        </w:rPr>
        <w:t>批准。除监理工程师另有批示外，承包人不得在施工中以其它</w:t>
      </w:r>
      <w:r>
        <w:rPr>
          <w:spacing w:val="-22"/>
          <w:sz w:val="24"/>
          <w:szCs w:val="24"/>
        </w:rPr>
        <w:t>沥青替代。</w:t>
      </w:r>
    </w:p>
    <w:p w14:paraId="64ED2102">
      <w:pPr>
        <w:pStyle w:val="2"/>
        <w:spacing w:line="261" w:lineRule="auto"/>
        <w:ind w:left="1460" w:right="1410" w:firstLine="424"/>
        <w:rPr>
          <w:sz w:val="24"/>
          <w:szCs w:val="24"/>
        </w:rPr>
      </w:pPr>
      <w:r>
        <w:rPr>
          <w:spacing w:val="-21"/>
          <w:sz w:val="24"/>
          <w:szCs w:val="24"/>
        </w:rPr>
        <w:t>4.1.3.4.5进场沥青每批都重新进行取样和试验。取样和试</w:t>
      </w:r>
      <w:r>
        <w:rPr>
          <w:spacing w:val="-22"/>
          <w:sz w:val="24"/>
          <w:szCs w:val="24"/>
        </w:rPr>
        <w:t>验应符合《公路工程沥青及沥青</w:t>
      </w:r>
      <w:r>
        <w:rPr>
          <w:spacing w:val="-21"/>
          <w:sz w:val="24"/>
          <w:szCs w:val="24"/>
        </w:rPr>
        <w:t>混合料试验规程》的规定。</w:t>
      </w:r>
    </w:p>
    <w:p w14:paraId="70DD2EB7">
      <w:pPr>
        <w:pStyle w:val="2"/>
        <w:spacing w:before="121" w:line="215" w:lineRule="auto"/>
        <w:ind w:left="1884"/>
        <w:rPr>
          <w:sz w:val="24"/>
          <w:szCs w:val="24"/>
        </w:rPr>
      </w:pPr>
      <w:r>
        <w:rPr>
          <w:spacing w:val="-19"/>
          <w:sz w:val="24"/>
          <w:szCs w:val="24"/>
        </w:rPr>
        <w:t>4.1.3.4.6不同生产厂家、不同标号的沥青必须分开存放，不得混杂，并应</w:t>
      </w:r>
      <w:r>
        <w:rPr>
          <w:spacing w:val="-20"/>
          <w:sz w:val="24"/>
          <w:szCs w:val="24"/>
        </w:rPr>
        <w:t>有防水措施。</w:t>
      </w:r>
    </w:p>
    <w:p w14:paraId="2F939EF7">
      <w:pPr>
        <w:pStyle w:val="2"/>
        <w:spacing w:before="121" w:line="216" w:lineRule="auto"/>
        <w:ind w:left="1884"/>
        <w:rPr>
          <w:sz w:val="24"/>
          <w:szCs w:val="24"/>
        </w:rPr>
      </w:pPr>
      <w:r>
        <w:rPr>
          <w:spacing w:val="-17"/>
          <w:sz w:val="24"/>
          <w:szCs w:val="24"/>
        </w:rPr>
        <w:t>4.1.4沥青混合料组成设计</w:t>
      </w:r>
    </w:p>
    <w:p w14:paraId="051E9059">
      <w:pPr>
        <w:pStyle w:val="2"/>
        <w:spacing w:before="117" w:line="216" w:lineRule="auto"/>
        <w:ind w:left="1884"/>
        <w:rPr>
          <w:sz w:val="24"/>
          <w:szCs w:val="24"/>
        </w:rPr>
      </w:pPr>
      <w:r>
        <w:rPr>
          <w:spacing w:val="-17"/>
          <w:sz w:val="24"/>
          <w:szCs w:val="24"/>
        </w:rPr>
        <w:t>4.1.4.1沥青混合料面层为多层式结构。</w:t>
      </w:r>
    </w:p>
    <w:p w14:paraId="7E385815">
      <w:pPr>
        <w:pStyle w:val="2"/>
        <w:spacing w:before="120" w:line="262" w:lineRule="auto"/>
        <w:ind w:left="1456" w:right="1409" w:firstLine="428"/>
        <w:rPr>
          <w:sz w:val="24"/>
          <w:szCs w:val="24"/>
        </w:rPr>
      </w:pPr>
      <w:r>
        <w:rPr>
          <w:spacing w:val="-22"/>
          <w:sz w:val="24"/>
          <w:szCs w:val="24"/>
        </w:rPr>
        <w:t>4.1.4.2各层沥青混合料的技术标准应符合《公路沥青路面施工技术规范》的规定。上面层</w:t>
      </w:r>
      <w:r>
        <w:rPr>
          <w:spacing w:val="-17"/>
          <w:sz w:val="24"/>
          <w:szCs w:val="24"/>
        </w:rPr>
        <w:t>和中面层车辙试验动稳定度应不小于800次/mm。</w:t>
      </w:r>
    </w:p>
    <w:p w14:paraId="3610E029">
      <w:pPr>
        <w:pStyle w:val="2"/>
        <w:spacing w:before="119" w:line="277" w:lineRule="auto"/>
        <w:ind w:left="1459" w:right="1412" w:firstLine="425"/>
        <w:rPr>
          <w:sz w:val="24"/>
          <w:szCs w:val="24"/>
        </w:rPr>
      </w:pPr>
      <w:r>
        <w:rPr>
          <w:spacing w:val="-17"/>
          <w:sz w:val="24"/>
          <w:szCs w:val="24"/>
        </w:rPr>
        <w:t>4.1.4.3现场技术人员应在28d前向监理工程师提交拟用的沥青混合料</w:t>
      </w:r>
      <w:r>
        <w:rPr>
          <w:spacing w:val="-18"/>
          <w:sz w:val="24"/>
          <w:szCs w:val="24"/>
        </w:rPr>
        <w:t>级配沥青结合料用量</w:t>
      </w:r>
      <w:r>
        <w:rPr>
          <w:spacing w:val="-20"/>
          <w:sz w:val="24"/>
          <w:szCs w:val="24"/>
        </w:rPr>
        <w:t>及沥青混合料稳定度、流值、空隙率、动稳定度、残留稳定度等各项技术指标做出书面详细说</w:t>
      </w:r>
      <w:r>
        <w:rPr>
          <w:spacing w:val="-22"/>
          <w:sz w:val="24"/>
          <w:szCs w:val="24"/>
        </w:rPr>
        <w:t>明。在现场技术人员提交目标配合比未经监理工程师批准前，不得进入生产配合比设计。</w:t>
      </w:r>
    </w:p>
    <w:p w14:paraId="1C2DCF3A">
      <w:pPr>
        <w:spacing w:line="277" w:lineRule="auto"/>
        <w:rPr>
          <w:sz w:val="24"/>
          <w:szCs w:val="24"/>
        </w:rPr>
        <w:sectPr>
          <w:footerReference r:id="rId95" w:type="default"/>
          <w:pgSz w:w="11907" w:h="16839"/>
          <w:pgMar w:top="954" w:right="4" w:bottom="1038" w:left="0" w:header="499" w:footer="357" w:gutter="0"/>
          <w:pgBorders>
            <w:top w:val="none" w:sz="0" w:space="0"/>
            <w:left w:val="none" w:sz="0" w:space="0"/>
            <w:bottom w:val="none" w:sz="0" w:space="0"/>
            <w:right w:val="none" w:sz="0" w:space="0"/>
          </w:pgBorders>
          <w:cols w:space="720" w:num="1"/>
        </w:sectPr>
      </w:pPr>
    </w:p>
    <w:p w14:paraId="24AAEB08">
      <w:pPr>
        <w:spacing w:line="249" w:lineRule="auto"/>
        <w:rPr>
          <w:rFonts w:ascii="Arial"/>
          <w:sz w:val="21"/>
        </w:rPr>
      </w:pPr>
    </w:p>
    <w:p w14:paraId="7C740329">
      <w:pPr>
        <w:pStyle w:val="2"/>
        <w:spacing w:before="78" w:line="308" w:lineRule="auto"/>
        <w:ind w:left="1455" w:right="1409" w:firstLine="439"/>
        <w:rPr>
          <w:sz w:val="24"/>
          <w:szCs w:val="24"/>
        </w:rPr>
      </w:pPr>
      <w:r>
        <w:rPr>
          <w:spacing w:val="-20"/>
          <w:sz w:val="24"/>
          <w:szCs w:val="24"/>
        </w:rPr>
        <w:t>在沥青混合料未被批准之前不得进行下一步工序。未经监理工程师认可，批准的沥青混合</w:t>
      </w:r>
      <w:r>
        <w:rPr>
          <w:spacing w:val="-21"/>
          <w:sz w:val="24"/>
          <w:szCs w:val="24"/>
        </w:rPr>
        <w:t>料配合比和原材料品种不得更改。</w:t>
      </w:r>
    </w:p>
    <w:p w14:paraId="1191D0D1">
      <w:pPr>
        <w:pStyle w:val="2"/>
        <w:spacing w:line="218" w:lineRule="auto"/>
        <w:ind w:left="1884"/>
        <w:rPr>
          <w:sz w:val="24"/>
          <w:szCs w:val="24"/>
        </w:rPr>
      </w:pPr>
      <w:r>
        <w:rPr>
          <w:spacing w:val="-13"/>
          <w:sz w:val="24"/>
          <w:szCs w:val="24"/>
        </w:rPr>
        <w:t>4.1.5施工要求</w:t>
      </w:r>
    </w:p>
    <w:p w14:paraId="3D34B3C3">
      <w:pPr>
        <w:pStyle w:val="2"/>
        <w:spacing w:before="118" w:line="307" w:lineRule="auto"/>
        <w:ind w:left="1457" w:right="1409" w:firstLine="427"/>
        <w:rPr>
          <w:sz w:val="24"/>
          <w:szCs w:val="24"/>
        </w:rPr>
      </w:pPr>
      <w:r>
        <w:rPr>
          <w:spacing w:val="-17"/>
          <w:sz w:val="24"/>
          <w:szCs w:val="24"/>
        </w:rPr>
        <w:t>4.1.5.1运料设备应采用干净有金属</w:t>
      </w:r>
      <w:r>
        <w:rPr>
          <w:spacing w:val="-18"/>
          <w:sz w:val="24"/>
          <w:szCs w:val="24"/>
        </w:rPr>
        <w:t>底板的自卸翻斗车辆运送混合料，车槽内不得沾有杂</w:t>
      </w:r>
      <w:r>
        <w:rPr>
          <w:spacing w:val="-21"/>
          <w:sz w:val="24"/>
          <w:szCs w:val="24"/>
        </w:rPr>
        <w:t>物。运输车辆应备有覆盖设备，车辆四角应密封坚固。</w:t>
      </w:r>
    </w:p>
    <w:p w14:paraId="25970B88">
      <w:pPr>
        <w:pStyle w:val="2"/>
        <w:spacing w:before="2" w:line="307" w:lineRule="auto"/>
        <w:ind w:left="1457" w:right="1409" w:firstLine="439"/>
        <w:jc w:val="both"/>
        <w:rPr>
          <w:sz w:val="24"/>
          <w:szCs w:val="24"/>
        </w:rPr>
      </w:pPr>
      <w:r>
        <w:rPr>
          <w:spacing w:val="-20"/>
          <w:sz w:val="24"/>
          <w:szCs w:val="24"/>
        </w:rPr>
        <w:t>沥青混合料摊铺设备应是自动式的，安装有可调的活动熨平板或整平组件。熨平板在需要时可以加热，能按照规定的典型横断面和图纸所示的厚度在车道宽度内摊铺，摊铺机应有振动</w:t>
      </w:r>
      <w:r>
        <w:rPr>
          <w:spacing w:val="-22"/>
          <w:sz w:val="24"/>
          <w:szCs w:val="24"/>
        </w:rPr>
        <w:t>夯板或可调整振幅的振动熨平板的组合装置，夯板一振动熨平板频率，应能各自单独的调整。</w:t>
      </w:r>
    </w:p>
    <w:p w14:paraId="67D79DAD">
      <w:pPr>
        <w:pStyle w:val="2"/>
        <w:spacing w:before="1" w:line="308" w:lineRule="auto"/>
        <w:ind w:left="1456" w:right="1409" w:firstLine="436"/>
        <w:rPr>
          <w:sz w:val="24"/>
          <w:szCs w:val="24"/>
        </w:rPr>
      </w:pPr>
      <w:r>
        <w:rPr>
          <w:spacing w:val="-20"/>
          <w:sz w:val="24"/>
          <w:szCs w:val="24"/>
        </w:rPr>
        <w:t>摊铺沥青混合料时，摊铺机的摊铺速度应根据拌和机产量、施工机械配套情况及摊铺层厚</w:t>
      </w:r>
      <w:r>
        <w:rPr>
          <w:spacing w:val="-22"/>
          <w:sz w:val="24"/>
          <w:szCs w:val="24"/>
        </w:rPr>
        <w:t>度、宽度确定。</w:t>
      </w:r>
    </w:p>
    <w:p w14:paraId="7826D5AC">
      <w:pPr>
        <w:pStyle w:val="2"/>
        <w:spacing w:before="1" w:line="307" w:lineRule="auto"/>
        <w:ind w:left="1456" w:right="1410" w:firstLine="436"/>
        <w:rPr>
          <w:sz w:val="24"/>
          <w:szCs w:val="24"/>
        </w:rPr>
      </w:pPr>
      <w:r>
        <w:rPr>
          <w:spacing w:val="-20"/>
          <w:sz w:val="24"/>
          <w:szCs w:val="24"/>
        </w:rPr>
        <w:t>摊铺机应配备整平板自控装置，传感器可通过基准线自动发生信号来操纵熨平板，使摊铺</w:t>
      </w:r>
      <w:r>
        <w:rPr>
          <w:spacing w:val="-21"/>
          <w:sz w:val="24"/>
          <w:szCs w:val="24"/>
        </w:rPr>
        <w:t>机能铺筑出理想的纵横坡度和平整度。</w:t>
      </w:r>
    </w:p>
    <w:p w14:paraId="53AB44A8">
      <w:pPr>
        <w:pStyle w:val="2"/>
        <w:spacing w:before="1" w:line="307" w:lineRule="auto"/>
        <w:ind w:left="1458" w:right="1411" w:firstLine="434"/>
        <w:rPr>
          <w:sz w:val="24"/>
          <w:szCs w:val="24"/>
        </w:rPr>
      </w:pPr>
      <w:r>
        <w:rPr>
          <w:spacing w:val="-20"/>
          <w:sz w:val="24"/>
          <w:szCs w:val="24"/>
        </w:rPr>
        <w:t>压实设备应配有钢轮式、轮胎式及振动压路机，能按合理的压实工艺进行组合压实。还应</w:t>
      </w:r>
      <w:r>
        <w:rPr>
          <w:spacing w:val="-21"/>
          <w:sz w:val="24"/>
          <w:szCs w:val="24"/>
        </w:rPr>
        <w:t>备有监理工程师认可的小型振动压（夯）实机具，以用于</w:t>
      </w:r>
      <w:r>
        <w:rPr>
          <w:spacing w:val="-22"/>
          <w:sz w:val="24"/>
          <w:szCs w:val="24"/>
        </w:rPr>
        <w:t>压路机不便压实的地方。</w:t>
      </w:r>
    </w:p>
    <w:p w14:paraId="1CC3D3C0">
      <w:pPr>
        <w:pStyle w:val="2"/>
        <w:spacing w:before="1" w:line="215" w:lineRule="auto"/>
        <w:ind w:left="1884"/>
        <w:rPr>
          <w:sz w:val="24"/>
          <w:szCs w:val="24"/>
        </w:rPr>
      </w:pPr>
      <w:r>
        <w:rPr>
          <w:spacing w:val="-15"/>
          <w:sz w:val="24"/>
          <w:szCs w:val="24"/>
        </w:rPr>
        <w:t>4.1.5.2沥青混合料的拌和</w:t>
      </w:r>
    </w:p>
    <w:p w14:paraId="3E1FB125">
      <w:pPr>
        <w:pStyle w:val="2"/>
        <w:spacing w:before="119" w:line="262" w:lineRule="auto"/>
        <w:ind w:left="1455" w:right="1411" w:firstLine="429"/>
        <w:rPr>
          <w:sz w:val="24"/>
          <w:szCs w:val="24"/>
        </w:rPr>
      </w:pPr>
      <w:r>
        <w:rPr>
          <w:spacing w:val="-21"/>
          <w:sz w:val="24"/>
          <w:szCs w:val="24"/>
        </w:rPr>
        <w:t>4.1.5.2.1粗、细集料应分类堆放和供料，取自不同料源和</w:t>
      </w:r>
      <w:r>
        <w:rPr>
          <w:spacing w:val="-22"/>
          <w:sz w:val="24"/>
          <w:szCs w:val="24"/>
        </w:rPr>
        <w:t>集料应分开堆放。每个料源和材料应进行抽样试验，并经监理工程师批准。</w:t>
      </w:r>
    </w:p>
    <w:p w14:paraId="1F8BF308">
      <w:pPr>
        <w:pStyle w:val="2"/>
        <w:spacing w:before="118" w:line="262" w:lineRule="auto"/>
        <w:ind w:left="1456" w:right="1411" w:firstLine="428"/>
        <w:rPr>
          <w:sz w:val="24"/>
          <w:szCs w:val="24"/>
        </w:rPr>
      </w:pPr>
      <w:r>
        <w:rPr>
          <w:spacing w:val="-21"/>
          <w:sz w:val="24"/>
          <w:szCs w:val="24"/>
        </w:rPr>
        <w:t>4.1.5.2.2拌和时，每种规格的集料，矿粉和沥青都必</w:t>
      </w:r>
      <w:r>
        <w:rPr>
          <w:spacing w:val="-22"/>
          <w:sz w:val="24"/>
          <w:szCs w:val="24"/>
        </w:rPr>
        <w:t>须按批准的生产配合比准确计量，其</w:t>
      </w:r>
      <w:r>
        <w:rPr>
          <w:spacing w:val="-21"/>
          <w:sz w:val="24"/>
          <w:szCs w:val="24"/>
        </w:rPr>
        <w:t>计量误差应控制在规定的范围内。</w:t>
      </w:r>
    </w:p>
    <w:p w14:paraId="257FE665">
      <w:pPr>
        <w:pStyle w:val="2"/>
        <w:spacing w:before="120" w:line="262" w:lineRule="auto"/>
        <w:ind w:left="1459" w:right="1409" w:firstLine="425"/>
        <w:rPr>
          <w:sz w:val="24"/>
          <w:szCs w:val="24"/>
        </w:rPr>
      </w:pPr>
      <w:r>
        <w:rPr>
          <w:spacing w:val="-21"/>
          <w:sz w:val="24"/>
          <w:szCs w:val="24"/>
        </w:rPr>
        <w:t>4.1.5.2.3沥青的加热温度、矿料加热温度、沥青混合料</w:t>
      </w:r>
      <w:r>
        <w:rPr>
          <w:spacing w:val="-22"/>
          <w:sz w:val="24"/>
          <w:szCs w:val="24"/>
        </w:rPr>
        <w:t>的出厂温度，保证运到施工现场的</w:t>
      </w:r>
      <w:r>
        <w:rPr>
          <w:spacing w:val="-19"/>
          <w:sz w:val="24"/>
          <w:szCs w:val="24"/>
        </w:rPr>
        <w:t>温度均应符合《公路沥青路面施工技术规范》（JTJ032-94）规定的要求。</w:t>
      </w:r>
    </w:p>
    <w:p w14:paraId="55CE3D95">
      <w:pPr>
        <w:pStyle w:val="2"/>
        <w:spacing w:before="120" w:line="262" w:lineRule="auto"/>
        <w:ind w:left="1459" w:right="1412" w:firstLine="425"/>
        <w:rPr>
          <w:sz w:val="24"/>
          <w:szCs w:val="24"/>
        </w:rPr>
      </w:pPr>
      <w:r>
        <w:rPr>
          <w:spacing w:val="-19"/>
          <w:sz w:val="24"/>
          <w:szCs w:val="24"/>
        </w:rPr>
        <w:t>4.1.5.2.4所有过度加热即沥青混合料出厂温度超过正常温度高限的30度时，混合料应予</w:t>
      </w:r>
      <w:r>
        <w:rPr>
          <w:spacing w:val="-21"/>
          <w:sz w:val="24"/>
          <w:szCs w:val="24"/>
        </w:rPr>
        <w:t>废弃。拌和后的混合料的必须均匀一致，无花白、无</w:t>
      </w:r>
      <w:r>
        <w:rPr>
          <w:spacing w:val="-22"/>
          <w:sz w:val="24"/>
          <w:szCs w:val="24"/>
        </w:rPr>
        <w:t>粗细料离析和结团现象。</w:t>
      </w:r>
    </w:p>
    <w:p w14:paraId="4741670B">
      <w:pPr>
        <w:pStyle w:val="2"/>
        <w:spacing w:before="117" w:line="262" w:lineRule="auto"/>
        <w:ind w:left="1455" w:right="1409" w:firstLine="429"/>
        <w:rPr>
          <w:sz w:val="24"/>
          <w:szCs w:val="24"/>
        </w:rPr>
      </w:pPr>
      <w:r>
        <w:rPr>
          <w:spacing w:val="-21"/>
          <w:sz w:val="24"/>
          <w:szCs w:val="24"/>
        </w:rPr>
        <w:t>4.1.5.2.5材料的规格或配合比发生改变时，都应根据室内试验资料</w:t>
      </w:r>
      <w:r>
        <w:rPr>
          <w:spacing w:val="-22"/>
          <w:sz w:val="24"/>
          <w:szCs w:val="24"/>
        </w:rPr>
        <w:t>进行试拌。试拌时必须</w:t>
      </w:r>
      <w:r>
        <w:rPr>
          <w:spacing w:val="-21"/>
          <w:sz w:val="24"/>
          <w:szCs w:val="24"/>
        </w:rPr>
        <w:t>抽样检查混合料的沥青含量、级配组成和有关指标，并报请总</w:t>
      </w:r>
      <w:r>
        <w:rPr>
          <w:spacing w:val="-22"/>
          <w:sz w:val="24"/>
          <w:szCs w:val="24"/>
        </w:rPr>
        <w:t>监理工程师批准。</w:t>
      </w:r>
    </w:p>
    <w:p w14:paraId="2D418B7E">
      <w:pPr>
        <w:pStyle w:val="2"/>
        <w:spacing w:before="121" w:line="216" w:lineRule="auto"/>
        <w:ind w:left="1884"/>
        <w:rPr>
          <w:sz w:val="24"/>
          <w:szCs w:val="24"/>
        </w:rPr>
      </w:pPr>
      <w:r>
        <w:rPr>
          <w:spacing w:val="-17"/>
          <w:sz w:val="24"/>
          <w:szCs w:val="24"/>
        </w:rPr>
        <w:t>4.2沥青混合料的运送</w:t>
      </w:r>
    </w:p>
    <w:p w14:paraId="22A7B906">
      <w:pPr>
        <w:pStyle w:val="2"/>
        <w:spacing w:before="117" w:line="262" w:lineRule="auto"/>
        <w:ind w:left="1459" w:right="1415" w:firstLine="425"/>
        <w:rPr>
          <w:sz w:val="24"/>
          <w:szCs w:val="24"/>
        </w:rPr>
      </w:pPr>
      <w:r>
        <w:rPr>
          <w:spacing w:val="-18"/>
          <w:sz w:val="24"/>
          <w:szCs w:val="24"/>
        </w:rPr>
        <w:t>4.2.1用数字显示插入式热偶温度计或水银温度计检测沥青混合料的出厂温度和运</w:t>
      </w:r>
      <w:r>
        <w:rPr>
          <w:spacing w:val="-19"/>
          <w:sz w:val="24"/>
          <w:szCs w:val="24"/>
        </w:rPr>
        <w:t>到现场温度。插入深度要大于150mm。在运料卡车侧面中部设专用检测孔，孔口距车箱底面</w:t>
      </w:r>
      <w:r>
        <w:rPr>
          <w:spacing w:val="-20"/>
          <w:sz w:val="24"/>
          <w:szCs w:val="24"/>
        </w:rPr>
        <w:t>约300mm。</w:t>
      </w:r>
    </w:p>
    <w:p w14:paraId="210C6DE9">
      <w:pPr>
        <w:pStyle w:val="2"/>
        <w:spacing w:before="122" w:line="215" w:lineRule="auto"/>
        <w:ind w:left="1884"/>
        <w:rPr>
          <w:sz w:val="24"/>
          <w:szCs w:val="24"/>
        </w:rPr>
      </w:pPr>
      <w:r>
        <w:rPr>
          <w:spacing w:val="-20"/>
          <w:sz w:val="24"/>
          <w:szCs w:val="24"/>
        </w:rPr>
        <w:t>4.2.2拌和楼向运料车放料时，汽车应前后移动，分几堆装料，以减少粗集料的分离现象。</w:t>
      </w:r>
    </w:p>
    <w:p w14:paraId="2E6FCDCE">
      <w:pPr>
        <w:pStyle w:val="2"/>
        <w:spacing w:before="119" w:line="262" w:lineRule="auto"/>
        <w:ind w:left="1456" w:right="1409" w:firstLine="428"/>
        <w:rPr>
          <w:sz w:val="24"/>
          <w:szCs w:val="24"/>
        </w:rPr>
      </w:pPr>
      <w:r>
        <w:rPr>
          <w:spacing w:val="-23"/>
          <w:sz w:val="24"/>
          <w:szCs w:val="24"/>
        </w:rPr>
        <w:t>4.2.3已经离析或结成团块或在运料车辆卸料时滞留于车上的混合料，以及低于</w:t>
      </w:r>
      <w:r>
        <w:rPr>
          <w:spacing w:val="-24"/>
          <w:sz w:val="24"/>
          <w:szCs w:val="24"/>
        </w:rPr>
        <w:t>规定铺筑温</w:t>
      </w:r>
      <w:r>
        <w:rPr>
          <w:spacing w:val="-21"/>
          <w:sz w:val="24"/>
          <w:szCs w:val="24"/>
        </w:rPr>
        <w:t>度或被雨水淋湿的混合料都应废弃。</w:t>
      </w:r>
    </w:p>
    <w:p w14:paraId="2BDCF865">
      <w:pPr>
        <w:pStyle w:val="2"/>
        <w:spacing w:before="120" w:line="215" w:lineRule="auto"/>
        <w:ind w:left="1884"/>
        <w:rPr>
          <w:sz w:val="24"/>
          <w:szCs w:val="24"/>
        </w:rPr>
      </w:pPr>
      <w:r>
        <w:rPr>
          <w:spacing w:val="-19"/>
          <w:sz w:val="24"/>
          <w:szCs w:val="24"/>
        </w:rPr>
        <w:t>4.2.4运料车应有蓬布覆盖设施，以确保温度</w:t>
      </w:r>
      <w:r>
        <w:rPr>
          <w:spacing w:val="-20"/>
          <w:sz w:val="24"/>
          <w:szCs w:val="24"/>
        </w:rPr>
        <w:t>或避免污染环境。</w:t>
      </w:r>
    </w:p>
    <w:p w14:paraId="354C9FE7">
      <w:pPr>
        <w:pStyle w:val="2"/>
        <w:spacing w:before="119" w:line="215" w:lineRule="auto"/>
        <w:ind w:left="1884"/>
        <w:rPr>
          <w:sz w:val="24"/>
          <w:szCs w:val="24"/>
        </w:rPr>
      </w:pPr>
      <w:r>
        <w:rPr>
          <w:spacing w:val="-19"/>
          <w:sz w:val="24"/>
          <w:szCs w:val="24"/>
        </w:rPr>
        <w:t>4.2.5运至铺筑现场的混合料，应在当天或当班完成压实。</w:t>
      </w:r>
    </w:p>
    <w:p w14:paraId="5934427D">
      <w:pPr>
        <w:pStyle w:val="2"/>
        <w:spacing w:before="121" w:line="216" w:lineRule="auto"/>
        <w:ind w:left="1884"/>
        <w:rPr>
          <w:sz w:val="24"/>
          <w:szCs w:val="24"/>
        </w:rPr>
      </w:pPr>
      <w:r>
        <w:rPr>
          <w:spacing w:val="-17"/>
          <w:sz w:val="24"/>
          <w:szCs w:val="24"/>
        </w:rPr>
        <w:t>4.3沥青混合料的摊铺</w:t>
      </w:r>
    </w:p>
    <w:p w14:paraId="5F0EDC8C">
      <w:pPr>
        <w:spacing w:line="216" w:lineRule="auto"/>
        <w:rPr>
          <w:sz w:val="24"/>
          <w:szCs w:val="24"/>
        </w:rPr>
        <w:sectPr>
          <w:footerReference r:id="rId96" w:type="default"/>
          <w:pgSz w:w="11907" w:h="16839"/>
          <w:pgMar w:top="954" w:right="4" w:bottom="1038" w:left="0" w:header="499" w:footer="357" w:gutter="0"/>
          <w:pgBorders>
            <w:top w:val="none" w:sz="0" w:space="0"/>
            <w:left w:val="none" w:sz="0" w:space="0"/>
            <w:bottom w:val="none" w:sz="0" w:space="0"/>
            <w:right w:val="none" w:sz="0" w:space="0"/>
          </w:pgBorders>
          <w:cols w:space="720" w:num="1"/>
        </w:sectPr>
      </w:pPr>
    </w:p>
    <w:p w14:paraId="664CF1FA">
      <w:pPr>
        <w:spacing w:line="214" w:lineRule="exact"/>
      </w:pPr>
    </w:p>
    <w:tbl>
      <w:tblPr>
        <w:tblStyle w:val="6"/>
        <w:tblW w:w="9277" w:type="dxa"/>
        <w:tblInd w:w="131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706"/>
        <w:gridCol w:w="4571"/>
      </w:tblGrid>
      <w:tr w14:paraId="3E5FE7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3" w:hRule="atLeast"/>
        </w:trPr>
        <w:tc>
          <w:tcPr>
            <w:tcW w:w="4706" w:type="dxa"/>
            <w:vMerge w:val="restart"/>
            <w:tcBorders>
              <w:top w:val="single" w:color="000000" w:sz="4" w:space="0"/>
              <w:left w:val="single" w:color="000000" w:sz="4" w:space="0"/>
              <w:bottom w:val="nil"/>
            </w:tcBorders>
            <w:shd w:val="clear" w:color="auto" w:fill="DEEAF6"/>
            <w:vAlign w:val="top"/>
          </w:tcPr>
          <w:p w14:paraId="44AA3DD6">
            <w:pPr>
              <w:spacing w:before="33" w:line="60" w:lineRule="exact"/>
              <w:ind w:firstLine="33"/>
            </w:pPr>
            <w:r>
              <w:rPr>
                <w:position w:val="-1"/>
              </w:rPr>
              <w:pict>
                <v:shape id="_x0000_s1761" o:spid="_x0000_s1761" style="height:3pt;width:232.7pt;" fillcolor="#DEEAF6" filled="t" stroked="f" coordsize="4653,60" path="m0,60l4653,60,4653,0,0,0,0,60xe">
                  <v:path/>
                  <v:fill on="t" focussize="0,0"/>
                  <v:stroke on="f"/>
                  <v:imagedata o:title=""/>
                  <o:lock v:ext="edit"/>
                  <w10:wrap type="none"/>
                  <w10:anchorlock/>
                </v:shape>
              </w:pict>
            </w:r>
          </w:p>
          <w:p w14:paraId="0A878080">
            <w:pPr>
              <w:spacing w:before="22" w:line="2872" w:lineRule="exact"/>
              <w:ind w:firstLine="119"/>
            </w:pPr>
            <w:r>
              <w:rPr>
                <w:position w:val="-57"/>
              </w:rPr>
              <w:drawing>
                <wp:inline distT="0" distB="0" distL="0" distR="0">
                  <wp:extent cx="2834640" cy="1823720"/>
                  <wp:effectExtent l="0" t="0" r="0" b="0"/>
                  <wp:docPr id="574" name="IM 574"/>
                  <wp:cNvGraphicFramePr/>
                  <a:graphic xmlns:a="http://schemas.openxmlformats.org/drawingml/2006/main">
                    <a:graphicData uri="http://schemas.openxmlformats.org/drawingml/2006/picture">
                      <pic:pic xmlns:pic="http://schemas.openxmlformats.org/drawingml/2006/picture">
                        <pic:nvPicPr>
                          <pic:cNvPr id="574" name="IM 574"/>
                          <pic:cNvPicPr/>
                        </pic:nvPicPr>
                        <pic:blipFill>
                          <a:blip r:embed="rId558"/>
                          <a:stretch>
                            <a:fillRect/>
                          </a:stretch>
                        </pic:blipFill>
                        <pic:spPr>
                          <a:xfrm>
                            <a:off x="0" y="0"/>
                            <a:ext cx="2834640" cy="1823720"/>
                          </a:xfrm>
                          <a:prstGeom prst="rect">
                            <a:avLst/>
                          </a:prstGeom>
                        </pic:spPr>
                      </pic:pic>
                    </a:graphicData>
                  </a:graphic>
                </wp:inline>
              </w:drawing>
            </w:r>
          </w:p>
          <w:p w14:paraId="259E9F82">
            <w:pPr>
              <w:spacing w:before="178" w:line="47" w:lineRule="exact"/>
              <w:ind w:firstLine="11"/>
            </w:pPr>
            <w:r>
              <w:rPr>
                <w:position w:val="-1"/>
              </w:rPr>
              <w:pict>
                <v:shape id="_x0000_s1762" o:spid="_x0000_s1762" style="height:2.9pt;width:234.05pt;" fillcolor="#DEEAF6" filled="t" stroked="f" coordsize="4681,58" path="m0,57l4680,57,4680,0,0,0,0,57xe">
                  <v:path/>
                  <v:fill on="t" focussize="0,0"/>
                  <v:stroke on="f"/>
                  <v:imagedata o:title=""/>
                  <o:lock v:ext="edit"/>
                  <w10:wrap type="none"/>
                  <w10:anchorlock/>
                </v:shape>
              </w:pict>
            </w:r>
          </w:p>
        </w:tc>
        <w:tc>
          <w:tcPr>
            <w:tcW w:w="4571" w:type="dxa"/>
            <w:tcBorders>
              <w:top w:val="single" w:color="5B9BD5" w:sz="4" w:space="0"/>
              <w:bottom w:val="single" w:color="DEEAF6" w:sz="8" w:space="0"/>
              <w:right w:val="single" w:color="5B9BD5" w:sz="4" w:space="0"/>
            </w:tcBorders>
            <w:shd w:val="clear" w:color="auto" w:fill="DEEAF6"/>
            <w:vAlign w:val="top"/>
          </w:tcPr>
          <w:p w14:paraId="16D9E44C">
            <w:pPr>
              <w:spacing w:before="33" w:line="60" w:lineRule="exact"/>
              <w:ind w:firstLine="27"/>
            </w:pPr>
            <w:r>
              <w:rPr>
                <w:position w:val="-1"/>
              </w:rPr>
              <w:pict>
                <v:shape id="_x0000_s1763" o:spid="_x0000_s1763" style="height:3pt;width:225.2pt;" fillcolor="#DEEAF6" filled="t" stroked="f" coordsize="4503,60" path="m0,60l4503,60,4503,0,0,0,0,60xe">
                  <v:path/>
                  <v:fill on="t" focussize="0,0"/>
                  <v:stroke on="f"/>
                  <v:imagedata o:title=""/>
                  <o:lock v:ext="edit"/>
                  <w10:wrap type="none"/>
                  <w10:anchorlock/>
                </v:shape>
              </w:pict>
            </w:r>
          </w:p>
          <w:p w14:paraId="1880D61F">
            <w:pPr>
              <w:spacing w:line="2915" w:lineRule="exact"/>
              <w:ind w:firstLine="95"/>
            </w:pPr>
            <w:r>
              <w:rPr>
                <w:position w:val="-58"/>
              </w:rPr>
              <w:drawing>
                <wp:inline distT="0" distB="0" distL="0" distR="0">
                  <wp:extent cx="2758440" cy="1851025"/>
                  <wp:effectExtent l="0" t="0" r="0" b="0"/>
                  <wp:docPr id="576" name="IM 576"/>
                  <wp:cNvGraphicFramePr/>
                  <a:graphic xmlns:a="http://schemas.openxmlformats.org/drawingml/2006/main">
                    <a:graphicData uri="http://schemas.openxmlformats.org/drawingml/2006/picture">
                      <pic:pic xmlns:pic="http://schemas.openxmlformats.org/drawingml/2006/picture">
                        <pic:nvPicPr>
                          <pic:cNvPr id="576" name="IM 576"/>
                          <pic:cNvPicPr/>
                        </pic:nvPicPr>
                        <pic:blipFill>
                          <a:blip r:embed="rId559"/>
                          <a:stretch>
                            <a:fillRect/>
                          </a:stretch>
                        </pic:blipFill>
                        <pic:spPr>
                          <a:xfrm>
                            <a:off x="0" y="0"/>
                            <a:ext cx="2758440" cy="1851659"/>
                          </a:xfrm>
                          <a:prstGeom prst="rect">
                            <a:avLst/>
                          </a:prstGeom>
                        </pic:spPr>
                      </pic:pic>
                    </a:graphicData>
                  </a:graphic>
                </wp:inline>
              </w:drawing>
            </w:r>
          </w:p>
        </w:tc>
      </w:tr>
      <w:tr w14:paraId="0AECDB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 w:hRule="atLeast"/>
        </w:trPr>
        <w:tc>
          <w:tcPr>
            <w:tcW w:w="4706" w:type="dxa"/>
            <w:vMerge w:val="continue"/>
            <w:tcBorders>
              <w:top w:val="nil"/>
              <w:left w:val="single" w:color="000000" w:sz="4" w:space="0"/>
            </w:tcBorders>
            <w:vAlign w:val="top"/>
          </w:tcPr>
          <w:p w14:paraId="57164155">
            <w:pPr>
              <w:rPr>
                <w:rFonts w:ascii="Arial"/>
                <w:sz w:val="21"/>
              </w:rPr>
            </w:pPr>
          </w:p>
        </w:tc>
        <w:tc>
          <w:tcPr>
            <w:tcW w:w="4571" w:type="dxa"/>
            <w:tcBorders>
              <w:top w:val="single" w:color="DEEAF6" w:sz="2" w:space="0"/>
              <w:right w:val="single" w:color="5B9BD5" w:sz="4" w:space="0"/>
            </w:tcBorders>
            <w:shd w:val="clear" w:color="auto" w:fill="DEEAF6"/>
            <w:vAlign w:val="top"/>
          </w:tcPr>
          <w:p w14:paraId="0831BB53">
            <w:pPr>
              <w:spacing w:line="104" w:lineRule="auto"/>
              <w:rPr>
                <w:rFonts w:ascii="Arial"/>
                <w:sz w:val="2"/>
              </w:rPr>
            </w:pPr>
          </w:p>
        </w:tc>
      </w:tr>
      <w:tr w14:paraId="53F6E6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5" w:hRule="atLeast"/>
        </w:trPr>
        <w:tc>
          <w:tcPr>
            <w:tcW w:w="4706" w:type="dxa"/>
            <w:tcBorders>
              <w:left w:val="single" w:color="000000" w:sz="4" w:space="0"/>
            </w:tcBorders>
            <w:vAlign w:val="top"/>
          </w:tcPr>
          <w:p w14:paraId="7E4FAFA4">
            <w:pPr>
              <w:pStyle w:val="7"/>
              <w:spacing w:before="98" w:line="216" w:lineRule="auto"/>
              <w:ind w:left="1092"/>
            </w:pPr>
            <w:r>
              <w:rPr>
                <w:spacing w:val="-18"/>
              </w:rPr>
              <w:t>沥青混合料的摊铺施工图1</w:t>
            </w:r>
          </w:p>
        </w:tc>
        <w:tc>
          <w:tcPr>
            <w:tcW w:w="4571" w:type="dxa"/>
            <w:tcBorders>
              <w:right w:val="single" w:color="000000" w:sz="4" w:space="0"/>
            </w:tcBorders>
            <w:vAlign w:val="top"/>
          </w:tcPr>
          <w:p w14:paraId="6255C570">
            <w:pPr>
              <w:pStyle w:val="7"/>
              <w:spacing w:before="98" w:line="216" w:lineRule="auto"/>
              <w:ind w:left="1009"/>
            </w:pPr>
            <w:r>
              <w:rPr>
                <w:spacing w:val="-18"/>
              </w:rPr>
              <w:t>沥青混合料的摊铺施工图2</w:t>
            </w:r>
          </w:p>
        </w:tc>
      </w:tr>
      <w:tr w14:paraId="04C36E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7" w:hRule="atLeast"/>
        </w:trPr>
        <w:tc>
          <w:tcPr>
            <w:tcW w:w="4706" w:type="dxa"/>
            <w:tcBorders>
              <w:left w:val="single" w:color="000000" w:sz="4" w:space="0"/>
            </w:tcBorders>
            <w:vAlign w:val="top"/>
          </w:tcPr>
          <w:p w14:paraId="5EA08C43">
            <w:pPr>
              <w:spacing w:before="62" w:line="2947" w:lineRule="exact"/>
              <w:ind w:firstLine="126"/>
            </w:pPr>
            <w:r>
              <w:rPr>
                <w:position w:val="-58"/>
              </w:rPr>
              <w:drawing>
                <wp:inline distT="0" distB="0" distL="0" distR="0">
                  <wp:extent cx="2825750" cy="1870710"/>
                  <wp:effectExtent l="0" t="0" r="0" b="0"/>
                  <wp:docPr id="578" name="IM 578"/>
                  <wp:cNvGraphicFramePr/>
                  <a:graphic xmlns:a="http://schemas.openxmlformats.org/drawingml/2006/main">
                    <a:graphicData uri="http://schemas.openxmlformats.org/drawingml/2006/picture">
                      <pic:pic xmlns:pic="http://schemas.openxmlformats.org/drawingml/2006/picture">
                        <pic:nvPicPr>
                          <pic:cNvPr id="578" name="IM 578"/>
                          <pic:cNvPicPr/>
                        </pic:nvPicPr>
                        <pic:blipFill>
                          <a:blip r:embed="rId560"/>
                          <a:stretch>
                            <a:fillRect/>
                          </a:stretch>
                        </pic:blipFill>
                        <pic:spPr>
                          <a:xfrm>
                            <a:off x="0" y="0"/>
                            <a:ext cx="2825750" cy="1871344"/>
                          </a:xfrm>
                          <a:prstGeom prst="rect">
                            <a:avLst/>
                          </a:prstGeom>
                        </pic:spPr>
                      </pic:pic>
                    </a:graphicData>
                  </a:graphic>
                </wp:inline>
              </w:drawing>
            </w:r>
          </w:p>
        </w:tc>
        <w:tc>
          <w:tcPr>
            <w:tcW w:w="4571" w:type="dxa"/>
            <w:tcBorders>
              <w:right w:val="single" w:color="000000" w:sz="4" w:space="0"/>
            </w:tcBorders>
            <w:vAlign w:val="top"/>
          </w:tcPr>
          <w:p w14:paraId="7A746845">
            <w:pPr>
              <w:spacing w:before="91" w:line="2887" w:lineRule="exact"/>
              <w:ind w:firstLine="100"/>
            </w:pPr>
            <w:r>
              <w:rPr>
                <w:position w:val="-57"/>
              </w:rPr>
              <w:drawing>
                <wp:inline distT="0" distB="0" distL="0" distR="0">
                  <wp:extent cx="2753360" cy="1833245"/>
                  <wp:effectExtent l="0" t="0" r="0" b="0"/>
                  <wp:docPr id="580" name="IM 580"/>
                  <wp:cNvGraphicFramePr/>
                  <a:graphic xmlns:a="http://schemas.openxmlformats.org/drawingml/2006/main">
                    <a:graphicData uri="http://schemas.openxmlformats.org/drawingml/2006/picture">
                      <pic:pic xmlns:pic="http://schemas.openxmlformats.org/drawingml/2006/picture">
                        <pic:nvPicPr>
                          <pic:cNvPr id="580" name="IM 580"/>
                          <pic:cNvPicPr/>
                        </pic:nvPicPr>
                        <pic:blipFill>
                          <a:blip r:embed="rId561"/>
                          <a:stretch>
                            <a:fillRect/>
                          </a:stretch>
                        </pic:blipFill>
                        <pic:spPr>
                          <a:xfrm>
                            <a:off x="0" y="0"/>
                            <a:ext cx="2753994" cy="1833245"/>
                          </a:xfrm>
                          <a:prstGeom prst="rect">
                            <a:avLst/>
                          </a:prstGeom>
                        </pic:spPr>
                      </pic:pic>
                    </a:graphicData>
                  </a:graphic>
                </wp:inline>
              </w:drawing>
            </w:r>
          </w:p>
        </w:tc>
      </w:tr>
      <w:tr w14:paraId="75126A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5" w:hRule="atLeast"/>
        </w:trPr>
        <w:tc>
          <w:tcPr>
            <w:tcW w:w="4706" w:type="dxa"/>
            <w:tcBorders>
              <w:left w:val="single" w:color="1C456A" w:sz="4" w:space="0"/>
              <w:bottom w:val="single" w:color="1C456A" w:sz="4" w:space="0"/>
            </w:tcBorders>
            <w:vAlign w:val="top"/>
          </w:tcPr>
          <w:p w14:paraId="19D5B127">
            <w:pPr>
              <w:pStyle w:val="7"/>
              <w:spacing w:before="103" w:line="216" w:lineRule="auto"/>
              <w:ind w:left="1092"/>
            </w:pPr>
            <w:r>
              <w:pict>
                <v:shape id="_x0000_s1764" o:spid="_x0000_s1764" style="position:absolute;left:0pt;margin-left:-0.2pt;margin-top:31.3pt;height:0.75pt;width:2.2pt;mso-position-horizontal-relative:page;mso-position-vertical-relative:page;z-index:251831296;mso-width-relative:page;mso-height-relative:page;" fillcolor="#5B9BD5" filled="t" stroked="f" coordsize="44,15" path="m0,14l43,14,43,0,0,0,0,14xe">
                  <v:path/>
                  <v:fill on="t" focussize="0,0"/>
                  <v:stroke on="f"/>
                  <v:imagedata o:title=""/>
                  <o:lock v:ext="edit"/>
                </v:shape>
              </w:pict>
            </w:r>
            <w:r>
              <w:rPr>
                <w:spacing w:val="-18"/>
              </w:rPr>
              <w:t>沥青混合料的碾压施工图1</w:t>
            </w:r>
          </w:p>
        </w:tc>
        <w:tc>
          <w:tcPr>
            <w:tcW w:w="4571" w:type="dxa"/>
            <w:tcBorders>
              <w:bottom w:val="single" w:color="5B9BD5" w:sz="4" w:space="0"/>
              <w:right w:val="single" w:color="5B9BD5" w:sz="4" w:space="0"/>
            </w:tcBorders>
            <w:vAlign w:val="top"/>
          </w:tcPr>
          <w:p w14:paraId="4C6C8443">
            <w:pPr>
              <w:pStyle w:val="7"/>
              <w:spacing w:before="103" w:line="216" w:lineRule="auto"/>
              <w:ind w:left="1009"/>
            </w:pPr>
            <w:r>
              <w:pict>
                <v:shape id="_x0000_s1765" o:spid="_x0000_s1765" style="position:absolute;left:0pt;margin-left:226.65pt;margin-top:31.3pt;height:0.75pt;width:2.2pt;mso-position-horizontal-relative:page;mso-position-vertical-relative:page;z-index:251832320;mso-width-relative:page;mso-height-relative:page;" fillcolor="#5B9BD5" filled="t" stroked="f" coordsize="44,15" path="m0,14l43,14,43,0,0,0,0,14xe">
                  <v:path/>
                  <v:fill on="t" focussize="0,0"/>
                  <v:stroke on="f"/>
                  <v:imagedata o:title=""/>
                  <o:lock v:ext="edit"/>
                </v:shape>
              </w:pict>
            </w:r>
            <w:r>
              <w:rPr>
                <w:spacing w:val="-18"/>
              </w:rPr>
              <w:t>沥青混合料的碾压施工图2</w:t>
            </w:r>
          </w:p>
        </w:tc>
      </w:tr>
    </w:tbl>
    <w:p w14:paraId="2F9D0B0D">
      <w:pPr>
        <w:pStyle w:val="2"/>
        <w:spacing w:before="115" w:line="262" w:lineRule="auto"/>
        <w:ind w:left="1456" w:right="1429" w:firstLine="428"/>
        <w:rPr>
          <w:sz w:val="24"/>
          <w:szCs w:val="24"/>
        </w:rPr>
      </w:pPr>
      <w:r>
        <w:rPr>
          <w:spacing w:val="-23"/>
          <w:sz w:val="24"/>
          <w:szCs w:val="24"/>
        </w:rPr>
        <w:t>4.3.1在经监理工程师验收合格的基层上，方可铺筑沥青混合料。摊铺必须均匀、缓慢、连</w:t>
      </w:r>
      <w:r>
        <w:rPr>
          <w:spacing w:val="-21"/>
          <w:sz w:val="24"/>
          <w:szCs w:val="24"/>
        </w:rPr>
        <w:t>续不断地进行。并在摊铺面层时必须采取措施防止层面之间</w:t>
      </w:r>
      <w:r>
        <w:rPr>
          <w:spacing w:val="-22"/>
          <w:sz w:val="24"/>
          <w:szCs w:val="24"/>
        </w:rPr>
        <w:t>被污染。</w:t>
      </w:r>
    </w:p>
    <w:p w14:paraId="7AAC8799">
      <w:pPr>
        <w:pStyle w:val="2"/>
        <w:spacing w:before="119" w:line="262" w:lineRule="auto"/>
        <w:ind w:left="1466" w:right="1409" w:firstLine="418"/>
        <w:rPr>
          <w:sz w:val="24"/>
          <w:szCs w:val="24"/>
        </w:rPr>
      </w:pPr>
      <w:r>
        <w:rPr>
          <w:spacing w:val="-22"/>
          <w:sz w:val="24"/>
          <w:szCs w:val="24"/>
        </w:rPr>
        <w:t>4.3.2通常应采用两台或两台以上摊铺机组成梯队联合</w:t>
      </w:r>
      <w:r>
        <w:rPr>
          <w:spacing w:val="-23"/>
          <w:sz w:val="24"/>
          <w:szCs w:val="24"/>
        </w:rPr>
        <w:t>摊铺，两台摊铺机前后的距离一般为</w:t>
      </w:r>
      <w:r>
        <w:rPr>
          <w:spacing w:val="-15"/>
          <w:sz w:val="24"/>
          <w:szCs w:val="24"/>
        </w:rPr>
        <w:t>10～30m。前后两台摊铺机轨道重叠50～100mm。</w:t>
      </w:r>
    </w:p>
    <w:p w14:paraId="52428CC4">
      <w:pPr>
        <w:pStyle w:val="2"/>
        <w:spacing w:before="119" w:line="261" w:lineRule="auto"/>
        <w:ind w:left="1459" w:right="1430" w:firstLine="425"/>
        <w:rPr>
          <w:sz w:val="24"/>
          <w:szCs w:val="24"/>
        </w:rPr>
      </w:pPr>
      <w:r>
        <w:rPr>
          <w:spacing w:val="-19"/>
          <w:sz w:val="24"/>
          <w:szCs w:val="24"/>
        </w:rPr>
        <w:t>4.3.3沥青混合料的摊铺温度应符合《公路沥青路面施工技术规范》（JTJ032-94）的</w:t>
      </w:r>
      <w:r>
        <w:rPr>
          <w:spacing w:val="-20"/>
          <w:sz w:val="24"/>
          <w:szCs w:val="24"/>
        </w:rPr>
        <w:t>要求</w:t>
      </w:r>
      <w:r>
        <w:rPr>
          <w:spacing w:val="-21"/>
          <w:sz w:val="24"/>
          <w:szCs w:val="24"/>
        </w:rPr>
        <w:t>并随沥青的标号及气温的不同通过试验确定。</w:t>
      </w:r>
    </w:p>
    <w:p w14:paraId="2680E856">
      <w:pPr>
        <w:pStyle w:val="2"/>
        <w:spacing w:before="119" w:line="264" w:lineRule="auto"/>
        <w:ind w:left="1470" w:right="1410" w:firstLine="414"/>
        <w:rPr>
          <w:sz w:val="24"/>
          <w:szCs w:val="24"/>
        </w:rPr>
      </w:pPr>
      <w:r>
        <w:rPr>
          <w:spacing w:val="-22"/>
          <w:sz w:val="24"/>
          <w:szCs w:val="24"/>
        </w:rPr>
        <w:t>4.3.4摊铺机应以均匀的速度行驶，其摊铺速度根据拌和能力、</w:t>
      </w:r>
      <w:r>
        <w:rPr>
          <w:spacing w:val="-23"/>
          <w:sz w:val="24"/>
          <w:szCs w:val="24"/>
        </w:rPr>
        <w:t>摊铺厚度、宽度及连续摊铺</w:t>
      </w:r>
      <w:r>
        <w:rPr>
          <w:spacing w:val="-20"/>
          <w:sz w:val="24"/>
          <w:szCs w:val="24"/>
        </w:rPr>
        <w:t>的长度而定。</w:t>
      </w:r>
    </w:p>
    <w:p w14:paraId="600810E7">
      <w:pPr>
        <w:pStyle w:val="2"/>
        <w:spacing w:before="113" w:line="263" w:lineRule="auto"/>
        <w:ind w:left="1456" w:right="1410" w:firstLine="428"/>
        <w:rPr>
          <w:sz w:val="24"/>
          <w:szCs w:val="24"/>
        </w:rPr>
      </w:pPr>
      <w:r>
        <w:rPr>
          <w:spacing w:val="-22"/>
          <w:sz w:val="24"/>
          <w:szCs w:val="24"/>
        </w:rPr>
        <w:t>4.3.5沥青混合料摊铺过程中随时检查其宽度、厚度、</w:t>
      </w:r>
      <w:r>
        <w:rPr>
          <w:spacing w:val="-23"/>
          <w:sz w:val="24"/>
          <w:szCs w:val="24"/>
        </w:rPr>
        <w:t>平整度、路拱及温度，对不合格之处</w:t>
      </w:r>
      <w:r>
        <w:rPr>
          <w:spacing w:val="-19"/>
          <w:sz w:val="24"/>
          <w:szCs w:val="24"/>
        </w:rPr>
        <w:t>应及时进行调整。</w:t>
      </w:r>
    </w:p>
    <w:p w14:paraId="13EB31E6">
      <w:pPr>
        <w:pStyle w:val="2"/>
        <w:spacing w:before="120" w:line="261" w:lineRule="auto"/>
        <w:ind w:left="1470" w:right="1410" w:firstLine="414"/>
        <w:rPr>
          <w:sz w:val="24"/>
          <w:szCs w:val="24"/>
        </w:rPr>
      </w:pPr>
      <w:r>
        <w:rPr>
          <w:spacing w:val="-22"/>
          <w:sz w:val="24"/>
          <w:szCs w:val="24"/>
        </w:rPr>
        <w:t>4.3.6对外形不规则、路面厚度不同、空间受到限制以及人</w:t>
      </w:r>
      <w:r>
        <w:rPr>
          <w:spacing w:val="-23"/>
          <w:sz w:val="24"/>
          <w:szCs w:val="24"/>
        </w:rPr>
        <w:t>工构造物接头等摊铺机无法工作</w:t>
      </w:r>
      <w:r>
        <w:rPr>
          <w:spacing w:val="-22"/>
          <w:sz w:val="24"/>
          <w:szCs w:val="24"/>
        </w:rPr>
        <w:t>的地方，经监理工程师批准可以采用人工铺筑</w:t>
      </w:r>
      <w:r>
        <w:rPr>
          <w:spacing w:val="-23"/>
          <w:sz w:val="24"/>
          <w:szCs w:val="24"/>
        </w:rPr>
        <w:t>混合料。</w:t>
      </w:r>
    </w:p>
    <w:p w14:paraId="2F9CE338">
      <w:pPr>
        <w:pStyle w:val="2"/>
        <w:spacing w:before="120" w:line="216" w:lineRule="auto"/>
        <w:ind w:left="1884"/>
        <w:rPr>
          <w:sz w:val="24"/>
          <w:szCs w:val="24"/>
        </w:rPr>
      </w:pPr>
      <w:r>
        <w:rPr>
          <w:spacing w:val="-17"/>
          <w:sz w:val="24"/>
          <w:szCs w:val="24"/>
        </w:rPr>
        <w:t>4.4沥青混合料的压实</w:t>
      </w:r>
    </w:p>
    <w:p w14:paraId="4F6F9039">
      <w:pPr>
        <w:pStyle w:val="2"/>
        <w:spacing w:before="120" w:line="307" w:lineRule="auto"/>
        <w:ind w:left="1464" w:right="1351" w:firstLine="419"/>
        <w:rPr>
          <w:sz w:val="24"/>
          <w:szCs w:val="24"/>
        </w:rPr>
      </w:pPr>
      <w:r>
        <w:rPr>
          <w:spacing w:val="-26"/>
          <w:sz w:val="24"/>
          <w:szCs w:val="24"/>
        </w:rPr>
        <w:t>4.4.1混合料摊铺后应立即进行压实作业。压实分初压、复压和终压（包括成型）三个</w:t>
      </w:r>
      <w:r>
        <w:rPr>
          <w:spacing w:val="-27"/>
          <w:sz w:val="24"/>
          <w:szCs w:val="24"/>
        </w:rPr>
        <w:t>阶段，</w:t>
      </w:r>
      <w:r>
        <w:rPr>
          <w:spacing w:val="-20"/>
          <w:sz w:val="24"/>
          <w:szCs w:val="24"/>
        </w:rPr>
        <w:t>每阶段的碾压速度应符合《公路沥青路面施工技术规范》（JTJ032-94）的要求。</w:t>
      </w:r>
    </w:p>
    <w:p w14:paraId="14C5F4EB">
      <w:pPr>
        <w:pStyle w:val="2"/>
        <w:spacing w:before="1" w:line="218" w:lineRule="auto"/>
        <w:ind w:left="1893"/>
        <w:rPr>
          <w:sz w:val="24"/>
          <w:szCs w:val="24"/>
        </w:rPr>
      </w:pPr>
      <w:r>
        <w:rPr>
          <w:spacing w:val="-18"/>
          <w:sz w:val="24"/>
          <w:szCs w:val="24"/>
        </w:rPr>
        <w:t>压路机碾压速度（Km/h）</w:t>
      </w:r>
    </w:p>
    <w:p w14:paraId="06C9458F">
      <w:pPr>
        <w:spacing w:line="218" w:lineRule="auto"/>
        <w:rPr>
          <w:sz w:val="24"/>
          <w:szCs w:val="24"/>
        </w:rPr>
        <w:sectPr>
          <w:footerReference r:id="rId97" w:type="default"/>
          <w:pgSz w:w="11907" w:h="16839"/>
          <w:pgMar w:top="954" w:right="4" w:bottom="1038" w:left="0" w:header="499" w:footer="357" w:gutter="0"/>
          <w:pgBorders>
            <w:top w:val="none" w:sz="0" w:space="0"/>
            <w:left w:val="none" w:sz="0" w:space="0"/>
            <w:bottom w:val="none" w:sz="0" w:space="0"/>
            <w:right w:val="none" w:sz="0" w:space="0"/>
          </w:pgBorders>
          <w:cols w:space="720" w:num="1"/>
        </w:sectPr>
      </w:pPr>
    </w:p>
    <w:p w14:paraId="5A8BFC55">
      <w:pPr>
        <w:spacing w:line="214" w:lineRule="exact"/>
      </w:pPr>
    </w:p>
    <w:tbl>
      <w:tblPr>
        <w:tblStyle w:val="6"/>
        <w:tblW w:w="9435" w:type="dxa"/>
        <w:tblInd w:w="1236"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894"/>
        <w:gridCol w:w="1550"/>
        <w:gridCol w:w="1106"/>
        <w:gridCol w:w="1216"/>
        <w:gridCol w:w="1214"/>
        <w:gridCol w:w="1219"/>
        <w:gridCol w:w="1236"/>
      </w:tblGrid>
      <w:tr w14:paraId="69754F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1894" w:type="dxa"/>
            <w:vMerge w:val="restart"/>
            <w:tcBorders>
              <w:top w:val="single" w:color="000000" w:sz="4" w:space="0"/>
              <w:left w:val="single" w:color="000000" w:sz="4" w:space="0"/>
              <w:bottom w:val="nil"/>
            </w:tcBorders>
            <w:shd w:val="clear" w:color="auto" w:fill="DEEAF6"/>
            <w:vAlign w:val="top"/>
          </w:tcPr>
          <w:p w14:paraId="0AB3F481">
            <w:pPr>
              <w:spacing w:line="447" w:lineRule="auto"/>
              <w:rPr>
                <w:rFonts w:ascii="Arial"/>
                <w:sz w:val="21"/>
              </w:rPr>
            </w:pPr>
          </w:p>
          <w:p w14:paraId="25185F39">
            <w:pPr>
              <w:pStyle w:val="7"/>
              <w:spacing w:before="78" w:line="218" w:lineRule="auto"/>
              <w:ind w:left="411"/>
            </w:pPr>
            <w:r>
              <w:rPr>
                <w:b/>
                <w:bCs/>
                <w:spacing w:val="-19"/>
              </w:rPr>
              <w:t>压路机类型</w:t>
            </w:r>
          </w:p>
        </w:tc>
        <w:tc>
          <w:tcPr>
            <w:tcW w:w="2656" w:type="dxa"/>
            <w:gridSpan w:val="2"/>
            <w:tcBorders>
              <w:top w:val="single" w:color="000000" w:sz="4" w:space="0"/>
            </w:tcBorders>
            <w:shd w:val="clear" w:color="auto" w:fill="DEEAF6"/>
            <w:vAlign w:val="top"/>
          </w:tcPr>
          <w:p w14:paraId="3A7FDD1B">
            <w:pPr>
              <w:pStyle w:val="7"/>
              <w:spacing w:before="179" w:line="219" w:lineRule="auto"/>
              <w:ind w:left="1112"/>
            </w:pPr>
            <w:r>
              <w:rPr>
                <w:b/>
                <w:bCs/>
                <w:spacing w:val="-12"/>
              </w:rPr>
              <w:t>初压</w:t>
            </w:r>
          </w:p>
        </w:tc>
        <w:tc>
          <w:tcPr>
            <w:tcW w:w="2430" w:type="dxa"/>
            <w:gridSpan w:val="2"/>
            <w:tcBorders>
              <w:top w:val="single" w:color="000000" w:sz="4" w:space="0"/>
            </w:tcBorders>
            <w:shd w:val="clear" w:color="auto" w:fill="DEEAF6"/>
            <w:vAlign w:val="top"/>
          </w:tcPr>
          <w:p w14:paraId="4DAB67D3">
            <w:pPr>
              <w:pStyle w:val="7"/>
              <w:spacing w:before="179" w:line="220" w:lineRule="auto"/>
              <w:ind w:left="1017"/>
            </w:pPr>
            <w:r>
              <w:rPr>
                <w:b/>
                <w:bCs/>
                <w:spacing w:val="-15"/>
              </w:rPr>
              <w:t>复压</w:t>
            </w:r>
          </w:p>
        </w:tc>
        <w:tc>
          <w:tcPr>
            <w:tcW w:w="2455" w:type="dxa"/>
            <w:gridSpan w:val="2"/>
            <w:tcBorders>
              <w:top w:val="single" w:color="5B9BD5" w:sz="4" w:space="0"/>
              <w:right w:val="single" w:color="5B9BD5" w:sz="4" w:space="0"/>
            </w:tcBorders>
            <w:shd w:val="clear" w:color="auto" w:fill="DEEAF6"/>
            <w:vAlign w:val="top"/>
          </w:tcPr>
          <w:p w14:paraId="158A50E2">
            <w:pPr>
              <w:pStyle w:val="7"/>
              <w:spacing w:before="179" w:line="221" w:lineRule="auto"/>
              <w:ind w:left="1016"/>
            </w:pPr>
            <w:r>
              <w:rPr>
                <w:b/>
                <w:bCs/>
                <w:spacing w:val="-13"/>
              </w:rPr>
              <w:t>终压</w:t>
            </w:r>
          </w:p>
        </w:tc>
      </w:tr>
      <w:tr w14:paraId="4FCD29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6" w:hRule="atLeast"/>
        </w:trPr>
        <w:tc>
          <w:tcPr>
            <w:tcW w:w="1894" w:type="dxa"/>
            <w:vMerge w:val="continue"/>
            <w:tcBorders>
              <w:top w:val="nil"/>
              <w:left w:val="single" w:color="000000" w:sz="4" w:space="0"/>
            </w:tcBorders>
            <w:vAlign w:val="top"/>
          </w:tcPr>
          <w:p w14:paraId="47B1A980">
            <w:pPr>
              <w:rPr>
                <w:rFonts w:ascii="Arial"/>
                <w:sz w:val="21"/>
              </w:rPr>
            </w:pPr>
          </w:p>
        </w:tc>
        <w:tc>
          <w:tcPr>
            <w:tcW w:w="1550" w:type="dxa"/>
            <w:vAlign w:val="top"/>
          </w:tcPr>
          <w:p w14:paraId="35693B3F">
            <w:pPr>
              <w:pStyle w:val="7"/>
              <w:spacing w:before="145" w:line="227" w:lineRule="auto"/>
              <w:ind w:left="557"/>
            </w:pPr>
            <w:r>
              <w:rPr>
                <w:spacing w:val="-10"/>
              </w:rPr>
              <w:t>适宜</w:t>
            </w:r>
          </w:p>
        </w:tc>
        <w:tc>
          <w:tcPr>
            <w:tcW w:w="1106" w:type="dxa"/>
            <w:vAlign w:val="top"/>
          </w:tcPr>
          <w:p w14:paraId="137FC05A">
            <w:pPr>
              <w:pStyle w:val="7"/>
              <w:spacing w:before="145" w:line="218" w:lineRule="auto"/>
              <w:ind w:left="344"/>
            </w:pPr>
            <w:r>
              <w:rPr>
                <w:spacing w:val="-12"/>
              </w:rPr>
              <w:t>最大</w:t>
            </w:r>
          </w:p>
        </w:tc>
        <w:tc>
          <w:tcPr>
            <w:tcW w:w="1216" w:type="dxa"/>
            <w:vAlign w:val="top"/>
          </w:tcPr>
          <w:p w14:paraId="2EDC4784">
            <w:pPr>
              <w:pStyle w:val="7"/>
              <w:spacing w:before="145" w:line="227" w:lineRule="auto"/>
              <w:ind w:left="395"/>
            </w:pPr>
            <w:r>
              <w:rPr>
                <w:spacing w:val="-10"/>
              </w:rPr>
              <w:t>适宜</w:t>
            </w:r>
          </w:p>
        </w:tc>
        <w:tc>
          <w:tcPr>
            <w:tcW w:w="1214" w:type="dxa"/>
            <w:vAlign w:val="top"/>
          </w:tcPr>
          <w:p w14:paraId="16E7848D">
            <w:pPr>
              <w:pStyle w:val="7"/>
              <w:spacing w:before="145" w:line="218" w:lineRule="auto"/>
              <w:ind w:left="406"/>
            </w:pPr>
            <w:r>
              <w:rPr>
                <w:spacing w:val="-12"/>
              </w:rPr>
              <w:t>最大</w:t>
            </w:r>
          </w:p>
        </w:tc>
        <w:tc>
          <w:tcPr>
            <w:tcW w:w="1219" w:type="dxa"/>
            <w:vAlign w:val="top"/>
          </w:tcPr>
          <w:p w14:paraId="4040B3FB">
            <w:pPr>
              <w:pStyle w:val="7"/>
              <w:spacing w:before="145" w:line="227" w:lineRule="auto"/>
              <w:ind w:left="404"/>
            </w:pPr>
            <w:r>
              <w:rPr>
                <w:spacing w:val="-10"/>
              </w:rPr>
              <w:t>适宜</w:t>
            </w:r>
          </w:p>
        </w:tc>
        <w:tc>
          <w:tcPr>
            <w:tcW w:w="1236" w:type="dxa"/>
            <w:tcBorders>
              <w:right w:val="single" w:color="000000" w:sz="4" w:space="0"/>
            </w:tcBorders>
            <w:vAlign w:val="top"/>
          </w:tcPr>
          <w:p w14:paraId="6AEA5B33">
            <w:pPr>
              <w:pStyle w:val="7"/>
              <w:spacing w:before="145" w:line="218" w:lineRule="auto"/>
              <w:ind w:left="412"/>
            </w:pPr>
            <w:r>
              <w:rPr>
                <w:spacing w:val="-12"/>
              </w:rPr>
              <w:t>最大</w:t>
            </w:r>
          </w:p>
        </w:tc>
      </w:tr>
      <w:tr w14:paraId="4094AC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7" w:hRule="atLeast"/>
        </w:trPr>
        <w:tc>
          <w:tcPr>
            <w:tcW w:w="1894" w:type="dxa"/>
            <w:tcBorders>
              <w:left w:val="single" w:color="000000" w:sz="4" w:space="0"/>
            </w:tcBorders>
            <w:vAlign w:val="top"/>
          </w:tcPr>
          <w:p w14:paraId="51AED7DA">
            <w:pPr>
              <w:pStyle w:val="7"/>
              <w:spacing w:before="148" w:line="218" w:lineRule="auto"/>
              <w:ind w:left="303"/>
            </w:pPr>
            <w:r>
              <w:rPr>
                <w:spacing w:val="-18"/>
              </w:rPr>
              <w:t>钢筒式压路机</w:t>
            </w:r>
          </w:p>
        </w:tc>
        <w:tc>
          <w:tcPr>
            <w:tcW w:w="1550" w:type="dxa"/>
            <w:vAlign w:val="top"/>
          </w:tcPr>
          <w:p w14:paraId="4C738EF2">
            <w:pPr>
              <w:pStyle w:val="7"/>
              <w:spacing w:before="148" w:line="236" w:lineRule="auto"/>
              <w:ind w:left="513"/>
            </w:pPr>
            <w:r>
              <w:rPr>
                <w:spacing w:val="-12"/>
              </w:rPr>
              <w:t>1.5-2</w:t>
            </w:r>
          </w:p>
        </w:tc>
        <w:tc>
          <w:tcPr>
            <w:tcW w:w="1106" w:type="dxa"/>
            <w:vAlign w:val="top"/>
          </w:tcPr>
          <w:p w14:paraId="74FE7845">
            <w:pPr>
              <w:pStyle w:val="7"/>
              <w:spacing w:before="148" w:line="237" w:lineRule="auto"/>
              <w:ind w:left="501"/>
            </w:pPr>
            <w:r>
              <w:t>3</w:t>
            </w:r>
          </w:p>
        </w:tc>
        <w:tc>
          <w:tcPr>
            <w:tcW w:w="1216" w:type="dxa"/>
            <w:vAlign w:val="top"/>
          </w:tcPr>
          <w:p w14:paraId="3EDCA893">
            <w:pPr>
              <w:pStyle w:val="7"/>
              <w:spacing w:before="148" w:line="236" w:lineRule="auto"/>
              <w:ind w:left="228"/>
            </w:pPr>
            <w:r>
              <w:rPr>
                <w:spacing w:val="-10"/>
              </w:rPr>
              <w:t>2.5-3.5</w:t>
            </w:r>
          </w:p>
        </w:tc>
        <w:tc>
          <w:tcPr>
            <w:tcW w:w="1214" w:type="dxa"/>
            <w:vAlign w:val="top"/>
          </w:tcPr>
          <w:p w14:paraId="47367E1A">
            <w:pPr>
              <w:pStyle w:val="7"/>
              <w:spacing w:before="148" w:line="237" w:lineRule="auto"/>
              <w:ind w:left="560"/>
            </w:pPr>
            <w:r>
              <w:t>5</w:t>
            </w:r>
          </w:p>
        </w:tc>
        <w:tc>
          <w:tcPr>
            <w:tcW w:w="1219" w:type="dxa"/>
            <w:vAlign w:val="top"/>
          </w:tcPr>
          <w:p w14:paraId="418B121B">
            <w:pPr>
              <w:pStyle w:val="7"/>
              <w:spacing w:before="148" w:line="236" w:lineRule="auto"/>
              <w:ind w:left="237"/>
            </w:pPr>
            <w:r>
              <w:rPr>
                <w:spacing w:val="-10"/>
              </w:rPr>
              <w:t>2.5-3.5</w:t>
            </w:r>
          </w:p>
        </w:tc>
        <w:tc>
          <w:tcPr>
            <w:tcW w:w="1236" w:type="dxa"/>
            <w:tcBorders>
              <w:right w:val="single" w:color="000000" w:sz="4" w:space="0"/>
            </w:tcBorders>
            <w:vAlign w:val="top"/>
          </w:tcPr>
          <w:p w14:paraId="042A046B">
            <w:pPr>
              <w:pStyle w:val="7"/>
              <w:spacing w:before="148" w:line="237" w:lineRule="auto"/>
              <w:ind w:left="566"/>
            </w:pPr>
            <w:r>
              <w:t>5</w:t>
            </w:r>
          </w:p>
        </w:tc>
      </w:tr>
      <w:tr w14:paraId="2938BC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6" w:hRule="atLeast"/>
        </w:trPr>
        <w:tc>
          <w:tcPr>
            <w:tcW w:w="1894" w:type="dxa"/>
            <w:tcBorders>
              <w:left w:val="single" w:color="000000" w:sz="4" w:space="0"/>
            </w:tcBorders>
            <w:vAlign w:val="top"/>
          </w:tcPr>
          <w:p w14:paraId="4AB51E33">
            <w:pPr>
              <w:pStyle w:val="7"/>
              <w:spacing w:before="150" w:line="215" w:lineRule="auto"/>
              <w:ind w:left="413"/>
            </w:pPr>
            <w:r>
              <w:rPr>
                <w:spacing w:val="-17"/>
              </w:rPr>
              <w:t>轮胎压路机</w:t>
            </w:r>
          </w:p>
        </w:tc>
        <w:tc>
          <w:tcPr>
            <w:tcW w:w="1550" w:type="dxa"/>
            <w:vAlign w:val="top"/>
          </w:tcPr>
          <w:p w14:paraId="2CB48A42">
            <w:pPr>
              <w:rPr>
                <w:rFonts w:ascii="Arial"/>
                <w:sz w:val="21"/>
              </w:rPr>
            </w:pPr>
          </w:p>
        </w:tc>
        <w:tc>
          <w:tcPr>
            <w:tcW w:w="1106" w:type="dxa"/>
            <w:vAlign w:val="top"/>
          </w:tcPr>
          <w:p w14:paraId="775D0679">
            <w:pPr>
              <w:rPr>
                <w:rFonts w:ascii="Arial"/>
                <w:sz w:val="21"/>
              </w:rPr>
            </w:pPr>
          </w:p>
        </w:tc>
        <w:tc>
          <w:tcPr>
            <w:tcW w:w="1216" w:type="dxa"/>
            <w:vAlign w:val="top"/>
          </w:tcPr>
          <w:p w14:paraId="7216DA64">
            <w:pPr>
              <w:pStyle w:val="7"/>
              <w:spacing w:before="150" w:line="236" w:lineRule="auto"/>
              <w:ind w:left="230"/>
            </w:pPr>
            <w:r>
              <w:rPr>
                <w:spacing w:val="-10"/>
              </w:rPr>
              <w:t>3.5-4.5</w:t>
            </w:r>
          </w:p>
        </w:tc>
        <w:tc>
          <w:tcPr>
            <w:tcW w:w="1214" w:type="dxa"/>
            <w:vAlign w:val="top"/>
          </w:tcPr>
          <w:p w14:paraId="0F019CE1">
            <w:pPr>
              <w:pStyle w:val="7"/>
              <w:spacing w:before="149" w:line="237" w:lineRule="auto"/>
              <w:ind w:left="556"/>
            </w:pPr>
            <w:r>
              <w:t>8</w:t>
            </w:r>
          </w:p>
        </w:tc>
        <w:tc>
          <w:tcPr>
            <w:tcW w:w="1219" w:type="dxa"/>
            <w:vAlign w:val="top"/>
          </w:tcPr>
          <w:p w14:paraId="736431B2">
            <w:pPr>
              <w:pStyle w:val="7"/>
              <w:spacing w:before="149" w:line="237" w:lineRule="auto"/>
              <w:ind w:left="451"/>
            </w:pPr>
            <w:r>
              <w:rPr>
                <w:spacing w:val="-7"/>
              </w:rPr>
              <w:t>4-6</w:t>
            </w:r>
          </w:p>
        </w:tc>
        <w:tc>
          <w:tcPr>
            <w:tcW w:w="1236" w:type="dxa"/>
            <w:tcBorders>
              <w:right w:val="single" w:color="000000" w:sz="4" w:space="0"/>
            </w:tcBorders>
            <w:vAlign w:val="top"/>
          </w:tcPr>
          <w:p w14:paraId="2189DC96">
            <w:pPr>
              <w:pStyle w:val="7"/>
              <w:spacing w:before="149" w:line="237" w:lineRule="auto"/>
              <w:ind w:left="562"/>
            </w:pPr>
            <w:r>
              <w:t>8</w:t>
            </w:r>
          </w:p>
        </w:tc>
      </w:tr>
      <w:tr w14:paraId="1E61EB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5" w:hRule="atLeast"/>
        </w:trPr>
        <w:tc>
          <w:tcPr>
            <w:tcW w:w="1894" w:type="dxa"/>
            <w:tcBorders>
              <w:left w:val="single" w:color="20507B" w:sz="4" w:space="0"/>
              <w:bottom w:val="single" w:color="20507B" w:sz="4" w:space="0"/>
            </w:tcBorders>
            <w:vAlign w:val="top"/>
          </w:tcPr>
          <w:p w14:paraId="23E0D1A1">
            <w:pPr>
              <w:pStyle w:val="7"/>
              <w:spacing w:before="152" w:line="218" w:lineRule="auto"/>
              <w:ind w:left="413"/>
            </w:pPr>
            <w:r>
              <w:rPr>
                <w:spacing w:val="-17"/>
              </w:rPr>
              <w:t>振动压路机</w:t>
            </w:r>
          </w:p>
        </w:tc>
        <w:tc>
          <w:tcPr>
            <w:tcW w:w="1550" w:type="dxa"/>
            <w:tcBorders>
              <w:bottom w:val="single" w:color="000000" w:sz="4" w:space="0"/>
            </w:tcBorders>
            <w:vAlign w:val="top"/>
          </w:tcPr>
          <w:p w14:paraId="683C4E29">
            <w:pPr>
              <w:pStyle w:val="7"/>
              <w:spacing w:before="152" w:line="219" w:lineRule="auto"/>
              <w:ind w:left="213"/>
            </w:pPr>
            <w:r>
              <w:rPr>
                <w:spacing w:val="-15"/>
              </w:rPr>
              <w:t>1.5-2静压)</w:t>
            </w:r>
          </w:p>
        </w:tc>
        <w:tc>
          <w:tcPr>
            <w:tcW w:w="1106" w:type="dxa"/>
            <w:tcBorders>
              <w:bottom w:val="single" w:color="000000" w:sz="4" w:space="0"/>
            </w:tcBorders>
            <w:vAlign w:val="top"/>
          </w:tcPr>
          <w:p w14:paraId="6D47CBFF">
            <w:pPr>
              <w:pStyle w:val="7"/>
              <w:spacing w:before="152" w:line="219" w:lineRule="auto"/>
              <w:ind w:left="172"/>
            </w:pPr>
            <w:r>
              <w:rPr>
                <w:spacing w:val="-12"/>
              </w:rPr>
              <w:t>5(静压)</w:t>
            </w:r>
          </w:p>
        </w:tc>
        <w:tc>
          <w:tcPr>
            <w:tcW w:w="1216" w:type="dxa"/>
            <w:tcBorders>
              <w:bottom w:val="single" w:color="000000" w:sz="4" w:space="0"/>
            </w:tcBorders>
            <w:vAlign w:val="top"/>
          </w:tcPr>
          <w:p w14:paraId="3DA43A20">
            <w:pPr>
              <w:pStyle w:val="7"/>
              <w:spacing w:before="152" w:line="219" w:lineRule="auto"/>
              <w:ind w:left="114"/>
            </w:pPr>
            <w:r>
              <w:rPr>
                <w:spacing w:val="-11"/>
              </w:rPr>
              <w:t>4-5(振动)</w:t>
            </w:r>
          </w:p>
        </w:tc>
        <w:tc>
          <w:tcPr>
            <w:tcW w:w="1214" w:type="dxa"/>
            <w:tcBorders>
              <w:bottom w:val="single" w:color="000000" w:sz="4" w:space="0"/>
            </w:tcBorders>
            <w:vAlign w:val="top"/>
          </w:tcPr>
          <w:p w14:paraId="081315AD">
            <w:pPr>
              <w:pStyle w:val="7"/>
              <w:spacing w:before="152" w:line="219" w:lineRule="auto"/>
              <w:ind w:left="117"/>
            </w:pPr>
            <w:r>
              <w:rPr>
                <w:spacing w:val="-11"/>
              </w:rPr>
              <w:t>4-5(振动)</w:t>
            </w:r>
          </w:p>
        </w:tc>
        <w:tc>
          <w:tcPr>
            <w:tcW w:w="1219" w:type="dxa"/>
            <w:tcBorders>
              <w:bottom w:val="single" w:color="000000" w:sz="4" w:space="0"/>
            </w:tcBorders>
            <w:vAlign w:val="top"/>
          </w:tcPr>
          <w:p w14:paraId="622EBD5A">
            <w:pPr>
              <w:pStyle w:val="7"/>
              <w:spacing w:before="152" w:line="219" w:lineRule="auto"/>
              <w:ind w:left="126"/>
            </w:pPr>
            <w:r>
              <w:rPr>
                <w:spacing w:val="-12"/>
              </w:rPr>
              <w:t>2-3(静压)</w:t>
            </w:r>
          </w:p>
        </w:tc>
        <w:tc>
          <w:tcPr>
            <w:tcW w:w="1236" w:type="dxa"/>
            <w:tcBorders>
              <w:bottom w:val="single" w:color="5B9BD5" w:sz="4" w:space="0"/>
              <w:right w:val="single" w:color="5B9BD5" w:sz="4" w:space="0"/>
            </w:tcBorders>
            <w:vAlign w:val="top"/>
          </w:tcPr>
          <w:p w14:paraId="4450FE84">
            <w:pPr>
              <w:pStyle w:val="7"/>
              <w:spacing w:before="152" w:line="219" w:lineRule="auto"/>
              <w:ind w:left="239"/>
            </w:pPr>
            <w:r>
              <w:rPr>
                <w:spacing w:val="-12"/>
              </w:rPr>
              <w:t>5(静压)</w:t>
            </w:r>
          </w:p>
        </w:tc>
      </w:tr>
    </w:tbl>
    <w:p w14:paraId="1933FDD3">
      <w:pPr>
        <w:pStyle w:val="2"/>
        <w:spacing w:before="115" w:line="262" w:lineRule="auto"/>
        <w:ind w:left="1455" w:right="1412" w:firstLine="429"/>
        <w:rPr>
          <w:sz w:val="24"/>
          <w:szCs w:val="24"/>
        </w:rPr>
      </w:pPr>
      <w:r>
        <w:rPr>
          <w:spacing w:val="-22"/>
          <w:sz w:val="24"/>
          <w:szCs w:val="24"/>
        </w:rPr>
        <w:t>4.4.2压路机不得在未碾压成型或未冷却的路段上转向、制</w:t>
      </w:r>
      <w:r>
        <w:rPr>
          <w:spacing w:val="-23"/>
          <w:sz w:val="24"/>
          <w:szCs w:val="24"/>
        </w:rPr>
        <w:t>动或停留。同时，应采取有效措</w:t>
      </w:r>
      <w:r>
        <w:rPr>
          <w:spacing w:val="-21"/>
          <w:sz w:val="24"/>
          <w:szCs w:val="24"/>
        </w:rPr>
        <w:t>施，防止油料、润滑脂、汽油或其它杂质在压路机操作或停放</w:t>
      </w:r>
      <w:r>
        <w:rPr>
          <w:spacing w:val="-22"/>
          <w:sz w:val="24"/>
          <w:szCs w:val="24"/>
        </w:rPr>
        <w:t>期间落在路面上。</w:t>
      </w:r>
    </w:p>
    <w:p w14:paraId="7E7CE62B">
      <w:pPr>
        <w:pStyle w:val="2"/>
        <w:spacing w:before="119" w:line="263" w:lineRule="auto"/>
        <w:ind w:left="1457" w:right="1425" w:firstLine="427"/>
        <w:rPr>
          <w:sz w:val="24"/>
          <w:szCs w:val="24"/>
        </w:rPr>
      </w:pPr>
      <w:r>
        <w:rPr>
          <w:spacing w:val="-23"/>
          <w:sz w:val="24"/>
          <w:szCs w:val="24"/>
        </w:rPr>
        <w:t>4.4.3在沿着缘石或压路机压不到的其他地方，应采用振动夯板、热的手夯或机夯把混合料</w:t>
      </w:r>
      <w:r>
        <w:rPr>
          <w:spacing w:val="-17"/>
          <w:sz w:val="24"/>
          <w:szCs w:val="24"/>
        </w:rPr>
        <w:t>充分压实。</w:t>
      </w:r>
    </w:p>
    <w:p w14:paraId="1C81A0A5">
      <w:pPr>
        <w:pStyle w:val="2"/>
        <w:spacing w:before="117" w:line="261" w:lineRule="auto"/>
        <w:ind w:left="1456" w:right="1413" w:firstLine="428"/>
        <w:rPr>
          <w:sz w:val="24"/>
          <w:szCs w:val="24"/>
        </w:rPr>
      </w:pPr>
      <w:r>
        <w:rPr>
          <w:spacing w:val="-22"/>
          <w:sz w:val="24"/>
          <w:szCs w:val="24"/>
        </w:rPr>
        <w:t>4.4.4对初压、复压、终压段落设置明显标志，便于</w:t>
      </w:r>
      <w:r>
        <w:rPr>
          <w:spacing w:val="-23"/>
          <w:sz w:val="24"/>
          <w:szCs w:val="24"/>
        </w:rPr>
        <w:t>司机辩认。对松铺厚度、碾压顺序、碾</w:t>
      </w:r>
      <w:r>
        <w:rPr>
          <w:spacing w:val="-21"/>
          <w:sz w:val="24"/>
          <w:szCs w:val="24"/>
        </w:rPr>
        <w:t>压遍数、碾压速度及碾压温度应设专岗检查。</w:t>
      </w:r>
    </w:p>
    <w:p w14:paraId="52B8E376">
      <w:pPr>
        <w:pStyle w:val="2"/>
        <w:spacing w:before="120" w:line="215" w:lineRule="auto"/>
        <w:ind w:left="1884"/>
        <w:rPr>
          <w:sz w:val="24"/>
          <w:szCs w:val="24"/>
        </w:rPr>
      </w:pPr>
      <w:r>
        <w:rPr>
          <w:spacing w:val="-19"/>
          <w:sz w:val="24"/>
          <w:szCs w:val="24"/>
        </w:rPr>
        <w:t>4.4.5压实完成12小时后，方能允许施工车辆</w:t>
      </w:r>
      <w:r>
        <w:rPr>
          <w:spacing w:val="-20"/>
          <w:sz w:val="24"/>
          <w:szCs w:val="24"/>
        </w:rPr>
        <w:t>通行。</w:t>
      </w:r>
    </w:p>
    <w:p w14:paraId="3D9079D9">
      <w:pPr>
        <w:spacing w:line="63" w:lineRule="auto"/>
        <w:rPr>
          <w:rFonts w:ascii="Arial"/>
          <w:sz w:val="2"/>
        </w:rPr>
      </w:pPr>
    </w:p>
    <w:tbl>
      <w:tblPr>
        <w:tblStyle w:val="6"/>
        <w:tblW w:w="8549" w:type="dxa"/>
        <w:tblInd w:w="1678" w:type="dxa"/>
        <w:tblBorders>
          <w:top w:val="single" w:color="5B9BD5" w:sz="4" w:space="0"/>
          <w:left w:val="single" w:color="5B9BD5" w:sz="4" w:space="0"/>
          <w:bottom w:val="single" w:color="5B9BD5" w:sz="4" w:space="0"/>
          <w:right w:val="single" w:color="5B9BD5" w:sz="4" w:space="0"/>
          <w:insideH w:val="single" w:color="5B9BD5" w:sz="4" w:space="0"/>
          <w:insideV w:val="single" w:color="5B9BD5" w:sz="4" w:space="0"/>
        </w:tblBorders>
        <w:tblLayout w:type="fixed"/>
        <w:tblCellMar>
          <w:top w:w="0" w:type="dxa"/>
          <w:left w:w="0" w:type="dxa"/>
          <w:bottom w:w="0" w:type="dxa"/>
          <w:right w:w="0" w:type="dxa"/>
        </w:tblCellMar>
      </w:tblPr>
      <w:tblGrid>
        <w:gridCol w:w="8549"/>
      </w:tblGrid>
      <w:tr w14:paraId="2E2A8727">
        <w:tblPrEx>
          <w:tblBorders>
            <w:top w:val="single" w:color="5B9BD5" w:sz="4" w:space="0"/>
            <w:left w:val="single" w:color="5B9BD5" w:sz="4" w:space="0"/>
            <w:bottom w:val="single" w:color="5B9BD5" w:sz="4" w:space="0"/>
            <w:right w:val="single" w:color="5B9BD5" w:sz="4" w:space="0"/>
            <w:insideH w:val="single" w:color="5B9BD5" w:sz="4" w:space="0"/>
            <w:insideV w:val="single" w:color="5B9BD5" w:sz="4" w:space="0"/>
          </w:tblBorders>
          <w:tblCellMar>
            <w:top w:w="0" w:type="dxa"/>
            <w:left w:w="0" w:type="dxa"/>
            <w:bottom w:w="0" w:type="dxa"/>
            <w:right w:w="0" w:type="dxa"/>
          </w:tblCellMar>
        </w:tblPrEx>
        <w:trPr>
          <w:trHeight w:val="3531" w:hRule="atLeast"/>
        </w:trPr>
        <w:tc>
          <w:tcPr>
            <w:tcW w:w="8549" w:type="dxa"/>
            <w:tcBorders>
              <w:bottom w:val="single" w:color="000000" w:sz="2" w:space="0"/>
            </w:tcBorders>
            <w:shd w:val="clear" w:color="auto" w:fill="DEEAF6"/>
            <w:vAlign w:val="top"/>
          </w:tcPr>
          <w:p w14:paraId="093F99A9">
            <w:pPr>
              <w:spacing w:before="90" w:line="3230" w:lineRule="exact"/>
              <w:ind w:firstLine="68"/>
            </w:pPr>
            <w:r>
              <w:pict>
                <v:group id="_x0000_s1766" o:spid="_x0000_s1766" o:spt="203" style="position:absolute;left:0pt;margin-left:-0.25pt;margin-top:0pt;height:177.3pt;width:426.95pt;mso-position-horizontal-relative:page;mso-position-vertical-relative:page;z-index:251834368;mso-width-relative:page;mso-height-relative:page;" coordsize="8539,3546">
                  <o:lock v:ext="edit"/>
                  <v:group id="_x0000_s1767" o:spid="_x0000_s1767" o:spt="203" style="position:absolute;left:0;top:0;height:103;width:8517;" coordsize="8517,103">
                    <o:lock v:ext="edit"/>
                    <v:shape id="_x0000_s1768" o:spid="_x0000_s1768" style="position:absolute;left:0;top:0;height:15;width:44;" fillcolor="#5B9BD5" filled="t" stroked="f" coordsize="44,15" path="m0,14l43,14,43,0,0,0,0,14xe">
                      <v:path/>
                      <v:fill on="t" focussize="0,0"/>
                      <v:stroke on="f"/>
                      <v:imagedata o:title=""/>
                      <o:lock v:ext="edit"/>
                    </v:shape>
                    <v:shape id="_x0000_s1769" o:spid="_x0000_s1769" style="position:absolute;left:43;top:43;height:60;width:8474;" fillcolor="#DEEAF6" filled="t" stroked="f" coordsize="8474,60" path="m0,60l8473,60,8473,0,0,0,0,60xe">
                      <v:path/>
                      <v:fill on="t" focussize="0,0"/>
                      <v:stroke on="f"/>
                      <v:imagedata o:title=""/>
                      <o:lock v:ext="edit"/>
                    </v:shape>
                  </v:group>
                  <v:shape id="_x0000_s1770" o:spid="_x0000_s1770" style="position:absolute;left:21;top:3487;height:58;width:8517;" fillcolor="#DEEAF6" filled="t" stroked="f" coordsize="8517,58" path="m0,57l8516,57,8516,0,0,0,0,57xe">
                    <v:path/>
                    <v:fill on="t" focussize="0,0"/>
                    <v:stroke on="f"/>
                    <v:imagedata o:title=""/>
                    <o:lock v:ext="edit"/>
                  </v:shape>
                </v:group>
              </w:pict>
            </w:r>
            <w:r>
              <w:rPr>
                <w:position w:val="-64"/>
              </w:rPr>
              <w:drawing>
                <wp:inline distT="0" distB="0" distL="0" distR="0">
                  <wp:extent cx="5337810" cy="2051050"/>
                  <wp:effectExtent l="0" t="0" r="0" b="0"/>
                  <wp:docPr id="584" name="IM 584"/>
                  <wp:cNvGraphicFramePr/>
                  <a:graphic xmlns:a="http://schemas.openxmlformats.org/drawingml/2006/main">
                    <a:graphicData uri="http://schemas.openxmlformats.org/drawingml/2006/picture">
                      <pic:pic xmlns:pic="http://schemas.openxmlformats.org/drawingml/2006/picture">
                        <pic:nvPicPr>
                          <pic:cNvPr id="584" name="IM 584"/>
                          <pic:cNvPicPr/>
                        </pic:nvPicPr>
                        <pic:blipFill>
                          <a:blip r:embed="rId562"/>
                          <a:stretch>
                            <a:fillRect/>
                          </a:stretch>
                        </pic:blipFill>
                        <pic:spPr>
                          <a:xfrm>
                            <a:off x="0" y="0"/>
                            <a:ext cx="5338444" cy="2051050"/>
                          </a:xfrm>
                          <a:prstGeom prst="rect">
                            <a:avLst/>
                          </a:prstGeom>
                        </pic:spPr>
                      </pic:pic>
                    </a:graphicData>
                  </a:graphic>
                </wp:inline>
              </w:drawing>
            </w:r>
          </w:p>
        </w:tc>
      </w:tr>
      <w:tr w14:paraId="37AB8DDA">
        <w:tblPrEx>
          <w:tblBorders>
            <w:top w:val="single" w:color="5B9BD5" w:sz="4" w:space="0"/>
            <w:left w:val="single" w:color="5B9BD5" w:sz="4" w:space="0"/>
            <w:bottom w:val="single" w:color="5B9BD5" w:sz="4" w:space="0"/>
            <w:right w:val="single" w:color="5B9BD5" w:sz="4" w:space="0"/>
            <w:insideH w:val="single" w:color="5B9BD5" w:sz="4" w:space="0"/>
            <w:insideV w:val="single" w:color="5B9BD5" w:sz="4" w:space="0"/>
          </w:tblBorders>
          <w:tblCellMar>
            <w:top w:w="0" w:type="dxa"/>
            <w:left w:w="0" w:type="dxa"/>
            <w:bottom w:w="0" w:type="dxa"/>
            <w:right w:w="0" w:type="dxa"/>
          </w:tblCellMar>
        </w:tblPrEx>
        <w:trPr>
          <w:trHeight w:val="625" w:hRule="atLeast"/>
        </w:trPr>
        <w:tc>
          <w:tcPr>
            <w:tcW w:w="8549" w:type="dxa"/>
            <w:tcBorders>
              <w:top w:val="single" w:color="000000" w:sz="2" w:space="0"/>
              <w:left w:val="single" w:color="1C456A" w:sz="4" w:space="0"/>
              <w:bottom w:val="single" w:color="1C456A" w:sz="4" w:space="0"/>
              <w:right w:val="single" w:color="1C456A" w:sz="4" w:space="0"/>
            </w:tcBorders>
            <w:vAlign w:val="top"/>
          </w:tcPr>
          <w:p w14:paraId="24A27BC3">
            <w:pPr>
              <w:pStyle w:val="7"/>
              <w:spacing w:before="102" w:line="216" w:lineRule="auto"/>
              <w:ind w:left="3007"/>
            </w:pPr>
            <w:r>
              <w:pict>
                <v:shape id="_x0000_s1771" o:spid="_x0000_s1771" style="position:absolute;left:0pt;margin-left:-0.25pt;margin-top:31.25pt;height:0.75pt;width:2.2pt;mso-position-horizontal-relative:page;mso-position-vertical-relative:page;z-index:251833344;mso-width-relative:page;mso-height-relative:page;" fillcolor="#5B9BD5" filled="t" stroked="f" coordsize="44,15" path="m0,14l43,14,43,0,0,0,0,14xe">
                  <v:path/>
                  <v:fill on="t" focussize="0,0"/>
                  <v:stroke on="f"/>
                  <v:imagedata o:title=""/>
                  <o:lock v:ext="edit"/>
                </v:shape>
              </w:pict>
            </w:r>
            <w:r>
              <w:rPr>
                <w:spacing w:val="-18"/>
              </w:rPr>
              <w:t>沥青混合料的碾压施工图1</w:t>
            </w:r>
          </w:p>
        </w:tc>
      </w:tr>
    </w:tbl>
    <w:p w14:paraId="49D9D862">
      <w:pPr>
        <w:rPr>
          <w:rFonts w:ascii="Arial"/>
          <w:sz w:val="21"/>
        </w:rPr>
      </w:pPr>
    </w:p>
    <w:p w14:paraId="6CD6E90B">
      <w:pPr>
        <w:rPr>
          <w:rFonts w:ascii="Arial" w:hAnsi="Arial" w:eastAsia="Arial" w:cs="Arial"/>
          <w:sz w:val="21"/>
          <w:szCs w:val="21"/>
        </w:rPr>
        <w:sectPr>
          <w:footerReference r:id="rId98" w:type="default"/>
          <w:pgSz w:w="11907" w:h="16839"/>
          <w:pgMar w:top="954" w:right="4" w:bottom="1038" w:left="0" w:header="499" w:footer="357" w:gutter="0"/>
          <w:pgBorders>
            <w:top w:val="none" w:sz="0" w:space="0"/>
            <w:left w:val="none" w:sz="0" w:space="0"/>
            <w:bottom w:val="none" w:sz="0" w:space="0"/>
            <w:right w:val="none" w:sz="0" w:space="0"/>
          </w:pgBorders>
          <w:cols w:space="720" w:num="1"/>
        </w:sectPr>
      </w:pPr>
    </w:p>
    <w:p w14:paraId="6219C78A">
      <w:pPr>
        <w:spacing w:line="214" w:lineRule="exact"/>
      </w:pPr>
    </w:p>
    <w:tbl>
      <w:tblPr>
        <w:tblStyle w:val="6"/>
        <w:tblW w:w="8549" w:type="dxa"/>
        <w:tblInd w:w="167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190"/>
        <w:gridCol w:w="4359"/>
      </w:tblGrid>
      <w:tr w14:paraId="6C1551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22" w:hRule="atLeast"/>
        </w:trPr>
        <w:tc>
          <w:tcPr>
            <w:tcW w:w="4190" w:type="dxa"/>
            <w:tcBorders>
              <w:top w:val="single" w:color="000000" w:sz="4" w:space="0"/>
              <w:left w:val="single" w:color="000000" w:sz="4" w:space="0"/>
            </w:tcBorders>
            <w:vAlign w:val="top"/>
          </w:tcPr>
          <w:p w14:paraId="12D2C3D2">
            <w:pPr>
              <w:spacing w:before="93" w:line="4819" w:lineRule="exact"/>
              <w:ind w:firstLine="121"/>
            </w:pPr>
            <w:r>
              <w:rPr>
                <w:position w:val="-96"/>
              </w:rPr>
              <w:drawing>
                <wp:inline distT="0" distB="0" distL="0" distR="0">
                  <wp:extent cx="2510155" cy="3060065"/>
                  <wp:effectExtent l="0" t="0" r="0" b="0"/>
                  <wp:docPr id="588" name="IM 588"/>
                  <wp:cNvGraphicFramePr/>
                  <a:graphic xmlns:a="http://schemas.openxmlformats.org/drawingml/2006/main">
                    <a:graphicData uri="http://schemas.openxmlformats.org/drawingml/2006/picture">
                      <pic:pic xmlns:pic="http://schemas.openxmlformats.org/drawingml/2006/picture">
                        <pic:nvPicPr>
                          <pic:cNvPr id="588" name="IM 588"/>
                          <pic:cNvPicPr/>
                        </pic:nvPicPr>
                        <pic:blipFill>
                          <a:blip r:embed="rId563"/>
                          <a:stretch>
                            <a:fillRect/>
                          </a:stretch>
                        </pic:blipFill>
                        <pic:spPr>
                          <a:xfrm>
                            <a:off x="0" y="0"/>
                            <a:ext cx="2510155" cy="3060065"/>
                          </a:xfrm>
                          <a:prstGeom prst="rect">
                            <a:avLst/>
                          </a:prstGeom>
                        </pic:spPr>
                      </pic:pic>
                    </a:graphicData>
                  </a:graphic>
                </wp:inline>
              </w:drawing>
            </w:r>
          </w:p>
        </w:tc>
        <w:tc>
          <w:tcPr>
            <w:tcW w:w="4359" w:type="dxa"/>
            <w:tcBorders>
              <w:top w:val="single" w:color="5B9BD5" w:sz="4" w:space="0"/>
              <w:right w:val="single" w:color="5B9BD5" w:sz="4" w:space="0"/>
            </w:tcBorders>
            <w:vAlign w:val="top"/>
          </w:tcPr>
          <w:p w14:paraId="1CBD7E7B">
            <w:pPr>
              <w:spacing w:before="115" w:line="4773" w:lineRule="exact"/>
              <w:ind w:firstLine="103"/>
            </w:pPr>
            <w:r>
              <w:rPr>
                <w:position w:val="-95"/>
              </w:rPr>
              <w:drawing>
                <wp:inline distT="0" distB="0" distL="0" distR="0">
                  <wp:extent cx="2620645" cy="3030855"/>
                  <wp:effectExtent l="0" t="0" r="0" b="0"/>
                  <wp:docPr id="590" name="IM 590"/>
                  <wp:cNvGraphicFramePr/>
                  <a:graphic xmlns:a="http://schemas.openxmlformats.org/drawingml/2006/main">
                    <a:graphicData uri="http://schemas.openxmlformats.org/drawingml/2006/picture">
                      <pic:pic xmlns:pic="http://schemas.openxmlformats.org/drawingml/2006/picture">
                        <pic:nvPicPr>
                          <pic:cNvPr id="590" name="IM 590"/>
                          <pic:cNvPicPr/>
                        </pic:nvPicPr>
                        <pic:blipFill>
                          <a:blip r:embed="rId564"/>
                          <a:stretch>
                            <a:fillRect/>
                          </a:stretch>
                        </pic:blipFill>
                        <pic:spPr>
                          <a:xfrm>
                            <a:off x="0" y="0"/>
                            <a:ext cx="2621279" cy="3030855"/>
                          </a:xfrm>
                          <a:prstGeom prst="rect">
                            <a:avLst/>
                          </a:prstGeom>
                        </pic:spPr>
                      </pic:pic>
                    </a:graphicData>
                  </a:graphic>
                </wp:inline>
              </w:drawing>
            </w:r>
          </w:p>
        </w:tc>
      </w:tr>
      <w:tr w14:paraId="45DD22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25" w:hRule="atLeast"/>
        </w:trPr>
        <w:tc>
          <w:tcPr>
            <w:tcW w:w="4190" w:type="dxa"/>
            <w:tcBorders>
              <w:left w:val="single" w:color="1C456A" w:sz="4" w:space="0"/>
              <w:bottom w:val="single" w:color="1C456A" w:sz="4" w:space="0"/>
            </w:tcBorders>
            <w:vAlign w:val="top"/>
          </w:tcPr>
          <w:p w14:paraId="63D6211E">
            <w:pPr>
              <w:pStyle w:val="7"/>
              <w:spacing w:before="103" w:line="216" w:lineRule="auto"/>
              <w:ind w:left="837"/>
            </w:pPr>
            <w:r>
              <w:pict>
                <v:shape id="_x0000_s1772" o:spid="_x0000_s1772" style="position:absolute;left:0pt;margin-left:-0.2pt;margin-top:31.3pt;height:0.75pt;width:2.2pt;mso-position-horizontal-relative:page;mso-position-vertical-relative:page;z-index:251835392;mso-width-relative:page;mso-height-relative:page;" fillcolor="#5B9BD5" filled="t" stroked="f" coordsize="44,15" path="m0,14l43,14,43,0,0,0,0,14xe">
                  <v:path/>
                  <v:fill on="t" focussize="0,0"/>
                  <v:stroke on="f"/>
                  <v:imagedata o:title=""/>
                  <o:lock v:ext="edit"/>
                </v:shape>
              </w:pict>
            </w:r>
            <w:r>
              <w:rPr>
                <w:spacing w:val="-18"/>
              </w:rPr>
              <w:t>沥青混合料的摊铺施工图2</w:t>
            </w:r>
          </w:p>
        </w:tc>
        <w:tc>
          <w:tcPr>
            <w:tcW w:w="4359" w:type="dxa"/>
            <w:tcBorders>
              <w:bottom w:val="single" w:color="5B9BD5" w:sz="4" w:space="0"/>
              <w:right w:val="single" w:color="5B9BD5" w:sz="4" w:space="0"/>
            </w:tcBorders>
            <w:vAlign w:val="top"/>
          </w:tcPr>
          <w:p w14:paraId="57289261">
            <w:pPr>
              <w:pStyle w:val="7"/>
              <w:spacing w:before="103" w:line="216" w:lineRule="auto"/>
              <w:ind w:left="906"/>
            </w:pPr>
            <w:r>
              <w:rPr>
                <w:spacing w:val="-18"/>
              </w:rPr>
              <w:t>沥青混合料的摊铺施工图3</w:t>
            </w:r>
          </w:p>
        </w:tc>
      </w:tr>
    </w:tbl>
    <w:p w14:paraId="2D059080">
      <w:pPr>
        <w:pStyle w:val="2"/>
        <w:spacing w:before="112" w:line="219" w:lineRule="auto"/>
        <w:ind w:left="1884"/>
        <w:rPr>
          <w:sz w:val="24"/>
          <w:szCs w:val="24"/>
        </w:rPr>
      </w:pPr>
      <w:r>
        <w:rPr>
          <w:spacing w:val="-16"/>
          <w:sz w:val="24"/>
          <w:szCs w:val="24"/>
        </w:rPr>
        <w:t>4.5施工接缝的处理</w:t>
      </w:r>
    </w:p>
    <w:p w14:paraId="344D44E0">
      <w:pPr>
        <w:pStyle w:val="2"/>
        <w:spacing w:before="114" w:line="308" w:lineRule="auto"/>
        <w:ind w:left="1458" w:right="1409" w:firstLine="435"/>
        <w:rPr>
          <w:sz w:val="24"/>
          <w:szCs w:val="24"/>
        </w:rPr>
      </w:pPr>
      <w:r>
        <w:rPr>
          <w:spacing w:val="-20"/>
          <w:sz w:val="24"/>
          <w:szCs w:val="24"/>
        </w:rPr>
        <w:t>纵向施工缝：采用两台摊铺机成梯队联合摊铺方式的纵向接缝，应在前部已铺混合料部分</w:t>
      </w:r>
      <w:r>
        <w:rPr>
          <w:spacing w:val="-19"/>
          <w:sz w:val="24"/>
          <w:szCs w:val="24"/>
        </w:rPr>
        <w:t>留下10-20cm宽暂汪碾压作为后高程基准面，并有5-10cm左右的摊铺重叠，以热接缝形式在最后作跨接缝碾压以消缝迹。上下层纵缝应错开15cm以上。</w:t>
      </w:r>
    </w:p>
    <w:p w14:paraId="3CC07829">
      <w:pPr>
        <w:pStyle w:val="2"/>
        <w:spacing w:line="308" w:lineRule="auto"/>
        <w:ind w:left="1456" w:right="1411" w:firstLine="436"/>
        <w:jc w:val="both"/>
        <w:rPr>
          <w:sz w:val="24"/>
          <w:szCs w:val="24"/>
        </w:rPr>
      </w:pPr>
      <w:r>
        <w:rPr>
          <w:spacing w:val="-21"/>
          <w:sz w:val="24"/>
          <w:szCs w:val="24"/>
        </w:rPr>
        <w:t>横向施工缝：采用平接缝或45。斜切接缝。用三米直尺沿纵向位置，在摊铺段端部的直尺</w:t>
      </w:r>
      <w:r>
        <w:rPr>
          <w:spacing w:val="-20"/>
          <w:sz w:val="24"/>
          <w:szCs w:val="24"/>
        </w:rPr>
        <w:t>呈悬臂状，以摊铺层与直尺脱离接触处定出接缝位置，用锯缝机割齐后铲除；继续摊铺时，应将接缝锯切时留下的灰浆擦洗干净，涂上少量粘层沥青，摊铺机熨平板从接缝后起步摊铺。碾</w:t>
      </w:r>
      <w:r>
        <w:rPr>
          <w:spacing w:val="-22"/>
          <w:sz w:val="24"/>
          <w:szCs w:val="24"/>
        </w:rPr>
        <w:t>压时用钢筒式压路机进行横向或斜向压实，从先铺路面上跨缝逐渐移向新铺面层。</w:t>
      </w:r>
    </w:p>
    <w:p w14:paraId="0784BA6D">
      <w:pPr>
        <w:pStyle w:val="2"/>
        <w:spacing w:line="217" w:lineRule="auto"/>
        <w:ind w:left="1884"/>
        <w:rPr>
          <w:sz w:val="24"/>
          <w:szCs w:val="24"/>
        </w:rPr>
      </w:pPr>
      <w:r>
        <w:rPr>
          <w:spacing w:val="-15"/>
          <w:sz w:val="24"/>
          <w:szCs w:val="24"/>
        </w:rPr>
        <w:t>4.6气候条件</w:t>
      </w:r>
    </w:p>
    <w:p w14:paraId="4559C3D3">
      <w:pPr>
        <w:pStyle w:val="2"/>
        <w:spacing w:before="116" w:line="215" w:lineRule="auto"/>
        <w:ind w:left="1884"/>
        <w:rPr>
          <w:sz w:val="24"/>
          <w:szCs w:val="24"/>
        </w:rPr>
      </w:pPr>
      <w:r>
        <w:rPr>
          <w:spacing w:val="-20"/>
          <w:sz w:val="24"/>
          <w:szCs w:val="24"/>
        </w:rPr>
        <w:t>4.6.1沥青混合料的摊铺应避免在雨天进行。当路面滞水或潮湿时，应暂停施工。</w:t>
      </w:r>
    </w:p>
    <w:p w14:paraId="5C11805B">
      <w:pPr>
        <w:pStyle w:val="2"/>
        <w:spacing w:before="122" w:line="262" w:lineRule="auto"/>
        <w:ind w:left="1459" w:right="1462" w:firstLine="425"/>
        <w:rPr>
          <w:sz w:val="24"/>
          <w:szCs w:val="24"/>
        </w:rPr>
      </w:pPr>
      <w:r>
        <w:rPr>
          <w:spacing w:val="-22"/>
          <w:sz w:val="24"/>
          <w:szCs w:val="24"/>
        </w:rPr>
        <w:t>4.6.2当施工气温低于10度时，必须采取相应措施，否则，应停止摊铺热拌沥青混合料，</w:t>
      </w:r>
      <w:r>
        <w:rPr>
          <w:spacing w:val="-21"/>
          <w:sz w:val="24"/>
          <w:szCs w:val="24"/>
        </w:rPr>
        <w:t>并以监理工程师同意方可继续摊铺。</w:t>
      </w:r>
    </w:p>
    <w:p w14:paraId="16716A6F">
      <w:pPr>
        <w:pStyle w:val="2"/>
        <w:spacing w:before="117" w:line="216" w:lineRule="auto"/>
        <w:ind w:left="1884"/>
        <w:rPr>
          <w:sz w:val="24"/>
          <w:szCs w:val="24"/>
        </w:rPr>
      </w:pPr>
      <w:r>
        <w:rPr>
          <w:spacing w:val="-19"/>
          <w:sz w:val="24"/>
          <w:szCs w:val="24"/>
        </w:rPr>
        <w:t>4.6.3未以压实即遭雨淋的沥青混合料应全部清除</w:t>
      </w:r>
      <w:r>
        <w:rPr>
          <w:spacing w:val="-20"/>
          <w:sz w:val="24"/>
          <w:szCs w:val="24"/>
        </w:rPr>
        <w:t>更换新料。</w:t>
      </w:r>
    </w:p>
    <w:p w14:paraId="63FF1063">
      <w:pPr>
        <w:pStyle w:val="2"/>
        <w:spacing w:before="121" w:line="215" w:lineRule="auto"/>
        <w:ind w:left="1884"/>
        <w:rPr>
          <w:sz w:val="24"/>
          <w:szCs w:val="24"/>
        </w:rPr>
      </w:pPr>
      <w:r>
        <w:rPr>
          <w:spacing w:val="-15"/>
          <w:sz w:val="24"/>
          <w:szCs w:val="24"/>
        </w:rPr>
        <w:t>4.7取样和试验</w:t>
      </w:r>
    </w:p>
    <w:p w14:paraId="0FD23A23">
      <w:pPr>
        <w:pStyle w:val="2"/>
        <w:spacing w:before="121" w:line="277" w:lineRule="auto"/>
        <w:ind w:left="1463" w:right="1410" w:firstLine="421"/>
        <w:rPr>
          <w:sz w:val="24"/>
          <w:szCs w:val="24"/>
        </w:rPr>
      </w:pPr>
      <w:r>
        <w:rPr>
          <w:spacing w:val="-22"/>
          <w:sz w:val="24"/>
          <w:szCs w:val="24"/>
        </w:rPr>
        <w:t>4.7.1沥青混合料应按《公路工程沥青混合料试验规程</w:t>
      </w:r>
      <w:r>
        <w:rPr>
          <w:spacing w:val="-23"/>
          <w:sz w:val="24"/>
          <w:szCs w:val="24"/>
        </w:rPr>
        <w:t>》的方法取样，以测定矿料级配、沥</w:t>
      </w:r>
      <w:r>
        <w:rPr>
          <w:spacing w:val="-21"/>
          <w:sz w:val="24"/>
          <w:szCs w:val="24"/>
        </w:rPr>
        <w:t>青含量。混合料的试样，每台拌和机应在每天进行1-2次取样，</w:t>
      </w:r>
      <w:r>
        <w:rPr>
          <w:spacing w:val="-22"/>
          <w:sz w:val="24"/>
          <w:szCs w:val="24"/>
        </w:rPr>
        <w:t>并按《公路工程沥青及沥青混合料试验规程》标准方法对对规定项目进行检验。</w:t>
      </w:r>
    </w:p>
    <w:p w14:paraId="12479F2C">
      <w:pPr>
        <w:pStyle w:val="2"/>
        <w:spacing w:before="121" w:line="262" w:lineRule="auto"/>
        <w:ind w:left="1468" w:right="1409" w:firstLine="416"/>
        <w:rPr>
          <w:sz w:val="24"/>
          <w:szCs w:val="24"/>
        </w:rPr>
      </w:pPr>
      <w:r>
        <w:rPr>
          <w:spacing w:val="-22"/>
          <w:sz w:val="24"/>
          <w:szCs w:val="24"/>
        </w:rPr>
        <w:t>4.7.2压实的沥青路面应按《公路路基路面现场测试规程》要求的</w:t>
      </w:r>
      <w:r>
        <w:rPr>
          <w:spacing w:val="-23"/>
          <w:sz w:val="24"/>
          <w:szCs w:val="24"/>
        </w:rPr>
        <w:t>方法钻孔取样，或用核子</w:t>
      </w:r>
      <w:r>
        <w:rPr>
          <w:spacing w:val="-21"/>
          <w:sz w:val="24"/>
          <w:szCs w:val="24"/>
        </w:rPr>
        <w:t>密度仪测定其压实度。</w:t>
      </w:r>
    </w:p>
    <w:p w14:paraId="6F2EDB08">
      <w:pPr>
        <w:pStyle w:val="2"/>
        <w:spacing w:before="117" w:line="218" w:lineRule="auto"/>
        <w:ind w:left="1884"/>
        <w:rPr>
          <w:sz w:val="24"/>
          <w:szCs w:val="24"/>
        </w:rPr>
      </w:pPr>
      <w:r>
        <w:rPr>
          <w:spacing w:val="-20"/>
          <w:sz w:val="24"/>
          <w:szCs w:val="24"/>
        </w:rPr>
        <w:t>4.7.3所有试验结果均应报监理工程师审批。</w:t>
      </w:r>
    </w:p>
    <w:p w14:paraId="345CC087">
      <w:pPr>
        <w:pStyle w:val="2"/>
        <w:spacing w:before="82" w:line="219" w:lineRule="auto"/>
        <w:ind w:left="1981"/>
        <w:outlineLvl w:val="2"/>
        <w:rPr>
          <w:sz w:val="28"/>
          <w:szCs w:val="28"/>
        </w:rPr>
      </w:pPr>
      <w:bookmarkStart w:id="52" w:name="bookmark52"/>
      <w:bookmarkEnd w:id="52"/>
      <w:r>
        <w:rPr>
          <w:b/>
          <w:bCs/>
          <w:spacing w:val="-22"/>
          <w:sz w:val="28"/>
          <w:szCs w:val="28"/>
        </w:rPr>
        <w:t>五、道路标线施工方案</w:t>
      </w:r>
    </w:p>
    <w:p w14:paraId="351422FD">
      <w:pPr>
        <w:spacing w:line="219" w:lineRule="auto"/>
        <w:rPr>
          <w:sz w:val="28"/>
          <w:szCs w:val="28"/>
        </w:rPr>
        <w:sectPr>
          <w:footerReference r:id="rId99" w:type="default"/>
          <w:pgSz w:w="11907" w:h="16839"/>
          <w:pgMar w:top="954" w:right="4" w:bottom="1038" w:left="0" w:header="499" w:footer="357" w:gutter="0"/>
          <w:pgBorders>
            <w:top w:val="none" w:sz="0" w:space="0"/>
            <w:left w:val="none" w:sz="0" w:space="0"/>
            <w:bottom w:val="none" w:sz="0" w:space="0"/>
            <w:right w:val="none" w:sz="0" w:space="0"/>
          </w:pgBorders>
          <w:cols w:space="720" w:num="1"/>
        </w:sectPr>
      </w:pPr>
    </w:p>
    <w:p w14:paraId="3744A5E9">
      <w:pPr>
        <w:spacing w:line="251" w:lineRule="auto"/>
        <w:rPr>
          <w:rFonts w:ascii="Arial"/>
          <w:sz w:val="21"/>
        </w:rPr>
      </w:pPr>
    </w:p>
    <w:p w14:paraId="47C9449B">
      <w:pPr>
        <w:pStyle w:val="2"/>
        <w:spacing w:before="78" w:line="220" w:lineRule="auto"/>
        <w:ind w:left="1903"/>
        <w:rPr>
          <w:sz w:val="24"/>
          <w:szCs w:val="24"/>
        </w:rPr>
      </w:pPr>
      <w:r>
        <w:rPr>
          <w:spacing w:val="-20"/>
          <w:sz w:val="24"/>
          <w:szCs w:val="24"/>
        </w:rPr>
        <w:t>1、施工方法</w:t>
      </w:r>
    </w:p>
    <w:p w14:paraId="054D14D8">
      <w:pPr>
        <w:pStyle w:val="2"/>
        <w:spacing w:before="114" w:line="218" w:lineRule="auto"/>
        <w:ind w:left="1903"/>
        <w:rPr>
          <w:sz w:val="24"/>
          <w:szCs w:val="24"/>
        </w:rPr>
      </w:pPr>
      <w:r>
        <w:rPr>
          <w:spacing w:val="-17"/>
          <w:sz w:val="24"/>
          <w:szCs w:val="24"/>
        </w:rPr>
        <w:t>1.1施工要求：</w:t>
      </w:r>
    </w:p>
    <w:p w14:paraId="79D8EFF9">
      <w:pPr>
        <w:pStyle w:val="2"/>
        <w:spacing w:before="114" w:line="216" w:lineRule="auto"/>
        <w:ind w:left="1665"/>
        <w:rPr>
          <w:sz w:val="24"/>
          <w:szCs w:val="24"/>
        </w:rPr>
      </w:pPr>
      <w:r>
        <w:rPr>
          <w:spacing w:val="-21"/>
          <w:sz w:val="24"/>
          <w:szCs w:val="24"/>
        </w:rPr>
        <w:t>1）道路标线材料采用热融性道路专用漆。</w:t>
      </w:r>
    </w:p>
    <w:p w14:paraId="07A65D25">
      <w:pPr>
        <w:pStyle w:val="2"/>
        <w:spacing w:before="120" w:line="215" w:lineRule="auto"/>
        <w:ind w:left="1650"/>
        <w:rPr>
          <w:sz w:val="24"/>
          <w:szCs w:val="24"/>
        </w:rPr>
      </w:pPr>
      <w:r>
        <w:rPr>
          <w:spacing w:val="-22"/>
          <w:sz w:val="24"/>
          <w:szCs w:val="24"/>
        </w:rPr>
        <w:t>2）车行道分界线：白色虚线，宽15厘米，采用2米实线，4米空档。</w:t>
      </w:r>
    </w:p>
    <w:p w14:paraId="6E665B36">
      <w:pPr>
        <w:pStyle w:val="2"/>
        <w:spacing w:before="121" w:line="215" w:lineRule="auto"/>
        <w:ind w:left="1652"/>
        <w:rPr>
          <w:sz w:val="24"/>
          <w:szCs w:val="24"/>
        </w:rPr>
      </w:pPr>
      <w:r>
        <w:rPr>
          <w:spacing w:val="-21"/>
          <w:sz w:val="24"/>
          <w:szCs w:val="24"/>
        </w:rPr>
        <w:t>3）车行道边缘线：设在车行道两侧与路缘带之间，白色实线，</w:t>
      </w:r>
      <w:r>
        <w:rPr>
          <w:spacing w:val="-22"/>
          <w:sz w:val="24"/>
          <w:szCs w:val="24"/>
        </w:rPr>
        <w:t>宽15厘米。</w:t>
      </w:r>
    </w:p>
    <w:p w14:paraId="1109EDE7">
      <w:pPr>
        <w:pStyle w:val="2"/>
        <w:spacing w:before="120" w:line="262" w:lineRule="auto"/>
        <w:ind w:left="1454" w:right="1353" w:firstLine="430"/>
        <w:rPr>
          <w:sz w:val="24"/>
          <w:szCs w:val="24"/>
        </w:rPr>
      </w:pPr>
      <w:r>
        <w:rPr>
          <w:spacing w:val="-23"/>
          <w:sz w:val="24"/>
          <w:szCs w:val="24"/>
        </w:rPr>
        <w:t>4）中心单黄色线：设置道路中间位置以划分上下行方向，交叉口为</w:t>
      </w:r>
      <w:r>
        <w:rPr>
          <w:spacing w:val="-24"/>
          <w:sz w:val="24"/>
          <w:szCs w:val="24"/>
        </w:rPr>
        <w:t>黄色实线，宽15厘米，</w:t>
      </w:r>
      <w:r>
        <w:rPr>
          <w:spacing w:val="-19"/>
          <w:sz w:val="24"/>
          <w:szCs w:val="24"/>
        </w:rPr>
        <w:t>路段采用4米实线，6米空档，宽15厘米</w:t>
      </w:r>
      <w:r>
        <w:rPr>
          <w:spacing w:val="-20"/>
          <w:sz w:val="24"/>
          <w:szCs w:val="24"/>
        </w:rPr>
        <w:t>。中心单黄线设置为震荡标线。</w:t>
      </w:r>
    </w:p>
    <w:p w14:paraId="496E5627">
      <w:pPr>
        <w:spacing w:line="42" w:lineRule="auto"/>
        <w:rPr>
          <w:rFonts w:ascii="Arial"/>
          <w:sz w:val="2"/>
        </w:rPr>
      </w:pPr>
    </w:p>
    <w:tbl>
      <w:tblPr>
        <w:tblStyle w:val="6"/>
        <w:tblW w:w="8549" w:type="dxa"/>
        <w:tblInd w:w="167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275"/>
        <w:gridCol w:w="4274"/>
      </w:tblGrid>
      <w:tr w14:paraId="74F440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1" w:hRule="atLeast"/>
        </w:trPr>
        <w:tc>
          <w:tcPr>
            <w:tcW w:w="4275" w:type="dxa"/>
            <w:tcBorders>
              <w:top w:val="single" w:color="000000" w:sz="4" w:space="0"/>
              <w:left w:val="single" w:color="000000" w:sz="4" w:space="0"/>
            </w:tcBorders>
            <w:shd w:val="clear" w:color="auto" w:fill="DEEAF6"/>
            <w:vAlign w:val="top"/>
          </w:tcPr>
          <w:p w14:paraId="13E3B62A">
            <w:pPr>
              <w:pStyle w:val="7"/>
              <w:spacing w:before="127" w:line="218" w:lineRule="auto"/>
              <w:ind w:left="1712"/>
            </w:pPr>
            <w:r>
              <w:rPr>
                <w:b/>
                <w:bCs/>
                <w:spacing w:val="-18"/>
              </w:rPr>
              <w:t>指示标线</w:t>
            </w:r>
          </w:p>
        </w:tc>
        <w:tc>
          <w:tcPr>
            <w:tcW w:w="4274" w:type="dxa"/>
            <w:tcBorders>
              <w:top w:val="single" w:color="5B9BD5" w:sz="4" w:space="0"/>
              <w:right w:val="single" w:color="5B9BD5" w:sz="4" w:space="0"/>
            </w:tcBorders>
            <w:shd w:val="clear" w:color="auto" w:fill="DEEAF6"/>
            <w:vAlign w:val="top"/>
          </w:tcPr>
          <w:p w14:paraId="308066CF">
            <w:pPr>
              <w:pStyle w:val="7"/>
              <w:spacing w:before="127" w:line="218" w:lineRule="auto"/>
              <w:ind w:left="1707"/>
            </w:pPr>
            <w:r>
              <w:rPr>
                <w:b/>
                <w:bCs/>
                <w:spacing w:val="-19"/>
              </w:rPr>
              <w:t>禁止标线</w:t>
            </w:r>
          </w:p>
        </w:tc>
      </w:tr>
      <w:tr w14:paraId="4D3578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3" w:hRule="atLeast"/>
        </w:trPr>
        <w:tc>
          <w:tcPr>
            <w:tcW w:w="4275" w:type="dxa"/>
            <w:tcBorders>
              <w:left w:val="single" w:color="1C456A" w:sz="4" w:space="0"/>
              <w:bottom w:val="single" w:color="1C456A" w:sz="4" w:space="0"/>
            </w:tcBorders>
            <w:vAlign w:val="top"/>
          </w:tcPr>
          <w:p w14:paraId="4BF0C957">
            <w:pPr>
              <w:spacing w:before="87" w:line="2909" w:lineRule="exact"/>
              <w:ind w:firstLine="73"/>
            </w:pPr>
            <w:r>
              <w:pict>
                <v:shape id="_x0000_s1773" o:spid="_x0000_s1773" style="position:absolute;left:0pt;margin-left:-0.2pt;margin-top:162.2pt;height:0.75pt;width:2.2pt;mso-position-horizontal-relative:page;mso-position-vertical-relative:page;z-index:251836416;mso-width-relative:page;mso-height-relative:page;" fillcolor="#5B9BD5" filled="t" stroked="f" coordsize="44,15" path="m0,14l43,14,43,0,0,0,0,14xe">
                  <v:path/>
                  <v:fill on="t" focussize="0,0"/>
                  <v:stroke on="f"/>
                  <v:imagedata o:title=""/>
                  <o:lock v:ext="edit"/>
                </v:shape>
              </w:pict>
            </w:r>
            <w:r>
              <w:rPr>
                <w:position w:val="-58"/>
              </w:rPr>
              <w:drawing>
                <wp:inline distT="0" distB="0" distL="0" distR="0">
                  <wp:extent cx="2618105" cy="1846580"/>
                  <wp:effectExtent l="0" t="0" r="0" b="0"/>
                  <wp:docPr id="594" name="IM 594"/>
                  <wp:cNvGraphicFramePr/>
                  <a:graphic xmlns:a="http://schemas.openxmlformats.org/drawingml/2006/main">
                    <a:graphicData uri="http://schemas.openxmlformats.org/drawingml/2006/picture">
                      <pic:pic xmlns:pic="http://schemas.openxmlformats.org/drawingml/2006/picture">
                        <pic:nvPicPr>
                          <pic:cNvPr id="594" name="IM 594"/>
                          <pic:cNvPicPr/>
                        </pic:nvPicPr>
                        <pic:blipFill>
                          <a:blip r:embed="rId565"/>
                          <a:stretch>
                            <a:fillRect/>
                          </a:stretch>
                        </pic:blipFill>
                        <pic:spPr>
                          <a:xfrm>
                            <a:off x="0" y="0"/>
                            <a:ext cx="2618105" cy="1847214"/>
                          </a:xfrm>
                          <a:prstGeom prst="rect">
                            <a:avLst/>
                          </a:prstGeom>
                        </pic:spPr>
                      </pic:pic>
                    </a:graphicData>
                  </a:graphic>
                </wp:inline>
              </w:drawing>
            </w:r>
          </w:p>
        </w:tc>
        <w:tc>
          <w:tcPr>
            <w:tcW w:w="4274" w:type="dxa"/>
            <w:tcBorders>
              <w:bottom w:val="single" w:color="5B9BD5" w:sz="4" w:space="0"/>
              <w:right w:val="single" w:color="5B9BD5" w:sz="4" w:space="0"/>
            </w:tcBorders>
            <w:vAlign w:val="top"/>
          </w:tcPr>
          <w:p w14:paraId="3E2D3F52">
            <w:pPr>
              <w:spacing w:before="150" w:line="2784" w:lineRule="exact"/>
              <w:ind w:firstLine="49"/>
            </w:pPr>
            <w:r>
              <w:rPr>
                <w:position w:val="-55"/>
              </w:rPr>
              <w:drawing>
                <wp:inline distT="0" distB="0" distL="0" distR="0">
                  <wp:extent cx="2630170" cy="1767840"/>
                  <wp:effectExtent l="0" t="0" r="0" b="0"/>
                  <wp:docPr id="596" name="IM 596"/>
                  <wp:cNvGraphicFramePr/>
                  <a:graphic xmlns:a="http://schemas.openxmlformats.org/drawingml/2006/main">
                    <a:graphicData uri="http://schemas.openxmlformats.org/drawingml/2006/picture">
                      <pic:pic xmlns:pic="http://schemas.openxmlformats.org/drawingml/2006/picture">
                        <pic:nvPicPr>
                          <pic:cNvPr id="596" name="IM 596"/>
                          <pic:cNvPicPr/>
                        </pic:nvPicPr>
                        <pic:blipFill>
                          <a:blip r:embed="rId566"/>
                          <a:stretch>
                            <a:fillRect/>
                          </a:stretch>
                        </pic:blipFill>
                        <pic:spPr>
                          <a:xfrm>
                            <a:off x="0" y="0"/>
                            <a:ext cx="2630170" cy="1767840"/>
                          </a:xfrm>
                          <a:prstGeom prst="rect">
                            <a:avLst/>
                          </a:prstGeom>
                        </pic:spPr>
                      </pic:pic>
                    </a:graphicData>
                  </a:graphic>
                </wp:inline>
              </w:drawing>
            </w:r>
          </w:p>
        </w:tc>
      </w:tr>
    </w:tbl>
    <w:p w14:paraId="077DFB82">
      <w:pPr>
        <w:pStyle w:val="2"/>
        <w:spacing w:before="114" w:line="262" w:lineRule="auto"/>
        <w:ind w:left="1454" w:right="1376" w:firstLine="448"/>
        <w:rPr>
          <w:sz w:val="24"/>
          <w:szCs w:val="24"/>
        </w:rPr>
      </w:pPr>
      <w:r>
        <w:rPr>
          <w:spacing w:val="-22"/>
          <w:sz w:val="24"/>
          <w:szCs w:val="24"/>
        </w:rPr>
        <w:t>1.2旋转适当、足够的用以保护过往车辆及标线施</w:t>
      </w:r>
      <w:r>
        <w:rPr>
          <w:spacing w:val="-23"/>
          <w:sz w:val="24"/>
          <w:szCs w:val="24"/>
        </w:rPr>
        <w:t>工人员的安全标志、警告信号、交通锥、</w:t>
      </w:r>
      <w:r>
        <w:rPr>
          <w:spacing w:val="-21"/>
          <w:sz w:val="24"/>
          <w:szCs w:val="24"/>
        </w:rPr>
        <w:t>路栏等交通标识，配备交通管理员，管理好行人和交通尽可能</w:t>
      </w:r>
      <w:r>
        <w:rPr>
          <w:spacing w:val="-22"/>
          <w:sz w:val="24"/>
          <w:szCs w:val="24"/>
        </w:rPr>
        <w:t>保持交通畅通。</w:t>
      </w:r>
    </w:p>
    <w:p w14:paraId="55E44215">
      <w:pPr>
        <w:pStyle w:val="2"/>
        <w:spacing w:before="120" w:line="215" w:lineRule="auto"/>
        <w:ind w:left="1903"/>
        <w:rPr>
          <w:sz w:val="24"/>
          <w:szCs w:val="24"/>
        </w:rPr>
      </w:pPr>
      <w:r>
        <w:rPr>
          <w:spacing w:val="-21"/>
          <w:sz w:val="24"/>
          <w:szCs w:val="24"/>
        </w:rPr>
        <w:t>1.3在涂布之前，将道路表面的污物、石子和其他杂质清除干净使路面保持清洁和干燥。</w:t>
      </w:r>
    </w:p>
    <w:p w14:paraId="44E03A38">
      <w:pPr>
        <w:pStyle w:val="2"/>
        <w:spacing w:before="121" w:line="215" w:lineRule="auto"/>
        <w:ind w:left="1903"/>
        <w:rPr>
          <w:sz w:val="24"/>
          <w:szCs w:val="24"/>
        </w:rPr>
      </w:pPr>
      <w:r>
        <w:rPr>
          <w:spacing w:val="-21"/>
          <w:sz w:val="24"/>
          <w:szCs w:val="24"/>
        </w:rPr>
        <w:t>1.4根据图纸要求，放样、打点，并复查，在正确的前提下，拉线或弹线。</w:t>
      </w:r>
    </w:p>
    <w:p w14:paraId="25072FFB">
      <w:pPr>
        <w:pStyle w:val="2"/>
        <w:spacing w:before="117" w:line="278" w:lineRule="auto"/>
        <w:ind w:left="1458" w:right="1409" w:firstLine="445"/>
        <w:rPr>
          <w:sz w:val="24"/>
          <w:szCs w:val="24"/>
        </w:rPr>
      </w:pPr>
      <w:r>
        <w:rPr>
          <w:spacing w:val="-23"/>
          <w:sz w:val="24"/>
          <w:szCs w:val="24"/>
        </w:rPr>
        <w:t>1.5涂底漆：涂抹时，使用刷子、滚筒式喷洒机等，将底漆调</w:t>
      </w:r>
      <w:r>
        <w:rPr>
          <w:spacing w:val="-24"/>
          <w:sz w:val="24"/>
          <w:szCs w:val="24"/>
        </w:rPr>
        <w:t>至浓淡均匀后涂洒。底漆涂酒</w:t>
      </w:r>
      <w:r>
        <w:rPr>
          <w:spacing w:val="-20"/>
          <w:sz w:val="24"/>
          <w:szCs w:val="24"/>
        </w:rPr>
        <w:t>宽度应比标线放样宽度稍宽一些，当底漆不粘车胎，也不粘附灰尘、沙土时，才可进行标线涂</w:t>
      </w:r>
      <w:r>
        <w:rPr>
          <w:spacing w:val="-16"/>
          <w:sz w:val="24"/>
          <w:szCs w:val="24"/>
        </w:rPr>
        <w:t>布作业。</w:t>
      </w:r>
    </w:p>
    <w:p w14:paraId="43496671">
      <w:pPr>
        <w:pStyle w:val="2"/>
        <w:spacing w:before="117" w:line="218" w:lineRule="auto"/>
        <w:ind w:left="1903"/>
        <w:rPr>
          <w:sz w:val="24"/>
          <w:szCs w:val="24"/>
        </w:rPr>
      </w:pPr>
      <w:r>
        <w:rPr>
          <w:spacing w:val="-23"/>
          <w:sz w:val="24"/>
          <w:szCs w:val="24"/>
        </w:rPr>
        <w:t>1.6热熔型道路标线施工：</w:t>
      </w:r>
    </w:p>
    <w:p w14:paraId="34A2D0BF">
      <w:pPr>
        <w:pStyle w:val="2"/>
        <w:spacing w:before="117" w:line="262" w:lineRule="auto"/>
        <w:ind w:left="1466" w:right="1431" w:firstLine="426"/>
        <w:rPr>
          <w:sz w:val="24"/>
          <w:szCs w:val="24"/>
        </w:rPr>
      </w:pPr>
      <w:r>
        <w:rPr>
          <w:spacing w:val="-5"/>
          <w:sz w:val="24"/>
          <w:szCs w:val="24"/>
        </w:rPr>
        <w:t>（1）在放样和涂布底漆同时，将热熔型路标涂料装入热熔釜中，均匀加热、搅拌至</w:t>
      </w:r>
      <w:r>
        <w:rPr>
          <w:spacing w:val="-20"/>
          <w:sz w:val="24"/>
          <w:szCs w:val="24"/>
        </w:rPr>
        <w:t>180-200℃,然后放入工程车的小釜中。</w:t>
      </w:r>
    </w:p>
    <w:p w14:paraId="704FD0D9">
      <w:pPr>
        <w:pStyle w:val="2"/>
        <w:spacing w:before="118" w:line="263" w:lineRule="auto"/>
        <w:ind w:left="1458" w:right="1431" w:firstLine="434"/>
        <w:rPr>
          <w:sz w:val="24"/>
          <w:szCs w:val="24"/>
        </w:rPr>
      </w:pPr>
      <w:r>
        <w:rPr>
          <w:spacing w:val="-23"/>
          <w:sz w:val="24"/>
          <w:szCs w:val="24"/>
        </w:rPr>
        <w:t>（2）熔融的涂料经划线车的小釜放入料斗，根据放样线，均匀地将涂料刮涂在底层胶漆干</w:t>
      </w:r>
      <w:r>
        <w:rPr>
          <w:spacing w:val="-18"/>
          <w:sz w:val="24"/>
          <w:szCs w:val="24"/>
        </w:rPr>
        <w:t>燥的路面上。</w:t>
      </w:r>
    </w:p>
    <w:p w14:paraId="115653BB">
      <w:pPr>
        <w:pStyle w:val="2"/>
        <w:spacing w:before="120" w:line="261" w:lineRule="auto"/>
        <w:ind w:left="1454" w:right="1410" w:firstLine="438"/>
        <w:rPr>
          <w:sz w:val="24"/>
          <w:szCs w:val="24"/>
        </w:rPr>
      </w:pPr>
      <w:r>
        <w:rPr>
          <w:spacing w:val="-20"/>
          <w:sz w:val="24"/>
          <w:szCs w:val="24"/>
        </w:rPr>
        <w:t>（3）在刮涂后，使用玻璃微珠撒布器，立即将20%-30%玻璃微珠均匀地撒布在刚刮涂出的</w:t>
      </w:r>
      <w:r>
        <w:rPr>
          <w:spacing w:val="-18"/>
          <w:sz w:val="24"/>
          <w:szCs w:val="24"/>
        </w:rPr>
        <w:t>路标涂料上。</w:t>
      </w:r>
    </w:p>
    <w:p w14:paraId="78145550">
      <w:pPr>
        <w:pStyle w:val="2"/>
        <w:spacing w:before="120" w:line="262" w:lineRule="auto"/>
        <w:ind w:left="1456" w:right="1411" w:firstLine="447"/>
        <w:rPr>
          <w:sz w:val="24"/>
          <w:szCs w:val="24"/>
        </w:rPr>
      </w:pPr>
      <w:r>
        <w:rPr>
          <w:spacing w:val="-24"/>
          <w:sz w:val="24"/>
          <w:szCs w:val="24"/>
        </w:rPr>
        <w:t>1.7自检：对划好的线，质检员用卷尺进行检验，每天作好施工报表，记录</w:t>
      </w:r>
      <w:r>
        <w:rPr>
          <w:spacing w:val="-25"/>
          <w:sz w:val="24"/>
          <w:szCs w:val="24"/>
        </w:rPr>
        <w:t>天气情况施工进</w:t>
      </w:r>
      <w:r>
        <w:rPr>
          <w:spacing w:val="-20"/>
          <w:sz w:val="24"/>
          <w:szCs w:val="24"/>
        </w:rPr>
        <w:t>度，材料用量，自检报告。</w:t>
      </w:r>
    </w:p>
    <w:p w14:paraId="4C602500">
      <w:pPr>
        <w:pStyle w:val="2"/>
        <w:spacing w:before="118" w:line="262" w:lineRule="auto"/>
        <w:ind w:left="1463" w:right="1353" w:firstLine="439"/>
        <w:rPr>
          <w:sz w:val="24"/>
          <w:szCs w:val="24"/>
        </w:rPr>
      </w:pPr>
      <w:r>
        <w:rPr>
          <w:spacing w:val="-27"/>
          <w:sz w:val="24"/>
          <w:szCs w:val="24"/>
        </w:rPr>
        <w:t>1.8修整：标线一次成型，根据实际完成情况，计测工程量。对不符合要求的标线进行</w:t>
      </w:r>
      <w:r>
        <w:rPr>
          <w:spacing w:val="-28"/>
          <w:sz w:val="24"/>
          <w:szCs w:val="24"/>
        </w:rPr>
        <w:t>修整，</w:t>
      </w:r>
      <w:r>
        <w:rPr>
          <w:spacing w:val="-22"/>
          <w:sz w:val="24"/>
          <w:szCs w:val="24"/>
        </w:rPr>
        <w:t>去除溢出和垂落的涂膜，检查厚度、尺寸玻璃珠撒布情况及划线的形状等。</w:t>
      </w:r>
    </w:p>
    <w:p w14:paraId="2F8F8061">
      <w:pPr>
        <w:pStyle w:val="2"/>
        <w:spacing w:before="120" w:line="215" w:lineRule="auto"/>
        <w:ind w:left="1903"/>
        <w:rPr>
          <w:sz w:val="24"/>
          <w:szCs w:val="24"/>
        </w:rPr>
      </w:pPr>
      <w:r>
        <w:rPr>
          <w:spacing w:val="-21"/>
          <w:sz w:val="24"/>
          <w:szCs w:val="24"/>
        </w:rPr>
        <w:t>1.9施工结束后，由专人负责统一撤除用以保护施工人员和行车的安全标志、信号和路标。</w:t>
      </w:r>
    </w:p>
    <w:p w14:paraId="3C1CB492">
      <w:pPr>
        <w:spacing w:line="215" w:lineRule="auto"/>
        <w:rPr>
          <w:sz w:val="24"/>
          <w:szCs w:val="24"/>
        </w:rPr>
        <w:sectPr>
          <w:footerReference r:id="rId100" w:type="default"/>
          <w:pgSz w:w="11907" w:h="16839"/>
          <w:pgMar w:top="954" w:right="4" w:bottom="1038" w:left="0" w:header="499" w:footer="357" w:gutter="0"/>
          <w:pgBorders>
            <w:top w:val="none" w:sz="0" w:space="0"/>
            <w:left w:val="none" w:sz="0" w:space="0"/>
            <w:bottom w:val="none" w:sz="0" w:space="0"/>
            <w:right w:val="none" w:sz="0" w:space="0"/>
          </w:pgBorders>
          <w:cols w:space="720" w:num="1"/>
        </w:sectPr>
      </w:pPr>
    </w:p>
    <w:p w14:paraId="6BF3D671">
      <w:pPr>
        <w:spacing w:line="214" w:lineRule="exact"/>
      </w:pPr>
    </w:p>
    <w:tbl>
      <w:tblPr>
        <w:tblStyle w:val="6"/>
        <w:tblW w:w="8549" w:type="dxa"/>
        <w:tblInd w:w="167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168"/>
        <w:gridCol w:w="4381"/>
      </w:tblGrid>
      <w:tr w14:paraId="75E072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1" w:hRule="atLeast"/>
        </w:trPr>
        <w:tc>
          <w:tcPr>
            <w:tcW w:w="4168" w:type="dxa"/>
            <w:tcBorders>
              <w:top w:val="single" w:color="000000" w:sz="4" w:space="0"/>
              <w:left w:val="single" w:color="000000" w:sz="4" w:space="0"/>
            </w:tcBorders>
            <w:shd w:val="clear" w:color="auto" w:fill="DEEAF6"/>
            <w:vAlign w:val="top"/>
          </w:tcPr>
          <w:p w14:paraId="3F3777B3">
            <w:pPr>
              <w:pStyle w:val="7"/>
              <w:spacing w:before="129" w:line="218" w:lineRule="auto"/>
              <w:ind w:left="1470"/>
            </w:pPr>
            <w:r>
              <w:rPr>
                <w:b/>
                <w:bCs/>
                <w:spacing w:val="-21"/>
              </w:rPr>
              <w:t>热熔型标线1</w:t>
            </w:r>
          </w:p>
        </w:tc>
        <w:tc>
          <w:tcPr>
            <w:tcW w:w="4381" w:type="dxa"/>
            <w:tcBorders>
              <w:top w:val="single" w:color="5B9BD5" w:sz="4" w:space="0"/>
              <w:right w:val="single" w:color="5B9BD5" w:sz="4" w:space="0"/>
            </w:tcBorders>
            <w:shd w:val="clear" w:color="auto" w:fill="DEEAF6"/>
            <w:vAlign w:val="top"/>
          </w:tcPr>
          <w:p w14:paraId="463AA4C7">
            <w:pPr>
              <w:pStyle w:val="7"/>
              <w:spacing w:before="129" w:line="218" w:lineRule="auto"/>
              <w:ind w:left="1563"/>
            </w:pPr>
            <w:r>
              <w:rPr>
                <w:b/>
                <w:bCs/>
                <w:spacing w:val="-13"/>
              </w:rPr>
              <w:t>热熔型标线2</w:t>
            </w:r>
          </w:p>
        </w:tc>
      </w:tr>
      <w:tr w14:paraId="55212D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54" w:hRule="atLeast"/>
        </w:trPr>
        <w:tc>
          <w:tcPr>
            <w:tcW w:w="4168" w:type="dxa"/>
            <w:tcBorders>
              <w:left w:val="single" w:color="1C456A" w:sz="4" w:space="0"/>
              <w:bottom w:val="single" w:color="1C456A" w:sz="4" w:space="0"/>
            </w:tcBorders>
            <w:vAlign w:val="top"/>
          </w:tcPr>
          <w:p w14:paraId="16E78220">
            <w:pPr>
              <w:spacing w:before="174" w:line="2645" w:lineRule="exact"/>
              <w:ind w:firstLine="68"/>
            </w:pPr>
            <w:r>
              <w:rPr>
                <w:position w:val="-52"/>
              </w:rPr>
              <w:drawing>
                <wp:inline distT="0" distB="0" distL="0" distR="0">
                  <wp:extent cx="2571750" cy="1679575"/>
                  <wp:effectExtent l="0" t="0" r="0" b="0"/>
                  <wp:docPr id="600" name="IM 600"/>
                  <wp:cNvGraphicFramePr/>
                  <a:graphic xmlns:a="http://schemas.openxmlformats.org/drawingml/2006/main">
                    <a:graphicData uri="http://schemas.openxmlformats.org/drawingml/2006/picture">
                      <pic:pic xmlns:pic="http://schemas.openxmlformats.org/drawingml/2006/picture">
                        <pic:nvPicPr>
                          <pic:cNvPr id="600" name="IM 600"/>
                          <pic:cNvPicPr/>
                        </pic:nvPicPr>
                        <pic:blipFill>
                          <a:blip r:embed="rId567"/>
                          <a:stretch>
                            <a:fillRect/>
                          </a:stretch>
                        </pic:blipFill>
                        <pic:spPr>
                          <a:xfrm>
                            <a:off x="0" y="0"/>
                            <a:ext cx="2572384" cy="1679575"/>
                          </a:xfrm>
                          <a:prstGeom prst="rect">
                            <a:avLst/>
                          </a:prstGeom>
                        </pic:spPr>
                      </pic:pic>
                    </a:graphicData>
                  </a:graphic>
                </wp:inline>
              </w:drawing>
            </w:r>
          </w:p>
        </w:tc>
        <w:tc>
          <w:tcPr>
            <w:tcW w:w="4381" w:type="dxa"/>
            <w:tcBorders>
              <w:bottom w:val="single" w:color="5B9BD5" w:sz="4" w:space="0"/>
              <w:right w:val="single" w:color="5B9BD5" w:sz="4" w:space="0"/>
            </w:tcBorders>
            <w:vAlign w:val="top"/>
          </w:tcPr>
          <w:p w14:paraId="2DB1689D">
            <w:pPr>
              <w:spacing w:before="87" w:line="2820" w:lineRule="exact"/>
              <w:ind w:firstLine="43"/>
            </w:pPr>
            <w:r>
              <w:rPr>
                <w:position w:val="-56"/>
              </w:rPr>
              <w:drawing>
                <wp:inline distT="0" distB="0" distL="0" distR="0">
                  <wp:extent cx="2726055" cy="1790700"/>
                  <wp:effectExtent l="0" t="0" r="0" b="0"/>
                  <wp:docPr id="602" name="IM 602"/>
                  <wp:cNvGraphicFramePr/>
                  <a:graphic xmlns:a="http://schemas.openxmlformats.org/drawingml/2006/main">
                    <a:graphicData uri="http://schemas.openxmlformats.org/drawingml/2006/picture">
                      <pic:pic xmlns:pic="http://schemas.openxmlformats.org/drawingml/2006/picture">
                        <pic:nvPicPr>
                          <pic:cNvPr id="602" name="IM 602"/>
                          <pic:cNvPicPr/>
                        </pic:nvPicPr>
                        <pic:blipFill>
                          <a:blip r:embed="rId568"/>
                          <a:stretch>
                            <a:fillRect/>
                          </a:stretch>
                        </pic:blipFill>
                        <pic:spPr>
                          <a:xfrm>
                            <a:off x="0" y="0"/>
                            <a:ext cx="2726689" cy="1790700"/>
                          </a:xfrm>
                          <a:prstGeom prst="rect">
                            <a:avLst/>
                          </a:prstGeom>
                        </pic:spPr>
                      </pic:pic>
                    </a:graphicData>
                  </a:graphic>
                </wp:inline>
              </w:drawing>
            </w:r>
          </w:p>
        </w:tc>
      </w:tr>
    </w:tbl>
    <w:p w14:paraId="521B60F8">
      <w:pPr>
        <w:pStyle w:val="2"/>
        <w:spacing w:before="115" w:line="216" w:lineRule="auto"/>
        <w:ind w:left="1888"/>
        <w:rPr>
          <w:sz w:val="24"/>
          <w:szCs w:val="24"/>
        </w:rPr>
      </w:pPr>
      <w:r>
        <w:rPr>
          <w:spacing w:val="-17"/>
          <w:sz w:val="24"/>
          <w:szCs w:val="24"/>
        </w:rPr>
        <w:t>2、质量检验</w:t>
      </w:r>
    </w:p>
    <w:p w14:paraId="4D2F67E7">
      <w:pPr>
        <w:pStyle w:val="2"/>
        <w:spacing w:before="118" w:line="218" w:lineRule="auto"/>
        <w:ind w:left="1903"/>
        <w:rPr>
          <w:sz w:val="24"/>
          <w:szCs w:val="24"/>
        </w:rPr>
      </w:pPr>
      <w:r>
        <w:rPr>
          <w:spacing w:val="-16"/>
          <w:sz w:val="24"/>
          <w:szCs w:val="24"/>
        </w:rPr>
        <w:t>1.基本要求</w:t>
      </w:r>
    </w:p>
    <w:p w14:paraId="4661A342">
      <w:pPr>
        <w:pStyle w:val="2"/>
        <w:spacing w:before="117" w:line="217" w:lineRule="auto"/>
        <w:ind w:left="1886"/>
        <w:rPr>
          <w:sz w:val="24"/>
          <w:szCs w:val="24"/>
        </w:rPr>
      </w:pPr>
      <w:r>
        <w:rPr>
          <w:spacing w:val="-20"/>
          <w:sz w:val="24"/>
          <w:szCs w:val="24"/>
        </w:rPr>
        <w:t>a.涂标线和安装突起路标前面应清洁，无起灰现象；</w:t>
      </w:r>
    </w:p>
    <w:p w14:paraId="1725C0D5">
      <w:pPr>
        <w:pStyle w:val="2"/>
        <w:spacing w:before="119" w:line="262" w:lineRule="auto"/>
        <w:ind w:left="1455" w:right="1406" w:firstLine="426"/>
        <w:rPr>
          <w:sz w:val="24"/>
          <w:szCs w:val="24"/>
        </w:rPr>
      </w:pPr>
      <w:r>
        <w:rPr>
          <w:spacing w:val="-19"/>
          <w:sz w:val="24"/>
          <w:szCs w:val="24"/>
        </w:rPr>
        <w:t>b.所有路面标线的设臵、颜色、形状符合图纸和《道路交通标志和标线》（GB5768-1999）</w:t>
      </w:r>
      <w:r>
        <w:rPr>
          <w:spacing w:val="-18"/>
          <w:sz w:val="24"/>
          <w:szCs w:val="24"/>
        </w:rPr>
        <w:t>标准的规定；</w:t>
      </w:r>
    </w:p>
    <w:p w14:paraId="44F3C44F">
      <w:pPr>
        <w:pStyle w:val="2"/>
        <w:spacing w:before="117" w:line="219" w:lineRule="auto"/>
        <w:ind w:left="1888"/>
        <w:rPr>
          <w:sz w:val="24"/>
          <w:szCs w:val="24"/>
        </w:rPr>
      </w:pPr>
      <w:r>
        <w:rPr>
          <w:spacing w:val="-13"/>
          <w:sz w:val="24"/>
          <w:szCs w:val="24"/>
        </w:rPr>
        <w:t>2.外观鉴定</w:t>
      </w:r>
    </w:p>
    <w:p w14:paraId="322AB2E6">
      <w:pPr>
        <w:pStyle w:val="2"/>
        <w:spacing w:before="115" w:line="262" w:lineRule="auto"/>
        <w:ind w:left="1456" w:right="1461" w:firstLine="430"/>
        <w:rPr>
          <w:sz w:val="24"/>
          <w:szCs w:val="24"/>
        </w:rPr>
      </w:pPr>
      <w:r>
        <w:rPr>
          <w:spacing w:val="-20"/>
          <w:sz w:val="24"/>
          <w:szCs w:val="24"/>
        </w:rPr>
        <w:t>a.路面标线以外的路面，应该，不得被标线材料污染；当某处污染面</w:t>
      </w:r>
      <w:r>
        <w:rPr>
          <w:spacing w:val="-21"/>
          <w:sz w:val="24"/>
          <w:szCs w:val="24"/>
        </w:rPr>
        <w:t>积超过0.001m2时，</w:t>
      </w:r>
      <w:r>
        <w:rPr>
          <w:spacing w:val="-20"/>
          <w:sz w:val="24"/>
          <w:szCs w:val="24"/>
        </w:rPr>
        <w:t>应进行清除，路面要修补。</w:t>
      </w:r>
    </w:p>
    <w:p w14:paraId="5027AC6A">
      <w:pPr>
        <w:pStyle w:val="2"/>
        <w:spacing w:before="119" w:line="217" w:lineRule="auto"/>
        <w:ind w:left="1882"/>
        <w:rPr>
          <w:sz w:val="24"/>
          <w:szCs w:val="24"/>
        </w:rPr>
      </w:pPr>
      <w:r>
        <w:rPr>
          <w:spacing w:val="-21"/>
          <w:sz w:val="24"/>
          <w:szCs w:val="24"/>
        </w:rPr>
        <w:t>b.热涂后的标线，边缘无明显毛边，毛边长度每公里超过%时，应进行清除和修补。</w:t>
      </w:r>
    </w:p>
    <w:p w14:paraId="2C96CB9E">
      <w:pPr>
        <w:pStyle w:val="2"/>
        <w:spacing w:before="118" w:line="217" w:lineRule="auto"/>
        <w:ind w:left="1890"/>
        <w:rPr>
          <w:sz w:val="24"/>
          <w:szCs w:val="24"/>
        </w:rPr>
      </w:pPr>
      <w:r>
        <w:rPr>
          <w:spacing w:val="-20"/>
          <w:sz w:val="24"/>
          <w:szCs w:val="24"/>
        </w:rPr>
        <w:t>c.标线应顺直或圆顺，不符合要求的，应清除和修补。</w:t>
      </w:r>
    </w:p>
    <w:p w14:paraId="196739B5">
      <w:pPr>
        <w:pStyle w:val="2"/>
        <w:spacing w:before="117" w:line="216" w:lineRule="auto"/>
        <w:ind w:left="1888"/>
        <w:rPr>
          <w:sz w:val="24"/>
          <w:szCs w:val="24"/>
        </w:rPr>
      </w:pPr>
      <w:r>
        <w:rPr>
          <w:spacing w:val="-17"/>
          <w:sz w:val="24"/>
          <w:szCs w:val="24"/>
        </w:rPr>
        <w:t>2.1、热熔型涂料施工流程</w:t>
      </w:r>
    </w:p>
    <w:p w14:paraId="715B3005">
      <w:pPr>
        <w:pStyle w:val="2"/>
        <w:spacing w:before="122" w:line="307" w:lineRule="auto"/>
        <w:ind w:left="1447" w:right="1409" w:firstLine="444"/>
        <w:rPr>
          <w:sz w:val="24"/>
          <w:szCs w:val="24"/>
        </w:rPr>
      </w:pPr>
      <w:r>
        <w:rPr>
          <w:spacing w:val="-20"/>
          <w:sz w:val="24"/>
          <w:szCs w:val="24"/>
        </w:rPr>
        <w:t>现场准备——安全措施——清扫路面——放样——涂底漆——涂敷（玻璃珠）——固化—</w:t>
      </w:r>
      <w:r>
        <w:rPr>
          <w:spacing w:val="-17"/>
          <w:sz w:val="24"/>
          <w:szCs w:val="24"/>
        </w:rPr>
        <w:t>—修整——自检</w:t>
      </w:r>
    </w:p>
    <w:p w14:paraId="3923589A">
      <w:pPr>
        <w:pStyle w:val="2"/>
        <w:spacing w:line="215" w:lineRule="auto"/>
        <w:ind w:left="1888"/>
        <w:rPr>
          <w:sz w:val="24"/>
          <w:szCs w:val="24"/>
        </w:rPr>
      </w:pPr>
      <w:r>
        <w:rPr>
          <w:spacing w:val="-16"/>
          <w:sz w:val="24"/>
          <w:szCs w:val="24"/>
        </w:rPr>
        <w:t>2.2、工艺步骤说明</w:t>
      </w:r>
    </w:p>
    <w:p w14:paraId="2D925592">
      <w:pPr>
        <w:pStyle w:val="2"/>
        <w:spacing w:before="120" w:line="277" w:lineRule="auto"/>
        <w:ind w:left="1457" w:right="1411" w:firstLine="431"/>
        <w:rPr>
          <w:sz w:val="24"/>
          <w:szCs w:val="24"/>
        </w:rPr>
      </w:pPr>
      <w:r>
        <w:rPr>
          <w:spacing w:val="-21"/>
          <w:sz w:val="24"/>
          <w:szCs w:val="24"/>
        </w:rPr>
        <w:t>2.2.1、现场准备。达到施工现场后，首先要了解道路交通情况，在尽可能不影响交通的情</w:t>
      </w:r>
      <w:r>
        <w:rPr>
          <w:spacing w:val="-20"/>
          <w:sz w:val="24"/>
          <w:szCs w:val="24"/>
        </w:rPr>
        <w:t>况下来安排划线工作，要对交通引导作出局部规划，采取完善和醒目的交通安全措施。把需要</w:t>
      </w:r>
      <w:r>
        <w:rPr>
          <w:spacing w:val="-21"/>
          <w:sz w:val="24"/>
          <w:szCs w:val="24"/>
        </w:rPr>
        <w:t>划标线的断面保护起来，以便划线工作清洁路面。</w:t>
      </w:r>
    </w:p>
    <w:p w14:paraId="5E650881">
      <w:pPr>
        <w:pStyle w:val="2"/>
        <w:spacing w:before="120" w:line="285" w:lineRule="auto"/>
        <w:ind w:left="1459" w:right="1411" w:firstLine="429"/>
        <w:rPr>
          <w:sz w:val="24"/>
          <w:szCs w:val="24"/>
        </w:rPr>
      </w:pPr>
      <w:r>
        <w:rPr>
          <w:spacing w:val="-21"/>
          <w:sz w:val="24"/>
          <w:szCs w:val="24"/>
        </w:rPr>
        <w:t>2.2.2、安全措施。首先要考虑路面的宽度，交通等因素，充分动用标志、交通锥、路栏等</w:t>
      </w:r>
      <w:r>
        <w:rPr>
          <w:spacing w:val="-20"/>
          <w:sz w:val="24"/>
          <w:szCs w:val="24"/>
        </w:rPr>
        <w:t>安全设施。施工人员应着黄色或白色的明亮颜色的工作服，头戴黄色或白色有反光带工作帽。配备交通管理员，管理好行人和交通，尽是防止事故发生。交通管理员必须由认真负责和熟练</w:t>
      </w:r>
      <w:r>
        <w:rPr>
          <w:spacing w:val="-21"/>
          <w:sz w:val="24"/>
          <w:szCs w:val="24"/>
        </w:rPr>
        <w:t>者担任，并佩戴臂章，携带警笛、红旗等，特别要注</w:t>
      </w:r>
      <w:r>
        <w:rPr>
          <w:spacing w:val="-22"/>
          <w:sz w:val="24"/>
          <w:szCs w:val="24"/>
        </w:rPr>
        <w:t>意行人以免引起烫伤事故。</w:t>
      </w:r>
    </w:p>
    <w:p w14:paraId="347CA4FF">
      <w:pPr>
        <w:pStyle w:val="2"/>
        <w:spacing w:before="120" w:line="285" w:lineRule="auto"/>
        <w:ind w:left="1458" w:right="1414" w:firstLine="430"/>
        <w:rPr>
          <w:sz w:val="24"/>
          <w:szCs w:val="24"/>
        </w:rPr>
      </w:pPr>
      <w:r>
        <w:rPr>
          <w:spacing w:val="-21"/>
          <w:sz w:val="24"/>
          <w:szCs w:val="24"/>
        </w:rPr>
        <w:t>2.2.3、清扫路面。划线的路面一定不能有灰尘、砂土、积水等。彻底清扫干净路面是保证</w:t>
      </w:r>
      <w:r>
        <w:rPr>
          <w:spacing w:val="-20"/>
          <w:sz w:val="24"/>
          <w:szCs w:val="24"/>
        </w:rPr>
        <w:t>涂料与路面结合牢固的重要条件。热熔型涂料在施工中的重要操作之一就是清扫路面，清扫时可根据不同情况可用扫帚、板刷和煤气燃烧器彻底清除。如果在旧线上重新划线时，要检查旧</w:t>
      </w:r>
      <w:r>
        <w:rPr>
          <w:spacing w:val="-21"/>
          <w:sz w:val="24"/>
          <w:szCs w:val="24"/>
        </w:rPr>
        <w:t>线粘结情况，对旧线中有剥落、松支、裂缝的地方，</w:t>
      </w:r>
      <w:r>
        <w:rPr>
          <w:spacing w:val="-22"/>
          <w:sz w:val="24"/>
          <w:szCs w:val="24"/>
        </w:rPr>
        <w:t>要认真处理，然后才能重新划线。</w:t>
      </w:r>
    </w:p>
    <w:p w14:paraId="13CAECF8">
      <w:pPr>
        <w:pStyle w:val="2"/>
        <w:spacing w:before="117" w:line="215" w:lineRule="auto"/>
        <w:ind w:left="1888"/>
        <w:rPr>
          <w:sz w:val="24"/>
          <w:szCs w:val="24"/>
        </w:rPr>
      </w:pPr>
      <w:r>
        <w:rPr>
          <w:spacing w:val="-13"/>
          <w:sz w:val="24"/>
          <w:szCs w:val="24"/>
        </w:rPr>
        <w:t>2.2.4、放样。</w:t>
      </w:r>
    </w:p>
    <w:p w14:paraId="64B2DD6A">
      <w:pPr>
        <w:spacing w:line="215" w:lineRule="auto"/>
        <w:rPr>
          <w:sz w:val="24"/>
          <w:szCs w:val="24"/>
        </w:rPr>
        <w:sectPr>
          <w:footerReference r:id="rId101" w:type="default"/>
          <w:pgSz w:w="11907" w:h="16839"/>
          <w:pgMar w:top="954" w:right="4" w:bottom="1038" w:left="0" w:header="499" w:footer="357" w:gutter="0"/>
          <w:pgBorders>
            <w:top w:val="none" w:sz="0" w:space="0"/>
            <w:left w:val="none" w:sz="0" w:space="0"/>
            <w:bottom w:val="none" w:sz="0" w:space="0"/>
            <w:right w:val="none" w:sz="0" w:space="0"/>
          </w:pgBorders>
          <w:cols w:space="720" w:num="1"/>
        </w:sectPr>
      </w:pPr>
    </w:p>
    <w:p w14:paraId="71A1C6C4">
      <w:pPr>
        <w:spacing w:line="250" w:lineRule="auto"/>
        <w:rPr>
          <w:rFonts w:ascii="Arial"/>
          <w:sz w:val="21"/>
        </w:rPr>
      </w:pPr>
    </w:p>
    <w:p w14:paraId="0966BCA0">
      <w:pPr>
        <w:pStyle w:val="2"/>
        <w:spacing w:before="78" w:line="262" w:lineRule="auto"/>
        <w:ind w:left="1471" w:right="1410" w:firstLine="421"/>
        <w:rPr>
          <w:sz w:val="24"/>
          <w:szCs w:val="24"/>
        </w:rPr>
      </w:pPr>
      <w:r>
        <w:rPr>
          <w:spacing w:val="-22"/>
          <w:sz w:val="24"/>
          <w:szCs w:val="24"/>
        </w:rPr>
        <w:t>（1）首先要做好交通管理，确保放样操作安全，然后进行标线位臵的测量，按设计</w:t>
      </w:r>
      <w:r>
        <w:rPr>
          <w:spacing w:val="-23"/>
          <w:sz w:val="24"/>
          <w:szCs w:val="24"/>
        </w:rPr>
        <w:t>图纸标</w:t>
      </w:r>
      <w:r>
        <w:rPr>
          <w:spacing w:val="-22"/>
          <w:sz w:val="24"/>
          <w:szCs w:val="24"/>
        </w:rPr>
        <w:t>明的位臵和图形，用测量用具和白粉在路面上作出标记。</w:t>
      </w:r>
    </w:p>
    <w:p w14:paraId="4F68F26B">
      <w:pPr>
        <w:pStyle w:val="2"/>
        <w:spacing w:before="117" w:line="262" w:lineRule="auto"/>
        <w:ind w:left="1470" w:right="1412" w:firstLine="422"/>
        <w:rPr>
          <w:sz w:val="24"/>
          <w:szCs w:val="24"/>
        </w:rPr>
      </w:pPr>
      <w:r>
        <w:rPr>
          <w:spacing w:val="-22"/>
          <w:sz w:val="24"/>
          <w:szCs w:val="24"/>
        </w:rPr>
        <w:t>（2）根据道路的构造及交通情况不同，一般先测出道路中心点，然后按10－20m间隔确定</w:t>
      </w:r>
      <w:r>
        <w:rPr>
          <w:spacing w:val="-18"/>
          <w:sz w:val="24"/>
          <w:szCs w:val="24"/>
        </w:rPr>
        <w:t>的中心线，在曲线路段，沿线率半径每5－15cm设定中心点。</w:t>
      </w:r>
    </w:p>
    <w:p w14:paraId="672944ED">
      <w:pPr>
        <w:pStyle w:val="2"/>
        <w:spacing w:before="121" w:line="277" w:lineRule="auto"/>
        <w:ind w:left="1458" w:right="1412" w:firstLine="434"/>
        <w:rPr>
          <w:sz w:val="24"/>
          <w:szCs w:val="24"/>
        </w:rPr>
      </w:pPr>
      <w:r>
        <w:rPr>
          <w:spacing w:val="-20"/>
          <w:sz w:val="24"/>
          <w:szCs w:val="24"/>
        </w:rPr>
        <w:t>（3）在道路的纵断方向以50m长度作为校正单位，当确认设定的中心点连接线与</w:t>
      </w:r>
      <w:r>
        <w:rPr>
          <w:spacing w:val="-21"/>
          <w:sz w:val="24"/>
          <w:szCs w:val="24"/>
        </w:rPr>
        <w:t>曲线半径</w:t>
      </w:r>
      <w:r>
        <w:rPr>
          <w:spacing w:val="-20"/>
          <w:sz w:val="24"/>
          <w:szCs w:val="24"/>
        </w:rPr>
        <w:t>相符时，则连接各中心点划出道路中心线样板。这样按顺序向前校核，在向前不断延伸中心线</w:t>
      </w:r>
      <w:r>
        <w:rPr>
          <w:spacing w:val="-21"/>
          <w:sz w:val="24"/>
          <w:szCs w:val="24"/>
        </w:rPr>
        <w:t>的同时，也需不断的与已设定的中心线位臵进行校核。</w:t>
      </w:r>
    </w:p>
    <w:p w14:paraId="45887F59">
      <w:pPr>
        <w:pStyle w:val="2"/>
        <w:spacing w:before="117" w:line="278" w:lineRule="auto"/>
        <w:ind w:left="1456" w:right="1412" w:firstLine="436"/>
        <w:rPr>
          <w:sz w:val="24"/>
          <w:szCs w:val="24"/>
        </w:rPr>
      </w:pPr>
      <w:r>
        <w:rPr>
          <w:spacing w:val="-21"/>
          <w:sz w:val="24"/>
          <w:szCs w:val="24"/>
        </w:rPr>
        <w:t>（4）根据道路中心线位臵，标出划线一半的宽度（例如当标线宽为15cm，中心线一</w:t>
      </w:r>
      <w:r>
        <w:rPr>
          <w:spacing w:val="-22"/>
          <w:sz w:val="24"/>
          <w:szCs w:val="24"/>
        </w:rPr>
        <w:t>半的宽</w:t>
      </w:r>
      <w:r>
        <w:rPr>
          <w:spacing w:val="-21"/>
          <w:sz w:val="24"/>
          <w:szCs w:val="24"/>
        </w:rPr>
        <w:t>度为7.5cm）并画出标线宽度的轮廓线，以便进行喷涂作业。当曲率半径小的曲线路段</w:t>
      </w:r>
      <w:r>
        <w:rPr>
          <w:spacing w:val="-22"/>
          <w:sz w:val="24"/>
          <w:szCs w:val="24"/>
        </w:rPr>
        <w:t>，必须确</w:t>
      </w:r>
      <w:r>
        <w:rPr>
          <w:spacing w:val="-21"/>
          <w:sz w:val="24"/>
          <w:szCs w:val="24"/>
        </w:rPr>
        <w:t>认道路线形设计与施工情况，求得与道路线形的协调一致。</w:t>
      </w:r>
    </w:p>
    <w:p w14:paraId="67F03D2E">
      <w:pPr>
        <w:pStyle w:val="2"/>
        <w:spacing w:before="117" w:line="277" w:lineRule="auto"/>
        <w:ind w:left="1455" w:right="1414" w:firstLine="437"/>
        <w:rPr>
          <w:sz w:val="24"/>
          <w:szCs w:val="24"/>
        </w:rPr>
      </w:pPr>
      <w:r>
        <w:rPr>
          <w:spacing w:val="-22"/>
          <w:sz w:val="24"/>
          <w:szCs w:val="24"/>
        </w:rPr>
        <w:t>（5）车道分界线，边缘根据中心线量出，一般情况也需标出标线宽度。人</w:t>
      </w:r>
      <w:r>
        <w:rPr>
          <w:spacing w:val="-23"/>
          <w:sz w:val="24"/>
          <w:szCs w:val="24"/>
        </w:rPr>
        <w:t>行横道线，导流</w:t>
      </w:r>
      <w:r>
        <w:rPr>
          <w:spacing w:val="-20"/>
          <w:sz w:val="24"/>
          <w:szCs w:val="24"/>
        </w:rPr>
        <w:t>标线，文字记号等的放要以施工图设计为原则。但是，考虑以道路的特殊条件和进出中等的位</w:t>
      </w:r>
      <w:r>
        <w:rPr>
          <w:spacing w:val="-21"/>
          <w:sz w:val="24"/>
          <w:szCs w:val="24"/>
        </w:rPr>
        <w:t>臵需总体协调时，有必要根据道路实际情况重新设计放样定</w:t>
      </w:r>
      <w:r>
        <w:rPr>
          <w:spacing w:val="-22"/>
          <w:sz w:val="24"/>
          <w:szCs w:val="24"/>
        </w:rPr>
        <w:t>位。</w:t>
      </w:r>
    </w:p>
    <w:p w14:paraId="4D21C9DD">
      <w:pPr>
        <w:pStyle w:val="2"/>
        <w:spacing w:before="119" w:line="277" w:lineRule="auto"/>
        <w:ind w:left="1455" w:right="1415" w:firstLine="437"/>
        <w:rPr>
          <w:sz w:val="24"/>
          <w:szCs w:val="24"/>
        </w:rPr>
      </w:pPr>
      <w:r>
        <w:rPr>
          <w:spacing w:val="-22"/>
          <w:sz w:val="24"/>
          <w:szCs w:val="24"/>
        </w:rPr>
        <w:t>（6）旧线重新划的放样。当路面标线已磨损而需要重新喷涂时，如标</w:t>
      </w:r>
      <w:r>
        <w:rPr>
          <w:spacing w:val="-23"/>
          <w:sz w:val="24"/>
          <w:szCs w:val="24"/>
        </w:rPr>
        <w:t>线位臵不变，则根据</w:t>
      </w:r>
      <w:r>
        <w:rPr>
          <w:spacing w:val="-20"/>
          <w:sz w:val="24"/>
          <w:szCs w:val="24"/>
        </w:rPr>
        <w:t>标线上残存的涂料一般勿重新放样，但是当旧标线位臵不符合路面情况时，必须重新进行测量</w:t>
      </w:r>
      <w:r>
        <w:rPr>
          <w:spacing w:val="-21"/>
          <w:sz w:val="24"/>
          <w:szCs w:val="24"/>
        </w:rPr>
        <w:t>修正。因此在进行路面标线放样之前必须调查清楚。</w:t>
      </w:r>
    </w:p>
    <w:p w14:paraId="53D9AAB2">
      <w:pPr>
        <w:pStyle w:val="2"/>
        <w:spacing w:before="121" w:line="216" w:lineRule="auto"/>
        <w:ind w:left="1888"/>
        <w:rPr>
          <w:sz w:val="24"/>
          <w:szCs w:val="24"/>
        </w:rPr>
      </w:pPr>
      <w:r>
        <w:rPr>
          <w:spacing w:val="-16"/>
          <w:sz w:val="24"/>
          <w:szCs w:val="24"/>
        </w:rPr>
        <w:t>2.2.3、涂底漆（下涂料）</w:t>
      </w:r>
    </w:p>
    <w:p w14:paraId="60B7E793">
      <w:pPr>
        <w:pStyle w:val="2"/>
        <w:spacing w:before="117" w:line="262" w:lineRule="auto"/>
        <w:ind w:left="1456" w:right="1412" w:firstLine="436"/>
        <w:rPr>
          <w:sz w:val="24"/>
          <w:szCs w:val="24"/>
        </w:rPr>
      </w:pPr>
      <w:r>
        <w:rPr>
          <w:spacing w:val="-22"/>
          <w:sz w:val="24"/>
          <w:szCs w:val="24"/>
        </w:rPr>
        <w:t>（1）正常掌握底漆的刷涂用量，过多或不足都会降低路面与涂膜之间的粘接力</w:t>
      </w:r>
      <w:r>
        <w:rPr>
          <w:spacing w:val="-23"/>
          <w:sz w:val="24"/>
          <w:szCs w:val="24"/>
        </w:rPr>
        <w:t>，根据路面</w:t>
      </w:r>
      <w:r>
        <w:rPr>
          <w:spacing w:val="-18"/>
          <w:sz w:val="24"/>
          <w:szCs w:val="24"/>
        </w:rPr>
        <w:t>状况和底漆的特性，可控制在每m2</w:t>
      </w:r>
    </w:p>
    <w:p w14:paraId="66B44EE6">
      <w:pPr>
        <w:pStyle w:val="2"/>
        <w:spacing w:before="121" w:line="277" w:lineRule="auto"/>
        <w:ind w:left="1458" w:right="1412" w:firstLine="434"/>
        <w:rPr>
          <w:sz w:val="24"/>
          <w:szCs w:val="24"/>
        </w:rPr>
      </w:pPr>
      <w:r>
        <w:rPr>
          <w:spacing w:val="-19"/>
          <w:sz w:val="24"/>
          <w:szCs w:val="24"/>
        </w:rPr>
        <w:t>（2）刷涂65-230g为好，用刷子均匀地刷涂在路</w:t>
      </w:r>
      <w:r>
        <w:rPr>
          <w:spacing w:val="-20"/>
          <w:sz w:val="24"/>
          <w:szCs w:val="24"/>
        </w:rPr>
        <w:t>面上。底漆刷涂宽度应比标线放样宽度稍宽一些，底漆刷涂后要保养。当底漆不粘车胎、也不粘灰尘、砂土时表示底漆已干燥，可以标</w:t>
      </w:r>
      <w:r>
        <w:rPr>
          <w:spacing w:val="-18"/>
          <w:sz w:val="24"/>
          <w:szCs w:val="24"/>
        </w:rPr>
        <w:t>线涂布作业。</w:t>
      </w:r>
    </w:p>
    <w:p w14:paraId="5AFBEF85">
      <w:pPr>
        <w:pStyle w:val="2"/>
        <w:spacing w:before="121" w:line="278" w:lineRule="auto"/>
        <w:ind w:left="1461" w:right="1409" w:firstLine="432"/>
        <w:rPr>
          <w:sz w:val="24"/>
          <w:szCs w:val="24"/>
        </w:rPr>
      </w:pPr>
      <w:r>
        <w:rPr>
          <w:spacing w:val="-22"/>
          <w:sz w:val="24"/>
          <w:szCs w:val="24"/>
        </w:rPr>
        <w:t>（3）保养时间应根据大气温度，路面温度、湿度、底漆组成，刷涂量及路面吸水性等</w:t>
      </w:r>
      <w:r>
        <w:rPr>
          <w:spacing w:val="-23"/>
          <w:sz w:val="24"/>
          <w:szCs w:val="24"/>
        </w:rPr>
        <w:t>不同</w:t>
      </w:r>
      <w:r>
        <w:rPr>
          <w:spacing w:val="-20"/>
          <w:sz w:val="24"/>
          <w:szCs w:val="24"/>
        </w:rPr>
        <w:t>而异。涂底漆时要仔细，防止遗漏，特别是路面凹凸明显的地方，可在凹陷的地方适当涂厚一</w:t>
      </w:r>
      <w:r>
        <w:rPr>
          <w:spacing w:val="-19"/>
          <w:sz w:val="24"/>
          <w:szCs w:val="24"/>
        </w:rPr>
        <w:t>点。</w:t>
      </w:r>
    </w:p>
    <w:p w14:paraId="745BE8EF">
      <w:pPr>
        <w:pStyle w:val="2"/>
        <w:spacing w:before="114" w:line="308" w:lineRule="auto"/>
        <w:ind w:left="1456" w:right="1410" w:firstLine="432"/>
        <w:rPr>
          <w:sz w:val="24"/>
          <w:szCs w:val="24"/>
        </w:rPr>
      </w:pPr>
      <w:r>
        <w:rPr>
          <w:spacing w:val="-20"/>
          <w:sz w:val="24"/>
          <w:szCs w:val="24"/>
        </w:rPr>
        <w:t>2.2.4、材料的熔融。将熔解釜载于车上，随熔解釜配臵有CP气（液化石油气）为燃料的煤气燃烧器和搅拌装臵，应用这些设备将材料加热搅拌直到熔融，使之成为符合要求的涂料。</w:t>
      </w:r>
      <w:r>
        <w:rPr>
          <w:spacing w:val="-21"/>
          <w:sz w:val="24"/>
          <w:szCs w:val="24"/>
        </w:rPr>
        <w:t>涂料的熔解情况对于操作粘接、修整都有影响，应给以足</w:t>
      </w:r>
      <w:r>
        <w:rPr>
          <w:spacing w:val="-22"/>
          <w:sz w:val="24"/>
          <w:szCs w:val="24"/>
        </w:rPr>
        <w:t>够重视。特别注意以下几点：</w:t>
      </w:r>
    </w:p>
    <w:p w14:paraId="4CBF0A26">
      <w:pPr>
        <w:pStyle w:val="2"/>
        <w:spacing w:before="1" w:line="216" w:lineRule="auto"/>
        <w:ind w:left="1893"/>
        <w:rPr>
          <w:sz w:val="24"/>
          <w:szCs w:val="24"/>
        </w:rPr>
      </w:pPr>
      <w:r>
        <w:rPr>
          <w:spacing w:val="-21"/>
          <w:sz w:val="24"/>
          <w:szCs w:val="24"/>
        </w:rPr>
        <w:t>（1）应严格控制温度，避免长时间高温加热，防止涂料变色热劣化。</w:t>
      </w:r>
    </w:p>
    <w:p w14:paraId="07337AA8">
      <w:pPr>
        <w:pStyle w:val="2"/>
        <w:spacing w:before="118" w:line="263" w:lineRule="auto"/>
        <w:ind w:left="1458" w:right="1410" w:firstLine="434"/>
        <w:rPr>
          <w:sz w:val="24"/>
          <w:szCs w:val="24"/>
        </w:rPr>
      </w:pPr>
      <w:r>
        <w:rPr>
          <w:spacing w:val="-22"/>
          <w:sz w:val="24"/>
          <w:szCs w:val="24"/>
        </w:rPr>
        <w:t>（2）根据涂料量和粘度的要求调节火候和搅拌转速．涂敷量少时，使用小火．熔融</w:t>
      </w:r>
      <w:r>
        <w:rPr>
          <w:spacing w:val="-23"/>
          <w:sz w:val="24"/>
          <w:szCs w:val="24"/>
        </w:rPr>
        <w:t>涂料移</w:t>
      </w:r>
      <w:r>
        <w:rPr>
          <w:spacing w:val="-19"/>
          <w:sz w:val="24"/>
          <w:szCs w:val="24"/>
        </w:rPr>
        <w:t>运距离不宜太长。</w:t>
      </w:r>
    </w:p>
    <w:p w14:paraId="0EE8DCC5">
      <w:pPr>
        <w:pStyle w:val="2"/>
        <w:spacing w:before="117" w:line="216" w:lineRule="auto"/>
        <w:ind w:left="1893"/>
        <w:rPr>
          <w:sz w:val="24"/>
          <w:szCs w:val="24"/>
        </w:rPr>
      </w:pPr>
      <w:r>
        <w:rPr>
          <w:spacing w:val="-21"/>
          <w:sz w:val="24"/>
          <w:szCs w:val="24"/>
        </w:rPr>
        <w:t>（3）第一锅熔解时（例如最早的一锅）要特别小心温度控制，并注意安全。</w:t>
      </w:r>
    </w:p>
    <w:p w14:paraId="2CF08FB8">
      <w:pPr>
        <w:pStyle w:val="2"/>
        <w:spacing w:before="118" w:line="262" w:lineRule="auto"/>
        <w:ind w:left="1456" w:right="1412" w:firstLine="436"/>
        <w:rPr>
          <w:sz w:val="24"/>
          <w:szCs w:val="24"/>
        </w:rPr>
      </w:pPr>
      <w:r>
        <w:rPr>
          <w:spacing w:val="-22"/>
          <w:sz w:val="24"/>
          <w:szCs w:val="24"/>
        </w:rPr>
        <w:t>（A）要充分搅拌、混合，使涂料均匀。供给规定粘度的涂料，补充新材料时，</w:t>
      </w:r>
      <w:r>
        <w:rPr>
          <w:spacing w:val="-23"/>
          <w:sz w:val="24"/>
          <w:szCs w:val="24"/>
        </w:rPr>
        <w:t>要注意新加</w:t>
      </w:r>
      <w:r>
        <w:rPr>
          <w:spacing w:val="-19"/>
          <w:sz w:val="24"/>
          <w:szCs w:val="24"/>
        </w:rPr>
        <w:t>入材料的深融情况。</w:t>
      </w:r>
    </w:p>
    <w:p w14:paraId="0D83E936">
      <w:pPr>
        <w:pStyle w:val="2"/>
        <w:spacing w:before="121" w:line="261" w:lineRule="auto"/>
        <w:ind w:left="1455" w:right="1412" w:firstLine="437"/>
        <w:rPr>
          <w:sz w:val="24"/>
          <w:szCs w:val="24"/>
        </w:rPr>
      </w:pPr>
      <w:r>
        <w:rPr>
          <w:spacing w:val="-22"/>
          <w:sz w:val="24"/>
          <w:szCs w:val="24"/>
        </w:rPr>
        <w:t>（B）要注意加热次数，每锅材料尽可能加热一次。一天作业将结束前应与负责</w:t>
      </w:r>
      <w:r>
        <w:rPr>
          <w:spacing w:val="-23"/>
          <w:sz w:val="24"/>
          <w:szCs w:val="24"/>
        </w:rPr>
        <w:t>人商量还需</w:t>
      </w:r>
      <w:r>
        <w:rPr>
          <w:spacing w:val="-21"/>
          <w:sz w:val="24"/>
          <w:szCs w:val="24"/>
        </w:rPr>
        <w:t>熔融材料的数量，尽量不使剩余涂料过多留臵到隔日。</w:t>
      </w:r>
    </w:p>
    <w:p w14:paraId="39DE88EB">
      <w:pPr>
        <w:spacing w:line="261" w:lineRule="auto"/>
        <w:rPr>
          <w:sz w:val="24"/>
          <w:szCs w:val="24"/>
        </w:rPr>
        <w:sectPr>
          <w:footerReference r:id="rId102" w:type="default"/>
          <w:pgSz w:w="11907" w:h="16839"/>
          <w:pgMar w:top="954" w:right="4" w:bottom="1038" w:left="0" w:header="499" w:footer="357" w:gutter="0"/>
          <w:pgBorders>
            <w:top w:val="none" w:sz="0" w:space="0"/>
            <w:left w:val="none" w:sz="0" w:space="0"/>
            <w:bottom w:val="none" w:sz="0" w:space="0"/>
            <w:right w:val="none" w:sz="0" w:space="0"/>
          </w:pgBorders>
          <w:cols w:space="720" w:num="1"/>
        </w:sectPr>
      </w:pPr>
    </w:p>
    <w:p w14:paraId="2FD3B2AC">
      <w:pPr>
        <w:spacing w:line="250" w:lineRule="auto"/>
        <w:rPr>
          <w:rFonts w:ascii="Arial"/>
          <w:sz w:val="21"/>
        </w:rPr>
      </w:pPr>
    </w:p>
    <w:p w14:paraId="07A5B5C9">
      <w:pPr>
        <w:pStyle w:val="2"/>
        <w:spacing w:before="78" w:line="216" w:lineRule="auto"/>
        <w:ind w:left="1893"/>
        <w:rPr>
          <w:sz w:val="24"/>
          <w:szCs w:val="24"/>
        </w:rPr>
      </w:pPr>
      <w:r>
        <w:rPr>
          <w:spacing w:val="-22"/>
          <w:sz w:val="24"/>
          <w:szCs w:val="24"/>
        </w:rPr>
        <w:t>（C）涂料中含有大量空气，会突然沸腾引发事故应注意。熔解釜周围不要堆放易燃物品。</w:t>
      </w:r>
    </w:p>
    <w:p w14:paraId="2EC1932A">
      <w:pPr>
        <w:pStyle w:val="2"/>
        <w:spacing w:before="120" w:line="219" w:lineRule="auto"/>
        <w:ind w:left="1888"/>
        <w:rPr>
          <w:sz w:val="24"/>
          <w:szCs w:val="24"/>
        </w:rPr>
      </w:pPr>
      <w:r>
        <w:rPr>
          <w:spacing w:val="-16"/>
          <w:sz w:val="24"/>
          <w:szCs w:val="24"/>
        </w:rPr>
        <w:t>2.2.5、涂敷（撒玻璃珠）</w:t>
      </w:r>
    </w:p>
    <w:p w14:paraId="76A41EF5">
      <w:pPr>
        <w:pStyle w:val="2"/>
        <w:spacing w:before="113" w:line="278" w:lineRule="auto"/>
        <w:ind w:left="1456" w:right="1413" w:firstLine="436"/>
        <w:rPr>
          <w:sz w:val="24"/>
          <w:szCs w:val="24"/>
        </w:rPr>
      </w:pPr>
      <w:r>
        <w:rPr>
          <w:spacing w:val="-22"/>
          <w:sz w:val="24"/>
          <w:szCs w:val="24"/>
        </w:rPr>
        <w:t>（1）涂敷作业是标线施工的最关键一步，应按操作程序严格把关。为防止画</w:t>
      </w:r>
      <w:r>
        <w:rPr>
          <w:spacing w:val="-23"/>
          <w:sz w:val="24"/>
          <w:szCs w:val="24"/>
        </w:rPr>
        <w:t>线的贮料罐和</w:t>
      </w:r>
      <w:r>
        <w:rPr>
          <w:spacing w:val="-20"/>
          <w:sz w:val="24"/>
          <w:szCs w:val="24"/>
        </w:rPr>
        <w:t>流出口等处粘度变稠，在划线面（车）上应备有加温和保温装臵，按涂敷量和周围气候因素妥</w:t>
      </w:r>
      <w:r>
        <w:rPr>
          <w:spacing w:val="-19"/>
          <w:sz w:val="24"/>
          <w:szCs w:val="24"/>
        </w:rPr>
        <w:t>善地控制温度。</w:t>
      </w:r>
    </w:p>
    <w:p w14:paraId="114D2CD0">
      <w:pPr>
        <w:pStyle w:val="2"/>
        <w:spacing w:before="115" w:line="285" w:lineRule="auto"/>
        <w:ind w:left="1456" w:right="1412" w:firstLine="436"/>
        <w:rPr>
          <w:sz w:val="24"/>
          <w:szCs w:val="24"/>
        </w:rPr>
      </w:pPr>
      <w:r>
        <w:rPr>
          <w:spacing w:val="-21"/>
          <w:sz w:val="24"/>
          <w:szCs w:val="24"/>
        </w:rPr>
        <w:t>（2）将熔融型涂料加温到180-200在℃（根据熔融型材料采用的树指类型和配方先把合适</w:t>
      </w:r>
      <w:r>
        <w:rPr>
          <w:spacing w:val="-20"/>
          <w:sz w:val="24"/>
          <w:szCs w:val="24"/>
        </w:rPr>
        <w:t>温度</w:t>
      </w:r>
      <w:r>
        <w:rPr>
          <w:spacing w:val="-16"/>
          <w:sz w:val="24"/>
          <w:szCs w:val="24"/>
        </w:rPr>
        <w:t>），</w:t>
      </w:r>
      <w:r>
        <w:rPr>
          <w:spacing w:val="-20"/>
          <w:sz w:val="24"/>
          <w:szCs w:val="24"/>
        </w:rPr>
        <w:t>涂料即成熔融的流动状况，用工面涂敷于路面的同时撒布玻璃珠，在常温下固化。当涂敷于沥青路面时，涂料与路面熔合。当涂敷于水泥混凝土路面时，涂料与路面是物理粘接是</w:t>
      </w:r>
      <w:r>
        <w:rPr>
          <w:spacing w:val="-18"/>
          <w:sz w:val="24"/>
          <w:szCs w:val="24"/>
        </w:rPr>
        <w:t>机械地啮合。</w:t>
      </w:r>
    </w:p>
    <w:p w14:paraId="67F9F5A6">
      <w:pPr>
        <w:pStyle w:val="2"/>
        <w:spacing w:before="119" w:line="262" w:lineRule="auto"/>
        <w:ind w:left="1456" w:right="1412" w:firstLine="436"/>
        <w:rPr>
          <w:sz w:val="24"/>
          <w:szCs w:val="24"/>
        </w:rPr>
      </w:pPr>
      <w:r>
        <w:rPr>
          <w:spacing w:val="-22"/>
          <w:sz w:val="24"/>
          <w:szCs w:val="24"/>
        </w:rPr>
        <w:t>（3）净粉末状的涂料在热熔釜内熔化，达到规定温度后将熔化好的涂料装入划</w:t>
      </w:r>
      <w:r>
        <w:rPr>
          <w:spacing w:val="-23"/>
          <w:sz w:val="24"/>
          <w:szCs w:val="24"/>
        </w:rPr>
        <w:t>线机的保温</w:t>
      </w:r>
      <w:r>
        <w:rPr>
          <w:spacing w:val="-21"/>
          <w:sz w:val="24"/>
          <w:szCs w:val="24"/>
        </w:rPr>
        <w:t>（加温）桶中，然后失去划线机（车）将涂料涂敷于路面</w:t>
      </w:r>
      <w:r>
        <w:rPr>
          <w:spacing w:val="-22"/>
          <w:sz w:val="24"/>
          <w:szCs w:val="24"/>
        </w:rPr>
        <w:t>上。</w:t>
      </w:r>
    </w:p>
    <w:p w14:paraId="06E3936A">
      <w:pPr>
        <w:pStyle w:val="2"/>
        <w:spacing w:before="118" w:line="216" w:lineRule="auto"/>
        <w:ind w:left="1893"/>
        <w:rPr>
          <w:sz w:val="24"/>
          <w:szCs w:val="24"/>
        </w:rPr>
      </w:pPr>
      <w:r>
        <w:rPr>
          <w:spacing w:val="-20"/>
          <w:sz w:val="24"/>
          <w:szCs w:val="24"/>
        </w:rPr>
        <w:t>（4）涂敷划线施工操作程序如下：</w:t>
      </w:r>
    </w:p>
    <w:p w14:paraId="7CD98ADA">
      <w:pPr>
        <w:pStyle w:val="2"/>
        <w:spacing w:before="121" w:line="262" w:lineRule="auto"/>
        <w:ind w:left="1461" w:right="1413" w:firstLine="432"/>
        <w:rPr>
          <w:sz w:val="24"/>
          <w:szCs w:val="24"/>
        </w:rPr>
      </w:pPr>
      <w:r>
        <w:rPr>
          <w:spacing w:val="-22"/>
          <w:sz w:val="24"/>
          <w:szCs w:val="24"/>
        </w:rPr>
        <w:t>（A）涂敷前应进行施工机械的检查，保证设备处于完好状态。预先用油毛毡</w:t>
      </w:r>
      <w:r>
        <w:rPr>
          <w:spacing w:val="-23"/>
          <w:sz w:val="24"/>
          <w:szCs w:val="24"/>
        </w:rPr>
        <w:t>或白铁皮进行</w:t>
      </w:r>
      <w:r>
        <w:rPr>
          <w:spacing w:val="-21"/>
          <w:sz w:val="24"/>
          <w:szCs w:val="24"/>
        </w:rPr>
        <w:t>实地试画，检查色泽、厚度、宽度、玻璃珠撒布量</w:t>
      </w:r>
      <w:r>
        <w:rPr>
          <w:spacing w:val="-22"/>
          <w:sz w:val="24"/>
          <w:szCs w:val="24"/>
        </w:rPr>
        <w:t>等，必要时要进行参数调整。</w:t>
      </w:r>
    </w:p>
    <w:p w14:paraId="745161C1">
      <w:pPr>
        <w:pStyle w:val="2"/>
        <w:spacing w:before="116" w:line="264" w:lineRule="auto"/>
        <w:ind w:left="1470" w:right="1411" w:firstLine="422"/>
        <w:rPr>
          <w:sz w:val="24"/>
          <w:szCs w:val="24"/>
        </w:rPr>
      </w:pPr>
      <w:r>
        <w:rPr>
          <w:spacing w:val="-22"/>
          <w:sz w:val="24"/>
          <w:szCs w:val="24"/>
        </w:rPr>
        <w:t>（B）村线涂敷应在底漆溶剂干燥后进行，在底漆尚未干燥前就划标线，溶剂会</w:t>
      </w:r>
      <w:r>
        <w:rPr>
          <w:spacing w:val="-23"/>
          <w:sz w:val="24"/>
          <w:szCs w:val="24"/>
        </w:rPr>
        <w:t>穿透未硬化</w:t>
      </w:r>
      <w:r>
        <w:rPr>
          <w:spacing w:val="-21"/>
          <w:sz w:val="24"/>
          <w:szCs w:val="24"/>
        </w:rPr>
        <w:t>的涂膜，造成气泡。</w:t>
      </w:r>
    </w:p>
    <w:p w14:paraId="65216CA4">
      <w:pPr>
        <w:pStyle w:val="2"/>
        <w:spacing w:before="119" w:line="285" w:lineRule="auto"/>
        <w:ind w:left="1458" w:right="1409" w:firstLine="434"/>
        <w:rPr>
          <w:sz w:val="24"/>
          <w:szCs w:val="24"/>
        </w:rPr>
      </w:pPr>
      <w:r>
        <w:rPr>
          <w:spacing w:val="-22"/>
          <w:sz w:val="24"/>
          <w:szCs w:val="24"/>
        </w:rPr>
        <w:t>（C）在标线涂敷的同时，要撒布玻璃珠，要使玻璃珠的直径有一半埋入涂膜中，其反</w:t>
      </w:r>
      <w:r>
        <w:rPr>
          <w:spacing w:val="-23"/>
          <w:sz w:val="24"/>
          <w:szCs w:val="24"/>
        </w:rPr>
        <w:t>光效</w:t>
      </w:r>
      <w:r>
        <w:rPr>
          <w:spacing w:val="-20"/>
          <w:sz w:val="24"/>
          <w:szCs w:val="24"/>
        </w:rPr>
        <w:t>果最佳。但要做到这一点很不容易。涂料温度高，玻璃珠撒布快，玻璃珠会深入涂层中，涂料温度低，玻璃撒布慢，涂层已接近固化，玻璃珠不能在涂层上很好固关上，容易脱落，反光效</w:t>
      </w:r>
      <w:r>
        <w:rPr>
          <w:spacing w:val="-16"/>
          <w:sz w:val="24"/>
          <w:szCs w:val="24"/>
        </w:rPr>
        <w:t>果很差。</w:t>
      </w:r>
    </w:p>
    <w:p w14:paraId="1A8CC99D">
      <w:pPr>
        <w:pStyle w:val="2"/>
        <w:spacing w:before="113" w:line="285" w:lineRule="auto"/>
        <w:ind w:left="1459" w:right="1410" w:firstLine="433"/>
        <w:rPr>
          <w:sz w:val="24"/>
          <w:szCs w:val="24"/>
        </w:rPr>
      </w:pPr>
      <w:r>
        <w:rPr>
          <w:spacing w:val="-22"/>
          <w:sz w:val="24"/>
          <w:szCs w:val="24"/>
        </w:rPr>
        <w:t>（D）在施工时要严格注意涂料温度，撒布速度，风力风向，设备装备情况对玻璃珠</w:t>
      </w:r>
      <w:r>
        <w:rPr>
          <w:spacing w:val="-23"/>
          <w:sz w:val="24"/>
          <w:szCs w:val="24"/>
        </w:rPr>
        <w:t>撒布的影响，应避免玻璃珠成堆。撒布要均匀、全面，通常最适当的撒布量是宽15cm棣线，每画1</w:t>
      </w:r>
      <w:r>
        <w:rPr>
          <w:spacing w:val="-24"/>
          <w:sz w:val="24"/>
          <w:szCs w:val="24"/>
        </w:rPr>
        <w:t>00cm</w:t>
      </w:r>
      <w:r>
        <w:rPr>
          <w:spacing w:val="-21"/>
          <w:sz w:val="24"/>
          <w:szCs w:val="24"/>
        </w:rPr>
        <w:t>时，撒布20－30g。玻璃珠撒布过多，使白天的色调变坏，并产生高低不平，也</w:t>
      </w:r>
      <w:r>
        <w:rPr>
          <w:spacing w:val="-22"/>
          <w:sz w:val="24"/>
          <w:szCs w:val="24"/>
        </w:rPr>
        <w:t>易使灰尘沾粘面</w:t>
      </w:r>
      <w:r>
        <w:rPr>
          <w:spacing w:val="-19"/>
          <w:sz w:val="24"/>
          <w:szCs w:val="24"/>
        </w:rPr>
        <w:t>而降低识别性。</w:t>
      </w:r>
    </w:p>
    <w:p w14:paraId="79537544">
      <w:pPr>
        <w:pStyle w:val="2"/>
        <w:spacing w:before="120" w:line="290" w:lineRule="auto"/>
        <w:ind w:left="1455" w:right="1414" w:firstLine="432"/>
        <w:rPr>
          <w:sz w:val="24"/>
          <w:szCs w:val="24"/>
        </w:rPr>
      </w:pPr>
      <w:r>
        <w:rPr>
          <w:spacing w:val="-21"/>
          <w:sz w:val="24"/>
          <w:szCs w:val="24"/>
        </w:rPr>
        <w:t>2.2.6、标线固化。涂膜的干燥从粘接性和修整来看，最好自然冷却，如采取速冷时，应在</w:t>
      </w:r>
      <w:r>
        <w:rPr>
          <w:spacing w:val="-20"/>
          <w:sz w:val="24"/>
          <w:szCs w:val="24"/>
        </w:rPr>
        <w:t>涂敷后略等片刻，用水浇洒。但对尚未硬化的涂膜洒水，可能会使标线内部变形而赞成与路面剥离，以及在涂料面上产生麻点而使修整发生困难，应尽量不采取速冷固化法。冬季低温时，施工中要采取路央预热措施，防止涂料接触路面后粘度迅速变稠。以致影响涂料与路面的粘接</w:t>
      </w:r>
      <w:r>
        <w:rPr>
          <w:spacing w:val="-21"/>
          <w:sz w:val="24"/>
          <w:szCs w:val="24"/>
        </w:rPr>
        <w:t>牢度。</w:t>
      </w:r>
    </w:p>
    <w:p w14:paraId="1A7C7681">
      <w:pPr>
        <w:pStyle w:val="2"/>
        <w:spacing w:before="115" w:line="216" w:lineRule="auto"/>
        <w:ind w:left="1888"/>
        <w:rPr>
          <w:sz w:val="24"/>
          <w:szCs w:val="24"/>
        </w:rPr>
      </w:pPr>
      <w:r>
        <w:rPr>
          <w:spacing w:val="-16"/>
          <w:sz w:val="24"/>
          <w:szCs w:val="24"/>
        </w:rPr>
        <w:t>2.2.7、标线修整与检验</w:t>
      </w:r>
    </w:p>
    <w:p w14:paraId="7059D137">
      <w:pPr>
        <w:pStyle w:val="2"/>
        <w:spacing w:before="119" w:line="308" w:lineRule="auto"/>
        <w:ind w:left="1455" w:right="1414" w:firstLine="437"/>
        <w:jc w:val="both"/>
        <w:rPr>
          <w:sz w:val="24"/>
          <w:szCs w:val="24"/>
        </w:rPr>
      </w:pPr>
      <w:r>
        <w:rPr>
          <w:spacing w:val="-22"/>
          <w:sz w:val="24"/>
          <w:szCs w:val="24"/>
        </w:rPr>
        <w:t>（1）画涂标线结束后，应根据实际完成情况，计测工作量，对不符合标</w:t>
      </w:r>
      <w:r>
        <w:rPr>
          <w:spacing w:val="-23"/>
          <w:sz w:val="24"/>
          <w:szCs w:val="24"/>
        </w:rPr>
        <w:t>线进行修整，去除</w:t>
      </w:r>
      <w:r>
        <w:rPr>
          <w:spacing w:val="-20"/>
          <w:sz w:val="24"/>
          <w:szCs w:val="24"/>
        </w:rPr>
        <w:t>溢出和垂落的涂料，检查厚度、尺寸、玻璃珠的撒布情况及绅线的形状等。要修剔不合规格的</w:t>
      </w:r>
      <w:r>
        <w:rPr>
          <w:spacing w:val="-21"/>
          <w:sz w:val="24"/>
          <w:szCs w:val="24"/>
        </w:rPr>
        <w:t>标线，收集四处散落的玻璃珠，扫除施工残留物，整理机械</w:t>
      </w:r>
      <w:r>
        <w:rPr>
          <w:spacing w:val="-22"/>
          <w:sz w:val="24"/>
          <w:szCs w:val="24"/>
        </w:rPr>
        <w:t>设备及工具等。</w:t>
      </w:r>
    </w:p>
    <w:p w14:paraId="1670D566">
      <w:pPr>
        <w:pStyle w:val="2"/>
        <w:spacing w:before="1" w:line="308" w:lineRule="auto"/>
        <w:ind w:left="1463" w:right="1412" w:firstLine="430"/>
        <w:jc w:val="both"/>
        <w:rPr>
          <w:sz w:val="24"/>
          <w:szCs w:val="24"/>
        </w:rPr>
      </w:pPr>
      <w:r>
        <w:rPr>
          <w:spacing w:val="-18"/>
          <w:sz w:val="24"/>
          <w:szCs w:val="24"/>
        </w:rPr>
        <w:t>（2）标线涂料应符合部标《路面标线涂料》（JT/T280）的规定。标线的颜色及形状应符</w:t>
      </w:r>
      <w:r>
        <w:rPr>
          <w:spacing w:val="-31"/>
          <w:sz w:val="24"/>
          <w:szCs w:val="24"/>
        </w:rPr>
        <w:t>合现行国标《道路交通标志和标线》（GB5768）的规定和设计要求。实测项目及数据应符合（JTJ071</w:t>
      </w:r>
      <w:r>
        <w:rPr>
          <w:spacing w:val="-10"/>
          <w:sz w:val="24"/>
          <w:szCs w:val="24"/>
        </w:rPr>
        <w:t>-98）标准的各项规定值。</w:t>
      </w:r>
    </w:p>
    <w:p w14:paraId="707B1D15">
      <w:pPr>
        <w:spacing w:line="308" w:lineRule="auto"/>
        <w:rPr>
          <w:sz w:val="24"/>
          <w:szCs w:val="24"/>
        </w:rPr>
        <w:sectPr>
          <w:footerReference r:id="rId103" w:type="default"/>
          <w:pgSz w:w="11907" w:h="16839"/>
          <w:pgMar w:top="954" w:right="4" w:bottom="1038" w:left="0" w:header="499" w:footer="357" w:gutter="0"/>
          <w:pgBorders>
            <w:top w:val="none" w:sz="0" w:space="0"/>
            <w:left w:val="none" w:sz="0" w:space="0"/>
            <w:bottom w:val="none" w:sz="0" w:space="0"/>
            <w:right w:val="none" w:sz="0" w:space="0"/>
          </w:pgBorders>
          <w:cols w:space="720" w:num="1"/>
        </w:sectPr>
      </w:pPr>
    </w:p>
    <w:p w14:paraId="5D7F2452">
      <w:pPr>
        <w:pStyle w:val="2"/>
        <w:spacing w:before="278" w:line="216" w:lineRule="auto"/>
        <w:ind w:left="4171"/>
        <w:outlineLvl w:val="1"/>
        <w:rPr>
          <w:sz w:val="30"/>
          <w:szCs w:val="30"/>
        </w:rPr>
      </w:pPr>
      <w:bookmarkStart w:id="53" w:name="bookmark54"/>
      <w:bookmarkEnd w:id="53"/>
      <w:bookmarkStart w:id="54" w:name="bookmark53"/>
      <w:bookmarkEnd w:id="54"/>
      <w:r>
        <w:rPr>
          <w:b/>
          <w:bCs/>
          <w:color w:val="0070C0"/>
          <w:spacing w:val="-24"/>
          <w:sz w:val="30"/>
          <w:szCs w:val="30"/>
        </w:rPr>
        <w:t>第八节、现状人行道恢复工程</w:t>
      </w:r>
    </w:p>
    <w:p w14:paraId="76094F96">
      <w:pPr>
        <w:pStyle w:val="2"/>
        <w:spacing w:before="67" w:line="217" w:lineRule="auto"/>
        <w:ind w:left="1981"/>
        <w:outlineLvl w:val="2"/>
        <w:rPr>
          <w:sz w:val="28"/>
          <w:szCs w:val="28"/>
        </w:rPr>
      </w:pPr>
      <w:bookmarkStart w:id="55" w:name="bookmark302"/>
      <w:bookmarkEnd w:id="55"/>
      <w:r>
        <w:rPr>
          <w:b/>
          <w:bCs/>
          <w:spacing w:val="-22"/>
          <w:sz w:val="28"/>
          <w:szCs w:val="28"/>
        </w:rPr>
        <w:t>一、级配碎石施工</w:t>
      </w:r>
    </w:p>
    <w:p w14:paraId="18B06C1D">
      <w:pPr>
        <w:pStyle w:val="2"/>
        <w:spacing w:before="103" w:line="216" w:lineRule="auto"/>
        <w:ind w:left="1903"/>
        <w:rPr>
          <w:sz w:val="24"/>
          <w:szCs w:val="24"/>
        </w:rPr>
      </w:pPr>
      <w:r>
        <w:rPr>
          <w:spacing w:val="-9"/>
          <w:sz w:val="24"/>
          <w:szCs w:val="24"/>
        </w:rPr>
        <w:t>1.1下承层检查</w:t>
      </w:r>
    </w:p>
    <w:p w14:paraId="47377BC7">
      <w:pPr>
        <w:pStyle w:val="2"/>
        <w:spacing w:before="118" w:line="308" w:lineRule="auto"/>
        <w:ind w:left="1458" w:right="1410" w:firstLine="434"/>
        <w:rPr>
          <w:sz w:val="24"/>
          <w:szCs w:val="24"/>
        </w:rPr>
      </w:pPr>
      <w:r>
        <w:rPr>
          <w:spacing w:val="-20"/>
          <w:sz w:val="24"/>
          <w:szCs w:val="24"/>
        </w:rPr>
        <w:t>施工前，认真检查下承层，并认真清扫，如发现下承层层面上有明显松散、坑洞情况，应对其处理至合格，之后适量洒水湿润，并在下承层顶面沿洗刨后的老路面边缘横向铺设一层单</w:t>
      </w:r>
      <w:r>
        <w:rPr>
          <w:spacing w:val="-17"/>
          <w:sz w:val="24"/>
          <w:szCs w:val="24"/>
        </w:rPr>
        <w:t>向土工格栅，宽度为4.8m。单向土工格栅设计要求抗拉强度</w:t>
      </w:r>
      <w:r>
        <w:rPr>
          <w:spacing w:val="-18"/>
          <w:sz w:val="24"/>
          <w:szCs w:val="24"/>
        </w:rPr>
        <w:t>≥80KN/m，对应延伸率≤10%。</w:t>
      </w:r>
    </w:p>
    <w:p w14:paraId="052F6E70">
      <w:pPr>
        <w:pStyle w:val="2"/>
        <w:spacing w:line="215" w:lineRule="auto"/>
        <w:ind w:left="1903"/>
        <w:rPr>
          <w:sz w:val="24"/>
          <w:szCs w:val="24"/>
        </w:rPr>
      </w:pPr>
      <w:r>
        <w:rPr>
          <w:spacing w:val="-16"/>
          <w:sz w:val="24"/>
          <w:szCs w:val="24"/>
        </w:rPr>
        <w:t>1.2施工放样</w:t>
      </w:r>
    </w:p>
    <w:p w14:paraId="59CA5628">
      <w:pPr>
        <w:pStyle w:val="2"/>
        <w:spacing w:before="118" w:line="308" w:lineRule="auto"/>
        <w:ind w:left="1456" w:right="1412" w:firstLine="442"/>
        <w:rPr>
          <w:sz w:val="24"/>
          <w:szCs w:val="24"/>
        </w:rPr>
      </w:pPr>
      <w:r>
        <w:rPr>
          <w:spacing w:val="-22"/>
          <w:sz w:val="24"/>
          <w:szCs w:val="24"/>
        </w:rPr>
        <w:t>工程技术部用全站仪每10m定出级配碎石摊铺两侧坡脚线，在土路肩侧使用人工培土，以</w:t>
      </w:r>
      <w:r>
        <w:rPr>
          <w:spacing w:val="-21"/>
          <w:sz w:val="24"/>
          <w:szCs w:val="24"/>
        </w:rPr>
        <w:t>控制级配碎石摊铺宽度。测量控制桩间距设10m一个，采取内、外边桩控制标高。标</w:t>
      </w:r>
      <w:r>
        <w:rPr>
          <w:spacing w:val="-22"/>
          <w:sz w:val="24"/>
          <w:szCs w:val="24"/>
        </w:rPr>
        <w:t>高控制桩</w:t>
      </w:r>
      <w:r>
        <w:rPr>
          <w:spacing w:val="-20"/>
          <w:sz w:val="24"/>
          <w:szCs w:val="24"/>
        </w:rPr>
        <w:t>测设完成后，在施工段的两端打钢筋桩，用紧线器拉紧钢丝绳以不产生挠度为准，拉引力不小</w:t>
      </w:r>
      <w:r>
        <w:rPr>
          <w:spacing w:val="-14"/>
          <w:sz w:val="24"/>
          <w:szCs w:val="24"/>
        </w:rPr>
        <w:t>于800N,钢丝绳长度以100～200m为宜，且其直径为2mm或3mm。钢</w:t>
      </w:r>
      <w:r>
        <w:rPr>
          <w:spacing w:val="-15"/>
          <w:sz w:val="24"/>
          <w:szCs w:val="24"/>
        </w:rPr>
        <w:t>丝绳张紧完成以后，由测量</w:t>
      </w:r>
      <w:r>
        <w:rPr>
          <w:spacing w:val="-20"/>
          <w:sz w:val="24"/>
          <w:szCs w:val="24"/>
        </w:rPr>
        <w:t>人员把其固定在钢筋桩横杆的凹槽内用扎丝绑牢，接着调整横杆使钢丝绳平面位置等于垫层压</w:t>
      </w:r>
      <w:r>
        <w:rPr>
          <w:spacing w:val="-21"/>
          <w:sz w:val="24"/>
          <w:szCs w:val="24"/>
        </w:rPr>
        <w:t>实厚度乘以松铺系数加上摊铺机基准相对标高，松铺系数定为1.30。由钢丝线来控制</w:t>
      </w:r>
      <w:r>
        <w:rPr>
          <w:spacing w:val="-22"/>
          <w:sz w:val="24"/>
          <w:szCs w:val="24"/>
        </w:rPr>
        <w:t>摊铺机的</w:t>
      </w:r>
      <w:r>
        <w:rPr>
          <w:spacing w:val="-21"/>
          <w:sz w:val="24"/>
          <w:szCs w:val="24"/>
        </w:rPr>
        <w:t>传感器，以控制级配碎石面高程。</w:t>
      </w:r>
    </w:p>
    <w:p w14:paraId="57C6CEB8">
      <w:pPr>
        <w:pStyle w:val="2"/>
        <w:spacing w:line="216" w:lineRule="auto"/>
        <w:ind w:left="1903"/>
        <w:rPr>
          <w:sz w:val="24"/>
          <w:szCs w:val="24"/>
        </w:rPr>
      </w:pPr>
      <w:r>
        <w:rPr>
          <w:spacing w:val="-19"/>
          <w:sz w:val="24"/>
          <w:szCs w:val="24"/>
        </w:rPr>
        <w:t>1.3碾压机械、摊铺机械就位</w:t>
      </w:r>
    </w:p>
    <w:p w14:paraId="3A98F7AF">
      <w:pPr>
        <w:pStyle w:val="2"/>
        <w:spacing w:before="119" w:line="264" w:lineRule="auto"/>
        <w:ind w:left="1455" w:right="1410" w:firstLine="441"/>
        <w:rPr>
          <w:sz w:val="24"/>
          <w:szCs w:val="24"/>
        </w:rPr>
      </w:pPr>
      <w:r>
        <w:rPr>
          <w:spacing w:val="-20"/>
          <w:sz w:val="24"/>
          <w:szCs w:val="24"/>
        </w:rPr>
        <w:t>混合料拌和前，认真检查摊铺机各个部位，保证各操作系统性能完好，然后移位就位、等</w:t>
      </w:r>
      <w:r>
        <w:rPr>
          <w:spacing w:val="-21"/>
          <w:sz w:val="24"/>
          <w:szCs w:val="24"/>
        </w:rPr>
        <w:t>料。压路机停于摊铺机之后，并清理压路机轮。</w:t>
      </w:r>
    </w:p>
    <w:tbl>
      <w:tblPr>
        <w:tblStyle w:val="6"/>
        <w:tblW w:w="9166" w:type="dxa"/>
        <w:tblInd w:w="137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8"/>
        <w:gridCol w:w="4504"/>
        <w:gridCol w:w="4475"/>
        <w:gridCol w:w="99"/>
      </w:tblGrid>
      <w:tr w14:paraId="3D1178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7" w:hRule="atLeast"/>
        </w:trPr>
        <w:tc>
          <w:tcPr>
            <w:tcW w:w="88" w:type="dxa"/>
            <w:tcBorders>
              <w:top w:val="single" w:color="000000" w:sz="4" w:space="0"/>
              <w:left w:val="single" w:color="000000" w:sz="4" w:space="0"/>
              <w:right w:val="nil"/>
            </w:tcBorders>
            <w:vAlign w:val="top"/>
          </w:tcPr>
          <w:p w14:paraId="690E0619">
            <w:pPr>
              <w:rPr>
                <w:rFonts w:ascii="Arial"/>
                <w:sz w:val="21"/>
              </w:rPr>
            </w:pPr>
            <w:r>
              <w:pict>
                <v:shape id="_x0000_s1774" o:spid="_x0000_s1774" style="position:absolute;left:0pt;margin-left:-0.25pt;margin-top:0pt;height:0.75pt;width:2.2pt;mso-position-horizontal-relative:page;mso-position-vertical-relative:page;z-index:251840512;mso-width-relative:page;mso-height-relative:page;" fillcolor="#5B9BD5" filled="t" stroked="f" coordsize="44,15" path="m0,14l43,14,43,0,0,0,0,14xe">
                  <v:path/>
                  <v:fill on="t" focussize="0,0"/>
                  <v:stroke on="f"/>
                  <v:imagedata o:title=""/>
                  <o:lock v:ext="edit"/>
                </v:shape>
              </w:pict>
            </w:r>
          </w:p>
        </w:tc>
        <w:tc>
          <w:tcPr>
            <w:tcW w:w="4504" w:type="dxa"/>
            <w:tcBorders>
              <w:top w:val="single" w:color="000000" w:sz="4" w:space="0"/>
              <w:left w:val="nil"/>
            </w:tcBorders>
            <w:shd w:val="clear" w:color="auto" w:fill="DEEAF6"/>
            <w:vAlign w:val="top"/>
          </w:tcPr>
          <w:p w14:paraId="1B77A292">
            <w:pPr>
              <w:pStyle w:val="7"/>
              <w:spacing w:before="126" w:line="217" w:lineRule="auto"/>
              <w:ind w:left="1708"/>
            </w:pPr>
            <w:r>
              <w:rPr>
                <w:b/>
                <w:bCs/>
                <w:spacing w:val="-20"/>
              </w:rPr>
              <w:t>级配碎石1</w:t>
            </w:r>
          </w:p>
        </w:tc>
        <w:tc>
          <w:tcPr>
            <w:tcW w:w="4475" w:type="dxa"/>
            <w:tcBorders>
              <w:top w:val="single" w:color="5B9BD5" w:sz="4" w:space="0"/>
              <w:right w:val="nil"/>
            </w:tcBorders>
            <w:shd w:val="clear" w:color="auto" w:fill="DEEAF6"/>
            <w:vAlign w:val="top"/>
          </w:tcPr>
          <w:p w14:paraId="66575F1D">
            <w:pPr>
              <w:pStyle w:val="7"/>
              <w:spacing w:before="126" w:line="217" w:lineRule="auto"/>
              <w:ind w:left="1768"/>
            </w:pPr>
            <w:r>
              <w:rPr>
                <w:b/>
                <w:bCs/>
                <w:spacing w:val="-11"/>
              </w:rPr>
              <w:t>级配碎石2</w:t>
            </w:r>
          </w:p>
        </w:tc>
        <w:tc>
          <w:tcPr>
            <w:tcW w:w="99" w:type="dxa"/>
            <w:tcBorders>
              <w:top w:val="single" w:color="5B9BD5" w:sz="4" w:space="0"/>
              <w:left w:val="nil"/>
              <w:right w:val="single" w:color="5B9BD5" w:sz="4" w:space="0"/>
            </w:tcBorders>
            <w:vAlign w:val="top"/>
          </w:tcPr>
          <w:p w14:paraId="7C161DB1">
            <w:pPr>
              <w:rPr>
                <w:rFonts w:ascii="Arial"/>
                <w:sz w:val="21"/>
              </w:rPr>
            </w:pPr>
            <w:r>
              <w:pict>
                <v:shape id="_x0000_s1775" o:spid="_x0000_s1775" style="position:absolute;left:0pt;margin-left:3.1pt;margin-top:0pt;height:0.75pt;width:2.2pt;mso-position-horizontal-relative:page;mso-position-vertical-relative:page;z-index:251839488;mso-width-relative:page;mso-height-relative:page;" fillcolor="#5B9BD5" filled="t" stroked="f" coordsize="44,15" path="m0,14l43,14,43,0,0,0,0,14xe">
                  <v:path/>
                  <v:fill on="t" focussize="0,0"/>
                  <v:stroke on="f"/>
                  <v:imagedata o:title=""/>
                  <o:lock v:ext="edit"/>
                </v:shape>
              </w:pict>
            </w:r>
          </w:p>
        </w:tc>
      </w:tr>
      <w:tr w14:paraId="3CFD8F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23" w:hRule="atLeast"/>
        </w:trPr>
        <w:tc>
          <w:tcPr>
            <w:tcW w:w="4592" w:type="dxa"/>
            <w:gridSpan w:val="2"/>
            <w:tcBorders>
              <w:left w:val="single" w:color="1C456A" w:sz="4" w:space="0"/>
              <w:bottom w:val="single" w:color="1C456A" w:sz="4" w:space="0"/>
            </w:tcBorders>
            <w:vAlign w:val="top"/>
          </w:tcPr>
          <w:p w14:paraId="1E799DDE">
            <w:pPr>
              <w:spacing w:before="58" w:line="2714" w:lineRule="exact"/>
              <w:ind w:firstLine="123"/>
            </w:pPr>
            <w:r>
              <w:pict>
                <v:shape id="_x0000_s1776" o:spid="_x0000_s1776" style="position:absolute;left:0pt;margin-left:-0.2pt;margin-top:151.15pt;height:0.75pt;width:2.2pt;mso-position-horizontal-relative:page;mso-position-vertical-relative:page;z-index:251838464;mso-width-relative:page;mso-height-relative:page;" fillcolor="#5B9BD5" filled="t" stroked="f" coordsize="44,15" path="m0,14l43,14,43,0,0,0,0,14xe">
                  <v:path/>
                  <v:fill on="t" focussize="0,0"/>
                  <v:stroke on="f"/>
                  <v:imagedata o:title=""/>
                  <o:lock v:ext="edit"/>
                </v:shape>
              </w:pict>
            </w:r>
            <w:r>
              <w:rPr>
                <w:position w:val="-54"/>
              </w:rPr>
              <w:drawing>
                <wp:inline distT="0" distB="0" distL="0" distR="0">
                  <wp:extent cx="2754630" cy="1723390"/>
                  <wp:effectExtent l="0" t="0" r="0" b="0"/>
                  <wp:docPr id="610" name="IM 610"/>
                  <wp:cNvGraphicFramePr/>
                  <a:graphic xmlns:a="http://schemas.openxmlformats.org/drawingml/2006/main">
                    <a:graphicData uri="http://schemas.openxmlformats.org/drawingml/2006/picture">
                      <pic:pic xmlns:pic="http://schemas.openxmlformats.org/drawingml/2006/picture">
                        <pic:nvPicPr>
                          <pic:cNvPr id="610" name="IM 610"/>
                          <pic:cNvPicPr/>
                        </pic:nvPicPr>
                        <pic:blipFill>
                          <a:blip r:embed="rId569"/>
                          <a:stretch>
                            <a:fillRect/>
                          </a:stretch>
                        </pic:blipFill>
                        <pic:spPr>
                          <a:xfrm>
                            <a:off x="0" y="0"/>
                            <a:ext cx="2755264" cy="1723390"/>
                          </a:xfrm>
                          <a:prstGeom prst="rect">
                            <a:avLst/>
                          </a:prstGeom>
                        </pic:spPr>
                      </pic:pic>
                    </a:graphicData>
                  </a:graphic>
                </wp:inline>
              </w:drawing>
            </w:r>
          </w:p>
        </w:tc>
        <w:tc>
          <w:tcPr>
            <w:tcW w:w="4574" w:type="dxa"/>
            <w:gridSpan w:val="2"/>
            <w:tcBorders>
              <w:bottom w:val="single" w:color="5B9BD5" w:sz="4" w:space="0"/>
              <w:right w:val="single" w:color="5B9BD5" w:sz="4" w:space="0"/>
            </w:tcBorders>
            <w:vAlign w:val="top"/>
          </w:tcPr>
          <w:p w14:paraId="177A6C03">
            <w:pPr>
              <w:spacing w:before="86" w:line="2660" w:lineRule="exact"/>
              <w:ind w:firstLine="94"/>
            </w:pPr>
            <w:r>
              <w:pict>
                <v:shape id="_x0000_s1777" o:spid="_x0000_s1777" style="position:absolute;left:0pt;margin-left:226.85pt;margin-top:151.15pt;height:0.75pt;width:2.2pt;mso-position-horizontal-relative:page;mso-position-vertical-relative:page;z-index:251837440;mso-width-relative:page;mso-height-relative:page;" fillcolor="#5B9BD5" filled="t" stroked="f" coordsize="44,15" path="m0,14l43,14,43,0,0,0,0,14xe">
                  <v:path/>
                  <v:fill on="t" focussize="0,0"/>
                  <v:stroke on="f"/>
                  <v:imagedata o:title=""/>
                  <o:lock v:ext="edit"/>
                </v:shape>
              </w:pict>
            </w:r>
            <w:r>
              <w:rPr>
                <w:position w:val="-53"/>
              </w:rPr>
              <w:drawing>
                <wp:inline distT="0" distB="0" distL="0" distR="0">
                  <wp:extent cx="2760980" cy="1689100"/>
                  <wp:effectExtent l="0" t="0" r="0" b="0"/>
                  <wp:docPr id="612" name="IM 612"/>
                  <wp:cNvGraphicFramePr/>
                  <a:graphic xmlns:a="http://schemas.openxmlformats.org/drawingml/2006/main">
                    <a:graphicData uri="http://schemas.openxmlformats.org/drawingml/2006/picture">
                      <pic:pic xmlns:pic="http://schemas.openxmlformats.org/drawingml/2006/picture">
                        <pic:nvPicPr>
                          <pic:cNvPr id="612" name="IM 612"/>
                          <pic:cNvPicPr/>
                        </pic:nvPicPr>
                        <pic:blipFill>
                          <a:blip r:embed="rId570"/>
                          <a:stretch>
                            <a:fillRect/>
                          </a:stretch>
                        </pic:blipFill>
                        <pic:spPr>
                          <a:xfrm>
                            <a:off x="0" y="0"/>
                            <a:ext cx="2761614" cy="1689100"/>
                          </a:xfrm>
                          <a:prstGeom prst="rect">
                            <a:avLst/>
                          </a:prstGeom>
                        </pic:spPr>
                      </pic:pic>
                    </a:graphicData>
                  </a:graphic>
                </wp:inline>
              </w:drawing>
            </w:r>
          </w:p>
        </w:tc>
      </w:tr>
    </w:tbl>
    <w:p w14:paraId="390243C6">
      <w:pPr>
        <w:pStyle w:val="2"/>
        <w:spacing w:before="116" w:line="218" w:lineRule="auto"/>
        <w:ind w:left="1903"/>
        <w:rPr>
          <w:sz w:val="24"/>
          <w:szCs w:val="24"/>
        </w:rPr>
      </w:pPr>
      <w:r>
        <w:rPr>
          <w:spacing w:val="-14"/>
          <w:sz w:val="24"/>
          <w:szCs w:val="24"/>
        </w:rPr>
        <w:t>1.4拌和</w:t>
      </w:r>
    </w:p>
    <w:p w14:paraId="28096409">
      <w:pPr>
        <w:pStyle w:val="2"/>
        <w:spacing w:before="113" w:line="308" w:lineRule="auto"/>
        <w:ind w:left="1455" w:right="1409" w:firstLine="440"/>
        <w:rPr>
          <w:sz w:val="24"/>
          <w:szCs w:val="24"/>
        </w:rPr>
      </w:pPr>
      <w:r>
        <w:rPr>
          <w:spacing w:val="-20"/>
          <w:sz w:val="24"/>
          <w:szCs w:val="24"/>
        </w:rPr>
        <w:t>级配碎石采用集中厂拌法。采用拌和设备集中拌和，保证配料精确，性能完好。为了使现</w:t>
      </w:r>
      <w:r>
        <w:rPr>
          <w:spacing w:val="-17"/>
          <w:sz w:val="24"/>
          <w:szCs w:val="24"/>
        </w:rPr>
        <w:t>场级配碎石能够在接近最佳含水量下碾压,在拌和过程中的加水量需要略高出配合比设计确定</w:t>
      </w:r>
      <w:r>
        <w:rPr>
          <w:spacing w:val="-15"/>
          <w:sz w:val="24"/>
          <w:szCs w:val="24"/>
        </w:rPr>
        <w:t>的最佳含水量0~2%，并根据天气、运距等因素实时调整，做到配</w:t>
      </w:r>
      <w:r>
        <w:rPr>
          <w:spacing w:val="-16"/>
          <w:sz w:val="24"/>
          <w:szCs w:val="24"/>
        </w:rPr>
        <w:t>料准确，拌和均匀，无粗细</w:t>
      </w:r>
      <w:r>
        <w:rPr>
          <w:spacing w:val="-20"/>
          <w:sz w:val="24"/>
          <w:szCs w:val="24"/>
        </w:rPr>
        <w:t>料离析现象。拌和现场配备一名试验员跟踪检测拌和料的含水量及各种集料的配比情况，发现</w:t>
      </w:r>
      <w:r>
        <w:rPr>
          <w:spacing w:val="-21"/>
          <w:sz w:val="24"/>
          <w:szCs w:val="24"/>
        </w:rPr>
        <w:t>异常及时调整或停止生产。含水量按要求频率检查，做好记录。各料斗配备1-2名工作人员，时刻监视各料斗的上料下料情况，及时排除下料堵塞，不出现</w:t>
      </w:r>
      <w:r>
        <w:rPr>
          <w:spacing w:val="-22"/>
          <w:sz w:val="24"/>
          <w:szCs w:val="24"/>
        </w:rPr>
        <w:t>卡堵现象。</w:t>
      </w:r>
    </w:p>
    <w:p w14:paraId="4994A6C7">
      <w:pPr>
        <w:pStyle w:val="2"/>
        <w:spacing w:before="1" w:line="219" w:lineRule="auto"/>
        <w:ind w:left="1903"/>
        <w:rPr>
          <w:sz w:val="24"/>
          <w:szCs w:val="24"/>
        </w:rPr>
      </w:pPr>
      <w:r>
        <w:rPr>
          <w:spacing w:val="-14"/>
          <w:sz w:val="24"/>
          <w:szCs w:val="24"/>
        </w:rPr>
        <w:t>1.5运输</w:t>
      </w:r>
    </w:p>
    <w:p w14:paraId="70474A06">
      <w:pPr>
        <w:pStyle w:val="2"/>
        <w:spacing w:before="115" w:line="215" w:lineRule="auto"/>
        <w:ind w:left="1895"/>
        <w:rPr>
          <w:sz w:val="24"/>
          <w:szCs w:val="24"/>
        </w:rPr>
      </w:pPr>
      <w:r>
        <w:rPr>
          <w:spacing w:val="-21"/>
          <w:sz w:val="24"/>
          <w:szCs w:val="24"/>
        </w:rPr>
        <w:t>采用15～20t自卸汽车运料，料斗上用篷布覆盖，以减少混</w:t>
      </w:r>
      <w:r>
        <w:rPr>
          <w:spacing w:val="-22"/>
          <w:sz w:val="24"/>
          <w:szCs w:val="24"/>
        </w:rPr>
        <w:t>合料含水量的丧失。运料车在</w:t>
      </w:r>
    </w:p>
    <w:p w14:paraId="2D59BB44">
      <w:pPr>
        <w:spacing w:line="215" w:lineRule="auto"/>
        <w:rPr>
          <w:sz w:val="24"/>
          <w:szCs w:val="24"/>
        </w:rPr>
        <w:sectPr>
          <w:footerReference r:id="rId104" w:type="default"/>
          <w:pgSz w:w="11907" w:h="16839"/>
          <w:pgMar w:top="954" w:right="4" w:bottom="1038" w:left="0" w:header="499" w:footer="357" w:gutter="0"/>
          <w:pgBorders>
            <w:top w:val="none" w:sz="0" w:space="0"/>
            <w:left w:val="none" w:sz="0" w:space="0"/>
            <w:bottom w:val="none" w:sz="0" w:space="0"/>
            <w:right w:val="none" w:sz="0" w:space="0"/>
          </w:pgBorders>
          <w:cols w:space="720" w:num="1"/>
        </w:sectPr>
      </w:pPr>
    </w:p>
    <w:p w14:paraId="2A327D0F">
      <w:pPr>
        <w:spacing w:line="249" w:lineRule="auto"/>
        <w:rPr>
          <w:rFonts w:ascii="Arial"/>
          <w:sz w:val="21"/>
        </w:rPr>
      </w:pPr>
    </w:p>
    <w:p w14:paraId="3AB6055C">
      <w:pPr>
        <w:pStyle w:val="2"/>
        <w:spacing w:before="78" w:line="308" w:lineRule="auto"/>
        <w:ind w:left="1461" w:right="1414" w:hanging="5"/>
        <w:rPr>
          <w:sz w:val="24"/>
          <w:szCs w:val="24"/>
        </w:rPr>
      </w:pPr>
      <w:r>
        <w:rPr>
          <w:spacing w:val="-20"/>
          <w:sz w:val="24"/>
          <w:szCs w:val="24"/>
        </w:rPr>
        <w:t>摊铺作业面以外调头，倒退驶入摊铺现场，避免破坏下承层。为了保证连续摊铺，现场存料车</w:t>
      </w:r>
      <w:r>
        <w:rPr>
          <w:spacing w:val="-18"/>
          <w:sz w:val="24"/>
          <w:szCs w:val="24"/>
        </w:rPr>
        <w:t>不少于5辆，卸车时，由专人指挥运料车在摊</w:t>
      </w:r>
      <w:r>
        <w:rPr>
          <w:spacing w:val="-19"/>
          <w:sz w:val="24"/>
          <w:szCs w:val="24"/>
        </w:rPr>
        <w:t>铺机前10-30cm处停车，避免撞击摊铺机。</w:t>
      </w:r>
    </w:p>
    <w:p w14:paraId="69483009">
      <w:pPr>
        <w:pStyle w:val="2"/>
        <w:spacing w:before="1" w:line="218" w:lineRule="auto"/>
        <w:ind w:left="1903"/>
        <w:rPr>
          <w:sz w:val="24"/>
          <w:szCs w:val="24"/>
        </w:rPr>
      </w:pPr>
      <w:r>
        <w:rPr>
          <w:spacing w:val="-14"/>
          <w:sz w:val="24"/>
          <w:szCs w:val="24"/>
        </w:rPr>
        <w:t>1.6摊铺</w:t>
      </w:r>
    </w:p>
    <w:p w14:paraId="7540B304">
      <w:pPr>
        <w:pStyle w:val="2"/>
        <w:spacing w:before="113" w:line="308" w:lineRule="auto"/>
        <w:ind w:left="1455" w:right="1356" w:firstLine="437"/>
        <w:rPr>
          <w:sz w:val="24"/>
          <w:szCs w:val="24"/>
        </w:rPr>
      </w:pPr>
      <w:r>
        <w:rPr>
          <w:spacing w:val="-24"/>
          <w:sz w:val="24"/>
          <w:szCs w:val="24"/>
        </w:rPr>
        <w:t>摊铺前下承层路基表面应适量洒水，保持湿润。采用中大摊铺机进行摊铺。在摊铺过程中，</w:t>
      </w:r>
      <w:r>
        <w:rPr>
          <w:spacing w:val="-18"/>
          <w:sz w:val="24"/>
          <w:szCs w:val="24"/>
        </w:rPr>
        <w:t>速度为1.5m/min～2.2m/min为宜，垫层在开始摊铺</w:t>
      </w:r>
      <w:r>
        <w:rPr>
          <w:spacing w:val="-19"/>
          <w:sz w:val="24"/>
          <w:szCs w:val="24"/>
        </w:rPr>
        <w:t>3～6米长时，现场技术人员立即检测摊铺</w:t>
      </w:r>
      <w:r>
        <w:rPr>
          <w:spacing w:val="-22"/>
          <w:sz w:val="24"/>
          <w:szCs w:val="24"/>
        </w:rPr>
        <w:t>面的标高及横坡，合格后，再继续摊铺。正常施工时，摊铺机每前进10米，检测</w:t>
      </w:r>
      <w:r>
        <w:rPr>
          <w:spacing w:val="-23"/>
          <w:sz w:val="24"/>
          <w:szCs w:val="24"/>
        </w:rPr>
        <w:t>级配碎石摊铺</w:t>
      </w:r>
      <w:r>
        <w:rPr>
          <w:spacing w:val="-20"/>
          <w:sz w:val="24"/>
          <w:szCs w:val="24"/>
        </w:rPr>
        <w:t>顶面标高，检测位置同路基顶面检测位置，记录下数据，并根据之前测量的级配碎石底面标高</w:t>
      </w:r>
      <w:r>
        <w:rPr>
          <w:spacing w:val="-19"/>
          <w:sz w:val="24"/>
          <w:szCs w:val="24"/>
        </w:rPr>
        <w:t>计算出级配碎石松铺厚度及横坡度。同时设专人检测摊铺平整度,不合格</w:t>
      </w:r>
      <w:r>
        <w:rPr>
          <w:spacing w:val="-20"/>
          <w:sz w:val="24"/>
          <w:szCs w:val="24"/>
        </w:rPr>
        <w:t>时,立即进行调整并记</w:t>
      </w:r>
      <w:r>
        <w:rPr>
          <w:spacing w:val="-18"/>
          <w:sz w:val="24"/>
          <w:szCs w:val="24"/>
        </w:rPr>
        <w:t>录。</w:t>
      </w:r>
    </w:p>
    <w:p w14:paraId="46BCB837">
      <w:pPr>
        <w:pStyle w:val="2"/>
        <w:spacing w:before="6" w:line="307" w:lineRule="auto"/>
        <w:ind w:left="1454" w:right="1409" w:firstLine="440"/>
        <w:jc w:val="both"/>
        <w:rPr>
          <w:sz w:val="24"/>
          <w:szCs w:val="24"/>
        </w:rPr>
      </w:pPr>
      <w:r>
        <w:rPr>
          <w:spacing w:val="-10"/>
          <w:sz w:val="24"/>
          <w:szCs w:val="24"/>
        </w:rPr>
        <w:t>在摊铺机前进过程中，两机纵向距离宜保持在5~8米之</w:t>
      </w:r>
      <w:r>
        <w:rPr>
          <w:spacing w:val="-11"/>
          <w:sz w:val="24"/>
          <w:szCs w:val="24"/>
        </w:rPr>
        <w:t>间，且相对距离要保持稳定。螺</w:t>
      </w:r>
      <w:r>
        <w:rPr>
          <w:spacing w:val="-20"/>
          <w:sz w:val="24"/>
          <w:szCs w:val="24"/>
        </w:rPr>
        <w:t>旋搅拌笼两端的混合料高度要保持和送料螺旋同高或稍低，否则应立即停止摊铺，等混合料输送充足后再开始摊铺。摊铺机行走时，应先传送混合料，再行走摊铺。运输车应距摊铺机料斗</w:t>
      </w:r>
      <w:r>
        <w:rPr>
          <w:spacing w:val="-21"/>
          <w:sz w:val="24"/>
          <w:szCs w:val="24"/>
        </w:rPr>
        <w:t>10～30cm左右停车。由摊铺机前顶靠住汽车后轮，再起斗卸料。摊铺机行进时，应始终保持同</w:t>
      </w:r>
      <w:r>
        <w:rPr>
          <w:spacing w:val="-20"/>
          <w:sz w:val="24"/>
          <w:szCs w:val="24"/>
        </w:rPr>
        <w:t>路线方向行驶，摊铺机行走时标尺上自然垂落的左右测平传感器的中心应对准级配碎石左右控</w:t>
      </w:r>
      <w:r>
        <w:rPr>
          <w:spacing w:val="-21"/>
          <w:sz w:val="24"/>
          <w:szCs w:val="24"/>
        </w:rPr>
        <w:t>制边线，以保证摊铺宽度、厚度准确。</w:t>
      </w:r>
    </w:p>
    <w:p w14:paraId="75219A62">
      <w:pPr>
        <w:pStyle w:val="2"/>
        <w:spacing w:before="1" w:line="220" w:lineRule="auto"/>
        <w:ind w:left="1903"/>
        <w:rPr>
          <w:sz w:val="24"/>
          <w:szCs w:val="24"/>
        </w:rPr>
      </w:pPr>
      <w:r>
        <w:rPr>
          <w:spacing w:val="-14"/>
          <w:sz w:val="24"/>
          <w:szCs w:val="24"/>
        </w:rPr>
        <w:t>1.7碾压</w:t>
      </w:r>
    </w:p>
    <w:p w14:paraId="38055AA5">
      <w:pPr>
        <w:pStyle w:val="2"/>
        <w:spacing w:before="113" w:line="215" w:lineRule="auto"/>
        <w:ind w:left="1896"/>
        <w:rPr>
          <w:sz w:val="24"/>
          <w:szCs w:val="24"/>
        </w:rPr>
      </w:pPr>
      <w:r>
        <w:rPr>
          <w:spacing w:val="-21"/>
          <w:sz w:val="24"/>
          <w:szCs w:val="24"/>
        </w:rPr>
        <w:t>混合料经摊铺与整型后,立即在级配碎石垫层全宽范围内进行碾压。</w:t>
      </w:r>
    </w:p>
    <w:p w14:paraId="24782E0B">
      <w:pPr>
        <w:pStyle w:val="2"/>
        <w:spacing w:before="120" w:line="308" w:lineRule="auto"/>
        <w:ind w:left="1466" w:right="1436" w:firstLine="425"/>
        <w:rPr>
          <w:sz w:val="24"/>
          <w:szCs w:val="24"/>
        </w:rPr>
      </w:pPr>
      <w:r>
        <w:rPr>
          <w:spacing w:val="-13"/>
          <w:sz w:val="24"/>
          <w:szCs w:val="24"/>
        </w:rPr>
        <w:t>碾压过程中，级配碎石的表面始终保持潮湿，当混合料的含</w:t>
      </w:r>
      <w:r>
        <w:rPr>
          <w:spacing w:val="-14"/>
          <w:sz w:val="24"/>
          <w:szCs w:val="24"/>
        </w:rPr>
        <w:t>水量在最佳含水量（-0.5%~</w:t>
      </w:r>
      <w:r>
        <w:rPr>
          <w:spacing w:val="-22"/>
          <w:sz w:val="24"/>
          <w:szCs w:val="24"/>
        </w:rPr>
        <w:t>1</w:t>
      </w:r>
      <w:r>
        <w:rPr>
          <w:spacing w:val="-11"/>
          <w:sz w:val="24"/>
          <w:szCs w:val="24"/>
        </w:rPr>
        <w:t>％）</w:t>
      </w:r>
      <w:r>
        <w:rPr>
          <w:spacing w:val="-22"/>
          <w:sz w:val="24"/>
          <w:szCs w:val="24"/>
        </w:rPr>
        <w:t>时进行碾压。如表面水蒸发得快，需要及时喷</w:t>
      </w:r>
      <w:r>
        <w:rPr>
          <w:spacing w:val="-23"/>
          <w:sz w:val="24"/>
          <w:szCs w:val="24"/>
        </w:rPr>
        <w:t>洒少量的水，以混合料表面润湿为准。</w:t>
      </w:r>
    </w:p>
    <w:p w14:paraId="1D2434A5">
      <w:pPr>
        <w:pStyle w:val="2"/>
        <w:spacing w:before="2" w:line="307" w:lineRule="auto"/>
        <w:ind w:left="1456" w:right="1353" w:firstLine="436"/>
        <w:jc w:val="both"/>
        <w:rPr>
          <w:sz w:val="24"/>
          <w:szCs w:val="24"/>
        </w:rPr>
      </w:pPr>
      <w:r>
        <w:rPr>
          <w:spacing w:val="-16"/>
          <w:sz w:val="24"/>
          <w:szCs w:val="24"/>
        </w:rPr>
        <w:t>压路机碾压速度头两遍采用1.5～1.7km/h,待混合料稳定后，然后用2.0～2.5km/h速度碾</w:t>
      </w:r>
      <w:r>
        <w:rPr>
          <w:spacing w:val="-17"/>
          <w:sz w:val="24"/>
          <w:szCs w:val="24"/>
        </w:rPr>
        <w:t>压。压路机弱振振幅为1.5～2.0mm，振动频率为29～32HZ，激振力为200～270KN；强振振幅为</w:t>
      </w:r>
      <w:r>
        <w:rPr>
          <w:spacing w:val="-16"/>
          <w:sz w:val="24"/>
          <w:szCs w:val="24"/>
        </w:rPr>
        <w:t>1.08～1.5mm，振动频率为32～35HZ，激振力为270</w:t>
      </w:r>
      <w:r>
        <w:rPr>
          <w:spacing w:val="-17"/>
          <w:sz w:val="24"/>
          <w:szCs w:val="24"/>
        </w:rPr>
        <w:t>～350KN。为保证底基层两侧边缘的压实度，采用PBVC-606型平板夯对边缘进行夯实。</w:t>
      </w:r>
    </w:p>
    <w:p w14:paraId="71FC91E2">
      <w:pPr>
        <w:pStyle w:val="2"/>
        <w:spacing w:before="3" w:line="307" w:lineRule="auto"/>
        <w:ind w:left="1456" w:right="1412" w:firstLine="445"/>
        <w:jc w:val="both"/>
        <w:rPr>
          <w:sz w:val="24"/>
          <w:szCs w:val="24"/>
        </w:rPr>
      </w:pPr>
      <w:r>
        <w:rPr>
          <w:spacing w:val="-21"/>
          <w:sz w:val="24"/>
          <w:szCs w:val="24"/>
        </w:rPr>
        <w:t>我们采用横向垂直接头，用3m靠尺检测在平整度符合要求处，划直线铲除多余料，用</w:t>
      </w:r>
      <w:r>
        <w:rPr>
          <w:spacing w:val="-22"/>
          <w:sz w:val="24"/>
          <w:szCs w:val="24"/>
        </w:rPr>
        <w:t>装载</w:t>
      </w:r>
      <w:r>
        <w:rPr>
          <w:spacing w:val="-20"/>
          <w:sz w:val="24"/>
          <w:szCs w:val="24"/>
        </w:rPr>
        <w:t>机装运，运离施工地段，为今后接缝做好了前期准备工作。在整个试验段的拌和、摊铺、碾压过程中，工程技术人员进行大频率的跟踪检测，检测结果见附表。终压结束后，立即用土工布</w:t>
      </w:r>
      <w:r>
        <w:rPr>
          <w:spacing w:val="-21"/>
          <w:sz w:val="24"/>
          <w:szCs w:val="24"/>
        </w:rPr>
        <w:t>覆盖基层表面，并用水车均匀洒水进行养护。</w:t>
      </w:r>
    </w:p>
    <w:p w14:paraId="7739BBF6">
      <w:pPr>
        <w:pStyle w:val="2"/>
        <w:spacing w:before="1" w:line="216" w:lineRule="auto"/>
        <w:ind w:left="1903"/>
        <w:rPr>
          <w:sz w:val="24"/>
          <w:szCs w:val="24"/>
        </w:rPr>
      </w:pPr>
      <w:r>
        <w:rPr>
          <w:spacing w:val="-20"/>
          <w:sz w:val="24"/>
          <w:szCs w:val="24"/>
        </w:rPr>
        <w:t>1.8检验项目、频率及质量标准：</w:t>
      </w:r>
    </w:p>
    <w:p w14:paraId="0B3711E7">
      <w:pPr>
        <w:spacing w:line="56" w:lineRule="auto"/>
        <w:rPr>
          <w:rFonts w:ascii="Arial"/>
          <w:sz w:val="2"/>
        </w:rPr>
      </w:pPr>
    </w:p>
    <w:tbl>
      <w:tblPr>
        <w:tblStyle w:val="6"/>
        <w:tblW w:w="9685" w:type="dxa"/>
        <w:tblInd w:w="111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32"/>
        <w:gridCol w:w="1062"/>
        <w:gridCol w:w="1355"/>
        <w:gridCol w:w="1204"/>
        <w:gridCol w:w="2145"/>
        <w:gridCol w:w="1394"/>
        <w:gridCol w:w="1563"/>
        <w:gridCol w:w="230"/>
      </w:tblGrid>
      <w:tr w14:paraId="457F7B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9" w:hRule="atLeast"/>
        </w:trPr>
        <w:tc>
          <w:tcPr>
            <w:tcW w:w="1794" w:type="dxa"/>
            <w:gridSpan w:val="2"/>
            <w:vMerge w:val="restart"/>
            <w:tcBorders>
              <w:top w:val="single" w:color="000000" w:sz="4" w:space="0"/>
              <w:left w:val="single" w:color="000000" w:sz="4" w:space="0"/>
              <w:bottom w:val="nil"/>
            </w:tcBorders>
            <w:shd w:val="clear" w:color="auto" w:fill="DEEAF6"/>
            <w:vAlign w:val="top"/>
          </w:tcPr>
          <w:p w14:paraId="3741E49F">
            <w:pPr>
              <w:spacing w:line="33" w:lineRule="exact"/>
              <w:ind w:firstLine="1768"/>
            </w:pPr>
            <w:r>
              <w:pict>
                <v:shape id="_x0000_s1778" o:spid="_x0000_s1778" style="position:absolute;left:0pt;margin-left:-0.2pt;margin-top:0pt;height:0.75pt;width:2.2pt;mso-position-horizontal-relative:page;mso-position-vertical-relative:page;z-index:251843584;mso-width-relative:page;mso-height-relative:page;" fillcolor="#5B9BD5" filled="t" stroked="f" coordsize="44,15" path="m0,14l43,14,43,0,0,0,0,14xe">
                  <v:path/>
                  <v:fill on="t" focussize="0,0"/>
                  <v:stroke on="f"/>
                  <v:imagedata o:title=""/>
                  <o:lock v:ext="edit"/>
                </v:shape>
              </w:pict>
            </w:r>
            <w:r>
              <w:pict>
                <v:group id="_x0000_s1779" o:spid="_x0000_s1779" o:spt="203" style="height:2.2pt;width:2.2pt;" coordsize="44,44">
                  <o:lock v:ext="edit"/>
                  <v:shape id="_x0000_s1780" o:spid="_x0000_s1780" style="position:absolute;left:0;top:0;height:15;width:44;" fillcolor="#5B9BD5" filled="t" stroked="f" coordsize="44,15" path="m0,14l43,14,43,0,0,0,0,14xe">
                    <v:path/>
                    <v:fill on="t" focussize="0,0"/>
                    <v:stroke on="f"/>
                    <v:imagedata o:title=""/>
                    <o:lock v:ext="edit"/>
                  </v:shape>
                  <v:shape id="_x0000_s1781" o:spid="_x0000_s1781" style="position:absolute;left:0;top:14;height:15;width:44;" fillcolor="#20507B" filled="t" stroked="f" coordsize="44,15" path="m0,14l43,14,43,0,0,0,0,14xe">
                    <v:path/>
                    <v:fill on="t" focussize="0,0"/>
                    <v:stroke on="f"/>
                    <v:imagedata o:title=""/>
                    <o:lock v:ext="edit"/>
                  </v:shape>
                  <v:shape id="_x0000_s1782" o:spid="_x0000_s1782" style="position:absolute;left:0;top:28;height:15;width:44;" fillcolor="#1C456A" filled="t" stroked="f" coordsize="44,15" path="m0,14l43,14,43,0,0,0,0,14xe">
                    <v:path/>
                    <v:fill on="t" focussize="0,0"/>
                    <v:stroke on="f"/>
                    <v:imagedata o:title=""/>
                    <o:lock v:ext="edit"/>
                  </v:shape>
                  <w10:wrap type="none"/>
                  <w10:anchorlock/>
                </v:group>
              </w:pict>
            </w:r>
          </w:p>
          <w:p w14:paraId="5B02D06E">
            <w:pPr>
              <w:spacing w:line="303" w:lineRule="auto"/>
              <w:rPr>
                <w:rFonts w:ascii="Arial"/>
                <w:sz w:val="21"/>
              </w:rPr>
            </w:pPr>
          </w:p>
          <w:p w14:paraId="7627E73F">
            <w:pPr>
              <w:spacing w:line="304" w:lineRule="auto"/>
              <w:rPr>
                <w:rFonts w:ascii="Arial"/>
                <w:sz w:val="21"/>
              </w:rPr>
            </w:pPr>
          </w:p>
          <w:p w14:paraId="6D6FBEC6">
            <w:pPr>
              <w:pStyle w:val="7"/>
              <w:spacing w:before="78" w:line="219" w:lineRule="auto"/>
              <w:ind w:left="471"/>
            </w:pPr>
            <w:r>
              <w:rPr>
                <w:b/>
                <w:bCs/>
                <w:spacing w:val="-19"/>
              </w:rPr>
              <w:t>填挖类型</w:t>
            </w:r>
          </w:p>
        </w:tc>
        <w:tc>
          <w:tcPr>
            <w:tcW w:w="1355" w:type="dxa"/>
            <w:vMerge w:val="restart"/>
            <w:tcBorders>
              <w:top w:val="single" w:color="000000" w:sz="4" w:space="0"/>
              <w:bottom w:val="nil"/>
            </w:tcBorders>
            <w:shd w:val="clear" w:color="auto" w:fill="DEEAF6"/>
            <w:vAlign w:val="top"/>
          </w:tcPr>
          <w:p w14:paraId="4D6E8FA2">
            <w:pPr>
              <w:spacing w:line="410" w:lineRule="auto"/>
              <w:rPr>
                <w:rFonts w:ascii="Arial"/>
                <w:sz w:val="21"/>
              </w:rPr>
            </w:pPr>
          </w:p>
          <w:p w14:paraId="3C87EEB9">
            <w:pPr>
              <w:pStyle w:val="7"/>
              <w:spacing w:before="78" w:line="359" w:lineRule="auto"/>
              <w:ind w:left="136" w:right="119" w:hanging="6"/>
            </w:pPr>
            <w:r>
              <w:rPr>
                <w:b/>
                <w:bCs/>
                <w:spacing w:val="-23"/>
              </w:rPr>
              <w:t>路床顶面以下深度(m）</w:t>
            </w:r>
          </w:p>
        </w:tc>
        <w:tc>
          <w:tcPr>
            <w:tcW w:w="3349" w:type="dxa"/>
            <w:gridSpan w:val="2"/>
            <w:tcBorders>
              <w:top w:val="single" w:color="000000" w:sz="4" w:space="0"/>
            </w:tcBorders>
            <w:shd w:val="clear" w:color="auto" w:fill="DEEAF6"/>
            <w:vAlign w:val="top"/>
          </w:tcPr>
          <w:p w14:paraId="37BAFA60">
            <w:pPr>
              <w:spacing w:line="33" w:lineRule="exact"/>
              <w:ind w:firstLine="3339"/>
            </w:pPr>
            <w:r>
              <w:pict>
                <v:group id="_x0000_s1783" o:spid="_x0000_s1783" o:spt="203" style="height:2.2pt;width:2.2pt;" coordsize="44,44">
                  <o:lock v:ext="edit"/>
                  <v:shape id="_x0000_s1784" o:spid="_x0000_s1784" style="position:absolute;left:0;top:0;height:15;width:44;" fillcolor="#5B9BD5" filled="t" stroked="f" coordsize="44,15" path="m0,14l43,14,43,0,0,0,0,14xe">
                    <v:path/>
                    <v:fill on="t" focussize="0,0"/>
                    <v:stroke on="f"/>
                    <v:imagedata o:title=""/>
                    <o:lock v:ext="edit"/>
                  </v:shape>
                  <v:shape id="_x0000_s1785" o:spid="_x0000_s1785" style="position:absolute;left:0;top:14;height:15;width:44;" fillcolor="#20507B" filled="t" stroked="f" coordsize="44,15" path="m0,14l43,14,43,0,0,0,0,14xe">
                    <v:path/>
                    <v:fill on="t" focussize="0,0"/>
                    <v:stroke on="f"/>
                    <v:imagedata o:title=""/>
                    <o:lock v:ext="edit"/>
                  </v:shape>
                  <v:shape id="_x0000_s1786" o:spid="_x0000_s1786" style="position:absolute;left:0;top:28;height:15;width:44;" fillcolor="#1C456A" filled="t" stroked="f" coordsize="44,15" path="m0,14l43,14,43,0,0,0,0,14xe">
                    <v:path/>
                    <v:fill on="t" focussize="0,0"/>
                    <v:stroke on="f"/>
                    <v:imagedata o:title=""/>
                    <o:lock v:ext="edit"/>
                  </v:shape>
                  <w10:wrap type="none"/>
                  <w10:anchorlock/>
                </v:group>
              </w:pict>
            </w:r>
          </w:p>
          <w:p w14:paraId="129B6424">
            <w:pPr>
              <w:pStyle w:val="7"/>
              <w:spacing w:before="161" w:line="218" w:lineRule="auto"/>
              <w:ind w:left="1134"/>
            </w:pPr>
            <w:r>
              <w:rPr>
                <w:b/>
                <w:bCs/>
                <w:spacing w:val="-18"/>
              </w:rPr>
              <w:t>压实度(%）</w:t>
            </w:r>
          </w:p>
        </w:tc>
        <w:tc>
          <w:tcPr>
            <w:tcW w:w="2957" w:type="dxa"/>
            <w:gridSpan w:val="2"/>
            <w:tcBorders>
              <w:top w:val="single" w:color="5B9BD5" w:sz="4" w:space="0"/>
              <w:right w:val="nil"/>
            </w:tcBorders>
            <w:shd w:val="clear" w:color="auto" w:fill="DEEAF6"/>
            <w:vAlign w:val="top"/>
          </w:tcPr>
          <w:p w14:paraId="4069DF67">
            <w:pPr>
              <w:pStyle w:val="7"/>
              <w:spacing w:before="194" w:line="216" w:lineRule="auto"/>
              <w:ind w:right="25"/>
              <w:jc w:val="right"/>
            </w:pPr>
            <w:r>
              <w:rPr>
                <w:b/>
                <w:bCs/>
                <w:spacing w:val="-17"/>
              </w:rPr>
              <w:t>填料最小强度（CBR</w:t>
            </w:r>
            <w:r>
              <w:rPr>
                <w:b/>
                <w:bCs/>
                <w:spacing w:val="-36"/>
              </w:rPr>
              <w:t>）（</w:t>
            </w:r>
            <w:r>
              <w:rPr>
                <w:b/>
                <w:bCs/>
                <w:spacing w:val="-17"/>
              </w:rPr>
              <w:t>%）</w:t>
            </w:r>
          </w:p>
        </w:tc>
        <w:tc>
          <w:tcPr>
            <w:tcW w:w="230" w:type="dxa"/>
            <w:tcBorders>
              <w:top w:val="single" w:color="5B9BD5" w:sz="4" w:space="0"/>
              <w:left w:val="nil"/>
              <w:right w:val="single" w:color="5B9BD5" w:sz="4" w:space="0"/>
            </w:tcBorders>
            <w:shd w:val="clear" w:color="auto" w:fill="DEEAF6"/>
            <w:vAlign w:val="top"/>
          </w:tcPr>
          <w:p w14:paraId="639ABE4B">
            <w:pPr>
              <w:rPr>
                <w:rFonts w:ascii="Arial"/>
                <w:sz w:val="21"/>
              </w:rPr>
            </w:pPr>
            <w:r>
              <w:pict>
                <v:shape id="_x0000_s1787" o:spid="_x0000_s1787" style="position:absolute;left:0pt;margin-left:9.65pt;margin-top:0pt;height:0.75pt;width:2.2pt;mso-position-horizontal-relative:page;mso-position-vertical-relative:page;z-index:251842560;mso-width-relative:page;mso-height-relative:page;" fillcolor="#5B9BD5" filled="t" stroked="f" coordsize="44,15" path="m0,14l43,14,43,0,0,0,0,14xe">
                  <v:path/>
                  <v:fill on="t" focussize="0,0"/>
                  <v:stroke on="f"/>
                  <v:imagedata o:title=""/>
                  <o:lock v:ext="edit"/>
                </v:shape>
              </w:pict>
            </w:r>
          </w:p>
        </w:tc>
      </w:tr>
      <w:tr w14:paraId="0FE68C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50" w:hRule="atLeast"/>
        </w:trPr>
        <w:tc>
          <w:tcPr>
            <w:tcW w:w="1794" w:type="dxa"/>
            <w:gridSpan w:val="2"/>
            <w:vMerge w:val="continue"/>
            <w:tcBorders>
              <w:top w:val="nil"/>
              <w:left w:val="single" w:color="000000" w:sz="4" w:space="0"/>
            </w:tcBorders>
            <w:vAlign w:val="top"/>
          </w:tcPr>
          <w:p w14:paraId="091AD55B">
            <w:pPr>
              <w:rPr>
                <w:rFonts w:ascii="Arial"/>
                <w:sz w:val="21"/>
              </w:rPr>
            </w:pPr>
          </w:p>
        </w:tc>
        <w:tc>
          <w:tcPr>
            <w:tcW w:w="1355" w:type="dxa"/>
            <w:vMerge w:val="continue"/>
            <w:tcBorders>
              <w:top w:val="nil"/>
            </w:tcBorders>
            <w:vAlign w:val="top"/>
          </w:tcPr>
          <w:p w14:paraId="173427EE">
            <w:pPr>
              <w:rPr>
                <w:rFonts w:ascii="Arial"/>
                <w:sz w:val="21"/>
              </w:rPr>
            </w:pPr>
          </w:p>
        </w:tc>
        <w:tc>
          <w:tcPr>
            <w:tcW w:w="1204" w:type="dxa"/>
            <w:vAlign w:val="top"/>
          </w:tcPr>
          <w:p w14:paraId="52DB3D1D">
            <w:pPr>
              <w:spacing w:line="249" w:lineRule="auto"/>
              <w:rPr>
                <w:rFonts w:ascii="Arial"/>
                <w:sz w:val="21"/>
              </w:rPr>
            </w:pPr>
          </w:p>
          <w:p w14:paraId="1E5FC6CC">
            <w:pPr>
              <w:pStyle w:val="7"/>
              <w:spacing w:before="78" w:line="215" w:lineRule="auto"/>
              <w:ind w:left="174"/>
            </w:pPr>
            <w:r>
              <w:rPr>
                <w:spacing w:val="-15"/>
              </w:rPr>
              <w:t>机动车道</w:t>
            </w:r>
          </w:p>
        </w:tc>
        <w:tc>
          <w:tcPr>
            <w:tcW w:w="2145" w:type="dxa"/>
            <w:vAlign w:val="top"/>
          </w:tcPr>
          <w:p w14:paraId="6848DAC9">
            <w:pPr>
              <w:spacing w:line="249" w:lineRule="auto"/>
              <w:rPr>
                <w:rFonts w:ascii="Arial"/>
                <w:sz w:val="21"/>
              </w:rPr>
            </w:pPr>
          </w:p>
          <w:p w14:paraId="3C471596">
            <w:pPr>
              <w:pStyle w:val="7"/>
              <w:spacing w:before="78" w:line="215" w:lineRule="auto"/>
              <w:ind w:left="108"/>
            </w:pPr>
            <w:r>
              <w:rPr>
                <w:spacing w:val="-20"/>
              </w:rPr>
              <w:t>非机动车道、人行道</w:t>
            </w:r>
          </w:p>
        </w:tc>
        <w:tc>
          <w:tcPr>
            <w:tcW w:w="1394" w:type="dxa"/>
            <w:vAlign w:val="top"/>
          </w:tcPr>
          <w:p w14:paraId="3AD24E9F">
            <w:pPr>
              <w:spacing w:line="249" w:lineRule="auto"/>
              <w:rPr>
                <w:rFonts w:ascii="Arial"/>
                <w:sz w:val="21"/>
              </w:rPr>
            </w:pPr>
          </w:p>
          <w:p w14:paraId="2453E0D3">
            <w:pPr>
              <w:pStyle w:val="7"/>
              <w:spacing w:before="78" w:line="215" w:lineRule="auto"/>
              <w:ind w:left="272"/>
            </w:pPr>
            <w:r>
              <w:rPr>
                <w:spacing w:val="-15"/>
              </w:rPr>
              <w:t>机动车道</w:t>
            </w:r>
          </w:p>
        </w:tc>
        <w:tc>
          <w:tcPr>
            <w:tcW w:w="1793" w:type="dxa"/>
            <w:gridSpan w:val="2"/>
            <w:tcBorders>
              <w:right w:val="single" w:color="000000" w:sz="4" w:space="0"/>
            </w:tcBorders>
            <w:vAlign w:val="top"/>
          </w:tcPr>
          <w:p w14:paraId="135B8EC4">
            <w:pPr>
              <w:pStyle w:val="7"/>
              <w:spacing w:before="96" w:line="363" w:lineRule="auto"/>
              <w:ind w:left="792" w:right="44" w:hanging="715"/>
            </w:pPr>
            <w:r>
              <w:rPr>
                <w:spacing w:val="-33"/>
              </w:rPr>
              <w:t>非机动车道、人行</w:t>
            </w:r>
            <w:r>
              <w:t>道</w:t>
            </w:r>
          </w:p>
        </w:tc>
      </w:tr>
      <w:tr w14:paraId="4CBA16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3" w:hRule="atLeast"/>
        </w:trPr>
        <w:tc>
          <w:tcPr>
            <w:tcW w:w="732" w:type="dxa"/>
            <w:vMerge w:val="restart"/>
            <w:tcBorders>
              <w:left w:val="single" w:color="1C456A" w:sz="4" w:space="0"/>
              <w:bottom w:val="nil"/>
            </w:tcBorders>
            <w:vAlign w:val="top"/>
          </w:tcPr>
          <w:p w14:paraId="4A150261">
            <w:pPr>
              <w:spacing w:line="314" w:lineRule="auto"/>
              <w:rPr>
                <w:rFonts w:ascii="Arial"/>
                <w:sz w:val="21"/>
              </w:rPr>
            </w:pPr>
            <w:r>
              <w:pict>
                <v:shape id="_x0000_s1788" o:spid="_x0000_s1788" style="position:absolute;left:0pt;margin-left:-0.2pt;margin-top:60.6pt;height:0.75pt;width:2.2pt;mso-position-horizontal-relative:page;mso-position-vertical-relative:page;z-index:251841536;mso-width-relative:page;mso-height-relative:page;" fillcolor="#5B9BD5" filled="t" stroked="f" coordsize="44,15" path="m0,14l43,14,43,0,0,0,0,14xe">
                  <v:path/>
                  <v:fill on="t" focussize="0,0"/>
                  <v:stroke on="f"/>
                  <v:imagedata o:title=""/>
                  <o:lock v:ext="edit"/>
                </v:shape>
              </w:pict>
            </w:r>
          </w:p>
          <w:p w14:paraId="21B689DA">
            <w:pPr>
              <w:pStyle w:val="7"/>
              <w:spacing w:before="78" w:line="219" w:lineRule="auto"/>
              <w:ind w:left="160"/>
            </w:pPr>
            <w:r>
              <w:rPr>
                <w:spacing w:val="-9"/>
              </w:rPr>
              <w:t>路堤</w:t>
            </w:r>
          </w:p>
        </w:tc>
        <w:tc>
          <w:tcPr>
            <w:tcW w:w="1062" w:type="dxa"/>
            <w:vAlign w:val="top"/>
          </w:tcPr>
          <w:p w14:paraId="378A86C1">
            <w:pPr>
              <w:pStyle w:val="7"/>
              <w:spacing w:before="99" w:line="219" w:lineRule="auto"/>
              <w:ind w:left="209"/>
            </w:pPr>
            <w:r>
              <w:rPr>
                <w:spacing w:val="-14"/>
              </w:rPr>
              <w:t>上路床</w:t>
            </w:r>
          </w:p>
        </w:tc>
        <w:tc>
          <w:tcPr>
            <w:tcW w:w="1355" w:type="dxa"/>
            <w:vAlign w:val="top"/>
          </w:tcPr>
          <w:p w14:paraId="6963B067">
            <w:pPr>
              <w:pStyle w:val="7"/>
              <w:spacing w:before="99" w:line="236" w:lineRule="auto"/>
              <w:ind w:left="292"/>
            </w:pPr>
            <w:r>
              <w:rPr>
                <w:spacing w:val="-11"/>
              </w:rPr>
              <w:t>0～0.30</w:t>
            </w:r>
          </w:p>
        </w:tc>
        <w:tc>
          <w:tcPr>
            <w:tcW w:w="1204" w:type="dxa"/>
            <w:vAlign w:val="top"/>
          </w:tcPr>
          <w:p w14:paraId="18791021">
            <w:pPr>
              <w:pStyle w:val="7"/>
              <w:spacing w:before="99" w:line="237" w:lineRule="auto"/>
              <w:ind w:left="407"/>
            </w:pPr>
            <w:r>
              <w:rPr>
                <w:spacing w:val="-17"/>
              </w:rPr>
              <w:t>≥95</w:t>
            </w:r>
          </w:p>
        </w:tc>
        <w:tc>
          <w:tcPr>
            <w:tcW w:w="2145" w:type="dxa"/>
            <w:vAlign w:val="top"/>
          </w:tcPr>
          <w:p w14:paraId="7381809E">
            <w:pPr>
              <w:pStyle w:val="7"/>
              <w:spacing w:before="99" w:line="237" w:lineRule="auto"/>
              <w:ind w:left="881"/>
            </w:pPr>
            <w:r>
              <w:rPr>
                <w:spacing w:val="-17"/>
              </w:rPr>
              <w:t>≥92</w:t>
            </w:r>
          </w:p>
        </w:tc>
        <w:tc>
          <w:tcPr>
            <w:tcW w:w="1394" w:type="dxa"/>
            <w:vAlign w:val="top"/>
          </w:tcPr>
          <w:p w14:paraId="59FB1A22">
            <w:pPr>
              <w:pStyle w:val="7"/>
              <w:spacing w:before="99" w:line="237" w:lineRule="auto"/>
              <w:ind w:left="647"/>
            </w:pPr>
            <w:r>
              <w:t>8</w:t>
            </w:r>
          </w:p>
        </w:tc>
        <w:tc>
          <w:tcPr>
            <w:tcW w:w="1793" w:type="dxa"/>
            <w:gridSpan w:val="2"/>
            <w:tcBorders>
              <w:right w:val="single" w:color="000000" w:sz="4" w:space="0"/>
            </w:tcBorders>
            <w:vAlign w:val="top"/>
          </w:tcPr>
          <w:p w14:paraId="381C18E5">
            <w:pPr>
              <w:pStyle w:val="7"/>
              <w:spacing w:before="99" w:line="237" w:lineRule="auto"/>
              <w:ind w:left="844"/>
            </w:pPr>
            <w:r>
              <w:t>5</w:t>
            </w:r>
          </w:p>
        </w:tc>
      </w:tr>
      <w:tr w14:paraId="205A54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4" w:hRule="atLeast"/>
        </w:trPr>
        <w:tc>
          <w:tcPr>
            <w:tcW w:w="732" w:type="dxa"/>
            <w:vMerge w:val="continue"/>
            <w:tcBorders>
              <w:top w:val="nil"/>
              <w:left w:val="single" w:color="1C456A" w:sz="4" w:space="0"/>
              <w:bottom w:val="single" w:color="1C456A" w:sz="4" w:space="0"/>
            </w:tcBorders>
            <w:vAlign w:val="top"/>
          </w:tcPr>
          <w:p w14:paraId="19E50634">
            <w:pPr>
              <w:rPr>
                <w:rFonts w:ascii="Arial"/>
                <w:sz w:val="21"/>
              </w:rPr>
            </w:pPr>
          </w:p>
        </w:tc>
        <w:tc>
          <w:tcPr>
            <w:tcW w:w="1062" w:type="dxa"/>
            <w:tcBorders>
              <w:bottom w:val="single" w:color="000000" w:sz="4" w:space="0"/>
            </w:tcBorders>
            <w:vAlign w:val="top"/>
          </w:tcPr>
          <w:p w14:paraId="6F40AD2A">
            <w:pPr>
              <w:pStyle w:val="7"/>
              <w:spacing w:before="101" w:line="218" w:lineRule="auto"/>
              <w:ind w:left="212"/>
            </w:pPr>
            <w:r>
              <w:rPr>
                <w:spacing w:val="-15"/>
              </w:rPr>
              <w:t>下路床</w:t>
            </w:r>
          </w:p>
        </w:tc>
        <w:tc>
          <w:tcPr>
            <w:tcW w:w="1355" w:type="dxa"/>
            <w:tcBorders>
              <w:bottom w:val="single" w:color="000000" w:sz="4" w:space="0"/>
            </w:tcBorders>
            <w:vAlign w:val="top"/>
          </w:tcPr>
          <w:p w14:paraId="47F95366">
            <w:pPr>
              <w:pStyle w:val="7"/>
              <w:spacing w:before="101" w:line="236" w:lineRule="auto"/>
              <w:ind w:left="129"/>
            </w:pPr>
            <w:r>
              <w:rPr>
                <w:spacing w:val="-11"/>
              </w:rPr>
              <w:t>0.30～0.80</w:t>
            </w:r>
          </w:p>
        </w:tc>
        <w:tc>
          <w:tcPr>
            <w:tcW w:w="1204" w:type="dxa"/>
            <w:tcBorders>
              <w:bottom w:val="single" w:color="000000" w:sz="4" w:space="0"/>
            </w:tcBorders>
            <w:vAlign w:val="top"/>
          </w:tcPr>
          <w:p w14:paraId="13485BE5">
            <w:pPr>
              <w:pStyle w:val="7"/>
              <w:spacing w:before="101" w:line="237" w:lineRule="auto"/>
              <w:ind w:left="407"/>
            </w:pPr>
            <w:r>
              <w:rPr>
                <w:spacing w:val="-17"/>
              </w:rPr>
              <w:t>≥95</w:t>
            </w:r>
          </w:p>
        </w:tc>
        <w:tc>
          <w:tcPr>
            <w:tcW w:w="2145" w:type="dxa"/>
            <w:tcBorders>
              <w:bottom w:val="single" w:color="000000" w:sz="4" w:space="0"/>
            </w:tcBorders>
            <w:vAlign w:val="top"/>
          </w:tcPr>
          <w:p w14:paraId="500FD4A2">
            <w:pPr>
              <w:pStyle w:val="7"/>
              <w:spacing w:before="101" w:line="237" w:lineRule="auto"/>
              <w:ind w:left="881"/>
            </w:pPr>
            <w:r>
              <w:rPr>
                <w:spacing w:val="-19"/>
              </w:rPr>
              <w:t>≥92</w:t>
            </w:r>
          </w:p>
        </w:tc>
        <w:tc>
          <w:tcPr>
            <w:tcW w:w="1394" w:type="dxa"/>
            <w:tcBorders>
              <w:bottom w:val="single" w:color="000000" w:sz="4" w:space="0"/>
            </w:tcBorders>
            <w:vAlign w:val="top"/>
          </w:tcPr>
          <w:p w14:paraId="0F5A2E65">
            <w:pPr>
              <w:pStyle w:val="7"/>
              <w:spacing w:before="101" w:line="237" w:lineRule="auto"/>
              <w:ind w:left="651"/>
            </w:pPr>
            <w:r>
              <w:t>5</w:t>
            </w:r>
          </w:p>
        </w:tc>
        <w:tc>
          <w:tcPr>
            <w:tcW w:w="1563" w:type="dxa"/>
            <w:tcBorders>
              <w:bottom w:val="single" w:color="5B9BD5" w:sz="4" w:space="0"/>
              <w:right w:val="nil"/>
            </w:tcBorders>
            <w:vAlign w:val="top"/>
          </w:tcPr>
          <w:p w14:paraId="53962FCB">
            <w:pPr>
              <w:pStyle w:val="7"/>
              <w:spacing w:before="101" w:line="237" w:lineRule="auto"/>
              <w:ind w:left="844"/>
            </w:pPr>
            <w:r>
              <w:t>5</w:t>
            </w:r>
          </w:p>
        </w:tc>
        <w:tc>
          <w:tcPr>
            <w:tcW w:w="230" w:type="dxa"/>
            <w:tcBorders>
              <w:left w:val="nil"/>
              <w:bottom w:val="single" w:color="5B9BD5" w:sz="4" w:space="0"/>
              <w:right w:val="single" w:color="5B9BD5" w:sz="4" w:space="0"/>
            </w:tcBorders>
            <w:vAlign w:val="top"/>
          </w:tcPr>
          <w:p w14:paraId="5C4CF670">
            <w:pPr>
              <w:rPr>
                <w:rFonts w:ascii="Arial"/>
                <w:sz w:val="21"/>
              </w:rPr>
            </w:pPr>
            <w:r>
              <w:pict>
                <v:shape id="_x0000_s1789" o:spid="_x0000_s1789" style="position:absolute;left:0pt;margin-left:9.65pt;margin-top:31.2pt;height:0.75pt;width:2.2pt;mso-position-horizontal-relative:page;mso-position-vertical-relative:page;z-index:251844608;mso-width-relative:page;mso-height-relative:page;" fillcolor="#5B9BD5" filled="t" stroked="f" coordsize="44,15" path="m0,14l43,14,43,0,0,0,0,14xe">
                  <v:path/>
                  <v:fill on="t" focussize="0,0"/>
                  <v:stroke on="f"/>
                  <v:imagedata o:title=""/>
                  <o:lock v:ext="edit"/>
                </v:shape>
              </w:pict>
            </w:r>
          </w:p>
        </w:tc>
      </w:tr>
    </w:tbl>
    <w:p w14:paraId="7D6D9B93">
      <w:pPr>
        <w:rPr>
          <w:rFonts w:ascii="Arial"/>
          <w:sz w:val="21"/>
        </w:rPr>
      </w:pPr>
    </w:p>
    <w:p w14:paraId="4F04271F">
      <w:pPr>
        <w:rPr>
          <w:rFonts w:ascii="Arial" w:hAnsi="Arial" w:eastAsia="Arial" w:cs="Arial"/>
          <w:sz w:val="21"/>
          <w:szCs w:val="21"/>
        </w:rPr>
        <w:sectPr>
          <w:footerReference r:id="rId105" w:type="default"/>
          <w:pgSz w:w="11907" w:h="16839"/>
          <w:pgMar w:top="954" w:right="4" w:bottom="1038" w:left="0" w:header="499" w:footer="357" w:gutter="0"/>
          <w:pgBorders>
            <w:top w:val="none" w:sz="0" w:space="0"/>
            <w:left w:val="none" w:sz="0" w:space="0"/>
            <w:bottom w:val="none" w:sz="0" w:space="0"/>
            <w:right w:val="none" w:sz="0" w:space="0"/>
          </w:pgBorders>
          <w:cols w:space="720" w:num="1"/>
        </w:sectPr>
      </w:pPr>
    </w:p>
    <w:p w14:paraId="60819B57">
      <w:pPr>
        <w:spacing w:line="214" w:lineRule="exact"/>
      </w:pPr>
    </w:p>
    <w:tbl>
      <w:tblPr>
        <w:tblStyle w:val="6"/>
        <w:tblW w:w="9685" w:type="dxa"/>
        <w:tblInd w:w="111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32"/>
        <w:gridCol w:w="1050"/>
        <w:gridCol w:w="1365"/>
        <w:gridCol w:w="1203"/>
        <w:gridCol w:w="2144"/>
        <w:gridCol w:w="1393"/>
        <w:gridCol w:w="1798"/>
      </w:tblGrid>
      <w:tr w14:paraId="6C7960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732" w:type="dxa"/>
            <w:vMerge w:val="restart"/>
            <w:tcBorders>
              <w:top w:val="single" w:color="000000" w:sz="4" w:space="0"/>
              <w:left w:val="single" w:color="000000" w:sz="4" w:space="0"/>
              <w:bottom w:val="nil"/>
            </w:tcBorders>
            <w:vAlign w:val="top"/>
          </w:tcPr>
          <w:p w14:paraId="1922C9AA">
            <w:pPr>
              <w:rPr>
                <w:rFonts w:ascii="Arial"/>
                <w:sz w:val="21"/>
              </w:rPr>
            </w:pPr>
          </w:p>
        </w:tc>
        <w:tc>
          <w:tcPr>
            <w:tcW w:w="1050" w:type="dxa"/>
            <w:tcBorders>
              <w:top w:val="single" w:color="000000" w:sz="4" w:space="0"/>
            </w:tcBorders>
            <w:vAlign w:val="top"/>
          </w:tcPr>
          <w:p w14:paraId="0CB55948">
            <w:pPr>
              <w:pStyle w:val="7"/>
              <w:spacing w:before="129" w:line="219" w:lineRule="auto"/>
              <w:ind w:left="209"/>
            </w:pPr>
            <w:r>
              <w:rPr>
                <w:spacing w:val="-14"/>
              </w:rPr>
              <w:t>上路堤</w:t>
            </w:r>
          </w:p>
        </w:tc>
        <w:tc>
          <w:tcPr>
            <w:tcW w:w="1365" w:type="dxa"/>
            <w:tcBorders>
              <w:top w:val="single" w:color="000000" w:sz="4" w:space="0"/>
            </w:tcBorders>
            <w:vAlign w:val="top"/>
          </w:tcPr>
          <w:p w14:paraId="27E719BD">
            <w:pPr>
              <w:pStyle w:val="7"/>
              <w:spacing w:before="129" w:line="236" w:lineRule="auto"/>
              <w:ind w:left="141"/>
            </w:pPr>
            <w:r>
              <w:rPr>
                <w:spacing w:val="-12"/>
              </w:rPr>
              <w:t>0.80～1.50</w:t>
            </w:r>
          </w:p>
        </w:tc>
        <w:tc>
          <w:tcPr>
            <w:tcW w:w="1203" w:type="dxa"/>
            <w:tcBorders>
              <w:top w:val="single" w:color="000000" w:sz="4" w:space="0"/>
            </w:tcBorders>
            <w:vAlign w:val="top"/>
          </w:tcPr>
          <w:p w14:paraId="11FCB511">
            <w:pPr>
              <w:pStyle w:val="7"/>
              <w:spacing w:before="129" w:line="237" w:lineRule="auto"/>
              <w:ind w:left="409"/>
            </w:pPr>
            <w:r>
              <w:rPr>
                <w:spacing w:val="-17"/>
              </w:rPr>
              <w:t>≥94</w:t>
            </w:r>
          </w:p>
        </w:tc>
        <w:tc>
          <w:tcPr>
            <w:tcW w:w="2144" w:type="dxa"/>
            <w:tcBorders>
              <w:top w:val="single" w:color="000000" w:sz="4" w:space="0"/>
            </w:tcBorders>
            <w:vAlign w:val="top"/>
          </w:tcPr>
          <w:p w14:paraId="34E74874">
            <w:pPr>
              <w:pStyle w:val="7"/>
              <w:spacing w:before="129" w:line="237" w:lineRule="auto"/>
              <w:ind w:left="884"/>
            </w:pPr>
            <w:r>
              <w:rPr>
                <w:spacing w:val="-17"/>
              </w:rPr>
              <w:t>≥91</w:t>
            </w:r>
          </w:p>
        </w:tc>
        <w:tc>
          <w:tcPr>
            <w:tcW w:w="1393" w:type="dxa"/>
            <w:tcBorders>
              <w:top w:val="single" w:color="000000" w:sz="4" w:space="0"/>
            </w:tcBorders>
            <w:vAlign w:val="top"/>
          </w:tcPr>
          <w:p w14:paraId="4263288A">
            <w:pPr>
              <w:pStyle w:val="7"/>
              <w:spacing w:before="129" w:line="238" w:lineRule="auto"/>
              <w:ind w:left="649"/>
            </w:pPr>
            <w:r>
              <w:t>4</w:t>
            </w:r>
          </w:p>
        </w:tc>
        <w:tc>
          <w:tcPr>
            <w:tcW w:w="1798" w:type="dxa"/>
            <w:tcBorders>
              <w:top w:val="single" w:color="5B9BD5" w:sz="4" w:space="0"/>
              <w:right w:val="single" w:color="5B9BD5" w:sz="4" w:space="0"/>
            </w:tcBorders>
            <w:vAlign w:val="top"/>
          </w:tcPr>
          <w:p w14:paraId="244818AF">
            <w:pPr>
              <w:pStyle w:val="7"/>
              <w:spacing w:before="129" w:line="237" w:lineRule="auto"/>
              <w:ind w:left="849"/>
            </w:pPr>
            <w:r>
              <w:t>3</w:t>
            </w:r>
          </w:p>
        </w:tc>
      </w:tr>
      <w:tr w14:paraId="4CF409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3" w:hRule="atLeast"/>
        </w:trPr>
        <w:tc>
          <w:tcPr>
            <w:tcW w:w="732" w:type="dxa"/>
            <w:vMerge w:val="continue"/>
            <w:tcBorders>
              <w:top w:val="nil"/>
              <w:left w:val="single" w:color="000000" w:sz="4" w:space="0"/>
            </w:tcBorders>
            <w:vAlign w:val="top"/>
          </w:tcPr>
          <w:p w14:paraId="14B34A71">
            <w:pPr>
              <w:rPr>
                <w:rFonts w:ascii="Arial"/>
                <w:sz w:val="21"/>
              </w:rPr>
            </w:pPr>
          </w:p>
        </w:tc>
        <w:tc>
          <w:tcPr>
            <w:tcW w:w="1050" w:type="dxa"/>
            <w:vAlign w:val="top"/>
          </w:tcPr>
          <w:p w14:paraId="17C3A975">
            <w:pPr>
              <w:pStyle w:val="7"/>
              <w:spacing w:before="96" w:line="218" w:lineRule="auto"/>
              <w:ind w:left="212"/>
            </w:pPr>
            <w:r>
              <w:rPr>
                <w:spacing w:val="-15"/>
              </w:rPr>
              <w:t>下路堤</w:t>
            </w:r>
          </w:p>
        </w:tc>
        <w:tc>
          <w:tcPr>
            <w:tcW w:w="1365" w:type="dxa"/>
            <w:vAlign w:val="top"/>
          </w:tcPr>
          <w:p w14:paraId="124BD60A">
            <w:pPr>
              <w:pStyle w:val="7"/>
              <w:spacing w:before="96" w:line="236" w:lineRule="auto"/>
              <w:ind w:left="380"/>
            </w:pPr>
            <w:r>
              <w:rPr>
                <w:spacing w:val="8"/>
              </w:rPr>
              <w:t>&gt;1.50</w:t>
            </w:r>
          </w:p>
        </w:tc>
        <w:tc>
          <w:tcPr>
            <w:tcW w:w="1203" w:type="dxa"/>
            <w:vAlign w:val="top"/>
          </w:tcPr>
          <w:p w14:paraId="7187D085">
            <w:pPr>
              <w:pStyle w:val="7"/>
              <w:spacing w:before="96" w:line="237" w:lineRule="auto"/>
              <w:ind w:left="409"/>
            </w:pPr>
            <w:r>
              <w:rPr>
                <w:spacing w:val="-17"/>
              </w:rPr>
              <w:t>≥92</w:t>
            </w:r>
          </w:p>
        </w:tc>
        <w:tc>
          <w:tcPr>
            <w:tcW w:w="2144" w:type="dxa"/>
            <w:vAlign w:val="top"/>
          </w:tcPr>
          <w:p w14:paraId="4FA2AE09">
            <w:pPr>
              <w:pStyle w:val="7"/>
              <w:spacing w:before="96" w:line="237" w:lineRule="auto"/>
              <w:ind w:left="884"/>
            </w:pPr>
            <w:r>
              <w:rPr>
                <w:spacing w:val="-17"/>
              </w:rPr>
              <w:t>≥90</w:t>
            </w:r>
          </w:p>
        </w:tc>
        <w:tc>
          <w:tcPr>
            <w:tcW w:w="1393" w:type="dxa"/>
            <w:vAlign w:val="top"/>
          </w:tcPr>
          <w:p w14:paraId="51690AC4">
            <w:pPr>
              <w:pStyle w:val="7"/>
              <w:spacing w:before="96" w:line="237" w:lineRule="auto"/>
              <w:ind w:left="655"/>
            </w:pPr>
            <w:r>
              <w:t>3</w:t>
            </w:r>
          </w:p>
        </w:tc>
        <w:tc>
          <w:tcPr>
            <w:tcW w:w="1798" w:type="dxa"/>
            <w:tcBorders>
              <w:right w:val="single" w:color="000000" w:sz="4" w:space="0"/>
            </w:tcBorders>
            <w:vAlign w:val="top"/>
          </w:tcPr>
          <w:p w14:paraId="78709BF5">
            <w:pPr>
              <w:pStyle w:val="7"/>
              <w:spacing w:before="96" w:line="238" w:lineRule="auto"/>
              <w:ind w:left="847"/>
            </w:pPr>
            <w:r>
              <w:t>2</w:t>
            </w:r>
          </w:p>
        </w:tc>
      </w:tr>
      <w:tr w14:paraId="7CDF2E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3" w:hRule="atLeast"/>
        </w:trPr>
        <w:tc>
          <w:tcPr>
            <w:tcW w:w="1782" w:type="dxa"/>
            <w:gridSpan w:val="2"/>
            <w:vMerge w:val="restart"/>
            <w:tcBorders>
              <w:left w:val="single" w:color="1C456A" w:sz="4" w:space="0"/>
              <w:bottom w:val="nil"/>
            </w:tcBorders>
            <w:vAlign w:val="top"/>
          </w:tcPr>
          <w:p w14:paraId="50CD5A6B">
            <w:pPr>
              <w:spacing w:line="313" w:lineRule="auto"/>
              <w:rPr>
                <w:rFonts w:ascii="Arial"/>
                <w:sz w:val="21"/>
              </w:rPr>
            </w:pPr>
          </w:p>
          <w:p w14:paraId="1FFE52BD">
            <w:pPr>
              <w:pStyle w:val="7"/>
              <w:spacing w:before="78" w:line="219" w:lineRule="auto"/>
              <w:ind w:left="143"/>
            </w:pPr>
            <w:r>
              <w:rPr>
                <w:spacing w:val="-19"/>
              </w:rPr>
              <w:t>零填及挖方路基</w:t>
            </w:r>
          </w:p>
        </w:tc>
        <w:tc>
          <w:tcPr>
            <w:tcW w:w="1365" w:type="dxa"/>
            <w:vAlign w:val="top"/>
          </w:tcPr>
          <w:p w14:paraId="7582C8ED">
            <w:pPr>
              <w:pStyle w:val="7"/>
              <w:spacing w:before="98" w:line="236" w:lineRule="auto"/>
              <w:ind w:left="304"/>
            </w:pPr>
            <w:r>
              <w:rPr>
                <w:spacing w:val="-11"/>
              </w:rPr>
              <w:t>0～0.30</w:t>
            </w:r>
          </w:p>
        </w:tc>
        <w:tc>
          <w:tcPr>
            <w:tcW w:w="1203" w:type="dxa"/>
            <w:vAlign w:val="top"/>
          </w:tcPr>
          <w:p w14:paraId="0BCE6A7C">
            <w:pPr>
              <w:pStyle w:val="7"/>
              <w:spacing w:before="98" w:line="237" w:lineRule="auto"/>
              <w:ind w:left="409"/>
            </w:pPr>
            <w:r>
              <w:rPr>
                <w:spacing w:val="-17"/>
              </w:rPr>
              <w:t>≥95</w:t>
            </w:r>
          </w:p>
        </w:tc>
        <w:tc>
          <w:tcPr>
            <w:tcW w:w="2144" w:type="dxa"/>
            <w:vAlign w:val="top"/>
          </w:tcPr>
          <w:p w14:paraId="0D1A41D9">
            <w:pPr>
              <w:pStyle w:val="7"/>
              <w:spacing w:before="98" w:line="237" w:lineRule="auto"/>
              <w:ind w:left="884"/>
            </w:pPr>
            <w:r>
              <w:rPr>
                <w:spacing w:val="-17"/>
              </w:rPr>
              <w:t>≥92</w:t>
            </w:r>
          </w:p>
        </w:tc>
        <w:tc>
          <w:tcPr>
            <w:tcW w:w="1393" w:type="dxa"/>
            <w:vAlign w:val="top"/>
          </w:tcPr>
          <w:p w14:paraId="73E6DE59">
            <w:pPr>
              <w:pStyle w:val="7"/>
              <w:spacing w:before="98" w:line="237" w:lineRule="auto"/>
              <w:ind w:left="651"/>
            </w:pPr>
            <w:r>
              <w:t>8</w:t>
            </w:r>
          </w:p>
        </w:tc>
        <w:tc>
          <w:tcPr>
            <w:tcW w:w="1798" w:type="dxa"/>
            <w:tcBorders>
              <w:right w:val="single" w:color="000000" w:sz="4" w:space="0"/>
            </w:tcBorders>
            <w:vAlign w:val="top"/>
          </w:tcPr>
          <w:p w14:paraId="1AAD6EAE">
            <w:pPr>
              <w:pStyle w:val="7"/>
              <w:spacing w:before="98" w:line="237" w:lineRule="auto"/>
              <w:ind w:left="849"/>
            </w:pPr>
            <w:r>
              <w:t>5</w:t>
            </w:r>
          </w:p>
        </w:tc>
      </w:tr>
      <w:tr w14:paraId="2CB7FC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3" w:hRule="atLeast"/>
        </w:trPr>
        <w:tc>
          <w:tcPr>
            <w:tcW w:w="1782" w:type="dxa"/>
            <w:gridSpan w:val="2"/>
            <w:vMerge w:val="continue"/>
            <w:tcBorders>
              <w:top w:val="nil"/>
              <w:left w:val="single" w:color="1C456A" w:sz="4" w:space="0"/>
              <w:bottom w:val="single" w:color="1C456A" w:sz="4" w:space="0"/>
            </w:tcBorders>
            <w:vAlign w:val="top"/>
          </w:tcPr>
          <w:p w14:paraId="3E128FFC">
            <w:pPr>
              <w:rPr>
                <w:rFonts w:ascii="Arial"/>
                <w:sz w:val="21"/>
              </w:rPr>
            </w:pPr>
          </w:p>
        </w:tc>
        <w:tc>
          <w:tcPr>
            <w:tcW w:w="1365" w:type="dxa"/>
            <w:tcBorders>
              <w:bottom w:val="single" w:color="000000" w:sz="4" w:space="0"/>
            </w:tcBorders>
            <w:vAlign w:val="top"/>
          </w:tcPr>
          <w:p w14:paraId="07770887">
            <w:pPr>
              <w:pStyle w:val="7"/>
              <w:spacing w:before="101" w:line="236" w:lineRule="auto"/>
              <w:ind w:left="141"/>
            </w:pPr>
            <w:r>
              <w:rPr>
                <w:spacing w:val="-12"/>
              </w:rPr>
              <w:t>0.30～0.80</w:t>
            </w:r>
          </w:p>
        </w:tc>
        <w:tc>
          <w:tcPr>
            <w:tcW w:w="1203" w:type="dxa"/>
            <w:tcBorders>
              <w:bottom w:val="single" w:color="000000" w:sz="4" w:space="0"/>
            </w:tcBorders>
            <w:vAlign w:val="top"/>
          </w:tcPr>
          <w:p w14:paraId="4ACF0180">
            <w:pPr>
              <w:pStyle w:val="7"/>
              <w:spacing w:before="100" w:line="237" w:lineRule="auto"/>
              <w:ind w:left="409"/>
            </w:pPr>
            <w:r>
              <w:rPr>
                <w:spacing w:val="-19"/>
              </w:rPr>
              <w:t>≥93</w:t>
            </w:r>
          </w:p>
        </w:tc>
        <w:tc>
          <w:tcPr>
            <w:tcW w:w="2144" w:type="dxa"/>
            <w:tcBorders>
              <w:bottom w:val="single" w:color="000000" w:sz="4" w:space="0"/>
            </w:tcBorders>
            <w:vAlign w:val="top"/>
          </w:tcPr>
          <w:p w14:paraId="00305378">
            <w:pPr>
              <w:rPr>
                <w:rFonts w:ascii="Arial"/>
                <w:sz w:val="21"/>
              </w:rPr>
            </w:pPr>
          </w:p>
        </w:tc>
        <w:tc>
          <w:tcPr>
            <w:tcW w:w="1393" w:type="dxa"/>
            <w:tcBorders>
              <w:bottom w:val="single" w:color="000000" w:sz="4" w:space="0"/>
            </w:tcBorders>
            <w:vAlign w:val="top"/>
          </w:tcPr>
          <w:p w14:paraId="27D506DF">
            <w:pPr>
              <w:pStyle w:val="7"/>
              <w:spacing w:before="100" w:line="237" w:lineRule="auto"/>
              <w:ind w:left="655"/>
            </w:pPr>
            <w:r>
              <w:t>5</w:t>
            </w:r>
          </w:p>
        </w:tc>
        <w:tc>
          <w:tcPr>
            <w:tcW w:w="1798" w:type="dxa"/>
            <w:tcBorders>
              <w:bottom w:val="single" w:color="5B9BD5" w:sz="4" w:space="0"/>
              <w:right w:val="single" w:color="5B9BD5" w:sz="4" w:space="0"/>
            </w:tcBorders>
            <w:vAlign w:val="top"/>
          </w:tcPr>
          <w:p w14:paraId="2549F419">
            <w:pPr>
              <w:pStyle w:val="7"/>
              <w:spacing w:before="100" w:line="237" w:lineRule="auto"/>
              <w:ind w:left="849"/>
            </w:pPr>
            <w:r>
              <w:t>3</w:t>
            </w:r>
          </w:p>
        </w:tc>
      </w:tr>
    </w:tbl>
    <w:p w14:paraId="0015564D">
      <w:pPr>
        <w:pStyle w:val="2"/>
        <w:spacing w:before="115" w:line="218" w:lineRule="auto"/>
        <w:ind w:left="1895"/>
        <w:rPr>
          <w:sz w:val="24"/>
          <w:szCs w:val="24"/>
        </w:rPr>
      </w:pPr>
      <w:r>
        <w:rPr>
          <w:spacing w:val="-21"/>
          <w:sz w:val="24"/>
          <w:szCs w:val="24"/>
        </w:rPr>
        <w:t>外观鉴定：表面平整密实，边线整齐，无坑洼、软弹现</w:t>
      </w:r>
      <w:r>
        <w:rPr>
          <w:spacing w:val="-22"/>
          <w:sz w:val="24"/>
          <w:szCs w:val="24"/>
        </w:rPr>
        <w:t>象。</w:t>
      </w:r>
    </w:p>
    <w:p w14:paraId="74F68300">
      <w:pPr>
        <w:pStyle w:val="2"/>
        <w:spacing w:before="117" w:line="219" w:lineRule="auto"/>
        <w:ind w:left="1903"/>
        <w:rPr>
          <w:sz w:val="24"/>
          <w:szCs w:val="24"/>
        </w:rPr>
      </w:pPr>
      <w:r>
        <w:rPr>
          <w:spacing w:val="-17"/>
          <w:sz w:val="24"/>
          <w:szCs w:val="24"/>
        </w:rPr>
        <w:t>1.9接缝处理</w:t>
      </w:r>
    </w:p>
    <w:p w14:paraId="115763F8">
      <w:pPr>
        <w:pStyle w:val="2"/>
        <w:spacing w:before="112" w:line="309" w:lineRule="auto"/>
        <w:ind w:left="1470" w:right="1410" w:firstLine="432"/>
        <w:rPr>
          <w:sz w:val="24"/>
          <w:szCs w:val="24"/>
        </w:rPr>
      </w:pPr>
      <w:r>
        <w:rPr>
          <w:spacing w:val="-20"/>
          <w:sz w:val="24"/>
          <w:szCs w:val="24"/>
        </w:rPr>
        <w:t>第一天完成的级配碎石接缝处的混合料，留5～</w:t>
      </w:r>
      <w:r>
        <w:rPr>
          <w:spacing w:val="-21"/>
          <w:sz w:val="24"/>
          <w:szCs w:val="24"/>
        </w:rPr>
        <w:t>8m不碾压,第二天洒水使其含水量达到规定</w:t>
      </w:r>
      <w:r>
        <w:rPr>
          <w:spacing w:val="-22"/>
          <w:sz w:val="24"/>
          <w:szCs w:val="24"/>
        </w:rPr>
        <w:t>的要求后和新摊铺的混合料一起碾压;</w:t>
      </w:r>
    </w:p>
    <w:p w14:paraId="3E62BE4B">
      <w:pPr>
        <w:pStyle w:val="2"/>
        <w:spacing w:before="1" w:line="218" w:lineRule="auto"/>
        <w:ind w:left="1903"/>
        <w:rPr>
          <w:sz w:val="24"/>
          <w:szCs w:val="24"/>
        </w:rPr>
      </w:pPr>
      <w:r>
        <w:rPr>
          <w:spacing w:val="-17"/>
          <w:sz w:val="24"/>
          <w:szCs w:val="24"/>
        </w:rPr>
        <w:t>1.10成型后的管理</w:t>
      </w:r>
    </w:p>
    <w:p w14:paraId="3B514AB4">
      <w:pPr>
        <w:pStyle w:val="2"/>
        <w:spacing w:before="114" w:line="214" w:lineRule="auto"/>
        <w:ind w:left="1896"/>
        <w:rPr>
          <w:sz w:val="24"/>
          <w:szCs w:val="24"/>
        </w:rPr>
      </w:pPr>
      <w:r>
        <w:rPr>
          <w:spacing w:val="-21"/>
          <w:sz w:val="24"/>
          <w:szCs w:val="24"/>
        </w:rPr>
        <w:t>成型后的级配碎石层实行交通限制，禁止急刹车和急转</w:t>
      </w:r>
      <w:r>
        <w:rPr>
          <w:spacing w:val="-22"/>
          <w:sz w:val="24"/>
          <w:szCs w:val="24"/>
        </w:rPr>
        <w:t>弯。</w:t>
      </w:r>
    </w:p>
    <w:p w14:paraId="7569A7D9">
      <w:pPr>
        <w:pStyle w:val="2"/>
        <w:spacing w:before="87" w:line="217" w:lineRule="auto"/>
        <w:ind w:left="1986"/>
        <w:outlineLvl w:val="2"/>
        <w:rPr>
          <w:sz w:val="28"/>
          <w:szCs w:val="28"/>
        </w:rPr>
      </w:pPr>
      <w:bookmarkStart w:id="56" w:name="bookmark55"/>
      <w:bookmarkEnd w:id="56"/>
      <w:r>
        <w:rPr>
          <w:b/>
          <w:bCs/>
          <w:spacing w:val="-23"/>
          <w:sz w:val="28"/>
          <w:szCs w:val="28"/>
        </w:rPr>
        <w:t>二、人行道混凝土基层</w:t>
      </w:r>
    </w:p>
    <w:p w14:paraId="19A2053C">
      <w:pPr>
        <w:pStyle w:val="2"/>
        <w:spacing w:before="107" w:line="216" w:lineRule="auto"/>
        <w:ind w:left="1888"/>
        <w:rPr>
          <w:sz w:val="24"/>
          <w:szCs w:val="24"/>
        </w:rPr>
      </w:pPr>
      <w:r>
        <w:rPr>
          <w:spacing w:val="-18"/>
          <w:sz w:val="24"/>
          <w:szCs w:val="24"/>
        </w:rPr>
        <w:t>2.1材料的准备及其性能检验</w:t>
      </w:r>
    </w:p>
    <w:p w14:paraId="6431CDD5">
      <w:pPr>
        <w:pStyle w:val="2"/>
        <w:spacing w:before="118" w:line="262" w:lineRule="auto"/>
        <w:ind w:left="1459" w:right="1369" w:firstLine="429"/>
        <w:rPr>
          <w:sz w:val="24"/>
          <w:szCs w:val="24"/>
        </w:rPr>
      </w:pPr>
      <w:r>
        <w:rPr>
          <w:spacing w:val="-21"/>
          <w:sz w:val="24"/>
          <w:szCs w:val="24"/>
        </w:rPr>
        <w:t>2.1.1水泥：水泥的物理性质和化学性质要符合国家标</w:t>
      </w:r>
      <w:r>
        <w:rPr>
          <w:spacing w:val="-22"/>
          <w:sz w:val="24"/>
          <w:szCs w:val="24"/>
        </w:rPr>
        <w:t>准，并且每一批水泥都应有质保书。</w:t>
      </w:r>
      <w:r>
        <w:rPr>
          <w:spacing w:val="-21"/>
          <w:sz w:val="24"/>
          <w:szCs w:val="24"/>
        </w:rPr>
        <w:t>并且按照公路工程质量检验评定标准要求的频率进行自</w:t>
      </w:r>
      <w:r>
        <w:rPr>
          <w:spacing w:val="-22"/>
          <w:sz w:val="24"/>
          <w:szCs w:val="24"/>
        </w:rPr>
        <w:t>检。</w:t>
      </w:r>
    </w:p>
    <w:p w14:paraId="01432CD7">
      <w:pPr>
        <w:pStyle w:val="2"/>
        <w:spacing w:before="121" w:line="262" w:lineRule="auto"/>
        <w:ind w:left="1462" w:right="1320" w:firstLine="426"/>
        <w:rPr>
          <w:sz w:val="24"/>
          <w:szCs w:val="24"/>
        </w:rPr>
      </w:pPr>
      <w:r>
        <w:rPr>
          <w:spacing w:val="-24"/>
          <w:sz w:val="24"/>
          <w:szCs w:val="24"/>
        </w:rPr>
        <w:t>2.1.2砂：质地坚硬、耐光、洁净、符合规定级配，细度模量在2.5以上。含泥量（冲洗法）</w:t>
      </w:r>
      <w:r>
        <w:rPr>
          <w:spacing w:val="-18"/>
          <w:sz w:val="24"/>
          <w:szCs w:val="24"/>
        </w:rPr>
        <w:t>不大于3%，有机含量（比色法）不深与标准</w:t>
      </w:r>
      <w:r>
        <w:rPr>
          <w:spacing w:val="-19"/>
          <w:sz w:val="24"/>
          <w:szCs w:val="24"/>
        </w:rPr>
        <w:t>溶液的颜色。</w:t>
      </w:r>
    </w:p>
    <w:p w14:paraId="5F4BC71D">
      <w:pPr>
        <w:pStyle w:val="2"/>
        <w:spacing w:before="119" w:line="278" w:lineRule="auto"/>
        <w:ind w:left="1461" w:right="1411" w:firstLine="427"/>
        <w:rPr>
          <w:sz w:val="24"/>
          <w:szCs w:val="24"/>
        </w:rPr>
      </w:pPr>
      <w:r>
        <w:rPr>
          <w:spacing w:val="-19"/>
          <w:sz w:val="24"/>
          <w:szCs w:val="24"/>
        </w:rPr>
        <w:t>2.1.3碎石：质地坚硬、耐光、洁净、符合规定级配，最大粒径不应超过31.5</w:t>
      </w:r>
      <w:r>
        <w:rPr>
          <w:spacing w:val="-20"/>
          <w:sz w:val="24"/>
          <w:szCs w:val="24"/>
        </w:rPr>
        <w:t>mm。石料的</w:t>
      </w:r>
      <w:r>
        <w:rPr>
          <w:spacing w:val="-23"/>
          <w:sz w:val="24"/>
          <w:szCs w:val="24"/>
        </w:rPr>
        <w:t>等级强度大于Ⅱ级，压碎值符合规范规定，针、片状颗粒含量大于15%，含泥量（冲洗法）不大</w:t>
      </w:r>
      <w:r>
        <w:rPr>
          <w:spacing w:val="-15"/>
          <w:sz w:val="24"/>
          <w:szCs w:val="24"/>
        </w:rPr>
        <w:t>于1%。</w:t>
      </w:r>
    </w:p>
    <w:p w14:paraId="215A370E">
      <w:pPr>
        <w:pStyle w:val="2"/>
        <w:spacing w:before="114" w:line="262" w:lineRule="auto"/>
        <w:ind w:left="1458" w:right="1409" w:firstLine="430"/>
        <w:rPr>
          <w:sz w:val="24"/>
          <w:szCs w:val="24"/>
        </w:rPr>
      </w:pPr>
      <w:r>
        <w:rPr>
          <w:spacing w:val="-22"/>
          <w:sz w:val="24"/>
          <w:szCs w:val="24"/>
        </w:rPr>
        <w:t>2.1.4根据施工进度计划，组织好各种材料的进场。并</w:t>
      </w:r>
      <w:r>
        <w:rPr>
          <w:spacing w:val="-23"/>
          <w:sz w:val="24"/>
          <w:szCs w:val="24"/>
        </w:rPr>
        <w:t>对已进场的砂、碎石、水泥、钢筋要</w:t>
      </w:r>
      <w:r>
        <w:rPr>
          <w:spacing w:val="-21"/>
          <w:sz w:val="24"/>
          <w:szCs w:val="24"/>
        </w:rPr>
        <w:t>进行各种性能检验，若有不符合要求的，应另选或采取</w:t>
      </w:r>
      <w:r>
        <w:rPr>
          <w:spacing w:val="-22"/>
          <w:sz w:val="24"/>
          <w:szCs w:val="24"/>
        </w:rPr>
        <w:t>补救措施。</w:t>
      </w:r>
    </w:p>
    <w:p w14:paraId="73755F82">
      <w:pPr>
        <w:pStyle w:val="2"/>
        <w:spacing w:before="118" w:line="216" w:lineRule="auto"/>
        <w:ind w:left="1888"/>
        <w:rPr>
          <w:sz w:val="24"/>
          <w:szCs w:val="24"/>
        </w:rPr>
      </w:pPr>
      <w:r>
        <w:rPr>
          <w:spacing w:val="-18"/>
          <w:sz w:val="24"/>
          <w:szCs w:val="24"/>
        </w:rPr>
        <w:t>2.1.5混合料配合比检验和调整</w:t>
      </w:r>
    </w:p>
    <w:p w14:paraId="36F0E9CB">
      <w:pPr>
        <w:pStyle w:val="2"/>
        <w:spacing w:before="120" w:line="277" w:lineRule="auto"/>
        <w:ind w:left="1455" w:right="1415" w:firstLine="432"/>
        <w:rPr>
          <w:sz w:val="24"/>
          <w:szCs w:val="24"/>
        </w:rPr>
      </w:pPr>
      <w:r>
        <w:rPr>
          <w:spacing w:val="-22"/>
          <w:sz w:val="24"/>
          <w:szCs w:val="24"/>
        </w:rPr>
        <w:t>2.1.5.1工作性的检验和调整，按设计配合比取样试拌，测定其工作性，必须时还应通</w:t>
      </w:r>
      <w:r>
        <w:rPr>
          <w:spacing w:val="-23"/>
          <w:sz w:val="24"/>
          <w:szCs w:val="24"/>
        </w:rPr>
        <w:t>过试</w:t>
      </w:r>
      <w:r>
        <w:rPr>
          <w:spacing w:val="-20"/>
          <w:sz w:val="24"/>
          <w:szCs w:val="24"/>
        </w:rPr>
        <w:t>铺检验，如测得其工作性低于要求，则保持水灰比不变适当增加水泥用量。每次调整加入少量</w:t>
      </w:r>
      <w:r>
        <w:rPr>
          <w:spacing w:val="-21"/>
          <w:sz w:val="24"/>
          <w:szCs w:val="24"/>
        </w:rPr>
        <w:t>材料，重复试验。直至符合要求为止。</w:t>
      </w:r>
    </w:p>
    <w:p w14:paraId="0027FDB0">
      <w:pPr>
        <w:pStyle w:val="2"/>
        <w:spacing w:before="120" w:line="277" w:lineRule="auto"/>
        <w:ind w:left="1455" w:right="1411" w:firstLine="432"/>
        <w:rPr>
          <w:sz w:val="24"/>
          <w:szCs w:val="24"/>
        </w:rPr>
      </w:pPr>
      <w:r>
        <w:rPr>
          <w:spacing w:val="-21"/>
          <w:sz w:val="24"/>
          <w:szCs w:val="24"/>
        </w:rPr>
        <w:t>2.1.5.2强度的检验，按工作性符合要求的配合比，适当增减水泥用量，配置3组配合比的</w:t>
      </w:r>
      <w:r>
        <w:rPr>
          <w:spacing w:val="-20"/>
          <w:sz w:val="24"/>
          <w:szCs w:val="24"/>
        </w:rPr>
        <w:t>新拌混凝土试件，并测定其实际密度。到规定龄期后测定其强度。如实测强度未能达到要求的</w:t>
      </w:r>
      <w:r>
        <w:rPr>
          <w:spacing w:val="-21"/>
          <w:sz w:val="24"/>
          <w:szCs w:val="24"/>
        </w:rPr>
        <w:t>配合强度时，可采用提高水泥标号、减小水灰比或改善粒料级配</w:t>
      </w:r>
      <w:r>
        <w:rPr>
          <w:spacing w:val="-22"/>
          <w:sz w:val="24"/>
          <w:szCs w:val="24"/>
        </w:rPr>
        <w:t>等措施。</w:t>
      </w:r>
    </w:p>
    <w:p w14:paraId="70640BA9">
      <w:pPr>
        <w:pStyle w:val="2"/>
        <w:spacing w:before="120" w:line="262" w:lineRule="auto"/>
        <w:ind w:left="1457" w:right="1412" w:firstLine="431"/>
        <w:rPr>
          <w:sz w:val="24"/>
          <w:szCs w:val="24"/>
        </w:rPr>
      </w:pPr>
      <w:r>
        <w:rPr>
          <w:spacing w:val="-22"/>
          <w:sz w:val="24"/>
          <w:szCs w:val="24"/>
        </w:rPr>
        <w:t>2.1.5.3通过选择不同水量、不同水灰比、不同砂率或不同粒料级配等配制混合料，通过比</w:t>
      </w:r>
      <w:r>
        <w:rPr>
          <w:spacing w:val="-21"/>
          <w:sz w:val="24"/>
          <w:szCs w:val="24"/>
        </w:rPr>
        <w:t>较，从中选择经济合理的方案。</w:t>
      </w:r>
    </w:p>
    <w:p w14:paraId="2784E3CD">
      <w:pPr>
        <w:pStyle w:val="2"/>
        <w:spacing w:before="118" w:line="216" w:lineRule="auto"/>
        <w:ind w:left="1888"/>
        <w:rPr>
          <w:sz w:val="24"/>
          <w:szCs w:val="24"/>
        </w:rPr>
      </w:pPr>
      <w:r>
        <w:rPr>
          <w:spacing w:val="-18"/>
          <w:sz w:val="24"/>
          <w:szCs w:val="24"/>
        </w:rPr>
        <w:t>2.1.5.4施工现场砂和石子的含水量经常变化，必须逐班测定、并调整其实际用量。</w:t>
      </w:r>
    </w:p>
    <w:p w14:paraId="0442C415">
      <w:pPr>
        <w:pStyle w:val="2"/>
        <w:spacing w:before="120" w:line="219" w:lineRule="auto"/>
        <w:ind w:left="1888"/>
        <w:rPr>
          <w:sz w:val="24"/>
          <w:szCs w:val="24"/>
        </w:rPr>
      </w:pPr>
      <w:r>
        <w:rPr>
          <w:spacing w:val="-18"/>
          <w:sz w:val="24"/>
          <w:szCs w:val="24"/>
        </w:rPr>
        <w:t>2.2水泥混凝土施工方案</w:t>
      </w:r>
    </w:p>
    <w:p w14:paraId="1C4B28E2">
      <w:pPr>
        <w:pStyle w:val="2"/>
        <w:spacing w:before="116" w:line="215" w:lineRule="auto"/>
        <w:ind w:left="1888"/>
        <w:rPr>
          <w:sz w:val="24"/>
          <w:szCs w:val="24"/>
        </w:rPr>
      </w:pPr>
      <w:r>
        <w:rPr>
          <w:spacing w:val="-14"/>
          <w:sz w:val="24"/>
          <w:szCs w:val="24"/>
        </w:rPr>
        <w:t>2.2.1施工放样</w:t>
      </w:r>
    </w:p>
    <w:p w14:paraId="159F1568">
      <w:pPr>
        <w:spacing w:line="215" w:lineRule="auto"/>
        <w:rPr>
          <w:sz w:val="24"/>
          <w:szCs w:val="24"/>
        </w:rPr>
        <w:sectPr>
          <w:footerReference r:id="rId106" w:type="default"/>
          <w:pgSz w:w="11907" w:h="16839"/>
          <w:pgMar w:top="954" w:right="4" w:bottom="1038" w:left="0" w:header="499" w:footer="357" w:gutter="0"/>
          <w:pgBorders>
            <w:top w:val="none" w:sz="0" w:space="0"/>
            <w:left w:val="none" w:sz="0" w:space="0"/>
            <w:bottom w:val="none" w:sz="0" w:space="0"/>
            <w:right w:val="none" w:sz="0" w:space="0"/>
          </w:pgBorders>
          <w:cols w:space="720" w:num="1"/>
        </w:sectPr>
      </w:pPr>
    </w:p>
    <w:p w14:paraId="6E8FA532">
      <w:pPr>
        <w:spacing w:line="249" w:lineRule="auto"/>
        <w:rPr>
          <w:rFonts w:ascii="Arial"/>
          <w:sz w:val="21"/>
        </w:rPr>
      </w:pPr>
    </w:p>
    <w:p w14:paraId="42777C74">
      <w:pPr>
        <w:pStyle w:val="2"/>
        <w:spacing w:before="78" w:line="262" w:lineRule="auto"/>
        <w:ind w:left="1456" w:right="1335" w:firstLine="432"/>
        <w:rPr>
          <w:sz w:val="24"/>
          <w:szCs w:val="24"/>
        </w:rPr>
      </w:pPr>
      <w:r>
        <w:rPr>
          <w:spacing w:val="-18"/>
          <w:sz w:val="24"/>
          <w:szCs w:val="24"/>
        </w:rPr>
        <w:t>2.2.1.1在路面基层验收合格后进行施工放样工作，直线每段20米</w:t>
      </w:r>
      <w:r>
        <w:rPr>
          <w:spacing w:val="-19"/>
          <w:sz w:val="24"/>
          <w:szCs w:val="24"/>
        </w:rPr>
        <w:t>一桩，曲线段每4米一</w:t>
      </w:r>
      <w:r>
        <w:rPr>
          <w:spacing w:val="-23"/>
          <w:sz w:val="24"/>
          <w:szCs w:val="24"/>
        </w:rPr>
        <w:t>桩（与模板长度同）。同时要设胀缝，缩缝，锥坡转折点等中心桩，并相应在路边</w:t>
      </w:r>
      <w:r>
        <w:rPr>
          <w:spacing w:val="-24"/>
          <w:sz w:val="24"/>
          <w:szCs w:val="24"/>
        </w:rPr>
        <w:t>各设一边桩。</w:t>
      </w:r>
    </w:p>
    <w:p w14:paraId="7785800E">
      <w:pPr>
        <w:pStyle w:val="2"/>
        <w:spacing w:before="120" w:line="263" w:lineRule="auto"/>
        <w:ind w:left="1455" w:right="1409" w:firstLine="432"/>
        <w:rPr>
          <w:sz w:val="24"/>
          <w:szCs w:val="24"/>
        </w:rPr>
      </w:pPr>
      <w:r>
        <w:rPr>
          <w:spacing w:val="-22"/>
          <w:sz w:val="24"/>
          <w:szCs w:val="24"/>
        </w:rPr>
        <w:t>2.2.1.2根据放好的中心线及边桩，在现场核对施工图的砼分块线。对于曲线段，必须保持</w:t>
      </w:r>
      <w:r>
        <w:rPr>
          <w:spacing w:val="-20"/>
          <w:sz w:val="24"/>
          <w:szCs w:val="24"/>
        </w:rPr>
        <w:t>横向分块线与路中心线垂直。</w:t>
      </w:r>
    </w:p>
    <w:p w14:paraId="5B3537C0">
      <w:pPr>
        <w:pStyle w:val="2"/>
        <w:spacing w:before="117" w:line="215" w:lineRule="auto"/>
        <w:ind w:left="1888"/>
        <w:rPr>
          <w:sz w:val="24"/>
          <w:szCs w:val="24"/>
        </w:rPr>
      </w:pPr>
      <w:r>
        <w:rPr>
          <w:spacing w:val="-19"/>
          <w:sz w:val="24"/>
          <w:szCs w:val="24"/>
        </w:rPr>
        <w:t>2.2.1.3测量放样必须经常复核，做到勤测，勤核、勤纠偏。</w:t>
      </w:r>
    </w:p>
    <w:p w14:paraId="79F6E225">
      <w:pPr>
        <w:pStyle w:val="2"/>
        <w:spacing w:before="118" w:line="223" w:lineRule="auto"/>
        <w:ind w:left="1888"/>
        <w:rPr>
          <w:sz w:val="24"/>
          <w:szCs w:val="24"/>
        </w:rPr>
      </w:pPr>
      <w:r>
        <w:rPr>
          <w:spacing w:val="-14"/>
          <w:sz w:val="24"/>
          <w:szCs w:val="24"/>
        </w:rPr>
        <w:t>2.2.2基层处理</w:t>
      </w:r>
    </w:p>
    <w:p w14:paraId="0ACD25A0">
      <w:pPr>
        <w:pStyle w:val="2"/>
        <w:spacing w:before="110" w:line="263" w:lineRule="auto"/>
        <w:ind w:left="1457" w:right="1387" w:firstLine="431"/>
        <w:rPr>
          <w:sz w:val="24"/>
          <w:szCs w:val="24"/>
        </w:rPr>
      </w:pPr>
      <w:r>
        <w:rPr>
          <w:spacing w:val="-20"/>
          <w:sz w:val="24"/>
          <w:szCs w:val="24"/>
        </w:rPr>
        <w:t>2.2.2.1所有挤碎、隆起、空鼓的基层应清除，并使用素砼重铺，同时设胀缝板横向隔开，</w:t>
      </w:r>
      <w:r>
        <w:rPr>
          <w:spacing w:val="-21"/>
          <w:sz w:val="24"/>
          <w:szCs w:val="24"/>
        </w:rPr>
        <w:t>胀缝板应与路面胀缝和缩缝上下对齐。</w:t>
      </w:r>
    </w:p>
    <w:p w14:paraId="3A941D4F">
      <w:pPr>
        <w:pStyle w:val="2"/>
        <w:spacing w:before="115" w:line="216" w:lineRule="auto"/>
        <w:ind w:left="1888"/>
        <w:rPr>
          <w:sz w:val="24"/>
          <w:szCs w:val="24"/>
        </w:rPr>
      </w:pPr>
      <w:r>
        <w:rPr>
          <w:spacing w:val="-20"/>
          <w:sz w:val="24"/>
          <w:szCs w:val="24"/>
        </w:rPr>
        <w:t>2.2.2.2当基层产生非扩展性温缩，干缩裂缝时，应进行密封防水。</w:t>
      </w:r>
    </w:p>
    <w:p w14:paraId="62B5E46F">
      <w:pPr>
        <w:pStyle w:val="2"/>
        <w:spacing w:before="121" w:line="215" w:lineRule="auto"/>
        <w:ind w:left="1888"/>
        <w:rPr>
          <w:sz w:val="24"/>
          <w:szCs w:val="24"/>
        </w:rPr>
      </w:pPr>
      <w:r>
        <w:rPr>
          <w:spacing w:val="-20"/>
          <w:sz w:val="24"/>
          <w:szCs w:val="24"/>
        </w:rPr>
        <w:t>2.2.2.3基层产生较大纵向扩展裂缝时，应分析原因，采用有效的路基稳固措施进行处理。</w:t>
      </w:r>
    </w:p>
    <w:p w14:paraId="2CC2331F">
      <w:pPr>
        <w:pStyle w:val="2"/>
        <w:spacing w:before="122" w:line="215" w:lineRule="auto"/>
        <w:ind w:left="1888"/>
        <w:rPr>
          <w:sz w:val="24"/>
          <w:szCs w:val="24"/>
        </w:rPr>
      </w:pPr>
      <w:r>
        <w:rPr>
          <w:spacing w:val="-18"/>
          <w:sz w:val="24"/>
          <w:szCs w:val="24"/>
        </w:rPr>
        <w:t>2.2.2.4对部分地段的基层需要进行大面积填补时，应以水泥稳定碎石作为基层。</w:t>
      </w:r>
    </w:p>
    <w:p w14:paraId="0CE61BF1">
      <w:pPr>
        <w:pStyle w:val="2"/>
        <w:spacing w:before="119" w:line="218" w:lineRule="auto"/>
        <w:ind w:left="1888"/>
        <w:rPr>
          <w:sz w:val="24"/>
          <w:szCs w:val="24"/>
        </w:rPr>
      </w:pPr>
      <w:r>
        <w:rPr>
          <w:spacing w:val="-14"/>
          <w:sz w:val="24"/>
          <w:szCs w:val="24"/>
        </w:rPr>
        <w:t>2.2.3安装模板</w:t>
      </w:r>
    </w:p>
    <w:p w14:paraId="58CFE34A">
      <w:pPr>
        <w:pStyle w:val="2"/>
        <w:spacing w:before="116" w:line="262" w:lineRule="auto"/>
        <w:ind w:left="1461" w:right="1409" w:firstLine="427"/>
        <w:rPr>
          <w:sz w:val="24"/>
          <w:szCs w:val="24"/>
        </w:rPr>
      </w:pPr>
      <w:r>
        <w:rPr>
          <w:spacing w:val="-18"/>
          <w:sz w:val="24"/>
          <w:szCs w:val="24"/>
        </w:rPr>
        <w:t>2.2.3.1模板必须具有足够的强度和刚度</w:t>
      </w:r>
      <w:r>
        <w:rPr>
          <w:spacing w:val="-64"/>
          <w:sz w:val="24"/>
          <w:szCs w:val="24"/>
        </w:rPr>
        <w:t>，（</w:t>
      </w:r>
      <w:r>
        <w:rPr>
          <w:spacing w:val="-18"/>
          <w:sz w:val="24"/>
          <w:szCs w:val="24"/>
        </w:rPr>
        <w:t>模板的高度与砼路</w:t>
      </w:r>
      <w:r>
        <w:rPr>
          <w:spacing w:val="-19"/>
          <w:sz w:val="24"/>
          <w:szCs w:val="24"/>
        </w:rPr>
        <w:t>面等厚）对于变形的模板须</w:t>
      </w:r>
      <w:r>
        <w:rPr>
          <w:spacing w:val="-23"/>
          <w:sz w:val="24"/>
          <w:szCs w:val="24"/>
        </w:rPr>
        <w:t>纠正后在进行使用。</w:t>
      </w:r>
    </w:p>
    <w:p w14:paraId="771B0142">
      <w:pPr>
        <w:pStyle w:val="2"/>
        <w:spacing w:before="119" w:line="278" w:lineRule="auto"/>
        <w:ind w:left="1459" w:right="1387" w:firstLine="429"/>
        <w:rPr>
          <w:sz w:val="24"/>
          <w:szCs w:val="24"/>
        </w:rPr>
      </w:pPr>
      <w:r>
        <w:rPr>
          <w:spacing w:val="-21"/>
          <w:sz w:val="24"/>
          <w:szCs w:val="24"/>
        </w:rPr>
        <w:t>2.2.3.2模板应安装稳固、顺直、平整、无扭曲，相邻模板连接应</w:t>
      </w:r>
      <w:r>
        <w:rPr>
          <w:spacing w:val="-22"/>
          <w:sz w:val="24"/>
          <w:szCs w:val="24"/>
        </w:rPr>
        <w:t>紧密平顺，不得有漏浆，</w:t>
      </w:r>
      <w:r>
        <w:rPr>
          <w:spacing w:val="-20"/>
          <w:sz w:val="24"/>
          <w:szCs w:val="24"/>
        </w:rPr>
        <w:t>前后错茬、高低错台等现象。模板应能保证摊铺、振实、整平设备的负载行进、冲击和振动是</w:t>
      </w:r>
      <w:r>
        <w:rPr>
          <w:spacing w:val="-18"/>
          <w:sz w:val="24"/>
          <w:szCs w:val="24"/>
        </w:rPr>
        <w:t>不发生移位。</w:t>
      </w:r>
    </w:p>
    <w:p w14:paraId="7257AE10">
      <w:pPr>
        <w:pStyle w:val="2"/>
        <w:spacing w:before="116" w:line="218" w:lineRule="auto"/>
        <w:ind w:left="1888"/>
        <w:rPr>
          <w:sz w:val="24"/>
          <w:szCs w:val="24"/>
        </w:rPr>
      </w:pPr>
      <w:r>
        <w:rPr>
          <w:spacing w:val="-17"/>
          <w:sz w:val="24"/>
          <w:szCs w:val="24"/>
        </w:rPr>
        <w:t>2.2.3.3平曲线路段采用短模板。</w:t>
      </w:r>
    </w:p>
    <w:p w14:paraId="19B02078">
      <w:pPr>
        <w:pStyle w:val="2"/>
        <w:spacing w:before="117" w:line="217" w:lineRule="auto"/>
        <w:ind w:left="1888"/>
        <w:rPr>
          <w:sz w:val="24"/>
          <w:szCs w:val="24"/>
        </w:rPr>
      </w:pPr>
      <w:r>
        <w:rPr>
          <w:spacing w:val="-20"/>
          <w:sz w:val="24"/>
          <w:szCs w:val="24"/>
        </w:rPr>
        <w:t>2.2.3.4内侧固定钢钎和外侧受力钢钎均不得高于模板，以利振动梁能通过。</w:t>
      </w:r>
    </w:p>
    <w:p w14:paraId="197F7A25">
      <w:pPr>
        <w:pStyle w:val="2"/>
        <w:spacing w:before="119" w:line="216" w:lineRule="auto"/>
        <w:ind w:left="1888"/>
        <w:rPr>
          <w:sz w:val="24"/>
          <w:szCs w:val="24"/>
        </w:rPr>
      </w:pPr>
      <w:r>
        <w:rPr>
          <w:spacing w:val="-18"/>
          <w:sz w:val="24"/>
          <w:szCs w:val="24"/>
        </w:rPr>
        <w:t>2.2.3.5模板安装完毕后，应经过现场监理人员的检查。合格后才能浇筑砼。</w:t>
      </w:r>
    </w:p>
    <w:p w14:paraId="461D4B93">
      <w:pPr>
        <w:pStyle w:val="2"/>
        <w:spacing w:before="118" w:line="218" w:lineRule="auto"/>
        <w:ind w:left="1888"/>
        <w:rPr>
          <w:sz w:val="24"/>
          <w:szCs w:val="24"/>
        </w:rPr>
      </w:pPr>
      <w:r>
        <w:rPr>
          <w:spacing w:val="-17"/>
          <w:sz w:val="24"/>
          <w:szCs w:val="24"/>
        </w:rPr>
        <w:t>2.2.4混凝土的拌和和运输</w:t>
      </w:r>
    </w:p>
    <w:p w14:paraId="6ABB4F92">
      <w:pPr>
        <w:pStyle w:val="2"/>
        <w:spacing w:before="117" w:line="218" w:lineRule="auto"/>
        <w:ind w:left="1888"/>
        <w:rPr>
          <w:sz w:val="24"/>
          <w:szCs w:val="24"/>
        </w:rPr>
      </w:pPr>
      <w:r>
        <w:rPr>
          <w:spacing w:val="-11"/>
          <w:sz w:val="24"/>
          <w:szCs w:val="24"/>
        </w:rPr>
        <w:t>2.2.4.1拌和</w:t>
      </w:r>
    </w:p>
    <w:p w14:paraId="210B0696">
      <w:pPr>
        <w:pStyle w:val="2"/>
        <w:spacing w:before="117" w:line="217" w:lineRule="auto"/>
        <w:ind w:left="1888"/>
        <w:rPr>
          <w:sz w:val="24"/>
          <w:szCs w:val="24"/>
        </w:rPr>
      </w:pPr>
      <w:r>
        <w:rPr>
          <w:spacing w:val="-17"/>
          <w:sz w:val="24"/>
          <w:szCs w:val="24"/>
        </w:rPr>
        <w:t>2.</w:t>
      </w:r>
      <w:r>
        <w:fldChar w:fldCharType="begin"/>
      </w:r>
      <w:r>
        <w:instrText xml:space="preserve">HYPERLINK"2.4.1.1"</w:instrText>
      </w:r>
      <w:r>
        <w:fldChar w:fldCharType="separate"/>
      </w:r>
      <w:r>
        <w:rPr>
          <w:spacing w:val="-17"/>
          <w:sz w:val="24"/>
          <w:szCs w:val="24"/>
        </w:rPr>
        <w:t>2.4.1.1</w:t>
      </w:r>
      <w:r>
        <w:rPr>
          <w:spacing w:val="-17"/>
          <w:sz w:val="24"/>
          <w:szCs w:val="24"/>
        </w:rPr>
        <w:fldChar w:fldCharType="end"/>
      </w:r>
      <w:r>
        <w:rPr>
          <w:spacing w:val="-17"/>
          <w:sz w:val="24"/>
          <w:szCs w:val="24"/>
        </w:rPr>
        <w:t>混凝土拌和采用搅拌站集中拌和，搅拌站采用2台强制式搅拌机拌和。</w:t>
      </w:r>
    </w:p>
    <w:p w14:paraId="23664310">
      <w:pPr>
        <w:pStyle w:val="2"/>
        <w:spacing w:before="117" w:line="215" w:lineRule="auto"/>
        <w:ind w:left="1888"/>
        <w:rPr>
          <w:sz w:val="24"/>
          <w:szCs w:val="24"/>
        </w:rPr>
      </w:pPr>
      <w:r>
        <w:rPr>
          <w:spacing w:val="-23"/>
          <w:sz w:val="24"/>
          <w:szCs w:val="24"/>
        </w:rPr>
        <w:t>2.2.4.1.2对砂、石子、水泥的用量经准确调试后方可</w:t>
      </w:r>
      <w:r>
        <w:rPr>
          <w:spacing w:val="-24"/>
          <w:sz w:val="24"/>
          <w:szCs w:val="24"/>
        </w:rPr>
        <w:t>拌和，在拌和的过程中，要随时抽检。</w:t>
      </w:r>
    </w:p>
    <w:p w14:paraId="2A3C2F6B">
      <w:pPr>
        <w:pStyle w:val="2"/>
        <w:spacing w:before="121" w:line="264" w:lineRule="auto"/>
        <w:ind w:left="1457" w:right="1409" w:firstLine="431"/>
        <w:rPr>
          <w:sz w:val="24"/>
          <w:szCs w:val="24"/>
        </w:rPr>
      </w:pPr>
      <w:r>
        <w:rPr>
          <w:spacing w:val="-21"/>
          <w:sz w:val="24"/>
          <w:szCs w:val="24"/>
        </w:rPr>
        <w:t>2.2.4.1.3严格控制含水量。每班开工前，实测砂、</w:t>
      </w:r>
      <w:r>
        <w:rPr>
          <w:spacing w:val="-22"/>
          <w:sz w:val="24"/>
          <w:szCs w:val="24"/>
        </w:rPr>
        <w:t>石子的含水量，并根据天气变化，由工</w:t>
      </w:r>
      <w:r>
        <w:rPr>
          <w:spacing w:val="-20"/>
          <w:sz w:val="24"/>
          <w:szCs w:val="24"/>
        </w:rPr>
        <w:t>地试验确定施工配合比。</w:t>
      </w:r>
    </w:p>
    <w:p w14:paraId="6ADDD2A3">
      <w:pPr>
        <w:pStyle w:val="2"/>
        <w:spacing w:before="114" w:line="262" w:lineRule="auto"/>
        <w:ind w:left="1455" w:right="1410" w:firstLine="432"/>
        <w:rPr>
          <w:sz w:val="24"/>
          <w:szCs w:val="24"/>
        </w:rPr>
      </w:pPr>
      <w:r>
        <w:rPr>
          <w:spacing w:val="-21"/>
          <w:sz w:val="24"/>
          <w:szCs w:val="24"/>
        </w:rPr>
        <w:t>2.2.4.1.4每一盘拌和物前，先用适</w:t>
      </w:r>
      <w:r>
        <w:rPr>
          <w:spacing w:val="-22"/>
          <w:sz w:val="24"/>
          <w:szCs w:val="24"/>
        </w:rPr>
        <w:t>量的混凝土拌合物或砂浆拌和，拌后排弃，然后再按照</w:t>
      </w:r>
      <w:r>
        <w:rPr>
          <w:spacing w:val="-20"/>
          <w:sz w:val="24"/>
          <w:szCs w:val="24"/>
        </w:rPr>
        <w:t>规定的配合比进行拌和。</w:t>
      </w:r>
    </w:p>
    <w:p w14:paraId="29486723">
      <w:pPr>
        <w:pStyle w:val="2"/>
        <w:spacing w:before="120" w:line="216" w:lineRule="auto"/>
        <w:ind w:left="1888"/>
        <w:rPr>
          <w:sz w:val="24"/>
          <w:szCs w:val="24"/>
        </w:rPr>
      </w:pPr>
      <w:r>
        <w:rPr>
          <w:spacing w:val="-21"/>
          <w:sz w:val="24"/>
          <w:szCs w:val="24"/>
        </w:rPr>
        <w:t>2.2.4.1.4搅拌机装料顺序:宜为砂、水泥、碎石或碎石、水泥、砂进料后，边搅拌边加水。</w:t>
      </w:r>
    </w:p>
    <w:p w14:paraId="25313493">
      <w:pPr>
        <w:pStyle w:val="2"/>
        <w:spacing w:before="117" w:line="216" w:lineRule="auto"/>
        <w:ind w:left="1888"/>
        <w:rPr>
          <w:sz w:val="24"/>
          <w:szCs w:val="24"/>
        </w:rPr>
      </w:pPr>
      <w:r>
        <w:rPr>
          <w:spacing w:val="-15"/>
          <w:sz w:val="24"/>
          <w:szCs w:val="24"/>
        </w:rPr>
        <w:t>2.2.4.1.5搅拌时间视工作性能而定</w:t>
      </w:r>
      <w:r>
        <w:rPr>
          <w:spacing w:val="-16"/>
          <w:sz w:val="24"/>
          <w:szCs w:val="24"/>
        </w:rPr>
        <w:t>，最低时间为90s.</w:t>
      </w:r>
    </w:p>
    <w:p w14:paraId="0AC1257C">
      <w:pPr>
        <w:pStyle w:val="2"/>
        <w:spacing w:before="121" w:line="263" w:lineRule="auto"/>
        <w:ind w:left="1459" w:right="1409" w:firstLine="429"/>
        <w:rPr>
          <w:sz w:val="24"/>
          <w:szCs w:val="24"/>
        </w:rPr>
      </w:pPr>
      <w:r>
        <w:rPr>
          <w:spacing w:val="-21"/>
          <w:sz w:val="24"/>
          <w:szCs w:val="24"/>
        </w:rPr>
        <w:t>2.2.4.1.6水泥砼拌和物应严格控制坍落度。拌和坍落度为</w:t>
      </w:r>
      <w:r>
        <w:rPr>
          <w:spacing w:val="-22"/>
          <w:sz w:val="24"/>
          <w:szCs w:val="24"/>
        </w:rPr>
        <w:t>最适宜摊铺的坍落度值与当时气</w:t>
      </w:r>
      <w:r>
        <w:rPr>
          <w:spacing w:val="-21"/>
          <w:sz w:val="24"/>
          <w:szCs w:val="24"/>
        </w:rPr>
        <w:t>温下运输坍落度损失值两者之和。</w:t>
      </w:r>
    </w:p>
    <w:p w14:paraId="413AC206">
      <w:pPr>
        <w:pStyle w:val="2"/>
        <w:spacing w:before="114" w:line="220" w:lineRule="auto"/>
        <w:ind w:left="1888"/>
        <w:rPr>
          <w:sz w:val="24"/>
          <w:szCs w:val="24"/>
        </w:rPr>
      </w:pPr>
      <w:r>
        <w:rPr>
          <w:spacing w:val="-11"/>
          <w:sz w:val="24"/>
          <w:szCs w:val="24"/>
        </w:rPr>
        <w:t>2.2.4.2运输</w:t>
      </w:r>
    </w:p>
    <w:p w14:paraId="4AEF2AA9">
      <w:pPr>
        <w:pStyle w:val="2"/>
        <w:spacing w:before="115" w:line="262" w:lineRule="auto"/>
        <w:ind w:left="1459" w:right="1351" w:firstLine="429"/>
        <w:rPr>
          <w:sz w:val="24"/>
          <w:szCs w:val="24"/>
        </w:rPr>
      </w:pPr>
      <w:r>
        <w:rPr>
          <w:spacing w:val="-25"/>
          <w:sz w:val="24"/>
          <w:szCs w:val="24"/>
        </w:rPr>
        <w:t>2.2.4.2.1运输采用自卸汽车，运送砼的车辆在装料前，应清洁车厢，洒水润壁，排干积水，</w:t>
      </w:r>
      <w:r>
        <w:rPr>
          <w:spacing w:val="-21"/>
          <w:sz w:val="24"/>
          <w:szCs w:val="24"/>
        </w:rPr>
        <w:t>并在运输过程中采取措施防止水分损失和离析。</w:t>
      </w:r>
    </w:p>
    <w:p w14:paraId="24271245">
      <w:pPr>
        <w:pStyle w:val="2"/>
        <w:spacing w:before="119" w:line="216" w:lineRule="auto"/>
        <w:ind w:left="1888"/>
        <w:rPr>
          <w:sz w:val="24"/>
          <w:szCs w:val="24"/>
        </w:rPr>
      </w:pPr>
      <w:r>
        <w:rPr>
          <w:spacing w:val="-21"/>
          <w:sz w:val="24"/>
          <w:szCs w:val="24"/>
        </w:rPr>
        <w:t>2.2.4.2.2装运混凝土拌合物，不得漏浆，出量及铺筑时的卸料高度，不应超过1.5米，如</w:t>
      </w:r>
    </w:p>
    <w:p w14:paraId="7B884093">
      <w:pPr>
        <w:spacing w:line="216" w:lineRule="auto"/>
        <w:rPr>
          <w:sz w:val="24"/>
          <w:szCs w:val="24"/>
        </w:rPr>
        <w:sectPr>
          <w:footerReference r:id="rId107" w:type="default"/>
          <w:pgSz w:w="11907" w:h="16839"/>
          <w:pgMar w:top="954" w:right="4" w:bottom="1038" w:left="0" w:header="499" w:footer="357" w:gutter="0"/>
          <w:pgBorders>
            <w:top w:val="none" w:sz="0" w:space="0"/>
            <w:left w:val="none" w:sz="0" w:space="0"/>
            <w:bottom w:val="none" w:sz="0" w:space="0"/>
            <w:right w:val="none" w:sz="0" w:space="0"/>
          </w:pgBorders>
          <w:cols w:space="720" w:num="1"/>
        </w:sectPr>
      </w:pPr>
    </w:p>
    <w:p w14:paraId="4017D179">
      <w:pPr>
        <w:spacing w:line="251" w:lineRule="auto"/>
        <w:rPr>
          <w:rFonts w:ascii="Arial"/>
          <w:sz w:val="21"/>
        </w:rPr>
      </w:pPr>
    </w:p>
    <w:p w14:paraId="6DAD78FF">
      <w:pPr>
        <w:pStyle w:val="2"/>
        <w:spacing w:before="78" w:line="217" w:lineRule="auto"/>
        <w:ind w:left="1463"/>
        <w:rPr>
          <w:sz w:val="24"/>
          <w:szCs w:val="24"/>
        </w:rPr>
      </w:pPr>
      <w:r>
        <w:rPr>
          <w:spacing w:val="-22"/>
          <w:sz w:val="24"/>
          <w:szCs w:val="24"/>
        </w:rPr>
        <w:t>发生离析，铺筑前应重新拌合。</w:t>
      </w:r>
    </w:p>
    <w:p w14:paraId="2B7DAF6E">
      <w:pPr>
        <w:pStyle w:val="2"/>
        <w:spacing w:before="118" w:line="261" w:lineRule="auto"/>
        <w:ind w:left="1456" w:right="1411" w:firstLine="432"/>
        <w:rPr>
          <w:sz w:val="24"/>
          <w:szCs w:val="24"/>
        </w:rPr>
      </w:pPr>
      <w:r>
        <w:rPr>
          <w:spacing w:val="-19"/>
          <w:sz w:val="24"/>
          <w:szCs w:val="24"/>
        </w:rPr>
        <w:t>2.2.4.2.3混凝土从搅拌机出料至</w:t>
      </w:r>
      <w:r>
        <w:rPr>
          <w:spacing w:val="-20"/>
          <w:sz w:val="24"/>
          <w:szCs w:val="24"/>
        </w:rPr>
        <w:t>浇筑完毕的时间不得超过允许最长时间。D、大风、雨雪</w:t>
      </w:r>
      <w:r>
        <w:rPr>
          <w:spacing w:val="-21"/>
          <w:sz w:val="24"/>
          <w:szCs w:val="24"/>
        </w:rPr>
        <w:t>低温天气较远距离运输时，自卸车要用防雨布遮盖，并增加保</w:t>
      </w:r>
      <w:r>
        <w:rPr>
          <w:spacing w:val="-22"/>
          <w:sz w:val="24"/>
          <w:szCs w:val="24"/>
        </w:rPr>
        <w:t>温措施。</w:t>
      </w:r>
    </w:p>
    <w:p w14:paraId="5F471092">
      <w:pPr>
        <w:pStyle w:val="2"/>
        <w:spacing w:before="120" w:line="263" w:lineRule="auto"/>
        <w:ind w:left="1459" w:right="1410" w:firstLine="429"/>
        <w:rPr>
          <w:sz w:val="24"/>
          <w:szCs w:val="24"/>
        </w:rPr>
      </w:pPr>
      <w:r>
        <w:rPr>
          <w:spacing w:val="-21"/>
          <w:sz w:val="24"/>
          <w:szCs w:val="24"/>
        </w:rPr>
        <w:t>2.2.4.2.4运输车辆在模板或导线区调头或者错车</w:t>
      </w:r>
      <w:r>
        <w:rPr>
          <w:spacing w:val="-22"/>
          <w:sz w:val="24"/>
          <w:szCs w:val="24"/>
        </w:rPr>
        <w:t>时，严禁碰撞模板或基线，一旦碰撞，应</w:t>
      </w:r>
      <w:r>
        <w:rPr>
          <w:spacing w:val="-20"/>
          <w:sz w:val="24"/>
          <w:szCs w:val="24"/>
        </w:rPr>
        <w:t>及时告知重新测量纠偏。</w:t>
      </w:r>
    </w:p>
    <w:p w14:paraId="28A231AE">
      <w:pPr>
        <w:pStyle w:val="2"/>
        <w:spacing w:before="115" w:line="219" w:lineRule="auto"/>
        <w:ind w:left="1888"/>
        <w:rPr>
          <w:sz w:val="24"/>
          <w:szCs w:val="24"/>
        </w:rPr>
      </w:pPr>
      <w:r>
        <w:pict>
          <v:shape id="_x0000_s1790" o:spid="_x0000_s1790" style="position:absolute;left:0pt;margin-left:509.5pt;margin-top:51.35pt;height:3.4pt;width:0.75pt;z-index:251845632;mso-width-relative:page;mso-height-relative:page;" fillcolor="#1C456A" filled="t" stroked="f" coordsize="15,68" path="m0,67l14,67,14,0,0,0,0,67xe">
            <v:path/>
            <v:fill on="t" focussize="0,0"/>
            <v:stroke on="f"/>
            <v:imagedata o:title=""/>
            <o:lock v:ext="edit"/>
          </v:shape>
        </w:pict>
      </w:r>
      <w:r>
        <w:rPr>
          <w:spacing w:val="-15"/>
          <w:sz w:val="24"/>
          <w:szCs w:val="24"/>
        </w:rPr>
        <w:t>2.2.5混凝土浇筑</w:t>
      </w:r>
    </w:p>
    <w:tbl>
      <w:tblPr>
        <w:tblStyle w:val="6"/>
        <w:tblW w:w="8547" w:type="dxa"/>
        <w:tblInd w:w="1680" w:type="dxa"/>
        <w:tblBorders>
          <w:top w:val="single" w:color="5B9BD5" w:sz="4" w:space="0"/>
          <w:left w:val="single" w:color="5B9BD5" w:sz="4" w:space="0"/>
          <w:bottom w:val="single" w:color="5B9BD5" w:sz="4" w:space="0"/>
          <w:right w:val="single" w:color="5B9BD5" w:sz="4" w:space="0"/>
          <w:insideH w:val="single" w:color="5B9BD5" w:sz="4" w:space="0"/>
          <w:insideV w:val="single" w:color="5B9BD5" w:sz="4" w:space="0"/>
        </w:tblBorders>
        <w:tblLayout w:type="fixed"/>
        <w:tblCellMar>
          <w:top w:w="0" w:type="dxa"/>
          <w:left w:w="0" w:type="dxa"/>
          <w:bottom w:w="0" w:type="dxa"/>
          <w:right w:w="0" w:type="dxa"/>
        </w:tblCellMar>
      </w:tblPr>
      <w:tblGrid>
        <w:gridCol w:w="8547"/>
      </w:tblGrid>
      <w:tr w14:paraId="26683F0F">
        <w:tblPrEx>
          <w:tblBorders>
            <w:top w:val="single" w:color="5B9BD5" w:sz="4" w:space="0"/>
            <w:left w:val="single" w:color="5B9BD5" w:sz="4" w:space="0"/>
            <w:bottom w:val="single" w:color="5B9BD5" w:sz="4" w:space="0"/>
            <w:right w:val="single" w:color="5B9BD5" w:sz="4" w:space="0"/>
            <w:insideH w:val="single" w:color="5B9BD5" w:sz="4" w:space="0"/>
            <w:insideV w:val="single" w:color="5B9BD5" w:sz="4" w:space="0"/>
          </w:tblBorders>
        </w:tblPrEx>
        <w:trPr>
          <w:trHeight w:val="627" w:hRule="atLeast"/>
        </w:trPr>
        <w:tc>
          <w:tcPr>
            <w:tcW w:w="8547" w:type="dxa"/>
            <w:tcBorders>
              <w:bottom w:val="single" w:color="5B9BD5" w:sz="2" w:space="0"/>
            </w:tcBorders>
            <w:shd w:val="clear" w:color="auto" w:fill="DEEAF6"/>
            <w:vAlign w:val="top"/>
          </w:tcPr>
          <w:p w14:paraId="3AF59F11">
            <w:pPr>
              <w:pStyle w:val="7"/>
              <w:spacing w:before="129" w:line="216" w:lineRule="auto"/>
              <w:ind w:left="3410"/>
            </w:pPr>
            <w:r>
              <w:rPr>
                <w:b/>
                <w:bCs/>
                <w:spacing w:val="-21"/>
              </w:rPr>
              <w:t>混凝土坍落度检测</w:t>
            </w:r>
          </w:p>
        </w:tc>
      </w:tr>
      <w:tr w14:paraId="29B62D87">
        <w:tblPrEx>
          <w:tblBorders>
            <w:top w:val="single" w:color="5B9BD5" w:sz="4" w:space="0"/>
            <w:left w:val="single" w:color="5B9BD5" w:sz="4" w:space="0"/>
            <w:bottom w:val="single" w:color="5B9BD5" w:sz="4" w:space="0"/>
            <w:right w:val="single" w:color="5B9BD5" w:sz="4" w:space="0"/>
            <w:insideH w:val="single" w:color="5B9BD5" w:sz="4" w:space="0"/>
            <w:insideV w:val="single" w:color="5B9BD5" w:sz="4" w:space="0"/>
          </w:tblBorders>
          <w:tblCellMar>
            <w:top w:w="0" w:type="dxa"/>
            <w:left w:w="0" w:type="dxa"/>
            <w:bottom w:w="0" w:type="dxa"/>
            <w:right w:w="0" w:type="dxa"/>
          </w:tblCellMar>
        </w:tblPrEx>
        <w:trPr>
          <w:trHeight w:val="3372" w:hRule="atLeast"/>
        </w:trPr>
        <w:tc>
          <w:tcPr>
            <w:tcW w:w="8547" w:type="dxa"/>
            <w:tcBorders>
              <w:top w:val="single" w:color="0070C0" w:sz="2" w:space="0"/>
              <w:left w:val="single" w:color="0070C0" w:sz="6" w:space="0"/>
              <w:bottom w:val="single" w:color="0070C0" w:sz="6" w:space="0"/>
              <w:right w:val="single" w:color="0070C0" w:sz="4" w:space="0"/>
            </w:tcBorders>
            <w:vAlign w:val="top"/>
          </w:tcPr>
          <w:p w14:paraId="576095B9">
            <w:pPr>
              <w:spacing w:before="50" w:line="3312" w:lineRule="exact"/>
              <w:ind w:firstLine="106"/>
            </w:pPr>
            <w:r>
              <w:pict>
                <v:shape id="_x0000_s1791" o:spid="_x0000_s1791" style="position:absolute;left:0pt;margin-left:421.3pt;margin-top:1.9pt;height:167.95pt;width:0.75pt;mso-position-horizontal-relative:page;mso-position-vertical-relative:page;z-index:251848704;mso-width-relative:page;mso-height-relative:page;" filled="f" stroked="t" coordsize="15,3358" path="m7,3351l7,7e">
                  <v:fill on="f" focussize="0,0"/>
                  <v:stroke color="#0070C0" miterlimit="10" joinstyle="miter" endcap="round"/>
                  <v:imagedata o:title=""/>
                  <o:lock v:ext="edit"/>
                </v:shape>
              </w:pict>
            </w:r>
            <w:r>
              <w:rPr>
                <w:position w:val="-66"/>
              </w:rPr>
              <w:drawing>
                <wp:inline distT="0" distB="0" distL="0" distR="0">
                  <wp:extent cx="5276850" cy="2102485"/>
                  <wp:effectExtent l="0" t="0" r="0" b="0"/>
                  <wp:docPr id="622" name="IM 622"/>
                  <wp:cNvGraphicFramePr/>
                  <a:graphic xmlns:a="http://schemas.openxmlformats.org/drawingml/2006/main">
                    <a:graphicData uri="http://schemas.openxmlformats.org/drawingml/2006/picture">
                      <pic:pic xmlns:pic="http://schemas.openxmlformats.org/drawingml/2006/picture">
                        <pic:nvPicPr>
                          <pic:cNvPr id="622" name="IM 622"/>
                          <pic:cNvPicPr/>
                        </pic:nvPicPr>
                        <pic:blipFill>
                          <a:blip r:embed="rId571"/>
                          <a:stretch>
                            <a:fillRect/>
                          </a:stretch>
                        </pic:blipFill>
                        <pic:spPr>
                          <a:xfrm>
                            <a:off x="0" y="0"/>
                            <a:ext cx="5277484" cy="2102612"/>
                          </a:xfrm>
                          <a:prstGeom prst="rect">
                            <a:avLst/>
                          </a:prstGeom>
                        </pic:spPr>
                      </pic:pic>
                    </a:graphicData>
                  </a:graphic>
                </wp:inline>
              </w:drawing>
            </w:r>
          </w:p>
        </w:tc>
      </w:tr>
      <w:tr w14:paraId="1BE08F7A">
        <w:tblPrEx>
          <w:tblBorders>
            <w:top w:val="single" w:color="5B9BD5" w:sz="4" w:space="0"/>
            <w:left w:val="single" w:color="5B9BD5" w:sz="4" w:space="0"/>
            <w:bottom w:val="single" w:color="5B9BD5" w:sz="4" w:space="0"/>
            <w:right w:val="single" w:color="5B9BD5" w:sz="4" w:space="0"/>
            <w:insideH w:val="single" w:color="5B9BD5" w:sz="4" w:space="0"/>
            <w:insideV w:val="single" w:color="5B9BD5" w:sz="4" w:space="0"/>
          </w:tblBorders>
        </w:tblPrEx>
        <w:trPr>
          <w:trHeight w:val="238" w:hRule="atLeast"/>
        </w:trPr>
        <w:tc>
          <w:tcPr>
            <w:tcW w:w="8547" w:type="dxa"/>
            <w:tcBorders>
              <w:top w:val="single" w:color="0070C0" w:sz="6" w:space="0"/>
              <w:left w:val="single" w:color="1C456A" w:sz="4" w:space="0"/>
              <w:bottom w:val="single" w:color="1C456A" w:sz="4" w:space="0"/>
              <w:right w:val="single" w:color="1C456A" w:sz="4" w:space="0"/>
            </w:tcBorders>
            <w:vAlign w:val="top"/>
          </w:tcPr>
          <w:p w14:paraId="044C6913">
            <w:pPr>
              <w:spacing w:line="227" w:lineRule="exact"/>
              <w:rPr>
                <w:rFonts w:ascii="Arial"/>
                <w:sz w:val="19"/>
              </w:rPr>
            </w:pPr>
            <w:r>
              <w:pict>
                <v:shape id="_x0000_s1792" o:spid="_x0000_s1792" style="position:absolute;left:0pt;margin-left:-0.35pt;margin-top:12.45pt;height:0.75pt;width:2.2pt;mso-position-horizontal-relative:page;mso-position-vertical-relative:page;z-index:251847680;mso-width-relative:page;mso-height-relative:page;" fillcolor="#5B9BD5" filled="t" stroked="f" coordsize="44,15" path="m0,14l43,14,43,0,0,0,0,14xe">
                  <v:path/>
                  <v:fill on="t" focussize="0,0"/>
                  <v:stroke on="f"/>
                  <v:imagedata o:title=""/>
                  <o:lock v:ext="edit"/>
                </v:shape>
              </w:pict>
            </w:r>
            <w:r>
              <w:pict>
                <v:shape id="_x0000_s1793" o:spid="_x0000_s1793" style="position:absolute;left:0pt;margin-left:425.5pt;margin-top:12.45pt;height:0.75pt;width:2.2pt;mso-position-horizontal-relative:page;mso-position-vertical-relative:page;z-index:251846656;mso-width-relative:page;mso-height-relative:page;" fillcolor="#5B9BD5" filled="t" stroked="f" coordsize="44,15" path="m0,14l43,14,43,0,0,0,0,14xe">
                  <v:path/>
                  <v:fill on="t" focussize="0,0"/>
                  <v:stroke on="f"/>
                  <v:imagedata o:title=""/>
                  <o:lock v:ext="edit"/>
                </v:shape>
              </w:pict>
            </w:r>
          </w:p>
        </w:tc>
      </w:tr>
    </w:tbl>
    <w:p w14:paraId="0A4D73E2">
      <w:pPr>
        <w:pStyle w:val="2"/>
        <w:spacing w:before="115" w:line="218" w:lineRule="auto"/>
        <w:ind w:left="1888"/>
        <w:rPr>
          <w:sz w:val="24"/>
          <w:szCs w:val="24"/>
        </w:rPr>
      </w:pPr>
      <w:r>
        <w:rPr>
          <w:spacing w:val="-15"/>
          <w:sz w:val="24"/>
          <w:szCs w:val="24"/>
        </w:rPr>
        <w:t>2.2.5.1模板的要求和安装</w:t>
      </w:r>
    </w:p>
    <w:p w14:paraId="0869FEC7">
      <w:pPr>
        <w:pStyle w:val="2"/>
        <w:spacing w:before="115" w:line="218" w:lineRule="auto"/>
        <w:ind w:left="1892"/>
        <w:rPr>
          <w:sz w:val="24"/>
          <w:szCs w:val="24"/>
        </w:rPr>
      </w:pPr>
      <w:r>
        <w:rPr>
          <w:spacing w:val="-21"/>
          <w:sz w:val="24"/>
          <w:szCs w:val="24"/>
        </w:rPr>
        <w:t>模板的高度应与混凝土板厚度一致。</w:t>
      </w:r>
    </w:p>
    <w:p w14:paraId="319E9371">
      <w:pPr>
        <w:pStyle w:val="2"/>
        <w:spacing w:before="117" w:line="278" w:lineRule="auto"/>
        <w:ind w:left="1454" w:right="1387" w:firstLine="433"/>
        <w:rPr>
          <w:sz w:val="24"/>
          <w:szCs w:val="24"/>
        </w:rPr>
      </w:pPr>
      <w:r>
        <w:rPr>
          <w:spacing w:val="-21"/>
          <w:sz w:val="24"/>
          <w:szCs w:val="24"/>
        </w:rPr>
        <w:t>2.2.5.1.1立模的平面位置和高程，应符合设计要求，并应支立准确稳固，接头紧密平顺，</w:t>
      </w:r>
      <w:r>
        <w:rPr>
          <w:spacing w:val="-20"/>
          <w:sz w:val="24"/>
          <w:szCs w:val="24"/>
        </w:rPr>
        <w:t>不得有离缝、前后错茬和高低不平等现象。模板接头和模板与基层接触均不得漏浆、模板与混凝土接触的表面应涂隔离剂。</w:t>
      </w:r>
    </w:p>
    <w:p w14:paraId="5E97750C">
      <w:pPr>
        <w:pStyle w:val="2"/>
        <w:spacing w:before="117" w:line="262" w:lineRule="auto"/>
        <w:ind w:left="1459" w:right="1375" w:firstLine="429"/>
        <w:rPr>
          <w:sz w:val="24"/>
          <w:szCs w:val="24"/>
        </w:rPr>
      </w:pPr>
      <w:r>
        <w:rPr>
          <w:spacing w:val="-21"/>
          <w:sz w:val="24"/>
          <w:szCs w:val="24"/>
        </w:rPr>
        <w:t>2.2.5.1.2混凝土拌合物摊铺前，应对模板的间隔、高度、润滑、支撑稳定和基层的凭证、</w:t>
      </w:r>
      <w:r>
        <w:rPr>
          <w:spacing w:val="-22"/>
          <w:sz w:val="24"/>
          <w:szCs w:val="24"/>
        </w:rPr>
        <w:t>湿润情况，以及钢筋的位置和传力杆装置进行全面检查。</w:t>
      </w:r>
    </w:p>
    <w:p w14:paraId="41E9FD28">
      <w:pPr>
        <w:pStyle w:val="2"/>
        <w:spacing w:before="118" w:line="215" w:lineRule="auto"/>
        <w:ind w:left="1888"/>
        <w:rPr>
          <w:sz w:val="24"/>
          <w:szCs w:val="24"/>
        </w:rPr>
      </w:pPr>
      <w:r>
        <w:rPr>
          <w:spacing w:val="-16"/>
          <w:sz w:val="24"/>
          <w:szCs w:val="24"/>
        </w:rPr>
        <w:t>2.2.5.1.3拆模：在20h后拆除，拆除不应损坏混凝土面板。</w:t>
      </w:r>
    </w:p>
    <w:p w14:paraId="4905F57A">
      <w:pPr>
        <w:pStyle w:val="2"/>
        <w:spacing w:before="121" w:line="217" w:lineRule="auto"/>
        <w:ind w:left="1888"/>
        <w:rPr>
          <w:sz w:val="24"/>
          <w:szCs w:val="24"/>
        </w:rPr>
      </w:pPr>
      <w:r>
        <w:rPr>
          <w:spacing w:val="-16"/>
          <w:sz w:val="24"/>
          <w:szCs w:val="24"/>
        </w:rPr>
        <w:t>2.2.5.2混凝土拌合物的摊铺</w:t>
      </w:r>
    </w:p>
    <w:p w14:paraId="28A61977">
      <w:pPr>
        <w:pStyle w:val="2"/>
        <w:spacing w:before="119" w:line="262" w:lineRule="auto"/>
        <w:ind w:left="1457" w:right="1351" w:firstLine="431"/>
        <w:rPr>
          <w:sz w:val="24"/>
          <w:szCs w:val="24"/>
        </w:rPr>
      </w:pPr>
      <w:r>
        <w:rPr>
          <w:spacing w:val="-19"/>
          <w:sz w:val="24"/>
          <w:szCs w:val="24"/>
        </w:rPr>
        <w:t>2.2.5.2.1摊铺厚度要考虑预留高度。拌合物的松铺系数控制在K=1.1</w:t>
      </w:r>
      <w:r>
        <w:rPr>
          <w:spacing w:val="-20"/>
          <w:sz w:val="24"/>
          <w:szCs w:val="24"/>
        </w:rPr>
        <w:t>-1.25之间，料偏干，取较高值；反之，取较低值。</w:t>
      </w:r>
    </w:p>
    <w:p w14:paraId="1DC36868">
      <w:pPr>
        <w:pStyle w:val="2"/>
        <w:spacing w:before="119" w:line="218" w:lineRule="auto"/>
        <w:ind w:left="1888"/>
        <w:rPr>
          <w:sz w:val="24"/>
          <w:szCs w:val="24"/>
        </w:rPr>
      </w:pPr>
      <w:r>
        <w:rPr>
          <w:spacing w:val="-18"/>
          <w:sz w:val="24"/>
          <w:szCs w:val="24"/>
        </w:rPr>
        <w:t>2.2.5.2.2采用人工摊铺，严禁抛掷和搂耙。</w:t>
      </w:r>
    </w:p>
    <w:p w14:paraId="1A4E834F">
      <w:pPr>
        <w:spacing w:line="218" w:lineRule="auto"/>
        <w:rPr>
          <w:sz w:val="24"/>
          <w:szCs w:val="24"/>
        </w:rPr>
        <w:sectPr>
          <w:footerReference r:id="rId108" w:type="default"/>
          <w:pgSz w:w="11907" w:h="16839"/>
          <w:pgMar w:top="954" w:right="4" w:bottom="1038" w:left="0" w:header="499" w:footer="357" w:gutter="0"/>
          <w:pgBorders>
            <w:top w:val="none" w:sz="0" w:space="0"/>
            <w:left w:val="none" w:sz="0" w:space="0"/>
            <w:bottom w:val="none" w:sz="0" w:space="0"/>
            <w:right w:val="none" w:sz="0" w:space="0"/>
          </w:pgBorders>
          <w:cols w:space="720" w:num="1"/>
        </w:sectPr>
      </w:pPr>
    </w:p>
    <w:p w14:paraId="42260BEA">
      <w:pPr>
        <w:spacing w:line="214" w:lineRule="exact"/>
      </w:pPr>
    </w:p>
    <w:tbl>
      <w:tblPr>
        <w:tblStyle w:val="6"/>
        <w:tblW w:w="9277" w:type="dxa"/>
        <w:tblInd w:w="131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648"/>
        <w:gridCol w:w="4629"/>
      </w:tblGrid>
      <w:tr w14:paraId="5CD011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942" w:hRule="atLeast"/>
        </w:trPr>
        <w:tc>
          <w:tcPr>
            <w:tcW w:w="4648" w:type="dxa"/>
            <w:tcBorders>
              <w:top w:val="single" w:color="000000" w:sz="4" w:space="0"/>
              <w:left w:val="single" w:color="000000" w:sz="4" w:space="0"/>
            </w:tcBorders>
            <w:shd w:val="clear" w:color="auto" w:fill="DEEAF6"/>
            <w:vAlign w:val="top"/>
          </w:tcPr>
          <w:p w14:paraId="3D5FF740">
            <w:pPr>
              <w:spacing w:before="107" w:line="3612" w:lineRule="exact"/>
              <w:ind w:firstLine="136"/>
            </w:pPr>
            <w:r>
              <w:pict>
                <v:group id="_x0000_s1794" o:spid="_x0000_s1794" o:spt="203" style="position:absolute;left:0pt;margin-left:0.9pt;margin-top:2.15pt;height:195.65pt;width:231.05pt;mso-position-horizontal-relative:page;mso-position-vertical-relative:page;z-index:251849728;mso-width-relative:page;mso-height-relative:page;" coordsize="4621,3912">
                  <o:lock v:ext="edit"/>
                  <v:shape id="_x0000_s1795" o:spid="_x0000_s1795" style="position:absolute;left:21;top:0;height:60;width:4593;" fillcolor="#DEEAF6" filled="t" stroked="f" coordsize="4593,60" path="m0,60l4593,60,4593,0,0,0,0,60xe">
                    <v:path/>
                    <v:fill on="t" focussize="0,0"/>
                    <v:stroke on="f"/>
                    <v:imagedata o:title=""/>
                    <o:lock v:ext="edit"/>
                  </v:shape>
                  <v:shape id="_x0000_s1796" o:spid="_x0000_s1796" style="position:absolute;left:0;top:3854;height:58;width:4621;" fillcolor="#DEEAF6" filled="t" stroked="f" coordsize="4621,58" path="m0,57l4620,57,4620,0,0,0,0,57xe">
                    <v:path/>
                    <v:fill on="t" focussize="0,0"/>
                    <v:stroke on="f"/>
                    <v:imagedata o:title=""/>
                    <o:lock v:ext="edit"/>
                  </v:shape>
                </v:group>
              </w:pict>
            </w:r>
            <w:r>
              <w:rPr>
                <w:position w:val="-72"/>
              </w:rPr>
              <w:drawing>
                <wp:inline distT="0" distB="0" distL="0" distR="0">
                  <wp:extent cx="2774950" cy="2292985"/>
                  <wp:effectExtent l="0" t="0" r="0" b="0"/>
                  <wp:docPr id="626" name="IM 626"/>
                  <wp:cNvGraphicFramePr/>
                  <a:graphic xmlns:a="http://schemas.openxmlformats.org/drawingml/2006/main">
                    <a:graphicData uri="http://schemas.openxmlformats.org/drawingml/2006/picture">
                      <pic:pic xmlns:pic="http://schemas.openxmlformats.org/drawingml/2006/picture">
                        <pic:nvPicPr>
                          <pic:cNvPr id="626" name="IM 626"/>
                          <pic:cNvPicPr/>
                        </pic:nvPicPr>
                        <pic:blipFill>
                          <a:blip r:embed="rId572"/>
                          <a:stretch>
                            <a:fillRect/>
                          </a:stretch>
                        </pic:blipFill>
                        <pic:spPr>
                          <a:xfrm>
                            <a:off x="0" y="0"/>
                            <a:ext cx="2774950" cy="2293619"/>
                          </a:xfrm>
                          <a:prstGeom prst="rect">
                            <a:avLst/>
                          </a:prstGeom>
                        </pic:spPr>
                      </pic:pic>
                    </a:graphicData>
                  </a:graphic>
                </wp:inline>
              </w:drawing>
            </w:r>
          </w:p>
        </w:tc>
        <w:tc>
          <w:tcPr>
            <w:tcW w:w="4629" w:type="dxa"/>
            <w:tcBorders>
              <w:top w:val="single" w:color="5B9BD5" w:sz="4" w:space="0"/>
              <w:right w:val="single" w:color="5B9BD5" w:sz="4" w:space="0"/>
            </w:tcBorders>
            <w:shd w:val="clear" w:color="auto" w:fill="DEEAF6"/>
            <w:vAlign w:val="top"/>
          </w:tcPr>
          <w:p w14:paraId="7A2732CC">
            <w:pPr>
              <w:spacing w:before="93" w:line="3641" w:lineRule="exact"/>
              <w:ind w:firstLine="64"/>
            </w:pPr>
            <w:r>
              <w:pict>
                <v:group id="_x0000_s1797" o:spid="_x0000_s1797" o:spt="203" style="position:absolute;left:0pt;margin-left:-0.5pt;margin-top:2.15pt;height:195.65pt;width:231.2pt;mso-position-horizontal-relative:page;mso-position-vertical-relative:page;z-index:251850752;mso-width-relative:page;mso-height-relative:page;" coordsize="4623,3912">
                  <o:lock v:ext="edit"/>
                  <v:shape id="_x0000_s1798" o:spid="_x0000_s1798" style="position:absolute;left:38;top:0;height:60;width:4563;" fillcolor="#DEEAF6" filled="t" stroked="f" coordsize="4563,60" path="m0,60l4563,60,4563,0,0,0,0,60xe">
                    <v:path/>
                    <v:fill on="t" focussize="0,0"/>
                    <v:stroke on="f"/>
                    <v:imagedata o:title=""/>
                    <o:lock v:ext="edit"/>
                  </v:shape>
                  <v:shape id="_x0000_s1799" o:spid="_x0000_s1799" style="position:absolute;left:0;top:3854;height:58;width:4623;" fillcolor="#DEEAF6" filled="t" stroked="f" coordsize="4623,58" path="m0,57l4623,57,4623,0,0,0,0,57xe">
                    <v:path/>
                    <v:fill on="t" focussize="0,0"/>
                    <v:stroke on="f"/>
                    <v:imagedata o:title=""/>
                    <o:lock v:ext="edit"/>
                  </v:shape>
                </v:group>
              </w:pict>
            </w:r>
            <w:r>
              <w:rPr>
                <w:position w:val="-72"/>
              </w:rPr>
              <w:drawing>
                <wp:inline distT="0" distB="0" distL="0" distR="0">
                  <wp:extent cx="2834640" cy="2311400"/>
                  <wp:effectExtent l="0" t="0" r="0" b="0"/>
                  <wp:docPr id="628" name="IM 628"/>
                  <wp:cNvGraphicFramePr/>
                  <a:graphic xmlns:a="http://schemas.openxmlformats.org/drawingml/2006/main">
                    <a:graphicData uri="http://schemas.openxmlformats.org/drawingml/2006/picture">
                      <pic:pic xmlns:pic="http://schemas.openxmlformats.org/drawingml/2006/picture">
                        <pic:nvPicPr>
                          <pic:cNvPr id="628" name="IM 628"/>
                          <pic:cNvPicPr/>
                        </pic:nvPicPr>
                        <pic:blipFill>
                          <a:blip r:embed="rId573"/>
                          <a:stretch>
                            <a:fillRect/>
                          </a:stretch>
                        </pic:blipFill>
                        <pic:spPr>
                          <a:xfrm>
                            <a:off x="0" y="0"/>
                            <a:ext cx="2834640" cy="2312034"/>
                          </a:xfrm>
                          <a:prstGeom prst="rect">
                            <a:avLst/>
                          </a:prstGeom>
                        </pic:spPr>
                      </pic:pic>
                    </a:graphicData>
                  </a:graphic>
                </wp:inline>
              </w:drawing>
            </w:r>
          </w:p>
        </w:tc>
      </w:tr>
      <w:tr w14:paraId="17B37C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5" w:hRule="atLeast"/>
        </w:trPr>
        <w:tc>
          <w:tcPr>
            <w:tcW w:w="4648" w:type="dxa"/>
            <w:tcBorders>
              <w:left w:val="single" w:color="1C456A" w:sz="4" w:space="0"/>
              <w:bottom w:val="single" w:color="1C456A" w:sz="4" w:space="0"/>
            </w:tcBorders>
            <w:vAlign w:val="top"/>
          </w:tcPr>
          <w:p w14:paraId="50FB0FD3">
            <w:pPr>
              <w:pStyle w:val="7"/>
              <w:spacing w:before="102" w:line="219" w:lineRule="auto"/>
              <w:ind w:left="1387"/>
            </w:pPr>
            <w:r>
              <w:rPr>
                <w:spacing w:val="-16"/>
              </w:rPr>
              <w:t>混凝土浇筑施工图1</w:t>
            </w:r>
          </w:p>
        </w:tc>
        <w:tc>
          <w:tcPr>
            <w:tcW w:w="4629" w:type="dxa"/>
            <w:tcBorders>
              <w:bottom w:val="single" w:color="5B9BD5" w:sz="4" w:space="0"/>
              <w:right w:val="single" w:color="5B9BD5" w:sz="4" w:space="0"/>
            </w:tcBorders>
            <w:vAlign w:val="top"/>
          </w:tcPr>
          <w:p w14:paraId="43FFE564">
            <w:pPr>
              <w:pStyle w:val="7"/>
              <w:spacing w:before="102" w:line="219" w:lineRule="auto"/>
              <w:ind w:left="1362"/>
            </w:pPr>
            <w:r>
              <w:rPr>
                <w:spacing w:val="-16"/>
              </w:rPr>
              <w:t>混凝土浇筑施工图2</w:t>
            </w:r>
          </w:p>
        </w:tc>
      </w:tr>
    </w:tbl>
    <w:p w14:paraId="1311B73A">
      <w:pPr>
        <w:pStyle w:val="2"/>
        <w:spacing w:before="115" w:line="218" w:lineRule="auto"/>
        <w:ind w:left="1888"/>
        <w:rPr>
          <w:sz w:val="24"/>
          <w:szCs w:val="24"/>
        </w:rPr>
      </w:pPr>
      <w:r>
        <w:rPr>
          <w:spacing w:val="-11"/>
          <w:sz w:val="24"/>
          <w:szCs w:val="24"/>
        </w:rPr>
        <w:t>2.2.5.3振捣</w:t>
      </w:r>
    </w:p>
    <w:p w14:paraId="05622AB8">
      <w:pPr>
        <w:pStyle w:val="2"/>
        <w:spacing w:before="113" w:line="264" w:lineRule="auto"/>
        <w:ind w:left="1455" w:right="1409" w:firstLine="432"/>
        <w:rPr>
          <w:sz w:val="24"/>
          <w:szCs w:val="24"/>
        </w:rPr>
      </w:pPr>
      <w:r>
        <w:rPr>
          <w:spacing w:val="-21"/>
          <w:sz w:val="24"/>
          <w:szCs w:val="24"/>
        </w:rPr>
        <w:t>2.2.5.3.1对于边角的部分，应先用插入式振捣器按</w:t>
      </w:r>
      <w:r>
        <w:rPr>
          <w:spacing w:val="-22"/>
          <w:sz w:val="24"/>
          <w:szCs w:val="24"/>
        </w:rPr>
        <w:t>顺序振捣，再用平板振捣器纵横交错托</w:t>
      </w:r>
      <w:r>
        <w:rPr>
          <w:spacing w:val="-18"/>
          <w:sz w:val="24"/>
          <w:szCs w:val="24"/>
        </w:rPr>
        <w:t>振。</w:t>
      </w:r>
    </w:p>
    <w:p w14:paraId="4C2432E4">
      <w:pPr>
        <w:pStyle w:val="2"/>
        <w:spacing w:before="116" w:line="261" w:lineRule="auto"/>
        <w:ind w:left="1455" w:right="1410" w:firstLine="432"/>
        <w:rPr>
          <w:sz w:val="24"/>
          <w:szCs w:val="24"/>
        </w:rPr>
      </w:pPr>
      <w:r>
        <w:rPr>
          <w:spacing w:val="-21"/>
          <w:sz w:val="24"/>
          <w:szCs w:val="24"/>
        </w:rPr>
        <w:t>2.2.5.3.2振捣器在每一位置振捣的持续时间，以拌合物</w:t>
      </w:r>
      <w:r>
        <w:rPr>
          <w:spacing w:val="-22"/>
          <w:sz w:val="24"/>
          <w:szCs w:val="24"/>
        </w:rPr>
        <w:t>停止下沉、不再冒气泡并泛出水泥</w:t>
      </w:r>
      <w:r>
        <w:rPr>
          <w:spacing w:val="-20"/>
          <w:sz w:val="24"/>
          <w:szCs w:val="24"/>
        </w:rPr>
        <w:t>砂浆为准，并不宜过振。</w:t>
      </w:r>
    </w:p>
    <w:p w14:paraId="345AA324">
      <w:pPr>
        <w:pStyle w:val="2"/>
        <w:spacing w:before="121" w:line="262" w:lineRule="auto"/>
        <w:ind w:left="1457" w:right="1413" w:firstLine="431"/>
        <w:rPr>
          <w:sz w:val="24"/>
          <w:szCs w:val="24"/>
        </w:rPr>
      </w:pPr>
      <w:r>
        <w:rPr>
          <w:spacing w:val="-21"/>
          <w:sz w:val="24"/>
          <w:szCs w:val="24"/>
        </w:rPr>
        <w:t>2.2.5.3.3振捣时，应辅以人工补料，应随时检查</w:t>
      </w:r>
      <w:r>
        <w:rPr>
          <w:spacing w:val="-22"/>
          <w:sz w:val="24"/>
          <w:szCs w:val="24"/>
        </w:rPr>
        <w:t>振实效果、模板、拉杆、传力杆和钢筋的</w:t>
      </w:r>
      <w:r>
        <w:rPr>
          <w:spacing w:val="-21"/>
          <w:sz w:val="24"/>
          <w:szCs w:val="24"/>
        </w:rPr>
        <w:t>位移、变形、松动、漏浆等情况，并及时纠正。</w:t>
      </w:r>
    </w:p>
    <w:p w14:paraId="757062E1">
      <w:pPr>
        <w:pStyle w:val="2"/>
        <w:spacing w:before="118" w:line="263" w:lineRule="auto"/>
        <w:ind w:left="1458" w:right="1412" w:firstLine="430"/>
        <w:rPr>
          <w:sz w:val="24"/>
          <w:szCs w:val="24"/>
        </w:rPr>
      </w:pPr>
      <w:r>
        <w:rPr>
          <w:spacing w:val="-21"/>
          <w:sz w:val="24"/>
          <w:szCs w:val="24"/>
        </w:rPr>
        <w:t>2.2.5.3.4整平时，填补料应选用较细的拌合物，</w:t>
      </w:r>
      <w:r>
        <w:rPr>
          <w:spacing w:val="-22"/>
          <w:sz w:val="24"/>
          <w:szCs w:val="24"/>
        </w:rPr>
        <w:t>严禁使用纯砂浆填补找平。整平时必须保</w:t>
      </w:r>
      <w:r>
        <w:rPr>
          <w:spacing w:val="-21"/>
          <w:sz w:val="24"/>
          <w:szCs w:val="24"/>
        </w:rPr>
        <w:t>持模板顶面的整洁，接插处板面平整。</w:t>
      </w:r>
    </w:p>
    <w:p w14:paraId="0E17CC9B">
      <w:pPr>
        <w:pStyle w:val="2"/>
        <w:spacing w:before="118" w:line="218" w:lineRule="auto"/>
        <w:ind w:left="1888"/>
        <w:rPr>
          <w:sz w:val="24"/>
          <w:szCs w:val="24"/>
        </w:rPr>
      </w:pPr>
      <w:r>
        <w:rPr>
          <w:spacing w:val="-10"/>
          <w:sz w:val="24"/>
          <w:szCs w:val="24"/>
        </w:rPr>
        <w:t>2.2.5.4振动梁振实</w:t>
      </w:r>
    </w:p>
    <w:p w14:paraId="282048F7">
      <w:pPr>
        <w:pStyle w:val="2"/>
        <w:spacing w:before="115" w:line="262" w:lineRule="auto"/>
        <w:ind w:left="1456" w:right="1409" w:firstLine="432"/>
        <w:rPr>
          <w:sz w:val="24"/>
          <w:szCs w:val="24"/>
        </w:rPr>
      </w:pPr>
      <w:r>
        <w:rPr>
          <w:spacing w:val="-20"/>
          <w:sz w:val="24"/>
          <w:szCs w:val="24"/>
        </w:rPr>
        <w:t>2.2.5.4.1每车道路面使用1根振动梁，振动梁应具有足够的强度和质量，底部焊接4mm左</w:t>
      </w:r>
      <w:r>
        <w:rPr>
          <w:spacing w:val="-18"/>
          <w:sz w:val="24"/>
          <w:szCs w:val="24"/>
        </w:rPr>
        <w:t>右的粗集料压实齿，保证(4±1)mm表面砂浆厚</w:t>
      </w:r>
      <w:r>
        <w:rPr>
          <w:spacing w:val="-19"/>
          <w:sz w:val="24"/>
          <w:szCs w:val="24"/>
        </w:rPr>
        <w:t>度。</w:t>
      </w:r>
    </w:p>
    <w:p w14:paraId="3F89BCE7">
      <w:pPr>
        <w:pStyle w:val="2"/>
        <w:spacing w:before="120" w:line="217" w:lineRule="auto"/>
        <w:ind w:left="1888"/>
        <w:rPr>
          <w:sz w:val="24"/>
          <w:szCs w:val="24"/>
        </w:rPr>
      </w:pPr>
      <w:r>
        <w:rPr>
          <w:spacing w:val="-17"/>
          <w:sz w:val="24"/>
          <w:szCs w:val="24"/>
        </w:rPr>
        <w:t>2.2.5.4.2振动梁应垂直路面中心线沿纵向拖行，往返2-3</w:t>
      </w:r>
      <w:r>
        <w:rPr>
          <w:spacing w:val="-18"/>
          <w:sz w:val="24"/>
          <w:szCs w:val="24"/>
        </w:rPr>
        <w:t>遍，使表面翻浆均匀平整。</w:t>
      </w:r>
    </w:p>
    <w:p w14:paraId="1F5D6C47">
      <w:pPr>
        <w:pStyle w:val="2"/>
        <w:spacing w:before="116" w:line="219" w:lineRule="auto"/>
        <w:ind w:left="1888"/>
        <w:rPr>
          <w:sz w:val="24"/>
          <w:szCs w:val="24"/>
        </w:rPr>
      </w:pPr>
      <w:r>
        <w:rPr>
          <w:spacing w:val="-13"/>
          <w:sz w:val="24"/>
          <w:szCs w:val="24"/>
        </w:rPr>
        <w:t>2.2.5.5整平饰面</w:t>
      </w:r>
    </w:p>
    <w:p w14:paraId="22D0DE16">
      <w:pPr>
        <w:pStyle w:val="2"/>
        <w:spacing w:before="116" w:line="262" w:lineRule="auto"/>
        <w:ind w:left="1466" w:right="1367" w:firstLine="421"/>
        <w:rPr>
          <w:sz w:val="24"/>
          <w:szCs w:val="24"/>
        </w:rPr>
      </w:pPr>
      <w:r>
        <w:rPr>
          <w:spacing w:val="-19"/>
          <w:sz w:val="24"/>
          <w:szCs w:val="24"/>
        </w:rPr>
        <w:t>2.2.5.5.1每车道路面应配备1根滚杠。振动梁振实后，应拖动滚杠往返2-3遍提浆整平。</w:t>
      </w:r>
      <w:r>
        <w:rPr>
          <w:spacing w:val="-22"/>
          <w:sz w:val="24"/>
          <w:szCs w:val="24"/>
        </w:rPr>
        <w:t>第一遍用短距离缓慢推滚或托滚，以后应较长距离均匀托滚，并将水泥浆始终赶在滚杠前方。</w:t>
      </w:r>
    </w:p>
    <w:p w14:paraId="24714AB0">
      <w:pPr>
        <w:pStyle w:val="2"/>
        <w:spacing w:before="120" w:line="263" w:lineRule="auto"/>
        <w:ind w:left="1461" w:right="1411" w:firstLine="427"/>
        <w:rPr>
          <w:sz w:val="24"/>
          <w:szCs w:val="24"/>
        </w:rPr>
      </w:pPr>
      <w:r>
        <w:rPr>
          <w:spacing w:val="-16"/>
          <w:sz w:val="24"/>
          <w:szCs w:val="24"/>
        </w:rPr>
        <w:t>2.2.5.5.2托滚后的表面宜采用3m</w:t>
      </w:r>
      <w:r>
        <w:rPr>
          <w:spacing w:val="-17"/>
          <w:sz w:val="24"/>
          <w:szCs w:val="24"/>
        </w:rPr>
        <w:t>刮尺，纵横各1遍整平饰面，或采用叶片式或圆盘式抹</w:t>
      </w:r>
      <w:r>
        <w:rPr>
          <w:spacing w:val="-16"/>
          <w:sz w:val="24"/>
          <w:szCs w:val="24"/>
        </w:rPr>
        <w:t>面机往返2-3遍压实整平饰面。</w:t>
      </w:r>
    </w:p>
    <w:p w14:paraId="0A3DD0C3">
      <w:pPr>
        <w:pStyle w:val="2"/>
        <w:spacing w:before="117" w:line="215" w:lineRule="auto"/>
        <w:ind w:left="1888"/>
        <w:rPr>
          <w:sz w:val="24"/>
          <w:szCs w:val="24"/>
        </w:rPr>
      </w:pPr>
      <w:r>
        <w:rPr>
          <w:spacing w:val="-19"/>
          <w:sz w:val="24"/>
          <w:szCs w:val="24"/>
        </w:rPr>
        <w:t>2.2.5.5.3在抹面机完成作业后，应进行清边整缝，清除粘浆，修补缺边、掉角。</w:t>
      </w:r>
    </w:p>
    <w:p w14:paraId="18952169">
      <w:pPr>
        <w:pStyle w:val="2"/>
        <w:spacing w:before="119" w:line="219" w:lineRule="auto"/>
        <w:ind w:left="1888"/>
        <w:rPr>
          <w:sz w:val="24"/>
          <w:szCs w:val="24"/>
        </w:rPr>
      </w:pPr>
      <w:r>
        <w:rPr>
          <w:spacing w:val="-14"/>
          <w:sz w:val="24"/>
          <w:szCs w:val="24"/>
        </w:rPr>
        <w:t>2.2.6接缝施工</w:t>
      </w:r>
    </w:p>
    <w:p w14:paraId="1F2DF149">
      <w:pPr>
        <w:pStyle w:val="2"/>
        <w:spacing w:before="116" w:line="222" w:lineRule="auto"/>
        <w:ind w:left="1888"/>
        <w:rPr>
          <w:sz w:val="24"/>
          <w:szCs w:val="24"/>
        </w:rPr>
      </w:pPr>
      <w:r>
        <w:rPr>
          <w:spacing w:val="-11"/>
          <w:sz w:val="24"/>
          <w:szCs w:val="24"/>
        </w:rPr>
        <w:t>2.2.6.1纵缝</w:t>
      </w:r>
    </w:p>
    <w:p w14:paraId="57115C9D">
      <w:pPr>
        <w:pStyle w:val="2"/>
        <w:spacing w:before="112" w:line="218" w:lineRule="auto"/>
        <w:ind w:left="1894"/>
        <w:rPr>
          <w:sz w:val="24"/>
          <w:szCs w:val="24"/>
        </w:rPr>
      </w:pPr>
      <w:r>
        <w:rPr>
          <w:spacing w:val="-20"/>
          <w:sz w:val="24"/>
          <w:szCs w:val="24"/>
        </w:rPr>
        <w:t>纵缝采用平缝加拉杆型</w:t>
      </w:r>
    </w:p>
    <w:p w14:paraId="6A1D3645">
      <w:pPr>
        <w:pStyle w:val="2"/>
        <w:spacing w:before="114" w:line="310" w:lineRule="auto"/>
        <w:ind w:left="1463" w:right="1410" w:firstLine="430"/>
        <w:rPr>
          <w:sz w:val="24"/>
          <w:szCs w:val="24"/>
        </w:rPr>
      </w:pPr>
      <w:r>
        <w:rPr>
          <w:spacing w:val="-20"/>
          <w:sz w:val="24"/>
          <w:szCs w:val="24"/>
        </w:rPr>
        <w:t>平缝施工应根据设计要求的间距，预先在模板上制作拉杆位置放孔、并在缝壁一侧涂刷沥</w:t>
      </w:r>
      <w:r>
        <w:rPr>
          <w:spacing w:val="-14"/>
          <w:sz w:val="24"/>
          <w:szCs w:val="24"/>
        </w:rPr>
        <w:t>青。拉杆的长度为70cm，间距为60cm。中间涂10cm沥青。</w:t>
      </w:r>
    </w:p>
    <w:p w14:paraId="350808F2">
      <w:pPr>
        <w:spacing w:line="310" w:lineRule="auto"/>
        <w:rPr>
          <w:sz w:val="24"/>
          <w:szCs w:val="24"/>
        </w:rPr>
        <w:sectPr>
          <w:footerReference r:id="rId109" w:type="default"/>
          <w:pgSz w:w="11907" w:h="16839"/>
          <w:pgMar w:top="954" w:right="4" w:bottom="1038" w:left="0" w:header="499" w:footer="357" w:gutter="0"/>
          <w:pgBorders>
            <w:top w:val="none" w:sz="0" w:space="0"/>
            <w:left w:val="none" w:sz="0" w:space="0"/>
            <w:bottom w:val="none" w:sz="0" w:space="0"/>
            <w:right w:val="none" w:sz="0" w:space="0"/>
          </w:pgBorders>
          <w:cols w:space="720" w:num="1"/>
        </w:sectPr>
      </w:pPr>
    </w:p>
    <w:p w14:paraId="2F09DBEF">
      <w:pPr>
        <w:spacing w:line="251" w:lineRule="auto"/>
        <w:rPr>
          <w:rFonts w:ascii="Arial"/>
          <w:sz w:val="21"/>
        </w:rPr>
      </w:pPr>
    </w:p>
    <w:p w14:paraId="18C49785">
      <w:pPr>
        <w:pStyle w:val="2"/>
        <w:spacing w:before="78" w:line="217" w:lineRule="auto"/>
        <w:ind w:left="1888"/>
        <w:rPr>
          <w:sz w:val="24"/>
          <w:szCs w:val="24"/>
        </w:rPr>
      </w:pPr>
      <w:r>
        <w:rPr>
          <w:spacing w:val="-13"/>
          <w:sz w:val="24"/>
          <w:szCs w:val="24"/>
        </w:rPr>
        <w:t>2.2.6.2横缝缩缝</w:t>
      </w:r>
    </w:p>
    <w:p w14:paraId="5A841750">
      <w:pPr>
        <w:pStyle w:val="2"/>
        <w:spacing w:before="119" w:line="307" w:lineRule="auto"/>
        <w:ind w:left="1455" w:right="1409" w:firstLine="441"/>
        <w:rPr>
          <w:sz w:val="24"/>
          <w:szCs w:val="24"/>
        </w:rPr>
      </w:pPr>
      <w:r>
        <w:rPr>
          <w:spacing w:val="-20"/>
          <w:sz w:val="24"/>
          <w:szCs w:val="24"/>
        </w:rPr>
        <w:t>混凝土结硬后，应适时切缝。当为减少早期裂缝，切缝可采用“跳仓法”，即每隔几块板</w:t>
      </w:r>
      <w:r>
        <w:rPr>
          <w:spacing w:val="-17"/>
          <w:sz w:val="24"/>
          <w:szCs w:val="24"/>
        </w:rPr>
        <w:t>切一缝，然后再逐块锯。切缝深度为混凝土面板</w:t>
      </w:r>
      <w:r>
        <w:rPr>
          <w:spacing w:val="-18"/>
          <w:sz w:val="24"/>
          <w:szCs w:val="24"/>
        </w:rPr>
        <w:t>厚的1/4-1/5。</w:t>
      </w:r>
    </w:p>
    <w:p w14:paraId="4983343A">
      <w:pPr>
        <w:pStyle w:val="2"/>
        <w:spacing w:line="219" w:lineRule="auto"/>
        <w:ind w:left="1888"/>
        <w:rPr>
          <w:sz w:val="24"/>
          <w:szCs w:val="24"/>
        </w:rPr>
      </w:pPr>
      <w:r>
        <w:rPr>
          <w:spacing w:val="-13"/>
          <w:sz w:val="24"/>
          <w:szCs w:val="24"/>
        </w:rPr>
        <w:t>2.2.6.3胀缝设置</w:t>
      </w:r>
    </w:p>
    <w:p w14:paraId="2E338605">
      <w:pPr>
        <w:pStyle w:val="2"/>
        <w:spacing w:before="113" w:line="308" w:lineRule="auto"/>
        <w:ind w:left="1453" w:right="1411" w:firstLine="442"/>
        <w:rPr>
          <w:sz w:val="24"/>
          <w:szCs w:val="24"/>
        </w:rPr>
      </w:pPr>
      <w:r>
        <w:rPr>
          <w:spacing w:val="-21"/>
          <w:sz w:val="24"/>
          <w:szCs w:val="24"/>
        </w:rPr>
        <w:t>普通混凝土每400米设置胀缝一道，胀缝应设置补强钢筋支架、胀缝板和传力杆，胀缝缝宽20mm，传力杆一半以上长度表面应涂沥青并包裹聚氯乙烯膜，端部应戴长10cm活动套筒并留</w:t>
      </w:r>
      <w:r>
        <w:rPr>
          <w:spacing w:val="-18"/>
          <w:sz w:val="24"/>
          <w:szCs w:val="24"/>
        </w:rPr>
        <w:t>3cm空隙填塑料泡沫。胀缝传力杆间距为30cm</w:t>
      </w:r>
      <w:r>
        <w:rPr>
          <w:spacing w:val="-19"/>
          <w:sz w:val="24"/>
          <w:szCs w:val="24"/>
        </w:rPr>
        <w:t>，胀缝板应连续贯通整个路面板宽度。</w:t>
      </w:r>
    </w:p>
    <w:p w14:paraId="53CBDFAC">
      <w:pPr>
        <w:pStyle w:val="2"/>
        <w:spacing w:line="217" w:lineRule="auto"/>
        <w:ind w:left="1888"/>
        <w:rPr>
          <w:sz w:val="24"/>
          <w:szCs w:val="24"/>
        </w:rPr>
      </w:pPr>
      <w:r>
        <w:rPr>
          <w:spacing w:val="-11"/>
          <w:sz w:val="24"/>
          <w:szCs w:val="24"/>
        </w:rPr>
        <w:t>2.2.7养生</w:t>
      </w:r>
    </w:p>
    <w:p w14:paraId="51BBA014">
      <w:pPr>
        <w:pStyle w:val="2"/>
        <w:spacing w:before="116" w:line="216" w:lineRule="auto"/>
        <w:ind w:left="1892"/>
        <w:rPr>
          <w:sz w:val="24"/>
          <w:szCs w:val="24"/>
        </w:rPr>
      </w:pPr>
      <w:r>
        <w:rPr>
          <w:spacing w:val="-20"/>
          <w:sz w:val="24"/>
          <w:szCs w:val="24"/>
        </w:rPr>
        <w:t>施工结束后应立即进行养护。</w:t>
      </w:r>
    </w:p>
    <w:p w14:paraId="40931288">
      <w:pPr>
        <w:pStyle w:val="2"/>
        <w:spacing w:before="120" w:line="264" w:lineRule="auto"/>
        <w:ind w:left="1466" w:right="1412" w:firstLine="421"/>
        <w:rPr>
          <w:sz w:val="24"/>
          <w:szCs w:val="24"/>
        </w:rPr>
      </w:pPr>
      <w:r>
        <w:rPr>
          <w:spacing w:val="-20"/>
          <w:sz w:val="24"/>
          <w:szCs w:val="24"/>
        </w:rPr>
        <w:t>2.2.7.1用土工布覆盖，洒水养生并加盖</w:t>
      </w:r>
      <w:r>
        <w:rPr>
          <w:spacing w:val="-21"/>
          <w:sz w:val="24"/>
          <w:szCs w:val="24"/>
        </w:rPr>
        <w:t>草帘保温保湿，应特别注重7天的保湿养生。养生</w:t>
      </w:r>
      <w:r>
        <w:rPr>
          <w:spacing w:val="-14"/>
          <w:sz w:val="24"/>
          <w:szCs w:val="24"/>
        </w:rPr>
        <w:t>总日期为28天。</w:t>
      </w:r>
    </w:p>
    <w:p w14:paraId="16C37A82">
      <w:pPr>
        <w:pStyle w:val="2"/>
        <w:spacing w:before="114" w:line="206" w:lineRule="auto"/>
        <w:ind w:left="1888"/>
        <w:rPr>
          <w:sz w:val="24"/>
          <w:szCs w:val="24"/>
        </w:rPr>
      </w:pPr>
      <w:r>
        <w:rPr>
          <w:spacing w:val="-16"/>
          <w:sz w:val="24"/>
          <w:szCs w:val="24"/>
        </w:rPr>
        <w:t>2.2.7.2混凝土面板在养护期间和填缝</w:t>
      </w:r>
      <w:r>
        <w:rPr>
          <w:spacing w:val="-17"/>
          <w:sz w:val="24"/>
          <w:szCs w:val="24"/>
        </w:rPr>
        <w:t>前，禁止车辆通行。</w:t>
      </w:r>
    </w:p>
    <w:p w14:paraId="184E5C94">
      <w:pPr>
        <w:spacing w:line="4404" w:lineRule="exact"/>
        <w:ind w:firstLine="1765"/>
      </w:pPr>
      <w:r>
        <w:rPr>
          <w:position w:val="-88"/>
        </w:rPr>
        <w:pict>
          <v:group id="_x0000_s1800" o:spid="_x0000_s1800" o:spt="203" style="height:220.25pt;width:418.6pt;" coordsize="8372,4405">
            <o:lock v:ext="edit"/>
            <v:shape id="_x0000_s1801" o:spid="_x0000_s1801" o:spt="75" type="#_x0000_t75" style="position:absolute;left:17;top:17;height:4373;width:8340;" filled="f" stroked="f" coordsize="21600,21600">
              <v:path/>
              <v:fill on="f" focussize="0,0"/>
              <v:stroke on="f"/>
              <v:imagedata r:id="rId574" o:title=""/>
              <o:lock v:ext="edit" aspectratio="t"/>
            </v:shape>
            <v:shape id="_x0000_s1802" o:spid="_x0000_s1802" o:spt="202" type="#_x0000_t202" style="position:absolute;left:-20;top:-20;height:4445;width:8412;" filled="f" stroked="f" coordsize="21600,21600">
              <v:path/>
              <v:fill on="f" focussize="0,0"/>
              <v:stroke on="f"/>
              <v:imagedata o:title=""/>
              <o:lock v:ext="edit" aspectratio="f"/>
              <v:textbox inset="0mm,0mm,0mm,0mm">
                <w:txbxContent>
                  <w:p w14:paraId="36343583">
                    <w:pPr>
                      <w:spacing w:line="20" w:lineRule="exact"/>
                    </w:pPr>
                  </w:p>
                  <w:tbl>
                    <w:tblPr>
                      <w:tblStyle w:val="6"/>
                      <w:tblW w:w="8356" w:type="dxa"/>
                      <w:tblInd w:w="27" w:type="dxa"/>
                      <w:tblBorders>
                        <w:top w:val="single" w:color="0070C0" w:sz="6" w:space="0"/>
                        <w:left w:val="single" w:color="0070C0" w:sz="6" w:space="0"/>
                        <w:bottom w:val="single" w:color="0070C0" w:sz="6" w:space="0"/>
                        <w:right w:val="single" w:color="0070C0" w:sz="6" w:space="0"/>
                        <w:insideH w:val="none" w:color="auto" w:sz="0" w:space="0"/>
                        <w:insideV w:val="none" w:color="auto" w:sz="0" w:space="0"/>
                      </w:tblBorders>
                      <w:tblLayout w:type="fixed"/>
                      <w:tblCellMar>
                        <w:top w:w="0" w:type="dxa"/>
                        <w:left w:w="0" w:type="dxa"/>
                        <w:bottom w:w="0" w:type="dxa"/>
                        <w:right w:w="0" w:type="dxa"/>
                      </w:tblCellMar>
                    </w:tblPr>
                    <w:tblGrid>
                      <w:gridCol w:w="8356"/>
                    </w:tblGrid>
                    <w:tr w14:paraId="60FE3E0B">
                      <w:tblPrEx>
                        <w:tblBorders>
                          <w:top w:val="single" w:color="0070C0" w:sz="6" w:space="0"/>
                          <w:left w:val="single" w:color="0070C0" w:sz="6" w:space="0"/>
                          <w:bottom w:val="single" w:color="0070C0" w:sz="6" w:space="0"/>
                          <w:right w:val="single" w:color="0070C0" w:sz="6" w:space="0"/>
                          <w:insideH w:val="none" w:color="auto" w:sz="0" w:space="0"/>
                          <w:insideV w:val="none" w:color="auto" w:sz="0" w:space="0"/>
                        </w:tblBorders>
                        <w:tblCellMar>
                          <w:top w:w="0" w:type="dxa"/>
                          <w:left w:w="0" w:type="dxa"/>
                          <w:bottom w:w="0" w:type="dxa"/>
                          <w:right w:w="0" w:type="dxa"/>
                        </w:tblCellMar>
                      </w:tblPrEx>
                      <w:trPr>
                        <w:trHeight w:val="4374" w:hRule="atLeast"/>
                      </w:trPr>
                      <w:tc>
                        <w:tcPr>
                          <w:tcW w:w="8356" w:type="dxa"/>
                          <w:vAlign w:val="top"/>
                        </w:tcPr>
                        <w:p w14:paraId="1EA3D693">
                          <w:pPr>
                            <w:rPr>
                              <w:rFonts w:ascii="Arial"/>
                              <w:sz w:val="21"/>
                            </w:rPr>
                          </w:pPr>
                        </w:p>
                      </w:tc>
                    </w:tr>
                  </w:tbl>
                  <w:p w14:paraId="78B1CC18">
                    <w:pPr>
                      <w:rPr>
                        <w:rFonts w:ascii="Arial"/>
                        <w:sz w:val="21"/>
                      </w:rPr>
                    </w:pPr>
                  </w:p>
                </w:txbxContent>
              </v:textbox>
            </v:shape>
            <w10:wrap type="none"/>
            <w10:anchorlock/>
          </v:group>
        </w:pict>
      </w:r>
    </w:p>
    <w:p w14:paraId="79B9F5C9">
      <w:pPr>
        <w:pStyle w:val="2"/>
        <w:spacing w:before="102" w:line="216" w:lineRule="auto"/>
        <w:ind w:left="1888"/>
        <w:rPr>
          <w:sz w:val="24"/>
          <w:szCs w:val="24"/>
        </w:rPr>
      </w:pPr>
      <w:r>
        <w:rPr>
          <w:spacing w:val="-18"/>
          <w:sz w:val="24"/>
          <w:szCs w:val="24"/>
        </w:rPr>
        <w:t>2.2.8混凝土路面质量检查标准</w:t>
      </w:r>
    </w:p>
    <w:p w14:paraId="7640AED9">
      <w:pPr>
        <w:pStyle w:val="2"/>
        <w:spacing w:before="120" w:line="218" w:lineRule="auto"/>
        <w:ind w:left="1892"/>
        <w:rPr>
          <w:sz w:val="24"/>
          <w:szCs w:val="24"/>
        </w:rPr>
      </w:pPr>
      <w:r>
        <w:rPr>
          <w:spacing w:val="-20"/>
          <w:sz w:val="24"/>
          <w:szCs w:val="24"/>
        </w:rPr>
        <w:t>水泥混凝土实测项目表</w:t>
      </w:r>
    </w:p>
    <w:p w14:paraId="4F230B31">
      <w:pPr>
        <w:spacing w:line="26" w:lineRule="auto"/>
        <w:rPr>
          <w:rFonts w:ascii="Arial"/>
          <w:sz w:val="2"/>
        </w:rPr>
      </w:pPr>
    </w:p>
    <w:tbl>
      <w:tblPr>
        <w:tblStyle w:val="6"/>
        <w:tblW w:w="9118" w:type="dxa"/>
        <w:tblInd w:w="139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67"/>
        <w:gridCol w:w="480"/>
        <w:gridCol w:w="722"/>
        <w:gridCol w:w="262"/>
        <w:gridCol w:w="986"/>
        <w:gridCol w:w="1573"/>
        <w:gridCol w:w="1570"/>
        <w:gridCol w:w="2545"/>
        <w:gridCol w:w="621"/>
        <w:gridCol w:w="192"/>
      </w:tblGrid>
      <w:tr w14:paraId="102163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0" w:hRule="atLeast"/>
        </w:trPr>
        <w:tc>
          <w:tcPr>
            <w:tcW w:w="647" w:type="dxa"/>
            <w:gridSpan w:val="2"/>
            <w:vMerge w:val="restart"/>
            <w:tcBorders>
              <w:top w:val="single" w:color="000000" w:sz="4" w:space="0"/>
              <w:left w:val="single" w:color="000000" w:sz="4" w:space="0"/>
              <w:bottom w:val="nil"/>
            </w:tcBorders>
            <w:shd w:val="clear" w:color="auto" w:fill="DEEAF6"/>
            <w:vAlign w:val="top"/>
          </w:tcPr>
          <w:p w14:paraId="3ED420D0">
            <w:pPr>
              <w:spacing w:before="33" w:line="60" w:lineRule="exact"/>
              <w:ind w:firstLine="33"/>
            </w:pPr>
            <w:r>
              <w:pict>
                <v:shape id="_x0000_s1803" o:spid="_x0000_s1803" style="position:absolute;left:0pt;margin-left:-0.2pt;margin-top:0pt;height:0.75pt;width:2.2pt;mso-position-horizontal-relative:page;mso-position-vertical-relative:page;z-index:251854848;mso-width-relative:page;mso-height-relative:page;" fillcolor="#5B9BD5" filled="t" stroked="f" coordsize="44,15" path="m0,14l43,14,43,0,0,0,0,14xe">
                  <v:path/>
                  <v:fill on="t" focussize="0,0"/>
                  <v:stroke on="f"/>
                  <v:imagedata o:title=""/>
                  <o:lock v:ext="edit"/>
                </v:shape>
              </w:pict>
            </w:r>
            <w:r>
              <w:rPr>
                <w:position w:val="-1"/>
              </w:rPr>
              <w:pict>
                <v:shape id="_x0000_s1804" o:spid="_x0000_s1804" style="height:3pt;width:29.65pt;" fillcolor="#DEEAF6" filled="t" stroked="f" coordsize="592,60" path="m0,60l592,60,592,0,0,0,0,60xe">
                  <v:path/>
                  <v:fill on="t" focussize="0,0"/>
                  <v:stroke on="f"/>
                  <v:imagedata o:title=""/>
                  <o:lock v:ext="edit"/>
                  <w10:wrap type="none"/>
                  <w10:anchorlock/>
                </v:shape>
              </w:pict>
            </w:r>
          </w:p>
          <w:p w14:paraId="2D85B769">
            <w:pPr>
              <w:spacing w:line="241" w:lineRule="auto"/>
              <w:rPr>
                <w:rFonts w:ascii="Arial"/>
                <w:sz w:val="21"/>
              </w:rPr>
            </w:pPr>
          </w:p>
          <w:p w14:paraId="58A6B0EA">
            <w:pPr>
              <w:spacing w:line="242" w:lineRule="auto"/>
              <w:rPr>
                <w:rFonts w:ascii="Arial"/>
                <w:sz w:val="21"/>
              </w:rPr>
            </w:pPr>
          </w:p>
          <w:p w14:paraId="7C78C9B2">
            <w:pPr>
              <w:pStyle w:val="7"/>
              <w:spacing w:before="78" w:line="219" w:lineRule="auto"/>
              <w:ind w:left="119"/>
            </w:pPr>
            <w:r>
              <w:rPr>
                <w:b/>
                <w:bCs/>
                <w:spacing w:val="-13"/>
              </w:rPr>
              <w:t>项次</w:t>
            </w:r>
          </w:p>
        </w:tc>
        <w:tc>
          <w:tcPr>
            <w:tcW w:w="1970" w:type="dxa"/>
            <w:gridSpan w:val="3"/>
            <w:vMerge w:val="restart"/>
            <w:tcBorders>
              <w:top w:val="single" w:color="000000" w:sz="4" w:space="0"/>
              <w:bottom w:val="nil"/>
            </w:tcBorders>
            <w:shd w:val="clear" w:color="auto" w:fill="DEEAF6"/>
            <w:vAlign w:val="top"/>
          </w:tcPr>
          <w:p w14:paraId="1F4BEBE4">
            <w:pPr>
              <w:spacing w:line="33" w:lineRule="exact"/>
              <w:ind w:firstLine="1952"/>
            </w:pPr>
            <w:r>
              <w:pict>
                <v:group id="_x0000_s1805" o:spid="_x0000_s1805" o:spt="203" style="height:2.2pt;width:2.2pt;" coordsize="44,44">
                  <o:lock v:ext="edit"/>
                  <v:shape id="_x0000_s1806" o:spid="_x0000_s1806" style="position:absolute;left:0;top:0;height:15;width:44;" fillcolor="#5B9BD5" filled="t" stroked="f" coordsize="44,15" path="m0,14l43,14,43,0,0,0,0,14xe">
                    <v:path/>
                    <v:fill on="t" focussize="0,0"/>
                    <v:stroke on="f"/>
                    <v:imagedata o:title=""/>
                    <o:lock v:ext="edit"/>
                  </v:shape>
                  <v:shape id="_x0000_s1807" o:spid="_x0000_s1807" style="position:absolute;left:0;top:14;height:15;width:44;" fillcolor="#20507B" filled="t" stroked="f" coordsize="44,15" path="m0,14l43,14,43,0,0,0,0,14xe">
                    <v:path/>
                    <v:fill on="t" focussize="0,0"/>
                    <v:stroke on="f"/>
                    <v:imagedata o:title=""/>
                    <o:lock v:ext="edit"/>
                  </v:shape>
                  <v:shape id="_x0000_s1808" o:spid="_x0000_s1808" style="position:absolute;left:0;top:28;height:15;width:44;" fillcolor="#1C456A" filled="t" stroked="f" coordsize="44,15" path="m0,14l43,14,43,0,0,0,0,14xe">
                    <v:path/>
                    <v:fill on="t" focussize="0,0"/>
                    <v:stroke on="f"/>
                    <v:imagedata o:title=""/>
                    <o:lock v:ext="edit"/>
                  </v:shape>
                  <w10:wrap type="none"/>
                  <w10:anchorlock/>
                </v:group>
              </w:pict>
            </w:r>
          </w:p>
          <w:p w14:paraId="22EF3D48">
            <w:pPr>
              <w:spacing w:line="271" w:lineRule="auto"/>
              <w:rPr>
                <w:rFonts w:ascii="Arial"/>
                <w:sz w:val="21"/>
              </w:rPr>
            </w:pPr>
          </w:p>
          <w:p w14:paraId="35E920AF">
            <w:pPr>
              <w:spacing w:line="271" w:lineRule="auto"/>
              <w:rPr>
                <w:rFonts w:ascii="Arial"/>
                <w:sz w:val="21"/>
              </w:rPr>
            </w:pPr>
          </w:p>
          <w:p w14:paraId="19510250">
            <w:pPr>
              <w:pStyle w:val="7"/>
              <w:spacing w:before="78" w:line="216" w:lineRule="auto"/>
              <w:ind w:left="551"/>
            </w:pPr>
            <w:r>
              <w:rPr>
                <w:b/>
                <w:bCs/>
                <w:spacing w:val="-19"/>
              </w:rPr>
              <w:t>检查项目</w:t>
            </w:r>
          </w:p>
        </w:tc>
        <w:tc>
          <w:tcPr>
            <w:tcW w:w="3143" w:type="dxa"/>
            <w:gridSpan w:val="2"/>
            <w:tcBorders>
              <w:top w:val="single" w:color="000000" w:sz="4" w:space="0"/>
            </w:tcBorders>
            <w:shd w:val="clear" w:color="auto" w:fill="DEEAF6"/>
            <w:vAlign w:val="top"/>
          </w:tcPr>
          <w:p w14:paraId="5987415F">
            <w:pPr>
              <w:pStyle w:val="7"/>
              <w:spacing w:before="127" w:line="218" w:lineRule="auto"/>
              <w:ind w:left="698"/>
            </w:pPr>
            <w:r>
              <w:rPr>
                <w:b/>
                <w:bCs/>
                <w:spacing w:val="-21"/>
              </w:rPr>
              <w:t>规定值或允许偏差</w:t>
            </w:r>
          </w:p>
        </w:tc>
        <w:tc>
          <w:tcPr>
            <w:tcW w:w="2545" w:type="dxa"/>
            <w:vMerge w:val="restart"/>
            <w:tcBorders>
              <w:top w:val="single" w:color="000000" w:sz="4" w:space="0"/>
              <w:bottom w:val="nil"/>
            </w:tcBorders>
            <w:shd w:val="clear" w:color="auto" w:fill="DEEAF6"/>
            <w:vAlign w:val="top"/>
          </w:tcPr>
          <w:p w14:paraId="0CEE234A">
            <w:pPr>
              <w:spacing w:line="33" w:lineRule="exact"/>
            </w:pPr>
            <w:r>
              <w:pict>
                <v:group id="_x0000_s1809" o:spid="_x0000_s1809" o:spt="203" style="height:2.2pt;width:2.2pt;" coordsize="44,44">
                  <o:lock v:ext="edit"/>
                  <v:shape id="_x0000_s1810" o:spid="_x0000_s1810" style="position:absolute;left:0;top:0;height:15;width:44;" fillcolor="#5B9BD5" filled="t" stroked="f" coordsize="44,15" path="m0,14l43,14,43,0,0,0,0,14xe">
                    <v:path/>
                    <v:fill on="t" focussize="0,0"/>
                    <v:stroke on="f"/>
                    <v:imagedata o:title=""/>
                    <o:lock v:ext="edit"/>
                  </v:shape>
                  <v:shape id="_x0000_s1811" o:spid="_x0000_s1811" style="position:absolute;left:0;top:14;height:15;width:44;" fillcolor="#20507B" filled="t" stroked="f" coordsize="44,15" path="m0,14l43,14,43,0,0,0,0,14xe">
                    <v:path/>
                    <v:fill on="t" focussize="0,0"/>
                    <v:stroke on="f"/>
                    <v:imagedata o:title=""/>
                    <o:lock v:ext="edit"/>
                  </v:shape>
                  <v:shape id="_x0000_s1812" o:spid="_x0000_s1812" style="position:absolute;left:0;top:28;height:15;width:44;" fillcolor="#1C456A" filled="t" stroked="f" coordsize="44,15" path="m0,14l43,14,43,0,0,0,0,14xe">
                    <v:path/>
                    <v:fill on="t" focussize="0,0"/>
                    <v:stroke on="f"/>
                    <v:imagedata o:title=""/>
                    <o:lock v:ext="edit"/>
                  </v:shape>
                  <w10:wrap type="none"/>
                  <w10:anchorlock/>
                </v:group>
              </w:pict>
            </w:r>
          </w:p>
          <w:p w14:paraId="7EBD2ACF">
            <w:pPr>
              <w:spacing w:line="271" w:lineRule="auto"/>
              <w:rPr>
                <w:rFonts w:ascii="Arial"/>
                <w:sz w:val="21"/>
              </w:rPr>
            </w:pPr>
          </w:p>
          <w:p w14:paraId="5B7A0E62">
            <w:pPr>
              <w:spacing w:line="271" w:lineRule="auto"/>
              <w:rPr>
                <w:rFonts w:ascii="Arial"/>
                <w:sz w:val="21"/>
              </w:rPr>
            </w:pPr>
          </w:p>
          <w:p w14:paraId="2E3328F0">
            <w:pPr>
              <w:pStyle w:val="7"/>
              <w:spacing w:before="78" w:line="216" w:lineRule="auto"/>
              <w:ind w:left="517"/>
            </w:pPr>
            <w:r>
              <w:rPr>
                <w:b/>
                <w:bCs/>
                <w:spacing w:val="-21"/>
              </w:rPr>
              <w:t>检查方法和频率</w:t>
            </w:r>
          </w:p>
        </w:tc>
        <w:tc>
          <w:tcPr>
            <w:tcW w:w="813" w:type="dxa"/>
            <w:gridSpan w:val="2"/>
            <w:vMerge w:val="restart"/>
            <w:tcBorders>
              <w:top w:val="single" w:color="5B9BD5" w:sz="4" w:space="0"/>
              <w:bottom w:val="nil"/>
              <w:right w:val="single" w:color="5B9BD5" w:sz="4" w:space="0"/>
            </w:tcBorders>
            <w:shd w:val="clear" w:color="auto" w:fill="DEEAF6"/>
            <w:vAlign w:val="top"/>
          </w:tcPr>
          <w:p w14:paraId="7D190781">
            <w:pPr>
              <w:spacing w:line="287" w:lineRule="auto"/>
              <w:rPr>
                <w:rFonts w:ascii="Arial"/>
                <w:sz w:val="21"/>
              </w:rPr>
            </w:pPr>
            <w:r>
              <w:pict>
                <v:shape id="_x0000_s1813" o:spid="_x0000_s1813" style="position:absolute;left:0pt;margin-left:38.8pt;margin-top:0pt;height:0.75pt;width:2.2pt;mso-position-horizontal-relative:page;mso-position-vertical-relative:page;z-index:251853824;mso-width-relative:page;mso-height-relative:page;" fillcolor="#5B9BD5" filled="t" stroked="f" coordsize="44,15" path="m0,14l43,14,43,0,0,0,0,14xe">
                  <v:path/>
                  <v:fill on="t" focussize="0,0"/>
                  <v:stroke on="f"/>
                  <v:imagedata o:title=""/>
                  <o:lock v:ext="edit"/>
                </v:shape>
              </w:pict>
            </w:r>
            <w:r>
              <w:pict>
                <v:group id="_x0000_s1814" o:spid="_x0000_s1814" o:spt="203" style="position:absolute;left:0pt;margin-left:38.8pt;margin-top:31.3pt;height:3.4pt;width:1.45pt;mso-position-horizontal-relative:page;mso-position-vertical-relative:page;z-index:251852800;mso-width-relative:page;mso-height-relative:page;" coordsize="29,68">
                  <o:lock v:ext="edit"/>
                  <v:shape id="_x0000_s1815" o:spid="_x0000_s1815" style="position:absolute;left:14;top:0;height:68;width:15;" fillcolor="#20507B" filled="t" stroked="f" coordsize="15,68" path="m0,67l14,67,14,0,0,0,0,67xe">
                    <v:path/>
                    <v:fill on="t" focussize="0,0"/>
                    <v:stroke on="f"/>
                    <v:imagedata o:title=""/>
                    <o:lock v:ext="edit"/>
                  </v:shape>
                  <v:shape id="_x0000_s1816" o:spid="_x0000_s1816" style="position:absolute;left:0;top:0;height:68;width:15;" fillcolor="#1C456A" filled="t" stroked="f" coordsize="15,68" path="m0,67l14,67,14,0,0,0,0,67xe">
                    <v:path/>
                    <v:fill on="t" focussize="0,0"/>
                    <v:stroke on="f"/>
                    <v:imagedata o:title=""/>
                    <o:lock v:ext="edit"/>
                  </v:shape>
                </v:group>
              </w:pict>
            </w:r>
          </w:p>
          <w:p w14:paraId="7477E250">
            <w:pPr>
              <w:spacing w:line="288" w:lineRule="auto"/>
              <w:rPr>
                <w:rFonts w:ascii="Arial"/>
                <w:sz w:val="21"/>
              </w:rPr>
            </w:pPr>
          </w:p>
          <w:p w14:paraId="05A12B96">
            <w:pPr>
              <w:pStyle w:val="7"/>
              <w:spacing w:before="78" w:line="218" w:lineRule="auto"/>
              <w:ind w:left="190"/>
            </w:pPr>
            <w:r>
              <w:rPr>
                <w:b/>
                <w:bCs/>
                <w:spacing w:val="-12"/>
              </w:rPr>
              <w:t>权值</w:t>
            </w:r>
          </w:p>
        </w:tc>
      </w:tr>
      <w:tr w14:paraId="16F100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51" w:hRule="atLeast"/>
        </w:trPr>
        <w:tc>
          <w:tcPr>
            <w:tcW w:w="647" w:type="dxa"/>
            <w:gridSpan w:val="2"/>
            <w:vMerge w:val="continue"/>
            <w:tcBorders>
              <w:top w:val="nil"/>
              <w:left w:val="single" w:color="000000" w:sz="4" w:space="0"/>
            </w:tcBorders>
            <w:vAlign w:val="top"/>
          </w:tcPr>
          <w:p w14:paraId="2836D817">
            <w:pPr>
              <w:rPr>
                <w:rFonts w:ascii="Arial"/>
                <w:sz w:val="21"/>
              </w:rPr>
            </w:pPr>
          </w:p>
        </w:tc>
        <w:tc>
          <w:tcPr>
            <w:tcW w:w="1970" w:type="dxa"/>
            <w:gridSpan w:val="3"/>
            <w:vMerge w:val="continue"/>
            <w:tcBorders>
              <w:top w:val="nil"/>
            </w:tcBorders>
            <w:vAlign w:val="top"/>
          </w:tcPr>
          <w:p w14:paraId="1B7211AD">
            <w:pPr>
              <w:rPr>
                <w:rFonts w:ascii="Arial"/>
                <w:sz w:val="21"/>
              </w:rPr>
            </w:pPr>
          </w:p>
        </w:tc>
        <w:tc>
          <w:tcPr>
            <w:tcW w:w="1573" w:type="dxa"/>
            <w:vAlign w:val="top"/>
          </w:tcPr>
          <w:p w14:paraId="1BA651BB">
            <w:pPr>
              <w:pStyle w:val="7"/>
              <w:spacing w:before="94" w:line="219" w:lineRule="auto"/>
              <w:ind w:left="140"/>
            </w:pPr>
            <w:r>
              <w:rPr>
                <w:spacing w:val="-19"/>
              </w:rPr>
              <w:t>高速公路一级</w:t>
            </w:r>
          </w:p>
          <w:p w14:paraId="0B7DF501">
            <w:pPr>
              <w:pStyle w:val="7"/>
              <w:spacing w:before="181" w:line="219" w:lineRule="auto"/>
              <w:ind w:left="574"/>
            </w:pPr>
            <w:r>
              <w:rPr>
                <w:spacing w:val="-11"/>
              </w:rPr>
              <w:t>公路</w:t>
            </w:r>
          </w:p>
        </w:tc>
        <w:tc>
          <w:tcPr>
            <w:tcW w:w="1570" w:type="dxa"/>
            <w:vAlign w:val="top"/>
          </w:tcPr>
          <w:p w14:paraId="55634F48">
            <w:pPr>
              <w:spacing w:line="248" w:lineRule="auto"/>
              <w:rPr>
                <w:rFonts w:ascii="Arial"/>
                <w:sz w:val="21"/>
              </w:rPr>
            </w:pPr>
          </w:p>
          <w:p w14:paraId="6FB9B6D5">
            <w:pPr>
              <w:pStyle w:val="7"/>
              <w:spacing w:before="78" w:line="217" w:lineRule="auto"/>
              <w:ind w:left="356"/>
            </w:pPr>
            <w:r>
              <w:rPr>
                <w:spacing w:val="-16"/>
              </w:rPr>
              <w:t>其他公路</w:t>
            </w:r>
          </w:p>
        </w:tc>
        <w:tc>
          <w:tcPr>
            <w:tcW w:w="2545" w:type="dxa"/>
            <w:vMerge w:val="continue"/>
            <w:tcBorders>
              <w:top w:val="nil"/>
            </w:tcBorders>
            <w:vAlign w:val="top"/>
          </w:tcPr>
          <w:p w14:paraId="562A8041">
            <w:pPr>
              <w:rPr>
                <w:rFonts w:ascii="Arial"/>
                <w:sz w:val="21"/>
              </w:rPr>
            </w:pPr>
          </w:p>
        </w:tc>
        <w:tc>
          <w:tcPr>
            <w:tcW w:w="813" w:type="dxa"/>
            <w:gridSpan w:val="2"/>
            <w:vMerge w:val="continue"/>
            <w:tcBorders>
              <w:top w:val="nil"/>
              <w:right w:val="single" w:color="5B9BD5" w:sz="4" w:space="0"/>
            </w:tcBorders>
            <w:vAlign w:val="top"/>
          </w:tcPr>
          <w:p w14:paraId="45070658">
            <w:pPr>
              <w:rPr>
                <w:rFonts w:ascii="Arial"/>
                <w:sz w:val="21"/>
              </w:rPr>
            </w:pPr>
          </w:p>
        </w:tc>
      </w:tr>
      <w:tr w14:paraId="046FCE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1" w:hRule="atLeast"/>
        </w:trPr>
        <w:tc>
          <w:tcPr>
            <w:tcW w:w="647" w:type="dxa"/>
            <w:gridSpan w:val="2"/>
            <w:tcBorders>
              <w:left w:val="single" w:color="000000" w:sz="4" w:space="0"/>
            </w:tcBorders>
            <w:vAlign w:val="top"/>
          </w:tcPr>
          <w:p w14:paraId="4536D1CC">
            <w:pPr>
              <w:pStyle w:val="7"/>
              <w:spacing w:before="100" w:line="238" w:lineRule="auto"/>
              <w:ind w:left="294"/>
            </w:pPr>
            <w:r>
              <w:t>1</w:t>
            </w:r>
          </w:p>
        </w:tc>
        <w:tc>
          <w:tcPr>
            <w:tcW w:w="1970" w:type="dxa"/>
            <w:gridSpan w:val="3"/>
            <w:vAlign w:val="top"/>
          </w:tcPr>
          <w:p w14:paraId="0DEDFFE4">
            <w:pPr>
              <w:pStyle w:val="7"/>
              <w:spacing w:before="100" w:line="218" w:lineRule="auto"/>
              <w:ind w:left="284"/>
            </w:pPr>
            <w:r>
              <w:rPr>
                <w:spacing w:val="-17"/>
              </w:rPr>
              <w:t>弯拉强度(MPa)</w:t>
            </w:r>
          </w:p>
        </w:tc>
        <w:tc>
          <w:tcPr>
            <w:tcW w:w="3143" w:type="dxa"/>
            <w:gridSpan w:val="2"/>
            <w:vAlign w:val="top"/>
          </w:tcPr>
          <w:p w14:paraId="2D62806C">
            <w:pPr>
              <w:pStyle w:val="7"/>
              <w:spacing w:before="100" w:line="215" w:lineRule="auto"/>
              <w:ind w:left="813"/>
            </w:pPr>
            <w:r>
              <w:rPr>
                <w:spacing w:val="-19"/>
              </w:rPr>
              <w:t>在合格标准之内</w:t>
            </w:r>
          </w:p>
        </w:tc>
        <w:tc>
          <w:tcPr>
            <w:tcW w:w="2545" w:type="dxa"/>
            <w:vAlign w:val="top"/>
          </w:tcPr>
          <w:p w14:paraId="16ADB792">
            <w:pPr>
              <w:pStyle w:val="7"/>
              <w:spacing w:before="100" w:line="216" w:lineRule="auto"/>
              <w:ind w:left="628"/>
            </w:pPr>
            <w:r>
              <w:rPr>
                <w:spacing w:val="-9"/>
              </w:rPr>
              <w:t>按附录C检查</w:t>
            </w:r>
          </w:p>
        </w:tc>
        <w:tc>
          <w:tcPr>
            <w:tcW w:w="621" w:type="dxa"/>
            <w:tcBorders>
              <w:right w:val="nil"/>
            </w:tcBorders>
            <w:vAlign w:val="top"/>
          </w:tcPr>
          <w:p w14:paraId="54ECEDBE">
            <w:pPr>
              <w:pStyle w:val="7"/>
              <w:spacing w:before="100" w:line="237" w:lineRule="auto"/>
              <w:ind w:left="354"/>
            </w:pPr>
            <w:r>
              <w:t>3</w:t>
            </w:r>
          </w:p>
        </w:tc>
        <w:tc>
          <w:tcPr>
            <w:tcW w:w="192" w:type="dxa"/>
            <w:tcBorders>
              <w:left w:val="nil"/>
              <w:right w:val="single" w:color="000000" w:sz="4" w:space="0"/>
            </w:tcBorders>
            <w:vAlign w:val="top"/>
          </w:tcPr>
          <w:p w14:paraId="3F4AE68C">
            <w:pPr>
              <w:spacing w:line="61" w:lineRule="exact"/>
              <w:ind w:firstLine="154"/>
            </w:pPr>
            <w:r>
              <w:rPr>
                <w:position w:val="-1"/>
              </w:rPr>
              <w:pict>
                <v:group id="_x0000_s1817" o:spid="_x0000_s1817" o:spt="203" style="height:3.4pt;width:1.45pt;" coordsize="29,68">
                  <o:lock v:ext="edit"/>
                  <v:shape id="_x0000_s1818" o:spid="_x0000_s1818" style="position:absolute;left:14;top:0;height:68;width:15;" fillcolor="#20507B" filled="t" stroked="f" coordsize="15,68" path="m0,67l14,67,14,0,0,0,0,67xe">
                    <v:path/>
                    <v:fill on="t" focussize="0,0"/>
                    <v:stroke on="f"/>
                    <v:imagedata o:title=""/>
                    <o:lock v:ext="edit"/>
                  </v:shape>
                  <v:shape id="_x0000_s1819" o:spid="_x0000_s1819" style="position:absolute;left:0;top:0;height:68;width:15;" fillcolor="#1C456A" filled="t" stroked="f" coordsize="15,68" path="m0,67l14,67,14,0,0,0,0,67xe">
                    <v:path/>
                    <v:fill on="t" focussize="0,0"/>
                    <v:stroke on="f"/>
                    <v:imagedata o:title=""/>
                    <o:lock v:ext="edit"/>
                  </v:shape>
                  <w10:wrap type="none"/>
                  <w10:anchorlock/>
                </v:group>
              </w:pict>
            </w:r>
          </w:p>
        </w:tc>
      </w:tr>
      <w:tr w14:paraId="33B0DA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4" w:hRule="atLeast"/>
        </w:trPr>
        <w:tc>
          <w:tcPr>
            <w:tcW w:w="647" w:type="dxa"/>
            <w:gridSpan w:val="2"/>
            <w:vMerge w:val="restart"/>
            <w:tcBorders>
              <w:left w:val="single" w:color="000000" w:sz="4" w:space="0"/>
              <w:bottom w:val="nil"/>
            </w:tcBorders>
            <w:vAlign w:val="top"/>
          </w:tcPr>
          <w:p w14:paraId="6A5AB4ED">
            <w:pPr>
              <w:spacing w:line="315" w:lineRule="auto"/>
              <w:rPr>
                <w:rFonts w:ascii="Arial"/>
                <w:sz w:val="21"/>
              </w:rPr>
            </w:pPr>
          </w:p>
          <w:p w14:paraId="5EAA2DA1">
            <w:pPr>
              <w:pStyle w:val="7"/>
              <w:spacing w:before="78" w:line="238" w:lineRule="auto"/>
              <w:ind w:left="279"/>
            </w:pPr>
            <w:r>
              <w:t>2</w:t>
            </w:r>
          </w:p>
        </w:tc>
        <w:tc>
          <w:tcPr>
            <w:tcW w:w="984" w:type="dxa"/>
            <w:gridSpan w:val="2"/>
            <w:vMerge w:val="restart"/>
            <w:tcBorders>
              <w:bottom w:val="nil"/>
            </w:tcBorders>
            <w:vAlign w:val="top"/>
          </w:tcPr>
          <w:p w14:paraId="7D09568A">
            <w:pPr>
              <w:pStyle w:val="7"/>
              <w:spacing w:before="161" w:line="218" w:lineRule="auto"/>
              <w:ind w:left="164"/>
            </w:pPr>
            <w:r>
              <w:rPr>
                <w:spacing w:val="-13"/>
              </w:rPr>
              <w:t>板厚度</w:t>
            </w:r>
          </w:p>
          <w:p w14:paraId="5450CD10">
            <w:pPr>
              <w:pStyle w:val="7"/>
              <w:spacing w:before="181" w:line="220" w:lineRule="auto"/>
              <w:ind w:left="310"/>
            </w:pPr>
            <w:r>
              <w:rPr>
                <w:spacing w:val="-11"/>
                <w:w w:val="93"/>
              </w:rPr>
              <w:t>(mm)</w:t>
            </w:r>
          </w:p>
        </w:tc>
        <w:tc>
          <w:tcPr>
            <w:tcW w:w="986" w:type="dxa"/>
            <w:vAlign w:val="top"/>
          </w:tcPr>
          <w:p w14:paraId="1F731D06">
            <w:pPr>
              <w:pStyle w:val="7"/>
              <w:spacing w:before="99" w:line="219" w:lineRule="auto"/>
              <w:ind w:left="172"/>
            </w:pPr>
            <w:r>
              <w:rPr>
                <w:spacing w:val="-15"/>
              </w:rPr>
              <w:t>代表值</w:t>
            </w:r>
          </w:p>
        </w:tc>
        <w:tc>
          <w:tcPr>
            <w:tcW w:w="3143" w:type="dxa"/>
            <w:gridSpan w:val="2"/>
            <w:vAlign w:val="top"/>
          </w:tcPr>
          <w:p w14:paraId="564B41A7">
            <w:pPr>
              <w:pStyle w:val="7"/>
              <w:spacing w:before="99" w:line="237" w:lineRule="auto"/>
              <w:ind w:left="1426"/>
            </w:pPr>
            <w:r>
              <w:rPr>
                <w:spacing w:val="19"/>
                <w:w w:val="111"/>
              </w:rPr>
              <w:t>-5</w:t>
            </w:r>
          </w:p>
        </w:tc>
        <w:tc>
          <w:tcPr>
            <w:tcW w:w="2545" w:type="dxa"/>
            <w:vMerge w:val="restart"/>
            <w:tcBorders>
              <w:bottom w:val="nil"/>
            </w:tcBorders>
            <w:vAlign w:val="top"/>
          </w:tcPr>
          <w:p w14:paraId="0FDAFBEA">
            <w:pPr>
              <w:pStyle w:val="7"/>
              <w:spacing w:before="161" w:line="216" w:lineRule="auto"/>
              <w:ind w:left="628"/>
            </w:pPr>
            <w:r>
              <w:rPr>
                <w:spacing w:val="-9"/>
              </w:rPr>
              <w:t>按附录H检查</w:t>
            </w:r>
          </w:p>
          <w:p w14:paraId="6A86FEEF">
            <w:pPr>
              <w:pStyle w:val="7"/>
              <w:spacing w:before="185" w:line="215" w:lineRule="auto"/>
              <w:ind w:left="365"/>
            </w:pPr>
            <w:r>
              <w:rPr>
                <w:spacing w:val="-7"/>
              </w:rPr>
              <w:t>每200m每车道2处</w:t>
            </w:r>
          </w:p>
        </w:tc>
        <w:tc>
          <w:tcPr>
            <w:tcW w:w="621" w:type="dxa"/>
            <w:vMerge w:val="restart"/>
            <w:tcBorders>
              <w:bottom w:val="nil"/>
              <w:right w:val="nil"/>
            </w:tcBorders>
            <w:vAlign w:val="top"/>
          </w:tcPr>
          <w:p w14:paraId="761BA5A9">
            <w:pPr>
              <w:spacing w:line="314" w:lineRule="auto"/>
              <w:rPr>
                <w:rFonts w:ascii="Arial"/>
                <w:sz w:val="21"/>
              </w:rPr>
            </w:pPr>
          </w:p>
          <w:p w14:paraId="11CE9326">
            <w:pPr>
              <w:pStyle w:val="7"/>
              <w:spacing w:before="78" w:line="237" w:lineRule="auto"/>
              <w:ind w:left="354"/>
            </w:pPr>
            <w:r>
              <w:t>3</w:t>
            </w:r>
          </w:p>
        </w:tc>
        <w:tc>
          <w:tcPr>
            <w:tcW w:w="192" w:type="dxa"/>
            <w:vMerge w:val="restart"/>
            <w:tcBorders>
              <w:left w:val="nil"/>
              <w:bottom w:val="nil"/>
              <w:right w:val="single" w:color="000000" w:sz="4" w:space="0"/>
            </w:tcBorders>
            <w:vAlign w:val="top"/>
          </w:tcPr>
          <w:p w14:paraId="61AF31B8">
            <w:pPr>
              <w:spacing w:line="63" w:lineRule="exact"/>
              <w:ind w:firstLine="154"/>
            </w:pPr>
            <w:r>
              <w:rPr>
                <w:position w:val="-1"/>
              </w:rPr>
              <w:pict>
                <v:group id="_x0000_s1820" o:spid="_x0000_s1820" o:spt="203" style="height:3.4pt;width:1.45pt;" coordsize="29,68">
                  <o:lock v:ext="edit"/>
                  <v:shape id="_x0000_s1821" o:spid="_x0000_s1821" style="position:absolute;left:14;top:0;height:68;width:15;" fillcolor="#20507B" filled="t" stroked="f" coordsize="15,68" path="m0,67l14,67,14,0,0,0,0,67xe">
                    <v:path/>
                    <v:fill on="t" focussize="0,0"/>
                    <v:stroke on="f"/>
                    <v:imagedata o:title=""/>
                    <o:lock v:ext="edit"/>
                  </v:shape>
                  <v:shape id="_x0000_s1822" o:spid="_x0000_s1822" style="position:absolute;left:0;top:0;height:68;width:15;" fillcolor="#1C456A" filled="t" stroked="f" coordsize="15,68" path="m0,67l14,67,14,0,0,0,0,67xe">
                    <v:path/>
                    <v:fill on="t" focussize="0,0"/>
                    <v:stroke on="f"/>
                    <v:imagedata o:title=""/>
                    <o:lock v:ext="edit"/>
                  </v:shape>
                  <w10:wrap type="none"/>
                  <w10:anchorlock/>
                </v:group>
              </w:pict>
            </w:r>
          </w:p>
          <w:p w14:paraId="62BC543C">
            <w:pPr>
              <w:spacing w:line="259" w:lineRule="auto"/>
              <w:rPr>
                <w:rFonts w:ascii="Arial"/>
                <w:sz w:val="21"/>
              </w:rPr>
            </w:pPr>
          </w:p>
          <w:p w14:paraId="1F85949D">
            <w:pPr>
              <w:spacing w:line="260" w:lineRule="auto"/>
              <w:rPr>
                <w:rFonts w:ascii="Arial"/>
                <w:sz w:val="21"/>
              </w:rPr>
            </w:pPr>
          </w:p>
          <w:p w14:paraId="16C705F5">
            <w:pPr>
              <w:spacing w:before="1" w:line="67" w:lineRule="exact"/>
              <w:ind w:firstLine="154"/>
            </w:pPr>
            <w:r>
              <w:rPr>
                <w:position w:val="-1"/>
              </w:rPr>
              <w:pict>
                <v:group id="_x0000_s1823" o:spid="_x0000_s1823" o:spt="203" style="height:3.4pt;width:1.45pt;" coordsize="29,68">
                  <o:lock v:ext="edit"/>
                  <v:shape id="_x0000_s1824" o:spid="_x0000_s1824" style="position:absolute;left:14;top:0;height:68;width:15;" fillcolor="#20507B" filled="t" stroked="f" coordsize="15,68" path="m0,67l14,67,14,0,0,0,0,67xe">
                    <v:path/>
                    <v:fill on="t" focussize="0,0"/>
                    <v:stroke on="f"/>
                    <v:imagedata o:title=""/>
                    <o:lock v:ext="edit"/>
                  </v:shape>
                  <v:shape id="_x0000_s1825" o:spid="_x0000_s1825" style="position:absolute;left:0;top:0;height:68;width:15;" fillcolor="#1C456A" filled="t" stroked="f" coordsize="15,68" path="m0,67l14,67,14,0,0,0,0,67xe">
                    <v:path/>
                    <v:fill on="t" focussize="0,0"/>
                    <v:stroke on="f"/>
                    <v:imagedata o:title=""/>
                    <o:lock v:ext="edit"/>
                  </v:shape>
                  <w10:wrap type="none"/>
                  <w10:anchorlock/>
                </v:group>
              </w:pict>
            </w:r>
          </w:p>
        </w:tc>
      </w:tr>
      <w:tr w14:paraId="69D0E4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4" w:hRule="atLeast"/>
        </w:trPr>
        <w:tc>
          <w:tcPr>
            <w:tcW w:w="647" w:type="dxa"/>
            <w:gridSpan w:val="2"/>
            <w:vMerge w:val="continue"/>
            <w:tcBorders>
              <w:top w:val="nil"/>
              <w:left w:val="single" w:color="000000" w:sz="4" w:space="0"/>
            </w:tcBorders>
            <w:vAlign w:val="top"/>
          </w:tcPr>
          <w:p w14:paraId="7714D87F">
            <w:pPr>
              <w:rPr>
                <w:rFonts w:ascii="Arial"/>
                <w:sz w:val="21"/>
              </w:rPr>
            </w:pPr>
          </w:p>
        </w:tc>
        <w:tc>
          <w:tcPr>
            <w:tcW w:w="984" w:type="dxa"/>
            <w:gridSpan w:val="2"/>
            <w:vMerge w:val="continue"/>
            <w:tcBorders>
              <w:top w:val="nil"/>
            </w:tcBorders>
            <w:vAlign w:val="top"/>
          </w:tcPr>
          <w:p w14:paraId="5C452485">
            <w:pPr>
              <w:rPr>
                <w:rFonts w:ascii="Arial"/>
                <w:sz w:val="21"/>
              </w:rPr>
            </w:pPr>
          </w:p>
        </w:tc>
        <w:tc>
          <w:tcPr>
            <w:tcW w:w="986" w:type="dxa"/>
            <w:vAlign w:val="top"/>
          </w:tcPr>
          <w:p w14:paraId="219F69DD">
            <w:pPr>
              <w:pStyle w:val="7"/>
              <w:spacing w:before="100" w:line="218" w:lineRule="auto"/>
              <w:ind w:left="174"/>
            </w:pPr>
            <w:r>
              <w:rPr>
                <w:spacing w:val="-15"/>
              </w:rPr>
              <w:t>合格值</w:t>
            </w:r>
          </w:p>
        </w:tc>
        <w:tc>
          <w:tcPr>
            <w:tcW w:w="3143" w:type="dxa"/>
            <w:gridSpan w:val="2"/>
            <w:vAlign w:val="top"/>
          </w:tcPr>
          <w:p w14:paraId="5DDBF3C1">
            <w:pPr>
              <w:pStyle w:val="7"/>
              <w:spacing w:before="100" w:line="237" w:lineRule="auto"/>
              <w:ind w:left="1371"/>
            </w:pPr>
            <w:r>
              <w:rPr>
                <w:spacing w:val="18"/>
              </w:rPr>
              <w:t>-10</w:t>
            </w:r>
          </w:p>
        </w:tc>
        <w:tc>
          <w:tcPr>
            <w:tcW w:w="2545" w:type="dxa"/>
            <w:vMerge w:val="continue"/>
            <w:tcBorders>
              <w:top w:val="nil"/>
            </w:tcBorders>
            <w:vAlign w:val="top"/>
          </w:tcPr>
          <w:p w14:paraId="07C00E04">
            <w:pPr>
              <w:rPr>
                <w:rFonts w:ascii="Arial"/>
                <w:sz w:val="21"/>
              </w:rPr>
            </w:pPr>
          </w:p>
        </w:tc>
        <w:tc>
          <w:tcPr>
            <w:tcW w:w="621" w:type="dxa"/>
            <w:vMerge w:val="continue"/>
            <w:tcBorders>
              <w:top w:val="nil"/>
              <w:right w:val="nil"/>
            </w:tcBorders>
            <w:vAlign w:val="top"/>
          </w:tcPr>
          <w:p w14:paraId="13AE5A73">
            <w:pPr>
              <w:rPr>
                <w:rFonts w:ascii="Arial"/>
                <w:sz w:val="21"/>
              </w:rPr>
            </w:pPr>
          </w:p>
        </w:tc>
        <w:tc>
          <w:tcPr>
            <w:tcW w:w="192" w:type="dxa"/>
            <w:vMerge w:val="continue"/>
            <w:tcBorders>
              <w:top w:val="nil"/>
              <w:left w:val="nil"/>
              <w:right w:val="single" w:color="000000" w:sz="4" w:space="0"/>
            </w:tcBorders>
            <w:vAlign w:val="top"/>
          </w:tcPr>
          <w:p w14:paraId="3D8FA032">
            <w:pPr>
              <w:rPr>
                <w:rFonts w:ascii="Arial"/>
                <w:sz w:val="21"/>
              </w:rPr>
            </w:pPr>
          </w:p>
        </w:tc>
      </w:tr>
      <w:tr w14:paraId="51AA5F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4" w:hRule="atLeast"/>
        </w:trPr>
        <w:tc>
          <w:tcPr>
            <w:tcW w:w="167" w:type="dxa"/>
            <w:tcBorders>
              <w:left w:val="single" w:color="1C456A" w:sz="4" w:space="0"/>
              <w:bottom w:val="single" w:color="1C456A" w:sz="4" w:space="0"/>
              <w:right w:val="nil"/>
            </w:tcBorders>
            <w:vAlign w:val="top"/>
          </w:tcPr>
          <w:p w14:paraId="56863996">
            <w:pPr>
              <w:rPr>
                <w:rFonts w:ascii="Arial"/>
                <w:sz w:val="21"/>
              </w:rPr>
            </w:pPr>
            <w:r>
              <w:pict>
                <v:shape id="_x0000_s1826" o:spid="_x0000_s1826" style="position:absolute;left:0pt;margin-left:-0.25pt;margin-top:31.25pt;height:0.75pt;width:2.2pt;mso-position-horizontal-relative:page;mso-position-vertical-relative:page;z-index:251851776;mso-width-relative:page;mso-height-relative:page;" fillcolor="#5B9BD5" filled="t" stroked="f" coordsize="44,15" path="m0,14l43,14,43,0,0,0,0,14xe">
                  <v:path/>
                  <v:fill on="t" focussize="0,0"/>
                  <v:stroke on="f"/>
                  <v:imagedata o:title=""/>
                  <o:lock v:ext="edit"/>
                </v:shape>
              </w:pict>
            </w:r>
          </w:p>
        </w:tc>
        <w:tc>
          <w:tcPr>
            <w:tcW w:w="480" w:type="dxa"/>
            <w:tcBorders>
              <w:left w:val="nil"/>
              <w:bottom w:val="single" w:color="1C456A" w:sz="4" w:space="0"/>
            </w:tcBorders>
            <w:vAlign w:val="top"/>
          </w:tcPr>
          <w:p w14:paraId="18777DF0">
            <w:pPr>
              <w:pStyle w:val="7"/>
              <w:spacing w:before="101" w:line="237" w:lineRule="auto"/>
              <w:ind w:left="119"/>
            </w:pPr>
            <w:r>
              <w:t>3</w:t>
            </w:r>
          </w:p>
        </w:tc>
        <w:tc>
          <w:tcPr>
            <w:tcW w:w="722" w:type="dxa"/>
            <w:tcBorders>
              <w:bottom w:val="single" w:color="000000" w:sz="4" w:space="0"/>
            </w:tcBorders>
            <w:vAlign w:val="top"/>
          </w:tcPr>
          <w:p w14:paraId="07C26B89">
            <w:pPr>
              <w:pStyle w:val="7"/>
              <w:spacing w:before="101" w:line="219" w:lineRule="auto"/>
              <w:ind w:left="254"/>
            </w:pPr>
            <w:r>
              <w:t>平</w:t>
            </w:r>
          </w:p>
        </w:tc>
        <w:tc>
          <w:tcPr>
            <w:tcW w:w="1248" w:type="dxa"/>
            <w:gridSpan w:val="2"/>
            <w:tcBorders>
              <w:bottom w:val="single" w:color="000000" w:sz="4" w:space="0"/>
            </w:tcBorders>
            <w:vAlign w:val="top"/>
          </w:tcPr>
          <w:p w14:paraId="365DBF49">
            <w:pPr>
              <w:pStyle w:val="7"/>
              <w:spacing w:before="101" w:line="220" w:lineRule="auto"/>
              <w:ind w:left="526"/>
            </w:pPr>
            <w:r>
              <w:rPr>
                <w:spacing w:val="-11"/>
                <w:w w:val="93"/>
              </w:rPr>
              <w:t>(mm)</w:t>
            </w:r>
          </w:p>
        </w:tc>
        <w:tc>
          <w:tcPr>
            <w:tcW w:w="1573" w:type="dxa"/>
            <w:tcBorders>
              <w:bottom w:val="single" w:color="000000" w:sz="4" w:space="0"/>
            </w:tcBorders>
            <w:vAlign w:val="top"/>
          </w:tcPr>
          <w:p w14:paraId="02566159">
            <w:pPr>
              <w:pStyle w:val="7"/>
              <w:spacing w:before="102" w:line="236" w:lineRule="auto"/>
              <w:ind w:left="634"/>
            </w:pPr>
            <w:r>
              <w:rPr>
                <w:spacing w:val="-12"/>
              </w:rPr>
              <w:t>1.2</w:t>
            </w:r>
          </w:p>
        </w:tc>
        <w:tc>
          <w:tcPr>
            <w:tcW w:w="1570" w:type="dxa"/>
            <w:tcBorders>
              <w:bottom w:val="single" w:color="000000" w:sz="4" w:space="0"/>
            </w:tcBorders>
            <w:vAlign w:val="top"/>
          </w:tcPr>
          <w:p w14:paraId="201080A5">
            <w:pPr>
              <w:pStyle w:val="7"/>
              <w:spacing w:before="102" w:line="236" w:lineRule="auto"/>
              <w:ind w:left="621"/>
            </w:pPr>
            <w:r>
              <w:rPr>
                <w:spacing w:val="-8"/>
              </w:rPr>
              <w:t>2.0</w:t>
            </w:r>
          </w:p>
        </w:tc>
        <w:tc>
          <w:tcPr>
            <w:tcW w:w="2545" w:type="dxa"/>
            <w:tcBorders>
              <w:bottom w:val="single" w:color="000000" w:sz="4" w:space="0"/>
            </w:tcBorders>
            <w:vAlign w:val="top"/>
          </w:tcPr>
          <w:p w14:paraId="6F05C460">
            <w:pPr>
              <w:pStyle w:val="7"/>
              <w:spacing w:before="102" w:line="215" w:lineRule="auto"/>
              <w:ind w:left="83"/>
            </w:pPr>
            <w:r>
              <w:rPr>
                <w:spacing w:val="-20"/>
              </w:rPr>
              <w:t>平整度仪：全线每车道连</w:t>
            </w:r>
          </w:p>
        </w:tc>
        <w:tc>
          <w:tcPr>
            <w:tcW w:w="621" w:type="dxa"/>
            <w:tcBorders>
              <w:bottom w:val="single" w:color="5B9BD5" w:sz="4" w:space="0"/>
              <w:right w:val="nil"/>
            </w:tcBorders>
            <w:vAlign w:val="top"/>
          </w:tcPr>
          <w:p w14:paraId="7EE04526">
            <w:pPr>
              <w:pStyle w:val="7"/>
              <w:spacing w:before="102" w:line="238" w:lineRule="auto"/>
              <w:ind w:left="352"/>
            </w:pPr>
            <w:r>
              <w:t>2</w:t>
            </w:r>
          </w:p>
        </w:tc>
        <w:tc>
          <w:tcPr>
            <w:tcW w:w="192" w:type="dxa"/>
            <w:tcBorders>
              <w:left w:val="nil"/>
              <w:bottom w:val="single" w:color="5B9BD5" w:sz="4" w:space="0"/>
              <w:right w:val="single" w:color="5B9BD5" w:sz="4" w:space="0"/>
            </w:tcBorders>
            <w:vAlign w:val="top"/>
          </w:tcPr>
          <w:p w14:paraId="093DAD85">
            <w:pPr>
              <w:spacing w:line="66" w:lineRule="exact"/>
              <w:ind w:firstLine="154"/>
            </w:pPr>
            <w:r>
              <w:rPr>
                <w:position w:val="-1"/>
              </w:rPr>
              <w:pict>
                <v:group id="_x0000_s1827" o:spid="_x0000_s1827" o:spt="203" style="height:3.4pt;width:1.45pt;" coordsize="29,68">
                  <o:lock v:ext="edit"/>
                  <v:shape id="_x0000_s1828" o:spid="_x0000_s1828" style="position:absolute;left:14;top:0;height:68;width:15;" fillcolor="#20507B" filled="t" stroked="f" coordsize="15,68" path="m0,67l14,67,14,0,0,0,0,67xe">
                    <v:path/>
                    <v:fill on="t" focussize="0,0"/>
                    <v:stroke on="f"/>
                    <v:imagedata o:title=""/>
                    <o:lock v:ext="edit"/>
                  </v:shape>
                  <v:shape id="_x0000_s1829" o:spid="_x0000_s1829" style="position:absolute;left:0;top:0;height:68;width:15;" fillcolor="#1C456A" filled="t" stroked="f" coordsize="15,68" path="m0,67l14,67,14,0,0,0,0,67xe">
                    <v:path/>
                    <v:fill on="t" focussize="0,0"/>
                    <v:stroke on="f"/>
                    <v:imagedata o:title=""/>
                    <o:lock v:ext="edit"/>
                  </v:shape>
                  <w10:wrap type="none"/>
                  <w10:anchorlock/>
                </v:group>
              </w:pict>
            </w:r>
          </w:p>
          <w:p w14:paraId="436E4558">
            <w:pPr>
              <w:spacing w:line="261" w:lineRule="auto"/>
              <w:rPr>
                <w:rFonts w:ascii="Arial"/>
                <w:sz w:val="21"/>
              </w:rPr>
            </w:pPr>
          </w:p>
          <w:p w14:paraId="6CBFD805">
            <w:pPr>
              <w:spacing w:line="261" w:lineRule="auto"/>
              <w:rPr>
                <w:rFonts w:ascii="Arial"/>
                <w:sz w:val="21"/>
              </w:rPr>
            </w:pPr>
          </w:p>
          <w:p w14:paraId="35E7E3AD">
            <w:pPr>
              <w:spacing w:line="22" w:lineRule="exact"/>
              <w:ind w:firstLine="154"/>
            </w:pPr>
            <w:r>
              <w:rPr>
                <w:position w:val="-2"/>
              </w:rPr>
              <w:pict>
                <v:group id="_x0000_s1830" o:spid="_x0000_s1830" o:spt="203" style="height:2.2pt;width:2.2pt;" coordsize="44,44">
                  <o:lock v:ext="edit"/>
                  <v:shape id="_x0000_s1831" o:spid="_x0000_s1831" style="position:absolute;left:0;top:28;height:15;width:44;" fillcolor="#5B9BD5" filled="t" stroked="f" coordsize="44,15" path="m0,14l43,14,43,0,0,0,0,14xe">
                    <v:path/>
                    <v:fill on="t" focussize="0,0"/>
                    <v:stroke on="f"/>
                    <v:imagedata o:title=""/>
                    <o:lock v:ext="edit"/>
                  </v:shape>
                  <v:shape id="_x0000_s1832" o:spid="_x0000_s1832" style="position:absolute;left:14;top:0;height:29;width:15;" fillcolor="#20507B" filled="t" stroked="f" coordsize="15,29" path="m0,28l14,28,14,0,0,0,0,28xe">
                    <v:path/>
                    <v:fill on="t" focussize="0,0"/>
                    <v:stroke on="f"/>
                    <v:imagedata o:title=""/>
                    <o:lock v:ext="edit"/>
                  </v:shape>
                  <w10:wrap type="none"/>
                  <w10:anchorlock/>
                </v:group>
              </w:pict>
            </w:r>
          </w:p>
        </w:tc>
      </w:tr>
    </w:tbl>
    <w:p w14:paraId="7FC06E18">
      <w:pPr>
        <w:rPr>
          <w:rFonts w:ascii="Arial"/>
          <w:sz w:val="21"/>
        </w:rPr>
      </w:pPr>
    </w:p>
    <w:p w14:paraId="14FD2225">
      <w:pPr>
        <w:rPr>
          <w:rFonts w:ascii="Arial" w:hAnsi="Arial" w:eastAsia="Arial" w:cs="Arial"/>
          <w:sz w:val="21"/>
          <w:szCs w:val="21"/>
        </w:rPr>
        <w:sectPr>
          <w:footerReference r:id="rId110" w:type="default"/>
          <w:pgSz w:w="11907" w:h="16839"/>
          <w:pgMar w:top="954" w:right="4" w:bottom="1038" w:left="0" w:header="499" w:footer="357" w:gutter="0"/>
          <w:pgBorders>
            <w:top w:val="none" w:sz="0" w:space="0"/>
            <w:left w:val="none" w:sz="0" w:space="0"/>
            <w:bottom w:val="none" w:sz="0" w:space="0"/>
            <w:right w:val="none" w:sz="0" w:space="0"/>
          </w:pgBorders>
          <w:cols w:space="720" w:num="1"/>
        </w:sectPr>
      </w:pPr>
    </w:p>
    <w:p w14:paraId="11500967">
      <w:pPr>
        <w:spacing w:line="214" w:lineRule="exact"/>
      </w:pPr>
    </w:p>
    <w:tbl>
      <w:tblPr>
        <w:tblStyle w:val="6"/>
        <w:tblW w:w="9118" w:type="dxa"/>
        <w:tblInd w:w="139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40"/>
        <w:gridCol w:w="722"/>
        <w:gridCol w:w="1248"/>
        <w:gridCol w:w="1573"/>
        <w:gridCol w:w="1574"/>
        <w:gridCol w:w="2545"/>
        <w:gridCol w:w="621"/>
        <w:gridCol w:w="195"/>
      </w:tblGrid>
      <w:tr w14:paraId="55BAFD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89" w:hRule="atLeast"/>
        </w:trPr>
        <w:tc>
          <w:tcPr>
            <w:tcW w:w="640" w:type="dxa"/>
            <w:vMerge w:val="restart"/>
            <w:tcBorders>
              <w:top w:val="single" w:color="000000" w:sz="4" w:space="0"/>
              <w:left w:val="single" w:color="000000" w:sz="4" w:space="0"/>
              <w:bottom w:val="nil"/>
            </w:tcBorders>
            <w:vAlign w:val="top"/>
          </w:tcPr>
          <w:p w14:paraId="14C5965E">
            <w:pPr>
              <w:rPr>
                <w:rFonts w:ascii="Arial"/>
                <w:sz w:val="21"/>
              </w:rPr>
            </w:pPr>
          </w:p>
        </w:tc>
        <w:tc>
          <w:tcPr>
            <w:tcW w:w="722" w:type="dxa"/>
            <w:vMerge w:val="restart"/>
            <w:tcBorders>
              <w:top w:val="single" w:color="000000" w:sz="4" w:space="0"/>
              <w:bottom w:val="nil"/>
            </w:tcBorders>
            <w:textDirection w:val="tbRlV"/>
            <w:vAlign w:val="top"/>
          </w:tcPr>
          <w:p w14:paraId="206E0272">
            <w:pPr>
              <w:pStyle w:val="7"/>
              <w:spacing w:before="232" w:line="202" w:lineRule="auto"/>
              <w:ind w:left="129"/>
            </w:pPr>
            <w:r>
              <w:t>整度</w:t>
            </w:r>
          </w:p>
        </w:tc>
        <w:tc>
          <w:tcPr>
            <w:tcW w:w="1248" w:type="dxa"/>
            <w:tcBorders>
              <w:top w:val="single" w:color="000000" w:sz="4" w:space="0"/>
            </w:tcBorders>
            <w:vAlign w:val="top"/>
          </w:tcPr>
          <w:p w14:paraId="6A5F54DD">
            <w:pPr>
              <w:spacing w:line="281" w:lineRule="auto"/>
              <w:rPr>
                <w:rFonts w:ascii="Arial"/>
                <w:sz w:val="21"/>
              </w:rPr>
            </w:pPr>
          </w:p>
          <w:p w14:paraId="03C3BF9F">
            <w:pPr>
              <w:pStyle w:val="7"/>
              <w:spacing w:before="78" w:line="220" w:lineRule="auto"/>
              <w:ind w:left="144"/>
            </w:pPr>
            <w:r>
              <w:rPr>
                <w:spacing w:val="-12"/>
              </w:rPr>
              <w:t>IRI(m/km)</w:t>
            </w:r>
          </w:p>
        </w:tc>
        <w:tc>
          <w:tcPr>
            <w:tcW w:w="1573" w:type="dxa"/>
            <w:tcBorders>
              <w:top w:val="single" w:color="000000" w:sz="4" w:space="0"/>
            </w:tcBorders>
            <w:vAlign w:val="top"/>
          </w:tcPr>
          <w:p w14:paraId="42E35168">
            <w:pPr>
              <w:spacing w:line="282" w:lineRule="auto"/>
              <w:rPr>
                <w:rFonts w:ascii="Arial"/>
                <w:sz w:val="21"/>
              </w:rPr>
            </w:pPr>
          </w:p>
          <w:p w14:paraId="7FCA0A7E">
            <w:pPr>
              <w:pStyle w:val="7"/>
              <w:spacing w:before="78" w:line="236" w:lineRule="auto"/>
              <w:ind w:left="627"/>
            </w:pPr>
            <w:r>
              <w:rPr>
                <w:spacing w:val="-8"/>
              </w:rPr>
              <w:t>2.0</w:t>
            </w:r>
          </w:p>
        </w:tc>
        <w:tc>
          <w:tcPr>
            <w:tcW w:w="1574" w:type="dxa"/>
            <w:tcBorders>
              <w:top w:val="single" w:color="000000" w:sz="4" w:space="0"/>
            </w:tcBorders>
            <w:vAlign w:val="top"/>
          </w:tcPr>
          <w:p w14:paraId="6B3A89F1">
            <w:pPr>
              <w:spacing w:line="282" w:lineRule="auto"/>
              <w:rPr>
                <w:rFonts w:ascii="Arial"/>
                <w:sz w:val="21"/>
              </w:rPr>
            </w:pPr>
          </w:p>
          <w:p w14:paraId="0A9BEA12">
            <w:pPr>
              <w:pStyle w:val="7"/>
              <w:spacing w:before="78" w:line="236" w:lineRule="auto"/>
              <w:ind w:left="630"/>
            </w:pPr>
            <w:r>
              <w:rPr>
                <w:spacing w:val="-9"/>
              </w:rPr>
              <w:t>3.2</w:t>
            </w:r>
          </w:p>
        </w:tc>
        <w:tc>
          <w:tcPr>
            <w:tcW w:w="2545" w:type="dxa"/>
            <w:tcBorders>
              <w:top w:val="single" w:color="000000" w:sz="4" w:space="0"/>
            </w:tcBorders>
            <w:vAlign w:val="top"/>
          </w:tcPr>
          <w:p w14:paraId="2F50C509">
            <w:pPr>
              <w:pStyle w:val="7"/>
              <w:spacing w:before="129" w:line="216" w:lineRule="auto"/>
              <w:jc w:val="right"/>
            </w:pPr>
            <w:r>
              <w:rPr>
                <w:spacing w:val="-21"/>
              </w:rPr>
              <w:t>续检测，每100m计算、</w:t>
            </w:r>
          </w:p>
          <w:p w14:paraId="54B5DAAF">
            <w:pPr>
              <w:pStyle w:val="7"/>
              <w:spacing w:before="231" w:line="177" w:lineRule="auto"/>
              <w:ind w:left="1129"/>
            </w:pPr>
            <w:r>
              <w:rPr>
                <w:spacing w:val="-11"/>
              </w:rPr>
              <w:t>IRI</w:t>
            </w:r>
          </w:p>
        </w:tc>
        <w:tc>
          <w:tcPr>
            <w:tcW w:w="816" w:type="dxa"/>
            <w:gridSpan w:val="2"/>
            <w:vMerge w:val="restart"/>
            <w:tcBorders>
              <w:top w:val="single" w:color="1C456A" w:sz="4" w:space="0"/>
              <w:left w:val="nil"/>
              <w:bottom w:val="nil"/>
              <w:right w:val="single" w:color="1C456A" w:sz="4" w:space="0"/>
            </w:tcBorders>
            <w:vAlign w:val="top"/>
          </w:tcPr>
          <w:p w14:paraId="12485534">
            <w:pPr>
              <w:spacing w:line="269" w:lineRule="auto"/>
              <w:rPr>
                <w:rFonts w:ascii="Arial"/>
                <w:sz w:val="21"/>
              </w:rPr>
            </w:pPr>
          </w:p>
          <w:p w14:paraId="39A919FF">
            <w:pPr>
              <w:spacing w:line="269" w:lineRule="auto"/>
              <w:rPr>
                <w:rFonts w:ascii="Arial"/>
                <w:sz w:val="21"/>
              </w:rPr>
            </w:pPr>
          </w:p>
          <w:p w14:paraId="3F39341D">
            <w:pPr>
              <w:spacing w:line="270" w:lineRule="auto"/>
              <w:rPr>
                <w:rFonts w:ascii="Arial"/>
                <w:sz w:val="21"/>
              </w:rPr>
            </w:pPr>
          </w:p>
          <w:p w14:paraId="71078C3E">
            <w:pPr>
              <w:spacing w:line="270" w:lineRule="auto"/>
              <w:rPr>
                <w:rFonts w:ascii="Arial"/>
                <w:sz w:val="21"/>
              </w:rPr>
            </w:pPr>
          </w:p>
          <w:p w14:paraId="2341D0F1">
            <w:pPr>
              <w:spacing w:line="67" w:lineRule="exact"/>
              <w:ind w:firstLine="776"/>
            </w:pPr>
            <w:r>
              <w:rPr>
                <w:position w:val="-1"/>
              </w:rPr>
              <w:pict>
                <v:group id="_x0000_s1833" o:spid="_x0000_s1833" o:spt="203" style="height:3.4pt;width:1.45pt;" coordsize="29,68">
                  <o:lock v:ext="edit"/>
                  <v:shape id="_x0000_s1834" o:spid="_x0000_s1834" style="position:absolute;left:14;top:0;height:68;width:15;" fillcolor="#20507B" filled="t" stroked="f" coordsize="15,68" path="m0,67l14,67,14,0,0,0,0,67xe">
                    <v:path/>
                    <v:fill on="t" focussize="0,0"/>
                    <v:stroke on="f"/>
                    <v:imagedata o:title=""/>
                    <o:lock v:ext="edit"/>
                  </v:shape>
                  <v:shape id="_x0000_s1835" o:spid="_x0000_s1835" style="position:absolute;left:0;top:0;height:68;width:15;" fillcolor="#1C456A" filled="t" stroked="f" coordsize="15,68" path="m0,67l14,67,14,0,0,0,0,67xe">
                    <v:path/>
                    <v:fill on="t" focussize="0,0"/>
                    <v:stroke on="f"/>
                    <v:imagedata o:title=""/>
                    <o:lock v:ext="edit"/>
                  </v:shape>
                  <w10:wrap type="none"/>
                  <w10:anchorlock/>
                </v:group>
              </w:pict>
            </w:r>
          </w:p>
        </w:tc>
      </w:tr>
      <w:tr w14:paraId="04DAA9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50" w:hRule="atLeast"/>
        </w:trPr>
        <w:tc>
          <w:tcPr>
            <w:tcW w:w="640" w:type="dxa"/>
            <w:vMerge w:val="continue"/>
            <w:tcBorders>
              <w:top w:val="nil"/>
              <w:left w:val="single" w:color="000000" w:sz="4" w:space="0"/>
            </w:tcBorders>
            <w:vAlign w:val="top"/>
          </w:tcPr>
          <w:p w14:paraId="5F6F9B46">
            <w:pPr>
              <w:rPr>
                <w:rFonts w:ascii="Arial"/>
                <w:sz w:val="21"/>
              </w:rPr>
            </w:pPr>
          </w:p>
        </w:tc>
        <w:tc>
          <w:tcPr>
            <w:tcW w:w="722" w:type="dxa"/>
            <w:vMerge w:val="continue"/>
            <w:tcBorders>
              <w:top w:val="nil"/>
            </w:tcBorders>
            <w:textDirection w:val="tbRlV"/>
            <w:vAlign w:val="top"/>
          </w:tcPr>
          <w:p w14:paraId="7FF74CF8">
            <w:pPr>
              <w:rPr>
                <w:rFonts w:ascii="Arial"/>
                <w:sz w:val="21"/>
              </w:rPr>
            </w:pPr>
          </w:p>
        </w:tc>
        <w:tc>
          <w:tcPr>
            <w:tcW w:w="1248" w:type="dxa"/>
            <w:vAlign w:val="top"/>
          </w:tcPr>
          <w:p w14:paraId="540FC404">
            <w:pPr>
              <w:pStyle w:val="7"/>
              <w:spacing w:before="92" w:line="362" w:lineRule="auto"/>
              <w:ind w:left="346" w:right="171" w:hanging="146"/>
            </w:pPr>
            <w:r>
              <w:rPr>
                <w:spacing w:val="-23"/>
              </w:rPr>
              <w:t>最大间隙</w:t>
            </w:r>
            <w:r>
              <w:rPr>
                <w:spacing w:val="-8"/>
              </w:rPr>
              <w:t>h(mm)</w:t>
            </w:r>
          </w:p>
        </w:tc>
        <w:tc>
          <w:tcPr>
            <w:tcW w:w="1573" w:type="dxa"/>
            <w:vAlign w:val="top"/>
          </w:tcPr>
          <w:p w14:paraId="75842883">
            <w:pPr>
              <w:spacing w:line="360" w:lineRule="auto"/>
              <w:rPr>
                <w:rFonts w:ascii="Arial"/>
                <w:sz w:val="21"/>
              </w:rPr>
            </w:pPr>
          </w:p>
          <w:p w14:paraId="5C9ABC57">
            <w:pPr>
              <w:pStyle w:val="7"/>
              <w:spacing w:before="78" w:line="162" w:lineRule="exact"/>
              <w:ind w:left="676"/>
            </w:pPr>
            <w:r>
              <w:rPr>
                <w:position w:val="-4"/>
              </w:rPr>
              <w:t>—</w:t>
            </w:r>
          </w:p>
        </w:tc>
        <w:tc>
          <w:tcPr>
            <w:tcW w:w="1574" w:type="dxa"/>
            <w:vAlign w:val="top"/>
          </w:tcPr>
          <w:p w14:paraId="26B49C84">
            <w:pPr>
              <w:spacing w:line="247" w:lineRule="auto"/>
              <w:rPr>
                <w:rFonts w:ascii="Arial"/>
                <w:sz w:val="21"/>
              </w:rPr>
            </w:pPr>
          </w:p>
          <w:p w14:paraId="33CD78DC">
            <w:pPr>
              <w:pStyle w:val="7"/>
              <w:spacing w:before="78" w:line="237" w:lineRule="auto"/>
              <w:ind w:left="741"/>
            </w:pPr>
            <w:r>
              <w:t>5</w:t>
            </w:r>
          </w:p>
        </w:tc>
        <w:tc>
          <w:tcPr>
            <w:tcW w:w="2545" w:type="dxa"/>
            <w:vAlign w:val="top"/>
          </w:tcPr>
          <w:p w14:paraId="0506EDF7">
            <w:pPr>
              <w:pStyle w:val="7"/>
              <w:spacing w:before="91" w:line="362" w:lineRule="auto"/>
              <w:ind w:left="348" w:right="30" w:hanging="281"/>
            </w:pPr>
            <w:r>
              <w:rPr>
                <w:spacing w:val="-22"/>
              </w:rPr>
              <w:t>3m直尺：半幅车道板带每</w:t>
            </w:r>
            <w:r>
              <w:rPr>
                <w:spacing w:val="-9"/>
              </w:rPr>
              <w:t>200m测2处×10尺</w:t>
            </w:r>
          </w:p>
        </w:tc>
        <w:tc>
          <w:tcPr>
            <w:tcW w:w="816" w:type="dxa"/>
            <w:gridSpan w:val="2"/>
            <w:vMerge w:val="continue"/>
            <w:tcBorders>
              <w:top w:val="nil"/>
              <w:left w:val="nil"/>
              <w:right w:val="single" w:color="1C456A" w:sz="4" w:space="0"/>
            </w:tcBorders>
            <w:vAlign w:val="top"/>
          </w:tcPr>
          <w:p w14:paraId="11CEDDD2">
            <w:pPr>
              <w:rPr>
                <w:rFonts w:ascii="Arial"/>
                <w:sz w:val="21"/>
              </w:rPr>
            </w:pPr>
          </w:p>
        </w:tc>
      </w:tr>
      <w:tr w14:paraId="6C6B68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53" w:hRule="atLeast"/>
        </w:trPr>
        <w:tc>
          <w:tcPr>
            <w:tcW w:w="640" w:type="dxa"/>
            <w:tcBorders>
              <w:left w:val="single" w:color="000000" w:sz="4" w:space="0"/>
            </w:tcBorders>
            <w:vAlign w:val="top"/>
          </w:tcPr>
          <w:p w14:paraId="001615F6">
            <w:pPr>
              <w:spacing w:line="315" w:lineRule="auto"/>
              <w:rPr>
                <w:rFonts w:ascii="Arial"/>
                <w:sz w:val="21"/>
              </w:rPr>
            </w:pPr>
          </w:p>
          <w:p w14:paraId="084378D8">
            <w:pPr>
              <w:spacing w:line="315" w:lineRule="auto"/>
              <w:rPr>
                <w:rFonts w:ascii="Arial"/>
                <w:sz w:val="21"/>
              </w:rPr>
            </w:pPr>
          </w:p>
          <w:p w14:paraId="0DCDB240">
            <w:pPr>
              <w:spacing w:line="315" w:lineRule="auto"/>
              <w:rPr>
                <w:rFonts w:ascii="Arial"/>
                <w:sz w:val="21"/>
              </w:rPr>
            </w:pPr>
          </w:p>
          <w:p w14:paraId="0733AAE7">
            <w:pPr>
              <w:pStyle w:val="7"/>
              <w:spacing w:before="78" w:line="238" w:lineRule="auto"/>
              <w:ind w:left="275"/>
            </w:pPr>
            <w:r>
              <w:t>4</w:t>
            </w:r>
          </w:p>
        </w:tc>
        <w:tc>
          <w:tcPr>
            <w:tcW w:w="1970" w:type="dxa"/>
            <w:gridSpan w:val="2"/>
            <w:vAlign w:val="top"/>
          </w:tcPr>
          <w:p w14:paraId="4B61CE4B">
            <w:pPr>
              <w:spacing w:line="315" w:lineRule="auto"/>
              <w:rPr>
                <w:rFonts w:ascii="Arial"/>
                <w:sz w:val="21"/>
              </w:rPr>
            </w:pPr>
          </w:p>
          <w:p w14:paraId="0954938B">
            <w:pPr>
              <w:spacing w:line="315" w:lineRule="auto"/>
              <w:rPr>
                <w:rFonts w:ascii="Arial"/>
                <w:sz w:val="21"/>
              </w:rPr>
            </w:pPr>
          </w:p>
          <w:p w14:paraId="79116ACE">
            <w:pPr>
              <w:spacing w:line="315" w:lineRule="auto"/>
              <w:rPr>
                <w:rFonts w:ascii="Arial"/>
                <w:sz w:val="21"/>
              </w:rPr>
            </w:pPr>
          </w:p>
          <w:p w14:paraId="09D3ED4A">
            <w:pPr>
              <w:pStyle w:val="7"/>
              <w:spacing w:before="78" w:line="218" w:lineRule="auto"/>
              <w:ind w:left="121"/>
            </w:pPr>
            <w:r>
              <w:rPr>
                <w:spacing w:val="-18"/>
              </w:rPr>
              <w:t>抗滑构造深度(mm)</w:t>
            </w:r>
          </w:p>
        </w:tc>
        <w:tc>
          <w:tcPr>
            <w:tcW w:w="1573" w:type="dxa"/>
            <w:vAlign w:val="top"/>
          </w:tcPr>
          <w:p w14:paraId="409281B5">
            <w:pPr>
              <w:pStyle w:val="7"/>
              <w:spacing w:before="95" w:line="360" w:lineRule="auto"/>
              <w:ind w:left="70" w:right="54" w:firstLine="73"/>
              <w:jc w:val="both"/>
            </w:pPr>
            <w:r>
              <w:rPr>
                <w:spacing w:val="-22"/>
              </w:rPr>
              <w:t>一般路段不小</w:t>
            </w:r>
            <w:r>
              <w:t>于0.7且不大</w:t>
            </w:r>
            <w:r>
              <w:rPr>
                <w:spacing w:val="-22"/>
              </w:rPr>
              <w:t>于1.1；特殊路</w:t>
            </w:r>
            <w:r>
              <w:rPr>
                <w:spacing w:val="3"/>
              </w:rPr>
              <w:t>段不小于0.8</w:t>
            </w:r>
            <w:r>
              <w:rPr>
                <w:spacing w:val="-3"/>
              </w:rPr>
              <w:t>且不大于1.2</w:t>
            </w:r>
          </w:p>
        </w:tc>
        <w:tc>
          <w:tcPr>
            <w:tcW w:w="1574" w:type="dxa"/>
            <w:vAlign w:val="top"/>
          </w:tcPr>
          <w:p w14:paraId="75864B4C">
            <w:pPr>
              <w:pStyle w:val="7"/>
              <w:spacing w:before="95" w:line="360" w:lineRule="auto"/>
              <w:ind w:left="71" w:right="51" w:firstLine="75"/>
              <w:jc w:val="both"/>
            </w:pPr>
            <w:r>
              <w:rPr>
                <w:spacing w:val="-22"/>
              </w:rPr>
              <w:t>一般路段不小</w:t>
            </w:r>
            <w:r>
              <w:t>于0.5且不大</w:t>
            </w:r>
            <w:r>
              <w:rPr>
                <w:spacing w:val="-22"/>
              </w:rPr>
              <w:t>于1.0；特殊路</w:t>
            </w:r>
            <w:r>
              <w:rPr>
                <w:spacing w:val="3"/>
              </w:rPr>
              <w:t>段不小于0.6</w:t>
            </w:r>
            <w:r>
              <w:rPr>
                <w:spacing w:val="-3"/>
              </w:rPr>
              <w:t>且不大于1.1</w:t>
            </w:r>
          </w:p>
        </w:tc>
        <w:tc>
          <w:tcPr>
            <w:tcW w:w="2545" w:type="dxa"/>
            <w:vAlign w:val="top"/>
          </w:tcPr>
          <w:p w14:paraId="1C5BC6C4">
            <w:pPr>
              <w:spacing w:line="314" w:lineRule="auto"/>
              <w:rPr>
                <w:rFonts w:ascii="Arial"/>
                <w:sz w:val="21"/>
              </w:rPr>
            </w:pPr>
          </w:p>
          <w:p w14:paraId="73D529EC">
            <w:pPr>
              <w:spacing w:line="315" w:lineRule="auto"/>
              <w:rPr>
                <w:rFonts w:ascii="Arial"/>
                <w:sz w:val="21"/>
              </w:rPr>
            </w:pPr>
          </w:p>
          <w:p w14:paraId="53131DC2">
            <w:pPr>
              <w:spacing w:line="315" w:lineRule="auto"/>
              <w:rPr>
                <w:rFonts w:ascii="Arial"/>
                <w:sz w:val="21"/>
              </w:rPr>
            </w:pPr>
          </w:p>
          <w:p w14:paraId="4A01C128">
            <w:pPr>
              <w:pStyle w:val="7"/>
              <w:spacing w:before="78" w:line="219" w:lineRule="auto"/>
              <w:ind w:left="141"/>
            </w:pPr>
            <w:r>
              <w:rPr>
                <w:spacing w:val="-8"/>
              </w:rPr>
              <w:t>铺砂法：每200m测l处</w:t>
            </w:r>
          </w:p>
        </w:tc>
        <w:tc>
          <w:tcPr>
            <w:tcW w:w="621" w:type="dxa"/>
            <w:tcBorders>
              <w:right w:val="nil"/>
            </w:tcBorders>
            <w:vAlign w:val="top"/>
          </w:tcPr>
          <w:p w14:paraId="5B358994">
            <w:pPr>
              <w:spacing w:line="315" w:lineRule="auto"/>
              <w:rPr>
                <w:rFonts w:ascii="Arial"/>
                <w:sz w:val="21"/>
              </w:rPr>
            </w:pPr>
          </w:p>
          <w:p w14:paraId="5DBFEC17">
            <w:pPr>
              <w:spacing w:line="315" w:lineRule="auto"/>
              <w:rPr>
                <w:rFonts w:ascii="Arial"/>
                <w:sz w:val="21"/>
              </w:rPr>
            </w:pPr>
          </w:p>
          <w:p w14:paraId="0B3B0A9F">
            <w:pPr>
              <w:spacing w:line="315" w:lineRule="auto"/>
              <w:rPr>
                <w:rFonts w:ascii="Arial"/>
                <w:sz w:val="21"/>
              </w:rPr>
            </w:pPr>
          </w:p>
          <w:p w14:paraId="4D8475FD">
            <w:pPr>
              <w:pStyle w:val="7"/>
              <w:spacing w:before="78" w:line="238" w:lineRule="auto"/>
              <w:ind w:left="355"/>
            </w:pPr>
            <w:r>
              <w:t>2</w:t>
            </w:r>
          </w:p>
        </w:tc>
        <w:tc>
          <w:tcPr>
            <w:tcW w:w="195" w:type="dxa"/>
            <w:tcBorders>
              <w:left w:val="nil"/>
              <w:right w:val="single" w:color="000000" w:sz="4" w:space="0"/>
            </w:tcBorders>
            <w:vAlign w:val="top"/>
          </w:tcPr>
          <w:p w14:paraId="71468F7A">
            <w:pPr>
              <w:spacing w:line="58" w:lineRule="exact"/>
              <w:ind w:firstLine="157"/>
            </w:pPr>
            <w:r>
              <w:rPr>
                <w:position w:val="-1"/>
              </w:rPr>
              <w:pict>
                <v:group id="_x0000_s1836" o:spid="_x0000_s1836" o:spt="203" style="height:3.4pt;width:1.45pt;" coordsize="29,68">
                  <o:lock v:ext="edit"/>
                  <v:shape id="_x0000_s1837" o:spid="_x0000_s1837" style="position:absolute;left:14;top:0;height:68;width:15;" fillcolor="#20507B" filled="t" stroked="f" coordsize="15,68" path="m0,67l14,67,14,0,0,0,0,67xe">
                    <v:path/>
                    <v:fill on="t" focussize="0,0"/>
                    <v:stroke on="f"/>
                    <v:imagedata o:title=""/>
                    <o:lock v:ext="edit"/>
                  </v:shape>
                  <v:shape id="_x0000_s1838" o:spid="_x0000_s1838" style="position:absolute;left:0;top:0;height:68;width:15;" fillcolor="#1C456A" filled="t" stroked="f" coordsize="15,68" path="m0,67l14,67,14,0,0,0,0,67xe">
                    <v:path/>
                    <v:fill on="t" focussize="0,0"/>
                    <v:stroke on="f"/>
                    <v:imagedata o:title=""/>
                    <o:lock v:ext="edit"/>
                  </v:shape>
                  <w10:wrap type="none"/>
                  <w10:anchorlock/>
                </v:group>
              </w:pict>
            </w:r>
          </w:p>
        </w:tc>
      </w:tr>
      <w:tr w14:paraId="38172D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18" w:hRule="atLeast"/>
        </w:trPr>
        <w:tc>
          <w:tcPr>
            <w:tcW w:w="640" w:type="dxa"/>
            <w:tcBorders>
              <w:left w:val="single" w:color="000000" w:sz="4" w:space="0"/>
            </w:tcBorders>
            <w:vAlign w:val="top"/>
          </w:tcPr>
          <w:p w14:paraId="6D19187C">
            <w:pPr>
              <w:spacing w:line="241" w:lineRule="auto"/>
              <w:rPr>
                <w:rFonts w:ascii="Arial"/>
                <w:sz w:val="21"/>
              </w:rPr>
            </w:pPr>
          </w:p>
          <w:p w14:paraId="0B5CCE9C">
            <w:pPr>
              <w:spacing w:line="241" w:lineRule="auto"/>
              <w:rPr>
                <w:rFonts w:ascii="Arial"/>
                <w:sz w:val="21"/>
              </w:rPr>
            </w:pPr>
          </w:p>
          <w:p w14:paraId="796C965A">
            <w:pPr>
              <w:pStyle w:val="7"/>
              <w:spacing w:before="78" w:line="237" w:lineRule="auto"/>
              <w:ind w:left="281"/>
            </w:pPr>
            <w:r>
              <w:t>5</w:t>
            </w:r>
          </w:p>
        </w:tc>
        <w:tc>
          <w:tcPr>
            <w:tcW w:w="1970" w:type="dxa"/>
            <w:gridSpan w:val="2"/>
            <w:vAlign w:val="top"/>
          </w:tcPr>
          <w:p w14:paraId="6C681B30">
            <w:pPr>
              <w:spacing w:line="241" w:lineRule="auto"/>
              <w:rPr>
                <w:rFonts w:ascii="Arial"/>
                <w:sz w:val="21"/>
              </w:rPr>
            </w:pPr>
          </w:p>
          <w:p w14:paraId="492F9047">
            <w:pPr>
              <w:spacing w:line="241" w:lineRule="auto"/>
              <w:rPr>
                <w:rFonts w:ascii="Arial"/>
                <w:sz w:val="21"/>
              </w:rPr>
            </w:pPr>
          </w:p>
          <w:p w14:paraId="6FC892E8">
            <w:pPr>
              <w:pStyle w:val="7"/>
              <w:spacing w:before="78" w:line="217" w:lineRule="auto"/>
              <w:ind w:left="231"/>
            </w:pPr>
            <w:r>
              <w:rPr>
                <w:spacing w:val="-17"/>
              </w:rPr>
              <w:t>相邻板高差(mm)</w:t>
            </w:r>
          </w:p>
        </w:tc>
        <w:tc>
          <w:tcPr>
            <w:tcW w:w="1573" w:type="dxa"/>
            <w:vAlign w:val="top"/>
          </w:tcPr>
          <w:p w14:paraId="22EF4D10">
            <w:pPr>
              <w:spacing w:line="241" w:lineRule="auto"/>
              <w:rPr>
                <w:rFonts w:ascii="Arial"/>
                <w:sz w:val="21"/>
              </w:rPr>
            </w:pPr>
          </w:p>
          <w:p w14:paraId="04765C7A">
            <w:pPr>
              <w:spacing w:line="241" w:lineRule="auto"/>
              <w:rPr>
                <w:rFonts w:ascii="Arial"/>
                <w:sz w:val="21"/>
              </w:rPr>
            </w:pPr>
          </w:p>
          <w:p w14:paraId="6A89761F">
            <w:pPr>
              <w:pStyle w:val="7"/>
              <w:spacing w:before="78" w:line="238" w:lineRule="auto"/>
              <w:ind w:left="735"/>
            </w:pPr>
            <w:r>
              <w:t>2</w:t>
            </w:r>
          </w:p>
        </w:tc>
        <w:tc>
          <w:tcPr>
            <w:tcW w:w="1574" w:type="dxa"/>
            <w:vAlign w:val="top"/>
          </w:tcPr>
          <w:p w14:paraId="492B554B">
            <w:pPr>
              <w:spacing w:line="241" w:lineRule="auto"/>
              <w:rPr>
                <w:rFonts w:ascii="Arial"/>
                <w:sz w:val="21"/>
              </w:rPr>
            </w:pPr>
          </w:p>
          <w:p w14:paraId="7D5910FD">
            <w:pPr>
              <w:spacing w:line="241" w:lineRule="auto"/>
              <w:rPr>
                <w:rFonts w:ascii="Arial"/>
                <w:sz w:val="21"/>
              </w:rPr>
            </w:pPr>
          </w:p>
          <w:p w14:paraId="02CA26BF">
            <w:pPr>
              <w:pStyle w:val="7"/>
              <w:spacing w:before="78" w:line="237" w:lineRule="auto"/>
              <w:ind w:left="741"/>
            </w:pPr>
            <w:r>
              <w:t>3</w:t>
            </w:r>
          </w:p>
        </w:tc>
        <w:tc>
          <w:tcPr>
            <w:tcW w:w="2545" w:type="dxa"/>
            <w:vAlign w:val="top"/>
          </w:tcPr>
          <w:p w14:paraId="2D22CDBA">
            <w:pPr>
              <w:pStyle w:val="7"/>
              <w:spacing w:before="97" w:line="218" w:lineRule="auto"/>
              <w:ind w:left="85"/>
            </w:pPr>
            <w:r>
              <w:rPr>
                <w:spacing w:val="-16"/>
              </w:rPr>
              <w:t>抽量：每条胀缝2点；每</w:t>
            </w:r>
          </w:p>
          <w:p w14:paraId="1ABFF7FD">
            <w:pPr>
              <w:pStyle w:val="7"/>
              <w:spacing w:before="182" w:line="218" w:lineRule="auto"/>
              <w:ind w:left="65"/>
            </w:pPr>
            <w:r>
              <w:rPr>
                <w:spacing w:val="-15"/>
              </w:rPr>
              <w:t>200m抽纵、横缝各2条，</w:t>
            </w:r>
          </w:p>
          <w:p w14:paraId="69451C00">
            <w:pPr>
              <w:pStyle w:val="7"/>
              <w:spacing w:before="184" w:line="219" w:lineRule="auto"/>
              <w:ind w:left="858"/>
            </w:pPr>
            <w:r>
              <w:rPr>
                <w:spacing w:val="-4"/>
              </w:rPr>
              <w:t>每条2点</w:t>
            </w:r>
          </w:p>
        </w:tc>
        <w:tc>
          <w:tcPr>
            <w:tcW w:w="621" w:type="dxa"/>
            <w:tcBorders>
              <w:right w:val="nil"/>
            </w:tcBorders>
            <w:vAlign w:val="top"/>
          </w:tcPr>
          <w:p w14:paraId="4A62EBDC">
            <w:pPr>
              <w:spacing w:line="241" w:lineRule="auto"/>
              <w:rPr>
                <w:rFonts w:ascii="Arial"/>
                <w:sz w:val="21"/>
              </w:rPr>
            </w:pPr>
          </w:p>
          <w:p w14:paraId="473DA092">
            <w:pPr>
              <w:spacing w:line="241" w:lineRule="auto"/>
              <w:rPr>
                <w:rFonts w:ascii="Arial"/>
                <w:sz w:val="21"/>
              </w:rPr>
            </w:pPr>
          </w:p>
          <w:p w14:paraId="6A6DBA9E">
            <w:pPr>
              <w:pStyle w:val="7"/>
              <w:spacing w:before="78" w:line="238" w:lineRule="auto"/>
              <w:ind w:left="355"/>
            </w:pPr>
            <w:r>
              <w:t>2</w:t>
            </w:r>
          </w:p>
        </w:tc>
        <w:tc>
          <w:tcPr>
            <w:tcW w:w="195" w:type="dxa"/>
            <w:tcBorders>
              <w:left w:val="nil"/>
              <w:right w:val="single" w:color="000000" w:sz="4" w:space="0"/>
            </w:tcBorders>
            <w:vAlign w:val="top"/>
          </w:tcPr>
          <w:p w14:paraId="6E4FF3ED">
            <w:pPr>
              <w:spacing w:line="61" w:lineRule="exact"/>
              <w:ind w:firstLine="157"/>
            </w:pPr>
            <w:r>
              <w:rPr>
                <w:position w:val="-1"/>
              </w:rPr>
              <w:pict>
                <v:group id="_x0000_s1839" o:spid="_x0000_s1839" o:spt="203" style="height:3.4pt;width:1.45pt;" coordsize="29,68">
                  <o:lock v:ext="edit"/>
                  <v:shape id="_x0000_s1840" o:spid="_x0000_s1840" style="position:absolute;left:14;top:0;height:68;width:15;" fillcolor="#20507B" filled="t" stroked="f" coordsize="15,68" path="m0,67l14,67,14,0,0,0,0,67xe">
                    <v:path/>
                    <v:fill on="t" focussize="0,0"/>
                    <v:stroke on="f"/>
                    <v:imagedata o:title=""/>
                    <o:lock v:ext="edit"/>
                  </v:shape>
                  <v:shape id="_x0000_s1841" o:spid="_x0000_s1841" style="position:absolute;left:0;top:0;height:68;width:15;" fillcolor="#1C456A" filled="t" stroked="f" coordsize="15,68" path="m0,67l14,67,14,0,0,0,0,67xe">
                    <v:path/>
                    <v:fill on="t" focussize="0,0"/>
                    <v:stroke on="f"/>
                    <v:imagedata o:title=""/>
                    <o:lock v:ext="edit"/>
                  </v:shape>
                  <w10:wrap type="none"/>
                  <w10:anchorlock/>
                </v:group>
              </w:pict>
            </w:r>
          </w:p>
        </w:tc>
      </w:tr>
      <w:tr w14:paraId="2B2C9D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18" w:hRule="atLeast"/>
        </w:trPr>
        <w:tc>
          <w:tcPr>
            <w:tcW w:w="640" w:type="dxa"/>
            <w:tcBorders>
              <w:left w:val="single" w:color="000000" w:sz="4" w:space="0"/>
            </w:tcBorders>
            <w:vAlign w:val="top"/>
          </w:tcPr>
          <w:p w14:paraId="1B0AC48B">
            <w:pPr>
              <w:spacing w:line="241" w:lineRule="auto"/>
              <w:rPr>
                <w:rFonts w:ascii="Arial"/>
                <w:sz w:val="21"/>
              </w:rPr>
            </w:pPr>
          </w:p>
          <w:p w14:paraId="170D9D95">
            <w:pPr>
              <w:spacing w:line="242" w:lineRule="auto"/>
              <w:rPr>
                <w:rFonts w:ascii="Arial"/>
                <w:sz w:val="21"/>
              </w:rPr>
            </w:pPr>
          </w:p>
          <w:p w14:paraId="4314991E">
            <w:pPr>
              <w:pStyle w:val="7"/>
              <w:spacing w:before="78" w:line="237" w:lineRule="auto"/>
              <w:ind w:left="278"/>
            </w:pPr>
            <w:r>
              <w:t>6</w:t>
            </w:r>
          </w:p>
        </w:tc>
        <w:tc>
          <w:tcPr>
            <w:tcW w:w="1970" w:type="dxa"/>
            <w:gridSpan w:val="2"/>
            <w:vAlign w:val="top"/>
          </w:tcPr>
          <w:p w14:paraId="3F8A8938">
            <w:pPr>
              <w:spacing w:line="241" w:lineRule="auto"/>
              <w:rPr>
                <w:rFonts w:ascii="Arial"/>
                <w:sz w:val="21"/>
              </w:rPr>
            </w:pPr>
          </w:p>
          <w:p w14:paraId="4870FA28">
            <w:pPr>
              <w:spacing w:line="242" w:lineRule="auto"/>
              <w:rPr>
                <w:rFonts w:ascii="Arial"/>
                <w:sz w:val="21"/>
              </w:rPr>
            </w:pPr>
          </w:p>
          <w:p w14:paraId="4F440612">
            <w:pPr>
              <w:pStyle w:val="7"/>
              <w:spacing w:before="78" w:line="218" w:lineRule="auto"/>
              <w:ind w:left="67"/>
            </w:pPr>
            <w:r>
              <w:rPr>
                <w:spacing w:val="-28"/>
              </w:rPr>
              <w:t>纵、横缝顺直度(mm)</w:t>
            </w:r>
          </w:p>
        </w:tc>
        <w:tc>
          <w:tcPr>
            <w:tcW w:w="3147" w:type="dxa"/>
            <w:gridSpan w:val="2"/>
            <w:vAlign w:val="top"/>
          </w:tcPr>
          <w:p w14:paraId="226A7905">
            <w:pPr>
              <w:spacing w:line="241" w:lineRule="auto"/>
              <w:rPr>
                <w:rFonts w:ascii="Arial"/>
                <w:sz w:val="21"/>
              </w:rPr>
            </w:pPr>
          </w:p>
          <w:p w14:paraId="34E91AC7">
            <w:pPr>
              <w:spacing w:line="242" w:lineRule="auto"/>
              <w:rPr>
                <w:rFonts w:ascii="Arial"/>
                <w:sz w:val="21"/>
              </w:rPr>
            </w:pPr>
          </w:p>
          <w:p w14:paraId="375B75B9">
            <w:pPr>
              <w:pStyle w:val="7"/>
              <w:spacing w:before="78" w:line="237" w:lineRule="auto"/>
              <w:ind w:left="1484"/>
            </w:pPr>
            <w:r>
              <w:rPr>
                <w:spacing w:val="-10"/>
              </w:rPr>
              <w:t>10</w:t>
            </w:r>
          </w:p>
        </w:tc>
        <w:tc>
          <w:tcPr>
            <w:tcW w:w="2545" w:type="dxa"/>
            <w:vAlign w:val="top"/>
          </w:tcPr>
          <w:p w14:paraId="0E10BFA1">
            <w:pPr>
              <w:pStyle w:val="7"/>
              <w:spacing w:before="98" w:line="219" w:lineRule="auto"/>
              <w:ind w:left="114"/>
            </w:pPr>
            <w:r>
              <w:rPr>
                <w:spacing w:val="-9"/>
              </w:rPr>
              <w:t>纵缝20m拉线，每200m4</w:t>
            </w:r>
          </w:p>
          <w:p w14:paraId="03FC83ED">
            <w:pPr>
              <w:pStyle w:val="7"/>
              <w:spacing w:before="181" w:line="218" w:lineRule="auto"/>
              <w:ind w:left="87"/>
            </w:pPr>
            <w:r>
              <w:rPr>
                <w:spacing w:val="-20"/>
              </w:rPr>
              <w:t>处；横缝沿板宽拉线，每</w:t>
            </w:r>
          </w:p>
          <w:p w14:paraId="406F7A6B">
            <w:pPr>
              <w:pStyle w:val="7"/>
              <w:spacing w:before="183" w:line="220" w:lineRule="auto"/>
              <w:ind w:left="871"/>
            </w:pPr>
            <w:r>
              <w:rPr>
                <w:spacing w:val="-10"/>
              </w:rPr>
              <w:t>200m4条</w:t>
            </w:r>
          </w:p>
        </w:tc>
        <w:tc>
          <w:tcPr>
            <w:tcW w:w="621" w:type="dxa"/>
            <w:tcBorders>
              <w:right w:val="nil"/>
            </w:tcBorders>
            <w:vAlign w:val="top"/>
          </w:tcPr>
          <w:p w14:paraId="11F59A0B">
            <w:pPr>
              <w:spacing w:line="241" w:lineRule="auto"/>
              <w:rPr>
                <w:rFonts w:ascii="Arial"/>
                <w:sz w:val="21"/>
              </w:rPr>
            </w:pPr>
          </w:p>
          <w:p w14:paraId="54890B45">
            <w:pPr>
              <w:spacing w:line="242" w:lineRule="auto"/>
              <w:rPr>
                <w:rFonts w:ascii="Arial"/>
                <w:sz w:val="21"/>
              </w:rPr>
            </w:pPr>
          </w:p>
          <w:p w14:paraId="2C4738A9">
            <w:pPr>
              <w:pStyle w:val="7"/>
              <w:spacing w:before="78" w:line="238" w:lineRule="auto"/>
              <w:ind w:left="370"/>
            </w:pPr>
            <w:r>
              <w:t>1</w:t>
            </w:r>
          </w:p>
        </w:tc>
        <w:tc>
          <w:tcPr>
            <w:tcW w:w="195" w:type="dxa"/>
            <w:tcBorders>
              <w:left w:val="nil"/>
              <w:right w:val="single" w:color="000000" w:sz="4" w:space="0"/>
            </w:tcBorders>
            <w:vAlign w:val="top"/>
          </w:tcPr>
          <w:p w14:paraId="7AF90D14">
            <w:pPr>
              <w:spacing w:line="62" w:lineRule="exact"/>
              <w:ind w:firstLine="157"/>
            </w:pPr>
            <w:r>
              <w:rPr>
                <w:position w:val="-1"/>
              </w:rPr>
              <w:pict>
                <v:group id="_x0000_s1842" o:spid="_x0000_s1842" o:spt="203" style="height:3.4pt;width:1.45pt;" coordsize="29,68">
                  <o:lock v:ext="edit"/>
                  <v:shape id="_x0000_s1843" o:spid="_x0000_s1843" style="position:absolute;left:14;top:0;height:68;width:15;" fillcolor="#20507B" filled="t" stroked="f" coordsize="15,68" path="m0,67l14,67,14,0,0,0,0,67xe">
                    <v:path/>
                    <v:fill on="t" focussize="0,0"/>
                    <v:stroke on="f"/>
                    <v:imagedata o:title=""/>
                    <o:lock v:ext="edit"/>
                  </v:shape>
                  <v:shape id="_x0000_s1844" o:spid="_x0000_s1844" style="position:absolute;left:0;top:0;height:68;width:15;" fillcolor="#1C456A" filled="t" stroked="f" coordsize="15,68" path="m0,67l14,67,14,0,0,0,0,67xe">
                    <v:path/>
                    <v:fill on="t" focussize="0,0"/>
                    <v:stroke on="f"/>
                    <v:imagedata o:title=""/>
                    <o:lock v:ext="edit"/>
                  </v:shape>
                  <w10:wrap type="none"/>
                  <w10:anchorlock/>
                </v:group>
              </w:pict>
            </w:r>
          </w:p>
        </w:tc>
      </w:tr>
      <w:tr w14:paraId="68122D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66" w:hRule="atLeast"/>
        </w:trPr>
        <w:tc>
          <w:tcPr>
            <w:tcW w:w="640" w:type="dxa"/>
            <w:tcBorders>
              <w:left w:val="single" w:color="000000" w:sz="4" w:space="0"/>
            </w:tcBorders>
            <w:vAlign w:val="top"/>
          </w:tcPr>
          <w:p w14:paraId="34C64589">
            <w:pPr>
              <w:pStyle w:val="7"/>
              <w:spacing w:before="241" w:line="237" w:lineRule="auto"/>
              <w:ind w:left="282"/>
            </w:pPr>
            <w:r>
              <w:t>7</w:t>
            </w:r>
          </w:p>
        </w:tc>
        <w:tc>
          <w:tcPr>
            <w:tcW w:w="1970" w:type="dxa"/>
            <w:gridSpan w:val="2"/>
            <w:vAlign w:val="top"/>
          </w:tcPr>
          <w:p w14:paraId="0E1A259F">
            <w:pPr>
              <w:pStyle w:val="7"/>
              <w:spacing w:before="242" w:line="217" w:lineRule="auto"/>
              <w:ind w:left="152"/>
            </w:pPr>
            <w:r>
              <w:rPr>
                <w:spacing w:val="-21"/>
              </w:rPr>
              <w:t>中线平面偏位(mm)</w:t>
            </w:r>
          </w:p>
        </w:tc>
        <w:tc>
          <w:tcPr>
            <w:tcW w:w="3147" w:type="dxa"/>
            <w:gridSpan w:val="2"/>
            <w:vAlign w:val="top"/>
          </w:tcPr>
          <w:p w14:paraId="7F3490BD">
            <w:pPr>
              <w:pStyle w:val="7"/>
              <w:spacing w:before="241" w:line="237" w:lineRule="auto"/>
              <w:ind w:left="1469"/>
            </w:pPr>
            <w:r>
              <w:rPr>
                <w:spacing w:val="-6"/>
              </w:rPr>
              <w:t>20</w:t>
            </w:r>
          </w:p>
        </w:tc>
        <w:tc>
          <w:tcPr>
            <w:tcW w:w="2545" w:type="dxa"/>
            <w:vAlign w:val="top"/>
          </w:tcPr>
          <w:p w14:paraId="460C81E6">
            <w:pPr>
              <w:pStyle w:val="7"/>
              <w:spacing w:before="241" w:line="217" w:lineRule="auto"/>
              <w:ind w:left="141"/>
            </w:pPr>
            <w:r>
              <w:rPr>
                <w:spacing w:val="-8"/>
              </w:rPr>
              <w:t>经纬仪：每200m测4点</w:t>
            </w:r>
          </w:p>
        </w:tc>
        <w:tc>
          <w:tcPr>
            <w:tcW w:w="621" w:type="dxa"/>
            <w:tcBorders>
              <w:right w:val="nil"/>
            </w:tcBorders>
            <w:vAlign w:val="top"/>
          </w:tcPr>
          <w:p w14:paraId="25AFA768">
            <w:pPr>
              <w:pStyle w:val="7"/>
              <w:spacing w:before="242" w:line="238" w:lineRule="auto"/>
              <w:ind w:left="370"/>
            </w:pPr>
            <w:r>
              <w:t>1</w:t>
            </w:r>
          </w:p>
        </w:tc>
        <w:tc>
          <w:tcPr>
            <w:tcW w:w="195" w:type="dxa"/>
            <w:tcBorders>
              <w:left w:val="nil"/>
              <w:right w:val="single" w:color="000000" w:sz="4" w:space="0"/>
            </w:tcBorders>
            <w:vAlign w:val="top"/>
          </w:tcPr>
          <w:p w14:paraId="7EEA8C0A">
            <w:pPr>
              <w:spacing w:line="63" w:lineRule="exact"/>
              <w:ind w:firstLine="157"/>
            </w:pPr>
            <w:r>
              <w:rPr>
                <w:position w:val="-1"/>
              </w:rPr>
              <w:pict>
                <v:group id="_x0000_s1845" o:spid="_x0000_s1845" o:spt="203" style="height:3.4pt;width:1.45pt;" coordsize="29,68">
                  <o:lock v:ext="edit"/>
                  <v:shape id="_x0000_s1846" o:spid="_x0000_s1846" style="position:absolute;left:14;top:0;height:68;width:15;" fillcolor="#20507B" filled="t" stroked="f" coordsize="15,68" path="m0,67l14,67,14,0,0,0,0,67xe">
                    <v:path/>
                    <v:fill on="t" focussize="0,0"/>
                    <v:stroke on="f"/>
                    <v:imagedata o:title=""/>
                    <o:lock v:ext="edit"/>
                  </v:shape>
                  <v:shape id="_x0000_s1847" o:spid="_x0000_s1847" style="position:absolute;left:0;top:0;height:68;width:15;" fillcolor="#1C456A" filled="t" stroked="f" coordsize="15,68" path="m0,67l14,67,14,0,0,0,0,67xe">
                    <v:path/>
                    <v:fill on="t" focussize="0,0"/>
                    <v:stroke on="f"/>
                    <v:imagedata o:title=""/>
                    <o:lock v:ext="edit"/>
                  </v:shape>
                  <w10:wrap type="none"/>
                  <w10:anchorlock/>
                </v:group>
              </w:pict>
            </w:r>
          </w:p>
        </w:tc>
      </w:tr>
      <w:tr w14:paraId="42FA7E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7" w:hRule="atLeast"/>
        </w:trPr>
        <w:tc>
          <w:tcPr>
            <w:tcW w:w="640" w:type="dxa"/>
            <w:tcBorders>
              <w:left w:val="single" w:color="000000" w:sz="4" w:space="0"/>
            </w:tcBorders>
            <w:vAlign w:val="top"/>
          </w:tcPr>
          <w:p w14:paraId="32E0247D">
            <w:pPr>
              <w:pStyle w:val="7"/>
              <w:spacing w:before="100" w:line="237" w:lineRule="auto"/>
              <w:ind w:left="277"/>
            </w:pPr>
            <w:r>
              <w:t>8</w:t>
            </w:r>
          </w:p>
        </w:tc>
        <w:tc>
          <w:tcPr>
            <w:tcW w:w="1970" w:type="dxa"/>
            <w:gridSpan w:val="2"/>
            <w:vAlign w:val="top"/>
          </w:tcPr>
          <w:p w14:paraId="383104E4">
            <w:pPr>
              <w:pStyle w:val="7"/>
              <w:spacing w:before="100" w:line="219" w:lineRule="auto"/>
              <w:ind w:left="338"/>
            </w:pPr>
            <w:r>
              <w:rPr>
                <w:spacing w:val="-16"/>
              </w:rPr>
              <w:t>路面宽度(mm)</w:t>
            </w:r>
          </w:p>
        </w:tc>
        <w:tc>
          <w:tcPr>
            <w:tcW w:w="3147" w:type="dxa"/>
            <w:gridSpan w:val="2"/>
            <w:vAlign w:val="top"/>
          </w:tcPr>
          <w:p w14:paraId="43AFDEA2">
            <w:pPr>
              <w:pStyle w:val="7"/>
              <w:spacing w:before="100" w:line="237" w:lineRule="auto"/>
              <w:ind w:left="1469"/>
            </w:pPr>
            <w:r>
              <w:rPr>
                <w:spacing w:val="-6"/>
              </w:rPr>
              <w:t>20</w:t>
            </w:r>
          </w:p>
        </w:tc>
        <w:tc>
          <w:tcPr>
            <w:tcW w:w="2545" w:type="dxa"/>
            <w:vAlign w:val="top"/>
          </w:tcPr>
          <w:p w14:paraId="2C624DC0">
            <w:pPr>
              <w:pStyle w:val="7"/>
              <w:spacing w:before="100" w:line="219" w:lineRule="auto"/>
              <w:ind w:left="249"/>
            </w:pPr>
            <w:r>
              <w:rPr>
                <w:spacing w:val="-7"/>
              </w:rPr>
              <w:t>抽量：每200m测4处</w:t>
            </w:r>
          </w:p>
        </w:tc>
        <w:tc>
          <w:tcPr>
            <w:tcW w:w="621" w:type="dxa"/>
            <w:tcBorders>
              <w:right w:val="nil"/>
            </w:tcBorders>
            <w:vAlign w:val="top"/>
          </w:tcPr>
          <w:p w14:paraId="693615E8">
            <w:pPr>
              <w:pStyle w:val="7"/>
              <w:spacing w:before="100" w:line="238" w:lineRule="auto"/>
              <w:ind w:left="370"/>
            </w:pPr>
            <w:r>
              <w:t>1</w:t>
            </w:r>
          </w:p>
        </w:tc>
        <w:tc>
          <w:tcPr>
            <w:tcW w:w="195" w:type="dxa"/>
            <w:tcBorders>
              <w:left w:val="nil"/>
              <w:right w:val="single" w:color="000000" w:sz="4" w:space="0"/>
            </w:tcBorders>
            <w:vAlign w:val="top"/>
          </w:tcPr>
          <w:p w14:paraId="4826236E">
            <w:pPr>
              <w:spacing w:line="64" w:lineRule="exact"/>
              <w:ind w:firstLine="157"/>
            </w:pPr>
            <w:r>
              <w:rPr>
                <w:position w:val="-1"/>
              </w:rPr>
              <w:pict>
                <v:group id="_x0000_s1848" o:spid="_x0000_s1848" o:spt="203" style="height:3.4pt;width:1.45pt;" coordsize="29,68">
                  <o:lock v:ext="edit"/>
                  <v:shape id="_x0000_s1849" o:spid="_x0000_s1849" style="position:absolute;left:14;top:0;height:68;width:15;" fillcolor="#20507B" filled="t" stroked="f" coordsize="15,68" path="m0,67l14,67,14,0,0,0,0,67xe">
                    <v:path/>
                    <v:fill on="t" focussize="0,0"/>
                    <v:stroke on="f"/>
                    <v:imagedata o:title=""/>
                    <o:lock v:ext="edit"/>
                  </v:shape>
                  <v:shape id="_x0000_s1850" o:spid="_x0000_s1850" style="position:absolute;left:0;top:0;height:68;width:15;" fillcolor="#1C456A" filled="t" stroked="f" coordsize="15,68" path="m0,67l14,67,14,0,0,0,0,67xe">
                    <v:path/>
                    <v:fill on="t" focussize="0,0"/>
                    <v:stroke on="f"/>
                    <v:imagedata o:title=""/>
                    <o:lock v:ext="edit"/>
                  </v:shape>
                  <w10:wrap type="none"/>
                  <w10:anchorlock/>
                </v:group>
              </w:pict>
            </w:r>
          </w:p>
        </w:tc>
      </w:tr>
      <w:tr w14:paraId="3E3572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65" w:hRule="atLeast"/>
        </w:trPr>
        <w:tc>
          <w:tcPr>
            <w:tcW w:w="640" w:type="dxa"/>
            <w:tcBorders>
              <w:left w:val="single" w:color="000000" w:sz="4" w:space="0"/>
            </w:tcBorders>
            <w:vAlign w:val="top"/>
          </w:tcPr>
          <w:p w14:paraId="026B931D">
            <w:pPr>
              <w:pStyle w:val="7"/>
              <w:spacing w:before="240" w:line="237" w:lineRule="auto"/>
              <w:ind w:left="277"/>
            </w:pPr>
            <w:r>
              <w:t>9</w:t>
            </w:r>
          </w:p>
        </w:tc>
        <w:tc>
          <w:tcPr>
            <w:tcW w:w="1970" w:type="dxa"/>
            <w:gridSpan w:val="2"/>
            <w:vAlign w:val="top"/>
          </w:tcPr>
          <w:p w14:paraId="4C2C55E4">
            <w:pPr>
              <w:pStyle w:val="7"/>
              <w:spacing w:before="239" w:line="217" w:lineRule="auto"/>
              <w:ind w:left="341"/>
            </w:pPr>
            <w:r>
              <w:rPr>
                <w:spacing w:val="-16"/>
              </w:rPr>
              <w:t>纵断高程(mm)</w:t>
            </w:r>
          </w:p>
        </w:tc>
        <w:tc>
          <w:tcPr>
            <w:tcW w:w="1573" w:type="dxa"/>
            <w:vAlign w:val="top"/>
          </w:tcPr>
          <w:p w14:paraId="3B30F135">
            <w:pPr>
              <w:pStyle w:val="7"/>
              <w:spacing w:before="240" w:line="237" w:lineRule="auto"/>
              <w:ind w:left="694"/>
            </w:pPr>
            <w:r>
              <w:rPr>
                <w:spacing w:val="-10"/>
              </w:rPr>
              <w:t>10</w:t>
            </w:r>
          </w:p>
        </w:tc>
        <w:tc>
          <w:tcPr>
            <w:tcW w:w="1574" w:type="dxa"/>
            <w:vAlign w:val="top"/>
          </w:tcPr>
          <w:p w14:paraId="7DCD90AB">
            <w:pPr>
              <w:pStyle w:val="7"/>
              <w:spacing w:before="240" w:line="237" w:lineRule="auto"/>
              <w:ind w:left="698"/>
            </w:pPr>
            <w:r>
              <w:rPr>
                <w:spacing w:val="-10"/>
              </w:rPr>
              <w:t>15</w:t>
            </w:r>
          </w:p>
        </w:tc>
        <w:tc>
          <w:tcPr>
            <w:tcW w:w="2545" w:type="dxa"/>
            <w:vAlign w:val="top"/>
          </w:tcPr>
          <w:p w14:paraId="080A21A5">
            <w:pPr>
              <w:pStyle w:val="7"/>
              <w:spacing w:before="239" w:line="217" w:lineRule="auto"/>
              <w:ind w:right="7"/>
              <w:jc w:val="right"/>
            </w:pPr>
            <w:r>
              <w:rPr>
                <w:spacing w:val="-15"/>
              </w:rPr>
              <w:t>水准仪：每200m测4断面</w:t>
            </w:r>
          </w:p>
        </w:tc>
        <w:tc>
          <w:tcPr>
            <w:tcW w:w="621" w:type="dxa"/>
            <w:tcBorders>
              <w:right w:val="nil"/>
            </w:tcBorders>
            <w:vAlign w:val="top"/>
          </w:tcPr>
          <w:p w14:paraId="519C6A84">
            <w:pPr>
              <w:pStyle w:val="7"/>
              <w:spacing w:before="240" w:line="238" w:lineRule="auto"/>
              <w:ind w:left="370"/>
            </w:pPr>
            <w:r>
              <w:t>1</w:t>
            </w:r>
          </w:p>
        </w:tc>
        <w:tc>
          <w:tcPr>
            <w:tcW w:w="195" w:type="dxa"/>
            <w:tcBorders>
              <w:left w:val="nil"/>
              <w:right w:val="single" w:color="000000" w:sz="4" w:space="0"/>
            </w:tcBorders>
            <w:vAlign w:val="top"/>
          </w:tcPr>
          <w:p w14:paraId="619B5570">
            <w:pPr>
              <w:spacing w:line="64" w:lineRule="exact"/>
              <w:ind w:firstLine="157"/>
            </w:pPr>
            <w:r>
              <w:rPr>
                <w:position w:val="-1"/>
              </w:rPr>
              <w:pict>
                <v:group id="_x0000_s1851" o:spid="_x0000_s1851" o:spt="203" style="height:3.4pt;width:1.45pt;" coordsize="29,68">
                  <o:lock v:ext="edit"/>
                  <v:shape id="_x0000_s1852" o:spid="_x0000_s1852" style="position:absolute;left:14;top:0;height:68;width:15;" fillcolor="#20507B" filled="t" stroked="f" coordsize="15,68" path="m0,67l14,67,14,0,0,0,0,67xe">
                    <v:path/>
                    <v:fill on="t" focussize="0,0"/>
                    <v:stroke on="f"/>
                    <v:imagedata o:title=""/>
                    <o:lock v:ext="edit"/>
                  </v:shape>
                  <v:shape id="_x0000_s1853" o:spid="_x0000_s1853" style="position:absolute;left:0;top:0;height:68;width:15;" fillcolor="#1C456A" filled="t" stroked="f" coordsize="15,68" path="m0,67l14,67,14,0,0,0,0,67xe">
                    <v:path/>
                    <v:fill on="t" focussize="0,0"/>
                    <v:stroke on="f"/>
                    <v:imagedata o:title=""/>
                    <o:lock v:ext="edit"/>
                  </v:shape>
                  <w10:wrap type="none"/>
                  <w10:anchorlock/>
                </v:group>
              </w:pict>
            </w:r>
          </w:p>
        </w:tc>
      </w:tr>
      <w:tr w14:paraId="3F0430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20" w:hRule="atLeast"/>
        </w:trPr>
        <w:tc>
          <w:tcPr>
            <w:tcW w:w="640" w:type="dxa"/>
            <w:tcBorders>
              <w:left w:val="single" w:color="1C456A" w:sz="4" w:space="0"/>
              <w:bottom w:val="single" w:color="1C456A" w:sz="4" w:space="0"/>
            </w:tcBorders>
            <w:vAlign w:val="top"/>
          </w:tcPr>
          <w:p w14:paraId="10A9AF62">
            <w:pPr>
              <w:pStyle w:val="7"/>
              <w:spacing w:before="251" w:line="237" w:lineRule="auto"/>
              <w:ind w:left="239"/>
            </w:pPr>
            <w:r>
              <w:rPr>
                <w:spacing w:val="-10"/>
              </w:rPr>
              <w:t>10</w:t>
            </w:r>
          </w:p>
        </w:tc>
        <w:tc>
          <w:tcPr>
            <w:tcW w:w="1970" w:type="dxa"/>
            <w:gridSpan w:val="2"/>
            <w:tcBorders>
              <w:bottom w:val="single" w:color="000000" w:sz="4" w:space="0"/>
            </w:tcBorders>
            <w:vAlign w:val="top"/>
          </w:tcPr>
          <w:p w14:paraId="654DA05B">
            <w:pPr>
              <w:pStyle w:val="7"/>
              <w:spacing w:before="251" w:line="218" w:lineRule="auto"/>
              <w:ind w:left="610"/>
            </w:pPr>
            <w:r>
              <w:rPr>
                <w:spacing w:val="-15"/>
              </w:rPr>
              <w:t>横坡(%)</w:t>
            </w:r>
          </w:p>
        </w:tc>
        <w:tc>
          <w:tcPr>
            <w:tcW w:w="1573" w:type="dxa"/>
            <w:tcBorders>
              <w:bottom w:val="single" w:color="000000" w:sz="4" w:space="0"/>
            </w:tcBorders>
            <w:vAlign w:val="top"/>
          </w:tcPr>
          <w:p w14:paraId="338AF41E">
            <w:pPr>
              <w:pStyle w:val="7"/>
              <w:spacing w:before="251" w:line="236" w:lineRule="auto"/>
              <w:ind w:left="570"/>
            </w:pPr>
            <w:r>
              <w:rPr>
                <w:spacing w:val="-9"/>
              </w:rPr>
              <w:t>0.15</w:t>
            </w:r>
          </w:p>
        </w:tc>
        <w:tc>
          <w:tcPr>
            <w:tcW w:w="1574" w:type="dxa"/>
            <w:tcBorders>
              <w:bottom w:val="single" w:color="000000" w:sz="4" w:space="0"/>
            </w:tcBorders>
            <w:vAlign w:val="top"/>
          </w:tcPr>
          <w:p w14:paraId="7DFAC1D9">
            <w:pPr>
              <w:pStyle w:val="7"/>
              <w:spacing w:before="251" w:line="236" w:lineRule="auto"/>
              <w:ind w:left="572"/>
            </w:pPr>
            <w:r>
              <w:rPr>
                <w:spacing w:val="-9"/>
              </w:rPr>
              <w:t>0.25</w:t>
            </w:r>
          </w:p>
        </w:tc>
        <w:tc>
          <w:tcPr>
            <w:tcW w:w="2545" w:type="dxa"/>
            <w:tcBorders>
              <w:bottom w:val="single" w:color="000000" w:sz="4" w:space="0"/>
            </w:tcBorders>
            <w:vAlign w:val="top"/>
          </w:tcPr>
          <w:p w14:paraId="6F100DC7">
            <w:pPr>
              <w:pStyle w:val="7"/>
              <w:spacing w:before="250" w:line="217" w:lineRule="auto"/>
              <w:ind w:right="8"/>
              <w:jc w:val="right"/>
            </w:pPr>
            <w:r>
              <w:rPr>
                <w:spacing w:val="-15"/>
              </w:rPr>
              <w:t>水准仪：每200m测4断面</w:t>
            </w:r>
          </w:p>
        </w:tc>
        <w:tc>
          <w:tcPr>
            <w:tcW w:w="621" w:type="dxa"/>
            <w:tcBorders>
              <w:bottom w:val="single" w:color="5B9BD5" w:sz="4" w:space="0"/>
              <w:right w:val="nil"/>
            </w:tcBorders>
            <w:vAlign w:val="top"/>
          </w:tcPr>
          <w:p w14:paraId="08205889">
            <w:pPr>
              <w:pStyle w:val="7"/>
              <w:spacing w:before="251" w:line="238" w:lineRule="auto"/>
              <w:ind w:left="370"/>
            </w:pPr>
            <w:r>
              <w:t>1</w:t>
            </w:r>
          </w:p>
        </w:tc>
        <w:tc>
          <w:tcPr>
            <w:tcW w:w="195" w:type="dxa"/>
            <w:tcBorders>
              <w:left w:val="nil"/>
              <w:bottom w:val="single" w:color="5B9BD5" w:sz="4" w:space="0"/>
              <w:right w:val="single" w:color="5B9BD5" w:sz="4" w:space="0"/>
            </w:tcBorders>
            <w:vAlign w:val="top"/>
          </w:tcPr>
          <w:p w14:paraId="68C2694E">
            <w:pPr>
              <w:spacing w:line="66" w:lineRule="exact"/>
              <w:ind w:firstLine="157"/>
            </w:pPr>
            <w:r>
              <w:rPr>
                <w:position w:val="-1"/>
              </w:rPr>
              <w:pict>
                <v:group id="_x0000_s1854" o:spid="_x0000_s1854" o:spt="203" style="height:3.4pt;width:1.45pt;" coordsize="29,68">
                  <o:lock v:ext="edit"/>
                  <v:shape id="_x0000_s1855" o:spid="_x0000_s1855" style="position:absolute;left:14;top:0;height:68;width:15;" fillcolor="#20507B" filled="t" stroked="f" coordsize="15,68" path="m0,67l14,67,14,0,0,0,0,67xe">
                    <v:path/>
                    <v:fill on="t" focussize="0,0"/>
                    <v:stroke on="f"/>
                    <v:imagedata o:title=""/>
                    <o:lock v:ext="edit"/>
                  </v:shape>
                  <v:shape id="_x0000_s1856" o:spid="_x0000_s1856" style="position:absolute;left:0;top:0;height:68;width:15;" fillcolor="#1C456A" filled="t" stroked="f" coordsize="15,68" path="m0,67l14,67,14,0,0,0,0,67xe">
                    <v:path/>
                    <v:fill on="t" focussize="0,0"/>
                    <v:stroke on="f"/>
                    <v:imagedata o:title=""/>
                    <o:lock v:ext="edit"/>
                  </v:shape>
                  <w10:wrap type="none"/>
                  <w10:anchorlock/>
                </v:group>
              </w:pict>
            </w:r>
          </w:p>
          <w:p w14:paraId="423637EF">
            <w:pPr>
              <w:spacing w:line="271" w:lineRule="auto"/>
              <w:rPr>
                <w:rFonts w:ascii="Arial"/>
                <w:sz w:val="21"/>
              </w:rPr>
            </w:pPr>
          </w:p>
          <w:p w14:paraId="2A04C77B">
            <w:pPr>
              <w:spacing w:line="272" w:lineRule="auto"/>
              <w:rPr>
                <w:rFonts w:ascii="Arial"/>
                <w:sz w:val="21"/>
              </w:rPr>
            </w:pPr>
          </w:p>
          <w:p w14:paraId="79B34624">
            <w:pPr>
              <w:spacing w:line="272" w:lineRule="auto"/>
              <w:rPr>
                <w:rFonts w:ascii="Arial"/>
                <w:sz w:val="21"/>
              </w:rPr>
            </w:pPr>
          </w:p>
          <w:p w14:paraId="54FE4973">
            <w:pPr>
              <w:spacing w:line="23" w:lineRule="exact"/>
              <w:ind w:firstLine="157"/>
            </w:pPr>
            <w:r>
              <w:rPr>
                <w:position w:val="-2"/>
              </w:rPr>
              <w:pict>
                <v:group id="_x0000_s1857" o:spid="_x0000_s1857" o:spt="203" style="height:2.2pt;width:2.2pt;" coordsize="44,44">
                  <o:lock v:ext="edit"/>
                  <v:shape id="_x0000_s1858" o:spid="_x0000_s1858" style="position:absolute;left:0;top:28;height:15;width:44;" fillcolor="#5B9BD5" filled="t" stroked="f" coordsize="44,15" path="m0,14l43,14,43,0,0,0,0,14xe">
                    <v:path/>
                    <v:fill on="t" focussize="0,0"/>
                    <v:stroke on="f"/>
                    <v:imagedata o:title=""/>
                    <o:lock v:ext="edit"/>
                  </v:shape>
                  <v:shape id="_x0000_s1859" o:spid="_x0000_s1859" style="position:absolute;left:14;top:0;height:29;width:15;" fillcolor="#20507B" filled="t" stroked="f" coordsize="15,29" path="m0,28l14,28,14,0,0,0,0,28xe">
                    <v:path/>
                    <v:fill on="t" focussize="0,0"/>
                    <v:stroke on="f"/>
                    <v:imagedata o:title=""/>
                    <o:lock v:ext="edit"/>
                  </v:shape>
                  <w10:wrap type="none"/>
                  <w10:anchorlock/>
                </v:group>
              </w:pict>
            </w:r>
          </w:p>
        </w:tc>
      </w:tr>
    </w:tbl>
    <w:p w14:paraId="1C112126">
      <w:pPr>
        <w:pStyle w:val="2"/>
        <w:spacing w:before="115" w:line="219" w:lineRule="auto"/>
        <w:ind w:left="1888"/>
        <w:rPr>
          <w:sz w:val="24"/>
          <w:szCs w:val="24"/>
        </w:rPr>
      </w:pPr>
      <w:r>
        <w:rPr>
          <w:spacing w:val="-12"/>
          <w:sz w:val="24"/>
          <w:szCs w:val="24"/>
        </w:rPr>
        <w:t>2.2.9填缝</w:t>
      </w:r>
    </w:p>
    <w:p w14:paraId="3174CAFB">
      <w:pPr>
        <w:pStyle w:val="2"/>
        <w:spacing w:before="116" w:line="217" w:lineRule="auto"/>
        <w:ind w:left="1896"/>
        <w:rPr>
          <w:sz w:val="24"/>
          <w:szCs w:val="24"/>
        </w:rPr>
      </w:pPr>
      <w:r>
        <w:rPr>
          <w:spacing w:val="-21"/>
          <w:sz w:val="24"/>
          <w:szCs w:val="24"/>
        </w:rPr>
        <w:t>混凝土板养生期满后，应及时灌缝。</w:t>
      </w:r>
    </w:p>
    <w:p w14:paraId="4AACAEED">
      <w:pPr>
        <w:pStyle w:val="2"/>
        <w:spacing w:before="117" w:line="215" w:lineRule="auto"/>
        <w:ind w:left="1888"/>
        <w:rPr>
          <w:sz w:val="24"/>
          <w:szCs w:val="24"/>
        </w:rPr>
      </w:pPr>
      <w:r>
        <w:rPr>
          <w:spacing w:val="-17"/>
          <w:sz w:val="24"/>
          <w:szCs w:val="24"/>
        </w:rPr>
        <w:t>2.2.9.1在灌封前应保持缝内清洁，防止杂物掉入缝内。</w:t>
      </w:r>
    </w:p>
    <w:p w14:paraId="2BF59AEC">
      <w:pPr>
        <w:pStyle w:val="2"/>
        <w:spacing w:before="119" w:line="264" w:lineRule="auto"/>
        <w:ind w:left="1455" w:right="1410" w:firstLine="432"/>
        <w:rPr>
          <w:sz w:val="24"/>
          <w:szCs w:val="24"/>
        </w:rPr>
      </w:pPr>
      <w:r>
        <w:rPr>
          <w:spacing w:val="-18"/>
          <w:sz w:val="24"/>
          <w:szCs w:val="24"/>
        </w:rPr>
        <w:t>2.2.9.2灌注填缝料必须在缝槽干燥情况下进行，填缝料应与混凝土缝隙壁粘附紧密不渗水。</w:t>
      </w:r>
    </w:p>
    <w:p w14:paraId="53A4AA84">
      <w:pPr>
        <w:pStyle w:val="2"/>
        <w:spacing w:before="114" w:line="216" w:lineRule="auto"/>
        <w:ind w:left="1888"/>
        <w:rPr>
          <w:sz w:val="24"/>
          <w:szCs w:val="24"/>
        </w:rPr>
      </w:pPr>
      <w:r>
        <w:rPr>
          <w:spacing w:val="-19"/>
          <w:sz w:val="24"/>
          <w:szCs w:val="24"/>
        </w:rPr>
        <w:t>2.2.9.3填缝料的灌注高度，宜于版面平或</w:t>
      </w:r>
      <w:r>
        <w:rPr>
          <w:spacing w:val="-20"/>
          <w:sz w:val="24"/>
          <w:szCs w:val="24"/>
        </w:rPr>
        <w:t>略低于板面。</w:t>
      </w:r>
    </w:p>
    <w:p w14:paraId="2A10AB04">
      <w:pPr>
        <w:pStyle w:val="2"/>
        <w:spacing w:before="85" w:line="216" w:lineRule="auto"/>
        <w:ind w:left="1985"/>
        <w:outlineLvl w:val="2"/>
        <w:rPr>
          <w:sz w:val="28"/>
          <w:szCs w:val="28"/>
        </w:rPr>
      </w:pPr>
      <w:bookmarkStart w:id="57" w:name="bookmark56"/>
      <w:bookmarkEnd w:id="57"/>
      <w:r>
        <w:rPr>
          <w:b/>
          <w:bCs/>
          <w:spacing w:val="-22"/>
          <w:sz w:val="28"/>
          <w:szCs w:val="28"/>
        </w:rPr>
        <w:t>三、块料铺设</w:t>
      </w:r>
    </w:p>
    <w:p w14:paraId="349B7D01">
      <w:pPr>
        <w:spacing w:line="216" w:lineRule="auto"/>
        <w:rPr>
          <w:sz w:val="28"/>
          <w:szCs w:val="28"/>
        </w:rPr>
        <w:sectPr>
          <w:footerReference r:id="rId111" w:type="default"/>
          <w:pgSz w:w="11907" w:h="16839"/>
          <w:pgMar w:top="954" w:right="4" w:bottom="1038" w:left="0" w:header="499" w:footer="357" w:gutter="0"/>
          <w:pgBorders>
            <w:top w:val="none" w:sz="0" w:space="0"/>
            <w:left w:val="none" w:sz="0" w:space="0"/>
            <w:bottom w:val="none" w:sz="0" w:space="0"/>
            <w:right w:val="none" w:sz="0" w:space="0"/>
          </w:pgBorders>
          <w:cols w:space="720" w:num="1"/>
        </w:sectPr>
      </w:pPr>
    </w:p>
    <w:p w14:paraId="2B649B9C">
      <w:pPr>
        <w:spacing w:line="214" w:lineRule="exact"/>
      </w:pPr>
    </w:p>
    <w:tbl>
      <w:tblPr>
        <w:tblStyle w:val="6"/>
        <w:tblW w:w="8549" w:type="dxa"/>
        <w:tblInd w:w="1678" w:type="dxa"/>
        <w:tblBorders>
          <w:top w:val="single" w:color="5B9BD5" w:sz="4" w:space="0"/>
          <w:left w:val="single" w:color="5B9BD5" w:sz="4" w:space="0"/>
          <w:bottom w:val="single" w:color="5B9BD5" w:sz="4" w:space="0"/>
          <w:right w:val="single" w:color="5B9BD5" w:sz="4" w:space="0"/>
          <w:insideH w:val="single" w:color="5B9BD5" w:sz="4" w:space="0"/>
          <w:insideV w:val="single" w:color="5B9BD5" w:sz="4" w:space="0"/>
        </w:tblBorders>
        <w:tblLayout w:type="fixed"/>
        <w:tblCellMar>
          <w:top w:w="0" w:type="dxa"/>
          <w:left w:w="0" w:type="dxa"/>
          <w:bottom w:w="0" w:type="dxa"/>
          <w:right w:w="0" w:type="dxa"/>
        </w:tblCellMar>
      </w:tblPr>
      <w:tblGrid>
        <w:gridCol w:w="8549"/>
      </w:tblGrid>
      <w:tr w14:paraId="2577166D">
        <w:tblPrEx>
          <w:tblBorders>
            <w:top w:val="single" w:color="5B9BD5" w:sz="4" w:space="0"/>
            <w:left w:val="single" w:color="5B9BD5" w:sz="4" w:space="0"/>
            <w:bottom w:val="single" w:color="5B9BD5" w:sz="4" w:space="0"/>
            <w:right w:val="single" w:color="5B9BD5" w:sz="4" w:space="0"/>
            <w:insideH w:val="single" w:color="5B9BD5" w:sz="4" w:space="0"/>
            <w:insideV w:val="single" w:color="5B9BD5" w:sz="4" w:space="0"/>
          </w:tblBorders>
          <w:tblCellMar>
            <w:top w:w="0" w:type="dxa"/>
            <w:left w:w="0" w:type="dxa"/>
            <w:bottom w:w="0" w:type="dxa"/>
            <w:right w:w="0" w:type="dxa"/>
          </w:tblCellMar>
        </w:tblPrEx>
        <w:trPr>
          <w:trHeight w:val="4843" w:hRule="atLeast"/>
        </w:trPr>
        <w:tc>
          <w:tcPr>
            <w:tcW w:w="8549" w:type="dxa"/>
            <w:tcBorders>
              <w:bottom w:val="single" w:color="000000" w:sz="2" w:space="0"/>
            </w:tcBorders>
            <w:shd w:val="clear" w:color="auto" w:fill="DEEAF6"/>
            <w:vAlign w:val="top"/>
          </w:tcPr>
          <w:p w14:paraId="189112CA">
            <w:pPr>
              <w:spacing w:before="33" w:line="59" w:lineRule="exact"/>
              <w:ind w:firstLine="33"/>
            </w:pPr>
            <w:r>
              <w:rPr>
                <w:position w:val="-1"/>
              </w:rPr>
              <w:pict>
                <v:shape id="_x0000_s1860" o:spid="_x0000_s1860" style="height:3pt;width:423.7pt;" fillcolor="#DEEAF6" filled="t" stroked="f" coordsize="8474,60" path="m0,60l8473,60,8473,0,0,0,0,60xe">
                  <v:path/>
                  <v:fill on="t" focussize="0,0"/>
                  <v:stroke on="f"/>
                  <v:imagedata o:title=""/>
                  <o:lock v:ext="edit"/>
                  <w10:wrap type="none"/>
                  <w10:anchorlock/>
                </v:shape>
              </w:pict>
            </w:r>
          </w:p>
          <w:p w14:paraId="34C76D7F">
            <w:pPr>
              <w:spacing w:line="4554" w:lineRule="exact"/>
              <w:ind w:firstLine="68"/>
            </w:pPr>
            <w:r>
              <w:rPr>
                <w:position w:val="-91"/>
              </w:rPr>
              <w:drawing>
                <wp:inline distT="0" distB="0" distL="0" distR="0">
                  <wp:extent cx="5363845" cy="2891790"/>
                  <wp:effectExtent l="0" t="0" r="0" b="0"/>
                  <wp:docPr id="636" name="IM 636"/>
                  <wp:cNvGraphicFramePr/>
                  <a:graphic xmlns:a="http://schemas.openxmlformats.org/drawingml/2006/main">
                    <a:graphicData uri="http://schemas.openxmlformats.org/drawingml/2006/picture">
                      <pic:pic xmlns:pic="http://schemas.openxmlformats.org/drawingml/2006/picture">
                        <pic:nvPicPr>
                          <pic:cNvPr id="636" name="IM 636"/>
                          <pic:cNvPicPr/>
                        </pic:nvPicPr>
                        <pic:blipFill>
                          <a:blip r:embed="rId575"/>
                          <a:stretch>
                            <a:fillRect/>
                          </a:stretch>
                        </pic:blipFill>
                        <pic:spPr>
                          <a:xfrm>
                            <a:off x="0" y="0"/>
                            <a:ext cx="5364479" cy="2891790"/>
                          </a:xfrm>
                          <a:prstGeom prst="rect">
                            <a:avLst/>
                          </a:prstGeom>
                        </pic:spPr>
                      </pic:pic>
                    </a:graphicData>
                  </a:graphic>
                </wp:inline>
              </w:drawing>
            </w:r>
          </w:p>
        </w:tc>
      </w:tr>
      <w:tr w14:paraId="76830089">
        <w:tblPrEx>
          <w:tblBorders>
            <w:top w:val="single" w:color="5B9BD5" w:sz="4" w:space="0"/>
            <w:left w:val="single" w:color="5B9BD5" w:sz="4" w:space="0"/>
            <w:bottom w:val="single" w:color="5B9BD5" w:sz="4" w:space="0"/>
            <w:right w:val="single" w:color="5B9BD5" w:sz="4" w:space="0"/>
            <w:insideH w:val="single" w:color="5B9BD5" w:sz="4" w:space="0"/>
            <w:insideV w:val="single" w:color="5B9BD5" w:sz="4" w:space="0"/>
          </w:tblBorders>
          <w:tblCellMar>
            <w:top w:w="0" w:type="dxa"/>
            <w:left w:w="0" w:type="dxa"/>
            <w:bottom w:w="0" w:type="dxa"/>
            <w:right w:w="0" w:type="dxa"/>
          </w:tblCellMar>
        </w:tblPrEx>
        <w:trPr>
          <w:trHeight w:val="4805" w:hRule="atLeast"/>
        </w:trPr>
        <w:tc>
          <w:tcPr>
            <w:tcW w:w="8549" w:type="dxa"/>
            <w:tcBorders>
              <w:top w:val="single" w:color="000000" w:sz="2" w:space="0"/>
              <w:left w:val="single" w:color="1C456A" w:sz="4" w:space="0"/>
              <w:bottom w:val="single" w:color="1C456A" w:sz="4" w:space="0"/>
              <w:right w:val="single" w:color="1C456A" w:sz="4" w:space="0"/>
            </w:tcBorders>
            <w:vAlign w:val="top"/>
          </w:tcPr>
          <w:p w14:paraId="60F35139">
            <w:pPr>
              <w:spacing w:before="79" w:line="4478" w:lineRule="exact"/>
              <w:ind w:firstLine="68"/>
            </w:pPr>
            <w:r>
              <w:pict>
                <v:shape id="_x0000_s1861" o:spid="_x0000_s1861" style="position:absolute;left:0pt;margin-left:-0.25pt;margin-top:240.3pt;height:0.75pt;width:2.2pt;mso-position-horizontal-relative:page;mso-position-vertical-relative:page;z-index:251855872;mso-width-relative:page;mso-height-relative:page;" fillcolor="#5B9BD5" filled="t" stroked="f" coordsize="44,15" path="m0,14l43,14,43,0,0,0,0,14xe">
                  <v:path/>
                  <v:fill on="t" focussize="0,0"/>
                  <v:stroke on="f"/>
                  <v:imagedata o:title=""/>
                  <o:lock v:ext="edit"/>
                </v:shape>
              </w:pict>
            </w:r>
            <w:r>
              <w:pict>
                <v:shape id="_x0000_s1862" o:spid="_x0000_s1862" style="position:absolute;left:0pt;margin-left:425.6pt;margin-top:240.3pt;height:0.75pt;width:2.2pt;mso-position-horizontal-relative:page;mso-position-vertical-relative:page;z-index:251856896;mso-width-relative:page;mso-height-relative:page;" fillcolor="#5B9BD5" filled="t" stroked="f" coordsize="44,15" path="m0,14l43,14,43,0,0,0,0,14xe">
                  <v:path/>
                  <v:fill on="t" focussize="0,0"/>
                  <v:stroke on="f"/>
                  <v:imagedata o:title=""/>
                  <o:lock v:ext="edit"/>
                </v:shape>
              </w:pict>
            </w:r>
            <w:r>
              <w:rPr>
                <w:position w:val="-89"/>
              </w:rPr>
              <w:drawing>
                <wp:inline distT="0" distB="0" distL="0" distR="0">
                  <wp:extent cx="5334000" cy="2842895"/>
                  <wp:effectExtent l="0" t="0" r="0" b="0"/>
                  <wp:docPr id="638" name="IM 638"/>
                  <wp:cNvGraphicFramePr/>
                  <a:graphic xmlns:a="http://schemas.openxmlformats.org/drawingml/2006/main">
                    <a:graphicData uri="http://schemas.openxmlformats.org/drawingml/2006/picture">
                      <pic:pic xmlns:pic="http://schemas.openxmlformats.org/drawingml/2006/picture">
                        <pic:nvPicPr>
                          <pic:cNvPr id="638" name="IM 638"/>
                          <pic:cNvPicPr/>
                        </pic:nvPicPr>
                        <pic:blipFill>
                          <a:blip r:embed="rId576"/>
                          <a:stretch>
                            <a:fillRect/>
                          </a:stretch>
                        </pic:blipFill>
                        <pic:spPr>
                          <a:xfrm>
                            <a:off x="0" y="0"/>
                            <a:ext cx="5334000" cy="2843529"/>
                          </a:xfrm>
                          <a:prstGeom prst="rect">
                            <a:avLst/>
                          </a:prstGeom>
                        </pic:spPr>
                      </pic:pic>
                    </a:graphicData>
                  </a:graphic>
                </wp:inline>
              </w:drawing>
            </w:r>
          </w:p>
        </w:tc>
      </w:tr>
    </w:tbl>
    <w:p w14:paraId="7FA67AC0">
      <w:pPr>
        <w:pStyle w:val="2"/>
        <w:spacing w:before="115" w:line="219" w:lineRule="auto"/>
        <w:ind w:left="1890"/>
        <w:rPr>
          <w:sz w:val="24"/>
          <w:szCs w:val="24"/>
        </w:rPr>
      </w:pPr>
      <w:r>
        <w:rPr>
          <w:spacing w:val="-15"/>
          <w:sz w:val="24"/>
          <w:szCs w:val="24"/>
        </w:rPr>
        <w:t>3.1工艺流程</w:t>
      </w:r>
    </w:p>
    <w:p w14:paraId="29181352">
      <w:pPr>
        <w:pStyle w:val="2"/>
        <w:spacing w:before="114" w:line="218" w:lineRule="auto"/>
        <w:ind w:left="1894"/>
        <w:rPr>
          <w:sz w:val="24"/>
          <w:szCs w:val="24"/>
        </w:rPr>
      </w:pPr>
      <w:r>
        <w:rPr>
          <w:spacing w:val="-21"/>
          <w:sz w:val="24"/>
          <w:szCs w:val="24"/>
        </w:rPr>
        <w:t>本工程施工工艺流程是施工准备、砂浆摊铺、路面砖铺贴、整</w:t>
      </w:r>
      <w:r>
        <w:rPr>
          <w:spacing w:val="-22"/>
          <w:sz w:val="24"/>
          <w:szCs w:val="24"/>
        </w:rPr>
        <w:t>型、灌缝。</w:t>
      </w:r>
    </w:p>
    <w:p w14:paraId="612BE9A1">
      <w:pPr>
        <w:pStyle w:val="2"/>
        <w:spacing w:before="116" w:line="264" w:lineRule="auto"/>
        <w:ind w:left="1456" w:right="1431" w:firstLine="434"/>
        <w:rPr>
          <w:sz w:val="24"/>
          <w:szCs w:val="24"/>
        </w:rPr>
      </w:pPr>
      <w:r>
        <w:rPr>
          <w:spacing w:val="-23"/>
          <w:sz w:val="24"/>
          <w:szCs w:val="24"/>
        </w:rPr>
        <w:t>3.1.1清理基层：表面的积灰及杂物等清理干净。如局部凹凸不平，应将凸处凿平，凹处补</w:t>
      </w:r>
      <w:r>
        <w:rPr>
          <w:spacing w:val="-18"/>
          <w:sz w:val="24"/>
          <w:szCs w:val="24"/>
        </w:rPr>
        <w:t>平。</w:t>
      </w:r>
    </w:p>
    <w:p w14:paraId="0E15263A">
      <w:pPr>
        <w:pStyle w:val="2"/>
        <w:spacing w:before="112" w:line="278" w:lineRule="auto"/>
        <w:ind w:left="1455" w:right="1412" w:firstLine="434"/>
        <w:rPr>
          <w:sz w:val="24"/>
          <w:szCs w:val="24"/>
        </w:rPr>
      </w:pPr>
      <w:r>
        <w:rPr>
          <w:spacing w:val="-20"/>
          <w:sz w:val="24"/>
          <w:szCs w:val="24"/>
        </w:rPr>
        <w:t>3.1.2找平、弹线：按照设计图纸标高控制点内近引标高及平面轴线。</w:t>
      </w:r>
      <w:r>
        <w:rPr>
          <w:spacing w:val="-21"/>
          <w:sz w:val="24"/>
          <w:szCs w:val="24"/>
        </w:rPr>
        <w:t>每个5m*5m方格开始</w:t>
      </w:r>
      <w:r>
        <w:rPr>
          <w:spacing w:val="-20"/>
          <w:sz w:val="24"/>
          <w:szCs w:val="24"/>
        </w:rPr>
        <w:t>铺砌前，先根据位置和高程在四角各铺一块基准石材，在此甚础上在南北两侧各铺一条基准石</w:t>
      </w:r>
      <w:r>
        <w:rPr>
          <w:spacing w:val="-21"/>
          <w:sz w:val="24"/>
          <w:szCs w:val="24"/>
        </w:rPr>
        <w:t>材。经测量检查，高程与位置无误后，再进行大面积铺砌。</w:t>
      </w:r>
    </w:p>
    <w:p w14:paraId="0F658B5C">
      <w:pPr>
        <w:pStyle w:val="2"/>
        <w:spacing w:before="118" w:line="277" w:lineRule="auto"/>
        <w:ind w:left="1453" w:right="1411" w:firstLine="436"/>
        <w:rPr>
          <w:sz w:val="24"/>
          <w:szCs w:val="24"/>
        </w:rPr>
      </w:pPr>
      <w:r>
        <w:rPr>
          <w:spacing w:val="-22"/>
          <w:sz w:val="24"/>
          <w:szCs w:val="24"/>
        </w:rPr>
        <w:t>3.1.3试拼和试排：铺设前对每一块石材，按方位、角</w:t>
      </w:r>
      <w:r>
        <w:rPr>
          <w:spacing w:val="-23"/>
          <w:sz w:val="24"/>
          <w:szCs w:val="24"/>
        </w:rPr>
        <w:t>度进行试拼。试拼后按两个方向编号</w:t>
      </w:r>
      <w:r>
        <w:rPr>
          <w:spacing w:val="-20"/>
          <w:sz w:val="24"/>
          <w:szCs w:val="24"/>
        </w:rPr>
        <w:t>排列，然后按编号排放整齐。为检验板块之间的缝隙，核对板块位置与设计图纸是否相符合。在正式铺装前，要进行一次试排。</w:t>
      </w:r>
    </w:p>
    <w:p w14:paraId="75A38C05">
      <w:pPr>
        <w:spacing w:line="277" w:lineRule="auto"/>
        <w:rPr>
          <w:sz w:val="24"/>
          <w:szCs w:val="24"/>
        </w:rPr>
        <w:sectPr>
          <w:footerReference r:id="rId112" w:type="default"/>
          <w:pgSz w:w="11907" w:h="16839"/>
          <w:pgMar w:top="954" w:right="4" w:bottom="1038" w:left="0" w:header="499" w:footer="357" w:gutter="0"/>
          <w:pgBorders>
            <w:top w:val="none" w:sz="0" w:space="0"/>
            <w:left w:val="none" w:sz="0" w:space="0"/>
            <w:bottom w:val="none" w:sz="0" w:space="0"/>
            <w:right w:val="none" w:sz="0" w:space="0"/>
          </w:pgBorders>
          <w:cols w:space="720" w:num="1"/>
        </w:sectPr>
      </w:pPr>
    </w:p>
    <w:p w14:paraId="1FA82703">
      <w:pPr>
        <w:spacing w:line="214" w:lineRule="exact"/>
      </w:pPr>
    </w:p>
    <w:tbl>
      <w:tblPr>
        <w:tblStyle w:val="6"/>
        <w:tblW w:w="9152" w:type="dxa"/>
        <w:tblInd w:w="137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638"/>
        <w:gridCol w:w="3791"/>
        <w:gridCol w:w="723"/>
      </w:tblGrid>
      <w:tr w14:paraId="137EAC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70" w:hRule="atLeast"/>
        </w:trPr>
        <w:tc>
          <w:tcPr>
            <w:tcW w:w="4638" w:type="dxa"/>
            <w:tcBorders>
              <w:top w:val="single" w:color="5B9BD5" w:sz="4" w:space="0"/>
              <w:left w:val="single" w:color="1C456A" w:sz="4" w:space="0"/>
              <w:bottom w:val="single" w:color="DEEAF6" w:sz="2" w:space="0"/>
            </w:tcBorders>
            <w:shd w:val="clear" w:color="auto" w:fill="DEEAF6"/>
            <w:vAlign w:val="top"/>
          </w:tcPr>
          <w:p w14:paraId="09EC6EE9">
            <w:pPr>
              <w:spacing w:before="33" w:line="60" w:lineRule="exact"/>
              <w:ind w:firstLine="33"/>
            </w:pPr>
            <w:r>
              <w:rPr>
                <w:position w:val="-1"/>
              </w:rPr>
              <w:pict>
                <v:shape id="_x0000_s1863" o:spid="_x0000_s1863" style="height:3pt;width:229.6pt;" fillcolor="#DEEAF6" filled="t" stroked="f" coordsize="4592,60" path="m0,60l4591,60,4591,0,0,0,0,60xe">
                  <v:path/>
                  <v:fill on="t" focussize="0,0"/>
                  <v:stroke on="f"/>
                  <v:imagedata o:title=""/>
                  <o:lock v:ext="edit"/>
                  <w10:wrap type="none"/>
                  <w10:anchorlock/>
                </v:shape>
              </w:pict>
            </w:r>
          </w:p>
          <w:p w14:paraId="7771B7C6">
            <w:pPr>
              <w:spacing w:before="19" w:line="2697" w:lineRule="exact"/>
              <w:ind w:firstLine="135"/>
            </w:pPr>
            <w:r>
              <w:rPr>
                <w:position w:val="-53"/>
              </w:rPr>
              <w:drawing>
                <wp:inline distT="0" distB="0" distL="0" distR="0">
                  <wp:extent cx="2773045" cy="1712595"/>
                  <wp:effectExtent l="0" t="0" r="0" b="0"/>
                  <wp:docPr id="642" name="IM 642"/>
                  <wp:cNvGraphicFramePr/>
                  <a:graphic xmlns:a="http://schemas.openxmlformats.org/drawingml/2006/main">
                    <a:graphicData uri="http://schemas.openxmlformats.org/drawingml/2006/picture">
                      <pic:pic xmlns:pic="http://schemas.openxmlformats.org/drawingml/2006/picture">
                        <pic:nvPicPr>
                          <pic:cNvPr id="642" name="IM 642"/>
                          <pic:cNvPicPr/>
                        </pic:nvPicPr>
                        <pic:blipFill>
                          <a:blip r:embed="rId577"/>
                          <a:stretch>
                            <a:fillRect/>
                          </a:stretch>
                        </pic:blipFill>
                        <pic:spPr>
                          <a:xfrm>
                            <a:off x="0" y="0"/>
                            <a:ext cx="2773679" cy="1713229"/>
                          </a:xfrm>
                          <a:prstGeom prst="rect">
                            <a:avLst/>
                          </a:prstGeom>
                        </pic:spPr>
                      </pic:pic>
                    </a:graphicData>
                  </a:graphic>
                </wp:inline>
              </w:drawing>
            </w:r>
          </w:p>
        </w:tc>
        <w:tc>
          <w:tcPr>
            <w:tcW w:w="4514" w:type="dxa"/>
            <w:gridSpan w:val="2"/>
            <w:tcBorders>
              <w:right w:val="single" w:color="000000" w:sz="4" w:space="0"/>
            </w:tcBorders>
            <w:shd w:val="clear" w:color="auto" w:fill="DEEAF6"/>
            <w:vAlign w:val="top"/>
          </w:tcPr>
          <w:p w14:paraId="59B839A7">
            <w:pPr>
              <w:spacing w:before="33" w:line="60" w:lineRule="exact"/>
              <w:ind w:firstLine="32"/>
            </w:pPr>
            <w:r>
              <w:rPr>
                <w:position w:val="-1"/>
              </w:rPr>
              <w:pict>
                <v:shape id="_x0000_s1864" o:spid="_x0000_s1864" style="height:3pt;width:222.05pt;" fillcolor="#DEEAF6" filled="t" stroked="f" coordsize="4441,60" path="m0,60l4440,60,4440,0,0,0,0,60xe">
                  <v:path/>
                  <v:fill on="t" focussize="0,0"/>
                  <v:stroke on="f"/>
                  <v:imagedata o:title=""/>
                  <o:lock v:ext="edit"/>
                  <w10:wrap type="none"/>
                  <w10:anchorlock/>
                </v:shape>
              </w:pict>
            </w:r>
          </w:p>
          <w:p w14:paraId="5AAA5249">
            <w:pPr>
              <w:spacing w:before="10" w:line="2714" w:lineRule="exact"/>
              <w:ind w:firstLine="204"/>
            </w:pPr>
            <w:r>
              <w:rPr>
                <w:position w:val="-54"/>
              </w:rPr>
              <w:drawing>
                <wp:inline distT="0" distB="0" distL="0" distR="0">
                  <wp:extent cx="2587625" cy="1723390"/>
                  <wp:effectExtent l="0" t="0" r="0" b="0"/>
                  <wp:docPr id="644" name="IM 644"/>
                  <wp:cNvGraphicFramePr/>
                  <a:graphic xmlns:a="http://schemas.openxmlformats.org/drawingml/2006/main">
                    <a:graphicData uri="http://schemas.openxmlformats.org/drawingml/2006/picture">
                      <pic:pic xmlns:pic="http://schemas.openxmlformats.org/drawingml/2006/picture">
                        <pic:nvPicPr>
                          <pic:cNvPr id="644" name="IM 644"/>
                          <pic:cNvPicPr/>
                        </pic:nvPicPr>
                        <pic:blipFill>
                          <a:blip r:embed="rId578"/>
                          <a:stretch>
                            <a:fillRect/>
                          </a:stretch>
                        </pic:blipFill>
                        <pic:spPr>
                          <a:xfrm>
                            <a:off x="0" y="0"/>
                            <a:ext cx="2587625" cy="1723390"/>
                          </a:xfrm>
                          <a:prstGeom prst="rect">
                            <a:avLst/>
                          </a:prstGeom>
                        </pic:spPr>
                      </pic:pic>
                    </a:graphicData>
                  </a:graphic>
                </wp:inline>
              </w:drawing>
            </w:r>
          </w:p>
        </w:tc>
      </w:tr>
      <w:tr w14:paraId="460874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 w:hRule="atLeast"/>
        </w:trPr>
        <w:tc>
          <w:tcPr>
            <w:tcW w:w="4638" w:type="dxa"/>
            <w:tcBorders>
              <w:top w:val="single" w:color="DEEAF6" w:sz="2" w:space="0"/>
              <w:left w:val="single" w:color="000000" w:sz="4" w:space="0"/>
            </w:tcBorders>
            <w:vAlign w:val="top"/>
          </w:tcPr>
          <w:p w14:paraId="18979907">
            <w:pPr>
              <w:spacing w:line="51" w:lineRule="exact"/>
              <w:rPr>
                <w:rFonts w:ascii="Arial"/>
                <w:sz w:val="4"/>
              </w:rPr>
            </w:pPr>
          </w:p>
        </w:tc>
        <w:tc>
          <w:tcPr>
            <w:tcW w:w="4514" w:type="dxa"/>
            <w:gridSpan w:val="2"/>
            <w:tcBorders>
              <w:right w:val="single" w:color="000000" w:sz="4" w:space="0"/>
            </w:tcBorders>
            <w:shd w:val="clear" w:color="auto" w:fill="DEEAF6"/>
            <w:vAlign w:val="top"/>
          </w:tcPr>
          <w:p w14:paraId="24822658">
            <w:pPr>
              <w:spacing w:line="51" w:lineRule="exact"/>
              <w:rPr>
                <w:rFonts w:ascii="Arial"/>
                <w:sz w:val="4"/>
              </w:rPr>
            </w:pPr>
          </w:p>
        </w:tc>
      </w:tr>
      <w:tr w14:paraId="2FCF2D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4" w:hRule="atLeast"/>
        </w:trPr>
        <w:tc>
          <w:tcPr>
            <w:tcW w:w="4638" w:type="dxa"/>
            <w:tcBorders>
              <w:left w:val="single" w:color="1C456A" w:sz="4" w:space="0"/>
              <w:bottom w:val="single" w:color="1C456A" w:sz="4" w:space="0"/>
            </w:tcBorders>
            <w:vAlign w:val="top"/>
          </w:tcPr>
          <w:p w14:paraId="745E7037">
            <w:pPr>
              <w:pStyle w:val="7"/>
              <w:spacing w:before="102" w:line="216" w:lineRule="auto"/>
              <w:ind w:left="1490"/>
            </w:pPr>
            <w:r>
              <w:rPr>
                <w:spacing w:val="-19"/>
              </w:rPr>
              <w:t>块料铺设施工图1</w:t>
            </w:r>
          </w:p>
        </w:tc>
        <w:tc>
          <w:tcPr>
            <w:tcW w:w="3791" w:type="dxa"/>
            <w:tcBorders>
              <w:bottom w:val="single" w:color="5B9BD5" w:sz="4" w:space="0"/>
              <w:right w:val="nil"/>
            </w:tcBorders>
            <w:vAlign w:val="top"/>
          </w:tcPr>
          <w:p w14:paraId="750F3541">
            <w:pPr>
              <w:pStyle w:val="7"/>
              <w:spacing w:before="102" w:line="216" w:lineRule="auto"/>
              <w:ind w:left="1413"/>
            </w:pPr>
            <w:r>
              <w:rPr>
                <w:spacing w:val="-14"/>
              </w:rPr>
              <w:t>块料铺设施工图2</w:t>
            </w:r>
          </w:p>
        </w:tc>
        <w:tc>
          <w:tcPr>
            <w:tcW w:w="723" w:type="dxa"/>
            <w:tcBorders>
              <w:left w:val="nil"/>
              <w:bottom w:val="single" w:color="5B9BD5" w:sz="4" w:space="0"/>
              <w:right w:val="single" w:color="5B9BD5" w:sz="4" w:space="0"/>
            </w:tcBorders>
            <w:vAlign w:val="top"/>
          </w:tcPr>
          <w:p w14:paraId="5F51E15F">
            <w:pPr>
              <w:rPr>
                <w:rFonts w:ascii="Arial"/>
                <w:sz w:val="21"/>
              </w:rPr>
            </w:pPr>
            <w:r>
              <w:pict>
                <v:shape id="_x0000_s1865" o:spid="_x0000_s1865" style="position:absolute;left:0pt;margin-left:34.3pt;margin-top:0.2pt;height:3.4pt;width:0.75pt;mso-position-horizontal-relative:page;mso-position-vertical-relative:page;z-index:251857920;mso-width-relative:page;mso-height-relative:page;" fillcolor="#1C456A" filled="t" stroked="f" coordsize="15,68" path="m0,67l14,67,14,0,0,0,0,67xe">
                  <v:path/>
                  <v:fill on="t" focussize="0,0"/>
                  <v:stroke on="f"/>
                  <v:imagedata o:title=""/>
                  <o:lock v:ext="edit"/>
                </v:shape>
              </w:pict>
            </w:r>
          </w:p>
        </w:tc>
      </w:tr>
    </w:tbl>
    <w:p w14:paraId="71CCFA29">
      <w:pPr>
        <w:pStyle w:val="2"/>
        <w:spacing w:before="115" w:line="218" w:lineRule="auto"/>
        <w:ind w:left="1890"/>
        <w:rPr>
          <w:sz w:val="24"/>
          <w:szCs w:val="24"/>
        </w:rPr>
      </w:pPr>
      <w:r>
        <w:rPr>
          <w:spacing w:val="-23"/>
          <w:sz w:val="24"/>
          <w:szCs w:val="24"/>
        </w:rPr>
        <w:t>3.1.4砂浆：按水平线定出砂浆虚铺厚度（经试验确定）拉好十字线</w:t>
      </w:r>
      <w:r>
        <w:rPr>
          <w:spacing w:val="-24"/>
          <w:sz w:val="24"/>
          <w:szCs w:val="24"/>
        </w:rPr>
        <w:t>，即可铺筑砂浆。用1：</w:t>
      </w:r>
    </w:p>
    <w:p w14:paraId="0228B537">
      <w:pPr>
        <w:pStyle w:val="2"/>
        <w:spacing w:before="115" w:line="217" w:lineRule="auto"/>
        <w:ind w:left="1453"/>
        <w:rPr>
          <w:sz w:val="24"/>
          <w:szCs w:val="24"/>
        </w:rPr>
      </w:pPr>
      <w:r>
        <w:rPr>
          <w:spacing w:val="-18"/>
          <w:sz w:val="24"/>
          <w:szCs w:val="24"/>
        </w:rPr>
        <w:t>3水泥砂浆，铺好后刮大杠、拍实、用抹子找平</w:t>
      </w:r>
      <w:r>
        <w:rPr>
          <w:spacing w:val="-19"/>
          <w:sz w:val="24"/>
          <w:szCs w:val="24"/>
        </w:rPr>
        <w:t>，其厚度适当高出水平线2-3mm。</w:t>
      </w:r>
    </w:p>
    <w:p w14:paraId="0129DFF1">
      <w:pPr>
        <w:pStyle w:val="2"/>
        <w:spacing w:before="120" w:line="277" w:lineRule="auto"/>
        <w:ind w:left="1457" w:right="1388" w:firstLine="433"/>
        <w:rPr>
          <w:sz w:val="24"/>
          <w:szCs w:val="24"/>
        </w:rPr>
      </w:pPr>
      <w:r>
        <w:rPr>
          <w:spacing w:val="-22"/>
          <w:sz w:val="24"/>
          <w:szCs w:val="24"/>
        </w:rPr>
        <w:t>3.1.5铺贴：在铺设前，应按设计要求，根据板材的颜色、花纹、图案、纹理等试拼编号，</w:t>
      </w:r>
      <w:r>
        <w:rPr>
          <w:spacing w:val="-19"/>
          <w:sz w:val="24"/>
          <w:szCs w:val="24"/>
        </w:rPr>
        <w:t>力争少用非整块板，如必须用非整块板则应将其铺设在不显见</w:t>
      </w:r>
      <w:r>
        <w:rPr>
          <w:spacing w:val="-20"/>
          <w:sz w:val="24"/>
          <w:szCs w:val="24"/>
        </w:rPr>
        <w:t>的墙根处。板材应先用水浸湿，</w:t>
      </w:r>
      <w:r>
        <w:rPr>
          <w:spacing w:val="-21"/>
          <w:sz w:val="24"/>
          <w:szCs w:val="24"/>
        </w:rPr>
        <w:t>待擦干或表面晾干后方可使用。</w:t>
      </w:r>
    </w:p>
    <w:p w14:paraId="5D6C4CBB">
      <w:pPr>
        <w:pStyle w:val="2"/>
        <w:spacing w:before="117" w:line="262" w:lineRule="auto"/>
        <w:ind w:left="1457" w:right="1444" w:firstLine="433"/>
        <w:rPr>
          <w:sz w:val="24"/>
          <w:szCs w:val="24"/>
        </w:rPr>
      </w:pPr>
      <w:r>
        <w:rPr>
          <w:spacing w:val="-23"/>
          <w:sz w:val="24"/>
          <w:szCs w:val="24"/>
        </w:rPr>
        <w:t>3.1.6样板引路：石材铺装关键工序须执行样板引路，对关键点位</w:t>
      </w:r>
      <w:r>
        <w:rPr>
          <w:spacing w:val="-24"/>
          <w:sz w:val="24"/>
          <w:szCs w:val="24"/>
        </w:rPr>
        <w:t>、工序须提前预控，做出</w:t>
      </w:r>
      <w:r>
        <w:rPr>
          <w:spacing w:val="-21"/>
          <w:sz w:val="24"/>
          <w:szCs w:val="24"/>
        </w:rPr>
        <w:t>样板检查达标后，方能大面积进行施工，避免不必要的</w:t>
      </w:r>
      <w:r>
        <w:rPr>
          <w:spacing w:val="-22"/>
          <w:sz w:val="24"/>
          <w:szCs w:val="24"/>
        </w:rPr>
        <w:t>返工。</w:t>
      </w:r>
    </w:p>
    <w:p w14:paraId="6C1918F3">
      <w:pPr>
        <w:pStyle w:val="2"/>
        <w:spacing w:before="119" w:line="217" w:lineRule="auto"/>
        <w:ind w:left="1890"/>
        <w:rPr>
          <w:sz w:val="24"/>
          <w:szCs w:val="24"/>
        </w:rPr>
      </w:pPr>
      <w:r>
        <w:rPr>
          <w:spacing w:val="-17"/>
          <w:sz w:val="24"/>
          <w:szCs w:val="24"/>
        </w:rPr>
        <w:t>3.1.7铺砂浆前基层应浇水湿润，铺设3cm厚1:3水泥</w:t>
      </w:r>
      <w:r>
        <w:rPr>
          <w:spacing w:val="-18"/>
          <w:sz w:val="24"/>
          <w:szCs w:val="24"/>
        </w:rPr>
        <w:t>砂浆找平层。</w:t>
      </w:r>
    </w:p>
    <w:p w14:paraId="16B84839">
      <w:pPr>
        <w:pStyle w:val="2"/>
        <w:spacing w:before="120" w:line="277" w:lineRule="auto"/>
        <w:ind w:left="1456" w:right="1409" w:firstLine="434"/>
        <w:rPr>
          <w:sz w:val="24"/>
          <w:szCs w:val="24"/>
        </w:rPr>
      </w:pPr>
      <w:r>
        <w:rPr>
          <w:spacing w:val="-22"/>
          <w:sz w:val="24"/>
          <w:szCs w:val="24"/>
        </w:rPr>
        <w:t>3.1.8面层铺设：铺贴时从中心向外开始</w:t>
      </w:r>
      <w:r>
        <w:rPr>
          <w:spacing w:val="-23"/>
          <w:sz w:val="24"/>
          <w:szCs w:val="24"/>
        </w:rPr>
        <w:t>，逐行拉线。铺贴前，石材背面满涂素水泥浆，按</w:t>
      </w:r>
      <w:r>
        <w:rPr>
          <w:spacing w:val="-20"/>
          <w:sz w:val="24"/>
          <w:szCs w:val="24"/>
        </w:rPr>
        <w:t>控制线位置铺贴，将地面铺平，用橡皮锤轻击使其与砂浆粘结紧密，同时调整其表面平整度及</w:t>
      </w:r>
      <w:r>
        <w:rPr>
          <w:spacing w:val="-21"/>
          <w:sz w:val="24"/>
          <w:szCs w:val="24"/>
        </w:rPr>
        <w:t>缝宽，将缝内的干水泥砂和残留的水泥浆清理干净。</w:t>
      </w:r>
    </w:p>
    <w:p w14:paraId="43C1CE59">
      <w:pPr>
        <w:pStyle w:val="2"/>
        <w:spacing w:before="121" w:line="285" w:lineRule="auto"/>
        <w:ind w:left="1455" w:right="1411" w:firstLine="434"/>
        <w:rPr>
          <w:sz w:val="24"/>
          <w:szCs w:val="24"/>
        </w:rPr>
      </w:pPr>
      <w:r>
        <w:rPr>
          <w:spacing w:val="-19"/>
          <w:sz w:val="24"/>
          <w:szCs w:val="24"/>
        </w:rPr>
        <w:t>3.1.9嵌缝：铺砌完后按板材的颜色用白水泥和颜料与板材色调相近的1：1稀水泥浆，装</w:t>
      </w:r>
      <w:r>
        <w:rPr>
          <w:spacing w:val="-20"/>
          <w:sz w:val="24"/>
          <w:szCs w:val="24"/>
        </w:rPr>
        <w:t>入小嘴浆壶徐徐灌入板块之间的缝隙内，流在缝边的浆液用牛角刮刀喂入缝内，至基本饱满为止，缝宽为2mm；1-2h后，再用棉纱团蘸浆擦缝至平实光滑。粘附在石面上的浆液随手用湿纱</w:t>
      </w:r>
      <w:r>
        <w:rPr>
          <w:spacing w:val="-15"/>
          <w:sz w:val="24"/>
          <w:szCs w:val="24"/>
        </w:rPr>
        <w:t>团擦净。</w:t>
      </w:r>
    </w:p>
    <w:p w14:paraId="65ACCA68">
      <w:pPr>
        <w:pStyle w:val="2"/>
        <w:spacing w:before="116" w:line="261" w:lineRule="auto"/>
        <w:ind w:left="1456" w:right="1412" w:firstLine="434"/>
        <w:rPr>
          <w:sz w:val="24"/>
          <w:szCs w:val="24"/>
        </w:rPr>
      </w:pPr>
      <w:r>
        <w:rPr>
          <w:spacing w:val="-20"/>
          <w:sz w:val="24"/>
          <w:szCs w:val="24"/>
        </w:rPr>
        <w:t>3.1.10清理养护：清理残留在石材表</w:t>
      </w:r>
      <w:r>
        <w:rPr>
          <w:spacing w:val="-21"/>
          <w:sz w:val="24"/>
          <w:szCs w:val="24"/>
        </w:rPr>
        <w:t>面的剩余砂浆，铺好塑料布，防止污染、磕碰。养护</w:t>
      </w:r>
      <w:r>
        <w:rPr>
          <w:spacing w:val="-20"/>
          <w:sz w:val="24"/>
          <w:szCs w:val="24"/>
        </w:rPr>
        <w:t>期不少于7天，养护期应封闭交通，杜绝上人、上车及堆放材料等。</w:t>
      </w:r>
    </w:p>
    <w:p w14:paraId="3347B618">
      <w:pPr>
        <w:pStyle w:val="2"/>
        <w:spacing w:before="119" w:line="286" w:lineRule="auto"/>
        <w:ind w:left="1457" w:right="1414" w:firstLine="433"/>
        <w:rPr>
          <w:sz w:val="24"/>
          <w:szCs w:val="24"/>
        </w:rPr>
      </w:pPr>
      <w:r>
        <w:rPr>
          <w:spacing w:val="-20"/>
          <w:sz w:val="24"/>
          <w:szCs w:val="24"/>
        </w:rPr>
        <w:t>3.1.11施工质量措施：按有代表性的自然间抽查10%；石材饰面的品种、规格、颜色和图案必须符合设计要求；石材饰面表面平整、洁净、色泽协调，无变色、泛碱、污痕和明显的光泽受损处；石材饰面接缝填嵌密实、平直、宽窄均匀、颜色一致；突出物周围的砖用整砖套割</w:t>
      </w:r>
      <w:r>
        <w:rPr>
          <w:spacing w:val="-21"/>
          <w:sz w:val="24"/>
          <w:szCs w:val="24"/>
        </w:rPr>
        <w:t>吻合、边缘整齐。</w:t>
      </w:r>
    </w:p>
    <w:p w14:paraId="270B1F87">
      <w:pPr>
        <w:pStyle w:val="2"/>
        <w:spacing w:before="116" w:line="220" w:lineRule="auto"/>
        <w:ind w:left="1890"/>
        <w:rPr>
          <w:sz w:val="24"/>
          <w:szCs w:val="24"/>
        </w:rPr>
      </w:pPr>
      <w:r>
        <w:rPr>
          <w:spacing w:val="-15"/>
          <w:sz w:val="24"/>
          <w:szCs w:val="24"/>
        </w:rPr>
        <w:t>3.2工艺说明</w:t>
      </w:r>
    </w:p>
    <w:p w14:paraId="5C0DAA82">
      <w:pPr>
        <w:pStyle w:val="2"/>
        <w:spacing w:before="113" w:line="218" w:lineRule="auto"/>
        <w:ind w:left="1890"/>
        <w:rPr>
          <w:sz w:val="24"/>
          <w:szCs w:val="24"/>
        </w:rPr>
      </w:pPr>
      <w:r>
        <w:rPr>
          <w:spacing w:val="-14"/>
          <w:sz w:val="24"/>
          <w:szCs w:val="24"/>
        </w:rPr>
        <w:t>3.2.1施工准备</w:t>
      </w:r>
    </w:p>
    <w:p w14:paraId="6AE7A87A">
      <w:pPr>
        <w:pStyle w:val="2"/>
        <w:spacing w:before="117" w:line="216" w:lineRule="auto"/>
        <w:ind w:left="1890"/>
        <w:rPr>
          <w:sz w:val="24"/>
          <w:szCs w:val="24"/>
        </w:rPr>
      </w:pPr>
      <w:r>
        <w:rPr>
          <w:spacing w:val="-18"/>
          <w:sz w:val="24"/>
          <w:szCs w:val="24"/>
        </w:rPr>
        <w:t>3.2.1.1材料准备应符合下列要求：</w:t>
      </w:r>
    </w:p>
    <w:p w14:paraId="1D61BE5F">
      <w:pPr>
        <w:pStyle w:val="2"/>
        <w:spacing w:before="120" w:line="216" w:lineRule="auto"/>
        <w:ind w:left="1894"/>
        <w:rPr>
          <w:sz w:val="24"/>
          <w:szCs w:val="24"/>
        </w:rPr>
      </w:pPr>
      <w:r>
        <w:rPr>
          <w:spacing w:val="-21"/>
          <w:sz w:val="24"/>
          <w:szCs w:val="24"/>
        </w:rPr>
        <w:t>根据设计要求及规范规定对所用材料应进行质量检验，合格后</w:t>
      </w:r>
      <w:r>
        <w:rPr>
          <w:spacing w:val="-22"/>
          <w:sz w:val="24"/>
          <w:szCs w:val="24"/>
        </w:rPr>
        <w:t>方可进场；</w:t>
      </w:r>
    </w:p>
    <w:p w14:paraId="7F4B0BDE">
      <w:pPr>
        <w:pStyle w:val="2"/>
        <w:spacing w:before="117" w:line="216" w:lineRule="auto"/>
        <w:ind w:left="1891"/>
        <w:rPr>
          <w:sz w:val="24"/>
          <w:szCs w:val="24"/>
        </w:rPr>
      </w:pPr>
      <w:r>
        <w:rPr>
          <w:spacing w:val="-21"/>
          <w:sz w:val="24"/>
          <w:szCs w:val="24"/>
        </w:rPr>
        <w:t>路面砖码放时应轻拿轻放码放，整齐并按批量、颜色、块形、厚</w:t>
      </w:r>
      <w:r>
        <w:rPr>
          <w:spacing w:val="-22"/>
          <w:sz w:val="24"/>
          <w:szCs w:val="24"/>
        </w:rPr>
        <w:t>度、抗压强度分别堆放；</w:t>
      </w:r>
    </w:p>
    <w:p w14:paraId="79AD74CD">
      <w:pPr>
        <w:spacing w:line="216" w:lineRule="auto"/>
        <w:rPr>
          <w:sz w:val="24"/>
          <w:szCs w:val="24"/>
        </w:rPr>
        <w:sectPr>
          <w:footerReference r:id="rId113" w:type="default"/>
          <w:pgSz w:w="11907" w:h="16839"/>
          <w:pgMar w:top="954" w:right="4" w:bottom="1038" w:left="0" w:header="499" w:footer="357" w:gutter="0"/>
          <w:pgBorders>
            <w:top w:val="none" w:sz="0" w:space="0"/>
            <w:left w:val="none" w:sz="0" w:space="0"/>
            <w:bottom w:val="none" w:sz="0" w:space="0"/>
            <w:right w:val="none" w:sz="0" w:space="0"/>
          </w:pgBorders>
          <w:cols w:space="720" w:num="1"/>
        </w:sectPr>
      </w:pPr>
    </w:p>
    <w:p w14:paraId="07A6DBBA">
      <w:pPr>
        <w:spacing w:line="250" w:lineRule="auto"/>
        <w:rPr>
          <w:rFonts w:ascii="Arial"/>
          <w:sz w:val="21"/>
        </w:rPr>
      </w:pPr>
    </w:p>
    <w:p w14:paraId="01D8EDA4">
      <w:pPr>
        <w:pStyle w:val="2"/>
        <w:spacing w:before="78" w:line="216" w:lineRule="auto"/>
        <w:ind w:left="1896"/>
        <w:rPr>
          <w:sz w:val="24"/>
          <w:szCs w:val="24"/>
        </w:rPr>
      </w:pPr>
      <w:r>
        <w:rPr>
          <w:spacing w:val="-21"/>
          <w:sz w:val="24"/>
          <w:szCs w:val="24"/>
        </w:rPr>
        <w:t>垫砂层及接缝用砂应分别堆放，并应采取防止雨淋的</w:t>
      </w:r>
      <w:r>
        <w:rPr>
          <w:spacing w:val="-22"/>
          <w:sz w:val="24"/>
          <w:szCs w:val="24"/>
        </w:rPr>
        <w:t>措施。</w:t>
      </w:r>
    </w:p>
    <w:p w14:paraId="25C402A5">
      <w:pPr>
        <w:pStyle w:val="2"/>
        <w:spacing w:before="120" w:line="217" w:lineRule="auto"/>
        <w:ind w:left="1890"/>
        <w:rPr>
          <w:sz w:val="24"/>
          <w:szCs w:val="24"/>
        </w:rPr>
      </w:pPr>
      <w:r>
        <w:rPr>
          <w:spacing w:val="-17"/>
          <w:sz w:val="24"/>
          <w:szCs w:val="24"/>
        </w:rPr>
        <w:t>3.2.1.2定位标定高程及基层复查</w:t>
      </w:r>
    </w:p>
    <w:p w14:paraId="393D8A00">
      <w:pPr>
        <w:pStyle w:val="2"/>
        <w:spacing w:before="115" w:line="217" w:lineRule="auto"/>
        <w:ind w:left="1894"/>
        <w:rPr>
          <w:sz w:val="24"/>
          <w:szCs w:val="24"/>
        </w:rPr>
      </w:pPr>
      <w:r>
        <w:rPr>
          <w:spacing w:val="-22"/>
          <w:sz w:val="24"/>
          <w:szCs w:val="24"/>
        </w:rPr>
        <w:t>根据设计图纸应进行路面的定位及标定高程。</w:t>
      </w:r>
    </w:p>
    <w:p w14:paraId="5315ACAA">
      <w:pPr>
        <w:pStyle w:val="2"/>
        <w:spacing w:before="118" w:line="217" w:lineRule="auto"/>
        <w:ind w:left="1893"/>
        <w:rPr>
          <w:sz w:val="24"/>
          <w:szCs w:val="24"/>
        </w:rPr>
      </w:pPr>
      <w:r>
        <w:rPr>
          <w:spacing w:val="-21"/>
          <w:sz w:val="24"/>
          <w:szCs w:val="24"/>
        </w:rPr>
        <w:t>应对基层表面进行复查，不符合要求，应进行修整。</w:t>
      </w:r>
    </w:p>
    <w:p w14:paraId="7C0AF131">
      <w:pPr>
        <w:pStyle w:val="2"/>
        <w:spacing w:before="118" w:line="308" w:lineRule="auto"/>
        <w:ind w:left="1456" w:right="1414" w:firstLine="435"/>
        <w:rPr>
          <w:sz w:val="24"/>
          <w:szCs w:val="24"/>
        </w:rPr>
      </w:pPr>
      <w:r>
        <w:rPr>
          <w:spacing w:val="-20"/>
          <w:sz w:val="24"/>
          <w:szCs w:val="24"/>
        </w:rPr>
        <w:t>路面砖基准点和基准线的设定，根据铺筑平面设计图，在路缘石边应设定路面砖基准点。通过路面砖基准点，应设置两条相互垂直的路面砖基准线，其中一条基准线与路缘石基准线的</w:t>
      </w:r>
      <w:r>
        <w:rPr>
          <w:spacing w:val="-8"/>
          <w:sz w:val="24"/>
          <w:szCs w:val="24"/>
        </w:rPr>
        <w:t>夹角宜为0°或45°。</w:t>
      </w:r>
    </w:p>
    <w:p w14:paraId="65E7EB41">
      <w:pPr>
        <w:pStyle w:val="2"/>
        <w:spacing w:line="307" w:lineRule="auto"/>
        <w:ind w:left="1478" w:right="1410" w:firstLine="413"/>
        <w:rPr>
          <w:sz w:val="24"/>
          <w:szCs w:val="24"/>
        </w:rPr>
      </w:pPr>
      <w:r>
        <w:rPr>
          <w:spacing w:val="-20"/>
          <w:sz w:val="24"/>
          <w:szCs w:val="24"/>
        </w:rPr>
        <w:t>设置两个及以上路面砖基准点同时铺筑路面砖时，根据工程规模及路面砖块形尺寸，宜设</w:t>
      </w:r>
      <w:r>
        <w:rPr>
          <w:spacing w:val="-19"/>
          <w:sz w:val="24"/>
          <w:szCs w:val="24"/>
        </w:rPr>
        <w:t>间距为5～10m的纵横平行路面砖基准线。</w:t>
      </w:r>
    </w:p>
    <w:p w14:paraId="635C609D">
      <w:pPr>
        <w:pStyle w:val="2"/>
        <w:spacing w:before="1" w:line="218" w:lineRule="auto"/>
        <w:ind w:left="1890"/>
        <w:rPr>
          <w:sz w:val="24"/>
          <w:szCs w:val="24"/>
        </w:rPr>
      </w:pPr>
      <w:r>
        <w:rPr>
          <w:spacing w:val="-16"/>
          <w:sz w:val="24"/>
          <w:szCs w:val="24"/>
        </w:rPr>
        <w:t>3.2.2砂浆垫层的摊铺</w:t>
      </w:r>
    </w:p>
    <w:p w14:paraId="69B3BBD3">
      <w:pPr>
        <w:pStyle w:val="2"/>
        <w:spacing w:before="118" w:line="218" w:lineRule="auto"/>
        <w:ind w:left="1892"/>
        <w:rPr>
          <w:sz w:val="24"/>
          <w:szCs w:val="24"/>
        </w:rPr>
      </w:pPr>
      <w:r>
        <w:rPr>
          <w:spacing w:val="-21"/>
          <w:sz w:val="24"/>
          <w:szCs w:val="24"/>
        </w:rPr>
        <w:t>砂浆垫层的虚铺厚度应由设计和试验确定。</w:t>
      </w:r>
    </w:p>
    <w:p w14:paraId="228DA8E8">
      <w:pPr>
        <w:pStyle w:val="2"/>
        <w:spacing w:before="116" w:line="288" w:lineRule="auto"/>
        <w:ind w:left="1455" w:right="1411" w:firstLine="438"/>
        <w:rPr>
          <w:sz w:val="24"/>
          <w:szCs w:val="24"/>
        </w:rPr>
      </w:pPr>
      <w:r>
        <w:rPr>
          <w:spacing w:val="-20"/>
          <w:sz w:val="24"/>
          <w:szCs w:val="24"/>
        </w:rPr>
        <w:t>根据工程量的大小，摊铺垫层的方法采用刮板法施工。在已摊铺好的垫层上，不得有任何</w:t>
      </w:r>
      <w:r>
        <w:rPr>
          <w:spacing w:val="-13"/>
          <w:sz w:val="24"/>
          <w:szCs w:val="24"/>
        </w:rPr>
        <w:t>扰动。</w:t>
      </w:r>
    </w:p>
    <w:p w14:paraId="1FBDAE83">
      <w:pPr>
        <w:pStyle w:val="2"/>
        <w:spacing w:before="1" w:line="207" w:lineRule="auto"/>
        <w:ind w:left="4310"/>
        <w:outlineLvl w:val="1"/>
        <w:rPr>
          <w:sz w:val="30"/>
          <w:szCs w:val="30"/>
        </w:rPr>
      </w:pPr>
      <w:bookmarkStart w:id="58" w:name="bookmark57"/>
      <w:bookmarkEnd w:id="58"/>
      <w:r>
        <w:rPr>
          <w:b/>
          <w:bCs/>
          <w:color w:val="0070C0"/>
          <w:spacing w:val="-24"/>
          <w:sz w:val="30"/>
          <w:szCs w:val="30"/>
        </w:rPr>
        <w:t>第九节、绿化苗木迁移恢复</w:t>
      </w:r>
    </w:p>
    <w:tbl>
      <w:tblPr>
        <w:tblStyle w:val="6"/>
        <w:tblW w:w="9539" w:type="dxa"/>
        <w:tblInd w:w="118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06"/>
        <w:gridCol w:w="579"/>
        <w:gridCol w:w="1223"/>
        <w:gridCol w:w="5728"/>
        <w:gridCol w:w="1803"/>
      </w:tblGrid>
      <w:tr w14:paraId="4531A9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7" w:hRule="atLeast"/>
        </w:trPr>
        <w:tc>
          <w:tcPr>
            <w:tcW w:w="785" w:type="dxa"/>
            <w:gridSpan w:val="2"/>
            <w:tcBorders>
              <w:top w:val="single" w:color="000000" w:sz="4" w:space="0"/>
              <w:left w:val="single" w:color="000000" w:sz="4" w:space="0"/>
            </w:tcBorders>
            <w:shd w:val="clear" w:color="auto" w:fill="DEEAF6"/>
            <w:vAlign w:val="top"/>
          </w:tcPr>
          <w:p w14:paraId="32E5ED08">
            <w:pPr>
              <w:spacing w:before="33" w:line="60" w:lineRule="exact"/>
              <w:ind w:firstLine="33"/>
            </w:pPr>
            <w:r>
              <w:pict>
                <v:shape id="_x0000_s1866" o:spid="_x0000_s1866" style="position:absolute;left:0pt;margin-left:-0.2pt;margin-top:0pt;height:0.75pt;width:2.2pt;mso-position-horizontal-relative:page;mso-position-vertical-relative:page;z-index:251860992;mso-width-relative:page;mso-height-relative:page;" fillcolor="#5B9BD5" filled="t" stroked="f" coordsize="44,15" path="m0,14l43,14,43,0,0,0,0,14xe">
                  <v:path/>
                  <v:fill on="t" focussize="0,0"/>
                  <v:stroke on="f"/>
                  <v:imagedata o:title=""/>
                  <o:lock v:ext="edit"/>
                </v:shape>
              </w:pict>
            </w:r>
            <w:r>
              <w:rPr>
                <w:position w:val="-1"/>
              </w:rPr>
              <w:pict>
                <v:shape id="_x0000_s1867" o:spid="_x0000_s1867" style="height:3pt;width:36.4pt;" fillcolor="#DEEAF6" filled="t" stroked="f" coordsize="728,60" path="m0,60l727,60,727,0,0,0,0,60xe">
                  <v:path/>
                  <v:fill on="t" focussize="0,0"/>
                  <v:stroke on="f"/>
                  <v:imagedata o:title=""/>
                  <o:lock v:ext="edit"/>
                  <w10:wrap type="none"/>
                  <w10:anchorlock/>
                </v:shape>
              </w:pict>
            </w:r>
          </w:p>
          <w:p w14:paraId="7BF99D19">
            <w:pPr>
              <w:pStyle w:val="7"/>
              <w:spacing w:before="33" w:line="218" w:lineRule="auto"/>
              <w:ind w:left="186"/>
            </w:pPr>
            <w:r>
              <w:rPr>
                <w:b/>
                <w:bCs/>
                <w:spacing w:val="-11"/>
              </w:rPr>
              <w:t>序号</w:t>
            </w:r>
          </w:p>
          <w:p w14:paraId="4C7BE153">
            <w:pPr>
              <w:spacing w:before="145" w:line="41" w:lineRule="exact"/>
              <w:ind w:firstLine="11"/>
            </w:pPr>
            <w:r>
              <w:rPr>
                <w:position w:val="-2"/>
              </w:rPr>
              <w:pict>
                <v:shape id="_x0000_s1868" o:spid="_x0000_s1868" style="height:2.9pt;width:37.75pt;" fillcolor="#DEEAF6" filled="t" stroked="f" coordsize="755,58" path="m0,57l754,57,754,0,0,0,0,57xe">
                  <v:path/>
                  <v:fill on="t" focussize="0,0"/>
                  <v:stroke on="f"/>
                  <v:imagedata o:title=""/>
                  <o:lock v:ext="edit"/>
                  <w10:wrap type="none"/>
                  <w10:anchorlock/>
                </v:shape>
              </w:pict>
            </w:r>
          </w:p>
        </w:tc>
        <w:tc>
          <w:tcPr>
            <w:tcW w:w="1223" w:type="dxa"/>
            <w:tcBorders>
              <w:top w:val="single" w:color="000000" w:sz="4" w:space="0"/>
            </w:tcBorders>
            <w:shd w:val="clear" w:color="auto" w:fill="DEEAF6"/>
            <w:vAlign w:val="top"/>
          </w:tcPr>
          <w:p w14:paraId="18AA11AD">
            <w:pPr>
              <w:spacing w:line="93" w:lineRule="exact"/>
              <w:ind w:firstLine="21"/>
            </w:pPr>
            <w:r>
              <w:rPr>
                <w:position w:val="-1"/>
              </w:rPr>
              <w:pict>
                <v:group id="_x0000_s1869" o:spid="_x0000_s1869" o:spt="203" style="height:5.2pt;width:61.2pt;" coordsize="1224,103">
                  <o:lock v:ext="edit"/>
                  <v:shape id="_x0000_s1870" o:spid="_x0000_s1870" style="position:absolute;left:0;top:43;height:60;width:1180;" fillcolor="#DEEAF6" filled="t" stroked="f" coordsize="1180,60" path="m0,60l1180,60,1180,0,0,0,0,60xe">
                    <v:path/>
                    <v:fill on="t" focussize="0,0"/>
                    <v:stroke on="f"/>
                    <v:imagedata o:title=""/>
                    <o:lock v:ext="edit"/>
                  </v:shape>
                  <v:shape id="_x0000_s1871" o:spid="_x0000_s1871" style="position:absolute;left:1180;top:0;height:15;width:44;" fillcolor="#5B9BD5" filled="t" stroked="f" coordsize="44,15" path="m0,14l43,14,43,0,0,0,0,14xe">
                    <v:path/>
                    <v:fill on="t" focussize="0,0"/>
                    <v:stroke on="f"/>
                    <v:imagedata o:title=""/>
                    <o:lock v:ext="edit"/>
                  </v:shape>
                  <v:shape id="_x0000_s1872" o:spid="_x0000_s1872" style="position:absolute;left:1180;top:14;height:15;width:44;" fillcolor="#20507B" filled="t" stroked="f" coordsize="44,15" path="m0,14l43,14,43,0,0,0,0,14xe">
                    <v:path/>
                    <v:fill on="t" focussize="0,0"/>
                    <v:stroke on="f"/>
                    <v:imagedata o:title=""/>
                    <o:lock v:ext="edit"/>
                  </v:shape>
                  <v:shape id="_x0000_s1873" o:spid="_x0000_s1873" style="position:absolute;left:1180;top:28;height:15;width:44;" fillcolor="#1C456A" filled="t" stroked="f" coordsize="44,15" path="m0,14l43,14,43,0,0,0,0,14xe">
                    <v:path/>
                    <v:fill on="t" focussize="0,0"/>
                    <v:stroke on="f"/>
                    <v:imagedata o:title=""/>
                    <o:lock v:ext="edit"/>
                  </v:shape>
                  <w10:wrap type="none"/>
                  <w10:anchorlock/>
                </v:group>
              </w:pict>
            </w:r>
          </w:p>
          <w:p w14:paraId="03F50023">
            <w:pPr>
              <w:pStyle w:val="7"/>
              <w:spacing w:before="33" w:line="220" w:lineRule="auto"/>
              <w:ind w:left="393"/>
            </w:pPr>
            <w:r>
              <w:rPr>
                <w:b/>
                <w:bCs/>
                <w:spacing w:val="-13"/>
              </w:rPr>
              <w:t>项目</w:t>
            </w:r>
          </w:p>
          <w:p w14:paraId="05EA931A">
            <w:pPr>
              <w:spacing w:before="143" w:line="41" w:lineRule="exact"/>
            </w:pPr>
            <w:r>
              <w:rPr>
                <w:position w:val="-2"/>
              </w:rPr>
              <w:pict>
                <v:shape id="_x0000_s1874" o:spid="_x0000_s1874" style="height:2.9pt;width:61.2pt;" fillcolor="#DEEAF6" filled="t" stroked="f" coordsize="1224,58" path="m0,57l1223,57,1223,0,0,0,0,57xe">
                  <v:path/>
                  <v:fill on="t" focussize="0,0"/>
                  <v:stroke on="f"/>
                  <v:imagedata o:title=""/>
                  <o:lock v:ext="edit"/>
                  <w10:wrap type="none"/>
                  <w10:anchorlock/>
                </v:shape>
              </w:pict>
            </w:r>
          </w:p>
        </w:tc>
        <w:tc>
          <w:tcPr>
            <w:tcW w:w="5728" w:type="dxa"/>
            <w:tcBorders>
              <w:top w:val="single" w:color="5B9BD5" w:sz="4" w:space="0"/>
              <w:right w:val="nil"/>
            </w:tcBorders>
            <w:shd w:val="clear" w:color="auto" w:fill="DEEAF6"/>
            <w:vAlign w:val="top"/>
          </w:tcPr>
          <w:p w14:paraId="5EFEAD0E">
            <w:pPr>
              <w:pStyle w:val="7"/>
              <w:spacing w:before="127" w:line="218" w:lineRule="auto"/>
              <w:ind w:left="3575"/>
            </w:pPr>
            <w:r>
              <w:rPr>
                <w:b/>
                <w:bCs/>
                <w:spacing w:val="-20"/>
              </w:rPr>
              <w:t>内容</w:t>
            </w:r>
          </w:p>
        </w:tc>
        <w:tc>
          <w:tcPr>
            <w:tcW w:w="1803" w:type="dxa"/>
            <w:tcBorders>
              <w:top w:val="single" w:color="5B9BD5" w:sz="4" w:space="0"/>
              <w:left w:val="nil"/>
              <w:right w:val="single" w:color="5B9BD5" w:sz="4" w:space="0"/>
            </w:tcBorders>
            <w:shd w:val="clear" w:color="auto" w:fill="DEEAF6"/>
            <w:vAlign w:val="top"/>
          </w:tcPr>
          <w:p w14:paraId="0F06EB72">
            <w:pPr>
              <w:rPr>
                <w:rFonts w:ascii="Arial"/>
                <w:sz w:val="21"/>
              </w:rPr>
            </w:pPr>
            <w:r>
              <w:pict>
                <v:shape id="_x0000_s1875" o:spid="_x0000_s1875" style="position:absolute;left:0pt;margin-left:88.3pt;margin-top:0pt;height:0.75pt;width:2.2pt;mso-position-horizontal-relative:page;mso-position-vertical-relative:page;z-index:251858944;mso-width-relative:page;mso-height-relative:page;" fillcolor="#5B9BD5" filled="t" stroked="f" coordsize="44,15" path="m0,14l43,14,43,0,0,0,0,14xe">
                  <v:path/>
                  <v:fill on="t" focussize="0,0"/>
                  <v:stroke on="f"/>
                  <v:imagedata o:title=""/>
                  <o:lock v:ext="edit"/>
                </v:shape>
              </w:pict>
            </w:r>
          </w:p>
        </w:tc>
      </w:tr>
      <w:tr w14:paraId="30ED4C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00" w:hRule="atLeast"/>
        </w:trPr>
        <w:tc>
          <w:tcPr>
            <w:tcW w:w="206" w:type="dxa"/>
            <w:tcBorders>
              <w:top w:val="nil"/>
              <w:left w:val="single" w:color="1C456A" w:sz="4" w:space="0"/>
              <w:bottom w:val="single" w:color="1C456A" w:sz="4" w:space="0"/>
              <w:right w:val="nil"/>
            </w:tcBorders>
            <w:vAlign w:val="top"/>
          </w:tcPr>
          <w:p w14:paraId="28E34AC8">
            <w:pPr>
              <w:rPr>
                <w:rFonts w:ascii="Arial"/>
                <w:sz w:val="21"/>
              </w:rPr>
            </w:pPr>
            <w:r>
              <w:pict>
                <v:shape id="_x0000_s1876" o:spid="_x0000_s1876" style="position:absolute;left:0pt;margin-left:-0.25pt;margin-top:405pt;height:0.75pt;width:2.2pt;mso-position-horizontal-relative:page;mso-position-vertical-relative:page;z-index:251859968;mso-width-relative:page;mso-height-relative:page;" fillcolor="#5B9BD5" filled="t" stroked="f" coordsize="44,15" path="m0,14l43,14,43,0,0,0,0,14xe">
                  <v:path/>
                  <v:fill on="t" focussize="0,0"/>
                  <v:stroke on="f"/>
                  <v:imagedata o:title=""/>
                  <o:lock v:ext="edit"/>
                </v:shape>
              </w:pict>
            </w:r>
          </w:p>
        </w:tc>
        <w:tc>
          <w:tcPr>
            <w:tcW w:w="579" w:type="dxa"/>
            <w:tcBorders>
              <w:top w:val="nil"/>
              <w:left w:val="nil"/>
              <w:bottom w:val="single" w:color="1C456A" w:sz="4" w:space="0"/>
            </w:tcBorders>
            <w:vAlign w:val="top"/>
          </w:tcPr>
          <w:p w14:paraId="41B551E1">
            <w:pPr>
              <w:spacing w:line="249" w:lineRule="auto"/>
              <w:rPr>
                <w:rFonts w:ascii="Arial"/>
                <w:sz w:val="21"/>
              </w:rPr>
            </w:pPr>
          </w:p>
          <w:p w14:paraId="31F6C5B6">
            <w:pPr>
              <w:spacing w:line="249" w:lineRule="auto"/>
              <w:rPr>
                <w:rFonts w:ascii="Arial"/>
                <w:sz w:val="21"/>
              </w:rPr>
            </w:pPr>
          </w:p>
          <w:p w14:paraId="22D1BAD8">
            <w:pPr>
              <w:spacing w:line="249" w:lineRule="auto"/>
              <w:rPr>
                <w:rFonts w:ascii="Arial"/>
                <w:sz w:val="21"/>
              </w:rPr>
            </w:pPr>
          </w:p>
          <w:p w14:paraId="604C8C03">
            <w:pPr>
              <w:spacing w:line="249" w:lineRule="auto"/>
              <w:rPr>
                <w:rFonts w:ascii="Arial"/>
                <w:sz w:val="21"/>
              </w:rPr>
            </w:pPr>
          </w:p>
          <w:p w14:paraId="1E3EE291">
            <w:pPr>
              <w:spacing w:line="249" w:lineRule="auto"/>
              <w:rPr>
                <w:rFonts w:ascii="Arial"/>
                <w:sz w:val="21"/>
              </w:rPr>
            </w:pPr>
          </w:p>
          <w:p w14:paraId="20CF701C">
            <w:pPr>
              <w:spacing w:line="249" w:lineRule="auto"/>
              <w:rPr>
                <w:rFonts w:ascii="Arial"/>
                <w:sz w:val="21"/>
              </w:rPr>
            </w:pPr>
          </w:p>
          <w:p w14:paraId="0596F849">
            <w:pPr>
              <w:spacing w:line="249" w:lineRule="auto"/>
              <w:rPr>
                <w:rFonts w:ascii="Arial"/>
                <w:sz w:val="21"/>
              </w:rPr>
            </w:pPr>
          </w:p>
          <w:p w14:paraId="39769954">
            <w:pPr>
              <w:spacing w:line="249" w:lineRule="auto"/>
              <w:rPr>
                <w:rFonts w:ascii="Arial"/>
                <w:sz w:val="21"/>
              </w:rPr>
            </w:pPr>
          </w:p>
          <w:p w14:paraId="3601BDBA">
            <w:pPr>
              <w:spacing w:line="249" w:lineRule="auto"/>
              <w:rPr>
                <w:rFonts w:ascii="Arial"/>
                <w:sz w:val="21"/>
              </w:rPr>
            </w:pPr>
          </w:p>
          <w:p w14:paraId="32D30353">
            <w:pPr>
              <w:spacing w:line="250" w:lineRule="auto"/>
              <w:rPr>
                <w:rFonts w:ascii="Arial"/>
                <w:sz w:val="21"/>
              </w:rPr>
            </w:pPr>
          </w:p>
          <w:p w14:paraId="2DBC5492">
            <w:pPr>
              <w:spacing w:line="250" w:lineRule="auto"/>
              <w:rPr>
                <w:rFonts w:ascii="Arial"/>
                <w:sz w:val="21"/>
              </w:rPr>
            </w:pPr>
          </w:p>
          <w:p w14:paraId="031F9DB0">
            <w:pPr>
              <w:spacing w:line="250" w:lineRule="auto"/>
              <w:rPr>
                <w:rFonts w:ascii="Arial"/>
                <w:sz w:val="21"/>
              </w:rPr>
            </w:pPr>
          </w:p>
          <w:p w14:paraId="4DC1132D">
            <w:pPr>
              <w:spacing w:line="250" w:lineRule="auto"/>
              <w:rPr>
                <w:rFonts w:ascii="Arial"/>
                <w:sz w:val="21"/>
              </w:rPr>
            </w:pPr>
          </w:p>
          <w:p w14:paraId="733E19A1">
            <w:pPr>
              <w:spacing w:line="250" w:lineRule="auto"/>
              <w:rPr>
                <w:rFonts w:ascii="Arial"/>
                <w:sz w:val="21"/>
              </w:rPr>
            </w:pPr>
          </w:p>
          <w:p w14:paraId="5ABF5933">
            <w:pPr>
              <w:spacing w:line="250" w:lineRule="auto"/>
              <w:rPr>
                <w:rFonts w:ascii="Arial"/>
                <w:sz w:val="21"/>
              </w:rPr>
            </w:pPr>
          </w:p>
          <w:p w14:paraId="79B15FA3">
            <w:pPr>
              <w:pStyle w:val="7"/>
              <w:spacing w:before="78" w:line="238" w:lineRule="auto"/>
              <w:ind w:left="158"/>
            </w:pPr>
            <w:r>
              <w:t>1</w:t>
            </w:r>
          </w:p>
        </w:tc>
        <w:tc>
          <w:tcPr>
            <w:tcW w:w="1223" w:type="dxa"/>
            <w:tcBorders>
              <w:top w:val="nil"/>
              <w:bottom w:val="single" w:color="000000" w:sz="4" w:space="0"/>
            </w:tcBorders>
            <w:vAlign w:val="top"/>
          </w:tcPr>
          <w:p w14:paraId="0C4F8F62">
            <w:pPr>
              <w:spacing w:line="249" w:lineRule="auto"/>
              <w:rPr>
                <w:rFonts w:ascii="Arial"/>
                <w:sz w:val="21"/>
              </w:rPr>
            </w:pPr>
          </w:p>
          <w:p w14:paraId="0087404E">
            <w:pPr>
              <w:spacing w:line="249" w:lineRule="auto"/>
              <w:rPr>
                <w:rFonts w:ascii="Arial"/>
                <w:sz w:val="21"/>
              </w:rPr>
            </w:pPr>
          </w:p>
          <w:p w14:paraId="45E80439">
            <w:pPr>
              <w:spacing w:line="249" w:lineRule="auto"/>
              <w:rPr>
                <w:rFonts w:ascii="Arial"/>
                <w:sz w:val="21"/>
              </w:rPr>
            </w:pPr>
          </w:p>
          <w:p w14:paraId="0337C24D">
            <w:pPr>
              <w:spacing w:line="249" w:lineRule="auto"/>
              <w:rPr>
                <w:rFonts w:ascii="Arial"/>
                <w:sz w:val="21"/>
              </w:rPr>
            </w:pPr>
          </w:p>
          <w:p w14:paraId="48455552">
            <w:pPr>
              <w:spacing w:line="249" w:lineRule="auto"/>
              <w:rPr>
                <w:rFonts w:ascii="Arial"/>
                <w:sz w:val="21"/>
              </w:rPr>
            </w:pPr>
          </w:p>
          <w:p w14:paraId="7862455D">
            <w:pPr>
              <w:spacing w:line="249" w:lineRule="auto"/>
              <w:rPr>
                <w:rFonts w:ascii="Arial"/>
                <w:sz w:val="21"/>
              </w:rPr>
            </w:pPr>
          </w:p>
          <w:p w14:paraId="397A20AE">
            <w:pPr>
              <w:spacing w:line="249" w:lineRule="auto"/>
              <w:rPr>
                <w:rFonts w:ascii="Arial"/>
                <w:sz w:val="21"/>
              </w:rPr>
            </w:pPr>
          </w:p>
          <w:p w14:paraId="1B6A1EB0">
            <w:pPr>
              <w:spacing w:line="249" w:lineRule="auto"/>
              <w:rPr>
                <w:rFonts w:ascii="Arial"/>
                <w:sz w:val="21"/>
              </w:rPr>
            </w:pPr>
          </w:p>
          <w:p w14:paraId="7EB4A568">
            <w:pPr>
              <w:spacing w:line="249" w:lineRule="auto"/>
              <w:rPr>
                <w:rFonts w:ascii="Arial"/>
                <w:sz w:val="21"/>
              </w:rPr>
            </w:pPr>
          </w:p>
          <w:p w14:paraId="7720BE0D">
            <w:pPr>
              <w:spacing w:line="250" w:lineRule="auto"/>
              <w:rPr>
                <w:rFonts w:ascii="Arial"/>
                <w:sz w:val="21"/>
              </w:rPr>
            </w:pPr>
          </w:p>
          <w:p w14:paraId="18070BB8">
            <w:pPr>
              <w:spacing w:line="250" w:lineRule="auto"/>
              <w:rPr>
                <w:rFonts w:ascii="Arial"/>
                <w:sz w:val="21"/>
              </w:rPr>
            </w:pPr>
          </w:p>
          <w:p w14:paraId="4071F6D9">
            <w:pPr>
              <w:spacing w:line="250" w:lineRule="auto"/>
              <w:rPr>
                <w:rFonts w:ascii="Arial"/>
                <w:sz w:val="21"/>
              </w:rPr>
            </w:pPr>
          </w:p>
          <w:p w14:paraId="787F8861">
            <w:pPr>
              <w:spacing w:line="250" w:lineRule="auto"/>
              <w:rPr>
                <w:rFonts w:ascii="Arial"/>
                <w:sz w:val="21"/>
              </w:rPr>
            </w:pPr>
          </w:p>
          <w:p w14:paraId="5B7D572F">
            <w:pPr>
              <w:spacing w:line="250" w:lineRule="auto"/>
              <w:rPr>
                <w:rFonts w:ascii="Arial"/>
                <w:sz w:val="21"/>
              </w:rPr>
            </w:pPr>
          </w:p>
          <w:p w14:paraId="303410FA">
            <w:pPr>
              <w:spacing w:line="250" w:lineRule="auto"/>
              <w:rPr>
                <w:rFonts w:ascii="Arial"/>
                <w:sz w:val="21"/>
              </w:rPr>
            </w:pPr>
          </w:p>
          <w:p w14:paraId="066594FA">
            <w:pPr>
              <w:pStyle w:val="7"/>
              <w:spacing w:before="78" w:line="218" w:lineRule="auto"/>
              <w:ind w:left="175"/>
            </w:pPr>
            <w:r>
              <w:rPr>
                <w:spacing w:val="-15"/>
              </w:rPr>
              <w:t>施工要求</w:t>
            </w:r>
          </w:p>
        </w:tc>
        <w:tc>
          <w:tcPr>
            <w:tcW w:w="7531" w:type="dxa"/>
            <w:gridSpan w:val="2"/>
            <w:tcBorders>
              <w:top w:val="nil"/>
              <w:bottom w:val="single" w:color="5B9BD5" w:sz="4" w:space="0"/>
              <w:right w:val="single" w:color="5B9BD5" w:sz="4" w:space="0"/>
            </w:tcBorders>
            <w:vAlign w:val="top"/>
          </w:tcPr>
          <w:p w14:paraId="77C07A1D">
            <w:pPr>
              <w:pStyle w:val="7"/>
              <w:spacing w:before="105" w:line="218" w:lineRule="auto"/>
              <w:ind w:left="2818"/>
            </w:pPr>
            <w:r>
              <w:rPr>
                <w:spacing w:val="-19"/>
              </w:rPr>
              <w:t>1.1绿化场地的清理</w:t>
            </w:r>
          </w:p>
          <w:p w14:paraId="05F12F5D">
            <w:pPr>
              <w:pStyle w:val="7"/>
              <w:spacing w:before="184" w:line="216" w:lineRule="auto"/>
              <w:ind w:left="60"/>
            </w:pPr>
            <w:r>
              <w:rPr>
                <w:spacing w:val="-28"/>
              </w:rPr>
              <w:t>清理施工场地，依据图纸是否保留现状内植物，彻底清除绿化带内建筑三灰‘砖</w:t>
            </w:r>
          </w:p>
          <w:p w14:paraId="7D3928BF">
            <w:pPr>
              <w:pStyle w:val="7"/>
              <w:spacing w:before="185" w:line="218" w:lineRule="auto"/>
              <w:ind w:left="61"/>
            </w:pPr>
            <w:r>
              <w:rPr>
                <w:spacing w:val="-21"/>
              </w:rPr>
              <w:t>头’、石块等垃圾及杂草等，不得有建筑和生活垃圾</w:t>
            </w:r>
            <w:r>
              <w:rPr>
                <w:spacing w:val="-22"/>
              </w:rPr>
              <w:t>，不得有砖头、大土块及</w:t>
            </w:r>
          </w:p>
          <w:p w14:paraId="613F46E6">
            <w:pPr>
              <w:pStyle w:val="7"/>
              <w:spacing w:before="184" w:line="219" w:lineRule="auto"/>
              <w:ind w:left="3435"/>
            </w:pPr>
            <w:r>
              <w:rPr>
                <w:spacing w:val="-21"/>
              </w:rPr>
              <w:t>石块。</w:t>
            </w:r>
          </w:p>
          <w:p w14:paraId="272D1886">
            <w:pPr>
              <w:pStyle w:val="7"/>
              <w:spacing w:before="180" w:line="217" w:lineRule="auto"/>
              <w:ind w:left="2492"/>
            </w:pPr>
            <w:r>
              <w:rPr>
                <w:spacing w:val="-19"/>
              </w:rPr>
              <w:t>1.2地形整理及种植土要求</w:t>
            </w:r>
          </w:p>
          <w:p w14:paraId="66F809E9">
            <w:pPr>
              <w:pStyle w:val="7"/>
              <w:spacing w:before="186" w:line="216" w:lineRule="auto"/>
              <w:jc w:val="right"/>
            </w:pPr>
            <w:r>
              <w:rPr>
                <w:spacing w:val="-29"/>
              </w:rPr>
              <w:t>（1）道路分隔带绿化场地平整．先将1米深土方全</w:t>
            </w:r>
            <w:r>
              <w:rPr>
                <w:spacing w:val="-30"/>
              </w:rPr>
              <w:t>部挖出运走，经验收合格后，</w:t>
            </w:r>
          </w:p>
          <w:p w14:paraId="366C3C54">
            <w:pPr>
              <w:pStyle w:val="7"/>
              <w:spacing w:before="187" w:line="217" w:lineRule="auto"/>
              <w:ind w:left="60"/>
            </w:pPr>
            <w:r>
              <w:rPr>
                <w:spacing w:val="-19"/>
              </w:rPr>
              <w:t>再回填含30%泥炭土的种植土。1m深下如遇垫层须破除，直至原土。</w:t>
            </w:r>
            <w:r>
              <w:rPr>
                <w:spacing w:val="-20"/>
              </w:rPr>
              <w:t>公园、游</w:t>
            </w:r>
          </w:p>
          <w:p w14:paraId="6EF827FC">
            <w:pPr>
              <w:pStyle w:val="7"/>
              <w:spacing w:before="184" w:line="216" w:lineRule="auto"/>
              <w:ind w:left="81"/>
            </w:pPr>
            <w:r>
              <w:rPr>
                <w:spacing w:val="-22"/>
              </w:rPr>
              <w:t>园及河道绿化不能满足要求的土壤，必须更换或改良。各个区选择一个种植土</w:t>
            </w:r>
          </w:p>
          <w:p w14:paraId="75BDED4F">
            <w:pPr>
              <w:pStyle w:val="7"/>
              <w:spacing w:before="187" w:line="218" w:lineRule="auto"/>
              <w:ind w:left="2238"/>
            </w:pPr>
            <w:r>
              <w:rPr>
                <w:spacing w:val="-21"/>
              </w:rPr>
              <w:t>取土点，设立一个土壤拌合站。</w:t>
            </w:r>
          </w:p>
          <w:p w14:paraId="0B6F7DA2">
            <w:pPr>
              <w:pStyle w:val="7"/>
              <w:spacing w:before="182" w:line="217" w:lineRule="auto"/>
              <w:ind w:left="83"/>
            </w:pPr>
            <w:r>
              <w:rPr>
                <w:spacing w:val="-18"/>
              </w:rPr>
              <w:t>（2）草坪场地平整，须拍细，压实。铺沙垫层5cm,滚压同时</w:t>
            </w:r>
            <w:r>
              <w:rPr>
                <w:spacing w:val="-19"/>
              </w:rPr>
              <w:t>扫帚找平。草块</w:t>
            </w:r>
          </w:p>
          <w:p w14:paraId="680E9FCE">
            <w:pPr>
              <w:pStyle w:val="7"/>
              <w:spacing w:before="186" w:line="217" w:lineRule="auto"/>
              <w:ind w:left="80"/>
            </w:pPr>
            <w:r>
              <w:rPr>
                <w:spacing w:val="-21"/>
              </w:rPr>
              <w:t>间缝小于2cm,水浇透，待半干后打实，使草与土壤充分接触。隔天连续拍打了</w:t>
            </w:r>
          </w:p>
          <w:p w14:paraId="51ED988C">
            <w:pPr>
              <w:pStyle w:val="7"/>
              <w:spacing w:before="184" w:line="218" w:lineRule="auto"/>
              <w:ind w:left="2345"/>
            </w:pPr>
            <w:r>
              <w:rPr>
                <w:spacing w:val="-20"/>
              </w:rPr>
              <w:t>次以上，使草地拍实、平整。</w:t>
            </w:r>
          </w:p>
          <w:p w14:paraId="750AA6F4">
            <w:pPr>
              <w:pStyle w:val="7"/>
              <w:spacing w:before="186" w:line="359" w:lineRule="auto"/>
              <w:ind w:left="57"/>
              <w:jc w:val="both"/>
            </w:pPr>
            <w:r>
              <w:rPr>
                <w:spacing w:val="-25"/>
              </w:rPr>
              <w:t>（3）整理地形，栽植或播种前对绿化场地进行整理，对硬质面层拆迁场地全面整地调换种植土，对沙石较多的地块进行穴状整地调换种植土,使该区域的土壤</w:t>
            </w:r>
            <w:r>
              <w:rPr>
                <w:spacing w:val="-22"/>
              </w:rPr>
              <w:t>达到种植土的要求。种植层须与地下层连接，无水泥板、石层等隔</w:t>
            </w:r>
            <w:r>
              <w:rPr>
                <w:spacing w:val="-23"/>
              </w:rPr>
              <w:t>断层﹐以保</w:t>
            </w:r>
            <w:r>
              <w:rPr>
                <w:spacing w:val="-27"/>
              </w:rPr>
              <w:t>持土攘毛细管、液体、气体的上下贯通。种植土表层不得有明显低洼和积水处，</w:t>
            </w:r>
            <w:r>
              <w:rPr>
                <w:spacing w:val="-18"/>
              </w:rPr>
              <w:t>利用旋耕机或人工翻耕土壤必须翻耕到边角，翻耕深度不小于3Ocm,花坛、花</w:t>
            </w:r>
          </w:p>
        </w:tc>
      </w:tr>
    </w:tbl>
    <w:p w14:paraId="3CDAF6BD">
      <w:pPr>
        <w:rPr>
          <w:rFonts w:ascii="Arial"/>
          <w:sz w:val="21"/>
        </w:rPr>
      </w:pPr>
    </w:p>
    <w:p w14:paraId="523AE3B2">
      <w:pPr>
        <w:rPr>
          <w:rFonts w:ascii="Arial" w:hAnsi="Arial" w:eastAsia="Arial" w:cs="Arial"/>
          <w:sz w:val="21"/>
          <w:szCs w:val="21"/>
        </w:rPr>
        <w:sectPr>
          <w:footerReference r:id="rId114" w:type="default"/>
          <w:pgSz w:w="11907" w:h="16839"/>
          <w:pgMar w:top="954" w:right="4" w:bottom="1038" w:left="0" w:header="499" w:footer="357" w:gutter="0"/>
          <w:pgBorders>
            <w:top w:val="none" w:sz="0" w:space="0"/>
            <w:left w:val="none" w:sz="0" w:space="0"/>
            <w:bottom w:val="none" w:sz="0" w:space="0"/>
            <w:right w:val="none" w:sz="0" w:space="0"/>
          </w:pgBorders>
          <w:cols w:space="720" w:num="1"/>
        </w:sectPr>
      </w:pPr>
    </w:p>
    <w:p w14:paraId="1FDD474F">
      <w:pPr>
        <w:spacing w:line="214" w:lineRule="exact"/>
      </w:pPr>
    </w:p>
    <w:tbl>
      <w:tblPr>
        <w:tblStyle w:val="6"/>
        <w:tblW w:w="9539" w:type="dxa"/>
        <w:tblInd w:w="118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99"/>
        <w:gridCol w:w="576"/>
        <w:gridCol w:w="1223"/>
        <w:gridCol w:w="3760"/>
        <w:gridCol w:w="3781"/>
      </w:tblGrid>
      <w:tr w14:paraId="592799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51" w:hRule="atLeast"/>
        </w:trPr>
        <w:tc>
          <w:tcPr>
            <w:tcW w:w="775" w:type="dxa"/>
            <w:gridSpan w:val="2"/>
            <w:tcBorders>
              <w:top w:val="single" w:color="000000" w:sz="4" w:space="0"/>
              <w:left w:val="single" w:color="000000" w:sz="4" w:space="0"/>
            </w:tcBorders>
            <w:vAlign w:val="top"/>
          </w:tcPr>
          <w:p w14:paraId="6481ACFC">
            <w:pPr>
              <w:rPr>
                <w:rFonts w:ascii="Arial"/>
                <w:sz w:val="21"/>
              </w:rPr>
            </w:pPr>
          </w:p>
        </w:tc>
        <w:tc>
          <w:tcPr>
            <w:tcW w:w="1223" w:type="dxa"/>
            <w:tcBorders>
              <w:top w:val="single" w:color="000000" w:sz="4" w:space="0"/>
            </w:tcBorders>
            <w:vAlign w:val="top"/>
          </w:tcPr>
          <w:p w14:paraId="3245E0C9">
            <w:pPr>
              <w:rPr>
                <w:rFonts w:ascii="Arial"/>
                <w:sz w:val="21"/>
              </w:rPr>
            </w:pPr>
          </w:p>
        </w:tc>
        <w:tc>
          <w:tcPr>
            <w:tcW w:w="7541" w:type="dxa"/>
            <w:gridSpan w:val="2"/>
            <w:tcBorders>
              <w:top w:val="single" w:color="5B9BD5" w:sz="4" w:space="0"/>
              <w:right w:val="single" w:color="5B9BD5" w:sz="4" w:space="0"/>
            </w:tcBorders>
            <w:vAlign w:val="top"/>
          </w:tcPr>
          <w:p w14:paraId="3F05BEE0">
            <w:pPr>
              <w:pStyle w:val="7"/>
              <w:spacing w:before="128" w:line="217" w:lineRule="auto"/>
              <w:ind w:left="70"/>
            </w:pPr>
            <w:r>
              <w:rPr>
                <w:spacing w:val="-19"/>
              </w:rPr>
              <w:t>境裁植地30cm深的表土层必须疏松;裁植土的表层应整洁，翻耕后的土块粒径</w:t>
            </w:r>
          </w:p>
          <w:p w14:paraId="035E1529">
            <w:pPr>
              <w:pStyle w:val="7"/>
              <w:spacing w:before="184" w:line="215" w:lineRule="auto"/>
              <w:ind w:left="67"/>
            </w:pPr>
            <w:r>
              <w:rPr>
                <w:spacing w:val="-12"/>
              </w:rPr>
              <w:t>应在1cm左右,粒径为2一4cm的土块不得超</w:t>
            </w:r>
            <w:r>
              <w:rPr>
                <w:spacing w:val="-13"/>
              </w:rPr>
              <w:t>过10%,草地要求土深15cm内的土</w:t>
            </w:r>
          </w:p>
          <w:p w14:paraId="74A9030F">
            <w:pPr>
              <w:pStyle w:val="7"/>
              <w:spacing w:before="188" w:line="216" w:lineRule="auto"/>
              <w:ind w:left="70"/>
            </w:pPr>
            <w:r>
              <w:rPr>
                <w:spacing w:val="-18"/>
              </w:rPr>
              <w:t>无任何方向上大T1cm的杂物石块少于3$;花树木要求土深内的土任何方向上大</w:t>
            </w:r>
          </w:p>
          <w:p w14:paraId="25B4AE82">
            <w:pPr>
              <w:pStyle w:val="7"/>
              <w:spacing w:before="184" w:line="217" w:lineRule="auto"/>
              <w:ind w:left="72"/>
            </w:pPr>
            <w:r>
              <w:rPr>
                <w:spacing w:val="-19"/>
              </w:rPr>
              <w:t>于3cm的杂物石块少于5%。土壤外表要达到土粒细碎、疏松、无杂物。地形应</w:t>
            </w:r>
          </w:p>
          <w:p w14:paraId="6EC34A14">
            <w:pPr>
              <w:pStyle w:val="7"/>
              <w:spacing w:before="186" w:line="218" w:lineRule="auto"/>
              <w:ind w:left="2292"/>
            </w:pPr>
            <w:r>
              <w:rPr>
                <w:spacing w:val="-24"/>
              </w:rPr>
              <w:t>自然流畅，达到自然排水要求。</w:t>
            </w:r>
          </w:p>
          <w:p w14:paraId="51F9E507">
            <w:pPr>
              <w:pStyle w:val="7"/>
              <w:spacing w:before="182" w:line="217" w:lineRule="auto"/>
              <w:ind w:left="67"/>
            </w:pPr>
            <w:r>
              <w:rPr>
                <w:spacing w:val="-24"/>
              </w:rPr>
              <w:t>（4）场地内的土方尽量不要外运，如有多余先将不适于种植的土运出。施工过</w:t>
            </w:r>
          </w:p>
          <w:p w14:paraId="4B2E85A4">
            <w:pPr>
              <w:pStyle w:val="7"/>
              <w:spacing w:before="186" w:line="217" w:lineRule="auto"/>
              <w:ind w:right="7"/>
              <w:jc w:val="right"/>
            </w:pPr>
            <w:r>
              <w:rPr>
                <w:spacing w:val="-19"/>
              </w:rPr>
              <w:t>程中将50cm内的表土收集起来堆置起来待种植土回填时做为表土回填,50cm以</w:t>
            </w:r>
          </w:p>
          <w:p w14:paraId="695B9476">
            <w:pPr>
              <w:pStyle w:val="7"/>
              <w:spacing w:before="184" w:line="215" w:lineRule="auto"/>
              <w:ind w:left="725"/>
            </w:pPr>
            <w:r>
              <w:rPr>
                <w:spacing w:val="-21"/>
              </w:rPr>
              <w:t>下另堆置起来做为底土回填(在该地块土质条件良好的前提下)。</w:t>
            </w:r>
          </w:p>
          <w:p w14:paraId="6DE4A20E">
            <w:pPr>
              <w:pStyle w:val="7"/>
              <w:spacing w:before="189" w:line="217" w:lineRule="auto"/>
              <w:ind w:left="67"/>
            </w:pPr>
            <w:r>
              <w:rPr>
                <w:spacing w:val="-24"/>
              </w:rPr>
              <w:t>（5）从外面运来的土方必须先化验，回填土应压实或经大雨沉降一个月，使密</w:t>
            </w:r>
          </w:p>
          <w:p w14:paraId="29DB84D2">
            <w:pPr>
              <w:pStyle w:val="7"/>
              <w:spacing w:before="186" w:line="215" w:lineRule="auto"/>
              <w:ind w:left="98"/>
            </w:pPr>
            <w:r>
              <w:rPr>
                <w:spacing w:val="-19"/>
              </w:rPr>
              <w:t>实度达80%以上，化验合格后方能作为种植回填土。在耕翻中若发现土质不符</w:t>
            </w:r>
          </w:p>
          <w:p w14:paraId="661F8CD4">
            <w:pPr>
              <w:pStyle w:val="7"/>
              <w:spacing w:before="186" w:line="217" w:lineRule="auto"/>
              <w:ind w:left="74"/>
            </w:pPr>
            <w:r>
              <w:rPr>
                <w:spacing w:val="-21"/>
              </w:rPr>
              <w:t>合要求，必须换合格土。洼处加土使坡度自然</w:t>
            </w:r>
            <w:r>
              <w:rPr>
                <w:spacing w:val="-22"/>
              </w:rPr>
              <w:t>流畅未特殊设计之地形，坡度可</w:t>
            </w:r>
          </w:p>
          <w:p w14:paraId="3CCDF726">
            <w:pPr>
              <w:pStyle w:val="7"/>
              <w:spacing w:before="186" w:line="215" w:lineRule="auto"/>
              <w:ind w:left="1488"/>
            </w:pPr>
            <w:r>
              <w:rPr>
                <w:spacing w:val="-12"/>
              </w:rPr>
              <w:t>定在2.5%~3.0%之间以利排水,但不</w:t>
            </w:r>
            <w:r>
              <w:rPr>
                <w:spacing w:val="-13"/>
              </w:rPr>
              <w:t>得大于15%。</w:t>
            </w:r>
          </w:p>
          <w:p w14:paraId="7755FE60">
            <w:pPr>
              <w:pStyle w:val="7"/>
              <w:spacing w:before="185" w:line="289" w:lineRule="auto"/>
              <w:ind w:left="750" w:right="88" w:hanging="662"/>
            </w:pPr>
            <w:r>
              <w:rPr>
                <w:spacing w:val="-17"/>
              </w:rPr>
              <w:t>6、绿化带内距侧石50cm范围内土壤必须低于侧石顶部</w:t>
            </w:r>
            <w:r>
              <w:rPr>
                <w:spacing w:val="-18"/>
              </w:rPr>
              <w:t>5cm。并在地面处理时</w:t>
            </w:r>
            <w:r>
              <w:rPr>
                <w:spacing w:val="-19"/>
              </w:rPr>
              <w:t>将地面水引至集水口。临近挡土墙的土壤高度应低于壁项5cm。</w:t>
            </w:r>
          </w:p>
          <w:p w14:paraId="73161EDA">
            <w:pPr>
              <w:pStyle w:val="7"/>
              <w:spacing w:before="182" w:line="217" w:lineRule="auto"/>
              <w:ind w:left="1100"/>
            </w:pPr>
            <w:r>
              <w:rPr>
                <w:spacing w:val="-21"/>
              </w:rPr>
              <w:t>7、园林植物种植必需的最低有效土层厚度应符合规定。</w:t>
            </w:r>
          </w:p>
        </w:tc>
      </w:tr>
      <w:tr w14:paraId="272CDB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2" w:hRule="atLeast"/>
        </w:trPr>
        <w:tc>
          <w:tcPr>
            <w:tcW w:w="199" w:type="dxa"/>
            <w:vMerge w:val="restart"/>
            <w:tcBorders>
              <w:left w:val="single" w:color="1C456A" w:sz="4" w:space="0"/>
              <w:bottom w:val="nil"/>
              <w:right w:val="nil"/>
            </w:tcBorders>
            <w:vAlign w:val="top"/>
          </w:tcPr>
          <w:p w14:paraId="2C87934C">
            <w:pPr>
              <w:rPr>
                <w:rFonts w:ascii="Arial"/>
                <w:sz w:val="21"/>
              </w:rPr>
            </w:pPr>
            <w:r>
              <w:pict>
                <v:shape id="_x0000_s1877" o:spid="_x0000_s1877" style="position:absolute;left:0pt;margin-left:-0.25pt;margin-top:238.45pt;height:0.75pt;width:2.2pt;mso-position-horizontal-relative:page;mso-position-vertical-relative:page;z-index:251863040;mso-width-relative:page;mso-height-relative:page;" fillcolor="#5B9BD5" filled="t" stroked="f" coordsize="44,15" path="m0,14l43,14,43,0,0,0,0,14xe">
                  <v:path/>
                  <v:fill on="t" focussize="0,0"/>
                  <v:stroke on="f"/>
                  <v:imagedata o:title=""/>
                  <o:lock v:ext="edit"/>
                </v:shape>
              </w:pict>
            </w:r>
          </w:p>
        </w:tc>
        <w:tc>
          <w:tcPr>
            <w:tcW w:w="576" w:type="dxa"/>
            <w:vMerge w:val="restart"/>
            <w:tcBorders>
              <w:left w:val="nil"/>
              <w:bottom w:val="nil"/>
            </w:tcBorders>
            <w:vAlign w:val="top"/>
          </w:tcPr>
          <w:p w14:paraId="36D41043">
            <w:pPr>
              <w:spacing w:line="260" w:lineRule="auto"/>
              <w:rPr>
                <w:rFonts w:ascii="Arial"/>
                <w:sz w:val="21"/>
              </w:rPr>
            </w:pPr>
          </w:p>
          <w:p w14:paraId="2CAD4619">
            <w:pPr>
              <w:spacing w:line="260" w:lineRule="auto"/>
              <w:rPr>
                <w:rFonts w:ascii="Arial"/>
                <w:sz w:val="21"/>
              </w:rPr>
            </w:pPr>
          </w:p>
          <w:p w14:paraId="3E9E6BE9">
            <w:pPr>
              <w:spacing w:line="260" w:lineRule="auto"/>
              <w:rPr>
                <w:rFonts w:ascii="Arial"/>
                <w:sz w:val="21"/>
              </w:rPr>
            </w:pPr>
          </w:p>
          <w:p w14:paraId="14D5FBF8">
            <w:pPr>
              <w:spacing w:line="260" w:lineRule="auto"/>
              <w:rPr>
                <w:rFonts w:ascii="Arial"/>
                <w:sz w:val="21"/>
              </w:rPr>
            </w:pPr>
          </w:p>
          <w:p w14:paraId="39AB7725">
            <w:pPr>
              <w:spacing w:line="260" w:lineRule="auto"/>
              <w:rPr>
                <w:rFonts w:ascii="Arial"/>
                <w:sz w:val="21"/>
              </w:rPr>
            </w:pPr>
          </w:p>
          <w:p w14:paraId="7E56689D">
            <w:pPr>
              <w:spacing w:line="261" w:lineRule="auto"/>
              <w:rPr>
                <w:rFonts w:ascii="Arial"/>
                <w:sz w:val="21"/>
              </w:rPr>
            </w:pPr>
          </w:p>
          <w:p w14:paraId="37E72E6C">
            <w:pPr>
              <w:spacing w:line="261" w:lineRule="auto"/>
              <w:rPr>
                <w:rFonts w:ascii="Arial"/>
                <w:sz w:val="21"/>
              </w:rPr>
            </w:pPr>
          </w:p>
          <w:p w14:paraId="08E9D977">
            <w:pPr>
              <w:spacing w:line="261" w:lineRule="auto"/>
              <w:rPr>
                <w:rFonts w:ascii="Arial"/>
                <w:sz w:val="21"/>
              </w:rPr>
            </w:pPr>
          </w:p>
          <w:p w14:paraId="6BE4BBB5">
            <w:pPr>
              <w:pStyle w:val="7"/>
              <w:spacing w:before="78" w:line="238" w:lineRule="auto"/>
              <w:ind w:left="150"/>
            </w:pPr>
            <w:r>
              <w:t>2</w:t>
            </w:r>
          </w:p>
        </w:tc>
        <w:tc>
          <w:tcPr>
            <w:tcW w:w="1223" w:type="dxa"/>
            <w:vMerge w:val="restart"/>
            <w:tcBorders>
              <w:bottom w:val="nil"/>
            </w:tcBorders>
            <w:vAlign w:val="top"/>
          </w:tcPr>
          <w:p w14:paraId="2F984EF6">
            <w:pPr>
              <w:spacing w:line="264" w:lineRule="auto"/>
              <w:rPr>
                <w:rFonts w:ascii="Arial"/>
                <w:sz w:val="21"/>
              </w:rPr>
            </w:pPr>
          </w:p>
          <w:p w14:paraId="7C53BD9A">
            <w:pPr>
              <w:spacing w:line="264" w:lineRule="auto"/>
              <w:rPr>
                <w:rFonts w:ascii="Arial"/>
                <w:sz w:val="21"/>
              </w:rPr>
            </w:pPr>
          </w:p>
          <w:p w14:paraId="342B4E97">
            <w:pPr>
              <w:spacing w:line="264" w:lineRule="auto"/>
              <w:rPr>
                <w:rFonts w:ascii="Arial"/>
                <w:sz w:val="21"/>
              </w:rPr>
            </w:pPr>
          </w:p>
          <w:p w14:paraId="2176F580">
            <w:pPr>
              <w:spacing w:line="265" w:lineRule="auto"/>
              <w:rPr>
                <w:rFonts w:ascii="Arial"/>
                <w:sz w:val="21"/>
              </w:rPr>
            </w:pPr>
          </w:p>
          <w:p w14:paraId="710C6E84">
            <w:pPr>
              <w:spacing w:line="265" w:lineRule="auto"/>
              <w:rPr>
                <w:rFonts w:ascii="Arial"/>
                <w:sz w:val="21"/>
              </w:rPr>
            </w:pPr>
          </w:p>
          <w:p w14:paraId="336C0327">
            <w:pPr>
              <w:spacing w:line="265" w:lineRule="auto"/>
              <w:rPr>
                <w:rFonts w:ascii="Arial"/>
                <w:sz w:val="21"/>
              </w:rPr>
            </w:pPr>
          </w:p>
          <w:p w14:paraId="22987B40">
            <w:pPr>
              <w:spacing w:line="265" w:lineRule="auto"/>
              <w:rPr>
                <w:rFonts w:ascii="Arial"/>
                <w:sz w:val="21"/>
              </w:rPr>
            </w:pPr>
          </w:p>
          <w:p w14:paraId="0F93CD74">
            <w:pPr>
              <w:pStyle w:val="7"/>
              <w:spacing w:before="78" w:line="359" w:lineRule="auto"/>
              <w:ind w:left="293" w:right="46" w:hanging="211"/>
            </w:pPr>
            <w:r>
              <w:rPr>
                <w:spacing w:val="-23"/>
              </w:rPr>
              <w:t>主要栽植乔</w:t>
            </w:r>
            <w:r>
              <w:rPr>
                <w:spacing w:val="-14"/>
              </w:rPr>
              <w:t>木示例</w:t>
            </w:r>
          </w:p>
        </w:tc>
        <w:tc>
          <w:tcPr>
            <w:tcW w:w="3760" w:type="dxa"/>
            <w:vAlign w:val="top"/>
          </w:tcPr>
          <w:p w14:paraId="3B67C705">
            <w:pPr>
              <w:spacing w:before="63" w:line="3751" w:lineRule="exact"/>
              <w:ind w:firstLine="51"/>
            </w:pPr>
            <w:r>
              <w:rPr>
                <w:position w:val="-75"/>
              </w:rPr>
              <w:drawing>
                <wp:inline distT="0" distB="0" distL="0" distR="0">
                  <wp:extent cx="2351405" cy="2381885"/>
                  <wp:effectExtent l="0" t="0" r="0" b="0"/>
                  <wp:docPr id="650" name="IM 650"/>
                  <wp:cNvGraphicFramePr/>
                  <a:graphic xmlns:a="http://schemas.openxmlformats.org/drawingml/2006/main">
                    <a:graphicData uri="http://schemas.openxmlformats.org/drawingml/2006/picture">
                      <pic:pic xmlns:pic="http://schemas.openxmlformats.org/drawingml/2006/picture">
                        <pic:nvPicPr>
                          <pic:cNvPr id="650" name="IM 650"/>
                          <pic:cNvPicPr/>
                        </pic:nvPicPr>
                        <pic:blipFill>
                          <a:blip r:embed="rId579"/>
                          <a:stretch>
                            <a:fillRect/>
                          </a:stretch>
                        </pic:blipFill>
                        <pic:spPr>
                          <a:xfrm>
                            <a:off x="0" y="0"/>
                            <a:ext cx="2351976" cy="2381885"/>
                          </a:xfrm>
                          <a:prstGeom prst="rect">
                            <a:avLst/>
                          </a:prstGeom>
                        </pic:spPr>
                      </pic:pic>
                    </a:graphicData>
                  </a:graphic>
                </wp:inline>
              </w:drawing>
            </w:r>
          </w:p>
        </w:tc>
        <w:tc>
          <w:tcPr>
            <w:tcW w:w="3781" w:type="dxa"/>
            <w:tcBorders>
              <w:right w:val="single" w:color="000000" w:sz="4" w:space="0"/>
            </w:tcBorders>
            <w:vAlign w:val="top"/>
          </w:tcPr>
          <w:p w14:paraId="1D78A827">
            <w:pPr>
              <w:spacing w:before="67" w:line="3740" w:lineRule="exact"/>
              <w:ind w:firstLine="54"/>
            </w:pPr>
            <w:r>
              <w:rPr>
                <w:position w:val="-74"/>
              </w:rPr>
              <w:drawing>
                <wp:inline distT="0" distB="0" distL="0" distR="0">
                  <wp:extent cx="2327275" cy="2374900"/>
                  <wp:effectExtent l="0" t="0" r="0" b="0"/>
                  <wp:docPr id="652" name="IM 652"/>
                  <wp:cNvGraphicFramePr/>
                  <a:graphic xmlns:a="http://schemas.openxmlformats.org/drawingml/2006/main">
                    <a:graphicData uri="http://schemas.openxmlformats.org/drawingml/2006/picture">
                      <pic:pic xmlns:pic="http://schemas.openxmlformats.org/drawingml/2006/picture">
                        <pic:nvPicPr>
                          <pic:cNvPr id="652" name="IM 652"/>
                          <pic:cNvPicPr/>
                        </pic:nvPicPr>
                        <pic:blipFill>
                          <a:blip r:embed="rId580"/>
                          <a:stretch>
                            <a:fillRect/>
                          </a:stretch>
                        </pic:blipFill>
                        <pic:spPr>
                          <a:xfrm>
                            <a:off x="0" y="0"/>
                            <a:ext cx="2327275" cy="2374900"/>
                          </a:xfrm>
                          <a:prstGeom prst="rect">
                            <a:avLst/>
                          </a:prstGeom>
                        </pic:spPr>
                      </pic:pic>
                    </a:graphicData>
                  </a:graphic>
                </wp:inline>
              </w:drawing>
            </w:r>
          </w:p>
        </w:tc>
      </w:tr>
      <w:tr w14:paraId="4F27AA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1" w:hRule="atLeast"/>
        </w:trPr>
        <w:tc>
          <w:tcPr>
            <w:tcW w:w="199" w:type="dxa"/>
            <w:vMerge w:val="continue"/>
            <w:tcBorders>
              <w:top w:val="nil"/>
              <w:left w:val="single" w:color="1C456A" w:sz="4" w:space="0"/>
              <w:bottom w:val="single" w:color="1C456A" w:sz="4" w:space="0"/>
              <w:right w:val="nil"/>
            </w:tcBorders>
            <w:vAlign w:val="top"/>
          </w:tcPr>
          <w:p w14:paraId="3FA486B9">
            <w:pPr>
              <w:rPr>
                <w:rFonts w:ascii="Arial"/>
                <w:sz w:val="21"/>
              </w:rPr>
            </w:pPr>
          </w:p>
        </w:tc>
        <w:tc>
          <w:tcPr>
            <w:tcW w:w="576" w:type="dxa"/>
            <w:vMerge w:val="continue"/>
            <w:tcBorders>
              <w:top w:val="nil"/>
              <w:left w:val="nil"/>
              <w:bottom w:val="single" w:color="1C456A" w:sz="4" w:space="0"/>
            </w:tcBorders>
            <w:vAlign w:val="top"/>
          </w:tcPr>
          <w:p w14:paraId="69E6920B">
            <w:pPr>
              <w:rPr>
                <w:rFonts w:ascii="Arial"/>
                <w:sz w:val="21"/>
              </w:rPr>
            </w:pPr>
          </w:p>
        </w:tc>
        <w:tc>
          <w:tcPr>
            <w:tcW w:w="1223" w:type="dxa"/>
            <w:vMerge w:val="continue"/>
            <w:tcBorders>
              <w:top w:val="nil"/>
              <w:bottom w:val="single" w:color="000000" w:sz="4" w:space="0"/>
            </w:tcBorders>
            <w:vAlign w:val="top"/>
          </w:tcPr>
          <w:p w14:paraId="5F9FFB01">
            <w:pPr>
              <w:rPr>
                <w:rFonts w:ascii="Arial"/>
                <w:sz w:val="21"/>
              </w:rPr>
            </w:pPr>
          </w:p>
        </w:tc>
        <w:tc>
          <w:tcPr>
            <w:tcW w:w="3760" w:type="dxa"/>
            <w:tcBorders>
              <w:bottom w:val="single" w:color="000000" w:sz="4" w:space="0"/>
            </w:tcBorders>
            <w:vAlign w:val="top"/>
          </w:tcPr>
          <w:p w14:paraId="447677FF">
            <w:pPr>
              <w:pStyle w:val="7"/>
              <w:spacing w:before="161" w:line="217" w:lineRule="auto"/>
              <w:ind w:left="1187"/>
            </w:pPr>
            <w:r>
              <w:rPr>
                <w:spacing w:val="-17"/>
              </w:rPr>
              <w:t>乔木-大叶黄杨</w:t>
            </w:r>
          </w:p>
        </w:tc>
        <w:tc>
          <w:tcPr>
            <w:tcW w:w="3781" w:type="dxa"/>
            <w:tcBorders>
              <w:bottom w:val="single" w:color="5B9BD5" w:sz="4" w:space="0"/>
              <w:right w:val="single" w:color="5B9BD5" w:sz="4" w:space="0"/>
            </w:tcBorders>
            <w:vAlign w:val="top"/>
          </w:tcPr>
          <w:p w14:paraId="6B22DB60">
            <w:pPr>
              <w:pStyle w:val="7"/>
              <w:spacing w:before="161" w:line="216" w:lineRule="auto"/>
              <w:ind w:left="1191"/>
            </w:pPr>
            <w:r>
              <w:pict>
                <v:shape id="_x0000_s1878" o:spid="_x0000_s1878" style="position:absolute;left:0pt;margin-left:187.2pt;margin-top:37.1pt;height:0.75pt;width:2.2pt;mso-position-horizontal-relative:page;mso-position-vertical-relative:page;z-index:251862016;mso-width-relative:page;mso-height-relative:page;" fillcolor="#5B9BD5" filled="t" stroked="f" coordsize="44,15" path="m0,14l43,14,43,0,0,0,0,14xe">
                  <v:path/>
                  <v:fill on="t" focussize="0,0"/>
                  <v:stroke on="f"/>
                  <v:imagedata o:title=""/>
                  <o:lock v:ext="edit"/>
                </v:shape>
              </w:pict>
            </w:r>
            <w:r>
              <w:rPr>
                <w:spacing w:val="-17"/>
              </w:rPr>
              <w:t>乔木-红花檵木</w:t>
            </w:r>
          </w:p>
        </w:tc>
      </w:tr>
    </w:tbl>
    <w:p w14:paraId="17908D2E">
      <w:pPr>
        <w:rPr>
          <w:rFonts w:ascii="Arial"/>
          <w:sz w:val="21"/>
        </w:rPr>
      </w:pPr>
    </w:p>
    <w:p w14:paraId="084D3F98">
      <w:pPr>
        <w:rPr>
          <w:rFonts w:ascii="Arial" w:hAnsi="Arial" w:eastAsia="Arial" w:cs="Arial"/>
          <w:sz w:val="21"/>
          <w:szCs w:val="21"/>
        </w:rPr>
        <w:sectPr>
          <w:footerReference r:id="rId115" w:type="default"/>
          <w:pgSz w:w="11907" w:h="16839"/>
          <w:pgMar w:top="954" w:right="4" w:bottom="1038" w:left="0" w:header="499" w:footer="357" w:gutter="0"/>
          <w:pgBorders>
            <w:top w:val="none" w:sz="0" w:space="0"/>
            <w:left w:val="none" w:sz="0" w:space="0"/>
            <w:bottom w:val="none" w:sz="0" w:space="0"/>
            <w:right w:val="none" w:sz="0" w:space="0"/>
          </w:pgBorders>
          <w:cols w:space="720" w:num="1"/>
        </w:sectPr>
      </w:pPr>
    </w:p>
    <w:p w14:paraId="5955438E">
      <w:pPr>
        <w:spacing w:line="214" w:lineRule="exact"/>
      </w:pPr>
    </w:p>
    <w:tbl>
      <w:tblPr>
        <w:tblStyle w:val="6"/>
        <w:tblW w:w="9539" w:type="dxa"/>
        <w:tblInd w:w="118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00"/>
        <w:gridCol w:w="575"/>
        <w:gridCol w:w="1223"/>
        <w:gridCol w:w="3760"/>
        <w:gridCol w:w="3781"/>
      </w:tblGrid>
      <w:tr w14:paraId="3853EF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63" w:hRule="atLeast"/>
        </w:trPr>
        <w:tc>
          <w:tcPr>
            <w:tcW w:w="775" w:type="dxa"/>
            <w:gridSpan w:val="2"/>
            <w:vMerge w:val="restart"/>
            <w:tcBorders>
              <w:top w:val="single" w:color="000000" w:sz="4" w:space="0"/>
              <w:left w:val="single" w:color="000000" w:sz="4" w:space="0"/>
              <w:bottom w:val="nil"/>
            </w:tcBorders>
            <w:vAlign w:val="top"/>
          </w:tcPr>
          <w:p w14:paraId="4FFC92AA">
            <w:pPr>
              <w:rPr>
                <w:rFonts w:ascii="Arial"/>
                <w:sz w:val="21"/>
              </w:rPr>
            </w:pPr>
          </w:p>
        </w:tc>
        <w:tc>
          <w:tcPr>
            <w:tcW w:w="1223" w:type="dxa"/>
            <w:vMerge w:val="restart"/>
            <w:tcBorders>
              <w:top w:val="single" w:color="000000" w:sz="4" w:space="0"/>
              <w:bottom w:val="nil"/>
            </w:tcBorders>
            <w:vAlign w:val="top"/>
          </w:tcPr>
          <w:p w14:paraId="3A4888F7">
            <w:pPr>
              <w:rPr>
                <w:rFonts w:ascii="Arial"/>
                <w:sz w:val="21"/>
              </w:rPr>
            </w:pPr>
          </w:p>
        </w:tc>
        <w:tc>
          <w:tcPr>
            <w:tcW w:w="3760" w:type="dxa"/>
            <w:tcBorders>
              <w:top w:val="single" w:color="000000" w:sz="4" w:space="0"/>
            </w:tcBorders>
            <w:vAlign w:val="top"/>
          </w:tcPr>
          <w:p w14:paraId="7E74757D">
            <w:pPr>
              <w:spacing w:before="103" w:line="3336" w:lineRule="exact"/>
              <w:ind w:firstLine="51"/>
            </w:pPr>
            <w:r>
              <w:rPr>
                <w:position w:val="-66"/>
              </w:rPr>
              <w:drawing>
                <wp:inline distT="0" distB="0" distL="0" distR="0">
                  <wp:extent cx="2351405" cy="2117725"/>
                  <wp:effectExtent l="0" t="0" r="0" b="0"/>
                  <wp:docPr id="656" name="IM 656"/>
                  <wp:cNvGraphicFramePr/>
                  <a:graphic xmlns:a="http://schemas.openxmlformats.org/drawingml/2006/main">
                    <a:graphicData uri="http://schemas.openxmlformats.org/drawingml/2006/picture">
                      <pic:pic xmlns:pic="http://schemas.openxmlformats.org/drawingml/2006/picture">
                        <pic:nvPicPr>
                          <pic:cNvPr id="656" name="IM 656"/>
                          <pic:cNvPicPr/>
                        </pic:nvPicPr>
                        <pic:blipFill>
                          <a:blip r:embed="rId581"/>
                          <a:stretch>
                            <a:fillRect/>
                          </a:stretch>
                        </pic:blipFill>
                        <pic:spPr>
                          <a:xfrm>
                            <a:off x="0" y="0"/>
                            <a:ext cx="2351976" cy="2118359"/>
                          </a:xfrm>
                          <a:prstGeom prst="rect">
                            <a:avLst/>
                          </a:prstGeom>
                        </pic:spPr>
                      </pic:pic>
                    </a:graphicData>
                  </a:graphic>
                </wp:inline>
              </w:drawing>
            </w:r>
          </w:p>
        </w:tc>
        <w:tc>
          <w:tcPr>
            <w:tcW w:w="3781" w:type="dxa"/>
            <w:tcBorders>
              <w:top w:val="single" w:color="5B9BD5" w:sz="4" w:space="0"/>
              <w:right w:val="single" w:color="5B9BD5" w:sz="4" w:space="0"/>
            </w:tcBorders>
            <w:vAlign w:val="top"/>
          </w:tcPr>
          <w:p w14:paraId="61A1AA07">
            <w:pPr>
              <w:spacing w:before="93" w:line="3358" w:lineRule="exact"/>
              <w:ind w:firstLine="54"/>
            </w:pPr>
            <w:r>
              <w:rPr>
                <w:position w:val="-67"/>
              </w:rPr>
              <w:drawing>
                <wp:inline distT="0" distB="0" distL="0" distR="0">
                  <wp:extent cx="2342515" cy="2131695"/>
                  <wp:effectExtent l="0" t="0" r="0" b="0"/>
                  <wp:docPr id="658" name="IM 658"/>
                  <wp:cNvGraphicFramePr/>
                  <a:graphic xmlns:a="http://schemas.openxmlformats.org/drawingml/2006/main">
                    <a:graphicData uri="http://schemas.openxmlformats.org/drawingml/2006/picture">
                      <pic:pic xmlns:pic="http://schemas.openxmlformats.org/drawingml/2006/picture">
                        <pic:nvPicPr>
                          <pic:cNvPr id="658" name="IM 658"/>
                          <pic:cNvPicPr/>
                        </pic:nvPicPr>
                        <pic:blipFill>
                          <a:blip r:embed="rId582"/>
                          <a:stretch>
                            <a:fillRect/>
                          </a:stretch>
                        </pic:blipFill>
                        <pic:spPr>
                          <a:xfrm>
                            <a:off x="0" y="0"/>
                            <a:ext cx="2342515" cy="2132329"/>
                          </a:xfrm>
                          <a:prstGeom prst="rect">
                            <a:avLst/>
                          </a:prstGeom>
                        </pic:spPr>
                      </pic:pic>
                    </a:graphicData>
                  </a:graphic>
                </wp:inline>
              </w:drawing>
            </w:r>
          </w:p>
        </w:tc>
      </w:tr>
      <w:tr w14:paraId="350053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5" w:hRule="atLeast"/>
        </w:trPr>
        <w:tc>
          <w:tcPr>
            <w:tcW w:w="775" w:type="dxa"/>
            <w:gridSpan w:val="2"/>
            <w:vMerge w:val="continue"/>
            <w:tcBorders>
              <w:top w:val="nil"/>
              <w:left w:val="single" w:color="000000" w:sz="4" w:space="0"/>
            </w:tcBorders>
            <w:vAlign w:val="top"/>
          </w:tcPr>
          <w:p w14:paraId="419D3976">
            <w:pPr>
              <w:rPr>
                <w:rFonts w:ascii="Arial"/>
                <w:sz w:val="21"/>
              </w:rPr>
            </w:pPr>
          </w:p>
        </w:tc>
        <w:tc>
          <w:tcPr>
            <w:tcW w:w="1223" w:type="dxa"/>
            <w:vMerge w:val="continue"/>
            <w:tcBorders>
              <w:top w:val="nil"/>
            </w:tcBorders>
            <w:vAlign w:val="top"/>
          </w:tcPr>
          <w:p w14:paraId="4E1F6FC5">
            <w:pPr>
              <w:rPr>
                <w:rFonts w:ascii="Arial"/>
                <w:sz w:val="21"/>
              </w:rPr>
            </w:pPr>
          </w:p>
        </w:tc>
        <w:tc>
          <w:tcPr>
            <w:tcW w:w="3760" w:type="dxa"/>
            <w:vAlign w:val="top"/>
          </w:tcPr>
          <w:p w14:paraId="057F5C1F">
            <w:pPr>
              <w:pStyle w:val="7"/>
              <w:spacing w:before="98" w:line="217" w:lineRule="auto"/>
              <w:ind w:left="1351"/>
            </w:pPr>
            <w:r>
              <w:rPr>
                <w:spacing w:val="-18"/>
              </w:rPr>
              <w:t>乔木—金桂</w:t>
            </w:r>
          </w:p>
        </w:tc>
        <w:tc>
          <w:tcPr>
            <w:tcW w:w="3781" w:type="dxa"/>
            <w:tcBorders>
              <w:right w:val="single" w:color="000000" w:sz="4" w:space="0"/>
            </w:tcBorders>
            <w:vAlign w:val="top"/>
          </w:tcPr>
          <w:p w14:paraId="5A7AB31B">
            <w:pPr>
              <w:pStyle w:val="7"/>
              <w:spacing w:before="97" w:line="216" w:lineRule="auto"/>
              <w:ind w:left="1354"/>
            </w:pPr>
            <w:r>
              <w:rPr>
                <w:spacing w:val="-18"/>
              </w:rPr>
              <w:t>乔木—香樟</w:t>
            </w:r>
          </w:p>
        </w:tc>
      </w:tr>
      <w:tr w14:paraId="3B8A56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3" w:hRule="atLeast"/>
        </w:trPr>
        <w:tc>
          <w:tcPr>
            <w:tcW w:w="200" w:type="dxa"/>
            <w:vMerge w:val="restart"/>
            <w:tcBorders>
              <w:left w:val="single" w:color="1C456A" w:sz="4" w:space="0"/>
              <w:bottom w:val="nil"/>
              <w:right w:val="nil"/>
            </w:tcBorders>
            <w:vAlign w:val="top"/>
          </w:tcPr>
          <w:p w14:paraId="7ECCEAF3">
            <w:pPr>
              <w:rPr>
                <w:rFonts w:ascii="Arial"/>
                <w:sz w:val="21"/>
              </w:rPr>
            </w:pPr>
            <w:r>
              <w:pict>
                <v:shape id="_x0000_s1879" o:spid="_x0000_s1879" style="position:absolute;left:0pt;margin-left:-0.25pt;margin-top:232.2pt;height:0.75pt;width:2.2pt;mso-position-horizontal-relative:page;mso-position-vertical-relative:page;z-index:251865088;mso-width-relative:page;mso-height-relative:page;" fillcolor="#5B9BD5" filled="t" stroked="f" coordsize="44,15" path="m0,14l43,14,43,0,0,0,0,14xe">
                  <v:path/>
                  <v:fill on="t" focussize="0,0"/>
                  <v:stroke on="f"/>
                  <v:imagedata o:title=""/>
                  <o:lock v:ext="edit"/>
                </v:shape>
              </w:pict>
            </w:r>
          </w:p>
        </w:tc>
        <w:tc>
          <w:tcPr>
            <w:tcW w:w="575" w:type="dxa"/>
            <w:vMerge w:val="restart"/>
            <w:tcBorders>
              <w:left w:val="nil"/>
              <w:bottom w:val="nil"/>
            </w:tcBorders>
            <w:vAlign w:val="top"/>
          </w:tcPr>
          <w:p w14:paraId="2F433E01">
            <w:pPr>
              <w:spacing w:line="252" w:lineRule="auto"/>
              <w:rPr>
                <w:rFonts w:ascii="Arial"/>
                <w:sz w:val="21"/>
              </w:rPr>
            </w:pPr>
          </w:p>
          <w:p w14:paraId="71CDE0DA">
            <w:pPr>
              <w:spacing w:line="252" w:lineRule="auto"/>
              <w:rPr>
                <w:rFonts w:ascii="Arial"/>
                <w:sz w:val="21"/>
              </w:rPr>
            </w:pPr>
          </w:p>
          <w:p w14:paraId="7D870C89">
            <w:pPr>
              <w:spacing w:line="252" w:lineRule="auto"/>
              <w:rPr>
                <w:rFonts w:ascii="Arial"/>
                <w:sz w:val="21"/>
              </w:rPr>
            </w:pPr>
          </w:p>
          <w:p w14:paraId="497CDD5A">
            <w:pPr>
              <w:spacing w:line="252" w:lineRule="auto"/>
              <w:rPr>
                <w:rFonts w:ascii="Arial"/>
                <w:sz w:val="21"/>
              </w:rPr>
            </w:pPr>
          </w:p>
          <w:p w14:paraId="2A9181A5">
            <w:pPr>
              <w:spacing w:line="252" w:lineRule="auto"/>
              <w:rPr>
                <w:rFonts w:ascii="Arial"/>
                <w:sz w:val="21"/>
              </w:rPr>
            </w:pPr>
          </w:p>
          <w:p w14:paraId="49DB6576">
            <w:pPr>
              <w:spacing w:line="253" w:lineRule="auto"/>
              <w:rPr>
                <w:rFonts w:ascii="Arial"/>
                <w:sz w:val="21"/>
              </w:rPr>
            </w:pPr>
          </w:p>
          <w:p w14:paraId="3785BABB">
            <w:pPr>
              <w:spacing w:line="253" w:lineRule="auto"/>
              <w:rPr>
                <w:rFonts w:ascii="Arial"/>
                <w:sz w:val="21"/>
              </w:rPr>
            </w:pPr>
          </w:p>
          <w:p w14:paraId="3B427766">
            <w:pPr>
              <w:spacing w:line="253" w:lineRule="auto"/>
              <w:rPr>
                <w:rFonts w:ascii="Arial"/>
                <w:sz w:val="21"/>
              </w:rPr>
            </w:pPr>
          </w:p>
          <w:p w14:paraId="61B52B2B">
            <w:pPr>
              <w:pStyle w:val="7"/>
              <w:spacing w:before="78" w:line="237" w:lineRule="auto"/>
              <w:ind w:left="151"/>
            </w:pPr>
            <w:r>
              <w:t>3</w:t>
            </w:r>
          </w:p>
        </w:tc>
        <w:tc>
          <w:tcPr>
            <w:tcW w:w="1223" w:type="dxa"/>
            <w:vMerge w:val="restart"/>
            <w:tcBorders>
              <w:bottom w:val="nil"/>
            </w:tcBorders>
            <w:vAlign w:val="top"/>
          </w:tcPr>
          <w:p w14:paraId="3D59B6CB">
            <w:pPr>
              <w:spacing w:line="255" w:lineRule="auto"/>
              <w:rPr>
                <w:rFonts w:ascii="Arial"/>
                <w:sz w:val="21"/>
              </w:rPr>
            </w:pPr>
          </w:p>
          <w:p w14:paraId="166DAA0C">
            <w:pPr>
              <w:spacing w:line="255" w:lineRule="auto"/>
              <w:rPr>
                <w:rFonts w:ascii="Arial"/>
                <w:sz w:val="21"/>
              </w:rPr>
            </w:pPr>
          </w:p>
          <w:p w14:paraId="51C49930">
            <w:pPr>
              <w:spacing w:line="255" w:lineRule="auto"/>
              <w:rPr>
                <w:rFonts w:ascii="Arial"/>
                <w:sz w:val="21"/>
              </w:rPr>
            </w:pPr>
          </w:p>
          <w:p w14:paraId="1A38A30D">
            <w:pPr>
              <w:spacing w:line="255" w:lineRule="auto"/>
              <w:rPr>
                <w:rFonts w:ascii="Arial"/>
                <w:sz w:val="21"/>
              </w:rPr>
            </w:pPr>
          </w:p>
          <w:p w14:paraId="25F7A831">
            <w:pPr>
              <w:spacing w:line="256" w:lineRule="auto"/>
              <w:rPr>
                <w:rFonts w:ascii="Arial"/>
                <w:sz w:val="21"/>
              </w:rPr>
            </w:pPr>
          </w:p>
          <w:p w14:paraId="2B73A7E6">
            <w:pPr>
              <w:spacing w:line="256" w:lineRule="auto"/>
              <w:rPr>
                <w:rFonts w:ascii="Arial"/>
                <w:sz w:val="21"/>
              </w:rPr>
            </w:pPr>
          </w:p>
          <w:p w14:paraId="04165932">
            <w:pPr>
              <w:spacing w:line="256" w:lineRule="auto"/>
              <w:rPr>
                <w:rFonts w:ascii="Arial"/>
                <w:sz w:val="21"/>
              </w:rPr>
            </w:pPr>
          </w:p>
          <w:p w14:paraId="0B4BEE92">
            <w:pPr>
              <w:pStyle w:val="7"/>
              <w:spacing w:before="78" w:line="359" w:lineRule="auto"/>
              <w:ind w:left="293" w:right="46" w:hanging="211"/>
            </w:pPr>
            <w:r>
              <w:rPr>
                <w:spacing w:val="-23"/>
              </w:rPr>
              <w:t>主要栽植灌</w:t>
            </w:r>
            <w:r>
              <w:rPr>
                <w:spacing w:val="-13"/>
              </w:rPr>
              <w:t>木示例</w:t>
            </w:r>
          </w:p>
        </w:tc>
        <w:tc>
          <w:tcPr>
            <w:tcW w:w="3760" w:type="dxa"/>
            <w:vAlign w:val="top"/>
          </w:tcPr>
          <w:p w14:paraId="65B71C49">
            <w:pPr>
              <w:spacing w:before="61" w:line="3742" w:lineRule="exact"/>
              <w:ind w:firstLine="138"/>
            </w:pPr>
            <w:r>
              <w:rPr>
                <w:position w:val="-74"/>
              </w:rPr>
              <w:drawing>
                <wp:inline distT="0" distB="0" distL="0" distR="0">
                  <wp:extent cx="2244725" cy="2376170"/>
                  <wp:effectExtent l="0" t="0" r="0" b="0"/>
                  <wp:docPr id="660" name="IM 660"/>
                  <wp:cNvGraphicFramePr/>
                  <a:graphic xmlns:a="http://schemas.openxmlformats.org/drawingml/2006/main">
                    <a:graphicData uri="http://schemas.openxmlformats.org/drawingml/2006/picture">
                      <pic:pic xmlns:pic="http://schemas.openxmlformats.org/drawingml/2006/picture">
                        <pic:nvPicPr>
                          <pic:cNvPr id="660" name="IM 660"/>
                          <pic:cNvPicPr/>
                        </pic:nvPicPr>
                        <pic:blipFill>
                          <a:blip r:embed="rId583"/>
                          <a:stretch>
                            <a:fillRect/>
                          </a:stretch>
                        </pic:blipFill>
                        <pic:spPr>
                          <a:xfrm>
                            <a:off x="0" y="0"/>
                            <a:ext cx="2244725" cy="2376170"/>
                          </a:xfrm>
                          <a:prstGeom prst="rect">
                            <a:avLst/>
                          </a:prstGeom>
                        </pic:spPr>
                      </pic:pic>
                    </a:graphicData>
                  </a:graphic>
                </wp:inline>
              </w:drawing>
            </w:r>
          </w:p>
        </w:tc>
        <w:tc>
          <w:tcPr>
            <w:tcW w:w="3781" w:type="dxa"/>
            <w:tcBorders>
              <w:right w:val="single" w:color="000000" w:sz="4" w:space="0"/>
            </w:tcBorders>
            <w:vAlign w:val="top"/>
          </w:tcPr>
          <w:p w14:paraId="45F725A9">
            <w:pPr>
              <w:spacing w:before="117" w:line="3633" w:lineRule="exact"/>
              <w:ind w:firstLine="54"/>
            </w:pPr>
            <w:r>
              <w:rPr>
                <w:position w:val="-72"/>
              </w:rPr>
              <w:drawing>
                <wp:inline distT="0" distB="0" distL="0" distR="0">
                  <wp:extent cx="2322195" cy="2306955"/>
                  <wp:effectExtent l="0" t="0" r="0" b="0"/>
                  <wp:docPr id="662" name="IM 662"/>
                  <wp:cNvGraphicFramePr/>
                  <a:graphic xmlns:a="http://schemas.openxmlformats.org/drawingml/2006/main">
                    <a:graphicData uri="http://schemas.openxmlformats.org/drawingml/2006/picture">
                      <pic:pic xmlns:pic="http://schemas.openxmlformats.org/drawingml/2006/picture">
                        <pic:nvPicPr>
                          <pic:cNvPr id="662" name="IM 662"/>
                          <pic:cNvPicPr/>
                        </pic:nvPicPr>
                        <pic:blipFill>
                          <a:blip r:embed="rId584"/>
                          <a:stretch>
                            <a:fillRect/>
                          </a:stretch>
                        </pic:blipFill>
                        <pic:spPr>
                          <a:xfrm>
                            <a:off x="0" y="0"/>
                            <a:ext cx="2322829" cy="2306955"/>
                          </a:xfrm>
                          <a:prstGeom prst="rect">
                            <a:avLst/>
                          </a:prstGeom>
                        </pic:spPr>
                      </pic:pic>
                    </a:graphicData>
                  </a:graphic>
                </wp:inline>
              </w:drawing>
            </w:r>
          </w:p>
        </w:tc>
      </w:tr>
      <w:tr w14:paraId="59BA9A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6" w:hRule="atLeast"/>
        </w:trPr>
        <w:tc>
          <w:tcPr>
            <w:tcW w:w="200" w:type="dxa"/>
            <w:vMerge w:val="continue"/>
            <w:tcBorders>
              <w:top w:val="nil"/>
              <w:left w:val="single" w:color="1C456A" w:sz="4" w:space="0"/>
              <w:bottom w:val="single" w:color="1C456A" w:sz="4" w:space="0"/>
              <w:right w:val="nil"/>
            </w:tcBorders>
            <w:vAlign w:val="top"/>
          </w:tcPr>
          <w:p w14:paraId="04713AA2">
            <w:pPr>
              <w:rPr>
                <w:rFonts w:ascii="Arial"/>
                <w:sz w:val="21"/>
              </w:rPr>
            </w:pPr>
          </w:p>
        </w:tc>
        <w:tc>
          <w:tcPr>
            <w:tcW w:w="575" w:type="dxa"/>
            <w:vMerge w:val="continue"/>
            <w:tcBorders>
              <w:top w:val="nil"/>
              <w:left w:val="nil"/>
              <w:bottom w:val="single" w:color="1C456A" w:sz="4" w:space="0"/>
            </w:tcBorders>
            <w:vAlign w:val="top"/>
          </w:tcPr>
          <w:p w14:paraId="4A9BE2C2">
            <w:pPr>
              <w:rPr>
                <w:rFonts w:ascii="Arial"/>
                <w:sz w:val="21"/>
              </w:rPr>
            </w:pPr>
          </w:p>
        </w:tc>
        <w:tc>
          <w:tcPr>
            <w:tcW w:w="1223" w:type="dxa"/>
            <w:vMerge w:val="continue"/>
            <w:tcBorders>
              <w:top w:val="nil"/>
              <w:bottom w:val="single" w:color="000000" w:sz="4" w:space="0"/>
            </w:tcBorders>
            <w:vAlign w:val="top"/>
          </w:tcPr>
          <w:p w14:paraId="42B0B71A">
            <w:pPr>
              <w:rPr>
                <w:rFonts w:ascii="Arial"/>
                <w:sz w:val="21"/>
              </w:rPr>
            </w:pPr>
          </w:p>
        </w:tc>
        <w:tc>
          <w:tcPr>
            <w:tcW w:w="3760" w:type="dxa"/>
            <w:tcBorders>
              <w:bottom w:val="single" w:color="000000" w:sz="4" w:space="0"/>
            </w:tcBorders>
            <w:vAlign w:val="top"/>
          </w:tcPr>
          <w:p w14:paraId="78A485D4">
            <w:pPr>
              <w:pStyle w:val="7"/>
              <w:spacing w:before="104" w:line="217" w:lineRule="auto"/>
              <w:ind w:left="1351"/>
            </w:pPr>
            <w:r>
              <w:rPr>
                <w:spacing w:val="-18"/>
              </w:rPr>
              <w:t>灌木—紫薇</w:t>
            </w:r>
          </w:p>
        </w:tc>
        <w:tc>
          <w:tcPr>
            <w:tcW w:w="3781" w:type="dxa"/>
            <w:tcBorders>
              <w:bottom w:val="single" w:color="5B9BD5" w:sz="4" w:space="0"/>
              <w:right w:val="single" w:color="5B9BD5" w:sz="4" w:space="0"/>
            </w:tcBorders>
            <w:vAlign w:val="top"/>
          </w:tcPr>
          <w:p w14:paraId="09C17DE5">
            <w:pPr>
              <w:pStyle w:val="7"/>
              <w:spacing w:before="104" w:line="217" w:lineRule="auto"/>
              <w:ind w:left="1136"/>
            </w:pPr>
            <w:r>
              <w:pict>
                <v:shape id="_x0000_s1880" o:spid="_x0000_s1880" style="position:absolute;left:0pt;margin-left:187.2pt;margin-top:31.3pt;height:0.75pt;width:2.2pt;mso-position-horizontal-relative:page;mso-position-vertical-relative:page;z-index:251864064;mso-width-relative:page;mso-height-relative:page;" fillcolor="#5B9BD5" filled="t" stroked="f" coordsize="44,15" path="m0,14l43,14,43,0,0,0,0,14xe">
                  <v:path/>
                  <v:fill on="t" focussize="0,0"/>
                  <v:stroke on="f"/>
                  <v:imagedata o:title=""/>
                  <o:lock v:ext="edit"/>
                </v:shape>
              </w:pict>
            </w:r>
            <w:r>
              <w:rPr>
                <w:spacing w:val="-19"/>
              </w:rPr>
              <w:t>灌木—红叶石楠</w:t>
            </w:r>
          </w:p>
        </w:tc>
      </w:tr>
    </w:tbl>
    <w:p w14:paraId="29A0B3E4">
      <w:pPr>
        <w:pStyle w:val="2"/>
        <w:spacing w:before="78" w:line="216" w:lineRule="auto"/>
        <w:ind w:left="1981"/>
        <w:outlineLvl w:val="2"/>
        <w:rPr>
          <w:sz w:val="28"/>
          <w:szCs w:val="28"/>
        </w:rPr>
      </w:pPr>
      <w:bookmarkStart w:id="59" w:name="bookmark58"/>
      <w:bookmarkEnd w:id="59"/>
      <w:r>
        <w:rPr>
          <w:b/>
          <w:bCs/>
          <w:spacing w:val="-23"/>
          <w:sz w:val="28"/>
          <w:szCs w:val="28"/>
        </w:rPr>
        <w:t>一、种植土整理及检验工程</w:t>
      </w:r>
    </w:p>
    <w:p w14:paraId="1479CA8E">
      <w:pPr>
        <w:pStyle w:val="2"/>
        <w:spacing w:before="107" w:line="216" w:lineRule="auto"/>
        <w:ind w:left="1903"/>
        <w:rPr>
          <w:sz w:val="24"/>
          <w:szCs w:val="24"/>
        </w:rPr>
      </w:pPr>
      <w:r>
        <w:rPr>
          <w:spacing w:val="-18"/>
          <w:sz w:val="24"/>
          <w:szCs w:val="24"/>
        </w:rPr>
        <w:t>1.1栽植土地形平整度、造形和排水坡度应符合下列规</w:t>
      </w:r>
      <w:r>
        <w:rPr>
          <w:spacing w:val="-19"/>
          <w:sz w:val="24"/>
          <w:szCs w:val="24"/>
        </w:rPr>
        <w:t>定：</w:t>
      </w:r>
    </w:p>
    <w:p w14:paraId="42252ACE">
      <w:pPr>
        <w:pStyle w:val="2"/>
        <w:spacing w:before="119" w:line="307" w:lineRule="auto"/>
        <w:ind w:left="1463" w:right="1409" w:firstLine="436"/>
        <w:rPr>
          <w:sz w:val="24"/>
          <w:szCs w:val="24"/>
        </w:rPr>
      </w:pPr>
      <w:r>
        <w:rPr>
          <w:spacing w:val="-20"/>
          <w:sz w:val="24"/>
          <w:szCs w:val="24"/>
        </w:rPr>
        <w:t>合格：土地基本平整，回填的栽植土已达到自然沉降的状态，地形的造形和排水坡度应符</w:t>
      </w:r>
      <w:r>
        <w:rPr>
          <w:spacing w:val="-21"/>
          <w:sz w:val="24"/>
          <w:szCs w:val="24"/>
        </w:rPr>
        <w:t>合设计要求且基本恰当，无明显的低洼和积</w:t>
      </w:r>
      <w:r>
        <w:rPr>
          <w:spacing w:val="-22"/>
          <w:sz w:val="24"/>
          <w:szCs w:val="24"/>
        </w:rPr>
        <w:t>水处，花坛基本无积水；</w:t>
      </w:r>
    </w:p>
    <w:p w14:paraId="185BD83C">
      <w:pPr>
        <w:pStyle w:val="2"/>
        <w:spacing w:before="1" w:line="308" w:lineRule="auto"/>
        <w:ind w:left="1455" w:right="1409" w:firstLine="437"/>
        <w:rPr>
          <w:sz w:val="24"/>
          <w:szCs w:val="24"/>
        </w:rPr>
      </w:pPr>
      <w:r>
        <w:rPr>
          <w:spacing w:val="-20"/>
          <w:sz w:val="24"/>
          <w:szCs w:val="24"/>
        </w:rPr>
        <w:t>优良：在合格的基础上，土地平整，地形的造形和排水坡度恰当，无积水；与草坪接壤的</w:t>
      </w:r>
      <w:r>
        <w:rPr>
          <w:spacing w:val="-21"/>
          <w:sz w:val="24"/>
          <w:szCs w:val="24"/>
        </w:rPr>
        <w:t>树坛、花坛及地被的地势略高于草坪。</w:t>
      </w:r>
    </w:p>
    <w:p w14:paraId="51A91B03">
      <w:pPr>
        <w:pStyle w:val="2"/>
        <w:spacing w:before="1" w:line="215" w:lineRule="auto"/>
        <w:ind w:left="1895"/>
        <w:rPr>
          <w:sz w:val="24"/>
          <w:szCs w:val="24"/>
        </w:rPr>
      </w:pPr>
      <w:r>
        <w:rPr>
          <w:spacing w:val="-17"/>
          <w:sz w:val="24"/>
          <w:szCs w:val="24"/>
        </w:rPr>
        <w:t>检查数量：按面积抽查10</w:t>
      </w:r>
      <w:r>
        <w:rPr>
          <w:spacing w:val="-21"/>
          <w:sz w:val="24"/>
          <w:szCs w:val="24"/>
        </w:rPr>
        <w:t>％，</w:t>
      </w:r>
      <w:r>
        <w:rPr>
          <w:spacing w:val="-17"/>
          <w:sz w:val="24"/>
          <w:szCs w:val="24"/>
        </w:rPr>
        <w:t>500m2为一</w:t>
      </w:r>
      <w:r>
        <w:rPr>
          <w:spacing w:val="-18"/>
          <w:sz w:val="24"/>
          <w:szCs w:val="24"/>
        </w:rPr>
        <w:t>点，不得少于3点，≤500m2应全数检查。</w:t>
      </w:r>
    </w:p>
    <w:p w14:paraId="1E2490AC">
      <w:pPr>
        <w:pStyle w:val="2"/>
        <w:spacing w:before="120" w:line="216" w:lineRule="auto"/>
        <w:ind w:left="1895"/>
        <w:rPr>
          <w:sz w:val="24"/>
          <w:szCs w:val="24"/>
        </w:rPr>
      </w:pPr>
      <w:r>
        <w:rPr>
          <w:spacing w:val="-21"/>
          <w:sz w:val="24"/>
          <w:szCs w:val="24"/>
        </w:rPr>
        <w:t>检验方法：观察或尽量检查。</w:t>
      </w:r>
    </w:p>
    <w:p w14:paraId="690836B0">
      <w:pPr>
        <w:pStyle w:val="2"/>
        <w:spacing w:before="85" w:line="217" w:lineRule="auto"/>
        <w:ind w:left="1986"/>
        <w:outlineLvl w:val="2"/>
        <w:rPr>
          <w:sz w:val="28"/>
          <w:szCs w:val="28"/>
        </w:rPr>
      </w:pPr>
      <w:bookmarkStart w:id="60" w:name="bookmark59"/>
      <w:bookmarkEnd w:id="60"/>
      <w:r>
        <w:rPr>
          <w:b/>
          <w:bCs/>
          <w:spacing w:val="-22"/>
          <w:sz w:val="28"/>
          <w:szCs w:val="28"/>
        </w:rPr>
        <w:t>二、绿化种植工程</w:t>
      </w:r>
    </w:p>
    <w:p w14:paraId="7032D6B6">
      <w:pPr>
        <w:pStyle w:val="2"/>
        <w:spacing w:before="104" w:line="308" w:lineRule="auto"/>
        <w:ind w:left="1457" w:right="1353" w:firstLine="436"/>
        <w:jc w:val="both"/>
        <w:rPr>
          <w:sz w:val="24"/>
          <w:szCs w:val="24"/>
        </w:rPr>
      </w:pPr>
      <w:r>
        <w:rPr>
          <w:spacing w:val="-20"/>
          <w:sz w:val="24"/>
          <w:szCs w:val="24"/>
        </w:rPr>
        <w:t>根据对现场的实地考查，对图纸进行了认真分析和理解，施工将围绕设计的基本原则达到</w:t>
      </w:r>
      <w:r>
        <w:rPr>
          <w:spacing w:val="-24"/>
          <w:sz w:val="24"/>
          <w:szCs w:val="24"/>
        </w:rPr>
        <w:t>即时成景。本工程在绿化种植设计阶段很好地体现了生态景观环境的客观要求——生物多样性，</w:t>
      </w:r>
      <w:r>
        <w:rPr>
          <w:spacing w:val="-20"/>
          <w:sz w:val="24"/>
          <w:szCs w:val="24"/>
        </w:rPr>
        <w:t>使用了各种品种、规格的绿化植物几十余种，乔、灌、草合理搭配，乡土树种与引进品种交叉</w:t>
      </w:r>
      <w:r>
        <w:rPr>
          <w:spacing w:val="-19"/>
          <w:sz w:val="24"/>
          <w:szCs w:val="24"/>
        </w:rPr>
        <w:t>使用。这些绿化植物直接影响着本项目生态与景观效果的有效</w:t>
      </w:r>
      <w:r>
        <w:rPr>
          <w:spacing w:val="-20"/>
          <w:sz w:val="24"/>
          <w:szCs w:val="24"/>
        </w:rPr>
        <w:t>发挥，也决定了其景观的可持续</w:t>
      </w:r>
    </w:p>
    <w:p w14:paraId="1921C1E8">
      <w:pPr>
        <w:spacing w:line="308" w:lineRule="auto"/>
        <w:rPr>
          <w:sz w:val="24"/>
          <w:szCs w:val="24"/>
        </w:rPr>
        <w:sectPr>
          <w:footerReference r:id="rId116" w:type="default"/>
          <w:pgSz w:w="11907" w:h="16839"/>
          <w:pgMar w:top="954" w:right="4" w:bottom="1038" w:left="0" w:header="499" w:footer="357" w:gutter="0"/>
          <w:pgBorders>
            <w:top w:val="none" w:sz="0" w:space="0"/>
            <w:left w:val="none" w:sz="0" w:space="0"/>
            <w:bottom w:val="none" w:sz="0" w:space="0"/>
            <w:right w:val="none" w:sz="0" w:space="0"/>
          </w:pgBorders>
          <w:cols w:space="720" w:num="1"/>
        </w:sectPr>
      </w:pPr>
    </w:p>
    <w:p w14:paraId="4F29F54A">
      <w:pPr>
        <w:spacing w:line="250" w:lineRule="auto"/>
        <w:rPr>
          <w:rFonts w:ascii="Arial"/>
          <w:sz w:val="21"/>
        </w:rPr>
      </w:pPr>
    </w:p>
    <w:p w14:paraId="6F397E99">
      <w:pPr>
        <w:pStyle w:val="2"/>
        <w:spacing w:before="78" w:line="215" w:lineRule="auto"/>
        <w:ind w:left="1460"/>
        <w:rPr>
          <w:sz w:val="24"/>
          <w:szCs w:val="24"/>
        </w:rPr>
      </w:pPr>
      <w:r>
        <w:rPr>
          <w:spacing w:val="-21"/>
          <w:sz w:val="24"/>
          <w:szCs w:val="24"/>
        </w:rPr>
        <w:t>性。所以在本工程中，绿化种植工程施工质量的</w:t>
      </w:r>
      <w:r>
        <w:rPr>
          <w:spacing w:val="-22"/>
          <w:sz w:val="24"/>
          <w:szCs w:val="24"/>
        </w:rPr>
        <w:t>好坏，是本工程成败的关键。</w:t>
      </w:r>
    </w:p>
    <w:p w14:paraId="326A27AB">
      <w:pPr>
        <w:pStyle w:val="2"/>
        <w:spacing w:before="121" w:line="218" w:lineRule="auto"/>
        <w:ind w:left="1888"/>
        <w:rPr>
          <w:sz w:val="24"/>
          <w:szCs w:val="24"/>
        </w:rPr>
      </w:pPr>
      <w:r>
        <w:rPr>
          <w:spacing w:val="-17"/>
          <w:sz w:val="24"/>
          <w:szCs w:val="24"/>
        </w:rPr>
        <w:t>2.1、绿化施工工艺流程</w:t>
      </w:r>
    </w:p>
    <w:p w14:paraId="19C26C62">
      <w:pPr>
        <w:pStyle w:val="2"/>
        <w:spacing w:before="114" w:line="217" w:lineRule="auto"/>
        <w:ind w:left="1895"/>
        <w:rPr>
          <w:sz w:val="24"/>
          <w:szCs w:val="24"/>
        </w:rPr>
      </w:pPr>
      <w:r>
        <w:rPr>
          <w:spacing w:val="-21"/>
          <w:sz w:val="24"/>
          <w:szCs w:val="24"/>
        </w:rPr>
        <w:t>清理场地→地形造型→种乔木→种灌木→种地被植物→场</w:t>
      </w:r>
      <w:r>
        <w:rPr>
          <w:spacing w:val="-22"/>
          <w:sz w:val="24"/>
          <w:szCs w:val="24"/>
        </w:rPr>
        <w:t>地细平→铺草坪→养护管理</w:t>
      </w:r>
    </w:p>
    <w:p w14:paraId="3DC4407E">
      <w:pPr>
        <w:pStyle w:val="2"/>
        <w:spacing w:before="118" w:line="219" w:lineRule="auto"/>
        <w:ind w:left="1888"/>
        <w:rPr>
          <w:sz w:val="24"/>
          <w:szCs w:val="24"/>
        </w:rPr>
      </w:pPr>
      <w:r>
        <w:rPr>
          <w:spacing w:val="-14"/>
          <w:sz w:val="24"/>
          <w:szCs w:val="24"/>
        </w:rPr>
        <w:t>2.3、场地平整</w:t>
      </w:r>
    </w:p>
    <w:p w14:paraId="31ED6BDB">
      <w:pPr>
        <w:pStyle w:val="2"/>
        <w:spacing w:before="116" w:line="277" w:lineRule="auto"/>
        <w:ind w:left="1457" w:right="1342" w:firstLine="431"/>
        <w:rPr>
          <w:sz w:val="24"/>
          <w:szCs w:val="24"/>
        </w:rPr>
      </w:pPr>
      <w:r>
        <w:rPr>
          <w:spacing w:val="-21"/>
          <w:sz w:val="24"/>
          <w:szCs w:val="24"/>
        </w:rPr>
        <w:t>2.3.1根据工程的技术及现场实际情况选定施工方案，确保电缆、自来水管等管线的安全。</w:t>
      </w:r>
      <w:r>
        <w:rPr>
          <w:spacing w:val="-25"/>
          <w:sz w:val="24"/>
          <w:szCs w:val="24"/>
        </w:rPr>
        <w:t>原则上,取土和弃土地点及种植土土源、质</w:t>
      </w:r>
      <w:r>
        <w:rPr>
          <w:spacing w:val="-26"/>
          <w:sz w:val="24"/>
          <w:szCs w:val="24"/>
        </w:rPr>
        <w:t>量均须发包人及监理工程师认可。本工程范围内土方、</w:t>
      </w:r>
      <w:r>
        <w:rPr>
          <w:spacing w:val="-21"/>
          <w:sz w:val="24"/>
          <w:szCs w:val="24"/>
        </w:rPr>
        <w:t>地形整理按施工图和发包人要求调配，并按发包人给定标高</w:t>
      </w:r>
      <w:r>
        <w:rPr>
          <w:spacing w:val="-22"/>
          <w:sz w:val="24"/>
          <w:szCs w:val="24"/>
        </w:rPr>
        <w:t>平整到位。</w:t>
      </w:r>
    </w:p>
    <w:p w14:paraId="57605DC6">
      <w:pPr>
        <w:pStyle w:val="2"/>
        <w:spacing w:before="120" w:line="217" w:lineRule="auto"/>
        <w:ind w:left="1888"/>
        <w:rPr>
          <w:sz w:val="24"/>
          <w:szCs w:val="24"/>
        </w:rPr>
      </w:pPr>
      <w:r>
        <w:rPr>
          <w:spacing w:val="-19"/>
          <w:sz w:val="24"/>
          <w:szCs w:val="24"/>
        </w:rPr>
        <w:t>2.3.2种植土壤必须符合种植要求，回填土，增</w:t>
      </w:r>
      <w:r>
        <w:rPr>
          <w:spacing w:val="-20"/>
          <w:sz w:val="24"/>
          <w:szCs w:val="24"/>
        </w:rPr>
        <w:t>加营养土。</w:t>
      </w:r>
    </w:p>
    <w:p w14:paraId="754DF8DD">
      <w:pPr>
        <w:pStyle w:val="2"/>
        <w:spacing w:before="117" w:line="263" w:lineRule="auto"/>
        <w:ind w:left="1464" w:right="1411" w:firstLine="423"/>
        <w:rPr>
          <w:sz w:val="24"/>
          <w:szCs w:val="24"/>
        </w:rPr>
      </w:pPr>
      <w:r>
        <w:rPr>
          <w:spacing w:val="-19"/>
          <w:sz w:val="24"/>
          <w:szCs w:val="24"/>
        </w:rPr>
        <w:t>2.3.3绿地应按设计要求构筑地形，造型和坡度应自然顺畅。在部分回填土深度超过1</w:t>
      </w:r>
      <w:r>
        <w:rPr>
          <w:spacing w:val="-20"/>
          <w:sz w:val="24"/>
          <w:szCs w:val="24"/>
        </w:rPr>
        <w:t>m的</w:t>
      </w:r>
      <w:r>
        <w:rPr>
          <w:spacing w:val="-21"/>
          <w:sz w:val="24"/>
          <w:szCs w:val="24"/>
        </w:rPr>
        <w:t>为防止沉降，分层夯实后再整地。</w:t>
      </w:r>
    </w:p>
    <w:p w14:paraId="28AEEAF2">
      <w:pPr>
        <w:pStyle w:val="2"/>
        <w:spacing w:before="118" w:line="216" w:lineRule="auto"/>
        <w:ind w:left="1888"/>
        <w:rPr>
          <w:sz w:val="24"/>
          <w:szCs w:val="24"/>
        </w:rPr>
      </w:pPr>
      <w:r>
        <w:rPr>
          <w:spacing w:val="-14"/>
          <w:sz w:val="24"/>
          <w:szCs w:val="24"/>
        </w:rPr>
        <w:t>2.3.4栽植穴的深度不小于1.6m。</w:t>
      </w:r>
    </w:p>
    <w:p w14:paraId="37986A69">
      <w:pPr>
        <w:pStyle w:val="2"/>
        <w:spacing w:before="119" w:line="285" w:lineRule="auto"/>
        <w:ind w:left="1455" w:right="1353" w:firstLine="432"/>
        <w:rPr>
          <w:sz w:val="24"/>
          <w:szCs w:val="24"/>
        </w:rPr>
      </w:pPr>
      <w:r>
        <w:rPr>
          <w:spacing w:val="-22"/>
          <w:sz w:val="24"/>
          <w:szCs w:val="24"/>
        </w:rPr>
        <w:t>2.3.5地形造坡整形及土质改良：种植土基本回填到位</w:t>
      </w:r>
      <w:r>
        <w:rPr>
          <w:spacing w:val="-23"/>
          <w:sz w:val="24"/>
          <w:szCs w:val="24"/>
        </w:rPr>
        <w:t>后按设计图纸和发包人要求进行整形造坡，经发包人验收合格后方可进行苗木种</w:t>
      </w:r>
      <w:r>
        <w:rPr>
          <w:spacing w:val="-24"/>
          <w:sz w:val="24"/>
          <w:szCs w:val="24"/>
        </w:rPr>
        <w:t>植。在做好土表层化学分析报告且确定土壤性质后，</w:t>
      </w:r>
      <w:r>
        <w:rPr>
          <w:spacing w:val="-18"/>
          <w:sz w:val="24"/>
          <w:szCs w:val="24"/>
        </w:rPr>
        <w:t>应按规范准备栽植介质土，栽植前参照绿化导则</w:t>
      </w:r>
      <w:r>
        <w:rPr>
          <w:spacing w:val="-19"/>
          <w:sz w:val="24"/>
          <w:szCs w:val="24"/>
        </w:rPr>
        <w:t>添加15%泥炭土改良30CM土质，泥炭土与原种</w:t>
      </w:r>
      <w:r>
        <w:rPr>
          <w:spacing w:val="-15"/>
          <w:sz w:val="24"/>
          <w:szCs w:val="24"/>
        </w:rPr>
        <w:t>植土按1.5:8.5比例搅拌均匀。</w:t>
      </w:r>
    </w:p>
    <w:p w14:paraId="46389C83">
      <w:pPr>
        <w:spacing w:line="26" w:lineRule="auto"/>
        <w:rPr>
          <w:rFonts w:ascii="Arial"/>
          <w:sz w:val="2"/>
        </w:rPr>
      </w:pPr>
    </w:p>
    <w:tbl>
      <w:tblPr>
        <w:tblStyle w:val="6"/>
        <w:tblW w:w="8557" w:type="dxa"/>
        <w:tblInd w:w="167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482"/>
        <w:gridCol w:w="4075"/>
      </w:tblGrid>
      <w:tr w14:paraId="65EBBC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35" w:hRule="atLeast"/>
        </w:trPr>
        <w:tc>
          <w:tcPr>
            <w:tcW w:w="4482" w:type="dxa"/>
            <w:tcBorders>
              <w:top w:val="single" w:color="000000" w:sz="4" w:space="0"/>
              <w:left w:val="single" w:color="000000" w:sz="4" w:space="0"/>
            </w:tcBorders>
            <w:shd w:val="clear" w:color="auto" w:fill="DEEAF6"/>
            <w:vAlign w:val="top"/>
          </w:tcPr>
          <w:p w14:paraId="2B1ED31A">
            <w:pPr>
              <w:spacing w:line="92" w:lineRule="exact"/>
            </w:pPr>
            <w:r>
              <w:rPr>
                <w:position w:val="-1"/>
              </w:rPr>
              <w:pict>
                <v:group id="_x0000_s1881" o:spid="_x0000_s1881" o:spt="203" style="height:5.2pt;width:223.6pt;" coordsize="4472,103">
                  <o:lock v:ext="edit"/>
                  <v:shape id="_x0000_s1882" o:spid="_x0000_s1882" style="position:absolute;left:0;top:0;height:15;width:44;" fillcolor="#5B9BD5" filled="t" stroked="f" coordsize="44,15" path="m0,14l43,14,43,0,0,0,0,14xe">
                    <v:path/>
                    <v:fill on="t" focussize="0,0"/>
                    <v:stroke on="f"/>
                    <v:imagedata o:title=""/>
                    <o:lock v:ext="edit"/>
                  </v:shape>
                  <v:shape id="_x0000_s1883" o:spid="_x0000_s1883" style="position:absolute;left:43;top:43;height:60;width:4428;" fillcolor="#DEEAF6" filled="t" stroked="f" coordsize="4428,60" path="m0,60l4428,60,4428,0,0,0,0,60xe">
                    <v:path/>
                    <v:fill on="t" focussize="0,0"/>
                    <v:stroke on="f"/>
                    <v:imagedata o:title=""/>
                    <o:lock v:ext="edit"/>
                  </v:shape>
                  <w10:wrap type="none"/>
                  <w10:anchorlock/>
                </v:group>
              </w:pict>
            </w:r>
          </w:p>
          <w:p w14:paraId="701A698C">
            <w:pPr>
              <w:spacing w:line="2838" w:lineRule="exact"/>
              <w:ind w:firstLine="105"/>
            </w:pPr>
            <w:r>
              <w:rPr>
                <w:position w:val="-56"/>
              </w:rPr>
              <w:drawing>
                <wp:inline distT="0" distB="0" distL="0" distR="0">
                  <wp:extent cx="2710180" cy="1802130"/>
                  <wp:effectExtent l="0" t="0" r="0" b="0"/>
                  <wp:docPr id="666" name="IM 666"/>
                  <wp:cNvGraphicFramePr/>
                  <a:graphic xmlns:a="http://schemas.openxmlformats.org/drawingml/2006/main">
                    <a:graphicData uri="http://schemas.openxmlformats.org/drawingml/2006/picture">
                      <pic:pic xmlns:pic="http://schemas.openxmlformats.org/drawingml/2006/picture">
                        <pic:nvPicPr>
                          <pic:cNvPr id="666" name="IM 666"/>
                          <pic:cNvPicPr/>
                        </pic:nvPicPr>
                        <pic:blipFill>
                          <a:blip r:embed="rId585"/>
                          <a:stretch>
                            <a:fillRect/>
                          </a:stretch>
                        </pic:blipFill>
                        <pic:spPr>
                          <a:xfrm>
                            <a:off x="0" y="0"/>
                            <a:ext cx="2710814" cy="1802447"/>
                          </a:xfrm>
                          <a:prstGeom prst="rect">
                            <a:avLst/>
                          </a:prstGeom>
                        </pic:spPr>
                      </pic:pic>
                    </a:graphicData>
                  </a:graphic>
                </wp:inline>
              </w:drawing>
            </w:r>
          </w:p>
        </w:tc>
        <w:tc>
          <w:tcPr>
            <w:tcW w:w="4075" w:type="dxa"/>
            <w:tcBorders>
              <w:top w:val="single" w:color="5B9BD5" w:sz="4" w:space="0"/>
              <w:right w:val="single" w:color="5B9BD5" w:sz="4" w:space="0"/>
            </w:tcBorders>
            <w:shd w:val="clear" w:color="auto" w:fill="DEEAF6"/>
            <w:vAlign w:val="top"/>
          </w:tcPr>
          <w:p w14:paraId="3FEAD530">
            <w:pPr>
              <w:spacing w:line="93" w:lineRule="exact"/>
              <w:ind w:firstLine="25"/>
            </w:pPr>
            <w:r>
              <w:rPr>
                <w:position w:val="-1"/>
              </w:rPr>
              <w:pict>
                <v:group id="_x0000_s1884" o:spid="_x0000_s1884" o:spt="203" style="height:5.2pt;width:202.65pt;" coordsize="4052,103">
                  <o:lock v:ext="edit"/>
                  <v:shape id="_x0000_s1885" o:spid="_x0000_s1885" style="position:absolute;left:0;top:43;height:60;width:4008;" fillcolor="#DEEAF6" filled="t" stroked="f" coordsize="4008,60" path="m0,60l4008,60,4008,0,0,0,0,60xe">
                    <v:path/>
                    <v:fill on="t" focussize="0,0"/>
                    <v:stroke on="f"/>
                    <v:imagedata o:title=""/>
                    <o:lock v:ext="edit"/>
                  </v:shape>
                  <v:shape id="_x0000_s1886" o:spid="_x0000_s1886" style="position:absolute;left:4009;top:0;height:15;width:44;" fillcolor="#5B9BD5" filled="t" stroked="f" coordsize="44,15" path="m0,14l43,14,43,0,0,0,0,14xe">
                    <v:path/>
                    <v:fill on="t" focussize="0,0"/>
                    <v:stroke on="f"/>
                    <v:imagedata o:title=""/>
                    <o:lock v:ext="edit"/>
                  </v:shape>
                  <w10:wrap type="none"/>
                  <w10:anchorlock/>
                </v:group>
              </w:pict>
            </w:r>
          </w:p>
          <w:p w14:paraId="6C293573">
            <w:pPr>
              <w:spacing w:before="16" w:line="2805" w:lineRule="exact"/>
              <w:ind w:firstLine="149"/>
            </w:pPr>
            <w:r>
              <w:rPr>
                <w:position w:val="-56"/>
              </w:rPr>
              <w:drawing>
                <wp:inline distT="0" distB="0" distL="0" distR="0">
                  <wp:extent cx="2374900" cy="1781175"/>
                  <wp:effectExtent l="0" t="0" r="0" b="0"/>
                  <wp:docPr id="668" name="IM 668"/>
                  <wp:cNvGraphicFramePr/>
                  <a:graphic xmlns:a="http://schemas.openxmlformats.org/drawingml/2006/main">
                    <a:graphicData uri="http://schemas.openxmlformats.org/drawingml/2006/picture">
                      <pic:pic xmlns:pic="http://schemas.openxmlformats.org/drawingml/2006/picture">
                        <pic:nvPicPr>
                          <pic:cNvPr id="668" name="IM 668"/>
                          <pic:cNvPicPr/>
                        </pic:nvPicPr>
                        <pic:blipFill>
                          <a:blip r:embed="rId586"/>
                          <a:stretch>
                            <a:fillRect/>
                          </a:stretch>
                        </pic:blipFill>
                        <pic:spPr>
                          <a:xfrm>
                            <a:off x="0" y="0"/>
                            <a:ext cx="2375534" cy="1781175"/>
                          </a:xfrm>
                          <a:prstGeom prst="rect">
                            <a:avLst/>
                          </a:prstGeom>
                        </pic:spPr>
                      </pic:pic>
                    </a:graphicData>
                  </a:graphic>
                </wp:inline>
              </w:drawing>
            </w:r>
          </w:p>
        </w:tc>
      </w:tr>
      <w:tr w14:paraId="1BA7EB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0" w:hRule="atLeast"/>
        </w:trPr>
        <w:tc>
          <w:tcPr>
            <w:tcW w:w="4482" w:type="dxa"/>
            <w:tcBorders>
              <w:left w:val="single" w:color="1C456A" w:sz="4" w:space="0"/>
              <w:bottom w:val="single" w:color="1C456A" w:sz="4" w:space="0"/>
            </w:tcBorders>
            <w:vAlign w:val="top"/>
          </w:tcPr>
          <w:p w14:paraId="19739B75">
            <w:pPr>
              <w:pStyle w:val="7"/>
              <w:spacing w:before="107" w:line="219" w:lineRule="auto"/>
              <w:ind w:left="1410"/>
            </w:pPr>
            <w:r>
              <w:pict>
                <v:shape id="_x0000_s1887" o:spid="_x0000_s1887" style="position:absolute;left:0pt;margin-left:-0.2pt;margin-top:31.5pt;height:0.75pt;width:2.2pt;mso-position-horizontal-relative:page;mso-position-vertical-relative:page;z-index:251867136;mso-width-relative:page;mso-height-relative:page;" fillcolor="#5B9BD5" filled="t" stroked="f" coordsize="44,15" path="m0,14l43,14,43,0,0,0,0,14xe">
                  <v:path/>
                  <v:fill on="t" focussize="0,0"/>
                  <v:stroke on="f"/>
                  <v:imagedata o:title=""/>
                  <o:lock v:ext="edit"/>
                </v:shape>
              </w:pict>
            </w:r>
            <w:r>
              <w:rPr>
                <w:spacing w:val="-19"/>
              </w:rPr>
              <w:t>场地平整施工图1</w:t>
            </w:r>
          </w:p>
        </w:tc>
        <w:tc>
          <w:tcPr>
            <w:tcW w:w="4075" w:type="dxa"/>
            <w:tcBorders>
              <w:bottom w:val="single" w:color="5B9BD5" w:sz="4" w:space="0"/>
              <w:right w:val="single" w:color="5B9BD5" w:sz="4" w:space="0"/>
            </w:tcBorders>
            <w:vAlign w:val="top"/>
          </w:tcPr>
          <w:p w14:paraId="2ED3FF32">
            <w:pPr>
              <w:pStyle w:val="7"/>
              <w:spacing w:before="107" w:line="219" w:lineRule="auto"/>
              <w:ind w:left="1192"/>
            </w:pPr>
            <w:r>
              <w:pict>
                <v:shape id="_x0000_s1888" o:spid="_x0000_s1888" style="position:absolute;left:0pt;margin-left:201.85pt;margin-top:31.5pt;height:0.75pt;width:2.2pt;mso-position-horizontal-relative:page;mso-position-vertical-relative:page;z-index:251866112;mso-width-relative:page;mso-height-relative:page;" fillcolor="#5B9BD5" filled="t" stroked="f" coordsize="44,15" path="m0,14l43,14,43,0,0,0,0,14xe">
                  <v:path/>
                  <v:fill on="t" focussize="0,0"/>
                  <v:stroke on="f"/>
                  <v:imagedata o:title=""/>
                  <o:lock v:ext="edit"/>
                </v:shape>
              </w:pict>
            </w:r>
            <w:r>
              <w:rPr>
                <w:spacing w:val="-14"/>
              </w:rPr>
              <w:t>场地平整施工图2</w:t>
            </w:r>
          </w:p>
        </w:tc>
      </w:tr>
    </w:tbl>
    <w:p w14:paraId="65EBE8A2">
      <w:pPr>
        <w:pStyle w:val="2"/>
        <w:spacing w:before="115" w:line="215" w:lineRule="auto"/>
        <w:ind w:left="1888"/>
        <w:rPr>
          <w:sz w:val="24"/>
          <w:szCs w:val="24"/>
        </w:rPr>
      </w:pPr>
      <w:r>
        <w:rPr>
          <w:spacing w:val="-14"/>
          <w:sz w:val="24"/>
          <w:szCs w:val="24"/>
        </w:rPr>
        <w:t>2.4、定点放样</w:t>
      </w:r>
    </w:p>
    <w:p w14:paraId="4285CFAA">
      <w:pPr>
        <w:pStyle w:val="2"/>
        <w:spacing w:before="119" w:line="262" w:lineRule="auto"/>
        <w:ind w:left="1457" w:right="1338" w:firstLine="431"/>
        <w:rPr>
          <w:sz w:val="24"/>
          <w:szCs w:val="24"/>
        </w:rPr>
      </w:pPr>
      <w:r>
        <w:rPr>
          <w:spacing w:val="-22"/>
          <w:sz w:val="24"/>
          <w:szCs w:val="24"/>
        </w:rPr>
        <w:t>2.4.1在绿化种植设计图上，标明了树木的种植</w:t>
      </w:r>
      <w:r>
        <w:rPr>
          <w:spacing w:val="-23"/>
          <w:sz w:val="24"/>
          <w:szCs w:val="24"/>
        </w:rPr>
        <w:t>位点。栽植施工时，先要核对设计图与现状地形，然后才开始定点放线。定点放线的方法可根据种植形式来确定。并且</w:t>
      </w:r>
      <w:r>
        <w:rPr>
          <w:spacing w:val="-24"/>
          <w:sz w:val="24"/>
          <w:szCs w:val="24"/>
        </w:rPr>
        <w:t>尽量做到按图施工。</w:t>
      </w:r>
    </w:p>
    <w:p w14:paraId="6A334E12">
      <w:pPr>
        <w:pStyle w:val="2"/>
        <w:spacing w:before="122" w:line="262" w:lineRule="auto"/>
        <w:ind w:left="1456" w:right="1427" w:firstLine="432"/>
        <w:rPr>
          <w:sz w:val="24"/>
          <w:szCs w:val="24"/>
        </w:rPr>
      </w:pPr>
      <w:r>
        <w:rPr>
          <w:spacing w:val="-23"/>
          <w:sz w:val="24"/>
          <w:szCs w:val="24"/>
        </w:rPr>
        <w:t>2.4.2在规则形状的地块上进行规则树木栽植，其放线定点所依据的基准点和基准线，可选</w:t>
      </w:r>
      <w:r>
        <w:rPr>
          <w:spacing w:val="-21"/>
          <w:sz w:val="24"/>
          <w:szCs w:val="24"/>
        </w:rPr>
        <w:t>用道路交叉点、中心线、规则形广场的边线等。</w:t>
      </w:r>
    </w:p>
    <w:p w14:paraId="65243890">
      <w:pPr>
        <w:pStyle w:val="2"/>
        <w:spacing w:before="114" w:line="290" w:lineRule="auto"/>
        <w:ind w:left="1458" w:right="1409" w:firstLine="430"/>
        <w:rPr>
          <w:sz w:val="24"/>
          <w:szCs w:val="24"/>
        </w:rPr>
      </w:pPr>
      <w:r>
        <w:rPr>
          <w:spacing w:val="-22"/>
          <w:sz w:val="24"/>
          <w:szCs w:val="24"/>
        </w:rPr>
        <w:t>2.4.3对于自然地形上按照自然式配植树木的情况，</w:t>
      </w:r>
      <w:r>
        <w:rPr>
          <w:spacing w:val="-23"/>
          <w:sz w:val="24"/>
          <w:szCs w:val="24"/>
        </w:rPr>
        <w:t>树木定点放线一般要采用坐标方格网方</w:t>
      </w:r>
      <w:r>
        <w:rPr>
          <w:spacing w:val="-20"/>
          <w:sz w:val="24"/>
          <w:szCs w:val="24"/>
        </w:rPr>
        <w:t>法。定点放线前，在种植设计图上绘出施工坐标方格网，然后用测量仪将方格网的每一个坐标点测设到地面，再钉下坐标桩。树木定点放线时，就依据各方格坐标桩，采用直线丈量和角度交会方法，测设出每一棵树木的栽植位点。对于灌木色块，可测定色块的边线，用石灰粉画出种植范围的挖掘线。</w:t>
      </w:r>
    </w:p>
    <w:p w14:paraId="66644C3F">
      <w:pPr>
        <w:pStyle w:val="2"/>
        <w:spacing w:before="117" w:line="217" w:lineRule="auto"/>
        <w:ind w:left="1888"/>
        <w:rPr>
          <w:sz w:val="24"/>
          <w:szCs w:val="24"/>
        </w:rPr>
      </w:pPr>
      <w:r>
        <w:rPr>
          <w:spacing w:val="-19"/>
          <w:sz w:val="24"/>
          <w:szCs w:val="24"/>
        </w:rPr>
        <w:t>2.5、挖掘种植穴、种植槽</w:t>
      </w:r>
    </w:p>
    <w:p w14:paraId="2AFC6CAE">
      <w:pPr>
        <w:spacing w:line="217" w:lineRule="auto"/>
        <w:rPr>
          <w:sz w:val="24"/>
          <w:szCs w:val="24"/>
        </w:rPr>
        <w:sectPr>
          <w:footerReference r:id="rId117" w:type="default"/>
          <w:pgSz w:w="11907" w:h="16839"/>
          <w:pgMar w:top="954" w:right="4" w:bottom="1038" w:left="0" w:header="499" w:footer="357" w:gutter="0"/>
          <w:pgBorders>
            <w:top w:val="none" w:sz="0" w:space="0"/>
            <w:left w:val="none" w:sz="0" w:space="0"/>
            <w:bottom w:val="none" w:sz="0" w:space="0"/>
            <w:right w:val="none" w:sz="0" w:space="0"/>
          </w:pgBorders>
          <w:cols w:space="720" w:num="1"/>
        </w:sectPr>
      </w:pPr>
    </w:p>
    <w:p w14:paraId="350EB287">
      <w:pPr>
        <w:spacing w:line="248" w:lineRule="auto"/>
        <w:rPr>
          <w:rFonts w:ascii="Arial"/>
          <w:sz w:val="21"/>
        </w:rPr>
      </w:pPr>
    </w:p>
    <w:p w14:paraId="3D390330">
      <w:pPr>
        <w:pStyle w:val="2"/>
        <w:spacing w:before="78" w:line="308" w:lineRule="auto"/>
        <w:ind w:left="1447" w:right="1410" w:firstLine="440"/>
        <w:jc w:val="both"/>
        <w:rPr>
          <w:sz w:val="24"/>
          <w:szCs w:val="24"/>
        </w:rPr>
      </w:pPr>
      <w:r>
        <w:rPr>
          <w:spacing w:val="-18"/>
          <w:sz w:val="24"/>
          <w:szCs w:val="24"/>
        </w:rPr>
        <w:t>2.5.1树坑质量要求：树穴应垂直下挖，上下口径一致。树坑直径不小于苗</w:t>
      </w:r>
      <w:r>
        <w:rPr>
          <w:spacing w:val="-19"/>
          <w:sz w:val="24"/>
          <w:szCs w:val="24"/>
        </w:rPr>
        <w:t>木土球直径加</w:t>
      </w:r>
      <w:r>
        <w:rPr>
          <w:spacing w:val="-14"/>
          <w:sz w:val="24"/>
          <w:szCs w:val="24"/>
        </w:rPr>
        <w:t>40cm,深度不小于苗木土球高度加30Cm并且不小于160cm。行道树树穴规格原则上要求达到</w:t>
      </w:r>
      <w:r>
        <w:rPr>
          <w:spacing w:val="-16"/>
          <w:sz w:val="24"/>
          <w:szCs w:val="24"/>
        </w:rPr>
        <w:t>1.6mx1.6mx1.6m，特殊情况不得低于1.2mx1.2mx</w:t>
      </w:r>
      <w:r>
        <w:rPr>
          <w:spacing w:val="-17"/>
          <w:sz w:val="24"/>
          <w:szCs w:val="24"/>
        </w:rPr>
        <w:t>1.2m。若树穴开挖时遇到水稳等建筑废料，则</w:t>
      </w:r>
      <w:r>
        <w:rPr>
          <w:spacing w:val="-20"/>
          <w:sz w:val="24"/>
          <w:szCs w:val="24"/>
        </w:rPr>
        <w:t>必须清挖至原土层为止。树坑挖至合格要求后，及时提交监理单位现场验收，经监理单位签字确认合格后方可进行下道工序施工。</w:t>
      </w:r>
    </w:p>
    <w:p w14:paraId="6FD7E107">
      <w:pPr>
        <w:pStyle w:val="2"/>
        <w:spacing w:before="4" w:line="307" w:lineRule="auto"/>
        <w:ind w:left="1455" w:right="1411" w:firstLine="432"/>
        <w:jc w:val="both"/>
        <w:rPr>
          <w:sz w:val="24"/>
          <w:szCs w:val="24"/>
        </w:rPr>
      </w:pPr>
      <w:r>
        <w:rPr>
          <w:spacing w:val="-22"/>
          <w:sz w:val="24"/>
          <w:szCs w:val="24"/>
        </w:rPr>
        <w:t>2.5.2种植穴的形状：应为直筒状。在栽植苗木</w:t>
      </w:r>
      <w:r>
        <w:rPr>
          <w:spacing w:val="-23"/>
          <w:sz w:val="24"/>
          <w:szCs w:val="24"/>
        </w:rPr>
        <w:t>之前，以所定放样点位置为中心向四周向下</w:t>
      </w:r>
      <w:r>
        <w:rPr>
          <w:spacing w:val="-20"/>
          <w:sz w:val="24"/>
          <w:szCs w:val="24"/>
        </w:rPr>
        <w:t>挖穴，上下的挖口口径大小一致。穴底挖平后把底土稍耙细，保持平底状。穴底不能挖成尖底状或锅底状。在斜坡上挖穴时，应先将坡面铲成平台，然后再挖种植穴，穴深按穴口的下沿计</w:t>
      </w:r>
      <w:r>
        <w:rPr>
          <w:spacing w:val="-18"/>
          <w:sz w:val="24"/>
          <w:szCs w:val="24"/>
        </w:rPr>
        <w:t>算。</w:t>
      </w:r>
    </w:p>
    <w:p w14:paraId="1AB39D49">
      <w:pPr>
        <w:pStyle w:val="2"/>
        <w:spacing w:before="3" w:line="307" w:lineRule="auto"/>
        <w:ind w:left="1455" w:right="1411" w:firstLine="432"/>
        <w:jc w:val="both"/>
        <w:rPr>
          <w:sz w:val="24"/>
          <w:szCs w:val="24"/>
        </w:rPr>
      </w:pPr>
      <w:r>
        <w:rPr>
          <w:spacing w:val="-22"/>
          <w:sz w:val="24"/>
          <w:szCs w:val="24"/>
        </w:rPr>
        <w:t>2.5.3种植穴的修整：在土质疏松的地方挖出的</w:t>
      </w:r>
      <w:r>
        <w:rPr>
          <w:spacing w:val="-23"/>
          <w:sz w:val="24"/>
          <w:szCs w:val="24"/>
        </w:rPr>
        <w:t>种植穴，在栽树前应先用水浸穴，使穴内土</w:t>
      </w:r>
      <w:r>
        <w:rPr>
          <w:spacing w:val="-21"/>
          <w:sz w:val="24"/>
          <w:szCs w:val="24"/>
        </w:rPr>
        <w:t>壤先行沉降，以免栽树后沉降使树木歪斜。浸穴的水量，以一次灌到穴深的2/3处为宜。浸穴时如发现有漏水的地方，应及时堵塞。待穴中全部均匀地浸透以</w:t>
      </w:r>
      <w:r>
        <w:rPr>
          <w:spacing w:val="-22"/>
          <w:sz w:val="24"/>
          <w:szCs w:val="24"/>
        </w:rPr>
        <w:t>后，才能开始种树。</w:t>
      </w:r>
    </w:p>
    <w:p w14:paraId="48B4663E">
      <w:pPr>
        <w:pStyle w:val="2"/>
        <w:spacing w:before="2" w:line="307" w:lineRule="auto"/>
        <w:ind w:left="1457" w:right="1410" w:firstLine="431"/>
        <w:jc w:val="both"/>
        <w:rPr>
          <w:sz w:val="24"/>
          <w:szCs w:val="24"/>
        </w:rPr>
      </w:pPr>
      <w:r>
        <w:rPr>
          <w:spacing w:val="-19"/>
          <w:sz w:val="24"/>
          <w:szCs w:val="24"/>
        </w:rPr>
        <w:t>2.5.4施基肥：挖好后，要在穴内填些表土</w:t>
      </w:r>
      <w:r>
        <w:rPr>
          <w:spacing w:val="-20"/>
          <w:sz w:val="24"/>
          <w:szCs w:val="24"/>
        </w:rPr>
        <w:t>至10-20cm，或先在穴底垫基肥，基肥一定要经</w:t>
      </w:r>
      <w:r>
        <w:rPr>
          <w:spacing w:val="-21"/>
          <w:sz w:val="24"/>
          <w:szCs w:val="24"/>
        </w:rPr>
        <w:t>过充分腐熟的有机肥。基肥上还应当铺一层壤土，厚度5cm以上，以防根部直接与肥料接触烧</w:t>
      </w:r>
      <w:r>
        <w:rPr>
          <w:spacing w:val="-15"/>
          <w:sz w:val="24"/>
          <w:szCs w:val="24"/>
        </w:rPr>
        <w:t>伤根系。</w:t>
      </w:r>
    </w:p>
    <w:p w14:paraId="3E0D6707">
      <w:pPr>
        <w:pStyle w:val="2"/>
        <w:spacing w:line="216" w:lineRule="auto"/>
        <w:ind w:left="1888"/>
        <w:rPr>
          <w:sz w:val="24"/>
          <w:szCs w:val="24"/>
        </w:rPr>
      </w:pPr>
      <w:r>
        <w:rPr>
          <w:spacing w:val="-17"/>
          <w:sz w:val="24"/>
          <w:szCs w:val="24"/>
        </w:rPr>
        <w:t>2.6、苗木装卸与运输</w:t>
      </w:r>
    </w:p>
    <w:p w14:paraId="68C02341">
      <w:pPr>
        <w:pStyle w:val="2"/>
        <w:spacing w:before="118" w:line="262" w:lineRule="auto"/>
        <w:ind w:left="1459" w:right="1410" w:firstLine="429"/>
        <w:rPr>
          <w:sz w:val="24"/>
          <w:szCs w:val="24"/>
        </w:rPr>
      </w:pPr>
      <w:r>
        <w:rPr>
          <w:spacing w:val="-21"/>
          <w:sz w:val="24"/>
          <w:szCs w:val="24"/>
        </w:rPr>
        <w:t>2.6.1单株苗木，必须带原土栽植，本工程苗木规格种类多、数量大，土球直径一般为树木</w:t>
      </w:r>
      <w:r>
        <w:rPr>
          <w:spacing w:val="-19"/>
          <w:sz w:val="24"/>
          <w:szCs w:val="24"/>
        </w:rPr>
        <w:t>底径8-12倍，用草袋或草绳包装牢固，树冠捆扎好，防止折断。</w:t>
      </w:r>
    </w:p>
    <w:p w14:paraId="1FB7F2E8">
      <w:pPr>
        <w:pStyle w:val="2"/>
        <w:spacing w:before="120" w:line="263" w:lineRule="auto"/>
        <w:ind w:left="1458" w:right="1412" w:firstLine="430"/>
        <w:rPr>
          <w:sz w:val="24"/>
          <w:szCs w:val="24"/>
        </w:rPr>
      </w:pPr>
      <w:r>
        <w:rPr>
          <w:spacing w:val="-22"/>
          <w:sz w:val="24"/>
          <w:szCs w:val="24"/>
        </w:rPr>
        <w:t>2.6.2裸根苗木，应将根部浸入调制的泥浆中，等</w:t>
      </w:r>
      <w:r>
        <w:rPr>
          <w:spacing w:val="-23"/>
          <w:sz w:val="24"/>
          <w:szCs w:val="24"/>
        </w:rPr>
        <w:t>粘满泥浆后取出必须衬以青苔或草类，用</w:t>
      </w:r>
      <w:r>
        <w:rPr>
          <w:spacing w:val="-19"/>
          <w:sz w:val="24"/>
          <w:szCs w:val="24"/>
        </w:rPr>
        <w:t>竹筐或草袋包装。</w:t>
      </w:r>
    </w:p>
    <w:p w14:paraId="7015FF36">
      <w:pPr>
        <w:pStyle w:val="2"/>
        <w:spacing w:before="115" w:line="263" w:lineRule="auto"/>
        <w:ind w:left="1459" w:right="1410" w:firstLine="429"/>
        <w:rPr>
          <w:sz w:val="24"/>
          <w:szCs w:val="24"/>
        </w:rPr>
      </w:pPr>
      <w:r>
        <w:rPr>
          <w:spacing w:val="-22"/>
          <w:sz w:val="24"/>
          <w:szCs w:val="24"/>
        </w:rPr>
        <w:t>2.6.3所有的乔木、灌木和草皮等植物，在运输过程</w:t>
      </w:r>
      <w:r>
        <w:rPr>
          <w:spacing w:val="-23"/>
          <w:sz w:val="24"/>
          <w:szCs w:val="24"/>
        </w:rPr>
        <w:t>中都要用湿麻袋、帐棚布或其他适合的</w:t>
      </w:r>
      <w:r>
        <w:rPr>
          <w:spacing w:val="-21"/>
          <w:sz w:val="24"/>
          <w:szCs w:val="24"/>
        </w:rPr>
        <w:t>覆盖，防止大风和恶劣气候的损害。</w:t>
      </w:r>
    </w:p>
    <w:p w14:paraId="46979B93">
      <w:pPr>
        <w:spacing w:line="29" w:lineRule="auto"/>
        <w:rPr>
          <w:rFonts w:ascii="Arial"/>
          <w:sz w:val="2"/>
        </w:rPr>
      </w:pPr>
    </w:p>
    <w:tbl>
      <w:tblPr>
        <w:tblStyle w:val="6"/>
        <w:tblW w:w="8557" w:type="dxa"/>
        <w:tblInd w:w="167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374"/>
        <w:gridCol w:w="4183"/>
      </w:tblGrid>
      <w:tr w14:paraId="15640A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807" w:hRule="atLeast"/>
        </w:trPr>
        <w:tc>
          <w:tcPr>
            <w:tcW w:w="4374" w:type="dxa"/>
            <w:tcBorders>
              <w:top w:val="single" w:color="000000" w:sz="4" w:space="0"/>
              <w:left w:val="single" w:color="000000" w:sz="4" w:space="0"/>
            </w:tcBorders>
            <w:shd w:val="clear" w:color="auto" w:fill="DEEAF6"/>
            <w:vAlign w:val="top"/>
          </w:tcPr>
          <w:p w14:paraId="22093750">
            <w:pPr>
              <w:spacing w:before="88" w:line="2506" w:lineRule="exact"/>
              <w:ind w:firstLine="69"/>
            </w:pPr>
            <w:r>
              <w:pict>
                <v:group id="_x0000_s1889" o:spid="_x0000_s1889" o:spt="203" style="position:absolute;left:0pt;margin-left:-0.2pt;margin-top:0.05pt;height:141.05pt;width:218.45pt;mso-position-horizontal-relative:page;mso-position-vertical-relative:page;z-index:251869184;mso-width-relative:page;mso-height-relative:page;" coordsize="4368,2821">
                  <o:lock v:ext="edit"/>
                  <v:group id="_x0000_s1890" o:spid="_x0000_s1890" o:spt="203" style="position:absolute;left:0;top:0;height:103;width:4363;" coordsize="4363,103">
                    <o:lock v:ext="edit"/>
                    <v:shape id="_x0000_s1891" o:spid="_x0000_s1891" style="position:absolute;left:0;top:0;height:15;width:44;" fillcolor="#5B9BD5" filled="t" stroked="f" coordsize="44,15" path="m0,14l43,14,43,0,0,0,0,14xe">
                      <v:path/>
                      <v:fill on="t" focussize="0,0"/>
                      <v:stroke on="f"/>
                      <v:imagedata o:title=""/>
                      <o:lock v:ext="edit"/>
                    </v:shape>
                    <v:shape id="_x0000_s1892" o:spid="_x0000_s1892" style="position:absolute;left:43;top:43;height:60;width:4321;" fillcolor="#DEEAF6" filled="t" stroked="f" coordsize="4321,60" path="m0,60l4320,60,4320,0,0,0,0,60xe">
                      <v:path/>
                      <v:fill on="t" focussize="0,0"/>
                      <v:stroke on="f"/>
                      <v:imagedata o:title=""/>
                      <o:lock v:ext="edit"/>
                    </v:shape>
                  </v:group>
                  <v:shape id="_x0000_s1893" o:spid="_x0000_s1893" style="position:absolute;left:21;top:2762;height:58;width:4347;" fillcolor="#DEEAF6" filled="t" stroked="f" coordsize="4347,58" path="m0,57l4346,57,4346,0,0,0,0,57xe">
                    <v:path/>
                    <v:fill on="t" focussize="0,0"/>
                    <v:stroke on="f"/>
                    <v:imagedata o:title=""/>
                    <o:lock v:ext="edit"/>
                  </v:shape>
                </v:group>
              </w:pict>
            </w:r>
            <w:r>
              <w:rPr>
                <w:position w:val="-50"/>
              </w:rPr>
              <w:drawing>
                <wp:inline distT="0" distB="0" distL="0" distR="0">
                  <wp:extent cx="2695575" cy="1591310"/>
                  <wp:effectExtent l="0" t="0" r="0" b="0"/>
                  <wp:docPr id="672" name="IM 672"/>
                  <wp:cNvGraphicFramePr/>
                  <a:graphic xmlns:a="http://schemas.openxmlformats.org/drawingml/2006/main">
                    <a:graphicData uri="http://schemas.openxmlformats.org/drawingml/2006/picture">
                      <pic:pic xmlns:pic="http://schemas.openxmlformats.org/drawingml/2006/picture">
                        <pic:nvPicPr>
                          <pic:cNvPr id="672" name="IM 672"/>
                          <pic:cNvPicPr/>
                        </pic:nvPicPr>
                        <pic:blipFill>
                          <a:blip r:embed="rId587"/>
                          <a:stretch>
                            <a:fillRect/>
                          </a:stretch>
                        </pic:blipFill>
                        <pic:spPr>
                          <a:xfrm>
                            <a:off x="0" y="0"/>
                            <a:ext cx="2695575" cy="1591310"/>
                          </a:xfrm>
                          <a:prstGeom prst="rect">
                            <a:avLst/>
                          </a:prstGeom>
                        </pic:spPr>
                      </pic:pic>
                    </a:graphicData>
                  </a:graphic>
                </wp:inline>
              </w:drawing>
            </w:r>
          </w:p>
        </w:tc>
        <w:tc>
          <w:tcPr>
            <w:tcW w:w="4183" w:type="dxa"/>
            <w:tcBorders>
              <w:top w:val="single" w:color="5B9BD5" w:sz="4" w:space="0"/>
              <w:right w:val="single" w:color="5B9BD5" w:sz="4" w:space="0"/>
            </w:tcBorders>
            <w:shd w:val="clear" w:color="auto" w:fill="DEEAF6"/>
            <w:vAlign w:val="top"/>
          </w:tcPr>
          <w:p w14:paraId="65D6FE7A">
            <w:pPr>
              <w:spacing w:line="93" w:lineRule="exact"/>
              <w:ind w:firstLine="25"/>
            </w:pPr>
            <w:r>
              <w:rPr>
                <w:position w:val="-1"/>
              </w:rPr>
              <w:pict>
                <v:group id="_x0000_s1894" o:spid="_x0000_s1894" o:spt="203" style="height:5.2pt;width:208.05pt;" coordsize="4161,103">
                  <o:lock v:ext="edit"/>
                  <v:shape id="_x0000_s1895" o:spid="_x0000_s1895" style="position:absolute;left:0;top:43;height:60;width:4117;" fillcolor="#DEEAF6" filled="t" stroked="f" coordsize="4117,60" path="m0,60l4117,60,4117,0,0,0,0,60xe">
                    <v:path/>
                    <v:fill on="t" focussize="0,0"/>
                    <v:stroke on="f"/>
                    <v:imagedata o:title=""/>
                    <o:lock v:ext="edit"/>
                  </v:shape>
                  <v:shape id="_x0000_s1896" o:spid="_x0000_s1896" style="position:absolute;left:4117;top:0;height:15;width:44;" fillcolor="#5B9BD5" filled="t" stroked="f" coordsize="44,15" path="m0,14l43,14,43,0,0,0,0,14xe">
                    <v:path/>
                    <v:fill on="t" focussize="0,0"/>
                    <v:stroke on="f"/>
                    <v:imagedata o:title=""/>
                    <o:lock v:ext="edit"/>
                  </v:shape>
                  <w10:wrap type="none"/>
                  <w10:anchorlock/>
                </v:group>
              </w:pict>
            </w:r>
          </w:p>
          <w:p w14:paraId="4C7BBE9B">
            <w:pPr>
              <w:spacing w:before="55" w:line="2386" w:lineRule="exact"/>
              <w:ind w:firstLine="137"/>
            </w:pPr>
            <w:r>
              <w:rPr>
                <w:position w:val="-47"/>
              </w:rPr>
              <w:drawing>
                <wp:inline distT="0" distB="0" distL="0" distR="0">
                  <wp:extent cx="2457450" cy="1515110"/>
                  <wp:effectExtent l="0" t="0" r="0" b="0"/>
                  <wp:docPr id="674" name="IM 674"/>
                  <wp:cNvGraphicFramePr/>
                  <a:graphic xmlns:a="http://schemas.openxmlformats.org/drawingml/2006/main">
                    <a:graphicData uri="http://schemas.openxmlformats.org/drawingml/2006/picture">
                      <pic:pic xmlns:pic="http://schemas.openxmlformats.org/drawingml/2006/picture">
                        <pic:nvPicPr>
                          <pic:cNvPr id="674" name="IM 674"/>
                          <pic:cNvPicPr/>
                        </pic:nvPicPr>
                        <pic:blipFill>
                          <a:blip r:embed="rId588"/>
                          <a:stretch>
                            <a:fillRect/>
                          </a:stretch>
                        </pic:blipFill>
                        <pic:spPr>
                          <a:xfrm>
                            <a:off x="0" y="0"/>
                            <a:ext cx="2458084" cy="1515110"/>
                          </a:xfrm>
                          <a:prstGeom prst="rect">
                            <a:avLst/>
                          </a:prstGeom>
                        </pic:spPr>
                      </pic:pic>
                    </a:graphicData>
                  </a:graphic>
                </wp:inline>
              </w:drawing>
            </w:r>
          </w:p>
          <w:p w14:paraId="74D4EDE9">
            <w:pPr>
              <w:spacing w:before="218" w:line="44" w:lineRule="exact"/>
            </w:pPr>
            <w:r>
              <w:rPr>
                <w:position w:val="-2"/>
              </w:rPr>
              <w:pict>
                <v:shape id="_x0000_s1897" o:spid="_x0000_s1897" style="height:2.9pt;width:208.9pt;" fillcolor="#DEEAF6" filled="t" stroked="f" coordsize="4177,58" path="m0,57l4177,57,4177,0,0,0,0,57xe">
                  <v:path/>
                  <v:fill on="t" focussize="0,0"/>
                  <v:stroke on="f"/>
                  <v:imagedata o:title=""/>
                  <o:lock v:ext="edit"/>
                  <w10:wrap type="none"/>
                  <w10:anchorlock/>
                </v:shape>
              </w:pict>
            </w:r>
          </w:p>
        </w:tc>
      </w:tr>
      <w:tr w14:paraId="5C52C2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4" w:hRule="atLeast"/>
        </w:trPr>
        <w:tc>
          <w:tcPr>
            <w:tcW w:w="4374" w:type="dxa"/>
            <w:tcBorders>
              <w:left w:val="single" w:color="1C456A" w:sz="4" w:space="0"/>
              <w:bottom w:val="single" w:color="1C456A" w:sz="4" w:space="0"/>
            </w:tcBorders>
            <w:vAlign w:val="top"/>
          </w:tcPr>
          <w:p w14:paraId="167BC4A8">
            <w:pPr>
              <w:pStyle w:val="7"/>
              <w:spacing w:before="102" w:line="217" w:lineRule="auto"/>
              <w:ind w:left="1137"/>
            </w:pPr>
            <w:r>
              <w:pict>
                <v:shape id="_x0000_s1898" o:spid="_x0000_s1898" style="position:absolute;left:0pt;margin-left:-0.2pt;margin-top:31.25pt;height:0.75pt;width:2.2pt;mso-position-horizontal-relative:page;mso-position-vertical-relative:page;z-index:251868160;mso-width-relative:page;mso-height-relative:page;" fillcolor="#5B9BD5" filled="t" stroked="f" coordsize="44,15" path="m0,14l43,14,43,0,0,0,0,14xe">
                  <v:path/>
                  <v:fill on="t" focussize="0,0"/>
                  <v:stroke on="f"/>
                  <v:imagedata o:title=""/>
                  <o:lock v:ext="edit"/>
                </v:shape>
              </w:pict>
            </w:r>
            <w:r>
              <w:rPr>
                <w:spacing w:val="-20"/>
              </w:rPr>
              <w:t>施工现场苗木吊装图1</w:t>
            </w:r>
          </w:p>
        </w:tc>
        <w:tc>
          <w:tcPr>
            <w:tcW w:w="4183" w:type="dxa"/>
            <w:tcBorders>
              <w:bottom w:val="single" w:color="5B9BD5" w:sz="4" w:space="0"/>
              <w:right w:val="single" w:color="5B9BD5" w:sz="4" w:space="0"/>
            </w:tcBorders>
            <w:vAlign w:val="top"/>
          </w:tcPr>
          <w:p w14:paraId="2C85D585">
            <w:pPr>
              <w:pStyle w:val="7"/>
              <w:spacing w:before="102" w:line="217" w:lineRule="auto"/>
              <w:ind w:left="1027"/>
            </w:pPr>
            <w:r>
              <w:pict>
                <v:shape id="_x0000_s1899" o:spid="_x0000_s1899" style="position:absolute;left:0pt;margin-left:207.25pt;margin-top:31.25pt;height:0.75pt;width:2.2pt;mso-position-horizontal-relative:page;mso-position-vertical-relative:page;z-index:251870208;mso-width-relative:page;mso-height-relative:page;" fillcolor="#5B9BD5" filled="t" stroked="f" coordsize="44,15" path="m0,14l43,14,43,0,0,0,0,14xe">
                  <v:path/>
                  <v:fill on="t" focussize="0,0"/>
                  <v:stroke on="f"/>
                  <v:imagedata o:title=""/>
                  <o:lock v:ext="edit"/>
                </v:shape>
              </w:pict>
            </w:r>
            <w:r>
              <w:rPr>
                <w:spacing w:val="-16"/>
              </w:rPr>
              <w:t>施工现场苗木吊装图2</w:t>
            </w:r>
          </w:p>
        </w:tc>
      </w:tr>
    </w:tbl>
    <w:p w14:paraId="2D2BC779">
      <w:pPr>
        <w:rPr>
          <w:rFonts w:ascii="Arial"/>
          <w:sz w:val="21"/>
        </w:rPr>
      </w:pPr>
    </w:p>
    <w:p w14:paraId="39305FCD">
      <w:pPr>
        <w:rPr>
          <w:rFonts w:ascii="Arial" w:hAnsi="Arial" w:eastAsia="Arial" w:cs="Arial"/>
          <w:sz w:val="21"/>
          <w:szCs w:val="21"/>
        </w:rPr>
        <w:sectPr>
          <w:footerReference r:id="rId118" w:type="default"/>
          <w:pgSz w:w="11907" w:h="16839"/>
          <w:pgMar w:top="954" w:right="4" w:bottom="1038" w:left="0" w:header="499" w:footer="357" w:gutter="0"/>
          <w:pgBorders>
            <w:top w:val="none" w:sz="0" w:space="0"/>
            <w:left w:val="none" w:sz="0" w:space="0"/>
            <w:bottom w:val="none" w:sz="0" w:space="0"/>
            <w:right w:val="none" w:sz="0" w:space="0"/>
          </w:pgBorders>
          <w:cols w:space="720" w:num="1"/>
        </w:sectPr>
      </w:pPr>
    </w:p>
    <w:p w14:paraId="5C1503D2">
      <w:pPr>
        <w:spacing w:line="214" w:lineRule="exact"/>
      </w:pPr>
    </w:p>
    <w:tbl>
      <w:tblPr>
        <w:tblStyle w:val="6"/>
        <w:tblW w:w="8557" w:type="dxa"/>
        <w:tblInd w:w="167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363"/>
        <w:gridCol w:w="4194"/>
      </w:tblGrid>
      <w:tr w14:paraId="37C3AF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36" w:hRule="atLeast"/>
        </w:trPr>
        <w:tc>
          <w:tcPr>
            <w:tcW w:w="4363" w:type="dxa"/>
            <w:tcBorders>
              <w:top w:val="single" w:color="000000" w:sz="4" w:space="0"/>
              <w:left w:val="single" w:color="000000" w:sz="4" w:space="0"/>
            </w:tcBorders>
            <w:vAlign w:val="top"/>
          </w:tcPr>
          <w:p w14:paraId="3B9EB5A2">
            <w:pPr>
              <w:spacing w:before="98" w:line="3225" w:lineRule="exact"/>
              <w:ind w:firstLine="165"/>
            </w:pPr>
            <w:r>
              <w:rPr>
                <w:position w:val="-64"/>
              </w:rPr>
              <w:drawing>
                <wp:inline distT="0" distB="0" distL="0" distR="0">
                  <wp:extent cx="2564130" cy="2047875"/>
                  <wp:effectExtent l="0" t="0" r="0" b="0"/>
                  <wp:docPr id="678" name="IM 678"/>
                  <wp:cNvGraphicFramePr/>
                  <a:graphic xmlns:a="http://schemas.openxmlformats.org/drawingml/2006/main">
                    <a:graphicData uri="http://schemas.openxmlformats.org/drawingml/2006/picture">
                      <pic:pic xmlns:pic="http://schemas.openxmlformats.org/drawingml/2006/picture">
                        <pic:nvPicPr>
                          <pic:cNvPr id="678" name="IM 678"/>
                          <pic:cNvPicPr/>
                        </pic:nvPicPr>
                        <pic:blipFill>
                          <a:blip r:embed="rId589"/>
                          <a:stretch>
                            <a:fillRect/>
                          </a:stretch>
                        </pic:blipFill>
                        <pic:spPr>
                          <a:xfrm>
                            <a:off x="0" y="0"/>
                            <a:ext cx="2564764" cy="2047875"/>
                          </a:xfrm>
                          <a:prstGeom prst="rect">
                            <a:avLst/>
                          </a:prstGeom>
                        </pic:spPr>
                      </pic:pic>
                    </a:graphicData>
                  </a:graphic>
                </wp:inline>
              </w:drawing>
            </w:r>
          </w:p>
        </w:tc>
        <w:tc>
          <w:tcPr>
            <w:tcW w:w="4194" w:type="dxa"/>
            <w:tcBorders>
              <w:top w:val="single" w:color="5B9BD5" w:sz="4" w:space="0"/>
              <w:right w:val="single" w:color="5B9BD5" w:sz="4" w:space="0"/>
            </w:tcBorders>
            <w:vAlign w:val="top"/>
          </w:tcPr>
          <w:p w14:paraId="264F68D4">
            <w:pPr>
              <w:spacing w:before="112" w:line="3195" w:lineRule="exact"/>
              <w:ind w:firstLine="54"/>
            </w:pPr>
            <w:r>
              <w:rPr>
                <w:position w:val="-63"/>
              </w:rPr>
              <w:drawing>
                <wp:inline distT="0" distB="0" distL="0" distR="0">
                  <wp:extent cx="2590800" cy="2028825"/>
                  <wp:effectExtent l="0" t="0" r="0" b="0"/>
                  <wp:docPr id="680" name="IM 680"/>
                  <wp:cNvGraphicFramePr/>
                  <a:graphic xmlns:a="http://schemas.openxmlformats.org/drawingml/2006/main">
                    <a:graphicData uri="http://schemas.openxmlformats.org/drawingml/2006/picture">
                      <pic:pic xmlns:pic="http://schemas.openxmlformats.org/drawingml/2006/picture">
                        <pic:nvPicPr>
                          <pic:cNvPr id="680" name="IM 680"/>
                          <pic:cNvPicPr/>
                        </pic:nvPicPr>
                        <pic:blipFill>
                          <a:blip r:embed="rId590"/>
                          <a:stretch>
                            <a:fillRect/>
                          </a:stretch>
                        </pic:blipFill>
                        <pic:spPr>
                          <a:xfrm>
                            <a:off x="0" y="0"/>
                            <a:ext cx="2590800" cy="2028825"/>
                          </a:xfrm>
                          <a:prstGeom prst="rect">
                            <a:avLst/>
                          </a:prstGeom>
                        </pic:spPr>
                      </pic:pic>
                    </a:graphicData>
                  </a:graphic>
                </wp:inline>
              </w:drawing>
            </w:r>
          </w:p>
        </w:tc>
      </w:tr>
      <w:tr w14:paraId="5381C7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5" w:hRule="atLeast"/>
        </w:trPr>
        <w:tc>
          <w:tcPr>
            <w:tcW w:w="4363" w:type="dxa"/>
            <w:tcBorders>
              <w:left w:val="single" w:color="1C456A" w:sz="4" w:space="0"/>
              <w:bottom w:val="single" w:color="1C456A" w:sz="4" w:space="0"/>
            </w:tcBorders>
            <w:vAlign w:val="top"/>
          </w:tcPr>
          <w:p w14:paraId="1F8FD6D4">
            <w:pPr>
              <w:pStyle w:val="7"/>
              <w:spacing w:before="102" w:line="217" w:lineRule="auto"/>
              <w:ind w:left="1579"/>
            </w:pPr>
            <w:r>
              <w:pict>
                <v:shape id="_x0000_s1900" o:spid="_x0000_s1900" style="position:absolute;left:0pt;margin-left:-0.2pt;margin-top:31.25pt;height:0.75pt;width:2.2pt;mso-position-horizontal-relative:page;mso-position-vertical-relative:page;z-index:251872256;mso-width-relative:page;mso-height-relative:page;" fillcolor="#5B9BD5" filled="t" stroked="f" coordsize="44,15" path="m0,14l43,14,43,0,0,0,0,14xe">
                  <v:path/>
                  <v:fill on="t" focussize="0,0"/>
                  <v:stroke on="f"/>
                  <v:imagedata o:title=""/>
                  <o:lock v:ext="edit"/>
                </v:shape>
              </w:pict>
            </w:r>
            <w:r>
              <w:rPr>
                <w:spacing w:val="-13"/>
              </w:rPr>
              <w:t>乔木运输图1</w:t>
            </w:r>
          </w:p>
        </w:tc>
        <w:tc>
          <w:tcPr>
            <w:tcW w:w="4194" w:type="dxa"/>
            <w:tcBorders>
              <w:bottom w:val="single" w:color="5B9BD5" w:sz="4" w:space="0"/>
              <w:right w:val="single" w:color="5B9BD5" w:sz="4" w:space="0"/>
            </w:tcBorders>
            <w:vAlign w:val="top"/>
          </w:tcPr>
          <w:p w14:paraId="64211B89">
            <w:pPr>
              <w:pStyle w:val="7"/>
              <w:spacing w:before="102" w:line="217" w:lineRule="auto"/>
              <w:ind w:left="1479"/>
            </w:pPr>
            <w:r>
              <w:pict>
                <v:shape id="_x0000_s1901" o:spid="_x0000_s1901" style="position:absolute;left:0pt;margin-left:207.8pt;margin-top:31.25pt;height:0.75pt;width:2.2pt;mso-position-horizontal-relative:page;mso-position-vertical-relative:page;z-index:251871232;mso-width-relative:page;mso-height-relative:page;" fillcolor="#5B9BD5" filled="t" stroked="f" coordsize="44,15" path="m0,14l43,14,43,0,0,0,0,14xe">
                  <v:path/>
                  <v:fill on="t" focussize="0,0"/>
                  <v:stroke on="f"/>
                  <v:imagedata o:title=""/>
                  <o:lock v:ext="edit"/>
                </v:shape>
              </w:pict>
            </w:r>
            <w:r>
              <w:rPr>
                <w:spacing w:val="-12"/>
              </w:rPr>
              <w:t>乔木运输图2</w:t>
            </w:r>
          </w:p>
        </w:tc>
      </w:tr>
    </w:tbl>
    <w:p w14:paraId="4D3A766F">
      <w:pPr>
        <w:pStyle w:val="2"/>
        <w:spacing w:before="114" w:line="217" w:lineRule="auto"/>
        <w:ind w:left="1888"/>
        <w:rPr>
          <w:sz w:val="24"/>
          <w:szCs w:val="24"/>
        </w:rPr>
      </w:pPr>
      <w:r>
        <w:rPr>
          <w:spacing w:val="-15"/>
          <w:sz w:val="24"/>
          <w:szCs w:val="24"/>
        </w:rPr>
        <w:t>2.7、种植前修剪</w:t>
      </w:r>
    </w:p>
    <w:p w14:paraId="455A2D1D">
      <w:pPr>
        <w:pStyle w:val="2"/>
        <w:spacing w:before="119" w:line="307" w:lineRule="auto"/>
        <w:ind w:left="1458" w:right="1409" w:firstLine="436"/>
        <w:rPr>
          <w:sz w:val="24"/>
          <w:szCs w:val="24"/>
        </w:rPr>
      </w:pPr>
      <w:r>
        <w:rPr>
          <w:spacing w:val="-20"/>
          <w:sz w:val="24"/>
          <w:szCs w:val="24"/>
        </w:rPr>
        <w:t>种植前修剪是否合理是保证树木移植成活的重要关键。因此在不影响树姿的原则下，要进</w:t>
      </w:r>
      <w:r>
        <w:rPr>
          <w:spacing w:val="-21"/>
          <w:sz w:val="24"/>
          <w:szCs w:val="24"/>
        </w:rPr>
        <w:t>行种植前修剪，使树木根部的吸收机能得与蒸发量保</w:t>
      </w:r>
      <w:r>
        <w:rPr>
          <w:spacing w:val="-22"/>
          <w:sz w:val="24"/>
          <w:szCs w:val="24"/>
        </w:rPr>
        <w:t>持平衡。</w:t>
      </w:r>
    </w:p>
    <w:p w14:paraId="4B13368B">
      <w:pPr>
        <w:pStyle w:val="2"/>
        <w:spacing w:before="1" w:line="218" w:lineRule="auto"/>
        <w:ind w:left="1888"/>
        <w:rPr>
          <w:sz w:val="24"/>
          <w:szCs w:val="24"/>
        </w:rPr>
      </w:pPr>
      <w:r>
        <w:rPr>
          <w:spacing w:val="-14"/>
          <w:sz w:val="24"/>
          <w:szCs w:val="24"/>
        </w:rPr>
        <w:t>2.7.1修剪方法</w:t>
      </w:r>
    </w:p>
    <w:p w14:paraId="4375003D">
      <w:pPr>
        <w:pStyle w:val="2"/>
        <w:spacing w:before="117" w:line="217" w:lineRule="auto"/>
        <w:ind w:left="1893"/>
        <w:rPr>
          <w:sz w:val="24"/>
          <w:szCs w:val="24"/>
        </w:rPr>
      </w:pPr>
      <w:r>
        <w:rPr>
          <w:spacing w:val="-17"/>
          <w:sz w:val="24"/>
          <w:szCs w:val="24"/>
        </w:rPr>
        <w:t>（1）乔木类：</w:t>
      </w:r>
    </w:p>
    <w:p w14:paraId="0E2639CA">
      <w:pPr>
        <w:pStyle w:val="2"/>
        <w:spacing w:before="117" w:line="308" w:lineRule="auto"/>
        <w:ind w:left="1459" w:right="1426" w:firstLine="427"/>
        <w:rPr>
          <w:sz w:val="24"/>
          <w:szCs w:val="24"/>
        </w:rPr>
      </w:pPr>
      <w:r>
        <w:rPr>
          <w:spacing w:val="-24"/>
          <w:sz w:val="24"/>
          <w:szCs w:val="24"/>
        </w:rPr>
        <w:t>a具有明显主干的高大落叶乔木应保持原有树形，适当疏枝，对保留的主侧枝应在健壮芽上</w:t>
      </w:r>
      <w:r>
        <w:rPr>
          <w:spacing w:val="-17"/>
          <w:sz w:val="24"/>
          <w:szCs w:val="24"/>
        </w:rPr>
        <w:t>短截，可剪去枝条1/5-1/3。</w:t>
      </w:r>
    </w:p>
    <w:p w14:paraId="2F2C1038">
      <w:pPr>
        <w:pStyle w:val="2"/>
        <w:spacing w:before="1" w:line="306" w:lineRule="auto"/>
        <w:ind w:left="1463" w:right="1412" w:firstLine="418"/>
        <w:rPr>
          <w:sz w:val="24"/>
          <w:szCs w:val="24"/>
        </w:rPr>
      </w:pPr>
      <w:r>
        <w:rPr>
          <w:spacing w:val="-21"/>
          <w:sz w:val="24"/>
          <w:szCs w:val="24"/>
        </w:rPr>
        <w:t>b无明显主干，枝条茂密的落叶乔木，对干径10厘米以上的树木，可疏</w:t>
      </w:r>
      <w:r>
        <w:rPr>
          <w:spacing w:val="-22"/>
          <w:sz w:val="24"/>
          <w:szCs w:val="24"/>
        </w:rPr>
        <w:t>枝保持原树形；对</w:t>
      </w:r>
      <w:r>
        <w:rPr>
          <w:spacing w:val="-19"/>
          <w:sz w:val="24"/>
          <w:szCs w:val="24"/>
        </w:rPr>
        <w:t>干径5-10厘米的苗木，可选留主干上的几个侧枝，保持原有树形进行短截。</w:t>
      </w:r>
    </w:p>
    <w:p w14:paraId="740CA3F0">
      <w:pPr>
        <w:pStyle w:val="2"/>
        <w:spacing w:before="2" w:line="262" w:lineRule="auto"/>
        <w:ind w:left="1470" w:right="1410" w:firstLine="420"/>
        <w:rPr>
          <w:sz w:val="24"/>
          <w:szCs w:val="24"/>
        </w:rPr>
      </w:pPr>
      <w:r>
        <w:rPr>
          <w:spacing w:val="-23"/>
          <w:sz w:val="24"/>
          <w:szCs w:val="24"/>
        </w:rPr>
        <w:t>c枝条茂密具圆头型树冠的常绿乔木可适量疏</w:t>
      </w:r>
      <w:r>
        <w:rPr>
          <w:spacing w:val="-24"/>
          <w:sz w:val="24"/>
          <w:szCs w:val="24"/>
        </w:rPr>
        <w:t>枝。枝叶集生树干顶部的苗木可不修剪。具轮</w:t>
      </w:r>
      <w:r>
        <w:rPr>
          <w:spacing w:val="-19"/>
          <w:sz w:val="24"/>
          <w:szCs w:val="24"/>
        </w:rPr>
        <w:t>生侧枝的常绿乔木用作行道树时，可剪去基部2-3层轮生侧枝。</w:t>
      </w:r>
    </w:p>
    <w:p w14:paraId="19D100F9">
      <w:pPr>
        <w:pStyle w:val="2"/>
        <w:spacing w:before="120" w:line="262" w:lineRule="auto"/>
        <w:ind w:left="1890" w:right="1585"/>
        <w:rPr>
          <w:sz w:val="24"/>
          <w:szCs w:val="24"/>
        </w:rPr>
      </w:pPr>
      <w:r>
        <w:rPr>
          <w:spacing w:val="-23"/>
          <w:sz w:val="24"/>
          <w:szCs w:val="24"/>
        </w:rPr>
        <w:t>d常绿针叶树不宜修剪，只剪除病虫枝、枯死枝、生长衰弱枝，过密的轮生枝和下垂枝。</w:t>
      </w:r>
      <w:r>
        <w:rPr>
          <w:spacing w:val="-19"/>
          <w:sz w:val="24"/>
          <w:szCs w:val="24"/>
        </w:rPr>
        <w:t>e珍贵树种的树冠宜少剪。</w:t>
      </w:r>
    </w:p>
    <w:p w14:paraId="4CF3D95D">
      <w:pPr>
        <w:pStyle w:val="2"/>
        <w:spacing w:before="120" w:line="217" w:lineRule="auto"/>
        <w:ind w:left="1893"/>
        <w:rPr>
          <w:sz w:val="24"/>
          <w:szCs w:val="24"/>
        </w:rPr>
      </w:pPr>
      <w:r>
        <w:rPr>
          <w:spacing w:val="-17"/>
          <w:sz w:val="24"/>
          <w:szCs w:val="24"/>
        </w:rPr>
        <w:t>（2）灌木类：</w:t>
      </w:r>
    </w:p>
    <w:p w14:paraId="39508D56">
      <w:pPr>
        <w:pStyle w:val="2"/>
        <w:spacing w:before="116" w:line="308" w:lineRule="auto"/>
        <w:ind w:left="1463" w:right="1412" w:firstLine="422"/>
        <w:rPr>
          <w:sz w:val="24"/>
          <w:szCs w:val="24"/>
        </w:rPr>
      </w:pPr>
      <w:r>
        <w:rPr>
          <w:spacing w:val="-24"/>
          <w:sz w:val="24"/>
          <w:szCs w:val="24"/>
        </w:rPr>
        <w:t>a带土球或湿润地区带宿土裸根苗木及上年花芽分化的开花灌木不宜作修剪，当有枯枝，病</w:t>
      </w:r>
      <w:r>
        <w:rPr>
          <w:spacing w:val="-20"/>
          <w:sz w:val="24"/>
          <w:szCs w:val="24"/>
        </w:rPr>
        <w:t>虫枝时应予剪除。</w:t>
      </w:r>
    </w:p>
    <w:p w14:paraId="0B627C5A">
      <w:pPr>
        <w:pStyle w:val="2"/>
        <w:spacing w:before="1" w:line="215" w:lineRule="auto"/>
        <w:ind w:left="1882"/>
        <w:rPr>
          <w:sz w:val="24"/>
          <w:szCs w:val="24"/>
        </w:rPr>
      </w:pPr>
      <w:r>
        <w:rPr>
          <w:spacing w:val="-20"/>
          <w:sz w:val="24"/>
          <w:szCs w:val="24"/>
        </w:rPr>
        <w:t>b枝条茂密的大灌木，可适量疏枝。</w:t>
      </w:r>
    </w:p>
    <w:p w14:paraId="3D55B36E">
      <w:pPr>
        <w:pStyle w:val="2"/>
        <w:spacing w:before="119" w:line="215" w:lineRule="auto"/>
        <w:ind w:left="1890"/>
        <w:rPr>
          <w:sz w:val="24"/>
          <w:szCs w:val="24"/>
        </w:rPr>
      </w:pPr>
      <w:r>
        <w:rPr>
          <w:spacing w:val="-21"/>
          <w:sz w:val="24"/>
          <w:szCs w:val="24"/>
        </w:rPr>
        <w:t>c对嫁接灌木，应将接口以下砧木萌生枝条剪去。</w:t>
      </w:r>
    </w:p>
    <w:p w14:paraId="05DA28A2">
      <w:pPr>
        <w:pStyle w:val="2"/>
        <w:spacing w:before="121" w:line="262" w:lineRule="auto"/>
        <w:ind w:left="1890" w:right="2239"/>
        <w:rPr>
          <w:sz w:val="24"/>
          <w:szCs w:val="24"/>
        </w:rPr>
      </w:pPr>
      <w:r>
        <w:rPr>
          <w:spacing w:val="-23"/>
          <w:sz w:val="24"/>
          <w:szCs w:val="24"/>
        </w:rPr>
        <w:t>d分枝明显、新枝着生花芽的小灌木，顺其树势适当强剪，促生新枝，更新老枝。</w:t>
      </w:r>
      <w:r>
        <w:rPr>
          <w:spacing w:val="-21"/>
          <w:sz w:val="24"/>
          <w:szCs w:val="24"/>
        </w:rPr>
        <w:t>e用作绿篱的乔灌木，可在种植后按设计要求整形修剪。</w:t>
      </w:r>
    </w:p>
    <w:p w14:paraId="50C82326">
      <w:pPr>
        <w:pStyle w:val="2"/>
        <w:spacing w:before="118" w:line="218" w:lineRule="auto"/>
        <w:ind w:left="1888"/>
        <w:rPr>
          <w:sz w:val="24"/>
          <w:szCs w:val="24"/>
        </w:rPr>
      </w:pPr>
      <w:r>
        <w:rPr>
          <w:spacing w:val="-17"/>
          <w:sz w:val="24"/>
          <w:szCs w:val="24"/>
        </w:rPr>
        <w:t>2.7.2修剪质量标准要求：</w:t>
      </w:r>
    </w:p>
    <w:p w14:paraId="4B4B489A">
      <w:pPr>
        <w:pStyle w:val="2"/>
        <w:spacing w:before="118" w:line="218" w:lineRule="auto"/>
        <w:ind w:left="1893"/>
        <w:rPr>
          <w:sz w:val="24"/>
          <w:szCs w:val="24"/>
        </w:rPr>
      </w:pPr>
      <w:r>
        <w:rPr>
          <w:spacing w:val="-21"/>
          <w:sz w:val="24"/>
          <w:szCs w:val="24"/>
        </w:rPr>
        <w:t>（1）剪口应平滑，不得劈裂。</w:t>
      </w:r>
    </w:p>
    <w:p w14:paraId="070D13DE">
      <w:pPr>
        <w:pStyle w:val="2"/>
        <w:spacing w:before="117" w:line="215" w:lineRule="auto"/>
        <w:ind w:left="1893"/>
        <w:rPr>
          <w:sz w:val="24"/>
          <w:szCs w:val="24"/>
        </w:rPr>
      </w:pPr>
      <w:r>
        <w:rPr>
          <w:spacing w:val="-18"/>
          <w:sz w:val="24"/>
          <w:szCs w:val="24"/>
        </w:rPr>
        <w:t>（2）枝条短截时应留外芽，剪口应距留芽位置以上1cm。</w:t>
      </w:r>
    </w:p>
    <w:p w14:paraId="273EE023">
      <w:pPr>
        <w:pStyle w:val="2"/>
        <w:spacing w:before="119" w:line="215" w:lineRule="auto"/>
        <w:ind w:left="1893"/>
        <w:rPr>
          <w:sz w:val="24"/>
          <w:szCs w:val="24"/>
        </w:rPr>
      </w:pPr>
      <w:r>
        <w:rPr>
          <w:spacing w:val="-19"/>
          <w:sz w:val="24"/>
          <w:szCs w:val="24"/>
        </w:rPr>
        <w:t>（3）修剪直径2cm以上大枝时及粗根时，截口必须削平并涂防腐剂。</w:t>
      </w:r>
    </w:p>
    <w:p w14:paraId="2E3CCE3B">
      <w:pPr>
        <w:pStyle w:val="2"/>
        <w:spacing w:before="121" w:line="217" w:lineRule="auto"/>
        <w:ind w:left="1888"/>
        <w:rPr>
          <w:sz w:val="24"/>
          <w:szCs w:val="24"/>
        </w:rPr>
      </w:pPr>
      <w:r>
        <w:rPr>
          <w:spacing w:val="-15"/>
          <w:sz w:val="24"/>
          <w:szCs w:val="24"/>
        </w:rPr>
        <w:t>2.8、苗木的种植</w:t>
      </w:r>
    </w:p>
    <w:p w14:paraId="06CCC7F3">
      <w:pPr>
        <w:spacing w:line="217" w:lineRule="auto"/>
        <w:rPr>
          <w:sz w:val="24"/>
          <w:szCs w:val="24"/>
        </w:rPr>
        <w:sectPr>
          <w:footerReference r:id="rId119" w:type="default"/>
          <w:pgSz w:w="11907" w:h="16839"/>
          <w:pgMar w:top="954" w:right="4" w:bottom="1038" w:left="0" w:header="499" w:footer="357" w:gutter="0"/>
          <w:pgBorders>
            <w:top w:val="none" w:sz="0" w:space="0"/>
            <w:left w:val="none" w:sz="0" w:space="0"/>
            <w:bottom w:val="none" w:sz="0" w:space="0"/>
            <w:right w:val="none" w:sz="0" w:space="0"/>
          </w:pgBorders>
          <w:cols w:space="720" w:num="1"/>
        </w:sectPr>
      </w:pPr>
    </w:p>
    <w:p w14:paraId="5DE546D3">
      <w:pPr>
        <w:spacing w:line="250" w:lineRule="auto"/>
        <w:rPr>
          <w:rFonts w:ascii="Arial"/>
          <w:sz w:val="21"/>
        </w:rPr>
      </w:pPr>
    </w:p>
    <w:p w14:paraId="0F641775">
      <w:pPr>
        <w:pStyle w:val="2"/>
        <w:spacing w:before="78" w:line="217" w:lineRule="auto"/>
        <w:ind w:left="1888"/>
        <w:rPr>
          <w:sz w:val="24"/>
          <w:szCs w:val="24"/>
        </w:rPr>
      </w:pPr>
      <w:r>
        <w:rPr>
          <w:spacing w:val="-16"/>
          <w:sz w:val="24"/>
          <w:szCs w:val="24"/>
        </w:rPr>
        <w:t>2.8.1乔、灌木种植</w:t>
      </w:r>
    </w:p>
    <w:p w14:paraId="250F0832">
      <w:pPr>
        <w:pStyle w:val="2"/>
        <w:spacing w:before="118" w:line="262" w:lineRule="auto"/>
        <w:ind w:left="1458" w:right="1426" w:firstLine="434"/>
        <w:rPr>
          <w:sz w:val="24"/>
          <w:szCs w:val="24"/>
        </w:rPr>
      </w:pPr>
      <w:r>
        <w:rPr>
          <w:spacing w:val="-22"/>
          <w:sz w:val="24"/>
          <w:szCs w:val="24"/>
        </w:rPr>
        <w:t>（1）种植前应进行苗木根系修剪，宜将劈裂根</w:t>
      </w:r>
      <w:r>
        <w:rPr>
          <w:spacing w:val="-23"/>
          <w:sz w:val="24"/>
          <w:szCs w:val="24"/>
        </w:rPr>
        <w:t>、病虫根、过长根剪除，并对树冠进行粗修</w:t>
      </w:r>
      <w:r>
        <w:rPr>
          <w:spacing w:val="-22"/>
          <w:sz w:val="24"/>
          <w:szCs w:val="24"/>
        </w:rPr>
        <w:t>剪，尽量保持地上地下平衡。</w:t>
      </w:r>
    </w:p>
    <w:p w14:paraId="4463D852">
      <w:pPr>
        <w:pStyle w:val="2"/>
        <w:spacing w:before="122" w:line="292" w:lineRule="auto"/>
        <w:ind w:left="1455" w:right="1358" w:firstLine="437"/>
        <w:rPr>
          <w:sz w:val="24"/>
          <w:szCs w:val="24"/>
        </w:rPr>
      </w:pPr>
      <w:r>
        <w:rPr>
          <w:spacing w:val="-26"/>
          <w:sz w:val="24"/>
          <w:szCs w:val="24"/>
        </w:rPr>
        <w:t>（2）将苗木的土球或跟蔸放入种植穴内，使其居中；再将树干立起，扶正，使其</w:t>
      </w:r>
      <w:r>
        <w:rPr>
          <w:spacing w:val="-27"/>
          <w:sz w:val="24"/>
          <w:szCs w:val="24"/>
        </w:rPr>
        <w:t>保持垂直；</w:t>
      </w:r>
      <w:r>
        <w:rPr>
          <w:spacing w:val="-20"/>
          <w:sz w:val="24"/>
          <w:szCs w:val="24"/>
        </w:rPr>
        <w:t>剪断泥球四周绑扎的草绳，并从树穴中取出，然后两边铲入种植土，然后分层回填种植土，每填一层就要用锄把将土插紧实，直到填满穴坑，并使土面能够盖住树木的每填一层上就要用锄把将土插紧实，直到填满穴坑，并使土面能够盖住树木的根颈部位。初步栽好后还应检查一下树干是否仍保持垂直，树冠有无偏斜，若有所偏斜，就要再加扶正。灌水中树干有歪斜的，也</w:t>
      </w:r>
      <w:r>
        <w:rPr>
          <w:spacing w:val="-18"/>
          <w:sz w:val="24"/>
          <w:szCs w:val="24"/>
        </w:rPr>
        <w:t>要进行扶正。</w:t>
      </w:r>
    </w:p>
    <w:p w14:paraId="3D62BC29">
      <w:pPr>
        <w:pStyle w:val="2"/>
        <w:spacing w:before="120" w:line="277" w:lineRule="auto"/>
        <w:ind w:left="1456" w:right="1411" w:firstLine="436"/>
        <w:rPr>
          <w:sz w:val="24"/>
          <w:szCs w:val="24"/>
        </w:rPr>
      </w:pPr>
      <w:r>
        <w:rPr>
          <w:spacing w:val="-22"/>
          <w:sz w:val="24"/>
          <w:szCs w:val="24"/>
        </w:rPr>
        <w:t>（3）栽植后要立即浇水，第一次彻底浇透。浇透应先筑土堰，其围堰的直径应略</w:t>
      </w:r>
      <w:r>
        <w:rPr>
          <w:spacing w:val="-23"/>
          <w:sz w:val="24"/>
          <w:szCs w:val="24"/>
        </w:rPr>
        <w:t>大于种植</w:t>
      </w:r>
      <w:r>
        <w:rPr>
          <w:spacing w:val="-20"/>
          <w:sz w:val="24"/>
          <w:szCs w:val="24"/>
        </w:rPr>
        <w:t>穴的直径。堰土要稍加拍实，不能松散。一般隔3-5天浇第二次</w:t>
      </w:r>
      <w:r>
        <w:rPr>
          <w:spacing w:val="-21"/>
          <w:sz w:val="24"/>
          <w:szCs w:val="24"/>
        </w:rPr>
        <w:t>水，再隔7-8天浇第三次水。用于植物生长和养护的水，应不含有任何的有害植物生长的</w:t>
      </w:r>
      <w:r>
        <w:rPr>
          <w:spacing w:val="-22"/>
          <w:sz w:val="24"/>
          <w:szCs w:val="24"/>
        </w:rPr>
        <w:t>酸、碱、盐等物质。</w:t>
      </w:r>
    </w:p>
    <w:p w14:paraId="4FB54492">
      <w:pPr>
        <w:pStyle w:val="2"/>
        <w:spacing w:before="118" w:line="217" w:lineRule="auto"/>
        <w:ind w:left="1888"/>
        <w:rPr>
          <w:sz w:val="24"/>
          <w:szCs w:val="24"/>
        </w:rPr>
      </w:pPr>
      <w:r>
        <w:rPr>
          <w:spacing w:val="-16"/>
          <w:sz w:val="24"/>
          <w:szCs w:val="24"/>
        </w:rPr>
        <w:t>2.8.2地被植物的种植</w:t>
      </w:r>
    </w:p>
    <w:p w14:paraId="31CCE6F2">
      <w:pPr>
        <w:pStyle w:val="2"/>
        <w:spacing w:before="119" w:line="277" w:lineRule="auto"/>
        <w:ind w:left="1457" w:right="1412" w:firstLine="435"/>
        <w:rPr>
          <w:sz w:val="24"/>
          <w:szCs w:val="24"/>
        </w:rPr>
      </w:pPr>
      <w:r>
        <w:rPr>
          <w:spacing w:val="-22"/>
          <w:sz w:val="24"/>
          <w:szCs w:val="24"/>
        </w:rPr>
        <w:t>（1）地被植物所用的植物应符合设计要求，同一品种的植物规格大小应无明显</w:t>
      </w:r>
      <w:r>
        <w:rPr>
          <w:spacing w:val="-23"/>
          <w:sz w:val="24"/>
          <w:szCs w:val="24"/>
        </w:rPr>
        <w:t>差异，植株</w:t>
      </w:r>
      <w:r>
        <w:rPr>
          <w:spacing w:val="-20"/>
          <w:sz w:val="24"/>
          <w:szCs w:val="24"/>
        </w:rPr>
        <w:t>根系完好，生长旺盛。无明显病虫害和较严重的机械损伤，在运输过程及运到栽植地后必须采</w:t>
      </w:r>
      <w:r>
        <w:rPr>
          <w:spacing w:val="-21"/>
          <w:sz w:val="24"/>
          <w:szCs w:val="24"/>
        </w:rPr>
        <w:t>取有效措施，以保证其维持湿润状态。</w:t>
      </w:r>
    </w:p>
    <w:p w14:paraId="1F6AA8B9">
      <w:pPr>
        <w:pStyle w:val="2"/>
        <w:spacing w:before="118" w:line="290" w:lineRule="auto"/>
        <w:ind w:left="1455" w:right="1415" w:firstLine="437"/>
        <w:rPr>
          <w:sz w:val="24"/>
          <w:szCs w:val="24"/>
        </w:rPr>
      </w:pPr>
      <w:r>
        <w:rPr>
          <w:spacing w:val="-21"/>
          <w:sz w:val="24"/>
          <w:szCs w:val="24"/>
        </w:rPr>
        <w:t>（2）地被植物在栽植前土壤应深翻大于25cm，结合深翻清除石块等杂物，施</w:t>
      </w:r>
      <w:r>
        <w:rPr>
          <w:spacing w:val="-22"/>
          <w:sz w:val="24"/>
          <w:szCs w:val="24"/>
        </w:rPr>
        <w:t>足基肥，耙细</w:t>
      </w:r>
      <w:r>
        <w:rPr>
          <w:spacing w:val="-20"/>
          <w:sz w:val="24"/>
          <w:szCs w:val="24"/>
        </w:rPr>
        <w:t>整平，做到表土平整，排水良好。栽植前应按设计要求放样，定好株间距，做好分株、切根等准备。栽植坑应稍大，使根系舒展，填土压实，土面平整。栽植后应立即浇足水分，可结合浇水喷施腐熟的有机肥施后用清水喷淋茎叶，栽后一周内注意土壤湿度，发现表土干裂应及时浇</w:t>
      </w:r>
      <w:r>
        <w:rPr>
          <w:spacing w:val="-18"/>
          <w:sz w:val="24"/>
          <w:szCs w:val="24"/>
        </w:rPr>
        <w:t>水。</w:t>
      </w:r>
    </w:p>
    <w:p w14:paraId="3EB7BB1C">
      <w:pPr>
        <w:pStyle w:val="2"/>
        <w:spacing w:before="117" w:line="263" w:lineRule="auto"/>
        <w:ind w:left="1455" w:right="1409" w:firstLine="437"/>
        <w:rPr>
          <w:sz w:val="24"/>
          <w:szCs w:val="24"/>
        </w:rPr>
      </w:pPr>
      <w:r>
        <w:rPr>
          <w:spacing w:val="-22"/>
          <w:sz w:val="24"/>
          <w:szCs w:val="24"/>
        </w:rPr>
        <w:t>（3）绿篱成块种植或群植时，应由中心向外顺序退植。坡式种植时应由上向下种植。</w:t>
      </w:r>
      <w:r>
        <w:rPr>
          <w:spacing w:val="-23"/>
          <w:sz w:val="24"/>
          <w:szCs w:val="24"/>
        </w:rPr>
        <w:t>大型</w:t>
      </w:r>
      <w:r>
        <w:rPr>
          <w:spacing w:val="-21"/>
          <w:sz w:val="24"/>
          <w:szCs w:val="24"/>
        </w:rPr>
        <w:t>块植或不同色彩丛植时，宜分区分块。</w:t>
      </w:r>
    </w:p>
    <w:p w14:paraId="4F908B52">
      <w:pPr>
        <w:pStyle w:val="2"/>
        <w:spacing w:before="115" w:line="218" w:lineRule="auto"/>
        <w:ind w:left="1888"/>
        <w:rPr>
          <w:sz w:val="24"/>
          <w:szCs w:val="24"/>
        </w:rPr>
      </w:pPr>
      <w:r>
        <w:rPr>
          <w:spacing w:val="-15"/>
          <w:sz w:val="24"/>
          <w:szCs w:val="24"/>
        </w:rPr>
        <w:t>2.8.3草坪的铺植</w:t>
      </w:r>
    </w:p>
    <w:p w14:paraId="5E41314F">
      <w:pPr>
        <w:pStyle w:val="2"/>
        <w:spacing w:before="118" w:line="307" w:lineRule="auto"/>
        <w:ind w:left="1458" w:right="1409" w:firstLine="438"/>
        <w:rPr>
          <w:sz w:val="24"/>
          <w:szCs w:val="24"/>
        </w:rPr>
      </w:pPr>
      <w:r>
        <w:rPr>
          <w:spacing w:val="-20"/>
          <w:sz w:val="24"/>
          <w:szCs w:val="24"/>
        </w:rPr>
        <w:t>草坪施工的内容，就是要求根据已确定的设计来完成一系列的草坪建植过程。这一施工过</w:t>
      </w:r>
      <w:r>
        <w:rPr>
          <w:spacing w:val="-21"/>
          <w:sz w:val="24"/>
          <w:szCs w:val="24"/>
        </w:rPr>
        <w:t>程，主要包括地形整理、放线定点、布置给排水设施</w:t>
      </w:r>
      <w:r>
        <w:rPr>
          <w:spacing w:val="-22"/>
          <w:sz w:val="24"/>
          <w:szCs w:val="24"/>
        </w:rPr>
        <w:t>、铺种草坪草和后期管理等工序。</w:t>
      </w:r>
    </w:p>
    <w:p w14:paraId="613B0BDC">
      <w:pPr>
        <w:pStyle w:val="2"/>
        <w:spacing w:line="218" w:lineRule="auto"/>
        <w:ind w:left="1893"/>
        <w:rPr>
          <w:sz w:val="24"/>
          <w:szCs w:val="24"/>
        </w:rPr>
      </w:pPr>
      <w:r>
        <w:rPr>
          <w:spacing w:val="-17"/>
          <w:sz w:val="24"/>
          <w:szCs w:val="24"/>
        </w:rPr>
        <w:t>（1）场地准备</w:t>
      </w:r>
    </w:p>
    <w:p w14:paraId="430925BE">
      <w:pPr>
        <w:pStyle w:val="2"/>
        <w:spacing w:before="117" w:line="308" w:lineRule="auto"/>
        <w:ind w:left="1461" w:right="1411" w:firstLine="425"/>
        <w:rPr>
          <w:sz w:val="24"/>
          <w:szCs w:val="24"/>
        </w:rPr>
      </w:pPr>
      <w:r>
        <w:rPr>
          <w:spacing w:val="-23"/>
          <w:sz w:val="24"/>
          <w:szCs w:val="24"/>
        </w:rPr>
        <w:t>a铺设草坪和栽植其它植物不同，在建造完成以后，地</w:t>
      </w:r>
      <w:r>
        <w:rPr>
          <w:spacing w:val="-24"/>
          <w:sz w:val="24"/>
          <w:szCs w:val="24"/>
        </w:rPr>
        <w:t>形和土壤条件很难再行改变。要想得</w:t>
      </w:r>
      <w:r>
        <w:rPr>
          <w:spacing w:val="-20"/>
          <w:sz w:val="24"/>
          <w:szCs w:val="24"/>
        </w:rPr>
        <w:t>到高质量的草坪，应在铺设前对场地进行处理，主要应考虑地形处理、土壤改良及做好排灌系</w:t>
      </w:r>
      <w:r>
        <w:rPr>
          <w:spacing w:val="-19"/>
          <w:sz w:val="24"/>
          <w:szCs w:val="24"/>
        </w:rPr>
        <w:t>统。</w:t>
      </w:r>
    </w:p>
    <w:p w14:paraId="743E71DC">
      <w:pPr>
        <w:pStyle w:val="2"/>
        <w:spacing w:before="1" w:line="218" w:lineRule="auto"/>
        <w:ind w:left="1882"/>
        <w:rPr>
          <w:sz w:val="24"/>
          <w:szCs w:val="24"/>
        </w:rPr>
      </w:pPr>
      <w:r>
        <w:rPr>
          <w:spacing w:val="-16"/>
          <w:sz w:val="24"/>
          <w:szCs w:val="24"/>
        </w:rPr>
        <w:t>b土层的厚度</w:t>
      </w:r>
    </w:p>
    <w:p w14:paraId="2E90A850">
      <w:pPr>
        <w:pStyle w:val="2"/>
        <w:spacing w:before="117" w:line="307" w:lineRule="auto"/>
        <w:ind w:left="1456" w:right="1409" w:firstLine="440"/>
        <w:rPr>
          <w:sz w:val="24"/>
          <w:szCs w:val="24"/>
        </w:rPr>
      </w:pPr>
      <w:r>
        <w:rPr>
          <w:spacing w:val="-15"/>
          <w:sz w:val="24"/>
          <w:szCs w:val="24"/>
        </w:rPr>
        <w:t>草坪植物的根系80%分布在40cm以上的土层中，而且50%以上的</w:t>
      </w:r>
      <w:r>
        <w:rPr>
          <w:spacing w:val="-16"/>
          <w:sz w:val="24"/>
          <w:szCs w:val="24"/>
        </w:rPr>
        <w:t>是在地表以下20cm的范围</w:t>
      </w:r>
      <w:r>
        <w:rPr>
          <w:spacing w:val="-20"/>
          <w:sz w:val="24"/>
          <w:szCs w:val="24"/>
        </w:rPr>
        <w:t>内。为了使草坪保持优良的质量，减少管理费用，应尽可能使土层厚</w:t>
      </w:r>
      <w:r>
        <w:rPr>
          <w:spacing w:val="-21"/>
          <w:sz w:val="24"/>
          <w:szCs w:val="24"/>
        </w:rPr>
        <w:t>度达到40cm左右，最好不</w:t>
      </w:r>
      <w:r>
        <w:rPr>
          <w:spacing w:val="-14"/>
          <w:sz w:val="24"/>
          <w:szCs w:val="24"/>
        </w:rPr>
        <w:t>小于30cm，在小于30cm的地方应加厚土层。</w:t>
      </w:r>
    </w:p>
    <w:p w14:paraId="172A3B05">
      <w:pPr>
        <w:pStyle w:val="2"/>
        <w:spacing w:before="1" w:line="219" w:lineRule="auto"/>
        <w:ind w:left="1890"/>
        <w:rPr>
          <w:sz w:val="24"/>
          <w:szCs w:val="24"/>
        </w:rPr>
      </w:pPr>
      <w:r>
        <w:rPr>
          <w:spacing w:val="-19"/>
          <w:sz w:val="24"/>
          <w:szCs w:val="24"/>
        </w:rPr>
        <w:t>c土地的平整与耕翻</w:t>
      </w:r>
    </w:p>
    <w:p w14:paraId="04D38128">
      <w:pPr>
        <w:pStyle w:val="2"/>
        <w:spacing w:before="115" w:line="215" w:lineRule="auto"/>
        <w:ind w:left="1897"/>
        <w:rPr>
          <w:sz w:val="24"/>
          <w:szCs w:val="24"/>
        </w:rPr>
      </w:pPr>
      <w:r>
        <w:rPr>
          <w:spacing w:val="-21"/>
          <w:sz w:val="24"/>
          <w:szCs w:val="24"/>
        </w:rPr>
        <w:t>这一工序的目的是为草坪植物的根系生长创造</w:t>
      </w:r>
      <w:r>
        <w:rPr>
          <w:spacing w:val="-22"/>
          <w:sz w:val="24"/>
          <w:szCs w:val="24"/>
        </w:rPr>
        <w:t>条件。步骤是：</w:t>
      </w:r>
    </w:p>
    <w:p w14:paraId="115B43FA">
      <w:pPr>
        <w:spacing w:line="215" w:lineRule="auto"/>
        <w:rPr>
          <w:sz w:val="24"/>
          <w:szCs w:val="24"/>
        </w:rPr>
        <w:sectPr>
          <w:footerReference r:id="rId120" w:type="default"/>
          <w:pgSz w:w="11907" w:h="16839"/>
          <w:pgMar w:top="954" w:right="4" w:bottom="1038" w:left="0" w:header="499" w:footer="357" w:gutter="0"/>
          <w:pgBorders>
            <w:top w:val="none" w:sz="0" w:space="0"/>
            <w:left w:val="none" w:sz="0" w:space="0"/>
            <w:bottom w:val="none" w:sz="0" w:space="0"/>
            <w:right w:val="none" w:sz="0" w:space="0"/>
          </w:pgBorders>
          <w:cols w:space="720" w:num="1"/>
        </w:sectPr>
      </w:pPr>
    </w:p>
    <w:p w14:paraId="7CCBF57B">
      <w:pPr>
        <w:spacing w:line="249" w:lineRule="auto"/>
        <w:rPr>
          <w:rFonts w:ascii="Arial"/>
          <w:sz w:val="21"/>
        </w:rPr>
      </w:pPr>
    </w:p>
    <w:p w14:paraId="5265F971">
      <w:pPr>
        <w:pStyle w:val="2"/>
        <w:spacing w:before="78" w:line="308" w:lineRule="auto"/>
        <w:ind w:left="1470" w:right="1410" w:firstLine="424"/>
        <w:rPr>
          <w:sz w:val="24"/>
          <w:szCs w:val="24"/>
        </w:rPr>
      </w:pPr>
      <w:r>
        <w:rPr>
          <w:spacing w:val="-20"/>
          <w:sz w:val="24"/>
          <w:szCs w:val="24"/>
        </w:rPr>
        <w:t>杂草与杂物的清除，清除目的是为了便于土地的耕翻与平整，但更主要的是为了消灭多年</w:t>
      </w:r>
      <w:r>
        <w:rPr>
          <w:spacing w:val="-22"/>
          <w:sz w:val="24"/>
          <w:szCs w:val="24"/>
        </w:rPr>
        <w:t>生杂草，为避免草坪建成后杂草与草坪草争水分、养料，所以在种草前应彻底加以消灭。</w:t>
      </w:r>
    </w:p>
    <w:p w14:paraId="790F53EC">
      <w:pPr>
        <w:pStyle w:val="2"/>
        <w:spacing w:line="308" w:lineRule="auto"/>
        <w:ind w:left="1456" w:right="1459" w:firstLine="436"/>
        <w:rPr>
          <w:sz w:val="24"/>
          <w:szCs w:val="24"/>
        </w:rPr>
      </w:pPr>
      <w:r>
        <w:rPr>
          <w:spacing w:val="-21"/>
          <w:sz w:val="24"/>
          <w:szCs w:val="24"/>
        </w:rPr>
        <w:t>初步平整、施基肥及耕翻，在清除了杂草、杂物的地面上应初步作一次起高填低的平整，</w:t>
      </w:r>
      <w:r>
        <w:rPr>
          <w:spacing w:val="-22"/>
          <w:sz w:val="24"/>
          <w:szCs w:val="24"/>
        </w:rPr>
        <w:t>平整后撒施基肥，然后普遍进行一次耕翻。</w:t>
      </w:r>
    </w:p>
    <w:p w14:paraId="6E02B70C">
      <w:pPr>
        <w:pStyle w:val="2"/>
        <w:spacing w:line="307" w:lineRule="auto"/>
        <w:ind w:left="1457" w:right="1410" w:firstLine="438"/>
        <w:rPr>
          <w:sz w:val="24"/>
          <w:szCs w:val="24"/>
        </w:rPr>
      </w:pPr>
      <w:r>
        <w:rPr>
          <w:spacing w:val="-20"/>
          <w:sz w:val="24"/>
          <w:szCs w:val="24"/>
        </w:rPr>
        <w:t>更换杂土与最后平整。在耕翻过程中，若发现局部地段地质欠佳或混杂的杂土过多，则应</w:t>
      </w:r>
      <w:r>
        <w:rPr>
          <w:spacing w:val="-21"/>
          <w:sz w:val="24"/>
          <w:szCs w:val="24"/>
        </w:rPr>
        <w:t>换土。</w:t>
      </w:r>
    </w:p>
    <w:p w14:paraId="35C435DB">
      <w:pPr>
        <w:pStyle w:val="2"/>
        <w:spacing w:before="1" w:line="307" w:lineRule="auto"/>
        <w:ind w:left="1470" w:right="1409" w:firstLine="431"/>
        <w:rPr>
          <w:sz w:val="24"/>
          <w:szCs w:val="24"/>
        </w:rPr>
      </w:pPr>
      <w:r>
        <w:rPr>
          <w:spacing w:val="-17"/>
          <w:sz w:val="24"/>
          <w:szCs w:val="24"/>
        </w:rPr>
        <w:t>为了确保新设草坪的平整，在换土或耕翻后应灌一次透水或滚压2遍，使坚实不同的地方</w:t>
      </w:r>
      <w:r>
        <w:rPr>
          <w:spacing w:val="-22"/>
          <w:sz w:val="24"/>
          <w:szCs w:val="24"/>
        </w:rPr>
        <w:t>能显出高低，以利最后平整时加以调整。</w:t>
      </w:r>
    </w:p>
    <w:p w14:paraId="1EC8C9DB">
      <w:pPr>
        <w:pStyle w:val="2"/>
        <w:spacing w:before="1" w:line="308" w:lineRule="auto"/>
        <w:ind w:left="1459" w:right="1410" w:firstLine="442"/>
        <w:rPr>
          <w:sz w:val="24"/>
          <w:szCs w:val="24"/>
        </w:rPr>
      </w:pPr>
      <w:r>
        <w:rPr>
          <w:spacing w:val="-20"/>
          <w:sz w:val="24"/>
          <w:szCs w:val="24"/>
        </w:rPr>
        <w:t>为提高土壤肥力，最好施一些优质的有机肥料做基肥。但勿直接用家畜肥粪，因其中含有</w:t>
      </w:r>
      <w:r>
        <w:rPr>
          <w:spacing w:val="-22"/>
          <w:sz w:val="24"/>
          <w:szCs w:val="24"/>
        </w:rPr>
        <w:t>大量杂草种籽，会造成以后草坪中野草孳生，后患无穷。</w:t>
      </w:r>
    </w:p>
    <w:p w14:paraId="4B4EAC5B">
      <w:pPr>
        <w:pStyle w:val="2"/>
        <w:spacing w:before="3" w:line="307" w:lineRule="auto"/>
        <w:ind w:left="1455" w:right="1353" w:firstLine="435"/>
        <w:jc w:val="both"/>
        <w:rPr>
          <w:sz w:val="24"/>
          <w:szCs w:val="24"/>
        </w:rPr>
      </w:pPr>
      <w:r>
        <w:rPr>
          <w:spacing w:val="-24"/>
          <w:sz w:val="24"/>
          <w:szCs w:val="24"/>
        </w:rPr>
        <w:t>碱性土或含石灰、受到污染的土壤有害草坪生长，应将40cm厚的此种表层土全部刨松运</w:t>
      </w:r>
      <w:r>
        <w:rPr>
          <w:spacing w:val="-25"/>
          <w:sz w:val="24"/>
          <w:szCs w:val="24"/>
        </w:rPr>
        <w:t>走，</w:t>
      </w:r>
      <w:r>
        <w:rPr>
          <w:spacing w:val="-20"/>
          <w:sz w:val="24"/>
          <w:szCs w:val="24"/>
        </w:rPr>
        <w:t>另换壤土，以利于草坪植物的生长发育。为防治地下害虫，保护草根，可于在施肥的同时施以</w:t>
      </w:r>
      <w:r>
        <w:rPr>
          <w:spacing w:val="-21"/>
          <w:sz w:val="24"/>
          <w:szCs w:val="24"/>
        </w:rPr>
        <w:t>适量农药，必须注意撒施均匀，避免药粉成团块状，影响草坪植</w:t>
      </w:r>
      <w:r>
        <w:rPr>
          <w:spacing w:val="-22"/>
          <w:sz w:val="24"/>
          <w:szCs w:val="24"/>
        </w:rPr>
        <w:t>物成活。</w:t>
      </w:r>
    </w:p>
    <w:p w14:paraId="3C1A5652">
      <w:pPr>
        <w:pStyle w:val="2"/>
        <w:spacing w:line="218" w:lineRule="auto"/>
        <w:ind w:left="1893"/>
        <w:rPr>
          <w:sz w:val="24"/>
          <w:szCs w:val="24"/>
        </w:rPr>
      </w:pPr>
      <w:r>
        <w:rPr>
          <w:spacing w:val="-19"/>
          <w:sz w:val="24"/>
          <w:szCs w:val="24"/>
        </w:rPr>
        <w:t>（2）排水及灌溉系统</w:t>
      </w:r>
    </w:p>
    <w:p w14:paraId="2E85ECBE">
      <w:pPr>
        <w:pStyle w:val="2"/>
        <w:spacing w:before="114" w:line="308" w:lineRule="auto"/>
        <w:ind w:left="1453" w:right="1409" w:firstLine="443"/>
        <w:rPr>
          <w:sz w:val="24"/>
          <w:szCs w:val="24"/>
        </w:rPr>
      </w:pPr>
      <w:r>
        <w:rPr>
          <w:spacing w:val="-20"/>
          <w:sz w:val="24"/>
          <w:szCs w:val="24"/>
        </w:rPr>
        <w:t>草坪与其它场地一样，需要考虑排除地面水，因此，最后平整地面时，要结合考虑地面排水问题。不能有低凹处，以避免积水。草坪多利用缓坡来排水，在一定面积内修一条缓坡的沟道，其最低下的一端可设雨水口接纳排出的地面水，并经地下管道排走，或以沟直接与湖池相</w:t>
      </w:r>
      <w:r>
        <w:rPr>
          <w:spacing w:val="-21"/>
          <w:sz w:val="24"/>
          <w:szCs w:val="24"/>
        </w:rPr>
        <w:t>联。理想的平坦草坪的表面应是中部稍高，逐渐向四周或边缘倾斜。</w:t>
      </w:r>
    </w:p>
    <w:p w14:paraId="319182BB">
      <w:pPr>
        <w:pStyle w:val="2"/>
        <w:spacing w:before="1" w:line="216" w:lineRule="auto"/>
        <w:ind w:left="1893"/>
        <w:rPr>
          <w:sz w:val="24"/>
          <w:szCs w:val="24"/>
        </w:rPr>
      </w:pPr>
      <w:r>
        <w:rPr>
          <w:spacing w:val="-18"/>
          <w:sz w:val="24"/>
          <w:szCs w:val="24"/>
        </w:rPr>
        <w:t>（3）草坪种植施工</w:t>
      </w:r>
    </w:p>
    <w:p w14:paraId="4D9A32FE">
      <w:pPr>
        <w:pStyle w:val="2"/>
        <w:spacing w:before="121" w:line="307" w:lineRule="auto"/>
        <w:ind w:left="1457" w:right="1412" w:firstLine="429"/>
        <w:rPr>
          <w:sz w:val="24"/>
          <w:szCs w:val="24"/>
        </w:rPr>
      </w:pPr>
      <w:r>
        <w:rPr>
          <w:spacing w:val="-24"/>
          <w:sz w:val="24"/>
          <w:szCs w:val="24"/>
        </w:rPr>
        <w:t>a以生长健壮的草坪做草源地，草源地的土壤若过于干燥，应在掘草前灌水。掘取草根</w:t>
      </w:r>
      <w:r>
        <w:rPr>
          <w:spacing w:val="-25"/>
          <w:sz w:val="24"/>
          <w:szCs w:val="24"/>
        </w:rPr>
        <w:t>，其</w:t>
      </w:r>
      <w:r>
        <w:rPr>
          <w:spacing w:val="-20"/>
          <w:sz w:val="24"/>
          <w:szCs w:val="24"/>
        </w:rPr>
        <w:t>根部最好多带一些宿土，掘后及时装车运走，将草要堆放在阴凉之处，堆入要薄，并经常喷水</w:t>
      </w:r>
      <w:r>
        <w:rPr>
          <w:spacing w:val="-21"/>
          <w:sz w:val="24"/>
          <w:szCs w:val="24"/>
        </w:rPr>
        <w:t>保持草根潮湿，必要时可搭荫棚存放。</w:t>
      </w:r>
    </w:p>
    <w:p w14:paraId="07B1B3D5">
      <w:pPr>
        <w:pStyle w:val="2"/>
        <w:spacing w:before="1" w:line="216" w:lineRule="auto"/>
        <w:ind w:left="1882"/>
        <w:rPr>
          <w:sz w:val="24"/>
          <w:szCs w:val="24"/>
        </w:rPr>
      </w:pPr>
      <w:r>
        <w:rPr>
          <w:spacing w:val="-20"/>
          <w:sz w:val="24"/>
          <w:szCs w:val="24"/>
        </w:rPr>
        <w:t>b草皮建植采用分栽草根与铺草块的方式进</w:t>
      </w:r>
      <w:r>
        <w:rPr>
          <w:spacing w:val="-21"/>
          <w:sz w:val="24"/>
          <w:szCs w:val="24"/>
        </w:rPr>
        <w:t>行铺植。</w:t>
      </w:r>
    </w:p>
    <w:p w14:paraId="026705C1">
      <w:pPr>
        <w:pStyle w:val="2"/>
        <w:spacing w:before="118" w:line="216" w:lineRule="auto"/>
        <w:ind w:left="1890"/>
        <w:rPr>
          <w:sz w:val="24"/>
          <w:szCs w:val="24"/>
        </w:rPr>
      </w:pPr>
      <w:r>
        <w:rPr>
          <w:spacing w:val="-21"/>
          <w:sz w:val="24"/>
          <w:szCs w:val="24"/>
        </w:rPr>
        <w:t>c草块选择无杂草、生长势好，无病虫害的草源。</w:t>
      </w:r>
    </w:p>
    <w:p w14:paraId="40DC42E3">
      <w:pPr>
        <w:pStyle w:val="2"/>
        <w:spacing w:before="120" w:line="216" w:lineRule="auto"/>
        <w:ind w:left="1890"/>
        <w:rPr>
          <w:sz w:val="24"/>
          <w:szCs w:val="24"/>
        </w:rPr>
      </w:pPr>
      <w:r>
        <w:rPr>
          <w:spacing w:val="-19"/>
          <w:sz w:val="24"/>
          <w:szCs w:val="24"/>
        </w:rPr>
        <w:t>d草皮移植前24小时修剪并喷水，镇压保持土壤湿润，较好起草皮。</w:t>
      </w:r>
    </w:p>
    <w:p w14:paraId="5B251AC4">
      <w:pPr>
        <w:pStyle w:val="2"/>
        <w:spacing w:before="120" w:line="307" w:lineRule="auto"/>
        <w:ind w:left="1457" w:right="1412" w:firstLine="434"/>
        <w:rPr>
          <w:sz w:val="24"/>
          <w:szCs w:val="24"/>
        </w:rPr>
      </w:pPr>
      <w:r>
        <w:rPr>
          <w:spacing w:val="-17"/>
          <w:sz w:val="24"/>
          <w:szCs w:val="24"/>
        </w:rPr>
        <w:t>e起草皮规格规格宜为30cm×30cm，厚度掌握在3—5cm适宜，否则运输不易，铺植时草皮</w:t>
      </w:r>
      <w:r>
        <w:rPr>
          <w:spacing w:val="-21"/>
          <w:sz w:val="24"/>
          <w:szCs w:val="24"/>
        </w:rPr>
        <w:t>根系也不容易与原地形土壤相结合而扎根。</w:t>
      </w:r>
    </w:p>
    <w:p w14:paraId="586F9687">
      <w:pPr>
        <w:pStyle w:val="2"/>
        <w:spacing w:before="1" w:line="215" w:lineRule="auto"/>
        <w:ind w:left="1889"/>
        <w:rPr>
          <w:sz w:val="24"/>
          <w:szCs w:val="24"/>
        </w:rPr>
      </w:pPr>
      <w:r>
        <w:rPr>
          <w:spacing w:val="-20"/>
          <w:sz w:val="24"/>
          <w:szCs w:val="24"/>
        </w:rPr>
        <w:t>f草皮运输时应在运输车上用木板分置2—3层，以免卸车草皮破损。</w:t>
      </w:r>
    </w:p>
    <w:p w14:paraId="45C8BB5F">
      <w:pPr>
        <w:pStyle w:val="2"/>
        <w:spacing w:before="122" w:line="306" w:lineRule="auto"/>
        <w:ind w:left="1460" w:right="1411" w:firstLine="429"/>
        <w:rPr>
          <w:sz w:val="24"/>
          <w:szCs w:val="24"/>
        </w:rPr>
      </w:pPr>
      <w:r>
        <w:rPr>
          <w:spacing w:val="-19"/>
          <w:sz w:val="24"/>
          <w:szCs w:val="24"/>
        </w:rPr>
        <w:t>g草皮铺植于地面时，草皮间应有3-5cm的间距，后用0.27T</w:t>
      </w:r>
      <w:r>
        <w:rPr>
          <w:spacing w:val="-20"/>
          <w:sz w:val="24"/>
          <w:szCs w:val="24"/>
        </w:rPr>
        <w:t>重的碾压器压平，也可用圆筒</w:t>
      </w:r>
      <w:r>
        <w:rPr>
          <w:spacing w:val="-21"/>
          <w:sz w:val="24"/>
          <w:szCs w:val="24"/>
        </w:rPr>
        <w:t>或人工脚踩，使草皮与土壤结合紧密，无空隙，易</w:t>
      </w:r>
      <w:r>
        <w:rPr>
          <w:spacing w:val="-22"/>
          <w:sz w:val="24"/>
          <w:szCs w:val="24"/>
        </w:rPr>
        <w:t>于生根，保证草皮成活。</w:t>
      </w:r>
    </w:p>
    <w:p w14:paraId="322ABBEA">
      <w:pPr>
        <w:pStyle w:val="2"/>
        <w:spacing w:before="4" w:line="307" w:lineRule="auto"/>
        <w:ind w:left="1458" w:right="1409" w:firstLine="424"/>
        <w:rPr>
          <w:sz w:val="24"/>
          <w:szCs w:val="24"/>
        </w:rPr>
      </w:pPr>
      <w:r>
        <w:rPr>
          <w:spacing w:val="-21"/>
          <w:sz w:val="24"/>
          <w:szCs w:val="24"/>
        </w:rPr>
        <w:t>h草皮压紧后浇第一遍透水，保证坪床5—10cm湿润，使草皮恢复原色或失水不易过多，之</w:t>
      </w:r>
      <w:r>
        <w:rPr>
          <w:spacing w:val="-19"/>
          <w:sz w:val="24"/>
          <w:szCs w:val="24"/>
        </w:rPr>
        <w:t>后每隔3—4天浇一次水，以保证草皮的需水量。</w:t>
      </w:r>
    </w:p>
    <w:p w14:paraId="47D415D6">
      <w:pPr>
        <w:pStyle w:val="2"/>
        <w:spacing w:before="1" w:line="214" w:lineRule="auto"/>
        <w:ind w:left="1901"/>
        <w:rPr>
          <w:sz w:val="24"/>
          <w:szCs w:val="24"/>
        </w:rPr>
      </w:pPr>
      <w:r>
        <w:rPr>
          <w:spacing w:val="-21"/>
          <w:sz w:val="24"/>
          <w:szCs w:val="24"/>
        </w:rPr>
        <w:t>i保证滚压和浇水，直到草皮生根而转到正常的养护管理。</w:t>
      </w:r>
    </w:p>
    <w:p w14:paraId="79EBC329">
      <w:pPr>
        <w:pStyle w:val="2"/>
        <w:spacing w:before="123" w:line="307" w:lineRule="auto"/>
        <w:ind w:left="1458" w:right="1411" w:firstLine="435"/>
        <w:rPr>
          <w:sz w:val="24"/>
          <w:szCs w:val="24"/>
        </w:rPr>
      </w:pPr>
      <w:r>
        <w:rPr>
          <w:spacing w:val="-20"/>
          <w:sz w:val="24"/>
          <w:szCs w:val="24"/>
        </w:rPr>
        <w:t>场地平整：先对场内的杂物、瓦砾、修剪下来的枝条进行清除，然后进行场地平整，避免</w:t>
      </w:r>
      <w:r>
        <w:rPr>
          <w:spacing w:val="-21"/>
          <w:sz w:val="24"/>
          <w:szCs w:val="24"/>
        </w:rPr>
        <w:t>积水，平整时应以缓坡排水为主。同时结合一次浅翻，深度在10cm以内。</w:t>
      </w:r>
    </w:p>
    <w:p w14:paraId="0A9C36DE">
      <w:pPr>
        <w:pStyle w:val="2"/>
        <w:spacing w:line="215" w:lineRule="auto"/>
        <w:ind w:left="1905"/>
        <w:rPr>
          <w:sz w:val="24"/>
          <w:szCs w:val="24"/>
        </w:rPr>
      </w:pPr>
      <w:r>
        <w:rPr>
          <w:spacing w:val="-21"/>
          <w:sz w:val="24"/>
          <w:szCs w:val="24"/>
        </w:rPr>
        <w:t>百慕大+黑麦草混播,可春播或秋播，最宜在9～10月份播种，播前需精细整地，保墒施肥，</w:t>
      </w:r>
    </w:p>
    <w:p w14:paraId="78EF3256">
      <w:pPr>
        <w:spacing w:line="215" w:lineRule="auto"/>
        <w:rPr>
          <w:sz w:val="24"/>
          <w:szCs w:val="24"/>
        </w:rPr>
        <w:sectPr>
          <w:footerReference r:id="rId121" w:type="default"/>
          <w:pgSz w:w="11907" w:h="16839"/>
          <w:pgMar w:top="954" w:right="4" w:bottom="1038" w:left="0" w:header="499" w:footer="357" w:gutter="0"/>
          <w:pgBorders>
            <w:top w:val="none" w:sz="0" w:space="0"/>
            <w:left w:val="none" w:sz="0" w:space="0"/>
            <w:bottom w:val="none" w:sz="0" w:space="0"/>
            <w:right w:val="none" w:sz="0" w:space="0"/>
          </w:pgBorders>
          <w:cols w:space="720" w:num="1"/>
        </w:sectPr>
      </w:pPr>
    </w:p>
    <w:p w14:paraId="1A1E9FC5">
      <w:pPr>
        <w:spacing w:line="250" w:lineRule="auto"/>
        <w:rPr>
          <w:rFonts w:ascii="Arial"/>
          <w:sz w:val="21"/>
        </w:rPr>
      </w:pPr>
    </w:p>
    <w:p w14:paraId="0A1346B3">
      <w:pPr>
        <w:pStyle w:val="2"/>
        <w:spacing w:before="78" w:line="308" w:lineRule="auto"/>
        <w:ind w:left="1458" w:right="1355" w:firstLine="1"/>
        <w:jc w:val="both"/>
        <w:rPr>
          <w:sz w:val="24"/>
          <w:szCs w:val="24"/>
        </w:rPr>
      </w:pPr>
      <w:r>
        <w:rPr>
          <w:spacing w:val="-19"/>
          <w:sz w:val="24"/>
          <w:szCs w:val="24"/>
        </w:rPr>
        <w:t>一般每亩施农家肥1500㎏，磷肥20㎏用做底肥，条播行距为15～30㎝</w:t>
      </w:r>
      <w:r>
        <w:rPr>
          <w:spacing w:val="-20"/>
          <w:sz w:val="24"/>
          <w:szCs w:val="24"/>
        </w:rPr>
        <w:t>，播深为1～2㎝，播种量每亩为2～2.5㎏，人工草地可撒播，对草地要加强水肥管理，</w:t>
      </w:r>
      <w:r>
        <w:rPr>
          <w:spacing w:val="-21"/>
          <w:sz w:val="24"/>
          <w:szCs w:val="24"/>
        </w:rPr>
        <w:t>除施足基肥外，要注意适当</w:t>
      </w:r>
      <w:r>
        <w:rPr>
          <w:spacing w:val="-24"/>
          <w:sz w:val="24"/>
          <w:szCs w:val="24"/>
        </w:rPr>
        <w:t>追肥，每次刈割后应及时追施速效氮肥，生长期间注意浇灌水，可显著增加生长速度，分蘖多，</w:t>
      </w:r>
      <w:r>
        <w:rPr>
          <w:spacing w:val="-22"/>
          <w:sz w:val="24"/>
          <w:szCs w:val="24"/>
        </w:rPr>
        <w:t>茎叶繁茂，可抑制杂草生长。</w:t>
      </w:r>
    </w:p>
    <w:p w14:paraId="12792DE6">
      <w:pPr>
        <w:pStyle w:val="2"/>
        <w:spacing w:line="215" w:lineRule="auto"/>
        <w:ind w:left="1893"/>
        <w:rPr>
          <w:sz w:val="24"/>
          <w:szCs w:val="24"/>
        </w:rPr>
      </w:pPr>
      <w:r>
        <w:rPr>
          <w:spacing w:val="-21"/>
          <w:sz w:val="24"/>
          <w:szCs w:val="24"/>
        </w:rPr>
        <w:t>按设计放样确定边线范围，种植时应注意植物块面高差整</w:t>
      </w:r>
      <w:r>
        <w:rPr>
          <w:spacing w:val="-22"/>
          <w:sz w:val="24"/>
          <w:szCs w:val="24"/>
        </w:rPr>
        <w:t>齐、轮廓分明、边线流畅自然。</w:t>
      </w:r>
    </w:p>
    <w:p w14:paraId="303ED204">
      <w:pPr>
        <w:pStyle w:val="2"/>
        <w:spacing w:before="118" w:line="217" w:lineRule="auto"/>
        <w:ind w:left="1888"/>
        <w:rPr>
          <w:sz w:val="24"/>
          <w:szCs w:val="24"/>
        </w:rPr>
      </w:pPr>
      <w:r>
        <w:rPr>
          <w:spacing w:val="-15"/>
          <w:sz w:val="24"/>
          <w:szCs w:val="24"/>
        </w:rPr>
        <w:t>2.9、种植后养护</w:t>
      </w:r>
    </w:p>
    <w:p w14:paraId="04E6CC6E">
      <w:pPr>
        <w:pStyle w:val="2"/>
        <w:spacing w:before="120" w:line="307" w:lineRule="auto"/>
        <w:ind w:left="1460" w:right="1431" w:firstLine="434"/>
        <w:rPr>
          <w:sz w:val="24"/>
          <w:szCs w:val="24"/>
        </w:rPr>
      </w:pPr>
      <w:r>
        <w:rPr>
          <w:spacing w:val="-20"/>
          <w:sz w:val="24"/>
          <w:szCs w:val="24"/>
        </w:rPr>
        <w:t>在苗木种植完毕后只有使苗木保持良好的生长条件，才能达到较好苗木成活</w:t>
      </w:r>
      <w:r>
        <w:rPr>
          <w:spacing w:val="-21"/>
          <w:sz w:val="24"/>
          <w:szCs w:val="24"/>
        </w:rPr>
        <w:t>率。为此，我们将采取以下养护管理措施：</w:t>
      </w:r>
    </w:p>
    <w:p w14:paraId="0AA0CBAE">
      <w:pPr>
        <w:pStyle w:val="2"/>
        <w:spacing w:line="217" w:lineRule="auto"/>
        <w:ind w:left="1888"/>
        <w:rPr>
          <w:sz w:val="24"/>
          <w:szCs w:val="24"/>
        </w:rPr>
      </w:pPr>
      <w:r>
        <w:rPr>
          <w:spacing w:val="-15"/>
          <w:sz w:val="24"/>
          <w:szCs w:val="24"/>
        </w:rPr>
        <w:t>2.9.1苗木的缠杆</w:t>
      </w:r>
    </w:p>
    <w:p w14:paraId="4C2F6655">
      <w:pPr>
        <w:pStyle w:val="2"/>
        <w:spacing w:before="118" w:line="215" w:lineRule="auto"/>
        <w:ind w:left="1901"/>
        <w:rPr>
          <w:sz w:val="24"/>
          <w:szCs w:val="24"/>
        </w:rPr>
      </w:pPr>
      <w:r>
        <w:rPr>
          <w:spacing w:val="-22"/>
          <w:sz w:val="24"/>
          <w:szCs w:val="24"/>
        </w:rPr>
        <w:t>为提高苗木的成活率，乔灌木在种植后应马上缠杆，用草绳或麻布缠杆至苗木的分枝点。</w:t>
      </w:r>
    </w:p>
    <w:p w14:paraId="6A3C0959">
      <w:pPr>
        <w:pStyle w:val="2"/>
        <w:spacing w:before="122" w:line="217" w:lineRule="auto"/>
        <w:ind w:left="1888"/>
        <w:rPr>
          <w:sz w:val="24"/>
          <w:szCs w:val="24"/>
        </w:rPr>
      </w:pPr>
      <w:r>
        <w:rPr>
          <w:spacing w:val="-15"/>
          <w:sz w:val="24"/>
          <w:szCs w:val="24"/>
        </w:rPr>
        <w:t>2.9.2苗木的支撑</w:t>
      </w:r>
    </w:p>
    <w:p w14:paraId="00F34EF3">
      <w:pPr>
        <w:pStyle w:val="2"/>
        <w:spacing w:before="117" w:line="262" w:lineRule="auto"/>
        <w:ind w:left="1456" w:right="1409" w:firstLine="436"/>
        <w:rPr>
          <w:sz w:val="24"/>
          <w:szCs w:val="24"/>
        </w:rPr>
      </w:pPr>
      <w:r>
        <w:rPr>
          <w:spacing w:val="-22"/>
          <w:sz w:val="24"/>
          <w:szCs w:val="24"/>
        </w:rPr>
        <w:t>（1）为防止松动或风倒，应进行支撑。大树的支撑宜用扁担桩十字架和三角撑，低矮</w:t>
      </w:r>
      <w:r>
        <w:rPr>
          <w:spacing w:val="-23"/>
          <w:sz w:val="24"/>
          <w:szCs w:val="24"/>
        </w:rPr>
        <w:t>树可</w:t>
      </w:r>
      <w:r>
        <w:rPr>
          <w:spacing w:val="-21"/>
          <w:sz w:val="24"/>
          <w:szCs w:val="24"/>
        </w:rPr>
        <w:t>用扁担桩，高大树木可用三角撑，风大树大的可二种桩结合起</w:t>
      </w:r>
      <w:r>
        <w:rPr>
          <w:spacing w:val="-22"/>
          <w:sz w:val="24"/>
          <w:szCs w:val="24"/>
        </w:rPr>
        <w:t>来用。</w:t>
      </w:r>
    </w:p>
    <w:p w14:paraId="08015F66">
      <w:pPr>
        <w:pStyle w:val="2"/>
        <w:spacing w:before="118" w:line="261" w:lineRule="auto"/>
        <w:ind w:left="1462" w:right="1410" w:firstLine="431"/>
        <w:rPr>
          <w:sz w:val="24"/>
          <w:szCs w:val="24"/>
        </w:rPr>
      </w:pPr>
      <w:r>
        <w:rPr>
          <w:spacing w:val="-19"/>
          <w:sz w:val="24"/>
          <w:szCs w:val="24"/>
        </w:rPr>
        <w:t>（2）扁担桩的竖桩不得小于2-3m、入土深度1-2m，桩位应</w:t>
      </w:r>
      <w:r>
        <w:rPr>
          <w:spacing w:val="-20"/>
          <w:sz w:val="24"/>
          <w:szCs w:val="24"/>
        </w:rPr>
        <w:t>在根系和土球范围外，水平桩</w:t>
      </w:r>
      <w:r>
        <w:rPr>
          <w:spacing w:val="-22"/>
          <w:sz w:val="24"/>
          <w:szCs w:val="24"/>
        </w:rPr>
        <w:t>离地lm以上，两水平桩十字交叉位置应在树干的上风方向，扎缚处应垫软物。</w:t>
      </w:r>
    </w:p>
    <w:p w14:paraId="67EAAFAD">
      <w:pPr>
        <w:pStyle w:val="2"/>
        <w:spacing w:before="122" w:line="285" w:lineRule="auto"/>
        <w:ind w:left="1458" w:right="1410" w:firstLine="434"/>
        <w:rPr>
          <w:sz w:val="24"/>
          <w:szCs w:val="24"/>
        </w:rPr>
      </w:pPr>
      <w:r>
        <w:rPr>
          <w:spacing w:val="-20"/>
          <w:sz w:val="24"/>
          <w:szCs w:val="24"/>
        </w:rPr>
        <w:t>（3）三角撑即取三根竹杆，在树干高2/3处结扎，用毛竹或钢丝绳固定，在绑扎点</w:t>
      </w:r>
      <w:r>
        <w:rPr>
          <w:spacing w:val="-21"/>
          <w:sz w:val="24"/>
          <w:szCs w:val="24"/>
        </w:rPr>
        <w:t>应用麻</w:t>
      </w:r>
      <w:r>
        <w:rPr>
          <w:spacing w:val="-20"/>
          <w:sz w:val="24"/>
          <w:szCs w:val="24"/>
        </w:rPr>
        <w:t>布或橡皮块包住，以免磨去皮层，然后均匀布置三根竹杆位置（三角撑的一根撑干必须在主风向上位，其他两根可均匀分布</w:t>
      </w:r>
      <w:r>
        <w:rPr>
          <w:spacing w:val="-17"/>
          <w:sz w:val="24"/>
          <w:szCs w:val="24"/>
        </w:rPr>
        <w:t>），</w:t>
      </w:r>
      <w:r>
        <w:rPr>
          <w:spacing w:val="-20"/>
          <w:sz w:val="24"/>
          <w:szCs w:val="24"/>
        </w:rPr>
        <w:t>着地点用石块垫住或跟打入地下的桩固定好，树杆要保持直</w:t>
      </w:r>
      <w:r>
        <w:rPr>
          <w:spacing w:val="-21"/>
          <w:sz w:val="24"/>
          <w:szCs w:val="24"/>
        </w:rPr>
        <w:t>立。发现土面下沉时，必须及时升高扎缚部位，以免吊桩。</w:t>
      </w:r>
    </w:p>
    <w:p w14:paraId="3621B7E2">
      <w:pPr>
        <w:pStyle w:val="2"/>
        <w:spacing w:before="118" w:line="217" w:lineRule="auto"/>
        <w:ind w:left="1888"/>
        <w:rPr>
          <w:sz w:val="24"/>
          <w:szCs w:val="24"/>
        </w:rPr>
      </w:pPr>
      <w:r>
        <w:rPr>
          <w:spacing w:val="-17"/>
          <w:sz w:val="24"/>
          <w:szCs w:val="24"/>
        </w:rPr>
        <w:t>2.9.3苗木种植后的灌溉与排水</w:t>
      </w:r>
    </w:p>
    <w:p w14:paraId="098EE252">
      <w:pPr>
        <w:pStyle w:val="2"/>
        <w:spacing w:before="118" w:line="262" w:lineRule="auto"/>
        <w:ind w:left="1456" w:right="1339" w:firstLine="436"/>
        <w:rPr>
          <w:sz w:val="24"/>
          <w:szCs w:val="24"/>
        </w:rPr>
      </w:pPr>
      <w:r>
        <w:rPr>
          <w:spacing w:val="-22"/>
          <w:sz w:val="24"/>
          <w:szCs w:val="24"/>
        </w:rPr>
        <w:t>（1）树苗栽好后要立即灌水，灌水时要注意不损坏土围堰。土围堰中要灌满水，让</w:t>
      </w:r>
      <w:r>
        <w:rPr>
          <w:spacing w:val="-23"/>
          <w:sz w:val="24"/>
          <w:szCs w:val="24"/>
        </w:rPr>
        <w:t>水慢慢浸下到种植穴内。灌溉用水不能采用有害污水。灌溉时，要注意保护树木根</w:t>
      </w:r>
      <w:r>
        <w:rPr>
          <w:spacing w:val="-24"/>
          <w:sz w:val="24"/>
          <w:szCs w:val="24"/>
        </w:rPr>
        <w:t>部的土壤不被冲刷。</w:t>
      </w:r>
    </w:p>
    <w:p w14:paraId="1AA0017F">
      <w:pPr>
        <w:pStyle w:val="2"/>
        <w:spacing w:before="119" w:line="262" w:lineRule="auto"/>
        <w:ind w:left="1473" w:right="1411" w:firstLine="419"/>
        <w:rPr>
          <w:sz w:val="24"/>
          <w:szCs w:val="24"/>
        </w:rPr>
      </w:pPr>
      <w:r>
        <w:rPr>
          <w:spacing w:val="-22"/>
          <w:sz w:val="24"/>
          <w:szCs w:val="24"/>
        </w:rPr>
        <w:t>（2）浇水时应防止因水流过急冲刷裸露根系或冲毁围堰，造成跑漏水。浇水后</w:t>
      </w:r>
      <w:r>
        <w:rPr>
          <w:spacing w:val="-23"/>
          <w:sz w:val="24"/>
          <w:szCs w:val="24"/>
        </w:rPr>
        <w:t>出现土壤沉陷，致使树木倾斜时，应及时扶正、培土。</w:t>
      </w:r>
    </w:p>
    <w:p w14:paraId="4B8F0F18">
      <w:pPr>
        <w:pStyle w:val="2"/>
        <w:spacing w:before="118" w:line="262" w:lineRule="auto"/>
        <w:ind w:left="1456" w:right="1409" w:firstLine="436"/>
        <w:rPr>
          <w:sz w:val="24"/>
          <w:szCs w:val="24"/>
        </w:rPr>
      </w:pPr>
      <w:r>
        <w:rPr>
          <w:spacing w:val="-22"/>
          <w:sz w:val="24"/>
          <w:szCs w:val="24"/>
        </w:rPr>
        <w:t>（3）浇水要掌握“不干不浇，浇则浇透”的原则。如遇干旱天气，应增加浇水次数，</w:t>
      </w:r>
      <w:r>
        <w:rPr>
          <w:spacing w:val="-23"/>
          <w:sz w:val="24"/>
          <w:szCs w:val="24"/>
        </w:rPr>
        <w:t>高温</w:t>
      </w:r>
      <w:r>
        <w:rPr>
          <w:spacing w:val="-19"/>
          <w:sz w:val="24"/>
          <w:szCs w:val="24"/>
        </w:rPr>
        <w:t>期间，浇水宜在上午10时前和下午15时后进行。</w:t>
      </w:r>
    </w:p>
    <w:p w14:paraId="0BF4B285">
      <w:pPr>
        <w:pStyle w:val="2"/>
        <w:spacing w:before="119" w:line="263" w:lineRule="auto"/>
        <w:ind w:left="1457" w:right="1412" w:firstLine="435"/>
        <w:rPr>
          <w:sz w:val="24"/>
          <w:szCs w:val="24"/>
        </w:rPr>
      </w:pPr>
      <w:r>
        <w:rPr>
          <w:spacing w:val="-22"/>
          <w:sz w:val="24"/>
          <w:szCs w:val="24"/>
        </w:rPr>
        <w:t>（4）发现雨后积水应立即排除。对于栽种于地下水位较高地块的苗木特别是大</w:t>
      </w:r>
      <w:r>
        <w:rPr>
          <w:spacing w:val="-23"/>
          <w:sz w:val="24"/>
          <w:szCs w:val="24"/>
        </w:rPr>
        <w:t>乔木更应采</w:t>
      </w:r>
      <w:r>
        <w:rPr>
          <w:spacing w:val="-19"/>
          <w:sz w:val="24"/>
          <w:szCs w:val="24"/>
        </w:rPr>
        <w:t>取有效的排水措施</w:t>
      </w:r>
    </w:p>
    <w:p w14:paraId="0ADB4D7A">
      <w:pPr>
        <w:pStyle w:val="2"/>
        <w:spacing w:before="118" w:line="217" w:lineRule="auto"/>
        <w:ind w:left="1888"/>
        <w:rPr>
          <w:sz w:val="24"/>
          <w:szCs w:val="24"/>
        </w:rPr>
      </w:pPr>
      <w:r>
        <w:rPr>
          <w:spacing w:val="-15"/>
          <w:sz w:val="24"/>
          <w:szCs w:val="24"/>
        </w:rPr>
        <w:t>2.9.4特殊防护措施</w:t>
      </w:r>
    </w:p>
    <w:p w14:paraId="22265DC4">
      <w:pPr>
        <w:pStyle w:val="2"/>
        <w:spacing w:before="117" w:line="308" w:lineRule="auto"/>
        <w:ind w:left="1455" w:right="1448" w:firstLine="448"/>
        <w:rPr>
          <w:sz w:val="24"/>
          <w:szCs w:val="24"/>
        </w:rPr>
      </w:pPr>
      <w:r>
        <w:rPr>
          <w:spacing w:val="-21"/>
          <w:sz w:val="24"/>
          <w:szCs w:val="24"/>
        </w:rPr>
        <w:t>落叶乔木在非种植季节进行种植时，应根据不同情况分别采取夏天搭棚遮阴，树冠喷雾、树干保湿、保持空气湿润；冬季应防风防寒等技术措施。</w:t>
      </w:r>
    </w:p>
    <w:p w14:paraId="3F67F1C8">
      <w:pPr>
        <w:pStyle w:val="2"/>
        <w:spacing w:before="1" w:line="215" w:lineRule="auto"/>
        <w:ind w:left="1895"/>
        <w:rPr>
          <w:sz w:val="24"/>
          <w:szCs w:val="24"/>
        </w:rPr>
      </w:pPr>
      <w:r>
        <w:rPr>
          <w:spacing w:val="-21"/>
          <w:sz w:val="24"/>
          <w:szCs w:val="24"/>
        </w:rPr>
        <w:t>对人员较多的广场、人行道，树木栽植后，种植池应铺设</w:t>
      </w:r>
      <w:r>
        <w:rPr>
          <w:spacing w:val="-22"/>
          <w:sz w:val="24"/>
          <w:szCs w:val="24"/>
        </w:rPr>
        <w:t>透气护栅。</w:t>
      </w:r>
    </w:p>
    <w:p w14:paraId="11611166">
      <w:pPr>
        <w:pStyle w:val="2"/>
        <w:spacing w:before="118" w:line="218" w:lineRule="auto"/>
        <w:ind w:left="1888"/>
        <w:rPr>
          <w:sz w:val="24"/>
          <w:szCs w:val="24"/>
        </w:rPr>
      </w:pPr>
      <w:r>
        <w:rPr>
          <w:spacing w:val="-16"/>
          <w:sz w:val="24"/>
          <w:szCs w:val="24"/>
        </w:rPr>
        <w:t>2.10质量验收标准</w:t>
      </w:r>
    </w:p>
    <w:p w14:paraId="6C0D804D">
      <w:pPr>
        <w:pStyle w:val="2"/>
        <w:spacing w:before="117" w:line="217" w:lineRule="auto"/>
        <w:ind w:left="1888"/>
        <w:rPr>
          <w:sz w:val="24"/>
          <w:szCs w:val="24"/>
        </w:rPr>
      </w:pPr>
      <w:r>
        <w:rPr>
          <w:spacing w:val="-19"/>
          <w:sz w:val="24"/>
          <w:szCs w:val="24"/>
        </w:rPr>
        <w:t>2.10.1乔灌木的成活率达到100%以上，珍贵树种和孤植树应保证</w:t>
      </w:r>
      <w:r>
        <w:rPr>
          <w:spacing w:val="-20"/>
          <w:sz w:val="24"/>
          <w:szCs w:val="24"/>
        </w:rPr>
        <w:t>成活。</w:t>
      </w:r>
    </w:p>
    <w:p w14:paraId="72827E9C">
      <w:pPr>
        <w:pStyle w:val="2"/>
        <w:spacing w:before="119" w:line="216" w:lineRule="auto"/>
        <w:ind w:left="1888"/>
        <w:rPr>
          <w:sz w:val="24"/>
          <w:szCs w:val="24"/>
        </w:rPr>
      </w:pPr>
      <w:r>
        <w:rPr>
          <w:spacing w:val="-18"/>
          <w:sz w:val="24"/>
          <w:szCs w:val="24"/>
        </w:rPr>
        <w:t>2.10.2花卉种植地无杂草、无枯黄、各种花卉成长茂盛，种植成活率达到100%。</w:t>
      </w:r>
    </w:p>
    <w:p w14:paraId="7BE24BBC">
      <w:pPr>
        <w:pStyle w:val="2"/>
        <w:spacing w:before="117" w:line="217" w:lineRule="auto"/>
        <w:ind w:left="1888"/>
        <w:rPr>
          <w:sz w:val="24"/>
          <w:szCs w:val="24"/>
        </w:rPr>
      </w:pPr>
      <w:r>
        <w:rPr>
          <w:spacing w:val="-16"/>
          <w:sz w:val="24"/>
          <w:szCs w:val="24"/>
        </w:rPr>
        <w:t>2.10.3草坪无杂草、无枯黄、种植履盖率达到100%。</w:t>
      </w:r>
    </w:p>
    <w:p w14:paraId="64828F72">
      <w:pPr>
        <w:spacing w:line="217" w:lineRule="auto"/>
        <w:rPr>
          <w:sz w:val="24"/>
          <w:szCs w:val="24"/>
        </w:rPr>
        <w:sectPr>
          <w:footerReference r:id="rId122" w:type="default"/>
          <w:pgSz w:w="11907" w:h="16839"/>
          <w:pgMar w:top="954" w:right="4" w:bottom="1038" w:left="0" w:header="499" w:footer="357" w:gutter="0"/>
          <w:pgBorders>
            <w:top w:val="none" w:sz="0" w:space="0"/>
            <w:left w:val="none" w:sz="0" w:space="0"/>
            <w:bottom w:val="none" w:sz="0" w:space="0"/>
            <w:right w:val="none" w:sz="0" w:space="0"/>
          </w:pgBorders>
          <w:cols w:space="720" w:num="1"/>
        </w:sectPr>
      </w:pPr>
    </w:p>
    <w:p w14:paraId="4C8977BE">
      <w:pPr>
        <w:spacing w:line="250" w:lineRule="auto"/>
        <w:rPr>
          <w:rFonts w:ascii="Arial"/>
          <w:sz w:val="21"/>
        </w:rPr>
      </w:pPr>
    </w:p>
    <w:p w14:paraId="1B345666">
      <w:pPr>
        <w:pStyle w:val="2"/>
        <w:spacing w:before="78" w:line="218" w:lineRule="auto"/>
        <w:ind w:left="1888"/>
        <w:rPr>
          <w:sz w:val="24"/>
          <w:szCs w:val="24"/>
        </w:rPr>
      </w:pPr>
      <w:r>
        <w:rPr>
          <w:spacing w:val="-17"/>
          <w:sz w:val="24"/>
          <w:szCs w:val="24"/>
        </w:rPr>
        <w:t>2.10.4绿地整洁，表面平整。</w:t>
      </w:r>
    </w:p>
    <w:p w14:paraId="79A558A5">
      <w:pPr>
        <w:pStyle w:val="2"/>
        <w:spacing w:before="117" w:line="216" w:lineRule="auto"/>
        <w:ind w:left="1888"/>
        <w:rPr>
          <w:sz w:val="24"/>
          <w:szCs w:val="24"/>
        </w:rPr>
      </w:pPr>
      <w:r>
        <w:rPr>
          <w:spacing w:val="-19"/>
          <w:sz w:val="24"/>
          <w:szCs w:val="24"/>
        </w:rPr>
        <w:t>2.10.5种植的植物材料的整形修剪符合设计要求。</w:t>
      </w:r>
    </w:p>
    <w:p w14:paraId="3CEDC071">
      <w:pPr>
        <w:pStyle w:val="2"/>
        <w:spacing w:before="82" w:line="219" w:lineRule="auto"/>
        <w:ind w:left="1985"/>
        <w:outlineLvl w:val="2"/>
        <w:rPr>
          <w:sz w:val="28"/>
          <w:szCs w:val="28"/>
        </w:rPr>
      </w:pPr>
      <w:bookmarkStart w:id="61" w:name="bookmark60"/>
      <w:bookmarkEnd w:id="61"/>
      <w:r>
        <w:rPr>
          <w:b/>
          <w:bCs/>
          <w:spacing w:val="-23"/>
          <w:sz w:val="28"/>
          <w:szCs w:val="28"/>
        </w:rPr>
        <w:t>三、大树移植施工方案</w:t>
      </w:r>
    </w:p>
    <w:p w14:paraId="7CB674CF">
      <w:pPr>
        <w:pStyle w:val="2"/>
        <w:spacing w:before="104" w:line="219" w:lineRule="auto"/>
        <w:ind w:left="1890"/>
        <w:rPr>
          <w:sz w:val="24"/>
          <w:szCs w:val="24"/>
        </w:rPr>
      </w:pPr>
      <w:r>
        <w:rPr>
          <w:spacing w:val="-12"/>
          <w:sz w:val="24"/>
          <w:szCs w:val="24"/>
        </w:rPr>
        <w:t>3.1、选苗</w:t>
      </w:r>
    </w:p>
    <w:p w14:paraId="0ABAB553">
      <w:pPr>
        <w:pStyle w:val="2"/>
        <w:spacing w:before="116" w:line="215" w:lineRule="auto"/>
        <w:ind w:left="1924"/>
        <w:rPr>
          <w:sz w:val="24"/>
          <w:szCs w:val="24"/>
        </w:rPr>
      </w:pPr>
      <w:r>
        <w:rPr>
          <w:spacing w:val="-22"/>
          <w:sz w:val="24"/>
          <w:szCs w:val="24"/>
        </w:rPr>
        <w:t>由于大规格苗木较稀有且苗圃中存量较少，因此在选苗时</w:t>
      </w:r>
      <w:r>
        <w:rPr>
          <w:spacing w:val="-23"/>
          <w:sz w:val="24"/>
          <w:szCs w:val="24"/>
        </w:rPr>
        <w:t>，应做到：</w:t>
      </w:r>
    </w:p>
    <w:p w14:paraId="180ECC48">
      <w:pPr>
        <w:pStyle w:val="2"/>
        <w:spacing w:before="118" w:line="216" w:lineRule="auto"/>
        <w:ind w:left="1890"/>
        <w:rPr>
          <w:sz w:val="24"/>
          <w:szCs w:val="24"/>
        </w:rPr>
      </w:pPr>
      <w:r>
        <w:rPr>
          <w:spacing w:val="-19"/>
          <w:sz w:val="24"/>
          <w:szCs w:val="24"/>
        </w:rPr>
        <w:t>3.1.1苗壮、芽饱满、无病虫害、苗木生长势好</w:t>
      </w:r>
    </w:p>
    <w:p w14:paraId="05C5CEF9">
      <w:pPr>
        <w:pStyle w:val="2"/>
        <w:spacing w:before="120" w:line="308" w:lineRule="auto"/>
        <w:ind w:left="1457" w:right="1409" w:firstLine="438"/>
        <w:rPr>
          <w:sz w:val="24"/>
          <w:szCs w:val="24"/>
        </w:rPr>
      </w:pPr>
      <w:r>
        <w:rPr>
          <w:spacing w:val="-20"/>
          <w:sz w:val="24"/>
          <w:szCs w:val="24"/>
        </w:rPr>
        <w:t>大规格乔木由于生长年限较长，因此有的生长不良，芽不饱满且多病虫害，移栽后由于受伤，树势较弱，病虫害蔓延，不易生长。因此选树时必须选择树势生长健壮，芽子饱满、无病虫害，在满足设计规格的同时尽量选树势生长旺盛的苗木，移栽后苗木恢复快，成活率高，且</w:t>
      </w:r>
      <w:r>
        <w:rPr>
          <w:spacing w:val="-18"/>
          <w:sz w:val="24"/>
          <w:szCs w:val="24"/>
        </w:rPr>
        <w:t>能保证景观。</w:t>
      </w:r>
    </w:p>
    <w:p w14:paraId="16502CDE">
      <w:pPr>
        <w:pStyle w:val="2"/>
        <w:spacing w:before="1" w:line="217" w:lineRule="auto"/>
        <w:ind w:left="1890"/>
        <w:rPr>
          <w:sz w:val="24"/>
          <w:szCs w:val="24"/>
        </w:rPr>
      </w:pPr>
      <w:r>
        <w:rPr>
          <w:spacing w:val="-17"/>
          <w:sz w:val="24"/>
          <w:szCs w:val="24"/>
        </w:rPr>
        <w:t>3.1.2冠形饱满，树干较直</w:t>
      </w:r>
    </w:p>
    <w:p w14:paraId="2C4F49C5">
      <w:pPr>
        <w:pStyle w:val="2"/>
        <w:spacing w:before="115" w:line="308" w:lineRule="auto"/>
        <w:ind w:left="1455" w:right="1411" w:firstLine="440"/>
        <w:rPr>
          <w:sz w:val="24"/>
          <w:szCs w:val="24"/>
        </w:rPr>
      </w:pPr>
      <w:r>
        <w:rPr>
          <w:spacing w:val="-20"/>
          <w:sz w:val="24"/>
          <w:szCs w:val="24"/>
        </w:rPr>
        <w:t>大规格乔木，由于生长年限较长，且多在野外偏僻处，苗圃苗较少。因此，较少得到人工抚育，大部分树冠由于生长环境，树势、土壤、遮荫、自然界竞争等多种因素影响，容易造成偏冠，树干弯曲。而本工程所用材料为城市景观大道，因此必须选择冠形圆满，无偏冠，干形</w:t>
      </w:r>
      <w:r>
        <w:rPr>
          <w:spacing w:val="-22"/>
          <w:sz w:val="24"/>
          <w:szCs w:val="24"/>
        </w:rPr>
        <w:t>较直，无破损的苗木，才能达到预期效果。</w:t>
      </w:r>
    </w:p>
    <w:p w14:paraId="10BEA07D">
      <w:pPr>
        <w:pStyle w:val="2"/>
        <w:spacing w:before="1" w:line="215" w:lineRule="auto"/>
        <w:ind w:left="1890"/>
        <w:rPr>
          <w:sz w:val="24"/>
          <w:szCs w:val="24"/>
        </w:rPr>
      </w:pPr>
      <w:r>
        <w:rPr>
          <w:spacing w:val="-17"/>
          <w:sz w:val="24"/>
          <w:szCs w:val="24"/>
        </w:rPr>
        <w:t>3.1.3土层深厚，易带土球</w:t>
      </w:r>
    </w:p>
    <w:p w14:paraId="269E8E0D">
      <w:pPr>
        <w:pStyle w:val="2"/>
        <w:spacing w:before="119" w:line="308" w:lineRule="auto"/>
        <w:ind w:left="1455" w:right="1414" w:firstLine="440"/>
        <w:rPr>
          <w:sz w:val="24"/>
          <w:szCs w:val="24"/>
        </w:rPr>
      </w:pPr>
      <w:r>
        <w:rPr>
          <w:spacing w:val="-20"/>
          <w:sz w:val="24"/>
          <w:szCs w:val="24"/>
        </w:rPr>
        <w:t>大多数大规格苗木多生长在土层瘠薄、粗放管理之处，挖苗时土球不易挖掘，</w:t>
      </w:r>
      <w:r>
        <w:rPr>
          <w:spacing w:val="-21"/>
          <w:sz w:val="24"/>
          <w:szCs w:val="24"/>
        </w:rPr>
        <w:t>而且，由于</w:t>
      </w:r>
      <w:r>
        <w:rPr>
          <w:spacing w:val="-20"/>
          <w:sz w:val="24"/>
          <w:szCs w:val="24"/>
        </w:rPr>
        <w:t>树龄较长，根系延伸远，毛细根少，因此，起苗时，尽可能选择粘土土质，土层深厚，土球不</w:t>
      </w:r>
      <w:r>
        <w:rPr>
          <w:spacing w:val="-21"/>
          <w:sz w:val="24"/>
          <w:szCs w:val="24"/>
        </w:rPr>
        <w:t>易散裂的苗木，才能保证成活率。</w:t>
      </w:r>
    </w:p>
    <w:p w14:paraId="7C3436C7">
      <w:pPr>
        <w:pStyle w:val="2"/>
        <w:spacing w:before="1" w:line="215" w:lineRule="auto"/>
        <w:ind w:left="1890"/>
        <w:rPr>
          <w:sz w:val="24"/>
          <w:szCs w:val="24"/>
        </w:rPr>
      </w:pPr>
      <w:r>
        <w:rPr>
          <w:spacing w:val="-19"/>
          <w:sz w:val="24"/>
          <w:szCs w:val="24"/>
        </w:rPr>
        <w:t>3.1.4能适应栽植地点的环境条件</w:t>
      </w:r>
    </w:p>
    <w:p w14:paraId="35DCDB96">
      <w:pPr>
        <w:pStyle w:val="2"/>
        <w:spacing w:before="118" w:line="218" w:lineRule="auto"/>
        <w:ind w:left="1893"/>
        <w:rPr>
          <w:sz w:val="24"/>
          <w:szCs w:val="24"/>
        </w:rPr>
      </w:pPr>
      <w:r>
        <w:rPr>
          <w:spacing w:val="-20"/>
          <w:sz w:val="24"/>
          <w:szCs w:val="24"/>
        </w:rPr>
        <w:t>做到适地适树,要遵循生态环境的发展规律。</w:t>
      </w:r>
    </w:p>
    <w:p w14:paraId="3831E1F8">
      <w:pPr>
        <w:pStyle w:val="2"/>
        <w:spacing w:before="118" w:line="217" w:lineRule="auto"/>
        <w:ind w:left="1890"/>
        <w:rPr>
          <w:sz w:val="24"/>
          <w:szCs w:val="24"/>
        </w:rPr>
      </w:pPr>
      <w:r>
        <w:rPr>
          <w:spacing w:val="-14"/>
          <w:sz w:val="24"/>
          <w:szCs w:val="24"/>
        </w:rPr>
        <w:t>3.1.5苗木标记</w:t>
      </w:r>
    </w:p>
    <w:p w14:paraId="27971135">
      <w:pPr>
        <w:pStyle w:val="2"/>
        <w:spacing w:before="120" w:line="307" w:lineRule="auto"/>
        <w:ind w:left="1457" w:right="1410" w:firstLine="437"/>
        <w:rPr>
          <w:sz w:val="24"/>
          <w:szCs w:val="24"/>
        </w:rPr>
      </w:pPr>
      <w:r>
        <w:rPr>
          <w:spacing w:val="-20"/>
          <w:sz w:val="24"/>
          <w:szCs w:val="24"/>
        </w:rPr>
        <w:t>苗木原环境条件适宜挖掘、吊装和运输操作，土壤不易松散，能成形。选定的大树，用油漆或绳子在树干胸径处做出明显的标记。以利识别选定的单株和栽植朝向；同时，要建立登记卡，记录树种、高度、干径、分枝点高度、树冠形状和主要观赏面，以便进行分类和确定栽植</w:t>
      </w:r>
      <w:r>
        <w:rPr>
          <w:spacing w:val="-13"/>
          <w:sz w:val="24"/>
          <w:szCs w:val="24"/>
        </w:rPr>
        <w:t>顺序。</w:t>
      </w:r>
    </w:p>
    <w:p w14:paraId="0521B62D">
      <w:pPr>
        <w:pStyle w:val="2"/>
        <w:spacing w:before="1" w:line="217" w:lineRule="auto"/>
        <w:ind w:left="1890"/>
        <w:rPr>
          <w:sz w:val="24"/>
          <w:szCs w:val="24"/>
        </w:rPr>
      </w:pPr>
      <w:r>
        <w:rPr>
          <w:spacing w:val="-16"/>
          <w:sz w:val="24"/>
          <w:szCs w:val="24"/>
        </w:rPr>
        <w:t>3.1.6选取苗木标准</w:t>
      </w:r>
    </w:p>
    <w:p w14:paraId="404D82EB">
      <w:pPr>
        <w:pStyle w:val="2"/>
        <w:spacing w:before="117" w:line="308" w:lineRule="auto"/>
        <w:ind w:left="1459" w:right="1412" w:firstLine="435"/>
        <w:rPr>
          <w:sz w:val="24"/>
          <w:szCs w:val="24"/>
        </w:rPr>
      </w:pPr>
      <w:r>
        <w:rPr>
          <w:spacing w:val="-21"/>
          <w:sz w:val="24"/>
          <w:szCs w:val="24"/>
        </w:rPr>
        <w:t>苗木必须是已在苗圃断根屯集了2年以上或容器栽植苗，尽</w:t>
      </w:r>
      <w:r>
        <w:rPr>
          <w:spacing w:val="-22"/>
          <w:sz w:val="24"/>
          <w:szCs w:val="24"/>
        </w:rPr>
        <w:t>量不在非绿化季节临时断根带</w:t>
      </w:r>
      <w:r>
        <w:rPr>
          <w:spacing w:val="-20"/>
          <w:sz w:val="24"/>
          <w:szCs w:val="24"/>
        </w:rPr>
        <w:t>冠移植。掘起屯集苗时，应在大于原来土球直径30cm左右处下挖，保护土球外围新生根。</w:t>
      </w:r>
    </w:p>
    <w:p w14:paraId="7F9B14FA">
      <w:pPr>
        <w:pStyle w:val="2"/>
        <w:spacing w:line="217" w:lineRule="auto"/>
        <w:ind w:left="1890"/>
        <w:rPr>
          <w:sz w:val="24"/>
          <w:szCs w:val="24"/>
        </w:rPr>
      </w:pPr>
      <w:r>
        <w:rPr>
          <w:spacing w:val="-16"/>
          <w:sz w:val="24"/>
          <w:szCs w:val="24"/>
        </w:rPr>
        <w:t>3.1.7苗木采集提前化</w:t>
      </w:r>
    </w:p>
    <w:p w14:paraId="2D3F7888">
      <w:pPr>
        <w:pStyle w:val="2"/>
        <w:spacing w:before="117" w:line="308" w:lineRule="auto"/>
        <w:ind w:left="1459" w:right="1412" w:firstLine="434"/>
        <w:rPr>
          <w:sz w:val="24"/>
          <w:szCs w:val="24"/>
        </w:rPr>
      </w:pPr>
      <w:r>
        <w:rPr>
          <w:spacing w:val="-20"/>
          <w:sz w:val="24"/>
          <w:szCs w:val="24"/>
        </w:rPr>
        <w:t>本工程采用的油松、白皮松等名贵树种，以及银杏、悬铃木季节性栽植较强树种，采取提</w:t>
      </w:r>
      <w:r>
        <w:rPr>
          <w:spacing w:val="-21"/>
          <w:sz w:val="24"/>
          <w:szCs w:val="24"/>
        </w:rPr>
        <w:t>前半年以上选择苗木，并在适宜的季节移植到苗圃内，</w:t>
      </w:r>
      <w:r>
        <w:rPr>
          <w:spacing w:val="-22"/>
          <w:sz w:val="24"/>
          <w:szCs w:val="24"/>
        </w:rPr>
        <w:t>进行容器培育5个月以上，促生根系后</w:t>
      </w:r>
      <w:r>
        <w:rPr>
          <w:spacing w:val="-21"/>
          <w:sz w:val="24"/>
          <w:szCs w:val="24"/>
        </w:rPr>
        <w:t>再运抵工程现场栽植，以保证良好的树冠及较高的成活</w:t>
      </w:r>
      <w:r>
        <w:rPr>
          <w:spacing w:val="-22"/>
          <w:sz w:val="24"/>
          <w:szCs w:val="24"/>
        </w:rPr>
        <w:t>率。</w:t>
      </w:r>
    </w:p>
    <w:p w14:paraId="78A96D43">
      <w:pPr>
        <w:pStyle w:val="2"/>
        <w:spacing w:line="218" w:lineRule="auto"/>
        <w:ind w:left="1888"/>
        <w:rPr>
          <w:sz w:val="24"/>
          <w:szCs w:val="24"/>
        </w:rPr>
      </w:pPr>
      <w:r>
        <w:rPr>
          <w:spacing w:val="-16"/>
          <w:sz w:val="24"/>
          <w:szCs w:val="24"/>
        </w:rPr>
        <w:t>2.2、施工准备</w:t>
      </w:r>
    </w:p>
    <w:p w14:paraId="5ADDFB1F">
      <w:pPr>
        <w:pStyle w:val="2"/>
        <w:spacing w:before="117" w:line="216" w:lineRule="auto"/>
        <w:ind w:left="1888"/>
        <w:rPr>
          <w:sz w:val="24"/>
          <w:szCs w:val="24"/>
        </w:rPr>
      </w:pPr>
      <w:r>
        <w:rPr>
          <w:spacing w:val="-14"/>
          <w:sz w:val="24"/>
          <w:szCs w:val="24"/>
        </w:rPr>
        <w:t>2.2.1苗木选择</w:t>
      </w:r>
    </w:p>
    <w:p w14:paraId="24ACE965">
      <w:pPr>
        <w:pStyle w:val="2"/>
        <w:spacing w:before="118" w:line="216" w:lineRule="auto"/>
        <w:ind w:left="1895"/>
        <w:rPr>
          <w:sz w:val="24"/>
          <w:szCs w:val="24"/>
        </w:rPr>
      </w:pPr>
      <w:r>
        <w:rPr>
          <w:spacing w:val="-19"/>
          <w:sz w:val="24"/>
          <w:szCs w:val="24"/>
        </w:rPr>
        <w:t>选择合适的苗木才能提高成活率，苗木的品种、规格选用应符合图纸要求或监</w:t>
      </w:r>
      <w:r>
        <w:rPr>
          <w:spacing w:val="-20"/>
          <w:sz w:val="24"/>
          <w:szCs w:val="24"/>
        </w:rPr>
        <w:t>理工程师的</w:t>
      </w:r>
    </w:p>
    <w:p w14:paraId="057E5B84">
      <w:pPr>
        <w:spacing w:line="216" w:lineRule="auto"/>
        <w:rPr>
          <w:sz w:val="24"/>
          <w:szCs w:val="24"/>
        </w:rPr>
        <w:sectPr>
          <w:footerReference r:id="rId123" w:type="default"/>
          <w:pgSz w:w="11907" w:h="16839"/>
          <w:pgMar w:top="954" w:right="4" w:bottom="1038" w:left="0" w:header="499" w:footer="357" w:gutter="0"/>
          <w:pgBorders>
            <w:top w:val="none" w:sz="0" w:space="0"/>
            <w:left w:val="none" w:sz="0" w:space="0"/>
            <w:bottom w:val="none" w:sz="0" w:space="0"/>
            <w:right w:val="none" w:sz="0" w:space="0"/>
          </w:pgBorders>
          <w:cols w:space="720" w:num="1"/>
        </w:sectPr>
      </w:pPr>
    </w:p>
    <w:p w14:paraId="5D3B5E83">
      <w:pPr>
        <w:spacing w:line="250" w:lineRule="auto"/>
        <w:rPr>
          <w:rFonts w:ascii="Arial"/>
          <w:sz w:val="21"/>
        </w:rPr>
      </w:pPr>
    </w:p>
    <w:p w14:paraId="583FD687">
      <w:pPr>
        <w:pStyle w:val="2"/>
        <w:spacing w:before="78" w:line="216" w:lineRule="auto"/>
        <w:ind w:left="1456"/>
        <w:rPr>
          <w:sz w:val="24"/>
          <w:szCs w:val="24"/>
        </w:rPr>
      </w:pPr>
      <w:r>
        <w:rPr>
          <w:spacing w:val="-21"/>
          <w:sz w:val="24"/>
          <w:szCs w:val="24"/>
        </w:rPr>
        <w:t>指示。选择植物材料应注意以下几点：</w:t>
      </w:r>
    </w:p>
    <w:p w14:paraId="5D80ABAF">
      <w:pPr>
        <w:pStyle w:val="2"/>
        <w:spacing w:before="120" w:line="289" w:lineRule="auto"/>
        <w:ind w:left="1455" w:right="1342" w:firstLine="437"/>
        <w:rPr>
          <w:sz w:val="24"/>
          <w:szCs w:val="24"/>
        </w:rPr>
      </w:pPr>
      <w:r>
        <w:rPr>
          <w:spacing w:val="-26"/>
          <w:sz w:val="24"/>
          <w:szCs w:val="24"/>
        </w:rPr>
        <w:t>（1）应严格按招标文件中清单规格要求，选择新鲜度高、根系发达、土球完好、树形优美、</w:t>
      </w:r>
      <w:r>
        <w:rPr>
          <w:spacing w:val="-20"/>
          <w:sz w:val="24"/>
          <w:szCs w:val="24"/>
        </w:rPr>
        <w:t>冠幅饱满不偏冠、无病虫害、无其他污染物的苗木进行种植。乔木规格不得低于招标中清单规格，且高度、干径、冠幅、树干的通直度均应基本一致。优先选用最近两年已经移植过的苗圃移植苗，其新生的细根都集中在树蔸部位，栽植的成活率较高。或选用假植几个月以后的假植</w:t>
      </w:r>
      <w:r>
        <w:rPr>
          <w:spacing w:val="-21"/>
          <w:sz w:val="24"/>
          <w:szCs w:val="24"/>
        </w:rPr>
        <w:t>苗，其根蔸处开始长出新根，根的活动比较旺盛，在不适宜的</w:t>
      </w:r>
      <w:r>
        <w:rPr>
          <w:spacing w:val="-22"/>
          <w:sz w:val="24"/>
          <w:szCs w:val="24"/>
        </w:rPr>
        <w:t>季节中栽植也比较容易成活。</w:t>
      </w:r>
    </w:p>
    <w:p w14:paraId="093AD638">
      <w:pPr>
        <w:pStyle w:val="2"/>
        <w:spacing w:before="121" w:line="218" w:lineRule="auto"/>
        <w:ind w:left="1893"/>
        <w:rPr>
          <w:sz w:val="24"/>
          <w:szCs w:val="24"/>
        </w:rPr>
      </w:pPr>
      <w:r>
        <w:rPr>
          <w:spacing w:val="-18"/>
          <w:sz w:val="24"/>
          <w:szCs w:val="24"/>
        </w:rPr>
        <w:t>（2）土球标准：</w:t>
      </w:r>
    </w:p>
    <w:p w14:paraId="21924D74">
      <w:pPr>
        <w:pStyle w:val="2"/>
        <w:spacing w:before="117" w:line="217" w:lineRule="auto"/>
        <w:ind w:left="1896"/>
        <w:rPr>
          <w:sz w:val="24"/>
          <w:szCs w:val="24"/>
        </w:rPr>
      </w:pPr>
      <w:r>
        <w:rPr>
          <w:spacing w:val="-18"/>
          <w:sz w:val="24"/>
          <w:szCs w:val="24"/>
        </w:rPr>
        <w:t>乔木类干径与土球直径比不小于1：8。</w:t>
      </w:r>
    </w:p>
    <w:p w14:paraId="7CE2A55C">
      <w:pPr>
        <w:pStyle w:val="2"/>
        <w:spacing w:before="116" w:line="217" w:lineRule="auto"/>
        <w:ind w:left="1896"/>
        <w:rPr>
          <w:sz w:val="24"/>
          <w:szCs w:val="24"/>
        </w:rPr>
      </w:pPr>
      <w:r>
        <w:rPr>
          <w:spacing w:val="-18"/>
          <w:sz w:val="24"/>
          <w:szCs w:val="24"/>
        </w:rPr>
        <w:t>灌木类地径与土球直径比不小于1：8。</w:t>
      </w:r>
    </w:p>
    <w:p w14:paraId="24A0FE2B">
      <w:pPr>
        <w:pStyle w:val="2"/>
        <w:spacing w:before="117" w:line="308" w:lineRule="auto"/>
        <w:ind w:left="1462" w:right="1342" w:firstLine="431"/>
        <w:rPr>
          <w:sz w:val="24"/>
          <w:szCs w:val="24"/>
        </w:rPr>
      </w:pPr>
      <w:r>
        <w:rPr>
          <w:spacing w:val="-19"/>
          <w:sz w:val="24"/>
          <w:szCs w:val="24"/>
        </w:rPr>
        <w:t>球类土球直径需达到冠径的0.7倍。所有</w:t>
      </w:r>
      <w:r>
        <w:rPr>
          <w:spacing w:val="-20"/>
          <w:sz w:val="24"/>
          <w:szCs w:val="24"/>
        </w:rPr>
        <w:t>土球高度，需达到土球直径的0.7倍。土球湿润、</w:t>
      </w:r>
      <w:r>
        <w:rPr>
          <w:spacing w:val="-21"/>
          <w:sz w:val="24"/>
          <w:szCs w:val="24"/>
        </w:rPr>
        <w:t>不得有松球、散球、破损球，土球形状成苹果</w:t>
      </w:r>
      <w:r>
        <w:rPr>
          <w:spacing w:val="-22"/>
          <w:sz w:val="24"/>
          <w:szCs w:val="24"/>
        </w:rPr>
        <w:t>型。</w:t>
      </w:r>
    </w:p>
    <w:p w14:paraId="5EDBDBFD">
      <w:pPr>
        <w:pStyle w:val="2"/>
        <w:spacing w:before="1" w:line="215" w:lineRule="auto"/>
        <w:ind w:left="1893"/>
        <w:rPr>
          <w:sz w:val="24"/>
          <w:szCs w:val="24"/>
        </w:rPr>
      </w:pPr>
      <w:r>
        <w:rPr>
          <w:spacing w:val="-20"/>
          <w:sz w:val="24"/>
          <w:szCs w:val="24"/>
        </w:rPr>
        <w:t>（3）小苗需精品，二年生以上，带土球。</w:t>
      </w:r>
    </w:p>
    <w:p w14:paraId="4046E7EF">
      <w:pPr>
        <w:pStyle w:val="2"/>
        <w:spacing w:before="120" w:line="217" w:lineRule="auto"/>
        <w:ind w:left="1893"/>
        <w:rPr>
          <w:sz w:val="24"/>
          <w:szCs w:val="24"/>
        </w:rPr>
      </w:pPr>
      <w:r>
        <w:rPr>
          <w:spacing w:val="-19"/>
          <w:sz w:val="24"/>
          <w:szCs w:val="24"/>
        </w:rPr>
        <w:t>（4）球类苗木均为光球。</w:t>
      </w:r>
    </w:p>
    <w:p w14:paraId="48A2D21C">
      <w:pPr>
        <w:pStyle w:val="2"/>
        <w:spacing w:before="119" w:line="217" w:lineRule="auto"/>
        <w:ind w:left="1893"/>
        <w:rPr>
          <w:sz w:val="24"/>
          <w:szCs w:val="24"/>
        </w:rPr>
      </w:pPr>
      <w:r>
        <w:rPr>
          <w:spacing w:val="-22"/>
          <w:sz w:val="24"/>
          <w:szCs w:val="24"/>
        </w:rPr>
        <w:t>（5）以上所有苗木如有烧坏、发黄、枯萎的视为不合格品予以退回。</w:t>
      </w:r>
    </w:p>
    <w:p w14:paraId="44651CD4">
      <w:pPr>
        <w:pStyle w:val="2"/>
        <w:spacing w:before="116" w:line="218" w:lineRule="auto"/>
        <w:ind w:left="1893"/>
        <w:rPr>
          <w:sz w:val="24"/>
          <w:szCs w:val="24"/>
        </w:rPr>
      </w:pPr>
      <w:r>
        <w:rPr>
          <w:spacing w:val="-19"/>
          <w:sz w:val="24"/>
          <w:szCs w:val="24"/>
        </w:rPr>
        <w:t>（6）树皮破损度：长度不超过15cm，宽度不超过树干周长的</w:t>
      </w:r>
      <w:r>
        <w:rPr>
          <w:spacing w:val="-20"/>
          <w:sz w:val="24"/>
          <w:szCs w:val="24"/>
        </w:rPr>
        <w:t>1/5。</w:t>
      </w:r>
    </w:p>
    <w:p w14:paraId="5BE86FF8">
      <w:pPr>
        <w:pStyle w:val="2"/>
        <w:spacing w:before="118" w:line="217" w:lineRule="auto"/>
        <w:ind w:left="1893"/>
        <w:rPr>
          <w:sz w:val="24"/>
          <w:szCs w:val="24"/>
        </w:rPr>
      </w:pPr>
      <w:r>
        <w:rPr>
          <w:spacing w:val="-21"/>
          <w:sz w:val="24"/>
          <w:szCs w:val="24"/>
        </w:rPr>
        <w:t>（7）山地苗将视为不合格品予以退回。</w:t>
      </w:r>
    </w:p>
    <w:p w14:paraId="405AF900">
      <w:pPr>
        <w:pStyle w:val="2"/>
        <w:spacing w:before="118" w:line="216" w:lineRule="auto"/>
        <w:ind w:left="1893"/>
        <w:rPr>
          <w:sz w:val="24"/>
          <w:szCs w:val="24"/>
        </w:rPr>
      </w:pPr>
      <w:r>
        <w:rPr>
          <w:spacing w:val="-21"/>
          <w:sz w:val="24"/>
          <w:szCs w:val="24"/>
        </w:rPr>
        <w:t>（8）所有小灌木需精包装，运输中不得挤压，确保小灌木栽后不“倒荫”。</w:t>
      </w:r>
    </w:p>
    <w:p w14:paraId="6365603F">
      <w:pPr>
        <w:pStyle w:val="2"/>
        <w:spacing w:before="117" w:line="278" w:lineRule="auto"/>
        <w:ind w:left="1457" w:right="1343" w:firstLine="435"/>
        <w:rPr>
          <w:sz w:val="24"/>
          <w:szCs w:val="24"/>
        </w:rPr>
      </w:pPr>
      <w:r>
        <w:rPr>
          <w:spacing w:val="-26"/>
          <w:sz w:val="24"/>
          <w:szCs w:val="24"/>
        </w:rPr>
        <w:t>（9）进场的所有苗木必须有苗木检疫证或出圃单，必须生长健壮、树型优美且为全冠苗木、</w:t>
      </w:r>
      <w:r>
        <w:rPr>
          <w:spacing w:val="-20"/>
          <w:sz w:val="24"/>
          <w:szCs w:val="24"/>
        </w:rPr>
        <w:t>带合格泥球并要求确保无伤、无病、无残、无虫、不枯老，植株应分枝良好根系旺盛，每株植</w:t>
      </w:r>
      <w:r>
        <w:rPr>
          <w:spacing w:val="-22"/>
          <w:sz w:val="24"/>
          <w:szCs w:val="24"/>
        </w:rPr>
        <w:t>物的根系应主根、次根比例适宜，</w:t>
      </w:r>
    </w:p>
    <w:p w14:paraId="5F42D5DF">
      <w:pPr>
        <w:pStyle w:val="2"/>
        <w:spacing w:before="118" w:line="262" w:lineRule="auto"/>
        <w:ind w:left="1456" w:right="1428" w:firstLine="436"/>
        <w:rPr>
          <w:sz w:val="24"/>
          <w:szCs w:val="24"/>
        </w:rPr>
      </w:pPr>
      <w:r>
        <w:rPr>
          <w:spacing w:val="-20"/>
          <w:sz w:val="24"/>
          <w:szCs w:val="24"/>
        </w:rPr>
        <w:t>（10）露地栽培花卉：根系完整，无腐烂变质；叶色鲜艳、叶簇丰满。无病虫害，规格及形态就符合设计要求。</w:t>
      </w:r>
    </w:p>
    <w:p w14:paraId="75E616C4">
      <w:pPr>
        <w:pStyle w:val="2"/>
        <w:spacing w:before="120" w:line="262" w:lineRule="auto"/>
        <w:ind w:left="1460" w:right="1353" w:firstLine="432"/>
        <w:rPr>
          <w:sz w:val="24"/>
          <w:szCs w:val="24"/>
        </w:rPr>
      </w:pPr>
      <w:r>
        <w:rPr>
          <w:spacing w:val="-24"/>
          <w:sz w:val="24"/>
          <w:szCs w:val="24"/>
        </w:rPr>
        <w:t>（11）草坪：草块及草卷规格一致，边缘平直，杂草不得超过5%，草块土层厚度宜为3-5cm，</w:t>
      </w:r>
      <w:r>
        <w:rPr>
          <w:spacing w:val="-18"/>
          <w:sz w:val="24"/>
          <w:szCs w:val="24"/>
        </w:rPr>
        <w:t>草卷土层厚度为1-3cm。</w:t>
      </w:r>
    </w:p>
    <w:p w14:paraId="4B5B7B1C">
      <w:pPr>
        <w:pStyle w:val="2"/>
        <w:spacing w:before="117" w:line="219" w:lineRule="auto"/>
        <w:ind w:left="1890"/>
        <w:rPr>
          <w:sz w:val="24"/>
          <w:szCs w:val="24"/>
        </w:rPr>
      </w:pPr>
      <w:r>
        <w:rPr>
          <w:spacing w:val="-14"/>
          <w:sz w:val="24"/>
          <w:szCs w:val="24"/>
        </w:rPr>
        <w:t>3.2、起苗时间</w:t>
      </w:r>
    </w:p>
    <w:p w14:paraId="23F5CC65">
      <w:pPr>
        <w:pStyle w:val="2"/>
        <w:spacing w:before="114" w:line="308" w:lineRule="auto"/>
        <w:ind w:left="1461" w:right="1336" w:firstLine="432"/>
        <w:rPr>
          <w:sz w:val="24"/>
          <w:szCs w:val="24"/>
        </w:rPr>
      </w:pPr>
      <w:r>
        <w:rPr>
          <w:spacing w:val="-20"/>
          <w:sz w:val="24"/>
          <w:szCs w:val="24"/>
        </w:rPr>
        <w:t>根据植物生物学特性和生态学习性，各种苗木有其不同的特性，因此在起苗时，应根据不</w:t>
      </w:r>
      <w:r>
        <w:rPr>
          <w:spacing w:val="-23"/>
          <w:sz w:val="24"/>
          <w:szCs w:val="24"/>
        </w:rPr>
        <w:t>同苗木，在不同的时期挖掘。最好选择在生长季节移栽，因此时根系再</w:t>
      </w:r>
      <w:r>
        <w:rPr>
          <w:spacing w:val="-24"/>
          <w:sz w:val="24"/>
          <w:szCs w:val="24"/>
        </w:rPr>
        <w:t>生速度快，树木易成活。</w:t>
      </w:r>
      <w:r>
        <w:rPr>
          <w:spacing w:val="-20"/>
          <w:sz w:val="24"/>
          <w:szCs w:val="24"/>
        </w:rPr>
        <w:t>由于已过了苗木最佳栽植季节，所以本次工程移植苗木必须加大土球，在保证整体景观的效果</w:t>
      </w:r>
      <w:r>
        <w:rPr>
          <w:spacing w:val="-21"/>
          <w:sz w:val="24"/>
          <w:szCs w:val="24"/>
        </w:rPr>
        <w:t>下加强修剪、遮荫、保湿等措施。</w:t>
      </w:r>
    </w:p>
    <w:p w14:paraId="6377BB45">
      <w:pPr>
        <w:pStyle w:val="2"/>
        <w:spacing w:before="1" w:line="216" w:lineRule="auto"/>
        <w:ind w:left="1890"/>
        <w:rPr>
          <w:sz w:val="24"/>
          <w:szCs w:val="24"/>
        </w:rPr>
      </w:pPr>
      <w:r>
        <w:rPr>
          <w:spacing w:val="-14"/>
          <w:sz w:val="24"/>
          <w:szCs w:val="24"/>
        </w:rPr>
        <w:t>3.3、切根处理</w:t>
      </w:r>
    </w:p>
    <w:p w14:paraId="0C6AF47A">
      <w:pPr>
        <w:pStyle w:val="2"/>
        <w:spacing w:before="117" w:line="307" w:lineRule="auto"/>
        <w:ind w:left="1457" w:right="1409" w:firstLine="440"/>
        <w:rPr>
          <w:sz w:val="24"/>
          <w:szCs w:val="24"/>
        </w:rPr>
      </w:pPr>
      <w:r>
        <w:rPr>
          <w:spacing w:val="-20"/>
          <w:sz w:val="24"/>
          <w:szCs w:val="24"/>
        </w:rPr>
        <w:t>通过提前切根处理，促进侧须根生长，使大树在移植前即形成大量可带走的吸收根。这是</w:t>
      </w:r>
      <w:r>
        <w:rPr>
          <w:spacing w:val="-21"/>
          <w:sz w:val="24"/>
          <w:szCs w:val="24"/>
        </w:rPr>
        <w:t>提高移植成活率的技术关键。在移植前，以树干为中心，以胸径的3-4倍为半径画一个圆形或方形的边线，把圆形或方形的东、南、西、北分成4段，在树体的</w:t>
      </w:r>
      <w:r>
        <w:rPr>
          <w:spacing w:val="-22"/>
          <w:sz w:val="24"/>
          <w:szCs w:val="24"/>
        </w:rPr>
        <w:t>南和北或东和西两段向外挖</w:t>
      </w:r>
      <w:r>
        <w:rPr>
          <w:spacing w:val="-18"/>
          <w:sz w:val="24"/>
          <w:szCs w:val="24"/>
        </w:rPr>
        <w:t>宽30-40cm的沟，深度50-70cm（视根的深浅而定）。</w:t>
      </w:r>
      <w:r>
        <w:rPr>
          <w:spacing w:val="-19"/>
          <w:sz w:val="24"/>
          <w:szCs w:val="24"/>
        </w:rPr>
        <w:t>挖掘时，如遇较粗的根，应用锋利的修枝</w:t>
      </w:r>
      <w:r>
        <w:rPr>
          <w:spacing w:val="-21"/>
          <w:sz w:val="24"/>
          <w:szCs w:val="24"/>
        </w:rPr>
        <w:t>剪或手锯切断，使之与沟的内壁齐平。如遇5cm以上的粗根，为防大树倒伏，一般不切根，而</w:t>
      </w:r>
      <w:r>
        <w:rPr>
          <w:spacing w:val="-20"/>
          <w:sz w:val="24"/>
          <w:szCs w:val="24"/>
        </w:rPr>
        <w:t>是在土球壁处行环状剥皮并涂抹20-50mg的生长素（萘乙酸等</w:t>
      </w:r>
      <w:r>
        <w:rPr>
          <w:spacing w:val="-18"/>
          <w:sz w:val="24"/>
          <w:szCs w:val="24"/>
        </w:rPr>
        <w:t>），</w:t>
      </w:r>
      <w:r>
        <w:rPr>
          <w:spacing w:val="-20"/>
          <w:sz w:val="24"/>
          <w:szCs w:val="24"/>
        </w:rPr>
        <w:t>促发新根。沟挖好后，填入</w:t>
      </w:r>
    </w:p>
    <w:p w14:paraId="0F127D09">
      <w:pPr>
        <w:spacing w:line="307" w:lineRule="auto"/>
        <w:rPr>
          <w:sz w:val="24"/>
          <w:szCs w:val="24"/>
        </w:rPr>
        <w:sectPr>
          <w:footerReference r:id="rId124" w:type="default"/>
          <w:pgSz w:w="11907" w:h="16839"/>
          <w:pgMar w:top="954" w:right="4" w:bottom="1038" w:left="0" w:header="499" w:footer="357" w:gutter="0"/>
          <w:pgBorders>
            <w:top w:val="none" w:sz="0" w:space="0"/>
            <w:left w:val="none" w:sz="0" w:space="0"/>
            <w:bottom w:val="none" w:sz="0" w:space="0"/>
            <w:right w:val="none" w:sz="0" w:space="0"/>
          </w:pgBorders>
          <w:cols w:space="720" w:num="1"/>
        </w:sectPr>
      </w:pPr>
    </w:p>
    <w:p w14:paraId="04A99704">
      <w:pPr>
        <w:spacing w:line="250" w:lineRule="auto"/>
        <w:rPr>
          <w:rFonts w:ascii="Arial"/>
          <w:sz w:val="21"/>
        </w:rPr>
      </w:pPr>
    </w:p>
    <w:p w14:paraId="350A625B">
      <w:pPr>
        <w:pStyle w:val="2"/>
        <w:spacing w:before="78" w:line="216" w:lineRule="auto"/>
        <w:ind w:left="1456"/>
        <w:rPr>
          <w:sz w:val="24"/>
          <w:szCs w:val="24"/>
        </w:rPr>
      </w:pPr>
      <w:r>
        <w:rPr>
          <w:spacing w:val="-21"/>
          <w:sz w:val="24"/>
          <w:szCs w:val="24"/>
        </w:rPr>
        <w:t>肥沃土壤并分层夯实，然后浇水。数月后即可挖运栽植。</w:t>
      </w:r>
    </w:p>
    <w:p w14:paraId="4E992BC4">
      <w:pPr>
        <w:pStyle w:val="2"/>
        <w:spacing w:before="120" w:line="221" w:lineRule="auto"/>
        <w:ind w:left="1890"/>
        <w:rPr>
          <w:sz w:val="24"/>
          <w:szCs w:val="24"/>
        </w:rPr>
      </w:pPr>
      <w:r>
        <w:rPr>
          <w:spacing w:val="-15"/>
          <w:sz w:val="24"/>
          <w:szCs w:val="24"/>
        </w:rPr>
        <w:t>3.4、挖掘</w:t>
      </w:r>
    </w:p>
    <w:p w14:paraId="4527850D">
      <w:pPr>
        <w:pStyle w:val="2"/>
        <w:spacing w:before="109" w:line="264" w:lineRule="auto"/>
        <w:ind w:left="1459" w:right="1343" w:firstLine="431"/>
        <w:rPr>
          <w:sz w:val="24"/>
          <w:szCs w:val="24"/>
        </w:rPr>
      </w:pPr>
      <w:r>
        <w:rPr>
          <w:spacing w:val="-26"/>
          <w:sz w:val="24"/>
          <w:szCs w:val="24"/>
        </w:rPr>
        <w:t>3.4.1准备工作：应准备吊车、油丝绳（或吊装网包）、吊带、草绳、木板、抱杆、粗网绳、</w:t>
      </w:r>
      <w:r>
        <w:rPr>
          <w:spacing w:val="-20"/>
          <w:sz w:val="24"/>
          <w:szCs w:val="24"/>
        </w:rPr>
        <w:t>铁锨、锯、剪刀、油漆等。</w:t>
      </w:r>
    </w:p>
    <w:p w14:paraId="5BB677C4">
      <w:pPr>
        <w:pStyle w:val="2"/>
        <w:spacing w:before="116" w:line="277" w:lineRule="auto"/>
        <w:ind w:left="1458" w:right="1410" w:firstLine="432"/>
        <w:rPr>
          <w:sz w:val="24"/>
          <w:szCs w:val="24"/>
        </w:rPr>
      </w:pPr>
      <w:r>
        <w:rPr>
          <w:spacing w:val="-22"/>
          <w:sz w:val="24"/>
          <w:szCs w:val="24"/>
        </w:rPr>
        <w:t>3.4.2整枝：挖掘前，根据树形及设计要求，将树</w:t>
      </w:r>
      <w:r>
        <w:rPr>
          <w:spacing w:val="-23"/>
          <w:sz w:val="24"/>
          <w:szCs w:val="24"/>
        </w:rPr>
        <w:t>冠中病、枯枝、重叠枝进行疏除，弱枝强</w:t>
      </w:r>
      <w:r>
        <w:rPr>
          <w:spacing w:val="-20"/>
          <w:sz w:val="24"/>
          <w:szCs w:val="24"/>
        </w:rPr>
        <w:t>剪、强枝弱剪，以利恢复树势，同时，根据园林树木修剪造形原则，对树冠，进行适当修剪，</w:t>
      </w:r>
      <w:r>
        <w:rPr>
          <w:spacing w:val="-18"/>
          <w:sz w:val="24"/>
          <w:szCs w:val="24"/>
        </w:rPr>
        <w:t>去掉树干、基部萌条。修剪造成的伤口应涂以保护剂，如含有0.01%-0.1%的萘乙酸膏。</w:t>
      </w:r>
    </w:p>
    <w:p w14:paraId="62B0DA76">
      <w:pPr>
        <w:pStyle w:val="2"/>
        <w:spacing w:before="121" w:line="277" w:lineRule="auto"/>
        <w:ind w:left="1456" w:right="1410" w:firstLine="434"/>
        <w:rPr>
          <w:sz w:val="24"/>
          <w:szCs w:val="24"/>
        </w:rPr>
      </w:pPr>
      <w:r>
        <w:rPr>
          <w:spacing w:val="-22"/>
          <w:sz w:val="24"/>
          <w:szCs w:val="24"/>
        </w:rPr>
        <w:t>3.4.3支撑、牵拉：根据大树粗度、高度，用粗大</w:t>
      </w:r>
      <w:r>
        <w:rPr>
          <w:spacing w:val="-23"/>
          <w:sz w:val="24"/>
          <w:szCs w:val="24"/>
        </w:rPr>
        <w:t>竹杆（一般毛竹杆）或粗木杆对树体进行</w:t>
      </w:r>
      <w:r>
        <w:rPr>
          <w:spacing w:val="-20"/>
          <w:sz w:val="24"/>
          <w:szCs w:val="24"/>
        </w:rPr>
        <w:t>支撑，一般为三角形或四角对称支撑，用麻绳绑牢，必须保证大树在挖掘时不致突然倾倒，以</w:t>
      </w:r>
      <w:r>
        <w:rPr>
          <w:spacing w:val="-19"/>
          <w:sz w:val="24"/>
          <w:szCs w:val="24"/>
        </w:rPr>
        <w:t>防伤人或损伤树木。</w:t>
      </w:r>
    </w:p>
    <w:p w14:paraId="70684814">
      <w:pPr>
        <w:pStyle w:val="2"/>
        <w:spacing w:before="119" w:line="221" w:lineRule="auto"/>
        <w:ind w:left="1890"/>
        <w:rPr>
          <w:sz w:val="24"/>
          <w:szCs w:val="24"/>
        </w:rPr>
      </w:pPr>
      <w:r>
        <w:rPr>
          <w:spacing w:val="-13"/>
          <w:sz w:val="24"/>
          <w:szCs w:val="24"/>
        </w:rPr>
        <w:t>3.4.4挖掘：</w:t>
      </w:r>
    </w:p>
    <w:p w14:paraId="77629EDA">
      <w:pPr>
        <w:pStyle w:val="2"/>
        <w:spacing w:before="109" w:line="285" w:lineRule="auto"/>
        <w:ind w:left="1456" w:right="1319" w:firstLine="436"/>
        <w:rPr>
          <w:sz w:val="24"/>
          <w:szCs w:val="24"/>
        </w:rPr>
      </w:pPr>
      <w:r>
        <w:rPr>
          <w:spacing w:val="-20"/>
          <w:sz w:val="24"/>
          <w:szCs w:val="24"/>
        </w:rPr>
        <w:t>（1）土球大小：常绿和落叶大规格苗木必须带土</w:t>
      </w:r>
      <w:r>
        <w:rPr>
          <w:spacing w:val="-21"/>
          <w:sz w:val="24"/>
          <w:szCs w:val="24"/>
        </w:rPr>
        <w:t>球（台）移植。胸径为12-18cm，土球直</w:t>
      </w:r>
      <w:r>
        <w:rPr>
          <w:spacing w:val="-23"/>
          <w:sz w:val="24"/>
          <w:szCs w:val="24"/>
        </w:rPr>
        <w:t>径1.2-1.5m，胸径为25cm以上应采用箱板移植，土台、箱板的规格为胸径的8</w:t>
      </w:r>
      <w:r>
        <w:rPr>
          <w:spacing w:val="-24"/>
          <w:sz w:val="24"/>
          <w:szCs w:val="24"/>
        </w:rPr>
        <w:t>-10倍。土球（台）</w:t>
      </w:r>
      <w:r>
        <w:rPr>
          <w:spacing w:val="-19"/>
          <w:sz w:val="24"/>
          <w:szCs w:val="24"/>
        </w:rPr>
        <w:t>高度一般为土球直径的4/5左右。因此在起苗时，土球大小严格按照业主及比选文件的要求，</w:t>
      </w:r>
      <w:r>
        <w:rPr>
          <w:spacing w:val="-22"/>
          <w:sz w:val="24"/>
          <w:szCs w:val="24"/>
        </w:rPr>
        <w:t>若在夏季，对苗木反季节移栽，土球直径还应加大。</w:t>
      </w:r>
    </w:p>
    <w:p w14:paraId="157D923C">
      <w:pPr>
        <w:pStyle w:val="2"/>
        <w:spacing w:before="117" w:line="297" w:lineRule="auto"/>
        <w:ind w:left="1459" w:right="1353" w:firstLine="433"/>
        <w:rPr>
          <w:sz w:val="24"/>
          <w:szCs w:val="24"/>
        </w:rPr>
      </w:pPr>
      <w:r>
        <w:rPr>
          <w:spacing w:val="-18"/>
          <w:sz w:val="24"/>
          <w:szCs w:val="24"/>
        </w:rPr>
        <w:t>（2）土球挖掘：根据苗木规格确定土球大小后，在土球外沿向外延伸10-</w:t>
      </w:r>
      <w:r>
        <w:rPr>
          <w:spacing w:val="-19"/>
          <w:sz w:val="24"/>
          <w:szCs w:val="24"/>
        </w:rPr>
        <w:t>20cm开始挖掘。先将树体根部周围土球范围内所有浮土去掉，四周开始挖掘</w:t>
      </w:r>
      <w:r>
        <w:rPr>
          <w:spacing w:val="-20"/>
          <w:sz w:val="24"/>
          <w:szCs w:val="24"/>
        </w:rPr>
        <w:t>，挖掘宽度以方便人员操作为宜，土球一般上宽下窄，原则以尽量减少毛细根损伤为佳。遇到大的侧根或主根，不能用铁锨或钝皿铲断，而应用锯仔细锯断，细根用剪刀剪断。土球大小要求为：r=30cm以下的苗木带Φ1</w:t>
      </w:r>
      <w:r>
        <w:rPr>
          <w:spacing w:val="-21"/>
          <w:sz w:val="24"/>
          <w:szCs w:val="24"/>
        </w:rPr>
        <w:t>.5m</w:t>
      </w:r>
      <w:r>
        <w:rPr>
          <w:spacing w:val="-24"/>
          <w:sz w:val="24"/>
          <w:szCs w:val="24"/>
        </w:rPr>
        <w:t>的土球；r&gt;30cm的苗木带Φ2.0m的土球。挖掘时应循序渐进</w:t>
      </w:r>
      <w:r>
        <w:rPr>
          <w:spacing w:val="-25"/>
          <w:sz w:val="24"/>
          <w:szCs w:val="24"/>
        </w:rPr>
        <w:t>，以防土球散裂；若土壤为沙质土，</w:t>
      </w:r>
      <w:r>
        <w:rPr>
          <w:spacing w:val="-24"/>
          <w:sz w:val="24"/>
          <w:szCs w:val="24"/>
        </w:rPr>
        <w:t>土球易裂，可边挖边用草绳严密缠绕土球。土球大部分挖完，修平整，用草绳横向严密包裹后，</w:t>
      </w:r>
      <w:r>
        <w:rPr>
          <w:spacing w:val="-20"/>
          <w:sz w:val="24"/>
          <w:szCs w:val="24"/>
        </w:rPr>
        <w:t>可用吊车进行吊扶，以防大树倾倒。将土球稍微吊离土层，再用草绳横向缠绕，形成“井”字</w:t>
      </w:r>
      <w:r>
        <w:rPr>
          <w:spacing w:val="-22"/>
          <w:sz w:val="24"/>
          <w:szCs w:val="24"/>
        </w:rPr>
        <w:t>或“＃”形。草绳缠绕时应使用湿草绳，用力拉紧嵌入土球，然后固定，防松脱。</w:t>
      </w:r>
    </w:p>
    <w:p w14:paraId="595A1175">
      <w:pPr>
        <w:pStyle w:val="2"/>
        <w:spacing w:before="115" w:line="218" w:lineRule="auto"/>
        <w:ind w:left="1890"/>
        <w:rPr>
          <w:sz w:val="24"/>
          <w:szCs w:val="24"/>
        </w:rPr>
      </w:pPr>
      <w:r>
        <w:rPr>
          <w:spacing w:val="-15"/>
          <w:sz w:val="24"/>
          <w:szCs w:val="24"/>
        </w:rPr>
        <w:t>3.5、吊装</w:t>
      </w:r>
    </w:p>
    <w:p w14:paraId="32BBB17B">
      <w:pPr>
        <w:pStyle w:val="2"/>
        <w:spacing w:before="115" w:line="285" w:lineRule="auto"/>
        <w:ind w:left="1457" w:right="1342" w:firstLine="433"/>
        <w:rPr>
          <w:sz w:val="24"/>
          <w:szCs w:val="24"/>
        </w:rPr>
      </w:pPr>
      <w:r>
        <w:rPr>
          <w:spacing w:val="-22"/>
          <w:sz w:val="24"/>
          <w:szCs w:val="24"/>
        </w:rPr>
        <w:t>3.5.1保护树杆：先用草绳对树干紧密缠</w:t>
      </w:r>
      <w:r>
        <w:rPr>
          <w:spacing w:val="-23"/>
          <w:sz w:val="24"/>
          <w:szCs w:val="24"/>
        </w:rPr>
        <w:t>绕，再用网包进行缠绕后吊装；若无网包，也可在</w:t>
      </w:r>
      <w:r>
        <w:rPr>
          <w:spacing w:val="-18"/>
          <w:sz w:val="24"/>
          <w:szCs w:val="24"/>
        </w:rPr>
        <w:t>草绳缠绕后，用宽度20cm，厚度3-5cm，长度1m左右的木板四块贴在树杆上，用油丝绳直接吊</w:t>
      </w:r>
      <w:r>
        <w:rPr>
          <w:spacing w:val="-23"/>
          <w:sz w:val="24"/>
          <w:szCs w:val="24"/>
        </w:rPr>
        <w:t>装，该措施特别在早春季节，树皮容易滑脱，可有效防止擦伤树皮</w:t>
      </w:r>
      <w:r>
        <w:rPr>
          <w:spacing w:val="-24"/>
          <w:sz w:val="24"/>
          <w:szCs w:val="24"/>
        </w:rPr>
        <w:t>。同时必须对树冠进行包裹、</w:t>
      </w:r>
      <w:r>
        <w:rPr>
          <w:spacing w:val="-21"/>
          <w:sz w:val="24"/>
          <w:szCs w:val="24"/>
        </w:rPr>
        <w:t>保护，以免在运输和栽植过程中造成枝叶损伤。</w:t>
      </w:r>
    </w:p>
    <w:p w14:paraId="7B33A0C1">
      <w:pPr>
        <w:pStyle w:val="2"/>
        <w:spacing w:before="118" w:line="290" w:lineRule="auto"/>
        <w:ind w:left="1455" w:right="1387" w:firstLine="434"/>
        <w:rPr>
          <w:sz w:val="24"/>
          <w:szCs w:val="24"/>
        </w:rPr>
      </w:pPr>
      <w:r>
        <w:rPr>
          <w:spacing w:val="-23"/>
          <w:sz w:val="24"/>
          <w:szCs w:val="24"/>
        </w:rPr>
        <w:t>3.5.2吊装：吊装时，起吊部位最好在树体重心部分，以使树体与土球保持平衡。起吊时，</w:t>
      </w:r>
      <w:r>
        <w:rPr>
          <w:spacing w:val="-20"/>
          <w:sz w:val="24"/>
          <w:szCs w:val="24"/>
        </w:rPr>
        <w:t>应轻起轻放，不宜过快。树木装进汽车时，要使树冠向着汽车尾部，根部土块靠近司机室。树干包上柔软材料放在木架上，用软绳扎紧，树冠也要用软绳适当缠拢，树体在车上放稳后，在树干与车厢接触部分，用纸板或麻布等垫实，以防擦伤树干；同时用麻绳系牢，防止运输时树</w:t>
      </w:r>
      <w:r>
        <w:rPr>
          <w:spacing w:val="-15"/>
          <w:sz w:val="24"/>
          <w:szCs w:val="24"/>
        </w:rPr>
        <w:t>体滚动。</w:t>
      </w:r>
    </w:p>
    <w:p w14:paraId="5AE8E443">
      <w:pPr>
        <w:pStyle w:val="2"/>
        <w:spacing w:before="117" w:line="217" w:lineRule="auto"/>
        <w:ind w:left="1926"/>
        <w:rPr>
          <w:sz w:val="24"/>
          <w:szCs w:val="24"/>
        </w:rPr>
      </w:pPr>
      <w:r>
        <w:rPr>
          <w:spacing w:val="-23"/>
          <w:sz w:val="24"/>
          <w:szCs w:val="24"/>
        </w:rPr>
        <w:t>吊装时，树体下严禁站人，防止吊绳断裂或滑脱，造成事故。</w:t>
      </w:r>
    </w:p>
    <w:p w14:paraId="34BF017A">
      <w:pPr>
        <w:pStyle w:val="2"/>
        <w:spacing w:before="120" w:line="308" w:lineRule="auto"/>
        <w:ind w:left="1457" w:right="1410" w:firstLine="433"/>
        <w:rPr>
          <w:sz w:val="24"/>
          <w:szCs w:val="24"/>
        </w:rPr>
      </w:pPr>
      <w:r>
        <w:rPr>
          <w:spacing w:val="-22"/>
          <w:sz w:val="24"/>
          <w:szCs w:val="24"/>
        </w:rPr>
        <w:t>3.5.3用油漆涂抹伤口：对去掉的大枝伤口或擦伤</w:t>
      </w:r>
      <w:r>
        <w:rPr>
          <w:spacing w:val="-23"/>
          <w:sz w:val="24"/>
          <w:szCs w:val="24"/>
        </w:rPr>
        <w:t>部位，用油漆进行涂抹，保护伤口，防止</w:t>
      </w:r>
      <w:r>
        <w:rPr>
          <w:spacing w:val="-17"/>
          <w:sz w:val="24"/>
          <w:szCs w:val="24"/>
        </w:rPr>
        <w:t>病菌侵入。</w:t>
      </w:r>
    </w:p>
    <w:p w14:paraId="040B2E87">
      <w:pPr>
        <w:spacing w:line="308" w:lineRule="auto"/>
        <w:rPr>
          <w:sz w:val="24"/>
          <w:szCs w:val="24"/>
        </w:rPr>
        <w:sectPr>
          <w:footerReference r:id="rId125" w:type="default"/>
          <w:pgSz w:w="11907" w:h="16839"/>
          <w:pgMar w:top="954" w:right="4" w:bottom="1038" w:left="0" w:header="499" w:footer="357" w:gutter="0"/>
          <w:pgBorders>
            <w:top w:val="none" w:sz="0" w:space="0"/>
            <w:left w:val="none" w:sz="0" w:space="0"/>
            <w:bottom w:val="none" w:sz="0" w:space="0"/>
            <w:right w:val="none" w:sz="0" w:space="0"/>
          </w:pgBorders>
          <w:cols w:space="720" w:num="1"/>
        </w:sectPr>
      </w:pPr>
    </w:p>
    <w:p w14:paraId="77D2E6AC">
      <w:pPr>
        <w:spacing w:line="251" w:lineRule="auto"/>
        <w:rPr>
          <w:rFonts w:ascii="Arial"/>
          <w:sz w:val="21"/>
        </w:rPr>
      </w:pPr>
    </w:p>
    <w:p w14:paraId="1300C487">
      <w:pPr>
        <w:pStyle w:val="2"/>
        <w:spacing w:before="78" w:line="217" w:lineRule="auto"/>
        <w:ind w:left="1890"/>
        <w:rPr>
          <w:sz w:val="24"/>
          <w:szCs w:val="24"/>
        </w:rPr>
      </w:pPr>
      <w:r>
        <w:rPr>
          <w:spacing w:val="-17"/>
          <w:sz w:val="24"/>
          <w:szCs w:val="24"/>
        </w:rPr>
        <w:t>3.6、运输大规格苗木</w:t>
      </w:r>
    </w:p>
    <w:p w14:paraId="2DAECD5F">
      <w:pPr>
        <w:pStyle w:val="2"/>
        <w:spacing w:before="117" w:line="262" w:lineRule="auto"/>
        <w:ind w:left="1462" w:right="1409" w:firstLine="428"/>
        <w:rPr>
          <w:sz w:val="24"/>
          <w:szCs w:val="24"/>
        </w:rPr>
      </w:pPr>
      <w:r>
        <w:rPr>
          <w:spacing w:val="-22"/>
          <w:sz w:val="24"/>
          <w:szCs w:val="24"/>
        </w:rPr>
        <w:t>3.6.1在运输时，许多苗木树冠超高、超宽。在</w:t>
      </w:r>
      <w:r>
        <w:rPr>
          <w:spacing w:val="-23"/>
          <w:sz w:val="24"/>
          <w:szCs w:val="24"/>
        </w:rPr>
        <w:t>运输途中，应尽量选择较宽的路线，且车速</w:t>
      </w:r>
      <w:r>
        <w:rPr>
          <w:spacing w:val="-21"/>
          <w:sz w:val="24"/>
          <w:szCs w:val="24"/>
        </w:rPr>
        <w:t>不应过快，防止颠破土球。非适宜季节吊运时</w:t>
      </w:r>
      <w:r>
        <w:rPr>
          <w:spacing w:val="-22"/>
          <w:sz w:val="24"/>
          <w:szCs w:val="24"/>
        </w:rPr>
        <w:t>应注意遮荫、补水保湿，减少树体水分蒸发。</w:t>
      </w:r>
    </w:p>
    <w:p w14:paraId="0B3A4151">
      <w:pPr>
        <w:pStyle w:val="2"/>
        <w:spacing w:before="118" w:line="217" w:lineRule="auto"/>
        <w:ind w:left="1890"/>
        <w:rPr>
          <w:sz w:val="24"/>
          <w:szCs w:val="24"/>
        </w:rPr>
      </w:pPr>
      <w:r>
        <w:rPr>
          <w:spacing w:val="-19"/>
          <w:sz w:val="24"/>
          <w:szCs w:val="24"/>
        </w:rPr>
        <w:t>3.6.2、运输途中特别注意沿途跨路电线，防止扯断或</w:t>
      </w:r>
      <w:r>
        <w:rPr>
          <w:spacing w:val="-20"/>
          <w:sz w:val="24"/>
          <w:szCs w:val="24"/>
        </w:rPr>
        <w:t>触电！</w:t>
      </w:r>
    </w:p>
    <w:p w14:paraId="303F3D70">
      <w:pPr>
        <w:pStyle w:val="2"/>
        <w:spacing w:before="119" w:line="218" w:lineRule="auto"/>
        <w:ind w:left="1890"/>
        <w:rPr>
          <w:sz w:val="24"/>
          <w:szCs w:val="24"/>
        </w:rPr>
      </w:pPr>
      <w:r>
        <w:rPr>
          <w:spacing w:val="-14"/>
          <w:sz w:val="24"/>
          <w:szCs w:val="24"/>
        </w:rPr>
        <w:t>3.7树穴开挖</w:t>
      </w:r>
    </w:p>
    <w:p w14:paraId="25F3AD28">
      <w:pPr>
        <w:pStyle w:val="2"/>
        <w:spacing w:before="115" w:line="262" w:lineRule="auto"/>
        <w:ind w:left="1457" w:right="1409" w:firstLine="433"/>
        <w:rPr>
          <w:sz w:val="24"/>
          <w:szCs w:val="24"/>
        </w:rPr>
      </w:pPr>
      <w:r>
        <w:rPr>
          <w:spacing w:val="-22"/>
          <w:sz w:val="24"/>
          <w:szCs w:val="24"/>
        </w:rPr>
        <w:t>3.7.1要栽植的苗木，其树穴应提前准备</w:t>
      </w:r>
      <w:r>
        <w:rPr>
          <w:spacing w:val="-23"/>
          <w:sz w:val="24"/>
          <w:szCs w:val="24"/>
        </w:rPr>
        <w:t>，根据放线定点要求和苗木规格，树穴应比大苗土</w:t>
      </w:r>
      <w:r>
        <w:rPr>
          <w:spacing w:val="-18"/>
          <w:sz w:val="24"/>
          <w:szCs w:val="24"/>
        </w:rPr>
        <w:t>球直径大20cm以上，深度比土球深30cm以上，以利于栽树时调整树的姿态。</w:t>
      </w:r>
    </w:p>
    <w:p w14:paraId="7326CB5E">
      <w:pPr>
        <w:pStyle w:val="2"/>
        <w:spacing w:before="120" w:line="256" w:lineRule="auto"/>
        <w:ind w:left="1456" w:right="1409" w:firstLine="434"/>
        <w:rPr>
          <w:sz w:val="24"/>
          <w:szCs w:val="24"/>
        </w:rPr>
      </w:pPr>
      <w:r>
        <w:rPr>
          <w:spacing w:val="-22"/>
          <w:sz w:val="24"/>
          <w:szCs w:val="24"/>
        </w:rPr>
        <w:t>3.7.2树穴挖好后，进行灌水，水应灌足，使树穴充分</w:t>
      </w:r>
      <w:r>
        <w:rPr>
          <w:spacing w:val="-23"/>
          <w:sz w:val="24"/>
          <w:szCs w:val="24"/>
        </w:rPr>
        <w:t>吸水，这样，栽树时，树穴水分不易</w:t>
      </w:r>
      <w:r>
        <w:rPr>
          <w:spacing w:val="-21"/>
          <w:sz w:val="24"/>
          <w:szCs w:val="24"/>
        </w:rPr>
        <w:t>流失，可充分浸泡土球，大树运输前，树穴内应无积水。并</w:t>
      </w:r>
      <w:r>
        <w:rPr>
          <w:spacing w:val="-22"/>
          <w:sz w:val="24"/>
          <w:szCs w:val="24"/>
        </w:rPr>
        <w:t>对穴土进行杀菌、除虫处理。</w:t>
      </w:r>
    </w:p>
    <w:p w14:paraId="4CF7D24D">
      <w:pPr>
        <w:spacing w:line="2353" w:lineRule="exact"/>
        <w:ind w:firstLine="1865"/>
      </w:pPr>
      <w:r>
        <w:rPr>
          <w:position w:val="-47"/>
        </w:rPr>
        <w:pict>
          <v:group id="_x0000_s1902" o:spid="_x0000_s1902" o:spt="203" style="height:117.65pt;width:408.6pt;" coordsize="8172,2353">
            <o:lock v:ext="edit"/>
            <v:shape id="_x0000_s1903" o:spid="_x0000_s1903" o:spt="75" type="#_x0000_t75" style="position:absolute;left:16;top:17;height:2321;width:8140;" filled="f" stroked="f" coordsize="21600,21600">
              <v:path/>
              <v:fill on="f" focussize="0,0"/>
              <v:stroke on="f"/>
              <v:imagedata r:id="rId591" o:title=""/>
              <o:lock v:ext="edit" aspectratio="t"/>
            </v:shape>
            <v:shape id="_x0000_s1904" o:spid="_x0000_s1904" o:spt="202" type="#_x0000_t202" style="position:absolute;left:-20;top:-20;height:2393;width:8212;" filled="f" stroked="f" coordsize="21600,21600">
              <v:path/>
              <v:fill on="f" focussize="0,0"/>
              <v:stroke on="f"/>
              <v:imagedata o:title=""/>
              <o:lock v:ext="edit" aspectratio="f"/>
              <v:textbox inset="0mm,0mm,0mm,0mm">
                <w:txbxContent>
                  <w:p w14:paraId="473BB8DD">
                    <w:pPr>
                      <w:spacing w:line="20" w:lineRule="exact"/>
                    </w:pPr>
                  </w:p>
                  <w:tbl>
                    <w:tblPr>
                      <w:tblStyle w:val="6"/>
                      <w:tblW w:w="8156" w:type="dxa"/>
                      <w:tblInd w:w="27" w:type="dxa"/>
                      <w:tblBorders>
                        <w:top w:val="single" w:color="0070C0" w:sz="6" w:space="0"/>
                        <w:left w:val="single" w:color="0070C0" w:sz="6" w:space="0"/>
                        <w:bottom w:val="single" w:color="0070C0" w:sz="6" w:space="0"/>
                        <w:right w:val="single" w:color="0070C0" w:sz="6" w:space="0"/>
                        <w:insideH w:val="none" w:color="auto" w:sz="0" w:space="0"/>
                        <w:insideV w:val="none" w:color="auto" w:sz="0" w:space="0"/>
                      </w:tblBorders>
                      <w:tblLayout w:type="fixed"/>
                      <w:tblCellMar>
                        <w:top w:w="0" w:type="dxa"/>
                        <w:left w:w="0" w:type="dxa"/>
                        <w:bottom w:w="0" w:type="dxa"/>
                        <w:right w:w="0" w:type="dxa"/>
                      </w:tblCellMar>
                    </w:tblPr>
                    <w:tblGrid>
                      <w:gridCol w:w="8156"/>
                    </w:tblGrid>
                    <w:tr w14:paraId="44EF0DD8">
                      <w:tblPrEx>
                        <w:tblBorders>
                          <w:top w:val="single" w:color="0070C0" w:sz="6" w:space="0"/>
                          <w:left w:val="single" w:color="0070C0" w:sz="6" w:space="0"/>
                          <w:bottom w:val="single" w:color="0070C0" w:sz="6" w:space="0"/>
                          <w:right w:val="single" w:color="0070C0" w:sz="6" w:space="0"/>
                          <w:insideH w:val="none" w:color="auto" w:sz="0" w:space="0"/>
                          <w:insideV w:val="none" w:color="auto" w:sz="0" w:space="0"/>
                        </w:tblBorders>
                        <w:tblCellMar>
                          <w:top w:w="0" w:type="dxa"/>
                          <w:left w:w="0" w:type="dxa"/>
                          <w:bottom w:w="0" w:type="dxa"/>
                          <w:right w:w="0" w:type="dxa"/>
                        </w:tblCellMar>
                      </w:tblPrEx>
                      <w:trPr>
                        <w:trHeight w:val="2322" w:hRule="atLeast"/>
                      </w:trPr>
                      <w:tc>
                        <w:tcPr>
                          <w:tcW w:w="8156" w:type="dxa"/>
                          <w:vAlign w:val="top"/>
                        </w:tcPr>
                        <w:p w14:paraId="0780946C">
                          <w:pPr>
                            <w:rPr>
                              <w:rFonts w:ascii="Arial"/>
                              <w:sz w:val="21"/>
                            </w:rPr>
                          </w:pPr>
                        </w:p>
                      </w:tc>
                    </w:tr>
                  </w:tbl>
                  <w:p w14:paraId="5E32962B">
                    <w:pPr>
                      <w:rPr>
                        <w:rFonts w:ascii="Arial"/>
                        <w:sz w:val="21"/>
                      </w:rPr>
                    </w:pPr>
                  </w:p>
                </w:txbxContent>
              </v:textbox>
            </v:shape>
            <w10:wrap type="none"/>
            <w10:anchorlock/>
          </v:group>
        </w:pict>
      </w:r>
    </w:p>
    <w:p w14:paraId="755A62C3">
      <w:pPr>
        <w:pStyle w:val="2"/>
        <w:spacing w:before="101" w:line="216" w:lineRule="auto"/>
        <w:ind w:left="1890"/>
        <w:rPr>
          <w:sz w:val="24"/>
          <w:szCs w:val="24"/>
        </w:rPr>
      </w:pPr>
      <w:r>
        <w:rPr>
          <w:spacing w:val="-14"/>
          <w:sz w:val="24"/>
          <w:szCs w:val="24"/>
        </w:rPr>
        <w:t>3.8、栽植</w:t>
      </w:r>
    </w:p>
    <w:p w14:paraId="0453E4BE">
      <w:pPr>
        <w:pStyle w:val="2"/>
        <w:spacing w:before="119" w:line="308" w:lineRule="auto"/>
        <w:ind w:left="1460" w:right="1411" w:firstLine="434"/>
        <w:rPr>
          <w:sz w:val="24"/>
          <w:szCs w:val="24"/>
        </w:rPr>
      </w:pPr>
      <w:r>
        <w:rPr>
          <w:spacing w:val="-20"/>
          <w:sz w:val="24"/>
          <w:szCs w:val="24"/>
        </w:rPr>
        <w:t>苗木运到工地后，应随到随栽。最好在阴天或傍晚进行，移植前后，可根据不同树种的特</w:t>
      </w:r>
      <w:r>
        <w:rPr>
          <w:spacing w:val="-21"/>
          <w:sz w:val="24"/>
          <w:szCs w:val="24"/>
        </w:rPr>
        <w:t>性，采取有针对性的控制树体水分蒸腾措施（如喷施抗蒸腾剂、包裹树干、搭</w:t>
      </w:r>
      <w:r>
        <w:rPr>
          <w:spacing w:val="-22"/>
          <w:sz w:val="24"/>
          <w:szCs w:val="24"/>
        </w:rPr>
        <w:t>建荫棚等）。</w:t>
      </w:r>
    </w:p>
    <w:p w14:paraId="03E3C99C">
      <w:pPr>
        <w:pStyle w:val="2"/>
        <w:spacing w:before="1" w:line="261" w:lineRule="auto"/>
        <w:ind w:left="1457" w:right="1338" w:firstLine="433"/>
        <w:rPr>
          <w:sz w:val="24"/>
          <w:szCs w:val="24"/>
        </w:rPr>
      </w:pPr>
      <w:r>
        <w:rPr>
          <w:spacing w:val="-22"/>
          <w:sz w:val="24"/>
          <w:szCs w:val="24"/>
        </w:rPr>
        <w:t>3.8.1修整树冠，保护伤口：大苗运到工地后，对在运</w:t>
      </w:r>
      <w:r>
        <w:rPr>
          <w:spacing w:val="-23"/>
          <w:sz w:val="24"/>
          <w:szCs w:val="24"/>
        </w:rPr>
        <w:t>输途中造成的树冠损伤及时修剪，并根据工地实际，本着园林观点对树冠重新整形，并用泔油涂抹伤口，防止</w:t>
      </w:r>
      <w:r>
        <w:rPr>
          <w:spacing w:val="-24"/>
          <w:sz w:val="24"/>
          <w:szCs w:val="24"/>
        </w:rPr>
        <w:t>水分散失和病菌侵入。</w:t>
      </w:r>
    </w:p>
    <w:p w14:paraId="5BBED587">
      <w:pPr>
        <w:pStyle w:val="2"/>
        <w:spacing w:before="119" w:line="262" w:lineRule="auto"/>
        <w:ind w:left="1469" w:right="1353" w:firstLine="420"/>
        <w:rPr>
          <w:sz w:val="24"/>
          <w:szCs w:val="24"/>
        </w:rPr>
      </w:pPr>
      <w:r>
        <w:rPr>
          <w:spacing w:val="-26"/>
          <w:sz w:val="24"/>
          <w:szCs w:val="24"/>
        </w:rPr>
        <w:t>3.8.2起吊：起吊前，树体保护措施与挖掘装车时保护措施相同，但起吊部</w:t>
      </w:r>
      <w:r>
        <w:rPr>
          <w:spacing w:val="-27"/>
          <w:sz w:val="24"/>
          <w:szCs w:val="24"/>
        </w:rPr>
        <w:t>位应在重心之前，</w:t>
      </w:r>
      <w:r>
        <w:rPr>
          <w:spacing w:val="-22"/>
          <w:sz w:val="24"/>
          <w:szCs w:val="24"/>
        </w:rPr>
        <w:t>即靠近树冠分枝点处，这样，起吊时树体直立，土球下垂，方便栽植、调整树</w:t>
      </w:r>
      <w:r>
        <w:rPr>
          <w:spacing w:val="-23"/>
          <w:sz w:val="24"/>
          <w:szCs w:val="24"/>
        </w:rPr>
        <w:t>姿。</w:t>
      </w:r>
    </w:p>
    <w:p w14:paraId="0FC64E36">
      <w:pPr>
        <w:pStyle w:val="2"/>
        <w:spacing w:before="119" w:line="263" w:lineRule="auto"/>
        <w:ind w:left="1457" w:right="1410" w:firstLine="433"/>
        <w:rPr>
          <w:sz w:val="24"/>
          <w:szCs w:val="24"/>
        </w:rPr>
      </w:pPr>
      <w:r>
        <w:rPr>
          <w:spacing w:val="-22"/>
          <w:sz w:val="24"/>
          <w:szCs w:val="24"/>
        </w:rPr>
        <w:t>3.8.3扶正：利用吊车帮助，再用人工，对树</w:t>
      </w:r>
      <w:r>
        <w:rPr>
          <w:spacing w:val="-23"/>
          <w:sz w:val="24"/>
          <w:szCs w:val="24"/>
        </w:rPr>
        <w:t>体进行调整，端正位置，确立最佳观赏面和土</w:t>
      </w:r>
      <w:r>
        <w:rPr>
          <w:spacing w:val="-15"/>
          <w:sz w:val="24"/>
          <w:szCs w:val="24"/>
        </w:rPr>
        <w:t>球深度。</w:t>
      </w:r>
    </w:p>
    <w:p w14:paraId="59FB8EF8">
      <w:pPr>
        <w:pStyle w:val="2"/>
        <w:spacing w:before="116" w:line="262" w:lineRule="auto"/>
        <w:ind w:left="1457" w:right="1411" w:firstLine="433"/>
        <w:rPr>
          <w:sz w:val="24"/>
          <w:szCs w:val="24"/>
        </w:rPr>
      </w:pPr>
      <w:r>
        <w:rPr>
          <w:spacing w:val="-23"/>
          <w:sz w:val="24"/>
          <w:szCs w:val="24"/>
        </w:rPr>
        <w:t>3.8.4去掉土球包装物：树体调整完毕，应去掉土球包装物，以利根系恢复、生长；但若土</w:t>
      </w:r>
      <w:r>
        <w:rPr>
          <w:spacing w:val="-21"/>
          <w:sz w:val="24"/>
          <w:szCs w:val="24"/>
        </w:rPr>
        <w:t>球易散裂，也可不去，但应将土球周围草绳划断，露出土球</w:t>
      </w:r>
      <w:r>
        <w:rPr>
          <w:spacing w:val="-22"/>
          <w:sz w:val="24"/>
          <w:szCs w:val="24"/>
        </w:rPr>
        <w:t>，以利生根。</w:t>
      </w:r>
    </w:p>
    <w:p w14:paraId="3D5AA424">
      <w:pPr>
        <w:pStyle w:val="2"/>
        <w:spacing w:before="120" w:line="277" w:lineRule="auto"/>
        <w:ind w:left="1466" w:right="1409" w:firstLine="423"/>
        <w:rPr>
          <w:sz w:val="24"/>
          <w:szCs w:val="24"/>
        </w:rPr>
      </w:pPr>
      <w:r>
        <w:rPr>
          <w:spacing w:val="-13"/>
          <w:sz w:val="24"/>
          <w:szCs w:val="24"/>
        </w:rPr>
        <w:t>3.8.5支撑：树木在栽植完成浇水前必须支撑，一般采用竹杆、杉木杆，长度在树高的</w:t>
      </w:r>
      <w:r>
        <w:rPr>
          <w:spacing w:val="-21"/>
          <w:sz w:val="24"/>
          <w:szCs w:val="24"/>
        </w:rPr>
        <w:t>1/2-2/3，根据树种粗度、冠幅大小而定。支撑与树干接触部位用棕皮，棕丝或草绳缠绕保护树</w:t>
      </w:r>
      <w:r>
        <w:rPr>
          <w:spacing w:val="-22"/>
          <w:sz w:val="24"/>
          <w:szCs w:val="24"/>
        </w:rPr>
        <w:t>皮，支撑下端与土壤接触部必须砸实并用木桩与支撑绑扎牢固。</w:t>
      </w:r>
    </w:p>
    <w:p w14:paraId="01362CF9">
      <w:pPr>
        <w:spacing w:line="277" w:lineRule="auto"/>
        <w:rPr>
          <w:sz w:val="24"/>
          <w:szCs w:val="24"/>
        </w:rPr>
        <w:sectPr>
          <w:footerReference r:id="rId126" w:type="default"/>
          <w:pgSz w:w="11907" w:h="16839"/>
          <w:pgMar w:top="954" w:right="4" w:bottom="1038" w:left="0" w:header="499" w:footer="357" w:gutter="0"/>
          <w:pgBorders>
            <w:top w:val="none" w:sz="0" w:space="0"/>
            <w:left w:val="none" w:sz="0" w:space="0"/>
            <w:bottom w:val="none" w:sz="0" w:space="0"/>
            <w:right w:val="none" w:sz="0" w:space="0"/>
          </w:pgBorders>
          <w:cols w:space="720" w:num="1"/>
        </w:sectPr>
      </w:pPr>
    </w:p>
    <w:p w14:paraId="2EE38669">
      <w:pPr>
        <w:spacing w:line="214" w:lineRule="exact"/>
      </w:pPr>
    </w:p>
    <w:tbl>
      <w:tblPr>
        <w:tblStyle w:val="6"/>
        <w:tblW w:w="8557" w:type="dxa"/>
        <w:tblInd w:w="167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390"/>
        <w:gridCol w:w="4167"/>
      </w:tblGrid>
      <w:tr w14:paraId="0C3DFB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8" w:hRule="atLeast"/>
        </w:trPr>
        <w:tc>
          <w:tcPr>
            <w:tcW w:w="4390" w:type="dxa"/>
            <w:vMerge w:val="restart"/>
            <w:tcBorders>
              <w:top w:val="single" w:color="000000" w:sz="4" w:space="0"/>
              <w:left w:val="single" w:color="000000" w:sz="4" w:space="0"/>
              <w:bottom w:val="nil"/>
            </w:tcBorders>
            <w:shd w:val="clear" w:color="auto" w:fill="DEEAF6"/>
            <w:vAlign w:val="top"/>
          </w:tcPr>
          <w:p w14:paraId="668856F9">
            <w:pPr>
              <w:spacing w:before="98" w:line="2534" w:lineRule="exact"/>
              <w:ind w:firstLine="69"/>
            </w:pPr>
            <w:r>
              <w:pict>
                <v:group id="_x0000_s1905" o:spid="_x0000_s1905" o:spt="203" style="position:absolute;left:0pt;margin-left:0.9pt;margin-top:2.15pt;height:140.9pt;width:217.95pt;mso-position-horizontal-relative:page;mso-position-vertical-relative:page;z-index:251873280;mso-width-relative:page;mso-height-relative:page;" coordsize="4358,2817">
                  <o:lock v:ext="edit"/>
                  <v:shape id="_x0000_s1906" o:spid="_x0000_s1906" style="position:absolute;left:21;top:0;height:60;width:4332;" fillcolor="#DEEAF6" filled="t" stroked="f" coordsize="4332,60" path="m0,60l4332,60,4332,0,0,0,0,60xe">
                    <v:path/>
                    <v:fill on="t" focussize="0,0"/>
                    <v:stroke on="f"/>
                    <v:imagedata o:title=""/>
                    <o:lock v:ext="edit"/>
                  </v:shape>
                  <v:shape id="_x0000_s1907" o:spid="_x0000_s1907" style="position:absolute;left:0;top:2760;height:58;width:4358;" fillcolor="#DEEAF6" filled="t" stroked="f" coordsize="4358,58" path="m0,57l4358,57,4358,0,0,0,0,57xe">
                    <v:path/>
                    <v:fill on="t" focussize="0,0"/>
                    <v:stroke on="f"/>
                    <v:imagedata o:title=""/>
                    <o:lock v:ext="edit"/>
                  </v:shape>
                </v:group>
              </w:pict>
            </w:r>
            <w:r>
              <w:rPr>
                <w:position w:val="-50"/>
              </w:rPr>
              <w:drawing>
                <wp:inline distT="0" distB="0" distL="0" distR="0">
                  <wp:extent cx="2730500" cy="1609090"/>
                  <wp:effectExtent l="0" t="0" r="0" b="0"/>
                  <wp:docPr id="698" name="IM 698"/>
                  <wp:cNvGraphicFramePr/>
                  <a:graphic xmlns:a="http://schemas.openxmlformats.org/drawingml/2006/main">
                    <a:graphicData uri="http://schemas.openxmlformats.org/drawingml/2006/picture">
                      <pic:pic xmlns:pic="http://schemas.openxmlformats.org/drawingml/2006/picture">
                        <pic:nvPicPr>
                          <pic:cNvPr id="698" name="IM 698"/>
                          <pic:cNvPicPr/>
                        </pic:nvPicPr>
                        <pic:blipFill>
                          <a:blip r:embed="rId592"/>
                          <a:stretch>
                            <a:fillRect/>
                          </a:stretch>
                        </pic:blipFill>
                        <pic:spPr>
                          <a:xfrm>
                            <a:off x="0" y="0"/>
                            <a:ext cx="2730500" cy="1609090"/>
                          </a:xfrm>
                          <a:prstGeom prst="rect">
                            <a:avLst/>
                          </a:prstGeom>
                        </pic:spPr>
                      </pic:pic>
                    </a:graphicData>
                  </a:graphic>
                </wp:inline>
              </w:drawing>
            </w:r>
          </w:p>
        </w:tc>
        <w:tc>
          <w:tcPr>
            <w:tcW w:w="4167" w:type="dxa"/>
            <w:tcBorders>
              <w:top w:val="single" w:color="5B9BD5" w:sz="4" w:space="0"/>
              <w:bottom w:val="single" w:color="DEEAF6" w:sz="8" w:space="0"/>
              <w:right w:val="single" w:color="5B9BD5" w:sz="4" w:space="0"/>
            </w:tcBorders>
            <w:shd w:val="clear" w:color="auto" w:fill="DEEAF6"/>
            <w:vAlign w:val="top"/>
          </w:tcPr>
          <w:p w14:paraId="74CD6766">
            <w:pPr>
              <w:spacing w:before="33" w:line="60" w:lineRule="exact"/>
              <w:ind w:firstLine="21"/>
            </w:pPr>
            <w:r>
              <w:rPr>
                <w:position w:val="-1"/>
              </w:rPr>
              <w:pict>
                <v:shape id="_x0000_s1908" o:spid="_x0000_s1908" style="height:3pt;width:205.25pt;" fillcolor="#DEEAF6" filled="t" stroked="f" coordsize="4105,60" path="m0,60l4105,60,4105,0,0,0,0,60xe">
                  <v:path/>
                  <v:fill on="t" focussize="0,0"/>
                  <v:stroke on="f"/>
                  <v:imagedata o:title=""/>
                  <o:lock v:ext="edit"/>
                  <w10:wrap type="none"/>
                  <w10:anchorlock/>
                </v:shape>
              </w:pict>
            </w:r>
          </w:p>
          <w:p w14:paraId="0FED4503">
            <w:pPr>
              <w:spacing w:line="2544" w:lineRule="exact"/>
              <w:ind w:firstLine="94"/>
            </w:pPr>
            <w:r>
              <w:rPr>
                <w:position w:val="-50"/>
              </w:rPr>
              <w:drawing>
                <wp:inline distT="0" distB="0" distL="0" distR="0">
                  <wp:extent cx="2500630" cy="1615440"/>
                  <wp:effectExtent l="0" t="0" r="0" b="0"/>
                  <wp:docPr id="700" name="IM 700"/>
                  <wp:cNvGraphicFramePr/>
                  <a:graphic xmlns:a="http://schemas.openxmlformats.org/drawingml/2006/main">
                    <a:graphicData uri="http://schemas.openxmlformats.org/drawingml/2006/picture">
                      <pic:pic xmlns:pic="http://schemas.openxmlformats.org/drawingml/2006/picture">
                        <pic:nvPicPr>
                          <pic:cNvPr id="700" name="IM 700"/>
                          <pic:cNvPicPr/>
                        </pic:nvPicPr>
                        <pic:blipFill>
                          <a:blip r:embed="rId593"/>
                          <a:stretch>
                            <a:fillRect/>
                          </a:stretch>
                        </pic:blipFill>
                        <pic:spPr>
                          <a:xfrm>
                            <a:off x="0" y="0"/>
                            <a:ext cx="2501264" cy="1615440"/>
                          </a:xfrm>
                          <a:prstGeom prst="rect">
                            <a:avLst/>
                          </a:prstGeom>
                        </pic:spPr>
                      </pic:pic>
                    </a:graphicData>
                  </a:graphic>
                </wp:inline>
              </w:drawing>
            </w:r>
          </w:p>
        </w:tc>
      </w:tr>
      <w:tr w14:paraId="4F2AEF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 w:hRule="atLeast"/>
        </w:trPr>
        <w:tc>
          <w:tcPr>
            <w:tcW w:w="4390" w:type="dxa"/>
            <w:vMerge w:val="continue"/>
            <w:tcBorders>
              <w:top w:val="nil"/>
              <w:left w:val="single" w:color="000000" w:sz="4" w:space="0"/>
            </w:tcBorders>
            <w:vAlign w:val="top"/>
          </w:tcPr>
          <w:p w14:paraId="025000A3">
            <w:pPr>
              <w:rPr>
                <w:rFonts w:ascii="Arial"/>
                <w:sz w:val="21"/>
              </w:rPr>
            </w:pPr>
          </w:p>
        </w:tc>
        <w:tc>
          <w:tcPr>
            <w:tcW w:w="4167" w:type="dxa"/>
            <w:tcBorders>
              <w:top w:val="single" w:color="DEEAF6" w:sz="2" w:space="0"/>
              <w:right w:val="single" w:color="5B9BD5" w:sz="4" w:space="0"/>
            </w:tcBorders>
            <w:shd w:val="clear" w:color="auto" w:fill="DEEAF6"/>
            <w:vAlign w:val="top"/>
          </w:tcPr>
          <w:p w14:paraId="6B936723">
            <w:pPr>
              <w:spacing w:line="104" w:lineRule="auto"/>
              <w:rPr>
                <w:rFonts w:ascii="Arial"/>
                <w:sz w:val="2"/>
              </w:rPr>
            </w:pPr>
          </w:p>
        </w:tc>
      </w:tr>
      <w:tr w14:paraId="3A5D0D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4" w:hRule="atLeast"/>
        </w:trPr>
        <w:tc>
          <w:tcPr>
            <w:tcW w:w="4390" w:type="dxa"/>
            <w:tcBorders>
              <w:left w:val="single" w:color="1C456A" w:sz="4" w:space="0"/>
              <w:bottom w:val="single" w:color="1C456A" w:sz="4" w:space="0"/>
            </w:tcBorders>
            <w:vAlign w:val="top"/>
          </w:tcPr>
          <w:p w14:paraId="171BD6B0">
            <w:pPr>
              <w:pStyle w:val="7"/>
              <w:spacing w:before="102" w:line="217" w:lineRule="auto"/>
              <w:ind w:left="1445"/>
            </w:pPr>
            <w:r>
              <w:rPr>
                <w:spacing w:val="-19"/>
              </w:rPr>
              <w:t>苗木支撑施工图</w:t>
            </w:r>
          </w:p>
        </w:tc>
        <w:tc>
          <w:tcPr>
            <w:tcW w:w="4167" w:type="dxa"/>
            <w:tcBorders>
              <w:bottom w:val="single" w:color="5B9BD5" w:sz="4" w:space="0"/>
              <w:right w:val="single" w:color="5B9BD5" w:sz="4" w:space="0"/>
            </w:tcBorders>
            <w:vAlign w:val="top"/>
          </w:tcPr>
          <w:p w14:paraId="1F506EC6">
            <w:pPr>
              <w:pStyle w:val="7"/>
              <w:spacing w:before="102" w:line="217" w:lineRule="auto"/>
              <w:ind w:left="1321"/>
            </w:pPr>
            <w:r>
              <w:rPr>
                <w:spacing w:val="-19"/>
              </w:rPr>
              <w:t>苗木支撑完成图</w:t>
            </w:r>
          </w:p>
        </w:tc>
      </w:tr>
    </w:tbl>
    <w:p w14:paraId="6CE12DBA">
      <w:pPr>
        <w:pStyle w:val="2"/>
        <w:spacing w:before="112" w:line="278" w:lineRule="auto"/>
        <w:ind w:left="1455" w:right="1410" w:firstLine="434"/>
        <w:rPr>
          <w:sz w:val="24"/>
          <w:szCs w:val="24"/>
        </w:rPr>
      </w:pPr>
      <w:r>
        <w:rPr>
          <w:spacing w:val="-22"/>
          <w:sz w:val="24"/>
          <w:szCs w:val="24"/>
        </w:rPr>
        <w:t>3.8.6埋土、灌水：大土球苗木不宜采用“三埋两踩一</w:t>
      </w:r>
      <w:r>
        <w:rPr>
          <w:spacing w:val="-23"/>
          <w:sz w:val="24"/>
          <w:szCs w:val="24"/>
        </w:rPr>
        <w:t>提苗”的常规措施，应该边埋土边灌</w:t>
      </w:r>
      <w:r>
        <w:rPr>
          <w:spacing w:val="-20"/>
          <w:sz w:val="24"/>
          <w:szCs w:val="24"/>
        </w:rPr>
        <w:t>水，使泥土灌满树穴与土球每一个缝隙，以防根系“架空”，不利根系生长。或用铁管多点插</w:t>
      </w:r>
      <w:r>
        <w:rPr>
          <w:spacing w:val="-21"/>
          <w:sz w:val="24"/>
          <w:szCs w:val="24"/>
        </w:rPr>
        <w:t>入树穴底部从下到上灌水，以保浇透浇匀。</w:t>
      </w:r>
    </w:p>
    <w:p w14:paraId="543D61DB">
      <w:pPr>
        <w:pStyle w:val="2"/>
        <w:spacing w:before="117" w:line="262" w:lineRule="auto"/>
        <w:ind w:left="1457" w:right="1409" w:firstLine="433"/>
        <w:rPr>
          <w:sz w:val="24"/>
          <w:szCs w:val="24"/>
        </w:rPr>
      </w:pPr>
      <w:r>
        <w:rPr>
          <w:spacing w:val="-22"/>
          <w:sz w:val="24"/>
          <w:szCs w:val="24"/>
        </w:rPr>
        <w:t>3.8.7不耐水湿的树种宜采用浅穴堆土</w:t>
      </w:r>
      <w:r>
        <w:rPr>
          <w:spacing w:val="-23"/>
          <w:sz w:val="24"/>
          <w:szCs w:val="24"/>
        </w:rPr>
        <w:t>法栽植。这样根系透气性好，有利根系伤口愈合和新</w:t>
      </w:r>
      <w:r>
        <w:rPr>
          <w:spacing w:val="-15"/>
          <w:sz w:val="24"/>
          <w:szCs w:val="24"/>
        </w:rPr>
        <w:t>根萌发。</w:t>
      </w:r>
    </w:p>
    <w:p w14:paraId="3ABE56E0">
      <w:pPr>
        <w:pStyle w:val="2"/>
        <w:spacing w:before="119" w:line="216" w:lineRule="auto"/>
        <w:ind w:left="1890"/>
        <w:rPr>
          <w:sz w:val="24"/>
          <w:szCs w:val="24"/>
        </w:rPr>
      </w:pPr>
      <w:r>
        <w:rPr>
          <w:spacing w:val="-20"/>
          <w:sz w:val="24"/>
          <w:szCs w:val="24"/>
        </w:rPr>
        <w:t>3.8.8视栽种时间和树种需要，对部分新植树木冬季采取防寒措施。</w:t>
      </w:r>
    </w:p>
    <w:p w14:paraId="78CDA5BC">
      <w:pPr>
        <w:pStyle w:val="2"/>
        <w:spacing w:before="118" w:line="220" w:lineRule="auto"/>
        <w:ind w:left="1890"/>
        <w:rPr>
          <w:sz w:val="24"/>
          <w:szCs w:val="24"/>
        </w:rPr>
      </w:pPr>
      <w:r>
        <w:rPr>
          <w:spacing w:val="-15"/>
          <w:sz w:val="24"/>
          <w:szCs w:val="24"/>
        </w:rPr>
        <w:t>3.9、封穴</w:t>
      </w:r>
    </w:p>
    <w:p w14:paraId="3A498B1F">
      <w:pPr>
        <w:pStyle w:val="2"/>
        <w:spacing w:before="112" w:line="286" w:lineRule="auto"/>
        <w:ind w:left="1455" w:right="1412" w:firstLine="434"/>
        <w:rPr>
          <w:sz w:val="24"/>
          <w:szCs w:val="24"/>
        </w:rPr>
      </w:pPr>
      <w:r>
        <w:rPr>
          <w:spacing w:val="-23"/>
          <w:sz w:val="24"/>
          <w:szCs w:val="24"/>
        </w:rPr>
        <w:t>3.9.1灌水：大规格树木土球灌水时，必须一次性灌足，用树枝或铁棒轻轻插入土球，以检</w:t>
      </w:r>
      <w:r>
        <w:rPr>
          <w:spacing w:val="-20"/>
          <w:sz w:val="24"/>
          <w:szCs w:val="24"/>
        </w:rPr>
        <w:t>查土球是否松软或浸透，大土球四周在灌水时，最好轻轻插入几个孔（最好保证土球不散</w:t>
      </w:r>
      <w:r>
        <w:rPr>
          <w:spacing w:val="-14"/>
          <w:sz w:val="24"/>
          <w:szCs w:val="24"/>
        </w:rPr>
        <w:t>），</w:t>
      </w:r>
      <w:r>
        <w:rPr>
          <w:spacing w:val="-20"/>
          <w:sz w:val="24"/>
          <w:szCs w:val="24"/>
        </w:rPr>
        <w:t>以利于水浸透土球；若一次灌水不足，土球四周泥土形成泥浆，最终附在土球表面，则以后灌水时土球更不易浸透。</w:t>
      </w:r>
    </w:p>
    <w:p w14:paraId="32426BDD">
      <w:pPr>
        <w:pStyle w:val="2"/>
        <w:spacing w:before="117" w:line="215" w:lineRule="auto"/>
        <w:ind w:left="1890"/>
        <w:rPr>
          <w:sz w:val="24"/>
          <w:szCs w:val="24"/>
        </w:rPr>
      </w:pPr>
      <w:r>
        <w:rPr>
          <w:spacing w:val="-24"/>
          <w:sz w:val="24"/>
          <w:szCs w:val="24"/>
        </w:rPr>
        <w:t>3.9.2堆穴：待水完全渗透后，将树穴四周</w:t>
      </w:r>
      <w:r>
        <w:rPr>
          <w:spacing w:val="-25"/>
          <w:sz w:val="24"/>
          <w:szCs w:val="24"/>
        </w:rPr>
        <w:t>围堰土在树基部堆成中间高四周高的树穴并踏实。</w:t>
      </w:r>
    </w:p>
    <w:p w14:paraId="45F23BFB">
      <w:pPr>
        <w:pStyle w:val="2"/>
        <w:spacing w:before="120" w:line="262" w:lineRule="auto"/>
        <w:ind w:left="1456" w:right="1409" w:firstLine="434"/>
        <w:rPr>
          <w:sz w:val="24"/>
          <w:szCs w:val="24"/>
        </w:rPr>
      </w:pPr>
      <w:r>
        <w:rPr>
          <w:spacing w:val="-22"/>
          <w:sz w:val="24"/>
          <w:szCs w:val="24"/>
        </w:rPr>
        <w:t>3.9.3覆盖：用地膜以树基为中心，对树穴进</w:t>
      </w:r>
      <w:r>
        <w:rPr>
          <w:spacing w:val="-23"/>
          <w:sz w:val="24"/>
          <w:szCs w:val="24"/>
        </w:rPr>
        <w:t>行覆盖，覆盖时应严密，不重不漏，特别对接</w:t>
      </w:r>
      <w:r>
        <w:rPr>
          <w:spacing w:val="-21"/>
          <w:sz w:val="24"/>
          <w:szCs w:val="24"/>
        </w:rPr>
        <w:t>缝处，再用土进行覆盖，否则进风后易鼓起，树穴开裂，露</w:t>
      </w:r>
      <w:r>
        <w:rPr>
          <w:spacing w:val="-22"/>
          <w:sz w:val="24"/>
          <w:szCs w:val="24"/>
        </w:rPr>
        <w:t>风露气，根系容易失水不易成活。</w:t>
      </w:r>
    </w:p>
    <w:p w14:paraId="691B06F0">
      <w:pPr>
        <w:pStyle w:val="2"/>
        <w:spacing w:before="119" w:line="218" w:lineRule="auto"/>
        <w:ind w:left="1890"/>
        <w:rPr>
          <w:sz w:val="24"/>
          <w:szCs w:val="24"/>
        </w:rPr>
      </w:pPr>
      <w:r>
        <w:rPr>
          <w:spacing w:val="-14"/>
          <w:sz w:val="24"/>
          <w:szCs w:val="24"/>
        </w:rPr>
        <w:t>3.10、树体缠绕</w:t>
      </w:r>
    </w:p>
    <w:p w14:paraId="0122ACB5">
      <w:pPr>
        <w:pStyle w:val="2"/>
        <w:spacing w:before="116" w:line="288" w:lineRule="auto"/>
        <w:ind w:left="1462" w:right="1442" w:firstLine="431"/>
        <w:rPr>
          <w:sz w:val="24"/>
          <w:szCs w:val="24"/>
        </w:rPr>
      </w:pPr>
      <w:r>
        <w:rPr>
          <w:spacing w:val="-20"/>
          <w:sz w:val="24"/>
          <w:szCs w:val="24"/>
        </w:rPr>
        <w:t>用草绳对树干由基部严密缠绕，直至分枝点处，冬春两</w:t>
      </w:r>
      <w:r>
        <w:rPr>
          <w:spacing w:val="-21"/>
          <w:sz w:val="24"/>
          <w:szCs w:val="24"/>
        </w:rPr>
        <w:t>季，草绳外面再用地膜进行缠绕。夏秋两季将地膜去掉。该项措施既利于树体保温</w:t>
      </w:r>
      <w:r>
        <w:rPr>
          <w:spacing w:val="-22"/>
          <w:sz w:val="24"/>
          <w:szCs w:val="24"/>
        </w:rPr>
        <w:t>，又利于减少水分蒸发。</w:t>
      </w:r>
    </w:p>
    <w:p w14:paraId="5E911DB3">
      <w:pPr>
        <w:pStyle w:val="2"/>
        <w:spacing w:before="1" w:line="217" w:lineRule="auto"/>
        <w:ind w:left="3892"/>
        <w:outlineLvl w:val="1"/>
        <w:rPr>
          <w:sz w:val="30"/>
          <w:szCs w:val="30"/>
        </w:rPr>
      </w:pPr>
      <w:bookmarkStart w:id="62" w:name="bookmark61"/>
      <w:bookmarkEnd w:id="62"/>
      <w:r>
        <w:rPr>
          <w:b/>
          <w:bCs/>
          <w:color w:val="0070C0"/>
          <w:spacing w:val="-24"/>
          <w:sz w:val="30"/>
          <w:szCs w:val="30"/>
        </w:rPr>
        <w:t>第十节、地下管线探测及防护措施</w:t>
      </w:r>
    </w:p>
    <w:p w14:paraId="07649985">
      <w:pPr>
        <w:pStyle w:val="2"/>
        <w:spacing w:before="61" w:line="219" w:lineRule="auto"/>
        <w:ind w:left="1981"/>
        <w:outlineLvl w:val="2"/>
        <w:rPr>
          <w:sz w:val="28"/>
          <w:szCs w:val="28"/>
        </w:rPr>
      </w:pPr>
      <w:bookmarkStart w:id="63" w:name="bookmark62"/>
      <w:bookmarkEnd w:id="63"/>
      <w:r>
        <w:rPr>
          <w:b/>
          <w:bCs/>
          <w:spacing w:val="-22"/>
          <w:sz w:val="28"/>
          <w:szCs w:val="28"/>
        </w:rPr>
        <w:t>一、地下管线探测方案</w:t>
      </w:r>
    </w:p>
    <w:p w14:paraId="4ABFD9B6">
      <w:pPr>
        <w:pStyle w:val="2"/>
        <w:spacing w:before="105" w:line="218" w:lineRule="auto"/>
        <w:ind w:left="1903"/>
        <w:rPr>
          <w:sz w:val="24"/>
          <w:szCs w:val="24"/>
        </w:rPr>
      </w:pPr>
      <w:r>
        <w:rPr>
          <w:spacing w:val="-20"/>
          <w:sz w:val="24"/>
          <w:szCs w:val="24"/>
        </w:rPr>
        <w:t>1、地下管线探测施工流程图</w:t>
      </w:r>
    </w:p>
    <w:p w14:paraId="1EE51475">
      <w:pPr>
        <w:spacing w:line="218" w:lineRule="auto"/>
        <w:rPr>
          <w:sz w:val="24"/>
          <w:szCs w:val="24"/>
        </w:rPr>
        <w:sectPr>
          <w:footerReference r:id="rId127" w:type="default"/>
          <w:pgSz w:w="11907" w:h="16839"/>
          <w:pgMar w:top="954" w:right="4" w:bottom="1038" w:left="0" w:header="499" w:footer="357" w:gutter="0"/>
          <w:pgBorders>
            <w:top w:val="none" w:sz="0" w:space="0"/>
            <w:left w:val="none" w:sz="0" w:space="0"/>
            <w:bottom w:val="none" w:sz="0" w:space="0"/>
            <w:right w:val="none" w:sz="0" w:space="0"/>
          </w:pgBorders>
          <w:cols w:space="720" w:num="1"/>
        </w:sectPr>
      </w:pPr>
    </w:p>
    <w:p w14:paraId="6942ADFE">
      <w:pPr>
        <w:spacing w:before="215" w:line="7680" w:lineRule="exact"/>
        <w:ind w:firstLine="2458"/>
      </w:pPr>
      <w:r>
        <w:rPr>
          <w:position w:val="-153"/>
        </w:rPr>
        <w:drawing>
          <wp:inline distT="0" distB="0" distL="0" distR="0">
            <wp:extent cx="4436745" cy="4876165"/>
            <wp:effectExtent l="0" t="0" r="0" b="0"/>
            <wp:docPr id="704" name="IM 704"/>
            <wp:cNvGraphicFramePr/>
            <a:graphic xmlns:a="http://schemas.openxmlformats.org/drawingml/2006/main">
              <a:graphicData uri="http://schemas.openxmlformats.org/drawingml/2006/picture">
                <pic:pic xmlns:pic="http://schemas.openxmlformats.org/drawingml/2006/picture">
                  <pic:nvPicPr>
                    <pic:cNvPr id="704" name="IM 704"/>
                    <pic:cNvPicPr/>
                  </pic:nvPicPr>
                  <pic:blipFill>
                    <a:blip r:embed="rId594"/>
                    <a:stretch>
                      <a:fillRect/>
                    </a:stretch>
                  </pic:blipFill>
                  <pic:spPr>
                    <a:xfrm>
                      <a:off x="0" y="0"/>
                      <a:ext cx="4437379" cy="4876799"/>
                    </a:xfrm>
                    <a:prstGeom prst="rect">
                      <a:avLst/>
                    </a:prstGeom>
                  </pic:spPr>
                </pic:pic>
              </a:graphicData>
            </a:graphic>
          </wp:inline>
        </w:drawing>
      </w:r>
    </w:p>
    <w:p w14:paraId="7F2620EC">
      <w:pPr>
        <w:pStyle w:val="2"/>
        <w:spacing w:before="116" w:line="218" w:lineRule="auto"/>
        <w:ind w:left="1888"/>
        <w:rPr>
          <w:sz w:val="24"/>
          <w:szCs w:val="24"/>
        </w:rPr>
      </w:pPr>
      <w:r>
        <w:rPr>
          <w:spacing w:val="-18"/>
          <w:sz w:val="24"/>
          <w:szCs w:val="24"/>
        </w:rPr>
        <w:t>2、技术准备</w:t>
      </w:r>
    </w:p>
    <w:p w14:paraId="028D8042">
      <w:pPr>
        <w:pStyle w:val="2"/>
        <w:spacing w:before="114" w:line="216" w:lineRule="auto"/>
        <w:ind w:left="1894"/>
        <w:rPr>
          <w:sz w:val="24"/>
          <w:szCs w:val="24"/>
        </w:rPr>
      </w:pPr>
      <w:r>
        <w:rPr>
          <w:spacing w:val="-19"/>
          <w:sz w:val="24"/>
          <w:szCs w:val="24"/>
        </w:rPr>
        <w:t>技术准备工作内容</w:t>
      </w:r>
    </w:p>
    <w:p w14:paraId="79D568BA">
      <w:pPr>
        <w:pStyle w:val="2"/>
        <w:spacing w:before="120" w:line="216" w:lineRule="auto"/>
        <w:ind w:left="1893"/>
        <w:rPr>
          <w:sz w:val="24"/>
          <w:szCs w:val="24"/>
        </w:rPr>
      </w:pPr>
      <w:r>
        <w:rPr>
          <w:spacing w:val="-20"/>
          <w:sz w:val="24"/>
          <w:szCs w:val="24"/>
        </w:rPr>
        <w:t>探查前的技术准备工作：</w:t>
      </w:r>
    </w:p>
    <w:p w14:paraId="4693F11C">
      <w:pPr>
        <w:spacing w:line="48" w:lineRule="auto"/>
        <w:rPr>
          <w:rFonts w:ascii="Arial"/>
          <w:sz w:val="2"/>
        </w:rPr>
      </w:pPr>
    </w:p>
    <w:tbl>
      <w:tblPr>
        <w:tblStyle w:val="6"/>
        <w:tblW w:w="9176" w:type="dxa"/>
        <w:tblInd w:w="1366"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76"/>
        <w:gridCol w:w="1729"/>
        <w:gridCol w:w="5954"/>
        <w:gridCol w:w="1017"/>
      </w:tblGrid>
      <w:tr w14:paraId="168FFB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0" w:hRule="atLeast"/>
        </w:trPr>
        <w:tc>
          <w:tcPr>
            <w:tcW w:w="476" w:type="dxa"/>
            <w:tcBorders>
              <w:top w:val="single" w:color="000000" w:sz="4" w:space="0"/>
              <w:left w:val="single" w:color="000000" w:sz="4" w:space="0"/>
              <w:right w:val="nil"/>
            </w:tcBorders>
            <w:shd w:val="clear" w:color="auto" w:fill="DEEAF6"/>
            <w:vAlign w:val="top"/>
          </w:tcPr>
          <w:p w14:paraId="2B431685">
            <w:pPr>
              <w:rPr>
                <w:rFonts w:ascii="Arial"/>
                <w:sz w:val="21"/>
              </w:rPr>
            </w:pPr>
            <w:r>
              <w:pict>
                <v:shape id="_x0000_s1909" o:spid="_x0000_s1909" style="position:absolute;left:0pt;margin-left:-0.25pt;margin-top:0pt;height:0.75pt;width:2.2pt;mso-position-horizontal-relative:page;mso-position-vertical-relative:page;z-index:251876352;mso-width-relative:page;mso-height-relative:page;" fillcolor="#5B9BD5" filled="t" stroked="f" coordsize="44,15" path="m0,14l43,14,43,0,0,0,0,14xe">
                  <v:path/>
                  <v:fill on="t" focussize="0,0"/>
                  <v:stroke on="f"/>
                  <v:imagedata o:title=""/>
                  <o:lock v:ext="edit"/>
                </v:shape>
              </w:pict>
            </w:r>
          </w:p>
        </w:tc>
        <w:tc>
          <w:tcPr>
            <w:tcW w:w="1729" w:type="dxa"/>
            <w:tcBorders>
              <w:top w:val="single" w:color="000000" w:sz="4" w:space="0"/>
              <w:left w:val="nil"/>
            </w:tcBorders>
            <w:shd w:val="clear" w:color="auto" w:fill="DEEAF6"/>
            <w:vAlign w:val="top"/>
          </w:tcPr>
          <w:p w14:paraId="2DDC7E95">
            <w:pPr>
              <w:pStyle w:val="7"/>
              <w:spacing w:before="127" w:line="218" w:lineRule="auto"/>
              <w:ind w:left="429"/>
            </w:pPr>
            <w:r>
              <w:rPr>
                <w:b/>
                <w:bCs/>
                <w:spacing w:val="-12"/>
              </w:rPr>
              <w:t>序号</w:t>
            </w:r>
          </w:p>
        </w:tc>
        <w:tc>
          <w:tcPr>
            <w:tcW w:w="5954" w:type="dxa"/>
            <w:tcBorders>
              <w:top w:val="single" w:color="5B9BD5" w:sz="4" w:space="0"/>
              <w:right w:val="nil"/>
            </w:tcBorders>
            <w:shd w:val="clear" w:color="auto" w:fill="DEEAF6"/>
            <w:vAlign w:val="top"/>
          </w:tcPr>
          <w:p w14:paraId="1C99B09C">
            <w:pPr>
              <w:pStyle w:val="7"/>
              <w:spacing w:before="127" w:line="218" w:lineRule="auto"/>
              <w:ind w:left="3298"/>
            </w:pPr>
            <w:r>
              <w:rPr>
                <w:b/>
                <w:bCs/>
                <w:spacing w:val="-20"/>
              </w:rPr>
              <w:t>内容</w:t>
            </w:r>
          </w:p>
        </w:tc>
        <w:tc>
          <w:tcPr>
            <w:tcW w:w="1017" w:type="dxa"/>
            <w:tcBorders>
              <w:top w:val="single" w:color="5B9BD5" w:sz="4" w:space="0"/>
              <w:left w:val="nil"/>
              <w:right w:val="single" w:color="5B9BD5" w:sz="4" w:space="0"/>
            </w:tcBorders>
            <w:shd w:val="clear" w:color="auto" w:fill="DEEAF6"/>
            <w:vAlign w:val="top"/>
          </w:tcPr>
          <w:p w14:paraId="061807F8">
            <w:pPr>
              <w:rPr>
                <w:rFonts w:ascii="Arial"/>
                <w:sz w:val="21"/>
              </w:rPr>
            </w:pPr>
            <w:r>
              <w:pict>
                <v:shape id="_x0000_s1910" o:spid="_x0000_s1910" style="position:absolute;left:0pt;margin-left:49pt;margin-top:0pt;height:0.75pt;width:2.2pt;mso-position-horizontal-relative:page;mso-position-vertical-relative:page;z-index:251877376;mso-width-relative:page;mso-height-relative:page;" fillcolor="#5B9BD5" filled="t" stroked="f" coordsize="44,15" path="m0,14l43,14,43,0,0,0,0,14xe">
                  <v:path/>
                  <v:fill on="t" focussize="0,0"/>
                  <v:stroke on="f"/>
                  <v:imagedata o:title=""/>
                  <o:lock v:ext="edit"/>
                </v:shape>
              </w:pict>
            </w:r>
          </w:p>
        </w:tc>
      </w:tr>
      <w:tr w14:paraId="13A9A7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4" w:hRule="atLeast"/>
        </w:trPr>
        <w:tc>
          <w:tcPr>
            <w:tcW w:w="2205" w:type="dxa"/>
            <w:gridSpan w:val="2"/>
            <w:tcBorders>
              <w:left w:val="single" w:color="000000" w:sz="4" w:space="0"/>
            </w:tcBorders>
            <w:vAlign w:val="top"/>
          </w:tcPr>
          <w:p w14:paraId="43DB8D22">
            <w:pPr>
              <w:pStyle w:val="7"/>
              <w:spacing w:before="95" w:line="238" w:lineRule="auto"/>
              <w:ind w:left="1076"/>
            </w:pPr>
            <w:r>
              <w:t>1</w:t>
            </w:r>
          </w:p>
        </w:tc>
        <w:tc>
          <w:tcPr>
            <w:tcW w:w="6971" w:type="dxa"/>
            <w:gridSpan w:val="2"/>
            <w:tcBorders>
              <w:right w:val="single" w:color="000000" w:sz="4" w:space="0"/>
            </w:tcBorders>
            <w:vAlign w:val="top"/>
          </w:tcPr>
          <w:p w14:paraId="27EF5994">
            <w:pPr>
              <w:pStyle w:val="7"/>
              <w:spacing w:before="94" w:line="216" w:lineRule="auto"/>
              <w:ind w:left="3065"/>
            </w:pPr>
            <w:r>
              <w:rPr>
                <w:spacing w:val="-18"/>
              </w:rPr>
              <w:t>资料搜集</w:t>
            </w:r>
          </w:p>
        </w:tc>
      </w:tr>
      <w:tr w14:paraId="5ED97E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4" w:hRule="atLeast"/>
        </w:trPr>
        <w:tc>
          <w:tcPr>
            <w:tcW w:w="2205" w:type="dxa"/>
            <w:gridSpan w:val="2"/>
            <w:tcBorders>
              <w:left w:val="single" w:color="000000" w:sz="4" w:space="0"/>
            </w:tcBorders>
            <w:vAlign w:val="top"/>
          </w:tcPr>
          <w:p w14:paraId="5D763DA6">
            <w:pPr>
              <w:pStyle w:val="7"/>
              <w:spacing w:before="96" w:line="238" w:lineRule="auto"/>
              <w:ind w:left="1062"/>
            </w:pPr>
            <w:r>
              <w:t>2</w:t>
            </w:r>
          </w:p>
        </w:tc>
        <w:tc>
          <w:tcPr>
            <w:tcW w:w="6971" w:type="dxa"/>
            <w:gridSpan w:val="2"/>
            <w:tcBorders>
              <w:right w:val="single" w:color="000000" w:sz="4" w:space="0"/>
            </w:tcBorders>
            <w:vAlign w:val="top"/>
          </w:tcPr>
          <w:p w14:paraId="18E6EEBE">
            <w:pPr>
              <w:pStyle w:val="7"/>
              <w:spacing w:before="95" w:line="219" w:lineRule="auto"/>
              <w:ind w:left="3052"/>
            </w:pPr>
            <w:r>
              <w:rPr>
                <w:spacing w:val="-15"/>
              </w:rPr>
              <w:t>现场踏勘</w:t>
            </w:r>
          </w:p>
        </w:tc>
      </w:tr>
      <w:tr w14:paraId="3FA77C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4" w:hRule="atLeast"/>
        </w:trPr>
        <w:tc>
          <w:tcPr>
            <w:tcW w:w="2205" w:type="dxa"/>
            <w:gridSpan w:val="2"/>
            <w:tcBorders>
              <w:left w:val="single" w:color="000000" w:sz="4" w:space="0"/>
            </w:tcBorders>
            <w:vAlign w:val="top"/>
          </w:tcPr>
          <w:p w14:paraId="4D899EE3">
            <w:pPr>
              <w:pStyle w:val="7"/>
              <w:spacing w:before="97" w:line="237" w:lineRule="auto"/>
              <w:ind w:left="1063"/>
            </w:pPr>
            <w:r>
              <w:t>3</w:t>
            </w:r>
          </w:p>
        </w:tc>
        <w:tc>
          <w:tcPr>
            <w:tcW w:w="6971" w:type="dxa"/>
            <w:gridSpan w:val="2"/>
            <w:tcBorders>
              <w:right w:val="single" w:color="000000" w:sz="4" w:space="0"/>
            </w:tcBorders>
            <w:vAlign w:val="top"/>
          </w:tcPr>
          <w:p w14:paraId="33EBF834">
            <w:pPr>
              <w:pStyle w:val="7"/>
              <w:spacing w:before="97" w:line="220" w:lineRule="auto"/>
              <w:ind w:left="3058"/>
            </w:pPr>
            <w:r>
              <w:rPr>
                <w:spacing w:val="-17"/>
              </w:rPr>
              <w:t>方法试验</w:t>
            </w:r>
          </w:p>
        </w:tc>
      </w:tr>
      <w:tr w14:paraId="29D7D7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5" w:hRule="atLeast"/>
        </w:trPr>
        <w:tc>
          <w:tcPr>
            <w:tcW w:w="2205" w:type="dxa"/>
            <w:gridSpan w:val="2"/>
            <w:tcBorders>
              <w:left w:val="single" w:color="000000" w:sz="4" w:space="0"/>
            </w:tcBorders>
            <w:vAlign w:val="top"/>
          </w:tcPr>
          <w:p w14:paraId="5A2C687B">
            <w:pPr>
              <w:pStyle w:val="7"/>
              <w:spacing w:before="99" w:line="238" w:lineRule="auto"/>
              <w:ind w:left="1058"/>
            </w:pPr>
            <w:r>
              <w:t>4</w:t>
            </w:r>
          </w:p>
        </w:tc>
        <w:tc>
          <w:tcPr>
            <w:tcW w:w="6971" w:type="dxa"/>
            <w:gridSpan w:val="2"/>
            <w:tcBorders>
              <w:right w:val="single" w:color="000000" w:sz="4" w:space="0"/>
            </w:tcBorders>
            <w:vAlign w:val="top"/>
          </w:tcPr>
          <w:p w14:paraId="15EB0389">
            <w:pPr>
              <w:pStyle w:val="7"/>
              <w:spacing w:before="99" w:line="216" w:lineRule="auto"/>
              <w:ind w:left="2724"/>
            </w:pPr>
            <w:r>
              <w:rPr>
                <w:spacing w:val="-19"/>
              </w:rPr>
              <w:t>仪器一致性检验</w:t>
            </w:r>
          </w:p>
        </w:tc>
      </w:tr>
      <w:tr w14:paraId="039FB2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7" w:hRule="atLeast"/>
        </w:trPr>
        <w:tc>
          <w:tcPr>
            <w:tcW w:w="2205" w:type="dxa"/>
            <w:gridSpan w:val="2"/>
            <w:tcBorders>
              <w:left w:val="single" w:color="000000" w:sz="4" w:space="0"/>
            </w:tcBorders>
            <w:vAlign w:val="top"/>
          </w:tcPr>
          <w:p w14:paraId="1EEE8F72">
            <w:pPr>
              <w:pStyle w:val="7"/>
              <w:spacing w:before="99" w:line="237" w:lineRule="auto"/>
              <w:ind w:left="1063"/>
            </w:pPr>
            <w:r>
              <w:t>5</w:t>
            </w:r>
          </w:p>
        </w:tc>
        <w:tc>
          <w:tcPr>
            <w:tcW w:w="6971" w:type="dxa"/>
            <w:gridSpan w:val="2"/>
            <w:tcBorders>
              <w:right w:val="single" w:color="000000" w:sz="4" w:space="0"/>
            </w:tcBorders>
            <w:vAlign w:val="top"/>
          </w:tcPr>
          <w:p w14:paraId="210D1033">
            <w:pPr>
              <w:pStyle w:val="7"/>
              <w:spacing w:before="99" w:line="216" w:lineRule="auto"/>
              <w:ind w:left="1962"/>
            </w:pPr>
            <w:r>
              <w:rPr>
                <w:spacing w:val="-21"/>
              </w:rPr>
              <w:t>编制技术设计书和项目作业计划</w:t>
            </w:r>
          </w:p>
        </w:tc>
      </w:tr>
      <w:tr w14:paraId="069E46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5" w:hRule="atLeast"/>
        </w:trPr>
        <w:tc>
          <w:tcPr>
            <w:tcW w:w="2205" w:type="dxa"/>
            <w:gridSpan w:val="2"/>
            <w:tcBorders>
              <w:left w:val="single" w:color="000000" w:sz="4" w:space="0"/>
            </w:tcBorders>
            <w:vAlign w:val="top"/>
          </w:tcPr>
          <w:p w14:paraId="5D3D19A9">
            <w:pPr>
              <w:pStyle w:val="7"/>
              <w:spacing w:before="100" w:line="237" w:lineRule="auto"/>
              <w:ind w:left="1061"/>
            </w:pPr>
            <w:r>
              <w:t>6</w:t>
            </w:r>
          </w:p>
        </w:tc>
        <w:tc>
          <w:tcPr>
            <w:tcW w:w="6971" w:type="dxa"/>
            <w:gridSpan w:val="2"/>
            <w:tcBorders>
              <w:right w:val="single" w:color="000000" w:sz="4" w:space="0"/>
            </w:tcBorders>
            <w:vAlign w:val="top"/>
          </w:tcPr>
          <w:p w14:paraId="0B1DC3EE">
            <w:pPr>
              <w:pStyle w:val="7"/>
              <w:spacing w:before="100" w:line="216" w:lineRule="auto"/>
              <w:ind w:left="2505"/>
            </w:pPr>
            <w:r>
              <w:rPr>
                <w:spacing w:val="-23"/>
              </w:rPr>
              <w:t>探查前应搜集资料：</w:t>
            </w:r>
          </w:p>
        </w:tc>
      </w:tr>
      <w:tr w14:paraId="67E60A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4" w:hRule="atLeast"/>
        </w:trPr>
        <w:tc>
          <w:tcPr>
            <w:tcW w:w="2205" w:type="dxa"/>
            <w:gridSpan w:val="2"/>
            <w:tcBorders>
              <w:left w:val="single" w:color="000000" w:sz="4" w:space="0"/>
            </w:tcBorders>
            <w:vAlign w:val="top"/>
          </w:tcPr>
          <w:p w14:paraId="555A117D">
            <w:pPr>
              <w:pStyle w:val="7"/>
              <w:spacing w:before="101" w:line="237" w:lineRule="auto"/>
              <w:ind w:left="1064"/>
            </w:pPr>
            <w:r>
              <w:t>7</w:t>
            </w:r>
          </w:p>
        </w:tc>
        <w:tc>
          <w:tcPr>
            <w:tcW w:w="6971" w:type="dxa"/>
            <w:gridSpan w:val="2"/>
            <w:tcBorders>
              <w:right w:val="single" w:color="000000" w:sz="4" w:space="0"/>
            </w:tcBorders>
            <w:vAlign w:val="top"/>
          </w:tcPr>
          <w:p w14:paraId="27517F34">
            <w:pPr>
              <w:pStyle w:val="7"/>
              <w:spacing w:before="101" w:line="216" w:lineRule="auto"/>
              <w:ind w:left="2505"/>
            </w:pPr>
            <w:r>
              <w:rPr>
                <w:spacing w:val="-19"/>
              </w:rPr>
              <w:t>测区地下管线工作图</w:t>
            </w:r>
          </w:p>
        </w:tc>
      </w:tr>
      <w:tr w14:paraId="1EF175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5" w:hRule="atLeast"/>
        </w:trPr>
        <w:tc>
          <w:tcPr>
            <w:tcW w:w="476" w:type="dxa"/>
            <w:tcBorders>
              <w:left w:val="single" w:color="1C456A" w:sz="4" w:space="0"/>
              <w:bottom w:val="single" w:color="1C456A" w:sz="4" w:space="0"/>
              <w:right w:val="nil"/>
            </w:tcBorders>
            <w:vAlign w:val="top"/>
          </w:tcPr>
          <w:p w14:paraId="48BCC5B9">
            <w:pPr>
              <w:rPr>
                <w:rFonts w:ascii="Arial"/>
                <w:sz w:val="21"/>
              </w:rPr>
            </w:pPr>
            <w:r>
              <w:pict>
                <v:shape id="_x0000_s1911" o:spid="_x0000_s1911" style="position:absolute;left:0pt;margin-left:-0.25pt;margin-top:31.25pt;height:0.75pt;width:2.2pt;mso-position-horizontal-relative:page;mso-position-vertical-relative:page;z-index:251875328;mso-width-relative:page;mso-height-relative:page;" fillcolor="#5B9BD5" filled="t" stroked="f" coordsize="44,15" path="m0,14l43,14,43,0,0,0,0,14xe">
                  <v:path/>
                  <v:fill on="t" focussize="0,0"/>
                  <v:stroke on="f"/>
                  <v:imagedata o:title=""/>
                  <o:lock v:ext="edit"/>
                </v:shape>
              </w:pict>
            </w:r>
          </w:p>
        </w:tc>
        <w:tc>
          <w:tcPr>
            <w:tcW w:w="1729" w:type="dxa"/>
            <w:tcBorders>
              <w:left w:val="nil"/>
              <w:bottom w:val="single" w:color="1C456A" w:sz="4" w:space="0"/>
            </w:tcBorders>
            <w:vAlign w:val="top"/>
          </w:tcPr>
          <w:p w14:paraId="6D8617B2">
            <w:pPr>
              <w:pStyle w:val="7"/>
              <w:spacing w:before="102" w:line="237" w:lineRule="auto"/>
              <w:ind w:left="589"/>
            </w:pPr>
            <w:r>
              <w:t>8</w:t>
            </w:r>
          </w:p>
        </w:tc>
        <w:tc>
          <w:tcPr>
            <w:tcW w:w="6971" w:type="dxa"/>
            <w:gridSpan w:val="2"/>
            <w:tcBorders>
              <w:bottom w:val="single" w:color="5B9BD5" w:sz="4" w:space="0"/>
              <w:right w:val="single" w:color="5B9BD5" w:sz="4" w:space="0"/>
            </w:tcBorders>
            <w:vAlign w:val="top"/>
          </w:tcPr>
          <w:p w14:paraId="03EB57B6">
            <w:pPr>
              <w:pStyle w:val="7"/>
              <w:spacing w:before="102" w:line="216" w:lineRule="auto"/>
              <w:ind w:left="2289"/>
            </w:pPr>
            <w:r>
              <w:pict>
                <v:shape id="_x0000_s1912" o:spid="_x0000_s1912" style="position:absolute;left:0pt;margin-left:346.7pt;margin-top:31.25pt;height:0.75pt;width:2.2pt;mso-position-horizontal-relative:page;mso-position-vertical-relative:page;z-index:251874304;mso-width-relative:page;mso-height-relative:page;" fillcolor="#5B9BD5" filled="t" stroked="f" coordsize="44,15" path="m0,14l43,14,43,0,0,0,0,14xe">
                  <v:path/>
                  <v:fill on="t" focussize="0,0"/>
                  <v:stroke on="f"/>
                  <v:imagedata o:title=""/>
                  <o:lock v:ext="edit"/>
                </v:shape>
              </w:pict>
            </w:r>
            <w:r>
              <w:rPr>
                <w:spacing w:val="-20"/>
              </w:rPr>
              <w:t>测区测量控制点成果资料</w:t>
            </w:r>
          </w:p>
        </w:tc>
      </w:tr>
    </w:tbl>
    <w:p w14:paraId="3D81FD44">
      <w:pPr>
        <w:rPr>
          <w:rFonts w:ascii="Arial"/>
          <w:sz w:val="21"/>
        </w:rPr>
      </w:pPr>
    </w:p>
    <w:p w14:paraId="26B2F93D">
      <w:pPr>
        <w:rPr>
          <w:rFonts w:ascii="Arial" w:hAnsi="Arial" w:eastAsia="Arial" w:cs="Arial"/>
          <w:sz w:val="21"/>
          <w:szCs w:val="21"/>
        </w:rPr>
        <w:sectPr>
          <w:footerReference r:id="rId128" w:type="default"/>
          <w:pgSz w:w="11907" w:h="16839"/>
          <w:pgMar w:top="954" w:right="4" w:bottom="1038" w:left="0" w:header="499" w:footer="357" w:gutter="0"/>
          <w:pgBorders>
            <w:top w:val="none" w:sz="0" w:space="0"/>
            <w:left w:val="none" w:sz="0" w:space="0"/>
            <w:bottom w:val="none" w:sz="0" w:space="0"/>
            <w:right w:val="none" w:sz="0" w:space="0"/>
          </w:pgBorders>
          <w:cols w:space="720" w:num="1"/>
        </w:sectPr>
      </w:pPr>
    </w:p>
    <w:p w14:paraId="3C104472">
      <w:pPr>
        <w:spacing w:line="214" w:lineRule="exact"/>
      </w:pPr>
    </w:p>
    <w:tbl>
      <w:tblPr>
        <w:tblStyle w:val="6"/>
        <w:tblW w:w="9176" w:type="dxa"/>
        <w:tblInd w:w="1366" w:type="dxa"/>
        <w:tblBorders>
          <w:top w:val="single" w:color="1C456A" w:sz="4" w:space="0"/>
          <w:left w:val="single" w:color="1C456A" w:sz="4" w:space="0"/>
          <w:bottom w:val="single" w:color="1C456A" w:sz="4" w:space="0"/>
          <w:right w:val="single" w:color="1C456A" w:sz="4" w:space="0"/>
          <w:insideH w:val="single" w:color="1C456A" w:sz="4" w:space="0"/>
          <w:insideV w:val="single" w:color="1C456A" w:sz="4" w:space="0"/>
        </w:tblBorders>
        <w:tblLayout w:type="fixed"/>
        <w:tblCellMar>
          <w:top w:w="0" w:type="dxa"/>
          <w:left w:w="0" w:type="dxa"/>
          <w:bottom w:w="0" w:type="dxa"/>
          <w:right w:w="0" w:type="dxa"/>
        </w:tblCellMar>
      </w:tblPr>
      <w:tblGrid>
        <w:gridCol w:w="2203"/>
        <w:gridCol w:w="6973"/>
      </w:tblGrid>
      <w:tr w14:paraId="6B45CCFB">
        <w:tblPrEx>
          <w:tblBorders>
            <w:top w:val="single" w:color="1C456A" w:sz="4" w:space="0"/>
            <w:left w:val="single" w:color="1C456A" w:sz="4" w:space="0"/>
            <w:bottom w:val="single" w:color="1C456A" w:sz="4" w:space="0"/>
            <w:right w:val="single" w:color="1C456A" w:sz="4" w:space="0"/>
            <w:insideH w:val="single" w:color="1C456A" w:sz="4" w:space="0"/>
            <w:insideV w:val="single" w:color="1C456A" w:sz="4" w:space="0"/>
          </w:tblBorders>
          <w:tblCellMar>
            <w:top w:w="0" w:type="dxa"/>
            <w:left w:w="0" w:type="dxa"/>
            <w:bottom w:w="0" w:type="dxa"/>
            <w:right w:w="0" w:type="dxa"/>
          </w:tblCellMar>
        </w:tblPrEx>
        <w:trPr>
          <w:trHeight w:val="652" w:hRule="atLeast"/>
        </w:trPr>
        <w:tc>
          <w:tcPr>
            <w:tcW w:w="2203" w:type="dxa"/>
            <w:tcBorders>
              <w:right w:val="single" w:color="000000" w:sz="2" w:space="0"/>
            </w:tcBorders>
            <w:vAlign w:val="top"/>
          </w:tcPr>
          <w:p w14:paraId="188E44EF">
            <w:pPr>
              <w:pStyle w:val="7"/>
              <w:spacing w:before="129" w:line="237" w:lineRule="auto"/>
              <w:ind w:left="1060"/>
            </w:pPr>
            <w:r>
              <w:t>9</w:t>
            </w:r>
          </w:p>
        </w:tc>
        <w:tc>
          <w:tcPr>
            <w:tcW w:w="6973" w:type="dxa"/>
            <w:tcBorders>
              <w:top w:val="single" w:color="5B9BD5" w:sz="4" w:space="0"/>
              <w:left w:val="single" w:color="000000" w:sz="2" w:space="0"/>
              <w:bottom w:val="single" w:color="5B9BD5" w:sz="4" w:space="0"/>
              <w:right w:val="single" w:color="5B9BD5" w:sz="4" w:space="0"/>
            </w:tcBorders>
            <w:vAlign w:val="top"/>
          </w:tcPr>
          <w:p w14:paraId="630C304B">
            <w:pPr>
              <w:pStyle w:val="7"/>
              <w:spacing w:before="129" w:line="216" w:lineRule="auto"/>
              <w:ind w:left="2838"/>
            </w:pPr>
            <w:r>
              <w:rPr>
                <w:spacing w:val="-18"/>
              </w:rPr>
              <w:t>其他相关资料</w:t>
            </w:r>
          </w:p>
        </w:tc>
      </w:tr>
    </w:tbl>
    <w:p w14:paraId="49110740">
      <w:pPr>
        <w:pStyle w:val="2"/>
        <w:spacing w:before="112" w:line="219" w:lineRule="auto"/>
        <w:ind w:left="1890"/>
        <w:rPr>
          <w:sz w:val="24"/>
          <w:szCs w:val="24"/>
        </w:rPr>
      </w:pPr>
      <w:r>
        <w:rPr>
          <w:spacing w:val="-18"/>
          <w:sz w:val="24"/>
          <w:szCs w:val="24"/>
        </w:rPr>
        <w:t>3、现场踏勘</w:t>
      </w:r>
    </w:p>
    <w:p w14:paraId="1843843C">
      <w:pPr>
        <w:pStyle w:val="2"/>
        <w:spacing w:before="116" w:line="218" w:lineRule="auto"/>
        <w:ind w:left="1892"/>
        <w:rPr>
          <w:sz w:val="24"/>
          <w:szCs w:val="24"/>
        </w:rPr>
      </w:pPr>
      <w:r>
        <w:rPr>
          <w:spacing w:val="-20"/>
          <w:sz w:val="24"/>
          <w:szCs w:val="24"/>
        </w:rPr>
        <w:t>现场踏勘的内容包括：</w:t>
      </w:r>
    </w:p>
    <w:p w14:paraId="2C8D257B">
      <w:pPr>
        <w:spacing w:line="19" w:lineRule="auto"/>
        <w:rPr>
          <w:rFonts w:ascii="Arial"/>
          <w:sz w:val="2"/>
        </w:rPr>
      </w:pPr>
    </w:p>
    <w:tbl>
      <w:tblPr>
        <w:tblStyle w:val="6"/>
        <w:tblW w:w="9176" w:type="dxa"/>
        <w:tblInd w:w="1366"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207"/>
        <w:gridCol w:w="6969"/>
      </w:tblGrid>
      <w:tr w14:paraId="0974E1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2" w:hRule="atLeast"/>
        </w:trPr>
        <w:tc>
          <w:tcPr>
            <w:tcW w:w="2207" w:type="dxa"/>
            <w:tcBorders>
              <w:top w:val="single" w:color="000000" w:sz="4" w:space="0"/>
              <w:left w:val="single" w:color="000000" w:sz="4" w:space="0"/>
            </w:tcBorders>
            <w:shd w:val="clear" w:color="auto" w:fill="DEEAF6"/>
            <w:vAlign w:val="top"/>
          </w:tcPr>
          <w:p w14:paraId="54BFDB99">
            <w:pPr>
              <w:pStyle w:val="7"/>
              <w:spacing w:before="129" w:line="218" w:lineRule="auto"/>
              <w:ind w:left="900"/>
            </w:pPr>
            <w:r>
              <w:rPr>
                <w:b/>
                <w:bCs/>
                <w:spacing w:val="-12"/>
              </w:rPr>
              <w:t>序号</w:t>
            </w:r>
          </w:p>
        </w:tc>
        <w:tc>
          <w:tcPr>
            <w:tcW w:w="6969" w:type="dxa"/>
            <w:tcBorders>
              <w:top w:val="single" w:color="5B9BD5" w:sz="4" w:space="0"/>
              <w:right w:val="single" w:color="5B9BD5" w:sz="4" w:space="0"/>
            </w:tcBorders>
            <w:shd w:val="clear" w:color="auto" w:fill="DEEAF6"/>
            <w:vAlign w:val="top"/>
          </w:tcPr>
          <w:p w14:paraId="67D6D083">
            <w:pPr>
              <w:pStyle w:val="7"/>
              <w:spacing w:before="129" w:line="218" w:lineRule="auto"/>
              <w:ind w:left="3296"/>
            </w:pPr>
            <w:r>
              <w:rPr>
                <w:b/>
                <w:bCs/>
                <w:spacing w:val="-20"/>
              </w:rPr>
              <w:t>内容</w:t>
            </w:r>
          </w:p>
        </w:tc>
      </w:tr>
      <w:tr w14:paraId="0D4B13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0" w:hRule="atLeast"/>
        </w:trPr>
        <w:tc>
          <w:tcPr>
            <w:tcW w:w="2207" w:type="dxa"/>
            <w:tcBorders>
              <w:left w:val="single" w:color="000000" w:sz="4" w:space="0"/>
            </w:tcBorders>
            <w:vAlign w:val="top"/>
          </w:tcPr>
          <w:p w14:paraId="1E82D4FC">
            <w:pPr>
              <w:pStyle w:val="7"/>
              <w:spacing w:before="123" w:line="238" w:lineRule="auto"/>
              <w:ind w:left="1076"/>
            </w:pPr>
            <w:r>
              <w:t>1</w:t>
            </w:r>
          </w:p>
        </w:tc>
        <w:tc>
          <w:tcPr>
            <w:tcW w:w="6969" w:type="dxa"/>
            <w:tcBorders>
              <w:right w:val="single" w:color="000000" w:sz="4" w:space="0"/>
            </w:tcBorders>
            <w:vAlign w:val="top"/>
          </w:tcPr>
          <w:p w14:paraId="6E48252A">
            <w:pPr>
              <w:pStyle w:val="7"/>
              <w:spacing w:before="122" w:line="216" w:lineRule="auto"/>
              <w:ind w:left="2068"/>
            </w:pPr>
            <w:r>
              <w:rPr>
                <w:spacing w:val="-20"/>
              </w:rPr>
              <w:t>核查地下管线工作图的可信度</w:t>
            </w:r>
          </w:p>
        </w:tc>
      </w:tr>
      <w:tr w14:paraId="38976C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0" w:hRule="atLeast"/>
        </w:trPr>
        <w:tc>
          <w:tcPr>
            <w:tcW w:w="2207" w:type="dxa"/>
            <w:tcBorders>
              <w:left w:val="single" w:color="000000" w:sz="4" w:space="0"/>
            </w:tcBorders>
            <w:vAlign w:val="top"/>
          </w:tcPr>
          <w:p w14:paraId="07C11B05">
            <w:pPr>
              <w:pStyle w:val="7"/>
              <w:spacing w:before="118" w:line="238" w:lineRule="auto"/>
              <w:ind w:left="1062"/>
            </w:pPr>
            <w:r>
              <w:t>2</w:t>
            </w:r>
          </w:p>
        </w:tc>
        <w:tc>
          <w:tcPr>
            <w:tcW w:w="6969" w:type="dxa"/>
            <w:tcBorders>
              <w:right w:val="single" w:color="000000" w:sz="4" w:space="0"/>
            </w:tcBorders>
            <w:vAlign w:val="top"/>
          </w:tcPr>
          <w:p w14:paraId="5CA10491">
            <w:pPr>
              <w:pStyle w:val="7"/>
              <w:spacing w:before="118" w:line="216" w:lineRule="auto"/>
              <w:ind w:left="2286"/>
            </w:pPr>
            <w:r>
              <w:rPr>
                <w:spacing w:val="-20"/>
              </w:rPr>
              <w:t>核查测区地形图的现势性</w:t>
            </w:r>
          </w:p>
        </w:tc>
      </w:tr>
      <w:tr w14:paraId="426F37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3" w:hRule="atLeast"/>
        </w:trPr>
        <w:tc>
          <w:tcPr>
            <w:tcW w:w="2207" w:type="dxa"/>
            <w:tcBorders>
              <w:left w:val="single" w:color="000000" w:sz="4" w:space="0"/>
            </w:tcBorders>
            <w:vAlign w:val="top"/>
          </w:tcPr>
          <w:p w14:paraId="35E1382B">
            <w:pPr>
              <w:pStyle w:val="7"/>
              <w:spacing w:before="113" w:line="237" w:lineRule="auto"/>
              <w:ind w:left="1063"/>
            </w:pPr>
            <w:r>
              <w:t>3</w:t>
            </w:r>
          </w:p>
        </w:tc>
        <w:tc>
          <w:tcPr>
            <w:tcW w:w="6969" w:type="dxa"/>
            <w:tcBorders>
              <w:right w:val="single" w:color="000000" w:sz="4" w:space="0"/>
            </w:tcBorders>
            <w:vAlign w:val="top"/>
          </w:tcPr>
          <w:p w14:paraId="3BE1A81B">
            <w:pPr>
              <w:pStyle w:val="7"/>
              <w:spacing w:before="113" w:line="215" w:lineRule="auto"/>
              <w:ind w:left="1523"/>
            </w:pPr>
            <w:r>
              <w:rPr>
                <w:spacing w:val="-21"/>
              </w:rPr>
              <w:t>核查测区内测量控制点的位置和保存情况</w:t>
            </w:r>
          </w:p>
        </w:tc>
      </w:tr>
      <w:tr w14:paraId="6D4E0D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2207" w:type="dxa"/>
            <w:tcBorders>
              <w:left w:val="single" w:color="1C456A" w:sz="4" w:space="0"/>
              <w:bottom w:val="single" w:color="1C456A" w:sz="4" w:space="0"/>
            </w:tcBorders>
            <w:vAlign w:val="top"/>
          </w:tcPr>
          <w:p w14:paraId="7A38D740">
            <w:pPr>
              <w:pStyle w:val="7"/>
              <w:spacing w:before="106" w:line="238" w:lineRule="auto"/>
              <w:ind w:left="1058"/>
            </w:pPr>
            <w:r>
              <w:t>4</w:t>
            </w:r>
          </w:p>
        </w:tc>
        <w:tc>
          <w:tcPr>
            <w:tcW w:w="6969" w:type="dxa"/>
            <w:tcBorders>
              <w:bottom w:val="single" w:color="5B9BD5" w:sz="4" w:space="0"/>
              <w:right w:val="single" w:color="5B9BD5" w:sz="4" w:space="0"/>
            </w:tcBorders>
            <w:vAlign w:val="top"/>
          </w:tcPr>
          <w:p w14:paraId="0B3A5FBC">
            <w:pPr>
              <w:pStyle w:val="7"/>
              <w:spacing w:before="106" w:line="217" w:lineRule="auto"/>
              <w:ind w:left="329"/>
            </w:pPr>
            <w:r>
              <w:rPr>
                <w:spacing w:val="-21"/>
              </w:rPr>
              <w:t>察看测区地物、地貌、交通情况、气候条件及各</w:t>
            </w:r>
            <w:r>
              <w:rPr>
                <w:spacing w:val="-22"/>
              </w:rPr>
              <w:t>种可能的干扰因素</w:t>
            </w:r>
          </w:p>
        </w:tc>
      </w:tr>
    </w:tbl>
    <w:p w14:paraId="5E867846">
      <w:pPr>
        <w:pStyle w:val="2"/>
        <w:spacing w:before="115" w:line="220" w:lineRule="auto"/>
        <w:ind w:left="1884"/>
        <w:rPr>
          <w:sz w:val="24"/>
          <w:szCs w:val="24"/>
        </w:rPr>
      </w:pPr>
      <w:r>
        <w:rPr>
          <w:spacing w:val="-15"/>
          <w:sz w:val="24"/>
          <w:szCs w:val="24"/>
        </w:rPr>
        <w:t>4、方法试验</w:t>
      </w:r>
    </w:p>
    <w:p w14:paraId="37CB6411">
      <w:pPr>
        <w:pStyle w:val="2"/>
        <w:spacing w:before="114" w:line="307" w:lineRule="auto"/>
        <w:ind w:left="1470" w:right="1410" w:firstLine="424"/>
        <w:rPr>
          <w:sz w:val="24"/>
          <w:szCs w:val="24"/>
        </w:rPr>
      </w:pPr>
      <w:r>
        <w:rPr>
          <w:spacing w:val="-20"/>
          <w:sz w:val="24"/>
          <w:szCs w:val="24"/>
        </w:rPr>
        <w:t>在地下管线普查工作开展前应进行方法试验，其目的是：确定该区域地下管线探测所采用</w:t>
      </w:r>
      <w:r>
        <w:rPr>
          <w:spacing w:val="-22"/>
          <w:sz w:val="24"/>
          <w:szCs w:val="24"/>
        </w:rPr>
        <w:t>的物探方法、所选用仪器的有效性、精度和有关参数。为技术设计书的编制提供技术依据。</w:t>
      </w:r>
    </w:p>
    <w:p w14:paraId="624689E9">
      <w:pPr>
        <w:pStyle w:val="2"/>
        <w:spacing w:before="1" w:line="308" w:lineRule="auto"/>
        <w:ind w:left="1455" w:right="1410" w:firstLine="443"/>
        <w:jc w:val="both"/>
        <w:rPr>
          <w:sz w:val="24"/>
          <w:szCs w:val="24"/>
        </w:rPr>
      </w:pPr>
      <w:r>
        <w:rPr>
          <w:spacing w:val="-20"/>
          <w:sz w:val="24"/>
          <w:szCs w:val="24"/>
        </w:rPr>
        <w:t>方法试验的内容包括：电磁工作参数的选择试验，如信号激发方式的选择、工作频率的选择、收发距的选择、定位和定深方法的选择等。电磁波法波速的测定；非金属管线探测方法试</w:t>
      </w:r>
      <w:r>
        <w:rPr>
          <w:spacing w:val="-21"/>
          <w:sz w:val="24"/>
          <w:szCs w:val="24"/>
        </w:rPr>
        <w:t>验；新技术推广前所做的方法试验。</w:t>
      </w:r>
    </w:p>
    <w:p w14:paraId="07CF15D9">
      <w:pPr>
        <w:pStyle w:val="2"/>
        <w:spacing w:before="1" w:line="215" w:lineRule="auto"/>
        <w:ind w:left="1890"/>
        <w:rPr>
          <w:sz w:val="24"/>
          <w:szCs w:val="24"/>
        </w:rPr>
      </w:pPr>
      <w:r>
        <w:rPr>
          <w:spacing w:val="-19"/>
          <w:sz w:val="24"/>
          <w:szCs w:val="24"/>
        </w:rPr>
        <w:t>5、探测仪器一致性检验</w:t>
      </w:r>
    </w:p>
    <w:p w14:paraId="22A6F5ED">
      <w:pPr>
        <w:pStyle w:val="2"/>
        <w:spacing w:before="119" w:line="307" w:lineRule="auto"/>
        <w:ind w:left="1457" w:right="1338" w:firstLine="436"/>
        <w:rPr>
          <w:sz w:val="24"/>
          <w:szCs w:val="24"/>
        </w:rPr>
      </w:pPr>
      <w:r>
        <w:rPr>
          <w:spacing w:val="-19"/>
          <w:sz w:val="24"/>
          <w:szCs w:val="24"/>
        </w:rPr>
        <w:t>所有地下管线探测仪在投入使用前应进行一致性检验，校验要选择在已知的管线</w:t>
      </w:r>
      <w:r>
        <w:rPr>
          <w:spacing w:val="-20"/>
          <w:sz w:val="24"/>
          <w:szCs w:val="24"/>
        </w:rPr>
        <w:t>上进行，</w:t>
      </w:r>
      <w:r>
        <w:rPr>
          <w:spacing w:val="-28"/>
          <w:sz w:val="24"/>
          <w:szCs w:val="24"/>
        </w:rPr>
        <w:t>将结果记录在探测仪一致性校验表中。（已知管线是指管线的位置、埋深</w:t>
      </w:r>
      <w:r>
        <w:rPr>
          <w:spacing w:val="-29"/>
          <w:sz w:val="24"/>
          <w:szCs w:val="24"/>
        </w:rPr>
        <w:t>、管径和材质均已知）。</w:t>
      </w:r>
    </w:p>
    <w:p w14:paraId="2E3ACE04">
      <w:pPr>
        <w:pStyle w:val="2"/>
        <w:spacing w:before="3" w:line="307" w:lineRule="auto"/>
        <w:ind w:left="1470" w:right="1409" w:firstLine="421"/>
        <w:rPr>
          <w:sz w:val="24"/>
          <w:szCs w:val="24"/>
        </w:rPr>
      </w:pPr>
      <w:r>
        <w:rPr>
          <w:spacing w:val="-20"/>
          <w:sz w:val="24"/>
          <w:szCs w:val="24"/>
        </w:rPr>
        <w:t>现场校验结束后应对校验结果进行评定，在校验结果全部满足以下条件时，探测仪可投入生产应用。</w:t>
      </w:r>
    </w:p>
    <w:p w14:paraId="01852F1B">
      <w:pPr>
        <w:pStyle w:val="2"/>
        <w:spacing w:before="1" w:line="217" w:lineRule="auto"/>
        <w:ind w:left="1885"/>
        <w:rPr>
          <w:sz w:val="24"/>
          <w:szCs w:val="24"/>
        </w:rPr>
      </w:pPr>
      <w:r>
        <w:rPr>
          <w:spacing w:val="-16"/>
          <w:sz w:val="24"/>
          <w:szCs w:val="24"/>
        </w:rPr>
        <w:t>①定位误差δts：≤±0.10h；</w:t>
      </w:r>
    </w:p>
    <w:p w14:paraId="767F9EB1">
      <w:pPr>
        <w:pStyle w:val="2"/>
        <w:spacing w:before="118" w:line="217" w:lineRule="auto"/>
        <w:ind w:left="1884"/>
        <w:rPr>
          <w:sz w:val="24"/>
          <w:szCs w:val="24"/>
        </w:rPr>
      </w:pPr>
      <w:r>
        <w:rPr>
          <w:spacing w:val="-16"/>
          <w:sz w:val="24"/>
          <w:szCs w:val="24"/>
        </w:rPr>
        <w:t>②定深误差δth：≤±0.15h；</w:t>
      </w:r>
    </w:p>
    <w:p w14:paraId="12888F3A">
      <w:pPr>
        <w:pStyle w:val="2"/>
        <w:spacing w:before="119" w:line="217" w:lineRule="auto"/>
        <w:ind w:left="1899"/>
        <w:rPr>
          <w:sz w:val="24"/>
          <w:szCs w:val="24"/>
        </w:rPr>
      </w:pPr>
      <w:r>
        <w:rPr>
          <w:spacing w:val="-24"/>
          <w:sz w:val="24"/>
          <w:szCs w:val="24"/>
        </w:rPr>
        <w:t>注：①h为地下管线的中心埋深，以厘米计；</w:t>
      </w:r>
    </w:p>
    <w:p w14:paraId="41EA1065">
      <w:pPr>
        <w:pStyle w:val="2"/>
        <w:spacing w:before="116" w:line="217" w:lineRule="auto"/>
        <w:ind w:left="1884"/>
        <w:rPr>
          <w:sz w:val="24"/>
          <w:szCs w:val="24"/>
        </w:rPr>
      </w:pPr>
      <w:r>
        <w:rPr>
          <w:spacing w:val="-15"/>
          <w:sz w:val="24"/>
          <w:szCs w:val="24"/>
        </w:rPr>
        <w:t>②h＜100cm时，以h=100cm代入计算。</w:t>
      </w:r>
    </w:p>
    <w:p w14:paraId="25749777">
      <w:pPr>
        <w:pStyle w:val="2"/>
        <w:spacing w:before="119" w:line="216" w:lineRule="auto"/>
        <w:ind w:left="1895"/>
        <w:rPr>
          <w:sz w:val="24"/>
          <w:szCs w:val="24"/>
        </w:rPr>
      </w:pPr>
      <w:r>
        <w:rPr>
          <w:spacing w:val="-22"/>
          <w:sz w:val="24"/>
          <w:szCs w:val="24"/>
        </w:rPr>
        <w:t>对分批投入生产使用的探测仪，每投入一批（台）时，均要进行一致性校验。</w:t>
      </w:r>
    </w:p>
    <w:p w14:paraId="7C1FE7FF">
      <w:pPr>
        <w:pStyle w:val="2"/>
        <w:spacing w:before="120" w:line="216" w:lineRule="auto"/>
        <w:ind w:left="1896"/>
        <w:rPr>
          <w:sz w:val="24"/>
          <w:szCs w:val="24"/>
        </w:rPr>
      </w:pPr>
      <w:r>
        <w:rPr>
          <w:spacing w:val="-21"/>
          <w:sz w:val="24"/>
          <w:szCs w:val="24"/>
        </w:rPr>
        <w:t>一致性校验结束后，应编制“探测仪一致性校验报告</w:t>
      </w:r>
      <w:r>
        <w:rPr>
          <w:spacing w:val="-22"/>
          <w:sz w:val="24"/>
          <w:szCs w:val="24"/>
        </w:rPr>
        <w:t>”。</w:t>
      </w:r>
    </w:p>
    <w:p w14:paraId="1164A6C9">
      <w:pPr>
        <w:pStyle w:val="2"/>
        <w:spacing w:before="118" w:line="218" w:lineRule="auto"/>
        <w:ind w:left="1887"/>
        <w:rPr>
          <w:sz w:val="24"/>
          <w:szCs w:val="24"/>
        </w:rPr>
      </w:pPr>
      <w:r>
        <w:rPr>
          <w:spacing w:val="-18"/>
          <w:sz w:val="24"/>
          <w:szCs w:val="24"/>
        </w:rPr>
        <w:t>6、基本规律</w:t>
      </w:r>
    </w:p>
    <w:p w14:paraId="3B10BA73">
      <w:pPr>
        <w:pStyle w:val="2"/>
        <w:spacing w:before="119" w:line="262" w:lineRule="auto"/>
        <w:ind w:left="1455" w:right="1410" w:firstLine="430"/>
        <w:rPr>
          <w:sz w:val="24"/>
          <w:szCs w:val="24"/>
        </w:rPr>
      </w:pPr>
      <w:r>
        <w:rPr>
          <w:spacing w:val="-19"/>
          <w:sz w:val="24"/>
          <w:szCs w:val="24"/>
        </w:rPr>
        <w:t>①明显金属类管线点采用直接开井盖量测调查，隐蔽金属</w:t>
      </w:r>
      <w:r>
        <w:rPr>
          <w:spacing w:val="-20"/>
          <w:sz w:val="24"/>
          <w:szCs w:val="24"/>
        </w:rPr>
        <w:t>类管线一般采用管线探测仪（偶</w:t>
      </w:r>
      <w:r>
        <w:rPr>
          <w:spacing w:val="-21"/>
          <w:sz w:val="24"/>
          <w:szCs w:val="24"/>
        </w:rPr>
        <w:t>极感应法、夹钳法、充电法等）和地质雷达进行探测。</w:t>
      </w:r>
    </w:p>
    <w:p w14:paraId="586FDEDE">
      <w:pPr>
        <w:pStyle w:val="2"/>
        <w:spacing w:before="118" w:line="262" w:lineRule="auto"/>
        <w:ind w:left="1458" w:right="1411" w:firstLine="426"/>
        <w:rPr>
          <w:sz w:val="24"/>
          <w:szCs w:val="24"/>
        </w:rPr>
      </w:pPr>
      <w:r>
        <w:rPr>
          <w:spacing w:val="-19"/>
          <w:sz w:val="24"/>
          <w:szCs w:val="24"/>
        </w:rPr>
        <w:t>②明显非金属类管线点采用直接开井盖量测调查，隐蔽非</w:t>
      </w:r>
      <w:r>
        <w:rPr>
          <w:spacing w:val="-20"/>
          <w:sz w:val="24"/>
          <w:szCs w:val="24"/>
        </w:rPr>
        <w:t>金属类管线一般采用地质雷达法</w:t>
      </w:r>
      <w:r>
        <w:rPr>
          <w:spacing w:val="-17"/>
          <w:sz w:val="24"/>
          <w:szCs w:val="24"/>
        </w:rPr>
        <w:t>进行探查。</w:t>
      </w:r>
    </w:p>
    <w:p w14:paraId="548C7EC2">
      <w:pPr>
        <w:pStyle w:val="2"/>
        <w:spacing w:before="119" w:line="218" w:lineRule="auto"/>
        <w:ind w:left="1891"/>
        <w:rPr>
          <w:sz w:val="24"/>
          <w:szCs w:val="24"/>
        </w:rPr>
      </w:pPr>
      <w:r>
        <w:rPr>
          <w:spacing w:val="-19"/>
          <w:sz w:val="24"/>
          <w:szCs w:val="24"/>
        </w:rPr>
        <w:t>7、开井探测</w:t>
      </w:r>
    </w:p>
    <w:p w14:paraId="1F74A6A3">
      <w:pPr>
        <w:spacing w:line="218" w:lineRule="auto"/>
        <w:rPr>
          <w:sz w:val="24"/>
          <w:szCs w:val="24"/>
        </w:rPr>
        <w:sectPr>
          <w:footerReference r:id="rId129" w:type="default"/>
          <w:pgSz w:w="11907" w:h="16839"/>
          <w:pgMar w:top="954" w:right="4" w:bottom="1038" w:left="0" w:header="499" w:footer="357" w:gutter="0"/>
          <w:pgBorders>
            <w:top w:val="none" w:sz="0" w:space="0"/>
            <w:left w:val="none" w:sz="0" w:space="0"/>
            <w:bottom w:val="none" w:sz="0" w:space="0"/>
            <w:right w:val="none" w:sz="0" w:space="0"/>
          </w:pgBorders>
          <w:cols w:space="720" w:num="1"/>
        </w:sectPr>
      </w:pPr>
    </w:p>
    <w:p w14:paraId="3604E819">
      <w:pPr>
        <w:spacing w:line="214" w:lineRule="exact"/>
      </w:pPr>
    </w:p>
    <w:tbl>
      <w:tblPr>
        <w:tblStyle w:val="6"/>
        <w:tblW w:w="7990" w:type="dxa"/>
        <w:tblInd w:w="1959"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285"/>
        <w:gridCol w:w="3705"/>
      </w:tblGrid>
      <w:tr w14:paraId="27ADE6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704" w:hRule="atLeast"/>
        </w:trPr>
        <w:tc>
          <w:tcPr>
            <w:tcW w:w="4285" w:type="dxa"/>
            <w:tcBorders>
              <w:top w:val="single" w:color="000000" w:sz="4" w:space="0"/>
              <w:left w:val="single" w:color="000000" w:sz="4" w:space="0"/>
            </w:tcBorders>
            <w:shd w:val="clear" w:color="auto" w:fill="DEEAF6"/>
            <w:vAlign w:val="top"/>
          </w:tcPr>
          <w:p w14:paraId="240E111F">
            <w:pPr>
              <w:spacing w:before="33" w:line="60" w:lineRule="exact"/>
              <w:ind w:firstLine="33"/>
            </w:pPr>
            <w:r>
              <w:rPr>
                <w:position w:val="-1"/>
              </w:rPr>
              <w:pict>
                <v:shape id="_x0000_s1913" o:spid="_x0000_s1913" style="height:3pt;width:211.6pt;" fillcolor="#DEEAF6" filled="t" stroked="f" coordsize="4232,60" path="m0,60l4231,60,4231,0,0,0,0,60xe">
                  <v:path/>
                  <v:fill on="t" focussize="0,0"/>
                  <v:stroke on="f"/>
                  <v:imagedata o:title=""/>
                  <o:lock v:ext="edit"/>
                  <w10:wrap type="none"/>
                  <w10:anchorlock/>
                </v:shape>
              </w:pict>
            </w:r>
          </w:p>
          <w:p w14:paraId="38CB33B4">
            <w:pPr>
              <w:spacing w:line="3405" w:lineRule="exact"/>
              <w:ind w:firstLine="214"/>
            </w:pPr>
            <w:r>
              <w:rPr>
                <w:position w:val="-68"/>
              </w:rPr>
              <w:drawing>
                <wp:inline distT="0" distB="0" distL="0" distR="0">
                  <wp:extent cx="2444750" cy="2162175"/>
                  <wp:effectExtent l="0" t="0" r="0" b="0"/>
                  <wp:docPr id="710" name="IM 710"/>
                  <wp:cNvGraphicFramePr/>
                  <a:graphic xmlns:a="http://schemas.openxmlformats.org/drawingml/2006/main">
                    <a:graphicData uri="http://schemas.openxmlformats.org/drawingml/2006/picture">
                      <pic:pic xmlns:pic="http://schemas.openxmlformats.org/drawingml/2006/picture">
                        <pic:nvPicPr>
                          <pic:cNvPr id="710" name="IM 710"/>
                          <pic:cNvPicPr/>
                        </pic:nvPicPr>
                        <pic:blipFill>
                          <a:blip r:embed="rId595"/>
                          <a:stretch>
                            <a:fillRect/>
                          </a:stretch>
                        </pic:blipFill>
                        <pic:spPr>
                          <a:xfrm>
                            <a:off x="0" y="0"/>
                            <a:ext cx="2444750" cy="2162809"/>
                          </a:xfrm>
                          <a:prstGeom prst="rect">
                            <a:avLst/>
                          </a:prstGeom>
                        </pic:spPr>
                      </pic:pic>
                    </a:graphicData>
                  </a:graphic>
                </wp:inline>
              </w:drawing>
            </w:r>
          </w:p>
        </w:tc>
        <w:tc>
          <w:tcPr>
            <w:tcW w:w="3705" w:type="dxa"/>
            <w:tcBorders>
              <w:top w:val="single" w:color="5B9BD5" w:sz="4" w:space="0"/>
              <w:right w:val="single" w:color="5B9BD5" w:sz="4" w:space="0"/>
            </w:tcBorders>
            <w:shd w:val="clear" w:color="auto" w:fill="DEEAF6"/>
            <w:vAlign w:val="top"/>
          </w:tcPr>
          <w:p w14:paraId="1681D7B1">
            <w:pPr>
              <w:spacing w:before="33" w:line="60" w:lineRule="exact"/>
              <w:ind w:firstLine="25"/>
            </w:pPr>
            <w:r>
              <w:rPr>
                <w:position w:val="-1"/>
              </w:rPr>
              <w:pict>
                <v:shape id="_x0000_s1914" o:spid="_x0000_s1914" style="height:3pt;width:182pt;" fillcolor="#DEEAF6" filled="t" stroked="f" coordsize="3640,60" path="m0,60l3639,60,3639,0,0,0,0,60xe">
                  <v:path/>
                  <v:fill on="t" focussize="0,0"/>
                  <v:stroke on="f"/>
                  <v:imagedata o:title=""/>
                  <o:lock v:ext="edit"/>
                  <w10:wrap type="none"/>
                  <w10:anchorlock/>
                </v:shape>
              </w:pict>
            </w:r>
          </w:p>
          <w:p w14:paraId="1EC462DC">
            <w:pPr>
              <w:spacing w:before="14" w:line="3376" w:lineRule="exact"/>
              <w:ind w:firstLine="67"/>
            </w:pPr>
            <w:r>
              <w:rPr>
                <w:position w:val="-67"/>
              </w:rPr>
              <w:drawing>
                <wp:inline distT="0" distB="0" distL="0" distR="0">
                  <wp:extent cx="2243455" cy="2143760"/>
                  <wp:effectExtent l="0" t="0" r="0" b="0"/>
                  <wp:docPr id="712" name="IM 712"/>
                  <wp:cNvGraphicFramePr/>
                  <a:graphic xmlns:a="http://schemas.openxmlformats.org/drawingml/2006/main">
                    <a:graphicData uri="http://schemas.openxmlformats.org/drawingml/2006/picture">
                      <pic:pic xmlns:pic="http://schemas.openxmlformats.org/drawingml/2006/picture">
                        <pic:nvPicPr>
                          <pic:cNvPr id="712" name="IM 712"/>
                          <pic:cNvPicPr/>
                        </pic:nvPicPr>
                        <pic:blipFill>
                          <a:blip r:embed="rId596"/>
                          <a:stretch>
                            <a:fillRect/>
                          </a:stretch>
                        </pic:blipFill>
                        <pic:spPr>
                          <a:xfrm>
                            <a:off x="0" y="0"/>
                            <a:ext cx="2243455" cy="2144394"/>
                          </a:xfrm>
                          <a:prstGeom prst="rect">
                            <a:avLst/>
                          </a:prstGeom>
                        </pic:spPr>
                      </pic:pic>
                    </a:graphicData>
                  </a:graphic>
                </wp:inline>
              </w:drawing>
            </w:r>
          </w:p>
        </w:tc>
      </w:tr>
      <w:tr w14:paraId="5885F1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0" w:hRule="atLeast"/>
        </w:trPr>
        <w:tc>
          <w:tcPr>
            <w:tcW w:w="4285" w:type="dxa"/>
            <w:tcBorders>
              <w:left w:val="single" w:color="1C456A" w:sz="4" w:space="0"/>
              <w:bottom w:val="single" w:color="1C456A" w:sz="4" w:space="0"/>
            </w:tcBorders>
            <w:vAlign w:val="top"/>
          </w:tcPr>
          <w:p w14:paraId="08A63F05">
            <w:pPr>
              <w:pStyle w:val="7"/>
              <w:spacing w:before="107" w:line="218" w:lineRule="auto"/>
              <w:ind w:left="1755"/>
            </w:pPr>
            <w:r>
              <w:rPr>
                <w:spacing w:val="-24"/>
              </w:rPr>
              <w:t>吊起井盖</w:t>
            </w:r>
          </w:p>
        </w:tc>
        <w:tc>
          <w:tcPr>
            <w:tcW w:w="3705" w:type="dxa"/>
            <w:tcBorders>
              <w:bottom w:val="single" w:color="5B9BD5" w:sz="4" w:space="0"/>
              <w:right w:val="single" w:color="5B9BD5" w:sz="4" w:space="0"/>
            </w:tcBorders>
            <w:vAlign w:val="top"/>
          </w:tcPr>
          <w:p w14:paraId="629BC39F">
            <w:pPr>
              <w:pStyle w:val="7"/>
              <w:spacing w:before="107" w:line="218" w:lineRule="auto"/>
              <w:ind w:left="1419"/>
            </w:pPr>
            <w:r>
              <w:rPr>
                <w:spacing w:val="-16"/>
              </w:rPr>
              <w:t>井内探测</w:t>
            </w:r>
          </w:p>
        </w:tc>
      </w:tr>
    </w:tbl>
    <w:p w14:paraId="30A7CF7C">
      <w:pPr>
        <w:pStyle w:val="2"/>
        <w:spacing w:before="113" w:line="218" w:lineRule="auto"/>
        <w:ind w:left="1886"/>
        <w:rPr>
          <w:sz w:val="24"/>
          <w:szCs w:val="24"/>
        </w:rPr>
      </w:pPr>
      <w:r>
        <w:rPr>
          <w:spacing w:val="-17"/>
          <w:sz w:val="24"/>
          <w:szCs w:val="24"/>
        </w:rPr>
        <w:t>8、仪器探测</w:t>
      </w:r>
    </w:p>
    <w:p w14:paraId="0E3F2F34">
      <w:pPr>
        <w:spacing w:before="1" w:line="3802" w:lineRule="exact"/>
        <w:ind w:firstLine="2011"/>
      </w:pPr>
      <w:r>
        <w:rPr>
          <w:position w:val="-76"/>
        </w:rPr>
        <w:drawing>
          <wp:inline distT="0" distB="0" distL="0" distR="0">
            <wp:extent cx="5005705" cy="2414270"/>
            <wp:effectExtent l="0" t="0" r="0" b="0"/>
            <wp:docPr id="714" name="IM 714"/>
            <wp:cNvGraphicFramePr/>
            <a:graphic xmlns:a="http://schemas.openxmlformats.org/drawingml/2006/main">
              <a:graphicData uri="http://schemas.openxmlformats.org/drawingml/2006/picture">
                <pic:pic xmlns:pic="http://schemas.openxmlformats.org/drawingml/2006/picture">
                  <pic:nvPicPr>
                    <pic:cNvPr id="714" name="IM 714"/>
                    <pic:cNvPicPr/>
                  </pic:nvPicPr>
                  <pic:blipFill>
                    <a:blip r:embed="rId597"/>
                    <a:stretch>
                      <a:fillRect/>
                    </a:stretch>
                  </pic:blipFill>
                  <pic:spPr>
                    <a:xfrm>
                      <a:off x="0" y="0"/>
                      <a:ext cx="5005831" cy="2414272"/>
                    </a:xfrm>
                    <a:prstGeom prst="rect">
                      <a:avLst/>
                    </a:prstGeom>
                  </pic:spPr>
                </pic:pic>
              </a:graphicData>
            </a:graphic>
          </wp:inline>
        </w:drawing>
      </w:r>
    </w:p>
    <w:p w14:paraId="493D335A">
      <w:pPr>
        <w:pStyle w:val="2"/>
        <w:spacing w:before="78" w:line="217" w:lineRule="auto"/>
        <w:ind w:left="1986"/>
        <w:outlineLvl w:val="2"/>
        <w:rPr>
          <w:sz w:val="28"/>
          <w:szCs w:val="28"/>
        </w:rPr>
      </w:pPr>
      <w:bookmarkStart w:id="64" w:name="bookmark63"/>
      <w:bookmarkEnd w:id="64"/>
      <w:r>
        <w:rPr>
          <w:b/>
          <w:bCs/>
          <w:spacing w:val="-23"/>
          <w:sz w:val="28"/>
          <w:szCs w:val="28"/>
        </w:rPr>
        <w:t>二、地下管线保护措施</w:t>
      </w:r>
    </w:p>
    <w:p w14:paraId="56CB86D3">
      <w:pPr>
        <w:pStyle w:val="2"/>
        <w:spacing w:before="105" w:line="308" w:lineRule="auto"/>
        <w:ind w:left="1457" w:right="1409" w:firstLine="444"/>
        <w:jc w:val="both"/>
        <w:rPr>
          <w:sz w:val="24"/>
          <w:szCs w:val="24"/>
        </w:rPr>
      </w:pPr>
      <w:r>
        <w:rPr>
          <w:spacing w:val="-20"/>
          <w:sz w:val="24"/>
          <w:szCs w:val="24"/>
        </w:rPr>
        <w:t>为确保土方开挖及基坑支护工程项目文明施工，争取“窗口”达标，维护企业信誉。我们将严格按照《道路与管线工程文明施工管理规定（试行）》、《建设工程安全生产管理</w:t>
      </w:r>
      <w:r>
        <w:rPr>
          <w:spacing w:val="-21"/>
          <w:sz w:val="24"/>
          <w:szCs w:val="24"/>
        </w:rPr>
        <w:t>条例》（国务院939号令</w:t>
      </w:r>
      <w:r>
        <w:rPr>
          <w:spacing w:val="-16"/>
          <w:sz w:val="24"/>
          <w:szCs w:val="24"/>
        </w:rPr>
        <w:t>），</w:t>
      </w:r>
      <w:r>
        <w:rPr>
          <w:spacing w:val="-21"/>
          <w:sz w:val="24"/>
          <w:szCs w:val="24"/>
        </w:rPr>
        <w:t>要求组织施工，建立以项目经理负责，各施工班组具体落实的管</w:t>
      </w:r>
      <w:r>
        <w:rPr>
          <w:spacing w:val="-15"/>
          <w:sz w:val="24"/>
          <w:szCs w:val="24"/>
        </w:rPr>
        <w:t>理网络。</w:t>
      </w:r>
    </w:p>
    <w:p w14:paraId="6708B148">
      <w:pPr>
        <w:pStyle w:val="2"/>
        <w:spacing w:line="307" w:lineRule="auto"/>
        <w:ind w:left="1458" w:right="1355" w:firstLine="443"/>
        <w:rPr>
          <w:sz w:val="24"/>
          <w:szCs w:val="24"/>
        </w:rPr>
      </w:pPr>
      <w:r>
        <w:rPr>
          <w:spacing w:val="-24"/>
          <w:sz w:val="24"/>
          <w:szCs w:val="24"/>
        </w:rPr>
        <w:t>为了加强施工人员的文明施工意识，组织学习《建设工程安全生产管理条例》及有关常识，</w:t>
      </w:r>
      <w:r>
        <w:rPr>
          <w:spacing w:val="-21"/>
          <w:sz w:val="24"/>
          <w:szCs w:val="24"/>
        </w:rPr>
        <w:t>进行上岗教育，讲职业道德，扬行业新风。</w:t>
      </w:r>
    </w:p>
    <w:p w14:paraId="423727AA">
      <w:pPr>
        <w:pStyle w:val="2"/>
        <w:spacing w:before="1" w:line="217" w:lineRule="auto"/>
        <w:ind w:left="1896"/>
        <w:rPr>
          <w:sz w:val="24"/>
          <w:szCs w:val="24"/>
        </w:rPr>
      </w:pPr>
      <w:r>
        <w:rPr>
          <w:spacing w:val="-21"/>
          <w:sz w:val="24"/>
          <w:szCs w:val="24"/>
        </w:rPr>
        <w:t>一、工程施工对原有地下管线的保护方法</w:t>
      </w:r>
    </w:p>
    <w:p w14:paraId="3ABB6A7A">
      <w:pPr>
        <w:pStyle w:val="2"/>
        <w:spacing w:before="118" w:line="308" w:lineRule="auto"/>
        <w:ind w:left="1457" w:right="1409" w:firstLine="437"/>
        <w:jc w:val="both"/>
        <w:rPr>
          <w:sz w:val="24"/>
          <w:szCs w:val="24"/>
        </w:rPr>
      </w:pPr>
      <w:r>
        <w:rPr>
          <w:spacing w:val="-20"/>
          <w:sz w:val="24"/>
          <w:szCs w:val="24"/>
        </w:rPr>
        <w:t>采取谨慎的措施以防止地下设施（电缆和电力网、水管和煤气管、下水管、电话缆及类似物）的损坏。在工程开始之前，向各有关部门取得地下设施的位置和许可证，并按照有关部门</w:t>
      </w:r>
      <w:r>
        <w:rPr>
          <w:spacing w:val="-21"/>
          <w:sz w:val="24"/>
          <w:szCs w:val="24"/>
        </w:rPr>
        <w:t>颁布的规定采取措施以防止地下设施的损坏。</w:t>
      </w:r>
    </w:p>
    <w:p w14:paraId="7E24A400">
      <w:pPr>
        <w:pStyle w:val="2"/>
        <w:spacing w:before="2" w:line="306" w:lineRule="auto"/>
        <w:ind w:left="1457" w:right="1459" w:firstLine="444"/>
        <w:rPr>
          <w:sz w:val="24"/>
          <w:szCs w:val="24"/>
        </w:rPr>
      </w:pPr>
      <w:r>
        <w:rPr>
          <w:spacing w:val="-21"/>
          <w:sz w:val="24"/>
          <w:szCs w:val="24"/>
        </w:rPr>
        <w:t>我方应采取发包人、监理、有关主管部门批准的适当的方法探测与确定地下设施的位</w:t>
      </w:r>
      <w:r>
        <w:rPr>
          <w:spacing w:val="-22"/>
          <w:sz w:val="24"/>
          <w:szCs w:val="24"/>
        </w:rPr>
        <w:t>置，</w:t>
      </w:r>
      <w:r>
        <w:rPr>
          <w:spacing w:val="-21"/>
          <w:sz w:val="24"/>
          <w:szCs w:val="24"/>
        </w:rPr>
        <w:t>所有试挖孔必须妥善恢复原来状态。</w:t>
      </w:r>
    </w:p>
    <w:p w14:paraId="0E285FB5">
      <w:pPr>
        <w:pStyle w:val="2"/>
        <w:spacing w:before="2" w:line="217" w:lineRule="auto"/>
        <w:ind w:left="1896"/>
        <w:rPr>
          <w:sz w:val="24"/>
          <w:szCs w:val="24"/>
        </w:rPr>
      </w:pPr>
      <w:r>
        <w:rPr>
          <w:spacing w:val="-19"/>
          <w:sz w:val="24"/>
          <w:szCs w:val="24"/>
        </w:rPr>
        <w:t>必须将施工中遇到的地下设施及时通知工程师，同时自费采取一切措施防</w:t>
      </w:r>
      <w:r>
        <w:rPr>
          <w:spacing w:val="-20"/>
          <w:sz w:val="24"/>
          <w:szCs w:val="24"/>
        </w:rPr>
        <w:t>止这些地下设施</w:t>
      </w:r>
    </w:p>
    <w:p w14:paraId="24BB9B91">
      <w:pPr>
        <w:spacing w:line="217" w:lineRule="auto"/>
        <w:rPr>
          <w:sz w:val="24"/>
          <w:szCs w:val="24"/>
        </w:rPr>
        <w:sectPr>
          <w:footerReference r:id="rId130" w:type="default"/>
          <w:pgSz w:w="11907" w:h="16839"/>
          <w:pgMar w:top="954" w:right="4" w:bottom="1038" w:left="0" w:header="499" w:footer="357" w:gutter="0"/>
          <w:pgBorders>
            <w:top w:val="none" w:sz="0" w:space="0"/>
            <w:left w:val="none" w:sz="0" w:space="0"/>
            <w:bottom w:val="none" w:sz="0" w:space="0"/>
            <w:right w:val="none" w:sz="0" w:space="0"/>
          </w:pgBorders>
          <w:cols w:space="720" w:num="1"/>
        </w:sectPr>
      </w:pPr>
    </w:p>
    <w:p w14:paraId="04D83452">
      <w:pPr>
        <w:spacing w:line="250" w:lineRule="auto"/>
        <w:rPr>
          <w:rFonts w:ascii="Arial"/>
          <w:sz w:val="21"/>
        </w:rPr>
      </w:pPr>
    </w:p>
    <w:p w14:paraId="0B10F99F">
      <w:pPr>
        <w:pStyle w:val="2"/>
        <w:spacing w:before="78" w:line="217" w:lineRule="auto"/>
        <w:ind w:left="1464"/>
        <w:rPr>
          <w:sz w:val="24"/>
          <w:szCs w:val="24"/>
        </w:rPr>
      </w:pPr>
      <w:r>
        <w:rPr>
          <w:spacing w:val="-22"/>
          <w:sz w:val="24"/>
          <w:szCs w:val="24"/>
        </w:rPr>
        <w:t>等物受损，必要时采用临时支撑以防止临近的构筑物、管子、电缆等由于沉降而损坏。</w:t>
      </w:r>
    </w:p>
    <w:p w14:paraId="63DAB0E5">
      <w:pPr>
        <w:pStyle w:val="2"/>
        <w:spacing w:before="119" w:line="217" w:lineRule="auto"/>
        <w:ind w:left="1900"/>
        <w:rPr>
          <w:sz w:val="24"/>
          <w:szCs w:val="24"/>
        </w:rPr>
      </w:pPr>
      <w:r>
        <w:rPr>
          <w:spacing w:val="-20"/>
          <w:sz w:val="24"/>
          <w:szCs w:val="24"/>
        </w:rPr>
        <w:t>二、管线保护施工要点</w:t>
      </w:r>
    </w:p>
    <w:p w14:paraId="46E5F79B">
      <w:pPr>
        <w:pStyle w:val="2"/>
        <w:spacing w:before="117" w:line="215" w:lineRule="auto"/>
        <w:ind w:left="1903"/>
        <w:rPr>
          <w:sz w:val="24"/>
          <w:szCs w:val="24"/>
        </w:rPr>
      </w:pPr>
      <w:r>
        <w:rPr>
          <w:spacing w:val="-22"/>
          <w:sz w:val="24"/>
          <w:szCs w:val="24"/>
        </w:rPr>
        <w:t>1、工程开工前，查明地下管线索及设施的分布情况，在有地下管线和地上设施的部位覆盖</w:t>
      </w:r>
    </w:p>
    <w:p w14:paraId="0668B197">
      <w:pPr>
        <w:pStyle w:val="2"/>
        <w:spacing w:before="121" w:line="218" w:lineRule="auto"/>
        <w:ind w:left="1451"/>
        <w:rPr>
          <w:sz w:val="24"/>
          <w:szCs w:val="24"/>
        </w:rPr>
      </w:pPr>
      <w:r>
        <w:rPr>
          <w:spacing w:val="-20"/>
          <w:sz w:val="24"/>
          <w:szCs w:val="24"/>
        </w:rPr>
        <w:t>2公分厚的钢板。</w:t>
      </w:r>
    </w:p>
    <w:p w14:paraId="0A6E15B8">
      <w:pPr>
        <w:pStyle w:val="2"/>
        <w:spacing w:before="117" w:line="215" w:lineRule="auto"/>
        <w:ind w:left="1888"/>
        <w:rPr>
          <w:sz w:val="24"/>
          <w:szCs w:val="24"/>
        </w:rPr>
      </w:pPr>
      <w:r>
        <w:rPr>
          <w:spacing w:val="-21"/>
          <w:sz w:val="24"/>
          <w:szCs w:val="24"/>
        </w:rPr>
        <w:t>2、对已有的地上设施，在工程开工前，搭设双层钢管防护棚进行保护。</w:t>
      </w:r>
    </w:p>
    <w:p w14:paraId="3B00C44F">
      <w:pPr>
        <w:pStyle w:val="2"/>
        <w:spacing w:before="118" w:line="262" w:lineRule="auto"/>
        <w:ind w:left="1459" w:right="1409" w:firstLine="431"/>
        <w:rPr>
          <w:sz w:val="24"/>
          <w:szCs w:val="24"/>
        </w:rPr>
      </w:pPr>
      <w:r>
        <w:rPr>
          <w:spacing w:val="-22"/>
          <w:sz w:val="24"/>
          <w:szCs w:val="24"/>
        </w:rPr>
        <w:t>3、严格按施工方案搭设脚手架，挂设安全网，做好施工洞口及临边的安全防护，防止施工</w:t>
      </w:r>
      <w:r>
        <w:rPr>
          <w:spacing w:val="-21"/>
          <w:sz w:val="24"/>
          <w:szCs w:val="24"/>
        </w:rPr>
        <w:t>过程中材料的坠落而造成对原有建筑设施的破坏。</w:t>
      </w:r>
    </w:p>
    <w:p w14:paraId="16C71C31">
      <w:pPr>
        <w:pStyle w:val="2"/>
        <w:spacing w:before="120" w:line="216" w:lineRule="auto"/>
        <w:ind w:left="1884"/>
        <w:rPr>
          <w:sz w:val="24"/>
          <w:szCs w:val="24"/>
        </w:rPr>
      </w:pPr>
      <w:r>
        <w:rPr>
          <w:spacing w:val="-20"/>
          <w:sz w:val="24"/>
          <w:szCs w:val="24"/>
        </w:rPr>
        <w:t>4、正式开工前可以进行四方面工作</w:t>
      </w:r>
    </w:p>
    <w:p w14:paraId="2762E5CC">
      <w:pPr>
        <w:pStyle w:val="2"/>
        <w:spacing w:before="117" w:line="216" w:lineRule="auto"/>
        <w:ind w:left="1886"/>
        <w:rPr>
          <w:sz w:val="24"/>
          <w:szCs w:val="24"/>
        </w:rPr>
      </w:pPr>
      <w:r>
        <w:rPr>
          <w:spacing w:val="-19"/>
          <w:sz w:val="24"/>
          <w:szCs w:val="24"/>
        </w:rPr>
        <w:t>a.认真研究设计图纸提供的资料;</w:t>
      </w:r>
    </w:p>
    <w:p w14:paraId="5C53C167">
      <w:pPr>
        <w:pStyle w:val="2"/>
        <w:spacing w:before="120" w:line="216" w:lineRule="auto"/>
        <w:ind w:left="1882"/>
        <w:rPr>
          <w:sz w:val="24"/>
          <w:szCs w:val="24"/>
        </w:rPr>
      </w:pPr>
      <w:r>
        <w:rPr>
          <w:spacing w:val="-20"/>
          <w:sz w:val="24"/>
          <w:szCs w:val="24"/>
        </w:rPr>
        <w:t>b.积极主动走访有关职能部门,尽可能收集有关管线的资料;</w:t>
      </w:r>
    </w:p>
    <w:p w14:paraId="724E3173">
      <w:pPr>
        <w:pStyle w:val="2"/>
        <w:spacing w:before="120" w:line="217" w:lineRule="auto"/>
        <w:ind w:left="1890"/>
        <w:rPr>
          <w:sz w:val="24"/>
          <w:szCs w:val="24"/>
        </w:rPr>
      </w:pPr>
      <w:r>
        <w:rPr>
          <w:spacing w:val="-20"/>
          <w:sz w:val="24"/>
          <w:szCs w:val="24"/>
        </w:rPr>
        <w:t>c.派专人对施工现场地下管线进行勘测调查;</w:t>
      </w:r>
    </w:p>
    <w:p w14:paraId="3AB128AB">
      <w:pPr>
        <w:pStyle w:val="2"/>
        <w:spacing w:before="116" w:line="264" w:lineRule="auto"/>
        <w:ind w:left="1457" w:right="1410" w:firstLine="433"/>
        <w:rPr>
          <w:sz w:val="24"/>
          <w:szCs w:val="24"/>
        </w:rPr>
      </w:pPr>
      <w:r>
        <w:rPr>
          <w:spacing w:val="-18"/>
          <w:sz w:val="24"/>
          <w:szCs w:val="24"/>
        </w:rPr>
        <w:t>d.根据前三步工作的成果,比较精确地绘</w:t>
      </w:r>
      <w:r>
        <w:rPr>
          <w:spacing w:val="-19"/>
          <w:sz w:val="24"/>
          <w:szCs w:val="24"/>
        </w:rPr>
        <w:t>出有关管线图纸,作为施工中管线迁拆或保护的依</w:t>
      </w:r>
      <w:r>
        <w:rPr>
          <w:spacing w:val="-18"/>
          <w:sz w:val="24"/>
          <w:szCs w:val="24"/>
        </w:rPr>
        <w:t>据。</w:t>
      </w:r>
    </w:p>
    <w:p w14:paraId="7B1D2739">
      <w:pPr>
        <w:pStyle w:val="2"/>
        <w:spacing w:before="116" w:line="216" w:lineRule="auto"/>
        <w:ind w:left="1890"/>
        <w:rPr>
          <w:sz w:val="24"/>
          <w:szCs w:val="24"/>
        </w:rPr>
      </w:pPr>
      <w:r>
        <w:rPr>
          <w:spacing w:val="-21"/>
          <w:sz w:val="24"/>
          <w:szCs w:val="24"/>
        </w:rPr>
        <w:t>5、图纸中显示须进行保护的管线,进场后应主动配合有关部门尽快进行保护工作。</w:t>
      </w:r>
    </w:p>
    <w:p w14:paraId="7B4C2F61">
      <w:pPr>
        <w:pStyle w:val="2"/>
        <w:spacing w:before="119" w:line="262" w:lineRule="auto"/>
        <w:ind w:left="1458" w:right="1409" w:firstLine="429"/>
        <w:rPr>
          <w:sz w:val="24"/>
          <w:szCs w:val="24"/>
        </w:rPr>
      </w:pPr>
      <w:r>
        <w:rPr>
          <w:spacing w:val="-18"/>
          <w:sz w:val="24"/>
          <w:szCs w:val="24"/>
        </w:rPr>
        <w:t>6、基坑支护及基坑土方开挖施工前,使用管线探</w:t>
      </w:r>
      <w:r>
        <w:rPr>
          <w:spacing w:val="-19"/>
          <w:sz w:val="24"/>
          <w:szCs w:val="24"/>
        </w:rPr>
        <w:t>测仪,仔细对施工位置进行探测,然后再进</w:t>
      </w:r>
      <w:r>
        <w:rPr>
          <w:spacing w:val="-18"/>
          <w:sz w:val="24"/>
          <w:szCs w:val="24"/>
        </w:rPr>
        <w:t>行基坑施工。</w:t>
      </w:r>
    </w:p>
    <w:p w14:paraId="379FE8B7">
      <w:pPr>
        <w:pStyle w:val="2"/>
        <w:spacing w:before="118" w:line="262" w:lineRule="auto"/>
        <w:ind w:left="1456" w:right="1411" w:firstLine="435"/>
        <w:rPr>
          <w:sz w:val="24"/>
          <w:szCs w:val="24"/>
        </w:rPr>
      </w:pPr>
      <w:r>
        <w:rPr>
          <w:spacing w:val="-19"/>
          <w:sz w:val="24"/>
          <w:szCs w:val="24"/>
        </w:rPr>
        <w:t>7、若经探测,发现有未明管线在施工场地内通过时,应及时向监理和业主报告情况,并会同</w:t>
      </w:r>
      <w:r>
        <w:rPr>
          <w:spacing w:val="-21"/>
          <w:sz w:val="24"/>
          <w:szCs w:val="24"/>
        </w:rPr>
        <w:t>业主、设计单位及管线权属部门共同研究,研究处理办法。尽量不影响施工进度的正常</w:t>
      </w:r>
      <w:r>
        <w:rPr>
          <w:spacing w:val="-22"/>
          <w:sz w:val="24"/>
          <w:szCs w:val="24"/>
        </w:rPr>
        <w:t>进行。</w:t>
      </w:r>
    </w:p>
    <w:p w14:paraId="5585F62C">
      <w:pPr>
        <w:pStyle w:val="2"/>
        <w:spacing w:before="119" w:line="217" w:lineRule="auto"/>
        <w:ind w:left="1886"/>
        <w:rPr>
          <w:sz w:val="24"/>
          <w:szCs w:val="24"/>
        </w:rPr>
      </w:pPr>
      <w:r>
        <w:rPr>
          <w:spacing w:val="-20"/>
          <w:sz w:val="24"/>
          <w:szCs w:val="24"/>
        </w:rPr>
        <w:t>8、十字交叉、平行方式管线保护措施</w:t>
      </w:r>
    </w:p>
    <w:p w14:paraId="29A8F06C">
      <w:pPr>
        <w:spacing w:line="217" w:lineRule="auto"/>
        <w:rPr>
          <w:sz w:val="24"/>
          <w:szCs w:val="24"/>
        </w:rPr>
        <w:sectPr>
          <w:footerReference r:id="rId131" w:type="default"/>
          <w:pgSz w:w="11907" w:h="16839"/>
          <w:pgMar w:top="954" w:right="4" w:bottom="1038" w:left="0" w:header="499" w:footer="357" w:gutter="0"/>
          <w:pgBorders>
            <w:top w:val="none" w:sz="0" w:space="0"/>
            <w:left w:val="none" w:sz="0" w:space="0"/>
            <w:bottom w:val="none" w:sz="0" w:space="0"/>
            <w:right w:val="none" w:sz="0" w:space="0"/>
          </w:pgBorders>
          <w:cols w:space="720" w:num="1"/>
        </w:sectPr>
      </w:pPr>
    </w:p>
    <w:p w14:paraId="572C0E63">
      <w:pPr>
        <w:spacing w:before="198" w:line="7963" w:lineRule="exact"/>
        <w:ind w:firstLine="1813"/>
      </w:pPr>
      <w:r>
        <w:rPr>
          <w:position w:val="-159"/>
        </w:rPr>
        <w:pict>
          <v:group id="_x0000_s1915" o:spid="_x0000_s1915" o:spt="203" style="height:398.2pt;width:413.8pt;" coordsize="8275,7964">
            <o:lock v:ext="edit"/>
            <v:shape id="_x0000_s1916" o:spid="_x0000_s1916" o:spt="75" type="#_x0000_t75" style="position:absolute;left:17;top:16;height:7932;width:8245;" filled="f" stroked="f" coordsize="21600,21600">
              <v:path/>
              <v:fill on="f" focussize="0,0"/>
              <v:stroke on="f"/>
              <v:imagedata r:id="rId598" o:title=""/>
              <o:lock v:ext="edit" aspectratio="t"/>
            </v:shape>
            <v:shape id="_x0000_s1917" o:spid="_x0000_s1917" o:spt="202" type="#_x0000_t202" style="position:absolute;left:-20;top:-20;height:8004;width:8315;" filled="f" stroked="f" coordsize="21600,21600">
              <v:path/>
              <v:fill on="f" focussize="0,0"/>
              <v:stroke on="f"/>
              <v:imagedata o:title=""/>
              <o:lock v:ext="edit" aspectratio="f"/>
              <v:textbox inset="0mm,0mm,0mm,0mm">
                <w:txbxContent>
                  <w:p w14:paraId="41FC2D07">
                    <w:pPr>
                      <w:spacing w:line="20" w:lineRule="exact"/>
                    </w:pPr>
                  </w:p>
                  <w:tbl>
                    <w:tblPr>
                      <w:tblStyle w:val="6"/>
                      <w:tblW w:w="8260" w:type="dxa"/>
                      <w:tblInd w:w="27" w:type="dxa"/>
                      <w:tblBorders>
                        <w:top w:val="single" w:color="0070C0" w:sz="6" w:space="0"/>
                        <w:left w:val="single" w:color="0070C0" w:sz="6" w:space="0"/>
                        <w:bottom w:val="single" w:color="0070C0" w:sz="6" w:space="0"/>
                        <w:right w:val="single" w:color="0070C0" w:sz="6" w:space="0"/>
                        <w:insideH w:val="none" w:color="auto" w:sz="0" w:space="0"/>
                        <w:insideV w:val="none" w:color="auto" w:sz="0" w:space="0"/>
                      </w:tblBorders>
                      <w:tblLayout w:type="fixed"/>
                      <w:tblCellMar>
                        <w:top w:w="0" w:type="dxa"/>
                        <w:left w:w="0" w:type="dxa"/>
                        <w:bottom w:w="0" w:type="dxa"/>
                        <w:right w:w="0" w:type="dxa"/>
                      </w:tblCellMar>
                    </w:tblPr>
                    <w:tblGrid>
                      <w:gridCol w:w="8260"/>
                    </w:tblGrid>
                    <w:tr w14:paraId="7840F308">
                      <w:tblPrEx>
                        <w:tblBorders>
                          <w:top w:val="single" w:color="0070C0" w:sz="6" w:space="0"/>
                          <w:left w:val="single" w:color="0070C0" w:sz="6" w:space="0"/>
                          <w:bottom w:val="single" w:color="0070C0" w:sz="6" w:space="0"/>
                          <w:right w:val="single" w:color="0070C0" w:sz="6" w:space="0"/>
                          <w:insideH w:val="none" w:color="auto" w:sz="0" w:space="0"/>
                          <w:insideV w:val="none" w:color="auto" w:sz="0" w:space="0"/>
                        </w:tblBorders>
                        <w:tblCellMar>
                          <w:top w:w="0" w:type="dxa"/>
                          <w:left w:w="0" w:type="dxa"/>
                          <w:bottom w:w="0" w:type="dxa"/>
                          <w:right w:w="0" w:type="dxa"/>
                        </w:tblCellMar>
                      </w:tblPrEx>
                      <w:trPr>
                        <w:trHeight w:val="7933" w:hRule="atLeast"/>
                      </w:trPr>
                      <w:tc>
                        <w:tcPr>
                          <w:tcW w:w="8260" w:type="dxa"/>
                          <w:vAlign w:val="top"/>
                        </w:tcPr>
                        <w:p w14:paraId="2A518933">
                          <w:pPr>
                            <w:rPr>
                              <w:rFonts w:ascii="Arial"/>
                              <w:sz w:val="21"/>
                            </w:rPr>
                          </w:pPr>
                        </w:p>
                      </w:tc>
                    </w:tr>
                  </w:tbl>
                  <w:p w14:paraId="457E1F3F">
                    <w:pPr>
                      <w:rPr>
                        <w:rFonts w:ascii="Arial"/>
                        <w:sz w:val="21"/>
                      </w:rPr>
                    </w:pPr>
                  </w:p>
                </w:txbxContent>
              </v:textbox>
            </v:shape>
            <w10:wrap type="none"/>
            <w10:anchorlock/>
          </v:group>
        </w:pict>
      </w:r>
    </w:p>
    <w:p w14:paraId="4F3B57A1">
      <w:pPr>
        <w:pStyle w:val="2"/>
        <w:spacing w:before="257" w:line="307" w:lineRule="auto"/>
        <w:ind w:left="1457" w:right="1411" w:firstLine="444"/>
        <w:rPr>
          <w:sz w:val="24"/>
          <w:szCs w:val="24"/>
        </w:rPr>
      </w:pPr>
      <w:r>
        <w:rPr>
          <w:spacing w:val="-16"/>
          <w:sz w:val="24"/>
          <w:szCs w:val="24"/>
        </w:rPr>
        <w:t>我司施工时采取钢板铺设保护措施,是以利器善其事的做法,</w:t>
      </w:r>
      <w:r>
        <w:rPr>
          <w:spacing w:val="-17"/>
          <w:sz w:val="24"/>
          <w:szCs w:val="24"/>
        </w:rPr>
        <w:t>既保证了管道的正常使用,也</w:t>
      </w:r>
      <w:r>
        <w:rPr>
          <w:spacing w:val="-20"/>
          <w:sz w:val="24"/>
          <w:szCs w:val="24"/>
        </w:rPr>
        <w:t>起到事半功倍的效果。</w:t>
      </w:r>
    </w:p>
    <w:p w14:paraId="23175885">
      <w:pPr>
        <w:pStyle w:val="2"/>
        <w:spacing w:line="217" w:lineRule="auto"/>
        <w:ind w:left="1886"/>
        <w:rPr>
          <w:sz w:val="24"/>
          <w:szCs w:val="24"/>
        </w:rPr>
      </w:pPr>
      <w:r>
        <w:rPr>
          <w:spacing w:val="-18"/>
          <w:sz w:val="24"/>
          <w:szCs w:val="24"/>
        </w:rPr>
        <w:t>9、现况燃气管道的保护</w:t>
      </w:r>
    </w:p>
    <w:p w14:paraId="077ECC38">
      <w:pPr>
        <w:pStyle w:val="2"/>
        <w:spacing w:before="117" w:line="308" w:lineRule="auto"/>
        <w:ind w:left="1457" w:right="1409" w:firstLine="441"/>
        <w:rPr>
          <w:sz w:val="24"/>
          <w:szCs w:val="24"/>
        </w:rPr>
      </w:pPr>
      <w:r>
        <w:rPr>
          <w:spacing w:val="-20"/>
          <w:sz w:val="24"/>
          <w:szCs w:val="24"/>
        </w:rPr>
        <w:t>工程施工前，根据现况管道管理单位指定位置，应挖探坑探明具体位置及深度，施工时现</w:t>
      </w:r>
      <w:r>
        <w:rPr>
          <w:spacing w:val="-22"/>
          <w:sz w:val="24"/>
          <w:szCs w:val="24"/>
        </w:rPr>
        <w:t>况管道周围1米需采取人工开挖，对于与新建管道线位重合的现况燃气管道，需进行现况管道</w:t>
      </w:r>
      <w:r>
        <w:rPr>
          <w:spacing w:val="-20"/>
          <w:sz w:val="24"/>
          <w:szCs w:val="24"/>
        </w:rPr>
        <w:t>的改线，改移前约请有关管理部门，确定改移位置，由专业队伍进行施工。旧管道废除时，应由专业人员负责切割，施工范围内严禁使用烟火。对于与新建管道交叉的现况燃气管道，采用</w:t>
      </w:r>
      <w:r>
        <w:rPr>
          <w:spacing w:val="-21"/>
          <w:sz w:val="24"/>
          <w:szCs w:val="24"/>
        </w:rPr>
        <w:t>悬吊的保护措施，采用人工开挖，悬吊使用工字钢做梁﹙根据槽上口宽度确定工字钢型号﹚,</w:t>
      </w:r>
      <w:r>
        <w:rPr>
          <w:spacing w:val="-20"/>
          <w:sz w:val="24"/>
          <w:szCs w:val="24"/>
        </w:rPr>
        <w:t>其下托14#槽钢，并通过φ16螺栓进行联结的方法。</w:t>
      </w:r>
    </w:p>
    <w:p w14:paraId="03401D98">
      <w:pPr>
        <w:pStyle w:val="2"/>
        <w:spacing w:before="1" w:line="216" w:lineRule="auto"/>
        <w:ind w:left="1903"/>
        <w:rPr>
          <w:sz w:val="24"/>
          <w:szCs w:val="24"/>
        </w:rPr>
      </w:pPr>
      <w:r>
        <w:rPr>
          <w:spacing w:val="-19"/>
          <w:sz w:val="24"/>
          <w:szCs w:val="24"/>
        </w:rPr>
        <w:t>10、现况直埋电缆的保护</w:t>
      </w:r>
    </w:p>
    <w:p w14:paraId="017B97BF">
      <w:pPr>
        <w:pStyle w:val="2"/>
        <w:spacing w:before="115" w:line="308" w:lineRule="auto"/>
        <w:ind w:left="1457" w:right="1411" w:firstLine="437"/>
        <w:rPr>
          <w:sz w:val="24"/>
          <w:szCs w:val="24"/>
        </w:rPr>
      </w:pPr>
      <w:r>
        <w:rPr>
          <w:spacing w:val="-20"/>
          <w:sz w:val="24"/>
          <w:szCs w:val="24"/>
        </w:rPr>
        <w:t>在场地南侧由一条直埋电缆与新建综合管线相交。在进行新建管线施工前，应按电缆管理人员指定位置，人工将电缆挖出。对于与新建管道顺槽的直埋电缆，将其用塑料管或塑料布等绝缘材料包裹，并用麻绳扎牢，防止电缆破坏；对位于穿越新建管线沟槽的直埋电缆，将其下</w:t>
      </w:r>
      <w:r>
        <w:rPr>
          <w:spacing w:val="-21"/>
          <w:sz w:val="24"/>
          <w:szCs w:val="24"/>
        </w:rPr>
        <w:t>部用木板托起，再用麻绳扎牢，在沟槽上用工字钢或方</w:t>
      </w:r>
      <w:r>
        <w:rPr>
          <w:spacing w:val="-22"/>
          <w:sz w:val="24"/>
          <w:szCs w:val="24"/>
        </w:rPr>
        <w:t>木对电缆进行悬吊。</w:t>
      </w:r>
    </w:p>
    <w:p w14:paraId="24A550A0">
      <w:pPr>
        <w:pStyle w:val="2"/>
        <w:spacing w:line="217" w:lineRule="auto"/>
        <w:ind w:left="1903"/>
        <w:rPr>
          <w:sz w:val="24"/>
          <w:szCs w:val="24"/>
        </w:rPr>
      </w:pPr>
      <w:r>
        <w:rPr>
          <w:spacing w:val="-19"/>
          <w:sz w:val="24"/>
          <w:szCs w:val="24"/>
        </w:rPr>
        <w:t>11、现况上水管道保护</w:t>
      </w:r>
    </w:p>
    <w:p w14:paraId="67FA2B1C">
      <w:pPr>
        <w:spacing w:line="217" w:lineRule="auto"/>
        <w:rPr>
          <w:sz w:val="24"/>
          <w:szCs w:val="24"/>
        </w:rPr>
        <w:sectPr>
          <w:footerReference r:id="rId132" w:type="default"/>
          <w:pgSz w:w="11907" w:h="16839"/>
          <w:pgMar w:top="954" w:right="4" w:bottom="1038" w:left="0" w:header="499" w:footer="357" w:gutter="0"/>
          <w:pgBorders>
            <w:top w:val="none" w:sz="0" w:space="0"/>
            <w:left w:val="none" w:sz="0" w:space="0"/>
            <w:bottom w:val="none" w:sz="0" w:space="0"/>
            <w:right w:val="none" w:sz="0" w:space="0"/>
          </w:pgBorders>
          <w:cols w:space="720" w:num="1"/>
        </w:sectPr>
      </w:pPr>
    </w:p>
    <w:p w14:paraId="55C590DD">
      <w:pPr>
        <w:spacing w:line="248" w:lineRule="auto"/>
        <w:rPr>
          <w:rFonts w:ascii="Arial"/>
          <w:sz w:val="21"/>
        </w:rPr>
      </w:pPr>
    </w:p>
    <w:p w14:paraId="3F10EE09">
      <w:pPr>
        <w:pStyle w:val="2"/>
        <w:spacing w:before="78" w:line="308" w:lineRule="auto"/>
        <w:ind w:left="1456" w:right="1410" w:firstLine="442"/>
        <w:jc w:val="both"/>
        <w:rPr>
          <w:sz w:val="24"/>
          <w:szCs w:val="24"/>
        </w:rPr>
      </w:pPr>
      <w:r>
        <w:rPr>
          <w:spacing w:val="-20"/>
          <w:sz w:val="24"/>
          <w:szCs w:val="24"/>
        </w:rPr>
        <w:t>工程施工前，根据管道管理单位指定位置，应当挖探坑探明具体位置及深度，施工时现况</w:t>
      </w:r>
      <w:r>
        <w:rPr>
          <w:spacing w:val="-22"/>
          <w:sz w:val="24"/>
          <w:szCs w:val="24"/>
        </w:rPr>
        <w:t>管道周围1米需采取人工开挖。对于与新建管线交叉的现况上水管道，距地面较浅的，采用悬吊的保护措施，首先人工开挖至现况管道管底，在其下埋设20#槽钢，作为吊架梁，在槽上口固</w:t>
      </w:r>
      <w:r>
        <w:rPr>
          <w:spacing w:val="-23"/>
          <w:sz w:val="24"/>
          <w:szCs w:val="24"/>
        </w:rPr>
        <w:t>定两根工字钢﹙根据槽上口宽度确定工字钢型号﹚,并通过φ16螺栓将工字钢与槽钢联结，将</w:t>
      </w:r>
      <w:r>
        <w:rPr>
          <w:spacing w:val="-20"/>
          <w:sz w:val="24"/>
          <w:szCs w:val="24"/>
        </w:rPr>
        <w:t>管子吊好，并随时拧紧螺栓，防止管口移动；距槽底较近的，采用砌筑砖墩支撑的方法，首先沿现况管道开挖至管底，并沿管道埋设吊架梁，将管道吊好后，准备随时调紧吊线，不得使管</w:t>
      </w:r>
      <w:r>
        <w:rPr>
          <w:spacing w:val="-21"/>
          <w:sz w:val="24"/>
          <w:szCs w:val="24"/>
        </w:rPr>
        <w:t>口移动，开挖至新建槽底后，将支墩砌筑在原状土上，待支</w:t>
      </w:r>
      <w:r>
        <w:rPr>
          <w:spacing w:val="-22"/>
          <w:sz w:val="24"/>
          <w:szCs w:val="24"/>
        </w:rPr>
        <w:t>墩达到一定强度后，拆除吊架梁。</w:t>
      </w:r>
    </w:p>
    <w:p w14:paraId="3F021A7A">
      <w:pPr>
        <w:pStyle w:val="2"/>
        <w:spacing w:line="217" w:lineRule="auto"/>
        <w:ind w:left="1903"/>
        <w:rPr>
          <w:sz w:val="24"/>
          <w:szCs w:val="24"/>
        </w:rPr>
      </w:pPr>
      <w:r>
        <w:rPr>
          <w:spacing w:val="-20"/>
          <w:sz w:val="24"/>
          <w:szCs w:val="24"/>
        </w:rPr>
        <w:t>12、现况电信管道的保护方法</w:t>
      </w:r>
    </w:p>
    <w:p w14:paraId="7A9E864C">
      <w:pPr>
        <w:pStyle w:val="2"/>
        <w:spacing w:before="115" w:line="308" w:lineRule="auto"/>
        <w:ind w:left="1455" w:right="1353" w:firstLine="443"/>
        <w:rPr>
          <w:sz w:val="24"/>
          <w:szCs w:val="24"/>
        </w:rPr>
      </w:pPr>
      <w:r>
        <w:rPr>
          <w:spacing w:val="-20"/>
          <w:sz w:val="24"/>
          <w:szCs w:val="24"/>
        </w:rPr>
        <w:t>工程施工前，根据现况管道管理单位指定位置，应挖探坑探明具体位置及深度，对于与新</w:t>
      </w:r>
      <w:r>
        <w:rPr>
          <w:spacing w:val="-21"/>
          <w:sz w:val="24"/>
          <w:szCs w:val="24"/>
        </w:rPr>
        <w:t>建管道交叉的电信管块，采用人工开挖至管道底部，并沿现况管道两侧向里开挖15cm×15cm的</w:t>
      </w:r>
      <w:r>
        <w:rPr>
          <w:spacing w:val="-20"/>
          <w:sz w:val="24"/>
          <w:szCs w:val="24"/>
        </w:rPr>
        <w:t>槽，放入10cm×10cm方木，然后在其下垂直掏洞，并埋设两根14#槽钢，使用φ16螺栓将槽上口的工字钢与槽钢联结（根据槽上口宽度确定工字钢型号</w:t>
      </w:r>
      <w:r>
        <w:rPr>
          <w:spacing w:val="-15"/>
          <w:sz w:val="24"/>
          <w:szCs w:val="24"/>
        </w:rPr>
        <w:t>），</w:t>
      </w:r>
      <w:r>
        <w:rPr>
          <w:spacing w:val="-20"/>
          <w:sz w:val="24"/>
          <w:szCs w:val="24"/>
        </w:rPr>
        <w:t>然后开挖管道以下的土方，并随</w:t>
      </w:r>
      <w:r>
        <w:rPr>
          <w:spacing w:val="-25"/>
          <w:sz w:val="24"/>
          <w:szCs w:val="24"/>
        </w:rPr>
        <w:t>时拧紧螺栓，不得使管块之间发生位移。对于新建管线沟槽宽度超过6m的，需将电信管块砸除，</w:t>
      </w:r>
      <w:r>
        <w:rPr>
          <w:spacing w:val="-20"/>
          <w:sz w:val="24"/>
          <w:szCs w:val="24"/>
        </w:rPr>
        <w:t>将光缆将其用塑料管或塑料布等绝缘材料包裹，并用铅丝扎牢，防止其破坏，并采取上述方法</w:t>
      </w:r>
      <w:r>
        <w:rPr>
          <w:spacing w:val="-17"/>
          <w:sz w:val="24"/>
          <w:szCs w:val="24"/>
        </w:rPr>
        <w:t>悬吊保护。</w:t>
      </w:r>
    </w:p>
    <w:p w14:paraId="1DA99BAB">
      <w:pPr>
        <w:pStyle w:val="2"/>
        <w:spacing w:line="215" w:lineRule="auto"/>
        <w:ind w:left="1899"/>
        <w:rPr>
          <w:sz w:val="24"/>
          <w:szCs w:val="24"/>
        </w:rPr>
      </w:pPr>
      <w:r>
        <w:pict>
          <v:shape id="_x0000_s1918" o:spid="_x0000_s1918" style="position:absolute;left:0pt;margin-left:386.7pt;margin-top:15.7pt;height:0.75pt;width:2.2pt;z-index:251878400;mso-width-relative:page;mso-height-relative:page;" fillcolor="#1C456A" filled="t" stroked="f" coordsize="44,15" path="m0,14l43,14,43,0,0,0,0,14xe">
            <v:path/>
            <v:fill on="t" focussize="0,0"/>
            <v:stroke on="f"/>
            <v:imagedata o:title=""/>
            <o:lock v:ext="edit"/>
          </v:shape>
        </w:pict>
      </w:r>
      <w:r>
        <w:rPr>
          <w:spacing w:val="-21"/>
          <w:sz w:val="24"/>
          <w:szCs w:val="24"/>
        </w:rPr>
        <w:t>三、潜在事故的危险性分析</w:t>
      </w:r>
    </w:p>
    <w:p w14:paraId="6E7CB4FD">
      <w:pPr>
        <w:spacing w:line="58" w:lineRule="auto"/>
        <w:rPr>
          <w:rFonts w:ascii="Arial"/>
          <w:sz w:val="2"/>
        </w:rPr>
      </w:pPr>
    </w:p>
    <w:tbl>
      <w:tblPr>
        <w:tblStyle w:val="6"/>
        <w:tblW w:w="8561" w:type="dxa"/>
        <w:tblInd w:w="167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293"/>
        <w:gridCol w:w="3773"/>
        <w:gridCol w:w="519"/>
        <w:gridCol w:w="1591"/>
        <w:gridCol w:w="385"/>
      </w:tblGrid>
      <w:tr w14:paraId="0DFD91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9" w:hRule="atLeast"/>
        </w:trPr>
        <w:tc>
          <w:tcPr>
            <w:tcW w:w="2293" w:type="dxa"/>
            <w:tcBorders>
              <w:top w:val="single" w:color="000000" w:sz="4" w:space="0"/>
              <w:left w:val="single" w:color="000000" w:sz="4" w:space="0"/>
            </w:tcBorders>
            <w:shd w:val="clear" w:color="auto" w:fill="DEEAF6"/>
            <w:vAlign w:val="top"/>
          </w:tcPr>
          <w:p w14:paraId="5B3B3A81">
            <w:pPr>
              <w:spacing w:line="33" w:lineRule="exact"/>
              <w:ind w:firstLine="2275"/>
            </w:pPr>
            <w:r>
              <w:pict>
                <v:shape id="_x0000_s1919" o:spid="_x0000_s1919" style="position:absolute;left:0pt;margin-left:-0.2pt;margin-top:0pt;height:0.75pt;width:2.2pt;mso-position-horizontal-relative:page;mso-position-vertical-relative:page;z-index:251882496;mso-width-relative:page;mso-height-relative:page;" fillcolor="#5B9BD5" filled="t" stroked="f" coordsize="44,15" path="m0,14l43,14,43,0,0,0,0,14xe">
                  <v:path/>
                  <v:fill on="t" focussize="0,0"/>
                  <v:stroke on="f"/>
                  <v:imagedata o:title=""/>
                  <o:lock v:ext="edit"/>
                </v:shape>
              </w:pict>
            </w:r>
            <w:r>
              <w:pict>
                <v:group id="_x0000_s1920" o:spid="_x0000_s1920" o:spt="203" style="height:2.2pt;width:2.2pt;" coordsize="44,44">
                  <o:lock v:ext="edit"/>
                  <v:shape id="_x0000_s1921" o:spid="_x0000_s1921" style="position:absolute;left:0;top:0;height:15;width:44;" fillcolor="#5B9BD5" filled="t" stroked="f" coordsize="44,15" path="m0,14l43,14,43,0,0,0,0,14xe">
                    <v:path/>
                    <v:fill on="t" focussize="0,0"/>
                    <v:stroke on="f"/>
                    <v:imagedata o:title=""/>
                    <o:lock v:ext="edit"/>
                  </v:shape>
                  <v:shape id="_x0000_s1922" o:spid="_x0000_s1922" style="position:absolute;left:0;top:14;height:15;width:44;" fillcolor="#20507B" filled="t" stroked="f" coordsize="44,15" path="m0,14l43,14,43,0,0,0,0,14xe">
                    <v:path/>
                    <v:fill on="t" focussize="0,0"/>
                    <v:stroke on="f"/>
                    <v:imagedata o:title=""/>
                    <o:lock v:ext="edit"/>
                  </v:shape>
                  <v:shape id="_x0000_s1923" o:spid="_x0000_s1923" style="position:absolute;left:0;top:28;height:15;width:44;" fillcolor="#1C456A" filled="t" stroked="f" coordsize="44,15" path="m0,14l43,14,43,0,0,0,0,14xe">
                    <v:path/>
                    <v:fill on="t" focussize="0,0"/>
                    <v:stroke on="f"/>
                    <v:imagedata o:title=""/>
                    <o:lock v:ext="edit"/>
                  </v:shape>
                  <w10:wrap type="none"/>
                  <w10:anchorlock/>
                </v:group>
              </w:pict>
            </w:r>
          </w:p>
          <w:p w14:paraId="2D44861F">
            <w:pPr>
              <w:pStyle w:val="7"/>
              <w:spacing w:before="93" w:line="217" w:lineRule="auto"/>
              <w:ind w:left="736"/>
            </w:pPr>
            <w:r>
              <w:rPr>
                <w:b/>
                <w:bCs/>
                <w:spacing w:val="-21"/>
              </w:rPr>
              <w:t>管道名称</w:t>
            </w:r>
          </w:p>
        </w:tc>
        <w:tc>
          <w:tcPr>
            <w:tcW w:w="3773" w:type="dxa"/>
            <w:tcBorders>
              <w:top w:val="single" w:color="000000" w:sz="4" w:space="0"/>
            </w:tcBorders>
            <w:shd w:val="clear" w:color="auto" w:fill="DEEAF6"/>
            <w:vAlign w:val="top"/>
          </w:tcPr>
          <w:p w14:paraId="2AC6C515">
            <w:pPr>
              <w:pStyle w:val="7"/>
              <w:spacing w:before="127" w:line="215" w:lineRule="auto"/>
              <w:ind w:left="1352"/>
            </w:pPr>
            <w:r>
              <w:rPr>
                <w:b/>
                <w:bCs/>
                <w:spacing w:val="-20"/>
              </w:rPr>
              <w:t>潜在危险性</w:t>
            </w:r>
          </w:p>
        </w:tc>
        <w:tc>
          <w:tcPr>
            <w:tcW w:w="519" w:type="dxa"/>
            <w:tcBorders>
              <w:top w:val="single" w:color="20507B" w:sz="4" w:space="0"/>
              <w:right w:val="nil"/>
            </w:tcBorders>
            <w:shd w:val="clear" w:color="auto" w:fill="DEEAF6"/>
            <w:vAlign w:val="top"/>
          </w:tcPr>
          <w:p w14:paraId="6C60158F">
            <w:pPr>
              <w:spacing w:line="18" w:lineRule="exact"/>
            </w:pPr>
            <w:r>
              <w:pict>
                <v:group id="_x0000_s1924" o:spid="_x0000_s1924" o:spt="203" style="height:1.45pt;width:2.2pt;" coordsize="44,29">
                  <o:lock v:ext="edit"/>
                  <v:shape id="_x0000_s1925" o:spid="_x0000_s1925" style="position:absolute;left:0;top:0;height:15;width:44;" fillcolor="#5B9BD5" filled="t" stroked="f" coordsize="44,15" path="m0,14l43,14,43,0,0,0,0,14xe">
                    <v:path/>
                    <v:fill on="t" focussize="0,0"/>
                    <v:stroke on="f"/>
                    <v:imagedata o:title=""/>
                    <o:lock v:ext="edit"/>
                  </v:shape>
                  <v:shape id="_x0000_s1926" o:spid="_x0000_s1926" style="position:absolute;left:0;top:14;height:15;width:44;" fillcolor="#20507B" filled="t" stroked="f" coordsize="44,15" path="m0,14l43,14,43,0,0,0,0,14xe">
                    <v:path/>
                    <v:fill on="t" focussize="0,0"/>
                    <v:stroke on="f"/>
                    <v:imagedata o:title=""/>
                    <o:lock v:ext="edit"/>
                  </v:shape>
                  <w10:wrap type="none"/>
                  <w10:anchorlock/>
                </v:group>
              </w:pict>
            </w:r>
          </w:p>
        </w:tc>
        <w:tc>
          <w:tcPr>
            <w:tcW w:w="1591" w:type="dxa"/>
            <w:tcBorders>
              <w:top w:val="single" w:color="20507B" w:sz="4" w:space="0"/>
              <w:left w:val="nil"/>
              <w:right w:val="nil"/>
            </w:tcBorders>
            <w:shd w:val="clear" w:color="auto" w:fill="DEEAF6"/>
            <w:vAlign w:val="top"/>
          </w:tcPr>
          <w:p w14:paraId="19F40706">
            <w:pPr>
              <w:pStyle w:val="7"/>
              <w:spacing w:before="127" w:line="218" w:lineRule="auto"/>
              <w:ind w:left="523"/>
            </w:pPr>
            <w:r>
              <w:rPr>
                <w:b/>
                <w:bCs/>
                <w:spacing w:val="-14"/>
              </w:rPr>
              <w:t>结果</w:t>
            </w:r>
          </w:p>
        </w:tc>
        <w:tc>
          <w:tcPr>
            <w:tcW w:w="385" w:type="dxa"/>
            <w:tcBorders>
              <w:top w:val="single" w:color="20507B" w:sz="4" w:space="0"/>
              <w:left w:val="nil"/>
              <w:right w:val="single" w:color="20507B" w:sz="4" w:space="0"/>
            </w:tcBorders>
            <w:shd w:val="clear" w:color="auto" w:fill="DEEAF6"/>
            <w:vAlign w:val="top"/>
          </w:tcPr>
          <w:p w14:paraId="5423E639">
            <w:pPr>
              <w:rPr>
                <w:rFonts w:ascii="Arial"/>
                <w:sz w:val="21"/>
              </w:rPr>
            </w:pPr>
            <w:r>
              <w:pict>
                <v:shape id="_x0000_s1927" o:spid="_x0000_s1927" style="position:absolute;left:0pt;margin-left:17.4pt;margin-top:0pt;height:0.75pt;width:2.2pt;mso-position-horizontal-relative:page;mso-position-vertical-relative:page;z-index:251881472;mso-width-relative:page;mso-height-relative:page;" fillcolor="#5B9BD5" filled="t" stroked="f" coordsize="44,15" path="m0,14l43,14,43,0,0,0,0,14xe">
                  <v:path/>
                  <v:fill on="t" focussize="0,0"/>
                  <v:stroke on="f"/>
                  <v:imagedata o:title=""/>
                  <o:lock v:ext="edit"/>
                </v:shape>
              </w:pict>
            </w:r>
          </w:p>
        </w:tc>
      </w:tr>
      <w:tr w14:paraId="6FD170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60" w:hRule="atLeast"/>
        </w:trPr>
        <w:tc>
          <w:tcPr>
            <w:tcW w:w="2293" w:type="dxa"/>
            <w:tcBorders>
              <w:left w:val="single" w:color="000000" w:sz="4" w:space="0"/>
            </w:tcBorders>
            <w:vAlign w:val="top"/>
          </w:tcPr>
          <w:p w14:paraId="1136E61D">
            <w:pPr>
              <w:spacing w:line="243" w:lineRule="auto"/>
              <w:rPr>
                <w:rFonts w:ascii="Arial"/>
                <w:sz w:val="21"/>
              </w:rPr>
            </w:pPr>
          </w:p>
          <w:p w14:paraId="7F4F6F2E">
            <w:pPr>
              <w:spacing w:line="244" w:lineRule="auto"/>
              <w:rPr>
                <w:rFonts w:ascii="Arial"/>
                <w:sz w:val="21"/>
              </w:rPr>
            </w:pPr>
          </w:p>
          <w:p w14:paraId="242A8297">
            <w:pPr>
              <w:spacing w:line="244" w:lineRule="auto"/>
              <w:rPr>
                <w:rFonts w:ascii="Arial"/>
                <w:sz w:val="21"/>
              </w:rPr>
            </w:pPr>
          </w:p>
          <w:p w14:paraId="76CEFD1B">
            <w:pPr>
              <w:spacing w:line="244" w:lineRule="auto"/>
              <w:rPr>
                <w:rFonts w:ascii="Arial"/>
                <w:sz w:val="21"/>
              </w:rPr>
            </w:pPr>
          </w:p>
          <w:p w14:paraId="3542CE8D">
            <w:pPr>
              <w:pStyle w:val="7"/>
              <w:spacing w:before="78" w:line="219" w:lineRule="auto"/>
              <w:ind w:left="727"/>
            </w:pPr>
            <w:r>
              <w:rPr>
                <w:spacing w:val="-16"/>
              </w:rPr>
              <w:t>上水管道</w:t>
            </w:r>
          </w:p>
        </w:tc>
        <w:tc>
          <w:tcPr>
            <w:tcW w:w="3773" w:type="dxa"/>
            <w:vAlign w:val="top"/>
          </w:tcPr>
          <w:p w14:paraId="58C82B4A">
            <w:pPr>
              <w:pStyle w:val="7"/>
              <w:spacing w:before="125" w:line="217" w:lineRule="auto"/>
              <w:ind w:left="915"/>
            </w:pPr>
            <w:r>
              <w:rPr>
                <w:spacing w:val="-19"/>
              </w:rPr>
              <w:t>机械开槽距管道近。</w:t>
            </w:r>
          </w:p>
          <w:p w14:paraId="2F308E68">
            <w:pPr>
              <w:pStyle w:val="7"/>
              <w:spacing w:before="183" w:line="217" w:lineRule="auto"/>
              <w:ind w:left="601"/>
            </w:pPr>
            <w:r>
              <w:rPr>
                <w:spacing w:val="-21"/>
              </w:rPr>
              <w:t>管道埋深浅重型机械碾压。</w:t>
            </w:r>
          </w:p>
          <w:p w14:paraId="7E83ADEC">
            <w:pPr>
              <w:pStyle w:val="7"/>
              <w:spacing w:before="186" w:line="218" w:lineRule="auto"/>
              <w:ind w:left="820"/>
            </w:pPr>
            <w:r>
              <w:rPr>
                <w:spacing w:val="-21"/>
              </w:rPr>
              <w:t>管道悬吊或支撑不牢。</w:t>
            </w:r>
          </w:p>
          <w:p w14:paraId="632C3C86">
            <w:pPr>
              <w:pStyle w:val="7"/>
              <w:spacing w:before="182" w:line="218" w:lineRule="auto"/>
              <w:ind w:left="383"/>
            </w:pPr>
            <w:r>
              <w:rPr>
                <w:spacing w:val="-21"/>
              </w:rPr>
              <w:t>管道老化，管道周围土方扰动。</w:t>
            </w:r>
          </w:p>
          <w:p w14:paraId="234A84EA">
            <w:pPr>
              <w:pStyle w:val="7"/>
              <w:spacing w:before="184" w:line="219" w:lineRule="auto"/>
              <w:ind w:left="1353"/>
            </w:pPr>
            <w:r>
              <w:rPr>
                <w:spacing w:val="-17"/>
              </w:rPr>
              <w:t>其它意外。</w:t>
            </w:r>
          </w:p>
        </w:tc>
        <w:tc>
          <w:tcPr>
            <w:tcW w:w="2495" w:type="dxa"/>
            <w:gridSpan w:val="3"/>
            <w:tcBorders>
              <w:right w:val="single" w:color="000000" w:sz="4" w:space="0"/>
            </w:tcBorders>
            <w:vAlign w:val="top"/>
          </w:tcPr>
          <w:p w14:paraId="2B93A090">
            <w:pPr>
              <w:spacing w:line="254" w:lineRule="auto"/>
              <w:rPr>
                <w:rFonts w:ascii="Arial"/>
                <w:sz w:val="21"/>
              </w:rPr>
            </w:pPr>
          </w:p>
          <w:p w14:paraId="12C139D8">
            <w:pPr>
              <w:spacing w:line="255" w:lineRule="auto"/>
              <w:rPr>
                <w:rFonts w:ascii="Arial"/>
                <w:sz w:val="21"/>
              </w:rPr>
            </w:pPr>
          </w:p>
          <w:p w14:paraId="22F22C60">
            <w:pPr>
              <w:pStyle w:val="7"/>
              <w:spacing w:before="78" w:line="362" w:lineRule="auto"/>
              <w:ind w:left="817" w:right="683" w:hanging="95"/>
            </w:pPr>
            <w:r>
              <w:rPr>
                <w:spacing w:val="-24"/>
              </w:rPr>
              <w:t>管道破裂及</w:t>
            </w:r>
            <w:r>
              <w:rPr>
                <w:spacing w:val="-15"/>
              </w:rPr>
              <w:t>伤人事故</w:t>
            </w:r>
          </w:p>
        </w:tc>
      </w:tr>
      <w:tr w14:paraId="7C5C0D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94" w:hRule="atLeast"/>
        </w:trPr>
        <w:tc>
          <w:tcPr>
            <w:tcW w:w="2293" w:type="dxa"/>
            <w:tcBorders>
              <w:left w:val="single" w:color="000000" w:sz="4" w:space="0"/>
            </w:tcBorders>
            <w:vAlign w:val="top"/>
          </w:tcPr>
          <w:p w14:paraId="06941DA9">
            <w:pPr>
              <w:spacing w:line="251" w:lineRule="auto"/>
              <w:rPr>
                <w:rFonts w:ascii="Arial"/>
                <w:sz w:val="21"/>
              </w:rPr>
            </w:pPr>
          </w:p>
          <w:p w14:paraId="775756CD">
            <w:pPr>
              <w:spacing w:line="251" w:lineRule="auto"/>
              <w:rPr>
                <w:rFonts w:ascii="Arial"/>
                <w:sz w:val="21"/>
              </w:rPr>
            </w:pPr>
          </w:p>
          <w:p w14:paraId="4F41AA4A">
            <w:pPr>
              <w:pStyle w:val="7"/>
              <w:spacing w:before="78" w:line="220" w:lineRule="auto"/>
              <w:ind w:left="726"/>
            </w:pPr>
            <w:r>
              <w:rPr>
                <w:spacing w:val="-15"/>
              </w:rPr>
              <w:t>燃气管道</w:t>
            </w:r>
          </w:p>
        </w:tc>
        <w:tc>
          <w:tcPr>
            <w:tcW w:w="3773" w:type="dxa"/>
            <w:vAlign w:val="top"/>
          </w:tcPr>
          <w:p w14:paraId="4C7CBECC">
            <w:pPr>
              <w:pStyle w:val="7"/>
              <w:spacing w:before="118" w:line="217" w:lineRule="auto"/>
              <w:ind w:left="915"/>
            </w:pPr>
            <w:r>
              <w:rPr>
                <w:spacing w:val="-19"/>
              </w:rPr>
              <w:t>机械开槽距管道近。</w:t>
            </w:r>
          </w:p>
          <w:p w14:paraId="226FF11B">
            <w:pPr>
              <w:pStyle w:val="7"/>
              <w:spacing w:before="183" w:line="217" w:lineRule="auto"/>
              <w:ind w:left="601"/>
            </w:pPr>
            <w:r>
              <w:rPr>
                <w:spacing w:val="-23"/>
              </w:rPr>
              <w:t>管道埋深浅重型机械碾压。</w:t>
            </w:r>
          </w:p>
          <w:p w14:paraId="47189CF4">
            <w:pPr>
              <w:pStyle w:val="7"/>
              <w:spacing w:before="186" w:line="218" w:lineRule="auto"/>
              <w:ind w:left="820"/>
            </w:pPr>
            <w:r>
              <w:rPr>
                <w:spacing w:val="-21"/>
              </w:rPr>
              <w:t>管道悬吊或支撑不牢。</w:t>
            </w:r>
          </w:p>
          <w:p w14:paraId="4D818D99">
            <w:pPr>
              <w:pStyle w:val="7"/>
              <w:spacing w:before="184" w:line="219" w:lineRule="auto"/>
              <w:ind w:left="928"/>
            </w:pPr>
            <w:r>
              <w:rPr>
                <w:spacing w:val="-23"/>
              </w:rPr>
              <w:t>管道挖出后遇明火。</w:t>
            </w:r>
          </w:p>
        </w:tc>
        <w:tc>
          <w:tcPr>
            <w:tcW w:w="2495" w:type="dxa"/>
            <w:gridSpan w:val="3"/>
            <w:tcBorders>
              <w:right w:val="single" w:color="000000" w:sz="4" w:space="0"/>
            </w:tcBorders>
            <w:vAlign w:val="top"/>
          </w:tcPr>
          <w:p w14:paraId="34AD85D0">
            <w:pPr>
              <w:spacing w:line="271" w:lineRule="auto"/>
              <w:rPr>
                <w:rFonts w:ascii="Arial"/>
                <w:sz w:val="21"/>
              </w:rPr>
            </w:pPr>
          </w:p>
          <w:p w14:paraId="2C492C44">
            <w:pPr>
              <w:pStyle w:val="7"/>
              <w:spacing w:before="78" w:line="362" w:lineRule="auto"/>
              <w:ind w:left="817" w:right="683" w:hanging="95"/>
            </w:pPr>
            <w:r>
              <w:rPr>
                <w:spacing w:val="-24"/>
              </w:rPr>
              <w:t>管道破裂及</w:t>
            </w:r>
            <w:r>
              <w:rPr>
                <w:spacing w:val="-15"/>
              </w:rPr>
              <w:t>伤人事故</w:t>
            </w:r>
          </w:p>
        </w:tc>
      </w:tr>
      <w:tr w14:paraId="2C3FF7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93" w:hRule="atLeast"/>
        </w:trPr>
        <w:tc>
          <w:tcPr>
            <w:tcW w:w="2293" w:type="dxa"/>
            <w:tcBorders>
              <w:left w:val="single" w:color="000000" w:sz="4" w:space="0"/>
            </w:tcBorders>
            <w:vAlign w:val="top"/>
          </w:tcPr>
          <w:p w14:paraId="2A45C18F">
            <w:pPr>
              <w:spacing w:line="243" w:lineRule="auto"/>
              <w:rPr>
                <w:rFonts w:ascii="Arial"/>
                <w:sz w:val="21"/>
              </w:rPr>
            </w:pPr>
          </w:p>
          <w:p w14:paraId="637489F8">
            <w:pPr>
              <w:spacing w:line="244" w:lineRule="auto"/>
              <w:rPr>
                <w:rFonts w:ascii="Arial"/>
                <w:sz w:val="21"/>
              </w:rPr>
            </w:pPr>
          </w:p>
          <w:p w14:paraId="25C24964">
            <w:pPr>
              <w:spacing w:line="244" w:lineRule="auto"/>
              <w:rPr>
                <w:rFonts w:ascii="Arial"/>
                <w:sz w:val="21"/>
              </w:rPr>
            </w:pPr>
          </w:p>
          <w:p w14:paraId="1A0080B1">
            <w:pPr>
              <w:pStyle w:val="7"/>
              <w:spacing w:before="78" w:line="217" w:lineRule="auto"/>
              <w:ind w:left="752"/>
            </w:pPr>
            <w:r>
              <w:rPr>
                <w:spacing w:val="-22"/>
              </w:rPr>
              <w:t>电信管道</w:t>
            </w:r>
          </w:p>
        </w:tc>
        <w:tc>
          <w:tcPr>
            <w:tcW w:w="3773" w:type="dxa"/>
            <w:vAlign w:val="top"/>
          </w:tcPr>
          <w:p w14:paraId="37D74220">
            <w:pPr>
              <w:pStyle w:val="7"/>
              <w:spacing w:before="111" w:line="217" w:lineRule="auto"/>
              <w:ind w:left="915"/>
            </w:pPr>
            <w:r>
              <w:rPr>
                <w:spacing w:val="-19"/>
              </w:rPr>
              <w:t>机械开槽距管道近。</w:t>
            </w:r>
          </w:p>
          <w:p w14:paraId="1B3BAEC1">
            <w:pPr>
              <w:pStyle w:val="7"/>
              <w:spacing w:before="183" w:line="217" w:lineRule="auto"/>
              <w:ind w:left="601"/>
            </w:pPr>
            <w:r>
              <w:rPr>
                <w:spacing w:val="-21"/>
              </w:rPr>
              <w:t>管道埋深浅重型机械碾压。</w:t>
            </w:r>
          </w:p>
          <w:p w14:paraId="1EB71BA6">
            <w:pPr>
              <w:pStyle w:val="7"/>
              <w:spacing w:before="186" w:line="218" w:lineRule="auto"/>
              <w:ind w:left="820"/>
            </w:pPr>
            <w:r>
              <w:rPr>
                <w:spacing w:val="-21"/>
              </w:rPr>
              <w:t>管道悬吊或支撑不牢。</w:t>
            </w:r>
          </w:p>
          <w:p w14:paraId="2421E198">
            <w:pPr>
              <w:pStyle w:val="7"/>
              <w:spacing w:before="181" w:line="219" w:lineRule="auto"/>
              <w:ind w:left="1353"/>
            </w:pPr>
            <w:r>
              <w:rPr>
                <w:spacing w:val="-17"/>
              </w:rPr>
              <w:t>其它意外。</w:t>
            </w:r>
          </w:p>
        </w:tc>
        <w:tc>
          <w:tcPr>
            <w:tcW w:w="2495" w:type="dxa"/>
            <w:gridSpan w:val="3"/>
            <w:tcBorders>
              <w:right w:val="single" w:color="000000" w:sz="4" w:space="0"/>
            </w:tcBorders>
            <w:vAlign w:val="top"/>
          </w:tcPr>
          <w:p w14:paraId="24507097">
            <w:pPr>
              <w:spacing w:line="243" w:lineRule="auto"/>
              <w:rPr>
                <w:rFonts w:ascii="Arial"/>
                <w:sz w:val="21"/>
              </w:rPr>
            </w:pPr>
          </w:p>
          <w:p w14:paraId="41100C8D">
            <w:pPr>
              <w:spacing w:line="243" w:lineRule="auto"/>
              <w:rPr>
                <w:rFonts w:ascii="Arial"/>
                <w:sz w:val="21"/>
              </w:rPr>
            </w:pPr>
          </w:p>
          <w:p w14:paraId="43B5C98E">
            <w:pPr>
              <w:spacing w:line="244" w:lineRule="auto"/>
              <w:rPr>
                <w:rFonts w:ascii="Arial"/>
                <w:sz w:val="21"/>
              </w:rPr>
            </w:pPr>
          </w:p>
          <w:p w14:paraId="6301A8CE">
            <w:pPr>
              <w:pStyle w:val="7"/>
              <w:spacing w:before="78" w:line="220" w:lineRule="auto"/>
              <w:ind w:left="830"/>
            </w:pPr>
            <w:r>
              <w:rPr>
                <w:spacing w:val="-19"/>
              </w:rPr>
              <w:t>管道破裂</w:t>
            </w:r>
          </w:p>
        </w:tc>
      </w:tr>
      <w:tr w14:paraId="4DB8E7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2293" w:type="dxa"/>
            <w:tcBorders>
              <w:left w:val="single" w:color="1C456A" w:sz="4" w:space="0"/>
              <w:bottom w:val="single" w:color="1C456A" w:sz="4" w:space="0"/>
            </w:tcBorders>
            <w:vAlign w:val="top"/>
          </w:tcPr>
          <w:p w14:paraId="71992D2B">
            <w:pPr>
              <w:pStyle w:val="7"/>
              <w:spacing w:before="106" w:line="219" w:lineRule="auto"/>
              <w:ind w:left="725"/>
            </w:pPr>
            <w:r>
              <w:pict>
                <v:shape id="_x0000_s1928" o:spid="_x0000_s1928" style="position:absolute;left:0pt;margin-left:-0.2pt;margin-top:31.45pt;height:0.75pt;width:2.2pt;mso-position-horizontal-relative:page;mso-position-vertical-relative:page;z-index:251880448;mso-width-relative:page;mso-height-relative:page;" fillcolor="#5B9BD5" filled="t" stroked="f" coordsize="44,15" path="m0,14l43,14,43,0,0,0,0,14xe">
                  <v:path/>
                  <v:fill on="t" focussize="0,0"/>
                  <v:stroke on="f"/>
                  <v:imagedata o:title=""/>
                  <o:lock v:ext="edit"/>
                </v:shape>
              </w:pict>
            </w:r>
            <w:r>
              <w:rPr>
                <w:spacing w:val="-15"/>
              </w:rPr>
              <w:t>直埋电缆</w:t>
            </w:r>
          </w:p>
        </w:tc>
        <w:tc>
          <w:tcPr>
            <w:tcW w:w="3773" w:type="dxa"/>
            <w:tcBorders>
              <w:bottom w:val="single" w:color="000000" w:sz="4" w:space="0"/>
            </w:tcBorders>
            <w:vAlign w:val="top"/>
          </w:tcPr>
          <w:p w14:paraId="49CA1CDD">
            <w:pPr>
              <w:pStyle w:val="7"/>
              <w:spacing w:before="106" w:line="218" w:lineRule="auto"/>
              <w:ind w:left="374"/>
            </w:pPr>
            <w:r>
              <w:rPr>
                <w:spacing w:val="-21"/>
              </w:rPr>
              <w:t>人工挖探坑尖锐工具碰坏电缆。</w:t>
            </w:r>
          </w:p>
        </w:tc>
        <w:tc>
          <w:tcPr>
            <w:tcW w:w="2495" w:type="dxa"/>
            <w:gridSpan w:val="3"/>
            <w:tcBorders>
              <w:bottom w:val="single" w:color="000000" w:sz="4" w:space="0"/>
              <w:right w:val="single" w:color="000000" w:sz="4" w:space="0"/>
            </w:tcBorders>
            <w:vAlign w:val="top"/>
          </w:tcPr>
          <w:p w14:paraId="4953BCAF">
            <w:pPr>
              <w:pStyle w:val="7"/>
              <w:spacing w:before="106" w:line="219" w:lineRule="auto"/>
              <w:ind w:left="735"/>
            </w:pPr>
            <w:r>
              <w:pict>
                <v:shape id="_x0000_s1929" o:spid="_x0000_s1929" style="position:absolute;left:0pt;margin-left:122.9pt;margin-top:31.45pt;height:0.75pt;width:2.2pt;mso-position-horizontal-relative:page;mso-position-vertical-relative:page;z-index:251879424;mso-width-relative:page;mso-height-relative:page;" fillcolor="#5B9BD5" filled="t" stroked="f" coordsize="44,15" path="m0,14l43,14,43,0,0,0,0,14xe">
                  <v:path/>
                  <v:fill on="t" focussize="0,0"/>
                  <v:stroke on="f"/>
                  <v:imagedata o:title=""/>
                  <o:lock v:ext="edit"/>
                </v:shape>
              </w:pict>
            </w:r>
            <w:r>
              <w:rPr>
                <w:spacing w:val="-22"/>
              </w:rPr>
              <w:t>电缆爆破及</w:t>
            </w:r>
          </w:p>
        </w:tc>
      </w:tr>
    </w:tbl>
    <w:p w14:paraId="60A3B69A">
      <w:pPr>
        <w:rPr>
          <w:rFonts w:ascii="Arial"/>
          <w:sz w:val="21"/>
        </w:rPr>
      </w:pPr>
    </w:p>
    <w:p w14:paraId="49183FFA">
      <w:pPr>
        <w:rPr>
          <w:rFonts w:ascii="Arial" w:hAnsi="Arial" w:eastAsia="Arial" w:cs="Arial"/>
          <w:sz w:val="21"/>
          <w:szCs w:val="21"/>
        </w:rPr>
        <w:sectPr>
          <w:footerReference r:id="rId133" w:type="default"/>
          <w:pgSz w:w="11907" w:h="16839"/>
          <w:pgMar w:top="954" w:right="4" w:bottom="1038" w:left="0" w:header="499" w:footer="357" w:gutter="0"/>
          <w:pgBorders>
            <w:top w:val="none" w:sz="0" w:space="0"/>
            <w:left w:val="none" w:sz="0" w:space="0"/>
            <w:bottom w:val="none" w:sz="0" w:space="0"/>
            <w:right w:val="none" w:sz="0" w:space="0"/>
          </w:pgBorders>
          <w:cols w:space="720" w:num="1"/>
        </w:sectPr>
      </w:pPr>
    </w:p>
    <w:p w14:paraId="767025D7">
      <w:pPr>
        <w:spacing w:line="214" w:lineRule="exact"/>
      </w:pPr>
    </w:p>
    <w:tbl>
      <w:tblPr>
        <w:tblStyle w:val="6"/>
        <w:tblW w:w="8561" w:type="dxa"/>
        <w:tblInd w:w="167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287"/>
        <w:gridCol w:w="3776"/>
        <w:gridCol w:w="2498"/>
      </w:tblGrid>
      <w:tr w14:paraId="10E6F2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2" w:hRule="atLeast"/>
        </w:trPr>
        <w:tc>
          <w:tcPr>
            <w:tcW w:w="2287" w:type="dxa"/>
            <w:tcBorders>
              <w:top w:val="single" w:color="1C456A" w:sz="4" w:space="0"/>
              <w:left w:val="single" w:color="1C456A" w:sz="4" w:space="0"/>
              <w:bottom w:val="single" w:color="1C456A" w:sz="4" w:space="0"/>
            </w:tcBorders>
            <w:vAlign w:val="top"/>
          </w:tcPr>
          <w:p w14:paraId="2ED0CED7">
            <w:pPr>
              <w:rPr>
                <w:rFonts w:ascii="Arial"/>
                <w:sz w:val="21"/>
              </w:rPr>
            </w:pPr>
          </w:p>
        </w:tc>
        <w:tc>
          <w:tcPr>
            <w:tcW w:w="3776" w:type="dxa"/>
            <w:tcBorders>
              <w:top w:val="single" w:color="5B9BD5" w:sz="4" w:space="0"/>
              <w:bottom w:val="single" w:color="5B9BD5" w:sz="4" w:space="0"/>
            </w:tcBorders>
            <w:vAlign w:val="top"/>
          </w:tcPr>
          <w:p w14:paraId="25925E44">
            <w:pPr>
              <w:pStyle w:val="7"/>
              <w:spacing w:before="128" w:line="217" w:lineRule="auto"/>
              <w:ind w:left="621"/>
            </w:pPr>
            <w:r>
              <w:rPr>
                <w:spacing w:val="-22"/>
              </w:rPr>
              <w:t>电缆埋深浅重型机械碾压。</w:t>
            </w:r>
          </w:p>
        </w:tc>
        <w:tc>
          <w:tcPr>
            <w:tcW w:w="2498" w:type="dxa"/>
            <w:tcBorders>
              <w:top w:val="single" w:color="20507B" w:sz="4" w:space="0"/>
              <w:bottom w:val="single" w:color="20507B" w:sz="4" w:space="0"/>
              <w:right w:val="single" w:color="20507B" w:sz="4" w:space="0"/>
            </w:tcBorders>
            <w:vAlign w:val="top"/>
          </w:tcPr>
          <w:p w14:paraId="0CD4E1A2">
            <w:pPr>
              <w:pStyle w:val="7"/>
              <w:spacing w:before="129" w:line="219" w:lineRule="auto"/>
              <w:ind w:left="818"/>
            </w:pPr>
            <w:r>
              <w:rPr>
                <w:spacing w:val="-15"/>
              </w:rPr>
              <w:t>触电事故</w:t>
            </w:r>
          </w:p>
        </w:tc>
      </w:tr>
    </w:tbl>
    <w:p w14:paraId="6EC1C4BE">
      <w:pPr>
        <w:pStyle w:val="2"/>
        <w:spacing w:before="78" w:line="219" w:lineRule="auto"/>
        <w:ind w:left="1985"/>
        <w:outlineLvl w:val="2"/>
        <w:rPr>
          <w:sz w:val="28"/>
          <w:szCs w:val="28"/>
        </w:rPr>
      </w:pPr>
      <w:bookmarkStart w:id="65" w:name="bookmark64"/>
      <w:bookmarkEnd w:id="65"/>
      <w:r>
        <w:rPr>
          <w:b/>
          <w:bCs/>
          <w:spacing w:val="-22"/>
          <w:sz w:val="28"/>
          <w:szCs w:val="28"/>
        </w:rPr>
        <w:t>三、应急救援措施</w:t>
      </w:r>
    </w:p>
    <w:p w14:paraId="5E44F246">
      <w:pPr>
        <w:pStyle w:val="2"/>
        <w:spacing w:before="103" w:line="218" w:lineRule="auto"/>
        <w:ind w:left="1903"/>
        <w:rPr>
          <w:sz w:val="24"/>
          <w:szCs w:val="24"/>
        </w:rPr>
      </w:pPr>
      <w:r>
        <w:rPr>
          <w:spacing w:val="-20"/>
          <w:sz w:val="24"/>
          <w:szCs w:val="24"/>
        </w:rPr>
        <w:t>1、应急响应组织机构</w:t>
      </w:r>
    </w:p>
    <w:p w14:paraId="716D3A3D">
      <w:pPr>
        <w:pStyle w:val="2"/>
        <w:spacing w:before="117" w:line="217" w:lineRule="auto"/>
        <w:ind w:left="1903"/>
        <w:rPr>
          <w:sz w:val="24"/>
          <w:szCs w:val="24"/>
        </w:rPr>
      </w:pPr>
      <w:r>
        <w:rPr>
          <w:spacing w:val="-18"/>
          <w:sz w:val="24"/>
          <w:szCs w:val="24"/>
        </w:rPr>
        <w:t>1.各职能部门指责</w:t>
      </w:r>
    </w:p>
    <w:p w14:paraId="17FE60D3">
      <w:pPr>
        <w:pStyle w:val="2"/>
        <w:spacing w:before="116" w:line="220" w:lineRule="auto"/>
        <w:ind w:left="1903"/>
        <w:rPr>
          <w:sz w:val="24"/>
          <w:szCs w:val="24"/>
        </w:rPr>
      </w:pPr>
      <w:r>
        <w:rPr>
          <w:spacing w:val="-17"/>
          <w:sz w:val="24"/>
          <w:szCs w:val="24"/>
        </w:rPr>
        <w:t>1.1组长职责：</w:t>
      </w:r>
    </w:p>
    <w:p w14:paraId="35D8754E">
      <w:pPr>
        <w:pStyle w:val="2"/>
        <w:spacing w:before="113" w:line="308" w:lineRule="auto"/>
        <w:ind w:left="1459" w:right="1409" w:firstLine="439"/>
        <w:jc w:val="both"/>
        <w:rPr>
          <w:sz w:val="24"/>
          <w:szCs w:val="24"/>
        </w:rPr>
      </w:pPr>
      <w:r>
        <w:rPr>
          <w:spacing w:val="-20"/>
          <w:sz w:val="24"/>
          <w:szCs w:val="24"/>
        </w:rPr>
        <w:t>全面负责处置现况管道破裂事故工作，及时召集领导小组成员研究处置方案，布置任务下达命令，启动应急救援预案，依据国家法律法规，坚持公平、公正的原则，分析事故原因，找</w:t>
      </w:r>
      <w:r>
        <w:rPr>
          <w:spacing w:val="-21"/>
          <w:sz w:val="24"/>
          <w:szCs w:val="24"/>
        </w:rPr>
        <w:t>出事故相关责任人，调查处理事故原因。</w:t>
      </w:r>
    </w:p>
    <w:p w14:paraId="400D42BD">
      <w:pPr>
        <w:pStyle w:val="2"/>
        <w:spacing w:line="218" w:lineRule="auto"/>
        <w:ind w:left="1903"/>
        <w:rPr>
          <w:sz w:val="24"/>
          <w:szCs w:val="24"/>
        </w:rPr>
      </w:pPr>
      <w:r>
        <w:rPr>
          <w:spacing w:val="-17"/>
          <w:sz w:val="24"/>
          <w:szCs w:val="24"/>
        </w:rPr>
        <w:t>1.2报案组职责</w:t>
      </w:r>
    </w:p>
    <w:p w14:paraId="24784402">
      <w:pPr>
        <w:pStyle w:val="2"/>
        <w:spacing w:before="117" w:line="308" w:lineRule="auto"/>
        <w:ind w:left="1458" w:right="1410" w:firstLine="441"/>
        <w:rPr>
          <w:sz w:val="24"/>
          <w:szCs w:val="24"/>
        </w:rPr>
      </w:pPr>
      <w:r>
        <w:rPr>
          <w:spacing w:val="-20"/>
          <w:sz w:val="24"/>
          <w:szCs w:val="24"/>
        </w:rPr>
        <w:t>发生现况管线破裂事故，负责人应根据事故情况立即向有关领导报告，拨打现况管道管理单位及急救中心电话，告知事故种类、事态、事故地点、联系人等，同时通知急救组、材料设</w:t>
      </w:r>
      <w:r>
        <w:rPr>
          <w:spacing w:val="-22"/>
          <w:sz w:val="24"/>
          <w:szCs w:val="24"/>
        </w:rPr>
        <w:t>备组、维护秩序组和立即赶赴事故现场，采取相应措施进行抢救。协助事故调查。</w:t>
      </w:r>
    </w:p>
    <w:p w14:paraId="2A12EC1E">
      <w:pPr>
        <w:pStyle w:val="2"/>
        <w:spacing w:before="1" w:line="219" w:lineRule="auto"/>
        <w:ind w:left="1903"/>
        <w:rPr>
          <w:sz w:val="24"/>
          <w:szCs w:val="24"/>
        </w:rPr>
      </w:pPr>
      <w:r>
        <w:rPr>
          <w:spacing w:val="-19"/>
          <w:sz w:val="24"/>
          <w:szCs w:val="24"/>
        </w:rPr>
        <w:t>1.3急救组职责</w:t>
      </w:r>
    </w:p>
    <w:p w14:paraId="3E3725E0">
      <w:pPr>
        <w:pStyle w:val="2"/>
        <w:spacing w:before="114" w:line="308" w:lineRule="auto"/>
        <w:ind w:left="1458" w:right="1411" w:firstLine="435"/>
        <w:rPr>
          <w:sz w:val="24"/>
          <w:szCs w:val="24"/>
        </w:rPr>
      </w:pPr>
      <w:r>
        <w:rPr>
          <w:spacing w:val="-20"/>
          <w:sz w:val="24"/>
          <w:szCs w:val="24"/>
        </w:rPr>
        <w:t>接到报案组通知后，立即赶赴现场，根据事故情况立即组织抢险队到场，负责指挥机械设</w:t>
      </w:r>
      <w:r>
        <w:rPr>
          <w:spacing w:val="-19"/>
          <w:sz w:val="24"/>
          <w:szCs w:val="24"/>
        </w:rPr>
        <w:t>备和材料的使用。</w:t>
      </w:r>
    </w:p>
    <w:p w14:paraId="225F5DFB">
      <w:pPr>
        <w:pStyle w:val="2"/>
        <w:spacing w:line="217" w:lineRule="auto"/>
        <w:ind w:left="1903"/>
        <w:rPr>
          <w:sz w:val="24"/>
          <w:szCs w:val="24"/>
        </w:rPr>
      </w:pPr>
      <w:r>
        <w:rPr>
          <w:spacing w:val="-19"/>
          <w:sz w:val="24"/>
          <w:szCs w:val="24"/>
        </w:rPr>
        <w:t>1.4维护秩序组职责</w:t>
      </w:r>
    </w:p>
    <w:p w14:paraId="4EB90E20">
      <w:pPr>
        <w:pStyle w:val="2"/>
        <w:spacing w:before="115" w:line="308" w:lineRule="auto"/>
        <w:ind w:left="1456" w:right="1410" w:firstLine="437"/>
        <w:rPr>
          <w:sz w:val="24"/>
          <w:szCs w:val="24"/>
        </w:rPr>
      </w:pPr>
      <w:r>
        <w:rPr>
          <w:spacing w:val="-20"/>
          <w:sz w:val="24"/>
          <w:szCs w:val="24"/>
        </w:rPr>
        <w:t>接到报案组通知后，立即赶赴事故现场，根据现场情况，设立事故隔离区，组织人员疏散和物资转移，维护现场秩序，保护现场，为急救车辆和现场急救车辆开辟顺畅通道；协助事故调查处理。</w:t>
      </w:r>
    </w:p>
    <w:p w14:paraId="32C59368">
      <w:pPr>
        <w:pStyle w:val="2"/>
        <w:spacing w:before="1" w:line="215" w:lineRule="auto"/>
        <w:ind w:left="1903"/>
        <w:rPr>
          <w:sz w:val="24"/>
          <w:szCs w:val="24"/>
        </w:rPr>
      </w:pPr>
      <w:r>
        <w:rPr>
          <w:spacing w:val="-18"/>
          <w:sz w:val="24"/>
          <w:szCs w:val="24"/>
        </w:rPr>
        <w:t>1.5材料设备组职责</w:t>
      </w:r>
    </w:p>
    <w:p w14:paraId="77F998C7">
      <w:pPr>
        <w:pStyle w:val="2"/>
        <w:spacing w:before="121" w:line="307" w:lineRule="auto"/>
        <w:ind w:left="1455" w:right="1409" w:firstLine="438"/>
        <w:rPr>
          <w:sz w:val="24"/>
          <w:szCs w:val="24"/>
        </w:rPr>
      </w:pPr>
      <w:r>
        <w:rPr>
          <w:spacing w:val="-20"/>
          <w:sz w:val="24"/>
          <w:szCs w:val="24"/>
        </w:rPr>
        <w:t>接到报案组通知后，根据现场需要，必须保证一切机械设备车况良好及材料的供应，服从</w:t>
      </w:r>
      <w:r>
        <w:rPr>
          <w:spacing w:val="-21"/>
          <w:sz w:val="24"/>
          <w:szCs w:val="24"/>
        </w:rPr>
        <w:t>现场指挥，随时听候事故现场负责人调遣，协助事故调查处</w:t>
      </w:r>
      <w:r>
        <w:rPr>
          <w:spacing w:val="-22"/>
          <w:sz w:val="24"/>
          <w:szCs w:val="24"/>
        </w:rPr>
        <w:t>理。</w:t>
      </w:r>
    </w:p>
    <w:p w14:paraId="49AD0991">
      <w:pPr>
        <w:pStyle w:val="2"/>
        <w:spacing w:before="1" w:line="216" w:lineRule="auto"/>
        <w:ind w:left="1903"/>
        <w:rPr>
          <w:sz w:val="24"/>
          <w:szCs w:val="24"/>
        </w:rPr>
      </w:pPr>
      <w:r>
        <w:rPr>
          <w:spacing w:val="-17"/>
          <w:sz w:val="24"/>
          <w:szCs w:val="24"/>
        </w:rPr>
        <w:t>1.6后勤保障组</w:t>
      </w:r>
    </w:p>
    <w:p w14:paraId="7A8934C3">
      <w:pPr>
        <w:pStyle w:val="2"/>
        <w:spacing w:before="119" w:line="217" w:lineRule="auto"/>
        <w:ind w:left="1894"/>
        <w:rPr>
          <w:sz w:val="24"/>
          <w:szCs w:val="24"/>
        </w:rPr>
      </w:pPr>
      <w:r>
        <w:rPr>
          <w:spacing w:val="-21"/>
          <w:sz w:val="24"/>
          <w:szCs w:val="24"/>
        </w:rPr>
        <w:t>接到报案组通知后，根据现场需要，必须保证抢修人员的饮</w:t>
      </w:r>
      <w:r>
        <w:rPr>
          <w:spacing w:val="-22"/>
          <w:sz w:val="24"/>
          <w:szCs w:val="24"/>
        </w:rPr>
        <w:t>食供应。</w:t>
      </w:r>
    </w:p>
    <w:p w14:paraId="11226488">
      <w:pPr>
        <w:pStyle w:val="2"/>
        <w:spacing w:before="119" w:line="217" w:lineRule="auto"/>
        <w:ind w:left="1888"/>
        <w:rPr>
          <w:sz w:val="24"/>
          <w:szCs w:val="24"/>
        </w:rPr>
      </w:pPr>
      <w:r>
        <w:rPr>
          <w:spacing w:val="-20"/>
          <w:sz w:val="24"/>
          <w:szCs w:val="24"/>
        </w:rPr>
        <w:t>2、每个改造小区应急救援物资设备</w:t>
      </w:r>
    </w:p>
    <w:p w14:paraId="306AF761">
      <w:pPr>
        <w:pStyle w:val="2"/>
        <w:spacing w:before="116" w:line="217" w:lineRule="auto"/>
        <w:ind w:left="1894"/>
        <w:rPr>
          <w:sz w:val="24"/>
          <w:szCs w:val="24"/>
        </w:rPr>
      </w:pPr>
      <w:r>
        <w:rPr>
          <w:spacing w:val="-22"/>
          <w:sz w:val="24"/>
          <w:szCs w:val="24"/>
        </w:rPr>
        <w:t>反铲：1台装载机：2台</w:t>
      </w:r>
    </w:p>
    <w:p w14:paraId="04B13DAB">
      <w:pPr>
        <w:pStyle w:val="2"/>
        <w:spacing w:before="119" w:line="217" w:lineRule="auto"/>
        <w:ind w:left="1899"/>
        <w:rPr>
          <w:sz w:val="24"/>
          <w:szCs w:val="24"/>
        </w:rPr>
      </w:pPr>
      <w:r>
        <w:rPr>
          <w:spacing w:val="-22"/>
          <w:sz w:val="24"/>
          <w:szCs w:val="24"/>
        </w:rPr>
        <w:t>发电机：1台水泵：4台</w:t>
      </w:r>
    </w:p>
    <w:p w14:paraId="3C02C18B">
      <w:pPr>
        <w:pStyle w:val="2"/>
        <w:spacing w:before="119" w:line="219" w:lineRule="auto"/>
        <w:ind w:left="1894"/>
        <w:rPr>
          <w:sz w:val="24"/>
          <w:szCs w:val="24"/>
        </w:rPr>
      </w:pPr>
      <w:r>
        <w:rPr>
          <w:spacing w:val="-17"/>
          <w:sz w:val="24"/>
          <w:szCs w:val="24"/>
        </w:rPr>
        <w:t>灭火器：10个</w:t>
      </w:r>
    </w:p>
    <w:p w14:paraId="30685B7B">
      <w:pPr>
        <w:pStyle w:val="2"/>
        <w:spacing w:before="114" w:line="220" w:lineRule="auto"/>
        <w:ind w:left="1895"/>
        <w:rPr>
          <w:sz w:val="24"/>
          <w:szCs w:val="24"/>
        </w:rPr>
      </w:pPr>
      <w:r>
        <w:rPr>
          <w:spacing w:val="-26"/>
          <w:sz w:val="24"/>
          <w:szCs w:val="24"/>
        </w:rPr>
        <w:t>其它：</w:t>
      </w:r>
    </w:p>
    <w:p w14:paraId="5516F166">
      <w:pPr>
        <w:spacing w:line="220" w:lineRule="auto"/>
        <w:rPr>
          <w:sz w:val="24"/>
          <w:szCs w:val="24"/>
        </w:rPr>
        <w:sectPr>
          <w:footerReference r:id="rId134" w:type="default"/>
          <w:pgSz w:w="11907" w:h="16839"/>
          <w:pgMar w:top="954" w:right="4" w:bottom="1038" w:left="0" w:header="499" w:footer="357" w:gutter="0"/>
          <w:pgBorders>
            <w:top w:val="none" w:sz="0" w:space="0"/>
            <w:left w:val="none" w:sz="0" w:space="0"/>
            <w:bottom w:val="none" w:sz="0" w:space="0"/>
            <w:right w:val="none" w:sz="0" w:space="0"/>
          </w:pgBorders>
          <w:cols w:space="720" w:num="1"/>
        </w:sectPr>
      </w:pPr>
    </w:p>
    <w:p w14:paraId="6DD4162E">
      <w:pPr>
        <w:pStyle w:val="2"/>
        <w:spacing w:before="262" w:line="222" w:lineRule="auto"/>
        <w:jc w:val="center"/>
        <w:outlineLvl w:val="0"/>
        <w:rPr>
          <w:sz w:val="31"/>
          <w:szCs w:val="31"/>
        </w:rPr>
      </w:pPr>
      <w:bookmarkStart w:id="66" w:name="bookmark66"/>
      <w:bookmarkEnd w:id="66"/>
      <w:bookmarkStart w:id="67" w:name="bookmark65"/>
      <w:bookmarkEnd w:id="67"/>
      <w:r>
        <w:rPr>
          <w:b/>
          <w:bCs/>
          <w:color w:val="7030A0"/>
          <w:spacing w:val="-15"/>
          <w:sz w:val="31"/>
          <w:szCs w:val="31"/>
        </w:rPr>
        <w:t>第三章、安全</w:t>
      </w:r>
      <w:r>
        <w:rPr>
          <w:rFonts w:hint="eastAsia"/>
          <w:b/>
          <w:bCs/>
          <w:color w:val="7030A0"/>
          <w:spacing w:val="-15"/>
          <w:sz w:val="31"/>
          <w:szCs w:val="31"/>
          <w:lang w:val="en-US" w:eastAsia="zh-CN"/>
        </w:rPr>
        <w:t>管理</w:t>
      </w:r>
      <w:r>
        <w:rPr>
          <w:b/>
          <w:bCs/>
          <w:color w:val="7030A0"/>
          <w:spacing w:val="-15"/>
          <w:sz w:val="31"/>
          <w:szCs w:val="31"/>
        </w:rPr>
        <w:t>措施</w:t>
      </w:r>
    </w:p>
    <w:p w14:paraId="23DE2E3F">
      <w:pPr>
        <w:pStyle w:val="2"/>
        <w:spacing w:before="45" w:line="217" w:lineRule="auto"/>
        <w:ind w:left="4310"/>
        <w:outlineLvl w:val="1"/>
        <w:rPr>
          <w:sz w:val="30"/>
          <w:szCs w:val="30"/>
        </w:rPr>
      </w:pPr>
      <w:bookmarkStart w:id="68" w:name="bookmark303"/>
      <w:bookmarkEnd w:id="68"/>
      <w:r>
        <w:rPr>
          <w:b/>
          <w:bCs/>
          <w:color w:val="0070C0"/>
          <w:spacing w:val="-24"/>
          <w:sz w:val="30"/>
          <w:szCs w:val="30"/>
        </w:rPr>
        <w:t>第一节、安全生产目标计划</w:t>
      </w:r>
    </w:p>
    <w:p w14:paraId="292EB9A4">
      <w:pPr>
        <w:pStyle w:val="2"/>
        <w:spacing w:before="95" w:line="308" w:lineRule="auto"/>
        <w:ind w:left="1456" w:right="1410" w:firstLine="439"/>
        <w:jc w:val="both"/>
        <w:rPr>
          <w:sz w:val="24"/>
          <w:szCs w:val="24"/>
        </w:rPr>
      </w:pPr>
      <w:r>
        <w:rPr>
          <w:spacing w:val="-20"/>
          <w:sz w:val="24"/>
          <w:szCs w:val="24"/>
        </w:rPr>
        <w:t>安全生产是指在施工过程中，通过人、机、物料、环境、方法的和谐运作，使生产过程中潜在的各种事故风险和伤害因素始终处于有效控制状态，切实保护劳动者的生命安全和身体健</w:t>
      </w:r>
      <w:r>
        <w:rPr>
          <w:spacing w:val="-18"/>
          <w:sz w:val="24"/>
          <w:szCs w:val="24"/>
        </w:rPr>
        <w:t>康。</w:t>
      </w:r>
    </w:p>
    <w:p w14:paraId="0ADA4A2F">
      <w:pPr>
        <w:pStyle w:val="2"/>
        <w:spacing w:before="2" w:line="307" w:lineRule="auto"/>
        <w:ind w:left="1461" w:right="1354" w:firstLine="434"/>
        <w:jc w:val="both"/>
        <w:rPr>
          <w:sz w:val="24"/>
          <w:szCs w:val="24"/>
        </w:rPr>
      </w:pPr>
      <w:r>
        <w:rPr>
          <w:spacing w:val="-20"/>
          <w:sz w:val="24"/>
          <w:szCs w:val="24"/>
        </w:rPr>
        <w:t>安全是建筑施工中永恒的主题，我们将把安全放在重要的位置上。对整个工程的施工过程</w:t>
      </w:r>
      <w:r>
        <w:rPr>
          <w:spacing w:val="-24"/>
          <w:sz w:val="24"/>
          <w:szCs w:val="24"/>
        </w:rPr>
        <w:t>而言，其排列应分为安全——质量——进度——经济效益，只有在确保工程施工安全的前提下，</w:t>
      </w:r>
      <w:r>
        <w:rPr>
          <w:spacing w:val="-21"/>
          <w:sz w:val="24"/>
          <w:szCs w:val="24"/>
        </w:rPr>
        <w:t>才有质量、文明施工、进度、经济效益。没有安全</w:t>
      </w:r>
      <w:r>
        <w:rPr>
          <w:spacing w:val="-22"/>
          <w:sz w:val="24"/>
          <w:szCs w:val="24"/>
        </w:rPr>
        <w:t>，一切都无从谈起。</w:t>
      </w:r>
    </w:p>
    <w:p w14:paraId="6AE9A12D">
      <w:pPr>
        <w:pStyle w:val="2"/>
        <w:spacing w:line="218" w:lineRule="auto"/>
        <w:ind w:left="1901"/>
        <w:rPr>
          <w:sz w:val="24"/>
          <w:szCs w:val="24"/>
        </w:rPr>
      </w:pPr>
      <w:r>
        <w:rPr>
          <w:spacing w:val="-21"/>
          <w:sz w:val="24"/>
          <w:szCs w:val="24"/>
        </w:rPr>
        <w:t>我们承诺安全生产目标为：</w:t>
      </w:r>
    </w:p>
    <w:p w14:paraId="0CEF20A4">
      <w:pPr>
        <w:spacing w:line="19" w:lineRule="auto"/>
        <w:rPr>
          <w:rFonts w:ascii="Arial"/>
          <w:sz w:val="2"/>
        </w:rPr>
      </w:pPr>
    </w:p>
    <w:tbl>
      <w:tblPr>
        <w:tblStyle w:val="6"/>
        <w:tblW w:w="8554" w:type="dxa"/>
        <w:tblInd w:w="167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58"/>
        <w:gridCol w:w="1046"/>
        <w:gridCol w:w="7150"/>
      </w:tblGrid>
      <w:tr w14:paraId="3CC4C3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9" w:hRule="atLeast"/>
        </w:trPr>
        <w:tc>
          <w:tcPr>
            <w:tcW w:w="8554" w:type="dxa"/>
            <w:gridSpan w:val="3"/>
            <w:tcBorders>
              <w:top w:val="single" w:color="5B9BD5" w:sz="4" w:space="0"/>
              <w:left w:val="single" w:color="5B9BD5" w:sz="4" w:space="0"/>
              <w:right w:val="single" w:color="5B9BD5" w:sz="4" w:space="0"/>
            </w:tcBorders>
            <w:shd w:val="clear" w:color="auto" w:fill="DEEAF6"/>
            <w:vAlign w:val="top"/>
          </w:tcPr>
          <w:p w14:paraId="3FD21836">
            <w:pPr>
              <w:pStyle w:val="7"/>
              <w:spacing w:before="129" w:line="218" w:lineRule="auto"/>
              <w:ind w:left="3635"/>
            </w:pPr>
            <w:r>
              <w:rPr>
                <w:b/>
                <w:bCs/>
                <w:spacing w:val="-21"/>
              </w:rPr>
              <w:t>安全生产目标</w:t>
            </w:r>
          </w:p>
        </w:tc>
      </w:tr>
      <w:tr w14:paraId="23E7F3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22" w:hRule="atLeast"/>
        </w:trPr>
        <w:tc>
          <w:tcPr>
            <w:tcW w:w="1404" w:type="dxa"/>
            <w:gridSpan w:val="2"/>
            <w:tcBorders>
              <w:left w:val="single" w:color="000000" w:sz="4" w:space="0"/>
            </w:tcBorders>
            <w:vAlign w:val="top"/>
          </w:tcPr>
          <w:p w14:paraId="76E0B79F">
            <w:pPr>
              <w:spacing w:line="255" w:lineRule="auto"/>
              <w:rPr>
                <w:rFonts w:ascii="Arial"/>
                <w:sz w:val="21"/>
              </w:rPr>
            </w:pPr>
          </w:p>
          <w:p w14:paraId="76C86DE5">
            <w:pPr>
              <w:spacing w:line="256" w:lineRule="auto"/>
              <w:rPr>
                <w:rFonts w:ascii="Arial"/>
                <w:sz w:val="21"/>
              </w:rPr>
            </w:pPr>
          </w:p>
          <w:p w14:paraId="7717BBC7">
            <w:pPr>
              <w:pStyle w:val="7"/>
              <w:spacing w:before="78" w:line="238" w:lineRule="auto"/>
              <w:ind w:left="676"/>
            </w:pPr>
            <w:r>
              <w:t>1</w:t>
            </w:r>
          </w:p>
        </w:tc>
        <w:tc>
          <w:tcPr>
            <w:tcW w:w="7150" w:type="dxa"/>
            <w:tcBorders>
              <w:right w:val="single" w:color="000000" w:sz="4" w:space="0"/>
            </w:tcBorders>
            <w:vAlign w:val="top"/>
          </w:tcPr>
          <w:p w14:paraId="737408B6">
            <w:pPr>
              <w:pStyle w:val="7"/>
              <w:spacing w:before="126" w:line="216" w:lineRule="auto"/>
              <w:ind w:left="98"/>
            </w:pPr>
            <w:r>
              <w:rPr>
                <w:spacing w:val="-21"/>
              </w:rPr>
              <w:t>我单位制定严格的安全措施和安全组织设计，</w:t>
            </w:r>
            <w:r>
              <w:rPr>
                <w:spacing w:val="-22"/>
              </w:rPr>
              <w:t>按照“谁施工，谁负责”的</w:t>
            </w:r>
          </w:p>
          <w:p w14:paraId="7E852878">
            <w:pPr>
              <w:pStyle w:val="7"/>
              <w:spacing w:before="185" w:line="215" w:lineRule="auto"/>
              <w:ind w:left="94"/>
            </w:pPr>
            <w:r>
              <w:rPr>
                <w:spacing w:val="-21"/>
              </w:rPr>
              <w:t>原则，做好本工程的安全施工，涉及中达标工地的一</w:t>
            </w:r>
            <w:r>
              <w:rPr>
                <w:spacing w:val="-22"/>
              </w:rPr>
              <w:t>切费用均含在投标报</w:t>
            </w:r>
          </w:p>
          <w:p w14:paraId="525A6E38">
            <w:pPr>
              <w:pStyle w:val="7"/>
              <w:spacing w:before="188" w:line="218" w:lineRule="auto"/>
              <w:ind w:left="3250"/>
            </w:pPr>
            <w:r>
              <w:rPr>
                <w:spacing w:val="-13"/>
              </w:rPr>
              <w:t>价中。</w:t>
            </w:r>
          </w:p>
        </w:tc>
      </w:tr>
      <w:tr w14:paraId="3B0E64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56" w:hRule="atLeast"/>
        </w:trPr>
        <w:tc>
          <w:tcPr>
            <w:tcW w:w="1404" w:type="dxa"/>
            <w:gridSpan w:val="2"/>
            <w:tcBorders>
              <w:left w:val="single" w:color="000000" w:sz="4" w:space="0"/>
            </w:tcBorders>
            <w:vAlign w:val="top"/>
          </w:tcPr>
          <w:p w14:paraId="5194A4AA">
            <w:pPr>
              <w:spacing w:line="276" w:lineRule="auto"/>
              <w:rPr>
                <w:rFonts w:ascii="Arial"/>
                <w:sz w:val="21"/>
              </w:rPr>
            </w:pPr>
          </w:p>
          <w:p w14:paraId="7615EA4E">
            <w:pPr>
              <w:pStyle w:val="7"/>
              <w:spacing w:before="78" w:line="238" w:lineRule="auto"/>
              <w:ind w:left="661"/>
            </w:pPr>
            <w:r>
              <w:t>2</w:t>
            </w:r>
          </w:p>
        </w:tc>
        <w:tc>
          <w:tcPr>
            <w:tcW w:w="7150" w:type="dxa"/>
            <w:tcBorders>
              <w:right w:val="single" w:color="000000" w:sz="4" w:space="0"/>
            </w:tcBorders>
            <w:vAlign w:val="top"/>
          </w:tcPr>
          <w:p w14:paraId="0B4A6F1D">
            <w:pPr>
              <w:pStyle w:val="7"/>
              <w:spacing w:before="123" w:line="218" w:lineRule="auto"/>
              <w:ind w:left="94"/>
            </w:pPr>
            <w:r>
              <w:rPr>
                <w:spacing w:val="-21"/>
              </w:rPr>
              <w:t>坚持以“安全第一、预防为主、综合治理”为宗旨</w:t>
            </w:r>
            <w:r>
              <w:rPr>
                <w:spacing w:val="-22"/>
              </w:rPr>
              <w:t>的安全生产管理基本方</w:t>
            </w:r>
          </w:p>
          <w:p w14:paraId="4832E879">
            <w:pPr>
              <w:pStyle w:val="7"/>
              <w:spacing w:before="184" w:line="218" w:lineRule="auto"/>
              <w:ind w:left="3358"/>
            </w:pPr>
            <w:r>
              <w:rPr>
                <w:spacing w:val="-8"/>
              </w:rPr>
              <w:t>针。</w:t>
            </w:r>
          </w:p>
        </w:tc>
      </w:tr>
      <w:tr w14:paraId="24922F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7" w:hRule="atLeast"/>
        </w:trPr>
        <w:tc>
          <w:tcPr>
            <w:tcW w:w="1404" w:type="dxa"/>
            <w:gridSpan w:val="2"/>
            <w:tcBorders>
              <w:left w:val="single" w:color="000000" w:sz="4" w:space="0"/>
            </w:tcBorders>
            <w:vAlign w:val="top"/>
          </w:tcPr>
          <w:p w14:paraId="3EEDD441">
            <w:pPr>
              <w:pStyle w:val="7"/>
              <w:spacing w:before="120" w:line="237" w:lineRule="auto"/>
              <w:ind w:left="663"/>
            </w:pPr>
            <w:r>
              <w:t>3</w:t>
            </w:r>
          </w:p>
        </w:tc>
        <w:tc>
          <w:tcPr>
            <w:tcW w:w="7150" w:type="dxa"/>
            <w:tcBorders>
              <w:right w:val="single" w:color="000000" w:sz="4" w:space="0"/>
            </w:tcBorders>
            <w:vAlign w:val="top"/>
          </w:tcPr>
          <w:p w14:paraId="5F306C66">
            <w:pPr>
              <w:pStyle w:val="7"/>
              <w:spacing w:before="121" w:line="215" w:lineRule="auto"/>
              <w:ind w:left="1397"/>
            </w:pPr>
            <w:r>
              <w:rPr>
                <w:spacing w:val="-21"/>
              </w:rPr>
              <w:t>在安全生产过程中坚持“以人为本”的原则。</w:t>
            </w:r>
          </w:p>
        </w:tc>
      </w:tr>
      <w:tr w14:paraId="5FBC89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7" w:hRule="atLeast"/>
        </w:trPr>
        <w:tc>
          <w:tcPr>
            <w:tcW w:w="1404" w:type="dxa"/>
            <w:gridSpan w:val="2"/>
            <w:tcBorders>
              <w:left w:val="single" w:color="000000" w:sz="4" w:space="0"/>
            </w:tcBorders>
            <w:vAlign w:val="top"/>
          </w:tcPr>
          <w:p w14:paraId="65CB3247">
            <w:pPr>
              <w:pStyle w:val="7"/>
              <w:spacing w:before="119" w:line="238" w:lineRule="auto"/>
              <w:ind w:left="657"/>
            </w:pPr>
            <w:r>
              <w:t>4</w:t>
            </w:r>
          </w:p>
        </w:tc>
        <w:tc>
          <w:tcPr>
            <w:tcW w:w="7150" w:type="dxa"/>
            <w:tcBorders>
              <w:right w:val="single" w:color="000000" w:sz="4" w:space="0"/>
            </w:tcBorders>
            <w:vAlign w:val="top"/>
          </w:tcPr>
          <w:p w14:paraId="71B6E985">
            <w:pPr>
              <w:pStyle w:val="7"/>
              <w:spacing w:before="118" w:line="217" w:lineRule="auto"/>
              <w:ind w:left="1399"/>
            </w:pPr>
            <w:r>
              <w:rPr>
                <w:spacing w:val="-21"/>
              </w:rPr>
              <w:t>必须确保安全文明施工，国家现行相关规定。</w:t>
            </w:r>
          </w:p>
        </w:tc>
      </w:tr>
      <w:tr w14:paraId="4D6473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97" w:hRule="atLeast"/>
        </w:trPr>
        <w:tc>
          <w:tcPr>
            <w:tcW w:w="1404" w:type="dxa"/>
            <w:gridSpan w:val="2"/>
            <w:tcBorders>
              <w:left w:val="single" w:color="000000" w:sz="4" w:space="0"/>
            </w:tcBorders>
            <w:vAlign w:val="top"/>
          </w:tcPr>
          <w:p w14:paraId="2E219C83">
            <w:pPr>
              <w:spacing w:line="286" w:lineRule="auto"/>
              <w:rPr>
                <w:rFonts w:ascii="Arial"/>
                <w:sz w:val="21"/>
              </w:rPr>
            </w:pPr>
          </w:p>
          <w:p w14:paraId="4583C19D">
            <w:pPr>
              <w:spacing w:line="286" w:lineRule="auto"/>
              <w:rPr>
                <w:rFonts w:ascii="Arial"/>
                <w:sz w:val="21"/>
              </w:rPr>
            </w:pPr>
          </w:p>
          <w:p w14:paraId="5700B770">
            <w:pPr>
              <w:spacing w:line="286" w:lineRule="auto"/>
              <w:rPr>
                <w:rFonts w:ascii="Arial"/>
                <w:sz w:val="21"/>
              </w:rPr>
            </w:pPr>
          </w:p>
          <w:p w14:paraId="72C5785A">
            <w:pPr>
              <w:spacing w:line="287" w:lineRule="auto"/>
              <w:rPr>
                <w:rFonts w:ascii="Arial"/>
                <w:sz w:val="21"/>
              </w:rPr>
            </w:pPr>
          </w:p>
          <w:p w14:paraId="30247669">
            <w:pPr>
              <w:spacing w:line="287" w:lineRule="auto"/>
              <w:rPr>
                <w:rFonts w:ascii="Arial"/>
                <w:sz w:val="21"/>
              </w:rPr>
            </w:pPr>
          </w:p>
          <w:p w14:paraId="36A9C08E">
            <w:pPr>
              <w:pStyle w:val="7"/>
              <w:spacing w:before="78" w:line="237" w:lineRule="auto"/>
              <w:ind w:left="663"/>
            </w:pPr>
            <w:r>
              <w:t>5</w:t>
            </w:r>
          </w:p>
        </w:tc>
        <w:tc>
          <w:tcPr>
            <w:tcW w:w="7150" w:type="dxa"/>
            <w:tcBorders>
              <w:right w:val="single" w:color="000000" w:sz="4" w:space="0"/>
            </w:tcBorders>
            <w:vAlign w:val="top"/>
          </w:tcPr>
          <w:p w14:paraId="0BA4D04A">
            <w:pPr>
              <w:pStyle w:val="7"/>
              <w:spacing w:before="117" w:line="217" w:lineRule="auto"/>
              <w:ind w:left="95"/>
            </w:pPr>
            <w:r>
              <w:rPr>
                <w:spacing w:val="-21"/>
              </w:rPr>
              <w:t>符合及发包人关于安全文明施工的文件规定</w:t>
            </w:r>
            <w:r>
              <w:rPr>
                <w:spacing w:val="-22"/>
              </w:rPr>
              <w:t>，自开工至竣工移交，</w:t>
            </w:r>
          </w:p>
          <w:p w14:paraId="0B671153">
            <w:pPr>
              <w:pStyle w:val="7"/>
              <w:spacing w:before="185" w:line="217" w:lineRule="auto"/>
              <w:ind w:left="89"/>
            </w:pPr>
            <w:r>
              <w:rPr>
                <w:spacing w:val="-21"/>
              </w:rPr>
              <w:t>做好文明施工，现场清洁整齐有序，移交前清理完成与现场无关</w:t>
            </w:r>
            <w:r>
              <w:rPr>
                <w:spacing w:val="-22"/>
              </w:rPr>
              <w:t>的任何物</w:t>
            </w:r>
          </w:p>
          <w:p w14:paraId="40183E5C">
            <w:pPr>
              <w:pStyle w:val="7"/>
              <w:spacing w:before="184" w:line="218" w:lineRule="auto"/>
              <w:ind w:left="769"/>
            </w:pPr>
            <w:r>
              <w:rPr>
                <w:spacing w:val="-22"/>
              </w:rPr>
              <w:t>品及垃圾等，承担因违反有关规定造成的处罚与损失赔偿。</w:t>
            </w:r>
          </w:p>
          <w:p w14:paraId="1D94BAB9">
            <w:pPr>
              <w:pStyle w:val="7"/>
              <w:spacing w:before="184" w:line="217" w:lineRule="auto"/>
              <w:ind w:left="89"/>
            </w:pPr>
            <w:r>
              <w:rPr>
                <w:spacing w:val="-19"/>
              </w:rPr>
              <w:t>承包人必须确保安全文明施工，必须严格执行国务院393号令《建设工程</w:t>
            </w:r>
          </w:p>
          <w:p w14:paraId="210F444F">
            <w:pPr>
              <w:pStyle w:val="7"/>
              <w:spacing w:before="183" w:line="217" w:lineRule="auto"/>
              <w:ind w:left="92"/>
            </w:pPr>
            <w:r>
              <w:rPr>
                <w:spacing w:val="-21"/>
              </w:rPr>
              <w:t>安全生产管理条例》。必须严格执行《创建文明城</w:t>
            </w:r>
            <w:r>
              <w:rPr>
                <w:spacing w:val="-22"/>
              </w:rPr>
              <w:t>市责任考评办法</w:t>
            </w:r>
          </w:p>
          <w:p w14:paraId="01FAEE02">
            <w:pPr>
              <w:pStyle w:val="7"/>
              <w:spacing w:before="187" w:line="218" w:lineRule="auto"/>
              <w:ind w:left="2159"/>
            </w:pPr>
            <w:r>
              <w:rPr>
                <w:spacing w:val="-24"/>
              </w:rPr>
              <w:t>（试行）》、《建设系统创文明城市工作实施细则》，</w:t>
            </w:r>
            <w:r>
              <w:rPr>
                <w:spacing w:val="-25"/>
              </w:rPr>
              <w:t>确保符合</w:t>
            </w:r>
            <w:r>
              <w:rPr>
                <w:spacing w:val="-20"/>
              </w:rPr>
              <w:t>创建文明卫生城市要求。</w:t>
            </w:r>
          </w:p>
        </w:tc>
      </w:tr>
      <w:tr w14:paraId="77A680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56" w:hRule="atLeast"/>
        </w:trPr>
        <w:tc>
          <w:tcPr>
            <w:tcW w:w="1404" w:type="dxa"/>
            <w:gridSpan w:val="2"/>
            <w:tcBorders>
              <w:left w:val="single" w:color="000000" w:sz="4" w:space="0"/>
            </w:tcBorders>
            <w:vAlign w:val="top"/>
          </w:tcPr>
          <w:p w14:paraId="694AA0F2">
            <w:pPr>
              <w:spacing w:line="263" w:lineRule="auto"/>
              <w:rPr>
                <w:rFonts w:ascii="Arial"/>
                <w:sz w:val="21"/>
              </w:rPr>
            </w:pPr>
          </w:p>
          <w:p w14:paraId="30DB5E9A">
            <w:pPr>
              <w:pStyle w:val="7"/>
              <w:spacing w:before="78" w:line="237" w:lineRule="auto"/>
              <w:ind w:left="660"/>
            </w:pPr>
            <w:r>
              <w:t>6</w:t>
            </w:r>
          </w:p>
        </w:tc>
        <w:tc>
          <w:tcPr>
            <w:tcW w:w="7150" w:type="dxa"/>
            <w:tcBorders>
              <w:right w:val="single" w:color="000000" w:sz="4" w:space="0"/>
            </w:tcBorders>
            <w:vAlign w:val="top"/>
          </w:tcPr>
          <w:p w14:paraId="61E1FA45">
            <w:pPr>
              <w:pStyle w:val="7"/>
              <w:spacing w:before="109" w:line="217" w:lineRule="auto"/>
              <w:ind w:left="89"/>
            </w:pPr>
            <w:r>
              <w:rPr>
                <w:spacing w:val="-21"/>
              </w:rPr>
              <w:t>现场临时设施符合相关标准的要求及国家级施工安全生产标准化</w:t>
            </w:r>
            <w:r>
              <w:rPr>
                <w:spacing w:val="-22"/>
              </w:rPr>
              <w:t>建设工地</w:t>
            </w:r>
          </w:p>
          <w:p w14:paraId="0E335A33">
            <w:pPr>
              <w:pStyle w:val="7"/>
              <w:spacing w:before="183" w:line="219" w:lineRule="auto"/>
              <w:ind w:left="2922"/>
            </w:pPr>
            <w:r>
              <w:rPr>
                <w:spacing w:val="-18"/>
              </w:rPr>
              <w:t>和文明创建。</w:t>
            </w:r>
          </w:p>
        </w:tc>
      </w:tr>
      <w:tr w14:paraId="2A13A7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63" w:hRule="atLeast"/>
        </w:trPr>
        <w:tc>
          <w:tcPr>
            <w:tcW w:w="358" w:type="dxa"/>
            <w:tcBorders>
              <w:left w:val="single" w:color="1C456A" w:sz="4" w:space="0"/>
              <w:bottom w:val="single" w:color="1C456A" w:sz="4" w:space="0"/>
              <w:right w:val="nil"/>
            </w:tcBorders>
            <w:vAlign w:val="top"/>
          </w:tcPr>
          <w:p w14:paraId="01A5FB02">
            <w:pPr>
              <w:rPr>
                <w:rFonts w:ascii="Arial"/>
                <w:sz w:val="21"/>
              </w:rPr>
            </w:pPr>
            <w:r>
              <w:pict>
                <v:shape id="_x0000_s1930" o:spid="_x0000_s1930" style="position:absolute;left:0pt;margin-left:-0.25pt;margin-top:78.2pt;height:0.75pt;width:2.2pt;mso-position-horizontal-relative:page;mso-position-vertical-relative:page;z-index:251884544;mso-width-relative:page;mso-height-relative:page;" fillcolor="#5B9BD5" filled="t" stroked="f" coordsize="44,15" path="m0,14l43,14,43,0,0,0,0,14xe">
                  <v:path/>
                  <v:fill on="t" focussize="0,0"/>
                  <v:stroke on="f"/>
                  <v:imagedata o:title=""/>
                  <o:lock v:ext="edit"/>
                </v:shape>
              </w:pict>
            </w:r>
          </w:p>
        </w:tc>
        <w:tc>
          <w:tcPr>
            <w:tcW w:w="1046" w:type="dxa"/>
            <w:tcBorders>
              <w:left w:val="nil"/>
              <w:bottom w:val="single" w:color="1C456A" w:sz="4" w:space="0"/>
            </w:tcBorders>
            <w:vAlign w:val="top"/>
          </w:tcPr>
          <w:p w14:paraId="50FC0ABB">
            <w:pPr>
              <w:spacing w:line="245" w:lineRule="auto"/>
              <w:rPr>
                <w:rFonts w:ascii="Arial"/>
                <w:sz w:val="21"/>
              </w:rPr>
            </w:pPr>
          </w:p>
          <w:p w14:paraId="258AA94B">
            <w:pPr>
              <w:spacing w:line="246" w:lineRule="auto"/>
              <w:rPr>
                <w:rFonts w:ascii="Arial"/>
                <w:sz w:val="21"/>
              </w:rPr>
            </w:pPr>
          </w:p>
          <w:p w14:paraId="60774AC5">
            <w:pPr>
              <w:pStyle w:val="7"/>
              <w:spacing w:before="78" w:line="237" w:lineRule="auto"/>
              <w:ind w:left="311"/>
            </w:pPr>
            <w:r>
              <w:t>7</w:t>
            </w:r>
          </w:p>
        </w:tc>
        <w:tc>
          <w:tcPr>
            <w:tcW w:w="7150" w:type="dxa"/>
            <w:tcBorders>
              <w:bottom w:val="single" w:color="5B9BD5" w:sz="4" w:space="0"/>
              <w:right w:val="single" w:color="5B9BD5" w:sz="4" w:space="0"/>
            </w:tcBorders>
            <w:vAlign w:val="top"/>
          </w:tcPr>
          <w:p w14:paraId="49F2A544">
            <w:pPr>
              <w:pStyle w:val="7"/>
              <w:spacing w:before="105" w:line="218" w:lineRule="auto"/>
              <w:ind w:left="526"/>
            </w:pPr>
            <w:r>
              <w:pict>
                <v:shape id="_x0000_s1931" o:spid="_x0000_s1931" style="position:absolute;left:0pt;margin-left:355.65pt;margin-top:78.2pt;height:0.75pt;width:2.2pt;mso-position-horizontal-relative:page;mso-position-vertical-relative:page;z-index:251883520;mso-width-relative:page;mso-height-relative:page;" fillcolor="#5B9BD5" filled="t" stroked="f" coordsize="44,15" path="m0,14l43,14,43,0,0,0,0,14xe">
                  <v:path/>
                  <v:fill on="t" focussize="0,0"/>
                  <v:stroke on="f"/>
                  <v:imagedata o:title=""/>
                  <o:lock v:ext="edit"/>
                </v:shape>
              </w:pict>
            </w:r>
            <w:r>
              <w:rPr>
                <w:spacing w:val="-21"/>
              </w:rPr>
              <w:t>严格贯彻公司“预防为主、系统管理、安全发展”的安</w:t>
            </w:r>
            <w:r>
              <w:rPr>
                <w:spacing w:val="-22"/>
              </w:rPr>
              <w:t>全方针。</w:t>
            </w:r>
          </w:p>
          <w:p w14:paraId="5E52DA63">
            <w:pPr>
              <w:pStyle w:val="7"/>
              <w:spacing w:before="184" w:line="217" w:lineRule="auto"/>
              <w:ind w:left="90"/>
            </w:pPr>
            <w:r>
              <w:rPr>
                <w:spacing w:val="-18"/>
              </w:rPr>
              <w:t>安全文明施工达标率100%，示范率90%；杜绝重大设备、机械伤害事故和</w:t>
            </w:r>
          </w:p>
          <w:p w14:paraId="69210096">
            <w:pPr>
              <w:pStyle w:val="7"/>
              <w:spacing w:before="186" w:line="215" w:lineRule="auto"/>
              <w:ind w:left="65"/>
            </w:pPr>
            <w:r>
              <w:rPr>
                <w:spacing w:val="-19"/>
              </w:rPr>
              <w:t>职业病的发生，重、轻伤负伤率控制在0.05‰之内；职工三级教育面达到</w:t>
            </w:r>
          </w:p>
        </w:tc>
      </w:tr>
    </w:tbl>
    <w:p w14:paraId="019FE275">
      <w:pPr>
        <w:rPr>
          <w:rFonts w:ascii="Arial"/>
          <w:sz w:val="21"/>
        </w:rPr>
      </w:pPr>
    </w:p>
    <w:p w14:paraId="69F7E9C7">
      <w:pPr>
        <w:rPr>
          <w:rFonts w:ascii="Arial" w:hAnsi="Arial" w:eastAsia="Arial" w:cs="Arial"/>
          <w:sz w:val="21"/>
          <w:szCs w:val="21"/>
        </w:rPr>
        <w:sectPr>
          <w:footerReference r:id="rId135" w:type="default"/>
          <w:pgSz w:w="11907" w:h="16839"/>
          <w:pgMar w:top="954" w:right="4" w:bottom="1038" w:left="0" w:header="499" w:footer="357" w:gutter="0"/>
          <w:pgBorders>
            <w:top w:val="none" w:sz="0" w:space="0"/>
            <w:left w:val="none" w:sz="0" w:space="0"/>
            <w:bottom w:val="none" w:sz="0" w:space="0"/>
            <w:right w:val="none" w:sz="0" w:space="0"/>
          </w:pgBorders>
          <w:cols w:space="720" w:num="1"/>
        </w:sectPr>
      </w:pPr>
    </w:p>
    <w:p w14:paraId="6A4AFFE2">
      <w:pPr>
        <w:spacing w:line="214" w:lineRule="exact"/>
      </w:pPr>
    </w:p>
    <w:tbl>
      <w:tblPr>
        <w:tblStyle w:val="6"/>
        <w:tblW w:w="8554" w:type="dxa"/>
        <w:tblInd w:w="1675" w:type="dxa"/>
        <w:tblBorders>
          <w:top w:val="single" w:color="1C456A" w:sz="4" w:space="0"/>
          <w:left w:val="single" w:color="1C456A" w:sz="4" w:space="0"/>
          <w:bottom w:val="single" w:color="1C456A" w:sz="4" w:space="0"/>
          <w:right w:val="single" w:color="1C456A" w:sz="4" w:space="0"/>
          <w:insideH w:val="single" w:color="1C456A" w:sz="4" w:space="0"/>
          <w:insideV w:val="single" w:color="1C456A" w:sz="4" w:space="0"/>
        </w:tblBorders>
        <w:tblLayout w:type="fixed"/>
        <w:tblCellMar>
          <w:top w:w="0" w:type="dxa"/>
          <w:left w:w="0" w:type="dxa"/>
          <w:bottom w:w="0" w:type="dxa"/>
          <w:right w:w="0" w:type="dxa"/>
        </w:tblCellMar>
      </w:tblPr>
      <w:tblGrid>
        <w:gridCol w:w="1404"/>
        <w:gridCol w:w="7150"/>
      </w:tblGrid>
      <w:tr w14:paraId="655E125A">
        <w:tblPrEx>
          <w:tblBorders>
            <w:top w:val="single" w:color="1C456A" w:sz="4" w:space="0"/>
            <w:left w:val="single" w:color="1C456A" w:sz="4" w:space="0"/>
            <w:bottom w:val="single" w:color="1C456A" w:sz="4" w:space="0"/>
            <w:right w:val="single" w:color="1C456A" w:sz="4" w:space="0"/>
            <w:insideH w:val="single" w:color="1C456A" w:sz="4" w:space="0"/>
            <w:insideV w:val="single" w:color="1C456A" w:sz="4" w:space="0"/>
          </w:tblBorders>
          <w:tblCellMar>
            <w:top w:w="0" w:type="dxa"/>
            <w:left w:w="0" w:type="dxa"/>
            <w:bottom w:w="0" w:type="dxa"/>
            <w:right w:w="0" w:type="dxa"/>
          </w:tblCellMar>
        </w:tblPrEx>
        <w:trPr>
          <w:trHeight w:val="2519" w:hRule="atLeast"/>
        </w:trPr>
        <w:tc>
          <w:tcPr>
            <w:tcW w:w="1404" w:type="dxa"/>
            <w:tcBorders>
              <w:right w:val="single" w:color="000000" w:sz="2" w:space="0"/>
            </w:tcBorders>
            <w:vAlign w:val="top"/>
          </w:tcPr>
          <w:p w14:paraId="60B1E922">
            <w:pPr>
              <w:rPr>
                <w:rFonts w:ascii="Arial"/>
                <w:sz w:val="21"/>
              </w:rPr>
            </w:pPr>
          </w:p>
        </w:tc>
        <w:tc>
          <w:tcPr>
            <w:tcW w:w="7150" w:type="dxa"/>
            <w:tcBorders>
              <w:top w:val="single" w:color="5B9BD5" w:sz="4" w:space="0"/>
              <w:left w:val="single" w:color="000000" w:sz="2" w:space="0"/>
              <w:bottom w:val="single" w:color="5B9BD5" w:sz="4" w:space="0"/>
              <w:right w:val="single" w:color="5B9BD5" w:sz="4" w:space="0"/>
            </w:tcBorders>
            <w:vAlign w:val="top"/>
          </w:tcPr>
          <w:p w14:paraId="3A3CEF9C">
            <w:pPr>
              <w:pStyle w:val="7"/>
              <w:spacing w:before="128" w:line="217" w:lineRule="auto"/>
              <w:ind w:left="2279"/>
            </w:pPr>
            <w:r>
              <w:rPr>
                <w:spacing w:val="-18"/>
              </w:rPr>
              <w:t>100%，确保安全文明工地。</w:t>
            </w:r>
          </w:p>
          <w:p w14:paraId="0EC706A8">
            <w:pPr>
              <w:pStyle w:val="7"/>
              <w:spacing w:before="183" w:line="217" w:lineRule="auto"/>
              <w:ind w:left="67"/>
            </w:pPr>
            <w:r>
              <w:rPr>
                <w:spacing w:val="-20"/>
              </w:rPr>
              <w:t>进城务工人员的居住条件符合要求:宿舍内</w:t>
            </w:r>
            <w:r>
              <w:rPr>
                <w:spacing w:val="-21"/>
              </w:rPr>
              <w:t>净高不得低于2.4米，走道宽度</w:t>
            </w:r>
          </w:p>
          <w:p w14:paraId="60868D22">
            <w:pPr>
              <w:pStyle w:val="7"/>
              <w:spacing w:before="186" w:line="217" w:lineRule="auto"/>
              <w:ind w:left="71"/>
            </w:pPr>
            <w:r>
              <w:rPr>
                <w:spacing w:val="-19"/>
              </w:rPr>
              <w:t>不得小于0.9米；每间居住人员不得超过16人且居住面积不得小于3平米</w:t>
            </w:r>
          </w:p>
          <w:p w14:paraId="410AFA5C">
            <w:pPr>
              <w:pStyle w:val="7"/>
              <w:spacing w:before="183" w:line="218" w:lineRule="auto"/>
              <w:ind w:left="98"/>
            </w:pPr>
            <w:r>
              <w:rPr>
                <w:spacing w:val="-21"/>
              </w:rPr>
              <w:t>每人；宿舍内的床铺不得超过两层，严禁使用</w:t>
            </w:r>
            <w:r>
              <w:rPr>
                <w:spacing w:val="-22"/>
              </w:rPr>
              <w:t>通铺；施工现场宿舍必须设</w:t>
            </w:r>
          </w:p>
          <w:p w14:paraId="6BADBB78">
            <w:pPr>
              <w:pStyle w:val="7"/>
              <w:spacing w:before="185" w:line="216" w:lineRule="auto"/>
              <w:ind w:left="1289"/>
            </w:pPr>
            <w:r>
              <w:rPr>
                <w:spacing w:val="-21"/>
              </w:rPr>
              <w:t>置可开启式窗户；宿舍内应设置生活用品专柜。</w:t>
            </w:r>
          </w:p>
        </w:tc>
      </w:tr>
    </w:tbl>
    <w:p w14:paraId="55BEF24F">
      <w:pPr>
        <w:pStyle w:val="2"/>
        <w:spacing w:before="115" w:line="217" w:lineRule="auto"/>
        <w:ind w:left="1903"/>
        <w:rPr>
          <w:sz w:val="24"/>
          <w:szCs w:val="24"/>
        </w:rPr>
      </w:pPr>
      <w:r>
        <w:rPr>
          <w:spacing w:val="-22"/>
          <w:sz w:val="24"/>
          <w:szCs w:val="24"/>
        </w:rPr>
        <w:t>1、加强安全生产“三项建设”，建立安全生产的制度</w:t>
      </w:r>
      <w:r>
        <w:rPr>
          <w:spacing w:val="-23"/>
          <w:sz w:val="24"/>
          <w:szCs w:val="24"/>
        </w:rPr>
        <w:t>环境。“三项建设”指：</w:t>
      </w:r>
    </w:p>
    <w:p w14:paraId="0DD1ADF7">
      <w:pPr>
        <w:pStyle w:val="2"/>
        <w:spacing w:before="116" w:line="217" w:lineRule="auto"/>
        <w:ind w:left="1893"/>
        <w:rPr>
          <w:sz w:val="24"/>
          <w:szCs w:val="24"/>
        </w:rPr>
      </w:pPr>
      <w:r>
        <w:rPr>
          <w:spacing w:val="-20"/>
          <w:sz w:val="24"/>
          <w:szCs w:val="24"/>
        </w:rPr>
        <w:t>（1）加强法制体制机制建设；</w:t>
      </w:r>
    </w:p>
    <w:p w14:paraId="77122137">
      <w:pPr>
        <w:pStyle w:val="2"/>
        <w:spacing w:before="117" w:line="217" w:lineRule="auto"/>
        <w:ind w:left="1893"/>
        <w:rPr>
          <w:sz w:val="24"/>
          <w:szCs w:val="24"/>
        </w:rPr>
      </w:pPr>
      <w:r>
        <w:rPr>
          <w:spacing w:val="-20"/>
          <w:sz w:val="24"/>
          <w:szCs w:val="24"/>
        </w:rPr>
        <w:t>（2）加强安全生产保障能力建设；</w:t>
      </w:r>
    </w:p>
    <w:p w14:paraId="04365A8A">
      <w:pPr>
        <w:pStyle w:val="2"/>
        <w:spacing w:before="120" w:line="218" w:lineRule="auto"/>
        <w:ind w:left="1893"/>
        <w:rPr>
          <w:sz w:val="24"/>
          <w:szCs w:val="24"/>
        </w:rPr>
      </w:pPr>
      <w:r>
        <w:rPr>
          <w:spacing w:val="-20"/>
          <w:sz w:val="24"/>
          <w:szCs w:val="24"/>
        </w:rPr>
        <w:t>（3）加强安全生产监管队伍建设。</w:t>
      </w:r>
    </w:p>
    <w:p w14:paraId="214A3D23">
      <w:pPr>
        <w:pStyle w:val="2"/>
        <w:spacing w:before="116" w:line="217" w:lineRule="auto"/>
        <w:ind w:left="1888"/>
        <w:rPr>
          <w:sz w:val="24"/>
          <w:szCs w:val="24"/>
        </w:rPr>
      </w:pPr>
      <w:r>
        <w:rPr>
          <w:spacing w:val="-21"/>
          <w:sz w:val="24"/>
          <w:szCs w:val="24"/>
        </w:rPr>
        <w:t>2、加强安全生产“三项建设”，建立安全生产的制度环境。“三项建设”指：</w:t>
      </w:r>
    </w:p>
    <w:p w14:paraId="1D52FD57">
      <w:pPr>
        <w:pStyle w:val="2"/>
        <w:spacing w:before="118" w:line="217" w:lineRule="auto"/>
        <w:ind w:left="1893"/>
        <w:rPr>
          <w:sz w:val="24"/>
          <w:szCs w:val="24"/>
        </w:rPr>
      </w:pPr>
      <w:r>
        <w:rPr>
          <w:spacing w:val="-20"/>
          <w:sz w:val="24"/>
          <w:szCs w:val="24"/>
        </w:rPr>
        <w:t>（1）加强法制体制机制建设；</w:t>
      </w:r>
    </w:p>
    <w:p w14:paraId="0CDC3CE8">
      <w:pPr>
        <w:pStyle w:val="2"/>
        <w:spacing w:before="118" w:line="217" w:lineRule="auto"/>
        <w:ind w:left="1893"/>
        <w:rPr>
          <w:sz w:val="24"/>
          <w:szCs w:val="24"/>
        </w:rPr>
      </w:pPr>
      <w:r>
        <w:rPr>
          <w:spacing w:val="-20"/>
          <w:sz w:val="24"/>
          <w:szCs w:val="24"/>
        </w:rPr>
        <w:t>（2）加强安全生产保障能力建设；</w:t>
      </w:r>
    </w:p>
    <w:p w14:paraId="0C84EBBD">
      <w:pPr>
        <w:pStyle w:val="2"/>
        <w:spacing w:before="117" w:line="218" w:lineRule="auto"/>
        <w:ind w:left="1893"/>
        <w:rPr>
          <w:sz w:val="24"/>
          <w:szCs w:val="24"/>
        </w:rPr>
      </w:pPr>
      <w:r>
        <w:rPr>
          <w:spacing w:val="-20"/>
          <w:sz w:val="24"/>
          <w:szCs w:val="24"/>
        </w:rPr>
        <w:t>（3）加强安全生产监管队伍建设。</w:t>
      </w:r>
    </w:p>
    <w:p w14:paraId="202DCA37">
      <w:pPr>
        <w:pStyle w:val="2"/>
        <w:spacing w:before="116" w:line="264" w:lineRule="auto"/>
        <w:ind w:left="1464" w:right="1412" w:firstLine="425"/>
        <w:rPr>
          <w:sz w:val="24"/>
          <w:szCs w:val="24"/>
        </w:rPr>
      </w:pPr>
      <w:r>
        <w:rPr>
          <w:spacing w:val="-22"/>
          <w:sz w:val="24"/>
          <w:szCs w:val="24"/>
        </w:rPr>
        <w:t>3、职工食堂从业人员持健康证、卫生知识培训证明上岗，有“五病”调离的相关制</w:t>
      </w:r>
      <w:r>
        <w:rPr>
          <w:spacing w:val="-23"/>
          <w:sz w:val="24"/>
          <w:szCs w:val="24"/>
        </w:rPr>
        <w:t>度和记</w:t>
      </w:r>
      <w:r>
        <w:rPr>
          <w:spacing w:val="-20"/>
          <w:sz w:val="24"/>
          <w:szCs w:val="24"/>
        </w:rPr>
        <w:t>录。</w:t>
      </w:r>
    </w:p>
    <w:p w14:paraId="1659769A">
      <w:pPr>
        <w:pStyle w:val="2"/>
        <w:spacing w:before="114" w:line="263" w:lineRule="auto"/>
        <w:ind w:left="1458" w:right="1342" w:firstLine="426"/>
        <w:rPr>
          <w:sz w:val="24"/>
          <w:szCs w:val="24"/>
        </w:rPr>
      </w:pPr>
      <w:r>
        <w:rPr>
          <w:spacing w:val="-25"/>
          <w:sz w:val="24"/>
          <w:szCs w:val="24"/>
        </w:rPr>
        <w:t>4、职工食堂用品、餐具消毒制度落实，有</w:t>
      </w:r>
      <w:r>
        <w:rPr>
          <w:spacing w:val="-26"/>
          <w:sz w:val="24"/>
          <w:szCs w:val="24"/>
        </w:rPr>
        <w:t>消毒设备、消毒措施和记录。不出售过期、变质、</w:t>
      </w:r>
      <w:r>
        <w:rPr>
          <w:spacing w:val="-17"/>
          <w:sz w:val="24"/>
          <w:szCs w:val="24"/>
        </w:rPr>
        <w:t>伪劣食品。</w:t>
      </w:r>
    </w:p>
    <w:p w14:paraId="766D940E">
      <w:pPr>
        <w:pStyle w:val="2"/>
        <w:spacing w:before="117" w:line="217" w:lineRule="auto"/>
        <w:ind w:left="1890"/>
        <w:rPr>
          <w:sz w:val="24"/>
          <w:szCs w:val="24"/>
        </w:rPr>
      </w:pPr>
      <w:r>
        <w:rPr>
          <w:spacing w:val="-21"/>
          <w:sz w:val="24"/>
          <w:szCs w:val="24"/>
        </w:rPr>
        <w:t>5、有外来务工人员的公共厕所、淋浴室且符合标准，卫</w:t>
      </w:r>
      <w:r>
        <w:rPr>
          <w:spacing w:val="-22"/>
          <w:sz w:val="24"/>
          <w:szCs w:val="24"/>
        </w:rPr>
        <w:t>生达标。</w:t>
      </w:r>
    </w:p>
    <w:p w14:paraId="5326BED9">
      <w:pPr>
        <w:pStyle w:val="2"/>
        <w:spacing w:before="117" w:line="216" w:lineRule="auto"/>
        <w:ind w:left="1887"/>
        <w:rPr>
          <w:sz w:val="24"/>
          <w:szCs w:val="24"/>
        </w:rPr>
      </w:pPr>
      <w:r>
        <w:rPr>
          <w:spacing w:val="-21"/>
          <w:sz w:val="24"/>
          <w:szCs w:val="24"/>
        </w:rPr>
        <w:t>6、建筑工地内施工现场组织精细，机械设备、材料摆放有序，文明施工气氛浓厚。</w:t>
      </w:r>
    </w:p>
    <w:p w14:paraId="221C8D4C">
      <w:pPr>
        <w:pStyle w:val="2"/>
        <w:spacing w:before="69" w:line="217" w:lineRule="auto"/>
        <w:ind w:left="3472"/>
        <w:outlineLvl w:val="1"/>
        <w:rPr>
          <w:sz w:val="30"/>
          <w:szCs w:val="30"/>
        </w:rPr>
      </w:pPr>
      <w:bookmarkStart w:id="69" w:name="bookmark67"/>
      <w:bookmarkEnd w:id="69"/>
      <w:r>
        <w:rPr>
          <w:b/>
          <w:bCs/>
          <w:color w:val="0070C0"/>
          <w:spacing w:val="-24"/>
          <w:sz w:val="30"/>
          <w:szCs w:val="30"/>
        </w:rPr>
        <w:t>第二节、针对于本项目安全生产管理体系</w:t>
      </w:r>
    </w:p>
    <w:p w14:paraId="0EBAFAA6">
      <w:pPr>
        <w:pStyle w:val="2"/>
        <w:spacing w:before="100" w:line="218" w:lineRule="auto"/>
        <w:ind w:left="1903"/>
        <w:rPr>
          <w:sz w:val="24"/>
          <w:szCs w:val="24"/>
        </w:rPr>
      </w:pPr>
      <w:r>
        <w:rPr>
          <w:spacing w:val="-19"/>
          <w:sz w:val="24"/>
          <w:szCs w:val="24"/>
        </w:rPr>
        <w:t>1、安全管理体系</w:t>
      </w:r>
    </w:p>
    <w:p w14:paraId="515CBBA3">
      <w:pPr>
        <w:pStyle w:val="2"/>
        <w:spacing w:before="115" w:line="308" w:lineRule="auto"/>
        <w:ind w:left="1457" w:right="1410" w:firstLine="438"/>
        <w:rPr>
          <w:sz w:val="24"/>
          <w:szCs w:val="24"/>
        </w:rPr>
      </w:pPr>
      <w:r>
        <w:rPr>
          <w:spacing w:val="-20"/>
          <w:sz w:val="24"/>
          <w:szCs w:val="24"/>
        </w:rPr>
        <w:t>安全生产是指在施工过程中采取各项措施，完善安全管理体系与制度，并严格执行，以使</w:t>
      </w:r>
      <w:r>
        <w:rPr>
          <w:spacing w:val="-21"/>
          <w:sz w:val="24"/>
          <w:szCs w:val="24"/>
        </w:rPr>
        <w:t>本工程在施工过程中不发生安全事故。</w:t>
      </w:r>
    </w:p>
    <w:p w14:paraId="31D0E03A">
      <w:pPr>
        <w:pStyle w:val="2"/>
        <w:spacing w:before="3" w:line="307" w:lineRule="auto"/>
        <w:ind w:left="1459" w:right="1410" w:firstLine="442"/>
        <w:jc w:val="both"/>
        <w:rPr>
          <w:sz w:val="24"/>
          <w:szCs w:val="24"/>
        </w:rPr>
      </w:pPr>
      <w:r>
        <w:rPr>
          <w:spacing w:val="-20"/>
          <w:sz w:val="24"/>
          <w:szCs w:val="24"/>
        </w:rPr>
        <w:t>为确保本工程安全生产目标的实现，成立项目部安全生产委员会，由项目经理任主任，总工程师和副经理任副主任、安全检查工程师和相关部门负责人组成。项目经理部、各作业队设</w:t>
      </w:r>
      <w:r>
        <w:rPr>
          <w:spacing w:val="-21"/>
          <w:sz w:val="24"/>
          <w:szCs w:val="24"/>
        </w:rPr>
        <w:t>专职安全工程师，各班组设兼职安全员，形成三级安全</w:t>
      </w:r>
      <w:r>
        <w:rPr>
          <w:spacing w:val="-22"/>
          <w:sz w:val="24"/>
          <w:szCs w:val="24"/>
        </w:rPr>
        <w:t>管理的模式。</w:t>
      </w:r>
    </w:p>
    <w:p w14:paraId="4CC1C844">
      <w:pPr>
        <w:pStyle w:val="2"/>
        <w:spacing w:line="218" w:lineRule="auto"/>
        <w:ind w:left="1895"/>
        <w:rPr>
          <w:sz w:val="24"/>
          <w:szCs w:val="24"/>
        </w:rPr>
      </w:pPr>
      <w:r>
        <w:rPr>
          <w:spacing w:val="-19"/>
          <w:sz w:val="24"/>
          <w:szCs w:val="24"/>
        </w:rPr>
        <w:t>安全管理组织机构</w:t>
      </w:r>
    </w:p>
    <w:p w14:paraId="5C140409">
      <w:pPr>
        <w:spacing w:line="218" w:lineRule="auto"/>
        <w:rPr>
          <w:sz w:val="24"/>
          <w:szCs w:val="24"/>
        </w:rPr>
        <w:sectPr>
          <w:footerReference r:id="rId136" w:type="default"/>
          <w:pgSz w:w="11907" w:h="16839"/>
          <w:pgMar w:top="954" w:right="4" w:bottom="1038" w:left="0" w:header="499" w:footer="357" w:gutter="0"/>
          <w:pgBorders>
            <w:top w:val="none" w:sz="0" w:space="0"/>
            <w:left w:val="none" w:sz="0" w:space="0"/>
            <w:bottom w:val="none" w:sz="0" w:space="0"/>
            <w:right w:val="none" w:sz="0" w:space="0"/>
          </w:pgBorders>
          <w:cols w:space="720" w:num="1"/>
        </w:sectPr>
      </w:pPr>
    </w:p>
    <w:p w14:paraId="5226A0D0">
      <w:pPr>
        <w:pStyle w:val="2"/>
        <w:spacing w:before="244" w:line="221" w:lineRule="auto"/>
        <w:ind w:left="5550"/>
        <w:rPr>
          <w:sz w:val="21"/>
          <w:szCs w:val="21"/>
        </w:rPr>
      </w:pPr>
      <w:r>
        <w:pict>
          <v:group id="_x0000_s1932" o:spid="_x0000_s1932" o:spt="203" style="position:absolute;left:0pt;margin-left:110.95pt;margin-top:58.65pt;height:232.8pt;width:373pt;mso-position-horizontal-relative:page;mso-position-vertical-relative:page;z-index:251892736;mso-width-relative:page;mso-height-relative:page;" coordsize="7460,4656" o:allowincell="f">
            <o:lock v:ext="edit"/>
            <v:shape id="_x0000_s1933" o:spid="_x0000_s1933" style="position:absolute;left:760;top:344;height:3906;width:6119;" filled="f" stroked="t" coordsize="6119,3906" path="m697,345l5288,345m2992,0l2992,338m3038,1420l3036,2061m5288,351l5288,633m697,1400l5267,1400m5271,1139l5271,1420m11,1760l10,2041m7,2404l7,2798m1511,1785l1510,2067m1551,2431l1551,2770m4580,1749l4579,2030m6111,1754l6110,2035m3017,2468l3016,3100m4549,2425l4549,2764m6080,2440l6080,2778m3008,3905l3008,3511m706,370l706,650m702,1110l702,1393e">
              <v:fill on="f" focussize="0,0"/>
              <v:stroke color="#000000" miterlimit="10"/>
              <v:imagedata o:title=""/>
              <o:lock v:ext="edit"/>
            </v:shape>
            <v:shape id="_x0000_s1934" o:spid="_x0000_s1934" style="position:absolute;left:0;top:0;height:4656;width:7460;" filled="f" stroked="t" coordsize="7460,4656" path="m803,1458l2344,1458,2344,994,803,994,803,1458xm3040,326l4430,326,4430,7,3040,7,3040,326xm7,2744l1352,2744,1352,2367,7,2367,7,2744xm1523,2751l2869,2751,2869,2374,1523,2374,1523,2751xm3045,2768l4391,2768,4391,2392,3045,2392,3045,2768xm4579,2765l5924,2765,5924,2389,4579,2389,4579,2765xm6105,2755l7452,2755,7452,2380,6105,2380,6105,2755xm5140,1452l6893,1452,6893,989,5140,989,5140,1452xm2646,3821l4882,3821,4882,3445,2646,3445,2646,3821xm2594,4647l4929,4647,4929,4272,2594,4272,2594,4647xe">
              <v:fill on="f" focussize="0,0"/>
              <v:stroke color="#000000" joinstyle="miter" endcap="round"/>
              <v:imagedata o:title=""/>
              <o:lock v:ext="edit"/>
            </v:shape>
            <v:shape id="_x0000_s1935" o:spid="_x0000_s1935" style="position:absolute;left:3741;top:691;height:1023;width:20;" filled="f" stroked="t" coordsize="20,1023" path="m11,0l11,280m7,740l7,1022e">
              <v:fill on="f" focussize="0,0"/>
              <v:stroke color="#000000"/>
              <v:imagedata o:title=""/>
              <o:lock v:ext="edit"/>
            </v:shape>
            <v:shape id="_x0000_s1936" o:spid="_x0000_s1936" style="position:absolute;left:3082;top:964;height:480;width:1556;" filled="f" stroked="t" coordsize="1556,480" path="m7,471l1548,471,1548,7,7,7,7,471xe">
              <v:fill on="f" focussize="0,0"/>
              <v:stroke color="#000000" joinstyle="miter" endcap="round"/>
              <v:imagedata o:title=""/>
              <o:lock v:ext="edit"/>
            </v:shape>
          </v:group>
        </w:pict>
      </w:r>
      <w:r>
        <w:rPr>
          <w:spacing w:val="-3"/>
          <w:sz w:val="21"/>
          <w:szCs w:val="21"/>
        </w:rPr>
        <w:t>项目经理</w:t>
      </w:r>
    </w:p>
    <w:p w14:paraId="2688E884">
      <w:pPr>
        <w:spacing w:line="321" w:lineRule="auto"/>
        <w:rPr>
          <w:rFonts w:ascii="Arial"/>
          <w:sz w:val="21"/>
        </w:rPr>
      </w:pPr>
    </w:p>
    <w:p w14:paraId="5F135F5B">
      <w:pPr>
        <w:spacing w:line="321" w:lineRule="auto"/>
        <w:rPr>
          <w:rFonts w:ascii="Arial"/>
          <w:sz w:val="21"/>
        </w:rPr>
      </w:pPr>
    </w:p>
    <w:p w14:paraId="3C981CDD">
      <w:pPr>
        <w:pStyle w:val="2"/>
        <w:spacing w:before="68" w:line="231" w:lineRule="auto"/>
        <w:ind w:left="3178"/>
        <w:rPr>
          <w:sz w:val="21"/>
          <w:szCs w:val="21"/>
        </w:rPr>
      </w:pPr>
      <w:r>
        <w:rPr>
          <w:spacing w:val="-2"/>
          <w:sz w:val="21"/>
          <w:szCs w:val="21"/>
        </w:rPr>
        <w:t>项目总工程师</w:t>
      </w:r>
      <w:r>
        <w:rPr>
          <w:spacing w:val="-2"/>
          <w:position w:val="1"/>
          <w:sz w:val="21"/>
          <w:szCs w:val="21"/>
        </w:rPr>
        <w:t>安全负责人</w:t>
      </w:r>
      <w:r>
        <w:rPr>
          <w:spacing w:val="-2"/>
          <w:sz w:val="21"/>
          <w:szCs w:val="21"/>
        </w:rPr>
        <w:t>项目副经理</w:t>
      </w:r>
    </w:p>
    <w:p w14:paraId="5A1C2C49">
      <w:pPr>
        <w:spacing w:line="275" w:lineRule="auto"/>
        <w:rPr>
          <w:rFonts w:ascii="Arial"/>
          <w:sz w:val="21"/>
        </w:rPr>
      </w:pPr>
    </w:p>
    <w:p w14:paraId="78FCF645">
      <w:pPr>
        <w:spacing w:line="275" w:lineRule="auto"/>
        <w:rPr>
          <w:rFonts w:ascii="Arial"/>
          <w:sz w:val="21"/>
        </w:rPr>
      </w:pPr>
    </w:p>
    <w:p w14:paraId="666CD167">
      <w:pPr>
        <w:spacing w:line="275" w:lineRule="auto"/>
        <w:rPr>
          <w:rFonts w:ascii="Arial"/>
          <w:sz w:val="21"/>
        </w:rPr>
      </w:pPr>
    </w:p>
    <w:p w14:paraId="2F677FA5">
      <w:pPr>
        <w:spacing w:line="25" w:lineRule="exact"/>
        <w:ind w:firstLine="3002"/>
      </w:pPr>
      <w:r>
        <w:pict>
          <v:shape id="_x0000_s1937" o:spid="_x0000_s1937" style="height:1.25pt;width:304.25pt;" filled="f" stroked="t" coordsize="6085,25" path="m0,17l6084,7e">
            <v:fill on="f" focussize="0,0"/>
            <v:stroke color="#000000" miterlimit="10"/>
            <v:imagedata o:title=""/>
            <o:lock v:ext="edit"/>
            <w10:wrap type="none"/>
            <w10:anchorlock/>
          </v:shape>
        </w:pict>
      </w:r>
    </w:p>
    <w:p w14:paraId="5A48E9EB">
      <w:pPr>
        <w:pStyle w:val="2"/>
        <w:spacing w:before="292" w:line="219" w:lineRule="auto"/>
        <w:ind w:left="5426"/>
        <w:rPr>
          <w:sz w:val="21"/>
          <w:szCs w:val="21"/>
        </w:rPr>
      </w:pPr>
      <w:r>
        <w:pict>
          <v:shape id="_x0000_s1938" o:spid="_x0000_s1938" o:spt="202" type="#_x0000_t202" style="position:absolute;left:0pt;margin-left:118.65pt;margin-top:12.4pt;height:14.5pt;width:53.75pt;z-index:251888640;mso-width-relative:page;mso-height-relative:page;" filled="f" stroked="f" coordsize="21600,21600">
            <v:path/>
            <v:fill on="f" focussize="0,0"/>
            <v:stroke on="f"/>
            <v:imagedata o:title=""/>
            <o:lock v:ext="edit" aspectratio="f"/>
            <v:textbox inset="0mm,0mm,0mm,0mm">
              <w:txbxContent>
                <w:p w14:paraId="5ACE07EC">
                  <w:pPr>
                    <w:pStyle w:val="2"/>
                    <w:spacing w:before="20" w:line="219" w:lineRule="auto"/>
                    <w:ind w:left="20"/>
                    <w:rPr>
                      <w:sz w:val="21"/>
                      <w:szCs w:val="21"/>
                    </w:rPr>
                  </w:pPr>
                  <w:r>
                    <w:rPr>
                      <w:spacing w:val="-4"/>
                      <w:sz w:val="21"/>
                      <w:szCs w:val="21"/>
                    </w:rPr>
                    <w:t>工程技术部</w:t>
                  </w:r>
                </w:p>
              </w:txbxContent>
            </v:textbox>
          </v:shape>
        </w:pict>
      </w:r>
      <w:r>
        <w:pict>
          <v:shape id="_x0000_s1939" o:spid="_x0000_s1939" o:spt="202" type="#_x0000_t202" style="position:absolute;left:0pt;margin-left:194.35pt;margin-top:12.75pt;height:14.5pt;width:53.9pt;z-index:251887616;mso-width-relative:page;mso-height-relative:page;" filled="f" stroked="f" coordsize="21600,21600">
            <v:path/>
            <v:fill on="f" focussize="0,0"/>
            <v:stroke on="f"/>
            <v:imagedata o:title=""/>
            <o:lock v:ext="edit" aspectratio="f"/>
            <v:textbox inset="0mm,0mm,0mm,0mm">
              <w:txbxContent>
                <w:p w14:paraId="168B11FD">
                  <w:pPr>
                    <w:pStyle w:val="2"/>
                    <w:spacing w:before="20" w:line="219" w:lineRule="auto"/>
                    <w:ind w:left="20"/>
                    <w:rPr>
                      <w:sz w:val="21"/>
                      <w:szCs w:val="21"/>
                    </w:rPr>
                  </w:pPr>
                  <w:r>
                    <w:rPr>
                      <w:spacing w:val="-3"/>
                      <w:sz w:val="21"/>
                      <w:szCs w:val="21"/>
                    </w:rPr>
                    <w:t>安全质量部</w:t>
                  </w:r>
                </w:p>
              </w:txbxContent>
            </v:textbox>
          </v:shape>
        </w:pict>
      </w:r>
      <w:r>
        <w:pict>
          <v:shape id="_x0000_s1940" o:spid="_x0000_s1940" o:spt="202" type="#_x0000_t202" style="position:absolute;left:0pt;margin-left:423.45pt;margin-top:13pt;height:14.55pt;width:53.9pt;z-index:251886592;mso-width-relative:page;mso-height-relative:page;" filled="f" stroked="f" coordsize="21600,21600">
            <v:path/>
            <v:fill on="f" focussize="0,0"/>
            <v:stroke on="f"/>
            <v:imagedata o:title=""/>
            <o:lock v:ext="edit" aspectratio="f"/>
            <v:textbox inset="0mm,0mm,0mm,0mm">
              <w:txbxContent>
                <w:p w14:paraId="4EBD27FB">
                  <w:pPr>
                    <w:pStyle w:val="2"/>
                    <w:spacing w:before="19" w:line="221" w:lineRule="auto"/>
                    <w:ind w:left="20"/>
                    <w:rPr>
                      <w:sz w:val="21"/>
                      <w:szCs w:val="21"/>
                    </w:rPr>
                  </w:pPr>
                  <w:r>
                    <w:rPr>
                      <w:spacing w:val="-3"/>
                      <w:sz w:val="21"/>
                      <w:szCs w:val="21"/>
                    </w:rPr>
                    <w:t>综合办公室</w:t>
                  </w:r>
                </w:p>
              </w:txbxContent>
            </v:textbox>
          </v:shape>
        </w:pict>
      </w:r>
      <w:r>
        <w:pict>
          <v:shape id="_x0000_s1941" o:spid="_x0000_s1941" o:spt="202" type="#_x0000_t202" style="position:absolute;left:0pt;margin-left:347.05pt;margin-top:13.45pt;height:14.4pt;width:53.95pt;z-index:251885568;mso-width-relative:page;mso-height-relative:page;" filled="f" stroked="f" coordsize="21600,21600">
            <v:path/>
            <v:fill on="f" focussize="0,0"/>
            <v:stroke on="f"/>
            <v:imagedata o:title=""/>
            <o:lock v:ext="edit" aspectratio="f"/>
            <v:textbox inset="0mm,0mm,0mm,0mm">
              <w:txbxContent>
                <w:p w14:paraId="09832701">
                  <w:pPr>
                    <w:pStyle w:val="2"/>
                    <w:spacing w:before="19" w:line="218" w:lineRule="auto"/>
                    <w:ind w:left="20"/>
                    <w:rPr>
                      <w:sz w:val="21"/>
                      <w:szCs w:val="21"/>
                    </w:rPr>
                  </w:pPr>
                  <w:r>
                    <w:rPr>
                      <w:spacing w:val="-3"/>
                      <w:sz w:val="21"/>
                      <w:szCs w:val="21"/>
                    </w:rPr>
                    <w:t>物资设备部</w:t>
                  </w:r>
                </w:p>
              </w:txbxContent>
            </v:textbox>
          </v:shape>
        </w:pict>
      </w:r>
      <w:r>
        <w:rPr>
          <w:spacing w:val="-3"/>
          <w:sz w:val="21"/>
          <w:szCs w:val="21"/>
        </w:rPr>
        <w:t>计划合同部</w:t>
      </w:r>
    </w:p>
    <w:p w14:paraId="6556CCB7">
      <w:pPr>
        <w:spacing w:line="243" w:lineRule="auto"/>
        <w:rPr>
          <w:rFonts w:ascii="Arial"/>
          <w:sz w:val="21"/>
        </w:rPr>
      </w:pPr>
    </w:p>
    <w:p w14:paraId="30572853">
      <w:pPr>
        <w:spacing w:line="244" w:lineRule="auto"/>
        <w:rPr>
          <w:rFonts w:ascii="Arial"/>
          <w:sz w:val="21"/>
        </w:rPr>
      </w:pPr>
      <w:r>
        <w:pict>
          <v:shape id="_x0000_s1942" o:spid="_x0000_s1942" style="position:absolute;left:0pt;margin-left:150.05pt;margin-top:11.55pt;height:1.1pt;width:302.8pt;z-index:251889664;mso-width-relative:page;mso-height-relative:page;" filled="f" stroked="t" coordsize="6055,22" path="m0,13l6055,7e">
            <v:fill on="f" focussize="0,0"/>
            <v:stroke color="#000000" miterlimit="10"/>
            <v:imagedata o:title=""/>
            <o:lock v:ext="edit"/>
          </v:shape>
        </w:pict>
      </w:r>
    </w:p>
    <w:p w14:paraId="3939C60F">
      <w:pPr>
        <w:spacing w:line="244" w:lineRule="auto"/>
        <w:rPr>
          <w:rFonts w:ascii="Arial"/>
          <w:sz w:val="21"/>
        </w:rPr>
      </w:pPr>
    </w:p>
    <w:p w14:paraId="3C9E10B6">
      <w:pPr>
        <w:pStyle w:val="2"/>
        <w:spacing w:before="68" w:line="217" w:lineRule="auto"/>
        <w:ind w:left="5053"/>
        <w:rPr>
          <w:sz w:val="21"/>
          <w:szCs w:val="21"/>
        </w:rPr>
      </w:pPr>
      <w:r>
        <w:rPr>
          <w:spacing w:val="-2"/>
          <w:sz w:val="21"/>
          <w:szCs w:val="21"/>
        </w:rPr>
        <w:t>各作业队安全工程师</w:t>
      </w:r>
    </w:p>
    <w:p w14:paraId="61BAF346">
      <w:pPr>
        <w:spacing w:line="253" w:lineRule="auto"/>
        <w:rPr>
          <w:rFonts w:ascii="Arial"/>
          <w:sz w:val="21"/>
        </w:rPr>
      </w:pPr>
    </w:p>
    <w:p w14:paraId="49710B59">
      <w:pPr>
        <w:spacing w:line="254" w:lineRule="auto"/>
        <w:rPr>
          <w:rFonts w:ascii="Arial"/>
          <w:sz w:val="21"/>
        </w:rPr>
      </w:pPr>
    </w:p>
    <w:p w14:paraId="54942AE9">
      <w:pPr>
        <w:pStyle w:val="2"/>
        <w:spacing w:before="69" w:line="220" w:lineRule="auto"/>
        <w:ind w:left="5367"/>
        <w:rPr>
          <w:sz w:val="21"/>
          <w:szCs w:val="21"/>
        </w:rPr>
      </w:pPr>
      <w:r>
        <w:rPr>
          <w:spacing w:val="-2"/>
          <w:sz w:val="21"/>
          <w:szCs w:val="21"/>
        </w:rPr>
        <w:t>各班组安全员</w:t>
      </w:r>
    </w:p>
    <w:p w14:paraId="7397F75C">
      <w:pPr>
        <w:spacing w:line="314" w:lineRule="auto"/>
        <w:rPr>
          <w:rFonts w:ascii="Arial"/>
          <w:sz w:val="21"/>
        </w:rPr>
      </w:pPr>
    </w:p>
    <w:p w14:paraId="1EEE3043">
      <w:pPr>
        <w:pStyle w:val="2"/>
        <w:spacing w:before="78" w:line="294" w:lineRule="auto"/>
        <w:ind w:left="1457" w:right="1410" w:firstLine="435"/>
        <w:jc w:val="both"/>
        <w:rPr>
          <w:sz w:val="24"/>
          <w:szCs w:val="24"/>
        </w:rPr>
      </w:pPr>
      <w:r>
        <w:rPr>
          <w:spacing w:val="-20"/>
          <w:sz w:val="24"/>
          <w:szCs w:val="24"/>
        </w:rPr>
        <w:t>按照职业健康安全管理体系标准的要求，建立项目安全生产保证体系，制定安全包保责任制，逐级签订安全承包合同。达到全员参加，全面管理的目的，充分体现“负责施工必须负责</w:t>
      </w:r>
      <w:r>
        <w:rPr>
          <w:spacing w:val="-21"/>
          <w:sz w:val="24"/>
          <w:szCs w:val="24"/>
        </w:rPr>
        <w:t>安全”和“安全生产、人人有责”。</w:t>
      </w:r>
    </w:p>
    <w:p w14:paraId="1F7018B1">
      <w:pPr>
        <w:pStyle w:val="2"/>
        <w:spacing w:before="2" w:line="215" w:lineRule="auto"/>
        <w:ind w:left="3333"/>
        <w:outlineLvl w:val="1"/>
        <w:rPr>
          <w:sz w:val="30"/>
          <w:szCs w:val="30"/>
        </w:rPr>
      </w:pPr>
      <w:bookmarkStart w:id="70" w:name="bookmark68"/>
      <w:bookmarkEnd w:id="70"/>
      <w:r>
        <w:rPr>
          <w:b/>
          <w:bCs/>
          <w:color w:val="0070C0"/>
          <w:spacing w:val="-24"/>
          <w:sz w:val="30"/>
          <w:szCs w:val="30"/>
        </w:rPr>
        <w:t>第三节、针对于本项目安全管理工作的措施</w:t>
      </w:r>
    </w:p>
    <w:p w14:paraId="757842E9">
      <w:pPr>
        <w:pStyle w:val="2"/>
        <w:spacing w:before="99" w:line="216" w:lineRule="auto"/>
        <w:ind w:left="1901"/>
        <w:rPr>
          <w:sz w:val="24"/>
          <w:szCs w:val="24"/>
        </w:rPr>
      </w:pPr>
      <w:r>
        <w:rPr>
          <w:spacing w:val="-21"/>
          <w:sz w:val="24"/>
          <w:szCs w:val="24"/>
        </w:rPr>
        <w:t>为了做好施工期间的安全防事故工作，我单</w:t>
      </w:r>
      <w:r>
        <w:rPr>
          <w:spacing w:val="-22"/>
          <w:sz w:val="24"/>
          <w:szCs w:val="24"/>
        </w:rPr>
        <w:t>位特制定以下安全管理措施：</w:t>
      </w:r>
    </w:p>
    <w:p w14:paraId="7162D9ED">
      <w:pPr>
        <w:pStyle w:val="2"/>
        <w:spacing w:before="84" w:line="219" w:lineRule="auto"/>
        <w:ind w:left="1981"/>
        <w:outlineLvl w:val="2"/>
        <w:rPr>
          <w:sz w:val="28"/>
          <w:szCs w:val="28"/>
        </w:rPr>
      </w:pPr>
      <w:bookmarkStart w:id="71" w:name="bookmark69"/>
      <w:bookmarkEnd w:id="71"/>
      <w:r>
        <w:rPr>
          <w:b/>
          <w:bCs/>
          <w:spacing w:val="-25"/>
          <w:sz w:val="28"/>
          <w:szCs w:val="28"/>
        </w:rPr>
        <w:t>一、加强对施工队伍的安全管理。</w:t>
      </w:r>
    </w:p>
    <w:p w14:paraId="22BA3805">
      <w:pPr>
        <w:pStyle w:val="2"/>
        <w:spacing w:before="105" w:line="278" w:lineRule="auto"/>
        <w:ind w:left="1455" w:right="1410" w:firstLine="452"/>
        <w:jc w:val="both"/>
        <w:rPr>
          <w:sz w:val="24"/>
          <w:szCs w:val="24"/>
        </w:rPr>
      </w:pPr>
      <w:r>
        <w:rPr>
          <w:spacing w:val="-20"/>
          <w:sz w:val="24"/>
          <w:szCs w:val="24"/>
        </w:rPr>
        <w:t>明确安全责任，履行应尽的基础安全设施建设，包括建立“安全防护隔离网、设立“警示标志”等。施工企业要加强建筑安全生产管理，防范安全事故，严格遵守《安徽省市政工程安</w:t>
      </w:r>
      <w:r>
        <w:rPr>
          <w:spacing w:val="-25"/>
          <w:sz w:val="24"/>
          <w:szCs w:val="24"/>
        </w:rPr>
        <w:t>全生产管理规定》。</w:t>
      </w:r>
    </w:p>
    <w:tbl>
      <w:tblPr>
        <w:tblStyle w:val="6"/>
        <w:tblW w:w="8552" w:type="dxa"/>
        <w:tblInd w:w="1678" w:type="dxa"/>
        <w:tblBorders>
          <w:top w:val="single" w:color="5B9BD5" w:sz="4" w:space="0"/>
          <w:left w:val="single" w:color="5B9BD5" w:sz="4" w:space="0"/>
          <w:bottom w:val="single" w:color="5B9BD5" w:sz="4" w:space="0"/>
          <w:right w:val="single" w:color="5B9BD5" w:sz="4" w:space="0"/>
          <w:insideH w:val="single" w:color="5B9BD5" w:sz="4" w:space="0"/>
          <w:insideV w:val="single" w:color="5B9BD5" w:sz="4" w:space="0"/>
        </w:tblBorders>
        <w:tblLayout w:type="fixed"/>
        <w:tblCellMar>
          <w:top w:w="0" w:type="dxa"/>
          <w:left w:w="0" w:type="dxa"/>
          <w:bottom w:w="0" w:type="dxa"/>
          <w:right w:w="0" w:type="dxa"/>
        </w:tblCellMar>
      </w:tblPr>
      <w:tblGrid>
        <w:gridCol w:w="111"/>
        <w:gridCol w:w="8441"/>
      </w:tblGrid>
      <w:tr w14:paraId="17D81BF1">
        <w:tblPrEx>
          <w:tblBorders>
            <w:top w:val="single" w:color="5B9BD5" w:sz="4" w:space="0"/>
            <w:left w:val="single" w:color="5B9BD5" w:sz="4" w:space="0"/>
            <w:bottom w:val="single" w:color="5B9BD5" w:sz="4" w:space="0"/>
            <w:right w:val="single" w:color="5B9BD5" w:sz="4" w:space="0"/>
            <w:insideH w:val="single" w:color="5B9BD5" w:sz="4" w:space="0"/>
            <w:insideV w:val="single" w:color="5B9BD5" w:sz="4" w:space="0"/>
          </w:tblBorders>
          <w:tblCellMar>
            <w:top w:w="0" w:type="dxa"/>
            <w:left w:w="0" w:type="dxa"/>
            <w:bottom w:w="0" w:type="dxa"/>
            <w:right w:w="0" w:type="dxa"/>
          </w:tblCellMar>
        </w:tblPrEx>
        <w:trPr>
          <w:trHeight w:val="590" w:hRule="atLeast"/>
        </w:trPr>
        <w:tc>
          <w:tcPr>
            <w:tcW w:w="111" w:type="dxa"/>
            <w:tcBorders>
              <w:bottom w:val="single" w:color="000000" w:sz="2" w:space="0"/>
              <w:right w:val="nil"/>
            </w:tcBorders>
            <w:vAlign w:val="top"/>
          </w:tcPr>
          <w:p w14:paraId="7A3D8DFF">
            <w:pPr>
              <w:rPr>
                <w:rFonts w:ascii="Arial"/>
                <w:sz w:val="21"/>
              </w:rPr>
            </w:pPr>
            <w:r>
              <w:pict>
                <v:shape id="_x0000_s1943" o:spid="_x0000_s1943" style="position:absolute;left:0pt;margin-left:-0.25pt;margin-top:0pt;height:0.75pt;width:2.2pt;mso-position-horizontal-relative:page;mso-position-vertical-relative:page;z-index:251891712;mso-width-relative:page;mso-height-relative:page;" fillcolor="#5B9BD5" filled="t" stroked="f" coordsize="44,15" path="m0,14l43,14,43,0,0,0,0,14xe">
                  <v:path/>
                  <v:fill on="t" focussize="0,0"/>
                  <v:stroke on="f"/>
                  <v:imagedata o:title=""/>
                  <o:lock v:ext="edit"/>
                </v:shape>
              </w:pict>
            </w:r>
          </w:p>
        </w:tc>
        <w:tc>
          <w:tcPr>
            <w:tcW w:w="8441" w:type="dxa"/>
            <w:tcBorders>
              <w:left w:val="nil"/>
              <w:bottom w:val="single" w:color="000000" w:sz="2" w:space="0"/>
            </w:tcBorders>
            <w:shd w:val="clear" w:color="auto" w:fill="DEEAF6"/>
            <w:vAlign w:val="top"/>
          </w:tcPr>
          <w:p w14:paraId="333CD983">
            <w:pPr>
              <w:pStyle w:val="7"/>
              <w:spacing w:before="127" w:line="218" w:lineRule="auto"/>
              <w:ind w:left="3416"/>
            </w:pPr>
            <w:r>
              <w:rPr>
                <w:b/>
                <w:bCs/>
                <w:spacing w:val="-21"/>
              </w:rPr>
              <w:t>安全防护警示牌</w:t>
            </w:r>
          </w:p>
        </w:tc>
      </w:tr>
      <w:tr w14:paraId="62D1B73D">
        <w:tblPrEx>
          <w:tblBorders>
            <w:top w:val="single" w:color="5B9BD5" w:sz="4" w:space="0"/>
            <w:left w:val="single" w:color="5B9BD5" w:sz="4" w:space="0"/>
            <w:bottom w:val="single" w:color="5B9BD5" w:sz="4" w:space="0"/>
            <w:right w:val="single" w:color="5B9BD5" w:sz="4" w:space="0"/>
            <w:insideH w:val="single" w:color="5B9BD5" w:sz="4" w:space="0"/>
            <w:insideV w:val="single" w:color="5B9BD5" w:sz="4" w:space="0"/>
          </w:tblBorders>
          <w:tblCellMar>
            <w:top w:w="0" w:type="dxa"/>
            <w:left w:w="0" w:type="dxa"/>
            <w:bottom w:w="0" w:type="dxa"/>
            <w:right w:w="0" w:type="dxa"/>
          </w:tblCellMar>
        </w:tblPrEx>
        <w:trPr>
          <w:trHeight w:val="4353" w:hRule="atLeast"/>
        </w:trPr>
        <w:tc>
          <w:tcPr>
            <w:tcW w:w="8552" w:type="dxa"/>
            <w:gridSpan w:val="2"/>
            <w:tcBorders>
              <w:top w:val="single" w:color="000000" w:sz="2" w:space="0"/>
              <w:left w:val="single" w:color="1C456A" w:sz="4" w:space="0"/>
              <w:bottom w:val="single" w:color="1C456A" w:sz="4" w:space="0"/>
              <w:right w:val="single" w:color="1C456A" w:sz="4" w:space="0"/>
            </w:tcBorders>
            <w:vAlign w:val="top"/>
          </w:tcPr>
          <w:p w14:paraId="72474ECB">
            <w:pPr>
              <w:spacing w:before="87" w:line="4020" w:lineRule="exact"/>
              <w:ind w:firstLine="169"/>
            </w:pPr>
            <w:r>
              <w:pict>
                <v:shape id="_x0000_s1944" o:spid="_x0000_s1944" style="position:absolute;left:0pt;margin-left:-0.25pt;margin-top:217.7pt;height:0.75pt;width:2.2pt;mso-position-horizontal-relative:page;mso-position-vertical-relative:page;z-index:251890688;mso-width-relative:page;mso-height-relative:page;" fillcolor="#5B9BD5" filled="t" stroked="f" coordsize="44,15" path="m0,14l43,14,43,0,0,0,0,14xe">
                  <v:path/>
                  <v:fill on="t" focussize="0,0"/>
                  <v:stroke on="f"/>
                  <v:imagedata o:title=""/>
                  <o:lock v:ext="edit"/>
                </v:shape>
              </w:pict>
            </w:r>
            <w:r>
              <w:rPr>
                <w:position w:val="-80"/>
              </w:rPr>
              <w:drawing>
                <wp:inline distT="0" distB="0" distL="0" distR="0">
                  <wp:extent cx="5205095" cy="2552700"/>
                  <wp:effectExtent l="0" t="0" r="0" b="0"/>
                  <wp:docPr id="730" name="IM 730"/>
                  <wp:cNvGraphicFramePr/>
                  <a:graphic xmlns:a="http://schemas.openxmlformats.org/drawingml/2006/main">
                    <a:graphicData uri="http://schemas.openxmlformats.org/drawingml/2006/picture">
                      <pic:pic xmlns:pic="http://schemas.openxmlformats.org/drawingml/2006/picture">
                        <pic:nvPicPr>
                          <pic:cNvPr id="730" name="IM 730"/>
                          <pic:cNvPicPr/>
                        </pic:nvPicPr>
                        <pic:blipFill>
                          <a:blip r:embed="rId599"/>
                          <a:stretch>
                            <a:fillRect/>
                          </a:stretch>
                        </pic:blipFill>
                        <pic:spPr>
                          <a:xfrm>
                            <a:off x="0" y="0"/>
                            <a:ext cx="5205729" cy="2552700"/>
                          </a:xfrm>
                          <a:prstGeom prst="rect">
                            <a:avLst/>
                          </a:prstGeom>
                        </pic:spPr>
                      </pic:pic>
                    </a:graphicData>
                  </a:graphic>
                </wp:inline>
              </w:drawing>
            </w:r>
          </w:p>
        </w:tc>
      </w:tr>
    </w:tbl>
    <w:p w14:paraId="6E42EB1A">
      <w:pPr>
        <w:pStyle w:val="2"/>
        <w:spacing w:before="80" w:line="218" w:lineRule="auto"/>
        <w:ind w:left="1986"/>
        <w:outlineLvl w:val="2"/>
        <w:rPr>
          <w:sz w:val="28"/>
          <w:szCs w:val="28"/>
        </w:rPr>
      </w:pPr>
      <w:bookmarkStart w:id="72" w:name="bookmark70"/>
      <w:bookmarkEnd w:id="72"/>
      <w:r>
        <w:rPr>
          <w:b/>
          <w:bCs/>
          <w:spacing w:val="-23"/>
          <w:sz w:val="28"/>
          <w:szCs w:val="28"/>
        </w:rPr>
        <w:t>二、施工场地必须封闭管理。</w:t>
      </w:r>
    </w:p>
    <w:p w14:paraId="7DA10BE8">
      <w:pPr>
        <w:pStyle w:val="2"/>
        <w:spacing w:before="106" w:line="215" w:lineRule="auto"/>
        <w:ind w:left="1894"/>
        <w:rPr>
          <w:sz w:val="24"/>
          <w:szCs w:val="24"/>
        </w:rPr>
      </w:pPr>
      <w:r>
        <w:rPr>
          <w:spacing w:val="-19"/>
          <w:sz w:val="24"/>
          <w:szCs w:val="24"/>
        </w:rPr>
        <w:t>将施工场地区域隔离，所有施工人员须在限定的施工现场活动。施工期间，严格</w:t>
      </w:r>
      <w:r>
        <w:rPr>
          <w:spacing w:val="-20"/>
          <w:sz w:val="24"/>
          <w:szCs w:val="24"/>
        </w:rPr>
        <w:t>控制外来</w:t>
      </w:r>
    </w:p>
    <w:p w14:paraId="2D9EB73F">
      <w:pPr>
        <w:spacing w:line="215" w:lineRule="auto"/>
        <w:rPr>
          <w:sz w:val="24"/>
          <w:szCs w:val="24"/>
        </w:rPr>
        <w:sectPr>
          <w:footerReference r:id="rId137" w:type="default"/>
          <w:pgSz w:w="11907" w:h="16839"/>
          <w:pgMar w:top="954" w:right="4" w:bottom="1038" w:left="0" w:header="499" w:footer="357" w:gutter="0"/>
          <w:pgBorders>
            <w:top w:val="none" w:sz="0" w:space="0"/>
            <w:left w:val="none" w:sz="0" w:space="0"/>
            <w:bottom w:val="none" w:sz="0" w:space="0"/>
            <w:right w:val="none" w:sz="0" w:space="0"/>
          </w:pgBorders>
          <w:cols w:space="720" w:num="1"/>
        </w:sectPr>
      </w:pPr>
    </w:p>
    <w:p w14:paraId="0FB220B5">
      <w:pPr>
        <w:spacing w:line="250" w:lineRule="auto"/>
        <w:rPr>
          <w:rFonts w:ascii="Arial"/>
          <w:sz w:val="21"/>
        </w:rPr>
      </w:pPr>
    </w:p>
    <w:p w14:paraId="7FFBB2F7">
      <w:pPr>
        <w:pStyle w:val="2"/>
        <w:spacing w:before="78" w:line="219" w:lineRule="auto"/>
        <w:ind w:left="1460"/>
        <w:rPr>
          <w:sz w:val="24"/>
          <w:szCs w:val="24"/>
        </w:rPr>
      </w:pPr>
      <w:r>
        <w:rPr>
          <w:spacing w:val="-20"/>
          <w:sz w:val="24"/>
          <w:szCs w:val="24"/>
        </w:rPr>
        <w:t>人员进入工地施工现场。</w:t>
      </w:r>
    </w:p>
    <w:tbl>
      <w:tblPr>
        <w:tblStyle w:val="6"/>
        <w:tblW w:w="8549" w:type="dxa"/>
        <w:tblInd w:w="167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308"/>
        <w:gridCol w:w="4241"/>
      </w:tblGrid>
      <w:tr w14:paraId="33A0D4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0" w:hRule="atLeast"/>
        </w:trPr>
        <w:tc>
          <w:tcPr>
            <w:tcW w:w="4308" w:type="dxa"/>
            <w:tcBorders>
              <w:top w:val="single" w:color="000000" w:sz="4" w:space="0"/>
              <w:left w:val="single" w:color="000000" w:sz="4" w:space="0"/>
            </w:tcBorders>
            <w:shd w:val="clear" w:color="auto" w:fill="DEEAF6"/>
            <w:vAlign w:val="top"/>
          </w:tcPr>
          <w:p w14:paraId="1334953F">
            <w:pPr>
              <w:spacing w:before="95" w:line="3370" w:lineRule="exact"/>
              <w:ind w:firstLine="114"/>
            </w:pPr>
            <w:r>
              <w:pict>
                <v:group id="_x0000_s1945" o:spid="_x0000_s1945" o:spt="203" style="position:absolute;left:0pt;margin-left:0.9pt;margin-top:2.15pt;height:182.55pt;width:213.5pt;mso-position-horizontal-relative:page;mso-position-vertical-relative:page;z-index:251896832;mso-width-relative:page;mso-height-relative:page;" coordsize="4270,3651">
                  <o:lock v:ext="edit"/>
                  <v:shape id="_x0000_s1946" o:spid="_x0000_s1946" style="position:absolute;left:21;top:0;height:60;width:4243;" fillcolor="#DEEAF6" filled="t" stroked="f" coordsize="4243,60" path="m0,60l4243,60,4243,0,0,0,0,60xe">
                    <v:path/>
                    <v:fill on="t" focussize="0,0"/>
                    <v:stroke on="f"/>
                    <v:imagedata o:title=""/>
                    <o:lock v:ext="edit"/>
                  </v:shape>
                  <v:shape id="_x0000_s1947" o:spid="_x0000_s1947" style="position:absolute;left:0;top:3593;height:58;width:4270;" fillcolor="#DEEAF6" filled="t" stroked="f" coordsize="4270,58" path="m0,57l4270,57,4270,0,0,0,0,57xe">
                    <v:path/>
                    <v:fill on="t" focussize="0,0"/>
                    <v:stroke on="f"/>
                    <v:imagedata o:title=""/>
                    <o:lock v:ext="edit"/>
                  </v:shape>
                </v:group>
              </w:pict>
            </w:r>
            <w:r>
              <w:rPr>
                <w:position w:val="-67"/>
              </w:rPr>
              <w:drawing>
                <wp:inline distT="0" distB="0" distL="0" distR="0">
                  <wp:extent cx="2578100" cy="2139950"/>
                  <wp:effectExtent l="0" t="0" r="0" b="0"/>
                  <wp:docPr id="734" name="IM 734"/>
                  <wp:cNvGraphicFramePr/>
                  <a:graphic xmlns:a="http://schemas.openxmlformats.org/drawingml/2006/main">
                    <a:graphicData uri="http://schemas.openxmlformats.org/drawingml/2006/picture">
                      <pic:pic xmlns:pic="http://schemas.openxmlformats.org/drawingml/2006/picture">
                        <pic:nvPicPr>
                          <pic:cNvPr id="734" name="IM 734"/>
                          <pic:cNvPicPr/>
                        </pic:nvPicPr>
                        <pic:blipFill>
                          <a:blip r:embed="rId600"/>
                          <a:stretch>
                            <a:fillRect/>
                          </a:stretch>
                        </pic:blipFill>
                        <pic:spPr>
                          <a:xfrm>
                            <a:off x="0" y="0"/>
                            <a:ext cx="2578100" cy="2139950"/>
                          </a:xfrm>
                          <a:prstGeom prst="rect">
                            <a:avLst/>
                          </a:prstGeom>
                        </pic:spPr>
                      </pic:pic>
                    </a:graphicData>
                  </a:graphic>
                </wp:inline>
              </w:drawing>
            </w:r>
          </w:p>
        </w:tc>
        <w:tc>
          <w:tcPr>
            <w:tcW w:w="4241" w:type="dxa"/>
            <w:tcBorders>
              <w:top w:val="single" w:color="5B9BD5" w:sz="4" w:space="0"/>
              <w:right w:val="single" w:color="5B9BD5" w:sz="4" w:space="0"/>
            </w:tcBorders>
            <w:shd w:val="clear" w:color="auto" w:fill="DEEAF6"/>
            <w:vAlign w:val="top"/>
          </w:tcPr>
          <w:p w14:paraId="7C8CEACE">
            <w:pPr>
              <w:spacing w:before="90" w:line="3380" w:lineRule="exact"/>
              <w:ind w:firstLine="71"/>
            </w:pPr>
            <w:r>
              <w:pict>
                <v:group id="_x0000_s1948" o:spid="_x0000_s1948" o:spt="203" style="position:absolute;left:0pt;margin-left:-1.05pt;margin-top:2.15pt;height:182.55pt;width:212.35pt;mso-position-horizontal-relative:page;mso-position-vertical-relative:page;z-index:251897856;mso-width-relative:page;mso-height-relative:page;" coordsize="4247,3651">
                  <o:lock v:ext="edit"/>
                  <v:shape id="_x0000_s1949" o:spid="_x0000_s1949" style="position:absolute;left:38;top:0;height:60;width:4187;" fillcolor="#DEEAF6" filled="t" stroked="f" coordsize="4187,60" path="m0,60l4186,60,4186,0,0,0,0,60xe">
                    <v:path/>
                    <v:fill on="t" focussize="0,0"/>
                    <v:stroke on="f"/>
                    <v:imagedata o:title=""/>
                    <o:lock v:ext="edit"/>
                  </v:shape>
                  <v:shape id="_x0000_s1950" o:spid="_x0000_s1950" style="position:absolute;left:0;top:3593;height:58;width:4247;" fillcolor="#DEEAF6" filled="t" stroked="f" coordsize="4247,58" path="m0,57l4246,57,4246,0,0,0,0,57xe">
                    <v:path/>
                    <v:fill on="t" focussize="0,0"/>
                    <v:stroke on="f"/>
                    <v:imagedata o:title=""/>
                    <o:lock v:ext="edit"/>
                  </v:shape>
                </v:group>
              </w:pict>
            </w:r>
            <w:r>
              <w:rPr>
                <w:position w:val="-67"/>
              </w:rPr>
              <w:drawing>
                <wp:inline distT="0" distB="0" distL="0" distR="0">
                  <wp:extent cx="2574925" cy="2146300"/>
                  <wp:effectExtent l="0" t="0" r="0" b="0"/>
                  <wp:docPr id="736" name="IM 736"/>
                  <wp:cNvGraphicFramePr/>
                  <a:graphic xmlns:a="http://schemas.openxmlformats.org/drawingml/2006/main">
                    <a:graphicData uri="http://schemas.openxmlformats.org/drawingml/2006/picture">
                      <pic:pic xmlns:pic="http://schemas.openxmlformats.org/drawingml/2006/picture">
                        <pic:nvPicPr>
                          <pic:cNvPr id="736" name="IM 736"/>
                          <pic:cNvPicPr/>
                        </pic:nvPicPr>
                        <pic:blipFill>
                          <a:blip r:embed="rId601"/>
                          <a:stretch>
                            <a:fillRect/>
                          </a:stretch>
                        </pic:blipFill>
                        <pic:spPr>
                          <a:xfrm>
                            <a:off x="0" y="0"/>
                            <a:ext cx="2575559" cy="2146300"/>
                          </a:xfrm>
                          <a:prstGeom prst="rect">
                            <a:avLst/>
                          </a:prstGeom>
                        </pic:spPr>
                      </pic:pic>
                    </a:graphicData>
                  </a:graphic>
                </wp:inline>
              </w:drawing>
            </w:r>
          </w:p>
        </w:tc>
      </w:tr>
      <w:tr w14:paraId="68D1E8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25" w:hRule="atLeast"/>
        </w:trPr>
        <w:tc>
          <w:tcPr>
            <w:tcW w:w="8549" w:type="dxa"/>
            <w:gridSpan w:val="2"/>
            <w:tcBorders>
              <w:left w:val="single" w:color="1C456A" w:sz="4" w:space="0"/>
              <w:bottom w:val="single" w:color="1C456A" w:sz="4" w:space="0"/>
              <w:right w:val="single" w:color="1C456A" w:sz="4" w:space="0"/>
            </w:tcBorders>
            <w:vAlign w:val="top"/>
          </w:tcPr>
          <w:p w14:paraId="34E2536D">
            <w:pPr>
              <w:pStyle w:val="7"/>
              <w:spacing w:before="103" w:line="217" w:lineRule="auto"/>
              <w:ind w:left="3411"/>
            </w:pPr>
            <w:r>
              <w:rPr>
                <w:spacing w:val="-19"/>
              </w:rPr>
              <w:t>施工场地封闭管理</w:t>
            </w:r>
          </w:p>
        </w:tc>
      </w:tr>
    </w:tbl>
    <w:p w14:paraId="680A7A7C">
      <w:pPr>
        <w:pStyle w:val="2"/>
        <w:spacing w:before="77" w:line="219" w:lineRule="auto"/>
        <w:ind w:left="1985"/>
        <w:outlineLvl w:val="2"/>
        <w:rPr>
          <w:sz w:val="28"/>
          <w:szCs w:val="28"/>
        </w:rPr>
      </w:pPr>
      <w:bookmarkStart w:id="73" w:name="bookmark71"/>
      <w:bookmarkEnd w:id="73"/>
      <w:r>
        <w:rPr>
          <w:b/>
          <w:bCs/>
          <w:spacing w:val="-23"/>
          <w:sz w:val="28"/>
          <w:szCs w:val="28"/>
        </w:rPr>
        <w:t>三、对务工人员加强教育和管理。</w:t>
      </w:r>
    </w:p>
    <w:p w14:paraId="4875F2DC">
      <w:pPr>
        <w:pStyle w:val="2"/>
        <w:spacing w:before="104" w:line="264" w:lineRule="auto"/>
        <w:ind w:left="1458" w:right="1409" w:firstLine="435"/>
        <w:rPr>
          <w:sz w:val="24"/>
          <w:szCs w:val="24"/>
        </w:rPr>
      </w:pPr>
      <w:r>
        <w:rPr>
          <w:spacing w:val="-20"/>
          <w:sz w:val="24"/>
          <w:szCs w:val="24"/>
        </w:rPr>
        <w:t>本单位对进场施工的所有务工人员进行安全和文明施工教育，教育他们遵守国家法律，并</w:t>
      </w:r>
      <w:r>
        <w:rPr>
          <w:spacing w:val="-19"/>
          <w:sz w:val="24"/>
          <w:szCs w:val="24"/>
        </w:rPr>
        <w:t>进行严格管理。</w:t>
      </w:r>
    </w:p>
    <w:tbl>
      <w:tblPr>
        <w:tblStyle w:val="6"/>
        <w:tblW w:w="8549" w:type="dxa"/>
        <w:tblInd w:w="167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370"/>
        <w:gridCol w:w="4179"/>
      </w:tblGrid>
      <w:tr w14:paraId="680544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2" w:hRule="atLeast"/>
        </w:trPr>
        <w:tc>
          <w:tcPr>
            <w:tcW w:w="4370" w:type="dxa"/>
            <w:tcBorders>
              <w:top w:val="single" w:color="000000" w:sz="4" w:space="0"/>
              <w:left w:val="single" w:color="000000" w:sz="4" w:space="0"/>
            </w:tcBorders>
            <w:shd w:val="clear" w:color="auto" w:fill="DEEAF6"/>
            <w:vAlign w:val="top"/>
          </w:tcPr>
          <w:p w14:paraId="50D6EBCF">
            <w:pPr>
              <w:spacing w:before="89" w:line="3151" w:lineRule="exact"/>
              <w:ind w:firstLine="78"/>
            </w:pPr>
            <w:r>
              <w:pict>
                <v:group id="_x0000_s1951" o:spid="_x0000_s1951" o:spt="203" style="position:absolute;left:0pt;margin-left:-0.2pt;margin-top:0pt;height:173.3pt;width:217.75pt;mso-position-horizontal-relative:page;mso-position-vertical-relative:page;z-index:251895808;mso-width-relative:page;mso-height-relative:page;" coordsize="4355,3466">
                  <o:lock v:ext="edit"/>
                  <v:group id="_x0000_s1952" o:spid="_x0000_s1952" o:spt="203" style="position:absolute;left:0;top:0;height:103;width:4350;" coordsize="4350,103">
                    <o:lock v:ext="edit"/>
                    <v:shape id="_x0000_s1953" o:spid="_x0000_s1953" style="position:absolute;left:0;top:0;height:15;width:44;" fillcolor="#5B9BD5" filled="t" stroked="f" coordsize="44,15" path="m0,14l43,14,43,0,0,0,0,14xe">
                      <v:path/>
                      <v:fill on="t" focussize="0,0"/>
                      <v:stroke on="f"/>
                      <v:imagedata o:title=""/>
                      <o:lock v:ext="edit"/>
                    </v:shape>
                    <v:shape id="_x0000_s1954" o:spid="_x0000_s1954" style="position:absolute;left:43;top:43;height:60;width:4306;" fillcolor="#DEEAF6" filled="t" stroked="f" coordsize="4306,60" path="m0,60l4305,60,4305,0,0,0,0,60xe">
                      <v:path/>
                      <v:fill on="t" focussize="0,0"/>
                      <v:stroke on="f"/>
                      <v:imagedata o:title=""/>
                      <o:lock v:ext="edit"/>
                    </v:shape>
                  </v:group>
                  <v:shape id="_x0000_s1955" o:spid="_x0000_s1955" style="position:absolute;left:21;top:3408;height:58;width:4332;" fillcolor="#DEEAF6" filled="t" stroked="f" coordsize="4332,58" path="m0,57l4332,57,4332,0,0,0,0,57xe">
                    <v:path/>
                    <v:fill on="t" focussize="0,0"/>
                    <v:stroke on="f"/>
                    <v:imagedata o:title=""/>
                    <o:lock v:ext="edit"/>
                  </v:shape>
                </v:group>
              </w:pict>
            </w:r>
            <w:r>
              <w:rPr>
                <w:position w:val="-63"/>
              </w:rPr>
              <w:drawing>
                <wp:inline distT="0" distB="0" distL="0" distR="0">
                  <wp:extent cx="2665095" cy="2000885"/>
                  <wp:effectExtent l="0" t="0" r="0" b="0"/>
                  <wp:docPr id="738" name="IM 738"/>
                  <wp:cNvGraphicFramePr/>
                  <a:graphic xmlns:a="http://schemas.openxmlformats.org/drawingml/2006/main">
                    <a:graphicData uri="http://schemas.openxmlformats.org/drawingml/2006/picture">
                      <pic:pic xmlns:pic="http://schemas.openxmlformats.org/drawingml/2006/picture">
                        <pic:nvPicPr>
                          <pic:cNvPr id="738" name="IM 738"/>
                          <pic:cNvPicPr/>
                        </pic:nvPicPr>
                        <pic:blipFill>
                          <a:blip r:embed="rId602"/>
                          <a:stretch>
                            <a:fillRect/>
                          </a:stretch>
                        </pic:blipFill>
                        <pic:spPr>
                          <a:xfrm>
                            <a:off x="0" y="0"/>
                            <a:ext cx="2665095" cy="2000885"/>
                          </a:xfrm>
                          <a:prstGeom prst="rect">
                            <a:avLst/>
                          </a:prstGeom>
                        </pic:spPr>
                      </pic:pic>
                    </a:graphicData>
                  </a:graphic>
                </wp:inline>
              </w:drawing>
            </w:r>
          </w:p>
        </w:tc>
        <w:tc>
          <w:tcPr>
            <w:tcW w:w="4179" w:type="dxa"/>
            <w:tcBorders>
              <w:top w:val="single" w:color="5B9BD5" w:sz="4" w:space="0"/>
              <w:right w:val="single" w:color="5B9BD5" w:sz="4" w:space="0"/>
            </w:tcBorders>
            <w:shd w:val="clear" w:color="auto" w:fill="DEEAF6"/>
            <w:vAlign w:val="top"/>
          </w:tcPr>
          <w:p w14:paraId="485654C8">
            <w:pPr>
              <w:spacing w:before="163" w:line="3003" w:lineRule="exact"/>
              <w:ind w:firstLine="45"/>
            </w:pPr>
            <w:r>
              <w:pict>
                <v:group id="_x0000_s1956" o:spid="_x0000_s1956" o:spt="203" style="position:absolute;left:0pt;margin-left:-1pt;margin-top:2.15pt;height:171.15pt;width:209.25pt;mso-position-horizontal-relative:page;mso-position-vertical-relative:page;z-index:251894784;mso-width-relative:page;mso-height-relative:page;" coordsize="4185,3422">
                  <o:lock v:ext="edit"/>
                  <v:shape id="_x0000_s1957" o:spid="_x0000_s1957" style="position:absolute;left:38;top:0;height:60;width:4125;" fillcolor="#DEEAF6" filled="t" stroked="f" coordsize="4125,60" path="m0,60l4124,60,4124,0,0,0,0,60xe">
                    <v:path/>
                    <v:fill on="t" focussize="0,0"/>
                    <v:stroke on="f"/>
                    <v:imagedata o:title=""/>
                    <o:lock v:ext="edit"/>
                  </v:shape>
                  <v:shape id="_x0000_s1958" o:spid="_x0000_s1958" style="position:absolute;left:0;top:3365;height:58;width:4185;" fillcolor="#DEEAF6" filled="t" stroked="f" coordsize="4185,58" path="m0,57l4184,57,4184,0,0,0,0,57xe">
                    <v:path/>
                    <v:fill on="t" focussize="0,0"/>
                    <v:stroke on="f"/>
                    <v:imagedata o:title=""/>
                    <o:lock v:ext="edit"/>
                  </v:shape>
                </v:group>
              </w:pict>
            </w:r>
            <w:r>
              <w:rPr>
                <w:position w:val="-60"/>
              </w:rPr>
              <w:drawing>
                <wp:inline distT="0" distB="0" distL="0" distR="0">
                  <wp:extent cx="2568575" cy="1906905"/>
                  <wp:effectExtent l="0" t="0" r="0" b="0"/>
                  <wp:docPr id="740" name="IM 740"/>
                  <wp:cNvGraphicFramePr/>
                  <a:graphic xmlns:a="http://schemas.openxmlformats.org/drawingml/2006/main">
                    <a:graphicData uri="http://schemas.openxmlformats.org/drawingml/2006/picture">
                      <pic:pic xmlns:pic="http://schemas.openxmlformats.org/drawingml/2006/picture">
                        <pic:nvPicPr>
                          <pic:cNvPr id="740" name="IM 740"/>
                          <pic:cNvPicPr/>
                        </pic:nvPicPr>
                        <pic:blipFill>
                          <a:blip r:embed="rId603"/>
                          <a:stretch>
                            <a:fillRect/>
                          </a:stretch>
                        </pic:blipFill>
                        <pic:spPr>
                          <a:xfrm>
                            <a:off x="0" y="0"/>
                            <a:ext cx="2569209" cy="1906905"/>
                          </a:xfrm>
                          <a:prstGeom prst="rect">
                            <a:avLst/>
                          </a:prstGeom>
                        </pic:spPr>
                      </pic:pic>
                    </a:graphicData>
                  </a:graphic>
                </wp:inline>
              </w:drawing>
            </w:r>
          </w:p>
        </w:tc>
      </w:tr>
      <w:tr w14:paraId="3BD542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5" w:hRule="atLeast"/>
        </w:trPr>
        <w:tc>
          <w:tcPr>
            <w:tcW w:w="8549" w:type="dxa"/>
            <w:gridSpan w:val="2"/>
            <w:tcBorders>
              <w:left w:val="single" w:color="1C456A" w:sz="4" w:space="0"/>
              <w:bottom w:val="single" w:color="1C456A" w:sz="4" w:space="0"/>
              <w:right w:val="single" w:color="1C456A" w:sz="4" w:space="0"/>
            </w:tcBorders>
            <w:vAlign w:val="top"/>
          </w:tcPr>
          <w:p w14:paraId="3B0DDD2D">
            <w:pPr>
              <w:pStyle w:val="7"/>
              <w:spacing w:before="102" w:line="218" w:lineRule="auto"/>
              <w:ind w:left="3201"/>
            </w:pPr>
            <w:r>
              <w:pict>
                <v:shape id="_x0000_s1959" o:spid="_x0000_s1959" style="position:absolute;left:0pt;margin-left:-0.25pt;margin-top:31.25pt;height:0.75pt;width:2.2pt;mso-position-horizontal-relative:page;mso-position-vertical-relative:page;z-index:251893760;mso-width-relative:page;mso-height-relative:page;" fillcolor="#5B9BD5" filled="t" stroked="f" coordsize="44,15" path="m0,14l43,14,43,0,0,0,0,14xe">
                  <v:path/>
                  <v:fill on="t" focussize="0,0"/>
                  <v:stroke on="f"/>
                  <v:imagedata o:title=""/>
                  <o:lock v:ext="edit"/>
                </v:shape>
              </w:pict>
            </w:r>
            <w:r>
              <w:rPr>
                <w:spacing w:val="-20"/>
              </w:rPr>
              <w:t>工人入场安全教育培训</w:t>
            </w:r>
          </w:p>
        </w:tc>
      </w:tr>
    </w:tbl>
    <w:p w14:paraId="2FC142C6">
      <w:pPr>
        <w:pStyle w:val="2"/>
        <w:spacing w:before="79" w:line="216" w:lineRule="auto"/>
        <w:ind w:left="2010"/>
        <w:outlineLvl w:val="2"/>
        <w:rPr>
          <w:sz w:val="28"/>
          <w:szCs w:val="28"/>
        </w:rPr>
      </w:pPr>
      <w:bookmarkStart w:id="74" w:name="bookmark72"/>
      <w:bookmarkEnd w:id="74"/>
      <w:r>
        <w:rPr>
          <w:b/>
          <w:bCs/>
          <w:spacing w:val="-25"/>
          <w:sz w:val="28"/>
          <w:szCs w:val="28"/>
        </w:rPr>
        <w:t>四、加强施工车辆管理</w:t>
      </w:r>
    </w:p>
    <w:p w14:paraId="7D113641">
      <w:pPr>
        <w:pStyle w:val="2"/>
        <w:spacing w:before="108" w:line="308" w:lineRule="auto"/>
        <w:ind w:left="1457" w:right="1410" w:firstLine="435"/>
        <w:jc w:val="both"/>
        <w:rPr>
          <w:sz w:val="24"/>
          <w:szCs w:val="24"/>
        </w:rPr>
      </w:pPr>
      <w:r>
        <w:rPr>
          <w:spacing w:val="-20"/>
          <w:sz w:val="24"/>
          <w:szCs w:val="24"/>
        </w:rPr>
        <w:t>施工车辆和人员出入，工程运输车辆在规定道路和规定时间通行，在主要路段和交叉路口派出专人进行管理。并及时清扫路面抛洒物，在施工路段安放安全提示牌。施工车辆不得超载</w:t>
      </w:r>
      <w:r>
        <w:rPr>
          <w:spacing w:val="-21"/>
          <w:sz w:val="24"/>
          <w:szCs w:val="24"/>
        </w:rPr>
        <w:t>超速，遵守交通法规保证车辆和行人安全通行。</w:t>
      </w:r>
    </w:p>
    <w:p w14:paraId="6AFB676D">
      <w:pPr>
        <w:spacing w:line="308" w:lineRule="auto"/>
        <w:rPr>
          <w:sz w:val="24"/>
          <w:szCs w:val="24"/>
        </w:rPr>
        <w:sectPr>
          <w:footerReference r:id="rId138" w:type="default"/>
          <w:pgSz w:w="11907" w:h="16839"/>
          <w:pgMar w:top="954" w:right="4" w:bottom="1038" w:left="0" w:header="499" w:footer="357" w:gutter="0"/>
          <w:pgBorders>
            <w:top w:val="none" w:sz="0" w:space="0"/>
            <w:left w:val="none" w:sz="0" w:space="0"/>
            <w:bottom w:val="none" w:sz="0" w:space="0"/>
            <w:right w:val="none" w:sz="0" w:space="0"/>
          </w:pgBorders>
          <w:cols w:space="720" w:num="1"/>
        </w:sectPr>
      </w:pPr>
    </w:p>
    <w:p w14:paraId="2823A700">
      <w:pPr>
        <w:spacing w:line="214" w:lineRule="exact"/>
      </w:pPr>
    </w:p>
    <w:tbl>
      <w:tblPr>
        <w:tblStyle w:val="6"/>
        <w:tblW w:w="8549" w:type="dxa"/>
        <w:tblInd w:w="167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236"/>
        <w:gridCol w:w="4313"/>
      </w:tblGrid>
      <w:tr w14:paraId="19672D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55" w:hRule="atLeast"/>
        </w:trPr>
        <w:tc>
          <w:tcPr>
            <w:tcW w:w="4236" w:type="dxa"/>
            <w:tcBorders>
              <w:top w:val="single" w:color="000000" w:sz="4" w:space="0"/>
              <w:left w:val="single" w:color="000000" w:sz="4" w:space="0"/>
            </w:tcBorders>
            <w:shd w:val="clear" w:color="auto" w:fill="DEEAF6"/>
            <w:vAlign w:val="top"/>
          </w:tcPr>
          <w:p w14:paraId="370DBD49">
            <w:pPr>
              <w:spacing w:before="119" w:line="3202" w:lineRule="exact"/>
              <w:ind w:firstLine="87"/>
            </w:pPr>
            <w:r>
              <w:pict>
                <v:group id="_x0000_s1960" o:spid="_x0000_s1960" o:spt="203" style="position:absolute;left:0pt;margin-left:0.9pt;margin-top:2.15pt;height:176.3pt;width:209.9pt;mso-position-horizontal-relative:page;mso-position-vertical-relative:page;z-index:251901952;mso-width-relative:page;mso-height-relative:page;" coordsize="4197,3526">
                  <o:lock v:ext="edit"/>
                  <v:shape id="_x0000_s1961" o:spid="_x0000_s1961" style="position:absolute;left:21;top:0;height:60;width:4172;" fillcolor="#DEEAF6" filled="t" stroked="f" coordsize="4172,60" path="m0,60l4171,60,4171,0,0,0,0,60xe">
                    <v:path/>
                    <v:fill on="t" focussize="0,0"/>
                    <v:stroke on="f"/>
                    <v:imagedata o:title=""/>
                    <o:lock v:ext="edit"/>
                  </v:shape>
                  <v:shape id="_x0000_s1962" o:spid="_x0000_s1962" style="position:absolute;left:0;top:3468;height:58;width:4197;" fillcolor="#DEEAF6" filled="t" stroked="f" coordsize="4197,58" path="m0,57l4197,57,4197,0,0,0,0,57xe">
                    <v:path/>
                    <v:fill on="t" focussize="0,0"/>
                    <v:stroke on="f"/>
                    <v:imagedata o:title=""/>
                    <o:lock v:ext="edit"/>
                  </v:shape>
                </v:group>
              </w:pict>
            </w:r>
            <w:r>
              <w:rPr>
                <w:position w:val="-64"/>
              </w:rPr>
              <w:drawing>
                <wp:inline distT="0" distB="0" distL="0" distR="0">
                  <wp:extent cx="2567305" cy="2033270"/>
                  <wp:effectExtent l="0" t="0" r="0" b="0"/>
                  <wp:docPr id="744" name="IM 744"/>
                  <wp:cNvGraphicFramePr/>
                  <a:graphic xmlns:a="http://schemas.openxmlformats.org/drawingml/2006/main">
                    <a:graphicData uri="http://schemas.openxmlformats.org/drawingml/2006/picture">
                      <pic:pic xmlns:pic="http://schemas.openxmlformats.org/drawingml/2006/picture">
                        <pic:nvPicPr>
                          <pic:cNvPr id="744" name="IM 744"/>
                          <pic:cNvPicPr/>
                        </pic:nvPicPr>
                        <pic:blipFill>
                          <a:blip r:embed="rId604"/>
                          <a:stretch>
                            <a:fillRect/>
                          </a:stretch>
                        </pic:blipFill>
                        <pic:spPr>
                          <a:xfrm>
                            <a:off x="0" y="0"/>
                            <a:ext cx="2567939" cy="2033270"/>
                          </a:xfrm>
                          <a:prstGeom prst="rect">
                            <a:avLst/>
                          </a:prstGeom>
                        </pic:spPr>
                      </pic:pic>
                    </a:graphicData>
                  </a:graphic>
                </wp:inline>
              </w:drawing>
            </w:r>
          </w:p>
        </w:tc>
        <w:tc>
          <w:tcPr>
            <w:tcW w:w="4313" w:type="dxa"/>
            <w:tcBorders>
              <w:top w:val="single" w:color="5B9BD5" w:sz="4" w:space="0"/>
              <w:right w:val="single" w:color="5B9BD5" w:sz="4" w:space="0"/>
            </w:tcBorders>
            <w:shd w:val="clear" w:color="auto" w:fill="DEEAF6"/>
            <w:vAlign w:val="top"/>
          </w:tcPr>
          <w:p w14:paraId="6C37959F">
            <w:pPr>
              <w:spacing w:before="93" w:line="3254" w:lineRule="exact"/>
              <w:ind w:firstLine="47"/>
            </w:pPr>
            <w:r>
              <w:pict>
                <v:group id="_x0000_s1963" o:spid="_x0000_s1963" o:spt="203" style="position:absolute;left:0pt;margin-left:-1.05pt;margin-top:2.15pt;height:176.3pt;width:215.95pt;mso-position-horizontal-relative:page;mso-position-vertical-relative:page;z-index:251900928;mso-width-relative:page;mso-height-relative:page;" coordsize="4318,3526">
                  <o:lock v:ext="edit"/>
                  <v:shape id="_x0000_s1964" o:spid="_x0000_s1964" style="position:absolute;left:38;top:0;height:60;width:4258;" fillcolor="#DEEAF6" filled="t" stroked="f" coordsize="4258,60" path="m0,60l4258,60,4258,0,0,0,0,60xe">
                    <v:path/>
                    <v:fill on="t" focussize="0,0"/>
                    <v:stroke on="f"/>
                    <v:imagedata o:title=""/>
                    <o:lock v:ext="edit"/>
                  </v:shape>
                  <v:shape id="_x0000_s1966" o:spid="_x0000_s1966" style="position:absolute;left:0;top:3468;height:58;width:4318;" fillcolor="#DEEAF6" filled="t" stroked="f" coordsize="4318,58" path="m0,57l4318,57,4318,0,0,0,0,57xe">
                    <v:path/>
                    <v:fill on="t" focussize="0,0"/>
                    <v:stroke on="f"/>
                    <v:imagedata o:title=""/>
                    <o:lock v:ext="edit"/>
                  </v:shape>
                </v:group>
              </w:pict>
            </w:r>
            <w:r>
              <w:rPr>
                <w:position w:val="-65"/>
              </w:rPr>
              <w:drawing>
                <wp:inline distT="0" distB="0" distL="0" distR="0">
                  <wp:extent cx="2647950" cy="2066290"/>
                  <wp:effectExtent l="0" t="0" r="0" b="0"/>
                  <wp:docPr id="746" name="IM 746"/>
                  <wp:cNvGraphicFramePr/>
                  <a:graphic xmlns:a="http://schemas.openxmlformats.org/drawingml/2006/main">
                    <a:graphicData uri="http://schemas.openxmlformats.org/drawingml/2006/picture">
                      <pic:pic xmlns:pic="http://schemas.openxmlformats.org/drawingml/2006/picture">
                        <pic:nvPicPr>
                          <pic:cNvPr id="746" name="IM 746"/>
                          <pic:cNvPicPr/>
                        </pic:nvPicPr>
                        <pic:blipFill>
                          <a:blip r:embed="rId605"/>
                          <a:stretch>
                            <a:fillRect/>
                          </a:stretch>
                        </pic:blipFill>
                        <pic:spPr>
                          <a:xfrm>
                            <a:off x="0" y="0"/>
                            <a:ext cx="2648584" cy="2066290"/>
                          </a:xfrm>
                          <a:prstGeom prst="rect">
                            <a:avLst/>
                          </a:prstGeom>
                        </pic:spPr>
                      </pic:pic>
                    </a:graphicData>
                  </a:graphic>
                </wp:inline>
              </w:drawing>
            </w:r>
          </w:p>
        </w:tc>
      </w:tr>
      <w:tr w14:paraId="551A1D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5" w:hRule="atLeast"/>
        </w:trPr>
        <w:tc>
          <w:tcPr>
            <w:tcW w:w="8549" w:type="dxa"/>
            <w:gridSpan w:val="2"/>
            <w:tcBorders>
              <w:left w:val="single" w:color="20507B" w:sz="4" w:space="0"/>
              <w:bottom w:val="single" w:color="20507B" w:sz="4" w:space="0"/>
              <w:right w:val="single" w:color="20507B" w:sz="4" w:space="0"/>
            </w:tcBorders>
            <w:vAlign w:val="top"/>
          </w:tcPr>
          <w:p w14:paraId="60664683">
            <w:pPr>
              <w:pStyle w:val="7"/>
              <w:spacing w:before="102" w:line="215" w:lineRule="auto"/>
              <w:ind w:left="3220"/>
            </w:pPr>
            <w:r>
              <w:pict>
                <v:shape id="_x0000_s1968" o:spid="_x0000_s1968" style="position:absolute;left:0pt;margin-left:1.95pt;margin-top:29.85pt;height:0.75pt;width:423.7pt;mso-position-horizontal-relative:page;mso-position-vertical-relative:page;z-index:251898880;mso-width-relative:page;mso-height-relative:page;" fillcolor="#1C456A" filled="t" stroked="f" coordsize="8474,15" path="m0,14l8473,14,8473,0,0,0,0,14xe">
                  <v:path/>
                  <v:fill on="t" focussize="0,0"/>
                  <v:stroke on="f"/>
                  <v:imagedata o:title=""/>
                  <o:lock v:ext="edit"/>
                </v:shape>
              </w:pict>
            </w:r>
            <w:r>
              <w:rPr>
                <w:spacing w:val="-22"/>
              </w:rPr>
              <w:t>出入现场车辆保持清洁</w:t>
            </w:r>
          </w:p>
        </w:tc>
      </w:tr>
    </w:tbl>
    <w:p w14:paraId="1EAFB061">
      <w:pPr>
        <w:pStyle w:val="2"/>
        <w:spacing w:before="80" w:line="219" w:lineRule="auto"/>
        <w:ind w:left="1981"/>
        <w:outlineLvl w:val="2"/>
        <w:rPr>
          <w:sz w:val="28"/>
          <w:szCs w:val="28"/>
        </w:rPr>
      </w:pPr>
      <w:bookmarkStart w:id="75" w:name="bookmark73"/>
      <w:bookmarkEnd w:id="75"/>
      <w:r>
        <w:rPr>
          <w:b/>
          <w:bCs/>
          <w:spacing w:val="-23"/>
          <w:sz w:val="28"/>
          <w:szCs w:val="28"/>
        </w:rPr>
        <w:t>五、加强施工现场的安全管理</w:t>
      </w:r>
    </w:p>
    <w:p w14:paraId="6EB76316">
      <w:pPr>
        <w:pStyle w:val="2"/>
        <w:spacing w:before="99" w:line="279" w:lineRule="auto"/>
        <w:ind w:left="1455" w:right="1353" w:firstLine="439"/>
        <w:jc w:val="both"/>
        <w:rPr>
          <w:sz w:val="24"/>
          <w:szCs w:val="24"/>
        </w:rPr>
      </w:pPr>
      <w:r>
        <w:rPr>
          <w:spacing w:val="-24"/>
          <w:sz w:val="24"/>
          <w:szCs w:val="24"/>
        </w:rPr>
        <w:t>对施工现场用电、用气和用火设备的使用情况定期监督检查，所有设备必须符合安全标准，</w:t>
      </w:r>
      <w:r>
        <w:rPr>
          <w:spacing w:val="-20"/>
          <w:sz w:val="24"/>
          <w:szCs w:val="24"/>
        </w:rPr>
        <w:t>并严格按安全规范操作和使用。按照防火规定配置足够数量的消防器材；施工现场要设置专兼职安全员，并佩带标志上岗。</w:t>
      </w:r>
    </w:p>
    <w:tbl>
      <w:tblPr>
        <w:tblStyle w:val="6"/>
        <w:tblW w:w="8549" w:type="dxa"/>
        <w:tblInd w:w="167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627"/>
        <w:gridCol w:w="3922"/>
      </w:tblGrid>
      <w:tr w14:paraId="2D224E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43" w:hRule="atLeast"/>
        </w:trPr>
        <w:tc>
          <w:tcPr>
            <w:tcW w:w="4627" w:type="dxa"/>
            <w:tcBorders>
              <w:bottom w:val="single" w:color="000000" w:sz="2" w:space="0"/>
            </w:tcBorders>
            <w:shd w:val="clear" w:color="auto" w:fill="DEEAF6"/>
            <w:vAlign w:val="top"/>
          </w:tcPr>
          <w:p w14:paraId="4D6F37EF">
            <w:pPr>
              <w:spacing w:line="91" w:lineRule="exact"/>
            </w:pPr>
            <w:r>
              <w:rPr>
                <w:position w:val="-2"/>
              </w:rPr>
              <w:pict>
                <v:group id="_x0000_s1970" o:spid="_x0000_s1970" o:spt="203" style="height:5.2pt;width:231.05pt;" coordsize="4621,103">
                  <o:lock v:ext="edit"/>
                  <v:shape id="_x0000_s1972" o:spid="_x0000_s1972" style="position:absolute;left:0;top:0;height:15;width:44;" fillcolor="#5B9BD5" filled="t" stroked="f" coordsize="44,15" path="m0,14l43,14,43,0,0,0,0,14xe">
                    <v:path/>
                    <v:fill on="t" focussize="0,0"/>
                    <v:stroke on="f"/>
                    <v:imagedata o:title=""/>
                    <o:lock v:ext="edit"/>
                  </v:shape>
                  <v:shape id="_x0000_s1974" o:spid="_x0000_s1974" style="position:absolute;left:43;top:43;height:60;width:4577;" fillcolor="#DEEAF6" filled="t" stroked="f" coordsize="4577,60" path="m0,60l4577,60,4577,0,0,0,0,60xe">
                    <v:path/>
                    <v:fill on="t" focussize="0,0"/>
                    <v:stroke on="f"/>
                    <v:imagedata o:title=""/>
                    <o:lock v:ext="edit"/>
                  </v:shape>
                  <w10:wrap type="none"/>
                  <w10:anchorlock/>
                </v:group>
              </w:pict>
            </w:r>
          </w:p>
          <w:p w14:paraId="234ABB95">
            <w:pPr>
              <w:spacing w:line="2955" w:lineRule="exact"/>
              <w:ind w:firstLine="224"/>
            </w:pPr>
            <w:r>
              <w:rPr>
                <w:position w:val="-59"/>
              </w:rPr>
              <w:drawing>
                <wp:inline distT="0" distB="0" distL="0" distR="0">
                  <wp:extent cx="2650490" cy="1876425"/>
                  <wp:effectExtent l="0" t="0" r="0" b="0"/>
                  <wp:docPr id="748" name="IM 748"/>
                  <wp:cNvGraphicFramePr/>
                  <a:graphic xmlns:a="http://schemas.openxmlformats.org/drawingml/2006/main">
                    <a:graphicData uri="http://schemas.openxmlformats.org/drawingml/2006/picture">
                      <pic:pic xmlns:pic="http://schemas.openxmlformats.org/drawingml/2006/picture">
                        <pic:nvPicPr>
                          <pic:cNvPr id="748" name="IM 748"/>
                          <pic:cNvPicPr/>
                        </pic:nvPicPr>
                        <pic:blipFill>
                          <a:blip r:embed="rId606"/>
                          <a:stretch>
                            <a:fillRect/>
                          </a:stretch>
                        </pic:blipFill>
                        <pic:spPr>
                          <a:xfrm>
                            <a:off x="0" y="0"/>
                            <a:ext cx="2650490" cy="1876552"/>
                          </a:xfrm>
                          <a:prstGeom prst="rect">
                            <a:avLst/>
                          </a:prstGeom>
                        </pic:spPr>
                      </pic:pic>
                    </a:graphicData>
                  </a:graphic>
                </wp:inline>
              </w:drawing>
            </w:r>
          </w:p>
        </w:tc>
        <w:tc>
          <w:tcPr>
            <w:tcW w:w="3922" w:type="dxa"/>
            <w:tcBorders>
              <w:top w:val="single" w:color="5B9BD5" w:sz="4" w:space="0"/>
              <w:bottom w:val="single" w:color="000000" w:sz="2" w:space="0"/>
              <w:right w:val="single" w:color="5B9BD5" w:sz="4" w:space="0"/>
            </w:tcBorders>
            <w:shd w:val="clear" w:color="auto" w:fill="DEEAF6"/>
            <w:vAlign w:val="top"/>
          </w:tcPr>
          <w:p w14:paraId="1427CD0E">
            <w:pPr>
              <w:spacing w:before="33" w:line="60" w:lineRule="exact"/>
              <w:ind w:firstLine="27"/>
            </w:pPr>
            <w:r>
              <w:rPr>
                <w:position w:val="-1"/>
              </w:rPr>
              <w:pict>
                <v:shape id="_x0000_s1976" o:spid="_x0000_s1976" style="height:3pt;width:192.65pt;" fillcolor="#DEEAF6" filled="t" stroked="f" coordsize="3852,60" path="m0,60l3852,60,3852,0,0,0,0,60xe">
                  <v:path/>
                  <v:fill on="t" focussize="0,0"/>
                  <v:stroke on="f"/>
                  <v:imagedata o:title=""/>
                  <o:lock v:ext="edit"/>
                  <w10:wrap type="none"/>
                  <w10:anchorlock/>
                </v:shape>
              </w:pict>
            </w:r>
          </w:p>
          <w:p w14:paraId="31954DD4">
            <w:pPr>
              <w:spacing w:before="35" w:line="2877" w:lineRule="exact"/>
              <w:ind w:firstLine="44"/>
            </w:pPr>
            <w:r>
              <w:rPr>
                <w:position w:val="-57"/>
              </w:rPr>
              <w:drawing>
                <wp:inline distT="0" distB="0" distL="0" distR="0">
                  <wp:extent cx="2442845" cy="1826895"/>
                  <wp:effectExtent l="0" t="0" r="0" b="0"/>
                  <wp:docPr id="750" name="IM 750"/>
                  <wp:cNvGraphicFramePr/>
                  <a:graphic xmlns:a="http://schemas.openxmlformats.org/drawingml/2006/main">
                    <a:graphicData uri="http://schemas.openxmlformats.org/drawingml/2006/picture">
                      <pic:pic xmlns:pic="http://schemas.openxmlformats.org/drawingml/2006/picture">
                        <pic:nvPicPr>
                          <pic:cNvPr id="750" name="IM 750"/>
                          <pic:cNvPicPr/>
                        </pic:nvPicPr>
                        <pic:blipFill>
                          <a:blip r:embed="rId607"/>
                          <a:stretch>
                            <a:fillRect/>
                          </a:stretch>
                        </pic:blipFill>
                        <pic:spPr>
                          <a:xfrm>
                            <a:off x="0" y="0"/>
                            <a:ext cx="2442845" cy="1826895"/>
                          </a:xfrm>
                          <a:prstGeom prst="rect">
                            <a:avLst/>
                          </a:prstGeom>
                        </pic:spPr>
                      </pic:pic>
                    </a:graphicData>
                  </a:graphic>
                </wp:inline>
              </w:drawing>
            </w:r>
          </w:p>
        </w:tc>
      </w:tr>
      <w:tr w14:paraId="70A905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7" w:hRule="atLeast"/>
        </w:trPr>
        <w:tc>
          <w:tcPr>
            <w:tcW w:w="8549" w:type="dxa"/>
            <w:gridSpan w:val="2"/>
            <w:tcBorders>
              <w:top w:val="single" w:color="000000" w:sz="2" w:space="0"/>
              <w:bottom w:val="single" w:color="000000" w:sz="2" w:space="0"/>
            </w:tcBorders>
            <w:vAlign w:val="top"/>
          </w:tcPr>
          <w:p w14:paraId="0405E518">
            <w:pPr>
              <w:pStyle w:val="7"/>
              <w:spacing w:before="114" w:line="217" w:lineRule="auto"/>
              <w:ind w:left="3548"/>
            </w:pPr>
            <w:r>
              <w:rPr>
                <w:spacing w:val="-22"/>
              </w:rPr>
              <w:t>电级箱正确接线</w:t>
            </w:r>
          </w:p>
        </w:tc>
      </w:tr>
      <w:tr w14:paraId="097F61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38" w:hRule="atLeast"/>
        </w:trPr>
        <w:tc>
          <w:tcPr>
            <w:tcW w:w="4627" w:type="dxa"/>
            <w:tcBorders>
              <w:top w:val="single" w:color="000000" w:sz="2" w:space="0"/>
              <w:bottom w:val="single" w:color="000000" w:sz="2" w:space="0"/>
            </w:tcBorders>
            <w:vAlign w:val="top"/>
          </w:tcPr>
          <w:p w14:paraId="3E1805DD">
            <w:pPr>
              <w:spacing w:before="77" w:line="2952" w:lineRule="exact"/>
              <w:ind w:firstLine="212"/>
            </w:pPr>
            <w:r>
              <w:rPr>
                <w:position w:val="-59"/>
              </w:rPr>
              <w:drawing>
                <wp:inline distT="0" distB="0" distL="0" distR="0">
                  <wp:extent cx="2665730" cy="1873885"/>
                  <wp:effectExtent l="0" t="0" r="0" b="0"/>
                  <wp:docPr id="752" name="IM 752"/>
                  <wp:cNvGraphicFramePr/>
                  <a:graphic xmlns:a="http://schemas.openxmlformats.org/drawingml/2006/main">
                    <a:graphicData uri="http://schemas.openxmlformats.org/drawingml/2006/picture">
                      <pic:pic xmlns:pic="http://schemas.openxmlformats.org/drawingml/2006/picture">
                        <pic:nvPicPr>
                          <pic:cNvPr id="752" name="IM 752"/>
                          <pic:cNvPicPr/>
                        </pic:nvPicPr>
                        <pic:blipFill>
                          <a:blip r:embed="rId608"/>
                          <a:stretch>
                            <a:fillRect/>
                          </a:stretch>
                        </pic:blipFill>
                        <pic:spPr>
                          <a:xfrm>
                            <a:off x="0" y="0"/>
                            <a:ext cx="2665730" cy="1874519"/>
                          </a:xfrm>
                          <a:prstGeom prst="rect">
                            <a:avLst/>
                          </a:prstGeom>
                        </pic:spPr>
                      </pic:pic>
                    </a:graphicData>
                  </a:graphic>
                </wp:inline>
              </w:drawing>
            </w:r>
          </w:p>
        </w:tc>
        <w:tc>
          <w:tcPr>
            <w:tcW w:w="3922" w:type="dxa"/>
            <w:tcBorders>
              <w:top w:val="single" w:color="000000" w:sz="2" w:space="0"/>
              <w:bottom w:val="single" w:color="000000" w:sz="2" w:space="0"/>
            </w:tcBorders>
            <w:vAlign w:val="top"/>
          </w:tcPr>
          <w:p w14:paraId="4BE8E455">
            <w:pPr>
              <w:spacing w:before="128" w:line="2851" w:lineRule="exact"/>
              <w:ind w:firstLine="78"/>
            </w:pPr>
            <w:r>
              <w:rPr>
                <w:position w:val="-57"/>
              </w:rPr>
              <w:drawing>
                <wp:inline distT="0" distB="0" distL="0" distR="0">
                  <wp:extent cx="2366645" cy="1810385"/>
                  <wp:effectExtent l="0" t="0" r="0" b="0"/>
                  <wp:docPr id="754" name="IM 754"/>
                  <wp:cNvGraphicFramePr/>
                  <a:graphic xmlns:a="http://schemas.openxmlformats.org/drawingml/2006/main">
                    <a:graphicData uri="http://schemas.openxmlformats.org/drawingml/2006/picture">
                      <pic:pic xmlns:pic="http://schemas.openxmlformats.org/drawingml/2006/picture">
                        <pic:nvPicPr>
                          <pic:cNvPr id="754" name="IM 754"/>
                          <pic:cNvPicPr/>
                        </pic:nvPicPr>
                        <pic:blipFill>
                          <a:blip r:embed="rId609"/>
                          <a:stretch>
                            <a:fillRect/>
                          </a:stretch>
                        </pic:blipFill>
                        <pic:spPr>
                          <a:xfrm>
                            <a:off x="0" y="0"/>
                            <a:ext cx="2366645" cy="1810385"/>
                          </a:xfrm>
                          <a:prstGeom prst="rect">
                            <a:avLst/>
                          </a:prstGeom>
                        </pic:spPr>
                      </pic:pic>
                    </a:graphicData>
                  </a:graphic>
                </wp:inline>
              </w:drawing>
            </w:r>
          </w:p>
        </w:tc>
      </w:tr>
      <w:tr w14:paraId="581732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628" w:hRule="atLeast"/>
        </w:trPr>
        <w:tc>
          <w:tcPr>
            <w:tcW w:w="4627" w:type="dxa"/>
            <w:tcBorders>
              <w:top w:val="single" w:color="000000" w:sz="2" w:space="0"/>
              <w:left w:val="single" w:color="1C456A" w:sz="4" w:space="0"/>
              <w:bottom w:val="single" w:color="1C456A" w:sz="4" w:space="0"/>
            </w:tcBorders>
            <w:vAlign w:val="top"/>
          </w:tcPr>
          <w:p w14:paraId="39A1ABE4">
            <w:pPr>
              <w:pStyle w:val="7"/>
              <w:spacing w:before="105" w:line="217" w:lineRule="auto"/>
              <w:ind w:left="1592"/>
            </w:pPr>
            <w:r>
              <w:pict>
                <v:shape id="_x0000_s1978" o:spid="_x0000_s1978" style="position:absolute;left:0pt;margin-left:-0.25pt;margin-top:31.45pt;height:0.75pt;width:2.2pt;mso-position-horizontal-relative:page;mso-position-vertical-relative:page;z-index:251899904;mso-width-relative:page;mso-height-relative:page;" fillcolor="#5B9BD5" filled="t" stroked="f" coordsize="44,15" path="m0,14l43,14,43,0,0,0,0,14xe">
                  <v:path/>
                  <v:fill on="t" focussize="0,0"/>
                  <v:stroke on="f"/>
                  <v:imagedata o:title=""/>
                  <o:lock v:ext="edit"/>
                </v:shape>
              </w:pict>
            </w:r>
            <w:r>
              <w:rPr>
                <w:spacing w:val="-22"/>
              </w:rPr>
              <w:t>电级箱正确接线</w:t>
            </w:r>
          </w:p>
        </w:tc>
        <w:tc>
          <w:tcPr>
            <w:tcW w:w="3922" w:type="dxa"/>
            <w:tcBorders>
              <w:top w:val="single" w:color="000000" w:sz="2" w:space="0"/>
              <w:bottom w:val="single" w:color="5B9BD5" w:sz="4" w:space="0"/>
              <w:right w:val="single" w:color="5B9BD5" w:sz="4" w:space="0"/>
            </w:tcBorders>
            <w:vAlign w:val="top"/>
          </w:tcPr>
          <w:p w14:paraId="4E0F3CB7">
            <w:pPr>
              <w:pStyle w:val="7"/>
              <w:spacing w:before="105" w:line="219" w:lineRule="auto"/>
              <w:ind w:left="1086"/>
            </w:pPr>
            <w:r>
              <w:rPr>
                <w:spacing w:val="-19"/>
              </w:rPr>
              <w:t>施工现场错误用电</w:t>
            </w:r>
          </w:p>
        </w:tc>
      </w:tr>
    </w:tbl>
    <w:p w14:paraId="256195EC">
      <w:pPr>
        <w:rPr>
          <w:rFonts w:ascii="Arial"/>
          <w:sz w:val="21"/>
        </w:rPr>
      </w:pPr>
    </w:p>
    <w:p w14:paraId="727C03FD">
      <w:pPr>
        <w:rPr>
          <w:rFonts w:ascii="Arial" w:hAnsi="Arial" w:eastAsia="Arial" w:cs="Arial"/>
          <w:sz w:val="21"/>
          <w:szCs w:val="21"/>
        </w:rPr>
        <w:sectPr>
          <w:footerReference r:id="rId139" w:type="default"/>
          <w:pgSz w:w="11907" w:h="16839"/>
          <w:pgMar w:top="954" w:right="4" w:bottom="1038" w:left="0" w:header="499" w:footer="357" w:gutter="0"/>
          <w:pgBorders>
            <w:top w:val="none" w:sz="0" w:space="0"/>
            <w:left w:val="none" w:sz="0" w:space="0"/>
            <w:bottom w:val="none" w:sz="0" w:space="0"/>
            <w:right w:val="none" w:sz="0" w:space="0"/>
          </w:pgBorders>
          <w:cols w:space="720" w:num="1"/>
        </w:sectPr>
      </w:pPr>
    </w:p>
    <w:p w14:paraId="101F70D0">
      <w:pPr>
        <w:spacing w:line="214" w:lineRule="exact"/>
      </w:pPr>
    </w:p>
    <w:tbl>
      <w:tblPr>
        <w:tblStyle w:val="6"/>
        <w:tblW w:w="8549" w:type="dxa"/>
        <w:tblInd w:w="167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620"/>
        <w:gridCol w:w="3929"/>
      </w:tblGrid>
      <w:tr w14:paraId="30AFEC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553" w:hRule="atLeast"/>
        </w:trPr>
        <w:tc>
          <w:tcPr>
            <w:tcW w:w="4620" w:type="dxa"/>
            <w:tcBorders>
              <w:bottom w:val="single" w:color="000000" w:sz="2" w:space="0"/>
            </w:tcBorders>
            <w:vAlign w:val="top"/>
          </w:tcPr>
          <w:p w14:paraId="10A7E8E2">
            <w:pPr>
              <w:spacing w:before="93" w:line="3252" w:lineRule="exact"/>
              <w:ind w:firstLine="68"/>
            </w:pPr>
            <w:r>
              <w:rPr>
                <w:position w:val="-65"/>
              </w:rPr>
              <w:drawing>
                <wp:inline distT="0" distB="0" distL="0" distR="0">
                  <wp:extent cx="2883535" cy="2065020"/>
                  <wp:effectExtent l="0" t="0" r="0" b="0"/>
                  <wp:docPr id="758" name="IM 758"/>
                  <wp:cNvGraphicFramePr/>
                  <a:graphic xmlns:a="http://schemas.openxmlformats.org/drawingml/2006/main">
                    <a:graphicData uri="http://schemas.openxmlformats.org/drawingml/2006/picture">
                      <pic:pic xmlns:pic="http://schemas.openxmlformats.org/drawingml/2006/picture">
                        <pic:nvPicPr>
                          <pic:cNvPr id="758" name="IM 758"/>
                          <pic:cNvPicPr/>
                        </pic:nvPicPr>
                        <pic:blipFill>
                          <a:blip r:embed="rId610"/>
                          <a:stretch>
                            <a:fillRect/>
                          </a:stretch>
                        </pic:blipFill>
                        <pic:spPr>
                          <a:xfrm>
                            <a:off x="0" y="0"/>
                            <a:ext cx="2883712" cy="2065020"/>
                          </a:xfrm>
                          <a:prstGeom prst="rect">
                            <a:avLst/>
                          </a:prstGeom>
                        </pic:spPr>
                      </pic:pic>
                    </a:graphicData>
                  </a:graphic>
                </wp:inline>
              </w:drawing>
            </w:r>
          </w:p>
        </w:tc>
        <w:tc>
          <w:tcPr>
            <w:tcW w:w="3929" w:type="dxa"/>
            <w:tcBorders>
              <w:top w:val="single" w:color="5B9BD5" w:sz="4" w:space="0"/>
              <w:bottom w:val="single" w:color="000000" w:sz="2" w:space="0"/>
              <w:right w:val="single" w:color="5B9BD5" w:sz="4" w:space="0"/>
            </w:tcBorders>
            <w:vAlign w:val="top"/>
          </w:tcPr>
          <w:p w14:paraId="5FA5A6DB">
            <w:pPr>
              <w:spacing w:before="141" w:line="3151" w:lineRule="exact"/>
              <w:ind w:firstLine="97"/>
            </w:pPr>
            <w:r>
              <w:rPr>
                <w:position w:val="-63"/>
              </w:rPr>
              <w:drawing>
                <wp:inline distT="0" distB="0" distL="0" distR="0">
                  <wp:extent cx="2351405" cy="2000250"/>
                  <wp:effectExtent l="0" t="0" r="0" b="0"/>
                  <wp:docPr id="760" name="IM 760"/>
                  <wp:cNvGraphicFramePr/>
                  <a:graphic xmlns:a="http://schemas.openxmlformats.org/drawingml/2006/main">
                    <a:graphicData uri="http://schemas.openxmlformats.org/drawingml/2006/picture">
                      <pic:pic xmlns:pic="http://schemas.openxmlformats.org/drawingml/2006/picture">
                        <pic:nvPicPr>
                          <pic:cNvPr id="760" name="IM 760"/>
                          <pic:cNvPicPr/>
                        </pic:nvPicPr>
                        <pic:blipFill>
                          <a:blip r:embed="rId611"/>
                          <a:stretch>
                            <a:fillRect/>
                          </a:stretch>
                        </pic:blipFill>
                        <pic:spPr>
                          <a:xfrm>
                            <a:off x="0" y="0"/>
                            <a:ext cx="2351405" cy="2000884"/>
                          </a:xfrm>
                          <a:prstGeom prst="rect">
                            <a:avLst/>
                          </a:prstGeom>
                        </pic:spPr>
                      </pic:pic>
                    </a:graphicData>
                  </a:graphic>
                </wp:inline>
              </w:drawing>
            </w:r>
          </w:p>
        </w:tc>
      </w:tr>
      <w:tr w14:paraId="46C45F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5" w:hRule="atLeast"/>
        </w:trPr>
        <w:tc>
          <w:tcPr>
            <w:tcW w:w="8549" w:type="dxa"/>
            <w:gridSpan w:val="2"/>
            <w:tcBorders>
              <w:top w:val="single" w:color="000000" w:sz="2" w:space="0"/>
              <w:left w:val="single" w:color="20507B" w:sz="4" w:space="0"/>
              <w:bottom w:val="single" w:color="20507B" w:sz="4" w:space="0"/>
              <w:right w:val="single" w:color="20507B" w:sz="4" w:space="0"/>
            </w:tcBorders>
            <w:vAlign w:val="top"/>
          </w:tcPr>
          <w:p w14:paraId="1D5F9182">
            <w:pPr>
              <w:pStyle w:val="7"/>
              <w:spacing w:before="102" w:line="217" w:lineRule="auto"/>
              <w:ind w:left="3195"/>
            </w:pPr>
            <w:r>
              <w:pict>
                <v:shape id="_x0000_s1980" o:spid="_x0000_s1980" style="position:absolute;left:0pt;margin-left:1.95pt;margin-top:29.8pt;height:0.75pt;width:423.7pt;mso-position-horizontal-relative:page;mso-position-vertical-relative:page;z-index:251902976;mso-width-relative:page;mso-height-relative:page;" fillcolor="#1C456A" filled="t" stroked="f" coordsize="8474,15" path="m0,14l8473,14,8473,0,0,0,0,14xe">
                  <v:path/>
                  <v:fill on="t" focussize="0,0"/>
                  <v:stroke on="f"/>
                  <v:imagedata o:title=""/>
                  <o:lock v:ext="edit"/>
                </v:shape>
              </w:pict>
            </w:r>
            <w:r>
              <w:rPr>
                <w:spacing w:val="-20"/>
              </w:rPr>
              <w:t>施工现场配备消防器材</w:t>
            </w:r>
          </w:p>
        </w:tc>
      </w:tr>
    </w:tbl>
    <w:p w14:paraId="1F88F468">
      <w:pPr>
        <w:pStyle w:val="2"/>
        <w:spacing w:before="80" w:line="217" w:lineRule="auto"/>
        <w:ind w:left="1979"/>
        <w:outlineLvl w:val="2"/>
        <w:rPr>
          <w:sz w:val="28"/>
          <w:szCs w:val="28"/>
        </w:rPr>
      </w:pPr>
      <w:bookmarkStart w:id="76" w:name="bookmark74"/>
      <w:bookmarkEnd w:id="76"/>
      <w:r>
        <w:rPr>
          <w:b/>
          <w:bCs/>
          <w:spacing w:val="-23"/>
          <w:sz w:val="28"/>
          <w:szCs w:val="28"/>
        </w:rPr>
        <w:t>六、编制专项方案，将严格实行防尘降噪措施</w:t>
      </w:r>
    </w:p>
    <w:p w14:paraId="1441191E">
      <w:pPr>
        <w:pStyle w:val="2"/>
        <w:spacing w:before="107" w:line="303" w:lineRule="auto"/>
        <w:ind w:left="1455" w:right="1410" w:firstLine="446"/>
        <w:jc w:val="both"/>
        <w:rPr>
          <w:sz w:val="24"/>
          <w:szCs w:val="24"/>
        </w:rPr>
      </w:pPr>
      <w:r>
        <w:rPr>
          <w:spacing w:val="-20"/>
          <w:sz w:val="24"/>
          <w:szCs w:val="24"/>
        </w:rPr>
        <w:t>我公司充分响应“绿色”的理念，环境保护是生态平衡的保证，为了减少或避免施工对环境的破坏，采用必要的措施。本工程的环境保护根据建设单位的招标文件、当地环境保护主管部门提出的环境要求，结合周围实际情，确定本工程施工过程中应予以充分重视的环境因素，以及极端气象条件可能对周围环境产生重大影响的环境因素，执行“以防为主、防治结合”的</w:t>
      </w:r>
      <w:r>
        <w:rPr>
          <w:spacing w:val="-18"/>
          <w:sz w:val="24"/>
          <w:szCs w:val="24"/>
        </w:rPr>
        <w:t>方针。严格按照《GB/T24000-ISO14001环境管理系列标准》执行，降低</w:t>
      </w:r>
      <w:r>
        <w:rPr>
          <w:spacing w:val="-19"/>
          <w:sz w:val="24"/>
          <w:szCs w:val="24"/>
        </w:rPr>
        <w:t>能源消耗，最大限度地</w:t>
      </w:r>
      <w:r>
        <w:rPr>
          <w:spacing w:val="-20"/>
          <w:sz w:val="24"/>
          <w:szCs w:val="24"/>
        </w:rPr>
        <w:t>保持环境的可持续发展，杜绝生产、生活中产生的各类污染源外泄，防止或消除造成对环境的破坏和对社会的不良影响，保证职工的身体健康。我公司将做好治理污染的预防措施，要求预防为主的观念，并贯穿于企业的全过程，采用防止、减少或控制污染的各个过程、管理、材料或产品。严格遵循ISO14000标准规定的要求，使环境管理贯穿到企业各个环节的控制。</w:t>
      </w:r>
    </w:p>
    <w:p w14:paraId="63FF9C7C">
      <w:pPr>
        <w:pStyle w:val="2"/>
        <w:spacing w:line="217" w:lineRule="auto"/>
        <w:ind w:left="4032"/>
        <w:outlineLvl w:val="1"/>
        <w:rPr>
          <w:sz w:val="30"/>
          <w:szCs w:val="30"/>
        </w:rPr>
      </w:pPr>
      <w:bookmarkStart w:id="77" w:name="bookmark304"/>
      <w:bookmarkEnd w:id="77"/>
      <w:r>
        <w:rPr>
          <w:b/>
          <w:bCs/>
          <w:color w:val="0070C0"/>
          <w:spacing w:val="-24"/>
          <w:sz w:val="30"/>
          <w:szCs w:val="30"/>
        </w:rPr>
        <w:t>第四节、施工现场安全规范管理</w:t>
      </w:r>
    </w:p>
    <w:p w14:paraId="55DC3B42">
      <w:pPr>
        <w:pStyle w:val="2"/>
        <w:spacing w:before="65" w:line="220" w:lineRule="auto"/>
        <w:ind w:left="1981"/>
        <w:outlineLvl w:val="2"/>
        <w:rPr>
          <w:sz w:val="28"/>
          <w:szCs w:val="28"/>
        </w:rPr>
      </w:pPr>
      <w:bookmarkStart w:id="78" w:name="bookmark75"/>
      <w:bookmarkEnd w:id="78"/>
      <w:bookmarkStart w:id="79" w:name="bookmark76"/>
      <w:bookmarkEnd w:id="79"/>
      <w:r>
        <w:rPr>
          <w:b/>
          <w:bCs/>
          <w:spacing w:val="-20"/>
          <w:sz w:val="28"/>
          <w:szCs w:val="28"/>
        </w:rPr>
        <w:t>一、生活区</w:t>
      </w:r>
    </w:p>
    <w:p w14:paraId="293C6847">
      <w:pPr>
        <w:pStyle w:val="2"/>
        <w:spacing w:before="100" w:line="262" w:lineRule="auto"/>
        <w:ind w:left="1455" w:right="1441" w:firstLine="447"/>
        <w:rPr>
          <w:sz w:val="24"/>
          <w:szCs w:val="24"/>
        </w:rPr>
      </w:pPr>
      <w:r>
        <w:rPr>
          <w:spacing w:val="-21"/>
          <w:sz w:val="24"/>
          <w:szCs w:val="24"/>
        </w:rPr>
        <w:t>1.1、围墙：围墙采用彩钢板围挡，高度不低于3米，长度每隔3</w:t>
      </w:r>
      <w:r>
        <w:rPr>
          <w:spacing w:val="-22"/>
          <w:sz w:val="24"/>
          <w:szCs w:val="24"/>
        </w:rPr>
        <w:t>～4米长度设一扶墙柱。</w:t>
      </w:r>
      <w:r>
        <w:rPr>
          <w:spacing w:val="-21"/>
          <w:sz w:val="24"/>
          <w:szCs w:val="24"/>
        </w:rPr>
        <w:t>双面抹灰，檐口设红瓦，白色墙身。</w:t>
      </w:r>
    </w:p>
    <w:p w14:paraId="1A17A819">
      <w:pPr>
        <w:pStyle w:val="2"/>
        <w:spacing w:before="120" w:line="263" w:lineRule="auto"/>
        <w:ind w:left="1457" w:right="1452" w:firstLine="446"/>
        <w:rPr>
          <w:sz w:val="24"/>
          <w:szCs w:val="24"/>
        </w:rPr>
      </w:pPr>
      <w:r>
        <w:rPr>
          <w:spacing w:val="-23"/>
          <w:sz w:val="24"/>
          <w:szCs w:val="24"/>
        </w:rPr>
        <w:t>1.2、大门：工地大门的设计采用铁门，大门立面形式详见企业形象识别系统手册。在进门</w:t>
      </w:r>
      <w:r>
        <w:rPr>
          <w:spacing w:val="-21"/>
          <w:sz w:val="24"/>
          <w:szCs w:val="24"/>
        </w:rPr>
        <w:t>处侧面设创建文明工地宣传标语。</w:t>
      </w:r>
    </w:p>
    <w:p w14:paraId="4820E0E1">
      <w:pPr>
        <w:pStyle w:val="2"/>
        <w:spacing w:before="116" w:line="262" w:lineRule="auto"/>
        <w:ind w:left="1455" w:right="1415" w:firstLine="447"/>
        <w:rPr>
          <w:sz w:val="24"/>
          <w:szCs w:val="24"/>
        </w:rPr>
      </w:pPr>
      <w:r>
        <w:rPr>
          <w:spacing w:val="-22"/>
          <w:sz w:val="24"/>
          <w:szCs w:val="24"/>
        </w:rPr>
        <w:t>1.3、门卫：进入工地大门的内侧设置门卫、接待站。要求严格履行门卫制度，对进出的材</w:t>
      </w:r>
      <w:r>
        <w:rPr>
          <w:spacing w:val="-21"/>
          <w:sz w:val="24"/>
          <w:szCs w:val="24"/>
        </w:rPr>
        <w:t>料、人员进行严格管理，做好安全保卫工作。</w:t>
      </w:r>
    </w:p>
    <w:p w14:paraId="70395E05">
      <w:pPr>
        <w:pStyle w:val="2"/>
        <w:spacing w:before="119" w:line="263" w:lineRule="auto"/>
        <w:ind w:left="1461" w:right="1412" w:firstLine="442"/>
        <w:rPr>
          <w:sz w:val="24"/>
          <w:szCs w:val="24"/>
        </w:rPr>
      </w:pPr>
      <w:r>
        <w:rPr>
          <w:spacing w:val="-22"/>
          <w:sz w:val="24"/>
          <w:szCs w:val="24"/>
        </w:rPr>
        <w:t>1.4、单位牌子：单位牌子采用长方形硬质塑料或金属牌，单位牌形式详见企业形象识别系</w:t>
      </w:r>
      <w:r>
        <w:rPr>
          <w:spacing w:val="-16"/>
          <w:sz w:val="24"/>
          <w:szCs w:val="24"/>
        </w:rPr>
        <w:t>统手册。</w:t>
      </w:r>
    </w:p>
    <w:p w14:paraId="7EDDF265">
      <w:pPr>
        <w:pStyle w:val="2"/>
        <w:spacing w:before="82" w:line="219" w:lineRule="auto"/>
        <w:ind w:left="1986"/>
        <w:outlineLvl w:val="2"/>
        <w:rPr>
          <w:sz w:val="28"/>
          <w:szCs w:val="28"/>
        </w:rPr>
      </w:pPr>
      <w:bookmarkStart w:id="80" w:name="bookmark77"/>
      <w:bookmarkEnd w:id="80"/>
      <w:r>
        <w:rPr>
          <w:b/>
          <w:bCs/>
          <w:spacing w:val="-22"/>
          <w:sz w:val="28"/>
          <w:szCs w:val="28"/>
        </w:rPr>
        <w:t>二、场容场貌</w:t>
      </w:r>
    </w:p>
    <w:p w14:paraId="162A89E7">
      <w:pPr>
        <w:pStyle w:val="2"/>
        <w:spacing w:before="103" w:line="261" w:lineRule="auto"/>
        <w:ind w:left="1465" w:right="1410" w:firstLine="422"/>
        <w:rPr>
          <w:sz w:val="24"/>
          <w:szCs w:val="24"/>
        </w:rPr>
      </w:pPr>
      <w:r>
        <w:rPr>
          <w:spacing w:val="-19"/>
          <w:sz w:val="24"/>
          <w:szCs w:val="24"/>
        </w:rPr>
        <w:t>2.1、道路：工地临时道路为100～150</w:t>
      </w:r>
      <w:r>
        <w:rPr>
          <w:spacing w:val="-20"/>
          <w:sz w:val="24"/>
          <w:szCs w:val="24"/>
        </w:rPr>
        <w:t>毫米厚混凝土硬化路面，保证平坦、整洁，排水顺</w:t>
      </w:r>
      <w:r>
        <w:rPr>
          <w:spacing w:val="-22"/>
          <w:sz w:val="24"/>
          <w:szCs w:val="24"/>
        </w:rPr>
        <w:t>畅。严禁在道路上堆放物料或占道施工。</w:t>
      </w:r>
    </w:p>
    <w:p w14:paraId="2B37B827">
      <w:pPr>
        <w:pStyle w:val="2"/>
        <w:spacing w:before="122" w:line="262" w:lineRule="auto"/>
        <w:ind w:left="1456" w:right="1427" w:firstLine="432"/>
        <w:rPr>
          <w:sz w:val="24"/>
          <w:szCs w:val="24"/>
        </w:rPr>
      </w:pPr>
      <w:r>
        <w:rPr>
          <w:spacing w:val="-22"/>
          <w:sz w:val="24"/>
          <w:szCs w:val="24"/>
        </w:rPr>
        <w:t>2.2、排水：地基与基础工程的室外回填土完成后，沿建筑物四周应设有组织的明沟排水，</w:t>
      </w:r>
      <w:r>
        <w:rPr>
          <w:spacing w:val="-21"/>
          <w:sz w:val="24"/>
          <w:szCs w:val="24"/>
        </w:rPr>
        <w:t>坡度不得小于0.5%，将雨水和生产用水及时排出。排水沟要做砼或砖衬砌表面抹砂浆，其排水</w:t>
      </w:r>
    </w:p>
    <w:p w14:paraId="0781FC5A">
      <w:pPr>
        <w:spacing w:line="262" w:lineRule="auto"/>
        <w:rPr>
          <w:sz w:val="24"/>
          <w:szCs w:val="24"/>
        </w:rPr>
        <w:sectPr>
          <w:footerReference r:id="rId140" w:type="default"/>
          <w:pgSz w:w="11907" w:h="16839"/>
          <w:pgMar w:top="954" w:right="4" w:bottom="1038" w:left="0" w:header="499" w:footer="357" w:gutter="0"/>
          <w:pgBorders>
            <w:top w:val="none" w:sz="0" w:space="0"/>
            <w:left w:val="none" w:sz="0" w:space="0"/>
            <w:bottom w:val="none" w:sz="0" w:space="0"/>
            <w:right w:val="none" w:sz="0" w:space="0"/>
          </w:pgBorders>
          <w:cols w:space="720" w:num="1"/>
        </w:sectPr>
      </w:pPr>
    </w:p>
    <w:p w14:paraId="217B99A3">
      <w:pPr>
        <w:spacing w:line="250" w:lineRule="auto"/>
        <w:rPr>
          <w:rFonts w:ascii="Arial"/>
          <w:sz w:val="21"/>
        </w:rPr>
      </w:pPr>
    </w:p>
    <w:p w14:paraId="1501150A">
      <w:pPr>
        <w:pStyle w:val="2"/>
        <w:spacing w:before="78" w:line="217" w:lineRule="auto"/>
        <w:ind w:left="1458"/>
        <w:rPr>
          <w:sz w:val="24"/>
          <w:szCs w:val="24"/>
        </w:rPr>
      </w:pPr>
      <w:r>
        <w:rPr>
          <w:spacing w:val="-21"/>
          <w:sz w:val="24"/>
          <w:szCs w:val="24"/>
        </w:rPr>
        <w:t>沟的宽窄深浅、坡度要满足现场排水量的要求，使施工现</w:t>
      </w:r>
      <w:r>
        <w:rPr>
          <w:spacing w:val="-22"/>
          <w:sz w:val="24"/>
          <w:szCs w:val="24"/>
        </w:rPr>
        <w:t>场无积水。</w:t>
      </w:r>
    </w:p>
    <w:p w14:paraId="3B2E3F6B">
      <w:pPr>
        <w:pStyle w:val="2"/>
        <w:spacing w:before="118" w:line="307" w:lineRule="auto"/>
        <w:ind w:left="1459" w:right="1411" w:firstLine="429"/>
        <w:rPr>
          <w:sz w:val="24"/>
          <w:szCs w:val="24"/>
        </w:rPr>
      </w:pPr>
      <w:r>
        <w:rPr>
          <w:spacing w:val="-21"/>
          <w:sz w:val="24"/>
          <w:szCs w:val="24"/>
        </w:rPr>
        <w:t>2.3、材料堆放：施工区平面布置要保证整洁、</w:t>
      </w:r>
      <w:r>
        <w:rPr>
          <w:spacing w:val="-22"/>
          <w:sz w:val="24"/>
          <w:szCs w:val="24"/>
        </w:rPr>
        <w:t>有序，便于管理。必须按现场平面布置图分</w:t>
      </w:r>
      <w:r>
        <w:rPr>
          <w:spacing w:val="-21"/>
          <w:sz w:val="24"/>
          <w:szCs w:val="24"/>
        </w:rPr>
        <w:t>类、分批、分规格堆放材料并标识。</w:t>
      </w:r>
    </w:p>
    <w:p w14:paraId="54FDD1C1">
      <w:pPr>
        <w:pStyle w:val="2"/>
        <w:spacing w:line="308" w:lineRule="auto"/>
        <w:ind w:left="1456" w:right="1410" w:firstLine="436"/>
        <w:jc w:val="both"/>
        <w:rPr>
          <w:sz w:val="24"/>
          <w:szCs w:val="24"/>
        </w:rPr>
      </w:pPr>
      <w:r>
        <w:rPr>
          <w:spacing w:val="-20"/>
          <w:sz w:val="24"/>
          <w:szCs w:val="24"/>
        </w:rPr>
        <w:t>材料堆放原则是：整齐合理堆放，既保证使用的方便，又保证现场的整洁美观；既保证正确的使用，又保证材料在使用过程中的质量和“先进先出”。对易造成扬尘的材料应采取防尘</w:t>
      </w:r>
      <w:r>
        <w:rPr>
          <w:spacing w:val="-21"/>
          <w:sz w:val="24"/>
          <w:szCs w:val="24"/>
        </w:rPr>
        <w:t>措施。</w:t>
      </w:r>
    </w:p>
    <w:p w14:paraId="130440D6">
      <w:pPr>
        <w:pStyle w:val="2"/>
        <w:spacing w:before="2" w:line="307" w:lineRule="auto"/>
        <w:ind w:left="1455" w:right="1414" w:firstLine="437"/>
        <w:jc w:val="both"/>
        <w:rPr>
          <w:sz w:val="24"/>
          <w:szCs w:val="24"/>
        </w:rPr>
      </w:pPr>
      <w:r>
        <w:rPr>
          <w:spacing w:val="-20"/>
          <w:sz w:val="24"/>
          <w:szCs w:val="24"/>
        </w:rPr>
        <w:t>砼搅拌机、钢筋制作、木料加工等均搭设作业棚；砂、石料堆场地面全部用混凝土硬化，砖砌成池，分池堆放；大中型施工机械就位、材料库房等位置设置合理；钢管、模板等周转材</w:t>
      </w:r>
      <w:r>
        <w:rPr>
          <w:spacing w:val="-19"/>
          <w:sz w:val="24"/>
          <w:szCs w:val="24"/>
        </w:rPr>
        <w:t>料分类堆放整齐。</w:t>
      </w:r>
    </w:p>
    <w:p w14:paraId="6EDEF709">
      <w:pPr>
        <w:pStyle w:val="2"/>
        <w:spacing w:line="294" w:lineRule="auto"/>
        <w:ind w:left="1457" w:right="1409" w:firstLine="435"/>
        <w:rPr>
          <w:sz w:val="24"/>
          <w:szCs w:val="24"/>
        </w:rPr>
      </w:pPr>
      <w:r>
        <w:rPr>
          <w:spacing w:val="-20"/>
          <w:sz w:val="24"/>
          <w:szCs w:val="24"/>
        </w:rPr>
        <w:t>砼构件、定型模板、成型钢筋、预埋铁件等材料分类、分规格堆放整齐，并标识其使用部</w:t>
      </w:r>
      <w:r>
        <w:rPr>
          <w:spacing w:val="-21"/>
          <w:sz w:val="24"/>
          <w:szCs w:val="24"/>
        </w:rPr>
        <w:t>位、数量、规格、生产日期等。</w:t>
      </w:r>
    </w:p>
    <w:p w14:paraId="373D0270">
      <w:pPr>
        <w:pStyle w:val="2"/>
        <w:spacing w:before="1" w:line="218" w:lineRule="auto"/>
        <w:ind w:left="1985"/>
        <w:outlineLvl w:val="2"/>
        <w:rPr>
          <w:sz w:val="28"/>
          <w:szCs w:val="28"/>
        </w:rPr>
      </w:pPr>
      <w:bookmarkStart w:id="81" w:name="bookmark78"/>
      <w:bookmarkEnd w:id="81"/>
      <w:r>
        <w:rPr>
          <w:b/>
          <w:bCs/>
          <w:spacing w:val="-22"/>
          <w:sz w:val="28"/>
          <w:szCs w:val="28"/>
        </w:rPr>
        <w:t>三、标牌标识</w:t>
      </w:r>
    </w:p>
    <w:p w14:paraId="65CFE948">
      <w:pPr>
        <w:pStyle w:val="2"/>
        <w:spacing w:before="104" w:line="218" w:lineRule="auto"/>
        <w:ind w:left="1890"/>
        <w:rPr>
          <w:sz w:val="24"/>
          <w:szCs w:val="24"/>
        </w:rPr>
      </w:pPr>
      <w:r>
        <w:rPr>
          <w:spacing w:val="-18"/>
          <w:sz w:val="24"/>
          <w:szCs w:val="24"/>
        </w:rPr>
        <w:t>3.1“十牌一图”齐全整洁</w:t>
      </w:r>
    </w:p>
    <w:p w14:paraId="6DC1F19F">
      <w:pPr>
        <w:pStyle w:val="2"/>
        <w:spacing w:before="116" w:line="308" w:lineRule="auto"/>
        <w:ind w:left="1455" w:right="1339" w:firstLine="439"/>
        <w:rPr>
          <w:sz w:val="24"/>
          <w:szCs w:val="24"/>
        </w:rPr>
      </w:pPr>
      <w:r>
        <w:rPr>
          <w:spacing w:val="-27"/>
          <w:sz w:val="24"/>
          <w:szCs w:val="24"/>
        </w:rPr>
        <w:t>在进入现场大门处设宣传栏，栏内设置公司质量方针、HSE管理方针和六牌一图：施工标牌、</w:t>
      </w:r>
      <w:r>
        <w:rPr>
          <w:spacing w:val="-20"/>
          <w:sz w:val="24"/>
          <w:szCs w:val="24"/>
        </w:rPr>
        <w:t>施工项目岗位责任牌、施工十项安全技术措施牌、施工现场纪律牌、施工现场管理牌、施工现</w:t>
      </w:r>
      <w:r>
        <w:rPr>
          <w:spacing w:val="-21"/>
          <w:sz w:val="24"/>
          <w:szCs w:val="24"/>
        </w:rPr>
        <w:t>场防火规定牌和施工现场平面布置图。六牌一图均采用质监</w:t>
      </w:r>
      <w:r>
        <w:rPr>
          <w:spacing w:val="-22"/>
          <w:sz w:val="24"/>
          <w:szCs w:val="24"/>
        </w:rPr>
        <w:t>站统一规定的标识牌模式。</w:t>
      </w:r>
    </w:p>
    <w:p w14:paraId="742DE660">
      <w:pPr>
        <w:pStyle w:val="2"/>
        <w:spacing w:before="1" w:line="218" w:lineRule="auto"/>
        <w:ind w:left="1890"/>
        <w:rPr>
          <w:sz w:val="24"/>
          <w:szCs w:val="24"/>
        </w:rPr>
      </w:pPr>
      <w:r>
        <w:rPr>
          <w:spacing w:val="-17"/>
          <w:sz w:val="24"/>
          <w:szCs w:val="24"/>
        </w:rPr>
        <w:t>3.2施工区域标志醒目</w:t>
      </w:r>
    </w:p>
    <w:p w14:paraId="689BE8E9">
      <w:pPr>
        <w:pStyle w:val="2"/>
        <w:spacing w:before="114" w:line="308" w:lineRule="auto"/>
        <w:ind w:left="1431" w:right="1343" w:firstLine="463"/>
        <w:rPr>
          <w:sz w:val="24"/>
          <w:szCs w:val="24"/>
        </w:rPr>
      </w:pPr>
      <w:r>
        <w:rPr>
          <w:spacing w:val="-20"/>
          <w:sz w:val="24"/>
          <w:szCs w:val="24"/>
        </w:rPr>
        <w:t>在进入施工现场门口的醒目处，悬挂“进入施工现场，请戴好安全帽”提示标语；在井架</w:t>
      </w:r>
      <w:r>
        <w:rPr>
          <w:spacing w:val="-28"/>
          <w:sz w:val="24"/>
          <w:szCs w:val="24"/>
        </w:rPr>
        <w:t>上、通道口、脚手架等处分别悬挂“注意安全”、“当心吊物”、“当心落物”、“安全通道”、</w:t>
      </w:r>
      <w:r>
        <w:rPr>
          <w:spacing w:val="-21"/>
          <w:sz w:val="24"/>
          <w:szCs w:val="24"/>
        </w:rPr>
        <w:t>“必须系安全带”等警告标志牌。钢管、栏杆、踢脚板等防护设施色标应清晰可见。</w:t>
      </w:r>
    </w:p>
    <w:p w14:paraId="3B3DCA21">
      <w:pPr>
        <w:pStyle w:val="2"/>
        <w:spacing w:line="218" w:lineRule="auto"/>
        <w:ind w:left="1890"/>
        <w:rPr>
          <w:sz w:val="24"/>
          <w:szCs w:val="24"/>
        </w:rPr>
      </w:pPr>
      <w:r>
        <w:rPr>
          <w:spacing w:val="-19"/>
          <w:sz w:val="24"/>
          <w:szCs w:val="24"/>
        </w:rPr>
        <w:t>3.3危险区域禁令标志明显</w:t>
      </w:r>
    </w:p>
    <w:p w14:paraId="632A37F5">
      <w:pPr>
        <w:pStyle w:val="2"/>
        <w:spacing w:before="116" w:line="308" w:lineRule="auto"/>
        <w:ind w:left="1455" w:right="1185" w:firstLine="439"/>
        <w:rPr>
          <w:sz w:val="24"/>
          <w:szCs w:val="24"/>
        </w:rPr>
      </w:pPr>
      <w:r>
        <w:rPr>
          <w:spacing w:val="-20"/>
          <w:sz w:val="24"/>
          <w:szCs w:val="24"/>
        </w:rPr>
        <w:t>在预留洞口、坑井口、通道口边等危险区域设置“禁止跨越”、“禁止停留”等禁令标志</w:t>
      </w:r>
      <w:r>
        <w:rPr>
          <w:spacing w:val="-19"/>
          <w:sz w:val="24"/>
          <w:szCs w:val="24"/>
        </w:rPr>
        <w:t>牌；在库房、木工棚、配电室、电焊气割场所</w:t>
      </w:r>
      <w:r>
        <w:rPr>
          <w:spacing w:val="-20"/>
          <w:sz w:val="24"/>
          <w:szCs w:val="24"/>
        </w:rPr>
        <w:t>设置“禁止吸烟”、“预防火患”、“禁止触摸”</w:t>
      </w:r>
      <w:r>
        <w:rPr>
          <w:spacing w:val="-21"/>
          <w:sz w:val="24"/>
          <w:szCs w:val="24"/>
        </w:rPr>
        <w:t>等标志牌。警告标志牌和禁令标志牌采用质监站统一制定的标</w:t>
      </w:r>
      <w:r>
        <w:rPr>
          <w:spacing w:val="-22"/>
          <w:sz w:val="24"/>
          <w:szCs w:val="24"/>
        </w:rPr>
        <w:t>志牌。</w:t>
      </w:r>
    </w:p>
    <w:p w14:paraId="3A11A34E">
      <w:pPr>
        <w:pStyle w:val="2"/>
        <w:spacing w:line="218" w:lineRule="auto"/>
        <w:ind w:left="1890"/>
        <w:rPr>
          <w:sz w:val="24"/>
          <w:szCs w:val="24"/>
        </w:rPr>
      </w:pPr>
      <w:r>
        <w:rPr>
          <w:spacing w:val="-8"/>
          <w:sz w:val="24"/>
          <w:szCs w:val="24"/>
        </w:rPr>
        <w:t>3.4设备“一机四牌”</w:t>
      </w:r>
    </w:p>
    <w:p w14:paraId="579F7039">
      <w:pPr>
        <w:pStyle w:val="2"/>
        <w:spacing w:before="115" w:line="308" w:lineRule="auto"/>
        <w:ind w:left="1455" w:right="1409" w:firstLine="438"/>
        <w:rPr>
          <w:sz w:val="24"/>
          <w:szCs w:val="24"/>
        </w:rPr>
      </w:pPr>
      <w:r>
        <w:rPr>
          <w:spacing w:val="-20"/>
          <w:sz w:val="24"/>
          <w:szCs w:val="24"/>
        </w:rPr>
        <w:t>本工程所用的所有机械设备均做到一机四牌（即操作规程牌、验收合格牌、操作人员岗位责任制牌、维修责任人牌</w:t>
      </w:r>
      <w:r>
        <w:rPr>
          <w:spacing w:val="-15"/>
          <w:sz w:val="24"/>
          <w:szCs w:val="24"/>
        </w:rPr>
        <w:t>），</w:t>
      </w:r>
      <w:r>
        <w:rPr>
          <w:spacing w:val="-20"/>
          <w:sz w:val="24"/>
          <w:szCs w:val="24"/>
        </w:rPr>
        <w:t>配置一机一保一闸一箱一锁。在箱门内侧设置线路布局图。操作规程牌和操作人员岗位责任制牌形式采用质监站统一制定的标志牌，验收合格证牌和责任人牌</w:t>
      </w:r>
      <w:r>
        <w:rPr>
          <w:spacing w:val="-15"/>
          <w:sz w:val="24"/>
          <w:szCs w:val="24"/>
        </w:rPr>
        <w:t>形式采用35cm×35cm的正方形木质标识牌。</w:t>
      </w:r>
    </w:p>
    <w:p w14:paraId="48C95826">
      <w:pPr>
        <w:pStyle w:val="2"/>
        <w:spacing w:line="218" w:lineRule="auto"/>
        <w:ind w:left="1890"/>
        <w:rPr>
          <w:sz w:val="24"/>
          <w:szCs w:val="24"/>
        </w:rPr>
      </w:pPr>
      <w:r>
        <w:rPr>
          <w:spacing w:val="-16"/>
          <w:sz w:val="24"/>
          <w:szCs w:val="24"/>
        </w:rPr>
        <w:t>3.5文明礼貌标语</w:t>
      </w:r>
    </w:p>
    <w:p w14:paraId="08F696E4">
      <w:pPr>
        <w:pStyle w:val="2"/>
        <w:spacing w:before="116" w:line="308" w:lineRule="auto"/>
        <w:ind w:left="1455" w:right="1410" w:firstLine="439"/>
        <w:rPr>
          <w:sz w:val="24"/>
          <w:szCs w:val="24"/>
        </w:rPr>
      </w:pPr>
      <w:r>
        <w:rPr>
          <w:spacing w:val="-20"/>
          <w:sz w:val="24"/>
          <w:szCs w:val="24"/>
        </w:rPr>
        <w:t>在生活区、施工区的临街立面，布置：“与您并肩保护环境、关心健康”、“施工给您带来不便，敬请谅解”、“正在施工、请勿靠近、注意安全”等文明礼貌标语，以培养和增强员工的社会公德意识，妥善处理好周边关系，避免或减少对四邻的干扰，为施工创造一个良好的</w:t>
      </w:r>
      <w:r>
        <w:rPr>
          <w:spacing w:val="-17"/>
          <w:sz w:val="24"/>
          <w:szCs w:val="24"/>
        </w:rPr>
        <w:t>施工环境。</w:t>
      </w:r>
    </w:p>
    <w:p w14:paraId="6899E6E6">
      <w:pPr>
        <w:pStyle w:val="2"/>
        <w:spacing w:line="218" w:lineRule="auto"/>
        <w:ind w:left="1890"/>
        <w:rPr>
          <w:sz w:val="24"/>
          <w:szCs w:val="24"/>
        </w:rPr>
      </w:pPr>
      <w:r>
        <w:rPr>
          <w:spacing w:val="-17"/>
          <w:sz w:val="24"/>
          <w:szCs w:val="24"/>
        </w:rPr>
        <w:t>3.6施工人员持证上岗</w:t>
      </w:r>
    </w:p>
    <w:p w14:paraId="1D53D43C">
      <w:pPr>
        <w:pStyle w:val="2"/>
        <w:spacing w:before="115" w:line="217" w:lineRule="auto"/>
        <w:ind w:left="1894"/>
        <w:rPr>
          <w:sz w:val="24"/>
          <w:szCs w:val="24"/>
        </w:rPr>
      </w:pPr>
      <w:r>
        <w:rPr>
          <w:spacing w:val="-22"/>
          <w:sz w:val="24"/>
          <w:szCs w:val="24"/>
        </w:rPr>
        <w:t>项目部所有管理人员要挂胸卡上岗。卡上的内容有：项目部名称、姓名、岗位、本人照片。</w:t>
      </w:r>
    </w:p>
    <w:p w14:paraId="6521C748">
      <w:pPr>
        <w:spacing w:line="217" w:lineRule="auto"/>
        <w:rPr>
          <w:sz w:val="24"/>
          <w:szCs w:val="24"/>
        </w:rPr>
        <w:sectPr>
          <w:footerReference r:id="rId141" w:type="default"/>
          <w:pgSz w:w="11907" w:h="16839"/>
          <w:pgMar w:top="954" w:right="4" w:bottom="1038" w:left="0" w:header="499" w:footer="357" w:gutter="0"/>
          <w:pgBorders>
            <w:top w:val="none" w:sz="0" w:space="0"/>
            <w:left w:val="none" w:sz="0" w:space="0"/>
            <w:bottom w:val="none" w:sz="0" w:space="0"/>
            <w:right w:val="none" w:sz="0" w:space="0"/>
          </w:pgBorders>
          <w:cols w:space="720" w:num="1"/>
        </w:sectPr>
      </w:pPr>
    </w:p>
    <w:p w14:paraId="0B7EE277">
      <w:pPr>
        <w:spacing w:line="250" w:lineRule="auto"/>
        <w:rPr>
          <w:rFonts w:ascii="Arial"/>
          <w:sz w:val="21"/>
        </w:rPr>
      </w:pPr>
    </w:p>
    <w:p w14:paraId="5BFC2853">
      <w:pPr>
        <w:pStyle w:val="2"/>
        <w:spacing w:before="78" w:line="216" w:lineRule="auto"/>
        <w:ind w:left="1458"/>
        <w:rPr>
          <w:sz w:val="24"/>
          <w:szCs w:val="24"/>
        </w:rPr>
      </w:pPr>
      <w:r>
        <w:rPr>
          <w:spacing w:val="-21"/>
          <w:sz w:val="24"/>
          <w:szCs w:val="24"/>
        </w:rPr>
        <w:t>上岗证由项目部统一制作、填写、发放。作业人员应佩戴</w:t>
      </w:r>
      <w:r>
        <w:rPr>
          <w:spacing w:val="-22"/>
          <w:sz w:val="24"/>
          <w:szCs w:val="24"/>
        </w:rPr>
        <w:t>个人执业资格培训上岗证。</w:t>
      </w:r>
    </w:p>
    <w:p w14:paraId="64CC4992">
      <w:pPr>
        <w:pStyle w:val="2"/>
        <w:spacing w:before="86" w:line="216" w:lineRule="auto"/>
        <w:ind w:left="2010"/>
        <w:outlineLvl w:val="2"/>
        <w:rPr>
          <w:sz w:val="28"/>
          <w:szCs w:val="28"/>
        </w:rPr>
      </w:pPr>
      <w:bookmarkStart w:id="82" w:name="bookmark79"/>
      <w:bookmarkEnd w:id="82"/>
      <w:r>
        <w:rPr>
          <w:b/>
          <w:bCs/>
          <w:spacing w:val="-25"/>
          <w:sz w:val="28"/>
          <w:szCs w:val="28"/>
        </w:rPr>
        <w:t>四、作业条件环境保护</w:t>
      </w:r>
    </w:p>
    <w:p w14:paraId="29DE0F98">
      <w:pPr>
        <w:pStyle w:val="2"/>
        <w:spacing w:before="105" w:line="216" w:lineRule="auto"/>
        <w:ind w:left="1884"/>
        <w:rPr>
          <w:sz w:val="24"/>
          <w:szCs w:val="24"/>
        </w:rPr>
      </w:pPr>
      <w:r>
        <w:rPr>
          <w:spacing w:val="-7"/>
          <w:sz w:val="24"/>
          <w:szCs w:val="24"/>
        </w:rPr>
        <w:t>4.1工作防护棚</w:t>
      </w:r>
    </w:p>
    <w:p w14:paraId="3E36D50D">
      <w:pPr>
        <w:pStyle w:val="2"/>
        <w:spacing w:before="121" w:line="307" w:lineRule="auto"/>
        <w:ind w:left="1457" w:right="1410" w:firstLine="436"/>
        <w:rPr>
          <w:sz w:val="24"/>
          <w:szCs w:val="24"/>
        </w:rPr>
      </w:pPr>
      <w:r>
        <w:rPr>
          <w:spacing w:val="-20"/>
          <w:sz w:val="24"/>
          <w:szCs w:val="24"/>
        </w:rPr>
        <w:t>地面固定作业及机械设备均搭设工作防护棚，工作棚用钢管搭设而成，防护棚用架板双层</w:t>
      </w:r>
      <w:r>
        <w:rPr>
          <w:spacing w:val="-21"/>
          <w:sz w:val="24"/>
          <w:szCs w:val="24"/>
        </w:rPr>
        <w:t>搭设。工作棚应满足工作安全、防雨、防尘、采光、通风、</w:t>
      </w:r>
      <w:r>
        <w:rPr>
          <w:spacing w:val="-22"/>
          <w:sz w:val="24"/>
          <w:szCs w:val="24"/>
        </w:rPr>
        <w:t>作业等要求。</w:t>
      </w:r>
    </w:p>
    <w:p w14:paraId="72861604">
      <w:pPr>
        <w:pStyle w:val="2"/>
        <w:spacing w:line="216" w:lineRule="auto"/>
        <w:ind w:left="1884"/>
        <w:rPr>
          <w:sz w:val="24"/>
          <w:szCs w:val="24"/>
        </w:rPr>
      </w:pPr>
      <w:r>
        <w:rPr>
          <w:spacing w:val="-14"/>
          <w:sz w:val="24"/>
          <w:szCs w:val="24"/>
        </w:rPr>
        <w:t>4.2环境保护</w:t>
      </w:r>
    </w:p>
    <w:p w14:paraId="764FEFBB">
      <w:pPr>
        <w:pStyle w:val="2"/>
        <w:spacing w:before="117" w:line="308" w:lineRule="auto"/>
        <w:ind w:left="1462" w:right="1410" w:firstLine="431"/>
        <w:rPr>
          <w:sz w:val="24"/>
          <w:szCs w:val="24"/>
        </w:rPr>
      </w:pPr>
      <w:r>
        <w:rPr>
          <w:spacing w:val="-20"/>
          <w:sz w:val="24"/>
          <w:szCs w:val="24"/>
        </w:rPr>
        <w:t>建筑施工工地的环境污染源主要是噪声、粉尘、废水，而这些环境污染将直接影响工地职工及周围居民的工作和生活。因此，切实做好环境保护工作是体现科学管理、创建文明工地的</w:t>
      </w:r>
      <w:r>
        <w:rPr>
          <w:spacing w:val="-19"/>
          <w:sz w:val="24"/>
          <w:szCs w:val="24"/>
        </w:rPr>
        <w:t>主要内容之一。</w:t>
      </w:r>
    </w:p>
    <w:p w14:paraId="5571431C">
      <w:pPr>
        <w:pStyle w:val="2"/>
        <w:spacing w:line="218" w:lineRule="auto"/>
        <w:ind w:left="1884"/>
        <w:rPr>
          <w:sz w:val="24"/>
          <w:szCs w:val="24"/>
        </w:rPr>
      </w:pPr>
      <w:r>
        <w:rPr>
          <w:spacing w:val="-17"/>
          <w:sz w:val="24"/>
          <w:szCs w:val="24"/>
        </w:rPr>
        <w:t>4.2.1防止施工噪声污染</w:t>
      </w:r>
    </w:p>
    <w:p w14:paraId="1908D8CB">
      <w:pPr>
        <w:pStyle w:val="2"/>
        <w:spacing w:before="119" w:line="217" w:lineRule="auto"/>
        <w:ind w:left="1886"/>
        <w:rPr>
          <w:sz w:val="24"/>
          <w:szCs w:val="24"/>
        </w:rPr>
      </w:pPr>
      <w:r>
        <w:rPr>
          <w:spacing w:val="-18"/>
          <w:sz w:val="24"/>
          <w:szCs w:val="24"/>
        </w:rPr>
        <w:t>a、人为的噪声控制措施</w:t>
      </w:r>
    </w:p>
    <w:p w14:paraId="5AC27CEF">
      <w:pPr>
        <w:pStyle w:val="2"/>
        <w:spacing w:before="115" w:line="217" w:lineRule="auto"/>
        <w:ind w:left="1893"/>
        <w:rPr>
          <w:sz w:val="24"/>
          <w:szCs w:val="24"/>
        </w:rPr>
      </w:pPr>
      <w:r>
        <w:rPr>
          <w:spacing w:val="-22"/>
          <w:sz w:val="24"/>
          <w:szCs w:val="24"/>
        </w:rPr>
        <w:t>尽量减少人为的大声喧哗和铁器、硬物碰击，增强全体施工人员防止噪声扰民的自觉意识。</w:t>
      </w:r>
    </w:p>
    <w:p w14:paraId="45BA69D6">
      <w:pPr>
        <w:pStyle w:val="2"/>
        <w:spacing w:before="119" w:line="216" w:lineRule="auto"/>
        <w:ind w:left="1882"/>
        <w:rPr>
          <w:sz w:val="24"/>
          <w:szCs w:val="24"/>
        </w:rPr>
      </w:pPr>
      <w:r>
        <w:rPr>
          <w:spacing w:val="-18"/>
          <w:sz w:val="24"/>
          <w:szCs w:val="24"/>
        </w:rPr>
        <w:t>b、减少夜间作业时间</w:t>
      </w:r>
    </w:p>
    <w:p w14:paraId="256F3702">
      <w:pPr>
        <w:pStyle w:val="2"/>
        <w:spacing w:before="120" w:line="307" w:lineRule="auto"/>
        <w:ind w:left="1473" w:right="1423" w:firstLine="426"/>
        <w:rPr>
          <w:sz w:val="24"/>
          <w:szCs w:val="24"/>
        </w:rPr>
      </w:pPr>
      <w:r>
        <w:rPr>
          <w:spacing w:val="-21"/>
          <w:sz w:val="24"/>
          <w:szCs w:val="24"/>
        </w:rPr>
        <w:t>合理安排作业时间及调整施工工序，尽量安排在白天作业，若必须晚间作业且超过22：</w:t>
      </w:r>
      <w:r>
        <w:rPr>
          <w:spacing w:val="-22"/>
          <w:sz w:val="24"/>
          <w:szCs w:val="24"/>
        </w:rPr>
        <w:t>00时，须尽量利用噪声小的机械施工。</w:t>
      </w:r>
    </w:p>
    <w:p w14:paraId="361E5B54">
      <w:pPr>
        <w:pStyle w:val="2"/>
        <w:spacing w:before="1" w:line="262" w:lineRule="auto"/>
        <w:ind w:left="1462" w:right="1434" w:firstLine="428"/>
        <w:rPr>
          <w:sz w:val="24"/>
          <w:szCs w:val="24"/>
        </w:rPr>
      </w:pPr>
      <w:r>
        <w:rPr>
          <w:spacing w:val="-23"/>
          <w:sz w:val="24"/>
          <w:szCs w:val="24"/>
        </w:rPr>
        <w:t>c、易产生强噪声的成品、半成品加工作业，尽量放在工厂车间内完成，减少因施工现场加</w:t>
      </w:r>
      <w:r>
        <w:rPr>
          <w:spacing w:val="-22"/>
          <w:sz w:val="24"/>
          <w:szCs w:val="24"/>
        </w:rPr>
        <w:t>工制作产生的噪声。</w:t>
      </w:r>
    </w:p>
    <w:p w14:paraId="61ADC876">
      <w:pPr>
        <w:pStyle w:val="2"/>
        <w:spacing w:before="118" w:line="262" w:lineRule="auto"/>
        <w:ind w:left="1456" w:right="1411" w:firstLine="434"/>
        <w:rPr>
          <w:sz w:val="24"/>
          <w:szCs w:val="24"/>
        </w:rPr>
      </w:pPr>
      <w:r>
        <w:rPr>
          <w:spacing w:val="-22"/>
          <w:sz w:val="24"/>
          <w:szCs w:val="24"/>
        </w:rPr>
        <w:t>d、施工现场的强噪音机械如：搅拌机、电锯、振动棒、砂轮机等施工作业尽量放在封</w:t>
      </w:r>
      <w:r>
        <w:rPr>
          <w:spacing w:val="-23"/>
          <w:sz w:val="24"/>
          <w:szCs w:val="24"/>
        </w:rPr>
        <w:t>闭的</w:t>
      </w:r>
      <w:r>
        <w:rPr>
          <w:spacing w:val="-21"/>
          <w:sz w:val="24"/>
          <w:szCs w:val="24"/>
        </w:rPr>
        <w:t>机械棚内或在白天施工，以致不影响他人的休息。</w:t>
      </w:r>
    </w:p>
    <w:p w14:paraId="75B913CB">
      <w:pPr>
        <w:pStyle w:val="2"/>
        <w:spacing w:before="121" w:line="218" w:lineRule="auto"/>
        <w:ind w:left="1884"/>
        <w:rPr>
          <w:sz w:val="24"/>
          <w:szCs w:val="24"/>
        </w:rPr>
      </w:pPr>
      <w:r>
        <w:rPr>
          <w:spacing w:val="-16"/>
          <w:sz w:val="24"/>
          <w:szCs w:val="24"/>
        </w:rPr>
        <w:t>4.2.2防止空气污染</w:t>
      </w:r>
    </w:p>
    <w:p w14:paraId="0D6308A7">
      <w:pPr>
        <w:pStyle w:val="2"/>
        <w:spacing w:before="116" w:line="263" w:lineRule="auto"/>
        <w:ind w:left="1456" w:right="1412" w:firstLine="430"/>
        <w:rPr>
          <w:sz w:val="24"/>
          <w:szCs w:val="24"/>
        </w:rPr>
      </w:pPr>
      <w:r>
        <w:rPr>
          <w:spacing w:val="-22"/>
          <w:sz w:val="24"/>
          <w:szCs w:val="24"/>
        </w:rPr>
        <w:t>a、垃圾随时清理、外运，垃圾归堆时严禁随意凌空抛洒造成扬尘；现场开挖后的堆积土要</w:t>
      </w:r>
      <w:r>
        <w:rPr>
          <w:spacing w:val="-21"/>
          <w:sz w:val="24"/>
          <w:szCs w:val="24"/>
        </w:rPr>
        <w:t>洒水固化或覆盖处理；施工垃圾清运时适量洒水、覆盖减少</w:t>
      </w:r>
      <w:r>
        <w:rPr>
          <w:spacing w:val="-22"/>
          <w:sz w:val="24"/>
          <w:szCs w:val="24"/>
        </w:rPr>
        <w:t>扬尘。</w:t>
      </w:r>
    </w:p>
    <w:p w14:paraId="55239EB1">
      <w:pPr>
        <w:pStyle w:val="2"/>
        <w:spacing w:before="118" w:line="262" w:lineRule="auto"/>
        <w:ind w:left="1456" w:right="1430" w:firstLine="425"/>
        <w:rPr>
          <w:sz w:val="24"/>
          <w:szCs w:val="24"/>
        </w:rPr>
      </w:pPr>
      <w:r>
        <w:rPr>
          <w:spacing w:val="-22"/>
          <w:sz w:val="24"/>
          <w:szCs w:val="24"/>
        </w:rPr>
        <w:t>b、袋装水泥由专库存放，并在进出货过程中轻拿轻放，减少粉</w:t>
      </w:r>
      <w:r>
        <w:rPr>
          <w:spacing w:val="-23"/>
          <w:sz w:val="24"/>
          <w:szCs w:val="24"/>
        </w:rPr>
        <w:t>尘污染。白灰采用袋装。球</w:t>
      </w:r>
      <w:r>
        <w:rPr>
          <w:spacing w:val="-20"/>
          <w:sz w:val="24"/>
          <w:szCs w:val="24"/>
        </w:rPr>
        <w:t>磨白灰减少过筛扬尘。</w:t>
      </w:r>
    </w:p>
    <w:p w14:paraId="4A4109F0">
      <w:pPr>
        <w:pStyle w:val="2"/>
        <w:spacing w:before="117" w:line="218" w:lineRule="auto"/>
        <w:ind w:left="1890"/>
        <w:rPr>
          <w:sz w:val="24"/>
          <w:szCs w:val="24"/>
        </w:rPr>
      </w:pPr>
      <w:r>
        <w:rPr>
          <w:spacing w:val="-21"/>
          <w:sz w:val="24"/>
          <w:szCs w:val="24"/>
        </w:rPr>
        <w:t>c、施工现场道路全部用混凝土硬化，随时清扫洒水，防止道路扬尘。</w:t>
      </w:r>
    </w:p>
    <w:p w14:paraId="1C17CF3B">
      <w:pPr>
        <w:pStyle w:val="2"/>
        <w:spacing w:before="117" w:line="262" w:lineRule="auto"/>
        <w:ind w:left="1460" w:right="1412" w:firstLine="430"/>
        <w:rPr>
          <w:sz w:val="24"/>
          <w:szCs w:val="24"/>
        </w:rPr>
      </w:pPr>
      <w:r>
        <w:rPr>
          <w:spacing w:val="-22"/>
          <w:sz w:val="24"/>
          <w:szCs w:val="24"/>
        </w:rPr>
        <w:t>d、施工现场入口处设置车辆冲洗台，对车轮沾染泥沙的车辆全部用高压喷头冲洗干</w:t>
      </w:r>
      <w:r>
        <w:rPr>
          <w:spacing w:val="-23"/>
          <w:sz w:val="24"/>
          <w:szCs w:val="24"/>
        </w:rPr>
        <w:t>净后方</w:t>
      </w:r>
      <w:r>
        <w:rPr>
          <w:spacing w:val="-19"/>
          <w:sz w:val="24"/>
          <w:szCs w:val="24"/>
        </w:rPr>
        <w:t>可出入现场大门。</w:t>
      </w:r>
    </w:p>
    <w:p w14:paraId="78E64562">
      <w:pPr>
        <w:pStyle w:val="2"/>
        <w:spacing w:before="117" w:line="266" w:lineRule="auto"/>
        <w:ind w:left="1460" w:right="1412" w:firstLine="431"/>
        <w:rPr>
          <w:sz w:val="24"/>
          <w:szCs w:val="24"/>
        </w:rPr>
      </w:pPr>
      <w:r>
        <w:rPr>
          <w:spacing w:val="-22"/>
          <w:sz w:val="24"/>
          <w:szCs w:val="24"/>
        </w:rPr>
        <w:t>e、严禁违章明火作业，需要明火时必须经过办理动火许可后方可动火，但应控制</w:t>
      </w:r>
      <w:r>
        <w:rPr>
          <w:spacing w:val="-23"/>
          <w:sz w:val="24"/>
          <w:szCs w:val="24"/>
        </w:rPr>
        <w:t>烟尘排放</w:t>
      </w:r>
      <w:r>
        <w:rPr>
          <w:spacing w:val="-19"/>
          <w:sz w:val="24"/>
          <w:szCs w:val="24"/>
        </w:rPr>
        <w:t>量。</w:t>
      </w:r>
    </w:p>
    <w:p w14:paraId="420F8E39">
      <w:pPr>
        <w:pStyle w:val="2"/>
        <w:spacing w:before="110" w:line="218" w:lineRule="auto"/>
        <w:ind w:left="1884"/>
        <w:rPr>
          <w:sz w:val="24"/>
          <w:szCs w:val="24"/>
        </w:rPr>
      </w:pPr>
      <w:r>
        <w:rPr>
          <w:spacing w:val="-16"/>
          <w:sz w:val="24"/>
          <w:szCs w:val="24"/>
        </w:rPr>
        <w:t>4.2.3防止水污染</w:t>
      </w:r>
    </w:p>
    <w:p w14:paraId="2067C22B">
      <w:pPr>
        <w:pStyle w:val="2"/>
        <w:spacing w:before="117" w:line="217" w:lineRule="auto"/>
        <w:ind w:left="1886"/>
        <w:rPr>
          <w:sz w:val="24"/>
          <w:szCs w:val="24"/>
        </w:rPr>
      </w:pPr>
      <w:r>
        <w:rPr>
          <w:spacing w:val="-21"/>
          <w:sz w:val="24"/>
          <w:szCs w:val="24"/>
        </w:rPr>
        <w:t>a、搅拌机的废水排放控制。</w:t>
      </w:r>
    </w:p>
    <w:p w14:paraId="10BFF78B">
      <w:pPr>
        <w:pStyle w:val="2"/>
        <w:spacing w:before="119" w:line="307" w:lineRule="auto"/>
        <w:ind w:left="1453" w:right="1409" w:firstLine="438"/>
        <w:rPr>
          <w:sz w:val="24"/>
          <w:szCs w:val="24"/>
        </w:rPr>
      </w:pPr>
      <w:r>
        <w:rPr>
          <w:spacing w:val="-19"/>
          <w:sz w:val="24"/>
          <w:szCs w:val="24"/>
        </w:rPr>
        <w:t>施工现场搅拌机作业后，应将清洗拌桶的</w:t>
      </w:r>
      <w:r>
        <w:rPr>
          <w:spacing w:val="-20"/>
          <w:sz w:val="24"/>
          <w:szCs w:val="24"/>
        </w:rPr>
        <w:t>废水经沉淀池沉淀后再排入规定的下水道，保证</w:t>
      </w:r>
      <w:r>
        <w:rPr>
          <w:spacing w:val="-22"/>
          <w:sz w:val="24"/>
          <w:szCs w:val="24"/>
        </w:rPr>
        <w:t>排水沟的通畅。对沉淀池内沉淀物应及时清理。</w:t>
      </w:r>
    </w:p>
    <w:p w14:paraId="1D5BC9B0">
      <w:pPr>
        <w:pStyle w:val="2"/>
        <w:spacing w:before="1" w:line="263" w:lineRule="auto"/>
        <w:ind w:left="1458" w:right="1409" w:firstLine="423"/>
        <w:rPr>
          <w:sz w:val="24"/>
          <w:szCs w:val="24"/>
        </w:rPr>
      </w:pPr>
      <w:r>
        <w:rPr>
          <w:spacing w:val="-22"/>
          <w:sz w:val="24"/>
          <w:szCs w:val="24"/>
        </w:rPr>
        <w:t>b、对现场存放的各种油料、涂料等液体材料应经常进行检查，防止渗漏。储存和使用均应采取防止污染的措施。</w:t>
      </w:r>
    </w:p>
    <w:p w14:paraId="65A651D0">
      <w:pPr>
        <w:pStyle w:val="2"/>
        <w:spacing w:before="115" w:line="218" w:lineRule="auto"/>
        <w:ind w:left="1890"/>
        <w:rPr>
          <w:sz w:val="24"/>
          <w:szCs w:val="24"/>
        </w:rPr>
      </w:pPr>
      <w:r>
        <w:rPr>
          <w:spacing w:val="-21"/>
          <w:sz w:val="24"/>
          <w:szCs w:val="24"/>
        </w:rPr>
        <w:t>c、职工生活用水的给水管道应用合格的饮用</w:t>
      </w:r>
      <w:r>
        <w:rPr>
          <w:spacing w:val="-22"/>
          <w:sz w:val="24"/>
          <w:szCs w:val="24"/>
        </w:rPr>
        <w:t>水管道接入，生活污水排放要设防渗漏的排水</w:t>
      </w:r>
    </w:p>
    <w:p w14:paraId="37F966F7">
      <w:pPr>
        <w:spacing w:line="218" w:lineRule="auto"/>
        <w:rPr>
          <w:sz w:val="24"/>
          <w:szCs w:val="24"/>
        </w:rPr>
        <w:sectPr>
          <w:footerReference r:id="rId142" w:type="default"/>
          <w:pgSz w:w="11907" w:h="16839"/>
          <w:pgMar w:top="954" w:right="4" w:bottom="1038" w:left="0" w:header="499" w:footer="357" w:gutter="0"/>
          <w:pgBorders>
            <w:top w:val="none" w:sz="0" w:space="0"/>
            <w:left w:val="none" w:sz="0" w:space="0"/>
            <w:bottom w:val="none" w:sz="0" w:space="0"/>
            <w:right w:val="none" w:sz="0" w:space="0"/>
          </w:pgBorders>
          <w:cols w:space="720" w:num="1"/>
        </w:sectPr>
      </w:pPr>
    </w:p>
    <w:p w14:paraId="77783C22">
      <w:pPr>
        <w:spacing w:line="250" w:lineRule="auto"/>
        <w:rPr>
          <w:rFonts w:ascii="Arial"/>
          <w:sz w:val="21"/>
        </w:rPr>
      </w:pPr>
    </w:p>
    <w:p w14:paraId="4CA6C5D6">
      <w:pPr>
        <w:pStyle w:val="2"/>
        <w:spacing w:before="78" w:line="216" w:lineRule="auto"/>
        <w:ind w:left="1458"/>
        <w:rPr>
          <w:sz w:val="24"/>
          <w:szCs w:val="24"/>
        </w:rPr>
      </w:pPr>
      <w:r>
        <w:rPr>
          <w:spacing w:val="-21"/>
          <w:sz w:val="24"/>
          <w:szCs w:val="24"/>
        </w:rPr>
        <w:t>沟（管），并应经过隔油池或隔油沉淀容器后排放至指定的城市污水井（网）。</w:t>
      </w:r>
    </w:p>
    <w:p w14:paraId="686A204E">
      <w:pPr>
        <w:pStyle w:val="2"/>
        <w:spacing w:before="120" w:line="216" w:lineRule="auto"/>
        <w:ind w:left="1884"/>
        <w:rPr>
          <w:sz w:val="24"/>
          <w:szCs w:val="24"/>
        </w:rPr>
      </w:pPr>
      <w:r>
        <w:rPr>
          <w:spacing w:val="-16"/>
          <w:sz w:val="24"/>
          <w:szCs w:val="24"/>
        </w:rPr>
        <w:t>4.2.4环境保护的检查工作</w:t>
      </w:r>
    </w:p>
    <w:p w14:paraId="0DC04318">
      <w:pPr>
        <w:pStyle w:val="2"/>
        <w:spacing w:before="118" w:line="308" w:lineRule="auto"/>
        <w:ind w:left="1456" w:right="1459" w:firstLine="437"/>
        <w:rPr>
          <w:sz w:val="24"/>
          <w:szCs w:val="24"/>
        </w:rPr>
      </w:pPr>
      <w:r>
        <w:rPr>
          <w:spacing w:val="-21"/>
          <w:sz w:val="24"/>
          <w:szCs w:val="24"/>
        </w:rPr>
        <w:t>项目部专人负责环境保护工作，每月定期进行一次检查。凡发现不符合环境保护要求的，应采取“三定”的原则（定人、定时、定措施）予以整改，并</w:t>
      </w:r>
      <w:r>
        <w:rPr>
          <w:spacing w:val="-22"/>
          <w:sz w:val="24"/>
          <w:szCs w:val="24"/>
        </w:rPr>
        <w:t>跟踪验证。</w:t>
      </w:r>
    </w:p>
    <w:p w14:paraId="19DA451E">
      <w:pPr>
        <w:pStyle w:val="2"/>
        <w:spacing w:line="219" w:lineRule="auto"/>
        <w:ind w:left="1884"/>
        <w:rPr>
          <w:sz w:val="24"/>
          <w:szCs w:val="24"/>
        </w:rPr>
      </w:pPr>
      <w:r>
        <w:rPr>
          <w:spacing w:val="-14"/>
          <w:sz w:val="24"/>
          <w:szCs w:val="24"/>
        </w:rPr>
        <w:t>4.3建筑垃圾</w:t>
      </w:r>
    </w:p>
    <w:p w14:paraId="204C5270">
      <w:pPr>
        <w:pStyle w:val="2"/>
        <w:spacing w:before="112" w:line="285" w:lineRule="auto"/>
        <w:ind w:left="1459" w:right="1410" w:firstLine="425"/>
        <w:rPr>
          <w:sz w:val="24"/>
          <w:szCs w:val="24"/>
        </w:rPr>
      </w:pPr>
      <w:r>
        <w:rPr>
          <w:spacing w:val="-22"/>
          <w:sz w:val="24"/>
          <w:szCs w:val="24"/>
        </w:rPr>
        <w:t>4.3.1在指定的场所分类堆放建筑垃圾，并标以指示牌。废</w:t>
      </w:r>
      <w:r>
        <w:rPr>
          <w:spacing w:val="-23"/>
          <w:sz w:val="24"/>
          <w:szCs w:val="24"/>
        </w:rPr>
        <w:t>钢筋、铁钉、铁丝、纸张等送废</w:t>
      </w:r>
      <w:r>
        <w:rPr>
          <w:spacing w:val="-20"/>
          <w:sz w:val="24"/>
          <w:szCs w:val="24"/>
        </w:rPr>
        <w:t>品站回收；落地灰等含砂量较高的垃圾应及时过筛利用；无法再用的垃圾在指定的地点堆放，并及时运出工地。垃圾外运应严格执行当地的《建筑垃圾管理办法实施细则》或地方性法规，</w:t>
      </w:r>
      <w:r>
        <w:rPr>
          <w:spacing w:val="-19"/>
          <w:sz w:val="24"/>
          <w:szCs w:val="24"/>
        </w:rPr>
        <w:t>不得乱倒乱卸。</w:t>
      </w:r>
    </w:p>
    <w:p w14:paraId="3625D1C1">
      <w:pPr>
        <w:pStyle w:val="2"/>
        <w:spacing w:before="120" w:line="262" w:lineRule="auto"/>
        <w:ind w:left="1431" w:right="1409" w:firstLine="453"/>
        <w:rPr>
          <w:sz w:val="24"/>
          <w:szCs w:val="24"/>
        </w:rPr>
      </w:pPr>
      <w:r>
        <w:rPr>
          <w:spacing w:val="-22"/>
          <w:sz w:val="24"/>
          <w:szCs w:val="24"/>
        </w:rPr>
        <w:t>4.3.2清理的垃圾渣物，通过垃圾清运车或提升设备用手推</w:t>
      </w:r>
      <w:r>
        <w:rPr>
          <w:spacing w:val="-23"/>
          <w:sz w:val="24"/>
          <w:szCs w:val="24"/>
        </w:rPr>
        <w:t>车及时清运，作业现场必须做到</w:t>
      </w:r>
      <w:r>
        <w:rPr>
          <w:spacing w:val="-20"/>
          <w:sz w:val="24"/>
          <w:szCs w:val="24"/>
        </w:rPr>
        <w:t>“工完场清，料净”。施工工长负责管理现场清洁卫生。</w:t>
      </w:r>
    </w:p>
    <w:p w14:paraId="20D2DF43">
      <w:pPr>
        <w:pStyle w:val="2"/>
        <w:spacing w:before="84" w:line="219" w:lineRule="auto"/>
        <w:ind w:left="1981"/>
        <w:outlineLvl w:val="2"/>
        <w:rPr>
          <w:sz w:val="28"/>
          <w:szCs w:val="28"/>
        </w:rPr>
      </w:pPr>
      <w:bookmarkStart w:id="83" w:name="bookmark80"/>
      <w:bookmarkEnd w:id="83"/>
      <w:r>
        <w:rPr>
          <w:b/>
          <w:bCs/>
          <w:spacing w:val="-22"/>
          <w:sz w:val="28"/>
          <w:szCs w:val="28"/>
        </w:rPr>
        <w:t>五、防火防爆防毒</w:t>
      </w:r>
    </w:p>
    <w:p w14:paraId="18AD3861">
      <w:pPr>
        <w:pStyle w:val="2"/>
        <w:spacing w:before="102" w:line="219" w:lineRule="auto"/>
        <w:ind w:left="1890"/>
        <w:rPr>
          <w:sz w:val="24"/>
          <w:szCs w:val="24"/>
        </w:rPr>
      </w:pPr>
      <w:r>
        <w:rPr>
          <w:spacing w:val="-17"/>
          <w:sz w:val="24"/>
          <w:szCs w:val="24"/>
        </w:rPr>
        <w:t>5.1防火管理</w:t>
      </w:r>
    </w:p>
    <w:p w14:paraId="36C52627">
      <w:pPr>
        <w:pStyle w:val="2"/>
        <w:spacing w:before="117" w:line="217" w:lineRule="auto"/>
        <w:ind w:left="1890"/>
        <w:rPr>
          <w:sz w:val="24"/>
          <w:szCs w:val="24"/>
        </w:rPr>
      </w:pPr>
      <w:r>
        <w:rPr>
          <w:spacing w:val="-14"/>
          <w:sz w:val="24"/>
          <w:szCs w:val="24"/>
        </w:rPr>
        <w:t>5.1.1消防管理</w:t>
      </w:r>
    </w:p>
    <w:p w14:paraId="73093B88">
      <w:pPr>
        <w:pStyle w:val="2"/>
        <w:spacing w:before="115" w:line="308" w:lineRule="auto"/>
        <w:ind w:left="1455" w:right="1409" w:firstLine="437"/>
        <w:rPr>
          <w:sz w:val="24"/>
          <w:szCs w:val="24"/>
        </w:rPr>
      </w:pPr>
      <w:r>
        <w:rPr>
          <w:spacing w:val="-20"/>
          <w:sz w:val="24"/>
          <w:szCs w:val="24"/>
        </w:rPr>
        <w:t>建立健全消防管理制度。成立防火领导小组。消防器材按规定配置齐全、有效，由保卫部门管理，并定期检查。根据现场实际情况在不同的地点按安全防火距离配置一定数量的消防器</w:t>
      </w:r>
      <w:r>
        <w:rPr>
          <w:spacing w:val="-19"/>
          <w:sz w:val="24"/>
          <w:szCs w:val="24"/>
        </w:rPr>
        <w:t>材。灭火器配置：库房配置2个，每一施工层配置1个，生活区配置2-3个，食堂配置1个，</w:t>
      </w:r>
      <w:r>
        <w:rPr>
          <w:spacing w:val="-18"/>
          <w:sz w:val="24"/>
          <w:szCs w:val="24"/>
        </w:rPr>
        <w:t>办公室配置1个，建筑物主体四角各配置1个，木作区配置1个，</w:t>
      </w:r>
      <w:r>
        <w:rPr>
          <w:spacing w:val="-19"/>
          <w:sz w:val="24"/>
          <w:szCs w:val="24"/>
        </w:rPr>
        <w:t>电焊气割作业处配置2个，</w:t>
      </w:r>
      <w:r>
        <w:rPr>
          <w:spacing w:val="-22"/>
          <w:sz w:val="24"/>
          <w:szCs w:val="24"/>
        </w:rPr>
        <w:t>配电房配置1个。同时在以上部位配置相应数量的水桶、铁锹、黄砂等消防器材。</w:t>
      </w:r>
    </w:p>
    <w:p w14:paraId="555D44C0">
      <w:pPr>
        <w:pStyle w:val="2"/>
        <w:spacing w:before="1" w:line="219" w:lineRule="auto"/>
        <w:ind w:left="1890"/>
        <w:rPr>
          <w:sz w:val="24"/>
          <w:szCs w:val="24"/>
        </w:rPr>
      </w:pPr>
      <w:r>
        <w:rPr>
          <w:spacing w:val="-15"/>
          <w:sz w:val="24"/>
          <w:szCs w:val="24"/>
        </w:rPr>
        <w:t>5.1.2施工区防火</w:t>
      </w:r>
    </w:p>
    <w:p w14:paraId="5F21B755">
      <w:pPr>
        <w:pStyle w:val="2"/>
        <w:spacing w:before="113" w:line="308" w:lineRule="auto"/>
        <w:ind w:left="1459" w:right="1411" w:firstLine="434"/>
        <w:rPr>
          <w:sz w:val="24"/>
          <w:szCs w:val="24"/>
        </w:rPr>
      </w:pPr>
      <w:r>
        <w:rPr>
          <w:spacing w:val="-20"/>
          <w:sz w:val="24"/>
          <w:szCs w:val="24"/>
        </w:rPr>
        <w:t>凡施工区的明火作业，应有用火许可证、标识牌及用火责任人牌（35cm×35cm</w:t>
      </w:r>
      <w:r>
        <w:rPr>
          <w:spacing w:val="-21"/>
          <w:sz w:val="24"/>
          <w:szCs w:val="24"/>
        </w:rPr>
        <w:t>的正方形木</w:t>
      </w:r>
      <w:r>
        <w:rPr>
          <w:spacing w:val="-20"/>
          <w:sz w:val="24"/>
          <w:szCs w:val="24"/>
        </w:rPr>
        <w:t>质标识牌</w:t>
      </w:r>
      <w:r>
        <w:rPr>
          <w:spacing w:val="-16"/>
          <w:sz w:val="24"/>
          <w:szCs w:val="24"/>
        </w:rPr>
        <w:t>）；</w:t>
      </w:r>
      <w:r>
        <w:rPr>
          <w:spacing w:val="-20"/>
          <w:sz w:val="24"/>
          <w:szCs w:val="24"/>
        </w:rPr>
        <w:t>禁止在施工现场吸烟，以防烟蒂乱扔而引发火灾事故。在适当位置设置吸烟室，</w:t>
      </w:r>
      <w:r>
        <w:rPr>
          <w:spacing w:val="-18"/>
          <w:sz w:val="24"/>
          <w:szCs w:val="24"/>
        </w:rPr>
        <w:t>并配烟灰缸。</w:t>
      </w:r>
    </w:p>
    <w:p w14:paraId="45420015">
      <w:pPr>
        <w:pStyle w:val="2"/>
        <w:spacing w:before="1" w:line="218" w:lineRule="auto"/>
        <w:ind w:left="1890"/>
        <w:rPr>
          <w:sz w:val="24"/>
          <w:szCs w:val="24"/>
        </w:rPr>
      </w:pPr>
      <w:r>
        <w:rPr>
          <w:spacing w:val="-16"/>
          <w:sz w:val="24"/>
          <w:szCs w:val="24"/>
        </w:rPr>
        <w:t>5.1.3生活区防火</w:t>
      </w:r>
    </w:p>
    <w:p w14:paraId="4332DBE5">
      <w:pPr>
        <w:pStyle w:val="2"/>
        <w:spacing w:before="115" w:line="308" w:lineRule="auto"/>
        <w:ind w:left="1456" w:right="1411" w:firstLine="436"/>
        <w:rPr>
          <w:sz w:val="24"/>
          <w:szCs w:val="24"/>
        </w:rPr>
      </w:pPr>
      <w:r>
        <w:rPr>
          <w:spacing w:val="-20"/>
          <w:sz w:val="24"/>
          <w:szCs w:val="24"/>
        </w:rPr>
        <w:t>职工宿舍防火主要是对电炉、电热毯、热水器、电风扇、台灯等超负荷用电，乱接乱挂线导致电线失火引发火灾事故的防火管理；食堂防火主要是电气炉灶、燃灶、燃气及其他易燃品</w:t>
      </w:r>
      <w:r>
        <w:rPr>
          <w:spacing w:val="-19"/>
          <w:sz w:val="24"/>
          <w:szCs w:val="24"/>
        </w:rPr>
        <w:t>和明火的防火管理。</w:t>
      </w:r>
    </w:p>
    <w:p w14:paraId="2EC29CEC">
      <w:pPr>
        <w:pStyle w:val="2"/>
        <w:spacing w:before="1" w:line="215" w:lineRule="auto"/>
        <w:ind w:left="1890"/>
        <w:rPr>
          <w:sz w:val="24"/>
          <w:szCs w:val="24"/>
        </w:rPr>
      </w:pPr>
      <w:r>
        <w:rPr>
          <w:spacing w:val="-18"/>
          <w:sz w:val="24"/>
          <w:szCs w:val="24"/>
        </w:rPr>
        <w:t>5.2易燃易爆材料管理</w:t>
      </w:r>
    </w:p>
    <w:p w14:paraId="32F4530F">
      <w:pPr>
        <w:pStyle w:val="2"/>
        <w:spacing w:before="121" w:line="216" w:lineRule="auto"/>
        <w:ind w:left="1886"/>
        <w:rPr>
          <w:sz w:val="24"/>
          <w:szCs w:val="24"/>
        </w:rPr>
      </w:pPr>
      <w:r>
        <w:rPr>
          <w:spacing w:val="-21"/>
          <w:sz w:val="24"/>
          <w:szCs w:val="24"/>
        </w:rPr>
        <w:t>a、乙炔表和氧气表应经标准计量所检定合格后方可使用，并按检定周期检定。</w:t>
      </w:r>
    </w:p>
    <w:p w14:paraId="7CD59E0F">
      <w:pPr>
        <w:pStyle w:val="2"/>
        <w:spacing w:before="118" w:line="262" w:lineRule="auto"/>
        <w:ind w:left="1459" w:right="1335" w:firstLine="422"/>
        <w:rPr>
          <w:sz w:val="24"/>
          <w:szCs w:val="24"/>
        </w:rPr>
      </w:pPr>
      <w:r>
        <w:rPr>
          <w:spacing w:val="-25"/>
          <w:sz w:val="24"/>
          <w:szCs w:val="24"/>
        </w:rPr>
        <w:t>b、施工现场动火作业需进行审批，动火场所设置动火许可证，并</w:t>
      </w:r>
      <w:r>
        <w:rPr>
          <w:spacing w:val="-26"/>
          <w:sz w:val="24"/>
          <w:szCs w:val="24"/>
        </w:rPr>
        <w:t>指定专人作业与专人监护。</w:t>
      </w:r>
      <w:r>
        <w:rPr>
          <w:spacing w:val="-18"/>
          <w:sz w:val="24"/>
          <w:szCs w:val="24"/>
        </w:rPr>
        <w:t>动火作业审批有效期为7天。</w:t>
      </w:r>
    </w:p>
    <w:p w14:paraId="171BB43A">
      <w:pPr>
        <w:pStyle w:val="2"/>
        <w:spacing w:before="120" w:line="261" w:lineRule="auto"/>
        <w:ind w:left="1459" w:right="1440" w:firstLine="431"/>
        <w:rPr>
          <w:sz w:val="24"/>
          <w:szCs w:val="24"/>
        </w:rPr>
      </w:pPr>
      <w:r>
        <w:rPr>
          <w:spacing w:val="-23"/>
          <w:sz w:val="24"/>
          <w:szCs w:val="24"/>
        </w:rPr>
        <w:t>c、钢材电焊、气割焊场地周围设置防护设施，防止火星乱溅，不得放置易燃、易爆物品，</w:t>
      </w:r>
      <w:r>
        <w:rPr>
          <w:spacing w:val="-22"/>
          <w:sz w:val="24"/>
          <w:szCs w:val="24"/>
        </w:rPr>
        <w:t>并设置消防器材。</w:t>
      </w:r>
    </w:p>
    <w:p w14:paraId="455685BF">
      <w:pPr>
        <w:pStyle w:val="2"/>
        <w:spacing w:before="121" w:line="262" w:lineRule="auto"/>
        <w:ind w:left="1459" w:right="1459" w:firstLine="431"/>
        <w:rPr>
          <w:sz w:val="24"/>
          <w:szCs w:val="24"/>
        </w:rPr>
      </w:pPr>
      <w:r>
        <w:rPr>
          <w:spacing w:val="-22"/>
          <w:sz w:val="24"/>
          <w:szCs w:val="24"/>
        </w:rPr>
        <w:t>d、木材堆放在木工棚内，设专人管理，分厚度堆放整齐，离木工房10米内</w:t>
      </w:r>
      <w:r>
        <w:rPr>
          <w:spacing w:val="-23"/>
          <w:sz w:val="24"/>
          <w:szCs w:val="24"/>
        </w:rPr>
        <w:t>不得有明火，</w:t>
      </w:r>
      <w:r>
        <w:rPr>
          <w:spacing w:val="-21"/>
          <w:sz w:val="24"/>
          <w:szCs w:val="24"/>
        </w:rPr>
        <w:t>并设置灭火器与“严禁烟火”的警告牌。</w:t>
      </w:r>
    </w:p>
    <w:p w14:paraId="31667293">
      <w:pPr>
        <w:pStyle w:val="2"/>
        <w:spacing w:before="118" w:line="215" w:lineRule="auto"/>
        <w:ind w:left="1891"/>
        <w:rPr>
          <w:sz w:val="24"/>
          <w:szCs w:val="24"/>
        </w:rPr>
      </w:pPr>
      <w:r>
        <w:rPr>
          <w:spacing w:val="-21"/>
          <w:sz w:val="24"/>
          <w:szCs w:val="24"/>
        </w:rPr>
        <w:t>e、做好电气防火防爆工作。在总配电室中，</w:t>
      </w:r>
      <w:r>
        <w:rPr>
          <w:spacing w:val="-22"/>
          <w:sz w:val="24"/>
          <w:szCs w:val="24"/>
        </w:rPr>
        <w:t>设置干粉灭火器与干砂备用；在使用过程中应</w:t>
      </w:r>
    </w:p>
    <w:p w14:paraId="08B87BFD">
      <w:pPr>
        <w:spacing w:line="215" w:lineRule="auto"/>
        <w:rPr>
          <w:sz w:val="24"/>
          <w:szCs w:val="24"/>
        </w:rPr>
        <w:sectPr>
          <w:footerReference r:id="rId143" w:type="default"/>
          <w:pgSz w:w="11907" w:h="16839"/>
          <w:pgMar w:top="954" w:right="4" w:bottom="1038" w:left="0" w:header="499" w:footer="357" w:gutter="0"/>
          <w:pgBorders>
            <w:top w:val="none" w:sz="0" w:space="0"/>
            <w:left w:val="none" w:sz="0" w:space="0"/>
            <w:bottom w:val="none" w:sz="0" w:space="0"/>
            <w:right w:val="none" w:sz="0" w:space="0"/>
          </w:pgBorders>
          <w:cols w:space="720" w:num="1"/>
        </w:sectPr>
      </w:pPr>
    </w:p>
    <w:p w14:paraId="7895C007">
      <w:pPr>
        <w:spacing w:line="249" w:lineRule="auto"/>
        <w:rPr>
          <w:rFonts w:ascii="Arial"/>
          <w:sz w:val="21"/>
        </w:rPr>
      </w:pPr>
    </w:p>
    <w:p w14:paraId="31091F14">
      <w:pPr>
        <w:pStyle w:val="2"/>
        <w:spacing w:before="78" w:line="308" w:lineRule="auto"/>
        <w:ind w:left="1457" w:right="1453"/>
        <w:rPr>
          <w:sz w:val="24"/>
          <w:szCs w:val="24"/>
        </w:rPr>
      </w:pPr>
      <w:r>
        <w:rPr>
          <w:spacing w:val="-21"/>
          <w:sz w:val="24"/>
          <w:szCs w:val="24"/>
        </w:rPr>
        <w:t>保证线路的完好可靠，严禁使用破皮老化的电线或电缆；应保证漏电保护器有效，严禁以铜、</w:t>
      </w:r>
      <w:r>
        <w:rPr>
          <w:spacing w:val="-19"/>
          <w:sz w:val="24"/>
          <w:szCs w:val="24"/>
        </w:rPr>
        <w:t>铝丝代替熔断丝。</w:t>
      </w:r>
    </w:p>
    <w:p w14:paraId="1C86869C">
      <w:pPr>
        <w:pStyle w:val="2"/>
        <w:spacing w:before="1" w:line="215" w:lineRule="auto"/>
        <w:ind w:left="1890"/>
        <w:rPr>
          <w:sz w:val="24"/>
          <w:szCs w:val="24"/>
        </w:rPr>
      </w:pPr>
      <w:r>
        <w:rPr>
          <w:spacing w:val="-17"/>
          <w:sz w:val="24"/>
          <w:szCs w:val="24"/>
        </w:rPr>
        <w:t>5.3有毒材料的管理</w:t>
      </w:r>
    </w:p>
    <w:p w14:paraId="5F57401A">
      <w:pPr>
        <w:pStyle w:val="2"/>
        <w:spacing w:before="120" w:line="215" w:lineRule="auto"/>
        <w:ind w:left="1886"/>
        <w:rPr>
          <w:sz w:val="24"/>
          <w:szCs w:val="24"/>
        </w:rPr>
      </w:pPr>
      <w:r>
        <w:rPr>
          <w:spacing w:val="-20"/>
          <w:sz w:val="24"/>
          <w:szCs w:val="24"/>
        </w:rPr>
        <w:t>a、设置专门库房存放，专人保管，建立台帐</w:t>
      </w:r>
      <w:r>
        <w:rPr>
          <w:spacing w:val="-21"/>
          <w:sz w:val="24"/>
          <w:szCs w:val="24"/>
        </w:rPr>
        <w:t>和保管制度。</w:t>
      </w:r>
    </w:p>
    <w:p w14:paraId="2A60FB35">
      <w:pPr>
        <w:pStyle w:val="2"/>
        <w:spacing w:before="121" w:line="218" w:lineRule="auto"/>
        <w:ind w:left="1882"/>
        <w:rPr>
          <w:sz w:val="24"/>
          <w:szCs w:val="24"/>
        </w:rPr>
      </w:pPr>
      <w:r>
        <w:rPr>
          <w:spacing w:val="-18"/>
          <w:sz w:val="24"/>
          <w:szCs w:val="24"/>
        </w:rPr>
        <w:t>b、有明显的有毒标志。</w:t>
      </w:r>
    </w:p>
    <w:p w14:paraId="73303146">
      <w:pPr>
        <w:pStyle w:val="2"/>
        <w:spacing w:before="114" w:line="216" w:lineRule="auto"/>
        <w:ind w:left="1890"/>
        <w:rPr>
          <w:sz w:val="24"/>
          <w:szCs w:val="24"/>
        </w:rPr>
      </w:pPr>
      <w:r>
        <w:rPr>
          <w:spacing w:val="-20"/>
          <w:sz w:val="24"/>
          <w:szCs w:val="24"/>
        </w:rPr>
        <w:t>c、材料使用、发放有专人管理。</w:t>
      </w:r>
    </w:p>
    <w:p w14:paraId="23BF0F7B">
      <w:pPr>
        <w:pStyle w:val="2"/>
        <w:spacing w:before="120" w:line="216" w:lineRule="auto"/>
        <w:ind w:left="1890"/>
        <w:rPr>
          <w:sz w:val="24"/>
          <w:szCs w:val="24"/>
        </w:rPr>
      </w:pPr>
      <w:r>
        <w:rPr>
          <w:spacing w:val="-24"/>
          <w:sz w:val="24"/>
          <w:szCs w:val="24"/>
        </w:rPr>
        <w:t>d、有毒材料库房应距离生活区、办公区、施工保持一定的安全距离，并采取相</w:t>
      </w:r>
      <w:r>
        <w:rPr>
          <w:spacing w:val="-25"/>
          <w:sz w:val="24"/>
          <w:szCs w:val="24"/>
        </w:rPr>
        <w:t>应防毒措施。</w:t>
      </w:r>
    </w:p>
    <w:p w14:paraId="72F4E4AA">
      <w:pPr>
        <w:pStyle w:val="2"/>
        <w:spacing w:before="120" w:line="218" w:lineRule="auto"/>
        <w:ind w:left="1890"/>
        <w:rPr>
          <w:sz w:val="24"/>
          <w:szCs w:val="24"/>
        </w:rPr>
      </w:pPr>
      <w:r>
        <w:rPr>
          <w:spacing w:val="-17"/>
          <w:sz w:val="24"/>
          <w:szCs w:val="24"/>
        </w:rPr>
        <w:t>5.4仓库分类管理</w:t>
      </w:r>
    </w:p>
    <w:p w14:paraId="26E2E8D8">
      <w:pPr>
        <w:pStyle w:val="2"/>
        <w:spacing w:before="114" w:line="299" w:lineRule="auto"/>
        <w:ind w:left="1455" w:right="1411" w:firstLine="443"/>
        <w:rPr>
          <w:spacing w:val="-21"/>
          <w:sz w:val="24"/>
          <w:szCs w:val="24"/>
        </w:rPr>
      </w:pPr>
      <w:r>
        <w:rPr>
          <w:spacing w:val="-20"/>
          <w:sz w:val="24"/>
          <w:szCs w:val="24"/>
        </w:rPr>
        <w:t>工地仓库应根据材料种类分别设置物资仓库、易燃易爆材料专库及有毒材料专库。保证仓库的干燥通风，做好防鼠工作，重点为防止仓库内材料自燃与电气起火。仓库内严禁明火、吸</w:t>
      </w:r>
      <w:r>
        <w:rPr>
          <w:spacing w:val="-21"/>
          <w:sz w:val="24"/>
          <w:szCs w:val="24"/>
        </w:rPr>
        <w:t>烟，设置禁令标牌，并按要求配置灭火器。</w:t>
      </w:r>
    </w:p>
    <w:p w14:paraId="7438B5AA">
      <w:pPr>
        <w:pStyle w:val="2"/>
        <w:spacing w:before="114" w:line="299" w:lineRule="auto"/>
        <w:ind w:left="1455" w:right="1411" w:firstLine="443"/>
        <w:rPr>
          <w:rFonts w:hint="eastAsia"/>
          <w:spacing w:val="-21"/>
          <w:sz w:val="24"/>
          <w:szCs w:val="24"/>
        </w:rPr>
      </w:pPr>
      <w:r>
        <w:rPr>
          <w:rFonts w:hint="eastAsia"/>
          <w:spacing w:val="-21"/>
          <w:sz w:val="24"/>
          <w:szCs w:val="24"/>
        </w:rPr>
        <w:t>物资保护方案</w:t>
      </w:r>
    </w:p>
    <w:p w14:paraId="4C378EBA">
      <w:pPr>
        <w:pStyle w:val="2"/>
        <w:spacing w:before="114" w:line="299" w:lineRule="auto"/>
        <w:ind w:left="1455" w:right="1411" w:firstLine="443"/>
        <w:rPr>
          <w:rFonts w:hint="eastAsia"/>
          <w:spacing w:val="-21"/>
          <w:sz w:val="24"/>
          <w:szCs w:val="24"/>
        </w:rPr>
      </w:pPr>
      <w:r>
        <w:rPr>
          <w:rFonts w:hint="eastAsia"/>
          <w:spacing w:val="-21"/>
          <w:sz w:val="24"/>
          <w:szCs w:val="24"/>
        </w:rPr>
        <w:t>1、材料保护措施</w:t>
      </w:r>
    </w:p>
    <w:p w14:paraId="23BC50AA">
      <w:pPr>
        <w:pStyle w:val="2"/>
        <w:spacing w:before="114" w:line="299" w:lineRule="auto"/>
        <w:ind w:left="1455" w:right="1411" w:firstLine="443"/>
        <w:rPr>
          <w:rFonts w:hint="eastAsia"/>
          <w:spacing w:val="-21"/>
          <w:sz w:val="24"/>
          <w:szCs w:val="24"/>
        </w:rPr>
      </w:pPr>
      <w:r>
        <w:rPr>
          <w:rFonts w:hint="eastAsia"/>
          <w:spacing w:val="-21"/>
          <w:sz w:val="24"/>
          <w:szCs w:val="24"/>
        </w:rPr>
        <w:t>1.1物资应有合适的存放条件,确保在存放过程中物资的质量。按品名、规格及用途分类摆放,堆放整齐,便于记数,大件物资应放在便于起吊和装运的地方。</w:t>
      </w:r>
    </w:p>
    <w:p w14:paraId="0B15C9F6">
      <w:pPr>
        <w:pStyle w:val="2"/>
        <w:spacing w:before="114" w:line="299" w:lineRule="auto"/>
        <w:ind w:left="1455" w:right="1411" w:firstLine="443"/>
        <w:rPr>
          <w:rFonts w:hint="eastAsia"/>
          <w:spacing w:val="-21"/>
          <w:sz w:val="24"/>
          <w:szCs w:val="24"/>
        </w:rPr>
      </w:pPr>
      <w:r>
        <w:rPr>
          <w:rFonts w:hint="eastAsia"/>
          <w:spacing w:val="-21"/>
          <w:sz w:val="24"/>
          <w:szCs w:val="24"/>
        </w:rPr>
        <w:t>1.2水泥、粉煤灰等罐装粉剂必须确保罐体的功能,防止罐体渗水造成粉剂板结,使其丧失使用功能造成材料浪费。</w:t>
      </w:r>
    </w:p>
    <w:p w14:paraId="58FC3308">
      <w:pPr>
        <w:pStyle w:val="2"/>
        <w:spacing w:before="114" w:line="299" w:lineRule="auto"/>
        <w:ind w:left="1455" w:right="1411" w:firstLine="443"/>
        <w:rPr>
          <w:rFonts w:hint="eastAsia"/>
          <w:spacing w:val="-21"/>
          <w:sz w:val="24"/>
          <w:szCs w:val="24"/>
        </w:rPr>
      </w:pPr>
      <w:r>
        <w:rPr>
          <w:rFonts w:hint="eastAsia"/>
          <w:spacing w:val="-21"/>
          <w:sz w:val="24"/>
          <w:szCs w:val="24"/>
        </w:rPr>
        <w:t>1.2袋装外加剂底部离地20cm,表面采用篷布进行覆盖。</w:t>
      </w:r>
    </w:p>
    <w:p w14:paraId="632CA77E">
      <w:pPr>
        <w:pStyle w:val="2"/>
        <w:spacing w:before="114" w:line="299" w:lineRule="auto"/>
        <w:ind w:left="1455" w:right="1411" w:firstLine="443"/>
        <w:rPr>
          <w:rFonts w:hint="eastAsia"/>
          <w:spacing w:val="-21"/>
          <w:sz w:val="24"/>
          <w:szCs w:val="24"/>
        </w:rPr>
      </w:pPr>
      <w:r>
        <w:rPr>
          <w:rFonts w:hint="eastAsia"/>
          <w:spacing w:val="-21"/>
          <w:sz w:val="24"/>
          <w:szCs w:val="24"/>
        </w:rPr>
        <w:t>1.3钢模板及配件、三脚架系统、覆膜板、木方、枕木堆放时底部离地20cm,并用篷布进行覆盖。</w:t>
      </w:r>
    </w:p>
    <w:p w14:paraId="7C1BB8C2">
      <w:pPr>
        <w:pStyle w:val="2"/>
        <w:spacing w:before="114" w:line="299" w:lineRule="auto"/>
        <w:ind w:left="1455" w:right="1411" w:firstLine="443"/>
        <w:rPr>
          <w:rFonts w:hint="eastAsia"/>
          <w:spacing w:val="-21"/>
          <w:sz w:val="24"/>
          <w:szCs w:val="24"/>
        </w:rPr>
      </w:pPr>
      <w:r>
        <w:rPr>
          <w:rFonts w:hint="eastAsia"/>
          <w:spacing w:val="-21"/>
          <w:sz w:val="24"/>
          <w:szCs w:val="24"/>
        </w:rPr>
        <w:t>1.4扣件丝扣位置进行涂油处理,装箱堆放。</w:t>
      </w:r>
    </w:p>
    <w:p w14:paraId="6AE787BB">
      <w:pPr>
        <w:pStyle w:val="2"/>
        <w:spacing w:before="114" w:line="299" w:lineRule="auto"/>
        <w:ind w:left="1455" w:right="1411" w:firstLine="443"/>
        <w:rPr>
          <w:rFonts w:hint="eastAsia"/>
          <w:spacing w:val="-21"/>
          <w:sz w:val="24"/>
          <w:szCs w:val="24"/>
        </w:rPr>
      </w:pPr>
      <w:r>
        <w:rPr>
          <w:rFonts w:hint="eastAsia"/>
          <w:spacing w:val="-21"/>
          <w:sz w:val="24"/>
          <w:szCs w:val="24"/>
        </w:rPr>
        <w:t>1.5养护液、防腐涂料应用篷布进行覆盖,防止暴晒而导致失效。</w:t>
      </w:r>
    </w:p>
    <w:p w14:paraId="1A759C55">
      <w:pPr>
        <w:pStyle w:val="2"/>
        <w:spacing w:before="114" w:line="299" w:lineRule="auto"/>
        <w:ind w:left="1455" w:right="1411" w:firstLine="443"/>
        <w:rPr>
          <w:rFonts w:hint="eastAsia"/>
          <w:spacing w:val="-21"/>
          <w:sz w:val="24"/>
          <w:szCs w:val="24"/>
        </w:rPr>
      </w:pPr>
      <w:r>
        <w:rPr>
          <w:rFonts w:hint="eastAsia"/>
          <w:spacing w:val="-21"/>
          <w:sz w:val="24"/>
          <w:szCs w:val="24"/>
        </w:rPr>
        <w:t>1.6在库物资的管理做到“二齐”(摆放齐、库容齐)、“三清”(材质清楚、数量清楚、规格清楚)、“五不”(不锈、不潮、不霉、不混、不漏)</w:t>
      </w:r>
    </w:p>
    <w:p w14:paraId="605C8831">
      <w:pPr>
        <w:pStyle w:val="2"/>
        <w:spacing w:before="114" w:line="299" w:lineRule="auto"/>
        <w:ind w:left="1455" w:right="1411" w:firstLine="443"/>
        <w:rPr>
          <w:rFonts w:hint="eastAsia"/>
          <w:spacing w:val="-21"/>
          <w:sz w:val="24"/>
          <w:szCs w:val="24"/>
        </w:rPr>
      </w:pPr>
      <w:r>
        <w:rPr>
          <w:rFonts w:hint="eastAsia"/>
          <w:spacing w:val="-21"/>
          <w:sz w:val="24"/>
          <w:szCs w:val="24"/>
        </w:rPr>
        <w:t>2、机械设备保护措施</w:t>
      </w:r>
    </w:p>
    <w:p w14:paraId="2BFB567F">
      <w:pPr>
        <w:pStyle w:val="2"/>
        <w:spacing w:before="114" w:line="299" w:lineRule="auto"/>
        <w:ind w:left="1455" w:right="1411" w:firstLine="443"/>
        <w:rPr>
          <w:rFonts w:hint="eastAsia"/>
          <w:spacing w:val="-21"/>
          <w:sz w:val="24"/>
          <w:szCs w:val="24"/>
        </w:rPr>
      </w:pPr>
      <w:r>
        <w:rPr>
          <w:rFonts w:hint="eastAsia"/>
          <w:spacing w:val="-21"/>
          <w:sz w:val="24"/>
          <w:szCs w:val="24"/>
        </w:rPr>
        <w:t>2.1在标示卡标识,标识应清楚、明显、齐全、牢固。重要的机械、设备、容器搬运前,对衬胶垫或防震工具</w:t>
      </w:r>
    </w:p>
    <w:p w14:paraId="494095F6">
      <w:pPr>
        <w:pStyle w:val="2"/>
        <w:spacing w:before="114" w:line="299" w:lineRule="auto"/>
        <w:ind w:left="1455" w:right="1411" w:firstLine="443"/>
        <w:rPr>
          <w:rFonts w:hint="eastAsia"/>
          <w:spacing w:val="-21"/>
          <w:sz w:val="24"/>
          <w:szCs w:val="24"/>
        </w:rPr>
      </w:pPr>
      <w:r>
        <w:rPr>
          <w:rFonts w:hint="eastAsia"/>
          <w:spacing w:val="-21"/>
          <w:sz w:val="24"/>
          <w:szCs w:val="24"/>
        </w:rPr>
        <w:t>2.2搬运时设备必须固定牢固,防止滚动和窜动。对易磕碰的关键部位进行适当防护(如:保护套、防护罩、加填充物等)。</w:t>
      </w:r>
    </w:p>
    <w:p w14:paraId="530E0D65">
      <w:pPr>
        <w:pStyle w:val="2"/>
        <w:spacing w:before="114" w:line="299" w:lineRule="auto"/>
        <w:ind w:left="1455" w:right="1411" w:firstLine="443"/>
        <w:rPr>
          <w:rFonts w:hint="eastAsia"/>
          <w:spacing w:val="-21"/>
          <w:sz w:val="24"/>
          <w:szCs w:val="24"/>
        </w:rPr>
      </w:pPr>
      <w:r>
        <w:rPr>
          <w:rFonts w:hint="eastAsia"/>
          <w:spacing w:val="-21"/>
          <w:sz w:val="24"/>
          <w:szCs w:val="24"/>
        </w:rPr>
        <w:t>2.3对有防震、防压、防潮等特殊要求的物资,搬运中采取专门的防护措施和醒目的识别标记。</w:t>
      </w:r>
    </w:p>
    <w:p w14:paraId="05968166">
      <w:pPr>
        <w:pStyle w:val="2"/>
        <w:spacing w:before="114" w:line="299" w:lineRule="auto"/>
        <w:ind w:left="1455" w:right="1411" w:firstLine="443"/>
        <w:rPr>
          <w:rFonts w:hint="eastAsia"/>
          <w:spacing w:val="-21"/>
          <w:sz w:val="24"/>
          <w:szCs w:val="24"/>
        </w:rPr>
      </w:pPr>
      <w:r>
        <w:rPr>
          <w:rFonts w:hint="eastAsia"/>
          <w:spacing w:val="-21"/>
          <w:sz w:val="24"/>
          <w:szCs w:val="24"/>
        </w:rPr>
        <w:t>2.4对超限特殊设备或大宗材料,应制定可行的搬运方案</w:t>
      </w:r>
    </w:p>
    <w:p w14:paraId="2F7AF11F">
      <w:pPr>
        <w:pStyle w:val="2"/>
        <w:spacing w:before="114" w:line="299" w:lineRule="auto"/>
        <w:ind w:left="1455" w:right="1411" w:firstLine="443"/>
        <w:rPr>
          <w:rFonts w:hint="eastAsia"/>
          <w:spacing w:val="-21"/>
          <w:sz w:val="24"/>
          <w:szCs w:val="24"/>
        </w:rPr>
      </w:pPr>
      <w:r>
        <w:rPr>
          <w:rFonts w:hint="eastAsia"/>
          <w:spacing w:val="-21"/>
          <w:sz w:val="24"/>
          <w:szCs w:val="24"/>
        </w:rPr>
        <w:t>2.5钢筋切断机、弯曲机、对焊接等小型机械必须设置防雨罩;氧气、乙炔瓶在高温暴晒季节设置防晒罩。</w:t>
      </w:r>
    </w:p>
    <w:p w14:paraId="318806DA">
      <w:pPr>
        <w:pStyle w:val="2"/>
        <w:spacing w:before="114" w:line="299" w:lineRule="auto"/>
        <w:ind w:left="1455" w:right="1411" w:firstLine="443"/>
        <w:rPr>
          <w:rFonts w:hint="eastAsia"/>
          <w:spacing w:val="-21"/>
          <w:sz w:val="24"/>
          <w:szCs w:val="24"/>
        </w:rPr>
      </w:pPr>
      <w:r>
        <w:rPr>
          <w:rFonts w:hint="eastAsia"/>
          <w:spacing w:val="-21"/>
          <w:sz w:val="24"/>
          <w:szCs w:val="24"/>
        </w:rPr>
        <w:t>物资检验方案</w:t>
      </w:r>
    </w:p>
    <w:p w14:paraId="76E0511E">
      <w:pPr>
        <w:pStyle w:val="2"/>
        <w:spacing w:before="114" w:line="299" w:lineRule="auto"/>
        <w:ind w:left="1455" w:right="1411" w:firstLine="443"/>
        <w:rPr>
          <w:rFonts w:hint="eastAsia"/>
          <w:spacing w:val="-21"/>
          <w:sz w:val="24"/>
          <w:szCs w:val="24"/>
        </w:rPr>
      </w:pPr>
      <w:r>
        <w:rPr>
          <w:rFonts w:hint="eastAsia"/>
          <w:spacing w:val="-21"/>
          <w:sz w:val="24"/>
          <w:szCs w:val="24"/>
        </w:rPr>
        <w:t>1、进场验证</w:t>
      </w:r>
    </w:p>
    <w:p w14:paraId="66B5933D">
      <w:pPr>
        <w:pStyle w:val="2"/>
        <w:spacing w:before="114" w:line="299" w:lineRule="auto"/>
        <w:ind w:left="1455" w:right="1411" w:firstLine="443"/>
        <w:rPr>
          <w:rFonts w:hint="eastAsia"/>
          <w:spacing w:val="-21"/>
          <w:sz w:val="24"/>
          <w:szCs w:val="24"/>
        </w:rPr>
      </w:pPr>
      <w:r>
        <w:rPr>
          <w:rFonts w:hint="eastAsia"/>
          <w:spacing w:val="-21"/>
          <w:sz w:val="24"/>
          <w:szCs w:val="24"/>
        </w:rPr>
        <w:t>1.1项目物资部编制物资进场检验计划(依据检验试验计划),经项目技术负责人批准后实施,产品检验由项目部材料员配合试验员完成。</w:t>
      </w:r>
    </w:p>
    <w:p w14:paraId="6F1DAC82">
      <w:pPr>
        <w:pStyle w:val="2"/>
        <w:spacing w:before="114" w:line="299" w:lineRule="auto"/>
        <w:ind w:left="1455" w:right="1411" w:firstLine="443"/>
        <w:rPr>
          <w:rFonts w:hint="eastAsia"/>
          <w:spacing w:val="-21"/>
          <w:sz w:val="24"/>
          <w:szCs w:val="24"/>
        </w:rPr>
      </w:pPr>
      <w:r>
        <w:rPr>
          <w:rFonts w:hint="eastAsia"/>
          <w:spacing w:val="-21"/>
          <w:sz w:val="24"/>
          <w:szCs w:val="24"/>
        </w:rPr>
        <w:t>1.2采购员在大宗物资到达前一天通知有关材料员(库管员),由库管员准备验证必备计量工具、场内搬运器具等熟悉物资技术规范、质量标准,规划堆放场地;</w:t>
      </w:r>
    </w:p>
    <w:p w14:paraId="05B5C31B">
      <w:pPr>
        <w:pStyle w:val="2"/>
        <w:spacing w:before="114" w:line="299" w:lineRule="auto"/>
        <w:ind w:left="1455" w:right="1411" w:firstLine="443"/>
        <w:rPr>
          <w:rFonts w:hint="eastAsia"/>
          <w:spacing w:val="-21"/>
          <w:sz w:val="24"/>
          <w:szCs w:val="24"/>
        </w:rPr>
      </w:pPr>
      <w:r>
        <w:rPr>
          <w:rFonts w:hint="eastAsia"/>
          <w:spacing w:val="-21"/>
          <w:sz w:val="24"/>
          <w:szCs w:val="24"/>
        </w:rPr>
        <w:t>1.3物资进场,项目库管员会同采购员对物资图样、文件、包装、外观质量、质量证明文件、产品合格证、包装完好情况、数量、规格、产品标识进行验证并作好《材料、构配件进场检验记录》验证应做到:</w:t>
      </w:r>
    </w:p>
    <w:p w14:paraId="11345F0B">
      <w:pPr>
        <w:pStyle w:val="2"/>
        <w:spacing w:before="114" w:line="299" w:lineRule="auto"/>
        <w:ind w:left="1455" w:right="1411" w:firstLine="443"/>
        <w:rPr>
          <w:rFonts w:hint="eastAsia"/>
          <w:spacing w:val="-21"/>
          <w:sz w:val="24"/>
          <w:szCs w:val="24"/>
        </w:rPr>
      </w:pPr>
      <w:r>
        <w:rPr>
          <w:rFonts w:hint="eastAsia"/>
          <w:spacing w:val="-21"/>
          <w:sz w:val="24"/>
          <w:szCs w:val="24"/>
        </w:rPr>
        <w:t>①核对进场物资是否符合采购计划或加工合同规定,核查产品的外观质量是否与合同约定、已封存样品、产品说明书、质量证明文件、产品合格证、送货单、过磅单、装箱单等符合,验证质量合格,库管员作好记录,才允许卸货;</w:t>
      </w:r>
    </w:p>
    <w:p w14:paraId="64D8FF32">
      <w:pPr>
        <w:pStyle w:val="2"/>
        <w:spacing w:before="114" w:line="299" w:lineRule="auto"/>
        <w:ind w:left="1455" w:right="1411" w:firstLine="443"/>
        <w:rPr>
          <w:rFonts w:hint="eastAsia"/>
          <w:spacing w:val="-21"/>
          <w:sz w:val="24"/>
          <w:szCs w:val="24"/>
        </w:rPr>
      </w:pPr>
      <w:r>
        <w:rPr>
          <w:rFonts w:hint="eastAsia"/>
          <w:spacing w:val="-21"/>
          <w:sz w:val="24"/>
          <w:szCs w:val="24"/>
        </w:rPr>
        <w:t>②需复试的材料进场时,库管员进行数量和外观质量验收,验收合格后即可卸货,并做好待检标识,及时通知试验员取样送检,待复检合格后方可使用;</w:t>
      </w:r>
    </w:p>
    <w:p w14:paraId="00076454">
      <w:pPr>
        <w:pStyle w:val="2"/>
        <w:spacing w:before="114" w:line="299" w:lineRule="auto"/>
        <w:ind w:left="1455" w:right="1411" w:firstLine="443"/>
        <w:rPr>
          <w:rFonts w:hint="eastAsia"/>
          <w:spacing w:val="-21"/>
          <w:sz w:val="24"/>
          <w:szCs w:val="24"/>
        </w:rPr>
      </w:pPr>
      <w:r>
        <w:rPr>
          <w:rFonts w:hint="eastAsia"/>
          <w:spacing w:val="-21"/>
          <w:sz w:val="24"/>
          <w:szCs w:val="24"/>
        </w:rPr>
        <w:t>③一般情况下,项目库管员对物资应全数进行验收,验收方式按照国家标准、合同或采购前约定进行,对包装或整齐捆绑物资,库管员按照随机抽样进行抽查,抽查数量控制在进货数量的5%以内;</w:t>
      </w:r>
    </w:p>
    <w:p w14:paraId="6EABB14D">
      <w:pPr>
        <w:pStyle w:val="2"/>
        <w:spacing w:before="114" w:line="299" w:lineRule="auto"/>
        <w:ind w:left="1455" w:right="1411" w:firstLine="443"/>
        <w:rPr>
          <w:rFonts w:hint="eastAsia"/>
          <w:spacing w:val="-21"/>
          <w:sz w:val="24"/>
          <w:szCs w:val="24"/>
        </w:rPr>
      </w:pPr>
      <w:r>
        <w:rPr>
          <w:rFonts w:hint="eastAsia"/>
          <w:spacing w:val="-21"/>
          <w:sz w:val="24"/>
          <w:szCs w:val="24"/>
        </w:rPr>
        <w:t>④验证数量与到货凭证不符采购员应立即通知供应商到场重新确认后允许卸货如抽查样品质量、数量与到货凭证或已封存样品质量、数量不符验证人员加倍抽样查验仍发现不符合,库管员拒绝收货、标识并填写《不合格物资记录》单由采购员通知供应商退货。</w:t>
      </w:r>
    </w:p>
    <w:p w14:paraId="18C5A205">
      <w:pPr>
        <w:pStyle w:val="2"/>
        <w:spacing w:before="114" w:line="299" w:lineRule="auto"/>
        <w:ind w:left="1455" w:right="1411" w:firstLine="443"/>
        <w:rPr>
          <w:rFonts w:hint="eastAsia"/>
          <w:spacing w:val="-21"/>
          <w:sz w:val="24"/>
          <w:szCs w:val="24"/>
        </w:rPr>
      </w:pPr>
      <w:r>
        <w:rPr>
          <w:rFonts w:hint="eastAsia"/>
          <w:spacing w:val="-21"/>
          <w:sz w:val="24"/>
          <w:szCs w:val="24"/>
        </w:rPr>
        <w:t>1.4在供应商处验证物资。</w:t>
      </w:r>
    </w:p>
    <w:p w14:paraId="497257CE">
      <w:pPr>
        <w:pStyle w:val="2"/>
        <w:spacing w:before="114" w:line="299" w:lineRule="auto"/>
        <w:ind w:left="1455" w:right="1411" w:firstLine="443"/>
        <w:rPr>
          <w:rFonts w:hint="eastAsia"/>
          <w:spacing w:val="-21"/>
          <w:sz w:val="24"/>
          <w:szCs w:val="24"/>
        </w:rPr>
      </w:pPr>
      <w:r>
        <w:rPr>
          <w:rFonts w:hint="eastAsia"/>
          <w:spacing w:val="-21"/>
          <w:sz w:val="24"/>
          <w:szCs w:val="24"/>
        </w:rPr>
        <w:t>①当需要在供应商处对所采购物资进行验证时,项目物资部应在采购合同(订单)中明确规定验证的安排和物资的放行方法;</w:t>
      </w:r>
    </w:p>
    <w:p w14:paraId="4032ECC9">
      <w:pPr>
        <w:pStyle w:val="2"/>
        <w:spacing w:before="114" w:line="299" w:lineRule="auto"/>
        <w:ind w:left="1455" w:right="1411" w:firstLine="443"/>
        <w:rPr>
          <w:rFonts w:hint="eastAsia"/>
          <w:spacing w:val="-21"/>
          <w:sz w:val="24"/>
          <w:szCs w:val="24"/>
        </w:rPr>
      </w:pPr>
      <w:r>
        <w:rPr>
          <w:rFonts w:hint="eastAsia"/>
          <w:spacing w:val="-21"/>
          <w:sz w:val="24"/>
          <w:szCs w:val="24"/>
        </w:rPr>
        <w:t>②项目物资部采购负责人组织技术部、质量部等方面人员到供应商处对所采购物资进行验证,并做好验证记录。</w:t>
      </w:r>
    </w:p>
    <w:p w14:paraId="41D08170">
      <w:pPr>
        <w:pStyle w:val="2"/>
        <w:spacing w:before="114" w:line="299" w:lineRule="auto"/>
        <w:ind w:left="1455" w:right="1411" w:firstLine="443"/>
        <w:rPr>
          <w:rFonts w:hint="eastAsia"/>
          <w:spacing w:val="-21"/>
          <w:sz w:val="24"/>
          <w:szCs w:val="24"/>
        </w:rPr>
      </w:pPr>
      <w:r>
        <w:rPr>
          <w:rFonts w:hint="eastAsia"/>
          <w:spacing w:val="-21"/>
          <w:sz w:val="24"/>
          <w:szCs w:val="24"/>
        </w:rPr>
        <w:t>物资检验方案</w:t>
      </w:r>
    </w:p>
    <w:p w14:paraId="5B16D461">
      <w:pPr>
        <w:pStyle w:val="2"/>
        <w:spacing w:before="114" w:line="299" w:lineRule="auto"/>
        <w:ind w:left="1455" w:right="1411" w:firstLine="443"/>
        <w:rPr>
          <w:rFonts w:hint="eastAsia"/>
          <w:spacing w:val="-21"/>
          <w:sz w:val="24"/>
          <w:szCs w:val="24"/>
        </w:rPr>
      </w:pPr>
      <w:r>
        <w:rPr>
          <w:rFonts w:hint="eastAsia"/>
          <w:spacing w:val="-21"/>
          <w:sz w:val="24"/>
          <w:szCs w:val="24"/>
        </w:rPr>
        <w:t>1、进场验证</w:t>
      </w:r>
    </w:p>
    <w:p w14:paraId="0B31F430">
      <w:pPr>
        <w:pStyle w:val="2"/>
        <w:spacing w:before="114" w:line="299" w:lineRule="auto"/>
        <w:ind w:left="1455" w:right="1411" w:firstLine="443"/>
        <w:rPr>
          <w:rFonts w:hint="eastAsia"/>
          <w:spacing w:val="-21"/>
          <w:sz w:val="24"/>
          <w:szCs w:val="24"/>
        </w:rPr>
      </w:pPr>
      <w:r>
        <w:rPr>
          <w:rFonts w:hint="eastAsia"/>
          <w:spacing w:val="-21"/>
          <w:sz w:val="24"/>
          <w:szCs w:val="24"/>
        </w:rPr>
        <w:t>1.1项目物资部编制物资进场检验计划(依据检验试验计划),经项目技术负责人批准后实施,产品检验由项目部材料员配合试验员完成。</w:t>
      </w:r>
    </w:p>
    <w:p w14:paraId="34C311E6">
      <w:pPr>
        <w:pStyle w:val="2"/>
        <w:spacing w:before="114" w:line="299" w:lineRule="auto"/>
        <w:ind w:left="1455" w:right="1411" w:firstLine="443"/>
        <w:rPr>
          <w:rFonts w:hint="eastAsia"/>
          <w:spacing w:val="-21"/>
          <w:sz w:val="24"/>
          <w:szCs w:val="24"/>
        </w:rPr>
      </w:pPr>
      <w:r>
        <w:rPr>
          <w:rFonts w:hint="eastAsia"/>
          <w:spacing w:val="-21"/>
          <w:sz w:val="24"/>
          <w:szCs w:val="24"/>
        </w:rPr>
        <w:t>1.2采购员在大宗物资到达前一天通知有关材料员(库管员),由库管员准备验证必备计量工具、场内搬运器具等熟悉物资技术规范、质量标准,规划堆放场地;</w:t>
      </w:r>
    </w:p>
    <w:p w14:paraId="61F12936">
      <w:pPr>
        <w:pStyle w:val="2"/>
        <w:spacing w:before="114" w:line="299" w:lineRule="auto"/>
        <w:ind w:left="1455" w:right="1411" w:firstLine="443"/>
        <w:rPr>
          <w:rFonts w:hint="eastAsia"/>
          <w:spacing w:val="-21"/>
          <w:sz w:val="24"/>
          <w:szCs w:val="24"/>
        </w:rPr>
      </w:pPr>
      <w:r>
        <w:rPr>
          <w:rFonts w:hint="eastAsia"/>
          <w:spacing w:val="-21"/>
          <w:sz w:val="24"/>
          <w:szCs w:val="24"/>
        </w:rPr>
        <w:t>1.3物资进场,项目库管员会同采购员对物资图样、文件、包装、外观质量、质量证明文件、产品合格证、包装完好情况、数量、规格、产品标识进行验证并作好《材料、构配件进场检验记录》验证应做到:</w:t>
      </w:r>
    </w:p>
    <w:p w14:paraId="3FAE3E7B">
      <w:pPr>
        <w:pStyle w:val="2"/>
        <w:spacing w:before="114" w:line="299" w:lineRule="auto"/>
        <w:ind w:left="1455" w:right="1411" w:firstLine="443"/>
        <w:rPr>
          <w:rFonts w:hint="eastAsia"/>
          <w:spacing w:val="-21"/>
          <w:sz w:val="24"/>
          <w:szCs w:val="24"/>
        </w:rPr>
      </w:pPr>
      <w:r>
        <w:rPr>
          <w:rFonts w:hint="eastAsia"/>
          <w:spacing w:val="-21"/>
          <w:sz w:val="24"/>
          <w:szCs w:val="24"/>
        </w:rPr>
        <w:t>①核对进场物资是否符合采购计划或加工合同规定,核查产品的外观质量是否与合同约定、已封存样品、产品说明书、质量证明文件、产品合格证、送货单、过磅单、装箱单等符合,验证质量合格,库管员作好记录,才允许卸货;</w:t>
      </w:r>
    </w:p>
    <w:p w14:paraId="262B40F9">
      <w:pPr>
        <w:pStyle w:val="2"/>
        <w:spacing w:before="114" w:line="299" w:lineRule="auto"/>
        <w:ind w:left="1455" w:right="1411" w:firstLine="443"/>
        <w:rPr>
          <w:rFonts w:hint="eastAsia"/>
          <w:spacing w:val="-21"/>
          <w:sz w:val="24"/>
          <w:szCs w:val="24"/>
        </w:rPr>
      </w:pPr>
      <w:r>
        <w:rPr>
          <w:rFonts w:hint="eastAsia"/>
          <w:spacing w:val="-21"/>
          <w:sz w:val="24"/>
          <w:szCs w:val="24"/>
        </w:rPr>
        <w:t>②需复试的材料进场时,库管员进行数量和外观质量验收,验收合格后即可卸货,并做好待检标识,及时通知试验员取样送检,待复检合格后方可使用;</w:t>
      </w:r>
    </w:p>
    <w:p w14:paraId="3C588676">
      <w:pPr>
        <w:pStyle w:val="2"/>
        <w:spacing w:before="114" w:line="299" w:lineRule="auto"/>
        <w:ind w:left="1455" w:right="1411" w:firstLine="443"/>
        <w:rPr>
          <w:rFonts w:hint="eastAsia"/>
          <w:spacing w:val="-21"/>
          <w:sz w:val="24"/>
          <w:szCs w:val="24"/>
        </w:rPr>
      </w:pPr>
      <w:r>
        <w:rPr>
          <w:rFonts w:hint="eastAsia"/>
          <w:spacing w:val="-21"/>
          <w:sz w:val="24"/>
          <w:szCs w:val="24"/>
        </w:rPr>
        <w:t>③一般情况下,项目库管员对物资应全数进行验收,验收方式按照国家标准、合同或采购前约定进行,对包装或整齐捆绑物资,库管员按照随机抽样进行抽查,抽查数量控制在进货数量的5%以内;</w:t>
      </w:r>
    </w:p>
    <w:p w14:paraId="31266E6A">
      <w:pPr>
        <w:pStyle w:val="2"/>
        <w:spacing w:before="114" w:line="299" w:lineRule="auto"/>
        <w:ind w:left="1455" w:right="1411" w:firstLine="443"/>
        <w:rPr>
          <w:rFonts w:hint="eastAsia"/>
          <w:spacing w:val="-21"/>
          <w:sz w:val="24"/>
          <w:szCs w:val="24"/>
        </w:rPr>
      </w:pPr>
      <w:r>
        <w:rPr>
          <w:rFonts w:hint="eastAsia"/>
          <w:spacing w:val="-21"/>
          <w:sz w:val="24"/>
          <w:szCs w:val="24"/>
        </w:rPr>
        <w:t>④验证数量与到货凭证不符采购员应立即通知供应商到场重新确认后允许卸货如抽查样品质量、数量与到货凭证或已封存样品质量、数量不符验证人员加倍抽样查验仍发现不符合,库管员拒绝收货、标识并填写《不合格物资记录》单由采购员通知供应商退货。</w:t>
      </w:r>
    </w:p>
    <w:p w14:paraId="4A5311EC">
      <w:pPr>
        <w:pStyle w:val="2"/>
        <w:spacing w:before="114" w:line="299" w:lineRule="auto"/>
        <w:ind w:left="1455" w:right="1411" w:firstLine="443"/>
        <w:rPr>
          <w:rFonts w:hint="eastAsia"/>
          <w:spacing w:val="-21"/>
          <w:sz w:val="24"/>
          <w:szCs w:val="24"/>
        </w:rPr>
      </w:pPr>
      <w:r>
        <w:rPr>
          <w:rFonts w:hint="eastAsia"/>
          <w:spacing w:val="-21"/>
          <w:sz w:val="24"/>
          <w:szCs w:val="24"/>
        </w:rPr>
        <w:t>在供应商处验证物资。</w:t>
      </w:r>
    </w:p>
    <w:p w14:paraId="27AADF17">
      <w:pPr>
        <w:pStyle w:val="2"/>
        <w:spacing w:before="114" w:line="299" w:lineRule="auto"/>
        <w:ind w:left="1455" w:right="1411" w:firstLine="443"/>
        <w:rPr>
          <w:rFonts w:hint="eastAsia"/>
          <w:spacing w:val="-21"/>
          <w:sz w:val="24"/>
          <w:szCs w:val="24"/>
        </w:rPr>
      </w:pPr>
      <w:r>
        <w:rPr>
          <w:rFonts w:hint="eastAsia"/>
          <w:spacing w:val="-21"/>
          <w:sz w:val="24"/>
          <w:szCs w:val="24"/>
        </w:rPr>
        <w:t>①当需要在供应商处对所采购物资进行验证时,项目物资部应在采购合同(订单)中明确规定验证的安排和物资的放行方法;</w:t>
      </w:r>
    </w:p>
    <w:p w14:paraId="734367E5">
      <w:pPr>
        <w:pStyle w:val="2"/>
        <w:spacing w:before="114" w:line="299" w:lineRule="auto"/>
        <w:ind w:left="1455" w:right="1411" w:firstLine="443"/>
        <w:rPr>
          <w:rFonts w:hint="eastAsia"/>
          <w:spacing w:val="-21"/>
          <w:sz w:val="24"/>
          <w:szCs w:val="24"/>
        </w:rPr>
      </w:pPr>
      <w:r>
        <w:rPr>
          <w:rFonts w:hint="eastAsia"/>
          <w:spacing w:val="-21"/>
          <w:sz w:val="24"/>
          <w:szCs w:val="24"/>
        </w:rPr>
        <w:t>②项目物资部采购负责人组织技术部、质量部等方面人员到供应商处对所采购物资进行验证,并做好验证记录。</w:t>
      </w:r>
    </w:p>
    <w:p w14:paraId="499ACFAF">
      <w:pPr>
        <w:pStyle w:val="2"/>
        <w:spacing w:before="114" w:line="299" w:lineRule="auto"/>
        <w:ind w:left="1455" w:right="1411" w:firstLine="443"/>
        <w:rPr>
          <w:rFonts w:hint="eastAsia"/>
          <w:spacing w:val="-21"/>
          <w:sz w:val="24"/>
          <w:szCs w:val="24"/>
        </w:rPr>
      </w:pPr>
      <w:r>
        <w:rPr>
          <w:rFonts w:hint="eastAsia"/>
          <w:spacing w:val="-21"/>
          <w:sz w:val="24"/>
          <w:szCs w:val="24"/>
        </w:rPr>
        <w:t>2、进场物资的复试</w:t>
      </w:r>
    </w:p>
    <w:p w14:paraId="7BAC8DC5">
      <w:pPr>
        <w:pStyle w:val="2"/>
        <w:spacing w:before="114" w:line="299" w:lineRule="auto"/>
        <w:ind w:left="1455" w:right="1411" w:firstLine="443"/>
        <w:rPr>
          <w:rFonts w:hint="eastAsia"/>
          <w:spacing w:val="-21"/>
          <w:sz w:val="24"/>
          <w:szCs w:val="24"/>
        </w:rPr>
      </w:pPr>
      <w:r>
        <w:rPr>
          <w:rFonts w:hint="eastAsia"/>
          <w:spacing w:val="-21"/>
          <w:sz w:val="24"/>
          <w:szCs w:val="24"/>
        </w:rPr>
        <w:t>2.1物资的复试的范围</w:t>
      </w:r>
    </w:p>
    <w:p w14:paraId="669DC3BF">
      <w:pPr>
        <w:pStyle w:val="2"/>
        <w:spacing w:before="114" w:line="299" w:lineRule="auto"/>
        <w:ind w:left="1455" w:right="1411" w:firstLine="443"/>
        <w:rPr>
          <w:rFonts w:hint="eastAsia"/>
          <w:spacing w:val="-21"/>
          <w:sz w:val="24"/>
          <w:szCs w:val="24"/>
        </w:rPr>
      </w:pPr>
      <w:r>
        <w:rPr>
          <w:rFonts w:hint="eastAsia"/>
          <w:spacing w:val="-21"/>
          <w:sz w:val="24"/>
          <w:szCs w:val="24"/>
        </w:rPr>
        <w:t>①国家和地方政府规定的必须进行复试的物资,如钢材、水泥、材料、砼添加剂、轻集料、砖、砂、石子、安全玻璃等;</w:t>
      </w:r>
    </w:p>
    <w:p w14:paraId="387C5152">
      <w:pPr>
        <w:pStyle w:val="2"/>
        <w:spacing w:before="114" w:line="299" w:lineRule="auto"/>
        <w:ind w:left="1455" w:right="1411" w:firstLine="443"/>
        <w:rPr>
          <w:rFonts w:hint="eastAsia"/>
          <w:spacing w:val="-21"/>
          <w:sz w:val="24"/>
          <w:szCs w:val="24"/>
        </w:rPr>
      </w:pPr>
      <w:r>
        <w:rPr>
          <w:rFonts w:hint="eastAsia"/>
          <w:spacing w:val="-21"/>
          <w:sz w:val="24"/>
          <w:szCs w:val="24"/>
        </w:rPr>
        <w:t>②原始质量合格证明文件缺项、数据不清的物资;</w:t>
      </w:r>
    </w:p>
    <w:p w14:paraId="627B2883">
      <w:pPr>
        <w:pStyle w:val="2"/>
        <w:spacing w:before="114" w:line="299" w:lineRule="auto"/>
        <w:ind w:left="1455" w:right="1411" w:firstLine="443"/>
        <w:rPr>
          <w:rFonts w:hint="eastAsia"/>
          <w:spacing w:val="-21"/>
          <w:sz w:val="24"/>
          <w:szCs w:val="24"/>
        </w:rPr>
      </w:pPr>
      <w:r>
        <w:rPr>
          <w:rFonts w:hint="eastAsia"/>
          <w:spacing w:val="-21"/>
          <w:sz w:val="24"/>
          <w:szCs w:val="24"/>
        </w:rPr>
        <w:t>③超出保质期、规格型号混存的物资。</w:t>
      </w:r>
    </w:p>
    <w:p w14:paraId="2530890E">
      <w:pPr>
        <w:pStyle w:val="2"/>
        <w:spacing w:before="114" w:line="299" w:lineRule="auto"/>
        <w:ind w:left="1455" w:right="1411" w:firstLine="443"/>
        <w:rPr>
          <w:rFonts w:hint="eastAsia"/>
          <w:spacing w:val="-21"/>
          <w:sz w:val="24"/>
          <w:szCs w:val="24"/>
        </w:rPr>
      </w:pPr>
      <w:r>
        <w:rPr>
          <w:rFonts w:hint="eastAsia"/>
          <w:spacing w:val="-21"/>
          <w:sz w:val="24"/>
          <w:szCs w:val="24"/>
        </w:rPr>
        <w:t>2.2试验由项目材料员通知试验员取样,材料员、库管员配合,试验员送交指定试验室试验并记录《试验台帐》,试验合格后才能使用;</w:t>
      </w:r>
    </w:p>
    <w:p w14:paraId="02F8F7B6">
      <w:pPr>
        <w:pStyle w:val="2"/>
        <w:spacing w:before="114" w:line="299" w:lineRule="auto"/>
        <w:ind w:left="1455" w:right="1411" w:firstLine="443"/>
        <w:rPr>
          <w:rFonts w:hint="eastAsia"/>
          <w:spacing w:val="-21"/>
          <w:sz w:val="24"/>
          <w:szCs w:val="24"/>
        </w:rPr>
      </w:pPr>
      <w:r>
        <w:rPr>
          <w:rFonts w:hint="eastAsia"/>
          <w:spacing w:val="-21"/>
          <w:sz w:val="24"/>
          <w:szCs w:val="24"/>
        </w:rPr>
        <w:t>2.3电器使用功能检验、电线电缆的绝缘试验、管材和阀门压力试验应在施工现场进行,必要时可送交具有法定资质检测单位鉴定;</w:t>
      </w:r>
    </w:p>
    <w:p w14:paraId="7F58069E">
      <w:pPr>
        <w:pStyle w:val="2"/>
        <w:spacing w:before="114" w:line="299" w:lineRule="auto"/>
        <w:ind w:left="1455" w:right="1411" w:firstLine="443"/>
        <w:rPr>
          <w:rFonts w:hint="eastAsia"/>
          <w:spacing w:val="-21"/>
          <w:sz w:val="24"/>
          <w:szCs w:val="24"/>
        </w:rPr>
      </w:pPr>
      <w:r>
        <w:rPr>
          <w:rFonts w:hint="eastAsia"/>
          <w:spacing w:val="-21"/>
          <w:sz w:val="24"/>
          <w:szCs w:val="24"/>
        </w:rPr>
        <w:t>2.4商品砼进场检验,由试验员按照《混凝土结构工程施工验收规范》要求取样制作试块和塌落度试验并作好取样和塌落度试验结果记录;</w:t>
      </w:r>
    </w:p>
    <w:p w14:paraId="704D9D60">
      <w:pPr>
        <w:pStyle w:val="2"/>
        <w:spacing w:before="114" w:line="299" w:lineRule="auto"/>
        <w:ind w:left="1455" w:right="1411" w:firstLine="443"/>
        <w:rPr>
          <w:rFonts w:hint="eastAsia"/>
          <w:spacing w:val="-21"/>
          <w:sz w:val="24"/>
          <w:szCs w:val="24"/>
        </w:rPr>
      </w:pPr>
      <w:r>
        <w:rPr>
          <w:rFonts w:hint="eastAsia"/>
          <w:spacing w:val="-21"/>
          <w:sz w:val="24"/>
          <w:szCs w:val="24"/>
        </w:rPr>
        <w:t>2.6有见证要求时,按监理要求取样、送检和传递试验报告。</w:t>
      </w:r>
    </w:p>
    <w:p w14:paraId="3BC28A32">
      <w:pPr>
        <w:pStyle w:val="2"/>
        <w:spacing w:before="114" w:line="299" w:lineRule="auto"/>
        <w:ind w:left="1455" w:right="1411" w:firstLine="443"/>
        <w:rPr>
          <w:rFonts w:hint="eastAsia"/>
          <w:spacing w:val="-21"/>
          <w:sz w:val="24"/>
          <w:szCs w:val="24"/>
        </w:rPr>
      </w:pPr>
      <w:r>
        <w:rPr>
          <w:rFonts w:hint="eastAsia"/>
          <w:spacing w:val="-21"/>
          <w:sz w:val="24"/>
          <w:szCs w:val="24"/>
        </w:rPr>
        <w:t>3、验收手续:进场物资经过验证、检验,属外观易识别性质检验的材料,验收应于一日内完成;属化学或物理检验的材料,应于合理时间内完成,复试合格后,由采购员与库管员办理验收手续,双方在验收凭证上署名。</w:t>
      </w:r>
    </w:p>
    <w:p w14:paraId="091F54B0">
      <w:pPr>
        <w:pStyle w:val="2"/>
        <w:spacing w:before="114" w:line="299" w:lineRule="auto"/>
        <w:ind w:left="1455" w:right="1411" w:firstLine="443"/>
        <w:rPr>
          <w:rFonts w:hint="eastAsia"/>
          <w:spacing w:val="-21"/>
          <w:sz w:val="24"/>
          <w:szCs w:val="24"/>
        </w:rPr>
      </w:pPr>
      <w:r>
        <w:rPr>
          <w:rFonts w:hint="eastAsia"/>
          <w:spacing w:val="-21"/>
          <w:sz w:val="24"/>
          <w:szCs w:val="24"/>
        </w:rPr>
        <w:t>4、收集材质证明、合格证等资料</w:t>
      </w:r>
    </w:p>
    <w:p w14:paraId="2185B44F">
      <w:pPr>
        <w:pStyle w:val="2"/>
        <w:spacing w:before="114" w:line="299" w:lineRule="auto"/>
        <w:ind w:left="1455" w:right="1411" w:firstLine="443"/>
        <w:rPr>
          <w:rFonts w:hint="eastAsia"/>
          <w:spacing w:val="-21"/>
          <w:sz w:val="24"/>
          <w:szCs w:val="24"/>
        </w:rPr>
      </w:pPr>
      <w:r>
        <w:rPr>
          <w:rFonts w:hint="eastAsia"/>
          <w:spacing w:val="-21"/>
          <w:sz w:val="24"/>
          <w:szCs w:val="24"/>
        </w:rPr>
        <w:t>4.1必须收集产品生产企业材质证明、合格证明文件的物资有:钢筋、水泥、商品砼等材料;</w:t>
      </w:r>
    </w:p>
    <w:p w14:paraId="70C8D1C8">
      <w:pPr>
        <w:pStyle w:val="2"/>
        <w:spacing w:before="114" w:line="299" w:lineRule="auto"/>
        <w:ind w:left="1455" w:right="1411" w:firstLine="443"/>
        <w:rPr>
          <w:rFonts w:hint="eastAsia"/>
          <w:spacing w:val="-21"/>
          <w:sz w:val="24"/>
          <w:szCs w:val="24"/>
        </w:rPr>
      </w:pPr>
      <w:r>
        <w:rPr>
          <w:rFonts w:hint="eastAsia"/>
          <w:spacing w:val="-21"/>
          <w:sz w:val="24"/>
          <w:szCs w:val="24"/>
        </w:rPr>
        <w:t>4.2必须收集产品生产企业质量合格证明文件的物资有:有压力要求的管材、轻质墙体材料、特殊要求的油漆化工材料和涂料、粘接材料、等材料</w:t>
      </w:r>
    </w:p>
    <w:p w14:paraId="312EC3D2">
      <w:pPr>
        <w:pStyle w:val="2"/>
        <w:spacing w:before="114" w:line="299" w:lineRule="auto"/>
        <w:ind w:left="1455" w:right="1411" w:firstLine="443"/>
        <w:rPr>
          <w:rFonts w:hint="eastAsia"/>
          <w:spacing w:val="-21"/>
          <w:sz w:val="24"/>
          <w:szCs w:val="24"/>
        </w:rPr>
      </w:pPr>
      <w:r>
        <w:rPr>
          <w:rFonts w:hint="eastAsia"/>
          <w:spacing w:val="-21"/>
          <w:sz w:val="24"/>
          <w:szCs w:val="24"/>
        </w:rPr>
        <w:t>4.3必须收集产品合格证或产品说明书的物资有:预制构件、钢构件、各种金属门窗、电器产品、各种阀门及水暖零件、电焊条、高压瓷件、灯具、高强紧固件、各种开关箱柜、绝缘材料、计量器具等材料</w:t>
      </w:r>
    </w:p>
    <w:p w14:paraId="43986E94">
      <w:pPr>
        <w:pStyle w:val="2"/>
        <w:spacing w:before="114" w:line="299" w:lineRule="auto"/>
        <w:ind w:left="1455" w:right="1411" w:firstLine="443"/>
        <w:rPr>
          <w:rFonts w:hint="eastAsia"/>
          <w:spacing w:val="-21"/>
          <w:sz w:val="24"/>
          <w:szCs w:val="24"/>
        </w:rPr>
      </w:pPr>
      <w:r>
        <w:rPr>
          <w:rFonts w:hint="eastAsia"/>
          <w:spacing w:val="-21"/>
          <w:sz w:val="24"/>
          <w:szCs w:val="24"/>
        </w:rPr>
        <w:t>4.4采购安全防护用品必须收集生产可证、准用证、广品合格证,进场前查验;</w:t>
      </w:r>
    </w:p>
    <w:p w14:paraId="177E694A">
      <w:pPr>
        <w:pStyle w:val="2"/>
        <w:spacing w:before="114" w:line="299" w:lineRule="auto"/>
        <w:ind w:left="1455" w:right="1411" w:firstLine="443"/>
        <w:rPr>
          <w:rFonts w:hint="eastAsia"/>
          <w:spacing w:val="-21"/>
          <w:sz w:val="24"/>
          <w:szCs w:val="24"/>
        </w:rPr>
      </w:pPr>
      <w:r>
        <w:rPr>
          <w:rFonts w:hint="eastAsia"/>
          <w:spacing w:val="-21"/>
          <w:sz w:val="24"/>
          <w:szCs w:val="24"/>
        </w:rPr>
        <w:t>物资运输方案</w:t>
      </w:r>
    </w:p>
    <w:p w14:paraId="2A6B8866">
      <w:pPr>
        <w:pStyle w:val="2"/>
        <w:spacing w:before="114" w:line="299" w:lineRule="auto"/>
        <w:ind w:left="1455" w:right="1411" w:firstLine="443"/>
        <w:rPr>
          <w:rFonts w:hint="eastAsia"/>
          <w:spacing w:val="-21"/>
          <w:sz w:val="24"/>
          <w:szCs w:val="24"/>
        </w:rPr>
      </w:pPr>
      <w:r>
        <w:rPr>
          <w:rFonts w:hint="eastAsia"/>
          <w:spacing w:val="-21"/>
          <w:sz w:val="24"/>
          <w:szCs w:val="24"/>
        </w:rPr>
        <w:t>1.物资的采购、使用单位应对其搬运的物资要进行保护,保证物资在搬运过程中不被损坏,并正确保护产品的标识;</w:t>
      </w:r>
    </w:p>
    <w:p w14:paraId="2BA40E6E">
      <w:pPr>
        <w:pStyle w:val="2"/>
        <w:spacing w:before="114" w:line="299" w:lineRule="auto"/>
        <w:ind w:left="1455" w:right="1411" w:firstLine="443"/>
        <w:rPr>
          <w:rFonts w:hint="eastAsia"/>
          <w:spacing w:val="-21"/>
          <w:sz w:val="24"/>
          <w:szCs w:val="24"/>
        </w:rPr>
      </w:pPr>
      <w:r>
        <w:rPr>
          <w:rFonts w:hint="eastAsia"/>
          <w:spacing w:val="-21"/>
          <w:sz w:val="24"/>
          <w:szCs w:val="24"/>
        </w:rPr>
        <w:t>2.对容易损坏、易燃、易爆、易变质和有毒的物资,以及甲方有特殊要求的物资,物资的采购、使用单位负责人应指派人员制订专门的搬运措施并明确搬运人员的职责,防止发生火灾、爆炸、泄露等事故;</w:t>
      </w:r>
    </w:p>
    <w:p w14:paraId="541DDA34">
      <w:pPr>
        <w:pStyle w:val="2"/>
        <w:spacing w:before="114" w:line="299" w:lineRule="auto"/>
        <w:ind w:left="1455" w:right="1411" w:firstLine="443"/>
        <w:rPr>
          <w:rFonts w:hint="eastAsia"/>
          <w:spacing w:val="-21"/>
          <w:sz w:val="24"/>
          <w:szCs w:val="24"/>
        </w:rPr>
      </w:pPr>
      <w:r>
        <w:rPr>
          <w:rFonts w:hint="eastAsia"/>
          <w:spacing w:val="-21"/>
          <w:sz w:val="24"/>
          <w:szCs w:val="24"/>
        </w:rPr>
        <w:t>3.现场内搬运应考虑,从材料堆场、库房到作业现场的距离、路面情况、搬运设备、工具的能力及搬运工人的水平等,对价值较高、易损坏的物资和设备项目物资部应制定专门的搬运方案;</w:t>
      </w:r>
    </w:p>
    <w:p w14:paraId="53203579">
      <w:pPr>
        <w:pStyle w:val="2"/>
        <w:spacing w:before="114" w:line="299" w:lineRule="auto"/>
        <w:ind w:left="1455" w:right="1411" w:firstLine="443"/>
        <w:rPr>
          <w:rFonts w:hint="eastAsia"/>
          <w:spacing w:val="-21"/>
          <w:sz w:val="24"/>
          <w:szCs w:val="24"/>
        </w:rPr>
      </w:pPr>
      <w:r>
        <w:rPr>
          <w:rFonts w:hint="eastAsia"/>
          <w:spacing w:val="-21"/>
          <w:sz w:val="24"/>
          <w:szCs w:val="24"/>
        </w:rPr>
        <w:t>因搬运不当造成质量问题的处理:</w:t>
      </w:r>
    </w:p>
    <w:p w14:paraId="69D2E8EF">
      <w:pPr>
        <w:pStyle w:val="2"/>
        <w:spacing w:before="114" w:line="299" w:lineRule="auto"/>
        <w:ind w:left="1455" w:right="1411" w:firstLine="443"/>
        <w:rPr>
          <w:rFonts w:hint="eastAsia"/>
          <w:spacing w:val="-21"/>
          <w:sz w:val="24"/>
          <w:szCs w:val="24"/>
        </w:rPr>
      </w:pPr>
      <w:r>
        <w:rPr>
          <w:rFonts w:hint="eastAsia"/>
          <w:spacing w:val="-21"/>
          <w:sz w:val="24"/>
          <w:szCs w:val="24"/>
        </w:rPr>
        <w:t>1)对因搬运不当造成质量问题的物资,负责搬运的单位应采取适当的隔离措施作好标识以确保不被混用</w:t>
      </w:r>
    </w:p>
    <w:p w14:paraId="15E74B4B">
      <w:pPr>
        <w:pStyle w:val="2"/>
        <w:spacing w:before="114" w:line="299" w:lineRule="auto"/>
        <w:ind w:left="1455" w:right="1411" w:firstLine="443"/>
        <w:rPr>
          <w:rFonts w:hint="eastAsia"/>
          <w:spacing w:val="-21"/>
          <w:sz w:val="24"/>
          <w:szCs w:val="24"/>
        </w:rPr>
      </w:pPr>
      <w:r>
        <w:rPr>
          <w:rFonts w:hint="eastAsia"/>
          <w:spacing w:val="-21"/>
          <w:sz w:val="24"/>
          <w:szCs w:val="24"/>
        </w:rPr>
        <w:t>2)因自行搬运不当造成质量问题时,由当事人书面报告物资采购单位采取措施进行更换或处理;</w:t>
      </w:r>
    </w:p>
    <w:p w14:paraId="0C7BA181">
      <w:pPr>
        <w:pStyle w:val="2"/>
        <w:spacing w:before="114" w:line="299" w:lineRule="auto"/>
        <w:ind w:left="1455" w:right="1411" w:firstLine="443"/>
        <w:rPr>
          <w:rFonts w:hint="eastAsia"/>
          <w:spacing w:val="-21"/>
          <w:sz w:val="24"/>
          <w:szCs w:val="24"/>
        </w:rPr>
      </w:pPr>
      <w:r>
        <w:rPr>
          <w:rFonts w:hint="eastAsia"/>
          <w:spacing w:val="-21"/>
          <w:sz w:val="24"/>
          <w:szCs w:val="24"/>
        </w:rPr>
        <w:t>3)因供应商搬运不当造成质量问题,物资部要求供应商及时作退货或更换处理;</w:t>
      </w:r>
    </w:p>
    <w:p w14:paraId="04523D1A">
      <w:pPr>
        <w:pStyle w:val="2"/>
        <w:spacing w:before="114" w:line="299" w:lineRule="auto"/>
        <w:ind w:left="1455" w:right="1411" w:firstLine="443"/>
        <w:rPr>
          <w:rFonts w:hint="eastAsia"/>
          <w:spacing w:val="-21"/>
          <w:sz w:val="24"/>
          <w:szCs w:val="24"/>
        </w:rPr>
      </w:pPr>
      <w:r>
        <w:rPr>
          <w:rFonts w:hint="eastAsia"/>
          <w:spacing w:val="-21"/>
          <w:sz w:val="24"/>
          <w:szCs w:val="24"/>
        </w:rPr>
        <w:t>采购资源配置</w:t>
      </w:r>
    </w:p>
    <w:p w14:paraId="021FF884">
      <w:pPr>
        <w:pStyle w:val="2"/>
        <w:spacing w:before="114" w:line="299" w:lineRule="auto"/>
        <w:ind w:left="1455" w:right="1411" w:firstLine="443"/>
        <w:rPr>
          <w:rFonts w:hint="eastAsia"/>
          <w:spacing w:val="-21"/>
          <w:sz w:val="24"/>
          <w:szCs w:val="24"/>
        </w:rPr>
      </w:pPr>
      <w:r>
        <w:rPr>
          <w:rFonts w:hint="eastAsia"/>
          <w:spacing w:val="-21"/>
          <w:sz w:val="24"/>
          <w:szCs w:val="24"/>
        </w:rPr>
        <w:t>采购部为适应本项目的环境,分成五个专业界面:综合管理组、采买组、催交组、检验组和物流管理组,把责任和工作量尽快落实,加大工作力度。</w:t>
      </w:r>
    </w:p>
    <w:p w14:paraId="7F8229F8">
      <w:pPr>
        <w:pStyle w:val="2"/>
        <w:spacing w:before="114" w:line="299" w:lineRule="auto"/>
        <w:ind w:left="1455" w:right="1411" w:firstLine="443"/>
        <w:rPr>
          <w:rFonts w:hint="eastAsia"/>
          <w:spacing w:val="-21"/>
          <w:sz w:val="24"/>
          <w:szCs w:val="24"/>
        </w:rPr>
      </w:pPr>
      <w:r>
        <w:rPr>
          <w:rFonts w:hint="eastAsia"/>
          <w:spacing w:val="-21"/>
          <w:sz w:val="24"/>
          <w:szCs w:val="24"/>
        </w:rPr>
        <w:t>改进业务模式,提高工作质量和效率,彻底转变过去的请购单询价-合同的一事一办的作坊式采买,实现向框架协议采购的转变及向招投标方面的发展,同时完善询比价制度。</w:t>
      </w:r>
    </w:p>
    <w:p w14:paraId="30147542">
      <w:pPr>
        <w:pStyle w:val="2"/>
        <w:spacing w:before="114" w:line="299" w:lineRule="auto"/>
        <w:ind w:left="1455" w:right="1411" w:firstLine="443"/>
        <w:rPr>
          <w:rFonts w:hint="eastAsia"/>
          <w:spacing w:val="-21"/>
          <w:sz w:val="24"/>
          <w:szCs w:val="24"/>
        </w:rPr>
      </w:pPr>
      <w:r>
        <w:rPr>
          <w:rFonts w:hint="eastAsia"/>
          <w:spacing w:val="-21"/>
          <w:sz w:val="24"/>
          <w:szCs w:val="24"/>
        </w:rPr>
        <w:t>同时,充分利用多年来建立起的优良信誉口碑及与各供应商的良好合作关系,发挥项目的内、外部组织环境优势,有效地降低风险,以经济合理的价格签订物资供货及服务合同,达到保障工程质量和进度,最大限度的维护和保证业主的利益目的。</w:t>
      </w:r>
    </w:p>
    <w:p w14:paraId="7C6FE83B">
      <w:pPr>
        <w:pStyle w:val="2"/>
        <w:spacing w:before="114" w:line="299" w:lineRule="auto"/>
        <w:ind w:left="1455" w:right="1411" w:firstLine="443"/>
        <w:rPr>
          <w:rFonts w:hint="eastAsia"/>
          <w:spacing w:val="-21"/>
          <w:sz w:val="24"/>
          <w:szCs w:val="24"/>
        </w:rPr>
      </w:pPr>
      <w:r>
        <w:rPr>
          <w:rFonts w:hint="eastAsia"/>
          <w:spacing w:val="-21"/>
          <w:sz w:val="24"/>
          <w:szCs w:val="24"/>
        </w:rPr>
        <w:t>工程设备的验收</w:t>
      </w:r>
    </w:p>
    <w:p w14:paraId="22B3ED82">
      <w:pPr>
        <w:pStyle w:val="2"/>
        <w:spacing w:before="114" w:line="299" w:lineRule="auto"/>
        <w:ind w:left="1455" w:right="1411" w:firstLine="443"/>
        <w:rPr>
          <w:rFonts w:hint="eastAsia"/>
          <w:spacing w:val="-21"/>
          <w:sz w:val="24"/>
          <w:szCs w:val="24"/>
        </w:rPr>
      </w:pPr>
      <w:r>
        <w:rPr>
          <w:rFonts w:hint="eastAsia"/>
          <w:spacing w:val="-21"/>
          <w:sz w:val="24"/>
          <w:szCs w:val="24"/>
        </w:rPr>
        <w:t>认真履行订货合同，检验其发货单与设备的规格、性能是否一致。在出厂前，要对设备完好状态进行校准；在进场时，对其外观状态和机械使用状态进行全面验收。</w:t>
      </w:r>
    </w:p>
    <w:p w14:paraId="0C4646D5">
      <w:pPr>
        <w:pStyle w:val="2"/>
        <w:spacing w:before="114" w:line="299" w:lineRule="auto"/>
        <w:ind w:left="1455" w:right="1411" w:firstLine="443"/>
        <w:rPr>
          <w:rFonts w:hint="eastAsia"/>
          <w:spacing w:val="-21"/>
          <w:sz w:val="24"/>
          <w:szCs w:val="24"/>
        </w:rPr>
      </w:pPr>
      <w:r>
        <w:rPr>
          <w:rFonts w:hint="eastAsia"/>
          <w:spacing w:val="-21"/>
          <w:sz w:val="24"/>
          <w:szCs w:val="24"/>
        </w:rPr>
        <w:t>商品砼的验收</w:t>
      </w:r>
    </w:p>
    <w:p w14:paraId="0659C702">
      <w:pPr>
        <w:pStyle w:val="2"/>
        <w:spacing w:before="114" w:line="299" w:lineRule="auto"/>
        <w:ind w:left="1455" w:right="1411" w:firstLine="443"/>
        <w:rPr>
          <w:rFonts w:hint="eastAsia"/>
          <w:spacing w:val="-21"/>
          <w:sz w:val="24"/>
          <w:szCs w:val="24"/>
        </w:rPr>
      </w:pPr>
      <w:r>
        <w:rPr>
          <w:rFonts w:hint="eastAsia"/>
          <w:spacing w:val="-21"/>
          <w:sz w:val="24"/>
          <w:szCs w:val="24"/>
        </w:rPr>
        <w:t>1、按车次计量与施工图理论计量对比，不超出正常偏差。</w:t>
      </w:r>
    </w:p>
    <w:p w14:paraId="1F312265">
      <w:pPr>
        <w:pStyle w:val="2"/>
        <w:spacing w:before="114" w:line="299" w:lineRule="auto"/>
        <w:ind w:left="1455" w:right="1411" w:firstLine="443"/>
        <w:rPr>
          <w:rFonts w:hint="eastAsia"/>
          <w:spacing w:val="-21"/>
          <w:sz w:val="24"/>
          <w:szCs w:val="24"/>
        </w:rPr>
      </w:pPr>
      <w:r>
        <w:rPr>
          <w:rFonts w:hint="eastAsia"/>
          <w:spacing w:val="-21"/>
          <w:sz w:val="24"/>
          <w:szCs w:val="24"/>
        </w:rPr>
        <w:t>2、按规范取样试验。</w:t>
      </w:r>
    </w:p>
    <w:p w14:paraId="02FF5724">
      <w:pPr>
        <w:pStyle w:val="2"/>
        <w:spacing w:before="114" w:line="299" w:lineRule="auto"/>
        <w:ind w:left="1455" w:right="1411" w:firstLine="443"/>
        <w:rPr>
          <w:rFonts w:hint="eastAsia"/>
          <w:spacing w:val="-21"/>
          <w:sz w:val="24"/>
          <w:szCs w:val="24"/>
        </w:rPr>
      </w:pPr>
      <w:r>
        <w:rPr>
          <w:rFonts w:hint="eastAsia"/>
          <w:spacing w:val="-21"/>
          <w:sz w:val="24"/>
          <w:szCs w:val="24"/>
        </w:rPr>
        <w:t>3、签订商品砼合同时应尽量按施工图理论计量。如按实际车次计量，材料员应严格按照合同对随车发货单进行签证和抽查，如抽查出计量不足，则当批次供应的所有车次均按抽查出的单车最少量计量。</w:t>
      </w:r>
    </w:p>
    <w:p w14:paraId="372F119A">
      <w:pPr>
        <w:pStyle w:val="2"/>
        <w:spacing w:before="114" w:line="299" w:lineRule="auto"/>
        <w:ind w:left="1455" w:right="1411" w:firstLine="443"/>
        <w:rPr>
          <w:rFonts w:hint="eastAsia"/>
          <w:spacing w:val="-21"/>
          <w:sz w:val="24"/>
          <w:szCs w:val="24"/>
        </w:rPr>
      </w:pPr>
      <w:r>
        <w:rPr>
          <w:rFonts w:hint="eastAsia"/>
          <w:spacing w:val="-21"/>
          <w:sz w:val="24"/>
          <w:szCs w:val="24"/>
        </w:rPr>
        <w:t>4、现场材料标识采用材料本身的质量证明书或抽检试验报告，以标牌或记录作为标识。标识必须清晰易辩，不得涂改、损坏。抽检状态标识分为合格、待检、不合格三种。标识的内容包括供方名称、生产厂家、供货时间、质量及环境安全状况、名称规格、抽检状态、生产批（炉）号等。</w:t>
      </w:r>
    </w:p>
    <w:p w14:paraId="42A3297C">
      <w:pPr>
        <w:pStyle w:val="2"/>
        <w:spacing w:before="114" w:line="299" w:lineRule="auto"/>
        <w:ind w:left="1455" w:right="1411" w:firstLine="443"/>
        <w:rPr>
          <w:rFonts w:hint="eastAsia"/>
          <w:spacing w:val="-21"/>
          <w:sz w:val="24"/>
          <w:szCs w:val="24"/>
        </w:rPr>
      </w:pPr>
      <w:r>
        <w:rPr>
          <w:rFonts w:hint="eastAsia"/>
          <w:spacing w:val="-21"/>
          <w:sz w:val="24"/>
          <w:szCs w:val="24"/>
        </w:rPr>
        <w:t>5、对A类材料使用在重要工程时，应记录每批（炉）号的使用部位、使用数量并保存</w:t>
      </w:r>
    </w:p>
    <w:p w14:paraId="78152DE5">
      <w:pPr>
        <w:pStyle w:val="2"/>
        <w:spacing w:before="114" w:line="299" w:lineRule="auto"/>
        <w:ind w:left="1455" w:right="1411" w:firstLine="443"/>
        <w:rPr>
          <w:rFonts w:hint="eastAsia"/>
          <w:spacing w:val="-21"/>
          <w:sz w:val="24"/>
          <w:szCs w:val="24"/>
        </w:rPr>
      </w:pPr>
      <w:r>
        <w:rPr>
          <w:rFonts w:hint="eastAsia"/>
          <w:spacing w:val="-21"/>
          <w:sz w:val="24"/>
          <w:szCs w:val="24"/>
        </w:rPr>
        <w:t>材料的存放、保管措施</w:t>
      </w:r>
    </w:p>
    <w:p w14:paraId="36E9AB06">
      <w:pPr>
        <w:pStyle w:val="2"/>
        <w:spacing w:before="114" w:line="299" w:lineRule="auto"/>
        <w:ind w:left="1455" w:right="1411" w:firstLine="443"/>
        <w:rPr>
          <w:rFonts w:hint="eastAsia"/>
          <w:spacing w:val="-21"/>
          <w:sz w:val="24"/>
          <w:szCs w:val="24"/>
        </w:rPr>
      </w:pPr>
      <w:r>
        <w:rPr>
          <w:rFonts w:hint="eastAsia"/>
          <w:spacing w:val="-21"/>
          <w:sz w:val="24"/>
          <w:szCs w:val="24"/>
        </w:rPr>
        <w:t>库房管理措施</w:t>
      </w:r>
    </w:p>
    <w:p w14:paraId="4ACB1023">
      <w:pPr>
        <w:pStyle w:val="2"/>
        <w:spacing w:before="114" w:line="299" w:lineRule="auto"/>
        <w:ind w:left="1455" w:right="1411" w:firstLine="443"/>
        <w:rPr>
          <w:rFonts w:hint="eastAsia"/>
          <w:spacing w:val="-21"/>
          <w:sz w:val="24"/>
          <w:szCs w:val="24"/>
        </w:rPr>
      </w:pPr>
      <w:r>
        <w:rPr>
          <w:rFonts w:hint="eastAsia"/>
          <w:spacing w:val="-21"/>
          <w:sz w:val="24"/>
          <w:szCs w:val="24"/>
        </w:rPr>
        <w:t>1、库内货架应摆放合理，利于货物的存储，按照品种、规格进行码放，标明货物的名称、规格、数量。</w:t>
      </w:r>
    </w:p>
    <w:p w14:paraId="5CAEBF39">
      <w:pPr>
        <w:pStyle w:val="2"/>
        <w:spacing w:before="114" w:line="299" w:lineRule="auto"/>
        <w:ind w:left="1455" w:right="1411" w:firstLine="443"/>
        <w:rPr>
          <w:rFonts w:hint="eastAsia"/>
          <w:spacing w:val="-21"/>
          <w:sz w:val="24"/>
          <w:szCs w:val="24"/>
        </w:rPr>
      </w:pPr>
      <w:r>
        <w:rPr>
          <w:rFonts w:hint="eastAsia"/>
          <w:spacing w:val="-21"/>
          <w:sz w:val="24"/>
          <w:szCs w:val="24"/>
        </w:rPr>
        <w:t>2、易燃、易爆、贵重物品及有毒物品应设专库存放，并有保管措施。</w:t>
      </w:r>
    </w:p>
    <w:p w14:paraId="2FA7A5CC">
      <w:pPr>
        <w:pStyle w:val="2"/>
        <w:spacing w:before="114" w:line="299" w:lineRule="auto"/>
        <w:ind w:left="1455" w:right="1411" w:firstLine="443"/>
        <w:rPr>
          <w:rFonts w:hint="eastAsia"/>
          <w:spacing w:val="-21"/>
          <w:sz w:val="24"/>
          <w:szCs w:val="24"/>
        </w:rPr>
      </w:pPr>
      <w:r>
        <w:rPr>
          <w:rFonts w:hint="eastAsia"/>
          <w:spacing w:val="-21"/>
          <w:sz w:val="24"/>
          <w:szCs w:val="24"/>
        </w:rPr>
        <w:t>3、材料管理人员要坚守岗位，保持库容整洁干净，对入库的各种材料，对照计划单，来料单逐一核对，对物资的品种、规格、质量、数量，实行验收入库。</w:t>
      </w:r>
    </w:p>
    <w:p w14:paraId="5A2E8709">
      <w:pPr>
        <w:pStyle w:val="2"/>
        <w:spacing w:before="114" w:line="299" w:lineRule="auto"/>
        <w:ind w:left="1455" w:right="1411" w:firstLine="443"/>
        <w:rPr>
          <w:rFonts w:hint="eastAsia"/>
          <w:spacing w:val="-21"/>
          <w:sz w:val="24"/>
          <w:szCs w:val="24"/>
        </w:rPr>
      </w:pPr>
      <w:r>
        <w:rPr>
          <w:rFonts w:hint="eastAsia"/>
          <w:spacing w:val="-21"/>
          <w:sz w:val="24"/>
          <w:szCs w:val="24"/>
        </w:rPr>
        <w:t>4、做到先入库，先使用的原则，按照制度规定的手续发料，做好货物</w:t>
      </w:r>
    </w:p>
    <w:p w14:paraId="09C98378">
      <w:pPr>
        <w:pStyle w:val="2"/>
        <w:spacing w:before="114" w:line="299" w:lineRule="auto"/>
        <w:ind w:left="1455" w:right="1411" w:firstLine="443"/>
        <w:rPr>
          <w:rFonts w:hint="eastAsia"/>
          <w:spacing w:val="-21"/>
          <w:sz w:val="24"/>
          <w:szCs w:val="24"/>
        </w:rPr>
      </w:pPr>
      <w:r>
        <w:rPr>
          <w:rFonts w:hint="eastAsia"/>
          <w:spacing w:val="-21"/>
          <w:sz w:val="24"/>
          <w:szCs w:val="24"/>
        </w:rPr>
        <w:t>的发料记录。</w:t>
      </w:r>
    </w:p>
    <w:p w14:paraId="39E23DDB">
      <w:pPr>
        <w:pStyle w:val="2"/>
        <w:spacing w:before="114" w:line="299" w:lineRule="auto"/>
        <w:ind w:left="1455" w:right="1411" w:firstLine="443"/>
        <w:rPr>
          <w:rFonts w:hint="eastAsia"/>
          <w:spacing w:val="-21"/>
          <w:sz w:val="24"/>
          <w:szCs w:val="24"/>
        </w:rPr>
      </w:pPr>
      <w:r>
        <w:rPr>
          <w:rFonts w:hint="eastAsia"/>
          <w:spacing w:val="-21"/>
          <w:sz w:val="24"/>
          <w:szCs w:val="24"/>
        </w:rPr>
        <w:t>5、易燃、易爆材料严禁在结构工程内部存放。</w:t>
      </w:r>
    </w:p>
    <w:p w14:paraId="4A2C6BDD">
      <w:pPr>
        <w:pStyle w:val="2"/>
        <w:spacing w:before="114" w:line="299" w:lineRule="auto"/>
        <w:ind w:left="1455" w:right="1411" w:firstLine="443"/>
        <w:rPr>
          <w:rFonts w:hint="eastAsia"/>
          <w:spacing w:val="-21"/>
          <w:sz w:val="24"/>
          <w:szCs w:val="24"/>
        </w:rPr>
      </w:pPr>
      <w:r>
        <w:rPr>
          <w:rFonts w:hint="eastAsia"/>
          <w:spacing w:val="-21"/>
          <w:sz w:val="24"/>
          <w:szCs w:val="24"/>
        </w:rPr>
        <w:t>6、出入库的账目要齐全，要有出门证，账实相符，日清月结，做到有</w:t>
      </w:r>
    </w:p>
    <w:p w14:paraId="059D646F">
      <w:pPr>
        <w:pStyle w:val="2"/>
        <w:spacing w:before="114" w:line="299" w:lineRule="auto"/>
        <w:ind w:left="1455" w:right="1411" w:firstLine="443"/>
        <w:rPr>
          <w:rFonts w:hint="eastAsia"/>
          <w:spacing w:val="-21"/>
          <w:sz w:val="24"/>
          <w:szCs w:val="24"/>
        </w:rPr>
      </w:pPr>
      <w:r>
        <w:rPr>
          <w:rFonts w:hint="eastAsia"/>
          <w:spacing w:val="-21"/>
          <w:sz w:val="24"/>
          <w:szCs w:val="24"/>
        </w:rPr>
        <w:t>物必有账。</w:t>
      </w:r>
    </w:p>
    <w:p w14:paraId="19627015">
      <w:pPr>
        <w:pStyle w:val="2"/>
        <w:spacing w:before="114" w:line="299" w:lineRule="auto"/>
        <w:ind w:left="1455" w:right="1411" w:firstLine="443"/>
        <w:rPr>
          <w:rFonts w:hint="eastAsia"/>
          <w:spacing w:val="-21"/>
          <w:sz w:val="24"/>
          <w:szCs w:val="24"/>
        </w:rPr>
      </w:pPr>
      <w:r>
        <w:rPr>
          <w:rFonts w:hint="eastAsia"/>
          <w:spacing w:val="-21"/>
          <w:sz w:val="24"/>
          <w:szCs w:val="24"/>
        </w:rPr>
        <w:t>7、库房要达到防火、防盗要求，进入库房的工作人员严禁吸烟，库内</w:t>
      </w:r>
    </w:p>
    <w:p w14:paraId="0BA9225B">
      <w:pPr>
        <w:pStyle w:val="2"/>
        <w:spacing w:before="114" w:line="299" w:lineRule="auto"/>
        <w:ind w:left="1455" w:right="1411" w:firstLine="443"/>
        <w:rPr>
          <w:rFonts w:hint="eastAsia"/>
          <w:spacing w:val="-21"/>
          <w:sz w:val="24"/>
          <w:szCs w:val="24"/>
        </w:rPr>
      </w:pPr>
      <w:r>
        <w:rPr>
          <w:rFonts w:hint="eastAsia"/>
          <w:spacing w:val="-21"/>
          <w:sz w:val="24"/>
          <w:szCs w:val="24"/>
        </w:rPr>
        <w:t>配置灭火器材。</w:t>
      </w:r>
    </w:p>
    <w:p w14:paraId="695116A7">
      <w:pPr>
        <w:pStyle w:val="2"/>
        <w:spacing w:before="114" w:line="299" w:lineRule="auto"/>
        <w:ind w:left="1455" w:right="1411" w:firstLine="443"/>
        <w:rPr>
          <w:rFonts w:hint="eastAsia"/>
          <w:spacing w:val="-21"/>
          <w:sz w:val="24"/>
          <w:szCs w:val="24"/>
        </w:rPr>
      </w:pPr>
      <w:r>
        <w:rPr>
          <w:rFonts w:hint="eastAsia"/>
          <w:spacing w:val="-21"/>
          <w:sz w:val="24"/>
          <w:szCs w:val="24"/>
        </w:rPr>
        <w:t>8、根据材料性能要求，保管好物资，做好防护措施。</w:t>
      </w:r>
    </w:p>
    <w:p w14:paraId="513A25BD">
      <w:pPr>
        <w:pStyle w:val="2"/>
        <w:spacing w:before="114" w:line="299" w:lineRule="auto"/>
        <w:ind w:left="1455" w:right="1411" w:firstLine="443"/>
        <w:rPr>
          <w:rFonts w:hint="eastAsia"/>
          <w:spacing w:val="-21"/>
          <w:sz w:val="24"/>
          <w:szCs w:val="24"/>
        </w:rPr>
      </w:pPr>
      <w:r>
        <w:rPr>
          <w:rFonts w:hint="eastAsia"/>
          <w:spacing w:val="-21"/>
          <w:sz w:val="24"/>
          <w:szCs w:val="24"/>
        </w:rPr>
        <w:t>9、对质量、数量、品种、规格、型号不符合要求的，有权拒绝入库，</w:t>
      </w:r>
    </w:p>
    <w:p w14:paraId="1BA9426A">
      <w:pPr>
        <w:pStyle w:val="2"/>
        <w:spacing w:before="114" w:line="299" w:lineRule="auto"/>
        <w:ind w:left="1455" w:right="1411" w:firstLine="443"/>
        <w:rPr>
          <w:rFonts w:hint="eastAsia"/>
          <w:spacing w:val="-21"/>
          <w:sz w:val="24"/>
          <w:szCs w:val="24"/>
        </w:rPr>
      </w:pPr>
      <w:r>
        <w:rPr>
          <w:rFonts w:hint="eastAsia"/>
          <w:spacing w:val="-21"/>
          <w:sz w:val="24"/>
          <w:szCs w:val="24"/>
        </w:rPr>
        <w:t>并及时向上级有关部门反映。</w:t>
      </w:r>
    </w:p>
    <w:p w14:paraId="37726157">
      <w:pPr>
        <w:pStyle w:val="2"/>
        <w:spacing w:before="114" w:line="299" w:lineRule="auto"/>
        <w:ind w:left="1455" w:right="1411" w:firstLine="443"/>
        <w:rPr>
          <w:rFonts w:hint="eastAsia"/>
          <w:spacing w:val="-21"/>
          <w:sz w:val="24"/>
          <w:szCs w:val="24"/>
        </w:rPr>
      </w:pPr>
      <w:r>
        <w:rPr>
          <w:rFonts w:hint="eastAsia"/>
          <w:spacing w:val="-21"/>
          <w:sz w:val="24"/>
          <w:szCs w:val="24"/>
        </w:rPr>
        <w:t>现场料具使用和周转管理措施</w:t>
      </w:r>
    </w:p>
    <w:p w14:paraId="6606FAA3">
      <w:pPr>
        <w:pStyle w:val="2"/>
        <w:spacing w:before="114" w:line="299" w:lineRule="auto"/>
        <w:ind w:left="1455" w:right="1411" w:firstLine="443"/>
        <w:rPr>
          <w:rFonts w:hint="eastAsia"/>
          <w:spacing w:val="-21"/>
          <w:sz w:val="24"/>
          <w:szCs w:val="24"/>
        </w:rPr>
      </w:pPr>
      <w:r>
        <w:rPr>
          <w:rFonts w:hint="eastAsia"/>
          <w:spacing w:val="-21"/>
          <w:sz w:val="24"/>
          <w:szCs w:val="24"/>
        </w:rPr>
        <w:t>1、各种工具、材料，因保管不当丢失的照价赔偿。</w:t>
      </w:r>
    </w:p>
    <w:p w14:paraId="01AB6D41">
      <w:pPr>
        <w:pStyle w:val="2"/>
        <w:spacing w:before="114" w:line="299" w:lineRule="auto"/>
        <w:ind w:left="1455" w:right="1411" w:firstLine="443"/>
        <w:rPr>
          <w:rFonts w:hint="eastAsia"/>
          <w:spacing w:val="-21"/>
          <w:sz w:val="24"/>
          <w:szCs w:val="24"/>
        </w:rPr>
      </w:pPr>
      <w:r>
        <w:rPr>
          <w:rFonts w:hint="eastAsia"/>
          <w:spacing w:val="-21"/>
          <w:sz w:val="24"/>
          <w:szCs w:val="24"/>
        </w:rPr>
        <w:t>2、所有工程用料必须按计划使用，不得随意丢弃浪费和损坏，对故意损坏浪费材料的人酌情进行处罚。</w:t>
      </w:r>
    </w:p>
    <w:p w14:paraId="29E302F6">
      <w:pPr>
        <w:pStyle w:val="2"/>
        <w:spacing w:before="114" w:line="299" w:lineRule="auto"/>
        <w:ind w:left="1455" w:right="1411" w:firstLine="443"/>
        <w:rPr>
          <w:rFonts w:hint="eastAsia"/>
          <w:spacing w:val="-21"/>
          <w:sz w:val="24"/>
          <w:szCs w:val="24"/>
        </w:rPr>
      </w:pPr>
      <w:r>
        <w:rPr>
          <w:rFonts w:hint="eastAsia"/>
          <w:spacing w:val="-21"/>
          <w:sz w:val="24"/>
          <w:szCs w:val="24"/>
        </w:rPr>
        <w:t>3、各班组、各外包队班组，必须设有专人领料，由材料人员登记入账。</w:t>
      </w:r>
    </w:p>
    <w:p w14:paraId="6F4F0559">
      <w:pPr>
        <w:pStyle w:val="2"/>
        <w:spacing w:before="114" w:line="299" w:lineRule="auto"/>
        <w:ind w:left="1455" w:right="1411" w:firstLine="443"/>
        <w:rPr>
          <w:rFonts w:hint="eastAsia"/>
          <w:spacing w:val="-21"/>
          <w:sz w:val="24"/>
          <w:szCs w:val="24"/>
        </w:rPr>
      </w:pPr>
      <w:r>
        <w:rPr>
          <w:rFonts w:hint="eastAsia"/>
          <w:spacing w:val="-21"/>
          <w:sz w:val="24"/>
          <w:szCs w:val="24"/>
        </w:rPr>
        <w:t>4、妥善保管和合理使用各种工具，不得损坏，不得丢失。</w:t>
      </w:r>
    </w:p>
    <w:p w14:paraId="51951818">
      <w:pPr>
        <w:pStyle w:val="2"/>
        <w:spacing w:before="114" w:line="299" w:lineRule="auto"/>
        <w:ind w:left="1455" w:right="1411" w:firstLine="443"/>
        <w:rPr>
          <w:rFonts w:hint="eastAsia"/>
          <w:spacing w:val="-21"/>
          <w:sz w:val="24"/>
          <w:szCs w:val="24"/>
        </w:rPr>
      </w:pPr>
      <w:r>
        <w:rPr>
          <w:rFonts w:hint="eastAsia"/>
          <w:spacing w:val="-21"/>
          <w:sz w:val="24"/>
          <w:szCs w:val="24"/>
        </w:rPr>
        <w:t>5、超计划用料必须由工地经理签发领料单。</w:t>
      </w:r>
    </w:p>
    <w:p w14:paraId="232FCAAE">
      <w:pPr>
        <w:pStyle w:val="2"/>
        <w:spacing w:before="114" w:line="299" w:lineRule="auto"/>
        <w:ind w:left="1455" w:right="1411" w:firstLine="443"/>
        <w:rPr>
          <w:rFonts w:hint="eastAsia"/>
          <w:spacing w:val="-21"/>
          <w:sz w:val="24"/>
          <w:szCs w:val="24"/>
        </w:rPr>
      </w:pPr>
      <w:r>
        <w:rPr>
          <w:rFonts w:hint="eastAsia"/>
          <w:spacing w:val="-21"/>
          <w:sz w:val="24"/>
          <w:szCs w:val="24"/>
        </w:rPr>
        <w:t>6、各种工具、劳保工具、机具，使用完毕后，必须清理干净，完整的交回材料。</w:t>
      </w:r>
    </w:p>
    <w:p w14:paraId="7E9677D3">
      <w:pPr>
        <w:pStyle w:val="2"/>
        <w:spacing w:before="114" w:line="299" w:lineRule="auto"/>
        <w:ind w:left="1455" w:right="1411" w:firstLine="443"/>
        <w:rPr>
          <w:rFonts w:hint="eastAsia"/>
          <w:spacing w:val="-21"/>
          <w:sz w:val="24"/>
          <w:szCs w:val="24"/>
        </w:rPr>
      </w:pPr>
      <w:r>
        <w:rPr>
          <w:rFonts w:hint="eastAsia"/>
          <w:spacing w:val="-21"/>
          <w:sz w:val="24"/>
          <w:szCs w:val="24"/>
        </w:rPr>
        <w:t>7、负责现场材料管理工作，对进场材料认真检验，做好检测、发放记录，建立健全材料采购台账。</w:t>
      </w:r>
    </w:p>
    <w:p w14:paraId="58D9AC78">
      <w:pPr>
        <w:pStyle w:val="2"/>
        <w:spacing w:before="114" w:line="299" w:lineRule="auto"/>
        <w:ind w:left="1455" w:right="1411" w:firstLine="443"/>
        <w:rPr>
          <w:rFonts w:hint="eastAsia"/>
          <w:spacing w:val="-21"/>
          <w:sz w:val="24"/>
          <w:szCs w:val="24"/>
        </w:rPr>
      </w:pPr>
      <w:r>
        <w:rPr>
          <w:rFonts w:hint="eastAsia"/>
          <w:spacing w:val="-21"/>
          <w:sz w:val="24"/>
          <w:szCs w:val="24"/>
        </w:rPr>
        <w:t>8、负责场容管理工作，现场材料要分规格、分区域码放，做到标识清楚。</w:t>
      </w:r>
    </w:p>
    <w:p w14:paraId="17114CBC">
      <w:pPr>
        <w:pStyle w:val="2"/>
        <w:spacing w:before="114" w:line="299" w:lineRule="auto"/>
        <w:ind w:left="1455" w:right="1411" w:firstLine="443"/>
        <w:rPr>
          <w:rFonts w:hint="eastAsia"/>
          <w:spacing w:val="-21"/>
          <w:sz w:val="24"/>
          <w:szCs w:val="24"/>
        </w:rPr>
      </w:pPr>
      <w:r>
        <w:rPr>
          <w:rFonts w:hint="eastAsia"/>
          <w:spacing w:val="-21"/>
          <w:sz w:val="24"/>
          <w:szCs w:val="24"/>
        </w:rPr>
        <w:t>现场材料管理措施</w:t>
      </w:r>
    </w:p>
    <w:p w14:paraId="5AC7CAFC">
      <w:pPr>
        <w:pStyle w:val="2"/>
        <w:spacing w:before="114" w:line="299" w:lineRule="auto"/>
        <w:ind w:left="1455" w:right="1411" w:firstLine="443"/>
        <w:rPr>
          <w:rFonts w:hint="eastAsia"/>
          <w:spacing w:val="-21"/>
          <w:sz w:val="24"/>
          <w:szCs w:val="24"/>
        </w:rPr>
      </w:pPr>
      <w:r>
        <w:rPr>
          <w:rFonts w:hint="eastAsia"/>
          <w:spacing w:val="-21"/>
          <w:sz w:val="24"/>
          <w:szCs w:val="24"/>
        </w:rPr>
        <w:t>为了加强施工现场管理，提高现场的管理水平，合理、有效的使用面积狭窄的施工现场规定如下：</w:t>
      </w:r>
    </w:p>
    <w:p w14:paraId="4C397598">
      <w:pPr>
        <w:pStyle w:val="2"/>
        <w:spacing w:before="114" w:line="299" w:lineRule="auto"/>
        <w:ind w:left="1455" w:right="1411" w:firstLine="443"/>
        <w:rPr>
          <w:rFonts w:hint="eastAsia"/>
          <w:spacing w:val="-21"/>
          <w:sz w:val="24"/>
          <w:szCs w:val="24"/>
        </w:rPr>
      </w:pPr>
      <w:r>
        <w:rPr>
          <w:rFonts w:hint="eastAsia"/>
          <w:spacing w:val="-21"/>
          <w:sz w:val="24"/>
          <w:szCs w:val="24"/>
        </w:rPr>
        <w:t>1、凡进入施工现场的车辆需要把车停在指定位置，不得影响施工作业。</w:t>
      </w:r>
    </w:p>
    <w:p w14:paraId="08083B57">
      <w:pPr>
        <w:pStyle w:val="2"/>
        <w:spacing w:before="114" w:line="299" w:lineRule="auto"/>
        <w:ind w:left="1455" w:right="1411" w:firstLine="443"/>
        <w:rPr>
          <w:rFonts w:hint="eastAsia"/>
          <w:spacing w:val="-21"/>
          <w:sz w:val="24"/>
          <w:szCs w:val="24"/>
        </w:rPr>
      </w:pPr>
      <w:r>
        <w:rPr>
          <w:rFonts w:hint="eastAsia"/>
          <w:spacing w:val="-21"/>
          <w:sz w:val="24"/>
          <w:szCs w:val="24"/>
        </w:rPr>
        <w:t>2、做好施工现场的安全、保卫、防火、防盗的工作，设专人做好施工现场的清洁保洁工作。</w:t>
      </w:r>
    </w:p>
    <w:p w14:paraId="2209749C">
      <w:pPr>
        <w:pStyle w:val="2"/>
        <w:spacing w:before="114" w:line="299" w:lineRule="auto"/>
        <w:ind w:left="1455" w:right="1411" w:firstLine="443"/>
        <w:rPr>
          <w:rFonts w:hint="eastAsia"/>
          <w:spacing w:val="-21"/>
          <w:sz w:val="24"/>
          <w:szCs w:val="24"/>
        </w:rPr>
      </w:pPr>
      <w:r>
        <w:rPr>
          <w:rFonts w:hint="eastAsia"/>
          <w:spacing w:val="-21"/>
          <w:sz w:val="24"/>
          <w:szCs w:val="24"/>
        </w:rPr>
        <w:t>3、卸料时要轻拿轻放，码放整齐，不得随意抛、投，不得超高码放，夜间来料卸料不能影响周围居民的休息。</w:t>
      </w:r>
    </w:p>
    <w:p w14:paraId="2DA5A6A8">
      <w:pPr>
        <w:pStyle w:val="2"/>
        <w:spacing w:before="114" w:line="299" w:lineRule="auto"/>
        <w:ind w:left="1455" w:right="1411" w:firstLine="443"/>
        <w:rPr>
          <w:rFonts w:hint="eastAsia"/>
          <w:spacing w:val="-21"/>
          <w:sz w:val="24"/>
          <w:szCs w:val="24"/>
        </w:rPr>
      </w:pPr>
      <w:r>
        <w:rPr>
          <w:rFonts w:hint="eastAsia"/>
          <w:spacing w:val="-21"/>
          <w:sz w:val="24"/>
          <w:szCs w:val="24"/>
        </w:rPr>
        <w:t>4、保持施工现场的道路畅通。</w:t>
      </w:r>
    </w:p>
    <w:p w14:paraId="5F551C49">
      <w:pPr>
        <w:pStyle w:val="2"/>
        <w:spacing w:before="114" w:line="299" w:lineRule="auto"/>
        <w:ind w:left="1455" w:right="1411" w:firstLine="443"/>
        <w:rPr>
          <w:rFonts w:hint="eastAsia"/>
          <w:spacing w:val="-21"/>
          <w:sz w:val="24"/>
          <w:szCs w:val="24"/>
        </w:rPr>
      </w:pPr>
      <w:r>
        <w:rPr>
          <w:rFonts w:hint="eastAsia"/>
          <w:spacing w:val="-21"/>
          <w:sz w:val="24"/>
          <w:szCs w:val="24"/>
        </w:rPr>
        <w:t>5、一切运材料的车辆进入现场后必须听从材料人员的指挥，把材料卸到指定地点。</w:t>
      </w:r>
    </w:p>
    <w:p w14:paraId="218B16FB">
      <w:pPr>
        <w:pStyle w:val="2"/>
        <w:spacing w:before="114" w:line="299" w:lineRule="auto"/>
        <w:ind w:left="1455" w:right="1411" w:firstLine="443"/>
        <w:rPr>
          <w:rFonts w:hint="eastAsia"/>
          <w:spacing w:val="-21"/>
          <w:sz w:val="24"/>
          <w:szCs w:val="24"/>
        </w:rPr>
      </w:pPr>
      <w:r>
        <w:rPr>
          <w:rFonts w:hint="eastAsia"/>
          <w:spacing w:val="-21"/>
          <w:sz w:val="24"/>
          <w:szCs w:val="24"/>
        </w:rPr>
        <w:t>6、管员应建立材料台账,记录材料的入库、出料、退库及结存数据。</w:t>
      </w:r>
    </w:p>
    <w:p w14:paraId="3457AAA9">
      <w:pPr>
        <w:pStyle w:val="2"/>
        <w:spacing w:before="114" w:line="299" w:lineRule="auto"/>
        <w:ind w:left="1455" w:right="1411" w:firstLine="443"/>
        <w:rPr>
          <w:rFonts w:hint="eastAsia"/>
          <w:spacing w:val="-21"/>
          <w:sz w:val="24"/>
          <w:szCs w:val="24"/>
        </w:rPr>
      </w:pPr>
      <w:r>
        <w:rPr>
          <w:rFonts w:hint="eastAsia"/>
          <w:spacing w:val="-21"/>
          <w:sz w:val="24"/>
          <w:szCs w:val="24"/>
        </w:rPr>
        <w:t>7、做好仓库安全保卫、防火及卫生工作,确保仓库和物资的安全,保持库房整洁。</w:t>
      </w:r>
    </w:p>
    <w:p w14:paraId="777E0DDE">
      <w:pPr>
        <w:pStyle w:val="2"/>
        <w:spacing w:before="114" w:line="299" w:lineRule="auto"/>
        <w:ind w:left="1455" w:right="1411" w:firstLine="443"/>
        <w:rPr>
          <w:rFonts w:hint="eastAsia"/>
          <w:spacing w:val="-21"/>
          <w:sz w:val="24"/>
          <w:szCs w:val="24"/>
        </w:rPr>
      </w:pPr>
      <w:r>
        <w:rPr>
          <w:rFonts w:hint="eastAsia"/>
          <w:spacing w:val="-21"/>
          <w:sz w:val="24"/>
          <w:szCs w:val="24"/>
        </w:rPr>
        <w:t>8、要妥善保管入库单和材料领料单。</w:t>
      </w:r>
    </w:p>
    <w:p w14:paraId="2266F2C3">
      <w:pPr>
        <w:pStyle w:val="2"/>
        <w:spacing w:before="114" w:line="299" w:lineRule="auto"/>
        <w:ind w:left="1455" w:right="1411" w:firstLine="443"/>
        <w:rPr>
          <w:rFonts w:hint="eastAsia"/>
          <w:spacing w:val="-21"/>
          <w:sz w:val="24"/>
          <w:szCs w:val="24"/>
        </w:rPr>
      </w:pPr>
      <w:r>
        <w:rPr>
          <w:rFonts w:hint="eastAsia"/>
          <w:spacing w:val="-21"/>
          <w:sz w:val="24"/>
          <w:szCs w:val="24"/>
        </w:rPr>
        <w:t>9、根据项目进度需要及时向项目经理和施工员报告材料库存情况,由施工员做材料采购计划。</w:t>
      </w:r>
    </w:p>
    <w:p w14:paraId="58D32DF2">
      <w:pPr>
        <w:pStyle w:val="2"/>
        <w:spacing w:before="114" w:line="299" w:lineRule="auto"/>
        <w:ind w:left="1455" w:right="1411" w:firstLine="443"/>
        <w:rPr>
          <w:rFonts w:hint="eastAsia"/>
          <w:spacing w:val="-21"/>
          <w:sz w:val="24"/>
          <w:szCs w:val="24"/>
        </w:rPr>
      </w:pPr>
      <w:r>
        <w:rPr>
          <w:rFonts w:hint="eastAsia"/>
          <w:spacing w:val="-21"/>
          <w:sz w:val="24"/>
          <w:szCs w:val="24"/>
        </w:rPr>
        <w:t>10、勤检查库存物品，保持库房干燥,注意防火、防盗、防潮、防霉变、防蛀、防鼠害。</w:t>
      </w:r>
    </w:p>
    <w:p w14:paraId="26A5730D">
      <w:pPr>
        <w:pStyle w:val="2"/>
        <w:spacing w:before="114" w:line="299" w:lineRule="auto"/>
        <w:ind w:left="1455" w:right="1411" w:firstLine="443"/>
        <w:rPr>
          <w:rFonts w:hint="eastAsia"/>
          <w:spacing w:val="-21"/>
          <w:sz w:val="24"/>
          <w:szCs w:val="24"/>
        </w:rPr>
      </w:pPr>
      <w:r>
        <w:rPr>
          <w:rFonts w:hint="eastAsia"/>
          <w:spacing w:val="-21"/>
          <w:sz w:val="24"/>
          <w:szCs w:val="24"/>
        </w:rPr>
        <w:t>11、根据工地项目进度需要,服从加班安排,确保按时完成任务。</w:t>
      </w:r>
    </w:p>
    <w:p w14:paraId="064566C8">
      <w:pPr>
        <w:pStyle w:val="2"/>
        <w:spacing w:before="114" w:line="299" w:lineRule="auto"/>
        <w:ind w:left="1455" w:right="1411" w:firstLine="443"/>
        <w:rPr>
          <w:rFonts w:hint="eastAsia"/>
          <w:spacing w:val="-21"/>
          <w:sz w:val="24"/>
          <w:szCs w:val="24"/>
        </w:rPr>
      </w:pPr>
      <w:r>
        <w:rPr>
          <w:rFonts w:hint="eastAsia"/>
          <w:spacing w:val="-21"/>
          <w:sz w:val="24"/>
          <w:szCs w:val="24"/>
        </w:rPr>
        <w:t>12、库内物资,按大类区分,分库保管,做到货物成行、成方、成层、成垛或成包、上摆轻、下摆重的原则。分类存放时做到标记明显、整洁稳固、存放合理、安全可靠,然后建帐、挂卡,做到帐、卡、物三者一致。保证库区整洁卫生,道路畅通。</w:t>
      </w:r>
    </w:p>
    <w:p w14:paraId="31E17769">
      <w:pPr>
        <w:pStyle w:val="2"/>
        <w:spacing w:before="114" w:line="299" w:lineRule="auto"/>
        <w:ind w:left="1455" w:right="1411" w:firstLine="443"/>
        <w:rPr>
          <w:rFonts w:hint="eastAsia"/>
          <w:spacing w:val="-21"/>
          <w:sz w:val="24"/>
          <w:szCs w:val="24"/>
        </w:rPr>
      </w:pPr>
      <w:r>
        <w:rPr>
          <w:rFonts w:hint="eastAsia"/>
          <w:spacing w:val="-21"/>
          <w:sz w:val="24"/>
          <w:szCs w:val="24"/>
        </w:rPr>
        <w:t>13、露天存放的物资根据需要做好防护、垫盖处理,定期检查是否变质、散失、发现问题及时.上报并采取保护措施。</w:t>
      </w:r>
    </w:p>
    <w:p w14:paraId="53433220">
      <w:pPr>
        <w:pStyle w:val="2"/>
        <w:spacing w:before="114" w:line="299" w:lineRule="auto"/>
        <w:ind w:left="1455" w:right="1411" w:firstLine="443"/>
        <w:rPr>
          <w:rFonts w:hint="eastAsia"/>
          <w:spacing w:val="-21"/>
          <w:sz w:val="24"/>
          <w:szCs w:val="24"/>
        </w:rPr>
      </w:pPr>
      <w:r>
        <w:rPr>
          <w:rFonts w:hint="eastAsia"/>
          <w:spacing w:val="-21"/>
          <w:sz w:val="24"/>
          <w:szCs w:val="24"/>
        </w:rPr>
        <w:t>14、金属材料、机电配套件,要定期进行防锈蚀检查。</w:t>
      </w:r>
    </w:p>
    <w:p w14:paraId="7426F7F0">
      <w:pPr>
        <w:pStyle w:val="2"/>
        <w:spacing w:before="114" w:line="299" w:lineRule="auto"/>
        <w:ind w:left="1455" w:right="1411" w:firstLine="443"/>
        <w:rPr>
          <w:rFonts w:hint="eastAsia"/>
          <w:spacing w:val="-21"/>
          <w:sz w:val="24"/>
          <w:szCs w:val="24"/>
        </w:rPr>
      </w:pPr>
      <w:r>
        <w:rPr>
          <w:rFonts w:hint="eastAsia"/>
          <w:spacing w:val="-21"/>
          <w:sz w:val="24"/>
          <w:szCs w:val="24"/>
        </w:rPr>
        <w:t>15、对易老化、易碎、防潮湿、怕冻、怕晒等物资,要根据其特点进行定期检查,加强防护措施，做到分批存放,先到先发,发现问题及时采取防护措施,保证物资的完整无损,不降低物资质量状况。</w:t>
      </w:r>
    </w:p>
    <w:p w14:paraId="44165DFA">
      <w:pPr>
        <w:pStyle w:val="2"/>
        <w:spacing w:before="114" w:line="299" w:lineRule="auto"/>
        <w:ind w:left="1455" w:right="1411" w:firstLine="443"/>
        <w:rPr>
          <w:rFonts w:hint="eastAsia"/>
          <w:spacing w:val="-21"/>
          <w:sz w:val="24"/>
          <w:szCs w:val="24"/>
        </w:rPr>
      </w:pPr>
      <w:r>
        <w:rPr>
          <w:rFonts w:hint="eastAsia"/>
          <w:spacing w:val="-21"/>
          <w:sz w:val="24"/>
          <w:szCs w:val="24"/>
        </w:rPr>
        <w:t>16、对易燃易爆等危险物资,要存放在单独设定的区域,并设立相应的警示。</w:t>
      </w:r>
    </w:p>
    <w:p w14:paraId="69251565">
      <w:pPr>
        <w:pStyle w:val="2"/>
        <w:spacing w:before="114" w:line="299" w:lineRule="auto"/>
        <w:ind w:left="1455" w:right="1411" w:firstLine="443"/>
        <w:rPr>
          <w:rFonts w:hint="eastAsia"/>
          <w:spacing w:val="-21"/>
          <w:sz w:val="24"/>
          <w:szCs w:val="24"/>
        </w:rPr>
      </w:pPr>
      <w:r>
        <w:rPr>
          <w:rFonts w:hint="eastAsia"/>
          <w:spacing w:val="-21"/>
          <w:sz w:val="24"/>
          <w:szCs w:val="24"/>
        </w:rPr>
        <w:t>保管员基本要求</w:t>
      </w:r>
    </w:p>
    <w:p w14:paraId="7AC985AE">
      <w:pPr>
        <w:pStyle w:val="2"/>
        <w:spacing w:before="114" w:line="299" w:lineRule="auto"/>
        <w:ind w:left="1455" w:right="1411" w:firstLine="443"/>
        <w:rPr>
          <w:rFonts w:hint="eastAsia"/>
          <w:spacing w:val="-21"/>
          <w:sz w:val="24"/>
          <w:szCs w:val="24"/>
        </w:rPr>
      </w:pPr>
      <w:r>
        <w:rPr>
          <w:rFonts w:hint="eastAsia"/>
          <w:spacing w:val="-21"/>
          <w:sz w:val="24"/>
          <w:szCs w:val="24"/>
        </w:rPr>
        <w:t>1.保管员要做到“四懂”、“五会”</w:t>
      </w:r>
    </w:p>
    <w:p w14:paraId="56A47F2E">
      <w:pPr>
        <w:pStyle w:val="2"/>
        <w:spacing w:before="114" w:line="299" w:lineRule="auto"/>
        <w:ind w:left="1455" w:right="1411" w:firstLine="443"/>
        <w:rPr>
          <w:rFonts w:hint="eastAsia"/>
          <w:spacing w:val="-21"/>
          <w:sz w:val="24"/>
          <w:szCs w:val="24"/>
        </w:rPr>
      </w:pPr>
      <w:r>
        <w:rPr>
          <w:rFonts w:hint="eastAsia"/>
          <w:spacing w:val="-21"/>
          <w:sz w:val="24"/>
          <w:szCs w:val="24"/>
        </w:rPr>
        <w:t>四懂：懂物资名称规格，懂物资基本性能、懂用途、懂业务流程、懂业务技术安保规程；五会：会识货、会换算、会保管保养、会使用衡器量具、会使用消防器材。</w:t>
      </w:r>
    </w:p>
    <w:p w14:paraId="5E5F8EC8">
      <w:pPr>
        <w:pStyle w:val="2"/>
        <w:spacing w:before="114" w:line="299" w:lineRule="auto"/>
        <w:ind w:left="1455" w:right="1411" w:firstLine="443"/>
        <w:rPr>
          <w:rFonts w:hint="eastAsia"/>
          <w:spacing w:val="-21"/>
          <w:sz w:val="24"/>
          <w:szCs w:val="24"/>
        </w:rPr>
      </w:pPr>
      <w:r>
        <w:rPr>
          <w:rFonts w:hint="eastAsia"/>
          <w:spacing w:val="-21"/>
          <w:sz w:val="24"/>
          <w:szCs w:val="24"/>
        </w:rPr>
        <w:t>2.账务处理规范化，做到“一坚持”、“五不许”、“八准确”</w:t>
      </w:r>
    </w:p>
    <w:p w14:paraId="1E24D969">
      <w:pPr>
        <w:pStyle w:val="2"/>
        <w:spacing w:before="114" w:line="299" w:lineRule="auto"/>
        <w:ind w:left="1455" w:right="1411" w:firstLine="443"/>
        <w:rPr>
          <w:rFonts w:hint="eastAsia"/>
          <w:spacing w:val="-21"/>
          <w:sz w:val="24"/>
          <w:szCs w:val="24"/>
        </w:rPr>
      </w:pPr>
      <w:r>
        <w:rPr>
          <w:rFonts w:hint="eastAsia"/>
          <w:spacing w:val="-21"/>
          <w:sz w:val="24"/>
          <w:szCs w:val="24"/>
        </w:rPr>
        <w:t>一坚持：坚持日清月结；</w:t>
      </w:r>
    </w:p>
    <w:p w14:paraId="5CAF9692">
      <w:pPr>
        <w:pStyle w:val="2"/>
        <w:spacing w:before="114" w:line="299" w:lineRule="auto"/>
        <w:ind w:left="1455" w:right="1411" w:firstLine="443"/>
        <w:rPr>
          <w:rFonts w:hint="eastAsia"/>
          <w:spacing w:val="-21"/>
          <w:sz w:val="24"/>
          <w:szCs w:val="24"/>
        </w:rPr>
      </w:pPr>
      <w:r>
        <w:rPr>
          <w:rFonts w:hint="eastAsia"/>
          <w:spacing w:val="-21"/>
          <w:sz w:val="24"/>
          <w:szCs w:val="24"/>
        </w:rPr>
        <w:t>五不许：不许潦草、不许涂改、不许挖补、不许污损、不许丢失；</w:t>
      </w:r>
    </w:p>
    <w:p w14:paraId="0034578E">
      <w:pPr>
        <w:pStyle w:val="2"/>
        <w:spacing w:before="114" w:line="299" w:lineRule="auto"/>
        <w:ind w:left="1455" w:right="1411" w:firstLine="443"/>
        <w:rPr>
          <w:rFonts w:hint="eastAsia"/>
          <w:spacing w:val="-21"/>
          <w:sz w:val="24"/>
          <w:szCs w:val="24"/>
        </w:rPr>
      </w:pPr>
      <w:r>
        <w:rPr>
          <w:rFonts w:hint="eastAsia"/>
          <w:spacing w:val="-21"/>
          <w:sz w:val="24"/>
          <w:szCs w:val="24"/>
        </w:rPr>
        <w:t>八准确：时间、用料单位、名称、规格型号、计量单位、单价、数量、金额准确，计量单位要符合法定计量单位标准；</w:t>
      </w:r>
    </w:p>
    <w:p w14:paraId="5A187528">
      <w:pPr>
        <w:pStyle w:val="2"/>
        <w:spacing w:before="114" w:line="299" w:lineRule="auto"/>
        <w:ind w:left="1455" w:right="1411" w:firstLine="443"/>
        <w:rPr>
          <w:rFonts w:hint="eastAsia"/>
          <w:spacing w:val="-21"/>
          <w:sz w:val="24"/>
          <w:szCs w:val="24"/>
        </w:rPr>
      </w:pPr>
      <w:r>
        <w:rPr>
          <w:rFonts w:hint="eastAsia"/>
          <w:spacing w:val="-21"/>
          <w:sz w:val="24"/>
          <w:szCs w:val="24"/>
        </w:rPr>
        <w:t>3.收、发各种单据按月整理，装订成册，妥善保管；</w:t>
      </w:r>
    </w:p>
    <w:p w14:paraId="6F80112D">
      <w:pPr>
        <w:pStyle w:val="2"/>
        <w:spacing w:before="114" w:line="299" w:lineRule="auto"/>
        <w:ind w:left="1455" w:right="1411" w:firstLine="443"/>
        <w:rPr>
          <w:rFonts w:hint="eastAsia"/>
          <w:spacing w:val="-21"/>
          <w:sz w:val="24"/>
          <w:szCs w:val="24"/>
        </w:rPr>
      </w:pPr>
      <w:r>
        <w:rPr>
          <w:rFonts w:hint="eastAsia"/>
          <w:spacing w:val="-21"/>
          <w:sz w:val="24"/>
          <w:szCs w:val="24"/>
        </w:rPr>
        <w:t>4.物资按照“二齐、三清、四号定位”摆放，并且悬挂标识牌，露天堆放的物资要分区、分类堆放整齐，做到上盖下垫，做好防潮、、防火工作。</w:t>
      </w:r>
    </w:p>
    <w:p w14:paraId="6C6EA23E">
      <w:pPr>
        <w:pStyle w:val="2"/>
        <w:spacing w:before="114" w:line="299" w:lineRule="auto"/>
        <w:ind w:left="1455" w:right="1411" w:firstLine="443"/>
        <w:rPr>
          <w:rFonts w:hint="eastAsia"/>
          <w:spacing w:val="-21"/>
          <w:sz w:val="24"/>
          <w:szCs w:val="24"/>
        </w:rPr>
      </w:pPr>
      <w:r>
        <w:rPr>
          <w:rFonts w:hint="eastAsia"/>
          <w:spacing w:val="-21"/>
          <w:sz w:val="24"/>
          <w:szCs w:val="24"/>
        </w:rPr>
        <w:t>5.物资保管应按照“五净、五无、三条线”要求做到位。</w:t>
      </w:r>
    </w:p>
    <w:p w14:paraId="1BA5A9C0">
      <w:pPr>
        <w:pStyle w:val="2"/>
        <w:spacing w:before="114" w:line="299" w:lineRule="auto"/>
        <w:ind w:left="1455" w:right="1411" w:firstLine="443"/>
        <w:rPr>
          <w:rFonts w:hint="eastAsia"/>
          <w:spacing w:val="-21"/>
          <w:sz w:val="24"/>
          <w:szCs w:val="24"/>
        </w:rPr>
      </w:pPr>
      <w:r>
        <w:rPr>
          <w:rFonts w:hint="eastAsia"/>
          <w:spacing w:val="-21"/>
          <w:sz w:val="24"/>
          <w:szCs w:val="24"/>
        </w:rPr>
        <w:t>6.做到“三有一保证”。三有：库内物资盈亏有原因，损坏由报告，调整有依据；一保证：保证账、卡、物、资金四相符。</w:t>
      </w:r>
    </w:p>
    <w:p w14:paraId="71FF964B">
      <w:pPr>
        <w:pStyle w:val="2"/>
        <w:spacing w:before="1" w:line="218" w:lineRule="auto"/>
        <w:ind w:left="1979"/>
        <w:outlineLvl w:val="2"/>
        <w:rPr>
          <w:sz w:val="28"/>
          <w:szCs w:val="28"/>
        </w:rPr>
      </w:pPr>
      <w:bookmarkStart w:id="84" w:name="bookmark81"/>
      <w:bookmarkEnd w:id="84"/>
      <w:r>
        <w:rPr>
          <w:b/>
          <w:bCs/>
          <w:spacing w:val="-22"/>
          <w:sz w:val="28"/>
          <w:szCs w:val="28"/>
        </w:rPr>
        <w:t>六、施工组织设计与管理</w:t>
      </w:r>
    </w:p>
    <w:p w14:paraId="644E5F35">
      <w:pPr>
        <w:pStyle w:val="2"/>
        <w:spacing w:before="104" w:line="218" w:lineRule="auto"/>
        <w:ind w:left="1887"/>
        <w:rPr>
          <w:sz w:val="24"/>
          <w:szCs w:val="24"/>
        </w:rPr>
      </w:pPr>
      <w:r>
        <w:rPr>
          <w:spacing w:val="-16"/>
          <w:sz w:val="24"/>
          <w:szCs w:val="24"/>
        </w:rPr>
        <w:t>6.1施工组织设计</w:t>
      </w:r>
    </w:p>
    <w:p w14:paraId="273D30D1">
      <w:pPr>
        <w:pStyle w:val="2"/>
        <w:spacing w:before="115" w:line="308" w:lineRule="auto"/>
        <w:ind w:left="1456" w:right="1409" w:firstLine="437"/>
        <w:rPr>
          <w:sz w:val="24"/>
          <w:szCs w:val="24"/>
        </w:rPr>
      </w:pPr>
      <w:r>
        <w:rPr>
          <w:spacing w:val="-20"/>
          <w:sz w:val="24"/>
          <w:szCs w:val="24"/>
        </w:rPr>
        <w:t>根据本工程的特点和项目部的实际情况，须编制科学、合理的对施工具有实际指导意义和宏观控制作用的施工组织设计（施工方案）。对模板支撑体系、外脚手架搭设、临时用电、深基坑支护、冬季施工等编制较为详细的施工方案。内容要求充实，有针对性和可操作性，有完善的技术质量、安全、文明施工计划及措施，由项目部技术负责人组织编制、公司总工程师审</w:t>
      </w:r>
      <w:r>
        <w:rPr>
          <w:spacing w:val="-18"/>
          <w:sz w:val="24"/>
          <w:szCs w:val="24"/>
        </w:rPr>
        <w:t>批。</w:t>
      </w:r>
    </w:p>
    <w:p w14:paraId="386FC2B0">
      <w:pPr>
        <w:pStyle w:val="2"/>
        <w:spacing w:line="218" w:lineRule="auto"/>
        <w:ind w:left="1887"/>
        <w:rPr>
          <w:sz w:val="24"/>
          <w:szCs w:val="24"/>
        </w:rPr>
      </w:pPr>
      <w:r>
        <w:rPr>
          <w:spacing w:val="-18"/>
          <w:sz w:val="24"/>
          <w:szCs w:val="24"/>
        </w:rPr>
        <w:t>6.2管理人员持证上岗</w:t>
      </w:r>
    </w:p>
    <w:p w14:paraId="0292E5B8">
      <w:pPr>
        <w:pStyle w:val="2"/>
        <w:spacing w:before="120" w:line="294" w:lineRule="auto"/>
        <w:ind w:left="1458" w:right="1410" w:firstLine="435"/>
        <w:rPr>
          <w:sz w:val="24"/>
          <w:szCs w:val="24"/>
        </w:rPr>
      </w:pPr>
      <w:r>
        <w:rPr>
          <w:spacing w:val="-20"/>
          <w:sz w:val="24"/>
          <w:szCs w:val="24"/>
        </w:rPr>
        <w:t>项目部管理人员在任职前均应查验证件，要求持证上岗。项目部存放证书复印件，管理人员证书由公司统一审核登记建档，对无证的人员不予正式任职。并编制持证上岗人员清单（列</w:t>
      </w:r>
      <w:r>
        <w:rPr>
          <w:spacing w:val="-21"/>
          <w:sz w:val="24"/>
          <w:szCs w:val="24"/>
        </w:rPr>
        <w:t>表）。</w:t>
      </w:r>
    </w:p>
    <w:p w14:paraId="626A0CCF">
      <w:pPr>
        <w:pStyle w:val="2"/>
        <w:spacing w:line="217" w:lineRule="auto"/>
        <w:ind w:left="4452"/>
        <w:outlineLvl w:val="1"/>
        <w:rPr>
          <w:sz w:val="30"/>
          <w:szCs w:val="30"/>
        </w:rPr>
      </w:pPr>
      <w:bookmarkStart w:id="85" w:name="bookmark82"/>
      <w:bookmarkEnd w:id="85"/>
      <w:r>
        <w:rPr>
          <w:b/>
          <w:bCs/>
          <w:color w:val="0070C0"/>
          <w:spacing w:val="-24"/>
          <w:sz w:val="30"/>
          <w:szCs w:val="30"/>
        </w:rPr>
        <w:t>第五节、安全生产责任制</w:t>
      </w:r>
    </w:p>
    <w:p w14:paraId="04E0AFA6">
      <w:pPr>
        <w:pStyle w:val="2"/>
        <w:spacing w:before="96" w:line="299" w:lineRule="auto"/>
        <w:ind w:left="1458" w:right="1410" w:firstLine="436"/>
        <w:jc w:val="both"/>
        <w:rPr>
          <w:sz w:val="24"/>
          <w:szCs w:val="24"/>
        </w:rPr>
      </w:pPr>
      <w:r>
        <w:rPr>
          <w:spacing w:val="-20"/>
          <w:sz w:val="24"/>
          <w:szCs w:val="24"/>
        </w:rPr>
        <w:t>在本工程施工过程中，拟运用科学的管理手段和模式，以安全为中心，制定以保证安全生产为目的的安全生产体系。安全生产体系将由安全生产责任制，安全生产制度及安全生产管理</w:t>
      </w:r>
      <w:r>
        <w:rPr>
          <w:spacing w:val="-17"/>
          <w:sz w:val="24"/>
          <w:szCs w:val="24"/>
        </w:rPr>
        <w:t>网络组成。</w:t>
      </w:r>
    </w:p>
    <w:p w14:paraId="27E4D786">
      <w:pPr>
        <w:pStyle w:val="2"/>
        <w:spacing w:before="1" w:line="217" w:lineRule="auto"/>
        <w:ind w:left="1981"/>
        <w:outlineLvl w:val="2"/>
        <w:rPr>
          <w:sz w:val="28"/>
          <w:szCs w:val="28"/>
        </w:rPr>
      </w:pPr>
      <w:bookmarkStart w:id="86" w:name="bookmark83"/>
      <w:bookmarkEnd w:id="86"/>
      <w:r>
        <w:rPr>
          <w:b/>
          <w:bCs/>
          <w:spacing w:val="-22"/>
          <w:sz w:val="28"/>
          <w:szCs w:val="28"/>
        </w:rPr>
        <w:t>一、安全生产责任制</w:t>
      </w:r>
    </w:p>
    <w:p w14:paraId="12B44941">
      <w:pPr>
        <w:pStyle w:val="2"/>
        <w:spacing w:before="104" w:line="308" w:lineRule="auto"/>
        <w:ind w:left="1475" w:right="1409" w:firstLine="442"/>
        <w:rPr>
          <w:sz w:val="24"/>
          <w:szCs w:val="24"/>
        </w:rPr>
      </w:pPr>
      <w:r>
        <w:rPr>
          <w:spacing w:val="-20"/>
          <w:sz w:val="24"/>
          <w:szCs w:val="24"/>
        </w:rPr>
        <w:t>以项目经理为主，施工现场负责人为辅，各级工长及班、组长为主要执行</w:t>
      </w:r>
      <w:r>
        <w:rPr>
          <w:spacing w:val="-21"/>
          <w:sz w:val="24"/>
          <w:szCs w:val="24"/>
        </w:rPr>
        <w:t>者，保卫、安全</w:t>
      </w:r>
      <w:r>
        <w:rPr>
          <w:spacing w:val="-22"/>
          <w:sz w:val="24"/>
          <w:szCs w:val="24"/>
        </w:rPr>
        <w:t>员为主要监督者。各自的具体职责如下：</w:t>
      </w:r>
    </w:p>
    <w:p w14:paraId="07C79339">
      <w:pPr>
        <w:pStyle w:val="2"/>
        <w:spacing w:before="1" w:line="216" w:lineRule="auto"/>
        <w:ind w:left="1893"/>
        <w:rPr>
          <w:sz w:val="24"/>
          <w:szCs w:val="24"/>
        </w:rPr>
      </w:pPr>
      <w:r>
        <w:rPr>
          <w:spacing w:val="-21"/>
          <w:sz w:val="24"/>
          <w:szCs w:val="24"/>
        </w:rPr>
        <w:t>（1）项目经理：全面负责施工现场的安全措施、安</w:t>
      </w:r>
      <w:r>
        <w:rPr>
          <w:spacing w:val="-22"/>
          <w:sz w:val="24"/>
          <w:szCs w:val="24"/>
        </w:rPr>
        <w:t>全生产等，保证施工现场的安全。</w:t>
      </w:r>
    </w:p>
    <w:p w14:paraId="5D85CC4A">
      <w:pPr>
        <w:pStyle w:val="2"/>
        <w:spacing w:before="120" w:line="263" w:lineRule="auto"/>
        <w:ind w:left="1455" w:right="1412" w:firstLine="437"/>
        <w:rPr>
          <w:sz w:val="24"/>
          <w:szCs w:val="24"/>
        </w:rPr>
      </w:pPr>
      <w:r>
        <w:rPr>
          <w:spacing w:val="-22"/>
          <w:sz w:val="24"/>
          <w:szCs w:val="24"/>
        </w:rPr>
        <w:t>（2）施工现场负责人：制定项目安全技术措施和分项安全方案，督促安全措施</w:t>
      </w:r>
      <w:r>
        <w:rPr>
          <w:spacing w:val="-23"/>
          <w:sz w:val="24"/>
          <w:szCs w:val="24"/>
        </w:rPr>
        <w:t>落实，解决</w:t>
      </w:r>
      <w:r>
        <w:rPr>
          <w:spacing w:val="-20"/>
          <w:sz w:val="24"/>
          <w:szCs w:val="24"/>
        </w:rPr>
        <w:t>施工过程中不安全的技术问题。</w:t>
      </w:r>
    </w:p>
    <w:p w14:paraId="2625C17B">
      <w:pPr>
        <w:pStyle w:val="2"/>
        <w:spacing w:before="115" w:line="263" w:lineRule="auto"/>
        <w:ind w:left="1480" w:right="1411" w:firstLine="412"/>
        <w:rPr>
          <w:sz w:val="24"/>
          <w:szCs w:val="24"/>
        </w:rPr>
      </w:pPr>
      <w:r>
        <w:rPr>
          <w:spacing w:val="-22"/>
          <w:sz w:val="24"/>
          <w:szCs w:val="24"/>
        </w:rPr>
        <w:t>（3）安全负责人：督促施工全过程的安全生产，纠正违章，配合有关部门排除</w:t>
      </w:r>
      <w:r>
        <w:rPr>
          <w:spacing w:val="-23"/>
          <w:sz w:val="24"/>
          <w:szCs w:val="24"/>
        </w:rPr>
        <w:t>施工不安全</w:t>
      </w:r>
      <w:r>
        <w:rPr>
          <w:spacing w:val="-22"/>
          <w:sz w:val="24"/>
          <w:szCs w:val="24"/>
        </w:rPr>
        <w:t>因素，安排项目内安全活动及安全教育的开展；监督劳防用品的发放和使用。</w:t>
      </w:r>
    </w:p>
    <w:p w14:paraId="6F8B7DB6">
      <w:pPr>
        <w:pStyle w:val="2"/>
        <w:spacing w:before="118" w:line="261" w:lineRule="auto"/>
        <w:ind w:left="1459" w:right="1440" w:firstLine="433"/>
        <w:rPr>
          <w:spacing w:val="-22"/>
          <w:sz w:val="24"/>
          <w:szCs w:val="24"/>
        </w:rPr>
      </w:pPr>
      <w:r>
        <w:rPr>
          <w:spacing w:val="-23"/>
          <w:sz w:val="24"/>
          <w:szCs w:val="24"/>
        </w:rPr>
        <w:t>（4）机电负责人：保证所使用的各类机械的安全使用，监督机械操作人员保证遵章操作，</w:t>
      </w:r>
      <w:r>
        <w:rPr>
          <w:spacing w:val="-22"/>
          <w:sz w:val="24"/>
          <w:szCs w:val="24"/>
        </w:rPr>
        <w:t>并对用电机械进行周期性安全检查。</w:t>
      </w:r>
    </w:p>
    <w:p w14:paraId="1D6AEC5E">
      <w:pPr>
        <w:pStyle w:val="2"/>
        <w:spacing w:before="78" w:line="217" w:lineRule="auto"/>
        <w:ind w:left="1893"/>
        <w:rPr>
          <w:sz w:val="24"/>
          <w:szCs w:val="24"/>
        </w:rPr>
      </w:pPr>
      <w:r>
        <w:rPr>
          <w:spacing w:val="-21"/>
          <w:sz w:val="24"/>
          <w:szCs w:val="24"/>
        </w:rPr>
        <w:t>（5）劳资负责人：保证进场施工人员的安全技术素质，控制加班加点，保证劳逸结</w:t>
      </w:r>
      <w:r>
        <w:rPr>
          <w:spacing w:val="-22"/>
          <w:sz w:val="24"/>
          <w:szCs w:val="24"/>
        </w:rPr>
        <w:t>合。</w:t>
      </w:r>
    </w:p>
    <w:p w14:paraId="795728B3">
      <w:pPr>
        <w:pStyle w:val="2"/>
        <w:spacing w:before="120" w:line="261" w:lineRule="auto"/>
        <w:ind w:left="1456" w:right="1354" w:firstLine="436"/>
        <w:rPr>
          <w:sz w:val="24"/>
          <w:szCs w:val="24"/>
        </w:rPr>
      </w:pPr>
      <w:r>
        <w:rPr>
          <w:spacing w:val="-26"/>
          <w:sz w:val="24"/>
          <w:szCs w:val="24"/>
        </w:rPr>
        <w:t>（6）消防负责人：保证防火设备的齐全、合格，消灭火灾隐患，对每天动火区域记录在册，</w:t>
      </w:r>
      <w:r>
        <w:rPr>
          <w:spacing w:val="-21"/>
          <w:sz w:val="24"/>
          <w:szCs w:val="24"/>
        </w:rPr>
        <w:t>开具动火证，组织建立现场消防队和日常消防工作。</w:t>
      </w:r>
    </w:p>
    <w:p w14:paraId="52EF9CF3">
      <w:pPr>
        <w:pStyle w:val="2"/>
        <w:spacing w:before="118" w:line="264" w:lineRule="auto"/>
        <w:ind w:left="1457" w:right="1411" w:firstLine="435"/>
        <w:rPr>
          <w:sz w:val="24"/>
          <w:szCs w:val="24"/>
        </w:rPr>
      </w:pPr>
      <w:r>
        <w:rPr>
          <w:spacing w:val="-22"/>
          <w:sz w:val="24"/>
          <w:szCs w:val="24"/>
        </w:rPr>
        <w:t>（7）施工工长：负责上级安排的安全工作的实施，进行施工前安全交底工作，</w:t>
      </w:r>
      <w:r>
        <w:rPr>
          <w:spacing w:val="-23"/>
          <w:sz w:val="24"/>
          <w:szCs w:val="24"/>
        </w:rPr>
        <w:t>监督并参与</w:t>
      </w:r>
      <w:r>
        <w:rPr>
          <w:spacing w:val="-19"/>
          <w:sz w:val="24"/>
          <w:szCs w:val="24"/>
        </w:rPr>
        <w:t>班组的安全学习。</w:t>
      </w:r>
    </w:p>
    <w:p w14:paraId="02CA63E8">
      <w:pPr>
        <w:pStyle w:val="2"/>
        <w:spacing w:before="114" w:line="262" w:lineRule="auto"/>
        <w:ind w:left="1463" w:right="1411" w:firstLine="430"/>
        <w:rPr>
          <w:sz w:val="24"/>
          <w:szCs w:val="24"/>
        </w:rPr>
      </w:pPr>
      <w:r>
        <w:rPr>
          <w:spacing w:val="-22"/>
          <w:sz w:val="24"/>
          <w:szCs w:val="24"/>
        </w:rPr>
        <w:t>（8）其它部门：财务部门保证用于安全生产上的经费；后勤、行政部门保证工</w:t>
      </w:r>
      <w:r>
        <w:rPr>
          <w:spacing w:val="-23"/>
          <w:sz w:val="24"/>
          <w:szCs w:val="24"/>
        </w:rPr>
        <w:t>人的基本生</w:t>
      </w:r>
      <w:r>
        <w:rPr>
          <w:spacing w:val="-21"/>
          <w:sz w:val="24"/>
          <w:szCs w:val="24"/>
        </w:rPr>
        <w:t>活条件，保证工人健康；材料部门应采购合格</w:t>
      </w:r>
      <w:r>
        <w:rPr>
          <w:spacing w:val="-22"/>
          <w:sz w:val="24"/>
          <w:szCs w:val="24"/>
        </w:rPr>
        <w:t>的用于安全生产及劳防的产品和材料。</w:t>
      </w:r>
    </w:p>
    <w:p w14:paraId="1A394244">
      <w:pPr>
        <w:pStyle w:val="2"/>
        <w:spacing w:before="84" w:line="218" w:lineRule="auto"/>
        <w:ind w:left="1986"/>
        <w:outlineLvl w:val="2"/>
        <w:rPr>
          <w:sz w:val="28"/>
          <w:szCs w:val="28"/>
        </w:rPr>
      </w:pPr>
      <w:bookmarkStart w:id="87" w:name="bookmark84"/>
      <w:bookmarkEnd w:id="87"/>
      <w:r>
        <w:rPr>
          <w:b/>
          <w:bCs/>
          <w:spacing w:val="-22"/>
          <w:sz w:val="28"/>
          <w:szCs w:val="28"/>
        </w:rPr>
        <w:t>二、安全生产制度</w:t>
      </w:r>
    </w:p>
    <w:p w14:paraId="21AE2BBD">
      <w:pPr>
        <w:pStyle w:val="2"/>
        <w:spacing w:before="101" w:line="295" w:lineRule="auto"/>
        <w:ind w:left="1462" w:right="1410" w:firstLine="431"/>
        <w:jc w:val="both"/>
        <w:rPr>
          <w:sz w:val="24"/>
          <w:szCs w:val="24"/>
        </w:rPr>
      </w:pPr>
      <w:r>
        <w:rPr>
          <w:spacing w:val="-20"/>
          <w:sz w:val="24"/>
          <w:szCs w:val="24"/>
        </w:rPr>
        <w:t>根据市政府有关文件规定，并结合本工程的实际情况制定关于安全教育、安全检查、安全交底、安全活动等四项制度，要求所有进入本施工现场的人员以班组为单位进行检查，同时在</w:t>
      </w:r>
      <w:r>
        <w:rPr>
          <w:spacing w:val="-21"/>
          <w:sz w:val="24"/>
          <w:szCs w:val="24"/>
        </w:rPr>
        <w:t>中标后，将另行制定本工程《安全生产奖罚条</w:t>
      </w:r>
      <w:r>
        <w:rPr>
          <w:spacing w:val="-22"/>
          <w:sz w:val="24"/>
          <w:szCs w:val="24"/>
        </w:rPr>
        <w:t>件》以确保制度及各项措施的落实。</w:t>
      </w:r>
    </w:p>
    <w:p w14:paraId="22E316F7">
      <w:pPr>
        <w:pStyle w:val="2"/>
        <w:spacing w:before="1" w:line="216" w:lineRule="auto"/>
        <w:ind w:left="3611"/>
        <w:outlineLvl w:val="1"/>
        <w:rPr>
          <w:sz w:val="30"/>
          <w:szCs w:val="30"/>
        </w:rPr>
      </w:pPr>
      <w:bookmarkStart w:id="88" w:name="bookmark85"/>
      <w:bookmarkEnd w:id="88"/>
      <w:r>
        <w:rPr>
          <w:b/>
          <w:bCs/>
          <w:color w:val="0070C0"/>
          <w:spacing w:val="-24"/>
          <w:sz w:val="30"/>
          <w:szCs w:val="30"/>
        </w:rPr>
        <w:t>第六节、确保安全施工的技术组织措施</w:t>
      </w:r>
    </w:p>
    <w:p w14:paraId="291F26A3">
      <w:pPr>
        <w:pStyle w:val="2"/>
        <w:spacing w:before="101" w:line="294" w:lineRule="auto"/>
        <w:ind w:left="1456" w:right="1409" w:firstLine="439"/>
        <w:rPr>
          <w:sz w:val="24"/>
          <w:szCs w:val="24"/>
        </w:rPr>
      </w:pPr>
      <w:r>
        <w:rPr>
          <w:spacing w:val="-20"/>
          <w:sz w:val="24"/>
          <w:szCs w:val="24"/>
        </w:rPr>
        <w:t>安全技术措施作为安全生产施工的基本保障，必须全面实行。在本工程中安全技术措施将</w:t>
      </w:r>
      <w:r>
        <w:rPr>
          <w:spacing w:val="-22"/>
          <w:sz w:val="24"/>
          <w:szCs w:val="24"/>
        </w:rPr>
        <w:t>贯穿施工全过程。</w:t>
      </w:r>
    </w:p>
    <w:p w14:paraId="52EC3347">
      <w:pPr>
        <w:pStyle w:val="2"/>
        <w:spacing w:before="1" w:line="217" w:lineRule="auto"/>
        <w:ind w:left="1981"/>
        <w:outlineLvl w:val="2"/>
        <w:rPr>
          <w:sz w:val="28"/>
          <w:szCs w:val="28"/>
        </w:rPr>
      </w:pPr>
      <w:bookmarkStart w:id="89" w:name="bookmark86"/>
      <w:bookmarkEnd w:id="89"/>
      <w:r>
        <w:rPr>
          <w:b/>
          <w:bCs/>
          <w:spacing w:val="-23"/>
          <w:sz w:val="28"/>
          <w:szCs w:val="28"/>
        </w:rPr>
        <w:t>一、工程施工阶段的防护措施</w:t>
      </w:r>
    </w:p>
    <w:p w14:paraId="2FDD067F">
      <w:pPr>
        <w:pStyle w:val="2"/>
        <w:spacing w:before="105" w:line="218" w:lineRule="auto"/>
        <w:ind w:left="1903"/>
        <w:rPr>
          <w:sz w:val="24"/>
          <w:szCs w:val="24"/>
        </w:rPr>
      </w:pPr>
      <w:r>
        <w:rPr>
          <w:spacing w:val="-19"/>
          <w:sz w:val="24"/>
          <w:szCs w:val="24"/>
        </w:rPr>
        <w:t>1.1做好坑洞口、临边的防护</w:t>
      </w:r>
    </w:p>
    <w:p w14:paraId="34678F60">
      <w:pPr>
        <w:pStyle w:val="2"/>
        <w:spacing w:before="119" w:line="306" w:lineRule="auto"/>
        <w:ind w:left="1458" w:right="1410" w:firstLine="434"/>
        <w:rPr>
          <w:sz w:val="24"/>
          <w:szCs w:val="24"/>
        </w:rPr>
      </w:pPr>
      <w:r>
        <w:rPr>
          <w:spacing w:val="-20"/>
          <w:sz w:val="24"/>
          <w:szCs w:val="24"/>
        </w:rPr>
        <w:t>施工中随时检查各种坑洞口临边的防护措施情况，因施工需要拆除的防护，应在施工结束</w:t>
      </w:r>
      <w:r>
        <w:rPr>
          <w:spacing w:val="-21"/>
          <w:sz w:val="24"/>
          <w:szCs w:val="24"/>
        </w:rPr>
        <w:t>后及时恢复。在洞口上下施工需设警戒区，派专人看守。</w:t>
      </w:r>
    </w:p>
    <w:p w14:paraId="379668D3">
      <w:pPr>
        <w:pStyle w:val="2"/>
        <w:spacing w:before="3" w:line="217" w:lineRule="auto"/>
        <w:ind w:left="1903"/>
        <w:rPr>
          <w:sz w:val="24"/>
          <w:szCs w:val="24"/>
        </w:rPr>
      </w:pPr>
      <w:r>
        <w:rPr>
          <w:spacing w:val="-18"/>
          <w:sz w:val="24"/>
          <w:szCs w:val="24"/>
        </w:rPr>
        <w:t>1.2施工围墙搭设</w:t>
      </w:r>
    </w:p>
    <w:p w14:paraId="1358887F">
      <w:pPr>
        <w:pStyle w:val="2"/>
        <w:spacing w:before="117" w:line="299" w:lineRule="auto"/>
        <w:ind w:left="1460" w:right="1415" w:firstLine="432"/>
        <w:rPr>
          <w:sz w:val="24"/>
          <w:szCs w:val="24"/>
        </w:rPr>
      </w:pPr>
      <w:r>
        <w:rPr>
          <w:spacing w:val="-20"/>
          <w:sz w:val="24"/>
          <w:szCs w:val="24"/>
        </w:rPr>
        <w:t>施工现场周边均设围挡，根据现场实情，设一个出入口，生活区与施工区、加工区及进、出现场的材料、设备等从同一出入口进出，将施工区、生活区划分开，且对生产人员、非生产</w:t>
      </w:r>
      <w:r>
        <w:rPr>
          <w:spacing w:val="-21"/>
          <w:sz w:val="24"/>
          <w:szCs w:val="24"/>
        </w:rPr>
        <w:t>人员加强安全教育，提高他们的安全意识，为安全</w:t>
      </w:r>
      <w:r>
        <w:rPr>
          <w:spacing w:val="-22"/>
          <w:sz w:val="24"/>
          <w:szCs w:val="24"/>
        </w:rPr>
        <w:t>施工创造一个良好的环境。</w:t>
      </w:r>
    </w:p>
    <w:p w14:paraId="300263CB">
      <w:pPr>
        <w:pStyle w:val="2"/>
        <w:spacing w:before="1" w:line="218" w:lineRule="auto"/>
        <w:ind w:left="1986"/>
        <w:outlineLvl w:val="2"/>
        <w:rPr>
          <w:sz w:val="28"/>
          <w:szCs w:val="28"/>
        </w:rPr>
      </w:pPr>
      <w:bookmarkStart w:id="90" w:name="bookmark87"/>
      <w:bookmarkEnd w:id="90"/>
      <w:r>
        <w:rPr>
          <w:b/>
          <w:bCs/>
          <w:spacing w:val="-23"/>
          <w:sz w:val="28"/>
          <w:szCs w:val="28"/>
        </w:rPr>
        <w:t>二、基坑支护及安全施工方案</w:t>
      </w:r>
    </w:p>
    <w:p w14:paraId="1BF80C3B">
      <w:pPr>
        <w:pStyle w:val="2"/>
        <w:spacing w:before="102" w:line="220" w:lineRule="auto"/>
        <w:ind w:left="1888"/>
        <w:rPr>
          <w:sz w:val="24"/>
          <w:szCs w:val="24"/>
        </w:rPr>
      </w:pPr>
      <w:r>
        <w:rPr>
          <w:spacing w:val="-14"/>
          <w:sz w:val="24"/>
          <w:szCs w:val="24"/>
        </w:rPr>
        <w:t>2.1挖土方：</w:t>
      </w:r>
    </w:p>
    <w:p w14:paraId="05364777">
      <w:pPr>
        <w:pStyle w:val="2"/>
        <w:spacing w:before="112" w:line="290" w:lineRule="auto"/>
        <w:ind w:left="1456" w:right="1412" w:firstLine="432"/>
        <w:rPr>
          <w:sz w:val="24"/>
          <w:szCs w:val="24"/>
        </w:rPr>
      </w:pPr>
      <w:r>
        <w:rPr>
          <w:spacing w:val="-19"/>
          <w:sz w:val="24"/>
          <w:szCs w:val="24"/>
        </w:rPr>
        <w:t>2.1.1土方开挖过程中，根据条件边坡系数控制在0.5～1.0之间，确保边坡</w:t>
      </w:r>
      <w:r>
        <w:rPr>
          <w:spacing w:val="-20"/>
          <w:sz w:val="24"/>
          <w:szCs w:val="24"/>
        </w:rPr>
        <w:t>稳定，设一名专职人员在作业前作业中进行全方位监护，并做好记录。机械挖土和人工清边修角时起重臂回转半径内严禁站人，按合理的顺序挖土，边挖边清，但不准机械和人同时在一个地点作业。如夜间施工时要有足够的照明设施，挖土机及车辆必须设专人指挥，照明有漏电保护装置，电线</w:t>
      </w:r>
      <w:r>
        <w:rPr>
          <w:spacing w:val="-21"/>
          <w:sz w:val="24"/>
          <w:szCs w:val="24"/>
        </w:rPr>
        <w:t>要挂起不准拖地并且保证两名以上电工配合作业施工。</w:t>
      </w:r>
    </w:p>
    <w:p w14:paraId="628E31C3">
      <w:pPr>
        <w:pStyle w:val="2"/>
        <w:spacing w:before="118" w:line="263" w:lineRule="auto"/>
        <w:ind w:left="1457" w:right="1410" w:firstLine="431"/>
        <w:rPr>
          <w:sz w:val="24"/>
          <w:szCs w:val="24"/>
        </w:rPr>
      </w:pPr>
      <w:r>
        <w:rPr>
          <w:spacing w:val="-22"/>
          <w:sz w:val="24"/>
          <w:szCs w:val="24"/>
        </w:rPr>
        <w:t>2.1.2作业前要严格检查坑内外，坑边有无危险</w:t>
      </w:r>
      <w:r>
        <w:rPr>
          <w:spacing w:val="-23"/>
          <w:sz w:val="24"/>
          <w:szCs w:val="24"/>
        </w:rPr>
        <w:t>因素，对施工做业人员做好有针对性的安全</w:t>
      </w:r>
      <w:r>
        <w:rPr>
          <w:spacing w:val="-17"/>
          <w:sz w:val="24"/>
          <w:szCs w:val="24"/>
        </w:rPr>
        <w:t>技术交底。</w:t>
      </w:r>
    </w:p>
    <w:p w14:paraId="220D810D">
      <w:pPr>
        <w:pStyle w:val="2"/>
        <w:spacing w:before="118" w:line="218" w:lineRule="auto"/>
        <w:ind w:left="1888"/>
        <w:rPr>
          <w:sz w:val="24"/>
          <w:szCs w:val="24"/>
        </w:rPr>
      </w:pPr>
      <w:r>
        <w:rPr>
          <w:spacing w:val="-17"/>
          <w:sz w:val="24"/>
          <w:szCs w:val="24"/>
        </w:rPr>
        <w:t>2.2临边防护：</w:t>
      </w:r>
    </w:p>
    <w:p w14:paraId="36778F99">
      <w:pPr>
        <w:pStyle w:val="2"/>
        <w:spacing w:before="115" w:line="215" w:lineRule="auto"/>
        <w:ind w:left="1888"/>
        <w:rPr>
          <w:sz w:val="24"/>
          <w:szCs w:val="24"/>
        </w:rPr>
      </w:pPr>
      <w:r>
        <w:rPr>
          <w:spacing w:val="-20"/>
          <w:sz w:val="24"/>
          <w:szCs w:val="24"/>
        </w:rPr>
        <w:t>2.2.1挖出的土要随挖随时排走，不得在坑边存放。</w:t>
      </w:r>
    </w:p>
    <w:p w14:paraId="6CE703AB">
      <w:pPr>
        <w:pStyle w:val="2"/>
        <w:spacing w:before="121" w:line="262" w:lineRule="auto"/>
        <w:ind w:left="1455" w:right="1426" w:firstLine="432"/>
        <w:rPr>
          <w:sz w:val="24"/>
          <w:szCs w:val="24"/>
        </w:rPr>
      </w:pPr>
      <w:r>
        <w:rPr>
          <w:spacing w:val="-20"/>
          <w:sz w:val="24"/>
          <w:szCs w:val="24"/>
        </w:rPr>
        <w:t>2.2.2边坡上部不准堆放弃土和材料设备等，堆放重物距土坡安全距离不得小于4m，临时</w:t>
      </w:r>
      <w:r>
        <w:rPr>
          <w:spacing w:val="-12"/>
          <w:sz w:val="24"/>
          <w:szCs w:val="24"/>
        </w:rPr>
        <w:t>材料不得小于2m。</w:t>
      </w:r>
    </w:p>
    <w:p w14:paraId="2D75C622">
      <w:pPr>
        <w:pStyle w:val="2"/>
        <w:spacing w:before="118" w:line="216" w:lineRule="auto"/>
        <w:ind w:left="1888"/>
        <w:rPr>
          <w:sz w:val="24"/>
          <w:szCs w:val="24"/>
        </w:rPr>
      </w:pPr>
      <w:r>
        <w:rPr>
          <w:spacing w:val="-18"/>
          <w:sz w:val="24"/>
          <w:szCs w:val="24"/>
        </w:rPr>
        <w:t>2.2.3距离坡上线1.5m外用钢管插入地下做</w:t>
      </w:r>
      <w:r>
        <w:rPr>
          <w:spacing w:val="-19"/>
          <w:sz w:val="24"/>
          <w:szCs w:val="24"/>
        </w:rPr>
        <w:t>立杆搭设0.6m，1.2m高两道水平栏杆，并用密</w:t>
      </w:r>
    </w:p>
    <w:p w14:paraId="14142551">
      <w:pPr>
        <w:pStyle w:val="2"/>
        <w:spacing w:before="78" w:line="217" w:lineRule="auto"/>
        <w:ind w:left="1498"/>
        <w:rPr>
          <w:sz w:val="24"/>
          <w:szCs w:val="24"/>
        </w:rPr>
      </w:pPr>
      <w:r>
        <w:rPr>
          <w:spacing w:val="-24"/>
          <w:sz w:val="24"/>
          <w:szCs w:val="24"/>
        </w:rPr>
        <w:t>目安全网全封闭。</w:t>
      </w:r>
    </w:p>
    <w:p w14:paraId="75F734F5">
      <w:pPr>
        <w:pStyle w:val="2"/>
        <w:spacing w:before="118" w:line="215" w:lineRule="auto"/>
        <w:ind w:left="1888"/>
        <w:rPr>
          <w:sz w:val="24"/>
          <w:szCs w:val="24"/>
        </w:rPr>
      </w:pPr>
      <w:r>
        <w:rPr>
          <w:spacing w:val="-18"/>
          <w:sz w:val="24"/>
          <w:szCs w:val="24"/>
        </w:rPr>
        <w:t>2.2.4夜间在防护栏杆上部挂红灯警示。</w:t>
      </w:r>
    </w:p>
    <w:p w14:paraId="5D597901">
      <w:pPr>
        <w:pStyle w:val="2"/>
        <w:spacing w:before="119" w:line="217" w:lineRule="auto"/>
        <w:ind w:left="1888"/>
        <w:rPr>
          <w:sz w:val="24"/>
          <w:szCs w:val="24"/>
        </w:rPr>
      </w:pPr>
      <w:r>
        <w:rPr>
          <w:spacing w:val="-20"/>
          <w:sz w:val="24"/>
          <w:szCs w:val="24"/>
        </w:rPr>
        <w:t>2.2.5栏杆刷一米长红白相间颜色警示。</w:t>
      </w:r>
    </w:p>
    <w:p w14:paraId="244D86BE">
      <w:pPr>
        <w:pStyle w:val="2"/>
        <w:spacing w:before="117" w:line="217" w:lineRule="auto"/>
        <w:ind w:left="1888"/>
        <w:rPr>
          <w:sz w:val="24"/>
          <w:szCs w:val="24"/>
        </w:rPr>
      </w:pPr>
      <w:r>
        <w:rPr>
          <w:spacing w:val="-19"/>
          <w:sz w:val="24"/>
          <w:szCs w:val="24"/>
        </w:rPr>
        <w:t>2.2.6将坑边上散土和活动碎石清理干净。</w:t>
      </w:r>
    </w:p>
    <w:p w14:paraId="067BCBE2">
      <w:pPr>
        <w:pStyle w:val="2"/>
        <w:spacing w:before="119" w:line="218" w:lineRule="auto"/>
        <w:ind w:left="1888"/>
        <w:rPr>
          <w:sz w:val="24"/>
          <w:szCs w:val="24"/>
        </w:rPr>
      </w:pPr>
      <w:r>
        <w:rPr>
          <w:spacing w:val="-16"/>
          <w:sz w:val="24"/>
          <w:szCs w:val="24"/>
        </w:rPr>
        <w:t>2.3上下通道：</w:t>
      </w:r>
    </w:p>
    <w:p w14:paraId="457E7BC4">
      <w:pPr>
        <w:pStyle w:val="2"/>
        <w:spacing w:before="114" w:line="217" w:lineRule="auto"/>
        <w:ind w:left="1893"/>
        <w:rPr>
          <w:sz w:val="24"/>
          <w:szCs w:val="24"/>
        </w:rPr>
      </w:pPr>
      <w:r>
        <w:rPr>
          <w:spacing w:val="-22"/>
          <w:sz w:val="24"/>
          <w:szCs w:val="24"/>
        </w:rPr>
        <w:t>用钢管和桥板搭设人行坡道，坡道必须满足多人</w:t>
      </w:r>
      <w:r>
        <w:rPr>
          <w:spacing w:val="-23"/>
          <w:sz w:val="24"/>
          <w:szCs w:val="24"/>
        </w:rPr>
        <w:t>同时上下行走，</w:t>
      </w:r>
    </w:p>
    <w:p w14:paraId="11012256">
      <w:pPr>
        <w:pStyle w:val="2"/>
        <w:spacing w:before="120" w:line="307" w:lineRule="auto"/>
        <w:ind w:left="1457" w:right="1371" w:firstLine="438"/>
        <w:rPr>
          <w:sz w:val="24"/>
          <w:szCs w:val="24"/>
        </w:rPr>
      </w:pPr>
      <w:r>
        <w:rPr>
          <w:spacing w:val="-21"/>
          <w:sz w:val="24"/>
          <w:szCs w:val="24"/>
        </w:rPr>
        <w:t>并保证其承载力，坡道底部支撑必须放置在300mm宽的承托板上，不得直接置于土中，坡</w:t>
      </w:r>
      <w:r>
        <w:rPr>
          <w:spacing w:val="-20"/>
          <w:sz w:val="24"/>
          <w:szCs w:val="24"/>
        </w:rPr>
        <w:t>道要有扶手护栏等齐全的安全设施。不准使用木梯上下，坡道要设防滑条，间距</w:t>
      </w:r>
      <w:r>
        <w:rPr>
          <w:spacing w:val="-21"/>
          <w:sz w:val="24"/>
          <w:szCs w:val="24"/>
        </w:rPr>
        <w:t>不大于300mm。</w:t>
      </w:r>
    </w:p>
    <w:p w14:paraId="73C16128">
      <w:pPr>
        <w:pStyle w:val="2"/>
        <w:spacing w:line="218" w:lineRule="auto"/>
        <w:ind w:left="1888"/>
        <w:rPr>
          <w:sz w:val="24"/>
          <w:szCs w:val="24"/>
        </w:rPr>
      </w:pPr>
      <w:r>
        <w:rPr>
          <w:spacing w:val="-14"/>
          <w:sz w:val="24"/>
          <w:szCs w:val="24"/>
        </w:rPr>
        <w:t>2.4监护：</w:t>
      </w:r>
    </w:p>
    <w:p w14:paraId="70132F89">
      <w:pPr>
        <w:pStyle w:val="2"/>
        <w:spacing w:before="118" w:line="216" w:lineRule="auto"/>
        <w:ind w:left="1901"/>
        <w:rPr>
          <w:sz w:val="24"/>
          <w:szCs w:val="24"/>
        </w:rPr>
      </w:pPr>
      <w:r>
        <w:rPr>
          <w:spacing w:val="-22"/>
          <w:sz w:val="24"/>
          <w:szCs w:val="24"/>
        </w:rPr>
        <w:t>为确保工作坑安全，故设一名专职监护人员，进行全天监测，并做好沉</w:t>
      </w:r>
    </w:p>
    <w:p w14:paraId="79ACC139">
      <w:pPr>
        <w:pStyle w:val="2"/>
        <w:spacing w:before="121" w:line="307" w:lineRule="auto"/>
        <w:ind w:left="1457" w:right="1409" w:firstLine="448"/>
        <w:rPr>
          <w:sz w:val="24"/>
          <w:szCs w:val="24"/>
        </w:rPr>
      </w:pPr>
      <w:r>
        <w:rPr>
          <w:spacing w:val="-20"/>
          <w:sz w:val="24"/>
          <w:szCs w:val="24"/>
        </w:rPr>
        <w:t>降记录，如发现有松动、变形、裂缝现象，立刻撤离现场作业人员，并及时报告上级有关</w:t>
      </w:r>
      <w:r>
        <w:rPr>
          <w:spacing w:val="-21"/>
          <w:sz w:val="24"/>
          <w:szCs w:val="24"/>
        </w:rPr>
        <w:t>部门，采取防范措施，确保安全生产。</w:t>
      </w:r>
    </w:p>
    <w:p w14:paraId="01C25BBC">
      <w:pPr>
        <w:pStyle w:val="2"/>
        <w:spacing w:line="218" w:lineRule="auto"/>
        <w:ind w:left="1888"/>
        <w:rPr>
          <w:sz w:val="24"/>
          <w:szCs w:val="24"/>
        </w:rPr>
      </w:pPr>
      <w:r>
        <w:rPr>
          <w:spacing w:val="-15"/>
          <w:sz w:val="24"/>
          <w:szCs w:val="24"/>
        </w:rPr>
        <w:t>2.5排水措施：</w:t>
      </w:r>
    </w:p>
    <w:p w14:paraId="328CA71C">
      <w:pPr>
        <w:pStyle w:val="2"/>
        <w:spacing w:before="118" w:line="261" w:lineRule="auto"/>
        <w:ind w:left="1458" w:right="1427" w:firstLine="430"/>
        <w:rPr>
          <w:sz w:val="24"/>
          <w:szCs w:val="24"/>
        </w:rPr>
      </w:pPr>
      <w:r>
        <w:rPr>
          <w:spacing w:val="-18"/>
          <w:sz w:val="24"/>
          <w:szCs w:val="24"/>
        </w:rPr>
        <w:t>2.5.1在坑底周边距基坑边缘1m处开挖排水坑，直径500mm深3</w:t>
      </w:r>
      <w:r>
        <w:rPr>
          <w:spacing w:val="-19"/>
          <w:sz w:val="24"/>
          <w:szCs w:val="24"/>
        </w:rPr>
        <w:t>00mm，保证及时用水泵将</w:t>
      </w:r>
      <w:r>
        <w:rPr>
          <w:spacing w:val="-22"/>
          <w:sz w:val="24"/>
          <w:szCs w:val="24"/>
        </w:rPr>
        <w:t>积水排走，不致浸泡坑底和影响作业。</w:t>
      </w:r>
    </w:p>
    <w:p w14:paraId="258B576E">
      <w:pPr>
        <w:pStyle w:val="2"/>
        <w:spacing w:before="121" w:line="262" w:lineRule="auto"/>
        <w:ind w:left="1459" w:right="1387" w:firstLine="429"/>
        <w:rPr>
          <w:sz w:val="24"/>
          <w:szCs w:val="24"/>
        </w:rPr>
      </w:pPr>
      <w:r>
        <w:rPr>
          <w:spacing w:val="-21"/>
          <w:sz w:val="24"/>
          <w:szCs w:val="24"/>
        </w:rPr>
        <w:t>2.5.2备有2台水泵和配套的配电箱，开关箱，电线等，使用水泵时，水泵电线不准拖地，仔细检查电缆是否有破损等现象。</w:t>
      </w:r>
    </w:p>
    <w:p w14:paraId="1569B6A3">
      <w:pPr>
        <w:pStyle w:val="2"/>
        <w:spacing w:before="117" w:line="218" w:lineRule="auto"/>
        <w:ind w:left="1888"/>
        <w:rPr>
          <w:sz w:val="24"/>
          <w:szCs w:val="24"/>
        </w:rPr>
      </w:pPr>
      <w:r>
        <w:rPr>
          <w:spacing w:val="-17"/>
          <w:sz w:val="24"/>
          <w:szCs w:val="24"/>
        </w:rPr>
        <w:t>2.5.3备有水靴，雨衣裤。</w:t>
      </w:r>
    </w:p>
    <w:p w14:paraId="62319BFE">
      <w:pPr>
        <w:pStyle w:val="2"/>
        <w:spacing w:before="117" w:line="264" w:lineRule="auto"/>
        <w:ind w:left="1458" w:right="1412" w:firstLine="430"/>
        <w:rPr>
          <w:sz w:val="24"/>
          <w:szCs w:val="24"/>
        </w:rPr>
      </w:pPr>
      <w:r>
        <w:rPr>
          <w:spacing w:val="-22"/>
          <w:sz w:val="24"/>
          <w:szCs w:val="24"/>
        </w:rPr>
        <w:t>2.5.4坡面上如有大量渗水时，应设置过滤层，用</w:t>
      </w:r>
      <w:r>
        <w:rPr>
          <w:spacing w:val="-23"/>
          <w:sz w:val="24"/>
          <w:szCs w:val="24"/>
        </w:rPr>
        <w:t>草包或沙包防止边坡滑入坑内，随时清理</w:t>
      </w:r>
      <w:r>
        <w:rPr>
          <w:spacing w:val="-16"/>
          <w:sz w:val="24"/>
          <w:szCs w:val="24"/>
        </w:rPr>
        <w:t>积水坑。</w:t>
      </w:r>
    </w:p>
    <w:p w14:paraId="550988F3">
      <w:pPr>
        <w:pStyle w:val="2"/>
        <w:spacing w:before="79" w:line="219" w:lineRule="auto"/>
        <w:ind w:left="1985"/>
        <w:outlineLvl w:val="2"/>
        <w:rPr>
          <w:sz w:val="28"/>
          <w:szCs w:val="28"/>
        </w:rPr>
      </w:pPr>
      <w:bookmarkStart w:id="91" w:name="bookmark88"/>
      <w:bookmarkEnd w:id="91"/>
      <w:r>
        <w:rPr>
          <w:b/>
          <w:bCs/>
          <w:spacing w:val="-23"/>
          <w:sz w:val="28"/>
          <w:szCs w:val="28"/>
        </w:rPr>
        <w:t>三、管线施工安全管理措施</w:t>
      </w:r>
    </w:p>
    <w:p w14:paraId="6BD6E96F">
      <w:pPr>
        <w:pStyle w:val="2"/>
        <w:spacing w:before="104" w:line="262" w:lineRule="auto"/>
        <w:ind w:left="1457" w:right="1409" w:firstLine="433"/>
        <w:rPr>
          <w:sz w:val="24"/>
          <w:szCs w:val="24"/>
        </w:rPr>
      </w:pPr>
      <w:r>
        <w:rPr>
          <w:spacing w:val="-23"/>
          <w:sz w:val="24"/>
          <w:szCs w:val="24"/>
        </w:rPr>
        <w:t>3.1管线（燃气、供水、热力、排水管道）工程施工，应在施工方</w:t>
      </w:r>
      <w:r>
        <w:rPr>
          <w:spacing w:val="-24"/>
          <w:sz w:val="24"/>
          <w:szCs w:val="24"/>
        </w:rPr>
        <w:t>案中明确安全文明施工方</w:t>
      </w:r>
      <w:r>
        <w:rPr>
          <w:spacing w:val="-22"/>
          <w:sz w:val="24"/>
          <w:szCs w:val="24"/>
        </w:rPr>
        <w:t>案，并按规定制订各工序部位所涉及的专项实施方案。</w:t>
      </w:r>
    </w:p>
    <w:p w14:paraId="468F1762">
      <w:pPr>
        <w:pStyle w:val="2"/>
        <w:spacing w:before="117" w:line="216" w:lineRule="auto"/>
        <w:ind w:left="1890"/>
        <w:rPr>
          <w:sz w:val="24"/>
          <w:szCs w:val="24"/>
        </w:rPr>
      </w:pPr>
      <w:r>
        <w:rPr>
          <w:spacing w:val="-21"/>
          <w:sz w:val="24"/>
          <w:szCs w:val="24"/>
        </w:rPr>
        <w:t>3.2临街道路施工，必须具备高度不低于3m的围挡</w:t>
      </w:r>
      <w:r>
        <w:rPr>
          <w:spacing w:val="-22"/>
          <w:sz w:val="24"/>
          <w:szCs w:val="24"/>
        </w:rPr>
        <w:t>，以确保施工作业区与外界的有效隔离。</w:t>
      </w:r>
    </w:p>
    <w:p w14:paraId="02633C60">
      <w:pPr>
        <w:pStyle w:val="2"/>
        <w:spacing w:before="122" w:line="262" w:lineRule="auto"/>
        <w:ind w:left="1457" w:right="1409" w:firstLine="433"/>
        <w:rPr>
          <w:sz w:val="24"/>
          <w:szCs w:val="24"/>
        </w:rPr>
      </w:pPr>
      <w:r>
        <w:rPr>
          <w:spacing w:val="-20"/>
          <w:sz w:val="24"/>
          <w:szCs w:val="24"/>
        </w:rPr>
        <w:t>3.3沟槽施工方案中应合理确定挖槽断面和堆土</w:t>
      </w:r>
      <w:r>
        <w:rPr>
          <w:spacing w:val="-21"/>
          <w:sz w:val="24"/>
          <w:szCs w:val="24"/>
        </w:rPr>
        <w:t>位置。堆土高度不得超过1.5m，距沟槽/基坑边不小于1m，且堆土靠沟槽、基坑侧不得堆放工具、石块等硬质物件。</w:t>
      </w:r>
    </w:p>
    <w:p w14:paraId="2A53E59B">
      <w:pPr>
        <w:pStyle w:val="2"/>
        <w:spacing w:before="117" w:line="262" w:lineRule="auto"/>
        <w:ind w:left="1458" w:right="1335" w:firstLine="432"/>
        <w:rPr>
          <w:sz w:val="24"/>
          <w:szCs w:val="24"/>
        </w:rPr>
      </w:pPr>
      <w:r>
        <w:rPr>
          <w:spacing w:val="-24"/>
          <w:sz w:val="24"/>
          <w:szCs w:val="24"/>
        </w:rPr>
        <w:t>3.4沟槽开挖深度超过2m时，必须及时设置支撑，开挖深度超过3m时，不得采用横板支撑。</w:t>
      </w:r>
      <w:r>
        <w:rPr>
          <w:spacing w:val="-20"/>
          <w:sz w:val="24"/>
          <w:szCs w:val="24"/>
        </w:rPr>
        <w:t>深度超过5m的沟槽施工，必须编制专项施工方案，并明确</w:t>
      </w:r>
      <w:r>
        <w:rPr>
          <w:spacing w:val="-21"/>
          <w:sz w:val="24"/>
          <w:szCs w:val="24"/>
        </w:rPr>
        <w:t>监测方式。</w:t>
      </w:r>
    </w:p>
    <w:p w14:paraId="2508F9F9">
      <w:pPr>
        <w:pStyle w:val="2"/>
        <w:spacing w:before="119" w:line="262" w:lineRule="auto"/>
        <w:ind w:left="1457" w:right="1410" w:firstLine="433"/>
        <w:rPr>
          <w:sz w:val="24"/>
          <w:szCs w:val="24"/>
        </w:rPr>
      </w:pPr>
      <w:r>
        <w:rPr>
          <w:spacing w:val="-23"/>
          <w:sz w:val="24"/>
          <w:szCs w:val="24"/>
        </w:rPr>
        <w:t>3.5井点降水应实行监测，并作好实测记录，当降水影响区域内有建筑物、地下构筑物以及</w:t>
      </w:r>
      <w:r>
        <w:rPr>
          <w:spacing w:val="-21"/>
          <w:sz w:val="24"/>
          <w:szCs w:val="24"/>
        </w:rPr>
        <w:t>地下管线的，必须采取保护措施。</w:t>
      </w:r>
    </w:p>
    <w:p w14:paraId="47227B0B">
      <w:pPr>
        <w:pStyle w:val="2"/>
        <w:spacing w:before="119" w:line="264" w:lineRule="auto"/>
        <w:ind w:left="1462" w:right="1413" w:firstLine="428"/>
        <w:rPr>
          <w:sz w:val="24"/>
          <w:szCs w:val="24"/>
        </w:rPr>
      </w:pPr>
      <w:r>
        <w:rPr>
          <w:spacing w:val="-23"/>
          <w:sz w:val="24"/>
          <w:szCs w:val="24"/>
        </w:rPr>
        <w:t>3.6施工涉及树木、电杆的，应及时与主管部门协商，并及时落实加固和防护措施，消除安</w:t>
      </w:r>
      <w:r>
        <w:rPr>
          <w:spacing w:val="-17"/>
          <w:sz w:val="24"/>
          <w:szCs w:val="24"/>
        </w:rPr>
        <w:t>全隐患。</w:t>
      </w:r>
    </w:p>
    <w:p w14:paraId="61E19477">
      <w:pPr>
        <w:pStyle w:val="2"/>
        <w:spacing w:before="113" w:line="217" w:lineRule="auto"/>
        <w:ind w:left="1890"/>
        <w:rPr>
          <w:sz w:val="24"/>
          <w:szCs w:val="24"/>
        </w:rPr>
      </w:pPr>
      <w:r>
        <w:rPr>
          <w:spacing w:val="-19"/>
          <w:sz w:val="24"/>
          <w:szCs w:val="24"/>
        </w:rPr>
        <w:t>3.7机械下管时，应有专人指挥，起重机械离沟槽边壁的安全距离应不小于1m。</w:t>
      </w:r>
    </w:p>
    <w:p w14:paraId="4E334D5B">
      <w:pPr>
        <w:pStyle w:val="2"/>
        <w:spacing w:before="119" w:line="216" w:lineRule="auto"/>
        <w:ind w:left="1890"/>
        <w:rPr>
          <w:sz w:val="24"/>
          <w:szCs w:val="24"/>
        </w:rPr>
      </w:pPr>
      <w:r>
        <w:rPr>
          <w:spacing w:val="-21"/>
          <w:sz w:val="24"/>
          <w:szCs w:val="24"/>
        </w:rPr>
        <w:t>3.8拆封头或进入管道、窨井内清淤作业，必须落实安全措施并按规定办理审批手续。</w:t>
      </w:r>
    </w:p>
    <w:p w14:paraId="5BEDAF89">
      <w:pPr>
        <w:pStyle w:val="2"/>
        <w:spacing w:before="86" w:line="216" w:lineRule="auto"/>
        <w:ind w:left="2010"/>
        <w:outlineLvl w:val="2"/>
        <w:rPr>
          <w:sz w:val="28"/>
          <w:szCs w:val="28"/>
        </w:rPr>
      </w:pPr>
      <w:bookmarkStart w:id="92" w:name="bookmark89"/>
      <w:bookmarkEnd w:id="92"/>
      <w:r>
        <w:rPr>
          <w:b/>
          <w:bCs/>
          <w:spacing w:val="-25"/>
          <w:sz w:val="28"/>
          <w:szCs w:val="28"/>
        </w:rPr>
        <w:t>四、焊缝检测安全技术组织措施</w:t>
      </w:r>
    </w:p>
    <w:p w14:paraId="047E9343">
      <w:pPr>
        <w:pStyle w:val="2"/>
        <w:spacing w:before="105" w:line="216" w:lineRule="auto"/>
        <w:ind w:left="1903"/>
        <w:rPr>
          <w:sz w:val="24"/>
          <w:szCs w:val="24"/>
        </w:rPr>
      </w:pPr>
      <w:r>
        <w:rPr>
          <w:spacing w:val="-22"/>
          <w:sz w:val="24"/>
          <w:szCs w:val="24"/>
        </w:rPr>
        <w:t>1、严格执行项目部安全工作准则，无条件接受安全员的安全监督，听从现场安全监护员的</w:t>
      </w:r>
    </w:p>
    <w:p w14:paraId="083276F1">
      <w:pPr>
        <w:pStyle w:val="2"/>
        <w:spacing w:before="78" w:line="217" w:lineRule="auto"/>
        <w:ind w:left="1456"/>
        <w:rPr>
          <w:sz w:val="24"/>
          <w:szCs w:val="24"/>
        </w:rPr>
      </w:pPr>
      <w:r>
        <w:rPr>
          <w:spacing w:val="-18"/>
          <w:sz w:val="24"/>
          <w:szCs w:val="24"/>
        </w:rPr>
        <w:t>劝阻、教育。</w:t>
      </w:r>
    </w:p>
    <w:p w14:paraId="2FE564D7">
      <w:pPr>
        <w:pStyle w:val="2"/>
        <w:spacing w:before="118" w:line="215" w:lineRule="auto"/>
        <w:ind w:left="1888"/>
        <w:rPr>
          <w:sz w:val="24"/>
          <w:szCs w:val="24"/>
        </w:rPr>
      </w:pPr>
      <w:r>
        <w:rPr>
          <w:spacing w:val="-21"/>
          <w:sz w:val="24"/>
          <w:szCs w:val="24"/>
        </w:rPr>
        <w:t>2、在进入施工现场前，必须对所有施工人员进行针对性的安全教育、安全技术交底。</w:t>
      </w:r>
    </w:p>
    <w:p w14:paraId="2619BCD1">
      <w:pPr>
        <w:pStyle w:val="2"/>
        <w:spacing w:before="118" w:line="278" w:lineRule="auto"/>
        <w:ind w:left="1457" w:right="1410" w:firstLine="433"/>
        <w:rPr>
          <w:sz w:val="24"/>
          <w:szCs w:val="24"/>
        </w:rPr>
      </w:pPr>
      <w:r>
        <w:rPr>
          <w:spacing w:val="-22"/>
          <w:sz w:val="24"/>
          <w:szCs w:val="24"/>
        </w:rPr>
        <w:t>3、进入施工区域必须戴好安全帽，必要时系好安全带，施工时必须正确戴好劳保用品，必</w:t>
      </w:r>
      <w:r>
        <w:rPr>
          <w:spacing w:val="-20"/>
          <w:sz w:val="24"/>
          <w:szCs w:val="24"/>
        </w:rPr>
        <w:t>须听从有关领导及现场安全员的劝告和指挥；管线两端的试压点之间，要用对讲机随时保持联</w:t>
      </w:r>
      <w:r>
        <w:rPr>
          <w:spacing w:val="-19"/>
          <w:sz w:val="24"/>
          <w:szCs w:val="24"/>
        </w:rPr>
        <w:t>络，注意安全。</w:t>
      </w:r>
    </w:p>
    <w:p w14:paraId="5B478C6B">
      <w:pPr>
        <w:pStyle w:val="2"/>
        <w:spacing w:before="116" w:line="262" w:lineRule="auto"/>
        <w:ind w:left="1465" w:right="1338" w:firstLine="419"/>
        <w:rPr>
          <w:sz w:val="24"/>
          <w:szCs w:val="24"/>
        </w:rPr>
      </w:pPr>
      <w:r>
        <w:rPr>
          <w:spacing w:val="-20"/>
          <w:sz w:val="24"/>
          <w:szCs w:val="24"/>
        </w:rPr>
        <w:t>4、施工开始前，施工负责人应组织人员全面检查、清理现场，对施工所用的各种水</w:t>
      </w:r>
      <w:r>
        <w:rPr>
          <w:spacing w:val="-21"/>
          <w:sz w:val="24"/>
          <w:szCs w:val="24"/>
        </w:rPr>
        <w:t>、电、</w:t>
      </w:r>
      <w:r>
        <w:rPr>
          <w:spacing w:val="-23"/>
          <w:sz w:val="24"/>
          <w:szCs w:val="24"/>
        </w:rPr>
        <w:t>气等应与指挥部有关人员联系、落实，制定可靠的安全</w:t>
      </w:r>
      <w:r>
        <w:rPr>
          <w:spacing w:val="-24"/>
          <w:sz w:val="24"/>
          <w:szCs w:val="24"/>
        </w:rPr>
        <w:t>措施，并指派专人做好现场的警戒监护。</w:t>
      </w:r>
    </w:p>
    <w:p w14:paraId="1236D1AC">
      <w:pPr>
        <w:pStyle w:val="2"/>
        <w:spacing w:before="120" w:line="262" w:lineRule="auto"/>
        <w:ind w:left="1456" w:right="1354" w:firstLine="434"/>
        <w:rPr>
          <w:sz w:val="24"/>
          <w:szCs w:val="24"/>
        </w:rPr>
      </w:pPr>
      <w:r>
        <w:rPr>
          <w:spacing w:val="-26"/>
          <w:sz w:val="24"/>
          <w:szCs w:val="24"/>
        </w:rPr>
        <w:t>5、施工临时用电等，必须确保绝缘、接地良好，并有醒目标志。施工完毕，必须及时拆除，</w:t>
      </w:r>
      <w:r>
        <w:rPr>
          <w:spacing w:val="-21"/>
          <w:sz w:val="24"/>
          <w:szCs w:val="24"/>
        </w:rPr>
        <w:t>做到“装得安全、用得正确、拆得彻底”。</w:t>
      </w:r>
    </w:p>
    <w:p w14:paraId="325DD24E">
      <w:pPr>
        <w:pStyle w:val="2"/>
        <w:spacing w:before="118" w:line="277" w:lineRule="auto"/>
        <w:ind w:left="1457" w:right="1414" w:firstLine="430"/>
        <w:rPr>
          <w:sz w:val="24"/>
          <w:szCs w:val="24"/>
        </w:rPr>
      </w:pPr>
      <w:r>
        <w:rPr>
          <w:spacing w:val="-22"/>
          <w:sz w:val="24"/>
          <w:szCs w:val="24"/>
        </w:rPr>
        <w:t>6、检测前，在检验范围内使用警戒区域，禁止闲杂人员进入，设立警示标志，任何人</w:t>
      </w:r>
      <w:r>
        <w:rPr>
          <w:spacing w:val="-23"/>
          <w:sz w:val="24"/>
          <w:szCs w:val="24"/>
        </w:rPr>
        <w:t>不得</w:t>
      </w:r>
      <w:r>
        <w:rPr>
          <w:spacing w:val="-20"/>
          <w:sz w:val="24"/>
          <w:szCs w:val="24"/>
        </w:rPr>
        <w:t>擅自拆除安全标志，警戒线，不准穿越、闯入警戒区域。所有机械设备、机具在检验前要进行</w:t>
      </w:r>
      <w:r>
        <w:rPr>
          <w:spacing w:val="-21"/>
          <w:sz w:val="24"/>
          <w:szCs w:val="24"/>
        </w:rPr>
        <w:t>充分的检查，确保无安全隐患。</w:t>
      </w:r>
    </w:p>
    <w:p w14:paraId="7DB8384F">
      <w:pPr>
        <w:pStyle w:val="2"/>
        <w:spacing w:before="120" w:line="217" w:lineRule="auto"/>
        <w:ind w:left="1891"/>
        <w:rPr>
          <w:sz w:val="24"/>
          <w:szCs w:val="24"/>
        </w:rPr>
      </w:pPr>
      <w:r>
        <w:rPr>
          <w:spacing w:val="-21"/>
          <w:sz w:val="24"/>
          <w:szCs w:val="24"/>
        </w:rPr>
        <w:t>7、安全防护应遵循正当化、最优化、个人剂量当量限制。</w:t>
      </w:r>
    </w:p>
    <w:p w14:paraId="484D6C8E">
      <w:pPr>
        <w:pStyle w:val="2"/>
        <w:spacing w:before="84" w:line="219" w:lineRule="auto"/>
        <w:ind w:left="1981"/>
        <w:outlineLvl w:val="2"/>
        <w:rPr>
          <w:sz w:val="28"/>
          <w:szCs w:val="28"/>
        </w:rPr>
      </w:pPr>
      <w:bookmarkStart w:id="93" w:name="bookmark90"/>
      <w:bookmarkEnd w:id="93"/>
      <w:r>
        <w:rPr>
          <w:b/>
          <w:bCs/>
          <w:spacing w:val="-22"/>
          <w:sz w:val="28"/>
          <w:szCs w:val="28"/>
        </w:rPr>
        <w:t>五、管道防腐管理措施</w:t>
      </w:r>
    </w:p>
    <w:p w14:paraId="719D29A8">
      <w:pPr>
        <w:pStyle w:val="2"/>
        <w:spacing w:before="100" w:line="278" w:lineRule="auto"/>
        <w:ind w:left="1456" w:right="1354" w:firstLine="447"/>
        <w:rPr>
          <w:sz w:val="24"/>
          <w:szCs w:val="24"/>
        </w:rPr>
      </w:pPr>
      <w:r>
        <w:rPr>
          <w:spacing w:val="-23"/>
          <w:sz w:val="24"/>
          <w:szCs w:val="24"/>
        </w:rPr>
        <w:t>1.眼睛的保护喷涂过程中可能接触其气雾，应该佩戴化学安</w:t>
      </w:r>
      <w:r>
        <w:rPr>
          <w:spacing w:val="-24"/>
          <w:sz w:val="24"/>
          <w:szCs w:val="24"/>
        </w:rPr>
        <w:t>全护目镜。眼睛一旦接触原料，</w:t>
      </w:r>
      <w:r>
        <w:rPr>
          <w:spacing w:val="-21"/>
          <w:sz w:val="24"/>
          <w:szCs w:val="24"/>
        </w:rPr>
        <w:t>应立即用流动性水冲洗眼睛15min以上，冲洗时撑开眼帘。如果发炎不消除，应反复冲洗，并</w:t>
      </w:r>
      <w:r>
        <w:rPr>
          <w:spacing w:val="-19"/>
          <w:sz w:val="24"/>
          <w:szCs w:val="24"/>
        </w:rPr>
        <w:t>立即接受药物治疗。</w:t>
      </w:r>
    </w:p>
    <w:p w14:paraId="6527FF02">
      <w:pPr>
        <w:pStyle w:val="2"/>
        <w:spacing w:before="116" w:line="217" w:lineRule="auto"/>
        <w:ind w:left="1888"/>
        <w:rPr>
          <w:sz w:val="24"/>
          <w:szCs w:val="24"/>
        </w:rPr>
      </w:pPr>
      <w:r>
        <w:rPr>
          <w:spacing w:val="-21"/>
          <w:sz w:val="24"/>
          <w:szCs w:val="24"/>
        </w:rPr>
        <w:t>2、呼吸系统的保护施工人员应佩戴经认证的呼吸防护设备。</w:t>
      </w:r>
    </w:p>
    <w:p w14:paraId="319826C0">
      <w:pPr>
        <w:pStyle w:val="2"/>
        <w:spacing w:before="118" w:line="263" w:lineRule="auto"/>
        <w:ind w:left="1460" w:right="1412" w:firstLine="430"/>
        <w:rPr>
          <w:sz w:val="24"/>
          <w:szCs w:val="24"/>
        </w:rPr>
      </w:pPr>
      <w:r>
        <w:rPr>
          <w:spacing w:val="-22"/>
          <w:sz w:val="24"/>
          <w:szCs w:val="24"/>
        </w:rPr>
        <w:t>3、皮肤的保护现场喷涂时对于手防护可佩戴化学品手套；对于脚的防护可佩戴脚套</w:t>
      </w:r>
      <w:r>
        <w:rPr>
          <w:spacing w:val="-23"/>
          <w:sz w:val="24"/>
          <w:szCs w:val="24"/>
        </w:rPr>
        <w:t>。时也</w:t>
      </w:r>
      <w:r>
        <w:rPr>
          <w:spacing w:val="-19"/>
          <w:sz w:val="24"/>
          <w:szCs w:val="24"/>
        </w:rPr>
        <w:t>可以保护头部。</w:t>
      </w:r>
    </w:p>
    <w:p w14:paraId="3DC4B523">
      <w:pPr>
        <w:pStyle w:val="2"/>
        <w:spacing w:before="118" w:line="278" w:lineRule="auto"/>
        <w:ind w:left="1463" w:right="1415" w:firstLine="420"/>
        <w:rPr>
          <w:sz w:val="24"/>
          <w:szCs w:val="24"/>
        </w:rPr>
      </w:pPr>
      <w:r>
        <w:rPr>
          <w:spacing w:val="-22"/>
          <w:sz w:val="24"/>
          <w:szCs w:val="24"/>
        </w:rPr>
        <w:t>4、喷涂现场施工存在许多危害：喷涂开始时噪声很大（尤其是空压机噪声），可能会造成</w:t>
      </w:r>
      <w:r>
        <w:rPr>
          <w:spacing w:val="-20"/>
          <w:sz w:val="24"/>
          <w:szCs w:val="24"/>
        </w:rPr>
        <w:t>听觉障碍，高空作业注意系好安全带；密闭部位施工注意防火防爆；进入施工现场要戴好安全</w:t>
      </w:r>
      <w:r>
        <w:rPr>
          <w:spacing w:val="-25"/>
          <w:sz w:val="24"/>
          <w:szCs w:val="24"/>
        </w:rPr>
        <w:t>帽；</w:t>
      </w:r>
    </w:p>
    <w:p w14:paraId="64CA6FED">
      <w:pPr>
        <w:pStyle w:val="2"/>
        <w:spacing w:before="115" w:line="263" w:lineRule="auto"/>
        <w:ind w:left="1465" w:right="1412" w:firstLine="419"/>
        <w:rPr>
          <w:sz w:val="24"/>
          <w:szCs w:val="24"/>
        </w:rPr>
      </w:pPr>
      <w:r>
        <w:rPr>
          <w:spacing w:val="-22"/>
          <w:sz w:val="24"/>
          <w:szCs w:val="24"/>
        </w:rPr>
        <w:t>4、杜绝火源在室内喷涂以及室外的工作区域内必须做到严禁吸烟，禁止携带火种。严禁任</w:t>
      </w:r>
      <w:r>
        <w:rPr>
          <w:spacing w:val="-21"/>
          <w:sz w:val="24"/>
          <w:szCs w:val="24"/>
        </w:rPr>
        <w:t>意使用明火和易于燃烧的用具及装置。</w:t>
      </w:r>
    </w:p>
    <w:p w14:paraId="46092624">
      <w:pPr>
        <w:pStyle w:val="2"/>
        <w:spacing w:before="83" w:line="219" w:lineRule="auto"/>
        <w:ind w:left="1979"/>
        <w:outlineLvl w:val="2"/>
        <w:rPr>
          <w:sz w:val="28"/>
          <w:szCs w:val="28"/>
        </w:rPr>
      </w:pPr>
      <w:bookmarkStart w:id="94" w:name="bookmark91"/>
      <w:bookmarkEnd w:id="94"/>
      <w:r>
        <w:rPr>
          <w:b/>
          <w:bCs/>
          <w:spacing w:val="-22"/>
          <w:sz w:val="28"/>
          <w:szCs w:val="28"/>
        </w:rPr>
        <w:t>六、道路施工安全管理措施</w:t>
      </w:r>
    </w:p>
    <w:p w14:paraId="296AAFAE">
      <w:pPr>
        <w:pStyle w:val="2"/>
        <w:spacing w:before="101" w:line="217" w:lineRule="auto"/>
        <w:ind w:left="1884"/>
        <w:rPr>
          <w:sz w:val="24"/>
          <w:szCs w:val="24"/>
        </w:rPr>
      </w:pPr>
      <w:r>
        <w:rPr>
          <w:spacing w:val="-18"/>
          <w:sz w:val="24"/>
          <w:szCs w:val="24"/>
        </w:rPr>
        <w:t>4.1道路工程施工围护及五小设施应满足本规定文明施工相关要求。</w:t>
      </w:r>
    </w:p>
    <w:p w14:paraId="10DDAA43">
      <w:pPr>
        <w:pStyle w:val="2"/>
        <w:spacing w:before="119" w:line="217" w:lineRule="auto"/>
        <w:ind w:left="1884"/>
        <w:rPr>
          <w:sz w:val="24"/>
          <w:szCs w:val="24"/>
        </w:rPr>
      </w:pPr>
      <w:r>
        <w:rPr>
          <w:spacing w:val="-21"/>
          <w:sz w:val="24"/>
          <w:szCs w:val="24"/>
        </w:rPr>
        <w:t>4.2项目部必须依据有关部门批准的交通方案，按要求设置警示标志和警灯。</w:t>
      </w:r>
    </w:p>
    <w:p w14:paraId="6CE0800F">
      <w:pPr>
        <w:pStyle w:val="2"/>
        <w:spacing w:before="118" w:line="262" w:lineRule="auto"/>
        <w:ind w:left="1457" w:right="1387" w:firstLine="427"/>
        <w:rPr>
          <w:sz w:val="24"/>
          <w:szCs w:val="24"/>
        </w:rPr>
      </w:pPr>
      <w:r>
        <w:rPr>
          <w:spacing w:val="-22"/>
          <w:sz w:val="24"/>
          <w:szCs w:val="24"/>
        </w:rPr>
        <w:t>4.3施工区域与非施工区域应采取分隔措施，分隔设施临时出口的设</w:t>
      </w:r>
      <w:r>
        <w:rPr>
          <w:spacing w:val="-23"/>
          <w:sz w:val="24"/>
          <w:szCs w:val="24"/>
        </w:rPr>
        <w:t>置应不影响交通视角，</w:t>
      </w:r>
      <w:r>
        <w:rPr>
          <w:spacing w:val="-17"/>
          <w:sz w:val="24"/>
          <w:szCs w:val="24"/>
        </w:rPr>
        <w:t>确保安全。</w:t>
      </w:r>
    </w:p>
    <w:p w14:paraId="60161A32">
      <w:pPr>
        <w:pStyle w:val="2"/>
        <w:spacing w:before="119" w:line="216" w:lineRule="auto"/>
        <w:ind w:left="1884"/>
        <w:rPr>
          <w:sz w:val="24"/>
          <w:szCs w:val="24"/>
        </w:rPr>
      </w:pPr>
      <w:r>
        <w:rPr>
          <w:spacing w:val="-20"/>
          <w:sz w:val="24"/>
          <w:szCs w:val="24"/>
        </w:rPr>
        <w:t>4.4施工作业现场，项目部应派专人对现场交通进行指挥管理。</w:t>
      </w:r>
    </w:p>
    <w:p w14:paraId="5E10FC5F">
      <w:pPr>
        <w:pStyle w:val="2"/>
        <w:spacing w:before="120" w:line="262" w:lineRule="auto"/>
        <w:ind w:left="1456" w:right="1387" w:firstLine="428"/>
        <w:rPr>
          <w:sz w:val="24"/>
          <w:szCs w:val="24"/>
        </w:rPr>
      </w:pPr>
      <w:r>
        <w:rPr>
          <w:spacing w:val="-22"/>
          <w:sz w:val="24"/>
          <w:szCs w:val="24"/>
        </w:rPr>
        <w:t>4.5项目部应结合实际情况编制施工现场排水方案，确保雨污水</w:t>
      </w:r>
      <w:r>
        <w:rPr>
          <w:spacing w:val="-23"/>
          <w:sz w:val="24"/>
          <w:szCs w:val="24"/>
        </w:rPr>
        <w:t>排放通畅，以不损坏环境，</w:t>
      </w:r>
      <w:r>
        <w:rPr>
          <w:spacing w:val="-21"/>
          <w:sz w:val="24"/>
          <w:szCs w:val="24"/>
        </w:rPr>
        <w:t>尽可能利用原有排水设施，应合理设置沉淀池，避免堵塞排水</w:t>
      </w:r>
      <w:r>
        <w:rPr>
          <w:spacing w:val="-22"/>
          <w:sz w:val="24"/>
          <w:szCs w:val="24"/>
        </w:rPr>
        <w:t>管道。</w:t>
      </w:r>
    </w:p>
    <w:p w14:paraId="1681015E">
      <w:pPr>
        <w:pStyle w:val="2"/>
        <w:spacing w:before="118" w:line="215" w:lineRule="auto"/>
        <w:ind w:left="1884"/>
        <w:rPr>
          <w:sz w:val="24"/>
          <w:szCs w:val="24"/>
        </w:rPr>
      </w:pPr>
      <w:r>
        <w:rPr>
          <w:spacing w:val="-21"/>
          <w:sz w:val="24"/>
          <w:szCs w:val="24"/>
        </w:rPr>
        <w:t>4.6车辆进出点应设冲洗设施，并设排水沟和沉淀池，确保净车出场。</w:t>
      </w:r>
    </w:p>
    <w:p w14:paraId="0B01DBA0">
      <w:pPr>
        <w:pStyle w:val="2"/>
        <w:spacing w:before="121" w:line="215" w:lineRule="auto"/>
        <w:ind w:left="1884"/>
        <w:rPr>
          <w:sz w:val="24"/>
          <w:szCs w:val="24"/>
        </w:rPr>
      </w:pPr>
      <w:r>
        <w:rPr>
          <w:spacing w:val="-21"/>
          <w:sz w:val="24"/>
          <w:szCs w:val="24"/>
        </w:rPr>
        <w:t>4.7材料、机具应按规定堆放，不得堆放在便道、车道、人行道上。</w:t>
      </w:r>
    </w:p>
    <w:p w14:paraId="3B036A8E">
      <w:pPr>
        <w:pStyle w:val="2"/>
        <w:spacing w:before="119" w:line="216" w:lineRule="auto"/>
        <w:ind w:left="1884"/>
        <w:rPr>
          <w:sz w:val="24"/>
          <w:szCs w:val="24"/>
        </w:rPr>
      </w:pPr>
      <w:r>
        <w:rPr>
          <w:spacing w:val="-21"/>
          <w:sz w:val="24"/>
          <w:szCs w:val="24"/>
        </w:rPr>
        <w:t>4.8现场各类井口作业完毕后应及时封盖好，井下或管道内作业时，必须落实专人监护。</w:t>
      </w:r>
    </w:p>
    <w:p w14:paraId="22C84D92">
      <w:pPr>
        <w:spacing w:line="250" w:lineRule="auto"/>
        <w:rPr>
          <w:rFonts w:ascii="Arial"/>
          <w:sz w:val="21"/>
        </w:rPr>
      </w:pPr>
    </w:p>
    <w:p w14:paraId="21B3FABC">
      <w:pPr>
        <w:pStyle w:val="2"/>
        <w:spacing w:before="78" w:line="294" w:lineRule="auto"/>
        <w:ind w:left="1453" w:right="1409" w:firstLine="431"/>
        <w:rPr>
          <w:sz w:val="24"/>
          <w:szCs w:val="24"/>
        </w:rPr>
      </w:pPr>
      <w:r>
        <w:rPr>
          <w:spacing w:val="-23"/>
          <w:sz w:val="24"/>
          <w:szCs w:val="24"/>
        </w:rPr>
        <w:t>4.9施工涉及地下管线时，施工单位应根据有关单位的交底对地下管线进行现场标识，并安</w:t>
      </w:r>
      <w:r>
        <w:rPr>
          <w:spacing w:val="-20"/>
          <w:sz w:val="24"/>
          <w:szCs w:val="24"/>
        </w:rPr>
        <w:t>排专人进行挖掘现场的管线监护。</w:t>
      </w:r>
    </w:p>
    <w:p w14:paraId="10167D1C">
      <w:pPr>
        <w:pStyle w:val="2"/>
        <w:spacing w:line="219" w:lineRule="auto"/>
        <w:ind w:left="1983"/>
        <w:outlineLvl w:val="2"/>
        <w:rPr>
          <w:sz w:val="28"/>
          <w:szCs w:val="28"/>
        </w:rPr>
      </w:pPr>
      <w:bookmarkStart w:id="95" w:name="bookmark92"/>
      <w:bookmarkEnd w:id="95"/>
      <w:r>
        <w:rPr>
          <w:b/>
          <w:bCs/>
          <w:spacing w:val="-22"/>
          <w:sz w:val="28"/>
          <w:szCs w:val="28"/>
        </w:rPr>
        <w:t>七、其它安全措施</w:t>
      </w:r>
    </w:p>
    <w:p w14:paraId="7FECFFCE">
      <w:pPr>
        <w:pStyle w:val="2"/>
        <w:spacing w:before="103" w:line="218" w:lineRule="auto"/>
        <w:ind w:left="1903"/>
        <w:rPr>
          <w:sz w:val="24"/>
          <w:szCs w:val="24"/>
        </w:rPr>
      </w:pPr>
      <w:r>
        <w:rPr>
          <w:spacing w:val="-20"/>
          <w:sz w:val="24"/>
          <w:szCs w:val="24"/>
        </w:rPr>
        <w:t>1施工机具安全防护</w:t>
      </w:r>
    </w:p>
    <w:p w14:paraId="0F9576CD">
      <w:pPr>
        <w:pStyle w:val="2"/>
        <w:spacing w:before="115" w:line="278" w:lineRule="auto"/>
        <w:ind w:left="1456" w:right="1410" w:firstLine="447"/>
        <w:rPr>
          <w:sz w:val="24"/>
          <w:szCs w:val="24"/>
        </w:rPr>
      </w:pPr>
      <w:r>
        <w:rPr>
          <w:spacing w:val="-23"/>
          <w:sz w:val="24"/>
          <w:szCs w:val="24"/>
        </w:rPr>
        <w:t>1.1现场所有机械设备必须按照施工平面布置图进行布置和停放，</w:t>
      </w:r>
      <w:r>
        <w:rPr>
          <w:spacing w:val="-24"/>
          <w:sz w:val="24"/>
          <w:szCs w:val="24"/>
        </w:rPr>
        <w:t>机械设备的设置和使用必</w:t>
      </w:r>
      <w:r>
        <w:rPr>
          <w:spacing w:val="-20"/>
          <w:sz w:val="24"/>
          <w:szCs w:val="24"/>
        </w:rPr>
        <w:t>须严格遵守《施工现场机械设备安全管理规定》，现场机械有明显的安全标志和安全技术操作指示牌，具体要做到：</w:t>
      </w:r>
    </w:p>
    <w:p w14:paraId="690E266B">
      <w:pPr>
        <w:pStyle w:val="2"/>
        <w:spacing w:before="117" w:line="216" w:lineRule="auto"/>
        <w:ind w:left="1903"/>
        <w:rPr>
          <w:sz w:val="24"/>
          <w:szCs w:val="24"/>
        </w:rPr>
      </w:pPr>
      <w:r>
        <w:rPr>
          <w:spacing w:val="-21"/>
          <w:sz w:val="24"/>
          <w:szCs w:val="24"/>
        </w:rPr>
        <w:t>1.2搅拌机应搭设防砸、防雨操作棚。</w:t>
      </w:r>
    </w:p>
    <w:p w14:paraId="22416003">
      <w:pPr>
        <w:pStyle w:val="2"/>
        <w:spacing w:before="118" w:line="216" w:lineRule="auto"/>
        <w:ind w:left="1903"/>
        <w:rPr>
          <w:sz w:val="24"/>
          <w:szCs w:val="24"/>
        </w:rPr>
      </w:pPr>
      <w:r>
        <w:rPr>
          <w:spacing w:val="-21"/>
          <w:sz w:val="24"/>
          <w:szCs w:val="24"/>
        </w:rPr>
        <w:t>1.3所有机械设备应经常性清洁、润滑、紧固、调整、不超负荷和带病工作。</w:t>
      </w:r>
    </w:p>
    <w:p w14:paraId="0640899D">
      <w:pPr>
        <w:pStyle w:val="2"/>
        <w:spacing w:before="120" w:line="216" w:lineRule="auto"/>
        <w:ind w:left="1903"/>
        <w:rPr>
          <w:sz w:val="24"/>
          <w:szCs w:val="24"/>
        </w:rPr>
      </w:pPr>
      <w:r>
        <w:rPr>
          <w:spacing w:val="-21"/>
          <w:sz w:val="24"/>
          <w:szCs w:val="24"/>
        </w:rPr>
        <w:t>1.4起重作业要遵守“十不吊”的原则，履带吊司机和指挥坚守岗位。</w:t>
      </w:r>
    </w:p>
    <w:p w14:paraId="73CB1E3E">
      <w:pPr>
        <w:pStyle w:val="2"/>
        <w:spacing w:before="121" w:line="215" w:lineRule="auto"/>
        <w:ind w:left="1903"/>
        <w:rPr>
          <w:sz w:val="24"/>
          <w:szCs w:val="24"/>
        </w:rPr>
      </w:pPr>
      <w:r>
        <w:rPr>
          <w:spacing w:val="-20"/>
          <w:sz w:val="24"/>
          <w:szCs w:val="24"/>
        </w:rPr>
        <w:t>1.5机械在停用、停电时必须切断电源。</w:t>
      </w:r>
    </w:p>
    <w:p w14:paraId="32AB0360">
      <w:pPr>
        <w:pStyle w:val="2"/>
        <w:spacing w:before="119" w:line="262" w:lineRule="auto"/>
        <w:ind w:left="1460" w:right="1410" w:firstLine="443"/>
        <w:rPr>
          <w:sz w:val="24"/>
          <w:szCs w:val="24"/>
        </w:rPr>
      </w:pPr>
      <w:r>
        <w:rPr>
          <w:spacing w:val="-23"/>
          <w:sz w:val="24"/>
          <w:szCs w:val="24"/>
        </w:rPr>
        <w:t>1.6对新技术、新材料、新工艺、新设备的使用，在制定操</w:t>
      </w:r>
      <w:r>
        <w:rPr>
          <w:spacing w:val="-24"/>
          <w:sz w:val="24"/>
          <w:szCs w:val="24"/>
        </w:rPr>
        <w:t>作规程的同时，必须制定安全操</w:t>
      </w:r>
      <w:r>
        <w:rPr>
          <w:spacing w:val="-16"/>
          <w:sz w:val="24"/>
          <w:szCs w:val="24"/>
        </w:rPr>
        <w:t>作规程。</w:t>
      </w:r>
    </w:p>
    <w:p w14:paraId="3BE18CEF">
      <w:pPr>
        <w:spacing w:line="50" w:lineRule="auto"/>
        <w:rPr>
          <w:rFonts w:ascii="Arial"/>
          <w:sz w:val="2"/>
        </w:rPr>
      </w:pPr>
    </w:p>
    <w:tbl>
      <w:tblPr>
        <w:tblStyle w:val="6"/>
        <w:tblW w:w="8549" w:type="dxa"/>
        <w:tblInd w:w="167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806"/>
        <w:gridCol w:w="4743"/>
      </w:tblGrid>
      <w:tr w14:paraId="7821ED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7" w:hRule="atLeast"/>
        </w:trPr>
        <w:tc>
          <w:tcPr>
            <w:tcW w:w="3806" w:type="dxa"/>
            <w:tcBorders>
              <w:top w:val="single" w:color="000000" w:sz="4" w:space="0"/>
              <w:left w:val="single" w:color="000000" w:sz="4" w:space="0"/>
            </w:tcBorders>
            <w:shd w:val="clear" w:color="auto" w:fill="DEEAF6"/>
            <w:vAlign w:val="top"/>
          </w:tcPr>
          <w:p w14:paraId="04B88F78">
            <w:pPr>
              <w:spacing w:before="33" w:line="58" w:lineRule="exact"/>
              <w:ind w:firstLine="33"/>
            </w:pPr>
            <w:r>
              <w:rPr>
                <w:position w:val="-1"/>
              </w:rPr>
              <w:pict>
                <v:shape id="_x0000_s1982" o:spid="_x0000_s1982" style="height:3pt;width:187.6pt;" fillcolor="#DEEAF6" filled="t" stroked="f" coordsize="3752,60" path="m0,60l3751,60,3751,0,0,0,0,60xe">
                  <v:path/>
                  <v:fill on="t" focussize="0,0"/>
                  <v:stroke on="f"/>
                  <v:imagedata o:title=""/>
                  <o:lock v:ext="edit"/>
                  <w10:wrap type="none"/>
                  <w10:anchorlock/>
                </v:shape>
              </w:pict>
            </w:r>
          </w:p>
          <w:p w14:paraId="24984507">
            <w:pPr>
              <w:spacing w:line="2929" w:lineRule="exact"/>
              <w:ind w:firstLine="111"/>
            </w:pPr>
            <w:r>
              <w:rPr>
                <w:position w:val="-58"/>
              </w:rPr>
              <w:drawing>
                <wp:inline distT="0" distB="0" distL="0" distR="0">
                  <wp:extent cx="2270125" cy="1859915"/>
                  <wp:effectExtent l="0" t="0" r="0" b="0"/>
                  <wp:docPr id="778" name="IM 778"/>
                  <wp:cNvGraphicFramePr/>
                  <a:graphic xmlns:a="http://schemas.openxmlformats.org/drawingml/2006/main">
                    <a:graphicData uri="http://schemas.openxmlformats.org/drawingml/2006/picture">
                      <pic:pic xmlns:pic="http://schemas.openxmlformats.org/drawingml/2006/picture">
                        <pic:nvPicPr>
                          <pic:cNvPr id="778" name="IM 778"/>
                          <pic:cNvPicPr/>
                        </pic:nvPicPr>
                        <pic:blipFill>
                          <a:blip r:embed="rId612"/>
                          <a:stretch>
                            <a:fillRect/>
                          </a:stretch>
                        </pic:blipFill>
                        <pic:spPr>
                          <a:xfrm>
                            <a:off x="0" y="0"/>
                            <a:ext cx="2270759" cy="1859979"/>
                          </a:xfrm>
                          <a:prstGeom prst="rect">
                            <a:avLst/>
                          </a:prstGeom>
                        </pic:spPr>
                      </pic:pic>
                    </a:graphicData>
                  </a:graphic>
                </wp:inline>
              </w:drawing>
            </w:r>
          </w:p>
        </w:tc>
        <w:tc>
          <w:tcPr>
            <w:tcW w:w="4743" w:type="dxa"/>
            <w:tcBorders>
              <w:top w:val="single" w:color="5B9BD5" w:sz="4" w:space="0"/>
              <w:right w:val="single" w:color="5B9BD5" w:sz="4" w:space="0"/>
            </w:tcBorders>
            <w:shd w:val="clear" w:color="auto" w:fill="DEEAF6"/>
            <w:vAlign w:val="top"/>
          </w:tcPr>
          <w:p w14:paraId="2EDC4575">
            <w:pPr>
              <w:spacing w:before="33" w:line="60" w:lineRule="exact"/>
              <w:ind w:firstLine="24"/>
            </w:pPr>
            <w:r>
              <w:rPr>
                <w:position w:val="-1"/>
              </w:rPr>
              <w:pict>
                <v:shape id="_x0000_s1984" o:spid="_x0000_s1984" style="height:3pt;width:233.95pt;" fillcolor="#DEEAF6" filled="t" stroked="f" coordsize="4678,60" path="m0,60l4678,60,4678,0,0,0,0,60xe">
                  <v:path/>
                  <v:fill on="t" focussize="0,0"/>
                  <v:stroke on="f"/>
                  <v:imagedata o:title=""/>
                  <o:lock v:ext="edit"/>
                  <w10:wrap type="none"/>
                  <w10:anchorlock/>
                </v:shape>
              </w:pict>
            </w:r>
          </w:p>
          <w:p w14:paraId="3CD145E9">
            <w:pPr>
              <w:spacing w:before="11" w:line="2901" w:lineRule="exact"/>
              <w:ind w:firstLine="81"/>
            </w:pPr>
            <w:r>
              <w:rPr>
                <w:position w:val="-58"/>
              </w:rPr>
              <w:drawing>
                <wp:inline distT="0" distB="0" distL="0" distR="0">
                  <wp:extent cx="2884805" cy="1841500"/>
                  <wp:effectExtent l="0" t="0" r="0" b="0"/>
                  <wp:docPr id="780" name="IM 780"/>
                  <wp:cNvGraphicFramePr/>
                  <a:graphic xmlns:a="http://schemas.openxmlformats.org/drawingml/2006/main">
                    <a:graphicData uri="http://schemas.openxmlformats.org/drawingml/2006/picture">
                      <pic:pic xmlns:pic="http://schemas.openxmlformats.org/drawingml/2006/picture">
                        <pic:nvPicPr>
                          <pic:cNvPr id="780" name="IM 780"/>
                          <pic:cNvPicPr/>
                        </pic:nvPicPr>
                        <pic:blipFill>
                          <a:blip r:embed="rId613"/>
                          <a:stretch>
                            <a:fillRect/>
                          </a:stretch>
                        </pic:blipFill>
                        <pic:spPr>
                          <a:xfrm>
                            <a:off x="0" y="0"/>
                            <a:ext cx="2884805" cy="1842134"/>
                          </a:xfrm>
                          <a:prstGeom prst="rect">
                            <a:avLst/>
                          </a:prstGeom>
                        </pic:spPr>
                      </pic:pic>
                    </a:graphicData>
                  </a:graphic>
                </wp:inline>
              </w:drawing>
            </w:r>
          </w:p>
        </w:tc>
      </w:tr>
      <w:tr w14:paraId="7B8BCF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7" w:hRule="atLeast"/>
        </w:trPr>
        <w:tc>
          <w:tcPr>
            <w:tcW w:w="8549" w:type="dxa"/>
            <w:gridSpan w:val="2"/>
            <w:tcBorders>
              <w:left w:val="single" w:color="000000" w:sz="4" w:space="0"/>
              <w:right w:val="single" w:color="000000" w:sz="4" w:space="0"/>
            </w:tcBorders>
            <w:vAlign w:val="top"/>
          </w:tcPr>
          <w:p w14:paraId="0D96969B">
            <w:pPr>
              <w:pStyle w:val="7"/>
              <w:spacing w:before="116" w:line="218" w:lineRule="auto"/>
              <w:ind w:left="3521"/>
            </w:pPr>
            <w:r>
              <w:rPr>
                <w:spacing w:val="-18"/>
              </w:rPr>
              <w:t>施工机具防护棚</w:t>
            </w:r>
          </w:p>
        </w:tc>
      </w:tr>
      <w:tr w14:paraId="79A409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90" w:hRule="atLeast"/>
        </w:trPr>
        <w:tc>
          <w:tcPr>
            <w:tcW w:w="3806" w:type="dxa"/>
            <w:tcBorders>
              <w:left w:val="single" w:color="000000" w:sz="4" w:space="0"/>
            </w:tcBorders>
            <w:vAlign w:val="top"/>
          </w:tcPr>
          <w:p w14:paraId="7F68EF3D">
            <w:pPr>
              <w:spacing w:before="89" w:line="2880" w:lineRule="exact"/>
              <w:ind w:firstLine="111"/>
            </w:pPr>
            <w:r>
              <w:rPr>
                <w:position w:val="-57"/>
              </w:rPr>
              <w:drawing>
                <wp:inline distT="0" distB="0" distL="0" distR="0">
                  <wp:extent cx="2270125" cy="1828800"/>
                  <wp:effectExtent l="0" t="0" r="0" b="0"/>
                  <wp:docPr id="782" name="IM 782"/>
                  <wp:cNvGraphicFramePr/>
                  <a:graphic xmlns:a="http://schemas.openxmlformats.org/drawingml/2006/main">
                    <a:graphicData uri="http://schemas.openxmlformats.org/drawingml/2006/picture">
                      <pic:pic xmlns:pic="http://schemas.openxmlformats.org/drawingml/2006/picture">
                        <pic:nvPicPr>
                          <pic:cNvPr id="782" name="IM 782"/>
                          <pic:cNvPicPr/>
                        </pic:nvPicPr>
                        <pic:blipFill>
                          <a:blip r:embed="rId614"/>
                          <a:stretch>
                            <a:fillRect/>
                          </a:stretch>
                        </pic:blipFill>
                        <pic:spPr>
                          <a:xfrm>
                            <a:off x="0" y="0"/>
                            <a:ext cx="2270759" cy="1828800"/>
                          </a:xfrm>
                          <a:prstGeom prst="rect">
                            <a:avLst/>
                          </a:prstGeom>
                        </pic:spPr>
                      </pic:pic>
                    </a:graphicData>
                  </a:graphic>
                </wp:inline>
              </w:drawing>
            </w:r>
          </w:p>
        </w:tc>
        <w:tc>
          <w:tcPr>
            <w:tcW w:w="4743" w:type="dxa"/>
            <w:tcBorders>
              <w:right w:val="single" w:color="000000" w:sz="4" w:space="0"/>
            </w:tcBorders>
            <w:vAlign w:val="top"/>
          </w:tcPr>
          <w:p w14:paraId="676E344D">
            <w:pPr>
              <w:spacing w:before="77" w:line="2906" w:lineRule="exact"/>
              <w:ind w:firstLine="290"/>
            </w:pPr>
            <w:r>
              <w:rPr>
                <w:position w:val="-58"/>
              </w:rPr>
              <w:drawing>
                <wp:inline distT="0" distB="0" distL="0" distR="0">
                  <wp:extent cx="2618105" cy="1845310"/>
                  <wp:effectExtent l="0" t="0" r="0" b="0"/>
                  <wp:docPr id="784" name="IM 784"/>
                  <wp:cNvGraphicFramePr/>
                  <a:graphic xmlns:a="http://schemas.openxmlformats.org/drawingml/2006/main">
                    <a:graphicData uri="http://schemas.openxmlformats.org/drawingml/2006/picture">
                      <pic:pic xmlns:pic="http://schemas.openxmlformats.org/drawingml/2006/picture">
                        <pic:nvPicPr>
                          <pic:cNvPr id="784" name="IM 784"/>
                          <pic:cNvPicPr/>
                        </pic:nvPicPr>
                        <pic:blipFill>
                          <a:blip r:embed="rId615"/>
                          <a:stretch>
                            <a:fillRect/>
                          </a:stretch>
                        </pic:blipFill>
                        <pic:spPr>
                          <a:xfrm>
                            <a:off x="0" y="0"/>
                            <a:ext cx="2618105" cy="1845310"/>
                          </a:xfrm>
                          <a:prstGeom prst="rect">
                            <a:avLst/>
                          </a:prstGeom>
                        </pic:spPr>
                      </pic:pic>
                    </a:graphicData>
                  </a:graphic>
                </wp:inline>
              </w:drawing>
            </w:r>
          </w:p>
        </w:tc>
      </w:tr>
      <w:tr w14:paraId="0371B1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8549" w:type="dxa"/>
            <w:gridSpan w:val="2"/>
            <w:tcBorders>
              <w:left w:val="single" w:color="1C456A" w:sz="4" w:space="0"/>
              <w:bottom w:val="single" w:color="1C456A" w:sz="4" w:space="0"/>
              <w:right w:val="single" w:color="1C456A" w:sz="4" w:space="0"/>
            </w:tcBorders>
            <w:vAlign w:val="top"/>
          </w:tcPr>
          <w:p w14:paraId="10DEE128">
            <w:pPr>
              <w:pStyle w:val="7"/>
              <w:spacing w:before="105" w:line="217" w:lineRule="auto"/>
              <w:ind w:left="3084"/>
            </w:pPr>
            <w:r>
              <w:pict>
                <v:shape id="_x0000_s1986" o:spid="_x0000_s1986" style="position:absolute;left:0pt;margin-left:-0.25pt;margin-top:31.4pt;height:0.75pt;width:2.2pt;mso-position-horizontal-relative:page;mso-position-vertical-relative:page;z-index:251904000;mso-width-relative:page;mso-height-relative:page;" fillcolor="#5B9BD5" filled="t" stroked="f" coordsize="44,15" path="m0,14l43,14,43,0,0,0,0,14xe">
                  <v:path/>
                  <v:fill on="t" focussize="0,0"/>
                  <v:stroke on="f"/>
                  <v:imagedata o:title=""/>
                  <o:lock v:ext="edit"/>
                </v:shape>
              </w:pict>
            </w:r>
            <w:r>
              <w:rPr>
                <w:spacing w:val="-20"/>
              </w:rPr>
              <w:t>钢筋、木工等施工防护棚</w:t>
            </w:r>
          </w:p>
        </w:tc>
      </w:tr>
    </w:tbl>
    <w:p w14:paraId="56F5E216">
      <w:pPr>
        <w:pStyle w:val="2"/>
        <w:spacing w:before="114" w:line="217" w:lineRule="auto"/>
        <w:ind w:left="1888"/>
        <w:rPr>
          <w:sz w:val="24"/>
          <w:szCs w:val="24"/>
        </w:rPr>
      </w:pPr>
      <w:r>
        <w:rPr>
          <w:spacing w:val="-18"/>
          <w:sz w:val="24"/>
          <w:szCs w:val="24"/>
        </w:rPr>
        <w:t>2消防保卫管理</w:t>
      </w:r>
    </w:p>
    <w:p w14:paraId="7A80B593">
      <w:pPr>
        <w:pStyle w:val="2"/>
        <w:spacing w:before="120" w:line="217" w:lineRule="auto"/>
        <w:ind w:left="1888"/>
        <w:rPr>
          <w:sz w:val="24"/>
          <w:szCs w:val="24"/>
        </w:rPr>
      </w:pPr>
      <w:r>
        <w:rPr>
          <w:spacing w:val="-20"/>
          <w:sz w:val="24"/>
          <w:szCs w:val="24"/>
        </w:rPr>
        <w:t>2.1施工现场的消防通道必须畅通，配备足够消防器材，满足</w:t>
      </w:r>
      <w:r>
        <w:rPr>
          <w:spacing w:val="-21"/>
          <w:sz w:val="24"/>
          <w:szCs w:val="24"/>
        </w:rPr>
        <w:t>消防要求。</w:t>
      </w:r>
    </w:p>
    <w:p w14:paraId="375A93D0">
      <w:pPr>
        <w:pStyle w:val="2"/>
        <w:spacing w:before="116" w:line="215" w:lineRule="auto"/>
        <w:ind w:left="1888"/>
        <w:rPr>
          <w:sz w:val="24"/>
          <w:szCs w:val="24"/>
        </w:rPr>
      </w:pPr>
      <w:r>
        <w:rPr>
          <w:spacing w:val="-22"/>
          <w:sz w:val="24"/>
          <w:szCs w:val="24"/>
        </w:rPr>
        <w:t>2.2现场料场、库房的布局应合理规范，易燃易爆</w:t>
      </w:r>
      <w:r>
        <w:rPr>
          <w:spacing w:val="-23"/>
          <w:sz w:val="24"/>
          <w:szCs w:val="24"/>
        </w:rPr>
        <w:t>物品、有毒物品均设专库存放，设专人保</w:t>
      </w:r>
    </w:p>
    <w:p w14:paraId="16AA5607">
      <w:pPr>
        <w:spacing w:line="215" w:lineRule="auto"/>
        <w:rPr>
          <w:sz w:val="24"/>
          <w:szCs w:val="24"/>
        </w:rPr>
        <w:sectPr>
          <w:footerReference r:id="rId144" w:type="default"/>
          <w:pgSz w:w="11907" w:h="16839"/>
          <w:pgMar w:top="954" w:right="4" w:bottom="1038" w:left="0" w:header="499" w:footer="357" w:gutter="0"/>
          <w:pgBorders>
            <w:top w:val="none" w:sz="0" w:space="0"/>
            <w:left w:val="none" w:sz="0" w:space="0"/>
            <w:bottom w:val="none" w:sz="0" w:space="0"/>
            <w:right w:val="none" w:sz="0" w:space="0"/>
          </w:pgBorders>
          <w:cols w:space="720" w:num="1"/>
        </w:sectPr>
      </w:pPr>
    </w:p>
    <w:p w14:paraId="0A3CDC21">
      <w:pPr>
        <w:spacing w:line="250" w:lineRule="auto"/>
        <w:rPr>
          <w:rFonts w:ascii="Arial"/>
          <w:sz w:val="21"/>
        </w:rPr>
      </w:pPr>
    </w:p>
    <w:p w14:paraId="077E82B7">
      <w:pPr>
        <w:pStyle w:val="2"/>
        <w:spacing w:before="78" w:line="217" w:lineRule="auto"/>
        <w:ind w:left="1469"/>
        <w:rPr>
          <w:sz w:val="24"/>
          <w:szCs w:val="24"/>
        </w:rPr>
      </w:pPr>
      <w:r>
        <w:rPr>
          <w:spacing w:val="-23"/>
          <w:sz w:val="24"/>
          <w:szCs w:val="24"/>
        </w:rPr>
        <w:t>管，严格执行领用、回收制度。</w:t>
      </w:r>
    </w:p>
    <w:p w14:paraId="198FF9AF">
      <w:pPr>
        <w:pStyle w:val="2"/>
        <w:spacing w:before="119" w:line="216" w:lineRule="auto"/>
        <w:ind w:left="1888"/>
        <w:rPr>
          <w:sz w:val="24"/>
          <w:szCs w:val="24"/>
        </w:rPr>
      </w:pPr>
      <w:r>
        <w:rPr>
          <w:spacing w:val="-20"/>
          <w:sz w:val="24"/>
          <w:szCs w:val="24"/>
        </w:rPr>
        <w:t>2.3现场建立门卫巡逻护场制度，并实行凭证出入制度。</w:t>
      </w:r>
    </w:p>
    <w:p w14:paraId="1E06A40A">
      <w:pPr>
        <w:pStyle w:val="2"/>
        <w:spacing w:before="117" w:line="216" w:lineRule="auto"/>
        <w:ind w:left="1888"/>
        <w:rPr>
          <w:sz w:val="24"/>
          <w:szCs w:val="24"/>
        </w:rPr>
      </w:pPr>
      <w:r>
        <w:rPr>
          <w:spacing w:val="-20"/>
          <w:sz w:val="24"/>
          <w:szCs w:val="24"/>
        </w:rPr>
        <w:t>2.4各分项工程，各分管辖地实行“谁主管、谁负责”的原则。</w:t>
      </w:r>
    </w:p>
    <w:p w14:paraId="5C15748C">
      <w:pPr>
        <w:pStyle w:val="2"/>
        <w:spacing w:before="119" w:line="220" w:lineRule="auto"/>
        <w:ind w:left="1890"/>
        <w:rPr>
          <w:sz w:val="24"/>
          <w:szCs w:val="24"/>
        </w:rPr>
      </w:pPr>
      <w:r>
        <w:rPr>
          <w:spacing w:val="-15"/>
          <w:sz w:val="24"/>
          <w:szCs w:val="24"/>
        </w:rPr>
        <w:t>3施工用电</w:t>
      </w:r>
    </w:p>
    <w:p w14:paraId="73F390AC">
      <w:pPr>
        <w:pStyle w:val="2"/>
        <w:spacing w:before="115" w:line="262" w:lineRule="auto"/>
        <w:ind w:left="1469" w:right="1412" w:firstLine="420"/>
        <w:rPr>
          <w:sz w:val="24"/>
          <w:szCs w:val="24"/>
        </w:rPr>
      </w:pPr>
      <w:r>
        <w:rPr>
          <w:spacing w:val="-23"/>
          <w:sz w:val="24"/>
          <w:szCs w:val="24"/>
        </w:rPr>
        <w:t>3.1施工现场用电线路的设置和架设必须按当地有关规定与用电布置图进行。电缆线均应架</w:t>
      </w:r>
      <w:r>
        <w:rPr>
          <w:spacing w:val="-19"/>
          <w:sz w:val="24"/>
          <w:szCs w:val="24"/>
        </w:rPr>
        <w:t>空，穿越道路除防护套管外，埋置深度应超过0.2m，全部采用三相五线制。</w:t>
      </w:r>
    </w:p>
    <w:p w14:paraId="43ED3E23">
      <w:pPr>
        <w:pStyle w:val="2"/>
        <w:spacing w:before="119" w:line="262" w:lineRule="auto"/>
        <w:ind w:left="1455" w:right="1409" w:firstLine="434"/>
        <w:rPr>
          <w:sz w:val="24"/>
          <w:szCs w:val="24"/>
        </w:rPr>
      </w:pPr>
      <w:r>
        <w:rPr>
          <w:spacing w:val="-23"/>
          <w:sz w:val="24"/>
          <w:szCs w:val="24"/>
        </w:rPr>
        <w:t>3.2现场配电箱设有可靠有效的漏电保护器。动力、照明用电分开，与配电房内的漏电保护</w:t>
      </w:r>
      <w:r>
        <w:rPr>
          <w:spacing w:val="-21"/>
          <w:sz w:val="24"/>
          <w:szCs w:val="24"/>
        </w:rPr>
        <w:t>器形成二级保护，使施工用电更安全。</w:t>
      </w:r>
    </w:p>
    <w:p w14:paraId="7CEC5AAE">
      <w:pPr>
        <w:pStyle w:val="2"/>
        <w:spacing w:before="116" w:line="217" w:lineRule="auto"/>
        <w:ind w:left="1890"/>
        <w:rPr>
          <w:sz w:val="24"/>
          <w:szCs w:val="24"/>
        </w:rPr>
      </w:pPr>
      <w:r>
        <w:rPr>
          <w:spacing w:val="-20"/>
          <w:sz w:val="24"/>
          <w:szCs w:val="24"/>
        </w:rPr>
        <w:t>3.3现场所有配电箱应统一编号、上锁，专人保管，箱壳</w:t>
      </w:r>
      <w:r>
        <w:rPr>
          <w:spacing w:val="-21"/>
          <w:sz w:val="24"/>
          <w:szCs w:val="24"/>
        </w:rPr>
        <w:t>接地良好。</w:t>
      </w:r>
    </w:p>
    <w:p w14:paraId="7116DBDE">
      <w:pPr>
        <w:pStyle w:val="2"/>
        <w:spacing w:before="120" w:line="262" w:lineRule="auto"/>
        <w:ind w:left="1469" w:right="1411" w:firstLine="420"/>
        <w:rPr>
          <w:sz w:val="24"/>
          <w:szCs w:val="24"/>
        </w:rPr>
      </w:pPr>
      <w:r>
        <w:rPr>
          <w:spacing w:val="-23"/>
          <w:sz w:val="24"/>
          <w:szCs w:val="24"/>
        </w:rPr>
        <w:t>3.4施工用电的设备、电缆线、导线、漏电保护器等应有产品质量合格证。漏电保护器要经</w:t>
      </w:r>
      <w:r>
        <w:rPr>
          <w:spacing w:val="-22"/>
          <w:sz w:val="24"/>
          <w:szCs w:val="24"/>
        </w:rPr>
        <w:t>常检查，发现问题立即调换，熔丝要匹配。</w:t>
      </w:r>
    </w:p>
    <w:p w14:paraId="142E7E24">
      <w:pPr>
        <w:spacing w:line="56" w:lineRule="auto"/>
        <w:rPr>
          <w:rFonts w:ascii="Arial"/>
          <w:sz w:val="2"/>
        </w:rPr>
      </w:pPr>
    </w:p>
    <w:tbl>
      <w:tblPr>
        <w:tblStyle w:val="6"/>
        <w:tblW w:w="8549" w:type="dxa"/>
        <w:tblInd w:w="167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230"/>
        <w:gridCol w:w="4319"/>
      </w:tblGrid>
      <w:tr w14:paraId="08A090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04" w:hRule="atLeast"/>
        </w:trPr>
        <w:tc>
          <w:tcPr>
            <w:tcW w:w="4230" w:type="dxa"/>
            <w:tcBorders>
              <w:top w:val="single" w:color="000000" w:sz="4" w:space="0"/>
              <w:left w:val="single" w:color="000000" w:sz="4" w:space="0"/>
            </w:tcBorders>
            <w:shd w:val="clear" w:color="auto" w:fill="DEEAF6"/>
            <w:vAlign w:val="top"/>
          </w:tcPr>
          <w:p w14:paraId="4B2F1CE4">
            <w:pPr>
              <w:spacing w:before="33" w:line="60" w:lineRule="exact"/>
              <w:ind w:firstLine="33"/>
            </w:pPr>
            <w:r>
              <w:rPr>
                <w:position w:val="-1"/>
              </w:rPr>
              <w:pict>
                <v:shape id="_x0000_s1988" o:spid="_x0000_s1988" style="height:3pt;width:208.85pt;" fillcolor="#DEEAF6" filled="t" stroked="f" coordsize="4177,60" path="m0,60l4176,60,4176,0,0,0,0,60xe">
                  <v:path/>
                  <v:fill on="t" focussize="0,0"/>
                  <v:stroke on="f"/>
                  <v:imagedata o:title=""/>
                  <o:lock v:ext="edit"/>
                  <w10:wrap type="none"/>
                  <w10:anchorlock/>
                </v:shape>
              </w:pict>
            </w:r>
          </w:p>
          <w:p w14:paraId="783373CC">
            <w:pPr>
              <w:spacing w:before="35" w:line="3328" w:lineRule="exact"/>
              <w:ind w:firstLine="188"/>
            </w:pPr>
            <w:r>
              <w:rPr>
                <w:position w:val="-66"/>
              </w:rPr>
              <w:drawing>
                <wp:inline distT="0" distB="0" distL="0" distR="0">
                  <wp:extent cx="2442845" cy="2112645"/>
                  <wp:effectExtent l="0" t="0" r="0" b="0"/>
                  <wp:docPr id="788" name="IM 788"/>
                  <wp:cNvGraphicFramePr/>
                  <a:graphic xmlns:a="http://schemas.openxmlformats.org/drawingml/2006/main">
                    <a:graphicData uri="http://schemas.openxmlformats.org/drawingml/2006/picture">
                      <pic:pic xmlns:pic="http://schemas.openxmlformats.org/drawingml/2006/picture">
                        <pic:nvPicPr>
                          <pic:cNvPr id="788" name="IM 788"/>
                          <pic:cNvPicPr/>
                        </pic:nvPicPr>
                        <pic:blipFill>
                          <a:blip r:embed="rId616"/>
                          <a:stretch>
                            <a:fillRect/>
                          </a:stretch>
                        </pic:blipFill>
                        <pic:spPr>
                          <a:xfrm>
                            <a:off x="0" y="0"/>
                            <a:ext cx="2442845" cy="2113279"/>
                          </a:xfrm>
                          <a:prstGeom prst="rect">
                            <a:avLst/>
                          </a:prstGeom>
                        </pic:spPr>
                      </pic:pic>
                    </a:graphicData>
                  </a:graphic>
                </wp:inline>
              </w:drawing>
            </w:r>
          </w:p>
          <w:p w14:paraId="294B06CF">
            <w:pPr>
              <w:spacing w:before="193" w:line="44" w:lineRule="exact"/>
              <w:ind w:firstLine="11"/>
            </w:pPr>
            <w:r>
              <w:rPr>
                <w:position w:val="-2"/>
              </w:rPr>
              <w:pict>
                <v:shape id="_x0000_s1990" o:spid="_x0000_s1990" style="height:2.9pt;width:210.15pt;" fillcolor="#DEEAF6" filled="t" stroked="f" coordsize="4202,58" path="m0,57l4202,57,4202,0,0,0,0,57xe">
                  <v:path/>
                  <v:fill on="t" focussize="0,0"/>
                  <v:stroke on="f"/>
                  <v:imagedata o:title=""/>
                  <o:lock v:ext="edit"/>
                  <w10:wrap type="none"/>
                  <w10:anchorlock/>
                </v:shape>
              </w:pict>
            </w:r>
          </w:p>
        </w:tc>
        <w:tc>
          <w:tcPr>
            <w:tcW w:w="4319" w:type="dxa"/>
            <w:tcBorders>
              <w:top w:val="single" w:color="5B9BD5" w:sz="4" w:space="0"/>
              <w:right w:val="single" w:color="5B9BD5" w:sz="4" w:space="0"/>
            </w:tcBorders>
            <w:shd w:val="clear" w:color="auto" w:fill="DEEAF6"/>
            <w:vAlign w:val="top"/>
          </w:tcPr>
          <w:p w14:paraId="615ABFB2">
            <w:pPr>
              <w:spacing w:before="89" w:line="3403" w:lineRule="exact"/>
              <w:ind w:firstLine="142"/>
            </w:pPr>
            <w:r>
              <w:pict>
                <v:group id="_x0000_s1992" o:spid="_x0000_s1992" o:spt="203" style="position:absolute;left:0pt;margin-left:-0.5pt;margin-top:2.15pt;height:183.75pt;width:215.7pt;mso-position-horizontal-relative:page;mso-position-vertical-relative:page;z-index:251906048;mso-width-relative:page;mso-height-relative:page;" coordsize="4313,3675">
                  <o:lock v:ext="edit"/>
                  <v:shape id="_x0000_s1994" o:spid="_x0000_s1994" style="position:absolute;left:38;top:0;height:60;width:4253;" fillcolor="#DEEAF6" filled="t" stroked="f" coordsize="4253,60" path="m0,60l4253,60,4253,0,0,0,0,60xe">
                    <v:path/>
                    <v:fill on="t" focussize="0,0"/>
                    <v:stroke on="f"/>
                    <v:imagedata o:title=""/>
                    <o:lock v:ext="edit"/>
                  </v:shape>
                  <v:shape id="_x0000_s1996" o:spid="_x0000_s1996" style="position:absolute;left:0;top:3617;height:58;width:4313;" fillcolor="#DEEAF6" filled="t" stroked="f" coordsize="4313,58" path="m0,57l4313,57,4313,0,0,0,0,57xe">
                    <v:path/>
                    <v:fill on="t" focussize="0,0"/>
                    <v:stroke on="f"/>
                    <v:imagedata o:title=""/>
                    <o:lock v:ext="edit"/>
                  </v:shape>
                </v:group>
              </w:pict>
            </w:r>
            <w:r>
              <w:rPr>
                <w:position w:val="-68"/>
              </w:rPr>
              <w:drawing>
                <wp:inline distT="0" distB="0" distL="0" distR="0">
                  <wp:extent cx="2538095" cy="2160270"/>
                  <wp:effectExtent l="0" t="0" r="0" b="0"/>
                  <wp:docPr id="790" name="IM 790"/>
                  <wp:cNvGraphicFramePr/>
                  <a:graphic xmlns:a="http://schemas.openxmlformats.org/drawingml/2006/main">
                    <a:graphicData uri="http://schemas.openxmlformats.org/drawingml/2006/picture">
                      <pic:pic xmlns:pic="http://schemas.openxmlformats.org/drawingml/2006/picture">
                        <pic:nvPicPr>
                          <pic:cNvPr id="790" name="IM 790"/>
                          <pic:cNvPicPr/>
                        </pic:nvPicPr>
                        <pic:blipFill>
                          <a:blip r:embed="rId617"/>
                          <a:stretch>
                            <a:fillRect/>
                          </a:stretch>
                        </pic:blipFill>
                        <pic:spPr>
                          <a:xfrm>
                            <a:off x="0" y="0"/>
                            <a:ext cx="2538729" cy="2160904"/>
                          </a:xfrm>
                          <a:prstGeom prst="rect">
                            <a:avLst/>
                          </a:prstGeom>
                        </pic:spPr>
                      </pic:pic>
                    </a:graphicData>
                  </a:graphic>
                </wp:inline>
              </w:drawing>
            </w:r>
          </w:p>
        </w:tc>
      </w:tr>
      <w:tr w14:paraId="493489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2" w:hRule="atLeast"/>
        </w:trPr>
        <w:tc>
          <w:tcPr>
            <w:tcW w:w="4230" w:type="dxa"/>
            <w:tcBorders>
              <w:left w:val="single" w:color="1C456A" w:sz="4" w:space="0"/>
              <w:bottom w:val="single" w:color="1C456A" w:sz="4" w:space="0"/>
            </w:tcBorders>
            <w:vAlign w:val="top"/>
          </w:tcPr>
          <w:p w14:paraId="351EC57B">
            <w:pPr>
              <w:pStyle w:val="7"/>
              <w:spacing w:before="99" w:line="217" w:lineRule="auto"/>
              <w:ind w:left="1265"/>
            </w:pPr>
            <w:r>
              <w:pict>
                <v:shape id="_x0000_s1998" o:spid="_x0000_s1998" style="position:absolute;left:0pt;margin-left:-0.2pt;margin-top:31.15pt;height:0.75pt;width:2.2pt;mso-position-horizontal-relative:page;mso-position-vertical-relative:page;z-index:251905024;mso-width-relative:page;mso-height-relative:page;" fillcolor="#5B9BD5" filled="t" stroked="f" coordsize="44,15" path="m0,14l43,14,43,0,0,0,0,14xe">
                  <v:path/>
                  <v:fill on="t" focussize="0,0"/>
                  <v:stroke on="f"/>
                  <v:imagedata o:title=""/>
                  <o:lock v:ext="edit"/>
                </v:shape>
              </w:pict>
            </w:r>
            <w:r>
              <w:rPr>
                <w:spacing w:val="-20"/>
              </w:rPr>
              <w:t>架空电缆接零保护</w:t>
            </w:r>
          </w:p>
        </w:tc>
        <w:tc>
          <w:tcPr>
            <w:tcW w:w="4319" w:type="dxa"/>
            <w:tcBorders>
              <w:bottom w:val="single" w:color="5B9BD5" w:sz="4" w:space="0"/>
              <w:right w:val="single" w:color="5B9BD5" w:sz="4" w:space="0"/>
            </w:tcBorders>
            <w:vAlign w:val="top"/>
          </w:tcPr>
          <w:p w14:paraId="6E7A2F59">
            <w:pPr>
              <w:pStyle w:val="7"/>
              <w:spacing w:before="99" w:line="217" w:lineRule="auto"/>
              <w:ind w:left="1288"/>
            </w:pPr>
            <w:r>
              <w:rPr>
                <w:spacing w:val="-19"/>
              </w:rPr>
              <w:t>配电箱正确接线图</w:t>
            </w:r>
          </w:p>
        </w:tc>
      </w:tr>
    </w:tbl>
    <w:p w14:paraId="371E54D4">
      <w:pPr>
        <w:pStyle w:val="2"/>
        <w:spacing w:before="63" w:line="217" w:lineRule="auto"/>
        <w:ind w:left="4171"/>
        <w:outlineLvl w:val="1"/>
        <w:rPr>
          <w:sz w:val="30"/>
          <w:szCs w:val="30"/>
        </w:rPr>
      </w:pPr>
      <w:bookmarkStart w:id="96" w:name="bookmark93"/>
      <w:bookmarkEnd w:id="96"/>
      <w:r>
        <w:rPr>
          <w:b/>
          <w:bCs/>
          <w:color w:val="0070C0"/>
          <w:spacing w:val="-24"/>
          <w:sz w:val="30"/>
          <w:szCs w:val="30"/>
        </w:rPr>
        <w:t>第七节、安全保证承诺及措施</w:t>
      </w:r>
    </w:p>
    <w:p w14:paraId="38B9688E">
      <w:pPr>
        <w:pStyle w:val="2"/>
        <w:spacing w:before="99" w:line="299" w:lineRule="auto"/>
        <w:ind w:left="1459" w:right="1410" w:firstLine="442"/>
        <w:jc w:val="both"/>
        <w:rPr>
          <w:sz w:val="24"/>
          <w:szCs w:val="24"/>
        </w:rPr>
      </w:pPr>
      <w:r>
        <w:rPr>
          <w:spacing w:val="-20"/>
          <w:sz w:val="24"/>
          <w:szCs w:val="24"/>
        </w:rPr>
        <w:t>我公司郑重承诺，若我公司在本工程的投标活动中获得中标资格，保证施工项目有专门的</w:t>
      </w:r>
      <w:r>
        <w:rPr>
          <w:spacing w:val="-26"/>
          <w:sz w:val="24"/>
          <w:szCs w:val="24"/>
        </w:rPr>
        <w:t>安全管理人员和制度，且人员配备合理，制度健全，各道工序安全技术措</w:t>
      </w:r>
      <w:r>
        <w:rPr>
          <w:spacing w:val="-27"/>
          <w:sz w:val="24"/>
          <w:szCs w:val="24"/>
        </w:rPr>
        <w:t>施符合实际且满足JGJ59</w:t>
      </w:r>
      <w:r>
        <w:rPr>
          <w:spacing w:val="-21"/>
          <w:sz w:val="24"/>
          <w:szCs w:val="24"/>
        </w:rPr>
        <w:t>安全技术标准要求，且现场防火、社会治安安全措施得力。</w:t>
      </w:r>
    </w:p>
    <w:p w14:paraId="566CB291">
      <w:pPr>
        <w:pStyle w:val="2"/>
        <w:spacing w:line="220" w:lineRule="auto"/>
        <w:ind w:left="1981"/>
        <w:outlineLvl w:val="2"/>
        <w:rPr>
          <w:sz w:val="28"/>
          <w:szCs w:val="28"/>
        </w:rPr>
      </w:pPr>
      <w:bookmarkStart w:id="97" w:name="bookmark94"/>
      <w:bookmarkEnd w:id="97"/>
      <w:r>
        <w:rPr>
          <w:b/>
          <w:bCs/>
          <w:spacing w:val="-21"/>
          <w:sz w:val="28"/>
          <w:szCs w:val="28"/>
        </w:rPr>
        <w:t>一、安全管理</w:t>
      </w:r>
    </w:p>
    <w:p w14:paraId="3139BF7F">
      <w:pPr>
        <w:pStyle w:val="2"/>
        <w:spacing w:before="100" w:line="217" w:lineRule="auto"/>
        <w:ind w:left="1903"/>
        <w:rPr>
          <w:sz w:val="24"/>
          <w:szCs w:val="24"/>
        </w:rPr>
      </w:pPr>
      <w:r>
        <w:rPr>
          <w:spacing w:val="-12"/>
          <w:sz w:val="24"/>
          <w:szCs w:val="24"/>
        </w:rPr>
        <w:t>1.1安全生产责任制</w:t>
      </w:r>
    </w:p>
    <w:p w14:paraId="398B9870">
      <w:pPr>
        <w:pStyle w:val="2"/>
        <w:spacing w:before="120" w:line="307" w:lineRule="auto"/>
        <w:ind w:left="1457" w:right="1343" w:firstLine="435"/>
        <w:rPr>
          <w:sz w:val="24"/>
          <w:szCs w:val="24"/>
        </w:rPr>
      </w:pPr>
      <w:r>
        <w:rPr>
          <w:spacing w:val="-23"/>
          <w:sz w:val="24"/>
          <w:szCs w:val="24"/>
        </w:rPr>
        <w:t>按照安全生产责任管理要求，分别制定项目经理和技术</w:t>
      </w:r>
      <w:r>
        <w:rPr>
          <w:spacing w:val="-24"/>
          <w:sz w:val="24"/>
          <w:szCs w:val="24"/>
        </w:rPr>
        <w:t>负责人、总工长、施工员、安全员、</w:t>
      </w:r>
      <w:r>
        <w:rPr>
          <w:spacing w:val="-21"/>
          <w:sz w:val="24"/>
          <w:szCs w:val="24"/>
        </w:rPr>
        <w:t>班组长和操作人员的安全生产责任制并认真落实。同时办</w:t>
      </w:r>
      <w:r>
        <w:rPr>
          <w:spacing w:val="-22"/>
          <w:sz w:val="24"/>
          <w:szCs w:val="24"/>
        </w:rPr>
        <w:t>理人身意外伤害保险。</w:t>
      </w:r>
    </w:p>
    <w:p w14:paraId="2F3BA44C">
      <w:pPr>
        <w:pStyle w:val="2"/>
        <w:spacing w:line="218" w:lineRule="auto"/>
        <w:ind w:left="1903"/>
        <w:rPr>
          <w:sz w:val="24"/>
          <w:szCs w:val="24"/>
        </w:rPr>
      </w:pPr>
      <w:r>
        <w:rPr>
          <w:spacing w:val="-18"/>
          <w:sz w:val="24"/>
          <w:szCs w:val="24"/>
        </w:rPr>
        <w:t>1.2安全技术措施</w:t>
      </w:r>
    </w:p>
    <w:p w14:paraId="171E60F2">
      <w:pPr>
        <w:pStyle w:val="2"/>
        <w:spacing w:before="118" w:line="308" w:lineRule="auto"/>
        <w:ind w:left="1455" w:right="1353" w:firstLine="438"/>
        <w:rPr>
          <w:sz w:val="24"/>
          <w:szCs w:val="24"/>
        </w:rPr>
      </w:pPr>
      <w:r>
        <w:rPr>
          <w:spacing w:val="-20"/>
          <w:sz w:val="24"/>
          <w:szCs w:val="24"/>
        </w:rPr>
        <w:t>根据工程进度，对有可能对职工健康安全造成危害的部位施工时应编制相应的安全技术措施。安全技术措施应保证符合规范要求、针对性强、具有解决实际问题的作用。安全技术措施由项目技术负责人制定，项目经理审批。各工种应执行经审批的施工方案、作业指导书有关规</w:t>
      </w:r>
      <w:r>
        <w:rPr>
          <w:spacing w:val="-23"/>
          <w:sz w:val="24"/>
          <w:szCs w:val="24"/>
        </w:rPr>
        <w:t>定和国家发布的安全技术操作规程。安全员</w:t>
      </w:r>
      <w:r>
        <w:rPr>
          <w:spacing w:val="-24"/>
          <w:sz w:val="24"/>
          <w:szCs w:val="24"/>
        </w:rPr>
        <w:t>应组织有关人员对操作者进行认真的安全技术交底，</w:t>
      </w:r>
      <w:r>
        <w:rPr>
          <w:spacing w:val="-20"/>
          <w:sz w:val="24"/>
          <w:szCs w:val="24"/>
        </w:rPr>
        <w:t>项目经理保证其有效实施。</w:t>
      </w:r>
    </w:p>
    <w:p w14:paraId="37B678BA">
      <w:pPr>
        <w:spacing w:line="308" w:lineRule="auto"/>
        <w:rPr>
          <w:sz w:val="24"/>
          <w:szCs w:val="24"/>
        </w:rPr>
        <w:sectPr>
          <w:footerReference r:id="rId145" w:type="default"/>
          <w:pgSz w:w="11907" w:h="16839"/>
          <w:pgMar w:top="954" w:right="4" w:bottom="1038" w:left="0" w:header="499" w:footer="357" w:gutter="0"/>
          <w:pgBorders>
            <w:top w:val="none" w:sz="0" w:space="0"/>
            <w:left w:val="none" w:sz="0" w:space="0"/>
            <w:bottom w:val="none" w:sz="0" w:space="0"/>
            <w:right w:val="none" w:sz="0" w:space="0"/>
          </w:pgBorders>
          <w:cols w:space="720" w:num="1"/>
        </w:sectPr>
      </w:pPr>
    </w:p>
    <w:p w14:paraId="4CD66C36">
      <w:pPr>
        <w:spacing w:line="250" w:lineRule="auto"/>
        <w:rPr>
          <w:rFonts w:ascii="Arial"/>
          <w:sz w:val="21"/>
        </w:rPr>
      </w:pPr>
    </w:p>
    <w:p w14:paraId="38FE5484">
      <w:pPr>
        <w:pStyle w:val="2"/>
        <w:spacing w:before="78" w:line="218" w:lineRule="auto"/>
        <w:ind w:left="1903"/>
        <w:rPr>
          <w:sz w:val="24"/>
          <w:szCs w:val="24"/>
        </w:rPr>
      </w:pPr>
      <w:r>
        <w:rPr>
          <w:spacing w:val="-19"/>
          <w:sz w:val="24"/>
          <w:szCs w:val="24"/>
        </w:rPr>
        <w:t>1.3安全责任目标分解与考核</w:t>
      </w:r>
    </w:p>
    <w:p w14:paraId="2E9A34C8">
      <w:pPr>
        <w:pStyle w:val="2"/>
        <w:spacing w:before="115" w:line="308" w:lineRule="auto"/>
        <w:ind w:left="1457" w:right="1338" w:firstLine="436"/>
        <w:rPr>
          <w:sz w:val="24"/>
          <w:szCs w:val="24"/>
        </w:rPr>
      </w:pPr>
      <w:r>
        <w:rPr>
          <w:spacing w:val="-22"/>
          <w:sz w:val="24"/>
          <w:szCs w:val="24"/>
        </w:rPr>
        <w:t>项目部安全管理目标：重大事故“五无”（无坍</w:t>
      </w:r>
      <w:r>
        <w:rPr>
          <w:spacing w:val="-23"/>
          <w:sz w:val="24"/>
          <w:szCs w:val="24"/>
        </w:rPr>
        <w:t>塌、无火灾、无爆炸、无中毒、无坠落</w:t>
      </w:r>
      <w:r>
        <w:rPr>
          <w:spacing w:val="-40"/>
          <w:sz w:val="24"/>
          <w:szCs w:val="24"/>
        </w:rPr>
        <w:t>），</w:t>
      </w:r>
      <w:r>
        <w:rPr>
          <w:spacing w:val="-22"/>
          <w:sz w:val="24"/>
          <w:szCs w:val="24"/>
        </w:rPr>
        <w:t>减少一般事故，轻伤事故的频率不大于1%。项目部根据公司规定的安全管理目标，以思想教育</w:t>
      </w:r>
      <w:r>
        <w:rPr>
          <w:spacing w:val="-23"/>
          <w:sz w:val="24"/>
          <w:szCs w:val="24"/>
        </w:rPr>
        <w:t>为主、以强制手段为辅，将安全目标分解到班组，并在班组作业责任书或分</w:t>
      </w:r>
      <w:r>
        <w:rPr>
          <w:spacing w:val="-24"/>
          <w:sz w:val="24"/>
          <w:szCs w:val="24"/>
        </w:rPr>
        <w:t>包合同中予以明确。</w:t>
      </w:r>
      <w:r>
        <w:rPr>
          <w:spacing w:val="-20"/>
          <w:sz w:val="24"/>
          <w:szCs w:val="24"/>
        </w:rPr>
        <w:t>项目部在工程施工中应强化对安全生产目标的落实，及时进行严格考核。每一季度由安全员负</w:t>
      </w:r>
      <w:r>
        <w:rPr>
          <w:spacing w:val="-19"/>
          <w:sz w:val="24"/>
          <w:szCs w:val="24"/>
        </w:rPr>
        <w:t>责组织考核一次，并形成记录。项目部对考核结果奖优罚劣。凡</w:t>
      </w:r>
      <w:r>
        <w:rPr>
          <w:spacing w:val="-20"/>
          <w:sz w:val="24"/>
          <w:szCs w:val="24"/>
        </w:rPr>
        <w:t>连续两次考核不合格的分包、劳务供方予以解除合同关系。</w:t>
      </w:r>
    </w:p>
    <w:p w14:paraId="4B1812E9">
      <w:pPr>
        <w:pStyle w:val="2"/>
        <w:spacing w:before="1" w:line="215" w:lineRule="auto"/>
        <w:ind w:left="1903"/>
        <w:rPr>
          <w:sz w:val="24"/>
          <w:szCs w:val="24"/>
        </w:rPr>
      </w:pPr>
      <w:r>
        <w:rPr>
          <w:spacing w:val="-19"/>
          <w:sz w:val="24"/>
          <w:szCs w:val="24"/>
        </w:rPr>
        <w:t>1.4安全检查、安全教育</w:t>
      </w:r>
    </w:p>
    <w:p w14:paraId="303F9D39">
      <w:pPr>
        <w:pStyle w:val="2"/>
        <w:spacing w:before="117" w:line="216" w:lineRule="auto"/>
        <w:ind w:left="1903"/>
        <w:rPr>
          <w:sz w:val="24"/>
          <w:szCs w:val="24"/>
        </w:rPr>
      </w:pPr>
      <w:r>
        <w:rPr>
          <w:spacing w:val="-11"/>
          <w:sz w:val="24"/>
          <w:szCs w:val="24"/>
        </w:rPr>
        <w:t>1.4.1安全检查制度</w:t>
      </w:r>
    </w:p>
    <w:p w14:paraId="02643716">
      <w:pPr>
        <w:pStyle w:val="2"/>
        <w:spacing w:before="119" w:line="308" w:lineRule="auto"/>
        <w:ind w:left="1456" w:right="1409" w:firstLine="439"/>
        <w:rPr>
          <w:sz w:val="24"/>
          <w:szCs w:val="24"/>
        </w:rPr>
      </w:pPr>
      <w:r>
        <w:rPr>
          <w:spacing w:val="-20"/>
          <w:sz w:val="24"/>
          <w:szCs w:val="24"/>
        </w:rPr>
        <w:t>安全员负责整个项目安全检查，分包方工长对所分包工程进行安全检查，操作班组长对班组进行安全检查。每周由安全员组织安全例检，每月由项目经理组织汇总评价项目安全施工月</w:t>
      </w:r>
      <w:r>
        <w:rPr>
          <w:spacing w:val="-22"/>
          <w:sz w:val="24"/>
          <w:szCs w:val="24"/>
        </w:rPr>
        <w:t>报表报公司工程部。</w:t>
      </w:r>
    </w:p>
    <w:p w14:paraId="34CDCBA5">
      <w:pPr>
        <w:pStyle w:val="2"/>
        <w:spacing w:line="217" w:lineRule="auto"/>
        <w:ind w:left="1903"/>
        <w:rPr>
          <w:sz w:val="24"/>
          <w:szCs w:val="24"/>
        </w:rPr>
      </w:pPr>
      <w:r>
        <w:rPr>
          <w:spacing w:val="-18"/>
          <w:sz w:val="24"/>
          <w:szCs w:val="24"/>
        </w:rPr>
        <w:t>1.4.2建立健全安全教育制度</w:t>
      </w:r>
    </w:p>
    <w:p w14:paraId="3BD435F5">
      <w:pPr>
        <w:pStyle w:val="2"/>
        <w:spacing w:before="115" w:line="308" w:lineRule="auto"/>
        <w:ind w:left="1455" w:right="1335" w:firstLine="439"/>
        <w:rPr>
          <w:sz w:val="24"/>
          <w:szCs w:val="24"/>
        </w:rPr>
      </w:pPr>
      <w:r>
        <w:rPr>
          <w:spacing w:val="-20"/>
          <w:sz w:val="24"/>
          <w:szCs w:val="24"/>
        </w:rPr>
        <w:t>对参加施工的工人进入岗位前，均进行安全生产法规、制度、职责及安全纪律教育，并对全体场内施工人员进行上岗后的经常性安全技术教育、变换工种再教育与季节性安全教育；在施工进程中定期或不定期地组织安全防范教育。班组每天上岗前须进行针对性安全教育。班前安全活动由班组长组织，由班组安全员或安全意识强、安全技术高的老工人进行讲解。活动时</w:t>
      </w:r>
      <w:r>
        <w:rPr>
          <w:spacing w:val="-21"/>
          <w:sz w:val="24"/>
          <w:szCs w:val="24"/>
        </w:rPr>
        <w:t>间一般为10-15分钟。班前安全活动的内容和出席情况应明确，班内安排专人记录。项目部安</w:t>
      </w:r>
      <w:r>
        <w:rPr>
          <w:spacing w:val="-20"/>
          <w:sz w:val="24"/>
          <w:szCs w:val="24"/>
        </w:rPr>
        <w:t>全员对班组安全活动的情况负有指导、督促、检查验证的责任。施工班组每周六进行本班组的讲评活动，总结本周安全施工活动情况，提出存在问题及整改措施，落实整改和验证人员，坚</w:t>
      </w:r>
      <w:r>
        <w:rPr>
          <w:spacing w:val="-23"/>
          <w:sz w:val="24"/>
          <w:szCs w:val="24"/>
        </w:rPr>
        <w:t>持经常性的总结、评比、整改和完善工作，不断增强职工的安全意识，提高安全操作</w:t>
      </w:r>
      <w:r>
        <w:rPr>
          <w:spacing w:val="-24"/>
          <w:sz w:val="24"/>
          <w:szCs w:val="24"/>
        </w:rPr>
        <w:t>技术水平。</w:t>
      </w:r>
    </w:p>
    <w:p w14:paraId="0CB5A876">
      <w:pPr>
        <w:pStyle w:val="2"/>
        <w:spacing w:line="218" w:lineRule="auto"/>
        <w:ind w:left="1903"/>
        <w:rPr>
          <w:sz w:val="24"/>
          <w:szCs w:val="24"/>
        </w:rPr>
      </w:pPr>
      <w:r>
        <w:rPr>
          <w:spacing w:val="-18"/>
          <w:sz w:val="24"/>
          <w:szCs w:val="24"/>
        </w:rPr>
        <w:t>1.4.3分部分项安全技术交底</w:t>
      </w:r>
    </w:p>
    <w:p w14:paraId="50BC4E5F">
      <w:pPr>
        <w:pStyle w:val="2"/>
        <w:spacing w:before="120" w:line="307" w:lineRule="auto"/>
        <w:ind w:left="1457" w:right="1339" w:firstLine="437"/>
        <w:jc w:val="both"/>
        <w:rPr>
          <w:sz w:val="24"/>
          <w:szCs w:val="24"/>
        </w:rPr>
      </w:pPr>
      <w:r>
        <w:rPr>
          <w:spacing w:val="-20"/>
          <w:sz w:val="24"/>
          <w:szCs w:val="24"/>
        </w:rPr>
        <w:t>在分部、分项工程正式施工前，由项目工长组织、安全员负责向班组长和操作工人进行安全技术交底，使接受交底的人员从设计情况、建筑结构特点、技术要求、工艺标准等方面详细</w:t>
      </w:r>
      <w:r>
        <w:rPr>
          <w:spacing w:val="-23"/>
          <w:sz w:val="24"/>
          <w:szCs w:val="24"/>
        </w:rPr>
        <w:t>地了解施工对象，以便科学地组织施工、合理地安排工艺，避免发生技术</w:t>
      </w:r>
      <w:r>
        <w:rPr>
          <w:spacing w:val="-24"/>
          <w:sz w:val="24"/>
          <w:szCs w:val="24"/>
        </w:rPr>
        <w:t>指导错误和操作错误。</w:t>
      </w:r>
      <w:r>
        <w:rPr>
          <w:spacing w:val="-20"/>
          <w:sz w:val="24"/>
          <w:szCs w:val="24"/>
        </w:rPr>
        <w:t>安全技术交底除有口头交底、文字交底外，必要时还可以用图样、实物、现场示范操作等形式</w:t>
      </w:r>
      <w:r>
        <w:rPr>
          <w:spacing w:val="-25"/>
          <w:sz w:val="24"/>
          <w:szCs w:val="24"/>
        </w:rPr>
        <w:t>进行，同时填写《安全技术交底记录单》，并由有关人员签字存档。</w:t>
      </w:r>
    </w:p>
    <w:p w14:paraId="0179DB3E">
      <w:pPr>
        <w:pStyle w:val="2"/>
        <w:spacing w:before="1" w:line="216" w:lineRule="auto"/>
        <w:ind w:left="1903"/>
        <w:rPr>
          <w:sz w:val="24"/>
          <w:szCs w:val="24"/>
        </w:rPr>
      </w:pPr>
      <w:r>
        <w:rPr>
          <w:spacing w:val="-18"/>
          <w:sz w:val="24"/>
          <w:szCs w:val="24"/>
        </w:rPr>
        <w:t>1.5特种作业持证上岗</w:t>
      </w:r>
    </w:p>
    <w:p w14:paraId="4FE9CC0E">
      <w:pPr>
        <w:pStyle w:val="2"/>
        <w:spacing w:before="120" w:line="307" w:lineRule="auto"/>
        <w:ind w:left="1457" w:right="1410" w:firstLine="437"/>
        <w:rPr>
          <w:sz w:val="24"/>
          <w:szCs w:val="24"/>
        </w:rPr>
      </w:pPr>
      <w:r>
        <w:rPr>
          <w:spacing w:val="-20"/>
          <w:sz w:val="24"/>
          <w:szCs w:val="24"/>
        </w:rPr>
        <w:t>对于电焊工、架子工、机械工、吊车司机等特种作业人员必须经培训、考试后持国家相关</w:t>
      </w:r>
      <w:r>
        <w:rPr>
          <w:spacing w:val="-21"/>
          <w:sz w:val="24"/>
          <w:szCs w:val="24"/>
        </w:rPr>
        <w:t>部门颁发的岗位证书上岗作业。</w:t>
      </w:r>
    </w:p>
    <w:p w14:paraId="5888FDAA">
      <w:pPr>
        <w:pStyle w:val="2"/>
        <w:spacing w:before="1" w:line="219" w:lineRule="auto"/>
        <w:ind w:left="1903"/>
        <w:rPr>
          <w:sz w:val="24"/>
          <w:szCs w:val="24"/>
        </w:rPr>
      </w:pPr>
      <w:r>
        <w:rPr>
          <w:spacing w:val="-18"/>
          <w:sz w:val="24"/>
          <w:szCs w:val="24"/>
        </w:rPr>
        <w:t>1.6事故预控措施</w:t>
      </w:r>
    </w:p>
    <w:p w14:paraId="0DEF5D1C">
      <w:pPr>
        <w:pStyle w:val="2"/>
        <w:spacing w:before="115" w:line="308" w:lineRule="auto"/>
        <w:ind w:left="1458" w:right="1353" w:firstLine="435"/>
        <w:rPr>
          <w:sz w:val="24"/>
          <w:szCs w:val="24"/>
        </w:rPr>
      </w:pPr>
      <w:r>
        <w:rPr>
          <w:spacing w:val="-29"/>
          <w:sz w:val="24"/>
          <w:szCs w:val="24"/>
        </w:rPr>
        <w:t>根据事故发生的原因，结合项目部实际情况，编制详细、有针对性的《安全事故预控措施》，</w:t>
      </w:r>
      <w:r>
        <w:rPr>
          <w:spacing w:val="-24"/>
          <w:sz w:val="24"/>
          <w:szCs w:val="24"/>
        </w:rPr>
        <w:t>分别对高空坠落、触电、火灾、机械伤人、落物伤人等事故逐一进行分析、识别和确认危险源，</w:t>
      </w:r>
      <w:r>
        <w:rPr>
          <w:spacing w:val="-21"/>
          <w:sz w:val="24"/>
          <w:szCs w:val="24"/>
        </w:rPr>
        <w:t>提出行之有效的预控措施并予以实施，以杜绝或减少事</w:t>
      </w:r>
      <w:r>
        <w:rPr>
          <w:spacing w:val="-22"/>
          <w:sz w:val="24"/>
          <w:szCs w:val="24"/>
        </w:rPr>
        <w:t>故的发生。</w:t>
      </w:r>
    </w:p>
    <w:p w14:paraId="3931BF80">
      <w:pPr>
        <w:pStyle w:val="2"/>
        <w:spacing w:line="219" w:lineRule="auto"/>
        <w:ind w:left="1903"/>
        <w:rPr>
          <w:sz w:val="24"/>
          <w:szCs w:val="24"/>
        </w:rPr>
      </w:pPr>
      <w:r>
        <w:rPr>
          <w:spacing w:val="-18"/>
          <w:sz w:val="24"/>
          <w:szCs w:val="24"/>
        </w:rPr>
        <w:t>1.7安全备案登记</w:t>
      </w:r>
    </w:p>
    <w:p w14:paraId="1E719F10">
      <w:pPr>
        <w:pStyle w:val="2"/>
        <w:spacing w:before="114" w:line="215" w:lineRule="auto"/>
        <w:ind w:left="1898"/>
        <w:rPr>
          <w:sz w:val="24"/>
          <w:szCs w:val="24"/>
        </w:rPr>
      </w:pPr>
      <w:r>
        <w:rPr>
          <w:spacing w:val="-20"/>
          <w:sz w:val="24"/>
          <w:szCs w:val="24"/>
        </w:rPr>
        <w:t>工程开工后十日内应立即到质量安全监督站办理《安全备案登记》。在工程施工中，项目</w:t>
      </w:r>
    </w:p>
    <w:p w14:paraId="2EC24470">
      <w:pPr>
        <w:spacing w:line="215" w:lineRule="auto"/>
        <w:rPr>
          <w:sz w:val="24"/>
          <w:szCs w:val="24"/>
        </w:rPr>
        <w:sectPr>
          <w:footerReference r:id="rId146" w:type="default"/>
          <w:pgSz w:w="11907" w:h="16839"/>
          <w:pgMar w:top="954" w:right="4" w:bottom="1038" w:left="0" w:header="499" w:footer="357" w:gutter="0"/>
          <w:pgBorders>
            <w:top w:val="none" w:sz="0" w:space="0"/>
            <w:left w:val="none" w:sz="0" w:space="0"/>
            <w:bottom w:val="none" w:sz="0" w:space="0"/>
            <w:right w:val="none" w:sz="0" w:space="0"/>
          </w:pgBorders>
          <w:cols w:space="720" w:num="1"/>
        </w:sectPr>
      </w:pPr>
    </w:p>
    <w:p w14:paraId="48EAAFED">
      <w:pPr>
        <w:spacing w:line="249" w:lineRule="auto"/>
        <w:rPr>
          <w:rFonts w:ascii="Arial"/>
          <w:sz w:val="21"/>
        </w:rPr>
      </w:pPr>
    </w:p>
    <w:p w14:paraId="2B23BB05">
      <w:pPr>
        <w:pStyle w:val="2"/>
        <w:spacing w:before="78" w:line="308" w:lineRule="auto"/>
        <w:ind w:left="1456" w:right="1415"/>
        <w:rPr>
          <w:sz w:val="24"/>
          <w:szCs w:val="24"/>
        </w:rPr>
      </w:pPr>
      <w:r>
        <w:rPr>
          <w:spacing w:val="-21"/>
          <w:sz w:val="24"/>
          <w:szCs w:val="24"/>
        </w:rPr>
        <w:t>部要虚心接受多方面的监督，建立完善、有效运行HSE管理体系，为实现本项目安全生产目标</w:t>
      </w:r>
      <w:r>
        <w:rPr>
          <w:spacing w:val="-20"/>
          <w:sz w:val="24"/>
          <w:szCs w:val="24"/>
        </w:rPr>
        <w:t>和创建文明工地目标而努力。</w:t>
      </w:r>
    </w:p>
    <w:p w14:paraId="160ABF40">
      <w:pPr>
        <w:pStyle w:val="2"/>
        <w:spacing w:line="218" w:lineRule="auto"/>
        <w:ind w:left="1903"/>
        <w:rPr>
          <w:sz w:val="24"/>
          <w:szCs w:val="24"/>
        </w:rPr>
      </w:pPr>
      <w:r>
        <w:rPr>
          <w:spacing w:val="-18"/>
          <w:sz w:val="24"/>
          <w:szCs w:val="24"/>
        </w:rPr>
        <w:t>1.8工伤事故档案</w:t>
      </w:r>
    </w:p>
    <w:p w14:paraId="1714002F">
      <w:pPr>
        <w:pStyle w:val="2"/>
        <w:spacing w:before="116" w:line="299" w:lineRule="auto"/>
        <w:ind w:left="1456" w:right="1414" w:firstLine="437"/>
        <w:rPr>
          <w:sz w:val="24"/>
          <w:szCs w:val="24"/>
        </w:rPr>
      </w:pPr>
      <w:r>
        <w:rPr>
          <w:spacing w:val="-20"/>
          <w:sz w:val="24"/>
          <w:szCs w:val="24"/>
        </w:rPr>
        <w:t>项目部要建立项目工伤事故档案，其主要内容包括：工伤事故登记、工伤事故调查记录、事故隐患整改记录、工伤事故处理记录、工伤事故责任人及职工教育记录、重大伤亡事故报告</w:t>
      </w:r>
      <w:r>
        <w:rPr>
          <w:spacing w:val="-18"/>
          <w:sz w:val="24"/>
          <w:szCs w:val="24"/>
        </w:rPr>
        <w:t>等。</w:t>
      </w:r>
    </w:p>
    <w:p w14:paraId="2F264851">
      <w:pPr>
        <w:pStyle w:val="2"/>
        <w:spacing w:line="220" w:lineRule="auto"/>
        <w:ind w:left="1986"/>
        <w:outlineLvl w:val="2"/>
        <w:rPr>
          <w:sz w:val="28"/>
          <w:szCs w:val="28"/>
        </w:rPr>
      </w:pPr>
      <w:bookmarkStart w:id="98" w:name="bookmark95"/>
      <w:bookmarkEnd w:id="98"/>
      <w:r>
        <w:rPr>
          <w:b/>
          <w:bCs/>
          <w:spacing w:val="-22"/>
          <w:sz w:val="28"/>
          <w:szCs w:val="28"/>
        </w:rPr>
        <w:t>二、施工用电</w:t>
      </w:r>
    </w:p>
    <w:p w14:paraId="4E2E36AC">
      <w:pPr>
        <w:pStyle w:val="2"/>
        <w:spacing w:before="101" w:line="217" w:lineRule="auto"/>
        <w:ind w:left="1888"/>
        <w:rPr>
          <w:sz w:val="24"/>
          <w:szCs w:val="24"/>
        </w:rPr>
      </w:pPr>
      <w:r>
        <w:rPr>
          <w:spacing w:val="-18"/>
          <w:sz w:val="24"/>
          <w:szCs w:val="24"/>
        </w:rPr>
        <w:t>2.1施工用电的各项要求均按《施工现场临时用电安全技术规程》（JGJ</w:t>
      </w:r>
      <w:r>
        <w:rPr>
          <w:spacing w:val="-19"/>
          <w:sz w:val="24"/>
          <w:szCs w:val="24"/>
        </w:rPr>
        <w:t>46-2005）执行。</w:t>
      </w:r>
    </w:p>
    <w:p w14:paraId="780DFAB7">
      <w:pPr>
        <w:pStyle w:val="2"/>
        <w:spacing w:before="115" w:line="278" w:lineRule="auto"/>
        <w:ind w:left="1456" w:right="1415" w:firstLine="430"/>
        <w:rPr>
          <w:sz w:val="24"/>
          <w:szCs w:val="24"/>
        </w:rPr>
      </w:pPr>
      <w:r>
        <w:rPr>
          <w:spacing w:val="-22"/>
          <w:sz w:val="24"/>
          <w:szCs w:val="24"/>
        </w:rPr>
        <w:t>a、配电箱、开关箱内的电器必须可靠完好，不准使用破损、不合格的电器。配电箱、开关</w:t>
      </w:r>
      <w:r>
        <w:rPr>
          <w:spacing w:val="-20"/>
          <w:sz w:val="24"/>
          <w:szCs w:val="24"/>
        </w:rPr>
        <w:t>箱应装设在干燥防雨、通风场所。不得装设在易受外来固体物撞击、强烈振动的场所，且周围</w:t>
      </w:r>
      <w:r>
        <w:rPr>
          <w:spacing w:val="-21"/>
          <w:sz w:val="24"/>
          <w:szCs w:val="24"/>
        </w:rPr>
        <w:t>应有足够二人同时工作的空间和通道。</w:t>
      </w:r>
    </w:p>
    <w:p w14:paraId="63B92E5E">
      <w:pPr>
        <w:pStyle w:val="2"/>
        <w:spacing w:before="117" w:line="215" w:lineRule="auto"/>
        <w:ind w:left="1882"/>
        <w:rPr>
          <w:sz w:val="24"/>
          <w:szCs w:val="24"/>
        </w:rPr>
      </w:pPr>
      <w:r>
        <w:rPr>
          <w:spacing w:val="-21"/>
          <w:sz w:val="24"/>
          <w:szCs w:val="24"/>
        </w:rPr>
        <w:t>b、配电箱、开关箱中必须装设漏电保护器，且漏电保护器应在设备负荷线的首端处设置。</w:t>
      </w:r>
    </w:p>
    <w:p w14:paraId="578F1A88">
      <w:pPr>
        <w:pStyle w:val="2"/>
        <w:spacing w:before="123" w:line="262" w:lineRule="auto"/>
        <w:ind w:left="1456" w:right="1428" w:firstLine="434"/>
        <w:rPr>
          <w:sz w:val="24"/>
          <w:szCs w:val="24"/>
        </w:rPr>
      </w:pPr>
      <w:r>
        <w:rPr>
          <w:spacing w:val="-22"/>
          <w:sz w:val="24"/>
          <w:szCs w:val="24"/>
        </w:rPr>
        <w:t>c、配电箱、开关箱中导线的进线口和出线口应</w:t>
      </w:r>
      <w:r>
        <w:rPr>
          <w:spacing w:val="-23"/>
          <w:sz w:val="24"/>
          <w:szCs w:val="24"/>
        </w:rPr>
        <w:t>设在箱体的下底面，严禁设在箱体上顶面、</w:t>
      </w:r>
      <w:r>
        <w:rPr>
          <w:spacing w:val="-21"/>
          <w:sz w:val="24"/>
          <w:szCs w:val="24"/>
        </w:rPr>
        <w:t>侧面、后面或箱门处。</w:t>
      </w:r>
    </w:p>
    <w:p w14:paraId="3BC1327F">
      <w:pPr>
        <w:pStyle w:val="2"/>
        <w:spacing w:before="117" w:line="278" w:lineRule="auto"/>
        <w:ind w:left="1459" w:right="1412" w:firstLine="431"/>
        <w:rPr>
          <w:sz w:val="24"/>
          <w:szCs w:val="24"/>
        </w:rPr>
      </w:pPr>
      <w:r>
        <w:rPr>
          <w:spacing w:val="-22"/>
          <w:sz w:val="24"/>
          <w:szCs w:val="24"/>
        </w:rPr>
        <w:t>d、总配电箱应设在靠近电源的地区。分配电箱应装设在用电设备或负荷相对集中的</w:t>
      </w:r>
      <w:r>
        <w:rPr>
          <w:spacing w:val="-23"/>
          <w:sz w:val="24"/>
          <w:szCs w:val="24"/>
        </w:rPr>
        <w:t>地区。</w:t>
      </w:r>
      <w:r>
        <w:rPr>
          <w:spacing w:val="-21"/>
          <w:sz w:val="24"/>
          <w:szCs w:val="24"/>
        </w:rPr>
        <w:t>分配电箱与开关箱的距离不得超过30米。开关箱与其控制的固定式用电设备的水平距离不宜超</w:t>
      </w:r>
      <w:r>
        <w:rPr>
          <w:spacing w:val="9"/>
          <w:sz w:val="24"/>
          <w:szCs w:val="24"/>
        </w:rPr>
        <w:t>过3米。</w:t>
      </w:r>
    </w:p>
    <w:p w14:paraId="65556036">
      <w:pPr>
        <w:pStyle w:val="2"/>
        <w:spacing w:before="116" w:line="262" w:lineRule="auto"/>
        <w:ind w:left="1464" w:right="1412" w:firstLine="426"/>
        <w:rPr>
          <w:sz w:val="24"/>
          <w:szCs w:val="24"/>
        </w:rPr>
      </w:pPr>
      <w:r>
        <w:rPr>
          <w:spacing w:val="-21"/>
          <w:sz w:val="24"/>
          <w:szCs w:val="24"/>
        </w:rPr>
        <w:t>e、配电室应靠近电源，其天棚距离地面不得小于3米，且门向外开，并配锁。配电室耐火</w:t>
      </w:r>
      <w:r>
        <w:rPr>
          <w:spacing w:val="-19"/>
          <w:sz w:val="24"/>
          <w:szCs w:val="24"/>
        </w:rPr>
        <w:t>等级不低于3级，室内配置砂箱和干粉灭火器。</w:t>
      </w:r>
    </w:p>
    <w:p w14:paraId="65FC0BF9">
      <w:pPr>
        <w:pStyle w:val="2"/>
        <w:spacing w:before="119" w:line="262" w:lineRule="auto"/>
        <w:ind w:left="1459" w:right="1409" w:firstLine="430"/>
        <w:rPr>
          <w:sz w:val="24"/>
          <w:szCs w:val="24"/>
        </w:rPr>
      </w:pPr>
      <w:r>
        <w:rPr>
          <w:spacing w:val="-17"/>
          <w:sz w:val="24"/>
          <w:szCs w:val="24"/>
        </w:rPr>
        <w:t>f、电缆在室外直接埋地敷设的深度应不小于0.6米，并应在电缆上下各铺设不小于50毫</w:t>
      </w:r>
      <w:r>
        <w:rPr>
          <w:spacing w:val="-21"/>
          <w:sz w:val="24"/>
          <w:szCs w:val="24"/>
        </w:rPr>
        <w:t>米厚的细砂，然后覆盖砖等硬质保护层。</w:t>
      </w:r>
    </w:p>
    <w:p w14:paraId="39CC204A">
      <w:pPr>
        <w:pStyle w:val="2"/>
        <w:spacing w:before="120" w:line="217" w:lineRule="auto"/>
        <w:ind w:left="1888"/>
        <w:rPr>
          <w:sz w:val="24"/>
          <w:szCs w:val="24"/>
        </w:rPr>
      </w:pPr>
      <w:r>
        <w:rPr>
          <w:spacing w:val="-19"/>
          <w:sz w:val="24"/>
          <w:szCs w:val="24"/>
        </w:rPr>
        <w:t>2.2编制《施工用电组织设计》</w:t>
      </w:r>
    </w:p>
    <w:p w14:paraId="0473A11D">
      <w:pPr>
        <w:pStyle w:val="2"/>
        <w:spacing w:before="117" w:line="308" w:lineRule="auto"/>
        <w:ind w:left="1456" w:right="1410" w:firstLine="441"/>
        <w:rPr>
          <w:sz w:val="24"/>
          <w:szCs w:val="24"/>
        </w:rPr>
      </w:pPr>
      <w:r>
        <w:rPr>
          <w:spacing w:val="-20"/>
          <w:sz w:val="24"/>
          <w:szCs w:val="24"/>
        </w:rPr>
        <w:t>结合规范要求和本工程实际情况，由电气工程技术员编制详细的《施工用电组织设计》并经过技术负责人审核，经工程部批准后，严格按《施工用电组织设计》进行用电施工。若需变更，必须经审核、批准。</w:t>
      </w:r>
    </w:p>
    <w:p w14:paraId="585ED7BD">
      <w:pPr>
        <w:pStyle w:val="2"/>
        <w:spacing w:line="219" w:lineRule="auto"/>
        <w:ind w:left="1888"/>
        <w:rPr>
          <w:sz w:val="24"/>
          <w:szCs w:val="24"/>
        </w:rPr>
      </w:pPr>
      <w:r>
        <w:rPr>
          <w:spacing w:val="-16"/>
          <w:sz w:val="24"/>
          <w:szCs w:val="24"/>
        </w:rPr>
        <w:t>2.3施工用电管理</w:t>
      </w:r>
    </w:p>
    <w:p w14:paraId="5925B4E5">
      <w:pPr>
        <w:pStyle w:val="2"/>
        <w:spacing w:before="115" w:line="303" w:lineRule="auto"/>
        <w:ind w:left="1456" w:right="1410" w:firstLine="437"/>
        <w:rPr>
          <w:sz w:val="24"/>
          <w:szCs w:val="24"/>
        </w:rPr>
      </w:pPr>
      <w:r>
        <w:rPr>
          <w:spacing w:val="-20"/>
          <w:sz w:val="24"/>
          <w:szCs w:val="24"/>
        </w:rPr>
        <w:t>根据施工用电实际情况，应建立健全临时用电管理制度，明确各级用电安全责任人，定期进行用电检查并形成记录；做好工作巡查记录。施工用电采</w:t>
      </w:r>
      <w:r>
        <w:rPr>
          <w:spacing w:val="-21"/>
          <w:sz w:val="24"/>
          <w:szCs w:val="24"/>
        </w:rPr>
        <w:t>用TN-S（三相五线制）配电系统，</w:t>
      </w:r>
      <w:r>
        <w:rPr>
          <w:spacing w:val="-20"/>
          <w:sz w:val="24"/>
          <w:szCs w:val="24"/>
        </w:rPr>
        <w:t>按平面配电图作到三级配电二级保护（三级配电指：总箱、分箱、开关箱配电；二级保护指总箱、开关箱设漏电保护器）。开关箱，电器原件质量符合规范要求。在用电管理、施工现场与周围环境，接地与防雷、配电室及自备电源、配电线路、配电箱及开关箱、电动建筑机械和手</w:t>
      </w:r>
      <w:r>
        <w:rPr>
          <w:spacing w:val="-21"/>
          <w:sz w:val="24"/>
          <w:szCs w:val="24"/>
        </w:rPr>
        <w:t>持电动工具、照明等用电方面均严格按规范执行，确保用电</w:t>
      </w:r>
      <w:r>
        <w:rPr>
          <w:spacing w:val="-22"/>
          <w:sz w:val="24"/>
          <w:szCs w:val="24"/>
        </w:rPr>
        <w:t>安全。</w:t>
      </w:r>
    </w:p>
    <w:p w14:paraId="05D08B17">
      <w:pPr>
        <w:pStyle w:val="2"/>
        <w:spacing w:before="1" w:line="218" w:lineRule="auto"/>
        <w:ind w:left="1985"/>
        <w:outlineLvl w:val="2"/>
        <w:rPr>
          <w:sz w:val="28"/>
          <w:szCs w:val="28"/>
        </w:rPr>
      </w:pPr>
      <w:bookmarkStart w:id="99" w:name="bookmark96"/>
      <w:bookmarkEnd w:id="99"/>
      <w:r>
        <w:rPr>
          <w:b/>
          <w:bCs/>
          <w:spacing w:val="-23"/>
          <w:sz w:val="28"/>
          <w:szCs w:val="28"/>
        </w:rPr>
        <w:t>三、“三宝”、“四口”与临边防护</w:t>
      </w:r>
    </w:p>
    <w:p w14:paraId="425F17C6">
      <w:pPr>
        <w:pStyle w:val="2"/>
        <w:spacing w:before="105" w:line="218" w:lineRule="auto"/>
        <w:ind w:left="1890"/>
        <w:rPr>
          <w:sz w:val="24"/>
          <w:szCs w:val="24"/>
        </w:rPr>
      </w:pPr>
      <w:r>
        <w:rPr>
          <w:spacing w:val="-3"/>
          <w:sz w:val="24"/>
          <w:szCs w:val="24"/>
        </w:rPr>
        <w:t>3.1安全帽</w:t>
      </w:r>
    </w:p>
    <w:p w14:paraId="17A64AB3">
      <w:pPr>
        <w:pStyle w:val="2"/>
        <w:spacing w:before="116" w:line="307" w:lineRule="auto"/>
        <w:ind w:left="1455" w:right="1410" w:firstLine="440"/>
        <w:rPr>
          <w:sz w:val="24"/>
          <w:szCs w:val="24"/>
        </w:rPr>
      </w:pPr>
      <w:r>
        <w:rPr>
          <w:spacing w:val="-20"/>
          <w:sz w:val="24"/>
          <w:szCs w:val="24"/>
        </w:rPr>
        <w:t>安全帽必须经有关安检部门检验允许生产并具有出厂合格证方可使用。禁止任何人使用缺</w:t>
      </w:r>
      <w:r>
        <w:rPr>
          <w:spacing w:val="-21"/>
          <w:sz w:val="24"/>
          <w:szCs w:val="24"/>
        </w:rPr>
        <w:t>衬、缺带及破损安全帽。进入施工现场者必须佩戴好安全帽。</w:t>
      </w:r>
    </w:p>
    <w:p w14:paraId="16CBD712">
      <w:pPr>
        <w:spacing w:line="307" w:lineRule="auto"/>
        <w:rPr>
          <w:sz w:val="24"/>
          <w:szCs w:val="24"/>
        </w:rPr>
        <w:sectPr>
          <w:footerReference r:id="rId147" w:type="default"/>
          <w:pgSz w:w="11907" w:h="16839"/>
          <w:pgMar w:top="954" w:right="4" w:bottom="1038" w:left="0" w:header="499" w:footer="357" w:gutter="0"/>
          <w:pgBorders>
            <w:top w:val="none" w:sz="0" w:space="0"/>
            <w:left w:val="none" w:sz="0" w:space="0"/>
            <w:bottom w:val="none" w:sz="0" w:space="0"/>
            <w:right w:val="none" w:sz="0" w:space="0"/>
          </w:pgBorders>
          <w:cols w:space="720" w:num="1"/>
        </w:sectPr>
      </w:pPr>
    </w:p>
    <w:p w14:paraId="4D0C381E">
      <w:pPr>
        <w:spacing w:line="250" w:lineRule="auto"/>
        <w:rPr>
          <w:rFonts w:ascii="Arial"/>
          <w:sz w:val="21"/>
        </w:rPr>
      </w:pPr>
    </w:p>
    <w:p w14:paraId="66653021">
      <w:pPr>
        <w:pStyle w:val="2"/>
        <w:spacing w:before="78" w:line="216" w:lineRule="auto"/>
        <w:ind w:left="1890"/>
        <w:rPr>
          <w:sz w:val="24"/>
          <w:szCs w:val="24"/>
        </w:rPr>
      </w:pPr>
      <w:r>
        <w:rPr>
          <w:spacing w:val="-13"/>
          <w:sz w:val="24"/>
          <w:szCs w:val="24"/>
        </w:rPr>
        <w:t>3.2安全带</w:t>
      </w:r>
    </w:p>
    <w:p w14:paraId="018DF499">
      <w:pPr>
        <w:pStyle w:val="2"/>
        <w:spacing w:before="118" w:line="308" w:lineRule="auto"/>
        <w:ind w:left="1458" w:right="1414" w:firstLine="437"/>
        <w:rPr>
          <w:sz w:val="24"/>
          <w:szCs w:val="24"/>
        </w:rPr>
      </w:pPr>
      <w:r>
        <w:rPr>
          <w:spacing w:val="-20"/>
          <w:sz w:val="24"/>
          <w:szCs w:val="24"/>
        </w:rPr>
        <w:t>安全带须经有关部门检验合格，并且有出厂合格证及准用证方能使用。安全带应存放在干燥、通风的仓库内，避免高温、明火、强酸；安全带应高挂低用，不准将绳打结使用；不得任意拆除安全带上的部件。</w:t>
      </w:r>
    </w:p>
    <w:p w14:paraId="296A9887">
      <w:pPr>
        <w:pStyle w:val="2"/>
        <w:spacing w:before="1" w:line="219" w:lineRule="auto"/>
        <w:ind w:left="1890"/>
        <w:rPr>
          <w:sz w:val="24"/>
          <w:szCs w:val="24"/>
        </w:rPr>
      </w:pPr>
      <w:r>
        <w:rPr>
          <w:spacing w:val="-13"/>
          <w:sz w:val="24"/>
          <w:szCs w:val="24"/>
        </w:rPr>
        <w:t>3.3安全网</w:t>
      </w:r>
    </w:p>
    <w:p w14:paraId="0581BA72">
      <w:pPr>
        <w:pStyle w:val="2"/>
        <w:spacing w:before="112" w:line="308" w:lineRule="auto"/>
        <w:ind w:left="1456" w:right="1354" w:firstLine="439"/>
        <w:rPr>
          <w:sz w:val="24"/>
          <w:szCs w:val="24"/>
        </w:rPr>
      </w:pPr>
      <w:r>
        <w:rPr>
          <w:spacing w:val="-20"/>
          <w:sz w:val="24"/>
          <w:szCs w:val="24"/>
        </w:rPr>
        <w:t>安全网必须有出厂检验报告、合格证及准用证。安全网作为软防护层，用于脚手架底层硬</w:t>
      </w:r>
      <w:r>
        <w:rPr>
          <w:spacing w:val="-23"/>
          <w:sz w:val="24"/>
          <w:szCs w:val="24"/>
        </w:rPr>
        <w:t>防护层至顶层操作层间的(按实际需要)，网绳绑扎在内外大横杆上，平网不应距离作业层过</w:t>
      </w:r>
      <w:r>
        <w:rPr>
          <w:spacing w:val="-24"/>
          <w:sz w:val="24"/>
          <w:szCs w:val="24"/>
        </w:rPr>
        <w:t>远，</w:t>
      </w:r>
      <w:r>
        <w:rPr>
          <w:spacing w:val="-20"/>
          <w:sz w:val="24"/>
          <w:szCs w:val="24"/>
        </w:rPr>
        <w:t>应防止坠落时平网与作业层间小横杆的伤害。施工过程中要经常对安全网进行检查和维护，及</w:t>
      </w:r>
      <w:r>
        <w:rPr>
          <w:spacing w:val="-22"/>
          <w:sz w:val="24"/>
          <w:szCs w:val="24"/>
        </w:rPr>
        <w:t>时清理网内的其他杂物，不准使用残、破、缺的安全网。</w:t>
      </w:r>
    </w:p>
    <w:p w14:paraId="780332C6">
      <w:pPr>
        <w:pStyle w:val="2"/>
        <w:spacing w:line="219" w:lineRule="auto"/>
        <w:ind w:left="1890"/>
        <w:rPr>
          <w:sz w:val="24"/>
          <w:szCs w:val="24"/>
        </w:rPr>
      </w:pPr>
      <w:r>
        <w:rPr>
          <w:spacing w:val="-15"/>
          <w:sz w:val="24"/>
          <w:szCs w:val="24"/>
        </w:rPr>
        <w:t>3.4密目网</w:t>
      </w:r>
    </w:p>
    <w:p w14:paraId="21311CDF">
      <w:pPr>
        <w:pStyle w:val="2"/>
        <w:spacing w:before="117" w:line="307" w:lineRule="auto"/>
        <w:ind w:left="1455" w:right="1410" w:firstLine="437"/>
        <w:rPr>
          <w:sz w:val="24"/>
          <w:szCs w:val="24"/>
        </w:rPr>
      </w:pPr>
      <w:r>
        <w:rPr>
          <w:spacing w:val="-20"/>
          <w:sz w:val="24"/>
          <w:szCs w:val="24"/>
        </w:rPr>
        <w:t>建筑物四周应用密目式安全网沿脚手架外排立杆的内侧封闭维护。密目网必须有出厂合格</w:t>
      </w:r>
      <w:r>
        <w:rPr>
          <w:spacing w:val="-21"/>
          <w:sz w:val="24"/>
          <w:szCs w:val="24"/>
        </w:rPr>
        <w:t>证及准用证，网绳绑扎牢固，接缝严密，立网随施工进度同步</w:t>
      </w:r>
      <w:r>
        <w:rPr>
          <w:spacing w:val="-22"/>
          <w:sz w:val="24"/>
          <w:szCs w:val="24"/>
        </w:rPr>
        <w:t>向上延伸。</w:t>
      </w:r>
    </w:p>
    <w:p w14:paraId="41873D00">
      <w:pPr>
        <w:pStyle w:val="2"/>
        <w:spacing w:line="218" w:lineRule="auto"/>
        <w:ind w:left="1890"/>
        <w:rPr>
          <w:sz w:val="24"/>
          <w:szCs w:val="24"/>
        </w:rPr>
      </w:pPr>
      <w:r>
        <w:rPr>
          <w:spacing w:val="-17"/>
          <w:sz w:val="24"/>
          <w:szCs w:val="24"/>
        </w:rPr>
        <w:t>3.5“四口”及临边防护</w:t>
      </w:r>
    </w:p>
    <w:p w14:paraId="6AB29E1D">
      <w:pPr>
        <w:pStyle w:val="2"/>
        <w:spacing w:before="117" w:line="216" w:lineRule="auto"/>
        <w:ind w:left="1867"/>
        <w:rPr>
          <w:sz w:val="24"/>
          <w:szCs w:val="24"/>
        </w:rPr>
      </w:pPr>
      <w:r>
        <w:rPr>
          <w:spacing w:val="-19"/>
          <w:sz w:val="24"/>
          <w:szCs w:val="24"/>
        </w:rPr>
        <w:t>“四口”临边防护的具体措施按《建筑施工高处作业安全技术规范》（JGJ80-91）执行：</w:t>
      </w:r>
    </w:p>
    <w:p w14:paraId="3ECFEC54">
      <w:pPr>
        <w:pStyle w:val="2"/>
        <w:spacing w:before="118" w:line="262" w:lineRule="auto"/>
        <w:ind w:left="1457" w:right="1410" w:firstLine="429"/>
        <w:rPr>
          <w:sz w:val="24"/>
          <w:szCs w:val="24"/>
        </w:rPr>
      </w:pPr>
      <w:r>
        <w:rPr>
          <w:spacing w:val="-22"/>
          <w:sz w:val="24"/>
          <w:szCs w:val="24"/>
        </w:rPr>
        <w:t>a、施工现场附近的各类洞口、坑槽等处，除设置防护设施与安全标志外，夜间还应设红灯</w:t>
      </w:r>
      <w:r>
        <w:rPr>
          <w:spacing w:val="-21"/>
          <w:sz w:val="24"/>
          <w:szCs w:val="24"/>
        </w:rPr>
        <w:t>示警。安全通道口的上方应设双层硬木板作防护。</w:t>
      </w:r>
    </w:p>
    <w:p w14:paraId="12B98961">
      <w:pPr>
        <w:pStyle w:val="2"/>
        <w:spacing w:before="118" w:line="286" w:lineRule="auto"/>
        <w:ind w:left="1456" w:right="1357" w:firstLine="434"/>
        <w:rPr>
          <w:sz w:val="24"/>
          <w:szCs w:val="24"/>
        </w:rPr>
      </w:pPr>
      <w:r>
        <w:rPr>
          <w:spacing w:val="-19"/>
          <w:sz w:val="24"/>
          <w:szCs w:val="24"/>
        </w:rPr>
        <w:t>c、各种预留洞短边尺寸2.5～25cm的孔口，设置</w:t>
      </w:r>
      <w:r>
        <w:rPr>
          <w:spacing w:val="-20"/>
          <w:sz w:val="24"/>
          <w:szCs w:val="24"/>
        </w:rPr>
        <w:t>牢固的盖板。盖板应能防止挪动移位，并</w:t>
      </w:r>
      <w:r>
        <w:rPr>
          <w:spacing w:val="-25"/>
          <w:sz w:val="24"/>
          <w:szCs w:val="24"/>
        </w:rPr>
        <w:t>漆安全色标；短边大于25厘米的洞口可利用砼板内的钢筋构成防护网，上面满铺竹笆或硬木板；</w:t>
      </w:r>
      <w:r>
        <w:rPr>
          <w:spacing w:val="-21"/>
          <w:sz w:val="24"/>
          <w:szCs w:val="24"/>
        </w:rPr>
        <w:t>边长在1.5米以上的洞口，张挂安全平网并在四周设防护栏杆或按作业条件采用更</w:t>
      </w:r>
      <w:r>
        <w:rPr>
          <w:spacing w:val="-22"/>
          <w:sz w:val="24"/>
          <w:szCs w:val="24"/>
        </w:rPr>
        <w:t>合理的防护</w:t>
      </w:r>
      <w:r>
        <w:rPr>
          <w:spacing w:val="-21"/>
          <w:sz w:val="24"/>
          <w:szCs w:val="24"/>
        </w:rPr>
        <w:t>措施。</w:t>
      </w:r>
    </w:p>
    <w:p w14:paraId="65643231">
      <w:pPr>
        <w:pStyle w:val="2"/>
        <w:spacing w:before="114" w:line="262" w:lineRule="auto"/>
        <w:ind w:left="1460" w:right="1354" w:firstLine="430"/>
        <w:rPr>
          <w:sz w:val="24"/>
          <w:szCs w:val="24"/>
        </w:rPr>
      </w:pPr>
      <w:r>
        <w:rPr>
          <w:spacing w:val="-24"/>
          <w:sz w:val="24"/>
          <w:szCs w:val="24"/>
        </w:rPr>
        <w:t>d、防护栏杆应由上下两道横杆及栏杆柱组成。上杆离地高度1.2米，下杆</w:t>
      </w:r>
      <w:r>
        <w:rPr>
          <w:spacing w:val="-25"/>
          <w:sz w:val="24"/>
          <w:szCs w:val="24"/>
        </w:rPr>
        <w:t>离地高度为0.6m；</w:t>
      </w:r>
      <w:r>
        <w:rPr>
          <w:spacing w:val="-15"/>
          <w:sz w:val="24"/>
          <w:szCs w:val="24"/>
        </w:rPr>
        <w:t>作业层上应设0.18m高的踢脚板。</w:t>
      </w:r>
    </w:p>
    <w:p w14:paraId="5CF44328">
      <w:pPr>
        <w:pStyle w:val="2"/>
        <w:spacing w:before="69" w:line="217" w:lineRule="auto"/>
        <w:ind w:left="4171"/>
        <w:outlineLvl w:val="1"/>
        <w:rPr>
          <w:sz w:val="30"/>
          <w:szCs w:val="30"/>
        </w:rPr>
      </w:pPr>
      <w:bookmarkStart w:id="100" w:name="bookmark97"/>
      <w:bookmarkEnd w:id="100"/>
      <w:r>
        <w:rPr>
          <w:b/>
          <w:bCs/>
          <w:color w:val="0070C0"/>
          <w:spacing w:val="-24"/>
          <w:sz w:val="30"/>
          <w:szCs w:val="30"/>
        </w:rPr>
        <w:t>第八节、火灾及应急响应措施</w:t>
      </w:r>
    </w:p>
    <w:p w14:paraId="2EEB3CBE">
      <w:pPr>
        <w:pStyle w:val="2"/>
        <w:spacing w:before="62" w:line="217" w:lineRule="auto"/>
        <w:ind w:left="1981"/>
        <w:outlineLvl w:val="2"/>
        <w:rPr>
          <w:sz w:val="28"/>
          <w:szCs w:val="28"/>
        </w:rPr>
      </w:pPr>
      <w:bookmarkStart w:id="101" w:name="bookmark98"/>
      <w:bookmarkEnd w:id="101"/>
      <w:r>
        <w:rPr>
          <w:b/>
          <w:bCs/>
          <w:spacing w:val="-23"/>
          <w:sz w:val="28"/>
          <w:szCs w:val="28"/>
        </w:rPr>
        <w:t>一、事故事件和紧急情况清单</w:t>
      </w:r>
    </w:p>
    <w:p w14:paraId="677AE4E8">
      <w:pPr>
        <w:pStyle w:val="2"/>
        <w:spacing w:before="107" w:line="216" w:lineRule="auto"/>
        <w:ind w:left="1894"/>
        <w:rPr>
          <w:sz w:val="24"/>
          <w:szCs w:val="24"/>
        </w:rPr>
      </w:pPr>
      <w:r>
        <w:rPr>
          <w:spacing w:val="-19"/>
          <w:sz w:val="24"/>
          <w:szCs w:val="24"/>
        </w:rPr>
        <w:t>根据本工程特点、地理位置及周围环境情况，施工现场危险性较大分部分项工程及</w:t>
      </w:r>
      <w:r>
        <w:rPr>
          <w:spacing w:val="-20"/>
          <w:sz w:val="24"/>
          <w:szCs w:val="24"/>
        </w:rPr>
        <w:t>易发生</w:t>
      </w:r>
    </w:p>
    <w:p w14:paraId="3EAD1176">
      <w:pPr>
        <w:pStyle w:val="2"/>
        <w:spacing w:before="119" w:line="217" w:lineRule="auto"/>
        <w:ind w:left="1463"/>
        <w:rPr>
          <w:sz w:val="24"/>
          <w:szCs w:val="24"/>
        </w:rPr>
      </w:pPr>
      <w:r>
        <w:rPr>
          <w:spacing w:val="-21"/>
          <w:sz w:val="24"/>
          <w:szCs w:val="24"/>
        </w:rPr>
        <w:t>重大事故的部位和紧急情况清单如下：</w:t>
      </w:r>
    </w:p>
    <w:p w14:paraId="5F9514D4">
      <w:pPr>
        <w:spacing w:line="48" w:lineRule="auto"/>
        <w:rPr>
          <w:rFonts w:ascii="Arial"/>
          <w:sz w:val="2"/>
        </w:rPr>
      </w:pPr>
    </w:p>
    <w:tbl>
      <w:tblPr>
        <w:tblStyle w:val="6"/>
        <w:tblW w:w="9685" w:type="dxa"/>
        <w:tblInd w:w="111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00"/>
        <w:gridCol w:w="578"/>
        <w:gridCol w:w="2144"/>
        <w:gridCol w:w="6016"/>
        <w:gridCol w:w="747"/>
      </w:tblGrid>
      <w:tr w14:paraId="623A7F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3" w:hRule="atLeast"/>
        </w:trPr>
        <w:tc>
          <w:tcPr>
            <w:tcW w:w="778" w:type="dxa"/>
            <w:gridSpan w:val="2"/>
            <w:tcBorders>
              <w:top w:val="single" w:color="000000" w:sz="4" w:space="0"/>
              <w:left w:val="single" w:color="000000" w:sz="4" w:space="0"/>
            </w:tcBorders>
            <w:shd w:val="clear" w:color="auto" w:fill="DEEAF6"/>
            <w:vAlign w:val="top"/>
          </w:tcPr>
          <w:p w14:paraId="1B8EFB7C">
            <w:pPr>
              <w:spacing w:before="33" w:line="60" w:lineRule="exact"/>
              <w:ind w:firstLine="33"/>
            </w:pPr>
            <w:r>
              <w:pict>
                <v:shape id="_x0000_s2000" o:spid="_x0000_s2000" style="position:absolute;left:0pt;margin-left:-0.2pt;margin-top:0pt;height:0.75pt;width:2.2pt;mso-position-horizontal-relative:page;mso-position-vertical-relative:page;z-index:251910144;mso-width-relative:page;mso-height-relative:page;" fillcolor="#5B9BD5" filled="t" stroked="f" coordsize="44,15" path="m0,14l43,14,43,0,0,0,0,14xe">
                  <v:path/>
                  <v:fill on="t" focussize="0,0"/>
                  <v:stroke on="f"/>
                  <v:imagedata o:title=""/>
                  <o:lock v:ext="edit"/>
                </v:shape>
              </w:pict>
            </w:r>
            <w:r>
              <w:rPr>
                <w:position w:val="-1"/>
              </w:rPr>
              <w:pict>
                <v:shape id="_x0000_s2002" o:spid="_x0000_s2002" style="height:3pt;width:36.4pt;" fillcolor="#DEEAF6" filled="t" stroked="f" coordsize="728,60" path="m0,60l727,60,727,0,0,0,0,60xe">
                  <v:path/>
                  <v:fill on="t" focussize="0,0"/>
                  <v:stroke on="f"/>
                  <v:imagedata o:title=""/>
                  <o:lock v:ext="edit"/>
                  <w10:wrap type="none"/>
                  <w10:anchorlock/>
                </v:shape>
              </w:pict>
            </w:r>
          </w:p>
          <w:p w14:paraId="2778BBD5">
            <w:pPr>
              <w:pStyle w:val="7"/>
              <w:spacing w:before="33" w:line="218" w:lineRule="auto"/>
              <w:ind w:left="183"/>
            </w:pPr>
            <w:r>
              <w:rPr>
                <w:b/>
                <w:bCs/>
                <w:spacing w:val="-12"/>
              </w:rPr>
              <w:t>序号</w:t>
            </w:r>
          </w:p>
        </w:tc>
        <w:tc>
          <w:tcPr>
            <w:tcW w:w="2144" w:type="dxa"/>
            <w:tcBorders>
              <w:top w:val="single" w:color="000000" w:sz="4" w:space="0"/>
            </w:tcBorders>
            <w:shd w:val="clear" w:color="auto" w:fill="DEEAF6"/>
            <w:vAlign w:val="top"/>
          </w:tcPr>
          <w:p w14:paraId="42AD06DF">
            <w:pPr>
              <w:pStyle w:val="7"/>
              <w:spacing w:before="127" w:line="220" w:lineRule="auto"/>
              <w:ind w:left="863"/>
            </w:pPr>
            <w:r>
              <w:rPr>
                <w:b/>
                <w:bCs/>
                <w:spacing w:val="-13"/>
              </w:rPr>
              <w:t>类型</w:t>
            </w:r>
          </w:p>
        </w:tc>
        <w:tc>
          <w:tcPr>
            <w:tcW w:w="6016" w:type="dxa"/>
            <w:tcBorders>
              <w:top w:val="single" w:color="5B9BD5" w:sz="4" w:space="0"/>
              <w:right w:val="nil"/>
            </w:tcBorders>
            <w:shd w:val="clear" w:color="auto" w:fill="DEEAF6"/>
            <w:vAlign w:val="top"/>
          </w:tcPr>
          <w:p w14:paraId="43F5A796">
            <w:pPr>
              <w:pStyle w:val="7"/>
              <w:spacing w:before="127" w:line="215" w:lineRule="auto"/>
              <w:ind w:left="2946"/>
            </w:pPr>
            <w:r>
              <w:rPr>
                <w:b/>
                <w:bCs/>
                <w:spacing w:val="-19"/>
              </w:rPr>
              <w:t>潜在险情</w:t>
            </w:r>
          </w:p>
        </w:tc>
        <w:tc>
          <w:tcPr>
            <w:tcW w:w="747" w:type="dxa"/>
            <w:tcBorders>
              <w:top w:val="single" w:color="5B9BD5" w:sz="4" w:space="0"/>
              <w:left w:val="nil"/>
              <w:right w:val="single" w:color="5B9BD5" w:sz="4" w:space="0"/>
            </w:tcBorders>
            <w:shd w:val="clear" w:color="auto" w:fill="DEEAF6"/>
            <w:vAlign w:val="top"/>
          </w:tcPr>
          <w:p w14:paraId="77B9477F">
            <w:pPr>
              <w:rPr>
                <w:rFonts w:ascii="Arial"/>
                <w:sz w:val="21"/>
              </w:rPr>
            </w:pPr>
            <w:r>
              <w:pict>
                <v:shape id="_x0000_s2004" o:spid="_x0000_s2004" style="position:absolute;left:0pt;margin-left:35.5pt;margin-top:0pt;height:0.75pt;width:2.2pt;mso-position-horizontal-relative:page;mso-position-vertical-relative:page;z-index:251909120;mso-width-relative:page;mso-height-relative:page;" fillcolor="#5B9BD5" filled="t" stroked="f" coordsize="44,15" path="m0,14l43,14,43,0,0,0,0,14xe">
                  <v:path/>
                  <v:fill on="t" focussize="0,0"/>
                  <v:stroke on="f"/>
                  <v:imagedata o:title=""/>
                  <o:lock v:ext="edit"/>
                </v:shape>
              </w:pict>
            </w:r>
          </w:p>
        </w:tc>
      </w:tr>
      <w:tr w14:paraId="0C05B7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0" w:hRule="atLeast"/>
        </w:trPr>
        <w:tc>
          <w:tcPr>
            <w:tcW w:w="778" w:type="dxa"/>
            <w:gridSpan w:val="2"/>
            <w:tcBorders>
              <w:top w:val="single" w:color="DEEAF6" w:sz="22" w:space="0"/>
              <w:left w:val="single" w:color="000000" w:sz="4" w:space="0"/>
            </w:tcBorders>
            <w:vAlign w:val="top"/>
          </w:tcPr>
          <w:p w14:paraId="5F6DED26">
            <w:pPr>
              <w:pStyle w:val="7"/>
              <w:spacing w:before="80" w:line="238" w:lineRule="auto"/>
              <w:ind w:left="359"/>
            </w:pPr>
            <w:r>
              <w:t>1</w:t>
            </w:r>
          </w:p>
        </w:tc>
        <w:tc>
          <w:tcPr>
            <w:tcW w:w="2144" w:type="dxa"/>
            <w:tcBorders>
              <w:top w:val="single" w:color="DEEAF6" w:sz="22" w:space="0"/>
            </w:tcBorders>
            <w:vAlign w:val="top"/>
          </w:tcPr>
          <w:p w14:paraId="01E17A7D">
            <w:pPr>
              <w:pStyle w:val="7"/>
              <w:spacing w:before="79" w:line="219" w:lineRule="auto"/>
              <w:ind w:left="868"/>
            </w:pPr>
            <w:r>
              <w:rPr>
                <w:spacing w:val="-12"/>
              </w:rPr>
              <w:t>火灾</w:t>
            </w:r>
          </w:p>
        </w:tc>
        <w:tc>
          <w:tcPr>
            <w:tcW w:w="6763" w:type="dxa"/>
            <w:gridSpan w:val="2"/>
            <w:tcBorders>
              <w:top w:val="single" w:color="DEEAF6" w:sz="22" w:space="0"/>
              <w:right w:val="single" w:color="000000" w:sz="4" w:space="0"/>
            </w:tcBorders>
            <w:vAlign w:val="top"/>
          </w:tcPr>
          <w:p w14:paraId="57B20094">
            <w:pPr>
              <w:pStyle w:val="7"/>
              <w:spacing w:before="79" w:line="216" w:lineRule="auto"/>
              <w:ind w:left="2183"/>
            </w:pPr>
            <w:r>
              <w:rPr>
                <w:spacing w:val="-20"/>
              </w:rPr>
              <w:t>天气干燥、动火操作不当</w:t>
            </w:r>
          </w:p>
        </w:tc>
      </w:tr>
      <w:tr w14:paraId="4D5421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4" w:hRule="atLeast"/>
        </w:trPr>
        <w:tc>
          <w:tcPr>
            <w:tcW w:w="778" w:type="dxa"/>
            <w:gridSpan w:val="2"/>
            <w:tcBorders>
              <w:left w:val="single" w:color="000000" w:sz="4" w:space="0"/>
            </w:tcBorders>
            <w:vAlign w:val="top"/>
          </w:tcPr>
          <w:p w14:paraId="4917FE69">
            <w:pPr>
              <w:pStyle w:val="7"/>
              <w:spacing w:before="95" w:line="238" w:lineRule="auto"/>
              <w:ind w:left="344"/>
            </w:pPr>
            <w:r>
              <w:t>2</w:t>
            </w:r>
          </w:p>
        </w:tc>
        <w:tc>
          <w:tcPr>
            <w:tcW w:w="2144" w:type="dxa"/>
            <w:vAlign w:val="top"/>
          </w:tcPr>
          <w:p w14:paraId="65A5C8F3">
            <w:pPr>
              <w:pStyle w:val="7"/>
              <w:spacing w:before="95" w:line="219" w:lineRule="auto"/>
              <w:ind w:left="643"/>
            </w:pPr>
            <w:r>
              <w:rPr>
                <w:spacing w:val="-16"/>
              </w:rPr>
              <w:t>坍塌事故</w:t>
            </w:r>
          </w:p>
        </w:tc>
        <w:tc>
          <w:tcPr>
            <w:tcW w:w="6763" w:type="dxa"/>
            <w:gridSpan w:val="2"/>
            <w:tcBorders>
              <w:right w:val="single" w:color="000000" w:sz="4" w:space="0"/>
            </w:tcBorders>
            <w:vAlign w:val="top"/>
          </w:tcPr>
          <w:p w14:paraId="74C597CF">
            <w:pPr>
              <w:pStyle w:val="7"/>
              <w:spacing w:before="95" w:line="216" w:lineRule="auto"/>
              <w:ind w:left="2946"/>
            </w:pPr>
            <w:r>
              <w:rPr>
                <w:spacing w:val="-15"/>
              </w:rPr>
              <w:t>基坑作业</w:t>
            </w:r>
          </w:p>
        </w:tc>
      </w:tr>
      <w:tr w14:paraId="714FFC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4" w:hRule="atLeast"/>
        </w:trPr>
        <w:tc>
          <w:tcPr>
            <w:tcW w:w="778" w:type="dxa"/>
            <w:gridSpan w:val="2"/>
            <w:tcBorders>
              <w:left w:val="single" w:color="000000" w:sz="4" w:space="0"/>
            </w:tcBorders>
            <w:vAlign w:val="top"/>
          </w:tcPr>
          <w:p w14:paraId="08D0C54F">
            <w:pPr>
              <w:pStyle w:val="7"/>
              <w:spacing w:before="99" w:line="237" w:lineRule="auto"/>
              <w:ind w:left="346"/>
            </w:pPr>
            <w:r>
              <w:t>3</w:t>
            </w:r>
          </w:p>
        </w:tc>
        <w:tc>
          <w:tcPr>
            <w:tcW w:w="2144" w:type="dxa"/>
            <w:vAlign w:val="top"/>
          </w:tcPr>
          <w:p w14:paraId="253F485E">
            <w:pPr>
              <w:pStyle w:val="7"/>
              <w:spacing w:before="98" w:line="217" w:lineRule="auto"/>
              <w:ind w:left="641"/>
            </w:pPr>
            <w:r>
              <w:rPr>
                <w:spacing w:val="-15"/>
              </w:rPr>
              <w:t>机械事故</w:t>
            </w:r>
          </w:p>
        </w:tc>
        <w:tc>
          <w:tcPr>
            <w:tcW w:w="6763" w:type="dxa"/>
            <w:gridSpan w:val="2"/>
            <w:tcBorders>
              <w:right w:val="single" w:color="000000" w:sz="4" w:space="0"/>
            </w:tcBorders>
            <w:vAlign w:val="top"/>
          </w:tcPr>
          <w:p w14:paraId="6BE1494D">
            <w:pPr>
              <w:pStyle w:val="7"/>
              <w:spacing w:before="99" w:line="215" w:lineRule="auto"/>
              <w:ind w:left="2623"/>
            </w:pPr>
            <w:r>
              <w:rPr>
                <w:spacing w:val="-19"/>
              </w:rPr>
              <w:t>汽车吊、打桩机</w:t>
            </w:r>
          </w:p>
        </w:tc>
      </w:tr>
      <w:tr w14:paraId="1F65FF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4" w:hRule="atLeast"/>
        </w:trPr>
        <w:tc>
          <w:tcPr>
            <w:tcW w:w="778" w:type="dxa"/>
            <w:gridSpan w:val="2"/>
            <w:tcBorders>
              <w:left w:val="single" w:color="000000" w:sz="4" w:space="0"/>
            </w:tcBorders>
            <w:vAlign w:val="top"/>
          </w:tcPr>
          <w:p w14:paraId="6B3C432D">
            <w:pPr>
              <w:pStyle w:val="7"/>
              <w:spacing w:before="100" w:line="238" w:lineRule="auto"/>
              <w:ind w:left="341"/>
            </w:pPr>
            <w:r>
              <w:t>4</w:t>
            </w:r>
          </w:p>
        </w:tc>
        <w:tc>
          <w:tcPr>
            <w:tcW w:w="2144" w:type="dxa"/>
            <w:vAlign w:val="top"/>
          </w:tcPr>
          <w:p w14:paraId="5F5B1C22">
            <w:pPr>
              <w:pStyle w:val="7"/>
              <w:spacing w:before="100" w:line="219" w:lineRule="auto"/>
              <w:ind w:left="642"/>
            </w:pPr>
            <w:r>
              <w:rPr>
                <w:spacing w:val="-15"/>
              </w:rPr>
              <w:t>伤亡事故</w:t>
            </w:r>
          </w:p>
        </w:tc>
        <w:tc>
          <w:tcPr>
            <w:tcW w:w="6763" w:type="dxa"/>
            <w:gridSpan w:val="2"/>
            <w:tcBorders>
              <w:right w:val="single" w:color="000000" w:sz="4" w:space="0"/>
            </w:tcBorders>
            <w:vAlign w:val="top"/>
          </w:tcPr>
          <w:p w14:paraId="76DF4A72">
            <w:pPr>
              <w:pStyle w:val="7"/>
              <w:spacing w:before="100" w:line="217" w:lineRule="auto"/>
              <w:ind w:left="2072"/>
            </w:pPr>
            <w:r>
              <w:rPr>
                <w:spacing w:val="-20"/>
              </w:rPr>
              <w:t>触电、高空坠落，物体打击</w:t>
            </w:r>
          </w:p>
        </w:tc>
      </w:tr>
      <w:tr w14:paraId="142574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4" w:hRule="atLeast"/>
        </w:trPr>
        <w:tc>
          <w:tcPr>
            <w:tcW w:w="200" w:type="dxa"/>
            <w:tcBorders>
              <w:left w:val="single" w:color="1C456A" w:sz="4" w:space="0"/>
              <w:bottom w:val="single" w:color="1C456A" w:sz="4" w:space="0"/>
              <w:right w:val="nil"/>
            </w:tcBorders>
            <w:vAlign w:val="top"/>
          </w:tcPr>
          <w:p w14:paraId="2131ECD9">
            <w:pPr>
              <w:rPr>
                <w:rFonts w:ascii="Arial"/>
                <w:sz w:val="21"/>
              </w:rPr>
            </w:pPr>
            <w:r>
              <w:pict>
                <v:shape id="_x0000_s2006" o:spid="_x0000_s2006" style="position:absolute;left:0pt;margin-left:-0.25pt;margin-top:31.25pt;height:0.75pt;width:2.2pt;mso-position-horizontal-relative:page;mso-position-vertical-relative:page;z-index:251908096;mso-width-relative:page;mso-height-relative:page;" fillcolor="#5B9BD5" filled="t" stroked="f" coordsize="44,15" path="m0,14l43,14,43,0,0,0,0,14xe">
                  <v:path/>
                  <v:fill on="t" focussize="0,0"/>
                  <v:stroke on="f"/>
                  <v:imagedata o:title=""/>
                  <o:lock v:ext="edit"/>
                </v:shape>
              </w:pict>
            </w:r>
          </w:p>
        </w:tc>
        <w:tc>
          <w:tcPr>
            <w:tcW w:w="578" w:type="dxa"/>
            <w:tcBorders>
              <w:left w:val="nil"/>
              <w:bottom w:val="single" w:color="1C456A" w:sz="4" w:space="0"/>
            </w:tcBorders>
            <w:vAlign w:val="top"/>
          </w:tcPr>
          <w:p w14:paraId="6D691A35">
            <w:pPr>
              <w:pStyle w:val="7"/>
              <w:spacing w:before="101" w:line="237" w:lineRule="auto"/>
              <w:ind w:left="151"/>
            </w:pPr>
            <w:r>
              <w:t>5</w:t>
            </w:r>
          </w:p>
        </w:tc>
        <w:tc>
          <w:tcPr>
            <w:tcW w:w="2144" w:type="dxa"/>
            <w:tcBorders>
              <w:bottom w:val="single" w:color="000000" w:sz="4" w:space="0"/>
            </w:tcBorders>
            <w:vAlign w:val="top"/>
          </w:tcPr>
          <w:p w14:paraId="69CCA07C">
            <w:pPr>
              <w:pStyle w:val="7"/>
              <w:spacing w:before="101" w:line="220" w:lineRule="auto"/>
              <w:ind w:left="655"/>
            </w:pPr>
            <w:r>
              <w:rPr>
                <w:spacing w:val="-19"/>
              </w:rPr>
              <w:t>管道破裂</w:t>
            </w:r>
          </w:p>
        </w:tc>
        <w:tc>
          <w:tcPr>
            <w:tcW w:w="6763" w:type="dxa"/>
            <w:gridSpan w:val="2"/>
            <w:tcBorders>
              <w:bottom w:val="single" w:color="5B9BD5" w:sz="4" w:space="0"/>
              <w:right w:val="single" w:color="5B9BD5" w:sz="4" w:space="0"/>
            </w:tcBorders>
            <w:vAlign w:val="top"/>
          </w:tcPr>
          <w:p w14:paraId="2649399F">
            <w:pPr>
              <w:pStyle w:val="7"/>
              <w:spacing w:before="101" w:line="216" w:lineRule="auto"/>
              <w:ind w:left="1418"/>
            </w:pPr>
            <w:r>
              <w:pict>
                <v:shape id="_x0000_s2008" o:spid="_x0000_s2008" style="position:absolute;left:0pt;margin-left:336.3pt;margin-top:31.25pt;height:0.75pt;width:2.2pt;mso-position-horizontal-relative:page;mso-position-vertical-relative:page;z-index:251907072;mso-width-relative:page;mso-height-relative:page;" fillcolor="#5B9BD5" filled="t" stroked="f" coordsize="44,15" path="m0,14l43,14,43,0,0,0,0,14xe">
                  <v:path/>
                  <v:fill on="t" focussize="0,0"/>
                  <v:stroke on="f"/>
                  <v:imagedata o:title=""/>
                  <o:lock v:ext="edit"/>
                </v:shape>
              </w:pict>
            </w:r>
            <w:r>
              <w:rPr>
                <w:spacing w:val="-21"/>
              </w:rPr>
              <w:t>施工中挖断水、电、通信光缆、煤气管道</w:t>
            </w:r>
          </w:p>
        </w:tc>
      </w:tr>
    </w:tbl>
    <w:p w14:paraId="1E991421">
      <w:pPr>
        <w:rPr>
          <w:rFonts w:ascii="Arial"/>
          <w:sz w:val="21"/>
        </w:rPr>
      </w:pPr>
    </w:p>
    <w:p w14:paraId="2C2D2FC7">
      <w:pPr>
        <w:rPr>
          <w:rFonts w:ascii="Arial" w:hAnsi="Arial" w:eastAsia="Arial" w:cs="Arial"/>
          <w:sz w:val="21"/>
          <w:szCs w:val="21"/>
        </w:rPr>
        <w:sectPr>
          <w:footerReference r:id="rId148" w:type="default"/>
          <w:pgSz w:w="11907" w:h="16839"/>
          <w:pgMar w:top="954" w:right="4" w:bottom="1038" w:left="0" w:header="499" w:footer="357" w:gutter="0"/>
          <w:pgBorders>
            <w:top w:val="none" w:sz="0" w:space="0"/>
            <w:left w:val="none" w:sz="0" w:space="0"/>
            <w:bottom w:val="none" w:sz="0" w:space="0"/>
            <w:right w:val="none" w:sz="0" w:space="0"/>
          </w:pgBorders>
          <w:cols w:space="720" w:num="1"/>
        </w:sectPr>
      </w:pPr>
    </w:p>
    <w:p w14:paraId="4813A6C0">
      <w:pPr>
        <w:spacing w:line="214" w:lineRule="exact"/>
      </w:pPr>
    </w:p>
    <w:tbl>
      <w:tblPr>
        <w:tblStyle w:val="6"/>
        <w:tblW w:w="9685" w:type="dxa"/>
        <w:tblInd w:w="111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5"/>
        <w:gridCol w:w="2144"/>
        <w:gridCol w:w="6766"/>
      </w:tblGrid>
      <w:tr w14:paraId="6C85A0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0" w:hRule="atLeast"/>
        </w:trPr>
        <w:tc>
          <w:tcPr>
            <w:tcW w:w="775" w:type="dxa"/>
            <w:tcBorders>
              <w:top w:val="single" w:color="000000" w:sz="4" w:space="0"/>
              <w:left w:val="single" w:color="000000" w:sz="4" w:space="0"/>
            </w:tcBorders>
            <w:vAlign w:val="top"/>
          </w:tcPr>
          <w:p w14:paraId="062DF9B5">
            <w:pPr>
              <w:pStyle w:val="7"/>
              <w:spacing w:before="129" w:line="237" w:lineRule="auto"/>
              <w:ind w:left="343"/>
            </w:pPr>
            <w:r>
              <w:t>6</w:t>
            </w:r>
          </w:p>
        </w:tc>
        <w:tc>
          <w:tcPr>
            <w:tcW w:w="2144" w:type="dxa"/>
            <w:tcBorders>
              <w:top w:val="single" w:color="000000" w:sz="4" w:space="0"/>
            </w:tcBorders>
            <w:vAlign w:val="top"/>
          </w:tcPr>
          <w:p w14:paraId="3B2DBAAC">
            <w:pPr>
              <w:pStyle w:val="7"/>
              <w:spacing w:before="128" w:line="217" w:lineRule="auto"/>
              <w:ind w:left="644"/>
            </w:pPr>
            <w:r>
              <w:rPr>
                <w:spacing w:val="-15"/>
              </w:rPr>
              <w:t>食物中毒</w:t>
            </w:r>
          </w:p>
        </w:tc>
        <w:tc>
          <w:tcPr>
            <w:tcW w:w="6766" w:type="dxa"/>
            <w:tcBorders>
              <w:top w:val="single" w:color="5B9BD5" w:sz="4" w:space="0"/>
              <w:right w:val="single" w:color="5B9BD5" w:sz="4" w:space="0"/>
            </w:tcBorders>
            <w:vAlign w:val="top"/>
          </w:tcPr>
          <w:p w14:paraId="3DA6D606">
            <w:pPr>
              <w:pStyle w:val="7"/>
              <w:spacing w:before="128" w:line="217" w:lineRule="auto"/>
              <w:ind w:left="1646"/>
            </w:pPr>
            <w:r>
              <w:rPr>
                <w:spacing w:val="-21"/>
              </w:rPr>
              <w:t>不当饮食或人为造成引起的食物中毒</w:t>
            </w:r>
          </w:p>
        </w:tc>
      </w:tr>
      <w:tr w14:paraId="6AAD5C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3" w:hRule="atLeast"/>
        </w:trPr>
        <w:tc>
          <w:tcPr>
            <w:tcW w:w="775" w:type="dxa"/>
            <w:tcBorders>
              <w:left w:val="single" w:color="000000" w:sz="4" w:space="0"/>
            </w:tcBorders>
            <w:vAlign w:val="top"/>
          </w:tcPr>
          <w:p w14:paraId="4A78622B">
            <w:pPr>
              <w:pStyle w:val="7"/>
              <w:spacing w:before="95" w:line="237" w:lineRule="auto"/>
              <w:ind w:left="347"/>
            </w:pPr>
            <w:r>
              <w:t>7</w:t>
            </w:r>
          </w:p>
        </w:tc>
        <w:tc>
          <w:tcPr>
            <w:tcW w:w="2144" w:type="dxa"/>
            <w:vAlign w:val="top"/>
          </w:tcPr>
          <w:p w14:paraId="44606759">
            <w:pPr>
              <w:pStyle w:val="7"/>
              <w:spacing w:before="95" w:line="218" w:lineRule="auto"/>
              <w:ind w:left="539"/>
            </w:pPr>
            <w:r>
              <w:rPr>
                <w:spacing w:val="-18"/>
              </w:rPr>
              <w:t>大面积中暑</w:t>
            </w:r>
          </w:p>
        </w:tc>
        <w:tc>
          <w:tcPr>
            <w:tcW w:w="6766" w:type="dxa"/>
            <w:tcBorders>
              <w:right w:val="single" w:color="000000" w:sz="4" w:space="0"/>
            </w:tcBorders>
            <w:vAlign w:val="top"/>
          </w:tcPr>
          <w:p w14:paraId="7E479DEF">
            <w:pPr>
              <w:pStyle w:val="7"/>
              <w:spacing w:before="95" w:line="218" w:lineRule="auto"/>
              <w:ind w:left="2948"/>
            </w:pPr>
            <w:r>
              <w:rPr>
                <w:spacing w:val="-15"/>
              </w:rPr>
              <w:t>群体中暑</w:t>
            </w:r>
          </w:p>
        </w:tc>
      </w:tr>
      <w:tr w14:paraId="55677D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3" w:hRule="atLeast"/>
        </w:trPr>
        <w:tc>
          <w:tcPr>
            <w:tcW w:w="775" w:type="dxa"/>
            <w:tcBorders>
              <w:left w:val="single" w:color="000000" w:sz="4" w:space="0"/>
            </w:tcBorders>
            <w:vAlign w:val="top"/>
          </w:tcPr>
          <w:p w14:paraId="1992E4AA">
            <w:pPr>
              <w:pStyle w:val="7"/>
              <w:spacing w:before="97" w:line="237" w:lineRule="auto"/>
              <w:ind w:left="343"/>
            </w:pPr>
            <w:r>
              <w:t>8</w:t>
            </w:r>
          </w:p>
        </w:tc>
        <w:tc>
          <w:tcPr>
            <w:tcW w:w="2144" w:type="dxa"/>
            <w:vAlign w:val="top"/>
          </w:tcPr>
          <w:p w14:paraId="33A10E4F">
            <w:pPr>
              <w:pStyle w:val="7"/>
              <w:spacing w:before="97" w:line="218" w:lineRule="auto"/>
              <w:ind w:left="543"/>
            </w:pPr>
            <w:r>
              <w:rPr>
                <w:spacing w:val="-18"/>
              </w:rPr>
              <w:t>突发传染病</w:t>
            </w:r>
          </w:p>
        </w:tc>
        <w:tc>
          <w:tcPr>
            <w:tcW w:w="6766" w:type="dxa"/>
            <w:tcBorders>
              <w:right w:val="single" w:color="000000" w:sz="4" w:space="0"/>
            </w:tcBorders>
            <w:vAlign w:val="top"/>
          </w:tcPr>
          <w:p w14:paraId="541F86AD">
            <w:pPr>
              <w:pStyle w:val="7"/>
              <w:spacing w:before="97" w:line="218" w:lineRule="auto"/>
              <w:ind w:left="1970"/>
            </w:pPr>
            <w:r>
              <w:rPr>
                <w:spacing w:val="-21"/>
              </w:rPr>
              <w:t>传播迅速、后果严重的传染病</w:t>
            </w:r>
          </w:p>
        </w:tc>
      </w:tr>
      <w:tr w14:paraId="44AFAB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6" w:hRule="atLeast"/>
        </w:trPr>
        <w:tc>
          <w:tcPr>
            <w:tcW w:w="775" w:type="dxa"/>
            <w:tcBorders>
              <w:left w:val="single" w:color="000000" w:sz="4" w:space="0"/>
            </w:tcBorders>
            <w:vAlign w:val="top"/>
          </w:tcPr>
          <w:p w14:paraId="155BD886">
            <w:pPr>
              <w:pStyle w:val="7"/>
              <w:spacing w:before="99" w:line="237" w:lineRule="auto"/>
              <w:ind w:left="343"/>
            </w:pPr>
            <w:r>
              <w:t>9</w:t>
            </w:r>
          </w:p>
        </w:tc>
        <w:tc>
          <w:tcPr>
            <w:tcW w:w="2144" w:type="dxa"/>
            <w:vAlign w:val="top"/>
          </w:tcPr>
          <w:p w14:paraId="76F1F308">
            <w:pPr>
              <w:pStyle w:val="7"/>
              <w:spacing w:before="99" w:line="219" w:lineRule="auto"/>
              <w:ind w:left="213"/>
            </w:pPr>
            <w:r>
              <w:rPr>
                <w:spacing w:val="-20"/>
              </w:rPr>
              <w:t>不可抗力自然灾害</w:t>
            </w:r>
          </w:p>
        </w:tc>
        <w:tc>
          <w:tcPr>
            <w:tcW w:w="6766" w:type="dxa"/>
            <w:tcBorders>
              <w:right w:val="single" w:color="000000" w:sz="4" w:space="0"/>
            </w:tcBorders>
            <w:vAlign w:val="top"/>
          </w:tcPr>
          <w:p w14:paraId="04A9ABA3">
            <w:pPr>
              <w:pStyle w:val="7"/>
              <w:spacing w:before="99" w:line="217" w:lineRule="auto"/>
              <w:ind w:left="552"/>
            </w:pPr>
            <w:r>
              <w:rPr>
                <w:spacing w:val="-21"/>
              </w:rPr>
              <w:t>地震、地裂、地表陷落、冰雹、暴雨、大风、雷电、台风等</w:t>
            </w:r>
          </w:p>
        </w:tc>
      </w:tr>
      <w:tr w14:paraId="30B5C4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4" w:hRule="atLeast"/>
        </w:trPr>
        <w:tc>
          <w:tcPr>
            <w:tcW w:w="775" w:type="dxa"/>
            <w:tcBorders>
              <w:left w:val="single" w:color="1C456A" w:sz="4" w:space="0"/>
              <w:bottom w:val="single" w:color="1C456A" w:sz="4" w:space="0"/>
            </w:tcBorders>
            <w:vAlign w:val="top"/>
          </w:tcPr>
          <w:p w14:paraId="20B547EE">
            <w:pPr>
              <w:pStyle w:val="7"/>
              <w:spacing w:before="101" w:line="237" w:lineRule="auto"/>
              <w:ind w:left="304"/>
            </w:pPr>
            <w:r>
              <w:rPr>
                <w:spacing w:val="-10"/>
              </w:rPr>
              <w:t>10</w:t>
            </w:r>
          </w:p>
        </w:tc>
        <w:tc>
          <w:tcPr>
            <w:tcW w:w="2144" w:type="dxa"/>
            <w:tcBorders>
              <w:bottom w:val="single" w:color="000000" w:sz="4" w:space="0"/>
            </w:tcBorders>
            <w:vAlign w:val="top"/>
          </w:tcPr>
          <w:p w14:paraId="0E32DD6A">
            <w:pPr>
              <w:pStyle w:val="7"/>
              <w:spacing w:before="102" w:line="220" w:lineRule="auto"/>
              <w:ind w:left="865"/>
            </w:pPr>
            <w:r>
              <w:pict>
                <v:shape id="_x0000_s2010" o:spid="_x0000_s2010" style="position:absolute;left:0pt;margin-left:-0.4pt;margin-top:29.8pt;height:0.75pt;width:2.2pt;mso-position-horizontal-relative:page;mso-position-vertical-relative:page;z-index:251912192;mso-width-relative:page;mso-height-relative:page;" fillcolor="#1C456A" filled="t" stroked="f" coordsize="44,15" path="m0,14l43,14,43,0,0,0,0,14xe">
                  <v:path/>
                  <v:fill on="t" focussize="0,0"/>
                  <v:stroke on="f"/>
                  <v:imagedata o:title=""/>
                  <o:lock v:ext="edit"/>
                </v:shape>
              </w:pict>
            </w:r>
            <w:r>
              <w:rPr>
                <w:spacing w:val="-10"/>
              </w:rPr>
              <w:t>其它</w:t>
            </w:r>
          </w:p>
        </w:tc>
        <w:tc>
          <w:tcPr>
            <w:tcW w:w="6766" w:type="dxa"/>
            <w:tcBorders>
              <w:bottom w:val="single" w:color="5B9BD5" w:sz="4" w:space="0"/>
              <w:right w:val="single" w:color="5B9BD5" w:sz="4" w:space="0"/>
            </w:tcBorders>
            <w:vAlign w:val="top"/>
          </w:tcPr>
          <w:p w14:paraId="0CB0ED82">
            <w:pPr>
              <w:pStyle w:val="7"/>
              <w:spacing w:before="102" w:line="215" w:lineRule="auto"/>
              <w:ind w:left="1546"/>
            </w:pPr>
            <w:r>
              <w:pict>
                <v:shape id="_x0000_s2012" o:spid="_x0000_s2012" style="position:absolute;left:0pt;margin-left:-0.35pt;margin-top:29.8pt;height:0.75pt;width:2.2pt;mso-position-horizontal-relative:page;mso-position-vertical-relative:page;z-index:251911168;mso-width-relative:page;mso-height-relative:page;" fillcolor="#1C456A" filled="t" stroked="f" coordsize="44,15" path="m0,14l43,14,43,0,0,0,0,14xe">
                  <v:path/>
                  <v:fill on="t" focussize="0,0"/>
                  <v:stroke on="f"/>
                  <v:imagedata o:title=""/>
                  <o:lock v:ext="edit"/>
                </v:shape>
              </w:pict>
            </w:r>
            <w:r>
              <w:rPr>
                <w:spacing w:val="-22"/>
              </w:rPr>
              <w:t>生活或办公建筑失稳或倒塌，社会事件</w:t>
            </w:r>
          </w:p>
        </w:tc>
      </w:tr>
    </w:tbl>
    <w:p w14:paraId="4175DBF8">
      <w:pPr>
        <w:pStyle w:val="2"/>
        <w:spacing w:before="77" w:line="219" w:lineRule="auto"/>
        <w:ind w:left="1986"/>
        <w:outlineLvl w:val="2"/>
        <w:rPr>
          <w:sz w:val="28"/>
          <w:szCs w:val="28"/>
        </w:rPr>
      </w:pPr>
      <w:bookmarkStart w:id="102" w:name="bookmark99"/>
      <w:bookmarkEnd w:id="102"/>
      <w:r>
        <w:rPr>
          <w:b/>
          <w:bCs/>
          <w:spacing w:val="-23"/>
          <w:sz w:val="28"/>
          <w:szCs w:val="28"/>
        </w:rPr>
        <w:t>二、应急期间组织机构及职责</w:t>
      </w:r>
    </w:p>
    <w:p w14:paraId="2741D834">
      <w:pPr>
        <w:pStyle w:val="2"/>
        <w:spacing w:before="104" w:line="218" w:lineRule="auto"/>
        <w:ind w:left="1888"/>
        <w:rPr>
          <w:sz w:val="24"/>
          <w:szCs w:val="24"/>
        </w:rPr>
      </w:pPr>
      <w:r>
        <w:rPr>
          <w:spacing w:val="-16"/>
          <w:sz w:val="24"/>
          <w:szCs w:val="24"/>
        </w:rPr>
        <w:t>2.1应急组织机构</w:t>
      </w:r>
    </w:p>
    <w:p w14:paraId="4320FA22">
      <w:pPr>
        <w:pStyle w:val="2"/>
        <w:spacing w:before="117" w:line="218" w:lineRule="auto"/>
        <w:ind w:left="1894"/>
        <w:rPr>
          <w:sz w:val="24"/>
          <w:szCs w:val="24"/>
        </w:rPr>
      </w:pPr>
      <w:r>
        <w:rPr>
          <w:spacing w:val="-21"/>
          <w:sz w:val="24"/>
          <w:szCs w:val="24"/>
        </w:rPr>
        <w:t>本项目部应急组织机构安排如下：</w:t>
      </w:r>
    </w:p>
    <w:p w14:paraId="4F3BD94C">
      <w:pPr>
        <w:spacing w:line="25" w:lineRule="auto"/>
        <w:rPr>
          <w:rFonts w:ascii="Arial"/>
          <w:sz w:val="2"/>
        </w:rPr>
      </w:pPr>
    </w:p>
    <w:tbl>
      <w:tblPr>
        <w:tblStyle w:val="6"/>
        <w:tblW w:w="9599" w:type="dxa"/>
        <w:tblInd w:w="115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84"/>
        <w:gridCol w:w="539"/>
        <w:gridCol w:w="3419"/>
        <w:gridCol w:w="4241"/>
        <w:gridCol w:w="1216"/>
      </w:tblGrid>
      <w:tr w14:paraId="2B265D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6" w:hRule="atLeast"/>
        </w:trPr>
        <w:tc>
          <w:tcPr>
            <w:tcW w:w="723" w:type="dxa"/>
            <w:gridSpan w:val="2"/>
            <w:tcBorders>
              <w:top w:val="single" w:color="000000" w:sz="4" w:space="0"/>
              <w:left w:val="single" w:color="000000" w:sz="4" w:space="0"/>
            </w:tcBorders>
            <w:shd w:val="clear" w:color="auto" w:fill="DEEAF6"/>
            <w:vAlign w:val="top"/>
          </w:tcPr>
          <w:p w14:paraId="6330073E">
            <w:pPr>
              <w:pStyle w:val="7"/>
              <w:spacing w:before="127" w:line="218" w:lineRule="auto"/>
              <w:ind w:left="159"/>
            </w:pPr>
            <w:r>
              <w:rPr>
                <w:b/>
                <w:bCs/>
                <w:spacing w:val="-12"/>
              </w:rPr>
              <w:t>序号</w:t>
            </w:r>
          </w:p>
        </w:tc>
        <w:tc>
          <w:tcPr>
            <w:tcW w:w="3419" w:type="dxa"/>
            <w:tcBorders>
              <w:top w:val="single" w:color="000000" w:sz="4" w:space="0"/>
            </w:tcBorders>
            <w:shd w:val="clear" w:color="auto" w:fill="DEEAF6"/>
            <w:vAlign w:val="top"/>
          </w:tcPr>
          <w:p w14:paraId="7DDBE9E3">
            <w:pPr>
              <w:pStyle w:val="7"/>
              <w:spacing w:before="127" w:line="218" w:lineRule="auto"/>
              <w:ind w:left="1285"/>
            </w:pPr>
            <w:r>
              <w:rPr>
                <w:b/>
                <w:bCs/>
                <w:spacing w:val="-19"/>
              </w:rPr>
              <w:t>情况类型</w:t>
            </w:r>
          </w:p>
        </w:tc>
        <w:tc>
          <w:tcPr>
            <w:tcW w:w="5457" w:type="dxa"/>
            <w:gridSpan w:val="2"/>
            <w:tcBorders>
              <w:top w:val="single" w:color="5B9BD5" w:sz="4" w:space="0"/>
              <w:right w:val="single" w:color="5B9BD5" w:sz="4" w:space="0"/>
            </w:tcBorders>
            <w:shd w:val="clear" w:color="auto" w:fill="DEEAF6"/>
            <w:vAlign w:val="top"/>
          </w:tcPr>
          <w:p w14:paraId="17190324">
            <w:pPr>
              <w:pStyle w:val="7"/>
              <w:spacing w:before="127" w:line="218" w:lineRule="auto"/>
              <w:ind w:left="2295"/>
            </w:pPr>
            <w:r>
              <w:rPr>
                <w:b/>
                <w:bCs/>
                <w:spacing w:val="-18"/>
              </w:rPr>
              <w:t>组织机构</w:t>
            </w:r>
          </w:p>
        </w:tc>
      </w:tr>
      <w:tr w14:paraId="0AB95C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9" w:hRule="atLeast"/>
        </w:trPr>
        <w:tc>
          <w:tcPr>
            <w:tcW w:w="723" w:type="dxa"/>
            <w:gridSpan w:val="2"/>
            <w:vMerge w:val="restart"/>
            <w:tcBorders>
              <w:left w:val="single" w:color="000000" w:sz="4" w:space="0"/>
              <w:bottom w:val="nil"/>
            </w:tcBorders>
            <w:vAlign w:val="top"/>
          </w:tcPr>
          <w:p w14:paraId="3AA1C04C">
            <w:pPr>
              <w:spacing w:line="244" w:lineRule="auto"/>
              <w:rPr>
                <w:rFonts w:ascii="Arial"/>
                <w:sz w:val="21"/>
              </w:rPr>
            </w:pPr>
          </w:p>
          <w:p w14:paraId="00A3FE6D">
            <w:pPr>
              <w:spacing w:line="245" w:lineRule="auto"/>
              <w:rPr>
                <w:rFonts w:ascii="Arial"/>
                <w:sz w:val="21"/>
              </w:rPr>
            </w:pPr>
          </w:p>
          <w:p w14:paraId="57B5266C">
            <w:pPr>
              <w:spacing w:line="245" w:lineRule="auto"/>
              <w:rPr>
                <w:rFonts w:ascii="Arial"/>
                <w:sz w:val="21"/>
              </w:rPr>
            </w:pPr>
          </w:p>
          <w:p w14:paraId="3529175B">
            <w:pPr>
              <w:spacing w:line="245" w:lineRule="auto"/>
              <w:rPr>
                <w:rFonts w:ascii="Arial"/>
                <w:sz w:val="21"/>
              </w:rPr>
            </w:pPr>
          </w:p>
          <w:p w14:paraId="7C86DC28">
            <w:pPr>
              <w:spacing w:line="245" w:lineRule="auto"/>
              <w:rPr>
                <w:rFonts w:ascii="Arial"/>
                <w:sz w:val="21"/>
              </w:rPr>
            </w:pPr>
          </w:p>
          <w:p w14:paraId="74B5B7BE">
            <w:pPr>
              <w:pStyle w:val="7"/>
              <w:spacing w:before="78" w:line="238" w:lineRule="auto"/>
              <w:ind w:left="333"/>
            </w:pPr>
            <w:r>
              <w:t>1</w:t>
            </w:r>
          </w:p>
        </w:tc>
        <w:tc>
          <w:tcPr>
            <w:tcW w:w="3419" w:type="dxa"/>
            <w:vMerge w:val="restart"/>
            <w:tcBorders>
              <w:bottom w:val="nil"/>
            </w:tcBorders>
            <w:vAlign w:val="top"/>
          </w:tcPr>
          <w:p w14:paraId="41D01F5A">
            <w:pPr>
              <w:spacing w:line="244" w:lineRule="auto"/>
              <w:rPr>
                <w:rFonts w:ascii="Arial"/>
                <w:sz w:val="21"/>
              </w:rPr>
            </w:pPr>
          </w:p>
          <w:p w14:paraId="3EB1E657">
            <w:pPr>
              <w:spacing w:line="245" w:lineRule="auto"/>
              <w:rPr>
                <w:rFonts w:ascii="Arial"/>
                <w:sz w:val="21"/>
              </w:rPr>
            </w:pPr>
          </w:p>
          <w:p w14:paraId="27854504">
            <w:pPr>
              <w:spacing w:line="245" w:lineRule="auto"/>
              <w:rPr>
                <w:rFonts w:ascii="Arial"/>
                <w:sz w:val="21"/>
              </w:rPr>
            </w:pPr>
          </w:p>
          <w:p w14:paraId="300B168A">
            <w:pPr>
              <w:spacing w:line="245" w:lineRule="auto"/>
              <w:rPr>
                <w:rFonts w:ascii="Arial"/>
                <w:sz w:val="21"/>
              </w:rPr>
            </w:pPr>
          </w:p>
          <w:p w14:paraId="4FBBD8E4">
            <w:pPr>
              <w:spacing w:line="245" w:lineRule="auto"/>
              <w:rPr>
                <w:rFonts w:ascii="Arial"/>
                <w:sz w:val="21"/>
              </w:rPr>
            </w:pPr>
          </w:p>
          <w:p w14:paraId="1D9954DE">
            <w:pPr>
              <w:pStyle w:val="7"/>
              <w:spacing w:before="78" w:line="218" w:lineRule="auto"/>
              <w:ind w:left="1179"/>
            </w:pPr>
            <w:r>
              <w:rPr>
                <w:spacing w:val="-19"/>
              </w:rPr>
              <w:t>火灾、爆炸</w:t>
            </w:r>
          </w:p>
        </w:tc>
        <w:tc>
          <w:tcPr>
            <w:tcW w:w="4241" w:type="dxa"/>
            <w:tcBorders>
              <w:right w:val="nil"/>
            </w:tcBorders>
            <w:vAlign w:val="top"/>
          </w:tcPr>
          <w:p w14:paraId="436C906B">
            <w:pPr>
              <w:pStyle w:val="7"/>
              <w:spacing w:before="126" w:line="218" w:lineRule="auto"/>
              <w:ind w:left="2405"/>
            </w:pPr>
            <w:r>
              <w:rPr>
                <w:spacing w:val="-14"/>
              </w:rPr>
              <w:t>指挥员</w:t>
            </w:r>
          </w:p>
        </w:tc>
        <w:tc>
          <w:tcPr>
            <w:tcW w:w="1216" w:type="dxa"/>
            <w:tcBorders>
              <w:left w:val="nil"/>
              <w:right w:val="single" w:color="000000" w:sz="4" w:space="0"/>
            </w:tcBorders>
            <w:vAlign w:val="top"/>
          </w:tcPr>
          <w:p w14:paraId="453D1D73">
            <w:pPr>
              <w:spacing w:before="23" w:line="67" w:lineRule="exact"/>
              <w:ind w:firstLine="1178"/>
            </w:pPr>
            <w:r>
              <w:rPr>
                <w:position w:val="-1"/>
              </w:rPr>
              <w:pict>
                <v:group id="_x0000_s2014" o:spid="_x0000_s2014" o:spt="203" style="height:3.4pt;width:1.45pt;" coordsize="29,68">
                  <o:lock v:ext="edit"/>
                  <v:shape id="_x0000_s2016" o:spid="_x0000_s2016" style="position:absolute;left:14;top:0;height:68;width:15;" fillcolor="#20507B" filled="t" stroked="f" coordsize="15,68" path="m0,67l14,67,14,0,0,0,0,67xe">
                    <v:path/>
                    <v:fill on="t" focussize="0,0"/>
                    <v:stroke on="f"/>
                    <v:imagedata o:title=""/>
                    <o:lock v:ext="edit"/>
                  </v:shape>
                  <v:shape id="_x0000_s2018" o:spid="_x0000_s2018" style="position:absolute;left:0;top:0;height:68;width:15;" fillcolor="#1C456A" filled="t" stroked="f" coordsize="15,68" path="m0,67l14,67,14,0,0,0,0,67xe">
                    <v:path/>
                    <v:fill on="t" focussize="0,0"/>
                    <v:stroke on="f"/>
                    <v:imagedata o:title=""/>
                    <o:lock v:ext="edit"/>
                  </v:shape>
                  <w10:wrap type="none"/>
                  <w10:anchorlock/>
                </v:group>
              </w:pict>
            </w:r>
          </w:p>
        </w:tc>
      </w:tr>
      <w:tr w14:paraId="03B879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7" w:hRule="atLeast"/>
        </w:trPr>
        <w:tc>
          <w:tcPr>
            <w:tcW w:w="723" w:type="dxa"/>
            <w:gridSpan w:val="2"/>
            <w:vMerge w:val="continue"/>
            <w:tcBorders>
              <w:top w:val="nil"/>
              <w:left w:val="single" w:color="000000" w:sz="4" w:space="0"/>
              <w:bottom w:val="nil"/>
            </w:tcBorders>
            <w:vAlign w:val="top"/>
          </w:tcPr>
          <w:p w14:paraId="14EA404B">
            <w:pPr>
              <w:rPr>
                <w:rFonts w:ascii="Arial"/>
                <w:sz w:val="21"/>
              </w:rPr>
            </w:pPr>
          </w:p>
        </w:tc>
        <w:tc>
          <w:tcPr>
            <w:tcW w:w="3419" w:type="dxa"/>
            <w:vMerge w:val="continue"/>
            <w:tcBorders>
              <w:top w:val="nil"/>
              <w:bottom w:val="nil"/>
            </w:tcBorders>
            <w:vAlign w:val="top"/>
          </w:tcPr>
          <w:p w14:paraId="3EFC39AA">
            <w:pPr>
              <w:rPr>
                <w:rFonts w:ascii="Arial"/>
                <w:sz w:val="21"/>
              </w:rPr>
            </w:pPr>
          </w:p>
        </w:tc>
        <w:tc>
          <w:tcPr>
            <w:tcW w:w="4241" w:type="dxa"/>
            <w:tcBorders>
              <w:right w:val="nil"/>
            </w:tcBorders>
            <w:vAlign w:val="top"/>
          </w:tcPr>
          <w:p w14:paraId="2F8758DB">
            <w:pPr>
              <w:pStyle w:val="7"/>
              <w:spacing w:before="123" w:line="217" w:lineRule="auto"/>
              <w:ind w:left="2191"/>
            </w:pPr>
            <w:r>
              <w:rPr>
                <w:spacing w:val="-18"/>
              </w:rPr>
              <w:t>通讯联络组</w:t>
            </w:r>
          </w:p>
        </w:tc>
        <w:tc>
          <w:tcPr>
            <w:tcW w:w="1216" w:type="dxa"/>
            <w:tcBorders>
              <w:left w:val="nil"/>
              <w:right w:val="single" w:color="000000" w:sz="4" w:space="0"/>
            </w:tcBorders>
            <w:vAlign w:val="top"/>
          </w:tcPr>
          <w:p w14:paraId="757EF893">
            <w:pPr>
              <w:spacing w:before="21" w:line="68" w:lineRule="exact"/>
              <w:ind w:firstLine="1178"/>
            </w:pPr>
            <w:r>
              <w:rPr>
                <w:position w:val="-1"/>
              </w:rPr>
              <w:pict>
                <v:group id="_x0000_s2020" o:spid="_x0000_s2020" o:spt="203" style="height:3.4pt;width:1.45pt;" coordsize="29,68">
                  <o:lock v:ext="edit"/>
                  <v:shape id="_x0000_s2022" o:spid="_x0000_s2022" style="position:absolute;left:14;top:0;height:68;width:15;" fillcolor="#20507B" filled="t" stroked="f" coordsize="15,68" path="m0,67l14,67,14,0,0,0,0,67xe">
                    <v:path/>
                    <v:fill on="t" focussize="0,0"/>
                    <v:stroke on="f"/>
                    <v:imagedata o:title=""/>
                    <o:lock v:ext="edit"/>
                  </v:shape>
                  <v:shape id="_x0000_s2024" o:spid="_x0000_s2024" style="position:absolute;left:0;top:0;height:68;width:15;" fillcolor="#1C456A" filled="t" stroked="f" coordsize="15,68" path="m0,67l14,67,14,0,0,0,0,67xe">
                    <v:path/>
                    <v:fill on="t" focussize="0,0"/>
                    <v:stroke on="f"/>
                    <v:imagedata o:title=""/>
                    <o:lock v:ext="edit"/>
                  </v:shape>
                  <w10:wrap type="none"/>
                  <w10:anchorlock/>
                </v:group>
              </w:pict>
            </w:r>
          </w:p>
        </w:tc>
      </w:tr>
      <w:tr w14:paraId="7CCD49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87" w:hRule="atLeast"/>
        </w:trPr>
        <w:tc>
          <w:tcPr>
            <w:tcW w:w="723" w:type="dxa"/>
            <w:gridSpan w:val="2"/>
            <w:vMerge w:val="continue"/>
            <w:tcBorders>
              <w:top w:val="nil"/>
              <w:left w:val="single" w:color="000000" w:sz="4" w:space="0"/>
              <w:bottom w:val="nil"/>
            </w:tcBorders>
            <w:vAlign w:val="top"/>
          </w:tcPr>
          <w:p w14:paraId="4DDEF133">
            <w:pPr>
              <w:rPr>
                <w:rFonts w:ascii="Arial"/>
                <w:sz w:val="21"/>
              </w:rPr>
            </w:pPr>
          </w:p>
        </w:tc>
        <w:tc>
          <w:tcPr>
            <w:tcW w:w="3419" w:type="dxa"/>
            <w:vMerge w:val="continue"/>
            <w:tcBorders>
              <w:top w:val="nil"/>
              <w:bottom w:val="nil"/>
            </w:tcBorders>
            <w:vAlign w:val="top"/>
          </w:tcPr>
          <w:p w14:paraId="1554377B">
            <w:pPr>
              <w:rPr>
                <w:rFonts w:ascii="Arial"/>
                <w:sz w:val="21"/>
              </w:rPr>
            </w:pPr>
          </w:p>
        </w:tc>
        <w:tc>
          <w:tcPr>
            <w:tcW w:w="4241" w:type="dxa"/>
            <w:tcBorders>
              <w:right w:val="nil"/>
            </w:tcBorders>
            <w:vAlign w:val="top"/>
          </w:tcPr>
          <w:p w14:paraId="1B19C6BD">
            <w:pPr>
              <w:pStyle w:val="7"/>
              <w:spacing w:before="123" w:line="217" w:lineRule="auto"/>
              <w:ind w:left="2187"/>
            </w:pPr>
            <w:r>
              <w:rPr>
                <w:spacing w:val="-17"/>
              </w:rPr>
              <w:t>灭火行动组</w:t>
            </w:r>
          </w:p>
        </w:tc>
        <w:tc>
          <w:tcPr>
            <w:tcW w:w="1216" w:type="dxa"/>
            <w:tcBorders>
              <w:left w:val="nil"/>
              <w:right w:val="single" w:color="000000" w:sz="4" w:space="0"/>
            </w:tcBorders>
            <w:vAlign w:val="top"/>
          </w:tcPr>
          <w:p w14:paraId="7031ACC7">
            <w:pPr>
              <w:spacing w:before="20" w:line="67" w:lineRule="exact"/>
              <w:ind w:firstLine="1178"/>
            </w:pPr>
            <w:r>
              <w:rPr>
                <w:position w:val="-1"/>
              </w:rPr>
              <w:pict>
                <v:group id="_x0000_s2026" o:spid="_x0000_s2026" o:spt="203" style="height:3.4pt;width:1.45pt;" coordsize="29,68">
                  <o:lock v:ext="edit"/>
                  <v:shape id="_x0000_s2028" o:spid="_x0000_s2028" style="position:absolute;left:14;top:0;height:68;width:15;" fillcolor="#20507B" filled="t" stroked="f" coordsize="15,68" path="m0,67l14,67,14,0,0,0,0,67xe">
                    <v:path/>
                    <v:fill on="t" focussize="0,0"/>
                    <v:stroke on="f"/>
                    <v:imagedata o:title=""/>
                    <o:lock v:ext="edit"/>
                  </v:shape>
                  <v:shape id="_x0000_s2030" o:spid="_x0000_s2030" style="position:absolute;left:0;top:0;height:68;width:15;" fillcolor="#1C456A" filled="t" stroked="f" coordsize="15,68" path="m0,67l14,67,14,0,0,0,0,67xe">
                    <v:path/>
                    <v:fill on="t" focussize="0,0"/>
                    <v:stroke on="f"/>
                    <v:imagedata o:title=""/>
                    <o:lock v:ext="edit"/>
                  </v:shape>
                  <w10:wrap type="none"/>
                  <w10:anchorlock/>
                </v:group>
              </w:pict>
            </w:r>
          </w:p>
        </w:tc>
      </w:tr>
      <w:tr w14:paraId="1FDB18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7" w:hRule="atLeast"/>
        </w:trPr>
        <w:tc>
          <w:tcPr>
            <w:tcW w:w="723" w:type="dxa"/>
            <w:gridSpan w:val="2"/>
            <w:vMerge w:val="continue"/>
            <w:tcBorders>
              <w:top w:val="nil"/>
              <w:left w:val="single" w:color="000000" w:sz="4" w:space="0"/>
              <w:bottom w:val="nil"/>
            </w:tcBorders>
            <w:vAlign w:val="top"/>
          </w:tcPr>
          <w:p w14:paraId="5F54682C">
            <w:pPr>
              <w:rPr>
                <w:rFonts w:ascii="Arial"/>
                <w:sz w:val="21"/>
              </w:rPr>
            </w:pPr>
          </w:p>
        </w:tc>
        <w:tc>
          <w:tcPr>
            <w:tcW w:w="3419" w:type="dxa"/>
            <w:vMerge w:val="continue"/>
            <w:tcBorders>
              <w:top w:val="nil"/>
              <w:bottom w:val="nil"/>
            </w:tcBorders>
            <w:vAlign w:val="top"/>
          </w:tcPr>
          <w:p w14:paraId="0B7F6286">
            <w:pPr>
              <w:rPr>
                <w:rFonts w:ascii="Arial"/>
                <w:sz w:val="21"/>
              </w:rPr>
            </w:pPr>
          </w:p>
        </w:tc>
        <w:tc>
          <w:tcPr>
            <w:tcW w:w="4241" w:type="dxa"/>
            <w:tcBorders>
              <w:right w:val="nil"/>
            </w:tcBorders>
            <w:vAlign w:val="top"/>
          </w:tcPr>
          <w:p w14:paraId="0FD85926">
            <w:pPr>
              <w:pStyle w:val="7"/>
              <w:spacing w:before="122" w:line="218" w:lineRule="auto"/>
              <w:ind w:left="2186"/>
            </w:pPr>
            <w:r>
              <w:rPr>
                <w:spacing w:val="-17"/>
              </w:rPr>
              <w:t>疏散引导组</w:t>
            </w:r>
          </w:p>
        </w:tc>
        <w:tc>
          <w:tcPr>
            <w:tcW w:w="1216" w:type="dxa"/>
            <w:tcBorders>
              <w:left w:val="nil"/>
              <w:right w:val="single" w:color="000000" w:sz="4" w:space="0"/>
            </w:tcBorders>
            <w:vAlign w:val="top"/>
          </w:tcPr>
          <w:p w14:paraId="115D1A52">
            <w:pPr>
              <w:spacing w:before="18" w:line="67" w:lineRule="exact"/>
              <w:ind w:firstLine="1178"/>
            </w:pPr>
            <w:r>
              <w:rPr>
                <w:position w:val="-1"/>
              </w:rPr>
              <w:pict>
                <v:group id="_x0000_s2032" o:spid="_x0000_s2032" o:spt="203" style="height:3.4pt;width:1.45pt;" coordsize="29,68">
                  <o:lock v:ext="edit"/>
                  <v:shape id="_x0000_s2034" o:spid="_x0000_s2034" style="position:absolute;left:14;top:0;height:68;width:15;" fillcolor="#20507B" filled="t" stroked="f" coordsize="15,68" path="m0,67l14,67,14,0,0,0,0,67xe">
                    <v:path/>
                    <v:fill on="t" focussize="0,0"/>
                    <v:stroke on="f"/>
                    <v:imagedata o:title=""/>
                    <o:lock v:ext="edit"/>
                  </v:shape>
                  <v:shape id="_x0000_s2036" o:spid="_x0000_s2036" style="position:absolute;left:0;top:0;height:68;width:15;" fillcolor="#1C456A" filled="t" stroked="f" coordsize="15,68" path="m0,67l14,67,14,0,0,0,0,67xe">
                    <v:path/>
                    <v:fill on="t" focussize="0,0"/>
                    <v:stroke on="f"/>
                    <v:imagedata o:title=""/>
                    <o:lock v:ext="edit"/>
                  </v:shape>
                  <w10:wrap type="none"/>
                  <w10:anchorlock/>
                </v:group>
              </w:pict>
            </w:r>
          </w:p>
        </w:tc>
      </w:tr>
      <w:tr w14:paraId="764A5C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87" w:hRule="atLeast"/>
        </w:trPr>
        <w:tc>
          <w:tcPr>
            <w:tcW w:w="723" w:type="dxa"/>
            <w:gridSpan w:val="2"/>
            <w:vMerge w:val="continue"/>
            <w:tcBorders>
              <w:top w:val="nil"/>
              <w:left w:val="single" w:color="000000" w:sz="4" w:space="0"/>
            </w:tcBorders>
            <w:vAlign w:val="top"/>
          </w:tcPr>
          <w:p w14:paraId="4D21785D">
            <w:pPr>
              <w:rPr>
                <w:rFonts w:ascii="Arial"/>
                <w:sz w:val="21"/>
              </w:rPr>
            </w:pPr>
          </w:p>
        </w:tc>
        <w:tc>
          <w:tcPr>
            <w:tcW w:w="3419" w:type="dxa"/>
            <w:vMerge w:val="continue"/>
            <w:tcBorders>
              <w:top w:val="nil"/>
            </w:tcBorders>
            <w:vAlign w:val="top"/>
          </w:tcPr>
          <w:p w14:paraId="21CFBAD9">
            <w:pPr>
              <w:rPr>
                <w:rFonts w:ascii="Arial"/>
                <w:sz w:val="21"/>
              </w:rPr>
            </w:pPr>
          </w:p>
        </w:tc>
        <w:tc>
          <w:tcPr>
            <w:tcW w:w="4241" w:type="dxa"/>
            <w:tcBorders>
              <w:right w:val="nil"/>
            </w:tcBorders>
            <w:vAlign w:val="top"/>
          </w:tcPr>
          <w:p w14:paraId="6D29A05A">
            <w:pPr>
              <w:pStyle w:val="7"/>
              <w:spacing w:before="120" w:line="218" w:lineRule="auto"/>
              <w:ind w:left="1971"/>
            </w:pPr>
            <w:r>
              <w:rPr>
                <w:spacing w:val="-19"/>
              </w:rPr>
              <w:t>安全防护救护组</w:t>
            </w:r>
          </w:p>
        </w:tc>
        <w:tc>
          <w:tcPr>
            <w:tcW w:w="1216" w:type="dxa"/>
            <w:tcBorders>
              <w:left w:val="nil"/>
              <w:right w:val="single" w:color="000000" w:sz="4" w:space="0"/>
            </w:tcBorders>
            <w:vAlign w:val="top"/>
          </w:tcPr>
          <w:p w14:paraId="218ECEC1">
            <w:pPr>
              <w:spacing w:before="17" w:line="67" w:lineRule="exact"/>
              <w:ind w:firstLine="1178"/>
            </w:pPr>
            <w:r>
              <w:rPr>
                <w:position w:val="-1"/>
              </w:rPr>
              <w:pict>
                <v:group id="_x0000_s2038" o:spid="_x0000_s2038" o:spt="203" style="height:3.4pt;width:1.45pt;" coordsize="29,68">
                  <o:lock v:ext="edit"/>
                  <v:shape id="_x0000_s2040" o:spid="_x0000_s2040" style="position:absolute;left:14;top:0;height:68;width:15;" fillcolor="#20507B" filled="t" stroked="f" coordsize="15,68" path="m0,67l14,67,14,0,0,0,0,67xe">
                    <v:path/>
                    <v:fill on="t" focussize="0,0"/>
                    <v:stroke on="f"/>
                    <v:imagedata o:title=""/>
                    <o:lock v:ext="edit"/>
                  </v:shape>
                  <v:shape id="_x0000_s2042" o:spid="_x0000_s2042" style="position:absolute;left:0;top:0;height:68;width:15;" fillcolor="#1C456A" filled="t" stroked="f" coordsize="15,68" path="m0,67l14,67,14,0,0,0,0,67xe">
                    <v:path/>
                    <v:fill on="t" focussize="0,0"/>
                    <v:stroke on="f"/>
                    <v:imagedata o:title=""/>
                    <o:lock v:ext="edit"/>
                  </v:shape>
                  <w10:wrap type="none"/>
                  <w10:anchorlock/>
                </v:group>
              </w:pict>
            </w:r>
          </w:p>
        </w:tc>
      </w:tr>
      <w:tr w14:paraId="24CB08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89" w:hRule="atLeast"/>
        </w:trPr>
        <w:tc>
          <w:tcPr>
            <w:tcW w:w="723" w:type="dxa"/>
            <w:gridSpan w:val="2"/>
            <w:vMerge w:val="restart"/>
            <w:tcBorders>
              <w:left w:val="single" w:color="000000" w:sz="4" w:space="0"/>
              <w:bottom w:val="nil"/>
            </w:tcBorders>
            <w:vAlign w:val="top"/>
          </w:tcPr>
          <w:p w14:paraId="76B3252C">
            <w:pPr>
              <w:spacing w:line="307" w:lineRule="auto"/>
              <w:rPr>
                <w:rFonts w:ascii="Arial"/>
                <w:sz w:val="21"/>
              </w:rPr>
            </w:pPr>
          </w:p>
          <w:p w14:paraId="031881E5">
            <w:pPr>
              <w:spacing w:line="308" w:lineRule="auto"/>
              <w:rPr>
                <w:rFonts w:ascii="Arial"/>
                <w:sz w:val="21"/>
              </w:rPr>
            </w:pPr>
          </w:p>
          <w:p w14:paraId="7009EB93">
            <w:pPr>
              <w:spacing w:line="308" w:lineRule="auto"/>
              <w:rPr>
                <w:rFonts w:ascii="Arial"/>
                <w:sz w:val="21"/>
              </w:rPr>
            </w:pPr>
          </w:p>
          <w:p w14:paraId="7457F32A">
            <w:pPr>
              <w:pStyle w:val="7"/>
              <w:spacing w:before="78" w:line="238" w:lineRule="auto"/>
              <w:ind w:left="318"/>
            </w:pPr>
            <w:r>
              <w:t>2</w:t>
            </w:r>
          </w:p>
        </w:tc>
        <w:tc>
          <w:tcPr>
            <w:tcW w:w="3419" w:type="dxa"/>
            <w:vMerge w:val="restart"/>
            <w:tcBorders>
              <w:bottom w:val="nil"/>
            </w:tcBorders>
            <w:vAlign w:val="top"/>
          </w:tcPr>
          <w:p w14:paraId="0435D043">
            <w:pPr>
              <w:spacing w:line="307" w:lineRule="auto"/>
              <w:rPr>
                <w:rFonts w:ascii="Arial"/>
                <w:sz w:val="21"/>
              </w:rPr>
            </w:pPr>
          </w:p>
          <w:p w14:paraId="10B431DF">
            <w:pPr>
              <w:spacing w:line="308" w:lineRule="auto"/>
              <w:rPr>
                <w:rFonts w:ascii="Arial"/>
                <w:sz w:val="21"/>
              </w:rPr>
            </w:pPr>
          </w:p>
          <w:p w14:paraId="5B9925BA">
            <w:pPr>
              <w:spacing w:line="308" w:lineRule="auto"/>
              <w:rPr>
                <w:rFonts w:ascii="Arial"/>
                <w:sz w:val="21"/>
              </w:rPr>
            </w:pPr>
          </w:p>
          <w:p w14:paraId="032DBAD6">
            <w:pPr>
              <w:pStyle w:val="7"/>
              <w:spacing w:before="78" w:line="219" w:lineRule="auto"/>
              <w:ind w:left="1284"/>
            </w:pPr>
            <w:r>
              <w:rPr>
                <w:spacing w:val="-16"/>
              </w:rPr>
              <w:t>坍塌事故</w:t>
            </w:r>
          </w:p>
        </w:tc>
        <w:tc>
          <w:tcPr>
            <w:tcW w:w="4241" w:type="dxa"/>
            <w:tcBorders>
              <w:right w:val="nil"/>
            </w:tcBorders>
            <w:vAlign w:val="top"/>
          </w:tcPr>
          <w:p w14:paraId="2AC87373">
            <w:pPr>
              <w:pStyle w:val="7"/>
              <w:spacing w:before="119" w:line="218" w:lineRule="auto"/>
              <w:ind w:left="2405"/>
            </w:pPr>
            <w:r>
              <w:rPr>
                <w:spacing w:val="-14"/>
              </w:rPr>
              <w:t>指挥员</w:t>
            </w:r>
          </w:p>
        </w:tc>
        <w:tc>
          <w:tcPr>
            <w:tcW w:w="1216" w:type="dxa"/>
            <w:tcBorders>
              <w:left w:val="nil"/>
              <w:right w:val="single" w:color="000000" w:sz="4" w:space="0"/>
            </w:tcBorders>
            <w:vAlign w:val="top"/>
          </w:tcPr>
          <w:p w14:paraId="26D49408">
            <w:pPr>
              <w:spacing w:before="15" w:line="67" w:lineRule="exact"/>
              <w:ind w:firstLine="1178"/>
            </w:pPr>
            <w:r>
              <w:rPr>
                <w:position w:val="-1"/>
              </w:rPr>
              <w:pict>
                <v:group id="_x0000_s2044" o:spid="_x0000_s2044" o:spt="203" style="height:3.4pt;width:1.45pt;" coordsize="29,68">
                  <o:lock v:ext="edit"/>
                  <v:shape id="_x0000_s2046" o:spid="_x0000_s2046" style="position:absolute;left:14;top:0;height:68;width:15;" fillcolor="#20507B" filled="t" stroked="f" coordsize="15,68" path="m0,67l14,67,14,0,0,0,0,67xe">
                    <v:path/>
                    <v:fill on="t" focussize="0,0"/>
                    <v:stroke on="f"/>
                    <v:imagedata o:title=""/>
                    <o:lock v:ext="edit"/>
                  </v:shape>
                  <v:shape id="_x0000_s2047" o:spid="_x0000_s2047" style="position:absolute;left:0;top:0;height:68;width:15;" fillcolor="#1C456A" filled="t" stroked="f" coordsize="15,68" path="m0,67l14,67,14,0,0,0,0,67xe">
                    <v:path/>
                    <v:fill on="t" focussize="0,0"/>
                    <v:stroke on="f"/>
                    <v:imagedata o:title=""/>
                    <o:lock v:ext="edit"/>
                  </v:shape>
                  <w10:wrap type="none"/>
                  <w10:anchorlock/>
                </v:group>
              </w:pict>
            </w:r>
          </w:p>
        </w:tc>
      </w:tr>
      <w:tr w14:paraId="021247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7" w:hRule="atLeast"/>
        </w:trPr>
        <w:tc>
          <w:tcPr>
            <w:tcW w:w="723" w:type="dxa"/>
            <w:gridSpan w:val="2"/>
            <w:vMerge w:val="continue"/>
            <w:tcBorders>
              <w:top w:val="nil"/>
              <w:left w:val="single" w:color="000000" w:sz="4" w:space="0"/>
              <w:bottom w:val="nil"/>
            </w:tcBorders>
            <w:vAlign w:val="top"/>
          </w:tcPr>
          <w:p w14:paraId="455DCBAF">
            <w:pPr>
              <w:rPr>
                <w:rFonts w:ascii="Arial"/>
                <w:sz w:val="21"/>
              </w:rPr>
            </w:pPr>
          </w:p>
        </w:tc>
        <w:tc>
          <w:tcPr>
            <w:tcW w:w="3419" w:type="dxa"/>
            <w:vMerge w:val="continue"/>
            <w:tcBorders>
              <w:top w:val="nil"/>
              <w:bottom w:val="nil"/>
            </w:tcBorders>
            <w:vAlign w:val="top"/>
          </w:tcPr>
          <w:p w14:paraId="7AEBEC37">
            <w:pPr>
              <w:rPr>
                <w:rFonts w:ascii="Arial"/>
                <w:sz w:val="21"/>
              </w:rPr>
            </w:pPr>
          </w:p>
        </w:tc>
        <w:tc>
          <w:tcPr>
            <w:tcW w:w="4241" w:type="dxa"/>
            <w:tcBorders>
              <w:right w:val="nil"/>
            </w:tcBorders>
            <w:vAlign w:val="top"/>
          </w:tcPr>
          <w:p w14:paraId="497D4572">
            <w:pPr>
              <w:pStyle w:val="7"/>
              <w:spacing w:before="116" w:line="217" w:lineRule="auto"/>
              <w:ind w:left="2191"/>
            </w:pPr>
            <w:r>
              <w:rPr>
                <w:spacing w:val="-18"/>
              </w:rPr>
              <w:t>通讯联络组</w:t>
            </w:r>
          </w:p>
        </w:tc>
        <w:tc>
          <w:tcPr>
            <w:tcW w:w="1216" w:type="dxa"/>
            <w:tcBorders>
              <w:left w:val="nil"/>
              <w:right w:val="single" w:color="000000" w:sz="4" w:space="0"/>
            </w:tcBorders>
            <w:vAlign w:val="top"/>
          </w:tcPr>
          <w:p w14:paraId="744416D7">
            <w:pPr>
              <w:spacing w:before="14" w:line="67" w:lineRule="exact"/>
              <w:ind w:firstLine="1178"/>
            </w:pPr>
            <w:r>
              <w:rPr>
                <w:position w:val="-1"/>
              </w:rPr>
              <w:pict>
                <v:group id="_x0000_s3072" o:spid="_x0000_s3072" o:spt="203" style="height:3.4pt;width:1.45pt;" coordsize="29,68">
                  <o:lock v:ext="edit"/>
                  <v:shape id="_x0000_s3073" o:spid="_x0000_s3073" style="position:absolute;left:14;top:0;height:68;width:15;" fillcolor="#20507B" filled="t" stroked="f" coordsize="15,68" path="m0,67l14,67,14,0,0,0,0,67xe">
                    <v:path/>
                    <v:fill on="t" focussize="0,0"/>
                    <v:stroke on="f"/>
                    <v:imagedata o:title=""/>
                    <o:lock v:ext="edit"/>
                  </v:shape>
                  <v:shape id="_x0000_s3074" o:spid="_x0000_s3074" style="position:absolute;left:0;top:0;height:68;width:15;" fillcolor="#1C456A" filled="t" stroked="f" coordsize="15,68" path="m0,67l14,67,14,0,0,0,0,67xe">
                    <v:path/>
                    <v:fill on="t" focussize="0,0"/>
                    <v:stroke on="f"/>
                    <v:imagedata o:title=""/>
                    <o:lock v:ext="edit"/>
                  </v:shape>
                  <w10:wrap type="none"/>
                  <w10:anchorlock/>
                </v:group>
              </w:pict>
            </w:r>
          </w:p>
        </w:tc>
      </w:tr>
      <w:tr w14:paraId="66DF7B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7" w:hRule="atLeast"/>
        </w:trPr>
        <w:tc>
          <w:tcPr>
            <w:tcW w:w="723" w:type="dxa"/>
            <w:gridSpan w:val="2"/>
            <w:vMerge w:val="continue"/>
            <w:tcBorders>
              <w:top w:val="nil"/>
              <w:left w:val="single" w:color="000000" w:sz="4" w:space="0"/>
              <w:bottom w:val="nil"/>
            </w:tcBorders>
            <w:vAlign w:val="top"/>
          </w:tcPr>
          <w:p w14:paraId="3F8FE56F">
            <w:pPr>
              <w:rPr>
                <w:rFonts w:ascii="Arial"/>
                <w:sz w:val="21"/>
              </w:rPr>
            </w:pPr>
          </w:p>
        </w:tc>
        <w:tc>
          <w:tcPr>
            <w:tcW w:w="3419" w:type="dxa"/>
            <w:vMerge w:val="continue"/>
            <w:tcBorders>
              <w:top w:val="nil"/>
              <w:bottom w:val="nil"/>
            </w:tcBorders>
            <w:vAlign w:val="top"/>
          </w:tcPr>
          <w:p w14:paraId="306BE037">
            <w:pPr>
              <w:rPr>
                <w:rFonts w:ascii="Arial"/>
                <w:sz w:val="21"/>
              </w:rPr>
            </w:pPr>
          </w:p>
        </w:tc>
        <w:tc>
          <w:tcPr>
            <w:tcW w:w="4241" w:type="dxa"/>
            <w:tcBorders>
              <w:right w:val="nil"/>
            </w:tcBorders>
            <w:vAlign w:val="top"/>
          </w:tcPr>
          <w:p w14:paraId="69CF3C63">
            <w:pPr>
              <w:pStyle w:val="7"/>
              <w:spacing w:before="116" w:line="218" w:lineRule="auto"/>
              <w:ind w:left="2186"/>
            </w:pPr>
            <w:r>
              <w:rPr>
                <w:spacing w:val="-17"/>
              </w:rPr>
              <w:t>疏散引导组</w:t>
            </w:r>
          </w:p>
        </w:tc>
        <w:tc>
          <w:tcPr>
            <w:tcW w:w="1216" w:type="dxa"/>
            <w:tcBorders>
              <w:left w:val="nil"/>
              <w:right w:val="single" w:color="000000" w:sz="4" w:space="0"/>
            </w:tcBorders>
            <w:vAlign w:val="top"/>
          </w:tcPr>
          <w:p w14:paraId="3777F1B3">
            <w:pPr>
              <w:spacing w:before="12" w:line="68" w:lineRule="exact"/>
              <w:ind w:firstLine="1178"/>
            </w:pPr>
            <w:r>
              <w:rPr>
                <w:position w:val="-1"/>
              </w:rPr>
              <w:pict>
                <v:group id="_x0000_s3075" o:spid="_x0000_s3075" o:spt="203" style="height:3.4pt;width:1.45pt;" coordsize="29,68">
                  <o:lock v:ext="edit"/>
                  <v:shape id="_x0000_s3076" o:spid="_x0000_s3076" style="position:absolute;left:14;top:0;height:68;width:15;" fillcolor="#20507B" filled="t" stroked="f" coordsize="15,68" path="m0,67l14,67,14,0,0,0,0,67xe">
                    <v:path/>
                    <v:fill on="t" focussize="0,0"/>
                    <v:stroke on="f"/>
                    <v:imagedata o:title=""/>
                    <o:lock v:ext="edit"/>
                  </v:shape>
                  <v:shape id="_x0000_s3077" o:spid="_x0000_s3077" style="position:absolute;left:0;top:0;height:68;width:15;" fillcolor="#1C456A" filled="t" stroked="f" coordsize="15,68" path="m0,67l14,67,14,0,0,0,0,67xe">
                    <v:path/>
                    <v:fill on="t" focussize="0,0"/>
                    <v:stroke on="f"/>
                    <v:imagedata o:title=""/>
                    <o:lock v:ext="edit"/>
                  </v:shape>
                  <w10:wrap type="none"/>
                  <w10:anchorlock/>
                </v:group>
              </w:pict>
            </w:r>
          </w:p>
        </w:tc>
      </w:tr>
      <w:tr w14:paraId="521428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7" w:hRule="atLeast"/>
        </w:trPr>
        <w:tc>
          <w:tcPr>
            <w:tcW w:w="723" w:type="dxa"/>
            <w:gridSpan w:val="2"/>
            <w:vMerge w:val="continue"/>
            <w:tcBorders>
              <w:top w:val="nil"/>
              <w:left w:val="single" w:color="000000" w:sz="4" w:space="0"/>
            </w:tcBorders>
            <w:vAlign w:val="top"/>
          </w:tcPr>
          <w:p w14:paraId="552F5AB2">
            <w:pPr>
              <w:rPr>
                <w:rFonts w:ascii="Arial"/>
                <w:sz w:val="21"/>
              </w:rPr>
            </w:pPr>
          </w:p>
        </w:tc>
        <w:tc>
          <w:tcPr>
            <w:tcW w:w="3419" w:type="dxa"/>
            <w:vMerge w:val="continue"/>
            <w:tcBorders>
              <w:top w:val="nil"/>
            </w:tcBorders>
            <w:vAlign w:val="top"/>
          </w:tcPr>
          <w:p w14:paraId="3D8C01E7">
            <w:pPr>
              <w:rPr>
                <w:rFonts w:ascii="Arial"/>
                <w:sz w:val="21"/>
              </w:rPr>
            </w:pPr>
          </w:p>
        </w:tc>
        <w:tc>
          <w:tcPr>
            <w:tcW w:w="4241" w:type="dxa"/>
            <w:tcBorders>
              <w:right w:val="nil"/>
            </w:tcBorders>
            <w:vAlign w:val="top"/>
          </w:tcPr>
          <w:p w14:paraId="7996EF2E">
            <w:pPr>
              <w:pStyle w:val="7"/>
              <w:spacing w:before="114" w:line="218" w:lineRule="auto"/>
              <w:ind w:left="1971"/>
            </w:pPr>
            <w:r>
              <w:rPr>
                <w:spacing w:val="-19"/>
              </w:rPr>
              <w:t>安全防护救护组</w:t>
            </w:r>
          </w:p>
        </w:tc>
        <w:tc>
          <w:tcPr>
            <w:tcW w:w="1216" w:type="dxa"/>
            <w:tcBorders>
              <w:left w:val="nil"/>
              <w:right w:val="single" w:color="000000" w:sz="4" w:space="0"/>
            </w:tcBorders>
            <w:vAlign w:val="top"/>
          </w:tcPr>
          <w:p w14:paraId="3BB1E22B">
            <w:pPr>
              <w:spacing w:before="11" w:line="67" w:lineRule="exact"/>
              <w:ind w:firstLine="1178"/>
            </w:pPr>
            <w:r>
              <w:rPr>
                <w:position w:val="-1"/>
              </w:rPr>
              <w:pict>
                <v:group id="_x0000_s3078" o:spid="_x0000_s3078" o:spt="203" style="height:3.4pt;width:1.45pt;" coordsize="29,68">
                  <o:lock v:ext="edit"/>
                  <v:shape id="_x0000_s3079" o:spid="_x0000_s3079" style="position:absolute;left:14;top:0;height:68;width:15;" fillcolor="#20507B" filled="t" stroked="f" coordsize="15,68" path="m0,67l14,67,14,0,0,0,0,67xe">
                    <v:path/>
                    <v:fill on="t" focussize="0,0"/>
                    <v:stroke on="f"/>
                    <v:imagedata o:title=""/>
                    <o:lock v:ext="edit"/>
                  </v:shape>
                  <v:shape id="_x0000_s3080" o:spid="_x0000_s3080" style="position:absolute;left:0;top:0;height:68;width:15;" fillcolor="#1C456A" filled="t" stroked="f" coordsize="15,68" path="m0,67l14,67,14,0,0,0,0,67xe">
                    <v:path/>
                    <v:fill on="t" focussize="0,0"/>
                    <v:stroke on="f"/>
                    <v:imagedata o:title=""/>
                    <o:lock v:ext="edit"/>
                  </v:shape>
                  <w10:wrap type="none"/>
                  <w10:anchorlock/>
                </v:group>
              </w:pict>
            </w:r>
          </w:p>
        </w:tc>
      </w:tr>
      <w:tr w14:paraId="3064EF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7" w:hRule="atLeast"/>
        </w:trPr>
        <w:tc>
          <w:tcPr>
            <w:tcW w:w="723" w:type="dxa"/>
            <w:gridSpan w:val="2"/>
            <w:tcBorders>
              <w:left w:val="single" w:color="000000" w:sz="4" w:space="0"/>
            </w:tcBorders>
            <w:vAlign w:val="top"/>
          </w:tcPr>
          <w:p w14:paraId="040DDCC1">
            <w:pPr>
              <w:pStyle w:val="7"/>
              <w:spacing w:before="113" w:line="237" w:lineRule="auto"/>
              <w:ind w:left="320"/>
            </w:pPr>
            <w:r>
              <w:t>3</w:t>
            </w:r>
          </w:p>
        </w:tc>
        <w:tc>
          <w:tcPr>
            <w:tcW w:w="3419" w:type="dxa"/>
            <w:vAlign w:val="top"/>
          </w:tcPr>
          <w:p w14:paraId="7A22D2B1">
            <w:pPr>
              <w:pStyle w:val="7"/>
              <w:spacing w:before="112" w:line="217" w:lineRule="auto"/>
              <w:ind w:left="1282"/>
            </w:pPr>
            <w:r>
              <w:rPr>
                <w:spacing w:val="-15"/>
              </w:rPr>
              <w:t>机械事故</w:t>
            </w:r>
          </w:p>
        </w:tc>
        <w:tc>
          <w:tcPr>
            <w:tcW w:w="4241" w:type="dxa"/>
            <w:tcBorders>
              <w:right w:val="nil"/>
            </w:tcBorders>
            <w:vAlign w:val="top"/>
          </w:tcPr>
          <w:p w14:paraId="327EBA75">
            <w:pPr>
              <w:pStyle w:val="7"/>
              <w:spacing w:before="113" w:line="221" w:lineRule="auto"/>
              <w:ind w:left="2297"/>
            </w:pPr>
            <w:r>
              <w:rPr>
                <w:spacing w:val="-16"/>
              </w:rPr>
              <w:t>应急小组</w:t>
            </w:r>
          </w:p>
        </w:tc>
        <w:tc>
          <w:tcPr>
            <w:tcW w:w="1216" w:type="dxa"/>
            <w:tcBorders>
              <w:left w:val="nil"/>
              <w:right w:val="single" w:color="000000" w:sz="4" w:space="0"/>
            </w:tcBorders>
            <w:vAlign w:val="top"/>
          </w:tcPr>
          <w:p w14:paraId="20855F61">
            <w:pPr>
              <w:spacing w:before="9" w:line="67" w:lineRule="exact"/>
              <w:ind w:firstLine="1178"/>
            </w:pPr>
            <w:r>
              <w:rPr>
                <w:position w:val="-1"/>
              </w:rPr>
              <w:pict>
                <v:group id="_x0000_s3081" o:spid="_x0000_s3081" o:spt="203" style="height:3.4pt;width:1.45pt;" coordsize="29,68">
                  <o:lock v:ext="edit"/>
                  <v:shape id="_x0000_s3082" o:spid="_x0000_s3082" style="position:absolute;left:14;top:0;height:68;width:15;" fillcolor="#20507B" filled="t" stroked="f" coordsize="15,68" path="m0,67l14,67,14,0,0,0,0,67xe">
                    <v:path/>
                    <v:fill on="t" focussize="0,0"/>
                    <v:stroke on="f"/>
                    <v:imagedata o:title=""/>
                    <o:lock v:ext="edit"/>
                  </v:shape>
                  <v:shape id="_x0000_s3083" o:spid="_x0000_s3083" style="position:absolute;left:0;top:0;height:68;width:15;" fillcolor="#1C456A" filled="t" stroked="f" coordsize="15,68" path="m0,67l14,67,14,0,0,0,0,67xe">
                    <v:path/>
                    <v:fill on="t" focussize="0,0"/>
                    <v:stroke on="f"/>
                    <v:imagedata o:title=""/>
                    <o:lock v:ext="edit"/>
                  </v:shape>
                  <w10:wrap type="none"/>
                  <w10:anchorlock/>
                </v:group>
              </w:pict>
            </w:r>
          </w:p>
        </w:tc>
      </w:tr>
      <w:tr w14:paraId="4B8579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0" w:hRule="atLeast"/>
        </w:trPr>
        <w:tc>
          <w:tcPr>
            <w:tcW w:w="184" w:type="dxa"/>
            <w:vMerge w:val="restart"/>
            <w:tcBorders>
              <w:left w:val="single" w:color="1C456A" w:sz="4" w:space="0"/>
              <w:bottom w:val="nil"/>
              <w:right w:val="nil"/>
            </w:tcBorders>
            <w:vAlign w:val="top"/>
          </w:tcPr>
          <w:p w14:paraId="642FB4C5">
            <w:pPr>
              <w:rPr>
                <w:rFonts w:ascii="Arial"/>
                <w:sz w:val="21"/>
              </w:rPr>
            </w:pPr>
            <w:r>
              <w:pict>
                <v:shape id="_x0000_s3084" o:spid="_x0000_s3084" style="position:absolute;left:0pt;margin-left:-0.25pt;margin-top:179.45pt;height:0.75pt;width:2.2pt;mso-position-horizontal-relative:page;mso-position-vertical-relative:page;z-index:251913216;mso-width-relative:page;mso-height-relative:page;" fillcolor="#5B9BD5" filled="t" stroked="f" coordsize="44,15" path="m0,14l43,14,43,0,0,0,0,14xe">
                  <v:path/>
                  <v:fill on="t" focussize="0,0"/>
                  <v:stroke on="f"/>
                  <v:imagedata o:title=""/>
                  <o:lock v:ext="edit"/>
                </v:shape>
              </w:pict>
            </w:r>
          </w:p>
        </w:tc>
        <w:tc>
          <w:tcPr>
            <w:tcW w:w="539" w:type="dxa"/>
            <w:vMerge w:val="restart"/>
            <w:tcBorders>
              <w:left w:val="nil"/>
              <w:bottom w:val="nil"/>
            </w:tcBorders>
            <w:vAlign w:val="top"/>
          </w:tcPr>
          <w:p w14:paraId="4F41395E">
            <w:pPr>
              <w:spacing w:line="250" w:lineRule="auto"/>
              <w:rPr>
                <w:rFonts w:ascii="Arial"/>
                <w:sz w:val="21"/>
              </w:rPr>
            </w:pPr>
          </w:p>
          <w:p w14:paraId="0FA297B8">
            <w:pPr>
              <w:spacing w:line="250" w:lineRule="auto"/>
              <w:rPr>
                <w:rFonts w:ascii="Arial"/>
                <w:sz w:val="21"/>
              </w:rPr>
            </w:pPr>
          </w:p>
          <w:p w14:paraId="49560E92">
            <w:pPr>
              <w:spacing w:line="250" w:lineRule="auto"/>
              <w:rPr>
                <w:rFonts w:ascii="Arial"/>
                <w:sz w:val="21"/>
              </w:rPr>
            </w:pPr>
          </w:p>
          <w:p w14:paraId="2BBD3402">
            <w:pPr>
              <w:spacing w:line="251" w:lineRule="auto"/>
              <w:rPr>
                <w:rFonts w:ascii="Arial"/>
                <w:sz w:val="21"/>
              </w:rPr>
            </w:pPr>
          </w:p>
          <w:p w14:paraId="6540E38C">
            <w:pPr>
              <w:spacing w:line="251" w:lineRule="auto"/>
              <w:rPr>
                <w:rFonts w:ascii="Arial"/>
                <w:sz w:val="21"/>
              </w:rPr>
            </w:pPr>
          </w:p>
          <w:p w14:paraId="33902E56">
            <w:pPr>
              <w:spacing w:line="251" w:lineRule="auto"/>
              <w:rPr>
                <w:rFonts w:ascii="Arial"/>
                <w:sz w:val="21"/>
              </w:rPr>
            </w:pPr>
          </w:p>
          <w:p w14:paraId="5AFF5B16">
            <w:pPr>
              <w:pStyle w:val="7"/>
              <w:spacing w:before="78" w:line="238" w:lineRule="auto"/>
              <w:ind w:left="135"/>
            </w:pPr>
            <w:r>
              <w:t>4</w:t>
            </w:r>
          </w:p>
        </w:tc>
        <w:tc>
          <w:tcPr>
            <w:tcW w:w="3419" w:type="dxa"/>
            <w:vMerge w:val="restart"/>
            <w:tcBorders>
              <w:bottom w:val="nil"/>
            </w:tcBorders>
            <w:vAlign w:val="top"/>
          </w:tcPr>
          <w:p w14:paraId="1061EFA3">
            <w:pPr>
              <w:spacing w:line="250" w:lineRule="auto"/>
              <w:rPr>
                <w:rFonts w:ascii="Arial"/>
                <w:sz w:val="21"/>
              </w:rPr>
            </w:pPr>
          </w:p>
          <w:p w14:paraId="237FA070">
            <w:pPr>
              <w:spacing w:line="250" w:lineRule="auto"/>
              <w:rPr>
                <w:rFonts w:ascii="Arial"/>
                <w:sz w:val="21"/>
              </w:rPr>
            </w:pPr>
          </w:p>
          <w:p w14:paraId="051EF4FB">
            <w:pPr>
              <w:spacing w:line="250" w:lineRule="auto"/>
              <w:rPr>
                <w:rFonts w:ascii="Arial"/>
                <w:sz w:val="21"/>
              </w:rPr>
            </w:pPr>
          </w:p>
          <w:p w14:paraId="51F3BB0C">
            <w:pPr>
              <w:spacing w:line="251" w:lineRule="auto"/>
              <w:rPr>
                <w:rFonts w:ascii="Arial"/>
                <w:sz w:val="21"/>
              </w:rPr>
            </w:pPr>
          </w:p>
          <w:p w14:paraId="781261FF">
            <w:pPr>
              <w:spacing w:line="251" w:lineRule="auto"/>
              <w:rPr>
                <w:rFonts w:ascii="Arial"/>
                <w:sz w:val="21"/>
              </w:rPr>
            </w:pPr>
          </w:p>
          <w:p w14:paraId="0E78C4E7">
            <w:pPr>
              <w:spacing w:line="251" w:lineRule="auto"/>
              <w:rPr>
                <w:rFonts w:ascii="Arial"/>
                <w:sz w:val="21"/>
              </w:rPr>
            </w:pPr>
          </w:p>
          <w:p w14:paraId="3FC11AAE">
            <w:pPr>
              <w:pStyle w:val="7"/>
              <w:spacing w:before="78" w:line="219" w:lineRule="auto"/>
              <w:ind w:left="1283"/>
            </w:pPr>
            <w:r>
              <w:rPr>
                <w:spacing w:val="-15"/>
              </w:rPr>
              <w:t>伤亡事故</w:t>
            </w:r>
          </w:p>
        </w:tc>
        <w:tc>
          <w:tcPr>
            <w:tcW w:w="4241" w:type="dxa"/>
            <w:tcBorders>
              <w:right w:val="nil"/>
            </w:tcBorders>
            <w:vAlign w:val="top"/>
          </w:tcPr>
          <w:p w14:paraId="58568086">
            <w:pPr>
              <w:pStyle w:val="7"/>
              <w:spacing w:before="111" w:line="218" w:lineRule="auto"/>
              <w:ind w:left="2415"/>
            </w:pPr>
            <w:r>
              <w:rPr>
                <w:spacing w:val="-16"/>
              </w:rPr>
              <w:t>总指挥</w:t>
            </w:r>
          </w:p>
        </w:tc>
        <w:tc>
          <w:tcPr>
            <w:tcW w:w="1216" w:type="dxa"/>
            <w:tcBorders>
              <w:left w:val="nil"/>
              <w:right w:val="single" w:color="000000" w:sz="4" w:space="0"/>
            </w:tcBorders>
            <w:vAlign w:val="top"/>
          </w:tcPr>
          <w:p w14:paraId="213A0586">
            <w:pPr>
              <w:spacing w:before="8" w:line="67" w:lineRule="exact"/>
              <w:ind w:firstLine="1178"/>
            </w:pPr>
            <w:r>
              <w:rPr>
                <w:position w:val="-1"/>
              </w:rPr>
              <w:pict>
                <v:group id="_x0000_s3085" o:spid="_x0000_s3085" o:spt="203" style="height:3.4pt;width:1.45pt;" coordsize="29,68">
                  <o:lock v:ext="edit"/>
                  <v:shape id="_x0000_s3086" o:spid="_x0000_s3086" style="position:absolute;left:14;top:0;height:68;width:15;" fillcolor="#20507B" filled="t" stroked="f" coordsize="15,68" path="m0,67l14,67,14,0,0,0,0,67xe">
                    <v:path/>
                    <v:fill on="t" focussize="0,0"/>
                    <v:stroke on="f"/>
                    <v:imagedata o:title=""/>
                    <o:lock v:ext="edit"/>
                  </v:shape>
                  <v:shape id="_x0000_s3087" o:spid="_x0000_s3087" style="position:absolute;left:0;top:0;height:68;width:15;" fillcolor="#1C456A" filled="t" stroked="f" coordsize="15,68" path="m0,67l14,67,14,0,0,0,0,67xe">
                    <v:path/>
                    <v:fill on="t" focussize="0,0"/>
                    <v:stroke on="f"/>
                    <v:imagedata o:title=""/>
                    <o:lock v:ext="edit"/>
                  </v:shape>
                  <w10:wrap type="none"/>
                  <w10:anchorlock/>
                </v:group>
              </w:pict>
            </w:r>
          </w:p>
        </w:tc>
      </w:tr>
      <w:tr w14:paraId="7CE3F7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7" w:hRule="atLeast"/>
        </w:trPr>
        <w:tc>
          <w:tcPr>
            <w:tcW w:w="184" w:type="dxa"/>
            <w:vMerge w:val="continue"/>
            <w:tcBorders>
              <w:top w:val="nil"/>
              <w:left w:val="single" w:color="1C456A" w:sz="4" w:space="0"/>
              <w:bottom w:val="nil"/>
              <w:right w:val="nil"/>
            </w:tcBorders>
            <w:vAlign w:val="top"/>
          </w:tcPr>
          <w:p w14:paraId="1EEC9525">
            <w:pPr>
              <w:rPr>
                <w:rFonts w:ascii="Arial"/>
                <w:sz w:val="21"/>
              </w:rPr>
            </w:pPr>
          </w:p>
        </w:tc>
        <w:tc>
          <w:tcPr>
            <w:tcW w:w="539" w:type="dxa"/>
            <w:vMerge w:val="continue"/>
            <w:tcBorders>
              <w:top w:val="nil"/>
              <w:left w:val="nil"/>
              <w:bottom w:val="nil"/>
            </w:tcBorders>
            <w:vAlign w:val="top"/>
          </w:tcPr>
          <w:p w14:paraId="740C31A5">
            <w:pPr>
              <w:rPr>
                <w:rFonts w:ascii="Arial"/>
                <w:sz w:val="21"/>
              </w:rPr>
            </w:pPr>
          </w:p>
        </w:tc>
        <w:tc>
          <w:tcPr>
            <w:tcW w:w="3419" w:type="dxa"/>
            <w:vMerge w:val="continue"/>
            <w:tcBorders>
              <w:top w:val="nil"/>
              <w:bottom w:val="nil"/>
            </w:tcBorders>
            <w:vAlign w:val="top"/>
          </w:tcPr>
          <w:p w14:paraId="544D732E">
            <w:pPr>
              <w:rPr>
                <w:rFonts w:ascii="Arial"/>
                <w:sz w:val="21"/>
              </w:rPr>
            </w:pPr>
          </w:p>
        </w:tc>
        <w:tc>
          <w:tcPr>
            <w:tcW w:w="4241" w:type="dxa"/>
            <w:tcBorders>
              <w:right w:val="nil"/>
            </w:tcBorders>
            <w:vAlign w:val="top"/>
          </w:tcPr>
          <w:p w14:paraId="32B16D30">
            <w:pPr>
              <w:pStyle w:val="7"/>
              <w:spacing w:before="107" w:line="218" w:lineRule="auto"/>
              <w:ind w:left="2513"/>
            </w:pPr>
            <w:r>
              <w:rPr>
                <w:spacing w:val="-10"/>
              </w:rPr>
              <w:t>指挥</w:t>
            </w:r>
          </w:p>
        </w:tc>
        <w:tc>
          <w:tcPr>
            <w:tcW w:w="1216" w:type="dxa"/>
            <w:tcBorders>
              <w:left w:val="nil"/>
              <w:right w:val="single" w:color="000000" w:sz="4" w:space="0"/>
            </w:tcBorders>
            <w:vAlign w:val="top"/>
          </w:tcPr>
          <w:p w14:paraId="4BE9E42F">
            <w:pPr>
              <w:spacing w:before="6" w:line="67" w:lineRule="exact"/>
              <w:ind w:firstLine="1178"/>
            </w:pPr>
            <w:r>
              <w:rPr>
                <w:position w:val="-1"/>
              </w:rPr>
              <w:pict>
                <v:group id="_x0000_s3088" o:spid="_x0000_s3088" o:spt="203" style="height:3.4pt;width:1.45pt;" coordsize="29,68">
                  <o:lock v:ext="edit"/>
                  <v:shape id="_x0000_s3089" o:spid="_x0000_s3089" style="position:absolute;left:14;top:0;height:68;width:15;" fillcolor="#20507B" filled="t" stroked="f" coordsize="15,68" path="m0,67l14,67,14,0,0,0,0,67xe">
                    <v:path/>
                    <v:fill on="t" focussize="0,0"/>
                    <v:stroke on="f"/>
                    <v:imagedata o:title=""/>
                    <o:lock v:ext="edit"/>
                  </v:shape>
                  <v:shape id="_x0000_s3090" o:spid="_x0000_s3090" style="position:absolute;left:0;top:0;height:68;width:15;" fillcolor="#1C456A" filled="t" stroked="f" coordsize="15,68" path="m0,67l14,67,14,0,0,0,0,67xe">
                    <v:path/>
                    <v:fill on="t" focussize="0,0"/>
                    <v:stroke on="f"/>
                    <v:imagedata o:title=""/>
                    <o:lock v:ext="edit"/>
                  </v:shape>
                  <w10:wrap type="none"/>
                  <w10:anchorlock/>
                </v:group>
              </w:pict>
            </w:r>
          </w:p>
        </w:tc>
      </w:tr>
      <w:tr w14:paraId="1770A1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7" w:hRule="atLeast"/>
        </w:trPr>
        <w:tc>
          <w:tcPr>
            <w:tcW w:w="184" w:type="dxa"/>
            <w:vMerge w:val="continue"/>
            <w:tcBorders>
              <w:top w:val="nil"/>
              <w:left w:val="single" w:color="1C456A" w:sz="4" w:space="0"/>
              <w:bottom w:val="nil"/>
              <w:right w:val="nil"/>
            </w:tcBorders>
            <w:vAlign w:val="top"/>
          </w:tcPr>
          <w:p w14:paraId="1A71463F">
            <w:pPr>
              <w:rPr>
                <w:rFonts w:ascii="Arial"/>
                <w:sz w:val="21"/>
              </w:rPr>
            </w:pPr>
          </w:p>
        </w:tc>
        <w:tc>
          <w:tcPr>
            <w:tcW w:w="539" w:type="dxa"/>
            <w:vMerge w:val="continue"/>
            <w:tcBorders>
              <w:top w:val="nil"/>
              <w:left w:val="nil"/>
              <w:bottom w:val="nil"/>
            </w:tcBorders>
            <w:vAlign w:val="top"/>
          </w:tcPr>
          <w:p w14:paraId="5FE04A65">
            <w:pPr>
              <w:rPr>
                <w:rFonts w:ascii="Arial"/>
                <w:sz w:val="21"/>
              </w:rPr>
            </w:pPr>
          </w:p>
        </w:tc>
        <w:tc>
          <w:tcPr>
            <w:tcW w:w="3419" w:type="dxa"/>
            <w:vMerge w:val="continue"/>
            <w:tcBorders>
              <w:top w:val="nil"/>
              <w:bottom w:val="nil"/>
            </w:tcBorders>
            <w:vAlign w:val="top"/>
          </w:tcPr>
          <w:p w14:paraId="25715B53">
            <w:pPr>
              <w:rPr>
                <w:rFonts w:ascii="Arial"/>
                <w:sz w:val="21"/>
              </w:rPr>
            </w:pPr>
          </w:p>
        </w:tc>
        <w:tc>
          <w:tcPr>
            <w:tcW w:w="4241" w:type="dxa"/>
            <w:tcBorders>
              <w:right w:val="nil"/>
            </w:tcBorders>
            <w:vAlign w:val="top"/>
          </w:tcPr>
          <w:p w14:paraId="5F308CB6">
            <w:pPr>
              <w:pStyle w:val="7"/>
              <w:spacing w:before="108" w:line="217" w:lineRule="auto"/>
              <w:ind w:left="2191"/>
            </w:pPr>
            <w:r>
              <w:rPr>
                <w:spacing w:val="-18"/>
              </w:rPr>
              <w:t>通讯联络员</w:t>
            </w:r>
          </w:p>
        </w:tc>
        <w:tc>
          <w:tcPr>
            <w:tcW w:w="1216" w:type="dxa"/>
            <w:tcBorders>
              <w:left w:val="nil"/>
              <w:right w:val="single" w:color="000000" w:sz="4" w:space="0"/>
            </w:tcBorders>
            <w:vAlign w:val="top"/>
          </w:tcPr>
          <w:p w14:paraId="032EAD64">
            <w:pPr>
              <w:spacing w:before="4" w:line="68" w:lineRule="exact"/>
              <w:ind w:firstLine="1178"/>
            </w:pPr>
            <w:r>
              <w:rPr>
                <w:position w:val="-1"/>
              </w:rPr>
              <w:pict>
                <v:group id="_x0000_s3091" o:spid="_x0000_s3091" o:spt="203" style="height:3.4pt;width:1.45pt;" coordsize="29,68">
                  <o:lock v:ext="edit"/>
                  <v:shape id="_x0000_s3092" o:spid="_x0000_s3092" style="position:absolute;left:14;top:0;height:68;width:15;" fillcolor="#20507B" filled="t" stroked="f" coordsize="15,68" path="m0,67l14,67,14,0,0,0,0,67xe">
                    <v:path/>
                    <v:fill on="t" focussize="0,0"/>
                    <v:stroke on="f"/>
                    <v:imagedata o:title=""/>
                    <o:lock v:ext="edit"/>
                  </v:shape>
                  <v:shape id="_x0000_s3093" o:spid="_x0000_s3093" style="position:absolute;left:0;top:0;height:68;width:15;" fillcolor="#1C456A" filled="t" stroked="f" coordsize="15,68" path="m0,67l14,67,14,0,0,0,0,67xe">
                    <v:path/>
                    <v:fill on="t" focussize="0,0"/>
                    <v:stroke on="f"/>
                    <v:imagedata o:title=""/>
                    <o:lock v:ext="edit"/>
                  </v:shape>
                  <w10:wrap type="none"/>
                  <w10:anchorlock/>
                </v:group>
              </w:pict>
            </w:r>
          </w:p>
        </w:tc>
      </w:tr>
      <w:tr w14:paraId="49900E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7" w:hRule="atLeast"/>
        </w:trPr>
        <w:tc>
          <w:tcPr>
            <w:tcW w:w="184" w:type="dxa"/>
            <w:vMerge w:val="continue"/>
            <w:tcBorders>
              <w:top w:val="nil"/>
              <w:left w:val="single" w:color="1C456A" w:sz="4" w:space="0"/>
              <w:bottom w:val="nil"/>
              <w:right w:val="nil"/>
            </w:tcBorders>
            <w:vAlign w:val="top"/>
          </w:tcPr>
          <w:p w14:paraId="71E9BC86">
            <w:pPr>
              <w:rPr>
                <w:rFonts w:ascii="Arial"/>
                <w:sz w:val="21"/>
              </w:rPr>
            </w:pPr>
          </w:p>
        </w:tc>
        <w:tc>
          <w:tcPr>
            <w:tcW w:w="539" w:type="dxa"/>
            <w:vMerge w:val="continue"/>
            <w:tcBorders>
              <w:top w:val="nil"/>
              <w:left w:val="nil"/>
              <w:bottom w:val="nil"/>
            </w:tcBorders>
            <w:vAlign w:val="top"/>
          </w:tcPr>
          <w:p w14:paraId="0211DFB0">
            <w:pPr>
              <w:rPr>
                <w:rFonts w:ascii="Arial"/>
                <w:sz w:val="21"/>
              </w:rPr>
            </w:pPr>
          </w:p>
        </w:tc>
        <w:tc>
          <w:tcPr>
            <w:tcW w:w="3419" w:type="dxa"/>
            <w:vMerge w:val="continue"/>
            <w:tcBorders>
              <w:top w:val="nil"/>
              <w:bottom w:val="nil"/>
            </w:tcBorders>
            <w:vAlign w:val="top"/>
          </w:tcPr>
          <w:p w14:paraId="0A33CBA7">
            <w:pPr>
              <w:rPr>
                <w:rFonts w:ascii="Arial"/>
                <w:sz w:val="21"/>
              </w:rPr>
            </w:pPr>
          </w:p>
        </w:tc>
        <w:tc>
          <w:tcPr>
            <w:tcW w:w="4241" w:type="dxa"/>
            <w:tcBorders>
              <w:right w:val="nil"/>
            </w:tcBorders>
            <w:vAlign w:val="top"/>
          </w:tcPr>
          <w:p w14:paraId="6C5537AC">
            <w:pPr>
              <w:pStyle w:val="7"/>
              <w:spacing w:before="106" w:line="219" w:lineRule="auto"/>
              <w:ind w:left="2186"/>
            </w:pPr>
            <w:r>
              <w:rPr>
                <w:spacing w:val="-17"/>
              </w:rPr>
              <w:t>现场疏导员</w:t>
            </w:r>
          </w:p>
        </w:tc>
        <w:tc>
          <w:tcPr>
            <w:tcW w:w="1216" w:type="dxa"/>
            <w:tcBorders>
              <w:left w:val="nil"/>
              <w:right w:val="single" w:color="000000" w:sz="4" w:space="0"/>
            </w:tcBorders>
            <w:vAlign w:val="top"/>
          </w:tcPr>
          <w:p w14:paraId="6747DD6C">
            <w:pPr>
              <w:spacing w:before="3" w:line="67" w:lineRule="exact"/>
              <w:ind w:firstLine="1178"/>
            </w:pPr>
            <w:r>
              <w:rPr>
                <w:position w:val="-1"/>
              </w:rPr>
              <w:pict>
                <v:group id="_x0000_s3094" o:spid="_x0000_s3094" o:spt="203" style="height:3.4pt;width:1.45pt;" coordsize="29,68">
                  <o:lock v:ext="edit"/>
                  <v:shape id="_x0000_s3095" o:spid="_x0000_s3095" style="position:absolute;left:14;top:0;height:68;width:15;" fillcolor="#20507B" filled="t" stroked="f" coordsize="15,68" path="m0,67l14,67,14,0,0,0,0,67xe">
                    <v:path/>
                    <v:fill on="t" focussize="0,0"/>
                    <v:stroke on="f"/>
                    <v:imagedata o:title=""/>
                    <o:lock v:ext="edit"/>
                  </v:shape>
                  <v:shape id="_x0000_s3096" o:spid="_x0000_s3096" style="position:absolute;left:0;top:0;height:68;width:15;" fillcolor="#1C456A" filled="t" stroked="f" coordsize="15,68" path="m0,67l14,67,14,0,0,0,0,67xe">
                    <v:path/>
                    <v:fill on="t" focussize="0,0"/>
                    <v:stroke on="f"/>
                    <v:imagedata o:title=""/>
                    <o:lock v:ext="edit"/>
                  </v:shape>
                  <w10:wrap type="none"/>
                  <w10:anchorlock/>
                </v:group>
              </w:pict>
            </w:r>
          </w:p>
        </w:tc>
      </w:tr>
      <w:tr w14:paraId="4B5922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86" w:hRule="atLeast"/>
        </w:trPr>
        <w:tc>
          <w:tcPr>
            <w:tcW w:w="184" w:type="dxa"/>
            <w:vMerge w:val="continue"/>
            <w:tcBorders>
              <w:top w:val="nil"/>
              <w:left w:val="single" w:color="1C456A" w:sz="4" w:space="0"/>
              <w:bottom w:val="nil"/>
              <w:right w:val="nil"/>
            </w:tcBorders>
            <w:vAlign w:val="top"/>
          </w:tcPr>
          <w:p w14:paraId="33B93CB7">
            <w:pPr>
              <w:rPr>
                <w:rFonts w:ascii="Arial"/>
                <w:sz w:val="21"/>
              </w:rPr>
            </w:pPr>
          </w:p>
        </w:tc>
        <w:tc>
          <w:tcPr>
            <w:tcW w:w="539" w:type="dxa"/>
            <w:vMerge w:val="continue"/>
            <w:tcBorders>
              <w:top w:val="nil"/>
              <w:left w:val="nil"/>
              <w:bottom w:val="nil"/>
            </w:tcBorders>
            <w:vAlign w:val="top"/>
          </w:tcPr>
          <w:p w14:paraId="44A216A9">
            <w:pPr>
              <w:rPr>
                <w:rFonts w:ascii="Arial"/>
                <w:sz w:val="21"/>
              </w:rPr>
            </w:pPr>
          </w:p>
        </w:tc>
        <w:tc>
          <w:tcPr>
            <w:tcW w:w="3419" w:type="dxa"/>
            <w:vMerge w:val="continue"/>
            <w:tcBorders>
              <w:top w:val="nil"/>
              <w:bottom w:val="nil"/>
            </w:tcBorders>
            <w:vAlign w:val="top"/>
          </w:tcPr>
          <w:p w14:paraId="584A2446">
            <w:pPr>
              <w:rPr>
                <w:rFonts w:ascii="Arial"/>
                <w:sz w:val="21"/>
              </w:rPr>
            </w:pPr>
          </w:p>
        </w:tc>
        <w:tc>
          <w:tcPr>
            <w:tcW w:w="4241" w:type="dxa"/>
            <w:tcBorders>
              <w:right w:val="nil"/>
            </w:tcBorders>
            <w:vAlign w:val="top"/>
          </w:tcPr>
          <w:p w14:paraId="6178F23C">
            <w:pPr>
              <w:pStyle w:val="7"/>
              <w:spacing w:before="104" w:line="219" w:lineRule="auto"/>
              <w:ind w:left="2407"/>
            </w:pPr>
            <w:r>
              <w:rPr>
                <w:spacing w:val="-14"/>
              </w:rPr>
              <w:t>运输队</w:t>
            </w:r>
          </w:p>
        </w:tc>
        <w:tc>
          <w:tcPr>
            <w:tcW w:w="1216" w:type="dxa"/>
            <w:tcBorders>
              <w:left w:val="nil"/>
              <w:right w:val="single" w:color="000000" w:sz="4" w:space="0"/>
            </w:tcBorders>
            <w:vAlign w:val="top"/>
          </w:tcPr>
          <w:p w14:paraId="2904D8D2">
            <w:pPr>
              <w:spacing w:before="1" w:line="67" w:lineRule="exact"/>
              <w:ind w:firstLine="1178"/>
            </w:pPr>
            <w:r>
              <w:rPr>
                <w:position w:val="-1"/>
              </w:rPr>
              <w:pict>
                <v:group id="_x0000_s3097" o:spid="_x0000_s3097" o:spt="203" style="height:3.4pt;width:1.45pt;" coordsize="29,68">
                  <o:lock v:ext="edit"/>
                  <v:shape id="_x0000_s3098" o:spid="_x0000_s3098" style="position:absolute;left:14;top:0;height:68;width:15;" fillcolor="#20507B" filled="t" stroked="f" coordsize="15,68" path="m0,67l14,67,14,0,0,0,0,67xe">
                    <v:path/>
                    <v:fill on="t" focussize="0,0"/>
                    <v:stroke on="f"/>
                    <v:imagedata o:title=""/>
                    <o:lock v:ext="edit"/>
                  </v:shape>
                  <v:shape id="_x0000_s3099" o:spid="_x0000_s3099" style="position:absolute;left:0;top:0;height:68;width:15;" fillcolor="#1C456A" filled="t" stroked="f" coordsize="15,68" path="m0,67l14,67,14,0,0,0,0,67xe">
                    <v:path/>
                    <v:fill on="t" focussize="0,0"/>
                    <v:stroke on="f"/>
                    <v:imagedata o:title=""/>
                    <o:lock v:ext="edit"/>
                  </v:shape>
                  <w10:wrap type="none"/>
                  <w10:anchorlock/>
                </v:group>
              </w:pict>
            </w:r>
          </w:p>
        </w:tc>
      </w:tr>
      <w:tr w14:paraId="2BCB13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7" w:hRule="atLeast"/>
        </w:trPr>
        <w:tc>
          <w:tcPr>
            <w:tcW w:w="184" w:type="dxa"/>
            <w:vMerge w:val="continue"/>
            <w:tcBorders>
              <w:top w:val="nil"/>
              <w:left w:val="single" w:color="1C456A" w:sz="4" w:space="0"/>
              <w:bottom w:val="single" w:color="1C456A" w:sz="4" w:space="0"/>
              <w:right w:val="nil"/>
            </w:tcBorders>
            <w:vAlign w:val="top"/>
          </w:tcPr>
          <w:p w14:paraId="58E8C5E7">
            <w:pPr>
              <w:rPr>
                <w:rFonts w:ascii="Arial"/>
                <w:sz w:val="21"/>
              </w:rPr>
            </w:pPr>
          </w:p>
        </w:tc>
        <w:tc>
          <w:tcPr>
            <w:tcW w:w="539" w:type="dxa"/>
            <w:vMerge w:val="continue"/>
            <w:tcBorders>
              <w:top w:val="nil"/>
              <w:left w:val="nil"/>
              <w:bottom w:val="single" w:color="1C456A" w:sz="4" w:space="0"/>
            </w:tcBorders>
            <w:vAlign w:val="top"/>
          </w:tcPr>
          <w:p w14:paraId="1A6A5663">
            <w:pPr>
              <w:rPr>
                <w:rFonts w:ascii="Arial"/>
                <w:sz w:val="21"/>
              </w:rPr>
            </w:pPr>
          </w:p>
        </w:tc>
        <w:tc>
          <w:tcPr>
            <w:tcW w:w="3419" w:type="dxa"/>
            <w:vMerge w:val="continue"/>
            <w:tcBorders>
              <w:top w:val="nil"/>
              <w:bottom w:val="single" w:color="000000" w:sz="4" w:space="0"/>
            </w:tcBorders>
            <w:vAlign w:val="top"/>
          </w:tcPr>
          <w:p w14:paraId="29C678DC">
            <w:pPr>
              <w:rPr>
                <w:rFonts w:ascii="Arial"/>
                <w:sz w:val="21"/>
              </w:rPr>
            </w:pPr>
          </w:p>
        </w:tc>
        <w:tc>
          <w:tcPr>
            <w:tcW w:w="4241" w:type="dxa"/>
            <w:tcBorders>
              <w:bottom w:val="single" w:color="5B9BD5" w:sz="4" w:space="0"/>
              <w:right w:val="nil"/>
            </w:tcBorders>
            <w:vAlign w:val="top"/>
          </w:tcPr>
          <w:p w14:paraId="043103DE">
            <w:pPr>
              <w:pStyle w:val="7"/>
              <w:spacing w:before="104" w:line="218" w:lineRule="auto"/>
              <w:ind w:left="2403"/>
            </w:pPr>
            <w:r>
              <w:rPr>
                <w:spacing w:val="-13"/>
              </w:rPr>
              <w:t>救护队</w:t>
            </w:r>
          </w:p>
        </w:tc>
        <w:tc>
          <w:tcPr>
            <w:tcW w:w="1216" w:type="dxa"/>
            <w:tcBorders>
              <w:left w:val="nil"/>
              <w:bottom w:val="single" w:color="5B9BD5" w:sz="4" w:space="0"/>
              <w:right w:val="single" w:color="5B9BD5" w:sz="4" w:space="0"/>
            </w:tcBorders>
            <w:vAlign w:val="top"/>
          </w:tcPr>
          <w:p w14:paraId="1C3E5387">
            <w:pPr>
              <w:spacing w:before="1" w:line="67" w:lineRule="exact"/>
              <w:ind w:firstLine="1178"/>
            </w:pPr>
            <w:r>
              <w:pict>
                <v:shape id="_x0000_s3100" o:spid="_x0000_s3100" style="position:absolute;left:0pt;margin-left:58.95pt;margin-top:31.35pt;height:0.75pt;width:2.2pt;mso-position-horizontal-relative:page;mso-position-vertical-relative:page;z-index:251914240;mso-width-relative:page;mso-height-relative:page;" fillcolor="#5B9BD5" filled="t" stroked="f" coordsize="44,15" path="m0,14l43,14,43,0,0,0,0,14xe">
                  <v:path/>
                  <v:fill on="t" focussize="0,0"/>
                  <v:stroke on="f"/>
                  <v:imagedata o:title=""/>
                  <o:lock v:ext="edit"/>
                </v:shape>
              </w:pict>
            </w:r>
            <w:r>
              <w:rPr>
                <w:position w:val="-1"/>
              </w:rPr>
              <w:pict>
                <v:group id="_x0000_s3101" o:spid="_x0000_s3101" o:spt="203" style="height:3.4pt;width:1.45pt;" coordsize="29,68">
                  <o:lock v:ext="edit"/>
                  <v:shape id="_x0000_s3102" o:spid="_x0000_s3102" style="position:absolute;left:14;top:0;height:68;width:15;" fillcolor="#20507B" filled="t" stroked="f" coordsize="15,68" path="m0,67l14,67,14,0,0,0,0,67xe">
                    <v:path/>
                    <v:fill on="t" focussize="0,0"/>
                    <v:stroke on="f"/>
                    <v:imagedata o:title=""/>
                    <o:lock v:ext="edit"/>
                  </v:shape>
                  <v:shape id="_x0000_s3103" o:spid="_x0000_s3103" style="position:absolute;left:0;top:0;height:68;width:15;" fillcolor="#1C456A" filled="t" stroked="f" coordsize="15,68" path="m0,67l14,67,14,0,0,0,0,67xe">
                    <v:path/>
                    <v:fill on="t" focussize="0,0"/>
                    <v:stroke on="f"/>
                    <v:imagedata o:title=""/>
                    <o:lock v:ext="edit"/>
                  </v:shape>
                  <w10:wrap type="none"/>
                  <w10:anchorlock/>
                </v:group>
              </w:pict>
            </w:r>
          </w:p>
        </w:tc>
      </w:tr>
    </w:tbl>
    <w:p w14:paraId="6802C1E8">
      <w:pPr>
        <w:rPr>
          <w:rFonts w:ascii="Arial"/>
          <w:sz w:val="21"/>
        </w:rPr>
      </w:pPr>
    </w:p>
    <w:p w14:paraId="2E7A2028">
      <w:pPr>
        <w:rPr>
          <w:rFonts w:ascii="Arial" w:hAnsi="Arial" w:eastAsia="Arial" w:cs="Arial"/>
          <w:sz w:val="21"/>
          <w:szCs w:val="21"/>
        </w:rPr>
        <w:sectPr>
          <w:footerReference r:id="rId149" w:type="default"/>
          <w:pgSz w:w="11907" w:h="16839"/>
          <w:pgMar w:top="954" w:right="4" w:bottom="1038" w:left="0" w:header="499" w:footer="357" w:gutter="0"/>
          <w:pgBorders>
            <w:top w:val="none" w:sz="0" w:space="0"/>
            <w:left w:val="none" w:sz="0" w:space="0"/>
            <w:bottom w:val="none" w:sz="0" w:space="0"/>
            <w:right w:val="none" w:sz="0" w:space="0"/>
          </w:pgBorders>
          <w:cols w:space="720" w:num="1"/>
        </w:sectPr>
      </w:pPr>
    </w:p>
    <w:p w14:paraId="60D9815F">
      <w:pPr>
        <w:spacing w:line="214" w:lineRule="exact"/>
      </w:pPr>
    </w:p>
    <w:tbl>
      <w:tblPr>
        <w:tblStyle w:val="6"/>
        <w:tblW w:w="9599" w:type="dxa"/>
        <w:tblInd w:w="115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85"/>
        <w:gridCol w:w="537"/>
        <w:gridCol w:w="3419"/>
        <w:gridCol w:w="4295"/>
        <w:gridCol w:w="1163"/>
      </w:tblGrid>
      <w:tr w14:paraId="34AF66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1" w:hRule="atLeast"/>
        </w:trPr>
        <w:tc>
          <w:tcPr>
            <w:tcW w:w="722" w:type="dxa"/>
            <w:gridSpan w:val="2"/>
            <w:vMerge w:val="restart"/>
            <w:tcBorders>
              <w:top w:val="single" w:color="000000" w:sz="4" w:space="0"/>
              <w:left w:val="single" w:color="000000" w:sz="4" w:space="0"/>
              <w:bottom w:val="nil"/>
            </w:tcBorders>
            <w:vAlign w:val="top"/>
          </w:tcPr>
          <w:p w14:paraId="64F7E0D4">
            <w:pPr>
              <w:spacing w:line="258" w:lineRule="auto"/>
              <w:rPr>
                <w:rFonts w:ascii="Arial"/>
                <w:sz w:val="21"/>
              </w:rPr>
            </w:pPr>
          </w:p>
          <w:p w14:paraId="2C81A3C5">
            <w:pPr>
              <w:spacing w:line="258" w:lineRule="auto"/>
              <w:rPr>
                <w:rFonts w:ascii="Arial"/>
                <w:sz w:val="21"/>
              </w:rPr>
            </w:pPr>
          </w:p>
          <w:p w14:paraId="25FD6991">
            <w:pPr>
              <w:spacing w:line="259" w:lineRule="auto"/>
              <w:rPr>
                <w:rFonts w:ascii="Arial"/>
                <w:sz w:val="21"/>
              </w:rPr>
            </w:pPr>
          </w:p>
          <w:p w14:paraId="64A78F82">
            <w:pPr>
              <w:spacing w:line="259" w:lineRule="auto"/>
              <w:rPr>
                <w:rFonts w:ascii="Arial"/>
                <w:sz w:val="21"/>
              </w:rPr>
            </w:pPr>
          </w:p>
          <w:p w14:paraId="2577664B">
            <w:pPr>
              <w:spacing w:line="259" w:lineRule="auto"/>
              <w:rPr>
                <w:rFonts w:ascii="Arial"/>
                <w:sz w:val="21"/>
              </w:rPr>
            </w:pPr>
          </w:p>
          <w:p w14:paraId="3E72B93A">
            <w:pPr>
              <w:spacing w:line="259" w:lineRule="auto"/>
              <w:rPr>
                <w:rFonts w:ascii="Arial"/>
                <w:sz w:val="21"/>
              </w:rPr>
            </w:pPr>
          </w:p>
          <w:p w14:paraId="7CDF075A">
            <w:pPr>
              <w:spacing w:line="259" w:lineRule="auto"/>
              <w:rPr>
                <w:rFonts w:ascii="Arial"/>
                <w:sz w:val="21"/>
              </w:rPr>
            </w:pPr>
          </w:p>
          <w:p w14:paraId="65702B09">
            <w:pPr>
              <w:pStyle w:val="7"/>
              <w:spacing w:before="78" w:line="237" w:lineRule="auto"/>
              <w:ind w:left="320"/>
            </w:pPr>
            <w:r>
              <w:t>5</w:t>
            </w:r>
          </w:p>
        </w:tc>
        <w:tc>
          <w:tcPr>
            <w:tcW w:w="3419" w:type="dxa"/>
            <w:vMerge w:val="restart"/>
            <w:tcBorders>
              <w:top w:val="single" w:color="000000" w:sz="4" w:space="0"/>
              <w:bottom w:val="nil"/>
            </w:tcBorders>
            <w:vAlign w:val="top"/>
          </w:tcPr>
          <w:p w14:paraId="436CEE48">
            <w:pPr>
              <w:spacing w:line="263" w:lineRule="auto"/>
              <w:rPr>
                <w:rFonts w:ascii="Arial"/>
                <w:sz w:val="21"/>
              </w:rPr>
            </w:pPr>
          </w:p>
          <w:p w14:paraId="1F814DC7">
            <w:pPr>
              <w:spacing w:line="263" w:lineRule="auto"/>
              <w:rPr>
                <w:rFonts w:ascii="Arial"/>
                <w:sz w:val="21"/>
              </w:rPr>
            </w:pPr>
          </w:p>
          <w:p w14:paraId="1CCDB8D4">
            <w:pPr>
              <w:spacing w:line="263" w:lineRule="auto"/>
              <w:rPr>
                <w:rFonts w:ascii="Arial"/>
                <w:sz w:val="21"/>
              </w:rPr>
            </w:pPr>
          </w:p>
          <w:p w14:paraId="30BAD136">
            <w:pPr>
              <w:spacing w:line="263" w:lineRule="auto"/>
              <w:rPr>
                <w:rFonts w:ascii="Arial"/>
                <w:sz w:val="21"/>
              </w:rPr>
            </w:pPr>
          </w:p>
          <w:p w14:paraId="3191A8C9">
            <w:pPr>
              <w:spacing w:line="263" w:lineRule="auto"/>
              <w:rPr>
                <w:rFonts w:ascii="Arial"/>
                <w:sz w:val="21"/>
              </w:rPr>
            </w:pPr>
          </w:p>
          <w:p w14:paraId="0884AB79">
            <w:pPr>
              <w:spacing w:line="264" w:lineRule="auto"/>
              <w:rPr>
                <w:rFonts w:ascii="Arial"/>
                <w:sz w:val="21"/>
              </w:rPr>
            </w:pPr>
          </w:p>
          <w:p w14:paraId="5D9876A9">
            <w:pPr>
              <w:pStyle w:val="7"/>
              <w:spacing w:before="78" w:line="220" w:lineRule="auto"/>
              <w:ind w:left="1285"/>
            </w:pPr>
            <w:r>
              <w:rPr>
                <w:spacing w:val="-16"/>
              </w:rPr>
              <w:t>严重管道</w:t>
            </w:r>
          </w:p>
          <w:p w14:paraId="4B2909C1">
            <w:pPr>
              <w:pStyle w:val="7"/>
              <w:spacing w:before="182" w:line="220" w:lineRule="auto"/>
              <w:ind w:left="1498"/>
            </w:pPr>
            <w:r>
              <w:rPr>
                <w:spacing w:val="-10"/>
              </w:rPr>
              <w:t>破裂</w:t>
            </w:r>
          </w:p>
        </w:tc>
        <w:tc>
          <w:tcPr>
            <w:tcW w:w="5458" w:type="dxa"/>
            <w:gridSpan w:val="2"/>
            <w:tcBorders>
              <w:top w:val="single" w:color="5B9BD5" w:sz="4" w:space="0"/>
              <w:right w:val="single" w:color="5B9BD5" w:sz="4" w:space="0"/>
            </w:tcBorders>
            <w:vAlign w:val="top"/>
          </w:tcPr>
          <w:p w14:paraId="4850E3F8">
            <w:pPr>
              <w:pStyle w:val="7"/>
              <w:spacing w:before="129" w:line="221" w:lineRule="auto"/>
              <w:ind w:left="2515"/>
            </w:pPr>
            <w:r>
              <w:rPr>
                <w:spacing w:val="-10"/>
              </w:rPr>
              <w:t>组长</w:t>
            </w:r>
          </w:p>
        </w:tc>
      </w:tr>
      <w:tr w14:paraId="2C5A60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5" w:hRule="atLeast"/>
        </w:trPr>
        <w:tc>
          <w:tcPr>
            <w:tcW w:w="722" w:type="dxa"/>
            <w:gridSpan w:val="2"/>
            <w:vMerge w:val="continue"/>
            <w:tcBorders>
              <w:top w:val="nil"/>
              <w:left w:val="single" w:color="000000" w:sz="4" w:space="0"/>
              <w:bottom w:val="nil"/>
            </w:tcBorders>
            <w:vAlign w:val="top"/>
          </w:tcPr>
          <w:p w14:paraId="62E5AD2F">
            <w:pPr>
              <w:rPr>
                <w:rFonts w:ascii="Arial"/>
                <w:sz w:val="21"/>
              </w:rPr>
            </w:pPr>
          </w:p>
        </w:tc>
        <w:tc>
          <w:tcPr>
            <w:tcW w:w="3419" w:type="dxa"/>
            <w:vMerge w:val="continue"/>
            <w:tcBorders>
              <w:top w:val="nil"/>
              <w:bottom w:val="nil"/>
            </w:tcBorders>
            <w:vAlign w:val="top"/>
          </w:tcPr>
          <w:p w14:paraId="3957F2F4">
            <w:pPr>
              <w:rPr>
                <w:rFonts w:ascii="Arial"/>
                <w:sz w:val="21"/>
              </w:rPr>
            </w:pPr>
          </w:p>
        </w:tc>
        <w:tc>
          <w:tcPr>
            <w:tcW w:w="4295" w:type="dxa"/>
            <w:tcBorders>
              <w:right w:val="nil"/>
            </w:tcBorders>
            <w:vAlign w:val="top"/>
          </w:tcPr>
          <w:p w14:paraId="4D71A404">
            <w:pPr>
              <w:pStyle w:val="7"/>
              <w:spacing w:before="94" w:line="218" w:lineRule="auto"/>
              <w:ind w:left="2305"/>
            </w:pPr>
            <w:r>
              <w:rPr>
                <w:spacing w:val="-17"/>
              </w:rPr>
              <w:t>副指挥长</w:t>
            </w:r>
          </w:p>
        </w:tc>
        <w:tc>
          <w:tcPr>
            <w:tcW w:w="1163" w:type="dxa"/>
            <w:tcBorders>
              <w:left w:val="nil"/>
              <w:right w:val="single" w:color="000000" w:sz="4" w:space="0"/>
            </w:tcBorders>
            <w:vAlign w:val="top"/>
          </w:tcPr>
          <w:p w14:paraId="6A3A7BB9">
            <w:pPr>
              <w:spacing w:line="57" w:lineRule="exact"/>
              <w:ind w:firstLine="1125"/>
            </w:pPr>
            <w:r>
              <w:rPr>
                <w:position w:val="-1"/>
              </w:rPr>
              <w:pict>
                <v:group id="_x0000_s3104" o:spid="_x0000_s3104" o:spt="203" style="height:3.4pt;width:1.45pt;" coordsize="29,68">
                  <o:lock v:ext="edit"/>
                  <v:shape id="_x0000_s3105" o:spid="_x0000_s3105" style="position:absolute;left:14;top:0;height:68;width:15;" fillcolor="#20507B" filled="t" stroked="f" coordsize="15,68" path="m0,67l14,67,14,0,0,0,0,67xe">
                    <v:path/>
                    <v:fill on="t" focussize="0,0"/>
                    <v:stroke on="f"/>
                    <v:imagedata o:title=""/>
                    <o:lock v:ext="edit"/>
                  </v:shape>
                  <v:shape id="_x0000_s3106" o:spid="_x0000_s3106" style="position:absolute;left:0;top:0;height:68;width:15;" fillcolor="#1C456A" filled="t" stroked="f" coordsize="15,68" path="m0,67l14,67,14,0,0,0,0,67xe">
                    <v:path/>
                    <v:fill on="t" focussize="0,0"/>
                    <v:stroke on="f"/>
                    <v:imagedata o:title=""/>
                    <o:lock v:ext="edit"/>
                  </v:shape>
                  <w10:wrap type="none"/>
                  <w10:anchorlock/>
                </v:group>
              </w:pict>
            </w:r>
          </w:p>
        </w:tc>
      </w:tr>
      <w:tr w14:paraId="0E3233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5" w:hRule="atLeast"/>
        </w:trPr>
        <w:tc>
          <w:tcPr>
            <w:tcW w:w="722" w:type="dxa"/>
            <w:gridSpan w:val="2"/>
            <w:vMerge w:val="continue"/>
            <w:tcBorders>
              <w:top w:val="nil"/>
              <w:left w:val="single" w:color="000000" w:sz="4" w:space="0"/>
              <w:bottom w:val="nil"/>
            </w:tcBorders>
            <w:vAlign w:val="top"/>
          </w:tcPr>
          <w:p w14:paraId="5BCBBCE1">
            <w:pPr>
              <w:rPr>
                <w:rFonts w:ascii="Arial"/>
                <w:sz w:val="21"/>
              </w:rPr>
            </w:pPr>
          </w:p>
        </w:tc>
        <w:tc>
          <w:tcPr>
            <w:tcW w:w="3419" w:type="dxa"/>
            <w:vMerge w:val="continue"/>
            <w:tcBorders>
              <w:top w:val="nil"/>
              <w:bottom w:val="nil"/>
            </w:tcBorders>
            <w:vAlign w:val="top"/>
          </w:tcPr>
          <w:p w14:paraId="6FEAA416">
            <w:pPr>
              <w:rPr>
                <w:rFonts w:ascii="Arial"/>
                <w:sz w:val="21"/>
              </w:rPr>
            </w:pPr>
          </w:p>
        </w:tc>
        <w:tc>
          <w:tcPr>
            <w:tcW w:w="4295" w:type="dxa"/>
            <w:tcBorders>
              <w:right w:val="nil"/>
            </w:tcBorders>
            <w:vAlign w:val="top"/>
          </w:tcPr>
          <w:p w14:paraId="78DD804B">
            <w:pPr>
              <w:pStyle w:val="7"/>
              <w:spacing w:before="94" w:line="220" w:lineRule="auto"/>
              <w:ind w:left="2409"/>
            </w:pPr>
            <w:r>
              <w:rPr>
                <w:spacing w:val="-14"/>
              </w:rPr>
              <w:t>土方组</w:t>
            </w:r>
          </w:p>
        </w:tc>
        <w:tc>
          <w:tcPr>
            <w:tcW w:w="1163" w:type="dxa"/>
            <w:tcBorders>
              <w:left w:val="nil"/>
              <w:right w:val="single" w:color="000000" w:sz="4" w:space="0"/>
            </w:tcBorders>
            <w:vAlign w:val="top"/>
          </w:tcPr>
          <w:p w14:paraId="32780151">
            <w:pPr>
              <w:spacing w:line="58" w:lineRule="exact"/>
              <w:ind w:firstLine="1125"/>
            </w:pPr>
            <w:r>
              <w:rPr>
                <w:position w:val="-1"/>
              </w:rPr>
              <w:pict>
                <v:group id="_x0000_s3107" o:spid="_x0000_s3107" o:spt="203" style="height:3.4pt;width:1.45pt;" coordsize="29,68">
                  <o:lock v:ext="edit"/>
                  <v:shape id="_x0000_s3108" o:spid="_x0000_s3108" style="position:absolute;left:14;top:0;height:68;width:15;" fillcolor="#20507B" filled="t" stroked="f" coordsize="15,68" path="m0,67l14,67,14,0,0,0,0,67xe">
                    <v:path/>
                    <v:fill on="t" focussize="0,0"/>
                    <v:stroke on="f"/>
                    <v:imagedata o:title=""/>
                    <o:lock v:ext="edit"/>
                  </v:shape>
                  <v:shape id="_x0000_s3109" o:spid="_x0000_s3109" style="position:absolute;left:0;top:0;height:68;width:15;" fillcolor="#1C456A" filled="t" stroked="f" coordsize="15,68" path="m0,67l14,67,14,0,0,0,0,67xe">
                    <v:path/>
                    <v:fill on="t" focussize="0,0"/>
                    <v:stroke on="f"/>
                    <v:imagedata o:title=""/>
                    <o:lock v:ext="edit"/>
                  </v:shape>
                  <w10:wrap type="none"/>
                  <w10:anchorlock/>
                </v:group>
              </w:pict>
            </w:r>
          </w:p>
        </w:tc>
      </w:tr>
      <w:tr w14:paraId="318CF2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7" w:hRule="atLeast"/>
        </w:trPr>
        <w:tc>
          <w:tcPr>
            <w:tcW w:w="722" w:type="dxa"/>
            <w:gridSpan w:val="2"/>
            <w:vMerge w:val="continue"/>
            <w:tcBorders>
              <w:top w:val="nil"/>
              <w:left w:val="single" w:color="000000" w:sz="4" w:space="0"/>
              <w:bottom w:val="nil"/>
            </w:tcBorders>
            <w:vAlign w:val="top"/>
          </w:tcPr>
          <w:p w14:paraId="2090A382">
            <w:pPr>
              <w:rPr>
                <w:rFonts w:ascii="Arial"/>
                <w:sz w:val="21"/>
              </w:rPr>
            </w:pPr>
          </w:p>
        </w:tc>
        <w:tc>
          <w:tcPr>
            <w:tcW w:w="3419" w:type="dxa"/>
            <w:vMerge w:val="continue"/>
            <w:tcBorders>
              <w:top w:val="nil"/>
              <w:bottom w:val="nil"/>
            </w:tcBorders>
            <w:vAlign w:val="top"/>
          </w:tcPr>
          <w:p w14:paraId="56F8D531">
            <w:pPr>
              <w:rPr>
                <w:rFonts w:ascii="Arial"/>
                <w:sz w:val="21"/>
              </w:rPr>
            </w:pPr>
          </w:p>
        </w:tc>
        <w:tc>
          <w:tcPr>
            <w:tcW w:w="4295" w:type="dxa"/>
            <w:tcBorders>
              <w:right w:val="nil"/>
            </w:tcBorders>
            <w:vAlign w:val="top"/>
          </w:tcPr>
          <w:p w14:paraId="558EE7C5">
            <w:pPr>
              <w:pStyle w:val="7"/>
              <w:spacing w:before="95" w:line="220" w:lineRule="auto"/>
              <w:ind w:left="2432"/>
            </w:pPr>
            <w:r>
              <w:rPr>
                <w:spacing w:val="-19"/>
              </w:rPr>
              <w:t>电气组</w:t>
            </w:r>
          </w:p>
        </w:tc>
        <w:tc>
          <w:tcPr>
            <w:tcW w:w="1163" w:type="dxa"/>
            <w:tcBorders>
              <w:left w:val="nil"/>
              <w:right w:val="single" w:color="000000" w:sz="4" w:space="0"/>
            </w:tcBorders>
            <w:vAlign w:val="top"/>
          </w:tcPr>
          <w:p w14:paraId="3085D872">
            <w:pPr>
              <w:spacing w:line="58" w:lineRule="exact"/>
              <w:ind w:firstLine="1125"/>
            </w:pPr>
            <w:r>
              <w:rPr>
                <w:position w:val="-1"/>
              </w:rPr>
              <w:pict>
                <v:group id="_x0000_s3110" o:spid="_x0000_s3110" o:spt="203" style="height:3.4pt;width:1.45pt;" coordsize="29,68">
                  <o:lock v:ext="edit"/>
                  <v:shape id="_x0000_s3111" o:spid="_x0000_s3111" style="position:absolute;left:14;top:0;height:68;width:15;" fillcolor="#20507B" filled="t" stroked="f" coordsize="15,68" path="m0,67l14,67,14,0,0,0,0,67xe">
                    <v:path/>
                    <v:fill on="t" focussize="0,0"/>
                    <v:stroke on="f"/>
                    <v:imagedata o:title=""/>
                    <o:lock v:ext="edit"/>
                  </v:shape>
                  <v:shape id="_x0000_s3112" o:spid="_x0000_s3112" style="position:absolute;left:0;top:0;height:68;width:15;" fillcolor="#1C456A" filled="t" stroked="f" coordsize="15,68" path="m0,67l14,67,14,0,0,0,0,67xe">
                    <v:path/>
                    <v:fill on="t" focussize="0,0"/>
                    <v:stroke on="f"/>
                    <v:imagedata o:title=""/>
                    <o:lock v:ext="edit"/>
                  </v:shape>
                  <w10:wrap type="none"/>
                  <w10:anchorlock/>
                </v:group>
              </w:pict>
            </w:r>
          </w:p>
        </w:tc>
      </w:tr>
      <w:tr w14:paraId="3B3F62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5" w:hRule="atLeast"/>
        </w:trPr>
        <w:tc>
          <w:tcPr>
            <w:tcW w:w="722" w:type="dxa"/>
            <w:gridSpan w:val="2"/>
            <w:vMerge w:val="continue"/>
            <w:tcBorders>
              <w:top w:val="nil"/>
              <w:left w:val="single" w:color="000000" w:sz="4" w:space="0"/>
              <w:bottom w:val="nil"/>
            </w:tcBorders>
            <w:vAlign w:val="top"/>
          </w:tcPr>
          <w:p w14:paraId="21830B9D">
            <w:pPr>
              <w:rPr>
                <w:rFonts w:ascii="Arial"/>
                <w:sz w:val="21"/>
              </w:rPr>
            </w:pPr>
          </w:p>
        </w:tc>
        <w:tc>
          <w:tcPr>
            <w:tcW w:w="3419" w:type="dxa"/>
            <w:vMerge w:val="continue"/>
            <w:tcBorders>
              <w:top w:val="nil"/>
              <w:bottom w:val="nil"/>
            </w:tcBorders>
            <w:vAlign w:val="top"/>
          </w:tcPr>
          <w:p w14:paraId="5050BE54">
            <w:pPr>
              <w:rPr>
                <w:rFonts w:ascii="Arial"/>
                <w:sz w:val="21"/>
              </w:rPr>
            </w:pPr>
          </w:p>
        </w:tc>
        <w:tc>
          <w:tcPr>
            <w:tcW w:w="4295" w:type="dxa"/>
            <w:tcBorders>
              <w:right w:val="nil"/>
            </w:tcBorders>
            <w:vAlign w:val="top"/>
          </w:tcPr>
          <w:p w14:paraId="3690F512">
            <w:pPr>
              <w:pStyle w:val="7"/>
              <w:spacing w:before="95" w:line="220" w:lineRule="auto"/>
              <w:ind w:left="2419"/>
            </w:pPr>
            <w:r>
              <w:rPr>
                <w:spacing w:val="-17"/>
              </w:rPr>
              <w:t>管道组</w:t>
            </w:r>
          </w:p>
        </w:tc>
        <w:tc>
          <w:tcPr>
            <w:tcW w:w="1163" w:type="dxa"/>
            <w:tcBorders>
              <w:left w:val="nil"/>
              <w:right w:val="single" w:color="000000" w:sz="4" w:space="0"/>
            </w:tcBorders>
            <w:vAlign w:val="top"/>
          </w:tcPr>
          <w:p w14:paraId="57FB1FEB">
            <w:pPr>
              <w:spacing w:line="59" w:lineRule="exact"/>
              <w:ind w:firstLine="1125"/>
            </w:pPr>
            <w:r>
              <w:rPr>
                <w:position w:val="-1"/>
              </w:rPr>
              <w:pict>
                <v:group id="_x0000_s3113" o:spid="_x0000_s3113" o:spt="203" style="height:3.4pt;width:1.45pt;" coordsize="29,68">
                  <o:lock v:ext="edit"/>
                  <v:shape id="_x0000_s3114" o:spid="_x0000_s3114" style="position:absolute;left:14;top:0;height:68;width:15;" fillcolor="#20507B" filled="t" stroked="f" coordsize="15,68" path="m0,67l14,67,14,0,0,0,0,67xe">
                    <v:path/>
                    <v:fill on="t" focussize="0,0"/>
                    <v:stroke on="f"/>
                    <v:imagedata o:title=""/>
                    <o:lock v:ext="edit"/>
                  </v:shape>
                  <v:shape id="_x0000_s3115" o:spid="_x0000_s3115" style="position:absolute;left:0;top:0;height:68;width:15;" fillcolor="#1C456A" filled="t" stroked="f" coordsize="15,68" path="m0,67l14,67,14,0,0,0,0,67xe">
                    <v:path/>
                    <v:fill on="t" focussize="0,0"/>
                    <v:stroke on="f"/>
                    <v:imagedata o:title=""/>
                    <o:lock v:ext="edit"/>
                  </v:shape>
                  <w10:wrap type="none"/>
                  <w10:anchorlock/>
                </v:group>
              </w:pict>
            </w:r>
          </w:p>
        </w:tc>
      </w:tr>
      <w:tr w14:paraId="6B63FB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5" w:hRule="atLeast"/>
        </w:trPr>
        <w:tc>
          <w:tcPr>
            <w:tcW w:w="722" w:type="dxa"/>
            <w:gridSpan w:val="2"/>
            <w:vMerge w:val="continue"/>
            <w:tcBorders>
              <w:top w:val="nil"/>
              <w:left w:val="single" w:color="000000" w:sz="4" w:space="0"/>
              <w:bottom w:val="nil"/>
            </w:tcBorders>
            <w:vAlign w:val="top"/>
          </w:tcPr>
          <w:p w14:paraId="0C80BA6A">
            <w:pPr>
              <w:rPr>
                <w:rFonts w:ascii="Arial"/>
                <w:sz w:val="21"/>
              </w:rPr>
            </w:pPr>
          </w:p>
        </w:tc>
        <w:tc>
          <w:tcPr>
            <w:tcW w:w="3419" w:type="dxa"/>
            <w:vMerge w:val="continue"/>
            <w:tcBorders>
              <w:top w:val="nil"/>
              <w:bottom w:val="nil"/>
            </w:tcBorders>
            <w:vAlign w:val="top"/>
          </w:tcPr>
          <w:p w14:paraId="7D038C7C">
            <w:pPr>
              <w:rPr>
                <w:rFonts w:ascii="Arial"/>
                <w:sz w:val="21"/>
              </w:rPr>
            </w:pPr>
          </w:p>
        </w:tc>
        <w:tc>
          <w:tcPr>
            <w:tcW w:w="4295" w:type="dxa"/>
            <w:tcBorders>
              <w:right w:val="nil"/>
            </w:tcBorders>
            <w:vAlign w:val="top"/>
          </w:tcPr>
          <w:p w14:paraId="73CFF376">
            <w:pPr>
              <w:pStyle w:val="7"/>
              <w:spacing w:before="95" w:line="217" w:lineRule="auto"/>
              <w:ind w:left="2407"/>
            </w:pPr>
            <w:r>
              <w:rPr>
                <w:spacing w:val="-14"/>
              </w:rPr>
              <w:t>物资组</w:t>
            </w:r>
          </w:p>
        </w:tc>
        <w:tc>
          <w:tcPr>
            <w:tcW w:w="1163" w:type="dxa"/>
            <w:tcBorders>
              <w:left w:val="nil"/>
              <w:right w:val="single" w:color="000000" w:sz="4" w:space="0"/>
            </w:tcBorders>
            <w:vAlign w:val="top"/>
          </w:tcPr>
          <w:p w14:paraId="64508D33">
            <w:pPr>
              <w:spacing w:line="60" w:lineRule="exact"/>
              <w:ind w:firstLine="1125"/>
            </w:pPr>
            <w:r>
              <w:rPr>
                <w:position w:val="-1"/>
              </w:rPr>
              <w:pict>
                <v:group id="_x0000_s3116" o:spid="_x0000_s3116" o:spt="203" style="height:3.4pt;width:1.45pt;" coordsize="29,68">
                  <o:lock v:ext="edit"/>
                  <v:shape id="_x0000_s3117" o:spid="_x0000_s3117" style="position:absolute;left:14;top:0;height:68;width:15;" fillcolor="#20507B" filled="t" stroked="f" coordsize="15,68" path="m0,67l14,67,14,0,0,0,0,67xe">
                    <v:path/>
                    <v:fill on="t" focussize="0,0"/>
                    <v:stroke on="f"/>
                    <v:imagedata o:title=""/>
                    <o:lock v:ext="edit"/>
                  </v:shape>
                  <v:shape id="_x0000_s3118" o:spid="_x0000_s3118" style="position:absolute;left:0;top:0;height:68;width:15;" fillcolor="#1C456A" filled="t" stroked="f" coordsize="15,68" path="m0,67l14,67,14,0,0,0,0,67xe">
                    <v:path/>
                    <v:fill on="t" focussize="0,0"/>
                    <v:stroke on="f"/>
                    <v:imagedata o:title=""/>
                    <o:lock v:ext="edit"/>
                  </v:shape>
                  <w10:wrap type="none"/>
                  <w10:anchorlock/>
                </v:group>
              </w:pict>
            </w:r>
          </w:p>
        </w:tc>
      </w:tr>
      <w:tr w14:paraId="41DC0D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5" w:hRule="atLeast"/>
        </w:trPr>
        <w:tc>
          <w:tcPr>
            <w:tcW w:w="722" w:type="dxa"/>
            <w:gridSpan w:val="2"/>
            <w:vMerge w:val="continue"/>
            <w:tcBorders>
              <w:top w:val="nil"/>
              <w:left w:val="single" w:color="000000" w:sz="4" w:space="0"/>
              <w:bottom w:val="single" w:color="000000" w:sz="4" w:space="0"/>
            </w:tcBorders>
            <w:vAlign w:val="top"/>
          </w:tcPr>
          <w:p w14:paraId="1DFE445F">
            <w:pPr>
              <w:rPr>
                <w:rFonts w:ascii="Arial"/>
                <w:sz w:val="21"/>
              </w:rPr>
            </w:pPr>
          </w:p>
        </w:tc>
        <w:tc>
          <w:tcPr>
            <w:tcW w:w="3419" w:type="dxa"/>
            <w:vMerge w:val="continue"/>
            <w:tcBorders>
              <w:top w:val="nil"/>
              <w:bottom w:val="single" w:color="000000" w:sz="4" w:space="0"/>
            </w:tcBorders>
            <w:vAlign w:val="top"/>
          </w:tcPr>
          <w:p w14:paraId="1C91BD05">
            <w:pPr>
              <w:rPr>
                <w:rFonts w:ascii="Arial"/>
                <w:sz w:val="21"/>
              </w:rPr>
            </w:pPr>
          </w:p>
        </w:tc>
        <w:tc>
          <w:tcPr>
            <w:tcW w:w="4295" w:type="dxa"/>
            <w:tcBorders>
              <w:bottom w:val="single" w:color="000000" w:sz="4" w:space="0"/>
              <w:right w:val="nil"/>
            </w:tcBorders>
            <w:vAlign w:val="top"/>
          </w:tcPr>
          <w:p w14:paraId="58F432EF">
            <w:pPr>
              <w:pStyle w:val="7"/>
              <w:spacing w:before="96" w:line="220" w:lineRule="auto"/>
              <w:ind w:left="2408"/>
            </w:pPr>
            <w:r>
              <w:rPr>
                <w:spacing w:val="-14"/>
              </w:rPr>
              <w:t>运输组</w:t>
            </w:r>
          </w:p>
        </w:tc>
        <w:tc>
          <w:tcPr>
            <w:tcW w:w="1163" w:type="dxa"/>
            <w:tcBorders>
              <w:left w:val="nil"/>
              <w:bottom w:val="single" w:color="000000" w:sz="4" w:space="0"/>
              <w:right w:val="single" w:color="000000" w:sz="4" w:space="0"/>
            </w:tcBorders>
            <w:vAlign w:val="top"/>
          </w:tcPr>
          <w:p w14:paraId="6CB4E342">
            <w:pPr>
              <w:spacing w:line="60" w:lineRule="exact"/>
              <w:ind w:firstLine="1125"/>
            </w:pPr>
            <w:r>
              <w:rPr>
                <w:position w:val="-1"/>
              </w:rPr>
              <w:pict>
                <v:group id="_x0000_s3119" o:spid="_x0000_s3119" o:spt="203" style="height:3.4pt;width:1.45pt;" coordsize="29,68">
                  <o:lock v:ext="edit"/>
                  <v:shape id="_x0000_s3120" o:spid="_x0000_s3120" style="position:absolute;left:14;top:0;height:68;width:15;" fillcolor="#20507B" filled="t" stroked="f" coordsize="15,68" path="m0,67l14,67,14,0,0,0,0,67xe">
                    <v:path/>
                    <v:fill on="t" focussize="0,0"/>
                    <v:stroke on="f"/>
                    <v:imagedata o:title=""/>
                    <o:lock v:ext="edit"/>
                  </v:shape>
                  <v:shape id="_x0000_s3121" o:spid="_x0000_s3121" style="position:absolute;left:0;top:0;height:68;width:15;" fillcolor="#1C456A" filled="t" stroked="f" coordsize="15,68" path="m0,67l14,67,14,0,0,0,0,67xe">
                    <v:path/>
                    <v:fill on="t" focussize="0,0"/>
                    <v:stroke on="f"/>
                    <v:imagedata o:title=""/>
                    <o:lock v:ext="edit"/>
                  </v:shape>
                  <w10:wrap type="none"/>
                  <w10:anchorlock/>
                </v:group>
              </w:pict>
            </w:r>
          </w:p>
        </w:tc>
      </w:tr>
      <w:tr w14:paraId="5C55B6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0" w:hRule="atLeast"/>
        </w:trPr>
        <w:tc>
          <w:tcPr>
            <w:tcW w:w="722" w:type="dxa"/>
            <w:gridSpan w:val="2"/>
            <w:vMerge w:val="restart"/>
            <w:tcBorders>
              <w:top w:val="single" w:color="000000" w:sz="4" w:space="0"/>
              <w:left w:val="single" w:color="000000" w:sz="4" w:space="0"/>
              <w:bottom w:val="nil"/>
            </w:tcBorders>
            <w:vAlign w:val="top"/>
          </w:tcPr>
          <w:p w14:paraId="3CDDF596">
            <w:pPr>
              <w:spacing w:line="298" w:lineRule="auto"/>
              <w:rPr>
                <w:rFonts w:ascii="Arial"/>
                <w:sz w:val="21"/>
              </w:rPr>
            </w:pPr>
          </w:p>
          <w:p w14:paraId="473FB059">
            <w:pPr>
              <w:spacing w:line="298" w:lineRule="auto"/>
              <w:rPr>
                <w:rFonts w:ascii="Arial"/>
                <w:sz w:val="21"/>
              </w:rPr>
            </w:pPr>
          </w:p>
          <w:p w14:paraId="2323535A">
            <w:pPr>
              <w:spacing w:line="298" w:lineRule="auto"/>
              <w:rPr>
                <w:rFonts w:ascii="Arial"/>
                <w:sz w:val="21"/>
              </w:rPr>
            </w:pPr>
          </w:p>
          <w:p w14:paraId="444B918D">
            <w:pPr>
              <w:pStyle w:val="7"/>
              <w:spacing w:before="78" w:line="237" w:lineRule="auto"/>
              <w:ind w:left="317"/>
            </w:pPr>
            <w:r>
              <w:t>6</w:t>
            </w:r>
          </w:p>
        </w:tc>
        <w:tc>
          <w:tcPr>
            <w:tcW w:w="3419" w:type="dxa"/>
            <w:vMerge w:val="restart"/>
            <w:tcBorders>
              <w:top w:val="single" w:color="000000" w:sz="4" w:space="0"/>
              <w:bottom w:val="nil"/>
            </w:tcBorders>
            <w:vAlign w:val="top"/>
          </w:tcPr>
          <w:p w14:paraId="753A7CE0">
            <w:pPr>
              <w:spacing w:line="298" w:lineRule="auto"/>
              <w:rPr>
                <w:rFonts w:ascii="Arial"/>
                <w:sz w:val="21"/>
              </w:rPr>
            </w:pPr>
          </w:p>
          <w:p w14:paraId="0784EE61">
            <w:pPr>
              <w:spacing w:line="298" w:lineRule="auto"/>
              <w:rPr>
                <w:rFonts w:ascii="Arial"/>
                <w:sz w:val="21"/>
              </w:rPr>
            </w:pPr>
          </w:p>
          <w:p w14:paraId="7DE07762">
            <w:pPr>
              <w:spacing w:line="298" w:lineRule="auto"/>
              <w:rPr>
                <w:rFonts w:ascii="Arial"/>
                <w:sz w:val="21"/>
              </w:rPr>
            </w:pPr>
          </w:p>
          <w:p w14:paraId="52D80486">
            <w:pPr>
              <w:pStyle w:val="7"/>
              <w:spacing w:before="78" w:line="217" w:lineRule="auto"/>
              <w:ind w:left="1283"/>
            </w:pPr>
            <w:r>
              <w:rPr>
                <w:spacing w:val="-15"/>
              </w:rPr>
              <w:t>食物中毒</w:t>
            </w:r>
          </w:p>
        </w:tc>
        <w:tc>
          <w:tcPr>
            <w:tcW w:w="4295" w:type="dxa"/>
            <w:tcBorders>
              <w:top w:val="single" w:color="000000" w:sz="4" w:space="0"/>
              <w:right w:val="nil"/>
            </w:tcBorders>
            <w:vAlign w:val="top"/>
          </w:tcPr>
          <w:p w14:paraId="45F388AC">
            <w:pPr>
              <w:pStyle w:val="7"/>
              <w:spacing w:before="92" w:line="218" w:lineRule="auto"/>
              <w:ind w:left="2416"/>
            </w:pPr>
            <w:r>
              <w:rPr>
                <w:spacing w:val="-16"/>
              </w:rPr>
              <w:t>总指挥</w:t>
            </w:r>
          </w:p>
        </w:tc>
        <w:tc>
          <w:tcPr>
            <w:tcW w:w="1163" w:type="dxa"/>
            <w:tcBorders>
              <w:top w:val="single" w:color="000000" w:sz="4" w:space="0"/>
              <w:left w:val="nil"/>
              <w:right w:val="single" w:color="000000" w:sz="4" w:space="0"/>
            </w:tcBorders>
            <w:vAlign w:val="top"/>
          </w:tcPr>
          <w:p w14:paraId="388D5F07">
            <w:pPr>
              <w:spacing w:line="56" w:lineRule="exact"/>
              <w:ind w:firstLine="1125"/>
            </w:pPr>
            <w:r>
              <w:rPr>
                <w:position w:val="-1"/>
              </w:rPr>
              <w:pict>
                <v:group id="_x0000_s3122" o:spid="_x0000_s3122" o:spt="203" style="height:3.4pt;width:1.45pt;" coordsize="29,68">
                  <o:lock v:ext="edit"/>
                  <v:shape id="_x0000_s3123" o:spid="_x0000_s3123" style="position:absolute;left:14;top:0;height:68;width:15;" fillcolor="#20507B" filled="t" stroked="f" coordsize="15,68" path="m0,67l14,67,14,0,0,0,0,67xe">
                    <v:path/>
                    <v:fill on="t" focussize="0,0"/>
                    <v:stroke on="f"/>
                    <v:imagedata o:title=""/>
                    <o:lock v:ext="edit"/>
                  </v:shape>
                  <v:shape id="_x0000_s3124" o:spid="_x0000_s3124" style="position:absolute;left:0;top:0;height:68;width:15;" fillcolor="#1C456A" filled="t" stroked="f" coordsize="15,68" path="m0,67l14,67,14,0,0,0,0,67xe">
                    <v:path/>
                    <v:fill on="t" focussize="0,0"/>
                    <v:stroke on="f"/>
                    <v:imagedata o:title=""/>
                    <o:lock v:ext="edit"/>
                  </v:shape>
                  <w10:wrap type="none"/>
                  <w10:anchorlock/>
                </v:group>
              </w:pict>
            </w:r>
          </w:p>
        </w:tc>
      </w:tr>
      <w:tr w14:paraId="70A2B8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7" w:hRule="atLeast"/>
        </w:trPr>
        <w:tc>
          <w:tcPr>
            <w:tcW w:w="722" w:type="dxa"/>
            <w:gridSpan w:val="2"/>
            <w:vMerge w:val="continue"/>
            <w:tcBorders>
              <w:top w:val="nil"/>
              <w:left w:val="single" w:color="000000" w:sz="4" w:space="0"/>
              <w:bottom w:val="nil"/>
            </w:tcBorders>
            <w:vAlign w:val="top"/>
          </w:tcPr>
          <w:p w14:paraId="0FCD46B6">
            <w:pPr>
              <w:rPr>
                <w:rFonts w:ascii="Arial"/>
                <w:sz w:val="21"/>
              </w:rPr>
            </w:pPr>
          </w:p>
        </w:tc>
        <w:tc>
          <w:tcPr>
            <w:tcW w:w="3419" w:type="dxa"/>
            <w:vMerge w:val="continue"/>
            <w:tcBorders>
              <w:top w:val="nil"/>
              <w:bottom w:val="nil"/>
            </w:tcBorders>
            <w:vAlign w:val="top"/>
          </w:tcPr>
          <w:p w14:paraId="1AD939D9">
            <w:pPr>
              <w:rPr>
                <w:rFonts w:ascii="Arial"/>
                <w:sz w:val="21"/>
              </w:rPr>
            </w:pPr>
          </w:p>
        </w:tc>
        <w:tc>
          <w:tcPr>
            <w:tcW w:w="4295" w:type="dxa"/>
            <w:tcBorders>
              <w:right w:val="nil"/>
            </w:tcBorders>
            <w:vAlign w:val="top"/>
          </w:tcPr>
          <w:p w14:paraId="4186A913">
            <w:pPr>
              <w:pStyle w:val="7"/>
              <w:spacing w:before="98" w:line="218" w:lineRule="auto"/>
              <w:ind w:left="2514"/>
            </w:pPr>
            <w:r>
              <w:rPr>
                <w:spacing w:val="-10"/>
              </w:rPr>
              <w:t>指挥</w:t>
            </w:r>
          </w:p>
        </w:tc>
        <w:tc>
          <w:tcPr>
            <w:tcW w:w="1163" w:type="dxa"/>
            <w:tcBorders>
              <w:left w:val="nil"/>
              <w:right w:val="single" w:color="000000" w:sz="4" w:space="0"/>
            </w:tcBorders>
            <w:vAlign w:val="top"/>
          </w:tcPr>
          <w:p w14:paraId="67D1140F">
            <w:pPr>
              <w:spacing w:line="61" w:lineRule="exact"/>
              <w:ind w:firstLine="1125"/>
            </w:pPr>
            <w:r>
              <w:rPr>
                <w:position w:val="-1"/>
              </w:rPr>
              <w:pict>
                <v:group id="_x0000_s3125" o:spid="_x0000_s3125" o:spt="203" style="height:3.4pt;width:1.45pt;" coordsize="29,68">
                  <o:lock v:ext="edit"/>
                  <v:shape id="_x0000_s3126" o:spid="_x0000_s3126" style="position:absolute;left:14;top:0;height:68;width:15;" fillcolor="#20507B" filled="t" stroked="f" coordsize="15,68" path="m0,67l14,67,14,0,0,0,0,67xe">
                    <v:path/>
                    <v:fill on="t" focussize="0,0"/>
                    <v:stroke on="f"/>
                    <v:imagedata o:title=""/>
                    <o:lock v:ext="edit"/>
                  </v:shape>
                  <v:shape id="_x0000_s3127" o:spid="_x0000_s3127" style="position:absolute;left:0;top:0;height:68;width:15;" fillcolor="#1C456A" filled="t" stroked="f" coordsize="15,68" path="m0,67l14,67,14,0,0,0,0,67xe">
                    <v:path/>
                    <v:fill on="t" focussize="0,0"/>
                    <v:stroke on="f"/>
                    <v:imagedata o:title=""/>
                    <o:lock v:ext="edit"/>
                  </v:shape>
                  <w10:wrap type="none"/>
                  <w10:anchorlock/>
                </v:group>
              </w:pict>
            </w:r>
          </w:p>
        </w:tc>
      </w:tr>
      <w:tr w14:paraId="7580CA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5" w:hRule="atLeast"/>
        </w:trPr>
        <w:tc>
          <w:tcPr>
            <w:tcW w:w="722" w:type="dxa"/>
            <w:gridSpan w:val="2"/>
            <w:vMerge w:val="continue"/>
            <w:tcBorders>
              <w:top w:val="nil"/>
              <w:left w:val="single" w:color="000000" w:sz="4" w:space="0"/>
              <w:bottom w:val="nil"/>
            </w:tcBorders>
            <w:vAlign w:val="top"/>
          </w:tcPr>
          <w:p w14:paraId="1E3DE845">
            <w:pPr>
              <w:rPr>
                <w:rFonts w:ascii="Arial"/>
                <w:sz w:val="21"/>
              </w:rPr>
            </w:pPr>
          </w:p>
        </w:tc>
        <w:tc>
          <w:tcPr>
            <w:tcW w:w="3419" w:type="dxa"/>
            <w:vMerge w:val="continue"/>
            <w:tcBorders>
              <w:top w:val="nil"/>
              <w:bottom w:val="nil"/>
            </w:tcBorders>
            <w:vAlign w:val="top"/>
          </w:tcPr>
          <w:p w14:paraId="7C44C811">
            <w:pPr>
              <w:rPr>
                <w:rFonts w:ascii="Arial"/>
                <w:sz w:val="21"/>
              </w:rPr>
            </w:pPr>
          </w:p>
        </w:tc>
        <w:tc>
          <w:tcPr>
            <w:tcW w:w="4295" w:type="dxa"/>
            <w:tcBorders>
              <w:right w:val="nil"/>
            </w:tcBorders>
            <w:vAlign w:val="top"/>
          </w:tcPr>
          <w:p w14:paraId="601A18CB">
            <w:pPr>
              <w:pStyle w:val="7"/>
              <w:spacing w:before="99" w:line="217" w:lineRule="auto"/>
              <w:ind w:left="2192"/>
            </w:pPr>
            <w:r>
              <w:rPr>
                <w:spacing w:val="-18"/>
              </w:rPr>
              <w:t>通讯联络组</w:t>
            </w:r>
          </w:p>
        </w:tc>
        <w:tc>
          <w:tcPr>
            <w:tcW w:w="1163" w:type="dxa"/>
            <w:tcBorders>
              <w:left w:val="nil"/>
              <w:right w:val="single" w:color="000000" w:sz="4" w:space="0"/>
            </w:tcBorders>
            <w:vAlign w:val="top"/>
          </w:tcPr>
          <w:p w14:paraId="6170BAF1">
            <w:pPr>
              <w:spacing w:line="62" w:lineRule="exact"/>
              <w:ind w:firstLine="1125"/>
            </w:pPr>
            <w:r>
              <w:rPr>
                <w:position w:val="-1"/>
              </w:rPr>
              <w:pict>
                <v:group id="_x0000_s3128" o:spid="_x0000_s3128" o:spt="203" style="height:3.4pt;width:1.45pt;" coordsize="29,68">
                  <o:lock v:ext="edit"/>
                  <v:shape id="_x0000_s3129" o:spid="_x0000_s3129" style="position:absolute;left:14;top:0;height:68;width:15;" fillcolor="#20507B" filled="t" stroked="f" coordsize="15,68" path="m0,67l14,67,14,0,0,0,0,67xe">
                    <v:path/>
                    <v:fill on="t" focussize="0,0"/>
                    <v:stroke on="f"/>
                    <v:imagedata o:title=""/>
                    <o:lock v:ext="edit"/>
                  </v:shape>
                  <v:shape id="_x0000_s3130" o:spid="_x0000_s3130" style="position:absolute;left:0;top:0;height:68;width:15;" fillcolor="#1C456A" filled="t" stroked="f" coordsize="15,68" path="m0,67l14,67,14,0,0,0,0,67xe">
                    <v:path/>
                    <v:fill on="t" focussize="0,0"/>
                    <v:stroke on="f"/>
                    <v:imagedata o:title=""/>
                    <o:lock v:ext="edit"/>
                  </v:shape>
                  <w10:wrap type="none"/>
                  <w10:anchorlock/>
                </v:group>
              </w:pict>
            </w:r>
          </w:p>
        </w:tc>
      </w:tr>
      <w:tr w14:paraId="169611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5" w:hRule="atLeast"/>
        </w:trPr>
        <w:tc>
          <w:tcPr>
            <w:tcW w:w="722" w:type="dxa"/>
            <w:gridSpan w:val="2"/>
            <w:vMerge w:val="continue"/>
            <w:tcBorders>
              <w:top w:val="nil"/>
              <w:left w:val="single" w:color="000000" w:sz="4" w:space="0"/>
            </w:tcBorders>
            <w:vAlign w:val="top"/>
          </w:tcPr>
          <w:p w14:paraId="7A17EF29">
            <w:pPr>
              <w:rPr>
                <w:rFonts w:ascii="Arial"/>
                <w:sz w:val="21"/>
              </w:rPr>
            </w:pPr>
          </w:p>
        </w:tc>
        <w:tc>
          <w:tcPr>
            <w:tcW w:w="3419" w:type="dxa"/>
            <w:vMerge w:val="continue"/>
            <w:tcBorders>
              <w:top w:val="nil"/>
            </w:tcBorders>
            <w:vAlign w:val="top"/>
          </w:tcPr>
          <w:p w14:paraId="5BAFE83E">
            <w:pPr>
              <w:rPr>
                <w:rFonts w:ascii="Arial"/>
                <w:sz w:val="21"/>
              </w:rPr>
            </w:pPr>
          </w:p>
        </w:tc>
        <w:tc>
          <w:tcPr>
            <w:tcW w:w="4295" w:type="dxa"/>
            <w:tcBorders>
              <w:right w:val="nil"/>
            </w:tcBorders>
            <w:vAlign w:val="top"/>
          </w:tcPr>
          <w:p w14:paraId="5DD87A18">
            <w:pPr>
              <w:pStyle w:val="7"/>
              <w:spacing w:before="99" w:line="218" w:lineRule="auto"/>
              <w:ind w:left="2404"/>
            </w:pPr>
            <w:r>
              <w:rPr>
                <w:spacing w:val="-13"/>
              </w:rPr>
              <w:t>救护组</w:t>
            </w:r>
          </w:p>
        </w:tc>
        <w:tc>
          <w:tcPr>
            <w:tcW w:w="1163" w:type="dxa"/>
            <w:tcBorders>
              <w:left w:val="nil"/>
              <w:right w:val="single" w:color="000000" w:sz="4" w:space="0"/>
            </w:tcBorders>
            <w:vAlign w:val="top"/>
          </w:tcPr>
          <w:p w14:paraId="6B6DD542">
            <w:pPr>
              <w:spacing w:line="63" w:lineRule="exact"/>
              <w:ind w:firstLine="1125"/>
            </w:pPr>
            <w:r>
              <w:rPr>
                <w:position w:val="-1"/>
              </w:rPr>
              <w:pict>
                <v:group id="_x0000_s3131" o:spid="_x0000_s3131" o:spt="203" style="height:3.4pt;width:1.45pt;" coordsize="29,68">
                  <o:lock v:ext="edit"/>
                  <v:shape id="_x0000_s3132" o:spid="_x0000_s3132" style="position:absolute;left:14;top:0;height:68;width:15;" fillcolor="#20507B" filled="t" stroked="f" coordsize="15,68" path="m0,67l14,67,14,0,0,0,0,67xe">
                    <v:path/>
                    <v:fill on="t" focussize="0,0"/>
                    <v:stroke on="f"/>
                    <v:imagedata o:title=""/>
                    <o:lock v:ext="edit"/>
                  </v:shape>
                  <v:shape id="_x0000_s3133" o:spid="_x0000_s3133" style="position:absolute;left:0;top:0;height:68;width:15;" fillcolor="#1C456A" filled="t" stroked="f" coordsize="15,68" path="m0,67l14,67,14,0,0,0,0,67xe">
                    <v:path/>
                    <v:fill on="t" focussize="0,0"/>
                    <v:stroke on="f"/>
                    <v:imagedata o:title=""/>
                    <o:lock v:ext="edit"/>
                  </v:shape>
                  <w10:wrap type="none"/>
                  <w10:anchorlock/>
                </v:group>
              </w:pict>
            </w:r>
          </w:p>
        </w:tc>
      </w:tr>
      <w:tr w14:paraId="06CF30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5" w:hRule="atLeast"/>
        </w:trPr>
        <w:tc>
          <w:tcPr>
            <w:tcW w:w="722" w:type="dxa"/>
            <w:gridSpan w:val="2"/>
            <w:vMerge w:val="restart"/>
            <w:tcBorders>
              <w:left w:val="single" w:color="000000" w:sz="4" w:space="0"/>
              <w:bottom w:val="nil"/>
            </w:tcBorders>
            <w:vAlign w:val="top"/>
          </w:tcPr>
          <w:p w14:paraId="1E770231">
            <w:pPr>
              <w:spacing w:line="300" w:lineRule="auto"/>
              <w:rPr>
                <w:rFonts w:ascii="Arial"/>
                <w:sz w:val="21"/>
              </w:rPr>
            </w:pPr>
          </w:p>
          <w:p w14:paraId="4402E0F5">
            <w:pPr>
              <w:spacing w:line="300" w:lineRule="auto"/>
              <w:rPr>
                <w:rFonts w:ascii="Arial"/>
                <w:sz w:val="21"/>
              </w:rPr>
            </w:pPr>
          </w:p>
          <w:p w14:paraId="0AC81ED3">
            <w:pPr>
              <w:spacing w:line="301" w:lineRule="auto"/>
              <w:rPr>
                <w:rFonts w:ascii="Arial"/>
                <w:sz w:val="21"/>
              </w:rPr>
            </w:pPr>
          </w:p>
          <w:p w14:paraId="235F710C">
            <w:pPr>
              <w:pStyle w:val="7"/>
              <w:spacing w:before="78" w:line="237" w:lineRule="auto"/>
              <w:ind w:left="321"/>
            </w:pPr>
            <w:r>
              <w:t>7</w:t>
            </w:r>
          </w:p>
        </w:tc>
        <w:tc>
          <w:tcPr>
            <w:tcW w:w="3419" w:type="dxa"/>
            <w:vMerge w:val="restart"/>
            <w:tcBorders>
              <w:bottom w:val="nil"/>
            </w:tcBorders>
            <w:vAlign w:val="top"/>
          </w:tcPr>
          <w:p w14:paraId="3A9A17DB">
            <w:pPr>
              <w:spacing w:line="300" w:lineRule="auto"/>
              <w:rPr>
                <w:rFonts w:ascii="Arial"/>
                <w:sz w:val="21"/>
              </w:rPr>
            </w:pPr>
          </w:p>
          <w:p w14:paraId="3EE700CD">
            <w:pPr>
              <w:spacing w:line="300" w:lineRule="auto"/>
              <w:rPr>
                <w:rFonts w:ascii="Arial"/>
                <w:sz w:val="21"/>
              </w:rPr>
            </w:pPr>
          </w:p>
          <w:p w14:paraId="206EDEFA">
            <w:pPr>
              <w:spacing w:line="301" w:lineRule="auto"/>
              <w:rPr>
                <w:rFonts w:ascii="Arial"/>
                <w:sz w:val="21"/>
              </w:rPr>
            </w:pPr>
          </w:p>
          <w:p w14:paraId="3A782D4A">
            <w:pPr>
              <w:pStyle w:val="7"/>
              <w:spacing w:before="78" w:line="218" w:lineRule="auto"/>
              <w:ind w:left="1176"/>
            </w:pPr>
            <w:r>
              <w:rPr>
                <w:spacing w:val="-18"/>
              </w:rPr>
              <w:t>大面积中暑</w:t>
            </w:r>
          </w:p>
        </w:tc>
        <w:tc>
          <w:tcPr>
            <w:tcW w:w="4295" w:type="dxa"/>
            <w:tcBorders>
              <w:right w:val="nil"/>
            </w:tcBorders>
            <w:vAlign w:val="top"/>
          </w:tcPr>
          <w:p w14:paraId="152BAA87">
            <w:pPr>
              <w:pStyle w:val="7"/>
              <w:spacing w:before="99" w:line="218" w:lineRule="auto"/>
              <w:ind w:left="2416"/>
            </w:pPr>
            <w:r>
              <w:rPr>
                <w:spacing w:val="-16"/>
              </w:rPr>
              <w:t>总指挥</w:t>
            </w:r>
          </w:p>
        </w:tc>
        <w:tc>
          <w:tcPr>
            <w:tcW w:w="1163" w:type="dxa"/>
            <w:tcBorders>
              <w:left w:val="nil"/>
              <w:right w:val="single" w:color="000000" w:sz="4" w:space="0"/>
            </w:tcBorders>
            <w:vAlign w:val="top"/>
          </w:tcPr>
          <w:p w14:paraId="5E0409F5">
            <w:pPr>
              <w:spacing w:line="63" w:lineRule="exact"/>
              <w:ind w:firstLine="1125"/>
            </w:pPr>
            <w:r>
              <w:rPr>
                <w:position w:val="-1"/>
              </w:rPr>
              <w:pict>
                <v:group id="_x0000_s3134" o:spid="_x0000_s3134" o:spt="203" style="height:3.4pt;width:1.45pt;" coordsize="29,68">
                  <o:lock v:ext="edit"/>
                  <v:shape id="_x0000_s3135" o:spid="_x0000_s3135" style="position:absolute;left:14;top:0;height:68;width:15;" fillcolor="#20507B" filled="t" stroked="f" coordsize="15,68" path="m0,67l14,67,14,0,0,0,0,67xe">
                    <v:path/>
                    <v:fill on="t" focussize="0,0"/>
                    <v:stroke on="f"/>
                    <v:imagedata o:title=""/>
                    <o:lock v:ext="edit"/>
                  </v:shape>
                  <v:shape id="_x0000_s3136" o:spid="_x0000_s3136" style="position:absolute;left:0;top:0;height:68;width:15;" fillcolor="#1C456A" filled="t" stroked="f" coordsize="15,68" path="m0,67l14,67,14,0,0,0,0,67xe">
                    <v:path/>
                    <v:fill on="t" focussize="0,0"/>
                    <v:stroke on="f"/>
                    <v:imagedata o:title=""/>
                    <o:lock v:ext="edit"/>
                  </v:shape>
                  <w10:wrap type="none"/>
                  <w10:anchorlock/>
                </v:group>
              </w:pict>
            </w:r>
          </w:p>
        </w:tc>
      </w:tr>
      <w:tr w14:paraId="4C8B42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5" w:hRule="atLeast"/>
        </w:trPr>
        <w:tc>
          <w:tcPr>
            <w:tcW w:w="722" w:type="dxa"/>
            <w:gridSpan w:val="2"/>
            <w:vMerge w:val="continue"/>
            <w:tcBorders>
              <w:top w:val="nil"/>
              <w:left w:val="single" w:color="000000" w:sz="4" w:space="0"/>
              <w:bottom w:val="nil"/>
            </w:tcBorders>
            <w:vAlign w:val="top"/>
          </w:tcPr>
          <w:p w14:paraId="0E9E776F">
            <w:pPr>
              <w:rPr>
                <w:rFonts w:ascii="Arial"/>
                <w:sz w:val="21"/>
              </w:rPr>
            </w:pPr>
          </w:p>
        </w:tc>
        <w:tc>
          <w:tcPr>
            <w:tcW w:w="3419" w:type="dxa"/>
            <w:vMerge w:val="continue"/>
            <w:tcBorders>
              <w:top w:val="nil"/>
              <w:bottom w:val="nil"/>
            </w:tcBorders>
            <w:vAlign w:val="top"/>
          </w:tcPr>
          <w:p w14:paraId="446D8943">
            <w:pPr>
              <w:rPr>
                <w:rFonts w:ascii="Arial"/>
                <w:sz w:val="21"/>
              </w:rPr>
            </w:pPr>
          </w:p>
        </w:tc>
        <w:tc>
          <w:tcPr>
            <w:tcW w:w="4295" w:type="dxa"/>
            <w:tcBorders>
              <w:right w:val="nil"/>
            </w:tcBorders>
            <w:vAlign w:val="top"/>
          </w:tcPr>
          <w:p w14:paraId="5C8D3819">
            <w:pPr>
              <w:pStyle w:val="7"/>
              <w:spacing w:before="100" w:line="218" w:lineRule="auto"/>
              <w:ind w:left="2514"/>
            </w:pPr>
            <w:r>
              <w:rPr>
                <w:spacing w:val="-10"/>
              </w:rPr>
              <w:t>指挥</w:t>
            </w:r>
          </w:p>
        </w:tc>
        <w:tc>
          <w:tcPr>
            <w:tcW w:w="1163" w:type="dxa"/>
            <w:tcBorders>
              <w:left w:val="nil"/>
              <w:right w:val="single" w:color="000000" w:sz="4" w:space="0"/>
            </w:tcBorders>
            <w:vAlign w:val="top"/>
          </w:tcPr>
          <w:p w14:paraId="00640EAE">
            <w:pPr>
              <w:spacing w:line="63" w:lineRule="exact"/>
              <w:ind w:firstLine="1125"/>
            </w:pPr>
            <w:r>
              <w:rPr>
                <w:position w:val="-1"/>
              </w:rPr>
              <w:pict>
                <v:group id="_x0000_s3137" o:spid="_x0000_s3137" o:spt="203" style="height:3.4pt;width:1.45pt;" coordsize="29,68">
                  <o:lock v:ext="edit"/>
                  <v:shape id="_x0000_s3138" o:spid="_x0000_s3138" style="position:absolute;left:14;top:0;height:68;width:15;" fillcolor="#20507B" filled="t" stroked="f" coordsize="15,68" path="m0,67l14,67,14,0,0,0,0,67xe">
                    <v:path/>
                    <v:fill on="t" focussize="0,0"/>
                    <v:stroke on="f"/>
                    <v:imagedata o:title=""/>
                    <o:lock v:ext="edit"/>
                  </v:shape>
                  <v:shape id="_x0000_s3139" o:spid="_x0000_s3139" style="position:absolute;left:0;top:0;height:68;width:15;" fillcolor="#1C456A" filled="t" stroked="f" coordsize="15,68" path="m0,67l14,67,14,0,0,0,0,67xe">
                    <v:path/>
                    <v:fill on="t" focussize="0,0"/>
                    <v:stroke on="f"/>
                    <v:imagedata o:title=""/>
                    <o:lock v:ext="edit"/>
                  </v:shape>
                  <w10:wrap type="none"/>
                  <w10:anchorlock/>
                </v:group>
              </w:pict>
            </w:r>
          </w:p>
        </w:tc>
      </w:tr>
      <w:tr w14:paraId="01693C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8" w:hRule="atLeast"/>
        </w:trPr>
        <w:tc>
          <w:tcPr>
            <w:tcW w:w="722" w:type="dxa"/>
            <w:gridSpan w:val="2"/>
            <w:vMerge w:val="continue"/>
            <w:tcBorders>
              <w:top w:val="nil"/>
              <w:left w:val="single" w:color="000000" w:sz="4" w:space="0"/>
              <w:bottom w:val="nil"/>
            </w:tcBorders>
            <w:vAlign w:val="top"/>
          </w:tcPr>
          <w:p w14:paraId="703221B4">
            <w:pPr>
              <w:rPr>
                <w:rFonts w:ascii="Arial"/>
                <w:sz w:val="21"/>
              </w:rPr>
            </w:pPr>
          </w:p>
        </w:tc>
        <w:tc>
          <w:tcPr>
            <w:tcW w:w="3419" w:type="dxa"/>
            <w:vMerge w:val="continue"/>
            <w:tcBorders>
              <w:top w:val="nil"/>
              <w:bottom w:val="nil"/>
            </w:tcBorders>
            <w:vAlign w:val="top"/>
          </w:tcPr>
          <w:p w14:paraId="36A925A1">
            <w:pPr>
              <w:rPr>
                <w:rFonts w:ascii="Arial"/>
                <w:sz w:val="21"/>
              </w:rPr>
            </w:pPr>
          </w:p>
        </w:tc>
        <w:tc>
          <w:tcPr>
            <w:tcW w:w="4295" w:type="dxa"/>
            <w:tcBorders>
              <w:right w:val="nil"/>
            </w:tcBorders>
            <w:vAlign w:val="top"/>
          </w:tcPr>
          <w:p w14:paraId="486768C8">
            <w:pPr>
              <w:pStyle w:val="7"/>
              <w:spacing w:before="101" w:line="217" w:lineRule="auto"/>
              <w:ind w:left="2192"/>
            </w:pPr>
            <w:r>
              <w:rPr>
                <w:spacing w:val="-18"/>
              </w:rPr>
              <w:t>通讯联络组</w:t>
            </w:r>
          </w:p>
        </w:tc>
        <w:tc>
          <w:tcPr>
            <w:tcW w:w="1163" w:type="dxa"/>
            <w:tcBorders>
              <w:left w:val="nil"/>
              <w:right w:val="single" w:color="000000" w:sz="4" w:space="0"/>
            </w:tcBorders>
            <w:vAlign w:val="top"/>
          </w:tcPr>
          <w:p w14:paraId="55CF34F1">
            <w:pPr>
              <w:spacing w:line="64" w:lineRule="exact"/>
              <w:ind w:firstLine="1125"/>
            </w:pPr>
            <w:r>
              <w:rPr>
                <w:position w:val="-1"/>
              </w:rPr>
              <w:pict>
                <v:group id="_x0000_s3140" o:spid="_x0000_s3140" o:spt="203" style="height:3.4pt;width:1.45pt;" coordsize="29,68">
                  <o:lock v:ext="edit"/>
                  <v:shape id="_x0000_s3141" o:spid="_x0000_s3141" style="position:absolute;left:14;top:0;height:68;width:15;" fillcolor="#20507B" filled="t" stroked="f" coordsize="15,68" path="m0,67l14,67,14,0,0,0,0,67xe">
                    <v:path/>
                    <v:fill on="t" focussize="0,0"/>
                    <v:stroke on="f"/>
                    <v:imagedata o:title=""/>
                    <o:lock v:ext="edit"/>
                  </v:shape>
                  <v:shape id="_x0000_s3142" o:spid="_x0000_s3142" style="position:absolute;left:0;top:0;height:68;width:15;" fillcolor="#1C456A" filled="t" stroked="f" coordsize="15,68" path="m0,67l14,67,14,0,0,0,0,67xe">
                    <v:path/>
                    <v:fill on="t" focussize="0,0"/>
                    <v:stroke on="f"/>
                    <v:imagedata o:title=""/>
                    <o:lock v:ext="edit"/>
                  </v:shape>
                  <w10:wrap type="none"/>
                  <w10:anchorlock/>
                </v:group>
              </w:pict>
            </w:r>
          </w:p>
        </w:tc>
      </w:tr>
      <w:tr w14:paraId="65777C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5" w:hRule="atLeast"/>
        </w:trPr>
        <w:tc>
          <w:tcPr>
            <w:tcW w:w="722" w:type="dxa"/>
            <w:gridSpan w:val="2"/>
            <w:vMerge w:val="continue"/>
            <w:tcBorders>
              <w:top w:val="nil"/>
              <w:left w:val="single" w:color="000000" w:sz="4" w:space="0"/>
            </w:tcBorders>
            <w:vAlign w:val="top"/>
          </w:tcPr>
          <w:p w14:paraId="5731B7DE">
            <w:pPr>
              <w:rPr>
                <w:rFonts w:ascii="Arial"/>
                <w:sz w:val="21"/>
              </w:rPr>
            </w:pPr>
          </w:p>
        </w:tc>
        <w:tc>
          <w:tcPr>
            <w:tcW w:w="3419" w:type="dxa"/>
            <w:vMerge w:val="continue"/>
            <w:tcBorders>
              <w:top w:val="nil"/>
            </w:tcBorders>
            <w:vAlign w:val="top"/>
          </w:tcPr>
          <w:p w14:paraId="578D4E29">
            <w:pPr>
              <w:rPr>
                <w:rFonts w:ascii="Arial"/>
                <w:sz w:val="21"/>
              </w:rPr>
            </w:pPr>
          </w:p>
        </w:tc>
        <w:tc>
          <w:tcPr>
            <w:tcW w:w="4295" w:type="dxa"/>
            <w:tcBorders>
              <w:right w:val="nil"/>
            </w:tcBorders>
            <w:vAlign w:val="top"/>
          </w:tcPr>
          <w:p w14:paraId="73A4262E">
            <w:pPr>
              <w:pStyle w:val="7"/>
              <w:spacing w:before="100" w:line="218" w:lineRule="auto"/>
              <w:ind w:left="2404"/>
            </w:pPr>
            <w:r>
              <w:rPr>
                <w:spacing w:val="-13"/>
              </w:rPr>
              <w:t>救护组</w:t>
            </w:r>
          </w:p>
        </w:tc>
        <w:tc>
          <w:tcPr>
            <w:tcW w:w="1163" w:type="dxa"/>
            <w:tcBorders>
              <w:left w:val="nil"/>
              <w:right w:val="single" w:color="000000" w:sz="4" w:space="0"/>
            </w:tcBorders>
            <w:vAlign w:val="top"/>
          </w:tcPr>
          <w:p w14:paraId="687FDF49">
            <w:pPr>
              <w:spacing w:line="64" w:lineRule="exact"/>
              <w:ind w:firstLine="1125"/>
            </w:pPr>
            <w:r>
              <w:rPr>
                <w:position w:val="-1"/>
              </w:rPr>
              <w:pict>
                <v:group id="_x0000_s3143" o:spid="_x0000_s3143" o:spt="203" style="height:3.4pt;width:1.45pt;" coordsize="29,68">
                  <o:lock v:ext="edit"/>
                  <v:shape id="_x0000_s3144" o:spid="_x0000_s3144" style="position:absolute;left:14;top:0;height:68;width:15;" fillcolor="#20507B" filled="t" stroked="f" coordsize="15,68" path="m0,67l14,67,14,0,0,0,0,67xe">
                    <v:path/>
                    <v:fill on="t" focussize="0,0"/>
                    <v:stroke on="f"/>
                    <v:imagedata o:title=""/>
                    <o:lock v:ext="edit"/>
                  </v:shape>
                  <v:shape id="_x0000_s3145" o:spid="_x0000_s3145" style="position:absolute;left:0;top:0;height:68;width:15;" fillcolor="#1C456A" filled="t" stroked="f" coordsize="15,68" path="m0,67l14,67,14,0,0,0,0,67xe">
                    <v:path/>
                    <v:fill on="t" focussize="0,0"/>
                    <v:stroke on="f"/>
                    <v:imagedata o:title=""/>
                    <o:lock v:ext="edit"/>
                  </v:shape>
                  <w10:wrap type="none"/>
                  <w10:anchorlock/>
                </v:group>
              </w:pict>
            </w:r>
          </w:p>
        </w:tc>
      </w:tr>
      <w:tr w14:paraId="0EF9D4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5" w:hRule="atLeast"/>
        </w:trPr>
        <w:tc>
          <w:tcPr>
            <w:tcW w:w="722" w:type="dxa"/>
            <w:gridSpan w:val="2"/>
            <w:vMerge w:val="restart"/>
            <w:tcBorders>
              <w:left w:val="single" w:color="000000" w:sz="4" w:space="0"/>
              <w:bottom w:val="nil"/>
            </w:tcBorders>
            <w:vAlign w:val="top"/>
          </w:tcPr>
          <w:p w14:paraId="40DE5CA8">
            <w:pPr>
              <w:spacing w:line="304" w:lineRule="auto"/>
              <w:rPr>
                <w:rFonts w:ascii="Arial"/>
                <w:sz w:val="21"/>
              </w:rPr>
            </w:pPr>
          </w:p>
          <w:p w14:paraId="1BBA468D">
            <w:pPr>
              <w:spacing w:line="305" w:lineRule="auto"/>
              <w:rPr>
                <w:rFonts w:ascii="Arial"/>
                <w:sz w:val="21"/>
              </w:rPr>
            </w:pPr>
          </w:p>
          <w:p w14:paraId="73717B04">
            <w:pPr>
              <w:pStyle w:val="7"/>
              <w:spacing w:before="78" w:line="237" w:lineRule="auto"/>
              <w:ind w:left="316"/>
            </w:pPr>
            <w:r>
              <w:t>8</w:t>
            </w:r>
          </w:p>
        </w:tc>
        <w:tc>
          <w:tcPr>
            <w:tcW w:w="3419" w:type="dxa"/>
            <w:vMerge w:val="restart"/>
            <w:tcBorders>
              <w:bottom w:val="nil"/>
            </w:tcBorders>
            <w:vAlign w:val="top"/>
          </w:tcPr>
          <w:p w14:paraId="4EF751BC">
            <w:pPr>
              <w:spacing w:line="304" w:lineRule="auto"/>
              <w:rPr>
                <w:rFonts w:ascii="Arial"/>
                <w:sz w:val="21"/>
              </w:rPr>
            </w:pPr>
          </w:p>
          <w:p w14:paraId="5F234CE5">
            <w:pPr>
              <w:spacing w:line="305" w:lineRule="auto"/>
              <w:rPr>
                <w:rFonts w:ascii="Arial"/>
                <w:sz w:val="21"/>
              </w:rPr>
            </w:pPr>
          </w:p>
          <w:p w14:paraId="55561095">
            <w:pPr>
              <w:pStyle w:val="7"/>
              <w:spacing w:before="78" w:line="218" w:lineRule="auto"/>
              <w:ind w:left="1179"/>
            </w:pPr>
            <w:r>
              <w:rPr>
                <w:spacing w:val="-18"/>
              </w:rPr>
              <w:t>突发传染病</w:t>
            </w:r>
          </w:p>
        </w:tc>
        <w:tc>
          <w:tcPr>
            <w:tcW w:w="4295" w:type="dxa"/>
            <w:tcBorders>
              <w:right w:val="nil"/>
            </w:tcBorders>
            <w:vAlign w:val="top"/>
          </w:tcPr>
          <w:p w14:paraId="25EB479F">
            <w:pPr>
              <w:pStyle w:val="7"/>
              <w:spacing w:before="101" w:line="218" w:lineRule="auto"/>
              <w:ind w:left="2406"/>
            </w:pPr>
            <w:r>
              <w:rPr>
                <w:spacing w:val="-14"/>
              </w:rPr>
              <w:t>指挥员</w:t>
            </w:r>
          </w:p>
        </w:tc>
        <w:tc>
          <w:tcPr>
            <w:tcW w:w="1163" w:type="dxa"/>
            <w:tcBorders>
              <w:left w:val="nil"/>
              <w:right w:val="single" w:color="000000" w:sz="4" w:space="0"/>
            </w:tcBorders>
            <w:vAlign w:val="top"/>
          </w:tcPr>
          <w:p w14:paraId="72F0F5CE">
            <w:pPr>
              <w:spacing w:line="64" w:lineRule="exact"/>
              <w:ind w:firstLine="1125"/>
            </w:pPr>
            <w:r>
              <w:rPr>
                <w:position w:val="-1"/>
              </w:rPr>
              <w:pict>
                <v:group id="_x0000_s3146" o:spid="_x0000_s3146" o:spt="203" style="height:3.4pt;width:1.45pt;" coordsize="29,68">
                  <o:lock v:ext="edit"/>
                  <v:shape id="_x0000_s3147" o:spid="_x0000_s3147" style="position:absolute;left:14;top:0;height:68;width:15;" fillcolor="#20507B" filled="t" stroked="f" coordsize="15,68" path="m0,67l14,67,14,0,0,0,0,67xe">
                    <v:path/>
                    <v:fill on="t" focussize="0,0"/>
                    <v:stroke on="f"/>
                    <v:imagedata o:title=""/>
                    <o:lock v:ext="edit"/>
                  </v:shape>
                  <v:shape id="_x0000_s3148" o:spid="_x0000_s3148" style="position:absolute;left:0;top:0;height:68;width:15;" fillcolor="#1C456A" filled="t" stroked="f" coordsize="15,68" path="m0,67l14,67,14,0,0,0,0,67xe">
                    <v:path/>
                    <v:fill on="t" focussize="0,0"/>
                    <v:stroke on="f"/>
                    <v:imagedata o:title=""/>
                    <o:lock v:ext="edit"/>
                  </v:shape>
                  <w10:wrap type="none"/>
                  <w10:anchorlock/>
                </v:group>
              </w:pict>
            </w:r>
          </w:p>
        </w:tc>
      </w:tr>
      <w:tr w14:paraId="1BE811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5" w:hRule="atLeast"/>
        </w:trPr>
        <w:tc>
          <w:tcPr>
            <w:tcW w:w="722" w:type="dxa"/>
            <w:gridSpan w:val="2"/>
            <w:vMerge w:val="continue"/>
            <w:tcBorders>
              <w:top w:val="nil"/>
              <w:left w:val="single" w:color="000000" w:sz="4" w:space="0"/>
              <w:bottom w:val="nil"/>
            </w:tcBorders>
            <w:vAlign w:val="top"/>
          </w:tcPr>
          <w:p w14:paraId="47D52758">
            <w:pPr>
              <w:rPr>
                <w:rFonts w:ascii="Arial"/>
                <w:sz w:val="21"/>
              </w:rPr>
            </w:pPr>
          </w:p>
        </w:tc>
        <w:tc>
          <w:tcPr>
            <w:tcW w:w="3419" w:type="dxa"/>
            <w:vMerge w:val="continue"/>
            <w:tcBorders>
              <w:top w:val="nil"/>
              <w:bottom w:val="nil"/>
            </w:tcBorders>
            <w:vAlign w:val="top"/>
          </w:tcPr>
          <w:p w14:paraId="5A3D67A2">
            <w:pPr>
              <w:rPr>
                <w:rFonts w:ascii="Arial"/>
                <w:sz w:val="21"/>
              </w:rPr>
            </w:pPr>
          </w:p>
        </w:tc>
        <w:tc>
          <w:tcPr>
            <w:tcW w:w="4295" w:type="dxa"/>
            <w:tcBorders>
              <w:right w:val="nil"/>
            </w:tcBorders>
            <w:vAlign w:val="top"/>
          </w:tcPr>
          <w:p w14:paraId="70AFE2F0">
            <w:pPr>
              <w:pStyle w:val="7"/>
              <w:spacing w:before="101" w:line="217" w:lineRule="auto"/>
              <w:ind w:left="2403"/>
            </w:pPr>
            <w:r>
              <w:rPr>
                <w:spacing w:val="-13"/>
              </w:rPr>
              <w:t>联络员</w:t>
            </w:r>
          </w:p>
        </w:tc>
        <w:tc>
          <w:tcPr>
            <w:tcW w:w="1163" w:type="dxa"/>
            <w:tcBorders>
              <w:left w:val="nil"/>
              <w:right w:val="single" w:color="000000" w:sz="4" w:space="0"/>
            </w:tcBorders>
            <w:vAlign w:val="top"/>
          </w:tcPr>
          <w:p w14:paraId="2AFBC798">
            <w:pPr>
              <w:spacing w:line="65" w:lineRule="exact"/>
              <w:ind w:firstLine="1125"/>
            </w:pPr>
            <w:r>
              <w:rPr>
                <w:position w:val="-1"/>
              </w:rPr>
              <w:pict>
                <v:group id="_x0000_s3149" o:spid="_x0000_s3149" o:spt="203" style="height:3.4pt;width:1.45pt;" coordsize="29,68">
                  <o:lock v:ext="edit"/>
                  <v:shape id="_x0000_s3150" o:spid="_x0000_s3150" style="position:absolute;left:14;top:0;height:68;width:15;" fillcolor="#20507B" filled="t" stroked="f" coordsize="15,68" path="m0,67l14,67,14,0,0,0,0,67xe">
                    <v:path/>
                    <v:fill on="t" focussize="0,0"/>
                    <v:stroke on="f"/>
                    <v:imagedata o:title=""/>
                    <o:lock v:ext="edit"/>
                  </v:shape>
                  <v:shape id="_x0000_s3151" o:spid="_x0000_s3151" style="position:absolute;left:0;top:0;height:68;width:15;" fillcolor="#1C456A" filled="t" stroked="f" coordsize="15,68" path="m0,67l14,67,14,0,0,0,0,67xe">
                    <v:path/>
                    <v:fill on="t" focussize="0,0"/>
                    <v:stroke on="f"/>
                    <v:imagedata o:title=""/>
                    <o:lock v:ext="edit"/>
                  </v:shape>
                  <w10:wrap type="none"/>
                  <w10:anchorlock/>
                </v:group>
              </w:pict>
            </w:r>
          </w:p>
        </w:tc>
      </w:tr>
      <w:tr w14:paraId="1A73A9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5" w:hRule="atLeast"/>
        </w:trPr>
        <w:tc>
          <w:tcPr>
            <w:tcW w:w="722" w:type="dxa"/>
            <w:gridSpan w:val="2"/>
            <w:vMerge w:val="continue"/>
            <w:tcBorders>
              <w:top w:val="nil"/>
              <w:left w:val="single" w:color="000000" w:sz="4" w:space="0"/>
            </w:tcBorders>
            <w:vAlign w:val="top"/>
          </w:tcPr>
          <w:p w14:paraId="54E77073">
            <w:pPr>
              <w:rPr>
                <w:rFonts w:ascii="Arial"/>
                <w:sz w:val="21"/>
              </w:rPr>
            </w:pPr>
          </w:p>
        </w:tc>
        <w:tc>
          <w:tcPr>
            <w:tcW w:w="3419" w:type="dxa"/>
            <w:vMerge w:val="continue"/>
            <w:tcBorders>
              <w:top w:val="nil"/>
            </w:tcBorders>
            <w:vAlign w:val="top"/>
          </w:tcPr>
          <w:p w14:paraId="49E544B3">
            <w:pPr>
              <w:rPr>
                <w:rFonts w:ascii="Arial"/>
                <w:sz w:val="21"/>
              </w:rPr>
            </w:pPr>
          </w:p>
        </w:tc>
        <w:tc>
          <w:tcPr>
            <w:tcW w:w="4295" w:type="dxa"/>
            <w:tcBorders>
              <w:right w:val="nil"/>
            </w:tcBorders>
            <w:vAlign w:val="top"/>
          </w:tcPr>
          <w:p w14:paraId="2C6714B2">
            <w:pPr>
              <w:pStyle w:val="7"/>
              <w:spacing w:before="102" w:line="220" w:lineRule="auto"/>
              <w:ind w:left="2410"/>
            </w:pPr>
            <w:r>
              <w:rPr>
                <w:spacing w:val="-14"/>
              </w:rPr>
              <w:t>卫生员</w:t>
            </w:r>
          </w:p>
        </w:tc>
        <w:tc>
          <w:tcPr>
            <w:tcW w:w="1163" w:type="dxa"/>
            <w:tcBorders>
              <w:left w:val="nil"/>
              <w:right w:val="single" w:color="000000" w:sz="4" w:space="0"/>
            </w:tcBorders>
            <w:vAlign w:val="top"/>
          </w:tcPr>
          <w:p w14:paraId="6538A5E9">
            <w:pPr>
              <w:spacing w:line="65" w:lineRule="exact"/>
              <w:ind w:firstLine="1125"/>
            </w:pPr>
            <w:r>
              <w:rPr>
                <w:position w:val="-1"/>
              </w:rPr>
              <w:pict>
                <v:group id="_x0000_s3152" o:spid="_x0000_s3152" o:spt="203" style="height:3.4pt;width:1.45pt;" coordsize="29,68">
                  <o:lock v:ext="edit"/>
                  <v:shape id="_x0000_s3153" o:spid="_x0000_s3153" style="position:absolute;left:14;top:0;height:68;width:15;" fillcolor="#20507B" filled="t" stroked="f" coordsize="15,68" path="m0,67l14,67,14,0,0,0,0,67xe">
                    <v:path/>
                    <v:fill on="t" focussize="0,0"/>
                    <v:stroke on="f"/>
                    <v:imagedata o:title=""/>
                    <o:lock v:ext="edit"/>
                  </v:shape>
                  <v:shape id="_x0000_s3154" o:spid="_x0000_s3154" style="position:absolute;left:0;top:0;height:68;width:15;" fillcolor="#1C456A" filled="t" stroked="f" coordsize="15,68" path="m0,67l14,67,14,0,0,0,0,67xe">
                    <v:path/>
                    <v:fill on="t" focussize="0,0"/>
                    <v:stroke on="f"/>
                    <v:imagedata o:title=""/>
                    <o:lock v:ext="edit"/>
                  </v:shape>
                  <w10:wrap type="none"/>
                  <w10:anchorlock/>
                </v:group>
              </w:pict>
            </w:r>
          </w:p>
        </w:tc>
      </w:tr>
      <w:tr w14:paraId="535AD4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7" w:hRule="atLeast"/>
        </w:trPr>
        <w:tc>
          <w:tcPr>
            <w:tcW w:w="185" w:type="dxa"/>
            <w:vMerge w:val="restart"/>
            <w:tcBorders>
              <w:left w:val="single" w:color="1C456A" w:sz="4" w:space="0"/>
              <w:bottom w:val="nil"/>
              <w:right w:val="nil"/>
            </w:tcBorders>
            <w:vAlign w:val="top"/>
          </w:tcPr>
          <w:p w14:paraId="2CE6AE9B">
            <w:pPr>
              <w:rPr>
                <w:rFonts w:ascii="Arial"/>
                <w:sz w:val="21"/>
              </w:rPr>
            </w:pPr>
            <w:r>
              <w:pict>
                <v:shape id="_x0000_s3155" o:spid="_x0000_s3155" style="position:absolute;left:0pt;margin-left:-0.25pt;margin-top:179pt;height:0.75pt;width:2.2pt;mso-position-horizontal-relative:page;mso-position-vertical-relative:page;z-index:251916288;mso-width-relative:page;mso-height-relative:page;" fillcolor="#5B9BD5" filled="t" stroked="f" coordsize="44,15" path="m0,14l43,14,43,0,0,0,0,14xe">
                  <v:path/>
                  <v:fill on="t" focussize="0,0"/>
                  <v:stroke on="f"/>
                  <v:imagedata o:title=""/>
                  <o:lock v:ext="edit"/>
                </v:shape>
              </w:pict>
            </w:r>
          </w:p>
        </w:tc>
        <w:tc>
          <w:tcPr>
            <w:tcW w:w="537" w:type="dxa"/>
            <w:vMerge w:val="restart"/>
            <w:tcBorders>
              <w:left w:val="nil"/>
              <w:bottom w:val="nil"/>
            </w:tcBorders>
            <w:vAlign w:val="top"/>
          </w:tcPr>
          <w:p w14:paraId="230F83C8">
            <w:pPr>
              <w:spacing w:line="248" w:lineRule="auto"/>
              <w:rPr>
                <w:rFonts w:ascii="Arial"/>
                <w:sz w:val="21"/>
              </w:rPr>
            </w:pPr>
          </w:p>
          <w:p w14:paraId="763AB4B5">
            <w:pPr>
              <w:spacing w:line="249" w:lineRule="auto"/>
              <w:rPr>
                <w:rFonts w:ascii="Arial"/>
                <w:sz w:val="21"/>
              </w:rPr>
            </w:pPr>
          </w:p>
          <w:p w14:paraId="1E3402F0">
            <w:pPr>
              <w:spacing w:line="249" w:lineRule="auto"/>
              <w:rPr>
                <w:rFonts w:ascii="Arial"/>
                <w:sz w:val="21"/>
              </w:rPr>
            </w:pPr>
          </w:p>
          <w:p w14:paraId="2D9E05C9">
            <w:pPr>
              <w:spacing w:line="249" w:lineRule="auto"/>
              <w:rPr>
                <w:rFonts w:ascii="Arial"/>
                <w:sz w:val="21"/>
              </w:rPr>
            </w:pPr>
          </w:p>
          <w:p w14:paraId="696BC4D3">
            <w:pPr>
              <w:spacing w:line="249" w:lineRule="auto"/>
              <w:rPr>
                <w:rFonts w:ascii="Arial"/>
                <w:sz w:val="21"/>
              </w:rPr>
            </w:pPr>
          </w:p>
          <w:p w14:paraId="3737A7E4">
            <w:pPr>
              <w:spacing w:line="249" w:lineRule="auto"/>
              <w:rPr>
                <w:rFonts w:ascii="Arial"/>
                <w:sz w:val="21"/>
              </w:rPr>
            </w:pPr>
          </w:p>
          <w:p w14:paraId="359CA501">
            <w:pPr>
              <w:pStyle w:val="7"/>
              <w:spacing w:before="78" w:line="237" w:lineRule="auto"/>
              <w:ind w:left="136"/>
            </w:pPr>
            <w:r>
              <w:t>9</w:t>
            </w:r>
          </w:p>
        </w:tc>
        <w:tc>
          <w:tcPr>
            <w:tcW w:w="3419" w:type="dxa"/>
            <w:vMerge w:val="restart"/>
            <w:tcBorders>
              <w:bottom w:val="nil"/>
            </w:tcBorders>
            <w:vAlign w:val="top"/>
          </w:tcPr>
          <w:p w14:paraId="330FB731">
            <w:pPr>
              <w:spacing w:line="249" w:lineRule="auto"/>
              <w:rPr>
                <w:rFonts w:ascii="Arial"/>
                <w:sz w:val="21"/>
              </w:rPr>
            </w:pPr>
          </w:p>
          <w:p w14:paraId="6988AC07">
            <w:pPr>
              <w:spacing w:line="249" w:lineRule="auto"/>
              <w:rPr>
                <w:rFonts w:ascii="Arial"/>
                <w:sz w:val="21"/>
              </w:rPr>
            </w:pPr>
          </w:p>
          <w:p w14:paraId="44EAF38F">
            <w:pPr>
              <w:spacing w:line="249" w:lineRule="auto"/>
              <w:rPr>
                <w:rFonts w:ascii="Arial"/>
                <w:sz w:val="21"/>
              </w:rPr>
            </w:pPr>
          </w:p>
          <w:p w14:paraId="7545BEE8">
            <w:pPr>
              <w:spacing w:line="249" w:lineRule="auto"/>
              <w:rPr>
                <w:rFonts w:ascii="Arial"/>
                <w:sz w:val="21"/>
              </w:rPr>
            </w:pPr>
          </w:p>
          <w:p w14:paraId="263DD7BB">
            <w:pPr>
              <w:spacing w:line="249" w:lineRule="auto"/>
              <w:rPr>
                <w:rFonts w:ascii="Arial"/>
                <w:sz w:val="21"/>
              </w:rPr>
            </w:pPr>
          </w:p>
          <w:p w14:paraId="65EEC0E2">
            <w:pPr>
              <w:spacing w:line="249" w:lineRule="auto"/>
              <w:rPr>
                <w:rFonts w:ascii="Arial"/>
                <w:sz w:val="21"/>
              </w:rPr>
            </w:pPr>
          </w:p>
          <w:p w14:paraId="7CCC0924">
            <w:pPr>
              <w:pStyle w:val="7"/>
              <w:spacing w:before="78" w:line="218" w:lineRule="auto"/>
              <w:ind w:left="307"/>
            </w:pPr>
            <w:r>
              <w:rPr>
                <w:spacing w:val="-21"/>
              </w:rPr>
              <w:t>不可抗力自然灾害或其它情况</w:t>
            </w:r>
          </w:p>
        </w:tc>
        <w:tc>
          <w:tcPr>
            <w:tcW w:w="4295" w:type="dxa"/>
            <w:tcBorders>
              <w:right w:val="nil"/>
            </w:tcBorders>
            <w:vAlign w:val="top"/>
          </w:tcPr>
          <w:p w14:paraId="18FCC6F4">
            <w:pPr>
              <w:pStyle w:val="7"/>
              <w:spacing w:before="102" w:line="218" w:lineRule="auto"/>
              <w:ind w:left="2406"/>
            </w:pPr>
            <w:r>
              <w:rPr>
                <w:spacing w:val="-14"/>
              </w:rPr>
              <w:t>指挥长</w:t>
            </w:r>
          </w:p>
        </w:tc>
        <w:tc>
          <w:tcPr>
            <w:tcW w:w="1163" w:type="dxa"/>
            <w:tcBorders>
              <w:left w:val="nil"/>
              <w:right w:val="single" w:color="000000" w:sz="4" w:space="0"/>
            </w:tcBorders>
            <w:vAlign w:val="top"/>
          </w:tcPr>
          <w:p w14:paraId="77417EC6">
            <w:pPr>
              <w:spacing w:line="66" w:lineRule="exact"/>
              <w:ind w:firstLine="1125"/>
            </w:pPr>
            <w:r>
              <w:rPr>
                <w:position w:val="-1"/>
              </w:rPr>
              <w:pict>
                <v:group id="_x0000_s3156" o:spid="_x0000_s3156" o:spt="203" style="height:3.4pt;width:1.45pt;" coordsize="29,68">
                  <o:lock v:ext="edit"/>
                  <v:shape id="_x0000_s3157" o:spid="_x0000_s3157" style="position:absolute;left:14;top:0;height:68;width:15;" fillcolor="#20507B" filled="t" stroked="f" coordsize="15,68" path="m0,67l14,67,14,0,0,0,0,67xe">
                    <v:path/>
                    <v:fill on="t" focussize="0,0"/>
                    <v:stroke on="f"/>
                    <v:imagedata o:title=""/>
                    <o:lock v:ext="edit"/>
                  </v:shape>
                  <v:shape id="_x0000_s3158" o:spid="_x0000_s3158" style="position:absolute;left:0;top:0;height:68;width:15;" fillcolor="#1C456A" filled="t" stroked="f" coordsize="15,68" path="m0,67l14,67,14,0,0,0,0,67xe">
                    <v:path/>
                    <v:fill on="t" focussize="0,0"/>
                    <v:stroke on="f"/>
                    <v:imagedata o:title=""/>
                    <o:lock v:ext="edit"/>
                  </v:shape>
                  <w10:wrap type="none"/>
                  <w10:anchorlock/>
                </v:group>
              </w:pict>
            </w:r>
          </w:p>
        </w:tc>
      </w:tr>
      <w:tr w14:paraId="2CBA43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6" w:hRule="atLeast"/>
        </w:trPr>
        <w:tc>
          <w:tcPr>
            <w:tcW w:w="185" w:type="dxa"/>
            <w:vMerge w:val="continue"/>
            <w:tcBorders>
              <w:top w:val="nil"/>
              <w:left w:val="single" w:color="1C456A" w:sz="4" w:space="0"/>
              <w:bottom w:val="nil"/>
              <w:right w:val="nil"/>
            </w:tcBorders>
            <w:vAlign w:val="top"/>
          </w:tcPr>
          <w:p w14:paraId="2BD64882">
            <w:pPr>
              <w:rPr>
                <w:rFonts w:ascii="Arial"/>
                <w:sz w:val="21"/>
              </w:rPr>
            </w:pPr>
          </w:p>
        </w:tc>
        <w:tc>
          <w:tcPr>
            <w:tcW w:w="537" w:type="dxa"/>
            <w:vMerge w:val="continue"/>
            <w:tcBorders>
              <w:top w:val="nil"/>
              <w:left w:val="nil"/>
              <w:bottom w:val="nil"/>
            </w:tcBorders>
            <w:vAlign w:val="top"/>
          </w:tcPr>
          <w:p w14:paraId="66964A45">
            <w:pPr>
              <w:rPr>
                <w:rFonts w:ascii="Arial"/>
                <w:sz w:val="21"/>
              </w:rPr>
            </w:pPr>
          </w:p>
        </w:tc>
        <w:tc>
          <w:tcPr>
            <w:tcW w:w="3419" w:type="dxa"/>
            <w:vMerge w:val="continue"/>
            <w:tcBorders>
              <w:top w:val="nil"/>
              <w:bottom w:val="nil"/>
            </w:tcBorders>
            <w:vAlign w:val="top"/>
          </w:tcPr>
          <w:p w14:paraId="2189FC26">
            <w:pPr>
              <w:rPr>
                <w:rFonts w:ascii="Arial"/>
                <w:sz w:val="21"/>
              </w:rPr>
            </w:pPr>
          </w:p>
        </w:tc>
        <w:tc>
          <w:tcPr>
            <w:tcW w:w="4295" w:type="dxa"/>
            <w:tcBorders>
              <w:right w:val="nil"/>
            </w:tcBorders>
            <w:vAlign w:val="top"/>
          </w:tcPr>
          <w:p w14:paraId="65AF2F7B">
            <w:pPr>
              <w:pStyle w:val="7"/>
              <w:spacing w:before="103" w:line="218" w:lineRule="auto"/>
              <w:ind w:left="2305"/>
            </w:pPr>
            <w:r>
              <w:rPr>
                <w:spacing w:val="-17"/>
              </w:rPr>
              <w:t>副指挥长</w:t>
            </w:r>
          </w:p>
        </w:tc>
        <w:tc>
          <w:tcPr>
            <w:tcW w:w="1163" w:type="dxa"/>
            <w:tcBorders>
              <w:left w:val="nil"/>
              <w:right w:val="single" w:color="000000" w:sz="4" w:space="0"/>
            </w:tcBorders>
            <w:vAlign w:val="top"/>
          </w:tcPr>
          <w:p w14:paraId="5E357AE9">
            <w:pPr>
              <w:spacing w:line="67" w:lineRule="exact"/>
              <w:ind w:firstLine="1125"/>
            </w:pPr>
            <w:r>
              <w:rPr>
                <w:position w:val="-1"/>
              </w:rPr>
              <w:pict>
                <v:group id="_x0000_s3159" o:spid="_x0000_s3159" o:spt="203" style="height:3.4pt;width:1.45pt;" coordsize="29,68">
                  <o:lock v:ext="edit"/>
                  <v:shape id="_x0000_s3160" o:spid="_x0000_s3160" style="position:absolute;left:14;top:0;height:68;width:15;" fillcolor="#20507B" filled="t" stroked="f" coordsize="15,68" path="m0,67l14,67,14,0,0,0,0,67xe">
                    <v:path/>
                    <v:fill on="t" focussize="0,0"/>
                    <v:stroke on="f"/>
                    <v:imagedata o:title=""/>
                    <o:lock v:ext="edit"/>
                  </v:shape>
                  <v:shape id="_x0000_s3161" o:spid="_x0000_s3161" style="position:absolute;left:0;top:0;height:68;width:15;" fillcolor="#1C456A" filled="t" stroked="f" coordsize="15,68" path="m0,67l14,67,14,0,0,0,0,67xe">
                    <v:path/>
                    <v:fill on="t" focussize="0,0"/>
                    <v:stroke on="f"/>
                    <v:imagedata o:title=""/>
                    <o:lock v:ext="edit"/>
                  </v:shape>
                  <w10:wrap type="none"/>
                  <w10:anchorlock/>
                </v:group>
              </w:pict>
            </w:r>
          </w:p>
        </w:tc>
      </w:tr>
      <w:tr w14:paraId="5F161F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5" w:hRule="atLeast"/>
        </w:trPr>
        <w:tc>
          <w:tcPr>
            <w:tcW w:w="185" w:type="dxa"/>
            <w:vMerge w:val="continue"/>
            <w:tcBorders>
              <w:top w:val="nil"/>
              <w:left w:val="single" w:color="1C456A" w:sz="4" w:space="0"/>
              <w:bottom w:val="nil"/>
              <w:right w:val="nil"/>
            </w:tcBorders>
            <w:vAlign w:val="top"/>
          </w:tcPr>
          <w:p w14:paraId="286FA481">
            <w:pPr>
              <w:rPr>
                <w:rFonts w:ascii="Arial"/>
                <w:sz w:val="21"/>
              </w:rPr>
            </w:pPr>
          </w:p>
        </w:tc>
        <w:tc>
          <w:tcPr>
            <w:tcW w:w="537" w:type="dxa"/>
            <w:vMerge w:val="continue"/>
            <w:tcBorders>
              <w:top w:val="nil"/>
              <w:left w:val="nil"/>
              <w:bottom w:val="nil"/>
            </w:tcBorders>
            <w:vAlign w:val="top"/>
          </w:tcPr>
          <w:p w14:paraId="65A03AE4">
            <w:pPr>
              <w:rPr>
                <w:rFonts w:ascii="Arial"/>
                <w:sz w:val="21"/>
              </w:rPr>
            </w:pPr>
          </w:p>
        </w:tc>
        <w:tc>
          <w:tcPr>
            <w:tcW w:w="3419" w:type="dxa"/>
            <w:vMerge w:val="continue"/>
            <w:tcBorders>
              <w:top w:val="nil"/>
              <w:bottom w:val="nil"/>
            </w:tcBorders>
            <w:vAlign w:val="top"/>
          </w:tcPr>
          <w:p w14:paraId="475DEA21">
            <w:pPr>
              <w:rPr>
                <w:rFonts w:ascii="Arial"/>
                <w:sz w:val="21"/>
              </w:rPr>
            </w:pPr>
          </w:p>
        </w:tc>
        <w:tc>
          <w:tcPr>
            <w:tcW w:w="4295" w:type="dxa"/>
            <w:tcBorders>
              <w:right w:val="nil"/>
            </w:tcBorders>
            <w:vAlign w:val="top"/>
          </w:tcPr>
          <w:p w14:paraId="3F9EDF7C">
            <w:pPr>
              <w:pStyle w:val="7"/>
              <w:spacing w:before="103" w:line="218" w:lineRule="auto"/>
              <w:ind w:left="2193"/>
            </w:pPr>
            <w:r>
              <w:rPr>
                <w:spacing w:val="-18"/>
              </w:rPr>
              <w:t>工程抢修组</w:t>
            </w:r>
          </w:p>
        </w:tc>
        <w:tc>
          <w:tcPr>
            <w:tcW w:w="1163" w:type="dxa"/>
            <w:tcBorders>
              <w:left w:val="nil"/>
              <w:right w:val="single" w:color="000000" w:sz="4" w:space="0"/>
            </w:tcBorders>
            <w:vAlign w:val="top"/>
          </w:tcPr>
          <w:p w14:paraId="0862BCD8">
            <w:pPr>
              <w:spacing w:line="66" w:lineRule="exact"/>
              <w:ind w:firstLine="1125"/>
            </w:pPr>
            <w:r>
              <w:rPr>
                <w:position w:val="-1"/>
              </w:rPr>
              <w:pict>
                <v:group id="_x0000_s3162" o:spid="_x0000_s3162" o:spt="203" style="height:3.4pt;width:1.45pt;" coordsize="29,68">
                  <o:lock v:ext="edit"/>
                  <v:shape id="_x0000_s3163" o:spid="_x0000_s3163" style="position:absolute;left:14;top:0;height:68;width:15;" fillcolor="#20507B" filled="t" stroked="f" coordsize="15,68" path="m0,67l14,67,14,0,0,0,0,67xe">
                    <v:path/>
                    <v:fill on="t" focussize="0,0"/>
                    <v:stroke on="f"/>
                    <v:imagedata o:title=""/>
                    <o:lock v:ext="edit"/>
                  </v:shape>
                  <v:shape id="_x0000_s3164" o:spid="_x0000_s3164" style="position:absolute;left:0;top:0;height:68;width:15;" fillcolor="#1C456A" filled="t" stroked="f" coordsize="15,68" path="m0,67l14,67,14,0,0,0,0,67xe">
                    <v:path/>
                    <v:fill on="t" focussize="0,0"/>
                    <v:stroke on="f"/>
                    <v:imagedata o:title=""/>
                    <o:lock v:ext="edit"/>
                  </v:shape>
                  <w10:wrap type="none"/>
                  <w10:anchorlock/>
                </v:group>
              </w:pict>
            </w:r>
          </w:p>
        </w:tc>
      </w:tr>
      <w:tr w14:paraId="395E48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5" w:hRule="atLeast"/>
        </w:trPr>
        <w:tc>
          <w:tcPr>
            <w:tcW w:w="185" w:type="dxa"/>
            <w:vMerge w:val="continue"/>
            <w:tcBorders>
              <w:top w:val="nil"/>
              <w:left w:val="single" w:color="1C456A" w:sz="4" w:space="0"/>
              <w:bottom w:val="nil"/>
              <w:right w:val="nil"/>
            </w:tcBorders>
            <w:vAlign w:val="top"/>
          </w:tcPr>
          <w:p w14:paraId="6126B8B3">
            <w:pPr>
              <w:rPr>
                <w:rFonts w:ascii="Arial"/>
                <w:sz w:val="21"/>
              </w:rPr>
            </w:pPr>
          </w:p>
        </w:tc>
        <w:tc>
          <w:tcPr>
            <w:tcW w:w="537" w:type="dxa"/>
            <w:vMerge w:val="continue"/>
            <w:tcBorders>
              <w:top w:val="nil"/>
              <w:left w:val="nil"/>
              <w:bottom w:val="nil"/>
            </w:tcBorders>
            <w:vAlign w:val="top"/>
          </w:tcPr>
          <w:p w14:paraId="77AA1E78">
            <w:pPr>
              <w:rPr>
                <w:rFonts w:ascii="Arial"/>
                <w:sz w:val="21"/>
              </w:rPr>
            </w:pPr>
          </w:p>
        </w:tc>
        <w:tc>
          <w:tcPr>
            <w:tcW w:w="3419" w:type="dxa"/>
            <w:vMerge w:val="continue"/>
            <w:tcBorders>
              <w:top w:val="nil"/>
              <w:bottom w:val="nil"/>
            </w:tcBorders>
            <w:vAlign w:val="top"/>
          </w:tcPr>
          <w:p w14:paraId="02C9FB56">
            <w:pPr>
              <w:rPr>
                <w:rFonts w:ascii="Arial"/>
                <w:sz w:val="21"/>
              </w:rPr>
            </w:pPr>
          </w:p>
        </w:tc>
        <w:tc>
          <w:tcPr>
            <w:tcW w:w="4295" w:type="dxa"/>
            <w:tcBorders>
              <w:right w:val="nil"/>
            </w:tcBorders>
            <w:vAlign w:val="top"/>
          </w:tcPr>
          <w:p w14:paraId="3C201853">
            <w:pPr>
              <w:pStyle w:val="7"/>
              <w:spacing w:before="103" w:line="218" w:lineRule="auto"/>
              <w:ind w:left="2404"/>
            </w:pPr>
            <w:r>
              <w:rPr>
                <w:spacing w:val="-13"/>
              </w:rPr>
              <w:t>救护组</w:t>
            </w:r>
          </w:p>
        </w:tc>
        <w:tc>
          <w:tcPr>
            <w:tcW w:w="1163" w:type="dxa"/>
            <w:tcBorders>
              <w:left w:val="nil"/>
              <w:right w:val="single" w:color="000000" w:sz="4" w:space="0"/>
            </w:tcBorders>
            <w:vAlign w:val="top"/>
          </w:tcPr>
          <w:p w14:paraId="43BDD47E">
            <w:pPr>
              <w:spacing w:line="67" w:lineRule="exact"/>
              <w:ind w:firstLine="1125"/>
            </w:pPr>
            <w:r>
              <w:rPr>
                <w:position w:val="-1"/>
              </w:rPr>
              <w:pict>
                <v:group id="_x0000_s3165" o:spid="_x0000_s3165" o:spt="203" style="height:3.4pt;width:1.45pt;" coordsize="29,68">
                  <o:lock v:ext="edit"/>
                  <v:shape id="_x0000_s3166" o:spid="_x0000_s3166" style="position:absolute;left:14;top:0;height:68;width:15;" fillcolor="#20507B" filled="t" stroked="f" coordsize="15,68" path="m0,67l14,67,14,0,0,0,0,67xe">
                    <v:path/>
                    <v:fill on="t" focussize="0,0"/>
                    <v:stroke on="f"/>
                    <v:imagedata o:title=""/>
                    <o:lock v:ext="edit"/>
                  </v:shape>
                  <v:shape id="_x0000_s3167" o:spid="_x0000_s3167" style="position:absolute;left:0;top:0;height:68;width:15;" fillcolor="#1C456A" filled="t" stroked="f" coordsize="15,68" path="m0,67l14,67,14,0,0,0,0,67xe">
                    <v:path/>
                    <v:fill on="t" focussize="0,0"/>
                    <v:stroke on="f"/>
                    <v:imagedata o:title=""/>
                    <o:lock v:ext="edit"/>
                  </v:shape>
                  <w10:wrap type="none"/>
                  <w10:anchorlock/>
                </v:group>
              </w:pict>
            </w:r>
          </w:p>
        </w:tc>
      </w:tr>
      <w:tr w14:paraId="68A05A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5" w:hRule="atLeast"/>
        </w:trPr>
        <w:tc>
          <w:tcPr>
            <w:tcW w:w="185" w:type="dxa"/>
            <w:vMerge w:val="continue"/>
            <w:tcBorders>
              <w:top w:val="nil"/>
              <w:left w:val="single" w:color="1C456A" w:sz="4" w:space="0"/>
              <w:bottom w:val="nil"/>
              <w:right w:val="nil"/>
            </w:tcBorders>
            <w:vAlign w:val="top"/>
          </w:tcPr>
          <w:p w14:paraId="1F1B1496">
            <w:pPr>
              <w:rPr>
                <w:rFonts w:ascii="Arial"/>
                <w:sz w:val="21"/>
              </w:rPr>
            </w:pPr>
          </w:p>
        </w:tc>
        <w:tc>
          <w:tcPr>
            <w:tcW w:w="537" w:type="dxa"/>
            <w:vMerge w:val="continue"/>
            <w:tcBorders>
              <w:top w:val="nil"/>
              <w:left w:val="nil"/>
              <w:bottom w:val="nil"/>
            </w:tcBorders>
            <w:vAlign w:val="top"/>
          </w:tcPr>
          <w:p w14:paraId="460217B8">
            <w:pPr>
              <w:rPr>
                <w:rFonts w:ascii="Arial"/>
                <w:sz w:val="21"/>
              </w:rPr>
            </w:pPr>
          </w:p>
        </w:tc>
        <w:tc>
          <w:tcPr>
            <w:tcW w:w="3419" w:type="dxa"/>
            <w:vMerge w:val="continue"/>
            <w:tcBorders>
              <w:top w:val="nil"/>
              <w:bottom w:val="nil"/>
            </w:tcBorders>
            <w:vAlign w:val="top"/>
          </w:tcPr>
          <w:p w14:paraId="13428B84">
            <w:pPr>
              <w:rPr>
                <w:rFonts w:ascii="Arial"/>
                <w:sz w:val="21"/>
              </w:rPr>
            </w:pPr>
          </w:p>
        </w:tc>
        <w:tc>
          <w:tcPr>
            <w:tcW w:w="4295" w:type="dxa"/>
            <w:tcBorders>
              <w:right w:val="nil"/>
            </w:tcBorders>
            <w:vAlign w:val="top"/>
          </w:tcPr>
          <w:p w14:paraId="3BDCA6D8">
            <w:pPr>
              <w:pStyle w:val="7"/>
              <w:spacing w:before="103" w:line="217" w:lineRule="auto"/>
              <w:ind w:left="2407"/>
            </w:pPr>
            <w:r>
              <w:rPr>
                <w:spacing w:val="-13"/>
              </w:rPr>
              <w:t>物资组</w:t>
            </w:r>
          </w:p>
        </w:tc>
        <w:tc>
          <w:tcPr>
            <w:tcW w:w="1163" w:type="dxa"/>
            <w:tcBorders>
              <w:left w:val="nil"/>
              <w:right w:val="single" w:color="000000" w:sz="4" w:space="0"/>
            </w:tcBorders>
            <w:vAlign w:val="top"/>
          </w:tcPr>
          <w:p w14:paraId="7A4D8D96">
            <w:pPr>
              <w:spacing w:line="67" w:lineRule="exact"/>
              <w:ind w:firstLine="1125"/>
            </w:pPr>
            <w:r>
              <w:rPr>
                <w:position w:val="-1"/>
              </w:rPr>
              <w:pict>
                <v:group id="_x0000_s3168" o:spid="_x0000_s3168" o:spt="203" style="height:3.4pt;width:1.45pt;" coordsize="29,68">
                  <o:lock v:ext="edit"/>
                  <v:shape id="_x0000_s3169" o:spid="_x0000_s3169" style="position:absolute;left:14;top:0;height:68;width:15;" fillcolor="#20507B" filled="t" stroked="f" coordsize="15,68" path="m0,67l14,67,14,0,0,0,0,67xe">
                    <v:path/>
                    <v:fill on="t" focussize="0,0"/>
                    <v:stroke on="f"/>
                    <v:imagedata o:title=""/>
                    <o:lock v:ext="edit"/>
                  </v:shape>
                  <v:shape id="_x0000_s3170" o:spid="_x0000_s3170" style="position:absolute;left:0;top:0;height:68;width:15;" fillcolor="#1C456A" filled="t" stroked="f" coordsize="15,68" path="m0,67l14,67,14,0,0,0,0,67xe">
                    <v:path/>
                    <v:fill on="t" focussize="0,0"/>
                    <v:stroke on="f"/>
                    <v:imagedata o:title=""/>
                    <o:lock v:ext="edit"/>
                  </v:shape>
                  <w10:wrap type="none"/>
                  <w10:anchorlock/>
                </v:group>
              </w:pict>
            </w:r>
          </w:p>
        </w:tc>
      </w:tr>
      <w:tr w14:paraId="7E1B4C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6" w:hRule="atLeast"/>
        </w:trPr>
        <w:tc>
          <w:tcPr>
            <w:tcW w:w="185" w:type="dxa"/>
            <w:vMerge w:val="continue"/>
            <w:tcBorders>
              <w:top w:val="nil"/>
              <w:left w:val="single" w:color="1C456A" w:sz="4" w:space="0"/>
              <w:bottom w:val="single" w:color="1C456A" w:sz="4" w:space="0"/>
              <w:right w:val="nil"/>
            </w:tcBorders>
            <w:vAlign w:val="top"/>
          </w:tcPr>
          <w:p w14:paraId="5E805D08">
            <w:pPr>
              <w:rPr>
                <w:rFonts w:ascii="Arial"/>
                <w:sz w:val="21"/>
              </w:rPr>
            </w:pPr>
          </w:p>
        </w:tc>
        <w:tc>
          <w:tcPr>
            <w:tcW w:w="537" w:type="dxa"/>
            <w:vMerge w:val="continue"/>
            <w:tcBorders>
              <w:top w:val="nil"/>
              <w:left w:val="nil"/>
              <w:bottom w:val="single" w:color="1C456A" w:sz="4" w:space="0"/>
            </w:tcBorders>
            <w:vAlign w:val="top"/>
          </w:tcPr>
          <w:p w14:paraId="6F69861B">
            <w:pPr>
              <w:rPr>
                <w:rFonts w:ascii="Arial"/>
                <w:sz w:val="21"/>
              </w:rPr>
            </w:pPr>
          </w:p>
        </w:tc>
        <w:tc>
          <w:tcPr>
            <w:tcW w:w="3419" w:type="dxa"/>
            <w:vMerge w:val="continue"/>
            <w:tcBorders>
              <w:top w:val="nil"/>
              <w:bottom w:val="single" w:color="000000" w:sz="4" w:space="0"/>
            </w:tcBorders>
            <w:vAlign w:val="top"/>
          </w:tcPr>
          <w:p w14:paraId="73BB4CC5">
            <w:pPr>
              <w:rPr>
                <w:rFonts w:ascii="Arial"/>
                <w:sz w:val="21"/>
              </w:rPr>
            </w:pPr>
          </w:p>
        </w:tc>
        <w:tc>
          <w:tcPr>
            <w:tcW w:w="4295" w:type="dxa"/>
            <w:tcBorders>
              <w:bottom w:val="single" w:color="5B9BD5" w:sz="4" w:space="0"/>
              <w:right w:val="nil"/>
            </w:tcBorders>
            <w:vAlign w:val="top"/>
          </w:tcPr>
          <w:p w14:paraId="53EF2247">
            <w:pPr>
              <w:pStyle w:val="7"/>
              <w:spacing w:before="104" w:line="218" w:lineRule="auto"/>
              <w:ind w:left="2409"/>
            </w:pPr>
            <w:r>
              <w:rPr>
                <w:spacing w:val="-14"/>
              </w:rPr>
              <w:t>外协组</w:t>
            </w:r>
          </w:p>
        </w:tc>
        <w:tc>
          <w:tcPr>
            <w:tcW w:w="1163" w:type="dxa"/>
            <w:tcBorders>
              <w:left w:val="nil"/>
              <w:bottom w:val="single" w:color="5B9BD5" w:sz="4" w:space="0"/>
              <w:right w:val="single" w:color="5B9BD5" w:sz="4" w:space="0"/>
            </w:tcBorders>
            <w:vAlign w:val="top"/>
          </w:tcPr>
          <w:p w14:paraId="0284041E">
            <w:pPr>
              <w:spacing w:line="67" w:lineRule="exact"/>
              <w:ind w:firstLine="1125"/>
            </w:pPr>
            <w:r>
              <w:pict>
                <v:shape id="_x0000_s3171" o:spid="_x0000_s3171" style="position:absolute;left:0pt;margin-left:56.3pt;margin-top:31.35pt;height:0.75pt;width:2.2pt;mso-position-horizontal-relative:page;mso-position-vertical-relative:page;z-index:251915264;mso-width-relative:page;mso-height-relative:page;" fillcolor="#5B9BD5" filled="t" stroked="f" coordsize="44,15" path="m0,14l43,14,43,0,0,0,0,14xe">
                  <v:path/>
                  <v:fill on="t" focussize="0,0"/>
                  <v:stroke on="f"/>
                  <v:imagedata o:title=""/>
                  <o:lock v:ext="edit"/>
                </v:shape>
              </w:pict>
            </w:r>
            <w:r>
              <w:rPr>
                <w:position w:val="-1"/>
              </w:rPr>
              <w:pict>
                <v:group id="_x0000_s3172" o:spid="_x0000_s3172" o:spt="203" style="height:3.4pt;width:1.45pt;" coordsize="29,68">
                  <o:lock v:ext="edit"/>
                  <v:shape id="_x0000_s3173" o:spid="_x0000_s3173" style="position:absolute;left:14;top:0;height:68;width:15;" fillcolor="#20507B" filled="t" stroked="f" coordsize="15,68" path="m0,67l14,67,14,0,0,0,0,67xe">
                    <v:path/>
                    <v:fill on="t" focussize="0,0"/>
                    <v:stroke on="f"/>
                    <v:imagedata o:title=""/>
                    <o:lock v:ext="edit"/>
                  </v:shape>
                  <v:shape id="_x0000_s3174" o:spid="_x0000_s3174" style="position:absolute;left:0;top:0;height:68;width:15;" fillcolor="#1C456A" filled="t" stroked="f" coordsize="15,68" path="m0,67l14,67,14,0,0,0,0,67xe">
                    <v:path/>
                    <v:fill on="t" focussize="0,0"/>
                    <v:stroke on="f"/>
                    <v:imagedata o:title=""/>
                    <o:lock v:ext="edit"/>
                  </v:shape>
                  <w10:wrap type="none"/>
                  <w10:anchorlock/>
                </v:group>
              </w:pict>
            </w:r>
          </w:p>
        </w:tc>
      </w:tr>
    </w:tbl>
    <w:p w14:paraId="0DC765CA">
      <w:pPr>
        <w:rPr>
          <w:rFonts w:ascii="Arial"/>
          <w:sz w:val="21"/>
        </w:rPr>
      </w:pPr>
    </w:p>
    <w:p w14:paraId="6D0CC374">
      <w:pPr>
        <w:rPr>
          <w:rFonts w:ascii="Arial" w:hAnsi="Arial" w:eastAsia="Arial" w:cs="Arial"/>
          <w:sz w:val="21"/>
          <w:szCs w:val="21"/>
        </w:rPr>
        <w:sectPr>
          <w:footerReference r:id="rId150" w:type="default"/>
          <w:pgSz w:w="11907" w:h="16839"/>
          <w:pgMar w:top="954" w:right="4" w:bottom="1038" w:left="0" w:header="499" w:footer="357" w:gutter="0"/>
          <w:pgBorders>
            <w:top w:val="none" w:sz="0" w:space="0"/>
            <w:left w:val="none" w:sz="0" w:space="0"/>
            <w:bottom w:val="none" w:sz="0" w:space="0"/>
            <w:right w:val="none" w:sz="0" w:space="0"/>
          </w:pgBorders>
          <w:cols w:space="720" w:num="1"/>
        </w:sectPr>
      </w:pPr>
    </w:p>
    <w:p w14:paraId="04BB947A">
      <w:pPr>
        <w:spacing w:line="251" w:lineRule="auto"/>
        <w:rPr>
          <w:rFonts w:ascii="Arial"/>
          <w:sz w:val="21"/>
        </w:rPr>
      </w:pPr>
    </w:p>
    <w:p w14:paraId="17095892">
      <w:pPr>
        <w:pStyle w:val="2"/>
        <w:spacing w:before="78" w:line="217" w:lineRule="auto"/>
        <w:ind w:left="1888"/>
        <w:rPr>
          <w:sz w:val="24"/>
          <w:szCs w:val="24"/>
        </w:rPr>
      </w:pPr>
      <w:r>
        <w:rPr>
          <w:spacing w:val="-16"/>
          <w:sz w:val="24"/>
          <w:szCs w:val="24"/>
        </w:rPr>
        <w:t>2.2应急岗位职责</w:t>
      </w:r>
    </w:p>
    <w:p w14:paraId="73E5DC35">
      <w:pPr>
        <w:pStyle w:val="2"/>
        <w:spacing w:before="118" w:line="218" w:lineRule="auto"/>
        <w:ind w:left="1888"/>
        <w:rPr>
          <w:sz w:val="24"/>
          <w:szCs w:val="24"/>
        </w:rPr>
      </w:pPr>
      <w:r>
        <w:rPr>
          <w:spacing w:val="-15"/>
          <w:sz w:val="24"/>
          <w:szCs w:val="24"/>
        </w:rPr>
        <w:t>2.2.1、火灾、爆炸</w:t>
      </w:r>
    </w:p>
    <w:p w14:paraId="7AB36420">
      <w:pPr>
        <w:pStyle w:val="2"/>
        <w:spacing w:before="114" w:line="218" w:lineRule="auto"/>
        <w:ind w:left="1893"/>
        <w:rPr>
          <w:sz w:val="24"/>
          <w:szCs w:val="24"/>
        </w:rPr>
      </w:pPr>
      <w:r>
        <w:rPr>
          <w:spacing w:val="-19"/>
          <w:sz w:val="24"/>
          <w:szCs w:val="24"/>
        </w:rPr>
        <w:t>（一）指挥员职责：</w:t>
      </w:r>
    </w:p>
    <w:p w14:paraId="6CFCAC5D">
      <w:pPr>
        <w:pStyle w:val="2"/>
        <w:spacing w:before="117" w:line="216" w:lineRule="auto"/>
        <w:ind w:left="1927"/>
        <w:rPr>
          <w:sz w:val="24"/>
          <w:szCs w:val="24"/>
        </w:rPr>
      </w:pPr>
      <w:r>
        <w:rPr>
          <w:spacing w:val="-21"/>
          <w:sz w:val="24"/>
          <w:szCs w:val="24"/>
        </w:rPr>
        <w:t>(1)、正确组织指挥其它责任分工小组，有效展开工作</w:t>
      </w:r>
      <w:r>
        <w:rPr>
          <w:spacing w:val="-22"/>
          <w:sz w:val="24"/>
          <w:szCs w:val="24"/>
        </w:rPr>
        <w:t>和组织人员的调配。</w:t>
      </w:r>
    </w:p>
    <w:p w14:paraId="32D14611">
      <w:pPr>
        <w:pStyle w:val="2"/>
        <w:spacing w:before="120" w:line="216" w:lineRule="auto"/>
        <w:ind w:left="1927"/>
        <w:rPr>
          <w:sz w:val="24"/>
          <w:szCs w:val="24"/>
        </w:rPr>
      </w:pPr>
      <w:r>
        <w:rPr>
          <w:spacing w:val="-21"/>
          <w:sz w:val="24"/>
          <w:szCs w:val="24"/>
        </w:rPr>
        <w:t>(2)、对火灾危险性大、火灾后损失大、伤亡大、政治</w:t>
      </w:r>
      <w:r>
        <w:rPr>
          <w:spacing w:val="-22"/>
          <w:sz w:val="24"/>
          <w:szCs w:val="24"/>
        </w:rPr>
        <w:t>影响大的重点部位制定灭火计划。</w:t>
      </w:r>
    </w:p>
    <w:p w14:paraId="08C9CE60">
      <w:pPr>
        <w:pStyle w:val="2"/>
        <w:spacing w:before="118" w:line="217" w:lineRule="auto"/>
        <w:ind w:left="1927"/>
        <w:rPr>
          <w:sz w:val="24"/>
          <w:szCs w:val="24"/>
        </w:rPr>
      </w:pPr>
      <w:r>
        <w:rPr>
          <w:spacing w:val="-21"/>
          <w:sz w:val="24"/>
          <w:szCs w:val="24"/>
        </w:rPr>
        <w:t>(3)、分析火势发展变化情况，采取有效的灭火措施。</w:t>
      </w:r>
    </w:p>
    <w:p w14:paraId="0A49FED3">
      <w:pPr>
        <w:pStyle w:val="2"/>
        <w:spacing w:before="119" w:line="265" w:lineRule="auto"/>
        <w:ind w:left="1460" w:right="1413" w:firstLine="467"/>
        <w:rPr>
          <w:sz w:val="24"/>
          <w:szCs w:val="24"/>
        </w:rPr>
      </w:pPr>
      <w:r>
        <w:rPr>
          <w:spacing w:val="-22"/>
          <w:sz w:val="24"/>
          <w:szCs w:val="24"/>
        </w:rPr>
        <w:t>(4)、根据救人、疏散物资和灭火等具体任务的需</w:t>
      </w:r>
      <w:r>
        <w:rPr>
          <w:spacing w:val="-23"/>
          <w:sz w:val="24"/>
          <w:szCs w:val="24"/>
        </w:rPr>
        <w:t>要有计划、适时准确地向火场调集灭火力</w:t>
      </w:r>
      <w:r>
        <w:rPr>
          <w:spacing w:val="-19"/>
          <w:sz w:val="24"/>
          <w:szCs w:val="24"/>
        </w:rPr>
        <w:t>量。</w:t>
      </w:r>
    </w:p>
    <w:p w14:paraId="49B9606A">
      <w:pPr>
        <w:pStyle w:val="2"/>
        <w:spacing w:before="109" w:line="216" w:lineRule="auto"/>
        <w:ind w:left="1927"/>
        <w:rPr>
          <w:sz w:val="24"/>
          <w:szCs w:val="24"/>
        </w:rPr>
      </w:pPr>
      <w:r>
        <w:rPr>
          <w:spacing w:val="-21"/>
          <w:sz w:val="24"/>
          <w:szCs w:val="24"/>
        </w:rPr>
        <w:t>(5)、组织好本单位义务消防队与公安消防部门协同作战</w:t>
      </w:r>
      <w:r>
        <w:rPr>
          <w:spacing w:val="-22"/>
          <w:sz w:val="24"/>
          <w:szCs w:val="24"/>
        </w:rPr>
        <w:t>紧密配合。</w:t>
      </w:r>
    </w:p>
    <w:p w14:paraId="18DEF9B1">
      <w:pPr>
        <w:pStyle w:val="2"/>
        <w:spacing w:before="121" w:line="217" w:lineRule="auto"/>
        <w:ind w:left="1927"/>
        <w:rPr>
          <w:sz w:val="24"/>
          <w:szCs w:val="24"/>
        </w:rPr>
      </w:pPr>
      <w:r>
        <w:rPr>
          <w:spacing w:val="-21"/>
          <w:sz w:val="24"/>
          <w:szCs w:val="24"/>
        </w:rPr>
        <w:t>(6)、协助公安消防部门调查火灾原因。</w:t>
      </w:r>
    </w:p>
    <w:p w14:paraId="2C668633">
      <w:pPr>
        <w:pStyle w:val="2"/>
        <w:spacing w:before="119" w:line="217" w:lineRule="auto"/>
        <w:ind w:left="1893"/>
        <w:rPr>
          <w:sz w:val="24"/>
          <w:szCs w:val="24"/>
        </w:rPr>
      </w:pPr>
      <w:r>
        <w:rPr>
          <w:spacing w:val="-20"/>
          <w:sz w:val="24"/>
          <w:szCs w:val="24"/>
        </w:rPr>
        <w:t>（二）通讯联络组职责：</w:t>
      </w:r>
    </w:p>
    <w:p w14:paraId="1301D84A">
      <w:pPr>
        <w:pStyle w:val="2"/>
        <w:spacing w:before="116" w:line="218" w:lineRule="auto"/>
        <w:ind w:left="1927"/>
        <w:rPr>
          <w:sz w:val="24"/>
          <w:szCs w:val="24"/>
        </w:rPr>
      </w:pPr>
      <w:r>
        <w:rPr>
          <w:spacing w:val="-21"/>
          <w:sz w:val="24"/>
          <w:szCs w:val="24"/>
        </w:rPr>
        <w:t>(1)、发现火灾后迅速拨打119报警。</w:t>
      </w:r>
    </w:p>
    <w:p w14:paraId="7CB24708">
      <w:pPr>
        <w:pStyle w:val="2"/>
        <w:spacing w:before="117" w:line="217" w:lineRule="auto"/>
        <w:ind w:left="1927"/>
        <w:rPr>
          <w:sz w:val="24"/>
          <w:szCs w:val="24"/>
        </w:rPr>
      </w:pPr>
      <w:r>
        <w:rPr>
          <w:spacing w:val="-21"/>
          <w:sz w:val="24"/>
          <w:szCs w:val="24"/>
        </w:rPr>
        <w:t>(2)、报警时候说明火灾地点和单位。</w:t>
      </w:r>
    </w:p>
    <w:p w14:paraId="50509ED1">
      <w:pPr>
        <w:pStyle w:val="2"/>
        <w:spacing w:before="119" w:line="219" w:lineRule="auto"/>
        <w:ind w:left="1927"/>
        <w:rPr>
          <w:sz w:val="24"/>
          <w:szCs w:val="24"/>
        </w:rPr>
      </w:pPr>
      <w:r>
        <w:rPr>
          <w:spacing w:val="-21"/>
          <w:sz w:val="24"/>
          <w:szCs w:val="24"/>
        </w:rPr>
        <w:t>(3)、说明火灾燃烧类型，火势大小。</w:t>
      </w:r>
    </w:p>
    <w:p w14:paraId="1188C98E">
      <w:pPr>
        <w:pStyle w:val="2"/>
        <w:spacing w:before="113" w:line="217" w:lineRule="auto"/>
        <w:ind w:left="1927"/>
        <w:rPr>
          <w:sz w:val="24"/>
          <w:szCs w:val="24"/>
        </w:rPr>
      </w:pPr>
      <w:r>
        <w:rPr>
          <w:spacing w:val="-21"/>
          <w:sz w:val="24"/>
          <w:szCs w:val="24"/>
        </w:rPr>
        <w:t>(4)、说明报警人的姓名、单位及电话号码。</w:t>
      </w:r>
    </w:p>
    <w:p w14:paraId="6439D538">
      <w:pPr>
        <w:pStyle w:val="2"/>
        <w:spacing w:before="120" w:line="215" w:lineRule="auto"/>
        <w:ind w:left="1927"/>
        <w:rPr>
          <w:sz w:val="24"/>
          <w:szCs w:val="24"/>
        </w:rPr>
      </w:pPr>
      <w:r>
        <w:rPr>
          <w:spacing w:val="-21"/>
          <w:sz w:val="24"/>
          <w:szCs w:val="24"/>
        </w:rPr>
        <w:t>(5)、报警后迅速到路口等候消防车，指引火场道路。</w:t>
      </w:r>
    </w:p>
    <w:p w14:paraId="74007BC4">
      <w:pPr>
        <w:pStyle w:val="2"/>
        <w:spacing w:before="120" w:line="217" w:lineRule="auto"/>
        <w:ind w:left="1893"/>
        <w:rPr>
          <w:sz w:val="24"/>
          <w:szCs w:val="24"/>
        </w:rPr>
      </w:pPr>
      <w:r>
        <w:rPr>
          <w:spacing w:val="-20"/>
          <w:sz w:val="24"/>
          <w:szCs w:val="24"/>
        </w:rPr>
        <w:t>（三）灭火行动组职责：</w:t>
      </w:r>
    </w:p>
    <w:p w14:paraId="1E512C99">
      <w:pPr>
        <w:pStyle w:val="2"/>
        <w:spacing w:before="117" w:line="216" w:lineRule="auto"/>
        <w:ind w:left="1927"/>
        <w:rPr>
          <w:sz w:val="24"/>
          <w:szCs w:val="24"/>
        </w:rPr>
      </w:pPr>
      <w:r>
        <w:rPr>
          <w:spacing w:val="-21"/>
          <w:sz w:val="24"/>
          <w:szCs w:val="24"/>
        </w:rPr>
        <w:t>(1)、熟悉掌握本单位的消防道路、消防设施、器材的</w:t>
      </w:r>
      <w:r>
        <w:rPr>
          <w:spacing w:val="-22"/>
          <w:sz w:val="24"/>
          <w:szCs w:val="24"/>
        </w:rPr>
        <w:t>位置并达到熟练使用。</w:t>
      </w:r>
    </w:p>
    <w:p w14:paraId="53E7A90E">
      <w:pPr>
        <w:pStyle w:val="2"/>
        <w:spacing w:before="120" w:line="263" w:lineRule="auto"/>
        <w:ind w:left="1469" w:right="1343" w:firstLine="458"/>
        <w:rPr>
          <w:sz w:val="24"/>
          <w:szCs w:val="24"/>
        </w:rPr>
      </w:pPr>
      <w:r>
        <w:rPr>
          <w:spacing w:val="-26"/>
          <w:sz w:val="24"/>
          <w:szCs w:val="24"/>
        </w:rPr>
        <w:t>(2)、加强平时的灭火技术训练，掌握灭火方法，针对不同的物资分别采用窒息法、冷却法、</w:t>
      </w:r>
      <w:r>
        <w:rPr>
          <w:spacing w:val="-23"/>
          <w:sz w:val="24"/>
          <w:szCs w:val="24"/>
        </w:rPr>
        <w:t>隔离法、抑制法有效扑灭火灾。</w:t>
      </w:r>
    </w:p>
    <w:p w14:paraId="33C01CDB">
      <w:pPr>
        <w:pStyle w:val="2"/>
        <w:spacing w:before="115" w:line="264" w:lineRule="auto"/>
        <w:ind w:left="1458" w:right="1411" w:firstLine="469"/>
        <w:rPr>
          <w:sz w:val="24"/>
          <w:szCs w:val="24"/>
        </w:rPr>
      </w:pPr>
      <w:r>
        <w:rPr>
          <w:spacing w:val="-22"/>
          <w:sz w:val="24"/>
          <w:szCs w:val="24"/>
        </w:rPr>
        <w:t>(3)、在较短时间内到达火警地点，迅速有效扑灭火</w:t>
      </w:r>
      <w:r>
        <w:rPr>
          <w:spacing w:val="-23"/>
          <w:sz w:val="24"/>
          <w:szCs w:val="24"/>
        </w:rPr>
        <w:t>灾或援助消防队控制火势和扑灭火灾以</w:t>
      </w:r>
      <w:r>
        <w:rPr>
          <w:spacing w:val="-19"/>
          <w:sz w:val="24"/>
          <w:szCs w:val="24"/>
        </w:rPr>
        <w:t>减少火灾的损失。</w:t>
      </w:r>
    </w:p>
    <w:p w14:paraId="356F8285">
      <w:pPr>
        <w:pStyle w:val="2"/>
        <w:spacing w:before="116" w:line="218" w:lineRule="auto"/>
        <w:ind w:left="1893"/>
        <w:rPr>
          <w:sz w:val="24"/>
          <w:szCs w:val="24"/>
        </w:rPr>
      </w:pPr>
      <w:r>
        <w:rPr>
          <w:spacing w:val="-20"/>
          <w:sz w:val="24"/>
          <w:szCs w:val="24"/>
        </w:rPr>
        <w:t>（四）疏散引导组职责：</w:t>
      </w:r>
    </w:p>
    <w:p w14:paraId="3E434A46">
      <w:pPr>
        <w:pStyle w:val="2"/>
        <w:spacing w:before="114" w:line="217" w:lineRule="auto"/>
        <w:ind w:left="1927"/>
        <w:rPr>
          <w:sz w:val="24"/>
          <w:szCs w:val="24"/>
        </w:rPr>
      </w:pPr>
      <w:r>
        <w:rPr>
          <w:spacing w:val="-21"/>
          <w:sz w:val="24"/>
          <w:szCs w:val="24"/>
        </w:rPr>
        <w:t>(1)、针对本单位或场所的人员情况对人员、物资进</w:t>
      </w:r>
      <w:r>
        <w:rPr>
          <w:spacing w:val="-22"/>
          <w:sz w:val="24"/>
          <w:szCs w:val="24"/>
        </w:rPr>
        <w:t>行疏散。</w:t>
      </w:r>
    </w:p>
    <w:p w14:paraId="604949CF">
      <w:pPr>
        <w:pStyle w:val="2"/>
        <w:spacing w:before="119" w:line="217" w:lineRule="auto"/>
        <w:ind w:left="1927"/>
        <w:rPr>
          <w:sz w:val="24"/>
          <w:szCs w:val="24"/>
        </w:rPr>
      </w:pPr>
      <w:r>
        <w:rPr>
          <w:spacing w:val="-21"/>
          <w:sz w:val="24"/>
          <w:szCs w:val="24"/>
        </w:rPr>
        <w:t>(2)、明确安全出口位置、疏散标志，根据火灾发生</w:t>
      </w:r>
      <w:r>
        <w:rPr>
          <w:spacing w:val="-22"/>
          <w:sz w:val="24"/>
          <w:szCs w:val="24"/>
        </w:rPr>
        <w:t>的不同部位组织不同的疏散路线。</w:t>
      </w:r>
    </w:p>
    <w:p w14:paraId="430479C3">
      <w:pPr>
        <w:pStyle w:val="2"/>
        <w:spacing w:before="119" w:line="218" w:lineRule="auto"/>
        <w:ind w:left="1927"/>
        <w:rPr>
          <w:sz w:val="24"/>
          <w:szCs w:val="24"/>
        </w:rPr>
      </w:pPr>
      <w:r>
        <w:rPr>
          <w:spacing w:val="-21"/>
          <w:sz w:val="24"/>
          <w:szCs w:val="24"/>
        </w:rPr>
        <w:t>(3)、疏散引导人员要明确任务，合理分工落实具体的</w:t>
      </w:r>
      <w:r>
        <w:rPr>
          <w:spacing w:val="-22"/>
          <w:sz w:val="24"/>
          <w:szCs w:val="24"/>
        </w:rPr>
        <w:t>疏散措施。</w:t>
      </w:r>
    </w:p>
    <w:p w14:paraId="31797FC5">
      <w:pPr>
        <w:pStyle w:val="2"/>
        <w:spacing w:before="115" w:line="218" w:lineRule="auto"/>
        <w:ind w:left="1893"/>
        <w:rPr>
          <w:sz w:val="24"/>
          <w:szCs w:val="24"/>
        </w:rPr>
      </w:pPr>
      <w:r>
        <w:rPr>
          <w:spacing w:val="-20"/>
          <w:sz w:val="24"/>
          <w:szCs w:val="24"/>
        </w:rPr>
        <w:t>（五）安全防护救护组职责：</w:t>
      </w:r>
    </w:p>
    <w:p w14:paraId="3E3A24B6">
      <w:pPr>
        <w:pStyle w:val="2"/>
        <w:spacing w:before="117" w:line="217" w:lineRule="auto"/>
        <w:ind w:left="1927"/>
        <w:rPr>
          <w:sz w:val="24"/>
          <w:szCs w:val="24"/>
        </w:rPr>
      </w:pPr>
      <w:r>
        <w:rPr>
          <w:spacing w:val="-21"/>
          <w:sz w:val="24"/>
          <w:szCs w:val="24"/>
        </w:rPr>
        <w:t>(1)、贯彻执行救人重于灭火的原则，组织人力和工具</w:t>
      </w:r>
      <w:r>
        <w:rPr>
          <w:spacing w:val="-22"/>
          <w:sz w:val="24"/>
          <w:szCs w:val="24"/>
        </w:rPr>
        <w:t>尽早尽快的将被困人员抢救出来。</w:t>
      </w:r>
    </w:p>
    <w:p w14:paraId="09A042C6">
      <w:pPr>
        <w:pStyle w:val="2"/>
        <w:spacing w:before="120" w:line="215" w:lineRule="auto"/>
        <w:ind w:left="1927"/>
        <w:rPr>
          <w:sz w:val="24"/>
          <w:szCs w:val="24"/>
        </w:rPr>
      </w:pPr>
      <w:r>
        <w:rPr>
          <w:spacing w:val="-21"/>
          <w:sz w:val="24"/>
          <w:szCs w:val="24"/>
        </w:rPr>
        <w:t>(2)、在救护时要准、稳、果断勇敢，确保安全。</w:t>
      </w:r>
    </w:p>
    <w:p w14:paraId="79FDD903">
      <w:pPr>
        <w:pStyle w:val="2"/>
        <w:spacing w:before="119" w:line="219" w:lineRule="auto"/>
        <w:ind w:left="1927"/>
        <w:rPr>
          <w:sz w:val="24"/>
          <w:szCs w:val="24"/>
        </w:rPr>
      </w:pPr>
      <w:r>
        <w:rPr>
          <w:spacing w:val="-21"/>
          <w:sz w:val="24"/>
          <w:szCs w:val="24"/>
        </w:rPr>
        <w:t>(3)、掌握寻人方法和火场救人的道路。</w:t>
      </w:r>
    </w:p>
    <w:p w14:paraId="67A94488">
      <w:pPr>
        <w:pStyle w:val="2"/>
        <w:spacing w:before="116" w:line="217" w:lineRule="auto"/>
        <w:ind w:left="1927"/>
        <w:rPr>
          <w:sz w:val="24"/>
          <w:szCs w:val="24"/>
        </w:rPr>
      </w:pPr>
      <w:r>
        <w:rPr>
          <w:spacing w:val="-21"/>
          <w:sz w:val="24"/>
          <w:szCs w:val="24"/>
        </w:rPr>
        <w:t>(4)、以最快的速度将救出的伤员护送到附近医院。</w:t>
      </w:r>
    </w:p>
    <w:p w14:paraId="79C51E0B">
      <w:pPr>
        <w:pStyle w:val="2"/>
        <w:spacing w:before="118" w:line="219" w:lineRule="auto"/>
        <w:ind w:left="1888"/>
        <w:rPr>
          <w:sz w:val="24"/>
          <w:szCs w:val="24"/>
        </w:rPr>
      </w:pPr>
      <w:r>
        <w:rPr>
          <w:spacing w:val="-15"/>
          <w:sz w:val="24"/>
          <w:szCs w:val="24"/>
        </w:rPr>
        <w:t>2.2.2、坍塌事故</w:t>
      </w:r>
    </w:p>
    <w:p w14:paraId="341902D2">
      <w:pPr>
        <w:pStyle w:val="2"/>
        <w:spacing w:before="114" w:line="218" w:lineRule="auto"/>
        <w:ind w:left="1893"/>
        <w:rPr>
          <w:sz w:val="24"/>
          <w:szCs w:val="24"/>
        </w:rPr>
      </w:pPr>
      <w:r>
        <w:rPr>
          <w:spacing w:val="-19"/>
          <w:sz w:val="24"/>
          <w:szCs w:val="24"/>
        </w:rPr>
        <w:t>（一）指挥长职责：</w:t>
      </w:r>
    </w:p>
    <w:p w14:paraId="0F9B9E34">
      <w:pPr>
        <w:pStyle w:val="2"/>
        <w:spacing w:before="118" w:line="217" w:lineRule="auto"/>
        <w:ind w:left="1899"/>
        <w:rPr>
          <w:sz w:val="24"/>
          <w:szCs w:val="24"/>
        </w:rPr>
      </w:pPr>
      <w:r>
        <w:rPr>
          <w:spacing w:val="-21"/>
          <w:sz w:val="24"/>
          <w:szCs w:val="24"/>
        </w:rPr>
        <w:t>负责现场勘察，召集队伍，调动资源，下达</w:t>
      </w:r>
      <w:r>
        <w:rPr>
          <w:spacing w:val="-22"/>
          <w:sz w:val="24"/>
          <w:szCs w:val="24"/>
        </w:rPr>
        <w:t>任务。</w:t>
      </w:r>
    </w:p>
    <w:p w14:paraId="78BB1A99">
      <w:pPr>
        <w:pStyle w:val="2"/>
        <w:spacing w:before="119" w:line="218" w:lineRule="auto"/>
        <w:ind w:left="1893"/>
        <w:rPr>
          <w:sz w:val="24"/>
          <w:szCs w:val="24"/>
        </w:rPr>
      </w:pPr>
      <w:r>
        <w:rPr>
          <w:spacing w:val="-20"/>
          <w:sz w:val="24"/>
          <w:szCs w:val="24"/>
        </w:rPr>
        <w:t>（二）副指挥长职责</w:t>
      </w:r>
    </w:p>
    <w:p w14:paraId="72C901BA">
      <w:pPr>
        <w:pStyle w:val="2"/>
        <w:spacing w:before="115" w:line="217" w:lineRule="auto"/>
        <w:ind w:left="1899"/>
        <w:rPr>
          <w:sz w:val="24"/>
          <w:szCs w:val="24"/>
        </w:rPr>
      </w:pPr>
      <w:r>
        <w:rPr>
          <w:spacing w:val="-19"/>
          <w:sz w:val="24"/>
          <w:szCs w:val="24"/>
        </w:rPr>
        <w:t>负责制定抢修方案，解决抢修过程中的技术问题，向指挥长提出资源</w:t>
      </w:r>
      <w:r>
        <w:rPr>
          <w:spacing w:val="-20"/>
          <w:sz w:val="24"/>
          <w:szCs w:val="24"/>
        </w:rPr>
        <w:t>计划，受指挥长的指</w:t>
      </w:r>
    </w:p>
    <w:p w14:paraId="2BD88A24">
      <w:pPr>
        <w:spacing w:line="217" w:lineRule="auto"/>
        <w:rPr>
          <w:sz w:val="24"/>
          <w:szCs w:val="24"/>
        </w:rPr>
        <w:sectPr>
          <w:footerReference r:id="rId151" w:type="default"/>
          <w:pgSz w:w="11907" w:h="16839"/>
          <w:pgMar w:top="954" w:right="4" w:bottom="1038" w:left="0" w:header="499" w:footer="357" w:gutter="0"/>
          <w:pgBorders>
            <w:top w:val="none" w:sz="0" w:space="0"/>
            <w:left w:val="none" w:sz="0" w:space="0"/>
            <w:bottom w:val="none" w:sz="0" w:space="0"/>
            <w:right w:val="none" w:sz="0" w:space="0"/>
          </w:pgBorders>
          <w:cols w:space="720" w:num="1"/>
        </w:sectPr>
      </w:pPr>
    </w:p>
    <w:p w14:paraId="735E3B3A">
      <w:pPr>
        <w:spacing w:line="250" w:lineRule="auto"/>
        <w:rPr>
          <w:rFonts w:ascii="Arial"/>
          <w:sz w:val="21"/>
        </w:rPr>
      </w:pPr>
    </w:p>
    <w:p w14:paraId="2191D0B6">
      <w:pPr>
        <w:pStyle w:val="2"/>
        <w:spacing w:before="78" w:line="218" w:lineRule="auto"/>
        <w:ind w:left="1458"/>
        <w:rPr>
          <w:sz w:val="24"/>
          <w:szCs w:val="24"/>
        </w:rPr>
      </w:pPr>
      <w:r>
        <w:rPr>
          <w:spacing w:val="-18"/>
          <w:sz w:val="24"/>
          <w:szCs w:val="24"/>
        </w:rPr>
        <w:t>挥。</w:t>
      </w:r>
    </w:p>
    <w:p w14:paraId="751638B0">
      <w:pPr>
        <w:pStyle w:val="2"/>
        <w:spacing w:before="117" w:line="218" w:lineRule="auto"/>
        <w:ind w:left="1893"/>
        <w:rPr>
          <w:sz w:val="24"/>
          <w:szCs w:val="24"/>
        </w:rPr>
      </w:pPr>
      <w:r>
        <w:rPr>
          <w:spacing w:val="-20"/>
          <w:sz w:val="24"/>
          <w:szCs w:val="24"/>
        </w:rPr>
        <w:t>（三）工程抢修组职责：</w:t>
      </w:r>
    </w:p>
    <w:p w14:paraId="1B815C46">
      <w:pPr>
        <w:pStyle w:val="2"/>
        <w:spacing w:before="115" w:line="308" w:lineRule="auto"/>
        <w:ind w:left="1461" w:right="1410" w:firstLine="432"/>
        <w:rPr>
          <w:sz w:val="24"/>
          <w:szCs w:val="24"/>
        </w:rPr>
      </w:pPr>
      <w:r>
        <w:rPr>
          <w:spacing w:val="-20"/>
          <w:sz w:val="24"/>
          <w:szCs w:val="24"/>
        </w:rPr>
        <w:t>组长：负责组织人员、重要物资及时、有序地疏散到安全区，对危险区域进行隔离，组织</w:t>
      </w:r>
      <w:r>
        <w:rPr>
          <w:spacing w:val="-21"/>
          <w:sz w:val="24"/>
          <w:szCs w:val="24"/>
        </w:rPr>
        <w:t>实施工程抢险方案，受指挥长的指挥。</w:t>
      </w:r>
    </w:p>
    <w:p w14:paraId="5B4CCCAB">
      <w:pPr>
        <w:pStyle w:val="2"/>
        <w:spacing w:before="1" w:line="307" w:lineRule="auto"/>
        <w:ind w:left="1461" w:right="1410" w:firstLine="435"/>
        <w:rPr>
          <w:sz w:val="24"/>
          <w:szCs w:val="24"/>
        </w:rPr>
      </w:pPr>
      <w:r>
        <w:rPr>
          <w:spacing w:val="-20"/>
          <w:sz w:val="24"/>
          <w:szCs w:val="24"/>
        </w:rPr>
        <w:t>成员：负责组织人员、重要物资及时、有序地疏散到安全区，对危险区域进行隔离，组织</w:t>
      </w:r>
      <w:r>
        <w:rPr>
          <w:spacing w:val="-21"/>
          <w:sz w:val="24"/>
          <w:szCs w:val="24"/>
        </w:rPr>
        <w:t>实施工程抢险方案，受本组组长的指挥。</w:t>
      </w:r>
    </w:p>
    <w:p w14:paraId="7B7355DB">
      <w:pPr>
        <w:pStyle w:val="2"/>
        <w:spacing w:line="218" w:lineRule="auto"/>
        <w:ind w:left="1893"/>
        <w:rPr>
          <w:sz w:val="24"/>
          <w:szCs w:val="24"/>
        </w:rPr>
      </w:pPr>
      <w:r>
        <w:rPr>
          <w:spacing w:val="-19"/>
          <w:sz w:val="24"/>
          <w:szCs w:val="24"/>
        </w:rPr>
        <w:t>（四）救护组职责：</w:t>
      </w:r>
    </w:p>
    <w:p w14:paraId="7CEAE54B">
      <w:pPr>
        <w:pStyle w:val="2"/>
        <w:spacing w:before="117" w:line="218" w:lineRule="auto"/>
        <w:ind w:left="1894"/>
        <w:rPr>
          <w:sz w:val="24"/>
          <w:szCs w:val="24"/>
        </w:rPr>
      </w:pPr>
      <w:r>
        <w:rPr>
          <w:spacing w:val="-21"/>
          <w:sz w:val="24"/>
          <w:szCs w:val="24"/>
        </w:rPr>
        <w:t>组长：负责组织对受伤人员的救护，受副指挥长的指挥。</w:t>
      </w:r>
    </w:p>
    <w:p w14:paraId="2231637C">
      <w:pPr>
        <w:pStyle w:val="2"/>
        <w:spacing w:before="115" w:line="218" w:lineRule="auto"/>
        <w:ind w:left="1896"/>
        <w:rPr>
          <w:sz w:val="24"/>
          <w:szCs w:val="24"/>
        </w:rPr>
      </w:pPr>
      <w:r>
        <w:rPr>
          <w:spacing w:val="-22"/>
          <w:sz w:val="24"/>
          <w:szCs w:val="24"/>
        </w:rPr>
        <w:t>成员：负责对受伤人员的救护，及时送医院，受本组组长的指挥。</w:t>
      </w:r>
    </w:p>
    <w:p w14:paraId="7FFDB33F">
      <w:pPr>
        <w:pStyle w:val="2"/>
        <w:spacing w:before="117" w:line="217" w:lineRule="auto"/>
        <w:ind w:left="1893"/>
        <w:rPr>
          <w:sz w:val="24"/>
          <w:szCs w:val="24"/>
        </w:rPr>
      </w:pPr>
      <w:r>
        <w:rPr>
          <w:spacing w:val="-19"/>
          <w:sz w:val="24"/>
          <w:szCs w:val="24"/>
        </w:rPr>
        <w:t>（五）物资组职责：</w:t>
      </w:r>
    </w:p>
    <w:p w14:paraId="4B0BAAE7">
      <w:pPr>
        <w:pStyle w:val="2"/>
        <w:spacing w:before="120" w:line="216" w:lineRule="auto"/>
        <w:ind w:left="1894"/>
        <w:rPr>
          <w:sz w:val="24"/>
          <w:szCs w:val="24"/>
        </w:rPr>
      </w:pPr>
      <w:r>
        <w:rPr>
          <w:spacing w:val="-21"/>
          <w:sz w:val="24"/>
          <w:szCs w:val="24"/>
        </w:rPr>
        <w:t>组长：负责组织抢修机具、材料的调配，受指挥长的指挥。</w:t>
      </w:r>
    </w:p>
    <w:p w14:paraId="5AC85CF7">
      <w:pPr>
        <w:pStyle w:val="2"/>
        <w:spacing w:before="117" w:line="216" w:lineRule="auto"/>
        <w:ind w:left="1896"/>
        <w:rPr>
          <w:sz w:val="24"/>
          <w:szCs w:val="24"/>
        </w:rPr>
      </w:pPr>
      <w:r>
        <w:rPr>
          <w:spacing w:val="-21"/>
          <w:sz w:val="24"/>
          <w:szCs w:val="24"/>
        </w:rPr>
        <w:t>成员：负责抢修机具、材料的调配，受本组组长的指</w:t>
      </w:r>
      <w:r>
        <w:rPr>
          <w:spacing w:val="-22"/>
          <w:sz w:val="24"/>
          <w:szCs w:val="24"/>
        </w:rPr>
        <w:t>挥。</w:t>
      </w:r>
    </w:p>
    <w:p w14:paraId="61133CAA">
      <w:pPr>
        <w:pStyle w:val="2"/>
        <w:spacing w:before="121" w:line="218" w:lineRule="auto"/>
        <w:ind w:left="1893"/>
        <w:rPr>
          <w:sz w:val="24"/>
          <w:szCs w:val="24"/>
        </w:rPr>
      </w:pPr>
      <w:r>
        <w:rPr>
          <w:spacing w:val="-19"/>
          <w:sz w:val="24"/>
          <w:szCs w:val="24"/>
        </w:rPr>
        <w:t>（六）外协组职责：</w:t>
      </w:r>
    </w:p>
    <w:p w14:paraId="3781DA0E">
      <w:pPr>
        <w:pStyle w:val="2"/>
        <w:spacing w:before="117" w:line="216" w:lineRule="auto"/>
        <w:ind w:left="1894"/>
        <w:rPr>
          <w:sz w:val="24"/>
          <w:szCs w:val="24"/>
        </w:rPr>
      </w:pPr>
      <w:r>
        <w:rPr>
          <w:spacing w:val="-21"/>
          <w:sz w:val="24"/>
          <w:szCs w:val="24"/>
        </w:rPr>
        <w:t>组长：负责组织联系社会的救助，协调外援的抢修工作，</w:t>
      </w:r>
      <w:r>
        <w:rPr>
          <w:spacing w:val="-22"/>
          <w:sz w:val="24"/>
          <w:szCs w:val="24"/>
        </w:rPr>
        <w:t>受副指挥长指挥。</w:t>
      </w:r>
    </w:p>
    <w:p w14:paraId="7731A438">
      <w:pPr>
        <w:pStyle w:val="2"/>
        <w:spacing w:before="117" w:line="216" w:lineRule="auto"/>
        <w:ind w:left="1896"/>
        <w:rPr>
          <w:sz w:val="24"/>
          <w:szCs w:val="24"/>
        </w:rPr>
      </w:pPr>
      <w:r>
        <w:rPr>
          <w:spacing w:val="-22"/>
          <w:sz w:val="24"/>
          <w:szCs w:val="24"/>
        </w:rPr>
        <w:t>成员：负责联系社会的救助，协调外援的抢修工作，受本组组长指挥。</w:t>
      </w:r>
    </w:p>
    <w:p w14:paraId="0077DD47">
      <w:pPr>
        <w:pStyle w:val="2"/>
        <w:spacing w:before="120" w:line="217" w:lineRule="auto"/>
        <w:ind w:left="1888"/>
        <w:rPr>
          <w:sz w:val="24"/>
          <w:szCs w:val="24"/>
        </w:rPr>
      </w:pPr>
      <w:r>
        <w:rPr>
          <w:spacing w:val="-14"/>
          <w:sz w:val="24"/>
          <w:szCs w:val="24"/>
        </w:rPr>
        <w:t>2.2.3、机械事故</w:t>
      </w:r>
    </w:p>
    <w:p w14:paraId="44334255">
      <w:pPr>
        <w:pStyle w:val="2"/>
        <w:spacing w:before="120" w:line="220" w:lineRule="auto"/>
        <w:ind w:left="1893"/>
        <w:rPr>
          <w:sz w:val="24"/>
          <w:szCs w:val="24"/>
        </w:rPr>
      </w:pPr>
      <w:r>
        <w:rPr>
          <w:spacing w:val="-19"/>
          <w:sz w:val="24"/>
          <w:szCs w:val="24"/>
        </w:rPr>
        <w:t>应急小组职责：</w:t>
      </w:r>
    </w:p>
    <w:p w14:paraId="51B2B5DD">
      <w:pPr>
        <w:pStyle w:val="2"/>
        <w:spacing w:before="113" w:line="308" w:lineRule="auto"/>
        <w:ind w:left="1457" w:right="1412" w:firstLine="436"/>
        <w:rPr>
          <w:sz w:val="24"/>
          <w:szCs w:val="24"/>
        </w:rPr>
      </w:pPr>
      <w:r>
        <w:rPr>
          <w:spacing w:val="-22"/>
          <w:sz w:val="24"/>
          <w:szCs w:val="24"/>
        </w:rPr>
        <w:t>组长：(1)、准确掌握事故动态，正确制定抢险方案，执行有效处理措施，控制事故蔓延发</w:t>
      </w:r>
      <w:r>
        <w:rPr>
          <w:spacing w:val="-18"/>
          <w:sz w:val="24"/>
          <w:szCs w:val="24"/>
        </w:rPr>
        <w:t>展。</w:t>
      </w:r>
    </w:p>
    <w:p w14:paraId="3C57DB03">
      <w:pPr>
        <w:pStyle w:val="2"/>
        <w:spacing w:line="218" w:lineRule="auto"/>
        <w:ind w:left="1927"/>
        <w:rPr>
          <w:sz w:val="24"/>
          <w:szCs w:val="24"/>
        </w:rPr>
      </w:pPr>
      <w:r>
        <w:rPr>
          <w:spacing w:val="-21"/>
          <w:sz w:val="24"/>
          <w:szCs w:val="24"/>
        </w:rPr>
        <w:t>(2)、及时向有关领导汇报。</w:t>
      </w:r>
    </w:p>
    <w:p w14:paraId="0411F3E0">
      <w:pPr>
        <w:pStyle w:val="2"/>
        <w:spacing w:before="114" w:line="217" w:lineRule="auto"/>
        <w:ind w:left="1927"/>
        <w:rPr>
          <w:sz w:val="24"/>
          <w:szCs w:val="24"/>
        </w:rPr>
      </w:pPr>
      <w:r>
        <w:rPr>
          <w:spacing w:val="-20"/>
          <w:sz w:val="24"/>
          <w:szCs w:val="24"/>
        </w:rPr>
        <w:t>(3)、保护事故现场。</w:t>
      </w:r>
    </w:p>
    <w:p w14:paraId="7B35DD73">
      <w:pPr>
        <w:pStyle w:val="2"/>
        <w:spacing w:before="119" w:line="216" w:lineRule="auto"/>
        <w:ind w:left="1899"/>
        <w:rPr>
          <w:sz w:val="24"/>
          <w:szCs w:val="24"/>
        </w:rPr>
      </w:pPr>
      <w:r>
        <w:rPr>
          <w:spacing w:val="-21"/>
          <w:sz w:val="24"/>
          <w:szCs w:val="24"/>
        </w:rPr>
        <w:t>副组长：协助组长工作。</w:t>
      </w:r>
    </w:p>
    <w:p w14:paraId="1B8C8E81">
      <w:pPr>
        <w:pStyle w:val="2"/>
        <w:spacing w:before="120" w:line="217" w:lineRule="auto"/>
        <w:ind w:left="1896"/>
        <w:rPr>
          <w:sz w:val="24"/>
          <w:szCs w:val="24"/>
        </w:rPr>
      </w:pPr>
      <w:r>
        <w:rPr>
          <w:spacing w:val="-21"/>
          <w:sz w:val="24"/>
          <w:szCs w:val="24"/>
        </w:rPr>
        <w:t>成员：执行组长、副组长命令。</w:t>
      </w:r>
    </w:p>
    <w:p w14:paraId="6631FBEB">
      <w:pPr>
        <w:pStyle w:val="2"/>
        <w:spacing w:before="117" w:line="219" w:lineRule="auto"/>
        <w:ind w:left="1888"/>
        <w:rPr>
          <w:sz w:val="24"/>
          <w:szCs w:val="24"/>
        </w:rPr>
      </w:pPr>
      <w:r>
        <w:pict>
          <v:shape id="_x0000_s3175" o:spid="_x0000_s3175" style="position:absolute;left:0pt;margin-left:227.8pt;margin-top:21.5pt;height:0.75pt;width:2.2pt;z-index:251917312;mso-width-relative:page;mso-height-relative:page;" fillcolor="#1C456A" filled="t" stroked="f" coordsize="44,15" path="m0,14l43,14,43,0,0,0,0,14xe">
            <v:path/>
            <v:fill on="t" focussize="0,0"/>
            <v:stroke on="f"/>
            <v:imagedata o:title=""/>
            <o:lock v:ext="edit"/>
          </v:shape>
        </w:pict>
      </w:r>
      <w:r>
        <w:rPr>
          <w:spacing w:val="-14"/>
          <w:sz w:val="24"/>
          <w:szCs w:val="24"/>
        </w:rPr>
        <w:t>2.2.4、伤亡事故</w:t>
      </w:r>
    </w:p>
    <w:tbl>
      <w:tblPr>
        <w:tblStyle w:val="6"/>
        <w:tblW w:w="9176" w:type="dxa"/>
        <w:tblInd w:w="1366"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73"/>
        <w:gridCol w:w="802"/>
        <w:gridCol w:w="2122"/>
        <w:gridCol w:w="1386"/>
        <w:gridCol w:w="4524"/>
        <w:gridCol w:w="69"/>
      </w:tblGrid>
      <w:tr w14:paraId="71F3E3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20" w:hRule="atLeast"/>
        </w:trPr>
        <w:tc>
          <w:tcPr>
            <w:tcW w:w="1075" w:type="dxa"/>
            <w:gridSpan w:val="2"/>
            <w:tcBorders>
              <w:top w:val="single" w:color="000000" w:sz="4" w:space="0"/>
              <w:left w:val="single" w:color="000000" w:sz="4" w:space="0"/>
            </w:tcBorders>
            <w:shd w:val="clear" w:color="auto" w:fill="DEEAF6"/>
            <w:vAlign w:val="top"/>
          </w:tcPr>
          <w:p w14:paraId="1D53BFBF">
            <w:pPr>
              <w:spacing w:line="93" w:lineRule="exact"/>
            </w:pPr>
            <w:r>
              <w:rPr>
                <w:position w:val="-1"/>
              </w:rPr>
              <w:pict>
                <v:group id="_x0000_s3176" o:spid="_x0000_s3176" o:spt="203" style="height:5.2pt;width:55.6pt;" coordsize="1111,103">
                  <o:lock v:ext="edit"/>
                  <v:shape id="_x0000_s3177" o:spid="_x0000_s3177" style="position:absolute;left:0;top:0;height:15;width:44;" fillcolor="#5B9BD5" filled="t" stroked="f" coordsize="44,15" path="m0,14l43,14,43,0,0,0,0,14xe">
                    <v:path/>
                    <v:fill on="t" focussize="0,0"/>
                    <v:stroke on="f"/>
                    <v:imagedata o:title=""/>
                    <o:lock v:ext="edit"/>
                  </v:shape>
                  <v:shape id="_x0000_s3178" o:spid="_x0000_s3178" style="position:absolute;left:43;top:43;height:60;width:1025;" fillcolor="#DEEAF6" filled="t" stroked="f" coordsize="1025,60" path="m0,60l1024,60,1024,0,0,0,0,60xe">
                    <v:path/>
                    <v:fill on="t" focussize="0,0"/>
                    <v:stroke on="f"/>
                    <v:imagedata o:title=""/>
                    <o:lock v:ext="edit"/>
                  </v:shape>
                  <v:shape id="_x0000_s3179" o:spid="_x0000_s3179" style="position:absolute;left:1067;top:0;height:15;width:44;" fillcolor="#5B9BD5" filled="t" stroked="f" coordsize="44,15" path="m0,14l43,14,43,0,0,0,0,14xe">
                    <v:path/>
                    <v:fill on="t" focussize="0,0"/>
                    <v:stroke on="f"/>
                    <v:imagedata o:title=""/>
                    <o:lock v:ext="edit"/>
                  </v:shape>
                  <v:shape id="_x0000_s3180" o:spid="_x0000_s3180" style="position:absolute;left:1067;top:14;height:15;width:44;" fillcolor="#20507B" filled="t" stroked="f" coordsize="44,15" path="m0,14l43,14,43,0,0,0,0,14xe">
                    <v:path/>
                    <v:fill on="t" focussize="0,0"/>
                    <v:stroke on="f"/>
                    <v:imagedata o:title=""/>
                    <o:lock v:ext="edit"/>
                  </v:shape>
                  <v:shape id="_x0000_s3181" o:spid="_x0000_s3181" style="position:absolute;left:1067;top:28;height:15;width:44;" fillcolor="#1C456A" filled="t" stroked="f" coordsize="44,15" path="m0,14l43,14,43,0,0,0,0,14xe">
                    <v:path/>
                    <v:fill on="t" focussize="0,0"/>
                    <v:stroke on="f"/>
                    <v:imagedata o:title=""/>
                    <o:lock v:ext="edit"/>
                  </v:shape>
                  <w10:wrap type="none"/>
                  <w10:anchorlock/>
                </v:group>
              </w:pict>
            </w:r>
          </w:p>
          <w:p w14:paraId="294399A2">
            <w:pPr>
              <w:pStyle w:val="7"/>
              <w:spacing w:before="36" w:line="218" w:lineRule="auto"/>
              <w:ind w:left="334"/>
            </w:pPr>
            <w:r>
              <w:rPr>
                <w:b/>
                <w:bCs/>
                <w:spacing w:val="-12"/>
              </w:rPr>
              <w:t>序号</w:t>
            </w:r>
          </w:p>
          <w:p w14:paraId="4E76B018">
            <w:pPr>
              <w:spacing w:before="145" w:line="52" w:lineRule="exact"/>
              <w:ind w:firstLine="11"/>
            </w:pPr>
            <w:r>
              <w:rPr>
                <w:position w:val="-1"/>
              </w:rPr>
              <w:pict>
                <v:shape id="_x0000_s3182" o:spid="_x0000_s3182" style="height:2.9pt;width:52.6pt;" fillcolor="#DEEAF6" filled="t" stroked="f" coordsize="1051,58" path="m0,57l1051,57,1051,0,0,0,0,57xe">
                  <v:path/>
                  <v:fill on="t" focussize="0,0"/>
                  <v:stroke on="f"/>
                  <v:imagedata o:title=""/>
                  <o:lock v:ext="edit"/>
                  <w10:wrap type="none"/>
                  <w10:anchorlock/>
                </v:shape>
              </w:pict>
            </w:r>
          </w:p>
        </w:tc>
        <w:tc>
          <w:tcPr>
            <w:tcW w:w="2122" w:type="dxa"/>
            <w:tcBorders>
              <w:top w:val="single" w:color="000000" w:sz="4" w:space="0"/>
            </w:tcBorders>
            <w:shd w:val="clear" w:color="auto" w:fill="DEEAF6"/>
            <w:vAlign w:val="top"/>
          </w:tcPr>
          <w:p w14:paraId="0E6287F6">
            <w:pPr>
              <w:pStyle w:val="7"/>
              <w:spacing w:before="129" w:line="219" w:lineRule="auto"/>
              <w:ind w:left="850"/>
            </w:pPr>
            <w:r>
              <w:rPr>
                <w:b/>
                <w:bCs/>
                <w:spacing w:val="-12"/>
              </w:rPr>
              <w:t>职务</w:t>
            </w:r>
          </w:p>
        </w:tc>
        <w:tc>
          <w:tcPr>
            <w:tcW w:w="1386" w:type="dxa"/>
            <w:tcBorders>
              <w:top w:val="single" w:color="5B9BD5" w:sz="4" w:space="0"/>
              <w:right w:val="nil"/>
            </w:tcBorders>
            <w:shd w:val="clear" w:color="auto" w:fill="DEEAF6"/>
            <w:vAlign w:val="top"/>
          </w:tcPr>
          <w:p w14:paraId="3B05E684">
            <w:pPr>
              <w:spacing w:line="18" w:lineRule="exact"/>
            </w:pPr>
            <w:r>
              <w:pict>
                <v:group id="_x0000_s3183" o:spid="_x0000_s3183" o:spt="203" style="height:1.45pt;width:2.2pt;" coordsize="44,29">
                  <o:lock v:ext="edit"/>
                  <v:shape id="_x0000_s3184" o:spid="_x0000_s3184" style="position:absolute;left:0;top:0;height:15;width:44;" fillcolor="#5B9BD5" filled="t" stroked="f" coordsize="44,15" path="m0,14l43,14,43,0,0,0,0,14xe">
                    <v:path/>
                    <v:fill on="t" focussize="0,0"/>
                    <v:stroke on="f"/>
                    <v:imagedata o:title=""/>
                    <o:lock v:ext="edit"/>
                  </v:shape>
                  <v:shape id="_x0000_s3185" o:spid="_x0000_s3185" style="position:absolute;left:0;top:14;height:15;width:44;" fillcolor="#20507B" filled="t" stroked="f" coordsize="44,15" path="m0,14l43,14,43,0,0,0,0,14xe">
                    <v:path/>
                    <v:fill on="t" focussize="0,0"/>
                    <v:stroke on="f"/>
                    <v:imagedata o:title=""/>
                    <o:lock v:ext="edit"/>
                  </v:shape>
                  <w10:wrap type="none"/>
                  <w10:anchorlock/>
                </v:group>
              </w:pict>
            </w:r>
          </w:p>
        </w:tc>
        <w:tc>
          <w:tcPr>
            <w:tcW w:w="4524" w:type="dxa"/>
            <w:tcBorders>
              <w:top w:val="single" w:color="5B9BD5" w:sz="4" w:space="0"/>
              <w:left w:val="nil"/>
              <w:right w:val="nil"/>
            </w:tcBorders>
            <w:shd w:val="clear" w:color="auto" w:fill="DEEAF6"/>
            <w:vAlign w:val="top"/>
          </w:tcPr>
          <w:p w14:paraId="690D454D">
            <w:pPr>
              <w:pStyle w:val="7"/>
              <w:spacing w:before="129" w:line="220" w:lineRule="auto"/>
              <w:ind w:left="1389"/>
            </w:pPr>
            <w:r>
              <w:rPr>
                <w:b/>
                <w:bCs/>
                <w:spacing w:val="-12"/>
              </w:rPr>
              <w:t>职责</w:t>
            </w:r>
          </w:p>
        </w:tc>
        <w:tc>
          <w:tcPr>
            <w:tcW w:w="69" w:type="dxa"/>
            <w:tcBorders>
              <w:top w:val="single" w:color="5B9BD5" w:sz="4" w:space="0"/>
              <w:left w:val="nil"/>
              <w:right w:val="single" w:color="5B9BD5" w:sz="4" w:space="0"/>
            </w:tcBorders>
            <w:vAlign w:val="top"/>
          </w:tcPr>
          <w:p w14:paraId="6B425A0D">
            <w:pPr>
              <w:rPr>
                <w:rFonts w:ascii="Arial"/>
                <w:sz w:val="21"/>
              </w:rPr>
            </w:pPr>
            <w:r>
              <w:pict>
                <v:shape id="_x0000_s3186" o:spid="_x0000_s3186" style="position:absolute;left:0pt;margin-left:1.6pt;margin-top:0pt;height:0.75pt;width:2.2pt;mso-position-horizontal-relative:page;mso-position-vertical-relative:page;z-index:251918336;mso-width-relative:page;mso-height-relative:page;" fillcolor="#5B9BD5" filled="t" stroked="f" coordsize="44,15" path="m0,14l43,14,43,0,0,0,0,14xe">
                  <v:path/>
                  <v:fill on="t" focussize="0,0"/>
                  <v:stroke on="f"/>
                  <v:imagedata o:title=""/>
                  <o:lock v:ext="edit"/>
                </v:shape>
              </w:pict>
            </w:r>
          </w:p>
        </w:tc>
      </w:tr>
      <w:tr w14:paraId="155790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4" w:hRule="atLeast"/>
        </w:trPr>
        <w:tc>
          <w:tcPr>
            <w:tcW w:w="1075" w:type="dxa"/>
            <w:gridSpan w:val="2"/>
            <w:tcBorders>
              <w:left w:val="single" w:color="000000" w:sz="4" w:space="0"/>
            </w:tcBorders>
            <w:vAlign w:val="top"/>
          </w:tcPr>
          <w:p w14:paraId="2032EFF0">
            <w:pPr>
              <w:pStyle w:val="7"/>
              <w:spacing w:before="95" w:line="238" w:lineRule="auto"/>
              <w:ind w:left="508"/>
            </w:pPr>
            <w:r>
              <w:t>1</w:t>
            </w:r>
          </w:p>
        </w:tc>
        <w:tc>
          <w:tcPr>
            <w:tcW w:w="2122" w:type="dxa"/>
            <w:vAlign w:val="top"/>
          </w:tcPr>
          <w:p w14:paraId="3E556248">
            <w:pPr>
              <w:pStyle w:val="7"/>
              <w:spacing w:before="94" w:line="218" w:lineRule="auto"/>
              <w:ind w:left="534"/>
            </w:pPr>
            <w:r>
              <w:rPr>
                <w:spacing w:val="-19"/>
              </w:rPr>
              <w:t>总指挥职责</w:t>
            </w:r>
          </w:p>
        </w:tc>
        <w:tc>
          <w:tcPr>
            <w:tcW w:w="5979" w:type="dxa"/>
            <w:gridSpan w:val="3"/>
            <w:tcBorders>
              <w:right w:val="single" w:color="000000" w:sz="4" w:space="0"/>
            </w:tcBorders>
            <w:vAlign w:val="top"/>
          </w:tcPr>
          <w:p w14:paraId="64555037">
            <w:pPr>
              <w:pStyle w:val="7"/>
              <w:spacing w:before="95" w:line="217" w:lineRule="auto"/>
              <w:ind w:left="160"/>
            </w:pPr>
            <w:r>
              <w:rPr>
                <w:spacing w:val="-21"/>
              </w:rPr>
              <w:t>准确掌握事故动态，正确指挥抢险队伍，控制事故蔓延</w:t>
            </w:r>
            <w:r>
              <w:rPr>
                <w:spacing w:val="-22"/>
              </w:rPr>
              <w:t>发展</w:t>
            </w:r>
          </w:p>
        </w:tc>
      </w:tr>
      <w:tr w14:paraId="013A43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5" w:hRule="atLeast"/>
        </w:trPr>
        <w:tc>
          <w:tcPr>
            <w:tcW w:w="1075" w:type="dxa"/>
            <w:gridSpan w:val="2"/>
            <w:tcBorders>
              <w:left w:val="single" w:color="000000" w:sz="4" w:space="0"/>
            </w:tcBorders>
            <w:vAlign w:val="top"/>
          </w:tcPr>
          <w:p w14:paraId="5A831447">
            <w:pPr>
              <w:pStyle w:val="7"/>
              <w:spacing w:before="96" w:line="238" w:lineRule="auto"/>
              <w:ind w:left="493"/>
            </w:pPr>
            <w:r>
              <w:t>2</w:t>
            </w:r>
          </w:p>
        </w:tc>
        <w:tc>
          <w:tcPr>
            <w:tcW w:w="2122" w:type="dxa"/>
            <w:vAlign w:val="top"/>
          </w:tcPr>
          <w:p w14:paraId="7EEDBD39">
            <w:pPr>
              <w:pStyle w:val="7"/>
              <w:spacing w:before="96" w:line="218" w:lineRule="auto"/>
              <w:ind w:left="632"/>
            </w:pPr>
            <w:r>
              <w:rPr>
                <w:spacing w:val="-15"/>
              </w:rPr>
              <w:t>指挥职责</w:t>
            </w:r>
          </w:p>
        </w:tc>
        <w:tc>
          <w:tcPr>
            <w:tcW w:w="5979" w:type="dxa"/>
            <w:gridSpan w:val="3"/>
            <w:tcBorders>
              <w:right w:val="single" w:color="000000" w:sz="4" w:space="0"/>
            </w:tcBorders>
            <w:vAlign w:val="top"/>
          </w:tcPr>
          <w:p w14:paraId="218A0A30">
            <w:pPr>
              <w:pStyle w:val="7"/>
              <w:spacing w:before="96" w:line="216" w:lineRule="auto"/>
              <w:ind w:left="158"/>
            </w:pPr>
            <w:r>
              <w:rPr>
                <w:spacing w:val="-21"/>
              </w:rPr>
              <w:t>快速反映，及时了解事故情况向指挥汇报，并协助指挥抢险</w:t>
            </w:r>
          </w:p>
        </w:tc>
      </w:tr>
      <w:tr w14:paraId="33AB05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1051" w:hRule="atLeast"/>
        </w:trPr>
        <w:tc>
          <w:tcPr>
            <w:tcW w:w="1075" w:type="dxa"/>
            <w:gridSpan w:val="2"/>
            <w:tcBorders>
              <w:left w:val="single" w:color="000000" w:sz="4" w:space="0"/>
            </w:tcBorders>
            <w:vAlign w:val="top"/>
          </w:tcPr>
          <w:p w14:paraId="40A696AF">
            <w:pPr>
              <w:spacing w:line="252" w:lineRule="auto"/>
              <w:rPr>
                <w:rFonts w:ascii="Arial"/>
                <w:sz w:val="21"/>
              </w:rPr>
            </w:pPr>
          </w:p>
          <w:p w14:paraId="2791E310">
            <w:pPr>
              <w:pStyle w:val="7"/>
              <w:spacing w:before="78" w:line="237" w:lineRule="auto"/>
              <w:ind w:left="495"/>
            </w:pPr>
            <w:r>
              <w:t>3</w:t>
            </w:r>
          </w:p>
        </w:tc>
        <w:tc>
          <w:tcPr>
            <w:tcW w:w="2122" w:type="dxa"/>
            <w:vAlign w:val="top"/>
          </w:tcPr>
          <w:p w14:paraId="605BDAB5">
            <w:pPr>
              <w:spacing w:line="253" w:lineRule="auto"/>
              <w:rPr>
                <w:rFonts w:ascii="Arial"/>
                <w:sz w:val="21"/>
              </w:rPr>
            </w:pPr>
          </w:p>
          <w:p w14:paraId="3A7FF764">
            <w:pPr>
              <w:pStyle w:val="7"/>
              <w:spacing w:before="78" w:line="217" w:lineRule="auto"/>
              <w:ind w:left="310"/>
            </w:pPr>
            <w:r>
              <w:rPr>
                <w:spacing w:val="-19"/>
              </w:rPr>
              <w:t>通讯联络员职责</w:t>
            </w:r>
          </w:p>
        </w:tc>
        <w:tc>
          <w:tcPr>
            <w:tcW w:w="5979" w:type="dxa"/>
            <w:gridSpan w:val="3"/>
            <w:tcBorders>
              <w:right w:val="single" w:color="000000" w:sz="4" w:space="0"/>
            </w:tcBorders>
            <w:vAlign w:val="top"/>
          </w:tcPr>
          <w:p w14:paraId="00D6004F">
            <w:pPr>
              <w:pStyle w:val="7"/>
              <w:spacing w:before="97" w:line="215" w:lineRule="auto"/>
              <w:ind w:left="67"/>
            </w:pPr>
            <w:r>
              <w:rPr>
                <w:spacing w:val="-23"/>
              </w:rPr>
              <w:t>快速将事故情况向总指挥汇报，及时联络求援人员、车辆和物</w:t>
            </w:r>
          </w:p>
          <w:p w14:paraId="44D6F79E">
            <w:pPr>
              <w:pStyle w:val="7"/>
              <w:spacing w:before="187" w:line="220" w:lineRule="auto"/>
              <w:ind w:left="2894"/>
            </w:pPr>
            <w:r>
              <w:t>资</w:t>
            </w:r>
          </w:p>
        </w:tc>
      </w:tr>
      <w:tr w14:paraId="7FA095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4" w:hRule="atLeast"/>
        </w:trPr>
        <w:tc>
          <w:tcPr>
            <w:tcW w:w="1075" w:type="dxa"/>
            <w:gridSpan w:val="2"/>
            <w:tcBorders>
              <w:left w:val="single" w:color="000000" w:sz="4" w:space="0"/>
            </w:tcBorders>
            <w:vAlign w:val="top"/>
          </w:tcPr>
          <w:p w14:paraId="1FA7690A">
            <w:pPr>
              <w:pStyle w:val="7"/>
              <w:spacing w:before="99" w:line="238" w:lineRule="auto"/>
              <w:ind w:left="489"/>
            </w:pPr>
            <w:r>
              <w:t>4</w:t>
            </w:r>
          </w:p>
        </w:tc>
        <w:tc>
          <w:tcPr>
            <w:tcW w:w="2122" w:type="dxa"/>
            <w:vAlign w:val="top"/>
          </w:tcPr>
          <w:p w14:paraId="61DB08B0">
            <w:pPr>
              <w:pStyle w:val="7"/>
              <w:spacing w:before="99" w:line="219" w:lineRule="auto"/>
              <w:ind w:left="305"/>
            </w:pPr>
            <w:r>
              <w:rPr>
                <w:spacing w:val="-18"/>
              </w:rPr>
              <w:t>现场疏导员职责</w:t>
            </w:r>
          </w:p>
        </w:tc>
        <w:tc>
          <w:tcPr>
            <w:tcW w:w="5979" w:type="dxa"/>
            <w:gridSpan w:val="3"/>
            <w:tcBorders>
              <w:right w:val="single" w:color="000000" w:sz="4" w:space="0"/>
            </w:tcBorders>
            <w:vAlign w:val="top"/>
          </w:tcPr>
          <w:p w14:paraId="4316D32B">
            <w:pPr>
              <w:pStyle w:val="7"/>
              <w:spacing w:before="99" w:line="215" w:lineRule="auto"/>
              <w:ind w:left="378"/>
            </w:pPr>
            <w:r>
              <w:rPr>
                <w:spacing w:val="-21"/>
              </w:rPr>
              <w:t>及时、稳妥地疏散现场人员，正确快速地引导救护车辆</w:t>
            </w:r>
          </w:p>
        </w:tc>
      </w:tr>
      <w:tr w14:paraId="023E3D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6" w:hRule="atLeast"/>
        </w:trPr>
        <w:tc>
          <w:tcPr>
            <w:tcW w:w="1075" w:type="dxa"/>
            <w:gridSpan w:val="2"/>
            <w:tcBorders>
              <w:left w:val="single" w:color="000000" w:sz="4" w:space="0"/>
            </w:tcBorders>
            <w:vAlign w:val="top"/>
          </w:tcPr>
          <w:p w14:paraId="66F49E4C">
            <w:pPr>
              <w:pStyle w:val="7"/>
              <w:spacing w:before="100" w:line="237" w:lineRule="auto"/>
              <w:ind w:left="495"/>
            </w:pPr>
            <w:r>
              <w:t>5</w:t>
            </w:r>
          </w:p>
        </w:tc>
        <w:tc>
          <w:tcPr>
            <w:tcW w:w="2122" w:type="dxa"/>
            <w:vAlign w:val="top"/>
          </w:tcPr>
          <w:p w14:paraId="74F8E366">
            <w:pPr>
              <w:pStyle w:val="7"/>
              <w:spacing w:before="100" w:line="219" w:lineRule="auto"/>
              <w:ind w:left="193"/>
            </w:pPr>
            <w:r>
              <w:rPr>
                <w:spacing w:val="-19"/>
              </w:rPr>
              <w:t>救援、运输队职责</w:t>
            </w:r>
          </w:p>
        </w:tc>
        <w:tc>
          <w:tcPr>
            <w:tcW w:w="5979" w:type="dxa"/>
            <w:gridSpan w:val="3"/>
            <w:tcBorders>
              <w:right w:val="single" w:color="000000" w:sz="4" w:space="0"/>
            </w:tcBorders>
            <w:vAlign w:val="top"/>
          </w:tcPr>
          <w:p w14:paraId="1A1D39D8">
            <w:pPr>
              <w:pStyle w:val="7"/>
              <w:spacing w:before="100" w:line="217" w:lineRule="auto"/>
              <w:ind w:left="90"/>
            </w:pPr>
            <w:r>
              <w:rPr>
                <w:spacing w:val="-23"/>
              </w:rPr>
              <w:t>以最快的速度安全地运送仡员和救援物资、</w:t>
            </w:r>
            <w:r>
              <w:rPr>
                <w:spacing w:val="-24"/>
              </w:rPr>
              <w:t>及时投入救援抢险</w:t>
            </w:r>
          </w:p>
        </w:tc>
      </w:tr>
      <w:tr w14:paraId="4D763F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5" w:hRule="atLeast"/>
        </w:trPr>
        <w:tc>
          <w:tcPr>
            <w:tcW w:w="273" w:type="dxa"/>
            <w:tcBorders>
              <w:left w:val="single" w:color="1C456A" w:sz="4" w:space="0"/>
              <w:bottom w:val="single" w:color="1C456A" w:sz="4" w:space="0"/>
              <w:right w:val="nil"/>
            </w:tcBorders>
            <w:vAlign w:val="top"/>
          </w:tcPr>
          <w:p w14:paraId="0A2F78E7">
            <w:pPr>
              <w:rPr>
                <w:rFonts w:ascii="Arial"/>
                <w:sz w:val="21"/>
              </w:rPr>
            </w:pPr>
            <w:r>
              <w:pict>
                <v:shape id="_x0000_s3187" o:spid="_x0000_s3187" style="position:absolute;left:0pt;margin-left:-0.25pt;margin-top:31.25pt;height:0.75pt;width:2.2pt;mso-position-horizontal-relative:page;mso-position-vertical-relative:page;z-index:251919360;mso-width-relative:page;mso-height-relative:page;" fillcolor="#5B9BD5" filled="t" stroked="f" coordsize="44,15" path="m0,14l43,14,43,0,0,0,0,14xe">
                  <v:path/>
                  <v:fill on="t" focussize="0,0"/>
                  <v:stroke on="f"/>
                  <v:imagedata o:title=""/>
                  <o:lock v:ext="edit"/>
                </v:shape>
              </w:pict>
            </w:r>
          </w:p>
        </w:tc>
        <w:tc>
          <w:tcPr>
            <w:tcW w:w="802" w:type="dxa"/>
            <w:tcBorders>
              <w:left w:val="nil"/>
              <w:bottom w:val="single" w:color="1C456A" w:sz="4" w:space="0"/>
            </w:tcBorders>
            <w:vAlign w:val="top"/>
          </w:tcPr>
          <w:p w14:paraId="2DD3613C">
            <w:pPr>
              <w:pStyle w:val="7"/>
              <w:spacing w:before="100" w:line="237" w:lineRule="auto"/>
              <w:ind w:left="224"/>
            </w:pPr>
            <w:r>
              <w:t>6</w:t>
            </w:r>
          </w:p>
        </w:tc>
        <w:tc>
          <w:tcPr>
            <w:tcW w:w="2122" w:type="dxa"/>
            <w:tcBorders>
              <w:bottom w:val="single" w:color="000000" w:sz="4" w:space="0"/>
            </w:tcBorders>
            <w:vAlign w:val="top"/>
          </w:tcPr>
          <w:p w14:paraId="2B6EC87A">
            <w:pPr>
              <w:pStyle w:val="7"/>
              <w:spacing w:before="100" w:line="218" w:lineRule="auto"/>
              <w:ind w:left="305"/>
            </w:pPr>
            <w:r>
              <w:rPr>
                <w:spacing w:val="-18"/>
              </w:rPr>
              <w:t>现场救护队职责</w:t>
            </w:r>
          </w:p>
        </w:tc>
        <w:tc>
          <w:tcPr>
            <w:tcW w:w="5979" w:type="dxa"/>
            <w:gridSpan w:val="3"/>
            <w:tcBorders>
              <w:bottom w:val="single" w:color="5B9BD5" w:sz="4" w:space="0"/>
              <w:right w:val="single" w:color="5B9BD5" w:sz="4" w:space="0"/>
            </w:tcBorders>
            <w:vAlign w:val="top"/>
          </w:tcPr>
          <w:p w14:paraId="1E95822B">
            <w:pPr>
              <w:pStyle w:val="7"/>
              <w:spacing w:before="100" w:line="217" w:lineRule="auto"/>
              <w:ind w:left="156"/>
            </w:pPr>
            <w:r>
              <w:pict>
                <v:shape id="_x0000_s3188" o:spid="_x0000_s3188" style="position:absolute;left:0pt;margin-left:297.1pt;margin-top:31.25pt;height:0.75pt;width:2.2pt;mso-position-horizontal-relative:page;mso-position-vertical-relative:page;z-index:251920384;mso-width-relative:page;mso-height-relative:page;" fillcolor="#5B9BD5" filled="t" stroked="f" coordsize="44,15" path="m0,14l43,14,43,0,0,0,0,14xe">
                  <v:path/>
                  <v:fill on="t" focussize="0,0"/>
                  <v:stroke on="f"/>
                  <v:imagedata o:title=""/>
                  <o:lock v:ext="edit"/>
                </v:shape>
              </w:pict>
            </w:r>
            <w:r>
              <w:rPr>
                <w:spacing w:val="-21"/>
              </w:rPr>
              <w:t>加强日常演练，发生紧急情况快速瓜到位，对伤员正确施救</w:t>
            </w:r>
          </w:p>
        </w:tc>
      </w:tr>
    </w:tbl>
    <w:p w14:paraId="0C1AF614">
      <w:pPr>
        <w:rPr>
          <w:rFonts w:ascii="Arial"/>
          <w:sz w:val="21"/>
        </w:rPr>
      </w:pPr>
    </w:p>
    <w:p w14:paraId="5A991A54">
      <w:pPr>
        <w:rPr>
          <w:rFonts w:ascii="Arial" w:hAnsi="Arial" w:eastAsia="Arial" w:cs="Arial"/>
          <w:sz w:val="21"/>
          <w:szCs w:val="21"/>
        </w:rPr>
        <w:sectPr>
          <w:footerReference r:id="rId152" w:type="default"/>
          <w:pgSz w:w="11907" w:h="16839"/>
          <w:pgMar w:top="954" w:right="4" w:bottom="1038" w:left="0" w:header="499" w:footer="357" w:gutter="0"/>
          <w:pgBorders>
            <w:top w:val="none" w:sz="0" w:space="0"/>
            <w:left w:val="none" w:sz="0" w:space="0"/>
            <w:bottom w:val="none" w:sz="0" w:space="0"/>
            <w:right w:val="none" w:sz="0" w:space="0"/>
          </w:pgBorders>
          <w:cols w:space="720" w:num="1"/>
        </w:sectPr>
      </w:pPr>
    </w:p>
    <w:p w14:paraId="361D2BAB">
      <w:pPr>
        <w:spacing w:line="214" w:lineRule="exact"/>
      </w:pPr>
    </w:p>
    <w:tbl>
      <w:tblPr>
        <w:tblStyle w:val="6"/>
        <w:tblW w:w="9176" w:type="dxa"/>
        <w:tblInd w:w="1366" w:type="dxa"/>
        <w:tblBorders>
          <w:top w:val="single" w:color="5B9BD5" w:sz="4" w:space="0"/>
          <w:left w:val="single" w:color="5B9BD5" w:sz="4" w:space="0"/>
          <w:bottom w:val="single" w:color="5B9BD5" w:sz="4" w:space="0"/>
          <w:right w:val="single" w:color="5B9BD5" w:sz="4" w:space="0"/>
          <w:insideH w:val="single" w:color="5B9BD5" w:sz="4" w:space="0"/>
          <w:insideV w:val="single" w:color="5B9BD5" w:sz="4" w:space="0"/>
        </w:tblBorders>
        <w:tblLayout w:type="fixed"/>
        <w:tblCellMar>
          <w:top w:w="0" w:type="dxa"/>
          <w:left w:w="0" w:type="dxa"/>
          <w:bottom w:w="0" w:type="dxa"/>
          <w:right w:w="0" w:type="dxa"/>
        </w:tblCellMar>
      </w:tblPr>
      <w:tblGrid>
        <w:gridCol w:w="1071"/>
        <w:gridCol w:w="2125"/>
        <w:gridCol w:w="5980"/>
      </w:tblGrid>
      <w:tr w14:paraId="41055B16">
        <w:tblPrEx>
          <w:tblBorders>
            <w:top w:val="single" w:color="5B9BD5" w:sz="4" w:space="0"/>
            <w:left w:val="single" w:color="5B9BD5" w:sz="4" w:space="0"/>
            <w:bottom w:val="single" w:color="5B9BD5" w:sz="4" w:space="0"/>
            <w:right w:val="single" w:color="5B9BD5" w:sz="4" w:space="0"/>
            <w:insideH w:val="single" w:color="5B9BD5" w:sz="4" w:space="0"/>
            <w:insideV w:val="single" w:color="5B9BD5" w:sz="4" w:space="0"/>
          </w:tblBorders>
          <w:tblCellMar>
            <w:top w:w="0" w:type="dxa"/>
            <w:left w:w="0" w:type="dxa"/>
            <w:bottom w:w="0" w:type="dxa"/>
            <w:right w:w="0" w:type="dxa"/>
          </w:tblCellMar>
        </w:tblPrEx>
        <w:trPr>
          <w:trHeight w:val="652" w:hRule="atLeast"/>
        </w:trPr>
        <w:tc>
          <w:tcPr>
            <w:tcW w:w="1071" w:type="dxa"/>
            <w:tcBorders>
              <w:top w:val="single" w:color="1C456A" w:sz="4" w:space="0"/>
              <w:left w:val="single" w:color="1C456A" w:sz="4" w:space="0"/>
              <w:bottom w:val="single" w:color="1C456A" w:sz="4" w:space="0"/>
              <w:right w:val="single" w:color="000000" w:sz="2" w:space="0"/>
            </w:tcBorders>
            <w:vAlign w:val="top"/>
          </w:tcPr>
          <w:p w14:paraId="4036610F">
            <w:pPr>
              <w:pStyle w:val="7"/>
              <w:spacing w:before="129" w:line="237" w:lineRule="auto"/>
              <w:ind w:left="496"/>
            </w:pPr>
            <w:r>
              <w:t>7</w:t>
            </w:r>
          </w:p>
        </w:tc>
        <w:tc>
          <w:tcPr>
            <w:tcW w:w="2125" w:type="dxa"/>
            <w:tcBorders>
              <w:left w:val="single" w:color="000000" w:sz="2" w:space="0"/>
              <w:right w:val="single" w:color="000000" w:sz="2" w:space="0"/>
            </w:tcBorders>
            <w:vAlign w:val="top"/>
          </w:tcPr>
          <w:p w14:paraId="1A8B9CC2">
            <w:pPr>
              <w:pStyle w:val="7"/>
              <w:spacing w:before="128" w:line="217" w:lineRule="auto"/>
              <w:ind w:left="309"/>
            </w:pPr>
            <w:r>
              <w:rPr>
                <w:spacing w:val="-18"/>
              </w:rPr>
              <w:t>现场保护队职责</w:t>
            </w:r>
          </w:p>
        </w:tc>
        <w:tc>
          <w:tcPr>
            <w:tcW w:w="5980" w:type="dxa"/>
            <w:tcBorders>
              <w:left w:val="single" w:color="000000" w:sz="2" w:space="0"/>
            </w:tcBorders>
            <w:vAlign w:val="top"/>
          </w:tcPr>
          <w:p w14:paraId="0D6B6CC4">
            <w:pPr>
              <w:pStyle w:val="7"/>
              <w:spacing w:before="128" w:line="217" w:lineRule="auto"/>
              <w:ind w:left="157"/>
            </w:pPr>
            <w:r>
              <w:rPr>
                <w:spacing w:val="-21"/>
              </w:rPr>
              <w:t>加强安全防范意识，及时到达制定位置，严密保护事故现场</w:t>
            </w:r>
          </w:p>
        </w:tc>
      </w:tr>
    </w:tbl>
    <w:p w14:paraId="22E62C40">
      <w:pPr>
        <w:pStyle w:val="2"/>
        <w:spacing w:before="112" w:line="220" w:lineRule="auto"/>
        <w:ind w:left="1888"/>
        <w:rPr>
          <w:sz w:val="24"/>
          <w:szCs w:val="24"/>
        </w:rPr>
      </w:pPr>
      <w:r>
        <w:rPr>
          <w:spacing w:val="-15"/>
          <w:sz w:val="24"/>
          <w:szCs w:val="24"/>
        </w:rPr>
        <w:t>2.2.5、严重管道破裂</w:t>
      </w:r>
    </w:p>
    <w:p w14:paraId="0581AA6D">
      <w:pPr>
        <w:pStyle w:val="2"/>
        <w:spacing w:before="115" w:line="217" w:lineRule="auto"/>
        <w:ind w:left="1893"/>
        <w:rPr>
          <w:sz w:val="24"/>
          <w:szCs w:val="24"/>
        </w:rPr>
      </w:pPr>
      <w:r>
        <w:rPr>
          <w:spacing w:val="-21"/>
          <w:sz w:val="24"/>
          <w:szCs w:val="24"/>
        </w:rPr>
        <w:t>（1）指挥长职责：负责现场考察，召集队伍、调动资源，下达任务。</w:t>
      </w:r>
    </w:p>
    <w:p w14:paraId="681A8E21">
      <w:pPr>
        <w:pStyle w:val="2"/>
        <w:spacing w:before="119" w:line="262" w:lineRule="auto"/>
        <w:ind w:left="1459" w:right="1412" w:firstLine="433"/>
        <w:rPr>
          <w:sz w:val="24"/>
          <w:szCs w:val="24"/>
        </w:rPr>
      </w:pPr>
      <w:r>
        <w:rPr>
          <w:spacing w:val="-22"/>
          <w:sz w:val="24"/>
          <w:szCs w:val="24"/>
        </w:rPr>
        <w:t>（2）副队长职责：负责制定抢修方案，解决抢修过程中的技术问题，向指挥长</w:t>
      </w:r>
      <w:r>
        <w:rPr>
          <w:spacing w:val="-23"/>
          <w:sz w:val="24"/>
          <w:szCs w:val="24"/>
        </w:rPr>
        <w:t>提出资源计</w:t>
      </w:r>
      <w:r>
        <w:rPr>
          <w:spacing w:val="-20"/>
          <w:sz w:val="24"/>
          <w:szCs w:val="24"/>
        </w:rPr>
        <w:t>划，受指挥长的指挥。</w:t>
      </w:r>
    </w:p>
    <w:p w14:paraId="64205E35">
      <w:pPr>
        <w:pStyle w:val="2"/>
        <w:spacing w:before="117" w:line="220" w:lineRule="auto"/>
        <w:ind w:left="1893"/>
        <w:rPr>
          <w:sz w:val="24"/>
          <w:szCs w:val="24"/>
        </w:rPr>
      </w:pPr>
      <w:r>
        <w:rPr>
          <w:spacing w:val="-22"/>
          <w:sz w:val="24"/>
          <w:szCs w:val="24"/>
        </w:rPr>
        <w:t>（3）土方组职责：</w:t>
      </w:r>
    </w:p>
    <w:p w14:paraId="3CF99965">
      <w:pPr>
        <w:pStyle w:val="2"/>
        <w:spacing w:before="114" w:line="217" w:lineRule="auto"/>
        <w:ind w:left="1894"/>
        <w:rPr>
          <w:sz w:val="24"/>
          <w:szCs w:val="24"/>
        </w:rPr>
      </w:pPr>
      <w:r>
        <w:rPr>
          <w:spacing w:val="-21"/>
          <w:sz w:val="24"/>
          <w:szCs w:val="24"/>
        </w:rPr>
        <w:t>组长：负责组织障碍物拆除，管沟槽的开挖、支撑、排</w:t>
      </w:r>
      <w:r>
        <w:rPr>
          <w:spacing w:val="-22"/>
          <w:sz w:val="24"/>
          <w:szCs w:val="24"/>
        </w:rPr>
        <w:t>水、回填土方，受副队长的指挥。</w:t>
      </w:r>
    </w:p>
    <w:p w14:paraId="2CF1A6A0">
      <w:pPr>
        <w:pStyle w:val="2"/>
        <w:spacing w:before="117" w:line="218" w:lineRule="auto"/>
        <w:ind w:left="1896"/>
        <w:rPr>
          <w:sz w:val="24"/>
          <w:szCs w:val="24"/>
        </w:rPr>
      </w:pPr>
      <w:r>
        <w:rPr>
          <w:spacing w:val="-20"/>
          <w:sz w:val="24"/>
          <w:szCs w:val="24"/>
        </w:rPr>
        <w:t>成员：本组组长的指挥。</w:t>
      </w:r>
    </w:p>
    <w:p w14:paraId="05A3D98A">
      <w:pPr>
        <w:pStyle w:val="2"/>
        <w:spacing w:before="118" w:line="220" w:lineRule="auto"/>
        <w:ind w:left="1893"/>
        <w:rPr>
          <w:sz w:val="24"/>
          <w:szCs w:val="24"/>
        </w:rPr>
      </w:pPr>
      <w:r>
        <w:rPr>
          <w:spacing w:val="-19"/>
          <w:sz w:val="24"/>
          <w:szCs w:val="24"/>
        </w:rPr>
        <w:t>（4）电气组长职责：</w:t>
      </w:r>
    </w:p>
    <w:p w14:paraId="02447430">
      <w:pPr>
        <w:pStyle w:val="2"/>
        <w:spacing w:before="114" w:line="217" w:lineRule="auto"/>
        <w:ind w:left="1894"/>
        <w:rPr>
          <w:sz w:val="24"/>
          <w:szCs w:val="24"/>
        </w:rPr>
      </w:pPr>
      <w:r>
        <w:rPr>
          <w:spacing w:val="-21"/>
          <w:sz w:val="24"/>
          <w:szCs w:val="24"/>
        </w:rPr>
        <w:t>组长：组织保障抢修照明及施工用电，受副队长指挥。</w:t>
      </w:r>
    </w:p>
    <w:p w14:paraId="6C35757A">
      <w:pPr>
        <w:pStyle w:val="2"/>
        <w:spacing w:before="117" w:line="217" w:lineRule="auto"/>
        <w:ind w:left="1896"/>
        <w:rPr>
          <w:sz w:val="24"/>
          <w:szCs w:val="24"/>
        </w:rPr>
      </w:pPr>
      <w:r>
        <w:rPr>
          <w:spacing w:val="-21"/>
          <w:sz w:val="24"/>
          <w:szCs w:val="24"/>
        </w:rPr>
        <w:t>成员：保障抢修照明及施工用电，受本组组长指挥。</w:t>
      </w:r>
    </w:p>
    <w:p w14:paraId="1144EB25">
      <w:pPr>
        <w:pStyle w:val="2"/>
        <w:spacing w:before="118" w:line="220" w:lineRule="auto"/>
        <w:ind w:left="1893"/>
        <w:rPr>
          <w:sz w:val="24"/>
          <w:szCs w:val="24"/>
        </w:rPr>
      </w:pPr>
      <w:r>
        <w:rPr>
          <w:spacing w:val="-18"/>
          <w:sz w:val="24"/>
          <w:szCs w:val="24"/>
        </w:rPr>
        <w:t>（5）管道组职责：</w:t>
      </w:r>
    </w:p>
    <w:p w14:paraId="043CA56F">
      <w:pPr>
        <w:pStyle w:val="2"/>
        <w:spacing w:before="116" w:line="218" w:lineRule="auto"/>
        <w:ind w:left="1894"/>
        <w:rPr>
          <w:sz w:val="24"/>
          <w:szCs w:val="24"/>
        </w:rPr>
      </w:pPr>
      <w:r>
        <w:rPr>
          <w:spacing w:val="-21"/>
          <w:sz w:val="24"/>
          <w:szCs w:val="24"/>
        </w:rPr>
        <w:t>组长：负责组织破损管道修复或更换，受副队长指挥。</w:t>
      </w:r>
    </w:p>
    <w:p w14:paraId="74617ABF">
      <w:pPr>
        <w:pStyle w:val="2"/>
        <w:spacing w:before="115" w:line="218" w:lineRule="auto"/>
        <w:ind w:left="1896"/>
        <w:rPr>
          <w:sz w:val="24"/>
          <w:szCs w:val="24"/>
        </w:rPr>
      </w:pPr>
      <w:r>
        <w:rPr>
          <w:spacing w:val="-22"/>
          <w:sz w:val="24"/>
          <w:szCs w:val="24"/>
        </w:rPr>
        <w:t>成员：负责破损管道的修复或更换，受本组组长指挥。</w:t>
      </w:r>
    </w:p>
    <w:p w14:paraId="63C66B3D">
      <w:pPr>
        <w:pStyle w:val="2"/>
        <w:spacing w:before="116" w:line="217" w:lineRule="auto"/>
        <w:ind w:left="1893"/>
        <w:rPr>
          <w:sz w:val="24"/>
          <w:szCs w:val="24"/>
        </w:rPr>
      </w:pPr>
      <w:r>
        <w:rPr>
          <w:spacing w:val="-18"/>
          <w:sz w:val="24"/>
          <w:szCs w:val="24"/>
        </w:rPr>
        <w:t>（6）物资组职责：</w:t>
      </w:r>
    </w:p>
    <w:p w14:paraId="6E3CA882">
      <w:pPr>
        <w:pStyle w:val="2"/>
        <w:spacing w:before="120" w:line="216" w:lineRule="auto"/>
        <w:ind w:left="1894"/>
        <w:rPr>
          <w:sz w:val="24"/>
          <w:szCs w:val="24"/>
        </w:rPr>
      </w:pPr>
      <w:r>
        <w:rPr>
          <w:spacing w:val="-21"/>
          <w:sz w:val="24"/>
          <w:szCs w:val="24"/>
        </w:rPr>
        <w:t>组长：负责组织抢修机具、材料的调配，受队长指挥。</w:t>
      </w:r>
    </w:p>
    <w:p w14:paraId="49D98C0D">
      <w:pPr>
        <w:pStyle w:val="2"/>
        <w:spacing w:before="117" w:line="216" w:lineRule="auto"/>
        <w:ind w:left="1896"/>
        <w:rPr>
          <w:sz w:val="24"/>
          <w:szCs w:val="24"/>
        </w:rPr>
      </w:pPr>
      <w:r>
        <w:rPr>
          <w:spacing w:val="-21"/>
          <w:sz w:val="24"/>
          <w:szCs w:val="24"/>
        </w:rPr>
        <w:t>成员：负责抢修机具、材料的调配，受本组组长指挥。</w:t>
      </w:r>
    </w:p>
    <w:p w14:paraId="532488FA">
      <w:pPr>
        <w:pStyle w:val="2"/>
        <w:spacing w:before="120" w:line="220" w:lineRule="auto"/>
        <w:ind w:left="1893"/>
        <w:rPr>
          <w:sz w:val="24"/>
          <w:szCs w:val="24"/>
        </w:rPr>
      </w:pPr>
      <w:r>
        <w:rPr>
          <w:spacing w:val="-18"/>
          <w:sz w:val="24"/>
          <w:szCs w:val="24"/>
        </w:rPr>
        <w:t>（7）运输组职责：</w:t>
      </w:r>
    </w:p>
    <w:p w14:paraId="5089E900">
      <w:pPr>
        <w:pStyle w:val="2"/>
        <w:spacing w:before="116" w:line="307" w:lineRule="auto"/>
        <w:ind w:left="1458" w:right="1410" w:firstLine="435"/>
        <w:rPr>
          <w:sz w:val="24"/>
          <w:szCs w:val="24"/>
        </w:rPr>
      </w:pPr>
      <w:r>
        <w:rPr>
          <w:spacing w:val="-20"/>
          <w:sz w:val="24"/>
          <w:szCs w:val="24"/>
        </w:rPr>
        <w:t>组长：负责组织被拆除障碍物、挖填土方、抢修机具、材料、抢修队伍运输，受副队长指</w:t>
      </w:r>
      <w:r>
        <w:rPr>
          <w:spacing w:val="-18"/>
          <w:sz w:val="24"/>
          <w:szCs w:val="24"/>
        </w:rPr>
        <w:t>挥。</w:t>
      </w:r>
    </w:p>
    <w:p w14:paraId="2CA89CDA">
      <w:pPr>
        <w:pStyle w:val="2"/>
        <w:spacing w:before="1" w:line="307" w:lineRule="auto"/>
        <w:ind w:left="1458" w:right="1429" w:firstLine="438"/>
        <w:rPr>
          <w:sz w:val="24"/>
          <w:szCs w:val="24"/>
        </w:rPr>
      </w:pPr>
      <w:r>
        <w:rPr>
          <w:spacing w:val="-20"/>
          <w:sz w:val="24"/>
          <w:szCs w:val="24"/>
        </w:rPr>
        <w:t>成员：负责被拆除障碍物、挖填土方、抢修机具、材料、抢修队伍的运输，</w:t>
      </w:r>
      <w:r>
        <w:rPr>
          <w:spacing w:val="-21"/>
          <w:sz w:val="24"/>
          <w:szCs w:val="24"/>
        </w:rPr>
        <w:t>受本组组长指</w:t>
      </w:r>
      <w:r>
        <w:rPr>
          <w:spacing w:val="-18"/>
          <w:sz w:val="24"/>
          <w:szCs w:val="24"/>
        </w:rPr>
        <w:t>挥。</w:t>
      </w:r>
    </w:p>
    <w:p w14:paraId="5F052386">
      <w:pPr>
        <w:pStyle w:val="2"/>
        <w:spacing w:before="1" w:line="216" w:lineRule="auto"/>
        <w:ind w:left="1888"/>
        <w:rPr>
          <w:sz w:val="24"/>
          <w:szCs w:val="24"/>
        </w:rPr>
      </w:pPr>
      <w:r>
        <w:pict>
          <v:shape id="_x0000_s3189" o:spid="_x0000_s3189" style="position:absolute;left:0pt;margin-left:227.8pt;margin-top:15.7pt;height:0.75pt;width:2.2pt;z-index:251921408;mso-width-relative:page;mso-height-relative:page;" fillcolor="#1C456A" filled="t" stroked="f" coordsize="44,15" path="m0,14l43,14,43,0,0,0,0,14xe">
            <v:path/>
            <v:fill on="t" focussize="0,0"/>
            <v:stroke on="f"/>
            <v:imagedata o:title=""/>
            <o:lock v:ext="edit"/>
          </v:shape>
        </w:pict>
      </w:r>
      <w:r>
        <w:rPr>
          <w:spacing w:val="-14"/>
          <w:sz w:val="24"/>
          <w:szCs w:val="24"/>
        </w:rPr>
        <w:t>2.2.6、食物中毒</w:t>
      </w:r>
    </w:p>
    <w:p w14:paraId="4C07D59D">
      <w:pPr>
        <w:spacing w:line="47" w:lineRule="auto"/>
        <w:rPr>
          <w:rFonts w:ascii="Arial"/>
          <w:sz w:val="2"/>
        </w:rPr>
      </w:pPr>
    </w:p>
    <w:tbl>
      <w:tblPr>
        <w:tblStyle w:val="6"/>
        <w:tblW w:w="9176" w:type="dxa"/>
        <w:tblInd w:w="1366"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71"/>
        <w:gridCol w:w="805"/>
        <w:gridCol w:w="2121"/>
        <w:gridCol w:w="1386"/>
        <w:gridCol w:w="4213"/>
        <w:gridCol w:w="380"/>
      </w:tblGrid>
      <w:tr w14:paraId="49D56A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1" w:hRule="atLeast"/>
        </w:trPr>
        <w:tc>
          <w:tcPr>
            <w:tcW w:w="1076" w:type="dxa"/>
            <w:gridSpan w:val="2"/>
            <w:tcBorders>
              <w:top w:val="single" w:color="000000" w:sz="4" w:space="0"/>
              <w:left w:val="single" w:color="000000" w:sz="4" w:space="0"/>
            </w:tcBorders>
            <w:shd w:val="clear" w:color="auto" w:fill="DEEAF6"/>
            <w:vAlign w:val="top"/>
          </w:tcPr>
          <w:p w14:paraId="6B4DEB28">
            <w:pPr>
              <w:spacing w:line="33" w:lineRule="exact"/>
              <w:ind w:firstLine="1057"/>
            </w:pPr>
            <w:r>
              <w:pict>
                <v:shape id="_x0000_s3190" o:spid="_x0000_s3190" style="position:absolute;left:0pt;margin-left:-0.2pt;margin-top:0pt;height:0.75pt;width:2.2pt;mso-position-horizontal-relative:page;mso-position-vertical-relative:page;z-index:251923456;mso-width-relative:page;mso-height-relative:page;" fillcolor="#5B9BD5" filled="t" stroked="f" coordsize="44,15" path="m0,14l43,14,43,0,0,0,0,14xe">
                  <v:path/>
                  <v:fill on="t" focussize="0,0"/>
                  <v:stroke on="f"/>
                  <v:imagedata o:title=""/>
                  <o:lock v:ext="edit"/>
                </v:shape>
              </w:pict>
            </w:r>
            <w:r>
              <w:pict>
                <v:group id="_x0000_s3191" o:spid="_x0000_s3191" o:spt="203" style="height:2.2pt;width:2.2pt;" coordsize="44,44">
                  <o:lock v:ext="edit"/>
                  <v:shape id="_x0000_s3192" o:spid="_x0000_s3192" style="position:absolute;left:0;top:0;height:15;width:44;" fillcolor="#5B9BD5" filled="t" stroked="f" coordsize="44,15" path="m0,14l43,14,43,0,0,0,0,14xe">
                    <v:path/>
                    <v:fill on="t" focussize="0,0"/>
                    <v:stroke on="f"/>
                    <v:imagedata o:title=""/>
                    <o:lock v:ext="edit"/>
                  </v:shape>
                  <v:shape id="_x0000_s3193" o:spid="_x0000_s3193" style="position:absolute;left:0;top:14;height:15;width:44;" fillcolor="#20507B" filled="t" stroked="f" coordsize="44,15" path="m0,14l43,14,43,0,0,0,0,14xe">
                    <v:path/>
                    <v:fill on="t" focussize="0,0"/>
                    <v:stroke on="f"/>
                    <v:imagedata o:title=""/>
                    <o:lock v:ext="edit"/>
                  </v:shape>
                  <v:shape id="_x0000_s3194" o:spid="_x0000_s3194" style="position:absolute;left:0;top:28;height:15;width:44;" fillcolor="#1C456A" filled="t" stroked="f" coordsize="44,15" path="m0,14l43,14,43,0,0,0,0,14xe">
                    <v:path/>
                    <v:fill on="t" focussize="0,0"/>
                    <v:stroke on="f"/>
                    <v:imagedata o:title=""/>
                    <o:lock v:ext="edit"/>
                  </v:shape>
                  <w10:wrap type="none"/>
                  <w10:anchorlock/>
                </v:group>
              </w:pict>
            </w:r>
          </w:p>
          <w:p w14:paraId="36F0BD94">
            <w:pPr>
              <w:pStyle w:val="7"/>
              <w:spacing w:before="96" w:line="218" w:lineRule="auto"/>
              <w:ind w:left="334"/>
            </w:pPr>
            <w:r>
              <w:rPr>
                <w:b/>
                <w:bCs/>
                <w:spacing w:val="-12"/>
              </w:rPr>
              <w:t>序号</w:t>
            </w:r>
          </w:p>
        </w:tc>
        <w:tc>
          <w:tcPr>
            <w:tcW w:w="2121" w:type="dxa"/>
            <w:tcBorders>
              <w:top w:val="single" w:color="000000" w:sz="4" w:space="0"/>
            </w:tcBorders>
            <w:shd w:val="clear" w:color="auto" w:fill="DEEAF6"/>
            <w:vAlign w:val="top"/>
          </w:tcPr>
          <w:p w14:paraId="6F12E691">
            <w:pPr>
              <w:pStyle w:val="7"/>
              <w:spacing w:before="129" w:line="219" w:lineRule="auto"/>
              <w:ind w:left="849"/>
            </w:pPr>
            <w:r>
              <w:rPr>
                <w:b/>
                <w:bCs/>
                <w:spacing w:val="-12"/>
              </w:rPr>
              <w:t>职务</w:t>
            </w:r>
          </w:p>
        </w:tc>
        <w:tc>
          <w:tcPr>
            <w:tcW w:w="1386" w:type="dxa"/>
            <w:tcBorders>
              <w:top w:val="single" w:color="5B9BD5" w:sz="4" w:space="0"/>
              <w:right w:val="nil"/>
            </w:tcBorders>
            <w:shd w:val="clear" w:color="auto" w:fill="DEEAF6"/>
            <w:vAlign w:val="top"/>
          </w:tcPr>
          <w:p w14:paraId="05472DD8">
            <w:pPr>
              <w:spacing w:line="18" w:lineRule="exact"/>
            </w:pPr>
            <w:r>
              <w:pict>
                <v:group id="_x0000_s3195" o:spid="_x0000_s3195" o:spt="203" style="height:1.45pt;width:2.2pt;" coordsize="44,29">
                  <o:lock v:ext="edit"/>
                  <v:shape id="_x0000_s3196" o:spid="_x0000_s3196" style="position:absolute;left:0;top:0;height:15;width:44;" fillcolor="#5B9BD5" filled="t" stroked="f" coordsize="44,15" path="m0,14l43,14,43,0,0,0,0,14xe">
                    <v:path/>
                    <v:fill on="t" focussize="0,0"/>
                    <v:stroke on="f"/>
                    <v:imagedata o:title=""/>
                    <o:lock v:ext="edit"/>
                  </v:shape>
                  <v:shape id="_x0000_s3197" o:spid="_x0000_s3197" style="position:absolute;left:0;top:14;height:15;width:44;" fillcolor="#20507B" filled="t" stroked="f" coordsize="44,15" path="m0,14l43,14,43,0,0,0,0,14xe">
                    <v:path/>
                    <v:fill on="t" focussize="0,0"/>
                    <v:stroke on="f"/>
                    <v:imagedata o:title=""/>
                    <o:lock v:ext="edit"/>
                  </v:shape>
                  <w10:wrap type="none"/>
                  <w10:anchorlock/>
                </v:group>
              </w:pict>
            </w:r>
          </w:p>
        </w:tc>
        <w:tc>
          <w:tcPr>
            <w:tcW w:w="4213" w:type="dxa"/>
            <w:tcBorders>
              <w:top w:val="single" w:color="5B9BD5" w:sz="4" w:space="0"/>
              <w:left w:val="nil"/>
              <w:right w:val="nil"/>
            </w:tcBorders>
            <w:shd w:val="clear" w:color="auto" w:fill="DEEAF6"/>
            <w:vAlign w:val="top"/>
          </w:tcPr>
          <w:p w14:paraId="24FC446E">
            <w:pPr>
              <w:pStyle w:val="7"/>
              <w:spacing w:before="129" w:line="220" w:lineRule="auto"/>
              <w:ind w:left="1389"/>
            </w:pPr>
            <w:r>
              <w:rPr>
                <w:b/>
                <w:bCs/>
                <w:spacing w:val="-12"/>
              </w:rPr>
              <w:t>职责</w:t>
            </w:r>
          </w:p>
        </w:tc>
        <w:tc>
          <w:tcPr>
            <w:tcW w:w="380" w:type="dxa"/>
            <w:tcBorders>
              <w:top w:val="single" w:color="5B9BD5" w:sz="4" w:space="0"/>
              <w:left w:val="nil"/>
              <w:right w:val="single" w:color="5B9BD5" w:sz="4" w:space="0"/>
            </w:tcBorders>
            <w:shd w:val="clear" w:color="auto" w:fill="DEEAF6"/>
            <w:vAlign w:val="top"/>
          </w:tcPr>
          <w:p w14:paraId="0B218092">
            <w:pPr>
              <w:rPr>
                <w:rFonts w:ascii="Arial"/>
                <w:sz w:val="21"/>
              </w:rPr>
            </w:pPr>
            <w:r>
              <w:pict>
                <v:shape id="_x0000_s3198" o:spid="_x0000_s3198" style="position:absolute;left:0pt;margin-left:17.15pt;margin-top:0pt;height:0.75pt;width:2.2pt;mso-position-horizontal-relative:page;mso-position-vertical-relative:page;z-index:251922432;mso-width-relative:page;mso-height-relative:page;" fillcolor="#5B9BD5" filled="t" stroked="f" coordsize="44,15" path="m0,14l43,14,43,0,0,0,0,14xe">
                  <v:path/>
                  <v:fill on="t" focussize="0,0"/>
                  <v:stroke on="f"/>
                  <v:imagedata o:title=""/>
                  <o:lock v:ext="edit"/>
                </v:shape>
              </w:pict>
            </w:r>
          </w:p>
        </w:tc>
      </w:tr>
      <w:tr w14:paraId="7D1E80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97" w:hRule="atLeast"/>
        </w:trPr>
        <w:tc>
          <w:tcPr>
            <w:tcW w:w="1076" w:type="dxa"/>
            <w:gridSpan w:val="2"/>
            <w:tcBorders>
              <w:left w:val="single" w:color="000000" w:sz="4" w:space="0"/>
            </w:tcBorders>
            <w:vAlign w:val="top"/>
          </w:tcPr>
          <w:p w14:paraId="23199EF4">
            <w:pPr>
              <w:spacing w:line="247" w:lineRule="auto"/>
              <w:rPr>
                <w:rFonts w:ascii="Arial"/>
                <w:sz w:val="21"/>
              </w:rPr>
            </w:pPr>
          </w:p>
          <w:p w14:paraId="397676A8">
            <w:pPr>
              <w:spacing w:line="247" w:lineRule="auto"/>
              <w:rPr>
                <w:rFonts w:ascii="Arial"/>
                <w:sz w:val="21"/>
              </w:rPr>
            </w:pPr>
          </w:p>
          <w:p w14:paraId="272931EC">
            <w:pPr>
              <w:spacing w:line="248" w:lineRule="auto"/>
              <w:rPr>
                <w:rFonts w:ascii="Arial"/>
                <w:sz w:val="21"/>
              </w:rPr>
            </w:pPr>
          </w:p>
          <w:p w14:paraId="07FB8E04">
            <w:pPr>
              <w:pStyle w:val="7"/>
              <w:spacing w:before="78" w:line="238" w:lineRule="auto"/>
              <w:ind w:left="508"/>
            </w:pPr>
            <w:r>
              <w:t>1</w:t>
            </w:r>
          </w:p>
        </w:tc>
        <w:tc>
          <w:tcPr>
            <w:tcW w:w="2121" w:type="dxa"/>
            <w:vAlign w:val="top"/>
          </w:tcPr>
          <w:p w14:paraId="72B2A3CF">
            <w:pPr>
              <w:spacing w:line="247" w:lineRule="auto"/>
              <w:rPr>
                <w:rFonts w:ascii="Arial"/>
                <w:sz w:val="21"/>
              </w:rPr>
            </w:pPr>
          </w:p>
          <w:p w14:paraId="6A02106A">
            <w:pPr>
              <w:spacing w:line="247" w:lineRule="auto"/>
              <w:rPr>
                <w:rFonts w:ascii="Arial"/>
                <w:sz w:val="21"/>
              </w:rPr>
            </w:pPr>
          </w:p>
          <w:p w14:paraId="4FAB59AE">
            <w:pPr>
              <w:spacing w:line="248" w:lineRule="auto"/>
              <w:rPr>
                <w:rFonts w:ascii="Arial"/>
                <w:sz w:val="21"/>
              </w:rPr>
            </w:pPr>
          </w:p>
          <w:p w14:paraId="2100CC03">
            <w:pPr>
              <w:pStyle w:val="7"/>
              <w:spacing w:before="78" w:line="218" w:lineRule="auto"/>
              <w:ind w:left="533"/>
            </w:pPr>
            <w:r>
              <w:rPr>
                <w:spacing w:val="-19"/>
              </w:rPr>
              <w:t>总指挥职责</w:t>
            </w:r>
          </w:p>
        </w:tc>
        <w:tc>
          <w:tcPr>
            <w:tcW w:w="5979" w:type="dxa"/>
            <w:gridSpan w:val="3"/>
            <w:tcBorders>
              <w:right w:val="single" w:color="000000" w:sz="4" w:space="0"/>
            </w:tcBorders>
            <w:vAlign w:val="top"/>
          </w:tcPr>
          <w:p w14:paraId="0001CDE7">
            <w:pPr>
              <w:pStyle w:val="7"/>
              <w:spacing w:before="123" w:line="220" w:lineRule="auto"/>
              <w:ind w:left="1083"/>
            </w:pPr>
            <w:r>
              <w:rPr>
                <w:spacing w:val="-21"/>
              </w:rPr>
              <w:t>（1）负责应急救援人员的分工与调配。</w:t>
            </w:r>
          </w:p>
          <w:p w14:paraId="2C52E9F6">
            <w:pPr>
              <w:pStyle w:val="7"/>
              <w:spacing w:before="182" w:line="218" w:lineRule="auto"/>
              <w:ind w:left="1191"/>
            </w:pPr>
            <w:r>
              <w:rPr>
                <w:spacing w:val="-21"/>
              </w:rPr>
              <w:t>（2）调查发病原因、落实发病人数。</w:t>
            </w:r>
          </w:p>
          <w:p w14:paraId="3CB36A11">
            <w:pPr>
              <w:pStyle w:val="7"/>
              <w:spacing w:before="182" w:line="217" w:lineRule="auto"/>
              <w:ind w:left="1083"/>
            </w:pPr>
            <w:r>
              <w:rPr>
                <w:spacing w:val="-22"/>
              </w:rPr>
              <w:t>（3）根据中毒情况，向公司领导报告。</w:t>
            </w:r>
          </w:p>
          <w:p w14:paraId="1DB8FC53">
            <w:pPr>
              <w:pStyle w:val="7"/>
              <w:spacing w:before="186" w:line="215" w:lineRule="auto"/>
              <w:ind w:left="1191"/>
            </w:pPr>
            <w:r>
              <w:rPr>
                <w:spacing w:val="-20"/>
              </w:rPr>
              <w:t>（4）向所在地区卫生防疫部门报告。</w:t>
            </w:r>
          </w:p>
        </w:tc>
      </w:tr>
      <w:tr w14:paraId="32AD1F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8" w:hRule="atLeast"/>
        </w:trPr>
        <w:tc>
          <w:tcPr>
            <w:tcW w:w="1076" w:type="dxa"/>
            <w:gridSpan w:val="2"/>
            <w:tcBorders>
              <w:left w:val="single" w:color="000000" w:sz="4" w:space="0"/>
            </w:tcBorders>
            <w:vAlign w:val="top"/>
          </w:tcPr>
          <w:p w14:paraId="3A651987">
            <w:pPr>
              <w:pStyle w:val="7"/>
              <w:spacing w:before="114" w:line="238" w:lineRule="auto"/>
              <w:ind w:left="493"/>
            </w:pPr>
            <w:r>
              <w:t>2</w:t>
            </w:r>
          </w:p>
        </w:tc>
        <w:tc>
          <w:tcPr>
            <w:tcW w:w="2121" w:type="dxa"/>
            <w:vAlign w:val="top"/>
          </w:tcPr>
          <w:p w14:paraId="64C10648">
            <w:pPr>
              <w:pStyle w:val="7"/>
              <w:spacing w:before="114" w:line="218" w:lineRule="auto"/>
              <w:ind w:left="631"/>
            </w:pPr>
            <w:r>
              <w:rPr>
                <w:spacing w:val="-15"/>
              </w:rPr>
              <w:t>指挥职责</w:t>
            </w:r>
          </w:p>
        </w:tc>
        <w:tc>
          <w:tcPr>
            <w:tcW w:w="5979" w:type="dxa"/>
            <w:gridSpan w:val="3"/>
            <w:tcBorders>
              <w:right w:val="single" w:color="000000" w:sz="4" w:space="0"/>
            </w:tcBorders>
            <w:vAlign w:val="top"/>
          </w:tcPr>
          <w:p w14:paraId="52759D94">
            <w:pPr>
              <w:pStyle w:val="7"/>
              <w:spacing w:before="114" w:line="216" w:lineRule="auto"/>
              <w:ind w:left="2011"/>
            </w:pPr>
            <w:r>
              <w:rPr>
                <w:spacing w:val="-19"/>
              </w:rPr>
              <w:t>协助总指挥进行工作</w:t>
            </w:r>
          </w:p>
        </w:tc>
      </w:tr>
      <w:tr w14:paraId="280765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58" w:hRule="atLeast"/>
        </w:trPr>
        <w:tc>
          <w:tcPr>
            <w:tcW w:w="1076" w:type="dxa"/>
            <w:gridSpan w:val="2"/>
            <w:tcBorders>
              <w:left w:val="single" w:color="000000" w:sz="4" w:space="0"/>
            </w:tcBorders>
            <w:vAlign w:val="top"/>
          </w:tcPr>
          <w:p w14:paraId="7BCC9775">
            <w:pPr>
              <w:spacing w:line="264" w:lineRule="auto"/>
              <w:rPr>
                <w:rFonts w:ascii="Arial"/>
                <w:sz w:val="21"/>
              </w:rPr>
            </w:pPr>
          </w:p>
          <w:p w14:paraId="7AA2F7C0">
            <w:pPr>
              <w:pStyle w:val="7"/>
              <w:spacing w:before="78" w:line="237" w:lineRule="auto"/>
              <w:ind w:left="495"/>
            </w:pPr>
            <w:r>
              <w:t>3</w:t>
            </w:r>
          </w:p>
        </w:tc>
        <w:tc>
          <w:tcPr>
            <w:tcW w:w="2121" w:type="dxa"/>
            <w:vAlign w:val="top"/>
          </w:tcPr>
          <w:p w14:paraId="47597286">
            <w:pPr>
              <w:spacing w:line="265" w:lineRule="auto"/>
              <w:rPr>
                <w:rFonts w:ascii="Arial"/>
                <w:sz w:val="21"/>
              </w:rPr>
            </w:pPr>
          </w:p>
          <w:p w14:paraId="75975530">
            <w:pPr>
              <w:pStyle w:val="7"/>
              <w:spacing w:before="78" w:line="217" w:lineRule="auto"/>
              <w:ind w:left="309"/>
            </w:pPr>
            <w:r>
              <w:rPr>
                <w:spacing w:val="-19"/>
              </w:rPr>
              <w:t>通讯联络员职责</w:t>
            </w:r>
          </w:p>
        </w:tc>
        <w:tc>
          <w:tcPr>
            <w:tcW w:w="5979" w:type="dxa"/>
            <w:gridSpan w:val="3"/>
            <w:tcBorders>
              <w:right w:val="single" w:color="000000" w:sz="4" w:space="0"/>
            </w:tcBorders>
            <w:vAlign w:val="top"/>
          </w:tcPr>
          <w:p w14:paraId="25C6518E">
            <w:pPr>
              <w:pStyle w:val="7"/>
              <w:spacing w:before="112" w:line="217" w:lineRule="auto"/>
              <w:ind w:left="539"/>
            </w:pPr>
            <w:r>
              <w:rPr>
                <w:spacing w:val="-21"/>
              </w:rPr>
              <w:t>（1）负责与各级领导和地区卫生防疫部门的联系。</w:t>
            </w:r>
          </w:p>
          <w:p w14:paraId="4ADDCF93">
            <w:pPr>
              <w:pStyle w:val="7"/>
              <w:spacing w:before="184" w:line="217" w:lineRule="auto"/>
              <w:ind w:left="973"/>
            </w:pPr>
            <w:r>
              <w:rPr>
                <w:spacing w:val="-20"/>
              </w:rPr>
              <w:t>（2）保持通讯系统通畅，做好通讯记录。</w:t>
            </w:r>
          </w:p>
        </w:tc>
      </w:tr>
      <w:tr w14:paraId="44E932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271" w:type="dxa"/>
            <w:tcBorders>
              <w:left w:val="single" w:color="1C456A" w:sz="4" w:space="0"/>
              <w:bottom w:val="single" w:color="1C456A" w:sz="4" w:space="0"/>
              <w:right w:val="nil"/>
            </w:tcBorders>
            <w:vAlign w:val="top"/>
          </w:tcPr>
          <w:p w14:paraId="46B86995">
            <w:pPr>
              <w:rPr>
                <w:rFonts w:ascii="Arial"/>
                <w:sz w:val="21"/>
              </w:rPr>
            </w:pPr>
            <w:r>
              <w:pict>
                <v:shape id="_x0000_s3199" o:spid="_x0000_s3199" style="position:absolute;left:0pt;margin-left:-0.25pt;margin-top:31.5pt;height:0.75pt;width:2.2pt;mso-position-horizontal-relative:page;mso-position-vertical-relative:page;z-index:251925504;mso-width-relative:page;mso-height-relative:page;" fillcolor="#5B9BD5" filled="t" stroked="f" coordsize="44,15" path="m0,14l43,14,43,0,0,0,0,14xe">
                  <v:path/>
                  <v:fill on="t" focussize="0,0"/>
                  <v:stroke on="f"/>
                  <v:imagedata o:title=""/>
                  <o:lock v:ext="edit"/>
                </v:shape>
              </w:pict>
            </w:r>
          </w:p>
        </w:tc>
        <w:tc>
          <w:tcPr>
            <w:tcW w:w="805" w:type="dxa"/>
            <w:tcBorders>
              <w:left w:val="nil"/>
              <w:bottom w:val="single" w:color="1C456A" w:sz="4" w:space="0"/>
            </w:tcBorders>
            <w:vAlign w:val="top"/>
          </w:tcPr>
          <w:p w14:paraId="1C215B77">
            <w:pPr>
              <w:pStyle w:val="7"/>
              <w:spacing w:before="107" w:line="238" w:lineRule="auto"/>
              <w:ind w:left="223"/>
            </w:pPr>
            <w:r>
              <w:t>4</w:t>
            </w:r>
          </w:p>
        </w:tc>
        <w:tc>
          <w:tcPr>
            <w:tcW w:w="2121" w:type="dxa"/>
            <w:tcBorders>
              <w:bottom w:val="single" w:color="000000" w:sz="4" w:space="0"/>
            </w:tcBorders>
            <w:vAlign w:val="top"/>
          </w:tcPr>
          <w:p w14:paraId="7434E2E1">
            <w:pPr>
              <w:pStyle w:val="7"/>
              <w:spacing w:before="107" w:line="218" w:lineRule="auto"/>
              <w:ind w:left="521"/>
            </w:pPr>
            <w:r>
              <w:rPr>
                <w:spacing w:val="-17"/>
              </w:rPr>
              <w:t>救护组职责</w:t>
            </w:r>
          </w:p>
        </w:tc>
        <w:tc>
          <w:tcPr>
            <w:tcW w:w="5979" w:type="dxa"/>
            <w:gridSpan w:val="3"/>
            <w:tcBorders>
              <w:bottom w:val="single" w:color="5B9BD5" w:sz="4" w:space="0"/>
              <w:right w:val="single" w:color="5B9BD5" w:sz="4" w:space="0"/>
            </w:tcBorders>
            <w:vAlign w:val="top"/>
          </w:tcPr>
          <w:p w14:paraId="267B330A">
            <w:pPr>
              <w:pStyle w:val="7"/>
              <w:spacing w:before="106" w:line="217" w:lineRule="auto"/>
              <w:ind w:left="1518"/>
            </w:pPr>
            <w:r>
              <w:pict>
                <v:shape id="_x0000_s3200" o:spid="_x0000_s3200" style="position:absolute;left:0pt;margin-left:297.1pt;margin-top:31.5pt;height:0.75pt;width:2.2pt;mso-position-horizontal-relative:page;mso-position-vertical-relative:page;z-index:251924480;mso-width-relative:page;mso-height-relative:page;" fillcolor="#5B9BD5" filled="t" stroked="f" coordsize="44,15" path="m0,14l43,14,43,0,0,0,0,14xe">
                  <v:path/>
                  <v:fill on="t" focussize="0,0"/>
                  <v:stroke on="f"/>
                  <v:imagedata o:title=""/>
                  <o:lock v:ext="edit"/>
                </v:shape>
              </w:pict>
            </w:r>
            <w:r>
              <w:rPr>
                <w:spacing w:val="-20"/>
              </w:rPr>
              <w:t>（1）负责污染物的卫生消毒。</w:t>
            </w:r>
          </w:p>
        </w:tc>
      </w:tr>
    </w:tbl>
    <w:p w14:paraId="260C75D0">
      <w:pPr>
        <w:rPr>
          <w:rFonts w:ascii="Arial"/>
          <w:sz w:val="21"/>
        </w:rPr>
      </w:pPr>
    </w:p>
    <w:p w14:paraId="02A03037">
      <w:pPr>
        <w:rPr>
          <w:rFonts w:ascii="Arial" w:hAnsi="Arial" w:eastAsia="Arial" w:cs="Arial"/>
          <w:sz w:val="21"/>
          <w:szCs w:val="21"/>
        </w:rPr>
        <w:sectPr>
          <w:footerReference r:id="rId153" w:type="default"/>
          <w:pgSz w:w="11907" w:h="16839"/>
          <w:pgMar w:top="954" w:right="4" w:bottom="1038" w:left="0" w:header="499" w:footer="357" w:gutter="0"/>
          <w:pgBorders>
            <w:top w:val="none" w:sz="0" w:space="0"/>
            <w:left w:val="none" w:sz="0" w:space="0"/>
            <w:bottom w:val="none" w:sz="0" w:space="0"/>
            <w:right w:val="none" w:sz="0" w:space="0"/>
          </w:pgBorders>
          <w:cols w:space="720" w:num="1"/>
        </w:sectPr>
      </w:pPr>
    </w:p>
    <w:p w14:paraId="7C5A58DB">
      <w:pPr>
        <w:spacing w:line="214" w:lineRule="exact"/>
      </w:pPr>
    </w:p>
    <w:tbl>
      <w:tblPr>
        <w:tblStyle w:val="6"/>
        <w:tblW w:w="9176" w:type="dxa"/>
        <w:tblInd w:w="1366" w:type="dxa"/>
        <w:tblBorders>
          <w:top w:val="single" w:color="5B9BD5" w:sz="4" w:space="0"/>
          <w:left w:val="single" w:color="5B9BD5" w:sz="4" w:space="0"/>
          <w:bottom w:val="single" w:color="5B9BD5" w:sz="4" w:space="0"/>
          <w:right w:val="single" w:color="5B9BD5" w:sz="4" w:space="0"/>
          <w:insideH w:val="single" w:color="5B9BD5" w:sz="4" w:space="0"/>
          <w:insideV w:val="single" w:color="5B9BD5" w:sz="4" w:space="0"/>
        </w:tblBorders>
        <w:tblLayout w:type="fixed"/>
        <w:tblCellMar>
          <w:top w:w="0" w:type="dxa"/>
          <w:left w:w="0" w:type="dxa"/>
          <w:bottom w:w="0" w:type="dxa"/>
          <w:right w:w="0" w:type="dxa"/>
        </w:tblCellMar>
      </w:tblPr>
      <w:tblGrid>
        <w:gridCol w:w="1071"/>
        <w:gridCol w:w="2125"/>
        <w:gridCol w:w="5980"/>
      </w:tblGrid>
      <w:tr w14:paraId="75BD7BE4">
        <w:tblPrEx>
          <w:tblBorders>
            <w:top w:val="single" w:color="5B9BD5" w:sz="4" w:space="0"/>
            <w:left w:val="single" w:color="5B9BD5" w:sz="4" w:space="0"/>
            <w:bottom w:val="single" w:color="5B9BD5" w:sz="4" w:space="0"/>
            <w:right w:val="single" w:color="5B9BD5" w:sz="4" w:space="0"/>
            <w:insideH w:val="single" w:color="5B9BD5" w:sz="4" w:space="0"/>
            <w:insideV w:val="single" w:color="5B9BD5" w:sz="4" w:space="0"/>
          </w:tblBorders>
          <w:tblCellMar>
            <w:top w:w="0" w:type="dxa"/>
            <w:left w:w="0" w:type="dxa"/>
            <w:bottom w:w="0" w:type="dxa"/>
            <w:right w:w="0" w:type="dxa"/>
          </w:tblCellMar>
        </w:tblPrEx>
        <w:trPr>
          <w:trHeight w:val="2051" w:hRule="atLeast"/>
        </w:trPr>
        <w:tc>
          <w:tcPr>
            <w:tcW w:w="1071" w:type="dxa"/>
            <w:tcBorders>
              <w:top w:val="single" w:color="1C456A" w:sz="4" w:space="0"/>
              <w:left w:val="single" w:color="1C456A" w:sz="4" w:space="0"/>
              <w:bottom w:val="single" w:color="1C456A" w:sz="4" w:space="0"/>
              <w:right w:val="single" w:color="000000" w:sz="2" w:space="0"/>
            </w:tcBorders>
            <w:vAlign w:val="top"/>
          </w:tcPr>
          <w:p w14:paraId="558706C9">
            <w:pPr>
              <w:rPr>
                <w:rFonts w:ascii="Arial"/>
                <w:sz w:val="21"/>
              </w:rPr>
            </w:pPr>
          </w:p>
        </w:tc>
        <w:tc>
          <w:tcPr>
            <w:tcW w:w="2125" w:type="dxa"/>
            <w:tcBorders>
              <w:left w:val="single" w:color="000000" w:sz="2" w:space="0"/>
              <w:right w:val="single" w:color="000000" w:sz="2" w:space="0"/>
            </w:tcBorders>
            <w:vAlign w:val="top"/>
          </w:tcPr>
          <w:p w14:paraId="4D264AD6">
            <w:pPr>
              <w:rPr>
                <w:rFonts w:ascii="Arial"/>
                <w:sz w:val="21"/>
              </w:rPr>
            </w:pPr>
          </w:p>
        </w:tc>
        <w:tc>
          <w:tcPr>
            <w:tcW w:w="5980" w:type="dxa"/>
            <w:tcBorders>
              <w:left w:val="single" w:color="000000" w:sz="2" w:space="0"/>
            </w:tcBorders>
            <w:vAlign w:val="top"/>
          </w:tcPr>
          <w:p w14:paraId="47893304">
            <w:pPr>
              <w:pStyle w:val="7"/>
              <w:spacing w:before="129" w:line="218" w:lineRule="auto"/>
              <w:ind w:left="1629"/>
            </w:pPr>
            <w:r>
              <w:rPr>
                <w:spacing w:val="-19"/>
              </w:rPr>
              <w:t>（2）落实病人的隔离措施。</w:t>
            </w:r>
          </w:p>
          <w:p w14:paraId="4C87C9E2">
            <w:pPr>
              <w:pStyle w:val="7"/>
              <w:spacing w:before="182" w:line="218" w:lineRule="auto"/>
              <w:ind w:left="2174"/>
            </w:pPr>
            <w:r>
              <w:rPr>
                <w:spacing w:val="-18"/>
              </w:rPr>
              <w:t>（3）现场救护。</w:t>
            </w:r>
          </w:p>
          <w:p w14:paraId="10AD0382">
            <w:pPr>
              <w:pStyle w:val="7"/>
              <w:spacing w:before="184" w:line="218" w:lineRule="auto"/>
              <w:ind w:left="1737"/>
            </w:pPr>
            <w:r>
              <w:rPr>
                <w:spacing w:val="-19"/>
              </w:rPr>
              <w:t>（4）拨打急救中心电话。</w:t>
            </w:r>
          </w:p>
        </w:tc>
      </w:tr>
    </w:tbl>
    <w:p w14:paraId="3E792B43">
      <w:pPr>
        <w:pStyle w:val="2"/>
        <w:spacing w:before="115" w:line="218" w:lineRule="auto"/>
        <w:ind w:left="1888"/>
        <w:rPr>
          <w:sz w:val="24"/>
          <w:szCs w:val="24"/>
        </w:rPr>
      </w:pPr>
      <w:r>
        <w:rPr>
          <w:spacing w:val="-15"/>
          <w:sz w:val="24"/>
          <w:szCs w:val="24"/>
        </w:rPr>
        <w:t>2.2.7、大面积中暑</w:t>
      </w:r>
    </w:p>
    <w:p w14:paraId="265F5FF0">
      <w:pPr>
        <w:spacing w:line="19" w:lineRule="auto"/>
        <w:rPr>
          <w:rFonts w:ascii="Arial"/>
          <w:sz w:val="2"/>
        </w:rPr>
      </w:pPr>
    </w:p>
    <w:tbl>
      <w:tblPr>
        <w:tblStyle w:val="6"/>
        <w:tblW w:w="9176" w:type="dxa"/>
        <w:tblInd w:w="1366"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71"/>
        <w:gridCol w:w="805"/>
        <w:gridCol w:w="2121"/>
        <w:gridCol w:w="5979"/>
      </w:tblGrid>
      <w:tr w14:paraId="2B682E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1" w:hRule="atLeast"/>
        </w:trPr>
        <w:tc>
          <w:tcPr>
            <w:tcW w:w="1076" w:type="dxa"/>
            <w:gridSpan w:val="2"/>
            <w:tcBorders>
              <w:top w:val="single" w:color="000000" w:sz="4" w:space="0"/>
              <w:left w:val="single" w:color="000000" w:sz="4" w:space="0"/>
            </w:tcBorders>
            <w:shd w:val="clear" w:color="auto" w:fill="DEEAF6"/>
            <w:vAlign w:val="top"/>
          </w:tcPr>
          <w:p w14:paraId="7B829719">
            <w:pPr>
              <w:pStyle w:val="7"/>
              <w:spacing w:before="129" w:line="218" w:lineRule="auto"/>
              <w:ind w:left="334"/>
            </w:pPr>
            <w:r>
              <w:rPr>
                <w:b/>
                <w:bCs/>
                <w:spacing w:val="-12"/>
              </w:rPr>
              <w:t>序号</w:t>
            </w:r>
          </w:p>
        </w:tc>
        <w:tc>
          <w:tcPr>
            <w:tcW w:w="2121" w:type="dxa"/>
            <w:tcBorders>
              <w:top w:val="single" w:color="000000" w:sz="4" w:space="0"/>
            </w:tcBorders>
            <w:shd w:val="clear" w:color="auto" w:fill="DEEAF6"/>
            <w:vAlign w:val="top"/>
          </w:tcPr>
          <w:p w14:paraId="682766A8">
            <w:pPr>
              <w:pStyle w:val="7"/>
              <w:spacing w:before="129" w:line="219" w:lineRule="auto"/>
              <w:ind w:left="849"/>
            </w:pPr>
            <w:r>
              <w:rPr>
                <w:b/>
                <w:bCs/>
                <w:spacing w:val="-12"/>
              </w:rPr>
              <w:t>职务</w:t>
            </w:r>
          </w:p>
        </w:tc>
        <w:tc>
          <w:tcPr>
            <w:tcW w:w="5979" w:type="dxa"/>
            <w:tcBorders>
              <w:top w:val="single" w:color="5B9BD5" w:sz="4" w:space="0"/>
              <w:right w:val="single" w:color="5B9BD5" w:sz="4" w:space="0"/>
            </w:tcBorders>
            <w:shd w:val="clear" w:color="auto" w:fill="DEEAF6"/>
            <w:vAlign w:val="top"/>
          </w:tcPr>
          <w:p w14:paraId="10F4EFAE">
            <w:pPr>
              <w:pStyle w:val="7"/>
              <w:spacing w:before="129" w:line="220" w:lineRule="auto"/>
              <w:ind w:left="2773"/>
            </w:pPr>
            <w:r>
              <w:rPr>
                <w:b/>
                <w:bCs/>
                <w:spacing w:val="-12"/>
              </w:rPr>
              <w:t>职责</w:t>
            </w:r>
          </w:p>
        </w:tc>
      </w:tr>
      <w:tr w14:paraId="35BAD4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28" w:hRule="atLeast"/>
        </w:trPr>
        <w:tc>
          <w:tcPr>
            <w:tcW w:w="1076" w:type="dxa"/>
            <w:gridSpan w:val="2"/>
            <w:tcBorders>
              <w:left w:val="single" w:color="000000" w:sz="4" w:space="0"/>
            </w:tcBorders>
            <w:vAlign w:val="top"/>
          </w:tcPr>
          <w:p w14:paraId="13ACA6BE">
            <w:pPr>
              <w:spacing w:line="254" w:lineRule="auto"/>
              <w:rPr>
                <w:rFonts w:ascii="Arial"/>
                <w:sz w:val="21"/>
              </w:rPr>
            </w:pPr>
          </w:p>
          <w:p w14:paraId="1D18C8DA">
            <w:pPr>
              <w:spacing w:line="254" w:lineRule="auto"/>
              <w:rPr>
                <w:rFonts w:ascii="Arial"/>
                <w:sz w:val="21"/>
              </w:rPr>
            </w:pPr>
          </w:p>
          <w:p w14:paraId="4B0810EF">
            <w:pPr>
              <w:pStyle w:val="7"/>
              <w:spacing w:before="78" w:line="238" w:lineRule="auto"/>
              <w:ind w:left="508"/>
            </w:pPr>
            <w:r>
              <w:t>1</w:t>
            </w:r>
          </w:p>
        </w:tc>
        <w:tc>
          <w:tcPr>
            <w:tcW w:w="2121" w:type="dxa"/>
            <w:vAlign w:val="top"/>
          </w:tcPr>
          <w:p w14:paraId="53E18A55">
            <w:pPr>
              <w:spacing w:line="254" w:lineRule="auto"/>
              <w:rPr>
                <w:rFonts w:ascii="Arial"/>
                <w:sz w:val="21"/>
              </w:rPr>
            </w:pPr>
          </w:p>
          <w:p w14:paraId="44158538">
            <w:pPr>
              <w:spacing w:line="254" w:lineRule="auto"/>
              <w:rPr>
                <w:rFonts w:ascii="Arial"/>
                <w:sz w:val="21"/>
              </w:rPr>
            </w:pPr>
          </w:p>
          <w:p w14:paraId="5B47A248">
            <w:pPr>
              <w:pStyle w:val="7"/>
              <w:spacing w:before="78" w:line="218" w:lineRule="auto"/>
              <w:ind w:left="533"/>
            </w:pPr>
            <w:r>
              <w:rPr>
                <w:spacing w:val="-19"/>
              </w:rPr>
              <w:t>总指挥职责</w:t>
            </w:r>
          </w:p>
        </w:tc>
        <w:tc>
          <w:tcPr>
            <w:tcW w:w="5979" w:type="dxa"/>
            <w:tcBorders>
              <w:right w:val="single" w:color="000000" w:sz="4" w:space="0"/>
            </w:tcBorders>
            <w:vAlign w:val="top"/>
          </w:tcPr>
          <w:p w14:paraId="3C7DE730">
            <w:pPr>
              <w:pStyle w:val="7"/>
              <w:spacing w:before="123" w:line="220" w:lineRule="auto"/>
              <w:ind w:left="1083"/>
            </w:pPr>
            <w:r>
              <w:rPr>
                <w:spacing w:val="-20"/>
              </w:rPr>
              <w:t>（1）负责应急救援人员的分工与调配。</w:t>
            </w:r>
          </w:p>
          <w:p w14:paraId="7ED5E3CE">
            <w:pPr>
              <w:pStyle w:val="7"/>
              <w:spacing w:before="180" w:line="218" w:lineRule="auto"/>
              <w:ind w:left="1191"/>
            </w:pPr>
            <w:r>
              <w:rPr>
                <w:spacing w:val="-21"/>
              </w:rPr>
              <w:t>（2）调查中暑原因、落实发病人数。</w:t>
            </w:r>
          </w:p>
          <w:p w14:paraId="60C15E68">
            <w:pPr>
              <w:pStyle w:val="7"/>
              <w:spacing w:before="184" w:line="217" w:lineRule="auto"/>
              <w:ind w:left="1083"/>
            </w:pPr>
            <w:r>
              <w:rPr>
                <w:spacing w:val="-20"/>
              </w:rPr>
              <w:t>（3）根据中暑情况，向公司领导报告。</w:t>
            </w:r>
          </w:p>
        </w:tc>
      </w:tr>
      <w:tr w14:paraId="416B43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8" w:hRule="atLeast"/>
        </w:trPr>
        <w:tc>
          <w:tcPr>
            <w:tcW w:w="1076" w:type="dxa"/>
            <w:gridSpan w:val="2"/>
            <w:tcBorders>
              <w:left w:val="single" w:color="000000" w:sz="4" w:space="0"/>
            </w:tcBorders>
            <w:vAlign w:val="top"/>
          </w:tcPr>
          <w:p w14:paraId="465A1537">
            <w:pPr>
              <w:pStyle w:val="7"/>
              <w:spacing w:before="115" w:line="238" w:lineRule="auto"/>
              <w:ind w:left="493"/>
            </w:pPr>
            <w:r>
              <w:t>2</w:t>
            </w:r>
          </w:p>
        </w:tc>
        <w:tc>
          <w:tcPr>
            <w:tcW w:w="2121" w:type="dxa"/>
            <w:vAlign w:val="top"/>
          </w:tcPr>
          <w:p w14:paraId="7B7D0FEA">
            <w:pPr>
              <w:pStyle w:val="7"/>
              <w:spacing w:before="115" w:line="218" w:lineRule="auto"/>
              <w:ind w:left="631"/>
            </w:pPr>
            <w:r>
              <w:rPr>
                <w:spacing w:val="-15"/>
              </w:rPr>
              <w:t>指挥职责</w:t>
            </w:r>
          </w:p>
        </w:tc>
        <w:tc>
          <w:tcPr>
            <w:tcW w:w="5979" w:type="dxa"/>
            <w:tcBorders>
              <w:right w:val="single" w:color="000000" w:sz="4" w:space="0"/>
            </w:tcBorders>
            <w:vAlign w:val="top"/>
          </w:tcPr>
          <w:p w14:paraId="5243E514">
            <w:pPr>
              <w:pStyle w:val="7"/>
              <w:spacing w:before="115" w:line="216" w:lineRule="auto"/>
              <w:ind w:left="1903"/>
            </w:pPr>
            <w:r>
              <w:rPr>
                <w:spacing w:val="-20"/>
              </w:rPr>
              <w:t>协助总指挥进行工作。</w:t>
            </w:r>
          </w:p>
        </w:tc>
      </w:tr>
      <w:tr w14:paraId="7C60CA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59" w:hRule="atLeast"/>
        </w:trPr>
        <w:tc>
          <w:tcPr>
            <w:tcW w:w="1076" w:type="dxa"/>
            <w:gridSpan w:val="2"/>
            <w:tcBorders>
              <w:left w:val="single" w:color="000000" w:sz="4" w:space="0"/>
            </w:tcBorders>
            <w:vAlign w:val="top"/>
          </w:tcPr>
          <w:p w14:paraId="17766F91">
            <w:pPr>
              <w:spacing w:line="265" w:lineRule="auto"/>
              <w:rPr>
                <w:rFonts w:ascii="Arial"/>
                <w:sz w:val="21"/>
              </w:rPr>
            </w:pPr>
          </w:p>
          <w:p w14:paraId="4CF7EDD7">
            <w:pPr>
              <w:pStyle w:val="7"/>
              <w:spacing w:before="78" w:line="237" w:lineRule="auto"/>
              <w:ind w:left="495"/>
            </w:pPr>
            <w:r>
              <w:t>3</w:t>
            </w:r>
          </w:p>
        </w:tc>
        <w:tc>
          <w:tcPr>
            <w:tcW w:w="2121" w:type="dxa"/>
            <w:vAlign w:val="top"/>
          </w:tcPr>
          <w:p w14:paraId="2E7181A7">
            <w:pPr>
              <w:spacing w:line="266" w:lineRule="auto"/>
              <w:rPr>
                <w:rFonts w:ascii="Arial"/>
                <w:sz w:val="21"/>
              </w:rPr>
            </w:pPr>
          </w:p>
          <w:p w14:paraId="1263F22F">
            <w:pPr>
              <w:pStyle w:val="7"/>
              <w:spacing w:before="78" w:line="217" w:lineRule="auto"/>
              <w:ind w:left="309"/>
            </w:pPr>
            <w:r>
              <w:rPr>
                <w:spacing w:val="-19"/>
              </w:rPr>
              <w:t>通讯联络员职责</w:t>
            </w:r>
          </w:p>
        </w:tc>
        <w:tc>
          <w:tcPr>
            <w:tcW w:w="5979" w:type="dxa"/>
            <w:tcBorders>
              <w:right w:val="single" w:color="000000" w:sz="4" w:space="0"/>
            </w:tcBorders>
            <w:vAlign w:val="top"/>
          </w:tcPr>
          <w:p w14:paraId="5244E889">
            <w:pPr>
              <w:pStyle w:val="7"/>
              <w:spacing w:before="113" w:line="217" w:lineRule="auto"/>
              <w:ind w:left="539"/>
            </w:pPr>
            <w:r>
              <w:rPr>
                <w:spacing w:val="-21"/>
              </w:rPr>
              <w:t>（1）负责与各级领导和地区卫生防疫部门的联系。</w:t>
            </w:r>
          </w:p>
          <w:p w14:paraId="2633BA83">
            <w:pPr>
              <w:pStyle w:val="7"/>
              <w:spacing w:before="184" w:line="217" w:lineRule="auto"/>
              <w:ind w:left="973"/>
            </w:pPr>
            <w:r>
              <w:rPr>
                <w:spacing w:val="-21"/>
              </w:rPr>
              <w:t>（2）保持通讯系统通畅，做好通讯记录。</w:t>
            </w:r>
          </w:p>
        </w:tc>
      </w:tr>
      <w:tr w14:paraId="39B0A6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271" w:type="dxa"/>
            <w:tcBorders>
              <w:left w:val="single" w:color="1C456A" w:sz="4" w:space="0"/>
              <w:bottom w:val="single" w:color="1C456A" w:sz="4" w:space="0"/>
              <w:right w:val="nil"/>
            </w:tcBorders>
            <w:vAlign w:val="top"/>
          </w:tcPr>
          <w:p w14:paraId="3826B2AF">
            <w:pPr>
              <w:rPr>
                <w:rFonts w:ascii="Arial"/>
                <w:sz w:val="21"/>
              </w:rPr>
            </w:pPr>
            <w:r>
              <w:pict>
                <v:shape id="_x0000_s3201" o:spid="_x0000_s3201" style="position:absolute;left:0pt;margin-left:-0.25pt;margin-top:31.5pt;height:0.75pt;width:2.2pt;mso-position-horizontal-relative:page;mso-position-vertical-relative:page;z-index:251932672;mso-width-relative:page;mso-height-relative:page;" fillcolor="#5B9BD5" filled="t" stroked="f" coordsize="44,15" path="m0,14l43,14,43,0,0,0,0,14xe">
                  <v:path/>
                  <v:fill on="t" focussize="0,0"/>
                  <v:stroke on="f"/>
                  <v:imagedata o:title=""/>
                  <o:lock v:ext="edit"/>
                </v:shape>
              </w:pict>
            </w:r>
          </w:p>
        </w:tc>
        <w:tc>
          <w:tcPr>
            <w:tcW w:w="805" w:type="dxa"/>
            <w:tcBorders>
              <w:left w:val="nil"/>
              <w:bottom w:val="single" w:color="1C456A" w:sz="4" w:space="0"/>
            </w:tcBorders>
            <w:vAlign w:val="top"/>
          </w:tcPr>
          <w:p w14:paraId="151E7E96">
            <w:pPr>
              <w:pStyle w:val="7"/>
              <w:spacing w:before="107" w:line="238" w:lineRule="auto"/>
              <w:ind w:left="223"/>
            </w:pPr>
            <w:r>
              <w:t>4</w:t>
            </w:r>
          </w:p>
        </w:tc>
        <w:tc>
          <w:tcPr>
            <w:tcW w:w="2121" w:type="dxa"/>
            <w:tcBorders>
              <w:bottom w:val="single" w:color="000000" w:sz="4" w:space="0"/>
            </w:tcBorders>
            <w:vAlign w:val="top"/>
          </w:tcPr>
          <w:p w14:paraId="6785C30E">
            <w:pPr>
              <w:pStyle w:val="7"/>
              <w:spacing w:before="107" w:line="218" w:lineRule="auto"/>
              <w:ind w:left="521"/>
            </w:pPr>
            <w:r>
              <w:rPr>
                <w:spacing w:val="-17"/>
              </w:rPr>
              <w:t>救护组职责</w:t>
            </w:r>
          </w:p>
        </w:tc>
        <w:tc>
          <w:tcPr>
            <w:tcW w:w="5979" w:type="dxa"/>
            <w:tcBorders>
              <w:bottom w:val="single" w:color="5B9BD5" w:sz="4" w:space="0"/>
              <w:right w:val="single" w:color="5B9BD5" w:sz="4" w:space="0"/>
            </w:tcBorders>
            <w:vAlign w:val="top"/>
          </w:tcPr>
          <w:p w14:paraId="5770B42F">
            <w:pPr>
              <w:pStyle w:val="7"/>
              <w:spacing w:before="107" w:line="218" w:lineRule="auto"/>
              <w:ind w:left="2125"/>
            </w:pPr>
            <w:r>
              <w:pict>
                <v:shape id="_x0000_s3202" o:spid="_x0000_s3202" style="position:absolute;left:0pt;margin-left:297.1pt;margin-top:31.5pt;height:0.75pt;width:2.2pt;mso-position-horizontal-relative:page;mso-position-vertical-relative:page;z-index:251931648;mso-width-relative:page;mso-height-relative:page;" fillcolor="#5B9BD5" filled="t" stroked="f" coordsize="44,15" path="m0,14l43,14,43,0,0,0,0,14xe">
                  <v:path/>
                  <v:fill on="t" focussize="0,0"/>
                  <v:stroke on="f"/>
                  <v:imagedata o:title=""/>
                  <o:lock v:ext="edit"/>
                </v:shape>
              </w:pict>
            </w:r>
            <w:r>
              <w:rPr>
                <w:spacing w:val="-20"/>
              </w:rPr>
              <w:t>负责采取救护措施</w:t>
            </w:r>
          </w:p>
        </w:tc>
      </w:tr>
    </w:tbl>
    <w:p w14:paraId="18CE9815">
      <w:pPr>
        <w:pStyle w:val="2"/>
        <w:spacing w:before="115" w:line="218" w:lineRule="auto"/>
        <w:ind w:left="1888"/>
        <w:rPr>
          <w:sz w:val="24"/>
          <w:szCs w:val="24"/>
        </w:rPr>
      </w:pPr>
      <w:r>
        <w:pict>
          <v:shape id="_x0000_s3203" o:spid="_x0000_s3203" style="position:absolute;left:0pt;margin-left:227.8pt;margin-top:21.45pt;height:0.75pt;width:2.2pt;z-index:251926528;mso-width-relative:page;mso-height-relative:page;" fillcolor="#1C456A" filled="t" stroked="f" coordsize="44,15" path="m0,14l43,14,43,0,0,0,0,14xe">
            <v:path/>
            <v:fill on="t" focussize="0,0"/>
            <v:stroke on="f"/>
            <v:imagedata o:title=""/>
            <o:lock v:ext="edit"/>
          </v:shape>
        </w:pict>
      </w:r>
      <w:r>
        <w:rPr>
          <w:spacing w:val="-15"/>
          <w:sz w:val="24"/>
          <w:szCs w:val="24"/>
        </w:rPr>
        <w:t>2.2.8、突发传染病</w:t>
      </w:r>
    </w:p>
    <w:p w14:paraId="779D9BC4">
      <w:pPr>
        <w:spacing w:line="19" w:lineRule="auto"/>
        <w:rPr>
          <w:rFonts w:ascii="Arial"/>
          <w:sz w:val="2"/>
        </w:rPr>
      </w:pPr>
    </w:p>
    <w:tbl>
      <w:tblPr>
        <w:tblStyle w:val="6"/>
        <w:tblW w:w="9176" w:type="dxa"/>
        <w:tblInd w:w="1366"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74"/>
        <w:gridCol w:w="803"/>
        <w:gridCol w:w="2121"/>
        <w:gridCol w:w="1386"/>
        <w:gridCol w:w="4213"/>
        <w:gridCol w:w="379"/>
      </w:tblGrid>
      <w:tr w14:paraId="33D0C1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8" w:hRule="atLeast"/>
        </w:trPr>
        <w:tc>
          <w:tcPr>
            <w:tcW w:w="1077" w:type="dxa"/>
            <w:gridSpan w:val="2"/>
            <w:tcBorders>
              <w:top w:val="single" w:color="000000" w:sz="4" w:space="0"/>
              <w:left w:val="single" w:color="000000" w:sz="4" w:space="0"/>
            </w:tcBorders>
            <w:shd w:val="clear" w:color="auto" w:fill="DEEAF6"/>
            <w:vAlign w:val="top"/>
          </w:tcPr>
          <w:p w14:paraId="45EE6DFD">
            <w:pPr>
              <w:spacing w:line="33" w:lineRule="exact"/>
              <w:ind w:firstLine="1057"/>
            </w:pPr>
            <w:r>
              <w:pict>
                <v:shape id="_x0000_s3204" o:spid="_x0000_s3204" style="position:absolute;left:0pt;margin-left:-0.2pt;margin-top:0pt;height:0.75pt;width:2.2pt;mso-position-horizontal-relative:page;mso-position-vertical-relative:page;z-index:251930624;mso-width-relative:page;mso-height-relative:page;" fillcolor="#5B9BD5" filled="t" stroked="f" coordsize="44,15" path="m0,14l43,14,43,0,0,0,0,14xe">
                  <v:path/>
                  <v:fill on="t" focussize="0,0"/>
                  <v:stroke on="f"/>
                  <v:imagedata o:title=""/>
                  <o:lock v:ext="edit"/>
                </v:shape>
              </w:pict>
            </w:r>
            <w:r>
              <w:pict>
                <v:group id="_x0000_s3205" o:spid="_x0000_s3205" o:spt="203" style="height:2.2pt;width:2.2pt;" coordsize="44,44">
                  <o:lock v:ext="edit"/>
                  <v:shape id="_x0000_s3206" o:spid="_x0000_s3206" style="position:absolute;left:0;top:0;height:15;width:44;" fillcolor="#5B9BD5" filled="t" stroked="f" coordsize="44,15" path="m0,14l43,14,43,0,0,0,0,14xe">
                    <v:path/>
                    <v:fill on="t" focussize="0,0"/>
                    <v:stroke on="f"/>
                    <v:imagedata o:title=""/>
                    <o:lock v:ext="edit"/>
                  </v:shape>
                  <v:shape id="_x0000_s3207" o:spid="_x0000_s3207" style="position:absolute;left:0;top:14;height:15;width:44;" fillcolor="#20507B" filled="t" stroked="f" coordsize="44,15" path="m0,14l43,14,43,0,0,0,0,14xe">
                    <v:path/>
                    <v:fill on="t" focussize="0,0"/>
                    <v:stroke on="f"/>
                    <v:imagedata o:title=""/>
                    <o:lock v:ext="edit"/>
                  </v:shape>
                  <v:shape id="_x0000_s3208" o:spid="_x0000_s3208" style="position:absolute;left:0;top:28;height:15;width:44;" fillcolor="#1C456A" filled="t" stroked="f" coordsize="44,15" path="m0,14l43,14,43,0,0,0,0,14xe">
                    <v:path/>
                    <v:fill on="t" focussize="0,0"/>
                    <v:stroke on="f"/>
                    <v:imagedata o:title=""/>
                    <o:lock v:ext="edit"/>
                  </v:shape>
                  <w10:wrap type="none"/>
                  <w10:anchorlock/>
                </v:group>
              </w:pict>
            </w:r>
          </w:p>
          <w:p w14:paraId="4E8AC5FB">
            <w:pPr>
              <w:pStyle w:val="7"/>
              <w:spacing w:before="93" w:line="218" w:lineRule="auto"/>
              <w:ind w:left="334"/>
            </w:pPr>
            <w:r>
              <w:rPr>
                <w:b/>
                <w:bCs/>
                <w:spacing w:val="-12"/>
              </w:rPr>
              <w:t>序号</w:t>
            </w:r>
          </w:p>
        </w:tc>
        <w:tc>
          <w:tcPr>
            <w:tcW w:w="2121" w:type="dxa"/>
            <w:tcBorders>
              <w:top w:val="single" w:color="000000" w:sz="4" w:space="0"/>
            </w:tcBorders>
            <w:shd w:val="clear" w:color="auto" w:fill="DEEAF6"/>
            <w:vAlign w:val="top"/>
          </w:tcPr>
          <w:p w14:paraId="229E0959">
            <w:pPr>
              <w:pStyle w:val="7"/>
              <w:spacing w:before="126" w:line="219" w:lineRule="auto"/>
              <w:ind w:left="848"/>
            </w:pPr>
            <w:r>
              <w:rPr>
                <w:b/>
                <w:bCs/>
                <w:spacing w:val="-12"/>
              </w:rPr>
              <w:t>职务</w:t>
            </w:r>
          </w:p>
        </w:tc>
        <w:tc>
          <w:tcPr>
            <w:tcW w:w="1386" w:type="dxa"/>
            <w:tcBorders>
              <w:top w:val="single" w:color="5B9BD5" w:sz="4" w:space="0"/>
              <w:right w:val="nil"/>
            </w:tcBorders>
            <w:shd w:val="clear" w:color="auto" w:fill="DEEAF6"/>
            <w:vAlign w:val="top"/>
          </w:tcPr>
          <w:p w14:paraId="4702C059">
            <w:pPr>
              <w:spacing w:line="18" w:lineRule="exact"/>
            </w:pPr>
            <w:r>
              <w:pict>
                <v:group id="_x0000_s3209" o:spid="_x0000_s3209" o:spt="203" style="height:1.45pt;width:2.2pt;" coordsize="44,29">
                  <o:lock v:ext="edit"/>
                  <v:shape id="_x0000_s3210" o:spid="_x0000_s3210" style="position:absolute;left:0;top:0;height:15;width:44;" fillcolor="#5B9BD5" filled="t" stroked="f" coordsize="44,15" path="m0,14l43,14,43,0,0,0,0,14xe">
                    <v:path/>
                    <v:fill on="t" focussize="0,0"/>
                    <v:stroke on="f"/>
                    <v:imagedata o:title=""/>
                    <o:lock v:ext="edit"/>
                  </v:shape>
                  <v:shape id="_x0000_s3211" o:spid="_x0000_s3211" style="position:absolute;left:0;top:14;height:15;width:44;" fillcolor="#20507B" filled="t" stroked="f" coordsize="44,15" path="m0,14l43,14,43,0,0,0,0,14xe">
                    <v:path/>
                    <v:fill on="t" focussize="0,0"/>
                    <v:stroke on="f"/>
                    <v:imagedata o:title=""/>
                    <o:lock v:ext="edit"/>
                  </v:shape>
                  <w10:wrap type="none"/>
                  <w10:anchorlock/>
                </v:group>
              </w:pict>
            </w:r>
          </w:p>
        </w:tc>
        <w:tc>
          <w:tcPr>
            <w:tcW w:w="4213" w:type="dxa"/>
            <w:tcBorders>
              <w:top w:val="single" w:color="5B9BD5" w:sz="4" w:space="0"/>
              <w:left w:val="nil"/>
              <w:right w:val="nil"/>
            </w:tcBorders>
            <w:shd w:val="clear" w:color="auto" w:fill="DEEAF6"/>
            <w:vAlign w:val="top"/>
          </w:tcPr>
          <w:p w14:paraId="1A00472C">
            <w:pPr>
              <w:pStyle w:val="7"/>
              <w:spacing w:before="127" w:line="220" w:lineRule="auto"/>
              <w:ind w:left="1388"/>
            </w:pPr>
            <w:r>
              <w:rPr>
                <w:b/>
                <w:bCs/>
                <w:spacing w:val="-12"/>
              </w:rPr>
              <w:t>职责</w:t>
            </w:r>
          </w:p>
        </w:tc>
        <w:tc>
          <w:tcPr>
            <w:tcW w:w="379" w:type="dxa"/>
            <w:tcBorders>
              <w:top w:val="single" w:color="5B9BD5" w:sz="4" w:space="0"/>
              <w:left w:val="nil"/>
              <w:right w:val="single" w:color="5B9BD5" w:sz="4" w:space="0"/>
            </w:tcBorders>
            <w:shd w:val="clear" w:color="auto" w:fill="DEEAF6"/>
            <w:vAlign w:val="top"/>
          </w:tcPr>
          <w:p w14:paraId="6AD6A2F0">
            <w:pPr>
              <w:rPr>
                <w:rFonts w:ascii="Arial"/>
                <w:sz w:val="21"/>
              </w:rPr>
            </w:pPr>
            <w:r>
              <w:pict>
                <v:shape id="_x0000_s3212" o:spid="_x0000_s3212" style="position:absolute;left:0pt;margin-left:17.1pt;margin-top:0pt;height:0.75pt;width:2.2pt;mso-position-horizontal-relative:page;mso-position-vertical-relative:page;z-index:251929600;mso-width-relative:page;mso-height-relative:page;" fillcolor="#5B9BD5" filled="t" stroked="f" coordsize="44,15" path="m0,14l43,14,43,0,0,0,0,14xe">
                  <v:path/>
                  <v:fill on="t" focussize="0,0"/>
                  <v:stroke on="f"/>
                  <v:imagedata o:title=""/>
                  <o:lock v:ext="edit"/>
                </v:shape>
              </w:pict>
            </w:r>
          </w:p>
        </w:tc>
      </w:tr>
      <w:tr w14:paraId="75E808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97" w:hRule="atLeast"/>
        </w:trPr>
        <w:tc>
          <w:tcPr>
            <w:tcW w:w="1077" w:type="dxa"/>
            <w:gridSpan w:val="2"/>
            <w:tcBorders>
              <w:left w:val="single" w:color="000000" w:sz="4" w:space="0"/>
            </w:tcBorders>
            <w:vAlign w:val="top"/>
          </w:tcPr>
          <w:p w14:paraId="23D720C7">
            <w:pPr>
              <w:spacing w:line="247" w:lineRule="auto"/>
              <w:rPr>
                <w:rFonts w:ascii="Arial"/>
                <w:sz w:val="21"/>
              </w:rPr>
            </w:pPr>
          </w:p>
          <w:p w14:paraId="34088234">
            <w:pPr>
              <w:spacing w:line="248" w:lineRule="auto"/>
              <w:rPr>
                <w:rFonts w:ascii="Arial"/>
                <w:sz w:val="21"/>
              </w:rPr>
            </w:pPr>
          </w:p>
          <w:p w14:paraId="7248C2E7">
            <w:pPr>
              <w:spacing w:line="248" w:lineRule="auto"/>
              <w:rPr>
                <w:rFonts w:ascii="Arial"/>
                <w:sz w:val="21"/>
              </w:rPr>
            </w:pPr>
          </w:p>
          <w:p w14:paraId="08C77017">
            <w:pPr>
              <w:pStyle w:val="7"/>
              <w:spacing w:before="78" w:line="238" w:lineRule="auto"/>
              <w:ind w:left="508"/>
            </w:pPr>
            <w:r>
              <w:t>1</w:t>
            </w:r>
          </w:p>
        </w:tc>
        <w:tc>
          <w:tcPr>
            <w:tcW w:w="2121" w:type="dxa"/>
            <w:vAlign w:val="top"/>
          </w:tcPr>
          <w:p w14:paraId="36D287D2">
            <w:pPr>
              <w:spacing w:line="247" w:lineRule="auto"/>
              <w:rPr>
                <w:rFonts w:ascii="Arial"/>
                <w:sz w:val="21"/>
              </w:rPr>
            </w:pPr>
          </w:p>
          <w:p w14:paraId="6DCA218B">
            <w:pPr>
              <w:spacing w:line="248" w:lineRule="auto"/>
              <w:rPr>
                <w:rFonts w:ascii="Arial"/>
                <w:sz w:val="21"/>
              </w:rPr>
            </w:pPr>
          </w:p>
          <w:p w14:paraId="1E629FF1">
            <w:pPr>
              <w:spacing w:line="248" w:lineRule="auto"/>
              <w:rPr>
                <w:rFonts w:ascii="Arial"/>
                <w:sz w:val="21"/>
              </w:rPr>
            </w:pPr>
          </w:p>
          <w:p w14:paraId="03428FAA">
            <w:pPr>
              <w:pStyle w:val="7"/>
              <w:spacing w:before="78" w:line="218" w:lineRule="auto"/>
              <w:ind w:left="522"/>
            </w:pPr>
            <w:r>
              <w:rPr>
                <w:spacing w:val="-17"/>
              </w:rPr>
              <w:t>指挥员职责</w:t>
            </w:r>
          </w:p>
        </w:tc>
        <w:tc>
          <w:tcPr>
            <w:tcW w:w="5978" w:type="dxa"/>
            <w:gridSpan w:val="3"/>
            <w:tcBorders>
              <w:right w:val="single" w:color="000000" w:sz="4" w:space="0"/>
            </w:tcBorders>
            <w:vAlign w:val="top"/>
          </w:tcPr>
          <w:p w14:paraId="4850C08A">
            <w:pPr>
              <w:pStyle w:val="7"/>
              <w:spacing w:before="124" w:line="220" w:lineRule="auto"/>
              <w:ind w:left="1225"/>
            </w:pPr>
            <w:r>
              <w:rPr>
                <w:spacing w:val="-22"/>
              </w:rPr>
              <w:t>(1)负责应急救援人员的分工与调配。</w:t>
            </w:r>
          </w:p>
          <w:p w14:paraId="642382A1">
            <w:pPr>
              <w:pStyle w:val="7"/>
              <w:spacing w:before="182" w:line="218" w:lineRule="auto"/>
              <w:ind w:left="1336"/>
            </w:pPr>
            <w:r>
              <w:rPr>
                <w:spacing w:val="-21"/>
              </w:rPr>
              <w:t>(2)调查发病原因、落实发病人数。</w:t>
            </w:r>
          </w:p>
          <w:p w14:paraId="0FD827BC">
            <w:pPr>
              <w:pStyle w:val="7"/>
              <w:spacing w:before="181" w:line="217" w:lineRule="auto"/>
              <w:ind w:left="572"/>
            </w:pPr>
            <w:r>
              <w:rPr>
                <w:spacing w:val="-21"/>
              </w:rPr>
              <w:t>(3)根据传染病的发病情况，向公司领导报告疫情。</w:t>
            </w:r>
          </w:p>
          <w:p w14:paraId="5ABE8243">
            <w:pPr>
              <w:pStyle w:val="7"/>
              <w:spacing w:before="186" w:line="215" w:lineRule="auto"/>
              <w:ind w:left="1117"/>
            </w:pPr>
            <w:r>
              <w:rPr>
                <w:spacing w:val="-21"/>
              </w:rPr>
              <w:t>(4)向所在地区卫生防疫部门报告疫情。</w:t>
            </w:r>
          </w:p>
        </w:tc>
      </w:tr>
      <w:tr w14:paraId="644504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58" w:hRule="atLeast"/>
        </w:trPr>
        <w:tc>
          <w:tcPr>
            <w:tcW w:w="1077" w:type="dxa"/>
            <w:gridSpan w:val="2"/>
            <w:tcBorders>
              <w:left w:val="single" w:color="000000" w:sz="4" w:space="0"/>
            </w:tcBorders>
            <w:vAlign w:val="top"/>
          </w:tcPr>
          <w:p w14:paraId="3B06C062">
            <w:pPr>
              <w:spacing w:line="268" w:lineRule="auto"/>
              <w:rPr>
                <w:rFonts w:ascii="Arial"/>
                <w:sz w:val="21"/>
              </w:rPr>
            </w:pPr>
          </w:p>
          <w:p w14:paraId="3174F6C5">
            <w:pPr>
              <w:pStyle w:val="7"/>
              <w:spacing w:before="78" w:line="238" w:lineRule="auto"/>
              <w:ind w:left="493"/>
            </w:pPr>
            <w:r>
              <w:t>2</w:t>
            </w:r>
          </w:p>
        </w:tc>
        <w:tc>
          <w:tcPr>
            <w:tcW w:w="2121" w:type="dxa"/>
            <w:vAlign w:val="top"/>
          </w:tcPr>
          <w:p w14:paraId="4334B5A0">
            <w:pPr>
              <w:spacing w:line="268" w:lineRule="auto"/>
              <w:rPr>
                <w:rFonts w:ascii="Arial"/>
                <w:sz w:val="21"/>
              </w:rPr>
            </w:pPr>
          </w:p>
          <w:p w14:paraId="4B8BAFC7">
            <w:pPr>
              <w:pStyle w:val="7"/>
              <w:spacing w:before="78" w:line="217" w:lineRule="auto"/>
              <w:ind w:left="519"/>
            </w:pPr>
            <w:r>
              <w:rPr>
                <w:spacing w:val="-17"/>
              </w:rPr>
              <w:t>联络员职责</w:t>
            </w:r>
          </w:p>
        </w:tc>
        <w:tc>
          <w:tcPr>
            <w:tcW w:w="5978" w:type="dxa"/>
            <w:gridSpan w:val="3"/>
            <w:tcBorders>
              <w:right w:val="single" w:color="000000" w:sz="4" w:space="0"/>
            </w:tcBorders>
            <w:vAlign w:val="top"/>
          </w:tcPr>
          <w:p w14:paraId="5A1342AC">
            <w:pPr>
              <w:pStyle w:val="7"/>
              <w:spacing w:before="115" w:line="217" w:lineRule="auto"/>
              <w:ind w:left="680"/>
            </w:pPr>
            <w:r>
              <w:rPr>
                <w:spacing w:val="-21"/>
              </w:rPr>
              <w:t>(1)负责与各级领导和地区卫生防疫部门的联系。</w:t>
            </w:r>
          </w:p>
          <w:p w14:paraId="59EBC637">
            <w:pPr>
              <w:pStyle w:val="7"/>
              <w:spacing w:before="184" w:line="217" w:lineRule="auto"/>
              <w:ind w:left="1117"/>
            </w:pPr>
            <w:r>
              <w:rPr>
                <w:spacing w:val="-21"/>
              </w:rPr>
              <w:t>(2)保持通讯系统通畅，做好通讯记录。</w:t>
            </w:r>
          </w:p>
        </w:tc>
      </w:tr>
      <w:tr w14:paraId="7417D5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1098" w:hRule="atLeast"/>
        </w:trPr>
        <w:tc>
          <w:tcPr>
            <w:tcW w:w="274" w:type="dxa"/>
            <w:tcBorders>
              <w:left w:val="single" w:color="1C456A" w:sz="4" w:space="0"/>
              <w:bottom w:val="single" w:color="1C456A" w:sz="4" w:space="0"/>
              <w:right w:val="nil"/>
            </w:tcBorders>
            <w:vAlign w:val="top"/>
          </w:tcPr>
          <w:p w14:paraId="338D4336">
            <w:pPr>
              <w:rPr>
                <w:rFonts w:ascii="Arial"/>
                <w:sz w:val="21"/>
              </w:rPr>
            </w:pPr>
            <w:r>
              <w:pict>
                <v:shape id="_x0000_s3213" o:spid="_x0000_s3213" style="position:absolute;left:0pt;margin-left:-0.25pt;margin-top:54.95pt;height:0.75pt;width:2.2pt;mso-position-horizontal-relative:page;mso-position-vertical-relative:page;z-index:251928576;mso-width-relative:page;mso-height-relative:page;" fillcolor="#5B9BD5" filled="t" stroked="f" coordsize="44,15" path="m0,14l43,14,43,0,0,0,0,14xe">
                  <v:path/>
                  <v:fill on="t" focussize="0,0"/>
                  <v:stroke on="f"/>
                  <v:imagedata o:title=""/>
                  <o:lock v:ext="edit"/>
                </v:shape>
              </w:pict>
            </w:r>
          </w:p>
        </w:tc>
        <w:tc>
          <w:tcPr>
            <w:tcW w:w="803" w:type="dxa"/>
            <w:tcBorders>
              <w:left w:val="nil"/>
              <w:bottom w:val="single" w:color="1C456A" w:sz="4" w:space="0"/>
            </w:tcBorders>
            <w:vAlign w:val="top"/>
          </w:tcPr>
          <w:p w14:paraId="317587FE">
            <w:pPr>
              <w:spacing w:line="263" w:lineRule="auto"/>
              <w:rPr>
                <w:rFonts w:ascii="Arial"/>
                <w:sz w:val="21"/>
              </w:rPr>
            </w:pPr>
          </w:p>
          <w:p w14:paraId="47D2A923">
            <w:pPr>
              <w:pStyle w:val="7"/>
              <w:spacing w:before="78" w:line="237" w:lineRule="auto"/>
              <w:ind w:left="226"/>
            </w:pPr>
            <w:r>
              <w:t>3</w:t>
            </w:r>
          </w:p>
        </w:tc>
        <w:tc>
          <w:tcPr>
            <w:tcW w:w="2121" w:type="dxa"/>
            <w:tcBorders>
              <w:bottom w:val="single" w:color="000000" w:sz="4" w:space="0"/>
            </w:tcBorders>
            <w:vAlign w:val="top"/>
          </w:tcPr>
          <w:p w14:paraId="3ABA415F">
            <w:pPr>
              <w:spacing w:line="264" w:lineRule="auto"/>
              <w:rPr>
                <w:rFonts w:ascii="Arial"/>
                <w:sz w:val="21"/>
              </w:rPr>
            </w:pPr>
          </w:p>
          <w:p w14:paraId="107F10B2">
            <w:pPr>
              <w:pStyle w:val="7"/>
              <w:spacing w:before="78" w:line="220" w:lineRule="auto"/>
              <w:ind w:left="526"/>
            </w:pPr>
            <w:r>
              <w:rPr>
                <w:spacing w:val="-18"/>
              </w:rPr>
              <w:t>卫生员职责</w:t>
            </w:r>
          </w:p>
        </w:tc>
        <w:tc>
          <w:tcPr>
            <w:tcW w:w="5978" w:type="dxa"/>
            <w:gridSpan w:val="3"/>
            <w:tcBorders>
              <w:bottom w:val="single" w:color="5B9BD5" w:sz="4" w:space="0"/>
              <w:right w:val="single" w:color="5B9BD5" w:sz="4" w:space="0"/>
            </w:tcBorders>
            <w:vAlign w:val="top"/>
          </w:tcPr>
          <w:p w14:paraId="2916EC15">
            <w:pPr>
              <w:pStyle w:val="7"/>
              <w:spacing w:before="109" w:line="217" w:lineRule="auto"/>
              <w:ind w:left="1662"/>
            </w:pPr>
            <w:r>
              <w:pict>
                <v:shape id="_x0000_s3214" o:spid="_x0000_s3214" style="position:absolute;left:0pt;margin-left:297.05pt;margin-top:54.95pt;height:0.75pt;width:2.2pt;mso-position-horizontal-relative:page;mso-position-vertical-relative:page;z-index:251927552;mso-width-relative:page;mso-height-relative:page;" fillcolor="#5B9BD5" filled="t" stroked="f" coordsize="44,15" path="m0,14l43,14,43,0,0,0,0,14xe">
                  <v:path/>
                  <v:fill on="t" focussize="0,0"/>
                  <v:stroke on="f"/>
                  <v:imagedata o:title=""/>
                  <o:lock v:ext="edit"/>
                </v:shape>
              </w:pict>
            </w:r>
            <w:r>
              <w:rPr>
                <w:spacing w:val="-22"/>
              </w:rPr>
              <w:t>(1)负责污染物的卫生消毒。</w:t>
            </w:r>
          </w:p>
          <w:p w14:paraId="740A3CEA">
            <w:pPr>
              <w:pStyle w:val="7"/>
              <w:spacing w:before="184" w:line="218" w:lineRule="auto"/>
              <w:ind w:left="1770"/>
            </w:pPr>
            <w:r>
              <w:rPr>
                <w:spacing w:val="-20"/>
              </w:rPr>
              <w:t>(2)落实病人的隔离措施。</w:t>
            </w:r>
          </w:p>
        </w:tc>
      </w:tr>
    </w:tbl>
    <w:p w14:paraId="06144A8E">
      <w:pPr>
        <w:pStyle w:val="2"/>
        <w:spacing w:before="115" w:line="218" w:lineRule="auto"/>
        <w:ind w:left="1888"/>
        <w:rPr>
          <w:sz w:val="24"/>
          <w:szCs w:val="24"/>
        </w:rPr>
      </w:pPr>
      <w:r>
        <w:rPr>
          <w:spacing w:val="-18"/>
          <w:sz w:val="24"/>
          <w:szCs w:val="24"/>
        </w:rPr>
        <w:t>2.2.9、不可抗力自然灾害或其它情况</w:t>
      </w:r>
    </w:p>
    <w:p w14:paraId="473CB4B0">
      <w:pPr>
        <w:pStyle w:val="2"/>
        <w:spacing w:before="117" w:line="218" w:lineRule="auto"/>
        <w:ind w:left="1893"/>
        <w:rPr>
          <w:sz w:val="24"/>
          <w:szCs w:val="24"/>
        </w:rPr>
      </w:pPr>
      <w:r>
        <w:rPr>
          <w:spacing w:val="-19"/>
          <w:sz w:val="24"/>
          <w:szCs w:val="24"/>
        </w:rPr>
        <w:t>（一）指挥长职责：</w:t>
      </w:r>
    </w:p>
    <w:p w14:paraId="371F454F">
      <w:pPr>
        <w:pStyle w:val="2"/>
        <w:spacing w:before="115" w:line="216" w:lineRule="auto"/>
        <w:ind w:left="1899"/>
        <w:rPr>
          <w:sz w:val="24"/>
          <w:szCs w:val="24"/>
        </w:rPr>
      </w:pPr>
      <w:r>
        <w:rPr>
          <w:spacing w:val="-21"/>
          <w:sz w:val="24"/>
          <w:szCs w:val="24"/>
        </w:rPr>
        <w:t>负责下达发出警报、抢修令，召集抢修队，</w:t>
      </w:r>
      <w:r>
        <w:rPr>
          <w:spacing w:val="-22"/>
          <w:sz w:val="24"/>
          <w:szCs w:val="24"/>
        </w:rPr>
        <w:t>动员全体人员进行抢救、抢险工作。</w:t>
      </w:r>
    </w:p>
    <w:p w14:paraId="0B369F92">
      <w:pPr>
        <w:pStyle w:val="2"/>
        <w:spacing w:before="120" w:line="218" w:lineRule="auto"/>
        <w:ind w:left="1893"/>
        <w:rPr>
          <w:sz w:val="24"/>
          <w:szCs w:val="24"/>
        </w:rPr>
      </w:pPr>
      <w:r>
        <w:rPr>
          <w:spacing w:val="-22"/>
          <w:sz w:val="24"/>
          <w:szCs w:val="24"/>
        </w:rPr>
        <w:t>（二）副指挥长职责：</w:t>
      </w:r>
    </w:p>
    <w:p w14:paraId="7207F58B">
      <w:pPr>
        <w:pStyle w:val="2"/>
        <w:spacing w:before="118" w:line="218" w:lineRule="auto"/>
        <w:ind w:left="1899"/>
        <w:rPr>
          <w:sz w:val="24"/>
          <w:szCs w:val="24"/>
        </w:rPr>
      </w:pPr>
      <w:r>
        <w:rPr>
          <w:spacing w:val="-19"/>
          <w:sz w:val="24"/>
          <w:szCs w:val="24"/>
        </w:rPr>
        <w:t>负责协助指挥长掌握灾情情况，密切关注灾害的发展趋势，提供抢修方案，提出建议</w:t>
      </w:r>
      <w:r>
        <w:rPr>
          <w:spacing w:val="-20"/>
          <w:sz w:val="24"/>
          <w:szCs w:val="24"/>
        </w:rPr>
        <w:t>，受</w:t>
      </w:r>
    </w:p>
    <w:p w14:paraId="7C910023">
      <w:pPr>
        <w:spacing w:line="218" w:lineRule="auto"/>
        <w:rPr>
          <w:sz w:val="24"/>
          <w:szCs w:val="24"/>
        </w:rPr>
        <w:sectPr>
          <w:footerReference r:id="rId154" w:type="default"/>
          <w:pgSz w:w="11907" w:h="16839"/>
          <w:pgMar w:top="954" w:right="4" w:bottom="1038" w:left="0" w:header="499" w:footer="357" w:gutter="0"/>
          <w:pgBorders>
            <w:top w:val="none" w:sz="0" w:space="0"/>
            <w:left w:val="none" w:sz="0" w:space="0"/>
            <w:bottom w:val="none" w:sz="0" w:space="0"/>
            <w:right w:val="none" w:sz="0" w:space="0"/>
          </w:pgBorders>
          <w:cols w:space="720" w:num="1"/>
        </w:sectPr>
      </w:pPr>
    </w:p>
    <w:p w14:paraId="5CE1410F">
      <w:pPr>
        <w:spacing w:line="250" w:lineRule="auto"/>
        <w:rPr>
          <w:rFonts w:ascii="Arial"/>
          <w:sz w:val="21"/>
        </w:rPr>
      </w:pPr>
    </w:p>
    <w:p w14:paraId="221FD49D">
      <w:pPr>
        <w:pStyle w:val="2"/>
        <w:spacing w:before="78" w:line="218" w:lineRule="auto"/>
        <w:ind w:left="1456"/>
        <w:rPr>
          <w:sz w:val="24"/>
          <w:szCs w:val="24"/>
        </w:rPr>
      </w:pPr>
      <w:r>
        <w:rPr>
          <w:spacing w:val="-18"/>
          <w:sz w:val="24"/>
          <w:szCs w:val="24"/>
        </w:rPr>
        <w:t>指挥长指挥。</w:t>
      </w:r>
    </w:p>
    <w:p w14:paraId="13C609A4">
      <w:pPr>
        <w:pStyle w:val="2"/>
        <w:spacing w:before="117" w:line="218" w:lineRule="auto"/>
        <w:ind w:left="1893"/>
        <w:rPr>
          <w:sz w:val="24"/>
          <w:szCs w:val="24"/>
        </w:rPr>
      </w:pPr>
      <w:r>
        <w:rPr>
          <w:spacing w:val="-20"/>
          <w:sz w:val="24"/>
          <w:szCs w:val="24"/>
        </w:rPr>
        <w:t>（三）工程抢修组职责：</w:t>
      </w:r>
    </w:p>
    <w:p w14:paraId="62C1089B">
      <w:pPr>
        <w:pStyle w:val="2"/>
        <w:spacing w:before="115" w:line="308" w:lineRule="auto"/>
        <w:ind w:left="1463" w:right="1409" w:firstLine="430"/>
        <w:rPr>
          <w:sz w:val="24"/>
          <w:szCs w:val="24"/>
        </w:rPr>
      </w:pPr>
      <w:r>
        <w:rPr>
          <w:spacing w:val="-20"/>
          <w:sz w:val="24"/>
          <w:szCs w:val="24"/>
        </w:rPr>
        <w:t>组长：负责组织发出警报，人员及重要物资撤离危险区域，对危险区域进行隔离，标出明</w:t>
      </w:r>
      <w:r>
        <w:rPr>
          <w:spacing w:val="-22"/>
          <w:sz w:val="24"/>
          <w:szCs w:val="24"/>
        </w:rPr>
        <w:t>显警示，组织按方案进行抢修，受指挥长指挥。</w:t>
      </w:r>
    </w:p>
    <w:p w14:paraId="09E818E4">
      <w:pPr>
        <w:pStyle w:val="2"/>
        <w:spacing w:line="217" w:lineRule="auto"/>
        <w:ind w:left="1899"/>
        <w:rPr>
          <w:sz w:val="24"/>
          <w:szCs w:val="24"/>
        </w:rPr>
      </w:pPr>
      <w:r>
        <w:rPr>
          <w:spacing w:val="-21"/>
          <w:sz w:val="24"/>
          <w:szCs w:val="24"/>
        </w:rPr>
        <w:t>副组长：制定抢修技术方案，受本组组长指挥。</w:t>
      </w:r>
    </w:p>
    <w:p w14:paraId="5E9C5D88">
      <w:pPr>
        <w:pStyle w:val="2"/>
        <w:spacing w:before="117" w:line="308" w:lineRule="auto"/>
        <w:ind w:left="1457" w:right="1410" w:firstLine="439"/>
        <w:rPr>
          <w:sz w:val="24"/>
          <w:szCs w:val="24"/>
        </w:rPr>
      </w:pPr>
      <w:r>
        <w:rPr>
          <w:spacing w:val="-20"/>
          <w:sz w:val="24"/>
          <w:szCs w:val="24"/>
        </w:rPr>
        <w:t>成员：负责发出警报，人员及重要物资撤离危险区域，对危险区域进行隔离，标出明显警</w:t>
      </w:r>
      <w:r>
        <w:rPr>
          <w:spacing w:val="-21"/>
          <w:sz w:val="24"/>
          <w:szCs w:val="24"/>
        </w:rPr>
        <w:t>示，按方案进行抢修，受本组组长指挥。</w:t>
      </w:r>
    </w:p>
    <w:p w14:paraId="3251045B">
      <w:pPr>
        <w:pStyle w:val="2"/>
        <w:spacing w:line="218" w:lineRule="auto"/>
        <w:ind w:left="1893"/>
        <w:rPr>
          <w:sz w:val="24"/>
          <w:szCs w:val="24"/>
        </w:rPr>
      </w:pPr>
      <w:r>
        <w:rPr>
          <w:spacing w:val="-19"/>
          <w:sz w:val="24"/>
          <w:szCs w:val="24"/>
        </w:rPr>
        <w:t>（四）救护组职责：</w:t>
      </w:r>
    </w:p>
    <w:p w14:paraId="6DB289B7">
      <w:pPr>
        <w:pStyle w:val="2"/>
        <w:spacing w:before="115" w:line="218" w:lineRule="auto"/>
        <w:ind w:left="1894"/>
        <w:rPr>
          <w:sz w:val="24"/>
          <w:szCs w:val="24"/>
        </w:rPr>
      </w:pPr>
      <w:r>
        <w:rPr>
          <w:spacing w:val="-21"/>
          <w:sz w:val="24"/>
          <w:szCs w:val="24"/>
        </w:rPr>
        <w:t>组长：负责组织对受伤人员的救护，受副指挥长指挥。</w:t>
      </w:r>
    </w:p>
    <w:p w14:paraId="793E603E">
      <w:pPr>
        <w:pStyle w:val="2"/>
        <w:spacing w:before="117" w:line="218" w:lineRule="auto"/>
        <w:ind w:left="1896"/>
        <w:rPr>
          <w:sz w:val="24"/>
          <w:szCs w:val="24"/>
        </w:rPr>
      </w:pPr>
      <w:r>
        <w:rPr>
          <w:spacing w:val="-21"/>
          <w:sz w:val="24"/>
          <w:szCs w:val="24"/>
        </w:rPr>
        <w:t>成员：负责对受伤人员的救护，受本组组长指挥。</w:t>
      </w:r>
    </w:p>
    <w:p w14:paraId="56FC3908">
      <w:pPr>
        <w:pStyle w:val="2"/>
        <w:spacing w:before="118" w:line="217" w:lineRule="auto"/>
        <w:ind w:left="1893"/>
        <w:rPr>
          <w:sz w:val="24"/>
          <w:szCs w:val="24"/>
        </w:rPr>
      </w:pPr>
      <w:r>
        <w:rPr>
          <w:spacing w:val="-19"/>
          <w:sz w:val="24"/>
          <w:szCs w:val="24"/>
        </w:rPr>
        <w:t>（五）物资组职责：</w:t>
      </w:r>
    </w:p>
    <w:p w14:paraId="55012EA7">
      <w:pPr>
        <w:pStyle w:val="2"/>
        <w:spacing w:before="116" w:line="216" w:lineRule="auto"/>
        <w:ind w:left="1894"/>
        <w:rPr>
          <w:sz w:val="24"/>
          <w:szCs w:val="24"/>
        </w:rPr>
      </w:pPr>
      <w:r>
        <w:rPr>
          <w:spacing w:val="-21"/>
          <w:sz w:val="24"/>
          <w:szCs w:val="24"/>
        </w:rPr>
        <w:t>组长：负责组织抢修机具、材料的调配，受指挥长指挥。</w:t>
      </w:r>
    </w:p>
    <w:p w14:paraId="5715FF37">
      <w:pPr>
        <w:pStyle w:val="2"/>
        <w:spacing w:before="120" w:line="216" w:lineRule="auto"/>
        <w:ind w:left="1896"/>
        <w:rPr>
          <w:sz w:val="24"/>
          <w:szCs w:val="24"/>
        </w:rPr>
      </w:pPr>
      <w:r>
        <w:rPr>
          <w:spacing w:val="-21"/>
          <w:sz w:val="24"/>
          <w:szCs w:val="24"/>
        </w:rPr>
        <w:t>成员：负责抢修机具、材料的调配，按本组组长指挥。</w:t>
      </w:r>
    </w:p>
    <w:p w14:paraId="3CBA5C81">
      <w:pPr>
        <w:pStyle w:val="2"/>
        <w:spacing w:before="121" w:line="218" w:lineRule="auto"/>
        <w:ind w:left="1893"/>
        <w:rPr>
          <w:sz w:val="24"/>
          <w:szCs w:val="24"/>
        </w:rPr>
      </w:pPr>
      <w:r>
        <w:rPr>
          <w:spacing w:val="-19"/>
          <w:sz w:val="24"/>
          <w:szCs w:val="24"/>
        </w:rPr>
        <w:t>（六）外协组职责：</w:t>
      </w:r>
    </w:p>
    <w:p w14:paraId="5883E2FC">
      <w:pPr>
        <w:pStyle w:val="2"/>
        <w:spacing w:before="114" w:line="216" w:lineRule="auto"/>
        <w:ind w:left="1894"/>
        <w:rPr>
          <w:sz w:val="24"/>
          <w:szCs w:val="24"/>
        </w:rPr>
      </w:pPr>
      <w:r>
        <w:rPr>
          <w:spacing w:val="-21"/>
          <w:sz w:val="24"/>
          <w:szCs w:val="24"/>
        </w:rPr>
        <w:t>组长：负责组织联系社会的援助，协调外援的抢险工作，</w:t>
      </w:r>
      <w:r>
        <w:rPr>
          <w:spacing w:val="-22"/>
          <w:sz w:val="24"/>
          <w:szCs w:val="24"/>
        </w:rPr>
        <w:t>受副指挥长指挥。</w:t>
      </w:r>
    </w:p>
    <w:p w14:paraId="579DD7CB">
      <w:pPr>
        <w:pStyle w:val="2"/>
        <w:spacing w:before="120" w:line="216" w:lineRule="auto"/>
        <w:ind w:left="1896"/>
        <w:rPr>
          <w:sz w:val="24"/>
          <w:szCs w:val="24"/>
        </w:rPr>
      </w:pPr>
      <w:r>
        <w:rPr>
          <w:spacing w:val="-22"/>
          <w:sz w:val="24"/>
          <w:szCs w:val="24"/>
        </w:rPr>
        <w:t>成员：负责联系社会的援助，协调外援的协调工作，受本组组长指</w:t>
      </w:r>
      <w:r>
        <w:rPr>
          <w:spacing w:val="-23"/>
          <w:sz w:val="24"/>
          <w:szCs w:val="24"/>
        </w:rPr>
        <w:t>挥。</w:t>
      </w:r>
    </w:p>
    <w:p w14:paraId="05FBEC26">
      <w:pPr>
        <w:pStyle w:val="2"/>
        <w:spacing w:before="85" w:line="219" w:lineRule="auto"/>
        <w:ind w:left="1985"/>
        <w:outlineLvl w:val="2"/>
        <w:rPr>
          <w:sz w:val="28"/>
          <w:szCs w:val="28"/>
        </w:rPr>
      </w:pPr>
      <w:bookmarkStart w:id="103" w:name="bookmark100"/>
      <w:bookmarkEnd w:id="103"/>
      <w:r>
        <w:rPr>
          <w:b/>
          <w:bCs/>
          <w:spacing w:val="-23"/>
          <w:sz w:val="28"/>
          <w:szCs w:val="28"/>
        </w:rPr>
        <w:t>三、事故事件和紧急情况响应措施</w:t>
      </w:r>
    </w:p>
    <w:p w14:paraId="40207104">
      <w:pPr>
        <w:pStyle w:val="2"/>
        <w:spacing w:before="102" w:line="218" w:lineRule="auto"/>
        <w:ind w:left="1890"/>
        <w:rPr>
          <w:sz w:val="24"/>
          <w:szCs w:val="24"/>
        </w:rPr>
      </w:pPr>
      <w:r>
        <w:rPr>
          <w:spacing w:val="-16"/>
          <w:sz w:val="24"/>
          <w:szCs w:val="24"/>
        </w:rPr>
        <w:t>3.1、火灾、爆炸</w:t>
      </w:r>
    </w:p>
    <w:p w14:paraId="50B9ABA8">
      <w:pPr>
        <w:spacing w:line="24" w:lineRule="auto"/>
        <w:rPr>
          <w:rFonts w:ascii="Arial"/>
          <w:sz w:val="2"/>
        </w:rPr>
      </w:pPr>
    </w:p>
    <w:tbl>
      <w:tblPr>
        <w:tblStyle w:val="6"/>
        <w:tblW w:w="9176" w:type="dxa"/>
        <w:tblInd w:w="1366"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76"/>
        <w:gridCol w:w="1730"/>
        <w:gridCol w:w="6970"/>
      </w:tblGrid>
      <w:tr w14:paraId="20DF29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1" w:hRule="atLeast"/>
        </w:trPr>
        <w:tc>
          <w:tcPr>
            <w:tcW w:w="476" w:type="dxa"/>
            <w:tcBorders>
              <w:top w:val="single" w:color="000000" w:sz="4" w:space="0"/>
              <w:left w:val="single" w:color="000000" w:sz="4" w:space="0"/>
              <w:right w:val="nil"/>
            </w:tcBorders>
            <w:shd w:val="clear" w:color="auto" w:fill="DEEAF6"/>
            <w:vAlign w:val="top"/>
          </w:tcPr>
          <w:p w14:paraId="47B99AC8">
            <w:pPr>
              <w:rPr>
                <w:rFonts w:ascii="Arial"/>
                <w:sz w:val="21"/>
              </w:rPr>
            </w:pPr>
            <w:r>
              <w:pict>
                <v:shape id="_x0000_s3215" o:spid="_x0000_s3215" style="position:absolute;left:0pt;margin-left:-0.25pt;margin-top:0pt;height:0.75pt;width:2.2pt;mso-position-horizontal-relative:page;mso-position-vertical-relative:page;z-index:251939840;mso-width-relative:page;mso-height-relative:page;" fillcolor="#5B9BD5" filled="t" stroked="f" coordsize="44,15" path="m0,14l43,14,43,0,0,0,0,14xe">
                  <v:path/>
                  <v:fill on="t" focussize="0,0"/>
                  <v:stroke on="f"/>
                  <v:imagedata o:title=""/>
                  <o:lock v:ext="edit"/>
                </v:shape>
              </w:pict>
            </w:r>
          </w:p>
        </w:tc>
        <w:tc>
          <w:tcPr>
            <w:tcW w:w="1730" w:type="dxa"/>
            <w:tcBorders>
              <w:top w:val="single" w:color="000000" w:sz="4" w:space="0"/>
              <w:left w:val="nil"/>
            </w:tcBorders>
            <w:shd w:val="clear" w:color="auto" w:fill="DEEAF6"/>
            <w:vAlign w:val="top"/>
          </w:tcPr>
          <w:p w14:paraId="2B0012F9">
            <w:pPr>
              <w:pStyle w:val="7"/>
              <w:spacing w:before="129" w:line="218" w:lineRule="auto"/>
              <w:ind w:left="429"/>
            </w:pPr>
            <w:r>
              <w:rPr>
                <w:b/>
                <w:bCs/>
                <w:spacing w:val="-12"/>
              </w:rPr>
              <w:t>序号</w:t>
            </w:r>
          </w:p>
        </w:tc>
        <w:tc>
          <w:tcPr>
            <w:tcW w:w="6970" w:type="dxa"/>
            <w:tcBorders>
              <w:top w:val="single" w:color="5B9BD5" w:sz="4" w:space="0"/>
              <w:right w:val="single" w:color="5B9BD5" w:sz="4" w:space="0"/>
            </w:tcBorders>
            <w:shd w:val="clear" w:color="auto" w:fill="DEEAF6"/>
            <w:vAlign w:val="top"/>
          </w:tcPr>
          <w:p w14:paraId="545656DC">
            <w:pPr>
              <w:pStyle w:val="7"/>
              <w:spacing w:before="129" w:line="219" w:lineRule="auto"/>
              <w:ind w:left="2831"/>
            </w:pPr>
            <w:r>
              <w:rPr>
                <w:b/>
                <w:bCs/>
                <w:spacing w:val="-20"/>
              </w:rPr>
              <w:t>应急响应措施</w:t>
            </w:r>
          </w:p>
        </w:tc>
      </w:tr>
      <w:tr w14:paraId="69C9A3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4" w:hRule="atLeast"/>
        </w:trPr>
        <w:tc>
          <w:tcPr>
            <w:tcW w:w="2206" w:type="dxa"/>
            <w:gridSpan w:val="2"/>
            <w:tcBorders>
              <w:left w:val="single" w:color="000000" w:sz="4" w:space="0"/>
            </w:tcBorders>
            <w:vAlign w:val="top"/>
          </w:tcPr>
          <w:p w14:paraId="5A068EF1">
            <w:pPr>
              <w:pStyle w:val="7"/>
              <w:spacing w:before="94" w:line="238" w:lineRule="auto"/>
              <w:ind w:left="1076"/>
            </w:pPr>
            <w:r>
              <w:t>1</w:t>
            </w:r>
          </w:p>
        </w:tc>
        <w:tc>
          <w:tcPr>
            <w:tcW w:w="6970" w:type="dxa"/>
            <w:tcBorders>
              <w:right w:val="single" w:color="000000" w:sz="4" w:space="0"/>
            </w:tcBorders>
            <w:vAlign w:val="top"/>
          </w:tcPr>
          <w:p w14:paraId="24B4A865">
            <w:pPr>
              <w:pStyle w:val="7"/>
              <w:spacing w:before="93" w:line="217" w:lineRule="auto"/>
              <w:ind w:left="763"/>
            </w:pPr>
            <w:r>
              <w:rPr>
                <w:spacing w:val="-21"/>
              </w:rPr>
              <w:t>各单位防火组织立即奔赴现场，迅速判明起火、爆炸位置</w:t>
            </w:r>
          </w:p>
        </w:tc>
      </w:tr>
      <w:tr w14:paraId="0CA538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51" w:hRule="atLeast"/>
        </w:trPr>
        <w:tc>
          <w:tcPr>
            <w:tcW w:w="2206" w:type="dxa"/>
            <w:gridSpan w:val="2"/>
            <w:tcBorders>
              <w:left w:val="single" w:color="000000" w:sz="4" w:space="0"/>
            </w:tcBorders>
            <w:vAlign w:val="top"/>
          </w:tcPr>
          <w:p w14:paraId="2AE7AAB5">
            <w:pPr>
              <w:spacing w:line="249" w:lineRule="auto"/>
              <w:rPr>
                <w:rFonts w:ascii="Arial"/>
                <w:sz w:val="21"/>
              </w:rPr>
            </w:pPr>
          </w:p>
          <w:p w14:paraId="071AB003">
            <w:pPr>
              <w:pStyle w:val="7"/>
              <w:spacing w:before="78" w:line="238" w:lineRule="auto"/>
              <w:ind w:left="1062"/>
            </w:pPr>
            <w:r>
              <w:t>2</w:t>
            </w:r>
          </w:p>
        </w:tc>
        <w:tc>
          <w:tcPr>
            <w:tcW w:w="6970" w:type="dxa"/>
            <w:tcBorders>
              <w:right w:val="single" w:color="000000" w:sz="4" w:space="0"/>
            </w:tcBorders>
            <w:vAlign w:val="top"/>
          </w:tcPr>
          <w:p w14:paraId="55FEEB0A">
            <w:pPr>
              <w:pStyle w:val="7"/>
              <w:spacing w:before="95" w:line="216" w:lineRule="auto"/>
              <w:ind w:left="107"/>
            </w:pPr>
            <w:r>
              <w:rPr>
                <w:spacing w:val="-21"/>
              </w:rPr>
              <w:t>根据不同的火灾、爆炸性质、燃烧物质、采取正确的灭火方</w:t>
            </w:r>
            <w:r>
              <w:rPr>
                <w:spacing w:val="-22"/>
              </w:rPr>
              <w:t>法，使用正</w:t>
            </w:r>
          </w:p>
          <w:p w14:paraId="6A5C22C6">
            <w:pPr>
              <w:pStyle w:val="7"/>
              <w:spacing w:before="187" w:line="219" w:lineRule="auto"/>
              <w:ind w:left="2505"/>
            </w:pPr>
            <w:r>
              <w:rPr>
                <w:spacing w:val="-19"/>
              </w:rPr>
              <w:t>确的灭火设施和器材</w:t>
            </w:r>
          </w:p>
        </w:tc>
      </w:tr>
      <w:tr w14:paraId="54A8D3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4" w:hRule="atLeast"/>
        </w:trPr>
        <w:tc>
          <w:tcPr>
            <w:tcW w:w="2206" w:type="dxa"/>
            <w:gridSpan w:val="2"/>
            <w:tcBorders>
              <w:left w:val="single" w:color="000000" w:sz="4" w:space="0"/>
            </w:tcBorders>
            <w:vAlign w:val="top"/>
          </w:tcPr>
          <w:p w14:paraId="02A71364">
            <w:pPr>
              <w:pStyle w:val="7"/>
              <w:spacing w:before="97" w:line="237" w:lineRule="auto"/>
              <w:ind w:left="1063"/>
            </w:pPr>
            <w:r>
              <w:t>3</w:t>
            </w:r>
          </w:p>
        </w:tc>
        <w:tc>
          <w:tcPr>
            <w:tcW w:w="6970" w:type="dxa"/>
            <w:tcBorders>
              <w:right w:val="single" w:color="000000" w:sz="4" w:space="0"/>
            </w:tcBorders>
            <w:vAlign w:val="top"/>
          </w:tcPr>
          <w:p w14:paraId="6D744310">
            <w:pPr>
              <w:pStyle w:val="7"/>
              <w:spacing w:before="97" w:line="217" w:lineRule="auto"/>
              <w:ind w:left="2401"/>
            </w:pPr>
            <w:r>
              <w:rPr>
                <w:spacing w:val="-20"/>
              </w:rPr>
              <w:t>结合分工发行各自职责</w:t>
            </w:r>
          </w:p>
        </w:tc>
      </w:tr>
      <w:tr w14:paraId="057103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51" w:hRule="atLeast"/>
        </w:trPr>
        <w:tc>
          <w:tcPr>
            <w:tcW w:w="2206" w:type="dxa"/>
            <w:gridSpan w:val="2"/>
            <w:tcBorders>
              <w:left w:val="single" w:color="000000" w:sz="4" w:space="0"/>
            </w:tcBorders>
            <w:vAlign w:val="top"/>
          </w:tcPr>
          <w:p w14:paraId="59FFF50C">
            <w:pPr>
              <w:spacing w:line="253" w:lineRule="auto"/>
              <w:rPr>
                <w:rFonts w:ascii="Arial"/>
                <w:sz w:val="21"/>
              </w:rPr>
            </w:pPr>
          </w:p>
          <w:p w14:paraId="46782EB0">
            <w:pPr>
              <w:pStyle w:val="7"/>
              <w:spacing w:before="78" w:line="238" w:lineRule="auto"/>
              <w:ind w:left="1058"/>
            </w:pPr>
            <w:r>
              <w:t>4</w:t>
            </w:r>
          </w:p>
        </w:tc>
        <w:tc>
          <w:tcPr>
            <w:tcW w:w="6970" w:type="dxa"/>
            <w:tcBorders>
              <w:right w:val="single" w:color="000000" w:sz="4" w:space="0"/>
            </w:tcBorders>
            <w:vAlign w:val="top"/>
          </w:tcPr>
          <w:p w14:paraId="2E0792F6">
            <w:pPr>
              <w:pStyle w:val="7"/>
              <w:spacing w:before="98" w:line="217" w:lineRule="auto"/>
              <w:ind w:left="111"/>
            </w:pPr>
            <w:r>
              <w:rPr>
                <w:spacing w:val="-21"/>
              </w:rPr>
              <w:t>公安消防队伍到达火场后，参加灭火的单位和个人</w:t>
            </w:r>
            <w:r>
              <w:rPr>
                <w:spacing w:val="-22"/>
              </w:rPr>
              <w:t>必须服从公安消防机</w:t>
            </w:r>
          </w:p>
          <w:p w14:paraId="1250AD9F">
            <w:pPr>
              <w:pStyle w:val="7"/>
              <w:spacing w:before="185" w:line="217" w:lineRule="auto"/>
              <w:ind w:left="1087"/>
            </w:pPr>
            <w:r>
              <w:rPr>
                <w:spacing w:val="-21"/>
              </w:rPr>
              <w:t>构总指挥员统一调动，执行火场总指挥的灭火命令</w:t>
            </w:r>
          </w:p>
        </w:tc>
      </w:tr>
      <w:tr w14:paraId="33F739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0" w:hRule="atLeast"/>
        </w:trPr>
        <w:tc>
          <w:tcPr>
            <w:tcW w:w="476" w:type="dxa"/>
            <w:tcBorders>
              <w:left w:val="single" w:color="1C456A" w:sz="4" w:space="0"/>
              <w:bottom w:val="single" w:color="1C456A" w:sz="4" w:space="0"/>
              <w:right w:val="nil"/>
            </w:tcBorders>
            <w:vAlign w:val="top"/>
          </w:tcPr>
          <w:p w14:paraId="632E6C13">
            <w:pPr>
              <w:rPr>
                <w:rFonts w:ascii="Arial"/>
                <w:sz w:val="21"/>
              </w:rPr>
            </w:pPr>
            <w:r>
              <w:pict>
                <v:shape id="_x0000_s3216" o:spid="_x0000_s3216" style="position:absolute;left:0pt;margin-left:-0.25pt;margin-top:54.55pt;height:0.75pt;width:2.2pt;mso-position-horizontal-relative:page;mso-position-vertical-relative:page;z-index:251938816;mso-width-relative:page;mso-height-relative:page;" fillcolor="#5B9BD5" filled="t" stroked="f" coordsize="44,15" path="m0,14l43,14,43,0,0,0,0,14xe">
                  <v:path/>
                  <v:fill on="t" focussize="0,0"/>
                  <v:stroke on="f"/>
                  <v:imagedata o:title=""/>
                  <o:lock v:ext="edit"/>
                </v:shape>
              </w:pict>
            </w:r>
          </w:p>
        </w:tc>
        <w:tc>
          <w:tcPr>
            <w:tcW w:w="1730" w:type="dxa"/>
            <w:tcBorders>
              <w:left w:val="nil"/>
              <w:bottom w:val="single" w:color="1C456A" w:sz="4" w:space="0"/>
            </w:tcBorders>
            <w:vAlign w:val="top"/>
          </w:tcPr>
          <w:p w14:paraId="0F6713F0">
            <w:pPr>
              <w:spacing w:line="255" w:lineRule="auto"/>
              <w:rPr>
                <w:rFonts w:ascii="Arial"/>
                <w:sz w:val="21"/>
              </w:rPr>
            </w:pPr>
          </w:p>
          <w:p w14:paraId="28984F3A">
            <w:pPr>
              <w:pStyle w:val="7"/>
              <w:spacing w:before="78" w:line="237" w:lineRule="auto"/>
              <w:ind w:left="592"/>
            </w:pPr>
            <w:r>
              <w:t>5</w:t>
            </w:r>
          </w:p>
        </w:tc>
        <w:tc>
          <w:tcPr>
            <w:tcW w:w="6970" w:type="dxa"/>
            <w:tcBorders>
              <w:bottom w:val="single" w:color="5B9BD5" w:sz="4" w:space="0"/>
              <w:right w:val="single" w:color="5B9BD5" w:sz="4" w:space="0"/>
            </w:tcBorders>
            <w:vAlign w:val="top"/>
          </w:tcPr>
          <w:p w14:paraId="390F1E63">
            <w:pPr>
              <w:pStyle w:val="7"/>
              <w:spacing w:before="102" w:line="359" w:lineRule="auto"/>
              <w:ind w:left="325" w:right="91" w:hanging="218"/>
            </w:pPr>
            <w:r>
              <w:pict>
                <v:shape id="_x0000_s3217" o:spid="_x0000_s3217" style="position:absolute;left:0pt;margin-left:346.65pt;margin-top:54.55pt;height:0.75pt;width:2.2pt;mso-position-horizontal-relative:page;mso-position-vertical-relative:page;z-index:251937792;mso-width-relative:page;mso-height-relative:page;" fillcolor="#5B9BD5" filled="t" stroked="f" coordsize="44,15" path="m0,14l43,14,43,0,0,0,0,14xe">
                  <v:path/>
                  <v:fill on="t" focussize="0,0"/>
                  <v:stroke on="f"/>
                  <v:imagedata o:title=""/>
                  <o:lock v:ext="edit"/>
                </v:shape>
              </w:pict>
            </w:r>
            <w:r>
              <w:rPr>
                <w:spacing w:val="-22"/>
              </w:rPr>
              <w:t>灭火工作完毕后，保护好火灾、爆炸现场，单位防火组织协助公安消防</w:t>
            </w:r>
            <w:r>
              <w:rPr>
                <w:spacing w:val="-21"/>
              </w:rPr>
              <w:t>部门调查事故原因，核实火灾损失，查明事故责任，处理</w:t>
            </w:r>
            <w:r>
              <w:rPr>
                <w:spacing w:val="-22"/>
              </w:rPr>
              <w:t>善后事宜</w:t>
            </w:r>
          </w:p>
        </w:tc>
      </w:tr>
    </w:tbl>
    <w:p w14:paraId="678C850D">
      <w:pPr>
        <w:pStyle w:val="2"/>
        <w:spacing w:before="114" w:line="217" w:lineRule="auto"/>
        <w:ind w:left="1890"/>
        <w:rPr>
          <w:sz w:val="24"/>
          <w:szCs w:val="24"/>
        </w:rPr>
      </w:pPr>
      <w:r>
        <w:rPr>
          <w:spacing w:val="-14"/>
          <w:sz w:val="24"/>
          <w:szCs w:val="24"/>
        </w:rPr>
        <w:t>3.2、机械事故</w:t>
      </w:r>
    </w:p>
    <w:p w14:paraId="5764184F">
      <w:pPr>
        <w:spacing w:line="49" w:lineRule="auto"/>
        <w:rPr>
          <w:rFonts w:ascii="Arial"/>
          <w:sz w:val="2"/>
        </w:rPr>
      </w:pPr>
    </w:p>
    <w:tbl>
      <w:tblPr>
        <w:tblStyle w:val="6"/>
        <w:tblW w:w="9176" w:type="dxa"/>
        <w:tblInd w:w="1366"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77"/>
        <w:gridCol w:w="1737"/>
        <w:gridCol w:w="6962"/>
      </w:tblGrid>
      <w:tr w14:paraId="5B3AB5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9" w:hRule="atLeast"/>
        </w:trPr>
        <w:tc>
          <w:tcPr>
            <w:tcW w:w="477" w:type="dxa"/>
            <w:tcBorders>
              <w:top w:val="single" w:color="000000" w:sz="4" w:space="0"/>
              <w:left w:val="single" w:color="000000" w:sz="4" w:space="0"/>
              <w:right w:val="nil"/>
            </w:tcBorders>
            <w:shd w:val="clear" w:color="auto" w:fill="DEEAF6"/>
            <w:vAlign w:val="top"/>
          </w:tcPr>
          <w:p w14:paraId="0461FE53">
            <w:pPr>
              <w:rPr>
                <w:rFonts w:ascii="Arial"/>
                <w:sz w:val="21"/>
              </w:rPr>
            </w:pPr>
            <w:r>
              <w:pict>
                <v:shape id="_x0000_s3218" o:spid="_x0000_s3218" style="position:absolute;left:0pt;margin-left:-0.25pt;margin-top:0pt;height:0.75pt;width:2.2pt;mso-position-horizontal-relative:page;mso-position-vertical-relative:page;z-index:251936768;mso-width-relative:page;mso-height-relative:page;" fillcolor="#5B9BD5" filled="t" stroked="f" coordsize="44,15" path="m0,14l43,14,43,0,0,0,0,14xe">
                  <v:path/>
                  <v:fill on="t" focussize="0,0"/>
                  <v:stroke on="f"/>
                  <v:imagedata o:title=""/>
                  <o:lock v:ext="edit"/>
                </v:shape>
              </w:pict>
            </w:r>
          </w:p>
        </w:tc>
        <w:tc>
          <w:tcPr>
            <w:tcW w:w="1737" w:type="dxa"/>
            <w:tcBorders>
              <w:top w:val="single" w:color="000000" w:sz="4" w:space="0"/>
              <w:left w:val="nil"/>
            </w:tcBorders>
            <w:shd w:val="clear" w:color="auto" w:fill="DEEAF6"/>
            <w:vAlign w:val="top"/>
          </w:tcPr>
          <w:p w14:paraId="519B82F8">
            <w:pPr>
              <w:pStyle w:val="7"/>
              <w:spacing w:before="129" w:line="218" w:lineRule="auto"/>
              <w:ind w:left="428"/>
            </w:pPr>
            <w:r>
              <w:rPr>
                <w:b/>
                <w:bCs/>
                <w:spacing w:val="-12"/>
              </w:rPr>
              <w:t>序号</w:t>
            </w:r>
          </w:p>
        </w:tc>
        <w:tc>
          <w:tcPr>
            <w:tcW w:w="6962" w:type="dxa"/>
            <w:tcBorders>
              <w:top w:val="single" w:color="5B9BD5" w:sz="4" w:space="0"/>
              <w:right w:val="single" w:color="5B9BD5" w:sz="4" w:space="0"/>
            </w:tcBorders>
            <w:shd w:val="clear" w:color="auto" w:fill="DEEAF6"/>
            <w:vAlign w:val="top"/>
          </w:tcPr>
          <w:p w14:paraId="2C125DD3">
            <w:pPr>
              <w:spacing w:before="33" w:line="60" w:lineRule="exact"/>
              <w:ind w:firstLine="22"/>
            </w:pPr>
            <w:r>
              <w:pict>
                <v:shape id="_x0000_s3219" o:spid="_x0000_s3219" style="position:absolute;left:0pt;margin-left:346.25pt;margin-top:0pt;height:0.75pt;width:2.2pt;mso-position-horizontal-relative:page;mso-position-vertical-relative:page;z-index:251935744;mso-width-relative:page;mso-height-relative:page;" fillcolor="#5B9BD5" filled="t" stroked="f" coordsize="44,15" path="m0,14l43,14,43,0,0,0,0,14xe">
                  <v:path/>
                  <v:fill on="t" focussize="0,0"/>
                  <v:stroke on="f"/>
                  <v:imagedata o:title=""/>
                  <o:lock v:ext="edit"/>
                </v:shape>
              </w:pict>
            </w:r>
            <w:r>
              <w:rPr>
                <w:position w:val="-1"/>
              </w:rPr>
              <w:pict>
                <v:shape id="_x0000_s3220" o:spid="_x0000_s3220" style="height:3pt;width:344.95pt;" fillcolor="#DEEAF6" filled="t" stroked="f" coordsize="6899,60" path="m0,60l6898,60,6898,0,0,0,0,60xe">
                  <v:path/>
                  <v:fill on="t" focussize="0,0"/>
                  <v:stroke on="f"/>
                  <v:imagedata o:title=""/>
                  <o:lock v:ext="edit"/>
                  <w10:wrap type="none"/>
                  <w10:anchorlock/>
                </v:shape>
              </w:pict>
            </w:r>
          </w:p>
          <w:p w14:paraId="35200D20">
            <w:pPr>
              <w:pStyle w:val="7"/>
              <w:spacing w:before="35" w:line="219" w:lineRule="auto"/>
              <w:ind w:left="2823"/>
            </w:pPr>
            <w:r>
              <w:rPr>
                <w:b/>
                <w:bCs/>
                <w:spacing w:val="-20"/>
              </w:rPr>
              <w:t>应急响应措施</w:t>
            </w:r>
          </w:p>
        </w:tc>
      </w:tr>
      <w:tr w14:paraId="7EBD5C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8" w:hRule="atLeast"/>
        </w:trPr>
        <w:tc>
          <w:tcPr>
            <w:tcW w:w="477" w:type="dxa"/>
            <w:tcBorders>
              <w:left w:val="single" w:color="1C456A" w:sz="4" w:space="0"/>
              <w:bottom w:val="single" w:color="1C456A" w:sz="4" w:space="0"/>
              <w:right w:val="nil"/>
            </w:tcBorders>
            <w:vAlign w:val="top"/>
          </w:tcPr>
          <w:p w14:paraId="131383AC">
            <w:pPr>
              <w:rPr>
                <w:rFonts w:ascii="Arial"/>
                <w:sz w:val="21"/>
              </w:rPr>
            </w:pPr>
            <w:r>
              <w:pict>
                <v:shape id="_x0000_s3221" o:spid="_x0000_s3221" style="position:absolute;left:0pt;margin-left:-0.25pt;margin-top:31.9pt;height:0.75pt;width:2.2pt;mso-position-horizontal-relative:page;mso-position-vertical-relative:page;z-index:251934720;mso-width-relative:page;mso-height-relative:page;" fillcolor="#5B9BD5" filled="t" stroked="f" coordsize="44,15" path="m0,14l43,14,43,0,0,0,0,14xe">
                  <v:path/>
                  <v:fill on="t" focussize="0,0"/>
                  <v:stroke on="f"/>
                  <v:imagedata o:title=""/>
                  <o:lock v:ext="edit"/>
                </v:shape>
              </w:pict>
            </w:r>
          </w:p>
        </w:tc>
        <w:tc>
          <w:tcPr>
            <w:tcW w:w="1737" w:type="dxa"/>
            <w:tcBorders>
              <w:left w:val="nil"/>
              <w:bottom w:val="single" w:color="1C456A" w:sz="4" w:space="0"/>
            </w:tcBorders>
            <w:vAlign w:val="top"/>
          </w:tcPr>
          <w:p w14:paraId="11430B52">
            <w:pPr>
              <w:pStyle w:val="7"/>
              <w:spacing w:before="116" w:line="238" w:lineRule="auto"/>
              <w:ind w:left="604"/>
            </w:pPr>
            <w:r>
              <w:t>1</w:t>
            </w:r>
          </w:p>
        </w:tc>
        <w:tc>
          <w:tcPr>
            <w:tcW w:w="6962" w:type="dxa"/>
            <w:tcBorders>
              <w:bottom w:val="single" w:color="5B9BD5" w:sz="4" w:space="0"/>
              <w:right w:val="single" w:color="5B9BD5" w:sz="4" w:space="0"/>
            </w:tcBorders>
            <w:vAlign w:val="top"/>
          </w:tcPr>
          <w:p w14:paraId="5E5D2211">
            <w:pPr>
              <w:pStyle w:val="7"/>
              <w:spacing w:before="115" w:line="218" w:lineRule="auto"/>
              <w:ind w:left="1958"/>
            </w:pPr>
            <w:r>
              <w:pict>
                <v:shape id="_x0000_s3222" o:spid="_x0000_s3222" style="position:absolute;left:0pt;margin-left:346.25pt;margin-top:31.9pt;height:0.75pt;width:2.2pt;mso-position-horizontal-relative:page;mso-position-vertical-relative:page;z-index:251933696;mso-width-relative:page;mso-height-relative:page;" fillcolor="#5B9BD5" filled="t" stroked="f" coordsize="44,15" path="m0,14l43,14,43,0,0,0,0,14xe">
                  <v:path/>
                  <v:fill on="t" focussize="0,0"/>
                  <v:stroke on="f"/>
                  <v:imagedata o:title=""/>
                  <o:lock v:ext="edit"/>
                </v:shape>
              </w:pict>
            </w:r>
            <w:r>
              <w:rPr>
                <w:spacing w:val="-21"/>
              </w:rPr>
              <w:t>发现险情的人员立即向领导报告</w:t>
            </w:r>
          </w:p>
        </w:tc>
      </w:tr>
    </w:tbl>
    <w:p w14:paraId="296ACFDE">
      <w:pPr>
        <w:rPr>
          <w:rFonts w:ascii="Arial"/>
          <w:sz w:val="21"/>
        </w:rPr>
      </w:pPr>
    </w:p>
    <w:p w14:paraId="6C38EF26">
      <w:pPr>
        <w:rPr>
          <w:rFonts w:ascii="Arial" w:hAnsi="Arial" w:eastAsia="Arial" w:cs="Arial"/>
          <w:sz w:val="21"/>
          <w:szCs w:val="21"/>
        </w:rPr>
        <w:sectPr>
          <w:footerReference r:id="rId155" w:type="default"/>
          <w:pgSz w:w="11907" w:h="16839"/>
          <w:pgMar w:top="954" w:right="4" w:bottom="1038" w:left="0" w:header="499" w:footer="357" w:gutter="0"/>
          <w:pgBorders>
            <w:top w:val="none" w:sz="0" w:space="0"/>
            <w:left w:val="none" w:sz="0" w:space="0"/>
            <w:bottom w:val="none" w:sz="0" w:space="0"/>
            <w:right w:val="none" w:sz="0" w:space="0"/>
          </w:pgBorders>
          <w:cols w:space="720" w:num="1"/>
        </w:sectPr>
      </w:pPr>
    </w:p>
    <w:p w14:paraId="23121C73">
      <w:pPr>
        <w:spacing w:line="214" w:lineRule="exact"/>
      </w:pPr>
    </w:p>
    <w:tbl>
      <w:tblPr>
        <w:tblStyle w:val="6"/>
        <w:tblW w:w="9176" w:type="dxa"/>
        <w:tblInd w:w="1366"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203"/>
        <w:gridCol w:w="6973"/>
      </w:tblGrid>
      <w:tr w14:paraId="420078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0" w:hRule="atLeast"/>
        </w:trPr>
        <w:tc>
          <w:tcPr>
            <w:tcW w:w="2203" w:type="dxa"/>
            <w:tcBorders>
              <w:top w:val="single" w:color="000000" w:sz="4" w:space="0"/>
              <w:left w:val="single" w:color="000000" w:sz="4" w:space="0"/>
            </w:tcBorders>
            <w:vAlign w:val="top"/>
          </w:tcPr>
          <w:p w14:paraId="4FAB19A6">
            <w:pPr>
              <w:pStyle w:val="7"/>
              <w:spacing w:before="129" w:line="238" w:lineRule="auto"/>
              <w:ind w:left="1062"/>
            </w:pPr>
            <w:r>
              <w:t>2</w:t>
            </w:r>
          </w:p>
        </w:tc>
        <w:tc>
          <w:tcPr>
            <w:tcW w:w="6973" w:type="dxa"/>
            <w:tcBorders>
              <w:top w:val="single" w:color="5B9BD5" w:sz="4" w:space="0"/>
              <w:right w:val="single" w:color="5B9BD5" w:sz="4" w:space="0"/>
            </w:tcBorders>
            <w:vAlign w:val="top"/>
          </w:tcPr>
          <w:p w14:paraId="11069F14">
            <w:pPr>
              <w:pStyle w:val="7"/>
              <w:spacing w:before="128" w:line="217" w:lineRule="auto"/>
              <w:ind w:left="2398"/>
            </w:pPr>
            <w:r>
              <w:rPr>
                <w:spacing w:val="-20"/>
              </w:rPr>
              <w:t>适用时，立即切断电源</w:t>
            </w:r>
          </w:p>
        </w:tc>
      </w:tr>
      <w:tr w14:paraId="486753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4" w:hRule="atLeast"/>
        </w:trPr>
        <w:tc>
          <w:tcPr>
            <w:tcW w:w="2203" w:type="dxa"/>
            <w:tcBorders>
              <w:left w:val="single" w:color="000000" w:sz="4" w:space="0"/>
            </w:tcBorders>
            <w:vAlign w:val="top"/>
          </w:tcPr>
          <w:p w14:paraId="413613BA">
            <w:pPr>
              <w:pStyle w:val="7"/>
              <w:spacing w:before="95" w:line="237" w:lineRule="auto"/>
              <w:ind w:left="1063"/>
            </w:pPr>
            <w:r>
              <w:t>3</w:t>
            </w:r>
          </w:p>
        </w:tc>
        <w:tc>
          <w:tcPr>
            <w:tcW w:w="6973" w:type="dxa"/>
            <w:tcBorders>
              <w:right w:val="single" w:color="000000" w:sz="4" w:space="0"/>
            </w:tcBorders>
            <w:vAlign w:val="top"/>
          </w:tcPr>
          <w:p w14:paraId="72FF1C19">
            <w:pPr>
              <w:pStyle w:val="7"/>
              <w:spacing w:before="95" w:line="216" w:lineRule="auto"/>
              <w:ind w:left="1417"/>
            </w:pPr>
            <w:r>
              <w:rPr>
                <w:spacing w:val="-21"/>
              </w:rPr>
              <w:t>指挥员召集抢险小组进入应急状态，并上报</w:t>
            </w:r>
          </w:p>
        </w:tc>
      </w:tr>
      <w:tr w14:paraId="00AD08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3" w:hRule="atLeast"/>
        </w:trPr>
        <w:tc>
          <w:tcPr>
            <w:tcW w:w="2203" w:type="dxa"/>
            <w:tcBorders>
              <w:left w:val="single" w:color="000000" w:sz="4" w:space="0"/>
            </w:tcBorders>
            <w:vAlign w:val="top"/>
          </w:tcPr>
          <w:p w14:paraId="7A3D67C9">
            <w:pPr>
              <w:pStyle w:val="7"/>
              <w:spacing w:before="96" w:line="238" w:lineRule="auto"/>
              <w:ind w:left="1058"/>
            </w:pPr>
            <w:r>
              <w:t>4</w:t>
            </w:r>
          </w:p>
        </w:tc>
        <w:tc>
          <w:tcPr>
            <w:tcW w:w="6973" w:type="dxa"/>
            <w:tcBorders>
              <w:right w:val="single" w:color="000000" w:sz="4" w:space="0"/>
            </w:tcBorders>
            <w:vAlign w:val="top"/>
          </w:tcPr>
          <w:p w14:paraId="4F8DDC55">
            <w:pPr>
              <w:pStyle w:val="7"/>
              <w:spacing w:before="97" w:line="217" w:lineRule="auto"/>
              <w:ind w:left="2509"/>
            </w:pPr>
            <w:r>
              <w:rPr>
                <w:spacing w:val="-19"/>
              </w:rPr>
              <w:t>对险情制定抢修方案</w:t>
            </w:r>
          </w:p>
        </w:tc>
      </w:tr>
      <w:tr w14:paraId="7FA9B6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6" w:hRule="atLeast"/>
        </w:trPr>
        <w:tc>
          <w:tcPr>
            <w:tcW w:w="2203" w:type="dxa"/>
            <w:tcBorders>
              <w:left w:val="single" w:color="000000" w:sz="4" w:space="0"/>
            </w:tcBorders>
            <w:vAlign w:val="top"/>
          </w:tcPr>
          <w:p w14:paraId="0E3C5856">
            <w:pPr>
              <w:pStyle w:val="7"/>
              <w:spacing w:before="98" w:line="237" w:lineRule="auto"/>
              <w:ind w:left="1063"/>
            </w:pPr>
            <w:r>
              <w:t>5</w:t>
            </w:r>
          </w:p>
        </w:tc>
        <w:tc>
          <w:tcPr>
            <w:tcW w:w="6973" w:type="dxa"/>
            <w:tcBorders>
              <w:right w:val="single" w:color="000000" w:sz="4" w:space="0"/>
            </w:tcBorders>
            <w:vAlign w:val="top"/>
          </w:tcPr>
          <w:p w14:paraId="03BC498F">
            <w:pPr>
              <w:pStyle w:val="7"/>
              <w:spacing w:before="98" w:line="217" w:lineRule="auto"/>
              <w:ind w:left="2400"/>
            </w:pPr>
            <w:r>
              <w:rPr>
                <w:spacing w:val="-20"/>
              </w:rPr>
              <w:t>根据险情制定抢修方案</w:t>
            </w:r>
          </w:p>
        </w:tc>
      </w:tr>
      <w:tr w14:paraId="6A0E8A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4" w:hRule="atLeast"/>
        </w:trPr>
        <w:tc>
          <w:tcPr>
            <w:tcW w:w="2203" w:type="dxa"/>
            <w:tcBorders>
              <w:left w:val="single" w:color="000000" w:sz="4" w:space="0"/>
            </w:tcBorders>
            <w:vAlign w:val="top"/>
          </w:tcPr>
          <w:p w14:paraId="3DB91B55">
            <w:pPr>
              <w:pStyle w:val="7"/>
              <w:spacing w:before="100" w:line="237" w:lineRule="auto"/>
              <w:ind w:left="1061"/>
            </w:pPr>
            <w:r>
              <w:t>6</w:t>
            </w:r>
          </w:p>
        </w:tc>
        <w:tc>
          <w:tcPr>
            <w:tcW w:w="6973" w:type="dxa"/>
            <w:tcBorders>
              <w:right w:val="single" w:color="000000" w:sz="4" w:space="0"/>
            </w:tcBorders>
            <w:vAlign w:val="top"/>
          </w:tcPr>
          <w:p w14:paraId="423720BD">
            <w:pPr>
              <w:pStyle w:val="7"/>
              <w:spacing w:before="100" w:line="217" w:lineRule="auto"/>
              <w:ind w:left="2400"/>
            </w:pPr>
            <w:r>
              <w:rPr>
                <w:spacing w:val="-20"/>
              </w:rPr>
              <w:t>根据险情制定抢修方案</w:t>
            </w:r>
          </w:p>
        </w:tc>
      </w:tr>
      <w:tr w14:paraId="5238BC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4" w:hRule="atLeast"/>
        </w:trPr>
        <w:tc>
          <w:tcPr>
            <w:tcW w:w="2203" w:type="dxa"/>
            <w:tcBorders>
              <w:left w:val="single" w:color="20507B" w:sz="4" w:space="0"/>
              <w:bottom w:val="single" w:color="20507B" w:sz="4" w:space="0"/>
            </w:tcBorders>
            <w:vAlign w:val="top"/>
          </w:tcPr>
          <w:p w14:paraId="114C2A6C">
            <w:pPr>
              <w:pStyle w:val="7"/>
              <w:spacing w:before="102" w:line="237" w:lineRule="auto"/>
              <w:ind w:left="1064"/>
            </w:pPr>
            <w:r>
              <w:pict>
                <v:shape id="_x0000_s3223" o:spid="_x0000_s3223" style="position:absolute;left:0pt;margin-left:1.95pt;margin-top:29.8pt;height:0.75pt;width:107.9pt;mso-position-horizontal-relative:page;mso-position-vertical-relative:page;z-index:251940864;mso-width-relative:page;mso-height-relative:page;" fillcolor="#1C456A" filled="t" stroked="f" coordsize="2158,15" path="m0,14l2157,14,2157,0,0,0,0,14xe">
                  <v:path/>
                  <v:fill on="t" focussize="0,0"/>
                  <v:stroke on="f"/>
                  <v:imagedata o:title=""/>
                  <o:lock v:ext="edit"/>
                </v:shape>
              </w:pict>
            </w:r>
            <w:r>
              <w:t>7</w:t>
            </w:r>
          </w:p>
        </w:tc>
        <w:tc>
          <w:tcPr>
            <w:tcW w:w="6973" w:type="dxa"/>
            <w:tcBorders>
              <w:bottom w:val="single" w:color="5B9BD5" w:sz="4" w:space="0"/>
              <w:right w:val="single" w:color="5B9BD5" w:sz="4" w:space="0"/>
            </w:tcBorders>
            <w:vAlign w:val="top"/>
          </w:tcPr>
          <w:p w14:paraId="0B8C4A22">
            <w:pPr>
              <w:pStyle w:val="7"/>
              <w:spacing w:before="101" w:line="217" w:lineRule="auto"/>
              <w:ind w:left="2837"/>
            </w:pPr>
            <w:r>
              <w:rPr>
                <w:spacing w:val="-18"/>
              </w:rPr>
              <w:t>保护事故现场</w:t>
            </w:r>
          </w:p>
          <w:p w14:paraId="444BC20B">
            <w:pPr>
              <w:spacing w:before="207" w:line="23" w:lineRule="exact"/>
            </w:pPr>
            <w:r>
              <w:rPr>
                <w:position w:val="-1"/>
              </w:rPr>
              <w:pict>
                <v:group id="_x0000_s3224" o:spid="_x0000_s3224" o:spt="203" style="height:1.45pt;width:347.15pt;" coordsize="6942,29">
                  <o:lock v:ext="edit"/>
                  <v:shape id="_x0000_s3225" o:spid="_x0000_s3225" style="position:absolute;left:0;top:0;height:15;width:44;" fillcolor="#1C456A" filled="t" stroked="f" coordsize="44,15" path="m0,14l43,14,43,0,0,0,0,14xe">
                    <v:path/>
                    <v:fill on="t" focussize="0,0"/>
                    <v:stroke on="f"/>
                    <v:imagedata o:title=""/>
                    <o:lock v:ext="edit"/>
                  </v:shape>
                  <v:shape id="_x0000_s3226" o:spid="_x0000_s3226" style="position:absolute;left:0;top:14;height:15;width:44;" fillcolor="#20507B" filled="t" stroked="f" coordsize="44,15" path="m0,14l43,14,43,0,0,0,0,14xe">
                    <v:path/>
                    <v:fill on="t" focussize="0,0"/>
                    <v:stroke on="f"/>
                    <v:imagedata o:title=""/>
                    <o:lock v:ext="edit"/>
                  </v:shape>
                  <v:shape id="_x0000_s3227" o:spid="_x0000_s3227" style="position:absolute;left:43;top:0;height:15;width:6899;" fillcolor="#1C456A" filled="t" stroked="f" coordsize="6899,15" path="m0,14l6898,14,6898,0,0,0,0,14xe">
                    <v:path/>
                    <v:fill on="t" focussize="0,0"/>
                    <v:stroke on="f"/>
                    <v:imagedata o:title=""/>
                    <o:lock v:ext="edit"/>
                  </v:shape>
                  <w10:wrap type="none"/>
                  <w10:anchorlock/>
                </v:group>
              </w:pict>
            </w:r>
          </w:p>
        </w:tc>
      </w:tr>
    </w:tbl>
    <w:p w14:paraId="41E26D28">
      <w:pPr>
        <w:pStyle w:val="2"/>
        <w:spacing w:before="112" w:line="219" w:lineRule="auto"/>
        <w:ind w:left="1890"/>
        <w:rPr>
          <w:sz w:val="24"/>
          <w:szCs w:val="24"/>
        </w:rPr>
      </w:pPr>
      <w:r>
        <w:rPr>
          <w:spacing w:val="-14"/>
          <w:sz w:val="24"/>
          <w:szCs w:val="24"/>
        </w:rPr>
        <w:t>3.3、伤亡事故</w:t>
      </w:r>
    </w:p>
    <w:tbl>
      <w:tblPr>
        <w:tblStyle w:val="6"/>
        <w:tblW w:w="9176" w:type="dxa"/>
        <w:tblInd w:w="1366"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56"/>
        <w:gridCol w:w="1650"/>
        <w:gridCol w:w="6970"/>
      </w:tblGrid>
      <w:tr w14:paraId="1B2462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1" w:hRule="atLeast"/>
        </w:trPr>
        <w:tc>
          <w:tcPr>
            <w:tcW w:w="2206" w:type="dxa"/>
            <w:gridSpan w:val="2"/>
            <w:tcBorders>
              <w:top w:val="single" w:color="000000" w:sz="4" w:space="0"/>
              <w:left w:val="single" w:color="000000" w:sz="4" w:space="0"/>
            </w:tcBorders>
            <w:shd w:val="clear" w:color="auto" w:fill="DEEAF6"/>
            <w:vAlign w:val="top"/>
          </w:tcPr>
          <w:p w14:paraId="41757568">
            <w:pPr>
              <w:pStyle w:val="7"/>
              <w:spacing w:before="130" w:line="218" w:lineRule="auto"/>
              <w:ind w:left="900"/>
            </w:pPr>
            <w:r>
              <w:rPr>
                <w:b/>
                <w:bCs/>
                <w:spacing w:val="-12"/>
              </w:rPr>
              <w:t>序号</w:t>
            </w:r>
          </w:p>
        </w:tc>
        <w:tc>
          <w:tcPr>
            <w:tcW w:w="6970" w:type="dxa"/>
            <w:tcBorders>
              <w:top w:val="single" w:color="5B9BD5" w:sz="4" w:space="0"/>
              <w:right w:val="single" w:color="5B9BD5" w:sz="4" w:space="0"/>
            </w:tcBorders>
            <w:shd w:val="clear" w:color="auto" w:fill="DEEAF6"/>
            <w:vAlign w:val="top"/>
          </w:tcPr>
          <w:p w14:paraId="09AB2DED">
            <w:pPr>
              <w:pStyle w:val="7"/>
              <w:spacing w:before="129" w:line="219" w:lineRule="auto"/>
              <w:ind w:left="2831"/>
            </w:pPr>
            <w:r>
              <w:rPr>
                <w:b/>
                <w:bCs/>
                <w:spacing w:val="-20"/>
              </w:rPr>
              <w:t>应急响应措施</w:t>
            </w:r>
          </w:p>
        </w:tc>
      </w:tr>
      <w:tr w14:paraId="24E36B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8" w:hRule="atLeast"/>
        </w:trPr>
        <w:tc>
          <w:tcPr>
            <w:tcW w:w="2206" w:type="dxa"/>
            <w:gridSpan w:val="2"/>
            <w:tcBorders>
              <w:left w:val="single" w:color="000000" w:sz="4" w:space="0"/>
            </w:tcBorders>
            <w:vAlign w:val="top"/>
          </w:tcPr>
          <w:p w14:paraId="401FFA5A">
            <w:pPr>
              <w:pStyle w:val="7"/>
              <w:spacing w:before="124" w:line="238" w:lineRule="auto"/>
              <w:ind w:left="1076"/>
            </w:pPr>
            <w:r>
              <w:t>1</w:t>
            </w:r>
          </w:p>
        </w:tc>
        <w:tc>
          <w:tcPr>
            <w:tcW w:w="6970" w:type="dxa"/>
            <w:tcBorders>
              <w:right w:val="single" w:color="000000" w:sz="4" w:space="0"/>
            </w:tcBorders>
            <w:vAlign w:val="top"/>
          </w:tcPr>
          <w:p w14:paraId="4D303AFD">
            <w:pPr>
              <w:pStyle w:val="7"/>
              <w:spacing w:before="124" w:line="218" w:lineRule="auto"/>
              <w:ind w:left="2312"/>
            </w:pPr>
            <w:r>
              <w:rPr>
                <w:spacing w:val="-22"/>
              </w:rPr>
              <w:t>出现事故立即向领导报告</w:t>
            </w:r>
          </w:p>
        </w:tc>
      </w:tr>
      <w:tr w14:paraId="24A007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1" w:hRule="atLeast"/>
        </w:trPr>
        <w:tc>
          <w:tcPr>
            <w:tcW w:w="2206" w:type="dxa"/>
            <w:gridSpan w:val="2"/>
            <w:tcBorders>
              <w:left w:val="single" w:color="000000" w:sz="4" w:space="0"/>
            </w:tcBorders>
            <w:vAlign w:val="top"/>
          </w:tcPr>
          <w:p w14:paraId="2CBA7244">
            <w:pPr>
              <w:pStyle w:val="7"/>
              <w:spacing w:before="122" w:line="238" w:lineRule="auto"/>
              <w:ind w:left="1062"/>
            </w:pPr>
            <w:r>
              <w:t>2</w:t>
            </w:r>
          </w:p>
        </w:tc>
        <w:tc>
          <w:tcPr>
            <w:tcW w:w="6970" w:type="dxa"/>
            <w:tcBorders>
              <w:right w:val="single" w:color="000000" w:sz="4" w:space="0"/>
            </w:tcBorders>
            <w:vAlign w:val="top"/>
          </w:tcPr>
          <w:p w14:paraId="10D0E8F5">
            <w:pPr>
              <w:pStyle w:val="7"/>
              <w:spacing w:before="122" w:line="217" w:lineRule="auto"/>
              <w:ind w:left="553"/>
            </w:pPr>
            <w:r>
              <w:rPr>
                <w:spacing w:val="-22"/>
              </w:rPr>
              <w:t>总指挥立即组织抢险队伍，进入应急状态，控制事故蔓延发展</w:t>
            </w:r>
          </w:p>
        </w:tc>
      </w:tr>
      <w:tr w14:paraId="2AD175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8" w:hRule="atLeast"/>
        </w:trPr>
        <w:tc>
          <w:tcPr>
            <w:tcW w:w="2206" w:type="dxa"/>
            <w:gridSpan w:val="2"/>
            <w:tcBorders>
              <w:left w:val="single" w:color="000000" w:sz="4" w:space="0"/>
            </w:tcBorders>
            <w:vAlign w:val="top"/>
          </w:tcPr>
          <w:p w14:paraId="16133167">
            <w:pPr>
              <w:pStyle w:val="7"/>
              <w:spacing w:before="118" w:line="237" w:lineRule="auto"/>
              <w:ind w:left="1063"/>
            </w:pPr>
            <w:r>
              <w:t>3</w:t>
            </w:r>
          </w:p>
        </w:tc>
        <w:tc>
          <w:tcPr>
            <w:tcW w:w="6970" w:type="dxa"/>
            <w:tcBorders>
              <w:right w:val="single" w:color="000000" w:sz="4" w:space="0"/>
            </w:tcBorders>
            <w:vAlign w:val="top"/>
          </w:tcPr>
          <w:p w14:paraId="0AFBB53A">
            <w:pPr>
              <w:pStyle w:val="7"/>
              <w:spacing w:before="118" w:line="215" w:lineRule="auto"/>
              <w:ind w:left="1630"/>
            </w:pPr>
            <w:r>
              <w:rPr>
                <w:spacing w:val="-21"/>
              </w:rPr>
              <w:t>联络组及时联络救援人员，车辆和物资</w:t>
            </w:r>
          </w:p>
        </w:tc>
      </w:tr>
      <w:tr w14:paraId="24E27B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59" w:hRule="atLeast"/>
        </w:trPr>
        <w:tc>
          <w:tcPr>
            <w:tcW w:w="2206" w:type="dxa"/>
            <w:gridSpan w:val="2"/>
            <w:tcBorders>
              <w:left w:val="single" w:color="000000" w:sz="4" w:space="0"/>
            </w:tcBorders>
            <w:vAlign w:val="top"/>
          </w:tcPr>
          <w:p w14:paraId="142E5A97">
            <w:pPr>
              <w:spacing w:line="269" w:lineRule="auto"/>
              <w:rPr>
                <w:rFonts w:ascii="Arial"/>
                <w:sz w:val="21"/>
              </w:rPr>
            </w:pPr>
          </w:p>
          <w:p w14:paraId="40573ACB">
            <w:pPr>
              <w:pStyle w:val="7"/>
              <w:spacing w:before="78" w:line="238" w:lineRule="auto"/>
              <w:ind w:left="1058"/>
            </w:pPr>
            <w:r>
              <w:t>4</w:t>
            </w:r>
          </w:p>
        </w:tc>
        <w:tc>
          <w:tcPr>
            <w:tcW w:w="6970" w:type="dxa"/>
            <w:tcBorders>
              <w:right w:val="single" w:color="000000" w:sz="4" w:space="0"/>
            </w:tcBorders>
            <w:vAlign w:val="top"/>
          </w:tcPr>
          <w:p w14:paraId="659DA0AD">
            <w:pPr>
              <w:pStyle w:val="7"/>
              <w:spacing w:before="116" w:line="215" w:lineRule="auto"/>
              <w:ind w:left="104"/>
            </w:pPr>
            <w:r>
              <w:rPr>
                <w:spacing w:val="-21"/>
              </w:rPr>
              <w:t>救援、运输队及时、稳妥地疏散现场人员，正确快速地引导救援、</w:t>
            </w:r>
            <w:r>
              <w:rPr>
                <w:spacing w:val="-22"/>
              </w:rPr>
              <w:t>救护</w:t>
            </w:r>
          </w:p>
          <w:p w14:paraId="39C11754">
            <w:pPr>
              <w:pStyle w:val="7"/>
              <w:spacing w:before="186" w:line="215" w:lineRule="auto"/>
              <w:ind w:left="2183"/>
            </w:pPr>
            <w:r>
              <w:rPr>
                <w:spacing w:val="-21"/>
              </w:rPr>
              <w:t>车辆救护队对伤员正确施救</w:t>
            </w:r>
          </w:p>
        </w:tc>
      </w:tr>
      <w:tr w14:paraId="31F199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9" w:hRule="atLeast"/>
        </w:trPr>
        <w:tc>
          <w:tcPr>
            <w:tcW w:w="2206" w:type="dxa"/>
            <w:gridSpan w:val="2"/>
            <w:tcBorders>
              <w:left w:val="single" w:color="000000" w:sz="4" w:space="0"/>
            </w:tcBorders>
            <w:vAlign w:val="top"/>
          </w:tcPr>
          <w:p w14:paraId="6F5B8483">
            <w:pPr>
              <w:pStyle w:val="7"/>
              <w:spacing w:before="108" w:line="237" w:lineRule="auto"/>
              <w:ind w:left="1063"/>
            </w:pPr>
            <w:r>
              <w:t>5</w:t>
            </w:r>
          </w:p>
        </w:tc>
        <w:tc>
          <w:tcPr>
            <w:tcW w:w="6970" w:type="dxa"/>
            <w:tcBorders>
              <w:right w:val="single" w:color="000000" w:sz="4" w:space="0"/>
            </w:tcBorders>
            <w:vAlign w:val="top"/>
          </w:tcPr>
          <w:p w14:paraId="3372B2A9">
            <w:pPr>
              <w:pStyle w:val="7"/>
              <w:spacing w:before="107" w:line="217" w:lineRule="auto"/>
              <w:ind w:left="2834"/>
            </w:pPr>
            <w:r>
              <w:rPr>
                <w:spacing w:val="-18"/>
              </w:rPr>
              <w:t>保护事故现场</w:t>
            </w:r>
          </w:p>
        </w:tc>
      </w:tr>
      <w:tr w14:paraId="1482F4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556" w:type="dxa"/>
            <w:tcBorders>
              <w:left w:val="single" w:color="1C456A" w:sz="4" w:space="0"/>
              <w:bottom w:val="single" w:color="1C456A" w:sz="4" w:space="0"/>
              <w:right w:val="nil"/>
            </w:tcBorders>
            <w:vAlign w:val="top"/>
          </w:tcPr>
          <w:p w14:paraId="25E16083">
            <w:pPr>
              <w:rPr>
                <w:rFonts w:ascii="Arial"/>
                <w:sz w:val="21"/>
              </w:rPr>
            </w:pPr>
            <w:r>
              <w:pict>
                <v:shape id="_x0000_s3228" o:spid="_x0000_s3228" style="position:absolute;left:0pt;margin-left:-0.25pt;margin-top:31.5pt;height:0.75pt;width:2.2pt;mso-position-horizontal-relative:page;mso-position-vertical-relative:page;z-index:251945984;mso-width-relative:page;mso-height-relative:page;" fillcolor="#5B9BD5" filled="t" stroked="f" coordsize="44,15" path="m0,14l43,14,43,0,0,0,0,14xe">
                  <v:path/>
                  <v:fill on="t" focussize="0,0"/>
                  <v:stroke on="f"/>
                  <v:imagedata o:title=""/>
                  <o:lock v:ext="edit"/>
                </v:shape>
              </w:pict>
            </w:r>
          </w:p>
        </w:tc>
        <w:tc>
          <w:tcPr>
            <w:tcW w:w="1650" w:type="dxa"/>
            <w:tcBorders>
              <w:left w:val="nil"/>
              <w:bottom w:val="single" w:color="1C456A" w:sz="4" w:space="0"/>
            </w:tcBorders>
            <w:vAlign w:val="top"/>
          </w:tcPr>
          <w:p w14:paraId="48C3E74C">
            <w:pPr>
              <w:pStyle w:val="7"/>
              <w:spacing w:before="107" w:line="237" w:lineRule="auto"/>
              <w:ind w:left="510"/>
            </w:pPr>
            <w:r>
              <w:t>6</w:t>
            </w:r>
          </w:p>
        </w:tc>
        <w:tc>
          <w:tcPr>
            <w:tcW w:w="6970" w:type="dxa"/>
            <w:tcBorders>
              <w:bottom w:val="single" w:color="5B9BD5" w:sz="4" w:space="0"/>
              <w:right w:val="single" w:color="5B9BD5" w:sz="4" w:space="0"/>
            </w:tcBorders>
            <w:vAlign w:val="top"/>
          </w:tcPr>
          <w:p w14:paraId="406BFE86">
            <w:pPr>
              <w:pStyle w:val="7"/>
              <w:spacing w:before="107" w:line="218" w:lineRule="auto"/>
              <w:ind w:left="764"/>
            </w:pPr>
            <w:r>
              <w:pict>
                <v:shape id="_x0000_s3229" o:spid="_x0000_s3229" style="position:absolute;left:0pt;margin-left:346.65pt;margin-top:31.5pt;height:0.75pt;width:2.2pt;mso-position-horizontal-relative:page;mso-position-vertical-relative:page;z-index:251947008;mso-width-relative:page;mso-height-relative:page;" fillcolor="#5B9BD5" filled="t" stroked="f" coordsize="44,15" path="m0,14l43,14,43,0,0,0,0,14xe">
                  <v:path/>
                  <v:fill on="t" focussize="0,0"/>
                  <v:stroke on="f"/>
                  <v:imagedata o:title=""/>
                  <o:lock v:ext="edit"/>
                </v:shape>
              </w:pict>
            </w:r>
            <w:r>
              <w:rPr>
                <w:spacing w:val="-21"/>
              </w:rPr>
              <w:t>死亡事故发生后必须及时报告公司安全管理部和公司</w:t>
            </w:r>
            <w:r>
              <w:rPr>
                <w:spacing w:val="-22"/>
              </w:rPr>
              <w:t>领导</w:t>
            </w:r>
          </w:p>
        </w:tc>
      </w:tr>
    </w:tbl>
    <w:p w14:paraId="1E1FC602">
      <w:pPr>
        <w:pStyle w:val="2"/>
        <w:spacing w:before="112" w:line="220" w:lineRule="auto"/>
        <w:ind w:left="1890"/>
        <w:rPr>
          <w:sz w:val="24"/>
          <w:szCs w:val="24"/>
        </w:rPr>
      </w:pPr>
      <w:r>
        <w:rPr>
          <w:spacing w:val="-16"/>
          <w:sz w:val="24"/>
          <w:szCs w:val="24"/>
        </w:rPr>
        <w:t>3.4、严惩管道破裂</w:t>
      </w:r>
    </w:p>
    <w:tbl>
      <w:tblPr>
        <w:tblStyle w:val="6"/>
        <w:tblW w:w="9176" w:type="dxa"/>
        <w:tblInd w:w="1366"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76"/>
        <w:gridCol w:w="1730"/>
        <w:gridCol w:w="6880"/>
        <w:gridCol w:w="90"/>
      </w:tblGrid>
      <w:tr w14:paraId="762663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0" w:hRule="atLeast"/>
        </w:trPr>
        <w:tc>
          <w:tcPr>
            <w:tcW w:w="476" w:type="dxa"/>
            <w:tcBorders>
              <w:top w:val="single" w:color="000000" w:sz="4" w:space="0"/>
              <w:left w:val="single" w:color="000000" w:sz="4" w:space="0"/>
              <w:right w:val="nil"/>
            </w:tcBorders>
            <w:shd w:val="clear" w:color="auto" w:fill="DEEAF6"/>
            <w:vAlign w:val="top"/>
          </w:tcPr>
          <w:p w14:paraId="5025E6F5">
            <w:pPr>
              <w:rPr>
                <w:rFonts w:ascii="Arial"/>
                <w:sz w:val="21"/>
              </w:rPr>
            </w:pPr>
            <w:r>
              <w:pict>
                <v:shape id="_x0000_s3230" o:spid="_x0000_s3230" style="position:absolute;left:0pt;margin-left:-0.25pt;margin-top:0pt;height:0.75pt;width:2.2pt;mso-position-horizontal-relative:page;mso-position-vertical-relative:page;z-index:251944960;mso-width-relative:page;mso-height-relative:page;" fillcolor="#5B9BD5" filled="t" stroked="f" coordsize="44,15" path="m0,14l43,14,43,0,0,0,0,14xe">
                  <v:path/>
                  <v:fill on="t" focussize="0,0"/>
                  <v:stroke on="f"/>
                  <v:imagedata o:title=""/>
                  <o:lock v:ext="edit"/>
                </v:shape>
              </w:pict>
            </w:r>
          </w:p>
        </w:tc>
        <w:tc>
          <w:tcPr>
            <w:tcW w:w="1730" w:type="dxa"/>
            <w:tcBorders>
              <w:top w:val="single" w:color="000000" w:sz="4" w:space="0"/>
              <w:left w:val="nil"/>
            </w:tcBorders>
            <w:shd w:val="clear" w:color="auto" w:fill="DEEAF6"/>
            <w:vAlign w:val="top"/>
          </w:tcPr>
          <w:p w14:paraId="7711541A">
            <w:pPr>
              <w:pStyle w:val="7"/>
              <w:spacing w:before="129" w:line="218" w:lineRule="auto"/>
              <w:ind w:left="429"/>
            </w:pPr>
            <w:r>
              <w:rPr>
                <w:b/>
                <w:bCs/>
                <w:spacing w:val="-12"/>
              </w:rPr>
              <w:t>序号</w:t>
            </w:r>
          </w:p>
        </w:tc>
        <w:tc>
          <w:tcPr>
            <w:tcW w:w="6880" w:type="dxa"/>
            <w:tcBorders>
              <w:top w:val="single" w:color="5B9BD5" w:sz="4" w:space="0"/>
              <w:right w:val="nil"/>
            </w:tcBorders>
            <w:shd w:val="clear" w:color="auto" w:fill="DEEAF6"/>
            <w:vAlign w:val="top"/>
          </w:tcPr>
          <w:p w14:paraId="1372FA74">
            <w:pPr>
              <w:pStyle w:val="7"/>
              <w:spacing w:before="129" w:line="219" w:lineRule="auto"/>
              <w:ind w:left="2831"/>
            </w:pPr>
            <w:r>
              <w:rPr>
                <w:b/>
                <w:bCs/>
                <w:spacing w:val="-20"/>
              </w:rPr>
              <w:t>应急响应措施</w:t>
            </w:r>
          </w:p>
        </w:tc>
        <w:tc>
          <w:tcPr>
            <w:tcW w:w="90" w:type="dxa"/>
            <w:tcBorders>
              <w:top w:val="single" w:color="5B9BD5" w:sz="4" w:space="0"/>
              <w:left w:val="nil"/>
              <w:right w:val="single" w:color="5B9BD5" w:sz="4" w:space="0"/>
            </w:tcBorders>
            <w:vAlign w:val="top"/>
          </w:tcPr>
          <w:p w14:paraId="4E84CBBD">
            <w:pPr>
              <w:rPr>
                <w:rFonts w:ascii="Arial"/>
                <w:sz w:val="21"/>
              </w:rPr>
            </w:pPr>
            <w:r>
              <w:pict>
                <v:shape id="_x0000_s3231" o:spid="_x0000_s3231" style="position:absolute;left:0pt;margin-left:2.65pt;margin-top:0pt;height:0.75pt;width:2.2pt;mso-position-horizontal-relative:page;mso-position-vertical-relative:page;z-index:251943936;mso-width-relative:page;mso-height-relative:page;" fillcolor="#5B9BD5" filled="t" stroked="f" coordsize="44,15" path="m0,14l43,14,43,0,0,0,0,14xe">
                  <v:path/>
                  <v:fill on="t" focussize="0,0"/>
                  <v:stroke on="f"/>
                  <v:imagedata o:title=""/>
                  <o:lock v:ext="edit"/>
                </v:shape>
              </w:pict>
            </w:r>
          </w:p>
        </w:tc>
      </w:tr>
      <w:tr w14:paraId="625828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4" w:hRule="atLeast"/>
        </w:trPr>
        <w:tc>
          <w:tcPr>
            <w:tcW w:w="2206" w:type="dxa"/>
            <w:gridSpan w:val="2"/>
            <w:tcBorders>
              <w:left w:val="single" w:color="000000" w:sz="4" w:space="0"/>
            </w:tcBorders>
            <w:vAlign w:val="top"/>
          </w:tcPr>
          <w:p w14:paraId="757AE31C">
            <w:pPr>
              <w:pStyle w:val="7"/>
              <w:spacing w:before="95" w:line="238" w:lineRule="auto"/>
              <w:ind w:left="1076"/>
            </w:pPr>
            <w:r>
              <w:t>1</w:t>
            </w:r>
          </w:p>
        </w:tc>
        <w:tc>
          <w:tcPr>
            <w:tcW w:w="6970" w:type="dxa"/>
            <w:gridSpan w:val="2"/>
            <w:tcBorders>
              <w:right w:val="single" w:color="000000" w:sz="4" w:space="0"/>
            </w:tcBorders>
            <w:vAlign w:val="top"/>
          </w:tcPr>
          <w:p w14:paraId="17EB6238">
            <w:pPr>
              <w:pStyle w:val="7"/>
              <w:spacing w:before="94" w:line="218" w:lineRule="auto"/>
              <w:ind w:left="2295"/>
            </w:pPr>
            <w:r>
              <w:rPr>
                <w:spacing w:val="-21"/>
              </w:rPr>
              <w:t>发现人员立即向领导报告</w:t>
            </w:r>
          </w:p>
        </w:tc>
      </w:tr>
      <w:tr w14:paraId="463FAE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1519" w:hRule="atLeast"/>
        </w:trPr>
        <w:tc>
          <w:tcPr>
            <w:tcW w:w="2206" w:type="dxa"/>
            <w:gridSpan w:val="2"/>
            <w:tcBorders>
              <w:left w:val="single" w:color="000000" w:sz="4" w:space="0"/>
            </w:tcBorders>
            <w:vAlign w:val="top"/>
          </w:tcPr>
          <w:p w14:paraId="1CA7F2B4">
            <w:pPr>
              <w:spacing w:line="241" w:lineRule="auto"/>
              <w:rPr>
                <w:rFonts w:ascii="Arial"/>
                <w:sz w:val="21"/>
              </w:rPr>
            </w:pPr>
          </w:p>
          <w:p w14:paraId="482EE331">
            <w:pPr>
              <w:spacing w:line="242" w:lineRule="auto"/>
              <w:rPr>
                <w:rFonts w:ascii="Arial"/>
                <w:sz w:val="21"/>
              </w:rPr>
            </w:pPr>
          </w:p>
          <w:p w14:paraId="13D561A8">
            <w:pPr>
              <w:pStyle w:val="7"/>
              <w:spacing w:before="78" w:line="238" w:lineRule="auto"/>
              <w:ind w:left="1062"/>
            </w:pPr>
            <w:r>
              <w:t>2</w:t>
            </w:r>
          </w:p>
        </w:tc>
        <w:tc>
          <w:tcPr>
            <w:tcW w:w="6970" w:type="dxa"/>
            <w:gridSpan w:val="2"/>
            <w:tcBorders>
              <w:right w:val="single" w:color="000000" w:sz="4" w:space="0"/>
            </w:tcBorders>
            <w:vAlign w:val="top"/>
          </w:tcPr>
          <w:p w14:paraId="6016B083">
            <w:pPr>
              <w:pStyle w:val="7"/>
              <w:spacing w:before="96" w:line="218" w:lineRule="auto"/>
              <w:ind w:left="107"/>
            </w:pPr>
            <w:r>
              <w:rPr>
                <w:spacing w:val="-21"/>
              </w:rPr>
              <w:t>项目部领导接到险情报告后，立即到事发现场勘察，查明险情</w:t>
            </w:r>
            <w:r>
              <w:rPr>
                <w:spacing w:val="-22"/>
              </w:rPr>
              <w:t>，下达关</w:t>
            </w:r>
          </w:p>
          <w:p w14:paraId="0CC6AAF5">
            <w:pPr>
              <w:pStyle w:val="7"/>
              <w:spacing w:before="184" w:line="217" w:lineRule="auto"/>
              <w:ind w:left="129"/>
            </w:pPr>
            <w:r>
              <w:rPr>
                <w:spacing w:val="-22"/>
              </w:rPr>
              <w:t>闭管路命令，立即向水、油、气管理部门通告，对抢修所需的资源进行</w:t>
            </w:r>
          </w:p>
          <w:p w14:paraId="71452C41">
            <w:pPr>
              <w:pStyle w:val="7"/>
              <w:spacing w:before="184" w:line="216" w:lineRule="auto"/>
              <w:ind w:left="3271"/>
            </w:pPr>
            <w:r>
              <w:rPr>
                <w:spacing w:val="-11"/>
              </w:rPr>
              <w:t>估算</w:t>
            </w:r>
          </w:p>
        </w:tc>
      </w:tr>
      <w:tr w14:paraId="3902FE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4" w:hRule="atLeast"/>
        </w:trPr>
        <w:tc>
          <w:tcPr>
            <w:tcW w:w="2206" w:type="dxa"/>
            <w:gridSpan w:val="2"/>
            <w:tcBorders>
              <w:left w:val="single" w:color="000000" w:sz="4" w:space="0"/>
            </w:tcBorders>
            <w:vAlign w:val="top"/>
          </w:tcPr>
          <w:p w14:paraId="59BAC30A">
            <w:pPr>
              <w:pStyle w:val="7"/>
              <w:spacing w:before="99" w:line="237" w:lineRule="auto"/>
              <w:ind w:left="1063"/>
            </w:pPr>
            <w:r>
              <w:t>3</w:t>
            </w:r>
          </w:p>
        </w:tc>
        <w:tc>
          <w:tcPr>
            <w:tcW w:w="6970" w:type="dxa"/>
            <w:gridSpan w:val="2"/>
            <w:tcBorders>
              <w:right w:val="single" w:color="000000" w:sz="4" w:space="0"/>
            </w:tcBorders>
            <w:vAlign w:val="top"/>
          </w:tcPr>
          <w:p w14:paraId="61F7E92C">
            <w:pPr>
              <w:pStyle w:val="7"/>
              <w:spacing w:before="98" w:line="217" w:lineRule="auto"/>
              <w:ind w:left="223"/>
            </w:pPr>
            <w:r>
              <w:rPr>
                <w:spacing w:val="-21"/>
              </w:rPr>
              <w:t>副队长根据判断结果，制定抢修技术方案，</w:t>
            </w:r>
            <w:r>
              <w:rPr>
                <w:spacing w:val="-22"/>
              </w:rPr>
              <w:t>明确抢修队各小组的任务</w:t>
            </w:r>
          </w:p>
        </w:tc>
      </w:tr>
      <w:tr w14:paraId="476163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4" w:hRule="atLeast"/>
        </w:trPr>
        <w:tc>
          <w:tcPr>
            <w:tcW w:w="2206" w:type="dxa"/>
            <w:gridSpan w:val="2"/>
            <w:tcBorders>
              <w:left w:val="single" w:color="000000" w:sz="4" w:space="0"/>
            </w:tcBorders>
            <w:vAlign w:val="top"/>
          </w:tcPr>
          <w:p w14:paraId="2EDDDD45">
            <w:pPr>
              <w:pStyle w:val="7"/>
              <w:spacing w:before="100" w:line="238" w:lineRule="auto"/>
              <w:ind w:left="1058"/>
            </w:pPr>
            <w:r>
              <w:t>4</w:t>
            </w:r>
          </w:p>
        </w:tc>
        <w:tc>
          <w:tcPr>
            <w:tcW w:w="6970" w:type="dxa"/>
            <w:gridSpan w:val="2"/>
            <w:tcBorders>
              <w:right w:val="single" w:color="000000" w:sz="4" w:space="0"/>
            </w:tcBorders>
            <w:vAlign w:val="top"/>
          </w:tcPr>
          <w:p w14:paraId="634106B1">
            <w:pPr>
              <w:pStyle w:val="7"/>
              <w:spacing w:before="100" w:line="216" w:lineRule="auto"/>
              <w:ind w:left="670"/>
            </w:pPr>
            <w:r>
              <w:rPr>
                <w:spacing w:val="-22"/>
              </w:rPr>
              <w:t>队长组织抢修队成员，调动必要的机具、设备、材料等资源</w:t>
            </w:r>
          </w:p>
        </w:tc>
      </w:tr>
      <w:tr w14:paraId="6A4AAD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84" w:hRule="atLeast"/>
        </w:trPr>
        <w:tc>
          <w:tcPr>
            <w:tcW w:w="2206" w:type="dxa"/>
            <w:gridSpan w:val="2"/>
            <w:tcBorders>
              <w:left w:val="single" w:color="000000" w:sz="4" w:space="0"/>
            </w:tcBorders>
            <w:vAlign w:val="top"/>
          </w:tcPr>
          <w:p w14:paraId="0FF1582F">
            <w:pPr>
              <w:pStyle w:val="7"/>
              <w:spacing w:before="101" w:line="237" w:lineRule="auto"/>
              <w:ind w:left="1063"/>
            </w:pPr>
            <w:r>
              <w:t>5</w:t>
            </w:r>
          </w:p>
        </w:tc>
        <w:tc>
          <w:tcPr>
            <w:tcW w:w="6970" w:type="dxa"/>
            <w:gridSpan w:val="2"/>
            <w:tcBorders>
              <w:right w:val="single" w:color="000000" w:sz="4" w:space="0"/>
            </w:tcBorders>
            <w:vAlign w:val="top"/>
          </w:tcPr>
          <w:p w14:paraId="75B5957B">
            <w:pPr>
              <w:pStyle w:val="7"/>
              <w:spacing w:before="101" w:line="217" w:lineRule="auto"/>
              <w:ind w:left="545"/>
            </w:pPr>
            <w:r>
              <w:rPr>
                <w:spacing w:val="-21"/>
              </w:rPr>
              <w:t>对管路破损部位的土上地下障碍物进行清除，亮出被</w:t>
            </w:r>
            <w:r>
              <w:rPr>
                <w:spacing w:val="-22"/>
              </w:rPr>
              <w:t>抢修地域</w:t>
            </w:r>
          </w:p>
        </w:tc>
      </w:tr>
      <w:tr w14:paraId="7DB8EC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5" w:hRule="atLeast"/>
        </w:trPr>
        <w:tc>
          <w:tcPr>
            <w:tcW w:w="476" w:type="dxa"/>
            <w:tcBorders>
              <w:left w:val="single" w:color="1C456A" w:sz="4" w:space="0"/>
              <w:bottom w:val="single" w:color="1C456A" w:sz="4" w:space="0"/>
              <w:right w:val="nil"/>
            </w:tcBorders>
            <w:vAlign w:val="top"/>
          </w:tcPr>
          <w:p w14:paraId="5A9BF010">
            <w:pPr>
              <w:rPr>
                <w:rFonts w:ascii="Arial"/>
                <w:sz w:val="21"/>
              </w:rPr>
            </w:pPr>
            <w:r>
              <w:pict>
                <v:shape id="_x0000_s3232" o:spid="_x0000_s3232" style="position:absolute;left:0pt;margin-left:-0.25pt;margin-top:31.3pt;height:0.75pt;width:2.2pt;mso-position-horizontal-relative:page;mso-position-vertical-relative:page;z-index:251941888;mso-width-relative:page;mso-height-relative:page;" fillcolor="#5B9BD5" filled="t" stroked="f" coordsize="44,15" path="m0,14l43,14,43,0,0,0,0,14xe">
                  <v:path/>
                  <v:fill on="t" focussize="0,0"/>
                  <v:stroke on="f"/>
                  <v:imagedata o:title=""/>
                  <o:lock v:ext="edit"/>
                </v:shape>
              </w:pict>
            </w:r>
          </w:p>
        </w:tc>
        <w:tc>
          <w:tcPr>
            <w:tcW w:w="1730" w:type="dxa"/>
            <w:tcBorders>
              <w:left w:val="nil"/>
              <w:bottom w:val="single" w:color="1C456A" w:sz="4" w:space="0"/>
            </w:tcBorders>
            <w:vAlign w:val="top"/>
          </w:tcPr>
          <w:p w14:paraId="1AECAAE8">
            <w:pPr>
              <w:pStyle w:val="7"/>
              <w:spacing w:before="103" w:line="237" w:lineRule="auto"/>
              <w:ind w:left="590"/>
            </w:pPr>
            <w:r>
              <w:t>6</w:t>
            </w:r>
          </w:p>
        </w:tc>
        <w:tc>
          <w:tcPr>
            <w:tcW w:w="6970" w:type="dxa"/>
            <w:gridSpan w:val="2"/>
            <w:tcBorders>
              <w:bottom w:val="single" w:color="5B9BD5" w:sz="4" w:space="0"/>
              <w:right w:val="single" w:color="5B9BD5" w:sz="4" w:space="0"/>
            </w:tcBorders>
            <w:vAlign w:val="top"/>
          </w:tcPr>
          <w:p w14:paraId="1D05A5E9">
            <w:pPr>
              <w:pStyle w:val="7"/>
              <w:spacing w:before="102" w:line="217" w:lineRule="auto"/>
              <w:ind w:left="542"/>
            </w:pPr>
            <w:r>
              <w:pict>
                <v:shape id="_x0000_s3233" o:spid="_x0000_s3233" style="position:absolute;left:0pt;margin-left:346.65pt;margin-top:31.3pt;height:0.75pt;width:2.2pt;mso-position-horizontal-relative:page;mso-position-vertical-relative:page;z-index:251942912;mso-width-relative:page;mso-height-relative:page;" fillcolor="#5B9BD5" filled="t" stroked="f" coordsize="44,15" path="m0,14l43,14,43,0,0,0,0,14xe">
                  <v:path/>
                  <v:fill on="t" focussize="0,0"/>
                  <v:stroke on="f"/>
                  <v:imagedata o:title=""/>
                  <o:lock v:ext="edit"/>
                </v:shape>
              </w:pict>
            </w:r>
            <w:r>
              <w:rPr>
                <w:spacing w:val="-21"/>
              </w:rPr>
              <w:t>破土挖掘沟槽，亮出破损管道，对沟槽进行必要的防护和排水</w:t>
            </w:r>
          </w:p>
        </w:tc>
      </w:tr>
    </w:tbl>
    <w:p w14:paraId="6C3C75B6">
      <w:pPr>
        <w:rPr>
          <w:rFonts w:ascii="Arial"/>
          <w:sz w:val="21"/>
        </w:rPr>
      </w:pPr>
    </w:p>
    <w:p w14:paraId="47B2D431">
      <w:pPr>
        <w:rPr>
          <w:rFonts w:ascii="Arial" w:hAnsi="Arial" w:eastAsia="Arial" w:cs="Arial"/>
          <w:sz w:val="21"/>
          <w:szCs w:val="21"/>
        </w:rPr>
        <w:sectPr>
          <w:footerReference r:id="rId156" w:type="default"/>
          <w:pgSz w:w="11907" w:h="16839"/>
          <w:pgMar w:top="954" w:right="4" w:bottom="1038" w:left="0" w:header="499" w:footer="357" w:gutter="0"/>
          <w:pgBorders>
            <w:top w:val="none" w:sz="0" w:space="0"/>
            <w:left w:val="none" w:sz="0" w:space="0"/>
            <w:bottom w:val="none" w:sz="0" w:space="0"/>
            <w:right w:val="none" w:sz="0" w:space="0"/>
          </w:pgBorders>
          <w:cols w:space="720" w:num="1"/>
        </w:sectPr>
      </w:pPr>
    </w:p>
    <w:p w14:paraId="6B4B1D15">
      <w:pPr>
        <w:spacing w:line="214" w:lineRule="exact"/>
      </w:pPr>
    </w:p>
    <w:tbl>
      <w:tblPr>
        <w:tblStyle w:val="6"/>
        <w:tblW w:w="9176" w:type="dxa"/>
        <w:tblInd w:w="1366"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203"/>
        <w:gridCol w:w="6973"/>
      </w:tblGrid>
      <w:tr w14:paraId="23B9A0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2203" w:type="dxa"/>
            <w:tcBorders>
              <w:top w:val="single" w:color="000000" w:sz="4" w:space="0"/>
              <w:left w:val="single" w:color="000000" w:sz="4" w:space="0"/>
            </w:tcBorders>
            <w:vAlign w:val="top"/>
          </w:tcPr>
          <w:p w14:paraId="0478446E">
            <w:pPr>
              <w:pStyle w:val="7"/>
              <w:spacing w:before="129" w:line="237" w:lineRule="auto"/>
              <w:ind w:left="1064"/>
            </w:pPr>
            <w:r>
              <w:t>7</w:t>
            </w:r>
          </w:p>
        </w:tc>
        <w:tc>
          <w:tcPr>
            <w:tcW w:w="6973" w:type="dxa"/>
            <w:tcBorders>
              <w:top w:val="single" w:color="5B9BD5" w:sz="4" w:space="0"/>
              <w:right w:val="single" w:color="5B9BD5" w:sz="4" w:space="0"/>
            </w:tcBorders>
            <w:vAlign w:val="top"/>
          </w:tcPr>
          <w:p w14:paraId="374C57CF">
            <w:pPr>
              <w:pStyle w:val="7"/>
              <w:spacing w:before="129" w:line="216" w:lineRule="auto"/>
              <w:ind w:left="111"/>
            </w:pPr>
            <w:r>
              <w:rPr>
                <w:spacing w:val="-21"/>
              </w:rPr>
              <w:t>对管道进行修补或更换，接口、焊缝等作业必须达到有关</w:t>
            </w:r>
            <w:r>
              <w:rPr>
                <w:spacing w:val="-22"/>
              </w:rPr>
              <w:t>技术质量标准</w:t>
            </w:r>
          </w:p>
        </w:tc>
      </w:tr>
      <w:tr w14:paraId="261FC5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2" w:hRule="atLeast"/>
        </w:trPr>
        <w:tc>
          <w:tcPr>
            <w:tcW w:w="2203" w:type="dxa"/>
            <w:tcBorders>
              <w:left w:val="single" w:color="000000" w:sz="4" w:space="0"/>
            </w:tcBorders>
            <w:vAlign w:val="top"/>
          </w:tcPr>
          <w:p w14:paraId="3C645AAF">
            <w:pPr>
              <w:pStyle w:val="7"/>
              <w:spacing w:before="97" w:line="237" w:lineRule="auto"/>
              <w:ind w:left="1060"/>
            </w:pPr>
            <w:r>
              <w:t>8</w:t>
            </w:r>
          </w:p>
        </w:tc>
        <w:tc>
          <w:tcPr>
            <w:tcW w:w="6973" w:type="dxa"/>
            <w:tcBorders>
              <w:right w:val="single" w:color="000000" w:sz="4" w:space="0"/>
            </w:tcBorders>
            <w:vAlign w:val="top"/>
          </w:tcPr>
          <w:p w14:paraId="45BE0044">
            <w:pPr>
              <w:pStyle w:val="7"/>
              <w:spacing w:before="97" w:line="216" w:lineRule="auto"/>
              <w:ind w:left="111"/>
            </w:pPr>
            <w:r>
              <w:rPr>
                <w:spacing w:val="-21"/>
              </w:rPr>
              <w:t>对被损坏管道修补或更换完毕后，加压检验，合格后开通管</w:t>
            </w:r>
            <w:r>
              <w:rPr>
                <w:spacing w:val="-22"/>
              </w:rPr>
              <w:t>道系统阀门</w:t>
            </w:r>
          </w:p>
        </w:tc>
      </w:tr>
      <w:tr w14:paraId="43B774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3" w:hRule="atLeast"/>
        </w:trPr>
        <w:tc>
          <w:tcPr>
            <w:tcW w:w="2203" w:type="dxa"/>
            <w:tcBorders>
              <w:left w:val="single" w:color="1C456A" w:sz="4" w:space="0"/>
              <w:bottom w:val="single" w:color="1C456A" w:sz="4" w:space="0"/>
            </w:tcBorders>
            <w:vAlign w:val="top"/>
          </w:tcPr>
          <w:p w14:paraId="6EDFCF4C">
            <w:pPr>
              <w:pStyle w:val="7"/>
              <w:spacing w:before="100" w:line="237" w:lineRule="auto"/>
              <w:ind w:left="1060"/>
            </w:pPr>
            <w:r>
              <w:t>9</w:t>
            </w:r>
          </w:p>
        </w:tc>
        <w:tc>
          <w:tcPr>
            <w:tcW w:w="6973" w:type="dxa"/>
            <w:tcBorders>
              <w:bottom w:val="single" w:color="5B9BD5" w:sz="4" w:space="0"/>
              <w:right w:val="single" w:color="5B9BD5" w:sz="4" w:space="0"/>
            </w:tcBorders>
            <w:vAlign w:val="top"/>
          </w:tcPr>
          <w:p w14:paraId="72921FFF">
            <w:pPr>
              <w:pStyle w:val="7"/>
              <w:spacing w:before="101" w:line="217" w:lineRule="auto"/>
              <w:ind w:left="1638"/>
            </w:pPr>
            <w:r>
              <w:rPr>
                <w:spacing w:val="-21"/>
              </w:rPr>
              <w:t>沟槽土方回填，将现场及道路清理干净</w:t>
            </w:r>
          </w:p>
        </w:tc>
      </w:tr>
    </w:tbl>
    <w:p w14:paraId="1FFFFCF8">
      <w:pPr>
        <w:pStyle w:val="2"/>
        <w:spacing w:before="114" w:line="217" w:lineRule="auto"/>
        <w:ind w:left="1890"/>
        <w:rPr>
          <w:sz w:val="24"/>
          <w:szCs w:val="24"/>
        </w:rPr>
      </w:pPr>
      <w:r>
        <w:rPr>
          <w:spacing w:val="-18"/>
          <w:sz w:val="24"/>
          <w:szCs w:val="24"/>
        </w:rPr>
        <w:t>3.5、食物中毒、大面积中暑</w:t>
      </w:r>
    </w:p>
    <w:p w14:paraId="2443C0EB">
      <w:pPr>
        <w:spacing w:line="38" w:lineRule="auto"/>
        <w:rPr>
          <w:rFonts w:ascii="Arial"/>
          <w:sz w:val="2"/>
        </w:rPr>
      </w:pPr>
    </w:p>
    <w:tbl>
      <w:tblPr>
        <w:tblStyle w:val="6"/>
        <w:tblW w:w="9176" w:type="dxa"/>
        <w:tblInd w:w="1366"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206"/>
        <w:gridCol w:w="6970"/>
      </w:tblGrid>
      <w:tr w14:paraId="2B73B0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1" w:hRule="atLeast"/>
        </w:trPr>
        <w:tc>
          <w:tcPr>
            <w:tcW w:w="2206" w:type="dxa"/>
            <w:tcBorders>
              <w:top w:val="single" w:color="000000" w:sz="4" w:space="0"/>
              <w:left w:val="single" w:color="000000" w:sz="4" w:space="0"/>
            </w:tcBorders>
            <w:shd w:val="clear" w:color="auto" w:fill="DEEAF6"/>
            <w:vAlign w:val="top"/>
          </w:tcPr>
          <w:p w14:paraId="08D50D98">
            <w:pPr>
              <w:pStyle w:val="7"/>
              <w:spacing w:before="127" w:line="218" w:lineRule="auto"/>
              <w:ind w:left="900"/>
            </w:pPr>
            <w:r>
              <w:rPr>
                <w:b/>
                <w:bCs/>
                <w:spacing w:val="-12"/>
              </w:rPr>
              <w:t>序号</w:t>
            </w:r>
          </w:p>
        </w:tc>
        <w:tc>
          <w:tcPr>
            <w:tcW w:w="6970" w:type="dxa"/>
            <w:tcBorders>
              <w:top w:val="single" w:color="5B9BD5" w:sz="4" w:space="0"/>
              <w:right w:val="single" w:color="5B9BD5" w:sz="4" w:space="0"/>
            </w:tcBorders>
            <w:shd w:val="clear" w:color="auto" w:fill="DEEAF6"/>
            <w:vAlign w:val="top"/>
          </w:tcPr>
          <w:p w14:paraId="17D6A3E4">
            <w:pPr>
              <w:pStyle w:val="7"/>
              <w:spacing w:before="126" w:line="219" w:lineRule="auto"/>
              <w:ind w:left="2831"/>
            </w:pPr>
            <w:r>
              <w:rPr>
                <w:b/>
                <w:bCs/>
                <w:spacing w:val="-20"/>
              </w:rPr>
              <w:t>应急响应措施</w:t>
            </w:r>
          </w:p>
        </w:tc>
      </w:tr>
      <w:tr w14:paraId="152C58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8" w:hRule="atLeast"/>
        </w:trPr>
        <w:tc>
          <w:tcPr>
            <w:tcW w:w="2206" w:type="dxa"/>
            <w:tcBorders>
              <w:left w:val="single" w:color="000000" w:sz="4" w:space="0"/>
            </w:tcBorders>
            <w:vAlign w:val="top"/>
          </w:tcPr>
          <w:p w14:paraId="098E1C1A">
            <w:pPr>
              <w:pStyle w:val="7"/>
              <w:spacing w:before="124" w:line="238" w:lineRule="auto"/>
              <w:ind w:left="1076"/>
            </w:pPr>
            <w:r>
              <w:t>1</w:t>
            </w:r>
          </w:p>
        </w:tc>
        <w:tc>
          <w:tcPr>
            <w:tcW w:w="6970" w:type="dxa"/>
            <w:tcBorders>
              <w:right w:val="single" w:color="000000" w:sz="4" w:space="0"/>
            </w:tcBorders>
            <w:vAlign w:val="top"/>
          </w:tcPr>
          <w:p w14:paraId="165BB0EE">
            <w:pPr>
              <w:pStyle w:val="7"/>
              <w:spacing w:before="123" w:line="218" w:lineRule="auto"/>
              <w:ind w:left="2403"/>
            </w:pPr>
            <w:r>
              <w:rPr>
                <w:spacing w:val="-20"/>
              </w:rPr>
              <w:t>发现异常情况及时报告</w:t>
            </w:r>
          </w:p>
        </w:tc>
      </w:tr>
      <w:tr w14:paraId="484488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9" w:hRule="atLeast"/>
        </w:trPr>
        <w:tc>
          <w:tcPr>
            <w:tcW w:w="2206" w:type="dxa"/>
            <w:tcBorders>
              <w:left w:val="single" w:color="000000" w:sz="4" w:space="0"/>
            </w:tcBorders>
            <w:vAlign w:val="top"/>
          </w:tcPr>
          <w:p w14:paraId="3D4EAFBB">
            <w:pPr>
              <w:pStyle w:val="7"/>
              <w:spacing w:before="121" w:line="238" w:lineRule="auto"/>
              <w:ind w:left="1062"/>
            </w:pPr>
            <w:r>
              <w:t>2</w:t>
            </w:r>
          </w:p>
        </w:tc>
        <w:tc>
          <w:tcPr>
            <w:tcW w:w="6970" w:type="dxa"/>
            <w:tcBorders>
              <w:right w:val="single" w:color="000000" w:sz="4" w:space="0"/>
            </w:tcBorders>
            <w:vAlign w:val="top"/>
          </w:tcPr>
          <w:p w14:paraId="0B29202D">
            <w:pPr>
              <w:pStyle w:val="7"/>
              <w:spacing w:before="121" w:line="217" w:lineRule="auto"/>
              <w:ind w:left="1413"/>
            </w:pPr>
            <w:r>
              <w:rPr>
                <w:spacing w:val="-21"/>
              </w:rPr>
              <w:t>救护指挥立即召集抢救小组，进入应急状态</w:t>
            </w:r>
          </w:p>
        </w:tc>
      </w:tr>
      <w:tr w14:paraId="764D58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9" w:hRule="atLeast"/>
        </w:trPr>
        <w:tc>
          <w:tcPr>
            <w:tcW w:w="2206" w:type="dxa"/>
            <w:tcBorders>
              <w:left w:val="single" w:color="000000" w:sz="4" w:space="0"/>
            </w:tcBorders>
            <w:vAlign w:val="top"/>
          </w:tcPr>
          <w:p w14:paraId="589333B0">
            <w:pPr>
              <w:pStyle w:val="7"/>
              <w:spacing w:before="118" w:line="237" w:lineRule="auto"/>
              <w:ind w:left="1063"/>
            </w:pPr>
            <w:r>
              <w:t>3</w:t>
            </w:r>
          </w:p>
        </w:tc>
        <w:tc>
          <w:tcPr>
            <w:tcW w:w="6970" w:type="dxa"/>
            <w:tcBorders>
              <w:right w:val="single" w:color="000000" w:sz="4" w:space="0"/>
            </w:tcBorders>
            <w:vAlign w:val="top"/>
          </w:tcPr>
          <w:p w14:paraId="1849605A">
            <w:pPr>
              <w:pStyle w:val="7"/>
              <w:spacing w:before="118" w:line="216" w:lineRule="auto"/>
              <w:ind w:left="1637"/>
            </w:pPr>
            <w:r>
              <w:rPr>
                <w:spacing w:val="-21"/>
              </w:rPr>
              <w:t>判明中毒性质，采取相应排毒救治措施</w:t>
            </w:r>
          </w:p>
        </w:tc>
      </w:tr>
      <w:tr w14:paraId="00ACF1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9" w:hRule="atLeast"/>
        </w:trPr>
        <w:tc>
          <w:tcPr>
            <w:tcW w:w="2206" w:type="dxa"/>
            <w:tcBorders>
              <w:left w:val="single" w:color="000000" w:sz="4" w:space="0"/>
            </w:tcBorders>
            <w:vAlign w:val="top"/>
          </w:tcPr>
          <w:p w14:paraId="05B09532">
            <w:pPr>
              <w:pStyle w:val="7"/>
              <w:spacing w:before="114" w:line="238" w:lineRule="auto"/>
              <w:ind w:left="1058"/>
            </w:pPr>
            <w:r>
              <w:t>4</w:t>
            </w:r>
          </w:p>
        </w:tc>
        <w:tc>
          <w:tcPr>
            <w:tcW w:w="6970" w:type="dxa"/>
            <w:tcBorders>
              <w:right w:val="single" w:color="000000" w:sz="4" w:space="0"/>
            </w:tcBorders>
            <w:vAlign w:val="top"/>
          </w:tcPr>
          <w:p w14:paraId="4EA1E6E7">
            <w:pPr>
              <w:pStyle w:val="7"/>
              <w:spacing w:before="115" w:line="217" w:lineRule="auto"/>
              <w:ind w:left="982"/>
            </w:pPr>
            <w:r>
              <w:rPr>
                <w:spacing w:val="-21"/>
              </w:rPr>
              <w:t>如果需要将患者送医院救治，联络组与医院取得联系</w:t>
            </w:r>
          </w:p>
        </w:tc>
      </w:tr>
      <w:tr w14:paraId="39C88E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1" w:hRule="atLeast"/>
        </w:trPr>
        <w:tc>
          <w:tcPr>
            <w:tcW w:w="2206" w:type="dxa"/>
            <w:tcBorders>
              <w:left w:val="single" w:color="000000" w:sz="4" w:space="0"/>
            </w:tcBorders>
            <w:vAlign w:val="top"/>
          </w:tcPr>
          <w:p w14:paraId="090D49DF">
            <w:pPr>
              <w:pStyle w:val="7"/>
              <w:spacing w:before="110" w:line="237" w:lineRule="auto"/>
              <w:ind w:left="1063"/>
            </w:pPr>
            <w:r>
              <w:t>5</w:t>
            </w:r>
          </w:p>
        </w:tc>
        <w:tc>
          <w:tcPr>
            <w:tcW w:w="6970" w:type="dxa"/>
            <w:tcBorders>
              <w:right w:val="single" w:color="000000" w:sz="4" w:space="0"/>
            </w:tcBorders>
            <w:vAlign w:val="top"/>
          </w:tcPr>
          <w:p w14:paraId="04771B0E">
            <w:pPr>
              <w:pStyle w:val="7"/>
              <w:spacing w:before="111" w:line="215" w:lineRule="auto"/>
              <w:ind w:left="655"/>
            </w:pPr>
            <w:r>
              <w:rPr>
                <w:spacing w:val="-21"/>
              </w:rPr>
              <w:t>使用适宜的运输设备（含医院救护车）尽快将患者送至医院</w:t>
            </w:r>
          </w:p>
        </w:tc>
      </w:tr>
      <w:tr w14:paraId="2ADE64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0" w:hRule="atLeast"/>
        </w:trPr>
        <w:tc>
          <w:tcPr>
            <w:tcW w:w="2206" w:type="dxa"/>
            <w:tcBorders>
              <w:left w:val="single" w:color="20507B" w:sz="4" w:space="0"/>
              <w:bottom w:val="single" w:color="20507B" w:sz="4" w:space="0"/>
            </w:tcBorders>
            <w:vAlign w:val="top"/>
          </w:tcPr>
          <w:p w14:paraId="0C0361C4">
            <w:pPr>
              <w:pStyle w:val="7"/>
              <w:spacing w:before="107" w:line="237" w:lineRule="auto"/>
              <w:ind w:left="1061"/>
            </w:pPr>
            <w:r>
              <w:t>6</w:t>
            </w:r>
          </w:p>
          <w:p w14:paraId="70CE8022">
            <w:pPr>
              <w:spacing w:before="181" w:line="23" w:lineRule="exact"/>
            </w:pPr>
            <w:r>
              <w:rPr>
                <w:position w:val="-2"/>
              </w:rPr>
              <w:pict>
                <v:group id="_x0000_s3234" o:spid="_x0000_s3234" o:spt="203" style="height:2.2pt;width:110.05pt;" coordsize="2201,44">
                  <o:lock v:ext="edit"/>
                  <v:shape id="_x0000_s3235" o:spid="_x0000_s3235" style="position:absolute;left:0;top:28;height:15;width:44;" fillcolor="#5B9BD5" filled="t" stroked="f" coordsize="44,15" path="m0,14l43,14,43,0,0,0,0,14xe">
                    <v:path/>
                    <v:fill on="t" focussize="0,0"/>
                    <v:stroke on="f"/>
                    <v:imagedata o:title=""/>
                    <o:lock v:ext="edit"/>
                  </v:shape>
                  <v:shape id="_x0000_s3236" o:spid="_x0000_s3236" style="position:absolute;left:43;top:0;height:15;width:2158;" fillcolor="#1C456A" filled="t" stroked="f" coordsize="2158,15" path="m0,14l2157,14,2157,0,0,0,0,14xe">
                    <v:path/>
                    <v:fill on="t" focussize="0,0"/>
                    <v:stroke on="f"/>
                    <v:imagedata o:title=""/>
                    <o:lock v:ext="edit"/>
                  </v:shape>
                  <w10:wrap type="none"/>
                  <w10:anchorlock/>
                </v:group>
              </w:pict>
            </w:r>
          </w:p>
        </w:tc>
        <w:tc>
          <w:tcPr>
            <w:tcW w:w="6970" w:type="dxa"/>
            <w:tcBorders>
              <w:bottom w:val="single" w:color="5B9BD5" w:sz="4" w:space="0"/>
              <w:right w:val="single" w:color="5B9BD5" w:sz="4" w:space="0"/>
            </w:tcBorders>
            <w:vAlign w:val="top"/>
          </w:tcPr>
          <w:p w14:paraId="453D79B9">
            <w:pPr>
              <w:pStyle w:val="7"/>
              <w:spacing w:before="107" w:line="217" w:lineRule="auto"/>
              <w:ind w:left="2071"/>
            </w:pPr>
            <w:r>
              <w:rPr>
                <w:spacing w:val="-20"/>
              </w:rPr>
              <w:t>对现场进行必要的可行的保护</w:t>
            </w:r>
          </w:p>
          <w:p w14:paraId="60540B72">
            <w:pPr>
              <w:spacing w:before="207" w:line="23" w:lineRule="exact"/>
              <w:ind w:firstLine="30"/>
            </w:pPr>
            <w:r>
              <w:rPr>
                <w:position w:val="-2"/>
              </w:rPr>
              <w:pict>
                <v:group id="_x0000_s3237" o:spid="_x0000_s3237" o:spt="203" style="height:2.2pt;width:347.15pt;" coordsize="6942,44">
                  <o:lock v:ext="edit"/>
                  <v:shape id="_x0000_s3238" o:spid="_x0000_s3238" style="position:absolute;left:0;top:0;height:15;width:6899;" fillcolor="#1C456A" filled="t" stroked="f" coordsize="6899,15" path="m0,14l6898,14,6898,0,0,0,0,14xe">
                    <v:path/>
                    <v:fill on="t" focussize="0,0"/>
                    <v:stroke on="f"/>
                    <v:imagedata o:title=""/>
                    <o:lock v:ext="edit"/>
                  </v:shape>
                  <v:shape id="_x0000_s3239" o:spid="_x0000_s3239" style="position:absolute;left:6899;top:28;height:15;width:44;" fillcolor="#5B9BD5" filled="t" stroked="f" coordsize="44,15" path="m0,14l43,14,43,0,0,0,0,14xe">
                    <v:path/>
                    <v:fill on="t" focussize="0,0"/>
                    <v:stroke on="f"/>
                    <v:imagedata o:title=""/>
                    <o:lock v:ext="edit"/>
                  </v:shape>
                  <w10:wrap type="none"/>
                  <w10:anchorlock/>
                </v:group>
              </w:pict>
            </w:r>
          </w:p>
        </w:tc>
      </w:tr>
    </w:tbl>
    <w:p w14:paraId="2B50A5CE">
      <w:pPr>
        <w:pStyle w:val="2"/>
        <w:spacing w:before="113" w:line="218" w:lineRule="auto"/>
        <w:ind w:left="1890"/>
        <w:rPr>
          <w:sz w:val="24"/>
          <w:szCs w:val="24"/>
        </w:rPr>
      </w:pPr>
      <w:r>
        <w:rPr>
          <w:spacing w:val="-16"/>
          <w:sz w:val="24"/>
          <w:szCs w:val="24"/>
        </w:rPr>
        <w:t>3.6、突发传染病</w:t>
      </w:r>
    </w:p>
    <w:p w14:paraId="015F0B80">
      <w:pPr>
        <w:spacing w:line="19" w:lineRule="auto"/>
        <w:rPr>
          <w:rFonts w:ascii="Arial"/>
          <w:sz w:val="2"/>
        </w:rPr>
      </w:pPr>
    </w:p>
    <w:tbl>
      <w:tblPr>
        <w:tblStyle w:val="6"/>
        <w:tblW w:w="9176" w:type="dxa"/>
        <w:tblInd w:w="1366"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56"/>
        <w:gridCol w:w="1650"/>
        <w:gridCol w:w="6901"/>
        <w:gridCol w:w="69"/>
      </w:tblGrid>
      <w:tr w14:paraId="0FF3E8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0" w:hRule="atLeast"/>
        </w:trPr>
        <w:tc>
          <w:tcPr>
            <w:tcW w:w="2206" w:type="dxa"/>
            <w:gridSpan w:val="2"/>
            <w:tcBorders>
              <w:top w:val="single" w:color="000000" w:sz="4" w:space="0"/>
              <w:left w:val="single" w:color="000000" w:sz="4" w:space="0"/>
            </w:tcBorders>
            <w:shd w:val="clear" w:color="auto" w:fill="DEEAF6"/>
            <w:vAlign w:val="top"/>
          </w:tcPr>
          <w:p w14:paraId="6F451C60">
            <w:pPr>
              <w:spacing w:before="33" w:line="60" w:lineRule="exact"/>
              <w:ind w:firstLine="33"/>
            </w:pPr>
            <w:r>
              <w:pict>
                <v:shape id="_x0000_s3240" o:spid="_x0000_s3240" style="position:absolute;left:0pt;margin-left:-0.2pt;margin-top:0pt;height:0.75pt;width:2.2pt;mso-position-horizontal-relative:page;mso-position-vertical-relative:page;z-index:251954176;mso-width-relative:page;mso-height-relative:page;" fillcolor="#5B9BD5" filled="t" stroked="f" coordsize="44,15" path="m0,14l43,14,43,0,0,0,0,14xe">
                  <v:path/>
                  <v:fill on="t" focussize="0,0"/>
                  <v:stroke on="f"/>
                  <v:imagedata o:title=""/>
                  <o:lock v:ext="edit"/>
                </v:shape>
              </w:pict>
            </w:r>
            <w:r>
              <w:rPr>
                <w:position w:val="-1"/>
              </w:rPr>
              <w:pict>
                <v:shape id="_x0000_s3241" o:spid="_x0000_s3241" style="height:3pt;width:107.9pt;" fillcolor="#DEEAF6" filled="t" stroked="f" coordsize="2158,60" path="m0,60l2157,60,2157,0,0,0,0,60xe">
                  <v:path/>
                  <v:fill on="t" focussize="0,0"/>
                  <v:stroke on="f"/>
                  <v:imagedata o:title=""/>
                  <o:lock v:ext="edit"/>
                  <w10:wrap type="none"/>
                  <w10:anchorlock/>
                </v:shape>
              </w:pict>
            </w:r>
          </w:p>
          <w:p w14:paraId="232E0D39">
            <w:pPr>
              <w:pStyle w:val="7"/>
              <w:spacing w:before="36" w:line="218" w:lineRule="auto"/>
              <w:ind w:left="900"/>
            </w:pPr>
            <w:r>
              <w:rPr>
                <w:b/>
                <w:bCs/>
                <w:spacing w:val="-12"/>
              </w:rPr>
              <w:t>序号</w:t>
            </w:r>
          </w:p>
        </w:tc>
        <w:tc>
          <w:tcPr>
            <w:tcW w:w="6901" w:type="dxa"/>
            <w:tcBorders>
              <w:top w:val="single" w:color="5B9BD5" w:sz="4" w:space="0"/>
              <w:right w:val="nil"/>
            </w:tcBorders>
            <w:shd w:val="clear" w:color="auto" w:fill="DEEAF6"/>
            <w:vAlign w:val="top"/>
          </w:tcPr>
          <w:p w14:paraId="2C3C1F72">
            <w:pPr>
              <w:pStyle w:val="7"/>
              <w:spacing w:before="129" w:line="219" w:lineRule="auto"/>
              <w:ind w:left="2831"/>
            </w:pPr>
            <w:r>
              <w:rPr>
                <w:b/>
                <w:bCs/>
                <w:spacing w:val="-20"/>
              </w:rPr>
              <w:t>应急响应措施</w:t>
            </w:r>
          </w:p>
        </w:tc>
        <w:tc>
          <w:tcPr>
            <w:tcW w:w="69" w:type="dxa"/>
            <w:tcBorders>
              <w:top w:val="single" w:color="5B9BD5" w:sz="4" w:space="0"/>
              <w:left w:val="nil"/>
              <w:right w:val="single" w:color="5B9BD5" w:sz="4" w:space="0"/>
            </w:tcBorders>
            <w:vAlign w:val="top"/>
          </w:tcPr>
          <w:p w14:paraId="0A2FA35F">
            <w:pPr>
              <w:rPr>
                <w:rFonts w:ascii="Arial"/>
                <w:sz w:val="21"/>
              </w:rPr>
            </w:pPr>
            <w:r>
              <w:pict>
                <v:shape id="_x0000_s3242" o:spid="_x0000_s3242" style="position:absolute;left:0pt;margin-left:1.6pt;margin-top:0pt;height:0.75pt;width:2.2pt;mso-position-horizontal-relative:page;mso-position-vertical-relative:page;z-index:251953152;mso-width-relative:page;mso-height-relative:page;" fillcolor="#5B9BD5" filled="t" stroked="f" coordsize="44,15" path="m0,14l43,14,43,0,0,0,0,14xe">
                  <v:path/>
                  <v:fill on="t" focussize="0,0"/>
                  <v:stroke on="f"/>
                  <v:imagedata o:title=""/>
                  <o:lock v:ext="edit"/>
                </v:shape>
              </w:pict>
            </w:r>
          </w:p>
        </w:tc>
      </w:tr>
      <w:tr w14:paraId="4B4ED6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8" w:hRule="atLeast"/>
        </w:trPr>
        <w:tc>
          <w:tcPr>
            <w:tcW w:w="2206" w:type="dxa"/>
            <w:gridSpan w:val="2"/>
            <w:tcBorders>
              <w:left w:val="single" w:color="000000" w:sz="4" w:space="0"/>
            </w:tcBorders>
            <w:vAlign w:val="top"/>
          </w:tcPr>
          <w:p w14:paraId="00CF31DC">
            <w:pPr>
              <w:pStyle w:val="7"/>
              <w:spacing w:before="125" w:line="238" w:lineRule="auto"/>
              <w:ind w:left="1076"/>
            </w:pPr>
            <w:r>
              <w:t>1</w:t>
            </w:r>
          </w:p>
        </w:tc>
        <w:tc>
          <w:tcPr>
            <w:tcW w:w="6970" w:type="dxa"/>
            <w:gridSpan w:val="2"/>
            <w:tcBorders>
              <w:right w:val="single" w:color="000000" w:sz="4" w:space="0"/>
            </w:tcBorders>
            <w:vAlign w:val="top"/>
          </w:tcPr>
          <w:p w14:paraId="682AB125">
            <w:pPr>
              <w:pStyle w:val="7"/>
              <w:spacing w:before="125" w:line="218" w:lineRule="auto"/>
              <w:ind w:left="2621"/>
            </w:pPr>
            <w:r>
              <w:rPr>
                <w:spacing w:val="-20"/>
              </w:rPr>
              <w:t>发现疫情及时报告</w:t>
            </w:r>
          </w:p>
        </w:tc>
      </w:tr>
      <w:tr w14:paraId="6E92F2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8" w:hRule="atLeast"/>
        </w:trPr>
        <w:tc>
          <w:tcPr>
            <w:tcW w:w="2206" w:type="dxa"/>
            <w:gridSpan w:val="2"/>
            <w:tcBorders>
              <w:left w:val="single" w:color="000000" w:sz="4" w:space="0"/>
            </w:tcBorders>
            <w:vAlign w:val="top"/>
          </w:tcPr>
          <w:p w14:paraId="01FDEECC">
            <w:pPr>
              <w:pStyle w:val="7"/>
              <w:spacing w:before="122" w:line="238" w:lineRule="auto"/>
              <w:ind w:left="1062"/>
            </w:pPr>
            <w:r>
              <w:t>2</w:t>
            </w:r>
          </w:p>
        </w:tc>
        <w:tc>
          <w:tcPr>
            <w:tcW w:w="6970" w:type="dxa"/>
            <w:gridSpan w:val="2"/>
            <w:tcBorders>
              <w:right w:val="single" w:color="000000" w:sz="4" w:space="0"/>
            </w:tcBorders>
            <w:vAlign w:val="top"/>
          </w:tcPr>
          <w:p w14:paraId="41CD05B1">
            <w:pPr>
              <w:pStyle w:val="7"/>
              <w:spacing w:before="123" w:line="217" w:lineRule="auto"/>
              <w:ind w:left="1959"/>
            </w:pPr>
            <w:r>
              <w:rPr>
                <w:spacing w:val="-20"/>
              </w:rPr>
              <w:t>指挥员召集救护组进入应急状态</w:t>
            </w:r>
          </w:p>
        </w:tc>
      </w:tr>
      <w:tr w14:paraId="641E13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0" w:hRule="atLeast"/>
        </w:trPr>
        <w:tc>
          <w:tcPr>
            <w:tcW w:w="2206" w:type="dxa"/>
            <w:gridSpan w:val="2"/>
            <w:tcBorders>
              <w:left w:val="single" w:color="000000" w:sz="4" w:space="0"/>
            </w:tcBorders>
            <w:vAlign w:val="top"/>
          </w:tcPr>
          <w:p w14:paraId="510B4C81">
            <w:pPr>
              <w:pStyle w:val="7"/>
              <w:spacing w:before="119" w:line="237" w:lineRule="auto"/>
              <w:ind w:left="1063"/>
            </w:pPr>
            <w:r>
              <w:t>3</w:t>
            </w:r>
          </w:p>
        </w:tc>
        <w:tc>
          <w:tcPr>
            <w:tcW w:w="6970" w:type="dxa"/>
            <w:gridSpan w:val="2"/>
            <w:tcBorders>
              <w:right w:val="single" w:color="000000" w:sz="4" w:space="0"/>
            </w:tcBorders>
            <w:vAlign w:val="top"/>
          </w:tcPr>
          <w:p w14:paraId="51B7371C">
            <w:pPr>
              <w:pStyle w:val="7"/>
              <w:spacing w:before="119" w:line="219" w:lineRule="auto"/>
              <w:ind w:left="2070"/>
            </w:pPr>
            <w:r>
              <w:rPr>
                <w:spacing w:val="-20"/>
              </w:rPr>
              <w:t>调查发病原因，查明发病人数</w:t>
            </w:r>
          </w:p>
        </w:tc>
      </w:tr>
      <w:tr w14:paraId="5A941B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55" w:hRule="atLeast"/>
        </w:trPr>
        <w:tc>
          <w:tcPr>
            <w:tcW w:w="2206" w:type="dxa"/>
            <w:gridSpan w:val="2"/>
            <w:tcBorders>
              <w:left w:val="single" w:color="000000" w:sz="4" w:space="0"/>
            </w:tcBorders>
            <w:vAlign w:val="top"/>
          </w:tcPr>
          <w:p w14:paraId="6B881FE8">
            <w:pPr>
              <w:spacing w:line="271" w:lineRule="auto"/>
              <w:rPr>
                <w:rFonts w:ascii="Arial"/>
                <w:sz w:val="21"/>
              </w:rPr>
            </w:pPr>
          </w:p>
          <w:p w14:paraId="13D0E282">
            <w:pPr>
              <w:pStyle w:val="7"/>
              <w:spacing w:before="78" w:line="238" w:lineRule="auto"/>
              <w:ind w:left="1058"/>
            </w:pPr>
            <w:r>
              <w:t>4</w:t>
            </w:r>
          </w:p>
        </w:tc>
        <w:tc>
          <w:tcPr>
            <w:tcW w:w="6970" w:type="dxa"/>
            <w:gridSpan w:val="2"/>
            <w:tcBorders>
              <w:right w:val="single" w:color="000000" w:sz="4" w:space="0"/>
            </w:tcBorders>
            <w:vAlign w:val="top"/>
          </w:tcPr>
          <w:p w14:paraId="6A8B804B">
            <w:pPr>
              <w:pStyle w:val="7"/>
              <w:spacing w:before="117" w:line="216" w:lineRule="auto"/>
              <w:ind w:left="107"/>
            </w:pPr>
            <w:r>
              <w:rPr>
                <w:spacing w:val="-21"/>
              </w:rPr>
              <w:t>控制传染源，立即对病人采取隔离措施，并派专人管理，及</w:t>
            </w:r>
            <w:r>
              <w:rPr>
                <w:spacing w:val="-22"/>
              </w:rPr>
              <w:t>时通知就近</w:t>
            </w:r>
          </w:p>
          <w:p w14:paraId="6AFBF343">
            <w:pPr>
              <w:pStyle w:val="7"/>
              <w:spacing w:before="185" w:line="218" w:lineRule="auto"/>
              <w:ind w:left="3072"/>
            </w:pPr>
            <w:r>
              <w:rPr>
                <w:spacing w:val="-20"/>
              </w:rPr>
              <w:t>医院救治</w:t>
            </w:r>
          </w:p>
        </w:tc>
      </w:tr>
      <w:tr w14:paraId="216B5D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59" w:hRule="atLeast"/>
        </w:trPr>
        <w:tc>
          <w:tcPr>
            <w:tcW w:w="2206" w:type="dxa"/>
            <w:gridSpan w:val="2"/>
            <w:tcBorders>
              <w:left w:val="single" w:color="000000" w:sz="4" w:space="0"/>
            </w:tcBorders>
            <w:vAlign w:val="top"/>
          </w:tcPr>
          <w:p w14:paraId="4CFF7C88">
            <w:pPr>
              <w:spacing w:line="269" w:lineRule="auto"/>
              <w:rPr>
                <w:rFonts w:ascii="Arial"/>
                <w:sz w:val="21"/>
              </w:rPr>
            </w:pPr>
          </w:p>
          <w:p w14:paraId="2FFFBF46">
            <w:pPr>
              <w:pStyle w:val="7"/>
              <w:spacing w:before="78" w:line="237" w:lineRule="auto"/>
              <w:ind w:left="1063"/>
            </w:pPr>
            <w:r>
              <w:t>5</w:t>
            </w:r>
          </w:p>
        </w:tc>
        <w:tc>
          <w:tcPr>
            <w:tcW w:w="6970" w:type="dxa"/>
            <w:gridSpan w:val="2"/>
            <w:tcBorders>
              <w:right w:val="single" w:color="000000" w:sz="4" w:space="0"/>
            </w:tcBorders>
            <w:vAlign w:val="top"/>
          </w:tcPr>
          <w:p w14:paraId="1049CF5B">
            <w:pPr>
              <w:pStyle w:val="7"/>
              <w:spacing w:before="113" w:line="217" w:lineRule="auto"/>
              <w:ind w:left="64"/>
            </w:pPr>
            <w:r>
              <w:rPr>
                <w:spacing w:val="-20"/>
              </w:rPr>
              <w:t>切断传播途径，卫生管理员对病人接触过的物品，要用84消毒液进行消</w:t>
            </w:r>
          </w:p>
          <w:p w14:paraId="006DAF1F">
            <w:pPr>
              <w:pStyle w:val="7"/>
              <w:spacing w:before="186" w:line="216" w:lineRule="auto"/>
              <w:ind w:left="983"/>
            </w:pPr>
            <w:r>
              <w:rPr>
                <w:spacing w:val="-21"/>
              </w:rPr>
              <w:t>毒。操作时要戴一次性的口罩和手套，避免接触传染</w:t>
            </w:r>
          </w:p>
        </w:tc>
      </w:tr>
      <w:tr w14:paraId="5970D5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9" w:hRule="atLeast"/>
        </w:trPr>
        <w:tc>
          <w:tcPr>
            <w:tcW w:w="556" w:type="dxa"/>
            <w:tcBorders>
              <w:left w:val="single" w:color="1C456A" w:sz="4" w:space="0"/>
              <w:bottom w:val="single" w:color="1C456A" w:sz="4" w:space="0"/>
              <w:right w:val="nil"/>
            </w:tcBorders>
            <w:vAlign w:val="top"/>
          </w:tcPr>
          <w:p w14:paraId="6D47D90E">
            <w:pPr>
              <w:rPr>
                <w:rFonts w:ascii="Arial"/>
                <w:sz w:val="21"/>
              </w:rPr>
            </w:pPr>
            <w:r>
              <w:pict>
                <v:shape id="_x0000_s3243" o:spid="_x0000_s3243" style="position:absolute;left:0pt;margin-left:-0.25pt;margin-top:55pt;height:0.75pt;width:2.2pt;mso-position-horizontal-relative:page;mso-position-vertical-relative:page;z-index:251951104;mso-width-relative:page;mso-height-relative:page;" fillcolor="#5B9BD5" filled="t" stroked="f" coordsize="44,15" path="m0,14l43,14,43,0,0,0,0,14xe">
                  <v:path/>
                  <v:fill on="t" focussize="0,0"/>
                  <v:stroke on="f"/>
                  <v:imagedata o:title=""/>
                  <o:lock v:ext="edit"/>
                </v:shape>
              </w:pict>
            </w:r>
          </w:p>
        </w:tc>
        <w:tc>
          <w:tcPr>
            <w:tcW w:w="1650" w:type="dxa"/>
            <w:tcBorders>
              <w:left w:val="nil"/>
              <w:bottom w:val="single" w:color="1C456A" w:sz="4" w:space="0"/>
            </w:tcBorders>
            <w:vAlign w:val="top"/>
          </w:tcPr>
          <w:p w14:paraId="3DAB3CF4">
            <w:pPr>
              <w:spacing w:line="261" w:lineRule="auto"/>
              <w:rPr>
                <w:rFonts w:ascii="Arial"/>
                <w:sz w:val="21"/>
              </w:rPr>
            </w:pPr>
          </w:p>
          <w:p w14:paraId="731B1DCB">
            <w:pPr>
              <w:pStyle w:val="7"/>
              <w:spacing w:before="78" w:line="237" w:lineRule="auto"/>
              <w:ind w:left="510"/>
            </w:pPr>
            <w:r>
              <w:t>6</w:t>
            </w:r>
          </w:p>
        </w:tc>
        <w:tc>
          <w:tcPr>
            <w:tcW w:w="6970" w:type="dxa"/>
            <w:gridSpan w:val="2"/>
            <w:tcBorders>
              <w:bottom w:val="single" w:color="5B9BD5" w:sz="4" w:space="0"/>
              <w:right w:val="single" w:color="5B9BD5" w:sz="4" w:space="0"/>
            </w:tcBorders>
            <w:vAlign w:val="top"/>
          </w:tcPr>
          <w:p w14:paraId="125A64FA">
            <w:pPr>
              <w:pStyle w:val="7"/>
              <w:spacing w:before="108" w:line="217" w:lineRule="auto"/>
              <w:ind w:left="107"/>
            </w:pPr>
            <w:r>
              <w:pict>
                <v:shape id="_x0000_s3244" o:spid="_x0000_s3244" style="position:absolute;left:0pt;margin-left:346.65pt;margin-top:55pt;height:0.75pt;width:2.2pt;mso-position-horizontal-relative:page;mso-position-vertical-relative:page;z-index:251952128;mso-width-relative:page;mso-height-relative:page;" fillcolor="#5B9BD5" filled="t" stroked="f" coordsize="44,15" path="m0,14l43,14,43,0,0,0,0,14xe">
                  <v:path/>
                  <v:fill on="t" focussize="0,0"/>
                  <v:stroke on="f"/>
                  <v:imagedata o:title=""/>
                  <o:lock v:ext="edit"/>
                </v:shape>
              </w:pict>
            </w:r>
            <w:r>
              <w:rPr>
                <w:spacing w:val="-21"/>
              </w:rPr>
              <w:t>保护易感染人群，发生传染病爆发流行时，生活区要采取封闭措</w:t>
            </w:r>
            <w:r>
              <w:rPr>
                <w:spacing w:val="-22"/>
              </w:rPr>
              <w:t>施，禁</w:t>
            </w:r>
          </w:p>
          <w:p w14:paraId="0505C3D0">
            <w:pPr>
              <w:pStyle w:val="7"/>
              <w:spacing w:before="186" w:line="219" w:lineRule="auto"/>
              <w:ind w:left="1958"/>
            </w:pPr>
            <w:r>
              <w:rPr>
                <w:spacing w:val="-20"/>
              </w:rPr>
              <w:t>止人员随便流动，防止疾病蔓延</w:t>
            </w:r>
          </w:p>
        </w:tc>
      </w:tr>
    </w:tbl>
    <w:p w14:paraId="3ED56C71">
      <w:pPr>
        <w:pStyle w:val="2"/>
        <w:spacing w:before="112" w:line="219" w:lineRule="auto"/>
        <w:ind w:left="1890"/>
        <w:rPr>
          <w:sz w:val="24"/>
          <w:szCs w:val="24"/>
        </w:rPr>
      </w:pPr>
      <w:r>
        <w:rPr>
          <w:spacing w:val="-17"/>
          <w:sz w:val="24"/>
          <w:szCs w:val="24"/>
        </w:rPr>
        <w:t>3.7、不可抗力自然灾害</w:t>
      </w:r>
    </w:p>
    <w:p w14:paraId="17FC0E50">
      <w:pPr>
        <w:spacing w:line="18" w:lineRule="auto"/>
        <w:rPr>
          <w:rFonts w:ascii="Arial"/>
          <w:sz w:val="2"/>
        </w:rPr>
      </w:pPr>
    </w:p>
    <w:tbl>
      <w:tblPr>
        <w:tblStyle w:val="6"/>
        <w:tblW w:w="9176" w:type="dxa"/>
        <w:tblInd w:w="1366"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77"/>
        <w:gridCol w:w="1737"/>
        <w:gridCol w:w="6962"/>
      </w:tblGrid>
      <w:tr w14:paraId="5CB73B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6" w:hRule="atLeast"/>
        </w:trPr>
        <w:tc>
          <w:tcPr>
            <w:tcW w:w="477" w:type="dxa"/>
            <w:tcBorders>
              <w:top w:val="single" w:color="000000" w:sz="4" w:space="0"/>
              <w:left w:val="single" w:color="000000" w:sz="4" w:space="0"/>
              <w:right w:val="nil"/>
            </w:tcBorders>
            <w:shd w:val="clear" w:color="auto" w:fill="DEEAF6"/>
            <w:vAlign w:val="top"/>
          </w:tcPr>
          <w:p w14:paraId="6AA0A249">
            <w:pPr>
              <w:rPr>
                <w:rFonts w:ascii="Arial"/>
                <w:sz w:val="21"/>
              </w:rPr>
            </w:pPr>
            <w:r>
              <w:pict>
                <v:shape id="_x0000_s3245" o:spid="_x0000_s3245" style="position:absolute;left:0pt;margin-left:-0.25pt;margin-top:0pt;height:0.75pt;width:2.2pt;mso-position-horizontal-relative:page;mso-position-vertical-relative:page;z-index:251950080;mso-width-relative:page;mso-height-relative:page;" fillcolor="#5B9BD5" filled="t" stroked="f" coordsize="44,15" path="m0,14l43,14,43,0,0,0,0,14xe">
                  <v:path/>
                  <v:fill on="t" focussize="0,0"/>
                  <v:stroke on="f"/>
                  <v:imagedata o:title=""/>
                  <o:lock v:ext="edit"/>
                </v:shape>
              </w:pict>
            </w:r>
          </w:p>
        </w:tc>
        <w:tc>
          <w:tcPr>
            <w:tcW w:w="1737" w:type="dxa"/>
            <w:tcBorders>
              <w:top w:val="single" w:color="000000" w:sz="4" w:space="0"/>
              <w:left w:val="nil"/>
            </w:tcBorders>
            <w:shd w:val="clear" w:color="auto" w:fill="DEEAF6"/>
            <w:vAlign w:val="top"/>
          </w:tcPr>
          <w:p w14:paraId="1951DC85">
            <w:pPr>
              <w:pStyle w:val="7"/>
              <w:spacing w:before="129" w:line="218" w:lineRule="auto"/>
              <w:ind w:left="428"/>
            </w:pPr>
            <w:r>
              <w:rPr>
                <w:b/>
                <w:bCs/>
                <w:spacing w:val="-12"/>
              </w:rPr>
              <w:t>序号</w:t>
            </w:r>
          </w:p>
        </w:tc>
        <w:tc>
          <w:tcPr>
            <w:tcW w:w="6962" w:type="dxa"/>
            <w:tcBorders>
              <w:top w:val="single" w:color="5B9BD5" w:sz="4" w:space="0"/>
              <w:right w:val="single" w:color="5B9BD5" w:sz="4" w:space="0"/>
            </w:tcBorders>
            <w:shd w:val="clear" w:color="auto" w:fill="DEEAF6"/>
            <w:vAlign w:val="top"/>
          </w:tcPr>
          <w:p w14:paraId="2319A05E">
            <w:pPr>
              <w:pStyle w:val="7"/>
              <w:spacing w:before="129" w:line="219" w:lineRule="auto"/>
              <w:ind w:left="2823"/>
            </w:pPr>
            <w:r>
              <w:rPr>
                <w:b/>
                <w:bCs/>
                <w:spacing w:val="-20"/>
              </w:rPr>
              <w:t>应急响应措施</w:t>
            </w:r>
          </w:p>
        </w:tc>
      </w:tr>
      <w:tr w14:paraId="1AF761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1" w:hRule="atLeast"/>
        </w:trPr>
        <w:tc>
          <w:tcPr>
            <w:tcW w:w="477" w:type="dxa"/>
            <w:tcBorders>
              <w:left w:val="single" w:color="1C456A" w:sz="4" w:space="0"/>
              <w:bottom w:val="single" w:color="1C456A" w:sz="4" w:space="0"/>
              <w:right w:val="nil"/>
            </w:tcBorders>
            <w:vAlign w:val="top"/>
          </w:tcPr>
          <w:p w14:paraId="4D3C563D">
            <w:pPr>
              <w:rPr>
                <w:rFonts w:ascii="Arial"/>
                <w:sz w:val="21"/>
              </w:rPr>
            </w:pPr>
            <w:r>
              <w:pict>
                <v:shape id="_x0000_s3246" o:spid="_x0000_s3246" style="position:absolute;left:0pt;margin-left:-0.25pt;margin-top:31.05pt;height:0.75pt;width:2.2pt;mso-position-horizontal-relative:page;mso-position-vertical-relative:page;z-index:251948032;mso-width-relative:page;mso-height-relative:page;" fillcolor="#5B9BD5" filled="t" stroked="f" coordsize="44,15" path="m0,14l43,14,43,0,0,0,0,14xe">
                  <v:path/>
                  <v:fill on="t" focussize="0,0"/>
                  <v:stroke on="f"/>
                  <v:imagedata o:title=""/>
                  <o:lock v:ext="edit"/>
                </v:shape>
              </w:pict>
            </w:r>
          </w:p>
        </w:tc>
        <w:tc>
          <w:tcPr>
            <w:tcW w:w="1737" w:type="dxa"/>
            <w:tcBorders>
              <w:left w:val="nil"/>
              <w:bottom w:val="single" w:color="1C456A" w:sz="4" w:space="0"/>
            </w:tcBorders>
            <w:vAlign w:val="top"/>
          </w:tcPr>
          <w:p w14:paraId="190C2B9D">
            <w:pPr>
              <w:pStyle w:val="7"/>
              <w:spacing w:before="99" w:line="238" w:lineRule="auto"/>
              <w:ind w:left="604"/>
            </w:pPr>
            <w:r>
              <w:t>1</w:t>
            </w:r>
          </w:p>
        </w:tc>
        <w:tc>
          <w:tcPr>
            <w:tcW w:w="6962" w:type="dxa"/>
            <w:tcBorders>
              <w:bottom w:val="single" w:color="5B9BD5" w:sz="4" w:space="0"/>
              <w:right w:val="single" w:color="5B9BD5" w:sz="4" w:space="0"/>
            </w:tcBorders>
            <w:vAlign w:val="top"/>
          </w:tcPr>
          <w:p w14:paraId="05886468">
            <w:pPr>
              <w:pStyle w:val="7"/>
              <w:spacing w:before="98" w:line="217" w:lineRule="auto"/>
              <w:ind w:left="98"/>
            </w:pPr>
            <w:r>
              <w:pict>
                <v:shape id="_x0000_s3247" o:spid="_x0000_s3247" style="position:absolute;left:0pt;margin-left:346.25pt;margin-top:31.05pt;height:0.75pt;width:2.2pt;mso-position-horizontal-relative:page;mso-position-vertical-relative:page;z-index:251949056;mso-width-relative:page;mso-height-relative:page;" fillcolor="#5B9BD5" filled="t" stroked="f" coordsize="44,15" path="m0,14l43,14,43,0,0,0,0,14xe">
                  <v:path/>
                  <v:fill on="t" focussize="0,0"/>
                  <v:stroke on="f"/>
                  <v:imagedata o:title=""/>
                  <o:lock v:ext="edit"/>
                </v:shape>
              </w:pict>
            </w:r>
            <w:r>
              <w:rPr>
                <w:spacing w:val="-21"/>
              </w:rPr>
              <w:t>指挥长下达发出警报令，项目部进行抢险救灾状态，抢险队及</w:t>
            </w:r>
            <w:r>
              <w:rPr>
                <w:spacing w:val="-22"/>
              </w:rPr>
              <w:t>全体人员</w:t>
            </w:r>
          </w:p>
        </w:tc>
      </w:tr>
    </w:tbl>
    <w:p w14:paraId="4BF8964C">
      <w:pPr>
        <w:rPr>
          <w:rFonts w:ascii="Arial"/>
          <w:sz w:val="21"/>
        </w:rPr>
      </w:pPr>
    </w:p>
    <w:p w14:paraId="4CB9CA78">
      <w:pPr>
        <w:rPr>
          <w:rFonts w:ascii="Arial" w:hAnsi="Arial" w:eastAsia="Arial" w:cs="Arial"/>
          <w:sz w:val="21"/>
          <w:szCs w:val="21"/>
        </w:rPr>
        <w:sectPr>
          <w:footerReference r:id="rId157" w:type="default"/>
          <w:pgSz w:w="11907" w:h="16839"/>
          <w:pgMar w:top="954" w:right="4" w:bottom="1038" w:left="0" w:header="499" w:footer="357" w:gutter="0"/>
          <w:pgBorders>
            <w:top w:val="none" w:sz="0" w:space="0"/>
            <w:left w:val="none" w:sz="0" w:space="0"/>
            <w:bottom w:val="none" w:sz="0" w:space="0"/>
            <w:right w:val="none" w:sz="0" w:space="0"/>
          </w:pgBorders>
          <w:cols w:space="720" w:num="1"/>
        </w:sectPr>
      </w:pPr>
    </w:p>
    <w:p w14:paraId="504A339D">
      <w:pPr>
        <w:spacing w:line="214" w:lineRule="exact"/>
      </w:pPr>
    </w:p>
    <w:tbl>
      <w:tblPr>
        <w:tblStyle w:val="6"/>
        <w:tblW w:w="9176" w:type="dxa"/>
        <w:tblInd w:w="1366"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56"/>
        <w:gridCol w:w="1647"/>
        <w:gridCol w:w="6973"/>
      </w:tblGrid>
      <w:tr w14:paraId="1EDE9C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0" w:hRule="atLeast"/>
        </w:trPr>
        <w:tc>
          <w:tcPr>
            <w:tcW w:w="2203" w:type="dxa"/>
            <w:gridSpan w:val="2"/>
            <w:tcBorders>
              <w:top w:val="single" w:color="000000" w:sz="4" w:space="0"/>
              <w:left w:val="single" w:color="000000" w:sz="4" w:space="0"/>
            </w:tcBorders>
            <w:vAlign w:val="top"/>
          </w:tcPr>
          <w:p w14:paraId="0177E80B">
            <w:pPr>
              <w:rPr>
                <w:rFonts w:ascii="Arial"/>
                <w:sz w:val="21"/>
              </w:rPr>
            </w:pPr>
          </w:p>
        </w:tc>
        <w:tc>
          <w:tcPr>
            <w:tcW w:w="6973" w:type="dxa"/>
            <w:tcBorders>
              <w:top w:val="single" w:color="5B9BD5" w:sz="4" w:space="0"/>
              <w:right w:val="single" w:color="5B9BD5" w:sz="4" w:space="0"/>
            </w:tcBorders>
            <w:vAlign w:val="top"/>
          </w:tcPr>
          <w:p w14:paraId="497DA39D">
            <w:pPr>
              <w:pStyle w:val="7"/>
              <w:spacing w:before="129" w:line="216" w:lineRule="auto"/>
              <w:ind w:left="2835"/>
            </w:pPr>
            <w:r>
              <w:rPr>
                <w:spacing w:val="-18"/>
              </w:rPr>
              <w:t>投入抢险工作</w:t>
            </w:r>
          </w:p>
        </w:tc>
      </w:tr>
      <w:tr w14:paraId="177D55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51" w:hRule="atLeast"/>
        </w:trPr>
        <w:tc>
          <w:tcPr>
            <w:tcW w:w="2203" w:type="dxa"/>
            <w:gridSpan w:val="2"/>
            <w:tcBorders>
              <w:left w:val="single" w:color="000000" w:sz="4" w:space="0"/>
            </w:tcBorders>
            <w:vAlign w:val="top"/>
          </w:tcPr>
          <w:p w14:paraId="346F6588">
            <w:pPr>
              <w:spacing w:line="248" w:lineRule="auto"/>
              <w:rPr>
                <w:rFonts w:ascii="Arial"/>
                <w:sz w:val="21"/>
              </w:rPr>
            </w:pPr>
          </w:p>
          <w:p w14:paraId="0128F067">
            <w:pPr>
              <w:pStyle w:val="7"/>
              <w:spacing w:before="78" w:line="238" w:lineRule="auto"/>
              <w:ind w:left="1062"/>
            </w:pPr>
            <w:r>
              <w:t>2</w:t>
            </w:r>
          </w:p>
        </w:tc>
        <w:tc>
          <w:tcPr>
            <w:tcW w:w="6973" w:type="dxa"/>
            <w:tcBorders>
              <w:right w:val="single" w:color="000000" w:sz="4" w:space="0"/>
            </w:tcBorders>
            <w:vAlign w:val="top"/>
          </w:tcPr>
          <w:p w14:paraId="025DD134">
            <w:pPr>
              <w:pStyle w:val="7"/>
              <w:spacing w:before="95" w:line="215" w:lineRule="auto"/>
              <w:ind w:left="111"/>
            </w:pPr>
            <w:r>
              <w:rPr>
                <w:spacing w:val="-21"/>
              </w:rPr>
              <w:t>在指挥长的统一指挥下，及时、有序地将人员疏散到安全</w:t>
            </w:r>
            <w:r>
              <w:rPr>
                <w:spacing w:val="-22"/>
              </w:rPr>
              <w:t>区，重要物资</w:t>
            </w:r>
          </w:p>
          <w:p w14:paraId="357C702E">
            <w:pPr>
              <w:pStyle w:val="7"/>
              <w:spacing w:before="185" w:line="218" w:lineRule="auto"/>
              <w:ind w:left="2943"/>
            </w:pPr>
            <w:r>
              <w:rPr>
                <w:spacing w:val="-17"/>
              </w:rPr>
              <w:t>撤离危险区</w:t>
            </w:r>
          </w:p>
        </w:tc>
      </w:tr>
      <w:tr w14:paraId="545103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4" w:hRule="atLeast"/>
        </w:trPr>
        <w:tc>
          <w:tcPr>
            <w:tcW w:w="2203" w:type="dxa"/>
            <w:gridSpan w:val="2"/>
            <w:tcBorders>
              <w:left w:val="single" w:color="000000" w:sz="4" w:space="0"/>
            </w:tcBorders>
            <w:vAlign w:val="top"/>
          </w:tcPr>
          <w:p w14:paraId="465118B0">
            <w:pPr>
              <w:pStyle w:val="7"/>
              <w:spacing w:before="97" w:line="237" w:lineRule="auto"/>
              <w:ind w:left="1063"/>
            </w:pPr>
            <w:r>
              <w:t>3</w:t>
            </w:r>
          </w:p>
        </w:tc>
        <w:tc>
          <w:tcPr>
            <w:tcW w:w="6973" w:type="dxa"/>
            <w:tcBorders>
              <w:right w:val="single" w:color="000000" w:sz="4" w:space="0"/>
            </w:tcBorders>
            <w:vAlign w:val="top"/>
          </w:tcPr>
          <w:p w14:paraId="6FB973AD">
            <w:pPr>
              <w:pStyle w:val="7"/>
              <w:spacing w:before="97" w:line="218" w:lineRule="auto"/>
              <w:ind w:left="2405"/>
            </w:pPr>
            <w:r>
              <w:rPr>
                <w:spacing w:val="-20"/>
              </w:rPr>
              <w:t>危险区隔离，标出警示</w:t>
            </w:r>
          </w:p>
        </w:tc>
      </w:tr>
      <w:tr w14:paraId="7A2277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52" w:hRule="atLeast"/>
        </w:trPr>
        <w:tc>
          <w:tcPr>
            <w:tcW w:w="2203" w:type="dxa"/>
            <w:gridSpan w:val="2"/>
            <w:tcBorders>
              <w:left w:val="single" w:color="000000" w:sz="4" w:space="0"/>
            </w:tcBorders>
            <w:vAlign w:val="top"/>
          </w:tcPr>
          <w:p w14:paraId="7113D50A">
            <w:pPr>
              <w:spacing w:line="252" w:lineRule="auto"/>
              <w:rPr>
                <w:rFonts w:ascii="Arial"/>
                <w:sz w:val="21"/>
              </w:rPr>
            </w:pPr>
          </w:p>
          <w:p w14:paraId="3D90F330">
            <w:pPr>
              <w:pStyle w:val="7"/>
              <w:spacing w:before="78" w:line="238" w:lineRule="auto"/>
              <w:ind w:left="1058"/>
            </w:pPr>
            <w:r>
              <w:t>4</w:t>
            </w:r>
          </w:p>
        </w:tc>
        <w:tc>
          <w:tcPr>
            <w:tcW w:w="6973" w:type="dxa"/>
            <w:tcBorders>
              <w:right w:val="single" w:color="000000" w:sz="4" w:space="0"/>
            </w:tcBorders>
            <w:vAlign w:val="top"/>
          </w:tcPr>
          <w:p w14:paraId="34128933">
            <w:pPr>
              <w:pStyle w:val="7"/>
              <w:spacing w:before="98" w:line="217" w:lineRule="auto"/>
              <w:ind w:left="110"/>
            </w:pPr>
            <w:r>
              <w:rPr>
                <w:spacing w:val="-21"/>
              </w:rPr>
              <w:t>根据分析判断的结果，指挥长、副指挥长定出抢险的方案</w:t>
            </w:r>
            <w:r>
              <w:rPr>
                <w:spacing w:val="-22"/>
              </w:rPr>
              <w:t>，调动必要的</w:t>
            </w:r>
          </w:p>
          <w:p w14:paraId="4E3767F4">
            <w:pPr>
              <w:pStyle w:val="7"/>
              <w:spacing w:before="183" w:line="216" w:lineRule="auto"/>
              <w:ind w:left="2291"/>
            </w:pPr>
            <w:r>
              <w:rPr>
                <w:spacing w:val="-20"/>
              </w:rPr>
              <w:t>机具、设备、材料等资源</w:t>
            </w:r>
          </w:p>
        </w:tc>
      </w:tr>
      <w:tr w14:paraId="1468E7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50" w:hRule="atLeast"/>
        </w:trPr>
        <w:tc>
          <w:tcPr>
            <w:tcW w:w="2203" w:type="dxa"/>
            <w:gridSpan w:val="2"/>
            <w:tcBorders>
              <w:left w:val="single" w:color="000000" w:sz="4" w:space="0"/>
            </w:tcBorders>
            <w:vAlign w:val="top"/>
          </w:tcPr>
          <w:p w14:paraId="46AE112A">
            <w:pPr>
              <w:spacing w:line="253" w:lineRule="auto"/>
              <w:rPr>
                <w:rFonts w:ascii="Arial"/>
                <w:sz w:val="21"/>
              </w:rPr>
            </w:pPr>
          </w:p>
          <w:p w14:paraId="414FF21D">
            <w:pPr>
              <w:pStyle w:val="7"/>
              <w:spacing w:before="78" w:line="237" w:lineRule="auto"/>
              <w:ind w:left="1063"/>
            </w:pPr>
            <w:r>
              <w:t>5</w:t>
            </w:r>
          </w:p>
        </w:tc>
        <w:tc>
          <w:tcPr>
            <w:tcW w:w="6973" w:type="dxa"/>
            <w:tcBorders>
              <w:right w:val="single" w:color="000000" w:sz="4" w:space="0"/>
            </w:tcBorders>
            <w:vAlign w:val="top"/>
          </w:tcPr>
          <w:p w14:paraId="3978EF8D">
            <w:pPr>
              <w:pStyle w:val="7"/>
              <w:spacing w:before="99" w:line="217" w:lineRule="auto"/>
              <w:ind w:left="110"/>
            </w:pPr>
            <w:r>
              <w:rPr>
                <w:spacing w:val="-21"/>
              </w:rPr>
              <w:t>各抢险组长根据抢险方案，将具体任务下达给各小组成员，各</w:t>
            </w:r>
            <w:r>
              <w:rPr>
                <w:spacing w:val="-22"/>
              </w:rPr>
              <w:t>小组成员</w:t>
            </w:r>
          </w:p>
          <w:p w14:paraId="2CE051B0">
            <w:pPr>
              <w:pStyle w:val="7"/>
              <w:spacing w:before="184" w:line="218" w:lineRule="auto"/>
              <w:ind w:left="2944"/>
            </w:pPr>
            <w:r>
              <w:rPr>
                <w:spacing w:val="-17"/>
              </w:rPr>
              <w:t>按要求完成</w:t>
            </w:r>
          </w:p>
        </w:tc>
      </w:tr>
      <w:tr w14:paraId="071251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2" w:hRule="atLeast"/>
        </w:trPr>
        <w:tc>
          <w:tcPr>
            <w:tcW w:w="556" w:type="dxa"/>
            <w:tcBorders>
              <w:left w:val="single" w:color="1C456A" w:sz="4" w:space="0"/>
              <w:bottom w:val="single" w:color="1C456A" w:sz="4" w:space="0"/>
              <w:right w:val="nil"/>
            </w:tcBorders>
            <w:vAlign w:val="top"/>
          </w:tcPr>
          <w:p w14:paraId="0B0B480E">
            <w:pPr>
              <w:rPr>
                <w:rFonts w:ascii="Arial"/>
                <w:sz w:val="21"/>
              </w:rPr>
            </w:pPr>
            <w:r>
              <w:pict>
                <v:shape id="_x0000_s3248" o:spid="_x0000_s3248" style="position:absolute;left:0pt;margin-left:-0.25pt;margin-top:54.65pt;height:0.75pt;width:2.2pt;mso-position-horizontal-relative:page;mso-position-vertical-relative:page;z-index:251960320;mso-width-relative:page;mso-height-relative:page;" fillcolor="#5B9BD5" filled="t" stroked="f" coordsize="44,15" path="m0,14l43,14,43,0,0,0,0,14xe">
                  <v:path/>
                  <v:fill on="t" focussize="0,0"/>
                  <v:stroke on="f"/>
                  <v:imagedata o:title=""/>
                  <o:lock v:ext="edit"/>
                </v:shape>
              </w:pict>
            </w:r>
          </w:p>
        </w:tc>
        <w:tc>
          <w:tcPr>
            <w:tcW w:w="1647" w:type="dxa"/>
            <w:tcBorders>
              <w:left w:val="nil"/>
              <w:bottom w:val="single" w:color="1C456A" w:sz="4" w:space="0"/>
            </w:tcBorders>
            <w:vAlign w:val="top"/>
          </w:tcPr>
          <w:p w14:paraId="0B38F931">
            <w:pPr>
              <w:spacing w:line="257" w:lineRule="auto"/>
              <w:rPr>
                <w:rFonts w:ascii="Arial"/>
                <w:sz w:val="21"/>
              </w:rPr>
            </w:pPr>
          </w:p>
          <w:p w14:paraId="735FFBF6">
            <w:pPr>
              <w:pStyle w:val="7"/>
              <w:spacing w:before="78" w:line="237" w:lineRule="auto"/>
              <w:ind w:left="510"/>
            </w:pPr>
            <w:r>
              <w:t>6</w:t>
            </w:r>
          </w:p>
        </w:tc>
        <w:tc>
          <w:tcPr>
            <w:tcW w:w="6973" w:type="dxa"/>
            <w:tcBorders>
              <w:bottom w:val="single" w:color="5B9BD5" w:sz="4" w:space="0"/>
              <w:right w:val="single" w:color="5B9BD5" w:sz="4" w:space="0"/>
            </w:tcBorders>
            <w:vAlign w:val="top"/>
          </w:tcPr>
          <w:p w14:paraId="24551367">
            <w:pPr>
              <w:pStyle w:val="7"/>
              <w:spacing w:before="101" w:line="217" w:lineRule="auto"/>
              <w:ind w:left="112"/>
            </w:pPr>
            <w:r>
              <w:pict>
                <v:shape id="_x0000_s3249" o:spid="_x0000_s3249" style="position:absolute;left:0pt;margin-left:346.8pt;margin-top:54.65pt;height:0.75pt;width:2.2pt;mso-position-horizontal-relative:page;mso-position-vertical-relative:page;z-index:251959296;mso-width-relative:page;mso-height-relative:page;" fillcolor="#5B9BD5" filled="t" stroked="f" coordsize="44,15" path="m0,14l43,14,43,0,0,0,0,14xe">
                  <v:path/>
                  <v:fill on="t" focussize="0,0"/>
                  <v:stroke on="f"/>
                  <v:imagedata o:title=""/>
                  <o:lock v:ext="edit"/>
                </v:shape>
              </w:pict>
            </w:r>
            <w:r>
              <w:rPr>
                <w:spacing w:val="-21"/>
              </w:rPr>
              <w:t>及时接收媒体或气象部门有关事态后序发展的预测报告</w:t>
            </w:r>
            <w:r>
              <w:rPr>
                <w:spacing w:val="-22"/>
              </w:rPr>
              <w:t>，密切跟踪灾害</w:t>
            </w:r>
          </w:p>
          <w:p w14:paraId="536FDE99">
            <w:pPr>
              <w:pStyle w:val="7"/>
              <w:spacing w:before="186" w:line="217" w:lineRule="auto"/>
              <w:ind w:left="2299"/>
            </w:pPr>
            <w:r>
              <w:rPr>
                <w:spacing w:val="-21"/>
              </w:rPr>
              <w:t>变化，以采取相应的措施</w:t>
            </w:r>
          </w:p>
        </w:tc>
      </w:tr>
    </w:tbl>
    <w:p w14:paraId="116A9A6B">
      <w:pPr>
        <w:pStyle w:val="2"/>
        <w:spacing w:before="114" w:line="220" w:lineRule="auto"/>
        <w:ind w:left="1890"/>
        <w:rPr>
          <w:sz w:val="24"/>
          <w:szCs w:val="24"/>
        </w:rPr>
      </w:pPr>
      <w:r>
        <w:rPr>
          <w:spacing w:val="-15"/>
          <w:sz w:val="24"/>
          <w:szCs w:val="24"/>
        </w:rPr>
        <w:t>3.8、其它</w:t>
      </w:r>
    </w:p>
    <w:tbl>
      <w:tblPr>
        <w:tblStyle w:val="6"/>
        <w:tblW w:w="9176" w:type="dxa"/>
        <w:tblInd w:w="1366"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58"/>
        <w:gridCol w:w="1650"/>
        <w:gridCol w:w="6880"/>
        <w:gridCol w:w="88"/>
      </w:tblGrid>
      <w:tr w14:paraId="655B22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1" w:hRule="atLeast"/>
        </w:trPr>
        <w:tc>
          <w:tcPr>
            <w:tcW w:w="2208" w:type="dxa"/>
            <w:gridSpan w:val="2"/>
            <w:tcBorders>
              <w:top w:val="single" w:color="000000" w:sz="4" w:space="0"/>
              <w:left w:val="single" w:color="000000" w:sz="4" w:space="0"/>
            </w:tcBorders>
            <w:shd w:val="clear" w:color="auto" w:fill="DEEAF6"/>
            <w:vAlign w:val="top"/>
          </w:tcPr>
          <w:p w14:paraId="0EC7F231">
            <w:pPr>
              <w:spacing w:before="33" w:line="60" w:lineRule="exact"/>
              <w:ind w:firstLine="33"/>
            </w:pPr>
            <w:r>
              <w:pict>
                <v:shape id="_x0000_s3250" o:spid="_x0000_s3250" style="position:absolute;left:0pt;margin-left:-0.2pt;margin-top:0pt;height:0.75pt;width:2.2pt;mso-position-horizontal-relative:page;mso-position-vertical-relative:page;z-index:251955200;mso-width-relative:page;mso-height-relative:page;" fillcolor="#5B9BD5" filled="t" stroked="f" coordsize="44,15" path="m0,14l43,14,43,0,0,0,0,14xe">
                  <v:path/>
                  <v:fill on="t" focussize="0,0"/>
                  <v:stroke on="f"/>
                  <v:imagedata o:title=""/>
                  <o:lock v:ext="edit"/>
                </v:shape>
              </w:pict>
            </w:r>
            <w:r>
              <w:rPr>
                <w:position w:val="-1"/>
              </w:rPr>
              <w:pict>
                <v:shape id="_x0000_s3251" o:spid="_x0000_s3251" style="height:3pt;width:107.9pt;" fillcolor="#DEEAF6" filled="t" stroked="f" coordsize="2158,60" path="m0,60l2157,60,2157,0,0,0,0,60xe">
                  <v:path/>
                  <v:fill on="t" focussize="0,0"/>
                  <v:stroke on="f"/>
                  <v:imagedata o:title=""/>
                  <o:lock v:ext="edit"/>
                  <w10:wrap type="none"/>
                  <w10:anchorlock/>
                </v:shape>
              </w:pict>
            </w:r>
          </w:p>
          <w:p w14:paraId="6E704088">
            <w:pPr>
              <w:pStyle w:val="7"/>
              <w:spacing w:before="33" w:line="218" w:lineRule="auto"/>
              <w:ind w:left="900"/>
            </w:pPr>
            <w:r>
              <w:rPr>
                <w:b/>
                <w:bCs/>
                <w:spacing w:val="-12"/>
              </w:rPr>
              <w:t>序号</w:t>
            </w:r>
          </w:p>
        </w:tc>
        <w:tc>
          <w:tcPr>
            <w:tcW w:w="6880" w:type="dxa"/>
            <w:tcBorders>
              <w:top w:val="single" w:color="5B9BD5" w:sz="4" w:space="0"/>
              <w:right w:val="nil"/>
            </w:tcBorders>
            <w:shd w:val="clear" w:color="auto" w:fill="DEEAF6"/>
            <w:vAlign w:val="top"/>
          </w:tcPr>
          <w:p w14:paraId="0661E642">
            <w:pPr>
              <w:pStyle w:val="7"/>
              <w:spacing w:before="126" w:line="219" w:lineRule="auto"/>
              <w:ind w:left="2829"/>
            </w:pPr>
            <w:r>
              <w:rPr>
                <w:b/>
                <w:bCs/>
                <w:spacing w:val="-20"/>
              </w:rPr>
              <w:t>应急响应措施</w:t>
            </w:r>
          </w:p>
        </w:tc>
        <w:tc>
          <w:tcPr>
            <w:tcW w:w="88" w:type="dxa"/>
            <w:tcBorders>
              <w:top w:val="single" w:color="5B9BD5" w:sz="4" w:space="0"/>
              <w:left w:val="nil"/>
              <w:right w:val="single" w:color="5B9BD5" w:sz="4" w:space="0"/>
            </w:tcBorders>
            <w:vAlign w:val="top"/>
          </w:tcPr>
          <w:p w14:paraId="61F87FC1">
            <w:pPr>
              <w:rPr>
                <w:rFonts w:ascii="Arial"/>
                <w:sz w:val="21"/>
              </w:rPr>
            </w:pPr>
            <w:r>
              <w:pict>
                <v:shape id="_x0000_s3252" o:spid="_x0000_s3252" style="position:absolute;left:0pt;margin-left:2.55pt;margin-top:0pt;height:0.75pt;width:2.2pt;mso-position-horizontal-relative:page;mso-position-vertical-relative:page;z-index:251956224;mso-width-relative:page;mso-height-relative:page;" fillcolor="#5B9BD5" filled="t" stroked="f" coordsize="44,15" path="m0,14l43,14,43,0,0,0,0,14xe">
                  <v:path/>
                  <v:fill on="t" focussize="0,0"/>
                  <v:stroke on="f"/>
                  <v:imagedata o:title=""/>
                  <o:lock v:ext="edit"/>
                </v:shape>
              </w:pict>
            </w:r>
          </w:p>
        </w:tc>
      </w:tr>
      <w:tr w14:paraId="192E52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93" w:hRule="atLeast"/>
        </w:trPr>
        <w:tc>
          <w:tcPr>
            <w:tcW w:w="2208" w:type="dxa"/>
            <w:gridSpan w:val="2"/>
            <w:tcBorders>
              <w:left w:val="single" w:color="000000" w:sz="4" w:space="0"/>
            </w:tcBorders>
            <w:vAlign w:val="top"/>
          </w:tcPr>
          <w:p w14:paraId="7B667354">
            <w:pPr>
              <w:pStyle w:val="7"/>
              <w:spacing w:before="121" w:line="238" w:lineRule="auto"/>
              <w:ind w:left="1076"/>
            </w:pPr>
            <w:r>
              <w:t>1</w:t>
            </w:r>
          </w:p>
        </w:tc>
        <w:tc>
          <w:tcPr>
            <w:tcW w:w="6968" w:type="dxa"/>
            <w:gridSpan w:val="2"/>
            <w:tcBorders>
              <w:right w:val="single" w:color="000000" w:sz="4" w:space="0"/>
            </w:tcBorders>
            <w:vAlign w:val="top"/>
          </w:tcPr>
          <w:p w14:paraId="1E66681A">
            <w:pPr>
              <w:pStyle w:val="7"/>
              <w:spacing w:before="121" w:line="218" w:lineRule="auto"/>
              <w:ind w:left="1964"/>
            </w:pPr>
            <w:r>
              <w:rPr>
                <w:spacing w:val="-21"/>
              </w:rPr>
              <w:t>发现险情的人员立即向领导报告</w:t>
            </w:r>
          </w:p>
        </w:tc>
      </w:tr>
      <w:tr w14:paraId="1B756F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1" w:hRule="atLeast"/>
        </w:trPr>
        <w:tc>
          <w:tcPr>
            <w:tcW w:w="2208" w:type="dxa"/>
            <w:gridSpan w:val="2"/>
            <w:tcBorders>
              <w:left w:val="single" w:color="000000" w:sz="4" w:space="0"/>
            </w:tcBorders>
            <w:vAlign w:val="top"/>
          </w:tcPr>
          <w:p w14:paraId="468EA618">
            <w:pPr>
              <w:pStyle w:val="7"/>
              <w:spacing w:before="114" w:line="238" w:lineRule="auto"/>
              <w:ind w:left="1062"/>
            </w:pPr>
            <w:r>
              <w:t>2</w:t>
            </w:r>
          </w:p>
        </w:tc>
        <w:tc>
          <w:tcPr>
            <w:tcW w:w="6968" w:type="dxa"/>
            <w:gridSpan w:val="2"/>
            <w:tcBorders>
              <w:right w:val="single" w:color="000000" w:sz="4" w:space="0"/>
            </w:tcBorders>
            <w:vAlign w:val="top"/>
          </w:tcPr>
          <w:p w14:paraId="220F6BC9">
            <w:pPr>
              <w:pStyle w:val="7"/>
              <w:spacing w:before="113" w:line="217" w:lineRule="auto"/>
              <w:ind w:left="104"/>
            </w:pPr>
            <w:r>
              <w:rPr>
                <w:spacing w:val="-21"/>
              </w:rPr>
              <w:t>领导立即调集一切可利用资源，根据实际情况，采取必要和可行</w:t>
            </w:r>
            <w:r>
              <w:rPr>
                <w:spacing w:val="-22"/>
              </w:rPr>
              <w:t>的措施</w:t>
            </w:r>
          </w:p>
        </w:tc>
      </w:tr>
      <w:tr w14:paraId="23F46A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558" w:type="dxa"/>
            <w:tcBorders>
              <w:left w:val="single" w:color="1C456A" w:sz="4" w:space="0"/>
              <w:bottom w:val="single" w:color="1C456A" w:sz="4" w:space="0"/>
              <w:right w:val="nil"/>
            </w:tcBorders>
            <w:vAlign w:val="top"/>
          </w:tcPr>
          <w:p w14:paraId="5804F5BE">
            <w:pPr>
              <w:rPr>
                <w:rFonts w:ascii="Arial"/>
                <w:sz w:val="21"/>
              </w:rPr>
            </w:pPr>
            <w:r>
              <w:pict>
                <v:shape id="_x0000_s3253" o:spid="_x0000_s3253" style="position:absolute;left:0pt;margin-left:-0.25pt;margin-top:31.7pt;height:0.75pt;width:2.2pt;mso-position-horizontal-relative:page;mso-position-vertical-relative:page;z-index:251958272;mso-width-relative:page;mso-height-relative:page;" fillcolor="#5B9BD5" filled="t" stroked="f" coordsize="44,15" path="m0,14l43,14,43,0,0,0,0,14xe">
                  <v:path/>
                  <v:fill on="t" focussize="0,0"/>
                  <v:stroke on="f"/>
                  <v:imagedata o:title=""/>
                  <o:lock v:ext="edit"/>
                </v:shape>
              </w:pict>
            </w:r>
          </w:p>
        </w:tc>
        <w:tc>
          <w:tcPr>
            <w:tcW w:w="1650" w:type="dxa"/>
            <w:tcBorders>
              <w:left w:val="nil"/>
              <w:bottom w:val="single" w:color="1C456A" w:sz="4" w:space="0"/>
            </w:tcBorders>
            <w:vAlign w:val="top"/>
          </w:tcPr>
          <w:p w14:paraId="0659106F">
            <w:pPr>
              <w:pStyle w:val="7"/>
              <w:spacing w:before="110" w:line="237" w:lineRule="auto"/>
              <w:ind w:left="510"/>
            </w:pPr>
            <w:r>
              <w:t>3</w:t>
            </w:r>
          </w:p>
        </w:tc>
        <w:tc>
          <w:tcPr>
            <w:tcW w:w="6968" w:type="dxa"/>
            <w:gridSpan w:val="2"/>
            <w:tcBorders>
              <w:bottom w:val="single" w:color="5B9BD5" w:sz="4" w:space="0"/>
              <w:right w:val="single" w:color="5B9BD5" w:sz="4" w:space="0"/>
            </w:tcBorders>
            <w:vAlign w:val="top"/>
          </w:tcPr>
          <w:p w14:paraId="2A72A045">
            <w:pPr>
              <w:pStyle w:val="7"/>
              <w:spacing w:before="111" w:line="218" w:lineRule="auto"/>
              <w:ind w:left="1310"/>
            </w:pPr>
            <w:r>
              <w:pict>
                <v:shape id="_x0000_s3254" o:spid="_x0000_s3254" style="position:absolute;left:0pt;margin-left:346.55pt;margin-top:31.7pt;height:0.75pt;width:2.2pt;mso-position-horizontal-relative:page;mso-position-vertical-relative:page;z-index:251957248;mso-width-relative:page;mso-height-relative:page;" fillcolor="#5B9BD5" filled="t" stroked="f" coordsize="44,15" path="m0,14l43,14,43,0,0,0,0,14xe">
                  <v:path/>
                  <v:fill on="t" focussize="0,0"/>
                  <v:stroke on="f"/>
                  <v:imagedata o:title=""/>
                  <o:lock v:ext="edit"/>
                </v:shape>
              </w:pict>
            </w:r>
            <w:r>
              <w:rPr>
                <w:spacing w:val="-21"/>
              </w:rPr>
              <w:t>立即上报有关领导，必要时报告有关外部机构</w:t>
            </w:r>
          </w:p>
        </w:tc>
      </w:tr>
    </w:tbl>
    <w:p w14:paraId="23BA1127">
      <w:pPr>
        <w:pStyle w:val="2"/>
        <w:spacing w:before="113" w:line="218" w:lineRule="auto"/>
        <w:ind w:left="1884"/>
        <w:rPr>
          <w:sz w:val="24"/>
          <w:szCs w:val="24"/>
        </w:rPr>
      </w:pPr>
      <w:r>
        <w:rPr>
          <w:spacing w:val="-18"/>
          <w:sz w:val="24"/>
          <w:szCs w:val="24"/>
        </w:rPr>
        <w:t>4、突发传染病应急措施</w:t>
      </w:r>
    </w:p>
    <w:p w14:paraId="19F6A9AA">
      <w:pPr>
        <w:pStyle w:val="2"/>
        <w:spacing w:before="117" w:line="215" w:lineRule="auto"/>
        <w:ind w:left="1927"/>
        <w:rPr>
          <w:sz w:val="24"/>
          <w:szCs w:val="24"/>
        </w:rPr>
      </w:pPr>
      <w:r>
        <w:rPr>
          <w:spacing w:val="-21"/>
          <w:sz w:val="24"/>
          <w:szCs w:val="24"/>
        </w:rPr>
        <w:t>(1)、发现疫情立即封锁现场，及时报告上级领导和</w:t>
      </w:r>
      <w:r>
        <w:rPr>
          <w:spacing w:val="-22"/>
          <w:sz w:val="24"/>
          <w:szCs w:val="24"/>
        </w:rPr>
        <w:t>所在地区卫生防疫站。</w:t>
      </w:r>
    </w:p>
    <w:p w14:paraId="3985DF50">
      <w:pPr>
        <w:pStyle w:val="2"/>
        <w:spacing w:before="121" w:line="217" w:lineRule="auto"/>
        <w:ind w:left="1927"/>
        <w:rPr>
          <w:sz w:val="24"/>
          <w:szCs w:val="24"/>
        </w:rPr>
      </w:pPr>
      <w:r>
        <w:rPr>
          <w:spacing w:val="-21"/>
          <w:sz w:val="24"/>
          <w:szCs w:val="24"/>
        </w:rPr>
        <w:t>(2)、指挥员立即召集救护小组组织抢救。</w:t>
      </w:r>
    </w:p>
    <w:p w14:paraId="6C7A6FBA">
      <w:pPr>
        <w:pStyle w:val="2"/>
        <w:spacing w:before="117" w:line="217" w:lineRule="auto"/>
        <w:ind w:left="1927"/>
        <w:rPr>
          <w:sz w:val="24"/>
          <w:szCs w:val="24"/>
        </w:rPr>
      </w:pPr>
      <w:r>
        <w:rPr>
          <w:spacing w:val="-23"/>
          <w:sz w:val="24"/>
          <w:szCs w:val="24"/>
        </w:rPr>
        <w:t>(3)、控制传染源，隔离病人。</w:t>
      </w:r>
    </w:p>
    <w:p w14:paraId="76EB80D8">
      <w:pPr>
        <w:pStyle w:val="2"/>
        <w:spacing w:before="117" w:line="217" w:lineRule="auto"/>
        <w:ind w:left="1927"/>
        <w:rPr>
          <w:sz w:val="24"/>
          <w:szCs w:val="24"/>
        </w:rPr>
      </w:pPr>
      <w:r>
        <w:rPr>
          <w:spacing w:val="-21"/>
          <w:sz w:val="24"/>
          <w:szCs w:val="24"/>
        </w:rPr>
        <w:t>(4)、切断传播途径，用消毒液消毒病人接触过的物品。</w:t>
      </w:r>
    </w:p>
    <w:p w14:paraId="7EEC279B">
      <w:pPr>
        <w:pStyle w:val="2"/>
        <w:spacing w:before="119" w:line="219" w:lineRule="auto"/>
        <w:ind w:left="1927"/>
        <w:rPr>
          <w:sz w:val="24"/>
          <w:szCs w:val="24"/>
        </w:rPr>
      </w:pPr>
      <w:r>
        <w:rPr>
          <w:spacing w:val="-21"/>
          <w:sz w:val="24"/>
          <w:szCs w:val="24"/>
        </w:rPr>
        <w:t>(5)、调查发病原因，查明发病人数。</w:t>
      </w:r>
    </w:p>
    <w:p w14:paraId="3411D28D">
      <w:pPr>
        <w:pStyle w:val="2"/>
        <w:spacing w:before="114" w:line="217" w:lineRule="auto"/>
        <w:ind w:left="1927"/>
        <w:rPr>
          <w:sz w:val="24"/>
          <w:szCs w:val="24"/>
        </w:rPr>
      </w:pPr>
      <w:r>
        <w:rPr>
          <w:spacing w:val="-21"/>
          <w:sz w:val="24"/>
          <w:szCs w:val="24"/>
        </w:rPr>
        <w:t>(6)、及时与就近医院联系进行救治。</w:t>
      </w:r>
    </w:p>
    <w:p w14:paraId="75279E36">
      <w:pPr>
        <w:pStyle w:val="2"/>
        <w:spacing w:before="120" w:line="218" w:lineRule="auto"/>
        <w:ind w:left="1927"/>
        <w:rPr>
          <w:sz w:val="24"/>
          <w:szCs w:val="24"/>
        </w:rPr>
      </w:pPr>
      <w:r>
        <w:rPr>
          <w:spacing w:val="-20"/>
          <w:sz w:val="24"/>
          <w:szCs w:val="24"/>
        </w:rPr>
        <w:t>(7)、急救中心电话：</w:t>
      </w:r>
    </w:p>
    <w:p w14:paraId="1B6BDA2F">
      <w:pPr>
        <w:pStyle w:val="2"/>
        <w:spacing w:before="117" w:line="218" w:lineRule="auto"/>
        <w:ind w:left="1900"/>
        <w:rPr>
          <w:sz w:val="24"/>
          <w:szCs w:val="24"/>
        </w:rPr>
      </w:pPr>
      <w:r>
        <w:rPr>
          <w:spacing w:val="-18"/>
          <w:sz w:val="24"/>
          <w:szCs w:val="24"/>
        </w:rPr>
        <w:t>火警：119；医疗急救：120；匪警：110</w:t>
      </w:r>
    </w:p>
    <w:p w14:paraId="5141EFC6">
      <w:pPr>
        <w:pStyle w:val="2"/>
        <w:spacing w:before="115" w:line="218" w:lineRule="auto"/>
        <w:ind w:left="1927"/>
        <w:rPr>
          <w:sz w:val="24"/>
          <w:szCs w:val="24"/>
        </w:rPr>
      </w:pPr>
      <w:r>
        <w:rPr>
          <w:spacing w:val="-21"/>
          <w:sz w:val="24"/>
          <w:szCs w:val="24"/>
        </w:rPr>
        <w:t>(8)、电话报救须知，拨打电话时要尽量说清楚以下</w:t>
      </w:r>
      <w:r>
        <w:rPr>
          <w:spacing w:val="-22"/>
          <w:sz w:val="24"/>
          <w:szCs w:val="24"/>
        </w:rPr>
        <w:t>几件事：</w:t>
      </w:r>
    </w:p>
    <w:p w14:paraId="24F817A4">
      <w:pPr>
        <w:pStyle w:val="2"/>
        <w:spacing w:before="118" w:line="263" w:lineRule="auto"/>
        <w:ind w:left="1470" w:right="1410" w:firstLine="407"/>
        <w:rPr>
          <w:sz w:val="24"/>
          <w:szCs w:val="24"/>
        </w:rPr>
      </w:pPr>
      <w:r>
        <w:rPr>
          <w:spacing w:val="-18"/>
          <w:sz w:val="24"/>
          <w:szCs w:val="24"/>
        </w:rPr>
        <w:t>A.说明伤情(病情、火情、案情)和已经采取了些什么措施，以便让</w:t>
      </w:r>
      <w:r>
        <w:rPr>
          <w:spacing w:val="-19"/>
          <w:sz w:val="24"/>
          <w:szCs w:val="24"/>
        </w:rPr>
        <w:t>救护人员事先做好急救的准备。</w:t>
      </w:r>
    </w:p>
    <w:p w14:paraId="4D3D1D41">
      <w:pPr>
        <w:pStyle w:val="2"/>
        <w:spacing w:before="115" w:line="215" w:lineRule="auto"/>
        <w:ind w:left="1880"/>
        <w:rPr>
          <w:sz w:val="24"/>
          <w:szCs w:val="24"/>
        </w:rPr>
      </w:pPr>
      <w:r>
        <w:rPr>
          <w:spacing w:val="-20"/>
          <w:sz w:val="24"/>
          <w:szCs w:val="24"/>
        </w:rPr>
        <w:t>B.讲清楚伤者(事故)发生在什么地方，什么路几号、靠近什么路口、附近有什么特征。</w:t>
      </w:r>
    </w:p>
    <w:p w14:paraId="01AB211C">
      <w:pPr>
        <w:pStyle w:val="2"/>
        <w:spacing w:before="120" w:line="262" w:lineRule="auto"/>
        <w:ind w:left="1455" w:right="1411" w:firstLine="428"/>
        <w:rPr>
          <w:sz w:val="24"/>
          <w:szCs w:val="24"/>
        </w:rPr>
      </w:pPr>
      <w:r>
        <w:rPr>
          <w:spacing w:val="-21"/>
          <w:sz w:val="24"/>
          <w:szCs w:val="24"/>
        </w:rPr>
        <w:t>C.说明报救者单位、姓名(或事故地)的电话或传呼机或传呼电话号码以便救护车(消防车、</w:t>
      </w:r>
      <w:r>
        <w:rPr>
          <w:spacing w:val="-22"/>
          <w:sz w:val="24"/>
          <w:szCs w:val="24"/>
        </w:rPr>
        <w:t>警车)找不到所报地方时，随时通过电话通讯联系。基本打完报救电话后，应问接报人员</w:t>
      </w:r>
      <w:r>
        <w:rPr>
          <w:spacing w:val="-23"/>
          <w:sz w:val="24"/>
          <w:szCs w:val="24"/>
        </w:rPr>
        <w:t>还有什</w:t>
      </w:r>
    </w:p>
    <w:p w14:paraId="03F9D22F">
      <w:pPr>
        <w:spacing w:line="262" w:lineRule="auto"/>
        <w:rPr>
          <w:sz w:val="24"/>
          <w:szCs w:val="24"/>
        </w:rPr>
        <w:sectPr>
          <w:footerReference r:id="rId158" w:type="default"/>
          <w:pgSz w:w="11907" w:h="16839"/>
          <w:pgMar w:top="954" w:right="4" w:bottom="1038" w:left="0" w:header="499" w:footer="357" w:gutter="0"/>
          <w:pgBorders>
            <w:top w:val="none" w:sz="0" w:space="0"/>
            <w:left w:val="none" w:sz="0" w:space="0"/>
            <w:bottom w:val="none" w:sz="0" w:space="0"/>
            <w:right w:val="none" w:sz="0" w:space="0"/>
          </w:pgBorders>
          <w:cols w:space="720" w:num="1"/>
        </w:sectPr>
      </w:pPr>
    </w:p>
    <w:p w14:paraId="16673D68">
      <w:pPr>
        <w:spacing w:line="249" w:lineRule="auto"/>
        <w:rPr>
          <w:rFonts w:ascii="Arial"/>
          <w:sz w:val="21"/>
        </w:rPr>
      </w:pPr>
    </w:p>
    <w:p w14:paraId="7180B7CE">
      <w:pPr>
        <w:pStyle w:val="2"/>
        <w:spacing w:before="78" w:line="308" w:lineRule="auto"/>
        <w:ind w:left="1456" w:right="1415" w:firstLine="15"/>
        <w:rPr>
          <w:sz w:val="24"/>
          <w:szCs w:val="24"/>
        </w:rPr>
      </w:pPr>
      <w:r>
        <w:rPr>
          <w:spacing w:val="-20"/>
          <w:sz w:val="24"/>
          <w:szCs w:val="24"/>
        </w:rPr>
        <w:t>么问题不清楚，如无问题才能挂断电话。通完电话后，应派人在现场外等候接</w:t>
      </w:r>
      <w:r>
        <w:rPr>
          <w:spacing w:val="-21"/>
          <w:sz w:val="24"/>
          <w:szCs w:val="24"/>
        </w:rPr>
        <w:t>应救护车，同时把救护车进工地现场的路上障碍及时予以清除，以利救护到达后</w:t>
      </w:r>
      <w:r>
        <w:rPr>
          <w:spacing w:val="-22"/>
          <w:sz w:val="24"/>
          <w:szCs w:val="24"/>
        </w:rPr>
        <w:t>，能及时进行抢救。</w:t>
      </w:r>
    </w:p>
    <w:p w14:paraId="07C0EF5F">
      <w:pPr>
        <w:pStyle w:val="2"/>
        <w:spacing w:line="216" w:lineRule="auto"/>
        <w:ind w:left="1890"/>
        <w:rPr>
          <w:sz w:val="24"/>
          <w:szCs w:val="24"/>
        </w:rPr>
      </w:pPr>
      <w:r>
        <w:rPr>
          <w:spacing w:val="-18"/>
          <w:sz w:val="24"/>
          <w:szCs w:val="24"/>
        </w:rPr>
        <w:t>5、现场配备急救物品</w:t>
      </w:r>
    </w:p>
    <w:p w14:paraId="0101B4B6">
      <w:pPr>
        <w:pStyle w:val="2"/>
        <w:spacing w:before="118" w:line="217" w:lineRule="auto"/>
        <w:ind w:left="1890"/>
        <w:rPr>
          <w:sz w:val="24"/>
          <w:szCs w:val="24"/>
        </w:rPr>
      </w:pPr>
      <w:r>
        <w:rPr>
          <w:spacing w:val="-15"/>
          <w:sz w:val="24"/>
          <w:szCs w:val="24"/>
        </w:rPr>
        <w:t>5.1急救箱</w:t>
      </w:r>
    </w:p>
    <w:p w14:paraId="02DC0C18">
      <w:pPr>
        <w:pStyle w:val="2"/>
        <w:spacing w:before="118" w:line="307" w:lineRule="auto"/>
        <w:ind w:left="1456" w:right="1410" w:firstLine="450"/>
        <w:rPr>
          <w:sz w:val="24"/>
          <w:szCs w:val="24"/>
        </w:rPr>
      </w:pPr>
      <w:r>
        <w:rPr>
          <w:spacing w:val="-20"/>
          <w:sz w:val="24"/>
          <w:szCs w:val="24"/>
        </w:rPr>
        <w:t>急救箱的配备应以简单和适用为原则，保证现场急救的基本需要，并可根据不同情况予以</w:t>
      </w:r>
      <w:r>
        <w:rPr>
          <w:spacing w:val="-21"/>
          <w:sz w:val="24"/>
          <w:szCs w:val="24"/>
        </w:rPr>
        <w:t>增减，定期检查补充，确保随时可供急救使用。</w:t>
      </w:r>
    </w:p>
    <w:p w14:paraId="48E36BFA">
      <w:pPr>
        <w:pStyle w:val="2"/>
        <w:spacing w:before="4" w:line="290" w:lineRule="auto"/>
        <w:ind w:left="1455" w:right="1409" w:firstLine="472"/>
        <w:rPr>
          <w:sz w:val="24"/>
          <w:szCs w:val="24"/>
        </w:rPr>
      </w:pPr>
      <w:r>
        <w:rPr>
          <w:spacing w:val="-22"/>
          <w:sz w:val="24"/>
          <w:szCs w:val="24"/>
        </w:rPr>
        <w:t>(1)器械敷料类消毒注射器(或一次性针筒)、静脉辅液器、心内注射针头两个、血压计、听</w:t>
      </w:r>
      <w:r>
        <w:rPr>
          <w:spacing w:val="-19"/>
          <w:sz w:val="24"/>
          <w:szCs w:val="24"/>
        </w:rPr>
        <w:t>诊器、体温计、气管切开用具(包括大、小银制气管套管)张口器及舌钳、针灸</w:t>
      </w:r>
      <w:r>
        <w:rPr>
          <w:spacing w:val="-20"/>
          <w:sz w:val="24"/>
          <w:szCs w:val="24"/>
        </w:rPr>
        <w:t>针、止血带、止</w:t>
      </w:r>
      <w:r>
        <w:rPr>
          <w:spacing w:val="-19"/>
          <w:sz w:val="24"/>
          <w:szCs w:val="24"/>
        </w:rPr>
        <w:t>血钳、(大、小)剪刀、手术刀、氧气瓶(便携式)及流量计、无菌橡皮手套、无菌敷料、棉球、棉签、三角巾、绷带、胶布、夹板、别针、手电筒(电池)、保险刀、绷带、镊</w:t>
      </w:r>
      <w:r>
        <w:rPr>
          <w:spacing w:val="-20"/>
          <w:sz w:val="24"/>
          <w:szCs w:val="24"/>
        </w:rPr>
        <w:t>子、病史记录、</w:t>
      </w:r>
      <w:r>
        <w:rPr>
          <w:spacing w:val="-13"/>
          <w:sz w:val="24"/>
          <w:szCs w:val="24"/>
        </w:rPr>
        <w:t>处方。</w:t>
      </w:r>
    </w:p>
    <w:p w14:paraId="63F67876">
      <w:pPr>
        <w:pStyle w:val="2"/>
        <w:spacing w:before="113" w:line="263" w:lineRule="auto"/>
        <w:ind w:left="1460" w:right="1439" w:firstLine="467"/>
        <w:rPr>
          <w:sz w:val="24"/>
          <w:szCs w:val="24"/>
        </w:rPr>
      </w:pPr>
      <w:r>
        <w:rPr>
          <w:spacing w:val="-24"/>
          <w:sz w:val="24"/>
          <w:szCs w:val="24"/>
        </w:rPr>
        <w:t>(2)药物碳酸氢钠、乳酸钠、10％葡萄糖酸钙、维生素、止血敏、安洛血、10％葡萄糖、25%</w:t>
      </w:r>
      <w:r>
        <w:rPr>
          <w:spacing w:val="-22"/>
          <w:sz w:val="24"/>
          <w:szCs w:val="24"/>
        </w:rPr>
        <w:t>葡萄糖、生理盐水、酒精、碘酒、高锰酸钾等。</w:t>
      </w:r>
    </w:p>
    <w:p w14:paraId="62C80C8F">
      <w:pPr>
        <w:pStyle w:val="2"/>
        <w:spacing w:before="117" w:line="217" w:lineRule="auto"/>
        <w:ind w:left="1927"/>
        <w:rPr>
          <w:sz w:val="24"/>
          <w:szCs w:val="24"/>
        </w:rPr>
      </w:pPr>
      <w:r>
        <w:rPr>
          <w:spacing w:val="-21"/>
          <w:sz w:val="24"/>
          <w:szCs w:val="24"/>
        </w:rPr>
        <w:t>(3)有专人保管，但不要上锁。</w:t>
      </w:r>
    </w:p>
    <w:p w14:paraId="13DF844C">
      <w:pPr>
        <w:pStyle w:val="2"/>
        <w:spacing w:before="116" w:line="216" w:lineRule="auto"/>
        <w:ind w:left="1927"/>
        <w:rPr>
          <w:sz w:val="24"/>
          <w:szCs w:val="24"/>
        </w:rPr>
      </w:pPr>
      <w:r>
        <w:rPr>
          <w:spacing w:val="-21"/>
          <w:sz w:val="24"/>
          <w:szCs w:val="24"/>
        </w:rPr>
        <w:t>(4)定期更换超过消毒期的敷料和过期药品，每次急救</w:t>
      </w:r>
      <w:r>
        <w:rPr>
          <w:spacing w:val="-22"/>
          <w:sz w:val="24"/>
          <w:szCs w:val="24"/>
        </w:rPr>
        <w:t>后要及时补充。</w:t>
      </w:r>
    </w:p>
    <w:p w14:paraId="71A14C75">
      <w:pPr>
        <w:pStyle w:val="2"/>
        <w:spacing w:before="121" w:line="215" w:lineRule="auto"/>
        <w:ind w:left="1927"/>
        <w:rPr>
          <w:sz w:val="24"/>
          <w:szCs w:val="24"/>
        </w:rPr>
      </w:pPr>
      <w:r>
        <w:rPr>
          <w:spacing w:val="-22"/>
          <w:sz w:val="24"/>
          <w:szCs w:val="24"/>
        </w:rPr>
        <w:t>(5)放置在合适的位置，使现场人员都知道。</w:t>
      </w:r>
    </w:p>
    <w:p w14:paraId="67B338A8">
      <w:pPr>
        <w:pStyle w:val="2"/>
        <w:spacing w:before="121" w:line="217" w:lineRule="auto"/>
        <w:ind w:left="1890"/>
        <w:rPr>
          <w:sz w:val="24"/>
          <w:szCs w:val="24"/>
        </w:rPr>
      </w:pPr>
      <w:r>
        <w:rPr>
          <w:spacing w:val="-18"/>
          <w:sz w:val="24"/>
          <w:szCs w:val="24"/>
        </w:rPr>
        <w:t>5.2、其他应急设备和设施</w:t>
      </w:r>
    </w:p>
    <w:p w14:paraId="0AF61309">
      <w:pPr>
        <w:pStyle w:val="2"/>
        <w:spacing w:before="117" w:line="308" w:lineRule="auto"/>
        <w:ind w:left="1469" w:right="1409" w:firstLine="454"/>
        <w:rPr>
          <w:sz w:val="24"/>
          <w:szCs w:val="24"/>
        </w:rPr>
      </w:pPr>
      <w:r>
        <w:rPr>
          <w:spacing w:val="-20"/>
          <w:sz w:val="24"/>
          <w:szCs w:val="24"/>
        </w:rPr>
        <w:t>由于在现场经常会出现一些不安全情况，甚至发生事故，或</w:t>
      </w:r>
      <w:r>
        <w:rPr>
          <w:spacing w:val="-21"/>
          <w:sz w:val="24"/>
          <w:szCs w:val="24"/>
        </w:rPr>
        <w:t>因采光和照明情况不好，在应</w:t>
      </w:r>
      <w:r>
        <w:rPr>
          <w:spacing w:val="-22"/>
          <w:sz w:val="24"/>
          <w:szCs w:val="24"/>
        </w:rPr>
        <w:t>急处理时就需配备应急照明，如可充电工作灯、电筒、油灯等设备。</w:t>
      </w:r>
    </w:p>
    <w:p w14:paraId="2591ABD6">
      <w:pPr>
        <w:pStyle w:val="2"/>
        <w:spacing w:before="3" w:line="298" w:lineRule="auto"/>
        <w:ind w:left="1455" w:right="1415" w:firstLine="468"/>
        <w:rPr>
          <w:sz w:val="24"/>
          <w:szCs w:val="24"/>
        </w:rPr>
      </w:pPr>
      <w:r>
        <w:rPr>
          <w:spacing w:val="-20"/>
          <w:sz w:val="24"/>
          <w:szCs w:val="24"/>
        </w:rPr>
        <w:t>由于现场有危险情况，在应急处理时就需有用</w:t>
      </w:r>
      <w:r>
        <w:rPr>
          <w:spacing w:val="-21"/>
          <w:sz w:val="24"/>
          <w:szCs w:val="24"/>
        </w:rPr>
        <w:t>于危险区域隔离的警戒带、各类安全禁止、</w:t>
      </w:r>
      <w:r>
        <w:rPr>
          <w:spacing w:val="-20"/>
          <w:sz w:val="24"/>
          <w:szCs w:val="24"/>
        </w:rPr>
        <w:t>警告、指令、提示标志牌。有时为了安全逃生、救生需要，还必须配置安全带、安全绳、担架等专用应急设备和设施工具。</w:t>
      </w:r>
    </w:p>
    <w:p w14:paraId="4D3556FE">
      <w:pPr>
        <w:pStyle w:val="2"/>
        <w:spacing w:before="1" w:line="218" w:lineRule="auto"/>
        <w:ind w:left="2010"/>
        <w:outlineLvl w:val="2"/>
        <w:rPr>
          <w:sz w:val="28"/>
          <w:szCs w:val="28"/>
        </w:rPr>
      </w:pPr>
      <w:bookmarkStart w:id="104" w:name="bookmark101"/>
      <w:bookmarkEnd w:id="104"/>
      <w:r>
        <w:rPr>
          <w:b/>
          <w:bCs/>
          <w:spacing w:val="-25"/>
          <w:sz w:val="28"/>
          <w:szCs w:val="28"/>
        </w:rPr>
        <w:t>四、安全管理组织计划</w:t>
      </w:r>
    </w:p>
    <w:p w14:paraId="1D950697">
      <w:pPr>
        <w:spacing w:line="218" w:lineRule="auto"/>
        <w:rPr>
          <w:sz w:val="28"/>
          <w:szCs w:val="28"/>
        </w:rPr>
        <w:sectPr>
          <w:footerReference r:id="rId159" w:type="default"/>
          <w:pgSz w:w="11907" w:h="16839"/>
          <w:pgMar w:top="954" w:right="4" w:bottom="1038" w:left="0" w:header="499" w:footer="357" w:gutter="0"/>
          <w:pgBorders>
            <w:top w:val="none" w:sz="0" w:space="0"/>
            <w:left w:val="none" w:sz="0" w:space="0"/>
            <w:bottom w:val="none" w:sz="0" w:space="0"/>
            <w:right w:val="none" w:sz="0" w:space="0"/>
          </w:pgBorders>
          <w:cols w:space="720" w:num="1"/>
        </w:sectPr>
      </w:pPr>
    </w:p>
    <w:p w14:paraId="4B8AE165">
      <w:pPr>
        <w:spacing w:line="246" w:lineRule="auto"/>
        <w:rPr>
          <w:rFonts w:ascii="Arial"/>
          <w:sz w:val="21"/>
        </w:rPr>
      </w:pPr>
    </w:p>
    <w:p w14:paraId="25441D52">
      <w:pPr>
        <w:pStyle w:val="2"/>
        <w:spacing w:before="68" w:line="221" w:lineRule="auto"/>
        <w:ind w:left="3531"/>
        <w:rPr>
          <w:sz w:val="21"/>
          <w:szCs w:val="21"/>
        </w:rPr>
      </w:pPr>
      <w:r>
        <w:rPr>
          <w:spacing w:val="-3"/>
          <w:sz w:val="21"/>
          <w:szCs w:val="21"/>
        </w:rPr>
        <w:t>项目经理</w:t>
      </w:r>
    </w:p>
    <w:p w14:paraId="72F2BC95">
      <w:pPr>
        <w:spacing w:line="359" w:lineRule="auto"/>
        <w:rPr>
          <w:rFonts w:ascii="Arial"/>
          <w:sz w:val="21"/>
        </w:rPr>
      </w:pPr>
    </w:p>
    <w:p w14:paraId="72624048">
      <w:pPr>
        <w:spacing w:line="360" w:lineRule="auto"/>
        <w:rPr>
          <w:rFonts w:ascii="Arial"/>
          <w:sz w:val="21"/>
        </w:rPr>
      </w:pPr>
    </w:p>
    <w:p w14:paraId="2F0B6968">
      <w:pPr>
        <w:pStyle w:val="2"/>
        <w:spacing w:before="68" w:line="214" w:lineRule="auto"/>
        <w:ind w:left="8675" w:right="1767" w:firstLine="3"/>
        <w:rPr>
          <w:sz w:val="21"/>
          <w:szCs w:val="21"/>
        </w:rPr>
      </w:pPr>
      <w:r>
        <w:pict>
          <v:shape id="_x0000_s3255" o:spid="_x0000_s3255" o:spt="202" type="#_x0000_t202" style="position:absolute;left:0pt;margin-left:308.95pt;margin-top:2.4pt;height:26.55pt;width:64.5pt;z-index:251961344;mso-width-relative:page;mso-height-relative:page;" filled="f" stroked="f" coordsize="21600,21600">
            <v:path/>
            <v:fill on="f" focussize="0,0"/>
            <v:stroke on="f"/>
            <v:imagedata o:title=""/>
            <o:lock v:ext="edit" aspectratio="f"/>
            <v:textbox inset="0mm,0mm,0mm,0mm">
              <w:txbxContent>
                <w:p w14:paraId="2301272C">
                  <w:pPr>
                    <w:pStyle w:val="2"/>
                    <w:spacing w:before="20" w:line="215" w:lineRule="auto"/>
                    <w:ind w:left="442" w:right="20" w:hanging="422"/>
                    <w:rPr>
                      <w:sz w:val="21"/>
                      <w:szCs w:val="21"/>
                    </w:rPr>
                  </w:pPr>
                  <w:r>
                    <w:rPr>
                      <w:spacing w:val="-2"/>
                      <w:sz w:val="21"/>
                      <w:szCs w:val="21"/>
                    </w:rPr>
                    <w:t>施工操作人员</w:t>
                  </w:r>
                  <w:r>
                    <w:rPr>
                      <w:sz w:val="21"/>
                      <w:szCs w:val="21"/>
                    </w:rPr>
                    <w:t xml:space="preserve"> </w:t>
                  </w:r>
                  <w:r>
                    <w:rPr>
                      <w:spacing w:val="-4"/>
                      <w:sz w:val="21"/>
                      <w:szCs w:val="21"/>
                    </w:rPr>
                    <w:t>进场</w:t>
                  </w:r>
                </w:p>
              </w:txbxContent>
            </v:textbox>
          </v:shape>
        </w:pict>
      </w:r>
      <w:r>
        <w:pict>
          <v:shape id="_x0000_s3256" o:spid="_x0000_s3256" o:spt="202" type="#_x0000_t202" style="position:absolute;left:0pt;margin-left:106.45pt;margin-top:14.9pt;height:14.5pt;width:53.7pt;z-index:251970560;mso-width-relative:page;mso-height-relative:page;" filled="f" stroked="f" coordsize="21600,21600">
            <v:path/>
            <v:fill on="f" focussize="0,0"/>
            <v:stroke on="f"/>
            <v:imagedata o:title=""/>
            <o:lock v:ext="edit" aspectratio="f"/>
            <v:textbox inset="0mm,0mm,0mm,0mm">
              <w:txbxContent>
                <w:p w14:paraId="53409CAF">
                  <w:pPr>
                    <w:pStyle w:val="2"/>
                    <w:spacing w:before="20" w:line="219" w:lineRule="auto"/>
                    <w:ind w:left="20"/>
                    <w:rPr>
                      <w:sz w:val="21"/>
                      <w:szCs w:val="21"/>
                    </w:rPr>
                  </w:pPr>
                  <w:r>
                    <w:rPr>
                      <w:spacing w:val="-4"/>
                      <w:sz w:val="21"/>
                      <w:szCs w:val="21"/>
                    </w:rPr>
                    <w:t>主任工程师</w:t>
                  </w:r>
                </w:p>
              </w:txbxContent>
            </v:textbox>
          </v:shape>
        </w:pict>
      </w:r>
      <w:r>
        <w:pict>
          <v:shape id="_x0000_s3257" o:spid="_x0000_s3257" o:spt="202" type="#_x0000_t202" style="position:absolute;left:0pt;margin-left:206.35pt;margin-top:14.9pt;height:14.55pt;width:53.9pt;z-index:251969536;mso-width-relative:page;mso-height-relative:page;" filled="f" stroked="f" coordsize="21600,21600">
            <v:path/>
            <v:fill on="f" focussize="0,0"/>
            <v:stroke on="f"/>
            <v:imagedata o:title=""/>
            <o:lock v:ext="edit" aspectratio="f"/>
            <v:textbox inset="0mm,0mm,0mm,0mm">
              <w:txbxContent>
                <w:p w14:paraId="4BE4BD68">
                  <w:pPr>
                    <w:pStyle w:val="2"/>
                    <w:spacing w:before="19" w:line="221" w:lineRule="auto"/>
                    <w:ind w:left="20"/>
                    <w:rPr>
                      <w:sz w:val="21"/>
                      <w:szCs w:val="21"/>
                    </w:rPr>
                  </w:pPr>
                  <w:r>
                    <w:rPr>
                      <w:spacing w:val="-3"/>
                      <w:sz w:val="21"/>
                      <w:szCs w:val="21"/>
                    </w:rPr>
                    <w:t>安全负责人</w:t>
                  </w:r>
                </w:p>
              </w:txbxContent>
            </v:textbox>
          </v:shape>
        </w:pict>
      </w:r>
      <w:r>
        <w:rPr>
          <w:spacing w:val="-2"/>
          <w:sz w:val="21"/>
          <w:szCs w:val="21"/>
        </w:rPr>
        <w:t>公司有关部门进场进行安全教育</w:t>
      </w:r>
    </w:p>
    <w:p w14:paraId="4DCB544C">
      <w:pPr>
        <w:spacing w:line="346" w:lineRule="auto"/>
        <w:rPr>
          <w:rFonts w:ascii="Arial"/>
          <w:sz w:val="21"/>
        </w:rPr>
      </w:pPr>
    </w:p>
    <w:p w14:paraId="23C10E16">
      <w:pPr>
        <w:spacing w:line="347" w:lineRule="auto"/>
        <w:rPr>
          <w:rFonts w:ascii="Arial"/>
          <w:sz w:val="21"/>
        </w:rPr>
      </w:pPr>
    </w:p>
    <w:p w14:paraId="45337437">
      <w:pPr>
        <w:pStyle w:val="2"/>
        <w:spacing w:before="68" w:line="215" w:lineRule="auto"/>
        <w:ind w:left="2303" w:right="8774" w:hanging="423"/>
        <w:rPr>
          <w:sz w:val="21"/>
          <w:szCs w:val="21"/>
        </w:rPr>
      </w:pPr>
      <w:r>
        <w:drawing>
          <wp:anchor distT="0" distB="0" distL="0" distR="0" simplePos="0" relativeHeight="251972608" behindDoc="0" locked="0" layoutInCell="1" allowOverlap="1">
            <wp:simplePos x="0" y="0"/>
            <wp:positionH relativeFrom="column">
              <wp:posOffset>918845</wp:posOffset>
            </wp:positionH>
            <wp:positionV relativeFrom="paragraph">
              <wp:posOffset>-1475105</wp:posOffset>
            </wp:positionV>
            <wp:extent cx="5878830" cy="6040755"/>
            <wp:effectExtent l="0" t="0" r="0" b="0"/>
            <wp:wrapNone/>
            <wp:docPr id="822" name="IM 822"/>
            <wp:cNvGraphicFramePr/>
            <a:graphic xmlns:a="http://schemas.openxmlformats.org/drawingml/2006/main">
              <a:graphicData uri="http://schemas.openxmlformats.org/drawingml/2006/picture">
                <pic:pic xmlns:pic="http://schemas.openxmlformats.org/drawingml/2006/picture">
                  <pic:nvPicPr>
                    <pic:cNvPr id="822" name="IM 822"/>
                    <pic:cNvPicPr/>
                  </pic:nvPicPr>
                  <pic:blipFill>
                    <a:blip r:embed="rId618"/>
                    <a:stretch>
                      <a:fillRect/>
                    </a:stretch>
                  </pic:blipFill>
                  <pic:spPr>
                    <a:xfrm>
                      <a:off x="0" y="0"/>
                      <a:ext cx="5878830" cy="6040754"/>
                    </a:xfrm>
                    <a:prstGeom prst="rect">
                      <a:avLst/>
                    </a:prstGeom>
                  </pic:spPr>
                </pic:pic>
              </a:graphicData>
            </a:graphic>
          </wp:anchor>
        </w:drawing>
      </w:r>
      <w:r>
        <w:pict>
          <v:shape id="_x0000_s3258" o:spid="_x0000_s3258" o:spt="202" type="#_x0000_t202" style="position:absolute;left:0pt;margin-left:336.2pt;margin-top:4.2pt;height:14.3pt;width:116.95pt;z-index:251964416;mso-width-relative:page;mso-height-relative:page;" filled="f" stroked="f" coordsize="21600,21600">
            <v:path/>
            <v:fill on="f" focussize="0,0"/>
            <v:stroke on="f"/>
            <v:imagedata o:title=""/>
            <o:lock v:ext="edit" aspectratio="f"/>
            <v:textbox inset="0mm,0mm,0mm,0mm">
              <w:txbxContent>
                <w:p w14:paraId="50D52703">
                  <w:pPr>
                    <w:pStyle w:val="2"/>
                    <w:spacing w:before="20" w:line="216" w:lineRule="auto"/>
                    <w:ind w:left="20"/>
                    <w:rPr>
                      <w:sz w:val="21"/>
                      <w:szCs w:val="21"/>
                    </w:rPr>
                  </w:pPr>
                  <w:r>
                    <w:rPr>
                      <w:spacing w:val="-2"/>
                      <w:sz w:val="21"/>
                      <w:szCs w:val="21"/>
                    </w:rPr>
                    <w:t>在施工现场进行安全教育</w:t>
                  </w:r>
                </w:p>
              </w:txbxContent>
            </v:textbox>
          </v:shape>
        </w:pict>
      </w:r>
      <w:r>
        <w:rPr>
          <w:spacing w:val="-3"/>
          <w:sz w:val="21"/>
          <w:szCs w:val="21"/>
        </w:rPr>
        <w:t>编制安全施工</w:t>
      </w:r>
      <w:r>
        <w:rPr>
          <w:spacing w:val="-5"/>
          <w:sz w:val="21"/>
          <w:szCs w:val="21"/>
        </w:rPr>
        <w:t>方案</w:t>
      </w:r>
    </w:p>
    <w:p w14:paraId="3BAB660E">
      <w:pPr>
        <w:spacing w:line="262" w:lineRule="auto"/>
        <w:rPr>
          <w:rFonts w:ascii="Arial"/>
          <w:sz w:val="21"/>
        </w:rPr>
      </w:pPr>
    </w:p>
    <w:p w14:paraId="1CFD3222">
      <w:pPr>
        <w:spacing w:line="262" w:lineRule="auto"/>
        <w:rPr>
          <w:rFonts w:ascii="Arial"/>
          <w:sz w:val="21"/>
        </w:rPr>
      </w:pPr>
    </w:p>
    <w:p w14:paraId="4E9E3D35">
      <w:pPr>
        <w:spacing w:line="262" w:lineRule="auto"/>
        <w:rPr>
          <w:rFonts w:ascii="Arial"/>
          <w:sz w:val="21"/>
        </w:rPr>
      </w:pPr>
      <w:r>
        <w:pict>
          <v:shape id="_x0000_s3259" o:spid="_x0000_s3259" o:spt="202" type="#_x0000_t202" style="position:absolute;left:0pt;margin-left:78.15pt;margin-top:10.3pt;height:60.6pt;width:13.85pt;z-index:251967488;mso-width-relative:page;mso-height-relative:page;" filled="f" stroked="f" coordsize="21600,21600">
            <v:path/>
            <v:fill on="f" focussize="0,0"/>
            <v:stroke on="f"/>
            <v:imagedata o:title=""/>
            <o:lock v:ext="edit" aspectratio="f"/>
            <v:textbox inset="0mm,0mm,0mm,0mm" style="layout-flow:vertical-ideographic;">
              <w:txbxContent>
                <w:p w14:paraId="61A01035">
                  <w:pPr>
                    <w:pStyle w:val="2"/>
                    <w:spacing w:before="19" w:line="202" w:lineRule="auto"/>
                    <w:ind w:left="20"/>
                    <w:rPr>
                      <w:sz w:val="21"/>
                      <w:szCs w:val="21"/>
                    </w:rPr>
                  </w:pPr>
                  <w:r>
                    <w:rPr>
                      <w:spacing w:val="24"/>
                      <w:sz w:val="21"/>
                      <w:szCs w:val="21"/>
                    </w:rPr>
                    <w:t>投入人财物</w:t>
                  </w:r>
                </w:p>
              </w:txbxContent>
            </v:textbox>
          </v:shape>
        </w:pict>
      </w:r>
    </w:p>
    <w:p w14:paraId="16C86B32">
      <w:pPr>
        <w:spacing w:line="263" w:lineRule="auto"/>
        <w:rPr>
          <w:rFonts w:ascii="Arial"/>
          <w:sz w:val="21"/>
        </w:rPr>
      </w:pPr>
    </w:p>
    <w:p w14:paraId="58979810">
      <w:pPr>
        <w:pStyle w:val="2"/>
        <w:spacing w:before="68" w:line="214" w:lineRule="auto"/>
        <w:ind w:left="6944" w:right="3812" w:hanging="104"/>
        <w:rPr>
          <w:sz w:val="21"/>
          <w:szCs w:val="21"/>
        </w:rPr>
      </w:pPr>
      <w:r>
        <w:pict>
          <v:shape id="_x0000_s3260" o:spid="_x0000_s3260" o:spt="202" type="#_x0000_t202" style="position:absolute;left:0pt;margin-left:121pt;margin-top:-11.85pt;height:26.55pt;width:64.35pt;z-index:251963392;mso-width-relative:page;mso-height-relative:page;" filled="f" stroked="f" coordsize="21600,21600">
            <v:path/>
            <v:fill on="f" focussize="0,0"/>
            <v:stroke on="f"/>
            <v:imagedata o:title=""/>
            <o:lock v:ext="edit" aspectratio="f"/>
            <v:textbox inset="0mm,0mm,0mm,0mm">
              <w:txbxContent>
                <w:p w14:paraId="63BBD32C">
                  <w:pPr>
                    <w:pStyle w:val="2"/>
                    <w:spacing w:before="20" w:line="215" w:lineRule="auto"/>
                    <w:ind w:left="20" w:right="20" w:firstLine="7"/>
                    <w:rPr>
                      <w:sz w:val="21"/>
                      <w:szCs w:val="21"/>
                    </w:rPr>
                  </w:pPr>
                  <w:r>
                    <w:rPr>
                      <w:spacing w:val="-4"/>
                      <w:sz w:val="21"/>
                      <w:szCs w:val="21"/>
                    </w:rPr>
                    <w:t>落实完善各种</w:t>
                  </w:r>
                  <w:r>
                    <w:rPr>
                      <w:spacing w:val="1"/>
                      <w:sz w:val="21"/>
                      <w:szCs w:val="21"/>
                    </w:rPr>
                    <w:t xml:space="preserve"> </w:t>
                  </w:r>
                  <w:r>
                    <w:rPr>
                      <w:spacing w:val="-3"/>
                      <w:sz w:val="21"/>
                      <w:szCs w:val="21"/>
                    </w:rPr>
                    <w:t>安全设施方案</w:t>
                  </w:r>
                </w:p>
              </w:txbxContent>
            </v:textbox>
          </v:shape>
        </w:pict>
      </w:r>
      <w:r>
        <w:pict>
          <v:shape id="_x0000_s3261" o:spid="_x0000_s3261" o:spt="202" type="#_x0000_t202" style="position:absolute;left:0pt;margin-left:221.1pt;margin-top:-11.85pt;height:26.4pt;width:64.35pt;z-index:251962368;mso-width-relative:page;mso-height-relative:page;" filled="f" stroked="f" coordsize="21600,21600">
            <v:path/>
            <v:fill on="f" focussize="0,0"/>
            <v:stroke on="f"/>
            <v:imagedata o:title=""/>
            <o:lock v:ext="edit" aspectratio="f"/>
            <v:textbox inset="0mm,0mm,0mm,0mm">
              <w:txbxContent>
                <w:p w14:paraId="4A7AB18A">
                  <w:pPr>
                    <w:pStyle w:val="2"/>
                    <w:spacing w:before="20" w:line="214" w:lineRule="auto"/>
                    <w:ind w:left="126" w:right="20" w:hanging="106"/>
                    <w:rPr>
                      <w:sz w:val="21"/>
                      <w:szCs w:val="21"/>
                    </w:rPr>
                  </w:pPr>
                  <w:r>
                    <w:rPr>
                      <w:spacing w:val="-3"/>
                      <w:sz w:val="21"/>
                      <w:szCs w:val="21"/>
                    </w:rPr>
                    <w:t>进行全面检查</w:t>
                  </w:r>
                  <w:r>
                    <w:rPr>
                      <w:spacing w:val="3"/>
                      <w:sz w:val="21"/>
                      <w:szCs w:val="21"/>
                    </w:rPr>
                    <w:t xml:space="preserve"> </w:t>
                  </w:r>
                  <w:r>
                    <w:rPr>
                      <w:spacing w:val="-4"/>
                      <w:sz w:val="21"/>
                      <w:szCs w:val="21"/>
                    </w:rPr>
                    <w:t>不间断完善</w:t>
                  </w:r>
                </w:p>
              </w:txbxContent>
            </v:textbox>
          </v:shape>
        </w:pict>
      </w:r>
      <w:r>
        <w:rPr>
          <w:spacing w:val="-2"/>
          <w:sz w:val="21"/>
          <w:szCs w:val="21"/>
        </w:rPr>
        <w:t>施工工长对班</w:t>
      </w:r>
      <w:r>
        <w:rPr>
          <w:spacing w:val="-3"/>
          <w:sz w:val="21"/>
          <w:szCs w:val="21"/>
        </w:rPr>
        <w:t>组进行教育</w:t>
      </w:r>
    </w:p>
    <w:p w14:paraId="47BCD137">
      <w:pPr>
        <w:spacing w:line="303" w:lineRule="auto"/>
        <w:rPr>
          <w:rFonts w:ascii="Arial"/>
          <w:sz w:val="21"/>
        </w:rPr>
      </w:pPr>
    </w:p>
    <w:p w14:paraId="37B1BD88">
      <w:pPr>
        <w:pStyle w:val="2"/>
        <w:spacing w:before="69" w:line="220" w:lineRule="auto"/>
        <w:ind w:left="8693"/>
        <w:rPr>
          <w:sz w:val="21"/>
          <w:szCs w:val="21"/>
        </w:rPr>
      </w:pPr>
      <w:r>
        <w:rPr>
          <w:spacing w:val="-2"/>
          <w:sz w:val="21"/>
          <w:szCs w:val="21"/>
        </w:rPr>
        <w:t>分发个人劳动用品</w:t>
      </w:r>
    </w:p>
    <w:p w14:paraId="36800978">
      <w:pPr>
        <w:spacing w:line="340" w:lineRule="auto"/>
        <w:rPr>
          <w:rFonts w:ascii="Arial"/>
          <w:sz w:val="21"/>
        </w:rPr>
      </w:pPr>
    </w:p>
    <w:p w14:paraId="3F3A6ADC">
      <w:pPr>
        <w:spacing w:line="340" w:lineRule="auto"/>
        <w:rPr>
          <w:rFonts w:ascii="Arial"/>
          <w:sz w:val="21"/>
        </w:rPr>
      </w:pPr>
    </w:p>
    <w:p w14:paraId="2152F088">
      <w:pPr>
        <w:pStyle w:val="2"/>
        <w:spacing w:before="69" w:line="217" w:lineRule="auto"/>
        <w:ind w:left="5001"/>
        <w:rPr>
          <w:sz w:val="21"/>
          <w:szCs w:val="21"/>
        </w:rPr>
      </w:pPr>
      <w:r>
        <w:pict>
          <v:shape id="_x0000_s3262" o:spid="_x0000_s3262" o:spt="202" type="#_x0000_t202" style="position:absolute;left:0pt;margin-left:152.15pt;margin-top:-4.75pt;height:26.45pt;width:50.25pt;z-index:251965440;mso-width-relative:page;mso-height-relative:page;" filled="f" stroked="f" coordsize="21600,21600">
            <v:path/>
            <v:fill on="f" focussize="0,0"/>
            <v:stroke on="f"/>
            <v:imagedata o:title=""/>
            <o:lock v:ext="edit" aspectratio="f"/>
            <v:textbox inset="0mm,0mm,0mm,0mm">
              <w:txbxContent>
                <w:p w14:paraId="36D1CA97">
                  <w:pPr>
                    <w:pStyle w:val="2"/>
                    <w:spacing w:before="19" w:line="215" w:lineRule="auto"/>
                    <w:ind w:left="20" w:right="20" w:firstLine="67"/>
                    <w:rPr>
                      <w:sz w:val="21"/>
                      <w:szCs w:val="21"/>
                    </w:rPr>
                  </w:pPr>
                  <w:r>
                    <w:rPr>
                      <w:spacing w:val="-4"/>
                      <w:sz w:val="21"/>
                      <w:szCs w:val="21"/>
                    </w:rPr>
                    <w:t>制定相关</w:t>
                  </w:r>
                  <w:r>
                    <w:rPr>
                      <w:spacing w:val="2"/>
                      <w:sz w:val="21"/>
                      <w:szCs w:val="21"/>
                    </w:rPr>
                    <w:t xml:space="preserve"> </w:t>
                  </w:r>
                  <w:r>
                    <w:rPr>
                      <w:spacing w:val="-18"/>
                      <w:sz w:val="21"/>
                      <w:szCs w:val="21"/>
                    </w:rPr>
                    <w:t>制度、规定</w:t>
                  </w:r>
                </w:p>
              </w:txbxContent>
            </v:textbox>
          </v:shape>
        </w:pict>
      </w:r>
      <w:r>
        <w:rPr>
          <w:spacing w:val="-3"/>
          <w:sz w:val="21"/>
          <w:szCs w:val="21"/>
        </w:rPr>
        <w:t>进行监督检查施工过程每周一次安全</w:t>
      </w:r>
    </w:p>
    <w:p w14:paraId="151B4DC5">
      <w:pPr>
        <w:spacing w:line="279" w:lineRule="auto"/>
        <w:rPr>
          <w:rFonts w:ascii="Arial"/>
          <w:sz w:val="21"/>
        </w:rPr>
      </w:pPr>
    </w:p>
    <w:p w14:paraId="48EA6C24">
      <w:pPr>
        <w:spacing w:line="279" w:lineRule="auto"/>
        <w:rPr>
          <w:rFonts w:ascii="Arial"/>
          <w:sz w:val="21"/>
        </w:rPr>
      </w:pPr>
    </w:p>
    <w:p w14:paraId="3AF91F8B">
      <w:pPr>
        <w:spacing w:line="279" w:lineRule="auto"/>
        <w:rPr>
          <w:rFonts w:ascii="Arial"/>
          <w:sz w:val="21"/>
        </w:rPr>
      </w:pPr>
    </w:p>
    <w:p w14:paraId="3393E017">
      <w:pPr>
        <w:spacing w:line="280" w:lineRule="auto"/>
        <w:rPr>
          <w:rFonts w:ascii="Arial"/>
          <w:sz w:val="21"/>
        </w:rPr>
      </w:pPr>
    </w:p>
    <w:p w14:paraId="6CD92769">
      <w:pPr>
        <w:spacing w:line="280" w:lineRule="auto"/>
        <w:rPr>
          <w:rFonts w:ascii="Arial"/>
          <w:sz w:val="21"/>
        </w:rPr>
      </w:pPr>
    </w:p>
    <w:p w14:paraId="1DD47E57">
      <w:pPr>
        <w:pStyle w:val="2"/>
        <w:spacing w:before="68" w:line="221" w:lineRule="auto"/>
        <w:ind w:left="7069"/>
        <w:rPr>
          <w:sz w:val="21"/>
          <w:szCs w:val="21"/>
        </w:rPr>
      </w:pPr>
      <w:r>
        <w:pict>
          <v:shape id="_x0000_s3263" o:spid="_x0000_s3263" o:spt="202" type="#_x0000_t202" style="position:absolute;left:0pt;margin-left:134.4pt;margin-top:1.9pt;height:14.45pt;width:85.5pt;z-index:251966464;mso-width-relative:page;mso-height-relative:page;" filled="f" stroked="f" coordsize="21600,21600">
            <v:path/>
            <v:fill on="f" focussize="0,0"/>
            <v:stroke on="f"/>
            <v:imagedata o:title=""/>
            <o:lock v:ext="edit" aspectratio="f"/>
            <v:textbox inset="0mm,0mm,0mm,0mm">
              <w:txbxContent>
                <w:p w14:paraId="7D6A4680">
                  <w:pPr>
                    <w:pStyle w:val="2"/>
                    <w:spacing w:before="20" w:line="218" w:lineRule="auto"/>
                    <w:ind w:left="20"/>
                    <w:rPr>
                      <w:sz w:val="21"/>
                      <w:szCs w:val="21"/>
                    </w:rPr>
                  </w:pPr>
                  <w:r>
                    <w:rPr>
                      <w:spacing w:val="-2"/>
                      <w:sz w:val="21"/>
                      <w:szCs w:val="21"/>
                    </w:rPr>
                    <w:t>设施不能满足要求</w:t>
                  </w:r>
                </w:p>
              </w:txbxContent>
            </v:textbox>
          </v:shape>
        </w:pict>
      </w:r>
      <w:r>
        <w:rPr>
          <w:spacing w:val="-2"/>
          <w:sz w:val="21"/>
          <w:szCs w:val="21"/>
        </w:rPr>
        <w:t>人员不注意安全生产</w:t>
      </w:r>
    </w:p>
    <w:p w14:paraId="7A7D94EC">
      <w:pPr>
        <w:spacing w:line="250" w:lineRule="auto"/>
        <w:rPr>
          <w:rFonts w:ascii="Arial"/>
          <w:sz w:val="21"/>
        </w:rPr>
      </w:pPr>
    </w:p>
    <w:p w14:paraId="24FD9E1A">
      <w:pPr>
        <w:spacing w:line="250" w:lineRule="auto"/>
        <w:rPr>
          <w:rFonts w:ascii="Arial"/>
          <w:sz w:val="21"/>
        </w:rPr>
      </w:pPr>
    </w:p>
    <w:p w14:paraId="599753C6">
      <w:pPr>
        <w:spacing w:line="250" w:lineRule="auto"/>
        <w:rPr>
          <w:rFonts w:ascii="Arial"/>
          <w:sz w:val="21"/>
        </w:rPr>
      </w:pPr>
    </w:p>
    <w:p w14:paraId="64C94B30">
      <w:pPr>
        <w:spacing w:line="250" w:lineRule="auto"/>
        <w:rPr>
          <w:rFonts w:ascii="Arial"/>
          <w:sz w:val="21"/>
        </w:rPr>
      </w:pPr>
    </w:p>
    <w:p w14:paraId="1BFBD52B">
      <w:pPr>
        <w:spacing w:line="250" w:lineRule="auto"/>
        <w:rPr>
          <w:rFonts w:ascii="Arial"/>
          <w:sz w:val="21"/>
        </w:rPr>
      </w:pPr>
    </w:p>
    <w:p w14:paraId="69ACF195">
      <w:pPr>
        <w:pStyle w:val="2"/>
        <w:spacing w:before="68" w:line="219" w:lineRule="auto"/>
        <w:ind w:left="7289"/>
        <w:rPr>
          <w:sz w:val="21"/>
          <w:szCs w:val="21"/>
        </w:rPr>
      </w:pPr>
      <w:r>
        <w:pict>
          <v:shape id="_x0000_s3264" o:spid="_x0000_s3264" o:spt="202" type="#_x0000_t202" style="position:absolute;left:0pt;margin-left:269.95pt;margin-top:2.4pt;height:14.55pt;width:54pt;z-index:251968512;mso-width-relative:page;mso-height-relative:page;" filled="f" stroked="f" coordsize="21600,21600">
            <v:path/>
            <v:fill on="f" focussize="0,0"/>
            <v:stroke on="f"/>
            <v:imagedata o:title=""/>
            <o:lock v:ext="edit" aspectratio="f"/>
            <v:textbox inset="0mm,0mm,0mm,0mm">
              <w:txbxContent>
                <w:p w14:paraId="7E11BF92">
                  <w:pPr>
                    <w:pStyle w:val="2"/>
                    <w:spacing w:before="19" w:line="220" w:lineRule="auto"/>
                    <w:ind w:left="20"/>
                    <w:rPr>
                      <w:sz w:val="21"/>
                      <w:szCs w:val="21"/>
                    </w:rPr>
                  </w:pPr>
                  <w:r>
                    <w:rPr>
                      <w:spacing w:val="-3"/>
                      <w:sz w:val="21"/>
                      <w:szCs w:val="21"/>
                    </w:rPr>
                    <w:t>按规定处罚</w:t>
                  </w:r>
                </w:p>
              </w:txbxContent>
            </v:textbox>
          </v:shape>
        </w:pict>
      </w:r>
      <w:r>
        <w:pict>
          <v:shape id="_x0000_s3265" o:spid="_x0000_s3265" o:spt="202" type="#_x0000_t202" style="position:absolute;left:0pt;margin-left:451.55pt;margin-top:2.4pt;height:14.55pt;width:43.5pt;z-index:251971584;mso-width-relative:page;mso-height-relative:page;" filled="f" stroked="f" coordsize="21600,21600">
            <v:path/>
            <v:fill on="f" focussize="0,0"/>
            <v:stroke on="f"/>
            <v:imagedata o:title=""/>
            <o:lock v:ext="edit" aspectratio="f"/>
            <v:textbox inset="0mm,0mm,0mm,0mm">
              <w:txbxContent>
                <w:p w14:paraId="27BEE55E">
                  <w:pPr>
                    <w:pStyle w:val="2"/>
                    <w:spacing w:before="19" w:line="220" w:lineRule="auto"/>
                    <w:ind w:left="20"/>
                    <w:rPr>
                      <w:sz w:val="21"/>
                      <w:szCs w:val="21"/>
                    </w:rPr>
                  </w:pPr>
                  <w:r>
                    <w:rPr>
                      <w:spacing w:val="-3"/>
                      <w:sz w:val="21"/>
                      <w:szCs w:val="21"/>
                    </w:rPr>
                    <w:t>加强学习</w:t>
                  </w:r>
                </w:p>
              </w:txbxContent>
            </v:textbox>
          </v:shape>
        </w:pict>
      </w:r>
      <w:r>
        <w:rPr>
          <w:spacing w:val="-3"/>
          <w:sz w:val="21"/>
          <w:szCs w:val="21"/>
        </w:rPr>
        <w:t>加强教育</w:t>
      </w:r>
    </w:p>
    <w:p w14:paraId="795A54ED">
      <w:pPr>
        <w:spacing w:line="219" w:lineRule="auto"/>
        <w:rPr>
          <w:sz w:val="21"/>
          <w:szCs w:val="21"/>
        </w:rPr>
        <w:sectPr>
          <w:footerReference r:id="rId160" w:type="default"/>
          <w:pgSz w:w="11907" w:h="16839"/>
          <w:pgMar w:top="954" w:right="4" w:bottom="1038" w:left="0" w:header="499" w:footer="357" w:gutter="0"/>
          <w:pgBorders>
            <w:top w:val="none" w:sz="0" w:space="0"/>
            <w:left w:val="none" w:sz="0" w:space="0"/>
            <w:bottom w:val="none" w:sz="0" w:space="0"/>
            <w:right w:val="none" w:sz="0" w:space="0"/>
          </w:pgBorders>
          <w:cols w:space="720" w:num="1"/>
        </w:sectPr>
      </w:pPr>
    </w:p>
    <w:p w14:paraId="72741CBD">
      <w:pPr>
        <w:pStyle w:val="2"/>
        <w:spacing w:before="253" w:line="215" w:lineRule="auto"/>
        <w:ind w:left="1981"/>
        <w:outlineLvl w:val="2"/>
        <w:rPr>
          <w:sz w:val="28"/>
          <w:szCs w:val="28"/>
        </w:rPr>
      </w:pPr>
      <w:bookmarkStart w:id="105" w:name="bookmark102"/>
      <w:bookmarkEnd w:id="105"/>
      <w:r>
        <w:rPr>
          <w:b/>
          <w:bCs/>
          <w:spacing w:val="-22"/>
          <w:sz w:val="28"/>
          <w:szCs w:val="28"/>
        </w:rPr>
        <w:t>五、安全检查制度</w:t>
      </w:r>
    </w:p>
    <w:p w14:paraId="513FB7A1">
      <w:pPr>
        <w:spacing w:line="9848" w:lineRule="exact"/>
        <w:ind w:firstLine="1445"/>
      </w:pPr>
      <w:r>
        <w:rPr>
          <w:position w:val="-196"/>
        </w:rPr>
        <w:drawing>
          <wp:inline distT="0" distB="0" distL="0" distR="0">
            <wp:extent cx="5725160" cy="6253480"/>
            <wp:effectExtent l="0" t="0" r="0" b="0"/>
            <wp:docPr id="826" name="IM 826"/>
            <wp:cNvGraphicFramePr/>
            <a:graphic xmlns:a="http://schemas.openxmlformats.org/drawingml/2006/main">
              <a:graphicData uri="http://schemas.openxmlformats.org/drawingml/2006/picture">
                <pic:pic xmlns:pic="http://schemas.openxmlformats.org/drawingml/2006/picture">
                  <pic:nvPicPr>
                    <pic:cNvPr id="826" name="IM 826"/>
                    <pic:cNvPicPr/>
                  </pic:nvPicPr>
                  <pic:blipFill>
                    <a:blip r:embed="rId619"/>
                    <a:stretch>
                      <a:fillRect/>
                    </a:stretch>
                  </pic:blipFill>
                  <pic:spPr>
                    <a:xfrm>
                      <a:off x="0" y="0"/>
                      <a:ext cx="5725794" cy="6254114"/>
                    </a:xfrm>
                    <a:prstGeom prst="rect">
                      <a:avLst/>
                    </a:prstGeom>
                  </pic:spPr>
                </pic:pic>
              </a:graphicData>
            </a:graphic>
          </wp:inline>
        </w:drawing>
      </w:r>
    </w:p>
    <w:p w14:paraId="06AE9C91">
      <w:pPr>
        <w:spacing w:line="9848" w:lineRule="exact"/>
        <w:sectPr>
          <w:footerReference r:id="rId161" w:type="default"/>
          <w:pgSz w:w="11907" w:h="16839"/>
          <w:pgMar w:top="954" w:right="4" w:bottom="1038" w:left="0" w:header="499" w:footer="357" w:gutter="0"/>
          <w:pgBorders>
            <w:top w:val="none" w:sz="0" w:space="0"/>
            <w:left w:val="none" w:sz="0" w:space="0"/>
            <w:bottom w:val="none" w:sz="0" w:space="0"/>
            <w:right w:val="none" w:sz="0" w:space="0"/>
          </w:pgBorders>
          <w:cols w:space="720" w:num="1"/>
        </w:sectPr>
      </w:pPr>
    </w:p>
    <w:p w14:paraId="7554AF66">
      <w:pPr>
        <w:pStyle w:val="2"/>
        <w:spacing w:before="294" w:line="212" w:lineRule="auto"/>
        <w:ind w:left="1979"/>
        <w:outlineLvl w:val="2"/>
        <w:rPr>
          <w:sz w:val="28"/>
          <w:szCs w:val="28"/>
        </w:rPr>
      </w:pPr>
      <w:bookmarkStart w:id="106" w:name="bookmark103"/>
      <w:bookmarkEnd w:id="106"/>
      <w:r>
        <w:rPr>
          <w:b/>
          <w:bCs/>
          <w:spacing w:val="-21"/>
          <w:sz w:val="28"/>
          <w:szCs w:val="28"/>
        </w:rPr>
        <w:t>六、安全教育</w:t>
      </w:r>
    </w:p>
    <w:p w14:paraId="1E40C61A">
      <w:pPr>
        <w:spacing w:line="9481" w:lineRule="exact"/>
        <w:ind w:firstLine="1805"/>
      </w:pPr>
      <w:r>
        <w:rPr>
          <w:position w:val="-189"/>
        </w:rPr>
        <w:drawing>
          <wp:inline distT="0" distB="0" distL="0" distR="0">
            <wp:extent cx="5267960" cy="6020435"/>
            <wp:effectExtent l="0" t="0" r="0" b="0"/>
            <wp:docPr id="830" name="IM 830"/>
            <wp:cNvGraphicFramePr/>
            <a:graphic xmlns:a="http://schemas.openxmlformats.org/drawingml/2006/main">
              <a:graphicData uri="http://schemas.openxmlformats.org/drawingml/2006/picture">
                <pic:pic xmlns:pic="http://schemas.openxmlformats.org/drawingml/2006/picture">
                  <pic:nvPicPr>
                    <pic:cNvPr id="830" name="IM 830"/>
                    <pic:cNvPicPr/>
                  </pic:nvPicPr>
                  <pic:blipFill>
                    <a:blip r:embed="rId620"/>
                    <a:stretch>
                      <a:fillRect/>
                    </a:stretch>
                  </pic:blipFill>
                  <pic:spPr>
                    <a:xfrm>
                      <a:off x="0" y="0"/>
                      <a:ext cx="5268594" cy="6021069"/>
                    </a:xfrm>
                    <a:prstGeom prst="rect">
                      <a:avLst/>
                    </a:prstGeom>
                  </pic:spPr>
                </pic:pic>
              </a:graphicData>
            </a:graphic>
          </wp:inline>
        </w:drawing>
      </w:r>
    </w:p>
    <w:p w14:paraId="4451BF63">
      <w:pPr>
        <w:spacing w:line="9481" w:lineRule="exact"/>
        <w:sectPr>
          <w:footerReference r:id="rId162" w:type="default"/>
          <w:pgSz w:w="11907" w:h="16839"/>
          <w:pgMar w:top="954" w:right="4" w:bottom="1038" w:left="0" w:header="499" w:footer="357" w:gutter="0"/>
          <w:pgBorders>
            <w:top w:val="none" w:sz="0" w:space="0"/>
            <w:left w:val="none" w:sz="0" w:space="0"/>
            <w:bottom w:val="none" w:sz="0" w:space="0"/>
            <w:right w:val="none" w:sz="0" w:space="0"/>
          </w:pgBorders>
          <w:cols w:space="720" w:num="1"/>
        </w:sectPr>
      </w:pPr>
    </w:p>
    <w:p w14:paraId="67C37235">
      <w:pPr>
        <w:pStyle w:val="2"/>
        <w:spacing w:before="262" w:line="222" w:lineRule="auto"/>
        <w:jc w:val="center"/>
        <w:outlineLvl w:val="0"/>
        <w:rPr>
          <w:sz w:val="31"/>
          <w:szCs w:val="31"/>
        </w:rPr>
      </w:pPr>
      <w:bookmarkStart w:id="107" w:name="bookmark106"/>
      <w:bookmarkEnd w:id="107"/>
      <w:bookmarkStart w:id="108" w:name="bookmark105"/>
      <w:bookmarkEnd w:id="108"/>
      <w:bookmarkStart w:id="109" w:name="bookmark104"/>
      <w:bookmarkEnd w:id="109"/>
      <w:r>
        <w:rPr>
          <w:b/>
          <w:bCs/>
          <w:color w:val="7030A0"/>
          <w:spacing w:val="-15"/>
          <w:sz w:val="31"/>
          <w:szCs w:val="31"/>
        </w:rPr>
        <w:t>第四章、文明</w:t>
      </w:r>
      <w:r>
        <w:rPr>
          <w:rFonts w:hint="eastAsia"/>
          <w:b/>
          <w:bCs/>
          <w:color w:val="7030A0"/>
          <w:spacing w:val="-15"/>
          <w:sz w:val="31"/>
          <w:szCs w:val="31"/>
          <w:lang w:val="en-US" w:eastAsia="zh-CN"/>
        </w:rPr>
        <w:t>管理</w:t>
      </w:r>
      <w:r>
        <w:rPr>
          <w:b/>
          <w:bCs/>
          <w:color w:val="7030A0"/>
          <w:spacing w:val="-15"/>
          <w:sz w:val="31"/>
          <w:szCs w:val="31"/>
        </w:rPr>
        <w:t>措施</w:t>
      </w:r>
    </w:p>
    <w:p w14:paraId="758B5AD4">
      <w:pPr>
        <w:pStyle w:val="2"/>
        <w:spacing w:before="45" w:line="217" w:lineRule="auto"/>
        <w:ind w:left="3892"/>
        <w:outlineLvl w:val="1"/>
        <w:rPr>
          <w:sz w:val="30"/>
          <w:szCs w:val="30"/>
        </w:rPr>
      </w:pPr>
      <w:bookmarkStart w:id="110" w:name="bookmark305"/>
      <w:bookmarkEnd w:id="110"/>
      <w:r>
        <w:rPr>
          <w:b/>
          <w:bCs/>
          <w:color w:val="0070C0"/>
          <w:spacing w:val="-24"/>
          <w:sz w:val="30"/>
          <w:szCs w:val="30"/>
        </w:rPr>
        <w:t>第一节、文明施工管理体系与措施</w:t>
      </w:r>
    </w:p>
    <w:p w14:paraId="77A5FE4F">
      <w:pPr>
        <w:pStyle w:val="2"/>
        <w:spacing w:before="61" w:line="219" w:lineRule="auto"/>
        <w:ind w:left="1981"/>
        <w:outlineLvl w:val="2"/>
        <w:rPr>
          <w:sz w:val="28"/>
          <w:szCs w:val="28"/>
        </w:rPr>
      </w:pPr>
      <w:bookmarkStart w:id="111" w:name="bookmark306"/>
      <w:bookmarkEnd w:id="111"/>
      <w:r>
        <w:rPr>
          <w:b/>
          <w:bCs/>
          <w:spacing w:val="-22"/>
          <w:sz w:val="28"/>
          <w:szCs w:val="28"/>
        </w:rPr>
        <w:t>一、文明施工目标</w:t>
      </w:r>
    </w:p>
    <w:p w14:paraId="6B953A38">
      <w:pPr>
        <w:pStyle w:val="2"/>
        <w:spacing w:before="102" w:line="286" w:lineRule="auto"/>
        <w:ind w:left="1456" w:right="1409" w:firstLine="438"/>
        <w:jc w:val="both"/>
        <w:rPr>
          <w:sz w:val="24"/>
          <w:szCs w:val="24"/>
        </w:rPr>
      </w:pPr>
      <w:r>
        <w:rPr>
          <w:spacing w:val="-20"/>
          <w:sz w:val="24"/>
          <w:szCs w:val="24"/>
        </w:rPr>
        <w:t>在保证工程质量的同时认真做好安全生产、文明施工，制定环保措施，控制噪声及杜绝各种污染，避免各种投诉；建立健全安全文明施工体系，确保施工中不发生伤亡事故，确保安全文明施工，严格执行国家、安徽省有关创建文明城市和扬尘污染防治、环境保护等一</w:t>
      </w:r>
      <w:r>
        <w:rPr>
          <w:spacing w:val="-21"/>
          <w:sz w:val="24"/>
          <w:szCs w:val="24"/>
        </w:rPr>
        <w:t>系列要求，同时遵守发包人对安全文明施工的相关要求。</w:t>
      </w:r>
    </w:p>
    <w:tbl>
      <w:tblPr>
        <w:tblStyle w:val="6"/>
        <w:tblW w:w="8782" w:type="dxa"/>
        <w:tblInd w:w="156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81"/>
        <w:gridCol w:w="7334"/>
        <w:gridCol w:w="67"/>
      </w:tblGrid>
      <w:tr w14:paraId="7C6E85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6" w:hRule="atLeast"/>
        </w:trPr>
        <w:tc>
          <w:tcPr>
            <w:tcW w:w="1381" w:type="dxa"/>
            <w:tcBorders>
              <w:top w:val="single" w:color="000000" w:sz="4" w:space="0"/>
              <w:left w:val="single" w:color="000000" w:sz="4" w:space="0"/>
            </w:tcBorders>
            <w:shd w:val="clear" w:color="auto" w:fill="DEEAF6"/>
            <w:vAlign w:val="top"/>
          </w:tcPr>
          <w:p w14:paraId="79C730E2">
            <w:pPr>
              <w:pStyle w:val="7"/>
              <w:spacing w:before="127" w:line="218" w:lineRule="auto"/>
              <w:ind w:left="528"/>
            </w:pPr>
            <w:r>
              <w:rPr>
                <w:b/>
                <w:bCs/>
                <w:spacing w:val="-23"/>
              </w:rPr>
              <w:t>目标</w:t>
            </w:r>
          </w:p>
        </w:tc>
        <w:tc>
          <w:tcPr>
            <w:tcW w:w="7401" w:type="dxa"/>
            <w:gridSpan w:val="2"/>
            <w:tcBorders>
              <w:top w:val="single" w:color="5B9BD5" w:sz="4" w:space="0"/>
              <w:right w:val="single" w:color="5B9BD5" w:sz="4" w:space="0"/>
            </w:tcBorders>
            <w:shd w:val="clear" w:color="auto" w:fill="DEEAF6"/>
            <w:vAlign w:val="top"/>
          </w:tcPr>
          <w:p w14:paraId="307E5E78">
            <w:pPr>
              <w:pStyle w:val="7"/>
              <w:spacing w:before="127" w:line="218" w:lineRule="auto"/>
              <w:ind w:left="3512"/>
            </w:pPr>
            <w:r>
              <w:rPr>
                <w:b/>
                <w:bCs/>
                <w:spacing w:val="-20"/>
              </w:rPr>
              <w:t>内容</w:t>
            </w:r>
          </w:p>
        </w:tc>
      </w:tr>
      <w:tr w14:paraId="647650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96" w:hRule="atLeast"/>
        </w:trPr>
        <w:tc>
          <w:tcPr>
            <w:tcW w:w="1381" w:type="dxa"/>
            <w:vMerge w:val="restart"/>
            <w:tcBorders>
              <w:top w:val="single" w:color="DEEAF6" w:sz="22" w:space="0"/>
              <w:left w:val="single" w:color="000000" w:sz="4" w:space="0"/>
              <w:bottom w:val="nil"/>
            </w:tcBorders>
            <w:vAlign w:val="top"/>
          </w:tcPr>
          <w:p w14:paraId="1C84AC8C">
            <w:pPr>
              <w:spacing w:line="290" w:lineRule="auto"/>
              <w:rPr>
                <w:rFonts w:ascii="Arial"/>
                <w:sz w:val="21"/>
              </w:rPr>
            </w:pPr>
          </w:p>
          <w:p w14:paraId="1F08F76C">
            <w:pPr>
              <w:spacing w:line="290" w:lineRule="auto"/>
              <w:rPr>
                <w:rFonts w:ascii="Arial"/>
                <w:sz w:val="21"/>
              </w:rPr>
            </w:pPr>
          </w:p>
          <w:p w14:paraId="683F1F1F">
            <w:pPr>
              <w:spacing w:line="290" w:lineRule="auto"/>
              <w:rPr>
                <w:rFonts w:ascii="Arial"/>
                <w:sz w:val="21"/>
              </w:rPr>
            </w:pPr>
          </w:p>
          <w:p w14:paraId="3CBA8045">
            <w:pPr>
              <w:spacing w:line="290" w:lineRule="auto"/>
              <w:rPr>
                <w:rFonts w:ascii="Arial"/>
                <w:sz w:val="21"/>
              </w:rPr>
            </w:pPr>
          </w:p>
          <w:p w14:paraId="6D60389D">
            <w:pPr>
              <w:pStyle w:val="7"/>
              <w:spacing w:before="78" w:line="220" w:lineRule="auto"/>
              <w:ind w:left="159"/>
            </w:pPr>
            <w:r>
              <w:rPr>
                <w:spacing w:val="-17"/>
              </w:rPr>
              <w:t>文明施工及</w:t>
            </w:r>
          </w:p>
          <w:p w14:paraId="1AB4D3C9">
            <w:pPr>
              <w:pStyle w:val="7"/>
              <w:spacing w:before="181" w:line="361" w:lineRule="auto"/>
              <w:ind w:left="376" w:right="118" w:hanging="217"/>
            </w:pPr>
            <w:r>
              <w:rPr>
                <w:spacing w:val="-21"/>
              </w:rPr>
              <w:t>环境保护管</w:t>
            </w:r>
            <w:r>
              <w:rPr>
                <w:spacing w:val="-14"/>
              </w:rPr>
              <w:t>理目标</w:t>
            </w:r>
          </w:p>
        </w:tc>
        <w:tc>
          <w:tcPr>
            <w:tcW w:w="7334" w:type="dxa"/>
            <w:tcBorders>
              <w:top w:val="single" w:color="DEEAF6" w:sz="22" w:space="0"/>
              <w:bottom w:val="nil"/>
              <w:right w:val="nil"/>
            </w:tcBorders>
            <w:vAlign w:val="top"/>
          </w:tcPr>
          <w:p w14:paraId="6BDB35BD">
            <w:pPr>
              <w:pStyle w:val="7"/>
              <w:spacing w:before="78" w:line="216" w:lineRule="auto"/>
              <w:ind w:right="7"/>
              <w:jc w:val="right"/>
            </w:pPr>
            <w:r>
              <w:rPr>
                <w:spacing w:val="-20"/>
              </w:rPr>
              <w:t>（1）贯彻ISO14001国际环境管理系列标准要求，确保所有工程材料和现场</w:t>
            </w:r>
          </w:p>
          <w:p w14:paraId="59EA997B">
            <w:pPr>
              <w:pStyle w:val="7"/>
              <w:spacing w:before="185" w:line="217" w:lineRule="auto"/>
              <w:ind w:left="1848"/>
            </w:pPr>
            <w:r>
              <w:rPr>
                <w:spacing w:val="-21"/>
              </w:rPr>
              <w:t>环境均达到国家规定的环保指标要求；</w:t>
            </w:r>
          </w:p>
        </w:tc>
        <w:tc>
          <w:tcPr>
            <w:tcW w:w="67" w:type="dxa"/>
            <w:tcBorders>
              <w:top w:val="single" w:color="DEEAF6" w:sz="22" w:space="0"/>
              <w:left w:val="nil"/>
              <w:bottom w:val="nil"/>
              <w:right w:val="single" w:color="000000" w:sz="4" w:space="0"/>
            </w:tcBorders>
            <w:vAlign w:val="top"/>
          </w:tcPr>
          <w:p w14:paraId="254117E5">
            <w:pPr>
              <w:rPr>
                <w:rFonts w:ascii="Arial"/>
                <w:sz w:val="21"/>
              </w:rPr>
            </w:pPr>
            <w:r>
              <w:pict>
                <v:shape id="_x0000_s3266" o:spid="_x0000_s3266" style="position:absolute;left:0pt;margin-left:1.5pt;margin-top:1.55pt;height:3.4pt;width:0.75pt;mso-position-horizontal-relative:page;mso-position-vertical-relative:page;z-index:251973632;mso-width-relative:page;mso-height-relative:page;" fillcolor="#1C456A" filled="t" stroked="f" coordsize="15,68" path="m0,67l14,67,14,0,0,0,0,67xe">
                  <v:path/>
                  <v:fill on="t" focussize="0,0"/>
                  <v:stroke on="f"/>
                  <v:imagedata o:title=""/>
                  <o:lock v:ext="edit"/>
                </v:shape>
              </w:pict>
            </w:r>
          </w:p>
        </w:tc>
      </w:tr>
      <w:tr w14:paraId="6793C6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35" w:hRule="atLeast"/>
        </w:trPr>
        <w:tc>
          <w:tcPr>
            <w:tcW w:w="1381" w:type="dxa"/>
            <w:vMerge w:val="continue"/>
            <w:tcBorders>
              <w:top w:val="nil"/>
              <w:left w:val="single" w:color="000000" w:sz="4" w:space="0"/>
            </w:tcBorders>
            <w:vAlign w:val="top"/>
          </w:tcPr>
          <w:p w14:paraId="02F85E8B">
            <w:pPr>
              <w:rPr>
                <w:rFonts w:ascii="Arial"/>
                <w:sz w:val="21"/>
              </w:rPr>
            </w:pPr>
          </w:p>
        </w:tc>
        <w:tc>
          <w:tcPr>
            <w:tcW w:w="7401" w:type="dxa"/>
            <w:gridSpan w:val="2"/>
            <w:tcBorders>
              <w:top w:val="nil"/>
              <w:right w:val="single" w:color="000000" w:sz="4" w:space="0"/>
            </w:tcBorders>
            <w:vAlign w:val="top"/>
          </w:tcPr>
          <w:p w14:paraId="0D22DBD6">
            <w:pPr>
              <w:pStyle w:val="7"/>
              <w:spacing w:before="116" w:line="217" w:lineRule="auto"/>
              <w:ind w:left="1138"/>
            </w:pPr>
            <w:r>
              <w:rPr>
                <w:spacing w:val="-21"/>
              </w:rPr>
              <w:t>（2）控制施工现场污染物排放，环境污染事故为零；</w:t>
            </w:r>
          </w:p>
          <w:p w14:paraId="5D589905">
            <w:pPr>
              <w:pStyle w:val="7"/>
              <w:spacing w:before="184" w:line="288" w:lineRule="auto"/>
              <w:ind w:left="1632" w:hanging="1570"/>
            </w:pPr>
            <w:r>
              <w:rPr>
                <w:spacing w:val="-26"/>
              </w:rPr>
              <w:t>（3）严格按照国家标准规范施工现场废水排放，污水过滤排放合格率达100%，</w:t>
            </w:r>
            <w:r>
              <w:rPr>
                <w:spacing w:val="-22"/>
              </w:rPr>
              <w:t>不发生相关方对环境保护问题的投诉事件；</w:t>
            </w:r>
          </w:p>
          <w:p w14:paraId="43CD46BC">
            <w:pPr>
              <w:pStyle w:val="7"/>
              <w:spacing w:before="184" w:line="215" w:lineRule="auto"/>
              <w:ind w:left="1138"/>
            </w:pPr>
            <w:r>
              <w:rPr>
                <w:spacing w:val="-21"/>
              </w:rPr>
              <w:t>（4）施工现场危险废品集中回收、存放，合法处理；</w:t>
            </w:r>
          </w:p>
          <w:p w14:paraId="04830E21">
            <w:pPr>
              <w:pStyle w:val="7"/>
              <w:spacing w:before="188" w:line="215" w:lineRule="auto"/>
              <w:jc w:val="right"/>
            </w:pPr>
            <w:r>
              <w:rPr>
                <w:spacing w:val="-20"/>
              </w:rPr>
              <w:t>（5）施工现场废弃物分类存放，合理利用，合法处置，分类处</w:t>
            </w:r>
            <w:r>
              <w:rPr>
                <w:spacing w:val="-21"/>
              </w:rPr>
              <w:t>置率达100%；</w:t>
            </w:r>
          </w:p>
          <w:p w14:paraId="714D8B74">
            <w:pPr>
              <w:pStyle w:val="7"/>
              <w:spacing w:before="186" w:line="217" w:lineRule="auto"/>
              <w:ind w:left="374"/>
            </w:pPr>
            <w:r>
              <w:rPr>
                <w:spacing w:val="-21"/>
              </w:rPr>
              <w:t>（6）施工现场采取有效措施控制扬尘，相关方对施工扬尘投诉为零。</w:t>
            </w:r>
          </w:p>
        </w:tc>
      </w:tr>
      <w:tr w14:paraId="707C80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5" w:hRule="atLeast"/>
        </w:trPr>
        <w:tc>
          <w:tcPr>
            <w:tcW w:w="1381" w:type="dxa"/>
            <w:tcBorders>
              <w:left w:val="single" w:color="1C456A" w:sz="4" w:space="0"/>
              <w:bottom w:val="single" w:color="1C456A" w:sz="4" w:space="0"/>
            </w:tcBorders>
            <w:vAlign w:val="top"/>
          </w:tcPr>
          <w:p w14:paraId="0539FFE9">
            <w:pPr>
              <w:pStyle w:val="7"/>
              <w:spacing w:before="102" w:line="218" w:lineRule="auto"/>
              <w:ind w:left="269"/>
            </w:pPr>
            <w:r>
              <w:pict>
                <v:shape id="_x0000_s3267" o:spid="_x0000_s3267" style="position:absolute;left:0pt;margin-left:-0.2pt;margin-top:31.3pt;height:0.75pt;width:2.2pt;mso-position-horizontal-relative:page;mso-position-vertical-relative:page;z-index:251979776;mso-width-relative:page;mso-height-relative:page;" fillcolor="#5B9BD5" filled="t" stroked="f" coordsize="44,15" path="m0,14l43,14,43,0,0,0,0,14xe">
                  <v:path/>
                  <v:fill on="t" focussize="0,0"/>
                  <v:stroke on="f"/>
                  <v:imagedata o:title=""/>
                  <o:lock v:ext="edit"/>
                </v:shape>
              </w:pict>
            </w:r>
            <w:r>
              <w:rPr>
                <w:spacing w:val="-16"/>
              </w:rPr>
              <w:t>创优目标</w:t>
            </w:r>
          </w:p>
        </w:tc>
        <w:tc>
          <w:tcPr>
            <w:tcW w:w="7334" w:type="dxa"/>
            <w:tcBorders>
              <w:bottom w:val="single" w:color="5B9BD5" w:sz="4" w:space="0"/>
              <w:right w:val="nil"/>
            </w:tcBorders>
            <w:vAlign w:val="top"/>
          </w:tcPr>
          <w:p w14:paraId="5F81F0FD">
            <w:pPr>
              <w:pStyle w:val="7"/>
              <w:spacing w:before="102" w:line="218" w:lineRule="auto"/>
              <w:ind w:left="1740"/>
            </w:pPr>
            <w:r>
              <w:rPr>
                <w:spacing w:val="-21"/>
              </w:rPr>
              <w:t>争创安全文明质量标准化示范工地</w:t>
            </w:r>
          </w:p>
        </w:tc>
        <w:tc>
          <w:tcPr>
            <w:tcW w:w="67" w:type="dxa"/>
            <w:tcBorders>
              <w:left w:val="nil"/>
              <w:bottom w:val="single" w:color="5B9BD5" w:sz="4" w:space="0"/>
              <w:right w:val="single" w:color="5B9BD5" w:sz="4" w:space="0"/>
            </w:tcBorders>
            <w:vAlign w:val="top"/>
          </w:tcPr>
          <w:p w14:paraId="33C61B86">
            <w:pPr>
              <w:rPr>
                <w:rFonts w:ascii="Arial"/>
                <w:sz w:val="21"/>
              </w:rPr>
            </w:pPr>
            <w:r>
              <w:pict>
                <v:shape id="_x0000_s3268" o:spid="_x0000_s3268" style="position:absolute;left:0pt;margin-left:1.5pt;margin-top:0.25pt;height:3.4pt;width:0.75pt;mso-position-horizontal-relative:page;mso-position-vertical-relative:page;z-index:251974656;mso-width-relative:page;mso-height-relative:page;" fillcolor="#1C456A" filled="t" stroked="f" coordsize="15,68" path="m0,67l14,67,14,0,0,0,0,67xe">
                  <v:path/>
                  <v:fill on="t" focussize="0,0"/>
                  <v:stroke on="f"/>
                  <v:imagedata o:title=""/>
                  <o:lock v:ext="edit"/>
                </v:shape>
              </w:pict>
            </w:r>
            <w:r>
              <w:pict>
                <v:shape id="_x0000_s3269" o:spid="_x0000_s3269" style="position:absolute;left:0pt;margin-left:1.5pt;margin-top:31.3pt;height:0.75pt;width:2.2pt;mso-position-horizontal-relative:page;mso-position-vertical-relative:page;z-index:251980800;mso-width-relative:page;mso-height-relative:page;" fillcolor="#5B9BD5" filled="t" stroked="f" coordsize="44,15" path="m0,14l43,14,43,0,0,0,0,14xe">
                  <v:path/>
                  <v:fill on="t" focussize="0,0"/>
                  <v:stroke on="f"/>
                  <v:imagedata o:title=""/>
                  <o:lock v:ext="edit"/>
                </v:shape>
              </w:pict>
            </w:r>
          </w:p>
        </w:tc>
      </w:tr>
    </w:tbl>
    <w:p w14:paraId="657C1A4C">
      <w:pPr>
        <w:pStyle w:val="2"/>
        <w:spacing w:before="77" w:line="219" w:lineRule="auto"/>
        <w:ind w:left="1986"/>
        <w:outlineLvl w:val="2"/>
        <w:rPr>
          <w:sz w:val="28"/>
          <w:szCs w:val="28"/>
        </w:rPr>
      </w:pPr>
      <w:bookmarkStart w:id="112" w:name="bookmark107"/>
      <w:bookmarkEnd w:id="112"/>
      <w:r>
        <w:rPr>
          <w:b/>
          <w:bCs/>
          <w:spacing w:val="-23"/>
          <w:sz w:val="28"/>
          <w:szCs w:val="28"/>
        </w:rPr>
        <w:t>二、文明施工管理体系</w:t>
      </w:r>
    </w:p>
    <w:p w14:paraId="09B36B95">
      <w:pPr>
        <w:pStyle w:val="2"/>
        <w:spacing w:before="104" w:line="218" w:lineRule="auto"/>
        <w:ind w:left="1903"/>
        <w:rPr>
          <w:sz w:val="24"/>
          <w:szCs w:val="24"/>
        </w:rPr>
      </w:pPr>
      <w:r>
        <w:rPr>
          <w:spacing w:val="-20"/>
          <w:sz w:val="24"/>
          <w:szCs w:val="24"/>
        </w:rPr>
        <w:t>1、文明施工组织机构</w:t>
      </w:r>
    </w:p>
    <w:p w14:paraId="1847484E">
      <w:pPr>
        <w:pStyle w:val="2"/>
        <w:spacing w:before="117" w:line="278" w:lineRule="auto"/>
        <w:ind w:left="1456" w:right="1410" w:firstLine="436"/>
        <w:rPr>
          <w:sz w:val="24"/>
          <w:szCs w:val="24"/>
        </w:rPr>
      </w:pPr>
      <w:r>
        <w:rPr>
          <w:spacing w:val="-20"/>
          <w:sz w:val="24"/>
          <w:szCs w:val="24"/>
        </w:rPr>
        <w:t>建立以项目经理为首的施工现场文明施工管理领导小组，全面负责施工现场的文明施工管理工作，明确生产经理、安全总监、项目总工主抓文明施工，并设专职的文明施工管理员。并</w:t>
      </w:r>
      <w:r>
        <w:rPr>
          <w:spacing w:val="-21"/>
          <w:sz w:val="24"/>
          <w:szCs w:val="24"/>
        </w:rPr>
        <w:t>建立好项目管理人员的文明施工管理岗位责任制，做到分工、</w:t>
      </w:r>
      <w:r>
        <w:rPr>
          <w:spacing w:val="-22"/>
          <w:sz w:val="24"/>
          <w:szCs w:val="24"/>
        </w:rPr>
        <w:t>责任明确，管理到位。</w:t>
      </w:r>
    </w:p>
    <w:tbl>
      <w:tblPr>
        <w:tblStyle w:val="6"/>
        <w:tblW w:w="8552" w:type="dxa"/>
        <w:tblInd w:w="1678" w:type="dxa"/>
        <w:tblBorders>
          <w:top w:val="single" w:color="1C456A" w:sz="4" w:space="0"/>
          <w:left w:val="single" w:color="1C456A" w:sz="4" w:space="0"/>
          <w:bottom w:val="single" w:color="1C456A" w:sz="4" w:space="0"/>
          <w:right w:val="single" w:color="1C456A" w:sz="4" w:space="0"/>
          <w:insideH w:val="single" w:color="1C456A" w:sz="4" w:space="0"/>
          <w:insideV w:val="single" w:color="1C456A" w:sz="4" w:space="0"/>
        </w:tblBorders>
        <w:shd w:val="clear" w:color="auto" w:fill="DEEAF6"/>
        <w:tblLayout w:type="fixed"/>
        <w:tblCellMar>
          <w:top w:w="0" w:type="dxa"/>
          <w:left w:w="0" w:type="dxa"/>
          <w:bottom w:w="0" w:type="dxa"/>
          <w:right w:w="0" w:type="dxa"/>
        </w:tblCellMar>
      </w:tblPr>
      <w:tblGrid>
        <w:gridCol w:w="1675"/>
        <w:gridCol w:w="5219"/>
        <w:gridCol w:w="1658"/>
      </w:tblGrid>
      <w:tr w14:paraId="4DD1A6E7">
        <w:tblPrEx>
          <w:tblBorders>
            <w:top w:val="single" w:color="1C456A" w:sz="4" w:space="0"/>
            <w:left w:val="single" w:color="1C456A" w:sz="4" w:space="0"/>
            <w:bottom w:val="single" w:color="1C456A" w:sz="4" w:space="0"/>
            <w:right w:val="single" w:color="1C456A" w:sz="4" w:space="0"/>
            <w:insideH w:val="single" w:color="1C456A" w:sz="4" w:space="0"/>
            <w:insideV w:val="single" w:color="1C456A" w:sz="4" w:space="0"/>
          </w:tblBorders>
          <w:shd w:val="clear" w:color="auto" w:fill="DEEAF6"/>
        </w:tblPrEx>
        <w:trPr>
          <w:trHeight w:val="649" w:hRule="atLeast"/>
        </w:trPr>
        <w:tc>
          <w:tcPr>
            <w:tcW w:w="1675" w:type="dxa"/>
            <w:tcBorders>
              <w:right w:val="nil"/>
            </w:tcBorders>
            <w:shd w:val="clear" w:color="auto" w:fill="DEEAF6"/>
            <w:vAlign w:val="top"/>
          </w:tcPr>
          <w:p w14:paraId="0EC8CCA6">
            <w:pPr>
              <w:rPr>
                <w:rFonts w:ascii="Arial"/>
                <w:sz w:val="21"/>
              </w:rPr>
            </w:pPr>
            <w:r>
              <w:pict>
                <v:shape id="_x0000_s3270" o:spid="_x0000_s3270" style="position:absolute;left:0pt;margin-left:-0.25pt;margin-top:0pt;height:0.75pt;width:2.2pt;mso-position-horizontal-relative:page;mso-position-vertical-relative:page;z-index:251978752;mso-width-relative:page;mso-height-relative:page;" fillcolor="#5B9BD5" filled="t" stroked="f" coordsize="44,15" path="m0,14l43,14,43,0,0,0,0,14xe">
                  <v:path/>
                  <v:fill on="t" focussize="0,0"/>
                  <v:stroke on="f"/>
                  <v:imagedata o:title=""/>
                  <o:lock v:ext="edit"/>
                </v:shape>
              </w:pict>
            </w:r>
            <w:r>
              <w:pict>
                <v:shape id="_x0000_s3271" o:spid="_x0000_s3271" style="position:absolute;left:0pt;margin-left:-0.25pt;margin-top:32.75pt;height:0.75pt;width:2.2pt;mso-position-horizontal-relative:page;mso-position-vertical-relative:page;z-index:251977728;mso-width-relative:page;mso-height-relative:page;" fillcolor="#5B9BD5" filled="t" stroked="f" coordsize="44,15" path="m0,14l43,14,43,0,0,0,0,14xe">
                  <v:path/>
                  <v:fill on="t" focussize="0,0"/>
                  <v:stroke on="f"/>
                  <v:imagedata o:title=""/>
                  <o:lock v:ext="edit"/>
                </v:shape>
              </w:pict>
            </w:r>
          </w:p>
        </w:tc>
        <w:tc>
          <w:tcPr>
            <w:tcW w:w="5219" w:type="dxa"/>
            <w:tcBorders>
              <w:left w:val="nil"/>
              <w:right w:val="nil"/>
            </w:tcBorders>
            <w:shd w:val="clear" w:color="auto" w:fill="DEEAF6"/>
            <w:vAlign w:val="top"/>
          </w:tcPr>
          <w:p w14:paraId="0ACE18D1">
            <w:pPr>
              <w:pStyle w:val="7"/>
              <w:spacing w:before="127" w:line="218" w:lineRule="auto"/>
              <w:ind w:left="1631"/>
            </w:pPr>
            <w:r>
              <w:rPr>
                <w:b/>
                <w:bCs/>
                <w:spacing w:val="-21"/>
              </w:rPr>
              <w:t>文明施工组织机构图</w:t>
            </w:r>
          </w:p>
        </w:tc>
        <w:tc>
          <w:tcPr>
            <w:tcW w:w="1658" w:type="dxa"/>
            <w:tcBorders>
              <w:left w:val="nil"/>
            </w:tcBorders>
            <w:shd w:val="clear" w:color="auto" w:fill="DEEAF6"/>
            <w:vAlign w:val="top"/>
          </w:tcPr>
          <w:p w14:paraId="6BF87EAF">
            <w:pPr>
              <w:rPr>
                <w:rFonts w:ascii="Arial"/>
                <w:sz w:val="21"/>
              </w:rPr>
            </w:pPr>
            <w:r>
              <w:pict>
                <v:shape id="_x0000_s3272" o:spid="_x0000_s3272" style="position:absolute;left:0pt;margin-left:81.05pt;margin-top:0pt;height:0.75pt;width:2.2pt;mso-position-horizontal-relative:page;mso-position-vertical-relative:page;z-index:251975680;mso-width-relative:page;mso-height-relative:page;" fillcolor="#5B9BD5" filled="t" stroked="f" coordsize="44,15" path="m0,14l43,14,43,0,0,0,0,14xe">
                  <v:path/>
                  <v:fill on="t" focussize="0,0"/>
                  <v:stroke on="f"/>
                  <v:imagedata o:title=""/>
                  <o:lock v:ext="edit"/>
                </v:shape>
              </w:pict>
            </w:r>
            <w:r>
              <w:pict>
                <v:shape id="_x0000_s3273" o:spid="_x0000_s3273" style="position:absolute;left:0pt;margin-left:81.05pt;margin-top:32.75pt;height:0.75pt;width:2.2pt;mso-position-horizontal-relative:page;mso-position-vertical-relative:page;z-index:251976704;mso-width-relative:page;mso-height-relative:page;" fillcolor="#5B9BD5" filled="t" stroked="f" coordsize="44,15" path="m0,14l43,14,43,0,0,0,0,14xe">
                  <v:path/>
                  <v:fill on="t" focussize="0,0"/>
                  <v:stroke on="f"/>
                  <v:imagedata o:title=""/>
                  <o:lock v:ext="edit"/>
                </v:shape>
              </w:pict>
            </w:r>
          </w:p>
        </w:tc>
      </w:tr>
    </w:tbl>
    <w:p w14:paraId="4A5F8C03">
      <w:pPr>
        <w:rPr>
          <w:rFonts w:ascii="Arial"/>
          <w:sz w:val="21"/>
        </w:rPr>
      </w:pPr>
    </w:p>
    <w:p w14:paraId="7AF19247">
      <w:pPr>
        <w:rPr>
          <w:rFonts w:ascii="Arial" w:hAnsi="Arial" w:eastAsia="Arial" w:cs="Arial"/>
          <w:sz w:val="21"/>
          <w:szCs w:val="21"/>
        </w:rPr>
        <w:sectPr>
          <w:footerReference r:id="rId163" w:type="default"/>
          <w:pgSz w:w="11907" w:h="16839"/>
          <w:pgMar w:top="954" w:right="4" w:bottom="1038" w:left="0" w:header="499" w:footer="357" w:gutter="0"/>
          <w:pgBorders>
            <w:top w:val="none" w:sz="0" w:space="0"/>
            <w:left w:val="none" w:sz="0" w:space="0"/>
            <w:bottom w:val="none" w:sz="0" w:space="0"/>
            <w:right w:val="none" w:sz="0" w:space="0"/>
          </w:pgBorders>
          <w:cols w:space="720" w:num="1"/>
        </w:sectPr>
      </w:pPr>
    </w:p>
    <w:p w14:paraId="216B3157">
      <w:pPr>
        <w:spacing w:line="214" w:lineRule="exact"/>
      </w:pPr>
    </w:p>
    <w:tbl>
      <w:tblPr>
        <w:tblStyle w:val="6"/>
        <w:tblW w:w="8552" w:type="dxa"/>
        <w:tblInd w:w="1678" w:type="dxa"/>
        <w:tblBorders>
          <w:top w:val="single" w:color="1C456A" w:sz="4" w:space="0"/>
          <w:left w:val="single" w:color="1C456A" w:sz="4" w:space="0"/>
          <w:bottom w:val="single" w:color="1C456A" w:sz="4" w:space="0"/>
          <w:right w:val="single" w:color="1C456A" w:sz="4" w:space="0"/>
          <w:insideH w:val="none" w:color="auto" w:sz="0" w:space="0"/>
          <w:insideV w:val="none" w:color="auto" w:sz="0" w:space="0"/>
        </w:tblBorders>
        <w:tblLayout w:type="fixed"/>
        <w:tblCellMar>
          <w:top w:w="0" w:type="dxa"/>
          <w:left w:w="0" w:type="dxa"/>
          <w:bottom w:w="0" w:type="dxa"/>
          <w:right w:w="0" w:type="dxa"/>
        </w:tblCellMar>
      </w:tblPr>
      <w:tblGrid>
        <w:gridCol w:w="8552"/>
      </w:tblGrid>
      <w:tr w14:paraId="57A2BAA8">
        <w:tblPrEx>
          <w:tblBorders>
            <w:top w:val="single" w:color="1C456A" w:sz="4" w:space="0"/>
            <w:left w:val="single" w:color="1C456A" w:sz="4" w:space="0"/>
            <w:bottom w:val="single" w:color="1C456A" w:sz="4" w:space="0"/>
            <w:right w:val="single" w:color="1C456A" w:sz="4" w:space="0"/>
            <w:insideH w:val="none" w:color="auto" w:sz="0" w:space="0"/>
            <w:insideV w:val="none" w:color="auto" w:sz="0" w:space="0"/>
          </w:tblBorders>
          <w:tblCellMar>
            <w:top w:w="0" w:type="dxa"/>
            <w:left w:w="0" w:type="dxa"/>
            <w:bottom w:w="0" w:type="dxa"/>
            <w:right w:w="0" w:type="dxa"/>
          </w:tblCellMar>
        </w:tblPrEx>
        <w:trPr>
          <w:trHeight w:val="6036" w:hRule="atLeast"/>
        </w:trPr>
        <w:tc>
          <w:tcPr>
            <w:tcW w:w="8552" w:type="dxa"/>
            <w:vAlign w:val="top"/>
          </w:tcPr>
          <w:p w14:paraId="2DBE0AC8">
            <w:pPr>
              <w:spacing w:before="93" w:line="5695" w:lineRule="exact"/>
              <w:ind w:firstLine="380"/>
            </w:pPr>
            <w:r>
              <w:pict>
                <v:shape id="_x0000_s3274" o:spid="_x0000_s3274" style="position:absolute;left:0pt;margin-left:-0.25pt;margin-top:302.05pt;height:0.75pt;width:2.2pt;mso-position-horizontal-relative:page;mso-position-vertical-relative:page;z-index:251985920;mso-width-relative:page;mso-height-relative:page;" fillcolor="#5B9BD5" filled="t" stroked="f" coordsize="44,15" path="m0,14l43,14,43,0,0,0,0,14xe">
                  <v:path/>
                  <v:fill on="t" focussize="0,0"/>
                  <v:stroke on="f"/>
                  <v:imagedata o:title=""/>
                  <o:lock v:ext="edit"/>
                </v:shape>
              </w:pict>
            </w:r>
            <w:r>
              <w:pict>
                <v:shape id="_x0000_s3275" o:spid="_x0000_s3275" style="position:absolute;left:0pt;margin-left:425.75pt;margin-top:302.05pt;height:0.75pt;width:2.2pt;mso-position-horizontal-relative:page;mso-position-vertical-relative:page;z-index:251986944;mso-width-relative:page;mso-height-relative:page;" fillcolor="#5B9BD5" filled="t" stroked="f" coordsize="44,15" path="m0,14l43,14,43,0,0,0,0,14xe">
                  <v:path/>
                  <v:fill on="t" focussize="0,0"/>
                  <v:stroke on="f"/>
                  <v:imagedata o:title=""/>
                  <o:lock v:ext="edit"/>
                </v:shape>
              </w:pict>
            </w:r>
            <w:r>
              <w:rPr>
                <w:position w:val="-113"/>
              </w:rPr>
              <w:drawing>
                <wp:inline distT="0" distB="0" distL="0" distR="0">
                  <wp:extent cx="4937125" cy="3616325"/>
                  <wp:effectExtent l="0" t="0" r="0" b="0"/>
                  <wp:docPr id="836" name="IM 836"/>
                  <wp:cNvGraphicFramePr/>
                  <a:graphic xmlns:a="http://schemas.openxmlformats.org/drawingml/2006/main">
                    <a:graphicData uri="http://schemas.openxmlformats.org/drawingml/2006/picture">
                      <pic:pic xmlns:pic="http://schemas.openxmlformats.org/drawingml/2006/picture">
                        <pic:nvPicPr>
                          <pic:cNvPr id="836" name="IM 836"/>
                          <pic:cNvPicPr/>
                        </pic:nvPicPr>
                        <pic:blipFill>
                          <a:blip r:embed="rId621"/>
                          <a:stretch>
                            <a:fillRect/>
                          </a:stretch>
                        </pic:blipFill>
                        <pic:spPr>
                          <a:xfrm>
                            <a:off x="0" y="0"/>
                            <a:ext cx="4937759" cy="3616325"/>
                          </a:xfrm>
                          <a:prstGeom prst="rect">
                            <a:avLst/>
                          </a:prstGeom>
                        </pic:spPr>
                      </pic:pic>
                    </a:graphicData>
                  </a:graphic>
                </wp:inline>
              </w:drawing>
            </w:r>
          </w:p>
        </w:tc>
      </w:tr>
    </w:tbl>
    <w:p w14:paraId="2C2D4E9F">
      <w:pPr>
        <w:pStyle w:val="2"/>
        <w:spacing w:before="115" w:line="217" w:lineRule="auto"/>
        <w:ind w:left="1972"/>
        <w:rPr>
          <w:sz w:val="24"/>
          <w:szCs w:val="24"/>
        </w:rPr>
      </w:pPr>
      <w:r>
        <w:pict>
          <v:shape id="_x0000_s3276" o:spid="_x0000_s3276" style="position:absolute;left:0pt;margin-left:191.9pt;margin-top:41.5pt;height:0.75pt;width:2.2pt;z-index:251981824;mso-width-relative:page;mso-height-relative:page;" fillcolor="#1C456A" filled="t" stroked="f" coordsize="44,15" path="m0,14l43,14,43,0,0,0,0,14xe">
            <v:path/>
            <v:fill on="t" focussize="0,0"/>
            <v:stroke on="f"/>
            <v:imagedata o:title=""/>
            <o:lock v:ext="edit"/>
          </v:shape>
        </w:pict>
      </w:r>
      <w:r>
        <w:rPr>
          <w:spacing w:val="-16"/>
          <w:sz w:val="24"/>
          <w:szCs w:val="24"/>
        </w:rPr>
        <w:t>2、各岗位及部门职责</w:t>
      </w:r>
    </w:p>
    <w:p w14:paraId="3B7A4479">
      <w:pPr>
        <w:spacing w:before="162"/>
      </w:pPr>
    </w:p>
    <w:tbl>
      <w:tblPr>
        <w:tblStyle w:val="6"/>
        <w:tblW w:w="8554" w:type="dxa"/>
        <w:tblInd w:w="167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13"/>
        <w:gridCol w:w="616"/>
        <w:gridCol w:w="1342"/>
        <w:gridCol w:w="1487"/>
        <w:gridCol w:w="4829"/>
        <w:gridCol w:w="67"/>
      </w:tblGrid>
      <w:tr w14:paraId="1DAC74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829" w:type="dxa"/>
            <w:gridSpan w:val="2"/>
            <w:tcBorders>
              <w:top w:val="single" w:color="000000" w:sz="4" w:space="0"/>
              <w:left w:val="single" w:color="000000" w:sz="4" w:space="0"/>
            </w:tcBorders>
            <w:shd w:val="clear" w:color="auto" w:fill="DEEAF6"/>
            <w:vAlign w:val="top"/>
          </w:tcPr>
          <w:p w14:paraId="302DD9F2">
            <w:pPr>
              <w:spacing w:line="93" w:lineRule="exact"/>
            </w:pPr>
            <w:r>
              <w:rPr>
                <w:position w:val="-1"/>
              </w:rPr>
              <w:pict>
                <v:group id="_x0000_s3277" o:spid="_x0000_s3277" o:spt="203" style="height:5.2pt;width:43.2pt;" coordsize="864,103">
                  <o:lock v:ext="edit"/>
                  <v:shape id="_x0000_s3278" o:spid="_x0000_s3278" style="position:absolute;left:0;top:0;height:15;width:44;" fillcolor="#5B9BD5" filled="t" stroked="f" coordsize="44,15" path="m0,14l43,14,43,0,0,0,0,14xe">
                    <v:path/>
                    <v:fill on="t" focussize="0,0"/>
                    <v:stroke on="f"/>
                    <v:imagedata o:title=""/>
                    <o:lock v:ext="edit"/>
                  </v:shape>
                  <v:shape id="_x0000_s3279" o:spid="_x0000_s3279" style="position:absolute;left:43;top:43;height:60;width:778;" fillcolor="#DEEAF6" filled="t" stroked="f" coordsize="778,60" path="m0,60l777,60,777,0,0,0,0,60xe">
                    <v:path/>
                    <v:fill on="t" focussize="0,0"/>
                    <v:stroke on="f"/>
                    <v:imagedata o:title=""/>
                    <o:lock v:ext="edit"/>
                  </v:shape>
                  <v:shape id="_x0000_s3280" o:spid="_x0000_s3280" style="position:absolute;left:820;top:0;height:15;width:44;" fillcolor="#5B9BD5" filled="t" stroked="f" coordsize="44,15" path="m0,14l43,14,43,0,0,0,0,14xe">
                    <v:path/>
                    <v:fill on="t" focussize="0,0"/>
                    <v:stroke on="f"/>
                    <v:imagedata o:title=""/>
                    <o:lock v:ext="edit"/>
                  </v:shape>
                  <v:shape id="_x0000_s3281" o:spid="_x0000_s3281" style="position:absolute;left:820;top:14;height:15;width:44;" fillcolor="#20507B" filled="t" stroked="f" coordsize="44,15" path="m0,14l43,14,43,0,0,0,0,14xe">
                    <v:path/>
                    <v:fill on="t" focussize="0,0"/>
                    <v:stroke on="f"/>
                    <v:imagedata o:title=""/>
                    <o:lock v:ext="edit"/>
                  </v:shape>
                  <v:shape id="_x0000_s3282" o:spid="_x0000_s3282" style="position:absolute;left:820;top:28;height:15;width:44;" fillcolor="#1C456A" filled="t" stroked="f" coordsize="44,15" path="m0,14l43,14,43,0,0,0,0,14xe">
                    <v:path/>
                    <v:fill on="t" focussize="0,0"/>
                    <v:stroke on="f"/>
                    <v:imagedata o:title=""/>
                    <o:lock v:ext="edit"/>
                  </v:shape>
                  <w10:wrap type="none"/>
                  <w10:anchorlock/>
                </v:group>
              </w:pict>
            </w:r>
          </w:p>
          <w:p w14:paraId="70693BFD">
            <w:pPr>
              <w:pStyle w:val="7"/>
              <w:spacing w:before="48" w:line="218" w:lineRule="auto"/>
              <w:ind w:left="209"/>
            </w:pPr>
            <w:r>
              <w:rPr>
                <w:b/>
                <w:bCs/>
                <w:spacing w:val="-11"/>
              </w:rPr>
              <w:t>序号</w:t>
            </w:r>
          </w:p>
        </w:tc>
        <w:tc>
          <w:tcPr>
            <w:tcW w:w="1342" w:type="dxa"/>
            <w:tcBorders>
              <w:top w:val="single" w:color="000000" w:sz="4" w:space="0"/>
            </w:tcBorders>
            <w:shd w:val="clear" w:color="auto" w:fill="DEEAF6"/>
            <w:vAlign w:val="top"/>
          </w:tcPr>
          <w:p w14:paraId="00986B25">
            <w:pPr>
              <w:pStyle w:val="7"/>
              <w:spacing w:before="141" w:line="217" w:lineRule="auto"/>
              <w:ind w:left="212"/>
            </w:pPr>
            <w:r>
              <w:rPr>
                <w:b/>
                <w:bCs/>
                <w:spacing w:val="-23"/>
              </w:rPr>
              <w:t>岗位/部门</w:t>
            </w:r>
          </w:p>
        </w:tc>
        <w:tc>
          <w:tcPr>
            <w:tcW w:w="1487" w:type="dxa"/>
            <w:tcBorders>
              <w:top w:val="single" w:color="5B9BD5" w:sz="4" w:space="0"/>
              <w:right w:val="nil"/>
            </w:tcBorders>
            <w:shd w:val="clear" w:color="auto" w:fill="DEEAF6"/>
            <w:vAlign w:val="top"/>
          </w:tcPr>
          <w:p w14:paraId="72B24ECB">
            <w:pPr>
              <w:spacing w:line="18" w:lineRule="exact"/>
            </w:pPr>
            <w:r>
              <w:pict>
                <v:group id="_x0000_s3283" o:spid="_x0000_s3283" o:spt="203" style="height:1.45pt;width:2.2pt;" coordsize="44,29">
                  <o:lock v:ext="edit"/>
                  <v:shape id="_x0000_s3284" o:spid="_x0000_s3284" style="position:absolute;left:0;top:0;height:15;width:44;" fillcolor="#5B9BD5" filled="t" stroked="f" coordsize="44,15" path="m0,14l43,14,43,0,0,0,0,14xe">
                    <v:path/>
                    <v:fill on="t" focussize="0,0"/>
                    <v:stroke on="f"/>
                    <v:imagedata o:title=""/>
                    <o:lock v:ext="edit"/>
                  </v:shape>
                  <v:shape id="_x0000_s3285" o:spid="_x0000_s3285" style="position:absolute;left:0;top:14;height:15;width:44;" fillcolor="#20507B" filled="t" stroked="f" coordsize="44,15" path="m0,14l43,14,43,0,0,0,0,14xe">
                    <v:path/>
                    <v:fill on="t" focussize="0,0"/>
                    <v:stroke on="f"/>
                    <v:imagedata o:title=""/>
                    <o:lock v:ext="edit"/>
                  </v:shape>
                  <w10:wrap type="none"/>
                  <w10:anchorlock/>
                </v:group>
              </w:pict>
            </w:r>
          </w:p>
        </w:tc>
        <w:tc>
          <w:tcPr>
            <w:tcW w:w="4829" w:type="dxa"/>
            <w:tcBorders>
              <w:top w:val="single" w:color="5B9BD5" w:sz="4" w:space="0"/>
              <w:left w:val="nil"/>
              <w:right w:val="nil"/>
            </w:tcBorders>
            <w:shd w:val="clear" w:color="auto" w:fill="DEEAF6"/>
            <w:vAlign w:val="top"/>
          </w:tcPr>
          <w:p w14:paraId="45301061">
            <w:pPr>
              <w:pStyle w:val="7"/>
              <w:spacing w:before="141" w:line="220" w:lineRule="auto"/>
              <w:ind w:left="1491"/>
            </w:pPr>
            <w:r>
              <w:rPr>
                <w:b/>
                <w:bCs/>
                <w:spacing w:val="-11"/>
              </w:rPr>
              <w:t>职责</w:t>
            </w:r>
          </w:p>
        </w:tc>
        <w:tc>
          <w:tcPr>
            <w:tcW w:w="67" w:type="dxa"/>
            <w:tcBorders>
              <w:top w:val="single" w:color="5B9BD5" w:sz="4" w:space="0"/>
              <w:left w:val="nil"/>
              <w:right w:val="single" w:color="5B9BD5" w:sz="4" w:space="0"/>
            </w:tcBorders>
            <w:vAlign w:val="top"/>
          </w:tcPr>
          <w:p w14:paraId="0E467CC7">
            <w:pPr>
              <w:rPr>
                <w:rFonts w:ascii="Arial"/>
                <w:sz w:val="21"/>
              </w:rPr>
            </w:pPr>
            <w:r>
              <w:pict>
                <v:shape id="_x0000_s3286" o:spid="_x0000_s3286" style="position:absolute;left:0pt;margin-left:1.5pt;margin-top:0pt;height:0.75pt;width:2.2pt;mso-position-horizontal-relative:page;mso-position-vertical-relative:page;z-index:251984896;mso-width-relative:page;mso-height-relative:page;" fillcolor="#5B9BD5" filled="t" stroked="f" coordsize="44,15" path="m0,14l43,14,43,0,0,0,0,14xe">
                  <v:path/>
                  <v:fill on="t" focussize="0,0"/>
                  <v:stroke on="f"/>
                  <v:imagedata o:title=""/>
                  <o:lock v:ext="edit"/>
                </v:shape>
              </w:pict>
            </w:r>
          </w:p>
        </w:tc>
      </w:tr>
      <w:tr w14:paraId="2BAEAB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62" w:hRule="atLeast"/>
        </w:trPr>
        <w:tc>
          <w:tcPr>
            <w:tcW w:w="829" w:type="dxa"/>
            <w:gridSpan w:val="2"/>
            <w:tcBorders>
              <w:left w:val="single" w:color="000000" w:sz="4" w:space="0"/>
            </w:tcBorders>
            <w:vAlign w:val="top"/>
          </w:tcPr>
          <w:p w14:paraId="7A43E7A6">
            <w:pPr>
              <w:spacing w:line="281" w:lineRule="auto"/>
              <w:rPr>
                <w:rFonts w:ascii="Arial"/>
                <w:sz w:val="21"/>
              </w:rPr>
            </w:pPr>
          </w:p>
          <w:p w14:paraId="4C245098">
            <w:pPr>
              <w:pStyle w:val="7"/>
              <w:spacing w:before="78" w:line="238" w:lineRule="auto"/>
              <w:ind w:left="385"/>
            </w:pPr>
            <w:r>
              <w:t>1</w:t>
            </w:r>
          </w:p>
        </w:tc>
        <w:tc>
          <w:tcPr>
            <w:tcW w:w="1342" w:type="dxa"/>
            <w:vAlign w:val="top"/>
          </w:tcPr>
          <w:p w14:paraId="033CA516">
            <w:pPr>
              <w:spacing w:line="280" w:lineRule="auto"/>
              <w:rPr>
                <w:rFonts w:ascii="Arial"/>
                <w:sz w:val="21"/>
              </w:rPr>
            </w:pPr>
          </w:p>
          <w:p w14:paraId="6E44A217">
            <w:pPr>
              <w:pStyle w:val="7"/>
              <w:spacing w:before="78" w:line="220" w:lineRule="auto"/>
              <w:ind w:left="241"/>
            </w:pPr>
            <w:r>
              <w:rPr>
                <w:spacing w:val="-15"/>
              </w:rPr>
              <w:t>项目经理</w:t>
            </w:r>
          </w:p>
        </w:tc>
        <w:tc>
          <w:tcPr>
            <w:tcW w:w="6383" w:type="dxa"/>
            <w:gridSpan w:val="3"/>
            <w:tcBorders>
              <w:right w:val="single" w:color="000000" w:sz="4" w:space="0"/>
            </w:tcBorders>
            <w:vAlign w:val="top"/>
          </w:tcPr>
          <w:p w14:paraId="36BD4E6B">
            <w:pPr>
              <w:pStyle w:val="7"/>
              <w:spacing w:before="128" w:line="218" w:lineRule="auto"/>
              <w:ind w:left="68"/>
            </w:pPr>
            <w:r>
              <w:rPr>
                <w:spacing w:val="-24"/>
              </w:rPr>
              <w:t>项目经理是项目文明施工的第一责任人，对项目施工全过程的文明</w:t>
            </w:r>
          </w:p>
          <w:p w14:paraId="6FE1BD3B">
            <w:pPr>
              <w:pStyle w:val="7"/>
              <w:spacing w:before="181" w:line="219" w:lineRule="auto"/>
              <w:ind w:left="2104"/>
            </w:pPr>
            <w:r>
              <w:rPr>
                <w:spacing w:val="-20"/>
              </w:rPr>
              <w:t>施工负全面领导责任。</w:t>
            </w:r>
          </w:p>
        </w:tc>
      </w:tr>
      <w:tr w14:paraId="1D88D4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24" w:hRule="atLeast"/>
        </w:trPr>
        <w:tc>
          <w:tcPr>
            <w:tcW w:w="829" w:type="dxa"/>
            <w:gridSpan w:val="2"/>
            <w:tcBorders>
              <w:left w:val="single" w:color="000000" w:sz="4" w:space="0"/>
            </w:tcBorders>
            <w:vAlign w:val="top"/>
          </w:tcPr>
          <w:p w14:paraId="52241F05">
            <w:pPr>
              <w:spacing w:line="253" w:lineRule="auto"/>
              <w:rPr>
                <w:rFonts w:ascii="Arial"/>
                <w:sz w:val="21"/>
              </w:rPr>
            </w:pPr>
          </w:p>
          <w:p w14:paraId="73DF32C6">
            <w:pPr>
              <w:spacing w:line="254" w:lineRule="auto"/>
              <w:rPr>
                <w:rFonts w:ascii="Arial"/>
                <w:sz w:val="21"/>
              </w:rPr>
            </w:pPr>
          </w:p>
          <w:p w14:paraId="1C4AA9A8">
            <w:pPr>
              <w:pStyle w:val="7"/>
              <w:spacing w:before="78" w:line="238" w:lineRule="auto"/>
              <w:ind w:left="370"/>
            </w:pPr>
            <w:r>
              <w:t>2</w:t>
            </w:r>
          </w:p>
        </w:tc>
        <w:tc>
          <w:tcPr>
            <w:tcW w:w="1342" w:type="dxa"/>
            <w:vAlign w:val="top"/>
          </w:tcPr>
          <w:p w14:paraId="116911D7">
            <w:pPr>
              <w:spacing w:line="253" w:lineRule="auto"/>
              <w:rPr>
                <w:rFonts w:ascii="Arial"/>
                <w:sz w:val="21"/>
              </w:rPr>
            </w:pPr>
          </w:p>
          <w:p w14:paraId="75BEFD4A">
            <w:pPr>
              <w:spacing w:line="253" w:lineRule="auto"/>
              <w:rPr>
                <w:rFonts w:ascii="Arial"/>
                <w:sz w:val="21"/>
              </w:rPr>
            </w:pPr>
          </w:p>
          <w:p w14:paraId="3E37F958">
            <w:pPr>
              <w:pStyle w:val="7"/>
              <w:spacing w:before="78" w:line="220" w:lineRule="auto"/>
              <w:ind w:left="254"/>
            </w:pPr>
            <w:r>
              <w:rPr>
                <w:spacing w:val="-19"/>
              </w:rPr>
              <w:t>生产经理</w:t>
            </w:r>
          </w:p>
        </w:tc>
        <w:tc>
          <w:tcPr>
            <w:tcW w:w="6383" w:type="dxa"/>
            <w:gridSpan w:val="3"/>
            <w:tcBorders>
              <w:right w:val="single" w:color="000000" w:sz="4" w:space="0"/>
            </w:tcBorders>
            <w:vAlign w:val="top"/>
          </w:tcPr>
          <w:p w14:paraId="0852926B">
            <w:pPr>
              <w:pStyle w:val="7"/>
              <w:spacing w:before="122" w:line="218" w:lineRule="auto"/>
              <w:ind w:left="74"/>
            </w:pPr>
            <w:r>
              <w:rPr>
                <w:spacing w:val="-24"/>
              </w:rPr>
              <w:t>负责各分包、土建、机电安装施工中的文明施工管理，配合其它专</w:t>
            </w:r>
          </w:p>
          <w:p w14:paraId="25994346">
            <w:pPr>
              <w:pStyle w:val="7"/>
              <w:spacing w:before="181" w:line="217" w:lineRule="auto"/>
              <w:ind w:left="67"/>
            </w:pPr>
            <w:r>
              <w:rPr>
                <w:spacing w:val="-24"/>
              </w:rPr>
              <w:t>业的文明施工协调管理，保证文明施工；负责本专业分包单位文明</w:t>
            </w:r>
          </w:p>
          <w:p w14:paraId="17B7EC39">
            <w:pPr>
              <w:pStyle w:val="7"/>
              <w:spacing w:before="185" w:line="220" w:lineRule="auto"/>
              <w:ind w:left="2649"/>
            </w:pPr>
            <w:r>
              <w:rPr>
                <w:spacing w:val="-17"/>
              </w:rPr>
              <w:t>施工管理。</w:t>
            </w:r>
          </w:p>
        </w:tc>
      </w:tr>
      <w:tr w14:paraId="15A23E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57" w:hRule="atLeast"/>
        </w:trPr>
        <w:tc>
          <w:tcPr>
            <w:tcW w:w="829" w:type="dxa"/>
            <w:gridSpan w:val="2"/>
            <w:tcBorders>
              <w:left w:val="single" w:color="000000" w:sz="4" w:space="0"/>
            </w:tcBorders>
            <w:vAlign w:val="top"/>
          </w:tcPr>
          <w:p w14:paraId="21532D3D">
            <w:pPr>
              <w:spacing w:line="270" w:lineRule="auto"/>
              <w:rPr>
                <w:rFonts w:ascii="Arial"/>
                <w:sz w:val="21"/>
              </w:rPr>
            </w:pPr>
          </w:p>
          <w:p w14:paraId="60304186">
            <w:pPr>
              <w:pStyle w:val="7"/>
              <w:spacing w:before="78" w:line="237" w:lineRule="auto"/>
              <w:ind w:left="372"/>
            </w:pPr>
            <w:r>
              <w:t>3</w:t>
            </w:r>
          </w:p>
        </w:tc>
        <w:tc>
          <w:tcPr>
            <w:tcW w:w="1342" w:type="dxa"/>
            <w:vAlign w:val="top"/>
          </w:tcPr>
          <w:p w14:paraId="1339C6BF">
            <w:pPr>
              <w:spacing w:line="269" w:lineRule="auto"/>
              <w:rPr>
                <w:rFonts w:ascii="Arial"/>
                <w:sz w:val="21"/>
              </w:rPr>
            </w:pPr>
          </w:p>
          <w:p w14:paraId="7264318D">
            <w:pPr>
              <w:pStyle w:val="7"/>
              <w:spacing w:before="78" w:line="220" w:lineRule="auto"/>
              <w:ind w:left="242"/>
            </w:pPr>
            <w:r>
              <w:rPr>
                <w:spacing w:val="-16"/>
              </w:rPr>
              <w:t>安全总监</w:t>
            </w:r>
          </w:p>
        </w:tc>
        <w:tc>
          <w:tcPr>
            <w:tcW w:w="6383" w:type="dxa"/>
            <w:gridSpan w:val="3"/>
            <w:tcBorders>
              <w:right w:val="single" w:color="000000" w:sz="4" w:space="0"/>
            </w:tcBorders>
            <w:vAlign w:val="top"/>
          </w:tcPr>
          <w:p w14:paraId="0422DC4B">
            <w:pPr>
              <w:pStyle w:val="7"/>
              <w:spacing w:before="117" w:line="217" w:lineRule="auto"/>
              <w:ind w:left="67"/>
            </w:pPr>
            <w:r>
              <w:rPr>
                <w:spacing w:val="-24"/>
              </w:rPr>
              <w:t>贯彻和宣传相关的文明施工管理法律法规，组织落实上级的各项文</w:t>
            </w:r>
          </w:p>
          <w:p w14:paraId="1A2999EE">
            <w:pPr>
              <w:pStyle w:val="7"/>
              <w:spacing w:before="182" w:line="216" w:lineRule="auto"/>
              <w:ind w:left="1028"/>
            </w:pPr>
            <w:r>
              <w:rPr>
                <w:spacing w:val="-23"/>
              </w:rPr>
              <w:t>明施工管理规章制度，并监督检查执行情况。</w:t>
            </w:r>
          </w:p>
        </w:tc>
      </w:tr>
      <w:tr w14:paraId="275387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29" w:hRule="atLeast"/>
        </w:trPr>
        <w:tc>
          <w:tcPr>
            <w:tcW w:w="829" w:type="dxa"/>
            <w:gridSpan w:val="2"/>
            <w:tcBorders>
              <w:left w:val="single" w:color="000000" w:sz="4" w:space="0"/>
            </w:tcBorders>
            <w:vAlign w:val="top"/>
          </w:tcPr>
          <w:p w14:paraId="08B148CF">
            <w:pPr>
              <w:spacing w:line="250" w:lineRule="auto"/>
              <w:rPr>
                <w:rFonts w:ascii="Arial"/>
                <w:sz w:val="21"/>
              </w:rPr>
            </w:pPr>
          </w:p>
          <w:p w14:paraId="501D13F9">
            <w:pPr>
              <w:spacing w:line="251" w:lineRule="auto"/>
              <w:rPr>
                <w:rFonts w:ascii="Arial"/>
                <w:sz w:val="21"/>
              </w:rPr>
            </w:pPr>
          </w:p>
          <w:p w14:paraId="4F4B7811">
            <w:pPr>
              <w:pStyle w:val="7"/>
              <w:spacing w:before="78" w:line="238" w:lineRule="auto"/>
              <w:ind w:left="366"/>
            </w:pPr>
            <w:r>
              <w:t>4</w:t>
            </w:r>
          </w:p>
        </w:tc>
        <w:tc>
          <w:tcPr>
            <w:tcW w:w="1342" w:type="dxa"/>
            <w:vAlign w:val="top"/>
          </w:tcPr>
          <w:p w14:paraId="2D5BCADC">
            <w:pPr>
              <w:spacing w:line="250" w:lineRule="auto"/>
              <w:rPr>
                <w:rFonts w:ascii="Arial"/>
                <w:sz w:val="21"/>
              </w:rPr>
            </w:pPr>
          </w:p>
          <w:p w14:paraId="29F81823">
            <w:pPr>
              <w:spacing w:line="250" w:lineRule="auto"/>
              <w:rPr>
                <w:rFonts w:ascii="Arial"/>
                <w:sz w:val="21"/>
              </w:rPr>
            </w:pPr>
          </w:p>
          <w:p w14:paraId="51A403F9">
            <w:pPr>
              <w:pStyle w:val="7"/>
              <w:spacing w:before="78" w:line="220" w:lineRule="auto"/>
              <w:ind w:left="241"/>
            </w:pPr>
            <w:r>
              <w:rPr>
                <w:spacing w:val="-15"/>
              </w:rPr>
              <w:t>项目总工</w:t>
            </w:r>
          </w:p>
        </w:tc>
        <w:tc>
          <w:tcPr>
            <w:tcW w:w="6383" w:type="dxa"/>
            <w:gridSpan w:val="3"/>
            <w:tcBorders>
              <w:right w:val="single" w:color="000000" w:sz="4" w:space="0"/>
            </w:tcBorders>
            <w:vAlign w:val="top"/>
          </w:tcPr>
          <w:p w14:paraId="193B4AB4">
            <w:pPr>
              <w:pStyle w:val="7"/>
              <w:spacing w:before="116" w:line="218" w:lineRule="auto"/>
              <w:ind w:left="69"/>
            </w:pPr>
            <w:r>
              <w:rPr>
                <w:spacing w:val="-24"/>
              </w:rPr>
              <w:t>对项目的文明施工负总的技术责任，严格审核技术方案、技术交底</w:t>
            </w:r>
          </w:p>
          <w:p w14:paraId="18A00264">
            <w:pPr>
              <w:pStyle w:val="7"/>
              <w:spacing w:before="181" w:line="217" w:lineRule="auto"/>
              <w:jc w:val="right"/>
            </w:pPr>
            <w:r>
              <w:rPr>
                <w:spacing w:val="-24"/>
              </w:rPr>
              <w:t>等，贯彻落实国家文明施工管理方针、政策，严格执行技术规程、</w:t>
            </w:r>
          </w:p>
          <w:p w14:paraId="19B6E652">
            <w:pPr>
              <w:pStyle w:val="7"/>
              <w:spacing w:before="186" w:line="218" w:lineRule="auto"/>
              <w:ind w:left="1775"/>
            </w:pPr>
            <w:r>
              <w:rPr>
                <w:spacing w:val="-20"/>
              </w:rPr>
              <w:t>规范、标准及上级技术文件。</w:t>
            </w:r>
          </w:p>
        </w:tc>
      </w:tr>
      <w:tr w14:paraId="226A07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67" w:hRule="atLeast"/>
        </w:trPr>
        <w:tc>
          <w:tcPr>
            <w:tcW w:w="213" w:type="dxa"/>
            <w:tcBorders>
              <w:left w:val="single" w:color="1C456A" w:sz="4" w:space="0"/>
              <w:bottom w:val="single" w:color="1C456A" w:sz="4" w:space="0"/>
              <w:right w:val="nil"/>
            </w:tcBorders>
            <w:vAlign w:val="top"/>
          </w:tcPr>
          <w:p w14:paraId="2C2DF439">
            <w:pPr>
              <w:rPr>
                <w:rFonts w:ascii="Arial"/>
                <w:sz w:val="21"/>
              </w:rPr>
            </w:pPr>
            <w:r>
              <w:pict>
                <v:shape id="_x0000_s3287" o:spid="_x0000_s3287" style="position:absolute;left:0pt;margin-left:-0.25pt;margin-top:78.4pt;height:0.75pt;width:2.2pt;mso-position-horizontal-relative:page;mso-position-vertical-relative:page;z-index:251983872;mso-width-relative:page;mso-height-relative:page;" fillcolor="#5B9BD5" filled="t" stroked="f" coordsize="44,15" path="m0,14l43,14,43,0,0,0,0,14xe">
                  <v:path/>
                  <v:fill on="t" focussize="0,0"/>
                  <v:stroke on="f"/>
                  <v:imagedata o:title=""/>
                  <o:lock v:ext="edit"/>
                </v:shape>
              </w:pict>
            </w:r>
          </w:p>
        </w:tc>
        <w:tc>
          <w:tcPr>
            <w:tcW w:w="616" w:type="dxa"/>
            <w:tcBorders>
              <w:left w:val="nil"/>
              <w:bottom w:val="single" w:color="1C456A" w:sz="4" w:space="0"/>
            </w:tcBorders>
            <w:vAlign w:val="top"/>
          </w:tcPr>
          <w:p w14:paraId="094AC843">
            <w:pPr>
              <w:spacing w:line="247" w:lineRule="auto"/>
              <w:rPr>
                <w:rFonts w:ascii="Arial"/>
                <w:sz w:val="21"/>
              </w:rPr>
            </w:pPr>
          </w:p>
          <w:p w14:paraId="0F54FD61">
            <w:pPr>
              <w:spacing w:line="248" w:lineRule="auto"/>
              <w:rPr>
                <w:rFonts w:ascii="Arial"/>
                <w:sz w:val="21"/>
              </w:rPr>
            </w:pPr>
          </w:p>
          <w:p w14:paraId="5473FD7E">
            <w:pPr>
              <w:pStyle w:val="7"/>
              <w:spacing w:before="78" w:line="237" w:lineRule="auto"/>
              <w:ind w:left="164"/>
            </w:pPr>
            <w:r>
              <w:t>5</w:t>
            </w:r>
          </w:p>
        </w:tc>
        <w:tc>
          <w:tcPr>
            <w:tcW w:w="1342" w:type="dxa"/>
            <w:tcBorders>
              <w:bottom w:val="single" w:color="000000" w:sz="4" w:space="0"/>
            </w:tcBorders>
            <w:vAlign w:val="top"/>
          </w:tcPr>
          <w:p w14:paraId="025FEF8E">
            <w:pPr>
              <w:spacing w:line="248" w:lineRule="auto"/>
              <w:rPr>
                <w:rFonts w:ascii="Arial"/>
                <w:sz w:val="21"/>
              </w:rPr>
            </w:pPr>
          </w:p>
          <w:p w14:paraId="058F5F08">
            <w:pPr>
              <w:spacing w:line="248" w:lineRule="auto"/>
              <w:rPr>
                <w:rFonts w:ascii="Arial"/>
                <w:sz w:val="21"/>
              </w:rPr>
            </w:pPr>
          </w:p>
          <w:p w14:paraId="485EDBC8">
            <w:pPr>
              <w:pStyle w:val="7"/>
              <w:spacing w:before="78" w:line="218" w:lineRule="auto"/>
              <w:ind w:left="350"/>
            </w:pPr>
            <w:r>
              <w:rPr>
                <w:spacing w:val="-14"/>
              </w:rPr>
              <w:t>安全部</w:t>
            </w:r>
          </w:p>
        </w:tc>
        <w:tc>
          <w:tcPr>
            <w:tcW w:w="6383" w:type="dxa"/>
            <w:gridSpan w:val="3"/>
            <w:tcBorders>
              <w:bottom w:val="single" w:color="5B9BD5" w:sz="4" w:space="0"/>
              <w:right w:val="single" w:color="5B9BD5" w:sz="4" w:space="0"/>
            </w:tcBorders>
            <w:vAlign w:val="top"/>
          </w:tcPr>
          <w:p w14:paraId="16E1162C">
            <w:pPr>
              <w:pStyle w:val="7"/>
              <w:spacing w:before="109" w:line="218" w:lineRule="auto"/>
              <w:ind w:left="67"/>
            </w:pPr>
            <w:r>
              <w:pict>
                <v:shape id="_x0000_s3288" o:spid="_x0000_s3288" style="position:absolute;left:0pt;margin-left:317.3pt;margin-top:78.4pt;height:0.75pt;width:2.2pt;mso-position-horizontal-relative:page;mso-position-vertical-relative:page;z-index:251982848;mso-width-relative:page;mso-height-relative:page;" fillcolor="#5B9BD5" filled="t" stroked="f" coordsize="44,15" path="m0,14l43,14,43,0,0,0,0,14xe">
                  <v:path/>
                  <v:fill on="t" focussize="0,0"/>
                  <v:stroke on="f"/>
                  <v:imagedata o:title=""/>
                  <o:lock v:ext="edit"/>
                </v:shape>
              </w:pict>
            </w:r>
            <w:r>
              <w:rPr>
                <w:spacing w:val="-24"/>
              </w:rPr>
              <w:t>贯彻和宣传有关的文明施工管理法律法规，组织落实上级的各项文</w:t>
            </w:r>
          </w:p>
          <w:p w14:paraId="016983A7">
            <w:pPr>
              <w:pStyle w:val="7"/>
              <w:spacing w:before="184" w:line="216" w:lineRule="auto"/>
              <w:ind w:left="82"/>
            </w:pPr>
            <w:r>
              <w:rPr>
                <w:spacing w:val="-24"/>
              </w:rPr>
              <w:t>明施工管理规章制度，并监督检查执行情况。对现场文明施工管理</w:t>
            </w:r>
          </w:p>
          <w:p w14:paraId="10BAB55B">
            <w:pPr>
              <w:pStyle w:val="7"/>
              <w:spacing w:before="186" w:line="219" w:lineRule="auto"/>
              <w:ind w:left="2445"/>
            </w:pPr>
            <w:r>
              <w:rPr>
                <w:spacing w:val="-21"/>
              </w:rPr>
              <w:t>的负责和管理。</w:t>
            </w:r>
          </w:p>
        </w:tc>
      </w:tr>
    </w:tbl>
    <w:p w14:paraId="08905007">
      <w:pPr>
        <w:rPr>
          <w:rFonts w:ascii="Arial"/>
          <w:sz w:val="21"/>
        </w:rPr>
      </w:pPr>
    </w:p>
    <w:p w14:paraId="63AEEE25">
      <w:pPr>
        <w:rPr>
          <w:rFonts w:ascii="Arial" w:hAnsi="Arial" w:eastAsia="Arial" w:cs="Arial"/>
          <w:sz w:val="21"/>
          <w:szCs w:val="21"/>
        </w:rPr>
        <w:sectPr>
          <w:footerReference r:id="rId164" w:type="default"/>
          <w:pgSz w:w="11907" w:h="16839"/>
          <w:pgMar w:top="954" w:right="4" w:bottom="1038" w:left="0" w:header="499" w:footer="357" w:gutter="0"/>
          <w:pgBorders>
            <w:top w:val="none" w:sz="0" w:space="0"/>
            <w:left w:val="none" w:sz="0" w:space="0"/>
            <w:bottom w:val="none" w:sz="0" w:space="0"/>
            <w:right w:val="none" w:sz="0" w:space="0"/>
          </w:pgBorders>
          <w:cols w:space="720" w:num="1"/>
        </w:sectPr>
      </w:pPr>
    </w:p>
    <w:p w14:paraId="08928060">
      <w:pPr>
        <w:spacing w:line="214" w:lineRule="exact"/>
      </w:pPr>
    </w:p>
    <w:tbl>
      <w:tblPr>
        <w:tblStyle w:val="6"/>
        <w:tblW w:w="8554" w:type="dxa"/>
        <w:tblInd w:w="167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24"/>
        <w:gridCol w:w="1345"/>
        <w:gridCol w:w="6385"/>
      </w:tblGrid>
      <w:tr w14:paraId="40AB8B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89" w:hRule="atLeast"/>
        </w:trPr>
        <w:tc>
          <w:tcPr>
            <w:tcW w:w="824" w:type="dxa"/>
            <w:tcBorders>
              <w:top w:val="single" w:color="000000" w:sz="4" w:space="0"/>
              <w:left w:val="single" w:color="000000" w:sz="4" w:space="0"/>
            </w:tcBorders>
            <w:vAlign w:val="top"/>
          </w:tcPr>
          <w:p w14:paraId="3975953F">
            <w:pPr>
              <w:spacing w:line="284" w:lineRule="auto"/>
              <w:rPr>
                <w:rFonts w:ascii="Arial"/>
                <w:sz w:val="21"/>
              </w:rPr>
            </w:pPr>
          </w:p>
          <w:p w14:paraId="3E269077">
            <w:pPr>
              <w:pStyle w:val="7"/>
              <w:spacing w:before="78" w:line="237" w:lineRule="auto"/>
              <w:ind w:left="369"/>
            </w:pPr>
            <w:r>
              <w:t>6</w:t>
            </w:r>
          </w:p>
        </w:tc>
        <w:tc>
          <w:tcPr>
            <w:tcW w:w="1345" w:type="dxa"/>
            <w:tcBorders>
              <w:top w:val="single" w:color="000000" w:sz="4" w:space="0"/>
            </w:tcBorders>
            <w:vAlign w:val="top"/>
          </w:tcPr>
          <w:p w14:paraId="7EB2C863">
            <w:pPr>
              <w:spacing w:line="284" w:lineRule="auto"/>
              <w:rPr>
                <w:rFonts w:ascii="Arial"/>
                <w:sz w:val="21"/>
              </w:rPr>
            </w:pPr>
          </w:p>
          <w:p w14:paraId="0B7634F3">
            <w:pPr>
              <w:pStyle w:val="7"/>
              <w:spacing w:before="78" w:line="218" w:lineRule="auto"/>
              <w:ind w:left="354"/>
            </w:pPr>
            <w:r>
              <w:rPr>
                <w:spacing w:val="-13"/>
              </w:rPr>
              <w:t>技术部</w:t>
            </w:r>
          </w:p>
        </w:tc>
        <w:tc>
          <w:tcPr>
            <w:tcW w:w="6385" w:type="dxa"/>
            <w:tcBorders>
              <w:top w:val="single" w:color="5B9BD5" w:sz="4" w:space="0"/>
              <w:right w:val="single" w:color="5B9BD5" w:sz="4" w:space="0"/>
            </w:tcBorders>
            <w:vAlign w:val="top"/>
          </w:tcPr>
          <w:p w14:paraId="20AC0E68">
            <w:pPr>
              <w:pStyle w:val="7"/>
              <w:spacing w:before="131" w:line="216" w:lineRule="auto"/>
              <w:ind w:left="76"/>
            </w:pPr>
            <w:r>
              <w:rPr>
                <w:spacing w:val="-24"/>
              </w:rPr>
              <w:t>负责项目施工的技术管理中与文明施工管理相关的工作；负责编制</w:t>
            </w:r>
          </w:p>
          <w:p w14:paraId="3AE0AE01">
            <w:pPr>
              <w:pStyle w:val="7"/>
              <w:spacing w:before="185" w:line="218" w:lineRule="auto"/>
              <w:ind w:left="1126"/>
            </w:pPr>
            <w:r>
              <w:rPr>
                <w:spacing w:val="-21"/>
              </w:rPr>
              <w:t>各类主要技术方案中的文明施工管理内容。</w:t>
            </w:r>
          </w:p>
        </w:tc>
      </w:tr>
      <w:tr w14:paraId="73F0E0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1" w:hRule="atLeast"/>
        </w:trPr>
        <w:tc>
          <w:tcPr>
            <w:tcW w:w="824" w:type="dxa"/>
            <w:tcBorders>
              <w:left w:val="single" w:color="000000" w:sz="4" w:space="0"/>
            </w:tcBorders>
            <w:vAlign w:val="top"/>
          </w:tcPr>
          <w:p w14:paraId="1DF126F4">
            <w:pPr>
              <w:pStyle w:val="7"/>
              <w:spacing w:before="98" w:line="237" w:lineRule="auto"/>
              <w:ind w:left="373"/>
            </w:pPr>
            <w:r>
              <w:t>7</w:t>
            </w:r>
          </w:p>
        </w:tc>
        <w:tc>
          <w:tcPr>
            <w:tcW w:w="1345" w:type="dxa"/>
            <w:vAlign w:val="top"/>
          </w:tcPr>
          <w:p w14:paraId="53D61D11">
            <w:pPr>
              <w:pStyle w:val="7"/>
              <w:spacing w:before="99" w:line="218" w:lineRule="auto"/>
              <w:ind w:left="358"/>
            </w:pPr>
            <w:r>
              <w:rPr>
                <w:spacing w:val="-15"/>
              </w:rPr>
              <w:t>工程部</w:t>
            </w:r>
          </w:p>
        </w:tc>
        <w:tc>
          <w:tcPr>
            <w:tcW w:w="6385" w:type="dxa"/>
            <w:tcBorders>
              <w:right w:val="single" w:color="000000" w:sz="4" w:space="0"/>
            </w:tcBorders>
            <w:vAlign w:val="top"/>
          </w:tcPr>
          <w:p w14:paraId="24A43C4D">
            <w:pPr>
              <w:pStyle w:val="7"/>
              <w:spacing w:before="98" w:line="216" w:lineRule="auto"/>
              <w:ind w:left="1458"/>
            </w:pPr>
            <w:r>
              <w:rPr>
                <w:spacing w:val="-21"/>
              </w:rPr>
              <w:t>负责现场文明施工管理工作的落实。</w:t>
            </w:r>
          </w:p>
        </w:tc>
      </w:tr>
      <w:tr w14:paraId="0BDF1E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55" w:hRule="atLeast"/>
        </w:trPr>
        <w:tc>
          <w:tcPr>
            <w:tcW w:w="824" w:type="dxa"/>
            <w:tcBorders>
              <w:left w:val="single" w:color="000000" w:sz="4" w:space="0"/>
            </w:tcBorders>
            <w:vAlign w:val="top"/>
          </w:tcPr>
          <w:p w14:paraId="4342DBE4">
            <w:pPr>
              <w:spacing w:line="253" w:lineRule="auto"/>
              <w:rPr>
                <w:rFonts w:ascii="Arial"/>
                <w:sz w:val="21"/>
              </w:rPr>
            </w:pPr>
          </w:p>
          <w:p w14:paraId="3E166F75">
            <w:pPr>
              <w:pStyle w:val="7"/>
              <w:spacing w:before="78" w:line="237" w:lineRule="auto"/>
              <w:ind w:left="368"/>
            </w:pPr>
            <w:r>
              <w:t>8</w:t>
            </w:r>
          </w:p>
        </w:tc>
        <w:tc>
          <w:tcPr>
            <w:tcW w:w="1345" w:type="dxa"/>
            <w:vAlign w:val="top"/>
          </w:tcPr>
          <w:p w14:paraId="4B49ACDB">
            <w:pPr>
              <w:pStyle w:val="7"/>
              <w:spacing w:before="100" w:line="217" w:lineRule="auto"/>
              <w:ind w:left="246"/>
            </w:pPr>
            <w:r>
              <w:rPr>
                <w:spacing w:val="-15"/>
              </w:rPr>
              <w:t>物资设备</w:t>
            </w:r>
          </w:p>
          <w:p w14:paraId="7AE4EC31">
            <w:pPr>
              <w:pStyle w:val="7"/>
              <w:spacing w:before="184" w:line="218" w:lineRule="auto"/>
              <w:ind w:left="572"/>
            </w:pPr>
            <w:r>
              <w:t>部</w:t>
            </w:r>
          </w:p>
        </w:tc>
        <w:tc>
          <w:tcPr>
            <w:tcW w:w="6385" w:type="dxa"/>
            <w:tcBorders>
              <w:right w:val="single" w:color="000000" w:sz="4" w:space="0"/>
            </w:tcBorders>
            <w:vAlign w:val="top"/>
          </w:tcPr>
          <w:p w14:paraId="283DDB5A">
            <w:pPr>
              <w:pStyle w:val="7"/>
              <w:spacing w:before="100" w:line="216" w:lineRule="auto"/>
              <w:ind w:left="76"/>
            </w:pPr>
            <w:r>
              <w:rPr>
                <w:spacing w:val="-24"/>
              </w:rPr>
              <w:t>负责选择合格材料供应商，并做好材料物资的进场检验验收，负责</w:t>
            </w:r>
          </w:p>
          <w:p w14:paraId="5EE3DC00">
            <w:pPr>
              <w:pStyle w:val="7"/>
              <w:spacing w:before="184" w:line="216" w:lineRule="auto"/>
              <w:ind w:left="1780"/>
            </w:pPr>
            <w:r>
              <w:rPr>
                <w:spacing w:val="-22"/>
              </w:rPr>
              <w:t>对现场的材料堆放进行布置。</w:t>
            </w:r>
          </w:p>
        </w:tc>
      </w:tr>
      <w:tr w14:paraId="5EF51E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15" w:hRule="atLeast"/>
        </w:trPr>
        <w:tc>
          <w:tcPr>
            <w:tcW w:w="824" w:type="dxa"/>
            <w:tcBorders>
              <w:left w:val="single" w:color="1C456A" w:sz="4" w:space="0"/>
              <w:bottom w:val="single" w:color="1C456A" w:sz="4" w:space="0"/>
            </w:tcBorders>
            <w:vAlign w:val="top"/>
          </w:tcPr>
          <w:p w14:paraId="2D173595">
            <w:pPr>
              <w:spacing w:line="266" w:lineRule="auto"/>
              <w:rPr>
                <w:rFonts w:ascii="Arial"/>
                <w:sz w:val="21"/>
              </w:rPr>
            </w:pPr>
          </w:p>
          <w:p w14:paraId="7F0EB7A5">
            <w:pPr>
              <w:pStyle w:val="7"/>
              <w:spacing w:before="78" w:line="237" w:lineRule="auto"/>
              <w:ind w:left="368"/>
            </w:pPr>
            <w:r>
              <w:t>9</w:t>
            </w:r>
          </w:p>
        </w:tc>
        <w:tc>
          <w:tcPr>
            <w:tcW w:w="1345" w:type="dxa"/>
            <w:tcBorders>
              <w:bottom w:val="single" w:color="000000" w:sz="4" w:space="0"/>
            </w:tcBorders>
            <w:vAlign w:val="top"/>
          </w:tcPr>
          <w:p w14:paraId="11E7DB2A">
            <w:pPr>
              <w:spacing w:line="266" w:lineRule="auto"/>
              <w:rPr>
                <w:rFonts w:ascii="Arial"/>
                <w:sz w:val="21"/>
              </w:rPr>
            </w:pPr>
          </w:p>
          <w:p w14:paraId="64BCFB60">
            <w:pPr>
              <w:pStyle w:val="7"/>
              <w:spacing w:before="78" w:line="218" w:lineRule="auto"/>
              <w:ind w:left="145"/>
            </w:pPr>
            <w:r>
              <w:rPr>
                <w:spacing w:val="-19"/>
              </w:rPr>
              <w:t>商务合约部</w:t>
            </w:r>
          </w:p>
        </w:tc>
        <w:tc>
          <w:tcPr>
            <w:tcW w:w="6385" w:type="dxa"/>
            <w:tcBorders>
              <w:bottom w:val="single" w:color="5B9BD5" w:sz="4" w:space="0"/>
              <w:right w:val="single" w:color="5B9BD5" w:sz="4" w:space="0"/>
            </w:tcBorders>
            <w:vAlign w:val="top"/>
          </w:tcPr>
          <w:p w14:paraId="671A9FFD">
            <w:pPr>
              <w:pStyle w:val="7"/>
              <w:spacing w:before="113" w:line="215" w:lineRule="auto"/>
              <w:ind w:left="144"/>
            </w:pPr>
            <w:r>
              <w:rPr>
                <w:spacing w:val="-21"/>
              </w:rPr>
              <w:t>协助商务经理在合同文件中对相关方提出文明施工管理方</w:t>
            </w:r>
            <w:r>
              <w:rPr>
                <w:spacing w:val="-22"/>
              </w:rPr>
              <w:t>面的要</w:t>
            </w:r>
          </w:p>
          <w:p w14:paraId="5B735900">
            <w:pPr>
              <w:pStyle w:val="7"/>
              <w:spacing w:before="188" w:line="218" w:lineRule="auto"/>
              <w:ind w:left="1676"/>
            </w:pPr>
            <w:r>
              <w:rPr>
                <w:spacing w:val="-21"/>
              </w:rPr>
              <w:t>求，设立文明施工的专项资金。</w:t>
            </w:r>
          </w:p>
        </w:tc>
      </w:tr>
    </w:tbl>
    <w:p w14:paraId="0023E038">
      <w:pPr>
        <w:pStyle w:val="2"/>
        <w:spacing w:before="115" w:line="219" w:lineRule="auto"/>
        <w:ind w:left="1890"/>
        <w:rPr>
          <w:sz w:val="24"/>
          <w:szCs w:val="24"/>
        </w:rPr>
      </w:pPr>
      <w:r>
        <w:rPr>
          <w:spacing w:val="-18"/>
          <w:sz w:val="24"/>
          <w:szCs w:val="24"/>
        </w:rPr>
        <w:t>3、文明施工管理原则</w:t>
      </w:r>
    </w:p>
    <w:p w14:paraId="3ADFF93E">
      <w:pPr>
        <w:pStyle w:val="2"/>
        <w:spacing w:before="115" w:line="217" w:lineRule="auto"/>
        <w:ind w:left="1927"/>
        <w:rPr>
          <w:sz w:val="24"/>
          <w:szCs w:val="24"/>
        </w:rPr>
      </w:pPr>
      <w:r>
        <w:rPr>
          <w:spacing w:val="-20"/>
          <w:sz w:val="24"/>
          <w:szCs w:val="24"/>
        </w:rPr>
        <w:t>(1)进行动态管理</w:t>
      </w:r>
    </w:p>
    <w:p w14:paraId="0AF29C57">
      <w:pPr>
        <w:pStyle w:val="2"/>
        <w:spacing w:before="118" w:line="308" w:lineRule="auto"/>
        <w:ind w:left="1455" w:right="1416" w:firstLine="551"/>
        <w:rPr>
          <w:sz w:val="24"/>
          <w:szCs w:val="24"/>
        </w:rPr>
      </w:pPr>
      <w:r>
        <w:rPr>
          <w:spacing w:val="-19"/>
          <w:sz w:val="24"/>
          <w:szCs w:val="24"/>
        </w:rPr>
        <w:t>现场管理必须以施工组织设计中的施工总平面布置和当地政府及主管部门对场容的有关</w:t>
      </w:r>
      <w:r>
        <w:rPr>
          <w:spacing w:val="-20"/>
          <w:sz w:val="24"/>
          <w:szCs w:val="24"/>
        </w:rPr>
        <w:t>规定及依据，进行动态管理。</w:t>
      </w:r>
    </w:p>
    <w:p w14:paraId="17ACF14F">
      <w:pPr>
        <w:pStyle w:val="2"/>
        <w:spacing w:line="217" w:lineRule="auto"/>
        <w:ind w:left="2047"/>
        <w:rPr>
          <w:sz w:val="24"/>
          <w:szCs w:val="24"/>
        </w:rPr>
      </w:pPr>
      <w:r>
        <w:rPr>
          <w:spacing w:val="-17"/>
          <w:sz w:val="24"/>
          <w:szCs w:val="24"/>
        </w:rPr>
        <w:t>(2)建立岗位责任制</w:t>
      </w:r>
    </w:p>
    <w:p w14:paraId="385AD891">
      <w:pPr>
        <w:pStyle w:val="2"/>
        <w:spacing w:before="115" w:line="308" w:lineRule="auto"/>
        <w:ind w:left="1453" w:right="1409" w:firstLine="511"/>
        <w:rPr>
          <w:sz w:val="24"/>
          <w:szCs w:val="24"/>
        </w:rPr>
      </w:pPr>
      <w:r>
        <w:rPr>
          <w:spacing w:val="9"/>
          <w:sz w:val="24"/>
          <w:szCs w:val="24"/>
        </w:rPr>
        <w:t>按专业分工种实行现场管理岗位责任制，把现场管理的目标进行分解，落实到</w:t>
      </w:r>
      <w:r>
        <w:rPr>
          <w:spacing w:val="-15"/>
          <w:sz w:val="24"/>
          <w:szCs w:val="24"/>
        </w:rPr>
        <w:t>有关专业和工种，这是实施文明施工岗位责任制的基本任务。为了明确责任，可</w:t>
      </w:r>
      <w:r>
        <w:rPr>
          <w:spacing w:val="-16"/>
          <w:sz w:val="24"/>
          <w:szCs w:val="24"/>
        </w:rPr>
        <w:t>以通过施工</w:t>
      </w:r>
      <w:r>
        <w:rPr>
          <w:spacing w:val="16"/>
          <w:sz w:val="24"/>
          <w:szCs w:val="24"/>
        </w:rPr>
        <w:t>任务或承包合同落实到责任者。</w:t>
      </w:r>
    </w:p>
    <w:p w14:paraId="4CD39994">
      <w:pPr>
        <w:pStyle w:val="2"/>
        <w:spacing w:before="1" w:line="215" w:lineRule="auto"/>
        <w:ind w:left="2038"/>
        <w:rPr>
          <w:sz w:val="24"/>
          <w:szCs w:val="24"/>
        </w:rPr>
      </w:pPr>
      <w:r>
        <w:rPr>
          <w:spacing w:val="-18"/>
          <w:sz w:val="24"/>
          <w:szCs w:val="24"/>
        </w:rPr>
        <w:t>(3)勤于检查，及时整改</w:t>
      </w:r>
    </w:p>
    <w:p w14:paraId="5DE35C7A">
      <w:pPr>
        <w:pStyle w:val="2"/>
        <w:spacing w:before="119" w:line="308" w:lineRule="auto"/>
        <w:ind w:left="1463" w:right="1450" w:firstLine="432"/>
        <w:rPr>
          <w:sz w:val="24"/>
          <w:szCs w:val="24"/>
        </w:rPr>
      </w:pPr>
      <w:r>
        <w:rPr>
          <w:spacing w:val="-21"/>
          <w:sz w:val="24"/>
          <w:szCs w:val="24"/>
        </w:rPr>
        <w:t>对文明施工的检查工作要从工程开工做起，直到竣工交验为止。由于施工现场情况复杂，</w:t>
      </w:r>
      <w:r>
        <w:rPr>
          <w:spacing w:val="-15"/>
          <w:sz w:val="24"/>
          <w:szCs w:val="24"/>
        </w:rPr>
        <w:t>也可能出现三不管的死角，在检查中要特别注意，一旦发现要</w:t>
      </w:r>
      <w:r>
        <w:rPr>
          <w:spacing w:val="-16"/>
          <w:sz w:val="24"/>
          <w:szCs w:val="24"/>
        </w:rPr>
        <w:t>及时协调，重新落实，消灭死</w:t>
      </w:r>
      <w:r>
        <w:rPr>
          <w:spacing w:val="-12"/>
          <w:sz w:val="24"/>
          <w:szCs w:val="24"/>
        </w:rPr>
        <w:t>角。</w:t>
      </w:r>
    </w:p>
    <w:p w14:paraId="140C7A4F">
      <w:pPr>
        <w:pStyle w:val="2"/>
        <w:spacing w:before="2" w:line="293" w:lineRule="auto"/>
        <w:ind w:left="1479" w:right="1455" w:firstLine="505"/>
        <w:rPr>
          <w:sz w:val="24"/>
          <w:szCs w:val="24"/>
        </w:rPr>
      </w:pPr>
      <w:r>
        <w:rPr>
          <w:spacing w:val="-13"/>
          <w:sz w:val="24"/>
          <w:szCs w:val="24"/>
        </w:rPr>
        <w:t>项目部定期召开安全文明施工考核检查会议，总结施工过程发现的安全文明施工存在</w:t>
      </w:r>
      <w:r>
        <w:rPr>
          <w:spacing w:val="10"/>
          <w:sz w:val="24"/>
          <w:szCs w:val="24"/>
        </w:rPr>
        <w:t>问题，并定人、定措施、定时间，尽快整改</w:t>
      </w:r>
      <w:r>
        <w:rPr>
          <w:spacing w:val="9"/>
          <w:sz w:val="24"/>
          <w:szCs w:val="24"/>
        </w:rPr>
        <w:t>落实。</w:t>
      </w:r>
    </w:p>
    <w:p w14:paraId="2FACCD9A">
      <w:pPr>
        <w:pStyle w:val="2"/>
        <w:spacing w:before="2" w:line="217" w:lineRule="auto"/>
        <w:ind w:left="1985"/>
        <w:outlineLvl w:val="2"/>
        <w:rPr>
          <w:sz w:val="28"/>
          <w:szCs w:val="28"/>
        </w:rPr>
      </w:pPr>
      <w:bookmarkStart w:id="113" w:name="bookmark108"/>
      <w:bookmarkEnd w:id="113"/>
      <w:r>
        <w:rPr>
          <w:b/>
          <w:bCs/>
          <w:spacing w:val="-23"/>
          <w:sz w:val="28"/>
          <w:szCs w:val="28"/>
        </w:rPr>
        <w:t>三、文明施工的重点难点分析</w:t>
      </w:r>
    </w:p>
    <w:p w14:paraId="55D58761">
      <w:pPr>
        <w:pStyle w:val="2"/>
        <w:spacing w:before="106" w:line="307" w:lineRule="auto"/>
        <w:ind w:left="1456" w:right="1448" w:firstLine="437"/>
        <w:rPr>
          <w:sz w:val="24"/>
          <w:szCs w:val="24"/>
        </w:rPr>
      </w:pPr>
      <w:r>
        <w:rPr>
          <w:spacing w:val="-16"/>
          <w:sz w:val="24"/>
          <w:szCs w:val="24"/>
        </w:rPr>
        <w:t>根据我司以往工程的施工经验以及招标文件对文明施工管理的要</w:t>
      </w:r>
      <w:r>
        <w:rPr>
          <w:spacing w:val="-17"/>
          <w:sz w:val="24"/>
          <w:szCs w:val="24"/>
        </w:rPr>
        <w:t>求，针对本工程现场的</w:t>
      </w:r>
      <w:r>
        <w:rPr>
          <w:spacing w:val="14"/>
          <w:sz w:val="24"/>
          <w:szCs w:val="24"/>
        </w:rPr>
        <w:t>文明施工管理，总结出本工程文明施工管理的重点难点</w:t>
      </w:r>
      <w:r>
        <w:rPr>
          <w:spacing w:val="13"/>
          <w:sz w:val="24"/>
          <w:szCs w:val="24"/>
        </w:rPr>
        <w:t>如下：</w:t>
      </w:r>
    </w:p>
    <w:p w14:paraId="1F4CEA09">
      <w:pPr>
        <w:pStyle w:val="2"/>
        <w:spacing w:before="1" w:line="217" w:lineRule="auto"/>
        <w:ind w:left="1996"/>
        <w:rPr>
          <w:sz w:val="24"/>
          <w:szCs w:val="24"/>
        </w:rPr>
      </w:pPr>
      <w:r>
        <w:rPr>
          <w:spacing w:val="-18"/>
          <w:sz w:val="24"/>
          <w:szCs w:val="24"/>
        </w:rPr>
        <w:t>文明施工管理的重点难点分析及应对措施</w:t>
      </w:r>
    </w:p>
    <w:p w14:paraId="2465F0FA">
      <w:pPr>
        <w:spacing w:line="31" w:lineRule="auto"/>
        <w:rPr>
          <w:rFonts w:ascii="Arial"/>
          <w:sz w:val="2"/>
        </w:rPr>
      </w:pPr>
    </w:p>
    <w:tbl>
      <w:tblPr>
        <w:tblStyle w:val="6"/>
        <w:tblW w:w="8367" w:type="dxa"/>
        <w:tblInd w:w="1769" w:type="dxa"/>
        <w:tblBorders>
          <w:top w:val="single" w:color="5B9BD5" w:sz="4" w:space="0"/>
          <w:left w:val="single" w:color="5B9BD5" w:sz="4" w:space="0"/>
          <w:bottom w:val="single" w:color="5B9BD5" w:sz="4" w:space="0"/>
          <w:right w:val="single" w:color="5B9BD5" w:sz="4" w:space="0"/>
          <w:insideH w:val="single" w:color="5B9BD5" w:sz="4" w:space="0"/>
          <w:insideV w:val="single" w:color="5B9BD5" w:sz="4" w:space="0"/>
        </w:tblBorders>
        <w:tblLayout w:type="fixed"/>
        <w:tblCellMar>
          <w:top w:w="0" w:type="dxa"/>
          <w:left w:w="0" w:type="dxa"/>
          <w:bottom w:w="0" w:type="dxa"/>
          <w:right w:w="0" w:type="dxa"/>
        </w:tblCellMar>
      </w:tblPr>
      <w:tblGrid>
        <w:gridCol w:w="718"/>
        <w:gridCol w:w="1500"/>
        <w:gridCol w:w="4972"/>
        <w:gridCol w:w="1177"/>
      </w:tblGrid>
      <w:tr w14:paraId="159C0365">
        <w:tblPrEx>
          <w:tblBorders>
            <w:top w:val="single" w:color="5B9BD5" w:sz="4" w:space="0"/>
            <w:left w:val="single" w:color="5B9BD5" w:sz="4" w:space="0"/>
            <w:bottom w:val="single" w:color="5B9BD5" w:sz="4" w:space="0"/>
            <w:right w:val="single" w:color="5B9BD5" w:sz="4" w:space="0"/>
            <w:insideH w:val="single" w:color="5B9BD5" w:sz="4" w:space="0"/>
            <w:insideV w:val="single" w:color="5B9BD5" w:sz="4" w:space="0"/>
          </w:tblBorders>
          <w:tblCellMar>
            <w:top w:w="0" w:type="dxa"/>
            <w:left w:w="0" w:type="dxa"/>
            <w:bottom w:w="0" w:type="dxa"/>
            <w:right w:w="0" w:type="dxa"/>
          </w:tblCellMar>
        </w:tblPrEx>
        <w:trPr>
          <w:trHeight w:val="681" w:hRule="atLeast"/>
        </w:trPr>
        <w:tc>
          <w:tcPr>
            <w:tcW w:w="718" w:type="dxa"/>
            <w:tcBorders>
              <w:top w:val="single" w:color="1C456A" w:sz="4" w:space="0"/>
              <w:left w:val="single" w:color="1C456A" w:sz="4" w:space="0"/>
              <w:bottom w:val="single" w:color="1C456A" w:sz="4" w:space="0"/>
              <w:right w:val="single" w:color="000000" w:sz="2" w:space="0"/>
            </w:tcBorders>
            <w:shd w:val="clear" w:color="auto" w:fill="DEEAF6"/>
            <w:vAlign w:val="top"/>
          </w:tcPr>
          <w:p w14:paraId="28996DDB">
            <w:pPr>
              <w:spacing w:line="33" w:lineRule="exact"/>
              <w:ind w:firstLine="681"/>
            </w:pPr>
            <w:r>
              <w:pict>
                <v:shape id="_x0000_s3289" o:spid="_x0000_s3289" style="position:absolute;left:0pt;margin-left:-0.2pt;margin-top:0.05pt;height:0.75pt;width:2.2pt;mso-position-horizontal-relative:page;mso-position-vertical-relative:page;z-index:251991040;mso-width-relative:page;mso-height-relative:page;" fillcolor="#5B9BD5" filled="t" stroked="f" coordsize="44,15" path="m0,14l43,14,43,0,0,0,0,14xe">
                  <v:path/>
                  <v:fill on="t" focussize="0,0"/>
                  <v:stroke on="f"/>
                  <v:imagedata o:title=""/>
                  <o:lock v:ext="edit"/>
                </v:shape>
              </w:pict>
            </w:r>
            <w:r>
              <w:pict>
                <v:shape id="_x0000_s3290" o:spid="_x0000_s3290" style="position:absolute;left:0pt;margin-left:-0.2pt;margin-top:34.35pt;height:0.75pt;width:2.2pt;mso-position-horizontal-relative:page;mso-position-vertical-relative:page;z-index:251990016;mso-width-relative:page;mso-height-relative:page;" fillcolor="#5B9BD5" filled="t" stroked="f" coordsize="44,15" path="m0,14l43,14,43,0,0,0,0,14xe">
                  <v:path/>
                  <v:fill on="t" focussize="0,0"/>
                  <v:stroke on="f"/>
                  <v:imagedata o:title=""/>
                  <o:lock v:ext="edit"/>
                </v:shape>
              </w:pict>
            </w:r>
            <w:r>
              <w:pict>
                <v:group id="_x0000_s3291" o:spid="_x0000_s3291" o:spt="203" style="height:2.2pt;width:2.2pt;" coordsize="44,44">
                  <o:lock v:ext="edit"/>
                  <v:shape id="_x0000_s3292" o:spid="_x0000_s3292" style="position:absolute;left:0;top:0;height:15;width:44;" fillcolor="#5B9BD5" filled="t" stroked="f" coordsize="44,15" path="m0,14l43,14,43,0,0,0,0,14xe">
                    <v:path/>
                    <v:fill on="t" focussize="0,0"/>
                    <v:stroke on="f"/>
                    <v:imagedata o:title=""/>
                    <o:lock v:ext="edit"/>
                  </v:shape>
                  <v:shape id="_x0000_s3293" o:spid="_x0000_s3293" style="position:absolute;left:0;top:14;height:15;width:44;" fillcolor="#20507B" filled="t" stroked="f" coordsize="44,15" path="m0,14l43,14,43,0,0,0,0,14xe">
                    <v:path/>
                    <v:fill on="t" focussize="0,0"/>
                    <v:stroke on="f"/>
                    <v:imagedata o:title=""/>
                    <o:lock v:ext="edit"/>
                  </v:shape>
                  <v:shape id="_x0000_s3294" o:spid="_x0000_s3294" style="position:absolute;left:0;top:28;height:15;width:44;" fillcolor="#1C456A" filled="t" stroked="f" coordsize="44,15" path="m0,14l43,14,43,0,0,0,0,14xe">
                    <v:path/>
                    <v:fill on="t" focussize="0,0"/>
                    <v:stroke on="f"/>
                    <v:imagedata o:title=""/>
                    <o:lock v:ext="edit"/>
                  </v:shape>
                  <w10:wrap type="none"/>
                  <w10:anchorlock/>
                </v:group>
              </w:pict>
            </w:r>
          </w:p>
          <w:p w14:paraId="75A82D2A">
            <w:pPr>
              <w:spacing w:line="60" w:lineRule="exact"/>
              <w:ind w:firstLine="33"/>
            </w:pPr>
            <w:r>
              <w:rPr>
                <w:position w:val="-1"/>
              </w:rPr>
              <w:pict>
                <v:shape id="_x0000_s3295" o:spid="_x0000_s3295" style="height:3pt;width:32.45pt;" fillcolor="#DEEAF6" filled="t" stroked="f" coordsize="649,60" path="m0,60l648,60,648,0,0,0,0,60xe">
                  <v:path/>
                  <v:fill on="t" focussize="0,0"/>
                  <v:stroke on="f"/>
                  <v:imagedata o:title=""/>
                  <o:lock v:ext="edit"/>
                  <w10:wrap type="none"/>
                  <w10:anchorlock/>
                </v:shape>
              </w:pict>
            </w:r>
          </w:p>
          <w:p w14:paraId="4896B252">
            <w:pPr>
              <w:pStyle w:val="7"/>
              <w:spacing w:before="51" w:line="218" w:lineRule="auto"/>
              <w:ind w:left="147"/>
            </w:pPr>
            <w:r>
              <w:rPr>
                <w:b/>
                <w:bCs/>
                <w:spacing w:val="-11"/>
              </w:rPr>
              <w:t>序号</w:t>
            </w:r>
          </w:p>
          <w:p w14:paraId="6A2DF806">
            <w:pPr>
              <w:spacing w:before="160" w:line="57" w:lineRule="exact"/>
              <w:ind w:firstLine="11"/>
            </w:pPr>
            <w:r>
              <w:rPr>
                <w:position w:val="-1"/>
              </w:rPr>
              <w:pict>
                <v:shape id="_x0000_s3296" o:spid="_x0000_s3296" style="height:2.9pt;width:33.75pt;" fillcolor="#DEEAF6" filled="t" stroked="f" coordsize="675,58" path="m0,57l674,57,674,0,0,0,0,57xe">
                  <v:path/>
                  <v:fill on="t" focussize="0,0"/>
                  <v:stroke on="f"/>
                  <v:imagedata o:title=""/>
                  <o:lock v:ext="edit"/>
                  <w10:wrap type="none"/>
                  <w10:anchorlock/>
                </v:shape>
              </w:pict>
            </w:r>
          </w:p>
          <w:p w14:paraId="4FF48748">
            <w:pPr>
              <w:spacing w:before="2" w:line="23" w:lineRule="exact"/>
              <w:ind w:firstLine="681"/>
            </w:pPr>
            <w:r>
              <w:rPr>
                <w:position w:val="-2"/>
              </w:rPr>
              <w:pict>
                <v:group id="_x0000_s3297" o:spid="_x0000_s3297" o:spt="203" style="height:2.2pt;width:2.2pt;" coordsize="44,44">
                  <o:lock v:ext="edit"/>
                  <v:shape id="_x0000_s3298" o:spid="_x0000_s3298" style="position:absolute;left:0;top:0;height:15;width:44;" fillcolor="#1C456A" filled="t" stroked="f" coordsize="44,15" path="m0,14l43,14,43,0,0,0,0,14xe">
                    <v:path/>
                    <v:fill on="t" focussize="0,0"/>
                    <v:stroke on="f"/>
                    <v:imagedata o:title=""/>
                    <o:lock v:ext="edit"/>
                  </v:shape>
                  <v:shape id="_x0000_s3299" o:spid="_x0000_s3299" style="position:absolute;left:0;top:14;height:15;width:44;" fillcolor="#20507B" filled="t" stroked="f" coordsize="44,15" path="m0,14l43,14,43,0,0,0,0,14xe">
                    <v:path/>
                    <v:fill on="t" focussize="0,0"/>
                    <v:stroke on="f"/>
                    <v:imagedata o:title=""/>
                    <o:lock v:ext="edit"/>
                  </v:shape>
                  <v:shape id="_x0000_s3300" o:spid="_x0000_s3300" style="position:absolute;left:0;top:28;height:15;width:44;" fillcolor="#5B9BD5" filled="t" stroked="f" coordsize="44,15" path="m0,14l43,14,43,0,0,0,0,14xe">
                    <v:path/>
                    <v:fill on="t" focussize="0,0"/>
                    <v:stroke on="f"/>
                    <v:imagedata o:title=""/>
                    <o:lock v:ext="edit"/>
                  </v:shape>
                  <w10:wrap type="none"/>
                  <w10:anchorlock/>
                </v:group>
              </w:pict>
            </w:r>
          </w:p>
        </w:tc>
        <w:tc>
          <w:tcPr>
            <w:tcW w:w="1500" w:type="dxa"/>
            <w:tcBorders>
              <w:left w:val="single" w:color="000000" w:sz="2" w:space="0"/>
              <w:right w:val="single" w:color="000000" w:sz="2" w:space="0"/>
            </w:tcBorders>
            <w:shd w:val="clear" w:color="auto" w:fill="DEEAF6"/>
            <w:vAlign w:val="top"/>
          </w:tcPr>
          <w:p w14:paraId="3BF8353D">
            <w:pPr>
              <w:pStyle w:val="7"/>
              <w:spacing w:before="144" w:line="218" w:lineRule="auto"/>
              <w:ind w:left="423"/>
            </w:pPr>
            <w:r>
              <w:rPr>
                <w:b/>
                <w:bCs/>
                <w:spacing w:val="-18"/>
              </w:rPr>
              <w:t>重难点</w:t>
            </w:r>
          </w:p>
        </w:tc>
        <w:tc>
          <w:tcPr>
            <w:tcW w:w="4972" w:type="dxa"/>
            <w:tcBorders>
              <w:left w:val="single" w:color="000000" w:sz="2" w:space="0"/>
              <w:right w:val="nil"/>
            </w:tcBorders>
            <w:shd w:val="clear" w:color="auto" w:fill="DEEAF6"/>
            <w:vAlign w:val="top"/>
          </w:tcPr>
          <w:p w14:paraId="01BC11FB">
            <w:pPr>
              <w:pStyle w:val="7"/>
              <w:spacing w:before="144" w:line="217" w:lineRule="auto"/>
              <w:ind w:left="2310"/>
            </w:pPr>
            <w:r>
              <w:rPr>
                <w:b/>
                <w:bCs/>
                <w:spacing w:val="-21"/>
              </w:rPr>
              <w:t>分析及应对措施</w:t>
            </w:r>
          </w:p>
        </w:tc>
        <w:tc>
          <w:tcPr>
            <w:tcW w:w="1177" w:type="dxa"/>
            <w:tcBorders>
              <w:left w:val="nil"/>
            </w:tcBorders>
            <w:shd w:val="clear" w:color="auto" w:fill="DEEAF6"/>
            <w:vAlign w:val="top"/>
          </w:tcPr>
          <w:p w14:paraId="4B35ECA0">
            <w:pPr>
              <w:rPr>
                <w:rFonts w:ascii="Arial"/>
                <w:sz w:val="21"/>
              </w:rPr>
            </w:pPr>
            <w:r>
              <w:pict>
                <v:shape id="_x0000_s3301" o:spid="_x0000_s3301" style="position:absolute;left:0pt;margin-left:57pt;margin-top:0.05pt;height:0.75pt;width:2.2pt;mso-position-horizontal-relative:page;mso-position-vertical-relative:page;z-index:251988992;mso-width-relative:page;mso-height-relative:page;" fillcolor="#5B9BD5" filled="t" stroked="f" coordsize="44,15" path="m0,14l43,14,43,0,0,0,0,14xe">
                  <v:path/>
                  <v:fill on="t" focussize="0,0"/>
                  <v:stroke on="f"/>
                  <v:imagedata o:title=""/>
                  <o:lock v:ext="edit"/>
                </v:shape>
              </w:pict>
            </w:r>
            <w:r>
              <w:pict>
                <v:shape id="_x0000_s3302" o:spid="_x0000_s3302" style="position:absolute;left:0pt;margin-left:57pt;margin-top:34.35pt;height:0.75pt;width:2.2pt;mso-position-horizontal-relative:page;mso-position-vertical-relative:page;z-index:251987968;mso-width-relative:page;mso-height-relative:page;" fillcolor="#5B9BD5" filled="t" stroked="f" coordsize="44,15" path="m0,14l43,14,43,0,0,0,0,14xe">
                  <v:path/>
                  <v:fill on="t" focussize="0,0"/>
                  <v:stroke on="f"/>
                  <v:imagedata o:title=""/>
                  <o:lock v:ext="edit"/>
                </v:shape>
              </w:pict>
            </w:r>
          </w:p>
        </w:tc>
      </w:tr>
    </w:tbl>
    <w:p w14:paraId="606CC87E">
      <w:pPr>
        <w:rPr>
          <w:rFonts w:ascii="Arial"/>
          <w:sz w:val="21"/>
        </w:rPr>
      </w:pPr>
    </w:p>
    <w:p w14:paraId="4579B3EC">
      <w:pPr>
        <w:rPr>
          <w:rFonts w:ascii="Arial" w:hAnsi="Arial" w:eastAsia="Arial" w:cs="Arial"/>
          <w:sz w:val="21"/>
          <w:szCs w:val="21"/>
        </w:rPr>
        <w:sectPr>
          <w:footerReference r:id="rId165" w:type="default"/>
          <w:pgSz w:w="11907" w:h="16839"/>
          <w:pgMar w:top="954" w:right="4" w:bottom="1038" w:left="0" w:header="499" w:footer="357" w:gutter="0"/>
          <w:pgBorders>
            <w:top w:val="none" w:sz="0" w:space="0"/>
            <w:left w:val="none" w:sz="0" w:space="0"/>
            <w:bottom w:val="none" w:sz="0" w:space="0"/>
            <w:right w:val="none" w:sz="0" w:space="0"/>
          </w:pgBorders>
          <w:cols w:space="720" w:num="1"/>
        </w:sectPr>
      </w:pPr>
    </w:p>
    <w:p w14:paraId="2D39675D">
      <w:pPr>
        <w:spacing w:line="214" w:lineRule="exact"/>
      </w:pPr>
    </w:p>
    <w:tbl>
      <w:tblPr>
        <w:tblStyle w:val="6"/>
        <w:tblW w:w="8367" w:type="dxa"/>
        <w:tblInd w:w="1769"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79"/>
        <w:gridCol w:w="516"/>
        <w:gridCol w:w="1518"/>
        <w:gridCol w:w="6154"/>
      </w:tblGrid>
      <w:tr w14:paraId="032AF5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20" w:hRule="atLeast"/>
        </w:trPr>
        <w:tc>
          <w:tcPr>
            <w:tcW w:w="695" w:type="dxa"/>
            <w:gridSpan w:val="2"/>
            <w:tcBorders>
              <w:top w:val="single" w:color="000000" w:sz="4" w:space="0"/>
              <w:left w:val="single" w:color="000000" w:sz="4" w:space="0"/>
            </w:tcBorders>
            <w:vAlign w:val="top"/>
          </w:tcPr>
          <w:p w14:paraId="738F5BB0">
            <w:pPr>
              <w:rPr>
                <w:rFonts w:ascii="Arial"/>
                <w:sz w:val="21"/>
              </w:rPr>
            </w:pPr>
          </w:p>
          <w:p w14:paraId="1ADAD5C6">
            <w:pPr>
              <w:rPr>
                <w:rFonts w:ascii="Arial"/>
                <w:sz w:val="21"/>
              </w:rPr>
            </w:pPr>
          </w:p>
          <w:p w14:paraId="006D1B3B">
            <w:pPr>
              <w:spacing w:line="241" w:lineRule="auto"/>
              <w:rPr>
                <w:rFonts w:ascii="Arial"/>
                <w:sz w:val="21"/>
              </w:rPr>
            </w:pPr>
          </w:p>
          <w:p w14:paraId="4341AB63">
            <w:pPr>
              <w:spacing w:line="241" w:lineRule="auto"/>
              <w:rPr>
                <w:rFonts w:ascii="Arial"/>
                <w:sz w:val="21"/>
              </w:rPr>
            </w:pPr>
          </w:p>
          <w:p w14:paraId="6CFB73E0">
            <w:pPr>
              <w:spacing w:line="241" w:lineRule="auto"/>
              <w:rPr>
                <w:rFonts w:ascii="Arial"/>
                <w:sz w:val="21"/>
              </w:rPr>
            </w:pPr>
          </w:p>
          <w:p w14:paraId="11F8D6A3">
            <w:pPr>
              <w:spacing w:line="241" w:lineRule="auto"/>
              <w:rPr>
                <w:rFonts w:ascii="Arial"/>
                <w:sz w:val="21"/>
              </w:rPr>
            </w:pPr>
          </w:p>
          <w:p w14:paraId="7F525DF5">
            <w:pPr>
              <w:pStyle w:val="7"/>
              <w:spacing w:before="78" w:line="238" w:lineRule="auto"/>
              <w:ind w:left="320"/>
            </w:pPr>
            <w:r>
              <w:t>1</w:t>
            </w:r>
          </w:p>
        </w:tc>
        <w:tc>
          <w:tcPr>
            <w:tcW w:w="1518" w:type="dxa"/>
            <w:tcBorders>
              <w:top w:val="single" w:color="000000" w:sz="4" w:space="0"/>
            </w:tcBorders>
            <w:vAlign w:val="top"/>
          </w:tcPr>
          <w:p w14:paraId="229136DD">
            <w:pPr>
              <w:spacing w:line="249" w:lineRule="auto"/>
              <w:rPr>
                <w:rFonts w:ascii="Arial"/>
                <w:sz w:val="21"/>
              </w:rPr>
            </w:pPr>
          </w:p>
          <w:p w14:paraId="3B68CF66">
            <w:pPr>
              <w:spacing w:line="249" w:lineRule="auto"/>
              <w:rPr>
                <w:rFonts w:ascii="Arial"/>
                <w:sz w:val="21"/>
              </w:rPr>
            </w:pPr>
          </w:p>
          <w:p w14:paraId="7984E38C">
            <w:pPr>
              <w:spacing w:line="250" w:lineRule="auto"/>
              <w:rPr>
                <w:rFonts w:ascii="Arial"/>
                <w:sz w:val="21"/>
              </w:rPr>
            </w:pPr>
          </w:p>
          <w:p w14:paraId="7B2D102B">
            <w:pPr>
              <w:pStyle w:val="7"/>
              <w:spacing w:before="78" w:line="359" w:lineRule="auto"/>
              <w:ind w:left="116" w:right="84" w:firstLine="107"/>
            </w:pPr>
            <w:r>
              <w:rPr>
                <w:spacing w:val="-22"/>
              </w:rPr>
              <w:t>周边环境复杂，文明施工</w:t>
            </w:r>
          </w:p>
          <w:p w14:paraId="75D47FBA">
            <w:pPr>
              <w:pStyle w:val="7"/>
              <w:spacing w:line="218" w:lineRule="auto"/>
              <w:ind w:left="119"/>
            </w:pPr>
            <w:r>
              <w:rPr>
                <w:spacing w:val="-19"/>
              </w:rPr>
              <w:t>要求高、难度</w:t>
            </w:r>
          </w:p>
          <w:p w14:paraId="02C62D8B">
            <w:pPr>
              <w:pStyle w:val="7"/>
              <w:spacing w:before="183" w:line="220" w:lineRule="auto"/>
              <w:ind w:left="662"/>
            </w:pPr>
            <w:r>
              <w:t>大</w:t>
            </w:r>
          </w:p>
        </w:tc>
        <w:tc>
          <w:tcPr>
            <w:tcW w:w="6154" w:type="dxa"/>
            <w:tcBorders>
              <w:top w:val="single" w:color="5B9BD5" w:sz="4" w:space="0"/>
              <w:right w:val="single" w:color="5B9BD5" w:sz="4" w:space="0"/>
            </w:tcBorders>
            <w:vAlign w:val="top"/>
          </w:tcPr>
          <w:p w14:paraId="2A175EAD">
            <w:pPr>
              <w:spacing w:line="285" w:lineRule="auto"/>
              <w:rPr>
                <w:rFonts w:ascii="Arial"/>
                <w:sz w:val="21"/>
              </w:rPr>
            </w:pPr>
          </w:p>
          <w:p w14:paraId="5A6874A5">
            <w:pPr>
              <w:pStyle w:val="7"/>
              <w:spacing w:before="78" w:line="217" w:lineRule="auto"/>
              <w:ind w:left="69"/>
            </w:pPr>
            <w:r>
              <w:rPr>
                <w:spacing w:val="-24"/>
              </w:rPr>
              <w:t>本工程整治施工标准高、任务重、影响大，社会关</w:t>
            </w:r>
          </w:p>
          <w:p w14:paraId="2F82F530">
            <w:pPr>
              <w:pStyle w:val="7"/>
              <w:spacing w:before="183" w:line="215" w:lineRule="auto"/>
              <w:ind w:left="75"/>
            </w:pPr>
            <w:r>
              <w:rPr>
                <w:spacing w:val="-24"/>
              </w:rPr>
              <w:t>注度很高，周边环境较为复杂，须做好安全文明各</w:t>
            </w:r>
            <w:r>
              <w:rPr>
                <w:spacing w:val="-25"/>
              </w:rPr>
              <w:t>项措施。在整</w:t>
            </w:r>
          </w:p>
          <w:p w14:paraId="4EB567D0">
            <w:pPr>
              <w:pStyle w:val="7"/>
              <w:spacing w:before="188" w:line="218" w:lineRule="auto"/>
              <w:ind w:left="72"/>
            </w:pPr>
            <w:r>
              <w:rPr>
                <w:spacing w:val="-24"/>
              </w:rPr>
              <w:t>治过程中，做好施工便道、安全围挡、扬尘防治等措施，同步和</w:t>
            </w:r>
          </w:p>
          <w:p w14:paraId="70861093">
            <w:pPr>
              <w:pStyle w:val="7"/>
              <w:spacing w:before="182" w:line="218" w:lineRule="auto"/>
              <w:jc w:val="right"/>
            </w:pPr>
            <w:r>
              <w:rPr>
                <w:spacing w:val="-23"/>
              </w:rPr>
              <w:t>居民做好施工中的沟通协调，避免噪音、扬尘等扰民投诉发生。</w:t>
            </w:r>
          </w:p>
          <w:p w14:paraId="75D50B97">
            <w:pPr>
              <w:pStyle w:val="7"/>
              <w:spacing w:before="184" w:line="218" w:lineRule="auto"/>
              <w:ind w:left="69"/>
            </w:pPr>
            <w:r>
              <w:rPr>
                <w:spacing w:val="-24"/>
              </w:rPr>
              <w:t>尤其是高层建筑的安全通道等各项安全措施需满足安全要求，降</w:t>
            </w:r>
          </w:p>
          <w:p w14:paraId="1290C597">
            <w:pPr>
              <w:pStyle w:val="7"/>
              <w:spacing w:before="181" w:line="217" w:lineRule="auto"/>
              <w:ind w:left="1772"/>
            </w:pPr>
            <w:r>
              <w:rPr>
                <w:spacing w:val="-20"/>
              </w:rPr>
              <w:t>低对小区居民出行的干扰。</w:t>
            </w:r>
          </w:p>
        </w:tc>
      </w:tr>
      <w:tr w14:paraId="3BCF3E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16" w:hRule="atLeast"/>
        </w:trPr>
        <w:tc>
          <w:tcPr>
            <w:tcW w:w="179" w:type="dxa"/>
            <w:tcBorders>
              <w:left w:val="single" w:color="1C456A" w:sz="4" w:space="0"/>
              <w:bottom w:val="single" w:color="1C456A" w:sz="4" w:space="0"/>
              <w:right w:val="nil"/>
            </w:tcBorders>
            <w:vAlign w:val="top"/>
          </w:tcPr>
          <w:p w14:paraId="5CD22FA5">
            <w:pPr>
              <w:rPr>
                <w:rFonts w:ascii="Arial"/>
                <w:sz w:val="21"/>
              </w:rPr>
            </w:pPr>
            <w:r>
              <w:pict>
                <v:shape id="_x0000_s3303" o:spid="_x0000_s3303" style="position:absolute;left:0pt;margin-left:-0.25pt;margin-top:195.85pt;height:0.75pt;width:2.2pt;mso-position-horizontal-relative:page;mso-position-vertical-relative:page;z-index:251995136;mso-width-relative:page;mso-height-relative:page;" fillcolor="#5B9BD5" filled="t" stroked="f" coordsize="44,15" path="m0,14l43,14,43,0,0,0,0,14xe">
                  <v:path/>
                  <v:fill on="t" focussize="0,0"/>
                  <v:stroke on="f"/>
                  <v:imagedata o:title=""/>
                  <o:lock v:ext="edit"/>
                </v:shape>
              </w:pict>
            </w:r>
          </w:p>
        </w:tc>
        <w:tc>
          <w:tcPr>
            <w:tcW w:w="516" w:type="dxa"/>
            <w:tcBorders>
              <w:left w:val="nil"/>
              <w:bottom w:val="single" w:color="1C456A" w:sz="4" w:space="0"/>
            </w:tcBorders>
            <w:vAlign w:val="top"/>
          </w:tcPr>
          <w:p w14:paraId="318AD4D5">
            <w:pPr>
              <w:spacing w:line="276" w:lineRule="auto"/>
              <w:rPr>
                <w:rFonts w:ascii="Arial"/>
                <w:sz w:val="21"/>
              </w:rPr>
            </w:pPr>
          </w:p>
          <w:p w14:paraId="3EED78CE">
            <w:pPr>
              <w:spacing w:line="276" w:lineRule="auto"/>
              <w:rPr>
                <w:rFonts w:ascii="Arial"/>
                <w:sz w:val="21"/>
              </w:rPr>
            </w:pPr>
          </w:p>
          <w:p w14:paraId="187CFC76">
            <w:pPr>
              <w:spacing w:line="276" w:lineRule="auto"/>
              <w:rPr>
                <w:rFonts w:ascii="Arial"/>
                <w:sz w:val="21"/>
              </w:rPr>
            </w:pPr>
          </w:p>
          <w:p w14:paraId="2A912C47">
            <w:pPr>
              <w:spacing w:line="277" w:lineRule="auto"/>
              <w:rPr>
                <w:rFonts w:ascii="Arial"/>
                <w:sz w:val="21"/>
              </w:rPr>
            </w:pPr>
          </w:p>
          <w:p w14:paraId="1B6078F4">
            <w:pPr>
              <w:spacing w:line="277" w:lineRule="auto"/>
              <w:rPr>
                <w:rFonts w:ascii="Arial"/>
                <w:sz w:val="21"/>
              </w:rPr>
            </w:pPr>
          </w:p>
          <w:p w14:paraId="417D8531">
            <w:pPr>
              <w:spacing w:line="277" w:lineRule="auto"/>
              <w:rPr>
                <w:rFonts w:ascii="Arial"/>
                <w:sz w:val="21"/>
              </w:rPr>
            </w:pPr>
          </w:p>
          <w:p w14:paraId="1C129CA4">
            <w:pPr>
              <w:pStyle w:val="7"/>
              <w:spacing w:before="78" w:line="238" w:lineRule="auto"/>
              <w:ind w:left="132"/>
            </w:pPr>
            <w:r>
              <w:t>2</w:t>
            </w:r>
          </w:p>
        </w:tc>
        <w:tc>
          <w:tcPr>
            <w:tcW w:w="1518" w:type="dxa"/>
            <w:tcBorders>
              <w:bottom w:val="single" w:color="000000" w:sz="4" w:space="0"/>
            </w:tcBorders>
            <w:vAlign w:val="top"/>
          </w:tcPr>
          <w:p w14:paraId="31C449F5">
            <w:pPr>
              <w:spacing w:line="265" w:lineRule="auto"/>
              <w:rPr>
                <w:rFonts w:ascii="Arial"/>
                <w:sz w:val="21"/>
              </w:rPr>
            </w:pPr>
          </w:p>
          <w:p w14:paraId="084FACED">
            <w:pPr>
              <w:pStyle w:val="7"/>
              <w:spacing w:before="78" w:line="219" w:lineRule="auto"/>
              <w:ind w:left="223"/>
            </w:pPr>
            <w:r>
              <w:rPr>
                <w:spacing w:val="-17"/>
              </w:rPr>
              <w:t>项目工期紧</w:t>
            </w:r>
          </w:p>
          <w:p w14:paraId="7A44E18E">
            <w:pPr>
              <w:pStyle w:val="7"/>
              <w:spacing w:before="184" w:line="217" w:lineRule="auto"/>
              <w:ind w:left="117"/>
            </w:pPr>
            <w:r>
              <w:rPr>
                <w:spacing w:val="-18"/>
              </w:rPr>
              <w:t>张，需集中投</w:t>
            </w:r>
          </w:p>
          <w:p w14:paraId="518FA4E4">
            <w:pPr>
              <w:pStyle w:val="7"/>
              <w:spacing w:before="182" w:line="217" w:lineRule="auto"/>
              <w:ind w:left="114"/>
            </w:pPr>
            <w:r>
              <w:rPr>
                <w:spacing w:val="-18"/>
              </w:rPr>
              <w:t>入大量人力物</w:t>
            </w:r>
          </w:p>
          <w:p w14:paraId="0BE3C65C">
            <w:pPr>
              <w:pStyle w:val="7"/>
              <w:spacing w:before="185" w:line="220" w:lineRule="auto"/>
              <w:ind w:left="118"/>
            </w:pPr>
            <w:r>
              <w:rPr>
                <w:spacing w:val="-19"/>
              </w:rPr>
              <w:t>力，施工人员</w:t>
            </w:r>
          </w:p>
          <w:p w14:paraId="317D593B">
            <w:pPr>
              <w:pStyle w:val="7"/>
              <w:spacing w:before="181" w:line="217" w:lineRule="auto"/>
              <w:ind w:left="115"/>
            </w:pPr>
            <w:r>
              <w:rPr>
                <w:spacing w:val="-18"/>
              </w:rPr>
              <w:t>较多，需要加</w:t>
            </w:r>
          </w:p>
          <w:p w14:paraId="6DF660BE">
            <w:pPr>
              <w:pStyle w:val="7"/>
              <w:spacing w:before="185" w:line="220" w:lineRule="auto"/>
              <w:ind w:left="122"/>
            </w:pPr>
            <w:r>
              <w:rPr>
                <w:spacing w:val="-19"/>
              </w:rPr>
              <w:t>强文明施工管</w:t>
            </w:r>
          </w:p>
          <w:p w14:paraId="1CC0ACFE">
            <w:pPr>
              <w:pStyle w:val="7"/>
              <w:spacing w:before="180" w:line="229" w:lineRule="auto"/>
              <w:ind w:left="661"/>
            </w:pPr>
            <w:r>
              <w:t>理</w:t>
            </w:r>
          </w:p>
        </w:tc>
        <w:tc>
          <w:tcPr>
            <w:tcW w:w="6154" w:type="dxa"/>
            <w:tcBorders>
              <w:bottom w:val="single" w:color="5B9BD5" w:sz="4" w:space="0"/>
              <w:right w:val="single" w:color="5B9BD5" w:sz="4" w:space="0"/>
            </w:tcBorders>
            <w:vAlign w:val="top"/>
          </w:tcPr>
          <w:p w14:paraId="00A9636D">
            <w:pPr>
              <w:spacing w:line="249" w:lineRule="auto"/>
              <w:rPr>
                <w:rFonts w:ascii="Arial"/>
                <w:sz w:val="21"/>
              </w:rPr>
            </w:pPr>
            <w:r>
              <w:pict>
                <v:shape id="_x0000_s3304" o:spid="_x0000_s3304" style="position:absolute;left:0pt;margin-left:305.85pt;margin-top:195.85pt;height:0.75pt;width:2.2pt;mso-position-horizontal-relative:page;mso-position-vertical-relative:page;z-index:251994112;mso-width-relative:page;mso-height-relative:page;" fillcolor="#5B9BD5" filled="t" stroked="f" coordsize="44,15" path="m0,14l43,14,43,0,0,0,0,14xe">
                  <v:path/>
                  <v:fill on="t" focussize="0,0"/>
                  <v:stroke on="f"/>
                  <v:imagedata o:title=""/>
                  <o:lock v:ext="edit"/>
                </v:shape>
              </w:pict>
            </w:r>
          </w:p>
          <w:p w14:paraId="39083B8D">
            <w:pPr>
              <w:spacing w:line="249" w:lineRule="auto"/>
              <w:rPr>
                <w:rFonts w:ascii="Arial"/>
                <w:sz w:val="21"/>
              </w:rPr>
            </w:pPr>
          </w:p>
          <w:p w14:paraId="31D4615E">
            <w:pPr>
              <w:pStyle w:val="7"/>
              <w:spacing w:before="78" w:line="218" w:lineRule="auto"/>
              <w:ind w:left="69"/>
            </w:pPr>
            <w:r>
              <w:rPr>
                <w:spacing w:val="-24"/>
              </w:rPr>
              <w:t>本工程内各分包劳务队伍的人员数量很多，由于不同队伍和人员</w:t>
            </w:r>
          </w:p>
          <w:p w14:paraId="6B585635">
            <w:pPr>
              <w:pStyle w:val="7"/>
              <w:spacing w:before="184" w:line="218" w:lineRule="auto"/>
              <w:ind w:left="81"/>
            </w:pPr>
            <w:r>
              <w:rPr>
                <w:spacing w:val="-25"/>
              </w:rPr>
              <w:t>素质水平的差异，人员流动量大，管理状况复杂等情况，对文明</w:t>
            </w:r>
          </w:p>
          <w:p w14:paraId="37861537">
            <w:pPr>
              <w:pStyle w:val="7"/>
              <w:spacing w:before="182" w:line="215" w:lineRule="auto"/>
              <w:ind w:left="67"/>
            </w:pPr>
            <w:r>
              <w:rPr>
                <w:spacing w:val="-24"/>
              </w:rPr>
              <w:t>施工管理及落实带来了一定困难。在加强平日监督检查、严格规</w:t>
            </w:r>
          </w:p>
          <w:p w14:paraId="15094869">
            <w:pPr>
              <w:pStyle w:val="7"/>
              <w:spacing w:before="188" w:line="218" w:lineRule="auto"/>
              <w:jc w:val="right"/>
            </w:pPr>
            <w:r>
              <w:rPr>
                <w:spacing w:val="-38"/>
              </w:rPr>
              <w:t>定的同时，也要加强入场教育和不定期施工人员培训教育，“堵”、</w:t>
            </w:r>
          </w:p>
          <w:p w14:paraId="192C99F3">
            <w:pPr>
              <w:pStyle w:val="7"/>
              <w:spacing w:before="181" w:line="216" w:lineRule="auto"/>
              <w:ind w:left="43"/>
            </w:pPr>
            <w:r>
              <w:rPr>
                <w:spacing w:val="-23"/>
              </w:rPr>
              <w:t>“疏”兼备，做到人员逐级宣传培训落实，提高文明施工管理的</w:t>
            </w:r>
          </w:p>
          <w:p w14:paraId="3D0736AF">
            <w:pPr>
              <w:pStyle w:val="7"/>
              <w:spacing w:before="187" w:line="219" w:lineRule="auto"/>
              <w:ind w:left="2429"/>
            </w:pPr>
            <w:r>
              <w:rPr>
                <w:spacing w:val="-19"/>
              </w:rPr>
              <w:t>效率和成效。</w:t>
            </w:r>
          </w:p>
        </w:tc>
      </w:tr>
    </w:tbl>
    <w:p w14:paraId="384B5368">
      <w:pPr>
        <w:pStyle w:val="2"/>
        <w:spacing w:before="80" w:line="219" w:lineRule="auto"/>
        <w:ind w:left="2010"/>
        <w:outlineLvl w:val="2"/>
        <w:rPr>
          <w:sz w:val="28"/>
          <w:szCs w:val="28"/>
        </w:rPr>
      </w:pPr>
      <w:bookmarkStart w:id="114" w:name="bookmark109"/>
      <w:bookmarkEnd w:id="114"/>
      <w:r>
        <w:rPr>
          <w:b/>
          <w:bCs/>
          <w:spacing w:val="-25"/>
          <w:sz w:val="28"/>
          <w:szCs w:val="28"/>
        </w:rPr>
        <w:t>四、文明施工措施</w:t>
      </w:r>
    </w:p>
    <w:p w14:paraId="71339BC8">
      <w:pPr>
        <w:pStyle w:val="2"/>
        <w:spacing w:before="100" w:line="219" w:lineRule="auto"/>
        <w:ind w:left="1994"/>
        <w:rPr>
          <w:sz w:val="24"/>
          <w:szCs w:val="24"/>
        </w:rPr>
      </w:pPr>
      <w:r>
        <w:rPr>
          <w:spacing w:val="-17"/>
          <w:sz w:val="24"/>
          <w:szCs w:val="24"/>
        </w:rPr>
        <w:t>1、现场人员管理措施</w:t>
      </w:r>
    </w:p>
    <w:p w14:paraId="14E7E097">
      <w:pPr>
        <w:pStyle w:val="2"/>
        <w:spacing w:before="115" w:line="308" w:lineRule="auto"/>
        <w:ind w:left="1463" w:right="1448" w:firstLine="504"/>
        <w:rPr>
          <w:sz w:val="24"/>
          <w:szCs w:val="24"/>
        </w:rPr>
      </w:pPr>
      <w:r>
        <w:rPr>
          <w:spacing w:val="14"/>
          <w:sz w:val="24"/>
          <w:szCs w:val="24"/>
        </w:rPr>
        <w:t>所有进场工人必须持有身份证，各个分包单位进场前上交工人入场花</w:t>
      </w:r>
      <w:r>
        <w:rPr>
          <w:spacing w:val="13"/>
          <w:sz w:val="24"/>
          <w:szCs w:val="24"/>
        </w:rPr>
        <w:t>名册，</w:t>
      </w:r>
      <w:r>
        <w:rPr>
          <w:spacing w:val="-17"/>
          <w:sz w:val="24"/>
          <w:szCs w:val="24"/>
        </w:rPr>
        <w:t>然后按照花名册内容进行工作卡办理，具体见下表，并在施工现场的人员出入口处设置门禁</w:t>
      </w:r>
      <w:r>
        <w:rPr>
          <w:spacing w:val="14"/>
          <w:sz w:val="24"/>
          <w:szCs w:val="24"/>
        </w:rPr>
        <w:t>系统，见下图所示。任何人员未经登记不得进</w:t>
      </w:r>
      <w:r>
        <w:rPr>
          <w:spacing w:val="13"/>
          <w:sz w:val="24"/>
          <w:szCs w:val="24"/>
        </w:rPr>
        <w:t>入施工现场。</w:t>
      </w:r>
    </w:p>
    <w:p w14:paraId="6E91F5A8">
      <w:pPr>
        <w:pStyle w:val="2"/>
        <w:spacing w:before="1" w:line="218" w:lineRule="auto"/>
        <w:ind w:left="1896"/>
        <w:rPr>
          <w:sz w:val="24"/>
          <w:szCs w:val="24"/>
        </w:rPr>
      </w:pPr>
      <w:r>
        <w:pict>
          <v:shape id="_x0000_s3305" o:spid="_x0000_s3305" style="position:absolute;left:0pt;margin-left:178.3pt;margin-top:15.75pt;height:0.75pt;width:2.2pt;z-index:251992064;mso-width-relative:page;mso-height-relative:page;" fillcolor="#1C456A" filled="t" stroked="f" coordsize="44,15" path="m0,14l43,14,43,0,0,0,0,14xe">
            <v:path/>
            <v:fill on="t" focussize="0,0"/>
            <v:stroke on="f"/>
            <v:imagedata o:title=""/>
            <o:lock v:ext="edit"/>
          </v:shape>
        </w:pict>
      </w:r>
      <w:r>
        <w:rPr>
          <w:spacing w:val="-19"/>
          <w:sz w:val="24"/>
          <w:szCs w:val="24"/>
        </w:rPr>
        <w:t>人员管理措施</w:t>
      </w:r>
    </w:p>
    <w:p w14:paraId="68648A77">
      <w:pPr>
        <w:spacing w:line="18" w:lineRule="auto"/>
        <w:rPr>
          <w:rFonts w:ascii="Arial"/>
          <w:sz w:val="2"/>
        </w:rPr>
      </w:pPr>
    </w:p>
    <w:tbl>
      <w:tblPr>
        <w:tblStyle w:val="6"/>
        <w:tblW w:w="8537" w:type="dxa"/>
        <w:tblInd w:w="168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07"/>
        <w:gridCol w:w="606"/>
        <w:gridCol w:w="1077"/>
        <w:gridCol w:w="1446"/>
        <w:gridCol w:w="5201"/>
      </w:tblGrid>
      <w:tr w14:paraId="1DC0A4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17" w:hRule="atLeast"/>
        </w:trPr>
        <w:tc>
          <w:tcPr>
            <w:tcW w:w="813" w:type="dxa"/>
            <w:gridSpan w:val="2"/>
            <w:tcBorders>
              <w:top w:val="single" w:color="000000" w:sz="4" w:space="0"/>
              <w:left w:val="single" w:color="000000" w:sz="4" w:space="0"/>
            </w:tcBorders>
            <w:shd w:val="clear" w:color="auto" w:fill="DEEAF6"/>
            <w:vAlign w:val="top"/>
          </w:tcPr>
          <w:p w14:paraId="4CD9E830">
            <w:pPr>
              <w:spacing w:line="93" w:lineRule="exact"/>
            </w:pPr>
            <w:r>
              <w:rPr>
                <w:position w:val="-1"/>
              </w:rPr>
              <w:pict>
                <v:group id="_x0000_s3306" o:spid="_x0000_s3306" o:spt="203" style="height:5.2pt;width:42.25pt;" coordsize="845,103">
                  <o:lock v:ext="edit"/>
                  <v:shape id="_x0000_s3307" o:spid="_x0000_s3307" style="position:absolute;left:0;top:0;height:15;width:44;" fillcolor="#5B9BD5" filled="t" stroked="f" coordsize="44,15" path="m0,14l43,14,43,0,0,0,0,14xe">
                    <v:path/>
                    <v:fill on="t" focussize="0,0"/>
                    <v:stroke on="f"/>
                    <v:imagedata o:title=""/>
                    <o:lock v:ext="edit"/>
                  </v:shape>
                  <v:shape id="_x0000_s3308" o:spid="_x0000_s3308" style="position:absolute;left:43;top:43;height:60;width:759;" fillcolor="#DEEAF6" filled="t" stroked="f" coordsize="759,60" path="m0,60l758,60,758,0,0,0,0,60xe">
                    <v:path/>
                    <v:fill on="t" focussize="0,0"/>
                    <v:stroke on="f"/>
                    <v:imagedata o:title=""/>
                    <o:lock v:ext="edit"/>
                  </v:shape>
                  <v:shape id="_x0000_s3309" o:spid="_x0000_s3309" style="position:absolute;left:801;top:0;height:15;width:44;" fillcolor="#5B9BD5" filled="t" stroked="f" coordsize="44,15" path="m0,14l43,14,43,0,0,0,0,14xe">
                    <v:path/>
                    <v:fill on="t" focussize="0,0"/>
                    <v:stroke on="f"/>
                    <v:imagedata o:title=""/>
                    <o:lock v:ext="edit"/>
                  </v:shape>
                  <v:shape id="_x0000_s3310" o:spid="_x0000_s3310" style="position:absolute;left:801;top:14;height:15;width:44;" fillcolor="#20507B" filled="t" stroked="f" coordsize="44,15" path="m0,14l43,14,43,0,0,0,0,14xe">
                    <v:path/>
                    <v:fill on="t" focussize="0,0"/>
                    <v:stroke on="f"/>
                    <v:imagedata o:title=""/>
                    <o:lock v:ext="edit"/>
                  </v:shape>
                  <v:shape id="_x0000_s3311" o:spid="_x0000_s3311" style="position:absolute;left:801;top:28;height:15;width:44;" fillcolor="#1C456A" filled="t" stroked="f" coordsize="44,15" path="m0,14l43,14,43,0,0,0,0,14xe">
                    <v:path/>
                    <v:fill on="t" focussize="0,0"/>
                    <v:stroke on="f"/>
                    <v:imagedata o:title=""/>
                    <o:lock v:ext="edit"/>
                  </v:shape>
                  <w10:wrap type="none"/>
                  <w10:anchorlock/>
                </v:group>
              </w:pict>
            </w:r>
          </w:p>
          <w:p w14:paraId="38328F66">
            <w:pPr>
              <w:pStyle w:val="7"/>
              <w:spacing w:before="48" w:line="218" w:lineRule="auto"/>
              <w:ind w:left="200"/>
            </w:pPr>
            <w:r>
              <w:rPr>
                <w:b/>
                <w:bCs/>
                <w:spacing w:val="-11"/>
              </w:rPr>
              <w:t>序号</w:t>
            </w:r>
          </w:p>
        </w:tc>
        <w:tc>
          <w:tcPr>
            <w:tcW w:w="1077" w:type="dxa"/>
            <w:tcBorders>
              <w:top w:val="single" w:color="000000" w:sz="4" w:space="0"/>
            </w:tcBorders>
            <w:shd w:val="clear" w:color="auto" w:fill="DEEAF6"/>
            <w:vAlign w:val="top"/>
          </w:tcPr>
          <w:p w14:paraId="54B0BB89">
            <w:pPr>
              <w:pStyle w:val="7"/>
              <w:spacing w:before="140" w:line="220" w:lineRule="auto"/>
              <w:ind w:left="326"/>
            </w:pPr>
            <w:r>
              <w:rPr>
                <w:b/>
                <w:bCs/>
                <w:spacing w:val="-13"/>
              </w:rPr>
              <w:t>项目</w:t>
            </w:r>
          </w:p>
        </w:tc>
        <w:tc>
          <w:tcPr>
            <w:tcW w:w="1446" w:type="dxa"/>
            <w:tcBorders>
              <w:top w:val="single" w:color="5B9BD5" w:sz="4" w:space="0"/>
              <w:right w:val="nil"/>
            </w:tcBorders>
            <w:shd w:val="clear" w:color="auto" w:fill="DEEAF6"/>
            <w:vAlign w:val="top"/>
          </w:tcPr>
          <w:p w14:paraId="730E90C9">
            <w:pPr>
              <w:spacing w:line="18" w:lineRule="exact"/>
            </w:pPr>
            <w:r>
              <w:pict>
                <v:group id="_x0000_s3312" o:spid="_x0000_s3312" o:spt="203" style="height:1.45pt;width:2.2pt;" coordsize="44,29">
                  <o:lock v:ext="edit"/>
                  <v:shape id="_x0000_s3313" o:spid="_x0000_s3313" style="position:absolute;left:0;top:0;height:15;width:44;" fillcolor="#5B9BD5" filled="t" stroked="f" coordsize="44,15" path="m0,14l43,14,43,0,0,0,0,14xe">
                    <v:path/>
                    <v:fill on="t" focussize="0,0"/>
                    <v:stroke on="f"/>
                    <v:imagedata o:title=""/>
                    <o:lock v:ext="edit"/>
                  </v:shape>
                  <v:shape id="_x0000_s3314" o:spid="_x0000_s3314" style="position:absolute;left:0;top:14;height:15;width:44;" fillcolor="#20507B" filled="t" stroked="f" coordsize="44,15" path="m0,14l43,14,43,0,0,0,0,14xe">
                    <v:path/>
                    <v:fill on="t" focussize="0,0"/>
                    <v:stroke on="f"/>
                    <v:imagedata o:title=""/>
                    <o:lock v:ext="edit"/>
                  </v:shape>
                  <w10:wrap type="none"/>
                  <w10:anchorlock/>
                </v:group>
              </w:pict>
            </w:r>
          </w:p>
        </w:tc>
        <w:tc>
          <w:tcPr>
            <w:tcW w:w="5201" w:type="dxa"/>
            <w:tcBorders>
              <w:top w:val="single" w:color="5B9BD5" w:sz="4" w:space="0"/>
              <w:left w:val="nil"/>
              <w:right w:val="single" w:color="5B9BD5" w:sz="4" w:space="0"/>
            </w:tcBorders>
            <w:shd w:val="clear" w:color="auto" w:fill="DEEAF6"/>
            <w:vAlign w:val="top"/>
          </w:tcPr>
          <w:p w14:paraId="0B57F7BB">
            <w:pPr>
              <w:pStyle w:val="7"/>
              <w:spacing w:before="141" w:line="218" w:lineRule="auto"/>
              <w:ind w:left="1447"/>
            </w:pPr>
            <w:r>
              <w:rPr>
                <w:b/>
                <w:bCs/>
                <w:spacing w:val="-19"/>
              </w:rPr>
              <w:t>具体措施</w:t>
            </w:r>
          </w:p>
        </w:tc>
      </w:tr>
      <w:tr w14:paraId="69292C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01" w:hRule="atLeast"/>
        </w:trPr>
        <w:tc>
          <w:tcPr>
            <w:tcW w:w="813" w:type="dxa"/>
            <w:gridSpan w:val="2"/>
            <w:tcBorders>
              <w:left w:val="single" w:color="000000" w:sz="4" w:space="0"/>
            </w:tcBorders>
            <w:vAlign w:val="top"/>
          </w:tcPr>
          <w:p w14:paraId="2203EA5A">
            <w:pPr>
              <w:spacing w:line="248" w:lineRule="auto"/>
              <w:rPr>
                <w:rFonts w:ascii="Arial"/>
                <w:sz w:val="21"/>
              </w:rPr>
            </w:pPr>
          </w:p>
          <w:p w14:paraId="3F54AC14">
            <w:pPr>
              <w:spacing w:line="248" w:lineRule="auto"/>
              <w:rPr>
                <w:rFonts w:ascii="Arial"/>
                <w:sz w:val="21"/>
              </w:rPr>
            </w:pPr>
          </w:p>
          <w:p w14:paraId="32D96A2A">
            <w:pPr>
              <w:spacing w:line="249" w:lineRule="auto"/>
              <w:rPr>
                <w:rFonts w:ascii="Arial"/>
                <w:sz w:val="21"/>
              </w:rPr>
            </w:pPr>
          </w:p>
          <w:p w14:paraId="1A96085C">
            <w:pPr>
              <w:pStyle w:val="7"/>
              <w:spacing w:before="78" w:line="238" w:lineRule="auto"/>
              <w:ind w:left="376"/>
            </w:pPr>
            <w:r>
              <w:t>1</w:t>
            </w:r>
          </w:p>
        </w:tc>
        <w:tc>
          <w:tcPr>
            <w:tcW w:w="1077" w:type="dxa"/>
            <w:vAlign w:val="top"/>
          </w:tcPr>
          <w:p w14:paraId="755F897C">
            <w:pPr>
              <w:spacing w:line="254" w:lineRule="auto"/>
              <w:rPr>
                <w:rFonts w:ascii="Arial"/>
                <w:sz w:val="21"/>
              </w:rPr>
            </w:pPr>
          </w:p>
          <w:p w14:paraId="27234F91">
            <w:pPr>
              <w:spacing w:line="255" w:lineRule="auto"/>
              <w:rPr>
                <w:rFonts w:ascii="Arial"/>
                <w:sz w:val="21"/>
              </w:rPr>
            </w:pPr>
          </w:p>
          <w:p w14:paraId="01AA3E2B">
            <w:pPr>
              <w:pStyle w:val="7"/>
              <w:spacing w:before="78" w:line="363" w:lineRule="auto"/>
              <w:ind w:left="338" w:right="87" w:hanging="231"/>
            </w:pPr>
            <w:r>
              <w:rPr>
                <w:spacing w:val="-21"/>
              </w:rPr>
              <w:t>流动人口</w:t>
            </w:r>
            <w:r>
              <w:rPr>
                <w:spacing w:val="-13"/>
              </w:rPr>
              <w:t>管理</w:t>
            </w:r>
          </w:p>
        </w:tc>
        <w:tc>
          <w:tcPr>
            <w:tcW w:w="6647" w:type="dxa"/>
            <w:gridSpan w:val="2"/>
            <w:tcBorders>
              <w:right w:val="single" w:color="000000" w:sz="4" w:space="0"/>
            </w:tcBorders>
            <w:vAlign w:val="top"/>
          </w:tcPr>
          <w:p w14:paraId="2D71BEEE">
            <w:pPr>
              <w:pStyle w:val="7"/>
              <w:spacing w:before="125" w:line="287" w:lineRule="auto"/>
              <w:ind w:left="2523" w:right="92" w:hanging="2405"/>
            </w:pPr>
            <w:r>
              <w:rPr>
                <w:spacing w:val="-21"/>
              </w:rPr>
              <w:t>1.登记进场施工人员资料(身份证号码、家庭住址、流动人口婚育证</w:t>
            </w:r>
            <w:r>
              <w:rPr>
                <w:spacing w:val="-20"/>
              </w:rPr>
              <w:t>明等)，并存档；</w:t>
            </w:r>
          </w:p>
          <w:p w14:paraId="50A96E5B">
            <w:pPr>
              <w:pStyle w:val="7"/>
              <w:spacing w:before="188" w:line="217" w:lineRule="auto"/>
              <w:ind w:left="1685"/>
            </w:pPr>
            <w:r>
              <w:rPr>
                <w:spacing w:val="-19"/>
              </w:rPr>
              <w:t>2.统一办理暂住证、工伤保险等；</w:t>
            </w:r>
          </w:p>
          <w:p w14:paraId="6CC07732">
            <w:pPr>
              <w:pStyle w:val="7"/>
              <w:spacing w:before="184" w:line="218" w:lineRule="auto"/>
              <w:ind w:left="705"/>
            </w:pPr>
            <w:r>
              <w:rPr>
                <w:spacing w:val="-22"/>
              </w:rPr>
              <w:t>3.施工过程中，发生人员流动的，及时更改登记记录；</w:t>
            </w:r>
          </w:p>
        </w:tc>
      </w:tr>
      <w:tr w14:paraId="104820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69" w:hRule="atLeast"/>
        </w:trPr>
        <w:tc>
          <w:tcPr>
            <w:tcW w:w="207" w:type="dxa"/>
            <w:tcBorders>
              <w:left w:val="single" w:color="1C456A" w:sz="4" w:space="0"/>
              <w:bottom w:val="single" w:color="1C456A" w:sz="4" w:space="0"/>
              <w:right w:val="nil"/>
            </w:tcBorders>
            <w:vAlign w:val="top"/>
          </w:tcPr>
          <w:p w14:paraId="4E71DC65">
            <w:pPr>
              <w:rPr>
                <w:rFonts w:ascii="Arial"/>
                <w:sz w:val="21"/>
              </w:rPr>
            </w:pPr>
            <w:r>
              <w:pict>
                <v:shape id="_x0000_s3315" o:spid="_x0000_s3315" style="position:absolute;left:0pt;margin-left:-0.25pt;margin-top:78.45pt;height:0.75pt;width:2.2pt;mso-position-horizontal-relative:page;mso-position-vertical-relative:page;z-index:251993088;mso-width-relative:page;mso-height-relative:page;" fillcolor="#5B9BD5" filled="t" stroked="f" coordsize="44,15" path="m0,14l43,14,43,0,0,0,0,14xe">
                  <v:path/>
                  <v:fill on="t" focussize="0,0"/>
                  <v:stroke on="f"/>
                  <v:imagedata o:title=""/>
                  <o:lock v:ext="edit"/>
                </v:shape>
              </w:pict>
            </w:r>
          </w:p>
        </w:tc>
        <w:tc>
          <w:tcPr>
            <w:tcW w:w="606" w:type="dxa"/>
            <w:tcBorders>
              <w:left w:val="nil"/>
              <w:bottom w:val="single" w:color="1C456A" w:sz="4" w:space="0"/>
            </w:tcBorders>
            <w:vAlign w:val="top"/>
          </w:tcPr>
          <w:p w14:paraId="6AFFB2BD">
            <w:pPr>
              <w:spacing w:line="250" w:lineRule="auto"/>
              <w:rPr>
                <w:rFonts w:ascii="Arial"/>
                <w:sz w:val="21"/>
              </w:rPr>
            </w:pPr>
          </w:p>
          <w:p w14:paraId="14C0D84A">
            <w:pPr>
              <w:spacing w:line="250" w:lineRule="auto"/>
              <w:rPr>
                <w:rFonts w:ascii="Arial"/>
                <w:sz w:val="21"/>
              </w:rPr>
            </w:pPr>
          </w:p>
          <w:p w14:paraId="519B65D2">
            <w:pPr>
              <w:pStyle w:val="7"/>
              <w:spacing w:before="78" w:line="238" w:lineRule="auto"/>
              <w:ind w:left="159"/>
            </w:pPr>
            <w:r>
              <w:t>2</w:t>
            </w:r>
          </w:p>
        </w:tc>
        <w:tc>
          <w:tcPr>
            <w:tcW w:w="1077" w:type="dxa"/>
            <w:tcBorders>
              <w:bottom w:val="single" w:color="000000" w:sz="4" w:space="0"/>
            </w:tcBorders>
            <w:vAlign w:val="top"/>
          </w:tcPr>
          <w:p w14:paraId="413D5115">
            <w:pPr>
              <w:spacing w:line="266" w:lineRule="auto"/>
              <w:rPr>
                <w:rFonts w:ascii="Arial"/>
                <w:sz w:val="21"/>
              </w:rPr>
            </w:pPr>
          </w:p>
          <w:p w14:paraId="755BD9DA">
            <w:pPr>
              <w:pStyle w:val="7"/>
              <w:spacing w:before="78" w:line="218" w:lineRule="auto"/>
              <w:ind w:left="325"/>
            </w:pPr>
            <w:r>
              <w:rPr>
                <w:spacing w:val="-10"/>
              </w:rPr>
              <w:t>身份</w:t>
            </w:r>
          </w:p>
          <w:p w14:paraId="0C456EBA">
            <w:pPr>
              <w:pStyle w:val="7"/>
              <w:spacing w:before="184" w:line="219" w:lineRule="auto"/>
              <w:ind w:left="325"/>
            </w:pPr>
            <w:r>
              <w:rPr>
                <w:spacing w:val="-10"/>
              </w:rPr>
              <w:t>识别</w:t>
            </w:r>
          </w:p>
        </w:tc>
        <w:tc>
          <w:tcPr>
            <w:tcW w:w="6647" w:type="dxa"/>
            <w:gridSpan w:val="2"/>
            <w:tcBorders>
              <w:bottom w:val="single" w:color="5B9BD5" w:sz="4" w:space="0"/>
              <w:right w:val="single" w:color="5B9BD5" w:sz="4" w:space="0"/>
            </w:tcBorders>
            <w:vAlign w:val="top"/>
          </w:tcPr>
          <w:p w14:paraId="4F11CE97">
            <w:pPr>
              <w:pStyle w:val="7"/>
              <w:spacing w:before="113" w:line="218" w:lineRule="auto"/>
              <w:ind w:left="74"/>
            </w:pPr>
            <w:r>
              <w:rPr>
                <w:spacing w:val="-21"/>
              </w:rPr>
              <w:t>1.安全帽：各类人员佩戴不同颜色安全帽以</w:t>
            </w:r>
            <w:r>
              <w:rPr>
                <w:spacing w:val="-22"/>
              </w:rPr>
              <w:t>示区别：按照施工管理人</w:t>
            </w:r>
          </w:p>
          <w:p w14:paraId="3C12E2AC">
            <w:pPr>
              <w:pStyle w:val="7"/>
              <w:spacing w:before="184" w:line="216" w:lineRule="auto"/>
              <w:ind w:left="83"/>
            </w:pPr>
            <w:r>
              <w:rPr>
                <w:spacing w:val="-22"/>
              </w:rPr>
              <w:t>员、安全管理人员、一般作业人员、特种作</w:t>
            </w:r>
            <w:r>
              <w:rPr>
                <w:spacing w:val="-23"/>
              </w:rPr>
              <w:t>业人员、参观人员进行分</w:t>
            </w:r>
          </w:p>
          <w:p w14:paraId="7F472263">
            <w:pPr>
              <w:pStyle w:val="7"/>
              <w:spacing w:before="185" w:line="218" w:lineRule="auto"/>
              <w:ind w:left="1692"/>
            </w:pPr>
            <w:r>
              <w:rPr>
                <w:spacing w:val="-21"/>
              </w:rPr>
              <w:t>类佩戴不同颜色安全帽以示区别。</w:t>
            </w:r>
          </w:p>
        </w:tc>
      </w:tr>
    </w:tbl>
    <w:p w14:paraId="6886DAD5">
      <w:pPr>
        <w:rPr>
          <w:rFonts w:ascii="Arial"/>
          <w:sz w:val="21"/>
        </w:rPr>
      </w:pPr>
    </w:p>
    <w:p w14:paraId="30751A7B">
      <w:pPr>
        <w:rPr>
          <w:rFonts w:ascii="Arial" w:hAnsi="Arial" w:eastAsia="Arial" w:cs="Arial"/>
          <w:sz w:val="21"/>
          <w:szCs w:val="21"/>
        </w:rPr>
        <w:sectPr>
          <w:footerReference r:id="rId166" w:type="default"/>
          <w:pgSz w:w="11907" w:h="16839"/>
          <w:pgMar w:top="954" w:right="4" w:bottom="1038" w:left="0" w:header="499" w:footer="357" w:gutter="0"/>
          <w:pgBorders>
            <w:top w:val="none" w:sz="0" w:space="0"/>
            <w:left w:val="none" w:sz="0" w:space="0"/>
            <w:bottom w:val="none" w:sz="0" w:space="0"/>
            <w:right w:val="none" w:sz="0" w:space="0"/>
          </w:pgBorders>
          <w:cols w:space="720" w:num="1"/>
        </w:sectPr>
      </w:pPr>
    </w:p>
    <w:p w14:paraId="5CB20482">
      <w:pPr>
        <w:spacing w:line="214" w:lineRule="exact"/>
      </w:pPr>
    </w:p>
    <w:tbl>
      <w:tblPr>
        <w:tblStyle w:val="6"/>
        <w:tblW w:w="8537" w:type="dxa"/>
        <w:tblInd w:w="168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05"/>
        <w:gridCol w:w="1083"/>
        <w:gridCol w:w="6649"/>
      </w:tblGrid>
      <w:tr w14:paraId="398645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50" w:hRule="atLeast"/>
        </w:trPr>
        <w:tc>
          <w:tcPr>
            <w:tcW w:w="805" w:type="dxa"/>
            <w:tcBorders>
              <w:top w:val="single" w:color="000000" w:sz="4" w:space="0"/>
              <w:left w:val="single" w:color="000000" w:sz="4" w:space="0"/>
            </w:tcBorders>
            <w:vAlign w:val="top"/>
          </w:tcPr>
          <w:p w14:paraId="58B93C6E">
            <w:pPr>
              <w:rPr>
                <w:rFonts w:ascii="Arial"/>
                <w:sz w:val="21"/>
              </w:rPr>
            </w:pPr>
          </w:p>
        </w:tc>
        <w:tc>
          <w:tcPr>
            <w:tcW w:w="1083" w:type="dxa"/>
            <w:tcBorders>
              <w:top w:val="single" w:color="000000" w:sz="4" w:space="0"/>
            </w:tcBorders>
            <w:vAlign w:val="top"/>
          </w:tcPr>
          <w:p w14:paraId="63F4D0C3">
            <w:pPr>
              <w:rPr>
                <w:rFonts w:ascii="Arial"/>
                <w:sz w:val="21"/>
              </w:rPr>
            </w:pPr>
          </w:p>
        </w:tc>
        <w:tc>
          <w:tcPr>
            <w:tcW w:w="6649" w:type="dxa"/>
            <w:tcBorders>
              <w:top w:val="single" w:color="5B9BD5" w:sz="4" w:space="0"/>
              <w:right w:val="single" w:color="5B9BD5" w:sz="4" w:space="0"/>
            </w:tcBorders>
            <w:vAlign w:val="top"/>
          </w:tcPr>
          <w:p w14:paraId="587ADBB8">
            <w:pPr>
              <w:pStyle w:val="7"/>
              <w:spacing w:before="129" w:line="218" w:lineRule="auto"/>
              <w:ind w:left="1250"/>
            </w:pPr>
            <w:r>
              <w:rPr>
                <w:spacing w:val="-20"/>
              </w:rPr>
              <w:t>2.臂章：安全值班人员佩戴不同颜色标记。</w:t>
            </w:r>
          </w:p>
          <w:p w14:paraId="12CCCCE3">
            <w:pPr>
              <w:pStyle w:val="7"/>
              <w:spacing w:before="182" w:line="216" w:lineRule="auto"/>
              <w:ind w:left="763"/>
            </w:pPr>
            <w:r>
              <w:rPr>
                <w:spacing w:val="-17"/>
              </w:rPr>
              <w:t>3.服装：所有操作人员统一服装，执行企业CI标</w:t>
            </w:r>
            <w:r>
              <w:rPr>
                <w:spacing w:val="-18"/>
              </w:rPr>
              <w:t>准。</w:t>
            </w:r>
          </w:p>
          <w:p w14:paraId="56FD166C">
            <w:pPr>
              <w:pStyle w:val="7"/>
              <w:spacing w:before="186" w:line="217" w:lineRule="auto"/>
              <w:ind w:left="58"/>
            </w:pPr>
            <w:r>
              <w:rPr>
                <w:spacing w:val="-21"/>
              </w:rPr>
              <w:t>4.胸卡：统一尺寸和编号，贴个人一寸彩色照片，注明岗位或工种。</w:t>
            </w:r>
          </w:p>
        </w:tc>
      </w:tr>
      <w:tr w14:paraId="3BA0C4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22" w:hRule="atLeast"/>
        </w:trPr>
        <w:tc>
          <w:tcPr>
            <w:tcW w:w="805" w:type="dxa"/>
            <w:tcBorders>
              <w:left w:val="single" w:color="1C456A" w:sz="4" w:space="0"/>
              <w:bottom w:val="single" w:color="1C456A" w:sz="4" w:space="0"/>
            </w:tcBorders>
            <w:vAlign w:val="top"/>
          </w:tcPr>
          <w:p w14:paraId="64EC565C">
            <w:pPr>
              <w:spacing w:line="358" w:lineRule="auto"/>
              <w:rPr>
                <w:rFonts w:ascii="Arial"/>
                <w:sz w:val="21"/>
              </w:rPr>
            </w:pPr>
          </w:p>
          <w:p w14:paraId="3A6E6207">
            <w:pPr>
              <w:spacing w:line="358" w:lineRule="auto"/>
              <w:rPr>
                <w:rFonts w:ascii="Arial"/>
                <w:sz w:val="21"/>
              </w:rPr>
            </w:pPr>
          </w:p>
          <w:p w14:paraId="180521BB">
            <w:pPr>
              <w:pStyle w:val="7"/>
              <w:spacing w:before="79" w:line="237" w:lineRule="auto"/>
              <w:ind w:left="363"/>
            </w:pPr>
            <w:r>
              <w:t>3</w:t>
            </w:r>
          </w:p>
        </w:tc>
        <w:tc>
          <w:tcPr>
            <w:tcW w:w="1083" w:type="dxa"/>
            <w:tcBorders>
              <w:bottom w:val="single" w:color="000000" w:sz="4" w:space="0"/>
            </w:tcBorders>
            <w:vAlign w:val="top"/>
          </w:tcPr>
          <w:p w14:paraId="3208FF5B">
            <w:pPr>
              <w:spacing w:line="242" w:lineRule="auto"/>
              <w:rPr>
                <w:rFonts w:ascii="Arial"/>
                <w:sz w:val="21"/>
              </w:rPr>
            </w:pPr>
          </w:p>
          <w:p w14:paraId="3A68826E">
            <w:pPr>
              <w:spacing w:line="243" w:lineRule="auto"/>
              <w:rPr>
                <w:rFonts w:ascii="Arial"/>
                <w:sz w:val="21"/>
              </w:rPr>
            </w:pPr>
          </w:p>
          <w:p w14:paraId="2E156A56">
            <w:pPr>
              <w:pStyle w:val="7"/>
              <w:spacing w:before="78" w:line="218" w:lineRule="auto"/>
              <w:ind w:left="332"/>
            </w:pPr>
            <w:r>
              <w:rPr>
                <w:spacing w:val="-8"/>
              </w:rPr>
              <w:t>教育</w:t>
            </w:r>
          </w:p>
          <w:p w14:paraId="3BD4F8F6">
            <w:pPr>
              <w:pStyle w:val="7"/>
              <w:spacing w:before="182" w:line="218" w:lineRule="auto"/>
              <w:ind w:left="342"/>
            </w:pPr>
            <w:r>
              <w:rPr>
                <w:spacing w:val="-13"/>
              </w:rPr>
              <w:t>引导</w:t>
            </w:r>
          </w:p>
        </w:tc>
        <w:tc>
          <w:tcPr>
            <w:tcW w:w="6649" w:type="dxa"/>
            <w:tcBorders>
              <w:bottom w:val="single" w:color="5B9BD5" w:sz="4" w:space="0"/>
              <w:right w:val="single" w:color="5B9BD5" w:sz="4" w:space="0"/>
            </w:tcBorders>
            <w:vAlign w:val="top"/>
          </w:tcPr>
          <w:p w14:paraId="0F06A660">
            <w:pPr>
              <w:pStyle w:val="7"/>
              <w:spacing w:before="99" w:line="289" w:lineRule="auto"/>
              <w:ind w:left="2568" w:right="46" w:hanging="2492"/>
            </w:pPr>
            <w:r>
              <w:rPr>
                <w:spacing w:val="-22"/>
              </w:rPr>
              <w:t>1.加强对工人的文明和素质教育，禁止袒胸露腹，不得赤膊作业</w:t>
            </w:r>
            <w:r>
              <w:rPr>
                <w:spacing w:val="-23"/>
              </w:rPr>
              <w:t>，施</w:t>
            </w:r>
            <w:r>
              <w:rPr>
                <w:spacing w:val="-19"/>
              </w:rPr>
              <w:t>工区严禁吸烟。</w:t>
            </w:r>
          </w:p>
          <w:p w14:paraId="38D0CAAF">
            <w:pPr>
              <w:pStyle w:val="7"/>
              <w:spacing w:before="180" w:line="290" w:lineRule="auto"/>
              <w:ind w:left="2563" w:right="46" w:hanging="2501"/>
            </w:pPr>
            <w:r>
              <w:rPr>
                <w:spacing w:val="-22"/>
              </w:rPr>
              <w:t>2.制定、实施一系列同文明施工相关的奖惩制度，引导工人自觉提高</w:t>
            </w:r>
            <w:r>
              <w:rPr>
                <w:spacing w:val="-19"/>
              </w:rPr>
              <w:t>文明施工意识。</w:t>
            </w:r>
          </w:p>
        </w:tc>
      </w:tr>
    </w:tbl>
    <w:p w14:paraId="43D9498F">
      <w:pPr>
        <w:pStyle w:val="2"/>
        <w:spacing w:before="113" w:line="217" w:lineRule="auto"/>
        <w:ind w:left="1972"/>
        <w:rPr>
          <w:sz w:val="24"/>
          <w:szCs w:val="24"/>
        </w:rPr>
      </w:pPr>
      <w:r>
        <w:rPr>
          <w:spacing w:val="-16"/>
          <w:sz w:val="24"/>
          <w:szCs w:val="24"/>
        </w:rPr>
        <w:t>2、施工阶段具体措施</w:t>
      </w:r>
    </w:p>
    <w:p w14:paraId="528D569E">
      <w:pPr>
        <w:spacing w:line="29" w:lineRule="auto"/>
        <w:rPr>
          <w:rFonts w:ascii="Arial"/>
          <w:sz w:val="2"/>
        </w:rPr>
      </w:pPr>
    </w:p>
    <w:tbl>
      <w:tblPr>
        <w:tblStyle w:val="6"/>
        <w:tblW w:w="8554" w:type="dxa"/>
        <w:tblInd w:w="167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90"/>
        <w:gridCol w:w="564"/>
        <w:gridCol w:w="1521"/>
        <w:gridCol w:w="6279"/>
      </w:tblGrid>
      <w:tr w14:paraId="317E85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754" w:type="dxa"/>
            <w:gridSpan w:val="2"/>
            <w:tcBorders>
              <w:top w:val="single" w:color="000000" w:sz="4" w:space="0"/>
              <w:left w:val="single" w:color="000000" w:sz="4" w:space="0"/>
            </w:tcBorders>
            <w:shd w:val="clear" w:color="auto" w:fill="DEEAF6"/>
            <w:vAlign w:val="top"/>
          </w:tcPr>
          <w:p w14:paraId="7F9333BE">
            <w:pPr>
              <w:pStyle w:val="7"/>
              <w:spacing w:before="144" w:line="218" w:lineRule="auto"/>
              <w:ind w:left="173"/>
            </w:pPr>
            <w:r>
              <w:rPr>
                <w:b/>
                <w:bCs/>
                <w:spacing w:val="-11"/>
              </w:rPr>
              <w:t>序号</w:t>
            </w:r>
          </w:p>
        </w:tc>
        <w:tc>
          <w:tcPr>
            <w:tcW w:w="1521" w:type="dxa"/>
            <w:tcBorders>
              <w:top w:val="single" w:color="000000" w:sz="4" w:space="0"/>
            </w:tcBorders>
            <w:shd w:val="clear" w:color="auto" w:fill="DEEAF6"/>
            <w:vAlign w:val="top"/>
          </w:tcPr>
          <w:p w14:paraId="6408938A">
            <w:pPr>
              <w:pStyle w:val="7"/>
              <w:spacing w:before="143" w:line="220" w:lineRule="auto"/>
              <w:ind w:left="342"/>
            </w:pPr>
            <w:r>
              <w:rPr>
                <w:b/>
                <w:bCs/>
                <w:spacing w:val="-21"/>
              </w:rPr>
              <w:t>管理方面</w:t>
            </w:r>
          </w:p>
        </w:tc>
        <w:tc>
          <w:tcPr>
            <w:tcW w:w="6279" w:type="dxa"/>
            <w:tcBorders>
              <w:top w:val="single" w:color="5B9BD5" w:sz="4" w:space="0"/>
              <w:right w:val="single" w:color="5B9BD5" w:sz="4" w:space="0"/>
            </w:tcBorders>
            <w:shd w:val="clear" w:color="auto" w:fill="DEEAF6"/>
            <w:vAlign w:val="top"/>
          </w:tcPr>
          <w:p w14:paraId="0650EBD3">
            <w:pPr>
              <w:pStyle w:val="7"/>
              <w:spacing w:before="144" w:line="218" w:lineRule="auto"/>
              <w:ind w:left="2709"/>
            </w:pPr>
            <w:r>
              <w:rPr>
                <w:b/>
                <w:bCs/>
                <w:spacing w:val="-19"/>
              </w:rPr>
              <w:t>具体措施</w:t>
            </w:r>
          </w:p>
        </w:tc>
      </w:tr>
      <w:tr w14:paraId="0E17C5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94" w:hRule="atLeast"/>
        </w:trPr>
        <w:tc>
          <w:tcPr>
            <w:tcW w:w="754" w:type="dxa"/>
            <w:gridSpan w:val="2"/>
            <w:tcBorders>
              <w:left w:val="single" w:color="000000" w:sz="4" w:space="0"/>
            </w:tcBorders>
            <w:vAlign w:val="top"/>
          </w:tcPr>
          <w:p w14:paraId="22C74D96">
            <w:pPr>
              <w:spacing w:line="247" w:lineRule="auto"/>
              <w:rPr>
                <w:rFonts w:ascii="Arial"/>
                <w:sz w:val="21"/>
              </w:rPr>
            </w:pPr>
          </w:p>
          <w:p w14:paraId="61223FAA">
            <w:pPr>
              <w:spacing w:line="248" w:lineRule="auto"/>
              <w:rPr>
                <w:rFonts w:ascii="Arial"/>
                <w:sz w:val="21"/>
              </w:rPr>
            </w:pPr>
          </w:p>
          <w:p w14:paraId="48A115A5">
            <w:pPr>
              <w:spacing w:line="248" w:lineRule="auto"/>
              <w:rPr>
                <w:rFonts w:ascii="Arial"/>
                <w:sz w:val="21"/>
              </w:rPr>
            </w:pPr>
          </w:p>
          <w:p w14:paraId="750AA0EC">
            <w:pPr>
              <w:pStyle w:val="7"/>
              <w:spacing w:before="78" w:line="238" w:lineRule="auto"/>
              <w:ind w:left="347"/>
            </w:pPr>
            <w:r>
              <w:t>1</w:t>
            </w:r>
          </w:p>
        </w:tc>
        <w:tc>
          <w:tcPr>
            <w:tcW w:w="1521" w:type="dxa"/>
            <w:vAlign w:val="top"/>
          </w:tcPr>
          <w:p w14:paraId="60510D07">
            <w:pPr>
              <w:spacing w:line="256" w:lineRule="auto"/>
              <w:rPr>
                <w:rFonts w:ascii="Arial"/>
                <w:sz w:val="21"/>
              </w:rPr>
            </w:pPr>
          </w:p>
          <w:p w14:paraId="0722048B">
            <w:pPr>
              <w:spacing w:line="256" w:lineRule="auto"/>
              <w:rPr>
                <w:rFonts w:ascii="Arial"/>
                <w:sz w:val="21"/>
              </w:rPr>
            </w:pPr>
          </w:p>
          <w:p w14:paraId="0FA02974">
            <w:pPr>
              <w:pStyle w:val="7"/>
              <w:spacing w:before="78" w:line="217" w:lineRule="auto"/>
              <w:ind w:left="115"/>
            </w:pPr>
            <w:r>
              <w:rPr>
                <w:spacing w:val="-18"/>
              </w:rPr>
              <w:t>严格控制施工</w:t>
            </w:r>
          </w:p>
          <w:p w14:paraId="07ADF066">
            <w:pPr>
              <w:pStyle w:val="7"/>
              <w:spacing w:before="183" w:line="218" w:lineRule="auto"/>
              <w:ind w:left="560"/>
            </w:pPr>
            <w:r>
              <w:rPr>
                <w:spacing w:val="-12"/>
              </w:rPr>
              <w:t>噪音</w:t>
            </w:r>
          </w:p>
        </w:tc>
        <w:tc>
          <w:tcPr>
            <w:tcW w:w="6279" w:type="dxa"/>
            <w:tcBorders>
              <w:right w:val="single" w:color="000000" w:sz="4" w:space="0"/>
            </w:tcBorders>
            <w:vAlign w:val="top"/>
          </w:tcPr>
          <w:p w14:paraId="15AC31D9">
            <w:pPr>
              <w:pStyle w:val="7"/>
              <w:spacing w:before="124" w:line="217" w:lineRule="auto"/>
              <w:ind w:left="859"/>
            </w:pPr>
            <w:r>
              <w:rPr>
                <w:spacing w:val="-21"/>
              </w:rPr>
              <w:t>选用低噪音的施工工艺、施工方法和施工机械。</w:t>
            </w:r>
          </w:p>
          <w:p w14:paraId="2A969475">
            <w:pPr>
              <w:pStyle w:val="7"/>
              <w:spacing w:before="186" w:line="215" w:lineRule="auto"/>
              <w:ind w:left="99"/>
            </w:pPr>
            <w:r>
              <w:rPr>
                <w:spacing w:val="-21"/>
              </w:rPr>
              <w:t>合理安排作业时间，在夜间避免进行噪音较</w:t>
            </w:r>
            <w:r>
              <w:rPr>
                <w:spacing w:val="-22"/>
              </w:rPr>
              <w:t>大的工作。夜间车辆</w:t>
            </w:r>
          </w:p>
          <w:p w14:paraId="05099C9F">
            <w:pPr>
              <w:pStyle w:val="7"/>
              <w:spacing w:before="185" w:line="217" w:lineRule="auto"/>
              <w:ind w:left="117"/>
            </w:pPr>
            <w:r>
              <w:rPr>
                <w:spacing w:val="-23"/>
              </w:rPr>
              <w:t>出入不准猛踩油门，不准鸣笛。加强对工人教育，施工中做到文</w:t>
            </w:r>
          </w:p>
          <w:p w14:paraId="51EAD9AA">
            <w:pPr>
              <w:pStyle w:val="7"/>
              <w:spacing w:before="186" w:line="218" w:lineRule="auto"/>
              <w:ind w:left="1416"/>
            </w:pPr>
            <w:r>
              <w:rPr>
                <w:spacing w:val="-22"/>
              </w:rPr>
              <w:t>明施工，尤其是夜间不准大声喧哗。</w:t>
            </w:r>
          </w:p>
        </w:tc>
      </w:tr>
      <w:tr w14:paraId="03FBAC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25" w:hRule="atLeast"/>
        </w:trPr>
        <w:tc>
          <w:tcPr>
            <w:tcW w:w="754" w:type="dxa"/>
            <w:gridSpan w:val="2"/>
            <w:tcBorders>
              <w:left w:val="single" w:color="000000" w:sz="4" w:space="0"/>
            </w:tcBorders>
            <w:vAlign w:val="top"/>
          </w:tcPr>
          <w:p w14:paraId="09B52B1A">
            <w:pPr>
              <w:spacing w:line="251" w:lineRule="auto"/>
              <w:rPr>
                <w:rFonts w:ascii="Arial"/>
                <w:sz w:val="21"/>
              </w:rPr>
            </w:pPr>
          </w:p>
          <w:p w14:paraId="370926A4">
            <w:pPr>
              <w:spacing w:line="252" w:lineRule="auto"/>
              <w:rPr>
                <w:rFonts w:ascii="Arial"/>
                <w:sz w:val="21"/>
              </w:rPr>
            </w:pPr>
          </w:p>
          <w:p w14:paraId="1BEEF636">
            <w:pPr>
              <w:pStyle w:val="7"/>
              <w:spacing w:before="78" w:line="238" w:lineRule="auto"/>
              <w:ind w:left="332"/>
            </w:pPr>
            <w:r>
              <w:t>2</w:t>
            </w:r>
          </w:p>
        </w:tc>
        <w:tc>
          <w:tcPr>
            <w:tcW w:w="1521" w:type="dxa"/>
            <w:vAlign w:val="top"/>
          </w:tcPr>
          <w:p w14:paraId="7F49151C">
            <w:pPr>
              <w:spacing w:line="251" w:lineRule="auto"/>
              <w:rPr>
                <w:rFonts w:ascii="Arial"/>
                <w:sz w:val="21"/>
              </w:rPr>
            </w:pPr>
          </w:p>
          <w:p w14:paraId="4B73C704">
            <w:pPr>
              <w:spacing w:line="251" w:lineRule="auto"/>
              <w:rPr>
                <w:rFonts w:ascii="Arial"/>
                <w:sz w:val="21"/>
              </w:rPr>
            </w:pPr>
          </w:p>
          <w:p w14:paraId="5107331E">
            <w:pPr>
              <w:pStyle w:val="7"/>
              <w:spacing w:before="78" w:line="216" w:lineRule="auto"/>
              <w:ind w:left="120"/>
            </w:pPr>
            <w:r>
              <w:rPr>
                <w:spacing w:val="-19"/>
              </w:rPr>
              <w:t>合理堆放材料</w:t>
            </w:r>
          </w:p>
        </w:tc>
        <w:tc>
          <w:tcPr>
            <w:tcW w:w="6279" w:type="dxa"/>
            <w:tcBorders>
              <w:right w:val="single" w:color="000000" w:sz="4" w:space="0"/>
            </w:tcBorders>
            <w:vAlign w:val="top"/>
          </w:tcPr>
          <w:p w14:paraId="7CB12015">
            <w:pPr>
              <w:pStyle w:val="7"/>
              <w:spacing w:before="118" w:line="216" w:lineRule="auto"/>
              <w:ind w:left="92"/>
            </w:pPr>
            <w:r>
              <w:rPr>
                <w:spacing w:val="-21"/>
              </w:rPr>
              <w:t>施工所需的材料、机械必须按施工平面布置图进行排放。现场堆</w:t>
            </w:r>
          </w:p>
          <w:p w14:paraId="580690AE">
            <w:pPr>
              <w:pStyle w:val="7"/>
              <w:spacing w:before="184" w:line="216" w:lineRule="auto"/>
              <w:ind w:left="92"/>
            </w:pPr>
            <w:r>
              <w:rPr>
                <w:spacing w:val="-21"/>
              </w:rPr>
              <w:t>料要分种类、规格挂牌堆放整齐，不准占用公共循环通道及妨碍</w:t>
            </w:r>
          </w:p>
          <w:p w14:paraId="3B49667C">
            <w:pPr>
              <w:pStyle w:val="7"/>
              <w:spacing w:before="187" w:line="220" w:lineRule="auto"/>
              <w:ind w:left="2823"/>
            </w:pPr>
            <w:r>
              <w:rPr>
                <w:spacing w:val="-15"/>
              </w:rPr>
              <w:t>交通。</w:t>
            </w:r>
          </w:p>
        </w:tc>
      </w:tr>
      <w:tr w14:paraId="796F36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27" w:hRule="atLeast"/>
        </w:trPr>
        <w:tc>
          <w:tcPr>
            <w:tcW w:w="754" w:type="dxa"/>
            <w:gridSpan w:val="2"/>
            <w:tcBorders>
              <w:left w:val="single" w:color="000000" w:sz="4" w:space="0"/>
            </w:tcBorders>
            <w:vAlign w:val="top"/>
          </w:tcPr>
          <w:p w14:paraId="222BAFD8">
            <w:pPr>
              <w:spacing w:line="249" w:lineRule="auto"/>
              <w:rPr>
                <w:rFonts w:ascii="Arial"/>
                <w:sz w:val="21"/>
              </w:rPr>
            </w:pPr>
          </w:p>
          <w:p w14:paraId="26EE3B4C">
            <w:pPr>
              <w:spacing w:line="250" w:lineRule="auto"/>
              <w:rPr>
                <w:rFonts w:ascii="Arial"/>
                <w:sz w:val="21"/>
              </w:rPr>
            </w:pPr>
          </w:p>
          <w:p w14:paraId="287C5882">
            <w:pPr>
              <w:pStyle w:val="7"/>
              <w:spacing w:before="78" w:line="237" w:lineRule="auto"/>
              <w:ind w:left="334"/>
            </w:pPr>
            <w:r>
              <w:t>3</w:t>
            </w:r>
          </w:p>
        </w:tc>
        <w:tc>
          <w:tcPr>
            <w:tcW w:w="1521" w:type="dxa"/>
            <w:vAlign w:val="top"/>
          </w:tcPr>
          <w:p w14:paraId="6553D854">
            <w:pPr>
              <w:spacing w:line="265" w:lineRule="auto"/>
              <w:rPr>
                <w:rFonts w:ascii="Arial"/>
                <w:sz w:val="21"/>
              </w:rPr>
            </w:pPr>
          </w:p>
          <w:p w14:paraId="0F32325F">
            <w:pPr>
              <w:pStyle w:val="7"/>
              <w:spacing w:before="78" w:line="219" w:lineRule="auto"/>
              <w:ind w:left="112"/>
            </w:pPr>
            <w:r>
              <w:rPr>
                <w:spacing w:val="-18"/>
              </w:rPr>
              <w:t>加强现场卫生</w:t>
            </w:r>
          </w:p>
          <w:p w14:paraId="02652320">
            <w:pPr>
              <w:pStyle w:val="7"/>
              <w:spacing w:before="182" w:line="220" w:lineRule="auto"/>
              <w:ind w:left="563"/>
            </w:pPr>
            <w:r>
              <w:rPr>
                <w:spacing w:val="-13"/>
              </w:rPr>
              <w:t>管理</w:t>
            </w:r>
          </w:p>
        </w:tc>
        <w:tc>
          <w:tcPr>
            <w:tcW w:w="6279" w:type="dxa"/>
            <w:tcBorders>
              <w:right w:val="single" w:color="000000" w:sz="4" w:space="0"/>
            </w:tcBorders>
            <w:vAlign w:val="top"/>
          </w:tcPr>
          <w:p w14:paraId="092E8E7B">
            <w:pPr>
              <w:pStyle w:val="7"/>
              <w:spacing w:before="112" w:line="217" w:lineRule="auto"/>
              <w:ind w:left="1181"/>
            </w:pPr>
            <w:r>
              <w:rPr>
                <w:spacing w:val="-21"/>
              </w:rPr>
              <w:t>设置专职保洁人员，保持现场干净清洁。</w:t>
            </w:r>
          </w:p>
          <w:p w14:paraId="4B767137">
            <w:pPr>
              <w:pStyle w:val="7"/>
              <w:spacing w:before="186" w:line="215" w:lineRule="auto"/>
              <w:ind w:left="94"/>
            </w:pPr>
            <w:r>
              <w:rPr>
                <w:spacing w:val="-21"/>
              </w:rPr>
              <w:t>在现场合理设置建筑垃圾回收点，要求及督促各单位做</w:t>
            </w:r>
            <w:r>
              <w:rPr>
                <w:spacing w:val="-22"/>
              </w:rPr>
              <w:t>好垃圾清</w:t>
            </w:r>
          </w:p>
          <w:p w14:paraId="3E9FCB59">
            <w:pPr>
              <w:pStyle w:val="7"/>
              <w:spacing w:before="185" w:line="216" w:lineRule="auto"/>
              <w:ind w:left="1729"/>
            </w:pPr>
            <w:r>
              <w:rPr>
                <w:spacing w:val="-20"/>
              </w:rPr>
              <w:t>理及建筑材料堆放相关工作。</w:t>
            </w:r>
          </w:p>
        </w:tc>
      </w:tr>
      <w:tr w14:paraId="14085C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5" w:hRule="atLeast"/>
        </w:trPr>
        <w:tc>
          <w:tcPr>
            <w:tcW w:w="190" w:type="dxa"/>
            <w:tcBorders>
              <w:left w:val="single" w:color="1C456A" w:sz="4" w:space="0"/>
              <w:bottom w:val="single" w:color="1C456A" w:sz="4" w:space="0"/>
              <w:right w:val="nil"/>
            </w:tcBorders>
            <w:vAlign w:val="top"/>
          </w:tcPr>
          <w:p w14:paraId="7EEF0393">
            <w:pPr>
              <w:rPr>
                <w:rFonts w:ascii="Arial"/>
                <w:sz w:val="21"/>
              </w:rPr>
            </w:pPr>
            <w:r>
              <w:pict>
                <v:shape id="_x0000_s3316" o:spid="_x0000_s3316" style="position:absolute;left:0pt;margin-left:-0.25pt;margin-top:54.75pt;height:0.75pt;width:2.2pt;mso-position-horizontal-relative:page;mso-position-vertical-relative:page;z-index:251996160;mso-width-relative:page;mso-height-relative:page;" fillcolor="#5B9BD5" filled="t" stroked="f" coordsize="44,15" path="m0,14l43,14,43,0,0,0,0,14xe">
                  <v:path/>
                  <v:fill on="t" focussize="0,0"/>
                  <v:stroke on="f"/>
                  <v:imagedata o:title=""/>
                  <o:lock v:ext="edit"/>
                </v:shape>
              </w:pict>
            </w:r>
          </w:p>
        </w:tc>
        <w:tc>
          <w:tcPr>
            <w:tcW w:w="564" w:type="dxa"/>
            <w:tcBorders>
              <w:left w:val="nil"/>
              <w:bottom w:val="single" w:color="1C456A" w:sz="4" w:space="0"/>
            </w:tcBorders>
            <w:vAlign w:val="top"/>
          </w:tcPr>
          <w:p w14:paraId="60E15FB1">
            <w:pPr>
              <w:spacing w:line="260" w:lineRule="auto"/>
              <w:rPr>
                <w:rFonts w:ascii="Arial"/>
                <w:sz w:val="21"/>
              </w:rPr>
            </w:pPr>
          </w:p>
          <w:p w14:paraId="608E9F79">
            <w:pPr>
              <w:pStyle w:val="7"/>
              <w:spacing w:before="78" w:line="238" w:lineRule="auto"/>
              <w:ind w:left="143"/>
            </w:pPr>
            <w:r>
              <w:t>4</w:t>
            </w:r>
          </w:p>
        </w:tc>
        <w:tc>
          <w:tcPr>
            <w:tcW w:w="1521" w:type="dxa"/>
            <w:tcBorders>
              <w:bottom w:val="single" w:color="000000" w:sz="4" w:space="0"/>
            </w:tcBorders>
            <w:vAlign w:val="top"/>
          </w:tcPr>
          <w:p w14:paraId="7971C613">
            <w:pPr>
              <w:pStyle w:val="7"/>
              <w:spacing w:before="104" w:line="217" w:lineRule="auto"/>
              <w:ind w:left="115"/>
            </w:pPr>
            <w:r>
              <w:rPr>
                <w:spacing w:val="-18"/>
              </w:rPr>
              <w:t>严格履行工完</w:t>
            </w:r>
          </w:p>
          <w:p w14:paraId="52F1DDE3">
            <w:pPr>
              <w:pStyle w:val="7"/>
              <w:spacing w:before="186" w:line="218" w:lineRule="auto"/>
              <w:ind w:left="551"/>
            </w:pPr>
            <w:r>
              <w:rPr>
                <w:spacing w:val="-10"/>
              </w:rPr>
              <w:t>场清</w:t>
            </w:r>
          </w:p>
        </w:tc>
        <w:tc>
          <w:tcPr>
            <w:tcW w:w="6279" w:type="dxa"/>
            <w:tcBorders>
              <w:bottom w:val="single" w:color="5B9BD5" w:sz="4" w:space="0"/>
              <w:right w:val="single" w:color="5B9BD5" w:sz="4" w:space="0"/>
            </w:tcBorders>
            <w:vAlign w:val="top"/>
          </w:tcPr>
          <w:p w14:paraId="2A925CFD">
            <w:pPr>
              <w:pStyle w:val="7"/>
              <w:spacing w:before="104" w:line="215" w:lineRule="auto"/>
              <w:jc w:val="right"/>
            </w:pPr>
            <w:r>
              <w:pict>
                <v:shape id="_x0000_s3317" o:spid="_x0000_s3317" style="position:absolute;left:0pt;margin-left:312.1pt;margin-top:54.75pt;height:0.75pt;width:2.2pt;mso-position-horizontal-relative:page;mso-position-vertical-relative:page;z-index:251997184;mso-width-relative:page;mso-height-relative:page;" fillcolor="#5B9BD5" filled="t" stroked="f" coordsize="44,15" path="m0,14l43,14,43,0,0,0,0,14xe">
                  <v:path/>
                  <v:fill on="t" focussize="0,0"/>
                  <v:stroke on="f"/>
                  <v:imagedata o:title=""/>
                  <o:lock v:ext="edit"/>
                </v:shape>
              </w:pict>
            </w:r>
            <w:r>
              <w:rPr>
                <w:spacing w:val="-33"/>
              </w:rPr>
              <w:t>在施工过程中，严格要求各作业班组做到“</w:t>
            </w:r>
            <w:r>
              <w:rPr>
                <w:spacing w:val="-34"/>
              </w:rPr>
              <w:t>工完、料尽、场地净”。</w:t>
            </w:r>
          </w:p>
          <w:p w14:paraId="0BF26F08">
            <w:pPr>
              <w:pStyle w:val="7"/>
              <w:spacing w:before="187" w:line="217" w:lineRule="auto"/>
              <w:ind w:left="1946"/>
            </w:pPr>
            <w:r>
              <w:rPr>
                <w:spacing w:val="-20"/>
              </w:rPr>
              <w:t>保持施工现场干净清洁。</w:t>
            </w:r>
          </w:p>
        </w:tc>
      </w:tr>
    </w:tbl>
    <w:p w14:paraId="48D62931">
      <w:pPr>
        <w:pStyle w:val="2"/>
        <w:spacing w:before="115" w:line="218" w:lineRule="auto"/>
        <w:ind w:left="1890"/>
        <w:rPr>
          <w:sz w:val="24"/>
          <w:szCs w:val="24"/>
        </w:rPr>
      </w:pPr>
      <w:r>
        <w:rPr>
          <w:spacing w:val="-16"/>
          <w:sz w:val="24"/>
          <w:szCs w:val="24"/>
        </w:rPr>
        <w:t>3、工完场清</w:t>
      </w:r>
    </w:p>
    <w:p w14:paraId="3099AE8D">
      <w:pPr>
        <w:pStyle w:val="2"/>
        <w:spacing w:before="115" w:line="215" w:lineRule="auto"/>
        <w:ind w:left="1895"/>
        <w:rPr>
          <w:sz w:val="24"/>
          <w:szCs w:val="24"/>
        </w:rPr>
      </w:pPr>
      <w:r>
        <w:rPr>
          <w:spacing w:val="-22"/>
          <w:sz w:val="24"/>
          <w:szCs w:val="24"/>
        </w:rPr>
        <w:t>在施工过程中，严格要求各作业班组做到“工完、料尽、场地清”。</w:t>
      </w:r>
    </w:p>
    <w:p w14:paraId="380BF0FE">
      <w:pPr>
        <w:pStyle w:val="2"/>
        <w:spacing w:before="121" w:line="262" w:lineRule="auto"/>
        <w:ind w:left="1462" w:right="1427" w:firstLine="465"/>
        <w:rPr>
          <w:sz w:val="24"/>
          <w:szCs w:val="24"/>
        </w:rPr>
      </w:pPr>
      <w:r>
        <w:rPr>
          <w:spacing w:val="-23"/>
          <w:sz w:val="24"/>
          <w:szCs w:val="24"/>
        </w:rPr>
        <w:t>(1)明确合同责任。各专业班组和分包单位在签订工程分包合同时，应明确现场落手清管理</w:t>
      </w:r>
      <w:r>
        <w:rPr>
          <w:spacing w:val="-21"/>
          <w:sz w:val="24"/>
          <w:szCs w:val="24"/>
        </w:rPr>
        <w:t>工作目标和违约责任，订立奖罚条款，奖优罚</w:t>
      </w:r>
      <w:r>
        <w:rPr>
          <w:spacing w:val="-22"/>
          <w:sz w:val="24"/>
          <w:szCs w:val="24"/>
        </w:rPr>
        <w:t>劣。</w:t>
      </w:r>
    </w:p>
    <w:p w14:paraId="12CDD354">
      <w:pPr>
        <w:pStyle w:val="2"/>
        <w:spacing w:before="117" w:line="278" w:lineRule="auto"/>
        <w:ind w:left="1457" w:right="1410" w:firstLine="470"/>
        <w:rPr>
          <w:sz w:val="24"/>
          <w:szCs w:val="24"/>
        </w:rPr>
      </w:pPr>
      <w:r>
        <w:rPr>
          <w:spacing w:val="-22"/>
          <w:sz w:val="24"/>
          <w:szCs w:val="24"/>
        </w:rPr>
        <w:t>(2)各班组和工人进行技术交底时，应将施工现场落手</w:t>
      </w:r>
      <w:r>
        <w:rPr>
          <w:spacing w:val="-23"/>
          <w:sz w:val="24"/>
          <w:szCs w:val="24"/>
        </w:rPr>
        <w:t>清管理的具体要求做为重要内容，明</w:t>
      </w:r>
      <w:r>
        <w:rPr>
          <w:spacing w:val="-20"/>
          <w:sz w:val="24"/>
          <w:szCs w:val="24"/>
        </w:rPr>
        <w:t>确每项工作的工艺程序，项目经理部派专人对各楼层进行清扫、检查，使每个已施工完的结构</w:t>
      </w:r>
      <w:r>
        <w:rPr>
          <w:spacing w:val="-21"/>
          <w:sz w:val="24"/>
          <w:szCs w:val="24"/>
        </w:rPr>
        <w:t>面清洁；垃圾清理至各层垃圾废品堆放点，收工前</w:t>
      </w:r>
    </w:p>
    <w:p w14:paraId="260B9984">
      <w:pPr>
        <w:pStyle w:val="2"/>
        <w:spacing w:before="117" w:line="215" w:lineRule="auto"/>
        <w:ind w:left="1894"/>
        <w:rPr>
          <w:sz w:val="24"/>
          <w:szCs w:val="24"/>
        </w:rPr>
      </w:pPr>
      <w:r>
        <w:rPr>
          <w:spacing w:val="-19"/>
          <w:sz w:val="24"/>
          <w:szCs w:val="24"/>
        </w:rPr>
        <w:t>倒运至垃圾废品集中处理点，并在24小时内移出工地。</w:t>
      </w:r>
    </w:p>
    <w:p w14:paraId="2F9BE979">
      <w:pPr>
        <w:pStyle w:val="2"/>
        <w:spacing w:before="121" w:line="216" w:lineRule="auto"/>
        <w:ind w:left="1927"/>
        <w:rPr>
          <w:sz w:val="24"/>
          <w:szCs w:val="24"/>
        </w:rPr>
      </w:pPr>
      <w:r>
        <w:rPr>
          <w:spacing w:val="-22"/>
          <w:sz w:val="24"/>
          <w:szCs w:val="24"/>
        </w:rPr>
        <w:t>(3)施工现场全员管理，项目现场施工员、材料员、安全员应把落手清监督工作做为工作内</w:t>
      </w:r>
    </w:p>
    <w:p w14:paraId="5B9CF49E">
      <w:pPr>
        <w:spacing w:line="216" w:lineRule="auto"/>
        <w:rPr>
          <w:sz w:val="24"/>
          <w:szCs w:val="24"/>
        </w:rPr>
        <w:sectPr>
          <w:footerReference r:id="rId167" w:type="default"/>
          <w:pgSz w:w="11907" w:h="16839"/>
          <w:pgMar w:top="954" w:right="4" w:bottom="1038" w:left="0" w:header="499" w:footer="357" w:gutter="0"/>
          <w:pgBorders>
            <w:top w:val="none" w:sz="0" w:space="0"/>
            <w:left w:val="none" w:sz="0" w:space="0"/>
            <w:bottom w:val="none" w:sz="0" w:space="0"/>
            <w:right w:val="none" w:sz="0" w:space="0"/>
          </w:pgBorders>
          <w:cols w:space="720" w:num="1"/>
        </w:sectPr>
      </w:pPr>
    </w:p>
    <w:p w14:paraId="6FA7B70E">
      <w:pPr>
        <w:spacing w:line="250" w:lineRule="auto"/>
        <w:rPr>
          <w:rFonts w:ascii="Arial"/>
          <w:sz w:val="21"/>
        </w:rPr>
      </w:pPr>
    </w:p>
    <w:p w14:paraId="12DBBE2D">
      <w:pPr>
        <w:pStyle w:val="2"/>
        <w:spacing w:before="78" w:line="216" w:lineRule="auto"/>
        <w:ind w:left="1459"/>
        <w:rPr>
          <w:sz w:val="24"/>
          <w:szCs w:val="24"/>
        </w:rPr>
      </w:pPr>
      <w:r>
        <w:rPr>
          <w:spacing w:val="-22"/>
          <w:sz w:val="24"/>
          <w:szCs w:val="24"/>
        </w:rPr>
        <w:t>容之一，认真监督并记录各专项落手清工作情况，作为班组考核的依据。</w:t>
      </w:r>
    </w:p>
    <w:p w14:paraId="379BD8BA">
      <w:pPr>
        <w:pStyle w:val="2"/>
        <w:spacing w:before="120" w:line="216" w:lineRule="auto"/>
        <w:ind w:left="1927"/>
        <w:rPr>
          <w:sz w:val="24"/>
          <w:szCs w:val="24"/>
        </w:rPr>
      </w:pPr>
      <w:r>
        <w:rPr>
          <w:spacing w:val="-21"/>
          <w:sz w:val="24"/>
          <w:szCs w:val="24"/>
        </w:rPr>
        <w:t>(4)组织班组及有关人员学习落手清管理的先进措施，</w:t>
      </w:r>
      <w:r>
        <w:rPr>
          <w:spacing w:val="-22"/>
          <w:sz w:val="24"/>
          <w:szCs w:val="24"/>
        </w:rPr>
        <w:t>并广纳合理化建议。</w:t>
      </w:r>
    </w:p>
    <w:p w14:paraId="53808436">
      <w:pPr>
        <w:pStyle w:val="2"/>
        <w:spacing w:before="82" w:line="217" w:lineRule="auto"/>
        <w:ind w:left="1981"/>
        <w:outlineLvl w:val="2"/>
        <w:rPr>
          <w:sz w:val="28"/>
          <w:szCs w:val="28"/>
        </w:rPr>
      </w:pPr>
      <w:bookmarkStart w:id="115" w:name="bookmark110"/>
      <w:bookmarkEnd w:id="115"/>
      <w:r>
        <w:rPr>
          <w:b/>
          <w:bCs/>
          <w:spacing w:val="-23"/>
          <w:sz w:val="28"/>
          <w:szCs w:val="28"/>
        </w:rPr>
        <w:t>五、现场文明施工保证措施</w:t>
      </w:r>
    </w:p>
    <w:p w14:paraId="1B47B6AA">
      <w:pPr>
        <w:pStyle w:val="2"/>
        <w:spacing w:before="106" w:line="216" w:lineRule="auto"/>
        <w:ind w:left="1903"/>
        <w:rPr>
          <w:sz w:val="24"/>
          <w:szCs w:val="24"/>
        </w:rPr>
      </w:pPr>
      <w:r>
        <w:rPr>
          <w:spacing w:val="-20"/>
          <w:sz w:val="24"/>
          <w:szCs w:val="24"/>
        </w:rPr>
        <w:t>1、场内标语、标志及室外布置</w:t>
      </w:r>
    </w:p>
    <w:p w14:paraId="7921845A">
      <w:pPr>
        <w:spacing w:line="51" w:lineRule="auto"/>
        <w:rPr>
          <w:rFonts w:ascii="Arial"/>
          <w:sz w:val="2"/>
        </w:rPr>
      </w:pPr>
    </w:p>
    <w:tbl>
      <w:tblPr>
        <w:tblStyle w:val="6"/>
        <w:tblW w:w="9673" w:type="dxa"/>
        <w:tblInd w:w="1116"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08"/>
        <w:gridCol w:w="600"/>
        <w:gridCol w:w="8865"/>
      </w:tblGrid>
      <w:tr w14:paraId="71BF1F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0" w:hRule="atLeast"/>
        </w:trPr>
        <w:tc>
          <w:tcPr>
            <w:tcW w:w="808" w:type="dxa"/>
            <w:gridSpan w:val="2"/>
            <w:tcBorders>
              <w:top w:val="single" w:color="000000" w:sz="4" w:space="0"/>
              <w:left w:val="single" w:color="000000" w:sz="4" w:space="0"/>
            </w:tcBorders>
            <w:shd w:val="clear" w:color="auto" w:fill="DEEAF6"/>
            <w:vAlign w:val="top"/>
          </w:tcPr>
          <w:p w14:paraId="4C327760">
            <w:pPr>
              <w:pStyle w:val="7"/>
              <w:spacing w:before="127" w:line="218" w:lineRule="auto"/>
              <w:ind w:left="200"/>
            </w:pPr>
            <w:r>
              <w:rPr>
                <w:b/>
                <w:bCs/>
                <w:spacing w:val="-12"/>
              </w:rPr>
              <w:t>序号</w:t>
            </w:r>
          </w:p>
        </w:tc>
        <w:tc>
          <w:tcPr>
            <w:tcW w:w="8865" w:type="dxa"/>
            <w:tcBorders>
              <w:top w:val="single" w:color="5B9BD5" w:sz="4" w:space="0"/>
              <w:right w:val="single" w:color="5B9BD5" w:sz="4" w:space="0"/>
            </w:tcBorders>
            <w:shd w:val="clear" w:color="auto" w:fill="DEEAF6"/>
            <w:vAlign w:val="top"/>
          </w:tcPr>
          <w:p w14:paraId="40BE5495">
            <w:pPr>
              <w:pStyle w:val="7"/>
              <w:spacing w:before="127" w:line="218" w:lineRule="auto"/>
              <w:ind w:left="4246"/>
            </w:pPr>
            <w:r>
              <w:rPr>
                <w:b/>
                <w:bCs/>
                <w:spacing w:val="-20"/>
              </w:rPr>
              <w:t>内容</w:t>
            </w:r>
          </w:p>
        </w:tc>
      </w:tr>
      <w:tr w14:paraId="79D0C3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7" w:hRule="atLeast"/>
        </w:trPr>
        <w:tc>
          <w:tcPr>
            <w:tcW w:w="808" w:type="dxa"/>
            <w:gridSpan w:val="2"/>
            <w:tcBorders>
              <w:left w:val="single" w:color="000000" w:sz="4" w:space="0"/>
            </w:tcBorders>
            <w:vAlign w:val="top"/>
          </w:tcPr>
          <w:p w14:paraId="1EBD56B3">
            <w:pPr>
              <w:pStyle w:val="7"/>
              <w:spacing w:before="125" w:line="238" w:lineRule="auto"/>
              <w:ind w:left="376"/>
            </w:pPr>
            <w:r>
              <w:t>1</w:t>
            </w:r>
          </w:p>
        </w:tc>
        <w:tc>
          <w:tcPr>
            <w:tcW w:w="8865" w:type="dxa"/>
            <w:tcBorders>
              <w:right w:val="single" w:color="000000" w:sz="4" w:space="0"/>
            </w:tcBorders>
            <w:vAlign w:val="top"/>
          </w:tcPr>
          <w:p w14:paraId="4D363968">
            <w:pPr>
              <w:pStyle w:val="7"/>
              <w:spacing w:before="124" w:line="216" w:lineRule="auto"/>
              <w:ind w:left="80"/>
            </w:pPr>
            <w:r>
              <w:rPr>
                <w:spacing w:val="-21"/>
              </w:rPr>
              <w:t>工地显著部位，脚手架和出入口等处悬挂工作</w:t>
            </w:r>
            <w:r>
              <w:rPr>
                <w:spacing w:val="-22"/>
              </w:rPr>
              <w:t>方针要求的白底蓝字标语及安全生产宣传牌。</w:t>
            </w:r>
          </w:p>
        </w:tc>
      </w:tr>
      <w:tr w14:paraId="6A9774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7" w:hRule="atLeast"/>
        </w:trPr>
        <w:tc>
          <w:tcPr>
            <w:tcW w:w="808" w:type="dxa"/>
            <w:gridSpan w:val="2"/>
            <w:tcBorders>
              <w:left w:val="single" w:color="000000" w:sz="4" w:space="0"/>
            </w:tcBorders>
            <w:vAlign w:val="top"/>
          </w:tcPr>
          <w:p w14:paraId="053C7A38">
            <w:pPr>
              <w:pStyle w:val="7"/>
              <w:spacing w:before="123" w:line="238" w:lineRule="auto"/>
              <w:ind w:left="361"/>
            </w:pPr>
            <w:r>
              <w:t>2</w:t>
            </w:r>
          </w:p>
        </w:tc>
        <w:tc>
          <w:tcPr>
            <w:tcW w:w="8865" w:type="dxa"/>
            <w:tcBorders>
              <w:right w:val="single" w:color="000000" w:sz="4" w:space="0"/>
            </w:tcBorders>
            <w:vAlign w:val="top"/>
          </w:tcPr>
          <w:p w14:paraId="5AD949EE">
            <w:pPr>
              <w:pStyle w:val="7"/>
              <w:spacing w:before="123" w:line="216" w:lineRule="auto"/>
              <w:ind w:left="2478"/>
            </w:pPr>
            <w:r>
              <w:rPr>
                <w:spacing w:val="-21"/>
              </w:rPr>
              <w:t>工地所有人员佩戴统一制作的胸卡上岗。</w:t>
            </w:r>
          </w:p>
        </w:tc>
      </w:tr>
      <w:tr w14:paraId="61C43C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58" w:hRule="atLeast"/>
        </w:trPr>
        <w:tc>
          <w:tcPr>
            <w:tcW w:w="808" w:type="dxa"/>
            <w:gridSpan w:val="2"/>
            <w:tcBorders>
              <w:left w:val="single" w:color="000000" w:sz="4" w:space="0"/>
            </w:tcBorders>
            <w:vAlign w:val="top"/>
          </w:tcPr>
          <w:p w14:paraId="6044ABB7">
            <w:pPr>
              <w:spacing w:line="274" w:lineRule="auto"/>
              <w:rPr>
                <w:rFonts w:ascii="Arial"/>
                <w:sz w:val="21"/>
              </w:rPr>
            </w:pPr>
          </w:p>
          <w:p w14:paraId="4DEDE5E7">
            <w:pPr>
              <w:pStyle w:val="7"/>
              <w:spacing w:before="78" w:line="237" w:lineRule="auto"/>
              <w:ind w:left="363"/>
            </w:pPr>
            <w:r>
              <w:t>3</w:t>
            </w:r>
          </w:p>
        </w:tc>
        <w:tc>
          <w:tcPr>
            <w:tcW w:w="8865" w:type="dxa"/>
            <w:tcBorders>
              <w:right w:val="single" w:color="000000" w:sz="4" w:space="0"/>
            </w:tcBorders>
            <w:vAlign w:val="top"/>
          </w:tcPr>
          <w:p w14:paraId="3E4DCED7">
            <w:pPr>
              <w:pStyle w:val="7"/>
              <w:spacing w:before="121" w:line="216" w:lineRule="auto"/>
              <w:ind w:left="75"/>
            </w:pPr>
            <w:r>
              <w:rPr>
                <w:spacing w:val="-21"/>
              </w:rPr>
              <w:t>项目经理（项目质量安全带班）、生产经理（项目质量安全</w:t>
            </w:r>
            <w:r>
              <w:rPr>
                <w:spacing w:val="-22"/>
              </w:rPr>
              <w:t>带班）、安全总监（安全监督）</w:t>
            </w:r>
          </w:p>
          <w:p w14:paraId="7DDBCA89">
            <w:pPr>
              <w:pStyle w:val="7"/>
              <w:spacing w:before="187" w:line="217" w:lineRule="auto"/>
              <w:ind w:left="2699"/>
            </w:pPr>
            <w:r>
              <w:rPr>
                <w:spacing w:val="-21"/>
              </w:rPr>
              <w:t>等领导职务人员佩戴袖章标志上岗。</w:t>
            </w:r>
          </w:p>
        </w:tc>
      </w:tr>
      <w:tr w14:paraId="268E27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8" w:hRule="atLeast"/>
        </w:trPr>
        <w:tc>
          <w:tcPr>
            <w:tcW w:w="808" w:type="dxa"/>
            <w:gridSpan w:val="2"/>
            <w:tcBorders>
              <w:left w:val="single" w:color="000000" w:sz="4" w:space="0"/>
            </w:tcBorders>
            <w:vAlign w:val="top"/>
          </w:tcPr>
          <w:p w14:paraId="1DDAED9B">
            <w:pPr>
              <w:pStyle w:val="7"/>
              <w:spacing w:before="117" w:line="238" w:lineRule="auto"/>
              <w:ind w:left="357"/>
            </w:pPr>
            <w:r>
              <w:t>4</w:t>
            </w:r>
          </w:p>
        </w:tc>
        <w:tc>
          <w:tcPr>
            <w:tcW w:w="8865" w:type="dxa"/>
            <w:tcBorders>
              <w:right w:val="single" w:color="000000" w:sz="4" w:space="0"/>
            </w:tcBorders>
            <w:vAlign w:val="top"/>
          </w:tcPr>
          <w:p w14:paraId="5CF5B863">
            <w:pPr>
              <w:pStyle w:val="7"/>
              <w:spacing w:before="117" w:line="216" w:lineRule="auto"/>
              <w:ind w:left="1927"/>
            </w:pPr>
            <w:r>
              <w:rPr>
                <w:spacing w:val="-21"/>
              </w:rPr>
              <w:t>现场管理人员和各类操作人员戴规定颜色的安全帽。</w:t>
            </w:r>
          </w:p>
        </w:tc>
      </w:tr>
      <w:tr w14:paraId="7FBD84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57" w:hRule="atLeast"/>
        </w:trPr>
        <w:tc>
          <w:tcPr>
            <w:tcW w:w="808" w:type="dxa"/>
            <w:gridSpan w:val="2"/>
            <w:tcBorders>
              <w:left w:val="single" w:color="000000" w:sz="4" w:space="0"/>
            </w:tcBorders>
            <w:vAlign w:val="top"/>
          </w:tcPr>
          <w:p w14:paraId="2EA20433">
            <w:pPr>
              <w:spacing w:line="267" w:lineRule="auto"/>
              <w:rPr>
                <w:rFonts w:ascii="Arial"/>
                <w:sz w:val="21"/>
              </w:rPr>
            </w:pPr>
          </w:p>
          <w:p w14:paraId="1D2ED925">
            <w:pPr>
              <w:pStyle w:val="7"/>
              <w:spacing w:before="78" w:line="237" w:lineRule="auto"/>
              <w:ind w:left="363"/>
            </w:pPr>
            <w:r>
              <w:t>5</w:t>
            </w:r>
          </w:p>
        </w:tc>
        <w:tc>
          <w:tcPr>
            <w:tcW w:w="8865" w:type="dxa"/>
            <w:tcBorders>
              <w:right w:val="single" w:color="000000" w:sz="4" w:space="0"/>
            </w:tcBorders>
            <w:vAlign w:val="top"/>
          </w:tcPr>
          <w:p w14:paraId="2A10B689">
            <w:pPr>
              <w:pStyle w:val="7"/>
              <w:spacing w:before="115" w:line="215" w:lineRule="auto"/>
              <w:ind w:left="76"/>
            </w:pPr>
            <w:r>
              <w:rPr>
                <w:spacing w:val="-21"/>
              </w:rPr>
              <w:t>在主要施工部位、工作点、危险区，主要道口必须挂有</w:t>
            </w:r>
            <w:r>
              <w:rPr>
                <w:spacing w:val="-22"/>
              </w:rPr>
              <w:t>安全宣传或安全警示牌，楼层主要道</w:t>
            </w:r>
          </w:p>
          <w:p w14:paraId="32A24AD2">
            <w:pPr>
              <w:pStyle w:val="7"/>
              <w:spacing w:before="185" w:line="217" w:lineRule="auto"/>
              <w:ind w:left="1862"/>
            </w:pPr>
            <w:r>
              <w:rPr>
                <w:spacing w:val="-22"/>
              </w:rPr>
              <w:t>口必须悬挂楼层标记（参照安全标志标识方案</w:t>
            </w:r>
            <w:r>
              <w:rPr>
                <w:spacing w:val="-23"/>
              </w:rPr>
              <w:t>执行）。</w:t>
            </w:r>
          </w:p>
        </w:tc>
      </w:tr>
      <w:tr w14:paraId="6362AE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57" w:hRule="atLeast"/>
        </w:trPr>
        <w:tc>
          <w:tcPr>
            <w:tcW w:w="808" w:type="dxa"/>
            <w:gridSpan w:val="2"/>
            <w:tcBorders>
              <w:left w:val="single" w:color="000000" w:sz="4" w:space="0"/>
            </w:tcBorders>
            <w:vAlign w:val="top"/>
          </w:tcPr>
          <w:p w14:paraId="5EC06CAA">
            <w:pPr>
              <w:spacing w:line="264" w:lineRule="auto"/>
              <w:rPr>
                <w:rFonts w:ascii="Arial"/>
                <w:sz w:val="21"/>
              </w:rPr>
            </w:pPr>
          </w:p>
          <w:p w14:paraId="0D3AA411">
            <w:pPr>
              <w:pStyle w:val="7"/>
              <w:spacing w:before="78" w:line="237" w:lineRule="auto"/>
              <w:ind w:left="360"/>
            </w:pPr>
            <w:r>
              <w:t>6</w:t>
            </w:r>
          </w:p>
        </w:tc>
        <w:tc>
          <w:tcPr>
            <w:tcW w:w="8865" w:type="dxa"/>
            <w:tcBorders>
              <w:right w:val="single" w:color="000000" w:sz="4" w:space="0"/>
            </w:tcBorders>
            <w:vAlign w:val="top"/>
          </w:tcPr>
          <w:p w14:paraId="07A6E771">
            <w:pPr>
              <w:pStyle w:val="7"/>
              <w:spacing w:before="110" w:line="217" w:lineRule="auto"/>
              <w:ind w:left="73"/>
            </w:pPr>
            <w:r>
              <w:rPr>
                <w:spacing w:val="-21"/>
              </w:rPr>
              <w:t>现场办公室应悬挂科室标牌，室内粘贴卫生值日牌，物品实行</w:t>
            </w:r>
            <w:r>
              <w:rPr>
                <w:spacing w:val="-22"/>
              </w:rPr>
              <w:t>定置管理。室外设水斗和下水</w:t>
            </w:r>
          </w:p>
          <w:p w14:paraId="30476439">
            <w:pPr>
              <w:pStyle w:val="7"/>
              <w:spacing w:before="183" w:line="220" w:lineRule="auto"/>
              <w:ind w:left="4230"/>
            </w:pPr>
            <w:r>
              <w:rPr>
                <w:spacing w:val="-21"/>
              </w:rPr>
              <w:t>管。</w:t>
            </w:r>
          </w:p>
        </w:tc>
      </w:tr>
      <w:tr w14:paraId="3D6196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6" w:hRule="atLeast"/>
        </w:trPr>
        <w:tc>
          <w:tcPr>
            <w:tcW w:w="208" w:type="dxa"/>
            <w:tcBorders>
              <w:left w:val="single" w:color="1C456A" w:sz="4" w:space="0"/>
              <w:bottom w:val="single" w:color="1C456A" w:sz="4" w:space="0"/>
              <w:right w:val="nil"/>
            </w:tcBorders>
            <w:vAlign w:val="top"/>
          </w:tcPr>
          <w:p w14:paraId="7EAF0D59">
            <w:pPr>
              <w:rPr>
                <w:rFonts w:ascii="Arial"/>
                <w:sz w:val="21"/>
              </w:rPr>
            </w:pPr>
            <w:r>
              <w:pict>
                <v:shape id="_x0000_s3318" o:spid="_x0000_s3318" style="position:absolute;left:0pt;margin-left:-0.25pt;margin-top:54.85pt;height:0.75pt;width:2.2pt;mso-position-horizontal-relative:page;mso-position-vertical-relative:page;z-index:252003328;mso-width-relative:page;mso-height-relative:page;" fillcolor="#5B9BD5" filled="t" stroked="f" coordsize="44,15" path="m0,14l43,14,43,0,0,0,0,14xe">
                  <v:path/>
                  <v:fill on="t" focussize="0,0"/>
                  <v:stroke on="f"/>
                  <v:imagedata o:title=""/>
                  <o:lock v:ext="edit"/>
                </v:shape>
              </w:pict>
            </w:r>
          </w:p>
        </w:tc>
        <w:tc>
          <w:tcPr>
            <w:tcW w:w="600" w:type="dxa"/>
            <w:tcBorders>
              <w:left w:val="nil"/>
              <w:bottom w:val="single" w:color="1C456A" w:sz="4" w:space="0"/>
            </w:tcBorders>
            <w:vAlign w:val="top"/>
          </w:tcPr>
          <w:p w14:paraId="11961786">
            <w:pPr>
              <w:spacing w:line="260" w:lineRule="auto"/>
              <w:rPr>
                <w:rFonts w:ascii="Arial"/>
                <w:sz w:val="21"/>
              </w:rPr>
            </w:pPr>
          </w:p>
          <w:p w14:paraId="28C13D85">
            <w:pPr>
              <w:pStyle w:val="7"/>
              <w:spacing w:before="78" w:line="237" w:lineRule="auto"/>
              <w:ind w:left="161"/>
            </w:pPr>
            <w:r>
              <w:t>7</w:t>
            </w:r>
          </w:p>
        </w:tc>
        <w:tc>
          <w:tcPr>
            <w:tcW w:w="8865" w:type="dxa"/>
            <w:tcBorders>
              <w:bottom w:val="single" w:color="5B9BD5" w:sz="4" w:space="0"/>
              <w:right w:val="single" w:color="5B9BD5" w:sz="4" w:space="0"/>
            </w:tcBorders>
            <w:vAlign w:val="top"/>
          </w:tcPr>
          <w:p w14:paraId="27EFAC4E">
            <w:pPr>
              <w:pStyle w:val="7"/>
              <w:spacing w:before="104" w:line="217" w:lineRule="auto"/>
              <w:ind w:left="75"/>
            </w:pPr>
            <w:r>
              <w:pict>
                <v:shape id="_x0000_s3319" o:spid="_x0000_s3319" style="position:absolute;left:0pt;margin-left:441.4pt;margin-top:54.85pt;height:0.75pt;width:2.2pt;mso-position-horizontal-relative:page;mso-position-vertical-relative:page;z-index:252002304;mso-width-relative:page;mso-height-relative:page;" fillcolor="#5B9BD5" filled="t" stroked="f" coordsize="44,15" path="m0,14l43,14,43,0,0,0,0,14xe">
                  <v:path/>
                  <v:fill on="t" focussize="0,0"/>
                  <v:stroke on="f"/>
                  <v:imagedata o:title=""/>
                  <o:lock v:ext="edit"/>
                </v:shape>
              </w:pict>
            </w:r>
            <w:r>
              <w:rPr>
                <w:spacing w:val="-22"/>
              </w:rPr>
              <w:t>保持整洁，墙上张挂工程方针目标图、组织机构图、质量保证体系图、安全保证体系图、形</w:t>
            </w:r>
          </w:p>
          <w:p w14:paraId="552F22AC">
            <w:pPr>
              <w:pStyle w:val="7"/>
              <w:spacing w:before="186" w:line="219" w:lineRule="auto"/>
              <w:ind w:left="3132"/>
            </w:pPr>
            <w:r>
              <w:rPr>
                <w:spacing w:val="-21"/>
              </w:rPr>
              <w:t>象进度表、气象记录图表。</w:t>
            </w:r>
          </w:p>
        </w:tc>
      </w:tr>
    </w:tbl>
    <w:p w14:paraId="39598E27">
      <w:pPr>
        <w:pStyle w:val="2"/>
        <w:spacing w:before="115" w:line="219" w:lineRule="auto"/>
        <w:ind w:left="1888"/>
        <w:rPr>
          <w:sz w:val="24"/>
          <w:szCs w:val="24"/>
        </w:rPr>
      </w:pPr>
      <w:r>
        <w:rPr>
          <w:spacing w:val="-17"/>
          <w:sz w:val="24"/>
          <w:szCs w:val="24"/>
        </w:rPr>
        <w:t>2、企业形象识别</w:t>
      </w:r>
    </w:p>
    <w:p w14:paraId="6ACCF5BA">
      <w:pPr>
        <w:pStyle w:val="2"/>
        <w:spacing w:before="113" w:line="285" w:lineRule="auto"/>
        <w:ind w:left="1456" w:right="1427" w:firstLine="427"/>
        <w:rPr>
          <w:sz w:val="24"/>
          <w:szCs w:val="24"/>
        </w:rPr>
      </w:pPr>
      <w:r>
        <w:rPr>
          <w:spacing w:val="-20"/>
          <w:sz w:val="24"/>
          <w:szCs w:val="24"/>
        </w:rPr>
        <w:t>CI策划从企业整体出发，对项目全过程按照MI（理念识别）、BI（形象识别）、VI（视觉</w:t>
      </w:r>
      <w:r>
        <w:rPr>
          <w:spacing w:val="-21"/>
          <w:sz w:val="24"/>
          <w:szCs w:val="24"/>
        </w:rPr>
        <w:t>识别）三方面要求进行系统地运作。同时在CI策划基础上积极导入全新的CS（消费者满意）理</w:t>
      </w:r>
      <w:r>
        <w:rPr>
          <w:spacing w:val="-20"/>
          <w:sz w:val="24"/>
          <w:szCs w:val="24"/>
        </w:rPr>
        <w:t>念，牢固树立“业主至上，质量第一”的思想，在业主满意目标中突出为业主提供优质</w:t>
      </w:r>
      <w:r>
        <w:rPr>
          <w:spacing w:val="-21"/>
          <w:sz w:val="24"/>
          <w:szCs w:val="24"/>
        </w:rPr>
        <w:t>产品、</w:t>
      </w:r>
      <w:r>
        <w:rPr>
          <w:spacing w:val="-22"/>
          <w:sz w:val="24"/>
          <w:szCs w:val="24"/>
        </w:rPr>
        <w:t>优质服务及规范施工行为，推动“创建优质工程，争创名牌工程”目标的实现。</w:t>
      </w:r>
    </w:p>
    <w:p w14:paraId="5F86BB4F">
      <w:pPr>
        <w:pStyle w:val="2"/>
        <w:spacing w:before="119" w:line="264" w:lineRule="auto"/>
        <w:ind w:left="1462" w:right="1410" w:firstLine="436"/>
        <w:rPr>
          <w:sz w:val="24"/>
          <w:szCs w:val="24"/>
        </w:rPr>
      </w:pPr>
      <w:r>
        <w:rPr>
          <w:spacing w:val="-19"/>
          <w:sz w:val="24"/>
          <w:szCs w:val="24"/>
        </w:rPr>
        <w:t>工地围挡及现场大门形象设计按照经过业主、监理批准的CI方案进行</w:t>
      </w:r>
      <w:r>
        <w:rPr>
          <w:spacing w:val="-20"/>
          <w:sz w:val="24"/>
          <w:szCs w:val="24"/>
        </w:rPr>
        <w:t>布置，大门两侧设置</w:t>
      </w:r>
      <w:r>
        <w:rPr>
          <w:spacing w:val="-21"/>
          <w:sz w:val="24"/>
          <w:szCs w:val="24"/>
        </w:rPr>
        <w:t>照明灯。在大门入口处设立九牌一图的标志牌。</w:t>
      </w:r>
    </w:p>
    <w:tbl>
      <w:tblPr>
        <w:tblStyle w:val="6"/>
        <w:tblW w:w="9673" w:type="dxa"/>
        <w:tblInd w:w="1116" w:type="dxa"/>
        <w:tblBorders>
          <w:top w:val="single" w:color="1C456A" w:sz="4" w:space="0"/>
          <w:left w:val="single" w:color="1C456A" w:sz="4" w:space="0"/>
          <w:bottom w:val="single" w:color="1C456A" w:sz="4" w:space="0"/>
          <w:right w:val="single" w:color="1C456A" w:sz="4" w:space="0"/>
          <w:insideH w:val="single" w:color="1C456A" w:sz="4" w:space="0"/>
          <w:insideV w:val="single" w:color="1C456A" w:sz="4" w:space="0"/>
        </w:tblBorders>
        <w:shd w:val="clear" w:color="auto" w:fill="DEEAF6"/>
        <w:tblLayout w:type="fixed"/>
        <w:tblCellMar>
          <w:top w:w="0" w:type="dxa"/>
          <w:left w:w="0" w:type="dxa"/>
          <w:bottom w:w="0" w:type="dxa"/>
          <w:right w:w="0" w:type="dxa"/>
        </w:tblCellMar>
      </w:tblPr>
      <w:tblGrid>
        <w:gridCol w:w="2176"/>
        <w:gridCol w:w="5340"/>
        <w:gridCol w:w="2157"/>
      </w:tblGrid>
      <w:tr w14:paraId="7AAE1EB5">
        <w:tblPrEx>
          <w:tblBorders>
            <w:top w:val="single" w:color="1C456A" w:sz="4" w:space="0"/>
            <w:left w:val="single" w:color="1C456A" w:sz="4" w:space="0"/>
            <w:bottom w:val="single" w:color="1C456A" w:sz="4" w:space="0"/>
            <w:right w:val="single" w:color="1C456A" w:sz="4" w:space="0"/>
            <w:insideH w:val="single" w:color="1C456A" w:sz="4" w:space="0"/>
            <w:insideV w:val="single" w:color="1C456A" w:sz="4" w:space="0"/>
          </w:tblBorders>
          <w:shd w:val="clear" w:color="auto" w:fill="DEEAF6"/>
          <w:tblCellMar>
            <w:top w:w="0" w:type="dxa"/>
            <w:left w:w="0" w:type="dxa"/>
            <w:bottom w:w="0" w:type="dxa"/>
            <w:right w:w="0" w:type="dxa"/>
          </w:tblCellMar>
        </w:tblPrEx>
        <w:trPr>
          <w:trHeight w:val="650" w:hRule="atLeast"/>
        </w:trPr>
        <w:tc>
          <w:tcPr>
            <w:tcW w:w="2176" w:type="dxa"/>
            <w:tcBorders>
              <w:right w:val="nil"/>
            </w:tcBorders>
            <w:shd w:val="clear" w:color="auto" w:fill="DEEAF6"/>
            <w:vAlign w:val="top"/>
          </w:tcPr>
          <w:p w14:paraId="3A096926">
            <w:pPr>
              <w:rPr>
                <w:rFonts w:ascii="Arial"/>
                <w:sz w:val="21"/>
              </w:rPr>
            </w:pPr>
            <w:r>
              <w:pict>
                <v:shape id="_x0000_s3320" o:spid="_x0000_s3320" style="position:absolute;left:0pt;margin-left:-0.25pt;margin-top:0pt;height:0.75pt;width:2.2pt;mso-position-horizontal-relative:page;mso-position-vertical-relative:page;z-index:252001280;mso-width-relative:page;mso-height-relative:page;" fillcolor="#5B9BD5" filled="t" stroked="f" coordsize="44,15" path="m0,14l43,14,43,0,0,0,0,14xe">
                  <v:path/>
                  <v:fill on="t" focussize="0,0"/>
                  <v:stroke on="f"/>
                  <v:imagedata o:title=""/>
                  <o:lock v:ext="edit"/>
                </v:shape>
              </w:pict>
            </w:r>
            <w:r>
              <w:pict>
                <v:shape id="_x0000_s3321" o:spid="_x0000_s3321" style="position:absolute;left:0pt;margin-left:-0.25pt;margin-top:32.75pt;height:0.75pt;width:2.2pt;mso-position-horizontal-relative:page;mso-position-vertical-relative:page;z-index:252000256;mso-width-relative:page;mso-height-relative:page;" fillcolor="#5B9BD5" filled="t" stroked="f" coordsize="44,15" path="m0,14l43,14,43,0,0,0,0,14xe">
                  <v:path/>
                  <v:fill on="t" focussize="0,0"/>
                  <v:stroke on="f"/>
                  <v:imagedata o:title=""/>
                  <o:lock v:ext="edit"/>
                </v:shape>
              </w:pict>
            </w:r>
          </w:p>
        </w:tc>
        <w:tc>
          <w:tcPr>
            <w:tcW w:w="5340" w:type="dxa"/>
            <w:tcBorders>
              <w:left w:val="nil"/>
              <w:right w:val="nil"/>
            </w:tcBorders>
            <w:shd w:val="clear" w:color="auto" w:fill="DEEAF6"/>
            <w:vAlign w:val="top"/>
          </w:tcPr>
          <w:p w14:paraId="5EBD9157">
            <w:pPr>
              <w:pStyle w:val="7"/>
              <w:spacing w:before="128" w:line="217" w:lineRule="auto"/>
              <w:ind w:left="2132"/>
            </w:pPr>
            <w:r>
              <w:rPr>
                <w:b/>
                <w:bCs/>
                <w:spacing w:val="-20"/>
              </w:rPr>
              <w:t>大门及围墙</w:t>
            </w:r>
          </w:p>
        </w:tc>
        <w:tc>
          <w:tcPr>
            <w:tcW w:w="2157" w:type="dxa"/>
            <w:tcBorders>
              <w:left w:val="nil"/>
            </w:tcBorders>
            <w:shd w:val="clear" w:color="auto" w:fill="DEEAF6"/>
            <w:vAlign w:val="top"/>
          </w:tcPr>
          <w:p w14:paraId="5B733CAF">
            <w:pPr>
              <w:rPr>
                <w:rFonts w:ascii="Arial"/>
                <w:sz w:val="21"/>
              </w:rPr>
            </w:pPr>
            <w:r>
              <w:pict>
                <v:shape id="_x0000_s3322" o:spid="_x0000_s3322" style="position:absolute;left:0pt;margin-left:106pt;margin-top:0pt;height:0.75pt;width:2.2pt;mso-position-horizontal-relative:page;mso-position-vertical-relative:page;z-index:251999232;mso-width-relative:page;mso-height-relative:page;" fillcolor="#5B9BD5" filled="t" stroked="f" coordsize="44,15" path="m0,14l43,14,43,0,0,0,0,14xe">
                  <v:path/>
                  <v:fill on="t" focussize="0,0"/>
                  <v:stroke on="f"/>
                  <v:imagedata o:title=""/>
                  <o:lock v:ext="edit"/>
                </v:shape>
              </w:pict>
            </w:r>
            <w:r>
              <w:pict>
                <v:shape id="_x0000_s3323" o:spid="_x0000_s3323" style="position:absolute;left:0pt;margin-left:106pt;margin-top:32.75pt;height:0.75pt;width:2.2pt;mso-position-horizontal-relative:page;mso-position-vertical-relative:page;z-index:251998208;mso-width-relative:page;mso-height-relative:page;" fillcolor="#5B9BD5" filled="t" stroked="f" coordsize="44,15" path="m0,14l43,14,43,0,0,0,0,14xe">
                  <v:path/>
                  <v:fill on="t" focussize="0,0"/>
                  <v:stroke on="f"/>
                  <v:imagedata o:title=""/>
                  <o:lock v:ext="edit"/>
                </v:shape>
              </w:pict>
            </w:r>
          </w:p>
        </w:tc>
      </w:tr>
    </w:tbl>
    <w:p w14:paraId="78114097">
      <w:pPr>
        <w:rPr>
          <w:rFonts w:ascii="Arial"/>
          <w:sz w:val="21"/>
        </w:rPr>
      </w:pPr>
    </w:p>
    <w:p w14:paraId="6F1DFF15">
      <w:pPr>
        <w:rPr>
          <w:rFonts w:ascii="Arial" w:hAnsi="Arial" w:eastAsia="Arial" w:cs="Arial"/>
          <w:sz w:val="21"/>
          <w:szCs w:val="21"/>
        </w:rPr>
        <w:sectPr>
          <w:footerReference r:id="rId168" w:type="default"/>
          <w:pgSz w:w="11907" w:h="16839"/>
          <w:pgMar w:top="954" w:right="4" w:bottom="1038" w:left="0" w:header="499" w:footer="357" w:gutter="0"/>
          <w:pgBorders>
            <w:top w:val="none" w:sz="0" w:space="0"/>
            <w:left w:val="none" w:sz="0" w:space="0"/>
            <w:bottom w:val="none" w:sz="0" w:space="0"/>
            <w:right w:val="none" w:sz="0" w:space="0"/>
          </w:pgBorders>
          <w:cols w:space="720" w:num="1"/>
        </w:sectPr>
      </w:pPr>
    </w:p>
    <w:p w14:paraId="10672BC7">
      <w:pPr>
        <w:spacing w:line="214" w:lineRule="exact"/>
      </w:pPr>
    </w:p>
    <w:p w14:paraId="13EC8002">
      <w:pPr>
        <w:pStyle w:val="2"/>
        <w:spacing w:before="115" w:line="216" w:lineRule="auto"/>
        <w:ind w:left="1890"/>
        <w:rPr>
          <w:sz w:val="24"/>
          <w:szCs w:val="24"/>
        </w:rPr>
      </w:pPr>
      <w:r>
        <w:rPr>
          <w:spacing w:val="-18"/>
          <w:sz w:val="24"/>
          <w:szCs w:val="24"/>
        </w:rPr>
        <w:t>3、材料堆场及堆放</w:t>
      </w:r>
    </w:p>
    <w:p w14:paraId="3A2C8586">
      <w:pPr>
        <w:pStyle w:val="2"/>
        <w:spacing w:before="117" w:line="279" w:lineRule="auto"/>
        <w:ind w:left="1456" w:right="1410" w:firstLine="437"/>
        <w:rPr>
          <w:sz w:val="24"/>
          <w:szCs w:val="24"/>
        </w:rPr>
      </w:pPr>
      <w:r>
        <w:rPr>
          <w:spacing w:val="-20"/>
          <w:sz w:val="24"/>
          <w:szCs w:val="24"/>
        </w:rPr>
        <w:t>堆场应进行硬化，各类材料按场按照现场平面布置图分类堆放。堆场一律设分隔标志，线内堆物。多余的材料与物品要及时退场，无散乱物品。上料架和堆料地的搭设应规范化，做到</w:t>
      </w:r>
      <w:r>
        <w:rPr>
          <w:spacing w:val="-17"/>
          <w:sz w:val="24"/>
          <w:szCs w:val="24"/>
        </w:rPr>
        <w:t>整齐划一。</w:t>
      </w:r>
    </w:p>
    <w:tbl>
      <w:tblPr>
        <w:tblStyle w:val="6"/>
        <w:tblW w:w="9673" w:type="dxa"/>
        <w:tblInd w:w="1116" w:type="dxa"/>
        <w:tblBorders>
          <w:top w:val="single" w:color="1C456A" w:sz="4" w:space="0"/>
          <w:left w:val="single" w:color="1C456A" w:sz="4" w:space="0"/>
          <w:bottom w:val="single" w:color="1C456A" w:sz="4" w:space="0"/>
          <w:right w:val="single" w:color="1C456A" w:sz="4" w:space="0"/>
          <w:insideH w:val="single" w:color="1C456A" w:sz="4" w:space="0"/>
          <w:insideV w:val="single" w:color="1C456A" w:sz="4" w:space="0"/>
        </w:tblBorders>
        <w:tblLayout w:type="fixed"/>
        <w:tblCellMar>
          <w:top w:w="0" w:type="dxa"/>
          <w:left w:w="0" w:type="dxa"/>
          <w:bottom w:w="0" w:type="dxa"/>
          <w:right w:w="0" w:type="dxa"/>
        </w:tblCellMar>
      </w:tblPr>
      <w:tblGrid>
        <w:gridCol w:w="971"/>
        <w:gridCol w:w="3885"/>
        <w:gridCol w:w="3973"/>
        <w:gridCol w:w="844"/>
      </w:tblGrid>
      <w:tr w14:paraId="78E84CCB">
        <w:tblPrEx>
          <w:tblBorders>
            <w:top w:val="single" w:color="1C456A" w:sz="4" w:space="0"/>
            <w:left w:val="single" w:color="1C456A" w:sz="4" w:space="0"/>
            <w:bottom w:val="single" w:color="1C456A" w:sz="4" w:space="0"/>
            <w:right w:val="single" w:color="1C456A" w:sz="4" w:space="0"/>
            <w:insideH w:val="single" w:color="1C456A" w:sz="4" w:space="0"/>
            <w:insideV w:val="single" w:color="1C456A" w:sz="4" w:space="0"/>
          </w:tblBorders>
          <w:tblCellMar>
            <w:top w:w="0" w:type="dxa"/>
            <w:left w:w="0" w:type="dxa"/>
            <w:bottom w:w="0" w:type="dxa"/>
            <w:right w:w="0" w:type="dxa"/>
          </w:tblCellMar>
        </w:tblPrEx>
        <w:trPr>
          <w:trHeight w:val="649" w:hRule="atLeast"/>
        </w:trPr>
        <w:tc>
          <w:tcPr>
            <w:tcW w:w="971" w:type="dxa"/>
            <w:tcBorders>
              <w:right w:val="nil"/>
            </w:tcBorders>
            <w:shd w:val="clear" w:color="auto" w:fill="DEEAF6"/>
            <w:vAlign w:val="top"/>
          </w:tcPr>
          <w:p w14:paraId="4FAB7BB1">
            <w:pPr>
              <w:rPr>
                <w:rFonts w:ascii="Arial"/>
                <w:sz w:val="21"/>
              </w:rPr>
            </w:pPr>
            <w:r>
              <w:pict>
                <v:shape id="_x0000_s3326" o:spid="_x0000_s3326" style="position:absolute;left:0pt;margin-left:-0.25pt;margin-top:0pt;height:0.75pt;width:2.2pt;mso-position-horizontal-relative:page;mso-position-vertical-relative:page;z-index:252005376;mso-width-relative:page;mso-height-relative:page;" fillcolor="#5B9BD5" filled="t" stroked="f" coordsize="44,15" path="m0,14l43,14,43,0,0,0,0,14xe">
                  <v:path/>
                  <v:fill on="t" focussize="0,0"/>
                  <v:stroke on="f"/>
                  <v:imagedata o:title=""/>
                  <o:lock v:ext="edit"/>
                </v:shape>
              </w:pict>
            </w:r>
            <w:r>
              <w:pict>
                <v:shape id="_x0000_s3327" o:spid="_x0000_s3327" style="position:absolute;left:0pt;margin-left:-0.25pt;margin-top:32.75pt;height:0.75pt;width:2.2pt;mso-position-horizontal-relative:page;mso-position-vertical-relative:page;z-index:252006400;mso-width-relative:page;mso-height-relative:page;" fillcolor="#5B9BD5" filled="t" stroked="f" coordsize="44,15" path="m0,14l43,14,43,0,0,0,0,14xe">
                  <v:path/>
                  <v:fill on="t" focussize="0,0"/>
                  <v:stroke on="f"/>
                  <v:imagedata o:title=""/>
                  <o:lock v:ext="edit"/>
                </v:shape>
              </w:pict>
            </w:r>
          </w:p>
        </w:tc>
        <w:tc>
          <w:tcPr>
            <w:tcW w:w="3885" w:type="dxa"/>
            <w:tcBorders>
              <w:left w:val="nil"/>
              <w:right w:val="single" w:color="000000" w:sz="2" w:space="0"/>
            </w:tcBorders>
            <w:shd w:val="clear" w:color="auto" w:fill="DEEAF6"/>
            <w:vAlign w:val="top"/>
          </w:tcPr>
          <w:p w14:paraId="1FC2D9C3">
            <w:pPr>
              <w:pStyle w:val="7"/>
              <w:spacing w:before="126" w:line="216" w:lineRule="auto"/>
              <w:ind w:left="924"/>
            </w:pPr>
            <w:r>
              <w:rPr>
                <w:b/>
                <w:bCs/>
                <w:spacing w:val="-20"/>
              </w:rPr>
              <w:t>废料堆放箱</w:t>
            </w:r>
          </w:p>
        </w:tc>
        <w:tc>
          <w:tcPr>
            <w:tcW w:w="3973" w:type="dxa"/>
            <w:tcBorders>
              <w:top w:val="single" w:color="5B9BD5" w:sz="4" w:space="0"/>
              <w:left w:val="single" w:color="000000" w:sz="2" w:space="0"/>
              <w:bottom w:val="single" w:color="5B9BD5" w:sz="4" w:space="0"/>
              <w:right w:val="nil"/>
            </w:tcBorders>
            <w:shd w:val="clear" w:color="auto" w:fill="DEEAF6"/>
            <w:vAlign w:val="top"/>
          </w:tcPr>
          <w:p w14:paraId="5907BEBE">
            <w:pPr>
              <w:pStyle w:val="7"/>
              <w:spacing w:before="126" w:line="216" w:lineRule="auto"/>
              <w:ind w:left="1637"/>
            </w:pPr>
            <w:r>
              <w:rPr>
                <w:b/>
                <w:bCs/>
                <w:spacing w:val="-21"/>
              </w:rPr>
              <w:t>零星材料堆放笼</w:t>
            </w:r>
          </w:p>
        </w:tc>
        <w:tc>
          <w:tcPr>
            <w:tcW w:w="844" w:type="dxa"/>
            <w:tcBorders>
              <w:top w:val="single" w:color="5B9BD5" w:sz="4" w:space="0"/>
              <w:left w:val="nil"/>
              <w:bottom w:val="single" w:color="5B9BD5" w:sz="4" w:space="0"/>
              <w:right w:val="single" w:color="5B9BD5" w:sz="4" w:space="0"/>
            </w:tcBorders>
            <w:shd w:val="clear" w:color="auto" w:fill="DEEAF6"/>
            <w:vAlign w:val="top"/>
          </w:tcPr>
          <w:p w14:paraId="53430AB2">
            <w:pPr>
              <w:rPr>
                <w:rFonts w:ascii="Arial"/>
                <w:sz w:val="21"/>
              </w:rPr>
            </w:pPr>
            <w:r>
              <w:pict>
                <v:shape id="_x0000_s3328" o:spid="_x0000_s3328" style="position:absolute;left:0pt;margin-left:40.35pt;margin-top:0pt;height:0.75pt;width:2.2pt;mso-position-horizontal-relative:page;mso-position-vertical-relative:page;z-index:252007424;mso-width-relative:page;mso-height-relative:page;" fillcolor="#5B9BD5" filled="t" stroked="f" coordsize="44,15" path="m0,14l43,14,43,0,0,0,0,14xe">
                  <v:path/>
                  <v:fill on="t" focussize="0,0"/>
                  <v:stroke on="f"/>
                  <v:imagedata o:title=""/>
                  <o:lock v:ext="edit"/>
                </v:shape>
              </w:pict>
            </w:r>
            <w:r>
              <w:pict>
                <v:shape id="_x0000_s3329" o:spid="_x0000_s3329" style="position:absolute;left:0pt;margin-left:40.35pt;margin-top:32.75pt;height:0.75pt;width:2.2pt;mso-position-horizontal-relative:page;mso-position-vertical-relative:page;z-index:252004352;mso-width-relative:page;mso-height-relative:page;" fillcolor="#5B9BD5" filled="t" stroked="f" coordsize="44,15" path="m0,14l43,14,43,0,0,0,0,14xe">
                  <v:path/>
                  <v:fill on="t" focussize="0,0"/>
                  <v:stroke on="f"/>
                  <v:imagedata o:title=""/>
                  <o:lock v:ext="edit"/>
                </v:shape>
              </w:pict>
            </w:r>
          </w:p>
        </w:tc>
      </w:tr>
    </w:tbl>
    <w:p w14:paraId="7F0FD0AA">
      <w:pPr>
        <w:rPr>
          <w:rFonts w:ascii="Arial"/>
          <w:sz w:val="21"/>
        </w:rPr>
      </w:pPr>
    </w:p>
    <w:p w14:paraId="59D38885">
      <w:pPr>
        <w:spacing w:line="214" w:lineRule="exact"/>
      </w:pPr>
    </w:p>
    <w:tbl>
      <w:tblPr>
        <w:tblStyle w:val="6"/>
        <w:tblW w:w="9673" w:type="dxa"/>
        <w:tblInd w:w="1116"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834"/>
        <w:gridCol w:w="3907"/>
        <w:gridCol w:w="932"/>
      </w:tblGrid>
      <w:tr w14:paraId="32DD67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25" w:hRule="atLeast"/>
        </w:trPr>
        <w:tc>
          <w:tcPr>
            <w:tcW w:w="4834" w:type="dxa"/>
            <w:tcBorders>
              <w:top w:val="single" w:color="000000" w:sz="4" w:space="0"/>
              <w:left w:val="single" w:color="000000" w:sz="4" w:space="0"/>
            </w:tcBorders>
            <w:vAlign w:val="top"/>
          </w:tcPr>
          <w:p w14:paraId="02E2269E">
            <w:pPr>
              <w:spacing w:before="93" w:line="3418" w:lineRule="exact"/>
              <w:ind w:firstLine="397"/>
            </w:pPr>
            <w:r>
              <w:rPr>
                <w:position w:val="-68"/>
              </w:rPr>
              <w:drawing>
                <wp:inline distT="0" distB="0" distL="0" distR="0">
                  <wp:extent cx="2567940" cy="2169795"/>
                  <wp:effectExtent l="0" t="0" r="0" b="0"/>
                  <wp:docPr id="860" name="IM 860"/>
                  <wp:cNvGraphicFramePr/>
                  <a:graphic xmlns:a="http://schemas.openxmlformats.org/drawingml/2006/main">
                    <a:graphicData uri="http://schemas.openxmlformats.org/drawingml/2006/picture">
                      <pic:pic xmlns:pic="http://schemas.openxmlformats.org/drawingml/2006/picture">
                        <pic:nvPicPr>
                          <pic:cNvPr id="860" name="IM 860"/>
                          <pic:cNvPicPr/>
                        </pic:nvPicPr>
                        <pic:blipFill>
                          <a:blip r:embed="rId622"/>
                          <a:stretch>
                            <a:fillRect/>
                          </a:stretch>
                        </pic:blipFill>
                        <pic:spPr>
                          <a:xfrm>
                            <a:off x="0" y="0"/>
                            <a:ext cx="2567940" cy="2170429"/>
                          </a:xfrm>
                          <a:prstGeom prst="rect">
                            <a:avLst/>
                          </a:prstGeom>
                        </pic:spPr>
                      </pic:pic>
                    </a:graphicData>
                  </a:graphic>
                </wp:inline>
              </w:drawing>
            </w:r>
          </w:p>
        </w:tc>
        <w:tc>
          <w:tcPr>
            <w:tcW w:w="4839" w:type="dxa"/>
            <w:gridSpan w:val="2"/>
            <w:tcBorders>
              <w:top w:val="single" w:color="5B9BD5" w:sz="4" w:space="0"/>
              <w:right w:val="single" w:color="5B9BD5" w:sz="4" w:space="0"/>
            </w:tcBorders>
            <w:vAlign w:val="top"/>
          </w:tcPr>
          <w:p w14:paraId="28F6FDEA">
            <w:pPr>
              <w:spacing w:before="117" w:line="3367" w:lineRule="exact"/>
              <w:ind w:firstLine="702"/>
            </w:pPr>
            <w:r>
              <w:rPr>
                <w:position w:val="-67"/>
              </w:rPr>
              <w:drawing>
                <wp:inline distT="0" distB="0" distL="0" distR="0">
                  <wp:extent cx="2163445" cy="2137410"/>
                  <wp:effectExtent l="0" t="0" r="0" b="0"/>
                  <wp:docPr id="862" name="IM 862"/>
                  <wp:cNvGraphicFramePr/>
                  <a:graphic xmlns:a="http://schemas.openxmlformats.org/drawingml/2006/main">
                    <a:graphicData uri="http://schemas.openxmlformats.org/drawingml/2006/picture">
                      <pic:pic xmlns:pic="http://schemas.openxmlformats.org/drawingml/2006/picture">
                        <pic:nvPicPr>
                          <pic:cNvPr id="862" name="IM 862"/>
                          <pic:cNvPicPr/>
                        </pic:nvPicPr>
                        <pic:blipFill>
                          <a:blip r:embed="rId623"/>
                          <a:stretch>
                            <a:fillRect/>
                          </a:stretch>
                        </pic:blipFill>
                        <pic:spPr>
                          <a:xfrm>
                            <a:off x="0" y="0"/>
                            <a:ext cx="2164079" cy="2138044"/>
                          </a:xfrm>
                          <a:prstGeom prst="rect">
                            <a:avLst/>
                          </a:prstGeom>
                        </pic:spPr>
                      </pic:pic>
                    </a:graphicData>
                  </a:graphic>
                </wp:inline>
              </w:drawing>
            </w:r>
          </w:p>
        </w:tc>
      </w:tr>
      <w:tr w14:paraId="50B286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5" w:hRule="atLeast"/>
        </w:trPr>
        <w:tc>
          <w:tcPr>
            <w:tcW w:w="9673" w:type="dxa"/>
            <w:gridSpan w:val="3"/>
            <w:tcBorders>
              <w:left w:val="single" w:color="000000" w:sz="4" w:space="0"/>
              <w:right w:val="single" w:color="000000" w:sz="4" w:space="0"/>
            </w:tcBorders>
            <w:vAlign w:val="top"/>
          </w:tcPr>
          <w:p w14:paraId="47481472">
            <w:pPr>
              <w:pStyle w:val="7"/>
              <w:spacing w:before="97" w:line="217" w:lineRule="auto"/>
              <w:ind w:left="4410"/>
            </w:pPr>
            <w:r>
              <w:rPr>
                <w:spacing w:val="-15"/>
              </w:rPr>
              <w:t>钢筋堆放</w:t>
            </w:r>
          </w:p>
        </w:tc>
      </w:tr>
      <w:tr w14:paraId="4F3376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14" w:hRule="atLeast"/>
        </w:trPr>
        <w:tc>
          <w:tcPr>
            <w:tcW w:w="8741" w:type="dxa"/>
            <w:gridSpan w:val="2"/>
            <w:tcBorders>
              <w:left w:val="single" w:color="1C456A" w:sz="4" w:space="0"/>
              <w:bottom w:val="single" w:color="1C456A" w:sz="4" w:space="0"/>
              <w:right w:val="nil"/>
            </w:tcBorders>
            <w:vAlign w:val="top"/>
          </w:tcPr>
          <w:p w14:paraId="443FFEDF">
            <w:pPr>
              <w:spacing w:before="62" w:line="3504" w:lineRule="exact"/>
              <w:ind w:firstLine="1811"/>
            </w:pPr>
            <w:r>
              <w:pict>
                <v:shape id="_x0000_s3330" o:spid="_x0000_s3330" style="position:absolute;left:0pt;margin-left:-0.25pt;margin-top:190.7pt;height:0.75pt;width:2.2pt;mso-position-horizontal-relative:page;mso-position-vertical-relative:page;z-index:252014592;mso-width-relative:page;mso-height-relative:page;" fillcolor="#5B9BD5" filled="t" stroked="f" coordsize="44,15" path="m0,14l43,14,43,0,0,0,0,14xe">
                  <v:path/>
                  <v:fill on="t" focussize="0,0"/>
                  <v:stroke on="f"/>
                  <v:imagedata o:title=""/>
                  <o:lock v:ext="edit"/>
                </v:shape>
              </w:pict>
            </w:r>
            <w:r>
              <w:rPr>
                <w:position w:val="-70"/>
              </w:rPr>
              <w:drawing>
                <wp:inline distT="0" distB="0" distL="0" distR="0">
                  <wp:extent cx="3833495" cy="2224405"/>
                  <wp:effectExtent l="0" t="0" r="0" b="0"/>
                  <wp:docPr id="864" name="IM 864"/>
                  <wp:cNvGraphicFramePr/>
                  <a:graphic xmlns:a="http://schemas.openxmlformats.org/drawingml/2006/main">
                    <a:graphicData uri="http://schemas.openxmlformats.org/drawingml/2006/picture">
                      <pic:pic xmlns:pic="http://schemas.openxmlformats.org/drawingml/2006/picture">
                        <pic:nvPicPr>
                          <pic:cNvPr id="864" name="IM 864"/>
                          <pic:cNvPicPr/>
                        </pic:nvPicPr>
                        <pic:blipFill>
                          <a:blip r:embed="rId624"/>
                          <a:stretch>
                            <a:fillRect/>
                          </a:stretch>
                        </pic:blipFill>
                        <pic:spPr>
                          <a:xfrm>
                            <a:off x="0" y="0"/>
                            <a:ext cx="3834129" cy="2225039"/>
                          </a:xfrm>
                          <a:prstGeom prst="rect">
                            <a:avLst/>
                          </a:prstGeom>
                        </pic:spPr>
                      </pic:pic>
                    </a:graphicData>
                  </a:graphic>
                </wp:inline>
              </w:drawing>
            </w:r>
          </w:p>
        </w:tc>
        <w:tc>
          <w:tcPr>
            <w:tcW w:w="932" w:type="dxa"/>
            <w:tcBorders>
              <w:left w:val="nil"/>
              <w:bottom w:val="single" w:color="1C456A" w:sz="4" w:space="0"/>
              <w:right w:val="single" w:color="1C456A" w:sz="4" w:space="0"/>
            </w:tcBorders>
            <w:vAlign w:val="top"/>
          </w:tcPr>
          <w:p w14:paraId="65BF199B">
            <w:pPr>
              <w:rPr>
                <w:rFonts w:ascii="Arial"/>
                <w:sz w:val="21"/>
              </w:rPr>
            </w:pPr>
            <w:r>
              <w:pict>
                <v:shape id="_x0000_s3331" o:spid="_x0000_s3331" style="position:absolute;left:0pt;margin-left:44.75pt;margin-top:190.7pt;height:0.75pt;width:2.2pt;mso-position-horizontal-relative:page;mso-position-vertical-relative:page;z-index:252015616;mso-width-relative:page;mso-height-relative:page;" fillcolor="#5B9BD5" filled="t" stroked="f" coordsize="44,15" path="m0,14l43,14,43,0,0,0,0,14xe">
                  <v:path/>
                  <v:fill on="t" focussize="0,0"/>
                  <v:stroke on="f"/>
                  <v:imagedata o:title=""/>
                  <o:lock v:ext="edit"/>
                </v:shape>
              </w:pict>
            </w:r>
          </w:p>
        </w:tc>
      </w:tr>
    </w:tbl>
    <w:p w14:paraId="32CFDB0D">
      <w:pPr>
        <w:pStyle w:val="2"/>
        <w:spacing w:before="112" w:line="217" w:lineRule="auto"/>
        <w:ind w:left="1884"/>
        <w:rPr>
          <w:sz w:val="24"/>
          <w:szCs w:val="24"/>
        </w:rPr>
      </w:pPr>
      <w:r>
        <w:rPr>
          <w:spacing w:val="-15"/>
          <w:sz w:val="24"/>
          <w:szCs w:val="24"/>
        </w:rPr>
        <w:t>4、成品保护</w:t>
      </w:r>
    </w:p>
    <w:p w14:paraId="2A23A380">
      <w:pPr>
        <w:spacing w:line="38" w:lineRule="auto"/>
        <w:rPr>
          <w:rFonts w:ascii="Arial"/>
          <w:sz w:val="2"/>
        </w:rPr>
      </w:pPr>
    </w:p>
    <w:tbl>
      <w:tblPr>
        <w:tblStyle w:val="6"/>
        <w:tblW w:w="9673" w:type="dxa"/>
        <w:tblInd w:w="1116"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09"/>
        <w:gridCol w:w="609"/>
        <w:gridCol w:w="8785"/>
        <w:gridCol w:w="70"/>
      </w:tblGrid>
      <w:tr w14:paraId="1AFB6F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1" w:hRule="atLeast"/>
        </w:trPr>
        <w:tc>
          <w:tcPr>
            <w:tcW w:w="818" w:type="dxa"/>
            <w:gridSpan w:val="2"/>
            <w:tcBorders>
              <w:top w:val="single" w:color="000000" w:sz="4" w:space="0"/>
              <w:left w:val="single" w:color="000000" w:sz="4" w:space="0"/>
            </w:tcBorders>
            <w:shd w:val="clear" w:color="auto" w:fill="DEEAF6"/>
            <w:vAlign w:val="top"/>
          </w:tcPr>
          <w:p w14:paraId="41A12883">
            <w:pPr>
              <w:spacing w:line="93" w:lineRule="exact"/>
            </w:pPr>
            <w:r>
              <w:rPr>
                <w:position w:val="-1"/>
              </w:rPr>
              <w:pict>
                <v:group id="_x0000_s3332" o:spid="_x0000_s3332" o:spt="203" style="height:5.2pt;width:42.65pt;" coordsize="853,103">
                  <o:lock v:ext="edit"/>
                  <v:shape id="_x0000_s3333" o:spid="_x0000_s3333" style="position:absolute;left:0;top:0;height:15;width:44;" fillcolor="#5B9BD5" filled="t" stroked="f" coordsize="44,15" path="m0,14l43,14,43,0,0,0,0,14xe">
                    <v:path/>
                    <v:fill on="t" focussize="0,0"/>
                    <v:stroke on="f"/>
                    <v:imagedata o:title=""/>
                    <o:lock v:ext="edit"/>
                  </v:shape>
                  <v:shape id="_x0000_s3334" o:spid="_x0000_s3334" style="position:absolute;left:43;top:43;height:60;width:766;" fillcolor="#DEEAF6" filled="t" stroked="f" coordsize="766,60" path="m0,60l766,60,766,0,0,0,0,60xe">
                    <v:path/>
                    <v:fill on="t" focussize="0,0"/>
                    <v:stroke on="f"/>
                    <v:imagedata o:title=""/>
                    <o:lock v:ext="edit"/>
                  </v:shape>
                  <v:shape id="_x0000_s3335" o:spid="_x0000_s3335" style="position:absolute;left:809;top:0;height:15;width:44;" fillcolor="#5B9BD5" filled="t" stroked="f" coordsize="44,15" path="m0,14l43,14,43,0,0,0,0,14xe">
                    <v:path/>
                    <v:fill on="t" focussize="0,0"/>
                    <v:stroke on="f"/>
                    <v:imagedata o:title=""/>
                    <o:lock v:ext="edit"/>
                  </v:shape>
                  <v:shape id="_x0000_s3336" o:spid="_x0000_s3336" style="position:absolute;left:809;top:14;height:15;width:44;" fillcolor="#20507B" filled="t" stroked="f" coordsize="44,15" path="m0,14l43,14,43,0,0,0,0,14xe">
                    <v:path/>
                    <v:fill on="t" focussize="0,0"/>
                    <v:stroke on="f"/>
                    <v:imagedata o:title=""/>
                    <o:lock v:ext="edit"/>
                  </v:shape>
                  <v:shape id="_x0000_s3337" o:spid="_x0000_s3337" style="position:absolute;left:809;top:28;height:15;width:44;" fillcolor="#1C456A" filled="t" stroked="f" coordsize="44,15" path="m0,14l43,14,43,0,0,0,0,14xe">
                    <v:path/>
                    <v:fill on="t" focussize="0,0"/>
                    <v:stroke on="f"/>
                    <v:imagedata o:title=""/>
                    <o:lock v:ext="edit"/>
                  </v:shape>
                  <w10:wrap type="none"/>
                  <w10:anchorlock/>
                </v:group>
              </w:pict>
            </w:r>
          </w:p>
          <w:p w14:paraId="651718B2">
            <w:pPr>
              <w:pStyle w:val="7"/>
              <w:spacing w:before="36" w:line="218" w:lineRule="auto"/>
              <w:ind w:left="205"/>
            </w:pPr>
            <w:r>
              <w:rPr>
                <w:b/>
                <w:bCs/>
                <w:spacing w:val="-12"/>
              </w:rPr>
              <w:t>序号</w:t>
            </w:r>
          </w:p>
        </w:tc>
        <w:tc>
          <w:tcPr>
            <w:tcW w:w="8785" w:type="dxa"/>
            <w:tcBorders>
              <w:top w:val="single" w:color="5B9BD5" w:sz="4" w:space="0"/>
              <w:right w:val="nil"/>
            </w:tcBorders>
            <w:shd w:val="clear" w:color="auto" w:fill="DEEAF6"/>
            <w:vAlign w:val="top"/>
          </w:tcPr>
          <w:p w14:paraId="5A2328C2">
            <w:pPr>
              <w:pStyle w:val="7"/>
              <w:spacing w:before="129" w:line="218" w:lineRule="auto"/>
              <w:ind w:left="4239"/>
            </w:pPr>
            <w:r>
              <w:rPr>
                <w:b/>
                <w:bCs/>
                <w:spacing w:val="-20"/>
              </w:rPr>
              <w:t>内容</w:t>
            </w:r>
          </w:p>
        </w:tc>
        <w:tc>
          <w:tcPr>
            <w:tcW w:w="70" w:type="dxa"/>
            <w:tcBorders>
              <w:top w:val="single" w:color="5B9BD5" w:sz="4" w:space="0"/>
              <w:left w:val="nil"/>
              <w:right w:val="single" w:color="5B9BD5" w:sz="4" w:space="0"/>
            </w:tcBorders>
            <w:vAlign w:val="top"/>
          </w:tcPr>
          <w:p w14:paraId="26863E4B">
            <w:pPr>
              <w:rPr>
                <w:rFonts w:ascii="Arial"/>
                <w:sz w:val="21"/>
              </w:rPr>
            </w:pPr>
            <w:r>
              <w:pict>
                <v:shape id="_x0000_s3338" o:spid="_x0000_s3338" style="position:absolute;left:0pt;margin-left:1.65pt;margin-top:0pt;height:0.75pt;width:2.2pt;mso-position-horizontal-relative:page;mso-position-vertical-relative:page;z-index:252013568;mso-width-relative:page;mso-height-relative:page;" fillcolor="#5B9BD5" filled="t" stroked="f" coordsize="44,15" path="m0,14l43,14,43,0,0,0,0,14xe">
                  <v:path/>
                  <v:fill on="t" focussize="0,0"/>
                  <v:stroke on="f"/>
                  <v:imagedata o:title=""/>
                  <o:lock v:ext="edit"/>
                </v:shape>
              </w:pict>
            </w:r>
          </w:p>
        </w:tc>
      </w:tr>
      <w:tr w14:paraId="2CC143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59" w:hRule="atLeast"/>
        </w:trPr>
        <w:tc>
          <w:tcPr>
            <w:tcW w:w="818" w:type="dxa"/>
            <w:gridSpan w:val="2"/>
            <w:tcBorders>
              <w:left w:val="single" w:color="000000" w:sz="4" w:space="0"/>
            </w:tcBorders>
            <w:vAlign w:val="top"/>
          </w:tcPr>
          <w:p w14:paraId="1AA1A898">
            <w:pPr>
              <w:spacing w:line="277" w:lineRule="auto"/>
              <w:rPr>
                <w:rFonts w:ascii="Arial"/>
                <w:sz w:val="21"/>
              </w:rPr>
            </w:pPr>
          </w:p>
          <w:p w14:paraId="0FE5CC41">
            <w:pPr>
              <w:pStyle w:val="7"/>
              <w:spacing w:before="78" w:line="238" w:lineRule="auto"/>
              <w:ind w:left="379"/>
            </w:pPr>
            <w:r>
              <w:t>1</w:t>
            </w:r>
          </w:p>
        </w:tc>
        <w:tc>
          <w:tcPr>
            <w:tcW w:w="8855" w:type="dxa"/>
            <w:gridSpan w:val="2"/>
            <w:tcBorders>
              <w:right w:val="single" w:color="000000" w:sz="4" w:space="0"/>
            </w:tcBorders>
            <w:vAlign w:val="top"/>
          </w:tcPr>
          <w:p w14:paraId="542B2C81">
            <w:pPr>
              <w:pStyle w:val="7"/>
              <w:spacing w:before="123" w:line="217" w:lineRule="auto"/>
              <w:ind w:left="66"/>
            </w:pPr>
            <w:r>
              <w:rPr>
                <w:spacing w:val="-21"/>
              </w:rPr>
              <w:t>加强组织管理：项目部根据工程进展情况以及工程竣工验收后</w:t>
            </w:r>
            <w:r>
              <w:rPr>
                <w:spacing w:val="-22"/>
              </w:rPr>
              <w:t>直至试运行期间的所有管理、</w:t>
            </w:r>
          </w:p>
          <w:p w14:paraId="69C6FC39">
            <w:pPr>
              <w:pStyle w:val="7"/>
              <w:spacing w:before="185" w:line="217" w:lineRule="auto"/>
              <w:ind w:left="2798"/>
            </w:pPr>
            <w:r>
              <w:rPr>
                <w:spacing w:val="-21"/>
              </w:rPr>
              <w:t>维护和产品保护等进行统筹安排。</w:t>
            </w:r>
          </w:p>
        </w:tc>
      </w:tr>
      <w:tr w14:paraId="56EC93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97" w:hRule="atLeast"/>
        </w:trPr>
        <w:tc>
          <w:tcPr>
            <w:tcW w:w="818" w:type="dxa"/>
            <w:gridSpan w:val="2"/>
            <w:tcBorders>
              <w:left w:val="single" w:color="000000" w:sz="4" w:space="0"/>
            </w:tcBorders>
            <w:vAlign w:val="top"/>
          </w:tcPr>
          <w:p w14:paraId="79828606">
            <w:pPr>
              <w:spacing w:line="245" w:lineRule="auto"/>
              <w:rPr>
                <w:rFonts w:ascii="Arial"/>
                <w:sz w:val="21"/>
              </w:rPr>
            </w:pPr>
          </w:p>
          <w:p w14:paraId="0A758F20">
            <w:pPr>
              <w:spacing w:line="245" w:lineRule="auto"/>
              <w:rPr>
                <w:rFonts w:ascii="Arial"/>
                <w:sz w:val="21"/>
              </w:rPr>
            </w:pPr>
          </w:p>
          <w:p w14:paraId="23CEF65A">
            <w:pPr>
              <w:spacing w:line="246" w:lineRule="auto"/>
              <w:rPr>
                <w:rFonts w:ascii="Arial"/>
                <w:sz w:val="21"/>
              </w:rPr>
            </w:pPr>
          </w:p>
          <w:p w14:paraId="5415A1D9">
            <w:pPr>
              <w:pStyle w:val="7"/>
              <w:spacing w:before="78" w:line="238" w:lineRule="auto"/>
              <w:ind w:left="364"/>
            </w:pPr>
            <w:r>
              <w:t>2</w:t>
            </w:r>
          </w:p>
        </w:tc>
        <w:tc>
          <w:tcPr>
            <w:tcW w:w="8855" w:type="dxa"/>
            <w:gridSpan w:val="2"/>
            <w:tcBorders>
              <w:right w:val="single" w:color="000000" w:sz="4" w:space="0"/>
            </w:tcBorders>
            <w:vAlign w:val="top"/>
          </w:tcPr>
          <w:p w14:paraId="6621B0A2">
            <w:pPr>
              <w:pStyle w:val="7"/>
              <w:spacing w:before="118" w:line="215" w:lineRule="auto"/>
              <w:ind w:left="66"/>
            </w:pPr>
            <w:r>
              <w:rPr>
                <w:spacing w:val="-21"/>
              </w:rPr>
              <w:t>加强保安力量防火防盗：主塔楼工程在后期管理阶段时，由于</w:t>
            </w:r>
            <w:r>
              <w:rPr>
                <w:spacing w:val="-22"/>
              </w:rPr>
              <w:t>各专业承包的撤场以及使用方</w:t>
            </w:r>
          </w:p>
          <w:p w14:paraId="08C121BC">
            <w:pPr>
              <w:pStyle w:val="7"/>
              <w:spacing w:before="185" w:line="216" w:lineRule="auto"/>
              <w:ind w:left="80"/>
            </w:pPr>
            <w:r>
              <w:rPr>
                <w:spacing w:val="-22"/>
              </w:rPr>
              <w:t>的各类设施的进入，容易出现现场物料运输的混乱，甚至会出现丢失物品的现象。因此管理</w:t>
            </w:r>
          </w:p>
          <w:p w14:paraId="6E3D5E86">
            <w:pPr>
              <w:pStyle w:val="7"/>
              <w:spacing w:before="187" w:line="217" w:lineRule="auto"/>
              <w:ind w:left="77"/>
            </w:pPr>
            <w:r>
              <w:rPr>
                <w:spacing w:val="-22"/>
              </w:rPr>
              <w:t>总承包根据现场保安状况做出适当的调整，增加保安管理人员。进入楼层人员均须挂牌登记</w:t>
            </w:r>
          </w:p>
          <w:p w14:paraId="16789BB8">
            <w:pPr>
              <w:pStyle w:val="7"/>
              <w:spacing w:before="183" w:line="219" w:lineRule="auto"/>
              <w:ind w:left="3774"/>
            </w:pPr>
            <w:r>
              <w:rPr>
                <w:spacing w:val="-18"/>
              </w:rPr>
              <w:t>后方可进入。</w:t>
            </w:r>
          </w:p>
        </w:tc>
      </w:tr>
      <w:tr w14:paraId="577A61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7" w:hRule="atLeast"/>
        </w:trPr>
        <w:tc>
          <w:tcPr>
            <w:tcW w:w="209" w:type="dxa"/>
            <w:tcBorders>
              <w:left w:val="single" w:color="1C456A" w:sz="4" w:space="0"/>
              <w:bottom w:val="single" w:color="1C456A" w:sz="4" w:space="0"/>
              <w:right w:val="nil"/>
            </w:tcBorders>
            <w:vAlign w:val="top"/>
          </w:tcPr>
          <w:p w14:paraId="549CAD06">
            <w:pPr>
              <w:rPr>
                <w:rFonts w:ascii="Arial"/>
                <w:sz w:val="21"/>
              </w:rPr>
            </w:pPr>
            <w:r>
              <w:pict>
                <v:shape id="_x0000_s3339" o:spid="_x0000_s3339" style="position:absolute;left:0pt;margin-left:-0.25pt;margin-top:54.85pt;height:0.75pt;width:2.2pt;mso-position-horizontal-relative:page;mso-position-vertical-relative:page;z-index:252012544;mso-width-relative:page;mso-height-relative:page;" fillcolor="#5B9BD5" filled="t" stroked="f" coordsize="44,15" path="m0,14l43,14,43,0,0,0,0,14xe">
                  <v:path/>
                  <v:fill on="t" focussize="0,0"/>
                  <v:stroke on="f"/>
                  <v:imagedata o:title=""/>
                  <o:lock v:ext="edit"/>
                </v:shape>
              </w:pict>
            </w:r>
          </w:p>
        </w:tc>
        <w:tc>
          <w:tcPr>
            <w:tcW w:w="609" w:type="dxa"/>
            <w:tcBorders>
              <w:left w:val="nil"/>
              <w:bottom w:val="single" w:color="1C456A" w:sz="4" w:space="0"/>
            </w:tcBorders>
            <w:vAlign w:val="top"/>
          </w:tcPr>
          <w:p w14:paraId="53882DAD">
            <w:pPr>
              <w:spacing w:line="261" w:lineRule="auto"/>
              <w:rPr>
                <w:rFonts w:ascii="Arial"/>
                <w:sz w:val="21"/>
              </w:rPr>
            </w:pPr>
          </w:p>
          <w:p w14:paraId="3A7026AD">
            <w:pPr>
              <w:pStyle w:val="7"/>
              <w:spacing w:before="78" w:line="237" w:lineRule="auto"/>
              <w:ind w:left="162"/>
            </w:pPr>
            <w:r>
              <w:t>3</w:t>
            </w:r>
          </w:p>
        </w:tc>
        <w:tc>
          <w:tcPr>
            <w:tcW w:w="8855" w:type="dxa"/>
            <w:gridSpan w:val="2"/>
            <w:tcBorders>
              <w:bottom w:val="single" w:color="5B9BD5" w:sz="4" w:space="0"/>
              <w:right w:val="single" w:color="5B9BD5" w:sz="4" w:space="0"/>
            </w:tcBorders>
            <w:vAlign w:val="top"/>
          </w:tcPr>
          <w:p w14:paraId="18BA432A">
            <w:pPr>
              <w:pStyle w:val="7"/>
              <w:spacing w:before="108" w:line="217" w:lineRule="auto"/>
              <w:ind w:left="66"/>
            </w:pPr>
            <w:r>
              <w:pict>
                <v:shape id="_x0000_s3340" o:spid="_x0000_s3340" style="position:absolute;left:0pt;margin-left:440.9pt;margin-top:54.85pt;height:0.75pt;width:2.2pt;mso-position-horizontal-relative:page;mso-position-vertical-relative:page;z-index:252011520;mso-width-relative:page;mso-height-relative:page;" fillcolor="#5B9BD5" filled="t" stroked="f" coordsize="44,15" path="m0,14l43,14,43,0,0,0,0,14xe">
                  <v:path/>
                  <v:fill on="t" focussize="0,0"/>
                  <v:stroke on="f"/>
                  <v:imagedata o:title=""/>
                  <o:lock v:ext="edit"/>
                </v:shape>
              </w:pict>
            </w:r>
            <w:r>
              <w:rPr>
                <w:spacing w:val="-21"/>
              </w:rPr>
              <w:t>应注意对现场各类安全警示标识及安全防护的保护，严禁施工</w:t>
            </w:r>
            <w:r>
              <w:rPr>
                <w:spacing w:val="-22"/>
              </w:rPr>
              <w:t>人员随意拆除或移动，发现被</w:t>
            </w:r>
          </w:p>
          <w:p w14:paraId="57055B77">
            <w:pPr>
              <w:pStyle w:val="7"/>
              <w:spacing w:before="184" w:line="217" w:lineRule="auto"/>
              <w:ind w:left="2138"/>
            </w:pPr>
            <w:r>
              <w:rPr>
                <w:spacing w:val="-21"/>
              </w:rPr>
              <w:t>损坏、缺失或移动的标识或防护，应及时复位。</w:t>
            </w:r>
          </w:p>
        </w:tc>
      </w:tr>
    </w:tbl>
    <w:p w14:paraId="729FB45D">
      <w:pPr>
        <w:pStyle w:val="2"/>
        <w:spacing w:before="115" w:line="219" w:lineRule="auto"/>
        <w:ind w:left="1890"/>
        <w:rPr>
          <w:sz w:val="24"/>
          <w:szCs w:val="24"/>
        </w:rPr>
      </w:pPr>
      <w:r>
        <w:rPr>
          <w:spacing w:val="-18"/>
          <w:sz w:val="24"/>
          <w:szCs w:val="24"/>
        </w:rPr>
        <w:t>5、卫生防疫管理措施</w:t>
      </w:r>
    </w:p>
    <w:tbl>
      <w:tblPr>
        <w:tblStyle w:val="6"/>
        <w:tblW w:w="9673" w:type="dxa"/>
        <w:tblInd w:w="1116" w:type="dxa"/>
        <w:tblBorders>
          <w:top w:val="single" w:color="5B9BD5" w:sz="4" w:space="0"/>
          <w:left w:val="single" w:color="5B9BD5" w:sz="4" w:space="0"/>
          <w:bottom w:val="single" w:color="5B9BD5" w:sz="4" w:space="0"/>
          <w:right w:val="single" w:color="5B9BD5" w:sz="4" w:space="0"/>
          <w:insideH w:val="single" w:color="5B9BD5" w:sz="4" w:space="0"/>
          <w:insideV w:val="single" w:color="5B9BD5" w:sz="4" w:space="0"/>
        </w:tblBorders>
        <w:tblLayout w:type="fixed"/>
        <w:tblCellMar>
          <w:top w:w="0" w:type="dxa"/>
          <w:left w:w="0" w:type="dxa"/>
          <w:bottom w:w="0" w:type="dxa"/>
          <w:right w:w="0" w:type="dxa"/>
        </w:tblCellMar>
      </w:tblPr>
      <w:tblGrid>
        <w:gridCol w:w="854"/>
        <w:gridCol w:w="6702"/>
        <w:gridCol w:w="2117"/>
      </w:tblGrid>
      <w:tr w14:paraId="47F5F9C9">
        <w:tblPrEx>
          <w:tblBorders>
            <w:top w:val="single" w:color="5B9BD5" w:sz="4" w:space="0"/>
            <w:left w:val="single" w:color="5B9BD5" w:sz="4" w:space="0"/>
            <w:bottom w:val="single" w:color="5B9BD5" w:sz="4" w:space="0"/>
            <w:right w:val="single" w:color="5B9BD5" w:sz="4" w:space="0"/>
            <w:insideH w:val="single" w:color="5B9BD5" w:sz="4" w:space="0"/>
            <w:insideV w:val="single" w:color="5B9BD5" w:sz="4" w:space="0"/>
          </w:tblBorders>
          <w:tblCellMar>
            <w:top w:w="0" w:type="dxa"/>
            <w:left w:w="0" w:type="dxa"/>
            <w:bottom w:w="0" w:type="dxa"/>
            <w:right w:w="0" w:type="dxa"/>
          </w:tblCellMar>
        </w:tblPrEx>
        <w:trPr>
          <w:trHeight w:val="619" w:hRule="atLeast"/>
        </w:trPr>
        <w:tc>
          <w:tcPr>
            <w:tcW w:w="854" w:type="dxa"/>
            <w:tcBorders>
              <w:top w:val="single" w:color="1C456A" w:sz="4" w:space="0"/>
              <w:left w:val="single" w:color="1C456A" w:sz="4" w:space="0"/>
              <w:bottom w:val="nil"/>
              <w:right w:val="single" w:color="000000" w:sz="2" w:space="0"/>
            </w:tcBorders>
            <w:shd w:val="clear" w:color="auto" w:fill="DEEAF6"/>
            <w:vAlign w:val="top"/>
          </w:tcPr>
          <w:p w14:paraId="21A792AA">
            <w:pPr>
              <w:spacing w:line="93" w:lineRule="exact"/>
            </w:pPr>
            <w:r>
              <w:rPr>
                <w:position w:val="-1"/>
              </w:rPr>
              <w:pict>
                <v:group id="_x0000_s3341" o:spid="_x0000_s3341" o:spt="203" style="height:5.2pt;width:43.6pt;" coordsize="871,103">
                  <o:lock v:ext="edit"/>
                  <v:shape id="_x0000_s3342" o:spid="_x0000_s3342" style="position:absolute;left:0;top:0;height:15;width:44;" fillcolor="#5B9BD5" filled="t" stroked="f" coordsize="44,15" path="m0,14l43,14,43,0,0,0,0,14xe">
                    <v:path/>
                    <v:fill on="t" focussize="0,0"/>
                    <v:stroke on="f"/>
                    <v:imagedata o:title=""/>
                    <o:lock v:ext="edit"/>
                  </v:shape>
                  <v:shape id="_x0000_s3343" o:spid="_x0000_s3343" style="position:absolute;left:43;top:43;height:60;width:785;" fillcolor="#DEEAF6" filled="t" stroked="f" coordsize="785,60" path="m0,60l785,60,785,0,0,0,0,60xe">
                    <v:path/>
                    <v:fill on="t" focussize="0,0"/>
                    <v:stroke on="f"/>
                    <v:imagedata o:title=""/>
                    <o:lock v:ext="edit"/>
                  </v:shape>
                  <v:shape id="_x0000_s3344" o:spid="_x0000_s3344" style="position:absolute;left:828;top:0;height:15;width:44;" fillcolor="#5B9BD5" filled="t" stroked="f" coordsize="44,15" path="m0,14l43,14,43,0,0,0,0,14xe">
                    <v:path/>
                    <v:fill on="t" focussize="0,0"/>
                    <v:stroke on="f"/>
                    <v:imagedata o:title=""/>
                    <o:lock v:ext="edit"/>
                  </v:shape>
                  <v:shape id="_x0000_s3345" o:spid="_x0000_s3345" style="position:absolute;left:828;top:14;height:15;width:44;" fillcolor="#20507B" filled="t" stroked="f" coordsize="44,15" path="m0,14l43,14,43,0,0,0,0,14xe">
                    <v:path/>
                    <v:fill on="t" focussize="0,0"/>
                    <v:stroke on="f"/>
                    <v:imagedata o:title=""/>
                    <o:lock v:ext="edit"/>
                  </v:shape>
                  <v:shape id="_x0000_s3346" o:spid="_x0000_s3346" style="position:absolute;left:828;top:28;height:15;width:44;" fillcolor="#1C456A" filled="t" stroked="f" coordsize="44,15" path="m0,14l43,14,43,0,0,0,0,14xe">
                    <v:path/>
                    <v:fill on="t" focussize="0,0"/>
                    <v:stroke on="f"/>
                    <v:imagedata o:title=""/>
                    <o:lock v:ext="edit"/>
                  </v:shape>
                  <w10:wrap type="none"/>
                  <w10:anchorlock/>
                </v:group>
              </w:pict>
            </w:r>
          </w:p>
          <w:p w14:paraId="53038079">
            <w:pPr>
              <w:pStyle w:val="7"/>
              <w:spacing w:before="33" w:line="218" w:lineRule="auto"/>
              <w:ind w:left="215"/>
            </w:pPr>
            <w:r>
              <w:rPr>
                <w:b/>
                <w:bCs/>
                <w:spacing w:val="-12"/>
              </w:rPr>
              <w:t>序号</w:t>
            </w:r>
          </w:p>
          <w:p w14:paraId="3A801A44">
            <w:pPr>
              <w:spacing w:before="145" w:line="53" w:lineRule="exact"/>
              <w:ind w:firstLine="11"/>
            </w:pPr>
            <w:r>
              <w:rPr>
                <w:position w:val="-1"/>
              </w:rPr>
              <w:pict>
                <v:shape id="_x0000_s3347" o:spid="_x0000_s3347" style="height:2.9pt;width:40.6pt;" fillcolor="#DEEAF6" filled="t" stroked="f" coordsize="811,58" path="m0,57l811,57,811,0,0,0,0,57xe">
                  <v:path/>
                  <v:fill on="t" focussize="0,0"/>
                  <v:stroke on="f"/>
                  <v:imagedata o:title=""/>
                  <o:lock v:ext="edit"/>
                  <w10:wrap type="none"/>
                  <w10:anchorlock/>
                </v:shape>
              </w:pict>
            </w:r>
          </w:p>
        </w:tc>
        <w:tc>
          <w:tcPr>
            <w:tcW w:w="6702" w:type="dxa"/>
            <w:vMerge w:val="restart"/>
            <w:tcBorders>
              <w:left w:val="single" w:color="000000" w:sz="2" w:space="0"/>
              <w:bottom w:val="nil"/>
              <w:right w:val="nil"/>
            </w:tcBorders>
            <w:shd w:val="clear" w:color="auto" w:fill="DEEAF6"/>
            <w:vAlign w:val="top"/>
          </w:tcPr>
          <w:p w14:paraId="2EFDEA69">
            <w:pPr>
              <w:pStyle w:val="7"/>
              <w:spacing w:before="127" w:line="218" w:lineRule="auto"/>
              <w:ind w:left="4212"/>
            </w:pPr>
            <w:r>
              <w:rPr>
                <w:b/>
                <w:bCs/>
                <w:spacing w:val="-20"/>
              </w:rPr>
              <w:t>内容</w:t>
            </w:r>
          </w:p>
        </w:tc>
        <w:tc>
          <w:tcPr>
            <w:tcW w:w="2117" w:type="dxa"/>
            <w:vMerge w:val="restart"/>
            <w:tcBorders>
              <w:left w:val="nil"/>
              <w:bottom w:val="nil"/>
            </w:tcBorders>
            <w:shd w:val="clear" w:color="auto" w:fill="DEEAF6"/>
            <w:vAlign w:val="top"/>
          </w:tcPr>
          <w:p w14:paraId="7E79290F">
            <w:pPr>
              <w:rPr>
                <w:rFonts w:ascii="Arial"/>
                <w:sz w:val="21"/>
              </w:rPr>
            </w:pPr>
            <w:r>
              <w:pict>
                <v:shape id="_x0000_s3348" o:spid="_x0000_s3348" style="position:absolute;left:0pt;margin-left:104pt;margin-top:0pt;height:0.75pt;width:2.2pt;mso-position-horizontal-relative:page;mso-position-vertical-relative:page;z-index:252010496;mso-width-relative:page;mso-height-relative:page;" fillcolor="#5B9BD5" filled="t" stroked="f" coordsize="44,15" path="m0,14l43,14,43,0,0,0,0,14xe">
                  <v:path/>
                  <v:fill on="t" focussize="0,0"/>
                  <v:stroke on="f"/>
                  <v:imagedata o:title=""/>
                  <o:lock v:ext="edit"/>
                </v:shape>
              </w:pict>
            </w:r>
            <w:r>
              <w:pict>
                <v:shape id="_x0000_s3349" o:spid="_x0000_s3349" style="position:absolute;left:0pt;margin-left:104pt;margin-top:32.75pt;height:0.75pt;width:2.2pt;mso-position-horizontal-relative:page;mso-position-vertical-relative:page;z-index:252009472;mso-width-relative:page;mso-height-relative:page;" fillcolor="#5B9BD5" filled="t" stroked="f" coordsize="44,15" path="m0,14l43,14,43,0,0,0,0,14xe">
                  <v:path/>
                  <v:fill on="t" focussize="0,0"/>
                  <v:stroke on="f"/>
                  <v:imagedata o:title=""/>
                  <o:lock v:ext="edit"/>
                </v:shape>
              </w:pict>
            </w:r>
          </w:p>
        </w:tc>
      </w:tr>
      <w:tr w14:paraId="1A1F441B">
        <w:tblPrEx>
          <w:tblBorders>
            <w:top w:val="single" w:color="5B9BD5" w:sz="4" w:space="0"/>
            <w:left w:val="single" w:color="5B9BD5" w:sz="4" w:space="0"/>
            <w:bottom w:val="single" w:color="5B9BD5" w:sz="4" w:space="0"/>
            <w:right w:val="single" w:color="5B9BD5" w:sz="4" w:space="0"/>
            <w:insideH w:val="single" w:color="5B9BD5" w:sz="4" w:space="0"/>
            <w:insideV w:val="single" w:color="5B9BD5" w:sz="4" w:space="0"/>
          </w:tblBorders>
          <w:tblCellMar>
            <w:top w:w="0" w:type="dxa"/>
            <w:left w:w="0" w:type="dxa"/>
            <w:bottom w:w="0" w:type="dxa"/>
            <w:right w:w="0" w:type="dxa"/>
          </w:tblCellMar>
        </w:tblPrEx>
        <w:trPr>
          <w:trHeight w:val="30" w:hRule="atLeast"/>
        </w:trPr>
        <w:tc>
          <w:tcPr>
            <w:tcW w:w="854" w:type="dxa"/>
            <w:tcBorders>
              <w:top w:val="nil"/>
              <w:left w:val="single" w:color="1C456A" w:sz="4" w:space="0"/>
              <w:bottom w:val="single" w:color="1C456A" w:sz="2" w:space="0"/>
              <w:right w:val="single" w:color="000000" w:sz="2" w:space="0"/>
            </w:tcBorders>
            <w:vAlign w:val="top"/>
          </w:tcPr>
          <w:p w14:paraId="5B2394B5">
            <w:pPr>
              <w:spacing w:line="20" w:lineRule="exact"/>
              <w:rPr>
                <w:rFonts w:ascii="Arial"/>
                <w:sz w:val="2"/>
              </w:rPr>
            </w:pPr>
            <w:r>
              <w:pict>
                <v:shape id="_x0000_s3350" o:spid="_x0000_s3350" style="position:absolute;left:0pt;margin-left:-0.2pt;margin-top:1.3pt;height:0.75pt;width:2.2pt;mso-position-horizontal-relative:page;mso-position-vertical-relative:page;z-index:252008448;mso-width-relative:page;mso-height-relative:page;" fillcolor="#5B9BD5" filled="t" stroked="f" coordsize="44,15" path="m0,14l43,14,43,0,0,0,0,14xe">
                  <v:path/>
                  <v:fill on="t" focussize="0,0"/>
                  <v:stroke on="f"/>
                  <v:imagedata o:title=""/>
                  <o:lock v:ext="edit"/>
                </v:shape>
              </w:pict>
            </w:r>
          </w:p>
        </w:tc>
        <w:tc>
          <w:tcPr>
            <w:tcW w:w="6702" w:type="dxa"/>
            <w:vMerge w:val="continue"/>
            <w:tcBorders>
              <w:top w:val="nil"/>
              <w:left w:val="single" w:color="000000" w:sz="2" w:space="0"/>
              <w:right w:val="nil"/>
            </w:tcBorders>
            <w:vAlign w:val="top"/>
          </w:tcPr>
          <w:p w14:paraId="52B7F4F2">
            <w:pPr>
              <w:rPr>
                <w:rFonts w:ascii="Arial"/>
                <w:sz w:val="21"/>
              </w:rPr>
            </w:pPr>
          </w:p>
        </w:tc>
        <w:tc>
          <w:tcPr>
            <w:tcW w:w="2117" w:type="dxa"/>
            <w:vMerge w:val="continue"/>
            <w:tcBorders>
              <w:top w:val="nil"/>
              <w:left w:val="nil"/>
            </w:tcBorders>
            <w:vAlign w:val="top"/>
          </w:tcPr>
          <w:p w14:paraId="7319582E">
            <w:pPr>
              <w:rPr>
                <w:rFonts w:ascii="Arial"/>
                <w:sz w:val="21"/>
              </w:rPr>
            </w:pPr>
          </w:p>
        </w:tc>
      </w:tr>
    </w:tbl>
    <w:p w14:paraId="6481F250">
      <w:pPr>
        <w:spacing w:line="219" w:lineRule="exact"/>
        <w:rPr>
          <w:rFonts w:ascii="Arial"/>
          <w:sz w:val="19"/>
        </w:rPr>
      </w:pPr>
    </w:p>
    <w:p w14:paraId="7EFCC736">
      <w:pPr>
        <w:spacing w:line="219" w:lineRule="exact"/>
        <w:rPr>
          <w:rFonts w:ascii="Arial" w:hAnsi="Arial" w:eastAsia="Arial" w:cs="Arial"/>
          <w:sz w:val="19"/>
          <w:szCs w:val="19"/>
        </w:rPr>
        <w:sectPr>
          <w:footerReference r:id="rId169" w:type="default"/>
          <w:pgSz w:w="11907" w:h="16839"/>
          <w:pgMar w:top="954" w:right="4" w:bottom="1038" w:left="0" w:header="499" w:footer="357" w:gutter="0"/>
          <w:pgBorders>
            <w:top w:val="none" w:sz="0" w:space="0"/>
            <w:left w:val="none" w:sz="0" w:space="0"/>
            <w:bottom w:val="none" w:sz="0" w:space="0"/>
            <w:right w:val="none" w:sz="0" w:space="0"/>
          </w:pgBorders>
          <w:cols w:space="720" w:num="1"/>
        </w:sectPr>
      </w:pPr>
    </w:p>
    <w:p w14:paraId="0484230B">
      <w:pPr>
        <w:spacing w:line="214" w:lineRule="exact"/>
      </w:pPr>
    </w:p>
    <w:tbl>
      <w:tblPr>
        <w:tblStyle w:val="6"/>
        <w:tblW w:w="9673" w:type="dxa"/>
        <w:tblInd w:w="1116"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32"/>
        <w:gridCol w:w="4287"/>
        <w:gridCol w:w="4554"/>
      </w:tblGrid>
      <w:tr w14:paraId="0F9672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89" w:hRule="atLeast"/>
        </w:trPr>
        <w:tc>
          <w:tcPr>
            <w:tcW w:w="832" w:type="dxa"/>
            <w:tcBorders>
              <w:top w:val="single" w:color="000000" w:sz="4" w:space="0"/>
              <w:left w:val="single" w:color="000000" w:sz="4" w:space="0"/>
            </w:tcBorders>
            <w:vAlign w:val="top"/>
          </w:tcPr>
          <w:p w14:paraId="44CB7DF7">
            <w:pPr>
              <w:spacing w:line="282" w:lineRule="auto"/>
              <w:rPr>
                <w:rFonts w:ascii="Arial"/>
                <w:sz w:val="21"/>
              </w:rPr>
            </w:pPr>
          </w:p>
          <w:p w14:paraId="093DC93A">
            <w:pPr>
              <w:pStyle w:val="7"/>
              <w:spacing w:before="78" w:line="238" w:lineRule="auto"/>
              <w:ind w:left="388"/>
            </w:pPr>
            <w:r>
              <w:t>1</w:t>
            </w:r>
          </w:p>
        </w:tc>
        <w:tc>
          <w:tcPr>
            <w:tcW w:w="8841" w:type="dxa"/>
            <w:gridSpan w:val="2"/>
            <w:tcBorders>
              <w:top w:val="single" w:color="5B9BD5" w:sz="4" w:space="0"/>
              <w:right w:val="single" w:color="5B9BD5" w:sz="4" w:space="0"/>
            </w:tcBorders>
            <w:vAlign w:val="top"/>
          </w:tcPr>
          <w:p w14:paraId="58FE00E0">
            <w:pPr>
              <w:pStyle w:val="7"/>
              <w:spacing w:before="129" w:line="216" w:lineRule="auto"/>
              <w:ind w:left="66"/>
            </w:pPr>
            <w:r>
              <w:rPr>
                <w:spacing w:val="-21"/>
              </w:rPr>
              <w:t>施工现场办公区、场外生活区卫生工作由专人</w:t>
            </w:r>
            <w:r>
              <w:rPr>
                <w:spacing w:val="-22"/>
              </w:rPr>
              <w:t>进行负责，明确责任。实行场地卫生片区包干</w:t>
            </w:r>
          </w:p>
          <w:p w14:paraId="6C40A165">
            <w:pPr>
              <w:pStyle w:val="7"/>
              <w:spacing w:before="185" w:line="217" w:lineRule="auto"/>
              <w:ind w:left="2353"/>
            </w:pPr>
            <w:r>
              <w:rPr>
                <w:spacing w:val="-21"/>
              </w:rPr>
              <w:t>制度，明确施工现场各区域的卫生负责人。</w:t>
            </w:r>
          </w:p>
        </w:tc>
      </w:tr>
      <w:tr w14:paraId="35C2C7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5" w:hRule="atLeast"/>
        </w:trPr>
        <w:tc>
          <w:tcPr>
            <w:tcW w:w="832" w:type="dxa"/>
            <w:tcBorders>
              <w:left w:val="single" w:color="000000" w:sz="4" w:space="0"/>
            </w:tcBorders>
            <w:vAlign w:val="top"/>
          </w:tcPr>
          <w:p w14:paraId="2C296416">
            <w:pPr>
              <w:pStyle w:val="7"/>
              <w:spacing w:before="92" w:line="238" w:lineRule="auto"/>
              <w:ind w:left="373"/>
            </w:pPr>
            <w:r>
              <w:t>2</w:t>
            </w:r>
          </w:p>
        </w:tc>
        <w:tc>
          <w:tcPr>
            <w:tcW w:w="8841" w:type="dxa"/>
            <w:gridSpan w:val="2"/>
            <w:tcBorders>
              <w:right w:val="single" w:color="000000" w:sz="4" w:space="0"/>
            </w:tcBorders>
            <w:vAlign w:val="top"/>
          </w:tcPr>
          <w:p w14:paraId="4050083B">
            <w:pPr>
              <w:pStyle w:val="7"/>
              <w:spacing w:before="92" w:line="215" w:lineRule="auto"/>
              <w:ind w:left="180"/>
            </w:pPr>
            <w:r>
              <w:rPr>
                <w:spacing w:val="-21"/>
              </w:rPr>
              <w:t>办公区生活区应保持整洁卫生，垃圾应存放</w:t>
            </w:r>
            <w:r>
              <w:rPr>
                <w:spacing w:val="-22"/>
              </w:rPr>
              <w:t>在密闭式容器中，定期灭蝇，每天进行清理。</w:t>
            </w:r>
          </w:p>
        </w:tc>
      </w:tr>
      <w:tr w14:paraId="212FE2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53" w:hRule="atLeast"/>
        </w:trPr>
        <w:tc>
          <w:tcPr>
            <w:tcW w:w="832" w:type="dxa"/>
            <w:tcBorders>
              <w:left w:val="single" w:color="000000" w:sz="4" w:space="0"/>
            </w:tcBorders>
            <w:vAlign w:val="top"/>
          </w:tcPr>
          <w:p w14:paraId="35BE4820">
            <w:pPr>
              <w:spacing w:line="247" w:lineRule="auto"/>
              <w:rPr>
                <w:rFonts w:ascii="Arial"/>
                <w:sz w:val="21"/>
              </w:rPr>
            </w:pPr>
          </w:p>
          <w:p w14:paraId="58987C0B">
            <w:pPr>
              <w:pStyle w:val="7"/>
              <w:spacing w:before="78" w:line="237" w:lineRule="auto"/>
              <w:ind w:left="375"/>
            </w:pPr>
            <w:r>
              <w:t>3</w:t>
            </w:r>
          </w:p>
        </w:tc>
        <w:tc>
          <w:tcPr>
            <w:tcW w:w="8841" w:type="dxa"/>
            <w:gridSpan w:val="2"/>
            <w:tcBorders>
              <w:right w:val="single" w:color="000000" w:sz="4" w:space="0"/>
            </w:tcBorders>
            <w:vAlign w:val="top"/>
          </w:tcPr>
          <w:p w14:paraId="765D2632">
            <w:pPr>
              <w:pStyle w:val="7"/>
              <w:spacing w:before="94" w:line="215" w:lineRule="auto"/>
              <w:ind w:left="66"/>
            </w:pPr>
            <w:r>
              <w:rPr>
                <w:spacing w:val="-21"/>
              </w:rPr>
              <w:t>施工现场办公区应保持长期整洁，定责任人</w:t>
            </w:r>
            <w:r>
              <w:rPr>
                <w:spacing w:val="-22"/>
              </w:rPr>
              <w:t>、责任区管理并按规定在工程竣工交用后及时清</w:t>
            </w:r>
          </w:p>
          <w:p w14:paraId="13A24FD0">
            <w:pPr>
              <w:pStyle w:val="7"/>
              <w:spacing w:before="185" w:line="216" w:lineRule="auto"/>
              <w:ind w:left="1163"/>
            </w:pPr>
            <w:r>
              <w:rPr>
                <w:spacing w:val="-22"/>
              </w:rPr>
              <w:t>除，保证无异味、无燃明火，作好防四害工作，保证正常办公秩序。</w:t>
            </w:r>
          </w:p>
        </w:tc>
      </w:tr>
      <w:tr w14:paraId="48846B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50" w:hRule="atLeast"/>
        </w:trPr>
        <w:tc>
          <w:tcPr>
            <w:tcW w:w="832" w:type="dxa"/>
            <w:tcBorders>
              <w:left w:val="single" w:color="000000" w:sz="4" w:space="0"/>
            </w:tcBorders>
            <w:vAlign w:val="top"/>
          </w:tcPr>
          <w:p w14:paraId="3CD491C2">
            <w:pPr>
              <w:spacing w:line="248" w:lineRule="auto"/>
              <w:rPr>
                <w:rFonts w:ascii="Arial"/>
                <w:sz w:val="21"/>
              </w:rPr>
            </w:pPr>
          </w:p>
          <w:p w14:paraId="7B4B248C">
            <w:pPr>
              <w:pStyle w:val="7"/>
              <w:spacing w:before="78" w:line="238" w:lineRule="auto"/>
              <w:ind w:left="369"/>
            </w:pPr>
            <w:r>
              <w:t>4</w:t>
            </w:r>
          </w:p>
        </w:tc>
        <w:tc>
          <w:tcPr>
            <w:tcW w:w="8841" w:type="dxa"/>
            <w:gridSpan w:val="2"/>
            <w:tcBorders>
              <w:right w:val="single" w:color="000000" w:sz="4" w:space="0"/>
            </w:tcBorders>
            <w:vAlign w:val="top"/>
          </w:tcPr>
          <w:p w14:paraId="51BA6757">
            <w:pPr>
              <w:pStyle w:val="7"/>
              <w:spacing w:before="92" w:line="216" w:lineRule="auto"/>
              <w:ind w:left="67"/>
            </w:pPr>
            <w:r>
              <w:rPr>
                <w:spacing w:val="-22"/>
              </w:rPr>
              <w:t>建立食品卫生管理制度，严格执行食品卫生法和有关管理规定。食堂和操作间相对固定</w:t>
            </w:r>
            <w:r>
              <w:rPr>
                <w:spacing w:val="-23"/>
              </w:rPr>
              <w:t>、封</w:t>
            </w:r>
          </w:p>
          <w:p w14:paraId="709ADA47">
            <w:pPr>
              <w:pStyle w:val="7"/>
              <w:spacing w:before="187" w:line="216" w:lineRule="auto"/>
              <w:ind w:left="1830"/>
            </w:pPr>
            <w:r>
              <w:rPr>
                <w:spacing w:val="-22"/>
              </w:rPr>
              <w:t>闭，并且具备清洗消毒的条件和杜绝传染疾病的措施。</w:t>
            </w:r>
          </w:p>
        </w:tc>
      </w:tr>
      <w:tr w14:paraId="771015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5" w:hRule="atLeast"/>
        </w:trPr>
        <w:tc>
          <w:tcPr>
            <w:tcW w:w="832" w:type="dxa"/>
            <w:tcBorders>
              <w:left w:val="single" w:color="000000" w:sz="4" w:space="0"/>
            </w:tcBorders>
            <w:vAlign w:val="top"/>
          </w:tcPr>
          <w:p w14:paraId="2DC60EF2">
            <w:pPr>
              <w:pStyle w:val="7"/>
              <w:spacing w:before="95" w:line="237" w:lineRule="auto"/>
              <w:ind w:left="375"/>
            </w:pPr>
            <w:r>
              <w:t>5</w:t>
            </w:r>
          </w:p>
        </w:tc>
        <w:tc>
          <w:tcPr>
            <w:tcW w:w="8841" w:type="dxa"/>
            <w:gridSpan w:val="2"/>
            <w:tcBorders>
              <w:right w:val="single" w:color="000000" w:sz="4" w:space="0"/>
            </w:tcBorders>
            <w:vAlign w:val="top"/>
          </w:tcPr>
          <w:p w14:paraId="6238288B">
            <w:pPr>
              <w:pStyle w:val="7"/>
              <w:spacing w:before="96" w:line="218" w:lineRule="auto"/>
              <w:ind w:left="405"/>
            </w:pPr>
            <w:r>
              <w:rPr>
                <w:spacing w:val="-22"/>
              </w:rPr>
              <w:t>生活区临时食堂必须具备食堂卫生许可证、炊事人员身体健康证、卫生知识培训证。</w:t>
            </w:r>
          </w:p>
        </w:tc>
      </w:tr>
      <w:tr w14:paraId="699979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7" w:hRule="atLeast"/>
        </w:trPr>
        <w:tc>
          <w:tcPr>
            <w:tcW w:w="832" w:type="dxa"/>
            <w:tcBorders>
              <w:left w:val="single" w:color="000000" w:sz="4" w:space="0"/>
            </w:tcBorders>
            <w:vAlign w:val="top"/>
          </w:tcPr>
          <w:p w14:paraId="1FF080CF">
            <w:pPr>
              <w:pStyle w:val="7"/>
              <w:spacing w:before="96" w:line="237" w:lineRule="auto"/>
              <w:ind w:left="372"/>
            </w:pPr>
            <w:r>
              <w:t>6</w:t>
            </w:r>
          </w:p>
        </w:tc>
        <w:tc>
          <w:tcPr>
            <w:tcW w:w="8841" w:type="dxa"/>
            <w:gridSpan w:val="2"/>
            <w:tcBorders>
              <w:right w:val="single" w:color="000000" w:sz="4" w:space="0"/>
            </w:tcBorders>
            <w:vAlign w:val="top"/>
          </w:tcPr>
          <w:p w14:paraId="1E0238BA">
            <w:pPr>
              <w:pStyle w:val="7"/>
              <w:spacing w:before="97" w:line="215" w:lineRule="auto"/>
              <w:ind w:left="1588"/>
            </w:pPr>
            <w:r>
              <w:rPr>
                <w:spacing w:val="-21"/>
              </w:rPr>
              <w:t>操作间必须有生熟分开的刀、盆、案板等炊具及存放柜橱。</w:t>
            </w:r>
          </w:p>
        </w:tc>
      </w:tr>
      <w:tr w14:paraId="2EA33A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5" w:hRule="atLeast"/>
        </w:trPr>
        <w:tc>
          <w:tcPr>
            <w:tcW w:w="9673" w:type="dxa"/>
            <w:gridSpan w:val="3"/>
            <w:tcBorders>
              <w:left w:val="single" w:color="000000" w:sz="4" w:space="0"/>
              <w:right w:val="single" w:color="000000" w:sz="4" w:space="0"/>
            </w:tcBorders>
            <w:vAlign w:val="top"/>
          </w:tcPr>
          <w:p w14:paraId="39BFD8BC">
            <w:pPr>
              <w:pStyle w:val="7"/>
              <w:spacing w:before="97" w:line="218" w:lineRule="auto"/>
              <w:ind w:left="4195"/>
            </w:pPr>
            <w:r>
              <w:rPr>
                <w:spacing w:val="-18"/>
              </w:rPr>
              <w:t>具体措施内容</w:t>
            </w:r>
          </w:p>
        </w:tc>
      </w:tr>
      <w:tr w14:paraId="4044D8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95" w:hRule="atLeast"/>
        </w:trPr>
        <w:tc>
          <w:tcPr>
            <w:tcW w:w="832" w:type="dxa"/>
            <w:vMerge w:val="restart"/>
            <w:tcBorders>
              <w:left w:val="single" w:color="000000" w:sz="4" w:space="0"/>
              <w:bottom w:val="nil"/>
            </w:tcBorders>
            <w:vAlign w:val="top"/>
          </w:tcPr>
          <w:p w14:paraId="5350A0E2">
            <w:pPr>
              <w:spacing w:line="245" w:lineRule="auto"/>
              <w:rPr>
                <w:rFonts w:ascii="Arial"/>
                <w:sz w:val="21"/>
              </w:rPr>
            </w:pPr>
          </w:p>
          <w:p w14:paraId="60306C8E">
            <w:pPr>
              <w:spacing w:line="246" w:lineRule="auto"/>
              <w:rPr>
                <w:rFonts w:ascii="Arial"/>
                <w:sz w:val="21"/>
              </w:rPr>
            </w:pPr>
          </w:p>
          <w:p w14:paraId="4250DF20">
            <w:pPr>
              <w:spacing w:line="246" w:lineRule="auto"/>
              <w:rPr>
                <w:rFonts w:ascii="Arial"/>
                <w:sz w:val="21"/>
              </w:rPr>
            </w:pPr>
          </w:p>
          <w:p w14:paraId="522529A6">
            <w:pPr>
              <w:spacing w:line="246" w:lineRule="auto"/>
              <w:rPr>
                <w:rFonts w:ascii="Arial"/>
                <w:sz w:val="21"/>
              </w:rPr>
            </w:pPr>
          </w:p>
          <w:p w14:paraId="5B83FAAD">
            <w:pPr>
              <w:spacing w:line="246" w:lineRule="auto"/>
              <w:rPr>
                <w:rFonts w:ascii="Arial"/>
                <w:sz w:val="21"/>
              </w:rPr>
            </w:pPr>
          </w:p>
          <w:p w14:paraId="3A0E3494">
            <w:pPr>
              <w:pStyle w:val="7"/>
              <w:spacing w:before="78" w:line="220" w:lineRule="auto"/>
              <w:ind w:left="108"/>
            </w:pPr>
            <w:r>
              <w:rPr>
                <w:spacing w:val="-14"/>
              </w:rPr>
              <w:t>卫生防</w:t>
            </w:r>
          </w:p>
          <w:p w14:paraId="2FF51DB0">
            <w:pPr>
              <w:pStyle w:val="7"/>
              <w:spacing w:before="181" w:line="219" w:lineRule="auto"/>
              <w:ind w:left="105"/>
            </w:pPr>
            <w:r>
              <w:rPr>
                <w:spacing w:val="-13"/>
              </w:rPr>
              <w:t>疫措施</w:t>
            </w:r>
          </w:p>
        </w:tc>
        <w:tc>
          <w:tcPr>
            <w:tcW w:w="4287" w:type="dxa"/>
            <w:vAlign w:val="top"/>
          </w:tcPr>
          <w:p w14:paraId="2AE0C6FE">
            <w:pPr>
              <w:spacing w:before="61" w:line="2623" w:lineRule="exact"/>
              <w:ind w:firstLine="139"/>
            </w:pPr>
            <w:r>
              <w:rPr>
                <w:position w:val="-52"/>
              </w:rPr>
              <w:drawing>
                <wp:inline distT="0" distB="0" distL="0" distR="0">
                  <wp:extent cx="2538730" cy="1665605"/>
                  <wp:effectExtent l="0" t="0" r="0" b="0"/>
                  <wp:docPr id="868" name="IM 868"/>
                  <wp:cNvGraphicFramePr/>
                  <a:graphic xmlns:a="http://schemas.openxmlformats.org/drawingml/2006/main">
                    <a:graphicData uri="http://schemas.openxmlformats.org/drawingml/2006/picture">
                      <pic:pic xmlns:pic="http://schemas.openxmlformats.org/drawingml/2006/picture">
                        <pic:nvPicPr>
                          <pic:cNvPr id="868" name="IM 868"/>
                          <pic:cNvPicPr/>
                        </pic:nvPicPr>
                        <pic:blipFill>
                          <a:blip r:embed="rId625"/>
                          <a:stretch>
                            <a:fillRect/>
                          </a:stretch>
                        </pic:blipFill>
                        <pic:spPr>
                          <a:xfrm>
                            <a:off x="0" y="0"/>
                            <a:ext cx="2539364" cy="1665605"/>
                          </a:xfrm>
                          <a:prstGeom prst="rect">
                            <a:avLst/>
                          </a:prstGeom>
                        </pic:spPr>
                      </pic:pic>
                    </a:graphicData>
                  </a:graphic>
                </wp:inline>
              </w:drawing>
            </w:r>
          </w:p>
        </w:tc>
        <w:tc>
          <w:tcPr>
            <w:tcW w:w="4554" w:type="dxa"/>
            <w:tcBorders>
              <w:right w:val="single" w:color="000000" w:sz="4" w:space="0"/>
            </w:tcBorders>
            <w:vAlign w:val="top"/>
          </w:tcPr>
          <w:p w14:paraId="64E227C3">
            <w:pPr>
              <w:spacing w:before="92" w:line="2558" w:lineRule="exact"/>
              <w:ind w:firstLine="266"/>
            </w:pPr>
            <w:r>
              <w:rPr>
                <w:position w:val="-51"/>
              </w:rPr>
              <w:drawing>
                <wp:inline distT="0" distB="0" distL="0" distR="0">
                  <wp:extent cx="2538095" cy="1623695"/>
                  <wp:effectExtent l="0" t="0" r="0" b="0"/>
                  <wp:docPr id="870" name="IM 870"/>
                  <wp:cNvGraphicFramePr/>
                  <a:graphic xmlns:a="http://schemas.openxmlformats.org/drawingml/2006/main">
                    <a:graphicData uri="http://schemas.openxmlformats.org/drawingml/2006/picture">
                      <pic:pic xmlns:pic="http://schemas.openxmlformats.org/drawingml/2006/picture">
                        <pic:nvPicPr>
                          <pic:cNvPr id="870" name="IM 870"/>
                          <pic:cNvPicPr/>
                        </pic:nvPicPr>
                        <pic:blipFill>
                          <a:blip r:embed="rId626"/>
                          <a:stretch>
                            <a:fillRect/>
                          </a:stretch>
                        </pic:blipFill>
                        <pic:spPr>
                          <a:xfrm>
                            <a:off x="0" y="0"/>
                            <a:ext cx="2538729" cy="1624329"/>
                          </a:xfrm>
                          <a:prstGeom prst="rect">
                            <a:avLst/>
                          </a:prstGeom>
                        </pic:spPr>
                      </pic:pic>
                    </a:graphicData>
                  </a:graphic>
                </wp:inline>
              </w:drawing>
            </w:r>
          </w:p>
        </w:tc>
      </w:tr>
      <w:tr w14:paraId="099DD2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5" w:hRule="atLeast"/>
        </w:trPr>
        <w:tc>
          <w:tcPr>
            <w:tcW w:w="832" w:type="dxa"/>
            <w:vMerge w:val="continue"/>
            <w:tcBorders>
              <w:top w:val="nil"/>
              <w:left w:val="single" w:color="000000" w:sz="4" w:space="0"/>
            </w:tcBorders>
            <w:vAlign w:val="top"/>
          </w:tcPr>
          <w:p w14:paraId="036C5878">
            <w:pPr>
              <w:rPr>
                <w:rFonts w:ascii="Arial"/>
                <w:sz w:val="21"/>
              </w:rPr>
            </w:pPr>
          </w:p>
        </w:tc>
        <w:tc>
          <w:tcPr>
            <w:tcW w:w="4287" w:type="dxa"/>
            <w:vAlign w:val="top"/>
          </w:tcPr>
          <w:p w14:paraId="626A88F3">
            <w:pPr>
              <w:pStyle w:val="7"/>
              <w:spacing w:before="99" w:line="219" w:lineRule="auto"/>
              <w:ind w:left="1172"/>
            </w:pPr>
            <w:r>
              <w:rPr>
                <w:spacing w:val="-19"/>
              </w:rPr>
              <w:t>施工现场设置医务室</w:t>
            </w:r>
          </w:p>
        </w:tc>
        <w:tc>
          <w:tcPr>
            <w:tcW w:w="4554" w:type="dxa"/>
            <w:tcBorders>
              <w:right w:val="single" w:color="000000" w:sz="4" w:space="0"/>
            </w:tcBorders>
            <w:vAlign w:val="top"/>
          </w:tcPr>
          <w:p w14:paraId="02ADA170">
            <w:pPr>
              <w:pStyle w:val="7"/>
              <w:spacing w:before="100" w:line="218" w:lineRule="auto"/>
              <w:ind w:left="1105"/>
            </w:pPr>
            <w:r>
              <w:rPr>
                <w:spacing w:val="-22"/>
              </w:rPr>
              <w:t>医务室配置部分医疗设施</w:t>
            </w:r>
          </w:p>
        </w:tc>
      </w:tr>
      <w:tr w14:paraId="50FC3E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5" w:hRule="atLeast"/>
        </w:trPr>
        <w:tc>
          <w:tcPr>
            <w:tcW w:w="9673" w:type="dxa"/>
            <w:gridSpan w:val="3"/>
            <w:tcBorders>
              <w:left w:val="single" w:color="000000" w:sz="4" w:space="0"/>
              <w:right w:val="single" w:color="000000" w:sz="4" w:space="0"/>
            </w:tcBorders>
            <w:vAlign w:val="top"/>
          </w:tcPr>
          <w:p w14:paraId="4528BCD1">
            <w:pPr>
              <w:pStyle w:val="7"/>
              <w:spacing w:before="100" w:line="218" w:lineRule="auto"/>
              <w:ind w:left="4195"/>
            </w:pPr>
            <w:r>
              <w:rPr>
                <w:spacing w:val="-18"/>
              </w:rPr>
              <w:t>具体措施内容</w:t>
            </w:r>
          </w:p>
        </w:tc>
      </w:tr>
      <w:tr w14:paraId="5C0387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0" w:hRule="atLeast"/>
        </w:trPr>
        <w:tc>
          <w:tcPr>
            <w:tcW w:w="832" w:type="dxa"/>
            <w:vMerge w:val="restart"/>
            <w:tcBorders>
              <w:left w:val="single" w:color="1C456A" w:sz="4" w:space="0"/>
              <w:bottom w:val="nil"/>
            </w:tcBorders>
            <w:vAlign w:val="top"/>
          </w:tcPr>
          <w:p w14:paraId="13059899">
            <w:pPr>
              <w:spacing w:line="293" w:lineRule="auto"/>
              <w:rPr>
                <w:rFonts w:ascii="Arial"/>
                <w:sz w:val="21"/>
              </w:rPr>
            </w:pPr>
            <w:r>
              <w:pict>
                <v:shape id="_x0000_s3351" o:spid="_x0000_s3351" style="position:absolute;left:0pt;margin-left:-0.2pt;margin-top:193.6pt;height:0.75pt;width:2.2pt;mso-position-horizontal-relative:page;mso-position-vertical-relative:page;z-index:252017664;mso-width-relative:page;mso-height-relative:page;" fillcolor="#5B9BD5" filled="t" stroked="f" coordsize="44,15" path="m0,14l43,14,43,0,0,0,0,14xe">
                  <v:path/>
                  <v:fill on="t" focussize="0,0"/>
                  <v:stroke on="f"/>
                  <v:imagedata o:title=""/>
                  <o:lock v:ext="edit"/>
                </v:shape>
              </w:pict>
            </w:r>
          </w:p>
          <w:p w14:paraId="2632A767">
            <w:pPr>
              <w:spacing w:line="293" w:lineRule="auto"/>
              <w:rPr>
                <w:rFonts w:ascii="Arial"/>
                <w:sz w:val="21"/>
              </w:rPr>
            </w:pPr>
          </w:p>
          <w:p w14:paraId="7C78D102">
            <w:pPr>
              <w:spacing w:line="293" w:lineRule="auto"/>
              <w:rPr>
                <w:rFonts w:ascii="Arial"/>
                <w:sz w:val="21"/>
              </w:rPr>
            </w:pPr>
          </w:p>
          <w:p w14:paraId="63A3788A">
            <w:pPr>
              <w:spacing w:line="294" w:lineRule="auto"/>
              <w:rPr>
                <w:rFonts w:ascii="Arial"/>
                <w:sz w:val="21"/>
              </w:rPr>
            </w:pPr>
          </w:p>
          <w:p w14:paraId="4B67F968">
            <w:pPr>
              <w:pStyle w:val="7"/>
              <w:spacing w:before="78" w:line="222" w:lineRule="auto"/>
              <w:ind w:left="104"/>
            </w:pPr>
            <w:r>
              <w:rPr>
                <w:spacing w:val="-14"/>
              </w:rPr>
              <w:t>食堂卫</w:t>
            </w:r>
          </w:p>
          <w:p w14:paraId="57AAF9D4">
            <w:pPr>
              <w:pStyle w:val="7"/>
              <w:spacing w:before="179" w:line="360" w:lineRule="auto"/>
              <w:ind w:left="214" w:right="59" w:hanging="96"/>
            </w:pPr>
            <w:r>
              <w:rPr>
                <w:spacing w:val="-25"/>
              </w:rPr>
              <w:t>生防疫</w:t>
            </w:r>
            <w:r>
              <w:rPr>
                <w:spacing w:val="-10"/>
              </w:rPr>
              <w:t>措施</w:t>
            </w:r>
          </w:p>
        </w:tc>
        <w:tc>
          <w:tcPr>
            <w:tcW w:w="4287" w:type="dxa"/>
            <w:vAlign w:val="top"/>
          </w:tcPr>
          <w:p w14:paraId="1C6B3717">
            <w:pPr>
              <w:spacing w:before="63" w:line="2967" w:lineRule="exact"/>
              <w:ind w:firstLine="139"/>
            </w:pPr>
            <w:r>
              <w:rPr>
                <w:position w:val="-59"/>
              </w:rPr>
              <w:drawing>
                <wp:inline distT="0" distB="0" distL="0" distR="0">
                  <wp:extent cx="2538730" cy="1883410"/>
                  <wp:effectExtent l="0" t="0" r="0" b="0"/>
                  <wp:docPr id="872" name="IM 872"/>
                  <wp:cNvGraphicFramePr/>
                  <a:graphic xmlns:a="http://schemas.openxmlformats.org/drawingml/2006/main">
                    <a:graphicData uri="http://schemas.openxmlformats.org/drawingml/2006/picture">
                      <pic:pic xmlns:pic="http://schemas.openxmlformats.org/drawingml/2006/picture">
                        <pic:nvPicPr>
                          <pic:cNvPr id="872" name="IM 872"/>
                          <pic:cNvPicPr/>
                        </pic:nvPicPr>
                        <pic:blipFill>
                          <a:blip r:embed="rId627"/>
                          <a:stretch>
                            <a:fillRect/>
                          </a:stretch>
                        </pic:blipFill>
                        <pic:spPr>
                          <a:xfrm>
                            <a:off x="0" y="0"/>
                            <a:ext cx="2539364" cy="1884044"/>
                          </a:xfrm>
                          <a:prstGeom prst="rect">
                            <a:avLst/>
                          </a:prstGeom>
                        </pic:spPr>
                      </pic:pic>
                    </a:graphicData>
                  </a:graphic>
                </wp:inline>
              </w:drawing>
            </w:r>
          </w:p>
        </w:tc>
        <w:tc>
          <w:tcPr>
            <w:tcW w:w="4554" w:type="dxa"/>
            <w:tcBorders>
              <w:right w:val="single" w:color="000000" w:sz="4" w:space="0"/>
            </w:tcBorders>
            <w:vAlign w:val="top"/>
          </w:tcPr>
          <w:p w14:paraId="127C41BC">
            <w:pPr>
              <w:spacing w:before="183" w:line="2731" w:lineRule="exact"/>
              <w:ind w:firstLine="288"/>
            </w:pPr>
            <w:r>
              <w:rPr>
                <w:position w:val="-54"/>
              </w:rPr>
              <w:drawing>
                <wp:inline distT="0" distB="0" distL="0" distR="0">
                  <wp:extent cx="2511425" cy="1733550"/>
                  <wp:effectExtent l="0" t="0" r="0" b="0"/>
                  <wp:docPr id="874" name="IM 874"/>
                  <wp:cNvGraphicFramePr/>
                  <a:graphic xmlns:a="http://schemas.openxmlformats.org/drawingml/2006/main">
                    <a:graphicData uri="http://schemas.openxmlformats.org/drawingml/2006/picture">
                      <pic:pic xmlns:pic="http://schemas.openxmlformats.org/drawingml/2006/picture">
                        <pic:nvPicPr>
                          <pic:cNvPr id="874" name="IM 874"/>
                          <pic:cNvPicPr/>
                        </pic:nvPicPr>
                        <pic:blipFill>
                          <a:blip r:embed="rId628"/>
                          <a:stretch>
                            <a:fillRect/>
                          </a:stretch>
                        </pic:blipFill>
                        <pic:spPr>
                          <a:xfrm>
                            <a:off x="0" y="0"/>
                            <a:ext cx="2511425" cy="1734184"/>
                          </a:xfrm>
                          <a:prstGeom prst="rect">
                            <a:avLst/>
                          </a:prstGeom>
                        </pic:spPr>
                      </pic:pic>
                    </a:graphicData>
                  </a:graphic>
                </wp:inline>
              </w:drawing>
            </w:r>
          </w:p>
        </w:tc>
      </w:tr>
      <w:tr w14:paraId="0FB77B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6" w:hRule="atLeast"/>
        </w:trPr>
        <w:tc>
          <w:tcPr>
            <w:tcW w:w="832" w:type="dxa"/>
            <w:vMerge w:val="continue"/>
            <w:tcBorders>
              <w:top w:val="nil"/>
              <w:left w:val="single" w:color="1C456A" w:sz="4" w:space="0"/>
              <w:bottom w:val="single" w:color="1C456A" w:sz="4" w:space="0"/>
            </w:tcBorders>
            <w:vAlign w:val="top"/>
          </w:tcPr>
          <w:p w14:paraId="574E2DD1">
            <w:pPr>
              <w:rPr>
                <w:rFonts w:ascii="Arial"/>
                <w:sz w:val="21"/>
              </w:rPr>
            </w:pPr>
          </w:p>
        </w:tc>
        <w:tc>
          <w:tcPr>
            <w:tcW w:w="4287" w:type="dxa"/>
            <w:tcBorders>
              <w:bottom w:val="single" w:color="000000" w:sz="4" w:space="0"/>
            </w:tcBorders>
            <w:vAlign w:val="top"/>
          </w:tcPr>
          <w:p w14:paraId="1B18CA5D">
            <w:pPr>
              <w:pStyle w:val="7"/>
              <w:spacing w:before="103" w:line="216" w:lineRule="auto"/>
              <w:ind w:left="847"/>
            </w:pPr>
            <w:r>
              <w:rPr>
                <w:spacing w:val="-20"/>
              </w:rPr>
              <w:t>做好原料的进货分类、登记</w:t>
            </w:r>
          </w:p>
        </w:tc>
        <w:tc>
          <w:tcPr>
            <w:tcW w:w="4554" w:type="dxa"/>
            <w:tcBorders>
              <w:bottom w:val="single" w:color="5B9BD5" w:sz="4" w:space="0"/>
              <w:right w:val="single" w:color="5B9BD5" w:sz="4" w:space="0"/>
            </w:tcBorders>
            <w:vAlign w:val="top"/>
          </w:tcPr>
          <w:p w14:paraId="218D1FA3">
            <w:pPr>
              <w:pStyle w:val="7"/>
              <w:spacing w:before="103" w:line="217" w:lineRule="auto"/>
              <w:ind w:left="1411"/>
            </w:pPr>
            <w:r>
              <w:pict>
                <v:shape id="_x0000_s3352" o:spid="_x0000_s3352" style="position:absolute;left:0pt;margin-left:225.85pt;margin-top:31.35pt;height:0.75pt;width:2.2pt;mso-position-horizontal-relative:page;mso-position-vertical-relative:page;z-index:252016640;mso-width-relative:page;mso-height-relative:page;" fillcolor="#5B9BD5" filled="t" stroked="f" coordsize="44,15" path="m0,14l43,14,43,0,0,0,0,14xe">
                  <v:path/>
                  <v:fill on="t" focussize="0,0"/>
                  <v:stroke on="f"/>
                  <v:imagedata o:title=""/>
                  <o:lock v:ext="edit"/>
                </v:shape>
              </w:pict>
            </w:r>
            <w:r>
              <w:rPr>
                <w:spacing w:val="-19"/>
              </w:rPr>
              <w:t>食堂餐厅保持卫生</w:t>
            </w:r>
          </w:p>
        </w:tc>
      </w:tr>
    </w:tbl>
    <w:p w14:paraId="21F27D52">
      <w:pPr>
        <w:rPr>
          <w:rFonts w:ascii="Arial"/>
          <w:sz w:val="21"/>
        </w:rPr>
      </w:pPr>
    </w:p>
    <w:p w14:paraId="20FB3B8C">
      <w:pPr>
        <w:rPr>
          <w:rFonts w:ascii="Arial" w:hAnsi="Arial" w:eastAsia="Arial" w:cs="Arial"/>
          <w:sz w:val="21"/>
          <w:szCs w:val="21"/>
        </w:rPr>
        <w:sectPr>
          <w:footerReference r:id="rId170" w:type="default"/>
          <w:pgSz w:w="11907" w:h="16839"/>
          <w:pgMar w:top="954" w:right="4" w:bottom="1038" w:left="0" w:header="499" w:footer="357" w:gutter="0"/>
          <w:pgBorders>
            <w:top w:val="none" w:sz="0" w:space="0"/>
            <w:left w:val="none" w:sz="0" w:space="0"/>
            <w:bottom w:val="none" w:sz="0" w:space="0"/>
            <w:right w:val="none" w:sz="0" w:space="0"/>
          </w:pgBorders>
          <w:cols w:space="720" w:num="1"/>
        </w:sectPr>
      </w:pPr>
    </w:p>
    <w:p w14:paraId="03B59ED4">
      <w:pPr>
        <w:spacing w:line="214" w:lineRule="exact"/>
      </w:pPr>
    </w:p>
    <w:tbl>
      <w:tblPr>
        <w:tblStyle w:val="6"/>
        <w:tblW w:w="9673" w:type="dxa"/>
        <w:tblInd w:w="1116"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32"/>
        <w:gridCol w:w="4287"/>
        <w:gridCol w:w="4554"/>
      </w:tblGrid>
      <w:tr w14:paraId="6D5632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9" w:hRule="atLeast"/>
        </w:trPr>
        <w:tc>
          <w:tcPr>
            <w:tcW w:w="832" w:type="dxa"/>
            <w:vMerge w:val="restart"/>
            <w:tcBorders>
              <w:top w:val="single" w:color="000000" w:sz="4" w:space="0"/>
              <w:left w:val="single" w:color="000000" w:sz="4" w:space="0"/>
              <w:bottom w:val="nil"/>
            </w:tcBorders>
            <w:vAlign w:val="top"/>
          </w:tcPr>
          <w:p w14:paraId="2EBB624D">
            <w:pPr>
              <w:rPr>
                <w:rFonts w:ascii="Arial"/>
                <w:sz w:val="21"/>
              </w:rPr>
            </w:pPr>
          </w:p>
        </w:tc>
        <w:tc>
          <w:tcPr>
            <w:tcW w:w="4287" w:type="dxa"/>
            <w:tcBorders>
              <w:top w:val="single" w:color="000000" w:sz="4" w:space="0"/>
            </w:tcBorders>
            <w:vAlign w:val="top"/>
          </w:tcPr>
          <w:p w14:paraId="54AB1146">
            <w:pPr>
              <w:spacing w:before="93" w:line="3353" w:lineRule="exact"/>
              <w:ind w:firstLine="161"/>
            </w:pPr>
            <w:r>
              <w:rPr>
                <w:position w:val="-67"/>
              </w:rPr>
              <w:drawing>
                <wp:inline distT="0" distB="0" distL="0" distR="0">
                  <wp:extent cx="2511425" cy="2129155"/>
                  <wp:effectExtent l="0" t="0" r="0" b="0"/>
                  <wp:docPr id="878" name="IM 878"/>
                  <wp:cNvGraphicFramePr/>
                  <a:graphic xmlns:a="http://schemas.openxmlformats.org/drawingml/2006/main">
                    <a:graphicData uri="http://schemas.openxmlformats.org/drawingml/2006/picture">
                      <pic:pic xmlns:pic="http://schemas.openxmlformats.org/drawingml/2006/picture">
                        <pic:nvPicPr>
                          <pic:cNvPr id="878" name="IM 878"/>
                          <pic:cNvPicPr/>
                        </pic:nvPicPr>
                        <pic:blipFill>
                          <a:blip r:embed="rId629"/>
                          <a:stretch>
                            <a:fillRect/>
                          </a:stretch>
                        </pic:blipFill>
                        <pic:spPr>
                          <a:xfrm>
                            <a:off x="0" y="0"/>
                            <a:ext cx="2511425" cy="2129155"/>
                          </a:xfrm>
                          <a:prstGeom prst="rect">
                            <a:avLst/>
                          </a:prstGeom>
                        </pic:spPr>
                      </pic:pic>
                    </a:graphicData>
                  </a:graphic>
                </wp:inline>
              </w:drawing>
            </w:r>
          </w:p>
        </w:tc>
        <w:tc>
          <w:tcPr>
            <w:tcW w:w="4554" w:type="dxa"/>
            <w:tcBorders>
              <w:top w:val="single" w:color="5B9BD5" w:sz="4" w:space="0"/>
              <w:right w:val="single" w:color="5B9BD5" w:sz="4" w:space="0"/>
            </w:tcBorders>
            <w:vAlign w:val="top"/>
          </w:tcPr>
          <w:p w14:paraId="46CA84FB">
            <w:pPr>
              <w:spacing w:line="336" w:lineRule="auto"/>
              <w:rPr>
                <w:rFonts w:ascii="Arial"/>
                <w:sz w:val="21"/>
              </w:rPr>
            </w:pPr>
          </w:p>
          <w:p w14:paraId="06D830D6">
            <w:pPr>
              <w:spacing w:line="2858" w:lineRule="exact"/>
              <w:ind w:firstLine="266"/>
            </w:pPr>
            <w:r>
              <w:rPr>
                <w:position w:val="-57"/>
              </w:rPr>
              <w:drawing>
                <wp:inline distT="0" distB="0" distL="0" distR="0">
                  <wp:extent cx="2538095" cy="1814830"/>
                  <wp:effectExtent l="0" t="0" r="0" b="0"/>
                  <wp:docPr id="880" name="IM 880"/>
                  <wp:cNvGraphicFramePr/>
                  <a:graphic xmlns:a="http://schemas.openxmlformats.org/drawingml/2006/main">
                    <a:graphicData uri="http://schemas.openxmlformats.org/drawingml/2006/picture">
                      <pic:pic xmlns:pic="http://schemas.openxmlformats.org/drawingml/2006/picture">
                        <pic:nvPicPr>
                          <pic:cNvPr id="880" name="IM 880"/>
                          <pic:cNvPicPr/>
                        </pic:nvPicPr>
                        <pic:blipFill>
                          <a:blip r:embed="rId630"/>
                          <a:stretch>
                            <a:fillRect/>
                          </a:stretch>
                        </pic:blipFill>
                        <pic:spPr>
                          <a:xfrm>
                            <a:off x="0" y="0"/>
                            <a:ext cx="2538729" cy="1814830"/>
                          </a:xfrm>
                          <a:prstGeom prst="rect">
                            <a:avLst/>
                          </a:prstGeom>
                        </pic:spPr>
                      </pic:pic>
                    </a:graphicData>
                  </a:graphic>
                </wp:inline>
              </w:drawing>
            </w:r>
          </w:p>
        </w:tc>
      </w:tr>
      <w:tr w14:paraId="04252E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85" w:hRule="atLeast"/>
        </w:trPr>
        <w:tc>
          <w:tcPr>
            <w:tcW w:w="832" w:type="dxa"/>
            <w:vMerge w:val="continue"/>
            <w:tcBorders>
              <w:top w:val="nil"/>
              <w:left w:val="single" w:color="000000" w:sz="4" w:space="0"/>
            </w:tcBorders>
            <w:vAlign w:val="top"/>
          </w:tcPr>
          <w:p w14:paraId="6D9DECB4">
            <w:pPr>
              <w:rPr>
                <w:rFonts w:ascii="Arial"/>
                <w:sz w:val="21"/>
              </w:rPr>
            </w:pPr>
          </w:p>
        </w:tc>
        <w:tc>
          <w:tcPr>
            <w:tcW w:w="4287" w:type="dxa"/>
            <w:vAlign w:val="top"/>
          </w:tcPr>
          <w:p w14:paraId="17D73C08">
            <w:pPr>
              <w:pStyle w:val="7"/>
              <w:spacing w:before="97" w:line="217" w:lineRule="auto"/>
              <w:ind w:left="1723"/>
            </w:pPr>
            <w:r>
              <w:rPr>
                <w:spacing w:val="-17"/>
              </w:rPr>
              <w:t>定期消毒</w:t>
            </w:r>
          </w:p>
        </w:tc>
        <w:tc>
          <w:tcPr>
            <w:tcW w:w="4554" w:type="dxa"/>
            <w:tcBorders>
              <w:right w:val="single" w:color="000000" w:sz="4" w:space="0"/>
            </w:tcBorders>
            <w:vAlign w:val="top"/>
          </w:tcPr>
          <w:p w14:paraId="5127A54C">
            <w:pPr>
              <w:pStyle w:val="7"/>
              <w:spacing w:before="97" w:line="217" w:lineRule="auto"/>
              <w:ind w:left="1414"/>
            </w:pPr>
            <w:r>
              <w:rPr>
                <w:spacing w:val="-19"/>
              </w:rPr>
              <w:t>专用洗涤消毒设施</w:t>
            </w:r>
          </w:p>
        </w:tc>
      </w:tr>
      <w:tr w14:paraId="5B6163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5" w:hRule="atLeast"/>
        </w:trPr>
        <w:tc>
          <w:tcPr>
            <w:tcW w:w="9673" w:type="dxa"/>
            <w:gridSpan w:val="3"/>
            <w:tcBorders>
              <w:left w:val="single" w:color="000000" w:sz="4" w:space="0"/>
              <w:right w:val="single" w:color="000000" w:sz="4" w:space="0"/>
            </w:tcBorders>
            <w:vAlign w:val="top"/>
          </w:tcPr>
          <w:p w14:paraId="455FDB69">
            <w:pPr>
              <w:pStyle w:val="7"/>
              <w:spacing w:before="98" w:line="218" w:lineRule="auto"/>
              <w:ind w:left="4195"/>
            </w:pPr>
            <w:r>
              <w:rPr>
                <w:spacing w:val="-18"/>
              </w:rPr>
              <w:t>具体措施内容</w:t>
            </w:r>
          </w:p>
        </w:tc>
      </w:tr>
      <w:tr w14:paraId="7D87D1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0" w:hRule="atLeast"/>
        </w:trPr>
        <w:tc>
          <w:tcPr>
            <w:tcW w:w="832" w:type="dxa"/>
            <w:vMerge w:val="restart"/>
            <w:tcBorders>
              <w:left w:val="single" w:color="1C456A" w:sz="4" w:space="0"/>
              <w:bottom w:val="nil"/>
            </w:tcBorders>
            <w:vAlign w:val="top"/>
          </w:tcPr>
          <w:p w14:paraId="59D51E4D">
            <w:pPr>
              <w:spacing w:line="266" w:lineRule="auto"/>
              <w:rPr>
                <w:rFonts w:ascii="Arial"/>
                <w:sz w:val="21"/>
              </w:rPr>
            </w:pPr>
            <w:r>
              <w:pict>
                <v:shape id="_x0000_s3353" o:spid="_x0000_s3353" style="position:absolute;left:0pt;margin-left:-0.2pt;margin-top:233.05pt;height:0.75pt;width:2.2pt;mso-position-horizontal-relative:page;mso-position-vertical-relative:page;z-index:252018688;mso-width-relative:page;mso-height-relative:page;" fillcolor="#5B9BD5" filled="t" stroked="f" coordsize="44,15" path="m0,14l43,14,43,0,0,0,0,14xe">
                  <v:path/>
                  <v:fill on="t" focussize="0,0"/>
                  <v:stroke on="f"/>
                  <v:imagedata o:title=""/>
                  <o:lock v:ext="edit"/>
                </v:shape>
              </w:pict>
            </w:r>
          </w:p>
          <w:p w14:paraId="1AC61DAF">
            <w:pPr>
              <w:spacing w:line="266" w:lineRule="auto"/>
              <w:rPr>
                <w:rFonts w:ascii="Arial"/>
                <w:sz w:val="21"/>
              </w:rPr>
            </w:pPr>
          </w:p>
          <w:p w14:paraId="49003E9A">
            <w:pPr>
              <w:spacing w:line="266" w:lineRule="auto"/>
              <w:rPr>
                <w:rFonts w:ascii="Arial"/>
                <w:sz w:val="21"/>
              </w:rPr>
            </w:pPr>
          </w:p>
          <w:p w14:paraId="2F634F02">
            <w:pPr>
              <w:spacing w:line="267" w:lineRule="auto"/>
              <w:rPr>
                <w:rFonts w:ascii="Arial"/>
                <w:sz w:val="21"/>
              </w:rPr>
            </w:pPr>
          </w:p>
          <w:p w14:paraId="36240DF6">
            <w:pPr>
              <w:spacing w:line="267" w:lineRule="auto"/>
              <w:rPr>
                <w:rFonts w:ascii="Arial"/>
                <w:sz w:val="21"/>
              </w:rPr>
            </w:pPr>
          </w:p>
          <w:p w14:paraId="284ABEA5">
            <w:pPr>
              <w:pStyle w:val="7"/>
              <w:spacing w:before="78" w:line="359" w:lineRule="auto"/>
              <w:ind w:left="324" w:right="59" w:hanging="218"/>
            </w:pPr>
            <w:r>
              <w:rPr>
                <w:spacing w:val="-21"/>
              </w:rPr>
              <w:t>垃圾清</w:t>
            </w:r>
            <w:r>
              <w:t>理</w:t>
            </w:r>
          </w:p>
          <w:p w14:paraId="3C23D5CF">
            <w:pPr>
              <w:pStyle w:val="7"/>
              <w:spacing w:before="1" w:line="360" w:lineRule="auto"/>
              <w:ind w:left="227" w:right="58" w:hanging="105"/>
            </w:pPr>
            <w:r>
              <w:rPr>
                <w:spacing w:val="-26"/>
              </w:rPr>
              <w:t>、洒水</w:t>
            </w:r>
            <w:r>
              <w:rPr>
                <w:spacing w:val="-13"/>
              </w:rPr>
              <w:t>降尘</w:t>
            </w:r>
          </w:p>
        </w:tc>
        <w:tc>
          <w:tcPr>
            <w:tcW w:w="4287" w:type="dxa"/>
            <w:vAlign w:val="top"/>
          </w:tcPr>
          <w:p w14:paraId="4A7234E0">
            <w:pPr>
              <w:spacing w:before="167" w:line="3547" w:lineRule="exact"/>
              <w:ind w:firstLine="161"/>
            </w:pPr>
            <w:r>
              <w:rPr>
                <w:position w:val="-70"/>
              </w:rPr>
              <w:drawing>
                <wp:inline distT="0" distB="0" distL="0" distR="0">
                  <wp:extent cx="2511425" cy="2252345"/>
                  <wp:effectExtent l="0" t="0" r="0" b="0"/>
                  <wp:docPr id="882" name="IM 882"/>
                  <wp:cNvGraphicFramePr/>
                  <a:graphic xmlns:a="http://schemas.openxmlformats.org/drawingml/2006/main">
                    <a:graphicData uri="http://schemas.openxmlformats.org/drawingml/2006/picture">
                      <pic:pic xmlns:pic="http://schemas.openxmlformats.org/drawingml/2006/picture">
                        <pic:nvPicPr>
                          <pic:cNvPr id="882" name="IM 882"/>
                          <pic:cNvPicPr/>
                        </pic:nvPicPr>
                        <pic:blipFill>
                          <a:blip r:embed="rId631"/>
                          <a:stretch>
                            <a:fillRect/>
                          </a:stretch>
                        </pic:blipFill>
                        <pic:spPr>
                          <a:xfrm>
                            <a:off x="0" y="0"/>
                            <a:ext cx="2511425" cy="2252345"/>
                          </a:xfrm>
                          <a:prstGeom prst="rect">
                            <a:avLst/>
                          </a:prstGeom>
                        </pic:spPr>
                      </pic:pic>
                    </a:graphicData>
                  </a:graphic>
                </wp:inline>
              </w:drawing>
            </w:r>
          </w:p>
        </w:tc>
        <w:tc>
          <w:tcPr>
            <w:tcW w:w="4554" w:type="dxa"/>
            <w:tcBorders>
              <w:right w:val="single" w:color="000000" w:sz="4" w:space="0"/>
            </w:tcBorders>
            <w:vAlign w:val="top"/>
          </w:tcPr>
          <w:p w14:paraId="0B5CCCD4">
            <w:pPr>
              <w:spacing w:before="61" w:line="3758" w:lineRule="exact"/>
              <w:ind w:firstLine="232"/>
            </w:pPr>
            <w:r>
              <w:rPr>
                <w:position w:val="-75"/>
              </w:rPr>
              <w:drawing>
                <wp:inline distT="0" distB="0" distL="0" distR="0">
                  <wp:extent cx="2581275" cy="2386330"/>
                  <wp:effectExtent l="0" t="0" r="0" b="0"/>
                  <wp:docPr id="884" name="IM 884"/>
                  <wp:cNvGraphicFramePr/>
                  <a:graphic xmlns:a="http://schemas.openxmlformats.org/drawingml/2006/main">
                    <a:graphicData uri="http://schemas.openxmlformats.org/drawingml/2006/picture">
                      <pic:pic xmlns:pic="http://schemas.openxmlformats.org/drawingml/2006/picture">
                        <pic:nvPicPr>
                          <pic:cNvPr id="884" name="IM 884"/>
                          <pic:cNvPicPr/>
                        </pic:nvPicPr>
                        <pic:blipFill>
                          <a:blip r:embed="rId632"/>
                          <a:stretch>
                            <a:fillRect/>
                          </a:stretch>
                        </pic:blipFill>
                        <pic:spPr>
                          <a:xfrm>
                            <a:off x="0" y="0"/>
                            <a:ext cx="2581909" cy="2386330"/>
                          </a:xfrm>
                          <a:prstGeom prst="rect">
                            <a:avLst/>
                          </a:prstGeom>
                        </pic:spPr>
                      </pic:pic>
                    </a:graphicData>
                  </a:graphic>
                </wp:inline>
              </w:drawing>
            </w:r>
          </w:p>
        </w:tc>
      </w:tr>
      <w:tr w14:paraId="5E2736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25" w:hRule="atLeast"/>
        </w:trPr>
        <w:tc>
          <w:tcPr>
            <w:tcW w:w="832" w:type="dxa"/>
            <w:vMerge w:val="continue"/>
            <w:tcBorders>
              <w:top w:val="nil"/>
              <w:left w:val="single" w:color="1C456A" w:sz="4" w:space="0"/>
              <w:bottom w:val="single" w:color="1C456A" w:sz="4" w:space="0"/>
            </w:tcBorders>
            <w:vAlign w:val="top"/>
          </w:tcPr>
          <w:p w14:paraId="7875E7ED">
            <w:pPr>
              <w:rPr>
                <w:rFonts w:ascii="Arial"/>
                <w:sz w:val="21"/>
              </w:rPr>
            </w:pPr>
          </w:p>
        </w:tc>
        <w:tc>
          <w:tcPr>
            <w:tcW w:w="4287" w:type="dxa"/>
            <w:tcBorders>
              <w:bottom w:val="single" w:color="000000" w:sz="4" w:space="0"/>
            </w:tcBorders>
            <w:vAlign w:val="top"/>
          </w:tcPr>
          <w:p w14:paraId="355D2189">
            <w:pPr>
              <w:pStyle w:val="7"/>
              <w:spacing w:before="103" w:line="215" w:lineRule="auto"/>
              <w:ind w:left="1285"/>
            </w:pPr>
            <w:r>
              <w:rPr>
                <w:spacing w:val="-19"/>
              </w:rPr>
              <w:t>可卸式密封垃圾车</w:t>
            </w:r>
          </w:p>
        </w:tc>
        <w:tc>
          <w:tcPr>
            <w:tcW w:w="4554" w:type="dxa"/>
            <w:tcBorders>
              <w:bottom w:val="single" w:color="5B9BD5" w:sz="4" w:space="0"/>
              <w:right w:val="single" w:color="5B9BD5" w:sz="4" w:space="0"/>
            </w:tcBorders>
            <w:vAlign w:val="top"/>
          </w:tcPr>
          <w:p w14:paraId="131566EF">
            <w:pPr>
              <w:pStyle w:val="7"/>
              <w:spacing w:before="102" w:line="219" w:lineRule="auto"/>
              <w:ind w:left="1634"/>
            </w:pPr>
            <w:r>
              <w:pict>
                <v:shape id="_x0000_s3354" o:spid="_x0000_s3354" style="position:absolute;left:0pt;margin-left:225.85pt;margin-top:31.3pt;height:0.75pt;width:2.2pt;mso-position-horizontal-relative:page;mso-position-vertical-relative:page;z-index:252019712;mso-width-relative:page;mso-height-relative:page;" fillcolor="#5B9BD5" filled="t" stroked="f" coordsize="44,15" path="m0,14l43,14,43,0,0,0,0,14xe">
                  <v:path/>
                  <v:fill on="t" focussize="0,0"/>
                  <v:stroke on="f"/>
                  <v:imagedata o:title=""/>
                  <o:lock v:ext="edit"/>
                </v:shape>
              </w:pict>
            </w:r>
            <w:r>
              <w:rPr>
                <w:spacing w:val="-19"/>
              </w:rPr>
              <w:t>雾炮洒水降尘</w:t>
            </w:r>
          </w:p>
        </w:tc>
      </w:tr>
    </w:tbl>
    <w:p w14:paraId="2A732E12">
      <w:pPr>
        <w:pStyle w:val="2"/>
        <w:spacing w:before="115" w:line="219" w:lineRule="auto"/>
        <w:ind w:left="1887"/>
        <w:rPr>
          <w:sz w:val="24"/>
          <w:szCs w:val="24"/>
        </w:rPr>
      </w:pPr>
      <w:r>
        <w:rPr>
          <w:spacing w:val="-17"/>
          <w:sz w:val="24"/>
          <w:szCs w:val="24"/>
        </w:rPr>
        <w:t>6、人员管理措施</w:t>
      </w:r>
    </w:p>
    <w:p w14:paraId="2286430B">
      <w:pPr>
        <w:pStyle w:val="2"/>
        <w:spacing w:before="113" w:line="220" w:lineRule="auto"/>
        <w:ind w:left="1893"/>
        <w:rPr>
          <w:sz w:val="24"/>
          <w:szCs w:val="24"/>
        </w:rPr>
      </w:pPr>
      <w:r>
        <w:rPr>
          <w:spacing w:val="-17"/>
          <w:sz w:val="24"/>
          <w:szCs w:val="24"/>
        </w:rPr>
        <w:t>（1）出入管理</w:t>
      </w:r>
    </w:p>
    <w:p w14:paraId="4761EFA8">
      <w:pPr>
        <w:pStyle w:val="2"/>
        <w:spacing w:before="115" w:line="277" w:lineRule="auto"/>
        <w:ind w:left="1457" w:right="1411" w:firstLine="435"/>
        <w:rPr>
          <w:sz w:val="24"/>
          <w:szCs w:val="24"/>
        </w:rPr>
      </w:pPr>
      <w:r>
        <w:rPr>
          <w:spacing w:val="-22"/>
          <w:sz w:val="24"/>
          <w:szCs w:val="24"/>
        </w:rPr>
        <w:t>（a）总承包统一为现场人员办理胸卡，进场现场必须带牌，由门卫验证；进入施</w:t>
      </w:r>
      <w:r>
        <w:rPr>
          <w:spacing w:val="-23"/>
          <w:sz w:val="24"/>
          <w:szCs w:val="24"/>
        </w:rPr>
        <w:t>工楼层设</w:t>
      </w:r>
      <w:r>
        <w:rPr>
          <w:spacing w:val="-20"/>
          <w:sz w:val="24"/>
          <w:szCs w:val="24"/>
        </w:rPr>
        <w:t>置门禁系统，非作业人员项目管理人员不得随意进出。外来访客需在门卫处登记领取临时胸牌并有接待人员方可进场。</w:t>
      </w:r>
    </w:p>
    <w:p w14:paraId="5C1C3C29">
      <w:pPr>
        <w:pStyle w:val="2"/>
        <w:spacing w:before="121" w:line="278" w:lineRule="auto"/>
        <w:ind w:left="1458" w:right="1353" w:firstLine="434"/>
        <w:rPr>
          <w:sz w:val="24"/>
          <w:szCs w:val="24"/>
        </w:rPr>
      </w:pPr>
      <w:r>
        <w:rPr>
          <w:spacing w:val="-26"/>
          <w:sz w:val="24"/>
          <w:szCs w:val="24"/>
        </w:rPr>
        <w:t>（b）总承包统一为现场小车及工程车辆办理车辆通行证，车辆需将车辆通行证放在显眼处，</w:t>
      </w:r>
      <w:r>
        <w:rPr>
          <w:spacing w:val="-20"/>
          <w:sz w:val="24"/>
          <w:szCs w:val="24"/>
        </w:rPr>
        <w:t>进出现场需明示。外来车辆需登记后领取临时通行证方可进入项目，且小车只能进办公区不得</w:t>
      </w:r>
      <w:r>
        <w:rPr>
          <w:spacing w:val="-17"/>
          <w:sz w:val="24"/>
          <w:szCs w:val="24"/>
        </w:rPr>
        <w:t>进施工区。</w:t>
      </w:r>
    </w:p>
    <w:p w14:paraId="49B44FDD">
      <w:pPr>
        <w:pStyle w:val="2"/>
        <w:spacing w:before="114" w:line="218" w:lineRule="auto"/>
        <w:ind w:left="1893"/>
        <w:rPr>
          <w:sz w:val="24"/>
          <w:szCs w:val="24"/>
        </w:rPr>
      </w:pPr>
      <w:r>
        <w:rPr>
          <w:spacing w:val="-18"/>
          <w:sz w:val="24"/>
          <w:szCs w:val="24"/>
        </w:rPr>
        <w:t>（2）身份识别管理</w:t>
      </w:r>
    </w:p>
    <w:p w14:paraId="1594416B">
      <w:pPr>
        <w:pStyle w:val="2"/>
        <w:spacing w:before="119" w:line="307" w:lineRule="auto"/>
        <w:ind w:left="1457" w:right="1409" w:firstLine="444"/>
        <w:rPr>
          <w:sz w:val="24"/>
          <w:szCs w:val="24"/>
        </w:rPr>
      </w:pPr>
      <w:r>
        <w:rPr>
          <w:spacing w:val="-20"/>
          <w:sz w:val="24"/>
          <w:szCs w:val="24"/>
        </w:rPr>
        <w:t>为便于对进入现场的各单位施工管理人员及工人的管理，正确识别其所属单位和身份，采</w:t>
      </w:r>
      <w:r>
        <w:rPr>
          <w:spacing w:val="-18"/>
          <w:sz w:val="24"/>
          <w:szCs w:val="24"/>
        </w:rPr>
        <w:t>取以下制度：</w:t>
      </w:r>
    </w:p>
    <w:p w14:paraId="0B03F8F8">
      <w:pPr>
        <w:pStyle w:val="2"/>
        <w:spacing w:line="217" w:lineRule="auto"/>
        <w:ind w:left="1893"/>
        <w:rPr>
          <w:sz w:val="24"/>
          <w:szCs w:val="24"/>
        </w:rPr>
      </w:pPr>
      <w:r>
        <w:rPr>
          <w:spacing w:val="-19"/>
          <w:sz w:val="24"/>
          <w:szCs w:val="24"/>
        </w:rPr>
        <w:t>（a）安全帽识别制度</w:t>
      </w:r>
    </w:p>
    <w:p w14:paraId="42527084">
      <w:pPr>
        <w:spacing w:line="217" w:lineRule="auto"/>
        <w:rPr>
          <w:sz w:val="24"/>
          <w:szCs w:val="24"/>
        </w:rPr>
        <w:sectPr>
          <w:footerReference r:id="rId171" w:type="default"/>
          <w:pgSz w:w="11907" w:h="16839"/>
          <w:pgMar w:top="954" w:right="4" w:bottom="1038" w:left="0" w:header="499" w:footer="357" w:gutter="0"/>
          <w:pgBorders>
            <w:top w:val="none" w:sz="0" w:space="0"/>
            <w:left w:val="none" w:sz="0" w:space="0"/>
            <w:bottom w:val="none" w:sz="0" w:space="0"/>
            <w:right w:val="none" w:sz="0" w:space="0"/>
          </w:pgBorders>
          <w:cols w:space="720" w:num="1"/>
        </w:sectPr>
      </w:pPr>
    </w:p>
    <w:p w14:paraId="7DC4E6AC">
      <w:pPr>
        <w:spacing w:line="249" w:lineRule="auto"/>
        <w:rPr>
          <w:rFonts w:ascii="Arial"/>
          <w:sz w:val="21"/>
        </w:rPr>
      </w:pPr>
    </w:p>
    <w:p w14:paraId="493EC131">
      <w:pPr>
        <w:pStyle w:val="2"/>
        <w:spacing w:before="78" w:line="308" w:lineRule="auto"/>
        <w:ind w:left="1456" w:right="1356" w:firstLine="436"/>
        <w:jc w:val="both"/>
        <w:rPr>
          <w:sz w:val="24"/>
          <w:szCs w:val="24"/>
        </w:rPr>
      </w:pPr>
      <w:r>
        <w:rPr>
          <w:spacing w:val="-20"/>
          <w:sz w:val="24"/>
          <w:szCs w:val="24"/>
        </w:rPr>
        <w:t>施工管理人员与施工人员佩戴不同颜色的安全帽，安全帽颜色：安全员为红色、施工管理</w:t>
      </w:r>
      <w:r>
        <w:rPr>
          <w:spacing w:val="-24"/>
          <w:sz w:val="24"/>
          <w:szCs w:val="24"/>
        </w:rPr>
        <w:t>人员为白色、一般施工人员为黄色、特种作业人员为蓝色。安全帽正面粘贴其所属公司的标志，</w:t>
      </w:r>
      <w:r>
        <w:rPr>
          <w:spacing w:val="-20"/>
          <w:sz w:val="24"/>
          <w:szCs w:val="24"/>
        </w:rPr>
        <w:t>侧面粘贴代表其身份的工号。</w:t>
      </w:r>
    </w:p>
    <w:p w14:paraId="1B2415E1">
      <w:pPr>
        <w:pStyle w:val="2"/>
        <w:spacing w:before="1" w:line="215" w:lineRule="auto"/>
        <w:ind w:left="1893"/>
        <w:rPr>
          <w:sz w:val="24"/>
          <w:szCs w:val="24"/>
        </w:rPr>
      </w:pPr>
      <w:r>
        <w:rPr>
          <w:spacing w:val="-19"/>
          <w:sz w:val="24"/>
          <w:szCs w:val="24"/>
        </w:rPr>
        <w:t>（b）工作牌识别制度</w:t>
      </w:r>
    </w:p>
    <w:p w14:paraId="1859442E">
      <w:pPr>
        <w:pStyle w:val="2"/>
        <w:spacing w:before="118" w:line="308" w:lineRule="auto"/>
        <w:ind w:left="1456" w:right="1409" w:firstLine="436"/>
        <w:rPr>
          <w:sz w:val="24"/>
          <w:szCs w:val="24"/>
        </w:rPr>
      </w:pPr>
      <w:r>
        <w:rPr>
          <w:spacing w:val="-20"/>
          <w:sz w:val="24"/>
          <w:szCs w:val="24"/>
        </w:rPr>
        <w:t>建立工作牌制度。进入现场的所有施工人员及施工管理必须佩戴工作牌。工作牌内容包括姓名、本人近期免冠相片、所属标段、所属单位、所属班组、职务、工号、工种等，工作牌的工号与安全帽必须一致。</w:t>
      </w:r>
    </w:p>
    <w:p w14:paraId="1C5DF9CF">
      <w:pPr>
        <w:pStyle w:val="2"/>
        <w:spacing w:line="216" w:lineRule="auto"/>
        <w:ind w:left="1893"/>
        <w:rPr>
          <w:sz w:val="24"/>
          <w:szCs w:val="24"/>
        </w:rPr>
      </w:pPr>
      <w:r>
        <w:rPr>
          <w:spacing w:val="-20"/>
          <w:sz w:val="24"/>
          <w:szCs w:val="24"/>
        </w:rPr>
        <w:t>（c）现场保安及来客管理制度</w:t>
      </w:r>
    </w:p>
    <w:p w14:paraId="360E2E71">
      <w:pPr>
        <w:pStyle w:val="2"/>
        <w:spacing w:before="117" w:line="215" w:lineRule="auto"/>
        <w:ind w:left="1894"/>
        <w:rPr>
          <w:sz w:val="24"/>
          <w:szCs w:val="24"/>
        </w:rPr>
      </w:pPr>
      <w:r>
        <w:rPr>
          <w:spacing w:val="-21"/>
          <w:sz w:val="24"/>
          <w:szCs w:val="24"/>
        </w:rPr>
        <w:t>各单位的来访客人（指不在本工地工作的人员）必须办</w:t>
      </w:r>
      <w:r>
        <w:rPr>
          <w:spacing w:val="-22"/>
          <w:sz w:val="24"/>
          <w:szCs w:val="24"/>
        </w:rPr>
        <w:t>理来客登记手续才能进入现场。</w:t>
      </w:r>
    </w:p>
    <w:p w14:paraId="588B8096">
      <w:pPr>
        <w:pStyle w:val="2"/>
        <w:spacing w:before="120" w:line="308" w:lineRule="auto"/>
        <w:ind w:left="1457" w:right="1463" w:firstLine="436"/>
        <w:rPr>
          <w:sz w:val="24"/>
          <w:szCs w:val="24"/>
        </w:rPr>
      </w:pPr>
      <w:r>
        <w:rPr>
          <w:spacing w:val="-21"/>
          <w:sz w:val="24"/>
          <w:szCs w:val="24"/>
        </w:rPr>
        <w:t>来客接待单位派人在门卫进行登记；来客将有效证件交给门卫；由门卫发给临时出入证；来客离场时凭临时出入证及有被访人签名的回执领取有</w:t>
      </w:r>
      <w:r>
        <w:rPr>
          <w:spacing w:val="-22"/>
          <w:sz w:val="24"/>
          <w:szCs w:val="24"/>
        </w:rPr>
        <w:t>效证件。</w:t>
      </w:r>
    </w:p>
    <w:p w14:paraId="0A165EF5">
      <w:pPr>
        <w:pStyle w:val="2"/>
        <w:spacing w:before="1" w:line="218" w:lineRule="auto"/>
        <w:ind w:left="1891"/>
        <w:rPr>
          <w:sz w:val="24"/>
          <w:szCs w:val="24"/>
        </w:rPr>
      </w:pPr>
      <w:r>
        <w:rPr>
          <w:spacing w:val="-18"/>
          <w:sz w:val="24"/>
          <w:szCs w:val="24"/>
        </w:rPr>
        <w:t>7、现场厕所管理</w:t>
      </w:r>
    </w:p>
    <w:p w14:paraId="4A8390FC">
      <w:pPr>
        <w:pStyle w:val="2"/>
        <w:spacing w:before="117" w:line="218" w:lineRule="auto"/>
        <w:ind w:left="1893"/>
        <w:rPr>
          <w:sz w:val="24"/>
          <w:szCs w:val="24"/>
        </w:rPr>
      </w:pPr>
      <w:r>
        <w:rPr>
          <w:spacing w:val="-19"/>
          <w:sz w:val="24"/>
          <w:szCs w:val="24"/>
        </w:rPr>
        <w:t>（1）现场固定厕所管理</w:t>
      </w:r>
    </w:p>
    <w:p w14:paraId="0622FB5A">
      <w:pPr>
        <w:pStyle w:val="2"/>
        <w:spacing w:before="115" w:line="308" w:lineRule="auto"/>
        <w:ind w:left="1458" w:right="1415" w:firstLine="435"/>
        <w:rPr>
          <w:sz w:val="24"/>
          <w:szCs w:val="24"/>
        </w:rPr>
      </w:pPr>
      <w:r>
        <w:rPr>
          <w:spacing w:val="-20"/>
          <w:sz w:val="24"/>
          <w:szCs w:val="24"/>
        </w:rPr>
        <w:t>项目部设立专职保洁员，划分保洁区域及工作内容，对非施工区域进行消杀和投放鼠药，对厕所、垃圾池等容易滋生蚊蝇的地方，由保洁员重点处理。垃圾由环卫公司每天清运，厕所</w:t>
      </w:r>
      <w:r>
        <w:rPr>
          <w:spacing w:val="-21"/>
          <w:sz w:val="24"/>
          <w:szCs w:val="24"/>
        </w:rPr>
        <w:t>每天定时打扫及消毒，并确立相应的奖惩措施，确保厕</w:t>
      </w:r>
      <w:r>
        <w:rPr>
          <w:spacing w:val="-22"/>
          <w:sz w:val="24"/>
          <w:szCs w:val="24"/>
        </w:rPr>
        <w:t>所卫生达标。</w:t>
      </w:r>
    </w:p>
    <w:p w14:paraId="5554E975">
      <w:pPr>
        <w:pStyle w:val="2"/>
        <w:spacing w:before="1" w:line="216" w:lineRule="auto"/>
        <w:ind w:left="1893"/>
        <w:rPr>
          <w:sz w:val="24"/>
          <w:szCs w:val="24"/>
        </w:rPr>
      </w:pPr>
      <w:r>
        <w:rPr>
          <w:spacing w:val="-19"/>
          <w:sz w:val="24"/>
          <w:szCs w:val="24"/>
        </w:rPr>
        <w:t>（2）现场移动环保厕所布置</w:t>
      </w:r>
    </w:p>
    <w:p w14:paraId="6F0556CC">
      <w:pPr>
        <w:pStyle w:val="2"/>
        <w:spacing w:before="117" w:line="264" w:lineRule="auto"/>
        <w:ind w:left="1497" w:right="1459" w:firstLine="396"/>
        <w:rPr>
          <w:sz w:val="24"/>
          <w:szCs w:val="24"/>
        </w:rPr>
      </w:pPr>
      <w:r>
        <w:rPr>
          <w:spacing w:val="-21"/>
          <w:sz w:val="24"/>
          <w:szCs w:val="24"/>
        </w:rPr>
        <w:t>各楼栋每两层设置地1个移动型厕所：蓄污箱容量约300L，可用500人次，无冲水系</w:t>
      </w:r>
      <w:r>
        <w:rPr>
          <w:spacing w:val="-22"/>
          <w:sz w:val="24"/>
          <w:szCs w:val="24"/>
        </w:rPr>
        <w:t>统，</w:t>
      </w:r>
      <w:r>
        <w:rPr>
          <w:spacing w:val="-23"/>
          <w:sz w:val="24"/>
          <w:szCs w:val="24"/>
        </w:rPr>
        <w:t>占地面积小，重量轻，不会造成垃圾污染。此厕所由专人定时对其清理。</w:t>
      </w:r>
    </w:p>
    <w:tbl>
      <w:tblPr>
        <w:tblStyle w:val="6"/>
        <w:tblW w:w="8549" w:type="dxa"/>
        <w:tblInd w:w="167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0"/>
        <w:gridCol w:w="4305"/>
        <w:gridCol w:w="4184"/>
      </w:tblGrid>
      <w:tr w14:paraId="5C8CD9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0" w:hRule="atLeast"/>
        </w:trPr>
        <w:tc>
          <w:tcPr>
            <w:tcW w:w="60" w:type="dxa"/>
            <w:tcBorders>
              <w:top w:val="single" w:color="5B9BD5" w:sz="4" w:space="0"/>
              <w:left w:val="single" w:color="5B9BD5" w:sz="4" w:space="0"/>
              <w:right w:val="nil"/>
            </w:tcBorders>
            <w:vAlign w:val="top"/>
          </w:tcPr>
          <w:p w14:paraId="2FAA0614">
            <w:pPr>
              <w:rPr>
                <w:rFonts w:ascii="Arial"/>
                <w:sz w:val="21"/>
              </w:rPr>
            </w:pPr>
            <w:r>
              <w:pict>
                <v:shape id="_x0000_s3355" o:spid="_x0000_s3355" style="position:absolute;left:0pt;margin-left:-0.25pt;margin-top:0pt;height:0.75pt;width:2.2pt;mso-position-horizontal-relative:page;mso-position-vertical-relative:page;z-index:252025856;mso-width-relative:page;mso-height-relative:page;" fillcolor="#5B9BD5" filled="t" stroked="f" coordsize="44,15" path="m0,14l43,14,43,0,0,0,0,14xe">
                  <v:path/>
                  <v:fill on="t" focussize="0,0"/>
                  <v:stroke on="f"/>
                  <v:imagedata o:title=""/>
                  <o:lock v:ext="edit"/>
                </v:shape>
              </w:pict>
            </w:r>
          </w:p>
        </w:tc>
        <w:tc>
          <w:tcPr>
            <w:tcW w:w="8489" w:type="dxa"/>
            <w:gridSpan w:val="2"/>
            <w:tcBorders>
              <w:top w:val="single" w:color="5B9BD5" w:sz="4" w:space="0"/>
              <w:left w:val="nil"/>
              <w:right w:val="single" w:color="5B9BD5" w:sz="4" w:space="0"/>
            </w:tcBorders>
            <w:shd w:val="clear" w:color="auto" w:fill="DEEAF6"/>
            <w:vAlign w:val="top"/>
          </w:tcPr>
          <w:p w14:paraId="4538EC36">
            <w:pPr>
              <w:pStyle w:val="7"/>
              <w:spacing w:before="127" w:line="215" w:lineRule="auto"/>
              <w:ind w:left="3464"/>
            </w:pPr>
            <w:r>
              <w:rPr>
                <w:b/>
                <w:bCs/>
                <w:spacing w:val="-21"/>
              </w:rPr>
              <w:t>进出现场洗车池</w:t>
            </w:r>
          </w:p>
        </w:tc>
      </w:tr>
      <w:tr w14:paraId="3B500B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53" w:hRule="atLeast"/>
        </w:trPr>
        <w:tc>
          <w:tcPr>
            <w:tcW w:w="4365" w:type="dxa"/>
            <w:gridSpan w:val="2"/>
            <w:tcBorders>
              <w:left w:val="single" w:color="000000" w:sz="4" w:space="0"/>
              <w:bottom w:val="nil"/>
            </w:tcBorders>
            <w:vAlign w:val="top"/>
          </w:tcPr>
          <w:p w14:paraId="51DC1F5F">
            <w:pPr>
              <w:spacing w:before="69" w:line="2673" w:lineRule="exact"/>
              <w:ind w:firstLine="68"/>
            </w:pPr>
            <w:r>
              <w:rPr>
                <w:position w:val="-53"/>
              </w:rPr>
              <w:drawing>
                <wp:inline distT="0" distB="0" distL="0" distR="0">
                  <wp:extent cx="2711450" cy="1697355"/>
                  <wp:effectExtent l="0" t="0" r="0" b="0"/>
                  <wp:docPr id="888" name="IM 888"/>
                  <wp:cNvGraphicFramePr/>
                  <a:graphic xmlns:a="http://schemas.openxmlformats.org/drawingml/2006/main">
                    <a:graphicData uri="http://schemas.openxmlformats.org/drawingml/2006/picture">
                      <pic:pic xmlns:pic="http://schemas.openxmlformats.org/drawingml/2006/picture">
                        <pic:nvPicPr>
                          <pic:cNvPr id="888" name="IM 888"/>
                          <pic:cNvPicPr/>
                        </pic:nvPicPr>
                        <pic:blipFill>
                          <a:blip r:embed="rId633"/>
                          <a:stretch>
                            <a:fillRect/>
                          </a:stretch>
                        </pic:blipFill>
                        <pic:spPr>
                          <a:xfrm>
                            <a:off x="0" y="0"/>
                            <a:ext cx="2711450" cy="1697736"/>
                          </a:xfrm>
                          <a:prstGeom prst="rect">
                            <a:avLst/>
                          </a:prstGeom>
                        </pic:spPr>
                      </pic:pic>
                    </a:graphicData>
                  </a:graphic>
                </wp:inline>
              </w:drawing>
            </w:r>
          </w:p>
        </w:tc>
        <w:tc>
          <w:tcPr>
            <w:tcW w:w="4184" w:type="dxa"/>
            <w:tcBorders>
              <w:bottom w:val="nil"/>
              <w:right w:val="single" w:color="000000" w:sz="4" w:space="0"/>
            </w:tcBorders>
            <w:vAlign w:val="top"/>
          </w:tcPr>
          <w:p w14:paraId="307AB645">
            <w:pPr>
              <w:spacing w:before="57" w:line="2685" w:lineRule="exact"/>
              <w:ind w:firstLine="117"/>
            </w:pPr>
            <w:r>
              <w:rPr>
                <w:position w:val="-53"/>
              </w:rPr>
              <w:drawing>
                <wp:inline distT="0" distB="0" distL="0" distR="0">
                  <wp:extent cx="2491105" cy="1704975"/>
                  <wp:effectExtent l="0" t="0" r="0" b="0"/>
                  <wp:docPr id="890" name="IM 890"/>
                  <wp:cNvGraphicFramePr/>
                  <a:graphic xmlns:a="http://schemas.openxmlformats.org/drawingml/2006/main">
                    <a:graphicData uri="http://schemas.openxmlformats.org/drawingml/2006/picture">
                      <pic:pic xmlns:pic="http://schemas.openxmlformats.org/drawingml/2006/picture">
                        <pic:nvPicPr>
                          <pic:cNvPr id="890" name="IM 890"/>
                          <pic:cNvPicPr/>
                        </pic:nvPicPr>
                        <pic:blipFill>
                          <a:blip r:embed="rId634"/>
                          <a:stretch>
                            <a:fillRect/>
                          </a:stretch>
                        </pic:blipFill>
                        <pic:spPr>
                          <a:xfrm>
                            <a:off x="0" y="0"/>
                            <a:ext cx="2491739" cy="1705355"/>
                          </a:xfrm>
                          <a:prstGeom prst="rect">
                            <a:avLst/>
                          </a:prstGeom>
                        </pic:spPr>
                      </pic:pic>
                    </a:graphicData>
                  </a:graphic>
                </wp:inline>
              </w:drawing>
            </w:r>
          </w:p>
        </w:tc>
      </w:tr>
      <w:tr w14:paraId="287B0E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7" w:hRule="atLeast"/>
        </w:trPr>
        <w:tc>
          <w:tcPr>
            <w:tcW w:w="4365" w:type="dxa"/>
            <w:gridSpan w:val="2"/>
            <w:tcBorders>
              <w:top w:val="nil"/>
              <w:left w:val="single" w:color="1C456A" w:sz="4" w:space="0"/>
              <w:bottom w:val="single" w:color="1C456A" w:sz="4" w:space="0"/>
            </w:tcBorders>
            <w:vAlign w:val="top"/>
          </w:tcPr>
          <w:p w14:paraId="6057ED15">
            <w:pPr>
              <w:rPr>
                <w:rFonts w:ascii="Arial"/>
                <w:sz w:val="21"/>
              </w:rPr>
            </w:pPr>
            <w:r>
              <w:pict>
                <v:rect id="_x0000_s3356" o:spid="_x0000_s3356" o:spt="1" style="position:absolute;left:0pt;margin-left:-0.2pt;margin-top:12.65pt;height:0.75pt;width:2.2pt;mso-position-horizontal-relative:page;mso-position-vertical-relative:page;z-index:252024832;mso-width-relative:page;mso-height-relative:page;" fillcolor="#5B9BD5" filled="t" stroked="f" coordsize="21600,21600">
                  <v:path/>
                  <v:fill on="t" focussize="0,0"/>
                  <v:stroke on="f"/>
                  <v:imagedata o:title=""/>
                  <o:lock v:ext="edit"/>
                </v:rect>
              </w:pict>
            </w:r>
          </w:p>
        </w:tc>
        <w:tc>
          <w:tcPr>
            <w:tcW w:w="4184" w:type="dxa"/>
            <w:tcBorders>
              <w:top w:val="nil"/>
              <w:bottom w:val="single" w:color="5B9BD5" w:sz="4" w:space="0"/>
              <w:right w:val="single" w:color="5B9BD5" w:sz="4" w:space="0"/>
            </w:tcBorders>
            <w:vAlign w:val="top"/>
          </w:tcPr>
          <w:p w14:paraId="78ED3BDB">
            <w:pPr>
              <w:rPr>
                <w:rFonts w:ascii="Arial"/>
                <w:sz w:val="21"/>
              </w:rPr>
            </w:pPr>
          </w:p>
        </w:tc>
      </w:tr>
    </w:tbl>
    <w:p w14:paraId="0DD792E3">
      <w:pPr>
        <w:pStyle w:val="2"/>
        <w:spacing w:before="62" w:line="217" w:lineRule="auto"/>
        <w:ind w:left="3892"/>
        <w:outlineLvl w:val="1"/>
        <w:rPr>
          <w:sz w:val="30"/>
          <w:szCs w:val="30"/>
        </w:rPr>
      </w:pPr>
      <w:bookmarkStart w:id="116" w:name="bookmark111"/>
      <w:bookmarkEnd w:id="116"/>
      <w:r>
        <w:rPr>
          <w:b/>
          <w:bCs/>
          <w:color w:val="0070C0"/>
          <w:spacing w:val="-24"/>
          <w:sz w:val="30"/>
          <w:szCs w:val="30"/>
        </w:rPr>
        <w:t>第二节、环境保护管理体系与措施</w:t>
      </w:r>
    </w:p>
    <w:p w14:paraId="4CDC402C">
      <w:pPr>
        <w:pStyle w:val="2"/>
        <w:spacing w:before="65" w:line="217" w:lineRule="auto"/>
        <w:ind w:left="1981"/>
        <w:outlineLvl w:val="2"/>
        <w:rPr>
          <w:sz w:val="28"/>
          <w:szCs w:val="28"/>
        </w:rPr>
      </w:pPr>
      <w:bookmarkStart w:id="117" w:name="bookmark112"/>
      <w:bookmarkEnd w:id="117"/>
      <w:r>
        <w:rPr>
          <w:b/>
          <w:bCs/>
          <w:spacing w:val="-23"/>
          <w:sz w:val="28"/>
          <w:szCs w:val="28"/>
        </w:rPr>
        <w:t>一、环境保护管理体系与制度</w:t>
      </w:r>
    </w:p>
    <w:p w14:paraId="1151CA25">
      <w:pPr>
        <w:pStyle w:val="2"/>
        <w:spacing w:before="106" w:line="217" w:lineRule="auto"/>
        <w:ind w:left="1994"/>
        <w:rPr>
          <w:sz w:val="24"/>
          <w:szCs w:val="24"/>
        </w:rPr>
      </w:pPr>
      <w:r>
        <w:rPr>
          <w:spacing w:val="-14"/>
          <w:sz w:val="24"/>
          <w:szCs w:val="24"/>
        </w:rPr>
        <w:t>1、环境保护管理体系</w:t>
      </w:r>
    </w:p>
    <w:p w14:paraId="0DB9B5FE">
      <w:pPr>
        <w:pStyle w:val="2"/>
        <w:spacing w:before="117" w:line="217" w:lineRule="auto"/>
        <w:ind w:left="2038"/>
        <w:rPr>
          <w:sz w:val="24"/>
          <w:szCs w:val="24"/>
        </w:rPr>
      </w:pPr>
      <w:r>
        <w:rPr>
          <w:spacing w:val="-18"/>
          <w:sz w:val="24"/>
          <w:szCs w:val="24"/>
        </w:rPr>
        <w:t>(1)环境保护管理体系图</w:t>
      </w:r>
    </w:p>
    <w:p w14:paraId="2EA4E392">
      <w:pPr>
        <w:spacing w:line="40" w:lineRule="auto"/>
        <w:rPr>
          <w:rFonts w:ascii="Arial"/>
          <w:sz w:val="2"/>
        </w:rPr>
      </w:pPr>
    </w:p>
    <w:tbl>
      <w:tblPr>
        <w:tblStyle w:val="6"/>
        <w:tblW w:w="8552" w:type="dxa"/>
        <w:tblInd w:w="1678" w:type="dxa"/>
        <w:tblBorders>
          <w:top w:val="single" w:color="1C456A" w:sz="4" w:space="0"/>
          <w:left w:val="single" w:color="1C456A" w:sz="4" w:space="0"/>
          <w:bottom w:val="single" w:color="1C456A" w:sz="4" w:space="0"/>
          <w:right w:val="single" w:color="1C456A" w:sz="4" w:space="0"/>
          <w:insideH w:val="single" w:color="1C456A" w:sz="4" w:space="0"/>
          <w:insideV w:val="single" w:color="1C456A" w:sz="4" w:space="0"/>
        </w:tblBorders>
        <w:shd w:val="clear" w:color="auto" w:fill="DEEAF6"/>
        <w:tblLayout w:type="fixed"/>
        <w:tblCellMar>
          <w:top w:w="0" w:type="dxa"/>
          <w:left w:w="0" w:type="dxa"/>
          <w:bottom w:w="0" w:type="dxa"/>
          <w:right w:w="0" w:type="dxa"/>
        </w:tblCellMar>
      </w:tblPr>
      <w:tblGrid>
        <w:gridCol w:w="1675"/>
        <w:gridCol w:w="5219"/>
        <w:gridCol w:w="1658"/>
      </w:tblGrid>
      <w:tr w14:paraId="25CF4DA8">
        <w:tblPrEx>
          <w:tblBorders>
            <w:top w:val="single" w:color="1C456A" w:sz="4" w:space="0"/>
            <w:left w:val="single" w:color="1C456A" w:sz="4" w:space="0"/>
            <w:bottom w:val="single" w:color="1C456A" w:sz="4" w:space="0"/>
            <w:right w:val="single" w:color="1C456A" w:sz="4" w:space="0"/>
            <w:insideH w:val="single" w:color="1C456A" w:sz="4" w:space="0"/>
            <w:insideV w:val="single" w:color="1C456A" w:sz="4" w:space="0"/>
          </w:tblBorders>
        </w:tblPrEx>
        <w:trPr>
          <w:trHeight w:val="652" w:hRule="atLeast"/>
        </w:trPr>
        <w:tc>
          <w:tcPr>
            <w:tcW w:w="1675" w:type="dxa"/>
            <w:tcBorders>
              <w:right w:val="nil"/>
            </w:tcBorders>
            <w:shd w:val="clear" w:color="auto" w:fill="DEEAF6"/>
            <w:vAlign w:val="top"/>
          </w:tcPr>
          <w:p w14:paraId="0A6FECD8">
            <w:pPr>
              <w:rPr>
                <w:rFonts w:ascii="Arial"/>
                <w:sz w:val="21"/>
              </w:rPr>
            </w:pPr>
            <w:r>
              <w:pict>
                <v:shape id="_x0000_s3357" o:spid="_x0000_s3357" style="position:absolute;left:0pt;margin-left:-0.25pt;margin-top:0.05pt;height:0.75pt;width:2.2pt;mso-position-horizontal-relative:page;mso-position-vertical-relative:page;z-index:252023808;mso-width-relative:page;mso-height-relative:page;" fillcolor="#5B9BD5" filled="t" stroked="f" coordsize="44,15" path="m0,14l43,14,43,0,0,0,0,14xe">
                  <v:path/>
                  <v:fill on="t" focussize="0,0"/>
                  <v:stroke on="f"/>
                  <v:imagedata o:title=""/>
                  <o:lock v:ext="edit"/>
                </v:shape>
              </w:pict>
            </w:r>
            <w:r>
              <w:pict>
                <v:shape id="_x0000_s3358" o:spid="_x0000_s3358" style="position:absolute;left:0pt;margin-left:-0.25pt;margin-top:32.85pt;height:0.75pt;width:2.2pt;mso-position-horizontal-relative:page;mso-position-vertical-relative:page;z-index:252022784;mso-width-relative:page;mso-height-relative:page;" fillcolor="#5B9BD5" filled="t" stroked="f" coordsize="44,15" path="m0,14l43,14,43,0,0,0,0,14xe">
                  <v:path/>
                  <v:fill on="t" focussize="0,0"/>
                  <v:stroke on="f"/>
                  <v:imagedata o:title=""/>
                  <o:lock v:ext="edit"/>
                </v:shape>
              </w:pict>
            </w:r>
          </w:p>
        </w:tc>
        <w:tc>
          <w:tcPr>
            <w:tcW w:w="5219" w:type="dxa"/>
            <w:tcBorders>
              <w:left w:val="nil"/>
              <w:right w:val="nil"/>
            </w:tcBorders>
            <w:shd w:val="clear" w:color="auto" w:fill="DEEAF6"/>
            <w:vAlign w:val="top"/>
          </w:tcPr>
          <w:p w14:paraId="28774EA2">
            <w:pPr>
              <w:pStyle w:val="7"/>
              <w:spacing w:before="128" w:line="217" w:lineRule="auto"/>
              <w:ind w:left="1631"/>
            </w:pPr>
            <w:r>
              <w:rPr>
                <w:b/>
                <w:bCs/>
                <w:spacing w:val="-21"/>
              </w:rPr>
              <w:t>环境保护管理体系图</w:t>
            </w:r>
          </w:p>
        </w:tc>
        <w:tc>
          <w:tcPr>
            <w:tcW w:w="1658" w:type="dxa"/>
            <w:tcBorders>
              <w:left w:val="nil"/>
            </w:tcBorders>
            <w:shd w:val="clear" w:color="auto" w:fill="DEEAF6"/>
            <w:vAlign w:val="top"/>
          </w:tcPr>
          <w:p w14:paraId="5E7720B9">
            <w:pPr>
              <w:rPr>
                <w:rFonts w:ascii="Arial"/>
                <w:sz w:val="21"/>
              </w:rPr>
            </w:pPr>
            <w:r>
              <w:pict>
                <v:shape id="_x0000_s3359" o:spid="_x0000_s3359" style="position:absolute;left:0pt;margin-left:81.05pt;margin-top:0.05pt;height:0.75pt;width:2.2pt;mso-position-horizontal-relative:page;mso-position-vertical-relative:page;z-index:252020736;mso-width-relative:page;mso-height-relative:page;" fillcolor="#5B9BD5" filled="t" stroked="f" coordsize="44,15" path="m0,14l43,14,43,0,0,0,0,14xe">
                  <v:path/>
                  <v:fill on="t" focussize="0,0"/>
                  <v:stroke on="f"/>
                  <v:imagedata o:title=""/>
                  <o:lock v:ext="edit"/>
                </v:shape>
              </w:pict>
            </w:r>
            <w:r>
              <w:pict>
                <v:shape id="_x0000_s3360" o:spid="_x0000_s3360" style="position:absolute;left:0pt;margin-left:81.05pt;margin-top:32.85pt;height:0.75pt;width:2.2pt;mso-position-horizontal-relative:page;mso-position-vertical-relative:page;z-index:252021760;mso-width-relative:page;mso-height-relative:page;" fillcolor="#5B9BD5" filled="t" stroked="f" coordsize="44,15" path="m0,14l43,14,43,0,0,0,0,14xe">
                  <v:path/>
                  <v:fill on="t" focussize="0,0"/>
                  <v:stroke on="f"/>
                  <v:imagedata o:title=""/>
                  <o:lock v:ext="edit"/>
                </v:shape>
              </w:pict>
            </w:r>
          </w:p>
        </w:tc>
      </w:tr>
    </w:tbl>
    <w:p w14:paraId="16823DD4">
      <w:pPr>
        <w:rPr>
          <w:rFonts w:ascii="Arial"/>
          <w:sz w:val="21"/>
        </w:rPr>
      </w:pPr>
    </w:p>
    <w:p w14:paraId="4846BDED">
      <w:pPr>
        <w:rPr>
          <w:rFonts w:ascii="Arial" w:hAnsi="Arial" w:eastAsia="Arial" w:cs="Arial"/>
          <w:sz w:val="21"/>
          <w:szCs w:val="21"/>
        </w:rPr>
        <w:sectPr>
          <w:footerReference r:id="rId172" w:type="default"/>
          <w:pgSz w:w="11907" w:h="16839"/>
          <w:pgMar w:top="954" w:right="4" w:bottom="1038" w:left="0" w:header="499" w:footer="357" w:gutter="0"/>
          <w:pgBorders>
            <w:top w:val="none" w:sz="0" w:space="0"/>
            <w:left w:val="none" w:sz="0" w:space="0"/>
            <w:bottom w:val="none" w:sz="0" w:space="0"/>
            <w:right w:val="none" w:sz="0" w:space="0"/>
          </w:pgBorders>
          <w:cols w:space="720" w:num="1"/>
        </w:sectPr>
      </w:pPr>
    </w:p>
    <w:p w14:paraId="20DC7B4A">
      <w:pPr>
        <w:spacing w:line="214" w:lineRule="exact"/>
      </w:pPr>
    </w:p>
    <w:tbl>
      <w:tblPr>
        <w:tblStyle w:val="6"/>
        <w:tblW w:w="8552" w:type="dxa"/>
        <w:tblInd w:w="1678" w:type="dxa"/>
        <w:tblBorders>
          <w:top w:val="single" w:color="1C456A" w:sz="4" w:space="0"/>
          <w:left w:val="single" w:color="1C456A" w:sz="4" w:space="0"/>
          <w:bottom w:val="single" w:color="1C456A" w:sz="4" w:space="0"/>
          <w:right w:val="single" w:color="1C456A" w:sz="4" w:space="0"/>
          <w:insideH w:val="none" w:color="auto" w:sz="0" w:space="0"/>
          <w:insideV w:val="none" w:color="auto" w:sz="0" w:space="0"/>
        </w:tblBorders>
        <w:tblLayout w:type="fixed"/>
        <w:tblCellMar>
          <w:top w:w="0" w:type="dxa"/>
          <w:left w:w="0" w:type="dxa"/>
          <w:bottom w:w="0" w:type="dxa"/>
          <w:right w:w="0" w:type="dxa"/>
        </w:tblCellMar>
      </w:tblPr>
      <w:tblGrid>
        <w:gridCol w:w="8552"/>
      </w:tblGrid>
      <w:tr w14:paraId="00F578A1">
        <w:tblPrEx>
          <w:tblBorders>
            <w:top w:val="single" w:color="1C456A" w:sz="4" w:space="0"/>
            <w:left w:val="single" w:color="1C456A" w:sz="4" w:space="0"/>
            <w:bottom w:val="single" w:color="1C456A" w:sz="4" w:space="0"/>
            <w:right w:val="single" w:color="1C456A" w:sz="4" w:space="0"/>
            <w:insideH w:val="none" w:color="auto" w:sz="0" w:space="0"/>
            <w:insideV w:val="none" w:color="auto" w:sz="0" w:space="0"/>
          </w:tblBorders>
          <w:tblCellMar>
            <w:top w:w="0" w:type="dxa"/>
            <w:left w:w="0" w:type="dxa"/>
            <w:bottom w:w="0" w:type="dxa"/>
            <w:right w:w="0" w:type="dxa"/>
          </w:tblCellMar>
        </w:tblPrEx>
        <w:trPr>
          <w:trHeight w:val="6640" w:hRule="atLeast"/>
        </w:trPr>
        <w:tc>
          <w:tcPr>
            <w:tcW w:w="8552" w:type="dxa"/>
            <w:vAlign w:val="top"/>
          </w:tcPr>
          <w:p w14:paraId="369DB4E2">
            <w:pPr>
              <w:spacing w:before="93" w:line="6300" w:lineRule="exact"/>
              <w:ind w:firstLine="939"/>
            </w:pPr>
            <w:r>
              <w:pict>
                <v:shape id="_x0000_s3361" o:spid="_x0000_s3361" style="position:absolute;left:0pt;margin-left:-0.25pt;margin-top:332.3pt;height:0.75pt;width:2.2pt;mso-position-horizontal-relative:page;mso-position-vertical-relative:page;z-index:252030976;mso-width-relative:page;mso-height-relative:page;" fillcolor="#5B9BD5" filled="t" stroked="f" coordsize="44,15" path="m0,14l43,14,43,0,0,0,0,14xe">
                  <v:path/>
                  <v:fill on="t" focussize="0,0"/>
                  <v:stroke on="f"/>
                  <v:imagedata o:title=""/>
                  <o:lock v:ext="edit"/>
                </v:shape>
              </w:pict>
            </w:r>
            <w:r>
              <w:pict>
                <v:shape id="_x0000_s3362" o:spid="_x0000_s3362" style="position:absolute;left:0pt;margin-left:425.75pt;margin-top:332.3pt;height:0.75pt;width:2.2pt;mso-position-horizontal-relative:page;mso-position-vertical-relative:page;z-index:252032000;mso-width-relative:page;mso-height-relative:page;" fillcolor="#5B9BD5" filled="t" stroked="f" coordsize="44,15" path="m0,14l43,14,43,0,0,0,0,14xe">
                  <v:path/>
                  <v:fill on="t" focussize="0,0"/>
                  <v:stroke on="f"/>
                  <v:imagedata o:title=""/>
                  <o:lock v:ext="edit"/>
                </v:shape>
              </w:pict>
            </w:r>
            <w:r>
              <w:rPr>
                <w:position w:val="-126"/>
              </w:rPr>
              <w:drawing>
                <wp:inline distT="0" distB="0" distL="0" distR="0">
                  <wp:extent cx="4229100" cy="4000500"/>
                  <wp:effectExtent l="0" t="0" r="0" b="0"/>
                  <wp:docPr id="894" name="IM 894"/>
                  <wp:cNvGraphicFramePr/>
                  <a:graphic xmlns:a="http://schemas.openxmlformats.org/drawingml/2006/main">
                    <a:graphicData uri="http://schemas.openxmlformats.org/drawingml/2006/picture">
                      <pic:pic xmlns:pic="http://schemas.openxmlformats.org/drawingml/2006/picture">
                        <pic:nvPicPr>
                          <pic:cNvPr id="894" name="IM 894"/>
                          <pic:cNvPicPr/>
                        </pic:nvPicPr>
                        <pic:blipFill>
                          <a:blip r:embed="rId635"/>
                          <a:stretch>
                            <a:fillRect/>
                          </a:stretch>
                        </pic:blipFill>
                        <pic:spPr>
                          <a:xfrm>
                            <a:off x="0" y="0"/>
                            <a:ext cx="4229100" cy="4000500"/>
                          </a:xfrm>
                          <a:prstGeom prst="rect">
                            <a:avLst/>
                          </a:prstGeom>
                        </pic:spPr>
                      </pic:pic>
                    </a:graphicData>
                  </a:graphic>
                </wp:inline>
              </w:drawing>
            </w:r>
          </w:p>
        </w:tc>
      </w:tr>
    </w:tbl>
    <w:p w14:paraId="084C6B11">
      <w:pPr>
        <w:pStyle w:val="2"/>
        <w:spacing w:before="115" w:line="217" w:lineRule="auto"/>
        <w:ind w:left="1927"/>
        <w:rPr>
          <w:sz w:val="24"/>
          <w:szCs w:val="24"/>
        </w:rPr>
      </w:pPr>
      <w:r>
        <w:pict>
          <v:shape id="_x0000_s3363" o:spid="_x0000_s3363" style="position:absolute;left:0pt;margin-left:80.4pt;margin-top:20.05pt;height:0.75pt;width:2.2pt;z-index:252029952;mso-width-relative:page;mso-height-relative:page;" fillcolor="#5B9BD5" filled="t" stroked="f" coordsize="44,15" path="m0,14l43,14,43,0,0,0,0,14xe">
            <v:path/>
            <v:fill on="t" focussize="0,0"/>
            <v:stroke on="f"/>
            <v:imagedata o:title=""/>
            <o:lock v:ext="edit"/>
          </v:shape>
        </w:pict>
      </w:r>
      <w:r>
        <w:pict>
          <v:shape id="_x0000_s3364" o:spid="_x0000_s3364" style="position:absolute;left:0pt;margin-left:512.85pt;margin-top:20.05pt;height:0.75pt;width:2.2pt;z-index:252027904;mso-width-relative:page;mso-height-relative:page;" fillcolor="#5B9BD5" filled="t" stroked="f" coordsize="44,15" path="m0,14l43,14,43,0,0,0,0,14xe">
            <v:path/>
            <v:fill on="t" focussize="0,0"/>
            <v:stroke on="f"/>
            <v:imagedata o:title=""/>
            <o:lock v:ext="edit"/>
          </v:shape>
        </w:pict>
      </w:r>
      <w:r>
        <w:rPr>
          <w:spacing w:val="-19"/>
          <w:sz w:val="24"/>
          <w:szCs w:val="24"/>
        </w:rPr>
        <w:t>(2)岗位职责</w:t>
      </w:r>
    </w:p>
    <w:p w14:paraId="28C4AFD6">
      <w:pPr>
        <w:spacing w:line="29" w:lineRule="auto"/>
        <w:rPr>
          <w:rFonts w:ascii="Arial"/>
          <w:sz w:val="2"/>
        </w:rPr>
      </w:pPr>
    </w:p>
    <w:tbl>
      <w:tblPr>
        <w:tblStyle w:val="6"/>
        <w:tblW w:w="8681" w:type="dxa"/>
        <w:tblInd w:w="161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52"/>
        <w:gridCol w:w="7253"/>
        <w:gridCol w:w="76"/>
      </w:tblGrid>
      <w:tr w14:paraId="000C4D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6" w:hRule="atLeast"/>
        </w:trPr>
        <w:tc>
          <w:tcPr>
            <w:tcW w:w="1352" w:type="dxa"/>
            <w:tcBorders>
              <w:top w:val="single" w:color="1C456A" w:sz="4" w:space="0"/>
              <w:left w:val="single" w:color="1C456A" w:sz="4" w:space="0"/>
            </w:tcBorders>
            <w:shd w:val="clear" w:color="auto" w:fill="DEEAF6"/>
            <w:vAlign w:val="top"/>
          </w:tcPr>
          <w:p w14:paraId="2F65189A">
            <w:pPr>
              <w:pStyle w:val="7"/>
              <w:spacing w:before="140" w:line="217" w:lineRule="auto"/>
              <w:ind w:left="283"/>
            </w:pPr>
            <w:r>
              <w:rPr>
                <w:b/>
                <w:bCs/>
                <w:spacing w:val="-25"/>
              </w:rPr>
              <w:t>岗位名称</w:t>
            </w:r>
          </w:p>
        </w:tc>
        <w:tc>
          <w:tcPr>
            <w:tcW w:w="7329" w:type="dxa"/>
            <w:gridSpan w:val="2"/>
            <w:tcBorders>
              <w:top w:val="single" w:color="000000" w:sz="4" w:space="0"/>
              <w:right w:val="single" w:color="000000" w:sz="4" w:space="0"/>
            </w:tcBorders>
            <w:shd w:val="clear" w:color="auto" w:fill="DEEAF6"/>
            <w:vAlign w:val="top"/>
          </w:tcPr>
          <w:p w14:paraId="510D007D">
            <w:pPr>
              <w:pStyle w:val="7"/>
              <w:spacing w:before="141" w:line="217" w:lineRule="auto"/>
              <w:ind w:left="3256"/>
            </w:pPr>
            <w:r>
              <w:rPr>
                <w:b/>
                <w:bCs/>
                <w:spacing w:val="-24"/>
              </w:rPr>
              <w:t>岗位职责</w:t>
            </w:r>
          </w:p>
        </w:tc>
      </w:tr>
      <w:tr w14:paraId="573741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55" w:hRule="atLeast"/>
        </w:trPr>
        <w:tc>
          <w:tcPr>
            <w:tcW w:w="1352" w:type="dxa"/>
            <w:tcBorders>
              <w:left w:val="single" w:color="000000" w:sz="4" w:space="0"/>
            </w:tcBorders>
            <w:vAlign w:val="top"/>
          </w:tcPr>
          <w:p w14:paraId="136E3F98">
            <w:pPr>
              <w:spacing w:line="251" w:lineRule="auto"/>
              <w:rPr>
                <w:rFonts w:ascii="Arial"/>
                <w:sz w:val="21"/>
              </w:rPr>
            </w:pPr>
          </w:p>
          <w:p w14:paraId="562BF83C">
            <w:pPr>
              <w:pStyle w:val="7"/>
              <w:spacing w:before="78" w:line="218" w:lineRule="auto"/>
              <w:ind w:left="260"/>
            </w:pPr>
            <w:r>
              <w:rPr>
                <w:spacing w:val="-16"/>
              </w:rPr>
              <w:t>公司总部</w:t>
            </w:r>
          </w:p>
        </w:tc>
        <w:tc>
          <w:tcPr>
            <w:tcW w:w="7329" w:type="dxa"/>
            <w:gridSpan w:val="2"/>
            <w:tcBorders>
              <w:right w:val="single" w:color="000000" w:sz="4" w:space="0"/>
            </w:tcBorders>
            <w:vAlign w:val="top"/>
          </w:tcPr>
          <w:p w14:paraId="1047F37E">
            <w:pPr>
              <w:pStyle w:val="7"/>
              <w:spacing w:before="97" w:line="217" w:lineRule="auto"/>
              <w:ind w:left="1167"/>
            </w:pPr>
            <w:r>
              <w:rPr>
                <w:spacing w:val="-21"/>
              </w:rPr>
              <w:t>1)公司内部环保资源调配和社会协力环保资源协调。</w:t>
            </w:r>
          </w:p>
          <w:p w14:paraId="5FCD87E9">
            <w:pPr>
              <w:pStyle w:val="7"/>
              <w:spacing w:before="183" w:line="217" w:lineRule="auto"/>
              <w:ind w:left="2569"/>
            </w:pPr>
            <w:r>
              <w:rPr>
                <w:spacing w:val="-17"/>
              </w:rPr>
              <w:t>2)提供环保资金保障。</w:t>
            </w:r>
          </w:p>
        </w:tc>
      </w:tr>
      <w:tr w14:paraId="1A90BD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75" w:hRule="atLeast"/>
        </w:trPr>
        <w:tc>
          <w:tcPr>
            <w:tcW w:w="1352" w:type="dxa"/>
            <w:tcBorders>
              <w:left w:val="single" w:color="000000" w:sz="4" w:space="0"/>
            </w:tcBorders>
            <w:vAlign w:val="top"/>
          </w:tcPr>
          <w:p w14:paraId="4C139759">
            <w:pPr>
              <w:spacing w:line="319" w:lineRule="auto"/>
              <w:rPr>
                <w:rFonts w:ascii="Arial"/>
                <w:sz w:val="21"/>
              </w:rPr>
            </w:pPr>
          </w:p>
          <w:p w14:paraId="7FC13BA2">
            <w:pPr>
              <w:spacing w:line="319" w:lineRule="auto"/>
              <w:rPr>
                <w:rFonts w:ascii="Arial"/>
                <w:sz w:val="21"/>
              </w:rPr>
            </w:pPr>
          </w:p>
          <w:p w14:paraId="624E4E84">
            <w:pPr>
              <w:spacing w:line="319" w:lineRule="auto"/>
              <w:rPr>
                <w:rFonts w:ascii="Arial"/>
                <w:sz w:val="21"/>
              </w:rPr>
            </w:pPr>
          </w:p>
          <w:p w14:paraId="1C1B435B">
            <w:pPr>
              <w:pStyle w:val="7"/>
              <w:spacing w:before="78" w:line="220" w:lineRule="auto"/>
              <w:ind w:left="256"/>
            </w:pPr>
            <w:r>
              <w:rPr>
                <w:spacing w:val="-16"/>
              </w:rPr>
              <w:t>项目经理</w:t>
            </w:r>
          </w:p>
        </w:tc>
        <w:tc>
          <w:tcPr>
            <w:tcW w:w="7329" w:type="dxa"/>
            <w:gridSpan w:val="2"/>
            <w:tcBorders>
              <w:right w:val="single" w:color="000000" w:sz="4" w:space="0"/>
            </w:tcBorders>
            <w:vAlign w:val="top"/>
          </w:tcPr>
          <w:p w14:paraId="2113AE9B">
            <w:pPr>
              <w:spacing w:line="263" w:lineRule="auto"/>
              <w:rPr>
                <w:rFonts w:ascii="Arial"/>
                <w:sz w:val="21"/>
              </w:rPr>
            </w:pPr>
          </w:p>
          <w:p w14:paraId="3F4F349E">
            <w:pPr>
              <w:pStyle w:val="7"/>
              <w:spacing w:before="78" w:line="217" w:lineRule="auto"/>
              <w:ind w:left="1057"/>
            </w:pPr>
            <w:r>
              <w:rPr>
                <w:spacing w:val="-21"/>
              </w:rPr>
              <w:t>1)环保施工第一责任人，对环保施工负全面领导责任。</w:t>
            </w:r>
          </w:p>
          <w:p w14:paraId="4D277423">
            <w:pPr>
              <w:pStyle w:val="7"/>
              <w:spacing w:before="183" w:line="217" w:lineRule="auto"/>
              <w:ind w:left="1697"/>
            </w:pPr>
            <w:r>
              <w:rPr>
                <w:spacing w:val="-20"/>
              </w:rPr>
              <w:t>2)保证环境管理体系有效运行所需资源。</w:t>
            </w:r>
          </w:p>
          <w:p w14:paraId="5B7481B1">
            <w:pPr>
              <w:pStyle w:val="7"/>
              <w:spacing w:before="186" w:line="216" w:lineRule="auto"/>
              <w:ind w:left="391"/>
            </w:pPr>
            <w:r>
              <w:rPr>
                <w:spacing w:val="-20"/>
              </w:rPr>
              <w:t>3)做好与业主、投资人、设计院、监理、各承</w:t>
            </w:r>
            <w:r>
              <w:rPr>
                <w:spacing w:val="-21"/>
              </w:rPr>
              <w:t>包单位环保协调工作。</w:t>
            </w:r>
          </w:p>
          <w:p w14:paraId="5F1A6B7F">
            <w:pPr>
              <w:pStyle w:val="7"/>
              <w:spacing w:before="184" w:line="217" w:lineRule="auto"/>
              <w:ind w:left="167"/>
            </w:pPr>
            <w:r>
              <w:rPr>
                <w:spacing w:val="-22"/>
              </w:rPr>
              <w:t>4)审批《环境因素清单》、《重要环境因素清单》、《环境管理方案》。</w:t>
            </w:r>
          </w:p>
        </w:tc>
      </w:tr>
      <w:tr w14:paraId="5B2EBF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8" w:hRule="atLeast"/>
        </w:trPr>
        <w:tc>
          <w:tcPr>
            <w:tcW w:w="1352" w:type="dxa"/>
            <w:tcBorders>
              <w:left w:val="single" w:color="1C456A" w:sz="4" w:space="0"/>
              <w:bottom w:val="single" w:color="1C456A" w:sz="4" w:space="0"/>
            </w:tcBorders>
            <w:vAlign w:val="top"/>
          </w:tcPr>
          <w:p w14:paraId="7744E9B3">
            <w:pPr>
              <w:spacing w:line="317" w:lineRule="auto"/>
              <w:rPr>
                <w:rFonts w:ascii="Arial"/>
                <w:sz w:val="21"/>
              </w:rPr>
            </w:pPr>
            <w:r>
              <w:pict>
                <v:shape id="_x0000_s3365" o:spid="_x0000_s3365" style="position:absolute;left:0pt;margin-left:-0.2pt;margin-top:147.95pt;height:0.75pt;width:2.2pt;mso-position-horizontal-relative:page;mso-position-vertical-relative:page;z-index:252028928;mso-width-relative:page;mso-height-relative:page;" fillcolor="#5B9BD5" filled="t" stroked="f" coordsize="44,15" path="m0,14l43,14,43,0,0,0,0,14xe">
                  <v:path/>
                  <v:fill on="t" focussize="0,0"/>
                  <v:stroke on="f"/>
                  <v:imagedata o:title=""/>
                  <o:lock v:ext="edit"/>
                </v:shape>
              </w:pict>
            </w:r>
          </w:p>
          <w:p w14:paraId="25BCCDE9">
            <w:pPr>
              <w:spacing w:line="317" w:lineRule="auto"/>
              <w:rPr>
                <w:rFonts w:ascii="Arial"/>
                <w:sz w:val="21"/>
              </w:rPr>
            </w:pPr>
          </w:p>
          <w:p w14:paraId="51C18561">
            <w:pPr>
              <w:spacing w:line="317" w:lineRule="auto"/>
              <w:rPr>
                <w:rFonts w:ascii="Arial"/>
                <w:sz w:val="21"/>
              </w:rPr>
            </w:pPr>
          </w:p>
          <w:p w14:paraId="0C07C8BC">
            <w:pPr>
              <w:pStyle w:val="7"/>
              <w:spacing w:before="78" w:line="360" w:lineRule="auto"/>
              <w:ind w:left="254" w:right="104" w:hanging="106"/>
            </w:pPr>
            <w:r>
              <w:rPr>
                <w:spacing w:val="-22"/>
              </w:rPr>
              <w:t>绿色施工协</w:t>
            </w:r>
            <w:r>
              <w:rPr>
                <w:spacing w:val="-15"/>
              </w:rPr>
              <w:t>调组组长</w:t>
            </w:r>
          </w:p>
        </w:tc>
        <w:tc>
          <w:tcPr>
            <w:tcW w:w="7253" w:type="dxa"/>
            <w:tcBorders>
              <w:bottom w:val="single" w:color="5B9BD5" w:sz="4" w:space="0"/>
              <w:right w:val="nil"/>
            </w:tcBorders>
            <w:vAlign w:val="top"/>
          </w:tcPr>
          <w:p w14:paraId="4CB67A3F">
            <w:pPr>
              <w:pStyle w:val="7"/>
              <w:spacing w:before="101" w:line="288" w:lineRule="auto"/>
              <w:ind w:left="2121" w:hanging="2051"/>
            </w:pPr>
            <w:r>
              <w:rPr>
                <w:spacing w:val="-28"/>
              </w:rPr>
              <w:t>1)环保施工监督员，负责与政府主管部门联系和协调，做好与周边居民关</w:t>
            </w:r>
            <w:r>
              <w:rPr>
                <w:spacing w:val="-29"/>
              </w:rPr>
              <w:t>系，</w:t>
            </w:r>
            <w:r>
              <w:rPr>
                <w:spacing w:val="-23"/>
              </w:rPr>
              <w:t>为工程施工创造良好外部环境；</w:t>
            </w:r>
          </w:p>
          <w:p w14:paraId="5BC5B3CB">
            <w:pPr>
              <w:pStyle w:val="7"/>
              <w:spacing w:before="184" w:line="217" w:lineRule="auto"/>
              <w:ind w:left="2461"/>
            </w:pPr>
            <w:r>
              <w:rPr>
                <w:spacing w:val="-18"/>
              </w:rPr>
              <w:t>2)环保知识培训和教育；</w:t>
            </w:r>
          </w:p>
          <w:p w14:paraId="2ADD81E5">
            <w:pPr>
              <w:pStyle w:val="7"/>
              <w:spacing w:before="183" w:line="216" w:lineRule="auto"/>
              <w:ind w:left="1481"/>
            </w:pPr>
            <w:r>
              <w:rPr>
                <w:spacing w:val="-20"/>
              </w:rPr>
              <w:t>3)协调、处理、监督各项绿色施工相关工作；</w:t>
            </w:r>
          </w:p>
          <w:p w14:paraId="36BF4A82">
            <w:pPr>
              <w:pStyle w:val="7"/>
              <w:spacing w:before="187" w:line="217" w:lineRule="auto"/>
              <w:ind w:left="438"/>
            </w:pPr>
            <w:r>
              <w:rPr>
                <w:spacing w:val="-14"/>
              </w:rPr>
              <w:t>4)按ISO14001、GB/T45001-2020标准记录、收集、整</w:t>
            </w:r>
            <w:r>
              <w:rPr>
                <w:spacing w:val="-15"/>
              </w:rPr>
              <w:t>理相关文件；</w:t>
            </w:r>
          </w:p>
          <w:p w14:paraId="74EA6305">
            <w:pPr>
              <w:pStyle w:val="7"/>
              <w:spacing w:before="184" w:line="217" w:lineRule="auto"/>
              <w:ind w:left="1481"/>
            </w:pPr>
            <w:r>
              <w:rPr>
                <w:spacing w:val="-20"/>
              </w:rPr>
              <w:t>5)处理、协调环境管理体系运行的有关事宜。</w:t>
            </w:r>
          </w:p>
        </w:tc>
        <w:tc>
          <w:tcPr>
            <w:tcW w:w="76" w:type="dxa"/>
            <w:tcBorders>
              <w:left w:val="nil"/>
              <w:bottom w:val="single" w:color="5B9BD5" w:sz="4" w:space="0"/>
              <w:right w:val="single" w:color="5B9BD5" w:sz="4" w:space="0"/>
            </w:tcBorders>
            <w:vAlign w:val="top"/>
          </w:tcPr>
          <w:p w14:paraId="5BDF1729">
            <w:pPr>
              <w:rPr>
                <w:rFonts w:ascii="Arial"/>
                <w:sz w:val="21"/>
              </w:rPr>
            </w:pPr>
            <w:r>
              <w:pict>
                <v:shape id="_x0000_s3366" o:spid="_x0000_s3366" style="position:absolute;left:0pt;margin-left:1.95pt;margin-top:147.95pt;height:0.75pt;width:2.2pt;mso-position-horizontal-relative:page;mso-position-vertical-relative:page;z-index:252026880;mso-width-relative:page;mso-height-relative:page;" fillcolor="#5B9BD5" filled="t" stroked="f" coordsize="44,15" path="m0,14l43,14,43,0,0,0,0,14xe">
                  <v:path/>
                  <v:fill on="t" focussize="0,0"/>
                  <v:stroke on="f"/>
                  <v:imagedata o:title=""/>
                  <o:lock v:ext="edit"/>
                </v:shape>
              </w:pict>
            </w:r>
          </w:p>
        </w:tc>
      </w:tr>
    </w:tbl>
    <w:p w14:paraId="5CED2220">
      <w:pPr>
        <w:rPr>
          <w:rFonts w:ascii="Arial"/>
          <w:sz w:val="21"/>
        </w:rPr>
      </w:pPr>
    </w:p>
    <w:p w14:paraId="59C773E2">
      <w:pPr>
        <w:rPr>
          <w:rFonts w:ascii="Arial" w:hAnsi="Arial" w:eastAsia="Arial" w:cs="Arial"/>
          <w:sz w:val="21"/>
          <w:szCs w:val="21"/>
        </w:rPr>
        <w:sectPr>
          <w:footerReference r:id="rId173" w:type="default"/>
          <w:pgSz w:w="11907" w:h="16839"/>
          <w:pgMar w:top="954" w:right="4" w:bottom="1038" w:left="0" w:header="499" w:footer="357" w:gutter="0"/>
          <w:pgBorders>
            <w:top w:val="none" w:sz="0" w:space="0"/>
            <w:left w:val="none" w:sz="0" w:space="0"/>
            <w:bottom w:val="none" w:sz="0" w:space="0"/>
            <w:right w:val="none" w:sz="0" w:space="0"/>
          </w:pgBorders>
          <w:cols w:space="720" w:num="1"/>
        </w:sectPr>
      </w:pPr>
    </w:p>
    <w:p w14:paraId="78FFCCC7">
      <w:pPr>
        <w:spacing w:line="214" w:lineRule="exact"/>
      </w:pPr>
    </w:p>
    <w:tbl>
      <w:tblPr>
        <w:tblStyle w:val="6"/>
        <w:tblW w:w="8681" w:type="dxa"/>
        <w:tblInd w:w="161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47"/>
        <w:gridCol w:w="7334"/>
      </w:tblGrid>
      <w:tr w14:paraId="7238C8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54" w:hRule="atLeast"/>
        </w:trPr>
        <w:tc>
          <w:tcPr>
            <w:tcW w:w="1347" w:type="dxa"/>
            <w:tcBorders>
              <w:top w:val="single" w:color="000000" w:sz="4" w:space="0"/>
              <w:left w:val="single" w:color="000000" w:sz="4" w:space="0"/>
            </w:tcBorders>
            <w:vAlign w:val="top"/>
          </w:tcPr>
          <w:p w14:paraId="0A142F5D">
            <w:pPr>
              <w:rPr>
                <w:rFonts w:ascii="Arial"/>
                <w:sz w:val="21"/>
              </w:rPr>
            </w:pPr>
          </w:p>
        </w:tc>
        <w:tc>
          <w:tcPr>
            <w:tcW w:w="7334" w:type="dxa"/>
            <w:tcBorders>
              <w:top w:val="single" w:color="5B9BD5" w:sz="4" w:space="0"/>
              <w:right w:val="single" w:color="5B9BD5" w:sz="4" w:space="0"/>
            </w:tcBorders>
            <w:vAlign w:val="top"/>
          </w:tcPr>
          <w:p w14:paraId="65EF36D6">
            <w:pPr>
              <w:pStyle w:val="7"/>
              <w:spacing w:before="129" w:line="216" w:lineRule="auto"/>
              <w:ind w:left="719"/>
            </w:pPr>
            <w:r>
              <w:rPr>
                <w:spacing w:val="-20"/>
              </w:rPr>
              <w:t>6)监督、领导实施环境管理工作，实现预定环境目标和</w:t>
            </w:r>
            <w:r>
              <w:rPr>
                <w:spacing w:val="-21"/>
              </w:rPr>
              <w:t>指标。</w:t>
            </w:r>
          </w:p>
          <w:p w14:paraId="55C225C6">
            <w:pPr>
              <w:pStyle w:val="7"/>
              <w:spacing w:before="184" w:line="217" w:lineRule="auto"/>
              <w:ind w:left="723"/>
            </w:pPr>
            <w:r>
              <w:rPr>
                <w:spacing w:val="-20"/>
              </w:rPr>
              <w:t>7)负责废弃物管理，定期联系政府部门对污染</w:t>
            </w:r>
            <w:r>
              <w:rPr>
                <w:spacing w:val="-21"/>
              </w:rPr>
              <w:t>排放进行监测；</w:t>
            </w:r>
          </w:p>
          <w:p w14:paraId="13C62E38">
            <w:pPr>
              <w:pStyle w:val="7"/>
              <w:spacing w:before="185" w:line="217" w:lineRule="auto"/>
              <w:ind w:left="1590"/>
            </w:pPr>
            <w:r>
              <w:rPr>
                <w:spacing w:val="-21"/>
              </w:rPr>
              <w:t>8)对水、电、办公用品进行节能降耗管理。</w:t>
            </w:r>
          </w:p>
        </w:tc>
      </w:tr>
      <w:tr w14:paraId="70DAEC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85" w:hRule="atLeast"/>
        </w:trPr>
        <w:tc>
          <w:tcPr>
            <w:tcW w:w="1347" w:type="dxa"/>
            <w:tcBorders>
              <w:left w:val="single" w:color="000000" w:sz="4" w:space="0"/>
            </w:tcBorders>
            <w:vAlign w:val="top"/>
          </w:tcPr>
          <w:p w14:paraId="229544D0">
            <w:pPr>
              <w:spacing w:line="262" w:lineRule="auto"/>
              <w:rPr>
                <w:rFonts w:ascii="Arial"/>
                <w:sz w:val="21"/>
              </w:rPr>
            </w:pPr>
          </w:p>
          <w:p w14:paraId="618FD23A">
            <w:pPr>
              <w:spacing w:line="263" w:lineRule="auto"/>
              <w:rPr>
                <w:rFonts w:ascii="Arial"/>
                <w:sz w:val="21"/>
              </w:rPr>
            </w:pPr>
          </w:p>
          <w:p w14:paraId="22176F0A">
            <w:pPr>
              <w:spacing w:line="263" w:lineRule="auto"/>
              <w:rPr>
                <w:rFonts w:ascii="Arial"/>
                <w:sz w:val="21"/>
              </w:rPr>
            </w:pPr>
          </w:p>
          <w:p w14:paraId="562839A1">
            <w:pPr>
              <w:spacing w:line="263" w:lineRule="auto"/>
              <w:rPr>
                <w:rFonts w:ascii="Arial"/>
                <w:sz w:val="21"/>
              </w:rPr>
            </w:pPr>
          </w:p>
          <w:p w14:paraId="1290F043">
            <w:pPr>
              <w:spacing w:line="263" w:lineRule="auto"/>
              <w:rPr>
                <w:rFonts w:ascii="Arial"/>
                <w:sz w:val="21"/>
              </w:rPr>
            </w:pPr>
          </w:p>
          <w:p w14:paraId="7A76FDC3">
            <w:pPr>
              <w:spacing w:line="263" w:lineRule="auto"/>
              <w:rPr>
                <w:rFonts w:ascii="Arial"/>
                <w:sz w:val="21"/>
              </w:rPr>
            </w:pPr>
          </w:p>
          <w:p w14:paraId="78E02F04">
            <w:pPr>
              <w:spacing w:line="263" w:lineRule="auto"/>
              <w:rPr>
                <w:rFonts w:ascii="Arial"/>
                <w:sz w:val="21"/>
              </w:rPr>
            </w:pPr>
          </w:p>
          <w:p w14:paraId="3A1F3272">
            <w:pPr>
              <w:spacing w:line="263" w:lineRule="auto"/>
              <w:rPr>
                <w:rFonts w:ascii="Arial"/>
                <w:sz w:val="21"/>
              </w:rPr>
            </w:pPr>
          </w:p>
          <w:p w14:paraId="6FF0460C">
            <w:pPr>
              <w:pStyle w:val="7"/>
              <w:spacing w:before="78" w:line="218" w:lineRule="auto"/>
              <w:ind w:left="265"/>
            </w:pPr>
            <w:r>
              <w:rPr>
                <w:spacing w:val="-18"/>
              </w:rPr>
              <w:t>总工程师</w:t>
            </w:r>
          </w:p>
        </w:tc>
        <w:tc>
          <w:tcPr>
            <w:tcW w:w="7334" w:type="dxa"/>
            <w:tcBorders>
              <w:right w:val="single" w:color="000000" w:sz="4" w:space="0"/>
            </w:tcBorders>
            <w:vAlign w:val="top"/>
          </w:tcPr>
          <w:p w14:paraId="003095B5">
            <w:pPr>
              <w:pStyle w:val="7"/>
              <w:spacing w:before="94" w:line="217" w:lineRule="auto"/>
              <w:ind w:left="2152"/>
            </w:pPr>
            <w:r>
              <w:rPr>
                <w:spacing w:val="-20"/>
              </w:rPr>
              <w:t>1)负责组织制定环保施工方案。</w:t>
            </w:r>
          </w:p>
          <w:p w14:paraId="1518D6D3">
            <w:pPr>
              <w:pStyle w:val="7"/>
              <w:spacing w:before="186" w:line="216" w:lineRule="auto"/>
              <w:ind w:left="1376"/>
            </w:pPr>
            <w:r>
              <w:rPr>
                <w:spacing w:val="-20"/>
              </w:rPr>
              <w:t>2)负责组织制定环境管理体系专项作业指导书。</w:t>
            </w:r>
          </w:p>
          <w:p w14:paraId="10C37198">
            <w:pPr>
              <w:pStyle w:val="7"/>
              <w:spacing w:before="184" w:line="216" w:lineRule="auto"/>
              <w:ind w:left="941"/>
            </w:pPr>
            <w:r>
              <w:rPr>
                <w:spacing w:val="-20"/>
              </w:rPr>
              <w:t>3)负责环保方面新技术、新材料、新工艺推广应用工作。</w:t>
            </w:r>
          </w:p>
          <w:p w14:paraId="5499F86A">
            <w:pPr>
              <w:pStyle w:val="7"/>
              <w:spacing w:before="187" w:line="216" w:lineRule="auto"/>
              <w:ind w:left="1480"/>
            </w:pPr>
            <w:r>
              <w:rPr>
                <w:spacing w:val="-20"/>
              </w:rPr>
              <w:t>4)负责土建、安装环保方面的技术协调工作。</w:t>
            </w:r>
          </w:p>
          <w:p w14:paraId="665B8A6C">
            <w:pPr>
              <w:pStyle w:val="7"/>
              <w:spacing w:before="184" w:line="216" w:lineRule="auto"/>
              <w:ind w:left="1812"/>
            </w:pPr>
            <w:r>
              <w:rPr>
                <w:spacing w:val="-20"/>
              </w:rPr>
              <w:t>5)负责环保材料设备选型的相关工作。</w:t>
            </w:r>
          </w:p>
          <w:p w14:paraId="2C0217A6">
            <w:pPr>
              <w:pStyle w:val="7"/>
              <w:spacing w:before="188" w:line="216" w:lineRule="auto"/>
              <w:ind w:left="1483"/>
            </w:pPr>
            <w:r>
              <w:rPr>
                <w:spacing w:val="-21"/>
              </w:rPr>
              <w:t>6)负责“环保评估体系”工程资料组织工作。</w:t>
            </w:r>
          </w:p>
          <w:p w14:paraId="2738B08F">
            <w:pPr>
              <w:pStyle w:val="7"/>
              <w:spacing w:before="185" w:line="217" w:lineRule="auto"/>
              <w:ind w:left="2032"/>
            </w:pPr>
            <w:r>
              <w:rPr>
                <w:spacing w:val="-19"/>
              </w:rPr>
              <w:t>7)制定本项目的环境目标和指标。</w:t>
            </w:r>
          </w:p>
          <w:p w14:paraId="2664B70A">
            <w:pPr>
              <w:pStyle w:val="7"/>
              <w:spacing w:before="185" w:line="217" w:lineRule="auto"/>
              <w:ind w:left="173"/>
            </w:pPr>
            <w:r>
              <w:rPr>
                <w:spacing w:val="-23"/>
              </w:rPr>
              <w:t>8)编制《环境因素清单》、《重要环境因素清单》、《环境管理方案》。</w:t>
            </w:r>
          </w:p>
          <w:p w14:paraId="584EEBB2">
            <w:pPr>
              <w:pStyle w:val="7"/>
              <w:spacing w:before="185" w:line="217" w:lineRule="auto"/>
              <w:ind w:left="1374"/>
            </w:pPr>
            <w:r>
              <w:rPr>
                <w:spacing w:val="-20"/>
              </w:rPr>
              <w:t>9)编制工程项目重大环境问题纠正和预防措施。</w:t>
            </w:r>
          </w:p>
          <w:p w14:paraId="20A59731">
            <w:pPr>
              <w:pStyle w:val="7"/>
              <w:spacing w:before="185" w:line="218" w:lineRule="auto"/>
              <w:ind w:left="1988"/>
            </w:pPr>
            <w:r>
              <w:rPr>
                <w:spacing w:val="-20"/>
              </w:rPr>
              <w:t>10)负责环境管理体系文件的管理。</w:t>
            </w:r>
          </w:p>
        </w:tc>
      </w:tr>
      <w:tr w14:paraId="68BFAF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56" w:hRule="atLeast"/>
        </w:trPr>
        <w:tc>
          <w:tcPr>
            <w:tcW w:w="1347" w:type="dxa"/>
            <w:tcBorders>
              <w:left w:val="single" w:color="000000" w:sz="4" w:space="0"/>
            </w:tcBorders>
            <w:vAlign w:val="top"/>
          </w:tcPr>
          <w:p w14:paraId="705606A4">
            <w:pPr>
              <w:spacing w:line="316" w:lineRule="auto"/>
              <w:rPr>
                <w:rFonts w:ascii="Arial"/>
                <w:sz w:val="21"/>
              </w:rPr>
            </w:pPr>
          </w:p>
          <w:p w14:paraId="1F24052F">
            <w:pPr>
              <w:spacing w:line="316" w:lineRule="auto"/>
              <w:rPr>
                <w:rFonts w:ascii="Arial"/>
                <w:sz w:val="21"/>
              </w:rPr>
            </w:pPr>
          </w:p>
          <w:p w14:paraId="6F7E993A">
            <w:pPr>
              <w:spacing w:line="317" w:lineRule="auto"/>
              <w:rPr>
                <w:rFonts w:ascii="Arial"/>
                <w:sz w:val="21"/>
              </w:rPr>
            </w:pPr>
          </w:p>
          <w:p w14:paraId="35622B6E">
            <w:pPr>
              <w:pStyle w:val="7"/>
              <w:spacing w:before="78" w:line="220" w:lineRule="auto"/>
              <w:ind w:left="269"/>
            </w:pPr>
            <w:r>
              <w:rPr>
                <w:spacing w:val="-19"/>
              </w:rPr>
              <w:t>生产经理</w:t>
            </w:r>
          </w:p>
        </w:tc>
        <w:tc>
          <w:tcPr>
            <w:tcW w:w="7334" w:type="dxa"/>
            <w:tcBorders>
              <w:right w:val="single" w:color="000000" w:sz="4" w:space="0"/>
            </w:tcBorders>
            <w:vAlign w:val="top"/>
          </w:tcPr>
          <w:p w14:paraId="71BCAEB7">
            <w:pPr>
              <w:pStyle w:val="7"/>
              <w:spacing w:before="100" w:line="216" w:lineRule="auto"/>
              <w:ind w:left="2152"/>
            </w:pPr>
            <w:r>
              <w:rPr>
                <w:spacing w:val="-20"/>
              </w:rPr>
              <w:t>1)负责现场绿色施工管理工作。</w:t>
            </w:r>
          </w:p>
          <w:p w14:paraId="1A6C5B59">
            <w:pPr>
              <w:pStyle w:val="7"/>
              <w:spacing w:before="187" w:line="216" w:lineRule="auto"/>
              <w:ind w:left="1921"/>
            </w:pPr>
            <w:r>
              <w:rPr>
                <w:spacing w:val="-19"/>
              </w:rPr>
              <w:t>2)对执行绿色施工情况监督与检查。</w:t>
            </w:r>
          </w:p>
          <w:p w14:paraId="309C7741">
            <w:pPr>
              <w:pStyle w:val="7"/>
              <w:spacing w:before="184" w:line="217" w:lineRule="auto"/>
              <w:ind w:left="1594"/>
            </w:pPr>
            <w:r>
              <w:rPr>
                <w:spacing w:val="-20"/>
              </w:rPr>
              <w:t>3)保证施工过程符合环境管理的各项要求。</w:t>
            </w:r>
          </w:p>
          <w:p w14:paraId="5FBC660F">
            <w:pPr>
              <w:pStyle w:val="7"/>
              <w:spacing w:before="186" w:line="217" w:lineRule="auto"/>
              <w:ind w:left="1699"/>
            </w:pPr>
            <w:r>
              <w:rPr>
                <w:spacing w:val="-19"/>
              </w:rPr>
              <w:t>4)负责环保方面应急准备及响应的实施。</w:t>
            </w:r>
          </w:p>
          <w:p w14:paraId="4677B208">
            <w:pPr>
              <w:pStyle w:val="7"/>
              <w:spacing w:before="183" w:line="216" w:lineRule="auto"/>
              <w:ind w:left="1594"/>
            </w:pPr>
            <w:r>
              <w:rPr>
                <w:spacing w:val="-20"/>
              </w:rPr>
              <w:t>5)对劳务队伍进行作业指导书培训和管理。</w:t>
            </w:r>
          </w:p>
        </w:tc>
      </w:tr>
      <w:tr w14:paraId="31DC58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23" w:hRule="atLeast"/>
        </w:trPr>
        <w:tc>
          <w:tcPr>
            <w:tcW w:w="1347" w:type="dxa"/>
            <w:tcBorders>
              <w:left w:val="single" w:color="000000" w:sz="4" w:space="0"/>
            </w:tcBorders>
            <w:vAlign w:val="top"/>
          </w:tcPr>
          <w:p w14:paraId="00E803CF">
            <w:pPr>
              <w:spacing w:line="243" w:lineRule="auto"/>
              <w:rPr>
                <w:rFonts w:ascii="Arial"/>
                <w:sz w:val="21"/>
              </w:rPr>
            </w:pPr>
          </w:p>
          <w:p w14:paraId="4041B970">
            <w:pPr>
              <w:spacing w:line="243" w:lineRule="auto"/>
              <w:rPr>
                <w:rFonts w:ascii="Arial"/>
                <w:sz w:val="21"/>
              </w:rPr>
            </w:pPr>
          </w:p>
          <w:p w14:paraId="03E641EE">
            <w:pPr>
              <w:pStyle w:val="7"/>
              <w:spacing w:before="78" w:line="219" w:lineRule="auto"/>
              <w:ind w:left="264"/>
            </w:pPr>
            <w:r>
              <w:rPr>
                <w:spacing w:val="-17"/>
              </w:rPr>
              <w:t>商务经理</w:t>
            </w:r>
          </w:p>
        </w:tc>
        <w:tc>
          <w:tcPr>
            <w:tcW w:w="7334" w:type="dxa"/>
            <w:tcBorders>
              <w:right w:val="single" w:color="000000" w:sz="4" w:space="0"/>
            </w:tcBorders>
            <w:vAlign w:val="top"/>
          </w:tcPr>
          <w:p w14:paraId="61A70C5E">
            <w:pPr>
              <w:pStyle w:val="7"/>
              <w:spacing w:before="101" w:line="217" w:lineRule="auto"/>
              <w:ind w:left="1062"/>
            </w:pPr>
            <w:r>
              <w:rPr>
                <w:spacing w:val="-21"/>
              </w:rPr>
              <w:t>1)负责各类经济合同中环保部分的起草、确定、评审。</w:t>
            </w:r>
          </w:p>
          <w:p w14:paraId="202A900D">
            <w:pPr>
              <w:pStyle w:val="7"/>
              <w:spacing w:before="183" w:line="216" w:lineRule="auto"/>
              <w:ind w:left="2137"/>
            </w:pPr>
            <w:r>
              <w:rPr>
                <w:spacing w:val="-21"/>
              </w:rPr>
              <w:t>2)负责项目环保资金投入工作。</w:t>
            </w:r>
          </w:p>
          <w:p w14:paraId="3D61E55F">
            <w:pPr>
              <w:pStyle w:val="7"/>
              <w:spacing w:before="187" w:line="216" w:lineRule="auto"/>
              <w:ind w:left="2139"/>
            </w:pPr>
            <w:r>
              <w:rPr>
                <w:spacing w:val="-19"/>
              </w:rPr>
              <w:t>3)负责项目环保成本管理工作。</w:t>
            </w:r>
          </w:p>
        </w:tc>
      </w:tr>
      <w:tr w14:paraId="13A25B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95" w:hRule="atLeast"/>
        </w:trPr>
        <w:tc>
          <w:tcPr>
            <w:tcW w:w="1347" w:type="dxa"/>
            <w:tcBorders>
              <w:left w:val="single" w:color="1C456A" w:sz="4" w:space="0"/>
              <w:bottom w:val="single" w:color="1C456A" w:sz="4" w:space="0"/>
            </w:tcBorders>
            <w:vAlign w:val="top"/>
          </w:tcPr>
          <w:p w14:paraId="1F32C6CE">
            <w:pPr>
              <w:spacing w:line="274" w:lineRule="auto"/>
              <w:rPr>
                <w:rFonts w:ascii="Arial"/>
                <w:sz w:val="21"/>
              </w:rPr>
            </w:pPr>
            <w:r>
              <w:pict>
                <v:shape id="_x0000_s3367" o:spid="_x0000_s3367" style="position:absolute;left:0pt;margin-left:-0.2pt;margin-top:194.75pt;height:0.75pt;width:2.2pt;mso-position-horizontal-relative:page;mso-position-vertical-relative:page;z-index:252033024;mso-width-relative:page;mso-height-relative:page;" fillcolor="#5B9BD5" filled="t" stroked="f" coordsize="44,15" path="m0,14l43,14,43,0,0,0,0,14xe">
                  <v:path/>
                  <v:fill on="t" focussize="0,0"/>
                  <v:stroke on="f"/>
                  <v:imagedata o:title=""/>
                  <o:lock v:ext="edit"/>
                </v:shape>
              </w:pict>
            </w:r>
          </w:p>
          <w:p w14:paraId="17F4D80F">
            <w:pPr>
              <w:spacing w:line="274" w:lineRule="auto"/>
              <w:rPr>
                <w:rFonts w:ascii="Arial"/>
                <w:sz w:val="21"/>
              </w:rPr>
            </w:pPr>
          </w:p>
          <w:p w14:paraId="1DC96E63">
            <w:pPr>
              <w:spacing w:line="274" w:lineRule="auto"/>
              <w:rPr>
                <w:rFonts w:ascii="Arial"/>
                <w:sz w:val="21"/>
              </w:rPr>
            </w:pPr>
          </w:p>
          <w:p w14:paraId="5E0EEEA2">
            <w:pPr>
              <w:spacing w:line="275" w:lineRule="auto"/>
              <w:rPr>
                <w:rFonts w:ascii="Arial"/>
                <w:sz w:val="21"/>
              </w:rPr>
            </w:pPr>
          </w:p>
          <w:p w14:paraId="1495A0F2">
            <w:pPr>
              <w:spacing w:line="275" w:lineRule="auto"/>
              <w:rPr>
                <w:rFonts w:ascii="Arial"/>
                <w:sz w:val="21"/>
              </w:rPr>
            </w:pPr>
          </w:p>
          <w:p w14:paraId="3EEB2F60">
            <w:pPr>
              <w:spacing w:line="275" w:lineRule="auto"/>
              <w:rPr>
                <w:rFonts w:ascii="Arial"/>
                <w:sz w:val="21"/>
              </w:rPr>
            </w:pPr>
          </w:p>
          <w:p w14:paraId="56FC8CF7">
            <w:pPr>
              <w:pStyle w:val="7"/>
              <w:spacing w:before="78" w:line="220" w:lineRule="auto"/>
              <w:ind w:left="258"/>
            </w:pPr>
            <w:r>
              <w:rPr>
                <w:spacing w:val="-16"/>
              </w:rPr>
              <w:t>安全总监</w:t>
            </w:r>
          </w:p>
        </w:tc>
        <w:tc>
          <w:tcPr>
            <w:tcW w:w="7334" w:type="dxa"/>
            <w:tcBorders>
              <w:bottom w:val="single" w:color="5B9BD5" w:sz="4" w:space="0"/>
              <w:right w:val="single" w:color="5B9BD5" w:sz="4" w:space="0"/>
            </w:tcBorders>
            <w:vAlign w:val="top"/>
          </w:tcPr>
          <w:p w14:paraId="67544DD0">
            <w:pPr>
              <w:spacing w:line="256" w:lineRule="auto"/>
              <w:rPr>
                <w:rFonts w:ascii="Arial"/>
                <w:sz w:val="21"/>
              </w:rPr>
            </w:pPr>
            <w:r>
              <w:pict>
                <v:shape id="_x0000_s3368" o:spid="_x0000_s3368" style="position:absolute;left:0pt;margin-left:364.85pt;margin-top:194.75pt;height:0.75pt;width:2.2pt;mso-position-horizontal-relative:page;mso-position-vertical-relative:page;z-index:252034048;mso-width-relative:page;mso-height-relative:page;" fillcolor="#5B9BD5" filled="t" stroked="f" coordsize="44,15" path="m0,14l43,14,43,0,0,0,0,14xe">
                  <v:path/>
                  <v:fill on="t" focussize="0,0"/>
                  <v:stroke on="f"/>
                  <v:imagedata o:title=""/>
                  <o:lock v:ext="edit"/>
                </v:shape>
              </w:pict>
            </w:r>
          </w:p>
          <w:p w14:paraId="25B95249">
            <w:pPr>
              <w:pStyle w:val="7"/>
              <w:spacing w:before="78" w:line="216" w:lineRule="auto"/>
              <w:ind w:left="1062"/>
            </w:pPr>
            <w:r>
              <w:rPr>
                <w:spacing w:val="-21"/>
              </w:rPr>
              <w:t>1)环保施工安全第一责任人，负责环保安全生产工作。</w:t>
            </w:r>
          </w:p>
          <w:p w14:paraId="624EBD49">
            <w:pPr>
              <w:pStyle w:val="7"/>
              <w:spacing w:before="185" w:line="216" w:lineRule="auto"/>
              <w:ind w:left="175"/>
            </w:pPr>
            <w:r>
              <w:rPr>
                <w:spacing w:val="-20"/>
              </w:rPr>
              <w:t>2)进行安全教育和特殊工种培训，检查持证上岗</w:t>
            </w:r>
            <w:r>
              <w:rPr>
                <w:spacing w:val="-21"/>
              </w:rPr>
              <w:t>情况，并办理入场证件。</w:t>
            </w:r>
          </w:p>
          <w:p w14:paraId="4B387726">
            <w:pPr>
              <w:pStyle w:val="7"/>
              <w:spacing w:before="186" w:line="217" w:lineRule="auto"/>
              <w:ind w:left="614"/>
            </w:pPr>
            <w:r>
              <w:rPr>
                <w:spacing w:val="-20"/>
              </w:rPr>
              <w:t>3)定期组织现场综合考评，进行奖罚；汇集发放</w:t>
            </w:r>
            <w:r>
              <w:rPr>
                <w:spacing w:val="-21"/>
              </w:rPr>
              <w:t>上级各类表格。</w:t>
            </w:r>
          </w:p>
          <w:p w14:paraId="5FEF0FA6">
            <w:pPr>
              <w:pStyle w:val="7"/>
              <w:spacing w:before="183" w:line="216" w:lineRule="auto"/>
              <w:ind w:left="1807"/>
            </w:pPr>
            <w:r>
              <w:rPr>
                <w:spacing w:val="-19"/>
              </w:rPr>
              <w:t>4)下达安全隐患整改通知单，并复查。</w:t>
            </w:r>
          </w:p>
          <w:p w14:paraId="0594036B">
            <w:pPr>
              <w:pStyle w:val="7"/>
              <w:spacing w:before="188" w:line="217" w:lineRule="auto"/>
              <w:ind w:left="2576"/>
            </w:pPr>
            <w:r>
              <w:rPr>
                <w:spacing w:val="-18"/>
              </w:rPr>
              <w:t>5)负责消防安全管理。</w:t>
            </w:r>
          </w:p>
          <w:p w14:paraId="1BFE374D">
            <w:pPr>
              <w:pStyle w:val="7"/>
              <w:spacing w:before="183" w:line="216" w:lineRule="auto"/>
              <w:ind w:left="1701"/>
            </w:pPr>
            <w:r>
              <w:rPr>
                <w:spacing w:val="-20"/>
              </w:rPr>
              <w:t>6)对应急准备及响应措施执行情况检查。</w:t>
            </w:r>
          </w:p>
          <w:p w14:paraId="0DED235F">
            <w:pPr>
              <w:pStyle w:val="7"/>
              <w:spacing w:before="187" w:line="216" w:lineRule="auto"/>
              <w:ind w:left="1705"/>
            </w:pPr>
            <w:r>
              <w:rPr>
                <w:spacing w:val="-20"/>
              </w:rPr>
              <w:t>7)传达防汛信息，监督、检查防汛工作。</w:t>
            </w:r>
          </w:p>
        </w:tc>
      </w:tr>
    </w:tbl>
    <w:p w14:paraId="0EB6A83A">
      <w:pPr>
        <w:rPr>
          <w:rFonts w:ascii="Arial"/>
          <w:sz w:val="21"/>
        </w:rPr>
      </w:pPr>
    </w:p>
    <w:p w14:paraId="458549E8">
      <w:pPr>
        <w:rPr>
          <w:rFonts w:ascii="Arial" w:hAnsi="Arial" w:eastAsia="Arial" w:cs="Arial"/>
          <w:sz w:val="21"/>
          <w:szCs w:val="21"/>
        </w:rPr>
        <w:sectPr>
          <w:footerReference r:id="rId174" w:type="default"/>
          <w:pgSz w:w="11907" w:h="16839"/>
          <w:pgMar w:top="954" w:right="4" w:bottom="1038" w:left="0" w:header="499" w:footer="357" w:gutter="0"/>
          <w:pgBorders>
            <w:top w:val="none" w:sz="0" w:space="0"/>
            <w:left w:val="none" w:sz="0" w:space="0"/>
            <w:bottom w:val="none" w:sz="0" w:space="0"/>
            <w:right w:val="none" w:sz="0" w:space="0"/>
          </w:pgBorders>
          <w:cols w:space="720" w:num="1"/>
        </w:sectPr>
      </w:pPr>
    </w:p>
    <w:p w14:paraId="54A11BD2">
      <w:pPr>
        <w:spacing w:line="214" w:lineRule="exact"/>
      </w:pPr>
    </w:p>
    <w:tbl>
      <w:tblPr>
        <w:tblStyle w:val="6"/>
        <w:tblW w:w="8681" w:type="dxa"/>
        <w:tblInd w:w="1613" w:type="dxa"/>
        <w:tblBorders>
          <w:top w:val="single" w:color="1C456A" w:sz="4" w:space="0"/>
          <w:left w:val="single" w:color="1C456A" w:sz="4" w:space="0"/>
          <w:bottom w:val="single" w:color="1C456A" w:sz="4" w:space="0"/>
          <w:right w:val="single" w:color="1C456A" w:sz="4" w:space="0"/>
          <w:insideH w:val="single" w:color="1C456A" w:sz="4" w:space="0"/>
          <w:insideV w:val="single" w:color="1C456A" w:sz="4" w:space="0"/>
        </w:tblBorders>
        <w:tblLayout w:type="fixed"/>
        <w:tblCellMar>
          <w:top w:w="0" w:type="dxa"/>
          <w:left w:w="0" w:type="dxa"/>
          <w:bottom w:w="0" w:type="dxa"/>
          <w:right w:w="0" w:type="dxa"/>
        </w:tblCellMar>
      </w:tblPr>
      <w:tblGrid>
        <w:gridCol w:w="1347"/>
        <w:gridCol w:w="7334"/>
      </w:tblGrid>
      <w:tr w14:paraId="2A3BD908">
        <w:tblPrEx>
          <w:tblBorders>
            <w:top w:val="single" w:color="1C456A" w:sz="4" w:space="0"/>
            <w:left w:val="single" w:color="1C456A" w:sz="4" w:space="0"/>
            <w:bottom w:val="single" w:color="1C456A" w:sz="4" w:space="0"/>
            <w:right w:val="single" w:color="1C456A" w:sz="4" w:space="0"/>
            <w:insideH w:val="single" w:color="1C456A" w:sz="4" w:space="0"/>
            <w:insideV w:val="single" w:color="1C456A" w:sz="4" w:space="0"/>
          </w:tblBorders>
          <w:tblCellMar>
            <w:top w:w="0" w:type="dxa"/>
            <w:left w:w="0" w:type="dxa"/>
            <w:bottom w:w="0" w:type="dxa"/>
            <w:right w:w="0" w:type="dxa"/>
          </w:tblCellMar>
        </w:tblPrEx>
        <w:trPr>
          <w:trHeight w:val="1585" w:hRule="atLeast"/>
        </w:trPr>
        <w:tc>
          <w:tcPr>
            <w:tcW w:w="1347" w:type="dxa"/>
            <w:tcBorders>
              <w:right w:val="single" w:color="000000" w:sz="2" w:space="0"/>
            </w:tcBorders>
            <w:vAlign w:val="top"/>
          </w:tcPr>
          <w:p w14:paraId="5DD94BD0">
            <w:pPr>
              <w:spacing w:line="257" w:lineRule="auto"/>
              <w:rPr>
                <w:rFonts w:ascii="Arial"/>
                <w:sz w:val="21"/>
              </w:rPr>
            </w:pPr>
          </w:p>
          <w:p w14:paraId="3C6A77B0">
            <w:pPr>
              <w:spacing w:line="257" w:lineRule="auto"/>
              <w:rPr>
                <w:rFonts w:ascii="Arial"/>
                <w:sz w:val="21"/>
              </w:rPr>
            </w:pPr>
          </w:p>
          <w:p w14:paraId="6ED0F18B">
            <w:pPr>
              <w:pStyle w:val="7"/>
              <w:spacing w:before="78" w:line="221" w:lineRule="auto"/>
              <w:ind w:left="261"/>
            </w:pPr>
            <w:r>
              <w:rPr>
                <w:spacing w:val="-17"/>
              </w:rPr>
              <w:t>质量总监</w:t>
            </w:r>
          </w:p>
        </w:tc>
        <w:tc>
          <w:tcPr>
            <w:tcW w:w="7334" w:type="dxa"/>
            <w:tcBorders>
              <w:top w:val="single" w:color="5B9BD5" w:sz="4" w:space="0"/>
              <w:left w:val="single" w:color="000000" w:sz="2" w:space="0"/>
              <w:bottom w:val="single" w:color="5B9BD5" w:sz="4" w:space="0"/>
              <w:right w:val="single" w:color="5B9BD5" w:sz="4" w:space="0"/>
            </w:tcBorders>
            <w:vAlign w:val="top"/>
          </w:tcPr>
          <w:p w14:paraId="49DAA571">
            <w:pPr>
              <w:pStyle w:val="7"/>
              <w:spacing w:before="129" w:line="216" w:lineRule="auto"/>
              <w:ind w:left="1062"/>
            </w:pPr>
            <w:r>
              <w:rPr>
                <w:spacing w:val="-21"/>
              </w:rPr>
              <w:t>1)环保施工质量第一责任人，负责相关质量管理工作。</w:t>
            </w:r>
          </w:p>
          <w:p w14:paraId="2BD4549E">
            <w:pPr>
              <w:pStyle w:val="7"/>
              <w:spacing w:before="185" w:line="216" w:lineRule="auto"/>
              <w:ind w:left="612"/>
            </w:pPr>
            <w:r>
              <w:rPr>
                <w:spacing w:val="-20"/>
              </w:rPr>
              <w:t>2)加强预控、过程检查，参与质量问题分析、处理、</w:t>
            </w:r>
            <w:r>
              <w:rPr>
                <w:spacing w:val="-21"/>
              </w:rPr>
              <w:t>跟踪落实。</w:t>
            </w:r>
          </w:p>
          <w:p w14:paraId="3A9F812C">
            <w:pPr>
              <w:pStyle w:val="7"/>
              <w:spacing w:before="187" w:line="217" w:lineRule="auto"/>
              <w:ind w:left="1160"/>
            </w:pPr>
            <w:r>
              <w:rPr>
                <w:spacing w:val="-18"/>
              </w:rPr>
              <w:t>3)按ISO9001标准记录、收集、整理质量记录文件。</w:t>
            </w:r>
          </w:p>
        </w:tc>
      </w:tr>
    </w:tbl>
    <w:p w14:paraId="55C49850">
      <w:pPr>
        <w:pStyle w:val="2"/>
        <w:spacing w:before="114" w:line="217" w:lineRule="auto"/>
        <w:ind w:left="1927"/>
        <w:rPr>
          <w:sz w:val="24"/>
          <w:szCs w:val="24"/>
        </w:rPr>
      </w:pPr>
      <w:r>
        <w:rPr>
          <w:spacing w:val="-21"/>
          <w:sz w:val="24"/>
          <w:szCs w:val="24"/>
        </w:rPr>
        <w:t>(3)环境保护管理体系职能分工</w:t>
      </w:r>
    </w:p>
    <w:p w14:paraId="3A5CF0CA">
      <w:pPr>
        <w:spacing w:line="38" w:lineRule="auto"/>
        <w:rPr>
          <w:rFonts w:ascii="Arial"/>
          <w:sz w:val="2"/>
        </w:rPr>
      </w:pPr>
    </w:p>
    <w:tbl>
      <w:tblPr>
        <w:tblStyle w:val="6"/>
        <w:tblW w:w="8648" w:type="dxa"/>
        <w:tblInd w:w="163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20"/>
        <w:gridCol w:w="1376"/>
        <w:gridCol w:w="514"/>
        <w:gridCol w:w="597"/>
        <w:gridCol w:w="597"/>
        <w:gridCol w:w="597"/>
        <w:gridCol w:w="595"/>
        <w:gridCol w:w="293"/>
        <w:gridCol w:w="304"/>
        <w:gridCol w:w="597"/>
        <w:gridCol w:w="597"/>
        <w:gridCol w:w="600"/>
        <w:gridCol w:w="856"/>
        <w:gridCol w:w="505"/>
      </w:tblGrid>
      <w:tr w14:paraId="005A30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7" w:hRule="atLeast"/>
        </w:trPr>
        <w:tc>
          <w:tcPr>
            <w:tcW w:w="620" w:type="dxa"/>
            <w:vMerge w:val="restart"/>
            <w:tcBorders>
              <w:top w:val="single" w:color="000000" w:sz="4" w:space="0"/>
              <w:left w:val="single" w:color="000000" w:sz="4" w:space="0"/>
              <w:bottom w:val="nil"/>
            </w:tcBorders>
            <w:shd w:val="clear" w:color="auto" w:fill="DEEAF6"/>
            <w:vAlign w:val="top"/>
          </w:tcPr>
          <w:p w14:paraId="6A0C9064">
            <w:pPr>
              <w:spacing w:before="33" w:line="60" w:lineRule="exact"/>
              <w:ind w:firstLine="33"/>
            </w:pPr>
            <w:r>
              <w:rPr>
                <w:position w:val="-1"/>
              </w:rPr>
              <w:pict>
                <v:shape id="_x0000_s3369" o:spid="_x0000_s3369" style="height:3pt;width:28.45pt;" fillcolor="#DEEAF6" filled="t" stroked="f" coordsize="569,60" path="m0,60l568,60,568,0,0,0,0,60xe">
                  <v:path/>
                  <v:fill on="t" focussize="0,0"/>
                  <v:stroke on="f"/>
                  <v:imagedata o:title=""/>
                  <o:lock v:ext="edit"/>
                  <w10:wrap type="none"/>
                  <w10:anchorlock/>
                </v:shape>
              </w:pict>
            </w:r>
          </w:p>
          <w:p w14:paraId="54014E07">
            <w:pPr>
              <w:spacing w:line="243" w:lineRule="auto"/>
              <w:rPr>
                <w:rFonts w:ascii="Arial"/>
                <w:sz w:val="21"/>
              </w:rPr>
            </w:pPr>
          </w:p>
          <w:p w14:paraId="28E36507">
            <w:pPr>
              <w:spacing w:line="243" w:lineRule="auto"/>
              <w:rPr>
                <w:rFonts w:ascii="Arial"/>
                <w:sz w:val="21"/>
              </w:rPr>
            </w:pPr>
          </w:p>
          <w:p w14:paraId="7CAFDB78">
            <w:pPr>
              <w:spacing w:line="243" w:lineRule="auto"/>
              <w:rPr>
                <w:rFonts w:ascii="Arial"/>
                <w:sz w:val="21"/>
              </w:rPr>
            </w:pPr>
          </w:p>
          <w:p w14:paraId="31D2E9A9">
            <w:pPr>
              <w:pStyle w:val="7"/>
              <w:spacing w:before="78" w:line="360" w:lineRule="auto"/>
              <w:ind w:left="221" w:right="63" w:hanging="102"/>
            </w:pPr>
            <w:r>
              <w:rPr>
                <w:b/>
                <w:bCs/>
                <w:spacing w:val="-28"/>
              </w:rPr>
              <w:t>素序</w:t>
            </w:r>
            <w:r>
              <w:rPr>
                <w:b/>
                <w:bCs/>
                <w:spacing w:val="-3"/>
              </w:rPr>
              <w:t>号</w:t>
            </w:r>
          </w:p>
        </w:tc>
        <w:tc>
          <w:tcPr>
            <w:tcW w:w="1376" w:type="dxa"/>
            <w:vMerge w:val="restart"/>
            <w:tcBorders>
              <w:top w:val="single" w:color="000000" w:sz="4" w:space="0"/>
              <w:bottom w:val="nil"/>
            </w:tcBorders>
            <w:shd w:val="clear" w:color="auto" w:fill="DEEAF6"/>
            <w:vAlign w:val="top"/>
          </w:tcPr>
          <w:p w14:paraId="3376FD12">
            <w:pPr>
              <w:spacing w:line="263" w:lineRule="auto"/>
              <w:rPr>
                <w:rFonts w:ascii="Arial"/>
                <w:sz w:val="21"/>
              </w:rPr>
            </w:pPr>
          </w:p>
          <w:p w14:paraId="5B4F3BB1">
            <w:pPr>
              <w:spacing w:line="263" w:lineRule="auto"/>
              <w:rPr>
                <w:rFonts w:ascii="Arial"/>
                <w:sz w:val="21"/>
              </w:rPr>
            </w:pPr>
          </w:p>
          <w:p w14:paraId="231AC48D">
            <w:pPr>
              <w:spacing w:line="263" w:lineRule="auto"/>
              <w:rPr>
                <w:rFonts w:ascii="Arial"/>
                <w:sz w:val="21"/>
              </w:rPr>
            </w:pPr>
          </w:p>
          <w:p w14:paraId="31D172D5">
            <w:pPr>
              <w:spacing w:line="263" w:lineRule="auto"/>
              <w:rPr>
                <w:rFonts w:ascii="Arial"/>
                <w:sz w:val="21"/>
              </w:rPr>
            </w:pPr>
          </w:p>
          <w:p w14:paraId="11473F87">
            <w:pPr>
              <w:pStyle w:val="7"/>
              <w:spacing w:before="78" w:line="217" w:lineRule="auto"/>
              <w:ind w:left="261"/>
            </w:pPr>
            <w:r>
              <w:rPr>
                <w:b/>
                <w:bCs/>
                <w:spacing w:val="-19"/>
              </w:rPr>
              <w:t>要素名称</w:t>
            </w:r>
          </w:p>
        </w:tc>
        <w:tc>
          <w:tcPr>
            <w:tcW w:w="3193" w:type="dxa"/>
            <w:gridSpan w:val="6"/>
            <w:tcBorders>
              <w:top w:val="single" w:color="000000" w:sz="4" w:space="0"/>
            </w:tcBorders>
            <w:shd w:val="clear" w:color="auto" w:fill="DEEAF6"/>
            <w:vAlign w:val="top"/>
          </w:tcPr>
          <w:p w14:paraId="404B2358">
            <w:pPr>
              <w:pStyle w:val="7"/>
              <w:spacing w:before="141" w:line="219" w:lineRule="auto"/>
              <w:ind w:left="961"/>
            </w:pPr>
            <w:r>
              <w:rPr>
                <w:b/>
                <w:bCs/>
                <w:spacing w:val="-20"/>
              </w:rPr>
              <w:t>项目领导班子</w:t>
            </w:r>
          </w:p>
        </w:tc>
        <w:tc>
          <w:tcPr>
            <w:tcW w:w="3459" w:type="dxa"/>
            <w:gridSpan w:val="6"/>
            <w:tcBorders>
              <w:top w:val="single" w:color="5B9BD5" w:sz="4" w:space="0"/>
              <w:right w:val="single" w:color="5B9BD5" w:sz="4" w:space="0"/>
            </w:tcBorders>
            <w:shd w:val="clear" w:color="auto" w:fill="DEEAF6"/>
            <w:vAlign w:val="top"/>
          </w:tcPr>
          <w:p w14:paraId="2B07BA61">
            <w:pPr>
              <w:pStyle w:val="7"/>
              <w:spacing w:before="141" w:line="217" w:lineRule="auto"/>
              <w:ind w:left="1306"/>
            </w:pPr>
            <w:r>
              <w:rPr>
                <w:b/>
                <w:bCs/>
                <w:spacing w:val="-18"/>
              </w:rPr>
              <w:t>项目部门</w:t>
            </w:r>
          </w:p>
        </w:tc>
      </w:tr>
      <w:tr w14:paraId="64A0E8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86" w:hRule="atLeast"/>
        </w:trPr>
        <w:tc>
          <w:tcPr>
            <w:tcW w:w="620" w:type="dxa"/>
            <w:vMerge w:val="continue"/>
            <w:tcBorders>
              <w:top w:val="nil"/>
              <w:left w:val="single" w:color="000000" w:sz="4" w:space="0"/>
            </w:tcBorders>
            <w:vAlign w:val="top"/>
          </w:tcPr>
          <w:p w14:paraId="02A72D38">
            <w:pPr>
              <w:rPr>
                <w:rFonts w:ascii="Arial"/>
                <w:sz w:val="21"/>
              </w:rPr>
            </w:pPr>
          </w:p>
        </w:tc>
        <w:tc>
          <w:tcPr>
            <w:tcW w:w="1376" w:type="dxa"/>
            <w:vMerge w:val="continue"/>
            <w:tcBorders>
              <w:top w:val="nil"/>
            </w:tcBorders>
            <w:vAlign w:val="top"/>
          </w:tcPr>
          <w:p w14:paraId="5154C0F3">
            <w:pPr>
              <w:rPr>
                <w:rFonts w:ascii="Arial"/>
                <w:sz w:val="21"/>
              </w:rPr>
            </w:pPr>
          </w:p>
        </w:tc>
        <w:tc>
          <w:tcPr>
            <w:tcW w:w="514" w:type="dxa"/>
            <w:textDirection w:val="tbRlV"/>
            <w:vAlign w:val="top"/>
          </w:tcPr>
          <w:p w14:paraId="66099D32">
            <w:pPr>
              <w:pStyle w:val="7"/>
              <w:spacing w:before="130" w:line="195" w:lineRule="auto"/>
              <w:ind w:left="94"/>
            </w:pPr>
            <w:r>
              <w:t>项</w:t>
            </w:r>
            <w:r>
              <w:rPr>
                <w:position w:val="1"/>
              </w:rPr>
              <w:t>目</w:t>
            </w:r>
            <w:r>
              <w:t>经理</w:t>
            </w:r>
          </w:p>
        </w:tc>
        <w:tc>
          <w:tcPr>
            <w:tcW w:w="597" w:type="dxa"/>
            <w:vAlign w:val="top"/>
          </w:tcPr>
          <w:p w14:paraId="5A342141">
            <w:pPr>
              <w:rPr>
                <w:rFonts w:ascii="Arial"/>
                <w:sz w:val="21"/>
              </w:rPr>
            </w:pPr>
          </w:p>
          <w:p w14:paraId="4A3AEF95">
            <w:pPr>
              <w:spacing w:line="241" w:lineRule="auto"/>
              <w:rPr>
                <w:rFonts w:ascii="Arial"/>
                <w:sz w:val="21"/>
              </w:rPr>
            </w:pPr>
          </w:p>
          <w:p w14:paraId="65440620">
            <w:pPr>
              <w:pStyle w:val="7"/>
              <w:spacing w:before="78" w:line="221" w:lineRule="auto"/>
              <w:ind w:left="98"/>
            </w:pPr>
            <w:r>
              <w:rPr>
                <w:spacing w:val="-12"/>
              </w:rPr>
              <w:t>总工</w:t>
            </w:r>
          </w:p>
          <w:p w14:paraId="1A673338">
            <w:pPr>
              <w:pStyle w:val="7"/>
              <w:spacing w:before="178" w:line="218" w:lineRule="auto"/>
              <w:ind w:left="90"/>
            </w:pPr>
            <w:r>
              <w:rPr>
                <w:spacing w:val="-10"/>
              </w:rPr>
              <w:t>程师</w:t>
            </w:r>
          </w:p>
        </w:tc>
        <w:tc>
          <w:tcPr>
            <w:tcW w:w="597" w:type="dxa"/>
            <w:vAlign w:val="top"/>
          </w:tcPr>
          <w:p w14:paraId="201F865D">
            <w:pPr>
              <w:rPr>
                <w:rFonts w:ascii="Arial"/>
                <w:sz w:val="21"/>
              </w:rPr>
            </w:pPr>
          </w:p>
          <w:p w14:paraId="1236A5BB">
            <w:pPr>
              <w:rPr>
                <w:rFonts w:ascii="Arial"/>
                <w:sz w:val="21"/>
              </w:rPr>
            </w:pPr>
          </w:p>
          <w:p w14:paraId="7718BA6D">
            <w:pPr>
              <w:pStyle w:val="7"/>
              <w:spacing w:before="78" w:line="220" w:lineRule="auto"/>
              <w:ind w:left="103"/>
            </w:pPr>
            <w:r>
              <w:rPr>
                <w:spacing w:val="-13"/>
              </w:rPr>
              <w:t>生产</w:t>
            </w:r>
          </w:p>
          <w:p w14:paraId="43F7DC62">
            <w:pPr>
              <w:pStyle w:val="7"/>
              <w:spacing w:before="180" w:line="229" w:lineRule="auto"/>
              <w:ind w:left="89"/>
            </w:pPr>
            <w:r>
              <w:rPr>
                <w:spacing w:val="-10"/>
              </w:rPr>
              <w:t>经理</w:t>
            </w:r>
          </w:p>
        </w:tc>
        <w:tc>
          <w:tcPr>
            <w:tcW w:w="597" w:type="dxa"/>
            <w:vAlign w:val="top"/>
          </w:tcPr>
          <w:p w14:paraId="108B5E9F">
            <w:pPr>
              <w:rPr>
                <w:rFonts w:ascii="Arial"/>
                <w:sz w:val="21"/>
              </w:rPr>
            </w:pPr>
          </w:p>
          <w:p w14:paraId="301CC220">
            <w:pPr>
              <w:rPr>
                <w:rFonts w:ascii="Arial"/>
                <w:sz w:val="21"/>
              </w:rPr>
            </w:pPr>
          </w:p>
          <w:p w14:paraId="66726C68">
            <w:pPr>
              <w:pStyle w:val="7"/>
              <w:spacing w:before="78" w:line="220" w:lineRule="auto"/>
              <w:ind w:left="92"/>
            </w:pPr>
            <w:r>
              <w:rPr>
                <w:spacing w:val="-11"/>
              </w:rPr>
              <w:t>安全</w:t>
            </w:r>
          </w:p>
          <w:p w14:paraId="6515DC9F">
            <w:pPr>
              <w:pStyle w:val="7"/>
              <w:spacing w:before="180" w:line="229" w:lineRule="auto"/>
              <w:ind w:left="89"/>
            </w:pPr>
            <w:r>
              <w:rPr>
                <w:spacing w:val="-10"/>
              </w:rPr>
              <w:t>经理</w:t>
            </w:r>
          </w:p>
        </w:tc>
        <w:tc>
          <w:tcPr>
            <w:tcW w:w="595" w:type="dxa"/>
            <w:vAlign w:val="top"/>
          </w:tcPr>
          <w:p w14:paraId="05CA3B05">
            <w:pPr>
              <w:rPr>
                <w:rFonts w:ascii="Arial"/>
                <w:sz w:val="21"/>
              </w:rPr>
            </w:pPr>
          </w:p>
          <w:p w14:paraId="58A100AA">
            <w:pPr>
              <w:spacing w:line="241" w:lineRule="auto"/>
              <w:rPr>
                <w:rFonts w:ascii="Arial"/>
                <w:sz w:val="21"/>
              </w:rPr>
            </w:pPr>
          </w:p>
          <w:p w14:paraId="2B7E1C65">
            <w:pPr>
              <w:pStyle w:val="7"/>
              <w:spacing w:before="78" w:line="219" w:lineRule="auto"/>
              <w:ind w:left="96"/>
            </w:pPr>
            <w:r>
              <w:rPr>
                <w:spacing w:val="-12"/>
              </w:rPr>
              <w:t>商务</w:t>
            </w:r>
          </w:p>
          <w:p w14:paraId="281A71F8">
            <w:pPr>
              <w:pStyle w:val="7"/>
              <w:spacing w:before="181" w:line="229" w:lineRule="auto"/>
              <w:ind w:left="87"/>
            </w:pPr>
            <w:r>
              <w:rPr>
                <w:spacing w:val="-10"/>
              </w:rPr>
              <w:t>经理</w:t>
            </w:r>
          </w:p>
        </w:tc>
        <w:tc>
          <w:tcPr>
            <w:tcW w:w="597" w:type="dxa"/>
            <w:gridSpan w:val="2"/>
            <w:vAlign w:val="top"/>
          </w:tcPr>
          <w:p w14:paraId="1856361C">
            <w:pPr>
              <w:spacing w:line="249" w:lineRule="auto"/>
              <w:rPr>
                <w:rFonts w:ascii="Arial"/>
                <w:sz w:val="21"/>
              </w:rPr>
            </w:pPr>
          </w:p>
          <w:p w14:paraId="0A94A7E5">
            <w:pPr>
              <w:pStyle w:val="7"/>
              <w:spacing w:before="78" w:line="219" w:lineRule="auto"/>
              <w:ind w:left="96"/>
            </w:pPr>
            <w:r>
              <w:rPr>
                <w:spacing w:val="-11"/>
              </w:rPr>
              <w:t>工程</w:t>
            </w:r>
          </w:p>
          <w:p w14:paraId="24EE2F9C">
            <w:pPr>
              <w:pStyle w:val="7"/>
              <w:spacing w:before="182" w:line="361" w:lineRule="auto"/>
              <w:ind w:left="202" w:right="58" w:hanging="98"/>
            </w:pPr>
            <w:r>
              <w:rPr>
                <w:spacing w:val="-26"/>
              </w:rPr>
              <w:t>管理</w:t>
            </w:r>
            <w:r>
              <w:t>部</w:t>
            </w:r>
          </w:p>
        </w:tc>
        <w:tc>
          <w:tcPr>
            <w:tcW w:w="597" w:type="dxa"/>
            <w:vAlign w:val="top"/>
          </w:tcPr>
          <w:p w14:paraId="6FA65B68">
            <w:pPr>
              <w:spacing w:line="249" w:lineRule="auto"/>
              <w:rPr>
                <w:rFonts w:ascii="Arial"/>
                <w:sz w:val="21"/>
              </w:rPr>
            </w:pPr>
          </w:p>
          <w:p w14:paraId="2B711D27">
            <w:pPr>
              <w:pStyle w:val="7"/>
              <w:spacing w:before="78" w:line="219" w:lineRule="auto"/>
              <w:ind w:left="97"/>
            </w:pPr>
            <w:r>
              <w:rPr>
                <w:spacing w:val="-11"/>
              </w:rPr>
              <w:t>工程</w:t>
            </w:r>
          </w:p>
          <w:p w14:paraId="42DDE1A2">
            <w:pPr>
              <w:pStyle w:val="7"/>
              <w:spacing w:before="182" w:line="361" w:lineRule="auto"/>
              <w:ind w:left="202" w:right="57" w:hanging="110"/>
            </w:pPr>
            <w:r>
              <w:rPr>
                <w:spacing w:val="-20"/>
              </w:rPr>
              <w:t>技术</w:t>
            </w:r>
            <w:r>
              <w:t>部</w:t>
            </w:r>
          </w:p>
        </w:tc>
        <w:tc>
          <w:tcPr>
            <w:tcW w:w="597" w:type="dxa"/>
            <w:vAlign w:val="top"/>
          </w:tcPr>
          <w:p w14:paraId="0CAAFDAD">
            <w:pPr>
              <w:spacing w:line="241" w:lineRule="auto"/>
              <w:rPr>
                <w:rFonts w:ascii="Arial"/>
                <w:sz w:val="21"/>
              </w:rPr>
            </w:pPr>
          </w:p>
          <w:p w14:paraId="29BC7A2F">
            <w:pPr>
              <w:spacing w:line="241" w:lineRule="auto"/>
              <w:rPr>
                <w:rFonts w:ascii="Arial"/>
                <w:sz w:val="21"/>
              </w:rPr>
            </w:pPr>
          </w:p>
          <w:p w14:paraId="56F253EA">
            <w:pPr>
              <w:pStyle w:val="7"/>
              <w:spacing w:before="78" w:line="359" w:lineRule="auto"/>
              <w:ind w:left="202" w:right="57" w:hanging="102"/>
            </w:pPr>
            <w:r>
              <w:rPr>
                <w:spacing w:val="-24"/>
              </w:rPr>
              <w:t>商务</w:t>
            </w:r>
            <w:r>
              <w:t>部</w:t>
            </w:r>
          </w:p>
        </w:tc>
        <w:tc>
          <w:tcPr>
            <w:tcW w:w="600" w:type="dxa"/>
            <w:vAlign w:val="top"/>
          </w:tcPr>
          <w:p w14:paraId="4EBF781D">
            <w:pPr>
              <w:spacing w:line="241" w:lineRule="auto"/>
              <w:rPr>
                <w:rFonts w:ascii="Arial"/>
                <w:sz w:val="21"/>
              </w:rPr>
            </w:pPr>
          </w:p>
          <w:p w14:paraId="746349A1">
            <w:pPr>
              <w:spacing w:line="241" w:lineRule="auto"/>
              <w:rPr>
                <w:rFonts w:ascii="Arial"/>
                <w:sz w:val="21"/>
              </w:rPr>
            </w:pPr>
          </w:p>
          <w:p w14:paraId="3E2308C8">
            <w:pPr>
              <w:pStyle w:val="7"/>
              <w:spacing w:before="78" w:line="359" w:lineRule="auto"/>
              <w:ind w:left="203" w:right="59" w:hanging="110"/>
            </w:pPr>
            <w:r>
              <w:rPr>
                <w:spacing w:val="-20"/>
              </w:rPr>
              <w:t>物资</w:t>
            </w:r>
            <w:r>
              <w:t>部</w:t>
            </w:r>
          </w:p>
        </w:tc>
        <w:tc>
          <w:tcPr>
            <w:tcW w:w="856" w:type="dxa"/>
            <w:vAlign w:val="top"/>
          </w:tcPr>
          <w:p w14:paraId="66B87EB5">
            <w:pPr>
              <w:spacing w:line="249" w:lineRule="auto"/>
              <w:rPr>
                <w:rFonts w:ascii="Arial"/>
                <w:sz w:val="21"/>
              </w:rPr>
            </w:pPr>
          </w:p>
          <w:p w14:paraId="5841B174">
            <w:pPr>
              <w:pStyle w:val="7"/>
              <w:spacing w:before="78" w:line="219" w:lineRule="auto"/>
              <w:ind w:left="118"/>
            </w:pPr>
            <w:r>
              <w:rPr>
                <w:spacing w:val="-14"/>
              </w:rPr>
              <w:t>绿色施</w:t>
            </w:r>
          </w:p>
          <w:p w14:paraId="5C3D4538">
            <w:pPr>
              <w:pStyle w:val="7"/>
              <w:spacing w:before="180" w:line="220" w:lineRule="auto"/>
              <w:ind w:left="120"/>
            </w:pPr>
            <w:r>
              <w:rPr>
                <w:spacing w:val="-15"/>
              </w:rPr>
              <w:t>工管理</w:t>
            </w:r>
          </w:p>
          <w:p w14:paraId="2B231851">
            <w:pPr>
              <w:pStyle w:val="7"/>
              <w:spacing w:before="182" w:line="220" w:lineRule="auto"/>
              <w:ind w:left="122"/>
            </w:pPr>
            <w:r>
              <w:rPr>
                <w:spacing w:val="-15"/>
              </w:rPr>
              <w:t>办公室</w:t>
            </w:r>
          </w:p>
        </w:tc>
        <w:tc>
          <w:tcPr>
            <w:tcW w:w="505" w:type="dxa"/>
            <w:tcBorders>
              <w:right w:val="single" w:color="000000" w:sz="4" w:space="0"/>
            </w:tcBorders>
            <w:textDirection w:val="tbRlV"/>
            <w:vAlign w:val="top"/>
          </w:tcPr>
          <w:p w14:paraId="1CD94560">
            <w:pPr>
              <w:spacing w:before="4" w:line="28" w:lineRule="exact"/>
            </w:pPr>
            <w:r>
              <w:pict>
                <v:group id="_x0000_s3370" o:spid="_x0000_s3370" o:spt="203" style="height:3.4pt;width:1.45pt;" coordsize="29,68">
                  <o:lock v:ext="edit"/>
                  <v:shape id="_x0000_s3371" o:spid="_x0000_s3371" style="position:absolute;left:14;top:0;height:68;width:15;" fillcolor="#20507B" filled="t" stroked="f" coordsize="15,68" path="m0,67l14,67,14,0,0,0,0,67xe">
                    <v:path/>
                    <v:fill on="t" focussize="0,0"/>
                    <v:stroke on="f"/>
                    <v:imagedata o:title=""/>
                    <o:lock v:ext="edit"/>
                  </v:shape>
                  <v:shape id="_x0000_s3372" o:spid="_x0000_s3372" style="position:absolute;left:0;top:0;height:68;width:15;" fillcolor="#1C456A" filled="t" stroked="f" coordsize="15,68" path="m0,67l14,67,14,0,0,0,0,67xe">
                    <v:path/>
                    <v:fill on="t" focussize="0,0"/>
                    <v:stroke on="f"/>
                    <v:imagedata o:title=""/>
                    <o:lock v:ext="edit"/>
                  </v:shape>
                  <w10:wrap type="none"/>
                  <w10:anchorlock/>
                </v:group>
              </w:pict>
            </w:r>
          </w:p>
          <w:p w14:paraId="6316351B">
            <w:pPr>
              <w:pStyle w:val="7"/>
              <w:spacing w:before="93" w:line="201" w:lineRule="auto"/>
              <w:ind w:left="329"/>
            </w:pPr>
            <w:r>
              <w:t>安全部</w:t>
            </w:r>
          </w:p>
        </w:tc>
      </w:tr>
      <w:tr w14:paraId="41958F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0" w:hRule="atLeast"/>
        </w:trPr>
        <w:tc>
          <w:tcPr>
            <w:tcW w:w="620" w:type="dxa"/>
            <w:tcBorders>
              <w:left w:val="single" w:color="000000" w:sz="4" w:space="0"/>
            </w:tcBorders>
            <w:vAlign w:val="top"/>
          </w:tcPr>
          <w:p w14:paraId="23AF9595">
            <w:pPr>
              <w:pStyle w:val="7"/>
              <w:spacing w:before="98" w:line="238" w:lineRule="auto"/>
              <w:ind w:left="282"/>
            </w:pPr>
            <w:r>
              <w:t>1</w:t>
            </w:r>
          </w:p>
        </w:tc>
        <w:tc>
          <w:tcPr>
            <w:tcW w:w="1376" w:type="dxa"/>
            <w:vAlign w:val="top"/>
          </w:tcPr>
          <w:p w14:paraId="3D220799">
            <w:pPr>
              <w:pStyle w:val="7"/>
              <w:spacing w:before="98" w:line="218" w:lineRule="auto"/>
              <w:ind w:left="259"/>
            </w:pPr>
            <w:r>
              <w:rPr>
                <w:spacing w:val="-15"/>
              </w:rPr>
              <w:t>环境方针</w:t>
            </w:r>
          </w:p>
        </w:tc>
        <w:tc>
          <w:tcPr>
            <w:tcW w:w="514" w:type="dxa"/>
            <w:vAlign w:val="top"/>
          </w:tcPr>
          <w:p w14:paraId="02690976">
            <w:pPr>
              <w:pStyle w:val="7"/>
              <w:spacing w:before="98" w:line="236" w:lineRule="auto"/>
              <w:ind w:left="169"/>
            </w:pPr>
            <w:r>
              <w:t>○</w:t>
            </w:r>
          </w:p>
        </w:tc>
        <w:tc>
          <w:tcPr>
            <w:tcW w:w="597" w:type="dxa"/>
            <w:vAlign w:val="top"/>
          </w:tcPr>
          <w:p w14:paraId="74AD4CCF">
            <w:pPr>
              <w:rPr>
                <w:rFonts w:ascii="Arial"/>
                <w:sz w:val="21"/>
              </w:rPr>
            </w:pPr>
          </w:p>
        </w:tc>
        <w:tc>
          <w:tcPr>
            <w:tcW w:w="597" w:type="dxa"/>
            <w:vAlign w:val="top"/>
          </w:tcPr>
          <w:p w14:paraId="320F93AC">
            <w:pPr>
              <w:rPr>
                <w:rFonts w:ascii="Arial"/>
                <w:sz w:val="21"/>
              </w:rPr>
            </w:pPr>
          </w:p>
        </w:tc>
        <w:tc>
          <w:tcPr>
            <w:tcW w:w="597" w:type="dxa"/>
            <w:vAlign w:val="top"/>
          </w:tcPr>
          <w:p w14:paraId="74A8D861">
            <w:pPr>
              <w:rPr>
                <w:rFonts w:ascii="Arial"/>
                <w:sz w:val="21"/>
              </w:rPr>
            </w:pPr>
          </w:p>
        </w:tc>
        <w:tc>
          <w:tcPr>
            <w:tcW w:w="595" w:type="dxa"/>
            <w:vAlign w:val="top"/>
          </w:tcPr>
          <w:p w14:paraId="414F87BD">
            <w:pPr>
              <w:rPr>
                <w:rFonts w:ascii="Arial"/>
                <w:sz w:val="21"/>
              </w:rPr>
            </w:pPr>
          </w:p>
        </w:tc>
        <w:tc>
          <w:tcPr>
            <w:tcW w:w="597" w:type="dxa"/>
            <w:gridSpan w:val="2"/>
            <w:vAlign w:val="top"/>
          </w:tcPr>
          <w:p w14:paraId="4467FB95">
            <w:pPr>
              <w:pStyle w:val="7"/>
              <w:spacing w:before="97" w:line="238" w:lineRule="auto"/>
              <w:ind w:left="202"/>
            </w:pPr>
            <w:r>
              <w:t>△</w:t>
            </w:r>
          </w:p>
        </w:tc>
        <w:tc>
          <w:tcPr>
            <w:tcW w:w="597" w:type="dxa"/>
            <w:vAlign w:val="top"/>
          </w:tcPr>
          <w:p w14:paraId="7E0BB1DF">
            <w:pPr>
              <w:pStyle w:val="7"/>
              <w:spacing w:before="97" w:line="238" w:lineRule="auto"/>
              <w:ind w:left="202"/>
            </w:pPr>
            <w:r>
              <w:t>△</w:t>
            </w:r>
          </w:p>
        </w:tc>
        <w:tc>
          <w:tcPr>
            <w:tcW w:w="597" w:type="dxa"/>
            <w:vAlign w:val="top"/>
          </w:tcPr>
          <w:p w14:paraId="4FDEE2B2">
            <w:pPr>
              <w:pStyle w:val="7"/>
              <w:spacing w:before="97" w:line="238" w:lineRule="auto"/>
              <w:ind w:left="203"/>
            </w:pPr>
            <w:r>
              <w:t>△</w:t>
            </w:r>
          </w:p>
        </w:tc>
        <w:tc>
          <w:tcPr>
            <w:tcW w:w="600" w:type="dxa"/>
            <w:vAlign w:val="top"/>
          </w:tcPr>
          <w:p w14:paraId="6CE6BFE4">
            <w:pPr>
              <w:pStyle w:val="7"/>
              <w:spacing w:before="97" w:line="238" w:lineRule="auto"/>
              <w:ind w:left="204"/>
            </w:pPr>
            <w:r>
              <w:t>△</w:t>
            </w:r>
          </w:p>
        </w:tc>
        <w:tc>
          <w:tcPr>
            <w:tcW w:w="856" w:type="dxa"/>
            <w:vAlign w:val="top"/>
          </w:tcPr>
          <w:p w14:paraId="62AFCEC2">
            <w:pPr>
              <w:pStyle w:val="7"/>
              <w:spacing w:before="98" w:line="237" w:lineRule="auto"/>
              <w:ind w:left="347"/>
            </w:pPr>
            <w:r>
              <w:t>●</w:t>
            </w:r>
          </w:p>
        </w:tc>
        <w:tc>
          <w:tcPr>
            <w:tcW w:w="505" w:type="dxa"/>
            <w:tcBorders>
              <w:right w:val="single" w:color="000000" w:sz="4" w:space="0"/>
            </w:tcBorders>
            <w:vAlign w:val="top"/>
          </w:tcPr>
          <w:p w14:paraId="082C7E2B">
            <w:pPr>
              <w:spacing w:line="59" w:lineRule="exact"/>
              <w:ind w:right="4"/>
              <w:jc w:val="right"/>
            </w:pPr>
            <w:r>
              <w:rPr>
                <w:position w:val="-1"/>
              </w:rPr>
              <w:drawing>
                <wp:inline distT="0" distB="0" distL="0" distR="0">
                  <wp:extent cx="17780" cy="37465"/>
                  <wp:effectExtent l="0" t="0" r="0" b="0"/>
                  <wp:docPr id="900" name="IM 900"/>
                  <wp:cNvGraphicFramePr/>
                  <a:graphic xmlns:a="http://schemas.openxmlformats.org/drawingml/2006/main">
                    <a:graphicData uri="http://schemas.openxmlformats.org/drawingml/2006/picture">
                      <pic:pic xmlns:pic="http://schemas.openxmlformats.org/drawingml/2006/picture">
                        <pic:nvPicPr>
                          <pic:cNvPr id="900" name="IM 900"/>
                          <pic:cNvPicPr/>
                        </pic:nvPicPr>
                        <pic:blipFill>
                          <a:blip r:embed="rId507"/>
                          <a:stretch>
                            <a:fillRect/>
                          </a:stretch>
                        </pic:blipFill>
                        <pic:spPr>
                          <a:xfrm>
                            <a:off x="0" y="0"/>
                            <a:ext cx="18287" cy="37846"/>
                          </a:xfrm>
                          <a:prstGeom prst="rect">
                            <a:avLst/>
                          </a:prstGeom>
                        </pic:spPr>
                      </pic:pic>
                    </a:graphicData>
                  </a:graphic>
                </wp:inline>
              </w:drawing>
            </w:r>
          </w:p>
          <w:p w14:paraId="30AD978C">
            <w:pPr>
              <w:pStyle w:val="7"/>
              <w:spacing w:before="38" w:line="238" w:lineRule="auto"/>
              <w:ind w:left="147"/>
            </w:pPr>
            <w:r>
              <w:t>△</w:t>
            </w:r>
          </w:p>
        </w:tc>
      </w:tr>
      <w:tr w14:paraId="447146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0" w:hRule="atLeast"/>
        </w:trPr>
        <w:tc>
          <w:tcPr>
            <w:tcW w:w="620" w:type="dxa"/>
            <w:tcBorders>
              <w:left w:val="single" w:color="000000" w:sz="4" w:space="0"/>
            </w:tcBorders>
            <w:vAlign w:val="top"/>
          </w:tcPr>
          <w:p w14:paraId="26E8D378">
            <w:pPr>
              <w:pStyle w:val="7"/>
              <w:spacing w:before="98" w:line="238" w:lineRule="auto"/>
              <w:ind w:left="267"/>
            </w:pPr>
            <w:r>
              <w:t>2</w:t>
            </w:r>
          </w:p>
        </w:tc>
        <w:tc>
          <w:tcPr>
            <w:tcW w:w="1376" w:type="dxa"/>
            <w:vAlign w:val="top"/>
          </w:tcPr>
          <w:p w14:paraId="6EA417C6">
            <w:pPr>
              <w:pStyle w:val="7"/>
              <w:spacing w:before="98" w:line="218" w:lineRule="auto"/>
              <w:ind w:left="259"/>
            </w:pPr>
            <w:r>
              <w:rPr>
                <w:spacing w:val="-15"/>
              </w:rPr>
              <w:t>环境因素</w:t>
            </w:r>
          </w:p>
        </w:tc>
        <w:tc>
          <w:tcPr>
            <w:tcW w:w="514" w:type="dxa"/>
            <w:vAlign w:val="top"/>
          </w:tcPr>
          <w:p w14:paraId="14323D98">
            <w:pPr>
              <w:rPr>
                <w:rFonts w:ascii="Arial"/>
                <w:sz w:val="21"/>
              </w:rPr>
            </w:pPr>
          </w:p>
        </w:tc>
        <w:tc>
          <w:tcPr>
            <w:tcW w:w="597" w:type="dxa"/>
            <w:vAlign w:val="top"/>
          </w:tcPr>
          <w:p w14:paraId="3707037E">
            <w:pPr>
              <w:pStyle w:val="7"/>
              <w:spacing w:before="98" w:line="236" w:lineRule="auto"/>
              <w:ind w:left="213"/>
            </w:pPr>
            <w:r>
              <w:t>○</w:t>
            </w:r>
          </w:p>
        </w:tc>
        <w:tc>
          <w:tcPr>
            <w:tcW w:w="597" w:type="dxa"/>
            <w:vAlign w:val="top"/>
          </w:tcPr>
          <w:p w14:paraId="2D03D627">
            <w:pPr>
              <w:rPr>
                <w:rFonts w:ascii="Arial"/>
                <w:sz w:val="21"/>
              </w:rPr>
            </w:pPr>
          </w:p>
        </w:tc>
        <w:tc>
          <w:tcPr>
            <w:tcW w:w="597" w:type="dxa"/>
            <w:vAlign w:val="top"/>
          </w:tcPr>
          <w:p w14:paraId="09BB98F6">
            <w:pPr>
              <w:rPr>
                <w:rFonts w:ascii="Arial"/>
                <w:sz w:val="21"/>
              </w:rPr>
            </w:pPr>
          </w:p>
        </w:tc>
        <w:tc>
          <w:tcPr>
            <w:tcW w:w="595" w:type="dxa"/>
            <w:vAlign w:val="top"/>
          </w:tcPr>
          <w:p w14:paraId="03F546AF">
            <w:pPr>
              <w:rPr>
                <w:rFonts w:ascii="Arial"/>
                <w:sz w:val="21"/>
              </w:rPr>
            </w:pPr>
          </w:p>
        </w:tc>
        <w:tc>
          <w:tcPr>
            <w:tcW w:w="597" w:type="dxa"/>
            <w:gridSpan w:val="2"/>
            <w:vAlign w:val="top"/>
          </w:tcPr>
          <w:p w14:paraId="4CDBEDB2">
            <w:pPr>
              <w:pStyle w:val="7"/>
              <w:spacing w:before="97" w:line="238" w:lineRule="auto"/>
              <w:ind w:left="202"/>
            </w:pPr>
            <w:r>
              <w:t>△</w:t>
            </w:r>
          </w:p>
        </w:tc>
        <w:tc>
          <w:tcPr>
            <w:tcW w:w="597" w:type="dxa"/>
            <w:vAlign w:val="top"/>
          </w:tcPr>
          <w:p w14:paraId="020AC99E">
            <w:pPr>
              <w:pStyle w:val="7"/>
              <w:spacing w:before="97" w:line="238" w:lineRule="auto"/>
              <w:ind w:left="202"/>
            </w:pPr>
            <w:r>
              <w:t>△</w:t>
            </w:r>
          </w:p>
        </w:tc>
        <w:tc>
          <w:tcPr>
            <w:tcW w:w="597" w:type="dxa"/>
            <w:vAlign w:val="top"/>
          </w:tcPr>
          <w:p w14:paraId="08813E39">
            <w:pPr>
              <w:pStyle w:val="7"/>
              <w:spacing w:before="97" w:line="238" w:lineRule="auto"/>
              <w:ind w:left="203"/>
            </w:pPr>
            <w:r>
              <w:t>△</w:t>
            </w:r>
          </w:p>
        </w:tc>
        <w:tc>
          <w:tcPr>
            <w:tcW w:w="600" w:type="dxa"/>
            <w:vAlign w:val="top"/>
          </w:tcPr>
          <w:p w14:paraId="5CB8B9D9">
            <w:pPr>
              <w:pStyle w:val="7"/>
              <w:spacing w:before="97" w:line="238" w:lineRule="auto"/>
              <w:ind w:left="204"/>
            </w:pPr>
            <w:r>
              <w:t>△</w:t>
            </w:r>
          </w:p>
        </w:tc>
        <w:tc>
          <w:tcPr>
            <w:tcW w:w="856" w:type="dxa"/>
            <w:vAlign w:val="top"/>
          </w:tcPr>
          <w:p w14:paraId="5FF55146">
            <w:pPr>
              <w:pStyle w:val="7"/>
              <w:spacing w:before="98" w:line="237" w:lineRule="auto"/>
              <w:ind w:left="347"/>
            </w:pPr>
            <w:r>
              <w:t>●</w:t>
            </w:r>
          </w:p>
        </w:tc>
        <w:tc>
          <w:tcPr>
            <w:tcW w:w="505" w:type="dxa"/>
            <w:tcBorders>
              <w:right w:val="single" w:color="000000" w:sz="4" w:space="0"/>
            </w:tcBorders>
            <w:vAlign w:val="top"/>
          </w:tcPr>
          <w:p w14:paraId="313A7A0A">
            <w:pPr>
              <w:spacing w:line="59" w:lineRule="exact"/>
              <w:ind w:right="4"/>
              <w:jc w:val="right"/>
            </w:pPr>
            <w:r>
              <w:rPr>
                <w:position w:val="-1"/>
              </w:rPr>
              <w:drawing>
                <wp:inline distT="0" distB="0" distL="0" distR="0">
                  <wp:extent cx="17780" cy="37465"/>
                  <wp:effectExtent l="0" t="0" r="0" b="0"/>
                  <wp:docPr id="902" name="IM 902"/>
                  <wp:cNvGraphicFramePr/>
                  <a:graphic xmlns:a="http://schemas.openxmlformats.org/drawingml/2006/main">
                    <a:graphicData uri="http://schemas.openxmlformats.org/drawingml/2006/picture">
                      <pic:pic xmlns:pic="http://schemas.openxmlformats.org/drawingml/2006/picture">
                        <pic:nvPicPr>
                          <pic:cNvPr id="902" name="IM 902"/>
                          <pic:cNvPicPr/>
                        </pic:nvPicPr>
                        <pic:blipFill>
                          <a:blip r:embed="rId507"/>
                          <a:stretch>
                            <a:fillRect/>
                          </a:stretch>
                        </pic:blipFill>
                        <pic:spPr>
                          <a:xfrm>
                            <a:off x="0" y="0"/>
                            <a:ext cx="18287" cy="37973"/>
                          </a:xfrm>
                          <a:prstGeom prst="rect">
                            <a:avLst/>
                          </a:prstGeom>
                        </pic:spPr>
                      </pic:pic>
                    </a:graphicData>
                  </a:graphic>
                </wp:inline>
              </w:drawing>
            </w:r>
          </w:p>
          <w:p w14:paraId="40FA0DF0">
            <w:pPr>
              <w:pStyle w:val="7"/>
              <w:spacing w:before="38" w:line="238" w:lineRule="auto"/>
              <w:ind w:left="147"/>
            </w:pPr>
            <w:r>
              <w:t>△</w:t>
            </w:r>
          </w:p>
        </w:tc>
      </w:tr>
      <w:tr w14:paraId="5ECE6A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57" w:hRule="atLeast"/>
        </w:trPr>
        <w:tc>
          <w:tcPr>
            <w:tcW w:w="620" w:type="dxa"/>
            <w:tcBorders>
              <w:left w:val="single" w:color="000000" w:sz="4" w:space="0"/>
            </w:tcBorders>
            <w:vAlign w:val="top"/>
          </w:tcPr>
          <w:p w14:paraId="6D4B567E">
            <w:pPr>
              <w:spacing w:line="254" w:lineRule="auto"/>
              <w:rPr>
                <w:rFonts w:ascii="Arial"/>
                <w:sz w:val="21"/>
              </w:rPr>
            </w:pPr>
          </w:p>
          <w:p w14:paraId="3AC39470">
            <w:pPr>
              <w:pStyle w:val="7"/>
              <w:spacing w:before="78" w:line="237" w:lineRule="auto"/>
              <w:ind w:left="269"/>
            </w:pPr>
            <w:r>
              <w:t>3</w:t>
            </w:r>
          </w:p>
        </w:tc>
        <w:tc>
          <w:tcPr>
            <w:tcW w:w="1376" w:type="dxa"/>
            <w:vAlign w:val="top"/>
          </w:tcPr>
          <w:p w14:paraId="31DB584C">
            <w:pPr>
              <w:pStyle w:val="7"/>
              <w:spacing w:before="99" w:line="217" w:lineRule="auto"/>
              <w:ind w:left="159"/>
            </w:pPr>
            <w:r>
              <w:rPr>
                <w:spacing w:val="-19"/>
              </w:rPr>
              <w:t>法律及其他</w:t>
            </w:r>
          </w:p>
          <w:p w14:paraId="7C35FA68">
            <w:pPr>
              <w:pStyle w:val="7"/>
              <w:spacing w:before="185" w:line="218" w:lineRule="auto"/>
              <w:ind w:left="482"/>
            </w:pPr>
            <w:r>
              <w:rPr>
                <w:spacing w:val="-11"/>
              </w:rPr>
              <w:t>要求</w:t>
            </w:r>
          </w:p>
        </w:tc>
        <w:tc>
          <w:tcPr>
            <w:tcW w:w="514" w:type="dxa"/>
            <w:vAlign w:val="top"/>
          </w:tcPr>
          <w:p w14:paraId="2D875B2D">
            <w:pPr>
              <w:rPr>
                <w:rFonts w:ascii="Arial"/>
                <w:sz w:val="21"/>
              </w:rPr>
            </w:pPr>
          </w:p>
        </w:tc>
        <w:tc>
          <w:tcPr>
            <w:tcW w:w="597" w:type="dxa"/>
            <w:vAlign w:val="top"/>
          </w:tcPr>
          <w:p w14:paraId="3812E041">
            <w:pPr>
              <w:rPr>
                <w:rFonts w:ascii="Arial"/>
                <w:sz w:val="21"/>
              </w:rPr>
            </w:pPr>
          </w:p>
        </w:tc>
        <w:tc>
          <w:tcPr>
            <w:tcW w:w="597" w:type="dxa"/>
            <w:vAlign w:val="top"/>
          </w:tcPr>
          <w:p w14:paraId="2207E1E0">
            <w:pPr>
              <w:spacing w:line="254" w:lineRule="auto"/>
              <w:rPr>
                <w:rFonts w:ascii="Arial"/>
                <w:sz w:val="21"/>
              </w:rPr>
            </w:pPr>
          </w:p>
          <w:p w14:paraId="3B4431AB">
            <w:pPr>
              <w:pStyle w:val="7"/>
              <w:spacing w:before="78" w:line="236" w:lineRule="auto"/>
              <w:ind w:left="211"/>
            </w:pPr>
            <w:r>
              <w:t>○</w:t>
            </w:r>
          </w:p>
        </w:tc>
        <w:tc>
          <w:tcPr>
            <w:tcW w:w="597" w:type="dxa"/>
            <w:vAlign w:val="top"/>
          </w:tcPr>
          <w:p w14:paraId="143B0E84">
            <w:pPr>
              <w:spacing w:line="254" w:lineRule="auto"/>
              <w:rPr>
                <w:rFonts w:ascii="Arial"/>
                <w:sz w:val="21"/>
              </w:rPr>
            </w:pPr>
          </w:p>
          <w:p w14:paraId="6D832A64">
            <w:pPr>
              <w:pStyle w:val="7"/>
              <w:spacing w:before="78" w:line="236" w:lineRule="auto"/>
              <w:ind w:left="214"/>
            </w:pPr>
            <w:r>
              <w:t>○</w:t>
            </w:r>
          </w:p>
        </w:tc>
        <w:tc>
          <w:tcPr>
            <w:tcW w:w="595" w:type="dxa"/>
            <w:vAlign w:val="top"/>
          </w:tcPr>
          <w:p w14:paraId="0D0D980E">
            <w:pPr>
              <w:rPr>
                <w:rFonts w:ascii="Arial"/>
                <w:sz w:val="21"/>
              </w:rPr>
            </w:pPr>
          </w:p>
        </w:tc>
        <w:tc>
          <w:tcPr>
            <w:tcW w:w="597" w:type="dxa"/>
            <w:gridSpan w:val="2"/>
            <w:vAlign w:val="top"/>
          </w:tcPr>
          <w:p w14:paraId="6DAA093B">
            <w:pPr>
              <w:spacing w:line="253" w:lineRule="auto"/>
              <w:rPr>
                <w:rFonts w:ascii="Arial"/>
                <w:sz w:val="21"/>
              </w:rPr>
            </w:pPr>
          </w:p>
          <w:p w14:paraId="4F3B3905">
            <w:pPr>
              <w:pStyle w:val="7"/>
              <w:spacing w:before="78" w:line="238" w:lineRule="auto"/>
              <w:ind w:left="202"/>
            </w:pPr>
            <w:r>
              <w:t>△</w:t>
            </w:r>
          </w:p>
        </w:tc>
        <w:tc>
          <w:tcPr>
            <w:tcW w:w="597" w:type="dxa"/>
            <w:vAlign w:val="top"/>
          </w:tcPr>
          <w:p w14:paraId="714ED322">
            <w:pPr>
              <w:spacing w:line="253" w:lineRule="auto"/>
              <w:rPr>
                <w:rFonts w:ascii="Arial"/>
                <w:sz w:val="21"/>
              </w:rPr>
            </w:pPr>
          </w:p>
          <w:p w14:paraId="33E82309">
            <w:pPr>
              <w:pStyle w:val="7"/>
              <w:spacing w:before="78" w:line="238" w:lineRule="auto"/>
              <w:ind w:left="202"/>
            </w:pPr>
            <w:r>
              <w:t>△</w:t>
            </w:r>
          </w:p>
        </w:tc>
        <w:tc>
          <w:tcPr>
            <w:tcW w:w="597" w:type="dxa"/>
            <w:vAlign w:val="top"/>
          </w:tcPr>
          <w:p w14:paraId="747E32E2">
            <w:pPr>
              <w:spacing w:line="253" w:lineRule="auto"/>
              <w:rPr>
                <w:rFonts w:ascii="Arial"/>
                <w:sz w:val="21"/>
              </w:rPr>
            </w:pPr>
          </w:p>
          <w:p w14:paraId="08968E64">
            <w:pPr>
              <w:pStyle w:val="7"/>
              <w:spacing w:before="78" w:line="238" w:lineRule="auto"/>
              <w:ind w:left="203"/>
            </w:pPr>
            <w:r>
              <w:t>△</w:t>
            </w:r>
          </w:p>
        </w:tc>
        <w:tc>
          <w:tcPr>
            <w:tcW w:w="600" w:type="dxa"/>
            <w:vAlign w:val="top"/>
          </w:tcPr>
          <w:p w14:paraId="2E94ACB1">
            <w:pPr>
              <w:spacing w:line="253" w:lineRule="auto"/>
              <w:rPr>
                <w:rFonts w:ascii="Arial"/>
                <w:sz w:val="21"/>
              </w:rPr>
            </w:pPr>
          </w:p>
          <w:p w14:paraId="654A294D">
            <w:pPr>
              <w:pStyle w:val="7"/>
              <w:spacing w:before="78" w:line="238" w:lineRule="auto"/>
              <w:ind w:left="204"/>
            </w:pPr>
            <w:r>
              <w:t>△</w:t>
            </w:r>
          </w:p>
        </w:tc>
        <w:tc>
          <w:tcPr>
            <w:tcW w:w="856" w:type="dxa"/>
            <w:vAlign w:val="top"/>
          </w:tcPr>
          <w:p w14:paraId="3A001386">
            <w:pPr>
              <w:spacing w:line="254" w:lineRule="auto"/>
              <w:rPr>
                <w:rFonts w:ascii="Arial"/>
                <w:sz w:val="21"/>
              </w:rPr>
            </w:pPr>
          </w:p>
          <w:p w14:paraId="01E5388A">
            <w:pPr>
              <w:pStyle w:val="7"/>
              <w:spacing w:before="78" w:line="237" w:lineRule="auto"/>
              <w:ind w:left="347"/>
            </w:pPr>
            <w:r>
              <w:t>●</w:t>
            </w:r>
          </w:p>
        </w:tc>
        <w:tc>
          <w:tcPr>
            <w:tcW w:w="505" w:type="dxa"/>
            <w:tcBorders>
              <w:right w:val="single" w:color="000000" w:sz="4" w:space="0"/>
            </w:tcBorders>
            <w:vAlign w:val="top"/>
          </w:tcPr>
          <w:p w14:paraId="3C5D2733">
            <w:pPr>
              <w:spacing w:line="60" w:lineRule="exact"/>
              <w:ind w:right="4"/>
              <w:jc w:val="right"/>
            </w:pPr>
            <w:r>
              <w:rPr>
                <w:position w:val="-1"/>
              </w:rPr>
              <w:drawing>
                <wp:inline distT="0" distB="0" distL="0" distR="0">
                  <wp:extent cx="17780" cy="38100"/>
                  <wp:effectExtent l="0" t="0" r="0" b="0"/>
                  <wp:docPr id="904" name="IM 904"/>
                  <wp:cNvGraphicFramePr/>
                  <a:graphic xmlns:a="http://schemas.openxmlformats.org/drawingml/2006/main">
                    <a:graphicData uri="http://schemas.openxmlformats.org/drawingml/2006/picture">
                      <pic:pic xmlns:pic="http://schemas.openxmlformats.org/drawingml/2006/picture">
                        <pic:nvPicPr>
                          <pic:cNvPr id="904" name="IM 904"/>
                          <pic:cNvPicPr/>
                        </pic:nvPicPr>
                        <pic:blipFill>
                          <a:blip r:embed="rId636"/>
                          <a:stretch>
                            <a:fillRect/>
                          </a:stretch>
                        </pic:blipFill>
                        <pic:spPr>
                          <a:xfrm>
                            <a:off x="0" y="0"/>
                            <a:ext cx="18287" cy="38100"/>
                          </a:xfrm>
                          <a:prstGeom prst="rect">
                            <a:avLst/>
                          </a:prstGeom>
                        </pic:spPr>
                      </pic:pic>
                    </a:graphicData>
                  </a:graphic>
                </wp:inline>
              </w:drawing>
            </w:r>
          </w:p>
          <w:p w14:paraId="6DE21D13">
            <w:pPr>
              <w:pStyle w:val="7"/>
              <w:spacing w:before="273" w:line="238" w:lineRule="auto"/>
              <w:ind w:left="147"/>
            </w:pPr>
            <w:r>
              <w:t>△</w:t>
            </w:r>
          </w:p>
        </w:tc>
      </w:tr>
      <w:tr w14:paraId="7094B4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1055" w:hRule="atLeast"/>
        </w:trPr>
        <w:tc>
          <w:tcPr>
            <w:tcW w:w="620" w:type="dxa"/>
            <w:tcBorders>
              <w:left w:val="single" w:color="000000" w:sz="4" w:space="0"/>
            </w:tcBorders>
            <w:vAlign w:val="top"/>
          </w:tcPr>
          <w:p w14:paraId="453BDB56">
            <w:pPr>
              <w:spacing w:line="253" w:lineRule="auto"/>
              <w:rPr>
                <w:rFonts w:ascii="Arial"/>
                <w:sz w:val="21"/>
              </w:rPr>
            </w:pPr>
          </w:p>
          <w:p w14:paraId="397B271B">
            <w:pPr>
              <w:pStyle w:val="7"/>
              <w:spacing w:before="78" w:line="238" w:lineRule="auto"/>
              <w:ind w:left="263"/>
            </w:pPr>
            <w:r>
              <w:t>4</w:t>
            </w:r>
          </w:p>
        </w:tc>
        <w:tc>
          <w:tcPr>
            <w:tcW w:w="1376" w:type="dxa"/>
            <w:vAlign w:val="top"/>
          </w:tcPr>
          <w:p w14:paraId="330183E7">
            <w:pPr>
              <w:pStyle w:val="7"/>
              <w:spacing w:before="99" w:line="218" w:lineRule="auto"/>
              <w:ind w:left="301"/>
            </w:pPr>
            <w:r>
              <w:rPr>
                <w:spacing w:val="-26"/>
              </w:rPr>
              <w:t>目标和指</w:t>
            </w:r>
          </w:p>
          <w:p w14:paraId="68370D21">
            <w:pPr>
              <w:pStyle w:val="7"/>
              <w:spacing w:before="182" w:line="218" w:lineRule="auto"/>
              <w:ind w:left="585"/>
            </w:pPr>
            <w:r>
              <w:t>标</w:t>
            </w:r>
          </w:p>
        </w:tc>
        <w:tc>
          <w:tcPr>
            <w:tcW w:w="514" w:type="dxa"/>
            <w:vAlign w:val="top"/>
          </w:tcPr>
          <w:p w14:paraId="6BECC90D">
            <w:pPr>
              <w:spacing w:line="253" w:lineRule="auto"/>
              <w:rPr>
                <w:rFonts w:ascii="Arial"/>
                <w:sz w:val="21"/>
              </w:rPr>
            </w:pPr>
          </w:p>
          <w:p w14:paraId="22869A5B">
            <w:pPr>
              <w:pStyle w:val="7"/>
              <w:spacing w:before="78" w:line="236" w:lineRule="auto"/>
              <w:ind w:left="169"/>
            </w:pPr>
            <w:r>
              <w:t>○</w:t>
            </w:r>
          </w:p>
        </w:tc>
        <w:tc>
          <w:tcPr>
            <w:tcW w:w="597" w:type="dxa"/>
            <w:vAlign w:val="top"/>
          </w:tcPr>
          <w:p w14:paraId="637FC476">
            <w:pPr>
              <w:rPr>
                <w:rFonts w:ascii="Arial"/>
                <w:sz w:val="21"/>
              </w:rPr>
            </w:pPr>
          </w:p>
        </w:tc>
        <w:tc>
          <w:tcPr>
            <w:tcW w:w="597" w:type="dxa"/>
            <w:vAlign w:val="top"/>
          </w:tcPr>
          <w:p w14:paraId="68C2EC45">
            <w:pPr>
              <w:spacing w:line="252" w:lineRule="auto"/>
              <w:rPr>
                <w:rFonts w:ascii="Arial"/>
                <w:sz w:val="21"/>
              </w:rPr>
            </w:pPr>
          </w:p>
          <w:p w14:paraId="0AB52DDD">
            <w:pPr>
              <w:pStyle w:val="7"/>
              <w:spacing w:before="78" w:line="238" w:lineRule="auto"/>
              <w:ind w:left="198"/>
            </w:pPr>
            <w:r>
              <w:t>△</w:t>
            </w:r>
          </w:p>
        </w:tc>
        <w:tc>
          <w:tcPr>
            <w:tcW w:w="597" w:type="dxa"/>
            <w:vAlign w:val="top"/>
          </w:tcPr>
          <w:p w14:paraId="34C8F1F3">
            <w:pPr>
              <w:spacing w:line="252" w:lineRule="auto"/>
              <w:rPr>
                <w:rFonts w:ascii="Arial"/>
                <w:sz w:val="21"/>
              </w:rPr>
            </w:pPr>
          </w:p>
          <w:p w14:paraId="69ABF2F0">
            <w:pPr>
              <w:pStyle w:val="7"/>
              <w:spacing w:before="78" w:line="238" w:lineRule="auto"/>
              <w:ind w:left="201"/>
            </w:pPr>
            <w:r>
              <w:t>△</w:t>
            </w:r>
          </w:p>
        </w:tc>
        <w:tc>
          <w:tcPr>
            <w:tcW w:w="595" w:type="dxa"/>
            <w:vAlign w:val="top"/>
          </w:tcPr>
          <w:p w14:paraId="573E4E0F">
            <w:pPr>
              <w:spacing w:line="252" w:lineRule="auto"/>
              <w:rPr>
                <w:rFonts w:ascii="Arial"/>
                <w:sz w:val="21"/>
              </w:rPr>
            </w:pPr>
          </w:p>
          <w:p w14:paraId="78EFB152">
            <w:pPr>
              <w:pStyle w:val="7"/>
              <w:spacing w:before="78" w:line="238" w:lineRule="auto"/>
              <w:ind w:left="199"/>
            </w:pPr>
            <w:r>
              <w:t>△</w:t>
            </w:r>
          </w:p>
        </w:tc>
        <w:tc>
          <w:tcPr>
            <w:tcW w:w="597" w:type="dxa"/>
            <w:gridSpan w:val="2"/>
            <w:vAlign w:val="top"/>
          </w:tcPr>
          <w:p w14:paraId="51C382CE">
            <w:pPr>
              <w:spacing w:line="252" w:lineRule="auto"/>
              <w:rPr>
                <w:rFonts w:ascii="Arial"/>
                <w:sz w:val="21"/>
              </w:rPr>
            </w:pPr>
          </w:p>
          <w:p w14:paraId="3C5057C8">
            <w:pPr>
              <w:pStyle w:val="7"/>
              <w:spacing w:before="78" w:line="238" w:lineRule="auto"/>
              <w:ind w:left="202"/>
            </w:pPr>
            <w:r>
              <w:t>△</w:t>
            </w:r>
          </w:p>
        </w:tc>
        <w:tc>
          <w:tcPr>
            <w:tcW w:w="597" w:type="dxa"/>
            <w:vAlign w:val="top"/>
          </w:tcPr>
          <w:p w14:paraId="07BD4A74">
            <w:pPr>
              <w:spacing w:line="252" w:lineRule="auto"/>
              <w:rPr>
                <w:rFonts w:ascii="Arial"/>
                <w:sz w:val="21"/>
              </w:rPr>
            </w:pPr>
          </w:p>
          <w:p w14:paraId="2DE9BB1E">
            <w:pPr>
              <w:pStyle w:val="7"/>
              <w:spacing w:before="78" w:line="237" w:lineRule="auto"/>
              <w:ind w:left="216"/>
            </w:pPr>
            <w:r>
              <w:t>●</w:t>
            </w:r>
          </w:p>
        </w:tc>
        <w:tc>
          <w:tcPr>
            <w:tcW w:w="597" w:type="dxa"/>
            <w:vAlign w:val="top"/>
          </w:tcPr>
          <w:p w14:paraId="16B6D32F">
            <w:pPr>
              <w:spacing w:line="252" w:lineRule="auto"/>
              <w:rPr>
                <w:rFonts w:ascii="Arial"/>
                <w:sz w:val="21"/>
              </w:rPr>
            </w:pPr>
          </w:p>
          <w:p w14:paraId="2A2E5129">
            <w:pPr>
              <w:pStyle w:val="7"/>
              <w:spacing w:before="78" w:line="238" w:lineRule="auto"/>
              <w:ind w:left="203"/>
            </w:pPr>
            <w:r>
              <w:t>△</w:t>
            </w:r>
          </w:p>
        </w:tc>
        <w:tc>
          <w:tcPr>
            <w:tcW w:w="600" w:type="dxa"/>
            <w:vAlign w:val="top"/>
          </w:tcPr>
          <w:p w14:paraId="4DD5718C">
            <w:pPr>
              <w:spacing w:line="252" w:lineRule="auto"/>
              <w:rPr>
                <w:rFonts w:ascii="Arial"/>
                <w:sz w:val="21"/>
              </w:rPr>
            </w:pPr>
          </w:p>
          <w:p w14:paraId="6B6CBB20">
            <w:pPr>
              <w:pStyle w:val="7"/>
              <w:spacing w:before="78" w:line="238" w:lineRule="auto"/>
              <w:ind w:left="204"/>
            </w:pPr>
            <w:r>
              <w:t>△</w:t>
            </w:r>
          </w:p>
        </w:tc>
        <w:tc>
          <w:tcPr>
            <w:tcW w:w="856" w:type="dxa"/>
            <w:vAlign w:val="top"/>
          </w:tcPr>
          <w:p w14:paraId="244BA9ED">
            <w:pPr>
              <w:spacing w:line="252" w:lineRule="auto"/>
              <w:rPr>
                <w:rFonts w:ascii="Arial"/>
                <w:sz w:val="21"/>
              </w:rPr>
            </w:pPr>
          </w:p>
          <w:p w14:paraId="0F857BCF">
            <w:pPr>
              <w:pStyle w:val="7"/>
              <w:spacing w:before="78" w:line="238" w:lineRule="auto"/>
              <w:ind w:left="334"/>
            </w:pPr>
            <w:r>
              <w:t>△</w:t>
            </w:r>
          </w:p>
        </w:tc>
        <w:tc>
          <w:tcPr>
            <w:tcW w:w="505" w:type="dxa"/>
            <w:tcBorders>
              <w:right w:val="single" w:color="000000" w:sz="4" w:space="0"/>
            </w:tcBorders>
            <w:vAlign w:val="top"/>
          </w:tcPr>
          <w:p w14:paraId="02F1B6FB">
            <w:pPr>
              <w:spacing w:line="61" w:lineRule="exact"/>
              <w:ind w:right="4"/>
              <w:jc w:val="right"/>
            </w:pPr>
            <w:r>
              <w:rPr>
                <w:position w:val="-1"/>
              </w:rPr>
              <w:drawing>
                <wp:inline distT="0" distB="0" distL="0" distR="0">
                  <wp:extent cx="17780" cy="38735"/>
                  <wp:effectExtent l="0" t="0" r="0" b="0"/>
                  <wp:docPr id="906" name="IM 906"/>
                  <wp:cNvGraphicFramePr/>
                  <a:graphic xmlns:a="http://schemas.openxmlformats.org/drawingml/2006/main">
                    <a:graphicData uri="http://schemas.openxmlformats.org/drawingml/2006/picture">
                      <pic:pic xmlns:pic="http://schemas.openxmlformats.org/drawingml/2006/picture">
                        <pic:nvPicPr>
                          <pic:cNvPr id="906" name="IM 906"/>
                          <pic:cNvPicPr/>
                        </pic:nvPicPr>
                        <pic:blipFill>
                          <a:blip r:embed="rId476"/>
                          <a:stretch>
                            <a:fillRect/>
                          </a:stretch>
                        </pic:blipFill>
                        <pic:spPr>
                          <a:xfrm>
                            <a:off x="0" y="0"/>
                            <a:ext cx="18287" cy="38862"/>
                          </a:xfrm>
                          <a:prstGeom prst="rect">
                            <a:avLst/>
                          </a:prstGeom>
                        </pic:spPr>
                      </pic:pic>
                    </a:graphicData>
                  </a:graphic>
                </wp:inline>
              </w:drawing>
            </w:r>
          </w:p>
          <w:p w14:paraId="7D4B0159">
            <w:pPr>
              <w:pStyle w:val="7"/>
              <w:spacing w:before="270" w:line="238" w:lineRule="auto"/>
              <w:ind w:left="147"/>
            </w:pPr>
            <w:r>
              <w:t>△</w:t>
            </w:r>
          </w:p>
        </w:tc>
      </w:tr>
      <w:tr w14:paraId="70136D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53" w:hRule="atLeast"/>
        </w:trPr>
        <w:tc>
          <w:tcPr>
            <w:tcW w:w="620" w:type="dxa"/>
            <w:tcBorders>
              <w:left w:val="single" w:color="000000" w:sz="4" w:space="0"/>
            </w:tcBorders>
            <w:vAlign w:val="top"/>
          </w:tcPr>
          <w:p w14:paraId="32A48AE9">
            <w:pPr>
              <w:spacing w:line="254" w:lineRule="auto"/>
              <w:rPr>
                <w:rFonts w:ascii="Arial"/>
                <w:sz w:val="21"/>
              </w:rPr>
            </w:pPr>
          </w:p>
          <w:p w14:paraId="38EFBA29">
            <w:pPr>
              <w:pStyle w:val="7"/>
              <w:spacing w:before="78" w:line="237" w:lineRule="auto"/>
              <w:ind w:left="269"/>
            </w:pPr>
            <w:r>
              <w:t>5</w:t>
            </w:r>
          </w:p>
        </w:tc>
        <w:tc>
          <w:tcPr>
            <w:tcW w:w="1376" w:type="dxa"/>
            <w:vAlign w:val="top"/>
          </w:tcPr>
          <w:p w14:paraId="683A906A">
            <w:pPr>
              <w:pStyle w:val="7"/>
              <w:spacing w:before="98" w:line="218" w:lineRule="auto"/>
              <w:ind w:left="151"/>
            </w:pPr>
            <w:r>
              <w:rPr>
                <w:spacing w:val="-17"/>
              </w:rPr>
              <w:t>环境管理方</w:t>
            </w:r>
          </w:p>
          <w:p w14:paraId="45257E2D">
            <w:pPr>
              <w:pStyle w:val="7"/>
              <w:spacing w:before="184" w:line="219" w:lineRule="auto"/>
              <w:ind w:left="586"/>
            </w:pPr>
            <w:r>
              <w:t>案</w:t>
            </w:r>
          </w:p>
        </w:tc>
        <w:tc>
          <w:tcPr>
            <w:tcW w:w="514" w:type="dxa"/>
            <w:vAlign w:val="top"/>
          </w:tcPr>
          <w:p w14:paraId="6FB5175F">
            <w:pPr>
              <w:rPr>
                <w:rFonts w:ascii="Arial"/>
                <w:sz w:val="21"/>
              </w:rPr>
            </w:pPr>
          </w:p>
        </w:tc>
        <w:tc>
          <w:tcPr>
            <w:tcW w:w="597" w:type="dxa"/>
            <w:vAlign w:val="top"/>
          </w:tcPr>
          <w:p w14:paraId="5347C3A9">
            <w:pPr>
              <w:spacing w:line="254" w:lineRule="auto"/>
              <w:rPr>
                <w:rFonts w:ascii="Arial"/>
                <w:sz w:val="21"/>
              </w:rPr>
            </w:pPr>
          </w:p>
          <w:p w14:paraId="2D4991B2">
            <w:pPr>
              <w:pStyle w:val="7"/>
              <w:spacing w:before="78" w:line="236" w:lineRule="auto"/>
              <w:ind w:left="213"/>
            </w:pPr>
            <w:r>
              <w:t>○</w:t>
            </w:r>
          </w:p>
        </w:tc>
        <w:tc>
          <w:tcPr>
            <w:tcW w:w="597" w:type="dxa"/>
            <w:vAlign w:val="top"/>
          </w:tcPr>
          <w:p w14:paraId="75C2DD5A">
            <w:pPr>
              <w:rPr>
                <w:rFonts w:ascii="Arial"/>
                <w:sz w:val="21"/>
              </w:rPr>
            </w:pPr>
          </w:p>
        </w:tc>
        <w:tc>
          <w:tcPr>
            <w:tcW w:w="597" w:type="dxa"/>
            <w:vAlign w:val="top"/>
          </w:tcPr>
          <w:p w14:paraId="486608E2">
            <w:pPr>
              <w:rPr>
                <w:rFonts w:ascii="Arial"/>
                <w:sz w:val="21"/>
              </w:rPr>
            </w:pPr>
          </w:p>
        </w:tc>
        <w:tc>
          <w:tcPr>
            <w:tcW w:w="595" w:type="dxa"/>
            <w:vAlign w:val="top"/>
          </w:tcPr>
          <w:p w14:paraId="783E85A0">
            <w:pPr>
              <w:spacing w:line="253" w:lineRule="auto"/>
              <w:rPr>
                <w:rFonts w:ascii="Arial"/>
                <w:sz w:val="21"/>
              </w:rPr>
            </w:pPr>
          </w:p>
          <w:p w14:paraId="5A156BA6">
            <w:pPr>
              <w:pStyle w:val="7"/>
              <w:spacing w:before="78" w:line="238" w:lineRule="auto"/>
              <w:ind w:left="199"/>
            </w:pPr>
            <w:r>
              <w:t>△</w:t>
            </w:r>
          </w:p>
        </w:tc>
        <w:tc>
          <w:tcPr>
            <w:tcW w:w="597" w:type="dxa"/>
            <w:gridSpan w:val="2"/>
            <w:vAlign w:val="top"/>
          </w:tcPr>
          <w:p w14:paraId="0635B2C3">
            <w:pPr>
              <w:spacing w:line="253" w:lineRule="auto"/>
              <w:rPr>
                <w:rFonts w:ascii="Arial"/>
                <w:sz w:val="21"/>
              </w:rPr>
            </w:pPr>
          </w:p>
          <w:p w14:paraId="3907629E">
            <w:pPr>
              <w:pStyle w:val="7"/>
              <w:spacing w:before="78" w:line="238" w:lineRule="auto"/>
              <w:ind w:left="202"/>
            </w:pPr>
            <w:r>
              <w:t>△</w:t>
            </w:r>
          </w:p>
        </w:tc>
        <w:tc>
          <w:tcPr>
            <w:tcW w:w="597" w:type="dxa"/>
            <w:vAlign w:val="top"/>
          </w:tcPr>
          <w:p w14:paraId="51FEF43D">
            <w:pPr>
              <w:spacing w:line="254" w:lineRule="auto"/>
              <w:rPr>
                <w:rFonts w:ascii="Arial"/>
                <w:sz w:val="21"/>
              </w:rPr>
            </w:pPr>
          </w:p>
          <w:p w14:paraId="245245B5">
            <w:pPr>
              <w:pStyle w:val="7"/>
              <w:spacing w:before="78" w:line="237" w:lineRule="auto"/>
              <w:ind w:left="216"/>
            </w:pPr>
            <w:r>
              <w:t>●</w:t>
            </w:r>
          </w:p>
        </w:tc>
        <w:tc>
          <w:tcPr>
            <w:tcW w:w="597" w:type="dxa"/>
            <w:vAlign w:val="top"/>
          </w:tcPr>
          <w:p w14:paraId="353CC027">
            <w:pPr>
              <w:spacing w:line="253" w:lineRule="auto"/>
              <w:rPr>
                <w:rFonts w:ascii="Arial"/>
                <w:sz w:val="21"/>
              </w:rPr>
            </w:pPr>
          </w:p>
          <w:p w14:paraId="4E2AB8F8">
            <w:pPr>
              <w:pStyle w:val="7"/>
              <w:spacing w:before="78" w:line="238" w:lineRule="auto"/>
              <w:ind w:left="203"/>
            </w:pPr>
            <w:r>
              <w:t>△</w:t>
            </w:r>
          </w:p>
        </w:tc>
        <w:tc>
          <w:tcPr>
            <w:tcW w:w="600" w:type="dxa"/>
            <w:vAlign w:val="top"/>
          </w:tcPr>
          <w:p w14:paraId="5D27E110">
            <w:pPr>
              <w:spacing w:line="253" w:lineRule="auto"/>
              <w:rPr>
                <w:rFonts w:ascii="Arial"/>
                <w:sz w:val="21"/>
              </w:rPr>
            </w:pPr>
          </w:p>
          <w:p w14:paraId="36ADD5CA">
            <w:pPr>
              <w:pStyle w:val="7"/>
              <w:spacing w:before="78" w:line="238" w:lineRule="auto"/>
              <w:ind w:left="204"/>
            </w:pPr>
            <w:r>
              <w:t>△</w:t>
            </w:r>
          </w:p>
        </w:tc>
        <w:tc>
          <w:tcPr>
            <w:tcW w:w="856" w:type="dxa"/>
            <w:vAlign w:val="top"/>
          </w:tcPr>
          <w:p w14:paraId="225843C7">
            <w:pPr>
              <w:spacing w:line="253" w:lineRule="auto"/>
              <w:rPr>
                <w:rFonts w:ascii="Arial"/>
                <w:sz w:val="21"/>
              </w:rPr>
            </w:pPr>
          </w:p>
          <w:p w14:paraId="374A94FD">
            <w:pPr>
              <w:pStyle w:val="7"/>
              <w:spacing w:before="78" w:line="238" w:lineRule="auto"/>
              <w:ind w:left="334"/>
            </w:pPr>
            <w:r>
              <w:t>△</w:t>
            </w:r>
          </w:p>
        </w:tc>
        <w:tc>
          <w:tcPr>
            <w:tcW w:w="505" w:type="dxa"/>
            <w:tcBorders>
              <w:right w:val="single" w:color="000000" w:sz="4" w:space="0"/>
            </w:tcBorders>
            <w:vAlign w:val="top"/>
          </w:tcPr>
          <w:p w14:paraId="615ADD95">
            <w:pPr>
              <w:spacing w:line="62" w:lineRule="exact"/>
              <w:ind w:right="4"/>
              <w:jc w:val="right"/>
            </w:pPr>
            <w:r>
              <w:rPr>
                <w:position w:val="-1"/>
              </w:rPr>
              <w:drawing>
                <wp:inline distT="0" distB="0" distL="0" distR="0">
                  <wp:extent cx="17780" cy="39370"/>
                  <wp:effectExtent l="0" t="0" r="0" b="0"/>
                  <wp:docPr id="908" name="IM 908"/>
                  <wp:cNvGraphicFramePr/>
                  <a:graphic xmlns:a="http://schemas.openxmlformats.org/drawingml/2006/main">
                    <a:graphicData uri="http://schemas.openxmlformats.org/drawingml/2006/picture">
                      <pic:pic xmlns:pic="http://schemas.openxmlformats.org/drawingml/2006/picture">
                        <pic:nvPicPr>
                          <pic:cNvPr id="908" name="IM 908"/>
                          <pic:cNvPicPr/>
                        </pic:nvPicPr>
                        <pic:blipFill>
                          <a:blip r:embed="rId449"/>
                          <a:stretch>
                            <a:fillRect/>
                          </a:stretch>
                        </pic:blipFill>
                        <pic:spPr>
                          <a:xfrm>
                            <a:off x="0" y="0"/>
                            <a:ext cx="18287" cy="39624"/>
                          </a:xfrm>
                          <a:prstGeom prst="rect">
                            <a:avLst/>
                          </a:prstGeom>
                        </pic:spPr>
                      </pic:pic>
                    </a:graphicData>
                  </a:graphic>
                </wp:inline>
              </w:drawing>
            </w:r>
          </w:p>
          <w:p w14:paraId="08DE4312">
            <w:pPr>
              <w:pStyle w:val="7"/>
              <w:spacing w:before="270" w:line="238" w:lineRule="auto"/>
              <w:ind w:left="147"/>
            </w:pPr>
            <w:r>
              <w:t>△</w:t>
            </w:r>
          </w:p>
        </w:tc>
      </w:tr>
      <w:tr w14:paraId="34DB98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57" w:hRule="atLeast"/>
        </w:trPr>
        <w:tc>
          <w:tcPr>
            <w:tcW w:w="620" w:type="dxa"/>
            <w:tcBorders>
              <w:left w:val="single" w:color="000000" w:sz="4" w:space="0"/>
            </w:tcBorders>
            <w:vAlign w:val="top"/>
          </w:tcPr>
          <w:p w14:paraId="1484D9EF">
            <w:pPr>
              <w:spacing w:line="256" w:lineRule="auto"/>
              <w:rPr>
                <w:rFonts w:ascii="Arial"/>
                <w:sz w:val="21"/>
              </w:rPr>
            </w:pPr>
          </w:p>
          <w:p w14:paraId="0A6AB214">
            <w:pPr>
              <w:pStyle w:val="7"/>
              <w:spacing w:before="78" w:line="237" w:lineRule="auto"/>
              <w:ind w:left="266"/>
            </w:pPr>
            <w:r>
              <w:t>6</w:t>
            </w:r>
          </w:p>
        </w:tc>
        <w:tc>
          <w:tcPr>
            <w:tcW w:w="1376" w:type="dxa"/>
            <w:vAlign w:val="top"/>
          </w:tcPr>
          <w:p w14:paraId="625D4507">
            <w:pPr>
              <w:pStyle w:val="7"/>
              <w:spacing w:before="100" w:line="362" w:lineRule="auto"/>
              <w:ind w:left="367" w:right="234" w:hanging="107"/>
            </w:pPr>
            <w:r>
              <w:rPr>
                <w:spacing w:val="-22"/>
              </w:rPr>
              <w:t>组织结构</w:t>
            </w:r>
            <w:r>
              <w:rPr>
                <w:spacing w:val="-14"/>
              </w:rPr>
              <w:t>和职责</w:t>
            </w:r>
          </w:p>
        </w:tc>
        <w:tc>
          <w:tcPr>
            <w:tcW w:w="514" w:type="dxa"/>
            <w:vAlign w:val="top"/>
          </w:tcPr>
          <w:p w14:paraId="35C55899">
            <w:pPr>
              <w:spacing w:line="256" w:lineRule="auto"/>
              <w:rPr>
                <w:rFonts w:ascii="Arial"/>
                <w:sz w:val="21"/>
              </w:rPr>
            </w:pPr>
          </w:p>
          <w:p w14:paraId="141AF655">
            <w:pPr>
              <w:pStyle w:val="7"/>
              <w:spacing w:before="78" w:line="237" w:lineRule="auto"/>
              <w:ind w:left="169"/>
            </w:pPr>
            <w:r>
              <w:t>●</w:t>
            </w:r>
          </w:p>
        </w:tc>
        <w:tc>
          <w:tcPr>
            <w:tcW w:w="597" w:type="dxa"/>
            <w:vAlign w:val="top"/>
          </w:tcPr>
          <w:p w14:paraId="0FA8436F">
            <w:pPr>
              <w:rPr>
                <w:rFonts w:ascii="Arial"/>
                <w:sz w:val="21"/>
              </w:rPr>
            </w:pPr>
          </w:p>
        </w:tc>
        <w:tc>
          <w:tcPr>
            <w:tcW w:w="597" w:type="dxa"/>
            <w:vAlign w:val="top"/>
          </w:tcPr>
          <w:p w14:paraId="00AE9BAC">
            <w:pPr>
              <w:rPr>
                <w:rFonts w:ascii="Arial"/>
                <w:sz w:val="21"/>
              </w:rPr>
            </w:pPr>
          </w:p>
        </w:tc>
        <w:tc>
          <w:tcPr>
            <w:tcW w:w="597" w:type="dxa"/>
            <w:vAlign w:val="top"/>
          </w:tcPr>
          <w:p w14:paraId="307ECC39">
            <w:pPr>
              <w:rPr>
                <w:rFonts w:ascii="Arial"/>
                <w:sz w:val="21"/>
              </w:rPr>
            </w:pPr>
          </w:p>
        </w:tc>
        <w:tc>
          <w:tcPr>
            <w:tcW w:w="595" w:type="dxa"/>
            <w:vAlign w:val="top"/>
          </w:tcPr>
          <w:p w14:paraId="36935A23">
            <w:pPr>
              <w:rPr>
                <w:rFonts w:ascii="Arial"/>
                <w:sz w:val="21"/>
              </w:rPr>
            </w:pPr>
          </w:p>
        </w:tc>
        <w:tc>
          <w:tcPr>
            <w:tcW w:w="597" w:type="dxa"/>
            <w:gridSpan w:val="2"/>
            <w:vAlign w:val="top"/>
          </w:tcPr>
          <w:p w14:paraId="3174ECF2">
            <w:pPr>
              <w:spacing w:line="256" w:lineRule="auto"/>
              <w:rPr>
                <w:rFonts w:ascii="Arial"/>
                <w:sz w:val="21"/>
              </w:rPr>
            </w:pPr>
          </w:p>
          <w:p w14:paraId="5235F59F">
            <w:pPr>
              <w:pStyle w:val="7"/>
              <w:spacing w:before="78" w:line="238" w:lineRule="auto"/>
              <w:ind w:left="202"/>
            </w:pPr>
            <w:r>
              <w:t>△</w:t>
            </w:r>
          </w:p>
        </w:tc>
        <w:tc>
          <w:tcPr>
            <w:tcW w:w="597" w:type="dxa"/>
            <w:vAlign w:val="top"/>
          </w:tcPr>
          <w:p w14:paraId="61544EE0">
            <w:pPr>
              <w:spacing w:line="256" w:lineRule="auto"/>
              <w:rPr>
                <w:rFonts w:ascii="Arial"/>
                <w:sz w:val="21"/>
              </w:rPr>
            </w:pPr>
          </w:p>
          <w:p w14:paraId="770F5E25">
            <w:pPr>
              <w:pStyle w:val="7"/>
              <w:spacing w:before="78" w:line="238" w:lineRule="auto"/>
              <w:ind w:left="202"/>
            </w:pPr>
            <w:r>
              <w:t>△</w:t>
            </w:r>
          </w:p>
        </w:tc>
        <w:tc>
          <w:tcPr>
            <w:tcW w:w="597" w:type="dxa"/>
            <w:vAlign w:val="top"/>
          </w:tcPr>
          <w:p w14:paraId="1BD717BF">
            <w:pPr>
              <w:spacing w:line="256" w:lineRule="auto"/>
              <w:rPr>
                <w:rFonts w:ascii="Arial"/>
                <w:sz w:val="21"/>
              </w:rPr>
            </w:pPr>
          </w:p>
          <w:p w14:paraId="324C1896">
            <w:pPr>
              <w:pStyle w:val="7"/>
              <w:spacing w:before="78" w:line="238" w:lineRule="auto"/>
              <w:ind w:left="203"/>
            </w:pPr>
            <w:r>
              <w:t>△</w:t>
            </w:r>
          </w:p>
        </w:tc>
        <w:tc>
          <w:tcPr>
            <w:tcW w:w="600" w:type="dxa"/>
            <w:vAlign w:val="top"/>
          </w:tcPr>
          <w:p w14:paraId="5ABBDEC0">
            <w:pPr>
              <w:spacing w:line="256" w:lineRule="auto"/>
              <w:rPr>
                <w:rFonts w:ascii="Arial"/>
                <w:sz w:val="21"/>
              </w:rPr>
            </w:pPr>
          </w:p>
          <w:p w14:paraId="4D1DC190">
            <w:pPr>
              <w:pStyle w:val="7"/>
              <w:spacing w:before="78" w:line="238" w:lineRule="auto"/>
              <w:ind w:left="204"/>
            </w:pPr>
            <w:r>
              <w:t>△</w:t>
            </w:r>
          </w:p>
        </w:tc>
        <w:tc>
          <w:tcPr>
            <w:tcW w:w="856" w:type="dxa"/>
            <w:vAlign w:val="top"/>
          </w:tcPr>
          <w:p w14:paraId="5322E85E">
            <w:pPr>
              <w:spacing w:line="256" w:lineRule="auto"/>
              <w:rPr>
                <w:rFonts w:ascii="Arial"/>
                <w:sz w:val="21"/>
              </w:rPr>
            </w:pPr>
          </w:p>
          <w:p w14:paraId="0B612E3E">
            <w:pPr>
              <w:pStyle w:val="7"/>
              <w:spacing w:before="78" w:line="238" w:lineRule="auto"/>
              <w:ind w:left="334"/>
            </w:pPr>
            <w:r>
              <w:t>△</w:t>
            </w:r>
          </w:p>
        </w:tc>
        <w:tc>
          <w:tcPr>
            <w:tcW w:w="505" w:type="dxa"/>
            <w:tcBorders>
              <w:right w:val="single" w:color="000000" w:sz="4" w:space="0"/>
            </w:tcBorders>
            <w:vAlign w:val="top"/>
          </w:tcPr>
          <w:p w14:paraId="7DE0E553">
            <w:pPr>
              <w:spacing w:line="62" w:lineRule="exact"/>
              <w:ind w:right="4"/>
              <w:jc w:val="right"/>
            </w:pPr>
            <w:r>
              <w:rPr>
                <w:position w:val="-1"/>
              </w:rPr>
              <w:drawing>
                <wp:inline distT="0" distB="0" distL="0" distR="0">
                  <wp:extent cx="17780" cy="39370"/>
                  <wp:effectExtent l="0" t="0" r="0" b="0"/>
                  <wp:docPr id="910" name="IM 910"/>
                  <wp:cNvGraphicFramePr/>
                  <a:graphic xmlns:a="http://schemas.openxmlformats.org/drawingml/2006/main">
                    <a:graphicData uri="http://schemas.openxmlformats.org/drawingml/2006/picture">
                      <pic:pic xmlns:pic="http://schemas.openxmlformats.org/drawingml/2006/picture">
                        <pic:nvPicPr>
                          <pic:cNvPr id="910" name="IM 910"/>
                          <pic:cNvPicPr/>
                        </pic:nvPicPr>
                        <pic:blipFill>
                          <a:blip r:embed="rId475"/>
                          <a:stretch>
                            <a:fillRect/>
                          </a:stretch>
                        </pic:blipFill>
                        <pic:spPr>
                          <a:xfrm>
                            <a:off x="0" y="0"/>
                            <a:ext cx="18287" cy="39878"/>
                          </a:xfrm>
                          <a:prstGeom prst="rect">
                            <a:avLst/>
                          </a:prstGeom>
                        </pic:spPr>
                      </pic:pic>
                    </a:graphicData>
                  </a:graphic>
                </wp:inline>
              </w:drawing>
            </w:r>
          </w:p>
          <w:p w14:paraId="0997D09B">
            <w:pPr>
              <w:pStyle w:val="7"/>
              <w:spacing w:before="273" w:line="238" w:lineRule="auto"/>
              <w:ind w:left="147"/>
            </w:pPr>
            <w:r>
              <w:t>△</w:t>
            </w:r>
          </w:p>
        </w:tc>
      </w:tr>
      <w:tr w14:paraId="015C60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53" w:hRule="atLeast"/>
        </w:trPr>
        <w:tc>
          <w:tcPr>
            <w:tcW w:w="620" w:type="dxa"/>
            <w:tcBorders>
              <w:left w:val="single" w:color="000000" w:sz="4" w:space="0"/>
            </w:tcBorders>
            <w:vAlign w:val="top"/>
          </w:tcPr>
          <w:p w14:paraId="4E2D521A">
            <w:pPr>
              <w:spacing w:line="253" w:lineRule="auto"/>
              <w:rPr>
                <w:rFonts w:ascii="Arial"/>
                <w:sz w:val="21"/>
              </w:rPr>
            </w:pPr>
          </w:p>
          <w:p w14:paraId="7AB68457">
            <w:pPr>
              <w:pStyle w:val="7"/>
              <w:spacing w:before="78" w:line="237" w:lineRule="auto"/>
              <w:ind w:left="270"/>
            </w:pPr>
            <w:r>
              <w:t>7</w:t>
            </w:r>
          </w:p>
        </w:tc>
        <w:tc>
          <w:tcPr>
            <w:tcW w:w="1376" w:type="dxa"/>
            <w:vAlign w:val="top"/>
          </w:tcPr>
          <w:p w14:paraId="37CF43DB">
            <w:pPr>
              <w:pStyle w:val="7"/>
              <w:spacing w:before="100" w:line="361" w:lineRule="auto"/>
              <w:ind w:left="367" w:right="124" w:hanging="215"/>
            </w:pPr>
            <w:r>
              <w:rPr>
                <w:spacing w:val="-22"/>
              </w:rPr>
              <w:t>培训、意识</w:t>
            </w:r>
            <w:r>
              <w:rPr>
                <w:spacing w:val="-14"/>
              </w:rPr>
              <w:t>和能力</w:t>
            </w:r>
          </w:p>
        </w:tc>
        <w:tc>
          <w:tcPr>
            <w:tcW w:w="514" w:type="dxa"/>
            <w:vAlign w:val="top"/>
          </w:tcPr>
          <w:p w14:paraId="220D5D99">
            <w:pPr>
              <w:rPr>
                <w:rFonts w:ascii="Arial"/>
                <w:sz w:val="21"/>
              </w:rPr>
            </w:pPr>
          </w:p>
        </w:tc>
        <w:tc>
          <w:tcPr>
            <w:tcW w:w="597" w:type="dxa"/>
            <w:vAlign w:val="top"/>
          </w:tcPr>
          <w:p w14:paraId="38099F83">
            <w:pPr>
              <w:rPr>
                <w:rFonts w:ascii="Arial"/>
                <w:sz w:val="21"/>
              </w:rPr>
            </w:pPr>
          </w:p>
        </w:tc>
        <w:tc>
          <w:tcPr>
            <w:tcW w:w="597" w:type="dxa"/>
            <w:vAlign w:val="top"/>
          </w:tcPr>
          <w:p w14:paraId="66E9DD88">
            <w:pPr>
              <w:spacing w:line="253" w:lineRule="auto"/>
              <w:rPr>
                <w:rFonts w:ascii="Arial"/>
                <w:sz w:val="21"/>
              </w:rPr>
            </w:pPr>
          </w:p>
          <w:p w14:paraId="2BAB1F01">
            <w:pPr>
              <w:pStyle w:val="7"/>
              <w:spacing w:before="78" w:line="236" w:lineRule="auto"/>
              <w:ind w:left="211"/>
            </w:pPr>
            <w:r>
              <w:t>○</w:t>
            </w:r>
          </w:p>
        </w:tc>
        <w:tc>
          <w:tcPr>
            <w:tcW w:w="597" w:type="dxa"/>
            <w:vAlign w:val="top"/>
          </w:tcPr>
          <w:p w14:paraId="1227C924">
            <w:pPr>
              <w:spacing w:line="253" w:lineRule="auto"/>
              <w:rPr>
                <w:rFonts w:ascii="Arial"/>
                <w:sz w:val="21"/>
              </w:rPr>
            </w:pPr>
          </w:p>
          <w:p w14:paraId="5F6693F7">
            <w:pPr>
              <w:pStyle w:val="7"/>
              <w:spacing w:before="78" w:line="236" w:lineRule="auto"/>
              <w:ind w:left="214"/>
            </w:pPr>
            <w:r>
              <w:t>○</w:t>
            </w:r>
          </w:p>
        </w:tc>
        <w:tc>
          <w:tcPr>
            <w:tcW w:w="595" w:type="dxa"/>
            <w:vAlign w:val="top"/>
          </w:tcPr>
          <w:p w14:paraId="3BFD3935">
            <w:pPr>
              <w:rPr>
                <w:rFonts w:ascii="Arial"/>
                <w:sz w:val="21"/>
              </w:rPr>
            </w:pPr>
          </w:p>
        </w:tc>
        <w:tc>
          <w:tcPr>
            <w:tcW w:w="597" w:type="dxa"/>
            <w:gridSpan w:val="2"/>
            <w:vAlign w:val="top"/>
          </w:tcPr>
          <w:p w14:paraId="093734D9">
            <w:pPr>
              <w:spacing w:line="252" w:lineRule="auto"/>
              <w:rPr>
                <w:rFonts w:ascii="Arial"/>
                <w:sz w:val="21"/>
              </w:rPr>
            </w:pPr>
          </w:p>
          <w:p w14:paraId="6B6D4083">
            <w:pPr>
              <w:pStyle w:val="7"/>
              <w:spacing w:before="78" w:line="238" w:lineRule="auto"/>
              <w:ind w:left="202"/>
            </w:pPr>
            <w:r>
              <w:t>△</w:t>
            </w:r>
          </w:p>
        </w:tc>
        <w:tc>
          <w:tcPr>
            <w:tcW w:w="597" w:type="dxa"/>
            <w:vAlign w:val="top"/>
          </w:tcPr>
          <w:p w14:paraId="6DA0FAD4">
            <w:pPr>
              <w:spacing w:line="252" w:lineRule="auto"/>
              <w:rPr>
                <w:rFonts w:ascii="Arial"/>
                <w:sz w:val="21"/>
              </w:rPr>
            </w:pPr>
          </w:p>
          <w:p w14:paraId="538FE229">
            <w:pPr>
              <w:pStyle w:val="7"/>
              <w:spacing w:before="78" w:line="238" w:lineRule="auto"/>
              <w:ind w:left="202"/>
            </w:pPr>
            <w:r>
              <w:t>△</w:t>
            </w:r>
          </w:p>
        </w:tc>
        <w:tc>
          <w:tcPr>
            <w:tcW w:w="597" w:type="dxa"/>
            <w:vAlign w:val="top"/>
          </w:tcPr>
          <w:p w14:paraId="62FA0534">
            <w:pPr>
              <w:spacing w:line="252" w:lineRule="auto"/>
              <w:rPr>
                <w:rFonts w:ascii="Arial"/>
                <w:sz w:val="21"/>
              </w:rPr>
            </w:pPr>
          </w:p>
          <w:p w14:paraId="45E1A568">
            <w:pPr>
              <w:pStyle w:val="7"/>
              <w:spacing w:before="78" w:line="238" w:lineRule="auto"/>
              <w:ind w:left="203"/>
            </w:pPr>
            <w:r>
              <w:t>△</w:t>
            </w:r>
          </w:p>
        </w:tc>
        <w:tc>
          <w:tcPr>
            <w:tcW w:w="600" w:type="dxa"/>
            <w:vAlign w:val="top"/>
          </w:tcPr>
          <w:p w14:paraId="1FC343A9">
            <w:pPr>
              <w:spacing w:line="252" w:lineRule="auto"/>
              <w:rPr>
                <w:rFonts w:ascii="Arial"/>
                <w:sz w:val="21"/>
              </w:rPr>
            </w:pPr>
          </w:p>
          <w:p w14:paraId="2F9A1407">
            <w:pPr>
              <w:pStyle w:val="7"/>
              <w:spacing w:before="78" w:line="238" w:lineRule="auto"/>
              <w:ind w:left="204"/>
            </w:pPr>
            <w:r>
              <w:t>△</w:t>
            </w:r>
          </w:p>
        </w:tc>
        <w:tc>
          <w:tcPr>
            <w:tcW w:w="856" w:type="dxa"/>
            <w:vAlign w:val="top"/>
          </w:tcPr>
          <w:p w14:paraId="034C55B4">
            <w:pPr>
              <w:spacing w:line="253" w:lineRule="auto"/>
              <w:rPr>
                <w:rFonts w:ascii="Arial"/>
                <w:sz w:val="21"/>
              </w:rPr>
            </w:pPr>
          </w:p>
          <w:p w14:paraId="659894FF">
            <w:pPr>
              <w:pStyle w:val="7"/>
              <w:spacing w:before="78" w:line="237" w:lineRule="auto"/>
              <w:ind w:left="347"/>
            </w:pPr>
            <w:r>
              <w:t>●</w:t>
            </w:r>
          </w:p>
        </w:tc>
        <w:tc>
          <w:tcPr>
            <w:tcW w:w="505" w:type="dxa"/>
            <w:tcBorders>
              <w:right w:val="single" w:color="000000" w:sz="4" w:space="0"/>
            </w:tcBorders>
            <w:vAlign w:val="top"/>
          </w:tcPr>
          <w:p w14:paraId="3EC086BB">
            <w:pPr>
              <w:spacing w:line="64" w:lineRule="exact"/>
              <w:ind w:right="4"/>
              <w:jc w:val="right"/>
            </w:pPr>
            <w:r>
              <w:rPr>
                <w:position w:val="-1"/>
              </w:rPr>
              <w:drawing>
                <wp:inline distT="0" distB="0" distL="0" distR="0">
                  <wp:extent cx="17780" cy="40640"/>
                  <wp:effectExtent l="0" t="0" r="0" b="0"/>
                  <wp:docPr id="912" name="IM 912"/>
                  <wp:cNvGraphicFramePr/>
                  <a:graphic xmlns:a="http://schemas.openxmlformats.org/drawingml/2006/main">
                    <a:graphicData uri="http://schemas.openxmlformats.org/drawingml/2006/picture">
                      <pic:pic xmlns:pic="http://schemas.openxmlformats.org/drawingml/2006/picture">
                        <pic:nvPicPr>
                          <pic:cNvPr id="912" name="IM 912"/>
                          <pic:cNvPicPr/>
                        </pic:nvPicPr>
                        <pic:blipFill>
                          <a:blip r:embed="rId636"/>
                          <a:stretch>
                            <a:fillRect/>
                          </a:stretch>
                        </pic:blipFill>
                        <pic:spPr>
                          <a:xfrm>
                            <a:off x="0" y="0"/>
                            <a:ext cx="18287" cy="40640"/>
                          </a:xfrm>
                          <a:prstGeom prst="rect">
                            <a:avLst/>
                          </a:prstGeom>
                        </pic:spPr>
                      </pic:pic>
                    </a:graphicData>
                  </a:graphic>
                </wp:inline>
              </w:drawing>
            </w:r>
          </w:p>
          <w:p w14:paraId="2BA9AD4F">
            <w:pPr>
              <w:pStyle w:val="7"/>
              <w:spacing w:before="268" w:line="238" w:lineRule="auto"/>
              <w:ind w:left="147"/>
            </w:pPr>
            <w:r>
              <w:t>△</w:t>
            </w:r>
          </w:p>
        </w:tc>
      </w:tr>
      <w:tr w14:paraId="3456E5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0" w:hRule="atLeast"/>
        </w:trPr>
        <w:tc>
          <w:tcPr>
            <w:tcW w:w="620" w:type="dxa"/>
            <w:tcBorders>
              <w:left w:val="single" w:color="000000" w:sz="4" w:space="0"/>
            </w:tcBorders>
            <w:vAlign w:val="top"/>
          </w:tcPr>
          <w:p w14:paraId="5720F1DD">
            <w:pPr>
              <w:pStyle w:val="7"/>
              <w:spacing w:before="103" w:line="237" w:lineRule="auto"/>
              <w:ind w:left="265"/>
            </w:pPr>
            <w:r>
              <w:t>8</w:t>
            </w:r>
          </w:p>
        </w:tc>
        <w:tc>
          <w:tcPr>
            <w:tcW w:w="1376" w:type="dxa"/>
            <w:vAlign w:val="top"/>
          </w:tcPr>
          <w:p w14:paraId="1F7862BC">
            <w:pPr>
              <w:pStyle w:val="7"/>
              <w:spacing w:before="104" w:line="217" w:lineRule="auto"/>
              <w:ind w:left="259"/>
            </w:pPr>
            <w:r>
              <w:rPr>
                <w:spacing w:val="-15"/>
              </w:rPr>
              <w:t>信息交流</w:t>
            </w:r>
          </w:p>
        </w:tc>
        <w:tc>
          <w:tcPr>
            <w:tcW w:w="514" w:type="dxa"/>
            <w:vAlign w:val="top"/>
          </w:tcPr>
          <w:p w14:paraId="76F5F332">
            <w:pPr>
              <w:rPr>
                <w:rFonts w:ascii="Arial"/>
                <w:sz w:val="21"/>
              </w:rPr>
            </w:pPr>
          </w:p>
        </w:tc>
        <w:tc>
          <w:tcPr>
            <w:tcW w:w="597" w:type="dxa"/>
            <w:vAlign w:val="top"/>
          </w:tcPr>
          <w:p w14:paraId="04FC1DA8">
            <w:pPr>
              <w:rPr>
                <w:rFonts w:ascii="Arial"/>
                <w:sz w:val="21"/>
              </w:rPr>
            </w:pPr>
          </w:p>
        </w:tc>
        <w:tc>
          <w:tcPr>
            <w:tcW w:w="597" w:type="dxa"/>
            <w:vAlign w:val="top"/>
          </w:tcPr>
          <w:p w14:paraId="49836DE2">
            <w:pPr>
              <w:pStyle w:val="7"/>
              <w:spacing w:before="103" w:line="236" w:lineRule="auto"/>
              <w:ind w:left="211"/>
            </w:pPr>
            <w:r>
              <w:t>○</w:t>
            </w:r>
          </w:p>
        </w:tc>
        <w:tc>
          <w:tcPr>
            <w:tcW w:w="597" w:type="dxa"/>
            <w:vAlign w:val="top"/>
          </w:tcPr>
          <w:p w14:paraId="55FB6E1B">
            <w:pPr>
              <w:pStyle w:val="7"/>
              <w:spacing w:before="103" w:line="236" w:lineRule="auto"/>
              <w:ind w:left="214"/>
            </w:pPr>
            <w:r>
              <w:t>○</w:t>
            </w:r>
          </w:p>
        </w:tc>
        <w:tc>
          <w:tcPr>
            <w:tcW w:w="595" w:type="dxa"/>
            <w:vAlign w:val="top"/>
          </w:tcPr>
          <w:p w14:paraId="250ADFF8">
            <w:pPr>
              <w:rPr>
                <w:rFonts w:ascii="Arial"/>
                <w:sz w:val="21"/>
              </w:rPr>
            </w:pPr>
          </w:p>
        </w:tc>
        <w:tc>
          <w:tcPr>
            <w:tcW w:w="597" w:type="dxa"/>
            <w:gridSpan w:val="2"/>
            <w:vAlign w:val="top"/>
          </w:tcPr>
          <w:p w14:paraId="4CE81930">
            <w:pPr>
              <w:pStyle w:val="7"/>
              <w:spacing w:before="103" w:line="237" w:lineRule="auto"/>
              <w:ind w:left="215"/>
            </w:pPr>
            <w:r>
              <w:t>●</w:t>
            </w:r>
          </w:p>
        </w:tc>
        <w:tc>
          <w:tcPr>
            <w:tcW w:w="597" w:type="dxa"/>
            <w:vAlign w:val="top"/>
          </w:tcPr>
          <w:p w14:paraId="6FA0D0C3">
            <w:pPr>
              <w:pStyle w:val="7"/>
              <w:spacing w:before="103" w:line="238" w:lineRule="auto"/>
              <w:ind w:left="202"/>
            </w:pPr>
            <w:r>
              <w:t>△</w:t>
            </w:r>
          </w:p>
        </w:tc>
        <w:tc>
          <w:tcPr>
            <w:tcW w:w="597" w:type="dxa"/>
            <w:vAlign w:val="top"/>
          </w:tcPr>
          <w:p w14:paraId="6E137681">
            <w:pPr>
              <w:pStyle w:val="7"/>
              <w:spacing w:before="103" w:line="238" w:lineRule="auto"/>
              <w:ind w:left="203"/>
            </w:pPr>
            <w:r>
              <w:t>△</w:t>
            </w:r>
          </w:p>
        </w:tc>
        <w:tc>
          <w:tcPr>
            <w:tcW w:w="600" w:type="dxa"/>
            <w:vAlign w:val="top"/>
          </w:tcPr>
          <w:p w14:paraId="17A4D44E">
            <w:pPr>
              <w:pStyle w:val="7"/>
              <w:spacing w:before="103" w:line="238" w:lineRule="auto"/>
              <w:ind w:left="204"/>
            </w:pPr>
            <w:r>
              <w:t>△</w:t>
            </w:r>
          </w:p>
        </w:tc>
        <w:tc>
          <w:tcPr>
            <w:tcW w:w="856" w:type="dxa"/>
            <w:vAlign w:val="top"/>
          </w:tcPr>
          <w:p w14:paraId="4018D226">
            <w:pPr>
              <w:pStyle w:val="7"/>
              <w:spacing w:before="103" w:line="238" w:lineRule="auto"/>
              <w:ind w:left="334"/>
            </w:pPr>
            <w:r>
              <w:t>△</w:t>
            </w:r>
          </w:p>
        </w:tc>
        <w:tc>
          <w:tcPr>
            <w:tcW w:w="505" w:type="dxa"/>
            <w:tcBorders>
              <w:right w:val="single" w:color="000000" w:sz="4" w:space="0"/>
            </w:tcBorders>
            <w:vAlign w:val="top"/>
          </w:tcPr>
          <w:p w14:paraId="7878ADD7">
            <w:pPr>
              <w:spacing w:line="64" w:lineRule="exact"/>
              <w:ind w:right="4"/>
              <w:jc w:val="right"/>
            </w:pPr>
            <w:r>
              <w:rPr>
                <w:position w:val="-1"/>
              </w:rPr>
              <w:drawing>
                <wp:inline distT="0" distB="0" distL="0" distR="0">
                  <wp:extent cx="17780" cy="40640"/>
                  <wp:effectExtent l="0" t="0" r="0" b="0"/>
                  <wp:docPr id="914" name="IM 914"/>
                  <wp:cNvGraphicFramePr/>
                  <a:graphic xmlns:a="http://schemas.openxmlformats.org/drawingml/2006/main">
                    <a:graphicData uri="http://schemas.openxmlformats.org/drawingml/2006/picture">
                      <pic:pic xmlns:pic="http://schemas.openxmlformats.org/drawingml/2006/picture">
                        <pic:nvPicPr>
                          <pic:cNvPr id="914" name="IM 914"/>
                          <pic:cNvPicPr/>
                        </pic:nvPicPr>
                        <pic:blipFill>
                          <a:blip r:embed="rId636"/>
                          <a:stretch>
                            <a:fillRect/>
                          </a:stretch>
                        </pic:blipFill>
                        <pic:spPr>
                          <a:xfrm>
                            <a:off x="0" y="0"/>
                            <a:ext cx="18287" cy="40894"/>
                          </a:xfrm>
                          <a:prstGeom prst="rect">
                            <a:avLst/>
                          </a:prstGeom>
                        </pic:spPr>
                      </pic:pic>
                    </a:graphicData>
                  </a:graphic>
                </wp:inline>
              </w:drawing>
            </w:r>
          </w:p>
          <w:p w14:paraId="1CE62424">
            <w:pPr>
              <w:pStyle w:val="7"/>
              <w:spacing w:before="38" w:line="238" w:lineRule="auto"/>
              <w:ind w:left="147"/>
            </w:pPr>
            <w:r>
              <w:t>△</w:t>
            </w:r>
          </w:p>
        </w:tc>
      </w:tr>
      <w:tr w14:paraId="0C0618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1057" w:hRule="atLeast"/>
        </w:trPr>
        <w:tc>
          <w:tcPr>
            <w:tcW w:w="620" w:type="dxa"/>
            <w:tcBorders>
              <w:left w:val="single" w:color="000000" w:sz="4" w:space="0"/>
            </w:tcBorders>
            <w:vAlign w:val="top"/>
          </w:tcPr>
          <w:p w14:paraId="54EB1DB6">
            <w:pPr>
              <w:spacing w:line="256" w:lineRule="auto"/>
              <w:rPr>
                <w:rFonts w:ascii="Arial"/>
                <w:sz w:val="21"/>
              </w:rPr>
            </w:pPr>
          </w:p>
          <w:p w14:paraId="3E4155D6">
            <w:pPr>
              <w:pStyle w:val="7"/>
              <w:spacing w:before="78" w:line="237" w:lineRule="auto"/>
              <w:ind w:left="265"/>
            </w:pPr>
            <w:r>
              <w:t>9</w:t>
            </w:r>
          </w:p>
        </w:tc>
        <w:tc>
          <w:tcPr>
            <w:tcW w:w="1376" w:type="dxa"/>
            <w:vAlign w:val="top"/>
          </w:tcPr>
          <w:p w14:paraId="16B4FC5D">
            <w:pPr>
              <w:pStyle w:val="7"/>
              <w:spacing w:before="104" w:line="361" w:lineRule="auto"/>
              <w:ind w:left="376" w:right="124" w:hanging="225"/>
            </w:pPr>
            <w:r>
              <w:rPr>
                <w:spacing w:val="-21"/>
              </w:rPr>
              <w:t>环境管理体</w:t>
            </w:r>
            <w:r>
              <w:rPr>
                <w:spacing w:val="-16"/>
              </w:rPr>
              <w:t>系文件</w:t>
            </w:r>
          </w:p>
        </w:tc>
        <w:tc>
          <w:tcPr>
            <w:tcW w:w="514" w:type="dxa"/>
            <w:vAlign w:val="top"/>
          </w:tcPr>
          <w:p w14:paraId="652799F7">
            <w:pPr>
              <w:rPr>
                <w:rFonts w:ascii="Arial"/>
                <w:sz w:val="21"/>
              </w:rPr>
            </w:pPr>
          </w:p>
        </w:tc>
        <w:tc>
          <w:tcPr>
            <w:tcW w:w="597" w:type="dxa"/>
            <w:vAlign w:val="top"/>
          </w:tcPr>
          <w:p w14:paraId="56573B86">
            <w:pPr>
              <w:rPr>
                <w:rFonts w:ascii="Arial"/>
                <w:sz w:val="21"/>
              </w:rPr>
            </w:pPr>
          </w:p>
        </w:tc>
        <w:tc>
          <w:tcPr>
            <w:tcW w:w="597" w:type="dxa"/>
            <w:vAlign w:val="top"/>
          </w:tcPr>
          <w:p w14:paraId="206270C7">
            <w:pPr>
              <w:spacing w:line="257" w:lineRule="auto"/>
              <w:rPr>
                <w:rFonts w:ascii="Arial"/>
                <w:sz w:val="21"/>
              </w:rPr>
            </w:pPr>
          </w:p>
          <w:p w14:paraId="71BDDB37">
            <w:pPr>
              <w:pStyle w:val="7"/>
              <w:spacing w:before="78" w:line="236" w:lineRule="auto"/>
              <w:ind w:left="211"/>
            </w:pPr>
            <w:r>
              <w:t>○</w:t>
            </w:r>
          </w:p>
        </w:tc>
        <w:tc>
          <w:tcPr>
            <w:tcW w:w="597" w:type="dxa"/>
            <w:vAlign w:val="top"/>
          </w:tcPr>
          <w:p w14:paraId="5EA6748F">
            <w:pPr>
              <w:spacing w:line="257" w:lineRule="auto"/>
              <w:rPr>
                <w:rFonts w:ascii="Arial"/>
                <w:sz w:val="21"/>
              </w:rPr>
            </w:pPr>
          </w:p>
          <w:p w14:paraId="7E354295">
            <w:pPr>
              <w:pStyle w:val="7"/>
              <w:spacing w:before="78" w:line="236" w:lineRule="auto"/>
              <w:ind w:left="214"/>
            </w:pPr>
            <w:r>
              <w:t>○</w:t>
            </w:r>
          </w:p>
        </w:tc>
        <w:tc>
          <w:tcPr>
            <w:tcW w:w="595" w:type="dxa"/>
            <w:vAlign w:val="top"/>
          </w:tcPr>
          <w:p w14:paraId="0B23F886">
            <w:pPr>
              <w:rPr>
                <w:rFonts w:ascii="Arial"/>
                <w:sz w:val="21"/>
              </w:rPr>
            </w:pPr>
          </w:p>
        </w:tc>
        <w:tc>
          <w:tcPr>
            <w:tcW w:w="597" w:type="dxa"/>
            <w:gridSpan w:val="2"/>
            <w:vAlign w:val="top"/>
          </w:tcPr>
          <w:p w14:paraId="12455AFD">
            <w:pPr>
              <w:spacing w:line="256" w:lineRule="auto"/>
              <w:rPr>
                <w:rFonts w:ascii="Arial"/>
                <w:sz w:val="21"/>
              </w:rPr>
            </w:pPr>
          </w:p>
          <w:p w14:paraId="286EAB8D">
            <w:pPr>
              <w:pStyle w:val="7"/>
              <w:spacing w:before="78" w:line="238" w:lineRule="auto"/>
              <w:ind w:left="202"/>
            </w:pPr>
            <w:r>
              <w:t>△</w:t>
            </w:r>
          </w:p>
        </w:tc>
        <w:tc>
          <w:tcPr>
            <w:tcW w:w="597" w:type="dxa"/>
            <w:vAlign w:val="top"/>
          </w:tcPr>
          <w:p w14:paraId="63AE5717">
            <w:pPr>
              <w:spacing w:line="256" w:lineRule="auto"/>
              <w:rPr>
                <w:rFonts w:ascii="Arial"/>
                <w:sz w:val="21"/>
              </w:rPr>
            </w:pPr>
          </w:p>
          <w:p w14:paraId="6604A7F5">
            <w:pPr>
              <w:pStyle w:val="7"/>
              <w:spacing w:before="78" w:line="238" w:lineRule="auto"/>
              <w:ind w:left="202"/>
            </w:pPr>
            <w:r>
              <w:t>△</w:t>
            </w:r>
          </w:p>
        </w:tc>
        <w:tc>
          <w:tcPr>
            <w:tcW w:w="597" w:type="dxa"/>
            <w:vAlign w:val="top"/>
          </w:tcPr>
          <w:p w14:paraId="281AB3E5">
            <w:pPr>
              <w:spacing w:line="256" w:lineRule="auto"/>
              <w:rPr>
                <w:rFonts w:ascii="Arial"/>
                <w:sz w:val="21"/>
              </w:rPr>
            </w:pPr>
          </w:p>
          <w:p w14:paraId="4164BA5E">
            <w:pPr>
              <w:pStyle w:val="7"/>
              <w:spacing w:before="78" w:line="238" w:lineRule="auto"/>
              <w:ind w:left="203"/>
            </w:pPr>
            <w:r>
              <w:t>△</w:t>
            </w:r>
          </w:p>
        </w:tc>
        <w:tc>
          <w:tcPr>
            <w:tcW w:w="600" w:type="dxa"/>
            <w:vAlign w:val="top"/>
          </w:tcPr>
          <w:p w14:paraId="46D6F567">
            <w:pPr>
              <w:spacing w:line="256" w:lineRule="auto"/>
              <w:rPr>
                <w:rFonts w:ascii="Arial"/>
                <w:sz w:val="21"/>
              </w:rPr>
            </w:pPr>
          </w:p>
          <w:p w14:paraId="5EFB9683">
            <w:pPr>
              <w:pStyle w:val="7"/>
              <w:spacing w:before="78" w:line="238" w:lineRule="auto"/>
              <w:ind w:left="204"/>
            </w:pPr>
            <w:r>
              <w:t>△</w:t>
            </w:r>
          </w:p>
        </w:tc>
        <w:tc>
          <w:tcPr>
            <w:tcW w:w="856" w:type="dxa"/>
            <w:vAlign w:val="top"/>
          </w:tcPr>
          <w:p w14:paraId="072C24FE">
            <w:pPr>
              <w:spacing w:line="256" w:lineRule="auto"/>
              <w:rPr>
                <w:rFonts w:ascii="Arial"/>
                <w:sz w:val="21"/>
              </w:rPr>
            </w:pPr>
          </w:p>
          <w:p w14:paraId="29B5D24C">
            <w:pPr>
              <w:pStyle w:val="7"/>
              <w:spacing w:before="78" w:line="237" w:lineRule="auto"/>
              <w:ind w:left="347"/>
            </w:pPr>
            <w:r>
              <w:t>●</w:t>
            </w:r>
          </w:p>
        </w:tc>
        <w:tc>
          <w:tcPr>
            <w:tcW w:w="505" w:type="dxa"/>
            <w:tcBorders>
              <w:right w:val="single" w:color="000000" w:sz="4" w:space="0"/>
            </w:tcBorders>
            <w:vAlign w:val="top"/>
          </w:tcPr>
          <w:p w14:paraId="6A1CC47A">
            <w:pPr>
              <w:spacing w:line="65" w:lineRule="exact"/>
              <w:ind w:right="4"/>
              <w:jc w:val="right"/>
            </w:pPr>
            <w:r>
              <w:rPr>
                <w:position w:val="-1"/>
              </w:rPr>
              <w:drawing>
                <wp:inline distT="0" distB="0" distL="0" distR="0">
                  <wp:extent cx="17780" cy="41275"/>
                  <wp:effectExtent l="0" t="0" r="0" b="0"/>
                  <wp:docPr id="916" name="IM 916"/>
                  <wp:cNvGraphicFramePr/>
                  <a:graphic xmlns:a="http://schemas.openxmlformats.org/drawingml/2006/main">
                    <a:graphicData uri="http://schemas.openxmlformats.org/drawingml/2006/picture">
                      <pic:pic xmlns:pic="http://schemas.openxmlformats.org/drawingml/2006/picture">
                        <pic:nvPicPr>
                          <pic:cNvPr id="916" name="IM 916"/>
                          <pic:cNvPicPr/>
                        </pic:nvPicPr>
                        <pic:blipFill>
                          <a:blip r:embed="rId636"/>
                          <a:stretch>
                            <a:fillRect/>
                          </a:stretch>
                        </pic:blipFill>
                        <pic:spPr>
                          <a:xfrm>
                            <a:off x="0" y="0"/>
                            <a:ext cx="18287" cy="41402"/>
                          </a:xfrm>
                          <a:prstGeom prst="rect">
                            <a:avLst/>
                          </a:prstGeom>
                        </pic:spPr>
                      </pic:pic>
                    </a:graphicData>
                  </a:graphic>
                </wp:inline>
              </w:drawing>
            </w:r>
          </w:p>
          <w:p w14:paraId="4F6A7C14">
            <w:pPr>
              <w:pStyle w:val="7"/>
              <w:spacing w:before="270" w:line="238" w:lineRule="auto"/>
              <w:ind w:left="147"/>
            </w:pPr>
            <w:r>
              <w:t>△</w:t>
            </w:r>
          </w:p>
        </w:tc>
      </w:tr>
      <w:tr w14:paraId="6BBA88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0" w:hRule="atLeast"/>
        </w:trPr>
        <w:tc>
          <w:tcPr>
            <w:tcW w:w="620" w:type="dxa"/>
            <w:tcBorders>
              <w:left w:val="single" w:color="000000" w:sz="4" w:space="0"/>
            </w:tcBorders>
            <w:vAlign w:val="top"/>
          </w:tcPr>
          <w:p w14:paraId="72EEDB78">
            <w:pPr>
              <w:pStyle w:val="7"/>
              <w:spacing w:before="104" w:line="237" w:lineRule="auto"/>
              <w:ind w:left="227"/>
            </w:pPr>
            <w:r>
              <w:rPr>
                <w:spacing w:val="-10"/>
              </w:rPr>
              <w:t>10</w:t>
            </w:r>
          </w:p>
        </w:tc>
        <w:tc>
          <w:tcPr>
            <w:tcW w:w="1376" w:type="dxa"/>
            <w:vAlign w:val="top"/>
          </w:tcPr>
          <w:p w14:paraId="19C70EC4">
            <w:pPr>
              <w:pStyle w:val="7"/>
              <w:spacing w:before="105" w:line="217" w:lineRule="auto"/>
              <w:ind w:left="259"/>
            </w:pPr>
            <w:r>
              <w:rPr>
                <w:spacing w:val="-15"/>
              </w:rPr>
              <w:t>文件控制</w:t>
            </w:r>
          </w:p>
        </w:tc>
        <w:tc>
          <w:tcPr>
            <w:tcW w:w="514" w:type="dxa"/>
            <w:vAlign w:val="top"/>
          </w:tcPr>
          <w:p w14:paraId="19E06CC0">
            <w:pPr>
              <w:rPr>
                <w:rFonts w:ascii="Arial"/>
                <w:sz w:val="21"/>
              </w:rPr>
            </w:pPr>
          </w:p>
        </w:tc>
        <w:tc>
          <w:tcPr>
            <w:tcW w:w="597" w:type="dxa"/>
            <w:vAlign w:val="top"/>
          </w:tcPr>
          <w:p w14:paraId="3A001CC3">
            <w:pPr>
              <w:rPr>
                <w:rFonts w:ascii="Arial"/>
                <w:sz w:val="21"/>
              </w:rPr>
            </w:pPr>
          </w:p>
        </w:tc>
        <w:tc>
          <w:tcPr>
            <w:tcW w:w="597" w:type="dxa"/>
            <w:vAlign w:val="top"/>
          </w:tcPr>
          <w:p w14:paraId="1EBE3330">
            <w:pPr>
              <w:pStyle w:val="7"/>
              <w:spacing w:before="105" w:line="236" w:lineRule="auto"/>
              <w:ind w:left="211"/>
            </w:pPr>
            <w:r>
              <w:t>○</w:t>
            </w:r>
          </w:p>
        </w:tc>
        <w:tc>
          <w:tcPr>
            <w:tcW w:w="597" w:type="dxa"/>
            <w:vAlign w:val="top"/>
          </w:tcPr>
          <w:p w14:paraId="5C893385">
            <w:pPr>
              <w:pStyle w:val="7"/>
              <w:spacing w:before="105" w:line="236" w:lineRule="auto"/>
              <w:ind w:left="214"/>
            </w:pPr>
            <w:r>
              <w:t>○</w:t>
            </w:r>
          </w:p>
        </w:tc>
        <w:tc>
          <w:tcPr>
            <w:tcW w:w="595" w:type="dxa"/>
            <w:vAlign w:val="top"/>
          </w:tcPr>
          <w:p w14:paraId="5C5CA34C">
            <w:pPr>
              <w:rPr>
                <w:rFonts w:ascii="Arial"/>
                <w:sz w:val="21"/>
              </w:rPr>
            </w:pPr>
          </w:p>
        </w:tc>
        <w:tc>
          <w:tcPr>
            <w:tcW w:w="597" w:type="dxa"/>
            <w:gridSpan w:val="2"/>
            <w:vAlign w:val="top"/>
          </w:tcPr>
          <w:p w14:paraId="27F15B6A">
            <w:pPr>
              <w:pStyle w:val="7"/>
              <w:spacing w:before="104" w:line="238" w:lineRule="auto"/>
              <w:ind w:left="202"/>
            </w:pPr>
            <w:r>
              <w:t>△</w:t>
            </w:r>
          </w:p>
        </w:tc>
        <w:tc>
          <w:tcPr>
            <w:tcW w:w="597" w:type="dxa"/>
            <w:vAlign w:val="top"/>
          </w:tcPr>
          <w:p w14:paraId="23A337F1">
            <w:pPr>
              <w:pStyle w:val="7"/>
              <w:spacing w:before="104" w:line="238" w:lineRule="auto"/>
              <w:ind w:left="202"/>
            </w:pPr>
            <w:r>
              <w:t>△</w:t>
            </w:r>
          </w:p>
        </w:tc>
        <w:tc>
          <w:tcPr>
            <w:tcW w:w="597" w:type="dxa"/>
            <w:vAlign w:val="top"/>
          </w:tcPr>
          <w:p w14:paraId="4F16EBC0">
            <w:pPr>
              <w:pStyle w:val="7"/>
              <w:spacing w:before="104" w:line="238" w:lineRule="auto"/>
              <w:ind w:left="203"/>
            </w:pPr>
            <w:r>
              <w:t>△</w:t>
            </w:r>
          </w:p>
        </w:tc>
        <w:tc>
          <w:tcPr>
            <w:tcW w:w="600" w:type="dxa"/>
            <w:vAlign w:val="top"/>
          </w:tcPr>
          <w:p w14:paraId="24B2FBCD">
            <w:pPr>
              <w:pStyle w:val="7"/>
              <w:spacing w:before="104" w:line="238" w:lineRule="auto"/>
              <w:ind w:left="204"/>
            </w:pPr>
            <w:r>
              <w:t>△</w:t>
            </w:r>
          </w:p>
        </w:tc>
        <w:tc>
          <w:tcPr>
            <w:tcW w:w="856" w:type="dxa"/>
            <w:vAlign w:val="top"/>
          </w:tcPr>
          <w:p w14:paraId="19F33245">
            <w:pPr>
              <w:pStyle w:val="7"/>
              <w:spacing w:before="104" w:line="237" w:lineRule="auto"/>
              <w:ind w:left="347"/>
            </w:pPr>
            <w:r>
              <w:t>●</w:t>
            </w:r>
          </w:p>
        </w:tc>
        <w:tc>
          <w:tcPr>
            <w:tcW w:w="505" w:type="dxa"/>
            <w:tcBorders>
              <w:right w:val="single" w:color="000000" w:sz="4" w:space="0"/>
            </w:tcBorders>
            <w:vAlign w:val="top"/>
          </w:tcPr>
          <w:p w14:paraId="3AED48C7">
            <w:pPr>
              <w:spacing w:line="66" w:lineRule="exact"/>
              <w:ind w:right="4"/>
              <w:jc w:val="right"/>
            </w:pPr>
            <w:r>
              <w:rPr>
                <w:position w:val="-1"/>
              </w:rPr>
              <w:drawing>
                <wp:inline distT="0" distB="0" distL="0" distR="0">
                  <wp:extent cx="17780" cy="41910"/>
                  <wp:effectExtent l="0" t="0" r="0" b="0"/>
                  <wp:docPr id="918" name="IM 918"/>
                  <wp:cNvGraphicFramePr/>
                  <a:graphic xmlns:a="http://schemas.openxmlformats.org/drawingml/2006/main">
                    <a:graphicData uri="http://schemas.openxmlformats.org/drawingml/2006/picture">
                      <pic:pic xmlns:pic="http://schemas.openxmlformats.org/drawingml/2006/picture">
                        <pic:nvPicPr>
                          <pic:cNvPr id="918" name="IM 918"/>
                          <pic:cNvPicPr/>
                        </pic:nvPicPr>
                        <pic:blipFill>
                          <a:blip r:embed="rId490"/>
                          <a:stretch>
                            <a:fillRect/>
                          </a:stretch>
                        </pic:blipFill>
                        <pic:spPr>
                          <a:xfrm>
                            <a:off x="0" y="0"/>
                            <a:ext cx="18287" cy="42164"/>
                          </a:xfrm>
                          <a:prstGeom prst="rect">
                            <a:avLst/>
                          </a:prstGeom>
                        </pic:spPr>
                      </pic:pic>
                    </a:graphicData>
                  </a:graphic>
                </wp:inline>
              </w:drawing>
            </w:r>
          </w:p>
          <w:p w14:paraId="3C65BF40">
            <w:pPr>
              <w:pStyle w:val="7"/>
              <w:spacing w:before="38" w:line="238" w:lineRule="auto"/>
              <w:ind w:left="147"/>
            </w:pPr>
            <w:r>
              <w:t>△</w:t>
            </w:r>
          </w:p>
        </w:tc>
      </w:tr>
      <w:tr w14:paraId="2CCABE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0" w:hRule="atLeast"/>
        </w:trPr>
        <w:tc>
          <w:tcPr>
            <w:tcW w:w="620" w:type="dxa"/>
            <w:tcBorders>
              <w:left w:val="single" w:color="1C456A" w:sz="4" w:space="0"/>
              <w:bottom w:val="single" w:color="1C456A" w:sz="4" w:space="0"/>
            </w:tcBorders>
            <w:vAlign w:val="top"/>
          </w:tcPr>
          <w:p w14:paraId="07E05F58">
            <w:pPr>
              <w:pStyle w:val="7"/>
              <w:spacing w:before="105" w:line="238" w:lineRule="auto"/>
              <w:ind w:left="227"/>
            </w:pPr>
            <w:r>
              <w:rPr>
                <w:spacing w:val="-10"/>
              </w:rPr>
              <w:t>11</w:t>
            </w:r>
          </w:p>
        </w:tc>
        <w:tc>
          <w:tcPr>
            <w:tcW w:w="1376" w:type="dxa"/>
            <w:tcBorders>
              <w:bottom w:val="single" w:color="000000" w:sz="4" w:space="0"/>
            </w:tcBorders>
            <w:vAlign w:val="top"/>
          </w:tcPr>
          <w:p w14:paraId="4B5E2E15">
            <w:pPr>
              <w:pStyle w:val="7"/>
              <w:spacing w:before="104" w:line="217" w:lineRule="auto"/>
              <w:ind w:left="261"/>
            </w:pPr>
            <w:r>
              <w:rPr>
                <w:spacing w:val="-16"/>
              </w:rPr>
              <w:t>运行控制</w:t>
            </w:r>
          </w:p>
        </w:tc>
        <w:tc>
          <w:tcPr>
            <w:tcW w:w="514" w:type="dxa"/>
            <w:tcBorders>
              <w:bottom w:val="single" w:color="000000" w:sz="4" w:space="0"/>
            </w:tcBorders>
            <w:vAlign w:val="top"/>
          </w:tcPr>
          <w:p w14:paraId="785168C4">
            <w:pPr>
              <w:rPr>
                <w:rFonts w:ascii="Arial"/>
                <w:sz w:val="21"/>
              </w:rPr>
            </w:pPr>
          </w:p>
        </w:tc>
        <w:tc>
          <w:tcPr>
            <w:tcW w:w="597" w:type="dxa"/>
            <w:tcBorders>
              <w:bottom w:val="single" w:color="000000" w:sz="4" w:space="0"/>
            </w:tcBorders>
            <w:vAlign w:val="top"/>
          </w:tcPr>
          <w:p w14:paraId="1C092C06">
            <w:pPr>
              <w:rPr>
                <w:rFonts w:ascii="Arial"/>
                <w:sz w:val="21"/>
              </w:rPr>
            </w:pPr>
          </w:p>
        </w:tc>
        <w:tc>
          <w:tcPr>
            <w:tcW w:w="597" w:type="dxa"/>
            <w:tcBorders>
              <w:bottom w:val="single" w:color="000000" w:sz="4" w:space="0"/>
            </w:tcBorders>
            <w:vAlign w:val="top"/>
          </w:tcPr>
          <w:p w14:paraId="09763990">
            <w:pPr>
              <w:pStyle w:val="7"/>
              <w:spacing w:before="105" w:line="236" w:lineRule="auto"/>
              <w:ind w:left="211"/>
            </w:pPr>
            <w:r>
              <w:t>○</w:t>
            </w:r>
          </w:p>
        </w:tc>
        <w:tc>
          <w:tcPr>
            <w:tcW w:w="597" w:type="dxa"/>
            <w:tcBorders>
              <w:bottom w:val="single" w:color="000000" w:sz="4" w:space="0"/>
            </w:tcBorders>
            <w:vAlign w:val="top"/>
          </w:tcPr>
          <w:p w14:paraId="083CC931">
            <w:pPr>
              <w:pStyle w:val="7"/>
              <w:spacing w:before="105" w:line="236" w:lineRule="auto"/>
              <w:ind w:left="214"/>
            </w:pPr>
            <w:r>
              <w:t>○</w:t>
            </w:r>
          </w:p>
        </w:tc>
        <w:tc>
          <w:tcPr>
            <w:tcW w:w="595" w:type="dxa"/>
            <w:tcBorders>
              <w:bottom w:val="single" w:color="000000" w:sz="4" w:space="0"/>
            </w:tcBorders>
            <w:vAlign w:val="top"/>
          </w:tcPr>
          <w:p w14:paraId="23364231">
            <w:pPr>
              <w:rPr>
                <w:rFonts w:ascii="Arial"/>
                <w:sz w:val="21"/>
              </w:rPr>
            </w:pPr>
          </w:p>
        </w:tc>
        <w:tc>
          <w:tcPr>
            <w:tcW w:w="597" w:type="dxa"/>
            <w:gridSpan w:val="2"/>
            <w:tcBorders>
              <w:bottom w:val="single" w:color="000000" w:sz="4" w:space="0"/>
            </w:tcBorders>
            <w:vAlign w:val="top"/>
          </w:tcPr>
          <w:p w14:paraId="591E2F4B">
            <w:pPr>
              <w:pStyle w:val="7"/>
              <w:spacing w:before="104" w:line="237" w:lineRule="auto"/>
              <w:ind w:left="215"/>
            </w:pPr>
            <w:r>
              <w:t>●</w:t>
            </w:r>
          </w:p>
        </w:tc>
        <w:tc>
          <w:tcPr>
            <w:tcW w:w="597" w:type="dxa"/>
            <w:tcBorders>
              <w:bottom w:val="single" w:color="000000" w:sz="4" w:space="0"/>
            </w:tcBorders>
            <w:vAlign w:val="top"/>
          </w:tcPr>
          <w:p w14:paraId="0A7D1533">
            <w:pPr>
              <w:pStyle w:val="7"/>
              <w:spacing w:before="104" w:line="238" w:lineRule="auto"/>
              <w:ind w:left="202"/>
            </w:pPr>
            <w:r>
              <w:t>△</w:t>
            </w:r>
          </w:p>
        </w:tc>
        <w:tc>
          <w:tcPr>
            <w:tcW w:w="597" w:type="dxa"/>
            <w:tcBorders>
              <w:bottom w:val="single" w:color="000000" w:sz="4" w:space="0"/>
            </w:tcBorders>
            <w:vAlign w:val="top"/>
          </w:tcPr>
          <w:p w14:paraId="6599EDDD">
            <w:pPr>
              <w:pStyle w:val="7"/>
              <w:spacing w:before="104" w:line="238" w:lineRule="auto"/>
              <w:ind w:left="203"/>
            </w:pPr>
            <w:r>
              <w:t>△</w:t>
            </w:r>
          </w:p>
        </w:tc>
        <w:tc>
          <w:tcPr>
            <w:tcW w:w="600" w:type="dxa"/>
            <w:tcBorders>
              <w:bottom w:val="single" w:color="000000" w:sz="4" w:space="0"/>
            </w:tcBorders>
            <w:vAlign w:val="top"/>
          </w:tcPr>
          <w:p w14:paraId="4787152D">
            <w:pPr>
              <w:pStyle w:val="7"/>
              <w:spacing w:before="104" w:line="238" w:lineRule="auto"/>
              <w:ind w:left="204"/>
            </w:pPr>
            <w:r>
              <w:t>△</w:t>
            </w:r>
          </w:p>
        </w:tc>
        <w:tc>
          <w:tcPr>
            <w:tcW w:w="856" w:type="dxa"/>
            <w:tcBorders>
              <w:bottom w:val="single" w:color="000000" w:sz="4" w:space="0"/>
            </w:tcBorders>
            <w:vAlign w:val="top"/>
          </w:tcPr>
          <w:p w14:paraId="51381195">
            <w:pPr>
              <w:pStyle w:val="7"/>
              <w:spacing w:before="104" w:line="238" w:lineRule="auto"/>
              <w:ind w:left="334"/>
            </w:pPr>
            <w:r>
              <w:t>△</w:t>
            </w:r>
          </w:p>
        </w:tc>
        <w:tc>
          <w:tcPr>
            <w:tcW w:w="505" w:type="dxa"/>
            <w:tcBorders>
              <w:bottom w:val="single" w:color="5B9BD5" w:sz="4" w:space="0"/>
              <w:right w:val="single" w:color="5B9BD5" w:sz="4" w:space="0"/>
            </w:tcBorders>
            <w:vAlign w:val="top"/>
          </w:tcPr>
          <w:p w14:paraId="6EC174A2">
            <w:pPr>
              <w:spacing w:line="66" w:lineRule="exact"/>
              <w:ind w:right="4"/>
              <w:jc w:val="right"/>
            </w:pPr>
            <w:r>
              <w:rPr>
                <w:position w:val="-1"/>
              </w:rPr>
              <w:drawing>
                <wp:inline distT="0" distB="0" distL="0" distR="0">
                  <wp:extent cx="17780" cy="41910"/>
                  <wp:effectExtent l="0" t="0" r="0" b="0"/>
                  <wp:docPr id="920" name="IM 920"/>
                  <wp:cNvGraphicFramePr/>
                  <a:graphic xmlns:a="http://schemas.openxmlformats.org/drawingml/2006/main">
                    <a:graphicData uri="http://schemas.openxmlformats.org/drawingml/2006/picture">
                      <pic:pic xmlns:pic="http://schemas.openxmlformats.org/drawingml/2006/picture">
                        <pic:nvPicPr>
                          <pic:cNvPr id="920" name="IM 920"/>
                          <pic:cNvPicPr/>
                        </pic:nvPicPr>
                        <pic:blipFill>
                          <a:blip r:embed="rId449"/>
                          <a:stretch>
                            <a:fillRect/>
                          </a:stretch>
                        </pic:blipFill>
                        <pic:spPr>
                          <a:xfrm>
                            <a:off x="0" y="0"/>
                            <a:ext cx="18287" cy="42291"/>
                          </a:xfrm>
                          <a:prstGeom prst="rect">
                            <a:avLst/>
                          </a:prstGeom>
                        </pic:spPr>
                      </pic:pic>
                    </a:graphicData>
                  </a:graphic>
                </wp:inline>
              </w:drawing>
            </w:r>
          </w:p>
          <w:p w14:paraId="6708607F">
            <w:pPr>
              <w:pStyle w:val="7"/>
              <w:spacing w:before="37" w:line="238" w:lineRule="auto"/>
              <w:ind w:left="147"/>
            </w:pPr>
            <w:r>
              <w:t>△</w:t>
            </w:r>
          </w:p>
        </w:tc>
      </w:tr>
    </w:tbl>
    <w:p w14:paraId="40A90837">
      <w:pPr>
        <w:rPr>
          <w:rFonts w:ascii="Arial"/>
          <w:sz w:val="21"/>
        </w:rPr>
      </w:pPr>
    </w:p>
    <w:p w14:paraId="19DF945F">
      <w:pPr>
        <w:rPr>
          <w:rFonts w:ascii="Arial" w:hAnsi="Arial" w:eastAsia="Arial" w:cs="Arial"/>
          <w:sz w:val="21"/>
          <w:szCs w:val="21"/>
        </w:rPr>
        <w:sectPr>
          <w:footerReference r:id="rId175" w:type="default"/>
          <w:pgSz w:w="11907" w:h="16839"/>
          <w:pgMar w:top="954" w:right="4" w:bottom="1038" w:left="0" w:header="499" w:footer="357" w:gutter="0"/>
          <w:pgBorders>
            <w:top w:val="none" w:sz="0" w:space="0"/>
            <w:left w:val="none" w:sz="0" w:space="0"/>
            <w:bottom w:val="none" w:sz="0" w:space="0"/>
            <w:right w:val="none" w:sz="0" w:space="0"/>
          </w:pgBorders>
          <w:cols w:space="720" w:num="1"/>
        </w:sectPr>
      </w:pPr>
    </w:p>
    <w:p w14:paraId="6C9CF22D">
      <w:pPr>
        <w:spacing w:line="214" w:lineRule="exact"/>
      </w:pPr>
    </w:p>
    <w:tbl>
      <w:tblPr>
        <w:tblStyle w:val="6"/>
        <w:tblW w:w="8648" w:type="dxa"/>
        <w:tblInd w:w="163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16"/>
        <w:gridCol w:w="1378"/>
        <w:gridCol w:w="513"/>
        <w:gridCol w:w="597"/>
        <w:gridCol w:w="597"/>
        <w:gridCol w:w="597"/>
        <w:gridCol w:w="595"/>
        <w:gridCol w:w="597"/>
        <w:gridCol w:w="597"/>
        <w:gridCol w:w="597"/>
        <w:gridCol w:w="600"/>
        <w:gridCol w:w="856"/>
        <w:gridCol w:w="508"/>
      </w:tblGrid>
      <w:tr w14:paraId="27941A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1093" w:hRule="atLeast"/>
        </w:trPr>
        <w:tc>
          <w:tcPr>
            <w:tcW w:w="616" w:type="dxa"/>
            <w:tcBorders>
              <w:top w:val="single" w:color="1C456A" w:sz="4" w:space="0"/>
              <w:left w:val="single" w:color="1C456A" w:sz="4" w:space="0"/>
            </w:tcBorders>
            <w:vAlign w:val="top"/>
          </w:tcPr>
          <w:p w14:paraId="18EDE362">
            <w:pPr>
              <w:spacing w:line="285" w:lineRule="auto"/>
              <w:rPr>
                <w:rFonts w:ascii="Arial"/>
                <w:sz w:val="21"/>
              </w:rPr>
            </w:pPr>
          </w:p>
          <w:p w14:paraId="051F68E6">
            <w:pPr>
              <w:pStyle w:val="7"/>
              <w:spacing w:before="78" w:line="238" w:lineRule="auto"/>
              <w:ind w:left="227"/>
            </w:pPr>
            <w:r>
              <w:rPr>
                <w:spacing w:val="-10"/>
              </w:rPr>
              <w:t>12</w:t>
            </w:r>
          </w:p>
        </w:tc>
        <w:tc>
          <w:tcPr>
            <w:tcW w:w="1378" w:type="dxa"/>
            <w:tcBorders>
              <w:top w:val="single" w:color="000000" w:sz="4" w:space="0"/>
            </w:tcBorders>
            <w:vAlign w:val="top"/>
          </w:tcPr>
          <w:p w14:paraId="60FDFA89">
            <w:pPr>
              <w:pStyle w:val="7"/>
              <w:spacing w:before="131" w:line="218" w:lineRule="auto"/>
              <w:ind w:left="155"/>
            </w:pPr>
            <w:r>
              <w:rPr>
                <w:spacing w:val="-17"/>
              </w:rPr>
              <w:t>应急准备和</w:t>
            </w:r>
          </w:p>
          <w:p w14:paraId="0C46B4AF">
            <w:pPr>
              <w:pStyle w:val="7"/>
              <w:spacing w:before="182" w:line="219" w:lineRule="auto"/>
              <w:ind w:left="489"/>
            </w:pPr>
            <w:r>
              <w:rPr>
                <w:spacing w:val="-12"/>
              </w:rPr>
              <w:t>响应</w:t>
            </w:r>
          </w:p>
        </w:tc>
        <w:tc>
          <w:tcPr>
            <w:tcW w:w="513" w:type="dxa"/>
            <w:tcBorders>
              <w:top w:val="single" w:color="000000" w:sz="4" w:space="0"/>
            </w:tcBorders>
            <w:vAlign w:val="top"/>
          </w:tcPr>
          <w:p w14:paraId="07A78D25">
            <w:pPr>
              <w:rPr>
                <w:rFonts w:ascii="Arial"/>
                <w:sz w:val="21"/>
              </w:rPr>
            </w:pPr>
          </w:p>
        </w:tc>
        <w:tc>
          <w:tcPr>
            <w:tcW w:w="597" w:type="dxa"/>
            <w:tcBorders>
              <w:top w:val="single" w:color="000000" w:sz="4" w:space="0"/>
            </w:tcBorders>
            <w:vAlign w:val="top"/>
          </w:tcPr>
          <w:p w14:paraId="0CA39920">
            <w:pPr>
              <w:rPr>
                <w:rFonts w:ascii="Arial"/>
                <w:sz w:val="21"/>
              </w:rPr>
            </w:pPr>
          </w:p>
        </w:tc>
        <w:tc>
          <w:tcPr>
            <w:tcW w:w="597" w:type="dxa"/>
            <w:tcBorders>
              <w:top w:val="single" w:color="000000" w:sz="4" w:space="0"/>
            </w:tcBorders>
            <w:vAlign w:val="top"/>
          </w:tcPr>
          <w:p w14:paraId="0B14D1E7">
            <w:pPr>
              <w:spacing w:line="285" w:lineRule="auto"/>
              <w:rPr>
                <w:rFonts w:ascii="Arial"/>
                <w:sz w:val="21"/>
              </w:rPr>
            </w:pPr>
          </w:p>
          <w:p w14:paraId="2BF324DF">
            <w:pPr>
              <w:pStyle w:val="7"/>
              <w:spacing w:before="78" w:line="236" w:lineRule="auto"/>
              <w:ind w:left="214"/>
            </w:pPr>
            <w:r>
              <w:t>○</w:t>
            </w:r>
          </w:p>
        </w:tc>
        <w:tc>
          <w:tcPr>
            <w:tcW w:w="597" w:type="dxa"/>
            <w:tcBorders>
              <w:top w:val="single" w:color="000000" w:sz="4" w:space="0"/>
            </w:tcBorders>
            <w:vAlign w:val="top"/>
          </w:tcPr>
          <w:p w14:paraId="36A359D7">
            <w:pPr>
              <w:spacing w:line="285" w:lineRule="auto"/>
              <w:rPr>
                <w:rFonts w:ascii="Arial"/>
                <w:sz w:val="21"/>
              </w:rPr>
            </w:pPr>
          </w:p>
          <w:p w14:paraId="7C0EA14A">
            <w:pPr>
              <w:pStyle w:val="7"/>
              <w:spacing w:before="78" w:line="236" w:lineRule="auto"/>
              <w:ind w:left="217"/>
            </w:pPr>
            <w:r>
              <w:t>○</w:t>
            </w:r>
          </w:p>
        </w:tc>
        <w:tc>
          <w:tcPr>
            <w:tcW w:w="595" w:type="dxa"/>
            <w:tcBorders>
              <w:top w:val="single" w:color="000000" w:sz="4" w:space="0"/>
            </w:tcBorders>
            <w:vAlign w:val="top"/>
          </w:tcPr>
          <w:p w14:paraId="280012A8">
            <w:pPr>
              <w:rPr>
                <w:rFonts w:ascii="Arial"/>
                <w:sz w:val="21"/>
              </w:rPr>
            </w:pPr>
          </w:p>
        </w:tc>
        <w:tc>
          <w:tcPr>
            <w:tcW w:w="597" w:type="dxa"/>
            <w:tcBorders>
              <w:top w:val="single" w:color="000000" w:sz="4" w:space="0"/>
            </w:tcBorders>
            <w:vAlign w:val="top"/>
          </w:tcPr>
          <w:p w14:paraId="40344B88">
            <w:pPr>
              <w:spacing w:line="284" w:lineRule="auto"/>
              <w:rPr>
                <w:rFonts w:ascii="Arial"/>
                <w:sz w:val="21"/>
              </w:rPr>
            </w:pPr>
          </w:p>
          <w:p w14:paraId="26D9C712">
            <w:pPr>
              <w:pStyle w:val="7"/>
              <w:spacing w:before="78" w:line="237" w:lineRule="auto"/>
              <w:ind w:left="218"/>
            </w:pPr>
            <w:r>
              <w:t>●</w:t>
            </w:r>
          </w:p>
        </w:tc>
        <w:tc>
          <w:tcPr>
            <w:tcW w:w="597" w:type="dxa"/>
            <w:tcBorders>
              <w:top w:val="single" w:color="000000" w:sz="4" w:space="0"/>
            </w:tcBorders>
            <w:vAlign w:val="top"/>
          </w:tcPr>
          <w:p w14:paraId="67BF9601">
            <w:pPr>
              <w:spacing w:line="284" w:lineRule="auto"/>
              <w:rPr>
                <w:rFonts w:ascii="Arial"/>
                <w:sz w:val="21"/>
              </w:rPr>
            </w:pPr>
          </w:p>
          <w:p w14:paraId="3AE08143">
            <w:pPr>
              <w:pStyle w:val="7"/>
              <w:spacing w:before="78" w:line="238" w:lineRule="auto"/>
              <w:ind w:left="205"/>
            </w:pPr>
            <w:r>
              <w:t>△</w:t>
            </w:r>
          </w:p>
        </w:tc>
        <w:tc>
          <w:tcPr>
            <w:tcW w:w="597" w:type="dxa"/>
            <w:tcBorders>
              <w:top w:val="single" w:color="000000" w:sz="4" w:space="0"/>
            </w:tcBorders>
            <w:vAlign w:val="top"/>
          </w:tcPr>
          <w:p w14:paraId="306CECD1">
            <w:pPr>
              <w:spacing w:line="284" w:lineRule="auto"/>
              <w:rPr>
                <w:rFonts w:ascii="Arial"/>
                <w:sz w:val="21"/>
              </w:rPr>
            </w:pPr>
          </w:p>
          <w:p w14:paraId="4C948378">
            <w:pPr>
              <w:pStyle w:val="7"/>
              <w:spacing w:before="78" w:line="238" w:lineRule="auto"/>
              <w:ind w:left="206"/>
            </w:pPr>
            <w:r>
              <w:t>△</w:t>
            </w:r>
          </w:p>
        </w:tc>
        <w:tc>
          <w:tcPr>
            <w:tcW w:w="600" w:type="dxa"/>
            <w:tcBorders>
              <w:top w:val="single" w:color="000000" w:sz="4" w:space="0"/>
            </w:tcBorders>
            <w:vAlign w:val="top"/>
          </w:tcPr>
          <w:p w14:paraId="49CB5B87">
            <w:pPr>
              <w:spacing w:line="284" w:lineRule="auto"/>
              <w:rPr>
                <w:rFonts w:ascii="Arial"/>
                <w:sz w:val="21"/>
              </w:rPr>
            </w:pPr>
          </w:p>
          <w:p w14:paraId="0D5E8BE6">
            <w:pPr>
              <w:pStyle w:val="7"/>
              <w:spacing w:before="78" w:line="238" w:lineRule="auto"/>
              <w:ind w:left="207"/>
            </w:pPr>
            <w:r>
              <w:t>△</w:t>
            </w:r>
          </w:p>
        </w:tc>
        <w:tc>
          <w:tcPr>
            <w:tcW w:w="856" w:type="dxa"/>
            <w:tcBorders>
              <w:top w:val="single" w:color="000000" w:sz="4" w:space="0"/>
            </w:tcBorders>
            <w:vAlign w:val="top"/>
          </w:tcPr>
          <w:p w14:paraId="17C17C8C">
            <w:pPr>
              <w:spacing w:line="284" w:lineRule="auto"/>
              <w:rPr>
                <w:rFonts w:ascii="Arial"/>
                <w:sz w:val="21"/>
              </w:rPr>
            </w:pPr>
          </w:p>
          <w:p w14:paraId="08E9F1D8">
            <w:pPr>
              <w:pStyle w:val="7"/>
              <w:spacing w:before="78" w:line="238" w:lineRule="auto"/>
              <w:ind w:left="337"/>
            </w:pPr>
            <w:r>
              <w:t>△</w:t>
            </w:r>
          </w:p>
        </w:tc>
        <w:tc>
          <w:tcPr>
            <w:tcW w:w="508" w:type="dxa"/>
            <w:tcBorders>
              <w:top w:val="single" w:color="1C456A" w:sz="4" w:space="0"/>
              <w:right w:val="single" w:color="1C456A" w:sz="4" w:space="0"/>
            </w:tcBorders>
            <w:vAlign w:val="top"/>
          </w:tcPr>
          <w:p w14:paraId="6EEAA84D">
            <w:pPr>
              <w:spacing w:line="284" w:lineRule="auto"/>
              <w:rPr>
                <w:rFonts w:ascii="Arial"/>
                <w:sz w:val="21"/>
              </w:rPr>
            </w:pPr>
          </w:p>
          <w:p w14:paraId="33290F89">
            <w:pPr>
              <w:pStyle w:val="7"/>
              <w:spacing w:before="78" w:line="238" w:lineRule="auto"/>
              <w:ind w:left="150"/>
            </w:pPr>
            <w:r>
              <w:t>△</w:t>
            </w:r>
          </w:p>
        </w:tc>
      </w:tr>
      <w:tr w14:paraId="787F9F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55" w:hRule="atLeast"/>
        </w:trPr>
        <w:tc>
          <w:tcPr>
            <w:tcW w:w="616" w:type="dxa"/>
            <w:tcBorders>
              <w:left w:val="single" w:color="000000" w:sz="4" w:space="0"/>
            </w:tcBorders>
            <w:vAlign w:val="top"/>
          </w:tcPr>
          <w:p w14:paraId="00E32577">
            <w:pPr>
              <w:spacing w:line="250" w:lineRule="auto"/>
              <w:rPr>
                <w:rFonts w:ascii="Arial"/>
                <w:sz w:val="21"/>
              </w:rPr>
            </w:pPr>
          </w:p>
          <w:p w14:paraId="178A7230">
            <w:pPr>
              <w:pStyle w:val="7"/>
              <w:spacing w:before="78" w:line="237" w:lineRule="auto"/>
              <w:ind w:left="227"/>
            </w:pPr>
            <w:r>
              <w:rPr>
                <w:spacing w:val="-10"/>
              </w:rPr>
              <w:t>13</w:t>
            </w:r>
          </w:p>
        </w:tc>
        <w:tc>
          <w:tcPr>
            <w:tcW w:w="1378" w:type="dxa"/>
            <w:vAlign w:val="top"/>
          </w:tcPr>
          <w:p w14:paraId="53AD5464">
            <w:pPr>
              <w:spacing w:line="250" w:lineRule="auto"/>
              <w:rPr>
                <w:rFonts w:ascii="Arial"/>
                <w:sz w:val="21"/>
              </w:rPr>
            </w:pPr>
          </w:p>
          <w:p w14:paraId="5081B432">
            <w:pPr>
              <w:pStyle w:val="7"/>
              <w:spacing w:before="78" w:line="219" w:lineRule="auto"/>
              <w:ind w:left="162"/>
            </w:pPr>
            <w:r>
              <w:rPr>
                <w:spacing w:val="-18"/>
              </w:rPr>
              <w:t>监测和测量</w:t>
            </w:r>
          </w:p>
        </w:tc>
        <w:tc>
          <w:tcPr>
            <w:tcW w:w="513" w:type="dxa"/>
            <w:vAlign w:val="top"/>
          </w:tcPr>
          <w:p w14:paraId="5F4D2657">
            <w:pPr>
              <w:rPr>
                <w:rFonts w:ascii="Arial"/>
                <w:sz w:val="21"/>
              </w:rPr>
            </w:pPr>
          </w:p>
        </w:tc>
        <w:tc>
          <w:tcPr>
            <w:tcW w:w="597" w:type="dxa"/>
            <w:vAlign w:val="top"/>
          </w:tcPr>
          <w:p w14:paraId="652E40E9">
            <w:pPr>
              <w:rPr>
                <w:rFonts w:ascii="Arial"/>
                <w:sz w:val="21"/>
              </w:rPr>
            </w:pPr>
          </w:p>
        </w:tc>
        <w:tc>
          <w:tcPr>
            <w:tcW w:w="597" w:type="dxa"/>
            <w:vAlign w:val="top"/>
          </w:tcPr>
          <w:p w14:paraId="336F33BE">
            <w:pPr>
              <w:spacing w:line="250" w:lineRule="auto"/>
              <w:rPr>
                <w:rFonts w:ascii="Arial"/>
                <w:sz w:val="21"/>
              </w:rPr>
            </w:pPr>
          </w:p>
          <w:p w14:paraId="4D9EE26B">
            <w:pPr>
              <w:pStyle w:val="7"/>
              <w:spacing w:before="78" w:line="236" w:lineRule="auto"/>
              <w:ind w:left="214"/>
            </w:pPr>
            <w:r>
              <w:t>○</w:t>
            </w:r>
          </w:p>
        </w:tc>
        <w:tc>
          <w:tcPr>
            <w:tcW w:w="597" w:type="dxa"/>
            <w:vAlign w:val="top"/>
          </w:tcPr>
          <w:p w14:paraId="0FB5E605">
            <w:pPr>
              <w:spacing w:line="250" w:lineRule="auto"/>
              <w:rPr>
                <w:rFonts w:ascii="Arial"/>
                <w:sz w:val="21"/>
              </w:rPr>
            </w:pPr>
          </w:p>
          <w:p w14:paraId="6F5697CA">
            <w:pPr>
              <w:pStyle w:val="7"/>
              <w:spacing w:before="78" w:line="236" w:lineRule="auto"/>
              <w:ind w:left="217"/>
            </w:pPr>
            <w:r>
              <w:t>○</w:t>
            </w:r>
          </w:p>
        </w:tc>
        <w:tc>
          <w:tcPr>
            <w:tcW w:w="595" w:type="dxa"/>
            <w:vAlign w:val="top"/>
          </w:tcPr>
          <w:p w14:paraId="5AC41A9C">
            <w:pPr>
              <w:rPr>
                <w:rFonts w:ascii="Arial"/>
                <w:sz w:val="21"/>
              </w:rPr>
            </w:pPr>
          </w:p>
        </w:tc>
        <w:tc>
          <w:tcPr>
            <w:tcW w:w="597" w:type="dxa"/>
            <w:vAlign w:val="top"/>
          </w:tcPr>
          <w:p w14:paraId="6DD7B404">
            <w:pPr>
              <w:spacing w:line="250" w:lineRule="auto"/>
              <w:rPr>
                <w:rFonts w:ascii="Arial"/>
                <w:sz w:val="21"/>
              </w:rPr>
            </w:pPr>
          </w:p>
          <w:p w14:paraId="7E67FBD1">
            <w:pPr>
              <w:pStyle w:val="7"/>
              <w:spacing w:before="78" w:line="237" w:lineRule="auto"/>
              <w:ind w:left="218"/>
            </w:pPr>
            <w:r>
              <w:t>●</w:t>
            </w:r>
          </w:p>
        </w:tc>
        <w:tc>
          <w:tcPr>
            <w:tcW w:w="597" w:type="dxa"/>
            <w:vAlign w:val="top"/>
          </w:tcPr>
          <w:p w14:paraId="318B6B91">
            <w:pPr>
              <w:spacing w:line="250" w:lineRule="auto"/>
              <w:rPr>
                <w:rFonts w:ascii="Arial"/>
                <w:sz w:val="21"/>
              </w:rPr>
            </w:pPr>
          </w:p>
          <w:p w14:paraId="7423469B">
            <w:pPr>
              <w:pStyle w:val="7"/>
              <w:spacing w:before="78" w:line="238" w:lineRule="auto"/>
              <w:ind w:left="205"/>
            </w:pPr>
            <w:r>
              <w:t>△</w:t>
            </w:r>
          </w:p>
        </w:tc>
        <w:tc>
          <w:tcPr>
            <w:tcW w:w="597" w:type="dxa"/>
            <w:vAlign w:val="top"/>
          </w:tcPr>
          <w:p w14:paraId="1FFD7B48">
            <w:pPr>
              <w:spacing w:line="250" w:lineRule="auto"/>
              <w:rPr>
                <w:rFonts w:ascii="Arial"/>
                <w:sz w:val="21"/>
              </w:rPr>
            </w:pPr>
          </w:p>
          <w:p w14:paraId="2F87E404">
            <w:pPr>
              <w:pStyle w:val="7"/>
              <w:spacing w:before="78" w:line="238" w:lineRule="auto"/>
              <w:ind w:left="206"/>
            </w:pPr>
            <w:r>
              <w:t>△</w:t>
            </w:r>
          </w:p>
        </w:tc>
        <w:tc>
          <w:tcPr>
            <w:tcW w:w="600" w:type="dxa"/>
            <w:vAlign w:val="top"/>
          </w:tcPr>
          <w:p w14:paraId="00538F42">
            <w:pPr>
              <w:spacing w:line="250" w:lineRule="auto"/>
              <w:rPr>
                <w:rFonts w:ascii="Arial"/>
                <w:sz w:val="21"/>
              </w:rPr>
            </w:pPr>
          </w:p>
          <w:p w14:paraId="5DCCAEED">
            <w:pPr>
              <w:pStyle w:val="7"/>
              <w:spacing w:before="78" w:line="238" w:lineRule="auto"/>
              <w:ind w:left="207"/>
            </w:pPr>
            <w:r>
              <w:t>△</w:t>
            </w:r>
          </w:p>
        </w:tc>
        <w:tc>
          <w:tcPr>
            <w:tcW w:w="856" w:type="dxa"/>
            <w:vAlign w:val="top"/>
          </w:tcPr>
          <w:p w14:paraId="43EB6711">
            <w:pPr>
              <w:spacing w:line="250" w:lineRule="auto"/>
              <w:rPr>
                <w:rFonts w:ascii="Arial"/>
                <w:sz w:val="21"/>
              </w:rPr>
            </w:pPr>
          </w:p>
          <w:p w14:paraId="218EC5DF">
            <w:pPr>
              <w:pStyle w:val="7"/>
              <w:spacing w:before="78" w:line="238" w:lineRule="auto"/>
              <w:ind w:left="337"/>
            </w:pPr>
            <w:r>
              <w:t>△</w:t>
            </w:r>
          </w:p>
        </w:tc>
        <w:tc>
          <w:tcPr>
            <w:tcW w:w="508" w:type="dxa"/>
            <w:tcBorders>
              <w:right w:val="single" w:color="000000" w:sz="4" w:space="0"/>
            </w:tcBorders>
            <w:vAlign w:val="top"/>
          </w:tcPr>
          <w:p w14:paraId="771DCE2C">
            <w:pPr>
              <w:spacing w:line="58" w:lineRule="exact"/>
              <w:ind w:right="4"/>
              <w:jc w:val="right"/>
            </w:pPr>
            <w:r>
              <w:rPr>
                <w:position w:val="-1"/>
              </w:rPr>
              <w:drawing>
                <wp:inline distT="0" distB="0" distL="0" distR="0">
                  <wp:extent cx="17780" cy="36830"/>
                  <wp:effectExtent l="0" t="0" r="0" b="0"/>
                  <wp:docPr id="924" name="IM 924"/>
                  <wp:cNvGraphicFramePr/>
                  <a:graphic xmlns:a="http://schemas.openxmlformats.org/drawingml/2006/main">
                    <a:graphicData uri="http://schemas.openxmlformats.org/drawingml/2006/picture">
                      <pic:pic xmlns:pic="http://schemas.openxmlformats.org/drawingml/2006/picture">
                        <pic:nvPicPr>
                          <pic:cNvPr id="924" name="IM 924"/>
                          <pic:cNvPicPr/>
                        </pic:nvPicPr>
                        <pic:blipFill>
                          <a:blip r:embed="rId637"/>
                          <a:stretch>
                            <a:fillRect/>
                          </a:stretch>
                        </pic:blipFill>
                        <pic:spPr>
                          <a:xfrm>
                            <a:off x="0" y="0"/>
                            <a:ext cx="18287" cy="37338"/>
                          </a:xfrm>
                          <a:prstGeom prst="rect">
                            <a:avLst/>
                          </a:prstGeom>
                        </pic:spPr>
                      </pic:pic>
                    </a:graphicData>
                  </a:graphic>
                </wp:inline>
              </w:drawing>
            </w:r>
          </w:p>
          <w:p w14:paraId="0427073E">
            <w:pPr>
              <w:pStyle w:val="7"/>
              <w:spacing w:before="270" w:line="238" w:lineRule="auto"/>
              <w:ind w:left="150"/>
            </w:pPr>
            <w:r>
              <w:t>△</w:t>
            </w:r>
          </w:p>
        </w:tc>
      </w:tr>
      <w:tr w14:paraId="15CB36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22" w:hRule="atLeast"/>
        </w:trPr>
        <w:tc>
          <w:tcPr>
            <w:tcW w:w="616" w:type="dxa"/>
            <w:tcBorders>
              <w:left w:val="single" w:color="000000" w:sz="4" w:space="0"/>
            </w:tcBorders>
            <w:vAlign w:val="top"/>
          </w:tcPr>
          <w:p w14:paraId="5A5961F6">
            <w:pPr>
              <w:spacing w:line="241" w:lineRule="auto"/>
              <w:rPr>
                <w:rFonts w:ascii="Arial"/>
                <w:sz w:val="21"/>
              </w:rPr>
            </w:pPr>
          </w:p>
          <w:p w14:paraId="786F6B54">
            <w:pPr>
              <w:spacing w:line="242" w:lineRule="auto"/>
              <w:rPr>
                <w:rFonts w:ascii="Arial"/>
                <w:sz w:val="21"/>
              </w:rPr>
            </w:pPr>
          </w:p>
          <w:p w14:paraId="2FC8959C">
            <w:pPr>
              <w:pStyle w:val="7"/>
              <w:spacing w:before="78" w:line="238" w:lineRule="auto"/>
              <w:ind w:left="227"/>
            </w:pPr>
            <w:r>
              <w:rPr>
                <w:spacing w:val="-10"/>
              </w:rPr>
              <w:t>14</w:t>
            </w:r>
          </w:p>
        </w:tc>
        <w:tc>
          <w:tcPr>
            <w:tcW w:w="1378" w:type="dxa"/>
            <w:vAlign w:val="top"/>
          </w:tcPr>
          <w:p w14:paraId="4B9BC6E6">
            <w:pPr>
              <w:spacing w:line="251" w:lineRule="auto"/>
              <w:rPr>
                <w:rFonts w:ascii="Arial"/>
                <w:sz w:val="21"/>
              </w:rPr>
            </w:pPr>
          </w:p>
          <w:p w14:paraId="4FD2A067">
            <w:pPr>
              <w:pStyle w:val="7"/>
              <w:spacing w:before="78" w:line="360" w:lineRule="auto"/>
              <w:ind w:left="264" w:right="30" w:hanging="192"/>
            </w:pPr>
            <w:r>
              <w:rPr>
                <w:spacing w:val="-29"/>
              </w:rPr>
              <w:t>不符合纠正、</w:t>
            </w:r>
            <w:r>
              <w:rPr>
                <w:spacing w:val="-16"/>
              </w:rPr>
              <w:t>预防措施</w:t>
            </w:r>
          </w:p>
        </w:tc>
        <w:tc>
          <w:tcPr>
            <w:tcW w:w="513" w:type="dxa"/>
            <w:vAlign w:val="top"/>
          </w:tcPr>
          <w:p w14:paraId="1BDD82BF">
            <w:pPr>
              <w:rPr>
                <w:rFonts w:ascii="Arial"/>
                <w:sz w:val="21"/>
              </w:rPr>
            </w:pPr>
          </w:p>
        </w:tc>
        <w:tc>
          <w:tcPr>
            <w:tcW w:w="597" w:type="dxa"/>
            <w:vAlign w:val="top"/>
          </w:tcPr>
          <w:p w14:paraId="5B48A1FF">
            <w:pPr>
              <w:spacing w:line="357" w:lineRule="auto"/>
              <w:rPr>
                <w:rFonts w:ascii="Arial"/>
                <w:sz w:val="21"/>
              </w:rPr>
            </w:pPr>
          </w:p>
          <w:p w14:paraId="7FAD8D8E">
            <w:pPr>
              <w:spacing w:line="357" w:lineRule="auto"/>
              <w:rPr>
                <w:rFonts w:ascii="Arial"/>
                <w:sz w:val="21"/>
              </w:rPr>
            </w:pPr>
          </w:p>
          <w:p w14:paraId="6B2D010C">
            <w:pPr>
              <w:pStyle w:val="7"/>
              <w:spacing w:before="78" w:line="236" w:lineRule="auto"/>
              <w:ind w:left="216"/>
            </w:pPr>
            <w:r>
              <w:t>○</w:t>
            </w:r>
          </w:p>
        </w:tc>
        <w:tc>
          <w:tcPr>
            <w:tcW w:w="597" w:type="dxa"/>
            <w:vAlign w:val="top"/>
          </w:tcPr>
          <w:p w14:paraId="27DD015B">
            <w:pPr>
              <w:rPr>
                <w:rFonts w:ascii="Arial"/>
                <w:sz w:val="21"/>
              </w:rPr>
            </w:pPr>
          </w:p>
        </w:tc>
        <w:tc>
          <w:tcPr>
            <w:tcW w:w="597" w:type="dxa"/>
            <w:vAlign w:val="top"/>
          </w:tcPr>
          <w:p w14:paraId="6B688D02">
            <w:pPr>
              <w:rPr>
                <w:rFonts w:ascii="Arial"/>
                <w:sz w:val="21"/>
              </w:rPr>
            </w:pPr>
          </w:p>
        </w:tc>
        <w:tc>
          <w:tcPr>
            <w:tcW w:w="595" w:type="dxa"/>
            <w:vAlign w:val="top"/>
          </w:tcPr>
          <w:p w14:paraId="4D22C767">
            <w:pPr>
              <w:rPr>
                <w:rFonts w:ascii="Arial"/>
                <w:sz w:val="21"/>
              </w:rPr>
            </w:pPr>
          </w:p>
        </w:tc>
        <w:tc>
          <w:tcPr>
            <w:tcW w:w="597" w:type="dxa"/>
            <w:vAlign w:val="top"/>
          </w:tcPr>
          <w:p w14:paraId="59625F33">
            <w:pPr>
              <w:spacing w:line="356" w:lineRule="auto"/>
              <w:rPr>
                <w:rFonts w:ascii="Arial"/>
                <w:sz w:val="21"/>
              </w:rPr>
            </w:pPr>
          </w:p>
          <w:p w14:paraId="7FA4ABF3">
            <w:pPr>
              <w:spacing w:line="357" w:lineRule="auto"/>
              <w:rPr>
                <w:rFonts w:ascii="Arial"/>
                <w:sz w:val="21"/>
              </w:rPr>
            </w:pPr>
          </w:p>
          <w:p w14:paraId="3D9945D9">
            <w:pPr>
              <w:pStyle w:val="7"/>
              <w:spacing w:before="78" w:line="238" w:lineRule="auto"/>
              <w:ind w:left="205"/>
            </w:pPr>
            <w:r>
              <w:t>△</w:t>
            </w:r>
          </w:p>
        </w:tc>
        <w:tc>
          <w:tcPr>
            <w:tcW w:w="597" w:type="dxa"/>
            <w:vAlign w:val="top"/>
          </w:tcPr>
          <w:p w14:paraId="66F4B317">
            <w:pPr>
              <w:spacing w:line="357" w:lineRule="auto"/>
              <w:rPr>
                <w:rFonts w:ascii="Arial"/>
                <w:sz w:val="21"/>
              </w:rPr>
            </w:pPr>
          </w:p>
          <w:p w14:paraId="293D8B3D">
            <w:pPr>
              <w:spacing w:line="357" w:lineRule="auto"/>
              <w:rPr>
                <w:rFonts w:ascii="Arial"/>
                <w:sz w:val="21"/>
              </w:rPr>
            </w:pPr>
          </w:p>
          <w:p w14:paraId="7FCF1369">
            <w:pPr>
              <w:pStyle w:val="7"/>
              <w:spacing w:before="78" w:line="237" w:lineRule="auto"/>
              <w:ind w:left="219"/>
            </w:pPr>
            <w:r>
              <w:t>●</w:t>
            </w:r>
          </w:p>
        </w:tc>
        <w:tc>
          <w:tcPr>
            <w:tcW w:w="597" w:type="dxa"/>
            <w:vAlign w:val="top"/>
          </w:tcPr>
          <w:p w14:paraId="44E3A801">
            <w:pPr>
              <w:spacing w:line="356" w:lineRule="auto"/>
              <w:rPr>
                <w:rFonts w:ascii="Arial"/>
                <w:sz w:val="21"/>
              </w:rPr>
            </w:pPr>
          </w:p>
          <w:p w14:paraId="55DEC8FC">
            <w:pPr>
              <w:spacing w:line="357" w:lineRule="auto"/>
              <w:rPr>
                <w:rFonts w:ascii="Arial"/>
                <w:sz w:val="21"/>
              </w:rPr>
            </w:pPr>
          </w:p>
          <w:p w14:paraId="58F207BC">
            <w:pPr>
              <w:pStyle w:val="7"/>
              <w:spacing w:before="78" w:line="238" w:lineRule="auto"/>
              <w:ind w:left="206"/>
            </w:pPr>
            <w:r>
              <w:t>△</w:t>
            </w:r>
          </w:p>
        </w:tc>
        <w:tc>
          <w:tcPr>
            <w:tcW w:w="600" w:type="dxa"/>
            <w:vAlign w:val="top"/>
          </w:tcPr>
          <w:p w14:paraId="2ACB280C">
            <w:pPr>
              <w:spacing w:line="356" w:lineRule="auto"/>
              <w:rPr>
                <w:rFonts w:ascii="Arial"/>
                <w:sz w:val="21"/>
              </w:rPr>
            </w:pPr>
          </w:p>
          <w:p w14:paraId="3A65C611">
            <w:pPr>
              <w:spacing w:line="357" w:lineRule="auto"/>
              <w:rPr>
                <w:rFonts w:ascii="Arial"/>
                <w:sz w:val="21"/>
              </w:rPr>
            </w:pPr>
          </w:p>
          <w:p w14:paraId="226BA5FE">
            <w:pPr>
              <w:pStyle w:val="7"/>
              <w:spacing w:before="78" w:line="238" w:lineRule="auto"/>
              <w:ind w:left="207"/>
            </w:pPr>
            <w:r>
              <w:t>△</w:t>
            </w:r>
          </w:p>
        </w:tc>
        <w:tc>
          <w:tcPr>
            <w:tcW w:w="856" w:type="dxa"/>
            <w:vAlign w:val="top"/>
          </w:tcPr>
          <w:p w14:paraId="1DEA011C">
            <w:pPr>
              <w:spacing w:line="356" w:lineRule="auto"/>
              <w:rPr>
                <w:rFonts w:ascii="Arial"/>
                <w:sz w:val="21"/>
              </w:rPr>
            </w:pPr>
          </w:p>
          <w:p w14:paraId="36458E7C">
            <w:pPr>
              <w:spacing w:line="357" w:lineRule="auto"/>
              <w:rPr>
                <w:rFonts w:ascii="Arial"/>
                <w:sz w:val="21"/>
              </w:rPr>
            </w:pPr>
          </w:p>
          <w:p w14:paraId="0A9D6E24">
            <w:pPr>
              <w:pStyle w:val="7"/>
              <w:spacing w:before="78" w:line="238" w:lineRule="auto"/>
              <w:ind w:left="337"/>
            </w:pPr>
            <w:r>
              <w:t>△</w:t>
            </w:r>
          </w:p>
        </w:tc>
        <w:tc>
          <w:tcPr>
            <w:tcW w:w="508" w:type="dxa"/>
            <w:tcBorders>
              <w:right w:val="single" w:color="000000" w:sz="4" w:space="0"/>
            </w:tcBorders>
            <w:vAlign w:val="top"/>
          </w:tcPr>
          <w:p w14:paraId="54356A93">
            <w:pPr>
              <w:spacing w:line="59" w:lineRule="exact"/>
              <w:ind w:right="4"/>
              <w:jc w:val="right"/>
            </w:pPr>
            <w:r>
              <w:rPr>
                <w:position w:val="-1"/>
              </w:rPr>
              <w:drawing>
                <wp:inline distT="0" distB="0" distL="0" distR="0">
                  <wp:extent cx="17780" cy="37465"/>
                  <wp:effectExtent l="0" t="0" r="0" b="0"/>
                  <wp:docPr id="926" name="IM 926"/>
                  <wp:cNvGraphicFramePr/>
                  <a:graphic xmlns:a="http://schemas.openxmlformats.org/drawingml/2006/main">
                    <a:graphicData uri="http://schemas.openxmlformats.org/drawingml/2006/picture">
                      <pic:pic xmlns:pic="http://schemas.openxmlformats.org/drawingml/2006/picture">
                        <pic:nvPicPr>
                          <pic:cNvPr id="926" name="IM 926"/>
                          <pic:cNvPicPr/>
                        </pic:nvPicPr>
                        <pic:blipFill>
                          <a:blip r:embed="rId506"/>
                          <a:stretch>
                            <a:fillRect/>
                          </a:stretch>
                        </pic:blipFill>
                        <pic:spPr>
                          <a:xfrm>
                            <a:off x="0" y="0"/>
                            <a:ext cx="18287" cy="37845"/>
                          </a:xfrm>
                          <a:prstGeom prst="rect">
                            <a:avLst/>
                          </a:prstGeom>
                        </pic:spPr>
                      </pic:pic>
                    </a:graphicData>
                  </a:graphic>
                </wp:inline>
              </w:drawing>
            </w:r>
          </w:p>
          <w:p w14:paraId="27583CC8">
            <w:pPr>
              <w:spacing w:line="327" w:lineRule="auto"/>
              <w:rPr>
                <w:rFonts w:ascii="Arial"/>
                <w:sz w:val="21"/>
              </w:rPr>
            </w:pPr>
          </w:p>
          <w:p w14:paraId="49D1B10D">
            <w:pPr>
              <w:spacing w:line="327" w:lineRule="auto"/>
              <w:rPr>
                <w:rFonts w:ascii="Arial"/>
                <w:sz w:val="21"/>
              </w:rPr>
            </w:pPr>
          </w:p>
          <w:p w14:paraId="0B0E699F">
            <w:pPr>
              <w:pStyle w:val="7"/>
              <w:spacing w:before="78" w:line="238" w:lineRule="auto"/>
              <w:ind w:left="150"/>
            </w:pPr>
            <w:r>
              <w:t>△</w:t>
            </w:r>
          </w:p>
        </w:tc>
      </w:tr>
      <w:tr w14:paraId="701517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0" w:hRule="atLeast"/>
        </w:trPr>
        <w:tc>
          <w:tcPr>
            <w:tcW w:w="616" w:type="dxa"/>
            <w:tcBorders>
              <w:left w:val="single" w:color="000000" w:sz="4" w:space="0"/>
            </w:tcBorders>
            <w:vAlign w:val="top"/>
          </w:tcPr>
          <w:p w14:paraId="41DADCC9">
            <w:pPr>
              <w:pStyle w:val="7"/>
              <w:spacing w:before="99" w:line="237" w:lineRule="auto"/>
              <w:ind w:left="227"/>
            </w:pPr>
            <w:r>
              <w:rPr>
                <w:spacing w:val="-10"/>
              </w:rPr>
              <w:t>15</w:t>
            </w:r>
          </w:p>
        </w:tc>
        <w:tc>
          <w:tcPr>
            <w:tcW w:w="1378" w:type="dxa"/>
            <w:vAlign w:val="top"/>
          </w:tcPr>
          <w:p w14:paraId="0AB10B6F">
            <w:pPr>
              <w:pStyle w:val="7"/>
              <w:spacing w:before="99" w:line="219" w:lineRule="auto"/>
              <w:ind w:left="479"/>
            </w:pPr>
            <w:r>
              <w:rPr>
                <w:spacing w:val="-9"/>
              </w:rPr>
              <w:t>记录</w:t>
            </w:r>
          </w:p>
        </w:tc>
        <w:tc>
          <w:tcPr>
            <w:tcW w:w="513" w:type="dxa"/>
            <w:vAlign w:val="top"/>
          </w:tcPr>
          <w:p w14:paraId="315AFAC9">
            <w:pPr>
              <w:rPr>
                <w:rFonts w:ascii="Arial"/>
                <w:sz w:val="21"/>
              </w:rPr>
            </w:pPr>
          </w:p>
        </w:tc>
        <w:tc>
          <w:tcPr>
            <w:tcW w:w="597" w:type="dxa"/>
            <w:vAlign w:val="top"/>
          </w:tcPr>
          <w:p w14:paraId="2DA98377">
            <w:pPr>
              <w:rPr>
                <w:rFonts w:ascii="Arial"/>
                <w:sz w:val="21"/>
              </w:rPr>
            </w:pPr>
          </w:p>
        </w:tc>
        <w:tc>
          <w:tcPr>
            <w:tcW w:w="597" w:type="dxa"/>
            <w:vAlign w:val="top"/>
          </w:tcPr>
          <w:p w14:paraId="30F411D9">
            <w:pPr>
              <w:pStyle w:val="7"/>
              <w:spacing w:before="100" w:line="236" w:lineRule="auto"/>
              <w:ind w:left="214"/>
            </w:pPr>
            <w:r>
              <w:t>○</w:t>
            </w:r>
          </w:p>
        </w:tc>
        <w:tc>
          <w:tcPr>
            <w:tcW w:w="597" w:type="dxa"/>
            <w:vAlign w:val="top"/>
          </w:tcPr>
          <w:p w14:paraId="12D64BDB">
            <w:pPr>
              <w:pStyle w:val="7"/>
              <w:spacing w:before="100" w:line="236" w:lineRule="auto"/>
              <w:ind w:left="217"/>
            </w:pPr>
            <w:r>
              <w:t>○</w:t>
            </w:r>
          </w:p>
        </w:tc>
        <w:tc>
          <w:tcPr>
            <w:tcW w:w="595" w:type="dxa"/>
            <w:vAlign w:val="top"/>
          </w:tcPr>
          <w:p w14:paraId="1AC0BF4A">
            <w:pPr>
              <w:rPr>
                <w:rFonts w:ascii="Arial"/>
                <w:sz w:val="21"/>
              </w:rPr>
            </w:pPr>
          </w:p>
        </w:tc>
        <w:tc>
          <w:tcPr>
            <w:tcW w:w="597" w:type="dxa"/>
            <w:vAlign w:val="top"/>
          </w:tcPr>
          <w:p w14:paraId="33633ADC">
            <w:pPr>
              <w:pStyle w:val="7"/>
              <w:spacing w:before="99" w:line="238" w:lineRule="auto"/>
              <w:ind w:left="205"/>
            </w:pPr>
            <w:r>
              <w:t>△</w:t>
            </w:r>
          </w:p>
        </w:tc>
        <w:tc>
          <w:tcPr>
            <w:tcW w:w="597" w:type="dxa"/>
            <w:vAlign w:val="top"/>
          </w:tcPr>
          <w:p w14:paraId="5EB817B5">
            <w:pPr>
              <w:pStyle w:val="7"/>
              <w:spacing w:before="99" w:line="238" w:lineRule="auto"/>
              <w:ind w:left="205"/>
            </w:pPr>
            <w:r>
              <w:t>△</w:t>
            </w:r>
          </w:p>
        </w:tc>
        <w:tc>
          <w:tcPr>
            <w:tcW w:w="597" w:type="dxa"/>
            <w:vAlign w:val="top"/>
          </w:tcPr>
          <w:p w14:paraId="4418385E">
            <w:pPr>
              <w:pStyle w:val="7"/>
              <w:spacing w:before="99" w:line="238" w:lineRule="auto"/>
              <w:ind w:left="206"/>
            </w:pPr>
            <w:r>
              <w:t>△</w:t>
            </w:r>
          </w:p>
        </w:tc>
        <w:tc>
          <w:tcPr>
            <w:tcW w:w="600" w:type="dxa"/>
            <w:vAlign w:val="top"/>
          </w:tcPr>
          <w:p w14:paraId="3D8FB4FD">
            <w:pPr>
              <w:pStyle w:val="7"/>
              <w:spacing w:before="99" w:line="238" w:lineRule="auto"/>
              <w:ind w:left="207"/>
            </w:pPr>
            <w:r>
              <w:t>△</w:t>
            </w:r>
          </w:p>
        </w:tc>
        <w:tc>
          <w:tcPr>
            <w:tcW w:w="856" w:type="dxa"/>
            <w:vAlign w:val="top"/>
          </w:tcPr>
          <w:p w14:paraId="6FEDF449">
            <w:pPr>
              <w:pStyle w:val="7"/>
              <w:spacing w:before="99" w:line="237" w:lineRule="auto"/>
              <w:ind w:left="350"/>
            </w:pPr>
            <w:r>
              <w:t>●</w:t>
            </w:r>
          </w:p>
        </w:tc>
        <w:tc>
          <w:tcPr>
            <w:tcW w:w="508" w:type="dxa"/>
            <w:tcBorders>
              <w:right w:val="single" w:color="000000" w:sz="4" w:space="0"/>
            </w:tcBorders>
            <w:vAlign w:val="top"/>
          </w:tcPr>
          <w:p w14:paraId="7845559B">
            <w:pPr>
              <w:spacing w:line="61" w:lineRule="exact"/>
              <w:ind w:right="4"/>
              <w:jc w:val="right"/>
            </w:pPr>
            <w:r>
              <w:rPr>
                <w:position w:val="-1"/>
              </w:rPr>
              <w:drawing>
                <wp:inline distT="0" distB="0" distL="0" distR="0">
                  <wp:extent cx="17780" cy="38735"/>
                  <wp:effectExtent l="0" t="0" r="0" b="0"/>
                  <wp:docPr id="928" name="IM 928"/>
                  <wp:cNvGraphicFramePr/>
                  <a:graphic xmlns:a="http://schemas.openxmlformats.org/drawingml/2006/main">
                    <a:graphicData uri="http://schemas.openxmlformats.org/drawingml/2006/picture">
                      <pic:pic xmlns:pic="http://schemas.openxmlformats.org/drawingml/2006/picture">
                        <pic:nvPicPr>
                          <pic:cNvPr id="928" name="IM 928"/>
                          <pic:cNvPicPr/>
                        </pic:nvPicPr>
                        <pic:blipFill>
                          <a:blip r:embed="rId449"/>
                          <a:stretch>
                            <a:fillRect/>
                          </a:stretch>
                        </pic:blipFill>
                        <pic:spPr>
                          <a:xfrm>
                            <a:off x="0" y="0"/>
                            <a:ext cx="18287" cy="38989"/>
                          </a:xfrm>
                          <a:prstGeom prst="rect">
                            <a:avLst/>
                          </a:prstGeom>
                        </pic:spPr>
                      </pic:pic>
                    </a:graphicData>
                  </a:graphic>
                </wp:inline>
              </w:drawing>
            </w:r>
          </w:p>
          <w:p w14:paraId="2FB7318A">
            <w:pPr>
              <w:pStyle w:val="7"/>
              <w:spacing w:before="38" w:line="238" w:lineRule="auto"/>
              <w:ind w:left="150"/>
            </w:pPr>
            <w:r>
              <w:t>△</w:t>
            </w:r>
          </w:p>
        </w:tc>
      </w:tr>
      <w:tr w14:paraId="2C8B0D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57" w:hRule="atLeast"/>
        </w:trPr>
        <w:tc>
          <w:tcPr>
            <w:tcW w:w="616" w:type="dxa"/>
            <w:tcBorders>
              <w:left w:val="single" w:color="000000" w:sz="4" w:space="0"/>
            </w:tcBorders>
            <w:vAlign w:val="top"/>
          </w:tcPr>
          <w:p w14:paraId="307193CE">
            <w:pPr>
              <w:spacing w:line="253" w:lineRule="auto"/>
              <w:rPr>
                <w:rFonts w:ascii="Arial"/>
                <w:sz w:val="21"/>
              </w:rPr>
            </w:pPr>
          </w:p>
          <w:p w14:paraId="2BCD4BA6">
            <w:pPr>
              <w:pStyle w:val="7"/>
              <w:spacing w:before="78" w:line="237" w:lineRule="auto"/>
              <w:ind w:left="227"/>
            </w:pPr>
            <w:r>
              <w:rPr>
                <w:spacing w:val="-10"/>
              </w:rPr>
              <w:t>16</w:t>
            </w:r>
          </w:p>
        </w:tc>
        <w:tc>
          <w:tcPr>
            <w:tcW w:w="1378" w:type="dxa"/>
            <w:vAlign w:val="top"/>
          </w:tcPr>
          <w:p w14:paraId="2B9E7CE8">
            <w:pPr>
              <w:pStyle w:val="7"/>
              <w:spacing w:before="101" w:line="361" w:lineRule="auto"/>
              <w:ind w:left="380" w:right="122" w:hanging="225"/>
            </w:pPr>
            <w:r>
              <w:rPr>
                <w:spacing w:val="-21"/>
              </w:rPr>
              <w:t>环境管理体</w:t>
            </w:r>
            <w:r>
              <w:rPr>
                <w:spacing w:val="-16"/>
              </w:rPr>
              <w:t>系审核</w:t>
            </w:r>
          </w:p>
        </w:tc>
        <w:tc>
          <w:tcPr>
            <w:tcW w:w="513" w:type="dxa"/>
            <w:vAlign w:val="top"/>
          </w:tcPr>
          <w:p w14:paraId="1E6C8E11">
            <w:pPr>
              <w:rPr>
                <w:rFonts w:ascii="Arial"/>
                <w:sz w:val="21"/>
              </w:rPr>
            </w:pPr>
          </w:p>
        </w:tc>
        <w:tc>
          <w:tcPr>
            <w:tcW w:w="597" w:type="dxa"/>
            <w:vAlign w:val="top"/>
          </w:tcPr>
          <w:p w14:paraId="27A19F0B">
            <w:pPr>
              <w:rPr>
                <w:rFonts w:ascii="Arial"/>
                <w:sz w:val="21"/>
              </w:rPr>
            </w:pPr>
          </w:p>
        </w:tc>
        <w:tc>
          <w:tcPr>
            <w:tcW w:w="597" w:type="dxa"/>
            <w:vAlign w:val="top"/>
          </w:tcPr>
          <w:p w14:paraId="3ECB760E">
            <w:pPr>
              <w:spacing w:line="254" w:lineRule="auto"/>
              <w:rPr>
                <w:rFonts w:ascii="Arial"/>
                <w:sz w:val="21"/>
              </w:rPr>
            </w:pPr>
          </w:p>
          <w:p w14:paraId="7BB040AA">
            <w:pPr>
              <w:pStyle w:val="7"/>
              <w:spacing w:before="78" w:line="236" w:lineRule="auto"/>
              <w:ind w:left="214"/>
            </w:pPr>
            <w:r>
              <w:t>○</w:t>
            </w:r>
          </w:p>
        </w:tc>
        <w:tc>
          <w:tcPr>
            <w:tcW w:w="597" w:type="dxa"/>
            <w:vAlign w:val="top"/>
          </w:tcPr>
          <w:p w14:paraId="75215DDD">
            <w:pPr>
              <w:spacing w:line="254" w:lineRule="auto"/>
              <w:rPr>
                <w:rFonts w:ascii="Arial"/>
                <w:sz w:val="21"/>
              </w:rPr>
            </w:pPr>
          </w:p>
          <w:p w14:paraId="75B27C7D">
            <w:pPr>
              <w:pStyle w:val="7"/>
              <w:spacing w:before="78" w:line="236" w:lineRule="auto"/>
              <w:ind w:left="217"/>
            </w:pPr>
            <w:r>
              <w:t>○</w:t>
            </w:r>
          </w:p>
        </w:tc>
        <w:tc>
          <w:tcPr>
            <w:tcW w:w="595" w:type="dxa"/>
            <w:vAlign w:val="top"/>
          </w:tcPr>
          <w:p w14:paraId="146B4710">
            <w:pPr>
              <w:rPr>
                <w:rFonts w:ascii="Arial"/>
                <w:sz w:val="21"/>
              </w:rPr>
            </w:pPr>
          </w:p>
        </w:tc>
        <w:tc>
          <w:tcPr>
            <w:tcW w:w="597" w:type="dxa"/>
            <w:vAlign w:val="top"/>
          </w:tcPr>
          <w:p w14:paraId="74CC4DAB">
            <w:pPr>
              <w:spacing w:line="253" w:lineRule="auto"/>
              <w:rPr>
                <w:rFonts w:ascii="Arial"/>
                <w:sz w:val="21"/>
              </w:rPr>
            </w:pPr>
          </w:p>
          <w:p w14:paraId="63DB5C9F">
            <w:pPr>
              <w:pStyle w:val="7"/>
              <w:spacing w:before="78" w:line="238" w:lineRule="auto"/>
              <w:ind w:left="205"/>
            </w:pPr>
            <w:r>
              <w:t>△</w:t>
            </w:r>
          </w:p>
        </w:tc>
        <w:tc>
          <w:tcPr>
            <w:tcW w:w="597" w:type="dxa"/>
            <w:vAlign w:val="top"/>
          </w:tcPr>
          <w:p w14:paraId="5296403D">
            <w:pPr>
              <w:spacing w:line="253" w:lineRule="auto"/>
              <w:rPr>
                <w:rFonts w:ascii="Arial"/>
                <w:sz w:val="21"/>
              </w:rPr>
            </w:pPr>
          </w:p>
          <w:p w14:paraId="79D68348">
            <w:pPr>
              <w:pStyle w:val="7"/>
              <w:spacing w:before="78" w:line="238" w:lineRule="auto"/>
              <w:ind w:left="205"/>
            </w:pPr>
            <w:r>
              <w:t>△</w:t>
            </w:r>
          </w:p>
        </w:tc>
        <w:tc>
          <w:tcPr>
            <w:tcW w:w="597" w:type="dxa"/>
            <w:vAlign w:val="top"/>
          </w:tcPr>
          <w:p w14:paraId="3CF61E94">
            <w:pPr>
              <w:spacing w:line="253" w:lineRule="auto"/>
              <w:rPr>
                <w:rFonts w:ascii="Arial"/>
                <w:sz w:val="21"/>
              </w:rPr>
            </w:pPr>
          </w:p>
          <w:p w14:paraId="34A6C57A">
            <w:pPr>
              <w:pStyle w:val="7"/>
              <w:spacing w:before="78" w:line="238" w:lineRule="auto"/>
              <w:ind w:left="206"/>
            </w:pPr>
            <w:r>
              <w:t>△</w:t>
            </w:r>
          </w:p>
        </w:tc>
        <w:tc>
          <w:tcPr>
            <w:tcW w:w="600" w:type="dxa"/>
            <w:vAlign w:val="top"/>
          </w:tcPr>
          <w:p w14:paraId="1B80F970">
            <w:pPr>
              <w:spacing w:line="253" w:lineRule="auto"/>
              <w:rPr>
                <w:rFonts w:ascii="Arial"/>
                <w:sz w:val="21"/>
              </w:rPr>
            </w:pPr>
          </w:p>
          <w:p w14:paraId="65A9809B">
            <w:pPr>
              <w:pStyle w:val="7"/>
              <w:spacing w:before="78" w:line="238" w:lineRule="auto"/>
              <w:ind w:left="207"/>
            </w:pPr>
            <w:r>
              <w:t>△</w:t>
            </w:r>
          </w:p>
        </w:tc>
        <w:tc>
          <w:tcPr>
            <w:tcW w:w="856" w:type="dxa"/>
            <w:vAlign w:val="top"/>
          </w:tcPr>
          <w:p w14:paraId="74757BA3">
            <w:pPr>
              <w:spacing w:line="253" w:lineRule="auto"/>
              <w:rPr>
                <w:rFonts w:ascii="Arial"/>
                <w:sz w:val="21"/>
              </w:rPr>
            </w:pPr>
          </w:p>
          <w:p w14:paraId="508180FC">
            <w:pPr>
              <w:pStyle w:val="7"/>
              <w:spacing w:before="78" w:line="237" w:lineRule="auto"/>
              <w:ind w:left="350"/>
            </w:pPr>
            <w:r>
              <w:t>●</w:t>
            </w:r>
          </w:p>
        </w:tc>
        <w:tc>
          <w:tcPr>
            <w:tcW w:w="508" w:type="dxa"/>
            <w:tcBorders>
              <w:right w:val="single" w:color="000000" w:sz="4" w:space="0"/>
            </w:tcBorders>
            <w:vAlign w:val="top"/>
          </w:tcPr>
          <w:p w14:paraId="1ECDF078">
            <w:pPr>
              <w:spacing w:line="62" w:lineRule="exact"/>
              <w:ind w:right="4"/>
              <w:jc w:val="right"/>
            </w:pPr>
            <w:r>
              <w:rPr>
                <w:position w:val="-1"/>
              </w:rPr>
              <w:drawing>
                <wp:inline distT="0" distB="0" distL="0" distR="0">
                  <wp:extent cx="17780" cy="39370"/>
                  <wp:effectExtent l="0" t="0" r="0" b="0"/>
                  <wp:docPr id="930" name="IM 930"/>
                  <wp:cNvGraphicFramePr/>
                  <a:graphic xmlns:a="http://schemas.openxmlformats.org/drawingml/2006/main">
                    <a:graphicData uri="http://schemas.openxmlformats.org/drawingml/2006/picture">
                      <pic:pic xmlns:pic="http://schemas.openxmlformats.org/drawingml/2006/picture">
                        <pic:nvPicPr>
                          <pic:cNvPr id="930" name="IM 930"/>
                          <pic:cNvPicPr/>
                        </pic:nvPicPr>
                        <pic:blipFill>
                          <a:blip r:embed="rId449"/>
                          <a:stretch>
                            <a:fillRect/>
                          </a:stretch>
                        </pic:blipFill>
                        <pic:spPr>
                          <a:xfrm>
                            <a:off x="0" y="0"/>
                            <a:ext cx="18287" cy="39496"/>
                          </a:xfrm>
                          <a:prstGeom prst="rect">
                            <a:avLst/>
                          </a:prstGeom>
                        </pic:spPr>
                      </pic:pic>
                    </a:graphicData>
                  </a:graphic>
                </wp:inline>
              </w:drawing>
            </w:r>
          </w:p>
          <w:p w14:paraId="06B42E7F">
            <w:pPr>
              <w:pStyle w:val="7"/>
              <w:spacing w:before="270" w:line="238" w:lineRule="auto"/>
              <w:ind w:left="150"/>
            </w:pPr>
            <w:r>
              <w:t>△</w:t>
            </w:r>
          </w:p>
        </w:tc>
      </w:tr>
      <w:tr w14:paraId="24C81B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0" w:hRule="atLeast"/>
        </w:trPr>
        <w:tc>
          <w:tcPr>
            <w:tcW w:w="616" w:type="dxa"/>
            <w:tcBorders>
              <w:left w:val="single" w:color="000000" w:sz="4" w:space="0"/>
            </w:tcBorders>
            <w:vAlign w:val="top"/>
          </w:tcPr>
          <w:p w14:paraId="21FBC514">
            <w:pPr>
              <w:pStyle w:val="7"/>
              <w:spacing w:before="101" w:line="237" w:lineRule="auto"/>
              <w:ind w:left="227"/>
            </w:pPr>
            <w:r>
              <w:rPr>
                <w:spacing w:val="-10"/>
              </w:rPr>
              <w:t>17</w:t>
            </w:r>
          </w:p>
        </w:tc>
        <w:tc>
          <w:tcPr>
            <w:tcW w:w="1378" w:type="dxa"/>
            <w:vAlign w:val="top"/>
          </w:tcPr>
          <w:p w14:paraId="59F7E808">
            <w:pPr>
              <w:pStyle w:val="7"/>
              <w:spacing w:before="102" w:line="218" w:lineRule="auto"/>
              <w:ind w:left="276"/>
            </w:pPr>
            <w:r>
              <w:rPr>
                <w:spacing w:val="-19"/>
              </w:rPr>
              <w:t>管理评审</w:t>
            </w:r>
          </w:p>
        </w:tc>
        <w:tc>
          <w:tcPr>
            <w:tcW w:w="513" w:type="dxa"/>
            <w:vAlign w:val="top"/>
          </w:tcPr>
          <w:p w14:paraId="34DDDD78">
            <w:pPr>
              <w:pStyle w:val="7"/>
              <w:spacing w:before="102" w:line="236" w:lineRule="auto"/>
              <w:ind w:left="171"/>
            </w:pPr>
            <w:r>
              <w:t>○</w:t>
            </w:r>
          </w:p>
        </w:tc>
        <w:tc>
          <w:tcPr>
            <w:tcW w:w="597" w:type="dxa"/>
            <w:vAlign w:val="top"/>
          </w:tcPr>
          <w:p w14:paraId="4778ECE9">
            <w:pPr>
              <w:rPr>
                <w:rFonts w:ascii="Arial"/>
                <w:sz w:val="21"/>
              </w:rPr>
            </w:pPr>
          </w:p>
        </w:tc>
        <w:tc>
          <w:tcPr>
            <w:tcW w:w="597" w:type="dxa"/>
            <w:vAlign w:val="top"/>
          </w:tcPr>
          <w:p w14:paraId="314CA1A7">
            <w:pPr>
              <w:rPr>
                <w:rFonts w:ascii="Arial"/>
                <w:sz w:val="21"/>
              </w:rPr>
            </w:pPr>
          </w:p>
        </w:tc>
        <w:tc>
          <w:tcPr>
            <w:tcW w:w="597" w:type="dxa"/>
            <w:vAlign w:val="top"/>
          </w:tcPr>
          <w:p w14:paraId="4A04020A">
            <w:pPr>
              <w:rPr>
                <w:rFonts w:ascii="Arial"/>
                <w:sz w:val="21"/>
              </w:rPr>
            </w:pPr>
          </w:p>
        </w:tc>
        <w:tc>
          <w:tcPr>
            <w:tcW w:w="595" w:type="dxa"/>
            <w:vAlign w:val="top"/>
          </w:tcPr>
          <w:p w14:paraId="6861DFB2">
            <w:pPr>
              <w:rPr>
                <w:rFonts w:ascii="Arial"/>
                <w:sz w:val="21"/>
              </w:rPr>
            </w:pPr>
          </w:p>
        </w:tc>
        <w:tc>
          <w:tcPr>
            <w:tcW w:w="597" w:type="dxa"/>
            <w:vAlign w:val="top"/>
          </w:tcPr>
          <w:p w14:paraId="03704405">
            <w:pPr>
              <w:pStyle w:val="7"/>
              <w:spacing w:before="101" w:line="238" w:lineRule="auto"/>
              <w:ind w:left="205"/>
            </w:pPr>
            <w:r>
              <w:t>△</w:t>
            </w:r>
          </w:p>
        </w:tc>
        <w:tc>
          <w:tcPr>
            <w:tcW w:w="597" w:type="dxa"/>
            <w:vAlign w:val="top"/>
          </w:tcPr>
          <w:p w14:paraId="05C23978">
            <w:pPr>
              <w:pStyle w:val="7"/>
              <w:spacing w:before="101" w:line="238" w:lineRule="auto"/>
              <w:ind w:left="205"/>
            </w:pPr>
            <w:r>
              <w:t>△</w:t>
            </w:r>
          </w:p>
        </w:tc>
        <w:tc>
          <w:tcPr>
            <w:tcW w:w="597" w:type="dxa"/>
            <w:vAlign w:val="top"/>
          </w:tcPr>
          <w:p w14:paraId="22A93BAC">
            <w:pPr>
              <w:pStyle w:val="7"/>
              <w:spacing w:before="101" w:line="238" w:lineRule="auto"/>
              <w:ind w:left="206"/>
            </w:pPr>
            <w:r>
              <w:t>△</w:t>
            </w:r>
          </w:p>
        </w:tc>
        <w:tc>
          <w:tcPr>
            <w:tcW w:w="600" w:type="dxa"/>
            <w:vAlign w:val="top"/>
          </w:tcPr>
          <w:p w14:paraId="09FA3F25">
            <w:pPr>
              <w:pStyle w:val="7"/>
              <w:spacing w:before="101" w:line="238" w:lineRule="auto"/>
              <w:ind w:left="207"/>
            </w:pPr>
            <w:r>
              <w:t>△</w:t>
            </w:r>
          </w:p>
        </w:tc>
        <w:tc>
          <w:tcPr>
            <w:tcW w:w="856" w:type="dxa"/>
            <w:vAlign w:val="top"/>
          </w:tcPr>
          <w:p w14:paraId="629CB6AD">
            <w:pPr>
              <w:pStyle w:val="7"/>
              <w:spacing w:before="101" w:line="237" w:lineRule="auto"/>
              <w:ind w:left="350"/>
            </w:pPr>
            <w:r>
              <w:t>●</w:t>
            </w:r>
          </w:p>
        </w:tc>
        <w:tc>
          <w:tcPr>
            <w:tcW w:w="508" w:type="dxa"/>
            <w:tcBorders>
              <w:right w:val="single" w:color="000000" w:sz="4" w:space="0"/>
            </w:tcBorders>
            <w:vAlign w:val="top"/>
          </w:tcPr>
          <w:p w14:paraId="0B2D4ED9">
            <w:pPr>
              <w:spacing w:line="63" w:lineRule="exact"/>
              <w:ind w:right="4"/>
              <w:jc w:val="right"/>
            </w:pPr>
            <w:r>
              <w:rPr>
                <w:position w:val="-1"/>
              </w:rPr>
              <w:drawing>
                <wp:inline distT="0" distB="0" distL="0" distR="0">
                  <wp:extent cx="17780" cy="40005"/>
                  <wp:effectExtent l="0" t="0" r="0" b="0"/>
                  <wp:docPr id="932" name="IM 932"/>
                  <wp:cNvGraphicFramePr/>
                  <a:graphic xmlns:a="http://schemas.openxmlformats.org/drawingml/2006/main">
                    <a:graphicData uri="http://schemas.openxmlformats.org/drawingml/2006/picture">
                      <pic:pic xmlns:pic="http://schemas.openxmlformats.org/drawingml/2006/picture">
                        <pic:nvPicPr>
                          <pic:cNvPr id="932" name="IM 932"/>
                          <pic:cNvPicPr/>
                        </pic:nvPicPr>
                        <pic:blipFill>
                          <a:blip r:embed="rId475"/>
                          <a:stretch>
                            <a:fillRect/>
                          </a:stretch>
                        </pic:blipFill>
                        <pic:spPr>
                          <a:xfrm>
                            <a:off x="0" y="0"/>
                            <a:ext cx="18287" cy="40258"/>
                          </a:xfrm>
                          <a:prstGeom prst="rect">
                            <a:avLst/>
                          </a:prstGeom>
                        </pic:spPr>
                      </pic:pic>
                    </a:graphicData>
                  </a:graphic>
                </wp:inline>
              </w:drawing>
            </w:r>
          </w:p>
          <w:p w14:paraId="25BB1DCC">
            <w:pPr>
              <w:pStyle w:val="7"/>
              <w:spacing w:before="38" w:line="238" w:lineRule="auto"/>
              <w:ind w:left="150"/>
            </w:pPr>
            <w:r>
              <w:t>△</w:t>
            </w:r>
          </w:p>
        </w:tc>
      </w:tr>
      <w:tr w14:paraId="0381C2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2" w:hRule="atLeast"/>
        </w:trPr>
        <w:tc>
          <w:tcPr>
            <w:tcW w:w="616" w:type="dxa"/>
            <w:tcBorders>
              <w:left w:val="single" w:color="1C456A" w:sz="4" w:space="0"/>
              <w:bottom w:val="single" w:color="1C456A" w:sz="4" w:space="0"/>
              <w:right w:val="nil"/>
            </w:tcBorders>
            <w:vAlign w:val="top"/>
          </w:tcPr>
          <w:p w14:paraId="1CD07D43">
            <w:pPr>
              <w:rPr>
                <w:rFonts w:ascii="Arial"/>
                <w:sz w:val="21"/>
              </w:rPr>
            </w:pPr>
            <w:r>
              <w:pict>
                <v:shape id="_x0000_s3373" o:spid="_x0000_s3373" style="position:absolute;left:0pt;margin-left:-0.25pt;margin-top:172.65pt;height:0.75pt;width:2.2pt;mso-position-horizontal-relative:page;mso-position-vertical-relative:page;z-index:252042240;mso-width-relative:page;mso-height-relative:page;" fillcolor="#5B9BD5" filled="t" stroked="f" coordsize="44,15" path="m0,14l43,14,43,0,0,0,0,14xe">
                  <v:path/>
                  <v:fill on="t" focussize="0,0"/>
                  <v:stroke on="f"/>
                  <v:imagedata o:title=""/>
                  <o:lock v:ext="edit"/>
                </v:shape>
              </w:pict>
            </w:r>
          </w:p>
        </w:tc>
        <w:tc>
          <w:tcPr>
            <w:tcW w:w="6668" w:type="dxa"/>
            <w:gridSpan w:val="10"/>
            <w:tcBorders>
              <w:left w:val="nil"/>
              <w:bottom w:val="single" w:color="1C456A" w:sz="4" w:space="0"/>
              <w:right w:val="nil"/>
            </w:tcBorders>
            <w:vAlign w:val="top"/>
          </w:tcPr>
          <w:p w14:paraId="51B520A3">
            <w:pPr>
              <w:pStyle w:val="7"/>
              <w:spacing w:before="114" w:line="218" w:lineRule="auto"/>
              <w:ind w:left="3179"/>
            </w:pPr>
            <w:r>
              <w:rPr>
                <w:spacing w:val="-17"/>
              </w:rPr>
              <w:t>表格说明：</w:t>
            </w:r>
          </w:p>
          <w:p w14:paraId="79A77B74">
            <w:pPr>
              <w:pStyle w:val="7"/>
              <w:spacing w:before="182" w:line="217" w:lineRule="auto"/>
              <w:jc w:val="right"/>
            </w:pPr>
            <w:r>
              <w:rPr>
                <w:spacing w:val="-24"/>
              </w:rPr>
              <w:t>●——主管部门；△——关联职责；○——领导班子负责人。</w:t>
            </w:r>
          </w:p>
          <w:p w14:paraId="6AA9729C">
            <w:pPr>
              <w:pStyle w:val="7"/>
              <w:spacing w:before="184" w:line="217" w:lineRule="auto"/>
              <w:ind w:left="1630"/>
            </w:pPr>
            <w:r>
              <w:rPr>
                <w:spacing w:val="-21"/>
              </w:rPr>
              <w:t>(1)环境管理体系运行总负责人为项目经理。</w:t>
            </w:r>
          </w:p>
          <w:p w14:paraId="5172E36E">
            <w:pPr>
              <w:pStyle w:val="7"/>
              <w:spacing w:before="184" w:line="217" w:lineRule="auto"/>
              <w:ind w:left="1630"/>
            </w:pPr>
            <w:r>
              <w:rPr>
                <w:spacing w:val="-22"/>
              </w:rPr>
              <w:t>(2)环境管理方案的制定人为项目总工程师。</w:t>
            </w:r>
          </w:p>
          <w:p w14:paraId="15C46A95">
            <w:pPr>
              <w:pStyle w:val="7"/>
              <w:spacing w:before="186" w:line="218" w:lineRule="auto"/>
              <w:ind w:left="1195"/>
            </w:pPr>
            <w:r>
              <w:rPr>
                <w:spacing w:val="-22"/>
              </w:rPr>
              <w:t>(3)环境方案具体实施负责人为生产经理、安全经理。</w:t>
            </w:r>
          </w:p>
          <w:p w14:paraId="039D509E">
            <w:pPr>
              <w:pStyle w:val="7"/>
              <w:spacing w:before="181" w:line="217" w:lineRule="auto"/>
              <w:ind w:left="977"/>
            </w:pPr>
            <w:r>
              <w:rPr>
                <w:spacing w:val="-22"/>
              </w:rPr>
              <w:t>(4)施工人员环保知识培训负责人为绿色施工协调组组长。</w:t>
            </w:r>
          </w:p>
          <w:p w14:paraId="013B382C">
            <w:pPr>
              <w:pStyle w:val="7"/>
              <w:spacing w:before="187" w:line="216" w:lineRule="auto"/>
              <w:ind w:right="28"/>
              <w:jc w:val="right"/>
            </w:pPr>
            <w:r>
              <w:rPr>
                <w:spacing w:val="-21"/>
              </w:rPr>
              <w:t>(5)绿色施工管理办公室负责联络各方工作，汇总各方</w:t>
            </w:r>
            <w:r>
              <w:rPr>
                <w:spacing w:val="-22"/>
              </w:rPr>
              <w:t>资料。</w:t>
            </w:r>
          </w:p>
        </w:tc>
        <w:tc>
          <w:tcPr>
            <w:tcW w:w="1364" w:type="dxa"/>
            <w:gridSpan w:val="2"/>
            <w:tcBorders>
              <w:left w:val="nil"/>
              <w:bottom w:val="single" w:color="1C456A" w:sz="4" w:space="0"/>
              <w:right w:val="single" w:color="1C456A" w:sz="4" w:space="0"/>
            </w:tcBorders>
            <w:vAlign w:val="top"/>
          </w:tcPr>
          <w:p w14:paraId="44E1A541">
            <w:pPr>
              <w:spacing w:line="63" w:lineRule="exact"/>
              <w:ind w:firstLine="1326"/>
            </w:pPr>
            <w:r>
              <w:pict>
                <v:shape id="_x0000_s3374" o:spid="_x0000_s3374" style="position:absolute;left:0pt;margin-left:66.35pt;margin-top:172.65pt;height:0.75pt;width:2.2pt;mso-position-horizontal-relative:page;mso-position-vertical-relative:page;z-index:252041216;mso-width-relative:page;mso-height-relative:page;" fillcolor="#5B9BD5" filled="t" stroked="f" coordsize="44,15" path="m0,14l43,14,43,0,0,0,0,14xe">
                  <v:path/>
                  <v:fill on="t" focussize="0,0"/>
                  <v:stroke on="f"/>
                  <v:imagedata o:title=""/>
                  <o:lock v:ext="edit"/>
                </v:shape>
              </w:pict>
            </w:r>
            <w:r>
              <w:rPr>
                <w:position w:val="-1"/>
              </w:rPr>
              <w:pict>
                <v:group id="_x0000_s3375" o:spid="_x0000_s3375" o:spt="203" style="height:3.4pt;width:1.45pt;" coordsize="29,68">
                  <o:lock v:ext="edit"/>
                  <v:shape id="_x0000_s3376" o:spid="_x0000_s3376" style="position:absolute;left:14;top:0;height:68;width:15;" fillcolor="#20507B" filled="t" stroked="f" coordsize="15,68" path="m0,67l14,67,14,0,0,0,0,67xe">
                    <v:path/>
                    <v:fill on="t" focussize="0,0"/>
                    <v:stroke on="f"/>
                    <v:imagedata o:title=""/>
                    <o:lock v:ext="edit"/>
                  </v:shape>
                  <v:shape id="_x0000_s3377" o:spid="_x0000_s3377" style="position:absolute;left:0;top:0;height:68;width:15;" fillcolor="#1C456A" filled="t" stroked="f" coordsize="15,68" path="m0,67l14,67,14,0,0,0,0,67xe">
                    <v:path/>
                    <v:fill on="t" focussize="0,0"/>
                    <v:stroke on="f"/>
                    <v:imagedata o:title=""/>
                    <o:lock v:ext="edit"/>
                  </v:shape>
                  <w10:wrap type="none"/>
                  <w10:anchorlock/>
                </v:group>
              </w:pict>
            </w:r>
          </w:p>
        </w:tc>
      </w:tr>
    </w:tbl>
    <w:p w14:paraId="49534635">
      <w:pPr>
        <w:pStyle w:val="2"/>
        <w:spacing w:before="114" w:line="217" w:lineRule="auto"/>
        <w:ind w:left="1972"/>
        <w:rPr>
          <w:sz w:val="24"/>
          <w:szCs w:val="24"/>
        </w:rPr>
      </w:pPr>
      <w:r>
        <w:rPr>
          <w:spacing w:val="-16"/>
          <w:sz w:val="24"/>
          <w:szCs w:val="24"/>
        </w:rPr>
        <w:t>2、环境保护管理制度</w:t>
      </w:r>
    </w:p>
    <w:p w14:paraId="5A9B1C3C">
      <w:pPr>
        <w:pStyle w:val="2"/>
        <w:spacing w:before="115" w:line="279" w:lineRule="auto"/>
        <w:ind w:left="1457" w:right="1411" w:firstLine="535"/>
        <w:rPr>
          <w:sz w:val="24"/>
          <w:szCs w:val="24"/>
        </w:rPr>
      </w:pPr>
      <w:r>
        <w:pict>
          <v:shape id="_x0000_s3378" o:spid="_x0000_s3378" style="position:absolute;left:0pt;margin-left:150.25pt;margin-top:61.55pt;height:0.75pt;width:2.2pt;z-index:252037120;mso-width-relative:page;mso-height-relative:page;" fillcolor="#1C456A" filled="t" stroked="f" coordsize="44,15" path="m0,14l43,14,43,0,0,0,0,14xe">
            <v:path/>
            <v:fill on="t" focussize="0,0"/>
            <v:stroke on="f"/>
            <v:imagedata o:title=""/>
            <o:lock v:ext="edit"/>
          </v:shape>
        </w:pict>
      </w:r>
      <w:r>
        <w:rPr>
          <w:spacing w:val="8"/>
          <w:sz w:val="24"/>
          <w:szCs w:val="24"/>
        </w:rPr>
        <w:t>我公司将根据</w:t>
      </w:r>
      <w:r>
        <w:rPr>
          <w:sz w:val="24"/>
          <w:szCs w:val="24"/>
        </w:rPr>
        <w:t>ISO</w:t>
      </w:r>
      <w:r>
        <w:rPr>
          <w:spacing w:val="8"/>
          <w:sz w:val="24"/>
          <w:szCs w:val="24"/>
        </w:rPr>
        <w:t>14001环境管理体系标准，落实工地环境保护措施，重点控</w:t>
      </w:r>
      <w:r>
        <w:rPr>
          <w:spacing w:val="-21"/>
          <w:sz w:val="24"/>
          <w:szCs w:val="24"/>
        </w:rPr>
        <w:t>制对大气污染、对水污染、噪音污染、废弃物管理和自然资源的合理使用，最大程度减少施工</w:t>
      </w:r>
      <w:r>
        <w:rPr>
          <w:spacing w:val="-20"/>
          <w:sz w:val="24"/>
          <w:szCs w:val="24"/>
        </w:rPr>
        <w:t>活动对环境的不利影响。</w:t>
      </w:r>
    </w:p>
    <w:tbl>
      <w:tblPr>
        <w:tblStyle w:val="6"/>
        <w:tblW w:w="8789" w:type="dxa"/>
        <w:tblInd w:w="1558" w:type="dxa"/>
        <w:tblBorders>
          <w:top w:val="single" w:color="5B9BD5" w:sz="4" w:space="0"/>
          <w:left w:val="single" w:color="5B9BD5" w:sz="4" w:space="0"/>
          <w:bottom w:val="single" w:color="5B9BD5" w:sz="4" w:space="0"/>
          <w:right w:val="single" w:color="5B9BD5" w:sz="4" w:space="0"/>
          <w:insideH w:val="single" w:color="5B9BD5" w:sz="4" w:space="0"/>
          <w:insideV w:val="single" w:color="5B9BD5" w:sz="4" w:space="0"/>
        </w:tblBorders>
        <w:tblLayout w:type="fixed"/>
        <w:tblCellMar>
          <w:top w:w="0" w:type="dxa"/>
          <w:left w:w="0" w:type="dxa"/>
          <w:bottom w:w="0" w:type="dxa"/>
          <w:right w:w="0" w:type="dxa"/>
        </w:tblCellMar>
      </w:tblPr>
      <w:tblGrid>
        <w:gridCol w:w="588"/>
        <w:gridCol w:w="874"/>
        <w:gridCol w:w="1004"/>
        <w:gridCol w:w="3352"/>
        <w:gridCol w:w="2425"/>
        <w:gridCol w:w="546"/>
      </w:tblGrid>
      <w:tr w14:paraId="0BC807F6">
        <w:tblPrEx>
          <w:tblBorders>
            <w:top w:val="single" w:color="5B9BD5" w:sz="4" w:space="0"/>
            <w:left w:val="single" w:color="5B9BD5" w:sz="4" w:space="0"/>
            <w:bottom w:val="single" w:color="5B9BD5" w:sz="4" w:space="0"/>
            <w:right w:val="single" w:color="5B9BD5" w:sz="4" w:space="0"/>
            <w:insideH w:val="single" w:color="5B9BD5" w:sz="4" w:space="0"/>
            <w:insideV w:val="single" w:color="5B9BD5" w:sz="4" w:space="0"/>
          </w:tblBorders>
          <w:tblCellMar>
            <w:top w:w="0" w:type="dxa"/>
            <w:left w:w="0" w:type="dxa"/>
            <w:bottom w:w="0" w:type="dxa"/>
            <w:right w:w="0" w:type="dxa"/>
          </w:tblCellMar>
        </w:tblPrEx>
        <w:trPr>
          <w:trHeight w:val="1118" w:hRule="atLeast"/>
        </w:trPr>
        <w:tc>
          <w:tcPr>
            <w:tcW w:w="588" w:type="dxa"/>
            <w:tcBorders>
              <w:top w:val="single" w:color="1C456A" w:sz="4" w:space="0"/>
              <w:left w:val="single" w:color="1C456A" w:sz="4" w:space="0"/>
              <w:bottom w:val="single" w:color="1C456A" w:sz="4" w:space="0"/>
              <w:right w:val="single" w:color="000000" w:sz="2" w:space="0"/>
            </w:tcBorders>
            <w:textDirection w:val="tbRlV"/>
            <w:vAlign w:val="top"/>
          </w:tcPr>
          <w:p w14:paraId="292E9740">
            <w:pPr>
              <w:spacing w:line="31" w:lineRule="exact"/>
            </w:pPr>
            <w:r>
              <w:pict>
                <v:shape id="_x0000_s3379" o:spid="_x0000_s3379" style="position:absolute;left:0pt;margin-left:-0.2pt;margin-top:56.15pt;height:0.75pt;width:2.2pt;mso-position-horizontal-relative:page;mso-position-vertical-relative:page;z-index:252040192;mso-width-relative:page;mso-height-relative:page;" fillcolor="#5B9BD5" filled="t" stroked="f" coordsize="44,15" path="m0,14l43,14,43,0,0,0,0,14xe">
                  <v:path/>
                  <v:fill on="t" focussize="0,0"/>
                  <v:stroke on="f"/>
                  <v:imagedata o:title=""/>
                  <o:lock v:ext="edit"/>
                </v:shape>
              </w:pict>
            </w:r>
            <w:r>
              <w:pict>
                <v:shape id="_x0000_s3380" o:spid="_x0000_s3380" style="position:absolute;left:0pt;margin-left:0.9pt;margin-top:51.75pt;height:2.9pt;width:27.15pt;mso-position-horizontal-relative:page;mso-position-vertical-relative:page;z-index:-251280384;mso-width-relative:page;mso-height-relative:page;" fillcolor="#DEEAF6" filled="t" stroked="f" coordsize="542,58" path="m0,57l542,57,542,0,0,0,0,57xe">
                  <v:path/>
                  <v:fill on="t" focussize="0,0"/>
                  <v:stroke on="f"/>
                  <v:imagedata o:title=""/>
                  <o:lock v:ext="edit"/>
                </v:shape>
              </w:pict>
            </w:r>
            <w:r>
              <w:rPr>
                <w:position w:val="-1"/>
              </w:rPr>
              <w:drawing>
                <wp:inline distT="0" distB="0" distL="0" distR="0">
                  <wp:extent cx="19685" cy="20955"/>
                  <wp:effectExtent l="0" t="0" r="0" b="0"/>
                  <wp:docPr id="934" name="IM 934"/>
                  <wp:cNvGraphicFramePr/>
                  <a:graphic xmlns:a="http://schemas.openxmlformats.org/drawingml/2006/main">
                    <a:graphicData uri="http://schemas.openxmlformats.org/drawingml/2006/picture">
                      <pic:pic xmlns:pic="http://schemas.openxmlformats.org/drawingml/2006/picture">
                        <pic:nvPicPr>
                          <pic:cNvPr id="934" name="IM 934"/>
                          <pic:cNvPicPr/>
                        </pic:nvPicPr>
                        <pic:blipFill>
                          <a:blip r:embed="rId638"/>
                          <a:stretch>
                            <a:fillRect/>
                          </a:stretch>
                        </pic:blipFill>
                        <pic:spPr>
                          <a:xfrm>
                            <a:off x="0" y="0"/>
                            <a:ext cx="19900" cy="21082"/>
                          </a:xfrm>
                          <a:prstGeom prst="rect">
                            <a:avLst/>
                          </a:prstGeom>
                        </pic:spPr>
                      </pic:pic>
                    </a:graphicData>
                  </a:graphic>
                </wp:inline>
              </w:drawing>
            </w:r>
          </w:p>
          <w:p w14:paraId="63ADFEF5">
            <w:pPr>
              <w:pStyle w:val="7"/>
              <w:ind w:left="33"/>
            </w:pPr>
            <w:r>
              <mc:AlternateContent>
                <mc:Choice Requires="wps">
                  <w:drawing>
                    <wp:anchor distT="0" distB="0" distL="0" distR="0" simplePos="0" relativeHeight="252035072" behindDoc="1" locked="0" layoutInCell="1" allowOverlap="1">
                      <wp:simplePos x="0" y="0"/>
                      <wp:positionH relativeFrom="column">
                        <wp:posOffset>-327025</wp:posOffset>
                      </wp:positionH>
                      <wp:positionV relativeFrom="paragraph">
                        <wp:posOffset>20955</wp:posOffset>
                      </wp:positionV>
                      <wp:extent cx="327660" cy="666750"/>
                      <wp:effectExtent l="0" t="0" r="0" b="0"/>
                      <wp:wrapNone/>
                      <wp:docPr id="936" name="Rect 936"/>
                      <wp:cNvGraphicFramePr/>
                      <a:graphic xmlns:a="http://schemas.openxmlformats.org/drawingml/2006/main">
                        <a:graphicData uri="http://schemas.microsoft.com/office/word/2010/wordprocessingShape">
                          <wps:wsp>
                            <wps:cNvSpPr/>
                            <wps:spPr>
                              <a:xfrm>
                                <a:off x="-327634" y="21158"/>
                                <a:ext cx="327659" cy="666750"/>
                              </a:xfrm>
                              <a:prstGeom prst="rect">
                                <a:avLst/>
                              </a:prstGeom>
                              <a:solidFill>
                                <a:srgbClr val="DEEAF6"/>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936" o:spid="_x0000_s1026" o:spt="1" style="position:absolute;left:0pt;margin-left:-25.75pt;margin-top:1.65pt;height:52.5pt;width:25.8pt;z-index:-251281408;mso-width-relative:page;mso-height-relative:page;" fillcolor="#DEEAF6" filled="t" stroked="f" coordsize="21600,21600" o:gfxdata="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oCXR9UAAAAGAQAADwAAAAAAAAABACAAAAAiAAAAZHJzL2Rvd25yZXYueG1s&#10;UEsBAhQAFAAAAAgAh07iQESNWYY0AgAAbwQAAA4AAAAAAAAAAQAgAAAAJAEAAGRycy9lMm9Eb2Mu&#10;eG1sUEsFBgAAAAAGAAYAWQEAAMoFAAAAAA==&#10;">
                      <v:fill on="t" focussize="0,0"/>
                      <v:stroke on="f" weight="0pt"/>
                      <v:imagedata o:title=""/>
                      <o:lock v:ext="edit" aspectratio="f"/>
                      <v:textbox inset="0mm,0mm,0mm,0mm"/>
                    </v:rect>
                  </w:pict>
                </mc:Fallback>
              </mc:AlternateContent>
            </w:r>
            <w:r>
              <w:rPr>
                <w:position w:val="-17"/>
              </w:rPr>
              <w:drawing>
                <wp:inline distT="0" distB="0" distL="0" distR="0">
                  <wp:extent cx="327025" cy="38100"/>
                  <wp:effectExtent l="0" t="0" r="0" b="0"/>
                  <wp:docPr id="938" name="IM 938"/>
                  <wp:cNvGraphicFramePr/>
                  <a:graphic xmlns:a="http://schemas.openxmlformats.org/drawingml/2006/main">
                    <a:graphicData uri="http://schemas.openxmlformats.org/drawingml/2006/picture">
                      <pic:pic xmlns:pic="http://schemas.openxmlformats.org/drawingml/2006/picture">
                        <pic:nvPicPr>
                          <pic:cNvPr id="938" name="IM 938"/>
                          <pic:cNvPicPr/>
                        </pic:nvPicPr>
                        <pic:blipFill>
                          <a:blip r:embed="rId639"/>
                          <a:stretch>
                            <a:fillRect/>
                          </a:stretch>
                        </pic:blipFill>
                        <pic:spPr>
                          <a:xfrm>
                            <a:off x="0" y="0"/>
                            <a:ext cx="327634" cy="38100"/>
                          </a:xfrm>
                          <a:prstGeom prst="rect">
                            <a:avLst/>
                          </a:prstGeom>
                        </pic:spPr>
                      </pic:pic>
                    </a:graphicData>
                  </a:graphic>
                </wp:inline>
              </w:drawing>
            </w:r>
            <w:r>
              <w:rPr>
                <w:b/>
                <w:bCs/>
                <w:spacing w:val="14"/>
              </w:rPr>
              <w:t>序号</w:t>
            </w:r>
          </w:p>
          <w:p w14:paraId="5496B162">
            <w:pPr>
              <w:spacing w:line="33" w:lineRule="exact"/>
            </w:pPr>
            <w:r>
              <w:rPr>
                <w:position w:val="-1"/>
              </w:rPr>
              <w:drawing>
                <wp:inline distT="0" distB="0" distL="0" distR="0">
                  <wp:extent cx="20955" cy="2540"/>
                  <wp:effectExtent l="0" t="0" r="0" b="0"/>
                  <wp:docPr id="940" name="IM 940"/>
                  <wp:cNvGraphicFramePr/>
                  <a:graphic xmlns:a="http://schemas.openxmlformats.org/drawingml/2006/main">
                    <a:graphicData uri="http://schemas.openxmlformats.org/drawingml/2006/picture">
                      <pic:pic xmlns:pic="http://schemas.openxmlformats.org/drawingml/2006/picture">
                        <pic:nvPicPr>
                          <pic:cNvPr id="940" name="IM 940"/>
                          <pic:cNvPicPr/>
                        </pic:nvPicPr>
                        <pic:blipFill>
                          <a:blip r:embed="rId456"/>
                          <a:stretch>
                            <a:fillRect/>
                          </a:stretch>
                        </pic:blipFill>
                        <pic:spPr>
                          <a:xfrm>
                            <a:off x="0" y="0"/>
                            <a:ext cx="21081" cy="2794"/>
                          </a:xfrm>
                          <a:prstGeom prst="rect">
                            <a:avLst/>
                          </a:prstGeom>
                        </pic:spPr>
                      </pic:pic>
                    </a:graphicData>
                  </a:graphic>
                </wp:inline>
              </w:drawing>
            </w:r>
          </w:p>
        </w:tc>
        <w:tc>
          <w:tcPr>
            <w:tcW w:w="874" w:type="dxa"/>
            <w:tcBorders>
              <w:left w:val="single" w:color="000000" w:sz="2" w:space="0"/>
              <w:right w:val="single" w:color="000000" w:sz="2" w:space="0"/>
            </w:tcBorders>
            <w:shd w:val="clear" w:color="auto" w:fill="DEEAF6"/>
            <w:vAlign w:val="top"/>
          </w:tcPr>
          <w:p w14:paraId="7A232D2D">
            <w:pPr>
              <w:spacing w:line="280" w:lineRule="auto"/>
              <w:rPr>
                <w:rFonts w:ascii="Arial"/>
                <w:sz w:val="21"/>
              </w:rPr>
            </w:pPr>
          </w:p>
          <w:p w14:paraId="2F8C2981">
            <w:pPr>
              <w:pStyle w:val="7"/>
              <w:spacing w:before="78" w:line="217" w:lineRule="auto"/>
              <w:ind w:left="210"/>
            </w:pPr>
            <w:r>
              <w:rPr>
                <w:b/>
                <w:bCs/>
                <w:spacing w:val="-13"/>
              </w:rPr>
              <w:t>名称</w:t>
            </w:r>
          </w:p>
        </w:tc>
        <w:tc>
          <w:tcPr>
            <w:tcW w:w="1004" w:type="dxa"/>
            <w:tcBorders>
              <w:left w:val="single" w:color="000000" w:sz="2" w:space="0"/>
              <w:right w:val="nil"/>
            </w:tcBorders>
            <w:shd w:val="clear" w:color="auto" w:fill="DEEAF6"/>
            <w:vAlign w:val="top"/>
          </w:tcPr>
          <w:p w14:paraId="3B91BDF3">
            <w:pPr>
              <w:spacing w:line="18" w:lineRule="exact"/>
            </w:pPr>
            <w:r>
              <w:pict>
                <v:group id="_x0000_s3381" o:spid="_x0000_s3381" o:spt="203" style="height:1.45pt;width:2.2pt;" coordsize="44,29">
                  <o:lock v:ext="edit"/>
                  <v:shape id="_x0000_s3382" o:spid="_x0000_s3382" style="position:absolute;left:0;top:0;height:15;width:44;" fillcolor="#5B9BD5" filled="t" stroked="f" coordsize="44,15" path="m0,14l43,14,43,0,0,0,0,14xe">
                    <v:path/>
                    <v:fill on="t" focussize="0,0"/>
                    <v:stroke on="f"/>
                    <v:imagedata o:title=""/>
                    <o:lock v:ext="edit"/>
                  </v:shape>
                  <v:shape id="_x0000_s3383" o:spid="_x0000_s3383" style="position:absolute;left:0;top:14;height:15;width:44;" fillcolor="#20507B" filled="t" stroked="f" coordsize="44,15" path="m0,14l43,14,43,0,0,0,0,14xe">
                    <v:path/>
                    <v:fill on="t" focussize="0,0"/>
                    <v:stroke on="f"/>
                    <v:imagedata o:title=""/>
                    <o:lock v:ext="edit"/>
                  </v:shape>
                  <w10:wrap type="none"/>
                  <w10:anchorlock/>
                </v:group>
              </w:pict>
            </w:r>
          </w:p>
        </w:tc>
        <w:tc>
          <w:tcPr>
            <w:tcW w:w="3352" w:type="dxa"/>
            <w:tcBorders>
              <w:left w:val="nil"/>
              <w:right w:val="single" w:color="000000" w:sz="2" w:space="0"/>
            </w:tcBorders>
            <w:shd w:val="clear" w:color="auto" w:fill="DEEAF6"/>
            <w:vAlign w:val="top"/>
          </w:tcPr>
          <w:p w14:paraId="2CADBAEB">
            <w:pPr>
              <w:spacing w:line="280" w:lineRule="auto"/>
              <w:rPr>
                <w:rFonts w:ascii="Arial"/>
                <w:sz w:val="21"/>
              </w:rPr>
            </w:pPr>
          </w:p>
          <w:p w14:paraId="020E509C">
            <w:pPr>
              <w:pStyle w:val="7"/>
              <w:spacing w:before="78" w:line="218" w:lineRule="auto"/>
              <w:ind w:left="992"/>
            </w:pPr>
            <w:r>
              <w:rPr>
                <w:b/>
                <w:bCs/>
                <w:spacing w:val="-20"/>
              </w:rPr>
              <w:t>内容</w:t>
            </w:r>
          </w:p>
        </w:tc>
        <w:tc>
          <w:tcPr>
            <w:tcW w:w="2425" w:type="dxa"/>
            <w:tcBorders>
              <w:left w:val="single" w:color="000000" w:sz="2" w:space="0"/>
              <w:right w:val="nil"/>
            </w:tcBorders>
            <w:shd w:val="clear" w:color="auto" w:fill="DEEAF6"/>
            <w:vAlign w:val="top"/>
          </w:tcPr>
          <w:p w14:paraId="56D52924">
            <w:pPr>
              <w:spacing w:line="280" w:lineRule="auto"/>
              <w:rPr>
                <w:rFonts w:ascii="Arial"/>
                <w:sz w:val="21"/>
              </w:rPr>
            </w:pPr>
          </w:p>
          <w:p w14:paraId="62158FE3">
            <w:pPr>
              <w:pStyle w:val="7"/>
              <w:spacing w:before="78" w:line="218" w:lineRule="auto"/>
              <w:ind w:left="1055"/>
            </w:pPr>
            <w:r>
              <w:rPr>
                <w:b/>
                <w:bCs/>
                <w:spacing w:val="-19"/>
              </w:rPr>
              <w:t>实施计划</w:t>
            </w:r>
          </w:p>
        </w:tc>
        <w:tc>
          <w:tcPr>
            <w:tcW w:w="546" w:type="dxa"/>
            <w:tcBorders>
              <w:left w:val="nil"/>
            </w:tcBorders>
            <w:shd w:val="clear" w:color="auto" w:fill="DEEAF6"/>
            <w:vAlign w:val="top"/>
          </w:tcPr>
          <w:p w14:paraId="75B5BE60">
            <w:pPr>
              <w:rPr>
                <w:rFonts w:ascii="Arial"/>
                <w:sz w:val="21"/>
              </w:rPr>
            </w:pPr>
            <w:r>
              <w:pict>
                <v:shape id="_x0000_s3384" o:spid="_x0000_s3384" style="position:absolute;left:0pt;margin-left:25.45pt;margin-top:0pt;height:0.75pt;width:2.2pt;mso-position-horizontal-relative:page;mso-position-vertical-relative:page;z-index:252039168;mso-width-relative:page;mso-height-relative:page;" fillcolor="#5B9BD5" filled="t" stroked="f" coordsize="44,15" path="m0,14l43,14,43,0,0,0,0,14xe">
                  <v:path/>
                  <v:fill on="t" focussize="0,0"/>
                  <v:stroke on="f"/>
                  <v:imagedata o:title=""/>
                  <o:lock v:ext="edit"/>
                </v:shape>
              </w:pict>
            </w:r>
            <w:r>
              <w:pict>
                <v:shape id="_x0000_s3385" o:spid="_x0000_s3385" style="position:absolute;left:0pt;margin-left:25.45pt;margin-top:56.15pt;height:0.75pt;width:2.2pt;mso-position-horizontal-relative:page;mso-position-vertical-relative:page;z-index:252038144;mso-width-relative:page;mso-height-relative:page;" fillcolor="#5B9BD5" filled="t" stroked="f" coordsize="44,15" path="m0,14l43,14,43,0,0,0,0,14xe">
                  <v:path/>
                  <v:fill on="t" focussize="0,0"/>
                  <v:stroke on="f"/>
                  <v:imagedata o:title=""/>
                  <o:lock v:ext="edit"/>
                </v:shape>
              </w:pict>
            </w:r>
          </w:p>
        </w:tc>
      </w:tr>
    </w:tbl>
    <w:p w14:paraId="3B7B3105">
      <w:pPr>
        <w:rPr>
          <w:rFonts w:ascii="Arial"/>
          <w:sz w:val="21"/>
        </w:rPr>
      </w:pPr>
    </w:p>
    <w:p w14:paraId="62BE0CE4">
      <w:pPr>
        <w:rPr>
          <w:rFonts w:ascii="Arial" w:hAnsi="Arial" w:eastAsia="Arial" w:cs="Arial"/>
          <w:sz w:val="21"/>
          <w:szCs w:val="21"/>
        </w:rPr>
        <w:sectPr>
          <w:footerReference r:id="rId176" w:type="default"/>
          <w:pgSz w:w="11907" w:h="16839"/>
          <w:pgMar w:top="954" w:right="4" w:bottom="1038" w:left="0" w:header="499" w:footer="357" w:gutter="0"/>
          <w:pgBorders>
            <w:top w:val="none" w:sz="0" w:space="0"/>
            <w:left w:val="none" w:sz="0" w:space="0"/>
            <w:bottom w:val="none" w:sz="0" w:space="0"/>
            <w:right w:val="none" w:sz="0" w:space="0"/>
          </w:pgBorders>
          <w:cols w:space="720" w:num="1"/>
        </w:sectPr>
      </w:pPr>
    </w:p>
    <w:p w14:paraId="6A10C86B">
      <w:pPr>
        <w:spacing w:line="214" w:lineRule="exact"/>
      </w:pPr>
    </w:p>
    <w:tbl>
      <w:tblPr>
        <w:tblStyle w:val="6"/>
        <w:tblW w:w="8789" w:type="dxa"/>
        <w:tblInd w:w="155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63"/>
        <w:gridCol w:w="891"/>
        <w:gridCol w:w="4357"/>
        <w:gridCol w:w="2978"/>
      </w:tblGrid>
      <w:tr w14:paraId="488774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22" w:hRule="atLeast"/>
        </w:trPr>
        <w:tc>
          <w:tcPr>
            <w:tcW w:w="563" w:type="dxa"/>
            <w:tcBorders>
              <w:top w:val="single" w:color="000000" w:sz="4" w:space="0"/>
              <w:left w:val="single" w:color="000000" w:sz="4" w:space="0"/>
            </w:tcBorders>
            <w:vAlign w:val="top"/>
          </w:tcPr>
          <w:p w14:paraId="0BDACF6F">
            <w:pPr>
              <w:rPr>
                <w:rFonts w:ascii="Arial"/>
                <w:sz w:val="21"/>
              </w:rPr>
            </w:pPr>
          </w:p>
          <w:p w14:paraId="7BC10EDB">
            <w:pPr>
              <w:rPr>
                <w:rFonts w:ascii="Arial"/>
                <w:sz w:val="21"/>
              </w:rPr>
            </w:pPr>
          </w:p>
          <w:p w14:paraId="1DFED5A2">
            <w:pPr>
              <w:spacing w:line="241" w:lineRule="auto"/>
              <w:rPr>
                <w:rFonts w:ascii="Arial"/>
                <w:sz w:val="21"/>
              </w:rPr>
            </w:pPr>
          </w:p>
          <w:p w14:paraId="68CED30D">
            <w:pPr>
              <w:spacing w:line="241" w:lineRule="auto"/>
              <w:rPr>
                <w:rFonts w:ascii="Arial"/>
                <w:sz w:val="21"/>
              </w:rPr>
            </w:pPr>
          </w:p>
          <w:p w14:paraId="7BA65A82">
            <w:pPr>
              <w:spacing w:line="241" w:lineRule="auto"/>
              <w:rPr>
                <w:rFonts w:ascii="Arial"/>
                <w:sz w:val="21"/>
              </w:rPr>
            </w:pPr>
          </w:p>
          <w:p w14:paraId="58F0F409">
            <w:pPr>
              <w:spacing w:line="241" w:lineRule="auto"/>
              <w:rPr>
                <w:rFonts w:ascii="Arial"/>
                <w:sz w:val="21"/>
              </w:rPr>
            </w:pPr>
          </w:p>
          <w:p w14:paraId="1E6FCE91">
            <w:pPr>
              <w:pStyle w:val="7"/>
              <w:spacing w:before="78" w:line="238" w:lineRule="auto"/>
              <w:ind w:left="253"/>
            </w:pPr>
            <w:r>
              <w:t>1</w:t>
            </w:r>
          </w:p>
        </w:tc>
        <w:tc>
          <w:tcPr>
            <w:tcW w:w="891" w:type="dxa"/>
            <w:tcBorders>
              <w:top w:val="single" w:color="000000" w:sz="4" w:space="0"/>
            </w:tcBorders>
            <w:vAlign w:val="top"/>
          </w:tcPr>
          <w:p w14:paraId="4833046B">
            <w:pPr>
              <w:spacing w:line="244" w:lineRule="auto"/>
              <w:rPr>
                <w:rFonts w:ascii="Arial"/>
                <w:sz w:val="21"/>
              </w:rPr>
            </w:pPr>
          </w:p>
          <w:p w14:paraId="4D0F9940">
            <w:pPr>
              <w:spacing w:line="244" w:lineRule="auto"/>
              <w:rPr>
                <w:rFonts w:ascii="Arial"/>
                <w:sz w:val="21"/>
              </w:rPr>
            </w:pPr>
          </w:p>
          <w:p w14:paraId="4EE572D9">
            <w:pPr>
              <w:spacing w:line="245" w:lineRule="auto"/>
              <w:rPr>
                <w:rFonts w:ascii="Arial"/>
                <w:sz w:val="21"/>
              </w:rPr>
            </w:pPr>
          </w:p>
          <w:p w14:paraId="1CD4CECC">
            <w:pPr>
              <w:spacing w:line="245" w:lineRule="auto"/>
              <w:rPr>
                <w:rFonts w:ascii="Arial"/>
                <w:sz w:val="21"/>
              </w:rPr>
            </w:pPr>
          </w:p>
          <w:p w14:paraId="40724415">
            <w:pPr>
              <w:pStyle w:val="7"/>
              <w:spacing w:before="78" w:line="217" w:lineRule="auto"/>
              <w:ind w:left="126"/>
            </w:pPr>
            <w:r>
              <w:rPr>
                <w:spacing w:val="-14"/>
              </w:rPr>
              <w:t>环保因</w:t>
            </w:r>
          </w:p>
          <w:p w14:paraId="1BBE0A7D">
            <w:pPr>
              <w:pStyle w:val="7"/>
              <w:spacing w:before="186" w:line="359" w:lineRule="auto"/>
              <w:ind w:left="235" w:right="98" w:hanging="95"/>
            </w:pPr>
            <w:r>
              <w:rPr>
                <w:spacing w:val="-25"/>
              </w:rPr>
              <w:t>素识别</w:t>
            </w:r>
            <w:r>
              <w:rPr>
                <w:spacing w:val="-10"/>
              </w:rPr>
              <w:t>制度</w:t>
            </w:r>
          </w:p>
        </w:tc>
        <w:tc>
          <w:tcPr>
            <w:tcW w:w="4357" w:type="dxa"/>
            <w:tcBorders>
              <w:top w:val="single" w:color="000000" w:sz="4" w:space="0"/>
            </w:tcBorders>
            <w:vAlign w:val="top"/>
          </w:tcPr>
          <w:p w14:paraId="76D1DB55">
            <w:pPr>
              <w:pStyle w:val="7"/>
              <w:spacing w:before="128" w:line="217" w:lineRule="auto"/>
              <w:ind w:right="7"/>
              <w:jc w:val="right"/>
            </w:pPr>
            <w:r>
              <w:rPr>
                <w:spacing w:val="-21"/>
              </w:rPr>
              <w:t>1、根据工程特点由项目总工程师组织进行工</w:t>
            </w:r>
          </w:p>
          <w:p w14:paraId="6B3D00E8">
            <w:pPr>
              <w:pStyle w:val="7"/>
              <w:spacing w:before="186" w:line="217" w:lineRule="auto"/>
              <w:ind w:left="120"/>
            </w:pPr>
            <w:r>
              <w:rPr>
                <w:spacing w:val="-21"/>
              </w:rPr>
              <w:t>程环境因素识别，制定项目环境因素清单和</w:t>
            </w:r>
          </w:p>
          <w:p w14:paraId="607123EE">
            <w:pPr>
              <w:pStyle w:val="7"/>
              <w:spacing w:before="183" w:line="217" w:lineRule="auto"/>
              <w:ind w:left="119"/>
            </w:pPr>
            <w:r>
              <w:rPr>
                <w:spacing w:val="-22"/>
              </w:rPr>
              <w:t>环境管理方案。采取各种形式如：培训、会</w:t>
            </w:r>
          </w:p>
          <w:p w14:paraId="48B7BDFC">
            <w:pPr>
              <w:pStyle w:val="7"/>
              <w:spacing w:before="185" w:line="220" w:lineRule="auto"/>
              <w:ind w:left="1863"/>
            </w:pPr>
            <w:r>
              <w:rPr>
                <w:spacing w:val="-21"/>
              </w:rPr>
              <w:t>议等。</w:t>
            </w:r>
          </w:p>
          <w:p w14:paraId="47D15F44">
            <w:pPr>
              <w:pStyle w:val="7"/>
              <w:spacing w:before="180" w:line="215" w:lineRule="auto"/>
              <w:ind w:right="7"/>
              <w:jc w:val="right"/>
            </w:pPr>
            <w:r>
              <w:rPr>
                <w:spacing w:val="-21"/>
              </w:rPr>
              <w:t>2、在施工现场和生活区，设置环保宣传栏和</w:t>
            </w:r>
          </w:p>
          <w:p w14:paraId="5F822CF4">
            <w:pPr>
              <w:pStyle w:val="7"/>
              <w:spacing w:before="189" w:line="218" w:lineRule="auto"/>
              <w:ind w:left="118"/>
            </w:pPr>
            <w:r>
              <w:rPr>
                <w:spacing w:val="-21"/>
              </w:rPr>
              <w:t>标志牌，从日常生活做起，使所有参建员工</w:t>
            </w:r>
          </w:p>
          <w:p w14:paraId="04A4C8A7">
            <w:pPr>
              <w:pStyle w:val="7"/>
              <w:spacing w:before="184" w:line="217" w:lineRule="auto"/>
              <w:ind w:left="663"/>
            </w:pPr>
            <w:r>
              <w:rPr>
                <w:spacing w:val="-20"/>
              </w:rPr>
              <w:t>把环境保护变为一种自觉行为。</w:t>
            </w:r>
          </w:p>
        </w:tc>
        <w:tc>
          <w:tcPr>
            <w:tcW w:w="2978" w:type="dxa"/>
            <w:tcBorders>
              <w:top w:val="single" w:color="5B9BD5" w:sz="4" w:space="0"/>
              <w:right w:val="single" w:color="5B9BD5" w:sz="4" w:space="0"/>
            </w:tcBorders>
            <w:vAlign w:val="top"/>
          </w:tcPr>
          <w:p w14:paraId="14B814BB">
            <w:pPr>
              <w:spacing w:line="244" w:lineRule="auto"/>
              <w:rPr>
                <w:rFonts w:ascii="Arial"/>
                <w:sz w:val="21"/>
              </w:rPr>
            </w:pPr>
          </w:p>
          <w:p w14:paraId="508CF2BC">
            <w:pPr>
              <w:spacing w:line="245" w:lineRule="auto"/>
              <w:rPr>
                <w:rFonts w:ascii="Arial"/>
                <w:sz w:val="21"/>
              </w:rPr>
            </w:pPr>
          </w:p>
          <w:p w14:paraId="2622FAA3">
            <w:pPr>
              <w:spacing w:line="245" w:lineRule="auto"/>
              <w:rPr>
                <w:rFonts w:ascii="Arial"/>
                <w:sz w:val="21"/>
              </w:rPr>
            </w:pPr>
          </w:p>
          <w:p w14:paraId="30DA78BA">
            <w:pPr>
              <w:spacing w:line="245" w:lineRule="auto"/>
              <w:rPr>
                <w:rFonts w:ascii="Arial"/>
                <w:sz w:val="21"/>
              </w:rPr>
            </w:pPr>
          </w:p>
          <w:p w14:paraId="11AEB610">
            <w:pPr>
              <w:pStyle w:val="7"/>
              <w:spacing w:before="78" w:line="216" w:lineRule="auto"/>
              <w:ind w:left="78"/>
            </w:pPr>
            <w:r>
              <w:rPr>
                <w:spacing w:val="-20"/>
              </w:rPr>
              <w:t>开工前项目部制定并向监理、</w:t>
            </w:r>
          </w:p>
          <w:p w14:paraId="4C4A60A6">
            <w:pPr>
              <w:pStyle w:val="7"/>
              <w:spacing w:before="187" w:line="219" w:lineRule="auto"/>
              <w:ind w:left="78"/>
            </w:pPr>
            <w:r>
              <w:rPr>
                <w:spacing w:val="-20"/>
              </w:rPr>
              <w:t>业主提交绿色施工专项施工方</w:t>
            </w:r>
          </w:p>
          <w:p w14:paraId="7CDAE4F9">
            <w:pPr>
              <w:pStyle w:val="7"/>
              <w:spacing w:before="181" w:line="216" w:lineRule="auto"/>
              <w:ind w:left="408"/>
            </w:pPr>
            <w:r>
              <w:rPr>
                <w:spacing w:val="-20"/>
              </w:rPr>
              <w:t>案指导环保施工作业。</w:t>
            </w:r>
          </w:p>
        </w:tc>
      </w:tr>
      <w:tr w14:paraId="28D926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23" w:hRule="atLeast"/>
        </w:trPr>
        <w:tc>
          <w:tcPr>
            <w:tcW w:w="563" w:type="dxa"/>
            <w:tcBorders>
              <w:left w:val="single" w:color="000000" w:sz="4" w:space="0"/>
            </w:tcBorders>
            <w:vAlign w:val="top"/>
          </w:tcPr>
          <w:p w14:paraId="1077F107">
            <w:pPr>
              <w:spacing w:line="295" w:lineRule="auto"/>
              <w:rPr>
                <w:rFonts w:ascii="Arial"/>
                <w:sz w:val="21"/>
              </w:rPr>
            </w:pPr>
          </w:p>
          <w:p w14:paraId="3B98962B">
            <w:pPr>
              <w:spacing w:line="295" w:lineRule="auto"/>
              <w:rPr>
                <w:rFonts w:ascii="Arial"/>
                <w:sz w:val="21"/>
              </w:rPr>
            </w:pPr>
          </w:p>
          <w:p w14:paraId="06377EF8">
            <w:pPr>
              <w:spacing w:line="295" w:lineRule="auto"/>
              <w:rPr>
                <w:rFonts w:ascii="Arial"/>
                <w:sz w:val="21"/>
              </w:rPr>
            </w:pPr>
          </w:p>
          <w:p w14:paraId="11C83721">
            <w:pPr>
              <w:spacing w:line="295" w:lineRule="auto"/>
              <w:rPr>
                <w:rFonts w:ascii="Arial"/>
                <w:sz w:val="21"/>
              </w:rPr>
            </w:pPr>
          </w:p>
          <w:p w14:paraId="428AB457">
            <w:pPr>
              <w:pStyle w:val="7"/>
              <w:spacing w:before="78" w:line="238" w:lineRule="auto"/>
              <w:ind w:left="238"/>
            </w:pPr>
            <w:r>
              <w:t>2</w:t>
            </w:r>
          </w:p>
        </w:tc>
        <w:tc>
          <w:tcPr>
            <w:tcW w:w="891" w:type="dxa"/>
            <w:vAlign w:val="top"/>
          </w:tcPr>
          <w:p w14:paraId="70343E9F">
            <w:pPr>
              <w:spacing w:line="316" w:lineRule="auto"/>
              <w:rPr>
                <w:rFonts w:ascii="Arial"/>
                <w:sz w:val="21"/>
              </w:rPr>
            </w:pPr>
          </w:p>
          <w:p w14:paraId="1ECB6A46">
            <w:pPr>
              <w:spacing w:line="316" w:lineRule="auto"/>
              <w:rPr>
                <w:rFonts w:ascii="Arial"/>
                <w:sz w:val="21"/>
              </w:rPr>
            </w:pPr>
          </w:p>
          <w:p w14:paraId="631713C3">
            <w:pPr>
              <w:spacing w:line="317" w:lineRule="auto"/>
              <w:rPr>
                <w:rFonts w:ascii="Arial"/>
                <w:sz w:val="21"/>
              </w:rPr>
            </w:pPr>
          </w:p>
          <w:p w14:paraId="4761C79F">
            <w:pPr>
              <w:pStyle w:val="7"/>
              <w:spacing w:before="78" w:line="216" w:lineRule="auto"/>
              <w:ind w:left="126"/>
            </w:pPr>
            <w:r>
              <w:rPr>
                <w:spacing w:val="-14"/>
              </w:rPr>
              <w:t>环保检</w:t>
            </w:r>
          </w:p>
          <w:p w14:paraId="4CC7130C">
            <w:pPr>
              <w:pStyle w:val="7"/>
              <w:spacing w:before="187" w:line="217" w:lineRule="auto"/>
              <w:ind w:left="128"/>
            </w:pPr>
            <w:r>
              <w:rPr>
                <w:spacing w:val="-14"/>
              </w:rPr>
              <w:t>查制度</w:t>
            </w:r>
          </w:p>
        </w:tc>
        <w:tc>
          <w:tcPr>
            <w:tcW w:w="4357" w:type="dxa"/>
            <w:vAlign w:val="top"/>
          </w:tcPr>
          <w:p w14:paraId="3F5423EB">
            <w:pPr>
              <w:pStyle w:val="7"/>
              <w:spacing w:before="98" w:line="217" w:lineRule="auto"/>
              <w:ind w:left="127"/>
            </w:pPr>
            <w:r>
              <w:rPr>
                <w:spacing w:val="-21"/>
              </w:rPr>
              <w:t>每周组织一次由各专业施工单位的文明施工</w:t>
            </w:r>
          </w:p>
          <w:p w14:paraId="4A383D48">
            <w:pPr>
              <w:pStyle w:val="7"/>
              <w:spacing w:before="186" w:line="216" w:lineRule="auto"/>
              <w:ind w:left="119"/>
            </w:pPr>
            <w:r>
              <w:rPr>
                <w:spacing w:val="-21"/>
              </w:rPr>
              <w:t>和环境保护管理负责人参加的联合检查，对</w:t>
            </w:r>
          </w:p>
          <w:p w14:paraId="11B5DF38">
            <w:pPr>
              <w:pStyle w:val="7"/>
              <w:spacing w:before="184" w:line="216" w:lineRule="auto"/>
              <w:ind w:left="120"/>
            </w:pPr>
            <w:r>
              <w:rPr>
                <w:spacing w:val="-21"/>
              </w:rPr>
              <w:t>检查中所发现的问题，开出“隐患问题通知</w:t>
            </w:r>
          </w:p>
          <w:p w14:paraId="1CC302FA">
            <w:pPr>
              <w:pStyle w:val="7"/>
              <w:spacing w:before="186" w:line="217" w:lineRule="auto"/>
              <w:jc w:val="right"/>
            </w:pPr>
            <w:r>
              <w:rPr>
                <w:spacing w:val="-27"/>
              </w:rPr>
              <w:t>单”，定时间、定责任人、定措施予以解决，</w:t>
            </w:r>
          </w:p>
          <w:p w14:paraId="3CB2924E">
            <w:pPr>
              <w:pStyle w:val="7"/>
              <w:spacing w:before="184" w:line="216" w:lineRule="auto"/>
              <w:ind w:left="116"/>
            </w:pPr>
            <w:r>
              <w:rPr>
                <w:spacing w:val="-21"/>
              </w:rPr>
              <w:t>有关部门应监督、检查、落实问题的解决情</w:t>
            </w:r>
          </w:p>
          <w:p w14:paraId="12D47876">
            <w:pPr>
              <w:pStyle w:val="7"/>
              <w:spacing w:before="188" w:line="220" w:lineRule="auto"/>
              <w:ind w:left="1973"/>
            </w:pPr>
            <w:r>
              <w:rPr>
                <w:spacing w:val="-18"/>
              </w:rPr>
              <w:t>况。</w:t>
            </w:r>
          </w:p>
        </w:tc>
        <w:tc>
          <w:tcPr>
            <w:tcW w:w="2978" w:type="dxa"/>
            <w:tcBorders>
              <w:right w:val="single" w:color="000000" w:sz="4" w:space="0"/>
            </w:tcBorders>
            <w:vAlign w:val="top"/>
          </w:tcPr>
          <w:p w14:paraId="5899BEA5">
            <w:pPr>
              <w:spacing w:line="358" w:lineRule="auto"/>
              <w:rPr>
                <w:rFonts w:ascii="Arial"/>
                <w:sz w:val="21"/>
              </w:rPr>
            </w:pPr>
          </w:p>
          <w:p w14:paraId="1AD31DF7">
            <w:pPr>
              <w:spacing w:line="359" w:lineRule="auto"/>
              <w:rPr>
                <w:rFonts w:ascii="Arial"/>
                <w:sz w:val="21"/>
              </w:rPr>
            </w:pPr>
          </w:p>
          <w:p w14:paraId="4928575D">
            <w:pPr>
              <w:pStyle w:val="7"/>
              <w:spacing w:before="78" w:line="217" w:lineRule="auto"/>
              <w:ind w:left="86"/>
            </w:pPr>
            <w:r>
              <w:rPr>
                <w:spacing w:val="-21"/>
              </w:rPr>
              <w:t>每月组织监理单位、业主对工</w:t>
            </w:r>
          </w:p>
          <w:p w14:paraId="51AA8E7C">
            <w:pPr>
              <w:pStyle w:val="7"/>
              <w:spacing w:before="183" w:line="216" w:lineRule="auto"/>
              <w:ind w:left="80"/>
            </w:pPr>
            <w:r>
              <w:rPr>
                <w:spacing w:val="-21"/>
              </w:rPr>
              <w:t>程共同进行环保、绿色施工检</w:t>
            </w:r>
          </w:p>
          <w:p w14:paraId="277AD8EE">
            <w:pPr>
              <w:pStyle w:val="7"/>
              <w:spacing w:before="187" w:line="215" w:lineRule="auto"/>
              <w:ind w:left="298"/>
            </w:pPr>
            <w:r>
              <w:rPr>
                <w:spacing w:val="-20"/>
              </w:rPr>
              <w:t>查，及时纠正存在问题。</w:t>
            </w:r>
          </w:p>
        </w:tc>
      </w:tr>
      <w:tr w14:paraId="4AC6A6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19" w:hRule="atLeast"/>
        </w:trPr>
        <w:tc>
          <w:tcPr>
            <w:tcW w:w="563" w:type="dxa"/>
            <w:tcBorders>
              <w:left w:val="single" w:color="000000" w:sz="4" w:space="0"/>
            </w:tcBorders>
            <w:vAlign w:val="top"/>
          </w:tcPr>
          <w:p w14:paraId="777F0B6A">
            <w:pPr>
              <w:spacing w:line="295" w:lineRule="auto"/>
              <w:rPr>
                <w:rFonts w:ascii="Arial"/>
                <w:sz w:val="21"/>
              </w:rPr>
            </w:pPr>
          </w:p>
          <w:p w14:paraId="3BCCED5E">
            <w:pPr>
              <w:spacing w:line="295" w:lineRule="auto"/>
              <w:rPr>
                <w:rFonts w:ascii="Arial"/>
                <w:sz w:val="21"/>
              </w:rPr>
            </w:pPr>
          </w:p>
          <w:p w14:paraId="090E9C19">
            <w:pPr>
              <w:spacing w:line="295" w:lineRule="auto"/>
              <w:rPr>
                <w:rFonts w:ascii="Arial"/>
                <w:sz w:val="21"/>
              </w:rPr>
            </w:pPr>
          </w:p>
          <w:p w14:paraId="478D9512">
            <w:pPr>
              <w:spacing w:line="295" w:lineRule="auto"/>
              <w:rPr>
                <w:rFonts w:ascii="Arial"/>
                <w:sz w:val="21"/>
              </w:rPr>
            </w:pPr>
          </w:p>
          <w:p w14:paraId="29487CC3">
            <w:pPr>
              <w:pStyle w:val="7"/>
              <w:spacing w:before="78" w:line="237" w:lineRule="auto"/>
              <w:ind w:left="240"/>
            </w:pPr>
            <w:r>
              <w:t>3</w:t>
            </w:r>
          </w:p>
        </w:tc>
        <w:tc>
          <w:tcPr>
            <w:tcW w:w="891" w:type="dxa"/>
            <w:vAlign w:val="top"/>
          </w:tcPr>
          <w:p w14:paraId="5C9A0C6A">
            <w:pPr>
              <w:spacing w:line="316" w:lineRule="auto"/>
              <w:rPr>
                <w:rFonts w:ascii="Arial"/>
                <w:sz w:val="21"/>
              </w:rPr>
            </w:pPr>
          </w:p>
          <w:p w14:paraId="4FE6058A">
            <w:pPr>
              <w:spacing w:line="316" w:lineRule="auto"/>
              <w:rPr>
                <w:rFonts w:ascii="Arial"/>
                <w:sz w:val="21"/>
              </w:rPr>
            </w:pPr>
          </w:p>
          <w:p w14:paraId="38EB65FB">
            <w:pPr>
              <w:spacing w:line="316" w:lineRule="auto"/>
              <w:rPr>
                <w:rFonts w:ascii="Arial"/>
                <w:sz w:val="21"/>
              </w:rPr>
            </w:pPr>
          </w:p>
          <w:p w14:paraId="0C34EAFB">
            <w:pPr>
              <w:pStyle w:val="7"/>
              <w:spacing w:before="78" w:line="217" w:lineRule="auto"/>
              <w:ind w:left="126"/>
            </w:pPr>
            <w:r>
              <w:rPr>
                <w:spacing w:val="-13"/>
              </w:rPr>
              <w:t>环保奖</w:t>
            </w:r>
          </w:p>
          <w:p w14:paraId="5BD7BF9B">
            <w:pPr>
              <w:pStyle w:val="7"/>
              <w:spacing w:before="184" w:line="217" w:lineRule="auto"/>
              <w:ind w:left="128"/>
            </w:pPr>
            <w:r>
              <w:rPr>
                <w:spacing w:val="-14"/>
              </w:rPr>
              <w:t>惩制度</w:t>
            </w:r>
          </w:p>
        </w:tc>
        <w:tc>
          <w:tcPr>
            <w:tcW w:w="4357" w:type="dxa"/>
            <w:vAlign w:val="top"/>
          </w:tcPr>
          <w:p w14:paraId="27381CCD">
            <w:pPr>
              <w:pStyle w:val="7"/>
              <w:spacing w:before="98" w:line="217" w:lineRule="auto"/>
              <w:ind w:left="120"/>
            </w:pPr>
            <w:r>
              <w:rPr>
                <w:spacing w:val="-21"/>
              </w:rPr>
              <w:t>项目经理部设立环保奖励基金，根据项目经</w:t>
            </w:r>
          </w:p>
          <w:p w14:paraId="62427929">
            <w:pPr>
              <w:pStyle w:val="7"/>
              <w:spacing w:before="183" w:line="216" w:lineRule="auto"/>
              <w:ind w:left="120"/>
            </w:pPr>
            <w:r>
              <w:rPr>
                <w:spacing w:val="-21"/>
              </w:rPr>
              <w:t>理部每次环保检查情况，进行分包单位间的</w:t>
            </w:r>
          </w:p>
          <w:p w14:paraId="66FC57B8">
            <w:pPr>
              <w:pStyle w:val="7"/>
              <w:spacing w:before="187" w:line="216" w:lineRule="auto"/>
              <w:ind w:left="121"/>
            </w:pPr>
            <w:r>
              <w:rPr>
                <w:spacing w:val="-21"/>
              </w:rPr>
              <w:t>综合评比，对环保好的单位通报表扬，并实</w:t>
            </w:r>
          </w:p>
          <w:p w14:paraId="67D713D3">
            <w:pPr>
              <w:pStyle w:val="7"/>
              <w:spacing w:before="184" w:line="217" w:lineRule="auto"/>
              <w:ind w:left="120"/>
            </w:pPr>
            <w:r>
              <w:rPr>
                <w:spacing w:val="-21"/>
              </w:rPr>
              <w:t>行奖励；对环保差的单位，一方面督促其停</w:t>
            </w:r>
          </w:p>
          <w:p w14:paraId="1FFD52F5">
            <w:pPr>
              <w:pStyle w:val="7"/>
              <w:spacing w:before="187" w:line="215" w:lineRule="auto"/>
              <w:ind w:left="124"/>
            </w:pPr>
            <w:r>
              <w:rPr>
                <w:spacing w:val="-21"/>
              </w:rPr>
              <w:t>工整顿，另一方面在全项目通报批评和对责</w:t>
            </w:r>
          </w:p>
          <w:p w14:paraId="74F576D5">
            <w:pPr>
              <w:pStyle w:val="7"/>
              <w:spacing w:before="185" w:line="217" w:lineRule="auto"/>
              <w:ind w:left="1427"/>
            </w:pPr>
            <w:r>
              <w:rPr>
                <w:spacing w:val="-22"/>
              </w:rPr>
              <w:t>任人进行罚款。</w:t>
            </w:r>
          </w:p>
        </w:tc>
        <w:tc>
          <w:tcPr>
            <w:tcW w:w="2978" w:type="dxa"/>
            <w:tcBorders>
              <w:right w:val="single" w:color="000000" w:sz="4" w:space="0"/>
            </w:tcBorders>
            <w:vAlign w:val="top"/>
          </w:tcPr>
          <w:p w14:paraId="3A0DFAC3">
            <w:pPr>
              <w:spacing w:line="241" w:lineRule="auto"/>
              <w:rPr>
                <w:rFonts w:ascii="Arial"/>
                <w:sz w:val="21"/>
              </w:rPr>
            </w:pPr>
          </w:p>
          <w:p w14:paraId="1BD6DAC9">
            <w:pPr>
              <w:spacing w:line="242" w:lineRule="auto"/>
              <w:rPr>
                <w:rFonts w:ascii="Arial"/>
                <w:sz w:val="21"/>
              </w:rPr>
            </w:pPr>
          </w:p>
          <w:p w14:paraId="7B16B1B0">
            <w:pPr>
              <w:pStyle w:val="7"/>
              <w:spacing w:before="78" w:line="217" w:lineRule="auto"/>
              <w:ind w:left="78"/>
            </w:pPr>
            <w:r>
              <w:rPr>
                <w:spacing w:val="-20"/>
              </w:rPr>
              <w:t>任何参建单位进场前签署绿色</w:t>
            </w:r>
          </w:p>
          <w:p w14:paraId="2B287E7A">
            <w:pPr>
              <w:pStyle w:val="7"/>
              <w:spacing w:before="186" w:line="217" w:lineRule="auto"/>
              <w:ind w:left="77"/>
            </w:pPr>
            <w:r>
              <w:rPr>
                <w:spacing w:val="-23"/>
              </w:rPr>
              <w:t>施工责任状，明确奖惩制度，</w:t>
            </w:r>
          </w:p>
          <w:p w14:paraId="22AD5AE3">
            <w:pPr>
              <w:pStyle w:val="7"/>
              <w:spacing w:before="182" w:line="217" w:lineRule="auto"/>
              <w:ind w:left="79"/>
            </w:pPr>
            <w:r>
              <w:rPr>
                <w:spacing w:val="-20"/>
              </w:rPr>
              <w:t>项目部建立详细台账，坚决实</w:t>
            </w:r>
          </w:p>
          <w:p w14:paraId="353C4F5F">
            <w:pPr>
              <w:pStyle w:val="7"/>
              <w:spacing w:before="187" w:line="220" w:lineRule="auto"/>
              <w:ind w:left="1277"/>
            </w:pPr>
            <w:r>
              <w:rPr>
                <w:spacing w:val="-18"/>
              </w:rPr>
              <w:t>施。</w:t>
            </w:r>
          </w:p>
        </w:tc>
      </w:tr>
      <w:tr w14:paraId="72C893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90" w:hRule="atLeast"/>
        </w:trPr>
        <w:tc>
          <w:tcPr>
            <w:tcW w:w="563" w:type="dxa"/>
            <w:tcBorders>
              <w:left w:val="single" w:color="1C456A" w:sz="4" w:space="0"/>
              <w:bottom w:val="single" w:color="1C456A" w:sz="4" w:space="0"/>
            </w:tcBorders>
            <w:vAlign w:val="top"/>
          </w:tcPr>
          <w:p w14:paraId="4F36825A">
            <w:pPr>
              <w:spacing w:line="274" w:lineRule="auto"/>
              <w:rPr>
                <w:rFonts w:ascii="Arial"/>
                <w:sz w:val="21"/>
              </w:rPr>
            </w:pPr>
          </w:p>
          <w:p w14:paraId="47D39D18">
            <w:pPr>
              <w:spacing w:line="274" w:lineRule="auto"/>
              <w:rPr>
                <w:rFonts w:ascii="Arial"/>
                <w:sz w:val="21"/>
              </w:rPr>
            </w:pPr>
          </w:p>
          <w:p w14:paraId="342D2C73">
            <w:pPr>
              <w:spacing w:line="274" w:lineRule="auto"/>
              <w:rPr>
                <w:rFonts w:ascii="Arial"/>
                <w:sz w:val="21"/>
              </w:rPr>
            </w:pPr>
          </w:p>
          <w:p w14:paraId="57F66746">
            <w:pPr>
              <w:spacing w:line="274" w:lineRule="auto"/>
              <w:rPr>
                <w:rFonts w:ascii="Arial"/>
                <w:sz w:val="21"/>
              </w:rPr>
            </w:pPr>
          </w:p>
          <w:p w14:paraId="3ADEB41D">
            <w:pPr>
              <w:spacing w:line="274" w:lineRule="auto"/>
              <w:rPr>
                <w:rFonts w:ascii="Arial"/>
                <w:sz w:val="21"/>
              </w:rPr>
            </w:pPr>
          </w:p>
          <w:p w14:paraId="5103124A">
            <w:pPr>
              <w:spacing w:line="275" w:lineRule="auto"/>
              <w:rPr>
                <w:rFonts w:ascii="Arial"/>
                <w:sz w:val="21"/>
              </w:rPr>
            </w:pPr>
          </w:p>
          <w:p w14:paraId="27A94F15">
            <w:pPr>
              <w:pStyle w:val="7"/>
              <w:spacing w:before="78" w:line="238" w:lineRule="auto"/>
              <w:ind w:left="235"/>
            </w:pPr>
            <w:r>
              <w:t>4</w:t>
            </w:r>
          </w:p>
        </w:tc>
        <w:tc>
          <w:tcPr>
            <w:tcW w:w="891" w:type="dxa"/>
            <w:tcBorders>
              <w:bottom w:val="single" w:color="000000" w:sz="4" w:space="0"/>
            </w:tcBorders>
            <w:vAlign w:val="top"/>
          </w:tcPr>
          <w:p w14:paraId="19959F7D">
            <w:pPr>
              <w:spacing w:line="283" w:lineRule="auto"/>
              <w:rPr>
                <w:rFonts w:ascii="Arial"/>
                <w:sz w:val="21"/>
              </w:rPr>
            </w:pPr>
          </w:p>
          <w:p w14:paraId="6449B3E6">
            <w:pPr>
              <w:spacing w:line="283" w:lineRule="auto"/>
              <w:rPr>
                <w:rFonts w:ascii="Arial"/>
                <w:sz w:val="21"/>
              </w:rPr>
            </w:pPr>
          </w:p>
          <w:p w14:paraId="426027D1">
            <w:pPr>
              <w:spacing w:line="283" w:lineRule="auto"/>
              <w:rPr>
                <w:rFonts w:ascii="Arial"/>
                <w:sz w:val="21"/>
              </w:rPr>
            </w:pPr>
          </w:p>
          <w:p w14:paraId="54D2B6B9">
            <w:pPr>
              <w:spacing w:line="283" w:lineRule="auto"/>
              <w:rPr>
                <w:rFonts w:ascii="Arial"/>
                <w:sz w:val="21"/>
              </w:rPr>
            </w:pPr>
          </w:p>
          <w:p w14:paraId="3DD2A2DA">
            <w:pPr>
              <w:spacing w:line="283" w:lineRule="auto"/>
              <w:rPr>
                <w:rFonts w:ascii="Arial"/>
                <w:sz w:val="21"/>
              </w:rPr>
            </w:pPr>
          </w:p>
          <w:p w14:paraId="033A846C">
            <w:pPr>
              <w:pStyle w:val="7"/>
              <w:spacing w:before="78" w:line="361" w:lineRule="auto"/>
              <w:ind w:left="234" w:right="98" w:hanging="108"/>
            </w:pPr>
            <w:r>
              <w:rPr>
                <w:spacing w:val="-20"/>
              </w:rPr>
              <w:t>环保培</w:t>
            </w:r>
            <w:r>
              <w:rPr>
                <w:spacing w:val="-10"/>
              </w:rPr>
              <w:t>制度</w:t>
            </w:r>
          </w:p>
        </w:tc>
        <w:tc>
          <w:tcPr>
            <w:tcW w:w="4357" w:type="dxa"/>
            <w:tcBorders>
              <w:bottom w:val="single" w:color="000000" w:sz="4" w:space="0"/>
            </w:tcBorders>
            <w:vAlign w:val="top"/>
          </w:tcPr>
          <w:p w14:paraId="7E723F84">
            <w:pPr>
              <w:spacing w:line="255" w:lineRule="auto"/>
              <w:rPr>
                <w:rFonts w:ascii="Arial"/>
                <w:sz w:val="21"/>
              </w:rPr>
            </w:pPr>
          </w:p>
          <w:p w14:paraId="1CADDF6A">
            <w:pPr>
              <w:pStyle w:val="7"/>
              <w:spacing w:before="78" w:line="287" w:lineRule="auto"/>
              <w:ind w:left="338" w:right="28" w:hanging="260"/>
            </w:pPr>
            <w:r>
              <w:rPr>
                <w:spacing w:val="-22"/>
              </w:rPr>
              <w:t>1、对施工沿线进行调查和收集资料，充分了</w:t>
            </w:r>
            <w:r>
              <w:rPr>
                <w:spacing w:val="-21"/>
              </w:rPr>
              <w:t>解生态环境和植被保护的法律和法规。</w:t>
            </w:r>
          </w:p>
          <w:p w14:paraId="56FF9799">
            <w:pPr>
              <w:pStyle w:val="7"/>
              <w:spacing w:before="187" w:line="287" w:lineRule="auto"/>
              <w:ind w:left="118" w:hanging="54"/>
            </w:pPr>
            <w:r>
              <w:rPr>
                <w:spacing w:val="-23"/>
              </w:rPr>
              <w:t>2、印发环保教育手册，做到施工人员人手一</w:t>
            </w:r>
            <w:r>
              <w:rPr>
                <w:spacing w:val="-18"/>
              </w:rPr>
              <w:t>册，增强全体员工“环境保护，人人有责”</w:t>
            </w:r>
          </w:p>
          <w:p w14:paraId="3F2B73D3">
            <w:pPr>
              <w:pStyle w:val="7"/>
              <w:spacing w:before="186" w:line="219" w:lineRule="auto"/>
              <w:ind w:left="1115"/>
            </w:pPr>
            <w:r>
              <w:rPr>
                <w:spacing w:val="-21"/>
              </w:rPr>
              <w:t>的意识和历史责任感。</w:t>
            </w:r>
          </w:p>
          <w:p w14:paraId="0B787408">
            <w:pPr>
              <w:pStyle w:val="7"/>
              <w:spacing w:before="183" w:line="216" w:lineRule="auto"/>
              <w:ind w:right="7"/>
              <w:jc w:val="right"/>
            </w:pPr>
            <w:r>
              <w:rPr>
                <w:spacing w:val="-21"/>
              </w:rPr>
              <w:t>3、每季度组织环保专职人员进行培训，聘请</w:t>
            </w:r>
          </w:p>
          <w:p w14:paraId="00B80009">
            <w:pPr>
              <w:pStyle w:val="7"/>
              <w:spacing w:before="184" w:line="217" w:lineRule="auto"/>
              <w:ind w:left="882"/>
            </w:pPr>
            <w:r>
              <w:rPr>
                <w:spacing w:val="-20"/>
              </w:rPr>
              <w:t>环保专家对施工人员讲课。</w:t>
            </w:r>
          </w:p>
        </w:tc>
        <w:tc>
          <w:tcPr>
            <w:tcW w:w="2978" w:type="dxa"/>
            <w:tcBorders>
              <w:bottom w:val="single" w:color="5B9BD5" w:sz="4" w:space="0"/>
              <w:right w:val="single" w:color="5B9BD5" w:sz="4" w:space="0"/>
            </w:tcBorders>
            <w:vAlign w:val="top"/>
          </w:tcPr>
          <w:p w14:paraId="559EEBE3">
            <w:pPr>
              <w:pStyle w:val="7"/>
              <w:spacing w:before="101" w:line="219" w:lineRule="auto"/>
              <w:ind w:left="83"/>
            </w:pPr>
            <w:r>
              <w:rPr>
                <w:spacing w:val="-27"/>
              </w:rPr>
              <w:t>1、对项目管理人员、各施工队</w:t>
            </w:r>
          </w:p>
          <w:p w14:paraId="7DC0D387">
            <w:pPr>
              <w:pStyle w:val="7"/>
              <w:spacing w:before="180" w:line="217" w:lineRule="auto"/>
              <w:ind w:left="79"/>
            </w:pPr>
            <w:r>
              <w:rPr>
                <w:spacing w:val="-20"/>
              </w:rPr>
              <w:t>伍严格、详细进行绿色施工方</w:t>
            </w:r>
          </w:p>
          <w:p w14:paraId="7FFB2870">
            <w:pPr>
              <w:pStyle w:val="7"/>
              <w:spacing w:before="186" w:line="218" w:lineRule="auto"/>
              <w:ind w:left="1060"/>
            </w:pPr>
            <w:r>
              <w:rPr>
                <w:spacing w:val="-15"/>
              </w:rPr>
              <w:t>案交底；</w:t>
            </w:r>
          </w:p>
          <w:p w14:paraId="7655F0C4">
            <w:pPr>
              <w:pStyle w:val="7"/>
              <w:spacing w:before="181" w:line="219" w:lineRule="auto"/>
              <w:ind w:left="128"/>
            </w:pPr>
            <w:r>
              <w:rPr>
                <w:spacing w:val="-19"/>
              </w:rPr>
              <w:t>2、每月组织绿色施工总结会</w:t>
            </w:r>
          </w:p>
          <w:p w14:paraId="32607975">
            <w:pPr>
              <w:pStyle w:val="7"/>
              <w:spacing w:before="184" w:line="218" w:lineRule="auto"/>
              <w:ind w:left="77"/>
            </w:pPr>
            <w:r>
              <w:rPr>
                <w:spacing w:val="-20"/>
              </w:rPr>
              <w:t>议，总结出现的问题，规划下</w:t>
            </w:r>
          </w:p>
          <w:p w14:paraId="31AB1C29">
            <w:pPr>
              <w:pStyle w:val="7"/>
              <w:spacing w:before="182" w:line="218" w:lineRule="auto"/>
              <w:ind w:left="955"/>
            </w:pPr>
            <w:r>
              <w:rPr>
                <w:spacing w:val="-18"/>
              </w:rPr>
              <w:t>一步措施；</w:t>
            </w:r>
          </w:p>
          <w:p w14:paraId="544F0257">
            <w:pPr>
              <w:pStyle w:val="7"/>
              <w:spacing w:before="184" w:line="217" w:lineRule="auto"/>
              <w:ind w:left="70"/>
            </w:pPr>
            <w:r>
              <w:rPr>
                <w:spacing w:val="-26"/>
              </w:rPr>
              <w:t>3、每月进行管理人员绿色施工</w:t>
            </w:r>
          </w:p>
          <w:p w14:paraId="51445AAA">
            <w:pPr>
              <w:pStyle w:val="7"/>
              <w:spacing w:before="185" w:line="217" w:lineRule="auto"/>
              <w:ind w:left="842"/>
            </w:pPr>
            <w:r>
              <w:rPr>
                <w:spacing w:val="-18"/>
              </w:rPr>
              <w:t>集中讨论会。</w:t>
            </w:r>
          </w:p>
        </w:tc>
      </w:tr>
    </w:tbl>
    <w:p w14:paraId="4563DCEF">
      <w:pPr>
        <w:pStyle w:val="2"/>
        <w:spacing w:before="80" w:line="217" w:lineRule="auto"/>
        <w:ind w:left="1986"/>
        <w:outlineLvl w:val="2"/>
        <w:rPr>
          <w:sz w:val="28"/>
          <w:szCs w:val="28"/>
        </w:rPr>
      </w:pPr>
      <w:bookmarkStart w:id="118" w:name="bookmark113"/>
      <w:bookmarkEnd w:id="118"/>
      <w:r>
        <w:rPr>
          <w:b/>
          <w:bCs/>
          <w:spacing w:val="-22"/>
          <w:sz w:val="28"/>
          <w:szCs w:val="28"/>
        </w:rPr>
        <w:t>二、环境保护措施</w:t>
      </w:r>
    </w:p>
    <w:p w14:paraId="25706BE7">
      <w:pPr>
        <w:pStyle w:val="2"/>
        <w:spacing w:before="105" w:line="217" w:lineRule="auto"/>
        <w:ind w:left="1994"/>
        <w:rPr>
          <w:sz w:val="24"/>
          <w:szCs w:val="24"/>
        </w:rPr>
      </w:pPr>
      <w:r>
        <w:rPr>
          <w:spacing w:val="-14"/>
          <w:sz w:val="24"/>
          <w:szCs w:val="24"/>
        </w:rPr>
        <w:t>1、环境保护阶段策划</w:t>
      </w:r>
    </w:p>
    <w:p w14:paraId="1416509A">
      <w:pPr>
        <w:pStyle w:val="2"/>
        <w:spacing w:before="117" w:line="217" w:lineRule="auto"/>
        <w:ind w:left="2062"/>
        <w:rPr>
          <w:sz w:val="24"/>
          <w:szCs w:val="24"/>
        </w:rPr>
      </w:pPr>
      <w:r>
        <w:rPr>
          <w:spacing w:val="-22"/>
          <w:sz w:val="24"/>
          <w:szCs w:val="24"/>
        </w:rPr>
        <w:t>(1)工程进场阶段策划</w:t>
      </w:r>
    </w:p>
    <w:p w14:paraId="7E75059F">
      <w:pPr>
        <w:spacing w:line="217" w:lineRule="auto"/>
        <w:rPr>
          <w:sz w:val="24"/>
          <w:szCs w:val="24"/>
        </w:rPr>
        <w:sectPr>
          <w:footerReference r:id="rId177" w:type="default"/>
          <w:pgSz w:w="11907" w:h="16839"/>
          <w:pgMar w:top="954" w:right="4" w:bottom="1038" w:left="0" w:header="499" w:footer="357" w:gutter="0"/>
          <w:pgBorders>
            <w:top w:val="none" w:sz="0" w:space="0"/>
            <w:left w:val="none" w:sz="0" w:space="0"/>
            <w:bottom w:val="none" w:sz="0" w:space="0"/>
            <w:right w:val="none" w:sz="0" w:space="0"/>
          </w:pgBorders>
          <w:cols w:space="720" w:num="1"/>
        </w:sectPr>
      </w:pPr>
    </w:p>
    <w:p w14:paraId="6A8CD7BC">
      <w:pPr>
        <w:spacing w:line="248" w:lineRule="auto"/>
        <w:rPr>
          <w:rFonts w:ascii="Arial"/>
          <w:sz w:val="21"/>
        </w:rPr>
      </w:pPr>
    </w:p>
    <w:p w14:paraId="7A57AFBE">
      <w:pPr>
        <w:pStyle w:val="2"/>
        <w:spacing w:before="78" w:line="308" w:lineRule="auto"/>
        <w:ind w:left="1455" w:right="1409" w:firstLine="529"/>
        <w:jc w:val="both"/>
        <w:rPr>
          <w:sz w:val="24"/>
          <w:szCs w:val="24"/>
        </w:rPr>
      </w:pPr>
      <w:r>
        <w:rPr>
          <w:spacing w:val="-18"/>
          <w:sz w:val="24"/>
          <w:szCs w:val="24"/>
        </w:rPr>
        <w:t>充分利用现场土地、现有临建设施，合理增加临建用房，按ISO14001环境管</w:t>
      </w:r>
      <w:r>
        <w:rPr>
          <w:spacing w:val="-19"/>
          <w:sz w:val="24"/>
          <w:szCs w:val="24"/>
        </w:rPr>
        <w:t>理体系标准</w:t>
      </w:r>
      <w:r>
        <w:rPr>
          <w:spacing w:val="-2"/>
          <w:sz w:val="24"/>
          <w:szCs w:val="24"/>
        </w:rPr>
        <w:t>和GB/T45001-2020职业健康安全管理体系标准，布置施工作业区和办公生活区的配套</w:t>
      </w:r>
      <w:r>
        <w:rPr>
          <w:spacing w:val="-20"/>
          <w:sz w:val="24"/>
          <w:szCs w:val="24"/>
        </w:rPr>
        <w:t>设施、设备。对照环境因素制定粉尘排放，噪声排放，化学危险品泄露，固体废弃物堆放，火</w:t>
      </w:r>
      <w:r>
        <w:rPr>
          <w:spacing w:val="-9"/>
          <w:sz w:val="24"/>
          <w:szCs w:val="24"/>
        </w:rPr>
        <w:t>灾、爆炸的发生，有毒有害(如混凝土抗冻剂掺入氨)气味的排放，水电消耗，办公用纸消</w:t>
      </w:r>
      <w:r>
        <w:rPr>
          <w:spacing w:val="-11"/>
          <w:sz w:val="24"/>
          <w:szCs w:val="24"/>
        </w:rPr>
        <w:t>耗等具体措施。以一流的现场管理，一流的环保技术方案，开创绿色施工新篇章。</w:t>
      </w:r>
    </w:p>
    <w:p w14:paraId="2E3E6A9A">
      <w:pPr>
        <w:pStyle w:val="2"/>
        <w:spacing w:line="217" w:lineRule="auto"/>
        <w:ind w:left="2062"/>
        <w:rPr>
          <w:sz w:val="24"/>
          <w:szCs w:val="24"/>
        </w:rPr>
      </w:pPr>
      <w:r>
        <w:rPr>
          <w:spacing w:val="-17"/>
          <w:sz w:val="24"/>
          <w:szCs w:val="24"/>
        </w:rPr>
        <w:t>(2)结构阶段施工策划</w:t>
      </w:r>
    </w:p>
    <w:p w14:paraId="2E843F11">
      <w:pPr>
        <w:pStyle w:val="2"/>
        <w:spacing w:before="116" w:line="278" w:lineRule="auto"/>
        <w:ind w:left="1455" w:right="1411" w:firstLine="563"/>
        <w:rPr>
          <w:sz w:val="24"/>
          <w:szCs w:val="24"/>
        </w:rPr>
      </w:pPr>
      <w:r>
        <w:rPr>
          <w:spacing w:val="-18"/>
          <w:sz w:val="24"/>
          <w:szCs w:val="24"/>
        </w:rPr>
        <w:t>1)钢筋采用现场加工，钢筋进货采用招投标方式，严把钢筋质量关和价格关。钢筋接头</w:t>
      </w:r>
      <w:r>
        <w:rPr>
          <w:spacing w:val="9"/>
          <w:sz w:val="24"/>
          <w:szCs w:val="24"/>
        </w:rPr>
        <w:t>采用机械连接，减少接头浪费量。用塑料垫块或高强混凝土垫块替代短钢筋控制保</w:t>
      </w:r>
      <w:r>
        <w:rPr>
          <w:spacing w:val="-21"/>
          <w:sz w:val="24"/>
          <w:szCs w:val="24"/>
        </w:rPr>
        <w:t>护层厚度，避免污蚀混凝土表面。</w:t>
      </w:r>
    </w:p>
    <w:p w14:paraId="55E28E8E">
      <w:pPr>
        <w:pStyle w:val="2"/>
        <w:spacing w:before="117" w:line="277" w:lineRule="auto"/>
        <w:ind w:left="1458" w:right="1414" w:firstLine="514"/>
        <w:rPr>
          <w:sz w:val="24"/>
          <w:szCs w:val="24"/>
        </w:rPr>
      </w:pPr>
      <w:r>
        <w:rPr>
          <w:spacing w:val="17"/>
          <w:sz w:val="24"/>
          <w:szCs w:val="24"/>
        </w:rPr>
        <w:t>2)模板工程根据墙体面积、柱面积配制不同材料的面板体系和支撑体系。前</w:t>
      </w:r>
      <w:r>
        <w:rPr>
          <w:spacing w:val="-20"/>
          <w:sz w:val="24"/>
          <w:szCs w:val="24"/>
        </w:rPr>
        <w:t>提是既要保证模板质量，又要保证在降低工程造价、节省材料，减少建筑垃圾产生的同时，便</w:t>
      </w:r>
      <w:r>
        <w:rPr>
          <w:spacing w:val="-21"/>
          <w:sz w:val="24"/>
          <w:szCs w:val="24"/>
        </w:rPr>
        <w:t>于施工人员操作和施工安全。</w:t>
      </w:r>
    </w:p>
    <w:p w14:paraId="1CAE3271">
      <w:pPr>
        <w:pStyle w:val="2"/>
        <w:spacing w:before="119" w:line="262" w:lineRule="auto"/>
        <w:ind w:left="1455" w:right="1411" w:firstLine="526"/>
        <w:rPr>
          <w:sz w:val="24"/>
          <w:szCs w:val="24"/>
        </w:rPr>
      </w:pPr>
      <w:r>
        <w:rPr>
          <w:spacing w:val="-17"/>
          <w:sz w:val="24"/>
          <w:szCs w:val="24"/>
        </w:rPr>
        <w:t>3)混凝土工程采用预拌混凝土，由大型搅拌站供应。避免现场布</w:t>
      </w:r>
      <w:r>
        <w:rPr>
          <w:spacing w:val="-18"/>
          <w:sz w:val="24"/>
          <w:szCs w:val="24"/>
        </w:rPr>
        <w:t>置搅拌站污染环境、增</w:t>
      </w:r>
      <w:r>
        <w:rPr>
          <w:spacing w:val="-21"/>
          <w:sz w:val="24"/>
          <w:szCs w:val="24"/>
        </w:rPr>
        <w:t>加占地，更重要的是商品混凝土在质量和进度配合上都有保</w:t>
      </w:r>
      <w:r>
        <w:rPr>
          <w:spacing w:val="-22"/>
          <w:sz w:val="24"/>
          <w:szCs w:val="24"/>
        </w:rPr>
        <w:t>证。</w:t>
      </w:r>
    </w:p>
    <w:p w14:paraId="5D217C72">
      <w:pPr>
        <w:pStyle w:val="2"/>
        <w:spacing w:before="119" w:line="263" w:lineRule="auto"/>
        <w:ind w:left="1490" w:right="1451" w:firstLine="485"/>
        <w:rPr>
          <w:sz w:val="24"/>
          <w:szCs w:val="24"/>
        </w:rPr>
      </w:pPr>
      <w:r>
        <w:rPr>
          <w:spacing w:val="-18"/>
          <w:sz w:val="24"/>
          <w:szCs w:val="24"/>
        </w:rPr>
        <w:t>4)吊装是结构阶段施工进度的关键点。吊装设备采用国内先进的低噪音吊</w:t>
      </w:r>
      <w:r>
        <w:rPr>
          <w:spacing w:val="-19"/>
          <w:sz w:val="24"/>
          <w:szCs w:val="24"/>
        </w:rPr>
        <w:t>机，合理组织</w:t>
      </w:r>
      <w:r>
        <w:rPr>
          <w:spacing w:val="6"/>
          <w:sz w:val="24"/>
          <w:szCs w:val="24"/>
        </w:rPr>
        <w:t>吊装顺序，提高吊机利用率。</w:t>
      </w:r>
    </w:p>
    <w:p w14:paraId="36A87D26">
      <w:pPr>
        <w:pStyle w:val="2"/>
        <w:spacing w:before="118" w:line="262" w:lineRule="auto"/>
        <w:ind w:left="1458" w:right="1471" w:firstLine="432"/>
        <w:rPr>
          <w:sz w:val="24"/>
          <w:szCs w:val="24"/>
        </w:rPr>
      </w:pPr>
      <w:r>
        <w:rPr>
          <w:spacing w:val="-18"/>
          <w:sz w:val="24"/>
          <w:szCs w:val="24"/>
        </w:rPr>
        <w:t>5)各工艺流程要控制洁净水用量，降低水电消耗，利用再生资源，控制强噪音，减少扬</w:t>
      </w:r>
      <w:r>
        <w:rPr>
          <w:spacing w:val="12"/>
          <w:sz w:val="24"/>
          <w:szCs w:val="24"/>
        </w:rPr>
        <w:t>尘，避免光污染对周围居民的影响。</w:t>
      </w:r>
    </w:p>
    <w:p w14:paraId="5B3445D7">
      <w:pPr>
        <w:pStyle w:val="2"/>
        <w:spacing w:before="118" w:line="263" w:lineRule="auto"/>
        <w:ind w:left="1459" w:right="1411" w:firstLine="428"/>
        <w:rPr>
          <w:sz w:val="24"/>
          <w:szCs w:val="24"/>
        </w:rPr>
      </w:pPr>
      <w:r>
        <w:rPr>
          <w:spacing w:val="-19"/>
          <w:sz w:val="24"/>
          <w:szCs w:val="24"/>
        </w:rPr>
        <w:t>6)充分利用地下降水水源，在现场设置100m3贮水池，用于工程结构混凝土养护、现</w:t>
      </w:r>
      <w:r>
        <w:rPr>
          <w:spacing w:val="-20"/>
          <w:sz w:val="24"/>
          <w:szCs w:val="24"/>
        </w:rPr>
        <w:t>场清</w:t>
      </w:r>
      <w:r>
        <w:rPr>
          <w:spacing w:val="-21"/>
          <w:sz w:val="24"/>
          <w:szCs w:val="24"/>
        </w:rPr>
        <w:t>洁等水的使用，减少对市政净水的需求。</w:t>
      </w:r>
    </w:p>
    <w:p w14:paraId="0BEEBE2E">
      <w:pPr>
        <w:pStyle w:val="2"/>
        <w:spacing w:before="115" w:line="217" w:lineRule="auto"/>
        <w:ind w:left="1972"/>
        <w:rPr>
          <w:sz w:val="24"/>
          <w:szCs w:val="24"/>
        </w:rPr>
      </w:pPr>
      <w:r>
        <w:rPr>
          <w:spacing w:val="-16"/>
          <w:sz w:val="24"/>
          <w:szCs w:val="24"/>
        </w:rPr>
        <w:t>2、环境保护措施纲要</w:t>
      </w:r>
    </w:p>
    <w:p w14:paraId="762BA963">
      <w:pPr>
        <w:pStyle w:val="2"/>
        <w:spacing w:before="118" w:line="217" w:lineRule="auto"/>
        <w:ind w:left="1893"/>
        <w:rPr>
          <w:sz w:val="24"/>
          <w:szCs w:val="24"/>
        </w:rPr>
      </w:pPr>
      <w:r>
        <w:rPr>
          <w:spacing w:val="-19"/>
          <w:sz w:val="24"/>
          <w:szCs w:val="24"/>
        </w:rPr>
        <w:t>环境保护措施纲要</w:t>
      </w:r>
    </w:p>
    <w:p w14:paraId="5F675941">
      <w:pPr>
        <w:spacing w:line="48" w:lineRule="auto"/>
        <w:rPr>
          <w:rFonts w:ascii="Arial"/>
          <w:sz w:val="2"/>
        </w:rPr>
      </w:pPr>
    </w:p>
    <w:tbl>
      <w:tblPr>
        <w:tblStyle w:val="6"/>
        <w:tblW w:w="8367" w:type="dxa"/>
        <w:tblInd w:w="1769"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83"/>
        <w:gridCol w:w="538"/>
        <w:gridCol w:w="1124"/>
        <w:gridCol w:w="1378"/>
        <w:gridCol w:w="5080"/>
        <w:gridCol w:w="64"/>
      </w:tblGrid>
      <w:tr w14:paraId="3A3FAD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6" w:hRule="atLeast"/>
        </w:trPr>
        <w:tc>
          <w:tcPr>
            <w:tcW w:w="721" w:type="dxa"/>
            <w:gridSpan w:val="2"/>
            <w:tcBorders>
              <w:top w:val="single" w:color="000000" w:sz="4" w:space="0"/>
              <w:left w:val="single" w:color="000000" w:sz="4" w:space="0"/>
              <w:bottom w:val="nil"/>
            </w:tcBorders>
            <w:vAlign w:val="top"/>
          </w:tcPr>
          <w:p w14:paraId="71429E45">
            <w:pPr>
              <w:spacing w:line="33" w:lineRule="exact"/>
              <w:ind w:firstLine="697"/>
            </w:pPr>
            <w:r>
              <w:pict>
                <v:shape id="_x0000_s3386" o:spid="_x0000_s3386" style="position:absolute;left:0pt;margin-left:-0.2pt;margin-top:0.05pt;height:0.75pt;width:2.2pt;mso-position-horizontal-relative:page;mso-position-vertical-relative:page;z-index:252047360;mso-width-relative:page;mso-height-relative:page;" fillcolor="#5B9BD5" filled="t" stroked="f" coordsize="44,15" path="m0,14l43,14,43,0,0,0,0,14xe">
                  <v:path/>
                  <v:fill on="t" focussize="0,0"/>
                  <v:stroke on="f"/>
                  <v:imagedata o:title=""/>
                  <o:lock v:ext="edit"/>
                </v:shape>
              </w:pict>
            </w:r>
            <w:r>
              <w:pict>
                <v:group id="_x0000_s3387" o:spid="_x0000_s3387" o:spt="203" style="height:2.2pt;width:2.2pt;" coordsize="44,44">
                  <o:lock v:ext="edit"/>
                  <v:shape id="_x0000_s3388" o:spid="_x0000_s3388" style="position:absolute;left:0;top:0;height:15;width:44;" fillcolor="#5B9BD5" filled="t" stroked="f" coordsize="44,15" path="m0,14l43,14,43,0,0,0,0,14xe">
                    <v:path/>
                    <v:fill on="t" focussize="0,0"/>
                    <v:stroke on="f"/>
                    <v:imagedata o:title=""/>
                    <o:lock v:ext="edit"/>
                  </v:shape>
                  <v:shape id="_x0000_s3389" o:spid="_x0000_s3389" style="position:absolute;left:0;top:14;height:15;width:44;" fillcolor="#20507B" filled="t" stroked="f" coordsize="44,15" path="m0,14l43,14,43,0,0,0,0,14xe">
                    <v:path/>
                    <v:fill on="t" focussize="0,0"/>
                    <v:stroke on="f"/>
                    <v:imagedata o:title=""/>
                    <o:lock v:ext="edit"/>
                  </v:shape>
                  <v:shape id="_x0000_s3390" o:spid="_x0000_s3390" style="position:absolute;left:0;top:28;height:15;width:44;" fillcolor="#1C456A" filled="t" stroked="f" coordsize="44,15" path="m0,14l43,14,43,0,0,0,0,14xe">
                    <v:path/>
                    <v:fill on="t" focussize="0,0"/>
                    <v:stroke on="f"/>
                    <v:imagedata o:title=""/>
                    <o:lock v:ext="edit"/>
                  </v:shape>
                  <w10:wrap type="none"/>
                  <w10:anchorlock/>
                </v:group>
              </w:pict>
            </w:r>
          </w:p>
          <w:p w14:paraId="34EDA522">
            <w:pPr>
              <w:spacing w:line="60" w:lineRule="exact"/>
              <w:ind w:firstLine="33"/>
            </w:pPr>
            <w:r>
              <w:rPr>
                <w:position w:val="-1"/>
              </w:rPr>
              <w:pict>
                <v:shape id="_x0000_s3391" o:spid="_x0000_s3391" style="height:3pt;width:33.25pt;" fillcolor="#DEEAF6" filled="t" stroked="f" coordsize="665,60" path="m0,60l664,60,664,0,0,0,0,60xe">
                  <v:path/>
                  <v:fill on="t" focussize="0,0"/>
                  <v:stroke on="f"/>
                  <v:imagedata o:title=""/>
                  <o:lock v:ext="edit"/>
                  <w10:wrap type="none"/>
                  <w10:anchorlock/>
                </v:shape>
              </w:pict>
            </w:r>
          </w:p>
        </w:tc>
        <w:tc>
          <w:tcPr>
            <w:tcW w:w="1124" w:type="dxa"/>
            <w:vMerge w:val="restart"/>
            <w:tcBorders>
              <w:top w:val="single" w:color="000000" w:sz="4" w:space="0"/>
              <w:bottom w:val="nil"/>
            </w:tcBorders>
            <w:shd w:val="clear" w:color="auto" w:fill="DEEAF6"/>
            <w:vAlign w:val="top"/>
          </w:tcPr>
          <w:p w14:paraId="40BA67C8">
            <w:pPr>
              <w:spacing w:line="297" w:lineRule="auto"/>
              <w:rPr>
                <w:rFonts w:ascii="Arial"/>
                <w:sz w:val="21"/>
              </w:rPr>
            </w:pPr>
          </w:p>
          <w:p w14:paraId="4FEB4F2C">
            <w:pPr>
              <w:pStyle w:val="7"/>
              <w:spacing w:before="78" w:line="220" w:lineRule="auto"/>
              <w:ind w:left="347"/>
            </w:pPr>
            <w:r>
              <w:rPr>
                <w:b/>
                <w:bCs/>
                <w:spacing w:val="-13"/>
              </w:rPr>
              <w:t>纲要</w:t>
            </w:r>
          </w:p>
        </w:tc>
        <w:tc>
          <w:tcPr>
            <w:tcW w:w="1378" w:type="dxa"/>
            <w:vMerge w:val="restart"/>
            <w:tcBorders>
              <w:top w:val="single" w:color="000000" w:sz="4" w:space="0"/>
              <w:bottom w:val="nil"/>
            </w:tcBorders>
            <w:shd w:val="clear" w:color="auto" w:fill="DEEAF6"/>
            <w:vAlign w:val="top"/>
          </w:tcPr>
          <w:p w14:paraId="13CD4945">
            <w:pPr>
              <w:spacing w:line="33" w:lineRule="exact"/>
              <w:ind w:firstLine="1366"/>
            </w:pPr>
            <w:r>
              <w:pict>
                <v:group id="_x0000_s3392" o:spid="_x0000_s3392" o:spt="203" style="height:2.2pt;width:2.2pt;" coordsize="44,44">
                  <o:lock v:ext="edit"/>
                  <v:shape id="_x0000_s3393" o:spid="_x0000_s3393" style="position:absolute;left:0;top:0;height:15;width:44;" fillcolor="#5B9BD5" filled="t" stroked="f" coordsize="44,15" path="m0,14l43,14,43,0,0,0,0,14xe">
                    <v:path/>
                    <v:fill on="t" focussize="0,0"/>
                    <v:stroke on="f"/>
                    <v:imagedata o:title=""/>
                    <o:lock v:ext="edit"/>
                  </v:shape>
                  <v:shape id="_x0000_s3394" o:spid="_x0000_s3394" style="position:absolute;left:0;top:14;height:15;width:44;" fillcolor="#20507B" filled="t" stroked="f" coordsize="44,15" path="m0,14l43,14,43,0,0,0,0,14xe">
                    <v:path/>
                    <v:fill on="t" focussize="0,0"/>
                    <v:stroke on="f"/>
                    <v:imagedata o:title=""/>
                    <o:lock v:ext="edit"/>
                  </v:shape>
                  <v:shape id="_x0000_s3395" o:spid="_x0000_s3395" style="position:absolute;left:0;top:28;height:15;width:44;" fillcolor="#1C456A" filled="t" stroked="f" coordsize="44,15" path="m0,14l43,14,43,0,0,0,0,14xe">
                    <v:path/>
                    <v:fill on="t" focussize="0,0"/>
                    <v:stroke on="f"/>
                    <v:imagedata o:title=""/>
                    <o:lock v:ext="edit"/>
                  </v:shape>
                  <w10:wrap type="none"/>
                  <w10:anchorlock/>
                </v:group>
              </w:pict>
            </w:r>
          </w:p>
          <w:p w14:paraId="718A25D6">
            <w:pPr>
              <w:spacing w:line="263" w:lineRule="auto"/>
              <w:rPr>
                <w:rFonts w:ascii="Arial"/>
                <w:sz w:val="21"/>
              </w:rPr>
            </w:pPr>
          </w:p>
          <w:p w14:paraId="2687B192">
            <w:pPr>
              <w:pStyle w:val="7"/>
              <w:spacing w:before="78" w:line="219" w:lineRule="auto"/>
              <w:ind w:left="261"/>
            </w:pPr>
            <w:r>
              <w:rPr>
                <w:b/>
                <w:bCs/>
                <w:spacing w:val="-19"/>
              </w:rPr>
              <w:t>影响方面</w:t>
            </w:r>
          </w:p>
        </w:tc>
        <w:tc>
          <w:tcPr>
            <w:tcW w:w="5080" w:type="dxa"/>
            <w:vMerge w:val="restart"/>
            <w:tcBorders>
              <w:top w:val="single" w:color="5B9BD5" w:sz="4" w:space="0"/>
              <w:bottom w:val="nil"/>
              <w:right w:val="nil"/>
            </w:tcBorders>
            <w:shd w:val="clear" w:color="auto" w:fill="DEEAF6"/>
            <w:vAlign w:val="top"/>
          </w:tcPr>
          <w:p w14:paraId="580B7AE5">
            <w:pPr>
              <w:spacing w:line="296" w:lineRule="auto"/>
              <w:rPr>
                <w:rFonts w:ascii="Arial"/>
                <w:sz w:val="21"/>
              </w:rPr>
            </w:pPr>
          </w:p>
          <w:p w14:paraId="40C10C2F">
            <w:pPr>
              <w:pStyle w:val="7"/>
              <w:spacing w:before="78" w:line="218" w:lineRule="auto"/>
              <w:ind w:left="2383"/>
            </w:pPr>
            <w:r>
              <w:rPr>
                <w:b/>
                <w:bCs/>
                <w:spacing w:val="-20"/>
              </w:rPr>
              <w:t>内容</w:t>
            </w:r>
          </w:p>
        </w:tc>
        <w:tc>
          <w:tcPr>
            <w:tcW w:w="64" w:type="dxa"/>
            <w:vMerge w:val="restart"/>
            <w:tcBorders>
              <w:top w:val="single" w:color="5B9BD5" w:sz="4" w:space="0"/>
              <w:left w:val="nil"/>
              <w:bottom w:val="nil"/>
              <w:right w:val="single" w:color="5B9BD5" w:sz="4" w:space="0"/>
            </w:tcBorders>
            <w:vAlign w:val="top"/>
          </w:tcPr>
          <w:p w14:paraId="322331A3">
            <w:pPr>
              <w:rPr>
                <w:rFonts w:ascii="Arial"/>
                <w:sz w:val="21"/>
              </w:rPr>
            </w:pPr>
            <w:r>
              <w:pict>
                <v:shape id="_x0000_s3396" o:spid="_x0000_s3396" style="position:absolute;left:0pt;margin-left:1.35pt;margin-top:0.05pt;height:0.75pt;width:2.2pt;mso-position-horizontal-relative:page;mso-position-vertical-relative:page;z-index:252046336;mso-width-relative:page;mso-height-relative:page;" fillcolor="#5B9BD5" filled="t" stroked="f" coordsize="44,15" path="m0,14l43,14,43,0,0,0,0,14xe">
                  <v:path/>
                  <v:fill on="t" focussize="0,0"/>
                  <v:stroke on="f"/>
                  <v:imagedata o:title=""/>
                  <o:lock v:ext="edit"/>
                </v:shape>
              </w:pict>
            </w:r>
          </w:p>
        </w:tc>
      </w:tr>
      <w:tr w14:paraId="45B7C9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51" w:hRule="atLeast"/>
        </w:trPr>
        <w:tc>
          <w:tcPr>
            <w:tcW w:w="721" w:type="dxa"/>
            <w:gridSpan w:val="2"/>
            <w:tcBorders>
              <w:top w:val="nil"/>
              <w:left w:val="single" w:color="000000" w:sz="4" w:space="0"/>
            </w:tcBorders>
            <w:vAlign w:val="top"/>
          </w:tcPr>
          <w:p w14:paraId="794768BB">
            <w:pPr>
              <w:pStyle w:val="7"/>
              <w:spacing w:before="140" w:line="218" w:lineRule="auto"/>
              <w:ind w:left="154"/>
            </w:pPr>
            <w:r>
              <mc:AlternateContent>
                <mc:Choice Requires="wps">
                  <w:drawing>
                    <wp:anchor distT="0" distB="0" distL="0" distR="0" simplePos="0" relativeHeight="252043264" behindDoc="1" locked="0" layoutInCell="1" allowOverlap="1">
                      <wp:simplePos x="0" y="0"/>
                      <wp:positionH relativeFrom="column">
                        <wp:posOffset>20955</wp:posOffset>
                      </wp:positionH>
                      <wp:positionV relativeFrom="paragraph">
                        <wp:posOffset>-128270</wp:posOffset>
                      </wp:positionV>
                      <wp:extent cx="422275" cy="685800"/>
                      <wp:effectExtent l="0" t="0" r="0" b="0"/>
                      <wp:wrapNone/>
                      <wp:docPr id="946" name="Rect 946"/>
                      <wp:cNvGraphicFramePr/>
                      <a:graphic xmlns:a="http://schemas.openxmlformats.org/drawingml/2006/main">
                        <a:graphicData uri="http://schemas.microsoft.com/office/word/2010/wordprocessingShape">
                          <wps:wsp>
                            <wps:cNvSpPr/>
                            <wps:spPr>
                              <a:xfrm>
                                <a:off x="21082" y="-128714"/>
                                <a:ext cx="422275" cy="685800"/>
                              </a:xfrm>
                              <a:prstGeom prst="rect">
                                <a:avLst/>
                              </a:prstGeom>
                              <a:solidFill>
                                <a:srgbClr val="DEEAF6"/>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946" o:spid="_x0000_s1026" o:spt="1" style="position:absolute;left:0pt;margin-left:1.65pt;margin-top:-10.1pt;height:54pt;width:33.25pt;z-index:-251273216;mso-width-relative:page;mso-height-relative:page;" fillcolor="#DEEAF6" filled="t" stroked="f" coordsize="21600,21600" o:gfxdata="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mlDbUtcAAAAHAQAADwAAAAAAAAABACAAAAAiAAAAZHJzL2Rvd25yZXYu&#10;eG1sUEsBAhQAFAAAAAgAh07iQK5OxIo1AgAAbwQAAA4AAAAAAAAAAQAgAAAAJgEAAGRycy9lMm9E&#10;b2MueG1sUEsFBgAAAAAGAAYAWQEAAM0FAAAAAA==&#10;">
                      <v:fill on="t" focussize="0,0"/>
                      <v:stroke on="f" weight="0pt"/>
                      <v:imagedata o:title=""/>
                      <o:lock v:ext="edit" aspectratio="f"/>
                      <v:textbox inset="0mm,0mm,0mm,0mm"/>
                    </v:rect>
                  </w:pict>
                </mc:Fallback>
              </mc:AlternateContent>
            </w:r>
            <w:r>
              <w:rPr>
                <w:b/>
                <w:bCs/>
                <w:spacing w:val="-12"/>
              </w:rPr>
              <w:t>序号</w:t>
            </w:r>
          </w:p>
        </w:tc>
        <w:tc>
          <w:tcPr>
            <w:tcW w:w="1124" w:type="dxa"/>
            <w:vMerge w:val="continue"/>
            <w:tcBorders>
              <w:top w:val="nil"/>
            </w:tcBorders>
            <w:vAlign w:val="top"/>
          </w:tcPr>
          <w:p w14:paraId="22C9D025">
            <w:pPr>
              <w:rPr>
                <w:rFonts w:ascii="Arial"/>
                <w:sz w:val="21"/>
              </w:rPr>
            </w:pPr>
          </w:p>
        </w:tc>
        <w:tc>
          <w:tcPr>
            <w:tcW w:w="1378" w:type="dxa"/>
            <w:vMerge w:val="continue"/>
            <w:tcBorders>
              <w:top w:val="nil"/>
            </w:tcBorders>
            <w:vAlign w:val="top"/>
          </w:tcPr>
          <w:p w14:paraId="05F9A378">
            <w:pPr>
              <w:rPr>
                <w:rFonts w:ascii="Arial"/>
                <w:sz w:val="21"/>
              </w:rPr>
            </w:pPr>
          </w:p>
        </w:tc>
        <w:tc>
          <w:tcPr>
            <w:tcW w:w="5080" w:type="dxa"/>
            <w:vMerge w:val="continue"/>
            <w:tcBorders>
              <w:top w:val="nil"/>
              <w:right w:val="nil"/>
            </w:tcBorders>
            <w:vAlign w:val="top"/>
          </w:tcPr>
          <w:p w14:paraId="1CC8F98B">
            <w:pPr>
              <w:rPr>
                <w:rFonts w:ascii="Arial"/>
                <w:sz w:val="21"/>
              </w:rPr>
            </w:pPr>
          </w:p>
        </w:tc>
        <w:tc>
          <w:tcPr>
            <w:tcW w:w="64" w:type="dxa"/>
            <w:vMerge w:val="continue"/>
            <w:tcBorders>
              <w:top w:val="nil"/>
              <w:left w:val="nil"/>
              <w:right w:val="single" w:color="5B9BD5" w:sz="4" w:space="0"/>
            </w:tcBorders>
            <w:vAlign w:val="top"/>
          </w:tcPr>
          <w:p w14:paraId="4920FB40">
            <w:pPr>
              <w:rPr>
                <w:rFonts w:ascii="Arial"/>
                <w:sz w:val="21"/>
              </w:rPr>
            </w:pPr>
          </w:p>
        </w:tc>
      </w:tr>
      <w:tr w14:paraId="55894C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31" w:hRule="atLeast"/>
        </w:trPr>
        <w:tc>
          <w:tcPr>
            <w:tcW w:w="721" w:type="dxa"/>
            <w:gridSpan w:val="2"/>
            <w:tcBorders>
              <w:left w:val="single" w:color="000000" w:sz="4" w:space="0"/>
            </w:tcBorders>
            <w:vAlign w:val="top"/>
          </w:tcPr>
          <w:p w14:paraId="0FE2C377">
            <w:pPr>
              <w:spacing w:line="255" w:lineRule="auto"/>
              <w:rPr>
                <w:rFonts w:ascii="Arial"/>
                <w:sz w:val="21"/>
              </w:rPr>
            </w:pPr>
          </w:p>
          <w:p w14:paraId="7535E902">
            <w:pPr>
              <w:spacing w:line="256" w:lineRule="auto"/>
              <w:rPr>
                <w:rFonts w:ascii="Arial"/>
                <w:sz w:val="21"/>
              </w:rPr>
            </w:pPr>
          </w:p>
          <w:p w14:paraId="27FA52AD">
            <w:pPr>
              <w:pStyle w:val="7"/>
              <w:spacing w:before="78" w:line="238" w:lineRule="auto"/>
              <w:ind w:left="328"/>
            </w:pPr>
            <w:r>
              <w:t>1</w:t>
            </w:r>
          </w:p>
        </w:tc>
        <w:tc>
          <w:tcPr>
            <w:tcW w:w="1124" w:type="dxa"/>
            <w:vAlign w:val="top"/>
          </w:tcPr>
          <w:p w14:paraId="60A383AB">
            <w:pPr>
              <w:spacing w:line="277" w:lineRule="auto"/>
              <w:rPr>
                <w:rFonts w:ascii="Arial"/>
                <w:sz w:val="21"/>
              </w:rPr>
            </w:pPr>
          </w:p>
          <w:p w14:paraId="31752324">
            <w:pPr>
              <w:pStyle w:val="7"/>
              <w:spacing w:before="78" w:line="217" w:lineRule="auto"/>
              <w:ind w:left="129"/>
            </w:pPr>
            <w:r>
              <w:rPr>
                <w:spacing w:val="-15"/>
              </w:rPr>
              <w:t>环境保护</w:t>
            </w:r>
          </w:p>
          <w:p w14:paraId="5DF8745F">
            <w:pPr>
              <w:pStyle w:val="7"/>
              <w:spacing w:before="186" w:line="219" w:lineRule="auto"/>
              <w:ind w:left="131"/>
            </w:pPr>
            <w:r>
              <w:rPr>
                <w:spacing w:val="-16"/>
              </w:rPr>
              <w:t>知识培训</w:t>
            </w:r>
          </w:p>
        </w:tc>
        <w:tc>
          <w:tcPr>
            <w:tcW w:w="1378" w:type="dxa"/>
            <w:vAlign w:val="top"/>
          </w:tcPr>
          <w:p w14:paraId="03FB3BF5">
            <w:pPr>
              <w:spacing w:line="277" w:lineRule="auto"/>
              <w:rPr>
                <w:rFonts w:ascii="Arial"/>
                <w:sz w:val="21"/>
              </w:rPr>
            </w:pPr>
          </w:p>
          <w:p w14:paraId="0D413E1B">
            <w:pPr>
              <w:pStyle w:val="7"/>
              <w:spacing w:before="78" w:line="217" w:lineRule="auto"/>
              <w:ind w:left="152"/>
            </w:pPr>
            <w:r>
              <w:rPr>
                <w:spacing w:val="-17"/>
              </w:rPr>
              <w:t>环保知识培</w:t>
            </w:r>
          </w:p>
          <w:p w14:paraId="2B76C163">
            <w:pPr>
              <w:pStyle w:val="7"/>
              <w:spacing w:before="186" w:line="219" w:lineRule="auto"/>
              <w:ind w:left="589"/>
            </w:pPr>
            <w:r>
              <w:t>训</w:t>
            </w:r>
          </w:p>
        </w:tc>
        <w:tc>
          <w:tcPr>
            <w:tcW w:w="5144" w:type="dxa"/>
            <w:gridSpan w:val="2"/>
            <w:tcBorders>
              <w:right w:val="single" w:color="000000" w:sz="4" w:space="0"/>
            </w:tcBorders>
            <w:vAlign w:val="top"/>
          </w:tcPr>
          <w:p w14:paraId="14EECFB3">
            <w:pPr>
              <w:spacing w:line="277" w:lineRule="auto"/>
              <w:rPr>
                <w:rFonts w:ascii="Arial"/>
                <w:sz w:val="21"/>
              </w:rPr>
            </w:pPr>
          </w:p>
          <w:p w14:paraId="64B54AAB">
            <w:pPr>
              <w:pStyle w:val="7"/>
              <w:spacing w:before="78" w:line="217" w:lineRule="auto"/>
              <w:ind w:left="68"/>
            </w:pPr>
            <w:r>
              <w:rPr>
                <w:spacing w:val="-21"/>
              </w:rPr>
              <w:t>对总包队伍、分包队伍进行现场培训，提高施工人员</w:t>
            </w:r>
          </w:p>
          <w:p w14:paraId="2C147C54">
            <w:pPr>
              <w:pStyle w:val="7"/>
              <w:spacing w:before="186" w:line="218" w:lineRule="auto"/>
              <w:ind w:left="844"/>
            </w:pPr>
            <w:r>
              <w:rPr>
                <w:spacing w:val="-22"/>
              </w:rPr>
              <w:t>的素质，为实现绿色施工打下基础。</w:t>
            </w:r>
          </w:p>
        </w:tc>
      </w:tr>
      <w:tr w14:paraId="3E27BC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58" w:hRule="atLeast"/>
        </w:trPr>
        <w:tc>
          <w:tcPr>
            <w:tcW w:w="183" w:type="dxa"/>
            <w:vMerge w:val="restart"/>
            <w:tcBorders>
              <w:left w:val="single" w:color="1C456A" w:sz="4" w:space="0"/>
              <w:bottom w:val="nil"/>
              <w:right w:val="nil"/>
            </w:tcBorders>
            <w:vAlign w:val="top"/>
          </w:tcPr>
          <w:p w14:paraId="1EDCC39E">
            <w:pPr>
              <w:rPr>
                <w:rFonts w:ascii="Arial"/>
                <w:sz w:val="21"/>
              </w:rPr>
            </w:pPr>
            <w:r>
              <w:pict>
                <v:shape id="_x0000_s3397" o:spid="_x0000_s3397" style="position:absolute;left:0pt;margin-left:-0.25pt;margin-top:131.5pt;height:0.75pt;width:2.2pt;mso-position-horizontal-relative:page;mso-position-vertical-relative:page;z-index:252045312;mso-width-relative:page;mso-height-relative:page;" fillcolor="#5B9BD5" filled="t" stroked="f" coordsize="44,15" path="m0,14l43,14,43,0,0,0,0,14xe">
                  <v:path/>
                  <v:fill on="t" focussize="0,0"/>
                  <v:stroke on="f"/>
                  <v:imagedata o:title=""/>
                  <o:lock v:ext="edit"/>
                </v:shape>
              </w:pict>
            </w:r>
          </w:p>
        </w:tc>
        <w:tc>
          <w:tcPr>
            <w:tcW w:w="538" w:type="dxa"/>
            <w:vMerge w:val="restart"/>
            <w:tcBorders>
              <w:left w:val="nil"/>
              <w:bottom w:val="nil"/>
            </w:tcBorders>
            <w:vAlign w:val="top"/>
          </w:tcPr>
          <w:p w14:paraId="569CC387">
            <w:pPr>
              <w:spacing w:line="256" w:lineRule="auto"/>
              <w:rPr>
                <w:rFonts w:ascii="Arial"/>
                <w:sz w:val="21"/>
              </w:rPr>
            </w:pPr>
          </w:p>
          <w:p w14:paraId="19B50681">
            <w:pPr>
              <w:spacing w:line="257" w:lineRule="auto"/>
              <w:rPr>
                <w:rFonts w:ascii="Arial"/>
                <w:sz w:val="21"/>
              </w:rPr>
            </w:pPr>
          </w:p>
          <w:p w14:paraId="01B48080">
            <w:pPr>
              <w:spacing w:line="257" w:lineRule="auto"/>
              <w:rPr>
                <w:rFonts w:ascii="Arial"/>
                <w:sz w:val="21"/>
              </w:rPr>
            </w:pPr>
          </w:p>
          <w:p w14:paraId="51301DAA">
            <w:pPr>
              <w:spacing w:line="257" w:lineRule="auto"/>
              <w:rPr>
                <w:rFonts w:ascii="Arial"/>
                <w:sz w:val="21"/>
              </w:rPr>
            </w:pPr>
          </w:p>
          <w:p w14:paraId="3D6AF88E">
            <w:pPr>
              <w:pStyle w:val="7"/>
              <w:spacing w:before="78" w:line="238" w:lineRule="auto"/>
              <w:ind w:left="135"/>
            </w:pPr>
            <w:r>
              <w:t>2</w:t>
            </w:r>
          </w:p>
        </w:tc>
        <w:tc>
          <w:tcPr>
            <w:tcW w:w="1124" w:type="dxa"/>
            <w:vMerge w:val="restart"/>
            <w:tcBorders>
              <w:bottom w:val="nil"/>
            </w:tcBorders>
            <w:vAlign w:val="top"/>
          </w:tcPr>
          <w:p w14:paraId="3F9A3E2D">
            <w:pPr>
              <w:spacing w:line="256" w:lineRule="auto"/>
              <w:rPr>
                <w:rFonts w:ascii="Arial"/>
                <w:sz w:val="21"/>
              </w:rPr>
            </w:pPr>
          </w:p>
          <w:p w14:paraId="432D88BF">
            <w:pPr>
              <w:spacing w:line="257" w:lineRule="auto"/>
              <w:rPr>
                <w:rFonts w:ascii="Arial"/>
                <w:sz w:val="21"/>
              </w:rPr>
            </w:pPr>
          </w:p>
          <w:p w14:paraId="009D41AB">
            <w:pPr>
              <w:spacing w:line="257" w:lineRule="auto"/>
              <w:rPr>
                <w:rFonts w:ascii="Arial"/>
                <w:sz w:val="21"/>
              </w:rPr>
            </w:pPr>
          </w:p>
          <w:p w14:paraId="0D961928">
            <w:pPr>
              <w:spacing w:line="257" w:lineRule="auto"/>
              <w:rPr>
                <w:rFonts w:ascii="Arial"/>
                <w:sz w:val="21"/>
              </w:rPr>
            </w:pPr>
          </w:p>
          <w:p w14:paraId="1D830B4E">
            <w:pPr>
              <w:pStyle w:val="7"/>
              <w:spacing w:before="78" w:line="218" w:lineRule="auto"/>
              <w:ind w:left="129"/>
            </w:pPr>
            <w:r>
              <w:rPr>
                <w:spacing w:val="-15"/>
              </w:rPr>
              <w:t>环境影响</w:t>
            </w:r>
          </w:p>
        </w:tc>
        <w:tc>
          <w:tcPr>
            <w:tcW w:w="1378" w:type="dxa"/>
            <w:vAlign w:val="top"/>
          </w:tcPr>
          <w:p w14:paraId="7463B5DD">
            <w:pPr>
              <w:pStyle w:val="7"/>
              <w:spacing w:before="115" w:line="218" w:lineRule="auto"/>
              <w:ind w:left="153"/>
            </w:pPr>
            <w:r>
              <w:rPr>
                <w:spacing w:val="-17"/>
              </w:rPr>
              <w:t>场地土壤环</w:t>
            </w:r>
          </w:p>
          <w:p w14:paraId="3CD7D4CF">
            <w:pPr>
              <w:pStyle w:val="7"/>
              <w:spacing w:before="184" w:line="219" w:lineRule="auto"/>
              <w:ind w:left="590"/>
            </w:pPr>
            <w:r>
              <w:t>境</w:t>
            </w:r>
          </w:p>
        </w:tc>
        <w:tc>
          <w:tcPr>
            <w:tcW w:w="5144" w:type="dxa"/>
            <w:gridSpan w:val="2"/>
            <w:tcBorders>
              <w:right w:val="single" w:color="000000" w:sz="4" w:space="0"/>
            </w:tcBorders>
            <w:vAlign w:val="top"/>
          </w:tcPr>
          <w:p w14:paraId="68AF6B5D">
            <w:pPr>
              <w:pStyle w:val="7"/>
              <w:spacing w:before="114" w:line="359" w:lineRule="auto"/>
              <w:ind w:left="244" w:hanging="170"/>
            </w:pPr>
            <w:r>
              <w:rPr>
                <w:spacing w:val="-32"/>
              </w:rPr>
              <w:t>1、减少临建占地，少开挖原土。2、多种绿色植物。3、</w:t>
            </w:r>
            <w:r>
              <w:rPr>
                <w:spacing w:val="-22"/>
              </w:rPr>
              <w:t>防止有毒物质泄漏污染地面。4、防止水土流失。</w:t>
            </w:r>
          </w:p>
        </w:tc>
      </w:tr>
      <w:tr w14:paraId="264485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67" w:hRule="atLeast"/>
        </w:trPr>
        <w:tc>
          <w:tcPr>
            <w:tcW w:w="183" w:type="dxa"/>
            <w:vMerge w:val="continue"/>
            <w:tcBorders>
              <w:top w:val="nil"/>
              <w:left w:val="single" w:color="1C456A" w:sz="4" w:space="0"/>
              <w:bottom w:val="single" w:color="1C456A" w:sz="4" w:space="0"/>
              <w:right w:val="nil"/>
            </w:tcBorders>
            <w:vAlign w:val="top"/>
          </w:tcPr>
          <w:p w14:paraId="7B7C3CD4">
            <w:pPr>
              <w:rPr>
                <w:rFonts w:ascii="Arial"/>
                <w:sz w:val="21"/>
              </w:rPr>
            </w:pPr>
          </w:p>
        </w:tc>
        <w:tc>
          <w:tcPr>
            <w:tcW w:w="538" w:type="dxa"/>
            <w:vMerge w:val="continue"/>
            <w:tcBorders>
              <w:top w:val="nil"/>
              <w:left w:val="nil"/>
              <w:bottom w:val="single" w:color="1C456A" w:sz="4" w:space="0"/>
            </w:tcBorders>
            <w:vAlign w:val="top"/>
          </w:tcPr>
          <w:p w14:paraId="5A3725B2">
            <w:pPr>
              <w:rPr>
                <w:rFonts w:ascii="Arial"/>
                <w:sz w:val="21"/>
              </w:rPr>
            </w:pPr>
          </w:p>
        </w:tc>
        <w:tc>
          <w:tcPr>
            <w:tcW w:w="1124" w:type="dxa"/>
            <w:vMerge w:val="continue"/>
            <w:tcBorders>
              <w:top w:val="nil"/>
              <w:bottom w:val="single" w:color="000000" w:sz="4" w:space="0"/>
            </w:tcBorders>
            <w:vAlign w:val="top"/>
          </w:tcPr>
          <w:p w14:paraId="5B8412AB">
            <w:pPr>
              <w:rPr>
                <w:rFonts w:ascii="Arial"/>
                <w:sz w:val="21"/>
              </w:rPr>
            </w:pPr>
          </w:p>
        </w:tc>
        <w:tc>
          <w:tcPr>
            <w:tcW w:w="1378" w:type="dxa"/>
            <w:tcBorders>
              <w:bottom w:val="single" w:color="000000" w:sz="4" w:space="0"/>
            </w:tcBorders>
            <w:vAlign w:val="top"/>
          </w:tcPr>
          <w:p w14:paraId="23430174">
            <w:pPr>
              <w:spacing w:line="247" w:lineRule="auto"/>
              <w:rPr>
                <w:rFonts w:ascii="Arial"/>
                <w:sz w:val="21"/>
              </w:rPr>
            </w:pPr>
          </w:p>
          <w:p w14:paraId="629BA67C">
            <w:pPr>
              <w:spacing w:line="248" w:lineRule="auto"/>
              <w:rPr>
                <w:rFonts w:ascii="Arial"/>
                <w:sz w:val="21"/>
              </w:rPr>
            </w:pPr>
          </w:p>
          <w:p w14:paraId="72B63229">
            <w:pPr>
              <w:pStyle w:val="7"/>
              <w:spacing w:before="78" w:line="218" w:lineRule="auto"/>
              <w:ind w:left="264"/>
            </w:pPr>
            <w:r>
              <w:rPr>
                <w:spacing w:val="-16"/>
              </w:rPr>
              <w:t>大气环境</w:t>
            </w:r>
          </w:p>
        </w:tc>
        <w:tc>
          <w:tcPr>
            <w:tcW w:w="5144" w:type="dxa"/>
            <w:gridSpan w:val="2"/>
            <w:tcBorders>
              <w:bottom w:val="single" w:color="5B9BD5" w:sz="4" w:space="0"/>
              <w:right w:val="single" w:color="5B9BD5" w:sz="4" w:space="0"/>
            </w:tcBorders>
            <w:vAlign w:val="top"/>
          </w:tcPr>
          <w:p w14:paraId="5D2C8988">
            <w:pPr>
              <w:pStyle w:val="7"/>
              <w:spacing w:before="110" w:line="217" w:lineRule="auto"/>
              <w:ind w:left="74"/>
            </w:pPr>
            <w:r>
              <w:pict>
                <v:shape id="_x0000_s3398" o:spid="_x0000_s3398" style="position:absolute;left:0pt;margin-left:255.35pt;margin-top:78.35pt;height:0.75pt;width:2.2pt;mso-position-horizontal-relative:page;mso-position-vertical-relative:page;z-index:252044288;mso-width-relative:page;mso-height-relative:page;" fillcolor="#5B9BD5" filled="t" stroked="f" coordsize="44,15" path="m0,14l43,14,43,0,0,0,0,14xe">
                  <v:path/>
                  <v:fill on="t" focussize="0,0"/>
                  <v:stroke on="f"/>
                  <v:imagedata o:title=""/>
                  <o:lock v:ext="edit"/>
                </v:shape>
              </w:pict>
            </w:r>
            <w:r>
              <w:rPr>
                <w:spacing w:val="-24"/>
              </w:rPr>
              <w:t>1、抑制现场扬尘产生。2、对现场进行围挡。3</w:t>
            </w:r>
            <w:r>
              <w:rPr>
                <w:spacing w:val="-25"/>
              </w:rPr>
              <w:t>、减少</w:t>
            </w:r>
          </w:p>
          <w:p w14:paraId="5B2876AB">
            <w:pPr>
              <w:pStyle w:val="7"/>
              <w:spacing w:before="184" w:line="217" w:lineRule="auto"/>
              <w:ind w:left="66"/>
            </w:pPr>
            <w:r>
              <w:rPr>
                <w:spacing w:val="-21"/>
              </w:rPr>
              <w:t>运输遗洒对环境影响。4、控制废气排放。5、控制烟</w:t>
            </w:r>
          </w:p>
          <w:p w14:paraId="164B32EB">
            <w:pPr>
              <w:pStyle w:val="7"/>
              <w:spacing w:before="185" w:line="218" w:lineRule="auto"/>
              <w:ind w:left="2143"/>
            </w:pPr>
            <w:r>
              <w:rPr>
                <w:spacing w:val="-16"/>
              </w:rPr>
              <w:t>雾排放。</w:t>
            </w:r>
          </w:p>
        </w:tc>
      </w:tr>
    </w:tbl>
    <w:p w14:paraId="197A6B3A">
      <w:pPr>
        <w:rPr>
          <w:rFonts w:ascii="Arial"/>
          <w:sz w:val="21"/>
        </w:rPr>
      </w:pPr>
    </w:p>
    <w:p w14:paraId="3CC13743">
      <w:pPr>
        <w:rPr>
          <w:rFonts w:ascii="Arial" w:hAnsi="Arial" w:eastAsia="Arial" w:cs="Arial"/>
          <w:sz w:val="21"/>
          <w:szCs w:val="21"/>
        </w:rPr>
        <w:sectPr>
          <w:footerReference r:id="rId178" w:type="default"/>
          <w:pgSz w:w="11907" w:h="16839"/>
          <w:pgMar w:top="954" w:right="4" w:bottom="1038" w:left="0" w:header="499" w:footer="357" w:gutter="0"/>
          <w:pgBorders>
            <w:top w:val="none" w:sz="0" w:space="0"/>
            <w:left w:val="none" w:sz="0" w:space="0"/>
            <w:bottom w:val="none" w:sz="0" w:space="0"/>
            <w:right w:val="none" w:sz="0" w:space="0"/>
          </w:pgBorders>
          <w:cols w:space="720" w:num="1"/>
        </w:sectPr>
      </w:pPr>
    </w:p>
    <w:p w14:paraId="5F22F50C">
      <w:pPr>
        <w:spacing w:line="214" w:lineRule="exact"/>
      </w:pPr>
    </w:p>
    <w:tbl>
      <w:tblPr>
        <w:tblStyle w:val="6"/>
        <w:tblW w:w="8367" w:type="dxa"/>
        <w:tblInd w:w="1769"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84"/>
        <w:gridCol w:w="527"/>
        <w:gridCol w:w="1131"/>
        <w:gridCol w:w="1377"/>
        <w:gridCol w:w="5148"/>
      </w:tblGrid>
      <w:tr w14:paraId="58F4E0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1" w:hRule="atLeast"/>
        </w:trPr>
        <w:tc>
          <w:tcPr>
            <w:tcW w:w="711" w:type="dxa"/>
            <w:gridSpan w:val="2"/>
            <w:vMerge w:val="restart"/>
            <w:tcBorders>
              <w:top w:val="single" w:color="000000" w:sz="4" w:space="0"/>
              <w:left w:val="single" w:color="000000" w:sz="4" w:space="0"/>
              <w:bottom w:val="nil"/>
            </w:tcBorders>
            <w:vAlign w:val="top"/>
          </w:tcPr>
          <w:p w14:paraId="38C18EF6">
            <w:pPr>
              <w:rPr>
                <w:rFonts w:ascii="Arial"/>
                <w:sz w:val="21"/>
              </w:rPr>
            </w:pPr>
          </w:p>
        </w:tc>
        <w:tc>
          <w:tcPr>
            <w:tcW w:w="1131" w:type="dxa"/>
            <w:vMerge w:val="restart"/>
            <w:tcBorders>
              <w:top w:val="single" w:color="000000" w:sz="4" w:space="0"/>
              <w:bottom w:val="nil"/>
            </w:tcBorders>
            <w:vAlign w:val="top"/>
          </w:tcPr>
          <w:p w14:paraId="55489C95">
            <w:pPr>
              <w:rPr>
                <w:rFonts w:ascii="Arial"/>
                <w:sz w:val="21"/>
              </w:rPr>
            </w:pPr>
          </w:p>
        </w:tc>
        <w:tc>
          <w:tcPr>
            <w:tcW w:w="1377" w:type="dxa"/>
            <w:tcBorders>
              <w:top w:val="single" w:color="000000" w:sz="4" w:space="0"/>
            </w:tcBorders>
            <w:vAlign w:val="top"/>
          </w:tcPr>
          <w:p w14:paraId="65C5DDFA">
            <w:pPr>
              <w:spacing w:line="284" w:lineRule="auto"/>
              <w:rPr>
                <w:rFonts w:ascii="Arial"/>
                <w:sz w:val="21"/>
              </w:rPr>
            </w:pPr>
          </w:p>
          <w:p w14:paraId="34F9284A">
            <w:pPr>
              <w:pStyle w:val="7"/>
              <w:spacing w:before="78" w:line="218" w:lineRule="auto"/>
              <w:ind w:left="493"/>
            </w:pPr>
            <w:r>
              <w:rPr>
                <w:spacing w:val="-14"/>
              </w:rPr>
              <w:t>噪音</w:t>
            </w:r>
          </w:p>
        </w:tc>
        <w:tc>
          <w:tcPr>
            <w:tcW w:w="5148" w:type="dxa"/>
            <w:tcBorders>
              <w:top w:val="single" w:color="5B9BD5" w:sz="4" w:space="0"/>
              <w:right w:val="single" w:color="5B9BD5" w:sz="4" w:space="0"/>
            </w:tcBorders>
            <w:vAlign w:val="top"/>
          </w:tcPr>
          <w:p w14:paraId="43072E79">
            <w:pPr>
              <w:pStyle w:val="7"/>
              <w:spacing w:before="129" w:line="216" w:lineRule="auto"/>
              <w:ind w:left="73"/>
            </w:pPr>
            <w:r>
              <w:rPr>
                <w:spacing w:val="-21"/>
              </w:rPr>
              <w:t>选择低噪音设备，强噪音设备搭隔音棚，控制夜晚施</w:t>
            </w:r>
          </w:p>
          <w:p w14:paraId="0CD7DAF8">
            <w:pPr>
              <w:pStyle w:val="7"/>
              <w:spacing w:before="187" w:line="218" w:lineRule="auto"/>
              <w:ind w:left="947"/>
            </w:pPr>
            <w:r>
              <w:rPr>
                <w:spacing w:val="-21"/>
              </w:rPr>
              <w:t>工强度，从声源上降低噪音影响。</w:t>
            </w:r>
          </w:p>
        </w:tc>
      </w:tr>
      <w:tr w14:paraId="3CC17A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55" w:hRule="atLeast"/>
        </w:trPr>
        <w:tc>
          <w:tcPr>
            <w:tcW w:w="711" w:type="dxa"/>
            <w:gridSpan w:val="2"/>
            <w:vMerge w:val="continue"/>
            <w:tcBorders>
              <w:top w:val="nil"/>
              <w:left w:val="single" w:color="000000" w:sz="4" w:space="0"/>
              <w:bottom w:val="nil"/>
            </w:tcBorders>
            <w:vAlign w:val="top"/>
          </w:tcPr>
          <w:p w14:paraId="20331B1A">
            <w:pPr>
              <w:rPr>
                <w:rFonts w:ascii="Arial"/>
                <w:sz w:val="21"/>
              </w:rPr>
            </w:pPr>
          </w:p>
        </w:tc>
        <w:tc>
          <w:tcPr>
            <w:tcW w:w="1131" w:type="dxa"/>
            <w:vMerge w:val="continue"/>
            <w:tcBorders>
              <w:top w:val="nil"/>
              <w:bottom w:val="nil"/>
            </w:tcBorders>
            <w:vAlign w:val="top"/>
          </w:tcPr>
          <w:p w14:paraId="6DCAA994">
            <w:pPr>
              <w:rPr>
                <w:rFonts w:ascii="Arial"/>
                <w:sz w:val="21"/>
              </w:rPr>
            </w:pPr>
          </w:p>
        </w:tc>
        <w:tc>
          <w:tcPr>
            <w:tcW w:w="1377" w:type="dxa"/>
            <w:vAlign w:val="top"/>
          </w:tcPr>
          <w:p w14:paraId="415E7B05">
            <w:pPr>
              <w:spacing w:line="250" w:lineRule="auto"/>
              <w:rPr>
                <w:rFonts w:ascii="Arial"/>
                <w:sz w:val="21"/>
              </w:rPr>
            </w:pPr>
          </w:p>
          <w:p w14:paraId="39C6D302">
            <w:pPr>
              <w:pStyle w:val="7"/>
              <w:spacing w:before="78" w:line="218" w:lineRule="auto"/>
              <w:ind w:left="371"/>
            </w:pPr>
            <w:r>
              <w:rPr>
                <w:spacing w:val="-13"/>
              </w:rPr>
              <w:t>水污染</w:t>
            </w:r>
          </w:p>
        </w:tc>
        <w:tc>
          <w:tcPr>
            <w:tcW w:w="5148" w:type="dxa"/>
            <w:tcBorders>
              <w:right w:val="single" w:color="000000" w:sz="4" w:space="0"/>
            </w:tcBorders>
            <w:vAlign w:val="top"/>
          </w:tcPr>
          <w:p w14:paraId="0648A262">
            <w:pPr>
              <w:pStyle w:val="7"/>
              <w:spacing w:before="97" w:line="218" w:lineRule="auto"/>
              <w:ind w:left="73"/>
            </w:pPr>
            <w:r>
              <w:rPr>
                <w:spacing w:val="-21"/>
              </w:rPr>
              <w:t>分流雨、污水，采取去除泥砂、油污、沉淀过虑等方</w:t>
            </w:r>
          </w:p>
          <w:p w14:paraId="390B6CF6">
            <w:pPr>
              <w:pStyle w:val="7"/>
              <w:spacing w:before="182" w:line="218" w:lineRule="auto"/>
              <w:ind w:left="1057"/>
            </w:pPr>
            <w:r>
              <w:rPr>
                <w:spacing w:val="-21"/>
              </w:rPr>
              <w:t>法，减轻污水排放对环境影响。</w:t>
            </w:r>
          </w:p>
        </w:tc>
      </w:tr>
      <w:tr w14:paraId="126D1E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53" w:hRule="atLeast"/>
        </w:trPr>
        <w:tc>
          <w:tcPr>
            <w:tcW w:w="711" w:type="dxa"/>
            <w:gridSpan w:val="2"/>
            <w:vMerge w:val="continue"/>
            <w:tcBorders>
              <w:top w:val="nil"/>
              <w:left w:val="single" w:color="000000" w:sz="4" w:space="0"/>
              <w:bottom w:val="nil"/>
            </w:tcBorders>
            <w:vAlign w:val="top"/>
          </w:tcPr>
          <w:p w14:paraId="46DE4D81">
            <w:pPr>
              <w:rPr>
                <w:rFonts w:ascii="Arial"/>
                <w:sz w:val="21"/>
              </w:rPr>
            </w:pPr>
          </w:p>
        </w:tc>
        <w:tc>
          <w:tcPr>
            <w:tcW w:w="1131" w:type="dxa"/>
            <w:vMerge w:val="continue"/>
            <w:tcBorders>
              <w:top w:val="nil"/>
              <w:bottom w:val="nil"/>
            </w:tcBorders>
            <w:vAlign w:val="top"/>
          </w:tcPr>
          <w:p w14:paraId="6C80EB0C">
            <w:pPr>
              <w:rPr>
                <w:rFonts w:ascii="Arial"/>
                <w:sz w:val="21"/>
              </w:rPr>
            </w:pPr>
          </w:p>
        </w:tc>
        <w:tc>
          <w:tcPr>
            <w:tcW w:w="1377" w:type="dxa"/>
            <w:vAlign w:val="top"/>
          </w:tcPr>
          <w:p w14:paraId="5B0A4619">
            <w:pPr>
              <w:spacing w:line="251" w:lineRule="auto"/>
              <w:rPr>
                <w:rFonts w:ascii="Arial"/>
                <w:sz w:val="21"/>
              </w:rPr>
            </w:pPr>
          </w:p>
          <w:p w14:paraId="7E37B0EB">
            <w:pPr>
              <w:pStyle w:val="7"/>
              <w:spacing w:before="78" w:line="218" w:lineRule="auto"/>
              <w:ind w:left="378"/>
            </w:pPr>
            <w:r>
              <w:rPr>
                <w:spacing w:val="-15"/>
              </w:rPr>
              <w:t>光污染</w:t>
            </w:r>
          </w:p>
        </w:tc>
        <w:tc>
          <w:tcPr>
            <w:tcW w:w="5148" w:type="dxa"/>
            <w:tcBorders>
              <w:right w:val="single" w:color="000000" w:sz="4" w:space="0"/>
            </w:tcBorders>
            <w:vAlign w:val="top"/>
          </w:tcPr>
          <w:p w14:paraId="22F8AD13">
            <w:pPr>
              <w:pStyle w:val="7"/>
              <w:spacing w:before="94" w:line="217" w:lineRule="auto"/>
              <w:ind w:left="69"/>
            </w:pPr>
            <w:r>
              <w:rPr>
                <w:spacing w:val="-21"/>
              </w:rPr>
              <w:t>现场采用防眩灯照明、对建筑物外围直射光线设置围</w:t>
            </w:r>
          </w:p>
          <w:p w14:paraId="1521DB6D">
            <w:pPr>
              <w:pStyle w:val="7"/>
              <w:spacing w:before="186" w:line="217" w:lineRule="auto"/>
              <w:ind w:left="722"/>
            </w:pPr>
            <w:r>
              <w:rPr>
                <w:spacing w:val="-21"/>
              </w:rPr>
              <w:t>挡，有效控制光源对周围区域光污染。</w:t>
            </w:r>
          </w:p>
        </w:tc>
      </w:tr>
      <w:tr w14:paraId="6D1E37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53" w:hRule="atLeast"/>
        </w:trPr>
        <w:tc>
          <w:tcPr>
            <w:tcW w:w="711" w:type="dxa"/>
            <w:gridSpan w:val="2"/>
            <w:vMerge w:val="continue"/>
            <w:tcBorders>
              <w:top w:val="nil"/>
              <w:left w:val="single" w:color="000000" w:sz="4" w:space="0"/>
              <w:bottom w:val="nil"/>
            </w:tcBorders>
            <w:vAlign w:val="top"/>
          </w:tcPr>
          <w:p w14:paraId="2A993327">
            <w:pPr>
              <w:rPr>
                <w:rFonts w:ascii="Arial"/>
                <w:sz w:val="21"/>
              </w:rPr>
            </w:pPr>
          </w:p>
        </w:tc>
        <w:tc>
          <w:tcPr>
            <w:tcW w:w="1131" w:type="dxa"/>
            <w:vMerge w:val="continue"/>
            <w:tcBorders>
              <w:top w:val="nil"/>
              <w:bottom w:val="nil"/>
            </w:tcBorders>
            <w:vAlign w:val="top"/>
          </w:tcPr>
          <w:p w14:paraId="52F0C4A0">
            <w:pPr>
              <w:rPr>
                <w:rFonts w:ascii="Arial"/>
                <w:sz w:val="21"/>
              </w:rPr>
            </w:pPr>
          </w:p>
        </w:tc>
        <w:tc>
          <w:tcPr>
            <w:tcW w:w="1377" w:type="dxa"/>
            <w:vAlign w:val="top"/>
          </w:tcPr>
          <w:p w14:paraId="0BD0E9F3">
            <w:pPr>
              <w:pStyle w:val="7"/>
              <w:spacing w:before="95" w:line="217" w:lineRule="auto"/>
              <w:ind w:left="182"/>
            </w:pPr>
            <w:r>
              <w:rPr>
                <w:spacing w:val="-22"/>
              </w:rPr>
              <w:t>电磁辐射污</w:t>
            </w:r>
          </w:p>
          <w:p w14:paraId="584855D0">
            <w:pPr>
              <w:pStyle w:val="7"/>
              <w:spacing w:before="186" w:line="218" w:lineRule="auto"/>
              <w:ind w:left="593"/>
            </w:pPr>
            <w:r>
              <w:t>染</w:t>
            </w:r>
          </w:p>
        </w:tc>
        <w:tc>
          <w:tcPr>
            <w:tcW w:w="5148" w:type="dxa"/>
            <w:tcBorders>
              <w:right w:val="single" w:color="000000" w:sz="4" w:space="0"/>
            </w:tcBorders>
            <w:vAlign w:val="top"/>
          </w:tcPr>
          <w:p w14:paraId="1398F728">
            <w:pPr>
              <w:spacing w:line="248" w:lineRule="auto"/>
              <w:rPr>
                <w:rFonts w:ascii="Arial"/>
                <w:sz w:val="21"/>
              </w:rPr>
            </w:pPr>
          </w:p>
          <w:p w14:paraId="31B62704">
            <w:pPr>
              <w:pStyle w:val="7"/>
              <w:spacing w:before="78" w:line="216" w:lineRule="auto"/>
              <w:ind w:left="289"/>
            </w:pPr>
            <w:r>
              <w:rPr>
                <w:spacing w:val="-21"/>
              </w:rPr>
              <w:t>开放办公布局、饮食补给，提高人员抗辐射能。</w:t>
            </w:r>
          </w:p>
        </w:tc>
      </w:tr>
      <w:tr w14:paraId="06BD03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53" w:hRule="atLeast"/>
        </w:trPr>
        <w:tc>
          <w:tcPr>
            <w:tcW w:w="711" w:type="dxa"/>
            <w:gridSpan w:val="2"/>
            <w:vMerge w:val="continue"/>
            <w:tcBorders>
              <w:top w:val="nil"/>
              <w:left w:val="single" w:color="000000" w:sz="4" w:space="0"/>
            </w:tcBorders>
            <w:vAlign w:val="top"/>
          </w:tcPr>
          <w:p w14:paraId="642F0A11">
            <w:pPr>
              <w:rPr>
                <w:rFonts w:ascii="Arial"/>
                <w:sz w:val="21"/>
              </w:rPr>
            </w:pPr>
          </w:p>
        </w:tc>
        <w:tc>
          <w:tcPr>
            <w:tcW w:w="1131" w:type="dxa"/>
            <w:vMerge w:val="continue"/>
            <w:tcBorders>
              <w:top w:val="nil"/>
            </w:tcBorders>
            <w:vAlign w:val="top"/>
          </w:tcPr>
          <w:p w14:paraId="2917CD51">
            <w:pPr>
              <w:rPr>
                <w:rFonts w:ascii="Arial"/>
                <w:sz w:val="21"/>
              </w:rPr>
            </w:pPr>
          </w:p>
        </w:tc>
        <w:tc>
          <w:tcPr>
            <w:tcW w:w="1377" w:type="dxa"/>
            <w:vAlign w:val="top"/>
          </w:tcPr>
          <w:p w14:paraId="526C58FE">
            <w:pPr>
              <w:pStyle w:val="7"/>
              <w:spacing w:before="96" w:line="219" w:lineRule="auto"/>
              <w:ind w:left="157"/>
            </w:pPr>
            <w:r>
              <w:rPr>
                <w:spacing w:val="-17"/>
              </w:rPr>
              <w:t>对周边安全</w:t>
            </w:r>
          </w:p>
          <w:p w14:paraId="5D908C2D">
            <w:pPr>
              <w:pStyle w:val="7"/>
              <w:spacing w:before="180" w:line="219" w:lineRule="auto"/>
              <w:ind w:left="485"/>
            </w:pPr>
            <w:r>
              <w:rPr>
                <w:spacing w:val="-11"/>
              </w:rPr>
              <w:t>影响</w:t>
            </w:r>
          </w:p>
        </w:tc>
        <w:tc>
          <w:tcPr>
            <w:tcW w:w="5148" w:type="dxa"/>
            <w:tcBorders>
              <w:right w:val="single" w:color="000000" w:sz="4" w:space="0"/>
            </w:tcBorders>
            <w:vAlign w:val="top"/>
          </w:tcPr>
          <w:p w14:paraId="40D89A3A">
            <w:pPr>
              <w:pStyle w:val="7"/>
              <w:spacing w:before="97" w:line="215" w:lineRule="auto"/>
              <w:ind w:left="77"/>
            </w:pPr>
            <w:r>
              <w:rPr>
                <w:spacing w:val="-22"/>
              </w:rPr>
              <w:t>合理布置汽车吊数量、位置，合理安排施工进度，减</w:t>
            </w:r>
          </w:p>
          <w:p w14:paraId="47DA2523">
            <w:pPr>
              <w:pStyle w:val="7"/>
              <w:spacing w:before="185" w:line="219" w:lineRule="auto"/>
              <w:ind w:left="1049"/>
            </w:pPr>
            <w:r>
              <w:rPr>
                <w:spacing w:val="-20"/>
              </w:rPr>
              <w:t>少施工对周边区域的安全影响。</w:t>
            </w:r>
          </w:p>
        </w:tc>
      </w:tr>
      <w:tr w14:paraId="5FC397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5" w:hRule="atLeast"/>
        </w:trPr>
        <w:tc>
          <w:tcPr>
            <w:tcW w:w="711" w:type="dxa"/>
            <w:gridSpan w:val="2"/>
            <w:vMerge w:val="restart"/>
            <w:tcBorders>
              <w:left w:val="single" w:color="000000" w:sz="4" w:space="0"/>
              <w:bottom w:val="nil"/>
            </w:tcBorders>
            <w:vAlign w:val="top"/>
          </w:tcPr>
          <w:p w14:paraId="59A62B71">
            <w:pPr>
              <w:spacing w:line="312" w:lineRule="auto"/>
              <w:rPr>
                <w:rFonts w:ascii="Arial"/>
                <w:sz w:val="21"/>
              </w:rPr>
            </w:pPr>
          </w:p>
          <w:p w14:paraId="4F0E6F3B">
            <w:pPr>
              <w:pStyle w:val="7"/>
              <w:spacing w:before="78" w:line="237" w:lineRule="auto"/>
              <w:ind w:left="315"/>
            </w:pPr>
            <w:r>
              <w:t>3</w:t>
            </w:r>
          </w:p>
        </w:tc>
        <w:tc>
          <w:tcPr>
            <w:tcW w:w="1131" w:type="dxa"/>
            <w:vMerge w:val="restart"/>
            <w:tcBorders>
              <w:bottom w:val="nil"/>
            </w:tcBorders>
            <w:vAlign w:val="top"/>
          </w:tcPr>
          <w:p w14:paraId="260AA312">
            <w:pPr>
              <w:pStyle w:val="7"/>
              <w:spacing w:before="157" w:line="217" w:lineRule="auto"/>
              <w:ind w:left="153"/>
            </w:pPr>
            <w:r>
              <w:rPr>
                <w:spacing w:val="-19"/>
              </w:rPr>
              <w:t>能源利用</w:t>
            </w:r>
          </w:p>
          <w:p w14:paraId="35F91C02">
            <w:pPr>
              <w:pStyle w:val="7"/>
              <w:spacing w:before="184" w:line="220" w:lineRule="auto"/>
              <w:ind w:left="257"/>
            </w:pPr>
            <w:r>
              <w:rPr>
                <w:spacing w:val="-16"/>
              </w:rPr>
              <w:t>与管理</w:t>
            </w:r>
          </w:p>
        </w:tc>
        <w:tc>
          <w:tcPr>
            <w:tcW w:w="1377" w:type="dxa"/>
            <w:vAlign w:val="top"/>
          </w:tcPr>
          <w:p w14:paraId="15AF8C02">
            <w:pPr>
              <w:pStyle w:val="7"/>
              <w:spacing w:before="97" w:line="217" w:lineRule="auto"/>
              <w:ind w:left="270"/>
            </w:pPr>
            <w:r>
              <w:rPr>
                <w:spacing w:val="-17"/>
              </w:rPr>
              <w:t>节约能耗</w:t>
            </w:r>
          </w:p>
        </w:tc>
        <w:tc>
          <w:tcPr>
            <w:tcW w:w="5148" w:type="dxa"/>
            <w:tcBorders>
              <w:right w:val="single" w:color="000000" w:sz="4" w:space="0"/>
            </w:tcBorders>
            <w:vAlign w:val="top"/>
          </w:tcPr>
          <w:p w14:paraId="3FF0F77C">
            <w:pPr>
              <w:pStyle w:val="7"/>
              <w:spacing w:before="96" w:line="217" w:lineRule="auto"/>
              <w:ind w:left="515"/>
            </w:pPr>
            <w:r>
              <w:rPr>
                <w:spacing w:val="-21"/>
              </w:rPr>
              <w:t>1、控制机械设备耗油量。2、控制耗电量。</w:t>
            </w:r>
          </w:p>
        </w:tc>
      </w:tr>
      <w:tr w14:paraId="0124DD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5" w:hRule="atLeast"/>
        </w:trPr>
        <w:tc>
          <w:tcPr>
            <w:tcW w:w="711" w:type="dxa"/>
            <w:gridSpan w:val="2"/>
            <w:vMerge w:val="continue"/>
            <w:tcBorders>
              <w:top w:val="nil"/>
              <w:left w:val="single" w:color="000000" w:sz="4" w:space="0"/>
            </w:tcBorders>
            <w:vAlign w:val="top"/>
          </w:tcPr>
          <w:p w14:paraId="15B77357">
            <w:pPr>
              <w:rPr>
                <w:rFonts w:ascii="Arial"/>
                <w:sz w:val="21"/>
              </w:rPr>
            </w:pPr>
          </w:p>
        </w:tc>
        <w:tc>
          <w:tcPr>
            <w:tcW w:w="1131" w:type="dxa"/>
            <w:vMerge w:val="continue"/>
            <w:tcBorders>
              <w:top w:val="nil"/>
            </w:tcBorders>
            <w:vAlign w:val="top"/>
          </w:tcPr>
          <w:p w14:paraId="388DB014">
            <w:pPr>
              <w:rPr>
                <w:rFonts w:ascii="Arial"/>
                <w:sz w:val="21"/>
              </w:rPr>
            </w:pPr>
          </w:p>
        </w:tc>
        <w:tc>
          <w:tcPr>
            <w:tcW w:w="1377" w:type="dxa"/>
            <w:vAlign w:val="top"/>
          </w:tcPr>
          <w:p w14:paraId="7213F455">
            <w:pPr>
              <w:pStyle w:val="7"/>
              <w:spacing w:before="98" w:line="217" w:lineRule="auto"/>
              <w:ind w:left="278"/>
            </w:pPr>
            <w:r>
              <w:rPr>
                <w:spacing w:val="-19"/>
              </w:rPr>
              <w:t>能源优化</w:t>
            </w:r>
          </w:p>
        </w:tc>
        <w:tc>
          <w:tcPr>
            <w:tcW w:w="5148" w:type="dxa"/>
            <w:tcBorders>
              <w:right w:val="single" w:color="000000" w:sz="4" w:space="0"/>
            </w:tcBorders>
            <w:vAlign w:val="top"/>
          </w:tcPr>
          <w:p w14:paraId="50FD81E7">
            <w:pPr>
              <w:pStyle w:val="7"/>
              <w:spacing w:before="98" w:line="217" w:lineRule="auto"/>
              <w:jc w:val="right"/>
            </w:pPr>
            <w:r>
              <w:rPr>
                <w:spacing w:val="-30"/>
              </w:rPr>
              <w:t>以清洁能源替代污染大能源，尽可能使用可再生能源。</w:t>
            </w:r>
          </w:p>
        </w:tc>
      </w:tr>
      <w:tr w14:paraId="7D2DF0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5" w:hRule="atLeast"/>
        </w:trPr>
        <w:tc>
          <w:tcPr>
            <w:tcW w:w="711" w:type="dxa"/>
            <w:gridSpan w:val="2"/>
            <w:vMerge w:val="restart"/>
            <w:tcBorders>
              <w:left w:val="single" w:color="000000" w:sz="4" w:space="0"/>
              <w:bottom w:val="nil"/>
            </w:tcBorders>
            <w:vAlign w:val="top"/>
          </w:tcPr>
          <w:p w14:paraId="5C93A0D9">
            <w:pPr>
              <w:spacing w:line="283" w:lineRule="auto"/>
              <w:rPr>
                <w:rFonts w:ascii="Arial"/>
                <w:sz w:val="21"/>
              </w:rPr>
            </w:pPr>
          </w:p>
          <w:p w14:paraId="2E0D49D6">
            <w:pPr>
              <w:spacing w:line="283" w:lineRule="auto"/>
              <w:rPr>
                <w:rFonts w:ascii="Arial"/>
                <w:sz w:val="21"/>
              </w:rPr>
            </w:pPr>
          </w:p>
          <w:p w14:paraId="677CD391">
            <w:pPr>
              <w:spacing w:line="284" w:lineRule="auto"/>
              <w:rPr>
                <w:rFonts w:ascii="Arial"/>
                <w:sz w:val="21"/>
              </w:rPr>
            </w:pPr>
          </w:p>
          <w:p w14:paraId="1F383BAF">
            <w:pPr>
              <w:spacing w:line="284" w:lineRule="auto"/>
              <w:rPr>
                <w:rFonts w:ascii="Arial"/>
                <w:sz w:val="21"/>
              </w:rPr>
            </w:pPr>
          </w:p>
          <w:p w14:paraId="6524236A">
            <w:pPr>
              <w:pStyle w:val="7"/>
              <w:spacing w:before="78" w:line="238" w:lineRule="auto"/>
              <w:ind w:left="309"/>
            </w:pPr>
            <w:r>
              <w:t>4</w:t>
            </w:r>
          </w:p>
        </w:tc>
        <w:tc>
          <w:tcPr>
            <w:tcW w:w="1131" w:type="dxa"/>
            <w:vMerge w:val="restart"/>
            <w:tcBorders>
              <w:bottom w:val="nil"/>
            </w:tcBorders>
            <w:vAlign w:val="top"/>
          </w:tcPr>
          <w:p w14:paraId="751EC948">
            <w:pPr>
              <w:spacing w:line="299" w:lineRule="auto"/>
              <w:rPr>
                <w:rFonts w:ascii="Arial"/>
                <w:sz w:val="21"/>
              </w:rPr>
            </w:pPr>
          </w:p>
          <w:p w14:paraId="15DCDD7F">
            <w:pPr>
              <w:spacing w:line="300" w:lineRule="auto"/>
              <w:rPr>
                <w:rFonts w:ascii="Arial"/>
                <w:sz w:val="21"/>
              </w:rPr>
            </w:pPr>
          </w:p>
          <w:p w14:paraId="5FC61C5B">
            <w:pPr>
              <w:spacing w:line="300" w:lineRule="auto"/>
              <w:rPr>
                <w:rFonts w:ascii="Arial"/>
                <w:sz w:val="21"/>
              </w:rPr>
            </w:pPr>
          </w:p>
          <w:p w14:paraId="0672AF75">
            <w:pPr>
              <w:pStyle w:val="7"/>
              <w:spacing w:before="78" w:line="216" w:lineRule="auto"/>
              <w:ind w:left="138"/>
            </w:pPr>
            <w:r>
              <w:rPr>
                <w:spacing w:val="-15"/>
              </w:rPr>
              <w:t>材料与资</w:t>
            </w:r>
          </w:p>
          <w:p w14:paraId="5920BBE8">
            <w:pPr>
              <w:pStyle w:val="7"/>
              <w:spacing w:before="188" w:line="222" w:lineRule="auto"/>
              <w:ind w:left="470"/>
            </w:pPr>
            <w:r>
              <w:t>源</w:t>
            </w:r>
          </w:p>
        </w:tc>
        <w:tc>
          <w:tcPr>
            <w:tcW w:w="1377" w:type="dxa"/>
            <w:vAlign w:val="top"/>
          </w:tcPr>
          <w:p w14:paraId="51B75654">
            <w:pPr>
              <w:pStyle w:val="7"/>
              <w:spacing w:before="97" w:line="216" w:lineRule="auto"/>
              <w:ind w:left="263"/>
            </w:pPr>
            <w:r>
              <w:rPr>
                <w:spacing w:val="-15"/>
              </w:rPr>
              <w:t>材料节约</w:t>
            </w:r>
          </w:p>
        </w:tc>
        <w:tc>
          <w:tcPr>
            <w:tcW w:w="5148" w:type="dxa"/>
            <w:tcBorders>
              <w:right w:val="single" w:color="000000" w:sz="4" w:space="0"/>
            </w:tcBorders>
            <w:vAlign w:val="top"/>
          </w:tcPr>
          <w:p w14:paraId="4DCF4594">
            <w:pPr>
              <w:pStyle w:val="7"/>
              <w:spacing w:before="97" w:line="216" w:lineRule="auto"/>
              <w:ind w:left="1281"/>
            </w:pPr>
            <w:r>
              <w:rPr>
                <w:spacing w:val="-21"/>
              </w:rPr>
              <w:t>改进工艺，加强材料节约。</w:t>
            </w:r>
          </w:p>
        </w:tc>
      </w:tr>
      <w:tr w14:paraId="6FE007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5" w:hRule="atLeast"/>
        </w:trPr>
        <w:tc>
          <w:tcPr>
            <w:tcW w:w="711" w:type="dxa"/>
            <w:gridSpan w:val="2"/>
            <w:vMerge w:val="continue"/>
            <w:tcBorders>
              <w:top w:val="nil"/>
              <w:left w:val="single" w:color="000000" w:sz="4" w:space="0"/>
              <w:bottom w:val="nil"/>
            </w:tcBorders>
            <w:vAlign w:val="top"/>
          </w:tcPr>
          <w:p w14:paraId="72DCFFB7">
            <w:pPr>
              <w:rPr>
                <w:rFonts w:ascii="Arial"/>
                <w:sz w:val="21"/>
              </w:rPr>
            </w:pPr>
          </w:p>
        </w:tc>
        <w:tc>
          <w:tcPr>
            <w:tcW w:w="1131" w:type="dxa"/>
            <w:vMerge w:val="continue"/>
            <w:tcBorders>
              <w:top w:val="nil"/>
              <w:bottom w:val="nil"/>
            </w:tcBorders>
            <w:vAlign w:val="top"/>
          </w:tcPr>
          <w:p w14:paraId="260F1EDD">
            <w:pPr>
              <w:rPr>
                <w:rFonts w:ascii="Arial"/>
                <w:sz w:val="21"/>
              </w:rPr>
            </w:pPr>
          </w:p>
        </w:tc>
        <w:tc>
          <w:tcPr>
            <w:tcW w:w="1377" w:type="dxa"/>
            <w:vAlign w:val="top"/>
          </w:tcPr>
          <w:p w14:paraId="3CDB6329">
            <w:pPr>
              <w:pStyle w:val="7"/>
              <w:spacing w:before="98" w:line="216" w:lineRule="auto"/>
              <w:ind w:left="263"/>
            </w:pPr>
            <w:r>
              <w:rPr>
                <w:spacing w:val="-15"/>
              </w:rPr>
              <w:t>材料选择</w:t>
            </w:r>
          </w:p>
        </w:tc>
        <w:tc>
          <w:tcPr>
            <w:tcW w:w="5148" w:type="dxa"/>
            <w:tcBorders>
              <w:right w:val="single" w:color="000000" w:sz="4" w:space="0"/>
            </w:tcBorders>
            <w:vAlign w:val="top"/>
          </w:tcPr>
          <w:p w14:paraId="1DD899E8">
            <w:pPr>
              <w:pStyle w:val="7"/>
              <w:spacing w:before="97" w:line="217" w:lineRule="auto"/>
              <w:jc w:val="right"/>
            </w:pPr>
            <w:r>
              <w:rPr>
                <w:spacing w:val="-29"/>
              </w:rPr>
              <w:t>公开招标采购绿色建材，控制辅助用材有害元素限量。</w:t>
            </w:r>
          </w:p>
        </w:tc>
      </w:tr>
      <w:tr w14:paraId="6F605D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53" w:hRule="atLeast"/>
        </w:trPr>
        <w:tc>
          <w:tcPr>
            <w:tcW w:w="711" w:type="dxa"/>
            <w:gridSpan w:val="2"/>
            <w:vMerge w:val="continue"/>
            <w:tcBorders>
              <w:top w:val="nil"/>
              <w:left w:val="single" w:color="000000" w:sz="4" w:space="0"/>
              <w:bottom w:val="nil"/>
            </w:tcBorders>
            <w:vAlign w:val="top"/>
          </w:tcPr>
          <w:p w14:paraId="77A86CF3">
            <w:pPr>
              <w:rPr>
                <w:rFonts w:ascii="Arial"/>
                <w:sz w:val="21"/>
              </w:rPr>
            </w:pPr>
          </w:p>
        </w:tc>
        <w:tc>
          <w:tcPr>
            <w:tcW w:w="1131" w:type="dxa"/>
            <w:vMerge w:val="continue"/>
            <w:tcBorders>
              <w:top w:val="nil"/>
              <w:bottom w:val="nil"/>
            </w:tcBorders>
            <w:vAlign w:val="top"/>
          </w:tcPr>
          <w:p w14:paraId="2953EF94">
            <w:pPr>
              <w:rPr>
                <w:rFonts w:ascii="Arial"/>
                <w:sz w:val="21"/>
              </w:rPr>
            </w:pPr>
          </w:p>
        </w:tc>
        <w:tc>
          <w:tcPr>
            <w:tcW w:w="1377" w:type="dxa"/>
            <w:vAlign w:val="top"/>
          </w:tcPr>
          <w:p w14:paraId="2B420852">
            <w:pPr>
              <w:pStyle w:val="7"/>
              <w:spacing w:before="100" w:line="361" w:lineRule="auto"/>
              <w:ind w:left="481" w:right="338" w:hanging="97"/>
            </w:pPr>
            <w:r>
              <w:rPr>
                <w:spacing w:val="-24"/>
              </w:rPr>
              <w:t>资源再</w:t>
            </w:r>
            <w:r>
              <w:rPr>
                <w:spacing w:val="-10"/>
              </w:rPr>
              <w:t>利用</w:t>
            </w:r>
          </w:p>
        </w:tc>
        <w:tc>
          <w:tcPr>
            <w:tcW w:w="5148" w:type="dxa"/>
            <w:tcBorders>
              <w:right w:val="single" w:color="000000" w:sz="4" w:space="0"/>
            </w:tcBorders>
            <w:vAlign w:val="top"/>
          </w:tcPr>
          <w:p w14:paraId="768C7884">
            <w:pPr>
              <w:pStyle w:val="7"/>
              <w:spacing w:before="98" w:line="217" w:lineRule="auto"/>
              <w:ind w:left="78"/>
            </w:pPr>
            <w:r>
              <w:rPr>
                <w:spacing w:val="-21"/>
              </w:rPr>
              <w:t>1、尽可能用场地内现有资源。2、加强施工废弃物分</w:t>
            </w:r>
          </w:p>
          <w:p w14:paraId="5ABD27BC">
            <w:pPr>
              <w:pStyle w:val="7"/>
              <w:spacing w:before="185" w:line="217" w:lineRule="auto"/>
              <w:ind w:left="944"/>
            </w:pPr>
            <w:r>
              <w:rPr>
                <w:spacing w:val="-21"/>
              </w:rPr>
              <w:t>类管理，尽可能回收施工废弃物。</w:t>
            </w:r>
          </w:p>
        </w:tc>
      </w:tr>
      <w:tr w14:paraId="530802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5" w:hRule="atLeast"/>
        </w:trPr>
        <w:tc>
          <w:tcPr>
            <w:tcW w:w="711" w:type="dxa"/>
            <w:gridSpan w:val="2"/>
            <w:vMerge w:val="continue"/>
            <w:tcBorders>
              <w:top w:val="nil"/>
              <w:left w:val="single" w:color="000000" w:sz="4" w:space="0"/>
            </w:tcBorders>
            <w:vAlign w:val="top"/>
          </w:tcPr>
          <w:p w14:paraId="1C77072B">
            <w:pPr>
              <w:rPr>
                <w:rFonts w:ascii="Arial"/>
                <w:sz w:val="21"/>
              </w:rPr>
            </w:pPr>
          </w:p>
        </w:tc>
        <w:tc>
          <w:tcPr>
            <w:tcW w:w="1131" w:type="dxa"/>
            <w:vMerge w:val="continue"/>
            <w:tcBorders>
              <w:top w:val="nil"/>
            </w:tcBorders>
            <w:vAlign w:val="top"/>
          </w:tcPr>
          <w:p w14:paraId="6B00AC32">
            <w:pPr>
              <w:rPr>
                <w:rFonts w:ascii="Arial"/>
                <w:sz w:val="21"/>
              </w:rPr>
            </w:pPr>
          </w:p>
        </w:tc>
        <w:tc>
          <w:tcPr>
            <w:tcW w:w="1377" w:type="dxa"/>
            <w:vAlign w:val="top"/>
          </w:tcPr>
          <w:p w14:paraId="44DA48A9">
            <w:pPr>
              <w:pStyle w:val="7"/>
              <w:spacing w:before="99" w:line="218" w:lineRule="auto"/>
              <w:ind w:left="264"/>
            </w:pPr>
            <w:r>
              <w:rPr>
                <w:spacing w:val="-15"/>
              </w:rPr>
              <w:t>就地取材</w:t>
            </w:r>
          </w:p>
        </w:tc>
        <w:tc>
          <w:tcPr>
            <w:tcW w:w="5148" w:type="dxa"/>
            <w:tcBorders>
              <w:right w:val="single" w:color="000000" w:sz="4" w:space="0"/>
            </w:tcBorders>
            <w:vAlign w:val="top"/>
          </w:tcPr>
          <w:p w14:paraId="3EC198E2">
            <w:pPr>
              <w:pStyle w:val="7"/>
              <w:spacing w:before="99" w:line="216" w:lineRule="auto"/>
              <w:jc w:val="right"/>
            </w:pPr>
            <w:r>
              <w:rPr>
                <w:spacing w:val="-29"/>
              </w:rPr>
              <w:t>就地取材，减少材料运输造成的能源消耗和环境影响。</w:t>
            </w:r>
          </w:p>
        </w:tc>
      </w:tr>
      <w:tr w14:paraId="5C0EEE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7" w:hRule="atLeast"/>
        </w:trPr>
        <w:tc>
          <w:tcPr>
            <w:tcW w:w="711" w:type="dxa"/>
            <w:gridSpan w:val="2"/>
            <w:vMerge w:val="restart"/>
            <w:tcBorders>
              <w:left w:val="single" w:color="000000" w:sz="4" w:space="0"/>
              <w:bottom w:val="nil"/>
            </w:tcBorders>
            <w:vAlign w:val="top"/>
          </w:tcPr>
          <w:p w14:paraId="4705B1E8">
            <w:pPr>
              <w:spacing w:line="274" w:lineRule="auto"/>
              <w:rPr>
                <w:rFonts w:ascii="Arial"/>
                <w:sz w:val="21"/>
              </w:rPr>
            </w:pPr>
          </w:p>
          <w:p w14:paraId="63D2E510">
            <w:pPr>
              <w:spacing w:line="274" w:lineRule="auto"/>
              <w:rPr>
                <w:rFonts w:ascii="Arial"/>
                <w:sz w:val="21"/>
              </w:rPr>
            </w:pPr>
          </w:p>
          <w:p w14:paraId="4B0610E4">
            <w:pPr>
              <w:pStyle w:val="7"/>
              <w:spacing w:before="78" w:line="237" w:lineRule="auto"/>
              <w:ind w:left="315"/>
            </w:pPr>
            <w:r>
              <w:t>5</w:t>
            </w:r>
          </w:p>
        </w:tc>
        <w:tc>
          <w:tcPr>
            <w:tcW w:w="1131" w:type="dxa"/>
            <w:vMerge w:val="restart"/>
            <w:tcBorders>
              <w:bottom w:val="nil"/>
            </w:tcBorders>
            <w:vAlign w:val="top"/>
          </w:tcPr>
          <w:p w14:paraId="7F464BDA">
            <w:pPr>
              <w:spacing w:line="274" w:lineRule="auto"/>
              <w:rPr>
                <w:rFonts w:ascii="Arial"/>
                <w:sz w:val="21"/>
              </w:rPr>
            </w:pPr>
          </w:p>
          <w:p w14:paraId="56389D57">
            <w:pPr>
              <w:spacing w:line="274" w:lineRule="auto"/>
              <w:rPr>
                <w:rFonts w:ascii="Arial"/>
                <w:sz w:val="21"/>
              </w:rPr>
            </w:pPr>
          </w:p>
          <w:p w14:paraId="3E5EA271">
            <w:pPr>
              <w:pStyle w:val="7"/>
              <w:spacing w:before="78" w:line="219" w:lineRule="auto"/>
              <w:ind w:left="246"/>
            </w:pPr>
            <w:r>
              <w:rPr>
                <w:spacing w:val="-13"/>
              </w:rPr>
              <w:t>水资源</w:t>
            </w:r>
          </w:p>
        </w:tc>
        <w:tc>
          <w:tcPr>
            <w:tcW w:w="1377" w:type="dxa"/>
            <w:vAlign w:val="top"/>
          </w:tcPr>
          <w:p w14:paraId="3AE86316">
            <w:pPr>
              <w:pStyle w:val="7"/>
              <w:spacing w:before="100" w:line="217" w:lineRule="auto"/>
              <w:ind w:left="155"/>
            </w:pPr>
            <w:r>
              <w:rPr>
                <w:spacing w:val="-17"/>
              </w:rPr>
              <w:t>水资源节约</w:t>
            </w:r>
          </w:p>
        </w:tc>
        <w:tc>
          <w:tcPr>
            <w:tcW w:w="5148" w:type="dxa"/>
            <w:tcBorders>
              <w:right w:val="single" w:color="000000" w:sz="4" w:space="0"/>
            </w:tcBorders>
            <w:vAlign w:val="top"/>
          </w:tcPr>
          <w:p w14:paraId="7E77F93C">
            <w:pPr>
              <w:pStyle w:val="7"/>
              <w:spacing w:before="100" w:line="217" w:lineRule="auto"/>
              <w:ind w:left="731"/>
            </w:pPr>
            <w:r>
              <w:rPr>
                <w:spacing w:val="-21"/>
              </w:rPr>
              <w:t>强化节水管理，减少施工水资源消耗。</w:t>
            </w:r>
          </w:p>
        </w:tc>
      </w:tr>
      <w:tr w14:paraId="0044D0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50" w:hRule="atLeast"/>
        </w:trPr>
        <w:tc>
          <w:tcPr>
            <w:tcW w:w="711" w:type="dxa"/>
            <w:gridSpan w:val="2"/>
            <w:vMerge w:val="continue"/>
            <w:tcBorders>
              <w:top w:val="nil"/>
              <w:left w:val="single" w:color="000000" w:sz="4" w:space="0"/>
            </w:tcBorders>
            <w:vAlign w:val="top"/>
          </w:tcPr>
          <w:p w14:paraId="54D522B1">
            <w:pPr>
              <w:rPr>
                <w:rFonts w:ascii="Arial"/>
                <w:sz w:val="21"/>
              </w:rPr>
            </w:pPr>
          </w:p>
        </w:tc>
        <w:tc>
          <w:tcPr>
            <w:tcW w:w="1131" w:type="dxa"/>
            <w:vMerge w:val="continue"/>
            <w:tcBorders>
              <w:top w:val="nil"/>
            </w:tcBorders>
            <w:vAlign w:val="top"/>
          </w:tcPr>
          <w:p w14:paraId="2851C07D">
            <w:pPr>
              <w:rPr>
                <w:rFonts w:ascii="Arial"/>
                <w:sz w:val="21"/>
              </w:rPr>
            </w:pPr>
          </w:p>
        </w:tc>
        <w:tc>
          <w:tcPr>
            <w:tcW w:w="1377" w:type="dxa"/>
            <w:vAlign w:val="top"/>
          </w:tcPr>
          <w:p w14:paraId="703B99E2">
            <w:pPr>
              <w:pStyle w:val="7"/>
              <w:spacing w:before="99" w:line="361" w:lineRule="auto"/>
              <w:ind w:left="481" w:right="338" w:hanging="110"/>
            </w:pPr>
            <w:r>
              <w:rPr>
                <w:spacing w:val="-20"/>
              </w:rPr>
              <w:t>水资源</w:t>
            </w:r>
            <w:r>
              <w:rPr>
                <w:spacing w:val="-10"/>
              </w:rPr>
              <w:t>利用</w:t>
            </w:r>
          </w:p>
        </w:tc>
        <w:tc>
          <w:tcPr>
            <w:tcW w:w="5148" w:type="dxa"/>
            <w:tcBorders>
              <w:right w:val="single" w:color="000000" w:sz="4" w:space="0"/>
            </w:tcBorders>
            <w:vAlign w:val="top"/>
          </w:tcPr>
          <w:p w14:paraId="34149BD1">
            <w:pPr>
              <w:pStyle w:val="7"/>
              <w:spacing w:before="97" w:line="217" w:lineRule="auto"/>
              <w:ind w:left="69"/>
            </w:pPr>
            <w:r>
              <w:rPr>
                <w:spacing w:val="-21"/>
              </w:rPr>
              <w:t>利用雨水和施工降水，采用经济合理的污水处理回用</w:t>
            </w:r>
          </w:p>
          <w:p w14:paraId="4121EDCE">
            <w:pPr>
              <w:pStyle w:val="7"/>
              <w:spacing w:before="186" w:line="218" w:lineRule="auto"/>
              <w:ind w:left="1384"/>
            </w:pPr>
            <w:r>
              <w:rPr>
                <w:spacing w:val="-21"/>
              </w:rPr>
              <w:t>方法，减少新鲜水用量。</w:t>
            </w:r>
          </w:p>
        </w:tc>
      </w:tr>
      <w:tr w14:paraId="67AA7D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5" w:hRule="atLeast"/>
        </w:trPr>
        <w:tc>
          <w:tcPr>
            <w:tcW w:w="711" w:type="dxa"/>
            <w:gridSpan w:val="2"/>
            <w:tcBorders>
              <w:left w:val="single" w:color="000000" w:sz="4" w:space="0"/>
            </w:tcBorders>
            <w:vAlign w:val="top"/>
          </w:tcPr>
          <w:p w14:paraId="3F134C75">
            <w:pPr>
              <w:pStyle w:val="7"/>
              <w:spacing w:before="101" w:line="237" w:lineRule="auto"/>
              <w:ind w:left="312"/>
            </w:pPr>
            <w:r>
              <w:t>6</w:t>
            </w:r>
          </w:p>
        </w:tc>
        <w:tc>
          <w:tcPr>
            <w:tcW w:w="1131" w:type="dxa"/>
            <w:vAlign w:val="top"/>
          </w:tcPr>
          <w:p w14:paraId="71BC24B6">
            <w:pPr>
              <w:pStyle w:val="7"/>
              <w:spacing w:before="101" w:line="219" w:lineRule="auto"/>
              <w:ind w:left="140"/>
            </w:pPr>
            <w:r>
              <w:rPr>
                <w:spacing w:val="-15"/>
              </w:rPr>
              <w:t>场地文明</w:t>
            </w:r>
          </w:p>
        </w:tc>
        <w:tc>
          <w:tcPr>
            <w:tcW w:w="1377" w:type="dxa"/>
            <w:vAlign w:val="top"/>
          </w:tcPr>
          <w:p w14:paraId="34AC4289">
            <w:pPr>
              <w:pStyle w:val="7"/>
              <w:spacing w:before="101" w:line="220" w:lineRule="auto"/>
              <w:ind w:left="346"/>
            </w:pPr>
            <w:r>
              <w:rPr>
                <w:spacing w:val="-5"/>
              </w:rPr>
              <w:t>文明CI</w:t>
            </w:r>
          </w:p>
        </w:tc>
        <w:tc>
          <w:tcPr>
            <w:tcW w:w="5148" w:type="dxa"/>
            <w:tcBorders>
              <w:right w:val="single" w:color="000000" w:sz="4" w:space="0"/>
            </w:tcBorders>
            <w:vAlign w:val="top"/>
          </w:tcPr>
          <w:p w14:paraId="0832A8B8">
            <w:pPr>
              <w:pStyle w:val="7"/>
              <w:spacing w:before="101" w:line="216" w:lineRule="auto"/>
              <w:ind w:left="510"/>
            </w:pPr>
            <w:r>
              <w:rPr>
                <w:spacing w:val="-21"/>
              </w:rPr>
              <w:t>工地文明、洁净有序、各类标识清晰齐全。</w:t>
            </w:r>
          </w:p>
        </w:tc>
      </w:tr>
      <w:tr w14:paraId="04BD61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53" w:hRule="atLeast"/>
        </w:trPr>
        <w:tc>
          <w:tcPr>
            <w:tcW w:w="184" w:type="dxa"/>
            <w:vMerge w:val="restart"/>
            <w:tcBorders>
              <w:left w:val="single" w:color="1C456A" w:sz="4" w:space="0"/>
              <w:bottom w:val="nil"/>
              <w:right w:val="nil"/>
            </w:tcBorders>
            <w:vAlign w:val="top"/>
          </w:tcPr>
          <w:p w14:paraId="4694A10A">
            <w:pPr>
              <w:rPr>
                <w:rFonts w:ascii="Arial"/>
                <w:sz w:val="21"/>
              </w:rPr>
            </w:pPr>
            <w:r>
              <w:pict>
                <v:shape id="_x0000_s3399" o:spid="_x0000_s3399" style="position:absolute;left:0pt;margin-left:-0.25pt;margin-top:107.6pt;height:0.75pt;width:2.2pt;mso-position-horizontal-relative:page;mso-position-vertical-relative:page;z-index:252049408;mso-width-relative:page;mso-height-relative:page;" fillcolor="#5B9BD5" filled="t" stroked="f" coordsize="44,15" path="m0,14l43,14,43,0,0,0,0,14xe">
                  <v:path/>
                  <v:fill on="t" focussize="0,0"/>
                  <v:stroke on="f"/>
                  <v:imagedata o:title=""/>
                  <o:lock v:ext="edit"/>
                </v:shape>
              </w:pict>
            </w:r>
          </w:p>
        </w:tc>
        <w:tc>
          <w:tcPr>
            <w:tcW w:w="527" w:type="dxa"/>
            <w:vMerge w:val="restart"/>
            <w:tcBorders>
              <w:left w:val="nil"/>
              <w:bottom w:val="nil"/>
            </w:tcBorders>
            <w:vAlign w:val="top"/>
          </w:tcPr>
          <w:p w14:paraId="76D12863">
            <w:pPr>
              <w:spacing w:line="260" w:lineRule="auto"/>
              <w:rPr>
                <w:rFonts w:ascii="Arial"/>
                <w:sz w:val="21"/>
              </w:rPr>
            </w:pPr>
          </w:p>
          <w:p w14:paraId="60A566D1">
            <w:pPr>
              <w:spacing w:line="261" w:lineRule="auto"/>
              <w:rPr>
                <w:rFonts w:ascii="Arial"/>
                <w:sz w:val="21"/>
              </w:rPr>
            </w:pPr>
          </w:p>
          <w:p w14:paraId="53A3FF8C">
            <w:pPr>
              <w:spacing w:line="261" w:lineRule="auto"/>
              <w:rPr>
                <w:rFonts w:ascii="Arial"/>
                <w:sz w:val="21"/>
              </w:rPr>
            </w:pPr>
          </w:p>
          <w:p w14:paraId="39CD8329">
            <w:pPr>
              <w:pStyle w:val="7"/>
              <w:spacing w:before="78" w:line="237" w:lineRule="auto"/>
              <w:ind w:left="137"/>
            </w:pPr>
            <w:r>
              <w:t>7</w:t>
            </w:r>
          </w:p>
        </w:tc>
        <w:tc>
          <w:tcPr>
            <w:tcW w:w="1131" w:type="dxa"/>
            <w:vMerge w:val="restart"/>
            <w:tcBorders>
              <w:bottom w:val="nil"/>
            </w:tcBorders>
            <w:vAlign w:val="top"/>
          </w:tcPr>
          <w:p w14:paraId="1A50C76A">
            <w:pPr>
              <w:spacing w:line="260" w:lineRule="auto"/>
              <w:rPr>
                <w:rFonts w:ascii="Arial"/>
                <w:sz w:val="21"/>
              </w:rPr>
            </w:pPr>
          </w:p>
          <w:p w14:paraId="2A7E5242">
            <w:pPr>
              <w:spacing w:line="261" w:lineRule="auto"/>
              <w:rPr>
                <w:rFonts w:ascii="Arial"/>
                <w:sz w:val="21"/>
              </w:rPr>
            </w:pPr>
          </w:p>
          <w:p w14:paraId="09D8481F">
            <w:pPr>
              <w:spacing w:line="261" w:lineRule="auto"/>
              <w:rPr>
                <w:rFonts w:ascii="Arial"/>
                <w:sz w:val="21"/>
              </w:rPr>
            </w:pPr>
          </w:p>
          <w:p w14:paraId="123D3A28">
            <w:pPr>
              <w:pStyle w:val="7"/>
              <w:spacing w:before="78" w:line="220" w:lineRule="auto"/>
              <w:ind w:left="143"/>
            </w:pPr>
            <w:r>
              <w:rPr>
                <w:spacing w:val="-16"/>
              </w:rPr>
              <w:t>人员安全</w:t>
            </w:r>
          </w:p>
        </w:tc>
        <w:tc>
          <w:tcPr>
            <w:tcW w:w="1377" w:type="dxa"/>
            <w:vAlign w:val="top"/>
          </w:tcPr>
          <w:p w14:paraId="226C3545">
            <w:pPr>
              <w:spacing w:line="257" w:lineRule="auto"/>
              <w:rPr>
                <w:rFonts w:ascii="Arial"/>
                <w:sz w:val="21"/>
              </w:rPr>
            </w:pPr>
          </w:p>
          <w:p w14:paraId="0D9EE363">
            <w:pPr>
              <w:pStyle w:val="7"/>
              <w:spacing w:before="78" w:line="220" w:lineRule="auto"/>
              <w:ind w:left="268"/>
            </w:pPr>
            <w:r>
              <w:rPr>
                <w:spacing w:val="-16"/>
              </w:rPr>
              <w:t>人员安全</w:t>
            </w:r>
          </w:p>
        </w:tc>
        <w:tc>
          <w:tcPr>
            <w:tcW w:w="5148" w:type="dxa"/>
            <w:tcBorders>
              <w:right w:val="single" w:color="000000" w:sz="4" w:space="0"/>
            </w:tcBorders>
            <w:vAlign w:val="top"/>
          </w:tcPr>
          <w:p w14:paraId="258FED16">
            <w:pPr>
              <w:pStyle w:val="7"/>
              <w:spacing w:before="103" w:line="217" w:lineRule="auto"/>
              <w:ind w:left="70"/>
            </w:pPr>
            <w:r>
              <w:rPr>
                <w:spacing w:val="-21"/>
              </w:rPr>
              <w:t>建立健全安全制度，采取严格的防毒、防尘、防潮、</w:t>
            </w:r>
          </w:p>
          <w:p w14:paraId="09F744C7">
            <w:pPr>
              <w:pStyle w:val="7"/>
              <w:spacing w:before="184" w:line="217" w:lineRule="auto"/>
              <w:ind w:left="946"/>
            </w:pPr>
            <w:r>
              <w:rPr>
                <w:spacing w:val="-21"/>
              </w:rPr>
              <w:t>通风等措施，加强人员劳动保护。</w:t>
            </w:r>
          </w:p>
        </w:tc>
      </w:tr>
      <w:tr w14:paraId="246E35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3" w:hRule="atLeast"/>
        </w:trPr>
        <w:tc>
          <w:tcPr>
            <w:tcW w:w="184" w:type="dxa"/>
            <w:vMerge w:val="continue"/>
            <w:tcBorders>
              <w:top w:val="nil"/>
              <w:left w:val="single" w:color="1C456A" w:sz="4" w:space="0"/>
              <w:bottom w:val="single" w:color="1C456A" w:sz="4" w:space="0"/>
              <w:right w:val="nil"/>
            </w:tcBorders>
            <w:vAlign w:val="top"/>
          </w:tcPr>
          <w:p w14:paraId="20F4FE32">
            <w:pPr>
              <w:rPr>
                <w:rFonts w:ascii="Arial"/>
                <w:sz w:val="21"/>
              </w:rPr>
            </w:pPr>
          </w:p>
        </w:tc>
        <w:tc>
          <w:tcPr>
            <w:tcW w:w="527" w:type="dxa"/>
            <w:vMerge w:val="continue"/>
            <w:tcBorders>
              <w:top w:val="nil"/>
              <w:left w:val="nil"/>
              <w:bottom w:val="single" w:color="1C456A" w:sz="4" w:space="0"/>
            </w:tcBorders>
            <w:vAlign w:val="top"/>
          </w:tcPr>
          <w:p w14:paraId="45F34E66">
            <w:pPr>
              <w:rPr>
                <w:rFonts w:ascii="Arial"/>
                <w:sz w:val="21"/>
              </w:rPr>
            </w:pPr>
          </w:p>
        </w:tc>
        <w:tc>
          <w:tcPr>
            <w:tcW w:w="1131" w:type="dxa"/>
            <w:vMerge w:val="continue"/>
            <w:tcBorders>
              <w:top w:val="nil"/>
              <w:bottom w:val="single" w:color="000000" w:sz="4" w:space="0"/>
            </w:tcBorders>
            <w:vAlign w:val="top"/>
          </w:tcPr>
          <w:p w14:paraId="74883B03">
            <w:pPr>
              <w:rPr>
                <w:rFonts w:ascii="Arial"/>
                <w:sz w:val="21"/>
              </w:rPr>
            </w:pPr>
          </w:p>
        </w:tc>
        <w:tc>
          <w:tcPr>
            <w:tcW w:w="1377" w:type="dxa"/>
            <w:tcBorders>
              <w:bottom w:val="single" w:color="000000" w:sz="4" w:space="0"/>
            </w:tcBorders>
            <w:vAlign w:val="top"/>
          </w:tcPr>
          <w:p w14:paraId="4C5A61F0">
            <w:pPr>
              <w:spacing w:line="256" w:lineRule="auto"/>
              <w:rPr>
                <w:rFonts w:ascii="Arial"/>
                <w:sz w:val="21"/>
              </w:rPr>
            </w:pPr>
          </w:p>
          <w:p w14:paraId="5F17B410">
            <w:pPr>
              <w:pStyle w:val="7"/>
              <w:spacing w:before="78" w:line="218" w:lineRule="auto"/>
              <w:ind w:left="268"/>
            </w:pPr>
            <w:r>
              <w:rPr>
                <w:spacing w:val="-17"/>
              </w:rPr>
              <w:t>人员健康</w:t>
            </w:r>
          </w:p>
        </w:tc>
        <w:tc>
          <w:tcPr>
            <w:tcW w:w="5148" w:type="dxa"/>
            <w:tcBorders>
              <w:bottom w:val="single" w:color="5B9BD5" w:sz="4" w:space="0"/>
              <w:right w:val="single" w:color="5B9BD5" w:sz="4" w:space="0"/>
            </w:tcBorders>
            <w:vAlign w:val="top"/>
          </w:tcPr>
          <w:p w14:paraId="377CA0EA">
            <w:pPr>
              <w:pStyle w:val="7"/>
              <w:spacing w:before="103" w:line="216" w:lineRule="auto"/>
              <w:ind w:left="1660"/>
            </w:pPr>
            <w:r>
              <w:pict>
                <v:shape id="_x0000_s3400" o:spid="_x0000_s3400" style="position:absolute;left:0pt;margin-left:255.55pt;margin-top:54.7pt;height:0.75pt;width:2.2pt;mso-position-horizontal-relative:page;mso-position-vertical-relative:page;z-index:252048384;mso-width-relative:page;mso-height-relative:page;" fillcolor="#5B9BD5" filled="t" stroked="f" coordsize="44,15" path="m0,14l43,14,43,0,0,0,0,14xe">
                  <v:path/>
                  <v:fill on="t" focussize="0,0"/>
                  <v:stroke on="f"/>
                  <v:imagedata o:title=""/>
                  <o:lock v:ext="edit"/>
                </v:shape>
              </w:pict>
            </w:r>
            <w:r>
              <w:rPr>
                <w:spacing w:val="-19"/>
              </w:rPr>
              <w:t>1、合理布置临建。</w:t>
            </w:r>
          </w:p>
          <w:p w14:paraId="575D4C91">
            <w:pPr>
              <w:pStyle w:val="7"/>
              <w:spacing w:before="187" w:line="219" w:lineRule="auto"/>
              <w:ind w:left="1427"/>
            </w:pPr>
            <w:r>
              <w:rPr>
                <w:spacing w:val="-19"/>
              </w:rPr>
              <w:t>2、搞好现场卫生防疫。</w:t>
            </w:r>
          </w:p>
        </w:tc>
      </w:tr>
    </w:tbl>
    <w:p w14:paraId="0FAB3E8A">
      <w:pPr>
        <w:pStyle w:val="2"/>
        <w:spacing w:before="112" w:line="217" w:lineRule="auto"/>
        <w:ind w:left="1890"/>
        <w:rPr>
          <w:sz w:val="24"/>
          <w:szCs w:val="24"/>
        </w:rPr>
      </w:pPr>
      <w:r>
        <w:rPr>
          <w:spacing w:val="-18"/>
          <w:sz w:val="24"/>
          <w:szCs w:val="24"/>
        </w:rPr>
        <w:t>3、环境保护具体措施</w:t>
      </w:r>
    </w:p>
    <w:p w14:paraId="56662DDC">
      <w:pPr>
        <w:spacing w:line="217" w:lineRule="auto"/>
        <w:rPr>
          <w:sz w:val="24"/>
          <w:szCs w:val="24"/>
        </w:rPr>
        <w:sectPr>
          <w:footerReference r:id="rId179" w:type="default"/>
          <w:pgSz w:w="11907" w:h="16839"/>
          <w:pgMar w:top="954" w:right="4" w:bottom="1038" w:left="0" w:header="499" w:footer="357" w:gutter="0"/>
          <w:pgBorders>
            <w:top w:val="none" w:sz="0" w:space="0"/>
            <w:left w:val="none" w:sz="0" w:space="0"/>
            <w:bottom w:val="none" w:sz="0" w:space="0"/>
            <w:right w:val="none" w:sz="0" w:space="0"/>
          </w:pgBorders>
          <w:cols w:space="720" w:num="1"/>
        </w:sectPr>
      </w:pPr>
    </w:p>
    <w:p w14:paraId="6647514C">
      <w:pPr>
        <w:spacing w:line="214" w:lineRule="exact"/>
      </w:pPr>
    </w:p>
    <w:tbl>
      <w:tblPr>
        <w:tblStyle w:val="6"/>
        <w:tblW w:w="8367" w:type="dxa"/>
        <w:tblInd w:w="1769"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52"/>
        <w:gridCol w:w="7115"/>
      </w:tblGrid>
      <w:tr w14:paraId="6EFDED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87" w:hRule="atLeast"/>
        </w:trPr>
        <w:tc>
          <w:tcPr>
            <w:tcW w:w="1252" w:type="dxa"/>
            <w:tcBorders>
              <w:top w:val="single" w:color="000000" w:sz="4" w:space="0"/>
              <w:left w:val="single" w:color="000000" w:sz="4" w:space="0"/>
            </w:tcBorders>
            <w:shd w:val="clear" w:color="auto" w:fill="DEEAF6"/>
            <w:vAlign w:val="top"/>
          </w:tcPr>
          <w:p w14:paraId="1ACAB955">
            <w:pPr>
              <w:pStyle w:val="7"/>
              <w:spacing w:before="143" w:line="217" w:lineRule="auto"/>
              <w:ind w:left="92"/>
            </w:pPr>
            <w:r>
              <w:rPr>
                <w:b/>
                <w:bCs/>
                <w:spacing w:val="-19"/>
              </w:rPr>
              <w:t>环保管理项</w:t>
            </w:r>
          </w:p>
          <w:p w14:paraId="06C43B39">
            <w:pPr>
              <w:pStyle w:val="7"/>
              <w:spacing w:before="183" w:line="222" w:lineRule="auto"/>
              <w:ind w:left="573"/>
            </w:pPr>
            <w:r>
              <w:rPr>
                <w:b/>
                <w:bCs/>
                <w:spacing w:val="-3"/>
              </w:rPr>
              <w:t>目</w:t>
            </w:r>
          </w:p>
        </w:tc>
        <w:tc>
          <w:tcPr>
            <w:tcW w:w="7115" w:type="dxa"/>
            <w:tcBorders>
              <w:top w:val="single" w:color="5B9BD5" w:sz="4" w:space="0"/>
              <w:right w:val="single" w:color="5B9BD5" w:sz="4" w:space="0"/>
            </w:tcBorders>
            <w:shd w:val="clear" w:color="auto" w:fill="DEEAF6"/>
            <w:vAlign w:val="top"/>
          </w:tcPr>
          <w:p w14:paraId="442687C7">
            <w:pPr>
              <w:spacing w:line="296" w:lineRule="auto"/>
              <w:rPr>
                <w:rFonts w:ascii="Arial"/>
                <w:sz w:val="21"/>
              </w:rPr>
            </w:pPr>
          </w:p>
          <w:p w14:paraId="0FBBB937">
            <w:pPr>
              <w:pStyle w:val="7"/>
              <w:spacing w:before="78" w:line="219" w:lineRule="auto"/>
              <w:ind w:left="2908"/>
            </w:pPr>
            <w:r>
              <w:rPr>
                <w:b/>
                <w:bCs/>
                <w:spacing w:val="-21"/>
              </w:rPr>
              <w:t>主要管理措施</w:t>
            </w:r>
          </w:p>
        </w:tc>
      </w:tr>
      <w:tr w14:paraId="606F8A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537" w:hRule="atLeast"/>
        </w:trPr>
        <w:tc>
          <w:tcPr>
            <w:tcW w:w="1252" w:type="dxa"/>
            <w:tcBorders>
              <w:left w:val="single" w:color="000000" w:sz="4" w:space="0"/>
            </w:tcBorders>
            <w:vAlign w:val="top"/>
          </w:tcPr>
          <w:p w14:paraId="3CE09C6B">
            <w:pPr>
              <w:spacing w:line="250" w:lineRule="auto"/>
              <w:rPr>
                <w:rFonts w:ascii="Arial"/>
                <w:sz w:val="21"/>
              </w:rPr>
            </w:pPr>
          </w:p>
          <w:p w14:paraId="753B67D4">
            <w:pPr>
              <w:spacing w:line="250" w:lineRule="auto"/>
              <w:rPr>
                <w:rFonts w:ascii="Arial"/>
                <w:sz w:val="21"/>
              </w:rPr>
            </w:pPr>
          </w:p>
          <w:p w14:paraId="2E033F97">
            <w:pPr>
              <w:spacing w:line="250" w:lineRule="auto"/>
              <w:rPr>
                <w:rFonts w:ascii="Arial"/>
                <w:sz w:val="21"/>
              </w:rPr>
            </w:pPr>
          </w:p>
          <w:p w14:paraId="380821AA">
            <w:pPr>
              <w:spacing w:line="250" w:lineRule="auto"/>
              <w:rPr>
                <w:rFonts w:ascii="Arial"/>
                <w:sz w:val="21"/>
              </w:rPr>
            </w:pPr>
          </w:p>
          <w:p w14:paraId="6192DCE9">
            <w:pPr>
              <w:spacing w:line="250" w:lineRule="auto"/>
              <w:rPr>
                <w:rFonts w:ascii="Arial"/>
                <w:sz w:val="21"/>
              </w:rPr>
            </w:pPr>
          </w:p>
          <w:p w14:paraId="513021AC">
            <w:pPr>
              <w:spacing w:line="250" w:lineRule="auto"/>
              <w:rPr>
                <w:rFonts w:ascii="Arial"/>
                <w:sz w:val="21"/>
              </w:rPr>
            </w:pPr>
          </w:p>
          <w:p w14:paraId="3E875C24">
            <w:pPr>
              <w:spacing w:line="250" w:lineRule="auto"/>
              <w:rPr>
                <w:rFonts w:ascii="Arial"/>
                <w:sz w:val="21"/>
              </w:rPr>
            </w:pPr>
          </w:p>
          <w:p w14:paraId="76ABDF3E">
            <w:pPr>
              <w:spacing w:line="251" w:lineRule="auto"/>
              <w:rPr>
                <w:rFonts w:ascii="Arial"/>
                <w:sz w:val="21"/>
              </w:rPr>
            </w:pPr>
          </w:p>
          <w:p w14:paraId="75CED619">
            <w:pPr>
              <w:spacing w:line="251" w:lineRule="auto"/>
              <w:rPr>
                <w:rFonts w:ascii="Arial"/>
                <w:sz w:val="21"/>
              </w:rPr>
            </w:pPr>
          </w:p>
          <w:p w14:paraId="47CB4123">
            <w:pPr>
              <w:spacing w:line="251" w:lineRule="auto"/>
              <w:rPr>
                <w:rFonts w:ascii="Arial"/>
                <w:sz w:val="21"/>
              </w:rPr>
            </w:pPr>
          </w:p>
          <w:p w14:paraId="55A48C13">
            <w:pPr>
              <w:spacing w:line="251" w:lineRule="auto"/>
              <w:rPr>
                <w:rFonts w:ascii="Arial"/>
                <w:sz w:val="21"/>
              </w:rPr>
            </w:pPr>
          </w:p>
          <w:p w14:paraId="7314C16D">
            <w:pPr>
              <w:spacing w:line="251" w:lineRule="auto"/>
              <w:rPr>
                <w:rFonts w:ascii="Arial"/>
                <w:sz w:val="21"/>
              </w:rPr>
            </w:pPr>
          </w:p>
          <w:p w14:paraId="6681679C">
            <w:pPr>
              <w:spacing w:line="251" w:lineRule="auto"/>
              <w:rPr>
                <w:rFonts w:ascii="Arial"/>
                <w:sz w:val="21"/>
              </w:rPr>
            </w:pPr>
          </w:p>
          <w:p w14:paraId="5E17DE7F">
            <w:pPr>
              <w:spacing w:line="251" w:lineRule="auto"/>
              <w:rPr>
                <w:rFonts w:ascii="Arial"/>
                <w:sz w:val="21"/>
              </w:rPr>
            </w:pPr>
          </w:p>
          <w:p w14:paraId="7EEF82BB">
            <w:pPr>
              <w:spacing w:line="251" w:lineRule="auto"/>
              <w:rPr>
                <w:rFonts w:ascii="Arial"/>
                <w:sz w:val="21"/>
              </w:rPr>
            </w:pPr>
          </w:p>
          <w:p w14:paraId="0EFBFA20">
            <w:pPr>
              <w:pStyle w:val="7"/>
              <w:spacing w:before="78" w:line="360" w:lineRule="auto"/>
              <w:ind w:left="205" w:right="54" w:hanging="112"/>
            </w:pPr>
            <w:r>
              <w:rPr>
                <w:spacing w:val="-21"/>
              </w:rPr>
              <w:t>施工扬尘的</w:t>
            </w:r>
            <w:r>
              <w:rPr>
                <w:spacing w:val="-16"/>
              </w:rPr>
              <w:t>处理措施</w:t>
            </w:r>
          </w:p>
        </w:tc>
        <w:tc>
          <w:tcPr>
            <w:tcW w:w="7115" w:type="dxa"/>
            <w:tcBorders>
              <w:right w:val="single" w:color="000000" w:sz="4" w:space="0"/>
            </w:tcBorders>
            <w:vAlign w:val="top"/>
          </w:tcPr>
          <w:p w14:paraId="60BD8455">
            <w:pPr>
              <w:pStyle w:val="7"/>
              <w:spacing w:before="124" w:line="216" w:lineRule="auto"/>
              <w:ind w:left="1661"/>
            </w:pPr>
            <w:r>
              <w:rPr>
                <w:spacing w:val="-21"/>
              </w:rPr>
              <w:t>1、材料堆放、储运引起的扬尘控制措施</w:t>
            </w:r>
          </w:p>
          <w:p w14:paraId="754330CA">
            <w:pPr>
              <w:pStyle w:val="7"/>
              <w:spacing w:before="185" w:line="215" w:lineRule="auto"/>
              <w:ind w:left="81"/>
            </w:pPr>
            <w:r>
              <w:rPr>
                <w:spacing w:val="-21"/>
              </w:rPr>
              <w:t>1)在运输易飞扬的散料时，装料适中并用蓬布覆盖。松散易飞扬的材料、</w:t>
            </w:r>
          </w:p>
          <w:p w14:paraId="21C4E0D9">
            <w:pPr>
              <w:pStyle w:val="7"/>
              <w:spacing w:before="188" w:line="216" w:lineRule="auto"/>
              <w:ind w:left="70"/>
            </w:pPr>
            <w:r>
              <w:rPr>
                <w:spacing w:val="-21"/>
              </w:rPr>
              <w:t>裸土等用彩条布、密目安全网进行遮盖，避免运输、装卸过程</w:t>
            </w:r>
            <w:r>
              <w:rPr>
                <w:spacing w:val="-22"/>
              </w:rPr>
              <w:t>中和刮风时</w:t>
            </w:r>
          </w:p>
          <w:p w14:paraId="2DBD6DDA">
            <w:pPr>
              <w:pStyle w:val="7"/>
              <w:spacing w:before="185" w:line="220" w:lineRule="auto"/>
              <w:ind w:left="3231"/>
            </w:pPr>
            <w:r>
              <w:rPr>
                <w:spacing w:val="-21"/>
              </w:rPr>
              <w:t>扬尘。</w:t>
            </w:r>
          </w:p>
          <w:p w14:paraId="7CEA73DF">
            <w:pPr>
              <w:pStyle w:val="7"/>
              <w:spacing w:before="181" w:line="217" w:lineRule="auto"/>
              <w:ind w:left="828"/>
            </w:pPr>
            <w:r>
              <w:rPr>
                <w:spacing w:val="-21"/>
              </w:rPr>
              <w:t>2)严禁凌空抛洒垃圾，对垃圾进行分类管理，统一清运。</w:t>
            </w:r>
          </w:p>
          <w:p w14:paraId="3551119A">
            <w:pPr>
              <w:pStyle w:val="7"/>
              <w:spacing w:before="183" w:line="217" w:lineRule="auto"/>
              <w:ind w:left="2138"/>
            </w:pPr>
            <w:r>
              <w:rPr>
                <w:spacing w:val="-19"/>
              </w:rPr>
              <w:t>3)施工现场严禁焚烧废弃物。</w:t>
            </w:r>
          </w:p>
          <w:p w14:paraId="11A9667B">
            <w:pPr>
              <w:pStyle w:val="7"/>
              <w:spacing w:before="187" w:line="216" w:lineRule="auto"/>
              <w:ind w:left="2191"/>
            </w:pPr>
            <w:r>
              <w:rPr>
                <w:spacing w:val="-19"/>
              </w:rPr>
              <w:t>2、作业活动的扬尘控制措施</w:t>
            </w:r>
          </w:p>
          <w:p w14:paraId="0C3513B3">
            <w:pPr>
              <w:pStyle w:val="7"/>
              <w:spacing w:before="184" w:line="216" w:lineRule="auto"/>
              <w:ind w:left="734"/>
            </w:pPr>
            <w:r>
              <w:rPr>
                <w:spacing w:val="-21"/>
              </w:rPr>
              <w:t>1)施工场区经常洒水，易产生扬尘的作业应采用湿法作业。</w:t>
            </w:r>
          </w:p>
          <w:p w14:paraId="6617E61F">
            <w:pPr>
              <w:pStyle w:val="7"/>
              <w:spacing w:before="187" w:line="217" w:lineRule="auto"/>
              <w:ind w:left="66"/>
            </w:pPr>
            <w:r>
              <w:rPr>
                <w:spacing w:val="-20"/>
              </w:rPr>
              <w:t>2)工完清理建筑垃圾时，首先必须将较大部分</w:t>
            </w:r>
            <w:r>
              <w:rPr>
                <w:spacing w:val="-21"/>
              </w:rPr>
              <w:t>装袋，运到地面指定堆放地</w:t>
            </w:r>
          </w:p>
          <w:p w14:paraId="198791A6">
            <w:pPr>
              <w:pStyle w:val="7"/>
              <w:spacing w:before="185" w:line="217" w:lineRule="auto"/>
              <w:ind w:left="84"/>
            </w:pPr>
            <w:r>
              <w:rPr>
                <w:spacing w:val="-22"/>
              </w:rPr>
              <w:t>点集中码放，然后洒水，防止扬尘，清扫人员戴防尘口罩，对粉灰状的施</w:t>
            </w:r>
          </w:p>
          <w:p w14:paraId="2C38CAB9">
            <w:pPr>
              <w:pStyle w:val="7"/>
              <w:spacing w:before="185" w:line="218" w:lineRule="auto"/>
              <w:ind w:left="77"/>
            </w:pPr>
            <w:r>
              <w:rPr>
                <w:spacing w:val="-21"/>
              </w:rPr>
              <w:t>工垃圾，采用吸尘器先吸后用水清洗干净，如现</w:t>
            </w:r>
            <w:r>
              <w:rPr>
                <w:spacing w:val="-22"/>
              </w:rPr>
              <w:t>场有条件，宜设置密封式</w:t>
            </w:r>
          </w:p>
          <w:p w14:paraId="1E227DAD">
            <w:pPr>
              <w:pStyle w:val="7"/>
              <w:spacing w:before="184" w:line="219" w:lineRule="auto"/>
              <w:ind w:left="1708"/>
            </w:pPr>
            <w:r>
              <w:rPr>
                <w:spacing w:val="-21"/>
              </w:rPr>
              <w:t>垃圾房。垃圾统一外运到垃圾处理场。</w:t>
            </w:r>
          </w:p>
          <w:p w14:paraId="72F58228">
            <w:pPr>
              <w:pStyle w:val="7"/>
              <w:spacing w:before="179" w:line="324" w:lineRule="auto"/>
              <w:ind w:left="69" w:right="54" w:hanging="1"/>
            </w:pPr>
            <w:r>
              <w:rPr>
                <w:spacing w:val="-21"/>
              </w:rPr>
              <w:t>3)在进行切割、钻孔、剔凿作业时，无齿锯切割时在锯的正前</w:t>
            </w:r>
            <w:r>
              <w:rPr>
                <w:spacing w:val="-22"/>
              </w:rPr>
              <w:t>方设置遮挡火花的三面式挡板，使锯末在内部沉积后回收。钻孔用水钻进行，在下方设置疏水槽将浆水引至容器内沉淀后处理。在采用机械剔凿作业时，可用</w:t>
            </w:r>
            <w:r>
              <w:rPr>
                <w:spacing w:val="-23"/>
              </w:rPr>
              <w:t>局部遮挡、掩盖或采取水淋等防护措施。作业人员按规定配备防护用品。</w:t>
            </w:r>
          </w:p>
          <w:p w14:paraId="19AD6C35">
            <w:pPr>
              <w:pStyle w:val="7"/>
              <w:spacing w:before="185" w:line="289" w:lineRule="auto"/>
              <w:ind w:left="1163" w:right="54" w:hanging="1100"/>
            </w:pPr>
            <w:r>
              <w:rPr>
                <w:spacing w:val="-21"/>
              </w:rPr>
              <w:t>4)在涂料施工基层打磨地程中，作业人员一定要在封闭的环境作业配戴防尘口罩，即打磨一间、封闭一间，防止粉尘蔓延。</w:t>
            </w:r>
          </w:p>
        </w:tc>
      </w:tr>
      <w:tr w14:paraId="652090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26" w:hRule="atLeast"/>
        </w:trPr>
        <w:tc>
          <w:tcPr>
            <w:tcW w:w="1252" w:type="dxa"/>
            <w:tcBorders>
              <w:left w:val="single" w:color="000000" w:sz="4" w:space="0"/>
            </w:tcBorders>
            <w:vAlign w:val="top"/>
          </w:tcPr>
          <w:p w14:paraId="476AF3AD">
            <w:pPr>
              <w:spacing w:line="266" w:lineRule="auto"/>
              <w:rPr>
                <w:rFonts w:ascii="Arial"/>
                <w:sz w:val="21"/>
              </w:rPr>
            </w:pPr>
          </w:p>
          <w:p w14:paraId="4B71B3A2">
            <w:pPr>
              <w:pStyle w:val="7"/>
              <w:spacing w:before="78" w:line="362" w:lineRule="auto"/>
              <w:ind w:left="205" w:right="54" w:hanging="112"/>
            </w:pPr>
            <w:r>
              <w:rPr>
                <w:spacing w:val="-21"/>
              </w:rPr>
              <w:t>施工废气的</w:t>
            </w:r>
            <w:r>
              <w:rPr>
                <w:spacing w:val="-15"/>
              </w:rPr>
              <w:t>处理措施</w:t>
            </w:r>
          </w:p>
        </w:tc>
        <w:tc>
          <w:tcPr>
            <w:tcW w:w="7115" w:type="dxa"/>
            <w:tcBorders>
              <w:right w:val="single" w:color="000000" w:sz="4" w:space="0"/>
            </w:tcBorders>
            <w:vAlign w:val="top"/>
          </w:tcPr>
          <w:p w14:paraId="240D6EB6">
            <w:pPr>
              <w:spacing w:line="266" w:lineRule="auto"/>
              <w:rPr>
                <w:rFonts w:ascii="Arial"/>
                <w:sz w:val="21"/>
              </w:rPr>
            </w:pPr>
          </w:p>
          <w:p w14:paraId="260F1935">
            <w:pPr>
              <w:pStyle w:val="7"/>
              <w:spacing w:before="78" w:line="216" w:lineRule="auto"/>
              <w:ind w:left="71"/>
            </w:pPr>
            <w:r>
              <w:rPr>
                <w:spacing w:val="-21"/>
              </w:rPr>
              <w:t>建筑材料采购严格按照国家和地区相关规范规定。严禁使用对人</w:t>
            </w:r>
            <w:r>
              <w:rPr>
                <w:spacing w:val="-22"/>
              </w:rPr>
              <w:t>体产生危</w:t>
            </w:r>
          </w:p>
          <w:p w14:paraId="1CE1F626">
            <w:pPr>
              <w:pStyle w:val="7"/>
              <w:spacing w:before="187" w:line="218" w:lineRule="auto"/>
              <w:ind w:left="2140"/>
            </w:pPr>
            <w:r>
              <w:rPr>
                <w:spacing w:val="-20"/>
              </w:rPr>
              <w:t>害、对大气产生污染的产品。</w:t>
            </w:r>
          </w:p>
        </w:tc>
      </w:tr>
      <w:tr w14:paraId="7AADCA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67" w:hRule="atLeast"/>
        </w:trPr>
        <w:tc>
          <w:tcPr>
            <w:tcW w:w="1252" w:type="dxa"/>
            <w:tcBorders>
              <w:left w:val="single" w:color="1C456A" w:sz="4" w:space="0"/>
              <w:bottom w:val="single" w:color="1C456A" w:sz="4" w:space="0"/>
            </w:tcBorders>
            <w:vAlign w:val="top"/>
          </w:tcPr>
          <w:p w14:paraId="44083210">
            <w:pPr>
              <w:spacing w:line="297" w:lineRule="auto"/>
              <w:rPr>
                <w:rFonts w:ascii="Arial"/>
                <w:sz w:val="21"/>
              </w:rPr>
            </w:pPr>
            <w:r>
              <w:pict>
                <v:shape id="_x0000_s3401" o:spid="_x0000_s3401" style="position:absolute;left:0pt;margin-left:-0.2pt;margin-top:148.35pt;height:0.75pt;width:2.2pt;mso-position-horizontal-relative:page;mso-position-vertical-relative:page;z-index:252051456;mso-width-relative:page;mso-height-relative:page;" fillcolor="#5B9BD5" filled="t" stroked="f" coordsize="44,15" path="m0,14l43,14,43,0,0,0,0,14xe">
                  <v:path/>
                  <v:fill on="t" focussize="0,0"/>
                  <v:stroke on="f"/>
                  <v:imagedata o:title=""/>
                  <o:lock v:ext="edit"/>
                </v:shape>
              </w:pict>
            </w:r>
          </w:p>
          <w:p w14:paraId="5E10B435">
            <w:pPr>
              <w:spacing w:line="297" w:lineRule="auto"/>
              <w:rPr>
                <w:rFonts w:ascii="Arial"/>
                <w:sz w:val="21"/>
              </w:rPr>
            </w:pPr>
          </w:p>
          <w:p w14:paraId="213A6A44">
            <w:pPr>
              <w:spacing w:line="298" w:lineRule="auto"/>
              <w:rPr>
                <w:rFonts w:ascii="Arial"/>
                <w:sz w:val="21"/>
              </w:rPr>
            </w:pPr>
          </w:p>
          <w:p w14:paraId="3D884CD7">
            <w:pPr>
              <w:spacing w:line="298" w:lineRule="auto"/>
              <w:rPr>
                <w:rFonts w:ascii="Arial"/>
                <w:sz w:val="21"/>
              </w:rPr>
            </w:pPr>
          </w:p>
          <w:p w14:paraId="2EDDA541">
            <w:pPr>
              <w:pStyle w:val="7"/>
              <w:spacing w:before="78" w:line="218" w:lineRule="auto"/>
              <w:ind w:left="204"/>
            </w:pPr>
            <w:r>
              <w:rPr>
                <w:spacing w:val="-15"/>
              </w:rPr>
              <w:t>施工噪声</w:t>
            </w:r>
          </w:p>
        </w:tc>
        <w:tc>
          <w:tcPr>
            <w:tcW w:w="7115" w:type="dxa"/>
            <w:tcBorders>
              <w:bottom w:val="single" w:color="5B9BD5" w:sz="4" w:space="0"/>
              <w:right w:val="single" w:color="5B9BD5" w:sz="4" w:space="0"/>
            </w:tcBorders>
            <w:vAlign w:val="top"/>
          </w:tcPr>
          <w:p w14:paraId="44692106">
            <w:pPr>
              <w:pStyle w:val="7"/>
              <w:spacing w:before="109" w:line="216" w:lineRule="auto"/>
              <w:jc w:val="right"/>
            </w:pPr>
            <w:r>
              <w:pict>
                <v:shape id="_x0000_s3402" o:spid="_x0000_s3402" style="position:absolute;left:0pt;margin-left:353.9pt;margin-top:148.35pt;height:0.75pt;width:2.2pt;mso-position-horizontal-relative:page;mso-position-vertical-relative:page;z-index:252050432;mso-width-relative:page;mso-height-relative:page;" fillcolor="#5B9BD5" filled="t" stroked="f" coordsize="44,15" path="m0,14l43,14,43,0,0,0,0,14xe">
                  <v:path/>
                  <v:fill on="t" focussize="0,0"/>
                  <v:stroke on="f"/>
                  <v:imagedata o:title=""/>
                  <o:lock v:ext="edit"/>
                </v:shape>
              </w:pict>
            </w:r>
            <w:r>
              <w:rPr>
                <w:spacing w:val="-23"/>
              </w:rPr>
              <w:t>主要管理措施－2011)的要求，并按GB12524《建筑施工场界噪声测量方法》</w:t>
            </w:r>
          </w:p>
          <w:p w14:paraId="55C538FB">
            <w:pPr>
              <w:pStyle w:val="7"/>
              <w:spacing w:before="186" w:line="217" w:lineRule="auto"/>
              <w:ind w:left="2797"/>
            </w:pPr>
            <w:r>
              <w:rPr>
                <w:spacing w:val="-19"/>
              </w:rPr>
              <w:t>进行声级测量。</w:t>
            </w:r>
          </w:p>
          <w:p w14:paraId="0A717898">
            <w:pPr>
              <w:pStyle w:val="7"/>
              <w:spacing w:before="184" w:line="217" w:lineRule="auto"/>
              <w:ind w:left="2409"/>
            </w:pPr>
            <w:r>
              <w:rPr>
                <w:spacing w:val="-19"/>
              </w:rPr>
              <w:t>2、人为噪声的控制措施</w:t>
            </w:r>
          </w:p>
          <w:p w14:paraId="37D39B59">
            <w:pPr>
              <w:pStyle w:val="7"/>
              <w:spacing w:before="184" w:line="287" w:lineRule="auto"/>
              <w:ind w:left="179" w:right="54" w:hanging="98"/>
            </w:pPr>
            <w:r>
              <w:rPr>
                <w:spacing w:val="-22"/>
              </w:rPr>
              <w:t>1)施工现场提倡文明施工，建立健全控制人为噪声的管理制度。并在适当</w:t>
            </w:r>
            <w:r>
              <w:rPr>
                <w:spacing w:val="-21"/>
              </w:rPr>
              <w:t>位置设立标识，提醒工人文明施工，禁止在工作或业余时间</w:t>
            </w:r>
            <w:r>
              <w:rPr>
                <w:spacing w:val="-22"/>
              </w:rPr>
              <w:t>大声喧哗。</w:t>
            </w:r>
          </w:p>
          <w:p w14:paraId="5DECA628">
            <w:pPr>
              <w:pStyle w:val="7"/>
              <w:spacing w:before="188" w:line="217" w:lineRule="auto"/>
              <w:ind w:left="66"/>
            </w:pPr>
            <w:r>
              <w:rPr>
                <w:spacing w:val="-20"/>
              </w:rPr>
              <w:t>2)对人为的施工噪声进行严格管理与控制，采取</w:t>
            </w:r>
            <w:r>
              <w:rPr>
                <w:spacing w:val="-21"/>
              </w:rPr>
              <w:t>有效的降噪措施，装卸材</w:t>
            </w:r>
          </w:p>
        </w:tc>
      </w:tr>
    </w:tbl>
    <w:p w14:paraId="45DA5B41">
      <w:pPr>
        <w:rPr>
          <w:rFonts w:ascii="Arial"/>
          <w:sz w:val="21"/>
        </w:rPr>
      </w:pPr>
    </w:p>
    <w:p w14:paraId="49272D7B">
      <w:pPr>
        <w:rPr>
          <w:rFonts w:ascii="Arial" w:hAnsi="Arial" w:eastAsia="Arial" w:cs="Arial"/>
          <w:sz w:val="21"/>
          <w:szCs w:val="21"/>
        </w:rPr>
        <w:sectPr>
          <w:footerReference r:id="rId180" w:type="default"/>
          <w:pgSz w:w="11907" w:h="16839"/>
          <w:pgMar w:top="954" w:right="4" w:bottom="1038" w:left="0" w:header="499" w:footer="357" w:gutter="0"/>
          <w:pgBorders>
            <w:top w:val="none" w:sz="0" w:space="0"/>
            <w:left w:val="none" w:sz="0" w:space="0"/>
            <w:bottom w:val="none" w:sz="0" w:space="0"/>
            <w:right w:val="none" w:sz="0" w:space="0"/>
          </w:pgBorders>
          <w:cols w:space="720" w:num="1"/>
        </w:sectPr>
      </w:pPr>
    </w:p>
    <w:p w14:paraId="2964092E">
      <w:pPr>
        <w:spacing w:line="214" w:lineRule="exact"/>
      </w:pPr>
    </w:p>
    <w:tbl>
      <w:tblPr>
        <w:tblStyle w:val="6"/>
        <w:tblW w:w="8367" w:type="dxa"/>
        <w:tblInd w:w="1769"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6"/>
        <w:gridCol w:w="1170"/>
        <w:gridCol w:w="7121"/>
      </w:tblGrid>
      <w:tr w14:paraId="2FA388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419" w:hRule="atLeast"/>
        </w:trPr>
        <w:tc>
          <w:tcPr>
            <w:tcW w:w="1246" w:type="dxa"/>
            <w:gridSpan w:val="2"/>
            <w:tcBorders>
              <w:top w:val="single" w:color="000000" w:sz="4" w:space="0"/>
              <w:left w:val="single" w:color="000000" w:sz="4" w:space="0"/>
            </w:tcBorders>
            <w:vAlign w:val="top"/>
          </w:tcPr>
          <w:p w14:paraId="1C3A7169">
            <w:pPr>
              <w:rPr>
                <w:rFonts w:ascii="Arial"/>
                <w:sz w:val="21"/>
              </w:rPr>
            </w:pPr>
          </w:p>
        </w:tc>
        <w:tc>
          <w:tcPr>
            <w:tcW w:w="7121" w:type="dxa"/>
            <w:tcBorders>
              <w:top w:val="single" w:color="5B9BD5" w:sz="4" w:space="0"/>
              <w:right w:val="single" w:color="5B9BD5" w:sz="4" w:space="0"/>
            </w:tcBorders>
            <w:vAlign w:val="top"/>
          </w:tcPr>
          <w:p w14:paraId="24AFB17F">
            <w:pPr>
              <w:pStyle w:val="7"/>
              <w:spacing w:before="129" w:line="216" w:lineRule="auto"/>
              <w:ind w:left="1166"/>
            </w:pPr>
            <w:r>
              <w:rPr>
                <w:spacing w:val="-21"/>
              </w:rPr>
              <w:t>料应做到轻拿轻放等，最大限度地减少噪声扰民。</w:t>
            </w:r>
          </w:p>
          <w:p w14:paraId="49BCC451">
            <w:pPr>
              <w:pStyle w:val="7"/>
              <w:spacing w:before="184" w:line="217" w:lineRule="auto"/>
              <w:ind w:left="74"/>
            </w:pPr>
            <w:r>
              <w:rPr>
                <w:spacing w:val="-20"/>
              </w:rPr>
              <w:t>3)加强环保意识的宣传。采用有力措施控制</w:t>
            </w:r>
            <w:r>
              <w:rPr>
                <w:spacing w:val="-21"/>
              </w:rPr>
              <w:t>人为的施工噪声，严格管理，</w:t>
            </w:r>
          </w:p>
          <w:p w14:paraId="201810C9">
            <w:pPr>
              <w:pStyle w:val="7"/>
              <w:spacing w:before="186" w:line="217" w:lineRule="auto"/>
              <w:ind w:left="84"/>
            </w:pPr>
            <w:r>
              <w:rPr>
                <w:spacing w:val="-22"/>
              </w:rPr>
              <w:t>最大限度地减少噪音。主动与当地政府联系，积极和政府部门配合，处理</w:t>
            </w:r>
          </w:p>
          <w:p w14:paraId="3CC84ED4">
            <w:pPr>
              <w:pStyle w:val="7"/>
              <w:spacing w:before="183" w:line="218" w:lineRule="auto"/>
              <w:ind w:left="77"/>
            </w:pPr>
            <w:r>
              <w:rPr>
                <w:spacing w:val="-21"/>
              </w:rPr>
              <w:t>好噪音污染问题，加强对职工的教育，严禁大声喧哗。如确需</w:t>
            </w:r>
            <w:r>
              <w:rPr>
                <w:spacing w:val="-22"/>
              </w:rPr>
              <w:t>夜间施工噪</w:t>
            </w:r>
          </w:p>
          <w:p w14:paraId="02DC7B73">
            <w:pPr>
              <w:pStyle w:val="7"/>
              <w:spacing w:before="184" w:line="216" w:lineRule="auto"/>
              <w:ind w:left="302"/>
            </w:pPr>
            <w:r>
              <w:rPr>
                <w:spacing w:val="-22"/>
              </w:rPr>
              <w:t>音超标的工序，则办理夜间施工许可证，以保证夜间施工的合法性。</w:t>
            </w:r>
          </w:p>
          <w:p w14:paraId="650BD350">
            <w:pPr>
              <w:pStyle w:val="7"/>
              <w:spacing w:before="184" w:line="217" w:lineRule="auto"/>
              <w:ind w:left="2199"/>
            </w:pPr>
            <w:r>
              <w:rPr>
                <w:spacing w:val="-19"/>
              </w:rPr>
              <w:t>3、机械设备的噪音控制措施</w:t>
            </w:r>
          </w:p>
          <w:p w14:paraId="188F32D8">
            <w:pPr>
              <w:pStyle w:val="7"/>
              <w:spacing w:before="188" w:line="287" w:lineRule="auto"/>
              <w:ind w:left="2146" w:right="104" w:hanging="2059"/>
            </w:pPr>
            <w:r>
              <w:rPr>
                <w:spacing w:val="-23"/>
              </w:rPr>
              <w:t>1)对设备采取专项噪音控制措施，如设备隔音防护棚，转动装置防护罩，</w:t>
            </w:r>
            <w:r>
              <w:rPr>
                <w:spacing w:val="-22"/>
              </w:rPr>
              <w:t>尽量采用环保型机械设备等；</w:t>
            </w:r>
          </w:p>
          <w:p w14:paraId="6F79698E">
            <w:pPr>
              <w:pStyle w:val="7"/>
              <w:spacing w:before="187" w:line="288" w:lineRule="auto"/>
              <w:ind w:left="627" w:right="54" w:hanging="555"/>
            </w:pPr>
            <w:r>
              <w:rPr>
                <w:spacing w:val="-21"/>
              </w:rPr>
              <w:t>2)低噪音设备的选用：选用能耗低、性能好、技术含量高、噪声小的</w:t>
            </w:r>
            <w:r>
              <w:rPr>
                <w:spacing w:val="-22"/>
              </w:rPr>
              <w:t>电动</w:t>
            </w:r>
            <w:r>
              <w:rPr>
                <w:spacing w:val="-21"/>
              </w:rPr>
              <w:t>工具。机械剔凿作业使用低噪音的破碎炮和风</w:t>
            </w:r>
            <w:r>
              <w:rPr>
                <w:spacing w:val="-22"/>
              </w:rPr>
              <w:t>镐等剔凿机械；</w:t>
            </w:r>
          </w:p>
          <w:p w14:paraId="4D491C0C">
            <w:pPr>
              <w:pStyle w:val="7"/>
              <w:spacing w:before="184" w:line="288" w:lineRule="auto"/>
              <w:ind w:left="82" w:right="54" w:hanging="8"/>
            </w:pPr>
            <w:r>
              <w:rPr>
                <w:spacing w:val="-21"/>
              </w:rPr>
              <w:t>3)对于可以在加工车间加工的工作，尽可能在加工车间加工，</w:t>
            </w:r>
            <w:r>
              <w:rPr>
                <w:spacing w:val="-22"/>
              </w:rPr>
              <w:t>减少在开放式空间上的作业。钢筋加工、构件预制、泵车等场地选择尽量远离临近建</w:t>
            </w:r>
          </w:p>
          <w:p w14:paraId="48521508">
            <w:pPr>
              <w:pStyle w:val="7"/>
              <w:spacing w:before="185" w:line="217" w:lineRule="auto"/>
              <w:ind w:left="3239"/>
            </w:pPr>
            <w:r>
              <w:rPr>
                <w:spacing w:val="-26"/>
              </w:rPr>
              <w:t>筑物；</w:t>
            </w:r>
          </w:p>
          <w:p w14:paraId="5BDFF61F">
            <w:pPr>
              <w:pStyle w:val="7"/>
              <w:spacing w:before="187" w:line="215" w:lineRule="auto"/>
              <w:ind w:left="830"/>
            </w:pPr>
            <w:r>
              <w:rPr>
                <w:spacing w:val="-20"/>
              </w:rPr>
              <w:t>4)合理安排施工作业时间，尽量降低夜间车辆出入频率。</w:t>
            </w:r>
          </w:p>
          <w:p w14:paraId="28CD2832">
            <w:pPr>
              <w:pStyle w:val="7"/>
              <w:spacing w:before="186" w:line="215" w:lineRule="auto"/>
              <w:ind w:left="2193"/>
            </w:pPr>
            <w:r>
              <w:rPr>
                <w:spacing w:val="-19"/>
              </w:rPr>
              <w:t>4、在运输作业中的噪音控制</w:t>
            </w:r>
          </w:p>
          <w:p w14:paraId="3AEA525B">
            <w:pPr>
              <w:pStyle w:val="7"/>
              <w:spacing w:before="188" w:line="215" w:lineRule="auto"/>
              <w:ind w:left="87"/>
            </w:pPr>
            <w:r>
              <w:rPr>
                <w:spacing w:val="-22"/>
              </w:rPr>
              <w:t>1)在现场材料及设备运输作业中，应控制运输工具发出的噪音的材料、设</w:t>
            </w:r>
          </w:p>
          <w:p w14:paraId="0DC9D59E">
            <w:pPr>
              <w:pStyle w:val="7"/>
              <w:spacing w:before="186" w:line="216" w:lineRule="auto"/>
              <w:ind w:left="79"/>
            </w:pPr>
            <w:r>
              <w:rPr>
                <w:spacing w:val="-21"/>
              </w:rPr>
              <w:t>备搬运、堆放作业中的噪音，对于进入场内的运输工具，要</w:t>
            </w:r>
            <w:r>
              <w:rPr>
                <w:spacing w:val="-22"/>
              </w:rPr>
              <w:t>求发出的声响</w:t>
            </w:r>
          </w:p>
          <w:p w14:paraId="1E13E56A">
            <w:pPr>
              <w:pStyle w:val="7"/>
              <w:spacing w:before="187" w:line="217" w:lineRule="auto"/>
              <w:ind w:left="1226"/>
            </w:pPr>
            <w:r>
              <w:rPr>
                <w:spacing w:val="-21"/>
              </w:rPr>
              <w:t>符合噪音排放要求。5、加强施工现场的噪声监测</w:t>
            </w:r>
          </w:p>
          <w:p w14:paraId="75C118B1">
            <w:pPr>
              <w:pStyle w:val="7"/>
              <w:spacing w:before="184" w:line="217" w:lineRule="auto"/>
              <w:ind w:left="76"/>
            </w:pPr>
            <w:r>
              <w:rPr>
                <w:spacing w:val="-21"/>
              </w:rPr>
              <w:t>加强施工现场环境噪声的长期监测，采取专人管理的原则，根据测</w:t>
            </w:r>
            <w:r>
              <w:rPr>
                <w:spacing w:val="-22"/>
              </w:rPr>
              <w:t>量结果</w:t>
            </w:r>
          </w:p>
          <w:p w14:paraId="3C8BAB3A">
            <w:pPr>
              <w:pStyle w:val="7"/>
              <w:spacing w:before="186" w:line="218" w:lineRule="auto"/>
              <w:jc w:val="right"/>
            </w:pPr>
            <w:r>
              <w:rPr>
                <w:spacing w:val="-27"/>
              </w:rPr>
              <w:t>填写建筑施工场地噪声测量记录表，凡超过《施工场界噪声限值》标准的，</w:t>
            </w:r>
          </w:p>
          <w:p w14:paraId="1AC7E6B5">
            <w:pPr>
              <w:pStyle w:val="7"/>
              <w:spacing w:before="182" w:line="217" w:lineRule="auto"/>
              <w:ind w:left="82"/>
            </w:pPr>
            <w:r>
              <w:rPr>
                <w:spacing w:val="-21"/>
              </w:rPr>
              <w:t>要及时对施工现场噪声超标的有关因素进行调整，</w:t>
            </w:r>
            <w:r>
              <w:rPr>
                <w:spacing w:val="-22"/>
              </w:rPr>
              <w:t>达到施工噪声不扰民的</w:t>
            </w:r>
          </w:p>
          <w:p w14:paraId="4E02D876">
            <w:pPr>
              <w:pStyle w:val="7"/>
              <w:spacing w:before="186" w:line="222" w:lineRule="auto"/>
              <w:ind w:left="3278"/>
            </w:pPr>
            <w:r>
              <w:rPr>
                <w:spacing w:val="-30"/>
              </w:rPr>
              <w:t>目的。</w:t>
            </w:r>
          </w:p>
        </w:tc>
      </w:tr>
      <w:tr w14:paraId="296F23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93" w:hRule="atLeast"/>
        </w:trPr>
        <w:tc>
          <w:tcPr>
            <w:tcW w:w="76" w:type="dxa"/>
            <w:tcBorders>
              <w:left w:val="single" w:color="1C456A" w:sz="4" w:space="0"/>
              <w:bottom w:val="single" w:color="1C456A" w:sz="4" w:space="0"/>
              <w:right w:val="nil"/>
            </w:tcBorders>
            <w:vAlign w:val="top"/>
          </w:tcPr>
          <w:p w14:paraId="685AAD8A">
            <w:pPr>
              <w:rPr>
                <w:rFonts w:ascii="Arial"/>
                <w:sz w:val="21"/>
              </w:rPr>
            </w:pPr>
            <w:r>
              <w:pict>
                <v:shape id="_x0000_s3403" o:spid="_x0000_s3403" style="position:absolute;left:0pt;margin-left:-0.25pt;margin-top:194.65pt;height:0.75pt;width:2.2pt;mso-position-horizontal-relative:page;mso-position-vertical-relative:page;z-index:252052480;mso-width-relative:page;mso-height-relative:page;" fillcolor="#5B9BD5" filled="t" stroked="f" coordsize="44,15" path="m0,14l43,14,43,0,0,0,0,14xe">
                  <v:path/>
                  <v:fill on="t" focussize="0,0"/>
                  <v:stroke on="f"/>
                  <v:imagedata o:title=""/>
                  <o:lock v:ext="edit"/>
                </v:shape>
              </w:pict>
            </w:r>
          </w:p>
        </w:tc>
        <w:tc>
          <w:tcPr>
            <w:tcW w:w="1170" w:type="dxa"/>
            <w:tcBorders>
              <w:left w:val="nil"/>
              <w:bottom w:val="single" w:color="1C456A" w:sz="4" w:space="0"/>
            </w:tcBorders>
            <w:vAlign w:val="top"/>
          </w:tcPr>
          <w:p w14:paraId="06FCB263">
            <w:pPr>
              <w:spacing w:line="283" w:lineRule="auto"/>
              <w:rPr>
                <w:rFonts w:ascii="Arial"/>
                <w:sz w:val="21"/>
              </w:rPr>
            </w:pPr>
          </w:p>
          <w:p w14:paraId="1D11BF01">
            <w:pPr>
              <w:spacing w:line="283" w:lineRule="auto"/>
              <w:rPr>
                <w:rFonts w:ascii="Arial"/>
                <w:sz w:val="21"/>
              </w:rPr>
            </w:pPr>
          </w:p>
          <w:p w14:paraId="1B40F81F">
            <w:pPr>
              <w:spacing w:line="283" w:lineRule="auto"/>
              <w:rPr>
                <w:rFonts w:ascii="Arial"/>
                <w:sz w:val="21"/>
              </w:rPr>
            </w:pPr>
          </w:p>
          <w:p w14:paraId="4F4F515C">
            <w:pPr>
              <w:spacing w:line="284" w:lineRule="auto"/>
              <w:rPr>
                <w:rFonts w:ascii="Arial"/>
                <w:sz w:val="21"/>
              </w:rPr>
            </w:pPr>
          </w:p>
          <w:p w14:paraId="74E86B48">
            <w:pPr>
              <w:spacing w:line="284" w:lineRule="auto"/>
              <w:rPr>
                <w:rFonts w:ascii="Arial"/>
                <w:sz w:val="21"/>
              </w:rPr>
            </w:pPr>
          </w:p>
          <w:p w14:paraId="557A3400">
            <w:pPr>
              <w:pStyle w:val="7"/>
              <w:spacing w:before="78" w:line="217" w:lineRule="auto"/>
              <w:ind w:left="29"/>
            </w:pPr>
            <w:r>
              <w:rPr>
                <w:spacing w:val="-18"/>
              </w:rPr>
              <w:t>节能减排措</w:t>
            </w:r>
          </w:p>
          <w:p w14:paraId="40FC0FF1">
            <w:pPr>
              <w:pStyle w:val="7"/>
              <w:spacing w:before="183" w:line="220" w:lineRule="auto"/>
              <w:ind w:left="459"/>
            </w:pPr>
            <w:r>
              <w:t>施</w:t>
            </w:r>
          </w:p>
        </w:tc>
        <w:tc>
          <w:tcPr>
            <w:tcW w:w="7121" w:type="dxa"/>
            <w:tcBorders>
              <w:bottom w:val="single" w:color="5B9BD5" w:sz="4" w:space="0"/>
              <w:right w:val="single" w:color="5B9BD5" w:sz="4" w:space="0"/>
            </w:tcBorders>
            <w:vAlign w:val="top"/>
          </w:tcPr>
          <w:p w14:paraId="6B457612">
            <w:pPr>
              <w:pStyle w:val="7"/>
              <w:spacing w:before="101" w:line="215" w:lineRule="auto"/>
              <w:ind w:left="78"/>
            </w:pPr>
            <w:r>
              <w:rPr>
                <w:spacing w:val="-24"/>
              </w:rPr>
              <w:t>1、项目部对全体职工进行教育，加强学习，在施工生产现场及办公区域的</w:t>
            </w:r>
          </w:p>
          <w:p w14:paraId="55FAD15E">
            <w:pPr>
              <w:pStyle w:val="7"/>
              <w:spacing w:before="188" w:line="217" w:lineRule="auto"/>
              <w:jc w:val="right"/>
            </w:pPr>
            <w:r>
              <w:rPr>
                <w:spacing w:val="-27"/>
              </w:rPr>
              <w:t>用电、用水部位设立醒目的标志，提醒大家节约每一滴水、节约每一度电，</w:t>
            </w:r>
          </w:p>
          <w:p w14:paraId="52057131">
            <w:pPr>
              <w:pStyle w:val="7"/>
              <w:spacing w:before="183" w:line="217" w:lineRule="auto"/>
              <w:ind w:left="839"/>
            </w:pPr>
            <w:r>
              <w:rPr>
                <w:spacing w:val="-21"/>
              </w:rPr>
              <w:t>使每位职工养成节约用水、用电，珍惜能源的良好习惯；</w:t>
            </w:r>
          </w:p>
          <w:p w14:paraId="5E27A9BE">
            <w:pPr>
              <w:pStyle w:val="7"/>
              <w:spacing w:before="185" w:line="217" w:lineRule="auto"/>
              <w:ind w:left="670"/>
            </w:pPr>
            <w:r>
              <w:rPr>
                <w:spacing w:val="-21"/>
              </w:rPr>
              <w:t>2、规范办公用品领用程序，减少重复和不必要的领用行为；</w:t>
            </w:r>
          </w:p>
          <w:p w14:paraId="05D97F37">
            <w:pPr>
              <w:pStyle w:val="7"/>
              <w:spacing w:before="183" w:line="289" w:lineRule="auto"/>
              <w:ind w:left="2250" w:hanging="2185"/>
            </w:pPr>
            <w:r>
              <w:rPr>
                <w:spacing w:val="-29"/>
              </w:rPr>
              <w:t>3、汽车的使用由办公室统一管理，确保车辆的使用能够主要</w:t>
            </w:r>
            <w:r>
              <w:rPr>
                <w:spacing w:val="-30"/>
              </w:rPr>
              <w:t>用于生产经营，</w:t>
            </w:r>
            <w:r>
              <w:rPr>
                <w:spacing w:val="-20"/>
              </w:rPr>
              <w:t>有效减少能源的使用消耗；</w:t>
            </w:r>
          </w:p>
          <w:p w14:paraId="448289A3">
            <w:pPr>
              <w:pStyle w:val="7"/>
              <w:spacing w:before="183" w:line="217" w:lineRule="auto"/>
              <w:ind w:left="1322"/>
            </w:pPr>
            <w:r>
              <w:rPr>
                <w:spacing w:val="-20"/>
              </w:rPr>
              <w:t>4、用纸时要双面使用，杜绝浪费，节约纸张；</w:t>
            </w:r>
          </w:p>
          <w:p w14:paraId="37B3CF5B">
            <w:pPr>
              <w:pStyle w:val="7"/>
              <w:spacing w:before="186" w:line="214" w:lineRule="auto"/>
              <w:ind w:left="65"/>
            </w:pPr>
            <w:r>
              <w:rPr>
                <w:spacing w:val="-24"/>
              </w:rPr>
              <w:t>5、对施工现场的机械设备做到随用随开，人离机停，防止空载运转；施工</w:t>
            </w:r>
          </w:p>
        </w:tc>
      </w:tr>
    </w:tbl>
    <w:p w14:paraId="0C5DE304">
      <w:pPr>
        <w:rPr>
          <w:rFonts w:ascii="Arial"/>
          <w:sz w:val="21"/>
        </w:rPr>
      </w:pPr>
    </w:p>
    <w:p w14:paraId="2EAAB745">
      <w:pPr>
        <w:rPr>
          <w:rFonts w:ascii="Arial" w:hAnsi="Arial" w:eastAsia="Arial" w:cs="Arial"/>
          <w:sz w:val="21"/>
          <w:szCs w:val="21"/>
        </w:rPr>
        <w:sectPr>
          <w:footerReference r:id="rId181" w:type="default"/>
          <w:pgSz w:w="11907" w:h="16839"/>
          <w:pgMar w:top="954" w:right="4" w:bottom="1038" w:left="0" w:header="499" w:footer="357" w:gutter="0"/>
          <w:pgBorders>
            <w:top w:val="none" w:sz="0" w:space="0"/>
            <w:left w:val="none" w:sz="0" w:space="0"/>
            <w:bottom w:val="none" w:sz="0" w:space="0"/>
            <w:right w:val="none" w:sz="0" w:space="0"/>
          </w:pgBorders>
          <w:cols w:space="720" w:num="1"/>
        </w:sectPr>
      </w:pPr>
    </w:p>
    <w:p w14:paraId="4A22FF12">
      <w:pPr>
        <w:spacing w:line="214" w:lineRule="exact"/>
      </w:pPr>
    </w:p>
    <w:tbl>
      <w:tblPr>
        <w:tblStyle w:val="6"/>
        <w:tblW w:w="8367" w:type="dxa"/>
        <w:tblInd w:w="1769"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46"/>
        <w:gridCol w:w="7121"/>
      </w:tblGrid>
      <w:tr w14:paraId="530707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888" w:hRule="atLeast"/>
        </w:trPr>
        <w:tc>
          <w:tcPr>
            <w:tcW w:w="1246" w:type="dxa"/>
            <w:tcBorders>
              <w:top w:val="single" w:color="000000" w:sz="4" w:space="0"/>
              <w:left w:val="single" w:color="000000" w:sz="4" w:space="0"/>
            </w:tcBorders>
            <w:vAlign w:val="top"/>
          </w:tcPr>
          <w:p w14:paraId="5CB7EEDC">
            <w:pPr>
              <w:rPr>
                <w:rFonts w:ascii="Arial"/>
                <w:sz w:val="21"/>
              </w:rPr>
            </w:pPr>
          </w:p>
        </w:tc>
        <w:tc>
          <w:tcPr>
            <w:tcW w:w="7121" w:type="dxa"/>
            <w:tcBorders>
              <w:top w:val="single" w:color="5B9BD5" w:sz="4" w:space="0"/>
              <w:right w:val="single" w:color="5B9BD5" w:sz="4" w:space="0"/>
            </w:tcBorders>
            <w:vAlign w:val="top"/>
          </w:tcPr>
          <w:p w14:paraId="773F5C9D">
            <w:pPr>
              <w:pStyle w:val="7"/>
              <w:spacing w:before="129" w:line="216" w:lineRule="auto"/>
              <w:ind w:left="76"/>
            </w:pPr>
            <w:r>
              <w:rPr>
                <w:spacing w:val="-21"/>
              </w:rPr>
              <w:t>现场要合理设置照明灯数量与功率，操作场所做到人走灯熄，杜</w:t>
            </w:r>
            <w:r>
              <w:rPr>
                <w:spacing w:val="-22"/>
              </w:rPr>
              <w:t>绝昼夜长</w:t>
            </w:r>
          </w:p>
          <w:p w14:paraId="654BDCF6">
            <w:pPr>
              <w:pStyle w:val="7"/>
              <w:spacing w:before="185" w:line="217" w:lineRule="auto"/>
              <w:ind w:left="92"/>
            </w:pPr>
            <w:r>
              <w:rPr>
                <w:spacing w:val="-22"/>
              </w:rPr>
              <w:t>明灯；施工现场及其办公区域现有使用的照明灯具如损坏更换，宜选用节</w:t>
            </w:r>
          </w:p>
          <w:p w14:paraId="1CBB433B">
            <w:pPr>
              <w:pStyle w:val="7"/>
              <w:spacing w:before="185" w:line="216" w:lineRule="auto"/>
              <w:ind w:left="91"/>
            </w:pPr>
            <w:r>
              <w:rPr>
                <w:spacing w:val="-22"/>
              </w:rPr>
              <w:t>能灯具，开关优先选用节能型开关；工作人员休息或下班后及时关闭照明</w:t>
            </w:r>
          </w:p>
          <w:p w14:paraId="0EB387CC">
            <w:pPr>
              <w:pStyle w:val="7"/>
              <w:spacing w:before="184" w:line="216" w:lineRule="auto"/>
              <w:ind w:left="76"/>
            </w:pPr>
            <w:r>
              <w:rPr>
                <w:spacing w:val="-21"/>
              </w:rPr>
              <w:t>灯、计算机、空调等用电设备；应经常检查现场用电设备、线</w:t>
            </w:r>
            <w:r>
              <w:rPr>
                <w:spacing w:val="-22"/>
              </w:rPr>
              <w:t>路并维护保</w:t>
            </w:r>
          </w:p>
          <w:p w14:paraId="224FDC34">
            <w:pPr>
              <w:pStyle w:val="7"/>
              <w:spacing w:before="187" w:line="217" w:lineRule="auto"/>
              <w:ind w:left="2475"/>
            </w:pPr>
            <w:r>
              <w:rPr>
                <w:spacing w:val="-22"/>
              </w:rPr>
              <w:t>养，优选节能型产品；</w:t>
            </w:r>
          </w:p>
          <w:p w14:paraId="235B4C9F">
            <w:pPr>
              <w:pStyle w:val="7"/>
              <w:spacing w:before="184" w:line="215" w:lineRule="auto"/>
              <w:ind w:left="62"/>
            </w:pPr>
            <w:r>
              <w:rPr>
                <w:spacing w:val="-24"/>
              </w:rPr>
              <w:t>6、在施工过程中对原材料的消耗都使用了施工顶额控制，在施工过程中加</w:t>
            </w:r>
          </w:p>
          <w:p w14:paraId="7E2F3D46">
            <w:pPr>
              <w:pStyle w:val="7"/>
              <w:spacing w:before="188" w:line="216" w:lineRule="auto"/>
              <w:ind w:left="85"/>
            </w:pPr>
            <w:r>
              <w:rPr>
                <w:spacing w:val="-21"/>
              </w:rPr>
              <w:t>强成本控制，严格控制资源浪费，对余料进行</w:t>
            </w:r>
            <w:r>
              <w:rPr>
                <w:spacing w:val="-22"/>
              </w:rPr>
              <w:t>重复利用通过各项控制措施</w:t>
            </w:r>
          </w:p>
          <w:p w14:paraId="29E09327">
            <w:pPr>
              <w:pStyle w:val="7"/>
              <w:spacing w:before="184" w:line="217" w:lineRule="auto"/>
              <w:ind w:left="1508"/>
            </w:pPr>
            <w:r>
              <w:rPr>
                <w:spacing w:val="-22"/>
              </w:rPr>
              <w:t>的实施，使得各项环境因素基本符合要求。</w:t>
            </w:r>
          </w:p>
        </w:tc>
      </w:tr>
      <w:tr w14:paraId="7D440B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347" w:hRule="atLeast"/>
        </w:trPr>
        <w:tc>
          <w:tcPr>
            <w:tcW w:w="1246" w:type="dxa"/>
            <w:tcBorders>
              <w:left w:val="single" w:color="1C456A" w:sz="4" w:space="0"/>
              <w:bottom w:val="single" w:color="1C456A" w:sz="4" w:space="0"/>
            </w:tcBorders>
            <w:vAlign w:val="top"/>
          </w:tcPr>
          <w:p w14:paraId="13C08C69">
            <w:pPr>
              <w:spacing w:line="243" w:lineRule="auto"/>
              <w:rPr>
                <w:rFonts w:ascii="Arial"/>
                <w:sz w:val="21"/>
              </w:rPr>
            </w:pPr>
            <w:r>
              <w:pict>
                <v:shape id="_x0000_s3404" o:spid="_x0000_s3404" style="position:absolute;left:0pt;margin-left:-0.2pt;margin-top:517.35pt;height:0.75pt;width:2.2pt;mso-position-horizontal-relative:page;mso-position-vertical-relative:page;z-index:252054528;mso-width-relative:page;mso-height-relative:page;" fillcolor="#5B9BD5" filled="t" stroked="f" coordsize="44,15" path="m0,14l43,14,43,0,0,0,0,14xe">
                  <v:path/>
                  <v:fill on="t" focussize="0,0"/>
                  <v:stroke on="f"/>
                  <v:imagedata o:title=""/>
                  <o:lock v:ext="edit"/>
                </v:shape>
              </w:pict>
            </w:r>
          </w:p>
          <w:p w14:paraId="1A48CCFA">
            <w:pPr>
              <w:spacing w:line="243" w:lineRule="auto"/>
              <w:rPr>
                <w:rFonts w:ascii="Arial"/>
                <w:sz w:val="21"/>
              </w:rPr>
            </w:pPr>
          </w:p>
          <w:p w14:paraId="4657D110">
            <w:pPr>
              <w:spacing w:line="243" w:lineRule="auto"/>
              <w:rPr>
                <w:rFonts w:ascii="Arial"/>
                <w:sz w:val="21"/>
              </w:rPr>
            </w:pPr>
          </w:p>
          <w:p w14:paraId="778EA383">
            <w:pPr>
              <w:spacing w:line="243" w:lineRule="auto"/>
              <w:rPr>
                <w:rFonts w:ascii="Arial"/>
                <w:sz w:val="21"/>
              </w:rPr>
            </w:pPr>
          </w:p>
          <w:p w14:paraId="786D0F8A">
            <w:pPr>
              <w:spacing w:line="243" w:lineRule="auto"/>
              <w:rPr>
                <w:rFonts w:ascii="Arial"/>
                <w:sz w:val="21"/>
              </w:rPr>
            </w:pPr>
          </w:p>
          <w:p w14:paraId="34E385C3">
            <w:pPr>
              <w:spacing w:line="243" w:lineRule="auto"/>
              <w:rPr>
                <w:rFonts w:ascii="Arial"/>
                <w:sz w:val="21"/>
              </w:rPr>
            </w:pPr>
          </w:p>
          <w:p w14:paraId="55C8DA9D">
            <w:pPr>
              <w:spacing w:line="243" w:lineRule="auto"/>
              <w:rPr>
                <w:rFonts w:ascii="Arial"/>
                <w:sz w:val="21"/>
              </w:rPr>
            </w:pPr>
          </w:p>
          <w:p w14:paraId="6C7F12A4">
            <w:pPr>
              <w:spacing w:line="243" w:lineRule="auto"/>
              <w:rPr>
                <w:rFonts w:ascii="Arial"/>
                <w:sz w:val="21"/>
              </w:rPr>
            </w:pPr>
          </w:p>
          <w:p w14:paraId="258F813D">
            <w:pPr>
              <w:spacing w:line="243" w:lineRule="auto"/>
              <w:rPr>
                <w:rFonts w:ascii="Arial"/>
                <w:sz w:val="21"/>
              </w:rPr>
            </w:pPr>
          </w:p>
          <w:p w14:paraId="01E09EA4">
            <w:pPr>
              <w:spacing w:line="243" w:lineRule="auto"/>
              <w:rPr>
                <w:rFonts w:ascii="Arial"/>
                <w:sz w:val="21"/>
              </w:rPr>
            </w:pPr>
          </w:p>
          <w:p w14:paraId="5CF4316E">
            <w:pPr>
              <w:spacing w:line="243" w:lineRule="auto"/>
              <w:rPr>
                <w:rFonts w:ascii="Arial"/>
                <w:sz w:val="21"/>
              </w:rPr>
            </w:pPr>
          </w:p>
          <w:p w14:paraId="415EF350">
            <w:pPr>
              <w:spacing w:line="243" w:lineRule="auto"/>
              <w:rPr>
                <w:rFonts w:ascii="Arial"/>
                <w:sz w:val="21"/>
              </w:rPr>
            </w:pPr>
          </w:p>
          <w:p w14:paraId="037ABF8B">
            <w:pPr>
              <w:spacing w:line="243" w:lineRule="auto"/>
              <w:rPr>
                <w:rFonts w:ascii="Arial"/>
                <w:sz w:val="21"/>
              </w:rPr>
            </w:pPr>
          </w:p>
          <w:p w14:paraId="4F8A7D71">
            <w:pPr>
              <w:spacing w:line="243" w:lineRule="auto"/>
              <w:rPr>
                <w:rFonts w:ascii="Arial"/>
                <w:sz w:val="21"/>
              </w:rPr>
            </w:pPr>
          </w:p>
          <w:p w14:paraId="5AD1AEFA">
            <w:pPr>
              <w:spacing w:line="243" w:lineRule="auto"/>
              <w:rPr>
                <w:rFonts w:ascii="Arial"/>
                <w:sz w:val="21"/>
              </w:rPr>
            </w:pPr>
          </w:p>
          <w:p w14:paraId="1E7F96CB">
            <w:pPr>
              <w:spacing w:line="243" w:lineRule="auto"/>
              <w:rPr>
                <w:rFonts w:ascii="Arial"/>
                <w:sz w:val="21"/>
              </w:rPr>
            </w:pPr>
          </w:p>
          <w:p w14:paraId="48463221">
            <w:pPr>
              <w:spacing w:line="243" w:lineRule="auto"/>
              <w:rPr>
                <w:rFonts w:ascii="Arial"/>
                <w:sz w:val="21"/>
              </w:rPr>
            </w:pPr>
          </w:p>
          <w:p w14:paraId="052C7AEB">
            <w:pPr>
              <w:spacing w:line="244" w:lineRule="auto"/>
              <w:rPr>
                <w:rFonts w:ascii="Arial"/>
                <w:sz w:val="21"/>
              </w:rPr>
            </w:pPr>
          </w:p>
          <w:p w14:paraId="1F5DE706">
            <w:pPr>
              <w:spacing w:line="244" w:lineRule="auto"/>
              <w:rPr>
                <w:rFonts w:ascii="Arial"/>
                <w:sz w:val="21"/>
              </w:rPr>
            </w:pPr>
          </w:p>
          <w:p w14:paraId="7D9F4C8D">
            <w:pPr>
              <w:pStyle w:val="7"/>
              <w:spacing w:before="78" w:line="362" w:lineRule="auto"/>
              <w:ind w:left="205" w:right="48" w:hanging="85"/>
            </w:pPr>
            <w:r>
              <w:rPr>
                <w:spacing w:val="-27"/>
              </w:rPr>
              <w:t>固体废弃物</w:t>
            </w:r>
            <w:r>
              <w:rPr>
                <w:spacing w:val="-15"/>
              </w:rPr>
              <w:t>处理措施</w:t>
            </w:r>
          </w:p>
        </w:tc>
        <w:tc>
          <w:tcPr>
            <w:tcW w:w="7121" w:type="dxa"/>
            <w:tcBorders>
              <w:bottom w:val="single" w:color="5B9BD5" w:sz="4" w:space="0"/>
              <w:right w:val="single" w:color="5B9BD5" w:sz="4" w:space="0"/>
            </w:tcBorders>
            <w:vAlign w:val="top"/>
          </w:tcPr>
          <w:p w14:paraId="04492DF9">
            <w:pPr>
              <w:pStyle w:val="7"/>
              <w:spacing w:before="96" w:line="218" w:lineRule="auto"/>
              <w:ind w:left="2867"/>
            </w:pPr>
            <w:r>
              <w:pict>
                <v:shape id="_x0000_s3405" o:spid="_x0000_s3405" style="position:absolute;left:0pt;margin-left:354.2pt;margin-top:517.35pt;height:0.75pt;width:2.2pt;mso-position-horizontal-relative:page;mso-position-vertical-relative:page;z-index:252053504;mso-width-relative:page;mso-height-relative:page;" fillcolor="#5B9BD5" filled="t" stroked="f" coordsize="44,15" path="m0,14l43,14,43,0,0,0,0,14xe">
                  <v:path/>
                  <v:fill on="t" focussize="0,0"/>
                  <v:stroke on="f"/>
                  <v:imagedata o:title=""/>
                  <o:lock v:ext="edit"/>
                </v:shape>
              </w:pict>
            </w:r>
            <w:r>
              <w:rPr>
                <w:spacing w:val="-18"/>
              </w:rPr>
              <w:t>1、目标和指标</w:t>
            </w:r>
          </w:p>
          <w:p w14:paraId="43A81B5C">
            <w:pPr>
              <w:pStyle w:val="7"/>
              <w:spacing w:before="183" w:line="359" w:lineRule="auto"/>
              <w:ind w:left="77" w:right="54"/>
              <w:jc w:val="both"/>
            </w:pPr>
            <w:r>
              <w:rPr>
                <w:spacing w:val="-22"/>
              </w:rPr>
              <w:t>按照公司环境与职业健康安全管理手册，要求制定管理措施，降低材料消耗，减少废弃物产生；对施工废弃物则进行分类管理，根据施工废弃物的</w:t>
            </w:r>
            <w:r>
              <w:rPr>
                <w:spacing w:val="-18"/>
              </w:rPr>
              <w:t>种类制定相应的控制措施。对施工过程对回收的废料按要求进行统计。</w:t>
            </w:r>
          </w:p>
          <w:p w14:paraId="557BEFF9">
            <w:pPr>
              <w:pStyle w:val="7"/>
              <w:spacing w:line="217" w:lineRule="auto"/>
              <w:ind w:left="2197"/>
            </w:pPr>
            <w:r>
              <w:rPr>
                <w:spacing w:val="-19"/>
              </w:rPr>
              <w:t>2、对固体废弃物的分类管理</w:t>
            </w:r>
          </w:p>
          <w:p w14:paraId="6FC8DA94">
            <w:pPr>
              <w:spacing w:before="146" w:line="2102" w:lineRule="exact"/>
              <w:ind w:firstLine="1422"/>
            </w:pPr>
            <w:r>
              <w:rPr>
                <w:position w:val="-42"/>
              </w:rPr>
              <w:drawing>
                <wp:inline distT="0" distB="0" distL="0" distR="0">
                  <wp:extent cx="2700655" cy="1334770"/>
                  <wp:effectExtent l="0" t="0" r="0" b="0"/>
                  <wp:docPr id="956" name="IM 956"/>
                  <wp:cNvGraphicFramePr/>
                  <a:graphic xmlns:a="http://schemas.openxmlformats.org/drawingml/2006/main">
                    <a:graphicData uri="http://schemas.openxmlformats.org/drawingml/2006/picture">
                      <pic:pic xmlns:pic="http://schemas.openxmlformats.org/drawingml/2006/picture">
                        <pic:nvPicPr>
                          <pic:cNvPr id="956" name="IM 956"/>
                          <pic:cNvPicPr/>
                        </pic:nvPicPr>
                        <pic:blipFill>
                          <a:blip r:embed="rId640"/>
                          <a:stretch>
                            <a:fillRect/>
                          </a:stretch>
                        </pic:blipFill>
                        <pic:spPr>
                          <a:xfrm>
                            <a:off x="0" y="0"/>
                            <a:ext cx="2700655" cy="1334770"/>
                          </a:xfrm>
                          <a:prstGeom prst="rect">
                            <a:avLst/>
                          </a:prstGeom>
                        </pic:spPr>
                      </pic:pic>
                    </a:graphicData>
                  </a:graphic>
                </wp:inline>
              </w:drawing>
            </w:r>
          </w:p>
          <w:p w14:paraId="45405091">
            <w:pPr>
              <w:pStyle w:val="7"/>
              <w:spacing w:before="194" w:line="215" w:lineRule="auto"/>
              <w:ind w:left="2199"/>
            </w:pPr>
            <w:r>
              <w:rPr>
                <w:spacing w:val="-19"/>
              </w:rPr>
              <w:t>3、固体废弃物的收集、存放</w:t>
            </w:r>
          </w:p>
          <w:p w14:paraId="41628D33">
            <w:pPr>
              <w:pStyle w:val="7"/>
              <w:spacing w:before="187" w:line="288" w:lineRule="auto"/>
              <w:ind w:left="1167" w:hanging="1089"/>
            </w:pPr>
            <w:r>
              <w:rPr>
                <w:spacing w:val="-26"/>
              </w:rPr>
              <w:t>1)堆放场地施工现场在施工作业前，分类设置固体废弃物堆放场地或容</w:t>
            </w:r>
            <w:r>
              <w:rPr>
                <w:spacing w:val="-27"/>
              </w:rPr>
              <w:t>器，</w:t>
            </w:r>
            <w:r>
              <w:rPr>
                <w:spacing w:val="-22"/>
              </w:rPr>
              <w:t>对有可能因雨水淋湿造成污染的，搭设防雨设施。</w:t>
            </w:r>
          </w:p>
          <w:p w14:paraId="4F1A5106">
            <w:pPr>
              <w:pStyle w:val="7"/>
              <w:spacing w:before="185" w:line="220" w:lineRule="auto"/>
              <w:ind w:left="3015"/>
            </w:pPr>
            <w:r>
              <w:rPr>
                <w:spacing w:val="-14"/>
              </w:rPr>
              <w:t>2)施工区域</w:t>
            </w:r>
          </w:p>
          <w:p w14:paraId="255A8A05">
            <w:pPr>
              <w:pStyle w:val="7"/>
              <w:spacing w:before="183" w:line="215" w:lineRule="auto"/>
              <w:ind w:left="78"/>
            </w:pPr>
            <w:r>
              <w:rPr>
                <w:spacing w:val="-21"/>
              </w:rPr>
              <w:t>根据现场场地布置情况，在垃圾、废物产生较多的位置，分别</w:t>
            </w:r>
            <w:r>
              <w:rPr>
                <w:spacing w:val="-22"/>
              </w:rPr>
              <w:t>设置垃圾堆</w:t>
            </w:r>
          </w:p>
          <w:p w14:paraId="627FB3E9">
            <w:pPr>
              <w:pStyle w:val="7"/>
              <w:spacing w:before="185" w:line="216" w:lineRule="auto"/>
              <w:ind w:left="78"/>
            </w:pPr>
            <w:r>
              <w:rPr>
                <w:spacing w:val="-21"/>
              </w:rPr>
              <w:t>放及废物回收点，并指派专人负责定期清理，同时保有毒有害</w:t>
            </w:r>
            <w:r>
              <w:rPr>
                <w:spacing w:val="-22"/>
              </w:rPr>
              <w:t>、可回收、</w:t>
            </w:r>
          </w:p>
          <w:p w14:paraId="7453C8CC">
            <w:pPr>
              <w:pStyle w:val="7"/>
              <w:spacing w:before="189" w:line="217" w:lineRule="auto"/>
              <w:ind w:left="2585"/>
            </w:pPr>
            <w:r>
              <w:rPr>
                <w:spacing w:val="-20"/>
              </w:rPr>
              <w:t>其他垃圾分类垃圾桶</w:t>
            </w:r>
          </w:p>
          <w:p w14:paraId="1DE68788">
            <w:pPr>
              <w:pStyle w:val="7"/>
              <w:spacing w:before="183" w:line="217" w:lineRule="auto"/>
              <w:ind w:left="2502"/>
            </w:pPr>
            <w:r>
              <w:rPr>
                <w:spacing w:val="-24"/>
              </w:rPr>
              <w:t>留相关的文件、照片。</w:t>
            </w:r>
          </w:p>
          <w:p w14:paraId="7F160BFE">
            <w:pPr>
              <w:pStyle w:val="7"/>
              <w:spacing w:before="185" w:line="217" w:lineRule="auto"/>
              <w:ind w:left="2520"/>
            </w:pPr>
            <w:r>
              <w:rPr>
                <w:spacing w:val="-18"/>
              </w:rPr>
              <w:t>4、固体废弃物的处理</w:t>
            </w:r>
          </w:p>
          <w:p w14:paraId="0F593997">
            <w:pPr>
              <w:pStyle w:val="7"/>
              <w:spacing w:before="185" w:line="288" w:lineRule="auto"/>
              <w:ind w:left="74" w:right="54" w:firstLine="12"/>
            </w:pPr>
            <w:r>
              <w:rPr>
                <w:spacing w:val="-22"/>
              </w:rPr>
              <w:t>1)固体废弃物的处理由安全管理部根据废弃物存放量及存放场所的情况安</w:t>
            </w:r>
            <w:r>
              <w:rPr>
                <w:spacing w:val="-23"/>
              </w:rPr>
              <w:t>排处理或每周处理一次。固体废弃物根据分类进行处理，不得混堆处理。</w:t>
            </w:r>
          </w:p>
          <w:p w14:paraId="02B7CFF9">
            <w:pPr>
              <w:pStyle w:val="7"/>
              <w:spacing w:before="183" w:line="217" w:lineRule="auto"/>
              <w:ind w:left="288"/>
            </w:pPr>
            <w:r>
              <w:rPr>
                <w:spacing w:val="-21"/>
              </w:rPr>
              <w:t>2)由项目经理审核废弃物的处理报告，由物资部、安全部共同处理。</w:t>
            </w:r>
          </w:p>
        </w:tc>
      </w:tr>
    </w:tbl>
    <w:p w14:paraId="180D1D16">
      <w:pPr>
        <w:rPr>
          <w:rFonts w:ascii="Arial"/>
          <w:sz w:val="21"/>
        </w:rPr>
      </w:pPr>
    </w:p>
    <w:p w14:paraId="45964440">
      <w:pPr>
        <w:rPr>
          <w:rFonts w:ascii="Arial" w:hAnsi="Arial" w:eastAsia="Arial" w:cs="Arial"/>
          <w:sz w:val="21"/>
          <w:szCs w:val="21"/>
        </w:rPr>
        <w:sectPr>
          <w:footerReference r:id="rId182" w:type="default"/>
          <w:pgSz w:w="11907" w:h="16839"/>
          <w:pgMar w:top="954" w:right="4" w:bottom="1038" w:left="0" w:header="499" w:footer="357" w:gutter="0"/>
          <w:pgBorders>
            <w:top w:val="none" w:sz="0" w:space="0"/>
            <w:left w:val="none" w:sz="0" w:space="0"/>
            <w:bottom w:val="none" w:sz="0" w:space="0"/>
            <w:right w:val="none" w:sz="0" w:space="0"/>
          </w:pgBorders>
          <w:cols w:space="720" w:num="1"/>
        </w:sectPr>
      </w:pPr>
    </w:p>
    <w:p w14:paraId="13B2FC54">
      <w:pPr>
        <w:spacing w:line="214" w:lineRule="exact"/>
      </w:pPr>
    </w:p>
    <w:tbl>
      <w:tblPr>
        <w:tblStyle w:val="6"/>
        <w:tblW w:w="8367" w:type="dxa"/>
        <w:tblInd w:w="1769"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46"/>
        <w:gridCol w:w="7121"/>
      </w:tblGrid>
      <w:tr w14:paraId="7D0BF4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19" w:hRule="atLeast"/>
        </w:trPr>
        <w:tc>
          <w:tcPr>
            <w:tcW w:w="1246" w:type="dxa"/>
            <w:tcBorders>
              <w:top w:val="single" w:color="000000" w:sz="4" w:space="0"/>
              <w:left w:val="single" w:color="000000" w:sz="4" w:space="0"/>
            </w:tcBorders>
            <w:vAlign w:val="top"/>
          </w:tcPr>
          <w:p w14:paraId="47F92847">
            <w:pPr>
              <w:spacing w:line="279" w:lineRule="auto"/>
              <w:rPr>
                <w:rFonts w:ascii="Arial"/>
                <w:sz w:val="21"/>
              </w:rPr>
            </w:pPr>
          </w:p>
          <w:p w14:paraId="2764F682">
            <w:pPr>
              <w:spacing w:line="279" w:lineRule="auto"/>
              <w:rPr>
                <w:rFonts w:ascii="Arial"/>
                <w:sz w:val="21"/>
              </w:rPr>
            </w:pPr>
          </w:p>
          <w:p w14:paraId="475FD390">
            <w:pPr>
              <w:spacing w:line="279" w:lineRule="auto"/>
              <w:rPr>
                <w:rFonts w:ascii="Arial"/>
                <w:sz w:val="21"/>
              </w:rPr>
            </w:pPr>
          </w:p>
          <w:p w14:paraId="7426EBFA">
            <w:pPr>
              <w:spacing w:line="279" w:lineRule="auto"/>
              <w:rPr>
                <w:rFonts w:ascii="Arial"/>
                <w:sz w:val="21"/>
              </w:rPr>
            </w:pPr>
          </w:p>
          <w:p w14:paraId="69AB70D1">
            <w:pPr>
              <w:spacing w:line="279" w:lineRule="auto"/>
              <w:rPr>
                <w:rFonts w:ascii="Arial"/>
                <w:sz w:val="21"/>
              </w:rPr>
            </w:pPr>
          </w:p>
          <w:p w14:paraId="3F4EE065">
            <w:pPr>
              <w:spacing w:line="280" w:lineRule="auto"/>
              <w:rPr>
                <w:rFonts w:ascii="Arial"/>
                <w:sz w:val="21"/>
              </w:rPr>
            </w:pPr>
          </w:p>
          <w:p w14:paraId="07122C27">
            <w:pPr>
              <w:pStyle w:val="7"/>
              <w:spacing w:before="78" w:line="217" w:lineRule="auto"/>
              <w:ind w:left="98"/>
            </w:pPr>
            <w:r>
              <w:rPr>
                <w:spacing w:val="-18"/>
              </w:rPr>
              <w:t>人群健康保</w:t>
            </w:r>
          </w:p>
          <w:p w14:paraId="52EDCF5D">
            <w:pPr>
              <w:pStyle w:val="7"/>
              <w:spacing w:before="183" w:line="362" w:lineRule="auto"/>
              <w:ind w:left="313" w:right="48" w:hanging="220"/>
            </w:pPr>
            <w:r>
              <w:rPr>
                <w:spacing w:val="-21"/>
              </w:rPr>
              <w:t>护和卫生防</w:t>
            </w:r>
            <w:r>
              <w:rPr>
                <w:spacing w:val="-14"/>
              </w:rPr>
              <w:t>疫措施</w:t>
            </w:r>
          </w:p>
        </w:tc>
        <w:tc>
          <w:tcPr>
            <w:tcW w:w="7121" w:type="dxa"/>
            <w:tcBorders>
              <w:top w:val="single" w:color="5B9BD5" w:sz="4" w:space="0"/>
              <w:right w:val="single" w:color="5B9BD5" w:sz="4" w:space="0"/>
            </w:tcBorders>
            <w:vAlign w:val="top"/>
          </w:tcPr>
          <w:p w14:paraId="45F2E8EF">
            <w:pPr>
              <w:pStyle w:val="7"/>
              <w:spacing w:before="129" w:line="216" w:lineRule="auto"/>
              <w:ind w:left="904"/>
            </w:pPr>
            <w:r>
              <w:rPr>
                <w:spacing w:val="-22"/>
              </w:rPr>
              <w:t>1、施工现场办公区卫生工作应由专人负责，明确责任。</w:t>
            </w:r>
          </w:p>
          <w:p w14:paraId="39B4E251">
            <w:pPr>
              <w:pStyle w:val="7"/>
              <w:spacing w:before="185" w:line="288" w:lineRule="auto"/>
              <w:ind w:left="2689" w:hanging="2626"/>
            </w:pPr>
            <w:r>
              <w:rPr>
                <w:spacing w:val="-29"/>
              </w:rPr>
              <w:t>2、宿舍内夏季应采取消署和灭蚊蝇措施，冬季应有采暖和防煤气</w:t>
            </w:r>
            <w:r>
              <w:rPr>
                <w:spacing w:val="-30"/>
              </w:rPr>
              <w:t>中毒措施，</w:t>
            </w:r>
            <w:r>
              <w:rPr>
                <w:spacing w:val="-23"/>
              </w:rPr>
              <w:t>并建立验收制度。</w:t>
            </w:r>
          </w:p>
          <w:p w14:paraId="7B6C233B">
            <w:pPr>
              <w:pStyle w:val="7"/>
              <w:spacing w:before="185" w:line="218" w:lineRule="auto"/>
              <w:ind w:left="235"/>
            </w:pPr>
            <w:r>
              <w:rPr>
                <w:spacing w:val="-22"/>
              </w:rPr>
              <w:t>3、施工现场应设水冲式厕所，厕所墙壁屋顶严密，严禁随地大小便。</w:t>
            </w:r>
          </w:p>
          <w:p w14:paraId="2C57E5BE">
            <w:pPr>
              <w:pStyle w:val="7"/>
              <w:spacing w:before="183" w:line="288" w:lineRule="auto"/>
              <w:ind w:left="2909" w:right="47" w:hanging="2850"/>
            </w:pPr>
            <w:r>
              <w:rPr>
                <w:spacing w:val="-24"/>
              </w:rPr>
              <w:t>4、施工现场应保证供应卫生饮水，有固定的盛水容器和有专人管理</w:t>
            </w:r>
            <w:r>
              <w:rPr>
                <w:spacing w:val="-25"/>
              </w:rPr>
              <w:t>，并定</w:t>
            </w:r>
            <w:r>
              <w:rPr>
                <w:spacing w:val="-18"/>
              </w:rPr>
              <w:t>期清洗消毒。</w:t>
            </w:r>
          </w:p>
          <w:p w14:paraId="13AB1879">
            <w:pPr>
              <w:pStyle w:val="7"/>
              <w:spacing w:before="185" w:line="287" w:lineRule="auto"/>
              <w:ind w:left="1274" w:right="47" w:hanging="1209"/>
            </w:pPr>
            <w:r>
              <w:rPr>
                <w:spacing w:val="-24"/>
              </w:rPr>
              <w:t>5、施工现场应制定卫生急救措施，配备保健药箱、一般</w:t>
            </w:r>
            <w:r>
              <w:rPr>
                <w:spacing w:val="-25"/>
              </w:rPr>
              <w:t>常用药品及急救器</w:t>
            </w:r>
            <w:r>
              <w:rPr>
                <w:spacing w:val="-21"/>
              </w:rPr>
              <w:t>材。为有毒有害作业人员配备有效的防护甩品。</w:t>
            </w:r>
          </w:p>
          <w:p w14:paraId="46230E23">
            <w:pPr>
              <w:pStyle w:val="7"/>
              <w:spacing w:before="186" w:line="289" w:lineRule="auto"/>
              <w:ind w:left="294" w:right="45" w:hanging="232"/>
            </w:pPr>
            <w:r>
              <w:rPr>
                <w:spacing w:val="-24"/>
              </w:rPr>
              <w:t>6、施工现场发生法定传染病和食物中毒、急性职业中毒时立即向</w:t>
            </w:r>
            <w:r>
              <w:rPr>
                <w:spacing w:val="-25"/>
              </w:rPr>
              <w:t>上级主管</w:t>
            </w:r>
            <w:r>
              <w:rPr>
                <w:spacing w:val="-21"/>
              </w:rPr>
              <w:t>部门及有关部门报告，同时要积极配合卫生防疫部门进行</w:t>
            </w:r>
            <w:r>
              <w:rPr>
                <w:spacing w:val="-22"/>
              </w:rPr>
              <w:t>调查处理。</w:t>
            </w:r>
          </w:p>
        </w:tc>
      </w:tr>
      <w:tr w14:paraId="505C36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88" w:hRule="atLeast"/>
        </w:trPr>
        <w:tc>
          <w:tcPr>
            <w:tcW w:w="1246" w:type="dxa"/>
            <w:tcBorders>
              <w:left w:val="single" w:color="1C456A" w:sz="4" w:space="0"/>
              <w:bottom w:val="single" w:color="1C456A" w:sz="4" w:space="0"/>
            </w:tcBorders>
            <w:vAlign w:val="top"/>
          </w:tcPr>
          <w:p w14:paraId="29AE3024">
            <w:pPr>
              <w:spacing w:line="295" w:lineRule="auto"/>
              <w:rPr>
                <w:rFonts w:ascii="Arial"/>
                <w:sz w:val="21"/>
              </w:rPr>
            </w:pPr>
            <w:r>
              <w:pict>
                <v:shape id="_x0000_s3406" o:spid="_x0000_s3406" style="position:absolute;left:0pt;margin-left:-0.2pt;margin-top:194.45pt;height:0.75pt;width:2.2pt;mso-position-horizontal-relative:page;mso-position-vertical-relative:page;z-index:252056576;mso-width-relative:page;mso-height-relative:page;" fillcolor="#5B9BD5" filled="t" stroked="f" coordsize="44,15" path="m0,14l43,14,43,0,0,0,0,14xe">
                  <v:path/>
                  <v:fill on="t" focussize="0,0"/>
                  <v:stroke on="f"/>
                  <v:imagedata o:title=""/>
                  <o:lock v:ext="edit"/>
                </v:shape>
              </w:pict>
            </w:r>
          </w:p>
          <w:p w14:paraId="2EB7FE53">
            <w:pPr>
              <w:spacing w:line="295" w:lineRule="auto"/>
              <w:rPr>
                <w:rFonts w:ascii="Arial"/>
                <w:sz w:val="21"/>
              </w:rPr>
            </w:pPr>
          </w:p>
          <w:p w14:paraId="6517861E">
            <w:pPr>
              <w:spacing w:line="295" w:lineRule="auto"/>
              <w:rPr>
                <w:rFonts w:ascii="Arial"/>
                <w:sz w:val="21"/>
              </w:rPr>
            </w:pPr>
          </w:p>
          <w:p w14:paraId="49A694B1">
            <w:pPr>
              <w:spacing w:line="295" w:lineRule="auto"/>
              <w:rPr>
                <w:rFonts w:ascii="Arial"/>
                <w:sz w:val="21"/>
              </w:rPr>
            </w:pPr>
          </w:p>
          <w:p w14:paraId="6683A8E8">
            <w:pPr>
              <w:pStyle w:val="7"/>
              <w:spacing w:before="78" w:line="218" w:lineRule="auto"/>
              <w:ind w:left="110"/>
            </w:pPr>
            <w:r>
              <w:rPr>
                <w:spacing w:val="-20"/>
              </w:rPr>
              <w:t>防止误用有</w:t>
            </w:r>
          </w:p>
          <w:p w14:paraId="0DB58565">
            <w:pPr>
              <w:pStyle w:val="7"/>
              <w:spacing w:before="184" w:line="360" w:lineRule="auto"/>
              <w:ind w:left="311" w:right="48" w:hanging="217"/>
            </w:pPr>
            <w:r>
              <w:rPr>
                <w:spacing w:val="-21"/>
              </w:rPr>
              <w:t>害材料的保</w:t>
            </w:r>
            <w:r>
              <w:rPr>
                <w:spacing w:val="-13"/>
              </w:rPr>
              <w:t>证措施</w:t>
            </w:r>
          </w:p>
        </w:tc>
        <w:tc>
          <w:tcPr>
            <w:tcW w:w="7121" w:type="dxa"/>
            <w:tcBorders>
              <w:bottom w:val="single" w:color="5B9BD5" w:sz="4" w:space="0"/>
              <w:right w:val="single" w:color="5B9BD5" w:sz="4" w:space="0"/>
            </w:tcBorders>
            <w:vAlign w:val="top"/>
          </w:tcPr>
          <w:p w14:paraId="30E2F10F">
            <w:pPr>
              <w:pStyle w:val="7"/>
              <w:spacing w:before="99" w:line="287" w:lineRule="auto"/>
              <w:ind w:left="1274" w:right="45" w:hanging="1196"/>
            </w:pPr>
            <w:r>
              <w:pict>
                <v:shape id="_x0000_s3407" o:spid="_x0000_s3407" style="position:absolute;left:0pt;margin-left:354.2pt;margin-top:194.45pt;height:0.75pt;width:2.2pt;mso-position-horizontal-relative:page;mso-position-vertical-relative:page;z-index:252055552;mso-width-relative:page;mso-height-relative:page;" fillcolor="#5B9BD5" filled="t" stroked="f" coordsize="44,15" path="m0,14l43,14,43,0,0,0,0,14xe">
                  <v:path/>
                  <v:fill on="t" focussize="0,0"/>
                  <v:stroke on="f"/>
                  <v:imagedata o:title=""/>
                  <o:lock v:ext="edit"/>
                </v:shape>
              </w:pict>
            </w:r>
            <w:r>
              <w:rPr>
                <w:spacing w:val="-25"/>
              </w:rPr>
              <w:t>1、项目部根据施工工艺，列出各阶段所用建筑材料品种表格，针对各种材</w:t>
            </w:r>
            <w:r>
              <w:rPr>
                <w:spacing w:val="-21"/>
              </w:rPr>
              <w:t>料逐一进行安全性能考察，避免误用有害材料。</w:t>
            </w:r>
          </w:p>
          <w:p w14:paraId="1AD61032">
            <w:pPr>
              <w:pStyle w:val="7"/>
              <w:spacing w:before="187" w:line="216" w:lineRule="auto"/>
              <w:ind w:left="1326"/>
            </w:pPr>
            <w:r>
              <w:rPr>
                <w:spacing w:val="-20"/>
              </w:rPr>
              <w:t>2、对所有进场材料进行严格的质量验收程序。</w:t>
            </w:r>
          </w:p>
          <w:p w14:paraId="7FE999CD">
            <w:pPr>
              <w:pStyle w:val="7"/>
              <w:spacing w:before="184" w:line="216" w:lineRule="auto"/>
              <w:ind w:left="127"/>
            </w:pPr>
            <w:r>
              <w:rPr>
                <w:spacing w:val="-21"/>
              </w:rPr>
              <w:t>3、对所有材料供应商进行严格考察、考核，从源头保障进场材料质量。</w:t>
            </w:r>
          </w:p>
          <w:p w14:paraId="275AD200">
            <w:pPr>
              <w:pStyle w:val="7"/>
              <w:spacing w:before="187" w:line="216" w:lineRule="auto"/>
              <w:ind w:left="1756"/>
            </w:pPr>
            <w:r>
              <w:rPr>
                <w:spacing w:val="-20"/>
              </w:rPr>
              <w:t>4、购买材料时应认准大厂品牌材料。</w:t>
            </w:r>
          </w:p>
          <w:p w14:paraId="4807ACD2">
            <w:pPr>
              <w:pStyle w:val="7"/>
              <w:spacing w:before="185" w:line="218" w:lineRule="auto"/>
              <w:ind w:left="2525"/>
            </w:pPr>
            <w:r>
              <w:rPr>
                <w:spacing w:val="-18"/>
              </w:rPr>
              <w:t>5、查看产品合格证。</w:t>
            </w:r>
          </w:p>
          <w:p w14:paraId="021AE37D">
            <w:pPr>
              <w:pStyle w:val="7"/>
              <w:spacing w:before="184" w:line="217" w:lineRule="auto"/>
              <w:ind w:left="1325"/>
            </w:pPr>
            <w:r>
              <w:rPr>
                <w:spacing w:val="-20"/>
              </w:rPr>
              <w:t>6、了解产品组成部分看是否有有害物质成分。</w:t>
            </w:r>
          </w:p>
          <w:p w14:paraId="578BDF7B">
            <w:pPr>
              <w:pStyle w:val="7"/>
              <w:spacing w:before="184" w:line="215" w:lineRule="auto"/>
              <w:jc w:val="right"/>
            </w:pPr>
            <w:r>
              <w:rPr>
                <w:spacing w:val="-23"/>
              </w:rPr>
              <w:t>7、如果误购买了有害材料，在施工时应立即退还厂家，不得用于工程中。</w:t>
            </w:r>
          </w:p>
        </w:tc>
      </w:tr>
    </w:tbl>
    <w:p w14:paraId="0C1FD23D">
      <w:pPr>
        <w:pStyle w:val="2"/>
        <w:spacing w:before="79" w:line="219" w:lineRule="auto"/>
        <w:ind w:left="1985"/>
        <w:outlineLvl w:val="2"/>
        <w:rPr>
          <w:sz w:val="28"/>
          <w:szCs w:val="28"/>
        </w:rPr>
      </w:pPr>
      <w:bookmarkStart w:id="119" w:name="bookmark114"/>
      <w:bookmarkEnd w:id="119"/>
      <w:r>
        <w:rPr>
          <w:b/>
          <w:bCs/>
          <w:spacing w:val="-22"/>
          <w:sz w:val="28"/>
          <w:szCs w:val="28"/>
        </w:rPr>
        <w:t>三、环境监测</w:t>
      </w:r>
    </w:p>
    <w:p w14:paraId="6F117EB4">
      <w:pPr>
        <w:pStyle w:val="2"/>
        <w:spacing w:before="104" w:line="218" w:lineRule="auto"/>
        <w:ind w:left="1903"/>
        <w:rPr>
          <w:sz w:val="24"/>
          <w:szCs w:val="24"/>
        </w:rPr>
      </w:pPr>
      <w:r>
        <w:rPr>
          <w:spacing w:val="-19"/>
          <w:sz w:val="24"/>
          <w:szCs w:val="24"/>
        </w:rPr>
        <w:t>1、环境管理监测</w:t>
      </w:r>
    </w:p>
    <w:p w14:paraId="375D11CB">
      <w:pPr>
        <w:pStyle w:val="2"/>
        <w:spacing w:before="115" w:line="308" w:lineRule="auto"/>
        <w:ind w:left="1459" w:right="1342" w:firstLine="433"/>
        <w:rPr>
          <w:sz w:val="24"/>
          <w:szCs w:val="24"/>
        </w:rPr>
      </w:pPr>
      <w:r>
        <w:rPr>
          <w:spacing w:val="-23"/>
          <w:sz w:val="24"/>
          <w:szCs w:val="24"/>
        </w:rPr>
        <w:t>施工现场的环境监测由安全总监组织实施。指定专职安全员</w:t>
      </w:r>
      <w:r>
        <w:rPr>
          <w:spacing w:val="-24"/>
          <w:sz w:val="24"/>
          <w:szCs w:val="24"/>
        </w:rPr>
        <w:t>负责。监测的对象为场界噪音、</w:t>
      </w:r>
      <w:r>
        <w:rPr>
          <w:spacing w:val="-20"/>
          <w:sz w:val="24"/>
          <w:szCs w:val="24"/>
        </w:rPr>
        <w:t>废水排放、粉尘及有害气体排放等；主体结构施工时每月委托环保局进行一次监</w:t>
      </w:r>
      <w:r>
        <w:rPr>
          <w:spacing w:val="-21"/>
          <w:sz w:val="24"/>
          <w:szCs w:val="24"/>
        </w:rPr>
        <w:t>测。</w:t>
      </w:r>
    </w:p>
    <w:p w14:paraId="5CA151BF">
      <w:pPr>
        <w:pStyle w:val="2"/>
        <w:spacing w:line="218" w:lineRule="auto"/>
        <w:ind w:left="1972"/>
        <w:rPr>
          <w:sz w:val="24"/>
          <w:szCs w:val="24"/>
        </w:rPr>
      </w:pPr>
      <w:r>
        <w:rPr>
          <w:spacing w:val="-16"/>
          <w:sz w:val="24"/>
          <w:szCs w:val="24"/>
        </w:rPr>
        <w:t>2、环境监测结果反馈</w:t>
      </w:r>
    </w:p>
    <w:p w14:paraId="47B06014">
      <w:pPr>
        <w:pStyle w:val="2"/>
        <w:spacing w:before="115" w:line="216" w:lineRule="auto"/>
        <w:ind w:left="2067"/>
        <w:rPr>
          <w:sz w:val="24"/>
          <w:szCs w:val="24"/>
        </w:rPr>
      </w:pPr>
      <w:r>
        <w:rPr>
          <w:spacing w:val="-21"/>
          <w:sz w:val="24"/>
          <w:szCs w:val="24"/>
        </w:rPr>
        <w:t>(1)每月进行一次运行控制的检查和监督，作好记录。</w:t>
      </w:r>
    </w:p>
    <w:p w14:paraId="3CEFDE6D">
      <w:pPr>
        <w:pStyle w:val="2"/>
        <w:spacing w:before="120" w:line="285" w:lineRule="auto"/>
        <w:ind w:left="1459" w:right="1414" w:firstLine="543"/>
        <w:rPr>
          <w:sz w:val="24"/>
          <w:szCs w:val="24"/>
        </w:rPr>
      </w:pPr>
      <w:r>
        <w:rPr>
          <w:spacing w:val="11"/>
          <w:sz w:val="24"/>
          <w:szCs w:val="24"/>
        </w:rPr>
        <w:t>(2)施工现场不符合的控制：环境监测、监控和监督过程中发现不符合时，应</w:t>
      </w:r>
      <w:r>
        <w:rPr>
          <w:spacing w:val="-20"/>
          <w:sz w:val="24"/>
          <w:szCs w:val="24"/>
        </w:rPr>
        <w:t>分析确定引起不符合的原因。能及时整改的应监督整改；不能及时整改的，下达书面整改通知单，并对整改情况进行验证。所采取的措施应与该问题的严重性和伴随的环境影响相适应。当</w:t>
      </w:r>
      <w:r>
        <w:rPr>
          <w:spacing w:val="-11"/>
          <w:sz w:val="24"/>
          <w:szCs w:val="24"/>
        </w:rPr>
        <w:t>不符合较严重时，技术负责人编制处置方案。经项目经理审批后组织实施。</w:t>
      </w:r>
    </w:p>
    <w:p w14:paraId="1F45B89B">
      <w:pPr>
        <w:pStyle w:val="2"/>
        <w:spacing w:before="119" w:line="263" w:lineRule="auto"/>
        <w:ind w:left="1470" w:right="1452" w:firstLine="555"/>
        <w:rPr>
          <w:sz w:val="24"/>
          <w:szCs w:val="24"/>
        </w:rPr>
      </w:pPr>
      <w:r>
        <w:rPr>
          <w:spacing w:val="-15"/>
          <w:sz w:val="24"/>
          <w:szCs w:val="24"/>
        </w:rPr>
        <w:t>(3)上级和地方检查发现的不符合。按上级和地方要求进行整改，并保存有关整改活动</w:t>
      </w:r>
      <w:r>
        <w:rPr>
          <w:sz w:val="24"/>
          <w:szCs w:val="24"/>
        </w:rPr>
        <w:t>的记录。</w:t>
      </w:r>
    </w:p>
    <w:p w14:paraId="756520DF">
      <w:pPr>
        <w:pStyle w:val="2"/>
        <w:spacing w:before="115" w:line="264" w:lineRule="auto"/>
        <w:ind w:left="1456" w:right="1414" w:firstLine="570"/>
        <w:rPr>
          <w:sz w:val="24"/>
          <w:szCs w:val="24"/>
        </w:rPr>
      </w:pPr>
      <w:r>
        <w:rPr>
          <w:spacing w:val="-19"/>
          <w:sz w:val="24"/>
          <w:szCs w:val="24"/>
        </w:rPr>
        <w:t>(4)建立环境投诉台帐，收到相关信息后，</w:t>
      </w:r>
      <w:r>
        <w:rPr>
          <w:spacing w:val="-20"/>
          <w:sz w:val="24"/>
          <w:szCs w:val="24"/>
        </w:rPr>
        <w:t>在台帐中予以记录，井根据投诉意见确定处理措施，由安全总监负责处理。</w:t>
      </w:r>
    </w:p>
    <w:p w14:paraId="00986BD9">
      <w:pPr>
        <w:spacing w:line="264" w:lineRule="auto"/>
        <w:rPr>
          <w:sz w:val="24"/>
          <w:szCs w:val="24"/>
        </w:rPr>
        <w:sectPr>
          <w:footerReference r:id="rId183" w:type="default"/>
          <w:pgSz w:w="11907" w:h="16839"/>
          <w:pgMar w:top="954" w:right="4" w:bottom="1038" w:left="0" w:header="499" w:footer="357" w:gutter="0"/>
          <w:pgBorders>
            <w:top w:val="none" w:sz="0" w:space="0"/>
            <w:left w:val="none" w:sz="0" w:space="0"/>
            <w:bottom w:val="none" w:sz="0" w:space="0"/>
            <w:right w:val="none" w:sz="0" w:space="0"/>
          </w:pgBorders>
          <w:cols w:space="720" w:num="1"/>
        </w:sectPr>
      </w:pPr>
    </w:p>
    <w:p w14:paraId="6DFE43E5">
      <w:pPr>
        <w:pStyle w:val="2"/>
        <w:spacing w:before="295" w:line="217" w:lineRule="auto"/>
        <w:ind w:left="2010"/>
        <w:outlineLvl w:val="2"/>
        <w:rPr>
          <w:sz w:val="28"/>
          <w:szCs w:val="28"/>
        </w:rPr>
      </w:pPr>
      <w:bookmarkStart w:id="120" w:name="bookmark115"/>
      <w:bookmarkEnd w:id="120"/>
      <w:r>
        <w:rPr>
          <w:b/>
          <w:bCs/>
          <w:spacing w:val="-25"/>
          <w:sz w:val="28"/>
          <w:szCs w:val="28"/>
        </w:rPr>
        <w:t>四、环境保护应急预案</w:t>
      </w:r>
    </w:p>
    <w:p w14:paraId="53EF8C3B">
      <w:pPr>
        <w:pStyle w:val="2"/>
        <w:spacing w:before="105" w:line="308" w:lineRule="auto"/>
        <w:ind w:left="1461" w:right="1411" w:firstLine="554"/>
        <w:jc w:val="both"/>
        <w:rPr>
          <w:sz w:val="24"/>
          <w:szCs w:val="24"/>
        </w:rPr>
      </w:pPr>
      <w:r>
        <w:rPr>
          <w:spacing w:val="18"/>
          <w:sz w:val="24"/>
          <w:szCs w:val="24"/>
        </w:rPr>
        <w:t>环境保护直接关系到我单位和城市面貌，在施工过程中，我们将全面运行</w:t>
      </w:r>
      <w:r>
        <w:rPr>
          <w:spacing w:val="-20"/>
          <w:sz w:val="24"/>
          <w:szCs w:val="24"/>
        </w:rPr>
        <w:t>ISO14001环境保护体系标准，系统的采用和</w:t>
      </w:r>
      <w:r>
        <w:rPr>
          <w:spacing w:val="-21"/>
          <w:sz w:val="24"/>
          <w:szCs w:val="24"/>
        </w:rPr>
        <w:t>落实一系列环境保护管理手段，以期得到最优化的</w:t>
      </w:r>
      <w:r>
        <w:rPr>
          <w:spacing w:val="-22"/>
          <w:sz w:val="24"/>
          <w:szCs w:val="24"/>
        </w:rPr>
        <w:t>结果。</w:t>
      </w:r>
    </w:p>
    <w:p w14:paraId="4DE070D2">
      <w:pPr>
        <w:pStyle w:val="2"/>
        <w:spacing w:before="2" w:line="307" w:lineRule="auto"/>
        <w:ind w:left="1456" w:right="1409" w:firstLine="438"/>
        <w:jc w:val="both"/>
        <w:rPr>
          <w:sz w:val="24"/>
          <w:szCs w:val="24"/>
        </w:rPr>
      </w:pPr>
      <w:r>
        <w:rPr>
          <w:spacing w:val="-20"/>
          <w:sz w:val="24"/>
          <w:szCs w:val="24"/>
        </w:rPr>
        <w:t>在施工的全过程中，严格遵守国家和政府部门的环境管理法律、法规和有关规定，根据客观存在的粉尘、污水、噪声和固体废物等环境因素，实施全过程污染预防控制，尽可能减少或防止不利的环境影响。</w:t>
      </w:r>
    </w:p>
    <w:p w14:paraId="7606355B">
      <w:pPr>
        <w:pStyle w:val="2"/>
        <w:spacing w:line="216" w:lineRule="auto"/>
        <w:ind w:left="1987"/>
        <w:rPr>
          <w:sz w:val="24"/>
          <w:szCs w:val="24"/>
        </w:rPr>
      </w:pPr>
      <w:r>
        <w:rPr>
          <w:spacing w:val="-18"/>
          <w:sz w:val="24"/>
          <w:szCs w:val="24"/>
        </w:rPr>
        <w:t>1、环境保护应急组织架构</w:t>
      </w:r>
    </w:p>
    <w:p w14:paraId="7B37D42B">
      <w:pPr>
        <w:pStyle w:val="2"/>
        <w:spacing w:before="116" w:line="308" w:lineRule="auto"/>
        <w:ind w:left="1457" w:right="1452" w:firstLine="556"/>
        <w:rPr>
          <w:sz w:val="24"/>
          <w:szCs w:val="24"/>
        </w:rPr>
      </w:pPr>
      <w:r>
        <w:rPr>
          <w:spacing w:val="20"/>
          <w:sz w:val="24"/>
          <w:szCs w:val="24"/>
        </w:rPr>
        <w:t>项目部建立以项目经理为组长、生产经理为副组长的环境保护应急处理小</w:t>
      </w:r>
      <w:r>
        <w:rPr>
          <w:spacing w:val="-16"/>
          <w:sz w:val="24"/>
          <w:szCs w:val="24"/>
        </w:rPr>
        <w:t>组。组员配备两名安全员、一名土建工程师和</w:t>
      </w:r>
      <w:r>
        <w:rPr>
          <w:spacing w:val="-17"/>
          <w:sz w:val="24"/>
          <w:szCs w:val="24"/>
        </w:rPr>
        <w:t>一名安装工程师及办公室人员，并分别对接紧</w:t>
      </w:r>
      <w:r>
        <w:rPr>
          <w:spacing w:val="10"/>
          <w:sz w:val="24"/>
          <w:szCs w:val="24"/>
        </w:rPr>
        <w:t>急事件行动组织人员。</w:t>
      </w:r>
    </w:p>
    <w:p w14:paraId="5ABF16FB">
      <w:pPr>
        <w:pStyle w:val="2"/>
        <w:spacing w:before="1" w:line="308" w:lineRule="auto"/>
        <w:ind w:left="1475" w:right="1424" w:firstLine="419"/>
        <w:rPr>
          <w:sz w:val="24"/>
          <w:szCs w:val="24"/>
        </w:rPr>
      </w:pPr>
      <w:r>
        <w:rPr>
          <w:spacing w:val="-20"/>
          <w:sz w:val="24"/>
          <w:szCs w:val="24"/>
        </w:rPr>
        <w:t>其中项目经理负责现场指挥，生产经理负责调动现场人员、材料、资金等资源。办公室人</w:t>
      </w:r>
      <w:r>
        <w:rPr>
          <w:spacing w:val="-22"/>
          <w:sz w:val="24"/>
          <w:szCs w:val="24"/>
        </w:rPr>
        <w:t>员负责配合生产经理落实处理应急事件所需财、物。其他人</w:t>
      </w:r>
      <w:r>
        <w:rPr>
          <w:spacing w:val="-23"/>
          <w:sz w:val="24"/>
          <w:szCs w:val="24"/>
        </w:rPr>
        <w:t>员负责具体环境保护应急处理。</w:t>
      </w:r>
    </w:p>
    <w:p w14:paraId="575CB95B">
      <w:pPr>
        <w:pStyle w:val="2"/>
        <w:spacing w:before="1" w:line="216" w:lineRule="auto"/>
        <w:ind w:left="1888"/>
        <w:rPr>
          <w:sz w:val="24"/>
          <w:szCs w:val="24"/>
        </w:rPr>
      </w:pPr>
      <w:r>
        <w:rPr>
          <w:spacing w:val="-19"/>
          <w:sz w:val="24"/>
          <w:szCs w:val="24"/>
        </w:rPr>
        <w:t>2、环境保护应急设施的配备</w:t>
      </w:r>
    </w:p>
    <w:p w14:paraId="10182140">
      <w:pPr>
        <w:pStyle w:val="2"/>
        <w:spacing w:before="118" w:line="308" w:lineRule="auto"/>
        <w:ind w:left="1456" w:right="1410" w:firstLine="436"/>
        <w:rPr>
          <w:sz w:val="24"/>
          <w:szCs w:val="24"/>
        </w:rPr>
      </w:pPr>
      <w:r>
        <w:rPr>
          <w:spacing w:val="-20"/>
          <w:sz w:val="24"/>
          <w:szCs w:val="24"/>
        </w:rPr>
        <w:t>针对现场常见的水、大气、噪声、固废物等可能造成环境污染的因素，项目部配备相应的</w:t>
      </w:r>
      <w:r>
        <w:rPr>
          <w:spacing w:val="-21"/>
          <w:sz w:val="24"/>
          <w:szCs w:val="24"/>
        </w:rPr>
        <w:t>基本应急器材，以确保施工现场应急处理工作的有效及时</w:t>
      </w:r>
      <w:r>
        <w:rPr>
          <w:spacing w:val="-22"/>
          <w:sz w:val="24"/>
          <w:szCs w:val="24"/>
        </w:rPr>
        <w:t>进行。</w:t>
      </w:r>
    </w:p>
    <w:p w14:paraId="54C167AD">
      <w:pPr>
        <w:pStyle w:val="2"/>
        <w:spacing w:line="219" w:lineRule="auto"/>
        <w:ind w:left="1893"/>
        <w:rPr>
          <w:sz w:val="24"/>
          <w:szCs w:val="24"/>
        </w:rPr>
      </w:pPr>
      <w:r>
        <w:pict>
          <v:shape id="_x0000_s3408" o:spid="_x0000_s3408" style="position:absolute;left:0pt;margin-left:266.8pt;margin-top:15.7pt;height:0.75pt;width:2.2pt;z-index:252057600;mso-width-relative:page;mso-height-relative:page;" fillcolor="#1C456A" filled="t" stroked="f" coordsize="44,15" path="m0,14l43,14,43,0,0,0,0,14xe">
            <v:path/>
            <v:fill on="t" focussize="0,0"/>
            <v:stroke on="f"/>
            <v:imagedata o:title=""/>
            <o:lock v:ext="edit"/>
          </v:shape>
        </w:pict>
      </w:r>
      <w:r>
        <w:rPr>
          <w:spacing w:val="-18"/>
          <w:sz w:val="24"/>
          <w:szCs w:val="24"/>
        </w:rPr>
        <w:t>应急设施配备</w:t>
      </w:r>
    </w:p>
    <w:tbl>
      <w:tblPr>
        <w:tblStyle w:val="6"/>
        <w:tblW w:w="8554" w:type="dxa"/>
        <w:tblInd w:w="167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35"/>
        <w:gridCol w:w="989"/>
        <w:gridCol w:w="2345"/>
        <w:gridCol w:w="1111"/>
        <w:gridCol w:w="2636"/>
        <w:gridCol w:w="1138"/>
      </w:tblGrid>
      <w:tr w14:paraId="0E7381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5" w:hRule="atLeast"/>
        </w:trPr>
        <w:tc>
          <w:tcPr>
            <w:tcW w:w="1324" w:type="dxa"/>
            <w:gridSpan w:val="2"/>
            <w:tcBorders>
              <w:top w:val="single" w:color="000000" w:sz="4" w:space="0"/>
              <w:left w:val="single" w:color="000000" w:sz="4" w:space="0"/>
            </w:tcBorders>
            <w:shd w:val="clear" w:color="auto" w:fill="DEEAF6"/>
            <w:vAlign w:val="top"/>
          </w:tcPr>
          <w:p w14:paraId="106D0BD9">
            <w:pPr>
              <w:spacing w:line="93" w:lineRule="exact"/>
            </w:pPr>
            <w:r>
              <w:rPr>
                <w:position w:val="-1"/>
              </w:rPr>
              <w:pict>
                <v:group id="_x0000_s3409" o:spid="_x0000_s3409" o:spt="203" style="height:5.2pt;width:68.05pt;" coordsize="1361,103">
                  <o:lock v:ext="edit"/>
                  <v:shape id="_x0000_s3410" o:spid="_x0000_s3410" style="position:absolute;left:0;top:0;height:15;width:44;" fillcolor="#5B9BD5" filled="t" stroked="f" coordsize="44,15" path="m0,14l43,14,43,0,0,0,0,14xe">
                    <v:path/>
                    <v:fill on="t" focussize="0,0"/>
                    <v:stroke on="f"/>
                    <v:imagedata o:title=""/>
                    <o:lock v:ext="edit"/>
                  </v:shape>
                  <v:shape id="_x0000_s3411" o:spid="_x0000_s3411" style="position:absolute;left:43;top:43;height:60;width:1275;" fillcolor="#DEEAF6" filled="t" stroked="f" coordsize="1275,60" path="m0,60l1274,60,1274,0,0,0,0,60xe">
                    <v:path/>
                    <v:fill on="t" focussize="0,0"/>
                    <v:stroke on="f"/>
                    <v:imagedata o:title=""/>
                    <o:lock v:ext="edit"/>
                  </v:shape>
                  <v:shape id="_x0000_s3412" o:spid="_x0000_s3412" style="position:absolute;left:1317;top:0;height:15;width:44;" fillcolor="#5B9BD5" filled="t" stroked="f" coordsize="44,15" path="m0,14l43,14,43,0,0,0,0,14xe">
                    <v:path/>
                    <v:fill on="t" focussize="0,0"/>
                    <v:stroke on="f"/>
                    <v:imagedata o:title=""/>
                    <o:lock v:ext="edit"/>
                  </v:shape>
                  <v:shape id="_x0000_s3413" o:spid="_x0000_s3413" style="position:absolute;left:1317;top:14;height:15;width:44;" fillcolor="#20507B" filled="t" stroked="f" coordsize="44,15" path="m0,14l43,14,43,0,0,0,0,14xe">
                    <v:path/>
                    <v:fill on="t" focussize="0,0"/>
                    <v:stroke on="f"/>
                    <v:imagedata o:title=""/>
                    <o:lock v:ext="edit"/>
                  </v:shape>
                  <v:shape id="_x0000_s3414" o:spid="_x0000_s3414" style="position:absolute;left:1317;top:28;height:15;width:44;" fillcolor="#1C456A" filled="t" stroked="f" coordsize="44,15" path="m0,14l43,14,43,0,0,0,0,14xe">
                    <v:path/>
                    <v:fill on="t" focussize="0,0"/>
                    <v:stroke on="f"/>
                    <v:imagedata o:title=""/>
                    <o:lock v:ext="edit"/>
                  </v:shape>
                  <w10:wrap type="none"/>
                  <w10:anchorlock/>
                </v:group>
              </w:pict>
            </w:r>
          </w:p>
          <w:p w14:paraId="4625ABB5">
            <w:pPr>
              <w:pStyle w:val="7"/>
              <w:spacing w:before="57" w:line="218" w:lineRule="auto"/>
              <w:ind w:left="459"/>
            </w:pPr>
            <w:r>
              <w:rPr>
                <w:b/>
                <w:bCs/>
                <w:spacing w:val="-11"/>
              </w:rPr>
              <w:t>序号</w:t>
            </w:r>
          </w:p>
          <w:p w14:paraId="3C493D48">
            <w:pPr>
              <w:spacing w:before="169" w:line="51" w:lineRule="exact"/>
              <w:ind w:firstLine="11"/>
            </w:pPr>
            <w:r>
              <w:rPr>
                <w:position w:val="-1"/>
              </w:rPr>
              <w:pict>
                <v:shape id="_x0000_s3415" o:spid="_x0000_s3415" style="height:2.9pt;width:65.05pt;" fillcolor="#DEEAF6" filled="t" stroked="f" coordsize="1301,58" path="m0,57l1300,57,1300,0,0,0,0,57xe">
                  <v:path/>
                  <v:fill on="t" focussize="0,0"/>
                  <v:stroke on="f"/>
                  <v:imagedata o:title=""/>
                  <o:lock v:ext="edit"/>
                  <w10:wrap type="none"/>
                  <w10:anchorlock/>
                </v:shape>
              </w:pict>
            </w:r>
          </w:p>
        </w:tc>
        <w:tc>
          <w:tcPr>
            <w:tcW w:w="2345" w:type="dxa"/>
            <w:tcBorders>
              <w:top w:val="single" w:color="000000" w:sz="4" w:space="0"/>
            </w:tcBorders>
            <w:shd w:val="clear" w:color="auto" w:fill="DEEAF6"/>
            <w:vAlign w:val="top"/>
          </w:tcPr>
          <w:p w14:paraId="27566ECA">
            <w:pPr>
              <w:pStyle w:val="7"/>
              <w:spacing w:before="150" w:line="217" w:lineRule="auto"/>
              <w:ind w:left="742"/>
            </w:pPr>
            <w:r>
              <w:rPr>
                <w:b/>
                <w:bCs/>
                <w:spacing w:val="-18"/>
              </w:rPr>
              <w:t>物资名称</w:t>
            </w:r>
          </w:p>
        </w:tc>
        <w:tc>
          <w:tcPr>
            <w:tcW w:w="1111" w:type="dxa"/>
            <w:tcBorders>
              <w:top w:val="single" w:color="5B9BD5" w:sz="4" w:space="0"/>
              <w:right w:val="nil"/>
            </w:tcBorders>
            <w:shd w:val="clear" w:color="auto" w:fill="DEEAF6"/>
            <w:vAlign w:val="top"/>
          </w:tcPr>
          <w:p w14:paraId="638BF08D">
            <w:pPr>
              <w:spacing w:line="18" w:lineRule="exact"/>
            </w:pPr>
            <w:r>
              <w:pict>
                <v:group id="_x0000_s3416" o:spid="_x0000_s3416" o:spt="203" style="height:1.45pt;width:2.2pt;" coordsize="44,29">
                  <o:lock v:ext="edit"/>
                  <v:shape id="_x0000_s3417" o:spid="_x0000_s3417" style="position:absolute;left:0;top:0;height:15;width:44;" fillcolor="#5B9BD5" filled="t" stroked="f" coordsize="44,15" path="m0,14l43,14,43,0,0,0,0,14xe">
                    <v:path/>
                    <v:fill on="t" focussize="0,0"/>
                    <v:stroke on="f"/>
                    <v:imagedata o:title=""/>
                    <o:lock v:ext="edit"/>
                  </v:shape>
                  <v:shape id="_x0000_s3418" o:spid="_x0000_s3418" style="position:absolute;left:0;top:14;height:15;width:44;" fillcolor="#20507B" filled="t" stroked="f" coordsize="44,15" path="m0,14l43,14,43,0,0,0,0,14xe">
                    <v:path/>
                    <v:fill on="t" focussize="0,0"/>
                    <v:stroke on="f"/>
                    <v:imagedata o:title=""/>
                    <o:lock v:ext="edit"/>
                  </v:shape>
                  <w10:wrap type="none"/>
                  <w10:anchorlock/>
                </v:group>
              </w:pict>
            </w:r>
          </w:p>
        </w:tc>
        <w:tc>
          <w:tcPr>
            <w:tcW w:w="2636" w:type="dxa"/>
            <w:tcBorders>
              <w:top w:val="single" w:color="5B9BD5" w:sz="4" w:space="0"/>
              <w:left w:val="nil"/>
              <w:right w:val="nil"/>
            </w:tcBorders>
            <w:shd w:val="clear" w:color="auto" w:fill="DEEAF6"/>
            <w:vAlign w:val="top"/>
          </w:tcPr>
          <w:p w14:paraId="574F6364">
            <w:pPr>
              <w:pStyle w:val="7"/>
              <w:spacing w:before="150" w:line="219" w:lineRule="auto"/>
              <w:ind w:left="1115"/>
            </w:pPr>
            <w:r>
              <w:rPr>
                <w:b/>
                <w:bCs/>
                <w:spacing w:val="-12"/>
              </w:rPr>
              <w:t>数量</w:t>
            </w:r>
          </w:p>
        </w:tc>
        <w:tc>
          <w:tcPr>
            <w:tcW w:w="1138" w:type="dxa"/>
            <w:tcBorders>
              <w:top w:val="single" w:color="5B9BD5" w:sz="4" w:space="0"/>
              <w:left w:val="nil"/>
              <w:right w:val="single" w:color="5B9BD5" w:sz="4" w:space="0"/>
            </w:tcBorders>
            <w:shd w:val="clear" w:color="auto" w:fill="DEEAF6"/>
            <w:vAlign w:val="top"/>
          </w:tcPr>
          <w:p w14:paraId="15D36FDC">
            <w:pPr>
              <w:rPr>
                <w:rFonts w:ascii="Arial"/>
                <w:sz w:val="21"/>
              </w:rPr>
            </w:pPr>
            <w:r>
              <w:pict>
                <v:shape id="_x0000_s3419" o:spid="_x0000_s3419" style="position:absolute;left:0pt;margin-left:55.05pt;margin-top:0pt;height:0.75pt;width:2.2pt;mso-position-horizontal-relative:page;mso-position-vertical-relative:page;z-index:252060672;mso-width-relative:page;mso-height-relative:page;" fillcolor="#5B9BD5" filled="t" stroked="f" coordsize="44,15" path="m0,14l43,14,43,0,0,0,0,14xe">
                  <v:path/>
                  <v:fill on="t" focussize="0,0"/>
                  <v:stroke on="f"/>
                  <v:imagedata o:title=""/>
                  <o:lock v:ext="edit"/>
                </v:shape>
              </w:pict>
            </w:r>
          </w:p>
        </w:tc>
      </w:tr>
      <w:tr w14:paraId="632EB9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89" w:hRule="atLeast"/>
        </w:trPr>
        <w:tc>
          <w:tcPr>
            <w:tcW w:w="1324" w:type="dxa"/>
            <w:gridSpan w:val="2"/>
            <w:tcBorders>
              <w:left w:val="single" w:color="000000" w:sz="4" w:space="0"/>
            </w:tcBorders>
            <w:vAlign w:val="top"/>
          </w:tcPr>
          <w:p w14:paraId="44A21B0E">
            <w:pPr>
              <w:pStyle w:val="7"/>
              <w:spacing w:before="98" w:line="238" w:lineRule="auto"/>
              <w:ind w:left="632"/>
            </w:pPr>
            <w:r>
              <w:t>1</w:t>
            </w:r>
          </w:p>
        </w:tc>
        <w:tc>
          <w:tcPr>
            <w:tcW w:w="2345" w:type="dxa"/>
            <w:vAlign w:val="top"/>
          </w:tcPr>
          <w:p w14:paraId="6A523EE6">
            <w:pPr>
              <w:pStyle w:val="7"/>
              <w:spacing w:before="98" w:line="218" w:lineRule="auto"/>
              <w:ind w:left="853"/>
            </w:pPr>
            <w:r>
              <w:rPr>
                <w:spacing w:val="-14"/>
              </w:rPr>
              <w:t>对讲机</w:t>
            </w:r>
          </w:p>
        </w:tc>
        <w:tc>
          <w:tcPr>
            <w:tcW w:w="4885" w:type="dxa"/>
            <w:gridSpan w:val="3"/>
            <w:tcBorders>
              <w:right w:val="single" w:color="000000" w:sz="4" w:space="0"/>
            </w:tcBorders>
            <w:vAlign w:val="top"/>
          </w:tcPr>
          <w:p w14:paraId="5E43D446">
            <w:pPr>
              <w:pStyle w:val="7"/>
              <w:spacing w:before="98" w:line="218" w:lineRule="auto"/>
              <w:ind w:left="2190"/>
            </w:pPr>
            <w:r>
              <w:rPr>
                <w:spacing w:val="-7"/>
              </w:rPr>
              <w:t>40部</w:t>
            </w:r>
          </w:p>
        </w:tc>
      </w:tr>
      <w:tr w14:paraId="0C295A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8" w:hRule="atLeast"/>
        </w:trPr>
        <w:tc>
          <w:tcPr>
            <w:tcW w:w="1324" w:type="dxa"/>
            <w:gridSpan w:val="2"/>
            <w:tcBorders>
              <w:left w:val="single" w:color="000000" w:sz="4" w:space="0"/>
            </w:tcBorders>
            <w:vAlign w:val="top"/>
          </w:tcPr>
          <w:p w14:paraId="7DD0AD58">
            <w:pPr>
              <w:pStyle w:val="7"/>
              <w:spacing w:before="99" w:line="238" w:lineRule="auto"/>
              <w:ind w:left="618"/>
            </w:pPr>
            <w:r>
              <w:t>2</w:t>
            </w:r>
          </w:p>
        </w:tc>
        <w:tc>
          <w:tcPr>
            <w:tcW w:w="2345" w:type="dxa"/>
            <w:vAlign w:val="top"/>
          </w:tcPr>
          <w:p w14:paraId="58811E47">
            <w:pPr>
              <w:pStyle w:val="7"/>
              <w:spacing w:before="99" w:line="217" w:lineRule="auto"/>
              <w:ind w:left="759"/>
            </w:pPr>
            <w:r>
              <w:rPr>
                <w:spacing w:val="-19"/>
              </w:rPr>
              <w:t>防尘口罩</w:t>
            </w:r>
          </w:p>
        </w:tc>
        <w:tc>
          <w:tcPr>
            <w:tcW w:w="4885" w:type="dxa"/>
            <w:gridSpan w:val="3"/>
            <w:tcBorders>
              <w:right w:val="single" w:color="000000" w:sz="4" w:space="0"/>
            </w:tcBorders>
            <w:vAlign w:val="top"/>
          </w:tcPr>
          <w:p w14:paraId="33AE3D1B">
            <w:pPr>
              <w:pStyle w:val="7"/>
              <w:spacing w:before="99" w:line="219" w:lineRule="auto"/>
              <w:ind w:left="2153"/>
            </w:pPr>
            <w:r>
              <w:rPr>
                <w:spacing w:val="-13"/>
              </w:rPr>
              <w:t>100个</w:t>
            </w:r>
          </w:p>
        </w:tc>
      </w:tr>
      <w:tr w14:paraId="5EF35B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9" w:hRule="atLeast"/>
        </w:trPr>
        <w:tc>
          <w:tcPr>
            <w:tcW w:w="1324" w:type="dxa"/>
            <w:gridSpan w:val="2"/>
            <w:tcBorders>
              <w:left w:val="single" w:color="000000" w:sz="4" w:space="0"/>
            </w:tcBorders>
            <w:vAlign w:val="top"/>
          </w:tcPr>
          <w:p w14:paraId="5D2E3E09">
            <w:pPr>
              <w:pStyle w:val="7"/>
              <w:spacing w:before="101" w:line="237" w:lineRule="auto"/>
              <w:ind w:left="619"/>
            </w:pPr>
            <w:r>
              <w:t>3</w:t>
            </w:r>
          </w:p>
        </w:tc>
        <w:tc>
          <w:tcPr>
            <w:tcW w:w="2345" w:type="dxa"/>
            <w:vAlign w:val="top"/>
          </w:tcPr>
          <w:p w14:paraId="006048E0">
            <w:pPr>
              <w:pStyle w:val="7"/>
              <w:spacing w:before="101" w:line="218" w:lineRule="auto"/>
              <w:ind w:left="854"/>
            </w:pPr>
            <w:r>
              <w:rPr>
                <w:spacing w:val="-14"/>
              </w:rPr>
              <w:t>分贝仪</w:t>
            </w:r>
          </w:p>
        </w:tc>
        <w:tc>
          <w:tcPr>
            <w:tcW w:w="4885" w:type="dxa"/>
            <w:gridSpan w:val="3"/>
            <w:tcBorders>
              <w:right w:val="single" w:color="000000" w:sz="4" w:space="0"/>
            </w:tcBorders>
            <w:vAlign w:val="top"/>
          </w:tcPr>
          <w:p w14:paraId="4B14EA35">
            <w:pPr>
              <w:pStyle w:val="7"/>
              <w:spacing w:before="101" w:line="219" w:lineRule="auto"/>
              <w:ind w:left="2251"/>
            </w:pPr>
            <w:r>
              <w:rPr>
                <w:spacing w:val="-7"/>
              </w:rPr>
              <w:t>3个</w:t>
            </w:r>
          </w:p>
        </w:tc>
      </w:tr>
      <w:tr w14:paraId="0F0429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9" w:hRule="atLeast"/>
        </w:trPr>
        <w:tc>
          <w:tcPr>
            <w:tcW w:w="1324" w:type="dxa"/>
            <w:gridSpan w:val="2"/>
            <w:tcBorders>
              <w:left w:val="single" w:color="000000" w:sz="4" w:space="0"/>
            </w:tcBorders>
            <w:vAlign w:val="top"/>
          </w:tcPr>
          <w:p w14:paraId="2266D197">
            <w:pPr>
              <w:pStyle w:val="7"/>
              <w:spacing w:before="103" w:line="238" w:lineRule="auto"/>
              <w:ind w:left="614"/>
            </w:pPr>
            <w:r>
              <w:t>4</w:t>
            </w:r>
          </w:p>
        </w:tc>
        <w:tc>
          <w:tcPr>
            <w:tcW w:w="2345" w:type="dxa"/>
            <w:vAlign w:val="top"/>
          </w:tcPr>
          <w:p w14:paraId="0222AD35">
            <w:pPr>
              <w:pStyle w:val="7"/>
              <w:spacing w:before="102" w:line="219" w:lineRule="auto"/>
              <w:ind w:left="759"/>
            </w:pPr>
            <w:r>
              <w:rPr>
                <w:spacing w:val="-19"/>
              </w:rPr>
              <w:t>防毒面具</w:t>
            </w:r>
          </w:p>
        </w:tc>
        <w:tc>
          <w:tcPr>
            <w:tcW w:w="4885" w:type="dxa"/>
            <w:gridSpan w:val="3"/>
            <w:tcBorders>
              <w:right w:val="single" w:color="000000" w:sz="4" w:space="0"/>
            </w:tcBorders>
            <w:vAlign w:val="top"/>
          </w:tcPr>
          <w:p w14:paraId="08049695">
            <w:pPr>
              <w:pStyle w:val="7"/>
              <w:spacing w:before="102" w:line="219" w:lineRule="auto"/>
              <w:ind w:left="2194"/>
            </w:pPr>
            <w:r>
              <w:rPr>
                <w:spacing w:val="-8"/>
              </w:rPr>
              <w:t>20个</w:t>
            </w:r>
          </w:p>
        </w:tc>
      </w:tr>
      <w:tr w14:paraId="3674FB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9" w:hRule="atLeast"/>
        </w:trPr>
        <w:tc>
          <w:tcPr>
            <w:tcW w:w="1324" w:type="dxa"/>
            <w:gridSpan w:val="2"/>
            <w:tcBorders>
              <w:left w:val="single" w:color="000000" w:sz="4" w:space="0"/>
            </w:tcBorders>
            <w:vAlign w:val="top"/>
          </w:tcPr>
          <w:p w14:paraId="625D9796">
            <w:pPr>
              <w:pStyle w:val="7"/>
              <w:spacing w:before="103" w:line="237" w:lineRule="auto"/>
              <w:ind w:left="619"/>
            </w:pPr>
            <w:r>
              <w:t>5</w:t>
            </w:r>
          </w:p>
        </w:tc>
        <w:tc>
          <w:tcPr>
            <w:tcW w:w="2345" w:type="dxa"/>
            <w:vAlign w:val="top"/>
          </w:tcPr>
          <w:p w14:paraId="62255864">
            <w:pPr>
              <w:pStyle w:val="7"/>
              <w:spacing w:before="104" w:line="218" w:lineRule="auto"/>
              <w:ind w:left="854"/>
            </w:pPr>
            <w:r>
              <w:rPr>
                <w:spacing w:val="-14"/>
              </w:rPr>
              <w:t>手电筒</w:t>
            </w:r>
          </w:p>
        </w:tc>
        <w:tc>
          <w:tcPr>
            <w:tcW w:w="4885" w:type="dxa"/>
            <w:gridSpan w:val="3"/>
            <w:tcBorders>
              <w:right w:val="single" w:color="000000" w:sz="4" w:space="0"/>
            </w:tcBorders>
            <w:vAlign w:val="top"/>
          </w:tcPr>
          <w:p w14:paraId="24ACDD59">
            <w:pPr>
              <w:pStyle w:val="7"/>
              <w:spacing w:before="103" w:line="219" w:lineRule="auto"/>
              <w:ind w:left="2196"/>
            </w:pPr>
            <w:r>
              <w:rPr>
                <w:spacing w:val="-9"/>
              </w:rPr>
              <w:t>30个</w:t>
            </w:r>
          </w:p>
        </w:tc>
      </w:tr>
      <w:tr w14:paraId="3A48C2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1" w:hRule="atLeast"/>
        </w:trPr>
        <w:tc>
          <w:tcPr>
            <w:tcW w:w="335" w:type="dxa"/>
            <w:tcBorders>
              <w:left w:val="single" w:color="1C456A" w:sz="4" w:space="0"/>
              <w:bottom w:val="single" w:color="1C456A" w:sz="4" w:space="0"/>
              <w:right w:val="nil"/>
            </w:tcBorders>
            <w:vAlign w:val="top"/>
          </w:tcPr>
          <w:p w14:paraId="37022444">
            <w:pPr>
              <w:rPr>
                <w:rFonts w:ascii="Arial"/>
                <w:sz w:val="21"/>
              </w:rPr>
            </w:pPr>
            <w:r>
              <w:pict>
                <v:shape id="_x0000_s3420" o:spid="_x0000_s3420" style="position:absolute;left:0pt;margin-left:-0.25pt;margin-top:32.6pt;height:0.75pt;width:2.2pt;mso-position-horizontal-relative:page;mso-position-vertical-relative:page;z-index:252059648;mso-width-relative:page;mso-height-relative:page;" fillcolor="#5B9BD5" filled="t" stroked="f" coordsize="44,15" path="m0,14l43,14,43,0,0,0,0,14xe">
                  <v:path/>
                  <v:fill on="t" focussize="0,0"/>
                  <v:stroke on="f"/>
                  <v:imagedata o:title=""/>
                  <o:lock v:ext="edit"/>
                </v:shape>
              </w:pict>
            </w:r>
          </w:p>
        </w:tc>
        <w:tc>
          <w:tcPr>
            <w:tcW w:w="989" w:type="dxa"/>
            <w:tcBorders>
              <w:left w:val="nil"/>
              <w:bottom w:val="single" w:color="1C456A" w:sz="4" w:space="0"/>
            </w:tcBorders>
            <w:vAlign w:val="top"/>
          </w:tcPr>
          <w:p w14:paraId="43A5B527">
            <w:pPr>
              <w:pStyle w:val="7"/>
              <w:spacing w:before="114" w:line="237" w:lineRule="auto"/>
              <w:ind w:left="287"/>
            </w:pPr>
            <w:r>
              <w:t>6</w:t>
            </w:r>
          </w:p>
        </w:tc>
        <w:tc>
          <w:tcPr>
            <w:tcW w:w="2345" w:type="dxa"/>
            <w:tcBorders>
              <w:bottom w:val="single" w:color="000000" w:sz="4" w:space="0"/>
            </w:tcBorders>
            <w:vAlign w:val="top"/>
          </w:tcPr>
          <w:p w14:paraId="54A939D2">
            <w:pPr>
              <w:pStyle w:val="7"/>
              <w:spacing w:before="114" w:line="220" w:lineRule="auto"/>
              <w:ind w:left="551"/>
            </w:pPr>
            <w:r>
              <w:rPr>
                <w:spacing w:val="-22"/>
              </w:rPr>
              <w:t>电工组合工具</w:t>
            </w:r>
          </w:p>
        </w:tc>
        <w:tc>
          <w:tcPr>
            <w:tcW w:w="3747" w:type="dxa"/>
            <w:gridSpan w:val="2"/>
            <w:tcBorders>
              <w:bottom w:val="single" w:color="5B9BD5" w:sz="4" w:space="0"/>
              <w:right w:val="nil"/>
            </w:tcBorders>
            <w:vAlign w:val="top"/>
          </w:tcPr>
          <w:p w14:paraId="1D0331A9">
            <w:pPr>
              <w:pStyle w:val="7"/>
              <w:spacing w:before="114" w:line="222" w:lineRule="auto"/>
              <w:ind w:left="2251"/>
            </w:pPr>
            <w:r>
              <w:rPr>
                <w:spacing w:val="-7"/>
              </w:rPr>
              <w:t>5套</w:t>
            </w:r>
          </w:p>
        </w:tc>
        <w:tc>
          <w:tcPr>
            <w:tcW w:w="1138" w:type="dxa"/>
            <w:tcBorders>
              <w:left w:val="nil"/>
              <w:bottom w:val="single" w:color="5B9BD5" w:sz="4" w:space="0"/>
              <w:right w:val="single" w:color="5B9BD5" w:sz="4" w:space="0"/>
            </w:tcBorders>
            <w:vAlign w:val="top"/>
          </w:tcPr>
          <w:p w14:paraId="635FA9F6">
            <w:pPr>
              <w:rPr>
                <w:rFonts w:ascii="Arial"/>
                <w:sz w:val="21"/>
              </w:rPr>
            </w:pPr>
            <w:r>
              <w:pict>
                <v:shape id="_x0000_s3421" o:spid="_x0000_s3421" style="position:absolute;left:0pt;margin-left:55.05pt;margin-top:32.6pt;height:0.75pt;width:2.2pt;mso-position-horizontal-relative:page;mso-position-vertical-relative:page;z-index:252058624;mso-width-relative:page;mso-height-relative:page;" fillcolor="#5B9BD5" filled="t" stroked="f" coordsize="44,15" path="m0,14l43,14,43,0,0,0,0,14xe">
                  <v:path/>
                  <v:fill on="t" focussize="0,0"/>
                  <v:stroke on="f"/>
                  <v:imagedata o:title=""/>
                  <o:lock v:ext="edit"/>
                </v:shape>
              </w:pict>
            </w:r>
          </w:p>
        </w:tc>
      </w:tr>
    </w:tbl>
    <w:p w14:paraId="3AABCABE">
      <w:pPr>
        <w:pStyle w:val="2"/>
        <w:spacing w:before="117" w:line="307" w:lineRule="auto"/>
        <w:ind w:left="1457" w:right="1460" w:firstLine="492"/>
        <w:rPr>
          <w:sz w:val="24"/>
          <w:szCs w:val="24"/>
        </w:rPr>
      </w:pPr>
      <w:r>
        <w:rPr>
          <w:spacing w:val="3"/>
          <w:sz w:val="24"/>
          <w:szCs w:val="24"/>
        </w:rPr>
        <w:t>注：工区每月定期对应急处理器材进行检查，</w:t>
      </w:r>
      <w:r>
        <w:rPr>
          <w:spacing w:val="2"/>
          <w:sz w:val="24"/>
          <w:szCs w:val="24"/>
        </w:rPr>
        <w:t>对应急处理器材及时更新补充，以</w:t>
      </w:r>
      <w:r>
        <w:rPr>
          <w:spacing w:val="-21"/>
          <w:sz w:val="24"/>
          <w:szCs w:val="24"/>
        </w:rPr>
        <w:t>确保使用。应急处理器材的检查由办公室管理人员负责。</w:t>
      </w:r>
    </w:p>
    <w:p w14:paraId="46E26B26">
      <w:pPr>
        <w:pStyle w:val="2"/>
        <w:spacing w:before="1" w:line="217" w:lineRule="auto"/>
        <w:ind w:left="1890"/>
        <w:rPr>
          <w:sz w:val="24"/>
          <w:szCs w:val="24"/>
        </w:rPr>
      </w:pPr>
      <w:r>
        <w:rPr>
          <w:spacing w:val="-17"/>
          <w:sz w:val="24"/>
          <w:szCs w:val="24"/>
        </w:rPr>
        <w:t>3、通讯联络</w:t>
      </w:r>
    </w:p>
    <w:p w14:paraId="07DA6310">
      <w:pPr>
        <w:pStyle w:val="2"/>
        <w:spacing w:before="119" w:line="307" w:lineRule="auto"/>
        <w:ind w:left="1457" w:right="1411" w:firstLine="551"/>
        <w:rPr>
          <w:sz w:val="24"/>
          <w:szCs w:val="24"/>
        </w:rPr>
      </w:pPr>
      <w:r>
        <w:rPr>
          <w:spacing w:val="-23"/>
          <w:sz w:val="24"/>
          <w:szCs w:val="24"/>
        </w:rPr>
        <w:t>出现应急事件，项目书记应立刻召集应急小组人员，并给每位成员配发无线电对讲机，小</w:t>
      </w:r>
      <w:r>
        <w:rPr>
          <w:spacing w:val="-21"/>
          <w:sz w:val="24"/>
          <w:szCs w:val="24"/>
        </w:rPr>
        <w:t>组成员之间勿必保持不间断联络。办公室张贴应急小组</w:t>
      </w:r>
      <w:r>
        <w:rPr>
          <w:spacing w:val="-22"/>
          <w:sz w:val="24"/>
          <w:szCs w:val="24"/>
        </w:rPr>
        <w:t>通讯录以及</w:t>
      </w:r>
    </w:p>
    <w:p w14:paraId="46D38AB9">
      <w:pPr>
        <w:pStyle w:val="2"/>
        <w:spacing w:line="218" w:lineRule="auto"/>
        <w:ind w:left="1895"/>
        <w:rPr>
          <w:sz w:val="24"/>
          <w:szCs w:val="24"/>
        </w:rPr>
      </w:pPr>
      <w:r>
        <w:rPr>
          <w:spacing w:val="-21"/>
          <w:sz w:val="24"/>
          <w:szCs w:val="24"/>
        </w:rPr>
        <w:t>周边可利用的社会公共资源联系电话。</w:t>
      </w:r>
    </w:p>
    <w:p w14:paraId="7EA31BA0">
      <w:pPr>
        <w:spacing w:line="218" w:lineRule="auto"/>
        <w:rPr>
          <w:sz w:val="24"/>
          <w:szCs w:val="24"/>
        </w:rPr>
        <w:sectPr>
          <w:footerReference r:id="rId184" w:type="default"/>
          <w:pgSz w:w="11907" w:h="16839"/>
          <w:pgMar w:top="954" w:right="4" w:bottom="1038" w:left="0" w:header="499" w:footer="357" w:gutter="0"/>
          <w:pgBorders>
            <w:top w:val="none" w:sz="0" w:space="0"/>
            <w:left w:val="none" w:sz="0" w:space="0"/>
            <w:bottom w:val="none" w:sz="0" w:space="0"/>
            <w:right w:val="none" w:sz="0" w:space="0"/>
          </w:pgBorders>
          <w:cols w:space="720" w:num="1"/>
        </w:sectPr>
      </w:pPr>
    </w:p>
    <w:p w14:paraId="617EC56E">
      <w:pPr>
        <w:spacing w:line="214" w:lineRule="exact"/>
      </w:pPr>
    </w:p>
    <w:tbl>
      <w:tblPr>
        <w:tblStyle w:val="6"/>
        <w:tblW w:w="8554" w:type="dxa"/>
        <w:tblInd w:w="167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70"/>
        <w:gridCol w:w="1672"/>
        <w:gridCol w:w="1590"/>
        <w:gridCol w:w="1259"/>
        <w:gridCol w:w="2334"/>
        <w:gridCol w:w="829"/>
      </w:tblGrid>
      <w:tr w14:paraId="5018C8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6" w:hRule="atLeast"/>
        </w:trPr>
        <w:tc>
          <w:tcPr>
            <w:tcW w:w="870" w:type="dxa"/>
            <w:tcBorders>
              <w:top w:val="single" w:color="000000" w:sz="4" w:space="0"/>
              <w:left w:val="single" w:color="000000" w:sz="4" w:space="0"/>
            </w:tcBorders>
            <w:shd w:val="clear" w:color="auto" w:fill="DEEAF6"/>
            <w:vAlign w:val="top"/>
          </w:tcPr>
          <w:p w14:paraId="629E6F01">
            <w:pPr>
              <w:pStyle w:val="7"/>
              <w:spacing w:before="129" w:line="218" w:lineRule="auto"/>
              <w:ind w:left="231"/>
            </w:pPr>
            <w:r>
              <w:rPr>
                <w:b/>
                <w:bCs/>
                <w:spacing w:val="-11"/>
              </w:rPr>
              <w:t>序号</w:t>
            </w:r>
          </w:p>
        </w:tc>
        <w:tc>
          <w:tcPr>
            <w:tcW w:w="1672" w:type="dxa"/>
            <w:tcBorders>
              <w:top w:val="single" w:color="000000" w:sz="4" w:space="0"/>
            </w:tcBorders>
            <w:shd w:val="clear" w:color="auto" w:fill="DEEAF6"/>
            <w:vAlign w:val="top"/>
          </w:tcPr>
          <w:p w14:paraId="1B9C1698">
            <w:pPr>
              <w:pStyle w:val="7"/>
              <w:spacing w:before="129" w:line="219" w:lineRule="auto"/>
              <w:ind w:left="407"/>
            </w:pPr>
            <w:r>
              <w:rPr>
                <w:b/>
                <w:bCs/>
                <w:spacing w:val="-18"/>
              </w:rPr>
              <w:t>周边资源</w:t>
            </w:r>
          </w:p>
        </w:tc>
        <w:tc>
          <w:tcPr>
            <w:tcW w:w="1590" w:type="dxa"/>
            <w:tcBorders>
              <w:top w:val="single" w:color="000000" w:sz="4" w:space="0"/>
            </w:tcBorders>
            <w:shd w:val="clear" w:color="auto" w:fill="DEEAF6"/>
            <w:vAlign w:val="top"/>
          </w:tcPr>
          <w:p w14:paraId="1BD95B95">
            <w:pPr>
              <w:pStyle w:val="7"/>
              <w:spacing w:before="129" w:line="219" w:lineRule="auto"/>
              <w:ind w:left="363"/>
            </w:pPr>
            <w:r>
              <w:rPr>
                <w:b/>
                <w:bCs/>
                <w:spacing w:val="-17"/>
              </w:rPr>
              <w:t>联系电话</w:t>
            </w:r>
          </w:p>
        </w:tc>
        <w:tc>
          <w:tcPr>
            <w:tcW w:w="1259" w:type="dxa"/>
            <w:tcBorders>
              <w:top w:val="single" w:color="000000" w:sz="4" w:space="0"/>
            </w:tcBorders>
            <w:shd w:val="clear" w:color="auto" w:fill="DEEAF6"/>
            <w:vAlign w:val="top"/>
          </w:tcPr>
          <w:p w14:paraId="127BE514">
            <w:pPr>
              <w:pStyle w:val="7"/>
              <w:spacing w:before="129" w:line="220" w:lineRule="auto"/>
              <w:ind w:left="311"/>
            </w:pPr>
            <w:r>
              <w:rPr>
                <w:b/>
                <w:bCs/>
                <w:spacing w:val="-15"/>
              </w:rPr>
              <w:t>联系人</w:t>
            </w:r>
          </w:p>
        </w:tc>
        <w:tc>
          <w:tcPr>
            <w:tcW w:w="2334" w:type="dxa"/>
            <w:tcBorders>
              <w:top w:val="single" w:color="000000" w:sz="4" w:space="0"/>
            </w:tcBorders>
            <w:shd w:val="clear" w:color="auto" w:fill="DEEAF6"/>
            <w:vAlign w:val="top"/>
          </w:tcPr>
          <w:p w14:paraId="47942476">
            <w:pPr>
              <w:pStyle w:val="7"/>
              <w:spacing w:before="128" w:line="220" w:lineRule="auto"/>
              <w:ind w:left="961"/>
            </w:pPr>
            <w:r>
              <w:rPr>
                <w:b/>
                <w:bCs/>
                <w:spacing w:val="-12"/>
              </w:rPr>
              <w:t>用途</w:t>
            </w:r>
          </w:p>
        </w:tc>
        <w:tc>
          <w:tcPr>
            <w:tcW w:w="829" w:type="dxa"/>
            <w:tcBorders>
              <w:top w:val="single" w:color="5B9BD5" w:sz="4" w:space="0"/>
              <w:right w:val="single" w:color="5B9BD5" w:sz="4" w:space="0"/>
            </w:tcBorders>
            <w:shd w:val="clear" w:color="auto" w:fill="DEEAF6"/>
            <w:vAlign w:val="top"/>
          </w:tcPr>
          <w:p w14:paraId="090B77AD">
            <w:pPr>
              <w:pStyle w:val="7"/>
              <w:spacing w:before="129" w:line="220" w:lineRule="auto"/>
              <w:ind w:left="201"/>
            </w:pPr>
            <w:r>
              <w:rPr>
                <w:b/>
                <w:bCs/>
                <w:spacing w:val="-12"/>
              </w:rPr>
              <w:t>备注</w:t>
            </w:r>
          </w:p>
        </w:tc>
      </w:tr>
      <w:tr w14:paraId="3B198F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trPr>
        <w:tc>
          <w:tcPr>
            <w:tcW w:w="870" w:type="dxa"/>
            <w:tcBorders>
              <w:top w:val="single" w:color="DEEAF6" w:sz="22" w:space="0"/>
              <w:left w:val="single" w:color="000000" w:sz="4" w:space="0"/>
            </w:tcBorders>
            <w:vAlign w:val="top"/>
          </w:tcPr>
          <w:p w14:paraId="6FE2B3C6">
            <w:pPr>
              <w:pStyle w:val="7"/>
              <w:spacing w:before="79" w:line="238" w:lineRule="auto"/>
              <w:ind w:left="404"/>
            </w:pPr>
            <w:r>
              <w:t>1</w:t>
            </w:r>
          </w:p>
        </w:tc>
        <w:tc>
          <w:tcPr>
            <w:tcW w:w="1672" w:type="dxa"/>
            <w:tcBorders>
              <w:top w:val="single" w:color="DEEAF6" w:sz="22" w:space="0"/>
            </w:tcBorders>
            <w:vAlign w:val="top"/>
          </w:tcPr>
          <w:p w14:paraId="1428923C">
            <w:pPr>
              <w:pStyle w:val="7"/>
              <w:spacing w:before="78" w:line="219" w:lineRule="auto"/>
              <w:ind w:left="631"/>
            </w:pPr>
            <w:r>
              <w:rPr>
                <w:spacing w:val="-12"/>
              </w:rPr>
              <w:t>火警</w:t>
            </w:r>
          </w:p>
        </w:tc>
        <w:tc>
          <w:tcPr>
            <w:tcW w:w="1590" w:type="dxa"/>
            <w:tcBorders>
              <w:top w:val="single" w:color="DEEAF6" w:sz="22" w:space="0"/>
            </w:tcBorders>
            <w:vAlign w:val="top"/>
          </w:tcPr>
          <w:p w14:paraId="4A64B470">
            <w:pPr>
              <w:pStyle w:val="7"/>
              <w:spacing w:before="79" w:line="237" w:lineRule="auto"/>
              <w:ind w:left="652"/>
            </w:pPr>
            <w:r>
              <w:rPr>
                <w:spacing w:val="-13"/>
              </w:rPr>
              <w:t>119</w:t>
            </w:r>
          </w:p>
        </w:tc>
        <w:tc>
          <w:tcPr>
            <w:tcW w:w="1259" w:type="dxa"/>
            <w:tcBorders>
              <w:top w:val="single" w:color="DEEAF6" w:sz="22" w:space="0"/>
            </w:tcBorders>
            <w:vAlign w:val="top"/>
          </w:tcPr>
          <w:p w14:paraId="32989DEB">
            <w:pPr>
              <w:rPr>
                <w:rFonts w:ascii="Arial"/>
                <w:sz w:val="21"/>
              </w:rPr>
            </w:pPr>
          </w:p>
        </w:tc>
        <w:tc>
          <w:tcPr>
            <w:tcW w:w="2334" w:type="dxa"/>
            <w:tcBorders>
              <w:top w:val="single" w:color="DEEAF6" w:sz="22" w:space="0"/>
            </w:tcBorders>
            <w:vAlign w:val="top"/>
          </w:tcPr>
          <w:p w14:paraId="180C94A7">
            <w:pPr>
              <w:pStyle w:val="7"/>
              <w:spacing w:before="79" w:line="218" w:lineRule="auto"/>
              <w:ind w:left="534"/>
            </w:pPr>
            <w:r>
              <w:rPr>
                <w:spacing w:val="-19"/>
              </w:rPr>
              <w:t>火灾报警救援</w:t>
            </w:r>
          </w:p>
        </w:tc>
        <w:tc>
          <w:tcPr>
            <w:tcW w:w="829" w:type="dxa"/>
            <w:tcBorders>
              <w:top w:val="single" w:color="DEEAF6" w:sz="22" w:space="0"/>
              <w:right w:val="single" w:color="000000" w:sz="4" w:space="0"/>
            </w:tcBorders>
            <w:vAlign w:val="top"/>
          </w:tcPr>
          <w:p w14:paraId="659E0C66">
            <w:pPr>
              <w:rPr>
                <w:rFonts w:ascii="Arial"/>
                <w:sz w:val="21"/>
              </w:rPr>
            </w:pPr>
          </w:p>
        </w:tc>
      </w:tr>
      <w:tr w14:paraId="3FF384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4" w:hRule="atLeast"/>
        </w:trPr>
        <w:tc>
          <w:tcPr>
            <w:tcW w:w="870" w:type="dxa"/>
            <w:tcBorders>
              <w:left w:val="single" w:color="000000" w:sz="4" w:space="0"/>
            </w:tcBorders>
            <w:vAlign w:val="top"/>
          </w:tcPr>
          <w:p w14:paraId="6D9DA9E4">
            <w:pPr>
              <w:pStyle w:val="7"/>
              <w:spacing w:before="97" w:line="238" w:lineRule="auto"/>
              <w:ind w:left="390"/>
            </w:pPr>
            <w:r>
              <w:t>2</w:t>
            </w:r>
          </w:p>
        </w:tc>
        <w:tc>
          <w:tcPr>
            <w:tcW w:w="1672" w:type="dxa"/>
            <w:vAlign w:val="top"/>
          </w:tcPr>
          <w:p w14:paraId="34E19F23">
            <w:pPr>
              <w:pStyle w:val="7"/>
              <w:spacing w:before="97" w:line="219" w:lineRule="auto"/>
              <w:ind w:left="644"/>
            </w:pPr>
            <w:r>
              <w:rPr>
                <w:spacing w:val="-15"/>
              </w:rPr>
              <w:t>匪警</w:t>
            </w:r>
          </w:p>
        </w:tc>
        <w:tc>
          <w:tcPr>
            <w:tcW w:w="1590" w:type="dxa"/>
            <w:vAlign w:val="top"/>
          </w:tcPr>
          <w:p w14:paraId="7047566E">
            <w:pPr>
              <w:pStyle w:val="7"/>
              <w:spacing w:before="97" w:line="237" w:lineRule="auto"/>
              <w:ind w:left="652"/>
            </w:pPr>
            <w:r>
              <w:rPr>
                <w:spacing w:val="-13"/>
              </w:rPr>
              <w:t>110</w:t>
            </w:r>
          </w:p>
        </w:tc>
        <w:tc>
          <w:tcPr>
            <w:tcW w:w="1259" w:type="dxa"/>
            <w:vAlign w:val="top"/>
          </w:tcPr>
          <w:p w14:paraId="5861545A">
            <w:pPr>
              <w:rPr>
                <w:rFonts w:ascii="Arial"/>
                <w:sz w:val="21"/>
              </w:rPr>
            </w:pPr>
          </w:p>
        </w:tc>
        <w:tc>
          <w:tcPr>
            <w:tcW w:w="2334" w:type="dxa"/>
            <w:vAlign w:val="top"/>
          </w:tcPr>
          <w:p w14:paraId="4F7C4CE6">
            <w:pPr>
              <w:pStyle w:val="7"/>
              <w:spacing w:before="97" w:line="218" w:lineRule="auto"/>
              <w:ind w:left="312"/>
            </w:pPr>
            <w:r>
              <w:rPr>
                <w:spacing w:val="-19"/>
              </w:rPr>
              <w:t>治安事件报警救援</w:t>
            </w:r>
          </w:p>
        </w:tc>
        <w:tc>
          <w:tcPr>
            <w:tcW w:w="829" w:type="dxa"/>
            <w:tcBorders>
              <w:right w:val="single" w:color="000000" w:sz="4" w:space="0"/>
            </w:tcBorders>
            <w:vAlign w:val="top"/>
          </w:tcPr>
          <w:p w14:paraId="626A250B">
            <w:pPr>
              <w:rPr>
                <w:rFonts w:ascii="Arial"/>
                <w:sz w:val="21"/>
              </w:rPr>
            </w:pPr>
          </w:p>
        </w:tc>
      </w:tr>
      <w:tr w14:paraId="78FCF6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6" w:hRule="atLeast"/>
        </w:trPr>
        <w:tc>
          <w:tcPr>
            <w:tcW w:w="870" w:type="dxa"/>
            <w:tcBorders>
              <w:left w:val="single" w:color="000000" w:sz="4" w:space="0"/>
            </w:tcBorders>
            <w:vAlign w:val="top"/>
          </w:tcPr>
          <w:p w14:paraId="747AC261">
            <w:pPr>
              <w:pStyle w:val="7"/>
              <w:spacing w:before="98" w:line="237" w:lineRule="auto"/>
              <w:ind w:left="391"/>
            </w:pPr>
            <w:r>
              <w:t>3</w:t>
            </w:r>
          </w:p>
        </w:tc>
        <w:tc>
          <w:tcPr>
            <w:tcW w:w="1672" w:type="dxa"/>
            <w:vAlign w:val="top"/>
          </w:tcPr>
          <w:p w14:paraId="34C28E36">
            <w:pPr>
              <w:pStyle w:val="7"/>
              <w:spacing w:before="98" w:line="219" w:lineRule="auto"/>
              <w:ind w:left="633"/>
            </w:pPr>
            <w:r>
              <w:rPr>
                <w:spacing w:val="-13"/>
              </w:rPr>
              <w:t>气象</w:t>
            </w:r>
          </w:p>
        </w:tc>
        <w:tc>
          <w:tcPr>
            <w:tcW w:w="1590" w:type="dxa"/>
            <w:vAlign w:val="top"/>
          </w:tcPr>
          <w:p w14:paraId="4BD9D95C">
            <w:pPr>
              <w:pStyle w:val="7"/>
              <w:spacing w:before="99" w:line="238" w:lineRule="auto"/>
              <w:ind w:left="652"/>
            </w:pPr>
            <w:r>
              <w:rPr>
                <w:spacing w:val="-13"/>
              </w:rPr>
              <w:t>121</w:t>
            </w:r>
          </w:p>
        </w:tc>
        <w:tc>
          <w:tcPr>
            <w:tcW w:w="1259" w:type="dxa"/>
            <w:vAlign w:val="top"/>
          </w:tcPr>
          <w:p w14:paraId="630AA66D">
            <w:pPr>
              <w:rPr>
                <w:rFonts w:ascii="Arial"/>
                <w:sz w:val="21"/>
              </w:rPr>
            </w:pPr>
          </w:p>
        </w:tc>
        <w:tc>
          <w:tcPr>
            <w:tcW w:w="2334" w:type="dxa"/>
            <w:vAlign w:val="top"/>
          </w:tcPr>
          <w:p w14:paraId="78CD91E3">
            <w:pPr>
              <w:pStyle w:val="7"/>
              <w:spacing w:before="99" w:line="217" w:lineRule="auto"/>
              <w:ind w:left="754"/>
            </w:pPr>
            <w:r>
              <w:rPr>
                <w:spacing w:val="-18"/>
              </w:rPr>
              <w:t>气象信息</w:t>
            </w:r>
          </w:p>
        </w:tc>
        <w:tc>
          <w:tcPr>
            <w:tcW w:w="829" w:type="dxa"/>
            <w:tcBorders>
              <w:right w:val="single" w:color="000000" w:sz="4" w:space="0"/>
            </w:tcBorders>
            <w:vAlign w:val="top"/>
          </w:tcPr>
          <w:p w14:paraId="7B8B329E">
            <w:pPr>
              <w:rPr>
                <w:rFonts w:ascii="Arial"/>
                <w:sz w:val="21"/>
              </w:rPr>
            </w:pPr>
          </w:p>
        </w:tc>
      </w:tr>
      <w:tr w14:paraId="31F902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4" w:hRule="atLeast"/>
        </w:trPr>
        <w:tc>
          <w:tcPr>
            <w:tcW w:w="870" w:type="dxa"/>
            <w:tcBorders>
              <w:left w:val="single" w:color="000000" w:sz="4" w:space="0"/>
            </w:tcBorders>
            <w:vAlign w:val="top"/>
          </w:tcPr>
          <w:p w14:paraId="1AF42305">
            <w:pPr>
              <w:pStyle w:val="7"/>
              <w:spacing w:before="101" w:line="238" w:lineRule="auto"/>
              <w:ind w:left="386"/>
            </w:pPr>
            <w:r>
              <w:t>4</w:t>
            </w:r>
          </w:p>
        </w:tc>
        <w:tc>
          <w:tcPr>
            <w:tcW w:w="1672" w:type="dxa"/>
            <w:vAlign w:val="top"/>
          </w:tcPr>
          <w:p w14:paraId="7E241DE9">
            <w:pPr>
              <w:pStyle w:val="7"/>
              <w:spacing w:before="100" w:line="217" w:lineRule="auto"/>
              <w:ind w:left="517"/>
            </w:pPr>
            <w:r>
              <w:rPr>
                <w:spacing w:val="-14"/>
              </w:rPr>
              <w:t>查号台</w:t>
            </w:r>
          </w:p>
        </w:tc>
        <w:tc>
          <w:tcPr>
            <w:tcW w:w="1590" w:type="dxa"/>
            <w:vAlign w:val="top"/>
          </w:tcPr>
          <w:p w14:paraId="79AD6660">
            <w:pPr>
              <w:pStyle w:val="7"/>
              <w:spacing w:before="101" w:line="238" w:lineRule="auto"/>
              <w:ind w:left="652"/>
            </w:pPr>
            <w:r>
              <w:rPr>
                <w:spacing w:val="-13"/>
              </w:rPr>
              <w:t>114</w:t>
            </w:r>
          </w:p>
        </w:tc>
        <w:tc>
          <w:tcPr>
            <w:tcW w:w="1259" w:type="dxa"/>
            <w:vAlign w:val="top"/>
          </w:tcPr>
          <w:p w14:paraId="4BC83D00">
            <w:pPr>
              <w:rPr>
                <w:rFonts w:ascii="Arial"/>
                <w:sz w:val="21"/>
              </w:rPr>
            </w:pPr>
          </w:p>
        </w:tc>
        <w:tc>
          <w:tcPr>
            <w:tcW w:w="2334" w:type="dxa"/>
            <w:vAlign w:val="top"/>
          </w:tcPr>
          <w:p w14:paraId="3CD3DCDF">
            <w:pPr>
              <w:pStyle w:val="7"/>
              <w:spacing w:before="100" w:line="219" w:lineRule="auto"/>
              <w:ind w:left="553"/>
            </w:pPr>
            <w:r>
              <w:rPr>
                <w:spacing w:val="-22"/>
              </w:rPr>
              <w:t>电话号码查询</w:t>
            </w:r>
          </w:p>
        </w:tc>
        <w:tc>
          <w:tcPr>
            <w:tcW w:w="829" w:type="dxa"/>
            <w:tcBorders>
              <w:right w:val="single" w:color="000000" w:sz="4" w:space="0"/>
            </w:tcBorders>
            <w:vAlign w:val="top"/>
          </w:tcPr>
          <w:p w14:paraId="4DC15042">
            <w:pPr>
              <w:rPr>
                <w:rFonts w:ascii="Arial"/>
                <w:sz w:val="21"/>
              </w:rPr>
            </w:pPr>
          </w:p>
        </w:tc>
      </w:tr>
      <w:tr w14:paraId="496925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1" w:hRule="atLeast"/>
        </w:trPr>
        <w:tc>
          <w:tcPr>
            <w:tcW w:w="870" w:type="dxa"/>
            <w:tcBorders>
              <w:left w:val="single" w:color="1C456A" w:sz="4" w:space="0"/>
              <w:bottom w:val="single" w:color="1C456A" w:sz="4" w:space="0"/>
            </w:tcBorders>
            <w:vAlign w:val="top"/>
          </w:tcPr>
          <w:p w14:paraId="6C495205">
            <w:pPr>
              <w:pStyle w:val="7"/>
              <w:spacing w:before="109" w:line="237" w:lineRule="auto"/>
              <w:ind w:left="391"/>
            </w:pPr>
            <w:r>
              <w:t>5</w:t>
            </w:r>
          </w:p>
        </w:tc>
        <w:tc>
          <w:tcPr>
            <w:tcW w:w="1672" w:type="dxa"/>
            <w:tcBorders>
              <w:bottom w:val="single" w:color="000000" w:sz="4" w:space="0"/>
            </w:tcBorders>
            <w:vAlign w:val="top"/>
          </w:tcPr>
          <w:p w14:paraId="42BCCB86">
            <w:pPr>
              <w:pStyle w:val="7"/>
              <w:spacing w:before="109" w:line="218" w:lineRule="auto"/>
              <w:ind w:left="421"/>
            </w:pPr>
            <w:r>
              <w:rPr>
                <w:spacing w:val="-19"/>
              </w:rPr>
              <w:t>急救中心</w:t>
            </w:r>
          </w:p>
        </w:tc>
        <w:tc>
          <w:tcPr>
            <w:tcW w:w="1590" w:type="dxa"/>
            <w:tcBorders>
              <w:bottom w:val="single" w:color="000000" w:sz="4" w:space="0"/>
            </w:tcBorders>
            <w:vAlign w:val="top"/>
          </w:tcPr>
          <w:p w14:paraId="1980A5E0">
            <w:pPr>
              <w:pStyle w:val="7"/>
              <w:spacing w:before="109" w:line="237" w:lineRule="auto"/>
              <w:ind w:left="652"/>
            </w:pPr>
            <w:r>
              <w:rPr>
                <w:spacing w:val="-13"/>
              </w:rPr>
              <w:t>120</w:t>
            </w:r>
          </w:p>
        </w:tc>
        <w:tc>
          <w:tcPr>
            <w:tcW w:w="1259" w:type="dxa"/>
            <w:tcBorders>
              <w:bottom w:val="single" w:color="000000" w:sz="4" w:space="0"/>
            </w:tcBorders>
            <w:vAlign w:val="top"/>
          </w:tcPr>
          <w:p w14:paraId="161B546B">
            <w:pPr>
              <w:rPr>
                <w:rFonts w:ascii="Arial"/>
                <w:sz w:val="21"/>
              </w:rPr>
            </w:pPr>
          </w:p>
        </w:tc>
        <w:tc>
          <w:tcPr>
            <w:tcW w:w="2334" w:type="dxa"/>
            <w:tcBorders>
              <w:bottom w:val="single" w:color="000000" w:sz="4" w:space="0"/>
            </w:tcBorders>
            <w:vAlign w:val="top"/>
          </w:tcPr>
          <w:p w14:paraId="3E77B666">
            <w:pPr>
              <w:pStyle w:val="7"/>
              <w:spacing w:before="109" w:line="219" w:lineRule="auto"/>
              <w:ind w:left="530"/>
            </w:pPr>
            <w:r>
              <w:rPr>
                <w:spacing w:val="-19"/>
              </w:rPr>
              <w:t>人员伤亡急救</w:t>
            </w:r>
          </w:p>
        </w:tc>
        <w:tc>
          <w:tcPr>
            <w:tcW w:w="829" w:type="dxa"/>
            <w:tcBorders>
              <w:bottom w:val="single" w:color="5B9BD5" w:sz="4" w:space="0"/>
              <w:right w:val="single" w:color="5B9BD5" w:sz="4" w:space="0"/>
            </w:tcBorders>
            <w:vAlign w:val="top"/>
          </w:tcPr>
          <w:p w14:paraId="2A541504">
            <w:pPr>
              <w:rPr>
                <w:rFonts w:ascii="Arial"/>
                <w:sz w:val="21"/>
              </w:rPr>
            </w:pPr>
          </w:p>
        </w:tc>
      </w:tr>
    </w:tbl>
    <w:p w14:paraId="325C0620">
      <w:pPr>
        <w:pStyle w:val="2"/>
        <w:spacing w:before="112" w:line="219" w:lineRule="auto"/>
        <w:ind w:left="1971"/>
        <w:rPr>
          <w:sz w:val="24"/>
          <w:szCs w:val="24"/>
        </w:rPr>
      </w:pPr>
      <w:r>
        <w:rPr>
          <w:spacing w:val="-11"/>
          <w:sz w:val="24"/>
          <w:szCs w:val="24"/>
        </w:rPr>
        <w:t>4、人员培训</w:t>
      </w:r>
    </w:p>
    <w:p w14:paraId="2CF552FE">
      <w:pPr>
        <w:pStyle w:val="2"/>
        <w:spacing w:before="117" w:line="307" w:lineRule="auto"/>
        <w:ind w:left="1453" w:right="1450" w:firstLine="548"/>
        <w:rPr>
          <w:sz w:val="24"/>
          <w:szCs w:val="24"/>
        </w:rPr>
      </w:pPr>
      <w:r>
        <w:rPr>
          <w:spacing w:val="-22"/>
          <w:sz w:val="24"/>
          <w:szCs w:val="24"/>
        </w:rPr>
        <w:t>项目部通过组织相关人员学习现场基本救护知识，掌握常用应急救护方法。必要时可请</w:t>
      </w:r>
      <w:r>
        <w:rPr>
          <w:spacing w:val="17"/>
          <w:sz w:val="24"/>
          <w:szCs w:val="24"/>
        </w:rPr>
        <w:t>有关医疗机构、环保机构等其他机构专业人员给予现场指导。</w:t>
      </w:r>
    </w:p>
    <w:p w14:paraId="7628AB6D">
      <w:pPr>
        <w:pStyle w:val="2"/>
        <w:spacing w:before="1" w:line="216" w:lineRule="auto"/>
        <w:ind w:left="1998"/>
        <w:rPr>
          <w:sz w:val="24"/>
          <w:szCs w:val="24"/>
        </w:rPr>
      </w:pPr>
      <w:r>
        <w:rPr>
          <w:spacing w:val="-18"/>
          <w:sz w:val="24"/>
          <w:szCs w:val="24"/>
        </w:rPr>
        <w:t>5、环境保护紧急事件注意事宜</w:t>
      </w:r>
    </w:p>
    <w:p w14:paraId="05E2C50E">
      <w:pPr>
        <w:pStyle w:val="2"/>
        <w:spacing w:before="119" w:line="263" w:lineRule="auto"/>
        <w:ind w:left="1460" w:right="1451" w:firstLine="566"/>
        <w:rPr>
          <w:sz w:val="24"/>
          <w:szCs w:val="24"/>
        </w:rPr>
      </w:pPr>
      <w:r>
        <w:rPr>
          <w:spacing w:val="-15"/>
          <w:sz w:val="24"/>
          <w:szCs w:val="24"/>
        </w:rPr>
        <w:t>(1)遇到环境保护紧急意外伤害发生时，不惊慌失措，保持镇静，并立即对其进行制止</w:t>
      </w:r>
      <w:r>
        <w:rPr>
          <w:spacing w:val="14"/>
          <w:sz w:val="24"/>
          <w:szCs w:val="24"/>
        </w:rPr>
        <w:t>或将其处理为正常状态。</w:t>
      </w:r>
    </w:p>
    <w:p w14:paraId="14F0ED44">
      <w:pPr>
        <w:pStyle w:val="2"/>
        <w:spacing w:before="116" w:line="263" w:lineRule="auto"/>
        <w:ind w:left="1453" w:right="1410" w:firstLine="474"/>
        <w:rPr>
          <w:sz w:val="24"/>
          <w:szCs w:val="24"/>
        </w:rPr>
      </w:pPr>
      <w:r>
        <w:rPr>
          <w:spacing w:val="-22"/>
          <w:sz w:val="24"/>
          <w:szCs w:val="24"/>
        </w:rPr>
        <w:t>(2)如果紧急事件已发生且对现场有后续影响的，首先</w:t>
      </w:r>
      <w:r>
        <w:rPr>
          <w:spacing w:val="-23"/>
          <w:sz w:val="24"/>
          <w:szCs w:val="24"/>
        </w:rPr>
        <w:t>设法维持好现场的秩序并对现场人员</w:t>
      </w:r>
      <w:r>
        <w:rPr>
          <w:spacing w:val="-19"/>
          <w:sz w:val="24"/>
          <w:szCs w:val="24"/>
        </w:rPr>
        <w:t>有组织有次序的疏散。</w:t>
      </w:r>
    </w:p>
    <w:p w14:paraId="1EDC67D5">
      <w:pPr>
        <w:pStyle w:val="2"/>
        <w:spacing w:before="118" w:line="262" w:lineRule="auto"/>
        <w:ind w:left="1455" w:right="1409" w:firstLine="472"/>
        <w:rPr>
          <w:sz w:val="24"/>
          <w:szCs w:val="24"/>
        </w:rPr>
      </w:pPr>
      <w:r>
        <w:rPr>
          <w:spacing w:val="-22"/>
          <w:sz w:val="24"/>
          <w:szCs w:val="24"/>
        </w:rPr>
        <w:t>(3)如发生气体中毒事件时立即将中毒人转移至通风良好</w:t>
      </w:r>
      <w:r>
        <w:rPr>
          <w:spacing w:val="-23"/>
          <w:sz w:val="24"/>
          <w:szCs w:val="24"/>
        </w:rPr>
        <w:t>之处，并对事故现场进行通风并拉</w:t>
      </w:r>
      <w:r>
        <w:rPr>
          <w:spacing w:val="-20"/>
          <w:sz w:val="24"/>
          <w:szCs w:val="24"/>
        </w:rPr>
        <w:t>警戒线禁止人员入内。</w:t>
      </w:r>
    </w:p>
    <w:p w14:paraId="540FA646">
      <w:pPr>
        <w:pStyle w:val="2"/>
        <w:spacing w:before="118" w:line="216" w:lineRule="auto"/>
        <w:ind w:left="1927"/>
        <w:rPr>
          <w:sz w:val="24"/>
          <w:szCs w:val="24"/>
        </w:rPr>
      </w:pPr>
      <w:r>
        <w:rPr>
          <w:spacing w:val="-21"/>
          <w:sz w:val="24"/>
          <w:szCs w:val="24"/>
        </w:rPr>
        <w:t>(4)暂不给伤病员喝任何饮料和进食。</w:t>
      </w:r>
    </w:p>
    <w:p w14:paraId="44133465">
      <w:pPr>
        <w:pStyle w:val="2"/>
        <w:spacing w:before="118" w:line="262" w:lineRule="auto"/>
        <w:ind w:left="1462" w:right="1440" w:firstLine="465"/>
        <w:rPr>
          <w:sz w:val="24"/>
          <w:szCs w:val="24"/>
        </w:rPr>
      </w:pPr>
      <w:r>
        <w:rPr>
          <w:spacing w:val="-23"/>
          <w:sz w:val="24"/>
          <w:szCs w:val="24"/>
        </w:rPr>
        <w:t>(5)当意外发生，而现场无人时，应向周围大声呼救，请求来人帮助或设法联系有</w:t>
      </w:r>
      <w:r>
        <w:rPr>
          <w:spacing w:val="-24"/>
          <w:sz w:val="24"/>
          <w:szCs w:val="24"/>
        </w:rPr>
        <w:t>关部门，</w:t>
      </w:r>
      <w:r>
        <w:rPr>
          <w:spacing w:val="-22"/>
          <w:sz w:val="24"/>
          <w:szCs w:val="24"/>
        </w:rPr>
        <w:t>不单独留下伤病员无人照管。</w:t>
      </w:r>
    </w:p>
    <w:p w14:paraId="4DCD585F">
      <w:pPr>
        <w:pStyle w:val="2"/>
        <w:spacing w:before="120" w:line="217" w:lineRule="auto"/>
        <w:ind w:left="1927"/>
        <w:rPr>
          <w:sz w:val="24"/>
          <w:szCs w:val="24"/>
        </w:rPr>
      </w:pPr>
      <w:r>
        <w:rPr>
          <w:spacing w:val="-21"/>
          <w:sz w:val="24"/>
          <w:szCs w:val="24"/>
        </w:rPr>
        <w:t>(6)当遇到严重事故、灾害或中毒时，除急救呼叫外，由</w:t>
      </w:r>
      <w:r>
        <w:rPr>
          <w:spacing w:val="-22"/>
          <w:sz w:val="24"/>
          <w:szCs w:val="24"/>
        </w:rPr>
        <w:t>应急小组组长向</w:t>
      </w:r>
    </w:p>
    <w:p w14:paraId="2B435893">
      <w:pPr>
        <w:pStyle w:val="2"/>
        <w:spacing w:before="119" w:line="307" w:lineRule="auto"/>
        <w:ind w:left="1475" w:right="1411" w:firstLine="419"/>
        <w:rPr>
          <w:sz w:val="24"/>
          <w:szCs w:val="24"/>
        </w:rPr>
      </w:pPr>
      <w:r>
        <w:rPr>
          <w:spacing w:val="-20"/>
          <w:sz w:val="24"/>
          <w:szCs w:val="24"/>
        </w:rPr>
        <w:t>上级单位、有关政府、卫生、防疫、公安等部门报告，报告时说明现场在什么地方、病伤</w:t>
      </w:r>
      <w:r>
        <w:rPr>
          <w:spacing w:val="-22"/>
          <w:sz w:val="24"/>
          <w:szCs w:val="24"/>
        </w:rPr>
        <w:t>员有多少、伤情如何、都做过什么处理等。</w:t>
      </w:r>
    </w:p>
    <w:p w14:paraId="02AE432F">
      <w:pPr>
        <w:pStyle w:val="2"/>
        <w:spacing w:before="2" w:line="263" w:lineRule="auto"/>
        <w:ind w:left="1458" w:right="1435" w:firstLine="469"/>
        <w:rPr>
          <w:sz w:val="24"/>
          <w:szCs w:val="24"/>
        </w:rPr>
      </w:pPr>
      <w:r>
        <w:rPr>
          <w:spacing w:val="-23"/>
          <w:sz w:val="24"/>
          <w:szCs w:val="24"/>
        </w:rPr>
        <w:t>(7)根据伤情对伤病人员采取边分类边抢救的方式进行救援，救援的原则是先重后轻、先急后缓、先近后远。</w:t>
      </w:r>
    </w:p>
    <w:p w14:paraId="3BE18EB8">
      <w:pPr>
        <w:pStyle w:val="2"/>
        <w:spacing w:before="113" w:line="263" w:lineRule="auto"/>
        <w:ind w:left="1456" w:right="1428" w:firstLine="471"/>
        <w:rPr>
          <w:sz w:val="24"/>
          <w:szCs w:val="24"/>
        </w:rPr>
      </w:pPr>
      <w:r>
        <w:rPr>
          <w:spacing w:val="-23"/>
          <w:sz w:val="24"/>
          <w:szCs w:val="24"/>
        </w:rPr>
        <w:t>(8)当现场出现呼吸困难、窒息或心跳停止的伤员时，救援人员应立即将其置头于后仰位、</w:t>
      </w:r>
      <w:r>
        <w:rPr>
          <w:spacing w:val="-21"/>
          <w:sz w:val="24"/>
          <w:szCs w:val="24"/>
        </w:rPr>
        <w:t>托起下颌、使呼吸道畅通，同时施行人工呼吸、胸外心脏</w:t>
      </w:r>
      <w:r>
        <w:rPr>
          <w:spacing w:val="-22"/>
          <w:sz w:val="24"/>
          <w:szCs w:val="24"/>
        </w:rPr>
        <w:t>按压等复苏抢救。</w:t>
      </w:r>
    </w:p>
    <w:p w14:paraId="2E27F05D">
      <w:pPr>
        <w:pStyle w:val="2"/>
        <w:spacing w:before="120" w:line="260" w:lineRule="auto"/>
        <w:ind w:left="1459" w:right="1411" w:firstLine="468"/>
        <w:rPr>
          <w:sz w:val="24"/>
          <w:szCs w:val="24"/>
        </w:rPr>
      </w:pPr>
      <w:r>
        <w:rPr>
          <w:spacing w:val="-22"/>
          <w:sz w:val="24"/>
          <w:szCs w:val="24"/>
        </w:rPr>
        <w:t>(9)对病情稳定，估计转运途中不会加重伤情的伤病</w:t>
      </w:r>
      <w:r>
        <w:rPr>
          <w:spacing w:val="-23"/>
          <w:sz w:val="24"/>
          <w:szCs w:val="24"/>
        </w:rPr>
        <w:t>员，迅速组织人力，利用各种交通工具</w:t>
      </w:r>
      <w:r>
        <w:rPr>
          <w:spacing w:val="-21"/>
          <w:sz w:val="24"/>
          <w:szCs w:val="24"/>
        </w:rPr>
        <w:t>分别转运到附近的医疗单位急救。</w:t>
      </w:r>
    </w:p>
    <w:p w14:paraId="076BB4CE">
      <w:pPr>
        <w:pStyle w:val="2"/>
        <w:spacing w:before="122" w:line="218" w:lineRule="auto"/>
        <w:ind w:left="1887"/>
        <w:rPr>
          <w:sz w:val="24"/>
          <w:szCs w:val="24"/>
        </w:rPr>
      </w:pPr>
      <w:r>
        <w:rPr>
          <w:spacing w:val="-18"/>
          <w:sz w:val="24"/>
          <w:szCs w:val="24"/>
        </w:rPr>
        <w:t>6、大气污染的应急方案</w:t>
      </w:r>
    </w:p>
    <w:p w14:paraId="554B9FDE">
      <w:pPr>
        <w:pStyle w:val="2"/>
        <w:spacing w:before="118" w:line="218" w:lineRule="auto"/>
        <w:ind w:left="1927"/>
        <w:rPr>
          <w:sz w:val="24"/>
          <w:szCs w:val="24"/>
        </w:rPr>
      </w:pPr>
      <w:r>
        <w:rPr>
          <w:spacing w:val="-20"/>
          <w:sz w:val="24"/>
          <w:szCs w:val="24"/>
        </w:rPr>
        <w:t>(1)污染事故辨识</w:t>
      </w:r>
    </w:p>
    <w:p w14:paraId="78F855AD">
      <w:pPr>
        <w:pStyle w:val="2"/>
        <w:spacing w:before="115" w:line="309" w:lineRule="auto"/>
        <w:ind w:left="1463" w:right="1411" w:firstLine="429"/>
        <w:rPr>
          <w:sz w:val="24"/>
          <w:szCs w:val="24"/>
        </w:rPr>
      </w:pPr>
      <w:r>
        <w:rPr>
          <w:spacing w:val="-20"/>
          <w:sz w:val="24"/>
          <w:szCs w:val="24"/>
        </w:rPr>
        <w:t>环境气体污染时，人往往会出现以下症状：刺激眼睛，引起流泪，咽喉不适、疼痛，浓度</w:t>
      </w:r>
      <w:r>
        <w:rPr>
          <w:spacing w:val="-21"/>
          <w:sz w:val="24"/>
          <w:szCs w:val="24"/>
        </w:rPr>
        <w:t>高时，可引起人的恶心、呕吐、咳嗽、胸闷</w:t>
      </w:r>
      <w:r>
        <w:rPr>
          <w:spacing w:val="-22"/>
          <w:sz w:val="24"/>
          <w:szCs w:val="24"/>
        </w:rPr>
        <w:t>、气喘等急症。</w:t>
      </w:r>
    </w:p>
    <w:p w14:paraId="4F62BBFA">
      <w:pPr>
        <w:spacing w:line="309" w:lineRule="auto"/>
        <w:rPr>
          <w:sz w:val="24"/>
          <w:szCs w:val="24"/>
        </w:rPr>
        <w:sectPr>
          <w:footerReference r:id="rId185" w:type="default"/>
          <w:pgSz w:w="11907" w:h="16839"/>
          <w:pgMar w:top="954" w:right="4" w:bottom="1038" w:left="0" w:header="499" w:footer="357" w:gutter="0"/>
          <w:pgBorders>
            <w:top w:val="none" w:sz="0" w:space="0"/>
            <w:left w:val="none" w:sz="0" w:space="0"/>
            <w:bottom w:val="none" w:sz="0" w:space="0"/>
            <w:right w:val="none" w:sz="0" w:space="0"/>
          </w:pgBorders>
          <w:cols w:space="720" w:num="1"/>
        </w:sectPr>
      </w:pPr>
    </w:p>
    <w:p w14:paraId="2D56BE22">
      <w:pPr>
        <w:spacing w:line="250" w:lineRule="auto"/>
        <w:rPr>
          <w:rFonts w:ascii="Arial"/>
          <w:sz w:val="21"/>
        </w:rPr>
      </w:pPr>
    </w:p>
    <w:p w14:paraId="66304C7D">
      <w:pPr>
        <w:pStyle w:val="2"/>
        <w:spacing w:before="78" w:line="219" w:lineRule="auto"/>
        <w:ind w:left="1927"/>
        <w:rPr>
          <w:sz w:val="24"/>
          <w:szCs w:val="24"/>
        </w:rPr>
      </w:pPr>
      <w:r>
        <w:rPr>
          <w:spacing w:val="-20"/>
          <w:sz w:val="24"/>
          <w:szCs w:val="24"/>
        </w:rPr>
        <w:t>(2)事故应急响应措施</w:t>
      </w:r>
    </w:p>
    <w:p w14:paraId="1C33CB05">
      <w:pPr>
        <w:pStyle w:val="2"/>
        <w:spacing w:before="112" w:line="308" w:lineRule="auto"/>
        <w:ind w:left="1456" w:right="1414" w:firstLine="436"/>
        <w:rPr>
          <w:sz w:val="24"/>
          <w:szCs w:val="24"/>
        </w:rPr>
      </w:pPr>
      <w:r>
        <w:rPr>
          <w:spacing w:val="-20"/>
          <w:sz w:val="24"/>
          <w:szCs w:val="24"/>
        </w:rPr>
        <w:t>施工现场发生大气污染事故时，在现场的管理人员要迅速找到污染源，采取洒水</w:t>
      </w:r>
      <w:r>
        <w:rPr>
          <w:spacing w:val="-21"/>
          <w:sz w:val="24"/>
          <w:szCs w:val="24"/>
        </w:rPr>
        <w:t>、覆盖等</w:t>
      </w:r>
      <w:r>
        <w:rPr>
          <w:spacing w:val="-20"/>
          <w:sz w:val="24"/>
          <w:szCs w:val="24"/>
        </w:rPr>
        <w:t>防止粉尘扩散措施，同时开窗或者人工措施通风，降低污染浓度，了解现场污染及人员受伤害情况，立即向环境保护应急处理领导小组报告。环境保护应急处理领导小组接到现场的大气污染事故报告后，第一时间安排相关成员，根据事故情况，携带相关应急处理器材赶赴现场，进行应急处理。发生大气污染紧急情况后，在将现场受伤害的人员急救、转移完成及控制污染事件不再加重后，环境保护应急处理领导小组要在组长领导下，各司其职，尽快投入到大气污染</w:t>
      </w:r>
      <w:r>
        <w:rPr>
          <w:spacing w:val="-21"/>
          <w:sz w:val="24"/>
          <w:szCs w:val="24"/>
        </w:rPr>
        <w:t>的治理中，以便恢复施工正常环境，尽快组织工人恢复施工生产，将大气污染对工程的不</w:t>
      </w:r>
      <w:r>
        <w:rPr>
          <w:spacing w:val="-22"/>
          <w:sz w:val="24"/>
          <w:szCs w:val="24"/>
        </w:rPr>
        <w:t>利影</w:t>
      </w:r>
      <w:r>
        <w:rPr>
          <w:spacing w:val="-18"/>
          <w:sz w:val="24"/>
          <w:szCs w:val="24"/>
        </w:rPr>
        <w:t>响降到最小。</w:t>
      </w:r>
    </w:p>
    <w:p w14:paraId="5B7164D8">
      <w:pPr>
        <w:pStyle w:val="2"/>
        <w:spacing w:line="218" w:lineRule="auto"/>
        <w:ind w:left="1903"/>
        <w:rPr>
          <w:sz w:val="24"/>
          <w:szCs w:val="24"/>
        </w:rPr>
      </w:pPr>
      <w:r>
        <w:rPr>
          <w:spacing w:val="-16"/>
          <w:sz w:val="24"/>
          <w:szCs w:val="24"/>
        </w:rPr>
        <w:t>1)除尘技术</w:t>
      </w:r>
    </w:p>
    <w:p w14:paraId="789E2F9D">
      <w:pPr>
        <w:pStyle w:val="2"/>
        <w:spacing w:before="116" w:line="308" w:lineRule="auto"/>
        <w:ind w:left="1462" w:right="1432" w:firstLine="432"/>
        <w:rPr>
          <w:sz w:val="24"/>
          <w:szCs w:val="24"/>
        </w:rPr>
      </w:pPr>
      <w:r>
        <w:rPr>
          <w:spacing w:val="-16"/>
          <w:sz w:val="24"/>
          <w:szCs w:val="24"/>
        </w:rPr>
        <w:t>在气体中除去或收集固态或液态粒子的设备称为除尘装置。主要种类有机械除尘装置、</w:t>
      </w:r>
      <w:r>
        <w:rPr>
          <w:spacing w:val="7"/>
          <w:sz w:val="24"/>
          <w:szCs w:val="24"/>
        </w:rPr>
        <w:t>洗涤式除尘装置、过滤除尘装置和电除尘装置等。工地产生的</w:t>
      </w:r>
      <w:r>
        <w:rPr>
          <w:spacing w:val="6"/>
          <w:sz w:val="24"/>
          <w:szCs w:val="24"/>
        </w:rPr>
        <w:t>粉尘污染，可采用遮</w:t>
      </w:r>
      <w:r>
        <w:rPr>
          <w:spacing w:val="-20"/>
          <w:sz w:val="24"/>
          <w:szCs w:val="24"/>
        </w:rPr>
        <w:t>盖、洒水等措施防治。</w:t>
      </w:r>
    </w:p>
    <w:p w14:paraId="0E16BF3E">
      <w:pPr>
        <w:pStyle w:val="2"/>
        <w:spacing w:line="216" w:lineRule="auto"/>
        <w:ind w:left="1986"/>
        <w:rPr>
          <w:sz w:val="24"/>
          <w:szCs w:val="24"/>
        </w:rPr>
      </w:pPr>
      <w:r>
        <w:rPr>
          <w:spacing w:val="-15"/>
          <w:sz w:val="24"/>
          <w:szCs w:val="24"/>
        </w:rPr>
        <w:t>2)气态污染物治理技术</w:t>
      </w:r>
    </w:p>
    <w:p w14:paraId="36C7453C">
      <w:pPr>
        <w:pStyle w:val="2"/>
        <w:spacing w:before="118" w:line="308" w:lineRule="auto"/>
        <w:ind w:left="1459" w:right="1344" w:firstLine="528"/>
        <w:rPr>
          <w:sz w:val="24"/>
          <w:szCs w:val="24"/>
        </w:rPr>
      </w:pPr>
      <w:r>
        <w:rPr>
          <w:spacing w:val="-20"/>
          <w:sz w:val="24"/>
          <w:szCs w:val="24"/>
        </w:rPr>
        <w:t>大气中气态污染物的治理技术主要有以下几种方法：吸收法、</w:t>
      </w:r>
      <w:r>
        <w:rPr>
          <w:spacing w:val="-21"/>
          <w:sz w:val="24"/>
          <w:szCs w:val="24"/>
        </w:rPr>
        <w:t>吸附法、催化法、燃烧法、</w:t>
      </w:r>
      <w:r>
        <w:rPr>
          <w:spacing w:val="-19"/>
          <w:sz w:val="24"/>
          <w:szCs w:val="24"/>
        </w:rPr>
        <w:t>冷凝法、生物法。</w:t>
      </w:r>
    </w:p>
    <w:p w14:paraId="3E68252C">
      <w:pPr>
        <w:pStyle w:val="2"/>
        <w:spacing w:line="218" w:lineRule="auto"/>
        <w:ind w:left="1891"/>
        <w:rPr>
          <w:sz w:val="24"/>
          <w:szCs w:val="24"/>
        </w:rPr>
      </w:pPr>
      <w:r>
        <w:rPr>
          <w:spacing w:val="-18"/>
          <w:sz w:val="24"/>
          <w:szCs w:val="24"/>
        </w:rPr>
        <w:t>7、水污染的应急方案</w:t>
      </w:r>
    </w:p>
    <w:p w14:paraId="1552C7FC">
      <w:pPr>
        <w:pStyle w:val="2"/>
        <w:spacing w:before="115" w:line="218" w:lineRule="auto"/>
        <w:ind w:left="1927"/>
        <w:rPr>
          <w:sz w:val="24"/>
          <w:szCs w:val="24"/>
        </w:rPr>
      </w:pPr>
      <w:r>
        <w:rPr>
          <w:spacing w:val="-20"/>
          <w:sz w:val="24"/>
          <w:szCs w:val="24"/>
        </w:rPr>
        <w:t>(1)污染事故辨识</w:t>
      </w:r>
    </w:p>
    <w:p w14:paraId="09FC6AA1">
      <w:pPr>
        <w:pStyle w:val="2"/>
        <w:spacing w:before="117" w:line="308" w:lineRule="auto"/>
        <w:ind w:left="1460" w:right="1347" w:firstLine="523"/>
        <w:rPr>
          <w:sz w:val="24"/>
          <w:szCs w:val="24"/>
        </w:rPr>
      </w:pPr>
      <w:r>
        <w:rPr>
          <w:spacing w:val="5"/>
          <w:sz w:val="24"/>
          <w:szCs w:val="24"/>
        </w:rPr>
        <w:t>水被污染的现象：水体产生生难闻的气味、恶臭，水体混浊，不清</w:t>
      </w:r>
      <w:r>
        <w:rPr>
          <w:spacing w:val="4"/>
          <w:sz w:val="24"/>
          <w:szCs w:val="24"/>
        </w:rPr>
        <w:t>澈，不透明。</w:t>
      </w:r>
      <w:r>
        <w:rPr>
          <w:spacing w:val="-9"/>
          <w:sz w:val="24"/>
          <w:szCs w:val="24"/>
        </w:rPr>
        <w:t>人处于此种水体散发的气味之中往往会出现以下症状：刺激眼</w:t>
      </w:r>
      <w:r>
        <w:rPr>
          <w:spacing w:val="-10"/>
          <w:sz w:val="24"/>
          <w:szCs w:val="24"/>
        </w:rPr>
        <w:t>睛，引起流泪，刺鼻，咽喉</w:t>
      </w:r>
      <w:r>
        <w:rPr>
          <w:spacing w:val="-11"/>
          <w:sz w:val="24"/>
          <w:szCs w:val="24"/>
        </w:rPr>
        <w:t>不适、疼痛，浓度高时，可引起人的恶心、呕吐、咳嗽、胸闷、气喘、头晕等急症。</w:t>
      </w:r>
    </w:p>
    <w:p w14:paraId="0EE8B265">
      <w:pPr>
        <w:pStyle w:val="2"/>
        <w:spacing w:line="218" w:lineRule="auto"/>
        <w:ind w:left="2038"/>
        <w:rPr>
          <w:sz w:val="24"/>
          <w:szCs w:val="24"/>
        </w:rPr>
      </w:pPr>
      <w:r>
        <w:rPr>
          <w:spacing w:val="-18"/>
          <w:sz w:val="24"/>
          <w:szCs w:val="24"/>
        </w:rPr>
        <w:t>(2)水污染应急响应措施</w:t>
      </w:r>
    </w:p>
    <w:p w14:paraId="1FA92DD0">
      <w:pPr>
        <w:pStyle w:val="2"/>
        <w:spacing w:before="120" w:line="307" w:lineRule="auto"/>
        <w:ind w:left="1455" w:right="1336" w:firstLine="437"/>
        <w:rPr>
          <w:sz w:val="24"/>
          <w:szCs w:val="24"/>
        </w:rPr>
      </w:pPr>
      <w:r>
        <w:rPr>
          <w:spacing w:val="-20"/>
          <w:sz w:val="24"/>
          <w:szCs w:val="24"/>
        </w:rPr>
        <w:t>环境水体污染事故被发现后，首先要做的第一件事就是截断水体污染源，保持水体不再继</w:t>
      </w:r>
      <w:r>
        <w:rPr>
          <w:spacing w:val="-23"/>
          <w:sz w:val="24"/>
          <w:szCs w:val="24"/>
        </w:rPr>
        <w:t>续受到污染。知情人立即向环境保护应急处理领导小组报告，报告可采用电话联系</w:t>
      </w:r>
      <w:r>
        <w:rPr>
          <w:spacing w:val="-24"/>
          <w:sz w:val="24"/>
          <w:szCs w:val="24"/>
        </w:rPr>
        <w:t>的方式进行。</w:t>
      </w:r>
      <w:r>
        <w:rPr>
          <w:spacing w:val="-20"/>
          <w:sz w:val="24"/>
          <w:szCs w:val="24"/>
        </w:rPr>
        <w:t>环境保护应急处理领导小组组长、副组长组织人员保护现场并作应急处理，使水体污染不再扩</w:t>
      </w:r>
      <w:r>
        <w:rPr>
          <w:spacing w:val="-9"/>
          <w:sz w:val="24"/>
          <w:szCs w:val="24"/>
        </w:rPr>
        <w:t>散。水污染治理主要采用化学法、物理法、物理化学法、生物法四种措施。由安全环境保</w:t>
      </w:r>
      <w:r>
        <w:rPr>
          <w:spacing w:val="11"/>
          <w:sz w:val="24"/>
          <w:szCs w:val="24"/>
        </w:rPr>
        <w:t>护部邀请环保部门现场检测，待达到污水排</w:t>
      </w:r>
      <w:r>
        <w:rPr>
          <w:spacing w:val="10"/>
          <w:sz w:val="24"/>
          <w:szCs w:val="24"/>
        </w:rPr>
        <w:t>放标准后，将其排入市政污水管网。</w:t>
      </w:r>
    </w:p>
    <w:p w14:paraId="1A5C8BA4">
      <w:pPr>
        <w:pStyle w:val="2"/>
        <w:spacing w:before="1" w:line="218" w:lineRule="auto"/>
        <w:ind w:left="1985"/>
        <w:rPr>
          <w:sz w:val="24"/>
          <w:szCs w:val="24"/>
        </w:rPr>
      </w:pPr>
      <w:r>
        <w:rPr>
          <w:spacing w:val="-16"/>
          <w:sz w:val="24"/>
          <w:szCs w:val="24"/>
        </w:rPr>
        <w:t>8、噪声污染的应急方案</w:t>
      </w:r>
    </w:p>
    <w:p w14:paraId="1983A93D">
      <w:pPr>
        <w:pStyle w:val="2"/>
        <w:spacing w:before="118" w:line="218" w:lineRule="auto"/>
        <w:ind w:left="1927"/>
        <w:rPr>
          <w:sz w:val="24"/>
          <w:szCs w:val="24"/>
        </w:rPr>
      </w:pPr>
      <w:r>
        <w:rPr>
          <w:spacing w:val="-20"/>
          <w:sz w:val="24"/>
          <w:szCs w:val="24"/>
        </w:rPr>
        <w:t>(1)污染事故辨识</w:t>
      </w:r>
    </w:p>
    <w:p w14:paraId="5403AE1F">
      <w:pPr>
        <w:pStyle w:val="2"/>
        <w:spacing w:before="114" w:line="308" w:lineRule="auto"/>
        <w:ind w:left="1459" w:right="1414" w:firstLine="550"/>
        <w:jc w:val="both"/>
        <w:rPr>
          <w:sz w:val="24"/>
          <w:szCs w:val="24"/>
        </w:rPr>
      </w:pPr>
      <w:r>
        <w:rPr>
          <w:spacing w:val="8"/>
          <w:sz w:val="24"/>
          <w:szCs w:val="24"/>
        </w:rPr>
        <w:t>当环境中对人的生活和工作产生不良影响的声音称为噪音，人长期处于噪声环</w:t>
      </w:r>
      <w:r>
        <w:rPr>
          <w:spacing w:val="-11"/>
          <w:sz w:val="24"/>
          <w:szCs w:val="24"/>
        </w:rPr>
        <w:t>境中会产生如下不良反应：噪音使人耳聋、使人产生头痛、脑胀、昏晕、耳鸣、多梦、失</w:t>
      </w:r>
      <w:r>
        <w:rPr>
          <w:spacing w:val="-16"/>
          <w:sz w:val="24"/>
          <w:szCs w:val="24"/>
        </w:rPr>
        <w:t>眠、心悸、和全身乏力、影响人的心理状态与情绪、恶心、呕吐、咳嗽、胸闷、气喘、头晕等急症。</w:t>
      </w:r>
    </w:p>
    <w:p w14:paraId="20E354FD">
      <w:pPr>
        <w:pStyle w:val="2"/>
        <w:spacing w:line="218" w:lineRule="auto"/>
        <w:ind w:left="2067"/>
        <w:rPr>
          <w:sz w:val="24"/>
          <w:szCs w:val="24"/>
        </w:rPr>
      </w:pPr>
      <w:r>
        <w:rPr>
          <w:spacing w:val="-18"/>
          <w:sz w:val="24"/>
          <w:szCs w:val="24"/>
        </w:rPr>
        <w:t>(2)噪声污染应急响应措施</w:t>
      </w:r>
    </w:p>
    <w:p w14:paraId="47F9B2F0">
      <w:pPr>
        <w:pStyle w:val="2"/>
        <w:spacing w:before="117" w:line="307" w:lineRule="auto"/>
        <w:ind w:left="1461" w:right="1411" w:firstLine="533"/>
        <w:rPr>
          <w:sz w:val="24"/>
          <w:szCs w:val="24"/>
        </w:rPr>
      </w:pPr>
      <w:r>
        <w:rPr>
          <w:spacing w:val="1"/>
          <w:sz w:val="24"/>
          <w:szCs w:val="24"/>
        </w:rPr>
        <w:t>噪音污染事件被发现后，首先要做的第一件事就是截断噪音污染源，停止噪音</w:t>
      </w:r>
      <w:r>
        <w:rPr>
          <w:spacing w:val="-20"/>
          <w:sz w:val="24"/>
          <w:szCs w:val="24"/>
        </w:rPr>
        <w:t>污染。知情人立即向环境保护应急处理领导小组报告，报告可采用电话联系的方式进行。环境</w:t>
      </w:r>
    </w:p>
    <w:p w14:paraId="1DC53722">
      <w:pPr>
        <w:spacing w:line="307" w:lineRule="auto"/>
        <w:rPr>
          <w:sz w:val="24"/>
          <w:szCs w:val="24"/>
        </w:rPr>
        <w:sectPr>
          <w:footerReference r:id="rId186" w:type="default"/>
          <w:pgSz w:w="11907" w:h="16839"/>
          <w:pgMar w:top="954" w:right="4" w:bottom="1038" w:left="0" w:header="499" w:footer="357" w:gutter="0"/>
          <w:pgBorders>
            <w:top w:val="none" w:sz="0" w:space="0"/>
            <w:left w:val="none" w:sz="0" w:space="0"/>
            <w:bottom w:val="none" w:sz="0" w:space="0"/>
            <w:right w:val="none" w:sz="0" w:space="0"/>
          </w:pgBorders>
          <w:cols w:space="720" w:num="1"/>
        </w:sectPr>
      </w:pPr>
    </w:p>
    <w:p w14:paraId="09F3294E">
      <w:pPr>
        <w:spacing w:line="249" w:lineRule="auto"/>
        <w:rPr>
          <w:rFonts w:ascii="Arial"/>
          <w:sz w:val="21"/>
        </w:rPr>
      </w:pPr>
    </w:p>
    <w:p w14:paraId="0EA646C4">
      <w:pPr>
        <w:pStyle w:val="2"/>
        <w:spacing w:before="78" w:line="308" w:lineRule="auto"/>
        <w:ind w:left="1457" w:right="1452"/>
        <w:rPr>
          <w:sz w:val="24"/>
          <w:szCs w:val="24"/>
        </w:rPr>
      </w:pPr>
      <w:r>
        <w:rPr>
          <w:spacing w:val="-21"/>
          <w:sz w:val="24"/>
          <w:szCs w:val="24"/>
        </w:rPr>
        <w:t>保护应急处理领导小组组长组织小组成员第一时间赶赴现场，根据现场情况，采取相应救治、处理措施。采取噪声控制技术，可从声源、传播途径、接</w:t>
      </w:r>
      <w:r>
        <w:rPr>
          <w:spacing w:val="-22"/>
          <w:sz w:val="24"/>
          <w:szCs w:val="24"/>
        </w:rPr>
        <w:t>收者防护等方面来进行污染治理。</w:t>
      </w:r>
    </w:p>
    <w:p w14:paraId="443627DB">
      <w:pPr>
        <w:pStyle w:val="2"/>
        <w:spacing w:line="216" w:lineRule="auto"/>
        <w:ind w:left="1886"/>
        <w:rPr>
          <w:sz w:val="24"/>
          <w:szCs w:val="24"/>
        </w:rPr>
      </w:pPr>
      <w:r>
        <w:rPr>
          <w:spacing w:val="-19"/>
          <w:sz w:val="24"/>
          <w:szCs w:val="24"/>
        </w:rPr>
        <w:t>9、固体废弃物污染应急方案</w:t>
      </w:r>
    </w:p>
    <w:p w14:paraId="7970F3AA">
      <w:pPr>
        <w:pStyle w:val="2"/>
        <w:spacing w:before="118" w:line="217" w:lineRule="auto"/>
        <w:ind w:left="1927"/>
        <w:rPr>
          <w:sz w:val="24"/>
          <w:szCs w:val="24"/>
        </w:rPr>
      </w:pPr>
      <w:r>
        <w:rPr>
          <w:spacing w:val="-21"/>
          <w:sz w:val="24"/>
          <w:szCs w:val="24"/>
        </w:rPr>
        <w:t>(1)固体废弃物对环境的危害</w:t>
      </w:r>
    </w:p>
    <w:p w14:paraId="3EBF4EA0">
      <w:pPr>
        <w:pStyle w:val="2"/>
        <w:spacing w:before="118" w:line="308" w:lineRule="auto"/>
        <w:ind w:left="1456" w:right="1410" w:firstLine="462"/>
        <w:rPr>
          <w:sz w:val="24"/>
          <w:szCs w:val="24"/>
        </w:rPr>
      </w:pPr>
      <w:r>
        <w:rPr>
          <w:spacing w:val="-20"/>
          <w:sz w:val="24"/>
          <w:szCs w:val="24"/>
        </w:rPr>
        <w:t>当施工中产生建筑渣土、废弃的散装建筑材料、生活垃圾、包装材料等</w:t>
      </w:r>
      <w:r>
        <w:rPr>
          <w:spacing w:val="-21"/>
          <w:sz w:val="24"/>
          <w:szCs w:val="24"/>
        </w:rPr>
        <w:t>垃圾时，如不妥善</w:t>
      </w:r>
      <w:r>
        <w:rPr>
          <w:spacing w:val="-20"/>
          <w:sz w:val="24"/>
          <w:szCs w:val="24"/>
        </w:rPr>
        <w:t>处理，将会对环境造成重大危害，如对土壤污染、对水域污染、对大气污染，造成对人体的危害，影响人的身体健康。</w:t>
      </w:r>
    </w:p>
    <w:p w14:paraId="07D1AA5B">
      <w:pPr>
        <w:pStyle w:val="2"/>
        <w:spacing w:line="216" w:lineRule="auto"/>
        <w:ind w:left="1927"/>
        <w:rPr>
          <w:sz w:val="24"/>
          <w:szCs w:val="24"/>
        </w:rPr>
      </w:pPr>
      <w:r>
        <w:rPr>
          <w:spacing w:val="-21"/>
          <w:sz w:val="24"/>
          <w:szCs w:val="24"/>
        </w:rPr>
        <w:t>(2)固体废弃物污染应急响应措施</w:t>
      </w:r>
    </w:p>
    <w:p w14:paraId="6551D3FA">
      <w:pPr>
        <w:pStyle w:val="2"/>
        <w:spacing w:before="117" w:line="308" w:lineRule="auto"/>
        <w:ind w:left="1459" w:right="1409" w:firstLine="459"/>
        <w:rPr>
          <w:sz w:val="24"/>
          <w:szCs w:val="24"/>
        </w:rPr>
      </w:pPr>
      <w:r>
        <w:rPr>
          <w:spacing w:val="-20"/>
          <w:sz w:val="24"/>
          <w:szCs w:val="24"/>
        </w:rPr>
        <w:t>固废物污染被发现后，首先要做的第一件事就是控制固废物，避免扩散</w:t>
      </w:r>
      <w:r>
        <w:rPr>
          <w:spacing w:val="-21"/>
          <w:sz w:val="24"/>
          <w:szCs w:val="24"/>
        </w:rPr>
        <w:t>。知情人立即向环</w:t>
      </w:r>
      <w:r>
        <w:rPr>
          <w:spacing w:val="-20"/>
          <w:sz w:val="24"/>
          <w:szCs w:val="24"/>
        </w:rPr>
        <w:t>境保护应急处理领导小组报告，报告可采用电话联系的方式进行。应急处理小组成员赶赴现场并作应急处理。然后按照相应固体废弃物的处置措施，联系相关单位及时清理。对已经遭受污</w:t>
      </w:r>
      <w:r>
        <w:rPr>
          <w:spacing w:val="-21"/>
          <w:sz w:val="24"/>
          <w:szCs w:val="24"/>
        </w:rPr>
        <w:t>染的大气、土壤、水域进行治理，使其恢复至正常水</w:t>
      </w:r>
      <w:r>
        <w:rPr>
          <w:spacing w:val="-22"/>
          <w:sz w:val="24"/>
          <w:szCs w:val="24"/>
        </w:rPr>
        <w:t>平，尽快恢复现场生活、生产活动。</w:t>
      </w:r>
    </w:p>
    <w:p w14:paraId="4C69B8A1">
      <w:pPr>
        <w:pStyle w:val="2"/>
        <w:spacing w:before="1" w:line="218" w:lineRule="auto"/>
        <w:ind w:left="1903"/>
        <w:rPr>
          <w:sz w:val="24"/>
          <w:szCs w:val="24"/>
        </w:rPr>
      </w:pPr>
      <w:r>
        <w:rPr>
          <w:spacing w:val="-19"/>
          <w:sz w:val="24"/>
          <w:szCs w:val="24"/>
        </w:rPr>
        <w:t>10、吸入毒气急救应急方案</w:t>
      </w:r>
    </w:p>
    <w:p w14:paraId="5D5FA5DD">
      <w:pPr>
        <w:pStyle w:val="2"/>
        <w:spacing w:before="114" w:line="300" w:lineRule="auto"/>
        <w:ind w:left="1453" w:right="1409" w:firstLine="443"/>
        <w:rPr>
          <w:sz w:val="24"/>
          <w:szCs w:val="24"/>
        </w:rPr>
      </w:pPr>
      <w:r>
        <w:rPr>
          <w:spacing w:val="-20"/>
          <w:sz w:val="24"/>
          <w:szCs w:val="24"/>
        </w:rPr>
        <w:t>一氧化碳、二氧化氮、二氧化硫、硫化氢等超过允许浓度时，均能使人吸入后中毒。如发现有人中毒昏迷后，救护者千万不要冒然进入现场施救，否则会导致多人中毒的严重后果。遇有此种情况，救护者一定要保护清醒的头脑，首先对中毒区进行通风，待有害气体降到允许浓度时，方可进入现场抢救。救护者施救时切记，一定要戴上防毒面具。将中毒者抬至空气新鲜</w:t>
      </w:r>
      <w:r>
        <w:rPr>
          <w:spacing w:val="-22"/>
          <w:sz w:val="24"/>
          <w:szCs w:val="24"/>
        </w:rPr>
        <w:t>的地点后，立即通知救护车送医院救治。</w:t>
      </w:r>
    </w:p>
    <w:p w14:paraId="11E87CC5">
      <w:pPr>
        <w:pStyle w:val="2"/>
        <w:spacing w:before="1" w:line="217" w:lineRule="auto"/>
        <w:ind w:left="4591"/>
        <w:outlineLvl w:val="1"/>
        <w:rPr>
          <w:sz w:val="30"/>
          <w:szCs w:val="30"/>
        </w:rPr>
      </w:pPr>
      <w:bookmarkStart w:id="121" w:name="bookmark116"/>
      <w:bookmarkEnd w:id="121"/>
      <w:r>
        <w:rPr>
          <w:b/>
          <w:bCs/>
          <w:color w:val="0070C0"/>
          <w:spacing w:val="-24"/>
          <w:sz w:val="30"/>
          <w:szCs w:val="30"/>
        </w:rPr>
        <w:t>第三节、扬尘治理措施</w:t>
      </w:r>
    </w:p>
    <w:p w14:paraId="3E768459">
      <w:pPr>
        <w:pStyle w:val="2"/>
        <w:spacing w:before="63" w:line="219" w:lineRule="auto"/>
        <w:ind w:left="1981"/>
        <w:outlineLvl w:val="2"/>
        <w:rPr>
          <w:sz w:val="28"/>
          <w:szCs w:val="28"/>
        </w:rPr>
      </w:pPr>
      <w:bookmarkStart w:id="122" w:name="bookmark117"/>
      <w:bookmarkEnd w:id="122"/>
      <w:r>
        <w:rPr>
          <w:b/>
          <w:bCs/>
          <w:spacing w:val="-23"/>
          <w:sz w:val="28"/>
          <w:szCs w:val="28"/>
        </w:rPr>
        <w:t>一、扬尘治理管理目标及体系</w:t>
      </w:r>
    </w:p>
    <w:p w14:paraId="35B29070">
      <w:pPr>
        <w:pStyle w:val="2"/>
        <w:spacing w:before="102" w:line="218" w:lineRule="auto"/>
        <w:ind w:left="1903"/>
        <w:rPr>
          <w:sz w:val="24"/>
          <w:szCs w:val="24"/>
        </w:rPr>
      </w:pPr>
      <w:r>
        <w:rPr>
          <w:spacing w:val="-19"/>
          <w:sz w:val="24"/>
          <w:szCs w:val="24"/>
        </w:rPr>
        <w:t>1、扬尘治理目标</w:t>
      </w:r>
    </w:p>
    <w:p w14:paraId="014C7665">
      <w:pPr>
        <w:pStyle w:val="2"/>
        <w:spacing w:before="117" w:line="308" w:lineRule="auto"/>
        <w:ind w:left="1459" w:right="1409" w:firstLine="434"/>
        <w:rPr>
          <w:sz w:val="24"/>
          <w:szCs w:val="24"/>
        </w:rPr>
      </w:pPr>
      <w:r>
        <w:rPr>
          <w:spacing w:val="-22"/>
          <w:sz w:val="24"/>
          <w:szCs w:val="24"/>
        </w:rPr>
        <w:t>依据《中华人民共和国大气污染防治法》、《扬尘污染防治管理办法》、《</w:t>
      </w:r>
      <w:r>
        <w:rPr>
          <w:spacing w:val="-20"/>
          <w:sz w:val="24"/>
          <w:szCs w:val="24"/>
        </w:rPr>
        <w:t>大气污染防治条例》、《建设工程扬尘污染防治暂行规定》(合建〔</w:t>
      </w:r>
      <w:r>
        <w:rPr>
          <w:spacing w:val="-21"/>
          <w:sz w:val="24"/>
          <w:szCs w:val="24"/>
        </w:rPr>
        <w:t>2015〕33号文)等相</w:t>
      </w:r>
      <w:r>
        <w:rPr>
          <w:spacing w:val="-20"/>
          <w:sz w:val="24"/>
          <w:szCs w:val="24"/>
        </w:rPr>
        <w:t>关文件精神和建设单位的要求执行，建立扬尘治理管理体系，配备相应的防尘、除尘设施，制</w:t>
      </w:r>
      <w:r>
        <w:rPr>
          <w:spacing w:val="-22"/>
          <w:sz w:val="24"/>
          <w:szCs w:val="24"/>
        </w:rPr>
        <w:t>定治理措施，美化施工环境，减少施工对环境的影响的同时达到有效控制施工扬尘的目的。</w:t>
      </w:r>
    </w:p>
    <w:p w14:paraId="5349536F">
      <w:pPr>
        <w:pStyle w:val="2"/>
        <w:spacing w:line="217" w:lineRule="auto"/>
        <w:ind w:left="1927"/>
        <w:rPr>
          <w:sz w:val="24"/>
          <w:szCs w:val="24"/>
        </w:rPr>
      </w:pPr>
      <w:r>
        <w:rPr>
          <w:spacing w:val="-24"/>
          <w:sz w:val="24"/>
          <w:szCs w:val="24"/>
        </w:rPr>
        <w:t>(1)施工扬尘污染控制达标；</w:t>
      </w:r>
    </w:p>
    <w:p w14:paraId="33E22A74">
      <w:pPr>
        <w:pStyle w:val="2"/>
        <w:spacing w:before="116" w:line="218" w:lineRule="auto"/>
        <w:ind w:left="1927"/>
        <w:rPr>
          <w:sz w:val="24"/>
          <w:szCs w:val="24"/>
        </w:rPr>
      </w:pPr>
      <w:r>
        <w:rPr>
          <w:spacing w:val="-20"/>
          <w:sz w:val="24"/>
          <w:szCs w:val="24"/>
        </w:rPr>
        <w:t>(2)无重大投诉；</w:t>
      </w:r>
    </w:p>
    <w:p w14:paraId="5A27B53E">
      <w:pPr>
        <w:pStyle w:val="2"/>
        <w:spacing w:before="118" w:line="217" w:lineRule="auto"/>
        <w:ind w:left="1927"/>
        <w:rPr>
          <w:sz w:val="24"/>
          <w:szCs w:val="24"/>
        </w:rPr>
      </w:pPr>
      <w:r>
        <w:rPr>
          <w:spacing w:val="-21"/>
          <w:sz w:val="24"/>
          <w:szCs w:val="24"/>
        </w:rPr>
        <w:t>(3)无因施工扬尘控制不善造成的上级处罚或通报批评；</w:t>
      </w:r>
    </w:p>
    <w:p w14:paraId="1ABCD570">
      <w:pPr>
        <w:pStyle w:val="2"/>
        <w:spacing w:before="119" w:line="216" w:lineRule="auto"/>
        <w:ind w:left="1927"/>
        <w:rPr>
          <w:sz w:val="24"/>
          <w:szCs w:val="24"/>
        </w:rPr>
      </w:pPr>
      <w:r>
        <w:rPr>
          <w:spacing w:val="-21"/>
          <w:sz w:val="24"/>
          <w:szCs w:val="24"/>
        </w:rPr>
        <w:t>(4)上级部门检查验收达标；</w:t>
      </w:r>
    </w:p>
    <w:p w14:paraId="7BDD036B">
      <w:pPr>
        <w:pStyle w:val="2"/>
        <w:spacing w:before="118" w:line="218" w:lineRule="auto"/>
        <w:ind w:left="1888"/>
        <w:rPr>
          <w:sz w:val="24"/>
          <w:szCs w:val="24"/>
        </w:rPr>
      </w:pPr>
      <w:r>
        <w:rPr>
          <w:spacing w:val="-19"/>
          <w:sz w:val="24"/>
          <w:szCs w:val="24"/>
        </w:rPr>
        <w:t>2、扬尘治理管理体系及职责划分</w:t>
      </w:r>
    </w:p>
    <w:p w14:paraId="3898FC11">
      <w:pPr>
        <w:pStyle w:val="2"/>
        <w:spacing w:before="117" w:line="218" w:lineRule="auto"/>
        <w:ind w:left="1927"/>
        <w:rPr>
          <w:sz w:val="24"/>
          <w:szCs w:val="24"/>
        </w:rPr>
      </w:pPr>
      <w:r>
        <w:rPr>
          <w:spacing w:val="-20"/>
          <w:sz w:val="24"/>
          <w:szCs w:val="24"/>
        </w:rPr>
        <w:t>(1)扬尘治理管理体系</w:t>
      </w:r>
    </w:p>
    <w:p w14:paraId="30A30821">
      <w:pPr>
        <w:pStyle w:val="2"/>
        <w:spacing w:before="117" w:line="308" w:lineRule="auto"/>
        <w:ind w:left="1457" w:right="1409" w:firstLine="435"/>
        <w:rPr>
          <w:sz w:val="24"/>
          <w:szCs w:val="24"/>
        </w:rPr>
      </w:pPr>
      <w:r>
        <w:rPr>
          <w:spacing w:val="-20"/>
          <w:sz w:val="24"/>
          <w:szCs w:val="24"/>
        </w:rPr>
        <w:t>建设单位、总包总部宏观控制，监理单位监督，建立以项目经理为组长，总工程师、项目书记、生产经理为副组长，专业责任工程师落实检查和监控的扬尘治理小组，形成从项目经理部到各劳务队伍、各专业公司、作业班组的扬尘治理体系，从人力、物力、财力上对工程实行全方位战略管控，将工程的施工扬尘控制融入到整个施工管理中去，最终确保本工程扬尘治理</w:t>
      </w:r>
      <w:r>
        <w:rPr>
          <w:spacing w:val="-18"/>
          <w:sz w:val="24"/>
          <w:szCs w:val="24"/>
        </w:rPr>
        <w:t>目标的实现。</w:t>
      </w:r>
    </w:p>
    <w:p w14:paraId="394179DA">
      <w:pPr>
        <w:spacing w:line="308" w:lineRule="auto"/>
        <w:rPr>
          <w:sz w:val="24"/>
          <w:szCs w:val="24"/>
        </w:rPr>
        <w:sectPr>
          <w:footerReference r:id="rId187" w:type="default"/>
          <w:pgSz w:w="11907" w:h="16839"/>
          <w:pgMar w:top="954" w:right="4" w:bottom="1038" w:left="0" w:header="499" w:footer="357" w:gutter="0"/>
          <w:pgBorders>
            <w:top w:val="none" w:sz="0" w:space="0"/>
            <w:left w:val="none" w:sz="0" w:space="0"/>
            <w:bottom w:val="none" w:sz="0" w:space="0"/>
            <w:right w:val="none" w:sz="0" w:space="0"/>
          </w:pgBorders>
          <w:cols w:space="720" w:num="1"/>
        </w:sectPr>
      </w:pPr>
    </w:p>
    <w:p w14:paraId="2B03892D">
      <w:pPr>
        <w:spacing w:before="66"/>
      </w:pPr>
    </w:p>
    <w:p w14:paraId="5411C5FA">
      <w:pPr>
        <w:spacing w:before="66"/>
      </w:pPr>
    </w:p>
    <w:tbl>
      <w:tblPr>
        <w:tblStyle w:val="6"/>
        <w:tblW w:w="8926" w:type="dxa"/>
        <w:tblInd w:w="149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14"/>
        <w:gridCol w:w="616"/>
        <w:gridCol w:w="1613"/>
        <w:gridCol w:w="6483"/>
      </w:tblGrid>
      <w:tr w14:paraId="1B1168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9" w:hRule="atLeast"/>
        </w:trPr>
        <w:tc>
          <w:tcPr>
            <w:tcW w:w="830" w:type="dxa"/>
            <w:gridSpan w:val="2"/>
            <w:tcBorders>
              <w:top w:val="single" w:color="000000" w:sz="4" w:space="0"/>
              <w:left w:val="single" w:color="000000" w:sz="4" w:space="0"/>
            </w:tcBorders>
            <w:shd w:val="clear" w:color="auto" w:fill="DEEAF6"/>
            <w:vAlign w:val="top"/>
          </w:tcPr>
          <w:p w14:paraId="47895022">
            <w:pPr>
              <w:pStyle w:val="7"/>
              <w:spacing w:before="127" w:line="218" w:lineRule="auto"/>
              <w:ind w:left="214"/>
            </w:pPr>
            <w:r>
              <w:rPr>
                <w:b/>
                <w:bCs/>
                <w:spacing w:val="-12"/>
              </w:rPr>
              <w:t>序号</w:t>
            </w:r>
          </w:p>
        </w:tc>
        <w:tc>
          <w:tcPr>
            <w:tcW w:w="1613" w:type="dxa"/>
            <w:tcBorders>
              <w:top w:val="single" w:color="000000" w:sz="4" w:space="0"/>
            </w:tcBorders>
            <w:shd w:val="clear" w:color="auto" w:fill="DEEAF6"/>
            <w:vAlign w:val="top"/>
          </w:tcPr>
          <w:p w14:paraId="2FC2A586">
            <w:pPr>
              <w:pStyle w:val="7"/>
              <w:spacing w:before="127" w:line="219" w:lineRule="auto"/>
              <w:ind w:left="599"/>
            </w:pPr>
            <w:r>
              <w:rPr>
                <w:b/>
                <w:bCs/>
                <w:spacing w:val="-13"/>
              </w:rPr>
              <w:t>类别</w:t>
            </w:r>
          </w:p>
        </w:tc>
        <w:tc>
          <w:tcPr>
            <w:tcW w:w="6483" w:type="dxa"/>
            <w:tcBorders>
              <w:top w:val="single" w:color="5B9BD5" w:sz="4" w:space="0"/>
              <w:right w:val="single" w:color="5B9BD5" w:sz="4" w:space="0"/>
            </w:tcBorders>
            <w:shd w:val="clear" w:color="auto" w:fill="DEEAF6"/>
            <w:vAlign w:val="top"/>
          </w:tcPr>
          <w:p w14:paraId="27B07D54">
            <w:pPr>
              <w:pStyle w:val="7"/>
              <w:spacing w:before="126" w:line="217" w:lineRule="auto"/>
              <w:ind w:left="2806"/>
            </w:pPr>
            <w:r>
              <w:rPr>
                <w:b/>
                <w:bCs/>
                <w:spacing w:val="-18"/>
              </w:rPr>
              <w:t>制度名称</w:t>
            </w:r>
          </w:p>
        </w:tc>
      </w:tr>
      <w:tr w14:paraId="27A3D8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7" w:hRule="atLeast"/>
        </w:trPr>
        <w:tc>
          <w:tcPr>
            <w:tcW w:w="830" w:type="dxa"/>
            <w:gridSpan w:val="2"/>
            <w:vMerge w:val="restart"/>
            <w:tcBorders>
              <w:left w:val="single" w:color="000000" w:sz="4" w:space="0"/>
              <w:bottom w:val="nil"/>
            </w:tcBorders>
            <w:vAlign w:val="top"/>
          </w:tcPr>
          <w:p w14:paraId="2D531E3A">
            <w:pPr>
              <w:spacing w:line="244" w:lineRule="auto"/>
              <w:rPr>
                <w:rFonts w:ascii="Arial"/>
                <w:sz w:val="21"/>
              </w:rPr>
            </w:pPr>
          </w:p>
          <w:p w14:paraId="57C94F55">
            <w:pPr>
              <w:spacing w:line="244" w:lineRule="auto"/>
              <w:rPr>
                <w:rFonts w:ascii="Arial"/>
                <w:sz w:val="21"/>
              </w:rPr>
            </w:pPr>
          </w:p>
          <w:p w14:paraId="771A9C23">
            <w:pPr>
              <w:spacing w:line="244" w:lineRule="auto"/>
              <w:rPr>
                <w:rFonts w:ascii="Arial"/>
                <w:sz w:val="21"/>
              </w:rPr>
            </w:pPr>
          </w:p>
          <w:p w14:paraId="0382A4BC">
            <w:pPr>
              <w:spacing w:line="244" w:lineRule="auto"/>
              <w:rPr>
                <w:rFonts w:ascii="Arial"/>
                <w:sz w:val="21"/>
              </w:rPr>
            </w:pPr>
          </w:p>
          <w:p w14:paraId="3194F737">
            <w:pPr>
              <w:spacing w:line="245" w:lineRule="auto"/>
              <w:rPr>
                <w:rFonts w:ascii="Arial"/>
                <w:sz w:val="21"/>
              </w:rPr>
            </w:pPr>
          </w:p>
          <w:p w14:paraId="03C4DA74">
            <w:pPr>
              <w:pStyle w:val="7"/>
              <w:spacing w:before="78" w:line="238" w:lineRule="auto"/>
              <w:ind w:left="388"/>
            </w:pPr>
            <w:r>
              <w:t>1</w:t>
            </w:r>
          </w:p>
        </w:tc>
        <w:tc>
          <w:tcPr>
            <w:tcW w:w="1613" w:type="dxa"/>
            <w:vMerge w:val="restart"/>
            <w:tcBorders>
              <w:bottom w:val="nil"/>
            </w:tcBorders>
            <w:vAlign w:val="top"/>
          </w:tcPr>
          <w:p w14:paraId="5A0F8CAD">
            <w:pPr>
              <w:spacing w:line="244" w:lineRule="auto"/>
              <w:rPr>
                <w:rFonts w:ascii="Arial"/>
                <w:sz w:val="21"/>
              </w:rPr>
            </w:pPr>
          </w:p>
          <w:p w14:paraId="5BAEE489">
            <w:pPr>
              <w:spacing w:line="244" w:lineRule="auto"/>
              <w:rPr>
                <w:rFonts w:ascii="Arial"/>
                <w:sz w:val="21"/>
              </w:rPr>
            </w:pPr>
          </w:p>
          <w:p w14:paraId="60471149">
            <w:pPr>
              <w:spacing w:line="244" w:lineRule="auto"/>
              <w:rPr>
                <w:rFonts w:ascii="Arial"/>
                <w:sz w:val="21"/>
              </w:rPr>
            </w:pPr>
          </w:p>
          <w:p w14:paraId="14F2A9DD">
            <w:pPr>
              <w:spacing w:line="244" w:lineRule="auto"/>
              <w:rPr>
                <w:rFonts w:ascii="Arial"/>
                <w:sz w:val="21"/>
              </w:rPr>
            </w:pPr>
          </w:p>
          <w:p w14:paraId="27811446">
            <w:pPr>
              <w:spacing w:line="245" w:lineRule="auto"/>
              <w:rPr>
                <w:rFonts w:ascii="Arial"/>
                <w:sz w:val="21"/>
              </w:rPr>
            </w:pPr>
          </w:p>
          <w:p w14:paraId="1080C378">
            <w:pPr>
              <w:pStyle w:val="7"/>
              <w:spacing w:before="78" w:line="217" w:lineRule="auto"/>
              <w:ind w:left="162"/>
            </w:pPr>
            <w:r>
              <w:rPr>
                <w:spacing w:val="-18"/>
              </w:rPr>
              <w:t>基本制度体系</w:t>
            </w:r>
          </w:p>
        </w:tc>
        <w:tc>
          <w:tcPr>
            <w:tcW w:w="6483" w:type="dxa"/>
            <w:tcBorders>
              <w:right w:val="single" w:color="000000" w:sz="4" w:space="0"/>
            </w:tcBorders>
            <w:vAlign w:val="top"/>
          </w:tcPr>
          <w:p w14:paraId="7107F554">
            <w:pPr>
              <w:pStyle w:val="7"/>
              <w:spacing w:before="126" w:line="217" w:lineRule="auto"/>
              <w:ind w:left="2153"/>
            </w:pPr>
            <w:r>
              <w:rPr>
                <w:spacing w:val="-20"/>
              </w:rPr>
              <w:t>扬尘预防治理约谈制度</w:t>
            </w:r>
          </w:p>
        </w:tc>
      </w:tr>
      <w:tr w14:paraId="423C84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6" w:hRule="atLeast"/>
        </w:trPr>
        <w:tc>
          <w:tcPr>
            <w:tcW w:w="830" w:type="dxa"/>
            <w:gridSpan w:val="2"/>
            <w:vMerge w:val="continue"/>
            <w:tcBorders>
              <w:top w:val="nil"/>
              <w:left w:val="single" w:color="000000" w:sz="4" w:space="0"/>
              <w:bottom w:val="nil"/>
            </w:tcBorders>
            <w:vAlign w:val="top"/>
          </w:tcPr>
          <w:p w14:paraId="097EFE90">
            <w:pPr>
              <w:rPr>
                <w:rFonts w:ascii="Arial"/>
                <w:sz w:val="21"/>
              </w:rPr>
            </w:pPr>
          </w:p>
        </w:tc>
        <w:tc>
          <w:tcPr>
            <w:tcW w:w="1613" w:type="dxa"/>
            <w:vMerge w:val="continue"/>
            <w:tcBorders>
              <w:top w:val="nil"/>
              <w:bottom w:val="nil"/>
            </w:tcBorders>
            <w:vAlign w:val="top"/>
          </w:tcPr>
          <w:p w14:paraId="257BF86F">
            <w:pPr>
              <w:rPr>
                <w:rFonts w:ascii="Arial"/>
                <w:sz w:val="21"/>
              </w:rPr>
            </w:pPr>
          </w:p>
        </w:tc>
        <w:tc>
          <w:tcPr>
            <w:tcW w:w="6483" w:type="dxa"/>
            <w:tcBorders>
              <w:right w:val="single" w:color="000000" w:sz="4" w:space="0"/>
            </w:tcBorders>
            <w:vAlign w:val="top"/>
          </w:tcPr>
          <w:p w14:paraId="6CEF2956">
            <w:pPr>
              <w:pStyle w:val="7"/>
              <w:spacing w:before="124" w:line="216" w:lineRule="auto"/>
              <w:ind w:left="2371"/>
            </w:pPr>
            <w:r>
              <w:rPr>
                <w:spacing w:val="-19"/>
              </w:rPr>
              <w:t>巡视监督检查制度</w:t>
            </w:r>
          </w:p>
        </w:tc>
      </w:tr>
      <w:tr w14:paraId="2844A6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87" w:hRule="atLeast"/>
        </w:trPr>
        <w:tc>
          <w:tcPr>
            <w:tcW w:w="830" w:type="dxa"/>
            <w:gridSpan w:val="2"/>
            <w:vMerge w:val="continue"/>
            <w:tcBorders>
              <w:top w:val="nil"/>
              <w:left w:val="single" w:color="000000" w:sz="4" w:space="0"/>
              <w:bottom w:val="nil"/>
            </w:tcBorders>
            <w:vAlign w:val="top"/>
          </w:tcPr>
          <w:p w14:paraId="719917E3">
            <w:pPr>
              <w:rPr>
                <w:rFonts w:ascii="Arial"/>
                <w:sz w:val="21"/>
              </w:rPr>
            </w:pPr>
          </w:p>
        </w:tc>
        <w:tc>
          <w:tcPr>
            <w:tcW w:w="1613" w:type="dxa"/>
            <w:vMerge w:val="continue"/>
            <w:tcBorders>
              <w:top w:val="nil"/>
              <w:bottom w:val="nil"/>
            </w:tcBorders>
            <w:vAlign w:val="top"/>
          </w:tcPr>
          <w:p w14:paraId="236EA510">
            <w:pPr>
              <w:rPr>
                <w:rFonts w:ascii="Arial"/>
                <w:sz w:val="21"/>
              </w:rPr>
            </w:pPr>
          </w:p>
        </w:tc>
        <w:tc>
          <w:tcPr>
            <w:tcW w:w="6483" w:type="dxa"/>
            <w:tcBorders>
              <w:right w:val="single" w:color="000000" w:sz="4" w:space="0"/>
            </w:tcBorders>
            <w:vAlign w:val="top"/>
          </w:tcPr>
          <w:p w14:paraId="44ACDF8A">
            <w:pPr>
              <w:pStyle w:val="7"/>
              <w:spacing w:before="124" w:line="217" w:lineRule="auto"/>
              <w:ind w:left="2595"/>
            </w:pPr>
            <w:r>
              <w:rPr>
                <w:spacing w:val="-19"/>
              </w:rPr>
              <w:t>不良记录制度</w:t>
            </w:r>
          </w:p>
        </w:tc>
      </w:tr>
      <w:tr w14:paraId="4901A8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9" w:hRule="atLeast"/>
        </w:trPr>
        <w:tc>
          <w:tcPr>
            <w:tcW w:w="830" w:type="dxa"/>
            <w:gridSpan w:val="2"/>
            <w:vMerge w:val="continue"/>
            <w:tcBorders>
              <w:top w:val="nil"/>
              <w:left w:val="single" w:color="000000" w:sz="4" w:space="0"/>
              <w:bottom w:val="nil"/>
            </w:tcBorders>
            <w:vAlign w:val="top"/>
          </w:tcPr>
          <w:p w14:paraId="1D12B20E">
            <w:pPr>
              <w:rPr>
                <w:rFonts w:ascii="Arial"/>
                <w:sz w:val="21"/>
              </w:rPr>
            </w:pPr>
          </w:p>
        </w:tc>
        <w:tc>
          <w:tcPr>
            <w:tcW w:w="1613" w:type="dxa"/>
            <w:vMerge w:val="continue"/>
            <w:tcBorders>
              <w:top w:val="nil"/>
              <w:bottom w:val="nil"/>
            </w:tcBorders>
            <w:vAlign w:val="top"/>
          </w:tcPr>
          <w:p w14:paraId="7FAC22EB">
            <w:pPr>
              <w:rPr>
                <w:rFonts w:ascii="Arial"/>
                <w:sz w:val="21"/>
              </w:rPr>
            </w:pPr>
          </w:p>
        </w:tc>
        <w:tc>
          <w:tcPr>
            <w:tcW w:w="6483" w:type="dxa"/>
            <w:tcBorders>
              <w:right w:val="single" w:color="000000" w:sz="4" w:space="0"/>
            </w:tcBorders>
            <w:vAlign w:val="top"/>
          </w:tcPr>
          <w:p w14:paraId="3E1CE93B">
            <w:pPr>
              <w:pStyle w:val="7"/>
              <w:spacing w:before="122" w:line="217" w:lineRule="auto"/>
              <w:ind w:left="2591"/>
            </w:pPr>
            <w:r>
              <w:rPr>
                <w:spacing w:val="-18"/>
              </w:rPr>
              <w:t>违章处罚制度</w:t>
            </w:r>
          </w:p>
        </w:tc>
      </w:tr>
      <w:tr w14:paraId="2AE7F1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7" w:hRule="atLeast"/>
        </w:trPr>
        <w:tc>
          <w:tcPr>
            <w:tcW w:w="830" w:type="dxa"/>
            <w:gridSpan w:val="2"/>
            <w:vMerge w:val="continue"/>
            <w:tcBorders>
              <w:top w:val="nil"/>
              <w:left w:val="single" w:color="000000" w:sz="4" w:space="0"/>
            </w:tcBorders>
            <w:vAlign w:val="top"/>
          </w:tcPr>
          <w:p w14:paraId="133F71D1">
            <w:pPr>
              <w:rPr>
                <w:rFonts w:ascii="Arial"/>
                <w:sz w:val="21"/>
              </w:rPr>
            </w:pPr>
          </w:p>
        </w:tc>
        <w:tc>
          <w:tcPr>
            <w:tcW w:w="1613" w:type="dxa"/>
            <w:vMerge w:val="continue"/>
            <w:tcBorders>
              <w:top w:val="nil"/>
            </w:tcBorders>
            <w:vAlign w:val="top"/>
          </w:tcPr>
          <w:p w14:paraId="6DD933FD">
            <w:pPr>
              <w:rPr>
                <w:rFonts w:ascii="Arial"/>
                <w:sz w:val="21"/>
              </w:rPr>
            </w:pPr>
          </w:p>
        </w:tc>
        <w:tc>
          <w:tcPr>
            <w:tcW w:w="6483" w:type="dxa"/>
            <w:tcBorders>
              <w:right w:val="single" w:color="000000" w:sz="4" w:space="0"/>
            </w:tcBorders>
            <w:vAlign w:val="top"/>
          </w:tcPr>
          <w:p w14:paraId="4104C16B">
            <w:pPr>
              <w:pStyle w:val="7"/>
              <w:spacing w:before="119" w:line="217" w:lineRule="auto"/>
              <w:ind w:left="2480"/>
            </w:pPr>
            <w:r>
              <w:rPr>
                <w:spacing w:val="-19"/>
              </w:rPr>
              <w:t>扬尘控制责任书</w:t>
            </w:r>
          </w:p>
        </w:tc>
      </w:tr>
      <w:tr w14:paraId="1121B5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7" w:hRule="atLeast"/>
        </w:trPr>
        <w:tc>
          <w:tcPr>
            <w:tcW w:w="830" w:type="dxa"/>
            <w:gridSpan w:val="2"/>
            <w:vMerge w:val="restart"/>
            <w:tcBorders>
              <w:left w:val="single" w:color="000000" w:sz="4" w:space="0"/>
              <w:bottom w:val="nil"/>
            </w:tcBorders>
            <w:vAlign w:val="top"/>
          </w:tcPr>
          <w:p w14:paraId="4C90EF00">
            <w:pPr>
              <w:spacing w:line="307" w:lineRule="auto"/>
              <w:rPr>
                <w:rFonts w:ascii="Arial"/>
                <w:sz w:val="21"/>
              </w:rPr>
            </w:pPr>
          </w:p>
          <w:p w14:paraId="2D3FF0D6">
            <w:pPr>
              <w:spacing w:line="307" w:lineRule="auto"/>
              <w:rPr>
                <w:rFonts w:ascii="Arial"/>
                <w:sz w:val="21"/>
              </w:rPr>
            </w:pPr>
          </w:p>
          <w:p w14:paraId="769FE04F">
            <w:pPr>
              <w:spacing w:line="308" w:lineRule="auto"/>
              <w:rPr>
                <w:rFonts w:ascii="Arial"/>
                <w:sz w:val="21"/>
              </w:rPr>
            </w:pPr>
          </w:p>
          <w:p w14:paraId="0FF511D3">
            <w:pPr>
              <w:pStyle w:val="7"/>
              <w:spacing w:before="78" w:line="238" w:lineRule="auto"/>
              <w:ind w:left="373"/>
            </w:pPr>
            <w:r>
              <w:t>2</w:t>
            </w:r>
          </w:p>
        </w:tc>
        <w:tc>
          <w:tcPr>
            <w:tcW w:w="1613" w:type="dxa"/>
            <w:vMerge w:val="restart"/>
            <w:tcBorders>
              <w:bottom w:val="nil"/>
            </w:tcBorders>
            <w:vAlign w:val="top"/>
          </w:tcPr>
          <w:p w14:paraId="4193A810">
            <w:pPr>
              <w:spacing w:line="307" w:lineRule="auto"/>
              <w:rPr>
                <w:rFonts w:ascii="Arial"/>
                <w:sz w:val="21"/>
              </w:rPr>
            </w:pPr>
          </w:p>
          <w:p w14:paraId="12C176DA">
            <w:pPr>
              <w:spacing w:line="307" w:lineRule="auto"/>
              <w:rPr>
                <w:rFonts w:ascii="Arial"/>
                <w:sz w:val="21"/>
              </w:rPr>
            </w:pPr>
          </w:p>
          <w:p w14:paraId="3887B516">
            <w:pPr>
              <w:spacing w:line="308" w:lineRule="auto"/>
              <w:rPr>
                <w:rFonts w:ascii="Arial"/>
                <w:sz w:val="21"/>
              </w:rPr>
            </w:pPr>
          </w:p>
          <w:p w14:paraId="75BADC4C">
            <w:pPr>
              <w:pStyle w:val="7"/>
              <w:spacing w:before="78" w:line="217" w:lineRule="auto"/>
              <w:ind w:left="192"/>
            </w:pPr>
            <w:r>
              <w:rPr>
                <w:spacing w:val="-23"/>
              </w:rPr>
              <w:t>岗位管理制度</w:t>
            </w:r>
          </w:p>
        </w:tc>
        <w:tc>
          <w:tcPr>
            <w:tcW w:w="6483" w:type="dxa"/>
            <w:tcBorders>
              <w:right w:val="single" w:color="000000" w:sz="4" w:space="0"/>
            </w:tcBorders>
            <w:vAlign w:val="top"/>
          </w:tcPr>
          <w:p w14:paraId="0FE6A785">
            <w:pPr>
              <w:pStyle w:val="7"/>
              <w:spacing w:before="120" w:line="217" w:lineRule="auto"/>
              <w:ind w:left="2371"/>
            </w:pPr>
            <w:r>
              <w:rPr>
                <w:spacing w:val="-19"/>
              </w:rPr>
              <w:t>扬尘治理组织制度</w:t>
            </w:r>
          </w:p>
        </w:tc>
      </w:tr>
      <w:tr w14:paraId="20A048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6" w:hRule="atLeast"/>
        </w:trPr>
        <w:tc>
          <w:tcPr>
            <w:tcW w:w="830" w:type="dxa"/>
            <w:gridSpan w:val="2"/>
            <w:vMerge w:val="continue"/>
            <w:tcBorders>
              <w:top w:val="nil"/>
              <w:left w:val="single" w:color="000000" w:sz="4" w:space="0"/>
              <w:bottom w:val="nil"/>
            </w:tcBorders>
            <w:vAlign w:val="top"/>
          </w:tcPr>
          <w:p w14:paraId="191414F8">
            <w:pPr>
              <w:rPr>
                <w:rFonts w:ascii="Arial"/>
                <w:sz w:val="21"/>
              </w:rPr>
            </w:pPr>
          </w:p>
        </w:tc>
        <w:tc>
          <w:tcPr>
            <w:tcW w:w="1613" w:type="dxa"/>
            <w:vMerge w:val="continue"/>
            <w:tcBorders>
              <w:top w:val="nil"/>
              <w:bottom w:val="nil"/>
            </w:tcBorders>
            <w:vAlign w:val="top"/>
          </w:tcPr>
          <w:p w14:paraId="4ECFE7AF">
            <w:pPr>
              <w:rPr>
                <w:rFonts w:ascii="Arial"/>
                <w:sz w:val="21"/>
              </w:rPr>
            </w:pPr>
          </w:p>
        </w:tc>
        <w:tc>
          <w:tcPr>
            <w:tcW w:w="6483" w:type="dxa"/>
            <w:tcBorders>
              <w:right w:val="single" w:color="000000" w:sz="4" w:space="0"/>
            </w:tcBorders>
            <w:vAlign w:val="top"/>
          </w:tcPr>
          <w:p w14:paraId="2C2DE141">
            <w:pPr>
              <w:pStyle w:val="7"/>
              <w:spacing w:before="119" w:line="217" w:lineRule="auto"/>
              <w:ind w:left="2371"/>
            </w:pPr>
            <w:r>
              <w:rPr>
                <w:spacing w:val="-19"/>
              </w:rPr>
              <w:t>扬尘治理责任制度</w:t>
            </w:r>
          </w:p>
        </w:tc>
      </w:tr>
      <w:tr w14:paraId="716BEE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7" w:hRule="atLeast"/>
        </w:trPr>
        <w:tc>
          <w:tcPr>
            <w:tcW w:w="830" w:type="dxa"/>
            <w:gridSpan w:val="2"/>
            <w:vMerge w:val="continue"/>
            <w:tcBorders>
              <w:top w:val="nil"/>
              <w:left w:val="single" w:color="000000" w:sz="4" w:space="0"/>
              <w:bottom w:val="nil"/>
            </w:tcBorders>
            <w:vAlign w:val="top"/>
          </w:tcPr>
          <w:p w14:paraId="1D3770D4">
            <w:pPr>
              <w:rPr>
                <w:rFonts w:ascii="Arial"/>
                <w:sz w:val="21"/>
              </w:rPr>
            </w:pPr>
          </w:p>
        </w:tc>
        <w:tc>
          <w:tcPr>
            <w:tcW w:w="1613" w:type="dxa"/>
            <w:vMerge w:val="continue"/>
            <w:tcBorders>
              <w:top w:val="nil"/>
              <w:bottom w:val="nil"/>
            </w:tcBorders>
            <w:vAlign w:val="top"/>
          </w:tcPr>
          <w:p w14:paraId="5A4FEAAD">
            <w:pPr>
              <w:rPr>
                <w:rFonts w:ascii="Arial"/>
                <w:sz w:val="21"/>
              </w:rPr>
            </w:pPr>
          </w:p>
        </w:tc>
        <w:tc>
          <w:tcPr>
            <w:tcW w:w="6483" w:type="dxa"/>
            <w:tcBorders>
              <w:right w:val="single" w:color="000000" w:sz="4" w:space="0"/>
            </w:tcBorders>
            <w:vAlign w:val="top"/>
          </w:tcPr>
          <w:p w14:paraId="202EC957">
            <w:pPr>
              <w:pStyle w:val="7"/>
              <w:spacing w:before="118" w:line="217" w:lineRule="auto"/>
              <w:ind w:left="2153"/>
            </w:pPr>
            <w:r>
              <w:rPr>
                <w:spacing w:val="-20"/>
              </w:rPr>
              <w:t>扬尘治理教育培训制度</w:t>
            </w:r>
          </w:p>
        </w:tc>
      </w:tr>
      <w:tr w14:paraId="0D9617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9" w:hRule="atLeast"/>
        </w:trPr>
        <w:tc>
          <w:tcPr>
            <w:tcW w:w="830" w:type="dxa"/>
            <w:gridSpan w:val="2"/>
            <w:vMerge w:val="continue"/>
            <w:tcBorders>
              <w:top w:val="nil"/>
              <w:left w:val="single" w:color="000000" w:sz="4" w:space="0"/>
            </w:tcBorders>
            <w:vAlign w:val="top"/>
          </w:tcPr>
          <w:p w14:paraId="46F075B9">
            <w:pPr>
              <w:rPr>
                <w:rFonts w:ascii="Arial"/>
                <w:sz w:val="21"/>
              </w:rPr>
            </w:pPr>
          </w:p>
        </w:tc>
        <w:tc>
          <w:tcPr>
            <w:tcW w:w="1613" w:type="dxa"/>
            <w:vMerge w:val="continue"/>
            <w:tcBorders>
              <w:top w:val="nil"/>
            </w:tcBorders>
            <w:vAlign w:val="top"/>
          </w:tcPr>
          <w:p w14:paraId="7B408B37">
            <w:pPr>
              <w:rPr>
                <w:rFonts w:ascii="Arial"/>
                <w:sz w:val="21"/>
              </w:rPr>
            </w:pPr>
          </w:p>
        </w:tc>
        <w:tc>
          <w:tcPr>
            <w:tcW w:w="6483" w:type="dxa"/>
            <w:tcBorders>
              <w:right w:val="single" w:color="000000" w:sz="4" w:space="0"/>
            </w:tcBorders>
            <w:vAlign w:val="top"/>
          </w:tcPr>
          <w:p w14:paraId="15F4D697">
            <w:pPr>
              <w:pStyle w:val="7"/>
              <w:spacing w:before="116" w:line="217" w:lineRule="auto"/>
              <w:ind w:left="2371"/>
            </w:pPr>
            <w:r>
              <w:rPr>
                <w:spacing w:val="-19"/>
              </w:rPr>
              <w:t>扬尘治理奖惩制度</w:t>
            </w:r>
          </w:p>
        </w:tc>
      </w:tr>
      <w:tr w14:paraId="459158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7" w:hRule="atLeast"/>
        </w:trPr>
        <w:tc>
          <w:tcPr>
            <w:tcW w:w="830" w:type="dxa"/>
            <w:gridSpan w:val="2"/>
            <w:vMerge w:val="restart"/>
            <w:tcBorders>
              <w:left w:val="single" w:color="000000" w:sz="4" w:space="0"/>
              <w:bottom w:val="nil"/>
            </w:tcBorders>
            <w:vAlign w:val="top"/>
          </w:tcPr>
          <w:p w14:paraId="10662F07">
            <w:pPr>
              <w:spacing w:line="311" w:lineRule="auto"/>
              <w:rPr>
                <w:rFonts w:ascii="Arial"/>
                <w:sz w:val="21"/>
              </w:rPr>
            </w:pPr>
          </w:p>
          <w:p w14:paraId="29BAD2FD">
            <w:pPr>
              <w:spacing w:line="312" w:lineRule="auto"/>
              <w:rPr>
                <w:rFonts w:ascii="Arial"/>
                <w:sz w:val="21"/>
              </w:rPr>
            </w:pPr>
          </w:p>
          <w:p w14:paraId="5F27F979">
            <w:pPr>
              <w:pStyle w:val="7"/>
              <w:spacing w:before="78" w:line="237" w:lineRule="auto"/>
              <w:ind w:left="375"/>
            </w:pPr>
            <w:r>
              <w:t>3</w:t>
            </w:r>
          </w:p>
        </w:tc>
        <w:tc>
          <w:tcPr>
            <w:tcW w:w="1613" w:type="dxa"/>
            <w:vMerge w:val="restart"/>
            <w:tcBorders>
              <w:bottom w:val="nil"/>
            </w:tcBorders>
            <w:vAlign w:val="top"/>
          </w:tcPr>
          <w:p w14:paraId="388D4866">
            <w:pPr>
              <w:spacing w:line="312" w:lineRule="auto"/>
              <w:rPr>
                <w:rFonts w:ascii="Arial"/>
                <w:sz w:val="21"/>
              </w:rPr>
            </w:pPr>
          </w:p>
          <w:p w14:paraId="002BFC7E">
            <w:pPr>
              <w:spacing w:line="312" w:lineRule="auto"/>
              <w:rPr>
                <w:rFonts w:ascii="Arial"/>
                <w:sz w:val="21"/>
              </w:rPr>
            </w:pPr>
          </w:p>
          <w:p w14:paraId="5AB06993">
            <w:pPr>
              <w:pStyle w:val="7"/>
              <w:spacing w:before="78" w:line="217" w:lineRule="auto"/>
              <w:ind w:left="162"/>
            </w:pPr>
            <w:r>
              <w:rPr>
                <w:spacing w:val="-18"/>
              </w:rPr>
              <w:t>措施管理制度</w:t>
            </w:r>
          </w:p>
        </w:tc>
        <w:tc>
          <w:tcPr>
            <w:tcW w:w="6483" w:type="dxa"/>
            <w:tcBorders>
              <w:right w:val="single" w:color="000000" w:sz="4" w:space="0"/>
            </w:tcBorders>
            <w:vAlign w:val="top"/>
          </w:tcPr>
          <w:p w14:paraId="3A8B4C05">
            <w:pPr>
              <w:pStyle w:val="7"/>
              <w:spacing w:before="113" w:line="217" w:lineRule="auto"/>
              <w:ind w:left="1716"/>
            </w:pPr>
            <w:r>
              <w:rPr>
                <w:spacing w:val="-21"/>
              </w:rPr>
              <w:t>扬尘治理措施的编制和审批制度</w:t>
            </w:r>
          </w:p>
        </w:tc>
      </w:tr>
      <w:tr w14:paraId="2B7833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7" w:hRule="atLeast"/>
        </w:trPr>
        <w:tc>
          <w:tcPr>
            <w:tcW w:w="830" w:type="dxa"/>
            <w:gridSpan w:val="2"/>
            <w:vMerge w:val="continue"/>
            <w:tcBorders>
              <w:top w:val="nil"/>
              <w:left w:val="single" w:color="000000" w:sz="4" w:space="0"/>
              <w:bottom w:val="nil"/>
            </w:tcBorders>
            <w:vAlign w:val="top"/>
          </w:tcPr>
          <w:p w14:paraId="44241CAE">
            <w:pPr>
              <w:rPr>
                <w:rFonts w:ascii="Arial"/>
                <w:sz w:val="21"/>
              </w:rPr>
            </w:pPr>
          </w:p>
        </w:tc>
        <w:tc>
          <w:tcPr>
            <w:tcW w:w="1613" w:type="dxa"/>
            <w:vMerge w:val="continue"/>
            <w:tcBorders>
              <w:top w:val="nil"/>
              <w:bottom w:val="nil"/>
            </w:tcBorders>
            <w:vAlign w:val="top"/>
          </w:tcPr>
          <w:p w14:paraId="276FB407">
            <w:pPr>
              <w:rPr>
                <w:rFonts w:ascii="Arial"/>
                <w:sz w:val="21"/>
              </w:rPr>
            </w:pPr>
          </w:p>
        </w:tc>
        <w:tc>
          <w:tcPr>
            <w:tcW w:w="6483" w:type="dxa"/>
            <w:tcBorders>
              <w:right w:val="single" w:color="000000" w:sz="4" w:space="0"/>
            </w:tcBorders>
            <w:vAlign w:val="top"/>
          </w:tcPr>
          <w:p w14:paraId="7DB77708">
            <w:pPr>
              <w:pStyle w:val="7"/>
              <w:spacing w:before="114" w:line="217" w:lineRule="auto"/>
              <w:ind w:left="1608"/>
            </w:pPr>
            <w:r>
              <w:rPr>
                <w:spacing w:val="-21"/>
              </w:rPr>
              <w:t>扬尘治理技术措施实施的管理制度</w:t>
            </w:r>
          </w:p>
        </w:tc>
      </w:tr>
      <w:tr w14:paraId="63FC25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7" w:hRule="atLeast"/>
        </w:trPr>
        <w:tc>
          <w:tcPr>
            <w:tcW w:w="830" w:type="dxa"/>
            <w:gridSpan w:val="2"/>
            <w:vMerge w:val="continue"/>
            <w:tcBorders>
              <w:top w:val="nil"/>
              <w:left w:val="single" w:color="000000" w:sz="4" w:space="0"/>
            </w:tcBorders>
            <w:vAlign w:val="top"/>
          </w:tcPr>
          <w:p w14:paraId="372F6D43">
            <w:pPr>
              <w:rPr>
                <w:rFonts w:ascii="Arial"/>
                <w:sz w:val="21"/>
              </w:rPr>
            </w:pPr>
          </w:p>
        </w:tc>
        <w:tc>
          <w:tcPr>
            <w:tcW w:w="1613" w:type="dxa"/>
            <w:vMerge w:val="continue"/>
            <w:tcBorders>
              <w:top w:val="nil"/>
            </w:tcBorders>
            <w:vAlign w:val="top"/>
          </w:tcPr>
          <w:p w14:paraId="48D87D40">
            <w:pPr>
              <w:rPr>
                <w:rFonts w:ascii="Arial"/>
                <w:sz w:val="21"/>
              </w:rPr>
            </w:pPr>
          </w:p>
        </w:tc>
        <w:tc>
          <w:tcPr>
            <w:tcW w:w="6483" w:type="dxa"/>
            <w:tcBorders>
              <w:right w:val="single" w:color="000000" w:sz="4" w:space="0"/>
            </w:tcBorders>
            <w:vAlign w:val="top"/>
          </w:tcPr>
          <w:p w14:paraId="16A38F2F">
            <w:pPr>
              <w:pStyle w:val="7"/>
              <w:spacing w:before="112" w:line="217" w:lineRule="auto"/>
              <w:ind w:left="1500"/>
            </w:pPr>
            <w:r>
              <w:rPr>
                <w:spacing w:val="-21"/>
              </w:rPr>
              <w:t>扬尘治理技术措施的总结和评价制度</w:t>
            </w:r>
          </w:p>
        </w:tc>
      </w:tr>
      <w:tr w14:paraId="4181DD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7" w:hRule="atLeast"/>
        </w:trPr>
        <w:tc>
          <w:tcPr>
            <w:tcW w:w="830" w:type="dxa"/>
            <w:gridSpan w:val="2"/>
            <w:vMerge w:val="restart"/>
            <w:tcBorders>
              <w:left w:val="single" w:color="000000" w:sz="4" w:space="0"/>
              <w:bottom w:val="nil"/>
            </w:tcBorders>
            <w:vAlign w:val="top"/>
          </w:tcPr>
          <w:p w14:paraId="63BF4FCF">
            <w:pPr>
              <w:spacing w:line="326" w:lineRule="auto"/>
              <w:rPr>
                <w:rFonts w:ascii="Arial"/>
                <w:sz w:val="21"/>
              </w:rPr>
            </w:pPr>
          </w:p>
          <w:p w14:paraId="53AD525D">
            <w:pPr>
              <w:pStyle w:val="7"/>
              <w:spacing w:before="78" w:line="238" w:lineRule="auto"/>
              <w:ind w:left="369"/>
            </w:pPr>
            <w:r>
              <w:t>4</w:t>
            </w:r>
          </w:p>
        </w:tc>
        <w:tc>
          <w:tcPr>
            <w:tcW w:w="1613" w:type="dxa"/>
            <w:vMerge w:val="restart"/>
            <w:tcBorders>
              <w:bottom w:val="nil"/>
            </w:tcBorders>
            <w:vAlign w:val="top"/>
          </w:tcPr>
          <w:p w14:paraId="17D2BAC0">
            <w:pPr>
              <w:pStyle w:val="7"/>
              <w:spacing w:before="172" w:line="217" w:lineRule="auto"/>
              <w:ind w:left="161"/>
            </w:pPr>
            <w:r>
              <w:rPr>
                <w:spacing w:val="-18"/>
              </w:rPr>
              <w:t>投入和物资管</w:t>
            </w:r>
          </w:p>
          <w:p w14:paraId="722987BB">
            <w:pPr>
              <w:pStyle w:val="7"/>
              <w:spacing w:before="183" w:line="229" w:lineRule="auto"/>
              <w:ind w:left="708"/>
            </w:pPr>
            <w:r>
              <w:t>理</w:t>
            </w:r>
          </w:p>
        </w:tc>
        <w:tc>
          <w:tcPr>
            <w:tcW w:w="6483" w:type="dxa"/>
            <w:tcBorders>
              <w:right w:val="single" w:color="000000" w:sz="4" w:space="0"/>
            </w:tcBorders>
            <w:vAlign w:val="top"/>
          </w:tcPr>
          <w:p w14:paraId="3184E409">
            <w:pPr>
              <w:pStyle w:val="7"/>
              <w:spacing w:before="111" w:line="217" w:lineRule="auto"/>
              <w:ind w:left="845"/>
            </w:pPr>
            <w:r>
              <w:rPr>
                <w:spacing w:val="-21"/>
              </w:rPr>
              <w:t>扬尘治理设备、设施和措施费用的编制和审批制度</w:t>
            </w:r>
          </w:p>
        </w:tc>
      </w:tr>
      <w:tr w14:paraId="1814C5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9" w:hRule="atLeast"/>
        </w:trPr>
        <w:tc>
          <w:tcPr>
            <w:tcW w:w="830" w:type="dxa"/>
            <w:gridSpan w:val="2"/>
            <w:vMerge w:val="continue"/>
            <w:tcBorders>
              <w:top w:val="nil"/>
              <w:left w:val="single" w:color="000000" w:sz="4" w:space="0"/>
            </w:tcBorders>
            <w:vAlign w:val="top"/>
          </w:tcPr>
          <w:p w14:paraId="326229DE">
            <w:pPr>
              <w:rPr>
                <w:rFonts w:ascii="Arial"/>
                <w:sz w:val="21"/>
              </w:rPr>
            </w:pPr>
          </w:p>
        </w:tc>
        <w:tc>
          <w:tcPr>
            <w:tcW w:w="1613" w:type="dxa"/>
            <w:vMerge w:val="continue"/>
            <w:tcBorders>
              <w:top w:val="nil"/>
            </w:tcBorders>
            <w:vAlign w:val="top"/>
          </w:tcPr>
          <w:p w14:paraId="727A519D">
            <w:pPr>
              <w:rPr>
                <w:rFonts w:ascii="Arial"/>
                <w:sz w:val="21"/>
              </w:rPr>
            </w:pPr>
          </w:p>
        </w:tc>
        <w:tc>
          <w:tcPr>
            <w:tcW w:w="6483" w:type="dxa"/>
            <w:tcBorders>
              <w:right w:val="single" w:color="000000" w:sz="4" w:space="0"/>
            </w:tcBorders>
            <w:vAlign w:val="top"/>
          </w:tcPr>
          <w:p w14:paraId="6584283D">
            <w:pPr>
              <w:pStyle w:val="7"/>
              <w:spacing w:before="108" w:line="217" w:lineRule="auto"/>
              <w:ind w:left="1390"/>
            </w:pPr>
            <w:r>
              <w:rPr>
                <w:spacing w:val="-21"/>
              </w:rPr>
              <w:t>扬尘治理物品的购置、发放与管理制度</w:t>
            </w:r>
          </w:p>
        </w:tc>
      </w:tr>
      <w:tr w14:paraId="660A78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7" w:hRule="atLeast"/>
        </w:trPr>
        <w:tc>
          <w:tcPr>
            <w:tcW w:w="214" w:type="dxa"/>
            <w:vMerge w:val="restart"/>
            <w:tcBorders>
              <w:left w:val="single" w:color="1C456A" w:sz="4" w:space="0"/>
              <w:bottom w:val="nil"/>
              <w:right w:val="nil"/>
            </w:tcBorders>
            <w:vAlign w:val="top"/>
          </w:tcPr>
          <w:p w14:paraId="2FC00AA0">
            <w:pPr>
              <w:rPr>
                <w:rFonts w:ascii="Arial"/>
                <w:sz w:val="21"/>
              </w:rPr>
            </w:pPr>
            <w:r>
              <w:pict>
                <v:shape id="_x0000_s3422" o:spid="_x0000_s3422" style="position:absolute;left:0pt;margin-left:-0.25pt;margin-top:90.6pt;height:0.75pt;width:2.2pt;mso-position-horizontal-relative:page;mso-position-vertical-relative:page;z-index:252065792;mso-width-relative:page;mso-height-relative:page;" fillcolor="#5B9BD5" filled="t" stroked="f" coordsize="44,15" path="m0,14l43,14,43,0,0,0,0,14xe">
                  <v:path/>
                  <v:fill on="t" focussize="0,0"/>
                  <v:stroke on="f"/>
                  <v:imagedata o:title=""/>
                  <o:lock v:ext="edit"/>
                </v:shape>
              </w:pict>
            </w:r>
          </w:p>
        </w:tc>
        <w:tc>
          <w:tcPr>
            <w:tcW w:w="616" w:type="dxa"/>
            <w:vMerge w:val="restart"/>
            <w:tcBorders>
              <w:left w:val="nil"/>
              <w:bottom w:val="nil"/>
            </w:tcBorders>
            <w:vAlign w:val="top"/>
          </w:tcPr>
          <w:p w14:paraId="326B194D">
            <w:pPr>
              <w:spacing w:line="308" w:lineRule="auto"/>
              <w:rPr>
                <w:rFonts w:ascii="Arial"/>
                <w:sz w:val="21"/>
              </w:rPr>
            </w:pPr>
          </w:p>
          <w:p w14:paraId="58426BD2">
            <w:pPr>
              <w:spacing w:line="308" w:lineRule="auto"/>
              <w:rPr>
                <w:rFonts w:ascii="Arial"/>
                <w:sz w:val="21"/>
              </w:rPr>
            </w:pPr>
          </w:p>
          <w:p w14:paraId="4F943863">
            <w:pPr>
              <w:pStyle w:val="7"/>
              <w:spacing w:before="78" w:line="237" w:lineRule="auto"/>
              <w:ind w:left="166"/>
            </w:pPr>
            <w:r>
              <w:t>5</w:t>
            </w:r>
          </w:p>
        </w:tc>
        <w:tc>
          <w:tcPr>
            <w:tcW w:w="1613" w:type="dxa"/>
            <w:vMerge w:val="restart"/>
            <w:tcBorders>
              <w:bottom w:val="nil"/>
            </w:tcBorders>
            <w:vAlign w:val="top"/>
          </w:tcPr>
          <w:p w14:paraId="432A194C">
            <w:pPr>
              <w:spacing w:line="308" w:lineRule="auto"/>
              <w:rPr>
                <w:rFonts w:ascii="Arial"/>
                <w:sz w:val="21"/>
              </w:rPr>
            </w:pPr>
          </w:p>
          <w:p w14:paraId="22743700">
            <w:pPr>
              <w:spacing w:line="309" w:lineRule="auto"/>
              <w:rPr>
                <w:rFonts w:ascii="Arial"/>
                <w:sz w:val="21"/>
              </w:rPr>
            </w:pPr>
          </w:p>
          <w:p w14:paraId="1AE39FC3">
            <w:pPr>
              <w:pStyle w:val="7"/>
              <w:spacing w:before="78" w:line="217" w:lineRule="auto"/>
              <w:ind w:left="212"/>
            </w:pPr>
            <w:r>
              <w:rPr>
                <w:spacing w:val="-26"/>
              </w:rPr>
              <w:t>日常管理制度</w:t>
            </w:r>
          </w:p>
        </w:tc>
        <w:tc>
          <w:tcPr>
            <w:tcW w:w="6483" w:type="dxa"/>
            <w:tcBorders>
              <w:right w:val="single" w:color="000000" w:sz="4" w:space="0"/>
            </w:tcBorders>
            <w:vAlign w:val="top"/>
          </w:tcPr>
          <w:p w14:paraId="46AF28D3">
            <w:pPr>
              <w:pStyle w:val="7"/>
              <w:spacing w:before="105" w:line="216" w:lineRule="auto"/>
              <w:ind w:left="2371"/>
            </w:pPr>
            <w:r>
              <w:rPr>
                <w:spacing w:val="-19"/>
              </w:rPr>
              <w:t>扬尘治理检查制度</w:t>
            </w:r>
          </w:p>
        </w:tc>
      </w:tr>
      <w:tr w14:paraId="525EC2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7" w:hRule="atLeast"/>
        </w:trPr>
        <w:tc>
          <w:tcPr>
            <w:tcW w:w="214" w:type="dxa"/>
            <w:vMerge w:val="continue"/>
            <w:tcBorders>
              <w:top w:val="nil"/>
              <w:left w:val="single" w:color="1C456A" w:sz="4" w:space="0"/>
              <w:bottom w:val="nil"/>
              <w:right w:val="nil"/>
            </w:tcBorders>
            <w:vAlign w:val="top"/>
          </w:tcPr>
          <w:p w14:paraId="5E52CE81">
            <w:pPr>
              <w:rPr>
                <w:rFonts w:ascii="Arial"/>
                <w:sz w:val="21"/>
              </w:rPr>
            </w:pPr>
          </w:p>
        </w:tc>
        <w:tc>
          <w:tcPr>
            <w:tcW w:w="616" w:type="dxa"/>
            <w:vMerge w:val="continue"/>
            <w:tcBorders>
              <w:top w:val="nil"/>
              <w:left w:val="nil"/>
              <w:bottom w:val="nil"/>
            </w:tcBorders>
            <w:vAlign w:val="top"/>
          </w:tcPr>
          <w:p w14:paraId="74D71809">
            <w:pPr>
              <w:rPr>
                <w:rFonts w:ascii="Arial"/>
                <w:sz w:val="21"/>
              </w:rPr>
            </w:pPr>
          </w:p>
        </w:tc>
        <w:tc>
          <w:tcPr>
            <w:tcW w:w="1613" w:type="dxa"/>
            <w:vMerge w:val="continue"/>
            <w:tcBorders>
              <w:top w:val="nil"/>
              <w:bottom w:val="nil"/>
            </w:tcBorders>
            <w:vAlign w:val="top"/>
          </w:tcPr>
          <w:p w14:paraId="763EB5F1">
            <w:pPr>
              <w:rPr>
                <w:rFonts w:ascii="Arial"/>
                <w:sz w:val="21"/>
              </w:rPr>
            </w:pPr>
          </w:p>
        </w:tc>
        <w:tc>
          <w:tcPr>
            <w:tcW w:w="6483" w:type="dxa"/>
            <w:tcBorders>
              <w:right w:val="single" w:color="000000" w:sz="4" w:space="0"/>
            </w:tcBorders>
            <w:vAlign w:val="top"/>
          </w:tcPr>
          <w:p w14:paraId="55D737CA">
            <w:pPr>
              <w:pStyle w:val="7"/>
              <w:spacing w:before="106" w:line="216" w:lineRule="auto"/>
              <w:ind w:left="1826"/>
            </w:pPr>
            <w:r>
              <w:rPr>
                <w:spacing w:val="-20"/>
              </w:rPr>
              <w:t>扬尘治理隐整改工作备案制度</w:t>
            </w:r>
          </w:p>
        </w:tc>
      </w:tr>
      <w:tr w14:paraId="7A5CDF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7" w:hRule="atLeast"/>
        </w:trPr>
        <w:tc>
          <w:tcPr>
            <w:tcW w:w="214" w:type="dxa"/>
            <w:vMerge w:val="continue"/>
            <w:tcBorders>
              <w:top w:val="nil"/>
              <w:left w:val="single" w:color="1C456A" w:sz="4" w:space="0"/>
              <w:bottom w:val="single" w:color="1C456A" w:sz="4" w:space="0"/>
              <w:right w:val="nil"/>
            </w:tcBorders>
            <w:vAlign w:val="top"/>
          </w:tcPr>
          <w:p w14:paraId="42DDEC08">
            <w:pPr>
              <w:rPr>
                <w:rFonts w:ascii="Arial"/>
                <w:sz w:val="21"/>
              </w:rPr>
            </w:pPr>
          </w:p>
        </w:tc>
        <w:tc>
          <w:tcPr>
            <w:tcW w:w="616" w:type="dxa"/>
            <w:vMerge w:val="continue"/>
            <w:tcBorders>
              <w:top w:val="nil"/>
              <w:left w:val="nil"/>
              <w:bottom w:val="single" w:color="1C456A" w:sz="4" w:space="0"/>
            </w:tcBorders>
            <w:vAlign w:val="top"/>
          </w:tcPr>
          <w:p w14:paraId="3199276D">
            <w:pPr>
              <w:rPr>
                <w:rFonts w:ascii="Arial"/>
                <w:sz w:val="21"/>
              </w:rPr>
            </w:pPr>
          </w:p>
        </w:tc>
        <w:tc>
          <w:tcPr>
            <w:tcW w:w="1613" w:type="dxa"/>
            <w:vMerge w:val="continue"/>
            <w:tcBorders>
              <w:top w:val="nil"/>
              <w:bottom w:val="single" w:color="000000" w:sz="4" w:space="0"/>
            </w:tcBorders>
            <w:vAlign w:val="top"/>
          </w:tcPr>
          <w:p w14:paraId="387B2D5E">
            <w:pPr>
              <w:rPr>
                <w:rFonts w:ascii="Arial"/>
                <w:sz w:val="21"/>
              </w:rPr>
            </w:pPr>
          </w:p>
        </w:tc>
        <w:tc>
          <w:tcPr>
            <w:tcW w:w="6483" w:type="dxa"/>
            <w:tcBorders>
              <w:bottom w:val="single" w:color="5B9BD5" w:sz="4" w:space="0"/>
              <w:right w:val="single" w:color="5B9BD5" w:sz="4" w:space="0"/>
            </w:tcBorders>
            <w:vAlign w:val="top"/>
          </w:tcPr>
          <w:p w14:paraId="7EBE26C1">
            <w:pPr>
              <w:pStyle w:val="7"/>
              <w:spacing w:before="104" w:line="216" w:lineRule="auto"/>
              <w:ind w:left="1826"/>
            </w:pPr>
            <w:r>
              <w:pict>
                <v:shape id="_x0000_s3423" o:spid="_x0000_s3423" style="position:absolute;left:0pt;margin-left:322.3pt;margin-top:31.4pt;height:0.75pt;width:2.2pt;mso-position-horizontal-relative:page;mso-position-vertical-relative:page;z-index:252064768;mso-width-relative:page;mso-height-relative:page;" fillcolor="#5B9BD5" filled="t" stroked="f" coordsize="44,15" path="m0,14l43,14,43,0,0,0,0,14xe">
                  <v:path/>
                  <v:fill on="t" focussize="0,0"/>
                  <v:stroke on="f"/>
                  <v:imagedata o:title=""/>
                  <o:lock v:ext="edit"/>
                </v:shape>
              </w:pict>
            </w:r>
            <w:r>
              <w:rPr>
                <w:spacing w:val="-20"/>
              </w:rPr>
              <w:t>扬尘治理资料归档和管理制度</w:t>
            </w:r>
          </w:p>
        </w:tc>
      </w:tr>
    </w:tbl>
    <w:p w14:paraId="30801D39">
      <w:pPr>
        <w:pStyle w:val="2"/>
        <w:spacing w:before="116" w:line="218" w:lineRule="auto"/>
        <w:ind w:left="1927"/>
        <w:rPr>
          <w:sz w:val="24"/>
          <w:szCs w:val="24"/>
        </w:rPr>
      </w:pPr>
      <w:r>
        <w:rPr>
          <w:spacing w:val="-21"/>
          <w:sz w:val="24"/>
          <w:szCs w:val="24"/>
        </w:rPr>
        <w:t>(2)扬尘治理管理体系职责划分</w:t>
      </w:r>
    </w:p>
    <w:p w14:paraId="4BBC8C2D">
      <w:pPr>
        <w:pStyle w:val="2"/>
        <w:spacing w:before="114" w:line="218" w:lineRule="auto"/>
        <w:ind w:left="1903"/>
        <w:rPr>
          <w:sz w:val="24"/>
          <w:szCs w:val="24"/>
        </w:rPr>
      </w:pPr>
      <w:r>
        <w:rPr>
          <w:spacing w:val="-16"/>
          <w:sz w:val="24"/>
          <w:szCs w:val="24"/>
        </w:rPr>
        <w:t>1)公司总部</w:t>
      </w:r>
    </w:p>
    <w:p w14:paraId="7AE4F79D">
      <w:pPr>
        <w:spacing w:line="19" w:lineRule="auto"/>
        <w:rPr>
          <w:rFonts w:ascii="Arial"/>
          <w:sz w:val="2"/>
        </w:rPr>
      </w:pPr>
    </w:p>
    <w:tbl>
      <w:tblPr>
        <w:tblStyle w:val="6"/>
        <w:tblW w:w="8367" w:type="dxa"/>
        <w:tblInd w:w="1769"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43"/>
        <w:gridCol w:w="716"/>
        <w:gridCol w:w="6755"/>
        <w:gridCol w:w="653"/>
      </w:tblGrid>
      <w:tr w14:paraId="3C7DBB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2" w:hRule="atLeast"/>
        </w:trPr>
        <w:tc>
          <w:tcPr>
            <w:tcW w:w="959" w:type="dxa"/>
            <w:gridSpan w:val="2"/>
            <w:tcBorders>
              <w:top w:val="single" w:color="000000" w:sz="4" w:space="0"/>
              <w:left w:val="single" w:color="000000" w:sz="4" w:space="0"/>
            </w:tcBorders>
            <w:shd w:val="clear" w:color="auto" w:fill="DEEAF6"/>
            <w:vAlign w:val="top"/>
          </w:tcPr>
          <w:p w14:paraId="436A68A0">
            <w:pPr>
              <w:spacing w:line="93" w:lineRule="exact"/>
            </w:pPr>
            <w:r>
              <w:rPr>
                <w:position w:val="-1"/>
              </w:rPr>
              <w:pict>
                <v:group id="_x0000_s3424" o:spid="_x0000_s3424" o:spt="203" style="height:5.2pt;width:49.6pt;" coordsize="991,103">
                  <o:lock v:ext="edit"/>
                  <v:shape id="_x0000_s3425" o:spid="_x0000_s3425" style="position:absolute;left:0;top:0;height:15;width:44;" fillcolor="#5B9BD5" filled="t" stroked="f" coordsize="44,15" path="m0,14l43,14,43,0,0,0,0,14xe">
                    <v:path/>
                    <v:fill on="t" focussize="0,0"/>
                    <v:stroke on="f"/>
                    <v:imagedata o:title=""/>
                    <o:lock v:ext="edit"/>
                  </v:shape>
                  <v:shape id="_x0000_s3426" o:spid="_x0000_s3426" style="position:absolute;left:43;top:43;height:60;width:905;" fillcolor="#DEEAF6" filled="t" stroked="f" coordsize="905,60" path="m0,60l904,60,904,0,0,0,0,60xe">
                    <v:path/>
                    <v:fill on="t" focussize="0,0"/>
                    <v:stroke on="f"/>
                    <v:imagedata o:title=""/>
                    <o:lock v:ext="edit"/>
                  </v:shape>
                  <v:shape id="_x0000_s3427" o:spid="_x0000_s3427" style="position:absolute;left:947;top:0;height:15;width:44;" fillcolor="#5B9BD5" filled="t" stroked="f" coordsize="44,15" path="m0,14l43,14,43,0,0,0,0,14xe">
                    <v:path/>
                    <v:fill on="t" focussize="0,0"/>
                    <v:stroke on="f"/>
                    <v:imagedata o:title=""/>
                    <o:lock v:ext="edit"/>
                  </v:shape>
                  <v:shape id="_x0000_s3428" o:spid="_x0000_s3428" style="position:absolute;left:947;top:14;height:15;width:44;" fillcolor="#20507B" filled="t" stroked="f" coordsize="44,15" path="m0,14l43,14,43,0,0,0,0,14xe">
                    <v:path/>
                    <v:fill on="t" focussize="0,0"/>
                    <v:stroke on="f"/>
                    <v:imagedata o:title=""/>
                    <o:lock v:ext="edit"/>
                  </v:shape>
                  <v:shape id="_x0000_s3429" o:spid="_x0000_s3429" style="position:absolute;left:947;top:28;height:15;width:44;" fillcolor="#1C456A" filled="t" stroked="f" coordsize="44,15" path="m0,14l43,14,43,0,0,0,0,14xe">
                    <v:path/>
                    <v:fill on="t" focussize="0,0"/>
                    <v:stroke on="f"/>
                    <v:imagedata o:title=""/>
                    <o:lock v:ext="edit"/>
                  </v:shape>
                  <w10:wrap type="none"/>
                  <w10:anchorlock/>
                </v:group>
              </w:pict>
            </w:r>
          </w:p>
          <w:p w14:paraId="3572CBAB">
            <w:pPr>
              <w:pStyle w:val="7"/>
              <w:spacing w:before="48" w:line="218" w:lineRule="auto"/>
              <w:ind w:left="274"/>
            </w:pPr>
            <w:r>
              <w:rPr>
                <w:b/>
                <w:bCs/>
                <w:spacing w:val="-11"/>
              </w:rPr>
              <w:t>序号</w:t>
            </w:r>
          </w:p>
        </w:tc>
        <w:tc>
          <w:tcPr>
            <w:tcW w:w="6755" w:type="dxa"/>
            <w:tcBorders>
              <w:top w:val="single" w:color="5B9BD5" w:sz="4" w:space="0"/>
              <w:right w:val="nil"/>
            </w:tcBorders>
            <w:shd w:val="clear" w:color="auto" w:fill="DEEAF6"/>
            <w:vAlign w:val="top"/>
          </w:tcPr>
          <w:p w14:paraId="3686499E">
            <w:pPr>
              <w:pStyle w:val="7"/>
              <w:spacing w:before="141" w:line="217" w:lineRule="auto"/>
              <w:ind w:left="3484"/>
            </w:pPr>
            <w:r>
              <w:rPr>
                <w:b/>
                <w:bCs/>
                <w:spacing w:val="-11"/>
              </w:rPr>
              <w:t>职能</w:t>
            </w:r>
          </w:p>
        </w:tc>
        <w:tc>
          <w:tcPr>
            <w:tcW w:w="653" w:type="dxa"/>
            <w:tcBorders>
              <w:top w:val="single" w:color="5B9BD5" w:sz="4" w:space="0"/>
              <w:left w:val="nil"/>
              <w:right w:val="single" w:color="5B9BD5" w:sz="4" w:space="0"/>
            </w:tcBorders>
            <w:shd w:val="clear" w:color="auto" w:fill="DEEAF6"/>
            <w:vAlign w:val="top"/>
          </w:tcPr>
          <w:p w14:paraId="0AC03873">
            <w:pPr>
              <w:rPr>
                <w:rFonts w:ascii="Arial"/>
                <w:sz w:val="21"/>
              </w:rPr>
            </w:pPr>
            <w:r>
              <w:pict>
                <v:shape id="_x0000_s3430" o:spid="_x0000_s3430" style="position:absolute;left:0pt;margin-left:30.8pt;margin-top:0pt;height:0.75pt;width:2.2pt;mso-position-horizontal-relative:page;mso-position-vertical-relative:page;z-index:252063744;mso-width-relative:page;mso-height-relative:page;" fillcolor="#5B9BD5" filled="t" stroked="f" coordsize="44,15" path="m0,14l43,14,43,0,0,0,0,14xe">
                  <v:path/>
                  <v:fill on="t" focussize="0,0"/>
                  <v:stroke on="f"/>
                  <v:imagedata o:title=""/>
                  <o:lock v:ext="edit"/>
                </v:shape>
              </w:pict>
            </w:r>
          </w:p>
        </w:tc>
      </w:tr>
      <w:tr w14:paraId="58B6ED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7" w:hRule="atLeast"/>
        </w:trPr>
        <w:tc>
          <w:tcPr>
            <w:tcW w:w="959" w:type="dxa"/>
            <w:gridSpan w:val="2"/>
            <w:tcBorders>
              <w:left w:val="single" w:color="000000" w:sz="4" w:space="0"/>
            </w:tcBorders>
            <w:vAlign w:val="top"/>
          </w:tcPr>
          <w:p w14:paraId="34C4761F">
            <w:pPr>
              <w:pStyle w:val="7"/>
              <w:spacing w:before="121" w:line="238" w:lineRule="auto"/>
              <w:ind w:left="448"/>
            </w:pPr>
            <w:r>
              <w:t>1</w:t>
            </w:r>
          </w:p>
        </w:tc>
        <w:tc>
          <w:tcPr>
            <w:tcW w:w="7408" w:type="dxa"/>
            <w:gridSpan w:val="2"/>
            <w:tcBorders>
              <w:right w:val="single" w:color="000000" w:sz="4" w:space="0"/>
            </w:tcBorders>
            <w:vAlign w:val="top"/>
          </w:tcPr>
          <w:p w14:paraId="6A47AB8E">
            <w:pPr>
              <w:pStyle w:val="7"/>
              <w:spacing w:before="121" w:line="218" w:lineRule="auto"/>
              <w:ind w:left="1092"/>
            </w:pPr>
            <w:r>
              <w:rPr>
                <w:spacing w:val="-21"/>
              </w:rPr>
              <w:t>公司内部资源调配和社会协力扬尘污染治理资源</w:t>
            </w:r>
            <w:r>
              <w:rPr>
                <w:spacing w:val="-22"/>
              </w:rPr>
              <w:t>协调。</w:t>
            </w:r>
          </w:p>
        </w:tc>
      </w:tr>
      <w:tr w14:paraId="36D4F9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1" w:hRule="atLeast"/>
        </w:trPr>
        <w:tc>
          <w:tcPr>
            <w:tcW w:w="243" w:type="dxa"/>
            <w:tcBorders>
              <w:left w:val="single" w:color="1C456A" w:sz="4" w:space="0"/>
              <w:bottom w:val="single" w:color="1C456A" w:sz="4" w:space="0"/>
              <w:right w:val="nil"/>
            </w:tcBorders>
            <w:vAlign w:val="top"/>
          </w:tcPr>
          <w:p w14:paraId="7A11F3E4">
            <w:pPr>
              <w:rPr>
                <w:rFonts w:ascii="Arial"/>
                <w:sz w:val="21"/>
              </w:rPr>
            </w:pPr>
            <w:r>
              <w:pict>
                <v:shape id="_x0000_s3431" o:spid="_x0000_s3431" style="position:absolute;left:0pt;margin-left:-0.25pt;margin-top:33.05pt;height:0.75pt;width:2.2pt;mso-position-horizontal-relative:page;mso-position-vertical-relative:page;z-index:252062720;mso-width-relative:page;mso-height-relative:page;" fillcolor="#5B9BD5" filled="t" stroked="f" coordsize="44,15" path="m0,14l43,14,43,0,0,0,0,14xe">
                  <v:path/>
                  <v:fill on="t" focussize="0,0"/>
                  <v:stroke on="f"/>
                  <v:imagedata o:title=""/>
                  <o:lock v:ext="edit"/>
                </v:shape>
              </w:pict>
            </w:r>
          </w:p>
        </w:tc>
        <w:tc>
          <w:tcPr>
            <w:tcW w:w="716" w:type="dxa"/>
            <w:tcBorders>
              <w:left w:val="nil"/>
              <w:bottom w:val="single" w:color="1C456A" w:sz="4" w:space="0"/>
            </w:tcBorders>
            <w:vAlign w:val="top"/>
          </w:tcPr>
          <w:p w14:paraId="4893277C">
            <w:pPr>
              <w:pStyle w:val="7"/>
              <w:spacing w:before="124" w:line="238" w:lineRule="auto"/>
              <w:ind w:left="195"/>
            </w:pPr>
            <w:r>
              <w:t>2</w:t>
            </w:r>
          </w:p>
        </w:tc>
        <w:tc>
          <w:tcPr>
            <w:tcW w:w="7408" w:type="dxa"/>
            <w:gridSpan w:val="2"/>
            <w:tcBorders>
              <w:bottom w:val="single" w:color="5B9BD5" w:sz="4" w:space="0"/>
              <w:right w:val="single" w:color="5B9BD5" w:sz="4" w:space="0"/>
            </w:tcBorders>
            <w:vAlign w:val="top"/>
          </w:tcPr>
          <w:p w14:paraId="199F86C8">
            <w:pPr>
              <w:pStyle w:val="7"/>
              <w:spacing w:before="123" w:line="217" w:lineRule="auto"/>
              <w:ind w:left="2288"/>
            </w:pPr>
            <w:r>
              <w:pict>
                <v:shape id="_x0000_s3432" o:spid="_x0000_s3432" style="position:absolute;left:0pt;margin-left:368.55pt;margin-top:33.05pt;height:0.75pt;width:2.2pt;mso-position-horizontal-relative:page;mso-position-vertical-relative:page;z-index:252061696;mso-width-relative:page;mso-height-relative:page;" fillcolor="#5B9BD5" filled="t" stroked="f" coordsize="44,15" path="m0,14l43,14,43,0,0,0,0,14xe">
                  <v:path/>
                  <v:fill on="t" focussize="0,0"/>
                  <v:stroke on="f"/>
                  <v:imagedata o:title=""/>
                  <o:lock v:ext="edit"/>
                </v:shape>
              </w:pict>
            </w:r>
            <w:r>
              <w:rPr>
                <w:spacing w:val="-20"/>
              </w:rPr>
              <w:t>扬尘污染防治专项费用保障。</w:t>
            </w:r>
          </w:p>
        </w:tc>
      </w:tr>
    </w:tbl>
    <w:p w14:paraId="1E9A8BE9">
      <w:pPr>
        <w:pStyle w:val="2"/>
        <w:spacing w:before="114" w:line="220" w:lineRule="auto"/>
        <w:ind w:left="1888"/>
        <w:rPr>
          <w:sz w:val="24"/>
          <w:szCs w:val="24"/>
        </w:rPr>
      </w:pPr>
      <w:r>
        <w:rPr>
          <w:spacing w:val="-14"/>
          <w:sz w:val="24"/>
          <w:szCs w:val="24"/>
        </w:rPr>
        <w:t>2)项目经理</w:t>
      </w:r>
    </w:p>
    <w:p w14:paraId="327EB526">
      <w:pPr>
        <w:spacing w:line="220" w:lineRule="auto"/>
        <w:rPr>
          <w:sz w:val="24"/>
          <w:szCs w:val="24"/>
        </w:rPr>
        <w:sectPr>
          <w:footerReference r:id="rId188" w:type="default"/>
          <w:pgSz w:w="11907" w:h="16839"/>
          <w:pgMar w:top="954" w:right="4" w:bottom="1038" w:left="0" w:header="499" w:footer="357" w:gutter="0"/>
          <w:pgBorders>
            <w:top w:val="none" w:sz="0" w:space="0"/>
            <w:left w:val="none" w:sz="0" w:space="0"/>
            <w:bottom w:val="none" w:sz="0" w:space="0"/>
            <w:right w:val="none" w:sz="0" w:space="0"/>
          </w:pgBorders>
          <w:cols w:space="720" w:num="1"/>
        </w:sectPr>
      </w:pPr>
    </w:p>
    <w:p w14:paraId="1C8723D6">
      <w:pPr>
        <w:spacing w:line="214" w:lineRule="exact"/>
      </w:pPr>
    </w:p>
    <w:tbl>
      <w:tblPr>
        <w:tblStyle w:val="6"/>
        <w:tblW w:w="8367" w:type="dxa"/>
        <w:tblInd w:w="1769"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56"/>
        <w:gridCol w:w="7411"/>
      </w:tblGrid>
      <w:tr w14:paraId="779D8B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1" w:hRule="atLeast"/>
        </w:trPr>
        <w:tc>
          <w:tcPr>
            <w:tcW w:w="956" w:type="dxa"/>
            <w:tcBorders>
              <w:top w:val="single" w:color="000000" w:sz="4" w:space="0"/>
              <w:left w:val="single" w:color="000000" w:sz="4" w:space="0"/>
            </w:tcBorders>
            <w:shd w:val="clear" w:color="auto" w:fill="DEEAF6"/>
            <w:vAlign w:val="top"/>
          </w:tcPr>
          <w:p w14:paraId="35F9CFD8">
            <w:pPr>
              <w:pStyle w:val="7"/>
              <w:spacing w:before="143" w:line="218" w:lineRule="auto"/>
              <w:ind w:left="274"/>
            </w:pPr>
            <w:r>
              <w:rPr>
                <w:b/>
                <w:bCs/>
                <w:spacing w:val="-11"/>
              </w:rPr>
              <w:t>序号</w:t>
            </w:r>
          </w:p>
        </w:tc>
        <w:tc>
          <w:tcPr>
            <w:tcW w:w="7411" w:type="dxa"/>
            <w:tcBorders>
              <w:top w:val="single" w:color="5B9BD5" w:sz="4" w:space="0"/>
              <w:right w:val="single" w:color="5B9BD5" w:sz="4" w:space="0"/>
            </w:tcBorders>
            <w:shd w:val="clear" w:color="auto" w:fill="DEEAF6"/>
            <w:vAlign w:val="top"/>
          </w:tcPr>
          <w:p w14:paraId="04498A26">
            <w:pPr>
              <w:pStyle w:val="7"/>
              <w:spacing w:before="144" w:line="217" w:lineRule="auto"/>
              <w:ind w:left="3299"/>
            </w:pPr>
            <w:r>
              <w:rPr>
                <w:b/>
                <w:bCs/>
                <w:spacing w:val="-25"/>
              </w:rPr>
              <w:t>岗位职责</w:t>
            </w:r>
          </w:p>
        </w:tc>
      </w:tr>
      <w:tr w14:paraId="7A96E5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5" w:hRule="atLeast"/>
        </w:trPr>
        <w:tc>
          <w:tcPr>
            <w:tcW w:w="956" w:type="dxa"/>
            <w:tcBorders>
              <w:left w:val="single" w:color="000000" w:sz="4" w:space="0"/>
            </w:tcBorders>
            <w:vAlign w:val="top"/>
          </w:tcPr>
          <w:p w14:paraId="567EBA63">
            <w:pPr>
              <w:pStyle w:val="7"/>
              <w:spacing w:before="125" w:line="238" w:lineRule="auto"/>
              <w:ind w:left="448"/>
            </w:pPr>
            <w:r>
              <w:t>1</w:t>
            </w:r>
          </w:p>
        </w:tc>
        <w:tc>
          <w:tcPr>
            <w:tcW w:w="7411" w:type="dxa"/>
            <w:tcBorders>
              <w:right w:val="single" w:color="000000" w:sz="4" w:space="0"/>
            </w:tcBorders>
            <w:vAlign w:val="top"/>
          </w:tcPr>
          <w:p w14:paraId="24231763">
            <w:pPr>
              <w:pStyle w:val="7"/>
              <w:spacing w:before="125" w:line="218" w:lineRule="auto"/>
              <w:ind w:left="1091"/>
            </w:pPr>
            <w:r>
              <w:rPr>
                <w:spacing w:val="-21"/>
              </w:rPr>
              <w:t>扬尘治理第一责任人，对防尘、降尘负全面领导责任。</w:t>
            </w:r>
          </w:p>
        </w:tc>
      </w:tr>
      <w:tr w14:paraId="775502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5" w:hRule="atLeast"/>
        </w:trPr>
        <w:tc>
          <w:tcPr>
            <w:tcW w:w="956" w:type="dxa"/>
            <w:tcBorders>
              <w:left w:val="single" w:color="000000" w:sz="4" w:space="0"/>
            </w:tcBorders>
            <w:vAlign w:val="top"/>
          </w:tcPr>
          <w:p w14:paraId="6EDA6BCB">
            <w:pPr>
              <w:pStyle w:val="7"/>
              <w:spacing w:before="118" w:line="238" w:lineRule="auto"/>
              <w:ind w:left="433"/>
            </w:pPr>
            <w:r>
              <w:t>2</w:t>
            </w:r>
          </w:p>
        </w:tc>
        <w:tc>
          <w:tcPr>
            <w:tcW w:w="7411" w:type="dxa"/>
            <w:tcBorders>
              <w:right w:val="single" w:color="000000" w:sz="4" w:space="0"/>
            </w:tcBorders>
            <w:vAlign w:val="top"/>
          </w:tcPr>
          <w:p w14:paraId="0950FFD2">
            <w:pPr>
              <w:pStyle w:val="7"/>
              <w:spacing w:before="117" w:line="217" w:lineRule="auto"/>
              <w:ind w:left="1636"/>
            </w:pPr>
            <w:r>
              <w:rPr>
                <w:spacing w:val="-21"/>
              </w:rPr>
              <w:t>保证扬尘治理管理体系有效运行所需资源。</w:t>
            </w:r>
          </w:p>
        </w:tc>
      </w:tr>
      <w:tr w14:paraId="6E7078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5" w:hRule="atLeast"/>
        </w:trPr>
        <w:tc>
          <w:tcPr>
            <w:tcW w:w="956" w:type="dxa"/>
            <w:tcBorders>
              <w:left w:val="single" w:color="000000" w:sz="4" w:space="0"/>
            </w:tcBorders>
            <w:vAlign w:val="top"/>
          </w:tcPr>
          <w:p w14:paraId="0FD5FEA9">
            <w:pPr>
              <w:pStyle w:val="7"/>
              <w:spacing w:before="113" w:line="237" w:lineRule="auto"/>
              <w:ind w:left="435"/>
            </w:pPr>
            <w:r>
              <w:t>3</w:t>
            </w:r>
          </w:p>
        </w:tc>
        <w:tc>
          <w:tcPr>
            <w:tcW w:w="7411" w:type="dxa"/>
            <w:tcBorders>
              <w:right w:val="single" w:color="000000" w:sz="4" w:space="0"/>
            </w:tcBorders>
            <w:vAlign w:val="top"/>
          </w:tcPr>
          <w:p w14:paraId="755E130E">
            <w:pPr>
              <w:pStyle w:val="7"/>
              <w:spacing w:before="113" w:line="216" w:lineRule="auto"/>
              <w:ind w:left="1200"/>
            </w:pPr>
            <w:r>
              <w:rPr>
                <w:spacing w:val="-21"/>
              </w:rPr>
              <w:t>做好与业主、设计院、监理、各承包单位协调工作。</w:t>
            </w:r>
          </w:p>
        </w:tc>
      </w:tr>
      <w:tr w14:paraId="405698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7" w:hRule="atLeast"/>
        </w:trPr>
        <w:tc>
          <w:tcPr>
            <w:tcW w:w="956" w:type="dxa"/>
            <w:tcBorders>
              <w:left w:val="single" w:color="1C456A" w:sz="4" w:space="0"/>
              <w:bottom w:val="single" w:color="1C456A" w:sz="4" w:space="0"/>
            </w:tcBorders>
            <w:vAlign w:val="top"/>
          </w:tcPr>
          <w:p w14:paraId="08F6B9D8">
            <w:pPr>
              <w:pStyle w:val="7"/>
              <w:spacing w:before="120" w:line="238" w:lineRule="auto"/>
              <w:ind w:left="429"/>
            </w:pPr>
            <w:r>
              <w:t>4</w:t>
            </w:r>
          </w:p>
        </w:tc>
        <w:tc>
          <w:tcPr>
            <w:tcW w:w="7411" w:type="dxa"/>
            <w:tcBorders>
              <w:bottom w:val="single" w:color="5B9BD5" w:sz="4" w:space="0"/>
              <w:right w:val="single" w:color="5B9BD5" w:sz="4" w:space="0"/>
            </w:tcBorders>
            <w:vAlign w:val="top"/>
          </w:tcPr>
          <w:p w14:paraId="133ABD7F">
            <w:pPr>
              <w:pStyle w:val="7"/>
              <w:spacing w:before="120" w:line="218" w:lineRule="auto"/>
              <w:ind w:left="1654"/>
            </w:pPr>
            <w:r>
              <w:rPr>
                <w:spacing w:val="-21"/>
              </w:rPr>
              <w:t>审批《施工现场扬尘治理专项实施方案》。</w:t>
            </w:r>
          </w:p>
        </w:tc>
      </w:tr>
    </w:tbl>
    <w:p w14:paraId="5209A7A3">
      <w:pPr>
        <w:pStyle w:val="2"/>
        <w:spacing w:before="114" w:line="220" w:lineRule="auto"/>
        <w:ind w:left="1890"/>
        <w:rPr>
          <w:sz w:val="24"/>
          <w:szCs w:val="24"/>
        </w:rPr>
      </w:pPr>
      <w:r>
        <w:rPr>
          <w:spacing w:val="-14"/>
          <w:sz w:val="24"/>
          <w:szCs w:val="24"/>
        </w:rPr>
        <w:t>3)项目书记</w:t>
      </w:r>
    </w:p>
    <w:tbl>
      <w:tblPr>
        <w:tblStyle w:val="6"/>
        <w:tblW w:w="8367" w:type="dxa"/>
        <w:tblInd w:w="1769"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45"/>
        <w:gridCol w:w="714"/>
        <w:gridCol w:w="7408"/>
      </w:tblGrid>
      <w:tr w14:paraId="5FE1A9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959" w:type="dxa"/>
            <w:gridSpan w:val="2"/>
            <w:tcBorders>
              <w:top w:val="single" w:color="000000" w:sz="4" w:space="0"/>
              <w:left w:val="single" w:color="000000" w:sz="4" w:space="0"/>
            </w:tcBorders>
            <w:shd w:val="clear" w:color="auto" w:fill="DEEAF6"/>
            <w:vAlign w:val="top"/>
          </w:tcPr>
          <w:p w14:paraId="70DB6EF3">
            <w:pPr>
              <w:pStyle w:val="7"/>
              <w:spacing w:before="141" w:line="218" w:lineRule="auto"/>
              <w:ind w:left="274"/>
            </w:pPr>
            <w:r>
              <w:rPr>
                <w:b/>
                <w:bCs/>
                <w:spacing w:val="-11"/>
              </w:rPr>
              <w:t>序号</w:t>
            </w:r>
          </w:p>
        </w:tc>
        <w:tc>
          <w:tcPr>
            <w:tcW w:w="7408" w:type="dxa"/>
            <w:tcBorders>
              <w:top w:val="single" w:color="5B9BD5" w:sz="4" w:space="0"/>
              <w:right w:val="single" w:color="5B9BD5" w:sz="4" w:space="0"/>
            </w:tcBorders>
            <w:shd w:val="clear" w:color="auto" w:fill="DEEAF6"/>
            <w:vAlign w:val="top"/>
          </w:tcPr>
          <w:p w14:paraId="2DC5ACC4">
            <w:pPr>
              <w:pStyle w:val="7"/>
              <w:spacing w:before="141" w:line="217" w:lineRule="auto"/>
              <w:ind w:left="3294"/>
            </w:pPr>
            <w:r>
              <w:rPr>
                <w:b/>
                <w:bCs/>
                <w:spacing w:val="-25"/>
              </w:rPr>
              <w:t>岗位职责</w:t>
            </w:r>
          </w:p>
        </w:tc>
      </w:tr>
      <w:tr w14:paraId="2B2C3B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65" w:hRule="atLeast"/>
        </w:trPr>
        <w:tc>
          <w:tcPr>
            <w:tcW w:w="959" w:type="dxa"/>
            <w:gridSpan w:val="2"/>
            <w:tcBorders>
              <w:left w:val="single" w:color="000000" w:sz="4" w:space="0"/>
            </w:tcBorders>
            <w:vAlign w:val="top"/>
          </w:tcPr>
          <w:p w14:paraId="3DF89053">
            <w:pPr>
              <w:spacing w:line="278" w:lineRule="auto"/>
              <w:rPr>
                <w:rFonts w:ascii="Arial"/>
                <w:sz w:val="21"/>
              </w:rPr>
            </w:pPr>
          </w:p>
          <w:p w14:paraId="115F1BD9">
            <w:pPr>
              <w:pStyle w:val="7"/>
              <w:spacing w:before="78" w:line="238" w:lineRule="auto"/>
              <w:ind w:left="450"/>
            </w:pPr>
            <w:r>
              <w:t>1</w:t>
            </w:r>
          </w:p>
        </w:tc>
        <w:tc>
          <w:tcPr>
            <w:tcW w:w="7408" w:type="dxa"/>
            <w:tcBorders>
              <w:right w:val="single" w:color="000000" w:sz="4" w:space="0"/>
            </w:tcBorders>
            <w:vAlign w:val="top"/>
          </w:tcPr>
          <w:p w14:paraId="3E8B110B">
            <w:pPr>
              <w:pStyle w:val="7"/>
              <w:spacing w:before="122" w:line="216" w:lineRule="auto"/>
              <w:ind w:left="432"/>
            </w:pPr>
            <w:r>
              <w:rPr>
                <w:spacing w:val="-21"/>
              </w:rPr>
              <w:t>协助项目经理开展扬尘治理实施工作，负责与政府主管部</w:t>
            </w:r>
            <w:r>
              <w:rPr>
                <w:spacing w:val="-22"/>
              </w:rPr>
              <w:t>门联系和协</w:t>
            </w:r>
          </w:p>
          <w:p w14:paraId="51BAF816">
            <w:pPr>
              <w:pStyle w:val="7"/>
              <w:spacing w:before="187" w:line="218" w:lineRule="auto"/>
              <w:ind w:left="868"/>
            </w:pPr>
            <w:r>
              <w:rPr>
                <w:spacing w:val="-21"/>
              </w:rPr>
              <w:t>调，做好与周边居民关系，为工程施工创造良好外部环境。</w:t>
            </w:r>
          </w:p>
        </w:tc>
      </w:tr>
      <w:tr w14:paraId="5C9CB5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6" w:hRule="atLeast"/>
        </w:trPr>
        <w:tc>
          <w:tcPr>
            <w:tcW w:w="959" w:type="dxa"/>
            <w:gridSpan w:val="2"/>
            <w:tcBorders>
              <w:left w:val="single" w:color="000000" w:sz="4" w:space="0"/>
            </w:tcBorders>
            <w:vAlign w:val="top"/>
          </w:tcPr>
          <w:p w14:paraId="274C8DB5">
            <w:pPr>
              <w:pStyle w:val="7"/>
              <w:spacing w:before="125" w:line="238" w:lineRule="auto"/>
              <w:ind w:left="435"/>
            </w:pPr>
            <w:r>
              <w:t>2</w:t>
            </w:r>
          </w:p>
        </w:tc>
        <w:tc>
          <w:tcPr>
            <w:tcW w:w="7408" w:type="dxa"/>
            <w:tcBorders>
              <w:right w:val="single" w:color="000000" w:sz="4" w:space="0"/>
            </w:tcBorders>
            <w:vAlign w:val="top"/>
          </w:tcPr>
          <w:p w14:paraId="1EDD4962">
            <w:pPr>
              <w:pStyle w:val="7"/>
              <w:spacing w:before="125" w:line="217" w:lineRule="auto"/>
              <w:ind w:left="1195"/>
            </w:pPr>
            <w:r>
              <w:rPr>
                <w:spacing w:val="-21"/>
              </w:rPr>
              <w:t>领导后勤保障、项目对外宣传，维护正常施工程序。</w:t>
            </w:r>
          </w:p>
        </w:tc>
      </w:tr>
      <w:tr w14:paraId="4FFFAD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8" w:hRule="atLeast"/>
        </w:trPr>
        <w:tc>
          <w:tcPr>
            <w:tcW w:w="245" w:type="dxa"/>
            <w:tcBorders>
              <w:left w:val="single" w:color="1C456A" w:sz="4" w:space="0"/>
              <w:bottom w:val="single" w:color="1C456A" w:sz="4" w:space="0"/>
              <w:right w:val="nil"/>
            </w:tcBorders>
            <w:vAlign w:val="top"/>
          </w:tcPr>
          <w:p w14:paraId="5CCF9937">
            <w:pPr>
              <w:rPr>
                <w:rFonts w:ascii="Arial"/>
                <w:sz w:val="21"/>
              </w:rPr>
            </w:pPr>
            <w:r>
              <w:pict>
                <v:shape id="_x0000_s3433" o:spid="_x0000_s3433" style="position:absolute;left:0pt;margin-left:-0.25pt;margin-top:32.95pt;height:0.75pt;width:2.2pt;mso-position-horizontal-relative:page;mso-position-vertical-relative:page;z-index:252072960;mso-width-relative:page;mso-height-relative:page;" fillcolor="#5B9BD5" filled="t" stroked="f" coordsize="44,15" path="m0,14l43,14,43,0,0,0,0,14xe">
                  <v:path/>
                  <v:fill on="t" focussize="0,0"/>
                  <v:stroke on="f"/>
                  <v:imagedata o:title=""/>
                  <o:lock v:ext="edit"/>
                </v:shape>
              </w:pict>
            </w:r>
          </w:p>
        </w:tc>
        <w:tc>
          <w:tcPr>
            <w:tcW w:w="714" w:type="dxa"/>
            <w:tcBorders>
              <w:left w:val="nil"/>
              <w:bottom w:val="single" w:color="1C456A" w:sz="4" w:space="0"/>
            </w:tcBorders>
            <w:vAlign w:val="top"/>
          </w:tcPr>
          <w:p w14:paraId="2A0E60F0">
            <w:pPr>
              <w:pStyle w:val="7"/>
              <w:spacing w:before="121" w:line="237" w:lineRule="auto"/>
              <w:ind w:left="197"/>
            </w:pPr>
            <w:r>
              <w:t>3</w:t>
            </w:r>
          </w:p>
        </w:tc>
        <w:tc>
          <w:tcPr>
            <w:tcW w:w="7408" w:type="dxa"/>
            <w:tcBorders>
              <w:bottom w:val="single" w:color="5B9BD5" w:sz="4" w:space="0"/>
              <w:right w:val="single" w:color="5B9BD5" w:sz="4" w:space="0"/>
            </w:tcBorders>
            <w:vAlign w:val="top"/>
          </w:tcPr>
          <w:p w14:paraId="0196766D">
            <w:pPr>
              <w:pStyle w:val="7"/>
              <w:spacing w:before="121" w:line="216" w:lineRule="auto"/>
              <w:ind w:left="1965"/>
            </w:pPr>
            <w:r>
              <w:pict>
                <v:shape id="_x0000_s3434" o:spid="_x0000_s3434" style="position:absolute;left:0pt;margin-left:368.55pt;margin-top:32.95pt;height:0.75pt;width:2.2pt;mso-position-horizontal-relative:page;mso-position-vertical-relative:page;z-index:252073984;mso-width-relative:page;mso-height-relative:page;" fillcolor="#5B9BD5" filled="t" stroked="f" coordsize="44,15" path="m0,14l43,14,43,0,0,0,0,14xe">
                  <v:path/>
                  <v:fill on="t" focussize="0,0"/>
                  <v:stroke on="f"/>
                  <v:imagedata o:title=""/>
                  <o:lock v:ext="edit"/>
                </v:shape>
              </w:pict>
            </w:r>
            <w:r>
              <w:rPr>
                <w:spacing w:val="-21"/>
              </w:rPr>
              <w:t>负责扬尘治理专项教育、培训工作。</w:t>
            </w:r>
          </w:p>
        </w:tc>
      </w:tr>
    </w:tbl>
    <w:p w14:paraId="2F07ED10">
      <w:pPr>
        <w:pStyle w:val="2"/>
        <w:spacing w:before="113" w:line="218" w:lineRule="auto"/>
        <w:ind w:left="1968"/>
        <w:rPr>
          <w:sz w:val="24"/>
          <w:szCs w:val="24"/>
        </w:rPr>
      </w:pPr>
      <w:r>
        <w:rPr>
          <w:spacing w:val="-10"/>
          <w:sz w:val="24"/>
          <w:szCs w:val="24"/>
        </w:rPr>
        <w:t>4)总工程师</w:t>
      </w:r>
    </w:p>
    <w:p w14:paraId="26C86867">
      <w:pPr>
        <w:spacing w:line="19" w:lineRule="auto"/>
        <w:rPr>
          <w:rFonts w:ascii="Arial"/>
          <w:sz w:val="2"/>
        </w:rPr>
      </w:pPr>
    </w:p>
    <w:tbl>
      <w:tblPr>
        <w:tblStyle w:val="6"/>
        <w:tblW w:w="8367" w:type="dxa"/>
        <w:tblInd w:w="1769"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44"/>
        <w:gridCol w:w="713"/>
        <w:gridCol w:w="7319"/>
        <w:gridCol w:w="91"/>
      </w:tblGrid>
      <w:tr w14:paraId="7ABE4C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0" w:hRule="atLeast"/>
        </w:trPr>
        <w:tc>
          <w:tcPr>
            <w:tcW w:w="957" w:type="dxa"/>
            <w:gridSpan w:val="2"/>
            <w:tcBorders>
              <w:top w:val="single" w:color="000000" w:sz="4" w:space="0"/>
              <w:left w:val="single" w:color="000000" w:sz="4" w:space="0"/>
            </w:tcBorders>
            <w:shd w:val="clear" w:color="auto" w:fill="DEEAF6"/>
            <w:vAlign w:val="top"/>
          </w:tcPr>
          <w:p w14:paraId="0B9A330A">
            <w:pPr>
              <w:spacing w:line="93" w:lineRule="exact"/>
            </w:pPr>
            <w:r>
              <w:rPr>
                <w:position w:val="-1"/>
              </w:rPr>
              <w:pict>
                <v:group id="_x0000_s3435" o:spid="_x0000_s3435" o:spt="203" style="height:5.2pt;width:49.7pt;" coordsize="994,103">
                  <o:lock v:ext="edit"/>
                  <v:shape id="_x0000_s3436" o:spid="_x0000_s3436" style="position:absolute;left:0;top:0;height:15;width:44;" fillcolor="#5B9BD5" filled="t" stroked="f" coordsize="44,15" path="m0,14l43,14,43,0,0,0,0,14xe">
                    <v:path/>
                    <v:fill on="t" focussize="0,0"/>
                    <v:stroke on="f"/>
                    <v:imagedata o:title=""/>
                    <o:lock v:ext="edit"/>
                  </v:shape>
                  <v:shape id="_x0000_s3437" o:spid="_x0000_s3437" style="position:absolute;left:43;top:43;height:60;width:908;" fillcolor="#DEEAF6" filled="t" stroked="f" coordsize="908,60" path="m0,60l907,60,907,0,0,0,0,60xe">
                    <v:path/>
                    <v:fill on="t" focussize="0,0"/>
                    <v:stroke on="f"/>
                    <v:imagedata o:title=""/>
                    <o:lock v:ext="edit"/>
                  </v:shape>
                  <v:shape id="_x0000_s3438" o:spid="_x0000_s3438" style="position:absolute;left:950;top:0;height:15;width:44;" fillcolor="#5B9BD5" filled="t" stroked="f" coordsize="44,15" path="m0,14l43,14,43,0,0,0,0,14xe">
                    <v:path/>
                    <v:fill on="t" focussize="0,0"/>
                    <v:stroke on="f"/>
                    <v:imagedata o:title=""/>
                    <o:lock v:ext="edit"/>
                  </v:shape>
                  <v:shape id="_x0000_s3439" o:spid="_x0000_s3439" style="position:absolute;left:950;top:14;height:15;width:44;" fillcolor="#20507B" filled="t" stroked="f" coordsize="44,15" path="m0,14l43,14,43,0,0,0,0,14xe">
                    <v:path/>
                    <v:fill on="t" focussize="0,0"/>
                    <v:stroke on="f"/>
                    <v:imagedata o:title=""/>
                    <o:lock v:ext="edit"/>
                  </v:shape>
                  <v:shape id="_x0000_s3440" o:spid="_x0000_s3440" style="position:absolute;left:950;top:28;height:15;width:44;" fillcolor="#1C456A" filled="t" stroked="f" coordsize="44,15" path="m0,14l43,14,43,0,0,0,0,14xe">
                    <v:path/>
                    <v:fill on="t" focussize="0,0"/>
                    <v:stroke on="f"/>
                    <v:imagedata o:title=""/>
                    <o:lock v:ext="edit"/>
                  </v:shape>
                  <w10:wrap type="none"/>
                  <w10:anchorlock/>
                </v:group>
              </w:pict>
            </w:r>
          </w:p>
          <w:p w14:paraId="29FA7A60">
            <w:pPr>
              <w:pStyle w:val="7"/>
              <w:spacing w:before="50" w:line="218" w:lineRule="auto"/>
              <w:ind w:left="276"/>
            </w:pPr>
            <w:r>
              <w:rPr>
                <w:b/>
                <w:bCs/>
                <w:spacing w:val="-11"/>
              </w:rPr>
              <w:t>序号</w:t>
            </w:r>
          </w:p>
        </w:tc>
        <w:tc>
          <w:tcPr>
            <w:tcW w:w="7319" w:type="dxa"/>
            <w:tcBorders>
              <w:top w:val="single" w:color="5B9BD5" w:sz="4" w:space="0"/>
              <w:right w:val="nil"/>
            </w:tcBorders>
            <w:shd w:val="clear" w:color="auto" w:fill="DEEAF6"/>
            <w:vAlign w:val="top"/>
          </w:tcPr>
          <w:p w14:paraId="5499A0B6">
            <w:pPr>
              <w:pStyle w:val="7"/>
              <w:spacing w:before="144" w:line="217" w:lineRule="auto"/>
              <w:ind w:left="3298"/>
            </w:pPr>
            <w:r>
              <w:rPr>
                <w:b/>
                <w:bCs/>
                <w:spacing w:val="-25"/>
              </w:rPr>
              <w:t>岗位职责</w:t>
            </w:r>
          </w:p>
        </w:tc>
        <w:tc>
          <w:tcPr>
            <w:tcW w:w="91" w:type="dxa"/>
            <w:tcBorders>
              <w:top w:val="single" w:color="5B9BD5" w:sz="4" w:space="0"/>
              <w:left w:val="nil"/>
              <w:right w:val="single" w:color="5B9BD5" w:sz="4" w:space="0"/>
            </w:tcBorders>
            <w:vAlign w:val="top"/>
          </w:tcPr>
          <w:p w14:paraId="5C18D2C4">
            <w:pPr>
              <w:rPr>
                <w:rFonts w:ascii="Arial"/>
                <w:sz w:val="21"/>
              </w:rPr>
            </w:pPr>
            <w:r>
              <w:pict>
                <v:shape id="_x0000_s3441" o:spid="_x0000_s3441" style="position:absolute;left:0pt;margin-left:2.7pt;margin-top:0.05pt;height:0.75pt;width:2.2pt;mso-position-horizontal-relative:page;mso-position-vertical-relative:page;z-index:252071936;mso-width-relative:page;mso-height-relative:page;" fillcolor="#5B9BD5" filled="t" stroked="f" coordsize="44,15" path="m0,14l43,14,43,0,0,0,0,14xe">
                  <v:path/>
                  <v:fill on="t" focussize="0,0"/>
                  <v:stroke on="f"/>
                  <v:imagedata o:title=""/>
                  <o:lock v:ext="edit"/>
                </v:shape>
              </w:pict>
            </w:r>
          </w:p>
        </w:tc>
      </w:tr>
      <w:tr w14:paraId="41881C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1061" w:hRule="atLeast"/>
        </w:trPr>
        <w:tc>
          <w:tcPr>
            <w:tcW w:w="957" w:type="dxa"/>
            <w:gridSpan w:val="2"/>
            <w:tcBorders>
              <w:left w:val="single" w:color="000000" w:sz="4" w:space="0"/>
            </w:tcBorders>
            <w:vAlign w:val="top"/>
          </w:tcPr>
          <w:p w14:paraId="7C5B84B9">
            <w:pPr>
              <w:spacing w:line="279" w:lineRule="auto"/>
              <w:rPr>
                <w:rFonts w:ascii="Arial"/>
                <w:sz w:val="21"/>
              </w:rPr>
            </w:pPr>
          </w:p>
          <w:p w14:paraId="29787CC9">
            <w:pPr>
              <w:pStyle w:val="7"/>
              <w:spacing w:before="78" w:line="238" w:lineRule="auto"/>
              <w:ind w:left="450"/>
            </w:pPr>
            <w:r>
              <w:t>1</w:t>
            </w:r>
          </w:p>
        </w:tc>
        <w:tc>
          <w:tcPr>
            <w:tcW w:w="7410" w:type="dxa"/>
            <w:gridSpan w:val="2"/>
            <w:tcBorders>
              <w:right w:val="single" w:color="000000" w:sz="4" w:space="0"/>
            </w:tcBorders>
            <w:vAlign w:val="top"/>
          </w:tcPr>
          <w:p w14:paraId="5F6A4ECE">
            <w:pPr>
              <w:pStyle w:val="7"/>
              <w:spacing w:before="126" w:line="215" w:lineRule="auto"/>
              <w:ind w:left="116"/>
            </w:pPr>
            <w:r>
              <w:rPr>
                <w:spacing w:val="-24"/>
              </w:rPr>
              <w:t>负责组织制定《施工现场扬尘治理专项实施方案》，</w:t>
            </w:r>
            <w:r>
              <w:rPr>
                <w:spacing w:val="-25"/>
              </w:rPr>
              <w:t>并在落实过程中修补方</w:t>
            </w:r>
          </w:p>
          <w:p w14:paraId="62099F4F">
            <w:pPr>
              <w:pStyle w:val="7"/>
              <w:spacing w:before="186" w:line="217" w:lineRule="auto"/>
              <w:ind w:left="3053"/>
            </w:pPr>
            <w:r>
              <w:rPr>
                <w:spacing w:val="-18"/>
              </w:rPr>
              <w:t>案中的缺陷。</w:t>
            </w:r>
          </w:p>
        </w:tc>
      </w:tr>
      <w:tr w14:paraId="59510F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3" w:hRule="atLeast"/>
        </w:trPr>
        <w:tc>
          <w:tcPr>
            <w:tcW w:w="957" w:type="dxa"/>
            <w:gridSpan w:val="2"/>
            <w:tcBorders>
              <w:left w:val="single" w:color="000000" w:sz="4" w:space="0"/>
            </w:tcBorders>
            <w:vAlign w:val="top"/>
          </w:tcPr>
          <w:p w14:paraId="48889BD3">
            <w:pPr>
              <w:pStyle w:val="7"/>
              <w:spacing w:before="121" w:line="238" w:lineRule="auto"/>
              <w:ind w:left="435"/>
            </w:pPr>
            <w:r>
              <w:t>2</w:t>
            </w:r>
          </w:p>
        </w:tc>
        <w:tc>
          <w:tcPr>
            <w:tcW w:w="7410" w:type="dxa"/>
            <w:gridSpan w:val="2"/>
            <w:tcBorders>
              <w:right w:val="single" w:color="000000" w:sz="4" w:space="0"/>
            </w:tcBorders>
            <w:vAlign w:val="top"/>
          </w:tcPr>
          <w:p w14:paraId="11030594">
            <w:pPr>
              <w:pStyle w:val="7"/>
              <w:spacing w:before="121" w:line="216" w:lineRule="auto"/>
              <w:ind w:left="1096"/>
            </w:pPr>
            <w:r>
              <w:rPr>
                <w:spacing w:val="-21"/>
              </w:rPr>
              <w:t>负责组织制定施工现场扬尘污染治理专项作</w:t>
            </w:r>
            <w:r>
              <w:rPr>
                <w:spacing w:val="-22"/>
              </w:rPr>
              <w:t>业指导书。</w:t>
            </w:r>
          </w:p>
        </w:tc>
      </w:tr>
      <w:tr w14:paraId="76EE56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3" w:hRule="atLeast"/>
        </w:trPr>
        <w:tc>
          <w:tcPr>
            <w:tcW w:w="957" w:type="dxa"/>
            <w:gridSpan w:val="2"/>
            <w:tcBorders>
              <w:left w:val="single" w:color="000000" w:sz="4" w:space="0"/>
            </w:tcBorders>
            <w:vAlign w:val="top"/>
          </w:tcPr>
          <w:p w14:paraId="2B0C4C51">
            <w:pPr>
              <w:pStyle w:val="7"/>
              <w:spacing w:before="118" w:line="237" w:lineRule="auto"/>
              <w:ind w:left="437"/>
            </w:pPr>
            <w:r>
              <w:t>3</w:t>
            </w:r>
          </w:p>
        </w:tc>
        <w:tc>
          <w:tcPr>
            <w:tcW w:w="7410" w:type="dxa"/>
            <w:gridSpan w:val="2"/>
            <w:tcBorders>
              <w:right w:val="single" w:color="000000" w:sz="4" w:space="0"/>
            </w:tcBorders>
            <w:vAlign w:val="top"/>
          </w:tcPr>
          <w:p w14:paraId="2BA8B701">
            <w:pPr>
              <w:pStyle w:val="7"/>
              <w:spacing w:before="118" w:line="216" w:lineRule="auto"/>
              <w:ind w:left="1096"/>
            </w:pPr>
            <w:r>
              <w:rPr>
                <w:spacing w:val="-21"/>
              </w:rPr>
              <w:t>负责环保方面新技术、新材料、新工艺推广应</w:t>
            </w:r>
            <w:r>
              <w:rPr>
                <w:spacing w:val="-22"/>
              </w:rPr>
              <w:t>用工作。</w:t>
            </w:r>
          </w:p>
        </w:tc>
      </w:tr>
      <w:tr w14:paraId="491333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3" w:hRule="atLeast"/>
        </w:trPr>
        <w:tc>
          <w:tcPr>
            <w:tcW w:w="957" w:type="dxa"/>
            <w:gridSpan w:val="2"/>
            <w:tcBorders>
              <w:left w:val="single" w:color="000000" w:sz="4" w:space="0"/>
            </w:tcBorders>
            <w:vAlign w:val="top"/>
          </w:tcPr>
          <w:p w14:paraId="11B99CBE">
            <w:pPr>
              <w:pStyle w:val="7"/>
              <w:spacing w:before="115" w:line="238" w:lineRule="auto"/>
              <w:ind w:left="431"/>
            </w:pPr>
            <w:r>
              <w:t>4</w:t>
            </w:r>
          </w:p>
        </w:tc>
        <w:tc>
          <w:tcPr>
            <w:tcW w:w="7410" w:type="dxa"/>
            <w:gridSpan w:val="2"/>
            <w:tcBorders>
              <w:right w:val="single" w:color="000000" w:sz="4" w:space="0"/>
            </w:tcBorders>
            <w:vAlign w:val="top"/>
          </w:tcPr>
          <w:p w14:paraId="65C77010">
            <w:pPr>
              <w:pStyle w:val="7"/>
              <w:spacing w:before="115" w:line="216" w:lineRule="auto"/>
              <w:ind w:left="1640"/>
            </w:pPr>
            <w:r>
              <w:rPr>
                <w:spacing w:val="-21"/>
              </w:rPr>
              <w:t>负责土建、安装环保方面的技术协调工作。</w:t>
            </w:r>
          </w:p>
        </w:tc>
      </w:tr>
      <w:tr w14:paraId="48F10A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3" w:hRule="atLeast"/>
        </w:trPr>
        <w:tc>
          <w:tcPr>
            <w:tcW w:w="957" w:type="dxa"/>
            <w:gridSpan w:val="2"/>
            <w:tcBorders>
              <w:left w:val="single" w:color="000000" w:sz="4" w:space="0"/>
            </w:tcBorders>
            <w:vAlign w:val="top"/>
          </w:tcPr>
          <w:p w14:paraId="2768323C">
            <w:pPr>
              <w:pStyle w:val="7"/>
              <w:spacing w:before="112" w:line="237" w:lineRule="auto"/>
              <w:ind w:left="437"/>
            </w:pPr>
            <w:r>
              <w:t>5</w:t>
            </w:r>
          </w:p>
        </w:tc>
        <w:tc>
          <w:tcPr>
            <w:tcW w:w="7410" w:type="dxa"/>
            <w:gridSpan w:val="2"/>
            <w:tcBorders>
              <w:right w:val="single" w:color="000000" w:sz="4" w:space="0"/>
            </w:tcBorders>
            <w:vAlign w:val="top"/>
          </w:tcPr>
          <w:p w14:paraId="02DE76D7">
            <w:pPr>
              <w:pStyle w:val="7"/>
              <w:spacing w:before="112" w:line="216" w:lineRule="auto"/>
              <w:ind w:left="1969"/>
            </w:pPr>
            <w:r>
              <w:rPr>
                <w:spacing w:val="-22"/>
              </w:rPr>
              <w:t>负责扬尘治理设备选型的相关工作。</w:t>
            </w:r>
          </w:p>
        </w:tc>
      </w:tr>
      <w:tr w14:paraId="741C53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9" w:hRule="atLeast"/>
        </w:trPr>
        <w:tc>
          <w:tcPr>
            <w:tcW w:w="244" w:type="dxa"/>
            <w:tcBorders>
              <w:left w:val="single" w:color="1C456A" w:sz="4" w:space="0"/>
              <w:bottom w:val="single" w:color="1C456A" w:sz="4" w:space="0"/>
              <w:right w:val="nil"/>
            </w:tcBorders>
            <w:vAlign w:val="top"/>
          </w:tcPr>
          <w:p w14:paraId="0EB7C9A2">
            <w:pPr>
              <w:rPr>
                <w:rFonts w:ascii="Arial"/>
                <w:sz w:val="21"/>
              </w:rPr>
            </w:pPr>
            <w:r>
              <w:pict>
                <v:shape id="_x0000_s3442" o:spid="_x0000_s3442" style="position:absolute;left:0pt;margin-left:-0.25pt;margin-top:33pt;height:0.75pt;width:2.2pt;mso-position-horizontal-relative:page;mso-position-vertical-relative:page;z-index:252070912;mso-width-relative:page;mso-height-relative:page;" fillcolor="#5B9BD5" filled="t" stroked="f" coordsize="44,15" path="m0,14l43,14,43,0,0,0,0,14xe">
                  <v:path/>
                  <v:fill on="t" focussize="0,0"/>
                  <v:stroke on="f"/>
                  <v:imagedata o:title=""/>
                  <o:lock v:ext="edit"/>
                </v:shape>
              </w:pict>
            </w:r>
          </w:p>
        </w:tc>
        <w:tc>
          <w:tcPr>
            <w:tcW w:w="713" w:type="dxa"/>
            <w:tcBorders>
              <w:left w:val="nil"/>
              <w:bottom w:val="single" w:color="1C456A" w:sz="4" w:space="0"/>
            </w:tcBorders>
            <w:vAlign w:val="top"/>
          </w:tcPr>
          <w:p w14:paraId="6C9CD5C1">
            <w:pPr>
              <w:pStyle w:val="7"/>
              <w:spacing w:before="122" w:line="237" w:lineRule="auto"/>
              <w:ind w:left="195"/>
            </w:pPr>
            <w:r>
              <w:t>6</w:t>
            </w:r>
          </w:p>
        </w:tc>
        <w:tc>
          <w:tcPr>
            <w:tcW w:w="7410" w:type="dxa"/>
            <w:gridSpan w:val="2"/>
            <w:tcBorders>
              <w:bottom w:val="single" w:color="5B9BD5" w:sz="4" w:space="0"/>
              <w:right w:val="single" w:color="5B9BD5" w:sz="4" w:space="0"/>
            </w:tcBorders>
            <w:vAlign w:val="top"/>
          </w:tcPr>
          <w:p w14:paraId="274D63A3">
            <w:pPr>
              <w:pStyle w:val="7"/>
              <w:spacing w:before="123" w:line="217" w:lineRule="auto"/>
              <w:ind w:left="1751"/>
            </w:pPr>
            <w:r>
              <w:pict>
                <v:shape id="_x0000_s3443" o:spid="_x0000_s3443" style="position:absolute;left:0pt;margin-left:368.65pt;margin-top:33pt;height:0.75pt;width:2.2pt;mso-position-horizontal-relative:page;mso-position-vertical-relative:page;z-index:252069888;mso-width-relative:page;mso-height-relative:page;" fillcolor="#5B9BD5" filled="t" stroked="f" coordsize="44,15" path="m0,14l43,14,43,0,0,0,0,14xe">
                  <v:path/>
                  <v:fill on="t" focussize="0,0"/>
                  <v:stroke on="f"/>
                  <v:imagedata o:title=""/>
                  <o:lock v:ext="edit"/>
                </v:shape>
              </w:pict>
            </w:r>
            <w:r>
              <w:rPr>
                <w:spacing w:val="-21"/>
              </w:rPr>
              <w:t>负责施工现场扬尘治理相关文件的管理。</w:t>
            </w:r>
          </w:p>
        </w:tc>
      </w:tr>
    </w:tbl>
    <w:p w14:paraId="164DFAC2">
      <w:pPr>
        <w:pStyle w:val="2"/>
        <w:spacing w:before="114" w:line="220" w:lineRule="auto"/>
        <w:ind w:left="1890"/>
        <w:rPr>
          <w:sz w:val="24"/>
          <w:szCs w:val="24"/>
        </w:rPr>
      </w:pPr>
      <w:r>
        <w:rPr>
          <w:spacing w:val="-14"/>
          <w:sz w:val="24"/>
          <w:szCs w:val="24"/>
        </w:rPr>
        <w:t>5)生产经理</w:t>
      </w:r>
    </w:p>
    <w:tbl>
      <w:tblPr>
        <w:tblStyle w:val="6"/>
        <w:tblW w:w="8367" w:type="dxa"/>
        <w:tblInd w:w="1769"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45"/>
        <w:gridCol w:w="720"/>
        <w:gridCol w:w="6601"/>
        <w:gridCol w:w="801"/>
      </w:tblGrid>
      <w:tr w14:paraId="4EC7D6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4" w:hRule="atLeast"/>
        </w:trPr>
        <w:tc>
          <w:tcPr>
            <w:tcW w:w="965" w:type="dxa"/>
            <w:gridSpan w:val="2"/>
            <w:tcBorders>
              <w:top w:val="single" w:color="000000" w:sz="4" w:space="0"/>
              <w:left w:val="single" w:color="000000" w:sz="4" w:space="0"/>
            </w:tcBorders>
            <w:shd w:val="clear" w:color="auto" w:fill="DEEAF6"/>
            <w:vAlign w:val="top"/>
          </w:tcPr>
          <w:p w14:paraId="66C2BBC0">
            <w:pPr>
              <w:spacing w:line="93" w:lineRule="exact"/>
            </w:pPr>
            <w:r>
              <w:rPr>
                <w:position w:val="-1"/>
              </w:rPr>
              <w:pict>
                <v:group id="_x0000_s3444" o:spid="_x0000_s3444" o:spt="203" style="height:5.2pt;width:49.95pt;" coordsize="999,103">
                  <o:lock v:ext="edit"/>
                  <v:shape id="_x0000_s3445" o:spid="_x0000_s3445" style="position:absolute;left:0;top:0;height:15;width:44;" fillcolor="#5B9BD5" filled="t" stroked="f" coordsize="44,15" path="m0,14l43,14,43,0,0,0,0,14xe">
                    <v:path/>
                    <v:fill on="t" focussize="0,0"/>
                    <v:stroke on="f"/>
                    <v:imagedata o:title=""/>
                    <o:lock v:ext="edit"/>
                  </v:shape>
                  <v:shape id="_x0000_s3446" o:spid="_x0000_s3446" style="position:absolute;left:43;top:43;height:60;width:913;" fillcolor="#DEEAF6" filled="t" stroked="f" coordsize="913,60" path="m0,60l912,60,912,0,0,0,0,60xe">
                    <v:path/>
                    <v:fill on="t" focussize="0,0"/>
                    <v:stroke on="f"/>
                    <v:imagedata o:title=""/>
                    <o:lock v:ext="edit"/>
                  </v:shape>
                  <v:shape id="_x0000_s3447" o:spid="_x0000_s3447" style="position:absolute;left:955;top:0;height:15;width:44;" fillcolor="#5B9BD5" filled="t" stroked="f" coordsize="44,15" path="m0,14l43,14,43,0,0,0,0,14xe">
                    <v:path/>
                    <v:fill on="t" focussize="0,0"/>
                    <v:stroke on="f"/>
                    <v:imagedata o:title=""/>
                    <o:lock v:ext="edit"/>
                  </v:shape>
                  <v:shape id="_x0000_s3448" o:spid="_x0000_s3448" style="position:absolute;left:955;top:14;height:15;width:44;" fillcolor="#20507B" filled="t" stroked="f" coordsize="44,15" path="m0,14l43,14,43,0,0,0,0,14xe">
                    <v:path/>
                    <v:fill on="t" focussize="0,0"/>
                    <v:stroke on="f"/>
                    <v:imagedata o:title=""/>
                    <o:lock v:ext="edit"/>
                  </v:shape>
                  <v:shape id="_x0000_s3449" o:spid="_x0000_s3449" style="position:absolute;left:955;top:28;height:15;width:44;" fillcolor="#1C456A" filled="t" stroked="f" coordsize="44,15" path="m0,14l43,14,43,0,0,0,0,14xe">
                    <v:path/>
                    <v:fill on="t" focussize="0,0"/>
                    <v:stroke on="f"/>
                    <v:imagedata o:title=""/>
                    <o:lock v:ext="edit"/>
                  </v:shape>
                  <w10:wrap type="none"/>
                  <w10:anchorlock/>
                </v:group>
              </w:pict>
            </w:r>
          </w:p>
          <w:p w14:paraId="35C5A8F5">
            <w:pPr>
              <w:pStyle w:val="7"/>
              <w:spacing w:before="48" w:line="218" w:lineRule="auto"/>
              <w:ind w:left="279"/>
            </w:pPr>
            <w:r>
              <w:rPr>
                <w:b/>
                <w:bCs/>
                <w:spacing w:val="-11"/>
              </w:rPr>
              <w:t>序号</w:t>
            </w:r>
          </w:p>
        </w:tc>
        <w:tc>
          <w:tcPr>
            <w:tcW w:w="6601" w:type="dxa"/>
            <w:tcBorders>
              <w:top w:val="single" w:color="5B9BD5" w:sz="4" w:space="0"/>
              <w:right w:val="nil"/>
            </w:tcBorders>
            <w:shd w:val="clear" w:color="auto" w:fill="DEEAF6"/>
            <w:vAlign w:val="top"/>
          </w:tcPr>
          <w:p w14:paraId="244541D1">
            <w:pPr>
              <w:pStyle w:val="7"/>
              <w:spacing w:before="141" w:line="217" w:lineRule="auto"/>
              <w:ind w:left="3293"/>
            </w:pPr>
            <w:r>
              <w:rPr>
                <w:b/>
                <w:bCs/>
                <w:spacing w:val="-25"/>
              </w:rPr>
              <w:t>岗位职责</w:t>
            </w:r>
          </w:p>
        </w:tc>
        <w:tc>
          <w:tcPr>
            <w:tcW w:w="801" w:type="dxa"/>
            <w:tcBorders>
              <w:top w:val="single" w:color="5B9BD5" w:sz="4" w:space="0"/>
              <w:left w:val="nil"/>
              <w:right w:val="single" w:color="5B9BD5" w:sz="4" w:space="0"/>
            </w:tcBorders>
            <w:shd w:val="clear" w:color="auto" w:fill="DEEAF6"/>
            <w:vAlign w:val="top"/>
          </w:tcPr>
          <w:p w14:paraId="2F202C80">
            <w:pPr>
              <w:rPr>
                <w:rFonts w:ascii="Arial"/>
                <w:sz w:val="21"/>
              </w:rPr>
            </w:pPr>
            <w:r>
              <w:pict>
                <v:shape id="_x0000_s3450" o:spid="_x0000_s3450" style="position:absolute;left:0pt;margin-left:38.2pt;margin-top:0pt;height:0.75pt;width:2.2pt;mso-position-horizontal-relative:page;mso-position-vertical-relative:page;z-index:252068864;mso-width-relative:page;mso-height-relative:page;" fillcolor="#5B9BD5" filled="t" stroked="f" coordsize="44,15" path="m0,14l43,14,43,0,0,0,0,14xe">
                  <v:path/>
                  <v:fill on="t" focussize="0,0"/>
                  <v:stroke on="f"/>
                  <v:imagedata o:title=""/>
                  <o:lock v:ext="edit"/>
                </v:shape>
              </w:pict>
            </w:r>
          </w:p>
        </w:tc>
      </w:tr>
      <w:tr w14:paraId="667DC8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5" w:hRule="atLeast"/>
        </w:trPr>
        <w:tc>
          <w:tcPr>
            <w:tcW w:w="965" w:type="dxa"/>
            <w:gridSpan w:val="2"/>
            <w:tcBorders>
              <w:left w:val="single" w:color="000000" w:sz="4" w:space="0"/>
            </w:tcBorders>
            <w:vAlign w:val="top"/>
          </w:tcPr>
          <w:p w14:paraId="09C96359">
            <w:pPr>
              <w:pStyle w:val="7"/>
              <w:spacing w:before="119" w:line="238" w:lineRule="auto"/>
              <w:ind w:left="452"/>
            </w:pPr>
            <w:r>
              <w:t>1</w:t>
            </w:r>
          </w:p>
        </w:tc>
        <w:tc>
          <w:tcPr>
            <w:tcW w:w="7402" w:type="dxa"/>
            <w:gridSpan w:val="2"/>
            <w:tcBorders>
              <w:right w:val="single" w:color="000000" w:sz="4" w:space="0"/>
            </w:tcBorders>
            <w:vAlign w:val="top"/>
          </w:tcPr>
          <w:p w14:paraId="20D5244D">
            <w:pPr>
              <w:pStyle w:val="7"/>
              <w:spacing w:before="119" w:line="216" w:lineRule="auto"/>
              <w:ind w:left="1964"/>
            </w:pPr>
            <w:r>
              <w:rPr>
                <w:spacing w:val="-21"/>
              </w:rPr>
              <w:t>负责现场扬尘治理的具体落实工作。</w:t>
            </w:r>
          </w:p>
        </w:tc>
      </w:tr>
      <w:tr w14:paraId="4194B8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9" w:hRule="atLeast"/>
        </w:trPr>
        <w:tc>
          <w:tcPr>
            <w:tcW w:w="245" w:type="dxa"/>
            <w:tcBorders>
              <w:left w:val="single" w:color="1C456A" w:sz="4" w:space="0"/>
              <w:bottom w:val="single" w:color="1C456A" w:sz="4" w:space="0"/>
              <w:right w:val="nil"/>
            </w:tcBorders>
            <w:vAlign w:val="top"/>
          </w:tcPr>
          <w:p w14:paraId="5DDACE7C">
            <w:pPr>
              <w:rPr>
                <w:rFonts w:ascii="Arial"/>
                <w:sz w:val="21"/>
              </w:rPr>
            </w:pPr>
            <w:r>
              <w:pict>
                <v:shape id="_x0000_s3451" o:spid="_x0000_s3451" style="position:absolute;left:0pt;margin-left:-0.25pt;margin-top:32pt;height:0.75pt;width:2.2pt;mso-position-horizontal-relative:page;mso-position-vertical-relative:page;z-index:252067840;mso-width-relative:page;mso-height-relative:page;" fillcolor="#5B9BD5" filled="t" stroked="f" coordsize="44,15" path="m0,14l43,14,43,0,0,0,0,14xe">
                  <v:path/>
                  <v:fill on="t" focussize="0,0"/>
                  <v:stroke on="f"/>
                  <v:imagedata o:title=""/>
                  <o:lock v:ext="edit"/>
                </v:shape>
              </w:pict>
            </w:r>
          </w:p>
        </w:tc>
        <w:tc>
          <w:tcPr>
            <w:tcW w:w="720" w:type="dxa"/>
            <w:tcBorders>
              <w:left w:val="nil"/>
              <w:bottom w:val="single" w:color="1C456A" w:sz="4" w:space="0"/>
            </w:tcBorders>
            <w:vAlign w:val="top"/>
          </w:tcPr>
          <w:p w14:paraId="30AD44EC">
            <w:pPr>
              <w:pStyle w:val="7"/>
              <w:spacing w:before="115" w:line="238" w:lineRule="auto"/>
              <w:ind w:left="198"/>
            </w:pPr>
            <w:r>
              <w:t>2</w:t>
            </w:r>
          </w:p>
        </w:tc>
        <w:tc>
          <w:tcPr>
            <w:tcW w:w="7402" w:type="dxa"/>
            <w:gridSpan w:val="2"/>
            <w:tcBorders>
              <w:bottom w:val="single" w:color="5B9BD5" w:sz="4" w:space="0"/>
              <w:right w:val="single" w:color="5B9BD5" w:sz="4" w:space="0"/>
            </w:tcBorders>
            <w:vAlign w:val="top"/>
          </w:tcPr>
          <w:p w14:paraId="3773F642">
            <w:pPr>
              <w:pStyle w:val="7"/>
              <w:spacing w:before="114" w:line="216" w:lineRule="auto"/>
              <w:ind w:left="1419"/>
            </w:pPr>
            <w:r>
              <w:pict>
                <v:shape id="_x0000_s3452" o:spid="_x0000_s3452" style="position:absolute;left:0pt;margin-left:368.25pt;margin-top:32pt;height:0.75pt;width:2.2pt;mso-position-horizontal-relative:page;mso-position-vertical-relative:page;z-index:252066816;mso-width-relative:page;mso-height-relative:page;" fillcolor="#5B9BD5" filled="t" stroked="f" coordsize="44,15" path="m0,14l43,14,43,0,0,0,0,14xe">
                  <v:path/>
                  <v:fill on="t" focussize="0,0"/>
                  <v:stroke on="f"/>
                  <v:imagedata o:title=""/>
                  <o:lock v:ext="edit"/>
                </v:shape>
              </w:pict>
            </w:r>
            <w:r>
              <w:rPr>
                <w:spacing w:val="-21"/>
              </w:rPr>
              <w:t>负责对现场扬尘治理执行情况进行检查和整改。</w:t>
            </w:r>
          </w:p>
        </w:tc>
      </w:tr>
    </w:tbl>
    <w:p w14:paraId="05A2B561">
      <w:pPr>
        <w:rPr>
          <w:rFonts w:ascii="Arial"/>
          <w:sz w:val="21"/>
        </w:rPr>
      </w:pPr>
    </w:p>
    <w:p w14:paraId="21A992CD">
      <w:pPr>
        <w:rPr>
          <w:rFonts w:ascii="Arial" w:hAnsi="Arial" w:eastAsia="Arial" w:cs="Arial"/>
          <w:sz w:val="21"/>
          <w:szCs w:val="21"/>
        </w:rPr>
        <w:sectPr>
          <w:footerReference r:id="rId189" w:type="default"/>
          <w:pgSz w:w="11907" w:h="16839"/>
          <w:pgMar w:top="954" w:right="4" w:bottom="1038" w:left="0" w:header="499" w:footer="357" w:gutter="0"/>
          <w:pgBorders>
            <w:top w:val="none" w:sz="0" w:space="0"/>
            <w:left w:val="none" w:sz="0" w:space="0"/>
            <w:bottom w:val="none" w:sz="0" w:space="0"/>
            <w:right w:val="none" w:sz="0" w:space="0"/>
          </w:pgBorders>
          <w:cols w:space="720" w:num="1"/>
        </w:sectPr>
      </w:pPr>
    </w:p>
    <w:p w14:paraId="3FEB396F">
      <w:pPr>
        <w:spacing w:line="214" w:lineRule="exact"/>
      </w:pPr>
    </w:p>
    <w:tbl>
      <w:tblPr>
        <w:tblStyle w:val="6"/>
        <w:tblW w:w="8367" w:type="dxa"/>
        <w:tblInd w:w="1769"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59"/>
        <w:gridCol w:w="7408"/>
      </w:tblGrid>
      <w:tr w14:paraId="58C4FF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3" w:hRule="atLeast"/>
        </w:trPr>
        <w:tc>
          <w:tcPr>
            <w:tcW w:w="959" w:type="dxa"/>
            <w:tcBorders>
              <w:top w:val="single" w:color="000000" w:sz="4" w:space="0"/>
              <w:left w:val="single" w:color="000000" w:sz="4" w:space="0"/>
            </w:tcBorders>
            <w:vAlign w:val="top"/>
          </w:tcPr>
          <w:p w14:paraId="5A2804DB">
            <w:pPr>
              <w:pStyle w:val="7"/>
              <w:spacing w:before="131" w:line="237" w:lineRule="auto"/>
              <w:ind w:left="439"/>
            </w:pPr>
            <w:r>
              <w:t>3</w:t>
            </w:r>
          </w:p>
        </w:tc>
        <w:tc>
          <w:tcPr>
            <w:tcW w:w="7408" w:type="dxa"/>
            <w:tcBorders>
              <w:top w:val="single" w:color="5B9BD5" w:sz="4" w:space="0"/>
              <w:right w:val="single" w:color="5B9BD5" w:sz="4" w:space="0"/>
            </w:tcBorders>
            <w:vAlign w:val="top"/>
          </w:tcPr>
          <w:p w14:paraId="30EC36AC">
            <w:pPr>
              <w:pStyle w:val="7"/>
              <w:spacing w:before="131" w:line="217" w:lineRule="auto"/>
              <w:ind w:left="1309"/>
            </w:pPr>
            <w:r>
              <w:rPr>
                <w:spacing w:val="-21"/>
              </w:rPr>
              <w:t>保证施工过程扬尘治理符合政府相关规定的要求。</w:t>
            </w:r>
          </w:p>
        </w:tc>
      </w:tr>
      <w:tr w14:paraId="6AA253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7" w:hRule="atLeast"/>
        </w:trPr>
        <w:tc>
          <w:tcPr>
            <w:tcW w:w="959" w:type="dxa"/>
            <w:tcBorders>
              <w:left w:val="single" w:color="000000" w:sz="4" w:space="0"/>
            </w:tcBorders>
            <w:vAlign w:val="top"/>
          </w:tcPr>
          <w:p w14:paraId="6388CD43">
            <w:pPr>
              <w:pStyle w:val="7"/>
              <w:spacing w:before="99" w:line="238" w:lineRule="auto"/>
              <w:ind w:left="434"/>
            </w:pPr>
            <w:r>
              <w:t>4</w:t>
            </w:r>
          </w:p>
        </w:tc>
        <w:tc>
          <w:tcPr>
            <w:tcW w:w="7408" w:type="dxa"/>
            <w:tcBorders>
              <w:right w:val="single" w:color="000000" w:sz="4" w:space="0"/>
            </w:tcBorders>
            <w:vAlign w:val="top"/>
          </w:tcPr>
          <w:p w14:paraId="4281D054">
            <w:pPr>
              <w:pStyle w:val="7"/>
              <w:spacing w:before="99" w:line="216" w:lineRule="auto"/>
              <w:ind w:left="1964"/>
            </w:pPr>
            <w:r>
              <w:rPr>
                <w:spacing w:val="-21"/>
              </w:rPr>
              <w:t>协调总包各部门扬尘治理管理工作。</w:t>
            </w:r>
          </w:p>
        </w:tc>
      </w:tr>
      <w:tr w14:paraId="4287B0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9" w:hRule="atLeast"/>
        </w:trPr>
        <w:tc>
          <w:tcPr>
            <w:tcW w:w="959" w:type="dxa"/>
            <w:tcBorders>
              <w:left w:val="single" w:color="1C456A" w:sz="4" w:space="0"/>
              <w:bottom w:val="single" w:color="1C456A" w:sz="4" w:space="0"/>
            </w:tcBorders>
            <w:vAlign w:val="top"/>
          </w:tcPr>
          <w:p w14:paraId="525FCAA7">
            <w:pPr>
              <w:pStyle w:val="7"/>
              <w:spacing w:before="112" w:line="237" w:lineRule="auto"/>
              <w:ind w:left="439"/>
            </w:pPr>
            <w:r>
              <w:t>5</w:t>
            </w:r>
          </w:p>
        </w:tc>
        <w:tc>
          <w:tcPr>
            <w:tcW w:w="7408" w:type="dxa"/>
            <w:tcBorders>
              <w:bottom w:val="single" w:color="5B9BD5" w:sz="4" w:space="0"/>
              <w:right w:val="single" w:color="5B9BD5" w:sz="4" w:space="0"/>
            </w:tcBorders>
            <w:vAlign w:val="top"/>
          </w:tcPr>
          <w:p w14:paraId="2EAB9F10">
            <w:pPr>
              <w:pStyle w:val="7"/>
              <w:spacing w:before="112" w:line="216" w:lineRule="auto"/>
              <w:ind w:left="1420"/>
            </w:pPr>
            <w:r>
              <w:rPr>
                <w:spacing w:val="-21"/>
              </w:rPr>
              <w:t>对劳务队伍进行作业指导书培训和协调、管理。</w:t>
            </w:r>
          </w:p>
        </w:tc>
      </w:tr>
    </w:tbl>
    <w:p w14:paraId="6943FB90">
      <w:pPr>
        <w:pStyle w:val="2"/>
        <w:spacing w:before="114" w:line="217" w:lineRule="auto"/>
        <w:ind w:left="1961"/>
        <w:rPr>
          <w:sz w:val="24"/>
          <w:szCs w:val="24"/>
        </w:rPr>
      </w:pPr>
      <w:r>
        <w:rPr>
          <w:spacing w:val="-8"/>
          <w:sz w:val="24"/>
          <w:szCs w:val="24"/>
        </w:rPr>
        <w:t>6)物资部</w:t>
      </w:r>
    </w:p>
    <w:p w14:paraId="4A296AA9">
      <w:pPr>
        <w:spacing w:line="38" w:lineRule="auto"/>
        <w:rPr>
          <w:rFonts w:ascii="Arial"/>
          <w:sz w:val="2"/>
        </w:rPr>
      </w:pPr>
    </w:p>
    <w:tbl>
      <w:tblPr>
        <w:tblStyle w:val="6"/>
        <w:tblW w:w="8367" w:type="dxa"/>
        <w:tblInd w:w="1769"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65"/>
        <w:gridCol w:w="7402"/>
      </w:tblGrid>
      <w:tr w14:paraId="40C8BF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22" w:hRule="atLeast"/>
        </w:trPr>
        <w:tc>
          <w:tcPr>
            <w:tcW w:w="965" w:type="dxa"/>
            <w:tcBorders>
              <w:top w:val="single" w:color="000000" w:sz="4" w:space="0"/>
              <w:left w:val="single" w:color="000000" w:sz="4" w:space="0"/>
            </w:tcBorders>
            <w:shd w:val="clear" w:color="auto" w:fill="DEEAF6"/>
            <w:vAlign w:val="top"/>
          </w:tcPr>
          <w:p w14:paraId="19D06BA8">
            <w:pPr>
              <w:pStyle w:val="7"/>
              <w:spacing w:before="141" w:line="218" w:lineRule="auto"/>
              <w:ind w:left="276"/>
            </w:pPr>
            <w:r>
              <w:rPr>
                <w:b/>
                <w:bCs/>
                <w:spacing w:val="-11"/>
              </w:rPr>
              <w:t>序号</w:t>
            </w:r>
          </w:p>
        </w:tc>
        <w:tc>
          <w:tcPr>
            <w:tcW w:w="7402" w:type="dxa"/>
            <w:tcBorders>
              <w:top w:val="single" w:color="5B9BD5" w:sz="4" w:space="0"/>
              <w:right w:val="single" w:color="5B9BD5" w:sz="4" w:space="0"/>
            </w:tcBorders>
            <w:shd w:val="clear" w:color="auto" w:fill="DEEAF6"/>
            <w:vAlign w:val="top"/>
          </w:tcPr>
          <w:p w14:paraId="090BA5F6">
            <w:pPr>
              <w:pStyle w:val="7"/>
              <w:spacing w:before="141" w:line="217" w:lineRule="auto"/>
              <w:ind w:left="3293"/>
            </w:pPr>
            <w:r>
              <w:rPr>
                <w:b/>
                <w:bCs/>
                <w:spacing w:val="-25"/>
              </w:rPr>
              <w:t>岗位职责</w:t>
            </w:r>
          </w:p>
        </w:tc>
      </w:tr>
      <w:tr w14:paraId="7BA68C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64" w:hRule="atLeast"/>
        </w:trPr>
        <w:tc>
          <w:tcPr>
            <w:tcW w:w="965" w:type="dxa"/>
            <w:tcBorders>
              <w:left w:val="single" w:color="000000" w:sz="4" w:space="0"/>
            </w:tcBorders>
            <w:vAlign w:val="top"/>
          </w:tcPr>
          <w:p w14:paraId="49175062">
            <w:pPr>
              <w:spacing w:line="275" w:lineRule="auto"/>
              <w:rPr>
                <w:rFonts w:ascii="Arial"/>
                <w:sz w:val="21"/>
              </w:rPr>
            </w:pPr>
          </w:p>
          <w:p w14:paraId="092C510F">
            <w:pPr>
              <w:pStyle w:val="7"/>
              <w:spacing w:before="78" w:line="238" w:lineRule="auto"/>
              <w:ind w:left="452"/>
            </w:pPr>
            <w:r>
              <w:t>1</w:t>
            </w:r>
          </w:p>
        </w:tc>
        <w:tc>
          <w:tcPr>
            <w:tcW w:w="7402" w:type="dxa"/>
            <w:tcBorders>
              <w:right w:val="single" w:color="000000" w:sz="4" w:space="0"/>
            </w:tcBorders>
            <w:vAlign w:val="top"/>
          </w:tcPr>
          <w:p w14:paraId="4559DF48">
            <w:pPr>
              <w:pStyle w:val="7"/>
              <w:spacing w:before="121" w:line="215" w:lineRule="auto"/>
              <w:ind w:left="105"/>
            </w:pPr>
            <w:r>
              <w:rPr>
                <w:spacing w:val="-21"/>
              </w:rPr>
              <w:t>物资采购时，在满足设计要求的前提下，首先选用绿色建</w:t>
            </w:r>
            <w:r>
              <w:rPr>
                <w:spacing w:val="-22"/>
              </w:rPr>
              <w:t>筑材料及积极推广</w:t>
            </w:r>
          </w:p>
          <w:p w14:paraId="5252E77F">
            <w:pPr>
              <w:pStyle w:val="7"/>
              <w:spacing w:before="185" w:line="216" w:lineRule="auto"/>
              <w:ind w:left="3171"/>
            </w:pPr>
            <w:r>
              <w:rPr>
                <w:spacing w:val="-20"/>
              </w:rPr>
              <w:t>的新材料。</w:t>
            </w:r>
          </w:p>
        </w:tc>
      </w:tr>
      <w:tr w14:paraId="0F9C04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2" w:hRule="atLeast"/>
        </w:trPr>
        <w:tc>
          <w:tcPr>
            <w:tcW w:w="965" w:type="dxa"/>
            <w:tcBorders>
              <w:left w:val="single" w:color="1C456A" w:sz="4" w:space="0"/>
              <w:bottom w:val="single" w:color="1C456A" w:sz="4" w:space="0"/>
            </w:tcBorders>
            <w:vAlign w:val="top"/>
          </w:tcPr>
          <w:p w14:paraId="5E4550E0">
            <w:pPr>
              <w:pStyle w:val="7"/>
              <w:spacing w:before="126" w:line="238" w:lineRule="auto"/>
              <w:ind w:left="438"/>
            </w:pPr>
            <w:r>
              <w:t>2</w:t>
            </w:r>
          </w:p>
        </w:tc>
        <w:tc>
          <w:tcPr>
            <w:tcW w:w="7402" w:type="dxa"/>
            <w:tcBorders>
              <w:bottom w:val="single" w:color="5B9BD5" w:sz="4" w:space="0"/>
              <w:right w:val="single" w:color="5B9BD5" w:sz="4" w:space="0"/>
            </w:tcBorders>
            <w:vAlign w:val="top"/>
          </w:tcPr>
          <w:p w14:paraId="4401959F">
            <w:pPr>
              <w:pStyle w:val="7"/>
              <w:spacing w:before="125" w:line="216" w:lineRule="auto"/>
              <w:ind w:left="1851"/>
            </w:pPr>
            <w:r>
              <w:rPr>
                <w:spacing w:val="-21"/>
              </w:rPr>
              <w:t>对分包单位的材料采购进行监督管理。</w:t>
            </w:r>
          </w:p>
        </w:tc>
      </w:tr>
    </w:tbl>
    <w:p w14:paraId="16C79620">
      <w:pPr>
        <w:pStyle w:val="2"/>
        <w:spacing w:before="115" w:line="218" w:lineRule="auto"/>
        <w:ind w:left="1891"/>
        <w:rPr>
          <w:sz w:val="24"/>
          <w:szCs w:val="24"/>
        </w:rPr>
      </w:pPr>
      <w:r>
        <w:rPr>
          <w:spacing w:val="-12"/>
          <w:sz w:val="24"/>
          <w:szCs w:val="24"/>
        </w:rPr>
        <w:t>7)工程部</w:t>
      </w:r>
    </w:p>
    <w:p w14:paraId="5D34E063">
      <w:pPr>
        <w:spacing w:line="23" w:lineRule="auto"/>
        <w:rPr>
          <w:rFonts w:ascii="Arial"/>
          <w:sz w:val="2"/>
        </w:rPr>
      </w:pPr>
    </w:p>
    <w:tbl>
      <w:tblPr>
        <w:tblStyle w:val="6"/>
        <w:tblW w:w="8367" w:type="dxa"/>
        <w:tblInd w:w="1769"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45"/>
        <w:gridCol w:w="720"/>
        <w:gridCol w:w="7402"/>
      </w:tblGrid>
      <w:tr w14:paraId="121747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4" w:hRule="atLeast"/>
        </w:trPr>
        <w:tc>
          <w:tcPr>
            <w:tcW w:w="965" w:type="dxa"/>
            <w:gridSpan w:val="2"/>
            <w:tcBorders>
              <w:top w:val="single" w:color="000000" w:sz="4" w:space="0"/>
              <w:left w:val="single" w:color="000000" w:sz="4" w:space="0"/>
            </w:tcBorders>
            <w:shd w:val="clear" w:color="auto" w:fill="DEEAF6"/>
            <w:vAlign w:val="top"/>
          </w:tcPr>
          <w:p w14:paraId="7A3B5B00">
            <w:pPr>
              <w:pStyle w:val="7"/>
              <w:spacing w:before="141" w:line="218" w:lineRule="auto"/>
              <w:ind w:left="276"/>
            </w:pPr>
            <w:r>
              <w:rPr>
                <w:b/>
                <w:bCs/>
                <w:spacing w:val="-11"/>
              </w:rPr>
              <w:t>序号</w:t>
            </w:r>
          </w:p>
        </w:tc>
        <w:tc>
          <w:tcPr>
            <w:tcW w:w="7402" w:type="dxa"/>
            <w:tcBorders>
              <w:top w:val="single" w:color="5B9BD5" w:sz="4" w:space="0"/>
              <w:right w:val="single" w:color="5B9BD5" w:sz="4" w:space="0"/>
            </w:tcBorders>
            <w:shd w:val="clear" w:color="auto" w:fill="DEEAF6"/>
            <w:vAlign w:val="top"/>
          </w:tcPr>
          <w:p w14:paraId="0C40886E">
            <w:pPr>
              <w:pStyle w:val="7"/>
              <w:spacing w:before="141" w:line="217" w:lineRule="auto"/>
              <w:ind w:left="3293"/>
            </w:pPr>
            <w:r>
              <w:rPr>
                <w:b/>
                <w:bCs/>
                <w:spacing w:val="-25"/>
              </w:rPr>
              <w:t>岗位职责</w:t>
            </w:r>
          </w:p>
        </w:tc>
      </w:tr>
      <w:tr w14:paraId="639046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4" w:hRule="atLeast"/>
        </w:trPr>
        <w:tc>
          <w:tcPr>
            <w:tcW w:w="965" w:type="dxa"/>
            <w:gridSpan w:val="2"/>
            <w:tcBorders>
              <w:left w:val="single" w:color="000000" w:sz="4" w:space="0"/>
            </w:tcBorders>
            <w:vAlign w:val="top"/>
          </w:tcPr>
          <w:p w14:paraId="34504220">
            <w:pPr>
              <w:pStyle w:val="7"/>
              <w:spacing w:before="97" w:line="238" w:lineRule="auto"/>
              <w:ind w:left="452"/>
            </w:pPr>
            <w:r>
              <w:t>1</w:t>
            </w:r>
          </w:p>
        </w:tc>
        <w:tc>
          <w:tcPr>
            <w:tcW w:w="7402" w:type="dxa"/>
            <w:tcBorders>
              <w:right w:val="single" w:color="000000" w:sz="4" w:space="0"/>
            </w:tcBorders>
            <w:vAlign w:val="top"/>
          </w:tcPr>
          <w:p w14:paraId="38E05D00">
            <w:pPr>
              <w:pStyle w:val="7"/>
              <w:spacing w:before="97" w:line="216" w:lineRule="auto"/>
              <w:ind w:left="1092"/>
            </w:pPr>
            <w:r>
              <w:rPr>
                <w:spacing w:val="-21"/>
              </w:rPr>
              <w:t>负责防尘、降尘方案的实施，并按要求保留相</w:t>
            </w:r>
            <w:r>
              <w:rPr>
                <w:spacing w:val="-22"/>
              </w:rPr>
              <w:t>关记录。</w:t>
            </w:r>
          </w:p>
        </w:tc>
      </w:tr>
      <w:tr w14:paraId="5C04E7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9" w:hRule="atLeast"/>
        </w:trPr>
        <w:tc>
          <w:tcPr>
            <w:tcW w:w="245" w:type="dxa"/>
            <w:tcBorders>
              <w:left w:val="single" w:color="1C456A" w:sz="4" w:space="0"/>
              <w:bottom w:val="single" w:color="1C456A" w:sz="4" w:space="0"/>
              <w:right w:val="nil"/>
            </w:tcBorders>
            <w:vAlign w:val="top"/>
          </w:tcPr>
          <w:p w14:paraId="5A4742F8">
            <w:pPr>
              <w:rPr>
                <w:rFonts w:ascii="Arial"/>
                <w:sz w:val="21"/>
              </w:rPr>
            </w:pPr>
            <w:r>
              <w:pict>
                <v:shape id="_x0000_s3453" o:spid="_x0000_s3453" style="position:absolute;left:0pt;margin-left:-0.25pt;margin-top:32.5pt;height:0.75pt;width:2.2pt;mso-position-horizontal-relative:page;mso-position-vertical-relative:page;z-index:252082176;mso-width-relative:page;mso-height-relative:page;" fillcolor="#5B9BD5" filled="t" stroked="f" coordsize="44,15" path="m0,14l43,14,43,0,0,0,0,14xe">
                  <v:path/>
                  <v:fill on="t" focussize="0,0"/>
                  <v:stroke on="f"/>
                  <v:imagedata o:title=""/>
                  <o:lock v:ext="edit"/>
                </v:shape>
              </w:pict>
            </w:r>
          </w:p>
        </w:tc>
        <w:tc>
          <w:tcPr>
            <w:tcW w:w="720" w:type="dxa"/>
            <w:tcBorders>
              <w:left w:val="nil"/>
              <w:bottom w:val="single" w:color="1C456A" w:sz="4" w:space="0"/>
            </w:tcBorders>
            <w:vAlign w:val="top"/>
          </w:tcPr>
          <w:p w14:paraId="118206AF">
            <w:pPr>
              <w:pStyle w:val="7"/>
              <w:spacing w:before="115" w:line="238" w:lineRule="auto"/>
              <w:ind w:left="198"/>
            </w:pPr>
            <w:r>
              <w:t>2</w:t>
            </w:r>
          </w:p>
        </w:tc>
        <w:tc>
          <w:tcPr>
            <w:tcW w:w="7402" w:type="dxa"/>
            <w:tcBorders>
              <w:bottom w:val="single" w:color="5B9BD5" w:sz="4" w:space="0"/>
              <w:right w:val="single" w:color="5B9BD5" w:sz="4" w:space="0"/>
            </w:tcBorders>
            <w:vAlign w:val="top"/>
          </w:tcPr>
          <w:p w14:paraId="71AC0AB9">
            <w:pPr>
              <w:pStyle w:val="7"/>
              <w:spacing w:before="114" w:line="217" w:lineRule="auto"/>
              <w:ind w:left="216"/>
            </w:pPr>
            <w:r>
              <w:pict>
                <v:shape id="_x0000_s3454" o:spid="_x0000_s3454" style="position:absolute;left:0pt;margin-left:368.25pt;margin-top:32.5pt;height:0.75pt;width:2.2pt;mso-position-horizontal-relative:page;mso-position-vertical-relative:page;z-index:252081152;mso-width-relative:page;mso-height-relative:page;" fillcolor="#5B9BD5" filled="t" stroked="f" coordsize="44,15" path="m0,14l43,14,43,0,0,0,0,14xe">
                  <v:path/>
                  <v:fill on="t" focussize="0,0"/>
                  <v:stroke on="f"/>
                  <v:imagedata o:title=""/>
                  <o:lock v:ext="edit"/>
                </v:shape>
              </w:pict>
            </w:r>
            <w:r>
              <w:rPr>
                <w:spacing w:val="-21"/>
              </w:rPr>
              <w:t>对劳务人员进行施工扬尘治理方面的培训，明确工程的防尘</w:t>
            </w:r>
            <w:r>
              <w:rPr>
                <w:spacing w:val="-22"/>
              </w:rPr>
              <w:t>、降尘要求。</w:t>
            </w:r>
          </w:p>
        </w:tc>
      </w:tr>
    </w:tbl>
    <w:p w14:paraId="1C82D124">
      <w:pPr>
        <w:pStyle w:val="2"/>
        <w:spacing w:before="115" w:line="218" w:lineRule="auto"/>
        <w:ind w:left="1965"/>
        <w:rPr>
          <w:sz w:val="24"/>
          <w:szCs w:val="24"/>
        </w:rPr>
      </w:pPr>
      <w:r>
        <w:rPr>
          <w:spacing w:val="-8"/>
          <w:sz w:val="24"/>
          <w:szCs w:val="24"/>
        </w:rPr>
        <w:t>8)安全部</w:t>
      </w:r>
    </w:p>
    <w:p w14:paraId="43C9730D">
      <w:pPr>
        <w:spacing w:line="25" w:lineRule="auto"/>
        <w:rPr>
          <w:rFonts w:ascii="Arial"/>
          <w:sz w:val="2"/>
        </w:rPr>
      </w:pPr>
    </w:p>
    <w:tbl>
      <w:tblPr>
        <w:tblStyle w:val="6"/>
        <w:tblW w:w="8367" w:type="dxa"/>
        <w:tblInd w:w="1769"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43"/>
        <w:gridCol w:w="719"/>
        <w:gridCol w:w="7326"/>
        <w:gridCol w:w="79"/>
      </w:tblGrid>
      <w:tr w14:paraId="7059F6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1" w:hRule="atLeast"/>
        </w:trPr>
        <w:tc>
          <w:tcPr>
            <w:tcW w:w="962" w:type="dxa"/>
            <w:gridSpan w:val="2"/>
            <w:tcBorders>
              <w:top w:val="single" w:color="000000" w:sz="4" w:space="0"/>
              <w:left w:val="single" w:color="000000" w:sz="4" w:space="0"/>
            </w:tcBorders>
            <w:shd w:val="clear" w:color="auto" w:fill="DEEAF6"/>
            <w:vAlign w:val="top"/>
          </w:tcPr>
          <w:p w14:paraId="492A1753">
            <w:pPr>
              <w:spacing w:line="93" w:lineRule="exact"/>
            </w:pPr>
            <w:r>
              <w:rPr>
                <w:position w:val="-1"/>
              </w:rPr>
              <w:pict>
                <v:group id="_x0000_s3455" o:spid="_x0000_s3455" o:spt="203" style="height:5.2pt;width:49.95pt;" coordsize="999,103">
                  <o:lock v:ext="edit"/>
                  <v:shape id="_x0000_s3456" o:spid="_x0000_s3456" style="position:absolute;left:0;top:0;height:15;width:44;" fillcolor="#5B9BD5" filled="t" stroked="f" coordsize="44,15" path="m0,14l43,14,43,0,0,0,0,14xe">
                    <v:path/>
                    <v:fill on="t" focussize="0,0"/>
                    <v:stroke on="f"/>
                    <v:imagedata o:title=""/>
                    <o:lock v:ext="edit"/>
                  </v:shape>
                  <v:shape id="_x0000_s3457" o:spid="_x0000_s3457" style="position:absolute;left:43;top:43;height:60;width:913;" fillcolor="#DEEAF6" filled="t" stroked="f" coordsize="913,60" path="m0,60l912,60,912,0,0,0,0,60xe">
                    <v:path/>
                    <v:fill on="t" focussize="0,0"/>
                    <v:stroke on="f"/>
                    <v:imagedata o:title=""/>
                    <o:lock v:ext="edit"/>
                  </v:shape>
                  <v:shape id="_x0000_s3458" o:spid="_x0000_s3458" style="position:absolute;left:955;top:0;height:15;width:44;" fillcolor="#5B9BD5" filled="t" stroked="f" coordsize="44,15" path="m0,14l43,14,43,0,0,0,0,14xe">
                    <v:path/>
                    <v:fill on="t" focussize="0,0"/>
                    <v:stroke on="f"/>
                    <v:imagedata o:title=""/>
                    <o:lock v:ext="edit"/>
                  </v:shape>
                  <v:shape id="_x0000_s3459" o:spid="_x0000_s3459" style="position:absolute;left:955;top:14;height:15;width:44;" fillcolor="#20507B" filled="t" stroked="f" coordsize="44,15" path="m0,14l43,14,43,0,0,0,0,14xe">
                    <v:path/>
                    <v:fill on="t" focussize="0,0"/>
                    <v:stroke on="f"/>
                    <v:imagedata o:title=""/>
                    <o:lock v:ext="edit"/>
                  </v:shape>
                  <v:shape id="_x0000_s3460" o:spid="_x0000_s3460" style="position:absolute;left:955;top:28;height:15;width:44;" fillcolor="#1C456A" filled="t" stroked="f" coordsize="44,15" path="m0,14l43,14,43,0,0,0,0,14xe">
                    <v:path/>
                    <v:fill on="t" focussize="0,0"/>
                    <v:stroke on="f"/>
                    <v:imagedata o:title=""/>
                    <o:lock v:ext="edit"/>
                  </v:shape>
                  <w10:wrap type="none"/>
                  <w10:anchorlock/>
                </v:group>
              </w:pict>
            </w:r>
          </w:p>
          <w:p w14:paraId="6E5646AE">
            <w:pPr>
              <w:pStyle w:val="7"/>
              <w:spacing w:before="50" w:line="218" w:lineRule="auto"/>
              <w:ind w:left="276"/>
            </w:pPr>
            <w:r>
              <w:rPr>
                <w:b/>
                <w:bCs/>
                <w:spacing w:val="-11"/>
              </w:rPr>
              <w:t>序号</w:t>
            </w:r>
          </w:p>
        </w:tc>
        <w:tc>
          <w:tcPr>
            <w:tcW w:w="7326" w:type="dxa"/>
            <w:tcBorders>
              <w:top w:val="single" w:color="5B9BD5" w:sz="4" w:space="0"/>
              <w:right w:val="nil"/>
            </w:tcBorders>
            <w:shd w:val="clear" w:color="auto" w:fill="DEEAF6"/>
            <w:vAlign w:val="top"/>
          </w:tcPr>
          <w:p w14:paraId="29214826">
            <w:pPr>
              <w:pStyle w:val="7"/>
              <w:spacing w:before="144" w:line="217" w:lineRule="auto"/>
              <w:ind w:left="3296"/>
            </w:pPr>
            <w:r>
              <w:rPr>
                <w:b/>
                <w:bCs/>
                <w:spacing w:val="-25"/>
              </w:rPr>
              <w:t>岗位职责</w:t>
            </w:r>
          </w:p>
        </w:tc>
        <w:tc>
          <w:tcPr>
            <w:tcW w:w="79" w:type="dxa"/>
            <w:tcBorders>
              <w:top w:val="single" w:color="5B9BD5" w:sz="4" w:space="0"/>
              <w:left w:val="nil"/>
              <w:right w:val="single" w:color="5B9BD5" w:sz="4" w:space="0"/>
            </w:tcBorders>
            <w:vAlign w:val="top"/>
          </w:tcPr>
          <w:p w14:paraId="09732ADD">
            <w:pPr>
              <w:rPr>
                <w:rFonts w:ascii="Arial"/>
                <w:sz w:val="21"/>
              </w:rPr>
            </w:pPr>
            <w:r>
              <w:pict>
                <v:shape id="_x0000_s3461" o:spid="_x0000_s3461" style="position:absolute;left:0pt;margin-left:2.1pt;margin-top:0pt;height:0.75pt;width:2.2pt;mso-position-horizontal-relative:page;mso-position-vertical-relative:page;z-index:252080128;mso-width-relative:page;mso-height-relative:page;" fillcolor="#5B9BD5" filled="t" stroked="f" coordsize="44,15" path="m0,14l43,14,43,0,0,0,0,14xe">
                  <v:path/>
                  <v:fill on="t" focussize="0,0"/>
                  <v:stroke on="f"/>
                  <v:imagedata o:title=""/>
                  <o:lock v:ext="edit"/>
                </v:shape>
              </w:pict>
            </w:r>
          </w:p>
        </w:tc>
      </w:tr>
      <w:tr w14:paraId="63D820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4" w:hRule="atLeast"/>
        </w:trPr>
        <w:tc>
          <w:tcPr>
            <w:tcW w:w="962" w:type="dxa"/>
            <w:gridSpan w:val="2"/>
            <w:tcBorders>
              <w:left w:val="single" w:color="000000" w:sz="4" w:space="0"/>
            </w:tcBorders>
            <w:vAlign w:val="top"/>
          </w:tcPr>
          <w:p w14:paraId="7096B8CA">
            <w:pPr>
              <w:pStyle w:val="7"/>
              <w:spacing w:before="125" w:line="238" w:lineRule="auto"/>
              <w:ind w:left="452"/>
            </w:pPr>
            <w:r>
              <w:t>1</w:t>
            </w:r>
          </w:p>
        </w:tc>
        <w:tc>
          <w:tcPr>
            <w:tcW w:w="7405" w:type="dxa"/>
            <w:gridSpan w:val="2"/>
            <w:tcBorders>
              <w:right w:val="single" w:color="000000" w:sz="4" w:space="0"/>
            </w:tcBorders>
            <w:vAlign w:val="top"/>
          </w:tcPr>
          <w:p w14:paraId="1DB29AF7">
            <w:pPr>
              <w:pStyle w:val="7"/>
              <w:spacing w:before="125" w:line="218" w:lineRule="auto"/>
              <w:ind w:left="1314"/>
            </w:pPr>
            <w:r>
              <w:rPr>
                <w:spacing w:val="-21"/>
              </w:rPr>
              <w:t>负责监督施工过程中防尘、降尘方案的实施</w:t>
            </w:r>
            <w:r>
              <w:rPr>
                <w:spacing w:val="-22"/>
              </w:rPr>
              <w:t>情况。</w:t>
            </w:r>
          </w:p>
        </w:tc>
      </w:tr>
      <w:tr w14:paraId="1CD6F9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4" w:hRule="atLeast"/>
        </w:trPr>
        <w:tc>
          <w:tcPr>
            <w:tcW w:w="962" w:type="dxa"/>
            <w:gridSpan w:val="2"/>
            <w:tcBorders>
              <w:left w:val="single" w:color="000000" w:sz="4" w:space="0"/>
            </w:tcBorders>
            <w:vAlign w:val="top"/>
          </w:tcPr>
          <w:p w14:paraId="490B8B4E">
            <w:pPr>
              <w:pStyle w:val="7"/>
              <w:spacing w:before="121" w:line="238" w:lineRule="auto"/>
              <w:ind w:left="438"/>
            </w:pPr>
            <w:r>
              <w:t>2</w:t>
            </w:r>
          </w:p>
        </w:tc>
        <w:tc>
          <w:tcPr>
            <w:tcW w:w="7405" w:type="dxa"/>
            <w:gridSpan w:val="2"/>
            <w:tcBorders>
              <w:right w:val="single" w:color="000000" w:sz="4" w:space="0"/>
            </w:tcBorders>
            <w:vAlign w:val="top"/>
          </w:tcPr>
          <w:p w14:paraId="28B238E8">
            <w:pPr>
              <w:pStyle w:val="7"/>
              <w:spacing w:before="121" w:line="216" w:lineRule="auto"/>
              <w:ind w:left="2398"/>
            </w:pPr>
            <w:r>
              <w:rPr>
                <w:spacing w:val="-20"/>
              </w:rPr>
              <w:t>保留相关图片和影像资料。</w:t>
            </w:r>
          </w:p>
        </w:tc>
      </w:tr>
      <w:tr w14:paraId="21DC91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61" w:hRule="atLeast"/>
        </w:trPr>
        <w:tc>
          <w:tcPr>
            <w:tcW w:w="962" w:type="dxa"/>
            <w:gridSpan w:val="2"/>
            <w:tcBorders>
              <w:left w:val="single" w:color="000000" w:sz="4" w:space="0"/>
            </w:tcBorders>
            <w:vAlign w:val="top"/>
          </w:tcPr>
          <w:p w14:paraId="4079D2E7">
            <w:pPr>
              <w:spacing w:line="268" w:lineRule="auto"/>
              <w:rPr>
                <w:rFonts w:ascii="Arial"/>
                <w:sz w:val="21"/>
              </w:rPr>
            </w:pPr>
          </w:p>
          <w:p w14:paraId="0283B063">
            <w:pPr>
              <w:pStyle w:val="7"/>
              <w:spacing w:before="78" w:line="237" w:lineRule="auto"/>
              <w:ind w:left="439"/>
            </w:pPr>
            <w:r>
              <w:t>3</w:t>
            </w:r>
          </w:p>
        </w:tc>
        <w:tc>
          <w:tcPr>
            <w:tcW w:w="7405" w:type="dxa"/>
            <w:gridSpan w:val="2"/>
            <w:tcBorders>
              <w:right w:val="single" w:color="000000" w:sz="4" w:space="0"/>
            </w:tcBorders>
            <w:vAlign w:val="top"/>
          </w:tcPr>
          <w:p w14:paraId="09BA5EF6">
            <w:pPr>
              <w:pStyle w:val="7"/>
              <w:spacing w:before="115" w:line="216" w:lineRule="auto"/>
              <w:ind w:left="108"/>
            </w:pPr>
            <w:r>
              <w:rPr>
                <w:spacing w:val="-22"/>
              </w:rPr>
              <w:t>对扬尘治理过程中的安全隐患进行检查，下达安全安全隐患整改通知单，并</w:t>
            </w:r>
          </w:p>
          <w:p w14:paraId="6FD7AE55">
            <w:pPr>
              <w:pStyle w:val="7"/>
              <w:spacing w:before="186" w:line="220" w:lineRule="auto"/>
              <w:ind w:left="3387"/>
            </w:pPr>
            <w:r>
              <w:rPr>
                <w:spacing w:val="-23"/>
              </w:rPr>
              <w:t>复查。</w:t>
            </w:r>
          </w:p>
        </w:tc>
      </w:tr>
      <w:tr w14:paraId="6EADDE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9" w:hRule="atLeast"/>
        </w:trPr>
        <w:tc>
          <w:tcPr>
            <w:tcW w:w="243" w:type="dxa"/>
            <w:tcBorders>
              <w:left w:val="single" w:color="1C456A" w:sz="4" w:space="0"/>
              <w:bottom w:val="single" w:color="1C456A" w:sz="4" w:space="0"/>
              <w:right w:val="nil"/>
            </w:tcBorders>
            <w:vAlign w:val="top"/>
          </w:tcPr>
          <w:p w14:paraId="315FD14F">
            <w:pPr>
              <w:rPr>
                <w:rFonts w:ascii="Arial"/>
                <w:sz w:val="21"/>
              </w:rPr>
            </w:pPr>
            <w:r>
              <w:pict>
                <v:shape id="_x0000_s3462" o:spid="_x0000_s3462" style="position:absolute;left:0pt;margin-left:-0.25pt;margin-top:32.95pt;height:0.75pt;width:2.2pt;mso-position-horizontal-relative:page;mso-position-vertical-relative:page;z-index:252079104;mso-width-relative:page;mso-height-relative:page;" fillcolor="#5B9BD5" filled="t" stroked="f" coordsize="44,15" path="m0,14l43,14,43,0,0,0,0,14xe">
                  <v:path/>
                  <v:fill on="t" focussize="0,0"/>
                  <v:stroke on="f"/>
                  <v:imagedata o:title=""/>
                  <o:lock v:ext="edit"/>
                </v:shape>
              </w:pict>
            </w:r>
          </w:p>
        </w:tc>
        <w:tc>
          <w:tcPr>
            <w:tcW w:w="719" w:type="dxa"/>
            <w:tcBorders>
              <w:left w:val="nil"/>
              <w:bottom w:val="single" w:color="1C456A" w:sz="4" w:space="0"/>
            </w:tcBorders>
            <w:vAlign w:val="top"/>
          </w:tcPr>
          <w:p w14:paraId="5A3248D2">
            <w:pPr>
              <w:pStyle w:val="7"/>
              <w:spacing w:before="122" w:line="238" w:lineRule="auto"/>
              <w:ind w:left="196"/>
            </w:pPr>
            <w:r>
              <w:t>4</w:t>
            </w:r>
          </w:p>
        </w:tc>
        <w:tc>
          <w:tcPr>
            <w:tcW w:w="7405" w:type="dxa"/>
            <w:gridSpan w:val="2"/>
            <w:tcBorders>
              <w:bottom w:val="single" w:color="5B9BD5" w:sz="4" w:space="0"/>
              <w:right w:val="single" w:color="5B9BD5" w:sz="4" w:space="0"/>
            </w:tcBorders>
            <w:vAlign w:val="top"/>
          </w:tcPr>
          <w:p w14:paraId="473167A3">
            <w:pPr>
              <w:pStyle w:val="7"/>
              <w:spacing w:before="122" w:line="216" w:lineRule="auto"/>
              <w:ind w:left="653"/>
            </w:pPr>
            <w:r>
              <w:pict>
                <v:shape id="_x0000_s3463" o:spid="_x0000_s3463" style="position:absolute;left:0pt;margin-left:368.4pt;margin-top:32.95pt;height:0.75pt;width:2.2pt;mso-position-horizontal-relative:page;mso-position-vertical-relative:page;z-index:252078080;mso-width-relative:page;mso-height-relative:page;" fillcolor="#5B9BD5" filled="t" stroked="f" coordsize="44,15" path="m0,14l43,14,43,0,0,0,0,14xe">
                  <v:path/>
                  <v:fill on="t" focussize="0,0"/>
                  <v:stroke on="f"/>
                  <v:imagedata o:title=""/>
                  <o:lock v:ext="edit"/>
                </v:shape>
              </w:pict>
            </w:r>
            <w:r>
              <w:rPr>
                <w:spacing w:val="-21"/>
              </w:rPr>
              <w:t>对重度污染天气进行应急准备及响应，并对执行情况</w:t>
            </w:r>
            <w:r>
              <w:rPr>
                <w:spacing w:val="-22"/>
              </w:rPr>
              <w:t>进行检查。</w:t>
            </w:r>
          </w:p>
        </w:tc>
      </w:tr>
    </w:tbl>
    <w:p w14:paraId="53D4B403">
      <w:pPr>
        <w:pStyle w:val="2"/>
        <w:spacing w:before="80" w:line="218" w:lineRule="auto"/>
        <w:ind w:left="1986"/>
        <w:outlineLvl w:val="2"/>
        <w:rPr>
          <w:sz w:val="28"/>
          <w:szCs w:val="28"/>
        </w:rPr>
      </w:pPr>
      <w:bookmarkStart w:id="123" w:name="bookmark118"/>
      <w:bookmarkEnd w:id="123"/>
      <w:r>
        <w:rPr>
          <w:b/>
          <w:bCs/>
          <w:spacing w:val="-23"/>
          <w:sz w:val="28"/>
          <w:szCs w:val="28"/>
        </w:rPr>
        <w:t>二、扬尘治理管理制度和方针</w:t>
      </w:r>
    </w:p>
    <w:p w14:paraId="14138416">
      <w:pPr>
        <w:pStyle w:val="2"/>
        <w:spacing w:before="104" w:line="217" w:lineRule="auto"/>
        <w:ind w:left="1994"/>
        <w:rPr>
          <w:sz w:val="24"/>
          <w:szCs w:val="24"/>
        </w:rPr>
      </w:pPr>
      <w:r>
        <w:rPr>
          <w:spacing w:val="-14"/>
          <w:sz w:val="24"/>
          <w:szCs w:val="24"/>
        </w:rPr>
        <w:t>1、扬尘治理管理制度</w:t>
      </w:r>
    </w:p>
    <w:p w14:paraId="12E0CDC2">
      <w:pPr>
        <w:pStyle w:val="2"/>
        <w:spacing w:before="119" w:line="217" w:lineRule="auto"/>
        <w:ind w:left="1927"/>
        <w:rPr>
          <w:sz w:val="24"/>
          <w:szCs w:val="24"/>
        </w:rPr>
      </w:pPr>
      <w:r>
        <w:rPr>
          <w:spacing w:val="-20"/>
          <w:sz w:val="24"/>
          <w:szCs w:val="24"/>
        </w:rPr>
        <w:t>(1)巡视监督制度</w:t>
      </w:r>
    </w:p>
    <w:p w14:paraId="3D40F72E">
      <w:pPr>
        <w:spacing w:line="29" w:lineRule="auto"/>
        <w:rPr>
          <w:rFonts w:ascii="Arial"/>
          <w:sz w:val="2"/>
        </w:rPr>
      </w:pPr>
    </w:p>
    <w:tbl>
      <w:tblPr>
        <w:tblStyle w:val="6"/>
        <w:tblW w:w="8367" w:type="dxa"/>
        <w:tblInd w:w="1769"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52"/>
        <w:gridCol w:w="716"/>
        <w:gridCol w:w="7327"/>
        <w:gridCol w:w="72"/>
      </w:tblGrid>
      <w:tr w14:paraId="5BBFED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5" w:hRule="atLeast"/>
        </w:trPr>
        <w:tc>
          <w:tcPr>
            <w:tcW w:w="968" w:type="dxa"/>
            <w:gridSpan w:val="2"/>
            <w:tcBorders>
              <w:top w:val="single" w:color="000000" w:sz="4" w:space="0"/>
              <w:left w:val="single" w:color="000000" w:sz="4" w:space="0"/>
            </w:tcBorders>
            <w:shd w:val="clear" w:color="auto" w:fill="DEEAF6"/>
            <w:vAlign w:val="top"/>
          </w:tcPr>
          <w:p w14:paraId="4DD8AA11">
            <w:pPr>
              <w:spacing w:line="93" w:lineRule="exact"/>
            </w:pPr>
            <w:r>
              <w:rPr>
                <w:position w:val="-1"/>
              </w:rPr>
              <w:pict>
                <v:group id="_x0000_s3464" o:spid="_x0000_s3464" o:spt="203" style="height:5.2pt;width:49.95pt;" coordsize="999,103">
                  <o:lock v:ext="edit"/>
                  <v:shape id="_x0000_s3465" o:spid="_x0000_s3465" style="position:absolute;left:0;top:0;height:15;width:44;" fillcolor="#5B9BD5" filled="t" stroked="f" coordsize="44,15" path="m0,14l43,14,43,0,0,0,0,14xe">
                    <v:path/>
                    <v:fill on="t" focussize="0,0"/>
                    <v:stroke on="f"/>
                    <v:imagedata o:title=""/>
                    <o:lock v:ext="edit"/>
                  </v:shape>
                  <v:shape id="_x0000_s3466" o:spid="_x0000_s3466" style="position:absolute;left:43;top:43;height:60;width:913;" fillcolor="#DEEAF6" filled="t" stroked="f" coordsize="913,60" path="m0,60l912,60,912,0,0,0,0,60xe">
                    <v:path/>
                    <v:fill on="t" focussize="0,0"/>
                    <v:stroke on="f"/>
                    <v:imagedata o:title=""/>
                    <o:lock v:ext="edit"/>
                  </v:shape>
                  <v:shape id="_x0000_s3467" o:spid="_x0000_s3467" style="position:absolute;left:955;top:0;height:15;width:44;" fillcolor="#5B9BD5" filled="t" stroked="f" coordsize="44,15" path="m0,14l43,14,43,0,0,0,0,14xe">
                    <v:path/>
                    <v:fill on="t" focussize="0,0"/>
                    <v:stroke on="f"/>
                    <v:imagedata o:title=""/>
                    <o:lock v:ext="edit"/>
                  </v:shape>
                  <v:shape id="_x0000_s3468" o:spid="_x0000_s3468" style="position:absolute;left:955;top:14;height:15;width:44;" fillcolor="#20507B" filled="t" stroked="f" coordsize="44,15" path="m0,14l43,14,43,0,0,0,0,14xe">
                    <v:path/>
                    <v:fill on="t" focussize="0,0"/>
                    <v:stroke on="f"/>
                    <v:imagedata o:title=""/>
                    <o:lock v:ext="edit"/>
                  </v:shape>
                  <v:shape id="_x0000_s3469" o:spid="_x0000_s3469" style="position:absolute;left:955;top:28;height:15;width:44;" fillcolor="#1C456A" filled="t" stroked="f" coordsize="44,15" path="m0,14l43,14,43,0,0,0,0,14xe">
                    <v:path/>
                    <v:fill on="t" focussize="0,0"/>
                    <v:stroke on="f"/>
                    <v:imagedata o:title=""/>
                    <o:lock v:ext="edit"/>
                  </v:shape>
                  <w10:wrap type="none"/>
                  <w10:anchorlock/>
                </v:group>
              </w:pict>
            </w:r>
          </w:p>
          <w:p w14:paraId="2E54EDEE">
            <w:pPr>
              <w:pStyle w:val="7"/>
              <w:spacing w:before="50" w:line="218" w:lineRule="auto"/>
              <w:ind w:left="276"/>
            </w:pPr>
            <w:r>
              <w:rPr>
                <w:b/>
                <w:bCs/>
                <w:spacing w:val="-11"/>
              </w:rPr>
              <w:t>序号</w:t>
            </w:r>
          </w:p>
        </w:tc>
        <w:tc>
          <w:tcPr>
            <w:tcW w:w="7327" w:type="dxa"/>
            <w:tcBorders>
              <w:top w:val="single" w:color="5B9BD5" w:sz="4" w:space="0"/>
              <w:right w:val="nil"/>
            </w:tcBorders>
            <w:shd w:val="clear" w:color="auto" w:fill="DEEAF6"/>
            <w:vAlign w:val="top"/>
          </w:tcPr>
          <w:p w14:paraId="121354BE">
            <w:pPr>
              <w:pStyle w:val="7"/>
              <w:spacing w:before="144" w:line="217" w:lineRule="auto"/>
              <w:ind w:left="3261"/>
            </w:pPr>
            <w:r>
              <w:rPr>
                <w:b/>
                <w:bCs/>
                <w:spacing w:val="-18"/>
              </w:rPr>
              <w:t>制度内容</w:t>
            </w:r>
          </w:p>
        </w:tc>
        <w:tc>
          <w:tcPr>
            <w:tcW w:w="72" w:type="dxa"/>
            <w:tcBorders>
              <w:top w:val="single" w:color="5B9BD5" w:sz="4" w:space="0"/>
              <w:left w:val="nil"/>
              <w:right w:val="single" w:color="5B9BD5" w:sz="4" w:space="0"/>
            </w:tcBorders>
            <w:vAlign w:val="top"/>
          </w:tcPr>
          <w:p w14:paraId="1DD361C0">
            <w:pPr>
              <w:rPr>
                <w:rFonts w:ascii="Arial"/>
                <w:sz w:val="21"/>
              </w:rPr>
            </w:pPr>
            <w:r>
              <w:pict>
                <v:shape id="_x0000_s3470" o:spid="_x0000_s3470" style="position:absolute;left:0pt;margin-left:1.75pt;margin-top:0pt;height:0.75pt;width:2.2pt;mso-position-horizontal-relative:page;mso-position-vertical-relative:page;z-index:252076032;mso-width-relative:page;mso-height-relative:page;" fillcolor="#5B9BD5" filled="t" stroked="f" coordsize="44,15" path="m0,14l43,14,43,0,0,0,0,14xe">
                  <v:path/>
                  <v:fill on="t" focussize="0,0"/>
                  <v:stroke on="f"/>
                  <v:imagedata o:title=""/>
                  <o:lock v:ext="edit"/>
                </v:shape>
              </w:pict>
            </w:r>
          </w:p>
        </w:tc>
      </w:tr>
      <w:tr w14:paraId="6C52D3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11" w:hRule="atLeast"/>
        </w:trPr>
        <w:tc>
          <w:tcPr>
            <w:tcW w:w="252" w:type="dxa"/>
            <w:tcBorders>
              <w:left w:val="single" w:color="1C456A" w:sz="4" w:space="0"/>
              <w:bottom w:val="single" w:color="1C456A" w:sz="4" w:space="0"/>
              <w:right w:val="nil"/>
            </w:tcBorders>
            <w:vAlign w:val="top"/>
          </w:tcPr>
          <w:p w14:paraId="58E24429">
            <w:pPr>
              <w:rPr>
                <w:rFonts w:ascii="Arial"/>
                <w:sz w:val="21"/>
              </w:rPr>
            </w:pPr>
            <w:r>
              <w:pict>
                <v:shape id="_x0000_s3471" o:spid="_x0000_s3471" style="position:absolute;left:0pt;margin-left:-0.25pt;margin-top:55.6pt;height:0.75pt;width:2.2pt;mso-position-horizontal-relative:page;mso-position-vertical-relative:page;z-index:252077056;mso-width-relative:page;mso-height-relative:page;" fillcolor="#5B9BD5" filled="t" stroked="f" coordsize="44,15" path="m0,14l43,14,43,0,0,0,0,14xe">
                  <v:path/>
                  <v:fill on="t" focussize="0,0"/>
                  <v:stroke on="f"/>
                  <v:imagedata o:title=""/>
                  <o:lock v:ext="edit"/>
                </v:shape>
              </w:pict>
            </w:r>
          </w:p>
        </w:tc>
        <w:tc>
          <w:tcPr>
            <w:tcW w:w="716" w:type="dxa"/>
            <w:tcBorders>
              <w:left w:val="nil"/>
              <w:bottom w:val="single" w:color="1C456A" w:sz="4" w:space="0"/>
            </w:tcBorders>
            <w:vAlign w:val="top"/>
          </w:tcPr>
          <w:p w14:paraId="6821D94E">
            <w:pPr>
              <w:spacing w:line="274" w:lineRule="auto"/>
              <w:rPr>
                <w:rFonts w:ascii="Arial"/>
                <w:sz w:val="21"/>
              </w:rPr>
            </w:pPr>
          </w:p>
          <w:p w14:paraId="5E315C8D">
            <w:pPr>
              <w:pStyle w:val="7"/>
              <w:spacing w:before="78" w:line="238" w:lineRule="auto"/>
              <w:ind w:left="205"/>
            </w:pPr>
            <w:r>
              <w:t>1</w:t>
            </w:r>
          </w:p>
        </w:tc>
        <w:tc>
          <w:tcPr>
            <w:tcW w:w="7399" w:type="dxa"/>
            <w:gridSpan w:val="2"/>
            <w:tcBorders>
              <w:bottom w:val="single" w:color="5B9BD5" w:sz="4" w:space="0"/>
              <w:right w:val="single" w:color="5B9BD5" w:sz="4" w:space="0"/>
            </w:tcBorders>
            <w:vAlign w:val="top"/>
          </w:tcPr>
          <w:p w14:paraId="744835EF">
            <w:pPr>
              <w:pStyle w:val="7"/>
              <w:spacing w:before="120" w:line="216" w:lineRule="auto"/>
              <w:ind w:left="102"/>
            </w:pPr>
            <w:r>
              <w:pict>
                <v:shape id="_x0000_s3472" o:spid="_x0000_s3472" style="position:absolute;left:0pt;margin-left:368.1pt;margin-top:55.6pt;height:0.75pt;width:2.2pt;mso-position-horizontal-relative:page;mso-position-vertical-relative:page;z-index:252075008;mso-width-relative:page;mso-height-relative:page;" fillcolor="#5B9BD5" filled="t" stroked="f" coordsize="44,15" path="m0,14l43,14,43,0,0,0,0,14xe">
                  <v:path/>
                  <v:fill on="t" focussize="0,0"/>
                  <v:stroke on="f"/>
                  <v:imagedata o:title=""/>
                  <o:lock v:ext="edit"/>
                </v:shape>
              </w:pict>
            </w:r>
            <w:r>
              <w:rPr>
                <w:spacing w:val="-21"/>
              </w:rPr>
              <w:t>扬尘治理管理小组每月对施工现场进行检查考核，项目各</w:t>
            </w:r>
            <w:r>
              <w:rPr>
                <w:spacing w:val="-22"/>
              </w:rPr>
              <w:t>管理人员随时对现</w:t>
            </w:r>
          </w:p>
          <w:p w14:paraId="7FAA5CAC">
            <w:pPr>
              <w:pStyle w:val="7"/>
              <w:spacing w:before="184" w:line="216" w:lineRule="auto"/>
              <w:ind w:left="3045"/>
            </w:pPr>
            <w:r>
              <w:rPr>
                <w:spacing w:val="-18"/>
              </w:rPr>
              <w:t>场进行检查。</w:t>
            </w:r>
          </w:p>
        </w:tc>
      </w:tr>
    </w:tbl>
    <w:p w14:paraId="3D0FE740">
      <w:pPr>
        <w:rPr>
          <w:rFonts w:ascii="Arial"/>
          <w:sz w:val="21"/>
        </w:rPr>
      </w:pPr>
    </w:p>
    <w:p w14:paraId="5BEA061F">
      <w:pPr>
        <w:rPr>
          <w:rFonts w:ascii="Arial" w:hAnsi="Arial" w:eastAsia="Arial" w:cs="Arial"/>
          <w:sz w:val="21"/>
          <w:szCs w:val="21"/>
        </w:rPr>
        <w:sectPr>
          <w:footerReference r:id="rId190" w:type="default"/>
          <w:pgSz w:w="11907" w:h="16839"/>
          <w:pgMar w:top="954" w:right="4" w:bottom="1038" w:left="0" w:header="499" w:footer="357" w:gutter="0"/>
          <w:pgBorders>
            <w:top w:val="none" w:sz="0" w:space="0"/>
            <w:left w:val="none" w:sz="0" w:space="0"/>
            <w:bottom w:val="none" w:sz="0" w:space="0"/>
            <w:right w:val="none" w:sz="0" w:space="0"/>
          </w:pgBorders>
          <w:cols w:space="720" w:num="1"/>
        </w:sectPr>
      </w:pPr>
    </w:p>
    <w:p w14:paraId="5855B6A1">
      <w:pPr>
        <w:spacing w:line="214" w:lineRule="exact"/>
      </w:pPr>
    </w:p>
    <w:tbl>
      <w:tblPr>
        <w:tblStyle w:val="6"/>
        <w:tblW w:w="8367" w:type="dxa"/>
        <w:tblInd w:w="1769"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59"/>
        <w:gridCol w:w="7408"/>
      </w:tblGrid>
      <w:tr w14:paraId="1D727D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53" w:hRule="atLeast"/>
        </w:trPr>
        <w:tc>
          <w:tcPr>
            <w:tcW w:w="959" w:type="dxa"/>
            <w:tcBorders>
              <w:top w:val="single" w:color="000000" w:sz="4" w:space="0"/>
              <w:left w:val="single" w:color="000000" w:sz="4" w:space="0"/>
            </w:tcBorders>
            <w:vAlign w:val="top"/>
          </w:tcPr>
          <w:p w14:paraId="1C759930">
            <w:pPr>
              <w:spacing w:line="258" w:lineRule="auto"/>
              <w:rPr>
                <w:rFonts w:ascii="Arial"/>
                <w:sz w:val="21"/>
              </w:rPr>
            </w:pPr>
          </w:p>
          <w:p w14:paraId="370A4063">
            <w:pPr>
              <w:spacing w:line="259" w:lineRule="auto"/>
              <w:rPr>
                <w:rFonts w:ascii="Arial"/>
                <w:sz w:val="21"/>
              </w:rPr>
            </w:pPr>
          </w:p>
          <w:p w14:paraId="6EA40435">
            <w:pPr>
              <w:pStyle w:val="7"/>
              <w:spacing w:before="78" w:line="238" w:lineRule="auto"/>
              <w:ind w:left="438"/>
            </w:pPr>
            <w:r>
              <w:t>2</w:t>
            </w:r>
          </w:p>
        </w:tc>
        <w:tc>
          <w:tcPr>
            <w:tcW w:w="7408" w:type="dxa"/>
            <w:tcBorders>
              <w:top w:val="single" w:color="5B9BD5" w:sz="4" w:space="0"/>
              <w:right w:val="single" w:color="5B9BD5" w:sz="4" w:space="0"/>
            </w:tcBorders>
            <w:vAlign w:val="top"/>
          </w:tcPr>
          <w:p w14:paraId="43805BD6">
            <w:pPr>
              <w:pStyle w:val="7"/>
              <w:spacing w:before="129" w:line="215" w:lineRule="auto"/>
              <w:ind w:left="111"/>
            </w:pPr>
            <w:r>
              <w:rPr>
                <w:spacing w:val="-21"/>
              </w:rPr>
              <w:t>对于检查中发现的问题，开出“扬尘隐患问题通知单”，各</w:t>
            </w:r>
            <w:r>
              <w:rPr>
                <w:spacing w:val="-22"/>
              </w:rPr>
              <w:t>班组在收到通知</w:t>
            </w:r>
          </w:p>
          <w:p w14:paraId="6A7A701C">
            <w:pPr>
              <w:pStyle w:val="7"/>
              <w:spacing w:before="188" w:line="216" w:lineRule="auto"/>
              <w:ind w:left="114"/>
            </w:pPr>
            <w:r>
              <w:rPr>
                <w:spacing w:val="-21"/>
              </w:rPr>
              <w:t>单后，根据具体情况有针对性的解决问题，扬尘治理</w:t>
            </w:r>
            <w:r>
              <w:rPr>
                <w:spacing w:val="-22"/>
              </w:rPr>
              <w:t>管理小组监督问题的解</w:t>
            </w:r>
          </w:p>
          <w:p w14:paraId="4008A3C2">
            <w:pPr>
              <w:pStyle w:val="7"/>
              <w:spacing w:before="187" w:line="218" w:lineRule="auto"/>
              <w:ind w:left="3380"/>
            </w:pPr>
            <w:r>
              <w:rPr>
                <w:spacing w:val="-14"/>
              </w:rPr>
              <w:t>决情况</w:t>
            </w:r>
          </w:p>
        </w:tc>
      </w:tr>
      <w:tr w14:paraId="545177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9" w:hRule="atLeast"/>
        </w:trPr>
        <w:tc>
          <w:tcPr>
            <w:tcW w:w="959" w:type="dxa"/>
            <w:tcBorders>
              <w:left w:val="single" w:color="1C456A" w:sz="4" w:space="0"/>
              <w:bottom w:val="single" w:color="1C456A" w:sz="4" w:space="0"/>
            </w:tcBorders>
            <w:vAlign w:val="top"/>
          </w:tcPr>
          <w:p w14:paraId="00A4D6D0">
            <w:pPr>
              <w:pStyle w:val="7"/>
              <w:spacing w:before="112" w:line="237" w:lineRule="auto"/>
              <w:ind w:left="439"/>
            </w:pPr>
            <w:r>
              <w:t>3</w:t>
            </w:r>
          </w:p>
        </w:tc>
        <w:tc>
          <w:tcPr>
            <w:tcW w:w="7408" w:type="dxa"/>
            <w:tcBorders>
              <w:bottom w:val="single" w:color="5B9BD5" w:sz="4" w:space="0"/>
              <w:right w:val="single" w:color="5B9BD5" w:sz="4" w:space="0"/>
            </w:tcBorders>
            <w:vAlign w:val="top"/>
          </w:tcPr>
          <w:p w14:paraId="603CF5AC">
            <w:pPr>
              <w:pStyle w:val="7"/>
              <w:spacing w:before="112" w:line="216" w:lineRule="auto"/>
              <w:ind w:left="555"/>
            </w:pPr>
            <w:r>
              <w:rPr>
                <w:spacing w:val="-22"/>
              </w:rPr>
              <w:t>每次检查做好记录，每个月为一个考核周期，每月月底进行考核。</w:t>
            </w:r>
          </w:p>
        </w:tc>
      </w:tr>
    </w:tbl>
    <w:p w14:paraId="1BD4B77A">
      <w:pPr>
        <w:pStyle w:val="2"/>
        <w:spacing w:before="112" w:line="217" w:lineRule="auto"/>
        <w:ind w:left="2062"/>
        <w:rPr>
          <w:sz w:val="24"/>
          <w:szCs w:val="24"/>
        </w:rPr>
      </w:pPr>
      <w:r>
        <w:rPr>
          <w:spacing w:val="-17"/>
          <w:sz w:val="24"/>
          <w:szCs w:val="24"/>
        </w:rPr>
        <w:t>(2)不良行为记录制度</w:t>
      </w:r>
    </w:p>
    <w:p w14:paraId="6F836FD0">
      <w:pPr>
        <w:spacing w:line="38" w:lineRule="auto"/>
        <w:rPr>
          <w:rFonts w:ascii="Arial"/>
          <w:sz w:val="2"/>
        </w:rPr>
      </w:pPr>
    </w:p>
    <w:tbl>
      <w:tblPr>
        <w:tblStyle w:val="6"/>
        <w:tblW w:w="8367" w:type="dxa"/>
        <w:tblInd w:w="1769"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81"/>
        <w:gridCol w:w="7386"/>
      </w:tblGrid>
      <w:tr w14:paraId="773D99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4" w:hRule="atLeast"/>
        </w:trPr>
        <w:tc>
          <w:tcPr>
            <w:tcW w:w="981" w:type="dxa"/>
            <w:tcBorders>
              <w:top w:val="single" w:color="000000" w:sz="4" w:space="0"/>
              <w:left w:val="single" w:color="000000" w:sz="4" w:space="0"/>
            </w:tcBorders>
            <w:shd w:val="clear" w:color="auto" w:fill="DEEAF6"/>
            <w:vAlign w:val="top"/>
          </w:tcPr>
          <w:p w14:paraId="321B6DD0">
            <w:pPr>
              <w:pStyle w:val="7"/>
              <w:spacing w:before="143" w:line="218" w:lineRule="auto"/>
              <w:ind w:left="284"/>
            </w:pPr>
            <w:r>
              <w:rPr>
                <w:b/>
                <w:bCs/>
                <w:spacing w:val="-11"/>
              </w:rPr>
              <w:t>序号</w:t>
            </w:r>
          </w:p>
        </w:tc>
        <w:tc>
          <w:tcPr>
            <w:tcW w:w="7386" w:type="dxa"/>
            <w:tcBorders>
              <w:top w:val="single" w:color="5B9BD5" w:sz="4" w:space="0"/>
              <w:right w:val="single" w:color="5B9BD5" w:sz="4" w:space="0"/>
            </w:tcBorders>
            <w:shd w:val="clear" w:color="auto" w:fill="DEEAF6"/>
            <w:vAlign w:val="top"/>
          </w:tcPr>
          <w:p w14:paraId="2BD0831F">
            <w:pPr>
              <w:pStyle w:val="7"/>
              <w:spacing w:before="144" w:line="217" w:lineRule="auto"/>
              <w:ind w:left="3252"/>
            </w:pPr>
            <w:r>
              <w:rPr>
                <w:b/>
                <w:bCs/>
                <w:spacing w:val="-18"/>
              </w:rPr>
              <w:t>制度内容</w:t>
            </w:r>
          </w:p>
        </w:tc>
      </w:tr>
      <w:tr w14:paraId="3F9567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34" w:hRule="atLeast"/>
        </w:trPr>
        <w:tc>
          <w:tcPr>
            <w:tcW w:w="981" w:type="dxa"/>
            <w:tcBorders>
              <w:left w:val="single" w:color="1C456A" w:sz="4" w:space="0"/>
              <w:bottom w:val="single" w:color="1C456A" w:sz="4" w:space="0"/>
            </w:tcBorders>
            <w:vAlign w:val="top"/>
          </w:tcPr>
          <w:p w14:paraId="7793ABD7">
            <w:pPr>
              <w:spacing w:line="285" w:lineRule="auto"/>
              <w:rPr>
                <w:rFonts w:ascii="Arial"/>
                <w:sz w:val="21"/>
              </w:rPr>
            </w:pPr>
          </w:p>
          <w:p w14:paraId="5CF60944">
            <w:pPr>
              <w:pStyle w:val="7"/>
              <w:spacing w:before="78" w:line="238" w:lineRule="auto"/>
              <w:ind w:left="457"/>
            </w:pPr>
            <w:r>
              <w:t>1</w:t>
            </w:r>
          </w:p>
        </w:tc>
        <w:tc>
          <w:tcPr>
            <w:tcW w:w="7386" w:type="dxa"/>
            <w:tcBorders>
              <w:bottom w:val="single" w:color="5B9BD5" w:sz="4" w:space="0"/>
              <w:right w:val="single" w:color="5B9BD5" w:sz="4" w:space="0"/>
            </w:tcBorders>
            <w:vAlign w:val="top"/>
          </w:tcPr>
          <w:p w14:paraId="37A6632A">
            <w:pPr>
              <w:pStyle w:val="7"/>
              <w:spacing w:before="131" w:line="215" w:lineRule="auto"/>
              <w:ind w:left="94"/>
            </w:pPr>
            <w:r>
              <w:rPr>
                <w:spacing w:val="-21"/>
              </w:rPr>
              <w:t>对每一个违法施工扬尘控制规定，造成扬尘污染的行为，</w:t>
            </w:r>
            <w:r>
              <w:rPr>
                <w:spacing w:val="-22"/>
              </w:rPr>
              <w:t>在项目公示栏上进</w:t>
            </w:r>
          </w:p>
          <w:p w14:paraId="28D3B583">
            <w:pPr>
              <w:pStyle w:val="7"/>
              <w:spacing w:before="187" w:line="217" w:lineRule="auto"/>
              <w:ind w:left="1837"/>
            </w:pPr>
            <w:r>
              <w:rPr>
                <w:spacing w:val="-21"/>
              </w:rPr>
              <w:t>行曝光，情节严重的要进行相应处罚。</w:t>
            </w:r>
          </w:p>
        </w:tc>
      </w:tr>
    </w:tbl>
    <w:p w14:paraId="1874A4EE">
      <w:pPr>
        <w:pStyle w:val="2"/>
        <w:spacing w:before="115" w:line="217" w:lineRule="auto"/>
        <w:ind w:left="1927"/>
        <w:rPr>
          <w:sz w:val="24"/>
          <w:szCs w:val="24"/>
        </w:rPr>
      </w:pPr>
      <w:r>
        <w:rPr>
          <w:spacing w:val="-20"/>
          <w:sz w:val="24"/>
          <w:szCs w:val="24"/>
        </w:rPr>
        <w:t>(3)违章处罚制度</w:t>
      </w:r>
    </w:p>
    <w:p w14:paraId="78E12FE5">
      <w:pPr>
        <w:spacing w:line="33" w:lineRule="auto"/>
        <w:rPr>
          <w:rFonts w:ascii="Arial"/>
          <w:sz w:val="2"/>
        </w:rPr>
      </w:pPr>
    </w:p>
    <w:tbl>
      <w:tblPr>
        <w:tblStyle w:val="6"/>
        <w:tblW w:w="8367" w:type="dxa"/>
        <w:tblInd w:w="1769"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55"/>
        <w:gridCol w:w="726"/>
        <w:gridCol w:w="7386"/>
      </w:tblGrid>
      <w:tr w14:paraId="430C84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8" w:hRule="atLeast"/>
        </w:trPr>
        <w:tc>
          <w:tcPr>
            <w:tcW w:w="981" w:type="dxa"/>
            <w:gridSpan w:val="2"/>
            <w:tcBorders>
              <w:top w:val="single" w:color="000000" w:sz="4" w:space="0"/>
              <w:left w:val="single" w:color="000000" w:sz="4" w:space="0"/>
            </w:tcBorders>
            <w:shd w:val="clear" w:color="auto" w:fill="DEEAF6"/>
            <w:vAlign w:val="top"/>
          </w:tcPr>
          <w:p w14:paraId="25A9323F">
            <w:pPr>
              <w:pStyle w:val="7"/>
              <w:spacing w:before="141" w:line="218" w:lineRule="auto"/>
              <w:ind w:left="284"/>
            </w:pPr>
            <w:r>
              <w:rPr>
                <w:b/>
                <w:bCs/>
                <w:spacing w:val="-11"/>
              </w:rPr>
              <w:t>序号</w:t>
            </w:r>
          </w:p>
        </w:tc>
        <w:tc>
          <w:tcPr>
            <w:tcW w:w="7386" w:type="dxa"/>
            <w:tcBorders>
              <w:top w:val="single" w:color="5B9BD5" w:sz="4" w:space="0"/>
              <w:right w:val="single" w:color="5B9BD5" w:sz="4" w:space="0"/>
            </w:tcBorders>
            <w:shd w:val="clear" w:color="auto" w:fill="DEEAF6"/>
            <w:vAlign w:val="top"/>
          </w:tcPr>
          <w:p w14:paraId="571AED44">
            <w:pPr>
              <w:pStyle w:val="7"/>
              <w:spacing w:before="141" w:line="217" w:lineRule="auto"/>
              <w:ind w:left="3252"/>
            </w:pPr>
            <w:r>
              <w:rPr>
                <w:b/>
                <w:bCs/>
                <w:spacing w:val="-18"/>
              </w:rPr>
              <w:t>制度内容</w:t>
            </w:r>
          </w:p>
        </w:tc>
      </w:tr>
      <w:tr w14:paraId="6F812A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07" w:hRule="atLeast"/>
        </w:trPr>
        <w:tc>
          <w:tcPr>
            <w:tcW w:w="255" w:type="dxa"/>
            <w:tcBorders>
              <w:left w:val="single" w:color="1C456A" w:sz="4" w:space="0"/>
              <w:bottom w:val="single" w:color="1C456A" w:sz="4" w:space="0"/>
              <w:right w:val="nil"/>
            </w:tcBorders>
            <w:vAlign w:val="top"/>
          </w:tcPr>
          <w:p w14:paraId="41F2C731">
            <w:pPr>
              <w:rPr>
                <w:rFonts w:ascii="Arial"/>
                <w:sz w:val="21"/>
              </w:rPr>
            </w:pPr>
            <w:r>
              <w:pict>
                <v:shape id="_x0000_s3473" o:spid="_x0000_s3473" style="position:absolute;left:0pt;margin-left:-0.25pt;margin-top:125.4pt;height:0.75pt;width:2.2pt;mso-position-horizontal-relative:page;mso-position-vertical-relative:page;z-index:252087296;mso-width-relative:page;mso-height-relative:page;" fillcolor="#5B9BD5" filled="t" stroked="f" coordsize="44,15" path="m0,14l43,14,43,0,0,0,0,14xe">
                  <v:path/>
                  <v:fill on="t" focussize="0,0"/>
                  <v:stroke on="f"/>
                  <v:imagedata o:title=""/>
                  <o:lock v:ext="edit"/>
                </v:shape>
              </w:pict>
            </w:r>
          </w:p>
        </w:tc>
        <w:tc>
          <w:tcPr>
            <w:tcW w:w="726" w:type="dxa"/>
            <w:tcBorders>
              <w:left w:val="nil"/>
              <w:bottom w:val="single" w:color="1C456A" w:sz="4" w:space="0"/>
            </w:tcBorders>
            <w:vAlign w:val="top"/>
          </w:tcPr>
          <w:p w14:paraId="6398F453">
            <w:pPr>
              <w:spacing w:line="318" w:lineRule="auto"/>
              <w:rPr>
                <w:rFonts w:ascii="Arial"/>
                <w:sz w:val="21"/>
              </w:rPr>
            </w:pPr>
          </w:p>
          <w:p w14:paraId="4B88C91F">
            <w:pPr>
              <w:spacing w:line="318" w:lineRule="auto"/>
              <w:rPr>
                <w:rFonts w:ascii="Arial"/>
                <w:sz w:val="21"/>
              </w:rPr>
            </w:pPr>
          </w:p>
          <w:p w14:paraId="6B9798D5">
            <w:pPr>
              <w:spacing w:line="319" w:lineRule="auto"/>
              <w:rPr>
                <w:rFonts w:ascii="Arial"/>
                <w:sz w:val="21"/>
              </w:rPr>
            </w:pPr>
          </w:p>
          <w:p w14:paraId="718E5F86">
            <w:pPr>
              <w:pStyle w:val="7"/>
              <w:spacing w:before="78" w:line="238" w:lineRule="auto"/>
              <w:ind w:left="207"/>
            </w:pPr>
            <w:r>
              <w:t>1</w:t>
            </w:r>
          </w:p>
        </w:tc>
        <w:tc>
          <w:tcPr>
            <w:tcW w:w="7386" w:type="dxa"/>
            <w:tcBorders>
              <w:bottom w:val="single" w:color="5B9BD5" w:sz="4" w:space="0"/>
              <w:right w:val="single" w:color="5B9BD5" w:sz="4" w:space="0"/>
            </w:tcBorders>
            <w:vAlign w:val="top"/>
          </w:tcPr>
          <w:p w14:paraId="5C819D18">
            <w:pPr>
              <w:pStyle w:val="7"/>
              <w:spacing w:before="105" w:line="359" w:lineRule="auto"/>
              <w:ind w:left="57" w:firstLine="34"/>
              <w:jc w:val="both"/>
            </w:pPr>
            <w:r>
              <w:pict>
                <v:shape id="_x0000_s3474" o:spid="_x0000_s3474" style="position:absolute;left:0pt;margin-left:367.45pt;margin-top:125.4pt;height:0.75pt;width:2.2pt;mso-position-horizontal-relative:page;mso-position-vertical-relative:page;z-index:252086272;mso-width-relative:page;mso-height-relative:page;" fillcolor="#5B9BD5" filled="t" stroked="f" coordsize="44,15" path="m0,14l43,14,43,0,0,0,0,14xe">
                  <v:path/>
                  <v:fill on="t" focussize="0,0"/>
                  <v:stroke on="f"/>
                  <v:imagedata o:title=""/>
                  <o:lock v:ext="edit"/>
                </v:shape>
              </w:pict>
            </w:r>
            <w:r>
              <w:rPr>
                <w:spacing w:val="-22"/>
              </w:rPr>
              <w:t>针对施工现场经常出现的造成扬尘污染的违章行为，为达到警戒的目</w:t>
            </w:r>
            <w:r>
              <w:rPr>
                <w:spacing w:val="-23"/>
              </w:rPr>
              <w:t>的，给</w:t>
            </w:r>
            <w:r>
              <w:rPr>
                <w:spacing w:val="-19"/>
              </w:rPr>
              <w:t>予200元左右的处罚。造成扬尘污染的违章行为如：装运易洒物品未封闭或</w:t>
            </w:r>
            <w:r>
              <w:rPr>
                <w:spacing w:val="-21"/>
              </w:rPr>
              <w:t>冒装超载、进出场车辆未按规定冲洗、从建筑物高处向下排放污水，倾倒建</w:t>
            </w:r>
            <w:r>
              <w:rPr>
                <w:spacing w:val="-25"/>
              </w:rPr>
              <w:t>筑垃圾、露天堆放建筑材料未覆盖、拆除工程或建筑施工时未进行洒水降尘；</w:t>
            </w:r>
          </w:p>
          <w:p w14:paraId="2DD9827F">
            <w:pPr>
              <w:pStyle w:val="7"/>
              <w:spacing w:line="215" w:lineRule="auto"/>
              <w:ind w:left="1729"/>
            </w:pPr>
            <w:r>
              <w:rPr>
                <w:spacing w:val="-21"/>
              </w:rPr>
              <w:t>在现场随意焚烧垃圾和其他有毒物质等。</w:t>
            </w:r>
          </w:p>
        </w:tc>
      </w:tr>
    </w:tbl>
    <w:p w14:paraId="5817CA6D">
      <w:pPr>
        <w:pStyle w:val="2"/>
        <w:spacing w:before="115" w:line="217" w:lineRule="auto"/>
        <w:ind w:left="2047"/>
        <w:rPr>
          <w:sz w:val="24"/>
          <w:szCs w:val="24"/>
        </w:rPr>
      </w:pPr>
      <w:r>
        <w:rPr>
          <w:spacing w:val="-17"/>
          <w:sz w:val="24"/>
          <w:szCs w:val="24"/>
        </w:rPr>
        <w:t>(4)扬尘责任书制度</w:t>
      </w:r>
    </w:p>
    <w:p w14:paraId="523F6501">
      <w:pPr>
        <w:spacing w:line="38" w:lineRule="auto"/>
        <w:rPr>
          <w:rFonts w:ascii="Arial"/>
          <w:sz w:val="2"/>
        </w:rPr>
      </w:pPr>
    </w:p>
    <w:tbl>
      <w:tblPr>
        <w:tblStyle w:val="6"/>
        <w:tblW w:w="8367" w:type="dxa"/>
        <w:tblInd w:w="1769"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55"/>
        <w:gridCol w:w="726"/>
        <w:gridCol w:w="7306"/>
        <w:gridCol w:w="80"/>
      </w:tblGrid>
      <w:tr w14:paraId="5A5F11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3" w:hRule="atLeast"/>
        </w:trPr>
        <w:tc>
          <w:tcPr>
            <w:tcW w:w="981" w:type="dxa"/>
            <w:gridSpan w:val="2"/>
            <w:tcBorders>
              <w:top w:val="single" w:color="000000" w:sz="4" w:space="0"/>
              <w:left w:val="single" w:color="000000" w:sz="4" w:space="0"/>
            </w:tcBorders>
            <w:shd w:val="clear" w:color="auto" w:fill="DEEAF6"/>
            <w:vAlign w:val="top"/>
          </w:tcPr>
          <w:p w14:paraId="70D69CBE">
            <w:pPr>
              <w:spacing w:line="93" w:lineRule="exact"/>
            </w:pPr>
            <w:r>
              <w:rPr>
                <w:position w:val="-1"/>
              </w:rPr>
              <w:pict>
                <v:group id="_x0000_s3475" o:spid="_x0000_s3475" o:spt="203" style="height:5.2pt;width:50.55pt;" coordsize="1010,103">
                  <o:lock v:ext="edit"/>
                  <v:shape id="_x0000_s3476" o:spid="_x0000_s3476" style="position:absolute;left:0;top:0;height:15;width:44;" fillcolor="#5B9BD5" filled="t" stroked="f" coordsize="44,15" path="m0,14l43,14,43,0,0,0,0,14xe">
                    <v:path/>
                    <v:fill on="t" focussize="0,0"/>
                    <v:stroke on="f"/>
                    <v:imagedata o:title=""/>
                    <o:lock v:ext="edit"/>
                  </v:shape>
                  <v:shape id="_x0000_s3477" o:spid="_x0000_s3477" style="position:absolute;left:43;top:43;height:60;width:924;" fillcolor="#DEEAF6" filled="t" stroked="f" coordsize="924,60" path="m0,60l923,60,923,0,0,0,0,60xe">
                    <v:path/>
                    <v:fill on="t" focussize="0,0"/>
                    <v:stroke on="f"/>
                    <v:imagedata o:title=""/>
                    <o:lock v:ext="edit"/>
                  </v:shape>
                  <v:shape id="_x0000_s3478" o:spid="_x0000_s3478" style="position:absolute;left:967;top:0;height:15;width:44;" fillcolor="#5B9BD5" filled="t" stroked="f" coordsize="44,15" path="m0,14l43,14,43,0,0,0,0,14xe">
                    <v:path/>
                    <v:fill on="t" focussize="0,0"/>
                    <v:stroke on="f"/>
                    <v:imagedata o:title=""/>
                    <o:lock v:ext="edit"/>
                  </v:shape>
                  <v:shape id="_x0000_s3479" o:spid="_x0000_s3479" style="position:absolute;left:967;top:14;height:15;width:44;" fillcolor="#20507B" filled="t" stroked="f" coordsize="44,15" path="m0,14l43,14,43,0,0,0,0,14xe">
                    <v:path/>
                    <v:fill on="t" focussize="0,0"/>
                    <v:stroke on="f"/>
                    <v:imagedata o:title=""/>
                    <o:lock v:ext="edit"/>
                  </v:shape>
                  <v:shape id="_x0000_s3480" o:spid="_x0000_s3480" style="position:absolute;left:967;top:28;height:15;width:44;" fillcolor="#1C456A" filled="t" stroked="f" coordsize="44,15" path="m0,14l43,14,43,0,0,0,0,14xe">
                    <v:path/>
                    <v:fill on="t" focussize="0,0"/>
                    <v:stroke on="f"/>
                    <v:imagedata o:title=""/>
                    <o:lock v:ext="edit"/>
                  </v:shape>
                  <w10:wrap type="none"/>
                  <w10:anchorlock/>
                </v:group>
              </w:pict>
            </w:r>
          </w:p>
          <w:p w14:paraId="687028B9">
            <w:pPr>
              <w:pStyle w:val="7"/>
              <w:spacing w:before="57" w:line="218" w:lineRule="auto"/>
              <w:ind w:left="284"/>
            </w:pPr>
            <w:r>
              <w:rPr>
                <w:b/>
                <w:bCs/>
                <w:spacing w:val="-11"/>
              </w:rPr>
              <w:t>序号</w:t>
            </w:r>
          </w:p>
          <w:p w14:paraId="7D6CD754">
            <w:pPr>
              <w:spacing w:before="169" w:line="49" w:lineRule="exact"/>
              <w:ind w:firstLine="11"/>
            </w:pPr>
            <w:r>
              <w:rPr>
                <w:position w:val="-1"/>
              </w:rPr>
              <w:pict>
                <v:shape id="_x0000_s3481" o:spid="_x0000_s3481" style="height:2.9pt;width:47.55pt;" fillcolor="#DEEAF6" filled="t" stroked="f" coordsize="950,58" path="m0,57l950,57,950,0,0,0,0,57xe">
                  <v:path/>
                  <v:fill on="t" focussize="0,0"/>
                  <v:stroke on="f"/>
                  <v:imagedata o:title=""/>
                  <o:lock v:ext="edit"/>
                  <w10:wrap type="none"/>
                  <w10:anchorlock/>
                </v:shape>
              </w:pict>
            </w:r>
          </w:p>
        </w:tc>
        <w:tc>
          <w:tcPr>
            <w:tcW w:w="7306" w:type="dxa"/>
            <w:tcBorders>
              <w:top w:val="single" w:color="5B9BD5" w:sz="4" w:space="0"/>
              <w:right w:val="nil"/>
            </w:tcBorders>
            <w:shd w:val="clear" w:color="auto" w:fill="DEEAF6"/>
            <w:vAlign w:val="top"/>
          </w:tcPr>
          <w:p w14:paraId="5B3C3A95">
            <w:pPr>
              <w:pStyle w:val="7"/>
              <w:spacing w:before="151" w:line="217" w:lineRule="auto"/>
              <w:ind w:left="3252"/>
            </w:pPr>
            <w:r>
              <w:rPr>
                <w:b/>
                <w:bCs/>
                <w:spacing w:val="-18"/>
              </w:rPr>
              <w:t>制度内容</w:t>
            </w:r>
          </w:p>
        </w:tc>
        <w:tc>
          <w:tcPr>
            <w:tcW w:w="80" w:type="dxa"/>
            <w:tcBorders>
              <w:top w:val="single" w:color="5B9BD5" w:sz="4" w:space="0"/>
              <w:left w:val="nil"/>
              <w:right w:val="single" w:color="5B9BD5" w:sz="4" w:space="0"/>
            </w:tcBorders>
            <w:vAlign w:val="top"/>
          </w:tcPr>
          <w:p w14:paraId="15194D4A">
            <w:pPr>
              <w:rPr>
                <w:rFonts w:ascii="Arial"/>
                <w:sz w:val="21"/>
              </w:rPr>
            </w:pPr>
            <w:r>
              <w:pict>
                <v:shape id="_x0000_s3482" o:spid="_x0000_s3482" style="position:absolute;left:0pt;margin-left:2.15pt;margin-top:0pt;height:0.75pt;width:2.2pt;mso-position-horizontal-relative:page;mso-position-vertical-relative:page;z-index:252083200;mso-width-relative:page;mso-height-relative:page;" fillcolor="#5B9BD5" filled="t" stroked="f" coordsize="44,15" path="m0,14l43,14,43,0,0,0,0,14xe">
                  <v:path/>
                  <v:fill on="t" focussize="0,0"/>
                  <v:stroke on="f"/>
                  <v:imagedata o:title=""/>
                  <o:lock v:ext="edit"/>
                </v:shape>
              </w:pict>
            </w:r>
          </w:p>
        </w:tc>
      </w:tr>
      <w:tr w14:paraId="59C9E3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12" w:hRule="atLeast"/>
        </w:trPr>
        <w:tc>
          <w:tcPr>
            <w:tcW w:w="255" w:type="dxa"/>
            <w:tcBorders>
              <w:left w:val="single" w:color="1C456A" w:sz="4" w:space="0"/>
              <w:bottom w:val="single" w:color="1C456A" w:sz="4" w:space="0"/>
              <w:right w:val="nil"/>
            </w:tcBorders>
            <w:vAlign w:val="top"/>
          </w:tcPr>
          <w:p w14:paraId="05F51EB7">
            <w:pPr>
              <w:rPr>
                <w:rFonts w:ascii="Arial"/>
                <w:sz w:val="21"/>
              </w:rPr>
            </w:pPr>
            <w:r>
              <w:pict>
                <v:shape id="_x0000_s3483" o:spid="_x0000_s3483" style="position:absolute;left:0pt;margin-left:-0.25pt;margin-top:55.6pt;height:0.75pt;width:2.2pt;mso-position-horizontal-relative:page;mso-position-vertical-relative:page;z-index:252084224;mso-width-relative:page;mso-height-relative:page;" fillcolor="#5B9BD5" filled="t" stroked="f" coordsize="44,15" path="m0,14l43,14,43,0,0,0,0,14xe">
                  <v:path/>
                  <v:fill on="t" focussize="0,0"/>
                  <v:stroke on="f"/>
                  <v:imagedata o:title=""/>
                  <o:lock v:ext="edit"/>
                </v:shape>
              </w:pict>
            </w:r>
          </w:p>
        </w:tc>
        <w:tc>
          <w:tcPr>
            <w:tcW w:w="726" w:type="dxa"/>
            <w:tcBorders>
              <w:left w:val="nil"/>
              <w:bottom w:val="single" w:color="1C456A" w:sz="4" w:space="0"/>
            </w:tcBorders>
            <w:vAlign w:val="top"/>
          </w:tcPr>
          <w:p w14:paraId="70C73409">
            <w:pPr>
              <w:spacing w:line="265" w:lineRule="auto"/>
              <w:rPr>
                <w:rFonts w:ascii="Arial"/>
                <w:sz w:val="21"/>
              </w:rPr>
            </w:pPr>
          </w:p>
          <w:p w14:paraId="69369816">
            <w:pPr>
              <w:pStyle w:val="7"/>
              <w:spacing w:before="78" w:line="238" w:lineRule="auto"/>
              <w:ind w:left="207"/>
            </w:pPr>
            <w:r>
              <w:t>1</w:t>
            </w:r>
          </w:p>
        </w:tc>
        <w:tc>
          <w:tcPr>
            <w:tcW w:w="7386" w:type="dxa"/>
            <w:gridSpan w:val="2"/>
            <w:tcBorders>
              <w:bottom w:val="single" w:color="5B9BD5" w:sz="4" w:space="0"/>
              <w:right w:val="single" w:color="5B9BD5" w:sz="4" w:space="0"/>
            </w:tcBorders>
            <w:vAlign w:val="top"/>
          </w:tcPr>
          <w:p w14:paraId="6230ADAC">
            <w:pPr>
              <w:pStyle w:val="7"/>
              <w:spacing w:before="109" w:line="216" w:lineRule="auto"/>
              <w:ind w:left="101"/>
            </w:pPr>
            <w:r>
              <w:pict>
                <v:shape id="_x0000_s3484" o:spid="_x0000_s3484" style="position:absolute;left:0pt;margin-left:367.45pt;margin-top:55.6pt;height:0.75pt;width:2.2pt;mso-position-horizontal-relative:page;mso-position-vertical-relative:page;z-index:252085248;mso-width-relative:page;mso-height-relative:page;" fillcolor="#5B9BD5" filled="t" stroked="f" coordsize="44,15" path="m0,14l43,14,43,0,0,0,0,14xe">
                  <v:path/>
                  <v:fill on="t" focussize="0,0"/>
                  <v:stroke on="f"/>
                  <v:imagedata o:title=""/>
                  <o:lock v:ext="edit"/>
                </v:shape>
              </w:pict>
            </w:r>
            <w:r>
              <w:rPr>
                <w:spacing w:val="-22"/>
              </w:rPr>
              <w:t>为有效推动施工现场扬尘治理工作，强化防尘、治尘责任意识，项目部制定</w:t>
            </w:r>
          </w:p>
          <w:p w14:paraId="187EF489">
            <w:pPr>
              <w:pStyle w:val="7"/>
              <w:spacing w:before="187" w:line="216" w:lineRule="auto"/>
              <w:ind w:left="858"/>
            </w:pPr>
            <w:r>
              <w:rPr>
                <w:spacing w:val="-21"/>
              </w:rPr>
              <w:t>并与各部门、各班组及个人签订《现场扬尘控制责任书》。</w:t>
            </w:r>
          </w:p>
        </w:tc>
      </w:tr>
    </w:tbl>
    <w:p w14:paraId="11C7CEC2">
      <w:pPr>
        <w:pStyle w:val="2"/>
        <w:spacing w:before="115" w:line="218" w:lineRule="auto"/>
        <w:ind w:left="1986"/>
        <w:rPr>
          <w:sz w:val="24"/>
          <w:szCs w:val="24"/>
        </w:rPr>
      </w:pPr>
      <w:r>
        <w:rPr>
          <w:spacing w:val="-17"/>
          <w:sz w:val="24"/>
          <w:szCs w:val="24"/>
        </w:rPr>
        <w:t>2、扬尘污染防治管理方针</w:t>
      </w:r>
    </w:p>
    <w:p w14:paraId="041733D1">
      <w:pPr>
        <w:pStyle w:val="2"/>
        <w:spacing w:before="115" w:line="218" w:lineRule="auto"/>
        <w:ind w:left="2038"/>
        <w:rPr>
          <w:sz w:val="24"/>
          <w:szCs w:val="24"/>
        </w:rPr>
      </w:pPr>
      <w:r>
        <w:rPr>
          <w:spacing w:val="-18"/>
          <w:sz w:val="24"/>
          <w:szCs w:val="24"/>
        </w:rPr>
        <w:t>(1)提高认识，明确目标</w:t>
      </w:r>
    </w:p>
    <w:p w14:paraId="0E944854">
      <w:pPr>
        <w:pStyle w:val="2"/>
        <w:spacing w:before="119" w:line="307" w:lineRule="auto"/>
        <w:ind w:left="1479" w:right="1411" w:firstLine="416"/>
        <w:rPr>
          <w:sz w:val="24"/>
          <w:szCs w:val="24"/>
        </w:rPr>
      </w:pPr>
      <w:r>
        <w:rPr>
          <w:spacing w:val="-20"/>
          <w:sz w:val="24"/>
          <w:szCs w:val="24"/>
        </w:rPr>
        <w:t>大气环境质量是全社会共同关注的焦点，不仅是重要的民生和生态问题，也是经济和社会</w:t>
      </w:r>
      <w:r>
        <w:rPr>
          <w:spacing w:val="-22"/>
          <w:sz w:val="24"/>
          <w:szCs w:val="24"/>
        </w:rPr>
        <w:t>问题。建筑施工扬尘是造成大气污染的重要来源之一，作为项目总</w:t>
      </w:r>
    </w:p>
    <w:p w14:paraId="22957029">
      <w:pPr>
        <w:pStyle w:val="2"/>
        <w:spacing w:before="3" w:line="307" w:lineRule="auto"/>
        <w:ind w:left="1457" w:right="1354" w:firstLine="515"/>
        <w:rPr>
          <w:sz w:val="24"/>
          <w:szCs w:val="24"/>
        </w:rPr>
      </w:pPr>
      <w:r>
        <w:rPr>
          <w:spacing w:val="-26"/>
          <w:sz w:val="24"/>
          <w:szCs w:val="24"/>
        </w:rPr>
        <w:t>承包单位，我们首先要做到增强责任意识，从保障人员身体健康、实现可持续发展的高度，</w:t>
      </w:r>
      <w:r>
        <w:rPr>
          <w:spacing w:val="-11"/>
          <w:sz w:val="24"/>
          <w:szCs w:val="24"/>
        </w:rPr>
        <w:t>充分认识防治建筑施工扬尘污染工作的重要性和紧迫性，把防治建筑施工扬尘污染作为一</w:t>
      </w:r>
      <w:r>
        <w:rPr>
          <w:spacing w:val="12"/>
          <w:sz w:val="24"/>
          <w:szCs w:val="24"/>
        </w:rPr>
        <w:t>项重要的专项工作扎实推进，实现以下目标：</w:t>
      </w:r>
    </w:p>
    <w:p w14:paraId="4097120D">
      <w:pPr>
        <w:pStyle w:val="2"/>
        <w:spacing w:line="308" w:lineRule="auto"/>
        <w:ind w:left="1479" w:right="1412" w:firstLine="415"/>
        <w:rPr>
          <w:sz w:val="24"/>
          <w:szCs w:val="24"/>
        </w:rPr>
      </w:pPr>
      <w:r>
        <w:rPr>
          <w:spacing w:val="-20"/>
          <w:sz w:val="24"/>
          <w:szCs w:val="24"/>
        </w:rPr>
        <w:t>提高我公司文明施工管理水平，以治理扬尘污染为重点，以项目部为主体，公司各职能部</w:t>
      </w:r>
      <w:r>
        <w:rPr>
          <w:spacing w:val="-22"/>
          <w:sz w:val="24"/>
          <w:szCs w:val="24"/>
        </w:rPr>
        <w:t>门配合，采取综合防治措施，使扬尘污染从源头上得到有效控制，确保避免扬尘污染。</w:t>
      </w:r>
    </w:p>
    <w:p w14:paraId="6AF8A6C4">
      <w:pPr>
        <w:pStyle w:val="2"/>
        <w:spacing w:before="1" w:line="218" w:lineRule="auto"/>
        <w:ind w:left="2038"/>
        <w:rPr>
          <w:sz w:val="24"/>
          <w:szCs w:val="24"/>
        </w:rPr>
      </w:pPr>
      <w:r>
        <w:rPr>
          <w:spacing w:val="-18"/>
          <w:sz w:val="24"/>
          <w:szCs w:val="24"/>
        </w:rPr>
        <w:t>(2)突出重点，落实责任</w:t>
      </w:r>
    </w:p>
    <w:p w14:paraId="5403C090">
      <w:pPr>
        <w:spacing w:line="218" w:lineRule="auto"/>
        <w:rPr>
          <w:sz w:val="24"/>
          <w:szCs w:val="24"/>
        </w:rPr>
        <w:sectPr>
          <w:footerReference r:id="rId191" w:type="default"/>
          <w:pgSz w:w="11907" w:h="16839"/>
          <w:pgMar w:top="954" w:right="4" w:bottom="1038" w:left="0" w:header="499" w:footer="357" w:gutter="0"/>
          <w:pgBorders>
            <w:top w:val="none" w:sz="0" w:space="0"/>
            <w:left w:val="none" w:sz="0" w:space="0"/>
            <w:bottom w:val="none" w:sz="0" w:space="0"/>
            <w:right w:val="none" w:sz="0" w:space="0"/>
          </w:pgBorders>
          <w:cols w:space="720" w:num="1"/>
        </w:sectPr>
      </w:pPr>
    </w:p>
    <w:p w14:paraId="6D072957">
      <w:pPr>
        <w:spacing w:line="250" w:lineRule="auto"/>
        <w:rPr>
          <w:rFonts w:ascii="Arial"/>
          <w:sz w:val="21"/>
        </w:rPr>
      </w:pPr>
    </w:p>
    <w:p w14:paraId="5E8C0D2F">
      <w:pPr>
        <w:pStyle w:val="2"/>
        <w:spacing w:before="78" w:line="216" w:lineRule="auto"/>
        <w:ind w:left="1903"/>
        <w:rPr>
          <w:sz w:val="24"/>
          <w:szCs w:val="24"/>
        </w:rPr>
      </w:pPr>
      <w:r>
        <w:rPr>
          <w:spacing w:val="-16"/>
          <w:sz w:val="24"/>
          <w:szCs w:val="24"/>
        </w:rPr>
        <w:t>1)工作重点</w:t>
      </w:r>
    </w:p>
    <w:p w14:paraId="7C453392">
      <w:pPr>
        <w:pStyle w:val="2"/>
        <w:spacing w:before="121" w:line="307" w:lineRule="auto"/>
        <w:ind w:left="1458" w:right="1450" w:firstLine="562"/>
        <w:rPr>
          <w:sz w:val="24"/>
          <w:szCs w:val="24"/>
        </w:rPr>
      </w:pPr>
      <w:r>
        <w:rPr>
          <w:spacing w:val="-14"/>
          <w:sz w:val="24"/>
          <w:szCs w:val="24"/>
        </w:rPr>
        <w:t>本工程防治建筑施工扬尘污染的重点是工程建设过程中及相关运输等活动所产</w:t>
      </w:r>
      <w:r>
        <w:rPr>
          <w:spacing w:val="-15"/>
          <w:sz w:val="24"/>
          <w:szCs w:val="24"/>
        </w:rPr>
        <w:t>生的扬</w:t>
      </w:r>
      <w:r>
        <w:rPr>
          <w:spacing w:val="-9"/>
          <w:sz w:val="24"/>
          <w:szCs w:val="24"/>
        </w:rPr>
        <w:t>尘。</w:t>
      </w:r>
    </w:p>
    <w:p w14:paraId="1EAA9D82">
      <w:pPr>
        <w:pStyle w:val="2"/>
        <w:spacing w:before="1" w:line="215" w:lineRule="auto"/>
        <w:ind w:left="1996"/>
        <w:rPr>
          <w:sz w:val="24"/>
          <w:szCs w:val="24"/>
        </w:rPr>
      </w:pPr>
      <w:r>
        <w:rPr>
          <w:spacing w:val="-18"/>
          <w:sz w:val="24"/>
          <w:szCs w:val="24"/>
        </w:rPr>
        <w:t>2)公司及项目部组织机构及工作制度</w:t>
      </w:r>
    </w:p>
    <w:p w14:paraId="36F1B938">
      <w:pPr>
        <w:pStyle w:val="2"/>
        <w:spacing w:before="122" w:line="307" w:lineRule="auto"/>
        <w:ind w:left="1456" w:right="1353" w:firstLine="437"/>
        <w:rPr>
          <w:sz w:val="24"/>
          <w:szCs w:val="24"/>
        </w:rPr>
      </w:pPr>
      <w:r>
        <w:rPr>
          <w:spacing w:val="-24"/>
          <w:sz w:val="24"/>
          <w:szCs w:val="24"/>
        </w:rPr>
        <w:t>将扬尘污染控制工作纳入日常化管理，公司成立扬尘整治工作小组，由总工程师为总指挥，</w:t>
      </w:r>
      <w:r>
        <w:rPr>
          <w:spacing w:val="-20"/>
          <w:sz w:val="24"/>
          <w:szCs w:val="24"/>
        </w:rPr>
        <w:t>工管部、质量技术部全体人员为监督小组组员；施工现场常设工作班子，由项目经理为第一责任人，安全工程师负责日常工作的开展，定期召开扬尘污染控制工作例会，交流做法，发现问</w:t>
      </w:r>
      <w:r>
        <w:rPr>
          <w:spacing w:val="-19"/>
          <w:sz w:val="24"/>
          <w:szCs w:val="24"/>
        </w:rPr>
        <w:t>题及时采取措施，保证扬尘污染控制工作长抓不</w:t>
      </w:r>
      <w:r>
        <w:rPr>
          <w:spacing w:val="-20"/>
          <w:sz w:val="24"/>
          <w:szCs w:val="24"/>
        </w:rPr>
        <w:t>懈。</w:t>
      </w:r>
    </w:p>
    <w:p w14:paraId="2915E40C">
      <w:pPr>
        <w:pStyle w:val="2"/>
        <w:spacing w:before="3" w:line="307" w:lineRule="auto"/>
        <w:ind w:left="1456" w:right="1409" w:firstLine="493"/>
        <w:rPr>
          <w:sz w:val="24"/>
          <w:szCs w:val="24"/>
        </w:rPr>
      </w:pPr>
      <w:r>
        <w:rPr>
          <w:spacing w:val="4"/>
          <w:sz w:val="24"/>
          <w:szCs w:val="24"/>
        </w:rPr>
        <w:t>突出重点：对建设中的工地、按扬尘控制规范，对硬件设施管理，措施到位，软</w:t>
      </w:r>
      <w:r>
        <w:rPr>
          <w:spacing w:val="-17"/>
          <w:sz w:val="24"/>
          <w:szCs w:val="24"/>
        </w:rPr>
        <w:t>件管理规范有序；对收尾工地，继续不懈怠</w:t>
      </w:r>
      <w:r>
        <w:rPr>
          <w:spacing w:val="-18"/>
          <w:sz w:val="24"/>
          <w:szCs w:val="24"/>
        </w:rPr>
        <w:t>的加强监管，使扬尘污染控制贯穿于工程之中。</w:t>
      </w:r>
      <w:r>
        <w:rPr>
          <w:spacing w:val="14"/>
          <w:sz w:val="24"/>
          <w:szCs w:val="24"/>
        </w:rPr>
        <w:t>对产生扬尘污染的点位加强监管，落实做到“八个百分之百</w:t>
      </w:r>
      <w:r>
        <w:rPr>
          <w:spacing w:val="13"/>
          <w:sz w:val="24"/>
          <w:szCs w:val="24"/>
        </w:rPr>
        <w:t>”。</w:t>
      </w:r>
    </w:p>
    <w:p w14:paraId="79D39B1B">
      <w:pPr>
        <w:pStyle w:val="2"/>
        <w:spacing w:line="218" w:lineRule="auto"/>
        <w:ind w:left="2038"/>
        <w:rPr>
          <w:sz w:val="24"/>
          <w:szCs w:val="24"/>
        </w:rPr>
      </w:pPr>
      <w:r>
        <w:rPr>
          <w:spacing w:val="-18"/>
          <w:sz w:val="24"/>
          <w:szCs w:val="24"/>
        </w:rPr>
        <w:t>(3)加强执法，严格监管</w:t>
      </w:r>
    </w:p>
    <w:p w14:paraId="7A34F4F1">
      <w:pPr>
        <w:pStyle w:val="2"/>
        <w:spacing w:before="115" w:line="278" w:lineRule="auto"/>
        <w:ind w:left="1469" w:right="1407" w:firstLine="549"/>
        <w:rPr>
          <w:sz w:val="24"/>
          <w:szCs w:val="24"/>
        </w:rPr>
      </w:pPr>
      <w:r>
        <w:rPr>
          <w:spacing w:val="16"/>
          <w:sz w:val="24"/>
          <w:szCs w:val="24"/>
        </w:rPr>
        <w:t>1)加大执法力度。把扬尘控制工作纳入公司日常行政管理序列，相关职能部</w:t>
      </w:r>
      <w:r>
        <w:rPr>
          <w:spacing w:val="-15"/>
          <w:sz w:val="24"/>
          <w:szCs w:val="24"/>
        </w:rPr>
        <w:t>门每月开展一次专项检查，并组织日常巡查，认真履行管理职</w:t>
      </w:r>
      <w:r>
        <w:rPr>
          <w:spacing w:val="-16"/>
          <w:sz w:val="24"/>
          <w:szCs w:val="24"/>
        </w:rPr>
        <w:t>责，发现问题及时整改，保持</w:t>
      </w:r>
      <w:r>
        <w:rPr>
          <w:spacing w:val="-9"/>
          <w:sz w:val="24"/>
          <w:szCs w:val="24"/>
        </w:rPr>
        <w:t>常态。</w:t>
      </w:r>
    </w:p>
    <w:p w14:paraId="2216CC78">
      <w:pPr>
        <w:pStyle w:val="2"/>
        <w:spacing w:before="117" w:line="277" w:lineRule="auto"/>
        <w:ind w:left="1460" w:right="1409" w:firstLine="512"/>
        <w:rPr>
          <w:sz w:val="24"/>
          <w:szCs w:val="24"/>
        </w:rPr>
      </w:pPr>
      <w:r>
        <w:rPr>
          <w:spacing w:val="16"/>
          <w:sz w:val="24"/>
          <w:szCs w:val="24"/>
        </w:rPr>
        <w:t>2)发挥安全员、协管员优势。在加强公司和项目部管理的同时，将扬尘工作</w:t>
      </w:r>
      <w:r>
        <w:rPr>
          <w:spacing w:val="-19"/>
          <w:sz w:val="24"/>
          <w:szCs w:val="24"/>
        </w:rPr>
        <w:t>作为安全员、协管员工作内容之一，对裸土、绿化、道路保洁及工地扬尘等发挥监督作用，</w:t>
      </w:r>
      <w:r>
        <w:rPr>
          <w:spacing w:val="14"/>
          <w:sz w:val="24"/>
          <w:szCs w:val="24"/>
        </w:rPr>
        <w:t>发现问题及时制止并向有关部门和人员反映，及时做</w:t>
      </w:r>
      <w:r>
        <w:rPr>
          <w:spacing w:val="13"/>
          <w:sz w:val="24"/>
          <w:szCs w:val="24"/>
        </w:rPr>
        <w:t>好整改工作。</w:t>
      </w:r>
    </w:p>
    <w:p w14:paraId="7770D3AD">
      <w:pPr>
        <w:pStyle w:val="2"/>
        <w:spacing w:before="119" w:line="278" w:lineRule="auto"/>
        <w:ind w:left="1457" w:right="1409" w:firstLine="524"/>
        <w:rPr>
          <w:sz w:val="24"/>
          <w:szCs w:val="24"/>
        </w:rPr>
      </w:pPr>
      <w:r>
        <w:rPr>
          <w:spacing w:val="10"/>
          <w:sz w:val="24"/>
          <w:szCs w:val="24"/>
        </w:rPr>
        <w:t>3)落实检查制度。由项目部安全工程师牵头对工地进行巡查，检查情况记录在</w:t>
      </w:r>
      <w:r>
        <w:rPr>
          <w:spacing w:val="-21"/>
          <w:sz w:val="24"/>
          <w:szCs w:val="24"/>
        </w:rPr>
        <w:t>案。对检查中发现的问题及时安排整改。需要相关单位协同解决的，可以在相关会议上提</w:t>
      </w:r>
      <w:r>
        <w:rPr>
          <w:spacing w:val="-22"/>
          <w:sz w:val="24"/>
          <w:szCs w:val="24"/>
        </w:rPr>
        <w:t>出，以便及时解决。</w:t>
      </w:r>
    </w:p>
    <w:p w14:paraId="4A2DA232">
      <w:pPr>
        <w:pStyle w:val="2"/>
        <w:spacing w:before="118" w:line="217" w:lineRule="auto"/>
        <w:ind w:left="2038"/>
        <w:rPr>
          <w:sz w:val="24"/>
          <w:szCs w:val="24"/>
        </w:rPr>
      </w:pPr>
      <w:r>
        <w:rPr>
          <w:spacing w:val="-18"/>
          <w:sz w:val="24"/>
          <w:szCs w:val="24"/>
        </w:rPr>
        <w:t>(4)增加投入，提升能力</w:t>
      </w:r>
    </w:p>
    <w:p w14:paraId="09CCE944">
      <w:pPr>
        <w:pStyle w:val="2"/>
        <w:spacing w:before="118" w:line="261" w:lineRule="auto"/>
        <w:ind w:left="1459" w:right="1353" w:firstLine="559"/>
        <w:rPr>
          <w:sz w:val="24"/>
          <w:szCs w:val="24"/>
        </w:rPr>
      </w:pPr>
      <w:r>
        <w:rPr>
          <w:spacing w:val="-21"/>
          <w:sz w:val="24"/>
          <w:szCs w:val="24"/>
        </w:rPr>
        <w:t>1)实行经费专户管理制度。施工单位应当确保建设工程扬尘污染防治措施费用专款专用，并在财务管理中单独列出使用清单备查；</w:t>
      </w:r>
    </w:p>
    <w:p w14:paraId="7326EA81">
      <w:pPr>
        <w:pStyle w:val="2"/>
        <w:spacing w:before="121" w:line="262" w:lineRule="auto"/>
        <w:ind w:left="1460" w:right="1451" w:firstLine="428"/>
        <w:rPr>
          <w:sz w:val="24"/>
          <w:szCs w:val="24"/>
        </w:rPr>
      </w:pPr>
      <w:r>
        <w:rPr>
          <w:spacing w:val="-16"/>
          <w:sz w:val="24"/>
          <w:szCs w:val="24"/>
        </w:rPr>
        <w:t>2)在制定和实施施工组织设计时，把扬尘污染控制放在突出的位置，对扬尘污染控制工</w:t>
      </w:r>
      <w:r>
        <w:rPr>
          <w:spacing w:val="11"/>
          <w:sz w:val="24"/>
          <w:szCs w:val="24"/>
        </w:rPr>
        <w:t>作进一步深化，加大环保投入，巩固扬尘治理成果。</w:t>
      </w:r>
    </w:p>
    <w:p w14:paraId="1F22EEF5">
      <w:pPr>
        <w:pStyle w:val="2"/>
        <w:spacing w:before="117" w:line="219" w:lineRule="auto"/>
        <w:ind w:left="1986"/>
        <w:rPr>
          <w:sz w:val="24"/>
          <w:szCs w:val="24"/>
        </w:rPr>
      </w:pPr>
      <w:r>
        <w:rPr>
          <w:spacing w:val="-16"/>
          <w:sz w:val="24"/>
          <w:szCs w:val="24"/>
        </w:rPr>
        <w:t>3)加强宣传，营造氛围</w:t>
      </w:r>
    </w:p>
    <w:p w14:paraId="050607EB">
      <w:pPr>
        <w:pStyle w:val="2"/>
        <w:spacing w:before="117" w:line="308" w:lineRule="auto"/>
        <w:ind w:left="1456" w:right="1415" w:firstLine="438"/>
        <w:jc w:val="both"/>
        <w:rPr>
          <w:sz w:val="24"/>
          <w:szCs w:val="24"/>
        </w:rPr>
      </w:pPr>
      <w:r>
        <w:rPr>
          <w:spacing w:val="-20"/>
          <w:sz w:val="24"/>
          <w:szCs w:val="24"/>
        </w:rPr>
        <w:t>深入开展环保宣传活动，加大宣传力度，利用制作宣传版面、黑板报、座谈会、培训等各种形式，宣传扬尘污染控制的重要性，使各级管理人员和操作工人知晓扬尘污染控制的法律责</w:t>
      </w:r>
      <w:r>
        <w:rPr>
          <w:spacing w:val="-5"/>
          <w:sz w:val="24"/>
          <w:szCs w:val="24"/>
        </w:rPr>
        <w:t>任，使其利用环保法律、法规、环保知识保障自身权益，调动其自觉参</w:t>
      </w:r>
      <w:r>
        <w:rPr>
          <w:spacing w:val="-6"/>
          <w:sz w:val="24"/>
          <w:szCs w:val="24"/>
        </w:rPr>
        <w:t>加扬尘污染控制</w:t>
      </w:r>
      <w:r>
        <w:rPr>
          <w:spacing w:val="11"/>
          <w:sz w:val="24"/>
          <w:szCs w:val="24"/>
        </w:rPr>
        <w:t>工作的积极性，形成良好治理氛围。</w:t>
      </w:r>
    </w:p>
    <w:p w14:paraId="044DDC82">
      <w:pPr>
        <w:pStyle w:val="2"/>
        <w:spacing w:before="1" w:line="215" w:lineRule="auto"/>
        <w:ind w:left="1890"/>
        <w:rPr>
          <w:sz w:val="24"/>
          <w:szCs w:val="24"/>
        </w:rPr>
      </w:pPr>
      <w:r>
        <w:rPr>
          <w:spacing w:val="-18"/>
          <w:sz w:val="24"/>
          <w:szCs w:val="24"/>
        </w:rPr>
        <w:t>3、扬尘整治检查表</w:t>
      </w:r>
    </w:p>
    <w:p w14:paraId="7FF9ED65">
      <w:pPr>
        <w:pStyle w:val="2"/>
        <w:spacing w:before="117" w:line="216" w:lineRule="auto"/>
        <w:ind w:left="2001"/>
        <w:rPr>
          <w:sz w:val="24"/>
          <w:szCs w:val="24"/>
        </w:rPr>
      </w:pPr>
      <w:r>
        <w:rPr>
          <w:spacing w:val="-18"/>
          <w:sz w:val="24"/>
          <w:szCs w:val="24"/>
        </w:rPr>
        <w:t>建设工地扬尘整治专项检查表如下：</w:t>
      </w:r>
    </w:p>
    <w:p w14:paraId="1E578E53">
      <w:pPr>
        <w:spacing w:line="216" w:lineRule="auto"/>
        <w:rPr>
          <w:sz w:val="24"/>
          <w:szCs w:val="24"/>
        </w:rPr>
        <w:sectPr>
          <w:footerReference r:id="rId192" w:type="default"/>
          <w:pgSz w:w="11907" w:h="16839"/>
          <w:pgMar w:top="954" w:right="4" w:bottom="1038" w:left="0" w:header="499" w:footer="357" w:gutter="0"/>
          <w:pgBorders>
            <w:top w:val="none" w:sz="0" w:space="0"/>
            <w:left w:val="none" w:sz="0" w:space="0"/>
            <w:bottom w:val="none" w:sz="0" w:space="0"/>
            <w:right w:val="none" w:sz="0" w:space="0"/>
          </w:pgBorders>
          <w:cols w:space="720" w:num="1"/>
        </w:sectPr>
      </w:pPr>
    </w:p>
    <w:p w14:paraId="6FAFB673">
      <w:pPr>
        <w:spacing w:line="214" w:lineRule="exact"/>
      </w:pPr>
    </w:p>
    <w:tbl>
      <w:tblPr>
        <w:tblStyle w:val="6"/>
        <w:tblW w:w="8554" w:type="dxa"/>
        <w:tblInd w:w="167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75"/>
        <w:gridCol w:w="508"/>
        <w:gridCol w:w="820"/>
        <w:gridCol w:w="5624"/>
        <w:gridCol w:w="1427"/>
      </w:tblGrid>
      <w:tr w14:paraId="3F01CA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55" w:hRule="atLeast"/>
        </w:trPr>
        <w:tc>
          <w:tcPr>
            <w:tcW w:w="683" w:type="dxa"/>
            <w:gridSpan w:val="2"/>
            <w:tcBorders>
              <w:top w:val="single" w:color="000000" w:sz="4" w:space="0"/>
              <w:left w:val="single" w:color="000000" w:sz="4" w:space="0"/>
            </w:tcBorders>
            <w:shd w:val="clear" w:color="auto" w:fill="DEEAF6"/>
            <w:vAlign w:val="top"/>
          </w:tcPr>
          <w:p w14:paraId="0FEA3B5B">
            <w:pPr>
              <w:spacing w:before="33" w:line="60" w:lineRule="exact"/>
              <w:ind w:firstLine="33"/>
            </w:pPr>
            <w:r>
              <w:rPr>
                <w:position w:val="-1"/>
              </w:rPr>
              <w:pict>
                <v:shape id="_x0000_s3485" o:spid="_x0000_s3485" style="height:3pt;width:31.7pt;" fillcolor="#DEEAF6" filled="t" stroked="f" coordsize="634,60" path="m0,60l633,60,633,0,0,0,0,60xe">
                  <v:path/>
                  <v:fill on="t" focussize="0,0"/>
                  <v:stroke on="f"/>
                  <v:imagedata o:title=""/>
                  <o:lock v:ext="edit"/>
                  <w10:wrap type="none"/>
                  <w10:anchorlock/>
                </v:shape>
              </w:pict>
            </w:r>
          </w:p>
          <w:p w14:paraId="6166D254">
            <w:pPr>
              <w:spacing w:line="436" w:lineRule="auto"/>
              <w:rPr>
                <w:rFonts w:ascii="Arial"/>
                <w:sz w:val="21"/>
              </w:rPr>
            </w:pPr>
          </w:p>
          <w:p w14:paraId="2F06321C">
            <w:pPr>
              <w:pStyle w:val="7"/>
              <w:spacing w:before="78" w:line="218" w:lineRule="auto"/>
              <w:ind w:left="137"/>
            </w:pPr>
            <w:r>
              <w:rPr>
                <w:b/>
                <w:bCs/>
                <w:spacing w:val="-12"/>
              </w:rPr>
              <w:t>序号</w:t>
            </w:r>
          </w:p>
        </w:tc>
        <w:tc>
          <w:tcPr>
            <w:tcW w:w="6444" w:type="dxa"/>
            <w:gridSpan w:val="2"/>
            <w:tcBorders>
              <w:top w:val="single" w:color="000000" w:sz="4" w:space="0"/>
            </w:tcBorders>
            <w:shd w:val="clear" w:color="auto" w:fill="DEEAF6"/>
            <w:vAlign w:val="top"/>
          </w:tcPr>
          <w:p w14:paraId="2C4308ED">
            <w:pPr>
              <w:spacing w:line="264" w:lineRule="auto"/>
              <w:rPr>
                <w:rFonts w:ascii="Arial"/>
                <w:sz w:val="21"/>
              </w:rPr>
            </w:pPr>
          </w:p>
          <w:p w14:paraId="78BD85E8">
            <w:pPr>
              <w:spacing w:line="264" w:lineRule="auto"/>
              <w:rPr>
                <w:rFonts w:ascii="Arial"/>
                <w:sz w:val="21"/>
              </w:rPr>
            </w:pPr>
          </w:p>
          <w:p w14:paraId="5947843C">
            <w:pPr>
              <w:pStyle w:val="7"/>
              <w:spacing w:before="78" w:line="216" w:lineRule="auto"/>
              <w:ind w:left="2795"/>
            </w:pPr>
            <w:r>
              <w:rPr>
                <w:b/>
                <w:bCs/>
                <w:spacing w:val="-18"/>
              </w:rPr>
              <w:t>检查内容</w:t>
            </w:r>
          </w:p>
        </w:tc>
        <w:tc>
          <w:tcPr>
            <w:tcW w:w="1427" w:type="dxa"/>
            <w:tcBorders>
              <w:top w:val="single" w:color="5B9BD5" w:sz="4" w:space="0"/>
              <w:right w:val="single" w:color="5B9BD5" w:sz="4" w:space="0"/>
            </w:tcBorders>
            <w:shd w:val="clear" w:color="auto" w:fill="DEEAF6"/>
            <w:vAlign w:val="top"/>
          </w:tcPr>
          <w:p w14:paraId="62296131">
            <w:pPr>
              <w:pStyle w:val="7"/>
              <w:spacing w:before="143" w:line="216" w:lineRule="auto"/>
              <w:ind w:left="283"/>
            </w:pPr>
            <w:r>
              <w:rPr>
                <w:b/>
                <w:bCs/>
                <w:spacing w:val="-18"/>
              </w:rPr>
              <w:t>检查情况</w:t>
            </w:r>
          </w:p>
          <w:p w14:paraId="43E6EFBC">
            <w:pPr>
              <w:pStyle w:val="7"/>
              <w:spacing w:before="184" w:line="220" w:lineRule="auto"/>
              <w:ind w:left="284"/>
            </w:pPr>
            <w:r>
              <w:rPr>
                <w:b/>
                <w:bCs/>
                <w:spacing w:val="-19"/>
              </w:rPr>
              <w:t>及处理结</w:t>
            </w:r>
          </w:p>
          <w:p w14:paraId="5A4F7F05">
            <w:pPr>
              <w:pStyle w:val="7"/>
              <w:spacing w:before="182" w:line="218" w:lineRule="auto"/>
              <w:ind w:left="612"/>
            </w:pPr>
            <w:r>
              <w:rPr>
                <w:b/>
                <w:bCs/>
                <w:spacing w:val="-3"/>
              </w:rPr>
              <w:t>果</w:t>
            </w:r>
          </w:p>
        </w:tc>
      </w:tr>
      <w:tr w14:paraId="1E7C13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95" w:hRule="atLeast"/>
        </w:trPr>
        <w:tc>
          <w:tcPr>
            <w:tcW w:w="683" w:type="dxa"/>
            <w:gridSpan w:val="2"/>
            <w:tcBorders>
              <w:left w:val="single" w:color="000000" w:sz="4" w:space="0"/>
            </w:tcBorders>
            <w:vAlign w:val="top"/>
          </w:tcPr>
          <w:p w14:paraId="2581DB3F">
            <w:pPr>
              <w:spacing w:line="247" w:lineRule="auto"/>
              <w:rPr>
                <w:rFonts w:ascii="Arial"/>
                <w:sz w:val="21"/>
              </w:rPr>
            </w:pPr>
          </w:p>
          <w:p w14:paraId="4AECE778">
            <w:pPr>
              <w:spacing w:line="247" w:lineRule="auto"/>
              <w:rPr>
                <w:rFonts w:ascii="Arial"/>
                <w:sz w:val="21"/>
              </w:rPr>
            </w:pPr>
          </w:p>
          <w:p w14:paraId="0A2D6F7B">
            <w:pPr>
              <w:spacing w:line="247" w:lineRule="auto"/>
              <w:rPr>
                <w:rFonts w:ascii="Arial"/>
                <w:sz w:val="21"/>
              </w:rPr>
            </w:pPr>
          </w:p>
          <w:p w14:paraId="1A4D3248">
            <w:pPr>
              <w:pStyle w:val="7"/>
              <w:spacing w:before="78" w:line="238" w:lineRule="auto"/>
              <w:ind w:left="313"/>
            </w:pPr>
            <w:r>
              <w:t>1</w:t>
            </w:r>
          </w:p>
        </w:tc>
        <w:tc>
          <w:tcPr>
            <w:tcW w:w="820" w:type="dxa"/>
            <w:vMerge w:val="restart"/>
            <w:tcBorders>
              <w:bottom w:val="nil"/>
            </w:tcBorders>
            <w:vAlign w:val="top"/>
          </w:tcPr>
          <w:p w14:paraId="4CC22C0B">
            <w:pPr>
              <w:spacing w:line="266" w:lineRule="auto"/>
              <w:rPr>
                <w:rFonts w:ascii="Arial"/>
                <w:sz w:val="21"/>
              </w:rPr>
            </w:pPr>
          </w:p>
          <w:p w14:paraId="5D7F2444">
            <w:pPr>
              <w:spacing w:line="266" w:lineRule="auto"/>
              <w:rPr>
                <w:rFonts w:ascii="Arial"/>
                <w:sz w:val="21"/>
              </w:rPr>
            </w:pPr>
          </w:p>
          <w:p w14:paraId="7EE5D7FE">
            <w:pPr>
              <w:spacing w:line="266" w:lineRule="auto"/>
              <w:rPr>
                <w:rFonts w:ascii="Arial"/>
                <w:sz w:val="21"/>
              </w:rPr>
            </w:pPr>
          </w:p>
          <w:p w14:paraId="709AF230">
            <w:pPr>
              <w:spacing w:line="266" w:lineRule="auto"/>
              <w:rPr>
                <w:rFonts w:ascii="Arial"/>
                <w:sz w:val="21"/>
              </w:rPr>
            </w:pPr>
          </w:p>
          <w:p w14:paraId="1205D820">
            <w:pPr>
              <w:spacing w:line="266" w:lineRule="auto"/>
              <w:rPr>
                <w:rFonts w:ascii="Arial"/>
                <w:sz w:val="21"/>
              </w:rPr>
            </w:pPr>
          </w:p>
          <w:p w14:paraId="6E26B9AF">
            <w:pPr>
              <w:pStyle w:val="7"/>
              <w:spacing w:before="78" w:line="218" w:lineRule="auto"/>
              <w:ind w:left="212"/>
            </w:pPr>
            <w:r>
              <w:rPr>
                <w:spacing w:val="-14"/>
              </w:rPr>
              <w:t>防治</w:t>
            </w:r>
          </w:p>
          <w:p w14:paraId="31CDF90A">
            <w:pPr>
              <w:pStyle w:val="7"/>
              <w:spacing w:before="184" w:line="220" w:lineRule="auto"/>
              <w:ind w:left="197"/>
            </w:pPr>
            <w:r>
              <w:rPr>
                <w:spacing w:val="-10"/>
              </w:rPr>
              <w:t>扬尘</w:t>
            </w:r>
          </w:p>
          <w:p w14:paraId="346A9224">
            <w:pPr>
              <w:pStyle w:val="7"/>
              <w:spacing w:before="179" w:line="218" w:lineRule="auto"/>
              <w:ind w:left="201"/>
            </w:pPr>
            <w:r>
              <w:rPr>
                <w:spacing w:val="-11"/>
              </w:rPr>
              <w:t>污染</w:t>
            </w:r>
          </w:p>
        </w:tc>
        <w:tc>
          <w:tcPr>
            <w:tcW w:w="5624" w:type="dxa"/>
            <w:vAlign w:val="top"/>
          </w:tcPr>
          <w:p w14:paraId="65D06951">
            <w:pPr>
              <w:pStyle w:val="7"/>
              <w:spacing w:before="122" w:line="216" w:lineRule="auto"/>
              <w:ind w:left="99"/>
            </w:pPr>
            <w:r>
              <w:rPr>
                <w:spacing w:val="-21"/>
              </w:rPr>
              <w:t>清除建筑废弃物必须集装密闭，清扫场地必须湿法作业；</w:t>
            </w:r>
          </w:p>
          <w:p w14:paraId="4A8CE053">
            <w:pPr>
              <w:pStyle w:val="7"/>
              <w:spacing w:before="187" w:line="215" w:lineRule="auto"/>
              <w:ind w:left="96"/>
            </w:pPr>
            <w:r>
              <w:rPr>
                <w:spacing w:val="-21"/>
              </w:rPr>
              <w:t>建筑垃圾应及时清运，适当洒水，并在指定垃圾处理场处</w:t>
            </w:r>
          </w:p>
          <w:p w14:paraId="1E33D037">
            <w:pPr>
              <w:pStyle w:val="7"/>
              <w:spacing w:before="186" w:line="215" w:lineRule="auto"/>
              <w:ind w:left="751"/>
            </w:pPr>
            <w:r>
              <w:rPr>
                <w:spacing w:val="-21"/>
              </w:rPr>
              <w:t>理，未及时清运时，应在工地设置临时密闭</w:t>
            </w:r>
          </w:p>
          <w:p w14:paraId="58C42FB1">
            <w:pPr>
              <w:pStyle w:val="7"/>
              <w:spacing w:before="188" w:line="215" w:lineRule="auto"/>
              <w:ind w:left="1082"/>
            </w:pPr>
            <w:r>
              <w:rPr>
                <w:spacing w:val="-21"/>
              </w:rPr>
              <w:t>性垃圾堆放场地或垃圾站进场存放。</w:t>
            </w:r>
          </w:p>
        </w:tc>
        <w:tc>
          <w:tcPr>
            <w:tcW w:w="1427" w:type="dxa"/>
            <w:tcBorders>
              <w:right w:val="single" w:color="000000" w:sz="4" w:space="0"/>
            </w:tcBorders>
            <w:vAlign w:val="top"/>
          </w:tcPr>
          <w:p w14:paraId="2B32629E">
            <w:pPr>
              <w:rPr>
                <w:rFonts w:ascii="Arial"/>
                <w:sz w:val="21"/>
              </w:rPr>
            </w:pPr>
          </w:p>
        </w:tc>
      </w:tr>
      <w:tr w14:paraId="3F46F9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60" w:hRule="atLeast"/>
        </w:trPr>
        <w:tc>
          <w:tcPr>
            <w:tcW w:w="683" w:type="dxa"/>
            <w:gridSpan w:val="2"/>
            <w:tcBorders>
              <w:left w:val="single" w:color="000000" w:sz="4" w:space="0"/>
            </w:tcBorders>
            <w:vAlign w:val="top"/>
          </w:tcPr>
          <w:p w14:paraId="4B273FE5">
            <w:pPr>
              <w:spacing w:line="272" w:lineRule="auto"/>
              <w:rPr>
                <w:rFonts w:ascii="Arial"/>
                <w:sz w:val="21"/>
              </w:rPr>
            </w:pPr>
          </w:p>
          <w:p w14:paraId="5DE7FBE5">
            <w:pPr>
              <w:pStyle w:val="7"/>
              <w:spacing w:before="78" w:line="238" w:lineRule="auto"/>
              <w:ind w:left="298"/>
            </w:pPr>
            <w:r>
              <w:t>2</w:t>
            </w:r>
          </w:p>
        </w:tc>
        <w:tc>
          <w:tcPr>
            <w:tcW w:w="820" w:type="dxa"/>
            <w:vMerge w:val="continue"/>
            <w:tcBorders>
              <w:top w:val="nil"/>
              <w:bottom w:val="nil"/>
            </w:tcBorders>
            <w:vAlign w:val="top"/>
          </w:tcPr>
          <w:p w14:paraId="60234BB4">
            <w:pPr>
              <w:rPr>
                <w:rFonts w:ascii="Arial"/>
                <w:sz w:val="21"/>
              </w:rPr>
            </w:pPr>
          </w:p>
        </w:tc>
        <w:tc>
          <w:tcPr>
            <w:tcW w:w="5624" w:type="dxa"/>
            <w:vAlign w:val="top"/>
          </w:tcPr>
          <w:p w14:paraId="3C7C99F3">
            <w:pPr>
              <w:pStyle w:val="7"/>
              <w:spacing w:before="119" w:line="215" w:lineRule="auto"/>
              <w:ind w:left="98"/>
            </w:pPr>
            <w:r>
              <w:rPr>
                <w:spacing w:val="-21"/>
              </w:rPr>
              <w:t>运输沙石、水泥、垃圾等易产生扬尘污染的车辆，必须封</w:t>
            </w:r>
          </w:p>
          <w:p w14:paraId="7AF78479">
            <w:pPr>
              <w:pStyle w:val="7"/>
              <w:spacing w:before="186" w:line="217" w:lineRule="auto"/>
              <w:ind w:left="2081"/>
            </w:pPr>
            <w:r>
              <w:rPr>
                <w:spacing w:val="-22"/>
              </w:rPr>
              <w:t>闭，严禁撒漏。</w:t>
            </w:r>
          </w:p>
        </w:tc>
        <w:tc>
          <w:tcPr>
            <w:tcW w:w="1427" w:type="dxa"/>
            <w:tcBorders>
              <w:right w:val="single" w:color="000000" w:sz="4" w:space="0"/>
            </w:tcBorders>
            <w:vAlign w:val="top"/>
          </w:tcPr>
          <w:p w14:paraId="332D0B83">
            <w:pPr>
              <w:rPr>
                <w:rFonts w:ascii="Arial"/>
                <w:sz w:val="21"/>
              </w:rPr>
            </w:pPr>
          </w:p>
        </w:tc>
      </w:tr>
      <w:tr w14:paraId="7E287A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56" w:hRule="atLeast"/>
        </w:trPr>
        <w:tc>
          <w:tcPr>
            <w:tcW w:w="683" w:type="dxa"/>
            <w:gridSpan w:val="2"/>
            <w:tcBorders>
              <w:left w:val="single" w:color="000000" w:sz="4" w:space="0"/>
            </w:tcBorders>
            <w:vAlign w:val="top"/>
          </w:tcPr>
          <w:p w14:paraId="483CC060">
            <w:pPr>
              <w:spacing w:line="266" w:lineRule="auto"/>
              <w:rPr>
                <w:rFonts w:ascii="Arial"/>
                <w:sz w:val="21"/>
              </w:rPr>
            </w:pPr>
          </w:p>
          <w:p w14:paraId="51E07EA4">
            <w:pPr>
              <w:pStyle w:val="7"/>
              <w:spacing w:before="78" w:line="237" w:lineRule="auto"/>
              <w:ind w:left="300"/>
            </w:pPr>
            <w:r>
              <w:t>3</w:t>
            </w:r>
          </w:p>
        </w:tc>
        <w:tc>
          <w:tcPr>
            <w:tcW w:w="820" w:type="dxa"/>
            <w:vMerge w:val="continue"/>
            <w:tcBorders>
              <w:top w:val="nil"/>
            </w:tcBorders>
            <w:vAlign w:val="top"/>
          </w:tcPr>
          <w:p w14:paraId="41A569A5">
            <w:pPr>
              <w:rPr>
                <w:rFonts w:ascii="Arial"/>
                <w:sz w:val="21"/>
              </w:rPr>
            </w:pPr>
          </w:p>
        </w:tc>
        <w:tc>
          <w:tcPr>
            <w:tcW w:w="5624" w:type="dxa"/>
            <w:vAlign w:val="top"/>
          </w:tcPr>
          <w:p w14:paraId="782181FC">
            <w:pPr>
              <w:pStyle w:val="7"/>
              <w:spacing w:before="113" w:line="215" w:lineRule="auto"/>
              <w:ind w:left="95"/>
            </w:pPr>
            <w:r>
              <w:rPr>
                <w:spacing w:val="-21"/>
              </w:rPr>
              <w:t>水泥或其它易飞扬的细颗粒建筑材料应密闭存放，使用过</w:t>
            </w:r>
          </w:p>
          <w:p w14:paraId="6D8B9BDA">
            <w:pPr>
              <w:pStyle w:val="7"/>
              <w:spacing w:before="188" w:line="218" w:lineRule="auto"/>
              <w:ind w:left="1296"/>
            </w:pPr>
            <w:r>
              <w:rPr>
                <w:spacing w:val="-22"/>
              </w:rPr>
              <w:t>程中应采取有效措施防止扬尘。</w:t>
            </w:r>
          </w:p>
        </w:tc>
        <w:tc>
          <w:tcPr>
            <w:tcW w:w="1427" w:type="dxa"/>
            <w:tcBorders>
              <w:right w:val="single" w:color="000000" w:sz="4" w:space="0"/>
            </w:tcBorders>
            <w:vAlign w:val="top"/>
          </w:tcPr>
          <w:p w14:paraId="3D1A3B1D">
            <w:pPr>
              <w:rPr>
                <w:rFonts w:ascii="Arial"/>
                <w:sz w:val="21"/>
              </w:rPr>
            </w:pPr>
          </w:p>
        </w:tc>
      </w:tr>
      <w:tr w14:paraId="5152B3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59" w:hRule="atLeast"/>
        </w:trPr>
        <w:tc>
          <w:tcPr>
            <w:tcW w:w="683" w:type="dxa"/>
            <w:gridSpan w:val="2"/>
            <w:tcBorders>
              <w:left w:val="single" w:color="000000" w:sz="4" w:space="0"/>
            </w:tcBorders>
            <w:vAlign w:val="top"/>
          </w:tcPr>
          <w:p w14:paraId="0739BA4F">
            <w:pPr>
              <w:spacing w:line="266" w:lineRule="auto"/>
              <w:rPr>
                <w:rFonts w:ascii="Arial"/>
                <w:sz w:val="21"/>
              </w:rPr>
            </w:pPr>
          </w:p>
          <w:p w14:paraId="598FE9A9">
            <w:pPr>
              <w:pStyle w:val="7"/>
              <w:spacing w:before="78" w:line="238" w:lineRule="auto"/>
              <w:ind w:left="295"/>
            </w:pPr>
            <w:r>
              <w:t>4</w:t>
            </w:r>
          </w:p>
        </w:tc>
        <w:tc>
          <w:tcPr>
            <w:tcW w:w="820" w:type="dxa"/>
            <w:vMerge w:val="restart"/>
            <w:tcBorders>
              <w:bottom w:val="nil"/>
            </w:tcBorders>
            <w:vAlign w:val="top"/>
          </w:tcPr>
          <w:p w14:paraId="1F6A43A3">
            <w:pPr>
              <w:spacing w:line="404" w:lineRule="auto"/>
              <w:rPr>
                <w:rFonts w:ascii="Arial"/>
                <w:sz w:val="21"/>
              </w:rPr>
            </w:pPr>
          </w:p>
          <w:p w14:paraId="1A4E3727">
            <w:pPr>
              <w:pStyle w:val="7"/>
              <w:spacing w:before="78" w:line="219" w:lineRule="auto"/>
              <w:ind w:left="198"/>
            </w:pPr>
            <w:r>
              <w:rPr>
                <w:spacing w:val="-10"/>
              </w:rPr>
              <w:t>责任</w:t>
            </w:r>
          </w:p>
          <w:p w14:paraId="49145AC0">
            <w:pPr>
              <w:pStyle w:val="7"/>
              <w:spacing w:before="183" w:line="218" w:lineRule="auto"/>
              <w:ind w:left="207"/>
            </w:pPr>
            <w:r>
              <w:rPr>
                <w:spacing w:val="-14"/>
              </w:rPr>
              <w:t>落实</w:t>
            </w:r>
          </w:p>
          <w:p w14:paraId="7FBF7B71">
            <w:pPr>
              <w:pStyle w:val="7"/>
              <w:spacing w:before="182" w:line="218" w:lineRule="auto"/>
              <w:ind w:left="202"/>
            </w:pPr>
            <w:r>
              <w:rPr>
                <w:spacing w:val="-11"/>
              </w:rPr>
              <w:t>情况</w:t>
            </w:r>
          </w:p>
        </w:tc>
        <w:tc>
          <w:tcPr>
            <w:tcW w:w="5624" w:type="dxa"/>
            <w:vAlign w:val="top"/>
          </w:tcPr>
          <w:p w14:paraId="161A3D00">
            <w:pPr>
              <w:pStyle w:val="7"/>
              <w:spacing w:before="113" w:line="216" w:lineRule="auto"/>
              <w:ind w:left="95"/>
            </w:pPr>
            <w:r>
              <w:rPr>
                <w:spacing w:val="-22"/>
              </w:rPr>
              <w:t>施工现场应有扬尘整治管理目标，并分解落实到人。逐级</w:t>
            </w:r>
          </w:p>
          <w:p w14:paraId="5A166DCD">
            <w:pPr>
              <w:pStyle w:val="7"/>
              <w:spacing w:before="185" w:line="218" w:lineRule="auto"/>
              <w:ind w:left="1737"/>
            </w:pPr>
            <w:r>
              <w:rPr>
                <w:spacing w:val="-20"/>
              </w:rPr>
              <w:t>签订目标管理责任书。</w:t>
            </w:r>
          </w:p>
        </w:tc>
        <w:tc>
          <w:tcPr>
            <w:tcW w:w="1427" w:type="dxa"/>
            <w:tcBorders>
              <w:right w:val="single" w:color="000000" w:sz="4" w:space="0"/>
            </w:tcBorders>
            <w:vAlign w:val="top"/>
          </w:tcPr>
          <w:p w14:paraId="125EA349">
            <w:pPr>
              <w:rPr>
                <w:rFonts w:ascii="Arial"/>
                <w:sz w:val="21"/>
              </w:rPr>
            </w:pPr>
          </w:p>
        </w:tc>
      </w:tr>
      <w:tr w14:paraId="31061B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2" w:hRule="atLeast"/>
        </w:trPr>
        <w:tc>
          <w:tcPr>
            <w:tcW w:w="683" w:type="dxa"/>
            <w:gridSpan w:val="2"/>
            <w:tcBorders>
              <w:left w:val="single" w:color="000000" w:sz="4" w:space="0"/>
            </w:tcBorders>
            <w:vAlign w:val="top"/>
          </w:tcPr>
          <w:p w14:paraId="2D6CA644">
            <w:pPr>
              <w:pStyle w:val="7"/>
              <w:spacing w:before="109" w:line="237" w:lineRule="auto"/>
              <w:ind w:left="300"/>
            </w:pPr>
            <w:r>
              <w:t>5</w:t>
            </w:r>
          </w:p>
        </w:tc>
        <w:tc>
          <w:tcPr>
            <w:tcW w:w="820" w:type="dxa"/>
            <w:vMerge w:val="continue"/>
            <w:tcBorders>
              <w:top w:val="nil"/>
              <w:bottom w:val="nil"/>
            </w:tcBorders>
            <w:vAlign w:val="top"/>
          </w:tcPr>
          <w:p w14:paraId="4ED29B69">
            <w:pPr>
              <w:rPr>
                <w:rFonts w:ascii="Arial"/>
                <w:sz w:val="21"/>
              </w:rPr>
            </w:pPr>
          </w:p>
        </w:tc>
        <w:tc>
          <w:tcPr>
            <w:tcW w:w="5624" w:type="dxa"/>
            <w:vAlign w:val="top"/>
          </w:tcPr>
          <w:p w14:paraId="6A9C738C">
            <w:pPr>
              <w:pStyle w:val="7"/>
              <w:spacing w:before="110" w:line="218" w:lineRule="auto"/>
              <w:ind w:left="1187"/>
            </w:pPr>
            <w:r>
              <w:rPr>
                <w:spacing w:val="-21"/>
              </w:rPr>
              <w:t>组织机构、人员、经费落实情况。</w:t>
            </w:r>
          </w:p>
        </w:tc>
        <w:tc>
          <w:tcPr>
            <w:tcW w:w="1427" w:type="dxa"/>
            <w:tcBorders>
              <w:right w:val="single" w:color="000000" w:sz="4" w:space="0"/>
            </w:tcBorders>
            <w:vAlign w:val="top"/>
          </w:tcPr>
          <w:p w14:paraId="2037E10D">
            <w:pPr>
              <w:rPr>
                <w:rFonts w:ascii="Arial"/>
                <w:sz w:val="21"/>
              </w:rPr>
            </w:pPr>
          </w:p>
        </w:tc>
      </w:tr>
      <w:tr w14:paraId="04EFF0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7" w:hRule="atLeast"/>
        </w:trPr>
        <w:tc>
          <w:tcPr>
            <w:tcW w:w="175" w:type="dxa"/>
            <w:tcBorders>
              <w:left w:val="single" w:color="1C456A" w:sz="4" w:space="0"/>
              <w:bottom w:val="single" w:color="1C456A" w:sz="4" w:space="0"/>
              <w:right w:val="nil"/>
            </w:tcBorders>
            <w:vAlign w:val="top"/>
          </w:tcPr>
          <w:p w14:paraId="05278AAD">
            <w:pPr>
              <w:rPr>
                <w:rFonts w:ascii="Arial"/>
                <w:sz w:val="21"/>
              </w:rPr>
            </w:pPr>
            <w:r>
              <w:pict>
                <v:shape id="_x0000_s3486" o:spid="_x0000_s3486" style="position:absolute;left:0pt;margin-left:-0.25pt;margin-top:32.9pt;height:0.75pt;width:2.2pt;mso-position-horizontal-relative:page;mso-position-vertical-relative:page;z-index:252093440;mso-width-relative:page;mso-height-relative:page;" fillcolor="#5B9BD5" filled="t" stroked="f" coordsize="44,15" path="m0,14l43,14,43,0,0,0,0,14xe">
                  <v:path/>
                  <v:fill on="t" focussize="0,0"/>
                  <v:stroke on="f"/>
                  <v:imagedata o:title=""/>
                  <o:lock v:ext="edit"/>
                </v:shape>
              </w:pict>
            </w:r>
          </w:p>
        </w:tc>
        <w:tc>
          <w:tcPr>
            <w:tcW w:w="508" w:type="dxa"/>
            <w:tcBorders>
              <w:left w:val="nil"/>
              <w:bottom w:val="single" w:color="1C456A" w:sz="4" w:space="0"/>
            </w:tcBorders>
            <w:vAlign w:val="top"/>
          </w:tcPr>
          <w:p w14:paraId="35AB9672">
            <w:pPr>
              <w:pStyle w:val="7"/>
              <w:spacing w:before="120" w:line="237" w:lineRule="auto"/>
              <w:ind w:left="127"/>
            </w:pPr>
            <w:r>
              <w:t>6</w:t>
            </w:r>
          </w:p>
        </w:tc>
        <w:tc>
          <w:tcPr>
            <w:tcW w:w="820" w:type="dxa"/>
            <w:vMerge w:val="continue"/>
            <w:tcBorders>
              <w:top w:val="nil"/>
              <w:bottom w:val="single" w:color="000000" w:sz="4" w:space="0"/>
            </w:tcBorders>
            <w:vAlign w:val="top"/>
          </w:tcPr>
          <w:p w14:paraId="2A99E7E8">
            <w:pPr>
              <w:rPr>
                <w:rFonts w:ascii="Arial"/>
                <w:sz w:val="21"/>
              </w:rPr>
            </w:pPr>
          </w:p>
        </w:tc>
        <w:tc>
          <w:tcPr>
            <w:tcW w:w="5624" w:type="dxa"/>
            <w:tcBorders>
              <w:bottom w:val="single" w:color="000000" w:sz="4" w:space="0"/>
            </w:tcBorders>
            <w:vAlign w:val="top"/>
          </w:tcPr>
          <w:p w14:paraId="43467D39">
            <w:pPr>
              <w:pStyle w:val="7"/>
              <w:spacing w:before="120" w:line="216" w:lineRule="auto"/>
              <w:ind w:left="422"/>
            </w:pPr>
            <w:r>
              <w:rPr>
                <w:spacing w:val="-21"/>
              </w:rPr>
              <w:t>施工现场应有扬尘整治挡案资料和定期检查记录。</w:t>
            </w:r>
          </w:p>
        </w:tc>
        <w:tc>
          <w:tcPr>
            <w:tcW w:w="1427" w:type="dxa"/>
            <w:tcBorders>
              <w:bottom w:val="single" w:color="5B9BD5" w:sz="4" w:space="0"/>
              <w:right w:val="single" w:color="5B9BD5" w:sz="4" w:space="0"/>
            </w:tcBorders>
            <w:vAlign w:val="top"/>
          </w:tcPr>
          <w:p w14:paraId="6A792551">
            <w:pPr>
              <w:rPr>
                <w:rFonts w:ascii="Arial"/>
                <w:sz w:val="21"/>
              </w:rPr>
            </w:pPr>
            <w:r>
              <w:pict>
                <v:shape id="_x0000_s3487" o:spid="_x0000_s3487" style="position:absolute;left:0pt;margin-left:69.5pt;margin-top:32.9pt;height:0.75pt;width:2.2pt;mso-position-horizontal-relative:page;mso-position-vertical-relative:page;z-index:252094464;mso-width-relative:page;mso-height-relative:page;" fillcolor="#5B9BD5" filled="t" stroked="f" coordsize="44,15" path="m0,14l43,14,43,0,0,0,0,14xe">
                  <v:path/>
                  <v:fill on="t" focussize="0,0"/>
                  <v:stroke on="f"/>
                  <v:imagedata o:title=""/>
                  <o:lock v:ext="edit"/>
                </v:shape>
              </w:pict>
            </w:r>
          </w:p>
        </w:tc>
      </w:tr>
    </w:tbl>
    <w:p w14:paraId="3F4E1256">
      <w:pPr>
        <w:pStyle w:val="2"/>
        <w:spacing w:before="77" w:line="219" w:lineRule="auto"/>
        <w:ind w:left="1985"/>
        <w:outlineLvl w:val="2"/>
        <w:rPr>
          <w:sz w:val="28"/>
          <w:szCs w:val="28"/>
        </w:rPr>
      </w:pPr>
      <w:bookmarkStart w:id="124" w:name="bookmark119"/>
      <w:bookmarkEnd w:id="124"/>
      <w:r>
        <w:rPr>
          <w:b/>
          <w:bCs/>
          <w:spacing w:val="-22"/>
          <w:sz w:val="28"/>
          <w:szCs w:val="28"/>
        </w:rPr>
        <w:t>三、扬尘治理措施</w:t>
      </w:r>
    </w:p>
    <w:p w14:paraId="78514B13">
      <w:pPr>
        <w:pStyle w:val="2"/>
        <w:spacing w:before="104" w:line="217" w:lineRule="auto"/>
        <w:ind w:left="1903"/>
        <w:rPr>
          <w:sz w:val="24"/>
          <w:szCs w:val="24"/>
        </w:rPr>
      </w:pPr>
      <w:r>
        <w:rPr>
          <w:spacing w:val="-21"/>
          <w:sz w:val="24"/>
          <w:szCs w:val="24"/>
        </w:rPr>
        <w:t>1、扬尘治理相关要求及与政府部门的对接</w:t>
      </w:r>
    </w:p>
    <w:p w14:paraId="577F03EE">
      <w:pPr>
        <w:pStyle w:val="2"/>
        <w:spacing w:before="117" w:line="217" w:lineRule="auto"/>
        <w:ind w:left="1927"/>
        <w:rPr>
          <w:sz w:val="24"/>
          <w:szCs w:val="24"/>
        </w:rPr>
      </w:pPr>
      <w:r>
        <w:pict>
          <v:shape id="_x0000_s3488" o:spid="_x0000_s3488" style="position:absolute;left:0pt;margin-left:326.2pt;margin-top:41.5pt;height:0.75pt;width:2.2pt;z-index:252088320;mso-width-relative:page;mso-height-relative:page;" fillcolor="#1C456A" filled="t" stroked="f" coordsize="44,15" path="m0,14l43,14,43,0,0,0,0,14xe">
            <v:path/>
            <v:fill on="t" focussize="0,0"/>
            <v:stroke on="f"/>
            <v:imagedata o:title=""/>
            <o:lock v:ext="edit"/>
          </v:shape>
        </w:pict>
      </w:r>
      <w:r>
        <w:rPr>
          <w:spacing w:val="-21"/>
          <w:sz w:val="24"/>
          <w:szCs w:val="24"/>
        </w:rPr>
        <w:t>(1)根据防治扬尘污染的相关要求，建筑工程扬</w:t>
      </w:r>
      <w:r>
        <w:rPr>
          <w:spacing w:val="-22"/>
          <w:sz w:val="24"/>
          <w:szCs w:val="24"/>
        </w:rPr>
        <w:t>尘治理的重点内容如下：</w:t>
      </w:r>
    </w:p>
    <w:p w14:paraId="5C10BED7">
      <w:pPr>
        <w:spacing w:before="161"/>
      </w:pPr>
    </w:p>
    <w:tbl>
      <w:tblPr>
        <w:tblStyle w:val="6"/>
        <w:tblW w:w="8367" w:type="dxa"/>
        <w:tblInd w:w="1769"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92"/>
        <w:gridCol w:w="559"/>
        <w:gridCol w:w="3328"/>
        <w:gridCol w:w="683"/>
        <w:gridCol w:w="688"/>
        <w:gridCol w:w="2850"/>
        <w:gridCol w:w="67"/>
      </w:tblGrid>
      <w:tr w14:paraId="4EACD0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0" w:hRule="atLeast"/>
        </w:trPr>
        <w:tc>
          <w:tcPr>
            <w:tcW w:w="751" w:type="dxa"/>
            <w:gridSpan w:val="2"/>
            <w:tcBorders>
              <w:top w:val="single" w:color="000000" w:sz="4" w:space="0"/>
              <w:left w:val="single" w:color="000000" w:sz="4" w:space="0"/>
            </w:tcBorders>
            <w:shd w:val="clear" w:color="auto" w:fill="DEEAF6"/>
            <w:vAlign w:val="top"/>
          </w:tcPr>
          <w:p w14:paraId="22C56E2D">
            <w:pPr>
              <w:spacing w:before="33" w:line="60" w:lineRule="exact"/>
              <w:ind w:firstLine="33"/>
            </w:pPr>
            <w:r>
              <w:pict>
                <v:shape id="_x0000_s3489" o:spid="_x0000_s3489" style="position:absolute;left:0pt;margin-left:-0.2pt;margin-top:0pt;height:0.75pt;width:2.2pt;mso-position-horizontal-relative:page;mso-position-vertical-relative:page;z-index:252090368;mso-width-relative:page;mso-height-relative:page;" fillcolor="#5B9BD5" filled="t" stroked="f" coordsize="44,15" path="m0,14l43,14,43,0,0,0,0,14xe">
                  <v:path/>
                  <v:fill on="t" focussize="0,0"/>
                  <v:stroke on="f"/>
                  <v:imagedata o:title=""/>
                  <o:lock v:ext="edit"/>
                </v:shape>
              </w:pict>
            </w:r>
            <w:r>
              <w:rPr>
                <w:position w:val="-1"/>
              </w:rPr>
              <w:pict>
                <v:shape id="_x0000_s3490" o:spid="_x0000_s3490" style="height:3pt;width:35.05pt;" fillcolor="#DEEAF6" filled="t" stroked="f" coordsize="700,60" path="m0,60l700,60,700,0,0,0,0,60xe">
                  <v:path/>
                  <v:fill on="t" focussize="0,0"/>
                  <v:stroke on="f"/>
                  <v:imagedata o:title=""/>
                  <o:lock v:ext="edit"/>
                  <w10:wrap type="none"/>
                  <w10:anchorlock/>
                </v:shape>
              </w:pict>
            </w:r>
          </w:p>
          <w:p w14:paraId="38B11C56">
            <w:pPr>
              <w:pStyle w:val="7"/>
              <w:spacing w:before="50" w:line="218" w:lineRule="auto"/>
              <w:ind w:left="171"/>
            </w:pPr>
            <w:r>
              <w:rPr>
                <w:b/>
                <w:bCs/>
                <w:spacing w:val="-11"/>
              </w:rPr>
              <w:t>序号</w:t>
            </w:r>
          </w:p>
        </w:tc>
        <w:tc>
          <w:tcPr>
            <w:tcW w:w="3328" w:type="dxa"/>
            <w:tcBorders>
              <w:top w:val="single" w:color="000000" w:sz="4" w:space="0"/>
            </w:tcBorders>
            <w:shd w:val="clear" w:color="auto" w:fill="DEEAF6"/>
            <w:vAlign w:val="top"/>
          </w:tcPr>
          <w:p w14:paraId="7D2EB2DA">
            <w:pPr>
              <w:spacing w:line="33" w:lineRule="exact"/>
              <w:ind w:firstLine="3317"/>
            </w:pPr>
            <w:r>
              <w:pict>
                <v:group id="_x0000_s3491" o:spid="_x0000_s3491" o:spt="203" style="height:2.2pt;width:2.2pt;" coordsize="44,44">
                  <o:lock v:ext="edit"/>
                  <v:shape id="_x0000_s3492" o:spid="_x0000_s3492" style="position:absolute;left:0;top:0;height:15;width:44;" fillcolor="#5B9BD5" filled="t" stroked="f" coordsize="44,15" path="m0,14l43,14,43,0,0,0,0,14xe">
                    <v:path/>
                    <v:fill on="t" focussize="0,0"/>
                    <v:stroke on="f"/>
                    <v:imagedata o:title=""/>
                    <o:lock v:ext="edit"/>
                  </v:shape>
                  <v:shape id="_x0000_s3493" o:spid="_x0000_s3493" style="position:absolute;left:0;top:14;height:15;width:44;" fillcolor="#20507B" filled="t" stroked="f" coordsize="44,15" path="m0,14l43,14,43,0,0,0,0,14xe">
                    <v:path/>
                    <v:fill on="t" focussize="0,0"/>
                    <v:stroke on="f"/>
                    <v:imagedata o:title=""/>
                    <o:lock v:ext="edit"/>
                  </v:shape>
                  <v:shape id="_x0000_s3494" o:spid="_x0000_s3494" style="position:absolute;left:0;top:28;height:15;width:44;" fillcolor="#1C456A" filled="t" stroked="f" coordsize="44,15" path="m0,14l43,14,43,0,0,0,0,14xe">
                    <v:path/>
                    <v:fill on="t" focussize="0,0"/>
                    <v:stroke on="f"/>
                    <v:imagedata o:title=""/>
                    <o:lock v:ext="edit"/>
                  </v:shape>
                  <w10:wrap type="none"/>
                  <w10:anchorlock/>
                </v:group>
              </w:pict>
            </w:r>
          </w:p>
          <w:p w14:paraId="587C7076">
            <w:pPr>
              <w:pStyle w:val="7"/>
              <w:spacing w:before="110" w:line="218" w:lineRule="auto"/>
              <w:ind w:left="1240"/>
            </w:pPr>
            <w:r>
              <w:rPr>
                <w:b/>
                <w:bCs/>
                <w:spacing w:val="-20"/>
              </w:rPr>
              <w:t>重点内容</w:t>
            </w:r>
          </w:p>
        </w:tc>
        <w:tc>
          <w:tcPr>
            <w:tcW w:w="683" w:type="dxa"/>
            <w:tcBorders>
              <w:top w:val="single" w:color="000000" w:sz="4" w:space="0"/>
            </w:tcBorders>
            <w:shd w:val="clear" w:color="auto" w:fill="DEEAF6"/>
            <w:vAlign w:val="top"/>
          </w:tcPr>
          <w:p w14:paraId="61869D3A">
            <w:pPr>
              <w:pStyle w:val="7"/>
              <w:spacing w:before="143" w:line="218" w:lineRule="auto"/>
              <w:ind w:left="134"/>
            </w:pPr>
            <w:r>
              <w:rPr>
                <w:b/>
                <w:bCs/>
                <w:spacing w:val="-11"/>
              </w:rPr>
              <w:t>序号</w:t>
            </w:r>
          </w:p>
        </w:tc>
        <w:tc>
          <w:tcPr>
            <w:tcW w:w="688" w:type="dxa"/>
            <w:tcBorders>
              <w:top w:val="single" w:color="5B9BD5" w:sz="4" w:space="0"/>
              <w:right w:val="nil"/>
            </w:tcBorders>
            <w:shd w:val="clear" w:color="auto" w:fill="DEEAF6"/>
            <w:vAlign w:val="top"/>
          </w:tcPr>
          <w:p w14:paraId="1B5FCAB9">
            <w:pPr>
              <w:spacing w:line="18" w:lineRule="exact"/>
            </w:pPr>
            <w:r>
              <w:pict>
                <v:group id="_x0000_s3495" o:spid="_x0000_s3495" o:spt="203" style="height:1.45pt;width:2.2pt;" coordsize="44,29">
                  <o:lock v:ext="edit"/>
                  <v:shape id="_x0000_s3496" o:spid="_x0000_s3496" style="position:absolute;left:0;top:0;height:15;width:44;" fillcolor="#5B9BD5" filled="t" stroked="f" coordsize="44,15" path="m0,14l43,14,43,0,0,0,0,14xe">
                    <v:path/>
                    <v:fill on="t" focussize="0,0"/>
                    <v:stroke on="f"/>
                    <v:imagedata o:title=""/>
                    <o:lock v:ext="edit"/>
                  </v:shape>
                  <v:shape id="_x0000_s3497" o:spid="_x0000_s3497" style="position:absolute;left:0;top:14;height:15;width:44;" fillcolor="#20507B" filled="t" stroked="f" coordsize="44,15" path="m0,14l43,14,43,0,0,0,0,14xe">
                    <v:path/>
                    <v:fill on="t" focussize="0,0"/>
                    <v:stroke on="f"/>
                    <v:imagedata o:title=""/>
                    <o:lock v:ext="edit"/>
                  </v:shape>
                  <w10:wrap type="none"/>
                  <w10:anchorlock/>
                </v:group>
              </w:pict>
            </w:r>
          </w:p>
        </w:tc>
        <w:tc>
          <w:tcPr>
            <w:tcW w:w="2850" w:type="dxa"/>
            <w:tcBorders>
              <w:top w:val="single" w:color="5B9BD5" w:sz="4" w:space="0"/>
              <w:left w:val="nil"/>
              <w:right w:val="nil"/>
            </w:tcBorders>
            <w:shd w:val="clear" w:color="auto" w:fill="DEEAF6"/>
            <w:vAlign w:val="top"/>
          </w:tcPr>
          <w:p w14:paraId="46E38D31">
            <w:pPr>
              <w:pStyle w:val="7"/>
              <w:spacing w:before="143" w:line="218" w:lineRule="auto"/>
              <w:ind w:left="691"/>
            </w:pPr>
            <w:r>
              <w:rPr>
                <w:b/>
                <w:bCs/>
                <w:spacing w:val="-20"/>
              </w:rPr>
              <w:t>重点内容</w:t>
            </w:r>
          </w:p>
        </w:tc>
        <w:tc>
          <w:tcPr>
            <w:tcW w:w="67" w:type="dxa"/>
            <w:tcBorders>
              <w:top w:val="single" w:color="5B9BD5" w:sz="4" w:space="0"/>
              <w:left w:val="nil"/>
              <w:right w:val="single" w:color="5B9BD5" w:sz="4" w:space="0"/>
            </w:tcBorders>
            <w:vAlign w:val="top"/>
          </w:tcPr>
          <w:p w14:paraId="52C7F6C2">
            <w:pPr>
              <w:rPr>
                <w:rFonts w:ascii="Arial"/>
                <w:sz w:val="21"/>
              </w:rPr>
            </w:pPr>
            <w:r>
              <w:pict>
                <v:shape id="_x0000_s3498" o:spid="_x0000_s3498" style="position:absolute;left:0pt;margin-left:1.5pt;margin-top:0pt;height:0.75pt;width:2.2pt;mso-position-horizontal-relative:page;mso-position-vertical-relative:page;z-index:252089344;mso-width-relative:page;mso-height-relative:page;" fillcolor="#5B9BD5" filled="t" stroked="f" coordsize="44,15" path="m0,14l43,14,43,0,0,0,0,14xe">
                  <v:path/>
                  <v:fill on="t" focussize="0,0"/>
                  <v:stroke on="f"/>
                  <v:imagedata o:title=""/>
                  <o:lock v:ext="edit"/>
                </v:shape>
              </w:pict>
            </w:r>
          </w:p>
        </w:tc>
      </w:tr>
      <w:tr w14:paraId="4400AA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3" w:hRule="atLeast"/>
        </w:trPr>
        <w:tc>
          <w:tcPr>
            <w:tcW w:w="751" w:type="dxa"/>
            <w:gridSpan w:val="2"/>
            <w:tcBorders>
              <w:left w:val="single" w:color="000000" w:sz="4" w:space="0"/>
            </w:tcBorders>
            <w:vAlign w:val="top"/>
          </w:tcPr>
          <w:p w14:paraId="49245961">
            <w:pPr>
              <w:pStyle w:val="7"/>
              <w:spacing w:before="126" w:line="238" w:lineRule="auto"/>
              <w:ind w:left="347"/>
            </w:pPr>
            <w:r>
              <w:t>1</w:t>
            </w:r>
          </w:p>
        </w:tc>
        <w:tc>
          <w:tcPr>
            <w:tcW w:w="3328" w:type="dxa"/>
            <w:vAlign w:val="top"/>
          </w:tcPr>
          <w:p w14:paraId="65CFFAD6">
            <w:pPr>
              <w:pStyle w:val="7"/>
              <w:spacing w:before="126" w:line="218" w:lineRule="auto"/>
              <w:ind w:left="1021"/>
            </w:pPr>
            <w:r>
              <w:rPr>
                <w:spacing w:val="-19"/>
              </w:rPr>
              <w:t>要有围挡围网</w:t>
            </w:r>
          </w:p>
        </w:tc>
        <w:tc>
          <w:tcPr>
            <w:tcW w:w="683" w:type="dxa"/>
            <w:vAlign w:val="top"/>
          </w:tcPr>
          <w:p w14:paraId="1EF98AF8">
            <w:pPr>
              <w:pStyle w:val="7"/>
              <w:spacing w:before="125" w:line="237" w:lineRule="auto"/>
              <w:ind w:left="296"/>
            </w:pPr>
            <w:r>
              <w:t>7</w:t>
            </w:r>
          </w:p>
        </w:tc>
        <w:tc>
          <w:tcPr>
            <w:tcW w:w="3605" w:type="dxa"/>
            <w:gridSpan w:val="3"/>
            <w:tcBorders>
              <w:right w:val="single" w:color="000000" w:sz="4" w:space="0"/>
            </w:tcBorders>
            <w:vAlign w:val="top"/>
          </w:tcPr>
          <w:p w14:paraId="2E8B1F1E">
            <w:pPr>
              <w:pStyle w:val="7"/>
              <w:spacing w:before="126" w:line="218" w:lineRule="auto"/>
              <w:ind w:left="1158"/>
            </w:pPr>
            <w:r>
              <w:rPr>
                <w:spacing w:val="-19"/>
              </w:rPr>
              <w:t>要有方案预案</w:t>
            </w:r>
          </w:p>
        </w:tc>
      </w:tr>
      <w:tr w14:paraId="0AB77C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4" w:hRule="atLeast"/>
        </w:trPr>
        <w:tc>
          <w:tcPr>
            <w:tcW w:w="751" w:type="dxa"/>
            <w:gridSpan w:val="2"/>
            <w:tcBorders>
              <w:left w:val="single" w:color="000000" w:sz="4" w:space="0"/>
            </w:tcBorders>
            <w:vAlign w:val="top"/>
          </w:tcPr>
          <w:p w14:paraId="79D24539">
            <w:pPr>
              <w:pStyle w:val="7"/>
              <w:spacing w:before="123" w:line="238" w:lineRule="auto"/>
              <w:ind w:left="332"/>
            </w:pPr>
            <w:r>
              <w:t>2</w:t>
            </w:r>
          </w:p>
        </w:tc>
        <w:tc>
          <w:tcPr>
            <w:tcW w:w="3328" w:type="dxa"/>
            <w:vAlign w:val="top"/>
          </w:tcPr>
          <w:p w14:paraId="6CC96670">
            <w:pPr>
              <w:pStyle w:val="7"/>
              <w:spacing w:before="123" w:line="218" w:lineRule="auto"/>
              <w:ind w:left="1021"/>
            </w:pPr>
            <w:r>
              <w:rPr>
                <w:spacing w:val="-19"/>
              </w:rPr>
              <w:t>要有冲洗设施</w:t>
            </w:r>
          </w:p>
        </w:tc>
        <w:tc>
          <w:tcPr>
            <w:tcW w:w="683" w:type="dxa"/>
            <w:vAlign w:val="top"/>
          </w:tcPr>
          <w:p w14:paraId="44B37763">
            <w:pPr>
              <w:pStyle w:val="7"/>
              <w:spacing w:before="123" w:line="237" w:lineRule="auto"/>
              <w:ind w:left="291"/>
            </w:pPr>
            <w:r>
              <w:t>8</w:t>
            </w:r>
          </w:p>
        </w:tc>
        <w:tc>
          <w:tcPr>
            <w:tcW w:w="3605" w:type="dxa"/>
            <w:gridSpan w:val="3"/>
            <w:tcBorders>
              <w:right w:val="single" w:color="000000" w:sz="4" w:space="0"/>
            </w:tcBorders>
            <w:vAlign w:val="top"/>
          </w:tcPr>
          <w:p w14:paraId="677075E2">
            <w:pPr>
              <w:pStyle w:val="7"/>
              <w:spacing w:before="123" w:line="218" w:lineRule="auto"/>
              <w:ind w:left="1158"/>
            </w:pPr>
            <w:r>
              <w:rPr>
                <w:spacing w:val="-19"/>
              </w:rPr>
              <w:t>要有教育交底</w:t>
            </w:r>
          </w:p>
        </w:tc>
      </w:tr>
      <w:tr w14:paraId="1DBA79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3" w:hRule="atLeast"/>
        </w:trPr>
        <w:tc>
          <w:tcPr>
            <w:tcW w:w="751" w:type="dxa"/>
            <w:gridSpan w:val="2"/>
            <w:tcBorders>
              <w:left w:val="single" w:color="000000" w:sz="4" w:space="0"/>
            </w:tcBorders>
            <w:vAlign w:val="top"/>
          </w:tcPr>
          <w:p w14:paraId="10DD3668">
            <w:pPr>
              <w:pStyle w:val="7"/>
              <w:spacing w:before="119" w:line="237" w:lineRule="auto"/>
              <w:ind w:left="334"/>
            </w:pPr>
            <w:r>
              <w:t>3</w:t>
            </w:r>
          </w:p>
        </w:tc>
        <w:tc>
          <w:tcPr>
            <w:tcW w:w="3328" w:type="dxa"/>
            <w:vAlign w:val="top"/>
          </w:tcPr>
          <w:p w14:paraId="45ADB6CD">
            <w:pPr>
              <w:pStyle w:val="7"/>
              <w:spacing w:before="120" w:line="218" w:lineRule="auto"/>
              <w:ind w:left="1021"/>
            </w:pPr>
            <w:r>
              <w:rPr>
                <w:spacing w:val="-19"/>
              </w:rPr>
              <w:t>要有硬化绿化</w:t>
            </w:r>
          </w:p>
        </w:tc>
        <w:tc>
          <w:tcPr>
            <w:tcW w:w="683" w:type="dxa"/>
            <w:vAlign w:val="top"/>
          </w:tcPr>
          <w:p w14:paraId="16C14E22">
            <w:pPr>
              <w:pStyle w:val="7"/>
              <w:spacing w:before="119" w:line="237" w:lineRule="auto"/>
              <w:ind w:left="291"/>
            </w:pPr>
            <w:r>
              <w:t>9</w:t>
            </w:r>
          </w:p>
        </w:tc>
        <w:tc>
          <w:tcPr>
            <w:tcW w:w="3605" w:type="dxa"/>
            <w:gridSpan w:val="3"/>
            <w:tcBorders>
              <w:right w:val="single" w:color="000000" w:sz="4" w:space="0"/>
            </w:tcBorders>
            <w:vAlign w:val="top"/>
          </w:tcPr>
          <w:p w14:paraId="5FCC8FB9">
            <w:pPr>
              <w:pStyle w:val="7"/>
              <w:spacing w:before="120" w:line="218" w:lineRule="auto"/>
              <w:ind w:left="1158"/>
            </w:pPr>
            <w:r>
              <w:rPr>
                <w:spacing w:val="-19"/>
              </w:rPr>
              <w:t>要有措施费用</w:t>
            </w:r>
          </w:p>
        </w:tc>
      </w:tr>
      <w:tr w14:paraId="5D6F5B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3" w:hRule="atLeast"/>
        </w:trPr>
        <w:tc>
          <w:tcPr>
            <w:tcW w:w="751" w:type="dxa"/>
            <w:gridSpan w:val="2"/>
            <w:tcBorders>
              <w:left w:val="single" w:color="000000" w:sz="4" w:space="0"/>
            </w:tcBorders>
            <w:vAlign w:val="top"/>
          </w:tcPr>
          <w:p w14:paraId="7FDE4612">
            <w:pPr>
              <w:pStyle w:val="7"/>
              <w:spacing w:before="117" w:line="238" w:lineRule="auto"/>
              <w:ind w:left="328"/>
            </w:pPr>
            <w:r>
              <w:t>4</w:t>
            </w:r>
          </w:p>
        </w:tc>
        <w:tc>
          <w:tcPr>
            <w:tcW w:w="3328" w:type="dxa"/>
            <w:vAlign w:val="top"/>
          </w:tcPr>
          <w:p w14:paraId="71AA8445">
            <w:pPr>
              <w:pStyle w:val="7"/>
              <w:spacing w:before="117" w:line="217" w:lineRule="auto"/>
              <w:ind w:left="1021"/>
            </w:pPr>
            <w:r>
              <w:rPr>
                <w:spacing w:val="-19"/>
              </w:rPr>
              <w:t>要有封闭遮盖</w:t>
            </w:r>
          </w:p>
        </w:tc>
        <w:tc>
          <w:tcPr>
            <w:tcW w:w="683" w:type="dxa"/>
            <w:vAlign w:val="top"/>
          </w:tcPr>
          <w:p w14:paraId="60B3A705">
            <w:pPr>
              <w:pStyle w:val="7"/>
              <w:spacing w:before="117" w:line="237" w:lineRule="auto"/>
              <w:ind w:left="252"/>
            </w:pPr>
            <w:r>
              <w:rPr>
                <w:spacing w:val="-14"/>
              </w:rPr>
              <w:t>10</w:t>
            </w:r>
          </w:p>
        </w:tc>
        <w:tc>
          <w:tcPr>
            <w:tcW w:w="3605" w:type="dxa"/>
            <w:gridSpan w:val="3"/>
            <w:tcBorders>
              <w:right w:val="single" w:color="000000" w:sz="4" w:space="0"/>
            </w:tcBorders>
            <w:vAlign w:val="top"/>
          </w:tcPr>
          <w:p w14:paraId="075964ED">
            <w:pPr>
              <w:pStyle w:val="7"/>
              <w:spacing w:before="117" w:line="216" w:lineRule="auto"/>
              <w:ind w:left="1158"/>
            </w:pPr>
            <w:r>
              <w:rPr>
                <w:spacing w:val="-19"/>
              </w:rPr>
              <w:t>要有检查考核</w:t>
            </w:r>
          </w:p>
        </w:tc>
      </w:tr>
      <w:tr w14:paraId="0A94C6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4" w:hRule="atLeast"/>
        </w:trPr>
        <w:tc>
          <w:tcPr>
            <w:tcW w:w="751" w:type="dxa"/>
            <w:gridSpan w:val="2"/>
            <w:tcBorders>
              <w:left w:val="single" w:color="000000" w:sz="4" w:space="0"/>
            </w:tcBorders>
            <w:vAlign w:val="top"/>
          </w:tcPr>
          <w:p w14:paraId="55690AA1">
            <w:pPr>
              <w:pStyle w:val="7"/>
              <w:spacing w:before="114" w:line="237" w:lineRule="auto"/>
              <w:ind w:left="334"/>
            </w:pPr>
            <w:r>
              <w:t>5</w:t>
            </w:r>
          </w:p>
        </w:tc>
        <w:tc>
          <w:tcPr>
            <w:tcW w:w="3328" w:type="dxa"/>
            <w:vAlign w:val="top"/>
          </w:tcPr>
          <w:p w14:paraId="74A031C1">
            <w:pPr>
              <w:pStyle w:val="7"/>
              <w:spacing w:before="114" w:line="218" w:lineRule="auto"/>
              <w:ind w:left="1021"/>
            </w:pPr>
            <w:r>
              <w:rPr>
                <w:spacing w:val="-19"/>
              </w:rPr>
              <w:t>要有洒水降尘</w:t>
            </w:r>
          </w:p>
        </w:tc>
        <w:tc>
          <w:tcPr>
            <w:tcW w:w="683" w:type="dxa"/>
            <w:vMerge w:val="restart"/>
            <w:tcBorders>
              <w:bottom w:val="nil"/>
            </w:tcBorders>
            <w:vAlign w:val="top"/>
          </w:tcPr>
          <w:p w14:paraId="5413F4EB">
            <w:pPr>
              <w:spacing w:line="344" w:lineRule="auto"/>
              <w:rPr>
                <w:rFonts w:ascii="Arial"/>
                <w:sz w:val="21"/>
              </w:rPr>
            </w:pPr>
          </w:p>
          <w:p w14:paraId="7E8370AD">
            <w:pPr>
              <w:pStyle w:val="7"/>
              <w:spacing w:before="78" w:line="238" w:lineRule="auto"/>
              <w:ind w:left="252"/>
            </w:pPr>
            <w:r>
              <w:rPr>
                <w:spacing w:val="-14"/>
              </w:rPr>
              <w:t>11</w:t>
            </w:r>
          </w:p>
        </w:tc>
        <w:tc>
          <w:tcPr>
            <w:tcW w:w="3605" w:type="dxa"/>
            <w:gridSpan w:val="3"/>
            <w:vMerge w:val="restart"/>
            <w:tcBorders>
              <w:bottom w:val="nil"/>
              <w:right w:val="single" w:color="5B9BD5" w:sz="4" w:space="0"/>
            </w:tcBorders>
            <w:vAlign w:val="top"/>
          </w:tcPr>
          <w:p w14:paraId="50DD00ED">
            <w:pPr>
              <w:pStyle w:val="7"/>
              <w:spacing w:before="188" w:line="362" w:lineRule="auto"/>
              <w:ind w:left="717" w:right="44" w:hanging="642"/>
            </w:pPr>
            <w:r>
              <w:pict>
                <v:shape id="_x0000_s3499" o:spid="_x0000_s3499" style="position:absolute;left:0pt;margin-left:178.4pt;margin-top:62.95pt;height:0.75pt;width:2.2pt;mso-position-horizontal-relative:page;mso-position-vertical-relative:page;z-index:252092416;mso-width-relative:page;mso-height-relative:page;" fillcolor="#5B9BD5" filled="t" stroked="f" coordsize="44,15" path="m0,14l43,14,43,0,0,0,0,14xe">
                  <v:path/>
                  <v:fill on="t" focussize="0,0"/>
                  <v:stroke on="f"/>
                  <v:imagedata o:title=""/>
                  <o:lock v:ext="edit"/>
                </v:shape>
              </w:pict>
            </w:r>
            <w:r>
              <w:rPr>
                <w:spacing w:val="-23"/>
              </w:rPr>
              <w:t>禁止污水泥浆乱排、禁止垃圾乱抛乱</w:t>
            </w:r>
            <w:r>
              <w:rPr>
                <w:spacing w:val="-20"/>
              </w:rPr>
              <w:t>放、禁止违规焚烧吹扫</w:t>
            </w:r>
          </w:p>
        </w:tc>
      </w:tr>
      <w:tr w14:paraId="76668B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9" w:hRule="atLeast"/>
        </w:trPr>
        <w:tc>
          <w:tcPr>
            <w:tcW w:w="192" w:type="dxa"/>
            <w:tcBorders>
              <w:left w:val="single" w:color="1C456A" w:sz="4" w:space="0"/>
              <w:bottom w:val="single" w:color="1C456A" w:sz="4" w:space="0"/>
              <w:right w:val="nil"/>
            </w:tcBorders>
            <w:vAlign w:val="top"/>
          </w:tcPr>
          <w:p w14:paraId="016F1A7D">
            <w:pPr>
              <w:rPr>
                <w:rFonts w:ascii="Arial"/>
                <w:sz w:val="21"/>
              </w:rPr>
            </w:pPr>
            <w:r>
              <w:pict>
                <v:shape id="_x0000_s3500" o:spid="_x0000_s3500" style="position:absolute;left:0pt;margin-left:-0.25pt;margin-top:33pt;height:0.75pt;width:2.2pt;mso-position-horizontal-relative:page;mso-position-vertical-relative:page;z-index:252091392;mso-width-relative:page;mso-height-relative:page;" fillcolor="#5B9BD5" filled="t" stroked="f" coordsize="44,15" path="m0,14l43,14,43,0,0,0,0,14xe">
                  <v:path/>
                  <v:fill on="t" focussize="0,0"/>
                  <v:stroke on="f"/>
                  <v:imagedata o:title=""/>
                  <o:lock v:ext="edit"/>
                </v:shape>
              </w:pict>
            </w:r>
          </w:p>
        </w:tc>
        <w:tc>
          <w:tcPr>
            <w:tcW w:w="559" w:type="dxa"/>
            <w:tcBorders>
              <w:left w:val="nil"/>
              <w:bottom w:val="single" w:color="1C456A" w:sz="4" w:space="0"/>
            </w:tcBorders>
            <w:vAlign w:val="top"/>
          </w:tcPr>
          <w:p w14:paraId="21654033">
            <w:pPr>
              <w:pStyle w:val="7"/>
              <w:spacing w:before="122" w:line="237" w:lineRule="auto"/>
              <w:ind w:left="144"/>
            </w:pPr>
            <w:r>
              <w:t>6</w:t>
            </w:r>
          </w:p>
        </w:tc>
        <w:tc>
          <w:tcPr>
            <w:tcW w:w="3328" w:type="dxa"/>
            <w:tcBorders>
              <w:bottom w:val="single" w:color="000000" w:sz="4" w:space="0"/>
            </w:tcBorders>
            <w:vAlign w:val="top"/>
          </w:tcPr>
          <w:p w14:paraId="71E717A8">
            <w:pPr>
              <w:pStyle w:val="7"/>
              <w:spacing w:before="122" w:line="218" w:lineRule="auto"/>
              <w:ind w:left="1021"/>
            </w:pPr>
            <w:r>
              <w:rPr>
                <w:spacing w:val="-19"/>
              </w:rPr>
              <w:t>要有机构人员</w:t>
            </w:r>
          </w:p>
        </w:tc>
        <w:tc>
          <w:tcPr>
            <w:tcW w:w="683" w:type="dxa"/>
            <w:vMerge w:val="continue"/>
            <w:tcBorders>
              <w:top w:val="nil"/>
              <w:bottom w:val="single" w:color="000000" w:sz="4" w:space="0"/>
            </w:tcBorders>
            <w:vAlign w:val="top"/>
          </w:tcPr>
          <w:p w14:paraId="65A85650">
            <w:pPr>
              <w:rPr>
                <w:rFonts w:ascii="Arial"/>
                <w:sz w:val="21"/>
              </w:rPr>
            </w:pPr>
          </w:p>
        </w:tc>
        <w:tc>
          <w:tcPr>
            <w:tcW w:w="3605" w:type="dxa"/>
            <w:gridSpan w:val="3"/>
            <w:vMerge w:val="continue"/>
            <w:tcBorders>
              <w:top w:val="nil"/>
              <w:bottom w:val="single" w:color="5B9BD5" w:sz="4" w:space="0"/>
              <w:right w:val="single" w:color="5B9BD5" w:sz="4" w:space="0"/>
            </w:tcBorders>
            <w:vAlign w:val="top"/>
          </w:tcPr>
          <w:p w14:paraId="017DF9B3">
            <w:pPr>
              <w:rPr>
                <w:rFonts w:ascii="Arial"/>
                <w:sz w:val="21"/>
              </w:rPr>
            </w:pPr>
          </w:p>
        </w:tc>
      </w:tr>
    </w:tbl>
    <w:p w14:paraId="7B050745">
      <w:pPr>
        <w:pStyle w:val="2"/>
        <w:spacing w:before="113" w:line="215" w:lineRule="auto"/>
        <w:ind w:left="2026"/>
        <w:rPr>
          <w:sz w:val="24"/>
          <w:szCs w:val="24"/>
        </w:rPr>
      </w:pPr>
      <w:r>
        <w:rPr>
          <w:spacing w:val="19"/>
          <w:sz w:val="24"/>
          <w:szCs w:val="24"/>
        </w:rPr>
        <w:t>(2)我公司根据施工经验，分析了</w:t>
      </w:r>
      <w:r>
        <w:rPr>
          <w:spacing w:val="18"/>
          <w:sz w:val="24"/>
          <w:szCs w:val="24"/>
        </w:rPr>
        <w:t>在施工扬尘治理过程中可能与</w:t>
      </w:r>
    </w:p>
    <w:p w14:paraId="661AB2C4">
      <w:pPr>
        <w:spacing w:line="215" w:lineRule="auto"/>
        <w:rPr>
          <w:sz w:val="24"/>
          <w:szCs w:val="24"/>
        </w:rPr>
        <w:sectPr>
          <w:footerReference r:id="rId193" w:type="default"/>
          <w:pgSz w:w="11907" w:h="16839"/>
          <w:pgMar w:top="954" w:right="4" w:bottom="1038" w:left="0" w:header="499" w:footer="357" w:gutter="0"/>
          <w:pgBorders>
            <w:top w:val="none" w:sz="0" w:space="0"/>
            <w:left w:val="none" w:sz="0" w:space="0"/>
            <w:bottom w:val="none" w:sz="0" w:space="0"/>
            <w:right w:val="none" w:sz="0" w:space="0"/>
          </w:pgBorders>
          <w:cols w:space="720" w:num="1"/>
        </w:sectPr>
      </w:pPr>
    </w:p>
    <w:p w14:paraId="359C6971">
      <w:pPr>
        <w:spacing w:line="250" w:lineRule="auto"/>
        <w:rPr>
          <w:rFonts w:ascii="Arial"/>
          <w:sz w:val="21"/>
        </w:rPr>
      </w:pPr>
    </w:p>
    <w:p w14:paraId="34093067">
      <w:pPr>
        <w:pStyle w:val="2"/>
        <w:spacing w:before="78" w:line="264" w:lineRule="auto"/>
        <w:ind w:left="1458" w:right="1447" w:hanging="1"/>
        <w:rPr>
          <w:sz w:val="24"/>
          <w:szCs w:val="24"/>
        </w:rPr>
      </w:pPr>
      <w:r>
        <w:rPr>
          <w:spacing w:val="-15"/>
          <w:sz w:val="24"/>
          <w:szCs w:val="24"/>
        </w:rPr>
        <w:t>本工程发生联系的政府部门，明确其管理范围，以便在实施过程中能够顺利协调</w:t>
      </w:r>
      <w:r>
        <w:rPr>
          <w:spacing w:val="-16"/>
          <w:sz w:val="24"/>
          <w:szCs w:val="24"/>
        </w:rPr>
        <w:t>配合，具体</w:t>
      </w:r>
      <w:r>
        <w:rPr>
          <w:spacing w:val="5"/>
          <w:sz w:val="24"/>
          <w:szCs w:val="24"/>
        </w:rPr>
        <w:t>分析如下：</w:t>
      </w:r>
    </w:p>
    <w:tbl>
      <w:tblPr>
        <w:tblStyle w:val="6"/>
        <w:tblW w:w="8506" w:type="dxa"/>
        <w:tblInd w:w="1699"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16"/>
        <w:gridCol w:w="626"/>
        <w:gridCol w:w="2379"/>
        <w:gridCol w:w="5285"/>
      </w:tblGrid>
      <w:tr w14:paraId="68D3A9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842" w:type="dxa"/>
            <w:gridSpan w:val="2"/>
            <w:tcBorders>
              <w:top w:val="single" w:color="000000" w:sz="4" w:space="0"/>
              <w:left w:val="single" w:color="000000" w:sz="4" w:space="0"/>
            </w:tcBorders>
            <w:shd w:val="clear" w:color="auto" w:fill="DEEAF6"/>
            <w:vAlign w:val="top"/>
          </w:tcPr>
          <w:p w14:paraId="6E556F7A">
            <w:pPr>
              <w:pStyle w:val="7"/>
              <w:spacing w:before="141" w:line="218" w:lineRule="auto"/>
              <w:ind w:left="217"/>
            </w:pPr>
            <w:r>
              <w:rPr>
                <w:b/>
                <w:bCs/>
                <w:spacing w:val="-11"/>
              </w:rPr>
              <w:t>序号</w:t>
            </w:r>
          </w:p>
        </w:tc>
        <w:tc>
          <w:tcPr>
            <w:tcW w:w="2379" w:type="dxa"/>
            <w:tcBorders>
              <w:top w:val="single" w:color="000000" w:sz="4" w:space="0"/>
            </w:tcBorders>
            <w:shd w:val="clear" w:color="auto" w:fill="DEEAF6"/>
            <w:vAlign w:val="top"/>
          </w:tcPr>
          <w:p w14:paraId="625935E2">
            <w:pPr>
              <w:pStyle w:val="7"/>
              <w:spacing w:before="141" w:line="217" w:lineRule="auto"/>
              <w:ind w:left="760"/>
            </w:pPr>
            <w:r>
              <w:rPr>
                <w:b/>
                <w:bCs/>
                <w:spacing w:val="-18"/>
              </w:rPr>
              <w:t>政府部门</w:t>
            </w:r>
          </w:p>
        </w:tc>
        <w:tc>
          <w:tcPr>
            <w:tcW w:w="5285" w:type="dxa"/>
            <w:tcBorders>
              <w:top w:val="single" w:color="5B9BD5" w:sz="4" w:space="0"/>
              <w:right w:val="single" w:color="5B9BD5" w:sz="4" w:space="0"/>
            </w:tcBorders>
            <w:shd w:val="clear" w:color="auto" w:fill="DEEAF6"/>
            <w:vAlign w:val="top"/>
          </w:tcPr>
          <w:p w14:paraId="1C03BB50">
            <w:pPr>
              <w:pStyle w:val="7"/>
              <w:spacing w:before="141" w:line="219" w:lineRule="auto"/>
              <w:ind w:left="2220"/>
            </w:pPr>
            <w:r>
              <w:rPr>
                <w:b/>
                <w:bCs/>
                <w:spacing w:val="-21"/>
              </w:rPr>
              <w:t>管理范围</w:t>
            </w:r>
          </w:p>
        </w:tc>
      </w:tr>
      <w:tr w14:paraId="247EC7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60" w:hRule="atLeast"/>
        </w:trPr>
        <w:tc>
          <w:tcPr>
            <w:tcW w:w="842" w:type="dxa"/>
            <w:gridSpan w:val="2"/>
            <w:tcBorders>
              <w:left w:val="single" w:color="000000" w:sz="4" w:space="0"/>
            </w:tcBorders>
            <w:vAlign w:val="top"/>
          </w:tcPr>
          <w:p w14:paraId="3D3BE25B">
            <w:pPr>
              <w:spacing w:line="280" w:lineRule="auto"/>
              <w:rPr>
                <w:rFonts w:ascii="Arial"/>
                <w:sz w:val="21"/>
              </w:rPr>
            </w:pPr>
          </w:p>
          <w:p w14:paraId="243F3035">
            <w:pPr>
              <w:pStyle w:val="7"/>
              <w:spacing w:before="78" w:line="238" w:lineRule="auto"/>
              <w:ind w:left="392"/>
            </w:pPr>
            <w:r>
              <w:t>1</w:t>
            </w:r>
          </w:p>
        </w:tc>
        <w:tc>
          <w:tcPr>
            <w:tcW w:w="2379" w:type="dxa"/>
            <w:vAlign w:val="top"/>
          </w:tcPr>
          <w:p w14:paraId="217BA44B">
            <w:pPr>
              <w:spacing w:line="279" w:lineRule="auto"/>
              <w:rPr>
                <w:rFonts w:ascii="Arial"/>
                <w:sz w:val="21"/>
              </w:rPr>
            </w:pPr>
          </w:p>
          <w:p w14:paraId="78FF1391">
            <w:pPr>
              <w:pStyle w:val="7"/>
              <w:spacing w:before="78" w:line="217" w:lineRule="auto"/>
              <w:ind w:left="325"/>
            </w:pPr>
            <w:r>
              <w:rPr>
                <w:spacing w:val="-19"/>
              </w:rPr>
              <w:t>环保行政主管部门</w:t>
            </w:r>
          </w:p>
        </w:tc>
        <w:tc>
          <w:tcPr>
            <w:tcW w:w="5285" w:type="dxa"/>
            <w:tcBorders>
              <w:right w:val="single" w:color="000000" w:sz="4" w:space="0"/>
            </w:tcBorders>
            <w:vAlign w:val="top"/>
          </w:tcPr>
          <w:p w14:paraId="28A6C4FB">
            <w:pPr>
              <w:pStyle w:val="7"/>
              <w:spacing w:before="124" w:line="216" w:lineRule="auto"/>
              <w:ind w:left="72"/>
            </w:pPr>
            <w:r>
              <w:rPr>
                <w:spacing w:val="-24"/>
              </w:rPr>
              <w:t>负责扬尘污染防治工作的统一监督管理，包括施</w:t>
            </w:r>
            <w:r>
              <w:rPr>
                <w:spacing w:val="-25"/>
              </w:rPr>
              <w:t>工现场</w:t>
            </w:r>
          </w:p>
          <w:p w14:paraId="011EC689">
            <w:pPr>
              <w:pStyle w:val="7"/>
              <w:spacing w:before="187" w:line="218" w:lineRule="auto"/>
              <w:ind w:left="2102"/>
            </w:pPr>
            <w:r>
              <w:rPr>
                <w:spacing w:val="-17"/>
              </w:rPr>
              <w:t>扬尘防治。</w:t>
            </w:r>
          </w:p>
        </w:tc>
      </w:tr>
      <w:tr w14:paraId="49B8AC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60" w:hRule="atLeast"/>
        </w:trPr>
        <w:tc>
          <w:tcPr>
            <w:tcW w:w="842" w:type="dxa"/>
            <w:gridSpan w:val="2"/>
            <w:tcBorders>
              <w:left w:val="single" w:color="000000" w:sz="4" w:space="0"/>
            </w:tcBorders>
            <w:vAlign w:val="top"/>
          </w:tcPr>
          <w:p w14:paraId="7301826D">
            <w:pPr>
              <w:spacing w:line="276" w:lineRule="auto"/>
              <w:rPr>
                <w:rFonts w:ascii="Arial"/>
                <w:sz w:val="21"/>
              </w:rPr>
            </w:pPr>
          </w:p>
          <w:p w14:paraId="7B23C3BA">
            <w:pPr>
              <w:pStyle w:val="7"/>
              <w:spacing w:before="78" w:line="238" w:lineRule="auto"/>
              <w:ind w:left="378"/>
            </w:pPr>
            <w:r>
              <w:t>2</w:t>
            </w:r>
          </w:p>
        </w:tc>
        <w:tc>
          <w:tcPr>
            <w:tcW w:w="2379" w:type="dxa"/>
            <w:vAlign w:val="top"/>
          </w:tcPr>
          <w:p w14:paraId="7113F465">
            <w:pPr>
              <w:pStyle w:val="7"/>
              <w:spacing w:before="122" w:line="217" w:lineRule="auto"/>
              <w:ind w:left="219"/>
            </w:pPr>
            <w:r>
              <w:rPr>
                <w:spacing w:val="-20"/>
              </w:rPr>
              <w:t>城乡建设行政主管部</w:t>
            </w:r>
          </w:p>
          <w:p w14:paraId="33715A4F">
            <w:pPr>
              <w:pStyle w:val="7"/>
              <w:spacing w:before="184" w:line="217" w:lineRule="auto"/>
              <w:ind w:left="1112"/>
            </w:pPr>
            <w:r>
              <w:t>门</w:t>
            </w:r>
          </w:p>
        </w:tc>
        <w:tc>
          <w:tcPr>
            <w:tcW w:w="5285" w:type="dxa"/>
            <w:tcBorders>
              <w:right w:val="single" w:color="000000" w:sz="4" w:space="0"/>
            </w:tcBorders>
            <w:vAlign w:val="top"/>
          </w:tcPr>
          <w:p w14:paraId="2DEAF8C3">
            <w:pPr>
              <w:pStyle w:val="7"/>
              <w:spacing w:before="122" w:line="218" w:lineRule="auto"/>
              <w:ind w:left="144"/>
            </w:pPr>
            <w:r>
              <w:rPr>
                <w:spacing w:val="-21"/>
              </w:rPr>
              <w:t>负责房屋建筑工程等施工过程中扬尘污染防</w:t>
            </w:r>
            <w:r>
              <w:rPr>
                <w:spacing w:val="-22"/>
              </w:rPr>
              <w:t>治的监督</w:t>
            </w:r>
          </w:p>
          <w:p w14:paraId="232E10CA">
            <w:pPr>
              <w:pStyle w:val="7"/>
              <w:spacing w:before="181" w:line="220" w:lineRule="auto"/>
              <w:ind w:left="2331"/>
            </w:pPr>
            <w:r>
              <w:rPr>
                <w:spacing w:val="-24"/>
              </w:rPr>
              <w:t>管理。</w:t>
            </w:r>
          </w:p>
        </w:tc>
      </w:tr>
      <w:tr w14:paraId="712088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82" w:hRule="atLeast"/>
        </w:trPr>
        <w:tc>
          <w:tcPr>
            <w:tcW w:w="842" w:type="dxa"/>
            <w:gridSpan w:val="2"/>
            <w:tcBorders>
              <w:left w:val="single" w:color="000000" w:sz="4" w:space="0"/>
            </w:tcBorders>
            <w:vAlign w:val="top"/>
          </w:tcPr>
          <w:p w14:paraId="4DA1E2A8">
            <w:pPr>
              <w:spacing w:line="281" w:lineRule="auto"/>
              <w:rPr>
                <w:rFonts w:ascii="Arial"/>
                <w:sz w:val="21"/>
              </w:rPr>
            </w:pPr>
          </w:p>
          <w:p w14:paraId="6E732E19">
            <w:pPr>
              <w:pStyle w:val="7"/>
              <w:spacing w:before="78" w:line="237" w:lineRule="auto"/>
              <w:ind w:left="379"/>
            </w:pPr>
            <w:r>
              <w:t>3</w:t>
            </w:r>
          </w:p>
        </w:tc>
        <w:tc>
          <w:tcPr>
            <w:tcW w:w="2379" w:type="dxa"/>
            <w:vAlign w:val="top"/>
          </w:tcPr>
          <w:p w14:paraId="3F83C74B">
            <w:pPr>
              <w:spacing w:line="281" w:lineRule="auto"/>
              <w:rPr>
                <w:rFonts w:ascii="Arial"/>
                <w:sz w:val="21"/>
              </w:rPr>
            </w:pPr>
          </w:p>
          <w:p w14:paraId="318BDABC">
            <w:pPr>
              <w:pStyle w:val="7"/>
              <w:spacing w:before="78" w:line="217" w:lineRule="auto"/>
              <w:ind w:left="548"/>
            </w:pPr>
            <w:r>
              <w:rPr>
                <w:spacing w:val="-19"/>
              </w:rPr>
              <w:t>城市管理部门</w:t>
            </w:r>
          </w:p>
        </w:tc>
        <w:tc>
          <w:tcPr>
            <w:tcW w:w="5285" w:type="dxa"/>
            <w:tcBorders>
              <w:right w:val="single" w:color="000000" w:sz="4" w:space="0"/>
            </w:tcBorders>
            <w:vAlign w:val="top"/>
          </w:tcPr>
          <w:p w14:paraId="0990A30D">
            <w:pPr>
              <w:pStyle w:val="7"/>
              <w:spacing w:before="127" w:line="217" w:lineRule="auto"/>
              <w:ind w:left="72"/>
            </w:pPr>
            <w:r>
              <w:rPr>
                <w:spacing w:val="-24"/>
              </w:rPr>
              <w:t>负责建筑垃圾运输和处置、道路保洁活动扬尘</w:t>
            </w:r>
            <w:r>
              <w:rPr>
                <w:spacing w:val="-25"/>
              </w:rPr>
              <w:t>污染防治</w:t>
            </w:r>
          </w:p>
          <w:p w14:paraId="235DF5D0">
            <w:pPr>
              <w:pStyle w:val="7"/>
              <w:spacing w:before="186" w:line="219" w:lineRule="auto"/>
              <w:ind w:left="2005"/>
            </w:pPr>
            <w:r>
              <w:rPr>
                <w:spacing w:val="-20"/>
              </w:rPr>
              <w:t>的监督管理。</w:t>
            </w:r>
          </w:p>
        </w:tc>
      </w:tr>
      <w:tr w14:paraId="2A5668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81" w:hRule="atLeast"/>
        </w:trPr>
        <w:tc>
          <w:tcPr>
            <w:tcW w:w="842" w:type="dxa"/>
            <w:gridSpan w:val="2"/>
            <w:tcBorders>
              <w:left w:val="single" w:color="000000" w:sz="4" w:space="0"/>
            </w:tcBorders>
            <w:vAlign w:val="top"/>
          </w:tcPr>
          <w:p w14:paraId="19B1A64F">
            <w:pPr>
              <w:spacing w:line="277" w:lineRule="auto"/>
              <w:rPr>
                <w:rFonts w:ascii="Arial"/>
                <w:sz w:val="21"/>
              </w:rPr>
            </w:pPr>
          </w:p>
          <w:p w14:paraId="625DE244">
            <w:pPr>
              <w:pStyle w:val="7"/>
              <w:spacing w:before="78" w:line="238" w:lineRule="auto"/>
              <w:ind w:left="374"/>
            </w:pPr>
            <w:r>
              <w:t>4</w:t>
            </w:r>
          </w:p>
        </w:tc>
        <w:tc>
          <w:tcPr>
            <w:tcW w:w="2379" w:type="dxa"/>
            <w:vAlign w:val="top"/>
          </w:tcPr>
          <w:p w14:paraId="45C5DF4E">
            <w:pPr>
              <w:spacing w:line="277" w:lineRule="auto"/>
              <w:rPr>
                <w:rFonts w:ascii="Arial"/>
                <w:sz w:val="21"/>
              </w:rPr>
            </w:pPr>
          </w:p>
          <w:p w14:paraId="5ED9EADD">
            <w:pPr>
              <w:pStyle w:val="7"/>
              <w:spacing w:before="78" w:line="217" w:lineRule="auto"/>
              <w:ind w:left="111"/>
            </w:pPr>
            <w:r>
              <w:rPr>
                <w:spacing w:val="-20"/>
              </w:rPr>
              <w:t>公安机关交通管理部门</w:t>
            </w:r>
          </w:p>
        </w:tc>
        <w:tc>
          <w:tcPr>
            <w:tcW w:w="5285" w:type="dxa"/>
            <w:tcBorders>
              <w:right w:val="single" w:color="000000" w:sz="4" w:space="0"/>
            </w:tcBorders>
            <w:vAlign w:val="top"/>
          </w:tcPr>
          <w:p w14:paraId="7234C576">
            <w:pPr>
              <w:spacing w:line="277" w:lineRule="auto"/>
              <w:rPr>
                <w:rFonts w:ascii="Arial"/>
                <w:sz w:val="21"/>
              </w:rPr>
            </w:pPr>
          </w:p>
          <w:p w14:paraId="37AC2073">
            <w:pPr>
              <w:pStyle w:val="7"/>
              <w:spacing w:before="78" w:line="215" w:lineRule="auto"/>
              <w:ind w:left="255"/>
            </w:pPr>
            <w:r>
              <w:rPr>
                <w:spacing w:val="-21"/>
              </w:rPr>
              <w:t>负责建筑垃圾运输车密封改装和通行的监督</w:t>
            </w:r>
            <w:r>
              <w:rPr>
                <w:spacing w:val="-22"/>
              </w:rPr>
              <w:t>管理。</w:t>
            </w:r>
          </w:p>
        </w:tc>
      </w:tr>
      <w:tr w14:paraId="766C50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20" w:hRule="atLeast"/>
        </w:trPr>
        <w:tc>
          <w:tcPr>
            <w:tcW w:w="216" w:type="dxa"/>
            <w:tcBorders>
              <w:left w:val="single" w:color="1C456A" w:sz="4" w:space="0"/>
              <w:bottom w:val="single" w:color="1C456A" w:sz="4" w:space="0"/>
              <w:right w:val="nil"/>
            </w:tcBorders>
            <w:vAlign w:val="top"/>
          </w:tcPr>
          <w:p w14:paraId="736A56FD">
            <w:pPr>
              <w:rPr>
                <w:rFonts w:ascii="Arial"/>
                <w:sz w:val="21"/>
              </w:rPr>
            </w:pPr>
            <w:r>
              <w:pict>
                <v:shape id="_x0000_s3501" o:spid="_x0000_s3501" style="position:absolute;left:0pt;margin-left:-0.25pt;margin-top:56.05pt;height:0.75pt;width:2.2pt;mso-position-horizontal-relative:page;mso-position-vertical-relative:page;z-index:252096512;mso-width-relative:page;mso-height-relative:page;" fillcolor="#5B9BD5" filled="t" stroked="f" coordsize="44,15" path="m0,14l43,14,43,0,0,0,0,14xe">
                  <v:path/>
                  <v:fill on="t" focussize="0,0"/>
                  <v:stroke on="f"/>
                  <v:imagedata o:title=""/>
                  <o:lock v:ext="edit"/>
                </v:shape>
              </w:pict>
            </w:r>
          </w:p>
        </w:tc>
        <w:tc>
          <w:tcPr>
            <w:tcW w:w="626" w:type="dxa"/>
            <w:tcBorders>
              <w:left w:val="nil"/>
              <w:bottom w:val="single" w:color="1C456A" w:sz="4" w:space="0"/>
            </w:tcBorders>
            <w:vAlign w:val="top"/>
          </w:tcPr>
          <w:p w14:paraId="6F7F4694">
            <w:pPr>
              <w:spacing w:line="273" w:lineRule="auto"/>
              <w:rPr>
                <w:rFonts w:ascii="Arial"/>
                <w:sz w:val="21"/>
              </w:rPr>
            </w:pPr>
          </w:p>
          <w:p w14:paraId="5FFB4A42">
            <w:pPr>
              <w:pStyle w:val="7"/>
              <w:spacing w:before="78" w:line="237" w:lineRule="auto"/>
              <w:ind w:left="168"/>
            </w:pPr>
            <w:r>
              <w:t>5</w:t>
            </w:r>
          </w:p>
        </w:tc>
        <w:tc>
          <w:tcPr>
            <w:tcW w:w="2379" w:type="dxa"/>
            <w:tcBorders>
              <w:bottom w:val="single" w:color="000000" w:sz="4" w:space="0"/>
            </w:tcBorders>
            <w:vAlign w:val="top"/>
          </w:tcPr>
          <w:p w14:paraId="07FA2857">
            <w:pPr>
              <w:spacing w:line="273" w:lineRule="auto"/>
              <w:rPr>
                <w:rFonts w:ascii="Arial"/>
                <w:sz w:val="21"/>
              </w:rPr>
            </w:pPr>
          </w:p>
          <w:p w14:paraId="53EB71A3">
            <w:pPr>
              <w:pStyle w:val="7"/>
              <w:spacing w:before="78" w:line="217" w:lineRule="auto"/>
              <w:ind w:left="329"/>
            </w:pPr>
            <w:r>
              <w:rPr>
                <w:spacing w:val="-19"/>
              </w:rPr>
              <w:t>绿化行政主管部门</w:t>
            </w:r>
          </w:p>
        </w:tc>
        <w:tc>
          <w:tcPr>
            <w:tcW w:w="5285" w:type="dxa"/>
            <w:tcBorders>
              <w:bottom w:val="single" w:color="5B9BD5" w:sz="4" w:space="0"/>
              <w:right w:val="single" w:color="5B9BD5" w:sz="4" w:space="0"/>
            </w:tcBorders>
            <w:vAlign w:val="top"/>
          </w:tcPr>
          <w:p w14:paraId="219B0B42">
            <w:pPr>
              <w:spacing w:line="273" w:lineRule="auto"/>
              <w:rPr>
                <w:rFonts w:ascii="Arial"/>
                <w:sz w:val="21"/>
              </w:rPr>
            </w:pPr>
            <w:r>
              <w:pict>
                <v:shape id="_x0000_s3502" o:spid="_x0000_s3502" style="position:absolute;left:0pt;margin-left:262.4pt;margin-top:56.05pt;height:0.75pt;width:2.2pt;mso-position-horizontal-relative:page;mso-position-vertical-relative:page;z-index:252095488;mso-width-relative:page;mso-height-relative:page;" fillcolor="#5B9BD5" filled="t" stroked="f" coordsize="44,15" path="m0,14l43,14,43,0,0,0,0,14xe">
                  <v:path/>
                  <v:fill on="t" focussize="0,0"/>
                  <v:stroke on="f"/>
                  <v:imagedata o:title=""/>
                  <o:lock v:ext="edit"/>
                </v:shape>
              </w:pict>
            </w:r>
          </w:p>
          <w:p w14:paraId="13F6DF5D">
            <w:pPr>
              <w:pStyle w:val="7"/>
              <w:spacing w:before="78" w:line="218" w:lineRule="auto"/>
              <w:ind w:left="363"/>
            </w:pPr>
            <w:r>
              <w:rPr>
                <w:spacing w:val="-21"/>
              </w:rPr>
              <w:t>负责绿化建设等施工扬尘污染防治的监督管理。</w:t>
            </w:r>
          </w:p>
        </w:tc>
      </w:tr>
    </w:tbl>
    <w:p w14:paraId="64E3D63B">
      <w:pPr>
        <w:pStyle w:val="2"/>
        <w:spacing w:before="115" w:line="218" w:lineRule="auto"/>
        <w:ind w:left="1888"/>
        <w:rPr>
          <w:sz w:val="24"/>
          <w:szCs w:val="24"/>
        </w:rPr>
      </w:pPr>
      <w:r>
        <w:rPr>
          <w:spacing w:val="-17"/>
          <w:sz w:val="24"/>
          <w:szCs w:val="24"/>
        </w:rPr>
        <w:t>2、扬尘治理措施</w:t>
      </w:r>
    </w:p>
    <w:p w14:paraId="2E468471">
      <w:pPr>
        <w:pStyle w:val="2"/>
        <w:spacing w:before="117" w:line="215" w:lineRule="auto"/>
        <w:ind w:left="2067"/>
        <w:rPr>
          <w:sz w:val="24"/>
          <w:szCs w:val="24"/>
        </w:rPr>
      </w:pPr>
      <w:r>
        <w:rPr>
          <w:spacing w:val="-22"/>
          <w:sz w:val="24"/>
          <w:szCs w:val="24"/>
        </w:rPr>
        <w:t>(1)粉类材料的存储和堆放</w:t>
      </w:r>
    </w:p>
    <w:p w14:paraId="190A1C0D">
      <w:pPr>
        <w:pStyle w:val="2"/>
        <w:spacing w:before="119" w:line="308" w:lineRule="auto"/>
        <w:ind w:left="1472" w:right="1447" w:firstLine="519"/>
        <w:rPr>
          <w:sz w:val="24"/>
          <w:szCs w:val="24"/>
        </w:rPr>
      </w:pPr>
      <w:r>
        <w:rPr>
          <w:spacing w:val="-17"/>
          <w:sz w:val="24"/>
          <w:szCs w:val="24"/>
        </w:rPr>
        <w:t>易产生扬尘的细颗粒建筑材料应全部密闭存放或进行覆</w:t>
      </w:r>
      <w:r>
        <w:rPr>
          <w:spacing w:val="-18"/>
          <w:sz w:val="24"/>
          <w:szCs w:val="24"/>
        </w:rPr>
        <w:t>盖，使用过程中应采取有效措施</w:t>
      </w:r>
      <w:r>
        <w:rPr>
          <w:spacing w:val="-1"/>
          <w:sz w:val="24"/>
          <w:szCs w:val="24"/>
        </w:rPr>
        <w:t>防止扬尘。</w:t>
      </w:r>
    </w:p>
    <w:p w14:paraId="235F3C31">
      <w:pPr>
        <w:pStyle w:val="2"/>
        <w:spacing w:line="218" w:lineRule="auto"/>
        <w:ind w:left="1927"/>
        <w:rPr>
          <w:sz w:val="24"/>
          <w:szCs w:val="24"/>
        </w:rPr>
      </w:pPr>
      <w:r>
        <w:rPr>
          <w:spacing w:val="-20"/>
          <w:sz w:val="24"/>
          <w:szCs w:val="24"/>
        </w:rPr>
        <w:t>(2)建筑垃圾清运</w:t>
      </w:r>
    </w:p>
    <w:p w14:paraId="2229EEAC">
      <w:pPr>
        <w:pStyle w:val="2"/>
        <w:spacing w:before="116" w:line="217" w:lineRule="auto"/>
        <w:ind w:left="2006"/>
        <w:rPr>
          <w:sz w:val="24"/>
          <w:szCs w:val="24"/>
        </w:rPr>
      </w:pPr>
      <w:r>
        <w:rPr>
          <w:spacing w:val="-20"/>
          <w:sz w:val="24"/>
          <w:szCs w:val="24"/>
        </w:rPr>
        <w:t>1)施工层的建筑垃圾必须采用封闭式及时清运，严禁凌空抛掷。</w:t>
      </w:r>
    </w:p>
    <w:p w14:paraId="2D7D6E03">
      <w:pPr>
        <w:pStyle w:val="2"/>
        <w:spacing w:before="119" w:line="263" w:lineRule="auto"/>
        <w:ind w:left="1453" w:right="1450" w:firstLine="542"/>
        <w:rPr>
          <w:sz w:val="24"/>
          <w:szCs w:val="24"/>
        </w:rPr>
      </w:pPr>
      <w:r>
        <w:rPr>
          <w:spacing w:val="-17"/>
          <w:sz w:val="24"/>
          <w:szCs w:val="24"/>
        </w:rPr>
        <w:t>2)建筑物内的施工垃圾清运必须采用密闭式专用垃圾道或封闭式容器吊运，严禁</w:t>
      </w:r>
      <w:r>
        <w:rPr>
          <w:spacing w:val="-18"/>
          <w:sz w:val="24"/>
          <w:szCs w:val="24"/>
        </w:rPr>
        <w:t>凌空抛</w:t>
      </w:r>
      <w:r>
        <w:rPr>
          <w:spacing w:val="16"/>
          <w:sz w:val="24"/>
          <w:szCs w:val="24"/>
        </w:rPr>
        <w:t>撒，安全网内的垃圾应及时清理。</w:t>
      </w:r>
    </w:p>
    <w:p w14:paraId="2DDE6003">
      <w:pPr>
        <w:pStyle w:val="2"/>
        <w:spacing w:before="114" w:line="216" w:lineRule="auto"/>
        <w:ind w:left="1998"/>
        <w:rPr>
          <w:sz w:val="24"/>
          <w:szCs w:val="24"/>
        </w:rPr>
      </w:pPr>
      <w:r>
        <w:rPr>
          <w:spacing w:val="-18"/>
          <w:sz w:val="24"/>
          <w:szCs w:val="24"/>
        </w:rPr>
        <w:t>3)施工垃圾清运时应提前适量洒水，并按规定</w:t>
      </w:r>
      <w:r>
        <w:rPr>
          <w:spacing w:val="-19"/>
          <w:sz w:val="24"/>
          <w:szCs w:val="24"/>
        </w:rPr>
        <w:t>及时清运消纳。</w:t>
      </w:r>
    </w:p>
    <w:p w14:paraId="34AE799E">
      <w:pPr>
        <w:pStyle w:val="2"/>
        <w:spacing w:before="68" w:line="217" w:lineRule="auto"/>
        <w:ind w:left="3054"/>
        <w:outlineLvl w:val="1"/>
        <w:rPr>
          <w:sz w:val="30"/>
          <w:szCs w:val="30"/>
        </w:rPr>
      </w:pPr>
      <w:bookmarkStart w:id="125" w:name="bookmark120"/>
      <w:bookmarkEnd w:id="125"/>
      <w:r>
        <w:rPr>
          <w:b/>
          <w:bCs/>
          <w:color w:val="0070C0"/>
          <w:spacing w:val="-24"/>
          <w:sz w:val="30"/>
          <w:szCs w:val="30"/>
        </w:rPr>
        <w:t>第四节、针对农民工工资支付的保证措施及承诺</w:t>
      </w:r>
    </w:p>
    <w:p w14:paraId="097FE445">
      <w:pPr>
        <w:pStyle w:val="2"/>
        <w:spacing w:before="66" w:line="217" w:lineRule="auto"/>
        <w:ind w:left="1981"/>
        <w:outlineLvl w:val="2"/>
        <w:rPr>
          <w:sz w:val="28"/>
          <w:szCs w:val="28"/>
        </w:rPr>
      </w:pPr>
      <w:bookmarkStart w:id="126" w:name="bookmark121"/>
      <w:bookmarkEnd w:id="126"/>
      <w:r>
        <w:rPr>
          <w:b/>
          <w:bCs/>
          <w:spacing w:val="-23"/>
          <w:sz w:val="28"/>
          <w:szCs w:val="28"/>
        </w:rPr>
        <w:t>一、施工现场实行实名制管理、刷卡考勤制度措施</w:t>
      </w:r>
    </w:p>
    <w:p w14:paraId="3873B398">
      <w:pPr>
        <w:pStyle w:val="2"/>
        <w:spacing w:before="102" w:line="308" w:lineRule="auto"/>
        <w:ind w:left="1455" w:right="1409" w:firstLine="446"/>
        <w:jc w:val="both"/>
        <w:rPr>
          <w:sz w:val="24"/>
          <w:szCs w:val="24"/>
        </w:rPr>
      </w:pPr>
      <w:r>
        <w:rPr>
          <w:spacing w:val="-20"/>
          <w:sz w:val="24"/>
          <w:szCs w:val="24"/>
        </w:rPr>
        <w:t>我司承诺在工程实施过程中的用工行为，必须严格按照《保障农民工工资支付条例》（国</w:t>
      </w:r>
      <w:r>
        <w:rPr>
          <w:spacing w:val="-21"/>
          <w:sz w:val="24"/>
          <w:szCs w:val="24"/>
        </w:rPr>
        <w:t>令第724号）、《安徽省人民政府办公厅关于全面治理拖欠农民工工资问题的实施意见》（皖政办〔2016〕22号）以及市人民政府办公厅关于全面治理拖欠农民工工资问题的实施意见等文</w:t>
      </w:r>
      <w:r>
        <w:rPr>
          <w:spacing w:val="-20"/>
          <w:sz w:val="24"/>
          <w:szCs w:val="24"/>
        </w:rPr>
        <w:t>件精神的有关规定，依法与招用的农民工签订劳动合同，并按规定及时足额支付工资。承包人必须在市域范围内银行设立农民工工资专用账户，专户资金使用、监管严格按照市建设</w:t>
      </w:r>
      <w:r>
        <w:rPr>
          <w:spacing w:val="-21"/>
          <w:sz w:val="24"/>
          <w:szCs w:val="24"/>
        </w:rPr>
        <w:t>领域农民工工资专用账户管理意见执行。</w:t>
      </w:r>
    </w:p>
    <w:p w14:paraId="4F86C48B">
      <w:pPr>
        <w:pStyle w:val="2"/>
        <w:spacing w:line="217" w:lineRule="auto"/>
        <w:ind w:left="1901"/>
        <w:rPr>
          <w:sz w:val="24"/>
          <w:szCs w:val="24"/>
        </w:rPr>
      </w:pPr>
      <w:r>
        <w:rPr>
          <w:spacing w:val="-19"/>
          <w:sz w:val="24"/>
          <w:szCs w:val="24"/>
        </w:rPr>
        <w:t>为进一步加强施工现场务工人员的动态管理，更好的落实施工现</w:t>
      </w:r>
      <w:r>
        <w:rPr>
          <w:spacing w:val="-20"/>
          <w:sz w:val="24"/>
          <w:szCs w:val="24"/>
        </w:rPr>
        <w:t>场务工人员的实名制管理</w:t>
      </w:r>
    </w:p>
    <w:p w14:paraId="6AE9A995">
      <w:pPr>
        <w:spacing w:line="217" w:lineRule="auto"/>
        <w:rPr>
          <w:sz w:val="24"/>
          <w:szCs w:val="24"/>
        </w:rPr>
        <w:sectPr>
          <w:footerReference r:id="rId194" w:type="default"/>
          <w:pgSz w:w="11907" w:h="16839"/>
          <w:pgMar w:top="954" w:right="4" w:bottom="1038" w:left="0" w:header="499" w:footer="357" w:gutter="0"/>
          <w:pgBorders>
            <w:top w:val="none" w:sz="0" w:space="0"/>
            <w:left w:val="none" w:sz="0" w:space="0"/>
            <w:bottom w:val="none" w:sz="0" w:space="0"/>
            <w:right w:val="none" w:sz="0" w:space="0"/>
          </w:pgBorders>
          <w:cols w:space="720" w:num="1"/>
        </w:sectPr>
      </w:pPr>
    </w:p>
    <w:p w14:paraId="792DA6C8">
      <w:pPr>
        <w:spacing w:line="249" w:lineRule="auto"/>
        <w:rPr>
          <w:rFonts w:ascii="Arial"/>
          <w:sz w:val="21"/>
        </w:rPr>
      </w:pPr>
    </w:p>
    <w:p w14:paraId="11E6627B">
      <w:pPr>
        <w:pStyle w:val="2"/>
        <w:spacing w:before="78" w:line="308" w:lineRule="auto"/>
        <w:ind w:left="1457" w:right="1415" w:firstLine="4"/>
        <w:rPr>
          <w:sz w:val="24"/>
          <w:szCs w:val="24"/>
        </w:rPr>
      </w:pPr>
      <w:r>
        <w:rPr>
          <w:spacing w:val="-20"/>
          <w:sz w:val="24"/>
          <w:szCs w:val="24"/>
        </w:rPr>
        <w:t>工作，防范工资纠纷，维护务工人员权益，提高项目管理水平，实现施工现场人员底数清、基</w:t>
      </w:r>
      <w:r>
        <w:rPr>
          <w:spacing w:val="-21"/>
          <w:sz w:val="24"/>
          <w:szCs w:val="24"/>
        </w:rPr>
        <w:t>本情况清、出勤记录清、工资发放记录清、进出项目时</w:t>
      </w:r>
      <w:r>
        <w:rPr>
          <w:spacing w:val="-22"/>
          <w:sz w:val="24"/>
          <w:szCs w:val="24"/>
        </w:rPr>
        <w:t>间清“五清”目标的管理制度。</w:t>
      </w:r>
    </w:p>
    <w:p w14:paraId="0309D866">
      <w:pPr>
        <w:pStyle w:val="2"/>
        <w:spacing w:line="264" w:lineRule="auto"/>
        <w:ind w:left="1460" w:right="1410" w:firstLine="436"/>
        <w:rPr>
          <w:sz w:val="24"/>
          <w:szCs w:val="24"/>
        </w:rPr>
      </w:pPr>
      <w:r>
        <w:rPr>
          <w:spacing w:val="-20"/>
          <w:sz w:val="24"/>
          <w:szCs w:val="24"/>
        </w:rPr>
        <w:t>一、凡进入本项目施工的作业人员都必须按规定实施实名制管理（包括项目部管理及后勤</w:t>
      </w:r>
      <w:r>
        <w:rPr>
          <w:spacing w:val="-14"/>
          <w:sz w:val="24"/>
          <w:szCs w:val="24"/>
        </w:rPr>
        <w:t>人员）。</w:t>
      </w:r>
    </w:p>
    <w:p w14:paraId="01B8EB74">
      <w:pPr>
        <w:pStyle w:val="2"/>
        <w:spacing w:before="113" w:line="262" w:lineRule="auto"/>
        <w:ind w:left="1463" w:right="1409" w:firstLine="437"/>
        <w:rPr>
          <w:sz w:val="24"/>
          <w:szCs w:val="24"/>
        </w:rPr>
      </w:pPr>
      <w:r>
        <w:rPr>
          <w:spacing w:val="-23"/>
          <w:sz w:val="24"/>
          <w:szCs w:val="24"/>
        </w:rPr>
        <w:t>二、施工现场作业人员实名制管理数据通过IC卡</w:t>
      </w:r>
      <w:r>
        <w:rPr>
          <w:spacing w:val="-24"/>
          <w:sz w:val="24"/>
          <w:szCs w:val="24"/>
        </w:rPr>
        <w:t>进行采集，IC卡由各班组配合项目部或劳</w:t>
      </w:r>
      <w:r>
        <w:rPr>
          <w:spacing w:val="-23"/>
          <w:sz w:val="24"/>
          <w:szCs w:val="24"/>
        </w:rPr>
        <w:t>务公司配合项目部统一进行登记发放使用。</w:t>
      </w:r>
    </w:p>
    <w:p w14:paraId="7B02870A">
      <w:pPr>
        <w:pStyle w:val="2"/>
        <w:spacing w:before="119" w:line="262" w:lineRule="auto"/>
        <w:ind w:left="1460" w:right="1409" w:firstLine="439"/>
        <w:rPr>
          <w:sz w:val="24"/>
          <w:szCs w:val="24"/>
        </w:rPr>
      </w:pPr>
      <w:r>
        <w:rPr>
          <w:spacing w:val="-20"/>
          <w:sz w:val="24"/>
          <w:szCs w:val="24"/>
        </w:rPr>
        <w:t>三、施工现场实行封闭管理，明确分隔施工区域与非施工区域。所有作业人员必须通过唯</w:t>
      </w:r>
      <w:r>
        <w:rPr>
          <w:spacing w:val="-21"/>
          <w:sz w:val="24"/>
          <w:szCs w:val="24"/>
        </w:rPr>
        <w:t>一的考勤机通道刷卡后进入施工区域作业。</w:t>
      </w:r>
    </w:p>
    <w:p w14:paraId="0E60D8CA">
      <w:pPr>
        <w:pStyle w:val="2"/>
        <w:spacing w:before="118" w:line="278" w:lineRule="auto"/>
        <w:ind w:left="1456" w:right="1409" w:firstLine="465"/>
        <w:rPr>
          <w:sz w:val="24"/>
          <w:szCs w:val="24"/>
        </w:rPr>
      </w:pPr>
      <w:r>
        <w:rPr>
          <w:spacing w:val="-20"/>
          <w:sz w:val="24"/>
          <w:szCs w:val="24"/>
        </w:rPr>
        <w:t>四、施工班组应在作业人员进场前向项目部安全科上报作业人员</w:t>
      </w:r>
      <w:r>
        <w:rPr>
          <w:spacing w:val="-21"/>
          <w:sz w:val="24"/>
          <w:szCs w:val="24"/>
        </w:rPr>
        <w:t>基本信息，基本信息包括</w:t>
      </w:r>
      <w:r>
        <w:rPr>
          <w:spacing w:val="-20"/>
          <w:sz w:val="24"/>
          <w:szCs w:val="24"/>
        </w:rPr>
        <w:t>姓名、性别、籍贯、民族、政治面貌、身份证号码、文化程度、工种、户籍地家庭住址、现居</w:t>
      </w:r>
      <w:r>
        <w:rPr>
          <w:spacing w:val="-18"/>
          <w:sz w:val="24"/>
          <w:szCs w:val="24"/>
        </w:rPr>
        <w:t>住地等情况。</w:t>
      </w:r>
    </w:p>
    <w:p w14:paraId="666DF19B">
      <w:pPr>
        <w:pStyle w:val="2"/>
        <w:spacing w:before="117" w:line="278" w:lineRule="auto"/>
        <w:ind w:left="1457" w:right="1411" w:firstLine="439"/>
        <w:rPr>
          <w:sz w:val="24"/>
          <w:szCs w:val="24"/>
        </w:rPr>
      </w:pPr>
      <w:r>
        <w:rPr>
          <w:spacing w:val="-19"/>
          <w:sz w:val="24"/>
          <w:szCs w:val="24"/>
        </w:rPr>
        <w:t>五、项目部在作业人员办理进场登记后2天内，及时</w:t>
      </w:r>
      <w:r>
        <w:rPr>
          <w:spacing w:val="-20"/>
          <w:sz w:val="24"/>
          <w:szCs w:val="24"/>
        </w:rPr>
        <w:t>发放IC卡，并在作业人员进场后3天内，建立或补充完善对应的人员花名册，人员花名册应反映人员基本信息，并明确注明人员进</w:t>
      </w:r>
      <w:r>
        <w:rPr>
          <w:spacing w:val="-19"/>
          <w:sz w:val="24"/>
          <w:szCs w:val="24"/>
        </w:rPr>
        <w:t>场和离场时间。</w:t>
      </w:r>
    </w:p>
    <w:p w14:paraId="76F0E46D">
      <w:pPr>
        <w:pStyle w:val="2"/>
        <w:spacing w:before="116" w:line="278" w:lineRule="auto"/>
        <w:ind w:left="1457" w:right="1412" w:firstLine="437"/>
        <w:rPr>
          <w:sz w:val="24"/>
          <w:szCs w:val="24"/>
        </w:rPr>
      </w:pPr>
      <w:r>
        <w:rPr>
          <w:spacing w:val="-22"/>
          <w:sz w:val="24"/>
          <w:szCs w:val="24"/>
        </w:rPr>
        <w:t>六、作业人员遗失IC卡的，应在核实后及时报项目部或劳务公司补办</w:t>
      </w:r>
      <w:r>
        <w:rPr>
          <w:spacing w:val="-23"/>
          <w:sz w:val="24"/>
          <w:szCs w:val="24"/>
        </w:rPr>
        <w:t>，并负责做好相关数</w:t>
      </w:r>
      <w:r>
        <w:rPr>
          <w:spacing w:val="-20"/>
          <w:sz w:val="24"/>
          <w:szCs w:val="24"/>
        </w:rPr>
        <w:t>据街接。作业人员出入施工区域必须刷卡考勤，刷卡考勤记录作为其工资发放和解决劳资纠纷</w:t>
      </w:r>
      <w:r>
        <w:rPr>
          <w:spacing w:val="-18"/>
          <w:sz w:val="24"/>
          <w:szCs w:val="24"/>
        </w:rPr>
        <w:t>的重要依据。</w:t>
      </w:r>
    </w:p>
    <w:p w14:paraId="2665F98A">
      <w:pPr>
        <w:pStyle w:val="2"/>
        <w:spacing w:before="115" w:line="278" w:lineRule="auto"/>
        <w:ind w:left="1475" w:right="1410" w:firstLine="422"/>
        <w:rPr>
          <w:sz w:val="24"/>
          <w:szCs w:val="24"/>
        </w:rPr>
      </w:pPr>
      <w:r>
        <w:rPr>
          <w:spacing w:val="-22"/>
          <w:sz w:val="24"/>
          <w:szCs w:val="24"/>
        </w:rPr>
        <w:t>七、作业人员在本工程项目工作结束、离开项目前IC卡上交班组长。</w:t>
      </w:r>
      <w:r>
        <w:rPr>
          <w:spacing w:val="-23"/>
          <w:sz w:val="24"/>
          <w:szCs w:val="24"/>
        </w:rPr>
        <w:t>作业人员退场后，项</w:t>
      </w:r>
      <w:r>
        <w:rPr>
          <w:spacing w:val="-20"/>
          <w:sz w:val="24"/>
          <w:szCs w:val="24"/>
        </w:rPr>
        <w:t>目部应及时在人员花名册上注明其离场时间，在员工登记表中注明工资结</w:t>
      </w:r>
      <w:r>
        <w:rPr>
          <w:spacing w:val="-21"/>
          <w:sz w:val="24"/>
          <w:szCs w:val="24"/>
        </w:rPr>
        <w:t>算情况，并在务工人</w:t>
      </w:r>
      <w:r>
        <w:rPr>
          <w:spacing w:val="-23"/>
          <w:sz w:val="24"/>
          <w:szCs w:val="24"/>
        </w:rPr>
        <w:t>员信息系统中及时输入离场时间。</w:t>
      </w:r>
    </w:p>
    <w:p w14:paraId="3191B161">
      <w:pPr>
        <w:pStyle w:val="2"/>
        <w:spacing w:before="81" w:line="217" w:lineRule="auto"/>
        <w:ind w:left="1986"/>
        <w:outlineLvl w:val="2"/>
        <w:rPr>
          <w:sz w:val="28"/>
          <w:szCs w:val="28"/>
        </w:rPr>
      </w:pPr>
      <w:bookmarkStart w:id="127" w:name="bookmark122"/>
      <w:bookmarkEnd w:id="127"/>
      <w:r>
        <w:rPr>
          <w:b/>
          <w:bCs/>
          <w:spacing w:val="-23"/>
          <w:sz w:val="28"/>
          <w:szCs w:val="28"/>
        </w:rPr>
        <w:t>二、农民工工资的保证措施</w:t>
      </w:r>
    </w:p>
    <w:p w14:paraId="0B6BC2B1">
      <w:pPr>
        <w:pStyle w:val="2"/>
        <w:spacing w:before="105" w:line="308" w:lineRule="auto"/>
        <w:ind w:left="1457" w:right="1409" w:firstLine="436"/>
        <w:jc w:val="both"/>
        <w:rPr>
          <w:sz w:val="24"/>
          <w:szCs w:val="24"/>
        </w:rPr>
      </w:pPr>
      <w:r>
        <w:rPr>
          <w:spacing w:val="-20"/>
          <w:sz w:val="24"/>
          <w:szCs w:val="24"/>
        </w:rPr>
        <w:t>本项目工期相对较短、任务重，须投入大量人力、物力、财力，中标人须有具体措施，确保投入充足的农民工数量，规范农民工工资发放，确保不出现上访投诉事件发生。劳动力配备</w:t>
      </w:r>
      <w:r>
        <w:rPr>
          <w:spacing w:val="-21"/>
          <w:sz w:val="24"/>
          <w:szCs w:val="24"/>
        </w:rPr>
        <w:t>详见：附图附表劳动力安排计划表。</w:t>
      </w:r>
    </w:p>
    <w:p w14:paraId="0657B53A">
      <w:pPr>
        <w:pStyle w:val="2"/>
        <w:spacing w:before="6" w:line="307" w:lineRule="auto"/>
        <w:ind w:left="1453" w:right="1409" w:firstLine="440"/>
        <w:jc w:val="both"/>
        <w:rPr>
          <w:sz w:val="24"/>
          <w:szCs w:val="24"/>
        </w:rPr>
      </w:pPr>
      <w:r>
        <w:rPr>
          <w:spacing w:val="-20"/>
          <w:sz w:val="24"/>
          <w:szCs w:val="24"/>
        </w:rPr>
        <w:t>本单位在工程实施过程中用工行为，必须严格执行国家及地方政府的有关规定，依法签订劳动合同，并按规定及时足额支付工资。本单位必须在范围内银行设立农民工工资专用账户，专户资金使用、监管严格按照市建设领域农民工工资专用账户管理意见执行。为更好贯</w:t>
      </w:r>
      <w:r>
        <w:rPr>
          <w:spacing w:val="-19"/>
          <w:sz w:val="24"/>
          <w:szCs w:val="24"/>
        </w:rPr>
        <w:t>彻合政办【2013】55号、合建【2013】155号文和本工程进度款支付条件提出农民工工资保证</w:t>
      </w:r>
      <w:r>
        <w:rPr>
          <w:spacing w:val="-20"/>
          <w:sz w:val="24"/>
          <w:szCs w:val="24"/>
        </w:rPr>
        <w:t>措施及承诺，落实工资支付相关规定，切实保障劳动者合法权益，特作如下郑重承诺并保证履</w:t>
      </w:r>
      <w:r>
        <w:rPr>
          <w:spacing w:val="-23"/>
          <w:sz w:val="24"/>
          <w:szCs w:val="24"/>
        </w:rPr>
        <w:t>行：</w:t>
      </w:r>
    </w:p>
    <w:p w14:paraId="6D92B0A7">
      <w:pPr>
        <w:pStyle w:val="2"/>
        <w:spacing w:line="277" w:lineRule="auto"/>
        <w:ind w:left="1459" w:right="1356" w:firstLine="437"/>
        <w:rPr>
          <w:sz w:val="24"/>
          <w:szCs w:val="24"/>
        </w:rPr>
      </w:pPr>
      <w:r>
        <w:rPr>
          <w:spacing w:val="-24"/>
          <w:sz w:val="24"/>
          <w:szCs w:val="24"/>
        </w:rPr>
        <w:t>一、工程实施过程中用工行为，严格执行国家及地方政府的有关规定，依法签订劳动合同，</w:t>
      </w:r>
      <w:r>
        <w:rPr>
          <w:spacing w:val="-19"/>
          <w:sz w:val="24"/>
          <w:szCs w:val="24"/>
        </w:rPr>
        <w:t>并按规定及时足额支付工资。在范围内银行设立农民</w:t>
      </w:r>
      <w:r>
        <w:rPr>
          <w:spacing w:val="-20"/>
          <w:sz w:val="24"/>
          <w:szCs w:val="24"/>
        </w:rPr>
        <w:t>工工资专用账户，专户资金使用、</w:t>
      </w:r>
      <w:r>
        <w:rPr>
          <w:spacing w:val="-21"/>
          <w:sz w:val="24"/>
          <w:szCs w:val="24"/>
        </w:rPr>
        <w:t>监管严格按照市建设领域农民工工资专用账户管理</w:t>
      </w:r>
      <w:r>
        <w:rPr>
          <w:spacing w:val="-22"/>
          <w:sz w:val="24"/>
          <w:szCs w:val="24"/>
        </w:rPr>
        <w:t>意见执行。</w:t>
      </w:r>
    </w:p>
    <w:p w14:paraId="01321B17">
      <w:pPr>
        <w:pStyle w:val="2"/>
        <w:spacing w:before="121" w:line="262" w:lineRule="auto"/>
        <w:ind w:left="1457" w:right="1410" w:firstLine="443"/>
        <w:rPr>
          <w:sz w:val="24"/>
          <w:szCs w:val="24"/>
        </w:rPr>
      </w:pPr>
      <w:r>
        <w:rPr>
          <w:spacing w:val="-20"/>
          <w:sz w:val="24"/>
          <w:szCs w:val="24"/>
        </w:rPr>
        <w:t>二、自觉遵守国家和省、市劳动保障和建筑市场管理的有关法律法规规定，自觉服从劳动</w:t>
      </w:r>
      <w:r>
        <w:rPr>
          <w:spacing w:val="-21"/>
          <w:sz w:val="24"/>
          <w:szCs w:val="24"/>
        </w:rPr>
        <w:t>保障、建设行政主管部门的监督和管理。</w:t>
      </w:r>
    </w:p>
    <w:p w14:paraId="6FFFDFD0">
      <w:pPr>
        <w:pStyle w:val="2"/>
        <w:spacing w:before="116" w:line="217" w:lineRule="auto"/>
        <w:ind w:left="1899"/>
        <w:rPr>
          <w:sz w:val="24"/>
          <w:szCs w:val="24"/>
        </w:rPr>
      </w:pPr>
      <w:r>
        <w:rPr>
          <w:spacing w:val="-21"/>
          <w:sz w:val="24"/>
          <w:szCs w:val="24"/>
        </w:rPr>
        <w:t>三、为了保证民工工资，我公司做了多项保</w:t>
      </w:r>
      <w:r>
        <w:rPr>
          <w:spacing w:val="-22"/>
          <w:sz w:val="24"/>
          <w:szCs w:val="24"/>
        </w:rPr>
        <w:t>证措施</w:t>
      </w:r>
    </w:p>
    <w:p w14:paraId="5EC4EFE8">
      <w:pPr>
        <w:spacing w:line="217" w:lineRule="auto"/>
        <w:rPr>
          <w:sz w:val="24"/>
          <w:szCs w:val="24"/>
        </w:rPr>
        <w:sectPr>
          <w:footerReference r:id="rId195" w:type="default"/>
          <w:pgSz w:w="11907" w:h="16839"/>
          <w:pgMar w:top="954" w:right="4" w:bottom="1038" w:left="0" w:header="499" w:footer="357" w:gutter="0"/>
          <w:pgBorders>
            <w:top w:val="none" w:sz="0" w:space="0"/>
            <w:left w:val="none" w:sz="0" w:space="0"/>
            <w:bottom w:val="none" w:sz="0" w:space="0"/>
            <w:right w:val="none" w:sz="0" w:space="0"/>
          </w:pgBorders>
          <w:cols w:space="720" w:num="1"/>
        </w:sectPr>
      </w:pPr>
    </w:p>
    <w:p w14:paraId="4907FDF2">
      <w:pPr>
        <w:spacing w:line="248" w:lineRule="auto"/>
        <w:rPr>
          <w:rFonts w:ascii="Arial"/>
          <w:sz w:val="21"/>
        </w:rPr>
      </w:pPr>
    </w:p>
    <w:p w14:paraId="0C5E3D96">
      <w:pPr>
        <w:pStyle w:val="2"/>
        <w:spacing w:before="78" w:line="286" w:lineRule="auto"/>
        <w:ind w:left="1457" w:right="1357" w:firstLine="446"/>
        <w:rPr>
          <w:sz w:val="24"/>
          <w:szCs w:val="24"/>
        </w:rPr>
      </w:pPr>
      <w:r>
        <w:rPr>
          <w:spacing w:val="-22"/>
          <w:sz w:val="24"/>
          <w:szCs w:val="24"/>
        </w:rPr>
        <w:t>1、我公司各有关部门积极采取措施，保证农民工工资及时发</w:t>
      </w:r>
      <w:r>
        <w:rPr>
          <w:spacing w:val="-23"/>
          <w:sz w:val="24"/>
          <w:szCs w:val="24"/>
        </w:rPr>
        <w:t>放、让农民工劳有所得，也促</w:t>
      </w:r>
      <w:r>
        <w:rPr>
          <w:spacing w:val="-19"/>
          <w:sz w:val="24"/>
          <w:szCs w:val="24"/>
        </w:rPr>
        <w:t>进了建筑施工企业的发展。为了保证工人工资得到保障，我公司单独开设了农民工调查小组。</w:t>
      </w:r>
      <w:r>
        <w:rPr>
          <w:spacing w:val="-29"/>
          <w:sz w:val="24"/>
          <w:szCs w:val="24"/>
        </w:rPr>
        <w:t>专门调查解决农民工拖欠、纠纷等现象，一经发现公司将对其严厉处罚，做到“工程清工资清”，</w:t>
      </w:r>
      <w:r>
        <w:rPr>
          <w:spacing w:val="-20"/>
          <w:sz w:val="24"/>
          <w:szCs w:val="24"/>
        </w:rPr>
        <w:t>决不拖欠农民工一分钱。</w:t>
      </w:r>
    </w:p>
    <w:p w14:paraId="482047B4">
      <w:pPr>
        <w:pStyle w:val="2"/>
        <w:spacing w:before="116" w:line="261" w:lineRule="auto"/>
        <w:ind w:left="1459" w:right="1354" w:firstLine="429"/>
        <w:rPr>
          <w:sz w:val="24"/>
          <w:szCs w:val="24"/>
        </w:rPr>
      </w:pPr>
      <w:r>
        <w:rPr>
          <w:spacing w:val="-26"/>
          <w:sz w:val="24"/>
          <w:szCs w:val="24"/>
        </w:rPr>
        <w:t>2、我公司为民工设立了绿色通道及意见箱，民工有意见或事情可以直接到公司找相关单位，</w:t>
      </w:r>
      <w:r>
        <w:rPr>
          <w:spacing w:val="-20"/>
          <w:sz w:val="24"/>
          <w:szCs w:val="24"/>
        </w:rPr>
        <w:t>并且为其大力解决难题。</w:t>
      </w:r>
    </w:p>
    <w:p w14:paraId="666CA93D">
      <w:pPr>
        <w:pStyle w:val="2"/>
        <w:spacing w:before="121" w:line="262" w:lineRule="auto"/>
        <w:ind w:left="1459" w:right="1437" w:firstLine="431"/>
        <w:rPr>
          <w:sz w:val="24"/>
          <w:szCs w:val="24"/>
        </w:rPr>
      </w:pPr>
      <w:r>
        <w:rPr>
          <w:spacing w:val="-23"/>
          <w:sz w:val="24"/>
          <w:szCs w:val="24"/>
        </w:rPr>
        <w:t>3、在劳动保障行政部门与建设行政主管部门管理下，我公司督促施工单位与民工签订了劳</w:t>
      </w:r>
      <w:r>
        <w:rPr>
          <w:spacing w:val="-21"/>
          <w:sz w:val="24"/>
          <w:szCs w:val="24"/>
        </w:rPr>
        <w:t>动合同，保证民工及时拿到自己的辛苦钱，也保证了</w:t>
      </w:r>
      <w:r>
        <w:rPr>
          <w:spacing w:val="-22"/>
          <w:sz w:val="24"/>
          <w:szCs w:val="24"/>
        </w:rPr>
        <w:t>工程建设的顺利进展。</w:t>
      </w:r>
    </w:p>
    <w:p w14:paraId="5BF8C880">
      <w:pPr>
        <w:pStyle w:val="2"/>
        <w:spacing w:before="116" w:line="262" w:lineRule="auto"/>
        <w:ind w:left="1456" w:right="1336" w:firstLine="428"/>
        <w:rPr>
          <w:sz w:val="24"/>
          <w:szCs w:val="24"/>
        </w:rPr>
      </w:pPr>
      <w:r>
        <w:rPr>
          <w:spacing w:val="-22"/>
          <w:sz w:val="24"/>
          <w:szCs w:val="24"/>
        </w:rPr>
        <w:t>4、我公司设立民工工资专用帐户，预存工资款，避免了由于工程中一些复杂问题而造成资</w:t>
      </w:r>
      <w:r>
        <w:rPr>
          <w:spacing w:val="-23"/>
          <w:sz w:val="24"/>
          <w:szCs w:val="24"/>
        </w:rPr>
        <w:t>金困难，使的工资迟迟发不下去。建立专用帐户正是能保障工程在危急时候能够保</w:t>
      </w:r>
      <w:r>
        <w:rPr>
          <w:spacing w:val="-24"/>
          <w:sz w:val="24"/>
          <w:szCs w:val="24"/>
        </w:rPr>
        <w:t>证民工工资。</w:t>
      </w:r>
    </w:p>
    <w:p w14:paraId="54D324F0">
      <w:pPr>
        <w:pStyle w:val="2"/>
        <w:spacing w:before="121" w:line="217" w:lineRule="auto"/>
        <w:ind w:left="1890"/>
        <w:rPr>
          <w:sz w:val="24"/>
          <w:szCs w:val="24"/>
        </w:rPr>
      </w:pPr>
      <w:r>
        <w:rPr>
          <w:spacing w:val="-21"/>
          <w:sz w:val="24"/>
          <w:szCs w:val="24"/>
        </w:rPr>
        <w:t>5、保证按月发放工资，要求施工单位每月准时发放民工工资。</w:t>
      </w:r>
    </w:p>
    <w:p w14:paraId="5839F6A4">
      <w:pPr>
        <w:pStyle w:val="2"/>
        <w:spacing w:before="82" w:line="219" w:lineRule="auto"/>
        <w:ind w:left="1985"/>
        <w:outlineLvl w:val="2"/>
        <w:rPr>
          <w:sz w:val="28"/>
          <w:szCs w:val="28"/>
        </w:rPr>
      </w:pPr>
      <w:bookmarkStart w:id="128" w:name="bookmark123"/>
      <w:bookmarkEnd w:id="128"/>
      <w:r>
        <w:rPr>
          <w:b/>
          <w:bCs/>
          <w:spacing w:val="-23"/>
          <w:sz w:val="28"/>
          <w:szCs w:val="28"/>
        </w:rPr>
        <w:t>三、不拖欠农民工工资的承诺书</w:t>
      </w:r>
    </w:p>
    <w:p w14:paraId="76AB0E3C">
      <w:pPr>
        <w:pStyle w:val="2"/>
        <w:spacing w:before="104" w:line="307" w:lineRule="auto"/>
        <w:ind w:left="1463" w:right="1411" w:firstLine="438"/>
        <w:rPr>
          <w:sz w:val="24"/>
          <w:szCs w:val="24"/>
        </w:rPr>
      </w:pPr>
      <w:r>
        <w:rPr>
          <w:spacing w:val="-14"/>
          <w:sz w:val="24"/>
          <w:szCs w:val="24"/>
        </w:rPr>
        <w:t>为认真贯彻落实各上级主管部门关于切实解决建设领域拖欠工程款的民工工资问题的要</w:t>
      </w:r>
      <w:r>
        <w:rPr>
          <w:spacing w:val="-21"/>
          <w:sz w:val="24"/>
          <w:szCs w:val="24"/>
        </w:rPr>
        <w:t>求，我公司承诺：决不出现施工单位拖欠民工</w:t>
      </w:r>
      <w:r>
        <w:rPr>
          <w:spacing w:val="-22"/>
          <w:sz w:val="24"/>
          <w:szCs w:val="24"/>
        </w:rPr>
        <w:t>工资。具体承诺如下：</w:t>
      </w:r>
    </w:p>
    <w:p w14:paraId="530E5923">
      <w:pPr>
        <w:pStyle w:val="2"/>
        <w:spacing w:line="218" w:lineRule="auto"/>
        <w:ind w:left="1903"/>
        <w:rPr>
          <w:sz w:val="24"/>
          <w:szCs w:val="24"/>
        </w:rPr>
      </w:pPr>
      <w:r>
        <w:rPr>
          <w:spacing w:val="-20"/>
          <w:sz w:val="24"/>
          <w:szCs w:val="24"/>
        </w:rPr>
        <w:t>1、与所有民工签订劳动合同。</w:t>
      </w:r>
    </w:p>
    <w:p w14:paraId="449C8F28">
      <w:pPr>
        <w:pStyle w:val="2"/>
        <w:spacing w:before="117" w:line="217" w:lineRule="auto"/>
        <w:ind w:left="1888"/>
        <w:rPr>
          <w:sz w:val="24"/>
          <w:szCs w:val="24"/>
        </w:rPr>
      </w:pPr>
      <w:r>
        <w:rPr>
          <w:spacing w:val="-21"/>
          <w:sz w:val="24"/>
          <w:szCs w:val="24"/>
        </w:rPr>
        <w:t>2、开设专门帐户，由公司财务派专人专管，</w:t>
      </w:r>
      <w:r>
        <w:rPr>
          <w:spacing w:val="-22"/>
          <w:sz w:val="24"/>
          <w:szCs w:val="24"/>
        </w:rPr>
        <w:t>保证工程款的专款专用。</w:t>
      </w:r>
    </w:p>
    <w:p w14:paraId="1E4CAB1D">
      <w:pPr>
        <w:pStyle w:val="2"/>
        <w:spacing w:before="118" w:line="217" w:lineRule="auto"/>
        <w:ind w:left="1890"/>
        <w:rPr>
          <w:sz w:val="24"/>
          <w:szCs w:val="24"/>
        </w:rPr>
      </w:pPr>
      <w:r>
        <w:rPr>
          <w:spacing w:val="-21"/>
          <w:sz w:val="24"/>
          <w:szCs w:val="24"/>
        </w:rPr>
        <w:t>3、严格按行政主管部门规定，足额发放农民工工资。</w:t>
      </w:r>
    </w:p>
    <w:p w14:paraId="427CF4D3">
      <w:pPr>
        <w:pStyle w:val="2"/>
        <w:spacing w:before="117" w:line="217" w:lineRule="auto"/>
        <w:ind w:left="1884"/>
        <w:rPr>
          <w:sz w:val="24"/>
          <w:szCs w:val="24"/>
        </w:rPr>
      </w:pPr>
      <w:r>
        <w:rPr>
          <w:spacing w:val="-21"/>
          <w:sz w:val="24"/>
          <w:szCs w:val="24"/>
        </w:rPr>
        <w:t>4、确保元旦、春节期间按实足额发放劳动者工资，做到零投诉。</w:t>
      </w:r>
    </w:p>
    <w:p w14:paraId="01A58096">
      <w:pPr>
        <w:pStyle w:val="2"/>
        <w:spacing w:before="118" w:line="217" w:lineRule="auto"/>
        <w:ind w:left="1890"/>
        <w:rPr>
          <w:sz w:val="24"/>
          <w:szCs w:val="24"/>
        </w:rPr>
      </w:pPr>
      <w:r>
        <w:rPr>
          <w:spacing w:val="-21"/>
          <w:sz w:val="24"/>
          <w:szCs w:val="24"/>
        </w:rPr>
        <w:t>5、确保年度不发生新的拖欠工资问题。</w:t>
      </w:r>
    </w:p>
    <w:p w14:paraId="62D50166">
      <w:pPr>
        <w:pStyle w:val="2"/>
        <w:spacing w:before="120" w:line="215" w:lineRule="auto"/>
        <w:ind w:left="1887"/>
        <w:rPr>
          <w:sz w:val="24"/>
          <w:szCs w:val="24"/>
        </w:rPr>
      </w:pPr>
      <w:r>
        <w:rPr>
          <w:spacing w:val="-20"/>
          <w:sz w:val="24"/>
          <w:szCs w:val="24"/>
        </w:rPr>
        <w:t>6、确保年度不发生因欠薪而引发的重大群体</w:t>
      </w:r>
      <w:r>
        <w:rPr>
          <w:spacing w:val="-21"/>
          <w:sz w:val="24"/>
          <w:szCs w:val="24"/>
        </w:rPr>
        <w:t>性事件。</w:t>
      </w:r>
    </w:p>
    <w:p w14:paraId="3ACACCC8">
      <w:pPr>
        <w:pStyle w:val="2"/>
        <w:spacing w:before="118" w:line="220" w:lineRule="auto"/>
        <w:ind w:left="1892"/>
        <w:rPr>
          <w:sz w:val="24"/>
          <w:szCs w:val="24"/>
        </w:rPr>
      </w:pPr>
      <w:r>
        <w:rPr>
          <w:spacing w:val="-17"/>
          <w:sz w:val="24"/>
          <w:szCs w:val="24"/>
        </w:rPr>
        <w:t>特此承诺！</w:t>
      </w:r>
    </w:p>
    <w:p w14:paraId="5BAA9333">
      <w:pPr>
        <w:spacing w:line="220" w:lineRule="auto"/>
        <w:rPr>
          <w:sz w:val="24"/>
          <w:szCs w:val="24"/>
        </w:rPr>
        <w:sectPr>
          <w:footerReference r:id="rId196" w:type="default"/>
          <w:pgSz w:w="11907" w:h="16839"/>
          <w:pgMar w:top="954" w:right="4" w:bottom="1038" w:left="0" w:header="499" w:footer="357" w:gutter="0"/>
          <w:pgBorders>
            <w:top w:val="none" w:sz="0" w:space="0"/>
            <w:left w:val="none" w:sz="0" w:space="0"/>
            <w:bottom w:val="none" w:sz="0" w:space="0"/>
            <w:right w:val="none" w:sz="0" w:space="0"/>
          </w:pgBorders>
          <w:cols w:space="720" w:num="1"/>
        </w:sectPr>
      </w:pPr>
    </w:p>
    <w:p w14:paraId="54057C8F">
      <w:pPr>
        <w:pStyle w:val="2"/>
        <w:spacing w:before="262" w:line="222" w:lineRule="auto"/>
        <w:jc w:val="center"/>
        <w:outlineLvl w:val="0"/>
        <w:rPr>
          <w:sz w:val="31"/>
          <w:szCs w:val="31"/>
        </w:rPr>
      </w:pPr>
      <w:bookmarkStart w:id="129" w:name="bookmark125"/>
      <w:bookmarkEnd w:id="129"/>
      <w:bookmarkStart w:id="130" w:name="bookmark124"/>
      <w:bookmarkEnd w:id="130"/>
      <w:bookmarkStart w:id="131" w:name="bookmark126"/>
      <w:bookmarkEnd w:id="131"/>
      <w:r>
        <w:rPr>
          <w:b/>
          <w:bCs/>
          <w:color w:val="7030A0"/>
          <w:spacing w:val="-15"/>
          <w:sz w:val="31"/>
          <w:szCs w:val="31"/>
        </w:rPr>
        <w:t>第五章、质量</w:t>
      </w:r>
      <w:r>
        <w:rPr>
          <w:rFonts w:hint="eastAsia"/>
          <w:b/>
          <w:bCs/>
          <w:color w:val="7030A0"/>
          <w:spacing w:val="-15"/>
          <w:sz w:val="31"/>
          <w:szCs w:val="31"/>
          <w:lang w:val="en-US" w:eastAsia="zh-CN"/>
        </w:rPr>
        <w:t>管理</w:t>
      </w:r>
      <w:r>
        <w:rPr>
          <w:b/>
          <w:bCs/>
          <w:color w:val="7030A0"/>
          <w:spacing w:val="-15"/>
          <w:sz w:val="31"/>
          <w:szCs w:val="31"/>
        </w:rPr>
        <w:t>措施</w:t>
      </w:r>
    </w:p>
    <w:p w14:paraId="540D9C65">
      <w:pPr>
        <w:pStyle w:val="2"/>
        <w:spacing w:before="45" w:line="217" w:lineRule="auto"/>
        <w:ind w:left="4591"/>
        <w:outlineLvl w:val="1"/>
        <w:rPr>
          <w:sz w:val="30"/>
          <w:szCs w:val="30"/>
        </w:rPr>
      </w:pPr>
      <w:bookmarkStart w:id="132" w:name="bookmark307"/>
      <w:bookmarkEnd w:id="132"/>
      <w:r>
        <w:rPr>
          <w:b/>
          <w:bCs/>
          <w:color w:val="0070C0"/>
          <w:spacing w:val="-24"/>
          <w:sz w:val="30"/>
          <w:szCs w:val="30"/>
        </w:rPr>
        <w:t>第一节、施工质量目标</w:t>
      </w:r>
    </w:p>
    <w:p w14:paraId="5DAAD321">
      <w:pPr>
        <w:pStyle w:val="2"/>
        <w:spacing w:before="61" w:line="219" w:lineRule="auto"/>
        <w:ind w:left="1981"/>
        <w:outlineLvl w:val="2"/>
        <w:rPr>
          <w:sz w:val="28"/>
          <w:szCs w:val="28"/>
        </w:rPr>
      </w:pPr>
      <w:bookmarkStart w:id="133" w:name="bookmark308"/>
      <w:bookmarkEnd w:id="133"/>
      <w:r>
        <w:rPr>
          <w:b/>
          <w:bCs/>
          <w:spacing w:val="-22"/>
          <w:sz w:val="28"/>
          <w:szCs w:val="28"/>
        </w:rPr>
        <w:t>一、工程质量目标及承诺</w:t>
      </w:r>
    </w:p>
    <w:p w14:paraId="7E952E43">
      <w:pPr>
        <w:pStyle w:val="2"/>
        <w:spacing w:before="104" w:line="301" w:lineRule="auto"/>
        <w:ind w:left="1458" w:right="1354" w:firstLine="435"/>
        <w:jc w:val="both"/>
        <w:rPr>
          <w:sz w:val="24"/>
          <w:szCs w:val="24"/>
        </w:rPr>
      </w:pPr>
      <w:r>
        <w:rPr>
          <w:spacing w:val="-24"/>
          <w:sz w:val="24"/>
          <w:szCs w:val="24"/>
        </w:rPr>
        <w:t>本工程依据国家标准、设计、施工及验收规范、ISO9001质量标准</w:t>
      </w:r>
      <w:r>
        <w:rPr>
          <w:spacing w:val="-25"/>
          <w:sz w:val="24"/>
          <w:szCs w:val="24"/>
        </w:rPr>
        <w:t>体系，制定质量保证措施，</w:t>
      </w:r>
      <w:r>
        <w:rPr>
          <w:spacing w:val="-20"/>
          <w:sz w:val="24"/>
          <w:szCs w:val="24"/>
        </w:rPr>
        <w:t>严格按规范和图纸施工，保证各分部分项工程、单位工程及本招标范围内整体工程均达到现行国家、行业、地方及业主的设计、施工、技术、验收规范规定的合格标准，达到《建筑工程施</w:t>
      </w:r>
      <w:r>
        <w:rPr>
          <w:spacing w:val="-21"/>
          <w:sz w:val="24"/>
          <w:szCs w:val="24"/>
        </w:rPr>
        <w:t>工质量验收统一标准》合格标准，保证项目一次性通</w:t>
      </w:r>
      <w:r>
        <w:rPr>
          <w:spacing w:val="-22"/>
          <w:sz w:val="24"/>
          <w:szCs w:val="24"/>
        </w:rPr>
        <w:t>过验收。</w:t>
      </w:r>
    </w:p>
    <w:p w14:paraId="7EC44023">
      <w:pPr>
        <w:pStyle w:val="2"/>
        <w:spacing w:line="211" w:lineRule="auto"/>
        <w:ind w:left="1986"/>
        <w:outlineLvl w:val="2"/>
        <w:rPr>
          <w:sz w:val="28"/>
          <w:szCs w:val="28"/>
        </w:rPr>
      </w:pPr>
      <w:bookmarkStart w:id="134" w:name="bookmark127"/>
      <w:bookmarkEnd w:id="134"/>
      <w:r>
        <w:rPr>
          <w:b/>
          <w:bCs/>
          <w:spacing w:val="-22"/>
          <w:sz w:val="28"/>
          <w:szCs w:val="28"/>
        </w:rPr>
        <w:t>二、质量分项目标</w:t>
      </w:r>
    </w:p>
    <w:tbl>
      <w:tblPr>
        <w:tblStyle w:val="6"/>
        <w:tblW w:w="9097" w:type="dxa"/>
        <w:tblInd w:w="140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715"/>
        <w:gridCol w:w="1837"/>
        <w:gridCol w:w="2693"/>
        <w:gridCol w:w="1852"/>
      </w:tblGrid>
      <w:tr w14:paraId="1F8657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0" w:hRule="atLeast"/>
        </w:trPr>
        <w:tc>
          <w:tcPr>
            <w:tcW w:w="2715" w:type="dxa"/>
            <w:tcBorders>
              <w:top w:val="single" w:color="000000" w:sz="4" w:space="0"/>
              <w:left w:val="single" w:color="000000" w:sz="4" w:space="0"/>
            </w:tcBorders>
            <w:shd w:val="clear" w:color="auto" w:fill="DEEAF6"/>
            <w:vAlign w:val="top"/>
          </w:tcPr>
          <w:p w14:paraId="61F2A3C3">
            <w:pPr>
              <w:pStyle w:val="7"/>
              <w:spacing w:before="176" w:line="220" w:lineRule="auto"/>
              <w:ind w:left="940"/>
            </w:pPr>
            <w:r>
              <w:rPr>
                <w:b/>
                <w:bCs/>
                <w:spacing w:val="-19"/>
              </w:rPr>
              <w:t>质量分项</w:t>
            </w:r>
          </w:p>
        </w:tc>
        <w:tc>
          <w:tcPr>
            <w:tcW w:w="1837" w:type="dxa"/>
            <w:tcBorders>
              <w:top w:val="single" w:color="000000" w:sz="4" w:space="0"/>
            </w:tcBorders>
            <w:shd w:val="clear" w:color="auto" w:fill="DEEAF6"/>
            <w:vAlign w:val="top"/>
          </w:tcPr>
          <w:p w14:paraId="32E02C0A">
            <w:pPr>
              <w:pStyle w:val="7"/>
              <w:spacing w:before="177" w:line="218" w:lineRule="auto"/>
              <w:ind w:left="494"/>
            </w:pPr>
            <w:r>
              <w:rPr>
                <w:b/>
                <w:bCs/>
                <w:spacing w:val="-19"/>
              </w:rPr>
              <w:t>质量目标</w:t>
            </w:r>
          </w:p>
        </w:tc>
        <w:tc>
          <w:tcPr>
            <w:tcW w:w="2693" w:type="dxa"/>
            <w:tcBorders>
              <w:top w:val="single" w:color="000000" w:sz="4" w:space="0"/>
            </w:tcBorders>
            <w:shd w:val="clear" w:color="auto" w:fill="DEEAF6"/>
            <w:vAlign w:val="top"/>
          </w:tcPr>
          <w:p w14:paraId="76A643BC">
            <w:pPr>
              <w:pStyle w:val="7"/>
              <w:spacing w:before="176" w:line="220" w:lineRule="auto"/>
              <w:ind w:left="925"/>
            </w:pPr>
            <w:r>
              <w:rPr>
                <w:b/>
                <w:bCs/>
                <w:spacing w:val="-19"/>
              </w:rPr>
              <w:t>质量分项</w:t>
            </w:r>
          </w:p>
        </w:tc>
        <w:tc>
          <w:tcPr>
            <w:tcW w:w="1852" w:type="dxa"/>
            <w:tcBorders>
              <w:top w:val="single" w:color="5B9BD5" w:sz="4" w:space="0"/>
              <w:right w:val="single" w:color="5B9BD5" w:sz="4" w:space="0"/>
            </w:tcBorders>
            <w:shd w:val="clear" w:color="auto" w:fill="DEEAF6"/>
            <w:vAlign w:val="top"/>
          </w:tcPr>
          <w:p w14:paraId="284FDFDF">
            <w:pPr>
              <w:pStyle w:val="7"/>
              <w:spacing w:before="177" w:line="218" w:lineRule="auto"/>
              <w:ind w:left="501"/>
            </w:pPr>
            <w:r>
              <w:rPr>
                <w:b/>
                <w:bCs/>
                <w:spacing w:val="-19"/>
              </w:rPr>
              <w:t>质量目标</w:t>
            </w:r>
          </w:p>
        </w:tc>
      </w:tr>
      <w:tr w14:paraId="682BFE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1" w:hRule="atLeast"/>
        </w:trPr>
        <w:tc>
          <w:tcPr>
            <w:tcW w:w="2715" w:type="dxa"/>
            <w:tcBorders>
              <w:left w:val="single" w:color="000000" w:sz="4" w:space="0"/>
            </w:tcBorders>
            <w:vAlign w:val="top"/>
          </w:tcPr>
          <w:p w14:paraId="78ECF565">
            <w:pPr>
              <w:pStyle w:val="7"/>
              <w:spacing w:before="173" w:line="219" w:lineRule="auto"/>
              <w:ind w:left="717"/>
            </w:pPr>
            <w:r>
              <w:rPr>
                <w:spacing w:val="-18"/>
              </w:rPr>
              <w:t>现场质量管理</w:t>
            </w:r>
          </w:p>
        </w:tc>
        <w:tc>
          <w:tcPr>
            <w:tcW w:w="1837" w:type="dxa"/>
            <w:vAlign w:val="top"/>
          </w:tcPr>
          <w:p w14:paraId="3873BC34">
            <w:pPr>
              <w:pStyle w:val="7"/>
              <w:spacing w:before="174" w:line="218" w:lineRule="auto"/>
              <w:ind w:left="709"/>
            </w:pPr>
            <w:r>
              <w:rPr>
                <w:spacing w:val="-10"/>
              </w:rPr>
              <w:t>优良</w:t>
            </w:r>
          </w:p>
        </w:tc>
        <w:tc>
          <w:tcPr>
            <w:tcW w:w="2693" w:type="dxa"/>
            <w:vAlign w:val="top"/>
          </w:tcPr>
          <w:p w14:paraId="0DA0061E">
            <w:pPr>
              <w:pStyle w:val="7"/>
              <w:spacing w:before="174" w:line="221" w:lineRule="auto"/>
              <w:ind w:left="922"/>
            </w:pPr>
            <w:r>
              <w:rPr>
                <w:spacing w:val="-15"/>
              </w:rPr>
              <w:t>观感质量</w:t>
            </w:r>
          </w:p>
        </w:tc>
        <w:tc>
          <w:tcPr>
            <w:tcW w:w="1852" w:type="dxa"/>
            <w:tcBorders>
              <w:right w:val="single" w:color="000000" w:sz="4" w:space="0"/>
            </w:tcBorders>
            <w:vAlign w:val="top"/>
          </w:tcPr>
          <w:p w14:paraId="7816D885">
            <w:pPr>
              <w:pStyle w:val="7"/>
              <w:spacing w:before="174" w:line="218" w:lineRule="auto"/>
              <w:ind w:left="713"/>
            </w:pPr>
            <w:r>
              <w:rPr>
                <w:spacing w:val="-8"/>
              </w:rPr>
              <w:t>优良</w:t>
            </w:r>
          </w:p>
        </w:tc>
      </w:tr>
      <w:tr w14:paraId="75D949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0" w:hRule="atLeast"/>
        </w:trPr>
        <w:tc>
          <w:tcPr>
            <w:tcW w:w="2715" w:type="dxa"/>
            <w:tcBorders>
              <w:left w:val="single" w:color="000000" w:sz="4" w:space="0"/>
            </w:tcBorders>
            <w:vAlign w:val="top"/>
          </w:tcPr>
          <w:p w14:paraId="4144C5A6">
            <w:pPr>
              <w:pStyle w:val="7"/>
              <w:spacing w:before="168" w:line="220" w:lineRule="auto"/>
              <w:ind w:left="717"/>
            </w:pPr>
            <w:r>
              <w:rPr>
                <w:spacing w:val="-18"/>
              </w:rPr>
              <w:t>设备安装质量</w:t>
            </w:r>
          </w:p>
        </w:tc>
        <w:tc>
          <w:tcPr>
            <w:tcW w:w="1837" w:type="dxa"/>
            <w:vAlign w:val="top"/>
          </w:tcPr>
          <w:p w14:paraId="38D37723">
            <w:pPr>
              <w:pStyle w:val="7"/>
              <w:spacing w:before="169" w:line="218" w:lineRule="auto"/>
              <w:ind w:left="709"/>
            </w:pPr>
            <w:r>
              <w:rPr>
                <w:spacing w:val="-10"/>
              </w:rPr>
              <w:t>优良</w:t>
            </w:r>
          </w:p>
        </w:tc>
        <w:tc>
          <w:tcPr>
            <w:tcW w:w="2693" w:type="dxa"/>
            <w:vAlign w:val="top"/>
          </w:tcPr>
          <w:p w14:paraId="5E072D32">
            <w:pPr>
              <w:pStyle w:val="7"/>
              <w:spacing w:before="169" w:line="217" w:lineRule="auto"/>
              <w:ind w:left="923"/>
            </w:pPr>
            <w:r>
              <w:rPr>
                <w:spacing w:val="-15"/>
              </w:rPr>
              <w:t>使用功能</w:t>
            </w:r>
          </w:p>
        </w:tc>
        <w:tc>
          <w:tcPr>
            <w:tcW w:w="1852" w:type="dxa"/>
            <w:tcBorders>
              <w:right w:val="single" w:color="000000" w:sz="4" w:space="0"/>
            </w:tcBorders>
            <w:vAlign w:val="top"/>
          </w:tcPr>
          <w:p w14:paraId="6A564C76">
            <w:pPr>
              <w:pStyle w:val="7"/>
              <w:spacing w:before="169" w:line="218" w:lineRule="auto"/>
              <w:ind w:left="713"/>
            </w:pPr>
            <w:r>
              <w:rPr>
                <w:spacing w:val="-10"/>
              </w:rPr>
              <w:t>优良</w:t>
            </w:r>
          </w:p>
        </w:tc>
      </w:tr>
      <w:tr w14:paraId="0B940B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7" w:hRule="atLeast"/>
        </w:trPr>
        <w:tc>
          <w:tcPr>
            <w:tcW w:w="2715" w:type="dxa"/>
            <w:tcBorders>
              <w:left w:val="single" w:color="000000" w:sz="4" w:space="0"/>
            </w:tcBorders>
            <w:vAlign w:val="top"/>
          </w:tcPr>
          <w:p w14:paraId="12FA7DC7">
            <w:pPr>
              <w:pStyle w:val="7"/>
              <w:spacing w:before="162" w:line="220" w:lineRule="auto"/>
              <w:ind w:left="731"/>
            </w:pPr>
            <w:r>
              <w:rPr>
                <w:spacing w:val="-20"/>
              </w:rPr>
              <w:t>管网施工质量</w:t>
            </w:r>
          </w:p>
        </w:tc>
        <w:tc>
          <w:tcPr>
            <w:tcW w:w="1837" w:type="dxa"/>
            <w:vAlign w:val="top"/>
          </w:tcPr>
          <w:p w14:paraId="3E250550">
            <w:pPr>
              <w:pStyle w:val="7"/>
              <w:spacing w:before="163" w:line="218" w:lineRule="auto"/>
              <w:ind w:left="709"/>
            </w:pPr>
            <w:r>
              <w:rPr>
                <w:spacing w:val="-10"/>
              </w:rPr>
              <w:t>优良</w:t>
            </w:r>
          </w:p>
        </w:tc>
        <w:tc>
          <w:tcPr>
            <w:tcW w:w="2693" w:type="dxa"/>
            <w:vAlign w:val="top"/>
          </w:tcPr>
          <w:p w14:paraId="753A2054">
            <w:pPr>
              <w:pStyle w:val="7"/>
              <w:spacing w:before="162" w:line="220" w:lineRule="auto"/>
              <w:ind w:left="935"/>
            </w:pPr>
            <w:r>
              <w:rPr>
                <w:spacing w:val="-19"/>
              </w:rPr>
              <w:t>管网质量</w:t>
            </w:r>
          </w:p>
        </w:tc>
        <w:tc>
          <w:tcPr>
            <w:tcW w:w="1852" w:type="dxa"/>
            <w:tcBorders>
              <w:right w:val="single" w:color="000000" w:sz="4" w:space="0"/>
            </w:tcBorders>
            <w:vAlign w:val="top"/>
          </w:tcPr>
          <w:p w14:paraId="7EB192C9">
            <w:pPr>
              <w:pStyle w:val="7"/>
              <w:spacing w:before="163" w:line="218" w:lineRule="auto"/>
              <w:ind w:left="713"/>
            </w:pPr>
            <w:r>
              <w:rPr>
                <w:spacing w:val="-10"/>
              </w:rPr>
              <w:t>优良</w:t>
            </w:r>
          </w:p>
        </w:tc>
      </w:tr>
      <w:tr w14:paraId="5708F1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0" w:hRule="atLeast"/>
        </w:trPr>
        <w:tc>
          <w:tcPr>
            <w:tcW w:w="2715" w:type="dxa"/>
            <w:tcBorders>
              <w:left w:val="single" w:color="000000" w:sz="4" w:space="0"/>
            </w:tcBorders>
            <w:vAlign w:val="top"/>
          </w:tcPr>
          <w:p w14:paraId="7DB8160A">
            <w:pPr>
              <w:pStyle w:val="7"/>
              <w:spacing w:before="162" w:line="218" w:lineRule="auto"/>
              <w:ind w:left="725"/>
            </w:pPr>
            <w:r>
              <w:rPr>
                <w:spacing w:val="-19"/>
              </w:rPr>
              <w:t>市政施工质量</w:t>
            </w:r>
          </w:p>
        </w:tc>
        <w:tc>
          <w:tcPr>
            <w:tcW w:w="1837" w:type="dxa"/>
            <w:vAlign w:val="top"/>
          </w:tcPr>
          <w:p w14:paraId="562EE6BB">
            <w:pPr>
              <w:pStyle w:val="7"/>
              <w:spacing w:before="162" w:line="218" w:lineRule="auto"/>
              <w:ind w:left="709"/>
            </w:pPr>
            <w:r>
              <w:rPr>
                <w:spacing w:val="-10"/>
              </w:rPr>
              <w:t>优良</w:t>
            </w:r>
          </w:p>
        </w:tc>
        <w:tc>
          <w:tcPr>
            <w:tcW w:w="2693" w:type="dxa"/>
            <w:vAlign w:val="top"/>
          </w:tcPr>
          <w:p w14:paraId="5A6052EB">
            <w:pPr>
              <w:pStyle w:val="7"/>
              <w:spacing w:before="162" w:line="216" w:lineRule="auto"/>
              <w:ind w:left="921"/>
            </w:pPr>
            <w:r>
              <w:rPr>
                <w:spacing w:val="-15"/>
              </w:rPr>
              <w:t>施工资料</w:t>
            </w:r>
          </w:p>
        </w:tc>
        <w:tc>
          <w:tcPr>
            <w:tcW w:w="1852" w:type="dxa"/>
            <w:tcBorders>
              <w:right w:val="single" w:color="000000" w:sz="4" w:space="0"/>
            </w:tcBorders>
            <w:vAlign w:val="top"/>
          </w:tcPr>
          <w:p w14:paraId="563188A2">
            <w:pPr>
              <w:pStyle w:val="7"/>
              <w:spacing w:before="162" w:line="218" w:lineRule="auto"/>
              <w:ind w:left="713"/>
            </w:pPr>
            <w:r>
              <w:rPr>
                <w:spacing w:val="-10"/>
              </w:rPr>
              <w:t>优良</w:t>
            </w:r>
          </w:p>
        </w:tc>
      </w:tr>
      <w:tr w14:paraId="43B5CE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1" w:hRule="atLeast"/>
        </w:trPr>
        <w:tc>
          <w:tcPr>
            <w:tcW w:w="2715" w:type="dxa"/>
            <w:tcBorders>
              <w:left w:val="single" w:color="1C456A" w:sz="4" w:space="0"/>
              <w:bottom w:val="single" w:color="1C456A" w:sz="4" w:space="0"/>
            </w:tcBorders>
            <w:vAlign w:val="top"/>
          </w:tcPr>
          <w:p w14:paraId="57461AF4">
            <w:pPr>
              <w:pStyle w:val="7"/>
              <w:spacing w:before="158" w:line="220" w:lineRule="auto"/>
              <w:ind w:left="721"/>
            </w:pPr>
            <w:r>
              <w:pict>
                <v:shape id="_x0000_s3503" o:spid="_x0000_s3503" style="position:absolute;left:0pt;margin-left:-0.2pt;margin-top:36.6pt;height:0.75pt;width:2.2pt;mso-position-horizontal-relative:page;mso-position-vertical-relative:page;z-index:252108800;mso-width-relative:page;mso-height-relative:page;" fillcolor="#5B9BD5" filled="t" stroked="f" coordsize="44,15" path="m0,14l43,14,43,0,0,0,0,14xe">
                  <v:path/>
                  <v:fill on="t" focussize="0,0"/>
                  <v:stroke on="f"/>
                  <v:imagedata o:title=""/>
                  <o:lock v:ext="edit"/>
                </v:shape>
              </w:pict>
            </w:r>
            <w:r>
              <w:rPr>
                <w:spacing w:val="-18"/>
              </w:rPr>
              <w:t>安装施工质量</w:t>
            </w:r>
          </w:p>
        </w:tc>
        <w:tc>
          <w:tcPr>
            <w:tcW w:w="1837" w:type="dxa"/>
            <w:tcBorders>
              <w:bottom w:val="single" w:color="000000" w:sz="4" w:space="0"/>
            </w:tcBorders>
            <w:vAlign w:val="top"/>
          </w:tcPr>
          <w:p w14:paraId="372A140C">
            <w:pPr>
              <w:pStyle w:val="7"/>
              <w:spacing w:before="158" w:line="218" w:lineRule="auto"/>
              <w:ind w:left="709"/>
            </w:pPr>
            <w:r>
              <w:rPr>
                <w:spacing w:val="-10"/>
              </w:rPr>
              <w:t>优良</w:t>
            </w:r>
          </w:p>
        </w:tc>
        <w:tc>
          <w:tcPr>
            <w:tcW w:w="2693" w:type="dxa"/>
            <w:tcBorders>
              <w:bottom w:val="single" w:color="000000" w:sz="4" w:space="0"/>
            </w:tcBorders>
            <w:vAlign w:val="top"/>
          </w:tcPr>
          <w:p w14:paraId="02419733">
            <w:pPr>
              <w:pStyle w:val="7"/>
              <w:spacing w:before="159" w:line="217" w:lineRule="auto"/>
              <w:ind w:left="384"/>
            </w:pPr>
            <w:r>
              <w:rPr>
                <w:spacing w:val="-20"/>
              </w:rPr>
              <w:t>重要部位及细部质量</w:t>
            </w:r>
          </w:p>
        </w:tc>
        <w:tc>
          <w:tcPr>
            <w:tcW w:w="1852" w:type="dxa"/>
            <w:tcBorders>
              <w:bottom w:val="single" w:color="5B9BD5" w:sz="4" w:space="0"/>
              <w:right w:val="single" w:color="5B9BD5" w:sz="4" w:space="0"/>
            </w:tcBorders>
            <w:vAlign w:val="top"/>
          </w:tcPr>
          <w:p w14:paraId="581ADD29">
            <w:pPr>
              <w:pStyle w:val="7"/>
              <w:spacing w:before="158" w:line="218" w:lineRule="auto"/>
              <w:ind w:left="713"/>
            </w:pPr>
            <w:r>
              <w:pict>
                <v:shape id="_x0000_s3504" o:spid="_x0000_s3504" style="position:absolute;left:0pt;margin-left:90.7pt;margin-top:36.6pt;height:0.75pt;width:2.2pt;mso-position-horizontal-relative:page;mso-position-vertical-relative:page;z-index:252107776;mso-width-relative:page;mso-height-relative:page;" fillcolor="#5B9BD5" filled="t" stroked="f" coordsize="44,15" path="m0,14l43,14,43,0,0,0,0,14xe">
                  <v:path/>
                  <v:fill on="t" focussize="0,0"/>
                  <v:stroke on="f"/>
                  <v:imagedata o:title=""/>
                  <o:lock v:ext="edit"/>
                </v:shape>
              </w:pict>
            </w:r>
            <w:r>
              <w:rPr>
                <w:spacing w:val="-10"/>
              </w:rPr>
              <w:t>优良</w:t>
            </w:r>
          </w:p>
        </w:tc>
      </w:tr>
    </w:tbl>
    <w:p w14:paraId="18AA5489">
      <w:pPr>
        <w:pStyle w:val="2"/>
        <w:spacing w:before="81" w:line="211" w:lineRule="auto"/>
        <w:ind w:left="1985"/>
        <w:outlineLvl w:val="2"/>
        <w:rPr>
          <w:sz w:val="28"/>
          <w:szCs w:val="28"/>
        </w:rPr>
      </w:pPr>
      <w:r>
        <w:pict>
          <v:shape id="_x0000_s3505" o:spid="_x0000_s3505" style="position:absolute;left:0pt;margin-left:440.85pt;margin-top:21.5pt;height:0.75pt;width:2.2pt;z-index:252097536;mso-width-relative:page;mso-height-relative:page;" fillcolor="#1C456A" filled="t" stroked="f" coordsize="44,15" path="m0,14l43,14,43,0,0,0,0,14xe">
            <v:path/>
            <v:fill on="t" focussize="0,0"/>
            <v:stroke on="f"/>
            <v:imagedata o:title=""/>
            <o:lock v:ext="edit"/>
          </v:shape>
        </w:pict>
      </w:r>
      <w:r>
        <w:pict>
          <v:shape id="_x0000_s3506" o:spid="_x0000_s3506" style="position:absolute;left:0pt;margin-left:357.3pt;margin-top:21.5pt;height:0.75pt;width:2.2pt;z-index:252098560;mso-width-relative:page;mso-height-relative:page;" fillcolor="#1C456A" filled="t" stroked="f" coordsize="44,15" path="m0,14l43,14,43,0,0,0,0,14xe">
            <v:path/>
            <v:fill on="t" focussize="0,0"/>
            <v:stroke on="f"/>
            <v:imagedata o:title=""/>
            <o:lock v:ext="edit"/>
          </v:shape>
        </w:pict>
      </w:r>
      <w:bookmarkStart w:id="135" w:name="bookmark128"/>
      <w:bookmarkEnd w:id="135"/>
      <w:r>
        <w:rPr>
          <w:b/>
          <w:bCs/>
          <w:spacing w:val="-22"/>
          <w:sz w:val="28"/>
          <w:szCs w:val="28"/>
        </w:rPr>
        <w:t>三、工程检验目标</w:t>
      </w:r>
    </w:p>
    <w:tbl>
      <w:tblPr>
        <w:tblStyle w:val="6"/>
        <w:tblW w:w="9104" w:type="dxa"/>
        <w:tblInd w:w="140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423"/>
        <w:gridCol w:w="1661"/>
        <w:gridCol w:w="1672"/>
        <w:gridCol w:w="1665"/>
        <w:gridCol w:w="316"/>
        <w:gridCol w:w="1091"/>
        <w:gridCol w:w="276"/>
      </w:tblGrid>
      <w:tr w14:paraId="314488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6" w:hRule="atLeast"/>
        </w:trPr>
        <w:tc>
          <w:tcPr>
            <w:tcW w:w="2423" w:type="dxa"/>
            <w:tcBorders>
              <w:top w:val="single" w:color="000000" w:sz="4" w:space="0"/>
              <w:left w:val="single" w:color="000000" w:sz="4" w:space="0"/>
            </w:tcBorders>
            <w:shd w:val="clear" w:color="auto" w:fill="DEEAF6"/>
            <w:vAlign w:val="top"/>
          </w:tcPr>
          <w:p w14:paraId="2A3E0391">
            <w:pPr>
              <w:spacing w:line="33" w:lineRule="exact"/>
              <w:ind w:firstLine="2400"/>
            </w:pPr>
            <w:r>
              <w:pict>
                <v:shape id="_x0000_s3507" o:spid="_x0000_s3507" style="position:absolute;left:0pt;margin-left:-0.2pt;margin-top:0pt;height:0.75pt;width:2.2pt;mso-position-horizontal-relative:page;mso-position-vertical-relative:page;z-index:252104704;mso-width-relative:page;mso-height-relative:page;" fillcolor="#5B9BD5" filled="t" stroked="f" coordsize="44,15" path="m0,14l43,14,43,0,0,0,0,14xe">
                  <v:path/>
                  <v:fill on="t" focussize="0,0"/>
                  <v:stroke on="f"/>
                  <v:imagedata o:title=""/>
                  <o:lock v:ext="edit"/>
                </v:shape>
              </w:pict>
            </w:r>
            <w:r>
              <w:pict>
                <v:group id="_x0000_s3508" o:spid="_x0000_s3508" o:spt="203" style="height:2.2pt;width:2.2pt;" coordsize="44,44">
                  <o:lock v:ext="edit"/>
                  <v:shape id="_x0000_s3509" o:spid="_x0000_s3509" style="position:absolute;left:0;top:0;height:15;width:44;" fillcolor="#5B9BD5" filled="t" stroked="f" coordsize="44,15" path="m0,14l43,14,43,0,0,0,0,14xe">
                    <v:path/>
                    <v:fill on="t" focussize="0,0"/>
                    <v:stroke on="f"/>
                    <v:imagedata o:title=""/>
                    <o:lock v:ext="edit"/>
                  </v:shape>
                  <v:shape id="_x0000_s3510" o:spid="_x0000_s3510" style="position:absolute;left:0;top:14;height:15;width:44;" fillcolor="#20507B" filled="t" stroked="f" coordsize="44,15" path="m0,14l43,14,43,0,0,0,0,14xe">
                    <v:path/>
                    <v:fill on="t" focussize="0,0"/>
                    <v:stroke on="f"/>
                    <v:imagedata o:title=""/>
                    <o:lock v:ext="edit"/>
                  </v:shape>
                  <v:shape id="_x0000_s3511" o:spid="_x0000_s3511" style="position:absolute;left:0;top:28;height:15;width:44;" fillcolor="#1C456A" filled="t" stroked="f" coordsize="44,15" path="m0,14l43,14,43,0,0,0,0,14xe">
                    <v:path/>
                    <v:fill on="t" focussize="0,0"/>
                    <v:stroke on="f"/>
                    <v:imagedata o:title=""/>
                    <o:lock v:ext="edit"/>
                  </v:shape>
                  <w10:wrap type="none"/>
                  <w10:anchorlock/>
                </v:group>
              </w:pict>
            </w:r>
          </w:p>
          <w:p w14:paraId="53B22074">
            <w:pPr>
              <w:pStyle w:val="7"/>
              <w:spacing w:before="143" w:line="219" w:lineRule="auto"/>
              <w:ind w:left="785"/>
            </w:pPr>
            <w:r>
              <w:rPr>
                <w:b/>
                <w:bCs/>
                <w:spacing w:val="-18"/>
              </w:rPr>
              <w:t>验收项目</w:t>
            </w:r>
          </w:p>
        </w:tc>
        <w:tc>
          <w:tcPr>
            <w:tcW w:w="1661" w:type="dxa"/>
            <w:tcBorders>
              <w:top w:val="single" w:color="000000" w:sz="4" w:space="0"/>
            </w:tcBorders>
            <w:shd w:val="clear" w:color="auto" w:fill="DEEAF6"/>
            <w:vAlign w:val="top"/>
          </w:tcPr>
          <w:p w14:paraId="54EF03DC">
            <w:pPr>
              <w:pStyle w:val="7"/>
              <w:spacing w:before="176" w:line="217" w:lineRule="auto"/>
              <w:ind w:left="401"/>
            </w:pPr>
            <w:r>
              <w:rPr>
                <w:b/>
                <w:bCs/>
                <w:spacing w:val="-19"/>
              </w:rPr>
              <w:t>单位工程</w:t>
            </w:r>
          </w:p>
        </w:tc>
        <w:tc>
          <w:tcPr>
            <w:tcW w:w="1672" w:type="dxa"/>
            <w:tcBorders>
              <w:top w:val="single" w:color="000000" w:sz="4" w:space="0"/>
            </w:tcBorders>
            <w:shd w:val="clear" w:color="auto" w:fill="DEEAF6"/>
            <w:vAlign w:val="top"/>
          </w:tcPr>
          <w:p w14:paraId="33B080B7">
            <w:pPr>
              <w:spacing w:line="93" w:lineRule="exact"/>
            </w:pPr>
            <w:r>
              <w:rPr>
                <w:position w:val="-1"/>
              </w:rPr>
              <w:pict>
                <v:group id="_x0000_s3512" o:spid="_x0000_s3512" o:spt="203" style="height:5.2pt;width:83.55pt;" coordsize="1671,103">
                  <o:lock v:ext="edit"/>
                  <v:shape id="_x0000_s3513" o:spid="_x0000_s3513" style="position:absolute;left:0;top:0;height:15;width:44;" fillcolor="#5B9BD5" filled="t" stroked="f" coordsize="44,15" path="m0,14l43,14,43,0,0,0,0,14xe">
                    <v:path/>
                    <v:fill on="t" focussize="0,0"/>
                    <v:stroke on="f"/>
                    <v:imagedata o:title=""/>
                    <o:lock v:ext="edit"/>
                  </v:shape>
                  <v:shape id="_x0000_s3514" o:spid="_x0000_s3514" style="position:absolute;left:0;top:14;height:15;width:44;" fillcolor="#20507B" filled="t" stroked="f" coordsize="44,15" path="m0,14l43,14,43,0,0,0,0,14xe">
                    <v:path/>
                    <v:fill on="t" focussize="0,0"/>
                    <v:stroke on="f"/>
                    <v:imagedata o:title=""/>
                    <o:lock v:ext="edit"/>
                  </v:shape>
                  <v:shape id="_x0000_s3515" o:spid="_x0000_s3515" style="position:absolute;left:0;top:28;height:15;width:44;" fillcolor="#1C456A" filled="t" stroked="f" coordsize="44,15" path="m0,14l43,14,43,0,0,0,0,14xe">
                    <v:path/>
                    <v:fill on="t" focussize="0,0"/>
                    <v:stroke on="f"/>
                    <v:imagedata o:title=""/>
                    <o:lock v:ext="edit"/>
                  </v:shape>
                  <v:shape id="_x0000_s3516" o:spid="_x0000_s3516" style="position:absolute;left:43;top:43;height:60;width:1628;" fillcolor="#DEEAF6" filled="t" stroked="f" coordsize="1628,60" path="m0,60l1627,60,1627,0,0,0,0,60xe">
                    <v:path/>
                    <v:fill on="t" focussize="0,0"/>
                    <v:stroke on="f"/>
                    <v:imagedata o:title=""/>
                    <o:lock v:ext="edit"/>
                  </v:shape>
                  <w10:wrap type="none"/>
                  <w10:anchorlock/>
                </v:group>
              </w:pict>
            </w:r>
          </w:p>
          <w:p w14:paraId="06381BF6">
            <w:pPr>
              <w:pStyle w:val="7"/>
              <w:spacing w:before="84" w:line="218" w:lineRule="auto"/>
              <w:ind w:left="408"/>
            </w:pPr>
            <w:r>
              <w:rPr>
                <w:b/>
                <w:bCs/>
                <w:spacing w:val="-18"/>
              </w:rPr>
              <w:t>分部工程</w:t>
            </w:r>
          </w:p>
          <w:p w14:paraId="2D5225CF">
            <w:pPr>
              <w:spacing w:before="196" w:line="49" w:lineRule="exact"/>
            </w:pPr>
            <w:r>
              <w:rPr>
                <w:position w:val="-1"/>
              </w:rPr>
              <w:pict>
                <v:shape id="_x0000_s3517" o:spid="_x0000_s3517" style="height:2.9pt;width:83.55pt;" fillcolor="#DEEAF6" filled="t" stroked="f" coordsize="1671,58" path="m0,57l1670,57,1670,0,0,0,0,57xe">
                  <v:path/>
                  <v:fill on="t" focussize="0,0"/>
                  <v:stroke on="f"/>
                  <v:imagedata o:title=""/>
                  <o:lock v:ext="edit"/>
                  <w10:wrap type="none"/>
                  <w10:anchorlock/>
                </v:shape>
              </w:pict>
            </w:r>
          </w:p>
        </w:tc>
        <w:tc>
          <w:tcPr>
            <w:tcW w:w="1665" w:type="dxa"/>
            <w:tcBorders>
              <w:top w:val="single" w:color="000000" w:sz="4" w:space="0"/>
            </w:tcBorders>
            <w:shd w:val="clear" w:color="auto" w:fill="DEEAF6"/>
            <w:vAlign w:val="top"/>
          </w:tcPr>
          <w:p w14:paraId="69F80527">
            <w:pPr>
              <w:spacing w:line="93" w:lineRule="exact"/>
            </w:pPr>
            <w:r>
              <w:rPr>
                <w:position w:val="-1"/>
              </w:rPr>
              <w:pict>
                <v:group id="_x0000_s3518" o:spid="_x0000_s3518" o:spt="203" style="height:5.2pt;width:83.55pt;" coordsize="1671,103">
                  <o:lock v:ext="edit"/>
                  <v:shape id="_x0000_s3519" o:spid="_x0000_s3519" style="position:absolute;left:0;top:0;height:15;width:44;" fillcolor="#5B9BD5" filled="t" stroked="f" coordsize="44,15" path="m0,14l43,14,43,0,0,0,0,14xe">
                    <v:path/>
                    <v:fill on="t" focussize="0,0"/>
                    <v:stroke on="f"/>
                    <v:imagedata o:title=""/>
                    <o:lock v:ext="edit"/>
                  </v:shape>
                  <v:shape id="_x0000_s3520" o:spid="_x0000_s3520" style="position:absolute;left:0;top:14;height:15;width:44;" fillcolor="#20507B" filled="t" stroked="f" coordsize="44,15" path="m0,14l43,14,43,0,0,0,0,14xe">
                    <v:path/>
                    <v:fill on="t" focussize="0,0"/>
                    <v:stroke on="f"/>
                    <v:imagedata o:title=""/>
                    <o:lock v:ext="edit"/>
                  </v:shape>
                  <v:shape id="_x0000_s3521" o:spid="_x0000_s3521" style="position:absolute;left:43;top:43;height:60;width:1628;" fillcolor="#DEEAF6" filled="t" stroked="f" coordsize="1628,60" path="m0,60l1627,60,1627,0,0,0,0,60xe">
                    <v:path/>
                    <v:fill on="t" focussize="0,0"/>
                    <v:stroke on="f"/>
                    <v:imagedata o:title=""/>
                    <o:lock v:ext="edit"/>
                  </v:shape>
                  <w10:wrap type="none"/>
                  <w10:anchorlock/>
                </v:group>
              </w:pict>
            </w:r>
          </w:p>
          <w:p w14:paraId="2D7AE076">
            <w:pPr>
              <w:pStyle w:val="7"/>
              <w:spacing w:before="83" w:line="219" w:lineRule="auto"/>
              <w:ind w:left="404"/>
            </w:pPr>
            <w:r>
              <w:rPr>
                <w:b/>
                <w:bCs/>
                <w:spacing w:val="-19"/>
              </w:rPr>
              <w:t>分项工程</w:t>
            </w:r>
          </w:p>
          <w:p w14:paraId="1C186DDE">
            <w:pPr>
              <w:spacing w:before="195" w:line="49" w:lineRule="exact"/>
            </w:pPr>
            <w:r>
              <w:rPr>
                <w:position w:val="-1"/>
              </w:rPr>
              <w:pict>
                <v:shape id="_x0000_s3522" o:spid="_x0000_s3522" style="height:2.9pt;width:83.55pt;" fillcolor="#DEEAF6" filled="t" stroked="f" coordsize="1671,58" path="m0,57l1670,57,1670,0,0,0,0,57xe">
                  <v:path/>
                  <v:fill on="t" focussize="0,0"/>
                  <v:stroke on="f"/>
                  <v:imagedata o:title=""/>
                  <o:lock v:ext="edit"/>
                  <w10:wrap type="none"/>
                  <w10:anchorlock/>
                </v:shape>
              </w:pict>
            </w:r>
          </w:p>
        </w:tc>
        <w:tc>
          <w:tcPr>
            <w:tcW w:w="316" w:type="dxa"/>
            <w:tcBorders>
              <w:top w:val="single" w:color="5B9BD5" w:sz="4" w:space="0"/>
              <w:right w:val="nil"/>
            </w:tcBorders>
            <w:shd w:val="clear" w:color="auto" w:fill="DEEAF6"/>
            <w:vAlign w:val="top"/>
          </w:tcPr>
          <w:p w14:paraId="715D6BC1">
            <w:pPr>
              <w:spacing w:line="18" w:lineRule="exact"/>
            </w:pPr>
            <w:r>
              <w:pict>
                <v:group id="_x0000_s3523" o:spid="_x0000_s3523" o:spt="203" style="height:1.45pt;width:2.2pt;" coordsize="44,29">
                  <o:lock v:ext="edit"/>
                  <v:shape id="_x0000_s3524" o:spid="_x0000_s3524" style="position:absolute;left:0;top:0;height:15;width:44;" fillcolor="#5B9BD5" filled="t" stroked="f" coordsize="44,15" path="m0,14l43,14,43,0,0,0,0,14xe">
                    <v:path/>
                    <v:fill on="t" focussize="0,0"/>
                    <v:stroke on="f"/>
                    <v:imagedata o:title=""/>
                    <o:lock v:ext="edit"/>
                  </v:shape>
                  <v:shape id="_x0000_s3525" o:spid="_x0000_s3525" style="position:absolute;left:0;top:14;height:15;width:44;" fillcolor="#20507B" filled="t" stroked="f" coordsize="44,15" path="m0,14l43,14,43,0,0,0,0,14xe">
                    <v:path/>
                    <v:fill on="t" focussize="0,0"/>
                    <v:stroke on="f"/>
                    <v:imagedata o:title=""/>
                    <o:lock v:ext="edit"/>
                  </v:shape>
                  <w10:wrap type="none"/>
                  <w10:anchorlock/>
                </v:group>
              </w:pict>
            </w:r>
          </w:p>
        </w:tc>
        <w:tc>
          <w:tcPr>
            <w:tcW w:w="1091" w:type="dxa"/>
            <w:tcBorders>
              <w:top w:val="single" w:color="5B9BD5" w:sz="4" w:space="0"/>
              <w:left w:val="nil"/>
              <w:right w:val="nil"/>
            </w:tcBorders>
            <w:shd w:val="clear" w:color="auto" w:fill="DEEAF6"/>
            <w:vAlign w:val="top"/>
          </w:tcPr>
          <w:p w14:paraId="69EA08AD">
            <w:pPr>
              <w:pStyle w:val="7"/>
              <w:spacing w:before="177" w:line="218" w:lineRule="auto"/>
              <w:ind w:left="318"/>
            </w:pPr>
            <w:r>
              <w:rPr>
                <w:b/>
                <w:bCs/>
                <w:spacing w:val="-14"/>
              </w:rPr>
              <w:t>工序</w:t>
            </w:r>
          </w:p>
        </w:tc>
        <w:tc>
          <w:tcPr>
            <w:tcW w:w="276" w:type="dxa"/>
            <w:tcBorders>
              <w:top w:val="single" w:color="5B9BD5" w:sz="4" w:space="0"/>
              <w:left w:val="nil"/>
              <w:right w:val="single" w:color="5B9BD5" w:sz="4" w:space="0"/>
            </w:tcBorders>
            <w:shd w:val="clear" w:color="auto" w:fill="DEEAF6"/>
            <w:vAlign w:val="top"/>
          </w:tcPr>
          <w:p w14:paraId="000AD8E2">
            <w:pPr>
              <w:rPr>
                <w:rFonts w:ascii="Arial"/>
                <w:sz w:val="21"/>
              </w:rPr>
            </w:pPr>
            <w:r>
              <w:pict>
                <v:shape id="_x0000_s3526" o:spid="_x0000_s3526" style="position:absolute;left:0pt;margin-left:11.95pt;margin-top:0pt;height:0.75pt;width:2.2pt;mso-position-horizontal-relative:page;mso-position-vertical-relative:page;z-index:252103680;mso-width-relative:page;mso-height-relative:page;" fillcolor="#5B9BD5" filled="t" stroked="f" coordsize="44,15" path="m0,14l43,14,43,0,0,0,0,14xe">
                  <v:path/>
                  <v:fill on="t" focussize="0,0"/>
                  <v:stroke on="f"/>
                  <v:imagedata o:title=""/>
                  <o:lock v:ext="edit"/>
                </v:shape>
              </w:pict>
            </w:r>
          </w:p>
        </w:tc>
      </w:tr>
      <w:tr w14:paraId="091CD9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83" w:hRule="atLeast"/>
        </w:trPr>
        <w:tc>
          <w:tcPr>
            <w:tcW w:w="2423" w:type="dxa"/>
            <w:tcBorders>
              <w:left w:val="single" w:color="000000" w:sz="4" w:space="0"/>
            </w:tcBorders>
            <w:vAlign w:val="top"/>
          </w:tcPr>
          <w:p w14:paraId="71A37FC4">
            <w:pPr>
              <w:pStyle w:val="7"/>
              <w:spacing w:before="147" w:line="218" w:lineRule="auto"/>
              <w:ind w:left="569"/>
            </w:pPr>
            <w:r>
              <w:rPr>
                <w:spacing w:val="-6"/>
              </w:rPr>
              <w:t>验收合格率%</w:t>
            </w:r>
          </w:p>
        </w:tc>
        <w:tc>
          <w:tcPr>
            <w:tcW w:w="1661" w:type="dxa"/>
            <w:vAlign w:val="top"/>
          </w:tcPr>
          <w:p w14:paraId="4D9DA06E">
            <w:pPr>
              <w:pStyle w:val="7"/>
              <w:spacing w:before="147" w:line="237" w:lineRule="auto"/>
              <w:ind w:left="680"/>
            </w:pPr>
            <w:r>
              <w:rPr>
                <w:spacing w:val="-12"/>
              </w:rPr>
              <w:t>100</w:t>
            </w:r>
          </w:p>
        </w:tc>
        <w:tc>
          <w:tcPr>
            <w:tcW w:w="1672" w:type="dxa"/>
            <w:vAlign w:val="top"/>
          </w:tcPr>
          <w:p w14:paraId="03970D1A">
            <w:pPr>
              <w:pStyle w:val="7"/>
              <w:spacing w:before="147" w:line="237" w:lineRule="auto"/>
              <w:ind w:left="689"/>
            </w:pPr>
            <w:r>
              <w:rPr>
                <w:spacing w:val="-12"/>
              </w:rPr>
              <w:t>100</w:t>
            </w:r>
          </w:p>
        </w:tc>
        <w:tc>
          <w:tcPr>
            <w:tcW w:w="1665" w:type="dxa"/>
            <w:vAlign w:val="top"/>
          </w:tcPr>
          <w:p w14:paraId="096F9BF6">
            <w:pPr>
              <w:pStyle w:val="7"/>
              <w:spacing w:before="147" w:line="237" w:lineRule="auto"/>
              <w:ind w:left="688"/>
            </w:pPr>
            <w:r>
              <w:rPr>
                <w:spacing w:val="-12"/>
              </w:rPr>
              <w:t>100</w:t>
            </w:r>
          </w:p>
        </w:tc>
        <w:tc>
          <w:tcPr>
            <w:tcW w:w="1683" w:type="dxa"/>
            <w:gridSpan w:val="3"/>
            <w:tcBorders>
              <w:right w:val="single" w:color="000000" w:sz="4" w:space="0"/>
            </w:tcBorders>
            <w:vAlign w:val="top"/>
          </w:tcPr>
          <w:p w14:paraId="0CE17471">
            <w:pPr>
              <w:pStyle w:val="7"/>
              <w:spacing w:before="147" w:line="237" w:lineRule="auto"/>
              <w:ind w:left="691"/>
            </w:pPr>
            <w:r>
              <w:rPr>
                <w:spacing w:val="-12"/>
              </w:rPr>
              <w:t>100</w:t>
            </w:r>
          </w:p>
        </w:tc>
      </w:tr>
      <w:tr w14:paraId="33C9E6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2423" w:type="dxa"/>
            <w:tcBorders>
              <w:left w:val="single" w:color="1C456A" w:sz="4" w:space="0"/>
              <w:bottom w:val="single" w:color="1C456A" w:sz="4" w:space="0"/>
            </w:tcBorders>
            <w:vAlign w:val="top"/>
          </w:tcPr>
          <w:p w14:paraId="6EF0A71A">
            <w:pPr>
              <w:pStyle w:val="7"/>
              <w:spacing w:before="150" w:line="218" w:lineRule="auto"/>
              <w:ind w:left="569"/>
            </w:pPr>
            <w:r>
              <w:pict>
                <v:shape id="_x0000_s3527" o:spid="_x0000_s3527" style="position:absolute;left:0pt;margin-left:-0.2pt;margin-top:36.2pt;height:0.75pt;width:2.2pt;mso-position-horizontal-relative:page;mso-position-vertical-relative:page;z-index:252106752;mso-width-relative:page;mso-height-relative:page;" fillcolor="#5B9BD5" filled="t" stroked="f" coordsize="44,15" path="m0,14l43,14,43,0,0,0,0,14xe">
                  <v:path/>
                  <v:fill on="t" focussize="0,0"/>
                  <v:stroke on="f"/>
                  <v:imagedata o:title=""/>
                  <o:lock v:ext="edit"/>
                </v:shape>
              </w:pict>
            </w:r>
            <w:r>
              <w:rPr>
                <w:spacing w:val="-6"/>
              </w:rPr>
              <w:t>验收优良率%</w:t>
            </w:r>
          </w:p>
        </w:tc>
        <w:tc>
          <w:tcPr>
            <w:tcW w:w="1661" w:type="dxa"/>
            <w:tcBorders>
              <w:bottom w:val="single" w:color="000000" w:sz="4" w:space="0"/>
            </w:tcBorders>
            <w:vAlign w:val="top"/>
          </w:tcPr>
          <w:p w14:paraId="11B72111">
            <w:pPr>
              <w:pStyle w:val="7"/>
              <w:spacing w:before="150" w:line="237" w:lineRule="auto"/>
              <w:ind w:left="680"/>
            </w:pPr>
            <w:r>
              <w:rPr>
                <w:spacing w:val="-12"/>
              </w:rPr>
              <w:t>100</w:t>
            </w:r>
          </w:p>
        </w:tc>
        <w:tc>
          <w:tcPr>
            <w:tcW w:w="1672" w:type="dxa"/>
            <w:tcBorders>
              <w:bottom w:val="single" w:color="000000" w:sz="4" w:space="0"/>
            </w:tcBorders>
            <w:vAlign w:val="top"/>
          </w:tcPr>
          <w:p w14:paraId="6865F3BC">
            <w:pPr>
              <w:pStyle w:val="7"/>
              <w:spacing w:before="150" w:line="221" w:lineRule="auto"/>
              <w:ind w:left="483"/>
            </w:pPr>
            <w:r>
              <w:rPr>
                <w:spacing w:val="-14"/>
              </w:rPr>
              <w:t>95以上</w:t>
            </w:r>
          </w:p>
        </w:tc>
        <w:tc>
          <w:tcPr>
            <w:tcW w:w="1665" w:type="dxa"/>
            <w:tcBorders>
              <w:bottom w:val="single" w:color="000000" w:sz="4" w:space="0"/>
            </w:tcBorders>
            <w:vAlign w:val="top"/>
          </w:tcPr>
          <w:p w14:paraId="0CF2091F">
            <w:pPr>
              <w:pStyle w:val="7"/>
              <w:spacing w:before="150" w:line="221" w:lineRule="auto"/>
              <w:ind w:left="479"/>
            </w:pPr>
            <w:r>
              <w:rPr>
                <w:spacing w:val="-14"/>
              </w:rPr>
              <w:t>95以上</w:t>
            </w:r>
          </w:p>
        </w:tc>
        <w:tc>
          <w:tcPr>
            <w:tcW w:w="1683" w:type="dxa"/>
            <w:gridSpan w:val="3"/>
            <w:tcBorders>
              <w:bottom w:val="single" w:color="5B9BD5" w:sz="4" w:space="0"/>
              <w:right w:val="single" w:color="5B9BD5" w:sz="4" w:space="0"/>
            </w:tcBorders>
            <w:vAlign w:val="top"/>
          </w:tcPr>
          <w:p w14:paraId="63CBC4F8">
            <w:pPr>
              <w:pStyle w:val="7"/>
              <w:spacing w:before="150" w:line="221" w:lineRule="auto"/>
              <w:ind w:left="485"/>
            </w:pPr>
            <w:r>
              <w:pict>
                <v:shape id="_x0000_s3528" o:spid="_x0000_s3528" style="position:absolute;left:0pt;margin-left:82.3pt;margin-top:36.2pt;height:0.75pt;width:2.2pt;mso-position-horizontal-relative:page;mso-position-vertical-relative:page;z-index:252105728;mso-width-relative:page;mso-height-relative:page;" fillcolor="#5B9BD5" filled="t" stroked="f" coordsize="44,15" path="m0,14l43,14,43,0,0,0,0,14xe">
                  <v:path/>
                  <v:fill on="t" focussize="0,0"/>
                  <v:stroke on="f"/>
                  <v:imagedata o:title=""/>
                  <o:lock v:ext="edit"/>
                </v:shape>
              </w:pict>
            </w:r>
            <w:r>
              <w:rPr>
                <w:spacing w:val="-14"/>
              </w:rPr>
              <w:t>95以上</w:t>
            </w:r>
          </w:p>
        </w:tc>
      </w:tr>
    </w:tbl>
    <w:p w14:paraId="475EFCD2">
      <w:pPr>
        <w:pStyle w:val="2"/>
        <w:spacing w:before="113" w:line="298" w:lineRule="auto"/>
        <w:ind w:left="1455" w:right="1409" w:firstLine="446"/>
        <w:rPr>
          <w:sz w:val="24"/>
          <w:szCs w:val="24"/>
        </w:rPr>
      </w:pPr>
      <w:r>
        <w:rPr>
          <w:spacing w:val="-20"/>
          <w:sz w:val="24"/>
          <w:szCs w:val="24"/>
        </w:rPr>
        <w:t>为了达到质量目标，在施工全过程中，我单位严格按国家有关施工和验收规范、规程及设计图纸组织施工；按照质量手册、程序文件和作业指导书进行质量控制；建立工程质量体系，落实各级人员的质量责任制，实行创优目标管理，签订多项责任状，进行责任目标逐级分解。</w:t>
      </w:r>
      <w:r>
        <w:rPr>
          <w:spacing w:val="-22"/>
          <w:sz w:val="24"/>
          <w:szCs w:val="24"/>
        </w:rPr>
        <w:t>从项目经理、生产指挥系统到生产班组均有创优目标和实际计划，做到责任到人，措施落实。</w:t>
      </w:r>
    </w:p>
    <w:p w14:paraId="3694FDBC">
      <w:pPr>
        <w:pStyle w:val="2"/>
        <w:spacing w:before="1" w:line="217" w:lineRule="auto"/>
        <w:ind w:left="3892"/>
        <w:outlineLvl w:val="1"/>
        <w:rPr>
          <w:sz w:val="30"/>
          <w:szCs w:val="30"/>
        </w:rPr>
      </w:pPr>
      <w:bookmarkStart w:id="136" w:name="bookmark129"/>
      <w:bookmarkEnd w:id="136"/>
      <w:r>
        <w:rPr>
          <w:b/>
          <w:bCs/>
          <w:color w:val="0070C0"/>
          <w:spacing w:val="-24"/>
          <w:sz w:val="30"/>
          <w:szCs w:val="30"/>
        </w:rPr>
        <w:t>第二节、质量管理体系及机构设置</w:t>
      </w:r>
    </w:p>
    <w:p w14:paraId="4987E6D8">
      <w:pPr>
        <w:pStyle w:val="2"/>
        <w:spacing w:before="63" w:line="219" w:lineRule="auto"/>
        <w:ind w:left="1981"/>
        <w:outlineLvl w:val="2"/>
        <w:rPr>
          <w:sz w:val="28"/>
          <w:szCs w:val="28"/>
        </w:rPr>
      </w:pPr>
      <w:bookmarkStart w:id="137" w:name="bookmark130"/>
      <w:bookmarkEnd w:id="137"/>
      <w:r>
        <w:rPr>
          <w:b/>
          <w:bCs/>
          <w:spacing w:val="-22"/>
          <w:sz w:val="28"/>
          <w:szCs w:val="28"/>
        </w:rPr>
        <w:t>一、质量管理体系</w:t>
      </w:r>
    </w:p>
    <w:p w14:paraId="7803A903">
      <w:pPr>
        <w:pStyle w:val="2"/>
        <w:spacing w:before="101" w:line="279" w:lineRule="auto"/>
        <w:ind w:left="1455" w:right="1357" w:firstLine="438"/>
        <w:jc w:val="both"/>
        <w:rPr>
          <w:sz w:val="24"/>
          <w:szCs w:val="24"/>
        </w:rPr>
      </w:pPr>
      <w:r>
        <w:rPr>
          <w:spacing w:val="-26"/>
          <w:sz w:val="24"/>
          <w:szCs w:val="24"/>
        </w:rPr>
        <w:t>根据本企业质量方针、ISO9000质量标准和企业《质量保证手册》，开展全面质量管理活动；</w:t>
      </w:r>
      <w:r>
        <w:rPr>
          <w:spacing w:val="-22"/>
          <w:sz w:val="24"/>
          <w:szCs w:val="24"/>
        </w:rPr>
        <w:t>编制项目《质量策划》、《质量保证制度》和《过程精品实施计划》，并把质量</w:t>
      </w:r>
      <w:r>
        <w:rPr>
          <w:spacing w:val="-23"/>
          <w:sz w:val="24"/>
          <w:szCs w:val="24"/>
        </w:rPr>
        <w:t>职能分解，严</w:t>
      </w:r>
      <w:r>
        <w:rPr>
          <w:spacing w:val="-21"/>
          <w:sz w:val="24"/>
          <w:szCs w:val="24"/>
        </w:rPr>
        <w:t>格按照计划实施，确保每一道工序都是优质、精品，以过程精</w:t>
      </w:r>
      <w:r>
        <w:rPr>
          <w:spacing w:val="-22"/>
          <w:sz w:val="24"/>
          <w:szCs w:val="24"/>
        </w:rPr>
        <w:t>品铸精品工程。</w:t>
      </w:r>
    </w:p>
    <w:tbl>
      <w:tblPr>
        <w:tblStyle w:val="6"/>
        <w:tblW w:w="8554" w:type="dxa"/>
        <w:tblInd w:w="1675" w:type="dxa"/>
        <w:tblBorders>
          <w:top w:val="single" w:color="1C456A" w:sz="4" w:space="0"/>
          <w:left w:val="single" w:color="1C456A" w:sz="4" w:space="0"/>
          <w:bottom w:val="single" w:color="1C456A" w:sz="4" w:space="0"/>
          <w:right w:val="single" w:color="1C456A" w:sz="4" w:space="0"/>
          <w:insideH w:val="single" w:color="1C456A" w:sz="4" w:space="0"/>
          <w:insideV w:val="single" w:color="1C456A" w:sz="4" w:space="0"/>
        </w:tblBorders>
        <w:shd w:val="clear" w:color="auto" w:fill="DEEAF6"/>
        <w:tblLayout w:type="fixed"/>
        <w:tblCellMar>
          <w:top w:w="0" w:type="dxa"/>
          <w:left w:w="0" w:type="dxa"/>
          <w:bottom w:w="0" w:type="dxa"/>
          <w:right w:w="0" w:type="dxa"/>
        </w:tblCellMar>
      </w:tblPr>
      <w:tblGrid>
        <w:gridCol w:w="1788"/>
        <w:gridCol w:w="4999"/>
        <w:gridCol w:w="1767"/>
      </w:tblGrid>
      <w:tr w14:paraId="3B59017F">
        <w:tblPrEx>
          <w:tblBorders>
            <w:top w:val="single" w:color="1C456A" w:sz="4" w:space="0"/>
            <w:left w:val="single" w:color="1C456A" w:sz="4" w:space="0"/>
            <w:bottom w:val="single" w:color="1C456A" w:sz="4" w:space="0"/>
            <w:right w:val="single" w:color="1C456A" w:sz="4" w:space="0"/>
            <w:insideH w:val="single" w:color="1C456A" w:sz="4" w:space="0"/>
            <w:insideV w:val="single" w:color="1C456A" w:sz="4" w:space="0"/>
          </w:tblBorders>
          <w:shd w:val="clear" w:color="auto" w:fill="DEEAF6"/>
        </w:tblPrEx>
        <w:trPr>
          <w:trHeight w:val="649" w:hRule="atLeast"/>
        </w:trPr>
        <w:tc>
          <w:tcPr>
            <w:tcW w:w="1788" w:type="dxa"/>
            <w:tcBorders>
              <w:right w:val="nil"/>
            </w:tcBorders>
            <w:shd w:val="clear" w:color="auto" w:fill="DEEAF6"/>
            <w:vAlign w:val="top"/>
          </w:tcPr>
          <w:p w14:paraId="1E142BB9">
            <w:pPr>
              <w:rPr>
                <w:rFonts w:ascii="Arial"/>
                <w:sz w:val="21"/>
              </w:rPr>
            </w:pPr>
            <w:r>
              <w:pict>
                <v:shape id="_x0000_s3529" o:spid="_x0000_s3529" style="position:absolute;left:0pt;margin-left:-0.25pt;margin-top:0.05pt;height:0.75pt;width:2.2pt;mso-position-horizontal-relative:page;mso-position-vertical-relative:page;z-index:252102656;mso-width-relative:page;mso-height-relative:page;" fillcolor="#5B9BD5" filled="t" stroked="f" coordsize="44,15" path="m0,14l43,14,43,0,0,0,0,14xe">
                  <v:path/>
                  <v:fill on="t" focussize="0,0"/>
                  <v:stroke on="f"/>
                  <v:imagedata o:title=""/>
                  <o:lock v:ext="edit"/>
                </v:shape>
              </w:pict>
            </w:r>
            <w:r>
              <w:pict>
                <v:shape id="_x0000_s3530" o:spid="_x0000_s3530" style="position:absolute;left:0pt;margin-left:-0.25pt;margin-top:32.75pt;height:0.75pt;width:2.2pt;mso-position-horizontal-relative:page;mso-position-vertical-relative:page;z-index:252101632;mso-width-relative:page;mso-height-relative:page;" fillcolor="#5B9BD5" filled="t" stroked="f" coordsize="44,15" path="m0,14l43,14,43,0,0,0,0,14xe">
                  <v:path/>
                  <v:fill on="t" focussize="0,0"/>
                  <v:stroke on="f"/>
                  <v:imagedata o:title=""/>
                  <o:lock v:ext="edit"/>
                </v:shape>
              </w:pict>
            </w:r>
          </w:p>
        </w:tc>
        <w:tc>
          <w:tcPr>
            <w:tcW w:w="4999" w:type="dxa"/>
            <w:tcBorders>
              <w:left w:val="nil"/>
              <w:right w:val="nil"/>
            </w:tcBorders>
            <w:shd w:val="clear" w:color="auto" w:fill="DEEAF6"/>
            <w:vAlign w:val="top"/>
          </w:tcPr>
          <w:p w14:paraId="45A07177">
            <w:pPr>
              <w:pStyle w:val="7"/>
              <w:spacing w:before="127" w:line="218" w:lineRule="auto"/>
              <w:ind w:left="1745"/>
            </w:pPr>
            <w:r>
              <w:rPr>
                <w:b/>
                <w:bCs/>
                <w:spacing w:val="-22"/>
              </w:rPr>
              <w:t>质量管理体系图</w:t>
            </w:r>
          </w:p>
        </w:tc>
        <w:tc>
          <w:tcPr>
            <w:tcW w:w="1767" w:type="dxa"/>
            <w:tcBorders>
              <w:left w:val="nil"/>
            </w:tcBorders>
            <w:shd w:val="clear" w:color="auto" w:fill="DEEAF6"/>
            <w:vAlign w:val="top"/>
          </w:tcPr>
          <w:p w14:paraId="663F3554">
            <w:pPr>
              <w:rPr>
                <w:rFonts w:ascii="Arial"/>
                <w:sz w:val="21"/>
              </w:rPr>
            </w:pPr>
            <w:r>
              <w:pict>
                <v:shape id="_x0000_s3531" o:spid="_x0000_s3531" style="position:absolute;left:0pt;margin-left:86.5pt;margin-top:0.05pt;height:0.75pt;width:2.2pt;mso-position-horizontal-relative:page;mso-position-vertical-relative:page;z-index:252100608;mso-width-relative:page;mso-height-relative:page;" fillcolor="#5B9BD5" filled="t" stroked="f" coordsize="44,15" path="m0,14l43,14,43,0,0,0,0,14xe">
                  <v:path/>
                  <v:fill on="t" focussize="0,0"/>
                  <v:stroke on="f"/>
                  <v:imagedata o:title=""/>
                  <o:lock v:ext="edit"/>
                </v:shape>
              </w:pict>
            </w:r>
            <w:r>
              <w:pict>
                <v:shape id="_x0000_s3532" o:spid="_x0000_s3532" style="position:absolute;left:0pt;margin-left:86.5pt;margin-top:32.75pt;height:0.75pt;width:2.2pt;mso-position-horizontal-relative:page;mso-position-vertical-relative:page;z-index:252099584;mso-width-relative:page;mso-height-relative:page;" fillcolor="#5B9BD5" filled="t" stroked="f" coordsize="44,15" path="m0,14l43,14,43,0,0,0,0,14xe">
                  <v:path/>
                  <v:fill on="t" focussize="0,0"/>
                  <v:stroke on="f"/>
                  <v:imagedata o:title=""/>
                  <o:lock v:ext="edit"/>
                </v:shape>
              </w:pict>
            </w:r>
          </w:p>
        </w:tc>
      </w:tr>
    </w:tbl>
    <w:p w14:paraId="31649FB7">
      <w:pPr>
        <w:rPr>
          <w:rFonts w:ascii="Arial"/>
          <w:sz w:val="21"/>
        </w:rPr>
      </w:pPr>
    </w:p>
    <w:p w14:paraId="728A0063">
      <w:pPr>
        <w:rPr>
          <w:rFonts w:ascii="Arial" w:hAnsi="Arial" w:eastAsia="Arial" w:cs="Arial"/>
          <w:sz w:val="21"/>
          <w:szCs w:val="21"/>
        </w:rPr>
        <w:sectPr>
          <w:footerReference r:id="rId197" w:type="default"/>
          <w:pgSz w:w="11907" w:h="16839"/>
          <w:pgMar w:top="954" w:right="4" w:bottom="1038" w:left="0" w:header="499" w:footer="357" w:gutter="0"/>
          <w:pgBorders>
            <w:top w:val="none" w:sz="0" w:space="0"/>
            <w:left w:val="none" w:sz="0" w:space="0"/>
            <w:bottom w:val="none" w:sz="0" w:space="0"/>
            <w:right w:val="none" w:sz="0" w:space="0"/>
          </w:pgBorders>
          <w:cols w:space="720" w:num="1"/>
        </w:sectPr>
      </w:pPr>
    </w:p>
    <w:p w14:paraId="74D0DCDF">
      <w:pPr>
        <w:spacing w:line="214" w:lineRule="exact"/>
      </w:pPr>
    </w:p>
    <w:tbl>
      <w:tblPr>
        <w:tblStyle w:val="6"/>
        <w:tblW w:w="8554" w:type="dxa"/>
        <w:tblInd w:w="1675" w:type="dxa"/>
        <w:tblBorders>
          <w:top w:val="single" w:color="1C456A" w:sz="4" w:space="0"/>
          <w:left w:val="single" w:color="1C456A" w:sz="4" w:space="0"/>
          <w:bottom w:val="single" w:color="1C456A" w:sz="4" w:space="0"/>
          <w:right w:val="single" w:color="1C456A" w:sz="4" w:space="0"/>
          <w:insideH w:val="none" w:color="auto" w:sz="0" w:space="0"/>
          <w:insideV w:val="none" w:color="auto" w:sz="0" w:space="0"/>
        </w:tblBorders>
        <w:tblLayout w:type="fixed"/>
        <w:tblCellMar>
          <w:top w:w="0" w:type="dxa"/>
          <w:left w:w="0" w:type="dxa"/>
          <w:bottom w:w="0" w:type="dxa"/>
          <w:right w:w="0" w:type="dxa"/>
        </w:tblCellMar>
      </w:tblPr>
      <w:tblGrid>
        <w:gridCol w:w="8554"/>
      </w:tblGrid>
      <w:tr w14:paraId="54C5E44F">
        <w:tblPrEx>
          <w:tblBorders>
            <w:top w:val="single" w:color="1C456A" w:sz="4" w:space="0"/>
            <w:left w:val="single" w:color="1C456A" w:sz="4" w:space="0"/>
            <w:bottom w:val="single" w:color="1C456A" w:sz="4" w:space="0"/>
            <w:right w:val="single" w:color="1C456A" w:sz="4" w:space="0"/>
            <w:insideH w:val="none" w:color="auto" w:sz="0" w:space="0"/>
            <w:insideV w:val="none" w:color="auto" w:sz="0" w:space="0"/>
          </w:tblBorders>
          <w:tblCellMar>
            <w:top w:w="0" w:type="dxa"/>
            <w:left w:w="0" w:type="dxa"/>
            <w:bottom w:w="0" w:type="dxa"/>
            <w:right w:w="0" w:type="dxa"/>
          </w:tblCellMar>
        </w:tblPrEx>
        <w:trPr>
          <w:trHeight w:val="8705" w:hRule="atLeast"/>
        </w:trPr>
        <w:tc>
          <w:tcPr>
            <w:tcW w:w="8554" w:type="dxa"/>
            <w:vAlign w:val="top"/>
          </w:tcPr>
          <w:p w14:paraId="3C66A2D1">
            <w:pPr>
              <w:rPr>
                <w:rFonts w:ascii="Arial"/>
                <w:sz w:val="21"/>
              </w:rPr>
            </w:pPr>
            <w:r>
              <w:pict>
                <v:shape id="_x0000_s3533" o:spid="_x0000_s3533" style="position:absolute;left:0pt;margin-left:-0.25pt;margin-top:435.55pt;height:0.75pt;width:2.2pt;mso-position-horizontal-relative:page;mso-position-vertical-relative:page;z-index:252113920;mso-width-relative:page;mso-height-relative:page;" fillcolor="#5B9BD5" filled="t" stroked="f" coordsize="44,15" path="m0,14l43,14,43,0,0,0,0,14xe">
                  <v:path/>
                  <v:fill on="t" focussize="0,0"/>
                  <v:stroke on="f"/>
                  <v:imagedata o:title=""/>
                  <o:lock v:ext="edit"/>
                </v:shape>
              </w:pict>
            </w:r>
            <w:r>
              <w:pict>
                <v:shape id="_x0000_s3534" o:spid="_x0000_s3534" style="position:absolute;left:0pt;margin-left:425.85pt;margin-top:435.55pt;height:0.75pt;width:2.2pt;mso-position-horizontal-relative:page;mso-position-vertical-relative:page;z-index:252114944;mso-width-relative:page;mso-height-relative:page;" fillcolor="#5B9BD5" filled="t" stroked="f" coordsize="44,15" path="m0,14l43,14,43,0,0,0,0,14xe">
                  <v:path/>
                  <v:fill on="t" focussize="0,0"/>
                  <v:stroke on="f"/>
                  <v:imagedata o:title=""/>
                  <o:lock v:ext="edit"/>
                </v:shape>
              </w:pict>
            </w:r>
          </w:p>
        </w:tc>
      </w:tr>
    </w:tbl>
    <w:p w14:paraId="6DBFC495">
      <w:pPr>
        <w:pStyle w:val="2"/>
        <w:spacing w:before="110" w:line="303" w:lineRule="auto"/>
        <w:ind w:left="1455" w:right="1415" w:firstLine="443"/>
        <w:rPr>
          <w:sz w:val="24"/>
          <w:szCs w:val="24"/>
        </w:rPr>
      </w:pPr>
      <w:r>
        <w:rPr>
          <w:spacing w:val="-20"/>
          <w:sz w:val="24"/>
          <w:szCs w:val="24"/>
        </w:rPr>
        <w:t>质量管理是本工程施工中重要的部分，它贯穿整个施工的全过程，可分为施工质量管理、料具管理、技术质量岗位责任制度、隐蔽工程验收制度、竣工交付使用阶段质量管理等几个方面。采用以过程控制为主、前馈控制和反馈控制结合的手段，对工程质量实行全方位、全过程的控制，坚持“预防为主”。强化“过程控制”、突出“防止再发生”，消除质量隐患，使工</w:t>
      </w:r>
      <w:r>
        <w:rPr>
          <w:spacing w:val="-21"/>
          <w:sz w:val="24"/>
          <w:szCs w:val="24"/>
        </w:rPr>
        <w:t>程质量水平得以持续不断的提高，确保本工程质量总目标的实</w:t>
      </w:r>
      <w:r>
        <w:rPr>
          <w:spacing w:val="-22"/>
          <w:sz w:val="24"/>
          <w:szCs w:val="24"/>
        </w:rPr>
        <w:t>现。</w:t>
      </w:r>
    </w:p>
    <w:p w14:paraId="0403BFEC">
      <w:pPr>
        <w:pStyle w:val="2"/>
        <w:spacing w:before="1" w:line="217" w:lineRule="auto"/>
        <w:ind w:left="1986"/>
        <w:outlineLvl w:val="2"/>
        <w:rPr>
          <w:sz w:val="28"/>
          <w:szCs w:val="28"/>
        </w:rPr>
      </w:pPr>
      <w:bookmarkStart w:id="138" w:name="bookmark131"/>
      <w:bookmarkEnd w:id="138"/>
      <w:r>
        <w:rPr>
          <w:b/>
          <w:bCs/>
          <w:spacing w:val="-22"/>
          <w:sz w:val="28"/>
          <w:szCs w:val="28"/>
        </w:rPr>
        <w:t>二、质量控制体系</w:t>
      </w:r>
    </w:p>
    <w:p w14:paraId="3E55958E">
      <w:pPr>
        <w:pStyle w:val="2"/>
        <w:spacing w:before="104" w:line="290" w:lineRule="auto"/>
        <w:ind w:left="1457" w:right="1356" w:firstLine="440"/>
        <w:jc w:val="both"/>
        <w:rPr>
          <w:sz w:val="24"/>
          <w:szCs w:val="24"/>
        </w:rPr>
      </w:pPr>
      <w:r>
        <w:rPr>
          <w:spacing w:val="-20"/>
          <w:sz w:val="24"/>
          <w:szCs w:val="24"/>
        </w:rPr>
        <w:t>实行目标管理，进行目标分解，按单位工程、分部工程、分项工程把责任落实到相应的部</w:t>
      </w:r>
      <w:r>
        <w:rPr>
          <w:spacing w:val="-24"/>
          <w:sz w:val="24"/>
          <w:szCs w:val="24"/>
        </w:rPr>
        <w:t>门和人员。严格按照我方质量管理标准规定，从项目各部门到各施工班组，层层落实质量职责，</w:t>
      </w:r>
      <w:r>
        <w:rPr>
          <w:spacing w:val="-20"/>
          <w:sz w:val="24"/>
          <w:szCs w:val="24"/>
        </w:rPr>
        <w:t>明确质量责任。除我方质量监督部门和项目总工对工程质量进行监督外，现场安排专职质检员跟班作业，对施工作业进行跟踪监控；安排专业人员对各分包施工单位的工程质量进行目标管</w:t>
      </w:r>
      <w:r>
        <w:rPr>
          <w:spacing w:val="-17"/>
          <w:sz w:val="24"/>
          <w:szCs w:val="24"/>
        </w:rPr>
        <w:t>理和控制。</w:t>
      </w:r>
    </w:p>
    <w:tbl>
      <w:tblPr>
        <w:tblStyle w:val="6"/>
        <w:tblW w:w="8554" w:type="dxa"/>
        <w:tblInd w:w="1675" w:type="dxa"/>
        <w:tblBorders>
          <w:top w:val="single" w:color="1C456A" w:sz="4" w:space="0"/>
          <w:left w:val="single" w:color="1C456A" w:sz="4" w:space="0"/>
          <w:bottom w:val="single" w:color="1C456A" w:sz="4" w:space="0"/>
          <w:right w:val="single" w:color="1C456A" w:sz="4" w:space="0"/>
          <w:insideH w:val="single" w:color="1C456A" w:sz="4" w:space="0"/>
          <w:insideV w:val="single" w:color="1C456A" w:sz="4" w:space="0"/>
        </w:tblBorders>
        <w:shd w:val="clear" w:color="auto" w:fill="DEEAF6"/>
        <w:tblLayout w:type="fixed"/>
        <w:tblCellMar>
          <w:top w:w="0" w:type="dxa"/>
          <w:left w:w="0" w:type="dxa"/>
          <w:bottom w:w="0" w:type="dxa"/>
          <w:right w:w="0" w:type="dxa"/>
        </w:tblCellMar>
      </w:tblPr>
      <w:tblGrid>
        <w:gridCol w:w="1788"/>
        <w:gridCol w:w="4999"/>
        <w:gridCol w:w="1767"/>
      </w:tblGrid>
      <w:tr w14:paraId="3CC68F64">
        <w:tblPrEx>
          <w:tblBorders>
            <w:top w:val="single" w:color="1C456A" w:sz="4" w:space="0"/>
            <w:left w:val="single" w:color="1C456A" w:sz="4" w:space="0"/>
            <w:bottom w:val="single" w:color="1C456A" w:sz="4" w:space="0"/>
            <w:right w:val="single" w:color="1C456A" w:sz="4" w:space="0"/>
            <w:insideH w:val="single" w:color="1C456A" w:sz="4" w:space="0"/>
            <w:insideV w:val="single" w:color="1C456A" w:sz="4" w:space="0"/>
          </w:tblBorders>
          <w:shd w:val="clear" w:color="auto" w:fill="DEEAF6"/>
          <w:tblCellMar>
            <w:top w:w="0" w:type="dxa"/>
            <w:left w:w="0" w:type="dxa"/>
            <w:bottom w:w="0" w:type="dxa"/>
            <w:right w:w="0" w:type="dxa"/>
          </w:tblCellMar>
        </w:tblPrEx>
        <w:trPr>
          <w:trHeight w:val="649" w:hRule="atLeast"/>
        </w:trPr>
        <w:tc>
          <w:tcPr>
            <w:tcW w:w="1788" w:type="dxa"/>
            <w:tcBorders>
              <w:right w:val="nil"/>
            </w:tcBorders>
            <w:shd w:val="clear" w:color="auto" w:fill="DEEAF6"/>
            <w:vAlign w:val="top"/>
          </w:tcPr>
          <w:p w14:paraId="696FEA9E">
            <w:pPr>
              <w:rPr>
                <w:rFonts w:ascii="Arial"/>
                <w:sz w:val="21"/>
              </w:rPr>
            </w:pPr>
            <w:r>
              <w:pict>
                <v:shape id="_x0000_s3535" o:spid="_x0000_s3535" style="position:absolute;left:0pt;margin-left:-0.25pt;margin-top:0pt;height:0.75pt;width:2.2pt;mso-position-horizontal-relative:page;mso-position-vertical-relative:page;z-index:252112896;mso-width-relative:page;mso-height-relative:page;" fillcolor="#5B9BD5" filled="t" stroked="f" coordsize="44,15" path="m0,14l43,14,43,0,0,0,0,14xe">
                  <v:path/>
                  <v:fill on="t" focussize="0,0"/>
                  <v:stroke on="f"/>
                  <v:imagedata o:title=""/>
                  <o:lock v:ext="edit"/>
                </v:shape>
              </w:pict>
            </w:r>
            <w:r>
              <w:pict>
                <v:shape id="_x0000_s3536" o:spid="_x0000_s3536" style="position:absolute;left:0pt;margin-left:-0.25pt;margin-top:32.75pt;height:0.75pt;width:2.2pt;mso-position-horizontal-relative:page;mso-position-vertical-relative:page;z-index:252110848;mso-width-relative:page;mso-height-relative:page;" fillcolor="#5B9BD5" filled="t" stroked="f" coordsize="44,15" path="m0,14l43,14,43,0,0,0,0,14xe">
                  <v:path/>
                  <v:fill on="t" focussize="0,0"/>
                  <v:stroke on="f"/>
                  <v:imagedata o:title=""/>
                  <o:lock v:ext="edit"/>
                </v:shape>
              </w:pict>
            </w:r>
          </w:p>
        </w:tc>
        <w:tc>
          <w:tcPr>
            <w:tcW w:w="4999" w:type="dxa"/>
            <w:tcBorders>
              <w:left w:val="nil"/>
              <w:right w:val="nil"/>
            </w:tcBorders>
            <w:shd w:val="clear" w:color="auto" w:fill="DEEAF6"/>
            <w:vAlign w:val="top"/>
          </w:tcPr>
          <w:p w14:paraId="32C7AE0D">
            <w:pPr>
              <w:pStyle w:val="7"/>
              <w:spacing w:before="127" w:line="217" w:lineRule="auto"/>
              <w:ind w:left="1745"/>
            </w:pPr>
            <w:r>
              <w:rPr>
                <w:b/>
                <w:bCs/>
                <w:spacing w:val="-21"/>
              </w:rPr>
              <w:t>质量控制体系图</w:t>
            </w:r>
          </w:p>
        </w:tc>
        <w:tc>
          <w:tcPr>
            <w:tcW w:w="1767" w:type="dxa"/>
            <w:tcBorders>
              <w:left w:val="nil"/>
            </w:tcBorders>
            <w:shd w:val="clear" w:color="auto" w:fill="DEEAF6"/>
            <w:vAlign w:val="top"/>
          </w:tcPr>
          <w:p w14:paraId="24AC0975">
            <w:pPr>
              <w:rPr>
                <w:rFonts w:ascii="Arial"/>
                <w:sz w:val="21"/>
              </w:rPr>
            </w:pPr>
            <w:r>
              <w:pict>
                <v:shape id="_x0000_s3537" o:spid="_x0000_s3537" style="position:absolute;left:0pt;margin-left:86.5pt;margin-top:0pt;height:0.75pt;width:2.2pt;mso-position-horizontal-relative:page;mso-position-vertical-relative:page;z-index:252111872;mso-width-relative:page;mso-height-relative:page;" fillcolor="#5B9BD5" filled="t" stroked="f" coordsize="44,15" path="m0,14l43,14,43,0,0,0,0,14xe">
                  <v:path/>
                  <v:fill on="t" focussize="0,0"/>
                  <v:stroke on="f"/>
                  <v:imagedata o:title=""/>
                  <o:lock v:ext="edit"/>
                </v:shape>
              </w:pict>
            </w:r>
            <w:r>
              <w:pict>
                <v:shape id="_x0000_s3538" o:spid="_x0000_s3538" style="position:absolute;left:0pt;margin-left:86.5pt;margin-top:32.75pt;height:0.75pt;width:2.2pt;mso-position-horizontal-relative:page;mso-position-vertical-relative:page;z-index:252109824;mso-width-relative:page;mso-height-relative:page;" fillcolor="#5B9BD5" filled="t" stroked="f" coordsize="44,15" path="m0,14l43,14,43,0,0,0,0,14xe">
                  <v:path/>
                  <v:fill on="t" focussize="0,0"/>
                  <v:stroke on="f"/>
                  <v:imagedata o:title=""/>
                  <o:lock v:ext="edit"/>
                </v:shape>
              </w:pict>
            </w:r>
          </w:p>
        </w:tc>
      </w:tr>
    </w:tbl>
    <w:p w14:paraId="71834B66">
      <w:pPr>
        <w:rPr>
          <w:rFonts w:ascii="Arial"/>
          <w:sz w:val="21"/>
        </w:rPr>
      </w:pPr>
    </w:p>
    <w:p w14:paraId="59F72D06">
      <w:pPr>
        <w:rPr>
          <w:rFonts w:ascii="Arial" w:hAnsi="Arial" w:eastAsia="Arial" w:cs="Arial"/>
          <w:sz w:val="21"/>
          <w:szCs w:val="21"/>
        </w:rPr>
        <w:sectPr>
          <w:headerReference r:id="rId198" w:type="default"/>
          <w:footerReference r:id="rId199" w:type="default"/>
          <w:pgSz w:w="11907" w:h="16839"/>
          <w:pgMar w:top="954" w:right="4" w:bottom="1038" w:left="0" w:header="499" w:footer="357" w:gutter="0"/>
          <w:pgBorders>
            <w:top w:val="none" w:sz="0" w:space="0"/>
            <w:left w:val="none" w:sz="0" w:space="0"/>
            <w:bottom w:val="none" w:sz="0" w:space="0"/>
            <w:right w:val="none" w:sz="0" w:space="0"/>
          </w:pgBorders>
          <w:cols w:space="720" w:num="1"/>
        </w:sectPr>
      </w:pPr>
    </w:p>
    <w:p w14:paraId="48C6BD6E">
      <w:pPr>
        <w:spacing w:line="214" w:lineRule="exact"/>
      </w:pPr>
    </w:p>
    <w:tbl>
      <w:tblPr>
        <w:tblStyle w:val="6"/>
        <w:tblW w:w="8554" w:type="dxa"/>
        <w:tblInd w:w="1675" w:type="dxa"/>
        <w:tblBorders>
          <w:top w:val="single" w:color="1C456A" w:sz="4" w:space="0"/>
          <w:left w:val="single" w:color="1C456A" w:sz="4" w:space="0"/>
          <w:bottom w:val="single" w:color="1C456A" w:sz="4" w:space="0"/>
          <w:right w:val="single" w:color="1C456A" w:sz="4" w:space="0"/>
          <w:insideH w:val="single" w:color="1C456A" w:sz="4" w:space="0"/>
          <w:insideV w:val="single" w:color="1C456A" w:sz="4" w:space="0"/>
        </w:tblBorders>
        <w:tblLayout w:type="fixed"/>
        <w:tblCellMar>
          <w:top w:w="0" w:type="dxa"/>
          <w:left w:w="0" w:type="dxa"/>
          <w:bottom w:w="0" w:type="dxa"/>
          <w:right w:w="0" w:type="dxa"/>
        </w:tblCellMar>
      </w:tblPr>
      <w:tblGrid>
        <w:gridCol w:w="8405"/>
        <w:gridCol w:w="149"/>
      </w:tblGrid>
      <w:tr w14:paraId="149C0BE2">
        <w:tblPrEx>
          <w:tblBorders>
            <w:top w:val="single" w:color="1C456A" w:sz="4" w:space="0"/>
            <w:left w:val="single" w:color="1C456A" w:sz="4" w:space="0"/>
            <w:bottom w:val="single" w:color="1C456A" w:sz="4" w:space="0"/>
            <w:right w:val="single" w:color="1C456A" w:sz="4" w:space="0"/>
            <w:insideH w:val="single" w:color="1C456A" w:sz="4" w:space="0"/>
            <w:insideV w:val="single" w:color="1C456A" w:sz="4" w:space="0"/>
          </w:tblBorders>
          <w:tblCellMar>
            <w:top w:w="0" w:type="dxa"/>
            <w:left w:w="0" w:type="dxa"/>
            <w:bottom w:w="0" w:type="dxa"/>
            <w:right w:w="0" w:type="dxa"/>
          </w:tblCellMar>
        </w:tblPrEx>
        <w:trPr>
          <w:trHeight w:val="6456" w:hRule="atLeast"/>
        </w:trPr>
        <w:tc>
          <w:tcPr>
            <w:tcW w:w="8405" w:type="dxa"/>
            <w:tcBorders>
              <w:right w:val="nil"/>
            </w:tcBorders>
            <w:vAlign w:val="top"/>
          </w:tcPr>
          <w:p w14:paraId="2F09C091">
            <w:pPr>
              <w:spacing w:before="113" w:line="6035" w:lineRule="exact"/>
              <w:ind w:firstLine="243"/>
            </w:pPr>
            <w:r>
              <w:pict>
                <v:shape id="_x0000_s3539" o:spid="_x0000_s3539" style="position:absolute;left:0pt;margin-left:-0.25pt;margin-top:323.05pt;height:0.75pt;width:2.2pt;mso-position-horizontal-relative:page;mso-position-vertical-relative:page;z-index:252121088;mso-width-relative:page;mso-height-relative:page;" fillcolor="#5B9BD5" filled="t" stroked="f" coordsize="44,15" path="m0,14l43,14,43,0,0,0,0,14xe">
                  <v:path/>
                  <v:fill on="t" focussize="0,0"/>
                  <v:stroke on="f"/>
                  <v:imagedata o:title=""/>
                  <o:lock v:ext="edit"/>
                </v:shape>
              </w:pict>
            </w:r>
            <w:r>
              <w:rPr>
                <w:position w:val="-120"/>
              </w:rPr>
              <w:drawing>
                <wp:inline distT="0" distB="0" distL="0" distR="0">
                  <wp:extent cx="5115560" cy="3832225"/>
                  <wp:effectExtent l="0" t="0" r="0" b="0"/>
                  <wp:docPr id="994" name="IM 994"/>
                  <wp:cNvGraphicFramePr/>
                  <a:graphic xmlns:a="http://schemas.openxmlformats.org/drawingml/2006/main">
                    <a:graphicData uri="http://schemas.openxmlformats.org/drawingml/2006/picture">
                      <pic:pic xmlns:pic="http://schemas.openxmlformats.org/drawingml/2006/picture">
                        <pic:nvPicPr>
                          <pic:cNvPr id="994" name="IM 994"/>
                          <pic:cNvPicPr/>
                        </pic:nvPicPr>
                        <pic:blipFill>
                          <a:blip r:embed="rId641"/>
                          <a:stretch>
                            <a:fillRect/>
                          </a:stretch>
                        </pic:blipFill>
                        <pic:spPr>
                          <a:xfrm>
                            <a:off x="0" y="0"/>
                            <a:ext cx="5115585" cy="3832431"/>
                          </a:xfrm>
                          <a:prstGeom prst="rect">
                            <a:avLst/>
                          </a:prstGeom>
                        </pic:spPr>
                      </pic:pic>
                    </a:graphicData>
                  </a:graphic>
                </wp:inline>
              </w:drawing>
            </w:r>
          </w:p>
        </w:tc>
        <w:tc>
          <w:tcPr>
            <w:tcW w:w="149" w:type="dxa"/>
            <w:tcBorders>
              <w:left w:val="nil"/>
            </w:tcBorders>
            <w:vAlign w:val="top"/>
          </w:tcPr>
          <w:p w14:paraId="24AE0784">
            <w:pPr>
              <w:rPr>
                <w:rFonts w:ascii="Arial"/>
                <w:sz w:val="21"/>
              </w:rPr>
            </w:pPr>
            <w:r>
              <w:pict>
                <v:shape id="_x0000_s3540" o:spid="_x0000_s3540" style="position:absolute;left:0pt;margin-left:5.6pt;margin-top:323.05pt;height:0.75pt;width:2.2pt;mso-position-horizontal-relative:page;mso-position-vertical-relative:page;z-index:252120064;mso-width-relative:page;mso-height-relative:page;" fillcolor="#5B9BD5" filled="t" stroked="f" coordsize="44,15" path="m0,14l43,14,43,0,0,0,0,14xe">
                  <v:path/>
                  <v:fill on="t" focussize="0,0"/>
                  <v:stroke on="f"/>
                  <v:imagedata o:title=""/>
                  <o:lock v:ext="edit"/>
                </v:shape>
              </w:pict>
            </w:r>
          </w:p>
        </w:tc>
      </w:tr>
    </w:tbl>
    <w:p w14:paraId="1E67FA5F">
      <w:pPr>
        <w:pStyle w:val="2"/>
        <w:spacing w:before="80" w:line="219" w:lineRule="auto"/>
        <w:ind w:left="1985"/>
        <w:outlineLvl w:val="2"/>
        <w:rPr>
          <w:sz w:val="28"/>
          <w:szCs w:val="28"/>
        </w:rPr>
      </w:pPr>
      <w:bookmarkStart w:id="139" w:name="bookmark132"/>
      <w:bookmarkEnd w:id="139"/>
      <w:r>
        <w:rPr>
          <w:b/>
          <w:bCs/>
          <w:spacing w:val="-22"/>
          <w:sz w:val="28"/>
          <w:szCs w:val="28"/>
        </w:rPr>
        <w:t>三、质量管理模式</w:t>
      </w:r>
    </w:p>
    <w:p w14:paraId="69A59CAF">
      <w:pPr>
        <w:pStyle w:val="2"/>
        <w:spacing w:before="100" w:line="308" w:lineRule="auto"/>
        <w:ind w:left="1457" w:right="1410" w:firstLine="436"/>
        <w:jc w:val="both"/>
        <w:rPr>
          <w:sz w:val="24"/>
          <w:szCs w:val="24"/>
        </w:rPr>
      </w:pPr>
      <w:r>
        <w:rPr>
          <w:spacing w:val="-20"/>
          <w:sz w:val="24"/>
          <w:szCs w:val="24"/>
        </w:rPr>
        <w:t>项目管理作为企业管理的基点和体制创新的基础环节，公司项目管理模式，即“总部服务控制、项目授权管理、专业施工保障、社会协力合作”，为创优提供了有力的支撑和保障。公司建立的“项目管理责任目标”考核机制，使各项目经理部将全部的精力集中在对业主的履约上，将工程质量、进度、安全文明施工、工程成本造价等指标完成情况作为项目管理的核心和</w:t>
      </w:r>
      <w:r>
        <w:rPr>
          <w:spacing w:val="-22"/>
          <w:sz w:val="24"/>
          <w:szCs w:val="24"/>
        </w:rPr>
        <w:t>控制的重点。</w:t>
      </w:r>
    </w:p>
    <w:p w14:paraId="3E39D0E5">
      <w:pPr>
        <w:pStyle w:val="2"/>
        <w:spacing w:before="2" w:line="293" w:lineRule="auto"/>
        <w:ind w:left="1461" w:right="1459" w:firstLine="436"/>
        <w:rPr>
          <w:sz w:val="24"/>
          <w:szCs w:val="24"/>
        </w:rPr>
      </w:pPr>
      <w:r>
        <w:rPr>
          <w:spacing w:val="-21"/>
          <w:sz w:val="24"/>
          <w:szCs w:val="24"/>
        </w:rPr>
        <w:t>公司实行两层分离，使公司内部管理层、项目经理部与作业层在质量管理方面职责分明，</w:t>
      </w:r>
      <w:r>
        <w:rPr>
          <w:spacing w:val="-22"/>
          <w:sz w:val="24"/>
          <w:szCs w:val="24"/>
        </w:rPr>
        <w:t>实现了“分层控制、分级管理”的质量管理模式”。</w:t>
      </w:r>
    </w:p>
    <w:p w14:paraId="3AF9E1D4">
      <w:pPr>
        <w:pStyle w:val="2"/>
        <w:spacing w:before="1" w:line="218" w:lineRule="auto"/>
        <w:ind w:left="2010"/>
        <w:outlineLvl w:val="2"/>
        <w:rPr>
          <w:sz w:val="28"/>
          <w:szCs w:val="28"/>
        </w:rPr>
      </w:pPr>
      <w:bookmarkStart w:id="140" w:name="bookmark133"/>
      <w:bookmarkEnd w:id="140"/>
      <w:r>
        <w:rPr>
          <w:b/>
          <w:bCs/>
          <w:spacing w:val="-25"/>
          <w:sz w:val="28"/>
          <w:szCs w:val="28"/>
        </w:rPr>
        <w:t>四、质量管理机构建立</w:t>
      </w:r>
    </w:p>
    <w:p w14:paraId="2FBD0D57">
      <w:pPr>
        <w:pStyle w:val="2"/>
        <w:spacing w:before="105" w:line="218" w:lineRule="auto"/>
        <w:ind w:left="1894"/>
        <w:rPr>
          <w:sz w:val="24"/>
          <w:szCs w:val="24"/>
        </w:rPr>
      </w:pPr>
      <w:r>
        <w:rPr>
          <w:spacing w:val="-21"/>
          <w:sz w:val="24"/>
          <w:szCs w:val="24"/>
        </w:rPr>
        <w:t>本工程项目经理部成立以后，随即建立以项目经理为组长</w:t>
      </w:r>
      <w:r>
        <w:rPr>
          <w:spacing w:val="-22"/>
          <w:sz w:val="24"/>
          <w:szCs w:val="24"/>
        </w:rPr>
        <w:t>的质量管理班子：</w:t>
      </w:r>
    </w:p>
    <w:p w14:paraId="5B0EFEB3">
      <w:pPr>
        <w:spacing w:line="21" w:lineRule="auto"/>
        <w:rPr>
          <w:rFonts w:ascii="Arial"/>
          <w:sz w:val="2"/>
        </w:rPr>
      </w:pPr>
    </w:p>
    <w:tbl>
      <w:tblPr>
        <w:tblStyle w:val="6"/>
        <w:tblW w:w="9109" w:type="dxa"/>
        <w:tblInd w:w="1399"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92"/>
        <w:gridCol w:w="980"/>
        <w:gridCol w:w="2682"/>
        <w:gridCol w:w="2703"/>
        <w:gridCol w:w="1852"/>
      </w:tblGrid>
      <w:tr w14:paraId="39D715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4" w:hRule="atLeast"/>
        </w:trPr>
        <w:tc>
          <w:tcPr>
            <w:tcW w:w="1872" w:type="dxa"/>
            <w:gridSpan w:val="2"/>
            <w:tcBorders>
              <w:top w:val="single" w:color="5B9BD5" w:sz="4" w:space="0"/>
              <w:left w:val="single" w:color="5B9BD5" w:sz="4" w:space="0"/>
              <w:right w:val="nil"/>
            </w:tcBorders>
            <w:shd w:val="clear" w:color="auto" w:fill="DEEAF6"/>
            <w:vAlign w:val="top"/>
          </w:tcPr>
          <w:p w14:paraId="0B546C6A">
            <w:pPr>
              <w:rPr>
                <w:rFonts w:ascii="Arial"/>
                <w:sz w:val="21"/>
              </w:rPr>
            </w:pPr>
            <w:r>
              <w:pict>
                <v:shape id="_x0000_s3541" o:spid="_x0000_s3541" style="position:absolute;left:0pt;margin-left:-0.25pt;margin-top:0pt;height:0.75pt;width:2.2pt;mso-position-horizontal-relative:page;mso-position-vertical-relative:page;z-index:252119040;mso-width-relative:page;mso-height-relative:page;" fillcolor="#5B9BD5" filled="t" stroked="f" coordsize="44,15" path="m0,14l43,14,43,0,0,0,0,14xe">
                  <v:path/>
                  <v:fill on="t" focussize="0,0"/>
                  <v:stroke on="f"/>
                  <v:imagedata o:title=""/>
                  <o:lock v:ext="edit"/>
                </v:shape>
              </w:pict>
            </w:r>
          </w:p>
        </w:tc>
        <w:tc>
          <w:tcPr>
            <w:tcW w:w="5385" w:type="dxa"/>
            <w:gridSpan w:val="2"/>
            <w:tcBorders>
              <w:top w:val="single" w:color="5B9BD5" w:sz="4" w:space="0"/>
              <w:left w:val="nil"/>
              <w:right w:val="nil"/>
            </w:tcBorders>
            <w:shd w:val="clear" w:color="auto" w:fill="DEEAF6"/>
            <w:vAlign w:val="top"/>
          </w:tcPr>
          <w:p w14:paraId="5D452EC8">
            <w:pPr>
              <w:pStyle w:val="7"/>
              <w:spacing w:before="177" w:line="219" w:lineRule="auto"/>
              <w:ind w:left="1826"/>
            </w:pPr>
            <w:r>
              <w:rPr>
                <w:b/>
                <w:bCs/>
                <w:spacing w:val="-22"/>
              </w:rPr>
              <w:t>质量管理班子配备</w:t>
            </w:r>
          </w:p>
        </w:tc>
        <w:tc>
          <w:tcPr>
            <w:tcW w:w="1852" w:type="dxa"/>
            <w:tcBorders>
              <w:top w:val="single" w:color="5B9BD5" w:sz="4" w:space="0"/>
              <w:left w:val="nil"/>
              <w:right w:val="single" w:color="5B9BD5" w:sz="4" w:space="0"/>
            </w:tcBorders>
            <w:shd w:val="clear" w:color="auto" w:fill="DEEAF6"/>
            <w:vAlign w:val="top"/>
          </w:tcPr>
          <w:p w14:paraId="20C3EC1F">
            <w:pPr>
              <w:rPr>
                <w:rFonts w:ascii="Arial"/>
                <w:sz w:val="21"/>
              </w:rPr>
            </w:pPr>
            <w:r>
              <w:pict>
                <v:shape id="_x0000_s3542" o:spid="_x0000_s3542" style="position:absolute;left:0pt;margin-left:90.7pt;margin-top:0pt;height:0.75pt;width:2.2pt;mso-position-horizontal-relative:page;mso-position-vertical-relative:page;z-index:252118016;mso-width-relative:page;mso-height-relative:page;" fillcolor="#5B9BD5" filled="t" stroked="f" coordsize="44,15" path="m0,14l43,14,43,0,0,0,0,14xe">
                  <v:path/>
                  <v:fill on="t" focussize="0,0"/>
                  <v:stroke on="f"/>
                  <v:imagedata o:title=""/>
                  <o:lock v:ext="edit"/>
                </v:shape>
              </w:pict>
            </w:r>
          </w:p>
        </w:tc>
      </w:tr>
      <w:tr w14:paraId="7713A7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4" w:hRule="atLeast"/>
        </w:trPr>
        <w:tc>
          <w:tcPr>
            <w:tcW w:w="4554" w:type="dxa"/>
            <w:gridSpan w:val="3"/>
            <w:tcBorders>
              <w:left w:val="single" w:color="000000" w:sz="4" w:space="0"/>
            </w:tcBorders>
            <w:vAlign w:val="top"/>
          </w:tcPr>
          <w:p w14:paraId="7DDB9BD1">
            <w:pPr>
              <w:pStyle w:val="7"/>
              <w:spacing w:before="169" w:line="220" w:lineRule="auto"/>
              <w:ind w:left="1533"/>
            </w:pPr>
            <w:r>
              <w:rPr>
                <w:spacing w:val="-19"/>
              </w:rPr>
              <w:t>组长：项目经理</w:t>
            </w:r>
          </w:p>
        </w:tc>
        <w:tc>
          <w:tcPr>
            <w:tcW w:w="4555" w:type="dxa"/>
            <w:gridSpan w:val="2"/>
            <w:tcBorders>
              <w:right w:val="single" w:color="000000" w:sz="4" w:space="0"/>
            </w:tcBorders>
            <w:vAlign w:val="top"/>
          </w:tcPr>
          <w:p w14:paraId="078FCF92">
            <w:pPr>
              <w:pStyle w:val="7"/>
              <w:spacing w:before="170" w:line="218" w:lineRule="auto"/>
              <w:ind w:left="653"/>
            </w:pPr>
            <w:r>
              <w:rPr>
                <w:spacing w:val="-21"/>
              </w:rPr>
              <w:t>副组长：技术负责人、项目副经理</w:t>
            </w:r>
          </w:p>
        </w:tc>
      </w:tr>
      <w:tr w14:paraId="7752BC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5" w:hRule="atLeast"/>
        </w:trPr>
        <w:tc>
          <w:tcPr>
            <w:tcW w:w="892" w:type="dxa"/>
            <w:tcBorders>
              <w:left w:val="single" w:color="1C456A" w:sz="4" w:space="0"/>
              <w:bottom w:val="single" w:color="1C456A" w:sz="4" w:space="0"/>
              <w:right w:val="nil"/>
            </w:tcBorders>
            <w:vAlign w:val="top"/>
          </w:tcPr>
          <w:p w14:paraId="603DB561">
            <w:pPr>
              <w:rPr>
                <w:rFonts w:ascii="Arial"/>
                <w:sz w:val="21"/>
              </w:rPr>
            </w:pPr>
            <w:r>
              <w:pict>
                <v:shape id="_x0000_s3543" o:spid="_x0000_s3543" style="position:absolute;left:0pt;margin-left:-0.25pt;margin-top:36.8pt;height:0.75pt;width:2.2pt;mso-position-horizontal-relative:page;mso-position-vertical-relative:page;z-index:252116992;mso-width-relative:page;mso-height-relative:page;" fillcolor="#5B9BD5" filled="t" stroked="f" coordsize="44,15" path="m0,14l43,14,43,0,0,0,0,14xe">
                  <v:path/>
                  <v:fill on="t" focussize="0,0"/>
                  <v:stroke on="f"/>
                  <v:imagedata o:title=""/>
                  <o:lock v:ext="edit"/>
                </v:shape>
              </w:pict>
            </w:r>
          </w:p>
        </w:tc>
        <w:tc>
          <w:tcPr>
            <w:tcW w:w="8217" w:type="dxa"/>
            <w:gridSpan w:val="4"/>
            <w:tcBorders>
              <w:left w:val="nil"/>
              <w:bottom w:val="single" w:color="1C456A" w:sz="4" w:space="0"/>
              <w:right w:val="single" w:color="1C456A" w:sz="4" w:space="0"/>
            </w:tcBorders>
            <w:vAlign w:val="top"/>
          </w:tcPr>
          <w:p w14:paraId="0593538B">
            <w:pPr>
              <w:pStyle w:val="7"/>
              <w:spacing w:before="162" w:line="216" w:lineRule="auto"/>
              <w:ind w:left="845"/>
            </w:pPr>
            <w:r>
              <w:pict>
                <v:shape id="_x0000_s3544" o:spid="_x0000_s3544" style="position:absolute;left:0pt;margin-left:408.95pt;margin-top:36.8pt;height:0.75pt;width:2.2pt;mso-position-horizontal-relative:page;mso-position-vertical-relative:page;z-index:252115968;mso-width-relative:page;mso-height-relative:page;" fillcolor="#5B9BD5" filled="t" stroked="f" coordsize="44,15" path="m0,14l43,14,43,0,0,0,0,14xe">
                  <v:path/>
                  <v:fill on="t" focussize="0,0"/>
                  <v:stroke on="f"/>
                  <v:imagedata o:title=""/>
                  <o:lock v:ext="edit"/>
                </v:shape>
              </w:pict>
            </w:r>
            <w:r>
              <w:rPr>
                <w:spacing w:val="-21"/>
              </w:rPr>
              <w:t>组员：质检员、施工员、测量员、实验员、材料员、资料员</w:t>
            </w:r>
          </w:p>
        </w:tc>
      </w:tr>
    </w:tbl>
    <w:p w14:paraId="4360BE3A">
      <w:pPr>
        <w:pStyle w:val="2"/>
        <w:spacing w:before="111" w:line="308" w:lineRule="auto"/>
        <w:ind w:left="1464" w:right="1414" w:firstLine="432"/>
        <w:jc w:val="both"/>
        <w:rPr>
          <w:sz w:val="24"/>
          <w:szCs w:val="24"/>
        </w:rPr>
      </w:pPr>
      <w:r>
        <w:rPr>
          <w:spacing w:val="-20"/>
          <w:sz w:val="24"/>
          <w:szCs w:val="24"/>
        </w:rPr>
        <w:t>成立本项目质量组后，由质量管理组全面负责每天对工地各施工班组生产进行质量检查，每周开展一次质检定期例会。由质量总监将每天、每周质量情况进行汇总，每月形成正式质量</w:t>
      </w:r>
      <w:r>
        <w:rPr>
          <w:spacing w:val="-22"/>
          <w:sz w:val="24"/>
          <w:szCs w:val="24"/>
        </w:rPr>
        <w:t>月报表，报项目质量组组长，送各组员，对各种显性、隐性质量问题及</w:t>
      </w:r>
      <w:r>
        <w:rPr>
          <w:spacing w:val="-23"/>
          <w:sz w:val="24"/>
          <w:szCs w:val="24"/>
        </w:rPr>
        <w:t>时整改。</w:t>
      </w:r>
    </w:p>
    <w:p w14:paraId="76A8EC69">
      <w:pPr>
        <w:pStyle w:val="2"/>
        <w:spacing w:before="1" w:line="215" w:lineRule="auto"/>
        <w:ind w:left="1897"/>
        <w:rPr>
          <w:sz w:val="24"/>
          <w:szCs w:val="24"/>
        </w:rPr>
      </w:pPr>
      <w:r>
        <w:rPr>
          <w:spacing w:val="-19"/>
          <w:sz w:val="24"/>
          <w:szCs w:val="24"/>
        </w:rPr>
        <w:t>实现项目质量动态管理，公司质安部每周对工程质量管理组工作及现场质</w:t>
      </w:r>
      <w:r>
        <w:rPr>
          <w:spacing w:val="-20"/>
          <w:sz w:val="24"/>
          <w:szCs w:val="24"/>
        </w:rPr>
        <w:t>量情况进行一次</w:t>
      </w:r>
    </w:p>
    <w:p w14:paraId="21AEE053">
      <w:pPr>
        <w:spacing w:line="215" w:lineRule="auto"/>
        <w:rPr>
          <w:sz w:val="24"/>
          <w:szCs w:val="24"/>
        </w:rPr>
        <w:sectPr>
          <w:headerReference r:id="rId200" w:type="default"/>
          <w:footerReference r:id="rId201" w:type="default"/>
          <w:pgSz w:w="11907" w:h="16839"/>
          <w:pgMar w:top="954" w:right="4" w:bottom="1038" w:left="0" w:header="499" w:footer="357" w:gutter="0"/>
          <w:pgBorders>
            <w:top w:val="none" w:sz="0" w:space="0"/>
            <w:left w:val="none" w:sz="0" w:space="0"/>
            <w:bottom w:val="none" w:sz="0" w:space="0"/>
            <w:right w:val="none" w:sz="0" w:space="0"/>
          </w:pgBorders>
          <w:cols w:space="720" w:num="1"/>
        </w:sectPr>
      </w:pPr>
    </w:p>
    <w:p w14:paraId="63317E00">
      <w:pPr>
        <w:spacing w:line="250" w:lineRule="auto"/>
        <w:rPr>
          <w:rFonts w:ascii="Arial"/>
          <w:sz w:val="21"/>
        </w:rPr>
      </w:pPr>
    </w:p>
    <w:p w14:paraId="186F3C2F">
      <w:pPr>
        <w:pStyle w:val="2"/>
        <w:spacing w:before="78" w:line="216" w:lineRule="auto"/>
        <w:ind w:left="1458"/>
        <w:rPr>
          <w:sz w:val="24"/>
          <w:szCs w:val="24"/>
        </w:rPr>
      </w:pPr>
      <w:r>
        <w:rPr>
          <w:spacing w:val="-22"/>
          <w:sz w:val="24"/>
          <w:szCs w:val="24"/>
        </w:rPr>
        <w:t>检查，使本工程施工质量管理纳入公司质量管理程序。</w:t>
      </w:r>
    </w:p>
    <w:p w14:paraId="13B38F73">
      <w:pPr>
        <w:pStyle w:val="2"/>
        <w:spacing w:before="85" w:line="211" w:lineRule="auto"/>
        <w:ind w:left="1981"/>
        <w:outlineLvl w:val="2"/>
        <w:rPr>
          <w:sz w:val="28"/>
          <w:szCs w:val="28"/>
        </w:rPr>
      </w:pPr>
      <w:bookmarkStart w:id="141" w:name="bookmark134"/>
      <w:bookmarkEnd w:id="141"/>
      <w:r>
        <w:rPr>
          <w:b/>
          <w:bCs/>
          <w:spacing w:val="-23"/>
          <w:sz w:val="28"/>
          <w:szCs w:val="28"/>
        </w:rPr>
        <w:t>五、项目部及管理人员职责</w:t>
      </w:r>
    </w:p>
    <w:tbl>
      <w:tblPr>
        <w:tblStyle w:val="6"/>
        <w:tblW w:w="9097" w:type="dxa"/>
        <w:tblInd w:w="140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582"/>
        <w:gridCol w:w="7515"/>
      </w:tblGrid>
      <w:tr w14:paraId="15E4C5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7" w:hRule="atLeast"/>
        </w:trPr>
        <w:tc>
          <w:tcPr>
            <w:tcW w:w="1582" w:type="dxa"/>
            <w:tcBorders>
              <w:top w:val="single" w:color="000000" w:sz="4" w:space="0"/>
              <w:left w:val="single" w:color="000000" w:sz="4" w:space="0"/>
            </w:tcBorders>
            <w:shd w:val="clear" w:color="auto" w:fill="DEEAF6"/>
            <w:vAlign w:val="top"/>
          </w:tcPr>
          <w:p w14:paraId="690C6BB9">
            <w:pPr>
              <w:pStyle w:val="7"/>
              <w:spacing w:before="177" w:line="217" w:lineRule="auto"/>
              <w:ind w:left="381"/>
            </w:pPr>
            <w:r>
              <w:rPr>
                <w:b/>
                <w:bCs/>
                <w:spacing w:val="-21"/>
              </w:rPr>
              <w:t>管理岗位</w:t>
            </w:r>
          </w:p>
        </w:tc>
        <w:tc>
          <w:tcPr>
            <w:tcW w:w="7515" w:type="dxa"/>
            <w:tcBorders>
              <w:top w:val="single" w:color="5B9BD5" w:sz="4" w:space="0"/>
              <w:right w:val="single" w:color="5B9BD5" w:sz="4" w:space="0"/>
            </w:tcBorders>
            <w:shd w:val="clear" w:color="auto" w:fill="DEEAF6"/>
            <w:vAlign w:val="top"/>
          </w:tcPr>
          <w:p w14:paraId="3A018A52">
            <w:pPr>
              <w:pStyle w:val="7"/>
              <w:spacing w:before="176" w:line="220" w:lineRule="auto"/>
              <w:ind w:left="3107"/>
            </w:pPr>
            <w:r>
              <w:rPr>
                <w:b/>
                <w:bCs/>
                <w:spacing w:val="-21"/>
              </w:rPr>
              <w:t>质量管理职责</w:t>
            </w:r>
          </w:p>
        </w:tc>
      </w:tr>
      <w:tr w14:paraId="1E53B9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62" w:hRule="atLeast"/>
        </w:trPr>
        <w:tc>
          <w:tcPr>
            <w:tcW w:w="1582" w:type="dxa"/>
            <w:tcBorders>
              <w:left w:val="single" w:color="000000" w:sz="4" w:space="0"/>
            </w:tcBorders>
            <w:vAlign w:val="top"/>
          </w:tcPr>
          <w:p w14:paraId="4B496645">
            <w:pPr>
              <w:spacing w:line="278" w:lineRule="auto"/>
              <w:rPr>
                <w:rFonts w:ascii="Arial"/>
                <w:sz w:val="21"/>
              </w:rPr>
            </w:pPr>
          </w:p>
          <w:p w14:paraId="7A9C79B1">
            <w:pPr>
              <w:spacing w:line="278" w:lineRule="auto"/>
              <w:rPr>
                <w:rFonts w:ascii="Arial"/>
                <w:sz w:val="21"/>
              </w:rPr>
            </w:pPr>
          </w:p>
          <w:p w14:paraId="187F3665">
            <w:pPr>
              <w:spacing w:line="278" w:lineRule="auto"/>
              <w:rPr>
                <w:rFonts w:ascii="Arial"/>
                <w:sz w:val="21"/>
              </w:rPr>
            </w:pPr>
          </w:p>
          <w:p w14:paraId="7BC76966">
            <w:pPr>
              <w:spacing w:line="279" w:lineRule="auto"/>
              <w:rPr>
                <w:rFonts w:ascii="Arial"/>
                <w:sz w:val="21"/>
              </w:rPr>
            </w:pPr>
          </w:p>
          <w:p w14:paraId="6C9E2C6D">
            <w:pPr>
              <w:spacing w:line="279" w:lineRule="auto"/>
              <w:rPr>
                <w:rFonts w:ascii="Arial"/>
                <w:sz w:val="21"/>
              </w:rPr>
            </w:pPr>
          </w:p>
          <w:p w14:paraId="2292003F">
            <w:pPr>
              <w:spacing w:line="279" w:lineRule="auto"/>
              <w:rPr>
                <w:rFonts w:ascii="Arial"/>
                <w:sz w:val="21"/>
              </w:rPr>
            </w:pPr>
          </w:p>
          <w:p w14:paraId="5FD14B40">
            <w:pPr>
              <w:pStyle w:val="7"/>
              <w:spacing w:before="78" w:line="220" w:lineRule="auto"/>
              <w:ind w:left="371"/>
            </w:pPr>
            <w:r>
              <w:rPr>
                <w:spacing w:val="-15"/>
              </w:rPr>
              <w:t>项目经理</w:t>
            </w:r>
          </w:p>
        </w:tc>
        <w:tc>
          <w:tcPr>
            <w:tcW w:w="7515" w:type="dxa"/>
            <w:tcBorders>
              <w:right w:val="single" w:color="000000" w:sz="4" w:space="0"/>
            </w:tcBorders>
            <w:vAlign w:val="top"/>
          </w:tcPr>
          <w:p w14:paraId="7422A132">
            <w:pPr>
              <w:pStyle w:val="7"/>
              <w:spacing w:before="125" w:line="217" w:lineRule="auto"/>
              <w:ind w:left="64"/>
            </w:pPr>
            <w:r>
              <w:rPr>
                <w:spacing w:val="-22"/>
              </w:rPr>
              <w:t>项目经理是项目施工的第一管理者，全面管理项目部各部门及各施工单位的工</w:t>
            </w:r>
          </w:p>
          <w:p w14:paraId="42A588D5">
            <w:pPr>
              <w:pStyle w:val="7"/>
              <w:spacing w:before="186" w:line="216" w:lineRule="auto"/>
              <w:ind w:left="2781"/>
            </w:pPr>
            <w:r>
              <w:rPr>
                <w:spacing w:val="-20"/>
              </w:rPr>
              <w:t>作质量、工程质量。</w:t>
            </w:r>
          </w:p>
          <w:p w14:paraId="5E97025C">
            <w:pPr>
              <w:pStyle w:val="7"/>
              <w:spacing w:before="184" w:line="216" w:lineRule="auto"/>
              <w:ind w:left="69"/>
            </w:pPr>
            <w:r>
              <w:rPr>
                <w:spacing w:val="-22"/>
              </w:rPr>
              <w:t>主持并参加质量工作会议，领导制定全管区质量管理方针、目标和规划，讨论</w:t>
            </w:r>
          </w:p>
          <w:p w14:paraId="12DCFE27">
            <w:pPr>
              <w:pStyle w:val="7"/>
              <w:spacing w:before="187" w:line="218" w:lineRule="auto"/>
              <w:ind w:left="2014"/>
            </w:pPr>
            <w:r>
              <w:rPr>
                <w:spacing w:val="-21"/>
              </w:rPr>
              <w:t>和决定实现目标的管理及技术措施。</w:t>
            </w:r>
          </w:p>
          <w:p w14:paraId="2551E659">
            <w:pPr>
              <w:pStyle w:val="7"/>
              <w:spacing w:before="182" w:line="216" w:lineRule="auto"/>
              <w:ind w:left="63"/>
            </w:pPr>
            <w:r>
              <w:rPr>
                <w:spacing w:val="-22"/>
              </w:rPr>
              <w:t>经常听取工程质量管理工作情况汇报，及时掌握项目工程质量动态，协调各部</w:t>
            </w:r>
          </w:p>
          <w:p w14:paraId="74627DD1">
            <w:pPr>
              <w:pStyle w:val="7"/>
              <w:spacing w:before="187" w:line="216" w:lineRule="auto"/>
              <w:ind w:left="295"/>
            </w:pPr>
            <w:r>
              <w:rPr>
                <w:spacing w:val="-22"/>
              </w:rPr>
              <w:t>门质量保障工作，推广先进经验，组织开展创优质工程和文明施工活动。</w:t>
            </w:r>
          </w:p>
          <w:p w14:paraId="5D02D2BD">
            <w:pPr>
              <w:pStyle w:val="7"/>
              <w:spacing w:before="185" w:line="216" w:lineRule="auto"/>
              <w:ind w:left="65"/>
            </w:pPr>
            <w:r>
              <w:rPr>
                <w:spacing w:val="-22"/>
              </w:rPr>
              <w:t>正确处理施工进度和工程质量的关系，积极支持质监部门和人员的工作，坚决</w:t>
            </w:r>
          </w:p>
          <w:p w14:paraId="65C9E7E3">
            <w:pPr>
              <w:pStyle w:val="7"/>
              <w:spacing w:before="187" w:line="217" w:lineRule="auto"/>
              <w:ind w:left="1034"/>
            </w:pPr>
            <w:r>
              <w:rPr>
                <w:spacing w:val="-21"/>
              </w:rPr>
              <w:t>制止不重视质量的行为，兑现质量奖惩，做到奖罚分明。</w:t>
            </w:r>
          </w:p>
        </w:tc>
      </w:tr>
      <w:tr w14:paraId="10863B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61" w:hRule="atLeast"/>
        </w:trPr>
        <w:tc>
          <w:tcPr>
            <w:tcW w:w="1582" w:type="dxa"/>
            <w:tcBorders>
              <w:left w:val="single" w:color="000000" w:sz="4" w:space="0"/>
            </w:tcBorders>
            <w:vAlign w:val="top"/>
          </w:tcPr>
          <w:p w14:paraId="5619DDF9">
            <w:pPr>
              <w:spacing w:line="286" w:lineRule="auto"/>
              <w:rPr>
                <w:rFonts w:ascii="Arial"/>
                <w:sz w:val="21"/>
              </w:rPr>
            </w:pPr>
          </w:p>
          <w:p w14:paraId="114C7C7A">
            <w:pPr>
              <w:spacing w:line="286" w:lineRule="auto"/>
              <w:rPr>
                <w:rFonts w:ascii="Arial"/>
                <w:sz w:val="21"/>
              </w:rPr>
            </w:pPr>
          </w:p>
          <w:p w14:paraId="74C5DCCC">
            <w:pPr>
              <w:spacing w:line="287" w:lineRule="auto"/>
              <w:rPr>
                <w:rFonts w:ascii="Arial"/>
                <w:sz w:val="21"/>
              </w:rPr>
            </w:pPr>
          </w:p>
          <w:p w14:paraId="6EAC5535">
            <w:pPr>
              <w:spacing w:line="287" w:lineRule="auto"/>
              <w:rPr>
                <w:rFonts w:ascii="Arial"/>
                <w:sz w:val="21"/>
              </w:rPr>
            </w:pPr>
          </w:p>
          <w:p w14:paraId="67FFD7B5">
            <w:pPr>
              <w:spacing w:line="287" w:lineRule="auto"/>
              <w:rPr>
                <w:rFonts w:ascii="Arial"/>
                <w:sz w:val="21"/>
              </w:rPr>
            </w:pPr>
          </w:p>
          <w:p w14:paraId="178C273E">
            <w:pPr>
              <w:pStyle w:val="7"/>
              <w:spacing w:before="78" w:line="218" w:lineRule="auto"/>
              <w:ind w:left="153"/>
            </w:pPr>
            <w:r>
              <w:rPr>
                <w:spacing w:val="-18"/>
              </w:rPr>
              <w:t>项目技术负责</w:t>
            </w:r>
          </w:p>
          <w:p w14:paraId="2B4105FC">
            <w:pPr>
              <w:pStyle w:val="7"/>
              <w:spacing w:before="182" w:line="222" w:lineRule="auto"/>
              <w:ind w:left="700"/>
            </w:pPr>
            <w:r>
              <w:t>人</w:t>
            </w:r>
          </w:p>
        </w:tc>
        <w:tc>
          <w:tcPr>
            <w:tcW w:w="7515" w:type="dxa"/>
            <w:tcBorders>
              <w:right w:val="single" w:color="000000" w:sz="4" w:space="0"/>
            </w:tcBorders>
            <w:vAlign w:val="top"/>
          </w:tcPr>
          <w:p w14:paraId="37B88C3E">
            <w:pPr>
              <w:pStyle w:val="7"/>
              <w:spacing w:before="119" w:line="218" w:lineRule="auto"/>
              <w:ind w:left="1034"/>
            </w:pPr>
            <w:r>
              <w:rPr>
                <w:spacing w:val="-21"/>
              </w:rPr>
              <w:t>项目技术负责人是项目工程质量的主要组织者和领导者。</w:t>
            </w:r>
          </w:p>
          <w:p w14:paraId="2FFD89AC">
            <w:pPr>
              <w:pStyle w:val="7"/>
              <w:spacing w:before="181" w:line="216" w:lineRule="auto"/>
              <w:ind w:left="64"/>
            </w:pPr>
            <w:r>
              <w:rPr>
                <w:spacing w:val="-22"/>
              </w:rPr>
              <w:t>根据项目经理的意图，负责制定质量管理方针、目标和规划，并贯彻落实。主</w:t>
            </w:r>
          </w:p>
          <w:p w14:paraId="6F62C6D2">
            <w:pPr>
              <w:pStyle w:val="7"/>
              <w:spacing w:before="187" w:line="215" w:lineRule="auto"/>
              <w:ind w:left="819"/>
            </w:pPr>
            <w:r>
              <w:rPr>
                <w:spacing w:val="-21"/>
              </w:rPr>
              <w:t>持质量工作会议，组织质量大检查和对创优样板工程</w:t>
            </w:r>
            <w:r>
              <w:rPr>
                <w:spacing w:val="-22"/>
              </w:rPr>
              <w:t>进行评比</w:t>
            </w:r>
          </w:p>
          <w:p w14:paraId="670D037E">
            <w:pPr>
              <w:pStyle w:val="7"/>
              <w:spacing w:before="187" w:line="217" w:lineRule="auto"/>
              <w:ind w:left="64"/>
            </w:pPr>
            <w:r>
              <w:rPr>
                <w:spacing w:val="-22"/>
              </w:rPr>
              <w:t>组织制定质量保障措，及时了解和掌握工程质量现状，针对施工质量问题，组</w:t>
            </w:r>
          </w:p>
          <w:p w14:paraId="239A6365">
            <w:pPr>
              <w:pStyle w:val="7"/>
              <w:spacing w:before="184" w:line="216" w:lineRule="auto"/>
              <w:ind w:left="66"/>
            </w:pPr>
            <w:r>
              <w:rPr>
                <w:spacing w:val="-22"/>
              </w:rPr>
              <w:t>织有关人员调查研究，分析原因，制定改进措施和处理方案，并责成有关单位</w:t>
            </w:r>
          </w:p>
          <w:p w14:paraId="7FCDCB2D">
            <w:pPr>
              <w:pStyle w:val="7"/>
              <w:spacing w:before="188" w:line="217" w:lineRule="auto"/>
              <w:ind w:left="2886"/>
            </w:pPr>
            <w:r>
              <w:rPr>
                <w:spacing w:val="-19"/>
              </w:rPr>
              <w:t>和部门限期落实。</w:t>
            </w:r>
          </w:p>
          <w:p w14:paraId="04C13C1A">
            <w:pPr>
              <w:pStyle w:val="7"/>
              <w:spacing w:before="184" w:line="217" w:lineRule="auto"/>
              <w:ind w:left="64"/>
            </w:pPr>
            <w:r>
              <w:rPr>
                <w:spacing w:val="-22"/>
              </w:rPr>
              <w:t>组织工程项目设计会审，主持编制施工组织设计，研究开发“四新”成果，开</w:t>
            </w:r>
          </w:p>
          <w:p w14:paraId="311B069B">
            <w:pPr>
              <w:pStyle w:val="7"/>
              <w:spacing w:before="185" w:line="218" w:lineRule="auto"/>
              <w:ind w:left="2179"/>
            </w:pPr>
            <w:r>
              <w:rPr>
                <w:spacing w:val="-16"/>
              </w:rPr>
              <w:t>展创优活动和QC小组攻关活动。</w:t>
            </w:r>
          </w:p>
        </w:tc>
      </w:tr>
      <w:tr w14:paraId="399601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57" w:hRule="atLeast"/>
        </w:trPr>
        <w:tc>
          <w:tcPr>
            <w:tcW w:w="1582" w:type="dxa"/>
            <w:tcBorders>
              <w:left w:val="single" w:color="000000" w:sz="4" w:space="0"/>
            </w:tcBorders>
            <w:vAlign w:val="top"/>
          </w:tcPr>
          <w:p w14:paraId="6FD2058D">
            <w:pPr>
              <w:rPr>
                <w:rFonts w:ascii="Arial"/>
                <w:sz w:val="21"/>
              </w:rPr>
            </w:pPr>
          </w:p>
          <w:p w14:paraId="5502832B">
            <w:pPr>
              <w:rPr>
                <w:rFonts w:ascii="Arial"/>
                <w:sz w:val="21"/>
              </w:rPr>
            </w:pPr>
          </w:p>
          <w:p w14:paraId="58DCD86F">
            <w:pPr>
              <w:rPr>
                <w:rFonts w:ascii="Arial"/>
                <w:sz w:val="21"/>
              </w:rPr>
            </w:pPr>
          </w:p>
          <w:p w14:paraId="6039E735">
            <w:pPr>
              <w:spacing w:line="241" w:lineRule="auto"/>
              <w:rPr>
                <w:rFonts w:ascii="Arial"/>
                <w:sz w:val="21"/>
              </w:rPr>
            </w:pPr>
          </w:p>
          <w:p w14:paraId="6D097D57">
            <w:pPr>
              <w:pStyle w:val="7"/>
              <w:spacing w:before="78" w:line="220" w:lineRule="auto"/>
              <w:ind w:left="261"/>
            </w:pPr>
            <w:r>
              <w:rPr>
                <w:spacing w:val="-17"/>
              </w:rPr>
              <w:t>项目副经理</w:t>
            </w:r>
          </w:p>
        </w:tc>
        <w:tc>
          <w:tcPr>
            <w:tcW w:w="7515" w:type="dxa"/>
            <w:tcBorders>
              <w:right w:val="single" w:color="000000" w:sz="4" w:space="0"/>
            </w:tcBorders>
            <w:vAlign w:val="top"/>
          </w:tcPr>
          <w:p w14:paraId="6EC64FEB">
            <w:pPr>
              <w:pStyle w:val="7"/>
              <w:spacing w:before="112" w:line="217" w:lineRule="auto"/>
              <w:ind w:left="817"/>
            </w:pPr>
            <w:r>
              <w:rPr>
                <w:spacing w:val="-21"/>
              </w:rPr>
              <w:t>贯彻执行上级的质量方针、政策，落实质量方针和质量目</w:t>
            </w:r>
            <w:r>
              <w:rPr>
                <w:spacing w:val="-22"/>
              </w:rPr>
              <w:t>标。</w:t>
            </w:r>
          </w:p>
          <w:p w14:paraId="6FC508C8">
            <w:pPr>
              <w:pStyle w:val="7"/>
              <w:spacing w:before="183" w:line="216" w:lineRule="auto"/>
              <w:ind w:left="2126"/>
            </w:pPr>
            <w:r>
              <w:rPr>
                <w:spacing w:val="-21"/>
              </w:rPr>
              <w:t>协助项目经理日常质量管理工作。</w:t>
            </w:r>
          </w:p>
          <w:p w14:paraId="1D7E9BAD">
            <w:pPr>
              <w:pStyle w:val="7"/>
              <w:spacing w:before="187" w:line="218" w:lineRule="auto"/>
              <w:ind w:left="63"/>
            </w:pPr>
            <w:r>
              <w:rPr>
                <w:spacing w:val="-22"/>
              </w:rPr>
              <w:t>贯彻落实项目经理的意图，负责管理职权范围内的各项事宜，负责对所分担的</w:t>
            </w:r>
          </w:p>
          <w:p w14:paraId="5E166AF0">
            <w:pPr>
              <w:pStyle w:val="7"/>
              <w:spacing w:before="181" w:line="217" w:lineRule="auto"/>
              <w:ind w:left="62"/>
            </w:pPr>
            <w:r>
              <w:rPr>
                <w:spacing w:val="-22"/>
              </w:rPr>
              <w:t>施工任务进行协调、管理、控制，制定相应的质量目标和规划参加项目部综合</w:t>
            </w:r>
          </w:p>
          <w:p w14:paraId="4DA8C505">
            <w:pPr>
              <w:pStyle w:val="7"/>
              <w:spacing w:before="186" w:line="216" w:lineRule="auto"/>
              <w:ind w:left="2017"/>
            </w:pPr>
            <w:r>
              <w:rPr>
                <w:spacing w:val="-21"/>
              </w:rPr>
              <w:t>大检查，做好各单位质量评比工作。</w:t>
            </w:r>
          </w:p>
        </w:tc>
      </w:tr>
      <w:tr w14:paraId="19328E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98" w:hRule="atLeast"/>
        </w:trPr>
        <w:tc>
          <w:tcPr>
            <w:tcW w:w="1582" w:type="dxa"/>
            <w:tcBorders>
              <w:left w:val="single" w:color="1C456A" w:sz="4" w:space="0"/>
              <w:bottom w:val="single" w:color="1C456A" w:sz="4" w:space="0"/>
            </w:tcBorders>
            <w:vAlign w:val="top"/>
          </w:tcPr>
          <w:p w14:paraId="09C9D408">
            <w:pPr>
              <w:spacing w:line="319" w:lineRule="auto"/>
              <w:rPr>
                <w:rFonts w:ascii="Arial"/>
                <w:sz w:val="21"/>
              </w:rPr>
            </w:pPr>
            <w:r>
              <w:pict>
                <v:shape id="_x0000_s3545" o:spid="_x0000_s3545" style="position:absolute;left:0pt;margin-left:-0.2pt;margin-top:124.95pt;height:0.75pt;width:2.2pt;mso-position-horizontal-relative:page;mso-position-vertical-relative:page;z-index:252123136;mso-width-relative:page;mso-height-relative:page;" fillcolor="#5B9BD5" filled="t" stroked="f" coordsize="44,15" path="m0,14l43,14,43,0,0,0,0,14xe">
                  <v:path/>
                  <v:fill on="t" focussize="0,0"/>
                  <v:stroke on="f"/>
                  <v:imagedata o:title=""/>
                  <o:lock v:ext="edit"/>
                </v:shape>
              </w:pict>
            </w:r>
          </w:p>
          <w:p w14:paraId="6A5F32C9">
            <w:pPr>
              <w:spacing w:line="319" w:lineRule="auto"/>
              <w:rPr>
                <w:rFonts w:ascii="Arial"/>
                <w:sz w:val="21"/>
              </w:rPr>
            </w:pPr>
          </w:p>
          <w:p w14:paraId="5A14AE2C">
            <w:pPr>
              <w:spacing w:line="320" w:lineRule="auto"/>
              <w:rPr>
                <w:rFonts w:ascii="Arial"/>
                <w:sz w:val="21"/>
              </w:rPr>
            </w:pPr>
          </w:p>
          <w:p w14:paraId="06D1D905">
            <w:pPr>
              <w:pStyle w:val="7"/>
              <w:spacing w:before="78" w:line="216" w:lineRule="auto"/>
              <w:ind w:left="484"/>
            </w:pPr>
            <w:r>
              <w:rPr>
                <w:spacing w:val="-15"/>
              </w:rPr>
              <w:t>质检员</w:t>
            </w:r>
          </w:p>
        </w:tc>
        <w:tc>
          <w:tcPr>
            <w:tcW w:w="7515" w:type="dxa"/>
            <w:tcBorders>
              <w:bottom w:val="single" w:color="5B9BD5" w:sz="4" w:space="0"/>
              <w:right w:val="single" w:color="5B9BD5" w:sz="4" w:space="0"/>
            </w:tcBorders>
            <w:vAlign w:val="top"/>
          </w:tcPr>
          <w:p w14:paraId="34B3DAED">
            <w:pPr>
              <w:pStyle w:val="7"/>
              <w:spacing w:before="108" w:line="216" w:lineRule="auto"/>
              <w:ind w:left="63"/>
            </w:pPr>
            <w:r>
              <w:pict>
                <v:shape id="_x0000_s3546" o:spid="_x0000_s3546" style="position:absolute;left:0pt;margin-left:373.85pt;margin-top:124.95pt;height:0.75pt;width:2.2pt;mso-position-horizontal-relative:page;mso-position-vertical-relative:page;z-index:252122112;mso-width-relative:page;mso-height-relative:page;" fillcolor="#5B9BD5" filled="t" stroked="f" coordsize="44,15" path="m0,14l43,14,43,0,0,0,0,14xe">
                  <v:path/>
                  <v:fill on="t" focussize="0,0"/>
                  <v:stroke on="f"/>
                  <v:imagedata o:title=""/>
                  <o:lock v:ext="edit"/>
                </v:shape>
              </w:pict>
            </w:r>
            <w:r>
              <w:rPr>
                <w:spacing w:val="-22"/>
              </w:rPr>
              <w:t>贯彻执行国家及上级有关质量工作的方针、政策和标准，并根据业主要求和质</w:t>
            </w:r>
          </w:p>
          <w:p w14:paraId="3AB46039">
            <w:pPr>
              <w:pStyle w:val="7"/>
              <w:spacing w:before="187" w:line="216" w:lineRule="auto"/>
              <w:ind w:left="1473"/>
            </w:pPr>
            <w:r>
              <w:rPr>
                <w:spacing w:val="-21"/>
              </w:rPr>
              <w:t>量目标，协助制定质量工作的规章制度和措施。</w:t>
            </w:r>
          </w:p>
          <w:p w14:paraId="4EABC196">
            <w:pPr>
              <w:pStyle w:val="7"/>
              <w:spacing w:before="185" w:line="218" w:lineRule="auto"/>
              <w:ind w:left="64"/>
            </w:pPr>
            <w:r>
              <w:rPr>
                <w:spacing w:val="-22"/>
              </w:rPr>
              <w:t>认真学习科学知识，提高专业素质，熟悉施工图、规范和验标。经常深入施工</w:t>
            </w:r>
          </w:p>
          <w:p w14:paraId="2F3FBFB4">
            <w:pPr>
              <w:pStyle w:val="7"/>
              <w:spacing w:before="184" w:line="215" w:lineRule="auto"/>
              <w:ind w:left="1795"/>
            </w:pPr>
            <w:r>
              <w:rPr>
                <w:spacing w:val="-22"/>
              </w:rPr>
              <w:t>现场，及时处理施工中存在的质量问题。</w:t>
            </w:r>
          </w:p>
          <w:p w14:paraId="00D89913">
            <w:pPr>
              <w:pStyle w:val="7"/>
              <w:spacing w:before="185" w:line="217" w:lineRule="auto"/>
              <w:ind w:left="82"/>
            </w:pPr>
            <w:r>
              <w:rPr>
                <w:spacing w:val="-22"/>
              </w:rPr>
              <w:t>审查有关保证质量的措施，参加技术和生产会议。</w:t>
            </w:r>
            <w:r>
              <w:rPr>
                <w:spacing w:val="-23"/>
              </w:rPr>
              <w:t>参加工程质量评定竣工预验</w:t>
            </w:r>
          </w:p>
        </w:tc>
      </w:tr>
    </w:tbl>
    <w:p w14:paraId="4399DA9E">
      <w:pPr>
        <w:rPr>
          <w:rFonts w:ascii="Arial"/>
          <w:sz w:val="21"/>
        </w:rPr>
      </w:pPr>
    </w:p>
    <w:p w14:paraId="5CB345B2">
      <w:pPr>
        <w:rPr>
          <w:rFonts w:ascii="Arial" w:hAnsi="Arial" w:eastAsia="Arial" w:cs="Arial"/>
          <w:sz w:val="21"/>
          <w:szCs w:val="21"/>
        </w:rPr>
        <w:sectPr>
          <w:footerReference r:id="rId202" w:type="default"/>
          <w:pgSz w:w="11907" w:h="16839"/>
          <w:pgMar w:top="954" w:right="4" w:bottom="1038" w:left="0" w:header="499" w:footer="357" w:gutter="0"/>
          <w:pgBorders>
            <w:top w:val="none" w:sz="0" w:space="0"/>
            <w:left w:val="none" w:sz="0" w:space="0"/>
            <w:bottom w:val="none" w:sz="0" w:space="0"/>
            <w:right w:val="none" w:sz="0" w:space="0"/>
          </w:pgBorders>
          <w:cols w:space="720" w:num="1"/>
        </w:sectPr>
      </w:pPr>
    </w:p>
    <w:p w14:paraId="0595AC03">
      <w:pPr>
        <w:spacing w:line="214" w:lineRule="exact"/>
      </w:pPr>
    </w:p>
    <w:tbl>
      <w:tblPr>
        <w:tblStyle w:val="6"/>
        <w:tblW w:w="9097" w:type="dxa"/>
        <w:tblInd w:w="140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577"/>
        <w:gridCol w:w="7520"/>
      </w:tblGrid>
      <w:tr w14:paraId="3AD7AD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21" w:hRule="atLeast"/>
        </w:trPr>
        <w:tc>
          <w:tcPr>
            <w:tcW w:w="1577" w:type="dxa"/>
            <w:tcBorders>
              <w:top w:val="single" w:color="000000" w:sz="4" w:space="0"/>
              <w:left w:val="single" w:color="000000" w:sz="4" w:space="0"/>
            </w:tcBorders>
            <w:vAlign w:val="top"/>
          </w:tcPr>
          <w:p w14:paraId="43F3DA0D">
            <w:pPr>
              <w:rPr>
                <w:rFonts w:ascii="Arial"/>
                <w:sz w:val="21"/>
              </w:rPr>
            </w:pPr>
          </w:p>
        </w:tc>
        <w:tc>
          <w:tcPr>
            <w:tcW w:w="7520" w:type="dxa"/>
            <w:tcBorders>
              <w:top w:val="single" w:color="5B9BD5" w:sz="4" w:space="0"/>
              <w:right w:val="single" w:color="5B9BD5" w:sz="4" w:space="0"/>
            </w:tcBorders>
            <w:vAlign w:val="top"/>
          </w:tcPr>
          <w:p w14:paraId="5532D746">
            <w:pPr>
              <w:pStyle w:val="7"/>
              <w:spacing w:before="129" w:line="216" w:lineRule="auto"/>
              <w:ind w:left="2893"/>
            </w:pPr>
            <w:r>
              <w:rPr>
                <w:spacing w:val="-21"/>
              </w:rPr>
              <w:t>及验收交接工作。</w:t>
            </w:r>
          </w:p>
          <w:p w14:paraId="02AE9F1F">
            <w:pPr>
              <w:pStyle w:val="7"/>
              <w:spacing w:before="185" w:line="216" w:lineRule="auto"/>
              <w:ind w:left="78"/>
            </w:pPr>
            <w:r>
              <w:rPr>
                <w:spacing w:val="-22"/>
              </w:rPr>
              <w:t>总结施工质量及管理工作的经验教训。按规定建立质量台帐，上报各</w:t>
            </w:r>
            <w:r>
              <w:rPr>
                <w:spacing w:val="-23"/>
              </w:rPr>
              <w:t>种质量统</w:t>
            </w:r>
          </w:p>
          <w:p w14:paraId="11439083">
            <w:pPr>
              <w:pStyle w:val="7"/>
              <w:spacing w:before="187" w:line="218" w:lineRule="auto"/>
              <w:ind w:left="3327"/>
            </w:pPr>
            <w:r>
              <w:rPr>
                <w:spacing w:val="-15"/>
              </w:rPr>
              <w:t>计报表。</w:t>
            </w:r>
          </w:p>
          <w:p w14:paraId="1B0684CE">
            <w:pPr>
              <w:pStyle w:val="7"/>
              <w:spacing w:before="181" w:line="216" w:lineRule="auto"/>
              <w:ind w:left="173"/>
            </w:pPr>
            <w:r>
              <w:rPr>
                <w:spacing w:val="-21"/>
              </w:rPr>
              <w:t>督促并协助现场建立群众性的工程质量检查</w:t>
            </w:r>
            <w:r>
              <w:rPr>
                <w:spacing w:val="-22"/>
              </w:rPr>
              <w:t>制度，指导专兼职检查人员的工</w:t>
            </w:r>
          </w:p>
          <w:p w14:paraId="09C48FE0">
            <w:pPr>
              <w:pStyle w:val="7"/>
              <w:spacing w:before="187" w:line="216" w:lineRule="auto"/>
              <w:ind w:left="3550"/>
            </w:pPr>
            <w:r>
              <w:rPr>
                <w:spacing w:val="-19"/>
              </w:rPr>
              <w:t>作。</w:t>
            </w:r>
          </w:p>
          <w:p w14:paraId="11884C4E">
            <w:pPr>
              <w:pStyle w:val="7"/>
              <w:spacing w:before="185" w:line="218" w:lineRule="auto"/>
              <w:ind w:left="69"/>
            </w:pPr>
            <w:r>
              <w:rPr>
                <w:spacing w:val="-22"/>
              </w:rPr>
              <w:t>对不按规定施工或违反施工规则的情况提出改正要求，必要时可签发“安全质</w:t>
            </w:r>
          </w:p>
          <w:p w14:paraId="641E9F08">
            <w:pPr>
              <w:pStyle w:val="7"/>
              <w:spacing w:before="184" w:line="217" w:lineRule="auto"/>
              <w:ind w:left="71"/>
            </w:pPr>
            <w:r>
              <w:rPr>
                <w:spacing w:val="-22"/>
              </w:rPr>
              <w:t>量监察通知书”和“安全质量罚款通知单”。遇有严重影响后续施工质量的情</w:t>
            </w:r>
          </w:p>
          <w:p w14:paraId="4756BCDB">
            <w:pPr>
              <w:pStyle w:val="7"/>
              <w:spacing w:before="184" w:line="216" w:lineRule="auto"/>
              <w:ind w:left="1694"/>
            </w:pPr>
            <w:r>
              <w:rPr>
                <w:spacing w:val="-22"/>
              </w:rPr>
              <w:t>况，有权责令暂停施工，并报告领导处理。</w:t>
            </w:r>
          </w:p>
          <w:p w14:paraId="1F9D7B19">
            <w:pPr>
              <w:pStyle w:val="7"/>
              <w:spacing w:before="186" w:line="217" w:lineRule="auto"/>
              <w:ind w:left="930"/>
            </w:pPr>
            <w:r>
              <w:rPr>
                <w:spacing w:val="-21"/>
              </w:rPr>
              <w:t>贯彻执行质量管理体系标准，确保质量管理体系有效运行。</w:t>
            </w:r>
          </w:p>
          <w:p w14:paraId="43E91A3A">
            <w:pPr>
              <w:pStyle w:val="7"/>
              <w:spacing w:before="187" w:line="216" w:lineRule="auto"/>
              <w:ind w:left="2461"/>
            </w:pPr>
            <w:r>
              <w:rPr>
                <w:spacing w:val="-21"/>
              </w:rPr>
              <w:t>完成领导交办的其它工作。</w:t>
            </w:r>
          </w:p>
        </w:tc>
      </w:tr>
      <w:tr w14:paraId="484DFA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18" w:hRule="atLeast"/>
        </w:trPr>
        <w:tc>
          <w:tcPr>
            <w:tcW w:w="1577" w:type="dxa"/>
            <w:tcBorders>
              <w:left w:val="single" w:color="000000" w:sz="4" w:space="0"/>
            </w:tcBorders>
            <w:vAlign w:val="top"/>
          </w:tcPr>
          <w:p w14:paraId="19E810FB">
            <w:pPr>
              <w:rPr>
                <w:rFonts w:ascii="Arial"/>
                <w:sz w:val="21"/>
              </w:rPr>
            </w:pPr>
          </w:p>
          <w:p w14:paraId="2468F623">
            <w:pPr>
              <w:spacing w:line="241" w:lineRule="auto"/>
              <w:rPr>
                <w:rFonts w:ascii="Arial"/>
                <w:sz w:val="21"/>
              </w:rPr>
            </w:pPr>
          </w:p>
          <w:p w14:paraId="79C960F3">
            <w:pPr>
              <w:pStyle w:val="7"/>
              <w:spacing w:before="78" w:line="216" w:lineRule="auto"/>
              <w:ind w:left="490"/>
            </w:pPr>
            <w:r>
              <w:rPr>
                <w:spacing w:val="-16"/>
              </w:rPr>
              <w:t>资料员</w:t>
            </w:r>
          </w:p>
        </w:tc>
        <w:tc>
          <w:tcPr>
            <w:tcW w:w="7520" w:type="dxa"/>
            <w:tcBorders>
              <w:right w:val="single" w:color="000000" w:sz="4" w:space="0"/>
            </w:tcBorders>
            <w:vAlign w:val="top"/>
          </w:tcPr>
          <w:p w14:paraId="72E809A6">
            <w:pPr>
              <w:pStyle w:val="7"/>
              <w:spacing w:before="97" w:line="216" w:lineRule="auto"/>
              <w:ind w:left="1044"/>
            </w:pPr>
            <w:r>
              <w:rPr>
                <w:spacing w:val="-21"/>
              </w:rPr>
              <w:t>负责工程质检资料接收、清点、登记、归档、</w:t>
            </w:r>
            <w:r>
              <w:rPr>
                <w:spacing w:val="-22"/>
              </w:rPr>
              <w:t>管理工作。</w:t>
            </w:r>
          </w:p>
          <w:p w14:paraId="02761E67">
            <w:pPr>
              <w:pStyle w:val="7"/>
              <w:spacing w:before="185" w:line="218" w:lineRule="auto"/>
              <w:ind w:left="2242"/>
            </w:pPr>
            <w:r>
              <w:rPr>
                <w:spacing w:val="-21"/>
              </w:rPr>
              <w:t>参加分部分项工程的质量验收。</w:t>
            </w:r>
          </w:p>
          <w:p w14:paraId="5825D0E4">
            <w:pPr>
              <w:pStyle w:val="7"/>
              <w:spacing w:before="184" w:line="216" w:lineRule="auto"/>
              <w:ind w:left="1918"/>
            </w:pPr>
            <w:r>
              <w:rPr>
                <w:spacing w:val="-22"/>
              </w:rPr>
              <w:t>负责质量计划、质量统计的管理工作。</w:t>
            </w:r>
          </w:p>
        </w:tc>
      </w:tr>
      <w:tr w14:paraId="11AD96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19" w:hRule="atLeast"/>
        </w:trPr>
        <w:tc>
          <w:tcPr>
            <w:tcW w:w="1577" w:type="dxa"/>
            <w:tcBorders>
              <w:left w:val="single" w:color="000000" w:sz="4" w:space="0"/>
            </w:tcBorders>
            <w:vAlign w:val="top"/>
          </w:tcPr>
          <w:p w14:paraId="1EB8910A">
            <w:pPr>
              <w:spacing w:line="268" w:lineRule="auto"/>
              <w:rPr>
                <w:rFonts w:ascii="Arial"/>
                <w:sz w:val="21"/>
              </w:rPr>
            </w:pPr>
          </w:p>
          <w:p w14:paraId="2486CD45">
            <w:pPr>
              <w:spacing w:line="268" w:lineRule="auto"/>
              <w:rPr>
                <w:rFonts w:ascii="Arial"/>
                <w:sz w:val="21"/>
              </w:rPr>
            </w:pPr>
          </w:p>
          <w:p w14:paraId="16C8DC39">
            <w:pPr>
              <w:spacing w:line="268" w:lineRule="auto"/>
              <w:rPr>
                <w:rFonts w:ascii="Arial"/>
                <w:sz w:val="21"/>
              </w:rPr>
            </w:pPr>
          </w:p>
          <w:p w14:paraId="747A25EA">
            <w:pPr>
              <w:spacing w:line="268" w:lineRule="auto"/>
              <w:rPr>
                <w:rFonts w:ascii="Arial"/>
                <w:sz w:val="21"/>
              </w:rPr>
            </w:pPr>
          </w:p>
          <w:p w14:paraId="1872BD6C">
            <w:pPr>
              <w:spacing w:line="268" w:lineRule="auto"/>
              <w:rPr>
                <w:rFonts w:ascii="Arial"/>
                <w:sz w:val="21"/>
              </w:rPr>
            </w:pPr>
          </w:p>
          <w:p w14:paraId="061589D1">
            <w:pPr>
              <w:spacing w:line="268" w:lineRule="auto"/>
              <w:rPr>
                <w:rFonts w:ascii="Arial"/>
                <w:sz w:val="21"/>
              </w:rPr>
            </w:pPr>
          </w:p>
          <w:p w14:paraId="201E8D58">
            <w:pPr>
              <w:spacing w:line="268" w:lineRule="auto"/>
              <w:rPr>
                <w:rFonts w:ascii="Arial"/>
                <w:sz w:val="21"/>
              </w:rPr>
            </w:pPr>
          </w:p>
          <w:p w14:paraId="6EDF2C81">
            <w:pPr>
              <w:pStyle w:val="7"/>
              <w:spacing w:before="78" w:line="218" w:lineRule="auto"/>
              <w:ind w:left="479"/>
            </w:pPr>
            <w:r>
              <w:rPr>
                <w:spacing w:val="-14"/>
              </w:rPr>
              <w:t>技术员</w:t>
            </w:r>
          </w:p>
        </w:tc>
        <w:tc>
          <w:tcPr>
            <w:tcW w:w="7520" w:type="dxa"/>
            <w:tcBorders>
              <w:right w:val="single" w:color="000000" w:sz="4" w:space="0"/>
            </w:tcBorders>
            <w:vAlign w:val="top"/>
          </w:tcPr>
          <w:p w14:paraId="79D7D3C5">
            <w:pPr>
              <w:pStyle w:val="7"/>
              <w:spacing w:before="97" w:line="217" w:lineRule="auto"/>
              <w:ind w:left="1039"/>
            </w:pPr>
            <w:r>
              <w:rPr>
                <w:spacing w:val="-21"/>
              </w:rPr>
              <w:t>认真执行质量验收标准，对所管辖队伍负直接领导责任。</w:t>
            </w:r>
          </w:p>
          <w:p w14:paraId="48AF0409">
            <w:pPr>
              <w:pStyle w:val="7"/>
              <w:spacing w:before="185" w:line="217" w:lineRule="auto"/>
              <w:ind w:left="69"/>
            </w:pPr>
            <w:r>
              <w:rPr>
                <w:spacing w:val="-22"/>
              </w:rPr>
              <w:t>认真执行技术交底，针对生产任务特点，向施队进行书面技术交底，履行签认</w:t>
            </w:r>
          </w:p>
          <w:p w14:paraId="30204C5A">
            <w:pPr>
              <w:pStyle w:val="7"/>
              <w:spacing w:before="183" w:line="216" w:lineRule="auto"/>
              <w:ind w:left="1696"/>
            </w:pPr>
            <w:r>
              <w:rPr>
                <w:spacing w:val="-21"/>
              </w:rPr>
              <w:t>手续，并对执行情况经常检查，随时纠正。</w:t>
            </w:r>
          </w:p>
          <w:p w14:paraId="14115327">
            <w:pPr>
              <w:pStyle w:val="7"/>
              <w:spacing w:before="188" w:line="216" w:lineRule="auto"/>
              <w:ind w:left="69"/>
            </w:pPr>
            <w:r>
              <w:rPr>
                <w:spacing w:val="-22"/>
              </w:rPr>
              <w:t>对重点、特殊部位施工，必须检查施工准备情况，施工前认真检查，并进行旁</w:t>
            </w:r>
          </w:p>
          <w:p w14:paraId="09AE44D0">
            <w:pPr>
              <w:pStyle w:val="7"/>
              <w:spacing w:before="184" w:line="219" w:lineRule="auto"/>
              <w:ind w:left="3329"/>
            </w:pPr>
            <w:r>
              <w:rPr>
                <w:spacing w:val="-20"/>
              </w:rPr>
              <w:t>站监督。</w:t>
            </w:r>
          </w:p>
          <w:p w14:paraId="7F8677CA">
            <w:pPr>
              <w:pStyle w:val="7"/>
              <w:spacing w:before="184" w:line="216" w:lineRule="auto"/>
              <w:ind w:left="823"/>
            </w:pPr>
            <w:r>
              <w:rPr>
                <w:spacing w:val="-21"/>
              </w:rPr>
              <w:t>接受安质部门或人员的监督检查，及时解决提出的质量问</w:t>
            </w:r>
            <w:r>
              <w:rPr>
                <w:spacing w:val="-22"/>
              </w:rPr>
              <w:t>题。</w:t>
            </w:r>
          </w:p>
          <w:p w14:paraId="164CFFA5">
            <w:pPr>
              <w:pStyle w:val="7"/>
              <w:spacing w:before="185" w:line="216" w:lineRule="auto"/>
              <w:ind w:left="69"/>
            </w:pPr>
            <w:r>
              <w:rPr>
                <w:spacing w:val="-22"/>
              </w:rPr>
              <w:t>对分管工程项目应用的新材料、新工艺、新技术严格执行申报、审批制度，发</w:t>
            </w:r>
          </w:p>
          <w:p w14:paraId="5D68C440">
            <w:pPr>
              <w:pStyle w:val="7"/>
              <w:spacing w:before="187" w:line="216" w:lineRule="auto"/>
              <w:ind w:left="1366"/>
            </w:pPr>
            <w:r>
              <w:rPr>
                <w:spacing w:val="-21"/>
              </w:rPr>
              <w:t>现问题，及时停止使用，并上报有关部门或领导。</w:t>
            </w:r>
          </w:p>
          <w:p w14:paraId="1E61BA3F">
            <w:pPr>
              <w:pStyle w:val="7"/>
              <w:spacing w:before="184" w:line="217" w:lineRule="auto"/>
              <w:ind w:left="1918"/>
            </w:pPr>
            <w:r>
              <w:rPr>
                <w:spacing w:val="-21"/>
              </w:rPr>
              <w:t>发生质量事故要保护现场，立即上报。</w:t>
            </w:r>
          </w:p>
        </w:tc>
      </w:tr>
      <w:tr w14:paraId="548536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25" w:hRule="atLeast"/>
        </w:trPr>
        <w:tc>
          <w:tcPr>
            <w:tcW w:w="1577" w:type="dxa"/>
            <w:tcBorders>
              <w:left w:val="single" w:color="1C456A" w:sz="4" w:space="0"/>
              <w:bottom w:val="single" w:color="1C456A" w:sz="4" w:space="0"/>
            </w:tcBorders>
            <w:vAlign w:val="top"/>
          </w:tcPr>
          <w:p w14:paraId="4D3B8334">
            <w:pPr>
              <w:spacing w:line="282" w:lineRule="auto"/>
              <w:rPr>
                <w:rFonts w:ascii="Arial"/>
                <w:sz w:val="21"/>
              </w:rPr>
            </w:pPr>
            <w:r>
              <w:pict>
                <v:shape id="_x0000_s3547" o:spid="_x0000_s3547" style="position:absolute;left:0pt;margin-left:-0.2pt;margin-top:171.3pt;height:0.75pt;width:2.2pt;mso-position-horizontal-relative:page;mso-position-vertical-relative:page;z-index:252124160;mso-width-relative:page;mso-height-relative:page;" fillcolor="#5B9BD5" filled="t" stroked="f" coordsize="44,15" path="m0,14l43,14,43,0,0,0,0,14xe">
                  <v:path/>
                  <v:fill on="t" focussize="0,0"/>
                  <v:stroke on="f"/>
                  <v:imagedata o:title=""/>
                  <o:lock v:ext="edit"/>
                </v:shape>
              </w:pict>
            </w:r>
          </w:p>
          <w:p w14:paraId="15E99F3B">
            <w:pPr>
              <w:spacing w:line="283" w:lineRule="auto"/>
              <w:rPr>
                <w:rFonts w:ascii="Arial"/>
                <w:sz w:val="21"/>
              </w:rPr>
            </w:pPr>
          </w:p>
          <w:p w14:paraId="68878B30">
            <w:pPr>
              <w:spacing w:line="283" w:lineRule="auto"/>
              <w:rPr>
                <w:rFonts w:ascii="Arial"/>
                <w:sz w:val="21"/>
              </w:rPr>
            </w:pPr>
          </w:p>
          <w:p w14:paraId="575C1A18">
            <w:pPr>
              <w:spacing w:line="283" w:lineRule="auto"/>
              <w:rPr>
                <w:rFonts w:ascii="Arial"/>
                <w:sz w:val="21"/>
              </w:rPr>
            </w:pPr>
          </w:p>
          <w:p w14:paraId="4A12455F">
            <w:pPr>
              <w:spacing w:line="283" w:lineRule="auto"/>
              <w:rPr>
                <w:rFonts w:ascii="Arial"/>
                <w:sz w:val="21"/>
              </w:rPr>
            </w:pPr>
          </w:p>
          <w:p w14:paraId="35B9BF27">
            <w:pPr>
              <w:pStyle w:val="7"/>
              <w:spacing w:before="78" w:line="219" w:lineRule="auto"/>
              <w:ind w:left="478"/>
            </w:pPr>
            <w:r>
              <w:rPr>
                <w:spacing w:val="-14"/>
              </w:rPr>
              <w:t>测量员</w:t>
            </w:r>
          </w:p>
        </w:tc>
        <w:tc>
          <w:tcPr>
            <w:tcW w:w="7520" w:type="dxa"/>
            <w:tcBorders>
              <w:bottom w:val="single" w:color="5B9BD5" w:sz="4" w:space="0"/>
              <w:right w:val="single" w:color="5B9BD5" w:sz="4" w:space="0"/>
            </w:tcBorders>
            <w:vAlign w:val="top"/>
          </w:tcPr>
          <w:p w14:paraId="7BC6D986">
            <w:pPr>
              <w:pStyle w:val="7"/>
              <w:spacing w:before="99" w:line="216" w:lineRule="auto"/>
              <w:ind w:left="73"/>
            </w:pPr>
            <w:r>
              <w:pict>
                <v:shape id="_x0000_s3548" o:spid="_x0000_s3548" style="position:absolute;left:0pt;margin-left:374.1pt;margin-top:171.3pt;height:0.75pt;width:2.2pt;mso-position-horizontal-relative:page;mso-position-vertical-relative:page;z-index:252125184;mso-width-relative:page;mso-height-relative:page;" fillcolor="#5B9BD5" filled="t" stroked="f" coordsize="44,15" path="m0,14l43,14,43,0,0,0,0,14xe">
                  <v:path/>
                  <v:fill on="t" focussize="0,0"/>
                  <v:stroke on="f"/>
                  <v:imagedata o:title=""/>
                  <o:lock v:ext="edit"/>
                </v:shape>
              </w:pict>
            </w:r>
            <w:r>
              <w:rPr>
                <w:spacing w:val="-22"/>
              </w:rPr>
              <w:t>交接时，根据业主提供的测量成果对各类桩点逐一进行清点、查看、复核</w:t>
            </w:r>
            <w:r>
              <w:rPr>
                <w:spacing w:val="-23"/>
              </w:rPr>
              <w:t>，并</w:t>
            </w:r>
          </w:p>
          <w:p w14:paraId="5DC1193F">
            <w:pPr>
              <w:pStyle w:val="7"/>
              <w:spacing w:before="187" w:line="219" w:lineRule="auto"/>
              <w:ind w:left="3219"/>
            </w:pPr>
            <w:r>
              <w:rPr>
                <w:spacing w:val="-17"/>
              </w:rPr>
              <w:t>做好记录。</w:t>
            </w:r>
          </w:p>
          <w:p w14:paraId="166EA7C1">
            <w:pPr>
              <w:pStyle w:val="7"/>
              <w:spacing w:before="183" w:line="216" w:lineRule="auto"/>
              <w:ind w:left="69"/>
            </w:pPr>
            <w:r>
              <w:rPr>
                <w:spacing w:val="-22"/>
              </w:rPr>
              <w:t>依据测量技术规范和规定、工程设计文件进行控制测量。并编写控制测量成果</w:t>
            </w:r>
          </w:p>
          <w:p w14:paraId="2061C311">
            <w:pPr>
              <w:pStyle w:val="7"/>
              <w:spacing w:before="184" w:line="220" w:lineRule="auto"/>
              <w:ind w:left="3557"/>
            </w:pPr>
            <w:r>
              <w:rPr>
                <w:spacing w:val="-21"/>
              </w:rPr>
              <w:t>书。</w:t>
            </w:r>
          </w:p>
          <w:p w14:paraId="6FC29F25">
            <w:pPr>
              <w:pStyle w:val="7"/>
              <w:spacing w:before="182" w:line="217" w:lineRule="auto"/>
              <w:ind w:left="1261"/>
            </w:pPr>
            <w:r>
              <w:rPr>
                <w:spacing w:val="-21"/>
              </w:rPr>
              <w:t>定期对桩点进行复核测量和补充测量以及定期复</w:t>
            </w:r>
            <w:r>
              <w:rPr>
                <w:spacing w:val="-22"/>
              </w:rPr>
              <w:t>测。</w:t>
            </w:r>
          </w:p>
          <w:p w14:paraId="07CEC0EF">
            <w:pPr>
              <w:pStyle w:val="7"/>
              <w:spacing w:before="183" w:line="216" w:lineRule="auto"/>
              <w:ind w:left="492"/>
            </w:pPr>
            <w:r>
              <w:rPr>
                <w:spacing w:val="-21"/>
              </w:rPr>
              <w:t>开工前及施工过程中，对各部工序过程中检查复核测量和桩</w:t>
            </w:r>
            <w:r>
              <w:rPr>
                <w:spacing w:val="-22"/>
              </w:rPr>
              <w:t>点保护。</w:t>
            </w:r>
          </w:p>
          <w:p w14:paraId="7D5D0A1F">
            <w:pPr>
              <w:pStyle w:val="7"/>
              <w:spacing w:before="187" w:line="217" w:lineRule="auto"/>
              <w:ind w:left="3003"/>
            </w:pPr>
            <w:r>
              <w:rPr>
                <w:spacing w:val="-19"/>
              </w:rPr>
              <w:t>进行竣工测量。</w:t>
            </w:r>
          </w:p>
        </w:tc>
      </w:tr>
    </w:tbl>
    <w:p w14:paraId="1F2E5D0F">
      <w:pPr>
        <w:rPr>
          <w:rFonts w:ascii="Arial"/>
          <w:sz w:val="21"/>
        </w:rPr>
      </w:pPr>
    </w:p>
    <w:p w14:paraId="24FAF66D">
      <w:pPr>
        <w:rPr>
          <w:rFonts w:ascii="Arial" w:hAnsi="Arial" w:eastAsia="Arial" w:cs="Arial"/>
          <w:sz w:val="21"/>
          <w:szCs w:val="21"/>
        </w:rPr>
        <w:sectPr>
          <w:footerReference r:id="rId203" w:type="default"/>
          <w:pgSz w:w="11907" w:h="16839"/>
          <w:pgMar w:top="954" w:right="4" w:bottom="1038" w:left="0" w:header="499" w:footer="357" w:gutter="0"/>
          <w:pgBorders>
            <w:top w:val="none" w:sz="0" w:space="0"/>
            <w:left w:val="none" w:sz="0" w:space="0"/>
            <w:bottom w:val="none" w:sz="0" w:space="0"/>
            <w:right w:val="none" w:sz="0" w:space="0"/>
          </w:pgBorders>
          <w:cols w:space="720" w:num="1"/>
        </w:sectPr>
      </w:pPr>
    </w:p>
    <w:p w14:paraId="3E90F6B6">
      <w:pPr>
        <w:spacing w:line="214" w:lineRule="exact"/>
      </w:pPr>
    </w:p>
    <w:tbl>
      <w:tblPr>
        <w:tblStyle w:val="6"/>
        <w:tblW w:w="9097" w:type="dxa"/>
        <w:tblInd w:w="140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577"/>
        <w:gridCol w:w="7520"/>
      </w:tblGrid>
      <w:tr w14:paraId="6B365E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87" w:hRule="atLeast"/>
        </w:trPr>
        <w:tc>
          <w:tcPr>
            <w:tcW w:w="1577" w:type="dxa"/>
            <w:tcBorders>
              <w:top w:val="single" w:color="000000" w:sz="4" w:space="0"/>
              <w:left w:val="single" w:color="000000" w:sz="4" w:space="0"/>
            </w:tcBorders>
            <w:vAlign w:val="top"/>
          </w:tcPr>
          <w:p w14:paraId="35C7EAA3">
            <w:pPr>
              <w:rPr>
                <w:rFonts w:ascii="Arial"/>
                <w:sz w:val="21"/>
              </w:rPr>
            </w:pPr>
          </w:p>
        </w:tc>
        <w:tc>
          <w:tcPr>
            <w:tcW w:w="7520" w:type="dxa"/>
            <w:tcBorders>
              <w:top w:val="single" w:color="5B9BD5" w:sz="4" w:space="0"/>
              <w:right w:val="single" w:color="5B9BD5" w:sz="4" w:space="0"/>
            </w:tcBorders>
            <w:vAlign w:val="top"/>
          </w:tcPr>
          <w:p w14:paraId="391A34F4">
            <w:pPr>
              <w:pStyle w:val="7"/>
              <w:spacing w:before="129" w:line="216" w:lineRule="auto"/>
              <w:ind w:left="166"/>
            </w:pPr>
            <w:r>
              <w:rPr>
                <w:spacing w:val="-21"/>
              </w:rPr>
              <w:t>做好测量原始记录、资料、计算书、图表，不得涂改，并应</w:t>
            </w:r>
            <w:r>
              <w:rPr>
                <w:spacing w:val="-22"/>
              </w:rPr>
              <w:t>统一妥善保管。</w:t>
            </w:r>
          </w:p>
          <w:p w14:paraId="2B021DFC">
            <w:pPr>
              <w:pStyle w:val="7"/>
              <w:spacing w:before="185" w:line="216" w:lineRule="auto"/>
              <w:ind w:left="69"/>
            </w:pPr>
            <w:r>
              <w:rPr>
                <w:spacing w:val="-22"/>
              </w:rPr>
              <w:t>认真贯彻执行测量成果复核、反复核制度。外业测量资料，必须经过第二人复</w:t>
            </w:r>
          </w:p>
          <w:p w14:paraId="5A17A87B">
            <w:pPr>
              <w:pStyle w:val="7"/>
              <w:spacing w:before="187" w:line="216" w:lineRule="auto"/>
              <w:jc w:val="right"/>
            </w:pPr>
            <w:r>
              <w:rPr>
                <w:spacing w:val="-27"/>
              </w:rPr>
              <w:t>核；内业测量成果，必须二人独立计算、相互核对。未</w:t>
            </w:r>
            <w:r>
              <w:rPr>
                <w:spacing w:val="-28"/>
              </w:rPr>
              <w:t>经复核的资料严禁使用。</w:t>
            </w:r>
          </w:p>
          <w:p w14:paraId="7AC389B4">
            <w:pPr>
              <w:pStyle w:val="7"/>
              <w:spacing w:before="184" w:line="216" w:lineRule="auto"/>
              <w:ind w:left="68"/>
            </w:pPr>
            <w:r>
              <w:rPr>
                <w:spacing w:val="-22"/>
              </w:rPr>
              <w:t>测量仪器作好日常保养，保证状态良好并做好标识，建立仪器台帐。按规定定</w:t>
            </w:r>
          </w:p>
          <w:p w14:paraId="20EB13E0">
            <w:pPr>
              <w:pStyle w:val="7"/>
              <w:spacing w:before="187" w:line="216" w:lineRule="auto"/>
              <w:ind w:left="2019"/>
            </w:pPr>
            <w:r>
              <w:rPr>
                <w:spacing w:val="-21"/>
              </w:rPr>
              <w:t>期送交有检定资格的部门进行检定。</w:t>
            </w:r>
          </w:p>
        </w:tc>
      </w:tr>
      <w:tr w14:paraId="30048D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51" w:hRule="atLeast"/>
        </w:trPr>
        <w:tc>
          <w:tcPr>
            <w:tcW w:w="1577" w:type="dxa"/>
            <w:tcBorders>
              <w:left w:val="single" w:color="000000" w:sz="4" w:space="0"/>
            </w:tcBorders>
            <w:vAlign w:val="top"/>
          </w:tcPr>
          <w:p w14:paraId="6E534104">
            <w:pPr>
              <w:spacing w:line="315" w:lineRule="auto"/>
              <w:rPr>
                <w:rFonts w:ascii="Arial"/>
                <w:sz w:val="21"/>
              </w:rPr>
            </w:pPr>
          </w:p>
          <w:p w14:paraId="0A4B7BD1">
            <w:pPr>
              <w:spacing w:line="315" w:lineRule="auto"/>
              <w:rPr>
                <w:rFonts w:ascii="Arial"/>
                <w:sz w:val="21"/>
              </w:rPr>
            </w:pPr>
          </w:p>
          <w:p w14:paraId="3E2BED7A">
            <w:pPr>
              <w:spacing w:line="315" w:lineRule="auto"/>
              <w:rPr>
                <w:rFonts w:ascii="Arial"/>
                <w:sz w:val="21"/>
              </w:rPr>
            </w:pPr>
          </w:p>
          <w:p w14:paraId="74235A44">
            <w:pPr>
              <w:pStyle w:val="7"/>
              <w:spacing w:before="78" w:line="216" w:lineRule="auto"/>
              <w:ind w:left="477"/>
            </w:pPr>
            <w:r>
              <w:rPr>
                <w:spacing w:val="-13"/>
              </w:rPr>
              <w:t>材料员</w:t>
            </w:r>
          </w:p>
        </w:tc>
        <w:tc>
          <w:tcPr>
            <w:tcW w:w="7520" w:type="dxa"/>
            <w:tcBorders>
              <w:right w:val="single" w:color="000000" w:sz="4" w:space="0"/>
            </w:tcBorders>
            <w:vAlign w:val="top"/>
          </w:tcPr>
          <w:p w14:paraId="4FC687E1">
            <w:pPr>
              <w:pStyle w:val="7"/>
              <w:spacing w:before="95" w:line="216" w:lineRule="auto"/>
              <w:ind w:left="69"/>
            </w:pPr>
            <w:r>
              <w:rPr>
                <w:spacing w:val="-22"/>
              </w:rPr>
              <w:t>认真执行工程原材料、构配件进场清点检查规定，严禁缺少质量合格证明、检</w:t>
            </w:r>
          </w:p>
          <w:p w14:paraId="46B28508">
            <w:pPr>
              <w:pStyle w:val="7"/>
              <w:spacing w:before="187" w:line="216" w:lineRule="auto"/>
              <w:ind w:left="1474"/>
            </w:pPr>
            <w:r>
              <w:rPr>
                <w:spacing w:val="-21"/>
              </w:rPr>
              <w:t>验检测合格报告及外观不合格的材料进场使用。</w:t>
            </w:r>
          </w:p>
          <w:p w14:paraId="35FC1CE0">
            <w:pPr>
              <w:pStyle w:val="7"/>
              <w:spacing w:before="184" w:line="216" w:lineRule="auto"/>
              <w:ind w:left="69"/>
            </w:pPr>
            <w:r>
              <w:rPr>
                <w:spacing w:val="-22"/>
              </w:rPr>
              <w:t>严格控制现场材料使用进度，配合质量检查人员从源头上消除偷工减料行为的</w:t>
            </w:r>
          </w:p>
          <w:p w14:paraId="3B0B77B8">
            <w:pPr>
              <w:pStyle w:val="7"/>
              <w:spacing w:before="187" w:line="220" w:lineRule="auto"/>
              <w:ind w:left="3442"/>
            </w:pPr>
            <w:r>
              <w:rPr>
                <w:spacing w:val="-22"/>
              </w:rPr>
              <w:t>发生。</w:t>
            </w:r>
          </w:p>
          <w:p w14:paraId="2569FB81">
            <w:pPr>
              <w:pStyle w:val="7"/>
              <w:spacing w:before="180" w:line="216" w:lineRule="auto"/>
              <w:ind w:left="2244"/>
            </w:pPr>
            <w:r>
              <w:rPr>
                <w:spacing w:val="-21"/>
              </w:rPr>
              <w:t>负责做好材料进场、消耗记录。</w:t>
            </w:r>
          </w:p>
        </w:tc>
      </w:tr>
      <w:tr w14:paraId="20ED52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19" w:hRule="atLeast"/>
        </w:trPr>
        <w:tc>
          <w:tcPr>
            <w:tcW w:w="1577" w:type="dxa"/>
            <w:tcBorders>
              <w:left w:val="single" w:color="000000" w:sz="4" w:space="0"/>
            </w:tcBorders>
            <w:vAlign w:val="top"/>
          </w:tcPr>
          <w:p w14:paraId="39B62962">
            <w:pPr>
              <w:spacing w:line="295" w:lineRule="auto"/>
              <w:rPr>
                <w:rFonts w:ascii="Arial"/>
                <w:sz w:val="21"/>
              </w:rPr>
            </w:pPr>
          </w:p>
          <w:p w14:paraId="475A8094">
            <w:pPr>
              <w:spacing w:line="295" w:lineRule="auto"/>
              <w:rPr>
                <w:rFonts w:ascii="Arial"/>
                <w:sz w:val="21"/>
              </w:rPr>
            </w:pPr>
          </w:p>
          <w:p w14:paraId="741FA846">
            <w:pPr>
              <w:spacing w:line="295" w:lineRule="auto"/>
              <w:rPr>
                <w:rFonts w:ascii="Arial"/>
                <w:sz w:val="21"/>
              </w:rPr>
            </w:pPr>
          </w:p>
          <w:p w14:paraId="6F1AC359">
            <w:pPr>
              <w:spacing w:line="295" w:lineRule="auto"/>
              <w:rPr>
                <w:rFonts w:ascii="Arial"/>
                <w:sz w:val="21"/>
              </w:rPr>
            </w:pPr>
          </w:p>
          <w:p w14:paraId="6007E6BE">
            <w:pPr>
              <w:pStyle w:val="7"/>
              <w:spacing w:before="78" w:line="220" w:lineRule="auto"/>
              <w:ind w:left="483"/>
            </w:pPr>
            <w:r>
              <w:rPr>
                <w:spacing w:val="-15"/>
              </w:rPr>
              <w:t>仓管员</w:t>
            </w:r>
          </w:p>
        </w:tc>
        <w:tc>
          <w:tcPr>
            <w:tcW w:w="7520" w:type="dxa"/>
            <w:tcBorders>
              <w:right w:val="single" w:color="000000" w:sz="4" w:space="0"/>
            </w:tcBorders>
            <w:vAlign w:val="top"/>
          </w:tcPr>
          <w:p w14:paraId="128778D1">
            <w:pPr>
              <w:pStyle w:val="7"/>
              <w:spacing w:before="97" w:line="217" w:lineRule="auto"/>
              <w:ind w:right="4"/>
              <w:jc w:val="right"/>
            </w:pPr>
            <w:r>
              <w:rPr>
                <w:spacing w:val="-21"/>
              </w:rPr>
              <w:t>凡进库货物必须进行验收，核实后做好造册登记，发放要做</w:t>
            </w:r>
            <w:r>
              <w:rPr>
                <w:spacing w:val="-22"/>
              </w:rPr>
              <w:t>好登记签字手续。</w:t>
            </w:r>
          </w:p>
          <w:p w14:paraId="3E77AD41">
            <w:pPr>
              <w:pStyle w:val="7"/>
              <w:spacing w:before="185" w:line="217" w:lineRule="auto"/>
              <w:ind w:left="72"/>
            </w:pPr>
            <w:r>
              <w:rPr>
                <w:spacing w:val="-22"/>
              </w:rPr>
              <w:t>仓库内应保持整洁、货物堆放整齐、货架堆放的物品应挂牌明示，以便迅速无</w:t>
            </w:r>
          </w:p>
          <w:p w14:paraId="36545F43">
            <w:pPr>
              <w:pStyle w:val="7"/>
              <w:spacing w:before="183" w:line="220" w:lineRule="auto"/>
              <w:ind w:left="3221"/>
            </w:pPr>
            <w:r>
              <w:rPr>
                <w:spacing w:val="-17"/>
              </w:rPr>
              <w:t>误地发放。</w:t>
            </w:r>
          </w:p>
          <w:p w14:paraId="2364A407">
            <w:pPr>
              <w:pStyle w:val="7"/>
              <w:spacing w:before="182" w:line="218" w:lineRule="auto"/>
              <w:ind w:left="1913"/>
            </w:pPr>
            <w:r>
              <w:rPr>
                <w:spacing w:val="-21"/>
              </w:rPr>
              <w:t>严禁非仓库管理人员入内，严禁烟火。</w:t>
            </w:r>
          </w:p>
          <w:p w14:paraId="0A2A7F1A">
            <w:pPr>
              <w:pStyle w:val="7"/>
              <w:spacing w:before="185" w:line="217" w:lineRule="auto"/>
              <w:ind w:left="1372"/>
            </w:pPr>
            <w:r>
              <w:rPr>
                <w:spacing w:val="-21"/>
              </w:rPr>
              <w:t>不得私自离岗。有事外出，应委托他人临时看</w:t>
            </w:r>
            <w:r>
              <w:rPr>
                <w:spacing w:val="-22"/>
              </w:rPr>
              <w:t>守。</w:t>
            </w:r>
          </w:p>
          <w:p w14:paraId="5003E886">
            <w:pPr>
              <w:pStyle w:val="7"/>
              <w:spacing w:before="183" w:line="216" w:lineRule="auto"/>
              <w:ind w:right="5"/>
              <w:jc w:val="right"/>
            </w:pPr>
            <w:r>
              <w:rPr>
                <w:spacing w:val="-21"/>
              </w:rPr>
              <w:t>定期检查被保管物品的完好情况，做好防火、</w:t>
            </w:r>
            <w:r>
              <w:rPr>
                <w:spacing w:val="-22"/>
              </w:rPr>
              <w:t>防潮、防腐蚀、防泄漏等措施。</w:t>
            </w:r>
          </w:p>
        </w:tc>
      </w:tr>
      <w:tr w14:paraId="44BABA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52" w:hRule="atLeast"/>
        </w:trPr>
        <w:tc>
          <w:tcPr>
            <w:tcW w:w="1577" w:type="dxa"/>
            <w:tcBorders>
              <w:left w:val="single" w:color="000000" w:sz="4" w:space="0"/>
            </w:tcBorders>
            <w:vAlign w:val="top"/>
          </w:tcPr>
          <w:p w14:paraId="3B1BFB28">
            <w:pPr>
              <w:spacing w:line="274" w:lineRule="auto"/>
              <w:rPr>
                <w:rFonts w:ascii="Arial"/>
                <w:sz w:val="21"/>
              </w:rPr>
            </w:pPr>
          </w:p>
          <w:p w14:paraId="48331F22">
            <w:pPr>
              <w:spacing w:line="274" w:lineRule="auto"/>
              <w:rPr>
                <w:rFonts w:ascii="Arial"/>
                <w:sz w:val="21"/>
              </w:rPr>
            </w:pPr>
          </w:p>
          <w:p w14:paraId="275B6622">
            <w:pPr>
              <w:spacing w:line="274" w:lineRule="auto"/>
              <w:rPr>
                <w:rFonts w:ascii="Arial"/>
                <w:sz w:val="21"/>
              </w:rPr>
            </w:pPr>
          </w:p>
          <w:p w14:paraId="43DDF9D6">
            <w:pPr>
              <w:spacing w:line="274" w:lineRule="auto"/>
              <w:rPr>
                <w:rFonts w:ascii="Arial"/>
                <w:sz w:val="21"/>
              </w:rPr>
            </w:pPr>
          </w:p>
          <w:p w14:paraId="77820E77">
            <w:pPr>
              <w:spacing w:line="275" w:lineRule="auto"/>
              <w:rPr>
                <w:rFonts w:ascii="Arial"/>
                <w:sz w:val="21"/>
              </w:rPr>
            </w:pPr>
          </w:p>
          <w:p w14:paraId="12A09A91">
            <w:pPr>
              <w:spacing w:line="275" w:lineRule="auto"/>
              <w:rPr>
                <w:rFonts w:ascii="Arial"/>
                <w:sz w:val="21"/>
              </w:rPr>
            </w:pPr>
          </w:p>
          <w:p w14:paraId="01F43FDC">
            <w:pPr>
              <w:pStyle w:val="7"/>
              <w:spacing w:before="78" w:line="220" w:lineRule="auto"/>
              <w:ind w:left="475"/>
            </w:pPr>
            <w:r>
              <w:rPr>
                <w:spacing w:val="-13"/>
              </w:rPr>
              <w:t>试验员</w:t>
            </w:r>
          </w:p>
        </w:tc>
        <w:tc>
          <w:tcPr>
            <w:tcW w:w="7520" w:type="dxa"/>
            <w:tcBorders>
              <w:right w:val="single" w:color="000000" w:sz="4" w:space="0"/>
            </w:tcBorders>
            <w:vAlign w:val="top"/>
          </w:tcPr>
          <w:p w14:paraId="7EEC7B7B">
            <w:pPr>
              <w:pStyle w:val="7"/>
              <w:spacing w:before="99" w:line="216" w:lineRule="auto"/>
              <w:ind w:left="2463"/>
            </w:pPr>
            <w:r>
              <w:rPr>
                <w:spacing w:val="-21"/>
              </w:rPr>
              <w:t>负责本人检测工作的质量。</w:t>
            </w:r>
          </w:p>
          <w:p w14:paraId="7B568BA3">
            <w:pPr>
              <w:pStyle w:val="7"/>
              <w:spacing w:before="187" w:line="216" w:lineRule="auto"/>
              <w:ind w:left="1803"/>
            </w:pPr>
            <w:r>
              <w:rPr>
                <w:spacing w:val="-22"/>
              </w:rPr>
              <w:t>严格按照标准、规程进行各项检测工作。</w:t>
            </w:r>
          </w:p>
          <w:p w14:paraId="66FE22DF">
            <w:pPr>
              <w:pStyle w:val="7"/>
              <w:spacing w:before="185" w:line="215" w:lineRule="auto"/>
              <w:ind w:left="1367"/>
            </w:pPr>
            <w:r>
              <w:rPr>
                <w:spacing w:val="-21"/>
              </w:rPr>
              <w:t>用碳素墨水认真填写原始记录，并在记录上签名。</w:t>
            </w:r>
          </w:p>
          <w:p w14:paraId="4EA99D9F">
            <w:pPr>
              <w:pStyle w:val="7"/>
              <w:spacing w:before="188" w:line="215" w:lineRule="auto"/>
              <w:jc w:val="right"/>
            </w:pPr>
            <w:r>
              <w:rPr>
                <w:spacing w:val="-28"/>
              </w:rPr>
              <w:t>原始记录经复核后，用碳素墨水填写或打印检测报告并按规定整理归档、保存。</w:t>
            </w:r>
          </w:p>
          <w:p w14:paraId="2C79868E">
            <w:pPr>
              <w:pStyle w:val="7"/>
              <w:spacing w:before="185" w:line="217" w:lineRule="auto"/>
              <w:ind w:left="76"/>
            </w:pPr>
            <w:r>
              <w:rPr>
                <w:spacing w:val="-22"/>
              </w:rPr>
              <w:t>每次使用大型、主要仪器设备后均应填写使用记录。天平室、水泥室养护</w:t>
            </w:r>
            <w:r>
              <w:rPr>
                <w:spacing w:val="-23"/>
              </w:rPr>
              <w:t>室的</w:t>
            </w:r>
          </w:p>
          <w:p w14:paraId="2AD47FE7">
            <w:pPr>
              <w:pStyle w:val="7"/>
              <w:spacing w:before="186" w:line="219" w:lineRule="auto"/>
              <w:ind w:left="2677"/>
            </w:pPr>
            <w:r>
              <w:rPr>
                <w:spacing w:val="-20"/>
              </w:rPr>
              <w:t>温、湿度应按时填写。</w:t>
            </w:r>
          </w:p>
          <w:p w14:paraId="405A0D72">
            <w:pPr>
              <w:pStyle w:val="7"/>
              <w:spacing w:before="182" w:line="360" w:lineRule="auto"/>
              <w:ind w:left="166" w:right="177"/>
            </w:pPr>
            <w:r>
              <w:rPr>
                <w:spacing w:val="-23"/>
              </w:rPr>
              <w:t>经常深入施工现场、了解情况、帮助工作。搞好工程施工控制与质量检验。认真做好试验检测资料（包括原始记录）的台账、存档，确保真实、完整。</w:t>
            </w:r>
          </w:p>
        </w:tc>
      </w:tr>
      <w:tr w14:paraId="2E3457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92" w:hRule="atLeast"/>
        </w:trPr>
        <w:tc>
          <w:tcPr>
            <w:tcW w:w="1577" w:type="dxa"/>
            <w:tcBorders>
              <w:left w:val="single" w:color="1C456A" w:sz="4" w:space="0"/>
              <w:bottom w:val="single" w:color="1C456A" w:sz="4" w:space="0"/>
            </w:tcBorders>
            <w:vAlign w:val="top"/>
          </w:tcPr>
          <w:p w14:paraId="115E4349">
            <w:pPr>
              <w:spacing w:line="317" w:lineRule="auto"/>
              <w:rPr>
                <w:rFonts w:ascii="Arial"/>
                <w:sz w:val="21"/>
              </w:rPr>
            </w:pPr>
            <w:r>
              <w:pict>
                <v:shape id="_x0000_s3549" o:spid="_x0000_s3549" style="position:absolute;left:0pt;margin-left:-0.2pt;margin-top:124.6pt;height:0.75pt;width:2.2pt;mso-position-horizontal-relative:page;mso-position-vertical-relative:page;z-index:252127232;mso-width-relative:page;mso-height-relative:page;" fillcolor="#5B9BD5" filled="t" stroked="f" coordsize="44,15" path="m0,14l43,14,43,0,0,0,0,14xe">
                  <v:path/>
                  <v:fill on="t" focussize="0,0"/>
                  <v:stroke on="f"/>
                  <v:imagedata o:title=""/>
                  <o:lock v:ext="edit"/>
                </v:shape>
              </w:pict>
            </w:r>
          </w:p>
          <w:p w14:paraId="36AE5BC8">
            <w:pPr>
              <w:spacing w:line="317" w:lineRule="auto"/>
              <w:rPr>
                <w:rFonts w:ascii="Arial"/>
                <w:sz w:val="21"/>
              </w:rPr>
            </w:pPr>
          </w:p>
          <w:p w14:paraId="45B4DF58">
            <w:pPr>
              <w:spacing w:line="317" w:lineRule="auto"/>
              <w:rPr>
                <w:rFonts w:ascii="Arial"/>
                <w:sz w:val="21"/>
              </w:rPr>
            </w:pPr>
          </w:p>
          <w:p w14:paraId="6EE19128">
            <w:pPr>
              <w:pStyle w:val="7"/>
              <w:spacing w:before="78" w:line="219" w:lineRule="auto"/>
              <w:ind w:left="479"/>
            </w:pPr>
            <w:r>
              <w:rPr>
                <w:spacing w:val="-14"/>
              </w:rPr>
              <w:t>班组长</w:t>
            </w:r>
          </w:p>
        </w:tc>
        <w:tc>
          <w:tcPr>
            <w:tcW w:w="7520" w:type="dxa"/>
            <w:tcBorders>
              <w:bottom w:val="single" w:color="5B9BD5" w:sz="4" w:space="0"/>
              <w:right w:val="single" w:color="5B9BD5" w:sz="4" w:space="0"/>
            </w:tcBorders>
            <w:vAlign w:val="top"/>
          </w:tcPr>
          <w:p w14:paraId="256978DC">
            <w:pPr>
              <w:pStyle w:val="7"/>
              <w:spacing w:before="101" w:line="217" w:lineRule="auto"/>
              <w:ind w:left="277"/>
            </w:pPr>
            <w:r>
              <w:pict>
                <v:shape id="_x0000_s3550" o:spid="_x0000_s3550" style="position:absolute;left:0pt;margin-left:374.1pt;margin-top:124.6pt;height:0.75pt;width:2.2pt;mso-position-horizontal-relative:page;mso-position-vertical-relative:page;z-index:252126208;mso-width-relative:page;mso-height-relative:page;" fillcolor="#5B9BD5" filled="t" stroked="f" coordsize="44,15" path="m0,14l43,14,43,0,0,0,0,14xe">
                  <v:path/>
                  <v:fill on="t" focussize="0,0"/>
                  <v:stroke on="f"/>
                  <v:imagedata o:title=""/>
                  <o:lock v:ext="edit"/>
                </v:shape>
              </w:pict>
            </w:r>
            <w:r>
              <w:rPr>
                <w:spacing w:val="-21"/>
              </w:rPr>
              <w:t>认真贯彻执行上级下达的质量管理规定以及工程队制定的质</w:t>
            </w:r>
            <w:r>
              <w:rPr>
                <w:spacing w:val="-22"/>
              </w:rPr>
              <w:t>量管理措施。</w:t>
            </w:r>
          </w:p>
          <w:p w14:paraId="6AD204D9">
            <w:pPr>
              <w:pStyle w:val="7"/>
              <w:spacing w:before="186" w:line="216" w:lineRule="auto"/>
              <w:ind w:left="92"/>
            </w:pPr>
            <w:r>
              <w:rPr>
                <w:spacing w:val="-23"/>
              </w:rPr>
              <w:t>以身作则并负责教育全班（组）人员，严格遵守劳动纪律，严格执行质量管理</w:t>
            </w:r>
          </w:p>
          <w:p w14:paraId="5B5654C7">
            <w:pPr>
              <w:pStyle w:val="7"/>
              <w:spacing w:before="184" w:line="217" w:lineRule="auto"/>
              <w:ind w:left="1037"/>
            </w:pPr>
            <w:r>
              <w:rPr>
                <w:spacing w:val="-22"/>
              </w:rPr>
              <w:t>规定、制度。听从工程技术人员的指导，保证工程质量。</w:t>
            </w:r>
          </w:p>
          <w:p w14:paraId="0318213E">
            <w:pPr>
              <w:pStyle w:val="7"/>
              <w:spacing w:before="186" w:line="216" w:lineRule="auto"/>
              <w:ind w:left="69"/>
            </w:pPr>
            <w:r>
              <w:rPr>
                <w:spacing w:val="-22"/>
              </w:rPr>
              <w:t>认真执行质量管理规章制度及作业指导书，合理安排本工班人员工作有权拒绝</w:t>
            </w:r>
          </w:p>
          <w:p w14:paraId="64DEDAF5">
            <w:pPr>
              <w:pStyle w:val="7"/>
              <w:spacing w:before="184" w:line="216" w:lineRule="auto"/>
              <w:ind w:left="2566"/>
            </w:pPr>
            <w:r>
              <w:rPr>
                <w:spacing w:val="-20"/>
              </w:rPr>
              <w:t>违章和冒险作业的指令。</w:t>
            </w:r>
          </w:p>
        </w:tc>
      </w:tr>
    </w:tbl>
    <w:p w14:paraId="3CDDB14F">
      <w:pPr>
        <w:rPr>
          <w:rFonts w:ascii="Arial"/>
          <w:sz w:val="21"/>
        </w:rPr>
      </w:pPr>
    </w:p>
    <w:p w14:paraId="6F797625">
      <w:pPr>
        <w:rPr>
          <w:rFonts w:ascii="Arial" w:hAnsi="Arial" w:eastAsia="Arial" w:cs="Arial"/>
          <w:sz w:val="21"/>
          <w:szCs w:val="21"/>
        </w:rPr>
        <w:sectPr>
          <w:footerReference r:id="rId204" w:type="default"/>
          <w:pgSz w:w="11907" w:h="16839"/>
          <w:pgMar w:top="954" w:right="4" w:bottom="1038" w:left="0" w:header="499" w:footer="357" w:gutter="0"/>
          <w:pgBorders>
            <w:top w:val="none" w:sz="0" w:space="0"/>
            <w:left w:val="none" w:sz="0" w:space="0"/>
            <w:bottom w:val="none" w:sz="0" w:space="0"/>
            <w:right w:val="none" w:sz="0" w:space="0"/>
          </w:pgBorders>
          <w:cols w:space="720" w:num="1"/>
        </w:sectPr>
      </w:pPr>
    </w:p>
    <w:p w14:paraId="3CA9AE14">
      <w:pPr>
        <w:spacing w:line="214" w:lineRule="exact"/>
      </w:pPr>
    </w:p>
    <w:tbl>
      <w:tblPr>
        <w:tblStyle w:val="6"/>
        <w:tblW w:w="9097" w:type="dxa"/>
        <w:tblInd w:w="1404" w:type="dxa"/>
        <w:tblBorders>
          <w:top w:val="single" w:color="1C456A" w:sz="4" w:space="0"/>
          <w:left w:val="single" w:color="1C456A" w:sz="4" w:space="0"/>
          <w:bottom w:val="single" w:color="1C456A" w:sz="4" w:space="0"/>
          <w:right w:val="single" w:color="1C456A" w:sz="4" w:space="0"/>
          <w:insideH w:val="single" w:color="1C456A" w:sz="4" w:space="0"/>
          <w:insideV w:val="single" w:color="1C456A" w:sz="4" w:space="0"/>
        </w:tblBorders>
        <w:tblLayout w:type="fixed"/>
        <w:tblCellMar>
          <w:top w:w="0" w:type="dxa"/>
          <w:left w:w="0" w:type="dxa"/>
          <w:bottom w:w="0" w:type="dxa"/>
          <w:right w:w="0" w:type="dxa"/>
        </w:tblCellMar>
      </w:tblPr>
      <w:tblGrid>
        <w:gridCol w:w="1577"/>
        <w:gridCol w:w="7520"/>
      </w:tblGrid>
      <w:tr w14:paraId="11B06591">
        <w:tblPrEx>
          <w:tblBorders>
            <w:top w:val="single" w:color="1C456A" w:sz="4" w:space="0"/>
            <w:left w:val="single" w:color="1C456A" w:sz="4" w:space="0"/>
            <w:bottom w:val="single" w:color="1C456A" w:sz="4" w:space="0"/>
            <w:right w:val="single" w:color="1C456A" w:sz="4" w:space="0"/>
            <w:insideH w:val="single" w:color="1C456A" w:sz="4" w:space="0"/>
            <w:insideV w:val="single" w:color="1C456A" w:sz="4" w:space="0"/>
          </w:tblBorders>
          <w:tblCellMar>
            <w:top w:w="0" w:type="dxa"/>
            <w:left w:w="0" w:type="dxa"/>
            <w:bottom w:w="0" w:type="dxa"/>
            <w:right w:w="0" w:type="dxa"/>
          </w:tblCellMar>
        </w:tblPrEx>
        <w:trPr>
          <w:trHeight w:val="2985" w:hRule="atLeast"/>
        </w:trPr>
        <w:tc>
          <w:tcPr>
            <w:tcW w:w="1577" w:type="dxa"/>
            <w:tcBorders>
              <w:right w:val="single" w:color="000000" w:sz="2" w:space="0"/>
            </w:tcBorders>
            <w:vAlign w:val="top"/>
          </w:tcPr>
          <w:p w14:paraId="4AFC4BA9">
            <w:pPr>
              <w:rPr>
                <w:rFonts w:ascii="Arial"/>
                <w:sz w:val="21"/>
              </w:rPr>
            </w:pPr>
          </w:p>
        </w:tc>
        <w:tc>
          <w:tcPr>
            <w:tcW w:w="7520" w:type="dxa"/>
            <w:tcBorders>
              <w:top w:val="single" w:color="5B9BD5" w:sz="4" w:space="0"/>
              <w:left w:val="single" w:color="000000" w:sz="2" w:space="0"/>
              <w:bottom w:val="single" w:color="5B9BD5" w:sz="4" w:space="0"/>
              <w:right w:val="single" w:color="5B9BD5" w:sz="4" w:space="0"/>
            </w:tcBorders>
            <w:vAlign w:val="top"/>
          </w:tcPr>
          <w:p w14:paraId="3C913FA6">
            <w:pPr>
              <w:pStyle w:val="7"/>
              <w:spacing w:before="129" w:line="217" w:lineRule="auto"/>
              <w:ind w:left="74"/>
            </w:pPr>
            <w:r>
              <w:rPr>
                <w:spacing w:val="-22"/>
              </w:rPr>
              <w:t>发现质量问题，本班（组）能解决的要立即解决，不能解决的立即向工地负责</w:t>
            </w:r>
          </w:p>
          <w:p w14:paraId="273FBBBE">
            <w:pPr>
              <w:pStyle w:val="7"/>
              <w:spacing w:before="183" w:line="218" w:lineRule="auto"/>
              <w:ind w:left="3331"/>
            </w:pPr>
            <w:r>
              <w:rPr>
                <w:spacing w:val="-16"/>
              </w:rPr>
              <w:t>人报告。</w:t>
            </w:r>
          </w:p>
          <w:p w14:paraId="11D390A3">
            <w:pPr>
              <w:pStyle w:val="7"/>
              <w:spacing w:before="184" w:line="216" w:lineRule="auto"/>
              <w:ind w:left="74"/>
            </w:pPr>
            <w:r>
              <w:rPr>
                <w:spacing w:val="-22"/>
              </w:rPr>
              <w:t>负责对新工人的教育。必须坚持特殊工种工人持证操作。教育工人必须按章操</w:t>
            </w:r>
          </w:p>
          <w:p w14:paraId="34B2285C">
            <w:pPr>
              <w:pStyle w:val="7"/>
              <w:spacing w:before="184" w:line="216" w:lineRule="auto"/>
              <w:ind w:left="1260"/>
            </w:pPr>
            <w:r>
              <w:rPr>
                <w:spacing w:val="-21"/>
              </w:rPr>
              <w:t>作、文明施工、禁止违章蛮干，有权拒绝违章指挥。</w:t>
            </w:r>
          </w:p>
          <w:p w14:paraId="0C23DA98">
            <w:pPr>
              <w:pStyle w:val="7"/>
              <w:spacing w:before="187" w:line="216" w:lineRule="auto"/>
              <w:ind w:left="1148"/>
            </w:pPr>
            <w:r>
              <w:rPr>
                <w:spacing w:val="-21"/>
              </w:rPr>
              <w:t>经常组织本工班人员学习岗位质量职责和作业指导书。</w:t>
            </w:r>
          </w:p>
          <w:p w14:paraId="46DB1BCA">
            <w:pPr>
              <w:pStyle w:val="7"/>
              <w:spacing w:before="185" w:line="216" w:lineRule="auto"/>
              <w:ind w:left="278"/>
            </w:pPr>
            <w:r>
              <w:rPr>
                <w:spacing w:val="-21"/>
              </w:rPr>
              <w:t>严格按照技术交底书的要求，安排施工作业，绝不违章指</w:t>
            </w:r>
            <w:r>
              <w:rPr>
                <w:spacing w:val="-22"/>
              </w:rPr>
              <w:t>挥和冒险蛮干。</w:t>
            </w:r>
          </w:p>
        </w:tc>
      </w:tr>
    </w:tbl>
    <w:p w14:paraId="4251A311">
      <w:pPr>
        <w:pStyle w:val="2"/>
        <w:spacing w:before="64" w:line="217" w:lineRule="auto"/>
        <w:ind w:left="4310"/>
        <w:outlineLvl w:val="1"/>
        <w:rPr>
          <w:sz w:val="30"/>
          <w:szCs w:val="30"/>
        </w:rPr>
      </w:pPr>
      <w:bookmarkStart w:id="142" w:name="bookmark135"/>
      <w:bookmarkEnd w:id="142"/>
      <w:r>
        <w:rPr>
          <w:b/>
          <w:bCs/>
          <w:color w:val="0070C0"/>
          <w:spacing w:val="-24"/>
          <w:sz w:val="30"/>
          <w:szCs w:val="30"/>
        </w:rPr>
        <w:t>第三节、施工质量管理制度</w:t>
      </w:r>
    </w:p>
    <w:p w14:paraId="4CF1C752">
      <w:pPr>
        <w:pStyle w:val="2"/>
        <w:spacing w:before="64" w:line="211" w:lineRule="auto"/>
        <w:ind w:left="1981"/>
        <w:outlineLvl w:val="2"/>
        <w:rPr>
          <w:sz w:val="28"/>
          <w:szCs w:val="28"/>
        </w:rPr>
      </w:pPr>
      <w:bookmarkStart w:id="143" w:name="bookmark136"/>
      <w:bookmarkEnd w:id="143"/>
      <w:r>
        <w:rPr>
          <w:b/>
          <w:bCs/>
          <w:spacing w:val="-22"/>
          <w:sz w:val="28"/>
          <w:szCs w:val="28"/>
        </w:rPr>
        <w:t>一、质量管理制度</w:t>
      </w:r>
    </w:p>
    <w:tbl>
      <w:tblPr>
        <w:tblStyle w:val="6"/>
        <w:tblW w:w="9099" w:type="dxa"/>
        <w:tblInd w:w="140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003"/>
        <w:gridCol w:w="7096"/>
      </w:tblGrid>
      <w:tr w14:paraId="10FEC1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8" w:hRule="atLeast"/>
        </w:trPr>
        <w:tc>
          <w:tcPr>
            <w:tcW w:w="2003" w:type="dxa"/>
            <w:tcBorders>
              <w:top w:val="single" w:color="000000" w:sz="4" w:space="0"/>
              <w:left w:val="single" w:color="000000" w:sz="4" w:space="0"/>
            </w:tcBorders>
            <w:shd w:val="clear" w:color="auto" w:fill="DEEAF6"/>
            <w:vAlign w:val="top"/>
          </w:tcPr>
          <w:p w14:paraId="6552248D">
            <w:pPr>
              <w:pStyle w:val="7"/>
              <w:spacing w:before="178" w:line="217" w:lineRule="auto"/>
              <w:ind w:left="364"/>
            </w:pPr>
            <w:r>
              <w:rPr>
                <w:b/>
                <w:bCs/>
                <w:spacing w:val="-21"/>
              </w:rPr>
              <w:t>质量管理制度</w:t>
            </w:r>
          </w:p>
        </w:tc>
        <w:tc>
          <w:tcPr>
            <w:tcW w:w="7096" w:type="dxa"/>
            <w:tcBorders>
              <w:top w:val="single" w:color="5B9BD5" w:sz="4" w:space="0"/>
              <w:right w:val="single" w:color="5B9BD5" w:sz="4" w:space="0"/>
            </w:tcBorders>
            <w:shd w:val="clear" w:color="auto" w:fill="DEEAF6"/>
            <w:vAlign w:val="top"/>
          </w:tcPr>
          <w:p w14:paraId="27488E75">
            <w:pPr>
              <w:pStyle w:val="7"/>
              <w:spacing w:before="178" w:line="217" w:lineRule="auto"/>
              <w:ind w:left="2687"/>
            </w:pPr>
            <w:r>
              <w:rPr>
                <w:b/>
                <w:bCs/>
                <w:spacing w:val="-23"/>
              </w:rPr>
              <w:t>管理制度主要内容</w:t>
            </w:r>
          </w:p>
        </w:tc>
      </w:tr>
      <w:tr w14:paraId="03627F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56" w:hRule="atLeast"/>
        </w:trPr>
        <w:tc>
          <w:tcPr>
            <w:tcW w:w="2003" w:type="dxa"/>
            <w:tcBorders>
              <w:left w:val="single" w:color="000000" w:sz="4" w:space="0"/>
            </w:tcBorders>
            <w:vAlign w:val="top"/>
          </w:tcPr>
          <w:p w14:paraId="6C907961">
            <w:pPr>
              <w:spacing w:line="279" w:lineRule="auto"/>
              <w:rPr>
                <w:rFonts w:ascii="Arial"/>
                <w:sz w:val="21"/>
              </w:rPr>
            </w:pPr>
          </w:p>
          <w:p w14:paraId="21A9B895">
            <w:pPr>
              <w:pStyle w:val="7"/>
              <w:spacing w:before="78" w:line="217" w:lineRule="auto"/>
              <w:ind w:left="258"/>
            </w:pPr>
            <w:r>
              <w:rPr>
                <w:spacing w:val="-19"/>
              </w:rPr>
              <w:t>质量总负责制度</w:t>
            </w:r>
          </w:p>
        </w:tc>
        <w:tc>
          <w:tcPr>
            <w:tcW w:w="7096" w:type="dxa"/>
            <w:tcBorders>
              <w:right w:val="single" w:color="000000" w:sz="4" w:space="0"/>
            </w:tcBorders>
            <w:vAlign w:val="top"/>
          </w:tcPr>
          <w:p w14:paraId="7E1242EA">
            <w:pPr>
              <w:pStyle w:val="7"/>
              <w:spacing w:before="125" w:line="217" w:lineRule="auto"/>
              <w:ind w:left="69"/>
            </w:pPr>
            <w:r>
              <w:rPr>
                <w:spacing w:val="-22"/>
              </w:rPr>
              <w:t>公司实行经理对质量总负责，总工对质量直接负责，项目经理对质量具体</w:t>
            </w:r>
          </w:p>
          <w:p w14:paraId="1C4049C2">
            <w:pPr>
              <w:pStyle w:val="7"/>
              <w:spacing w:before="186" w:line="217" w:lineRule="auto"/>
              <w:ind w:left="2901"/>
            </w:pPr>
            <w:r>
              <w:rPr>
                <w:spacing w:val="-19"/>
              </w:rPr>
              <w:t>负责的制度。</w:t>
            </w:r>
          </w:p>
        </w:tc>
      </w:tr>
      <w:tr w14:paraId="2CDFE5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59" w:hRule="atLeast"/>
        </w:trPr>
        <w:tc>
          <w:tcPr>
            <w:tcW w:w="2003" w:type="dxa"/>
            <w:tcBorders>
              <w:left w:val="single" w:color="000000" w:sz="4" w:space="0"/>
            </w:tcBorders>
            <w:vAlign w:val="top"/>
          </w:tcPr>
          <w:p w14:paraId="35BA8387">
            <w:pPr>
              <w:spacing w:line="241" w:lineRule="auto"/>
              <w:rPr>
                <w:rFonts w:ascii="Arial"/>
                <w:sz w:val="21"/>
              </w:rPr>
            </w:pPr>
          </w:p>
          <w:p w14:paraId="32EEAD55">
            <w:pPr>
              <w:spacing w:line="242" w:lineRule="auto"/>
              <w:rPr>
                <w:rFonts w:ascii="Arial"/>
                <w:sz w:val="21"/>
              </w:rPr>
            </w:pPr>
          </w:p>
          <w:p w14:paraId="47272FDF">
            <w:pPr>
              <w:spacing w:line="242" w:lineRule="auto"/>
              <w:rPr>
                <w:rFonts w:ascii="Arial"/>
                <w:sz w:val="21"/>
              </w:rPr>
            </w:pPr>
          </w:p>
          <w:p w14:paraId="75A705FF">
            <w:pPr>
              <w:pStyle w:val="7"/>
              <w:spacing w:before="78" w:line="215" w:lineRule="auto"/>
              <w:ind w:left="361"/>
            </w:pPr>
            <w:r>
              <w:rPr>
                <w:spacing w:val="-18"/>
              </w:rPr>
              <w:t>样板引路制度</w:t>
            </w:r>
          </w:p>
        </w:tc>
        <w:tc>
          <w:tcPr>
            <w:tcW w:w="7096" w:type="dxa"/>
            <w:tcBorders>
              <w:right w:val="single" w:color="000000" w:sz="4" w:space="0"/>
            </w:tcBorders>
            <w:vAlign w:val="top"/>
          </w:tcPr>
          <w:p w14:paraId="31E54E34">
            <w:pPr>
              <w:spacing w:line="259" w:lineRule="auto"/>
              <w:rPr>
                <w:rFonts w:ascii="Arial"/>
                <w:sz w:val="21"/>
              </w:rPr>
            </w:pPr>
          </w:p>
          <w:p w14:paraId="7D70FD62">
            <w:pPr>
              <w:pStyle w:val="7"/>
              <w:spacing w:before="78" w:line="216" w:lineRule="auto"/>
              <w:ind w:left="63"/>
            </w:pPr>
            <w:r>
              <w:rPr>
                <w:spacing w:val="-21"/>
              </w:rPr>
              <w:t>施工操作要注意工序的优化、工艺的改进，提高工序的</w:t>
            </w:r>
            <w:r>
              <w:rPr>
                <w:spacing w:val="-22"/>
              </w:rPr>
              <w:t>标准化操作水平和</w:t>
            </w:r>
          </w:p>
          <w:p w14:paraId="66116CAC">
            <w:pPr>
              <w:pStyle w:val="7"/>
              <w:spacing w:before="187" w:line="215" w:lineRule="auto"/>
              <w:ind w:left="64"/>
            </w:pPr>
            <w:r>
              <w:rPr>
                <w:spacing w:val="-21"/>
              </w:rPr>
              <w:t>操作质量。对量大面广的分项工程，在开始大面积操作前做出示</w:t>
            </w:r>
            <w:r>
              <w:rPr>
                <w:spacing w:val="-22"/>
              </w:rPr>
              <w:t>范样板，</w:t>
            </w:r>
          </w:p>
          <w:p w14:paraId="223C2300">
            <w:pPr>
              <w:pStyle w:val="7"/>
              <w:spacing w:before="186" w:line="215" w:lineRule="auto"/>
              <w:ind w:left="724"/>
            </w:pPr>
            <w:r>
              <w:rPr>
                <w:spacing w:val="-22"/>
              </w:rPr>
              <w:t>包括样板墙、样板间、样板件等，把标准实物化、形象化。</w:t>
            </w:r>
          </w:p>
        </w:tc>
      </w:tr>
      <w:tr w14:paraId="2A96D2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21" w:hRule="atLeast"/>
        </w:trPr>
        <w:tc>
          <w:tcPr>
            <w:tcW w:w="2003" w:type="dxa"/>
            <w:tcBorders>
              <w:left w:val="single" w:color="000000" w:sz="4" w:space="0"/>
            </w:tcBorders>
            <w:vAlign w:val="top"/>
          </w:tcPr>
          <w:p w14:paraId="75ECC492">
            <w:pPr>
              <w:spacing w:line="316" w:lineRule="auto"/>
              <w:rPr>
                <w:rFonts w:ascii="Arial"/>
                <w:sz w:val="21"/>
              </w:rPr>
            </w:pPr>
          </w:p>
          <w:p w14:paraId="6477FCBB">
            <w:pPr>
              <w:spacing w:line="316" w:lineRule="auto"/>
              <w:rPr>
                <w:rFonts w:ascii="Arial"/>
                <w:sz w:val="21"/>
              </w:rPr>
            </w:pPr>
          </w:p>
          <w:p w14:paraId="4661E9A0">
            <w:pPr>
              <w:spacing w:line="317" w:lineRule="auto"/>
              <w:rPr>
                <w:rFonts w:ascii="Arial"/>
                <w:sz w:val="21"/>
              </w:rPr>
            </w:pPr>
          </w:p>
          <w:p w14:paraId="77BB85B2">
            <w:pPr>
              <w:pStyle w:val="7"/>
              <w:spacing w:before="78" w:line="217" w:lineRule="auto"/>
              <w:ind w:left="384"/>
            </w:pPr>
            <w:r>
              <w:rPr>
                <w:spacing w:val="-22"/>
              </w:rPr>
              <w:t>图纸会审制度</w:t>
            </w:r>
          </w:p>
        </w:tc>
        <w:tc>
          <w:tcPr>
            <w:tcW w:w="7096" w:type="dxa"/>
            <w:tcBorders>
              <w:right w:val="single" w:color="000000" w:sz="4" w:space="0"/>
            </w:tcBorders>
            <w:vAlign w:val="top"/>
          </w:tcPr>
          <w:p w14:paraId="3157027A">
            <w:pPr>
              <w:spacing w:line="251" w:lineRule="auto"/>
              <w:rPr>
                <w:rFonts w:ascii="Arial"/>
                <w:sz w:val="21"/>
              </w:rPr>
            </w:pPr>
          </w:p>
          <w:p w14:paraId="5222BB4B">
            <w:pPr>
              <w:pStyle w:val="7"/>
              <w:spacing w:before="78" w:line="216" w:lineRule="auto"/>
              <w:ind w:left="65"/>
            </w:pPr>
            <w:r>
              <w:rPr>
                <w:spacing w:val="-21"/>
              </w:rPr>
              <w:t>企业应对建设单位提供的设计施工图文件进行会</w:t>
            </w:r>
            <w:r>
              <w:rPr>
                <w:spacing w:val="-22"/>
              </w:rPr>
              <w:t>审，并认真参加设计单位</w:t>
            </w:r>
          </w:p>
          <w:p w14:paraId="37C3B1A8">
            <w:pPr>
              <w:pStyle w:val="7"/>
              <w:spacing w:before="187" w:line="215" w:lineRule="auto"/>
              <w:ind w:left="87"/>
            </w:pPr>
            <w:r>
              <w:rPr>
                <w:spacing w:val="-22"/>
              </w:rPr>
              <w:t>图纸交底活动。在图纸会审时施工单位应严格按国家设计标准、规</w:t>
            </w:r>
            <w:r>
              <w:rPr>
                <w:spacing w:val="-23"/>
              </w:rPr>
              <w:t>范和现</w:t>
            </w:r>
          </w:p>
          <w:p w14:paraId="7CA9BDF8">
            <w:pPr>
              <w:pStyle w:val="7"/>
              <w:spacing w:before="185" w:line="217" w:lineRule="auto"/>
              <w:jc w:val="right"/>
            </w:pPr>
            <w:r>
              <w:rPr>
                <w:spacing w:val="-27"/>
              </w:rPr>
              <w:t>场实际及企业工艺能力，对图纸进行审查，了解设计意图，</w:t>
            </w:r>
            <w:r>
              <w:rPr>
                <w:spacing w:val="-28"/>
              </w:rPr>
              <w:t>消化图纸内容，</w:t>
            </w:r>
          </w:p>
          <w:p w14:paraId="1E906892">
            <w:pPr>
              <w:pStyle w:val="7"/>
              <w:spacing w:before="186" w:line="217" w:lineRule="auto"/>
              <w:ind w:left="390"/>
            </w:pPr>
            <w:r>
              <w:rPr>
                <w:spacing w:val="-21"/>
              </w:rPr>
              <w:t>剖析图纸难点，补充图纸节点，提高把图纸变为实际产品</w:t>
            </w:r>
            <w:r>
              <w:rPr>
                <w:spacing w:val="-22"/>
              </w:rPr>
              <w:t>的能力。</w:t>
            </w:r>
          </w:p>
        </w:tc>
      </w:tr>
      <w:tr w14:paraId="7BDE98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01" w:hRule="atLeast"/>
        </w:trPr>
        <w:tc>
          <w:tcPr>
            <w:tcW w:w="2003" w:type="dxa"/>
            <w:tcBorders>
              <w:left w:val="single" w:color="1C456A" w:sz="4" w:space="0"/>
              <w:bottom w:val="single" w:color="1C456A" w:sz="4" w:space="0"/>
            </w:tcBorders>
            <w:vAlign w:val="top"/>
          </w:tcPr>
          <w:p w14:paraId="0B8C1A1E">
            <w:pPr>
              <w:rPr>
                <w:rFonts w:ascii="Arial"/>
                <w:sz w:val="21"/>
              </w:rPr>
            </w:pPr>
            <w:r>
              <w:pict>
                <v:shape id="_x0000_s3551" o:spid="_x0000_s3551" style="position:absolute;left:0pt;margin-left:-0.2pt;margin-top:125.1pt;height:0.75pt;width:2.2pt;mso-position-horizontal-relative:page;mso-position-vertical-relative:page;z-index:252128256;mso-width-relative:page;mso-height-relative:page;" fillcolor="#5B9BD5" filled="t" stroked="f" coordsize="44,15" path="m0,14l43,14,43,0,0,0,0,14xe">
                  <v:path/>
                  <v:fill on="t" focussize="0,0"/>
                  <v:stroke on="f"/>
                  <v:imagedata o:title=""/>
                  <o:lock v:ext="edit"/>
                </v:shape>
              </w:pict>
            </w:r>
          </w:p>
          <w:p w14:paraId="33C1A75F">
            <w:pPr>
              <w:rPr>
                <w:rFonts w:ascii="Arial"/>
                <w:sz w:val="21"/>
              </w:rPr>
            </w:pPr>
          </w:p>
          <w:p w14:paraId="4B52C8DC">
            <w:pPr>
              <w:rPr>
                <w:rFonts w:ascii="Arial"/>
                <w:sz w:val="21"/>
              </w:rPr>
            </w:pPr>
          </w:p>
          <w:p w14:paraId="34A16F9C">
            <w:pPr>
              <w:spacing w:line="241" w:lineRule="auto"/>
              <w:rPr>
                <w:rFonts w:ascii="Arial"/>
                <w:sz w:val="21"/>
              </w:rPr>
            </w:pPr>
          </w:p>
          <w:p w14:paraId="3769AEF7">
            <w:pPr>
              <w:pStyle w:val="7"/>
              <w:spacing w:before="78" w:line="217" w:lineRule="auto"/>
              <w:ind w:left="361"/>
            </w:pPr>
            <w:r>
              <w:rPr>
                <w:spacing w:val="-18"/>
              </w:rPr>
              <w:t>技术交底制度</w:t>
            </w:r>
          </w:p>
        </w:tc>
        <w:tc>
          <w:tcPr>
            <w:tcW w:w="7096" w:type="dxa"/>
            <w:tcBorders>
              <w:bottom w:val="single" w:color="5B9BD5" w:sz="4" w:space="0"/>
              <w:right w:val="single" w:color="5B9BD5" w:sz="4" w:space="0"/>
            </w:tcBorders>
            <w:vAlign w:val="top"/>
          </w:tcPr>
          <w:p w14:paraId="52DF1ADD">
            <w:pPr>
              <w:pStyle w:val="7"/>
              <w:spacing w:before="111" w:line="216" w:lineRule="auto"/>
              <w:ind w:left="65"/>
            </w:pPr>
            <w:r>
              <w:pict>
                <v:shape id="_x0000_s3552" o:spid="_x0000_s3552" style="position:absolute;left:0pt;margin-left:352.95pt;margin-top:125.1pt;height:0.75pt;width:2.2pt;mso-position-horizontal-relative:page;mso-position-vertical-relative:page;z-index:252129280;mso-width-relative:page;mso-height-relative:page;" fillcolor="#5B9BD5" filled="t" stroked="f" coordsize="44,15" path="m0,14l43,14,43,0,0,0,0,14xe">
                  <v:path/>
                  <v:fill on="t" focussize="0,0"/>
                  <v:stroke on="f"/>
                  <v:imagedata o:title=""/>
                  <o:lock v:ext="edit"/>
                </v:shape>
              </w:pict>
            </w:r>
            <w:r>
              <w:rPr>
                <w:spacing w:val="-21"/>
              </w:rPr>
              <w:t>企业坚持以技术进步来保证施工质量的原则。技</w:t>
            </w:r>
            <w:r>
              <w:rPr>
                <w:spacing w:val="-22"/>
              </w:rPr>
              <w:t>术部门应编制有针对性的</w:t>
            </w:r>
          </w:p>
          <w:p w14:paraId="1223C293">
            <w:pPr>
              <w:pStyle w:val="7"/>
              <w:spacing w:before="187" w:line="217" w:lineRule="auto"/>
              <w:ind w:left="63"/>
            </w:pPr>
            <w:r>
              <w:rPr>
                <w:spacing w:val="-21"/>
              </w:rPr>
              <w:t>施工组织设计，积极采用新工艺、新技术；针对特殊工</w:t>
            </w:r>
            <w:r>
              <w:rPr>
                <w:spacing w:val="-22"/>
              </w:rPr>
              <w:t>序要编制有针对生</w:t>
            </w:r>
          </w:p>
          <w:p w14:paraId="6D7A10C7">
            <w:pPr>
              <w:pStyle w:val="7"/>
              <w:spacing w:before="182" w:line="216" w:lineRule="auto"/>
              <w:ind w:left="78"/>
            </w:pPr>
            <w:r>
              <w:rPr>
                <w:spacing w:val="-22"/>
              </w:rPr>
              <w:t>的作业指导书。每个工种、每道工序施工前要组织进行各级技术交底，包</w:t>
            </w:r>
          </w:p>
          <w:p w14:paraId="33555A94">
            <w:pPr>
              <w:pStyle w:val="7"/>
              <w:spacing w:before="188" w:line="218" w:lineRule="auto"/>
              <w:ind w:left="65"/>
            </w:pPr>
            <w:r>
              <w:rPr>
                <w:spacing w:val="-21"/>
              </w:rPr>
              <w:t>括项目工程技术人员对工长的技术交底，工长</w:t>
            </w:r>
            <w:r>
              <w:rPr>
                <w:spacing w:val="-22"/>
              </w:rPr>
              <w:t>对班组长的技术交底，班组</w:t>
            </w:r>
          </w:p>
          <w:p w14:paraId="1F599BEE">
            <w:pPr>
              <w:pStyle w:val="7"/>
              <w:spacing w:before="181" w:line="216" w:lineRule="auto"/>
              <w:ind w:left="2349"/>
            </w:pPr>
            <w:r>
              <w:rPr>
                <w:spacing w:val="-20"/>
              </w:rPr>
              <w:t>长对作业者的技术交底。</w:t>
            </w:r>
          </w:p>
        </w:tc>
      </w:tr>
    </w:tbl>
    <w:p w14:paraId="5F6B49D9">
      <w:pPr>
        <w:rPr>
          <w:rFonts w:ascii="Arial"/>
          <w:sz w:val="21"/>
        </w:rPr>
      </w:pPr>
    </w:p>
    <w:p w14:paraId="46B51543">
      <w:pPr>
        <w:rPr>
          <w:rFonts w:ascii="Arial" w:hAnsi="Arial" w:eastAsia="Arial" w:cs="Arial"/>
          <w:sz w:val="21"/>
          <w:szCs w:val="21"/>
        </w:rPr>
        <w:sectPr>
          <w:footerReference r:id="rId205" w:type="default"/>
          <w:pgSz w:w="11907" w:h="16839"/>
          <w:pgMar w:top="954" w:right="4" w:bottom="1038" w:left="0" w:header="499" w:footer="357" w:gutter="0"/>
          <w:pgBorders>
            <w:top w:val="none" w:sz="0" w:space="0"/>
            <w:left w:val="none" w:sz="0" w:space="0"/>
            <w:bottom w:val="none" w:sz="0" w:space="0"/>
            <w:right w:val="none" w:sz="0" w:space="0"/>
          </w:pgBorders>
          <w:cols w:space="720" w:num="1"/>
        </w:sectPr>
      </w:pPr>
    </w:p>
    <w:p w14:paraId="065C6094">
      <w:pPr>
        <w:spacing w:line="214" w:lineRule="exact"/>
      </w:pPr>
    </w:p>
    <w:tbl>
      <w:tblPr>
        <w:tblStyle w:val="6"/>
        <w:tblW w:w="9099" w:type="dxa"/>
        <w:tblInd w:w="140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999"/>
        <w:gridCol w:w="7100"/>
      </w:tblGrid>
      <w:tr w14:paraId="3903B9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21" w:hRule="atLeast"/>
        </w:trPr>
        <w:tc>
          <w:tcPr>
            <w:tcW w:w="1999" w:type="dxa"/>
            <w:tcBorders>
              <w:top w:val="single" w:color="000000" w:sz="4" w:space="0"/>
              <w:left w:val="single" w:color="000000" w:sz="4" w:space="0"/>
            </w:tcBorders>
            <w:vAlign w:val="top"/>
          </w:tcPr>
          <w:p w14:paraId="5569EA0C">
            <w:pPr>
              <w:spacing w:line="249" w:lineRule="auto"/>
              <w:rPr>
                <w:rFonts w:ascii="Arial"/>
                <w:sz w:val="21"/>
              </w:rPr>
            </w:pPr>
          </w:p>
          <w:p w14:paraId="3C0A2772">
            <w:pPr>
              <w:spacing w:line="249" w:lineRule="auto"/>
              <w:rPr>
                <w:rFonts w:ascii="Arial"/>
                <w:sz w:val="21"/>
              </w:rPr>
            </w:pPr>
          </w:p>
          <w:p w14:paraId="609EE7FE">
            <w:pPr>
              <w:spacing w:line="249" w:lineRule="auto"/>
              <w:rPr>
                <w:rFonts w:ascii="Arial"/>
                <w:sz w:val="21"/>
              </w:rPr>
            </w:pPr>
          </w:p>
          <w:p w14:paraId="6830A4A7">
            <w:pPr>
              <w:pStyle w:val="7"/>
              <w:spacing w:before="78" w:line="216" w:lineRule="auto"/>
              <w:ind w:left="141"/>
            </w:pPr>
            <w:r>
              <w:rPr>
                <w:spacing w:val="-19"/>
              </w:rPr>
              <w:t>材料进场验收制度</w:t>
            </w:r>
          </w:p>
        </w:tc>
        <w:tc>
          <w:tcPr>
            <w:tcW w:w="7100" w:type="dxa"/>
            <w:tcBorders>
              <w:top w:val="single" w:color="5B9BD5" w:sz="4" w:space="0"/>
              <w:right w:val="single" w:color="5B9BD5" w:sz="4" w:space="0"/>
            </w:tcBorders>
            <w:vAlign w:val="top"/>
          </w:tcPr>
          <w:p w14:paraId="4F89D514">
            <w:pPr>
              <w:pStyle w:val="7"/>
              <w:spacing w:before="129" w:line="216" w:lineRule="auto"/>
              <w:ind w:left="68"/>
            </w:pPr>
            <w:r>
              <w:rPr>
                <w:spacing w:val="-21"/>
              </w:rPr>
              <w:t>建立合格材料供应商的档案，并从列入档案的供</w:t>
            </w:r>
            <w:r>
              <w:rPr>
                <w:spacing w:val="-22"/>
              </w:rPr>
              <w:t>应商中采购材料。施工单</w:t>
            </w:r>
          </w:p>
          <w:p w14:paraId="42253A2E">
            <w:pPr>
              <w:pStyle w:val="7"/>
              <w:spacing w:before="185" w:line="216" w:lineRule="auto"/>
              <w:ind w:left="69"/>
            </w:pPr>
            <w:r>
              <w:rPr>
                <w:spacing w:val="-21"/>
              </w:rPr>
              <w:t>位对其采购的建筑材料、构配件和设备的质量</w:t>
            </w:r>
            <w:r>
              <w:rPr>
                <w:spacing w:val="-22"/>
              </w:rPr>
              <w:t>承担相应的责任，材料进场</w:t>
            </w:r>
          </w:p>
          <w:p w14:paraId="651F5775">
            <w:pPr>
              <w:pStyle w:val="7"/>
              <w:spacing w:before="187" w:line="216" w:lineRule="auto"/>
              <w:ind w:left="72"/>
            </w:pPr>
            <w:r>
              <w:rPr>
                <w:spacing w:val="-22"/>
              </w:rPr>
              <w:t>必须进行材料产品外观质量的检查验收和材质复核检验，不合格的不得使</w:t>
            </w:r>
          </w:p>
          <w:p w14:paraId="07CE808F">
            <w:pPr>
              <w:pStyle w:val="7"/>
              <w:spacing w:before="185" w:line="215" w:lineRule="auto"/>
              <w:ind w:left="2898"/>
            </w:pPr>
            <w:r>
              <w:rPr>
                <w:spacing w:val="-18"/>
              </w:rPr>
              <w:t>用在工程上。</w:t>
            </w:r>
          </w:p>
        </w:tc>
      </w:tr>
      <w:tr w14:paraId="3935C6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94" w:hRule="atLeast"/>
        </w:trPr>
        <w:tc>
          <w:tcPr>
            <w:tcW w:w="1999" w:type="dxa"/>
            <w:tcBorders>
              <w:left w:val="single" w:color="000000" w:sz="4" w:space="0"/>
            </w:tcBorders>
            <w:vAlign w:val="top"/>
          </w:tcPr>
          <w:p w14:paraId="0A0D3F89">
            <w:pPr>
              <w:spacing w:line="469" w:lineRule="auto"/>
              <w:rPr>
                <w:rFonts w:ascii="Arial"/>
                <w:sz w:val="21"/>
              </w:rPr>
            </w:pPr>
          </w:p>
          <w:p w14:paraId="48261333">
            <w:pPr>
              <w:pStyle w:val="7"/>
              <w:spacing w:before="78" w:line="217" w:lineRule="auto"/>
              <w:ind w:left="258"/>
            </w:pPr>
            <w:r>
              <w:rPr>
                <w:spacing w:val="-19"/>
              </w:rPr>
              <w:t>工序交接卡制度</w:t>
            </w:r>
          </w:p>
        </w:tc>
        <w:tc>
          <w:tcPr>
            <w:tcW w:w="7100" w:type="dxa"/>
            <w:tcBorders>
              <w:right w:val="single" w:color="000000" w:sz="4" w:space="0"/>
            </w:tcBorders>
            <w:vAlign w:val="top"/>
          </w:tcPr>
          <w:p w14:paraId="1CF6603C">
            <w:pPr>
              <w:pStyle w:val="7"/>
              <w:spacing w:before="316" w:line="217" w:lineRule="auto"/>
              <w:ind w:left="69"/>
            </w:pPr>
            <w:r>
              <w:rPr>
                <w:spacing w:val="-21"/>
              </w:rPr>
              <w:t>班组与班组，工种与工种，工序与工序之间</w:t>
            </w:r>
            <w:r>
              <w:rPr>
                <w:spacing w:val="-22"/>
              </w:rPr>
              <w:t>需按时进行交换。执行交接制</w:t>
            </w:r>
          </w:p>
          <w:p w14:paraId="34F0C05D">
            <w:pPr>
              <w:pStyle w:val="7"/>
              <w:spacing w:before="183" w:line="216" w:lineRule="auto"/>
              <w:ind w:left="501"/>
            </w:pPr>
            <w:r>
              <w:rPr>
                <w:spacing w:val="-21"/>
              </w:rPr>
              <w:t>度，便于检查本工序，服务下工序，保护工序成品，明确</w:t>
            </w:r>
            <w:r>
              <w:rPr>
                <w:spacing w:val="-22"/>
              </w:rPr>
              <w:t>责任。</w:t>
            </w:r>
          </w:p>
        </w:tc>
      </w:tr>
      <w:tr w14:paraId="005570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45" w:hRule="atLeast"/>
        </w:trPr>
        <w:tc>
          <w:tcPr>
            <w:tcW w:w="1999" w:type="dxa"/>
            <w:tcBorders>
              <w:left w:val="single" w:color="000000" w:sz="4" w:space="0"/>
            </w:tcBorders>
            <w:vAlign w:val="top"/>
          </w:tcPr>
          <w:p w14:paraId="5E567A07">
            <w:pPr>
              <w:spacing w:line="252" w:lineRule="auto"/>
              <w:rPr>
                <w:rFonts w:ascii="Arial"/>
                <w:sz w:val="21"/>
              </w:rPr>
            </w:pPr>
          </w:p>
          <w:p w14:paraId="362F2B89">
            <w:pPr>
              <w:spacing w:line="252" w:lineRule="auto"/>
              <w:rPr>
                <w:rFonts w:ascii="Arial"/>
                <w:sz w:val="21"/>
              </w:rPr>
            </w:pPr>
          </w:p>
          <w:p w14:paraId="2D946194">
            <w:pPr>
              <w:spacing w:line="252" w:lineRule="auto"/>
              <w:rPr>
                <w:rFonts w:ascii="Arial"/>
                <w:sz w:val="21"/>
              </w:rPr>
            </w:pPr>
          </w:p>
          <w:p w14:paraId="579956FD">
            <w:pPr>
              <w:spacing w:line="252" w:lineRule="auto"/>
              <w:rPr>
                <w:rFonts w:ascii="Arial"/>
                <w:sz w:val="21"/>
              </w:rPr>
            </w:pPr>
          </w:p>
          <w:p w14:paraId="18E8DB6D">
            <w:pPr>
              <w:spacing w:line="252" w:lineRule="auto"/>
              <w:rPr>
                <w:rFonts w:ascii="Arial"/>
                <w:sz w:val="21"/>
              </w:rPr>
            </w:pPr>
          </w:p>
          <w:p w14:paraId="36D4EA0C">
            <w:pPr>
              <w:pStyle w:val="7"/>
              <w:spacing w:before="78" w:line="359" w:lineRule="auto"/>
              <w:ind w:left="586" w:right="206" w:hanging="327"/>
            </w:pPr>
            <w:r>
              <w:rPr>
                <w:spacing w:val="-23"/>
              </w:rPr>
              <w:t>三级验收，五步</w:t>
            </w:r>
            <w:r>
              <w:rPr>
                <w:spacing w:val="-17"/>
              </w:rPr>
              <w:t>到位制度</w:t>
            </w:r>
          </w:p>
        </w:tc>
        <w:tc>
          <w:tcPr>
            <w:tcW w:w="7100" w:type="dxa"/>
            <w:tcBorders>
              <w:right w:val="single" w:color="000000" w:sz="4" w:space="0"/>
            </w:tcBorders>
            <w:vAlign w:val="top"/>
          </w:tcPr>
          <w:p w14:paraId="629F71B3">
            <w:pPr>
              <w:spacing w:line="331" w:lineRule="auto"/>
              <w:rPr>
                <w:rFonts w:ascii="Arial"/>
                <w:sz w:val="21"/>
              </w:rPr>
            </w:pPr>
          </w:p>
          <w:p w14:paraId="217DB635">
            <w:pPr>
              <w:pStyle w:val="7"/>
              <w:spacing w:before="78" w:line="216" w:lineRule="auto"/>
              <w:ind w:left="73"/>
            </w:pPr>
            <w:r>
              <w:rPr>
                <w:spacing w:val="-22"/>
              </w:rPr>
              <w:t>坚持“三级验收、五步到位”的质量控制标准，消灭返工现象，用工作质</w:t>
            </w:r>
          </w:p>
          <w:p w14:paraId="6D64D66A">
            <w:pPr>
              <w:pStyle w:val="7"/>
              <w:spacing w:before="185" w:line="217" w:lineRule="auto"/>
              <w:ind w:left="2684"/>
            </w:pPr>
            <w:r>
              <w:rPr>
                <w:spacing w:val="-21"/>
              </w:rPr>
              <w:t>量保证产品质量。</w:t>
            </w:r>
          </w:p>
          <w:p w14:paraId="1EF54ED8">
            <w:pPr>
              <w:pStyle w:val="7"/>
              <w:spacing w:before="186" w:line="214" w:lineRule="auto"/>
              <w:ind w:left="288"/>
            </w:pPr>
            <w:r>
              <w:rPr>
                <w:spacing w:val="-21"/>
              </w:rPr>
              <w:t>三级验收：施工班组验收_项目管理部质量</w:t>
            </w:r>
            <w:r>
              <w:rPr>
                <w:spacing w:val="-22"/>
              </w:rPr>
              <w:t>验收_发包人、监理验收。</w:t>
            </w:r>
          </w:p>
          <w:p w14:paraId="3E5D7F94">
            <w:pPr>
              <w:pStyle w:val="7"/>
              <w:spacing w:before="187" w:line="215" w:lineRule="auto"/>
              <w:ind w:left="72"/>
            </w:pPr>
            <w:r>
              <w:rPr>
                <w:spacing w:val="-21"/>
              </w:rPr>
              <w:t>五步到位：在分项施工中，管理人员做到：</w:t>
            </w:r>
            <w:r>
              <w:rPr>
                <w:spacing w:val="-22"/>
              </w:rPr>
              <w:t>操作要点交底到位；上下工序</w:t>
            </w:r>
          </w:p>
          <w:p w14:paraId="6F701E68">
            <w:pPr>
              <w:pStyle w:val="7"/>
              <w:spacing w:before="188" w:line="216" w:lineRule="auto"/>
              <w:ind w:left="74"/>
            </w:pPr>
            <w:r>
              <w:rPr>
                <w:spacing w:val="-22"/>
              </w:rPr>
              <w:t>交接到位；上、下班交接到位；关键部位的检查、验收到位各种材料和加</w:t>
            </w:r>
          </w:p>
          <w:p w14:paraId="5D458836">
            <w:pPr>
              <w:pStyle w:val="7"/>
              <w:spacing w:before="185" w:line="217" w:lineRule="auto"/>
              <w:ind w:left="2578"/>
            </w:pPr>
            <w:r>
              <w:rPr>
                <w:spacing w:val="-20"/>
              </w:rPr>
              <w:t>工件进场验收到位。</w:t>
            </w:r>
          </w:p>
        </w:tc>
      </w:tr>
      <w:tr w14:paraId="631CE0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53" w:hRule="atLeast"/>
        </w:trPr>
        <w:tc>
          <w:tcPr>
            <w:tcW w:w="1999" w:type="dxa"/>
            <w:tcBorders>
              <w:left w:val="single" w:color="000000" w:sz="4" w:space="0"/>
            </w:tcBorders>
            <w:vAlign w:val="top"/>
          </w:tcPr>
          <w:p w14:paraId="68BA41B7">
            <w:pPr>
              <w:spacing w:line="255" w:lineRule="auto"/>
              <w:rPr>
                <w:rFonts w:ascii="Arial"/>
                <w:sz w:val="21"/>
              </w:rPr>
            </w:pPr>
          </w:p>
          <w:p w14:paraId="64204CDD">
            <w:pPr>
              <w:pStyle w:val="7"/>
              <w:spacing w:before="78" w:line="217" w:lineRule="auto"/>
              <w:ind w:left="366"/>
            </w:pPr>
            <w:r>
              <w:rPr>
                <w:spacing w:val="-19"/>
              </w:rPr>
              <w:t>质量否决制度</w:t>
            </w:r>
          </w:p>
        </w:tc>
        <w:tc>
          <w:tcPr>
            <w:tcW w:w="7100" w:type="dxa"/>
            <w:tcBorders>
              <w:right w:val="single" w:color="000000" w:sz="4" w:space="0"/>
            </w:tcBorders>
            <w:vAlign w:val="top"/>
          </w:tcPr>
          <w:p w14:paraId="46695AFB">
            <w:pPr>
              <w:pStyle w:val="7"/>
              <w:spacing w:before="99" w:line="216" w:lineRule="auto"/>
              <w:ind w:left="70"/>
            </w:pPr>
            <w:r>
              <w:rPr>
                <w:spacing w:val="-22"/>
              </w:rPr>
              <w:t>相关部门定期巡视工地，严格按照规范进行检查，发现严重问题，将令项</w:t>
            </w:r>
          </w:p>
          <w:p w14:paraId="5F2797BC">
            <w:pPr>
              <w:pStyle w:val="7"/>
              <w:spacing w:before="187" w:line="217" w:lineRule="auto"/>
              <w:ind w:left="1632"/>
            </w:pPr>
            <w:r>
              <w:rPr>
                <w:spacing w:val="-23"/>
              </w:rPr>
              <w:t>目部停工整改，直至符合整改要求为止。</w:t>
            </w:r>
          </w:p>
        </w:tc>
      </w:tr>
      <w:tr w14:paraId="6105B6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52" w:hRule="atLeast"/>
        </w:trPr>
        <w:tc>
          <w:tcPr>
            <w:tcW w:w="1999" w:type="dxa"/>
            <w:tcBorders>
              <w:left w:val="single" w:color="000000" w:sz="4" w:space="0"/>
            </w:tcBorders>
            <w:vAlign w:val="top"/>
          </w:tcPr>
          <w:p w14:paraId="3EA1C45C">
            <w:pPr>
              <w:spacing w:line="253" w:lineRule="auto"/>
              <w:rPr>
                <w:rFonts w:ascii="Arial"/>
                <w:sz w:val="21"/>
              </w:rPr>
            </w:pPr>
          </w:p>
          <w:p w14:paraId="0F4B5263">
            <w:pPr>
              <w:pStyle w:val="7"/>
              <w:spacing w:before="78" w:line="216" w:lineRule="auto"/>
              <w:ind w:left="363"/>
            </w:pPr>
            <w:r>
              <w:rPr>
                <w:spacing w:val="-18"/>
              </w:rPr>
              <w:t>过程三检制度</w:t>
            </w:r>
          </w:p>
        </w:tc>
        <w:tc>
          <w:tcPr>
            <w:tcW w:w="7100" w:type="dxa"/>
            <w:tcBorders>
              <w:right w:val="single" w:color="000000" w:sz="4" w:space="0"/>
            </w:tcBorders>
            <w:vAlign w:val="top"/>
          </w:tcPr>
          <w:p w14:paraId="44C498D7">
            <w:pPr>
              <w:pStyle w:val="7"/>
              <w:spacing w:before="100" w:line="215" w:lineRule="auto"/>
              <w:ind w:left="77"/>
            </w:pPr>
            <w:r>
              <w:rPr>
                <w:spacing w:val="-22"/>
              </w:rPr>
              <w:t>为确保工程质量，在施工过程中必须实行过程三检制度。即：班组的“自</w:t>
            </w:r>
          </w:p>
          <w:p w14:paraId="5FEE2ACF">
            <w:pPr>
              <w:pStyle w:val="7"/>
              <w:spacing w:before="188" w:line="216" w:lineRule="auto"/>
              <w:ind w:left="2247"/>
            </w:pPr>
            <w:r>
              <w:rPr>
                <w:spacing w:val="-20"/>
              </w:rPr>
              <w:t>检、互检、交接检”制度。</w:t>
            </w:r>
          </w:p>
        </w:tc>
      </w:tr>
      <w:tr w14:paraId="77C13E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25" w:hRule="atLeast"/>
        </w:trPr>
        <w:tc>
          <w:tcPr>
            <w:tcW w:w="1999" w:type="dxa"/>
            <w:tcBorders>
              <w:left w:val="single" w:color="1C456A" w:sz="4" w:space="0"/>
              <w:bottom w:val="single" w:color="1C456A" w:sz="4" w:space="0"/>
            </w:tcBorders>
            <w:vAlign w:val="top"/>
          </w:tcPr>
          <w:p w14:paraId="583FCAA5">
            <w:pPr>
              <w:spacing w:line="282" w:lineRule="auto"/>
              <w:rPr>
                <w:rFonts w:ascii="Arial"/>
                <w:sz w:val="21"/>
              </w:rPr>
            </w:pPr>
            <w:r>
              <w:pict>
                <v:shape id="_x0000_s3553" o:spid="_x0000_s3553" style="position:absolute;left:0pt;margin-left:-0.2pt;margin-top:171.3pt;height:0.75pt;width:2.2pt;mso-position-horizontal-relative:page;mso-position-vertical-relative:page;z-index:252131328;mso-width-relative:page;mso-height-relative:page;" fillcolor="#5B9BD5" filled="t" stroked="f" coordsize="44,15" path="m0,14l43,14,43,0,0,0,0,14xe">
                  <v:path/>
                  <v:fill on="t" focussize="0,0"/>
                  <v:stroke on="f"/>
                  <v:imagedata o:title=""/>
                  <o:lock v:ext="edit"/>
                </v:shape>
              </w:pict>
            </w:r>
          </w:p>
          <w:p w14:paraId="01E63A66">
            <w:pPr>
              <w:spacing w:line="283" w:lineRule="auto"/>
              <w:rPr>
                <w:rFonts w:ascii="Arial"/>
                <w:sz w:val="21"/>
              </w:rPr>
            </w:pPr>
          </w:p>
          <w:p w14:paraId="177E76C9">
            <w:pPr>
              <w:spacing w:line="283" w:lineRule="auto"/>
              <w:rPr>
                <w:rFonts w:ascii="Arial"/>
                <w:sz w:val="21"/>
              </w:rPr>
            </w:pPr>
          </w:p>
          <w:p w14:paraId="25F49A27">
            <w:pPr>
              <w:spacing w:line="283" w:lineRule="auto"/>
              <w:rPr>
                <w:rFonts w:ascii="Arial"/>
                <w:sz w:val="21"/>
              </w:rPr>
            </w:pPr>
          </w:p>
          <w:p w14:paraId="1C96ED09">
            <w:pPr>
              <w:spacing w:line="283" w:lineRule="auto"/>
              <w:rPr>
                <w:rFonts w:ascii="Arial"/>
                <w:sz w:val="21"/>
              </w:rPr>
            </w:pPr>
          </w:p>
          <w:p w14:paraId="5B8949EC">
            <w:pPr>
              <w:pStyle w:val="7"/>
              <w:spacing w:before="78" w:line="216" w:lineRule="auto"/>
              <w:ind w:left="361"/>
            </w:pPr>
            <w:r>
              <w:rPr>
                <w:spacing w:val="-18"/>
              </w:rPr>
              <w:t>班组自检制度</w:t>
            </w:r>
          </w:p>
        </w:tc>
        <w:tc>
          <w:tcPr>
            <w:tcW w:w="7100" w:type="dxa"/>
            <w:tcBorders>
              <w:bottom w:val="single" w:color="5B9BD5" w:sz="4" w:space="0"/>
              <w:right w:val="single" w:color="5B9BD5" w:sz="4" w:space="0"/>
            </w:tcBorders>
            <w:vAlign w:val="top"/>
          </w:tcPr>
          <w:p w14:paraId="020C1246">
            <w:pPr>
              <w:pStyle w:val="7"/>
              <w:spacing w:before="101" w:line="216" w:lineRule="auto"/>
              <w:ind w:left="71"/>
            </w:pPr>
            <w:r>
              <w:pict>
                <v:shape id="_x0000_s3554" o:spid="_x0000_s3554" style="position:absolute;left:0pt;margin-left:353.15pt;margin-top:171.3pt;height:0.75pt;width:2.2pt;mso-position-horizontal-relative:page;mso-position-vertical-relative:page;z-index:252130304;mso-width-relative:page;mso-height-relative:page;" fillcolor="#5B9BD5" filled="t" stroked="f" coordsize="44,15" path="m0,14l43,14,43,0,0,0,0,14xe">
                  <v:path/>
                  <v:fill on="t" focussize="0,0"/>
                  <v:stroke on="f"/>
                  <v:imagedata o:title=""/>
                  <o:lock v:ext="edit"/>
                </v:shape>
              </w:pict>
            </w:r>
            <w:r>
              <w:rPr>
                <w:spacing w:val="-22"/>
              </w:rPr>
              <w:t>分项工程施工完毕后及每道工序完成后，各班组长带头进行自检，自检不</w:t>
            </w:r>
          </w:p>
          <w:p w14:paraId="033AAEC8">
            <w:pPr>
              <w:pStyle w:val="7"/>
              <w:spacing w:before="185" w:line="214" w:lineRule="auto"/>
              <w:ind w:left="2142"/>
            </w:pPr>
            <w:r>
              <w:rPr>
                <w:spacing w:val="-21"/>
              </w:rPr>
              <w:t>合格，不得转入下一道工序。</w:t>
            </w:r>
          </w:p>
          <w:p w14:paraId="1116247B">
            <w:pPr>
              <w:pStyle w:val="7"/>
              <w:spacing w:before="189" w:line="215" w:lineRule="auto"/>
              <w:ind w:left="69"/>
            </w:pPr>
            <w:r>
              <w:rPr>
                <w:spacing w:val="-21"/>
              </w:rPr>
              <w:t>班组长完成本班任务后提供自检结果给项目部</w:t>
            </w:r>
            <w:r>
              <w:rPr>
                <w:spacing w:val="-22"/>
              </w:rPr>
              <w:t>，在施工过程中，对本工序</w:t>
            </w:r>
          </w:p>
          <w:p w14:paraId="1848D740">
            <w:pPr>
              <w:pStyle w:val="7"/>
              <w:spacing w:before="185" w:line="216" w:lineRule="auto"/>
              <w:ind w:left="2254"/>
            </w:pPr>
            <w:r>
              <w:rPr>
                <w:spacing w:val="-21"/>
              </w:rPr>
              <w:t>每步操作的自检记录留档。</w:t>
            </w:r>
          </w:p>
          <w:p w14:paraId="2F11952E">
            <w:pPr>
              <w:pStyle w:val="7"/>
              <w:spacing w:before="188" w:line="216" w:lineRule="auto"/>
              <w:ind w:left="77"/>
            </w:pPr>
            <w:r>
              <w:rPr>
                <w:spacing w:val="-22"/>
              </w:rPr>
              <w:t>为了检查本道工序，服务下道工序和鉴定上道工序的结果，项目部组织三</w:t>
            </w:r>
          </w:p>
          <w:p w14:paraId="730A7FF0">
            <w:pPr>
              <w:pStyle w:val="7"/>
              <w:spacing w:before="187" w:line="216" w:lineRule="auto"/>
              <w:ind w:left="69"/>
            </w:pPr>
            <w:r>
              <w:rPr>
                <w:spacing w:val="-22"/>
              </w:rPr>
              <w:t>道工序班组长进行检查活动，检查结果做书面记录，有问题马上整改，详</w:t>
            </w:r>
          </w:p>
          <w:p w14:paraId="41050F15">
            <w:pPr>
              <w:pStyle w:val="7"/>
              <w:spacing w:before="185" w:line="216" w:lineRule="auto"/>
              <w:ind w:left="1702"/>
            </w:pPr>
            <w:r>
              <w:rPr>
                <w:spacing w:val="-21"/>
              </w:rPr>
              <w:t>见工序交接卡。此为三工序检查制度。</w:t>
            </w:r>
          </w:p>
        </w:tc>
      </w:tr>
    </w:tbl>
    <w:p w14:paraId="5A84B389">
      <w:pPr>
        <w:rPr>
          <w:rFonts w:ascii="Arial"/>
          <w:sz w:val="21"/>
        </w:rPr>
      </w:pPr>
    </w:p>
    <w:p w14:paraId="68E82CF8">
      <w:pPr>
        <w:rPr>
          <w:rFonts w:ascii="Arial" w:hAnsi="Arial" w:eastAsia="Arial" w:cs="Arial"/>
          <w:sz w:val="21"/>
          <w:szCs w:val="21"/>
        </w:rPr>
        <w:sectPr>
          <w:footerReference r:id="rId206" w:type="default"/>
          <w:pgSz w:w="11907" w:h="16839"/>
          <w:pgMar w:top="954" w:right="4" w:bottom="1038" w:left="0" w:header="499" w:footer="357" w:gutter="0"/>
          <w:pgBorders>
            <w:top w:val="none" w:sz="0" w:space="0"/>
            <w:left w:val="none" w:sz="0" w:space="0"/>
            <w:bottom w:val="none" w:sz="0" w:space="0"/>
            <w:right w:val="none" w:sz="0" w:space="0"/>
          </w:pgBorders>
          <w:cols w:space="720" w:num="1"/>
        </w:sectPr>
      </w:pPr>
    </w:p>
    <w:p w14:paraId="5B854B3B">
      <w:pPr>
        <w:spacing w:line="214" w:lineRule="exact"/>
      </w:pPr>
    </w:p>
    <w:tbl>
      <w:tblPr>
        <w:tblStyle w:val="6"/>
        <w:tblW w:w="9099" w:type="dxa"/>
        <w:tblInd w:w="140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999"/>
        <w:gridCol w:w="7100"/>
      </w:tblGrid>
      <w:tr w14:paraId="5BE383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23" w:hRule="atLeast"/>
        </w:trPr>
        <w:tc>
          <w:tcPr>
            <w:tcW w:w="1999" w:type="dxa"/>
            <w:tcBorders>
              <w:top w:val="single" w:color="000000" w:sz="4" w:space="0"/>
              <w:left w:val="single" w:color="000000" w:sz="4" w:space="0"/>
            </w:tcBorders>
            <w:vAlign w:val="top"/>
          </w:tcPr>
          <w:p w14:paraId="786B9D31">
            <w:pPr>
              <w:spacing w:line="273" w:lineRule="auto"/>
              <w:rPr>
                <w:rFonts w:ascii="Arial"/>
                <w:sz w:val="21"/>
              </w:rPr>
            </w:pPr>
          </w:p>
          <w:p w14:paraId="7C083A71">
            <w:pPr>
              <w:spacing w:line="273" w:lineRule="auto"/>
              <w:rPr>
                <w:rFonts w:ascii="Arial"/>
                <w:sz w:val="21"/>
              </w:rPr>
            </w:pPr>
          </w:p>
          <w:p w14:paraId="50F9FFFB">
            <w:pPr>
              <w:spacing w:line="274" w:lineRule="auto"/>
              <w:rPr>
                <w:rFonts w:ascii="Arial"/>
                <w:sz w:val="21"/>
              </w:rPr>
            </w:pPr>
          </w:p>
          <w:p w14:paraId="20CC399D">
            <w:pPr>
              <w:spacing w:line="274" w:lineRule="auto"/>
              <w:rPr>
                <w:rFonts w:ascii="Arial"/>
                <w:sz w:val="21"/>
              </w:rPr>
            </w:pPr>
          </w:p>
          <w:p w14:paraId="227F83F3">
            <w:pPr>
              <w:spacing w:line="274" w:lineRule="auto"/>
              <w:rPr>
                <w:rFonts w:ascii="Arial"/>
                <w:sz w:val="21"/>
              </w:rPr>
            </w:pPr>
          </w:p>
          <w:p w14:paraId="2891BB9C">
            <w:pPr>
              <w:spacing w:line="274" w:lineRule="auto"/>
              <w:rPr>
                <w:rFonts w:ascii="Arial"/>
                <w:sz w:val="21"/>
              </w:rPr>
            </w:pPr>
          </w:p>
          <w:p w14:paraId="1A53538E">
            <w:pPr>
              <w:pStyle w:val="7"/>
              <w:spacing w:before="78" w:line="217" w:lineRule="auto"/>
              <w:ind w:left="366"/>
            </w:pPr>
            <w:r>
              <w:rPr>
                <w:spacing w:val="-19"/>
              </w:rPr>
              <w:t>质量巡查制度</w:t>
            </w:r>
          </w:p>
        </w:tc>
        <w:tc>
          <w:tcPr>
            <w:tcW w:w="7100" w:type="dxa"/>
            <w:tcBorders>
              <w:top w:val="single" w:color="5B9BD5" w:sz="4" w:space="0"/>
              <w:right w:val="single" w:color="5B9BD5" w:sz="4" w:space="0"/>
            </w:tcBorders>
            <w:vAlign w:val="top"/>
          </w:tcPr>
          <w:p w14:paraId="5717A5DB">
            <w:pPr>
              <w:spacing w:line="251" w:lineRule="auto"/>
              <w:rPr>
                <w:rFonts w:ascii="Arial"/>
                <w:sz w:val="21"/>
              </w:rPr>
            </w:pPr>
          </w:p>
          <w:p w14:paraId="57AB9EC6">
            <w:pPr>
              <w:pStyle w:val="7"/>
              <w:spacing w:before="78" w:line="216" w:lineRule="auto"/>
              <w:ind w:left="74"/>
            </w:pPr>
            <w:r>
              <w:rPr>
                <w:spacing w:val="-21"/>
              </w:rPr>
              <w:t>质检员全天巡视现场，发现问题马上协助班组长</w:t>
            </w:r>
            <w:r>
              <w:rPr>
                <w:spacing w:val="-22"/>
              </w:rPr>
              <w:t>及时解决，并做好笔记。</w:t>
            </w:r>
          </w:p>
          <w:p w14:paraId="61D5A77A">
            <w:pPr>
              <w:pStyle w:val="7"/>
              <w:spacing w:before="185" w:line="216" w:lineRule="auto"/>
              <w:ind w:left="69"/>
            </w:pPr>
            <w:r>
              <w:rPr>
                <w:spacing w:val="-21"/>
              </w:rPr>
              <w:t>项目经理带领班组成员，每天下午下班前对工地当天工程全部</w:t>
            </w:r>
            <w:r>
              <w:rPr>
                <w:spacing w:val="-22"/>
              </w:rPr>
              <w:t>巡视一次，</w:t>
            </w:r>
          </w:p>
          <w:p w14:paraId="04722582">
            <w:pPr>
              <w:pStyle w:val="7"/>
              <w:spacing w:before="187" w:line="215" w:lineRule="auto"/>
              <w:ind w:left="75"/>
            </w:pPr>
            <w:r>
              <w:rPr>
                <w:spacing w:val="-22"/>
              </w:rPr>
              <w:t>发现问题填好“现场问题整改卡”在下午班后交给班长整改对工程重要部</w:t>
            </w:r>
          </w:p>
          <w:p w14:paraId="62FE6FEA">
            <w:pPr>
              <w:pStyle w:val="7"/>
              <w:spacing w:before="185" w:line="216" w:lineRule="auto"/>
              <w:ind w:left="69"/>
            </w:pPr>
            <w:r>
              <w:rPr>
                <w:spacing w:val="-21"/>
              </w:rPr>
              <w:t>位，施工容易形成缺陷而难于纠正的部位，技术组或</w:t>
            </w:r>
            <w:r>
              <w:rPr>
                <w:spacing w:val="-22"/>
              </w:rPr>
              <w:t>质检部要认真地全过</w:t>
            </w:r>
          </w:p>
          <w:p w14:paraId="53B7B43E">
            <w:pPr>
              <w:pStyle w:val="7"/>
              <w:spacing w:before="187" w:line="215" w:lineRule="auto"/>
              <w:jc w:val="right"/>
            </w:pPr>
            <w:r>
              <w:rPr>
                <w:spacing w:val="-27"/>
              </w:rPr>
              <w:t>程监督，轮值当班，保证本工序一次成功。对质检员的工</w:t>
            </w:r>
            <w:r>
              <w:rPr>
                <w:spacing w:val="-28"/>
              </w:rPr>
              <w:t>作要有奖罚制度，</w:t>
            </w:r>
          </w:p>
          <w:p w14:paraId="331CE084">
            <w:pPr>
              <w:pStyle w:val="7"/>
              <w:spacing w:before="186" w:line="216" w:lineRule="auto"/>
              <w:ind w:left="92"/>
            </w:pPr>
            <w:r>
              <w:rPr>
                <w:spacing w:val="-22"/>
              </w:rPr>
              <w:t>出现质量问题，质检员要向项目部书面检讨，对工作成绩显著者</w:t>
            </w:r>
            <w:r>
              <w:rPr>
                <w:spacing w:val="-23"/>
              </w:rPr>
              <w:t>，要进行</w:t>
            </w:r>
          </w:p>
          <w:p w14:paraId="1021B1F0">
            <w:pPr>
              <w:pStyle w:val="7"/>
              <w:spacing w:before="187" w:line="218" w:lineRule="auto"/>
              <w:ind w:left="2900"/>
            </w:pPr>
            <w:r>
              <w:rPr>
                <w:spacing w:val="-18"/>
              </w:rPr>
              <w:t>表扬和奖励。</w:t>
            </w:r>
          </w:p>
        </w:tc>
      </w:tr>
      <w:tr w14:paraId="4705CD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53" w:hRule="atLeast"/>
        </w:trPr>
        <w:tc>
          <w:tcPr>
            <w:tcW w:w="1999" w:type="dxa"/>
            <w:tcBorders>
              <w:left w:val="single" w:color="000000" w:sz="4" w:space="0"/>
            </w:tcBorders>
            <w:vAlign w:val="top"/>
          </w:tcPr>
          <w:p w14:paraId="2C7E49AC">
            <w:pPr>
              <w:spacing w:line="249" w:lineRule="auto"/>
              <w:rPr>
                <w:rFonts w:ascii="Arial"/>
                <w:sz w:val="21"/>
              </w:rPr>
            </w:pPr>
          </w:p>
          <w:p w14:paraId="27AF163C">
            <w:pPr>
              <w:pStyle w:val="7"/>
              <w:spacing w:before="78" w:line="216" w:lineRule="auto"/>
              <w:ind w:left="366"/>
            </w:pPr>
            <w:r>
              <w:rPr>
                <w:spacing w:val="-19"/>
              </w:rPr>
              <w:t>质量终检制度</w:t>
            </w:r>
          </w:p>
        </w:tc>
        <w:tc>
          <w:tcPr>
            <w:tcW w:w="7100" w:type="dxa"/>
            <w:tcBorders>
              <w:right w:val="single" w:color="000000" w:sz="4" w:space="0"/>
            </w:tcBorders>
            <w:vAlign w:val="top"/>
          </w:tcPr>
          <w:p w14:paraId="170A295E">
            <w:pPr>
              <w:pStyle w:val="7"/>
              <w:spacing w:before="96" w:line="216" w:lineRule="auto"/>
              <w:ind w:left="99"/>
            </w:pPr>
            <w:r>
              <w:rPr>
                <w:spacing w:val="-22"/>
              </w:rPr>
              <w:t>由项目部组织，邀请监理工程师、发包人代表对完</w:t>
            </w:r>
            <w:r>
              <w:rPr>
                <w:spacing w:val="-23"/>
              </w:rPr>
              <w:t>成的分项、分部工程进</w:t>
            </w:r>
          </w:p>
          <w:p w14:paraId="793D5C57">
            <w:pPr>
              <w:pStyle w:val="7"/>
              <w:spacing w:before="187" w:line="216" w:lineRule="auto"/>
              <w:ind w:left="1047"/>
            </w:pPr>
            <w:r>
              <w:rPr>
                <w:spacing w:val="-21"/>
              </w:rPr>
              <w:t>行检查和验收。本验收结果作为分项工程奖罚依据。</w:t>
            </w:r>
          </w:p>
        </w:tc>
      </w:tr>
      <w:tr w14:paraId="1457ED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18" w:hRule="atLeast"/>
        </w:trPr>
        <w:tc>
          <w:tcPr>
            <w:tcW w:w="1999" w:type="dxa"/>
            <w:tcBorders>
              <w:left w:val="single" w:color="000000" w:sz="4" w:space="0"/>
            </w:tcBorders>
            <w:vAlign w:val="top"/>
          </w:tcPr>
          <w:p w14:paraId="5ECB51EC">
            <w:pPr>
              <w:spacing w:line="250" w:lineRule="auto"/>
              <w:rPr>
                <w:rFonts w:ascii="Arial"/>
                <w:sz w:val="21"/>
              </w:rPr>
            </w:pPr>
          </w:p>
          <w:p w14:paraId="2C7F85D0">
            <w:pPr>
              <w:pStyle w:val="7"/>
              <w:spacing w:before="78" w:line="361" w:lineRule="auto"/>
              <w:ind w:left="583" w:right="206" w:hanging="331"/>
            </w:pPr>
            <w:r>
              <w:rPr>
                <w:spacing w:val="-22"/>
              </w:rPr>
              <w:t>施工挂牌，质量</w:t>
            </w:r>
            <w:r>
              <w:rPr>
                <w:spacing w:val="-16"/>
              </w:rPr>
              <w:t>奖罚制度</w:t>
            </w:r>
          </w:p>
        </w:tc>
        <w:tc>
          <w:tcPr>
            <w:tcW w:w="7100" w:type="dxa"/>
            <w:tcBorders>
              <w:right w:val="single" w:color="000000" w:sz="4" w:space="0"/>
            </w:tcBorders>
            <w:vAlign w:val="top"/>
          </w:tcPr>
          <w:p w14:paraId="70B21859">
            <w:pPr>
              <w:pStyle w:val="7"/>
              <w:spacing w:before="97" w:line="216" w:lineRule="auto"/>
              <w:jc w:val="right"/>
            </w:pPr>
            <w:r>
              <w:rPr>
                <w:spacing w:val="-27"/>
              </w:rPr>
              <w:t>采取班组操作区挂牌、质量与经济挂钩的制度。为保证工</w:t>
            </w:r>
            <w:r>
              <w:rPr>
                <w:spacing w:val="-28"/>
              </w:rPr>
              <w:t>期、质量和安全，</w:t>
            </w:r>
          </w:p>
          <w:p w14:paraId="6B95B4D4">
            <w:pPr>
              <w:pStyle w:val="7"/>
              <w:spacing w:before="184" w:line="216" w:lineRule="auto"/>
              <w:ind w:left="70"/>
            </w:pPr>
            <w:r>
              <w:rPr>
                <w:spacing w:val="-21"/>
              </w:rPr>
              <w:t>对班组工人操作优秀者奖，不合格者罚，重则退</w:t>
            </w:r>
            <w:r>
              <w:rPr>
                <w:spacing w:val="-22"/>
              </w:rPr>
              <w:t>场。这一措施必将有力地</w:t>
            </w:r>
          </w:p>
          <w:p w14:paraId="428D89B3">
            <w:pPr>
              <w:pStyle w:val="7"/>
              <w:spacing w:before="186" w:line="217" w:lineRule="auto"/>
              <w:ind w:left="281"/>
            </w:pPr>
            <w:r>
              <w:rPr>
                <w:spacing w:val="-22"/>
              </w:rPr>
              <w:t>加强班组责任心，保障提高一次交验合格率，提高质量，保证工期。</w:t>
            </w:r>
          </w:p>
        </w:tc>
      </w:tr>
      <w:tr w14:paraId="66F28E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86" w:hRule="atLeast"/>
        </w:trPr>
        <w:tc>
          <w:tcPr>
            <w:tcW w:w="1999" w:type="dxa"/>
            <w:tcBorders>
              <w:left w:val="single" w:color="000000" w:sz="4" w:space="0"/>
            </w:tcBorders>
            <w:vAlign w:val="top"/>
          </w:tcPr>
          <w:p w14:paraId="49317584">
            <w:pPr>
              <w:spacing w:line="358" w:lineRule="auto"/>
              <w:rPr>
                <w:rFonts w:ascii="Arial"/>
                <w:sz w:val="21"/>
              </w:rPr>
            </w:pPr>
          </w:p>
          <w:p w14:paraId="44B60263">
            <w:pPr>
              <w:spacing w:line="359" w:lineRule="auto"/>
              <w:rPr>
                <w:rFonts w:ascii="Arial"/>
                <w:sz w:val="21"/>
              </w:rPr>
            </w:pPr>
          </w:p>
          <w:p w14:paraId="475544C9">
            <w:pPr>
              <w:pStyle w:val="7"/>
              <w:spacing w:before="78" w:line="217" w:lineRule="auto"/>
              <w:ind w:left="148"/>
            </w:pPr>
            <w:r>
              <w:rPr>
                <w:spacing w:val="-20"/>
              </w:rPr>
              <w:t>质量事故处理制度</w:t>
            </w:r>
          </w:p>
        </w:tc>
        <w:tc>
          <w:tcPr>
            <w:tcW w:w="7100" w:type="dxa"/>
            <w:tcBorders>
              <w:right w:val="single" w:color="000000" w:sz="4" w:space="0"/>
            </w:tcBorders>
            <w:vAlign w:val="top"/>
          </w:tcPr>
          <w:p w14:paraId="63CE9623">
            <w:pPr>
              <w:pStyle w:val="7"/>
              <w:spacing w:before="98" w:line="217" w:lineRule="auto"/>
              <w:ind w:left="69"/>
            </w:pPr>
            <w:r>
              <w:rPr>
                <w:spacing w:val="-21"/>
              </w:rPr>
              <w:t>项目部召集技术人员和施工班组人员共同研讨</w:t>
            </w:r>
            <w:r>
              <w:rPr>
                <w:spacing w:val="-22"/>
              </w:rPr>
              <w:t>问题发生的原因。书面通告</w:t>
            </w:r>
          </w:p>
          <w:p w14:paraId="5BFF1F84">
            <w:pPr>
              <w:pStyle w:val="7"/>
              <w:spacing w:before="184" w:line="217" w:lineRule="auto"/>
              <w:ind w:left="68"/>
            </w:pPr>
            <w:r>
              <w:rPr>
                <w:spacing w:val="-21"/>
              </w:rPr>
              <w:t>事件处理意见，对施工管理人员和班组长进行罚款和</w:t>
            </w:r>
            <w:r>
              <w:rPr>
                <w:spacing w:val="-22"/>
              </w:rPr>
              <w:t>批评召集其他班组长</w:t>
            </w:r>
          </w:p>
          <w:p w14:paraId="34B457C6">
            <w:pPr>
              <w:pStyle w:val="7"/>
              <w:spacing w:before="184" w:line="215" w:lineRule="auto"/>
              <w:ind w:left="73"/>
            </w:pPr>
            <w:r>
              <w:rPr>
                <w:spacing w:val="-22"/>
              </w:rPr>
              <w:t>召开现场会议，以本事故作为借鉴，杜绝在其余工段发生同类事故，再次</w:t>
            </w:r>
          </w:p>
          <w:p w14:paraId="700A75F3">
            <w:pPr>
              <w:pStyle w:val="7"/>
              <w:spacing w:before="188" w:line="217" w:lineRule="auto"/>
              <w:ind w:left="2687"/>
            </w:pPr>
            <w:r>
              <w:rPr>
                <w:spacing w:val="-20"/>
              </w:rPr>
              <w:t>强调要确保质量。</w:t>
            </w:r>
          </w:p>
        </w:tc>
      </w:tr>
      <w:tr w14:paraId="3CD839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52" w:hRule="atLeast"/>
        </w:trPr>
        <w:tc>
          <w:tcPr>
            <w:tcW w:w="1999" w:type="dxa"/>
            <w:tcBorders>
              <w:left w:val="single" w:color="000000" w:sz="4" w:space="0"/>
            </w:tcBorders>
            <w:vAlign w:val="top"/>
          </w:tcPr>
          <w:p w14:paraId="20D21D86">
            <w:pPr>
              <w:spacing w:line="253" w:lineRule="auto"/>
              <w:rPr>
                <w:rFonts w:ascii="Arial"/>
                <w:sz w:val="21"/>
              </w:rPr>
            </w:pPr>
          </w:p>
          <w:p w14:paraId="09D2EAA9">
            <w:pPr>
              <w:pStyle w:val="7"/>
              <w:spacing w:before="78" w:line="217" w:lineRule="auto"/>
              <w:ind w:left="366"/>
            </w:pPr>
            <w:r>
              <w:rPr>
                <w:spacing w:val="-19"/>
              </w:rPr>
              <w:t>质量例会制度</w:t>
            </w:r>
          </w:p>
        </w:tc>
        <w:tc>
          <w:tcPr>
            <w:tcW w:w="7100" w:type="dxa"/>
            <w:tcBorders>
              <w:right w:val="single" w:color="000000" w:sz="4" w:space="0"/>
            </w:tcBorders>
            <w:vAlign w:val="top"/>
          </w:tcPr>
          <w:p w14:paraId="7133CAC9">
            <w:pPr>
              <w:pStyle w:val="7"/>
              <w:spacing w:before="100" w:line="358" w:lineRule="auto"/>
              <w:ind w:left="718" w:right="92" w:hanging="650"/>
            </w:pPr>
            <w:r>
              <w:rPr>
                <w:spacing w:val="-23"/>
              </w:rPr>
              <w:t>按照项目质量编制质量计划并实施之，每月15日和30日召</w:t>
            </w:r>
            <w:r>
              <w:rPr>
                <w:spacing w:val="-24"/>
              </w:rPr>
              <w:t>开质量例会，</w:t>
            </w:r>
            <w:r>
              <w:rPr>
                <w:spacing w:val="-21"/>
              </w:rPr>
              <w:t>研究项目质量目标执行情况与计划的差距，并及时予以调整</w:t>
            </w:r>
          </w:p>
        </w:tc>
      </w:tr>
      <w:tr w14:paraId="4679D0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51" w:hRule="atLeast"/>
        </w:trPr>
        <w:tc>
          <w:tcPr>
            <w:tcW w:w="1999" w:type="dxa"/>
            <w:tcBorders>
              <w:left w:val="single" w:color="000000" w:sz="4" w:space="0"/>
            </w:tcBorders>
            <w:vAlign w:val="top"/>
          </w:tcPr>
          <w:p w14:paraId="261DCC15">
            <w:pPr>
              <w:spacing w:line="316" w:lineRule="auto"/>
              <w:rPr>
                <w:rFonts w:ascii="Arial"/>
                <w:sz w:val="21"/>
              </w:rPr>
            </w:pPr>
          </w:p>
          <w:p w14:paraId="169B233E">
            <w:pPr>
              <w:spacing w:line="317" w:lineRule="auto"/>
              <w:rPr>
                <w:rFonts w:ascii="Arial"/>
                <w:sz w:val="21"/>
              </w:rPr>
            </w:pPr>
          </w:p>
          <w:p w14:paraId="5D16B4B7">
            <w:pPr>
              <w:spacing w:line="317" w:lineRule="auto"/>
              <w:rPr>
                <w:rFonts w:ascii="Arial"/>
                <w:sz w:val="21"/>
              </w:rPr>
            </w:pPr>
          </w:p>
          <w:p w14:paraId="5666842F">
            <w:pPr>
              <w:pStyle w:val="7"/>
              <w:spacing w:before="78" w:line="217" w:lineRule="auto"/>
              <w:ind w:left="364"/>
            </w:pPr>
            <w:r>
              <w:rPr>
                <w:spacing w:val="-19"/>
              </w:rPr>
              <w:t>成品保护制度</w:t>
            </w:r>
          </w:p>
        </w:tc>
        <w:tc>
          <w:tcPr>
            <w:tcW w:w="7100" w:type="dxa"/>
            <w:tcBorders>
              <w:right w:val="single" w:color="000000" w:sz="4" w:space="0"/>
            </w:tcBorders>
            <w:vAlign w:val="top"/>
          </w:tcPr>
          <w:p w14:paraId="493B1612">
            <w:pPr>
              <w:pStyle w:val="7"/>
              <w:spacing w:before="100" w:line="217" w:lineRule="auto"/>
              <w:ind w:left="76"/>
            </w:pPr>
            <w:r>
              <w:rPr>
                <w:spacing w:val="-22"/>
              </w:rPr>
              <w:t>重视成品和半成品保护，项目管理人员应合理安排施工工序，减少工序的</w:t>
            </w:r>
          </w:p>
          <w:p w14:paraId="5F75D74E">
            <w:pPr>
              <w:pStyle w:val="7"/>
              <w:spacing w:before="183" w:line="216" w:lineRule="auto"/>
              <w:ind w:left="74"/>
            </w:pPr>
            <w:r>
              <w:rPr>
                <w:spacing w:val="-22"/>
              </w:rPr>
              <w:t>交叉作业。上下工序之间应做好交接工作，并做好记录。如下道工序的施</w:t>
            </w:r>
          </w:p>
          <w:p w14:paraId="2FD288D2">
            <w:pPr>
              <w:pStyle w:val="7"/>
              <w:spacing w:before="187" w:line="216" w:lineRule="auto"/>
              <w:ind w:left="74"/>
            </w:pPr>
            <w:r>
              <w:rPr>
                <w:spacing w:val="-22"/>
              </w:rPr>
              <w:t>工可能对上工序的成品造成影响时，应征得上道工序操作人员及管理人员</w:t>
            </w:r>
          </w:p>
          <w:p w14:paraId="6418FDA8">
            <w:pPr>
              <w:pStyle w:val="7"/>
              <w:spacing w:before="184" w:line="216" w:lineRule="auto"/>
              <w:ind w:left="82"/>
            </w:pPr>
            <w:r>
              <w:rPr>
                <w:spacing w:val="-22"/>
              </w:rPr>
              <w:t>的同意，并避免破坏和污染，否则，造成的损失由下道工序操作及管理人</w:t>
            </w:r>
          </w:p>
          <w:p w14:paraId="6A5B3533">
            <w:pPr>
              <w:pStyle w:val="7"/>
              <w:spacing w:before="187" w:line="220" w:lineRule="auto"/>
              <w:ind w:left="3136"/>
            </w:pPr>
            <w:r>
              <w:rPr>
                <w:spacing w:val="-20"/>
              </w:rPr>
              <w:t>员负责。</w:t>
            </w:r>
          </w:p>
        </w:tc>
      </w:tr>
      <w:tr w14:paraId="6EFC3A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1" w:hRule="atLeast"/>
        </w:trPr>
        <w:tc>
          <w:tcPr>
            <w:tcW w:w="1999" w:type="dxa"/>
            <w:tcBorders>
              <w:left w:val="single" w:color="1C456A" w:sz="4" w:space="0"/>
              <w:bottom w:val="single" w:color="1C456A" w:sz="4" w:space="0"/>
            </w:tcBorders>
            <w:vAlign w:val="top"/>
          </w:tcPr>
          <w:p w14:paraId="71883EB2">
            <w:pPr>
              <w:pStyle w:val="7"/>
              <w:spacing w:before="103" w:line="218" w:lineRule="auto"/>
              <w:ind w:left="366"/>
            </w:pPr>
            <w:r>
              <w:pict>
                <v:shape id="_x0000_s3555" o:spid="_x0000_s3555" style="position:absolute;left:0pt;margin-left:-0.2pt;margin-top:54.55pt;height:0.75pt;width:2.2pt;mso-position-horizontal-relative:page;mso-position-vertical-relative:page;z-index:252132352;mso-width-relative:page;mso-height-relative:page;" fillcolor="#5B9BD5" filled="t" stroked="f" coordsize="44,15" path="m0,14l43,14,43,0,0,0,0,14xe">
                  <v:path/>
                  <v:fill on="t" focussize="0,0"/>
                  <v:stroke on="f"/>
                  <v:imagedata o:title=""/>
                  <o:lock v:ext="edit"/>
                </v:shape>
              </w:pict>
            </w:r>
            <w:r>
              <w:rPr>
                <w:spacing w:val="-19"/>
              </w:rPr>
              <w:t>质量文件记录</w:t>
            </w:r>
          </w:p>
          <w:p w14:paraId="3746B9D2">
            <w:pPr>
              <w:pStyle w:val="7"/>
              <w:spacing w:before="182" w:line="217" w:lineRule="auto"/>
              <w:ind w:left="798"/>
            </w:pPr>
            <w:r>
              <w:rPr>
                <w:spacing w:val="-10"/>
              </w:rPr>
              <w:t>制度</w:t>
            </w:r>
          </w:p>
        </w:tc>
        <w:tc>
          <w:tcPr>
            <w:tcW w:w="7100" w:type="dxa"/>
            <w:tcBorders>
              <w:bottom w:val="single" w:color="5B9BD5" w:sz="4" w:space="0"/>
              <w:right w:val="single" w:color="5B9BD5" w:sz="4" w:space="0"/>
            </w:tcBorders>
            <w:vAlign w:val="top"/>
          </w:tcPr>
          <w:p w14:paraId="30534258">
            <w:pPr>
              <w:pStyle w:val="7"/>
              <w:spacing w:before="103" w:line="216" w:lineRule="auto"/>
              <w:ind w:left="74"/>
            </w:pPr>
            <w:r>
              <w:pict>
                <v:shape id="_x0000_s3556" o:spid="_x0000_s3556" style="position:absolute;left:0pt;margin-left:353.15pt;margin-top:54.55pt;height:0.75pt;width:2.2pt;mso-position-horizontal-relative:page;mso-position-vertical-relative:page;z-index:252133376;mso-width-relative:page;mso-height-relative:page;" fillcolor="#5B9BD5" filled="t" stroked="f" coordsize="44,15" path="m0,14l43,14,43,0,0,0,0,14xe">
                  <v:path/>
                  <v:fill on="t" focussize="0,0"/>
                  <v:stroke on="f"/>
                  <v:imagedata o:title=""/>
                  <o:lock v:ext="edit"/>
                </v:shape>
              </w:pict>
            </w:r>
            <w:r>
              <w:rPr>
                <w:spacing w:val="-22"/>
              </w:rPr>
              <w:t>质量记录是质量责任追溯的依据，应力求真实和详尽。各类现场操作记录</w:t>
            </w:r>
          </w:p>
          <w:p w14:paraId="0FF91D93">
            <w:pPr>
              <w:pStyle w:val="7"/>
              <w:spacing w:before="184" w:line="216" w:lineRule="auto"/>
              <w:ind w:left="1267"/>
            </w:pPr>
            <w:r>
              <w:rPr>
                <w:spacing w:val="-21"/>
              </w:rPr>
              <w:t>及材料试验记录、质量检验记录等要妥善保管。</w:t>
            </w:r>
          </w:p>
        </w:tc>
      </w:tr>
    </w:tbl>
    <w:p w14:paraId="51A68687">
      <w:pPr>
        <w:rPr>
          <w:rFonts w:ascii="Arial"/>
          <w:sz w:val="21"/>
        </w:rPr>
      </w:pPr>
    </w:p>
    <w:p w14:paraId="33A88B3E">
      <w:pPr>
        <w:rPr>
          <w:rFonts w:ascii="Arial" w:hAnsi="Arial" w:eastAsia="Arial" w:cs="Arial"/>
          <w:sz w:val="21"/>
          <w:szCs w:val="21"/>
        </w:rPr>
        <w:sectPr>
          <w:footerReference r:id="rId207" w:type="default"/>
          <w:pgSz w:w="11907" w:h="16839"/>
          <w:pgMar w:top="954" w:right="4" w:bottom="1038" w:left="0" w:header="499" w:footer="357" w:gutter="0"/>
          <w:pgBorders>
            <w:top w:val="none" w:sz="0" w:space="0"/>
            <w:left w:val="none" w:sz="0" w:space="0"/>
            <w:bottom w:val="none" w:sz="0" w:space="0"/>
            <w:right w:val="none" w:sz="0" w:space="0"/>
          </w:pgBorders>
          <w:cols w:space="720" w:num="1"/>
        </w:sectPr>
      </w:pPr>
    </w:p>
    <w:p w14:paraId="40BB95E3">
      <w:pPr>
        <w:spacing w:line="214" w:lineRule="exact"/>
      </w:pPr>
    </w:p>
    <w:tbl>
      <w:tblPr>
        <w:tblStyle w:val="6"/>
        <w:tblW w:w="9099" w:type="dxa"/>
        <w:tblInd w:w="1404" w:type="dxa"/>
        <w:tblBorders>
          <w:top w:val="single" w:color="1C456A" w:sz="4" w:space="0"/>
          <w:left w:val="single" w:color="1C456A" w:sz="4" w:space="0"/>
          <w:bottom w:val="single" w:color="1C456A" w:sz="4" w:space="0"/>
          <w:right w:val="single" w:color="1C456A" w:sz="4" w:space="0"/>
          <w:insideH w:val="single" w:color="1C456A" w:sz="4" w:space="0"/>
          <w:insideV w:val="single" w:color="1C456A" w:sz="4" w:space="0"/>
        </w:tblBorders>
        <w:tblLayout w:type="fixed"/>
        <w:tblCellMar>
          <w:top w:w="0" w:type="dxa"/>
          <w:left w:w="0" w:type="dxa"/>
          <w:bottom w:w="0" w:type="dxa"/>
          <w:right w:w="0" w:type="dxa"/>
        </w:tblCellMar>
      </w:tblPr>
      <w:tblGrid>
        <w:gridCol w:w="1999"/>
        <w:gridCol w:w="7100"/>
      </w:tblGrid>
      <w:tr w14:paraId="315F8CE6">
        <w:tblPrEx>
          <w:tblBorders>
            <w:top w:val="single" w:color="1C456A" w:sz="4" w:space="0"/>
            <w:left w:val="single" w:color="1C456A" w:sz="4" w:space="0"/>
            <w:bottom w:val="single" w:color="1C456A" w:sz="4" w:space="0"/>
            <w:right w:val="single" w:color="1C456A" w:sz="4" w:space="0"/>
            <w:insideH w:val="single" w:color="1C456A" w:sz="4" w:space="0"/>
            <w:insideV w:val="single" w:color="1C456A" w:sz="4" w:space="0"/>
          </w:tblBorders>
          <w:tblCellMar>
            <w:top w:w="0" w:type="dxa"/>
            <w:left w:w="0" w:type="dxa"/>
            <w:bottom w:w="0" w:type="dxa"/>
            <w:right w:w="0" w:type="dxa"/>
          </w:tblCellMar>
        </w:tblPrEx>
        <w:trPr>
          <w:trHeight w:val="1585" w:hRule="atLeast"/>
        </w:trPr>
        <w:tc>
          <w:tcPr>
            <w:tcW w:w="1999" w:type="dxa"/>
            <w:tcBorders>
              <w:right w:val="single" w:color="000000" w:sz="2" w:space="0"/>
            </w:tcBorders>
            <w:vAlign w:val="top"/>
          </w:tcPr>
          <w:p w14:paraId="53AA9CD1">
            <w:pPr>
              <w:spacing w:line="257" w:lineRule="auto"/>
              <w:rPr>
                <w:rFonts w:ascii="Arial"/>
                <w:sz w:val="21"/>
              </w:rPr>
            </w:pPr>
          </w:p>
          <w:p w14:paraId="7B20D70D">
            <w:pPr>
              <w:spacing w:line="257" w:lineRule="auto"/>
              <w:rPr>
                <w:rFonts w:ascii="Arial"/>
                <w:sz w:val="21"/>
              </w:rPr>
            </w:pPr>
          </w:p>
          <w:p w14:paraId="714BFA3E">
            <w:pPr>
              <w:pStyle w:val="7"/>
              <w:spacing w:before="78" w:line="217" w:lineRule="auto"/>
              <w:ind w:left="361"/>
            </w:pPr>
            <w:r>
              <w:rPr>
                <w:spacing w:val="-18"/>
              </w:rPr>
              <w:t>培训上岗制度</w:t>
            </w:r>
          </w:p>
        </w:tc>
        <w:tc>
          <w:tcPr>
            <w:tcW w:w="7100" w:type="dxa"/>
            <w:tcBorders>
              <w:top w:val="single" w:color="5B9BD5" w:sz="4" w:space="0"/>
              <w:left w:val="single" w:color="000000" w:sz="2" w:space="0"/>
              <w:bottom w:val="single" w:color="5B9BD5" w:sz="4" w:space="0"/>
              <w:right w:val="single" w:color="5B9BD5" w:sz="4" w:space="0"/>
            </w:tcBorders>
            <w:vAlign w:val="top"/>
          </w:tcPr>
          <w:p w14:paraId="1EFF7B07">
            <w:pPr>
              <w:pStyle w:val="7"/>
              <w:spacing w:before="129" w:line="216" w:lineRule="auto"/>
              <w:ind w:left="67"/>
            </w:pPr>
            <w:r>
              <w:rPr>
                <w:spacing w:val="-21"/>
              </w:rPr>
              <w:t>施工单位管理及操作人员应经过业务知识技能培训</w:t>
            </w:r>
            <w:r>
              <w:rPr>
                <w:spacing w:val="-22"/>
              </w:rPr>
              <w:t>，并持证上岗。因无证</w:t>
            </w:r>
          </w:p>
          <w:p w14:paraId="75F5CB2C">
            <w:pPr>
              <w:pStyle w:val="7"/>
              <w:spacing w:before="185" w:line="216" w:lineRule="auto"/>
              <w:ind w:left="68"/>
            </w:pPr>
            <w:r>
              <w:rPr>
                <w:spacing w:val="-21"/>
              </w:rPr>
              <w:t>操作造成质量不合格或出现质量事故的，除要追究</w:t>
            </w:r>
            <w:r>
              <w:rPr>
                <w:spacing w:val="-22"/>
              </w:rPr>
              <w:t>直接责任外，还要追究</w:t>
            </w:r>
          </w:p>
          <w:p w14:paraId="43E80F67">
            <w:pPr>
              <w:pStyle w:val="7"/>
              <w:spacing w:before="187" w:line="219" w:lineRule="auto"/>
              <w:ind w:left="2465"/>
            </w:pPr>
            <w:r>
              <w:rPr>
                <w:spacing w:val="-20"/>
              </w:rPr>
              <w:t>企业主管领导的责任。</w:t>
            </w:r>
          </w:p>
        </w:tc>
      </w:tr>
    </w:tbl>
    <w:p w14:paraId="3815CBDA">
      <w:pPr>
        <w:pStyle w:val="2"/>
        <w:spacing w:before="81" w:line="216" w:lineRule="auto"/>
        <w:ind w:left="1986"/>
        <w:outlineLvl w:val="2"/>
        <w:rPr>
          <w:sz w:val="28"/>
          <w:szCs w:val="28"/>
        </w:rPr>
      </w:pPr>
      <w:bookmarkStart w:id="144" w:name="bookmark137"/>
      <w:bookmarkEnd w:id="144"/>
      <w:r>
        <w:rPr>
          <w:b/>
          <w:bCs/>
          <w:spacing w:val="-22"/>
          <w:sz w:val="28"/>
          <w:szCs w:val="28"/>
        </w:rPr>
        <w:t>二、质量检查制度</w:t>
      </w:r>
    </w:p>
    <w:p w14:paraId="5DC3BFBF">
      <w:pPr>
        <w:pStyle w:val="2"/>
        <w:spacing w:before="105" w:line="216" w:lineRule="auto"/>
        <w:ind w:left="1903"/>
        <w:rPr>
          <w:sz w:val="24"/>
          <w:szCs w:val="24"/>
        </w:rPr>
      </w:pPr>
      <w:r>
        <w:rPr>
          <w:spacing w:val="-20"/>
          <w:sz w:val="24"/>
          <w:szCs w:val="24"/>
        </w:rPr>
        <w:t>1、现场质量检查制度</w:t>
      </w:r>
    </w:p>
    <w:p w14:paraId="28A8D86C">
      <w:pPr>
        <w:pStyle w:val="2"/>
        <w:spacing w:before="119" w:line="216" w:lineRule="auto"/>
        <w:ind w:left="1894"/>
        <w:rPr>
          <w:sz w:val="24"/>
          <w:szCs w:val="24"/>
        </w:rPr>
      </w:pPr>
      <w:r>
        <w:rPr>
          <w:spacing w:val="-22"/>
          <w:sz w:val="24"/>
          <w:szCs w:val="24"/>
        </w:rPr>
        <w:t>场前检查：目的是检查是否具备开工条件，开工后能否连续正常施工，能否保证工程质量。</w:t>
      </w:r>
    </w:p>
    <w:p w14:paraId="00ADB1DA">
      <w:pPr>
        <w:pStyle w:val="2"/>
        <w:spacing w:before="119" w:line="307" w:lineRule="auto"/>
        <w:ind w:left="1461" w:right="1409" w:firstLine="437"/>
        <w:rPr>
          <w:sz w:val="24"/>
          <w:szCs w:val="24"/>
        </w:rPr>
      </w:pPr>
      <w:r>
        <w:rPr>
          <w:spacing w:val="-20"/>
          <w:sz w:val="24"/>
          <w:szCs w:val="24"/>
        </w:rPr>
        <w:t>交接检查：对于重要的工序或对工程质量有重大影响的工序，在自检、互检的基础上，还</w:t>
      </w:r>
      <w:r>
        <w:rPr>
          <w:spacing w:val="-21"/>
          <w:sz w:val="24"/>
          <w:szCs w:val="24"/>
        </w:rPr>
        <w:t>要组织专职人员进行工序交接检查。</w:t>
      </w:r>
    </w:p>
    <w:p w14:paraId="3623DC62">
      <w:pPr>
        <w:pStyle w:val="2"/>
        <w:spacing w:before="1" w:line="216" w:lineRule="auto"/>
        <w:ind w:left="1898"/>
        <w:rPr>
          <w:sz w:val="24"/>
          <w:szCs w:val="24"/>
        </w:rPr>
      </w:pPr>
      <w:r>
        <w:rPr>
          <w:spacing w:val="-21"/>
          <w:sz w:val="24"/>
          <w:szCs w:val="24"/>
        </w:rPr>
        <w:t>工程检查：凡是隐蔽工程均应检查认证后方能</w:t>
      </w:r>
      <w:r>
        <w:rPr>
          <w:spacing w:val="-22"/>
          <w:sz w:val="24"/>
          <w:szCs w:val="24"/>
        </w:rPr>
        <w:t>掩盖。</w:t>
      </w:r>
    </w:p>
    <w:p w14:paraId="6353237D">
      <w:pPr>
        <w:pStyle w:val="2"/>
        <w:spacing w:before="121" w:line="216" w:lineRule="auto"/>
        <w:ind w:left="1904"/>
        <w:rPr>
          <w:sz w:val="24"/>
          <w:szCs w:val="24"/>
        </w:rPr>
      </w:pPr>
      <w:r>
        <w:rPr>
          <w:spacing w:val="-22"/>
          <w:sz w:val="24"/>
          <w:szCs w:val="24"/>
        </w:rPr>
        <w:t>复工前的检查：因处理质量问题或某种原因停工后复工时，亦应经检查认可后方能复工。</w:t>
      </w:r>
    </w:p>
    <w:p w14:paraId="4035BA06">
      <w:pPr>
        <w:pStyle w:val="2"/>
        <w:spacing w:before="118" w:line="216" w:lineRule="auto"/>
        <w:ind w:left="1894"/>
        <w:rPr>
          <w:sz w:val="24"/>
          <w:szCs w:val="24"/>
        </w:rPr>
      </w:pPr>
      <w:r>
        <w:rPr>
          <w:spacing w:val="-21"/>
          <w:sz w:val="24"/>
          <w:szCs w:val="24"/>
        </w:rPr>
        <w:t>保护检查：检查成品有无保护措施，或保护措施是否可靠。</w:t>
      </w:r>
    </w:p>
    <w:p w14:paraId="304B25D2">
      <w:pPr>
        <w:pStyle w:val="2"/>
        <w:spacing w:before="121" w:line="307" w:lineRule="auto"/>
        <w:ind w:left="1458" w:right="1409" w:firstLine="436"/>
        <w:rPr>
          <w:sz w:val="24"/>
          <w:szCs w:val="24"/>
        </w:rPr>
      </w:pPr>
      <w:r>
        <w:rPr>
          <w:spacing w:val="-20"/>
          <w:sz w:val="24"/>
          <w:szCs w:val="24"/>
        </w:rPr>
        <w:t>此外还应该经常深入现场，对施工操作质量进行巡视检查；必要时，还应进行跟班或追踪</w:t>
      </w:r>
      <w:r>
        <w:rPr>
          <w:spacing w:val="-21"/>
          <w:sz w:val="24"/>
          <w:szCs w:val="24"/>
        </w:rPr>
        <w:t>检查。</w:t>
      </w:r>
    </w:p>
    <w:p w14:paraId="71150C76">
      <w:pPr>
        <w:pStyle w:val="2"/>
        <w:spacing w:before="1" w:line="215" w:lineRule="auto"/>
        <w:ind w:left="1888"/>
        <w:rPr>
          <w:sz w:val="24"/>
          <w:szCs w:val="24"/>
        </w:rPr>
      </w:pPr>
      <w:r>
        <w:rPr>
          <w:spacing w:val="-18"/>
          <w:sz w:val="24"/>
          <w:szCs w:val="24"/>
        </w:rPr>
        <w:t>2、质量检查的方法</w:t>
      </w:r>
    </w:p>
    <w:p w14:paraId="224F2034">
      <w:pPr>
        <w:pStyle w:val="2"/>
        <w:spacing w:before="120" w:line="216" w:lineRule="auto"/>
        <w:ind w:left="1892"/>
        <w:rPr>
          <w:sz w:val="24"/>
          <w:szCs w:val="24"/>
        </w:rPr>
      </w:pPr>
      <w:r>
        <w:rPr>
          <w:spacing w:val="-21"/>
          <w:sz w:val="24"/>
          <w:szCs w:val="24"/>
        </w:rPr>
        <w:t>现场进行质量检查的方法有目测法、实测法和试验法三种。</w:t>
      </w:r>
    </w:p>
    <w:p w14:paraId="4DA21166">
      <w:pPr>
        <w:pStyle w:val="2"/>
        <w:spacing w:before="120" w:line="219" w:lineRule="auto"/>
        <w:ind w:left="1935"/>
        <w:rPr>
          <w:sz w:val="24"/>
          <w:szCs w:val="24"/>
        </w:rPr>
      </w:pPr>
      <w:r>
        <w:rPr>
          <w:spacing w:val="-26"/>
          <w:sz w:val="24"/>
          <w:szCs w:val="24"/>
        </w:rPr>
        <w:t>目测法：</w:t>
      </w:r>
    </w:p>
    <w:p w14:paraId="001AC001">
      <w:pPr>
        <w:pStyle w:val="2"/>
        <w:spacing w:before="113" w:line="219" w:lineRule="auto"/>
        <w:ind w:left="1895"/>
        <w:rPr>
          <w:sz w:val="24"/>
          <w:szCs w:val="24"/>
        </w:rPr>
      </w:pPr>
      <w:r>
        <w:rPr>
          <w:spacing w:val="-21"/>
          <w:sz w:val="24"/>
          <w:szCs w:val="24"/>
        </w:rPr>
        <w:t>其手段可归纳为看、摸、敲、照四个字。</w:t>
      </w:r>
    </w:p>
    <w:p w14:paraId="43E799C2">
      <w:pPr>
        <w:pStyle w:val="2"/>
        <w:spacing w:before="117" w:line="218" w:lineRule="auto"/>
        <w:ind w:left="1897"/>
        <w:rPr>
          <w:sz w:val="24"/>
          <w:szCs w:val="24"/>
        </w:rPr>
      </w:pPr>
      <w:r>
        <w:rPr>
          <w:spacing w:val="-16"/>
          <w:sz w:val="24"/>
          <w:szCs w:val="24"/>
        </w:rPr>
        <w:t>实测法：</w:t>
      </w:r>
    </w:p>
    <w:p w14:paraId="49C4AD1A">
      <w:pPr>
        <w:pStyle w:val="2"/>
        <w:spacing w:before="119" w:line="307" w:lineRule="auto"/>
        <w:ind w:left="1897" w:right="1532" w:hanging="4"/>
        <w:rPr>
          <w:sz w:val="24"/>
          <w:szCs w:val="24"/>
        </w:rPr>
      </w:pPr>
      <w:r>
        <w:rPr>
          <w:spacing w:val="-23"/>
          <w:sz w:val="24"/>
          <w:szCs w:val="24"/>
        </w:rPr>
        <w:t>就是通过实测数据与施工规范及质量标准所规定的允许偏差对照，来判断质量是否合格。</w:t>
      </w:r>
      <w:r>
        <w:rPr>
          <w:spacing w:val="-21"/>
          <w:sz w:val="24"/>
          <w:szCs w:val="24"/>
        </w:rPr>
        <w:t>实测法的手段，也可归纳为靠、吊、量、套四个</w:t>
      </w:r>
      <w:r>
        <w:rPr>
          <w:spacing w:val="-22"/>
          <w:sz w:val="24"/>
          <w:szCs w:val="24"/>
        </w:rPr>
        <w:t>字。</w:t>
      </w:r>
    </w:p>
    <w:p w14:paraId="6775F380">
      <w:pPr>
        <w:pStyle w:val="2"/>
        <w:spacing w:before="1" w:line="221" w:lineRule="auto"/>
        <w:ind w:left="1890"/>
        <w:rPr>
          <w:sz w:val="24"/>
          <w:szCs w:val="24"/>
        </w:rPr>
      </w:pPr>
      <w:r>
        <w:rPr>
          <w:spacing w:val="-15"/>
          <w:sz w:val="24"/>
          <w:szCs w:val="24"/>
        </w:rPr>
        <w:t>试验法：</w:t>
      </w:r>
    </w:p>
    <w:p w14:paraId="54A493E8">
      <w:pPr>
        <w:pStyle w:val="2"/>
        <w:spacing w:before="113" w:line="307" w:lineRule="auto"/>
        <w:ind w:left="1456" w:right="1409" w:firstLine="436"/>
        <w:rPr>
          <w:sz w:val="24"/>
          <w:szCs w:val="24"/>
        </w:rPr>
      </w:pPr>
      <w:r>
        <w:rPr>
          <w:spacing w:val="-20"/>
          <w:sz w:val="24"/>
          <w:szCs w:val="24"/>
        </w:rPr>
        <w:t>指通过试验手段，才能对质量进行判断的检查方法。如对钢筋对焊头进行接力试验，检验</w:t>
      </w:r>
      <w:r>
        <w:rPr>
          <w:spacing w:val="-19"/>
          <w:sz w:val="24"/>
          <w:szCs w:val="24"/>
        </w:rPr>
        <w:t>焊接的质量等。</w:t>
      </w:r>
    </w:p>
    <w:p w14:paraId="16FCCDC0">
      <w:pPr>
        <w:pStyle w:val="2"/>
        <w:spacing w:before="1" w:line="215" w:lineRule="auto"/>
        <w:ind w:left="1890"/>
        <w:rPr>
          <w:sz w:val="24"/>
          <w:szCs w:val="24"/>
        </w:rPr>
      </w:pPr>
      <w:r>
        <w:rPr>
          <w:spacing w:val="-18"/>
          <w:sz w:val="24"/>
          <w:szCs w:val="24"/>
        </w:rPr>
        <w:t>3、工地检查与巡视</w:t>
      </w:r>
    </w:p>
    <w:p w14:paraId="46023F25">
      <w:pPr>
        <w:pStyle w:val="2"/>
        <w:spacing w:before="119" w:line="308" w:lineRule="auto"/>
        <w:ind w:left="1457" w:right="1410" w:firstLine="435"/>
        <w:rPr>
          <w:sz w:val="24"/>
          <w:szCs w:val="24"/>
        </w:rPr>
      </w:pPr>
      <w:r>
        <w:rPr>
          <w:spacing w:val="-20"/>
          <w:sz w:val="24"/>
          <w:szCs w:val="24"/>
        </w:rPr>
        <w:t>施工员或质检员的现场目测检查是一种主要方法，其涉及范围可以很广，能在一天内发现许多警告信号或低劣的征兆。虽然有些目测检查结果不能作为质量的正式判定依据，但对这些</w:t>
      </w:r>
      <w:r>
        <w:rPr>
          <w:spacing w:val="-21"/>
          <w:sz w:val="24"/>
          <w:szCs w:val="24"/>
        </w:rPr>
        <w:t>部位进行进一步的检验，及早解决工程的质量问题，对施</w:t>
      </w:r>
      <w:r>
        <w:rPr>
          <w:spacing w:val="-22"/>
          <w:sz w:val="24"/>
          <w:szCs w:val="24"/>
        </w:rPr>
        <w:t>工是非常有利的。</w:t>
      </w:r>
    </w:p>
    <w:p w14:paraId="56EEBD34">
      <w:pPr>
        <w:pStyle w:val="2"/>
        <w:spacing w:before="3" w:line="307" w:lineRule="auto"/>
        <w:ind w:left="1456" w:right="1409" w:firstLine="436"/>
        <w:jc w:val="both"/>
        <w:rPr>
          <w:sz w:val="24"/>
          <w:szCs w:val="24"/>
        </w:rPr>
      </w:pPr>
      <w:r>
        <w:rPr>
          <w:spacing w:val="-20"/>
          <w:sz w:val="24"/>
          <w:szCs w:val="24"/>
        </w:rPr>
        <w:t>经验丰富的质检员与施工员，在察觉缺陷与低劣操作工艺的警告信号方面往往具有敏锐的鉴别能力。但应培养出观察、记录并报告所见到的操作工艺的习惯和洞察力。根据颜色、表面状况、简单卷尺的测量、步距测量、脚后跟检查压实程序等等简单的方法，留意工程存在的问</w:t>
      </w:r>
      <w:r>
        <w:rPr>
          <w:spacing w:val="-18"/>
          <w:sz w:val="24"/>
          <w:szCs w:val="24"/>
        </w:rPr>
        <w:t>题。</w:t>
      </w:r>
    </w:p>
    <w:p w14:paraId="666E350A">
      <w:pPr>
        <w:pStyle w:val="2"/>
        <w:spacing w:before="2" w:line="307" w:lineRule="auto"/>
        <w:ind w:left="1470" w:right="1414" w:firstLine="424"/>
        <w:rPr>
          <w:sz w:val="24"/>
          <w:szCs w:val="24"/>
        </w:rPr>
      </w:pPr>
      <w:r>
        <w:rPr>
          <w:spacing w:val="-20"/>
          <w:sz w:val="24"/>
          <w:szCs w:val="24"/>
        </w:rPr>
        <w:t>在施工过程中，质量管理员应有计划地巡视工地某部分，应当每天对全部工程巡视一次。当发现某些点的质量明显太差时，最好先说服操作者改善后再做全面检查，一般挑选</w:t>
      </w:r>
      <w:r>
        <w:rPr>
          <w:spacing w:val="-21"/>
          <w:sz w:val="24"/>
          <w:szCs w:val="24"/>
        </w:rPr>
        <w:t>质量较差的点进行取样检查。</w:t>
      </w:r>
    </w:p>
    <w:p w14:paraId="5FBF80DB">
      <w:pPr>
        <w:pStyle w:val="2"/>
        <w:spacing w:before="1" w:line="215" w:lineRule="auto"/>
        <w:ind w:left="1895"/>
        <w:rPr>
          <w:sz w:val="24"/>
          <w:szCs w:val="24"/>
        </w:rPr>
      </w:pPr>
      <w:r>
        <w:rPr>
          <w:spacing w:val="-19"/>
          <w:sz w:val="24"/>
          <w:szCs w:val="24"/>
        </w:rPr>
        <w:t>在巡视检查时，不能干涉班组的作业，而应在职权范围内劝告、引导、建议改善</w:t>
      </w:r>
      <w:r>
        <w:rPr>
          <w:spacing w:val="-20"/>
          <w:sz w:val="24"/>
          <w:szCs w:val="24"/>
        </w:rPr>
        <w:t>工作。技</w:t>
      </w:r>
    </w:p>
    <w:p w14:paraId="24ABFC41">
      <w:pPr>
        <w:spacing w:line="215" w:lineRule="auto"/>
        <w:rPr>
          <w:sz w:val="24"/>
          <w:szCs w:val="24"/>
        </w:rPr>
        <w:sectPr>
          <w:footerReference r:id="rId208" w:type="default"/>
          <w:pgSz w:w="11907" w:h="16839"/>
          <w:pgMar w:top="954" w:right="4" w:bottom="1038" w:left="0" w:header="499" w:footer="357" w:gutter="0"/>
          <w:pgBorders>
            <w:top w:val="none" w:sz="0" w:space="0"/>
            <w:left w:val="none" w:sz="0" w:space="0"/>
            <w:bottom w:val="none" w:sz="0" w:space="0"/>
            <w:right w:val="none" w:sz="0" w:space="0"/>
          </w:pgBorders>
          <w:cols w:space="720" w:num="1"/>
        </w:sectPr>
      </w:pPr>
    </w:p>
    <w:p w14:paraId="36FEA075">
      <w:pPr>
        <w:spacing w:line="250" w:lineRule="auto"/>
        <w:rPr>
          <w:rFonts w:ascii="Arial"/>
          <w:sz w:val="21"/>
        </w:rPr>
      </w:pPr>
    </w:p>
    <w:p w14:paraId="2009F1AF">
      <w:pPr>
        <w:pStyle w:val="2"/>
        <w:spacing w:before="78" w:line="216" w:lineRule="auto"/>
        <w:ind w:left="1457"/>
        <w:rPr>
          <w:sz w:val="24"/>
          <w:szCs w:val="24"/>
        </w:rPr>
      </w:pPr>
      <w:r>
        <w:rPr>
          <w:spacing w:val="-21"/>
          <w:sz w:val="24"/>
          <w:szCs w:val="24"/>
        </w:rPr>
        <w:t>术负责人或质检员应作好检查和巡视的记录和个人日记。</w:t>
      </w:r>
    </w:p>
    <w:p w14:paraId="310C2C17">
      <w:pPr>
        <w:pStyle w:val="2"/>
        <w:spacing w:before="120" w:line="219" w:lineRule="auto"/>
        <w:ind w:left="1884"/>
        <w:rPr>
          <w:sz w:val="24"/>
          <w:szCs w:val="24"/>
        </w:rPr>
      </w:pPr>
      <w:r>
        <w:rPr>
          <w:spacing w:val="-15"/>
          <w:sz w:val="24"/>
          <w:szCs w:val="24"/>
        </w:rPr>
        <w:t>4、旁站监督</w:t>
      </w:r>
    </w:p>
    <w:p w14:paraId="5A2AC951">
      <w:pPr>
        <w:pStyle w:val="2"/>
        <w:spacing w:before="114" w:line="308" w:lineRule="auto"/>
        <w:ind w:left="1455" w:right="1410" w:firstLine="443"/>
        <w:rPr>
          <w:sz w:val="24"/>
          <w:szCs w:val="24"/>
        </w:rPr>
      </w:pPr>
      <w:r>
        <w:rPr>
          <w:spacing w:val="-20"/>
          <w:sz w:val="24"/>
          <w:szCs w:val="24"/>
        </w:rPr>
        <w:t>工程的敏感部位或重要工程都有必要在施工时进行旁站监督，即项目技术负责人和质检员始终在现场监视操作过程。</w:t>
      </w:r>
    </w:p>
    <w:p w14:paraId="2FC586E7">
      <w:pPr>
        <w:pStyle w:val="2"/>
        <w:spacing w:before="1" w:line="307" w:lineRule="auto"/>
        <w:ind w:left="1469" w:right="1353" w:firstLine="436"/>
        <w:rPr>
          <w:sz w:val="24"/>
          <w:szCs w:val="24"/>
        </w:rPr>
      </w:pPr>
      <w:r>
        <w:rPr>
          <w:spacing w:val="-24"/>
          <w:sz w:val="24"/>
          <w:szCs w:val="24"/>
        </w:rPr>
        <w:t>旁站的目的，在于尽早发现事故苗头，杜绝或减少质量问题的产生，消除质量隐患，因此，</w:t>
      </w:r>
      <w:r>
        <w:rPr>
          <w:spacing w:val="-22"/>
          <w:sz w:val="24"/>
          <w:szCs w:val="24"/>
        </w:rPr>
        <w:t>旁站应当是全天候、全过程的现场监督。</w:t>
      </w:r>
    </w:p>
    <w:p w14:paraId="11696904">
      <w:pPr>
        <w:pStyle w:val="2"/>
        <w:spacing w:line="215" w:lineRule="auto"/>
        <w:ind w:left="1899"/>
        <w:rPr>
          <w:sz w:val="24"/>
          <w:szCs w:val="24"/>
        </w:rPr>
      </w:pPr>
      <w:r>
        <w:rPr>
          <w:spacing w:val="-20"/>
          <w:sz w:val="24"/>
          <w:szCs w:val="24"/>
        </w:rPr>
        <w:t>三、样板先行制度</w:t>
      </w:r>
    </w:p>
    <w:p w14:paraId="16397A54">
      <w:pPr>
        <w:pStyle w:val="2"/>
        <w:spacing w:before="121" w:line="306" w:lineRule="auto"/>
        <w:ind w:left="1460" w:right="1340" w:firstLine="433"/>
        <w:rPr>
          <w:sz w:val="24"/>
          <w:szCs w:val="24"/>
        </w:rPr>
      </w:pPr>
      <w:r>
        <w:rPr>
          <w:spacing w:val="-23"/>
          <w:sz w:val="24"/>
          <w:szCs w:val="24"/>
        </w:rPr>
        <w:t>本工程坚持“方案先行，材料封样复试检测，完善品牌确认</w:t>
      </w:r>
      <w:r>
        <w:rPr>
          <w:spacing w:val="-24"/>
          <w:sz w:val="24"/>
          <w:szCs w:val="24"/>
        </w:rPr>
        <w:t>手续，品牌质量、颜色、规格、</w:t>
      </w:r>
      <w:r>
        <w:rPr>
          <w:spacing w:val="-21"/>
          <w:sz w:val="24"/>
          <w:szCs w:val="24"/>
        </w:rPr>
        <w:t>参数签字确认、样板引路”，先做样板后施工。</w:t>
      </w:r>
    </w:p>
    <w:p w14:paraId="395FF3CF">
      <w:pPr>
        <w:pStyle w:val="2"/>
        <w:spacing w:before="4" w:line="278" w:lineRule="auto"/>
        <w:ind w:left="1459" w:right="1415" w:firstLine="434"/>
        <w:jc w:val="both"/>
        <w:rPr>
          <w:sz w:val="24"/>
          <w:szCs w:val="24"/>
        </w:rPr>
      </w:pPr>
      <w:r>
        <w:rPr>
          <w:spacing w:val="-20"/>
          <w:sz w:val="24"/>
          <w:szCs w:val="24"/>
        </w:rPr>
        <w:t>本工程实行材料封样和样板引路制度，在大面积施工前，将拟采用的材料样品报验封样，并在开工后根据功能不同分别按图纸完成样板。样板经业主单位组织验收合格后方可大面积施</w:t>
      </w:r>
      <w:r>
        <w:rPr>
          <w:spacing w:val="-19"/>
          <w:sz w:val="24"/>
          <w:szCs w:val="24"/>
        </w:rPr>
        <w:t>工。</w:t>
      </w:r>
    </w:p>
    <w:tbl>
      <w:tblPr>
        <w:tblStyle w:val="6"/>
        <w:tblW w:w="8549" w:type="dxa"/>
        <w:tblInd w:w="167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87"/>
        <w:gridCol w:w="840"/>
        <w:gridCol w:w="2262"/>
        <w:gridCol w:w="5160"/>
      </w:tblGrid>
      <w:tr w14:paraId="16A72B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9" w:hRule="atLeast"/>
        </w:trPr>
        <w:tc>
          <w:tcPr>
            <w:tcW w:w="1127" w:type="dxa"/>
            <w:gridSpan w:val="2"/>
            <w:tcBorders>
              <w:top w:val="single" w:color="000000" w:sz="4" w:space="0"/>
              <w:left w:val="single" w:color="000000" w:sz="4" w:space="0"/>
            </w:tcBorders>
            <w:shd w:val="clear" w:color="auto" w:fill="DEEAF6"/>
            <w:vAlign w:val="top"/>
          </w:tcPr>
          <w:p w14:paraId="27F0CAAD">
            <w:pPr>
              <w:pStyle w:val="7"/>
              <w:spacing w:before="129" w:line="218" w:lineRule="auto"/>
              <w:ind w:left="358"/>
            </w:pPr>
            <w:r>
              <w:rPr>
                <w:b/>
                <w:bCs/>
                <w:spacing w:val="-12"/>
              </w:rPr>
              <w:t>序号</w:t>
            </w:r>
          </w:p>
        </w:tc>
        <w:tc>
          <w:tcPr>
            <w:tcW w:w="2262" w:type="dxa"/>
            <w:tcBorders>
              <w:top w:val="single" w:color="000000" w:sz="4" w:space="0"/>
            </w:tcBorders>
            <w:shd w:val="clear" w:color="auto" w:fill="DEEAF6"/>
            <w:vAlign w:val="top"/>
          </w:tcPr>
          <w:p w14:paraId="14894354">
            <w:pPr>
              <w:pStyle w:val="7"/>
              <w:spacing w:before="129" w:line="220" w:lineRule="auto"/>
              <w:ind w:left="924"/>
            </w:pPr>
            <w:r>
              <w:rPr>
                <w:b/>
                <w:bCs/>
                <w:spacing w:val="-14"/>
              </w:rPr>
              <w:t>方法</w:t>
            </w:r>
          </w:p>
        </w:tc>
        <w:tc>
          <w:tcPr>
            <w:tcW w:w="5160" w:type="dxa"/>
            <w:tcBorders>
              <w:top w:val="single" w:color="5B9BD5" w:sz="4" w:space="0"/>
              <w:right w:val="single" w:color="5B9BD5" w:sz="4" w:space="0"/>
            </w:tcBorders>
            <w:shd w:val="clear" w:color="auto" w:fill="DEEAF6"/>
            <w:vAlign w:val="top"/>
          </w:tcPr>
          <w:p w14:paraId="65179782">
            <w:pPr>
              <w:pStyle w:val="7"/>
              <w:spacing w:before="129" w:line="218" w:lineRule="auto"/>
              <w:ind w:left="2395"/>
            </w:pPr>
            <w:r>
              <w:rPr>
                <w:b/>
                <w:bCs/>
                <w:spacing w:val="-20"/>
              </w:rPr>
              <w:t>内容</w:t>
            </w:r>
          </w:p>
        </w:tc>
      </w:tr>
      <w:tr w14:paraId="0206D9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30" w:hRule="atLeast"/>
        </w:trPr>
        <w:tc>
          <w:tcPr>
            <w:tcW w:w="1127" w:type="dxa"/>
            <w:gridSpan w:val="2"/>
            <w:tcBorders>
              <w:left w:val="single" w:color="000000" w:sz="4" w:space="0"/>
            </w:tcBorders>
            <w:vAlign w:val="top"/>
          </w:tcPr>
          <w:p w14:paraId="4E93D2C2">
            <w:pPr>
              <w:spacing w:line="241" w:lineRule="auto"/>
              <w:rPr>
                <w:rFonts w:ascii="Arial"/>
                <w:sz w:val="21"/>
              </w:rPr>
            </w:pPr>
          </w:p>
          <w:p w14:paraId="2D1CA0AC">
            <w:pPr>
              <w:spacing w:line="241" w:lineRule="auto"/>
              <w:rPr>
                <w:rFonts w:ascii="Arial"/>
                <w:sz w:val="21"/>
              </w:rPr>
            </w:pPr>
          </w:p>
          <w:p w14:paraId="14278ED6">
            <w:pPr>
              <w:spacing w:line="241" w:lineRule="auto"/>
              <w:rPr>
                <w:rFonts w:ascii="Arial"/>
                <w:sz w:val="21"/>
              </w:rPr>
            </w:pPr>
          </w:p>
          <w:p w14:paraId="71D0EC25">
            <w:pPr>
              <w:spacing w:line="242" w:lineRule="auto"/>
              <w:rPr>
                <w:rFonts w:ascii="Arial"/>
                <w:sz w:val="21"/>
              </w:rPr>
            </w:pPr>
          </w:p>
          <w:p w14:paraId="1B1B68F9">
            <w:pPr>
              <w:spacing w:line="242" w:lineRule="auto"/>
              <w:rPr>
                <w:rFonts w:ascii="Arial"/>
                <w:sz w:val="21"/>
              </w:rPr>
            </w:pPr>
          </w:p>
          <w:p w14:paraId="7880C1A8">
            <w:pPr>
              <w:pStyle w:val="7"/>
              <w:spacing w:before="78" w:line="238" w:lineRule="auto"/>
              <w:ind w:left="534"/>
            </w:pPr>
            <w:r>
              <w:t>1</w:t>
            </w:r>
          </w:p>
        </w:tc>
        <w:tc>
          <w:tcPr>
            <w:tcW w:w="2262" w:type="dxa"/>
            <w:vAlign w:val="top"/>
          </w:tcPr>
          <w:p w14:paraId="16CA4D7F">
            <w:pPr>
              <w:spacing w:line="241" w:lineRule="auto"/>
              <w:rPr>
                <w:rFonts w:ascii="Arial"/>
                <w:sz w:val="21"/>
              </w:rPr>
            </w:pPr>
          </w:p>
          <w:p w14:paraId="5138973B">
            <w:pPr>
              <w:spacing w:line="241" w:lineRule="auto"/>
              <w:rPr>
                <w:rFonts w:ascii="Arial"/>
                <w:sz w:val="21"/>
              </w:rPr>
            </w:pPr>
          </w:p>
          <w:p w14:paraId="7E53DFA8">
            <w:pPr>
              <w:spacing w:line="241" w:lineRule="auto"/>
              <w:rPr>
                <w:rFonts w:ascii="Arial"/>
                <w:sz w:val="21"/>
              </w:rPr>
            </w:pPr>
          </w:p>
          <w:p w14:paraId="7DC6E85F">
            <w:pPr>
              <w:spacing w:line="242" w:lineRule="auto"/>
              <w:rPr>
                <w:rFonts w:ascii="Arial"/>
                <w:sz w:val="21"/>
              </w:rPr>
            </w:pPr>
          </w:p>
          <w:p w14:paraId="5723EABC">
            <w:pPr>
              <w:spacing w:line="242" w:lineRule="auto"/>
              <w:rPr>
                <w:rFonts w:ascii="Arial"/>
                <w:sz w:val="21"/>
              </w:rPr>
            </w:pPr>
          </w:p>
          <w:p w14:paraId="2E3CE025">
            <w:pPr>
              <w:pStyle w:val="7"/>
              <w:spacing w:before="78" w:line="215" w:lineRule="auto"/>
              <w:ind w:left="375"/>
            </w:pPr>
            <w:r>
              <w:rPr>
                <w:spacing w:val="-19"/>
              </w:rPr>
              <w:t>确定样板的规模</w:t>
            </w:r>
          </w:p>
        </w:tc>
        <w:tc>
          <w:tcPr>
            <w:tcW w:w="5160" w:type="dxa"/>
            <w:tcBorders>
              <w:right w:val="single" w:color="000000" w:sz="4" w:space="0"/>
            </w:tcBorders>
            <w:vAlign w:val="top"/>
          </w:tcPr>
          <w:p w14:paraId="0CA64101">
            <w:pPr>
              <w:pStyle w:val="7"/>
              <w:spacing w:before="125" w:line="218" w:lineRule="auto"/>
              <w:ind w:left="79"/>
            </w:pPr>
            <w:r>
              <w:rPr>
                <w:spacing w:val="-21"/>
              </w:rPr>
              <w:t>认真熟悉设计文件，充分领会设计、业主的意图和要</w:t>
            </w:r>
          </w:p>
          <w:p w14:paraId="5B22267F">
            <w:pPr>
              <w:pStyle w:val="7"/>
              <w:spacing w:before="182" w:line="218" w:lineRule="auto"/>
              <w:ind w:left="2372"/>
            </w:pPr>
            <w:r>
              <w:rPr>
                <w:spacing w:val="-20"/>
              </w:rPr>
              <w:t>求。</w:t>
            </w:r>
          </w:p>
          <w:p w14:paraId="20EAD357">
            <w:pPr>
              <w:pStyle w:val="7"/>
              <w:spacing w:before="184" w:line="215" w:lineRule="auto"/>
              <w:ind w:left="79"/>
            </w:pPr>
            <w:r>
              <w:rPr>
                <w:spacing w:val="-21"/>
              </w:rPr>
              <w:t>根据工程复杂程度、质量标准及样板的代表性确定样</w:t>
            </w:r>
          </w:p>
          <w:p w14:paraId="3F3B0438">
            <w:pPr>
              <w:pStyle w:val="7"/>
              <w:spacing w:before="188" w:line="217" w:lineRule="auto"/>
              <w:ind w:left="77"/>
            </w:pPr>
            <w:r>
              <w:rPr>
                <w:spacing w:val="-21"/>
              </w:rPr>
              <w:t>板的规模。确定部门主要是业主、设计、监理和施工</w:t>
            </w:r>
          </w:p>
          <w:p w14:paraId="027E8D75">
            <w:pPr>
              <w:pStyle w:val="7"/>
              <w:spacing w:before="183" w:line="220" w:lineRule="auto"/>
              <w:ind w:left="2286"/>
            </w:pPr>
            <w:r>
              <w:rPr>
                <w:spacing w:val="-27"/>
              </w:rPr>
              <w:t>四方。</w:t>
            </w:r>
          </w:p>
          <w:p w14:paraId="3959A164">
            <w:pPr>
              <w:pStyle w:val="7"/>
              <w:spacing w:before="183" w:line="215" w:lineRule="auto"/>
              <w:ind w:left="295"/>
            </w:pPr>
            <w:r>
              <w:rPr>
                <w:spacing w:val="-21"/>
              </w:rPr>
              <w:t>施工方编制样板选择方案，并经有关部门确认。</w:t>
            </w:r>
          </w:p>
        </w:tc>
      </w:tr>
      <w:tr w14:paraId="2BF57D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57" w:hRule="atLeast"/>
        </w:trPr>
        <w:tc>
          <w:tcPr>
            <w:tcW w:w="1127" w:type="dxa"/>
            <w:gridSpan w:val="2"/>
            <w:tcBorders>
              <w:left w:val="single" w:color="000000" w:sz="4" w:space="0"/>
            </w:tcBorders>
            <w:vAlign w:val="top"/>
          </w:tcPr>
          <w:p w14:paraId="276B183B">
            <w:pPr>
              <w:spacing w:line="270" w:lineRule="auto"/>
              <w:rPr>
                <w:rFonts w:ascii="Arial"/>
                <w:sz w:val="21"/>
              </w:rPr>
            </w:pPr>
          </w:p>
          <w:p w14:paraId="4B53BA26">
            <w:pPr>
              <w:pStyle w:val="7"/>
              <w:spacing w:before="78" w:line="238" w:lineRule="auto"/>
              <w:ind w:left="519"/>
            </w:pPr>
            <w:r>
              <w:t>2</w:t>
            </w:r>
          </w:p>
        </w:tc>
        <w:tc>
          <w:tcPr>
            <w:tcW w:w="2262" w:type="dxa"/>
            <w:vAlign w:val="top"/>
          </w:tcPr>
          <w:p w14:paraId="11C65761">
            <w:pPr>
              <w:spacing w:line="270" w:lineRule="auto"/>
              <w:rPr>
                <w:rFonts w:ascii="Arial"/>
                <w:sz w:val="21"/>
              </w:rPr>
            </w:pPr>
          </w:p>
          <w:p w14:paraId="1D777E16">
            <w:pPr>
              <w:pStyle w:val="7"/>
              <w:spacing w:before="78" w:line="215" w:lineRule="auto"/>
              <w:ind w:left="485"/>
            </w:pPr>
            <w:r>
              <w:rPr>
                <w:spacing w:val="-18"/>
              </w:rPr>
              <w:t>样板准备工作</w:t>
            </w:r>
          </w:p>
        </w:tc>
        <w:tc>
          <w:tcPr>
            <w:tcW w:w="5160" w:type="dxa"/>
            <w:tcBorders>
              <w:right w:val="single" w:color="000000" w:sz="4" w:space="0"/>
            </w:tcBorders>
            <w:vAlign w:val="top"/>
          </w:tcPr>
          <w:p w14:paraId="46175728">
            <w:pPr>
              <w:pStyle w:val="7"/>
              <w:spacing w:before="116" w:line="358" w:lineRule="auto"/>
              <w:ind w:left="186" w:right="53" w:hanging="105"/>
            </w:pPr>
            <w:r>
              <w:rPr>
                <w:spacing w:val="-22"/>
              </w:rPr>
              <w:t>选择专业施工队伍，编制施工方案并报审，材料确认</w:t>
            </w:r>
            <w:r>
              <w:rPr>
                <w:spacing w:val="-21"/>
              </w:rPr>
              <w:t>和采购，施工基层检查，样板所需机械设备准备。</w:t>
            </w:r>
          </w:p>
        </w:tc>
      </w:tr>
      <w:tr w14:paraId="5BF11B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69" w:hRule="atLeast"/>
        </w:trPr>
        <w:tc>
          <w:tcPr>
            <w:tcW w:w="287" w:type="dxa"/>
            <w:tcBorders>
              <w:left w:val="single" w:color="1C456A" w:sz="4" w:space="0"/>
              <w:bottom w:val="single" w:color="1C456A" w:sz="4" w:space="0"/>
              <w:right w:val="nil"/>
            </w:tcBorders>
            <w:vAlign w:val="top"/>
          </w:tcPr>
          <w:p w14:paraId="01313B7E">
            <w:pPr>
              <w:rPr>
                <w:rFonts w:ascii="Arial"/>
                <w:sz w:val="21"/>
              </w:rPr>
            </w:pPr>
            <w:r>
              <w:pict>
                <v:shape id="_x0000_s3557" o:spid="_x0000_s3557" style="position:absolute;left:0pt;margin-left:-0.25pt;margin-top:148.45pt;height:0.75pt;width:2.2pt;mso-position-horizontal-relative:page;mso-position-vertical-relative:page;z-index:252134400;mso-width-relative:page;mso-height-relative:page;" fillcolor="#5B9BD5" filled="t" stroked="f" coordsize="44,15" path="m0,14l43,14,43,0,0,0,0,14xe">
                  <v:path/>
                  <v:fill on="t" focussize="0,0"/>
                  <v:stroke on="f"/>
                  <v:imagedata o:title=""/>
                  <o:lock v:ext="edit"/>
                </v:shape>
              </w:pict>
            </w:r>
          </w:p>
        </w:tc>
        <w:tc>
          <w:tcPr>
            <w:tcW w:w="840" w:type="dxa"/>
            <w:tcBorders>
              <w:left w:val="nil"/>
              <w:bottom w:val="single" w:color="1C456A" w:sz="4" w:space="0"/>
            </w:tcBorders>
            <w:vAlign w:val="top"/>
          </w:tcPr>
          <w:p w14:paraId="06B9C6C8">
            <w:pPr>
              <w:spacing w:line="298" w:lineRule="auto"/>
              <w:rPr>
                <w:rFonts w:ascii="Arial"/>
                <w:sz w:val="21"/>
              </w:rPr>
            </w:pPr>
          </w:p>
          <w:p w14:paraId="597BE1A3">
            <w:pPr>
              <w:spacing w:line="298" w:lineRule="auto"/>
              <w:rPr>
                <w:rFonts w:ascii="Arial"/>
                <w:sz w:val="21"/>
              </w:rPr>
            </w:pPr>
          </w:p>
          <w:p w14:paraId="473DC255">
            <w:pPr>
              <w:spacing w:line="299" w:lineRule="auto"/>
              <w:rPr>
                <w:rFonts w:ascii="Arial"/>
                <w:sz w:val="21"/>
              </w:rPr>
            </w:pPr>
          </w:p>
          <w:p w14:paraId="009DE67A">
            <w:pPr>
              <w:spacing w:line="299" w:lineRule="auto"/>
              <w:rPr>
                <w:rFonts w:ascii="Arial"/>
                <w:sz w:val="21"/>
              </w:rPr>
            </w:pPr>
          </w:p>
          <w:p w14:paraId="1326A16A">
            <w:pPr>
              <w:pStyle w:val="7"/>
              <w:spacing w:before="78" w:line="237" w:lineRule="auto"/>
              <w:ind w:left="239"/>
            </w:pPr>
            <w:r>
              <w:t>3</w:t>
            </w:r>
          </w:p>
        </w:tc>
        <w:tc>
          <w:tcPr>
            <w:tcW w:w="2262" w:type="dxa"/>
            <w:tcBorders>
              <w:bottom w:val="single" w:color="000000" w:sz="4" w:space="0"/>
            </w:tcBorders>
            <w:vAlign w:val="top"/>
          </w:tcPr>
          <w:p w14:paraId="532246E1">
            <w:pPr>
              <w:spacing w:line="298" w:lineRule="auto"/>
              <w:rPr>
                <w:rFonts w:ascii="Arial"/>
                <w:sz w:val="21"/>
              </w:rPr>
            </w:pPr>
          </w:p>
          <w:p w14:paraId="5637ACAB">
            <w:pPr>
              <w:spacing w:line="298" w:lineRule="auto"/>
              <w:rPr>
                <w:rFonts w:ascii="Arial"/>
                <w:sz w:val="21"/>
              </w:rPr>
            </w:pPr>
          </w:p>
          <w:p w14:paraId="341C2518">
            <w:pPr>
              <w:spacing w:line="299" w:lineRule="auto"/>
              <w:rPr>
                <w:rFonts w:ascii="Arial"/>
                <w:sz w:val="21"/>
              </w:rPr>
            </w:pPr>
          </w:p>
          <w:p w14:paraId="714591AE">
            <w:pPr>
              <w:spacing w:line="299" w:lineRule="auto"/>
              <w:rPr>
                <w:rFonts w:ascii="Arial"/>
                <w:sz w:val="21"/>
              </w:rPr>
            </w:pPr>
          </w:p>
          <w:p w14:paraId="0E2D13E8">
            <w:pPr>
              <w:pStyle w:val="7"/>
              <w:spacing w:before="78" w:line="215" w:lineRule="auto"/>
              <w:ind w:left="485"/>
            </w:pPr>
            <w:r>
              <w:rPr>
                <w:spacing w:val="-18"/>
              </w:rPr>
              <w:t>样板施工完善</w:t>
            </w:r>
          </w:p>
        </w:tc>
        <w:tc>
          <w:tcPr>
            <w:tcW w:w="5160" w:type="dxa"/>
            <w:tcBorders>
              <w:bottom w:val="single" w:color="5B9BD5" w:sz="4" w:space="0"/>
              <w:right w:val="single" w:color="5B9BD5" w:sz="4" w:space="0"/>
            </w:tcBorders>
            <w:vAlign w:val="top"/>
          </w:tcPr>
          <w:p w14:paraId="1C2C053D">
            <w:pPr>
              <w:pStyle w:val="7"/>
              <w:spacing w:before="113" w:line="215" w:lineRule="auto"/>
              <w:ind w:left="89"/>
            </w:pPr>
            <w:r>
              <w:rPr>
                <w:spacing w:val="-22"/>
              </w:rPr>
              <w:t>落实技术交底，进行样板施工，各方对完工样板进行</w:t>
            </w:r>
          </w:p>
          <w:p w14:paraId="3AFFFE72">
            <w:pPr>
              <w:pStyle w:val="7"/>
              <w:spacing w:before="185" w:line="217" w:lineRule="auto"/>
              <w:jc w:val="right"/>
            </w:pPr>
            <w:r>
              <w:rPr>
                <w:spacing w:val="-29"/>
              </w:rPr>
              <w:t>评议，根据评议结果全面修改和补充设计和施工方案，</w:t>
            </w:r>
          </w:p>
          <w:p w14:paraId="4C89CCD5">
            <w:pPr>
              <w:pStyle w:val="7"/>
              <w:spacing w:before="186" w:line="215" w:lineRule="auto"/>
              <w:ind w:left="79"/>
            </w:pPr>
            <w:r>
              <w:rPr>
                <w:spacing w:val="-21"/>
              </w:rPr>
              <w:t>根据实际情况确认是否再次组织样板施工，确定整体</w:t>
            </w:r>
          </w:p>
          <w:p w14:paraId="38E64DDD">
            <w:pPr>
              <w:pStyle w:val="7"/>
              <w:spacing w:before="185" w:line="216" w:lineRule="auto"/>
              <w:ind w:left="84"/>
            </w:pPr>
            <w:r>
              <w:rPr>
                <w:spacing w:val="-21"/>
              </w:rPr>
              <w:t>工程的施工材料，制定工程施工检查方式，进一</w:t>
            </w:r>
            <w:r>
              <w:rPr>
                <w:spacing w:val="-22"/>
              </w:rPr>
              <w:t>步编</w:t>
            </w:r>
          </w:p>
          <w:p w14:paraId="1741298F">
            <w:pPr>
              <w:pStyle w:val="7"/>
              <w:spacing w:before="188" w:line="216" w:lineRule="auto"/>
              <w:ind w:left="79"/>
            </w:pPr>
            <w:r>
              <w:rPr>
                <w:spacing w:val="-21"/>
              </w:rPr>
              <w:t>制、完善施工组织设计方案及机械设备、施工材料的</w:t>
            </w:r>
          </w:p>
          <w:p w14:paraId="21D81407">
            <w:pPr>
              <w:pStyle w:val="7"/>
              <w:spacing w:before="184" w:line="217" w:lineRule="auto"/>
              <w:ind w:left="297"/>
            </w:pPr>
            <w:r>
              <w:rPr>
                <w:spacing w:val="-21"/>
              </w:rPr>
              <w:t>供应计划，编制施工进度计划，进行技术交底。</w:t>
            </w:r>
          </w:p>
        </w:tc>
      </w:tr>
    </w:tbl>
    <w:p w14:paraId="4CB771E6">
      <w:pPr>
        <w:pStyle w:val="2"/>
        <w:spacing w:before="63" w:line="217" w:lineRule="auto"/>
        <w:ind w:left="3892"/>
        <w:outlineLvl w:val="1"/>
        <w:rPr>
          <w:sz w:val="30"/>
          <w:szCs w:val="30"/>
        </w:rPr>
      </w:pPr>
      <w:bookmarkStart w:id="145" w:name="bookmark138"/>
      <w:bookmarkEnd w:id="145"/>
      <w:r>
        <w:rPr>
          <w:b/>
          <w:bCs/>
          <w:color w:val="0070C0"/>
          <w:spacing w:val="-24"/>
          <w:sz w:val="30"/>
          <w:szCs w:val="30"/>
        </w:rPr>
        <w:t>第四节、确保工程质量的技术措施</w:t>
      </w:r>
    </w:p>
    <w:p w14:paraId="5123EAB9">
      <w:pPr>
        <w:pStyle w:val="2"/>
        <w:spacing w:before="101" w:line="307" w:lineRule="auto"/>
        <w:ind w:left="1457" w:right="1411" w:firstLine="435"/>
        <w:rPr>
          <w:sz w:val="24"/>
          <w:szCs w:val="24"/>
        </w:rPr>
      </w:pPr>
      <w:r>
        <w:rPr>
          <w:spacing w:val="-20"/>
          <w:sz w:val="24"/>
          <w:szCs w:val="24"/>
        </w:rPr>
        <w:t>施工质量控制措施是施工质量控制体系的具体落实，其主要是对施工各阶段及施工中的各</w:t>
      </w:r>
      <w:r>
        <w:rPr>
          <w:spacing w:val="-22"/>
          <w:sz w:val="24"/>
          <w:szCs w:val="24"/>
        </w:rPr>
        <w:t>控制要素进行质量上控制，从而达到施工质量目标的要求。</w:t>
      </w:r>
    </w:p>
    <w:p w14:paraId="40D38450">
      <w:pPr>
        <w:pStyle w:val="2"/>
        <w:spacing w:before="2" w:line="308" w:lineRule="auto"/>
        <w:ind w:left="1457" w:right="1430" w:firstLine="446"/>
        <w:rPr>
          <w:sz w:val="24"/>
          <w:szCs w:val="24"/>
        </w:rPr>
      </w:pPr>
      <w:r>
        <w:rPr>
          <w:spacing w:val="-23"/>
          <w:sz w:val="24"/>
          <w:szCs w:val="24"/>
        </w:rPr>
        <w:t>1、施工阶段性的质量控制措施主要分为三个阶段，即事前控制阶段、事中控制阶段、事后</w:t>
      </w:r>
      <w:r>
        <w:rPr>
          <w:spacing w:val="-21"/>
          <w:sz w:val="24"/>
          <w:szCs w:val="24"/>
        </w:rPr>
        <w:t>控制阶段，并通过这三阶段，对本工程各分部分项工程的施</w:t>
      </w:r>
      <w:r>
        <w:rPr>
          <w:spacing w:val="-22"/>
          <w:sz w:val="24"/>
          <w:szCs w:val="24"/>
        </w:rPr>
        <w:t>工进行有效的阶段性质量控制。</w:t>
      </w:r>
    </w:p>
    <w:p w14:paraId="79F8F5F8">
      <w:pPr>
        <w:spacing w:line="308" w:lineRule="auto"/>
        <w:rPr>
          <w:sz w:val="24"/>
          <w:szCs w:val="24"/>
        </w:rPr>
        <w:sectPr>
          <w:footerReference r:id="rId209" w:type="default"/>
          <w:pgSz w:w="11907" w:h="16839"/>
          <w:pgMar w:top="954" w:right="4" w:bottom="1038" w:left="0" w:header="499" w:footer="357" w:gutter="0"/>
          <w:pgBorders>
            <w:top w:val="none" w:sz="0" w:space="0"/>
            <w:left w:val="none" w:sz="0" w:space="0"/>
            <w:bottom w:val="none" w:sz="0" w:space="0"/>
            <w:right w:val="none" w:sz="0" w:space="0"/>
          </w:pgBorders>
          <w:cols w:space="720" w:num="1"/>
        </w:sectPr>
      </w:pPr>
    </w:p>
    <w:p w14:paraId="04F39ED1">
      <w:pPr>
        <w:spacing w:line="250" w:lineRule="auto"/>
        <w:rPr>
          <w:rFonts w:ascii="Arial"/>
          <w:sz w:val="21"/>
        </w:rPr>
      </w:pPr>
    </w:p>
    <w:p w14:paraId="1467D184">
      <w:pPr>
        <w:pStyle w:val="2"/>
        <w:spacing w:before="78" w:line="216" w:lineRule="auto"/>
        <w:ind w:left="1892"/>
        <w:rPr>
          <w:sz w:val="24"/>
          <w:szCs w:val="24"/>
        </w:rPr>
      </w:pPr>
      <w:r>
        <w:rPr>
          <w:spacing w:val="-22"/>
          <w:sz w:val="24"/>
          <w:szCs w:val="24"/>
        </w:rPr>
        <w:t>施工阶段性的质量控制措施详见《施工阶段性质量控制措施图》。</w:t>
      </w:r>
    </w:p>
    <w:p w14:paraId="0EA110B5">
      <w:pPr>
        <w:pStyle w:val="2"/>
        <w:spacing w:before="120" w:line="217" w:lineRule="auto"/>
        <w:ind w:left="1893"/>
        <w:rPr>
          <w:sz w:val="24"/>
          <w:szCs w:val="24"/>
        </w:rPr>
      </w:pPr>
      <w:r>
        <w:rPr>
          <w:spacing w:val="-18"/>
          <w:sz w:val="24"/>
          <w:szCs w:val="24"/>
        </w:rPr>
        <w:t>（1）事前控制阶段</w:t>
      </w:r>
    </w:p>
    <w:p w14:paraId="3563FCB5">
      <w:pPr>
        <w:pStyle w:val="2"/>
        <w:spacing w:before="116" w:line="215" w:lineRule="auto"/>
        <w:ind w:left="1893"/>
        <w:rPr>
          <w:sz w:val="24"/>
          <w:szCs w:val="24"/>
        </w:rPr>
      </w:pPr>
      <w:r>
        <w:rPr>
          <w:spacing w:val="-21"/>
          <w:sz w:val="24"/>
          <w:szCs w:val="24"/>
        </w:rPr>
        <w:t>事前控制是在正式施工活动开始前进行的质量控制，是先</w:t>
      </w:r>
      <w:r>
        <w:rPr>
          <w:spacing w:val="-22"/>
          <w:sz w:val="24"/>
          <w:szCs w:val="24"/>
        </w:rPr>
        <w:t>导。主要内容有：</w:t>
      </w:r>
    </w:p>
    <w:p w14:paraId="4894EBC8">
      <w:pPr>
        <w:pStyle w:val="2"/>
        <w:spacing w:before="120" w:line="217" w:lineRule="auto"/>
        <w:ind w:left="1885"/>
        <w:rPr>
          <w:sz w:val="24"/>
          <w:szCs w:val="24"/>
        </w:rPr>
      </w:pPr>
      <w:r>
        <w:rPr>
          <w:spacing w:val="-23"/>
          <w:sz w:val="24"/>
          <w:szCs w:val="24"/>
        </w:rPr>
        <w:t>①建立完善的质量保证体系、质量管理体系，编制《质量保证计划》。</w:t>
      </w:r>
    </w:p>
    <w:p w14:paraId="5836C01B">
      <w:pPr>
        <w:pStyle w:val="2"/>
        <w:spacing w:before="119" w:line="216" w:lineRule="auto"/>
        <w:ind w:left="1884"/>
        <w:rPr>
          <w:sz w:val="24"/>
          <w:szCs w:val="24"/>
        </w:rPr>
      </w:pPr>
      <w:r>
        <w:rPr>
          <w:spacing w:val="-21"/>
          <w:sz w:val="24"/>
          <w:szCs w:val="24"/>
        </w:rPr>
        <w:t>②制定现场的各种管理制度，完善计量及质量检测技术和手段。</w:t>
      </w:r>
    </w:p>
    <w:p w14:paraId="7E3C1F10">
      <w:pPr>
        <w:pStyle w:val="2"/>
        <w:spacing w:before="118" w:line="262" w:lineRule="auto"/>
        <w:ind w:left="1458" w:right="1409" w:firstLine="426"/>
        <w:rPr>
          <w:sz w:val="24"/>
          <w:szCs w:val="24"/>
        </w:rPr>
      </w:pPr>
      <w:r>
        <w:rPr>
          <w:spacing w:val="-19"/>
          <w:sz w:val="24"/>
          <w:szCs w:val="24"/>
        </w:rPr>
        <w:t>③对工程基础上施工所需的原材料，半成品、构配件进行质</w:t>
      </w:r>
      <w:r>
        <w:rPr>
          <w:spacing w:val="-20"/>
          <w:sz w:val="24"/>
          <w:szCs w:val="24"/>
        </w:rPr>
        <w:t>量检查和控制，并编制相应的</w:t>
      </w:r>
      <w:r>
        <w:rPr>
          <w:spacing w:val="-17"/>
          <w:sz w:val="24"/>
          <w:szCs w:val="24"/>
        </w:rPr>
        <w:t>检验计划。</w:t>
      </w:r>
    </w:p>
    <w:p w14:paraId="5AA5C3F8">
      <w:pPr>
        <w:pStyle w:val="2"/>
        <w:spacing w:before="120" w:line="216" w:lineRule="auto"/>
        <w:ind w:left="1884"/>
        <w:rPr>
          <w:sz w:val="24"/>
          <w:szCs w:val="24"/>
        </w:rPr>
      </w:pPr>
      <w:r>
        <w:rPr>
          <w:spacing w:val="-21"/>
          <w:sz w:val="24"/>
          <w:szCs w:val="24"/>
        </w:rPr>
        <w:t>④进行设计交底，图纸会审等工作，并根据</w:t>
      </w:r>
      <w:r>
        <w:rPr>
          <w:spacing w:val="-22"/>
          <w:sz w:val="24"/>
          <w:szCs w:val="24"/>
        </w:rPr>
        <w:t>本工程特点确定施工流程、工艺及方法。</w:t>
      </w:r>
    </w:p>
    <w:p w14:paraId="3A88E72C">
      <w:pPr>
        <w:pStyle w:val="2"/>
        <w:spacing w:before="116" w:line="264" w:lineRule="auto"/>
        <w:ind w:left="1480" w:right="1410" w:firstLine="403"/>
        <w:rPr>
          <w:sz w:val="24"/>
          <w:szCs w:val="24"/>
        </w:rPr>
      </w:pPr>
      <w:r>
        <w:rPr>
          <w:spacing w:val="-19"/>
          <w:sz w:val="24"/>
          <w:szCs w:val="24"/>
        </w:rPr>
        <w:t>⑤对本工程将要采用的新技术、新设备、新工艺、新材料均</w:t>
      </w:r>
      <w:r>
        <w:rPr>
          <w:spacing w:val="-20"/>
          <w:sz w:val="24"/>
          <w:szCs w:val="24"/>
        </w:rPr>
        <w:t>要审核其技术审定书及运用范</w:t>
      </w:r>
      <w:r>
        <w:rPr>
          <w:spacing w:val="-24"/>
          <w:sz w:val="24"/>
          <w:szCs w:val="24"/>
        </w:rPr>
        <w:t>围。</w:t>
      </w:r>
    </w:p>
    <w:p w14:paraId="17AE81DD">
      <w:pPr>
        <w:pStyle w:val="2"/>
        <w:spacing w:before="118" w:line="217" w:lineRule="auto"/>
        <w:ind w:left="1893"/>
        <w:rPr>
          <w:sz w:val="24"/>
          <w:szCs w:val="24"/>
        </w:rPr>
      </w:pPr>
      <w:r>
        <w:rPr>
          <w:spacing w:val="-18"/>
          <w:sz w:val="24"/>
          <w:szCs w:val="24"/>
        </w:rPr>
        <w:t>（2）事中控制阶段</w:t>
      </w:r>
    </w:p>
    <w:p w14:paraId="65C5B45E">
      <w:pPr>
        <w:pStyle w:val="2"/>
        <w:spacing w:before="116" w:line="215" w:lineRule="auto"/>
        <w:ind w:left="1893"/>
        <w:rPr>
          <w:sz w:val="24"/>
          <w:szCs w:val="24"/>
        </w:rPr>
      </w:pPr>
      <w:r>
        <w:rPr>
          <w:spacing w:val="-23"/>
          <w:sz w:val="24"/>
          <w:szCs w:val="24"/>
        </w:rPr>
        <w:t>事中控制是指在施工过程中进行的质量控制，是关键。主要有：</w:t>
      </w:r>
    </w:p>
    <w:p w14:paraId="6F54422F">
      <w:pPr>
        <w:pStyle w:val="2"/>
        <w:spacing w:before="121" w:line="262" w:lineRule="auto"/>
        <w:ind w:left="1459" w:right="1409" w:firstLine="426"/>
        <w:rPr>
          <w:sz w:val="24"/>
          <w:szCs w:val="24"/>
        </w:rPr>
      </w:pPr>
      <w:r>
        <w:rPr>
          <w:spacing w:val="-19"/>
          <w:sz w:val="24"/>
          <w:szCs w:val="24"/>
        </w:rPr>
        <w:t>①完善工序质量控制，把影响工序质量的因素都纳入管理</w:t>
      </w:r>
      <w:r>
        <w:rPr>
          <w:spacing w:val="-20"/>
          <w:sz w:val="24"/>
          <w:szCs w:val="24"/>
        </w:rPr>
        <w:t>范围。及时检查和审核质量统计</w:t>
      </w:r>
      <w:r>
        <w:rPr>
          <w:spacing w:val="-21"/>
          <w:sz w:val="24"/>
          <w:szCs w:val="24"/>
        </w:rPr>
        <w:t>分析资料和质量控制图表。抓住影响质量的关键总是</w:t>
      </w:r>
      <w:r>
        <w:rPr>
          <w:spacing w:val="-22"/>
          <w:sz w:val="24"/>
          <w:szCs w:val="24"/>
        </w:rPr>
        <w:t>进行处理和解决。</w:t>
      </w:r>
    </w:p>
    <w:p w14:paraId="32260ED9">
      <w:pPr>
        <w:pStyle w:val="2"/>
        <w:spacing w:before="119" w:line="262" w:lineRule="auto"/>
        <w:ind w:left="1470" w:right="1409" w:firstLine="414"/>
        <w:rPr>
          <w:sz w:val="24"/>
          <w:szCs w:val="24"/>
        </w:rPr>
      </w:pPr>
      <w:r>
        <w:rPr>
          <w:spacing w:val="-19"/>
          <w:sz w:val="24"/>
          <w:szCs w:val="24"/>
        </w:rPr>
        <w:t>②严格工序间交换检查，作好各项隐蔽验收工作加强交检制</w:t>
      </w:r>
      <w:r>
        <w:rPr>
          <w:spacing w:val="-20"/>
          <w:sz w:val="24"/>
          <w:szCs w:val="24"/>
        </w:rPr>
        <w:t>度的落实，对达不到质量要求</w:t>
      </w:r>
      <w:r>
        <w:rPr>
          <w:spacing w:val="-22"/>
          <w:sz w:val="24"/>
          <w:szCs w:val="24"/>
        </w:rPr>
        <w:t>的前道工序决不交给下道工序施工，直至质量符合要</w:t>
      </w:r>
      <w:r>
        <w:rPr>
          <w:spacing w:val="-23"/>
          <w:sz w:val="24"/>
          <w:szCs w:val="24"/>
        </w:rPr>
        <w:t>求为止。</w:t>
      </w:r>
    </w:p>
    <w:p w14:paraId="63A11DCA">
      <w:pPr>
        <w:pStyle w:val="2"/>
        <w:spacing w:before="119" w:line="216" w:lineRule="auto"/>
        <w:ind w:left="1884"/>
        <w:rPr>
          <w:sz w:val="24"/>
          <w:szCs w:val="24"/>
        </w:rPr>
      </w:pPr>
      <w:r>
        <w:rPr>
          <w:spacing w:val="-21"/>
          <w:sz w:val="24"/>
          <w:szCs w:val="24"/>
        </w:rPr>
        <w:t>③对完成的分部分项工程，按相应的质量评定标准和办法进行曲检查、验收、评定。</w:t>
      </w:r>
    </w:p>
    <w:p w14:paraId="5583AA98">
      <w:pPr>
        <w:pStyle w:val="2"/>
        <w:spacing w:before="119" w:line="278" w:lineRule="auto"/>
        <w:ind w:left="1461" w:right="1410" w:firstLine="423"/>
        <w:rPr>
          <w:sz w:val="24"/>
          <w:szCs w:val="24"/>
        </w:rPr>
      </w:pPr>
      <w:r>
        <w:rPr>
          <w:spacing w:val="-19"/>
          <w:sz w:val="24"/>
          <w:szCs w:val="24"/>
        </w:rPr>
        <w:t>④审核设计变更和图纸修改。对施工中出现特殊情况，隐蔽</w:t>
      </w:r>
      <w:r>
        <w:rPr>
          <w:spacing w:val="-20"/>
          <w:sz w:val="24"/>
          <w:szCs w:val="24"/>
        </w:rPr>
        <w:t>工程未经验收而擅自封闭、掩盖或使用无合格证的工程材料，或擅自变更替换工程材料等，主任工程师有权向项目经理建议</w:t>
      </w:r>
      <w:r>
        <w:rPr>
          <w:spacing w:val="-19"/>
          <w:sz w:val="24"/>
          <w:szCs w:val="24"/>
        </w:rPr>
        <w:t>下达停工令。</w:t>
      </w:r>
    </w:p>
    <w:p w14:paraId="091C0D7C">
      <w:pPr>
        <w:pStyle w:val="2"/>
        <w:spacing w:before="114" w:line="262" w:lineRule="auto"/>
        <w:ind w:left="1455" w:right="1410" w:firstLine="429"/>
        <w:rPr>
          <w:sz w:val="24"/>
          <w:szCs w:val="24"/>
        </w:rPr>
      </w:pPr>
      <w:r>
        <w:rPr>
          <w:spacing w:val="-19"/>
          <w:sz w:val="24"/>
          <w:szCs w:val="24"/>
        </w:rPr>
        <w:t>⑤对涉及结构安全的试块、试件以及有关材料，应当在建设</w:t>
      </w:r>
      <w:r>
        <w:rPr>
          <w:spacing w:val="-20"/>
          <w:sz w:val="24"/>
          <w:szCs w:val="24"/>
        </w:rPr>
        <w:t>单位或者工程监理单位监督下</w:t>
      </w:r>
      <w:r>
        <w:rPr>
          <w:spacing w:val="-21"/>
          <w:sz w:val="24"/>
          <w:szCs w:val="24"/>
        </w:rPr>
        <w:t>现场取样，并送具有相应资质等级的质量检测单位进行检测。</w:t>
      </w:r>
    </w:p>
    <w:p w14:paraId="71CF2CF3">
      <w:pPr>
        <w:pStyle w:val="2"/>
        <w:spacing w:before="122" w:line="261" w:lineRule="auto"/>
        <w:ind w:left="1460" w:right="1409" w:firstLine="424"/>
        <w:rPr>
          <w:sz w:val="24"/>
          <w:szCs w:val="24"/>
        </w:rPr>
      </w:pPr>
      <w:r>
        <w:rPr>
          <w:spacing w:val="-19"/>
          <w:sz w:val="24"/>
          <w:szCs w:val="24"/>
        </w:rPr>
        <w:t>⑥按照工程设计要求、施工技术标准和合同约定，对建筑材</w:t>
      </w:r>
      <w:r>
        <w:rPr>
          <w:spacing w:val="-20"/>
          <w:sz w:val="24"/>
          <w:szCs w:val="24"/>
        </w:rPr>
        <w:t>料、建筑构配件、设备和商品</w:t>
      </w:r>
      <w:r>
        <w:rPr>
          <w:spacing w:val="-21"/>
          <w:sz w:val="24"/>
          <w:szCs w:val="24"/>
        </w:rPr>
        <w:t>混凝土进行检验，检验应当有书面记录和专人签字；</w:t>
      </w:r>
      <w:r>
        <w:rPr>
          <w:spacing w:val="-22"/>
          <w:sz w:val="24"/>
          <w:szCs w:val="24"/>
        </w:rPr>
        <w:t>未经检验或者检验不合格的，不得使用。</w:t>
      </w:r>
    </w:p>
    <w:p w14:paraId="6BFA52F5">
      <w:pPr>
        <w:pStyle w:val="2"/>
        <w:spacing w:before="120" w:line="262" w:lineRule="auto"/>
        <w:ind w:left="1475" w:right="1410" w:firstLine="409"/>
        <w:rPr>
          <w:sz w:val="24"/>
          <w:szCs w:val="24"/>
        </w:rPr>
      </w:pPr>
      <w:r>
        <w:rPr>
          <w:spacing w:val="-19"/>
          <w:sz w:val="24"/>
          <w:szCs w:val="24"/>
        </w:rPr>
        <w:t>⑦建立、健全教育培训制度，加强对职工的教育培训；未经</w:t>
      </w:r>
      <w:r>
        <w:rPr>
          <w:spacing w:val="-20"/>
          <w:sz w:val="24"/>
          <w:szCs w:val="24"/>
        </w:rPr>
        <w:t>教育培训或者考核不合格的人</w:t>
      </w:r>
      <w:r>
        <w:rPr>
          <w:spacing w:val="-21"/>
          <w:sz w:val="24"/>
          <w:szCs w:val="24"/>
        </w:rPr>
        <w:t>员，不得上岗作业。</w:t>
      </w:r>
    </w:p>
    <w:p w14:paraId="08289C64">
      <w:pPr>
        <w:pStyle w:val="2"/>
        <w:spacing w:before="119" w:line="217" w:lineRule="auto"/>
        <w:ind w:left="1893"/>
        <w:rPr>
          <w:sz w:val="24"/>
          <w:szCs w:val="24"/>
        </w:rPr>
      </w:pPr>
      <w:r>
        <w:rPr>
          <w:spacing w:val="-18"/>
          <w:sz w:val="24"/>
          <w:szCs w:val="24"/>
        </w:rPr>
        <w:t>（2）事后控制阶段</w:t>
      </w:r>
    </w:p>
    <w:p w14:paraId="0A6A83EE">
      <w:pPr>
        <w:pStyle w:val="2"/>
        <w:spacing w:before="117" w:line="217" w:lineRule="auto"/>
        <w:ind w:left="1893"/>
        <w:rPr>
          <w:sz w:val="24"/>
          <w:szCs w:val="24"/>
        </w:rPr>
      </w:pPr>
      <w:r>
        <w:rPr>
          <w:spacing w:val="-23"/>
          <w:sz w:val="24"/>
          <w:szCs w:val="24"/>
        </w:rPr>
        <w:t>事后控制是指施工过的产品进行质量控制，是弥补。其主要内容有：</w:t>
      </w:r>
    </w:p>
    <w:p w14:paraId="521C509F">
      <w:pPr>
        <w:pStyle w:val="2"/>
        <w:spacing w:before="120" w:line="216" w:lineRule="auto"/>
        <w:ind w:left="1885"/>
        <w:rPr>
          <w:sz w:val="24"/>
          <w:szCs w:val="24"/>
        </w:rPr>
      </w:pPr>
      <w:r>
        <w:rPr>
          <w:spacing w:val="-21"/>
          <w:sz w:val="24"/>
          <w:szCs w:val="24"/>
        </w:rPr>
        <w:t>①按规定评定标准和办法，对完成的单位工程、单项工程进行检查验收。</w:t>
      </w:r>
    </w:p>
    <w:p w14:paraId="6547E50F">
      <w:pPr>
        <w:pStyle w:val="2"/>
        <w:spacing w:before="118" w:line="216" w:lineRule="auto"/>
        <w:ind w:left="1884"/>
        <w:rPr>
          <w:sz w:val="24"/>
          <w:szCs w:val="24"/>
        </w:rPr>
      </w:pPr>
      <w:r>
        <w:rPr>
          <w:spacing w:val="-22"/>
          <w:sz w:val="24"/>
          <w:szCs w:val="24"/>
        </w:rPr>
        <w:t>②整理所有的技术资料，并编目、建档。</w:t>
      </w:r>
    </w:p>
    <w:p w14:paraId="2A783FFF">
      <w:pPr>
        <w:pStyle w:val="2"/>
        <w:spacing w:before="120" w:line="215" w:lineRule="auto"/>
        <w:ind w:left="1884"/>
        <w:rPr>
          <w:sz w:val="24"/>
          <w:szCs w:val="24"/>
        </w:rPr>
      </w:pPr>
      <w:r>
        <w:rPr>
          <w:spacing w:val="-20"/>
          <w:sz w:val="24"/>
          <w:szCs w:val="24"/>
        </w:rPr>
        <w:t>③在保修阶段，对本工程进行维修。</w:t>
      </w:r>
    </w:p>
    <w:p w14:paraId="5B755027">
      <w:pPr>
        <w:pStyle w:val="2"/>
        <w:spacing w:before="121" w:line="217" w:lineRule="auto"/>
        <w:ind w:left="1888"/>
        <w:rPr>
          <w:sz w:val="24"/>
          <w:szCs w:val="24"/>
        </w:rPr>
      </w:pPr>
      <w:r>
        <w:rPr>
          <w:spacing w:val="-19"/>
          <w:sz w:val="24"/>
          <w:szCs w:val="24"/>
        </w:rPr>
        <w:t>2、各施工要素的质量控制措施</w:t>
      </w:r>
    </w:p>
    <w:p w14:paraId="25249F79">
      <w:pPr>
        <w:pStyle w:val="2"/>
        <w:spacing w:before="117" w:line="217" w:lineRule="auto"/>
        <w:ind w:left="1893"/>
        <w:rPr>
          <w:sz w:val="24"/>
          <w:szCs w:val="24"/>
        </w:rPr>
      </w:pPr>
      <w:r>
        <w:rPr>
          <w:spacing w:val="-19"/>
          <w:sz w:val="24"/>
          <w:szCs w:val="24"/>
        </w:rPr>
        <w:t>（1）施工计划的质量控制</w:t>
      </w:r>
    </w:p>
    <w:p w14:paraId="50EE640F">
      <w:pPr>
        <w:pStyle w:val="2"/>
        <w:spacing w:before="118" w:line="307" w:lineRule="auto"/>
        <w:ind w:left="1458" w:right="1414" w:firstLine="436"/>
        <w:rPr>
          <w:sz w:val="24"/>
          <w:szCs w:val="24"/>
        </w:rPr>
      </w:pPr>
      <w:r>
        <w:rPr>
          <w:spacing w:val="-20"/>
          <w:sz w:val="24"/>
          <w:szCs w:val="24"/>
        </w:rPr>
        <w:t>在编制施工总进度计划，阶段性进度计划、月施工进度计划等控制计划时，充分考虑人、财、物及任务量的平衡，合理安排施工工序和施工计划，合理配备各施工段上的操作人员，合理调拔原材料及各周转材料、施工机械，合理安全各工序的轮流作息时间，在确保工程安全及</w:t>
      </w:r>
    </w:p>
    <w:p w14:paraId="5CC3106A">
      <w:pPr>
        <w:spacing w:line="307" w:lineRule="auto"/>
        <w:rPr>
          <w:sz w:val="24"/>
          <w:szCs w:val="24"/>
        </w:rPr>
        <w:sectPr>
          <w:footerReference r:id="rId210" w:type="default"/>
          <w:pgSz w:w="11907" w:h="16839"/>
          <w:pgMar w:top="954" w:right="4" w:bottom="1038" w:left="0" w:header="499" w:footer="357" w:gutter="0"/>
          <w:pgBorders>
            <w:top w:val="none" w:sz="0" w:space="0"/>
            <w:left w:val="none" w:sz="0" w:space="0"/>
            <w:bottom w:val="none" w:sz="0" w:space="0"/>
            <w:right w:val="none" w:sz="0" w:space="0"/>
          </w:pgBorders>
          <w:cols w:space="720" w:num="1"/>
        </w:sectPr>
      </w:pPr>
    </w:p>
    <w:p w14:paraId="70942BEC">
      <w:pPr>
        <w:spacing w:line="250" w:lineRule="auto"/>
        <w:rPr>
          <w:rFonts w:ascii="Arial"/>
          <w:sz w:val="21"/>
        </w:rPr>
      </w:pPr>
    </w:p>
    <w:p w14:paraId="3187B190">
      <w:pPr>
        <w:pStyle w:val="2"/>
        <w:spacing w:before="78" w:line="216" w:lineRule="auto"/>
        <w:ind w:left="1462"/>
        <w:rPr>
          <w:sz w:val="24"/>
          <w:szCs w:val="24"/>
        </w:rPr>
      </w:pPr>
      <w:r>
        <w:rPr>
          <w:spacing w:val="-21"/>
          <w:sz w:val="24"/>
          <w:szCs w:val="24"/>
        </w:rPr>
        <w:t>质量的前提下，充分发挥人的主观能动性，把工</w:t>
      </w:r>
      <w:r>
        <w:rPr>
          <w:spacing w:val="-22"/>
          <w:sz w:val="24"/>
          <w:szCs w:val="24"/>
        </w:rPr>
        <w:t>期抓上去。</w:t>
      </w:r>
    </w:p>
    <w:p w14:paraId="3A138AE4">
      <w:pPr>
        <w:pStyle w:val="2"/>
        <w:spacing w:before="122" w:line="307" w:lineRule="auto"/>
        <w:ind w:left="1456" w:right="1342" w:firstLine="439"/>
        <w:jc w:val="both"/>
        <w:rPr>
          <w:sz w:val="24"/>
          <w:szCs w:val="24"/>
        </w:rPr>
      </w:pPr>
      <w:r>
        <w:rPr>
          <w:spacing w:val="-20"/>
          <w:sz w:val="24"/>
          <w:szCs w:val="24"/>
        </w:rPr>
        <w:t>综上所述，无论何时都必须在项目经理部树立起把安全、质量放在首位的概念，但由于工期的紧迫，这就要求项目部内的全体管理人员在施工前做好充分准备工作，熟悉施工工艺、了</w:t>
      </w:r>
      <w:r>
        <w:rPr>
          <w:spacing w:val="-23"/>
          <w:sz w:val="24"/>
          <w:szCs w:val="24"/>
        </w:rPr>
        <w:t>解施工流程图、编制每周、每月直到整个总进度计划，各大小节点</w:t>
      </w:r>
      <w:r>
        <w:rPr>
          <w:spacing w:val="-24"/>
          <w:sz w:val="24"/>
          <w:szCs w:val="24"/>
        </w:rPr>
        <w:t>的施工计划。并确保其保质、</w:t>
      </w:r>
      <w:r>
        <w:rPr>
          <w:spacing w:val="-18"/>
          <w:sz w:val="24"/>
          <w:szCs w:val="24"/>
        </w:rPr>
        <w:t>保量地完成。</w:t>
      </w:r>
    </w:p>
    <w:p w14:paraId="1CA219AF">
      <w:pPr>
        <w:pStyle w:val="2"/>
        <w:spacing w:line="217" w:lineRule="auto"/>
        <w:ind w:left="1893"/>
        <w:rPr>
          <w:sz w:val="24"/>
          <w:szCs w:val="24"/>
        </w:rPr>
      </w:pPr>
      <w:r>
        <w:rPr>
          <w:spacing w:val="-20"/>
          <w:sz w:val="24"/>
          <w:szCs w:val="24"/>
        </w:rPr>
        <w:t>（2）施工技术的质量控制措施</w:t>
      </w:r>
    </w:p>
    <w:p w14:paraId="2C7DE3DD">
      <w:pPr>
        <w:pStyle w:val="2"/>
        <w:spacing w:before="115" w:line="308" w:lineRule="auto"/>
        <w:ind w:left="1458" w:right="1353" w:firstLine="434"/>
        <w:rPr>
          <w:sz w:val="24"/>
          <w:szCs w:val="24"/>
        </w:rPr>
      </w:pPr>
      <w:r>
        <w:rPr>
          <w:spacing w:val="-20"/>
          <w:sz w:val="24"/>
          <w:szCs w:val="24"/>
        </w:rPr>
        <w:t>施工技术的先进性、科学性、合理性决定了施工质量的优劣。发放图纸后，内业技术人员会同施工工长先对图纸进行深化、熟悉、了解，提出施工图纸中的问题、难点、错误，并在图</w:t>
      </w:r>
      <w:r>
        <w:rPr>
          <w:spacing w:val="-24"/>
          <w:sz w:val="24"/>
          <w:szCs w:val="24"/>
        </w:rPr>
        <w:t>纸会审及设计交底时予以解决。同时，根据设计图纸的要求，对在施工过程中，质量难以控制，</w:t>
      </w:r>
      <w:r>
        <w:rPr>
          <w:spacing w:val="-20"/>
          <w:sz w:val="24"/>
          <w:szCs w:val="24"/>
        </w:rPr>
        <w:t>或要采取相应的技术措施，新的施工工艺才能达到保证质量目的的内容进行摘录。并组织有关人员进行深入研究，编制相应的作业指导书，从而在技术上对此类问题进行质量上的保证，并在实施过程中予以改进。</w:t>
      </w:r>
    </w:p>
    <w:p w14:paraId="62BE697F">
      <w:pPr>
        <w:pStyle w:val="2"/>
        <w:spacing w:before="4" w:line="307" w:lineRule="auto"/>
        <w:ind w:left="1459" w:right="1414" w:firstLine="433"/>
        <w:jc w:val="both"/>
        <w:rPr>
          <w:sz w:val="24"/>
          <w:szCs w:val="24"/>
        </w:rPr>
      </w:pPr>
      <w:r>
        <w:rPr>
          <w:spacing w:val="-20"/>
          <w:sz w:val="24"/>
          <w:szCs w:val="24"/>
        </w:rPr>
        <w:t>施工工长在熟悉图纸、施工方案或作业指导书的前提下，合理地安排施工工序、劳动力，并向操作人员作好相应的技术交底工作，落实质量保证计划、质量目标计划，特别是对一些施工难点，更应落实至班组每一个人，而且应让他们了解每次交底的施工流程、施工进度、图纸要求、质量控制标准，以便操作人员心里有数，从而保证操作中按要求施工，杜绝质量总是的</w:t>
      </w:r>
      <w:r>
        <w:rPr>
          <w:spacing w:val="-19"/>
          <w:sz w:val="24"/>
          <w:szCs w:val="24"/>
        </w:rPr>
        <w:t>出现。</w:t>
      </w:r>
    </w:p>
    <w:p w14:paraId="34CAC539">
      <w:pPr>
        <w:pStyle w:val="2"/>
        <w:spacing w:before="3" w:line="307" w:lineRule="auto"/>
        <w:ind w:left="1456" w:right="1411" w:firstLine="436"/>
        <w:jc w:val="both"/>
        <w:rPr>
          <w:sz w:val="24"/>
          <w:szCs w:val="24"/>
        </w:rPr>
      </w:pPr>
      <w:r>
        <w:rPr>
          <w:spacing w:val="-20"/>
          <w:sz w:val="24"/>
          <w:szCs w:val="24"/>
        </w:rPr>
        <w:t>施工操作人员是工程质量的直接责任者，故对施工操作人员自身的素质以及对他们的管理均要有严格的要求，对操作人员加强质量意识的同时，加强管理，以确保操作过程中的质量要</w:t>
      </w:r>
      <w:r>
        <w:rPr>
          <w:spacing w:val="-18"/>
          <w:sz w:val="24"/>
          <w:szCs w:val="24"/>
        </w:rPr>
        <w:t>求。</w:t>
      </w:r>
    </w:p>
    <w:p w14:paraId="12F3CBC4">
      <w:pPr>
        <w:pStyle w:val="2"/>
        <w:spacing w:before="3" w:line="307" w:lineRule="auto"/>
        <w:ind w:left="1455" w:right="1356" w:firstLine="445"/>
        <w:jc w:val="both"/>
        <w:rPr>
          <w:sz w:val="24"/>
          <w:szCs w:val="24"/>
        </w:rPr>
      </w:pPr>
      <w:r>
        <w:rPr>
          <w:spacing w:val="-24"/>
          <w:sz w:val="24"/>
          <w:szCs w:val="24"/>
        </w:rPr>
        <w:t>首先，对每个进入本项目施工的人员，均要求达到一定的技术等级，具有相应的操作技能，</w:t>
      </w:r>
      <w:r>
        <w:rPr>
          <w:spacing w:val="-20"/>
          <w:sz w:val="24"/>
          <w:szCs w:val="24"/>
        </w:rPr>
        <w:t>特殊工种必须持证上岗，对每个进场的劳动力进行考核，同时，在施工中进行考察，对不合格</w:t>
      </w:r>
      <w:r>
        <w:rPr>
          <w:spacing w:val="-21"/>
          <w:sz w:val="24"/>
          <w:szCs w:val="24"/>
        </w:rPr>
        <w:t>的施工人员坚决退场，以保证操作者身具有合格的技术素质。</w:t>
      </w:r>
    </w:p>
    <w:p w14:paraId="75E96D33">
      <w:pPr>
        <w:pStyle w:val="2"/>
        <w:spacing w:before="1" w:line="308" w:lineRule="auto"/>
        <w:ind w:left="1456" w:right="1409" w:firstLine="438"/>
        <w:rPr>
          <w:sz w:val="24"/>
          <w:szCs w:val="24"/>
        </w:rPr>
      </w:pPr>
      <w:r>
        <w:rPr>
          <w:spacing w:val="-20"/>
          <w:sz w:val="24"/>
          <w:szCs w:val="24"/>
        </w:rPr>
        <w:t>其次，加强对每个施工人员的质量意识教育，提高他们的质量意识，自觉按操作规程进行</w:t>
      </w:r>
      <w:r>
        <w:rPr>
          <w:spacing w:val="-21"/>
          <w:sz w:val="24"/>
          <w:szCs w:val="24"/>
        </w:rPr>
        <w:t>操作。</w:t>
      </w:r>
    </w:p>
    <w:p w14:paraId="54A1DAE7">
      <w:pPr>
        <w:pStyle w:val="2"/>
        <w:spacing w:before="2" w:line="307" w:lineRule="auto"/>
        <w:ind w:left="1458" w:right="1410" w:firstLine="437"/>
        <w:jc w:val="both"/>
        <w:rPr>
          <w:sz w:val="24"/>
          <w:szCs w:val="24"/>
        </w:rPr>
      </w:pPr>
      <w:r>
        <w:rPr>
          <w:spacing w:val="-20"/>
          <w:sz w:val="24"/>
          <w:szCs w:val="24"/>
        </w:rPr>
        <w:t>再次，施工管理人员，特别是工长及质检人员，应随时对操作人员所施工的内容、过程进行检查，在现场为他们解决施工难点，进行质量标准的测试，随时指出达不到质量要求及标准</w:t>
      </w:r>
      <w:r>
        <w:rPr>
          <w:spacing w:val="-21"/>
          <w:sz w:val="24"/>
          <w:szCs w:val="24"/>
        </w:rPr>
        <w:t>的部位，并要求操作前整改。</w:t>
      </w:r>
    </w:p>
    <w:p w14:paraId="671D65DB">
      <w:pPr>
        <w:pStyle w:val="2"/>
        <w:spacing w:line="307" w:lineRule="auto"/>
        <w:ind w:left="1459" w:right="1411" w:firstLine="440"/>
        <w:rPr>
          <w:sz w:val="24"/>
          <w:szCs w:val="24"/>
        </w:rPr>
      </w:pPr>
      <w:r>
        <w:rPr>
          <w:spacing w:val="-20"/>
          <w:sz w:val="24"/>
          <w:szCs w:val="24"/>
        </w:rPr>
        <w:t>最后，在施工中各工序要坚持自检、互检、专业检制度在整个施工过程中，做到工前有交</w:t>
      </w:r>
      <w:r>
        <w:rPr>
          <w:spacing w:val="-22"/>
          <w:sz w:val="24"/>
          <w:szCs w:val="24"/>
        </w:rPr>
        <w:t>底，过程有检查，工后有验收的“一条龙”操作管理方式，以确保工程质量。</w:t>
      </w:r>
    </w:p>
    <w:p w14:paraId="101A795E">
      <w:pPr>
        <w:pStyle w:val="2"/>
        <w:spacing w:before="2" w:line="217" w:lineRule="auto"/>
        <w:ind w:left="1893"/>
        <w:rPr>
          <w:sz w:val="24"/>
          <w:szCs w:val="24"/>
        </w:rPr>
      </w:pPr>
      <w:r>
        <w:rPr>
          <w:spacing w:val="-20"/>
          <w:sz w:val="24"/>
          <w:szCs w:val="24"/>
        </w:rPr>
        <w:t>（3）施工中的计量管理的保证措施</w:t>
      </w:r>
    </w:p>
    <w:p w14:paraId="253E7397">
      <w:pPr>
        <w:pStyle w:val="2"/>
        <w:spacing w:before="118" w:line="307" w:lineRule="auto"/>
        <w:ind w:left="1455" w:right="1410" w:firstLine="437"/>
        <w:rPr>
          <w:sz w:val="24"/>
          <w:szCs w:val="24"/>
        </w:rPr>
      </w:pPr>
      <w:r>
        <w:rPr>
          <w:spacing w:val="-20"/>
          <w:sz w:val="24"/>
          <w:szCs w:val="24"/>
        </w:rPr>
        <w:t>计量管理是企业管理的基础工作，项目要想提高管理水平，适应社会主义市场经济，提高</w:t>
      </w:r>
      <w:r>
        <w:rPr>
          <w:spacing w:val="-22"/>
          <w:sz w:val="24"/>
          <w:szCs w:val="24"/>
        </w:rPr>
        <w:t>施工质量，降低物耗、能耗，就必须加强计量管理工作。</w:t>
      </w:r>
    </w:p>
    <w:p w14:paraId="66E50664">
      <w:pPr>
        <w:pStyle w:val="2"/>
        <w:spacing w:before="2" w:line="264" w:lineRule="auto"/>
        <w:ind w:left="1460" w:right="1412" w:firstLine="425"/>
        <w:rPr>
          <w:sz w:val="24"/>
          <w:szCs w:val="24"/>
        </w:rPr>
      </w:pPr>
      <w:r>
        <w:rPr>
          <w:spacing w:val="-20"/>
          <w:sz w:val="24"/>
          <w:szCs w:val="24"/>
        </w:rPr>
        <w:t>①按ISO9000族标准要求建立计量确体系，根据本基础上的实际情况，规范各个部门有关</w:t>
      </w:r>
      <w:r>
        <w:rPr>
          <w:spacing w:val="-18"/>
          <w:sz w:val="24"/>
          <w:szCs w:val="24"/>
        </w:rPr>
        <w:t>人员职责。</w:t>
      </w:r>
    </w:p>
    <w:p w14:paraId="6ABA300D">
      <w:pPr>
        <w:pStyle w:val="2"/>
        <w:spacing w:before="112" w:line="216" w:lineRule="auto"/>
        <w:ind w:left="1884"/>
        <w:rPr>
          <w:sz w:val="24"/>
          <w:szCs w:val="24"/>
        </w:rPr>
      </w:pPr>
      <w:r>
        <w:rPr>
          <w:spacing w:val="-19"/>
          <w:sz w:val="24"/>
          <w:szCs w:val="24"/>
        </w:rPr>
        <w:t>②认真执行国家有关计量工作的法令、法规及上级有关计量规定，认真执行本企业计量管</w:t>
      </w:r>
    </w:p>
    <w:p w14:paraId="5C3DE57D">
      <w:pPr>
        <w:spacing w:line="216" w:lineRule="auto"/>
        <w:rPr>
          <w:sz w:val="24"/>
          <w:szCs w:val="24"/>
        </w:rPr>
        <w:sectPr>
          <w:footerReference r:id="rId211" w:type="default"/>
          <w:pgSz w:w="11907" w:h="16839"/>
          <w:pgMar w:top="954" w:right="4" w:bottom="1038" w:left="0" w:header="499" w:footer="357" w:gutter="0"/>
          <w:pgBorders>
            <w:top w:val="none" w:sz="0" w:space="0"/>
            <w:left w:val="none" w:sz="0" w:space="0"/>
            <w:bottom w:val="none" w:sz="0" w:space="0"/>
            <w:right w:val="none" w:sz="0" w:space="0"/>
          </w:pgBorders>
          <w:cols w:space="720" w:num="1"/>
        </w:sectPr>
      </w:pPr>
    </w:p>
    <w:p w14:paraId="65A29753">
      <w:pPr>
        <w:spacing w:line="250" w:lineRule="auto"/>
        <w:rPr>
          <w:rFonts w:ascii="Arial"/>
          <w:sz w:val="21"/>
        </w:rPr>
      </w:pPr>
    </w:p>
    <w:p w14:paraId="2D9DE346">
      <w:pPr>
        <w:pStyle w:val="2"/>
        <w:spacing w:before="78" w:line="216" w:lineRule="auto"/>
        <w:ind w:left="1458"/>
        <w:rPr>
          <w:sz w:val="24"/>
          <w:szCs w:val="24"/>
        </w:rPr>
      </w:pPr>
      <w:r>
        <w:rPr>
          <w:spacing w:val="-22"/>
          <w:sz w:val="24"/>
          <w:szCs w:val="24"/>
        </w:rPr>
        <w:t>理制作及计量程序文件。</w:t>
      </w:r>
    </w:p>
    <w:p w14:paraId="024BDB26">
      <w:pPr>
        <w:pStyle w:val="2"/>
        <w:spacing w:before="120" w:line="215" w:lineRule="auto"/>
        <w:ind w:left="1884"/>
        <w:rPr>
          <w:sz w:val="24"/>
          <w:szCs w:val="24"/>
        </w:rPr>
      </w:pPr>
      <w:r>
        <w:rPr>
          <w:spacing w:val="-21"/>
          <w:sz w:val="24"/>
          <w:szCs w:val="24"/>
        </w:rPr>
        <w:t>③建立项目计量台帐，作好计量季报表的上报工作并保存原始资料。</w:t>
      </w:r>
    </w:p>
    <w:p w14:paraId="584B1D65">
      <w:pPr>
        <w:pStyle w:val="2"/>
        <w:spacing w:before="119" w:line="263" w:lineRule="auto"/>
        <w:ind w:left="1459" w:right="1409" w:firstLine="425"/>
        <w:rPr>
          <w:sz w:val="24"/>
          <w:szCs w:val="24"/>
        </w:rPr>
      </w:pPr>
      <w:r>
        <w:rPr>
          <w:spacing w:val="-19"/>
          <w:sz w:val="24"/>
          <w:szCs w:val="24"/>
        </w:rPr>
        <w:t>④根据实际施工情况，编制计量网络图，并根据网络图及施</w:t>
      </w:r>
      <w:r>
        <w:rPr>
          <w:spacing w:val="-20"/>
          <w:sz w:val="24"/>
          <w:szCs w:val="24"/>
        </w:rPr>
        <w:t>工生产的实际需要提出计量器</w:t>
      </w:r>
      <w:r>
        <w:rPr>
          <w:spacing w:val="-21"/>
          <w:sz w:val="24"/>
          <w:szCs w:val="24"/>
        </w:rPr>
        <w:t>具配备计划。</w:t>
      </w:r>
    </w:p>
    <w:p w14:paraId="6EBBF71B">
      <w:pPr>
        <w:pStyle w:val="2"/>
        <w:spacing w:before="117" w:line="261" w:lineRule="auto"/>
        <w:ind w:left="1458" w:right="1409" w:firstLine="426"/>
        <w:rPr>
          <w:sz w:val="24"/>
          <w:szCs w:val="24"/>
        </w:rPr>
      </w:pPr>
      <w:r>
        <w:rPr>
          <w:spacing w:val="-19"/>
          <w:sz w:val="24"/>
          <w:szCs w:val="24"/>
        </w:rPr>
        <w:t>⑤监督、检查施工过程及质量检验过程中所使用的计量器具</w:t>
      </w:r>
      <w:r>
        <w:rPr>
          <w:spacing w:val="-20"/>
          <w:sz w:val="24"/>
          <w:szCs w:val="24"/>
        </w:rPr>
        <w:t>，按技术监督部门规定的制度</w:t>
      </w:r>
      <w:r>
        <w:rPr>
          <w:spacing w:val="-21"/>
          <w:sz w:val="24"/>
          <w:szCs w:val="24"/>
        </w:rPr>
        <w:t>进行定期检查，不使用超周期及不合格的计量器具。</w:t>
      </w:r>
    </w:p>
    <w:p w14:paraId="7D150A38">
      <w:pPr>
        <w:pStyle w:val="2"/>
        <w:spacing w:before="120" w:line="262" w:lineRule="auto"/>
        <w:ind w:left="1455" w:right="1409" w:firstLine="429"/>
        <w:rPr>
          <w:sz w:val="24"/>
          <w:szCs w:val="24"/>
        </w:rPr>
      </w:pPr>
      <w:r>
        <w:rPr>
          <w:spacing w:val="-19"/>
          <w:sz w:val="24"/>
          <w:szCs w:val="24"/>
        </w:rPr>
        <w:t>⑥每月按时采集水、电消耗计量检测数，认真填写原始记录</w:t>
      </w:r>
      <w:r>
        <w:rPr>
          <w:spacing w:val="-20"/>
          <w:sz w:val="24"/>
          <w:szCs w:val="24"/>
        </w:rPr>
        <w:t>。每次抄表数必须以实际抄表</w:t>
      </w:r>
      <w:r>
        <w:rPr>
          <w:spacing w:val="-21"/>
          <w:sz w:val="24"/>
          <w:szCs w:val="24"/>
        </w:rPr>
        <w:t>数为准，不得估算。</w:t>
      </w:r>
    </w:p>
    <w:p w14:paraId="00A89BA7">
      <w:pPr>
        <w:pStyle w:val="2"/>
        <w:spacing w:before="118" w:line="216" w:lineRule="auto"/>
        <w:ind w:left="1884"/>
        <w:rPr>
          <w:sz w:val="24"/>
          <w:szCs w:val="24"/>
        </w:rPr>
      </w:pPr>
      <w:r>
        <w:rPr>
          <w:spacing w:val="-21"/>
          <w:sz w:val="24"/>
          <w:szCs w:val="24"/>
        </w:rPr>
        <w:t>⑦认真作好各种物料进出场的原始记录及计量检测项目。</w:t>
      </w:r>
    </w:p>
    <w:p w14:paraId="39E79C0A">
      <w:pPr>
        <w:pStyle w:val="2"/>
        <w:spacing w:before="69" w:line="217" w:lineRule="auto"/>
        <w:ind w:left="4310"/>
        <w:outlineLvl w:val="1"/>
        <w:rPr>
          <w:sz w:val="30"/>
          <w:szCs w:val="30"/>
        </w:rPr>
      </w:pPr>
      <w:bookmarkStart w:id="146" w:name="bookmark139"/>
      <w:bookmarkEnd w:id="146"/>
      <w:r>
        <w:rPr>
          <w:b/>
          <w:bCs/>
          <w:color w:val="0070C0"/>
          <w:spacing w:val="-24"/>
          <w:sz w:val="30"/>
          <w:szCs w:val="30"/>
        </w:rPr>
        <w:t>第五节、全面质量管理措施</w:t>
      </w:r>
    </w:p>
    <w:p w14:paraId="373E16C2">
      <w:pPr>
        <w:pStyle w:val="2"/>
        <w:spacing w:before="99" w:line="307" w:lineRule="auto"/>
        <w:ind w:left="1462" w:right="1343" w:firstLine="432"/>
        <w:rPr>
          <w:sz w:val="24"/>
          <w:szCs w:val="24"/>
        </w:rPr>
      </w:pPr>
      <w:r>
        <w:rPr>
          <w:spacing w:val="-23"/>
          <w:sz w:val="24"/>
          <w:szCs w:val="24"/>
        </w:rPr>
        <w:t>在本工程的施工过程中，项目经理部将大力推行及</w:t>
      </w:r>
      <w:r>
        <w:rPr>
          <w:spacing w:val="-24"/>
          <w:sz w:val="24"/>
          <w:szCs w:val="24"/>
        </w:rPr>
        <w:t>开展全面质量管理活动，以实行全过程、</w:t>
      </w:r>
      <w:r>
        <w:rPr>
          <w:spacing w:val="-20"/>
          <w:sz w:val="24"/>
          <w:szCs w:val="24"/>
        </w:rPr>
        <w:t>全员、全方位的“三全”管理为基本手段，开展群众性的质量管理和QC小组活动。</w:t>
      </w:r>
    </w:p>
    <w:p w14:paraId="410A428A">
      <w:pPr>
        <w:pStyle w:val="2"/>
        <w:spacing w:line="308" w:lineRule="auto"/>
        <w:ind w:left="1460" w:right="1410" w:firstLine="433"/>
        <w:jc w:val="both"/>
        <w:rPr>
          <w:sz w:val="24"/>
          <w:szCs w:val="24"/>
        </w:rPr>
      </w:pPr>
      <w:r>
        <w:rPr>
          <w:spacing w:val="-20"/>
          <w:sz w:val="24"/>
          <w:szCs w:val="24"/>
        </w:rPr>
        <w:t>项目施工的五大因素为“人、机、物、环、法”，而人因素是最重要的，对进入施工现场的所有人员均树立起质量第一的观念。加强质量意识、质量教育，提高施工管理人员及施工操</w:t>
      </w:r>
      <w:r>
        <w:rPr>
          <w:spacing w:val="-21"/>
          <w:sz w:val="24"/>
          <w:szCs w:val="24"/>
        </w:rPr>
        <w:t>作人员的质量觉悟，自觉地把抓质量作为自身最</w:t>
      </w:r>
      <w:r>
        <w:rPr>
          <w:spacing w:val="-22"/>
          <w:sz w:val="24"/>
          <w:szCs w:val="24"/>
        </w:rPr>
        <w:t>重要的任务。</w:t>
      </w:r>
    </w:p>
    <w:p w14:paraId="473D8DE0">
      <w:pPr>
        <w:pStyle w:val="2"/>
        <w:spacing w:before="1" w:line="307" w:lineRule="auto"/>
        <w:ind w:left="1456" w:right="1459" w:firstLine="442"/>
        <w:rPr>
          <w:sz w:val="24"/>
          <w:szCs w:val="24"/>
        </w:rPr>
      </w:pPr>
      <w:r>
        <w:rPr>
          <w:spacing w:val="-21"/>
          <w:sz w:val="24"/>
          <w:szCs w:val="24"/>
        </w:rPr>
        <w:t>全面质量管理的主要内容是围绕《质量保证计划》质量保证体系、质量管理体系来开展，应根据这些内容做好本工程的各项质量工作。</w:t>
      </w:r>
    </w:p>
    <w:p w14:paraId="06DFBF78">
      <w:pPr>
        <w:pStyle w:val="2"/>
        <w:spacing w:before="4" w:line="307" w:lineRule="auto"/>
        <w:ind w:left="1459" w:right="1412" w:firstLine="439"/>
        <w:jc w:val="both"/>
        <w:rPr>
          <w:sz w:val="24"/>
          <w:szCs w:val="24"/>
        </w:rPr>
      </w:pPr>
      <w:r>
        <w:rPr>
          <w:spacing w:val="-21"/>
          <w:sz w:val="24"/>
          <w:szCs w:val="24"/>
        </w:rPr>
        <w:t>全面质量管理的目标将严格按国家验收标准来开展活动，以开展QC小组活动来标准全面质量管理等手段来达到。为此，应建立由管理人员、操作人员共同组成的QC小级，以开展质量活</w:t>
      </w:r>
      <w:r>
        <w:rPr>
          <w:spacing w:val="-18"/>
          <w:sz w:val="24"/>
          <w:szCs w:val="24"/>
        </w:rPr>
        <w:t>动来提高专项分部工程的质量，在本工程拟建立2个QC小组。</w:t>
      </w:r>
    </w:p>
    <w:p w14:paraId="7D22FF3F">
      <w:pPr>
        <w:pStyle w:val="2"/>
        <w:spacing w:before="1" w:line="218" w:lineRule="auto"/>
        <w:ind w:left="1903"/>
        <w:rPr>
          <w:sz w:val="24"/>
          <w:szCs w:val="24"/>
        </w:rPr>
      </w:pPr>
      <w:r>
        <w:rPr>
          <w:spacing w:val="-11"/>
          <w:sz w:val="24"/>
          <w:szCs w:val="24"/>
        </w:rPr>
        <w:t>1、测量QC小组</w:t>
      </w:r>
    </w:p>
    <w:p w14:paraId="389C0E85">
      <w:pPr>
        <w:pStyle w:val="2"/>
        <w:spacing w:before="117" w:line="307" w:lineRule="auto"/>
        <w:ind w:left="1463" w:right="1409" w:firstLine="432"/>
        <w:rPr>
          <w:sz w:val="24"/>
          <w:szCs w:val="24"/>
        </w:rPr>
      </w:pPr>
      <w:r>
        <w:rPr>
          <w:spacing w:val="-21"/>
          <w:sz w:val="24"/>
          <w:szCs w:val="24"/>
        </w:rPr>
        <w:t>成立此QC小组主要是保证对本工程的各项质量指标达到相应的要求，对整个工程质量的提</w:t>
      </w:r>
      <w:r>
        <w:rPr>
          <w:spacing w:val="-20"/>
          <w:sz w:val="24"/>
          <w:szCs w:val="24"/>
        </w:rPr>
        <w:t>高起到促进作用。</w:t>
      </w:r>
    </w:p>
    <w:p w14:paraId="71BB8ED4">
      <w:pPr>
        <w:pStyle w:val="2"/>
        <w:spacing w:line="218" w:lineRule="auto"/>
        <w:ind w:left="1888"/>
        <w:rPr>
          <w:sz w:val="24"/>
          <w:szCs w:val="24"/>
        </w:rPr>
      </w:pPr>
      <w:r>
        <w:rPr>
          <w:spacing w:val="-15"/>
          <w:sz w:val="24"/>
          <w:szCs w:val="24"/>
        </w:rPr>
        <w:t>2、施工进度计划管理QC小组</w:t>
      </w:r>
    </w:p>
    <w:p w14:paraId="798D66D7">
      <w:pPr>
        <w:pStyle w:val="2"/>
        <w:spacing w:before="119" w:line="294" w:lineRule="auto"/>
        <w:ind w:left="1460" w:right="1409" w:firstLine="439"/>
        <w:rPr>
          <w:sz w:val="24"/>
          <w:szCs w:val="24"/>
        </w:rPr>
      </w:pPr>
      <w:r>
        <w:rPr>
          <w:spacing w:val="-20"/>
          <w:sz w:val="24"/>
          <w:szCs w:val="24"/>
        </w:rPr>
        <w:t>主要解决施工进度计划在施工过程中的落实，在保证质量、安全、文明施工的前提下，按时完成周计划、月计划至分阶段计划直至总施工进度计划。在中标后，我们将根据实际情况再</w:t>
      </w:r>
      <w:r>
        <w:rPr>
          <w:spacing w:val="-19"/>
          <w:sz w:val="24"/>
          <w:szCs w:val="24"/>
        </w:rPr>
        <w:t>成立1～2个QC小组，以带动整个工程在施工中的全面质量管理活动的</w:t>
      </w:r>
      <w:r>
        <w:rPr>
          <w:spacing w:val="-20"/>
          <w:sz w:val="24"/>
          <w:szCs w:val="24"/>
        </w:rPr>
        <w:t>开展。</w:t>
      </w:r>
    </w:p>
    <w:p w14:paraId="7168ECF3">
      <w:pPr>
        <w:pStyle w:val="2"/>
        <w:spacing w:before="2" w:line="215" w:lineRule="auto"/>
        <w:ind w:left="3892"/>
        <w:outlineLvl w:val="1"/>
        <w:rPr>
          <w:sz w:val="30"/>
          <w:szCs w:val="30"/>
        </w:rPr>
      </w:pPr>
      <w:bookmarkStart w:id="147" w:name="bookmark140"/>
      <w:bookmarkEnd w:id="147"/>
      <w:r>
        <w:rPr>
          <w:b/>
          <w:bCs/>
          <w:color w:val="0070C0"/>
          <w:spacing w:val="-24"/>
          <w:sz w:val="30"/>
          <w:szCs w:val="30"/>
        </w:rPr>
        <w:t>第六节、材料和设备质量保证措施</w:t>
      </w:r>
    </w:p>
    <w:p w14:paraId="3F38301D">
      <w:pPr>
        <w:pStyle w:val="2"/>
        <w:spacing w:before="102" w:line="216" w:lineRule="auto"/>
        <w:ind w:left="1893"/>
        <w:rPr>
          <w:sz w:val="24"/>
          <w:szCs w:val="24"/>
        </w:rPr>
      </w:pPr>
      <w:r>
        <w:rPr>
          <w:spacing w:val="-20"/>
          <w:sz w:val="24"/>
          <w:szCs w:val="24"/>
        </w:rPr>
        <w:t>（一）原材料质量控制</w:t>
      </w:r>
    </w:p>
    <w:p w14:paraId="49E20809">
      <w:pPr>
        <w:pStyle w:val="2"/>
        <w:spacing w:before="118" w:line="308" w:lineRule="auto"/>
        <w:ind w:left="1458" w:right="1409" w:firstLine="439"/>
        <w:rPr>
          <w:sz w:val="24"/>
          <w:szCs w:val="24"/>
        </w:rPr>
      </w:pPr>
      <w:r>
        <w:rPr>
          <w:spacing w:val="-20"/>
          <w:sz w:val="24"/>
          <w:szCs w:val="24"/>
        </w:rPr>
        <w:t>原材料的质量是工程质量的基础，材料的质量不合格，则工程质量就不可能符合标准，因</w:t>
      </w:r>
      <w:r>
        <w:rPr>
          <w:spacing w:val="-21"/>
          <w:sz w:val="24"/>
          <w:szCs w:val="24"/>
        </w:rPr>
        <w:t>此，我们在施工中，要加强对原材料的质量控制。</w:t>
      </w:r>
    </w:p>
    <w:p w14:paraId="1E3C8745">
      <w:pPr>
        <w:pStyle w:val="2"/>
        <w:spacing w:line="216" w:lineRule="auto"/>
        <w:ind w:left="1903"/>
        <w:rPr>
          <w:sz w:val="24"/>
          <w:szCs w:val="24"/>
        </w:rPr>
      </w:pPr>
      <w:r>
        <w:rPr>
          <w:spacing w:val="-19"/>
          <w:sz w:val="24"/>
          <w:szCs w:val="24"/>
        </w:rPr>
        <w:t>1、原材料的选用</w:t>
      </w:r>
    </w:p>
    <w:p w14:paraId="066299EA">
      <w:pPr>
        <w:pStyle w:val="2"/>
        <w:spacing w:before="119" w:line="308" w:lineRule="auto"/>
        <w:ind w:left="1460" w:right="1410" w:firstLine="437"/>
        <w:rPr>
          <w:sz w:val="24"/>
          <w:szCs w:val="24"/>
        </w:rPr>
      </w:pPr>
      <w:r>
        <w:rPr>
          <w:spacing w:val="-20"/>
          <w:sz w:val="24"/>
          <w:szCs w:val="24"/>
        </w:rPr>
        <w:t>原材料的选用原则上在建设单位指定的料场选材，但也要有选择性的优先选取质量优、级</w:t>
      </w:r>
      <w:r>
        <w:rPr>
          <w:spacing w:val="-21"/>
          <w:sz w:val="24"/>
          <w:szCs w:val="24"/>
        </w:rPr>
        <w:t>配好、规模大、料源足的场地。</w:t>
      </w:r>
    </w:p>
    <w:p w14:paraId="73B297C2">
      <w:pPr>
        <w:pStyle w:val="2"/>
        <w:spacing w:before="1" w:line="215" w:lineRule="auto"/>
        <w:ind w:left="1888"/>
        <w:rPr>
          <w:sz w:val="24"/>
          <w:szCs w:val="24"/>
        </w:rPr>
      </w:pPr>
      <w:r>
        <w:rPr>
          <w:spacing w:val="-19"/>
          <w:sz w:val="24"/>
          <w:szCs w:val="24"/>
        </w:rPr>
        <w:t>2、建立严格的原材料试验制度</w:t>
      </w:r>
    </w:p>
    <w:p w14:paraId="4BA6ED39">
      <w:pPr>
        <w:pStyle w:val="2"/>
        <w:spacing w:before="118" w:line="215" w:lineRule="auto"/>
        <w:ind w:left="1895"/>
        <w:rPr>
          <w:sz w:val="24"/>
          <w:szCs w:val="24"/>
        </w:rPr>
      </w:pPr>
      <w:r>
        <w:rPr>
          <w:spacing w:val="-19"/>
          <w:sz w:val="24"/>
          <w:szCs w:val="24"/>
        </w:rPr>
        <w:t>进场的原材料，必须依相应的国家规定取样试验，对原材料的取样，必须注意</w:t>
      </w:r>
      <w:r>
        <w:rPr>
          <w:spacing w:val="-20"/>
          <w:sz w:val="24"/>
          <w:szCs w:val="24"/>
        </w:rPr>
        <w:t>其代表性，</w:t>
      </w:r>
    </w:p>
    <w:p w14:paraId="043178C7">
      <w:pPr>
        <w:spacing w:line="215" w:lineRule="auto"/>
        <w:rPr>
          <w:sz w:val="24"/>
          <w:szCs w:val="24"/>
        </w:rPr>
        <w:sectPr>
          <w:footerReference r:id="rId212" w:type="default"/>
          <w:pgSz w:w="11907" w:h="16839"/>
          <w:pgMar w:top="954" w:right="4" w:bottom="1038" w:left="0" w:header="499" w:footer="357" w:gutter="0"/>
          <w:pgBorders>
            <w:top w:val="none" w:sz="0" w:space="0"/>
            <w:left w:val="none" w:sz="0" w:space="0"/>
            <w:bottom w:val="none" w:sz="0" w:space="0"/>
            <w:right w:val="none" w:sz="0" w:space="0"/>
          </w:pgBorders>
          <w:cols w:space="720" w:num="1"/>
        </w:sectPr>
      </w:pPr>
    </w:p>
    <w:p w14:paraId="61BB3196">
      <w:pPr>
        <w:spacing w:line="249" w:lineRule="auto"/>
        <w:rPr>
          <w:rFonts w:ascii="Arial"/>
          <w:sz w:val="21"/>
        </w:rPr>
      </w:pPr>
    </w:p>
    <w:p w14:paraId="6F34DB87">
      <w:pPr>
        <w:pStyle w:val="2"/>
        <w:spacing w:before="78" w:line="308" w:lineRule="auto"/>
        <w:ind w:left="1462" w:right="1415" w:hanging="2"/>
        <w:rPr>
          <w:sz w:val="24"/>
          <w:szCs w:val="24"/>
        </w:rPr>
      </w:pPr>
      <w:r>
        <w:rPr>
          <w:spacing w:val="-20"/>
          <w:sz w:val="24"/>
          <w:szCs w:val="24"/>
        </w:rPr>
        <w:t>必须依试验规程规定的取样方式进行取样，即使是报验的材料检验合格，对同一批原材料仍须</w:t>
      </w:r>
      <w:r>
        <w:rPr>
          <w:spacing w:val="-22"/>
          <w:sz w:val="24"/>
          <w:szCs w:val="24"/>
        </w:rPr>
        <w:t>注意其质量的稳定性，发现可疑的材料应立即重新取样试验。</w:t>
      </w:r>
    </w:p>
    <w:p w14:paraId="4FE20D6B">
      <w:pPr>
        <w:pStyle w:val="2"/>
        <w:spacing w:before="1" w:line="215" w:lineRule="auto"/>
        <w:ind w:left="1890"/>
        <w:rPr>
          <w:sz w:val="24"/>
          <w:szCs w:val="24"/>
        </w:rPr>
      </w:pPr>
      <w:r>
        <w:rPr>
          <w:spacing w:val="-20"/>
          <w:sz w:val="24"/>
          <w:szCs w:val="24"/>
        </w:rPr>
        <w:t>3、选择有资质的技术力量强的试验室</w:t>
      </w:r>
    </w:p>
    <w:p w14:paraId="40384CE1">
      <w:pPr>
        <w:pStyle w:val="2"/>
        <w:spacing w:before="120" w:line="216" w:lineRule="auto"/>
        <w:ind w:left="1895"/>
        <w:rPr>
          <w:sz w:val="24"/>
          <w:szCs w:val="24"/>
        </w:rPr>
      </w:pPr>
      <w:r>
        <w:rPr>
          <w:spacing w:val="-21"/>
          <w:sz w:val="24"/>
          <w:szCs w:val="24"/>
        </w:rPr>
        <w:t>如果我公司中标，我们将选择资质优质的实验室进行各</w:t>
      </w:r>
      <w:r>
        <w:rPr>
          <w:spacing w:val="-22"/>
          <w:sz w:val="24"/>
          <w:szCs w:val="24"/>
        </w:rPr>
        <w:t>种材料试验。</w:t>
      </w:r>
    </w:p>
    <w:p w14:paraId="0B8344A0">
      <w:pPr>
        <w:pStyle w:val="2"/>
        <w:spacing w:before="117" w:line="308" w:lineRule="auto"/>
        <w:ind w:left="1431" w:right="1342" w:firstLine="453"/>
        <w:jc w:val="both"/>
        <w:rPr>
          <w:sz w:val="24"/>
          <w:szCs w:val="24"/>
        </w:rPr>
      </w:pPr>
      <w:r>
        <w:rPr>
          <w:spacing w:val="-22"/>
          <w:sz w:val="24"/>
          <w:szCs w:val="24"/>
        </w:rPr>
        <w:t>4、施工材料的质量，尤其是用于结构施工的材料质量，将会直接影响到整个工程结构的安</w:t>
      </w:r>
      <w:r>
        <w:rPr>
          <w:spacing w:val="-19"/>
          <w:sz w:val="24"/>
          <w:szCs w:val="24"/>
        </w:rPr>
        <w:t>全，为保证材料质量，要求材料部门严格按有关文件、规定及相关质量体系文件</w:t>
      </w:r>
      <w:r>
        <w:rPr>
          <w:spacing w:val="-20"/>
          <w:sz w:val="24"/>
          <w:szCs w:val="24"/>
        </w:rPr>
        <w:t>进行操作及管</w:t>
      </w:r>
      <w:r>
        <w:rPr>
          <w:spacing w:val="-23"/>
          <w:sz w:val="24"/>
          <w:szCs w:val="24"/>
        </w:rPr>
        <w:t>理。对采购的原材料构（配）件、半成品等，均要建立完善的验收及送检制度，做到“四检”、</w:t>
      </w:r>
      <w:r>
        <w:rPr>
          <w:spacing w:val="-19"/>
          <w:sz w:val="24"/>
          <w:szCs w:val="24"/>
        </w:rPr>
        <w:t>“三把关”。即“验规格、验品种、验数量、验质量”、“材料验收人员把关、</w:t>
      </w:r>
      <w:r>
        <w:rPr>
          <w:spacing w:val="-20"/>
          <w:sz w:val="24"/>
          <w:szCs w:val="24"/>
        </w:rPr>
        <w:t>技术质量试验</w:t>
      </w:r>
      <w:r>
        <w:rPr>
          <w:spacing w:val="-19"/>
          <w:sz w:val="24"/>
          <w:szCs w:val="24"/>
        </w:rPr>
        <w:t>人员把关、操作人员把关”，杜绝不合格材料进入现场，更不允许不合格材料用</w:t>
      </w:r>
      <w:r>
        <w:rPr>
          <w:spacing w:val="-20"/>
          <w:sz w:val="24"/>
          <w:szCs w:val="24"/>
        </w:rPr>
        <w:t>于施工，以保证用于本工程上的各种材料均是合格优质的材料。</w:t>
      </w:r>
    </w:p>
    <w:p w14:paraId="62A801E3">
      <w:pPr>
        <w:pStyle w:val="2"/>
        <w:spacing w:before="2" w:line="307" w:lineRule="auto"/>
        <w:ind w:left="1455" w:right="1342" w:firstLine="439"/>
        <w:jc w:val="both"/>
        <w:rPr>
          <w:sz w:val="24"/>
          <w:szCs w:val="24"/>
        </w:rPr>
      </w:pPr>
      <w:r>
        <w:rPr>
          <w:spacing w:val="-23"/>
          <w:sz w:val="24"/>
          <w:szCs w:val="24"/>
        </w:rPr>
        <w:t>在材料进场时，一定要求供应商随货提供产品的出厂</w:t>
      </w:r>
      <w:r>
        <w:rPr>
          <w:spacing w:val="-24"/>
          <w:sz w:val="24"/>
          <w:szCs w:val="24"/>
        </w:rPr>
        <w:t>合格证或质保书；同时对管材、钢材、</w:t>
      </w:r>
      <w:r>
        <w:rPr>
          <w:spacing w:val="-20"/>
          <w:sz w:val="24"/>
          <w:szCs w:val="24"/>
        </w:rPr>
        <w:t>水泥复试和分析报告，对钢材应按炉号及钢筋直径分批检验，严格控制硫、磷的含量；水泥应按出厂编号分批做复试，且有符合GB275-92的规定；只有复试报告、分析报告等全部合格的材料，方能允许用于施工。</w:t>
      </w:r>
    </w:p>
    <w:p w14:paraId="45E82097">
      <w:pPr>
        <w:pStyle w:val="2"/>
        <w:spacing w:line="308" w:lineRule="auto"/>
        <w:ind w:left="1457" w:right="1410" w:firstLine="442"/>
        <w:rPr>
          <w:sz w:val="24"/>
          <w:szCs w:val="24"/>
        </w:rPr>
      </w:pPr>
      <w:r>
        <w:rPr>
          <w:spacing w:val="-20"/>
          <w:sz w:val="24"/>
          <w:szCs w:val="24"/>
        </w:rPr>
        <w:t>监理工程师收到原材料试验报告及原材料合格证后对进厂的材料进行抽检复查，签字证明</w:t>
      </w:r>
      <w:r>
        <w:rPr>
          <w:spacing w:val="-21"/>
          <w:sz w:val="24"/>
          <w:szCs w:val="24"/>
        </w:rPr>
        <w:t>所报验的材料符合国家规定，项目部方可使用。</w:t>
      </w:r>
    </w:p>
    <w:p w14:paraId="27CFCB05">
      <w:pPr>
        <w:pStyle w:val="2"/>
        <w:spacing w:before="1" w:line="216" w:lineRule="auto"/>
        <w:ind w:left="1893"/>
        <w:rPr>
          <w:sz w:val="24"/>
          <w:szCs w:val="24"/>
        </w:rPr>
      </w:pPr>
      <w:r>
        <w:rPr>
          <w:spacing w:val="-20"/>
          <w:sz w:val="24"/>
          <w:szCs w:val="24"/>
        </w:rPr>
        <w:t>（二）施工机械设备质量控制</w:t>
      </w:r>
    </w:p>
    <w:p w14:paraId="26FBB307">
      <w:pPr>
        <w:pStyle w:val="2"/>
        <w:spacing w:before="117" w:line="216" w:lineRule="auto"/>
        <w:ind w:left="1903"/>
        <w:rPr>
          <w:sz w:val="24"/>
          <w:szCs w:val="24"/>
        </w:rPr>
      </w:pPr>
      <w:r>
        <w:rPr>
          <w:spacing w:val="-20"/>
          <w:sz w:val="24"/>
          <w:szCs w:val="24"/>
        </w:rPr>
        <w:t>1、施工机械设备的选择</w:t>
      </w:r>
    </w:p>
    <w:p w14:paraId="747B40CE">
      <w:pPr>
        <w:pStyle w:val="2"/>
        <w:spacing w:before="119" w:line="308" w:lineRule="auto"/>
        <w:ind w:left="1463" w:right="1409" w:firstLine="429"/>
        <w:rPr>
          <w:sz w:val="24"/>
          <w:szCs w:val="24"/>
        </w:rPr>
      </w:pPr>
      <w:r>
        <w:rPr>
          <w:spacing w:val="-19"/>
          <w:sz w:val="24"/>
          <w:szCs w:val="24"/>
        </w:rPr>
        <w:t>施工机械设备的选择，本着为工程施工提</w:t>
      </w:r>
      <w:r>
        <w:rPr>
          <w:spacing w:val="-20"/>
          <w:sz w:val="24"/>
          <w:szCs w:val="24"/>
        </w:rPr>
        <w:t>供性能好、质量优、效率高、操作方便、安全可</w:t>
      </w:r>
      <w:r>
        <w:rPr>
          <w:spacing w:val="-21"/>
          <w:sz w:val="24"/>
          <w:szCs w:val="24"/>
        </w:rPr>
        <w:t>靠、数量充足的原则，以保证依照合同规定的</w:t>
      </w:r>
      <w:r>
        <w:rPr>
          <w:spacing w:val="-22"/>
          <w:sz w:val="24"/>
          <w:szCs w:val="24"/>
        </w:rPr>
        <w:t>质量及工期要求，完成工程施工任务。</w:t>
      </w:r>
    </w:p>
    <w:p w14:paraId="2E6E4EDE">
      <w:pPr>
        <w:pStyle w:val="2"/>
        <w:spacing w:before="1" w:line="216" w:lineRule="auto"/>
        <w:ind w:left="1888"/>
        <w:rPr>
          <w:sz w:val="24"/>
          <w:szCs w:val="24"/>
        </w:rPr>
      </w:pPr>
      <w:r>
        <w:rPr>
          <w:spacing w:val="-18"/>
          <w:sz w:val="24"/>
          <w:szCs w:val="24"/>
        </w:rPr>
        <w:t>2、机械设备使用管理</w:t>
      </w:r>
    </w:p>
    <w:p w14:paraId="211EAF38">
      <w:pPr>
        <w:pStyle w:val="2"/>
        <w:spacing w:before="120" w:line="262" w:lineRule="auto"/>
        <w:ind w:left="1458" w:right="1410" w:firstLine="427"/>
        <w:rPr>
          <w:sz w:val="24"/>
          <w:szCs w:val="24"/>
        </w:rPr>
      </w:pPr>
      <w:r>
        <w:rPr>
          <w:spacing w:val="-19"/>
          <w:sz w:val="24"/>
          <w:szCs w:val="24"/>
        </w:rPr>
        <w:t>①加强设备操作人员的技术培训及考核，正确掌握机械</w:t>
      </w:r>
      <w:r>
        <w:rPr>
          <w:spacing w:val="-20"/>
          <w:sz w:val="24"/>
          <w:szCs w:val="24"/>
        </w:rPr>
        <w:t>设备操作技术，做到定机定人，实</w:t>
      </w:r>
      <w:r>
        <w:rPr>
          <w:spacing w:val="-21"/>
          <w:sz w:val="24"/>
          <w:szCs w:val="24"/>
        </w:rPr>
        <w:t>行机械使用和保养的岗位责任制。</w:t>
      </w:r>
    </w:p>
    <w:p w14:paraId="30E23876">
      <w:pPr>
        <w:pStyle w:val="2"/>
        <w:spacing w:before="116" w:line="263" w:lineRule="auto"/>
        <w:ind w:left="1457" w:right="1409" w:firstLine="427"/>
        <w:rPr>
          <w:sz w:val="24"/>
          <w:szCs w:val="24"/>
        </w:rPr>
      </w:pPr>
      <w:r>
        <w:rPr>
          <w:spacing w:val="-19"/>
          <w:sz w:val="24"/>
          <w:szCs w:val="24"/>
        </w:rPr>
        <w:t>②建立健全机械设备使用和管理的各项规章制度，包括人机</w:t>
      </w:r>
      <w:r>
        <w:rPr>
          <w:spacing w:val="-20"/>
          <w:sz w:val="24"/>
          <w:szCs w:val="24"/>
        </w:rPr>
        <w:t>固定制度、安全操作制度、交接班制度、安全使用制度等。</w:t>
      </w:r>
    </w:p>
    <w:p w14:paraId="272D1474">
      <w:pPr>
        <w:pStyle w:val="2"/>
        <w:spacing w:before="118" w:line="217" w:lineRule="auto"/>
        <w:ind w:left="1884"/>
        <w:rPr>
          <w:sz w:val="24"/>
          <w:szCs w:val="24"/>
        </w:rPr>
      </w:pPr>
      <w:r>
        <w:rPr>
          <w:spacing w:val="-21"/>
          <w:sz w:val="24"/>
          <w:szCs w:val="24"/>
        </w:rPr>
        <w:t>③格执行各项技术规定，正确使用机械设备。</w:t>
      </w:r>
    </w:p>
    <w:p w14:paraId="7E576337">
      <w:pPr>
        <w:pStyle w:val="2"/>
        <w:spacing w:before="65" w:line="217" w:lineRule="auto"/>
        <w:ind w:left="3611"/>
        <w:outlineLvl w:val="1"/>
        <w:rPr>
          <w:sz w:val="30"/>
          <w:szCs w:val="30"/>
        </w:rPr>
      </w:pPr>
      <w:bookmarkStart w:id="148" w:name="bookmark141"/>
      <w:bookmarkEnd w:id="148"/>
      <w:r>
        <w:rPr>
          <w:b/>
          <w:bCs/>
          <w:color w:val="0070C0"/>
          <w:spacing w:val="-24"/>
          <w:sz w:val="30"/>
          <w:szCs w:val="30"/>
        </w:rPr>
        <w:t>第七节、各分部分项工程质量保证措施</w:t>
      </w:r>
    </w:p>
    <w:p w14:paraId="09E15469">
      <w:pPr>
        <w:pStyle w:val="2"/>
        <w:spacing w:before="65" w:line="217" w:lineRule="auto"/>
        <w:ind w:left="1981"/>
        <w:outlineLvl w:val="2"/>
        <w:rPr>
          <w:sz w:val="28"/>
          <w:szCs w:val="28"/>
        </w:rPr>
      </w:pPr>
      <w:bookmarkStart w:id="149" w:name="bookmark142"/>
      <w:bookmarkEnd w:id="149"/>
      <w:r>
        <w:rPr>
          <w:b/>
          <w:bCs/>
          <w:spacing w:val="-23"/>
          <w:sz w:val="28"/>
          <w:szCs w:val="28"/>
        </w:rPr>
        <w:t>一、沟槽施工质量保证措施</w:t>
      </w:r>
    </w:p>
    <w:p w14:paraId="41045128">
      <w:pPr>
        <w:pStyle w:val="2"/>
        <w:spacing w:before="107" w:line="217" w:lineRule="auto"/>
        <w:ind w:left="1903"/>
        <w:rPr>
          <w:sz w:val="24"/>
          <w:szCs w:val="24"/>
        </w:rPr>
      </w:pPr>
      <w:r>
        <w:rPr>
          <w:spacing w:val="-20"/>
          <w:sz w:val="24"/>
          <w:szCs w:val="24"/>
        </w:rPr>
        <w:t>1.1管沟施工质量保证措施</w:t>
      </w:r>
    </w:p>
    <w:p w14:paraId="4A8011EC">
      <w:pPr>
        <w:pStyle w:val="2"/>
        <w:spacing w:before="118" w:line="285" w:lineRule="auto"/>
        <w:ind w:left="1455" w:right="1387" w:firstLine="447"/>
        <w:rPr>
          <w:sz w:val="24"/>
          <w:szCs w:val="24"/>
        </w:rPr>
      </w:pPr>
      <w:r>
        <w:rPr>
          <w:spacing w:val="-22"/>
          <w:sz w:val="24"/>
          <w:szCs w:val="24"/>
        </w:rPr>
        <w:t>1.1.1管沟土方开挖时，应防止邻近已有建</w:t>
      </w:r>
      <w:r>
        <w:rPr>
          <w:spacing w:val="-23"/>
          <w:sz w:val="24"/>
          <w:szCs w:val="24"/>
        </w:rPr>
        <w:t>筑物或构筑物、道路、管线等发生下沉和变形，</w:t>
      </w:r>
      <w:r>
        <w:rPr>
          <w:spacing w:val="-20"/>
          <w:sz w:val="24"/>
          <w:szCs w:val="24"/>
        </w:rPr>
        <w:t>并与有关单位协商采取保护措施，在施工中进行沉降或位移观测。为避免平面位置、高程和边坡坡度出现偏差，施工中应加强测量复核。为防止槽底土壤被扰动或破坏，机械开挖时，应距</w:t>
      </w:r>
      <w:r>
        <w:rPr>
          <w:spacing w:val="-18"/>
          <w:sz w:val="24"/>
          <w:szCs w:val="24"/>
        </w:rPr>
        <w:t>设计槽底高程以上预留不小于200mm土层配合</w:t>
      </w:r>
      <w:r>
        <w:rPr>
          <w:spacing w:val="-19"/>
          <w:sz w:val="24"/>
          <w:szCs w:val="24"/>
        </w:rPr>
        <w:t>人工清底。</w:t>
      </w:r>
    </w:p>
    <w:p w14:paraId="32AD5AE6">
      <w:pPr>
        <w:pStyle w:val="2"/>
        <w:spacing w:before="119" w:line="277" w:lineRule="auto"/>
        <w:ind w:left="1455" w:right="1410" w:firstLine="447"/>
        <w:rPr>
          <w:sz w:val="24"/>
          <w:szCs w:val="24"/>
        </w:rPr>
      </w:pPr>
      <w:r>
        <w:rPr>
          <w:spacing w:val="-23"/>
          <w:sz w:val="24"/>
          <w:szCs w:val="24"/>
        </w:rPr>
        <w:t>1.1.2对地下水位高于开挖沟槽槽底高程的地段，施工时应采取降低地下水位的措施，防止</w:t>
      </w:r>
      <w:r>
        <w:rPr>
          <w:spacing w:val="-20"/>
          <w:sz w:val="24"/>
          <w:szCs w:val="24"/>
        </w:rPr>
        <w:t>沟槽失稳。管道敷设完后，进行回填工作时，不得停止降低地下水，待管道稳定固结后方可停止降水。开挖沟槽应严格控制基底高程，不得扰动基底原状土，基底设计标高以20-30cm范围</w:t>
      </w:r>
    </w:p>
    <w:p w14:paraId="3C7D6FD2">
      <w:pPr>
        <w:spacing w:line="277" w:lineRule="auto"/>
        <w:rPr>
          <w:sz w:val="24"/>
          <w:szCs w:val="24"/>
        </w:rPr>
        <w:sectPr>
          <w:footerReference r:id="rId213" w:type="default"/>
          <w:pgSz w:w="11907" w:h="16839"/>
          <w:pgMar w:top="954" w:right="4" w:bottom="1038" w:left="0" w:header="499" w:footer="357" w:gutter="0"/>
          <w:pgBorders>
            <w:top w:val="none" w:sz="0" w:space="0"/>
            <w:left w:val="none" w:sz="0" w:space="0"/>
            <w:bottom w:val="none" w:sz="0" w:space="0"/>
            <w:right w:val="none" w:sz="0" w:space="0"/>
          </w:pgBorders>
          <w:cols w:space="720" w:num="1"/>
        </w:sectPr>
      </w:pPr>
    </w:p>
    <w:p w14:paraId="55FF2369">
      <w:pPr>
        <w:spacing w:line="250" w:lineRule="auto"/>
        <w:rPr>
          <w:rFonts w:ascii="Arial"/>
          <w:sz w:val="21"/>
        </w:rPr>
      </w:pPr>
    </w:p>
    <w:p w14:paraId="54B5BF1E">
      <w:pPr>
        <w:pStyle w:val="2"/>
        <w:spacing w:before="78" w:line="217" w:lineRule="auto"/>
        <w:ind w:left="1485"/>
        <w:rPr>
          <w:sz w:val="24"/>
          <w:szCs w:val="24"/>
        </w:rPr>
      </w:pPr>
      <w:r>
        <w:rPr>
          <w:spacing w:val="-22"/>
          <w:sz w:val="24"/>
          <w:szCs w:val="24"/>
        </w:rPr>
        <w:t>内的原状土应人工清理，槽底如有硬物体，必须清除，用砂石回填处</w:t>
      </w:r>
      <w:r>
        <w:rPr>
          <w:spacing w:val="-23"/>
          <w:sz w:val="24"/>
          <w:szCs w:val="24"/>
        </w:rPr>
        <w:t>理。</w:t>
      </w:r>
    </w:p>
    <w:p w14:paraId="56E6ADDC">
      <w:pPr>
        <w:pStyle w:val="2"/>
        <w:spacing w:before="119" w:line="278" w:lineRule="auto"/>
        <w:ind w:left="1459" w:right="1414" w:firstLine="444"/>
        <w:jc w:val="both"/>
        <w:rPr>
          <w:sz w:val="24"/>
          <w:szCs w:val="24"/>
        </w:rPr>
      </w:pPr>
      <w:r>
        <w:pict>
          <v:shape id="_x0000_s3558" o:spid="_x0000_s3558" style="position:absolute;left:0pt;margin-left:509.5pt;margin-top:91.5pt;height:3.4pt;width:0.75pt;z-index:252135424;mso-width-relative:page;mso-height-relative:page;" fillcolor="#1C456A" filled="t" stroked="f" coordsize="15,68" path="m0,67l14,67,14,0,0,0,0,67xe">
            <v:path/>
            <v:fill on="t" focussize="0,0"/>
            <v:stroke on="f"/>
            <v:imagedata o:title=""/>
            <o:lock v:ext="edit"/>
          </v:shape>
        </w:pict>
      </w:r>
      <w:r>
        <w:rPr>
          <w:spacing w:val="-18"/>
          <w:sz w:val="24"/>
          <w:szCs w:val="24"/>
        </w:rPr>
        <w:t>1.1.3管道基础须坐落于原状土或按设</w:t>
      </w:r>
      <w:r>
        <w:rPr>
          <w:spacing w:val="-19"/>
          <w:sz w:val="24"/>
          <w:szCs w:val="24"/>
        </w:rPr>
        <w:t>计要求压实的回填土上，沟槽严禁回填垃圾和腐殖</w:t>
      </w:r>
      <w:r>
        <w:rPr>
          <w:spacing w:val="-20"/>
          <w:sz w:val="24"/>
          <w:szCs w:val="24"/>
        </w:rPr>
        <w:t>土、砖石、木块等杂物，回填前应将沟槽清除干净。施工中，严格按照《给水排水管道工程施</w:t>
      </w:r>
      <w:r>
        <w:rPr>
          <w:spacing w:val="-22"/>
          <w:sz w:val="24"/>
          <w:szCs w:val="24"/>
        </w:rPr>
        <w:t>工及验收规范》进行，所有回填料必须分层夯实回填，回填压实度按路基压实度要求。</w:t>
      </w:r>
    </w:p>
    <w:tbl>
      <w:tblPr>
        <w:tblStyle w:val="6"/>
        <w:tblW w:w="8549" w:type="dxa"/>
        <w:tblInd w:w="167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282"/>
        <w:gridCol w:w="99"/>
        <w:gridCol w:w="4168"/>
      </w:tblGrid>
      <w:tr w14:paraId="0EB0A0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34" w:hRule="atLeast"/>
        </w:trPr>
        <w:tc>
          <w:tcPr>
            <w:tcW w:w="4282" w:type="dxa"/>
            <w:tcBorders>
              <w:top w:val="single" w:color="000000" w:sz="4" w:space="0"/>
              <w:left w:val="single" w:color="000000" w:sz="4" w:space="0"/>
            </w:tcBorders>
            <w:shd w:val="clear" w:color="auto" w:fill="DEEAF6"/>
            <w:vAlign w:val="top"/>
          </w:tcPr>
          <w:p w14:paraId="2C31FDF1">
            <w:pPr>
              <w:pStyle w:val="7"/>
              <w:spacing w:before="127" w:line="218" w:lineRule="auto"/>
              <w:ind w:left="1720"/>
            </w:pPr>
            <w:r>
              <w:rPr>
                <w:b/>
                <w:bCs/>
                <w:spacing w:val="-19"/>
              </w:rPr>
              <w:t>五方验槽</w:t>
            </w:r>
          </w:p>
        </w:tc>
        <w:tc>
          <w:tcPr>
            <w:tcW w:w="4267" w:type="dxa"/>
            <w:gridSpan w:val="2"/>
            <w:tcBorders>
              <w:top w:val="single" w:color="5B9BD5" w:sz="4" w:space="0"/>
              <w:right w:val="single" w:color="5B9BD5" w:sz="4" w:space="0"/>
            </w:tcBorders>
            <w:shd w:val="clear" w:color="auto" w:fill="DEEAF6"/>
            <w:vAlign w:val="top"/>
          </w:tcPr>
          <w:p w14:paraId="345EE1EF">
            <w:pPr>
              <w:pStyle w:val="7"/>
              <w:spacing w:before="126" w:line="219" w:lineRule="auto"/>
              <w:ind w:left="1481"/>
            </w:pPr>
            <w:r>
              <w:rPr>
                <w:b/>
                <w:bCs/>
                <w:spacing w:val="-20"/>
              </w:rPr>
              <w:t>地基钎探试验</w:t>
            </w:r>
          </w:p>
        </w:tc>
      </w:tr>
      <w:tr w14:paraId="0B3CA2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05" w:hRule="atLeast"/>
        </w:trPr>
        <w:tc>
          <w:tcPr>
            <w:tcW w:w="4282" w:type="dxa"/>
            <w:tcBorders>
              <w:left w:val="single" w:color="000000" w:sz="4" w:space="0"/>
              <w:bottom w:val="nil"/>
            </w:tcBorders>
            <w:vAlign w:val="top"/>
          </w:tcPr>
          <w:p w14:paraId="66AFA52D">
            <w:pPr>
              <w:spacing w:before="43" w:line="2451" w:lineRule="exact"/>
              <w:ind w:firstLine="116"/>
            </w:pPr>
            <w:r>
              <w:rPr>
                <w:position w:val="-49"/>
              </w:rPr>
              <w:drawing>
                <wp:inline distT="0" distB="0" distL="0" distR="0">
                  <wp:extent cx="2567940" cy="1556385"/>
                  <wp:effectExtent l="0" t="0" r="0" b="0"/>
                  <wp:docPr id="1022" name="IM 1022"/>
                  <wp:cNvGraphicFramePr/>
                  <a:graphic xmlns:a="http://schemas.openxmlformats.org/drawingml/2006/main">
                    <a:graphicData uri="http://schemas.openxmlformats.org/drawingml/2006/picture">
                      <pic:pic xmlns:pic="http://schemas.openxmlformats.org/drawingml/2006/picture">
                        <pic:nvPicPr>
                          <pic:cNvPr id="1022" name="IM 1022"/>
                          <pic:cNvPicPr/>
                        </pic:nvPicPr>
                        <pic:blipFill>
                          <a:blip r:embed="rId642"/>
                          <a:stretch>
                            <a:fillRect/>
                          </a:stretch>
                        </pic:blipFill>
                        <pic:spPr>
                          <a:xfrm>
                            <a:off x="0" y="0"/>
                            <a:ext cx="2567940" cy="1556385"/>
                          </a:xfrm>
                          <a:prstGeom prst="rect">
                            <a:avLst/>
                          </a:prstGeom>
                        </pic:spPr>
                      </pic:pic>
                    </a:graphicData>
                  </a:graphic>
                </wp:inline>
              </w:drawing>
            </w:r>
          </w:p>
        </w:tc>
        <w:tc>
          <w:tcPr>
            <w:tcW w:w="99" w:type="dxa"/>
            <w:tcBorders>
              <w:bottom w:val="nil"/>
              <w:right w:val="single" w:color="00B0F0" w:sz="6" w:space="0"/>
            </w:tcBorders>
            <w:vAlign w:val="top"/>
          </w:tcPr>
          <w:p w14:paraId="2C145FCA">
            <w:pPr>
              <w:rPr>
                <w:rFonts w:ascii="Arial"/>
                <w:sz w:val="21"/>
              </w:rPr>
            </w:pPr>
          </w:p>
        </w:tc>
        <w:tc>
          <w:tcPr>
            <w:tcW w:w="4168" w:type="dxa"/>
            <w:tcBorders>
              <w:top w:val="single" w:color="00B0F0" w:sz="2" w:space="0"/>
              <w:left w:val="single" w:color="00B0F0" w:sz="6" w:space="0"/>
              <w:bottom w:val="single" w:color="00B0F0" w:sz="6" w:space="0"/>
              <w:right w:val="single" w:color="00B0F0" w:sz="4" w:space="0"/>
            </w:tcBorders>
            <w:vAlign w:val="top"/>
          </w:tcPr>
          <w:p w14:paraId="5B3FD961">
            <w:pPr>
              <w:spacing w:before="72" w:line="2423" w:lineRule="exact"/>
            </w:pPr>
            <w:r>
              <w:pict>
                <v:shape id="_x0000_s3559" o:spid="_x0000_s3559" style="position:absolute;left:0pt;margin-left:202pt;margin-top:3pt;height:123.65pt;width:0.75pt;mso-position-horizontal-relative:page;mso-position-vertical-relative:page;z-index:252136448;mso-width-relative:page;mso-height-relative:page;" filled="f" stroked="t" coordsize="15,2473" path="m7,2465l7,7e">
                  <v:fill on="f" focussize="0,0"/>
                  <v:stroke color="#00B0F0" miterlimit="10" joinstyle="miter" endcap="round"/>
                  <v:imagedata o:title=""/>
                  <o:lock v:ext="edit"/>
                </v:shape>
              </w:pict>
            </w:r>
            <w:r>
              <w:rPr>
                <w:position w:val="-48"/>
              </w:rPr>
              <w:drawing>
                <wp:inline distT="0" distB="0" distL="0" distR="0">
                  <wp:extent cx="2560320" cy="1537970"/>
                  <wp:effectExtent l="0" t="0" r="0" b="0"/>
                  <wp:docPr id="1" name="IM 1024"/>
                  <wp:cNvGraphicFramePr/>
                  <a:graphic xmlns:a="http://schemas.openxmlformats.org/drawingml/2006/main">
                    <a:graphicData uri="http://schemas.openxmlformats.org/drawingml/2006/picture">
                      <pic:pic xmlns:pic="http://schemas.openxmlformats.org/drawingml/2006/picture">
                        <pic:nvPicPr>
                          <pic:cNvPr id="1" name="IM 1024"/>
                          <pic:cNvPicPr/>
                        </pic:nvPicPr>
                        <pic:blipFill>
                          <a:blip r:embed="rId643"/>
                          <a:stretch>
                            <a:fillRect/>
                          </a:stretch>
                        </pic:blipFill>
                        <pic:spPr>
                          <a:xfrm>
                            <a:off x="0" y="0"/>
                            <a:ext cx="2560459" cy="1537970"/>
                          </a:xfrm>
                          <a:prstGeom prst="rect">
                            <a:avLst/>
                          </a:prstGeom>
                        </pic:spPr>
                      </pic:pic>
                    </a:graphicData>
                  </a:graphic>
                </wp:inline>
              </w:drawing>
            </w:r>
          </w:p>
        </w:tc>
      </w:tr>
      <w:tr w14:paraId="2B83A3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70" w:hRule="atLeast"/>
        </w:trPr>
        <w:tc>
          <w:tcPr>
            <w:tcW w:w="4282" w:type="dxa"/>
            <w:tcBorders>
              <w:top w:val="nil"/>
              <w:left w:val="single" w:color="1C456A" w:sz="4" w:space="0"/>
              <w:bottom w:val="single" w:color="1C456A" w:sz="4" w:space="0"/>
            </w:tcBorders>
            <w:vAlign w:val="top"/>
          </w:tcPr>
          <w:p w14:paraId="05723FB8">
            <w:pPr>
              <w:rPr>
                <w:rFonts w:ascii="Arial"/>
                <w:sz w:val="21"/>
              </w:rPr>
            </w:pPr>
          </w:p>
        </w:tc>
        <w:tc>
          <w:tcPr>
            <w:tcW w:w="4267" w:type="dxa"/>
            <w:gridSpan w:val="2"/>
            <w:tcBorders>
              <w:top w:val="single" w:color="00B0F0" w:sz="6" w:space="0"/>
              <w:bottom w:val="single" w:color="5B9BD5" w:sz="4" w:space="0"/>
              <w:right w:val="single" w:color="5B9BD5" w:sz="4" w:space="0"/>
            </w:tcBorders>
            <w:vAlign w:val="top"/>
          </w:tcPr>
          <w:p w14:paraId="746FDA5E">
            <w:pPr>
              <w:rPr>
                <w:rFonts w:ascii="Arial"/>
                <w:sz w:val="21"/>
              </w:rPr>
            </w:pPr>
          </w:p>
        </w:tc>
      </w:tr>
    </w:tbl>
    <w:p w14:paraId="3EA94C8B">
      <w:pPr>
        <w:pStyle w:val="2"/>
        <w:spacing w:before="114" w:line="217" w:lineRule="auto"/>
        <w:ind w:left="1903"/>
        <w:rPr>
          <w:sz w:val="24"/>
          <w:szCs w:val="24"/>
        </w:rPr>
      </w:pPr>
      <w:r>
        <w:rPr>
          <w:spacing w:val="-20"/>
          <w:sz w:val="24"/>
          <w:szCs w:val="24"/>
        </w:rPr>
        <w:t>1.2管道施工质量保证措施</w:t>
      </w:r>
    </w:p>
    <w:p w14:paraId="2447B85C">
      <w:pPr>
        <w:pStyle w:val="2"/>
        <w:spacing w:before="118" w:line="220" w:lineRule="auto"/>
        <w:ind w:left="1903"/>
        <w:rPr>
          <w:sz w:val="24"/>
          <w:szCs w:val="24"/>
        </w:rPr>
      </w:pPr>
      <w:r>
        <w:rPr>
          <w:spacing w:val="-11"/>
          <w:sz w:val="24"/>
          <w:szCs w:val="24"/>
        </w:rPr>
        <w:t>1.2.1管道敷设“甩龙”</w:t>
      </w:r>
    </w:p>
    <w:p w14:paraId="37E99889">
      <w:pPr>
        <w:pStyle w:val="2"/>
        <w:spacing w:before="113" w:line="217" w:lineRule="auto"/>
        <w:ind w:left="1893"/>
        <w:rPr>
          <w:sz w:val="24"/>
          <w:szCs w:val="24"/>
        </w:rPr>
      </w:pPr>
      <w:r>
        <w:rPr>
          <w:spacing w:val="-24"/>
          <w:sz w:val="24"/>
          <w:szCs w:val="24"/>
        </w:rPr>
        <w:t>（1）施工测量、定线严格加以控制，沟槽开挖后，应认真进行复测，</w:t>
      </w:r>
      <w:r>
        <w:rPr>
          <w:spacing w:val="-25"/>
          <w:sz w:val="24"/>
          <w:szCs w:val="24"/>
        </w:rPr>
        <w:t>基槽合格后方可铺管。</w:t>
      </w:r>
    </w:p>
    <w:p w14:paraId="367551AC">
      <w:pPr>
        <w:pStyle w:val="2"/>
        <w:spacing w:before="119" w:line="216" w:lineRule="auto"/>
        <w:ind w:left="1893"/>
        <w:rPr>
          <w:sz w:val="24"/>
          <w:szCs w:val="24"/>
        </w:rPr>
      </w:pPr>
      <w:r>
        <w:rPr>
          <w:spacing w:val="-20"/>
          <w:sz w:val="24"/>
          <w:szCs w:val="24"/>
        </w:rPr>
        <w:t>（2）铺管前设置中线桩、高程桩等措施控制轴线和标高，其间距以10m为宜。</w:t>
      </w:r>
    </w:p>
    <w:p w14:paraId="65CE8653">
      <w:pPr>
        <w:pStyle w:val="2"/>
        <w:spacing w:before="120" w:line="219" w:lineRule="auto"/>
        <w:ind w:left="1903"/>
        <w:rPr>
          <w:sz w:val="24"/>
          <w:szCs w:val="24"/>
        </w:rPr>
      </w:pPr>
      <w:r>
        <w:rPr>
          <w:spacing w:val="-14"/>
          <w:sz w:val="24"/>
          <w:szCs w:val="24"/>
        </w:rPr>
        <w:t>1.2.2渗漏</w:t>
      </w:r>
    </w:p>
    <w:p w14:paraId="3CD1B7ED">
      <w:pPr>
        <w:pStyle w:val="2"/>
        <w:spacing w:before="115" w:line="308" w:lineRule="auto"/>
        <w:ind w:left="1458" w:right="1409" w:firstLine="448"/>
        <w:rPr>
          <w:sz w:val="24"/>
          <w:szCs w:val="24"/>
        </w:rPr>
      </w:pPr>
      <w:r>
        <w:rPr>
          <w:spacing w:val="-20"/>
          <w:sz w:val="24"/>
          <w:szCs w:val="24"/>
        </w:rPr>
        <w:t>管道连接前应对管材、管件及附属设备按设计要求进行核对，并应在施工现场进行外观检</w:t>
      </w:r>
      <w:r>
        <w:rPr>
          <w:spacing w:val="-22"/>
          <w:sz w:val="24"/>
          <w:szCs w:val="24"/>
        </w:rPr>
        <w:t>查，不得有损伤。</w:t>
      </w:r>
    </w:p>
    <w:p w14:paraId="48F16B50">
      <w:pPr>
        <w:pStyle w:val="2"/>
        <w:spacing w:line="218" w:lineRule="auto"/>
        <w:ind w:left="1903"/>
        <w:rPr>
          <w:sz w:val="24"/>
          <w:szCs w:val="24"/>
        </w:rPr>
      </w:pPr>
      <w:r>
        <w:rPr>
          <w:spacing w:val="-17"/>
          <w:sz w:val="24"/>
          <w:szCs w:val="24"/>
        </w:rPr>
        <w:t>1.2.3管内积水</w:t>
      </w:r>
    </w:p>
    <w:p w14:paraId="649DF173">
      <w:pPr>
        <w:pStyle w:val="2"/>
        <w:spacing w:before="114" w:line="217" w:lineRule="auto"/>
        <w:ind w:left="1893"/>
        <w:rPr>
          <w:sz w:val="24"/>
          <w:szCs w:val="24"/>
        </w:rPr>
      </w:pPr>
      <w:r>
        <w:rPr>
          <w:spacing w:val="-21"/>
          <w:sz w:val="24"/>
          <w:szCs w:val="24"/>
        </w:rPr>
        <w:t>（1）严格控制管道纵断面高程，加强测量复核。</w:t>
      </w:r>
    </w:p>
    <w:p w14:paraId="370AB702">
      <w:pPr>
        <w:pStyle w:val="2"/>
        <w:spacing w:before="121" w:line="262" w:lineRule="auto"/>
        <w:ind w:left="1459" w:right="1411" w:firstLine="433"/>
        <w:rPr>
          <w:sz w:val="24"/>
          <w:szCs w:val="24"/>
        </w:rPr>
      </w:pPr>
      <w:r>
        <w:rPr>
          <w:spacing w:val="-22"/>
          <w:sz w:val="24"/>
          <w:szCs w:val="24"/>
        </w:rPr>
        <w:t>（2）柔性基础施工根据选用的夯（压）实机具，严格控制虚铺厚度，保证密实</w:t>
      </w:r>
      <w:r>
        <w:rPr>
          <w:spacing w:val="-23"/>
          <w:sz w:val="24"/>
          <w:szCs w:val="24"/>
        </w:rPr>
        <w:t>度均匀，标</w:t>
      </w:r>
      <w:r>
        <w:rPr>
          <w:spacing w:val="-21"/>
          <w:sz w:val="24"/>
          <w:szCs w:val="24"/>
        </w:rPr>
        <w:t>准符合规定要求，防止不均匀下沉。</w:t>
      </w:r>
    </w:p>
    <w:p w14:paraId="432ED2B8">
      <w:pPr>
        <w:pStyle w:val="2"/>
        <w:spacing w:before="116" w:line="216" w:lineRule="auto"/>
        <w:ind w:left="1893"/>
        <w:rPr>
          <w:sz w:val="24"/>
          <w:szCs w:val="24"/>
        </w:rPr>
      </w:pPr>
      <w:r>
        <w:rPr>
          <w:spacing w:val="-20"/>
          <w:sz w:val="24"/>
          <w:szCs w:val="24"/>
        </w:rPr>
        <w:t>（3）严格控制工作坑回填的密实度。</w:t>
      </w:r>
    </w:p>
    <w:p w14:paraId="1E5E2012">
      <w:pPr>
        <w:pStyle w:val="2"/>
        <w:spacing w:before="120" w:line="219" w:lineRule="auto"/>
        <w:ind w:left="1903"/>
        <w:rPr>
          <w:sz w:val="24"/>
          <w:szCs w:val="24"/>
        </w:rPr>
      </w:pPr>
      <w:r>
        <w:rPr>
          <w:spacing w:val="-14"/>
          <w:sz w:val="24"/>
          <w:szCs w:val="24"/>
        </w:rPr>
        <w:t>1.2.4漂管</w:t>
      </w:r>
    </w:p>
    <w:p w14:paraId="5F84DF5E">
      <w:pPr>
        <w:pStyle w:val="2"/>
        <w:spacing w:before="116" w:line="219" w:lineRule="auto"/>
        <w:ind w:left="1893"/>
        <w:rPr>
          <w:sz w:val="24"/>
          <w:szCs w:val="24"/>
        </w:rPr>
      </w:pPr>
      <w:r>
        <w:rPr>
          <w:spacing w:val="-22"/>
          <w:sz w:val="24"/>
          <w:szCs w:val="24"/>
        </w:rPr>
        <w:t>（1）管道铺设后应及时回填。</w:t>
      </w:r>
    </w:p>
    <w:p w14:paraId="65A10A46">
      <w:pPr>
        <w:pStyle w:val="2"/>
        <w:spacing w:before="114" w:line="264" w:lineRule="auto"/>
        <w:ind w:left="1464" w:right="1464" w:firstLine="428"/>
        <w:rPr>
          <w:sz w:val="24"/>
          <w:szCs w:val="24"/>
        </w:rPr>
      </w:pPr>
      <w:r>
        <w:rPr>
          <w:spacing w:val="-23"/>
          <w:sz w:val="24"/>
          <w:szCs w:val="24"/>
        </w:rPr>
        <w:t>（2）雨季施工注意天气变化，突遇降雨时，在来不</w:t>
      </w:r>
      <w:r>
        <w:rPr>
          <w:spacing w:val="-24"/>
          <w:sz w:val="24"/>
          <w:szCs w:val="24"/>
        </w:rPr>
        <w:t>及回填的段落的检查井底部开设进水口</w:t>
      </w:r>
      <w:r>
        <w:rPr>
          <w:spacing w:val="-19"/>
          <w:sz w:val="24"/>
          <w:szCs w:val="24"/>
        </w:rPr>
        <w:t>等临时措施。</w:t>
      </w:r>
    </w:p>
    <w:p w14:paraId="4A8F9892">
      <w:pPr>
        <w:pStyle w:val="2"/>
        <w:spacing w:before="116" w:line="219" w:lineRule="auto"/>
        <w:ind w:left="1903"/>
        <w:rPr>
          <w:sz w:val="24"/>
          <w:szCs w:val="24"/>
        </w:rPr>
      </w:pPr>
      <w:r>
        <w:rPr>
          <w:spacing w:val="-17"/>
          <w:sz w:val="24"/>
          <w:szCs w:val="24"/>
        </w:rPr>
        <w:t>1.2.5管道变形</w:t>
      </w:r>
    </w:p>
    <w:p w14:paraId="37CF0780">
      <w:pPr>
        <w:pStyle w:val="2"/>
        <w:spacing w:before="113" w:line="217" w:lineRule="auto"/>
        <w:ind w:left="1893"/>
        <w:rPr>
          <w:sz w:val="24"/>
          <w:szCs w:val="24"/>
        </w:rPr>
      </w:pPr>
      <w:r>
        <w:rPr>
          <w:spacing w:val="-21"/>
          <w:sz w:val="24"/>
          <w:szCs w:val="24"/>
        </w:rPr>
        <w:t>（1）管道两侧回填，必须对称分层回填、夯实达到规定的密实度标准。</w:t>
      </w:r>
    </w:p>
    <w:p w14:paraId="3CC3DFD0">
      <w:pPr>
        <w:pStyle w:val="2"/>
        <w:spacing w:before="120" w:line="263" w:lineRule="auto"/>
        <w:ind w:left="1459" w:right="1411" w:firstLine="433"/>
        <w:rPr>
          <w:sz w:val="24"/>
          <w:szCs w:val="24"/>
        </w:rPr>
      </w:pPr>
      <w:r>
        <w:rPr>
          <w:spacing w:val="-22"/>
          <w:sz w:val="24"/>
          <w:szCs w:val="24"/>
        </w:rPr>
        <w:t>（2）管道施工变形检测中，当管道径向变形率局部大于或等于5%时，可挖除管区填土，校</w:t>
      </w:r>
      <w:r>
        <w:rPr>
          <w:spacing w:val="-19"/>
          <w:sz w:val="24"/>
          <w:szCs w:val="24"/>
        </w:rPr>
        <w:t>正后重新填筑；当管道径向变形率大于5%时，应更换管道。</w:t>
      </w:r>
    </w:p>
    <w:p w14:paraId="74F624A8">
      <w:pPr>
        <w:pStyle w:val="2"/>
        <w:spacing w:before="80" w:line="217" w:lineRule="auto"/>
        <w:ind w:left="1986"/>
        <w:outlineLvl w:val="2"/>
        <w:rPr>
          <w:sz w:val="28"/>
          <w:szCs w:val="28"/>
        </w:rPr>
      </w:pPr>
      <w:bookmarkStart w:id="150" w:name="bookmark143"/>
      <w:bookmarkEnd w:id="150"/>
      <w:r>
        <w:rPr>
          <w:b/>
          <w:bCs/>
          <w:spacing w:val="-20"/>
          <w:sz w:val="28"/>
          <w:szCs w:val="28"/>
        </w:rPr>
        <w:t>二、球墨铸铁管质量保证措施</w:t>
      </w:r>
    </w:p>
    <w:p w14:paraId="308AD881">
      <w:pPr>
        <w:pStyle w:val="2"/>
        <w:spacing w:before="106" w:line="217" w:lineRule="auto"/>
        <w:ind w:left="1893"/>
        <w:rPr>
          <w:sz w:val="24"/>
          <w:szCs w:val="24"/>
        </w:rPr>
      </w:pPr>
      <w:r>
        <w:rPr>
          <w:spacing w:val="-21"/>
          <w:sz w:val="24"/>
          <w:szCs w:val="24"/>
        </w:rPr>
        <w:t>该技术保证措施以施工技术规范为依据，施工经验为参考，以</w:t>
      </w:r>
      <w:r>
        <w:rPr>
          <w:spacing w:val="-22"/>
          <w:sz w:val="24"/>
          <w:szCs w:val="24"/>
        </w:rPr>
        <w:t>质量安全保证为前提。</w:t>
      </w:r>
    </w:p>
    <w:p w14:paraId="3B3B06EE">
      <w:pPr>
        <w:pStyle w:val="2"/>
        <w:spacing w:before="119" w:line="218" w:lineRule="auto"/>
        <w:ind w:left="1884"/>
        <w:rPr>
          <w:sz w:val="24"/>
          <w:szCs w:val="24"/>
        </w:rPr>
      </w:pPr>
      <w:r>
        <w:rPr>
          <w:spacing w:val="-16"/>
          <w:sz w:val="24"/>
          <w:szCs w:val="24"/>
        </w:rPr>
        <w:t>4.1技术组织措施：</w:t>
      </w:r>
    </w:p>
    <w:p w14:paraId="6D9BE9BA">
      <w:pPr>
        <w:spacing w:line="218" w:lineRule="auto"/>
        <w:rPr>
          <w:sz w:val="24"/>
          <w:szCs w:val="24"/>
        </w:rPr>
        <w:sectPr>
          <w:footerReference r:id="rId214" w:type="default"/>
          <w:pgSz w:w="11907" w:h="16839"/>
          <w:pgMar w:top="954" w:right="4" w:bottom="1038" w:left="0" w:header="499" w:footer="357" w:gutter="0"/>
          <w:pgBorders>
            <w:top w:val="none" w:sz="0" w:space="0"/>
            <w:left w:val="none" w:sz="0" w:space="0"/>
            <w:bottom w:val="none" w:sz="0" w:space="0"/>
            <w:right w:val="none" w:sz="0" w:space="0"/>
          </w:pgBorders>
          <w:cols w:space="720" w:num="1"/>
        </w:sectPr>
      </w:pPr>
    </w:p>
    <w:p w14:paraId="23BD0A57">
      <w:pPr>
        <w:spacing w:line="251" w:lineRule="auto"/>
        <w:rPr>
          <w:rFonts w:ascii="Arial"/>
          <w:sz w:val="21"/>
        </w:rPr>
      </w:pPr>
    </w:p>
    <w:p w14:paraId="1A7AA297">
      <w:pPr>
        <w:pStyle w:val="2"/>
        <w:spacing w:before="78" w:line="262" w:lineRule="auto"/>
        <w:ind w:left="1457" w:right="1459" w:firstLine="446"/>
        <w:rPr>
          <w:sz w:val="24"/>
          <w:szCs w:val="24"/>
        </w:rPr>
      </w:pPr>
      <w:r>
        <w:rPr>
          <w:spacing w:val="-21"/>
          <w:sz w:val="24"/>
          <w:szCs w:val="24"/>
        </w:rPr>
        <w:t>1.由项目经理部技术负责人组织有关人员熟悉图纸，充分理解设计意图，本着保证工期，保质量，提高生产效率，降低工程成本的原则，开展各项</w:t>
      </w:r>
      <w:r>
        <w:rPr>
          <w:spacing w:val="-22"/>
          <w:sz w:val="24"/>
          <w:szCs w:val="24"/>
        </w:rPr>
        <w:t>工作。</w:t>
      </w:r>
    </w:p>
    <w:p w14:paraId="18FBED5F">
      <w:pPr>
        <w:pStyle w:val="2"/>
        <w:spacing w:before="117" w:line="263" w:lineRule="auto"/>
        <w:ind w:left="1455" w:right="1356" w:firstLine="432"/>
        <w:rPr>
          <w:sz w:val="24"/>
          <w:szCs w:val="24"/>
        </w:rPr>
      </w:pPr>
      <w:r>
        <w:rPr>
          <w:spacing w:val="-23"/>
          <w:sz w:val="24"/>
          <w:szCs w:val="24"/>
        </w:rPr>
        <w:t>2.开工前，工地项目经理，技术人员向全体施工人员详细介绍施工方案，技术要求和要点，</w:t>
      </w:r>
      <w:r>
        <w:rPr>
          <w:spacing w:val="-21"/>
          <w:sz w:val="24"/>
          <w:szCs w:val="24"/>
        </w:rPr>
        <w:t>介绍施工控制手段和质量要求标准。</w:t>
      </w:r>
    </w:p>
    <w:p w14:paraId="42348FCD">
      <w:pPr>
        <w:pStyle w:val="2"/>
        <w:spacing w:before="118" w:line="277" w:lineRule="auto"/>
        <w:ind w:left="1458" w:right="1411" w:firstLine="432"/>
        <w:rPr>
          <w:sz w:val="24"/>
          <w:szCs w:val="24"/>
        </w:rPr>
      </w:pPr>
      <w:r>
        <w:rPr>
          <w:spacing w:val="-19"/>
          <w:sz w:val="24"/>
          <w:szCs w:val="24"/>
        </w:rPr>
        <w:t>3.施工放线：按规划给定的设计施工图管位及甲方现场交桩根据施工图交桩对线位，高程</w:t>
      </w:r>
      <w:r>
        <w:rPr>
          <w:spacing w:val="-26"/>
          <w:sz w:val="24"/>
          <w:szCs w:val="24"/>
        </w:rPr>
        <w:t>进行实测、复核准确无误后，在附近引测,临时高程点及中桩点，逐一编号，其间距不超过200MM,</w:t>
      </w:r>
      <w:r>
        <w:rPr>
          <w:spacing w:val="-19"/>
          <w:sz w:val="24"/>
          <w:szCs w:val="24"/>
        </w:rPr>
        <w:t>高程闭合差不大于土L(MM)为施工水准测点，经业主和现场监理验线合格后进行沟槽开挖。</w:t>
      </w:r>
    </w:p>
    <w:p w14:paraId="20B673DE">
      <w:pPr>
        <w:pStyle w:val="2"/>
        <w:spacing w:before="119" w:line="217" w:lineRule="auto"/>
        <w:ind w:left="1884"/>
        <w:rPr>
          <w:sz w:val="24"/>
          <w:szCs w:val="24"/>
        </w:rPr>
      </w:pPr>
      <w:r>
        <w:rPr>
          <w:spacing w:val="-17"/>
          <w:sz w:val="24"/>
          <w:szCs w:val="24"/>
        </w:rPr>
        <w:t>4.沟槽开挖控制措施：</w:t>
      </w:r>
    </w:p>
    <w:p w14:paraId="7719E9A4">
      <w:pPr>
        <w:pStyle w:val="2"/>
        <w:spacing w:before="116" w:line="264" w:lineRule="auto"/>
        <w:ind w:left="1455" w:right="1409" w:firstLine="447"/>
        <w:rPr>
          <w:sz w:val="24"/>
          <w:szCs w:val="24"/>
        </w:rPr>
      </w:pPr>
      <w:r>
        <w:rPr>
          <w:spacing w:val="-19"/>
          <w:sz w:val="24"/>
          <w:szCs w:val="24"/>
        </w:rPr>
        <w:t>1)开挖沟槽根据土壤类别、土的力学性质确定槽帮坡度，进</w:t>
      </w:r>
      <w:r>
        <w:rPr>
          <w:spacing w:val="-20"/>
          <w:sz w:val="24"/>
          <w:szCs w:val="24"/>
        </w:rPr>
        <w:t>行土方开挖，采用人机配合开</w:t>
      </w:r>
      <w:r>
        <w:rPr>
          <w:spacing w:val="-15"/>
          <w:sz w:val="24"/>
          <w:szCs w:val="24"/>
        </w:rPr>
        <w:t>挖方法。</w:t>
      </w:r>
    </w:p>
    <w:p w14:paraId="05A73734">
      <w:pPr>
        <w:pStyle w:val="2"/>
        <w:spacing w:before="115" w:line="218" w:lineRule="auto"/>
        <w:ind w:left="1888"/>
        <w:rPr>
          <w:sz w:val="24"/>
          <w:szCs w:val="24"/>
        </w:rPr>
      </w:pPr>
      <w:r>
        <w:rPr>
          <w:spacing w:val="-21"/>
          <w:sz w:val="24"/>
          <w:szCs w:val="24"/>
        </w:rPr>
        <w:t>2)掌握天然排水系统和现状排水管道情况，做好地面排水和导流措</w:t>
      </w:r>
      <w:r>
        <w:rPr>
          <w:spacing w:val="-22"/>
          <w:sz w:val="24"/>
          <w:szCs w:val="24"/>
        </w:rPr>
        <w:t>施。</w:t>
      </w:r>
    </w:p>
    <w:p w14:paraId="328ACD16">
      <w:pPr>
        <w:pStyle w:val="2"/>
        <w:spacing w:before="114" w:line="278" w:lineRule="auto"/>
        <w:ind w:left="1455" w:right="1431" w:firstLine="434"/>
        <w:rPr>
          <w:sz w:val="24"/>
          <w:szCs w:val="24"/>
        </w:rPr>
      </w:pPr>
      <w:r>
        <w:rPr>
          <w:spacing w:val="-19"/>
          <w:sz w:val="24"/>
          <w:szCs w:val="24"/>
        </w:rPr>
        <w:t>3)开挖沟槽之前，施工技术人员根据施工</w:t>
      </w:r>
      <w:r>
        <w:rPr>
          <w:spacing w:val="-20"/>
          <w:sz w:val="24"/>
          <w:szCs w:val="24"/>
        </w:rPr>
        <w:t>环境、施工季节和作业方式，制定安全、易行、经济合理的堆土、弃土、运土、存土方案，沟槽挖方，在竖直方向，自上而下分</w:t>
      </w:r>
      <w:r>
        <w:rPr>
          <w:spacing w:val="-21"/>
          <w:sz w:val="24"/>
          <w:szCs w:val="24"/>
        </w:rPr>
        <w:t>层，在平面上</w:t>
      </w:r>
      <w:r>
        <w:rPr>
          <w:spacing w:val="-22"/>
          <w:sz w:val="24"/>
          <w:szCs w:val="24"/>
        </w:rPr>
        <w:t>从下游开始向上游分段依次进行，随时做成一定坡度，以利排水。</w:t>
      </w:r>
    </w:p>
    <w:p w14:paraId="4847FBB7">
      <w:pPr>
        <w:pStyle w:val="2"/>
        <w:spacing w:before="117" w:line="216" w:lineRule="auto"/>
        <w:ind w:left="1884"/>
        <w:rPr>
          <w:sz w:val="24"/>
          <w:szCs w:val="24"/>
        </w:rPr>
      </w:pPr>
      <w:r>
        <w:rPr>
          <w:spacing w:val="-21"/>
          <w:sz w:val="24"/>
          <w:szCs w:val="24"/>
        </w:rPr>
        <w:t>4)沟槽开挖过程中，加强技术管理，认真落实测量复核制度，挖沟槽时，设专人把关</w:t>
      </w:r>
      <w:r>
        <w:rPr>
          <w:spacing w:val="-22"/>
          <w:sz w:val="24"/>
          <w:szCs w:val="24"/>
        </w:rPr>
        <w:t>检验。</w:t>
      </w:r>
    </w:p>
    <w:p w14:paraId="5594D808">
      <w:pPr>
        <w:pStyle w:val="2"/>
        <w:spacing w:before="120" w:line="263" w:lineRule="auto"/>
        <w:ind w:left="1480" w:right="1412" w:firstLine="409"/>
        <w:rPr>
          <w:sz w:val="24"/>
          <w:szCs w:val="24"/>
        </w:rPr>
      </w:pPr>
      <w:r>
        <w:rPr>
          <w:spacing w:val="-20"/>
          <w:sz w:val="24"/>
          <w:szCs w:val="24"/>
        </w:rPr>
        <w:t>5)沟槽开挖至设计管底以上20CM左右时，由测量技术人员打腰桩，依据施工图的高程，测</w:t>
      </w:r>
      <w:r>
        <w:rPr>
          <w:spacing w:val="-22"/>
          <w:sz w:val="24"/>
          <w:szCs w:val="24"/>
        </w:rPr>
        <w:t>出桩顶下挖深度，然后挂线修槽抄平到设计高度。</w:t>
      </w:r>
    </w:p>
    <w:p w14:paraId="1A7C60BE">
      <w:pPr>
        <w:pStyle w:val="2"/>
        <w:spacing w:before="115" w:line="216" w:lineRule="auto"/>
        <w:ind w:left="1887"/>
        <w:rPr>
          <w:sz w:val="24"/>
          <w:szCs w:val="24"/>
        </w:rPr>
      </w:pPr>
      <w:r>
        <w:rPr>
          <w:spacing w:val="-20"/>
          <w:sz w:val="24"/>
          <w:szCs w:val="24"/>
        </w:rPr>
        <w:t>6)技术人员应及时检查高程，以防槽底超挖。</w:t>
      </w:r>
    </w:p>
    <w:p w14:paraId="495867C2">
      <w:pPr>
        <w:pStyle w:val="2"/>
        <w:spacing w:before="120" w:line="262" w:lineRule="auto"/>
        <w:ind w:left="1464" w:right="1409" w:firstLine="426"/>
        <w:rPr>
          <w:sz w:val="24"/>
          <w:szCs w:val="24"/>
        </w:rPr>
      </w:pPr>
      <w:r>
        <w:rPr>
          <w:spacing w:val="-20"/>
          <w:sz w:val="24"/>
          <w:szCs w:val="24"/>
        </w:rPr>
        <w:t>7)沟边堆土高度不大于1.5M,且距槽口边缘不小于0.8米。5.工程技术资料应及时收集整理</w:t>
      </w:r>
      <w:r>
        <w:rPr>
          <w:spacing w:val="-22"/>
          <w:sz w:val="24"/>
          <w:szCs w:val="24"/>
        </w:rPr>
        <w:t>汇总归档，设计变更及时反映在施工图纸上，为工程竣工提供依据。</w:t>
      </w:r>
    </w:p>
    <w:p w14:paraId="089FD32B">
      <w:pPr>
        <w:pStyle w:val="2"/>
        <w:spacing w:before="119" w:line="262" w:lineRule="auto"/>
        <w:ind w:left="1469" w:right="1411" w:firstLine="418"/>
        <w:rPr>
          <w:sz w:val="24"/>
          <w:szCs w:val="24"/>
        </w:rPr>
      </w:pPr>
      <w:r>
        <w:rPr>
          <w:spacing w:val="-19"/>
          <w:sz w:val="24"/>
          <w:szCs w:val="24"/>
        </w:rPr>
        <w:t>6.槽底开挖到位后，基础原状土夯实，高程、管位是否符合设计要求，密实度检测符合规</w:t>
      </w:r>
      <w:r>
        <w:rPr>
          <w:spacing w:val="-22"/>
          <w:sz w:val="24"/>
          <w:szCs w:val="24"/>
        </w:rPr>
        <w:t>范要求，无任何问题后由测量技术员定出管位中心线，并洒一道灰线，满</w:t>
      </w:r>
      <w:r>
        <w:rPr>
          <w:spacing w:val="-23"/>
          <w:sz w:val="24"/>
          <w:szCs w:val="24"/>
        </w:rPr>
        <w:t>足安装管道需要。</w:t>
      </w:r>
    </w:p>
    <w:p w14:paraId="4A72758E">
      <w:pPr>
        <w:pStyle w:val="2"/>
        <w:spacing w:before="120" w:line="219" w:lineRule="auto"/>
        <w:ind w:left="1884"/>
        <w:rPr>
          <w:sz w:val="24"/>
          <w:szCs w:val="24"/>
        </w:rPr>
      </w:pPr>
      <w:r>
        <w:rPr>
          <w:spacing w:val="-21"/>
          <w:sz w:val="24"/>
          <w:szCs w:val="24"/>
        </w:rPr>
        <w:t>4.2管道安装与措施：</w:t>
      </w:r>
    </w:p>
    <w:p w14:paraId="67E4830F">
      <w:pPr>
        <w:pStyle w:val="2"/>
        <w:spacing w:before="113" w:line="262" w:lineRule="auto"/>
        <w:ind w:left="1458" w:right="1427" w:firstLine="445"/>
        <w:rPr>
          <w:sz w:val="24"/>
          <w:szCs w:val="24"/>
        </w:rPr>
      </w:pPr>
      <w:r>
        <w:rPr>
          <w:spacing w:val="-20"/>
          <w:sz w:val="24"/>
          <w:szCs w:val="24"/>
        </w:rPr>
        <w:t>1.管道安装采用挂边线安管，管子半径高度要丈量准确，线要绷紧，安管过程中要随时检</w:t>
      </w:r>
      <w:r>
        <w:rPr>
          <w:spacing w:val="-21"/>
          <w:sz w:val="24"/>
          <w:szCs w:val="24"/>
        </w:rPr>
        <w:t>查，在调节管子中心线和高程时，要及时用回填土稳管，</w:t>
      </w:r>
      <w:r>
        <w:rPr>
          <w:spacing w:val="-22"/>
          <w:sz w:val="24"/>
          <w:szCs w:val="24"/>
        </w:rPr>
        <w:t>不得松动。</w:t>
      </w:r>
    </w:p>
    <w:p w14:paraId="051E2B78">
      <w:pPr>
        <w:pStyle w:val="2"/>
        <w:spacing w:before="121" w:line="262" w:lineRule="auto"/>
        <w:ind w:left="1480" w:right="1356" w:firstLine="407"/>
        <w:rPr>
          <w:sz w:val="24"/>
          <w:szCs w:val="24"/>
        </w:rPr>
      </w:pPr>
      <w:r>
        <w:rPr>
          <w:spacing w:val="-23"/>
          <w:sz w:val="24"/>
          <w:szCs w:val="24"/>
        </w:rPr>
        <w:t>2.本工程采用球墨铸管及管件，运输中严禁碰撞，特别是承插口部位，吊运卸车时应慎重，以免碰伤或损坏管材的外防腐层，如有损伤应及时修补。</w:t>
      </w:r>
    </w:p>
    <w:p w14:paraId="25249092">
      <w:pPr>
        <w:pStyle w:val="2"/>
        <w:spacing w:before="119" w:line="262" w:lineRule="auto"/>
        <w:ind w:left="1462" w:right="1355" w:firstLine="428"/>
        <w:rPr>
          <w:sz w:val="24"/>
          <w:szCs w:val="24"/>
        </w:rPr>
      </w:pPr>
      <w:r>
        <w:rPr>
          <w:spacing w:val="-23"/>
          <w:sz w:val="24"/>
          <w:szCs w:val="24"/>
        </w:rPr>
        <w:t>3.材料进场前由材料负责人对所提供材料进行详细检查，发现有损伤、砂眼等不合格材</w:t>
      </w:r>
      <w:r>
        <w:rPr>
          <w:spacing w:val="-24"/>
          <w:sz w:val="24"/>
          <w:szCs w:val="24"/>
        </w:rPr>
        <w:t>料，</w:t>
      </w:r>
      <w:r>
        <w:rPr>
          <w:spacing w:val="-21"/>
          <w:sz w:val="24"/>
          <w:szCs w:val="24"/>
        </w:rPr>
        <w:t>不得进场，进场材料必须有合格证或检验合格</w:t>
      </w:r>
      <w:r>
        <w:rPr>
          <w:spacing w:val="-22"/>
          <w:sz w:val="24"/>
          <w:szCs w:val="24"/>
        </w:rPr>
        <w:t>报告单。</w:t>
      </w:r>
    </w:p>
    <w:p w14:paraId="00076807">
      <w:pPr>
        <w:pStyle w:val="2"/>
        <w:spacing w:before="118" w:line="215" w:lineRule="auto"/>
        <w:ind w:left="1884"/>
        <w:rPr>
          <w:sz w:val="24"/>
          <w:szCs w:val="24"/>
        </w:rPr>
      </w:pPr>
      <w:r>
        <w:rPr>
          <w:spacing w:val="-20"/>
          <w:sz w:val="24"/>
          <w:szCs w:val="24"/>
        </w:rPr>
        <w:t>4.连接用橡胶圈，应在库房放不得与化学溶剂接触并挤压。</w:t>
      </w:r>
    </w:p>
    <w:p w14:paraId="401B267A">
      <w:pPr>
        <w:pStyle w:val="2"/>
        <w:spacing w:before="120" w:line="278" w:lineRule="auto"/>
        <w:ind w:left="1455" w:right="1353" w:firstLine="434"/>
        <w:rPr>
          <w:sz w:val="24"/>
          <w:szCs w:val="24"/>
        </w:rPr>
      </w:pPr>
      <w:r>
        <w:rPr>
          <w:spacing w:val="-19"/>
          <w:sz w:val="24"/>
          <w:szCs w:val="24"/>
        </w:rPr>
        <w:t>5.管道在安装胶圈前，应将承口内壁，插口外壁的毛刺、铸砂清理干净，胶圈上的油污和</w:t>
      </w:r>
      <w:r>
        <w:rPr>
          <w:spacing w:val="-26"/>
          <w:sz w:val="24"/>
          <w:szCs w:val="24"/>
        </w:rPr>
        <w:t>泥土清理干净，安装在承口内的胶圈应平直,各部位拉伸量应一致，并在胶圈和插口涂抹润滑剂，</w:t>
      </w:r>
      <w:r>
        <w:rPr>
          <w:spacing w:val="-21"/>
          <w:sz w:val="24"/>
          <w:szCs w:val="24"/>
        </w:rPr>
        <w:t>然后插口顶进承口，到第一道顶进线全部进入承口内止。</w:t>
      </w:r>
    </w:p>
    <w:p w14:paraId="07F8CA4B">
      <w:pPr>
        <w:pStyle w:val="2"/>
        <w:spacing w:before="118" w:line="264" w:lineRule="auto"/>
        <w:ind w:left="1463" w:right="1411" w:firstLine="423"/>
        <w:rPr>
          <w:sz w:val="24"/>
          <w:szCs w:val="24"/>
        </w:rPr>
      </w:pPr>
      <w:r>
        <w:rPr>
          <w:spacing w:val="-21"/>
          <w:sz w:val="24"/>
          <w:szCs w:val="24"/>
        </w:rPr>
        <w:t>6.管道安装中应有测量技术人员，检查管道的轴线</w:t>
      </w:r>
      <w:r>
        <w:rPr>
          <w:spacing w:val="-22"/>
          <w:sz w:val="24"/>
          <w:szCs w:val="24"/>
        </w:rPr>
        <w:t>，并进行校正,严格控制管道的高程、轴</w:t>
      </w:r>
      <w:r>
        <w:rPr>
          <w:spacing w:val="-12"/>
          <w:sz w:val="24"/>
          <w:szCs w:val="24"/>
        </w:rPr>
        <w:t>线。</w:t>
      </w:r>
    </w:p>
    <w:p w14:paraId="4F1784A9">
      <w:pPr>
        <w:pStyle w:val="2"/>
        <w:spacing w:before="112" w:line="215" w:lineRule="auto"/>
        <w:ind w:left="1891"/>
        <w:rPr>
          <w:sz w:val="24"/>
          <w:szCs w:val="24"/>
        </w:rPr>
      </w:pPr>
      <w:r>
        <w:rPr>
          <w:spacing w:val="-21"/>
          <w:sz w:val="24"/>
          <w:szCs w:val="24"/>
        </w:rPr>
        <w:t>7.管道在顶进过程中，应观察胶的压缩比到位情况，检查顶进尺寸是否到位。</w:t>
      </w:r>
    </w:p>
    <w:p w14:paraId="33190DB1">
      <w:pPr>
        <w:spacing w:line="215" w:lineRule="auto"/>
        <w:rPr>
          <w:sz w:val="24"/>
          <w:szCs w:val="24"/>
        </w:rPr>
        <w:sectPr>
          <w:footerReference r:id="rId215" w:type="default"/>
          <w:pgSz w:w="11907" w:h="16839"/>
          <w:pgMar w:top="954" w:right="4" w:bottom="1038" w:left="0" w:header="499" w:footer="357" w:gutter="0"/>
          <w:pgBorders>
            <w:top w:val="none" w:sz="0" w:space="0"/>
            <w:left w:val="none" w:sz="0" w:space="0"/>
            <w:bottom w:val="none" w:sz="0" w:space="0"/>
            <w:right w:val="none" w:sz="0" w:space="0"/>
          </w:pgBorders>
          <w:cols w:space="720" w:num="1"/>
        </w:sectPr>
      </w:pPr>
    </w:p>
    <w:p w14:paraId="5AFAD2BE">
      <w:pPr>
        <w:spacing w:line="251" w:lineRule="auto"/>
        <w:rPr>
          <w:rFonts w:ascii="Arial"/>
          <w:sz w:val="21"/>
        </w:rPr>
      </w:pPr>
    </w:p>
    <w:p w14:paraId="7427BE69">
      <w:pPr>
        <w:pStyle w:val="2"/>
        <w:spacing w:before="78" w:line="263" w:lineRule="auto"/>
        <w:ind w:left="1461" w:right="1412" w:firstLine="425"/>
        <w:rPr>
          <w:sz w:val="24"/>
          <w:szCs w:val="24"/>
        </w:rPr>
      </w:pPr>
      <w:r>
        <w:rPr>
          <w:spacing w:val="-21"/>
          <w:sz w:val="24"/>
          <w:szCs w:val="24"/>
        </w:rPr>
        <w:t>8.闸门连接采用法兰连接，连接中应使法兰平整光</w:t>
      </w:r>
      <w:r>
        <w:rPr>
          <w:spacing w:val="-22"/>
          <w:sz w:val="24"/>
          <w:szCs w:val="24"/>
        </w:rPr>
        <w:t>滑，螺栓紧固,螺帽上进高度基本在同一</w:t>
      </w:r>
      <w:r>
        <w:rPr>
          <w:spacing w:val="-19"/>
          <w:sz w:val="24"/>
          <w:szCs w:val="24"/>
        </w:rPr>
        <w:t>面上，螺栓必须露出螺母，露出长度不小于螺栓直径的二分之一</w:t>
      </w:r>
      <w:r>
        <w:rPr>
          <w:spacing w:val="-20"/>
          <w:sz w:val="24"/>
          <w:szCs w:val="24"/>
        </w:rPr>
        <w:t>，橡胶垫厚度3—5MM。</w:t>
      </w:r>
    </w:p>
    <w:p w14:paraId="3BEEBDA5">
      <w:pPr>
        <w:pStyle w:val="2"/>
        <w:spacing w:before="114" w:line="216" w:lineRule="auto"/>
        <w:ind w:left="1886"/>
        <w:rPr>
          <w:sz w:val="24"/>
          <w:szCs w:val="24"/>
        </w:rPr>
      </w:pPr>
      <w:r>
        <w:rPr>
          <w:spacing w:val="-14"/>
          <w:sz w:val="24"/>
          <w:szCs w:val="24"/>
        </w:rPr>
        <w:t>9.管线安装偏差要求达到，标高土20MM,轴线30MMo</w:t>
      </w:r>
      <w:r>
        <w:rPr>
          <w:spacing w:val="-15"/>
          <w:sz w:val="24"/>
          <w:szCs w:val="24"/>
        </w:rPr>
        <w:t>10.雨季施工：</w:t>
      </w:r>
    </w:p>
    <w:p w14:paraId="408E2D09">
      <w:pPr>
        <w:pStyle w:val="2"/>
        <w:spacing w:before="120" w:line="263" w:lineRule="auto"/>
        <w:ind w:left="1480" w:right="1440" w:firstLine="422"/>
        <w:rPr>
          <w:sz w:val="24"/>
          <w:szCs w:val="24"/>
        </w:rPr>
      </w:pPr>
      <w:r>
        <w:rPr>
          <w:spacing w:val="-20"/>
          <w:sz w:val="24"/>
          <w:szCs w:val="24"/>
        </w:rPr>
        <w:t>1)雨季施工沟槽开挖时，要求注意沟槽开挖不</w:t>
      </w:r>
      <w:r>
        <w:rPr>
          <w:spacing w:val="-21"/>
          <w:sz w:val="24"/>
          <w:szCs w:val="24"/>
        </w:rPr>
        <w:t>宜过长，在沟槽的两侧设置30CM挡水土堰，</w:t>
      </w:r>
      <w:r>
        <w:rPr>
          <w:spacing w:val="-22"/>
          <w:sz w:val="24"/>
          <w:szCs w:val="24"/>
        </w:rPr>
        <w:t>以防地表水流入沟槽导致泡槽、塌槽事故。</w:t>
      </w:r>
    </w:p>
    <w:p w14:paraId="2B4D471F">
      <w:pPr>
        <w:pStyle w:val="2"/>
        <w:spacing w:before="114" w:line="216" w:lineRule="auto"/>
        <w:ind w:left="1888"/>
        <w:rPr>
          <w:sz w:val="24"/>
          <w:szCs w:val="24"/>
        </w:rPr>
      </w:pPr>
      <w:r>
        <w:rPr>
          <w:spacing w:val="-21"/>
          <w:sz w:val="24"/>
          <w:szCs w:val="24"/>
        </w:rPr>
        <w:t>2)雨天采取防雨措施，保证接口材料不被雨淋。了解中长期天气预报，做好防雨措施。</w:t>
      </w:r>
    </w:p>
    <w:p w14:paraId="6CCDA7E9">
      <w:pPr>
        <w:pStyle w:val="2"/>
        <w:spacing w:before="120" w:line="219" w:lineRule="auto"/>
        <w:ind w:left="1903"/>
        <w:rPr>
          <w:sz w:val="24"/>
          <w:szCs w:val="24"/>
        </w:rPr>
      </w:pPr>
      <w:r>
        <w:rPr>
          <w:spacing w:val="-16"/>
          <w:sz w:val="24"/>
          <w:szCs w:val="24"/>
        </w:rPr>
        <w:t>11.施工措施：</w:t>
      </w:r>
    </w:p>
    <w:p w14:paraId="4717D4F0">
      <w:pPr>
        <w:pStyle w:val="2"/>
        <w:spacing w:before="117" w:line="218" w:lineRule="auto"/>
        <w:ind w:left="1903"/>
        <w:rPr>
          <w:sz w:val="24"/>
          <w:szCs w:val="24"/>
        </w:rPr>
      </w:pPr>
      <w:r>
        <w:rPr>
          <w:spacing w:val="-21"/>
          <w:sz w:val="24"/>
          <w:szCs w:val="24"/>
        </w:rPr>
        <w:t>1)雨季施工开挖管道沟槽，应随挖随验，及时敷设管道。</w:t>
      </w:r>
    </w:p>
    <w:p w14:paraId="0F1A9A39">
      <w:pPr>
        <w:pStyle w:val="2"/>
        <w:spacing w:before="114" w:line="217" w:lineRule="auto"/>
        <w:ind w:left="1888"/>
        <w:rPr>
          <w:sz w:val="24"/>
          <w:szCs w:val="24"/>
        </w:rPr>
      </w:pPr>
      <w:r>
        <w:rPr>
          <w:spacing w:val="-21"/>
          <w:sz w:val="24"/>
          <w:szCs w:val="24"/>
        </w:rPr>
        <w:t>2)已敷设完后的管道不能进行回填，应覆盖防止沟槽进水，影响施工质量。</w:t>
      </w:r>
    </w:p>
    <w:p w14:paraId="674CC21E">
      <w:pPr>
        <w:pStyle w:val="2"/>
        <w:spacing w:before="119" w:line="217" w:lineRule="auto"/>
        <w:ind w:left="1890"/>
        <w:rPr>
          <w:sz w:val="24"/>
          <w:szCs w:val="24"/>
        </w:rPr>
      </w:pPr>
      <w:r>
        <w:rPr>
          <w:spacing w:val="-19"/>
          <w:sz w:val="24"/>
          <w:szCs w:val="24"/>
        </w:rPr>
        <w:t>3)试压设备要采取保护措施。</w:t>
      </w:r>
    </w:p>
    <w:p w14:paraId="7D3A7B3B">
      <w:pPr>
        <w:pStyle w:val="2"/>
        <w:spacing w:before="120" w:line="218" w:lineRule="auto"/>
        <w:ind w:left="1903"/>
        <w:rPr>
          <w:sz w:val="24"/>
          <w:szCs w:val="24"/>
        </w:rPr>
      </w:pPr>
      <w:r>
        <w:rPr>
          <w:spacing w:val="-18"/>
          <w:sz w:val="24"/>
          <w:szCs w:val="24"/>
        </w:rPr>
        <w:t>12.回填土施工技术措施</w:t>
      </w:r>
    </w:p>
    <w:p w14:paraId="1E98DCDC">
      <w:pPr>
        <w:pStyle w:val="2"/>
        <w:spacing w:before="115" w:line="308" w:lineRule="auto"/>
        <w:ind w:left="1459" w:right="1410" w:firstLine="435"/>
        <w:rPr>
          <w:sz w:val="24"/>
          <w:szCs w:val="24"/>
        </w:rPr>
      </w:pPr>
      <w:r>
        <w:rPr>
          <w:spacing w:val="-20"/>
          <w:sz w:val="24"/>
          <w:szCs w:val="24"/>
        </w:rPr>
        <w:t>沟槽回填施工的质量，特别是胸腔部分回填密实度，直接影响管道结构的安全，所以管道</w:t>
      </w:r>
      <w:r>
        <w:rPr>
          <w:spacing w:val="-22"/>
          <w:sz w:val="24"/>
          <w:szCs w:val="24"/>
        </w:rPr>
        <w:t>土方回填质量至关重要。</w:t>
      </w:r>
    </w:p>
    <w:p w14:paraId="16356C7B">
      <w:pPr>
        <w:pStyle w:val="2"/>
        <w:spacing w:before="1" w:line="216" w:lineRule="auto"/>
        <w:ind w:left="1903"/>
        <w:rPr>
          <w:sz w:val="24"/>
          <w:szCs w:val="24"/>
        </w:rPr>
      </w:pPr>
      <w:r>
        <w:rPr>
          <w:spacing w:val="-22"/>
          <w:sz w:val="24"/>
          <w:szCs w:val="24"/>
        </w:rPr>
        <w:t>1)沟槽回填应分层进行水灌密实，铺砂厚度根据现场实际情况确定。</w:t>
      </w:r>
    </w:p>
    <w:p w14:paraId="0D99D555">
      <w:pPr>
        <w:pStyle w:val="2"/>
        <w:spacing w:before="116" w:line="264" w:lineRule="auto"/>
        <w:ind w:left="1461" w:right="1409" w:firstLine="427"/>
        <w:rPr>
          <w:sz w:val="24"/>
          <w:szCs w:val="24"/>
        </w:rPr>
      </w:pPr>
      <w:r>
        <w:rPr>
          <w:spacing w:val="-19"/>
          <w:sz w:val="24"/>
          <w:szCs w:val="24"/>
        </w:rPr>
        <w:t>2)沟槽回填前，必须将沟槽中的积水、淤泥、杂物清除干净，回填土中不能含有碎砖和大于10cm的干硬土块。</w:t>
      </w:r>
    </w:p>
    <w:p w14:paraId="532238D4">
      <w:pPr>
        <w:pStyle w:val="2"/>
        <w:spacing w:before="115" w:line="278" w:lineRule="auto"/>
        <w:ind w:left="1460" w:right="1410" w:firstLine="430"/>
        <w:rPr>
          <w:sz w:val="24"/>
          <w:szCs w:val="24"/>
        </w:rPr>
      </w:pPr>
      <w:r>
        <w:rPr>
          <w:spacing w:val="-16"/>
          <w:sz w:val="24"/>
          <w:szCs w:val="24"/>
        </w:rPr>
        <w:t>3)回填土应先做出相应标准密度(在实验室进行土样击实试验，做出最佳干容和最佳含水</w:t>
      </w:r>
      <w:r>
        <w:rPr>
          <w:spacing w:val="-22"/>
          <w:sz w:val="24"/>
          <w:szCs w:val="24"/>
        </w:rPr>
        <w:t>量)。回填土料在最佳含水量和接近含水量状态下先进行夯实，每个分层按</w:t>
      </w:r>
      <w:r>
        <w:rPr>
          <w:spacing w:val="-23"/>
          <w:sz w:val="24"/>
          <w:szCs w:val="24"/>
        </w:rPr>
        <w:t>质量标准的范围和频</w:t>
      </w:r>
      <w:r>
        <w:rPr>
          <w:spacing w:val="-21"/>
          <w:sz w:val="24"/>
          <w:szCs w:val="24"/>
        </w:rPr>
        <w:t>率，做出压密度试验，直到达标为止。</w:t>
      </w:r>
    </w:p>
    <w:p w14:paraId="7AC07A59">
      <w:pPr>
        <w:pStyle w:val="2"/>
        <w:spacing w:before="117" w:line="217" w:lineRule="auto"/>
        <w:ind w:left="1884"/>
        <w:rPr>
          <w:sz w:val="24"/>
          <w:szCs w:val="24"/>
        </w:rPr>
      </w:pPr>
      <w:r>
        <w:rPr>
          <w:spacing w:val="-20"/>
          <w:sz w:val="24"/>
          <w:szCs w:val="24"/>
        </w:rPr>
        <w:t>4)回填土要保持一定的坡度，保证遇雨排水畅通。</w:t>
      </w:r>
    </w:p>
    <w:p w14:paraId="06C93574">
      <w:pPr>
        <w:pStyle w:val="2"/>
        <w:spacing w:before="117" w:line="215" w:lineRule="auto"/>
        <w:ind w:left="1890"/>
        <w:rPr>
          <w:sz w:val="24"/>
          <w:szCs w:val="24"/>
        </w:rPr>
      </w:pPr>
      <w:r>
        <w:rPr>
          <w:spacing w:val="-20"/>
          <w:sz w:val="24"/>
          <w:szCs w:val="24"/>
        </w:rPr>
        <w:t>5)在井室周围和边角机械碾压不到位的地方，采取人工补夯</w:t>
      </w:r>
      <w:r>
        <w:rPr>
          <w:spacing w:val="-21"/>
          <w:sz w:val="24"/>
          <w:szCs w:val="24"/>
        </w:rPr>
        <w:t>,不出现局部漏夯。</w:t>
      </w:r>
    </w:p>
    <w:p w14:paraId="2A06D090">
      <w:pPr>
        <w:pStyle w:val="2"/>
        <w:spacing w:before="86" w:line="217" w:lineRule="auto"/>
        <w:ind w:left="1985"/>
        <w:outlineLvl w:val="2"/>
        <w:rPr>
          <w:sz w:val="28"/>
          <w:szCs w:val="28"/>
        </w:rPr>
      </w:pPr>
      <w:bookmarkStart w:id="151" w:name="bookmark144"/>
      <w:bookmarkEnd w:id="151"/>
      <w:r>
        <w:rPr>
          <w:b/>
          <w:bCs/>
          <w:spacing w:val="-23"/>
          <w:sz w:val="28"/>
          <w:szCs w:val="28"/>
        </w:rPr>
        <w:t>三、钢管焊接质量保证措施</w:t>
      </w:r>
    </w:p>
    <w:p w14:paraId="580DECF7">
      <w:pPr>
        <w:pStyle w:val="2"/>
        <w:spacing w:before="106" w:line="216" w:lineRule="auto"/>
        <w:ind w:left="1893"/>
        <w:rPr>
          <w:sz w:val="24"/>
          <w:szCs w:val="24"/>
        </w:rPr>
      </w:pPr>
      <w:r>
        <w:rPr>
          <w:spacing w:val="-20"/>
          <w:sz w:val="24"/>
          <w:szCs w:val="24"/>
        </w:rPr>
        <w:t>（1）检查钢管表面和焊口两侧各150mm范围内的区域，应无泥土油</w:t>
      </w:r>
      <w:r>
        <w:rPr>
          <w:spacing w:val="-21"/>
          <w:sz w:val="24"/>
          <w:szCs w:val="24"/>
        </w:rPr>
        <w:t>污和杂草等物。</w:t>
      </w:r>
    </w:p>
    <w:p w14:paraId="3A8D9C12">
      <w:pPr>
        <w:pStyle w:val="2"/>
        <w:spacing w:before="119" w:line="263" w:lineRule="auto"/>
        <w:ind w:left="1463" w:right="1410" w:firstLine="430"/>
        <w:rPr>
          <w:sz w:val="24"/>
          <w:szCs w:val="24"/>
        </w:rPr>
      </w:pPr>
      <w:r>
        <w:rPr>
          <w:spacing w:val="-22"/>
          <w:sz w:val="24"/>
          <w:szCs w:val="24"/>
        </w:rPr>
        <w:t>（2）应用点温计等业主允许的仪器对钢管表面的顶、侧、底四个点的温度进行检查</w:t>
      </w:r>
      <w:r>
        <w:rPr>
          <w:spacing w:val="-23"/>
          <w:sz w:val="24"/>
          <w:szCs w:val="24"/>
        </w:rPr>
        <w:t>。应符</w:t>
      </w:r>
      <w:r>
        <w:rPr>
          <w:spacing w:val="-21"/>
          <w:sz w:val="24"/>
          <w:szCs w:val="24"/>
        </w:rPr>
        <w:t>合产品说明书中的有关规定。</w:t>
      </w:r>
    </w:p>
    <w:p w14:paraId="045F0E14">
      <w:pPr>
        <w:pStyle w:val="2"/>
        <w:spacing w:before="117" w:line="216" w:lineRule="auto"/>
        <w:ind w:left="1893"/>
        <w:rPr>
          <w:sz w:val="24"/>
          <w:szCs w:val="24"/>
        </w:rPr>
      </w:pPr>
      <w:r>
        <w:rPr>
          <w:spacing w:val="-21"/>
          <w:sz w:val="24"/>
          <w:szCs w:val="24"/>
        </w:rPr>
        <w:t>（3）按规定要求安装热收缩套，检查热收缩套的轴向搭接宽度，应符合标准规定。</w:t>
      </w:r>
    </w:p>
    <w:p w14:paraId="19DE1949">
      <w:pPr>
        <w:pStyle w:val="2"/>
        <w:spacing w:before="117" w:line="263" w:lineRule="auto"/>
        <w:ind w:left="1473" w:right="1411" w:firstLine="419"/>
        <w:rPr>
          <w:sz w:val="24"/>
          <w:szCs w:val="24"/>
        </w:rPr>
      </w:pPr>
      <w:r>
        <w:rPr>
          <w:spacing w:val="-22"/>
          <w:sz w:val="24"/>
          <w:szCs w:val="24"/>
        </w:rPr>
        <w:t>（4）应按照标准规定检查每一个补口的外观质量，应平整无气泡、皱折、烧焦和</w:t>
      </w:r>
      <w:r>
        <w:rPr>
          <w:spacing w:val="-23"/>
          <w:sz w:val="24"/>
          <w:szCs w:val="24"/>
        </w:rPr>
        <w:t>炭化等缺</w:t>
      </w:r>
      <w:r>
        <w:rPr>
          <w:spacing w:val="-22"/>
          <w:sz w:val="24"/>
          <w:szCs w:val="24"/>
        </w:rPr>
        <w:t>陷。</w:t>
      </w:r>
    </w:p>
    <w:p w14:paraId="6E937F6F">
      <w:pPr>
        <w:pStyle w:val="2"/>
        <w:spacing w:before="119" w:line="269" w:lineRule="auto"/>
        <w:ind w:left="1466" w:right="1411" w:firstLine="426"/>
        <w:rPr>
          <w:sz w:val="24"/>
          <w:szCs w:val="24"/>
        </w:rPr>
      </w:pPr>
      <w:r>
        <w:rPr>
          <w:spacing w:val="-22"/>
          <w:sz w:val="24"/>
          <w:szCs w:val="24"/>
        </w:rPr>
        <w:t>（5）用业主同意经监理检查合格的电火花检漏仪对每一个补口进行针孔检查，</w:t>
      </w:r>
      <w:r>
        <w:rPr>
          <w:spacing w:val="-23"/>
          <w:sz w:val="24"/>
          <w:szCs w:val="24"/>
        </w:rPr>
        <w:t>检漏电压为</w:t>
      </w:r>
      <w:r>
        <w:rPr>
          <w:spacing w:val="-12"/>
          <w:sz w:val="24"/>
          <w:szCs w:val="24"/>
        </w:rPr>
        <w:t>15KV。</w:t>
      </w:r>
    </w:p>
    <w:p w14:paraId="29B44847">
      <w:pPr>
        <w:pStyle w:val="2"/>
        <w:spacing w:before="100" w:line="262" w:lineRule="auto"/>
        <w:ind w:left="1458" w:right="1409" w:firstLine="434"/>
        <w:rPr>
          <w:sz w:val="24"/>
          <w:szCs w:val="24"/>
        </w:rPr>
      </w:pPr>
      <w:r>
        <w:rPr>
          <w:spacing w:val="-20"/>
          <w:sz w:val="24"/>
          <w:szCs w:val="24"/>
        </w:rPr>
        <w:t>（6）按照标准规定对补口进行粘结力抽查（不小于100N/cm</w:t>
      </w:r>
      <w:r>
        <w:rPr>
          <w:spacing w:val="-21"/>
          <w:sz w:val="24"/>
          <w:szCs w:val="24"/>
        </w:rPr>
        <w:t>），</w:t>
      </w:r>
      <w:r>
        <w:rPr>
          <w:spacing w:val="-20"/>
          <w:sz w:val="24"/>
          <w:szCs w:val="24"/>
        </w:rPr>
        <w:t>不合格应加倍抽测，若加</w:t>
      </w:r>
      <w:r>
        <w:rPr>
          <w:spacing w:val="-21"/>
          <w:sz w:val="24"/>
          <w:szCs w:val="24"/>
        </w:rPr>
        <w:t>倍抽测不合格，则该班的补口应全部检测。</w:t>
      </w:r>
    </w:p>
    <w:p w14:paraId="542D5998">
      <w:pPr>
        <w:pStyle w:val="2"/>
        <w:spacing w:before="83" w:line="217" w:lineRule="auto"/>
        <w:ind w:left="2010"/>
        <w:outlineLvl w:val="2"/>
        <w:rPr>
          <w:sz w:val="28"/>
          <w:szCs w:val="28"/>
        </w:rPr>
      </w:pPr>
      <w:bookmarkStart w:id="152" w:name="bookmark145"/>
      <w:bookmarkEnd w:id="152"/>
      <w:r>
        <w:rPr>
          <w:b/>
          <w:bCs/>
          <w:spacing w:val="-25"/>
          <w:sz w:val="28"/>
          <w:szCs w:val="28"/>
        </w:rPr>
        <w:t>四、焊口防腐质量保证措施</w:t>
      </w:r>
    </w:p>
    <w:p w14:paraId="4FBAA82F">
      <w:pPr>
        <w:pStyle w:val="2"/>
        <w:spacing w:before="107" w:line="218" w:lineRule="auto"/>
        <w:ind w:left="1893"/>
        <w:rPr>
          <w:sz w:val="24"/>
          <w:szCs w:val="24"/>
        </w:rPr>
      </w:pPr>
      <w:r>
        <w:rPr>
          <w:spacing w:val="-19"/>
          <w:sz w:val="24"/>
          <w:szCs w:val="24"/>
        </w:rPr>
        <w:t>（一）、施工条件：</w:t>
      </w:r>
    </w:p>
    <w:p w14:paraId="48664416">
      <w:pPr>
        <w:pStyle w:val="2"/>
        <w:spacing w:before="117" w:line="217" w:lineRule="auto"/>
        <w:ind w:left="1903"/>
        <w:rPr>
          <w:sz w:val="24"/>
          <w:szCs w:val="24"/>
        </w:rPr>
      </w:pPr>
      <w:r>
        <w:rPr>
          <w:spacing w:val="-18"/>
          <w:sz w:val="24"/>
          <w:szCs w:val="24"/>
        </w:rPr>
        <w:t>1.施工时基材表面温度必须大于露点温度3℃,相对湿度必须低于60%；</w:t>
      </w:r>
    </w:p>
    <w:p w14:paraId="52131E37">
      <w:pPr>
        <w:pStyle w:val="2"/>
        <w:spacing w:before="116" w:line="217" w:lineRule="auto"/>
        <w:ind w:left="1888"/>
        <w:rPr>
          <w:sz w:val="24"/>
          <w:szCs w:val="24"/>
        </w:rPr>
      </w:pPr>
      <w:r>
        <w:rPr>
          <w:spacing w:val="-15"/>
          <w:sz w:val="24"/>
          <w:szCs w:val="24"/>
        </w:rPr>
        <w:t>2.建议施工15℃~32℃环境温度下进行。</w:t>
      </w:r>
    </w:p>
    <w:p w14:paraId="42AF9FA0">
      <w:pPr>
        <w:spacing w:line="217" w:lineRule="auto"/>
        <w:rPr>
          <w:sz w:val="24"/>
          <w:szCs w:val="24"/>
        </w:rPr>
        <w:sectPr>
          <w:footerReference r:id="rId216" w:type="default"/>
          <w:pgSz w:w="11907" w:h="16839"/>
          <w:pgMar w:top="954" w:right="4" w:bottom="1038" w:left="0" w:header="499" w:footer="357" w:gutter="0"/>
          <w:pgBorders>
            <w:top w:val="none" w:sz="0" w:space="0"/>
            <w:left w:val="none" w:sz="0" w:space="0"/>
            <w:bottom w:val="none" w:sz="0" w:space="0"/>
            <w:right w:val="none" w:sz="0" w:space="0"/>
          </w:pgBorders>
          <w:cols w:space="720" w:num="1"/>
        </w:sectPr>
      </w:pPr>
    </w:p>
    <w:p w14:paraId="5B662CB0">
      <w:pPr>
        <w:spacing w:line="251" w:lineRule="auto"/>
        <w:rPr>
          <w:rFonts w:ascii="Arial"/>
          <w:sz w:val="21"/>
        </w:rPr>
      </w:pPr>
    </w:p>
    <w:p w14:paraId="28A79BEA">
      <w:pPr>
        <w:pStyle w:val="2"/>
        <w:spacing w:before="78" w:line="217" w:lineRule="auto"/>
        <w:ind w:left="1893"/>
        <w:rPr>
          <w:sz w:val="24"/>
          <w:szCs w:val="24"/>
        </w:rPr>
      </w:pPr>
      <w:r>
        <w:rPr>
          <w:spacing w:val="-20"/>
          <w:sz w:val="24"/>
          <w:szCs w:val="24"/>
        </w:rPr>
        <w:t>（二）、制定施工方案：</w:t>
      </w:r>
    </w:p>
    <w:p w14:paraId="3280920C">
      <w:pPr>
        <w:pStyle w:val="2"/>
        <w:spacing w:before="118" w:line="216" w:lineRule="auto"/>
        <w:ind w:left="1903"/>
        <w:rPr>
          <w:sz w:val="24"/>
          <w:szCs w:val="24"/>
        </w:rPr>
      </w:pPr>
      <w:r>
        <w:rPr>
          <w:spacing w:val="-21"/>
          <w:sz w:val="24"/>
          <w:szCs w:val="24"/>
        </w:rPr>
        <w:t>1.根据浮选槽磨损情况，或选择局部修复或做整体涂层防护处理；</w:t>
      </w:r>
    </w:p>
    <w:p w14:paraId="763D6CF0">
      <w:pPr>
        <w:pStyle w:val="2"/>
        <w:spacing w:before="118" w:line="220" w:lineRule="auto"/>
        <w:ind w:left="1893"/>
        <w:rPr>
          <w:sz w:val="24"/>
          <w:szCs w:val="24"/>
        </w:rPr>
      </w:pPr>
      <w:r>
        <w:rPr>
          <w:spacing w:val="-19"/>
          <w:sz w:val="24"/>
          <w:szCs w:val="24"/>
        </w:rPr>
        <w:t>（三）、表面处理：</w:t>
      </w:r>
    </w:p>
    <w:p w14:paraId="1DDDF14D">
      <w:pPr>
        <w:pStyle w:val="2"/>
        <w:spacing w:before="114" w:line="263" w:lineRule="auto"/>
        <w:ind w:left="1457" w:right="1409" w:firstLine="446"/>
        <w:rPr>
          <w:sz w:val="24"/>
          <w:szCs w:val="24"/>
        </w:rPr>
      </w:pPr>
      <w:r>
        <w:rPr>
          <w:spacing w:val="-16"/>
          <w:sz w:val="24"/>
          <w:szCs w:val="24"/>
        </w:rPr>
        <w:t>1.对设备冲蚀缺损部位进行补焊，选用与设备基材同材质或</w:t>
      </w:r>
      <w:r>
        <w:rPr>
          <w:spacing w:val="-17"/>
          <w:sz w:val="24"/>
          <w:szCs w:val="24"/>
        </w:rPr>
        <w:t>接近的钢板/钢筋进行骨架焊</w:t>
      </w:r>
      <w:r>
        <w:rPr>
          <w:spacing w:val="-23"/>
          <w:sz w:val="24"/>
          <w:szCs w:val="24"/>
        </w:rPr>
        <w:t>接；</w:t>
      </w:r>
    </w:p>
    <w:p w14:paraId="00CF49A4">
      <w:pPr>
        <w:pStyle w:val="2"/>
        <w:spacing w:before="115" w:line="262" w:lineRule="auto"/>
        <w:ind w:left="1470" w:right="1409" w:firstLine="418"/>
        <w:rPr>
          <w:sz w:val="24"/>
          <w:szCs w:val="24"/>
        </w:rPr>
      </w:pPr>
      <w:r>
        <w:rPr>
          <w:spacing w:val="-19"/>
          <w:sz w:val="24"/>
          <w:szCs w:val="24"/>
        </w:rPr>
        <w:t>2.物料、脱脂、除潮处理：用高压清洗设备对浮选槽需修复部位进行清洗，去除设备表面</w:t>
      </w:r>
      <w:r>
        <w:rPr>
          <w:spacing w:val="-22"/>
          <w:sz w:val="24"/>
          <w:szCs w:val="24"/>
        </w:rPr>
        <w:t>的物料、铁锈、污泥等杂质，并且应无油污、无粉尘。</w:t>
      </w:r>
    </w:p>
    <w:p w14:paraId="0F7F7A19">
      <w:pPr>
        <w:pStyle w:val="2"/>
        <w:spacing w:before="120" w:line="261" w:lineRule="auto"/>
        <w:ind w:left="1461" w:right="1410" w:firstLine="429"/>
        <w:rPr>
          <w:sz w:val="24"/>
          <w:szCs w:val="24"/>
        </w:rPr>
      </w:pPr>
      <w:r>
        <w:rPr>
          <w:spacing w:val="-19"/>
          <w:sz w:val="24"/>
          <w:szCs w:val="24"/>
        </w:rPr>
        <w:t>3.喷砂除锈：去除工件表面的氧化层，目视检查，喷砂面可见均匀的金属本色。喷砂处理</w:t>
      </w:r>
      <w:r>
        <w:rPr>
          <w:spacing w:val="-21"/>
          <w:sz w:val="24"/>
          <w:szCs w:val="24"/>
        </w:rPr>
        <w:t>完的工件不允许用带油脂手套直接接触喷砂面，</w:t>
      </w:r>
      <w:r>
        <w:rPr>
          <w:spacing w:val="-22"/>
          <w:sz w:val="24"/>
          <w:szCs w:val="24"/>
        </w:rPr>
        <w:t>喷砂处理后工件要注意防潮。</w:t>
      </w:r>
    </w:p>
    <w:p w14:paraId="4C8B0927">
      <w:pPr>
        <w:pStyle w:val="2"/>
        <w:spacing w:before="120" w:line="216" w:lineRule="auto"/>
        <w:ind w:left="1893"/>
        <w:rPr>
          <w:sz w:val="24"/>
          <w:szCs w:val="24"/>
        </w:rPr>
      </w:pPr>
      <w:r>
        <w:rPr>
          <w:spacing w:val="-20"/>
          <w:sz w:val="24"/>
          <w:szCs w:val="24"/>
        </w:rPr>
        <w:t>（四）、耐磨防腐材料选用：</w:t>
      </w:r>
    </w:p>
    <w:p w14:paraId="47C98431">
      <w:pPr>
        <w:pStyle w:val="2"/>
        <w:spacing w:before="121" w:line="216" w:lineRule="auto"/>
        <w:ind w:left="1903"/>
        <w:rPr>
          <w:sz w:val="24"/>
          <w:szCs w:val="24"/>
        </w:rPr>
      </w:pPr>
      <w:r>
        <w:rPr>
          <w:spacing w:val="-15"/>
          <w:sz w:val="24"/>
          <w:szCs w:val="24"/>
        </w:rPr>
        <w:t>1.XK-G16-30耐磨修复材料</w:t>
      </w:r>
    </w:p>
    <w:p w14:paraId="4B5BFB47">
      <w:pPr>
        <w:pStyle w:val="2"/>
        <w:spacing w:before="117" w:line="216" w:lineRule="auto"/>
        <w:ind w:left="1888"/>
        <w:rPr>
          <w:sz w:val="24"/>
          <w:szCs w:val="24"/>
        </w:rPr>
      </w:pPr>
      <w:r>
        <w:rPr>
          <w:spacing w:val="-15"/>
          <w:sz w:val="24"/>
          <w:szCs w:val="24"/>
        </w:rPr>
        <w:t>2.XK-G30耐磨修复材料</w:t>
      </w:r>
    </w:p>
    <w:p w14:paraId="5E106FDD">
      <w:pPr>
        <w:pStyle w:val="2"/>
        <w:spacing w:before="119" w:line="308" w:lineRule="auto"/>
        <w:ind w:left="1464" w:right="1412" w:firstLine="428"/>
        <w:jc w:val="both"/>
        <w:rPr>
          <w:sz w:val="24"/>
          <w:szCs w:val="24"/>
        </w:rPr>
      </w:pPr>
      <w:r>
        <w:rPr>
          <w:spacing w:val="-20"/>
          <w:sz w:val="24"/>
          <w:szCs w:val="24"/>
        </w:rPr>
        <w:t>该材料具有耐水、耐油、耐酸碱性。适用（-20℃-250℃)设备过流冲蚀、设备</w:t>
      </w:r>
      <w:r>
        <w:rPr>
          <w:spacing w:val="-21"/>
          <w:sz w:val="24"/>
          <w:szCs w:val="24"/>
        </w:rPr>
        <w:t>的大面积修</w:t>
      </w:r>
      <w:r>
        <w:rPr>
          <w:spacing w:val="-20"/>
          <w:sz w:val="24"/>
          <w:szCs w:val="24"/>
        </w:rPr>
        <w:t>复、设备预涂耐磨层，如旋流器、浮选柱、浮选机、泡沫槽、分级机、搅拌桶、溜槽、管件类</w:t>
      </w:r>
      <w:r>
        <w:rPr>
          <w:spacing w:val="-17"/>
          <w:sz w:val="24"/>
          <w:szCs w:val="24"/>
        </w:rPr>
        <w:t>等修复。</w:t>
      </w:r>
    </w:p>
    <w:p w14:paraId="5BF26633">
      <w:pPr>
        <w:pStyle w:val="2"/>
        <w:spacing w:before="1" w:line="215" w:lineRule="auto"/>
        <w:ind w:left="1893"/>
        <w:rPr>
          <w:sz w:val="24"/>
          <w:szCs w:val="24"/>
        </w:rPr>
      </w:pPr>
      <w:r>
        <w:rPr>
          <w:spacing w:val="-20"/>
          <w:sz w:val="24"/>
          <w:szCs w:val="24"/>
        </w:rPr>
        <w:t>（五）、耐磨材料施工：</w:t>
      </w:r>
    </w:p>
    <w:p w14:paraId="1E5AC8A0">
      <w:pPr>
        <w:pStyle w:val="2"/>
        <w:spacing w:before="120" w:line="216" w:lineRule="auto"/>
        <w:ind w:left="1903"/>
        <w:rPr>
          <w:sz w:val="24"/>
          <w:szCs w:val="24"/>
        </w:rPr>
      </w:pPr>
      <w:r>
        <w:rPr>
          <w:spacing w:val="-22"/>
          <w:sz w:val="24"/>
          <w:szCs w:val="24"/>
        </w:rPr>
        <w:t>1、XK耐磨材料使用注意事项：</w:t>
      </w:r>
    </w:p>
    <w:p w14:paraId="69845683">
      <w:pPr>
        <w:pStyle w:val="2"/>
        <w:spacing w:before="119" w:line="308" w:lineRule="auto"/>
        <w:ind w:left="1460" w:right="1434" w:firstLine="425"/>
        <w:rPr>
          <w:sz w:val="24"/>
          <w:szCs w:val="24"/>
        </w:rPr>
      </w:pPr>
      <w:r>
        <w:rPr>
          <w:spacing w:val="-21"/>
          <w:sz w:val="24"/>
          <w:szCs w:val="24"/>
        </w:rPr>
        <w:t>①.严格按照XK系列设备专用修复材料的比例混合，搅拌均匀。搅拌不均匀会出现局部不</w:t>
      </w:r>
      <w:r>
        <w:rPr>
          <w:spacing w:val="-14"/>
          <w:sz w:val="24"/>
          <w:szCs w:val="24"/>
        </w:rPr>
        <w:t>耐磨情</w:t>
      </w:r>
    </w:p>
    <w:p w14:paraId="57F60E76">
      <w:pPr>
        <w:pStyle w:val="2"/>
        <w:spacing w:line="218" w:lineRule="auto"/>
        <w:ind w:left="1894"/>
        <w:rPr>
          <w:sz w:val="24"/>
          <w:szCs w:val="24"/>
        </w:rPr>
      </w:pPr>
      <w:r>
        <w:rPr>
          <w:spacing w:val="-21"/>
          <w:sz w:val="24"/>
          <w:szCs w:val="24"/>
        </w:rPr>
        <w:t>况。具体调和比例及固化时间参照产品数据表。</w:t>
      </w:r>
    </w:p>
    <w:p w14:paraId="25656BCB">
      <w:pPr>
        <w:pStyle w:val="2"/>
        <w:spacing w:before="116" w:line="308" w:lineRule="auto"/>
        <w:ind w:left="1458" w:right="1461" w:firstLine="426"/>
        <w:rPr>
          <w:sz w:val="24"/>
          <w:szCs w:val="24"/>
        </w:rPr>
      </w:pPr>
      <w:r>
        <w:rPr>
          <w:spacing w:val="-24"/>
          <w:sz w:val="24"/>
          <w:szCs w:val="24"/>
        </w:rPr>
        <w:t>②.充分混合材料后需在3分钟内用完，否则材料会固化变硬，固化后的材料不能使用，</w:t>
      </w:r>
      <w:r>
        <w:rPr>
          <w:spacing w:val="-21"/>
          <w:sz w:val="24"/>
          <w:szCs w:val="24"/>
        </w:rPr>
        <w:t>如果使用固化后的材料会出现局部掉层现象。</w:t>
      </w:r>
    </w:p>
    <w:p w14:paraId="4786C2A6">
      <w:pPr>
        <w:pStyle w:val="2"/>
        <w:spacing w:before="1" w:line="215" w:lineRule="auto"/>
        <w:ind w:left="1888"/>
        <w:rPr>
          <w:sz w:val="24"/>
          <w:szCs w:val="24"/>
        </w:rPr>
      </w:pPr>
      <w:r>
        <w:rPr>
          <w:spacing w:val="-20"/>
          <w:sz w:val="24"/>
          <w:szCs w:val="24"/>
        </w:rPr>
        <w:t>2、XK系列设备专用修复材料使用顺序：</w:t>
      </w:r>
    </w:p>
    <w:p w14:paraId="0A35130D">
      <w:pPr>
        <w:pStyle w:val="2"/>
        <w:spacing w:before="117" w:line="278" w:lineRule="auto"/>
        <w:ind w:left="1457" w:right="1411" w:firstLine="428"/>
        <w:rPr>
          <w:sz w:val="24"/>
          <w:szCs w:val="24"/>
        </w:rPr>
      </w:pPr>
      <w:r>
        <w:rPr>
          <w:spacing w:val="-19"/>
          <w:sz w:val="24"/>
          <w:szCs w:val="24"/>
        </w:rPr>
        <w:t>①.将XK-G30设备专用修复材料按比</w:t>
      </w:r>
      <w:r>
        <w:rPr>
          <w:spacing w:val="-20"/>
          <w:sz w:val="24"/>
          <w:szCs w:val="24"/>
        </w:rPr>
        <w:t>例混合搅拌均匀，用专用喷涂机对浮选槽大面积喷涂处理，对局部小区域改用人工处理，用泥抹板或塑料刮板将混合后的修复材料涂与设备局部进</w:t>
      </w:r>
      <w:r>
        <w:rPr>
          <w:spacing w:val="-21"/>
          <w:sz w:val="24"/>
          <w:szCs w:val="24"/>
        </w:rPr>
        <w:t>行涂层处理，朝一个方向涂抹，一边涂抹一边压实；</w:t>
      </w:r>
    </w:p>
    <w:p w14:paraId="57FDAFEA">
      <w:pPr>
        <w:pStyle w:val="2"/>
        <w:spacing w:before="117" w:line="216" w:lineRule="auto"/>
        <w:ind w:left="1884"/>
        <w:rPr>
          <w:sz w:val="24"/>
          <w:szCs w:val="24"/>
        </w:rPr>
      </w:pPr>
      <w:r>
        <w:rPr>
          <w:spacing w:val="-19"/>
          <w:sz w:val="24"/>
          <w:szCs w:val="24"/>
        </w:rPr>
        <w:t>②.XK-G16-30设备专用修复材料按比例混合，用专用喷涂机对浮选槽底部进行喷涂处理；</w:t>
      </w:r>
    </w:p>
    <w:p w14:paraId="6F79B9C2">
      <w:pPr>
        <w:pStyle w:val="2"/>
        <w:spacing w:before="120" w:line="215" w:lineRule="auto"/>
        <w:ind w:left="1884"/>
        <w:rPr>
          <w:sz w:val="24"/>
          <w:szCs w:val="24"/>
        </w:rPr>
      </w:pPr>
      <w:r>
        <w:rPr>
          <w:spacing w:val="-20"/>
          <w:sz w:val="24"/>
          <w:szCs w:val="24"/>
        </w:rPr>
        <w:t>③.在材料初固前，使用刮板将涂层的材料表面</w:t>
      </w:r>
      <w:r>
        <w:rPr>
          <w:spacing w:val="-21"/>
          <w:sz w:val="24"/>
          <w:szCs w:val="24"/>
        </w:rPr>
        <w:t>修理平整；</w:t>
      </w:r>
    </w:p>
    <w:p w14:paraId="33D9D676">
      <w:pPr>
        <w:pStyle w:val="2"/>
        <w:spacing w:before="120" w:line="262" w:lineRule="auto"/>
        <w:ind w:left="1458" w:right="1409" w:firstLine="426"/>
        <w:rPr>
          <w:sz w:val="24"/>
          <w:szCs w:val="24"/>
        </w:rPr>
      </w:pPr>
      <w:r>
        <w:rPr>
          <w:spacing w:val="-21"/>
          <w:sz w:val="24"/>
          <w:szCs w:val="24"/>
        </w:rPr>
        <w:t>④.固化：修复平整后，常温固化24小时后便可投入使用，气温较低时，可采取加温设备</w:t>
      </w:r>
      <w:r>
        <w:rPr>
          <w:spacing w:val="-19"/>
          <w:sz w:val="24"/>
          <w:szCs w:val="24"/>
        </w:rPr>
        <w:t>进行升温固化。</w:t>
      </w:r>
    </w:p>
    <w:p w14:paraId="09B1ACFA">
      <w:pPr>
        <w:pStyle w:val="2"/>
        <w:spacing w:before="119" w:line="219" w:lineRule="auto"/>
        <w:ind w:left="1893"/>
        <w:rPr>
          <w:sz w:val="24"/>
          <w:szCs w:val="24"/>
        </w:rPr>
      </w:pPr>
      <w:r>
        <w:rPr>
          <w:spacing w:val="-19"/>
          <w:sz w:val="24"/>
          <w:szCs w:val="24"/>
        </w:rPr>
        <w:t>（六）、研磨验收：</w:t>
      </w:r>
    </w:p>
    <w:p w14:paraId="20253D38">
      <w:pPr>
        <w:pStyle w:val="2"/>
        <w:spacing w:before="116" w:line="217" w:lineRule="auto"/>
        <w:ind w:left="1892"/>
        <w:rPr>
          <w:sz w:val="24"/>
          <w:szCs w:val="24"/>
        </w:rPr>
      </w:pPr>
      <w:r>
        <w:rPr>
          <w:spacing w:val="-21"/>
          <w:sz w:val="24"/>
          <w:szCs w:val="24"/>
        </w:rPr>
        <w:t>研磨：加温固化后的对不平整部分进行研磨处理，打磨平整。</w:t>
      </w:r>
    </w:p>
    <w:p w14:paraId="64AC72BE">
      <w:pPr>
        <w:pStyle w:val="2"/>
        <w:spacing w:before="83" w:line="216" w:lineRule="auto"/>
        <w:ind w:left="1981"/>
        <w:outlineLvl w:val="2"/>
        <w:rPr>
          <w:sz w:val="28"/>
          <w:szCs w:val="28"/>
        </w:rPr>
      </w:pPr>
      <w:bookmarkStart w:id="153" w:name="bookmark146"/>
      <w:bookmarkEnd w:id="153"/>
      <w:r>
        <w:rPr>
          <w:b/>
          <w:bCs/>
          <w:spacing w:val="-20"/>
          <w:sz w:val="28"/>
          <w:szCs w:val="28"/>
        </w:rPr>
        <w:t>五、焊缝的无损检测质量保证措施</w:t>
      </w:r>
    </w:p>
    <w:p w14:paraId="4CF4FD6D">
      <w:pPr>
        <w:pStyle w:val="2"/>
        <w:spacing w:before="107" w:line="216" w:lineRule="auto"/>
        <w:ind w:left="1903"/>
        <w:rPr>
          <w:sz w:val="24"/>
          <w:szCs w:val="24"/>
        </w:rPr>
      </w:pPr>
      <w:r>
        <w:rPr>
          <w:spacing w:val="-20"/>
          <w:sz w:val="24"/>
          <w:szCs w:val="24"/>
        </w:rPr>
        <w:t>1、无损检测前应具备的条件</w:t>
      </w:r>
    </w:p>
    <w:p w14:paraId="5AFCB26D">
      <w:pPr>
        <w:pStyle w:val="2"/>
        <w:spacing w:before="120" w:line="216" w:lineRule="auto"/>
        <w:ind w:left="1903"/>
        <w:rPr>
          <w:sz w:val="24"/>
          <w:szCs w:val="24"/>
        </w:rPr>
      </w:pPr>
      <w:r>
        <w:rPr>
          <w:spacing w:val="-21"/>
          <w:sz w:val="24"/>
          <w:szCs w:val="24"/>
        </w:rPr>
        <w:t>1.1检测范围内的管道安装工程已按设计图纸全部完成，安装质量符合有关规定；</w:t>
      </w:r>
    </w:p>
    <w:p w14:paraId="449D59D9">
      <w:pPr>
        <w:pStyle w:val="2"/>
        <w:spacing w:before="117" w:line="217" w:lineRule="auto"/>
        <w:ind w:left="1903"/>
        <w:rPr>
          <w:sz w:val="24"/>
          <w:szCs w:val="24"/>
        </w:rPr>
      </w:pPr>
      <w:r>
        <w:rPr>
          <w:spacing w:val="-23"/>
          <w:sz w:val="24"/>
          <w:szCs w:val="24"/>
        </w:rPr>
        <w:t>1.2焊接管道安装单线图按现场实际情况绘制完毕，焊接方法、焊工钢号标示完毕、探伤类</w:t>
      </w:r>
    </w:p>
    <w:p w14:paraId="58E5E2E3">
      <w:pPr>
        <w:spacing w:line="217" w:lineRule="auto"/>
        <w:rPr>
          <w:sz w:val="24"/>
          <w:szCs w:val="24"/>
        </w:rPr>
        <w:sectPr>
          <w:footerReference r:id="rId217" w:type="default"/>
          <w:pgSz w:w="11907" w:h="16839"/>
          <w:pgMar w:top="954" w:right="4" w:bottom="1038" w:left="0" w:header="499" w:footer="357" w:gutter="0"/>
          <w:pgBorders>
            <w:top w:val="none" w:sz="0" w:space="0"/>
            <w:left w:val="none" w:sz="0" w:space="0"/>
            <w:bottom w:val="none" w:sz="0" w:space="0"/>
            <w:right w:val="none" w:sz="0" w:space="0"/>
          </w:pgBorders>
          <w:cols w:space="720" w:num="1"/>
        </w:sectPr>
      </w:pPr>
    </w:p>
    <w:p w14:paraId="42511E7E">
      <w:pPr>
        <w:spacing w:line="250" w:lineRule="auto"/>
        <w:rPr>
          <w:rFonts w:ascii="Arial"/>
          <w:sz w:val="21"/>
        </w:rPr>
      </w:pPr>
    </w:p>
    <w:p w14:paraId="6A15707E">
      <w:pPr>
        <w:pStyle w:val="2"/>
        <w:spacing w:before="78" w:line="218" w:lineRule="auto"/>
        <w:ind w:left="1459"/>
        <w:rPr>
          <w:sz w:val="24"/>
          <w:szCs w:val="24"/>
        </w:rPr>
      </w:pPr>
      <w:r>
        <w:rPr>
          <w:spacing w:val="-16"/>
          <w:sz w:val="24"/>
          <w:szCs w:val="24"/>
        </w:rPr>
        <w:t>别明确；</w:t>
      </w:r>
    </w:p>
    <w:p w14:paraId="3AB533FA">
      <w:pPr>
        <w:pStyle w:val="2"/>
        <w:spacing w:before="117" w:line="216" w:lineRule="auto"/>
        <w:ind w:left="1903"/>
        <w:rPr>
          <w:sz w:val="24"/>
          <w:szCs w:val="24"/>
        </w:rPr>
      </w:pPr>
      <w:r>
        <w:rPr>
          <w:spacing w:val="-19"/>
          <w:sz w:val="24"/>
          <w:szCs w:val="24"/>
        </w:rPr>
        <w:t>1.3焊缝外观检查合格；</w:t>
      </w:r>
    </w:p>
    <w:p w14:paraId="687FBFB8">
      <w:pPr>
        <w:pStyle w:val="2"/>
        <w:spacing w:before="117" w:line="216" w:lineRule="auto"/>
        <w:ind w:left="1903"/>
        <w:rPr>
          <w:sz w:val="24"/>
          <w:szCs w:val="24"/>
        </w:rPr>
      </w:pPr>
      <w:r>
        <w:rPr>
          <w:spacing w:val="-21"/>
          <w:sz w:val="24"/>
          <w:szCs w:val="24"/>
        </w:rPr>
        <w:t>1.4现场按规定设立检验禁区；</w:t>
      </w:r>
    </w:p>
    <w:p w14:paraId="115C9F24">
      <w:pPr>
        <w:pStyle w:val="2"/>
        <w:spacing w:before="120" w:line="216" w:lineRule="auto"/>
        <w:ind w:left="1903"/>
        <w:rPr>
          <w:sz w:val="24"/>
          <w:szCs w:val="24"/>
        </w:rPr>
      </w:pPr>
      <w:r>
        <w:rPr>
          <w:spacing w:val="-21"/>
          <w:sz w:val="24"/>
          <w:szCs w:val="24"/>
        </w:rPr>
        <w:t>1.5焊缝检测位置由质检员、建设单位及监理单位共同确定完毕。</w:t>
      </w:r>
    </w:p>
    <w:p w14:paraId="3E3212AB">
      <w:pPr>
        <w:pStyle w:val="2"/>
        <w:spacing w:before="120" w:line="261" w:lineRule="auto"/>
        <w:ind w:left="1894" w:right="8150" w:hanging="6"/>
        <w:rPr>
          <w:sz w:val="24"/>
          <w:szCs w:val="24"/>
        </w:rPr>
      </w:pPr>
      <w:r>
        <w:rPr>
          <w:spacing w:val="-20"/>
          <w:sz w:val="24"/>
          <w:szCs w:val="24"/>
        </w:rPr>
        <w:t>2、无损检测的工艺</w:t>
      </w:r>
      <w:r>
        <w:rPr>
          <w:spacing w:val="-16"/>
          <w:sz w:val="24"/>
          <w:szCs w:val="24"/>
        </w:rPr>
        <w:t>渗透检查</w:t>
      </w:r>
    </w:p>
    <w:p w14:paraId="67641777">
      <w:pPr>
        <w:pStyle w:val="2"/>
        <w:spacing w:before="120" w:line="215" w:lineRule="auto"/>
        <w:ind w:left="1893"/>
        <w:rPr>
          <w:sz w:val="24"/>
          <w:szCs w:val="24"/>
        </w:rPr>
      </w:pPr>
      <w:r>
        <w:rPr>
          <w:spacing w:val="-22"/>
          <w:sz w:val="24"/>
          <w:szCs w:val="24"/>
        </w:rPr>
        <w:t>（1）步骤：</w:t>
      </w:r>
    </w:p>
    <w:p w14:paraId="49D9C5A0">
      <w:pPr>
        <w:pStyle w:val="2"/>
        <w:spacing w:before="121" w:line="216" w:lineRule="auto"/>
        <w:ind w:left="1895"/>
        <w:rPr>
          <w:sz w:val="24"/>
          <w:szCs w:val="24"/>
        </w:rPr>
      </w:pPr>
      <w:r>
        <w:rPr>
          <w:spacing w:val="-21"/>
          <w:sz w:val="24"/>
          <w:szCs w:val="24"/>
        </w:rPr>
        <w:t>表面处理→渗透→静待10min以上→清洗→显像→观察记录及评定→检后处理。</w:t>
      </w:r>
    </w:p>
    <w:p w14:paraId="28104267">
      <w:pPr>
        <w:pStyle w:val="2"/>
        <w:spacing w:before="117" w:line="220" w:lineRule="auto"/>
        <w:ind w:left="1893"/>
        <w:rPr>
          <w:sz w:val="24"/>
          <w:szCs w:val="24"/>
        </w:rPr>
      </w:pPr>
      <w:r>
        <w:rPr>
          <w:spacing w:val="-22"/>
          <w:sz w:val="24"/>
          <w:szCs w:val="24"/>
        </w:rPr>
        <w:t>（2）方法：</w:t>
      </w:r>
    </w:p>
    <w:tbl>
      <w:tblPr>
        <w:tblStyle w:val="6"/>
        <w:tblW w:w="8549" w:type="dxa"/>
        <w:tblInd w:w="167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16"/>
        <w:gridCol w:w="628"/>
        <w:gridCol w:w="1841"/>
        <w:gridCol w:w="5864"/>
      </w:tblGrid>
      <w:tr w14:paraId="547B92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9" w:hRule="atLeast"/>
        </w:trPr>
        <w:tc>
          <w:tcPr>
            <w:tcW w:w="844" w:type="dxa"/>
            <w:gridSpan w:val="2"/>
            <w:tcBorders>
              <w:top w:val="single" w:color="000000" w:sz="4" w:space="0"/>
              <w:left w:val="single" w:color="000000" w:sz="4" w:space="0"/>
            </w:tcBorders>
            <w:shd w:val="clear" w:color="auto" w:fill="DEEAF6"/>
            <w:vAlign w:val="top"/>
          </w:tcPr>
          <w:p w14:paraId="018CE5C8">
            <w:pPr>
              <w:pStyle w:val="7"/>
              <w:spacing w:before="129" w:line="218" w:lineRule="auto"/>
              <w:ind w:left="217"/>
            </w:pPr>
            <w:r>
              <w:rPr>
                <w:b/>
                <w:bCs/>
                <w:spacing w:val="-12"/>
              </w:rPr>
              <w:t>序号</w:t>
            </w:r>
          </w:p>
        </w:tc>
        <w:tc>
          <w:tcPr>
            <w:tcW w:w="1841" w:type="dxa"/>
            <w:tcBorders>
              <w:top w:val="single" w:color="000000" w:sz="4" w:space="0"/>
            </w:tcBorders>
            <w:shd w:val="clear" w:color="auto" w:fill="DEEAF6"/>
            <w:vAlign w:val="top"/>
          </w:tcPr>
          <w:p w14:paraId="034D5A7C">
            <w:pPr>
              <w:pStyle w:val="7"/>
              <w:spacing w:before="128" w:line="217" w:lineRule="auto"/>
              <w:ind w:left="706"/>
            </w:pPr>
            <w:r>
              <w:rPr>
                <w:b/>
                <w:bCs/>
                <w:spacing w:val="-13"/>
              </w:rPr>
              <w:t>名称</w:t>
            </w:r>
          </w:p>
        </w:tc>
        <w:tc>
          <w:tcPr>
            <w:tcW w:w="5864" w:type="dxa"/>
            <w:tcBorders>
              <w:top w:val="single" w:color="5B9BD5" w:sz="4" w:space="0"/>
              <w:right w:val="single" w:color="5B9BD5" w:sz="4" w:space="0"/>
            </w:tcBorders>
            <w:shd w:val="clear" w:color="auto" w:fill="DEEAF6"/>
            <w:vAlign w:val="top"/>
          </w:tcPr>
          <w:p w14:paraId="13989280">
            <w:pPr>
              <w:pStyle w:val="7"/>
              <w:spacing w:before="129" w:line="218" w:lineRule="auto"/>
              <w:ind w:left="2743"/>
            </w:pPr>
            <w:r>
              <w:rPr>
                <w:b/>
                <w:bCs/>
                <w:spacing w:val="-20"/>
              </w:rPr>
              <w:t>内容</w:t>
            </w:r>
          </w:p>
        </w:tc>
      </w:tr>
      <w:tr w14:paraId="25277A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94" w:hRule="atLeast"/>
        </w:trPr>
        <w:tc>
          <w:tcPr>
            <w:tcW w:w="844" w:type="dxa"/>
            <w:gridSpan w:val="2"/>
            <w:tcBorders>
              <w:left w:val="single" w:color="000000" w:sz="4" w:space="0"/>
            </w:tcBorders>
            <w:vAlign w:val="top"/>
          </w:tcPr>
          <w:p w14:paraId="6363EF1A">
            <w:pPr>
              <w:rPr>
                <w:rFonts w:ascii="Arial"/>
                <w:sz w:val="21"/>
              </w:rPr>
            </w:pPr>
          </w:p>
          <w:p w14:paraId="04847DB3">
            <w:pPr>
              <w:rPr>
                <w:rFonts w:ascii="Arial"/>
                <w:sz w:val="21"/>
              </w:rPr>
            </w:pPr>
          </w:p>
          <w:p w14:paraId="2661825A">
            <w:pPr>
              <w:rPr>
                <w:rFonts w:ascii="Arial"/>
                <w:sz w:val="21"/>
              </w:rPr>
            </w:pPr>
          </w:p>
          <w:p w14:paraId="2733575D">
            <w:pPr>
              <w:rPr>
                <w:rFonts w:ascii="Arial"/>
                <w:sz w:val="21"/>
              </w:rPr>
            </w:pPr>
          </w:p>
          <w:p w14:paraId="623DD557">
            <w:pPr>
              <w:rPr>
                <w:rFonts w:ascii="Arial"/>
                <w:sz w:val="21"/>
              </w:rPr>
            </w:pPr>
          </w:p>
          <w:p w14:paraId="6F72BB9A">
            <w:pPr>
              <w:spacing w:line="241" w:lineRule="auto"/>
              <w:rPr>
                <w:rFonts w:ascii="Arial"/>
                <w:sz w:val="21"/>
              </w:rPr>
            </w:pPr>
          </w:p>
          <w:p w14:paraId="0CCE85CF">
            <w:pPr>
              <w:pStyle w:val="7"/>
              <w:spacing w:before="78" w:line="238" w:lineRule="auto"/>
              <w:ind w:left="392"/>
            </w:pPr>
            <w:r>
              <w:t>1</w:t>
            </w:r>
          </w:p>
        </w:tc>
        <w:tc>
          <w:tcPr>
            <w:tcW w:w="1841" w:type="dxa"/>
            <w:vAlign w:val="top"/>
          </w:tcPr>
          <w:p w14:paraId="3F848D88">
            <w:pPr>
              <w:rPr>
                <w:rFonts w:ascii="Arial"/>
                <w:sz w:val="21"/>
              </w:rPr>
            </w:pPr>
          </w:p>
          <w:p w14:paraId="1FF4F5FC">
            <w:pPr>
              <w:rPr>
                <w:rFonts w:ascii="Arial"/>
                <w:sz w:val="21"/>
              </w:rPr>
            </w:pPr>
          </w:p>
          <w:p w14:paraId="655C8812">
            <w:pPr>
              <w:rPr>
                <w:rFonts w:ascii="Arial"/>
                <w:sz w:val="21"/>
              </w:rPr>
            </w:pPr>
          </w:p>
          <w:p w14:paraId="359B016F">
            <w:pPr>
              <w:rPr>
                <w:rFonts w:ascii="Arial"/>
                <w:sz w:val="21"/>
              </w:rPr>
            </w:pPr>
          </w:p>
          <w:p w14:paraId="2F271E40">
            <w:pPr>
              <w:rPr>
                <w:rFonts w:ascii="Arial"/>
                <w:sz w:val="21"/>
              </w:rPr>
            </w:pPr>
          </w:p>
          <w:p w14:paraId="2674B443">
            <w:pPr>
              <w:spacing w:line="241" w:lineRule="auto"/>
              <w:rPr>
                <w:rFonts w:ascii="Arial"/>
                <w:sz w:val="21"/>
              </w:rPr>
            </w:pPr>
          </w:p>
          <w:p w14:paraId="5FF2C1A7">
            <w:pPr>
              <w:pStyle w:val="7"/>
              <w:spacing w:before="78" w:line="220" w:lineRule="auto"/>
              <w:ind w:left="488"/>
            </w:pPr>
            <w:r>
              <w:rPr>
                <w:spacing w:val="-16"/>
              </w:rPr>
              <w:t>表面处理</w:t>
            </w:r>
          </w:p>
        </w:tc>
        <w:tc>
          <w:tcPr>
            <w:tcW w:w="5864" w:type="dxa"/>
            <w:tcBorders>
              <w:right w:val="single" w:color="000000" w:sz="4" w:space="0"/>
            </w:tcBorders>
            <w:vAlign w:val="top"/>
          </w:tcPr>
          <w:p w14:paraId="2D480CDD">
            <w:pPr>
              <w:pStyle w:val="7"/>
              <w:spacing w:before="126" w:line="216" w:lineRule="auto"/>
              <w:ind w:left="100"/>
            </w:pPr>
            <w:r>
              <w:rPr>
                <w:spacing w:val="-21"/>
              </w:rPr>
              <w:t>对表面处理的基本要求就是，任何可能影响渗透检测的</w:t>
            </w:r>
            <w:r>
              <w:rPr>
                <w:spacing w:val="-22"/>
              </w:rPr>
              <w:t>污染</w:t>
            </w:r>
          </w:p>
          <w:p w14:paraId="622E648A">
            <w:pPr>
              <w:pStyle w:val="7"/>
              <w:spacing w:before="184" w:line="216" w:lineRule="auto"/>
              <w:ind w:left="99"/>
            </w:pPr>
            <w:r>
              <w:rPr>
                <w:spacing w:val="-21"/>
              </w:rPr>
              <w:t>物必须清除干净，同时，又不能损伤被检工件的工作功能。</w:t>
            </w:r>
          </w:p>
          <w:p w14:paraId="07785149">
            <w:pPr>
              <w:pStyle w:val="7"/>
              <w:spacing w:before="187" w:line="216" w:lineRule="auto"/>
              <w:ind w:left="155"/>
            </w:pPr>
            <w:r>
              <w:rPr>
                <w:spacing w:val="-18"/>
              </w:rPr>
              <w:t>渗透检测工作准备范围应从检测部位四周向外扩展25mm以</w:t>
            </w:r>
          </w:p>
          <w:p w14:paraId="21B38E35">
            <w:pPr>
              <w:pStyle w:val="7"/>
              <w:spacing w:before="187" w:line="232" w:lineRule="auto"/>
              <w:ind w:left="2716"/>
            </w:pPr>
            <w:r>
              <w:rPr>
                <w:spacing w:val="-18"/>
              </w:rPr>
              <w:t>上。</w:t>
            </w:r>
          </w:p>
          <w:p w14:paraId="482F483E">
            <w:pPr>
              <w:pStyle w:val="7"/>
              <w:spacing w:before="164" w:line="215" w:lineRule="auto"/>
              <w:ind w:left="103"/>
            </w:pPr>
            <w:r>
              <w:rPr>
                <w:spacing w:val="-22"/>
              </w:rPr>
              <w:t>污染物的清除方法有：机械清理，化学清洗和溶剂清洗，在</w:t>
            </w:r>
          </w:p>
          <w:p w14:paraId="3C55ECA7">
            <w:pPr>
              <w:pStyle w:val="7"/>
              <w:spacing w:before="187" w:line="217" w:lineRule="auto"/>
              <w:ind w:left="101"/>
            </w:pPr>
            <w:r>
              <w:rPr>
                <w:spacing w:val="-21"/>
              </w:rPr>
              <w:t>选用时应进行综合考虑。特别注意涂层必须用化学的方</w:t>
            </w:r>
            <w:r>
              <w:rPr>
                <w:spacing w:val="-22"/>
              </w:rPr>
              <w:t>法进</w:t>
            </w:r>
          </w:p>
          <w:p w14:paraId="0C43A6F8">
            <w:pPr>
              <w:pStyle w:val="7"/>
              <w:spacing w:before="184" w:line="217" w:lineRule="auto"/>
              <w:ind w:left="1516"/>
            </w:pPr>
            <w:r>
              <w:rPr>
                <w:spacing w:val="-20"/>
              </w:rPr>
              <w:t>行去除而不能用打磨的方法。</w:t>
            </w:r>
          </w:p>
        </w:tc>
      </w:tr>
      <w:tr w14:paraId="2D1713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33" w:hRule="atLeast"/>
        </w:trPr>
        <w:tc>
          <w:tcPr>
            <w:tcW w:w="844" w:type="dxa"/>
            <w:gridSpan w:val="2"/>
            <w:tcBorders>
              <w:left w:val="single" w:color="000000" w:sz="4" w:space="0"/>
            </w:tcBorders>
            <w:vAlign w:val="top"/>
          </w:tcPr>
          <w:p w14:paraId="65E19203">
            <w:pPr>
              <w:spacing w:line="270" w:lineRule="auto"/>
              <w:rPr>
                <w:rFonts w:ascii="Arial"/>
                <w:sz w:val="21"/>
              </w:rPr>
            </w:pPr>
          </w:p>
          <w:p w14:paraId="4AEFC112">
            <w:pPr>
              <w:spacing w:line="271" w:lineRule="auto"/>
              <w:rPr>
                <w:rFonts w:ascii="Arial"/>
                <w:sz w:val="21"/>
              </w:rPr>
            </w:pPr>
          </w:p>
          <w:p w14:paraId="407D8A8B">
            <w:pPr>
              <w:spacing w:line="271" w:lineRule="auto"/>
              <w:rPr>
                <w:rFonts w:ascii="Arial"/>
                <w:sz w:val="21"/>
              </w:rPr>
            </w:pPr>
          </w:p>
          <w:p w14:paraId="28F2FDF0">
            <w:pPr>
              <w:spacing w:line="271" w:lineRule="auto"/>
              <w:rPr>
                <w:rFonts w:ascii="Arial"/>
                <w:sz w:val="21"/>
              </w:rPr>
            </w:pPr>
          </w:p>
          <w:p w14:paraId="23D935B8">
            <w:pPr>
              <w:spacing w:line="271" w:lineRule="auto"/>
              <w:rPr>
                <w:rFonts w:ascii="Arial"/>
                <w:sz w:val="21"/>
              </w:rPr>
            </w:pPr>
          </w:p>
          <w:p w14:paraId="7CBF21AA">
            <w:pPr>
              <w:spacing w:line="271" w:lineRule="auto"/>
              <w:rPr>
                <w:rFonts w:ascii="Arial"/>
                <w:sz w:val="21"/>
              </w:rPr>
            </w:pPr>
          </w:p>
          <w:p w14:paraId="717A8D13">
            <w:pPr>
              <w:spacing w:line="271" w:lineRule="auto"/>
              <w:rPr>
                <w:rFonts w:ascii="Arial"/>
                <w:sz w:val="21"/>
              </w:rPr>
            </w:pPr>
          </w:p>
          <w:p w14:paraId="417C928D">
            <w:pPr>
              <w:pStyle w:val="7"/>
              <w:spacing w:before="78" w:line="238" w:lineRule="auto"/>
              <w:ind w:left="378"/>
            </w:pPr>
            <w:r>
              <w:t>2</w:t>
            </w:r>
          </w:p>
        </w:tc>
        <w:tc>
          <w:tcPr>
            <w:tcW w:w="1841" w:type="dxa"/>
            <w:vAlign w:val="top"/>
          </w:tcPr>
          <w:p w14:paraId="7CC63978">
            <w:pPr>
              <w:spacing w:line="270" w:lineRule="auto"/>
              <w:rPr>
                <w:rFonts w:ascii="Arial"/>
                <w:sz w:val="21"/>
              </w:rPr>
            </w:pPr>
          </w:p>
          <w:p w14:paraId="18F2C882">
            <w:pPr>
              <w:spacing w:line="271" w:lineRule="auto"/>
              <w:rPr>
                <w:rFonts w:ascii="Arial"/>
                <w:sz w:val="21"/>
              </w:rPr>
            </w:pPr>
          </w:p>
          <w:p w14:paraId="185B3F24">
            <w:pPr>
              <w:spacing w:line="271" w:lineRule="auto"/>
              <w:rPr>
                <w:rFonts w:ascii="Arial"/>
                <w:sz w:val="21"/>
              </w:rPr>
            </w:pPr>
          </w:p>
          <w:p w14:paraId="46AE8920">
            <w:pPr>
              <w:spacing w:line="271" w:lineRule="auto"/>
              <w:rPr>
                <w:rFonts w:ascii="Arial"/>
                <w:sz w:val="21"/>
              </w:rPr>
            </w:pPr>
          </w:p>
          <w:p w14:paraId="39FA6604">
            <w:pPr>
              <w:spacing w:line="271" w:lineRule="auto"/>
              <w:rPr>
                <w:rFonts w:ascii="Arial"/>
                <w:sz w:val="21"/>
              </w:rPr>
            </w:pPr>
          </w:p>
          <w:p w14:paraId="7361A0B1">
            <w:pPr>
              <w:spacing w:line="271" w:lineRule="auto"/>
              <w:rPr>
                <w:rFonts w:ascii="Arial"/>
                <w:sz w:val="21"/>
              </w:rPr>
            </w:pPr>
          </w:p>
          <w:p w14:paraId="1DB91E41">
            <w:pPr>
              <w:spacing w:line="271" w:lineRule="auto"/>
              <w:rPr>
                <w:rFonts w:ascii="Arial"/>
                <w:sz w:val="21"/>
              </w:rPr>
            </w:pPr>
          </w:p>
          <w:p w14:paraId="4980C1F5">
            <w:pPr>
              <w:pStyle w:val="7"/>
              <w:spacing w:before="78" w:line="219" w:lineRule="auto"/>
              <w:ind w:left="270"/>
            </w:pPr>
            <w:r>
              <w:rPr>
                <w:spacing w:val="-18"/>
              </w:rPr>
              <w:t>渗透剂的施加</w:t>
            </w:r>
          </w:p>
        </w:tc>
        <w:tc>
          <w:tcPr>
            <w:tcW w:w="5864" w:type="dxa"/>
            <w:tcBorders>
              <w:right w:val="single" w:color="000000" w:sz="4" w:space="0"/>
            </w:tcBorders>
            <w:vAlign w:val="top"/>
          </w:tcPr>
          <w:p w14:paraId="706F4522">
            <w:pPr>
              <w:pStyle w:val="7"/>
              <w:spacing w:before="119" w:line="218" w:lineRule="auto"/>
              <w:ind w:left="764"/>
            </w:pPr>
            <w:r>
              <w:rPr>
                <w:spacing w:val="-22"/>
              </w:rPr>
              <w:t>常用的施加方法有喷涂、刷涂、浇涂和浸涂。</w:t>
            </w:r>
          </w:p>
          <w:p w14:paraId="418BF817">
            <w:pPr>
              <w:pStyle w:val="7"/>
              <w:spacing w:before="184" w:line="217" w:lineRule="auto"/>
              <w:ind w:left="100"/>
            </w:pPr>
            <w:r>
              <w:rPr>
                <w:spacing w:val="-21"/>
              </w:rPr>
              <w:t>渗透时间是一个很重要的因素，一般来说，施加渗透剂的时</w:t>
            </w:r>
          </w:p>
          <w:p w14:paraId="32D85EA2">
            <w:pPr>
              <w:pStyle w:val="7"/>
              <w:spacing w:before="183" w:line="218" w:lineRule="auto"/>
              <w:ind w:left="84"/>
            </w:pPr>
            <w:r>
              <w:rPr>
                <w:spacing w:val="-23"/>
              </w:rPr>
              <w:t>间不得少于10min，对于应力腐蚀裂纹因其特别细微，</w:t>
            </w:r>
            <w:r>
              <w:rPr>
                <w:spacing w:val="-24"/>
              </w:rPr>
              <w:t>渗透时</w:t>
            </w:r>
          </w:p>
          <w:p w14:paraId="5CFCFADD">
            <w:pPr>
              <w:pStyle w:val="7"/>
              <w:spacing w:before="184" w:line="218" w:lineRule="auto"/>
              <w:ind w:left="1536"/>
            </w:pPr>
            <w:r>
              <w:rPr>
                <w:spacing w:val="-19"/>
              </w:rPr>
              <w:t>间需更长，可以长达2小时。</w:t>
            </w:r>
          </w:p>
          <w:p w14:paraId="3254D7AC">
            <w:pPr>
              <w:pStyle w:val="7"/>
              <w:spacing w:before="179" w:line="360" w:lineRule="auto"/>
              <w:ind w:left="69" w:hanging="5"/>
              <w:jc w:val="both"/>
            </w:pPr>
            <w:r>
              <w:rPr>
                <w:spacing w:val="-24"/>
              </w:rPr>
              <w:t>渗透温度一般控制在10~50℃范围内，温度太高，渗透剂容易</w:t>
            </w:r>
            <w:r>
              <w:rPr>
                <w:spacing w:val="-26"/>
              </w:rPr>
              <w:t>干在被检工件上，给清洗带来困难；温度太低，渗透剂变稠，</w:t>
            </w:r>
            <w:r>
              <w:rPr>
                <w:spacing w:val="-21"/>
              </w:rPr>
              <w:t>动态渗透参量受到影响。当被检工件的温度不</w:t>
            </w:r>
            <w:r>
              <w:rPr>
                <w:spacing w:val="-22"/>
              </w:rPr>
              <w:t>在推荐范围内</w:t>
            </w:r>
            <w:r>
              <w:rPr>
                <w:spacing w:val="-20"/>
              </w:rPr>
              <w:t>时，可进行性能对比检验，以此来验证检测</w:t>
            </w:r>
            <w:r>
              <w:rPr>
                <w:spacing w:val="-21"/>
              </w:rPr>
              <w:t>结果的可靠性。</w:t>
            </w:r>
          </w:p>
          <w:p w14:paraId="45A62E45">
            <w:pPr>
              <w:pStyle w:val="7"/>
              <w:spacing w:before="1" w:line="215" w:lineRule="auto"/>
              <w:ind w:left="644"/>
            </w:pPr>
            <w:r>
              <w:rPr>
                <w:spacing w:val="-21"/>
              </w:rPr>
              <w:t>在整个渗透时间内应让被检表面处于润湿状态。</w:t>
            </w:r>
          </w:p>
        </w:tc>
      </w:tr>
      <w:tr w14:paraId="644948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30" w:hRule="atLeast"/>
        </w:trPr>
        <w:tc>
          <w:tcPr>
            <w:tcW w:w="216" w:type="dxa"/>
            <w:tcBorders>
              <w:left w:val="single" w:color="1C456A" w:sz="4" w:space="0"/>
              <w:bottom w:val="single" w:color="1C456A" w:sz="4" w:space="0"/>
              <w:right w:val="nil"/>
            </w:tcBorders>
            <w:vAlign w:val="top"/>
          </w:tcPr>
          <w:p w14:paraId="7870C22E">
            <w:pPr>
              <w:rPr>
                <w:rFonts w:ascii="Arial"/>
                <w:sz w:val="21"/>
              </w:rPr>
            </w:pPr>
            <w:r>
              <w:pict>
                <v:shape id="_x0000_s3560" o:spid="_x0000_s3560" style="position:absolute;left:0pt;margin-left:-0.25pt;margin-top:101.55pt;height:0.75pt;width:2.2pt;mso-position-horizontal-relative:page;mso-position-vertical-relative:page;z-index:252137472;mso-width-relative:page;mso-height-relative:page;" fillcolor="#5B9BD5" filled="t" stroked="f" coordsize="44,15" path="m0,14l43,14,43,0,0,0,0,14xe">
                  <v:path/>
                  <v:fill on="t" focussize="0,0"/>
                  <v:stroke on="f"/>
                  <v:imagedata o:title=""/>
                  <o:lock v:ext="edit"/>
                </v:shape>
              </w:pict>
            </w:r>
          </w:p>
        </w:tc>
        <w:tc>
          <w:tcPr>
            <w:tcW w:w="628" w:type="dxa"/>
            <w:tcBorders>
              <w:left w:val="nil"/>
              <w:bottom w:val="single" w:color="1C456A" w:sz="4" w:space="0"/>
            </w:tcBorders>
            <w:vAlign w:val="top"/>
          </w:tcPr>
          <w:p w14:paraId="169DEFCE">
            <w:pPr>
              <w:spacing w:line="242" w:lineRule="auto"/>
              <w:rPr>
                <w:rFonts w:ascii="Arial"/>
                <w:sz w:val="21"/>
              </w:rPr>
            </w:pPr>
          </w:p>
          <w:p w14:paraId="0D3DF82D">
            <w:pPr>
              <w:spacing w:line="242" w:lineRule="auto"/>
              <w:rPr>
                <w:rFonts w:ascii="Arial"/>
                <w:sz w:val="21"/>
              </w:rPr>
            </w:pPr>
          </w:p>
          <w:p w14:paraId="1690E60B">
            <w:pPr>
              <w:spacing w:line="242" w:lineRule="auto"/>
              <w:rPr>
                <w:rFonts w:ascii="Arial"/>
                <w:sz w:val="21"/>
              </w:rPr>
            </w:pPr>
          </w:p>
          <w:p w14:paraId="544ACEEC">
            <w:pPr>
              <w:pStyle w:val="7"/>
              <w:spacing w:before="78" w:line="237" w:lineRule="auto"/>
              <w:ind w:left="168"/>
            </w:pPr>
            <w:r>
              <w:t>3</w:t>
            </w:r>
          </w:p>
        </w:tc>
        <w:tc>
          <w:tcPr>
            <w:tcW w:w="1841" w:type="dxa"/>
            <w:tcBorders>
              <w:bottom w:val="single" w:color="000000" w:sz="4" w:space="0"/>
            </w:tcBorders>
            <w:vAlign w:val="top"/>
          </w:tcPr>
          <w:p w14:paraId="73879D2E">
            <w:pPr>
              <w:spacing w:line="242" w:lineRule="auto"/>
              <w:rPr>
                <w:rFonts w:ascii="Arial"/>
                <w:sz w:val="21"/>
              </w:rPr>
            </w:pPr>
          </w:p>
          <w:p w14:paraId="3C2C4DBC">
            <w:pPr>
              <w:spacing w:line="242" w:lineRule="auto"/>
              <w:rPr>
                <w:rFonts w:ascii="Arial"/>
                <w:sz w:val="21"/>
              </w:rPr>
            </w:pPr>
          </w:p>
          <w:p w14:paraId="5940C5ED">
            <w:pPr>
              <w:spacing w:line="242" w:lineRule="auto"/>
              <w:rPr>
                <w:rFonts w:ascii="Arial"/>
                <w:sz w:val="21"/>
              </w:rPr>
            </w:pPr>
          </w:p>
          <w:p w14:paraId="796043B8">
            <w:pPr>
              <w:pStyle w:val="7"/>
              <w:spacing w:before="78" w:line="219" w:lineRule="auto"/>
              <w:ind w:left="270"/>
            </w:pPr>
            <w:r>
              <w:rPr>
                <w:spacing w:val="-18"/>
              </w:rPr>
              <w:t>渗透剂的去除</w:t>
            </w:r>
          </w:p>
        </w:tc>
        <w:tc>
          <w:tcPr>
            <w:tcW w:w="5864" w:type="dxa"/>
            <w:tcBorders>
              <w:bottom w:val="single" w:color="5B9BD5" w:sz="4" w:space="0"/>
              <w:right w:val="single" w:color="5B9BD5" w:sz="4" w:space="0"/>
            </w:tcBorders>
            <w:vAlign w:val="top"/>
          </w:tcPr>
          <w:p w14:paraId="527A7CCA">
            <w:pPr>
              <w:pStyle w:val="7"/>
              <w:spacing w:before="109" w:line="215" w:lineRule="auto"/>
              <w:ind w:left="100"/>
            </w:pPr>
            <w:r>
              <w:rPr>
                <w:spacing w:val="-21"/>
              </w:rPr>
              <w:t>在渗透剂的去除时，既要防止过清洗又要防止</w:t>
            </w:r>
            <w:r>
              <w:rPr>
                <w:spacing w:val="-22"/>
              </w:rPr>
              <w:t>清洗不足，清</w:t>
            </w:r>
          </w:p>
          <w:p w14:paraId="4E3BCA7E">
            <w:pPr>
              <w:pStyle w:val="7"/>
              <w:spacing w:before="185" w:line="216" w:lineRule="auto"/>
              <w:ind w:left="104"/>
            </w:pPr>
            <w:r>
              <w:rPr>
                <w:spacing w:val="-21"/>
              </w:rPr>
              <w:t>洗过度可能导致缺陷显示不出来或漏检，清洗不足</w:t>
            </w:r>
            <w:r>
              <w:rPr>
                <w:spacing w:val="-22"/>
              </w:rPr>
              <w:t>又会使得</w:t>
            </w:r>
          </w:p>
          <w:p w14:paraId="417ADDD6">
            <w:pPr>
              <w:pStyle w:val="7"/>
              <w:spacing w:before="187" w:line="218" w:lineRule="auto"/>
              <w:ind w:left="1742"/>
            </w:pPr>
            <w:r>
              <w:rPr>
                <w:spacing w:val="-21"/>
              </w:rPr>
              <w:t>背景过浓，不利于观察。</w:t>
            </w:r>
          </w:p>
          <w:p w14:paraId="2F6EE053">
            <w:pPr>
              <w:pStyle w:val="7"/>
              <w:spacing w:before="181" w:line="219" w:lineRule="auto"/>
              <w:jc w:val="right"/>
            </w:pPr>
            <w:r>
              <w:rPr>
                <w:spacing w:val="-22"/>
              </w:rPr>
              <w:t>水洗型渗透剂的去除：水温为10~40℃,水压不超过0.34MPa，</w:t>
            </w:r>
          </w:p>
        </w:tc>
      </w:tr>
    </w:tbl>
    <w:p w14:paraId="63876DF7">
      <w:pPr>
        <w:rPr>
          <w:rFonts w:ascii="Arial"/>
          <w:sz w:val="21"/>
        </w:rPr>
      </w:pPr>
    </w:p>
    <w:p w14:paraId="6CAC86BE">
      <w:pPr>
        <w:rPr>
          <w:rFonts w:ascii="Arial" w:hAnsi="Arial" w:eastAsia="Arial" w:cs="Arial"/>
          <w:sz w:val="21"/>
          <w:szCs w:val="21"/>
        </w:rPr>
        <w:sectPr>
          <w:footerReference r:id="rId218" w:type="default"/>
          <w:pgSz w:w="11907" w:h="16839"/>
          <w:pgMar w:top="954" w:right="4" w:bottom="1038" w:left="0" w:header="499" w:footer="357" w:gutter="0"/>
          <w:pgBorders>
            <w:top w:val="none" w:sz="0" w:space="0"/>
            <w:left w:val="none" w:sz="0" w:space="0"/>
            <w:bottom w:val="none" w:sz="0" w:space="0"/>
            <w:right w:val="none" w:sz="0" w:space="0"/>
          </w:pgBorders>
          <w:cols w:space="720" w:num="1"/>
        </w:sectPr>
      </w:pPr>
    </w:p>
    <w:p w14:paraId="6E26F5E4">
      <w:pPr>
        <w:spacing w:line="214" w:lineRule="exact"/>
      </w:pPr>
    </w:p>
    <w:tbl>
      <w:tblPr>
        <w:tblStyle w:val="6"/>
        <w:tblW w:w="8549" w:type="dxa"/>
        <w:tblInd w:w="167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39"/>
        <w:gridCol w:w="1841"/>
        <w:gridCol w:w="5869"/>
      </w:tblGrid>
      <w:tr w14:paraId="703553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3" w:hRule="atLeast"/>
        </w:trPr>
        <w:tc>
          <w:tcPr>
            <w:tcW w:w="839" w:type="dxa"/>
            <w:tcBorders>
              <w:top w:val="single" w:color="000000" w:sz="4" w:space="0"/>
              <w:left w:val="single" w:color="000000" w:sz="4" w:space="0"/>
            </w:tcBorders>
            <w:vAlign w:val="top"/>
          </w:tcPr>
          <w:p w14:paraId="6E833309">
            <w:pPr>
              <w:rPr>
                <w:rFonts w:ascii="Arial"/>
                <w:sz w:val="21"/>
              </w:rPr>
            </w:pPr>
          </w:p>
        </w:tc>
        <w:tc>
          <w:tcPr>
            <w:tcW w:w="1841" w:type="dxa"/>
            <w:tcBorders>
              <w:top w:val="single" w:color="000000" w:sz="4" w:space="0"/>
            </w:tcBorders>
            <w:vAlign w:val="top"/>
          </w:tcPr>
          <w:p w14:paraId="3573AE9E">
            <w:pPr>
              <w:rPr>
                <w:rFonts w:ascii="Arial"/>
                <w:sz w:val="21"/>
              </w:rPr>
            </w:pPr>
          </w:p>
        </w:tc>
        <w:tc>
          <w:tcPr>
            <w:tcW w:w="5869" w:type="dxa"/>
            <w:tcBorders>
              <w:top w:val="single" w:color="5B9BD5" w:sz="4" w:space="0"/>
              <w:right w:val="single" w:color="5B9BD5" w:sz="4" w:space="0"/>
            </w:tcBorders>
            <w:vAlign w:val="top"/>
          </w:tcPr>
          <w:p w14:paraId="48F90952">
            <w:pPr>
              <w:pStyle w:val="7"/>
              <w:spacing w:before="129" w:line="215" w:lineRule="auto"/>
              <w:ind w:left="431"/>
            </w:pPr>
            <w:r>
              <w:rPr>
                <w:spacing w:val="-21"/>
              </w:rPr>
              <w:t>在得到合适的背景的前提下，水洗的时间越短越好。</w:t>
            </w:r>
          </w:p>
          <w:p w14:paraId="04056863">
            <w:pPr>
              <w:pStyle w:val="7"/>
              <w:spacing w:before="186" w:line="216" w:lineRule="auto"/>
              <w:ind w:left="105"/>
            </w:pPr>
            <w:r>
              <w:rPr>
                <w:spacing w:val="-21"/>
              </w:rPr>
              <w:t>后乳化型渗透剂的去除：乳化工序是后乳化型渗透检测工艺</w:t>
            </w:r>
          </w:p>
          <w:p w14:paraId="048627C0">
            <w:pPr>
              <w:pStyle w:val="7"/>
              <w:spacing w:before="187" w:line="215" w:lineRule="auto"/>
              <w:ind w:left="117"/>
            </w:pPr>
            <w:r>
              <w:rPr>
                <w:spacing w:val="-22"/>
              </w:rPr>
              <w:t>的最关键步骤，必须严格控制乳化时间防止过乳化，在得到</w:t>
            </w:r>
          </w:p>
          <w:p w14:paraId="641DC892">
            <w:pPr>
              <w:pStyle w:val="7"/>
              <w:spacing w:before="186" w:line="217" w:lineRule="auto"/>
              <w:ind w:left="762"/>
            </w:pPr>
            <w:r>
              <w:rPr>
                <w:spacing w:val="-21"/>
              </w:rPr>
              <w:t>合适的背景的前提下，乳化的时间越短越好。</w:t>
            </w:r>
          </w:p>
          <w:p w14:paraId="0B33E511">
            <w:pPr>
              <w:pStyle w:val="7"/>
              <w:spacing w:before="185" w:line="218" w:lineRule="auto"/>
              <w:ind w:left="102"/>
            </w:pPr>
            <w:r>
              <w:rPr>
                <w:spacing w:val="-21"/>
              </w:rPr>
              <w:t>溶剂去除型渗透剂的去除：应注意不得往复擦拭，不得用清</w:t>
            </w:r>
          </w:p>
          <w:p w14:paraId="6090979F">
            <w:pPr>
              <w:pStyle w:val="7"/>
              <w:spacing w:before="182" w:line="216" w:lineRule="auto"/>
              <w:ind w:left="1743"/>
            </w:pPr>
            <w:r>
              <w:rPr>
                <w:spacing w:val="-21"/>
              </w:rPr>
              <w:t>洗剂直接冲洗被检表面。</w:t>
            </w:r>
          </w:p>
        </w:tc>
      </w:tr>
      <w:tr w14:paraId="21C244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17" w:hRule="atLeast"/>
        </w:trPr>
        <w:tc>
          <w:tcPr>
            <w:tcW w:w="839" w:type="dxa"/>
            <w:tcBorders>
              <w:left w:val="single" w:color="000000" w:sz="4" w:space="0"/>
            </w:tcBorders>
            <w:vAlign w:val="top"/>
          </w:tcPr>
          <w:p w14:paraId="1FDE60C4">
            <w:pPr>
              <w:spacing w:line="241" w:lineRule="auto"/>
              <w:rPr>
                <w:rFonts w:ascii="Arial"/>
                <w:sz w:val="21"/>
              </w:rPr>
            </w:pPr>
          </w:p>
          <w:p w14:paraId="2D51A9C2">
            <w:pPr>
              <w:spacing w:line="241" w:lineRule="auto"/>
              <w:rPr>
                <w:rFonts w:ascii="Arial"/>
                <w:sz w:val="21"/>
              </w:rPr>
            </w:pPr>
          </w:p>
          <w:p w14:paraId="02BCA501">
            <w:pPr>
              <w:pStyle w:val="7"/>
              <w:spacing w:before="78" w:line="238" w:lineRule="auto"/>
              <w:ind w:left="374"/>
            </w:pPr>
            <w:r>
              <w:t>4</w:t>
            </w:r>
          </w:p>
        </w:tc>
        <w:tc>
          <w:tcPr>
            <w:tcW w:w="1841" w:type="dxa"/>
            <w:vAlign w:val="top"/>
          </w:tcPr>
          <w:p w14:paraId="68C244DC">
            <w:pPr>
              <w:spacing w:line="241" w:lineRule="auto"/>
              <w:rPr>
                <w:rFonts w:ascii="Arial"/>
                <w:sz w:val="21"/>
              </w:rPr>
            </w:pPr>
          </w:p>
          <w:p w14:paraId="6BAA4CBD">
            <w:pPr>
              <w:spacing w:line="241" w:lineRule="auto"/>
              <w:rPr>
                <w:rFonts w:ascii="Arial"/>
                <w:sz w:val="21"/>
              </w:rPr>
            </w:pPr>
          </w:p>
          <w:p w14:paraId="38187653">
            <w:pPr>
              <w:pStyle w:val="7"/>
              <w:spacing w:before="78" w:line="217" w:lineRule="auto"/>
              <w:ind w:left="280"/>
            </w:pPr>
            <w:r>
              <w:rPr>
                <w:spacing w:val="-19"/>
              </w:rPr>
              <w:t>显像剂的施加</w:t>
            </w:r>
          </w:p>
        </w:tc>
        <w:tc>
          <w:tcPr>
            <w:tcW w:w="5869" w:type="dxa"/>
            <w:tcBorders>
              <w:right w:val="single" w:color="000000" w:sz="4" w:space="0"/>
            </w:tcBorders>
            <w:vAlign w:val="top"/>
          </w:tcPr>
          <w:p w14:paraId="1B8C4E68">
            <w:pPr>
              <w:pStyle w:val="7"/>
              <w:spacing w:before="97" w:line="217" w:lineRule="auto"/>
              <w:ind w:left="110"/>
            </w:pPr>
            <w:r>
              <w:rPr>
                <w:spacing w:val="-21"/>
              </w:rPr>
              <w:t>显像剂的施加方式有喷涂、刷涂、浇涂和浸</w:t>
            </w:r>
            <w:r>
              <w:rPr>
                <w:spacing w:val="-22"/>
              </w:rPr>
              <w:t>涂等，喷涂时距</w:t>
            </w:r>
          </w:p>
          <w:p w14:paraId="47B16900">
            <w:pPr>
              <w:pStyle w:val="7"/>
              <w:spacing w:before="182" w:line="216" w:lineRule="auto"/>
              <w:ind w:left="353"/>
            </w:pPr>
            <w:r>
              <w:rPr>
                <w:spacing w:val="-16"/>
              </w:rPr>
              <w:t>离被检表面为300~400mm，喷涂方向与被检面的夹角为</w:t>
            </w:r>
          </w:p>
          <w:p w14:paraId="502E2643">
            <w:pPr>
              <w:pStyle w:val="7"/>
              <w:spacing w:before="188" w:line="217" w:lineRule="auto"/>
              <w:ind w:left="585"/>
            </w:pPr>
            <w:r>
              <w:rPr>
                <w:spacing w:val="-22"/>
              </w:rPr>
              <w:t>30~40°,刷涂时一个部位不允许往复刷涂几次。</w:t>
            </w:r>
          </w:p>
        </w:tc>
      </w:tr>
      <w:tr w14:paraId="6AE556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17" w:hRule="atLeast"/>
        </w:trPr>
        <w:tc>
          <w:tcPr>
            <w:tcW w:w="839" w:type="dxa"/>
            <w:tcBorders>
              <w:left w:val="single" w:color="000000" w:sz="4" w:space="0"/>
            </w:tcBorders>
            <w:vAlign w:val="top"/>
          </w:tcPr>
          <w:p w14:paraId="335C4E9F">
            <w:pPr>
              <w:spacing w:line="295" w:lineRule="auto"/>
              <w:rPr>
                <w:rFonts w:ascii="Arial"/>
                <w:sz w:val="21"/>
              </w:rPr>
            </w:pPr>
          </w:p>
          <w:p w14:paraId="6C83D7BA">
            <w:pPr>
              <w:spacing w:line="295" w:lineRule="auto"/>
              <w:rPr>
                <w:rFonts w:ascii="Arial"/>
                <w:sz w:val="21"/>
              </w:rPr>
            </w:pPr>
          </w:p>
          <w:p w14:paraId="1011FCB6">
            <w:pPr>
              <w:spacing w:line="295" w:lineRule="auto"/>
              <w:rPr>
                <w:rFonts w:ascii="Arial"/>
                <w:sz w:val="21"/>
              </w:rPr>
            </w:pPr>
          </w:p>
          <w:p w14:paraId="5E1B5F9C">
            <w:pPr>
              <w:spacing w:line="295" w:lineRule="auto"/>
              <w:rPr>
                <w:rFonts w:ascii="Arial"/>
                <w:sz w:val="21"/>
              </w:rPr>
            </w:pPr>
          </w:p>
          <w:p w14:paraId="6295099B">
            <w:pPr>
              <w:pStyle w:val="7"/>
              <w:spacing w:before="78" w:line="237" w:lineRule="auto"/>
              <w:ind w:left="379"/>
            </w:pPr>
            <w:r>
              <w:t>5</w:t>
            </w:r>
          </w:p>
        </w:tc>
        <w:tc>
          <w:tcPr>
            <w:tcW w:w="1841" w:type="dxa"/>
            <w:vAlign w:val="top"/>
          </w:tcPr>
          <w:p w14:paraId="26D44DB7">
            <w:pPr>
              <w:spacing w:line="295" w:lineRule="auto"/>
              <w:rPr>
                <w:rFonts w:ascii="Arial"/>
                <w:sz w:val="21"/>
              </w:rPr>
            </w:pPr>
          </w:p>
          <w:p w14:paraId="479F6AE1">
            <w:pPr>
              <w:spacing w:line="295" w:lineRule="auto"/>
              <w:rPr>
                <w:rFonts w:ascii="Arial"/>
                <w:sz w:val="21"/>
              </w:rPr>
            </w:pPr>
          </w:p>
          <w:p w14:paraId="5854F30D">
            <w:pPr>
              <w:spacing w:line="295" w:lineRule="auto"/>
              <w:rPr>
                <w:rFonts w:ascii="Arial"/>
                <w:sz w:val="21"/>
              </w:rPr>
            </w:pPr>
          </w:p>
          <w:p w14:paraId="17E2D820">
            <w:pPr>
              <w:spacing w:line="296" w:lineRule="auto"/>
              <w:rPr>
                <w:rFonts w:ascii="Arial"/>
                <w:sz w:val="21"/>
              </w:rPr>
            </w:pPr>
          </w:p>
          <w:p w14:paraId="052AF528">
            <w:pPr>
              <w:pStyle w:val="7"/>
              <w:spacing w:before="78" w:line="218" w:lineRule="auto"/>
              <w:ind w:left="710"/>
            </w:pPr>
            <w:r>
              <w:rPr>
                <w:spacing w:val="-10"/>
              </w:rPr>
              <w:t>观察</w:t>
            </w:r>
          </w:p>
        </w:tc>
        <w:tc>
          <w:tcPr>
            <w:tcW w:w="5869" w:type="dxa"/>
            <w:tcBorders>
              <w:right w:val="single" w:color="000000" w:sz="4" w:space="0"/>
            </w:tcBorders>
            <w:vAlign w:val="top"/>
          </w:tcPr>
          <w:p w14:paraId="59EFEC35">
            <w:pPr>
              <w:pStyle w:val="7"/>
              <w:spacing w:before="100" w:line="215" w:lineRule="auto"/>
              <w:ind w:left="756"/>
            </w:pPr>
            <w:r>
              <w:rPr>
                <w:spacing w:val="-18"/>
              </w:rPr>
              <w:t>观察显示应在显像剂施加后7~60min内进行。</w:t>
            </w:r>
          </w:p>
          <w:p w14:paraId="01209CC8">
            <w:pPr>
              <w:pStyle w:val="7"/>
              <w:spacing w:before="185" w:line="218" w:lineRule="auto"/>
              <w:ind w:left="76"/>
            </w:pPr>
            <w:r>
              <w:rPr>
                <w:spacing w:val="-19"/>
              </w:rPr>
              <w:t>观察的光源应满足要求，一般白光照度应大于1000Lx，无法</w:t>
            </w:r>
          </w:p>
          <w:p w14:paraId="7A41A459">
            <w:pPr>
              <w:pStyle w:val="7"/>
              <w:spacing w:before="184" w:line="216" w:lineRule="auto"/>
              <w:ind w:left="68"/>
            </w:pPr>
            <w:r>
              <w:rPr>
                <w:spacing w:val="-21"/>
              </w:rPr>
              <w:t>满足时，不得低于500Lx，荧光检测时，暗室的白光照度不应</w:t>
            </w:r>
          </w:p>
          <w:p w14:paraId="2FE8784C">
            <w:pPr>
              <w:pStyle w:val="7"/>
              <w:spacing w:before="184" w:line="216" w:lineRule="auto"/>
              <w:ind w:left="187"/>
            </w:pPr>
            <w:r>
              <w:rPr>
                <w:spacing w:val="-14"/>
              </w:rPr>
              <w:t>大于20Lx，距离黑光灯380mm处，被检表</w:t>
            </w:r>
            <w:r>
              <w:rPr>
                <w:spacing w:val="-15"/>
              </w:rPr>
              <w:t>面辐照度不低于</w:t>
            </w:r>
          </w:p>
          <w:p w14:paraId="3D5C6F0C">
            <w:pPr>
              <w:pStyle w:val="7"/>
              <w:spacing w:before="187" w:line="222" w:lineRule="auto"/>
              <w:ind w:left="2240"/>
            </w:pPr>
            <w:r>
              <w:rPr>
                <w:spacing w:val="-13"/>
              </w:rPr>
              <w:t>1000μW/cm2。</w:t>
            </w:r>
          </w:p>
          <w:p w14:paraId="28D342C5">
            <w:pPr>
              <w:pStyle w:val="7"/>
              <w:spacing w:before="180" w:line="215" w:lineRule="auto"/>
              <w:ind w:left="213"/>
            </w:pPr>
            <w:r>
              <w:rPr>
                <w:spacing w:val="-21"/>
              </w:rPr>
              <w:t>在进行荧光检测时，检测人员进入暗室应有暗适应时间。</w:t>
            </w:r>
          </w:p>
        </w:tc>
      </w:tr>
      <w:tr w14:paraId="71255E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6" w:hRule="atLeast"/>
        </w:trPr>
        <w:tc>
          <w:tcPr>
            <w:tcW w:w="839" w:type="dxa"/>
            <w:tcBorders>
              <w:left w:val="single" w:color="000000" w:sz="4" w:space="0"/>
              <w:bottom w:val="single" w:color="000000" w:sz="4" w:space="0"/>
            </w:tcBorders>
            <w:vAlign w:val="top"/>
          </w:tcPr>
          <w:p w14:paraId="1266D184">
            <w:pPr>
              <w:pStyle w:val="7"/>
              <w:spacing w:before="103" w:line="237" w:lineRule="auto"/>
              <w:ind w:left="377"/>
            </w:pPr>
            <w:r>
              <w:t>6</w:t>
            </w:r>
          </w:p>
          <w:p w14:paraId="169FB85E">
            <w:pPr>
              <w:spacing w:before="181" w:line="23" w:lineRule="exact"/>
            </w:pPr>
            <w:r>
              <w:rPr>
                <w:position w:val="-2"/>
              </w:rPr>
              <w:pict>
                <v:group id="_x0000_s3561" o:spid="_x0000_s3561" o:spt="203" style="height:2.2pt;width:41.8pt;" coordsize="835,44">
                  <o:lock v:ext="edit"/>
                  <v:shape id="_x0000_s3562" o:spid="_x0000_s3562" style="position:absolute;left:0;top:28;height:15;width:44;" fillcolor="#5B9BD5" filled="t" stroked="f" coordsize="44,15" path="m0,14l43,14,43,0,0,0,0,14xe">
                    <v:path/>
                    <v:fill on="t" focussize="0,0"/>
                    <v:stroke on="f"/>
                    <v:imagedata o:title=""/>
                    <o:lock v:ext="edit"/>
                  </v:shape>
                  <v:shape id="_x0000_s3563" o:spid="_x0000_s3563" style="position:absolute;left:43;top:0;height:15;width:791;" fillcolor="#1C456A" filled="t" stroked="f" coordsize="791,15" path="m0,14l791,14,791,0,0,0,0,14xe">
                    <v:path/>
                    <v:fill on="t" focussize="0,0"/>
                    <v:stroke on="f"/>
                    <v:imagedata o:title=""/>
                    <o:lock v:ext="edit"/>
                  </v:shape>
                  <w10:wrap type="none"/>
                  <w10:anchorlock/>
                </v:group>
              </w:pict>
            </w:r>
          </w:p>
        </w:tc>
        <w:tc>
          <w:tcPr>
            <w:tcW w:w="1841" w:type="dxa"/>
            <w:tcBorders>
              <w:bottom w:val="single" w:color="000000" w:sz="4" w:space="0"/>
            </w:tcBorders>
            <w:vAlign w:val="top"/>
          </w:tcPr>
          <w:p w14:paraId="64103A4A">
            <w:pPr>
              <w:pStyle w:val="7"/>
              <w:spacing w:before="104" w:line="217" w:lineRule="auto"/>
              <w:ind w:left="489"/>
            </w:pPr>
            <w:r>
              <w:pict>
                <v:shape id="_x0000_s3564" o:spid="_x0000_s3564" style="position:absolute;left:0pt;margin-left:1.75pt;margin-top:29.9pt;height:0.75pt;width:90.05pt;mso-position-horizontal-relative:page;mso-position-vertical-relative:page;z-index:252139520;mso-width-relative:page;mso-height-relative:page;" fillcolor="#1C456A" filled="t" stroked="f" coordsize="1801,15" path="m0,14l1800,14,1800,0,0,0,0,14xe">
                  <v:path/>
                  <v:fill on="t" focussize="0,0"/>
                  <v:stroke on="f"/>
                  <v:imagedata o:title=""/>
                  <o:lock v:ext="edit"/>
                </v:shape>
              </w:pict>
            </w:r>
            <w:r>
              <w:rPr>
                <w:spacing w:val="-15"/>
              </w:rPr>
              <w:t>缺陷评定</w:t>
            </w:r>
          </w:p>
        </w:tc>
        <w:tc>
          <w:tcPr>
            <w:tcW w:w="5869" w:type="dxa"/>
            <w:tcBorders>
              <w:bottom w:val="single" w:color="5B9BD5" w:sz="4" w:space="0"/>
              <w:right w:val="single" w:color="5B9BD5" w:sz="4" w:space="0"/>
            </w:tcBorders>
            <w:vAlign w:val="top"/>
          </w:tcPr>
          <w:p w14:paraId="44F2F9E7">
            <w:pPr>
              <w:pStyle w:val="7"/>
              <w:spacing w:before="103" w:line="217" w:lineRule="auto"/>
              <w:ind w:left="103"/>
            </w:pPr>
            <w:r>
              <w:pict>
                <v:shape id="_x0000_s3565" o:spid="_x0000_s3565" style="position:absolute;left:0pt;margin-left:1.9pt;margin-top:29.9pt;height:0.75pt;width:289.75pt;mso-position-horizontal-relative:page;mso-position-vertical-relative:page;z-index:252138496;mso-width-relative:page;mso-height-relative:page;" fillcolor="#1C456A" filled="t" stroked="f" coordsize="5795,15" path="m0,14l5794,14,5794,0,0,0,0,14xe">
                  <v:path/>
                  <v:fill on="t" focussize="0,0"/>
                  <v:stroke on="f"/>
                  <v:imagedata o:title=""/>
                  <o:lock v:ext="edit"/>
                </v:shape>
              </w:pict>
            </w:r>
            <w:r>
              <w:rPr>
                <w:spacing w:val="-21"/>
              </w:rPr>
              <w:t>按照标准要求进行记录和评定，若不合格，进行相关处理。</w:t>
            </w:r>
          </w:p>
        </w:tc>
      </w:tr>
    </w:tbl>
    <w:p w14:paraId="7C8850B7">
      <w:pPr>
        <w:pStyle w:val="2"/>
        <w:spacing w:before="113" w:line="217" w:lineRule="auto"/>
        <w:ind w:left="2084"/>
        <w:rPr>
          <w:sz w:val="24"/>
          <w:szCs w:val="24"/>
        </w:rPr>
      </w:pPr>
      <w:r>
        <w:rPr>
          <w:spacing w:val="-14"/>
          <w:sz w:val="24"/>
          <w:szCs w:val="24"/>
        </w:rPr>
        <w:t>①表面处理</w:t>
      </w:r>
    </w:p>
    <w:p w14:paraId="4971BCF7">
      <w:pPr>
        <w:pStyle w:val="2"/>
        <w:spacing w:before="119" w:line="307" w:lineRule="auto"/>
        <w:ind w:left="1470" w:right="1410" w:firstLine="424"/>
        <w:rPr>
          <w:sz w:val="24"/>
          <w:szCs w:val="24"/>
        </w:rPr>
      </w:pPr>
      <w:r>
        <w:rPr>
          <w:spacing w:val="-20"/>
          <w:sz w:val="24"/>
          <w:szCs w:val="24"/>
        </w:rPr>
        <w:t>对表面处理的基本要求就是，任何可能影响渗透检测的污染物必须清除干净，同时，又不能损伤被检工件的工作功能。渗透检测工作准备范围应从检测部位四周向外扩展2</w:t>
      </w:r>
      <w:r>
        <w:rPr>
          <w:spacing w:val="-21"/>
          <w:sz w:val="24"/>
          <w:szCs w:val="24"/>
        </w:rPr>
        <w:t>5mm以上。</w:t>
      </w:r>
    </w:p>
    <w:p w14:paraId="55EB53C9">
      <w:pPr>
        <w:pStyle w:val="2"/>
        <w:spacing w:line="308" w:lineRule="auto"/>
        <w:ind w:left="1463" w:right="1410" w:firstLine="434"/>
        <w:rPr>
          <w:sz w:val="24"/>
          <w:szCs w:val="24"/>
        </w:rPr>
      </w:pPr>
      <w:r>
        <w:rPr>
          <w:spacing w:val="-20"/>
          <w:sz w:val="24"/>
          <w:szCs w:val="24"/>
        </w:rPr>
        <w:t>污染物的清除方法有：机械清理，化学清洗和溶剂清洗，在选用时应进行综合考虑。特别</w:t>
      </w:r>
      <w:r>
        <w:rPr>
          <w:spacing w:val="-21"/>
          <w:sz w:val="24"/>
          <w:szCs w:val="24"/>
        </w:rPr>
        <w:t>注意涂层必须用化学的方法进行去除而不能用</w:t>
      </w:r>
      <w:r>
        <w:rPr>
          <w:spacing w:val="-22"/>
          <w:sz w:val="24"/>
          <w:szCs w:val="24"/>
        </w:rPr>
        <w:t>打磨的方法。</w:t>
      </w:r>
    </w:p>
    <w:p w14:paraId="3815A18D">
      <w:pPr>
        <w:pStyle w:val="2"/>
        <w:spacing w:line="217" w:lineRule="auto"/>
        <w:ind w:left="1884"/>
        <w:rPr>
          <w:sz w:val="24"/>
          <w:szCs w:val="24"/>
        </w:rPr>
      </w:pPr>
      <w:r>
        <w:rPr>
          <w:spacing w:val="-17"/>
          <w:sz w:val="24"/>
          <w:szCs w:val="24"/>
        </w:rPr>
        <w:t>②渗透剂的施加</w:t>
      </w:r>
    </w:p>
    <w:p w14:paraId="79483AC1">
      <w:pPr>
        <w:pStyle w:val="2"/>
        <w:spacing w:before="116" w:line="218" w:lineRule="auto"/>
        <w:ind w:left="1906"/>
        <w:rPr>
          <w:sz w:val="24"/>
          <w:szCs w:val="24"/>
        </w:rPr>
      </w:pPr>
      <w:r>
        <w:rPr>
          <w:spacing w:val="-22"/>
          <w:sz w:val="24"/>
          <w:szCs w:val="24"/>
        </w:rPr>
        <w:t>常用的施加方法有喷涂、刷涂、浇涂和浸涂。</w:t>
      </w:r>
    </w:p>
    <w:p w14:paraId="79AED99A">
      <w:pPr>
        <w:pStyle w:val="2"/>
        <w:spacing w:before="117" w:line="308" w:lineRule="auto"/>
        <w:ind w:left="1455" w:right="1436" w:firstLine="439"/>
        <w:rPr>
          <w:sz w:val="24"/>
          <w:szCs w:val="24"/>
        </w:rPr>
      </w:pPr>
      <w:r>
        <w:rPr>
          <w:spacing w:val="-23"/>
          <w:sz w:val="24"/>
          <w:szCs w:val="24"/>
        </w:rPr>
        <w:t>渗透时间是一个很重要的因素，一般来说，施加渗透剂的时间不得少于10min</w:t>
      </w:r>
      <w:r>
        <w:rPr>
          <w:spacing w:val="-24"/>
          <w:sz w:val="24"/>
          <w:szCs w:val="24"/>
        </w:rPr>
        <w:t>，对于应力腐</w:t>
      </w:r>
      <w:r>
        <w:rPr>
          <w:spacing w:val="-20"/>
          <w:sz w:val="24"/>
          <w:szCs w:val="24"/>
        </w:rPr>
        <w:t>蚀裂纹因其特别细微，渗透时间需更长，可以长达2小时。</w:t>
      </w:r>
    </w:p>
    <w:p w14:paraId="072E4971">
      <w:pPr>
        <w:pStyle w:val="2"/>
        <w:spacing w:before="2" w:line="307" w:lineRule="auto"/>
        <w:ind w:left="1460" w:right="1353" w:firstLine="434"/>
        <w:jc w:val="both"/>
        <w:rPr>
          <w:sz w:val="24"/>
          <w:szCs w:val="24"/>
        </w:rPr>
      </w:pPr>
      <w:r>
        <w:rPr>
          <w:spacing w:val="-22"/>
          <w:sz w:val="24"/>
          <w:szCs w:val="24"/>
        </w:rPr>
        <w:t>渗透温度一般控制在10~50℃范围内，</w:t>
      </w:r>
      <w:r>
        <w:rPr>
          <w:spacing w:val="-23"/>
          <w:sz w:val="24"/>
          <w:szCs w:val="24"/>
        </w:rPr>
        <w:t>温度太高，渗透剂容易干在被检工件上，给清洗带来</w:t>
      </w:r>
      <w:r>
        <w:rPr>
          <w:spacing w:val="-24"/>
          <w:sz w:val="24"/>
          <w:szCs w:val="24"/>
        </w:rPr>
        <w:t>困难；温度太低，渗透剂变稠，动态渗透参量受到影响。当被检工件的温度不在推荐范围内时，</w:t>
      </w:r>
      <w:r>
        <w:rPr>
          <w:spacing w:val="-21"/>
          <w:sz w:val="24"/>
          <w:szCs w:val="24"/>
        </w:rPr>
        <w:t>可进行性能对比检验，以此来验证检测结果的可靠性。</w:t>
      </w:r>
    </w:p>
    <w:p w14:paraId="5DC0FCBA">
      <w:pPr>
        <w:pStyle w:val="2"/>
        <w:spacing w:line="215" w:lineRule="auto"/>
        <w:ind w:left="1895"/>
        <w:rPr>
          <w:sz w:val="24"/>
          <w:szCs w:val="24"/>
        </w:rPr>
      </w:pPr>
      <w:r>
        <w:rPr>
          <w:spacing w:val="-21"/>
          <w:sz w:val="24"/>
          <w:szCs w:val="24"/>
        </w:rPr>
        <w:t>在整个渗透时间内应让被检表面处于润湿状态。</w:t>
      </w:r>
    </w:p>
    <w:p w14:paraId="44B10318">
      <w:pPr>
        <w:pStyle w:val="2"/>
        <w:spacing w:before="122" w:line="217" w:lineRule="auto"/>
        <w:ind w:left="1884"/>
        <w:rPr>
          <w:sz w:val="24"/>
          <w:szCs w:val="24"/>
        </w:rPr>
      </w:pPr>
      <w:r>
        <w:rPr>
          <w:spacing w:val="-17"/>
          <w:sz w:val="24"/>
          <w:szCs w:val="24"/>
        </w:rPr>
        <w:t>③渗透剂的去除</w:t>
      </w:r>
    </w:p>
    <w:p w14:paraId="5BCC94FD">
      <w:pPr>
        <w:pStyle w:val="2"/>
        <w:spacing w:before="118" w:line="215" w:lineRule="auto"/>
        <w:ind w:left="1895"/>
        <w:rPr>
          <w:sz w:val="24"/>
          <w:szCs w:val="24"/>
        </w:rPr>
      </w:pPr>
      <w:r>
        <w:rPr>
          <w:spacing w:val="-19"/>
          <w:sz w:val="24"/>
          <w:szCs w:val="24"/>
        </w:rPr>
        <w:t>在渗透剂的去除时，既要防止过清洗又要防止清洗不足，清洗过度可能导致</w:t>
      </w:r>
      <w:r>
        <w:rPr>
          <w:spacing w:val="-20"/>
          <w:sz w:val="24"/>
          <w:szCs w:val="24"/>
        </w:rPr>
        <w:t>缺陷显示不出</w:t>
      </w:r>
    </w:p>
    <w:p w14:paraId="0F9B5E71">
      <w:pPr>
        <w:spacing w:line="215" w:lineRule="auto"/>
        <w:rPr>
          <w:sz w:val="24"/>
          <w:szCs w:val="24"/>
        </w:rPr>
        <w:sectPr>
          <w:footerReference r:id="rId219" w:type="default"/>
          <w:pgSz w:w="11907" w:h="16839"/>
          <w:pgMar w:top="954" w:right="4" w:bottom="1038" w:left="0" w:header="499" w:footer="357" w:gutter="0"/>
          <w:pgBorders>
            <w:top w:val="none" w:sz="0" w:space="0"/>
            <w:left w:val="none" w:sz="0" w:space="0"/>
            <w:bottom w:val="none" w:sz="0" w:space="0"/>
            <w:right w:val="none" w:sz="0" w:space="0"/>
          </w:pgBorders>
          <w:cols w:space="720" w:num="1"/>
        </w:sectPr>
      </w:pPr>
    </w:p>
    <w:p w14:paraId="1D2FC625">
      <w:pPr>
        <w:spacing w:line="250" w:lineRule="auto"/>
        <w:rPr>
          <w:rFonts w:ascii="Arial"/>
          <w:sz w:val="21"/>
        </w:rPr>
      </w:pPr>
    </w:p>
    <w:p w14:paraId="7DD16704">
      <w:pPr>
        <w:pStyle w:val="2"/>
        <w:spacing w:before="78" w:line="216" w:lineRule="auto"/>
        <w:ind w:left="1457"/>
        <w:rPr>
          <w:sz w:val="24"/>
          <w:szCs w:val="24"/>
        </w:rPr>
      </w:pPr>
      <w:r>
        <w:rPr>
          <w:spacing w:val="-21"/>
          <w:sz w:val="24"/>
          <w:szCs w:val="24"/>
        </w:rPr>
        <w:t>来或漏检，清洗不足又会使得背景过浓，不利于观察。</w:t>
      </w:r>
    </w:p>
    <w:p w14:paraId="5CFE6AB2">
      <w:pPr>
        <w:pStyle w:val="2"/>
        <w:spacing w:before="121" w:line="307" w:lineRule="auto"/>
        <w:ind w:left="1455" w:right="1356" w:firstLine="436"/>
        <w:rPr>
          <w:sz w:val="24"/>
          <w:szCs w:val="24"/>
        </w:rPr>
      </w:pPr>
      <w:r>
        <w:rPr>
          <w:spacing w:val="-21"/>
          <w:sz w:val="24"/>
          <w:szCs w:val="24"/>
        </w:rPr>
        <w:t>水洗型渗透剂的去除：水温为10~40℃,水压不超过</w:t>
      </w:r>
      <w:r>
        <w:rPr>
          <w:spacing w:val="-22"/>
          <w:sz w:val="24"/>
          <w:szCs w:val="24"/>
        </w:rPr>
        <w:t>0.34MPa，在得到合适的背景的前提下，</w:t>
      </w:r>
      <w:r>
        <w:rPr>
          <w:spacing w:val="-20"/>
          <w:sz w:val="24"/>
          <w:szCs w:val="24"/>
        </w:rPr>
        <w:t>水洗的时间越短越好。</w:t>
      </w:r>
    </w:p>
    <w:p w14:paraId="6B29FBC4">
      <w:pPr>
        <w:pStyle w:val="2"/>
        <w:spacing w:line="307" w:lineRule="auto"/>
        <w:ind w:left="1459" w:right="1410" w:firstLine="435"/>
        <w:rPr>
          <w:sz w:val="24"/>
          <w:szCs w:val="24"/>
        </w:rPr>
      </w:pPr>
      <w:r>
        <w:rPr>
          <w:spacing w:val="-20"/>
          <w:sz w:val="24"/>
          <w:szCs w:val="24"/>
        </w:rPr>
        <w:t>后乳化型渗透剂的去除：乳化工序是后乳化型渗透检测工艺的最关键步骤，必须严格控制</w:t>
      </w:r>
      <w:r>
        <w:rPr>
          <w:spacing w:val="-21"/>
          <w:sz w:val="24"/>
          <w:szCs w:val="24"/>
        </w:rPr>
        <w:t>乳化时间防止过乳化，在得到合适的背景的前提下，</w:t>
      </w:r>
      <w:r>
        <w:rPr>
          <w:spacing w:val="-22"/>
          <w:sz w:val="24"/>
          <w:szCs w:val="24"/>
        </w:rPr>
        <w:t>乳化的时间越短越好。</w:t>
      </w:r>
    </w:p>
    <w:p w14:paraId="03ACE026">
      <w:pPr>
        <w:pStyle w:val="2"/>
        <w:spacing w:before="1" w:line="215" w:lineRule="auto"/>
        <w:ind w:left="1892"/>
        <w:rPr>
          <w:sz w:val="24"/>
          <w:szCs w:val="24"/>
        </w:rPr>
      </w:pPr>
      <w:r>
        <w:rPr>
          <w:spacing w:val="-21"/>
          <w:sz w:val="24"/>
          <w:szCs w:val="24"/>
        </w:rPr>
        <w:t>溶剂去除型渗透剂的去除：应注意不得往复擦拭，不得用清洗剂</w:t>
      </w:r>
      <w:r>
        <w:rPr>
          <w:spacing w:val="-22"/>
          <w:sz w:val="24"/>
          <w:szCs w:val="24"/>
        </w:rPr>
        <w:t>直接冲洗被检表面。</w:t>
      </w:r>
    </w:p>
    <w:p w14:paraId="10DBC4A9">
      <w:pPr>
        <w:pStyle w:val="2"/>
        <w:spacing w:before="120" w:line="217" w:lineRule="auto"/>
        <w:ind w:left="1884"/>
        <w:rPr>
          <w:sz w:val="24"/>
          <w:szCs w:val="24"/>
        </w:rPr>
      </w:pPr>
      <w:r>
        <w:rPr>
          <w:spacing w:val="-17"/>
          <w:sz w:val="24"/>
          <w:szCs w:val="24"/>
        </w:rPr>
        <w:t>④显像剂的施加</w:t>
      </w:r>
    </w:p>
    <w:p w14:paraId="50948504">
      <w:pPr>
        <w:pStyle w:val="2"/>
        <w:spacing w:before="118" w:line="307" w:lineRule="auto"/>
        <w:ind w:left="1462" w:right="1424" w:firstLine="438"/>
        <w:rPr>
          <w:sz w:val="24"/>
          <w:szCs w:val="24"/>
        </w:rPr>
      </w:pPr>
      <w:r>
        <w:rPr>
          <w:spacing w:val="-20"/>
          <w:sz w:val="24"/>
          <w:szCs w:val="24"/>
        </w:rPr>
        <w:t>显像剂的施加方式有喷涂、刷涂、浇涂和浸</w:t>
      </w:r>
      <w:r>
        <w:rPr>
          <w:spacing w:val="-21"/>
          <w:sz w:val="24"/>
          <w:szCs w:val="24"/>
        </w:rPr>
        <w:t>涂等，喷涂时距离被检表面为300~400mm，喷涂</w:t>
      </w:r>
      <w:r>
        <w:rPr>
          <w:spacing w:val="-20"/>
          <w:sz w:val="24"/>
          <w:szCs w:val="24"/>
        </w:rPr>
        <w:t>方向与被检面的夹角为30~40°,刷涂时一个部位不允许往复刷涂几次。</w:t>
      </w:r>
    </w:p>
    <w:p w14:paraId="799614E6">
      <w:pPr>
        <w:pStyle w:val="2"/>
        <w:spacing w:before="2" w:line="217" w:lineRule="auto"/>
        <w:ind w:left="1884"/>
        <w:rPr>
          <w:sz w:val="24"/>
          <w:szCs w:val="24"/>
        </w:rPr>
      </w:pPr>
      <w:r>
        <w:rPr>
          <w:spacing w:val="-10"/>
          <w:sz w:val="24"/>
          <w:szCs w:val="24"/>
        </w:rPr>
        <w:t>⑤观察</w:t>
      </w:r>
    </w:p>
    <w:p w14:paraId="00E33B2E">
      <w:pPr>
        <w:pStyle w:val="2"/>
        <w:spacing w:before="119" w:line="215" w:lineRule="auto"/>
        <w:ind w:left="1893"/>
        <w:rPr>
          <w:sz w:val="24"/>
          <w:szCs w:val="24"/>
        </w:rPr>
      </w:pPr>
      <w:r>
        <w:rPr>
          <w:spacing w:val="-18"/>
          <w:sz w:val="24"/>
          <w:szCs w:val="24"/>
        </w:rPr>
        <w:t>观察显示应在显像剂施加后7~60min内进行。</w:t>
      </w:r>
    </w:p>
    <w:p w14:paraId="50541EA2">
      <w:pPr>
        <w:pStyle w:val="2"/>
        <w:spacing w:before="118" w:line="308" w:lineRule="auto"/>
        <w:ind w:left="1462" w:right="1410" w:firstLine="431"/>
        <w:rPr>
          <w:sz w:val="24"/>
          <w:szCs w:val="24"/>
        </w:rPr>
      </w:pPr>
      <w:r>
        <w:rPr>
          <w:spacing w:val="-19"/>
          <w:sz w:val="24"/>
          <w:szCs w:val="24"/>
        </w:rPr>
        <w:t>观察的光源应满足要求，一般白光照度应大于1000Lx，无</w:t>
      </w:r>
      <w:r>
        <w:rPr>
          <w:spacing w:val="-20"/>
          <w:sz w:val="24"/>
          <w:szCs w:val="24"/>
        </w:rPr>
        <w:t>法满足时，不得低于500Lx，荧</w:t>
      </w:r>
      <w:r>
        <w:rPr>
          <w:spacing w:val="-12"/>
          <w:sz w:val="24"/>
          <w:szCs w:val="24"/>
        </w:rPr>
        <w:t>光检测时，暗室的白光照度不应大于20Lx，距离黑光</w:t>
      </w:r>
      <w:r>
        <w:rPr>
          <w:spacing w:val="-13"/>
          <w:sz w:val="24"/>
          <w:szCs w:val="24"/>
        </w:rPr>
        <w:t>灯380mm处，被检表面辐照度不低于1000μW/cm2。</w:t>
      </w:r>
    </w:p>
    <w:p w14:paraId="1362EF09">
      <w:pPr>
        <w:pStyle w:val="2"/>
        <w:spacing w:line="215" w:lineRule="auto"/>
        <w:ind w:left="1895"/>
        <w:rPr>
          <w:sz w:val="24"/>
          <w:szCs w:val="24"/>
        </w:rPr>
      </w:pPr>
      <w:r>
        <w:rPr>
          <w:spacing w:val="-22"/>
          <w:sz w:val="24"/>
          <w:szCs w:val="24"/>
        </w:rPr>
        <w:t>在进行荧光检测时，检测人员进入暗室应有暗适应时间。</w:t>
      </w:r>
    </w:p>
    <w:p w14:paraId="1BBBE3D5">
      <w:pPr>
        <w:pStyle w:val="2"/>
        <w:spacing w:before="121" w:line="217" w:lineRule="auto"/>
        <w:ind w:left="1884"/>
        <w:rPr>
          <w:sz w:val="24"/>
          <w:szCs w:val="24"/>
        </w:rPr>
      </w:pPr>
      <w:r>
        <w:rPr>
          <w:spacing w:val="-15"/>
          <w:sz w:val="24"/>
          <w:szCs w:val="24"/>
        </w:rPr>
        <w:t>⑥缺陷评定</w:t>
      </w:r>
    </w:p>
    <w:p w14:paraId="25F0D9DE">
      <w:pPr>
        <w:pStyle w:val="2"/>
        <w:spacing w:before="118" w:line="217" w:lineRule="auto"/>
        <w:ind w:left="1893"/>
        <w:rPr>
          <w:sz w:val="24"/>
          <w:szCs w:val="24"/>
        </w:rPr>
      </w:pPr>
      <w:r>
        <w:rPr>
          <w:spacing w:val="-21"/>
          <w:sz w:val="24"/>
          <w:szCs w:val="24"/>
        </w:rPr>
        <w:t>按照标准要求进行记录和评定，若不合格，进行相关处理。</w:t>
      </w:r>
    </w:p>
    <w:p w14:paraId="55F61D6A">
      <w:pPr>
        <w:pStyle w:val="2"/>
        <w:spacing w:before="117" w:line="216" w:lineRule="auto"/>
        <w:ind w:left="1888"/>
        <w:rPr>
          <w:sz w:val="24"/>
          <w:szCs w:val="24"/>
        </w:rPr>
      </w:pPr>
      <w:r>
        <w:rPr>
          <w:spacing w:val="-16"/>
          <w:sz w:val="24"/>
          <w:szCs w:val="24"/>
        </w:rPr>
        <w:t>2、超声波检测</w:t>
      </w:r>
    </w:p>
    <w:p w14:paraId="1B2F52FA">
      <w:pPr>
        <w:pStyle w:val="2"/>
        <w:spacing w:before="120" w:line="215" w:lineRule="auto"/>
        <w:ind w:left="1893"/>
        <w:rPr>
          <w:sz w:val="24"/>
          <w:szCs w:val="24"/>
        </w:rPr>
      </w:pPr>
      <w:r>
        <w:rPr>
          <w:spacing w:val="-23"/>
          <w:sz w:val="24"/>
          <w:szCs w:val="24"/>
        </w:rPr>
        <w:t>（1）步骤：</w:t>
      </w:r>
    </w:p>
    <w:p w14:paraId="1A782720">
      <w:pPr>
        <w:pStyle w:val="2"/>
        <w:spacing w:before="121" w:line="216" w:lineRule="auto"/>
        <w:ind w:left="1895"/>
        <w:rPr>
          <w:sz w:val="24"/>
          <w:szCs w:val="24"/>
        </w:rPr>
      </w:pPr>
      <w:r>
        <w:rPr>
          <w:spacing w:val="-21"/>
          <w:sz w:val="24"/>
          <w:szCs w:val="24"/>
        </w:rPr>
        <w:t>表面处理→设立仪器→超声波检测→观察记录及评定→</w:t>
      </w:r>
      <w:r>
        <w:rPr>
          <w:spacing w:val="-22"/>
          <w:sz w:val="24"/>
          <w:szCs w:val="24"/>
        </w:rPr>
        <w:t>后处理。</w:t>
      </w:r>
    </w:p>
    <w:p w14:paraId="5D532F2E">
      <w:pPr>
        <w:pStyle w:val="2"/>
        <w:spacing w:before="119" w:line="220" w:lineRule="auto"/>
        <w:ind w:left="1893"/>
        <w:rPr>
          <w:sz w:val="24"/>
          <w:szCs w:val="24"/>
        </w:rPr>
      </w:pPr>
      <w:r>
        <w:rPr>
          <w:spacing w:val="-23"/>
          <w:sz w:val="24"/>
          <w:szCs w:val="24"/>
        </w:rPr>
        <w:t>（2）方法：</w:t>
      </w:r>
    </w:p>
    <w:p w14:paraId="0BFB6963">
      <w:pPr>
        <w:pStyle w:val="2"/>
        <w:spacing w:before="114" w:line="217" w:lineRule="auto"/>
        <w:ind w:left="1885"/>
        <w:rPr>
          <w:sz w:val="24"/>
          <w:szCs w:val="24"/>
        </w:rPr>
      </w:pPr>
      <w:r>
        <w:rPr>
          <w:spacing w:val="-16"/>
          <w:sz w:val="24"/>
          <w:szCs w:val="24"/>
        </w:rPr>
        <w:t>①表面处理</w:t>
      </w:r>
    </w:p>
    <w:p w14:paraId="728DE6D5">
      <w:pPr>
        <w:pStyle w:val="2"/>
        <w:spacing w:before="118" w:line="307" w:lineRule="auto"/>
        <w:ind w:left="1470" w:right="1411" w:firstLine="424"/>
        <w:rPr>
          <w:sz w:val="24"/>
          <w:szCs w:val="24"/>
        </w:rPr>
      </w:pPr>
      <w:r>
        <w:rPr>
          <w:spacing w:val="-20"/>
          <w:sz w:val="24"/>
          <w:szCs w:val="24"/>
        </w:rPr>
        <w:t>对表面处理的基本要求就是，任何可能影响渗透检测的污染物必须清除干净，同时，又不</w:t>
      </w:r>
      <w:r>
        <w:rPr>
          <w:spacing w:val="-21"/>
          <w:sz w:val="24"/>
          <w:szCs w:val="24"/>
        </w:rPr>
        <w:t>能损伤被检工件的工作功能。</w:t>
      </w:r>
    </w:p>
    <w:p w14:paraId="046CD54C">
      <w:pPr>
        <w:pStyle w:val="2"/>
        <w:spacing w:before="3" w:line="307" w:lineRule="auto"/>
        <w:ind w:left="1463" w:right="1409" w:firstLine="434"/>
        <w:rPr>
          <w:sz w:val="24"/>
          <w:szCs w:val="24"/>
        </w:rPr>
      </w:pPr>
      <w:r>
        <w:rPr>
          <w:spacing w:val="-20"/>
          <w:sz w:val="24"/>
          <w:szCs w:val="24"/>
        </w:rPr>
        <w:t>污染物的清除方法有：机械清理，化学清洗和溶剂清洗，在选用时应进行综合考虑。特别</w:t>
      </w:r>
      <w:r>
        <w:rPr>
          <w:spacing w:val="-21"/>
          <w:sz w:val="24"/>
          <w:szCs w:val="24"/>
        </w:rPr>
        <w:t>注意涂层必须用化学的方法进行去除而不能用</w:t>
      </w:r>
      <w:r>
        <w:rPr>
          <w:spacing w:val="-22"/>
          <w:sz w:val="24"/>
          <w:szCs w:val="24"/>
        </w:rPr>
        <w:t>打磨的方法。</w:t>
      </w:r>
    </w:p>
    <w:p w14:paraId="381C47F7">
      <w:pPr>
        <w:pStyle w:val="2"/>
        <w:spacing w:line="217" w:lineRule="auto"/>
        <w:ind w:left="1884"/>
        <w:rPr>
          <w:sz w:val="24"/>
          <w:szCs w:val="24"/>
        </w:rPr>
      </w:pPr>
      <w:r>
        <w:rPr>
          <w:spacing w:val="-15"/>
          <w:sz w:val="24"/>
          <w:szCs w:val="24"/>
        </w:rPr>
        <w:t>②设立仪器</w:t>
      </w:r>
    </w:p>
    <w:p w14:paraId="66FCC2C1">
      <w:pPr>
        <w:pStyle w:val="2"/>
        <w:spacing w:before="118" w:line="216" w:lineRule="auto"/>
        <w:ind w:left="1924"/>
        <w:rPr>
          <w:sz w:val="24"/>
          <w:szCs w:val="24"/>
        </w:rPr>
      </w:pPr>
      <w:r>
        <w:rPr>
          <w:spacing w:val="-23"/>
          <w:sz w:val="24"/>
          <w:szCs w:val="24"/>
        </w:rPr>
        <w:t>由外委检测单位现场进行仪器架设。</w:t>
      </w:r>
    </w:p>
    <w:p w14:paraId="14F7B2CC">
      <w:pPr>
        <w:pStyle w:val="2"/>
        <w:spacing w:before="121" w:line="216" w:lineRule="auto"/>
        <w:ind w:left="1884"/>
        <w:rPr>
          <w:sz w:val="24"/>
          <w:szCs w:val="24"/>
        </w:rPr>
      </w:pPr>
      <w:r>
        <w:rPr>
          <w:spacing w:val="-16"/>
          <w:sz w:val="24"/>
          <w:szCs w:val="24"/>
        </w:rPr>
        <w:t>③超声波检测</w:t>
      </w:r>
    </w:p>
    <w:p w14:paraId="1DA14C5F">
      <w:pPr>
        <w:pStyle w:val="2"/>
        <w:spacing w:before="117" w:line="216" w:lineRule="auto"/>
        <w:ind w:left="1924"/>
        <w:rPr>
          <w:sz w:val="24"/>
          <w:szCs w:val="24"/>
        </w:rPr>
      </w:pPr>
      <w:r>
        <w:rPr>
          <w:spacing w:val="-24"/>
          <w:sz w:val="24"/>
          <w:szCs w:val="24"/>
        </w:rPr>
        <w:t>由外委检测单位现场进行检测。</w:t>
      </w:r>
    </w:p>
    <w:p w14:paraId="7D983013">
      <w:pPr>
        <w:pStyle w:val="2"/>
        <w:spacing w:before="120" w:line="216" w:lineRule="auto"/>
        <w:ind w:left="1884"/>
        <w:rPr>
          <w:sz w:val="24"/>
          <w:szCs w:val="24"/>
        </w:rPr>
      </w:pPr>
      <w:r>
        <w:rPr>
          <w:spacing w:val="-21"/>
          <w:sz w:val="24"/>
          <w:szCs w:val="24"/>
        </w:rPr>
        <w:t>④由外委检测单位现场进行观察记录及评定，若不合格，进行相关处理。</w:t>
      </w:r>
    </w:p>
    <w:p w14:paraId="718A4B25">
      <w:pPr>
        <w:pStyle w:val="2"/>
        <w:spacing w:before="85" w:line="218" w:lineRule="auto"/>
        <w:ind w:left="1979"/>
        <w:outlineLvl w:val="2"/>
        <w:rPr>
          <w:sz w:val="28"/>
          <w:szCs w:val="28"/>
        </w:rPr>
      </w:pPr>
      <w:bookmarkStart w:id="154" w:name="bookmark147"/>
      <w:bookmarkEnd w:id="154"/>
      <w:r>
        <w:rPr>
          <w:b/>
          <w:bCs/>
          <w:spacing w:val="-23"/>
          <w:sz w:val="28"/>
          <w:szCs w:val="28"/>
        </w:rPr>
        <w:t>六、供水管道冲洗消毒质量措施</w:t>
      </w:r>
    </w:p>
    <w:p w14:paraId="5D0012DC">
      <w:pPr>
        <w:pStyle w:val="2"/>
        <w:spacing w:before="104" w:line="217" w:lineRule="auto"/>
        <w:ind w:left="1893"/>
        <w:rPr>
          <w:sz w:val="24"/>
          <w:szCs w:val="24"/>
        </w:rPr>
      </w:pPr>
      <w:r>
        <w:rPr>
          <w:spacing w:val="-21"/>
          <w:sz w:val="24"/>
          <w:szCs w:val="24"/>
        </w:rPr>
        <w:t>（一）供水管道冲洗消毒质量措施</w:t>
      </w:r>
    </w:p>
    <w:p w14:paraId="64AF8F3F">
      <w:pPr>
        <w:pStyle w:val="2"/>
        <w:spacing w:before="118" w:line="263" w:lineRule="auto"/>
        <w:ind w:left="1462" w:right="1412" w:firstLine="441"/>
        <w:rPr>
          <w:sz w:val="24"/>
          <w:szCs w:val="24"/>
        </w:rPr>
      </w:pPr>
      <w:r>
        <w:rPr>
          <w:spacing w:val="-22"/>
          <w:sz w:val="24"/>
          <w:szCs w:val="24"/>
        </w:rPr>
        <w:t>1、管道在冲洗工程中，由于水量变化较大、应用对讲</w:t>
      </w:r>
      <w:r>
        <w:rPr>
          <w:spacing w:val="-23"/>
          <w:sz w:val="24"/>
          <w:szCs w:val="24"/>
        </w:rPr>
        <w:t>机随时与现场保持联系，了解管道冲</w:t>
      </w:r>
      <w:r>
        <w:rPr>
          <w:spacing w:val="-21"/>
          <w:sz w:val="24"/>
          <w:szCs w:val="24"/>
        </w:rPr>
        <w:t>洗情况，以便于及时加泵和减泵；</w:t>
      </w:r>
    </w:p>
    <w:p w14:paraId="11187993">
      <w:pPr>
        <w:pStyle w:val="2"/>
        <w:spacing w:before="116" w:line="215" w:lineRule="auto"/>
        <w:ind w:left="1888"/>
        <w:rPr>
          <w:sz w:val="24"/>
          <w:szCs w:val="24"/>
        </w:rPr>
      </w:pPr>
      <w:r>
        <w:rPr>
          <w:spacing w:val="-24"/>
          <w:sz w:val="24"/>
          <w:szCs w:val="24"/>
        </w:rPr>
        <w:t>2、每次冲洗前，对排放点用警示带和红色交通锥形筒围起来，并在其前后摆放</w:t>
      </w:r>
      <w:r>
        <w:rPr>
          <w:spacing w:val="-25"/>
          <w:sz w:val="24"/>
          <w:szCs w:val="24"/>
        </w:rPr>
        <w:t>交通警示牌，</w:t>
      </w:r>
    </w:p>
    <w:p w14:paraId="4829674D">
      <w:pPr>
        <w:spacing w:line="215" w:lineRule="auto"/>
        <w:rPr>
          <w:sz w:val="24"/>
          <w:szCs w:val="24"/>
        </w:rPr>
        <w:sectPr>
          <w:footerReference r:id="rId220" w:type="default"/>
          <w:pgSz w:w="11907" w:h="16839"/>
          <w:pgMar w:top="954" w:right="4" w:bottom="1038" w:left="0" w:header="499" w:footer="357" w:gutter="0"/>
          <w:pgBorders>
            <w:top w:val="none" w:sz="0" w:space="0"/>
            <w:left w:val="none" w:sz="0" w:space="0"/>
            <w:bottom w:val="none" w:sz="0" w:space="0"/>
            <w:right w:val="none" w:sz="0" w:space="0"/>
          </w:pgBorders>
          <w:cols w:space="720" w:num="1"/>
        </w:sectPr>
      </w:pPr>
    </w:p>
    <w:p w14:paraId="27BD9F64">
      <w:pPr>
        <w:spacing w:line="250" w:lineRule="auto"/>
        <w:rPr>
          <w:rFonts w:ascii="Arial"/>
          <w:sz w:val="21"/>
        </w:rPr>
      </w:pPr>
    </w:p>
    <w:p w14:paraId="42AD4216">
      <w:pPr>
        <w:pStyle w:val="2"/>
        <w:spacing w:before="78" w:line="217" w:lineRule="auto"/>
        <w:ind w:left="1458"/>
        <w:rPr>
          <w:sz w:val="24"/>
          <w:szCs w:val="24"/>
        </w:rPr>
      </w:pPr>
      <w:r>
        <w:rPr>
          <w:spacing w:val="-21"/>
          <w:sz w:val="24"/>
          <w:szCs w:val="24"/>
        </w:rPr>
        <w:t>对该段道路进行交通管制，以确保施工安全；</w:t>
      </w:r>
    </w:p>
    <w:p w14:paraId="537FDA73">
      <w:pPr>
        <w:pStyle w:val="2"/>
        <w:spacing w:before="119" w:line="215" w:lineRule="auto"/>
        <w:ind w:left="1890"/>
        <w:rPr>
          <w:sz w:val="24"/>
          <w:szCs w:val="24"/>
        </w:rPr>
      </w:pPr>
      <w:r>
        <w:rPr>
          <w:spacing w:val="-22"/>
          <w:sz w:val="24"/>
          <w:szCs w:val="24"/>
        </w:rPr>
        <w:t>3、冲洗过程中应排人对冲洗管道进行巡视，检查是否存在有阀门未开启或关闭；</w:t>
      </w:r>
    </w:p>
    <w:p w14:paraId="15529E4D">
      <w:pPr>
        <w:pStyle w:val="2"/>
        <w:spacing w:before="118" w:line="262" w:lineRule="auto"/>
        <w:ind w:left="1475" w:right="1411" w:firstLine="409"/>
        <w:rPr>
          <w:sz w:val="24"/>
          <w:szCs w:val="24"/>
        </w:rPr>
      </w:pPr>
      <w:r>
        <w:rPr>
          <w:spacing w:val="-22"/>
          <w:sz w:val="24"/>
          <w:szCs w:val="24"/>
        </w:rPr>
        <w:t>4、第一次冲洗完毕后应尽量将管道中的水排净，为下次灌水浸泡做准备；同时应将撤除的阀门及时恢复，封闭排水口，以免造成第二次污染；</w:t>
      </w:r>
    </w:p>
    <w:p w14:paraId="34109FD0">
      <w:pPr>
        <w:pStyle w:val="2"/>
        <w:spacing w:before="120" w:line="261" w:lineRule="auto"/>
        <w:ind w:left="1453" w:right="1410" w:firstLine="436"/>
        <w:rPr>
          <w:sz w:val="24"/>
          <w:szCs w:val="24"/>
        </w:rPr>
      </w:pPr>
      <w:r>
        <w:rPr>
          <w:spacing w:val="-22"/>
          <w:sz w:val="24"/>
          <w:szCs w:val="24"/>
        </w:rPr>
        <w:t>5、无论是第一冲洗或是第二次冲洗，每次都要对冲洗时间、水量、水质及冲洗效果有文字</w:t>
      </w:r>
      <w:r>
        <w:rPr>
          <w:spacing w:val="-19"/>
          <w:sz w:val="24"/>
          <w:szCs w:val="24"/>
        </w:rPr>
        <w:t>记录和影像资料；</w:t>
      </w:r>
    </w:p>
    <w:p w14:paraId="0C4F9C26">
      <w:pPr>
        <w:pStyle w:val="2"/>
        <w:spacing w:before="120" w:line="216" w:lineRule="auto"/>
        <w:ind w:left="1887"/>
        <w:rPr>
          <w:sz w:val="24"/>
          <w:szCs w:val="24"/>
        </w:rPr>
      </w:pPr>
      <w:r>
        <w:rPr>
          <w:spacing w:val="-21"/>
          <w:sz w:val="24"/>
          <w:szCs w:val="24"/>
        </w:rPr>
        <w:t>6、管网冲洗完毕，能否投入使用，以水质中心的检查的检测报告为准。</w:t>
      </w:r>
    </w:p>
    <w:p w14:paraId="27CB56DE">
      <w:pPr>
        <w:pStyle w:val="2"/>
        <w:spacing w:before="120" w:line="216" w:lineRule="auto"/>
        <w:ind w:left="1893"/>
        <w:rPr>
          <w:sz w:val="24"/>
          <w:szCs w:val="24"/>
        </w:rPr>
      </w:pPr>
      <w:r>
        <w:rPr>
          <w:spacing w:val="-20"/>
          <w:sz w:val="24"/>
          <w:szCs w:val="24"/>
        </w:rPr>
        <w:t>（二）冲洗前的准备工作</w:t>
      </w:r>
    </w:p>
    <w:p w14:paraId="2DE07C71">
      <w:pPr>
        <w:pStyle w:val="2"/>
        <w:spacing w:before="119" w:line="262" w:lineRule="auto"/>
        <w:ind w:left="1459" w:right="1411" w:firstLine="444"/>
        <w:rPr>
          <w:sz w:val="24"/>
          <w:szCs w:val="24"/>
        </w:rPr>
      </w:pPr>
      <w:r>
        <w:rPr>
          <w:spacing w:val="-18"/>
          <w:sz w:val="24"/>
          <w:szCs w:val="24"/>
        </w:rPr>
        <w:t>1、水源的水质符合《地下水质量标准》（GB/T14848</w:t>
      </w:r>
      <w:r>
        <w:rPr>
          <w:spacing w:val="-10"/>
          <w:sz w:val="24"/>
          <w:szCs w:val="24"/>
        </w:rPr>
        <w:t>），</w:t>
      </w:r>
      <w:r>
        <w:rPr>
          <w:spacing w:val="-18"/>
          <w:sz w:val="24"/>
          <w:szCs w:val="24"/>
        </w:rPr>
        <w:t>水量满足设计要求；水处理及消</w:t>
      </w:r>
      <w:r>
        <w:rPr>
          <w:spacing w:val="-21"/>
          <w:sz w:val="24"/>
          <w:szCs w:val="24"/>
        </w:rPr>
        <w:t>毒用的药剂已准备充足；所有的设备已经安装调试</w:t>
      </w:r>
      <w:r>
        <w:rPr>
          <w:spacing w:val="-22"/>
          <w:sz w:val="24"/>
          <w:szCs w:val="24"/>
        </w:rPr>
        <w:t>完毕，可以随时投入使用；</w:t>
      </w:r>
    </w:p>
    <w:p w14:paraId="32589AB4">
      <w:pPr>
        <w:pStyle w:val="2"/>
        <w:spacing w:before="119" w:line="262" w:lineRule="auto"/>
        <w:ind w:left="1458" w:right="1411" w:firstLine="430"/>
        <w:rPr>
          <w:sz w:val="24"/>
          <w:szCs w:val="24"/>
        </w:rPr>
      </w:pPr>
      <w:r>
        <w:rPr>
          <w:spacing w:val="-22"/>
          <w:sz w:val="24"/>
          <w:szCs w:val="24"/>
        </w:rPr>
        <w:t>2、对整个供水管网系统还需要进行一次全面的普查，检查哪些管道没有连接；哪些管道仍</w:t>
      </w:r>
      <w:r>
        <w:rPr>
          <w:spacing w:val="-23"/>
          <w:sz w:val="24"/>
          <w:szCs w:val="24"/>
        </w:rPr>
        <w:t>未安装完毕；现场确定管道冲洗水排放地点；</w:t>
      </w:r>
    </w:p>
    <w:p w14:paraId="0037B0BB">
      <w:pPr>
        <w:pStyle w:val="2"/>
        <w:spacing w:before="119" w:line="217" w:lineRule="auto"/>
        <w:ind w:left="1890"/>
        <w:rPr>
          <w:sz w:val="24"/>
          <w:szCs w:val="24"/>
        </w:rPr>
      </w:pPr>
      <w:r>
        <w:rPr>
          <w:spacing w:val="-20"/>
          <w:sz w:val="24"/>
          <w:szCs w:val="24"/>
        </w:rPr>
        <w:t>3、管道冲洗消毒所需工具、人员安排</w:t>
      </w:r>
    </w:p>
    <w:p w14:paraId="181F6FED">
      <w:pPr>
        <w:pStyle w:val="2"/>
        <w:spacing w:before="120" w:line="307" w:lineRule="auto"/>
        <w:ind w:left="1482" w:right="1409" w:firstLine="416"/>
        <w:rPr>
          <w:sz w:val="24"/>
          <w:szCs w:val="24"/>
        </w:rPr>
      </w:pPr>
      <w:r>
        <w:rPr>
          <w:spacing w:val="-20"/>
          <w:sz w:val="24"/>
          <w:szCs w:val="24"/>
        </w:rPr>
        <w:t>工具包括：配备相应的扳手、管钳、消防扳手、胶垫、螺栓；水泵两台，并配备相应的发</w:t>
      </w:r>
      <w:r>
        <w:rPr>
          <w:spacing w:val="-23"/>
          <w:sz w:val="24"/>
          <w:szCs w:val="24"/>
        </w:rPr>
        <w:t>电机；交通警示牌、红色交通锥形筒等。</w:t>
      </w:r>
    </w:p>
    <w:p w14:paraId="3F6082D4">
      <w:pPr>
        <w:pStyle w:val="2"/>
        <w:spacing w:before="1" w:line="307" w:lineRule="auto"/>
        <w:ind w:left="1457" w:right="1409" w:firstLine="439"/>
        <w:rPr>
          <w:sz w:val="24"/>
          <w:szCs w:val="24"/>
        </w:rPr>
      </w:pPr>
      <w:r>
        <w:rPr>
          <w:spacing w:val="-20"/>
          <w:sz w:val="24"/>
          <w:szCs w:val="24"/>
        </w:rPr>
        <w:t>人员配置：管理组织人员一名；现场技术人员两名；后勤人员一名；驾驶员两名；电工两</w:t>
      </w:r>
      <w:r>
        <w:rPr>
          <w:spacing w:val="-19"/>
          <w:sz w:val="24"/>
          <w:szCs w:val="24"/>
        </w:rPr>
        <w:t>名；管道工八名。</w:t>
      </w:r>
    </w:p>
    <w:p w14:paraId="095D958A">
      <w:pPr>
        <w:pStyle w:val="2"/>
        <w:spacing w:line="217" w:lineRule="auto"/>
        <w:ind w:left="1893"/>
        <w:rPr>
          <w:sz w:val="24"/>
          <w:szCs w:val="24"/>
        </w:rPr>
      </w:pPr>
      <w:r>
        <w:rPr>
          <w:spacing w:val="-20"/>
          <w:sz w:val="24"/>
          <w:szCs w:val="24"/>
        </w:rPr>
        <w:t>（三）管道冲洗消毒水量的计算</w:t>
      </w:r>
    </w:p>
    <w:p w14:paraId="35C04F11">
      <w:pPr>
        <w:pStyle w:val="2"/>
        <w:spacing w:before="117" w:line="308" w:lineRule="auto"/>
        <w:ind w:left="1459" w:right="1409" w:firstLine="435"/>
        <w:jc w:val="both"/>
        <w:rPr>
          <w:sz w:val="24"/>
          <w:szCs w:val="24"/>
        </w:rPr>
      </w:pPr>
      <w:r>
        <w:rPr>
          <w:spacing w:val="-20"/>
          <w:sz w:val="24"/>
          <w:szCs w:val="24"/>
        </w:rPr>
        <w:t>对市政给水管道的冲洗，《给水排水管道工程施工及验收规范》要求管道的冲洗流速不小</w:t>
      </w:r>
      <w:r>
        <w:rPr>
          <w:spacing w:val="-18"/>
          <w:sz w:val="24"/>
          <w:szCs w:val="24"/>
        </w:rPr>
        <w:t>于/s，管道第一次冲洗完毕后，用有效氯离子含量不低于20mg/L的清洁水浸泡24h后，再</w:t>
      </w:r>
      <w:r>
        <w:rPr>
          <w:spacing w:val="-19"/>
          <w:sz w:val="24"/>
          <w:szCs w:val="24"/>
        </w:rPr>
        <w:t>用清</w:t>
      </w:r>
      <w:r>
        <w:rPr>
          <w:spacing w:val="-20"/>
          <w:sz w:val="24"/>
          <w:szCs w:val="24"/>
        </w:rPr>
        <w:t>洁水进行第二次冲洗。</w:t>
      </w:r>
    </w:p>
    <w:p w14:paraId="49F63971">
      <w:pPr>
        <w:pStyle w:val="2"/>
        <w:spacing w:before="1" w:line="217" w:lineRule="auto"/>
        <w:ind w:left="1903"/>
        <w:rPr>
          <w:sz w:val="24"/>
          <w:szCs w:val="24"/>
        </w:rPr>
      </w:pPr>
      <w:r>
        <w:rPr>
          <w:spacing w:val="-20"/>
          <w:sz w:val="24"/>
          <w:szCs w:val="24"/>
        </w:rPr>
        <w:t>1、管道冲洗水量的计算</w:t>
      </w:r>
    </w:p>
    <w:p w14:paraId="4D80A153">
      <w:pPr>
        <w:pStyle w:val="2"/>
        <w:spacing w:before="117" w:line="308" w:lineRule="auto"/>
        <w:ind w:left="1456" w:right="1409" w:firstLine="437"/>
        <w:rPr>
          <w:sz w:val="24"/>
          <w:szCs w:val="24"/>
        </w:rPr>
      </w:pPr>
      <w:r>
        <w:rPr>
          <w:spacing w:val="-20"/>
          <w:sz w:val="24"/>
          <w:szCs w:val="24"/>
        </w:rPr>
        <w:t>根据《水力学》原理，管道冲洗水流运动属有压恒定流自由出流，管道冲洗时进水端接有压水源管道，水流经过冲洗管道后水头损失下降，在管道出水端放水，其出水端流量计算可按管道自由出流公式计算。</w:t>
      </w:r>
    </w:p>
    <w:p w14:paraId="53CB2B9B">
      <w:pPr>
        <w:pStyle w:val="2"/>
        <w:spacing w:line="218" w:lineRule="auto"/>
        <w:ind w:left="1906"/>
        <w:rPr>
          <w:sz w:val="24"/>
          <w:szCs w:val="24"/>
        </w:rPr>
      </w:pPr>
      <w:r>
        <w:rPr>
          <w:spacing w:val="-19"/>
          <w:sz w:val="24"/>
          <w:szCs w:val="24"/>
        </w:rPr>
        <w:t>管道进水端和出水端水压与管道水头损失的关系为：</w:t>
      </w:r>
      <w:r>
        <w:rPr>
          <w:spacing w:val="-20"/>
          <w:sz w:val="24"/>
          <w:szCs w:val="24"/>
        </w:rPr>
        <w:t>H1-H2=H0式中</w:t>
      </w:r>
    </w:p>
    <w:p w14:paraId="466C07DC">
      <w:pPr>
        <w:pStyle w:val="2"/>
        <w:spacing w:before="115" w:line="216" w:lineRule="auto"/>
        <w:ind w:left="1903"/>
        <w:rPr>
          <w:sz w:val="24"/>
          <w:szCs w:val="24"/>
        </w:rPr>
      </w:pPr>
      <w:r>
        <w:rPr>
          <w:spacing w:val="-21"/>
          <w:sz w:val="24"/>
          <w:szCs w:val="24"/>
        </w:rPr>
        <w:t>1、H0分别为管道进口端压力和自由出流的作用水头（m）</w:t>
      </w:r>
    </w:p>
    <w:p w14:paraId="601AAD9F">
      <w:pPr>
        <w:pStyle w:val="2"/>
        <w:spacing w:before="119" w:line="308" w:lineRule="auto"/>
        <w:ind w:left="1456" w:right="1410" w:firstLine="423"/>
        <w:rPr>
          <w:sz w:val="24"/>
          <w:szCs w:val="24"/>
        </w:rPr>
      </w:pPr>
      <w:r>
        <w:rPr>
          <w:spacing w:val="-19"/>
          <w:sz w:val="24"/>
          <w:szCs w:val="24"/>
        </w:rPr>
        <w:t>H2---管道水头损失（m</w:t>
      </w:r>
      <w:r>
        <w:rPr>
          <w:spacing w:val="-17"/>
          <w:sz w:val="24"/>
          <w:szCs w:val="24"/>
        </w:rPr>
        <w:t>）；</w:t>
      </w:r>
      <w:r>
        <w:rPr>
          <w:spacing w:val="-19"/>
          <w:sz w:val="24"/>
          <w:szCs w:val="24"/>
        </w:rPr>
        <w:t>管道的沿程水头损失可根据冲洗管</w:t>
      </w:r>
      <w:r>
        <w:rPr>
          <w:spacing w:val="-20"/>
          <w:sz w:val="24"/>
          <w:szCs w:val="24"/>
        </w:rPr>
        <w:t>道d1的冲洗流速查阅《给水管道水力坡降表》获得，管道的局部水头损失主要是安装在主管上的弯头</w:t>
      </w:r>
      <w:r>
        <w:rPr>
          <w:spacing w:val="-21"/>
          <w:sz w:val="24"/>
          <w:szCs w:val="24"/>
        </w:rPr>
        <w:t>、变径、三通等，按</w:t>
      </w:r>
      <w:r>
        <w:rPr>
          <w:spacing w:val="-15"/>
          <w:sz w:val="24"/>
          <w:szCs w:val="24"/>
        </w:rPr>
        <w:t>沿程水头损失的8-12%计算。</w:t>
      </w:r>
    </w:p>
    <w:p w14:paraId="55BA9B89">
      <w:pPr>
        <w:pStyle w:val="2"/>
        <w:spacing w:before="2" w:line="211" w:lineRule="auto"/>
        <w:ind w:left="1906"/>
        <w:rPr>
          <w:sz w:val="24"/>
          <w:szCs w:val="24"/>
        </w:rPr>
      </w:pPr>
      <w:r>
        <w:rPr>
          <w:spacing w:val="-17"/>
          <w:sz w:val="24"/>
          <w:szCs w:val="24"/>
        </w:rPr>
        <w:t>管道冲洗流量的计算Q=ucA√2gH0=ucπd22/4</w:t>
      </w:r>
      <w:r>
        <w:rPr>
          <w:spacing w:val="-18"/>
          <w:sz w:val="24"/>
          <w:szCs w:val="24"/>
        </w:rPr>
        <w:t>√2gH0</w:t>
      </w:r>
    </w:p>
    <w:p w14:paraId="7BB3A869">
      <w:pPr>
        <w:pStyle w:val="2"/>
        <w:spacing w:before="125" w:line="218" w:lineRule="auto"/>
        <w:ind w:left="1898"/>
        <w:rPr>
          <w:sz w:val="24"/>
          <w:szCs w:val="24"/>
        </w:rPr>
      </w:pPr>
      <w:r>
        <w:rPr>
          <w:spacing w:val="-13"/>
          <w:sz w:val="24"/>
          <w:szCs w:val="24"/>
        </w:rPr>
        <w:t>式中Q------管道流量（m3/s）</w:t>
      </w:r>
    </w:p>
    <w:p w14:paraId="11FE2A37">
      <w:pPr>
        <w:pStyle w:val="2"/>
        <w:spacing w:before="116" w:line="308" w:lineRule="auto"/>
        <w:ind w:left="1463" w:right="1421" w:firstLine="418"/>
        <w:rPr>
          <w:sz w:val="24"/>
          <w:szCs w:val="24"/>
        </w:rPr>
      </w:pPr>
      <w:r>
        <w:rPr>
          <w:spacing w:val="-20"/>
          <w:sz w:val="24"/>
          <w:szCs w:val="24"/>
        </w:rPr>
        <w:t>uc-----管道系统流量系数（自由出流</w:t>
      </w:r>
      <w:r>
        <w:rPr>
          <w:spacing w:val="-31"/>
          <w:w w:val="47"/>
          <w:sz w:val="24"/>
          <w:szCs w:val="24"/>
        </w:rPr>
        <w:t>），</w:t>
      </w:r>
      <w:r>
        <w:rPr>
          <w:spacing w:val="-20"/>
          <w:sz w:val="24"/>
          <w:szCs w:val="24"/>
        </w:rPr>
        <w:t>圆柱形管道取0.82d2-----为排水管口径（m</w:t>
      </w:r>
      <w:r>
        <w:rPr>
          <w:spacing w:val="-21"/>
          <w:sz w:val="24"/>
          <w:szCs w:val="24"/>
        </w:rPr>
        <w:t>）g-----</w:t>
      </w:r>
      <w:r>
        <w:rPr>
          <w:spacing w:val="-18"/>
          <w:sz w:val="24"/>
          <w:szCs w:val="24"/>
        </w:rPr>
        <w:t>重力加速度（m/s2）</w:t>
      </w:r>
    </w:p>
    <w:p w14:paraId="30B6A75B">
      <w:pPr>
        <w:pStyle w:val="2"/>
        <w:spacing w:before="1" w:line="215" w:lineRule="auto"/>
        <w:ind w:left="1880"/>
        <w:rPr>
          <w:sz w:val="24"/>
          <w:szCs w:val="24"/>
        </w:rPr>
      </w:pPr>
      <w:r>
        <w:rPr>
          <w:spacing w:val="-17"/>
          <w:sz w:val="24"/>
          <w:szCs w:val="24"/>
        </w:rPr>
        <w:t>H0-----管道自由出流的作用水头（m）</w:t>
      </w:r>
    </w:p>
    <w:p w14:paraId="62C76251">
      <w:pPr>
        <w:pStyle w:val="2"/>
        <w:spacing w:before="108" w:line="219" w:lineRule="auto"/>
        <w:ind w:left="1889"/>
        <w:rPr>
          <w:sz w:val="24"/>
          <w:szCs w:val="24"/>
        </w:rPr>
      </w:pPr>
      <w:r>
        <w:rPr>
          <w:rFonts w:ascii="Cambria Math" w:hAnsi="Cambria Math" w:eastAsia="Cambria Math" w:cs="Cambria Math"/>
          <w:spacing w:val="-13"/>
          <w:sz w:val="24"/>
          <w:szCs w:val="24"/>
        </w:rPr>
        <w:t>⑬</w:t>
      </w:r>
      <w:r>
        <w:rPr>
          <w:spacing w:val="-13"/>
          <w:sz w:val="24"/>
          <w:szCs w:val="24"/>
        </w:rPr>
        <w:t>管道冲洗水量Qc=Q×T式中Qc------管道冲洗水量（m3）</w:t>
      </w:r>
    </w:p>
    <w:p w14:paraId="7878908B">
      <w:pPr>
        <w:spacing w:line="219" w:lineRule="auto"/>
        <w:rPr>
          <w:sz w:val="24"/>
          <w:szCs w:val="24"/>
        </w:rPr>
        <w:sectPr>
          <w:footerReference r:id="rId221" w:type="default"/>
          <w:pgSz w:w="11907" w:h="16839"/>
          <w:pgMar w:top="954" w:right="4" w:bottom="1038" w:left="0" w:header="499" w:footer="357" w:gutter="0"/>
          <w:pgBorders>
            <w:top w:val="none" w:sz="0" w:space="0"/>
            <w:left w:val="none" w:sz="0" w:space="0"/>
            <w:bottom w:val="none" w:sz="0" w:space="0"/>
            <w:right w:val="none" w:sz="0" w:space="0"/>
          </w:pgBorders>
          <w:cols w:space="720" w:num="1"/>
        </w:sectPr>
      </w:pPr>
    </w:p>
    <w:p w14:paraId="3C62C7AB">
      <w:pPr>
        <w:spacing w:line="249" w:lineRule="auto"/>
        <w:rPr>
          <w:rFonts w:ascii="Arial"/>
          <w:sz w:val="21"/>
        </w:rPr>
      </w:pPr>
    </w:p>
    <w:p w14:paraId="6DEA96BA">
      <w:pPr>
        <w:pStyle w:val="2"/>
        <w:spacing w:before="78" w:line="308" w:lineRule="auto"/>
        <w:ind w:left="1478" w:right="1411" w:firstLine="403"/>
        <w:rPr>
          <w:sz w:val="24"/>
          <w:szCs w:val="24"/>
        </w:rPr>
      </w:pPr>
      <w:r>
        <w:rPr>
          <w:spacing w:val="-20"/>
          <w:sz w:val="24"/>
          <w:szCs w:val="24"/>
        </w:rPr>
        <w:t>T-------管道冲洗时间（S</w:t>
      </w:r>
      <w:r>
        <w:rPr>
          <w:spacing w:val="-9"/>
          <w:sz w:val="24"/>
          <w:szCs w:val="24"/>
        </w:rPr>
        <w:t>），</w:t>
      </w:r>
      <w:r>
        <w:rPr>
          <w:spacing w:val="-20"/>
          <w:sz w:val="24"/>
          <w:szCs w:val="24"/>
        </w:rPr>
        <w:t>由于此次是管道安装完</w:t>
      </w:r>
      <w:r>
        <w:rPr>
          <w:spacing w:val="-21"/>
          <w:sz w:val="24"/>
          <w:szCs w:val="24"/>
        </w:rPr>
        <w:t>毕首次冲洗，根据我们的经验冲洗时</w:t>
      </w:r>
      <w:r>
        <w:rPr>
          <w:spacing w:val="-22"/>
          <w:sz w:val="24"/>
          <w:szCs w:val="24"/>
        </w:rPr>
        <w:t>间作如下安排：</w:t>
      </w:r>
    </w:p>
    <w:p w14:paraId="3350D182">
      <w:pPr>
        <w:pStyle w:val="2"/>
        <w:spacing w:before="2" w:line="307" w:lineRule="auto"/>
        <w:ind w:left="1459" w:right="1437" w:firstLine="436"/>
        <w:rPr>
          <w:sz w:val="24"/>
          <w:szCs w:val="24"/>
        </w:rPr>
      </w:pPr>
      <w:r>
        <w:rPr>
          <w:spacing w:val="-16"/>
          <w:sz w:val="24"/>
          <w:szCs w:val="24"/>
        </w:rPr>
        <w:t>冲洗管道口径为DN100，冲洗时间为3600S；冲洗管道口径为DN300，冲洗时间为7200S；</w:t>
      </w:r>
      <w:r>
        <w:rPr>
          <w:spacing w:val="-14"/>
          <w:sz w:val="24"/>
          <w:szCs w:val="24"/>
        </w:rPr>
        <w:t>冲洗管道口径为DN600，冲洗时间为9000S；冲洗管道口径为DN1000</w:t>
      </w:r>
      <w:r>
        <w:rPr>
          <w:spacing w:val="-15"/>
          <w:sz w:val="24"/>
          <w:szCs w:val="24"/>
        </w:rPr>
        <w:t>，冲洗时间为210min；冲</w:t>
      </w:r>
      <w:r>
        <w:rPr>
          <w:spacing w:val="-12"/>
          <w:sz w:val="24"/>
          <w:szCs w:val="24"/>
        </w:rPr>
        <w:t>洗管道口径为DN1200，冲洗时间为240min；冲洗管道口径为DN140</w:t>
      </w:r>
      <w:r>
        <w:rPr>
          <w:spacing w:val="-13"/>
          <w:sz w:val="24"/>
          <w:szCs w:val="24"/>
        </w:rPr>
        <w:t>0，冲洗时间为270min；</w:t>
      </w:r>
    </w:p>
    <w:p w14:paraId="2E81D12E">
      <w:pPr>
        <w:pStyle w:val="2"/>
        <w:spacing w:line="217" w:lineRule="auto"/>
        <w:ind w:left="1888"/>
        <w:rPr>
          <w:sz w:val="24"/>
          <w:szCs w:val="24"/>
        </w:rPr>
      </w:pPr>
      <w:r>
        <w:rPr>
          <w:spacing w:val="-18"/>
          <w:sz w:val="24"/>
          <w:szCs w:val="24"/>
        </w:rPr>
        <w:t>2、管道消毒水量计算</w:t>
      </w:r>
    </w:p>
    <w:p w14:paraId="4EDB3A22">
      <w:pPr>
        <w:pStyle w:val="2"/>
        <w:spacing w:before="118" w:line="217" w:lineRule="auto"/>
        <w:ind w:left="1906"/>
        <w:rPr>
          <w:sz w:val="24"/>
          <w:szCs w:val="24"/>
        </w:rPr>
      </w:pPr>
      <w:r>
        <w:rPr>
          <w:spacing w:val="-15"/>
          <w:sz w:val="24"/>
          <w:szCs w:val="24"/>
        </w:rPr>
        <w:t>管道内的水量Qx=πd12/4×L式中:Qc----管道消毒水量（m3）</w:t>
      </w:r>
    </w:p>
    <w:p w14:paraId="559FFC37">
      <w:pPr>
        <w:pStyle w:val="2"/>
        <w:spacing w:before="118" w:line="218" w:lineRule="auto"/>
        <w:ind w:left="1890"/>
        <w:rPr>
          <w:sz w:val="24"/>
          <w:szCs w:val="24"/>
        </w:rPr>
      </w:pPr>
      <w:r>
        <w:rPr>
          <w:spacing w:val="-17"/>
          <w:sz w:val="24"/>
          <w:szCs w:val="24"/>
        </w:rPr>
        <w:t>d1——管道内径(m)；L——管道长度(</w:t>
      </w:r>
      <w:r>
        <w:rPr>
          <w:spacing w:val="-18"/>
          <w:sz w:val="24"/>
          <w:szCs w:val="24"/>
        </w:rPr>
        <w:t>m)</w:t>
      </w:r>
    </w:p>
    <w:p w14:paraId="1918500B">
      <w:pPr>
        <w:pStyle w:val="2"/>
        <w:spacing w:before="116" w:line="217" w:lineRule="auto"/>
        <w:ind w:left="1893"/>
        <w:rPr>
          <w:sz w:val="24"/>
          <w:szCs w:val="24"/>
        </w:rPr>
      </w:pPr>
      <w:r>
        <w:rPr>
          <w:spacing w:val="-22"/>
          <w:sz w:val="24"/>
          <w:szCs w:val="24"/>
        </w:rPr>
        <w:t>按照不同管径统计管道的长度，代入公式便可计算出用水量。</w:t>
      </w:r>
    </w:p>
    <w:p w14:paraId="1CD3AF1A">
      <w:pPr>
        <w:pStyle w:val="2"/>
        <w:spacing w:before="118" w:line="218" w:lineRule="auto"/>
        <w:ind w:left="1893"/>
        <w:rPr>
          <w:sz w:val="24"/>
          <w:szCs w:val="24"/>
        </w:rPr>
      </w:pPr>
      <w:r>
        <w:rPr>
          <w:spacing w:val="-20"/>
          <w:sz w:val="24"/>
          <w:szCs w:val="24"/>
        </w:rPr>
        <w:t>（四）管道冲洗实施方案</w:t>
      </w:r>
    </w:p>
    <w:p w14:paraId="0DA1644E">
      <w:pPr>
        <w:pStyle w:val="2"/>
        <w:spacing w:before="118" w:line="218" w:lineRule="auto"/>
        <w:ind w:left="1906"/>
        <w:rPr>
          <w:sz w:val="24"/>
          <w:szCs w:val="24"/>
        </w:rPr>
      </w:pPr>
      <w:r>
        <w:rPr>
          <w:spacing w:val="-23"/>
          <w:sz w:val="24"/>
          <w:szCs w:val="24"/>
        </w:rPr>
        <w:t>管道冲洗的基本原则是逐条道路，由近（靠近水厂）至远冲洗；</w:t>
      </w:r>
    </w:p>
    <w:p w14:paraId="559FAA6D">
      <w:pPr>
        <w:pStyle w:val="2"/>
        <w:spacing w:before="114" w:line="217" w:lineRule="auto"/>
        <w:ind w:left="1901"/>
        <w:rPr>
          <w:sz w:val="24"/>
          <w:szCs w:val="24"/>
        </w:rPr>
      </w:pPr>
      <w:r>
        <w:rPr>
          <w:spacing w:val="-18"/>
          <w:sz w:val="24"/>
          <w:szCs w:val="24"/>
        </w:rPr>
        <w:t>为保证有足够的冲洗水量，对DN300—DN400管线的冲洗，每次只安排一个</w:t>
      </w:r>
      <w:r>
        <w:rPr>
          <w:spacing w:val="-19"/>
          <w:sz w:val="24"/>
          <w:szCs w:val="24"/>
        </w:rPr>
        <w:t>班组进行；</w:t>
      </w:r>
    </w:p>
    <w:p w14:paraId="3C5DC7EA">
      <w:pPr>
        <w:pStyle w:val="2"/>
        <w:spacing w:before="118" w:line="308" w:lineRule="auto"/>
        <w:ind w:left="1462" w:right="1409" w:firstLine="461"/>
        <w:jc w:val="both"/>
        <w:rPr>
          <w:sz w:val="24"/>
          <w:szCs w:val="24"/>
        </w:rPr>
      </w:pPr>
      <w:r>
        <w:rPr>
          <w:spacing w:val="-20"/>
          <w:sz w:val="24"/>
          <w:szCs w:val="24"/>
        </w:rPr>
        <w:t>由于管道冲洗流速较高，水头损失较大，因此为保证管道末</w:t>
      </w:r>
      <w:r>
        <w:rPr>
          <w:spacing w:val="-21"/>
          <w:sz w:val="24"/>
          <w:szCs w:val="24"/>
        </w:rPr>
        <w:t>端有足够的自由水头，每次冲</w:t>
      </w:r>
      <w:r>
        <w:rPr>
          <w:spacing w:val="-22"/>
          <w:sz w:val="24"/>
          <w:szCs w:val="24"/>
        </w:rPr>
        <w:t>洗长度不宜超过1500米，有些道路管线较长，可分段冲洗；同时输水管道的管径必须大于冲洗</w:t>
      </w:r>
      <w:r>
        <w:rPr>
          <w:spacing w:val="-19"/>
          <w:sz w:val="24"/>
          <w:szCs w:val="24"/>
        </w:rPr>
        <w:t>管道的管径。</w:t>
      </w:r>
    </w:p>
    <w:p w14:paraId="2ECE7DA2">
      <w:pPr>
        <w:pStyle w:val="2"/>
        <w:spacing w:before="1" w:line="215" w:lineRule="auto"/>
        <w:ind w:left="1906"/>
        <w:rPr>
          <w:sz w:val="24"/>
          <w:szCs w:val="24"/>
        </w:rPr>
      </w:pPr>
      <w:r>
        <w:rPr>
          <w:spacing w:val="-22"/>
          <w:sz w:val="24"/>
          <w:szCs w:val="24"/>
        </w:rPr>
        <w:t>管道开始冲洗和冲洗结束，应随时与泵房保持联系，通报最新情况，以便泵房的调节。</w:t>
      </w:r>
    </w:p>
    <w:p w14:paraId="63C143DE">
      <w:pPr>
        <w:pStyle w:val="2"/>
        <w:spacing w:before="121" w:line="217" w:lineRule="auto"/>
        <w:ind w:left="1893"/>
        <w:rPr>
          <w:sz w:val="24"/>
          <w:szCs w:val="24"/>
        </w:rPr>
      </w:pPr>
      <w:r>
        <w:rPr>
          <w:spacing w:val="-19"/>
          <w:sz w:val="24"/>
          <w:szCs w:val="24"/>
        </w:rPr>
        <w:t>（五）管道浸泡消毒</w:t>
      </w:r>
    </w:p>
    <w:p w14:paraId="4B125543">
      <w:pPr>
        <w:pStyle w:val="2"/>
        <w:spacing w:before="116" w:line="306" w:lineRule="auto"/>
        <w:ind w:left="1451" w:right="1411" w:firstLine="454"/>
        <w:rPr>
          <w:sz w:val="24"/>
          <w:szCs w:val="24"/>
        </w:rPr>
      </w:pPr>
      <w:r>
        <w:rPr>
          <w:spacing w:val="-8"/>
          <w:sz w:val="24"/>
          <w:szCs w:val="24"/>
        </w:rPr>
        <w:t>管道冲洗完毕后，应用含氯清洁水对管道进行浸泡。根据规范要求有效氯浓度不</w:t>
      </w:r>
      <w:r>
        <w:rPr>
          <w:spacing w:val="-9"/>
          <w:sz w:val="24"/>
          <w:szCs w:val="24"/>
        </w:rPr>
        <w:t>低于</w:t>
      </w:r>
      <w:r>
        <w:rPr>
          <w:spacing w:val="-14"/>
          <w:sz w:val="24"/>
          <w:szCs w:val="24"/>
        </w:rPr>
        <w:t>20mg/L，对管道浸泡24h，然后再冲洗。</w:t>
      </w:r>
    </w:p>
    <w:p w14:paraId="48C68ACF">
      <w:pPr>
        <w:pStyle w:val="2"/>
        <w:spacing w:before="5" w:line="308" w:lineRule="auto"/>
        <w:ind w:left="1462" w:right="1335" w:firstLine="433"/>
        <w:jc w:val="both"/>
        <w:rPr>
          <w:sz w:val="24"/>
          <w:szCs w:val="24"/>
        </w:rPr>
      </w:pPr>
      <w:r>
        <w:rPr>
          <w:spacing w:val="-25"/>
          <w:sz w:val="24"/>
          <w:szCs w:val="24"/>
        </w:rPr>
        <w:t>冲洗完毕后用便携式浊度仪检测冲洗水浊度，小于1NTU为合格，</w:t>
      </w:r>
      <w:r>
        <w:rPr>
          <w:spacing w:val="-26"/>
          <w:sz w:val="24"/>
          <w:szCs w:val="24"/>
        </w:rPr>
        <w:t>如不符合要求，继续冲洗。</w:t>
      </w:r>
      <w:r>
        <w:rPr>
          <w:spacing w:val="-22"/>
          <w:sz w:val="24"/>
          <w:szCs w:val="24"/>
        </w:rPr>
        <w:t>同时抽取不少于10mL各排放点的水样送公司水质检测中心化验，根据化验结果确定管道是否冲</w:t>
      </w:r>
      <w:r>
        <w:rPr>
          <w:spacing w:val="-17"/>
          <w:sz w:val="24"/>
          <w:szCs w:val="24"/>
        </w:rPr>
        <w:t>洗合格。</w:t>
      </w:r>
    </w:p>
    <w:p w14:paraId="657C3930">
      <w:pPr>
        <w:pStyle w:val="2"/>
        <w:spacing w:before="1" w:line="217" w:lineRule="auto"/>
        <w:ind w:left="1893"/>
        <w:rPr>
          <w:sz w:val="24"/>
          <w:szCs w:val="24"/>
        </w:rPr>
      </w:pPr>
      <w:r>
        <w:rPr>
          <w:spacing w:val="-21"/>
          <w:sz w:val="24"/>
          <w:szCs w:val="24"/>
        </w:rPr>
        <w:t>（六）供水管道冲洗消毒应注意事项</w:t>
      </w:r>
    </w:p>
    <w:p w14:paraId="6708CAE4">
      <w:pPr>
        <w:pStyle w:val="2"/>
        <w:spacing w:before="116" w:line="263" w:lineRule="auto"/>
        <w:ind w:left="1462" w:right="1412" w:firstLine="441"/>
        <w:rPr>
          <w:sz w:val="24"/>
          <w:szCs w:val="24"/>
        </w:rPr>
      </w:pPr>
      <w:r>
        <w:rPr>
          <w:spacing w:val="-22"/>
          <w:sz w:val="24"/>
          <w:szCs w:val="24"/>
        </w:rPr>
        <w:t>1、管道在冲洗工程中，由于水量变化较大、应用对讲</w:t>
      </w:r>
      <w:r>
        <w:rPr>
          <w:spacing w:val="-23"/>
          <w:sz w:val="24"/>
          <w:szCs w:val="24"/>
        </w:rPr>
        <w:t>机随时与现场保持联系，了解管道冲</w:t>
      </w:r>
      <w:r>
        <w:rPr>
          <w:spacing w:val="-21"/>
          <w:sz w:val="24"/>
          <w:szCs w:val="24"/>
        </w:rPr>
        <w:t>洗情况，以便于及时加泵和减泵；</w:t>
      </w:r>
    </w:p>
    <w:p w14:paraId="10056D9A">
      <w:pPr>
        <w:pStyle w:val="2"/>
        <w:spacing w:before="116" w:line="262" w:lineRule="auto"/>
        <w:ind w:left="1458" w:right="1354" w:firstLine="430"/>
        <w:rPr>
          <w:sz w:val="24"/>
          <w:szCs w:val="24"/>
        </w:rPr>
      </w:pPr>
      <w:r>
        <w:rPr>
          <w:spacing w:val="-26"/>
          <w:sz w:val="24"/>
          <w:szCs w:val="24"/>
        </w:rPr>
        <w:t>2、每次冲洗前，对排放点用警示带和红色交通锥形筒围起来，并在其前后摆放交通警示牌，</w:t>
      </w:r>
      <w:r>
        <w:rPr>
          <w:spacing w:val="-21"/>
          <w:sz w:val="24"/>
          <w:szCs w:val="24"/>
        </w:rPr>
        <w:t>对该段道路进行交通管制，以确保施工安全；</w:t>
      </w:r>
    </w:p>
    <w:p w14:paraId="1A1DDD07">
      <w:pPr>
        <w:pStyle w:val="2"/>
        <w:spacing w:before="119" w:line="215" w:lineRule="auto"/>
        <w:ind w:left="1890"/>
        <w:rPr>
          <w:sz w:val="24"/>
          <w:szCs w:val="24"/>
        </w:rPr>
      </w:pPr>
      <w:r>
        <w:rPr>
          <w:spacing w:val="-21"/>
          <w:sz w:val="24"/>
          <w:szCs w:val="24"/>
        </w:rPr>
        <w:t>3、冲洗过程中应排人对冲洗管道进行巡视，检查是否存在有阀门未开启或关闭；</w:t>
      </w:r>
    </w:p>
    <w:p w14:paraId="31C67A34">
      <w:pPr>
        <w:pStyle w:val="2"/>
        <w:spacing w:before="123" w:line="261" w:lineRule="auto"/>
        <w:ind w:left="1475" w:right="1412" w:firstLine="409"/>
        <w:rPr>
          <w:sz w:val="24"/>
          <w:szCs w:val="24"/>
        </w:rPr>
      </w:pPr>
      <w:r>
        <w:rPr>
          <w:spacing w:val="-22"/>
          <w:sz w:val="24"/>
          <w:szCs w:val="24"/>
        </w:rPr>
        <w:t>4、第一次冲洗完毕后应尽量将管道中的水排净，为下次灌水浸泡做准备；同时应将撤除的</w:t>
      </w:r>
      <w:r>
        <w:rPr>
          <w:spacing w:val="-23"/>
          <w:sz w:val="24"/>
          <w:szCs w:val="24"/>
        </w:rPr>
        <w:t>阀门及时恢复，封闭排水口，以免造成第二次污染；</w:t>
      </w:r>
    </w:p>
    <w:p w14:paraId="1EED9247">
      <w:pPr>
        <w:pStyle w:val="2"/>
        <w:spacing w:before="120" w:line="262" w:lineRule="auto"/>
        <w:ind w:left="1453" w:right="1409" w:firstLine="436"/>
        <w:rPr>
          <w:sz w:val="24"/>
          <w:szCs w:val="24"/>
        </w:rPr>
      </w:pPr>
      <w:r>
        <w:rPr>
          <w:spacing w:val="-22"/>
          <w:sz w:val="24"/>
          <w:szCs w:val="24"/>
        </w:rPr>
        <w:t>5、无论是第一冲洗或是第二次冲洗，每次都要对冲洗时间、水量、水质及冲洗效果有文字</w:t>
      </w:r>
      <w:r>
        <w:rPr>
          <w:spacing w:val="-19"/>
          <w:sz w:val="24"/>
          <w:szCs w:val="24"/>
        </w:rPr>
        <w:t>记录和影像资料；</w:t>
      </w:r>
    </w:p>
    <w:p w14:paraId="71463A14">
      <w:pPr>
        <w:pStyle w:val="2"/>
        <w:spacing w:before="118" w:line="216" w:lineRule="auto"/>
        <w:ind w:left="1887"/>
        <w:rPr>
          <w:sz w:val="24"/>
          <w:szCs w:val="24"/>
        </w:rPr>
      </w:pPr>
      <w:r>
        <w:rPr>
          <w:spacing w:val="-21"/>
          <w:sz w:val="24"/>
          <w:szCs w:val="24"/>
        </w:rPr>
        <w:t>6、管网冲洗完毕，能否投入使用，以水质中心的检查的检测报告为准。</w:t>
      </w:r>
    </w:p>
    <w:p w14:paraId="2F10172A">
      <w:pPr>
        <w:pStyle w:val="2"/>
        <w:spacing w:before="69" w:line="217" w:lineRule="auto"/>
        <w:ind w:left="4310"/>
        <w:outlineLvl w:val="1"/>
        <w:rPr>
          <w:sz w:val="30"/>
          <w:szCs w:val="30"/>
        </w:rPr>
      </w:pPr>
      <w:bookmarkStart w:id="155" w:name="bookmark148"/>
      <w:bookmarkEnd w:id="155"/>
      <w:r>
        <w:rPr>
          <w:b/>
          <w:bCs/>
          <w:color w:val="0070C0"/>
          <w:spacing w:val="-24"/>
          <w:sz w:val="30"/>
          <w:szCs w:val="30"/>
        </w:rPr>
        <w:t>第八节、质量通病防治措施</w:t>
      </w:r>
    </w:p>
    <w:p w14:paraId="0794AB51">
      <w:pPr>
        <w:pStyle w:val="2"/>
        <w:spacing w:before="64" w:line="216" w:lineRule="auto"/>
        <w:ind w:left="1981"/>
        <w:outlineLvl w:val="2"/>
        <w:rPr>
          <w:sz w:val="28"/>
          <w:szCs w:val="28"/>
        </w:rPr>
      </w:pPr>
      <w:bookmarkStart w:id="156" w:name="bookmark149"/>
      <w:bookmarkEnd w:id="156"/>
      <w:r>
        <w:rPr>
          <w:b/>
          <w:bCs/>
          <w:spacing w:val="-23"/>
          <w:sz w:val="28"/>
          <w:szCs w:val="28"/>
        </w:rPr>
        <w:t>一、路基恢复的质量通病与防治措施</w:t>
      </w:r>
    </w:p>
    <w:p w14:paraId="5F90E63B">
      <w:pPr>
        <w:pStyle w:val="2"/>
        <w:spacing w:before="105" w:line="220" w:lineRule="auto"/>
        <w:ind w:left="1893"/>
        <w:rPr>
          <w:sz w:val="24"/>
          <w:szCs w:val="24"/>
        </w:rPr>
      </w:pPr>
      <w:r>
        <w:rPr>
          <w:spacing w:val="-19"/>
          <w:sz w:val="24"/>
          <w:szCs w:val="24"/>
        </w:rPr>
        <w:t>（一）、纵向裂缝</w:t>
      </w:r>
    </w:p>
    <w:p w14:paraId="7F4478D6">
      <w:pPr>
        <w:spacing w:line="220" w:lineRule="auto"/>
        <w:rPr>
          <w:sz w:val="24"/>
          <w:szCs w:val="24"/>
        </w:rPr>
        <w:sectPr>
          <w:footerReference r:id="rId222" w:type="default"/>
          <w:pgSz w:w="11907" w:h="16839"/>
          <w:pgMar w:top="954" w:right="4" w:bottom="1038" w:left="0" w:header="499" w:footer="357" w:gutter="0"/>
          <w:pgBorders>
            <w:top w:val="none" w:sz="0" w:space="0"/>
            <w:left w:val="none" w:sz="0" w:space="0"/>
            <w:bottom w:val="none" w:sz="0" w:space="0"/>
            <w:right w:val="none" w:sz="0" w:space="0"/>
          </w:pgBorders>
          <w:cols w:space="720" w:num="1"/>
        </w:sectPr>
      </w:pPr>
    </w:p>
    <w:p w14:paraId="4B308920">
      <w:pPr>
        <w:spacing w:line="249" w:lineRule="auto"/>
        <w:rPr>
          <w:rFonts w:ascii="Arial"/>
          <w:sz w:val="21"/>
        </w:rPr>
      </w:pPr>
    </w:p>
    <w:p w14:paraId="4FEE8E06">
      <w:pPr>
        <w:pStyle w:val="2"/>
        <w:spacing w:before="78" w:line="308" w:lineRule="auto"/>
        <w:ind w:left="1456" w:right="1354" w:firstLine="447"/>
        <w:rPr>
          <w:sz w:val="24"/>
          <w:szCs w:val="24"/>
        </w:rPr>
      </w:pPr>
      <w:r>
        <w:rPr>
          <w:spacing w:val="-26"/>
          <w:sz w:val="24"/>
          <w:szCs w:val="24"/>
        </w:rPr>
        <w:t>1、现象：路面出现纵向裂缝，严重时裂缝变宽，裂缝向土路肩边缘</w:t>
      </w:r>
      <w:r>
        <w:rPr>
          <w:spacing w:val="-27"/>
          <w:sz w:val="24"/>
          <w:szCs w:val="24"/>
        </w:rPr>
        <w:t>伸展，裂缝处呈现错台，</w:t>
      </w:r>
      <w:r>
        <w:rPr>
          <w:spacing w:val="-22"/>
          <w:sz w:val="24"/>
          <w:szCs w:val="24"/>
        </w:rPr>
        <w:t>形成滑裂面。土路基表观不密实。</w:t>
      </w:r>
    </w:p>
    <w:p w14:paraId="53D8FCC6">
      <w:pPr>
        <w:pStyle w:val="2"/>
        <w:spacing w:before="1" w:line="218" w:lineRule="auto"/>
        <w:ind w:left="1888"/>
        <w:rPr>
          <w:sz w:val="24"/>
          <w:szCs w:val="24"/>
        </w:rPr>
      </w:pPr>
      <w:r>
        <w:rPr>
          <w:spacing w:val="-16"/>
          <w:sz w:val="24"/>
          <w:szCs w:val="24"/>
        </w:rPr>
        <w:t>2、形成原因：</w:t>
      </w:r>
    </w:p>
    <w:p w14:paraId="7A93F928">
      <w:pPr>
        <w:pStyle w:val="2"/>
        <w:spacing w:before="116" w:line="217" w:lineRule="auto"/>
        <w:ind w:left="1885"/>
        <w:rPr>
          <w:sz w:val="24"/>
          <w:szCs w:val="24"/>
        </w:rPr>
      </w:pPr>
      <w:r>
        <w:rPr>
          <w:spacing w:val="-21"/>
          <w:sz w:val="24"/>
          <w:szCs w:val="24"/>
        </w:rPr>
        <w:t>①施工中不注意路基排水，遇雨浸泡路基，后续施工中又未能及时复压。</w:t>
      </w:r>
    </w:p>
    <w:p w14:paraId="4CFFA4D5">
      <w:pPr>
        <w:pStyle w:val="2"/>
        <w:spacing w:before="118" w:line="217" w:lineRule="auto"/>
        <w:ind w:left="1884"/>
        <w:rPr>
          <w:sz w:val="24"/>
          <w:szCs w:val="24"/>
        </w:rPr>
      </w:pPr>
      <w:r>
        <w:rPr>
          <w:spacing w:val="-20"/>
          <w:sz w:val="24"/>
          <w:szCs w:val="24"/>
        </w:rPr>
        <w:t>②靠近管道一侧回填不密实。</w:t>
      </w:r>
    </w:p>
    <w:p w14:paraId="7A76878E">
      <w:pPr>
        <w:pStyle w:val="2"/>
        <w:spacing w:before="116" w:line="218" w:lineRule="auto"/>
        <w:ind w:left="1890"/>
        <w:rPr>
          <w:sz w:val="24"/>
          <w:szCs w:val="24"/>
        </w:rPr>
      </w:pPr>
      <w:r>
        <w:rPr>
          <w:spacing w:val="-16"/>
          <w:sz w:val="24"/>
          <w:szCs w:val="24"/>
        </w:rPr>
        <w:t>3、防治措施：</w:t>
      </w:r>
    </w:p>
    <w:p w14:paraId="31E5768E">
      <w:pPr>
        <w:pStyle w:val="2"/>
        <w:spacing w:before="118" w:line="277" w:lineRule="auto"/>
        <w:ind w:left="1457" w:right="1409" w:firstLine="435"/>
        <w:rPr>
          <w:sz w:val="24"/>
          <w:szCs w:val="24"/>
        </w:rPr>
      </w:pPr>
      <w:r>
        <w:rPr>
          <w:spacing w:val="-22"/>
          <w:sz w:val="24"/>
          <w:szCs w:val="24"/>
        </w:rPr>
        <w:t>（1）填筑路基前，首先，必须疏通路基两侧纵横向排水系统，避免路基</w:t>
      </w:r>
      <w:r>
        <w:rPr>
          <w:spacing w:val="-23"/>
          <w:sz w:val="24"/>
          <w:szCs w:val="24"/>
        </w:rPr>
        <w:t>受水浸泡。特别是</w:t>
      </w:r>
      <w:r>
        <w:rPr>
          <w:spacing w:val="-19"/>
          <w:sz w:val="24"/>
          <w:szCs w:val="24"/>
        </w:rPr>
        <w:t>地基土为黄土、粘土等细粒土，在干燥状态下(最佳含水量)结构比较强，有</w:t>
      </w:r>
      <w:r>
        <w:rPr>
          <w:spacing w:val="-20"/>
          <w:sz w:val="24"/>
          <w:szCs w:val="24"/>
        </w:rPr>
        <w:t>较强承载能力，一</w:t>
      </w:r>
      <w:r>
        <w:rPr>
          <w:spacing w:val="-21"/>
          <w:sz w:val="24"/>
          <w:szCs w:val="24"/>
        </w:rPr>
        <w:t>旦受水浸泡，将易形成翻浆或路基沉降，因此做好路基施</w:t>
      </w:r>
      <w:r>
        <w:rPr>
          <w:spacing w:val="-22"/>
          <w:sz w:val="24"/>
          <w:szCs w:val="24"/>
        </w:rPr>
        <w:t>工前排水畅通尤为重要。</w:t>
      </w:r>
    </w:p>
    <w:p w14:paraId="7F4A583A">
      <w:pPr>
        <w:pStyle w:val="2"/>
        <w:spacing w:before="117" w:line="278" w:lineRule="auto"/>
        <w:ind w:left="1453" w:right="1410" w:firstLine="439"/>
        <w:rPr>
          <w:sz w:val="24"/>
          <w:szCs w:val="24"/>
        </w:rPr>
      </w:pPr>
      <w:r>
        <w:rPr>
          <w:spacing w:val="-22"/>
          <w:sz w:val="24"/>
          <w:szCs w:val="24"/>
        </w:rPr>
        <w:t>（2）路基旋工必须分层填筑，分层碾压，严禁路改工程中滚填，一般路段压实度不</w:t>
      </w:r>
      <w:r>
        <w:rPr>
          <w:spacing w:val="-23"/>
          <w:sz w:val="24"/>
          <w:szCs w:val="24"/>
        </w:rPr>
        <w:t>得大于</w:t>
      </w:r>
      <w:r>
        <w:rPr>
          <w:spacing w:val="-19"/>
          <w:sz w:val="24"/>
          <w:szCs w:val="24"/>
        </w:rPr>
        <w:t>30cm，构造物两侧(桥涵头处理)松铺厚度不得大于20cm。不同性质的土不能</w:t>
      </w:r>
      <w:r>
        <w:rPr>
          <w:spacing w:val="-20"/>
          <w:sz w:val="24"/>
          <w:szCs w:val="24"/>
        </w:rPr>
        <w:t>混填，同一种土填</w:t>
      </w:r>
      <w:r>
        <w:rPr>
          <w:spacing w:val="-14"/>
          <w:sz w:val="24"/>
          <w:szCs w:val="24"/>
        </w:rPr>
        <w:t>筑厚度不能小于50cm(两层)。</w:t>
      </w:r>
    </w:p>
    <w:p w14:paraId="0F7D7412">
      <w:pPr>
        <w:pStyle w:val="2"/>
        <w:spacing w:before="119" w:line="279" w:lineRule="auto"/>
        <w:ind w:left="1457" w:right="1412" w:firstLine="435"/>
        <w:rPr>
          <w:sz w:val="24"/>
          <w:szCs w:val="24"/>
        </w:rPr>
      </w:pPr>
      <w:r>
        <w:rPr>
          <w:spacing w:val="-22"/>
          <w:sz w:val="24"/>
          <w:szCs w:val="24"/>
        </w:rPr>
        <w:t>（3）路基施工中，按照设计要求首先做好排水工程以及施工场地附近的临时</w:t>
      </w:r>
      <w:r>
        <w:rPr>
          <w:spacing w:val="-23"/>
          <w:sz w:val="24"/>
          <w:szCs w:val="24"/>
        </w:rPr>
        <w:t>排水设施，以</w:t>
      </w:r>
      <w:r>
        <w:rPr>
          <w:spacing w:val="-22"/>
          <w:sz w:val="24"/>
          <w:szCs w:val="24"/>
        </w:rPr>
        <w:t>保持路基能经常处于干燥、坚固和稳定状态。路基顶面做成2％-4％横坡，以便于表面水及时排</w:t>
      </w:r>
      <w:r>
        <w:rPr>
          <w:spacing w:val="-18"/>
          <w:sz w:val="24"/>
          <w:szCs w:val="24"/>
        </w:rPr>
        <w:t>出。</w:t>
      </w:r>
    </w:p>
    <w:p w14:paraId="3F74EA88">
      <w:pPr>
        <w:pStyle w:val="2"/>
        <w:spacing w:before="111" w:line="219" w:lineRule="auto"/>
        <w:ind w:left="1893"/>
        <w:rPr>
          <w:sz w:val="24"/>
          <w:szCs w:val="24"/>
        </w:rPr>
      </w:pPr>
      <w:r>
        <w:rPr>
          <w:spacing w:val="-19"/>
          <w:sz w:val="24"/>
          <w:szCs w:val="24"/>
        </w:rPr>
        <w:t>（二）、超厚回填</w:t>
      </w:r>
    </w:p>
    <w:p w14:paraId="50F78B1D">
      <w:pPr>
        <w:pStyle w:val="2"/>
        <w:spacing w:before="116" w:line="262" w:lineRule="auto"/>
        <w:ind w:left="1455" w:right="1411" w:firstLine="447"/>
        <w:rPr>
          <w:sz w:val="24"/>
          <w:szCs w:val="24"/>
        </w:rPr>
      </w:pPr>
      <w:r>
        <w:rPr>
          <w:spacing w:val="-22"/>
          <w:sz w:val="24"/>
          <w:szCs w:val="24"/>
        </w:rPr>
        <w:t>1、现象：一种是路基填方，一种是沟槽回填土，不按规</w:t>
      </w:r>
      <w:r>
        <w:rPr>
          <w:spacing w:val="-23"/>
          <w:sz w:val="24"/>
          <w:szCs w:val="24"/>
        </w:rPr>
        <w:t>定的虚铺厚度回填。严重者，用挖</w:t>
      </w:r>
      <w:r>
        <w:rPr>
          <w:spacing w:val="-20"/>
          <w:sz w:val="24"/>
          <w:szCs w:val="24"/>
        </w:rPr>
        <w:t>掘机一次将沟槽填平。</w:t>
      </w:r>
    </w:p>
    <w:p w14:paraId="29B40DD3">
      <w:pPr>
        <w:pStyle w:val="2"/>
        <w:spacing w:before="119" w:line="277" w:lineRule="auto"/>
        <w:ind w:left="1456" w:right="1412" w:firstLine="432"/>
        <w:rPr>
          <w:sz w:val="24"/>
          <w:szCs w:val="24"/>
        </w:rPr>
      </w:pPr>
      <w:r>
        <w:rPr>
          <w:spacing w:val="-22"/>
          <w:sz w:val="24"/>
          <w:szCs w:val="24"/>
        </w:rPr>
        <w:t>2、危害：不能将所铺层厚内的松土全部达到要求的密实度。如是道路，将造成路基和路面</w:t>
      </w:r>
      <w:r>
        <w:rPr>
          <w:spacing w:val="-20"/>
          <w:sz w:val="24"/>
          <w:szCs w:val="24"/>
        </w:rPr>
        <w:t>结构沉陷，如果是管道，其胸腔部位便达不到要求的密实度，使胸腔部位的土压力小于管顶土</w:t>
      </w:r>
      <w:r>
        <w:rPr>
          <w:spacing w:val="-21"/>
          <w:sz w:val="24"/>
          <w:szCs w:val="24"/>
        </w:rPr>
        <w:t>压力小于管顶土压力和地面荷载，可能造成管体破裂。</w:t>
      </w:r>
    </w:p>
    <w:p w14:paraId="1B1C6536">
      <w:pPr>
        <w:pStyle w:val="2"/>
        <w:spacing w:before="119" w:line="263" w:lineRule="auto"/>
        <w:ind w:left="1462" w:right="1413" w:firstLine="428"/>
        <w:rPr>
          <w:sz w:val="24"/>
          <w:szCs w:val="24"/>
        </w:rPr>
      </w:pPr>
      <w:r>
        <w:rPr>
          <w:spacing w:val="-22"/>
          <w:sz w:val="24"/>
          <w:szCs w:val="24"/>
        </w:rPr>
        <w:t>3、原因分析：施工技术人员和操作工人对上述危害质量意识不足；项目部在技术交</w:t>
      </w:r>
      <w:r>
        <w:rPr>
          <w:spacing w:val="-23"/>
          <w:sz w:val="24"/>
          <w:szCs w:val="24"/>
        </w:rPr>
        <w:t>底方面</w:t>
      </w:r>
      <w:r>
        <w:rPr>
          <w:spacing w:val="-21"/>
          <w:sz w:val="24"/>
          <w:szCs w:val="24"/>
        </w:rPr>
        <w:t>交底不清或质量控制措施不力；施工者有意偷工</w:t>
      </w:r>
      <w:r>
        <w:rPr>
          <w:spacing w:val="-22"/>
          <w:sz w:val="24"/>
          <w:szCs w:val="24"/>
        </w:rPr>
        <w:t>不顾后果。</w:t>
      </w:r>
    </w:p>
    <w:p w14:paraId="007EB45B">
      <w:pPr>
        <w:pStyle w:val="2"/>
        <w:spacing w:before="115" w:line="216" w:lineRule="auto"/>
        <w:ind w:left="1884"/>
        <w:rPr>
          <w:sz w:val="24"/>
          <w:szCs w:val="24"/>
        </w:rPr>
      </w:pPr>
      <w:r>
        <w:rPr>
          <w:spacing w:val="-21"/>
          <w:sz w:val="24"/>
          <w:szCs w:val="24"/>
        </w:rPr>
        <w:t>4、治理措施：加强技术培训，使施工技术人员和操作人员了解分层压实的意义。</w:t>
      </w:r>
    </w:p>
    <w:p w14:paraId="6D1912E8">
      <w:pPr>
        <w:pStyle w:val="2"/>
        <w:spacing w:before="120" w:line="216" w:lineRule="auto"/>
        <w:ind w:left="1893"/>
        <w:rPr>
          <w:sz w:val="24"/>
          <w:szCs w:val="24"/>
        </w:rPr>
      </w:pPr>
      <w:r>
        <w:rPr>
          <w:spacing w:val="-20"/>
          <w:sz w:val="24"/>
          <w:szCs w:val="24"/>
        </w:rPr>
        <w:t>（三）、挟带大块土回填</w:t>
      </w:r>
    </w:p>
    <w:p w14:paraId="18947938">
      <w:pPr>
        <w:pStyle w:val="2"/>
        <w:spacing w:before="121" w:line="215" w:lineRule="auto"/>
        <w:ind w:left="1903"/>
        <w:rPr>
          <w:sz w:val="24"/>
          <w:szCs w:val="24"/>
        </w:rPr>
      </w:pPr>
      <w:r>
        <w:rPr>
          <w:spacing w:val="-22"/>
          <w:sz w:val="24"/>
          <w:szCs w:val="24"/>
        </w:rPr>
        <w:t>1、现象：在填土中带有大块硬土、大砖块、大石块、大混凝土块。</w:t>
      </w:r>
    </w:p>
    <w:p w14:paraId="1FB96A29">
      <w:pPr>
        <w:pStyle w:val="2"/>
        <w:spacing w:before="118" w:line="262" w:lineRule="auto"/>
        <w:ind w:left="1457" w:right="1412" w:firstLine="431"/>
        <w:rPr>
          <w:sz w:val="24"/>
          <w:szCs w:val="24"/>
        </w:rPr>
      </w:pPr>
      <w:r>
        <w:rPr>
          <w:spacing w:val="-22"/>
          <w:sz w:val="24"/>
          <w:szCs w:val="24"/>
        </w:rPr>
        <w:t>2、危害：填土中挟带块状物，妨碍土颗料间相互挤紧达不到整体密实效果。另一方面块状</w:t>
      </w:r>
      <w:r>
        <w:rPr>
          <w:spacing w:val="-21"/>
          <w:sz w:val="24"/>
          <w:szCs w:val="24"/>
        </w:rPr>
        <w:t>物支垫碾轮，产生叠砌现象，使块状物周围留下空隙日后</w:t>
      </w:r>
      <w:r>
        <w:rPr>
          <w:spacing w:val="-22"/>
          <w:sz w:val="24"/>
          <w:szCs w:val="24"/>
        </w:rPr>
        <w:t>发生深陷。</w:t>
      </w:r>
    </w:p>
    <w:p w14:paraId="6A0C680C">
      <w:pPr>
        <w:pStyle w:val="2"/>
        <w:spacing w:before="121" w:line="262" w:lineRule="auto"/>
        <w:ind w:left="1462" w:right="1412" w:firstLine="428"/>
        <w:rPr>
          <w:sz w:val="24"/>
          <w:szCs w:val="24"/>
        </w:rPr>
      </w:pPr>
      <w:r>
        <w:rPr>
          <w:spacing w:val="-22"/>
          <w:sz w:val="24"/>
          <w:szCs w:val="24"/>
        </w:rPr>
        <w:t>3、原因分析：不了解较大块状物掺入土中对夯实的不利影响；不愿多运弃土方或杂</w:t>
      </w:r>
      <w:r>
        <w:rPr>
          <w:spacing w:val="-23"/>
          <w:sz w:val="24"/>
          <w:szCs w:val="24"/>
        </w:rPr>
        <w:t>物；或</w:t>
      </w:r>
      <w:r>
        <w:rPr>
          <w:spacing w:val="-21"/>
          <w:sz w:val="24"/>
          <w:szCs w:val="24"/>
        </w:rPr>
        <w:t>交底不清，或控制不严格。</w:t>
      </w:r>
    </w:p>
    <w:p w14:paraId="01D7F2E8">
      <w:pPr>
        <w:pStyle w:val="2"/>
        <w:spacing w:before="120" w:line="262" w:lineRule="auto"/>
        <w:ind w:left="1461" w:right="1422" w:firstLine="423"/>
        <w:rPr>
          <w:sz w:val="24"/>
          <w:szCs w:val="24"/>
        </w:rPr>
      </w:pPr>
      <w:r>
        <w:rPr>
          <w:spacing w:val="-19"/>
          <w:sz w:val="24"/>
          <w:szCs w:val="24"/>
        </w:rPr>
        <w:t>4、治理方法：在回填土交底中要向操作者讲明带块状回填的危害,使操作</w:t>
      </w:r>
      <w:r>
        <w:rPr>
          <w:spacing w:val="-20"/>
          <w:sz w:val="24"/>
          <w:szCs w:val="24"/>
        </w:rPr>
        <w:t>者能自觉遵守；</w:t>
      </w:r>
      <w:r>
        <w:rPr>
          <w:spacing w:val="-22"/>
          <w:sz w:val="24"/>
          <w:szCs w:val="24"/>
        </w:rPr>
        <w:t>要严格管理，对填土中的大砖块、大混凝土块等要取出，对大于10cm的</w:t>
      </w:r>
      <w:r>
        <w:rPr>
          <w:spacing w:val="-23"/>
          <w:sz w:val="24"/>
          <w:szCs w:val="24"/>
        </w:rPr>
        <w:t>硬土块要打碎或取出。</w:t>
      </w:r>
    </w:p>
    <w:p w14:paraId="2D58A3D4">
      <w:pPr>
        <w:pStyle w:val="2"/>
        <w:spacing w:before="116" w:line="219" w:lineRule="auto"/>
        <w:ind w:left="1893"/>
        <w:rPr>
          <w:sz w:val="24"/>
          <w:szCs w:val="24"/>
        </w:rPr>
      </w:pPr>
      <w:r>
        <w:rPr>
          <w:spacing w:val="-21"/>
          <w:sz w:val="24"/>
          <w:szCs w:val="24"/>
        </w:rPr>
        <w:t>（四）、路床土过湿或碾压之后出现“弹簧土”现象</w:t>
      </w:r>
    </w:p>
    <w:p w14:paraId="63B040C9">
      <w:pPr>
        <w:pStyle w:val="2"/>
        <w:spacing w:before="117" w:line="218" w:lineRule="auto"/>
        <w:ind w:left="1903"/>
        <w:rPr>
          <w:sz w:val="24"/>
          <w:szCs w:val="24"/>
        </w:rPr>
      </w:pPr>
      <w:r>
        <w:rPr>
          <w:spacing w:val="-21"/>
          <w:sz w:val="24"/>
          <w:szCs w:val="24"/>
        </w:rPr>
        <w:t>1、现象：路基回填土含水量超过压实最佳含水量，以致碾</w:t>
      </w:r>
      <w:r>
        <w:rPr>
          <w:spacing w:val="-22"/>
          <w:sz w:val="24"/>
          <w:szCs w:val="24"/>
        </w:rPr>
        <w:t>压过后局部出现软弹现象。</w:t>
      </w:r>
    </w:p>
    <w:p w14:paraId="3F7E53B4">
      <w:pPr>
        <w:pStyle w:val="2"/>
        <w:spacing w:before="117" w:line="217" w:lineRule="auto"/>
        <w:ind w:left="1888"/>
        <w:rPr>
          <w:sz w:val="24"/>
          <w:szCs w:val="24"/>
        </w:rPr>
      </w:pPr>
      <w:r>
        <w:rPr>
          <w:spacing w:val="-16"/>
          <w:sz w:val="24"/>
          <w:szCs w:val="24"/>
        </w:rPr>
        <w:t>2、原因分析：</w:t>
      </w:r>
    </w:p>
    <w:p w14:paraId="42782A25">
      <w:pPr>
        <w:pStyle w:val="2"/>
        <w:spacing w:before="116" w:line="215" w:lineRule="auto"/>
        <w:ind w:left="1893"/>
        <w:rPr>
          <w:sz w:val="24"/>
          <w:szCs w:val="24"/>
        </w:rPr>
      </w:pPr>
      <w:r>
        <w:rPr>
          <w:spacing w:val="-21"/>
          <w:sz w:val="24"/>
          <w:szCs w:val="24"/>
        </w:rPr>
        <w:t>（1）、在进行路基开挖过程中，降雨使得雨水浸入路基土层。</w:t>
      </w:r>
    </w:p>
    <w:p w14:paraId="0A76C3F7">
      <w:pPr>
        <w:spacing w:line="215" w:lineRule="auto"/>
        <w:rPr>
          <w:sz w:val="24"/>
          <w:szCs w:val="24"/>
        </w:rPr>
        <w:sectPr>
          <w:footerReference r:id="rId223" w:type="default"/>
          <w:pgSz w:w="11907" w:h="16839"/>
          <w:pgMar w:top="954" w:right="4" w:bottom="1038" w:left="0" w:header="499" w:footer="357" w:gutter="0"/>
          <w:pgBorders>
            <w:top w:val="none" w:sz="0" w:space="0"/>
            <w:left w:val="none" w:sz="0" w:space="0"/>
            <w:bottom w:val="none" w:sz="0" w:space="0"/>
            <w:right w:val="none" w:sz="0" w:space="0"/>
          </w:pgBorders>
          <w:cols w:space="720" w:num="1"/>
        </w:sectPr>
      </w:pPr>
    </w:p>
    <w:p w14:paraId="45C0EC55">
      <w:pPr>
        <w:spacing w:line="251" w:lineRule="auto"/>
        <w:rPr>
          <w:rFonts w:ascii="Arial"/>
          <w:sz w:val="21"/>
        </w:rPr>
      </w:pPr>
    </w:p>
    <w:p w14:paraId="5B690DF8">
      <w:pPr>
        <w:pStyle w:val="2"/>
        <w:spacing w:before="78" w:line="217" w:lineRule="auto"/>
        <w:ind w:left="1893"/>
        <w:rPr>
          <w:sz w:val="24"/>
          <w:szCs w:val="24"/>
        </w:rPr>
      </w:pPr>
      <w:r>
        <w:rPr>
          <w:spacing w:val="-21"/>
          <w:sz w:val="24"/>
          <w:szCs w:val="24"/>
        </w:rPr>
        <w:t>（2）、由于地下水位过高渗入路床土层。</w:t>
      </w:r>
    </w:p>
    <w:p w14:paraId="4DEFE280">
      <w:pPr>
        <w:pStyle w:val="2"/>
        <w:spacing w:before="118" w:line="217" w:lineRule="auto"/>
        <w:ind w:left="1893"/>
        <w:rPr>
          <w:sz w:val="24"/>
          <w:szCs w:val="24"/>
        </w:rPr>
      </w:pPr>
      <w:r>
        <w:rPr>
          <w:spacing w:val="-21"/>
          <w:sz w:val="24"/>
          <w:szCs w:val="24"/>
        </w:rPr>
        <w:t>（3）、填方路基进行填土，土质含水量超过最佳含水量，未进行晾晒便碾压。</w:t>
      </w:r>
    </w:p>
    <w:p w14:paraId="01BA5008">
      <w:pPr>
        <w:pStyle w:val="2"/>
        <w:spacing w:before="116" w:line="216" w:lineRule="auto"/>
        <w:ind w:left="1893"/>
        <w:rPr>
          <w:sz w:val="24"/>
          <w:szCs w:val="24"/>
        </w:rPr>
      </w:pPr>
      <w:r>
        <w:rPr>
          <w:spacing w:val="-20"/>
          <w:sz w:val="24"/>
          <w:szCs w:val="24"/>
        </w:rPr>
        <w:t>（4）、路基填土含有不符合要求的土质（如粘性</w:t>
      </w:r>
      <w:r>
        <w:rPr>
          <w:spacing w:val="-21"/>
          <w:sz w:val="24"/>
          <w:szCs w:val="24"/>
        </w:rPr>
        <w:t>较大的土）。</w:t>
      </w:r>
    </w:p>
    <w:p w14:paraId="394C8E1F">
      <w:pPr>
        <w:pStyle w:val="2"/>
        <w:spacing w:before="119" w:line="262" w:lineRule="auto"/>
        <w:ind w:left="1462" w:right="1429" w:firstLine="428"/>
        <w:rPr>
          <w:sz w:val="24"/>
          <w:szCs w:val="24"/>
        </w:rPr>
      </w:pPr>
      <w:r>
        <w:rPr>
          <w:spacing w:val="-22"/>
          <w:sz w:val="24"/>
          <w:szCs w:val="24"/>
        </w:rPr>
        <w:t>3、危害：路基回填土含水量超过压实最佳含水</w:t>
      </w:r>
      <w:r>
        <w:rPr>
          <w:spacing w:val="-23"/>
          <w:sz w:val="24"/>
          <w:szCs w:val="24"/>
        </w:rPr>
        <w:t>量，碾压过后局部会出现“弹簧”现象，达</w:t>
      </w:r>
      <w:r>
        <w:rPr>
          <w:spacing w:val="-21"/>
          <w:sz w:val="24"/>
          <w:szCs w:val="24"/>
        </w:rPr>
        <w:t>不到规定的压实度，会影响路面结构层的稳定</w:t>
      </w:r>
      <w:r>
        <w:rPr>
          <w:spacing w:val="-22"/>
          <w:sz w:val="24"/>
          <w:szCs w:val="24"/>
        </w:rPr>
        <w:t>性，造成路面结构层过早破坏。</w:t>
      </w:r>
    </w:p>
    <w:p w14:paraId="60D7AE06">
      <w:pPr>
        <w:pStyle w:val="2"/>
        <w:spacing w:before="118" w:line="218" w:lineRule="auto"/>
        <w:ind w:left="1884"/>
        <w:rPr>
          <w:sz w:val="24"/>
          <w:szCs w:val="24"/>
        </w:rPr>
      </w:pPr>
      <w:r>
        <w:rPr>
          <w:spacing w:val="-16"/>
          <w:sz w:val="24"/>
          <w:szCs w:val="24"/>
        </w:rPr>
        <w:t>4、治理方法：</w:t>
      </w:r>
    </w:p>
    <w:p w14:paraId="48C8E69D">
      <w:pPr>
        <w:pStyle w:val="2"/>
        <w:spacing w:before="117" w:line="263" w:lineRule="auto"/>
        <w:ind w:left="1458" w:right="1411" w:firstLine="434"/>
        <w:rPr>
          <w:sz w:val="24"/>
          <w:szCs w:val="24"/>
        </w:rPr>
      </w:pPr>
      <w:r>
        <w:rPr>
          <w:spacing w:val="-22"/>
          <w:sz w:val="24"/>
          <w:szCs w:val="24"/>
        </w:rPr>
        <w:t>（1）、雨季施工路基时，要采用有效地雨季施工措施。挖方段要在路基边缘两</w:t>
      </w:r>
      <w:r>
        <w:rPr>
          <w:spacing w:val="-23"/>
          <w:sz w:val="24"/>
          <w:szCs w:val="24"/>
        </w:rPr>
        <w:t>侧设置排水</w:t>
      </w:r>
      <w:r>
        <w:rPr>
          <w:spacing w:val="-21"/>
          <w:sz w:val="24"/>
          <w:szCs w:val="24"/>
        </w:rPr>
        <w:t>沟；填方段，应及时上土及时碾压，当日成活。遇到雨</w:t>
      </w:r>
      <w:r>
        <w:rPr>
          <w:spacing w:val="-22"/>
          <w:sz w:val="24"/>
          <w:szCs w:val="24"/>
        </w:rPr>
        <w:t>水浸湿的土，要采取晾晒或换填土质。</w:t>
      </w:r>
    </w:p>
    <w:p w14:paraId="6D57716B">
      <w:pPr>
        <w:pStyle w:val="2"/>
        <w:spacing w:before="115" w:line="216" w:lineRule="auto"/>
        <w:ind w:left="1893"/>
        <w:rPr>
          <w:sz w:val="24"/>
          <w:szCs w:val="24"/>
        </w:rPr>
      </w:pPr>
      <w:r>
        <w:rPr>
          <w:spacing w:val="-21"/>
          <w:sz w:val="24"/>
          <w:szCs w:val="24"/>
        </w:rPr>
        <w:t>（2）、路基填筑的土质要避免使用粘性较大的土质。</w:t>
      </w:r>
    </w:p>
    <w:p w14:paraId="64BCFCD1">
      <w:pPr>
        <w:pStyle w:val="2"/>
        <w:spacing w:before="120" w:line="218" w:lineRule="auto"/>
        <w:ind w:left="1893"/>
        <w:rPr>
          <w:sz w:val="24"/>
          <w:szCs w:val="24"/>
        </w:rPr>
      </w:pPr>
      <w:r>
        <w:rPr>
          <w:spacing w:val="-21"/>
          <w:sz w:val="24"/>
          <w:szCs w:val="24"/>
        </w:rPr>
        <w:t>（3）、路基碾压后如出现软弹现象，要彻底挖除，换填含水量合适的好土。</w:t>
      </w:r>
    </w:p>
    <w:p w14:paraId="612627E1">
      <w:pPr>
        <w:pStyle w:val="2"/>
        <w:spacing w:before="119" w:line="262" w:lineRule="auto"/>
        <w:ind w:left="1464" w:right="1412" w:firstLine="428"/>
        <w:rPr>
          <w:sz w:val="24"/>
          <w:szCs w:val="24"/>
        </w:rPr>
      </w:pPr>
      <w:r>
        <w:rPr>
          <w:spacing w:val="-22"/>
          <w:sz w:val="24"/>
          <w:szCs w:val="24"/>
        </w:rPr>
        <w:t>（4）、负责实验人员要在路基施工前对土质含水量进行检测，确保土质达到最</w:t>
      </w:r>
      <w:r>
        <w:rPr>
          <w:spacing w:val="-23"/>
          <w:sz w:val="24"/>
          <w:szCs w:val="24"/>
        </w:rPr>
        <w:t>佳含水量并</w:t>
      </w:r>
      <w:r>
        <w:rPr>
          <w:spacing w:val="-21"/>
          <w:sz w:val="24"/>
          <w:szCs w:val="24"/>
        </w:rPr>
        <w:t>为现场施工提供有依据的实验数据。</w:t>
      </w:r>
    </w:p>
    <w:p w14:paraId="52E8BBDF">
      <w:pPr>
        <w:pStyle w:val="2"/>
        <w:spacing w:before="118" w:line="217" w:lineRule="auto"/>
        <w:ind w:left="1893"/>
        <w:rPr>
          <w:sz w:val="24"/>
          <w:szCs w:val="24"/>
        </w:rPr>
      </w:pPr>
      <w:r>
        <w:rPr>
          <w:spacing w:val="-21"/>
          <w:sz w:val="24"/>
          <w:szCs w:val="24"/>
        </w:rPr>
        <w:t>（五）、新老路基搭接出现纵向裂缝</w:t>
      </w:r>
    </w:p>
    <w:p w14:paraId="3580079E">
      <w:pPr>
        <w:pStyle w:val="2"/>
        <w:spacing w:before="118" w:line="262" w:lineRule="auto"/>
        <w:ind w:left="1457" w:right="1412" w:firstLine="446"/>
        <w:rPr>
          <w:sz w:val="24"/>
          <w:szCs w:val="24"/>
        </w:rPr>
      </w:pPr>
      <w:r>
        <w:rPr>
          <w:spacing w:val="-22"/>
          <w:sz w:val="24"/>
          <w:szCs w:val="24"/>
        </w:rPr>
        <w:t>1、现象：道路拓宽改造造成路面面层出现纵向裂缝，</w:t>
      </w:r>
      <w:r>
        <w:rPr>
          <w:spacing w:val="-23"/>
          <w:sz w:val="24"/>
          <w:szCs w:val="24"/>
        </w:rPr>
        <w:t>降低路面使用年限。新老路基搭接部</w:t>
      </w:r>
      <w:r>
        <w:rPr>
          <w:spacing w:val="-20"/>
          <w:sz w:val="24"/>
          <w:szCs w:val="24"/>
        </w:rPr>
        <w:t>位，出现搭接宽度不足现象。</w:t>
      </w:r>
    </w:p>
    <w:p w14:paraId="4ABDF812">
      <w:pPr>
        <w:pStyle w:val="2"/>
        <w:spacing w:before="118" w:line="219" w:lineRule="auto"/>
        <w:ind w:left="1888"/>
        <w:rPr>
          <w:sz w:val="24"/>
          <w:szCs w:val="24"/>
        </w:rPr>
      </w:pPr>
      <w:r>
        <w:rPr>
          <w:spacing w:val="-22"/>
          <w:sz w:val="24"/>
          <w:szCs w:val="24"/>
        </w:rPr>
        <w:t>2、产生纵向裂缝的原因：</w:t>
      </w:r>
    </w:p>
    <w:p w14:paraId="3DA7D216">
      <w:pPr>
        <w:pStyle w:val="2"/>
        <w:spacing w:before="115" w:line="278" w:lineRule="auto"/>
        <w:ind w:left="1458" w:right="1412" w:firstLine="434"/>
        <w:rPr>
          <w:sz w:val="24"/>
          <w:szCs w:val="24"/>
        </w:rPr>
      </w:pPr>
      <w:r>
        <w:rPr>
          <w:spacing w:val="-22"/>
          <w:sz w:val="24"/>
          <w:szCs w:val="24"/>
        </w:rPr>
        <w:t>（1）由于土基地质差，导致新老路基底部土基因荷载的增加发生沉降。但原路</w:t>
      </w:r>
      <w:r>
        <w:rPr>
          <w:spacing w:val="-23"/>
          <w:sz w:val="24"/>
          <w:szCs w:val="24"/>
        </w:rPr>
        <w:t>基下的地基</w:t>
      </w:r>
      <w:r>
        <w:rPr>
          <w:spacing w:val="-20"/>
          <w:sz w:val="24"/>
          <w:szCs w:val="24"/>
        </w:rPr>
        <w:t>因在改造时已基本固结沉降到位并且所增加的荷载远小于新拓宽部分，其沉降量大大小于新拓</w:t>
      </w:r>
      <w:r>
        <w:rPr>
          <w:spacing w:val="-18"/>
          <w:sz w:val="24"/>
          <w:szCs w:val="24"/>
        </w:rPr>
        <w:t>宽部分地基。</w:t>
      </w:r>
    </w:p>
    <w:p w14:paraId="3C9AD11C">
      <w:pPr>
        <w:pStyle w:val="2"/>
        <w:spacing w:before="117" w:line="217" w:lineRule="auto"/>
        <w:ind w:left="1893"/>
        <w:rPr>
          <w:sz w:val="24"/>
          <w:szCs w:val="24"/>
        </w:rPr>
      </w:pPr>
      <w:r>
        <w:rPr>
          <w:spacing w:val="-21"/>
          <w:sz w:val="24"/>
          <w:szCs w:val="24"/>
        </w:rPr>
        <w:t>（2）新路路基搭接时，老路基搭接处理不符合设计要求，造成搭接宽度不足。</w:t>
      </w:r>
    </w:p>
    <w:p w14:paraId="07B8434B">
      <w:pPr>
        <w:pStyle w:val="2"/>
        <w:spacing w:before="116" w:line="262" w:lineRule="auto"/>
        <w:ind w:left="1458" w:right="1410" w:firstLine="434"/>
        <w:rPr>
          <w:sz w:val="24"/>
          <w:szCs w:val="24"/>
        </w:rPr>
      </w:pPr>
      <w:r>
        <w:rPr>
          <w:spacing w:val="-22"/>
          <w:sz w:val="24"/>
          <w:szCs w:val="24"/>
        </w:rPr>
        <w:t>（3）施工后新老路基出现差异沉降，路基失去稳定，表现为路堤内的破裂面（顶部</w:t>
      </w:r>
      <w:r>
        <w:rPr>
          <w:spacing w:val="-23"/>
          <w:sz w:val="24"/>
          <w:szCs w:val="24"/>
        </w:rPr>
        <w:t>破裂面</w:t>
      </w:r>
      <w:r>
        <w:rPr>
          <w:spacing w:val="-21"/>
          <w:sz w:val="24"/>
          <w:szCs w:val="24"/>
        </w:rPr>
        <w:t>在老路范围内）外的土体下沉侧移，将路面拉裂造成纵</w:t>
      </w:r>
      <w:r>
        <w:rPr>
          <w:spacing w:val="-22"/>
          <w:sz w:val="24"/>
          <w:szCs w:val="24"/>
        </w:rPr>
        <w:t>向开裂。</w:t>
      </w:r>
    </w:p>
    <w:p w14:paraId="13E8DD98">
      <w:pPr>
        <w:pStyle w:val="2"/>
        <w:spacing w:before="121" w:line="218" w:lineRule="auto"/>
        <w:ind w:left="1890"/>
        <w:rPr>
          <w:sz w:val="24"/>
          <w:szCs w:val="24"/>
        </w:rPr>
      </w:pPr>
      <w:r>
        <w:rPr>
          <w:spacing w:val="-19"/>
          <w:sz w:val="24"/>
          <w:szCs w:val="24"/>
        </w:rPr>
        <w:t>3、防治措施：</w:t>
      </w:r>
    </w:p>
    <w:p w14:paraId="6D3B6D6C">
      <w:pPr>
        <w:pStyle w:val="2"/>
        <w:spacing w:before="113" w:line="308" w:lineRule="auto"/>
        <w:ind w:left="1455" w:right="1409" w:firstLine="437"/>
        <w:jc w:val="both"/>
        <w:rPr>
          <w:sz w:val="24"/>
          <w:szCs w:val="24"/>
        </w:rPr>
      </w:pPr>
      <w:r>
        <w:rPr>
          <w:spacing w:val="-19"/>
          <w:sz w:val="24"/>
          <w:szCs w:val="24"/>
        </w:rPr>
        <w:t>（1）市政道路拓宽改造路基是关键,路基是路面的基础，并承受由路面传递下来的各</w:t>
      </w:r>
      <w:r>
        <w:rPr>
          <w:spacing w:val="-20"/>
          <w:sz w:val="24"/>
          <w:szCs w:val="24"/>
        </w:rPr>
        <w:t>种荷载，因此，路基的坚实和稳定是保证路面强度与稳定性的重要条件之一。旧路改建工程对路基施工的技术要求高，是因为旧路改建都必须进行加宽和加高及旧路原排水系统的处理。任何施工不当的措施和土方工程的弊病都难以在今后的养护中改正，因此在改建工程中，处理好旧排水沟和旧砌体、新老路路基结合部的界面的处理、路基加宽及加高是整个改建工程质量好坏的</w:t>
      </w:r>
      <w:r>
        <w:rPr>
          <w:spacing w:val="-21"/>
          <w:sz w:val="24"/>
          <w:szCs w:val="24"/>
        </w:rPr>
        <w:t>关键。</w:t>
      </w:r>
    </w:p>
    <w:p w14:paraId="3975F8FD">
      <w:pPr>
        <w:pStyle w:val="2"/>
        <w:spacing w:line="218" w:lineRule="auto"/>
        <w:ind w:left="1878"/>
        <w:rPr>
          <w:sz w:val="24"/>
          <w:szCs w:val="24"/>
        </w:rPr>
      </w:pPr>
      <w:r>
        <w:rPr>
          <w:spacing w:val="-19"/>
          <w:sz w:val="24"/>
          <w:szCs w:val="24"/>
        </w:rPr>
        <w:t>A．旧路排水沟和旧砌体的处理。</w:t>
      </w:r>
    </w:p>
    <w:p w14:paraId="152A277C">
      <w:pPr>
        <w:pStyle w:val="2"/>
        <w:spacing w:before="115" w:line="285" w:lineRule="auto"/>
        <w:ind w:left="1458" w:right="1411" w:firstLine="427"/>
        <w:rPr>
          <w:sz w:val="24"/>
          <w:szCs w:val="24"/>
        </w:rPr>
      </w:pPr>
      <w:r>
        <w:rPr>
          <w:spacing w:val="-19"/>
          <w:sz w:val="24"/>
          <w:szCs w:val="24"/>
        </w:rPr>
        <w:t>①旧水沟：在路基加宽的过程中，原旧路排水沟将被</w:t>
      </w:r>
      <w:r>
        <w:rPr>
          <w:spacing w:val="-20"/>
          <w:sz w:val="24"/>
          <w:szCs w:val="24"/>
        </w:rPr>
        <w:t>挖掉或覆盖，对于填方路段的水沟，首先要将旧排水沟上的砌体及杂物挖除掉，然后用与其相同的土壤或砂性土填平，再用机械夯</w:t>
      </w:r>
      <w:r>
        <w:rPr>
          <w:spacing w:val="-22"/>
          <w:sz w:val="24"/>
          <w:szCs w:val="24"/>
        </w:rPr>
        <w:t>实，其压实度不能低于老路基土壤的压实度，新填土壤的压实系数应力求达到98%以上，只有具</w:t>
      </w:r>
      <w:r>
        <w:rPr>
          <w:spacing w:val="-21"/>
          <w:sz w:val="24"/>
          <w:szCs w:val="24"/>
        </w:rPr>
        <w:t>备这个条件才可能在路基加宽和边沟回填的地方防止</w:t>
      </w:r>
      <w:r>
        <w:rPr>
          <w:spacing w:val="-22"/>
          <w:sz w:val="24"/>
          <w:szCs w:val="24"/>
        </w:rPr>
        <w:t>形成沉陷。</w:t>
      </w:r>
    </w:p>
    <w:p w14:paraId="59E2824B">
      <w:pPr>
        <w:pStyle w:val="2"/>
        <w:spacing w:before="122" w:line="261" w:lineRule="auto"/>
        <w:ind w:left="1470" w:right="1409" w:firstLine="414"/>
        <w:rPr>
          <w:sz w:val="24"/>
          <w:szCs w:val="24"/>
        </w:rPr>
      </w:pPr>
      <w:r>
        <w:rPr>
          <w:spacing w:val="-19"/>
          <w:sz w:val="24"/>
          <w:szCs w:val="24"/>
        </w:rPr>
        <w:t>②拆除旧砌体：改建工程中填土高度一般都不大，旧砌体应</w:t>
      </w:r>
      <w:r>
        <w:rPr>
          <w:spacing w:val="-20"/>
          <w:sz w:val="24"/>
          <w:szCs w:val="24"/>
        </w:rPr>
        <w:t>该拆除，因为旧砌体和新填筑的路基材料的各项性能指标相差很大，特别是对水的浸润和吸收量不同，而土的含</w:t>
      </w:r>
      <w:r>
        <w:rPr>
          <w:spacing w:val="-21"/>
          <w:sz w:val="24"/>
          <w:szCs w:val="24"/>
        </w:rPr>
        <w:t>水量又是影</w:t>
      </w:r>
    </w:p>
    <w:p w14:paraId="293B1539">
      <w:pPr>
        <w:spacing w:line="261" w:lineRule="auto"/>
        <w:rPr>
          <w:sz w:val="24"/>
          <w:szCs w:val="24"/>
        </w:rPr>
        <w:sectPr>
          <w:footerReference r:id="rId224" w:type="default"/>
          <w:pgSz w:w="11907" w:h="16839"/>
          <w:pgMar w:top="954" w:right="4" w:bottom="1038" w:left="0" w:header="499" w:footer="357" w:gutter="0"/>
          <w:pgBorders>
            <w:top w:val="none" w:sz="0" w:space="0"/>
            <w:left w:val="none" w:sz="0" w:space="0"/>
            <w:bottom w:val="none" w:sz="0" w:space="0"/>
            <w:right w:val="none" w:sz="0" w:space="0"/>
          </w:pgBorders>
          <w:cols w:space="720" w:num="1"/>
        </w:sectPr>
      </w:pPr>
    </w:p>
    <w:p w14:paraId="5A09D17D">
      <w:pPr>
        <w:spacing w:line="249" w:lineRule="auto"/>
        <w:rPr>
          <w:rFonts w:ascii="Arial"/>
          <w:sz w:val="21"/>
        </w:rPr>
      </w:pPr>
    </w:p>
    <w:p w14:paraId="65FAD6C9">
      <w:pPr>
        <w:pStyle w:val="2"/>
        <w:spacing w:before="78" w:line="308" w:lineRule="auto"/>
        <w:ind w:left="1470" w:right="1426" w:hanging="6"/>
        <w:rPr>
          <w:sz w:val="24"/>
          <w:szCs w:val="24"/>
        </w:rPr>
      </w:pPr>
      <w:r>
        <w:rPr>
          <w:spacing w:val="-22"/>
          <w:sz w:val="24"/>
          <w:szCs w:val="24"/>
        </w:rPr>
        <w:t>响路基压实度的重要因素，因此施工过程中，先拆除旧路缘石，然后把旧路挖成宽度不小</w:t>
      </w:r>
      <w:r>
        <w:rPr>
          <w:spacing w:val="-23"/>
          <w:sz w:val="24"/>
          <w:szCs w:val="24"/>
        </w:rPr>
        <w:t>于1m</w:t>
      </w:r>
      <w:r>
        <w:rPr>
          <w:spacing w:val="-22"/>
          <w:sz w:val="24"/>
          <w:szCs w:val="24"/>
        </w:rPr>
        <w:t>的台阶；同理，也必须拆除旧路肩和路堤上的挡土墙，避免引起不均匀的沉降。</w:t>
      </w:r>
    </w:p>
    <w:p w14:paraId="65E4780F">
      <w:pPr>
        <w:pStyle w:val="2"/>
        <w:spacing w:before="2" w:line="262" w:lineRule="auto"/>
        <w:ind w:left="1457" w:right="1411" w:firstLine="422"/>
        <w:rPr>
          <w:sz w:val="24"/>
          <w:szCs w:val="24"/>
        </w:rPr>
      </w:pPr>
      <w:r>
        <w:rPr>
          <w:spacing w:val="-22"/>
          <w:sz w:val="24"/>
          <w:szCs w:val="24"/>
        </w:rPr>
        <w:t>B．由于新旧路基的强度和密实程度不同，新旧路基会产生不同的沉降，因而会引起路面沿</w:t>
      </w:r>
      <w:r>
        <w:rPr>
          <w:spacing w:val="-21"/>
          <w:sz w:val="24"/>
          <w:szCs w:val="24"/>
        </w:rPr>
        <w:t>接缝出现纵向裂缝，针对这一缺点，我们对新旧路的衔接采取</w:t>
      </w:r>
      <w:r>
        <w:rPr>
          <w:spacing w:val="-22"/>
          <w:sz w:val="24"/>
          <w:szCs w:val="24"/>
        </w:rPr>
        <w:t>如下措施：</w:t>
      </w:r>
    </w:p>
    <w:p w14:paraId="6818CD77">
      <w:pPr>
        <w:pStyle w:val="2"/>
        <w:spacing w:before="118" w:line="289" w:lineRule="auto"/>
        <w:ind w:left="1456" w:right="1409" w:firstLine="429"/>
        <w:rPr>
          <w:sz w:val="24"/>
          <w:szCs w:val="24"/>
        </w:rPr>
      </w:pPr>
      <w:r>
        <w:rPr>
          <w:spacing w:val="-19"/>
          <w:sz w:val="24"/>
          <w:szCs w:val="24"/>
        </w:rPr>
        <w:t>①拓宽路堤地基的处理：拓宽路堤地基情况良好时，清除</w:t>
      </w:r>
      <w:r>
        <w:rPr>
          <w:spacing w:val="-20"/>
          <w:sz w:val="24"/>
          <w:szCs w:val="24"/>
        </w:rPr>
        <w:t>表土碾压密实后，进行路堤的填</w:t>
      </w:r>
      <w:r>
        <w:rPr>
          <w:spacing w:val="-21"/>
          <w:sz w:val="24"/>
          <w:szCs w:val="24"/>
        </w:rPr>
        <w:t>筑。当地基为不良的地基时，出现厚度小于3m的不良土，挖除采用换填处理，分层碾压密实，</w:t>
      </w:r>
      <w:r>
        <w:rPr>
          <w:spacing w:val="-18"/>
          <w:sz w:val="24"/>
          <w:szCs w:val="24"/>
        </w:rPr>
        <w:t>分层厚度为0.2～0.3m，出现淤泥或软弱土层厚度</w:t>
      </w:r>
      <w:r>
        <w:rPr>
          <w:spacing w:val="-19"/>
          <w:sz w:val="24"/>
          <w:szCs w:val="24"/>
        </w:rPr>
        <w:t>小于3m时，采用抛石挤淤方法处理，石料采</w:t>
      </w:r>
      <w:r>
        <w:rPr>
          <w:spacing w:val="-20"/>
          <w:sz w:val="24"/>
          <w:szCs w:val="24"/>
        </w:rPr>
        <w:t>用没有风化的开山片石，片石不小于30cm。出现厚度大于3m时不良土、淤泥或</w:t>
      </w:r>
      <w:r>
        <w:rPr>
          <w:spacing w:val="-21"/>
          <w:sz w:val="24"/>
          <w:szCs w:val="24"/>
        </w:rPr>
        <w:t>软弱土层时，根</w:t>
      </w:r>
      <w:r>
        <w:rPr>
          <w:spacing w:val="-22"/>
          <w:sz w:val="24"/>
          <w:szCs w:val="24"/>
        </w:rPr>
        <w:t>据不同的情况，可采用排水固结法、粒料桩、粉喷桩、加筋土法处理。</w:t>
      </w:r>
    </w:p>
    <w:p w14:paraId="21CD07B3">
      <w:pPr>
        <w:pStyle w:val="2"/>
        <w:spacing w:before="121" w:line="262" w:lineRule="auto"/>
        <w:ind w:left="1463" w:right="1353" w:firstLine="421"/>
        <w:rPr>
          <w:sz w:val="24"/>
          <w:szCs w:val="24"/>
        </w:rPr>
      </w:pPr>
      <w:r>
        <w:rPr>
          <w:spacing w:val="-23"/>
          <w:sz w:val="24"/>
          <w:szCs w:val="24"/>
        </w:rPr>
        <w:t>②路堑的拓宽：首先在上边坡设计排水沟的位置做</w:t>
      </w:r>
      <w:r>
        <w:rPr>
          <w:spacing w:val="-24"/>
          <w:sz w:val="24"/>
          <w:szCs w:val="24"/>
        </w:rPr>
        <w:t>好临时排水沟，然后自上而下挖土运走，</w:t>
      </w:r>
      <w:r>
        <w:rPr>
          <w:spacing w:val="-21"/>
          <w:sz w:val="24"/>
          <w:szCs w:val="24"/>
        </w:rPr>
        <w:t>最后修整边坡，按前面已述方式处理旧水沟，</w:t>
      </w:r>
      <w:r>
        <w:rPr>
          <w:spacing w:val="-22"/>
          <w:sz w:val="24"/>
          <w:szCs w:val="24"/>
        </w:rPr>
        <w:t>并对已拓宽的土基路肩进行干燥处理。</w:t>
      </w:r>
    </w:p>
    <w:p w14:paraId="46751BF0">
      <w:pPr>
        <w:pStyle w:val="2"/>
        <w:spacing w:before="117" w:line="217" w:lineRule="auto"/>
        <w:ind w:left="1884"/>
        <w:rPr>
          <w:sz w:val="24"/>
          <w:szCs w:val="24"/>
        </w:rPr>
      </w:pPr>
      <w:r>
        <w:rPr>
          <w:spacing w:val="-24"/>
          <w:sz w:val="24"/>
          <w:szCs w:val="24"/>
        </w:rPr>
        <w:t>③纵向搭接：旧路改建纵向出现搭接时，沿路线方向将旧路挖</w:t>
      </w:r>
      <w:r>
        <w:rPr>
          <w:spacing w:val="-25"/>
          <w:sz w:val="24"/>
          <w:szCs w:val="24"/>
        </w:rPr>
        <w:t>成宽度不少于1m的纵向台阶。</w:t>
      </w:r>
    </w:p>
    <w:p w14:paraId="0577B9A0">
      <w:pPr>
        <w:pStyle w:val="2"/>
        <w:spacing w:before="117" w:line="278" w:lineRule="auto"/>
        <w:ind w:left="1458" w:right="1410" w:firstLine="426"/>
        <w:rPr>
          <w:sz w:val="24"/>
          <w:szCs w:val="24"/>
        </w:rPr>
      </w:pPr>
      <w:r>
        <w:rPr>
          <w:spacing w:val="-19"/>
          <w:sz w:val="24"/>
          <w:szCs w:val="24"/>
        </w:rPr>
        <w:t>④路基填料的选择：路基加宽的填土部分应当与老路基完全</w:t>
      </w:r>
      <w:r>
        <w:rPr>
          <w:spacing w:val="-20"/>
          <w:sz w:val="24"/>
          <w:szCs w:val="24"/>
        </w:rPr>
        <w:t>形成一个整体结构，保持良好的稳定性，最好的办法是使用与老路相同的土壤，当无法做到这点时，可采用石灰改良土，并</w:t>
      </w:r>
      <w:r>
        <w:rPr>
          <w:spacing w:val="-16"/>
          <w:sz w:val="24"/>
          <w:szCs w:val="24"/>
        </w:rPr>
        <w:t>严格遵守填筑规定，每层厚度为0.2～0.3m。</w:t>
      </w:r>
    </w:p>
    <w:p w14:paraId="47F47B2E">
      <w:pPr>
        <w:pStyle w:val="2"/>
        <w:spacing w:before="115" w:line="290" w:lineRule="auto"/>
        <w:ind w:left="1457" w:right="1409" w:firstLine="427"/>
        <w:rPr>
          <w:sz w:val="24"/>
          <w:szCs w:val="24"/>
        </w:rPr>
      </w:pPr>
      <w:r>
        <w:rPr>
          <w:spacing w:val="-19"/>
          <w:sz w:val="24"/>
          <w:szCs w:val="24"/>
        </w:rPr>
        <w:t>⑤路基压实：路基压实的目的是为了提高土体的密实程度，</w:t>
      </w:r>
      <w:r>
        <w:rPr>
          <w:spacing w:val="-20"/>
          <w:sz w:val="24"/>
          <w:szCs w:val="24"/>
        </w:rPr>
        <w:t>降低填土透水性，防止水分积聚和浸蚀，避免路基软化及因冻胀引起的不均匀变形，确保路基在全年各季内均具有设计要求的强度和稳定性，提高市政道路的使用品质，并减薄路面提供有利条件。对于旧路加宽而言应当注意的是：结合部必须碾压到位，如大型压实机械无法压到边，就要用小型振动设备压实，</w:t>
      </w:r>
      <w:r>
        <w:rPr>
          <w:spacing w:val="-21"/>
          <w:sz w:val="24"/>
          <w:szCs w:val="24"/>
        </w:rPr>
        <w:t>确保拓宽路基任何部位压实度均符合要求。</w:t>
      </w:r>
    </w:p>
    <w:p w14:paraId="255C63D2">
      <w:pPr>
        <w:pStyle w:val="2"/>
        <w:spacing w:before="82" w:line="216" w:lineRule="auto"/>
        <w:ind w:left="1986"/>
        <w:outlineLvl w:val="2"/>
        <w:rPr>
          <w:sz w:val="28"/>
          <w:szCs w:val="28"/>
        </w:rPr>
      </w:pPr>
      <w:bookmarkStart w:id="157" w:name="bookmark150"/>
      <w:bookmarkEnd w:id="157"/>
      <w:r>
        <w:rPr>
          <w:b/>
          <w:bCs/>
          <w:spacing w:val="-24"/>
          <w:sz w:val="28"/>
          <w:szCs w:val="28"/>
        </w:rPr>
        <w:t>二、路基附属恢复常见的质量通病与预防措施</w:t>
      </w:r>
    </w:p>
    <w:p w14:paraId="01B15093">
      <w:pPr>
        <w:pStyle w:val="2"/>
        <w:spacing w:before="108" w:line="219" w:lineRule="auto"/>
        <w:ind w:left="1893"/>
        <w:rPr>
          <w:sz w:val="24"/>
          <w:szCs w:val="24"/>
        </w:rPr>
      </w:pPr>
      <w:r>
        <w:rPr>
          <w:spacing w:val="-20"/>
          <w:sz w:val="24"/>
          <w:szCs w:val="24"/>
        </w:rPr>
        <w:t>（一）、侧边砌石变形</w:t>
      </w:r>
    </w:p>
    <w:p w14:paraId="05D4E275">
      <w:pPr>
        <w:pStyle w:val="2"/>
        <w:spacing w:before="117" w:line="262" w:lineRule="auto"/>
        <w:ind w:left="1456" w:right="1412" w:firstLine="447"/>
        <w:rPr>
          <w:sz w:val="24"/>
          <w:szCs w:val="24"/>
        </w:rPr>
      </w:pPr>
      <w:r>
        <w:rPr>
          <w:spacing w:val="-22"/>
          <w:sz w:val="24"/>
          <w:szCs w:val="24"/>
        </w:rPr>
        <w:t>1、现象：侧石、平石安砌的质量通病及防治、虚土不夯</w:t>
      </w:r>
      <w:r>
        <w:rPr>
          <w:spacing w:val="-23"/>
          <w:sz w:val="24"/>
          <w:szCs w:val="24"/>
        </w:rPr>
        <w:t>实或夯实达不到要求密度，竣工交</w:t>
      </w:r>
      <w:r>
        <w:rPr>
          <w:spacing w:val="-21"/>
          <w:sz w:val="24"/>
          <w:szCs w:val="24"/>
        </w:rPr>
        <w:t>付使用后即出现变形和下沉，出现曲曲弯弯，高低不平。</w:t>
      </w:r>
    </w:p>
    <w:p w14:paraId="4C329B04">
      <w:pPr>
        <w:pStyle w:val="2"/>
        <w:spacing w:before="118" w:line="217" w:lineRule="auto"/>
        <w:ind w:left="1888"/>
        <w:rPr>
          <w:sz w:val="24"/>
          <w:szCs w:val="24"/>
        </w:rPr>
      </w:pPr>
      <w:r>
        <w:rPr>
          <w:spacing w:val="-16"/>
          <w:sz w:val="24"/>
          <w:szCs w:val="24"/>
        </w:rPr>
        <w:t>2、原因分析：</w:t>
      </w:r>
    </w:p>
    <w:p w14:paraId="72D4A7D2">
      <w:pPr>
        <w:pStyle w:val="2"/>
        <w:spacing w:before="118" w:line="218" w:lineRule="auto"/>
        <w:ind w:left="1893"/>
        <w:rPr>
          <w:sz w:val="24"/>
          <w:szCs w:val="24"/>
        </w:rPr>
      </w:pPr>
      <w:r>
        <w:rPr>
          <w:spacing w:val="-21"/>
          <w:sz w:val="24"/>
          <w:szCs w:val="24"/>
        </w:rPr>
        <w:t>（1）未按设计要求尺寸施工路面基层。</w:t>
      </w:r>
    </w:p>
    <w:p w14:paraId="4A7AA1D5">
      <w:pPr>
        <w:pStyle w:val="2"/>
        <w:spacing w:before="115" w:line="216" w:lineRule="auto"/>
        <w:ind w:left="1893"/>
        <w:rPr>
          <w:sz w:val="24"/>
          <w:szCs w:val="24"/>
        </w:rPr>
      </w:pPr>
      <w:r>
        <w:rPr>
          <w:spacing w:val="-21"/>
          <w:sz w:val="24"/>
          <w:szCs w:val="24"/>
        </w:rPr>
        <w:t>（2）未按设计要求和质量标准做好侧石背部砼靠背的浇筑的工作。</w:t>
      </w:r>
    </w:p>
    <w:p w14:paraId="540AA8D7">
      <w:pPr>
        <w:pStyle w:val="2"/>
        <w:spacing w:before="120" w:line="263" w:lineRule="auto"/>
        <w:ind w:left="1460" w:right="1412" w:firstLine="430"/>
        <w:rPr>
          <w:sz w:val="24"/>
          <w:szCs w:val="24"/>
        </w:rPr>
      </w:pPr>
      <w:r>
        <w:rPr>
          <w:spacing w:val="-22"/>
          <w:sz w:val="24"/>
          <w:szCs w:val="24"/>
        </w:rPr>
        <w:t>3、危害：稍触外力，即东倒西歪和下沉，保持不住平面上的直顺度和纵断面上平整度</w:t>
      </w:r>
      <w:r>
        <w:rPr>
          <w:spacing w:val="-23"/>
          <w:sz w:val="24"/>
          <w:szCs w:val="24"/>
        </w:rPr>
        <w:t>，造</w:t>
      </w:r>
      <w:r>
        <w:rPr>
          <w:spacing w:val="-21"/>
          <w:sz w:val="24"/>
          <w:szCs w:val="24"/>
        </w:rPr>
        <w:t>成外观质量上的明显缺陷。</w:t>
      </w:r>
    </w:p>
    <w:p w14:paraId="213EB449">
      <w:pPr>
        <w:pStyle w:val="2"/>
        <w:spacing w:before="116" w:line="218" w:lineRule="auto"/>
        <w:ind w:left="1884"/>
        <w:rPr>
          <w:sz w:val="24"/>
          <w:szCs w:val="24"/>
        </w:rPr>
      </w:pPr>
      <w:r>
        <w:rPr>
          <w:spacing w:val="-18"/>
          <w:sz w:val="24"/>
          <w:szCs w:val="24"/>
        </w:rPr>
        <w:t>4、治理方法：</w:t>
      </w:r>
    </w:p>
    <w:p w14:paraId="03296CCE">
      <w:pPr>
        <w:pStyle w:val="2"/>
        <w:spacing w:before="117" w:line="215" w:lineRule="auto"/>
        <w:ind w:left="1893"/>
        <w:rPr>
          <w:sz w:val="24"/>
          <w:szCs w:val="24"/>
        </w:rPr>
      </w:pPr>
      <w:r>
        <w:rPr>
          <w:spacing w:val="-21"/>
          <w:sz w:val="24"/>
          <w:szCs w:val="24"/>
        </w:rPr>
        <w:t>（1）路牙基础应与路面基层以同样结构摊铺，同步碾压；槽底超挖应夯实。</w:t>
      </w:r>
    </w:p>
    <w:p w14:paraId="0F915E70">
      <w:pPr>
        <w:pStyle w:val="2"/>
        <w:spacing w:before="122" w:line="218" w:lineRule="auto"/>
        <w:ind w:left="1893"/>
        <w:rPr>
          <w:sz w:val="24"/>
          <w:szCs w:val="24"/>
        </w:rPr>
      </w:pPr>
      <w:r>
        <w:rPr>
          <w:spacing w:val="-21"/>
          <w:sz w:val="24"/>
          <w:szCs w:val="24"/>
        </w:rPr>
        <w:t>（2）安载侧石要按设计要求施工，砂浆卧底。</w:t>
      </w:r>
    </w:p>
    <w:p w14:paraId="66387A19">
      <w:pPr>
        <w:pStyle w:val="2"/>
        <w:spacing w:before="115" w:line="217" w:lineRule="auto"/>
        <w:ind w:left="1893"/>
        <w:rPr>
          <w:sz w:val="24"/>
          <w:szCs w:val="24"/>
        </w:rPr>
      </w:pPr>
      <w:r>
        <w:rPr>
          <w:spacing w:val="-20"/>
          <w:sz w:val="24"/>
          <w:szCs w:val="24"/>
        </w:rPr>
        <w:t>（二）、侧石前倾后仰</w:t>
      </w:r>
    </w:p>
    <w:p w14:paraId="19472682">
      <w:pPr>
        <w:pStyle w:val="2"/>
        <w:spacing w:before="117" w:line="264" w:lineRule="auto"/>
        <w:ind w:left="1459" w:right="1440" w:firstLine="444"/>
        <w:rPr>
          <w:sz w:val="24"/>
          <w:szCs w:val="24"/>
        </w:rPr>
      </w:pPr>
      <w:r>
        <w:rPr>
          <w:spacing w:val="-23"/>
          <w:sz w:val="24"/>
          <w:szCs w:val="24"/>
        </w:rPr>
        <w:t>1、现象：侧石安载成活并铺筑路面后，局部或大部有前倾后仰而多数为前倾即向路</w:t>
      </w:r>
      <w:r>
        <w:rPr>
          <w:spacing w:val="-24"/>
          <w:sz w:val="24"/>
          <w:szCs w:val="24"/>
        </w:rPr>
        <w:t>面倾，</w:t>
      </w:r>
      <w:r>
        <w:rPr>
          <w:spacing w:val="-18"/>
          <w:sz w:val="24"/>
          <w:szCs w:val="24"/>
        </w:rPr>
        <w:t>且顶面不平。</w:t>
      </w:r>
    </w:p>
    <w:p w14:paraId="316B653C">
      <w:pPr>
        <w:pStyle w:val="2"/>
        <w:spacing w:before="114" w:line="217" w:lineRule="auto"/>
        <w:ind w:left="1888"/>
        <w:rPr>
          <w:sz w:val="24"/>
          <w:szCs w:val="24"/>
        </w:rPr>
      </w:pPr>
      <w:r>
        <w:rPr>
          <w:spacing w:val="-16"/>
          <w:sz w:val="24"/>
          <w:szCs w:val="24"/>
        </w:rPr>
        <w:t>2、原因分析：</w:t>
      </w:r>
    </w:p>
    <w:p w14:paraId="0AAF2F0E">
      <w:pPr>
        <w:spacing w:line="217" w:lineRule="auto"/>
        <w:rPr>
          <w:sz w:val="24"/>
          <w:szCs w:val="24"/>
        </w:rPr>
        <w:sectPr>
          <w:footerReference r:id="rId225" w:type="default"/>
          <w:pgSz w:w="11907" w:h="16839"/>
          <w:pgMar w:top="954" w:right="4" w:bottom="1038" w:left="0" w:header="499" w:footer="357" w:gutter="0"/>
          <w:pgBorders>
            <w:top w:val="none" w:sz="0" w:space="0"/>
            <w:left w:val="none" w:sz="0" w:space="0"/>
            <w:bottom w:val="none" w:sz="0" w:space="0"/>
            <w:right w:val="none" w:sz="0" w:space="0"/>
          </w:pgBorders>
          <w:cols w:space="720" w:num="1"/>
        </w:sectPr>
      </w:pPr>
    </w:p>
    <w:p w14:paraId="1851B7A7">
      <w:pPr>
        <w:spacing w:line="250" w:lineRule="auto"/>
        <w:rPr>
          <w:rFonts w:ascii="Arial"/>
          <w:sz w:val="21"/>
        </w:rPr>
      </w:pPr>
    </w:p>
    <w:p w14:paraId="4A8EF74B">
      <w:pPr>
        <w:pStyle w:val="2"/>
        <w:spacing w:before="78" w:line="218" w:lineRule="auto"/>
        <w:ind w:left="1893"/>
        <w:rPr>
          <w:sz w:val="24"/>
          <w:szCs w:val="24"/>
        </w:rPr>
      </w:pPr>
      <w:r>
        <w:rPr>
          <w:spacing w:val="-22"/>
          <w:sz w:val="24"/>
          <w:szCs w:val="24"/>
        </w:rPr>
        <w:t>（1）安载时只顾及侧石内侧上角的直顺度，未顾及立面垂直度和顶面水平度。</w:t>
      </w:r>
    </w:p>
    <w:p w14:paraId="4FFBF8B8">
      <w:pPr>
        <w:pStyle w:val="2"/>
        <w:spacing w:before="117" w:line="261" w:lineRule="auto"/>
        <w:ind w:left="1487" w:right="1410" w:firstLine="405"/>
        <w:rPr>
          <w:sz w:val="24"/>
          <w:szCs w:val="24"/>
        </w:rPr>
      </w:pPr>
      <w:r>
        <w:rPr>
          <w:spacing w:val="-22"/>
          <w:sz w:val="24"/>
          <w:szCs w:val="24"/>
        </w:rPr>
        <w:t>（2）侧石安载后填土夯实时，下半部内外不实，当牙背上半部填土夯实时，受土压</w:t>
      </w:r>
      <w:r>
        <w:rPr>
          <w:spacing w:val="-23"/>
          <w:sz w:val="24"/>
          <w:szCs w:val="24"/>
        </w:rPr>
        <w:t>力挤压</w:t>
      </w:r>
      <w:r>
        <w:rPr>
          <w:spacing w:val="-22"/>
          <w:sz w:val="24"/>
          <w:szCs w:val="24"/>
        </w:rPr>
        <w:t>向内倾。侧石外侧不设人行道时，经车轮等外力内侧的挤撞，侧石</w:t>
      </w:r>
      <w:r>
        <w:rPr>
          <w:spacing w:val="-23"/>
          <w:sz w:val="24"/>
          <w:szCs w:val="24"/>
        </w:rPr>
        <w:t>便向外仰。</w:t>
      </w:r>
    </w:p>
    <w:p w14:paraId="79DAA66C">
      <w:pPr>
        <w:pStyle w:val="2"/>
        <w:spacing w:before="121" w:line="217" w:lineRule="auto"/>
        <w:ind w:left="1890"/>
        <w:rPr>
          <w:sz w:val="24"/>
          <w:szCs w:val="24"/>
        </w:rPr>
      </w:pPr>
      <w:r>
        <w:rPr>
          <w:spacing w:val="-21"/>
          <w:sz w:val="24"/>
          <w:szCs w:val="24"/>
        </w:rPr>
        <w:t>3、危害：侧石的内倾外仰，破坏了侧石整体直顺度，影响路容和道路的外观质量。</w:t>
      </w:r>
    </w:p>
    <w:p w14:paraId="5D9C73F1">
      <w:pPr>
        <w:pStyle w:val="2"/>
        <w:spacing w:before="118" w:line="218" w:lineRule="auto"/>
        <w:ind w:left="1884"/>
        <w:rPr>
          <w:sz w:val="24"/>
          <w:szCs w:val="24"/>
        </w:rPr>
      </w:pPr>
      <w:r>
        <w:rPr>
          <w:spacing w:val="-16"/>
          <w:sz w:val="24"/>
          <w:szCs w:val="24"/>
        </w:rPr>
        <w:t>4、治理方法：</w:t>
      </w:r>
    </w:p>
    <w:p w14:paraId="2CF9B904">
      <w:pPr>
        <w:pStyle w:val="2"/>
        <w:spacing w:before="114" w:line="263" w:lineRule="auto"/>
        <w:ind w:left="1457" w:right="1413" w:firstLine="435"/>
        <w:rPr>
          <w:sz w:val="24"/>
          <w:szCs w:val="24"/>
        </w:rPr>
      </w:pPr>
      <w:r>
        <w:rPr>
          <w:spacing w:val="-22"/>
          <w:sz w:val="24"/>
          <w:szCs w:val="24"/>
        </w:rPr>
        <w:t>（1）侧石的安载既要控制内上棱角的直顺度，以要注意立面的垂直度，顶面</w:t>
      </w:r>
      <w:r>
        <w:rPr>
          <w:spacing w:val="-23"/>
          <w:sz w:val="24"/>
          <w:szCs w:val="24"/>
        </w:rPr>
        <w:t>水平度的检查</w:t>
      </w:r>
      <w:r>
        <w:rPr>
          <w:spacing w:val="-21"/>
          <w:sz w:val="24"/>
          <w:szCs w:val="24"/>
        </w:rPr>
        <w:t>控制。</w:t>
      </w:r>
    </w:p>
    <w:p w14:paraId="4AFC977B">
      <w:pPr>
        <w:pStyle w:val="2"/>
        <w:spacing w:before="119" w:line="217" w:lineRule="auto"/>
        <w:ind w:left="1893"/>
        <w:rPr>
          <w:sz w:val="24"/>
          <w:szCs w:val="24"/>
        </w:rPr>
      </w:pPr>
      <w:r>
        <w:rPr>
          <w:spacing w:val="-22"/>
          <w:sz w:val="24"/>
          <w:szCs w:val="24"/>
        </w:rPr>
        <w:t>（2）侧石安载调直后，侧石跟部的砼靠背浇筑不能草率从事；要按设计图纸尺寸施工。</w:t>
      </w:r>
    </w:p>
    <w:p w14:paraId="2F3339A0">
      <w:pPr>
        <w:pStyle w:val="2"/>
        <w:spacing w:before="115" w:line="219" w:lineRule="auto"/>
        <w:ind w:left="1893"/>
        <w:rPr>
          <w:sz w:val="24"/>
          <w:szCs w:val="24"/>
        </w:rPr>
      </w:pPr>
      <w:r>
        <w:rPr>
          <w:spacing w:val="-20"/>
          <w:sz w:val="24"/>
          <w:szCs w:val="24"/>
        </w:rPr>
        <w:t>（三）、“平石”顶面不平不直</w:t>
      </w:r>
    </w:p>
    <w:p w14:paraId="4BA20D3E">
      <w:pPr>
        <w:pStyle w:val="2"/>
        <w:spacing w:before="116" w:line="219" w:lineRule="auto"/>
        <w:ind w:left="1903"/>
        <w:rPr>
          <w:sz w:val="24"/>
          <w:szCs w:val="24"/>
        </w:rPr>
      </w:pPr>
      <w:r>
        <w:rPr>
          <w:spacing w:val="-25"/>
          <w:sz w:val="24"/>
          <w:szCs w:val="24"/>
        </w:rPr>
        <w:t>1、现象：</w:t>
      </w:r>
    </w:p>
    <w:p w14:paraId="08A42236">
      <w:pPr>
        <w:pStyle w:val="2"/>
        <w:spacing w:before="117" w:line="219" w:lineRule="auto"/>
        <w:ind w:left="1893"/>
        <w:rPr>
          <w:sz w:val="24"/>
          <w:szCs w:val="24"/>
        </w:rPr>
      </w:pPr>
      <w:r>
        <w:rPr>
          <w:spacing w:val="-20"/>
          <w:sz w:val="24"/>
          <w:szCs w:val="24"/>
        </w:rPr>
        <w:t>（1）平石顶面高于或低于路面边缘。</w:t>
      </w:r>
    </w:p>
    <w:p w14:paraId="3AAE86C7">
      <w:pPr>
        <w:pStyle w:val="2"/>
        <w:spacing w:before="114" w:line="215" w:lineRule="auto"/>
        <w:ind w:left="1893"/>
        <w:rPr>
          <w:sz w:val="24"/>
          <w:szCs w:val="24"/>
        </w:rPr>
      </w:pPr>
      <w:r>
        <w:rPr>
          <w:spacing w:val="-21"/>
          <w:sz w:val="24"/>
          <w:szCs w:val="24"/>
        </w:rPr>
        <w:t>（2）平石向内向外倾斜，牙身压碎或被碾轮推挤出弯。</w:t>
      </w:r>
    </w:p>
    <w:p w14:paraId="558351B1">
      <w:pPr>
        <w:pStyle w:val="2"/>
        <w:spacing w:before="121" w:line="278" w:lineRule="auto"/>
        <w:ind w:left="1455" w:right="1412" w:firstLine="432"/>
        <w:rPr>
          <w:sz w:val="24"/>
          <w:szCs w:val="24"/>
        </w:rPr>
      </w:pPr>
      <w:r>
        <w:rPr>
          <w:spacing w:val="-22"/>
          <w:sz w:val="24"/>
          <w:szCs w:val="24"/>
        </w:rPr>
        <w:t>2、原因分析：造成水泥混凝土平石不平不直的原因，水泥混凝土平石在碾压面层时一般是</w:t>
      </w:r>
      <w:r>
        <w:rPr>
          <w:spacing w:val="-20"/>
          <w:sz w:val="24"/>
          <w:szCs w:val="24"/>
        </w:rPr>
        <w:t>不能上碾压的，由于施工时高程控制不准，或因路边缘底层高低不平，造成油路边缘与平石出</w:t>
      </w:r>
      <w:r>
        <w:rPr>
          <w:spacing w:val="-17"/>
          <w:sz w:val="24"/>
          <w:szCs w:val="24"/>
        </w:rPr>
        <w:t>现高低差。</w:t>
      </w:r>
    </w:p>
    <w:p w14:paraId="75B64AD2">
      <w:pPr>
        <w:pStyle w:val="2"/>
        <w:spacing w:before="116" w:line="219" w:lineRule="auto"/>
        <w:ind w:left="1890"/>
        <w:rPr>
          <w:sz w:val="24"/>
          <w:szCs w:val="24"/>
        </w:rPr>
      </w:pPr>
      <w:r>
        <w:rPr>
          <w:spacing w:val="-23"/>
          <w:sz w:val="24"/>
          <w:szCs w:val="24"/>
        </w:rPr>
        <w:t>3、危害：</w:t>
      </w:r>
    </w:p>
    <w:p w14:paraId="7509933F">
      <w:pPr>
        <w:pStyle w:val="2"/>
        <w:spacing w:before="116" w:line="217" w:lineRule="auto"/>
        <w:ind w:left="1893"/>
        <w:rPr>
          <w:sz w:val="24"/>
          <w:szCs w:val="24"/>
        </w:rPr>
      </w:pPr>
      <w:r>
        <w:rPr>
          <w:spacing w:val="-21"/>
          <w:sz w:val="24"/>
          <w:szCs w:val="24"/>
        </w:rPr>
        <w:t>（1）影响道路整体的外观质量和横断面高程。</w:t>
      </w:r>
    </w:p>
    <w:p w14:paraId="6892666C">
      <w:pPr>
        <w:pStyle w:val="2"/>
        <w:spacing w:before="116" w:line="217" w:lineRule="auto"/>
        <w:ind w:left="1893"/>
        <w:rPr>
          <w:sz w:val="24"/>
          <w:szCs w:val="24"/>
        </w:rPr>
      </w:pPr>
      <w:r>
        <w:rPr>
          <w:spacing w:val="-21"/>
          <w:sz w:val="24"/>
          <w:szCs w:val="24"/>
        </w:rPr>
        <w:t>（2）平石的曲弯与倾倒，易使油路边掰裂，是造成路边早期破坏的根源。</w:t>
      </w:r>
    </w:p>
    <w:p w14:paraId="2B90D062">
      <w:pPr>
        <w:pStyle w:val="2"/>
        <w:spacing w:before="118" w:line="308" w:lineRule="auto"/>
        <w:ind w:left="1456" w:right="1411" w:firstLine="428"/>
        <w:jc w:val="both"/>
        <w:rPr>
          <w:sz w:val="24"/>
          <w:szCs w:val="24"/>
        </w:rPr>
      </w:pPr>
      <w:r>
        <w:rPr>
          <w:spacing w:val="-22"/>
          <w:sz w:val="24"/>
          <w:szCs w:val="24"/>
        </w:rPr>
        <w:t>4、治理方法：水泥混凝土平石顶面和路边缘底层都要严格控制高程和平整度。在摊铺沥青</w:t>
      </w:r>
      <w:r>
        <w:rPr>
          <w:spacing w:val="-20"/>
          <w:sz w:val="24"/>
          <w:szCs w:val="24"/>
        </w:rPr>
        <w:t>混合料时，要按照压实系数，需高出平石顶面，当碾压油面时，要跟人使用热墩锤和热烙铁修</w:t>
      </w:r>
      <w:r>
        <w:rPr>
          <w:spacing w:val="-22"/>
          <w:sz w:val="24"/>
          <w:szCs w:val="24"/>
        </w:rPr>
        <w:t>整夯实边缘，使油路边与平石接平接实。</w:t>
      </w:r>
    </w:p>
    <w:p w14:paraId="51FA362C">
      <w:pPr>
        <w:pStyle w:val="2"/>
        <w:spacing w:before="1" w:line="218" w:lineRule="auto"/>
        <w:ind w:left="1893"/>
        <w:rPr>
          <w:sz w:val="24"/>
          <w:szCs w:val="24"/>
        </w:rPr>
      </w:pPr>
      <w:r>
        <w:rPr>
          <w:spacing w:val="-20"/>
          <w:sz w:val="24"/>
          <w:szCs w:val="24"/>
        </w:rPr>
        <w:t>（四）、侧石外露尺寸不一致</w:t>
      </w:r>
    </w:p>
    <w:p w14:paraId="5564C22C">
      <w:pPr>
        <w:pStyle w:val="2"/>
        <w:spacing w:before="116" w:line="219" w:lineRule="auto"/>
        <w:ind w:left="1903"/>
        <w:rPr>
          <w:sz w:val="24"/>
          <w:szCs w:val="24"/>
        </w:rPr>
      </w:pPr>
      <w:r>
        <w:rPr>
          <w:spacing w:val="-25"/>
          <w:sz w:val="24"/>
          <w:szCs w:val="24"/>
        </w:rPr>
        <w:t>1、现象：</w:t>
      </w:r>
    </w:p>
    <w:p w14:paraId="1F0E9CAE">
      <w:pPr>
        <w:pStyle w:val="2"/>
        <w:spacing w:before="115" w:line="263" w:lineRule="auto"/>
        <w:ind w:left="1447" w:right="1423" w:firstLine="445"/>
        <w:rPr>
          <w:sz w:val="24"/>
          <w:szCs w:val="24"/>
        </w:rPr>
      </w:pPr>
      <w:r>
        <w:rPr>
          <w:spacing w:val="-21"/>
          <w:sz w:val="24"/>
          <w:szCs w:val="24"/>
        </w:rPr>
        <w:t>（1）侧石顶面与路面边缘相对高差不一致。</w:t>
      </w:r>
      <w:r>
        <w:rPr>
          <w:spacing w:val="-22"/>
          <w:sz w:val="24"/>
          <w:szCs w:val="24"/>
        </w:rPr>
        <w:t>以设计外露高度15cm为例，在实际工程上有8</w:t>
      </w:r>
      <w:r>
        <w:rPr>
          <w:spacing w:val="-18"/>
          <w:sz w:val="24"/>
          <w:szCs w:val="24"/>
        </w:rPr>
        <w:t>—9cm的，有18—20cm的。</w:t>
      </w:r>
    </w:p>
    <w:p w14:paraId="6495A439">
      <w:pPr>
        <w:pStyle w:val="2"/>
        <w:spacing w:before="117" w:line="219" w:lineRule="auto"/>
        <w:ind w:left="1893"/>
        <w:rPr>
          <w:sz w:val="24"/>
          <w:szCs w:val="24"/>
        </w:rPr>
      </w:pPr>
      <w:r>
        <w:rPr>
          <w:spacing w:val="-20"/>
          <w:sz w:val="24"/>
          <w:szCs w:val="24"/>
        </w:rPr>
        <w:t>（2）侧石顶面纵向呈波浪状。</w:t>
      </w:r>
    </w:p>
    <w:p w14:paraId="1942320F">
      <w:pPr>
        <w:pStyle w:val="2"/>
        <w:spacing w:before="114" w:line="217" w:lineRule="auto"/>
        <w:ind w:left="1888"/>
        <w:rPr>
          <w:sz w:val="24"/>
          <w:szCs w:val="24"/>
        </w:rPr>
      </w:pPr>
      <w:r>
        <w:rPr>
          <w:spacing w:val="-16"/>
          <w:sz w:val="24"/>
          <w:szCs w:val="24"/>
        </w:rPr>
        <w:t>2、原因分析：</w:t>
      </w:r>
    </w:p>
    <w:p w14:paraId="6ABDB945">
      <w:pPr>
        <w:pStyle w:val="2"/>
        <w:spacing w:before="119" w:line="217" w:lineRule="auto"/>
        <w:ind w:left="1893"/>
        <w:rPr>
          <w:sz w:val="24"/>
          <w:szCs w:val="24"/>
        </w:rPr>
      </w:pPr>
      <w:r>
        <w:rPr>
          <w:spacing w:val="-21"/>
          <w:sz w:val="24"/>
          <w:szCs w:val="24"/>
        </w:rPr>
        <w:t>（1）侧石高程控制较好而忽视路面边缘高程的控制，造成路边波浪。</w:t>
      </w:r>
    </w:p>
    <w:p w14:paraId="2A9420C3">
      <w:pPr>
        <w:pStyle w:val="2"/>
        <w:spacing w:before="119" w:line="217" w:lineRule="auto"/>
        <w:ind w:left="1893"/>
        <w:rPr>
          <w:sz w:val="24"/>
          <w:szCs w:val="24"/>
        </w:rPr>
      </w:pPr>
      <w:r>
        <w:rPr>
          <w:spacing w:val="-21"/>
          <w:sz w:val="24"/>
          <w:szCs w:val="24"/>
        </w:rPr>
        <w:t>（2）路面边缘高程控制较好，而忽视了侧石高程的控制，造成侧石顶面波浪。</w:t>
      </w:r>
    </w:p>
    <w:p w14:paraId="63D7591D">
      <w:pPr>
        <w:pStyle w:val="2"/>
        <w:spacing w:before="116" w:line="216" w:lineRule="auto"/>
        <w:ind w:left="1893"/>
        <w:rPr>
          <w:sz w:val="24"/>
          <w:szCs w:val="24"/>
        </w:rPr>
      </w:pPr>
      <w:r>
        <w:rPr>
          <w:spacing w:val="-21"/>
          <w:sz w:val="24"/>
          <w:szCs w:val="24"/>
        </w:rPr>
        <w:t>（3）两种情况兼而有之，必然都会造成侧石与路面边缘相对高差不一致。</w:t>
      </w:r>
    </w:p>
    <w:p w14:paraId="1E2FC312">
      <w:pPr>
        <w:pStyle w:val="2"/>
        <w:spacing w:before="120" w:line="219" w:lineRule="auto"/>
        <w:ind w:left="1890"/>
        <w:rPr>
          <w:sz w:val="24"/>
          <w:szCs w:val="24"/>
        </w:rPr>
      </w:pPr>
      <w:r>
        <w:rPr>
          <w:spacing w:val="-18"/>
          <w:sz w:val="24"/>
          <w:szCs w:val="24"/>
        </w:rPr>
        <w:t>3、危害：</w:t>
      </w:r>
    </w:p>
    <w:p w14:paraId="0FE239C3">
      <w:pPr>
        <w:pStyle w:val="2"/>
        <w:spacing w:before="116" w:line="218" w:lineRule="auto"/>
        <w:ind w:left="1893"/>
        <w:rPr>
          <w:sz w:val="24"/>
          <w:szCs w:val="24"/>
        </w:rPr>
      </w:pPr>
      <w:r>
        <w:rPr>
          <w:spacing w:val="-20"/>
          <w:sz w:val="24"/>
          <w:szCs w:val="24"/>
        </w:rPr>
        <w:t>（1）影响道路整体的外观质量。</w:t>
      </w:r>
    </w:p>
    <w:p w14:paraId="4BD63CC2">
      <w:pPr>
        <w:pStyle w:val="2"/>
        <w:spacing w:before="115" w:line="217" w:lineRule="auto"/>
        <w:ind w:left="1893"/>
        <w:rPr>
          <w:sz w:val="24"/>
          <w:szCs w:val="24"/>
        </w:rPr>
      </w:pPr>
      <w:r>
        <w:rPr>
          <w:spacing w:val="-21"/>
          <w:sz w:val="24"/>
          <w:szCs w:val="24"/>
        </w:rPr>
        <w:t>（2）顶面波浪将会影响路面横断面高程的合格率，还会造成两雨水口间路边积水。</w:t>
      </w:r>
    </w:p>
    <w:p w14:paraId="51C90EC6">
      <w:pPr>
        <w:pStyle w:val="2"/>
        <w:spacing w:before="119" w:line="218" w:lineRule="auto"/>
        <w:ind w:left="1884"/>
        <w:rPr>
          <w:sz w:val="24"/>
          <w:szCs w:val="24"/>
        </w:rPr>
      </w:pPr>
      <w:r>
        <w:rPr>
          <w:spacing w:val="-16"/>
          <w:sz w:val="24"/>
          <w:szCs w:val="24"/>
        </w:rPr>
        <w:t>4、治理方法：</w:t>
      </w:r>
    </w:p>
    <w:p w14:paraId="15579188">
      <w:pPr>
        <w:pStyle w:val="2"/>
        <w:spacing w:before="117" w:line="307" w:lineRule="auto"/>
        <w:ind w:left="1459" w:right="1411" w:firstLine="433"/>
        <w:rPr>
          <w:sz w:val="24"/>
          <w:szCs w:val="24"/>
        </w:rPr>
      </w:pPr>
      <w:r>
        <w:rPr>
          <w:spacing w:val="-22"/>
          <w:sz w:val="24"/>
          <w:szCs w:val="24"/>
        </w:rPr>
        <w:t>（1）侧石高程与路面中心高程要同时使用一个系列水准标点。严格给予控制，</w:t>
      </w:r>
      <w:r>
        <w:rPr>
          <w:spacing w:val="-23"/>
          <w:sz w:val="24"/>
          <w:szCs w:val="24"/>
        </w:rPr>
        <w:t>在施工侧石</w:t>
      </w:r>
      <w:r>
        <w:rPr>
          <w:spacing w:val="-20"/>
          <w:sz w:val="24"/>
          <w:szCs w:val="24"/>
        </w:rPr>
        <w:t>过程中要随时检查校正调和桩的变化，并随时抽查已安载好的侧石高程。不应放一次高程桩便</w:t>
      </w:r>
    </w:p>
    <w:p w14:paraId="315F881A">
      <w:pPr>
        <w:spacing w:line="307" w:lineRule="auto"/>
        <w:rPr>
          <w:sz w:val="24"/>
          <w:szCs w:val="24"/>
        </w:rPr>
        <w:sectPr>
          <w:footerReference r:id="rId226" w:type="default"/>
          <w:pgSz w:w="11907" w:h="16839"/>
          <w:pgMar w:top="954" w:right="4" w:bottom="1038" w:left="0" w:header="499" w:footer="357" w:gutter="0"/>
          <w:pgBorders>
            <w:top w:val="none" w:sz="0" w:space="0"/>
            <w:left w:val="none" w:sz="0" w:space="0"/>
            <w:bottom w:val="none" w:sz="0" w:space="0"/>
            <w:right w:val="none" w:sz="0" w:space="0"/>
          </w:pgBorders>
          <w:cols w:space="720" w:num="1"/>
        </w:sectPr>
      </w:pPr>
    </w:p>
    <w:p w14:paraId="754C55CF">
      <w:pPr>
        <w:spacing w:line="249" w:lineRule="auto"/>
        <w:rPr>
          <w:rFonts w:ascii="Arial"/>
          <w:sz w:val="21"/>
        </w:rPr>
      </w:pPr>
    </w:p>
    <w:p w14:paraId="701F83F0">
      <w:pPr>
        <w:pStyle w:val="2"/>
        <w:spacing w:before="78" w:line="308" w:lineRule="auto"/>
        <w:ind w:left="1459" w:right="1414"/>
        <w:rPr>
          <w:sz w:val="24"/>
          <w:szCs w:val="24"/>
        </w:rPr>
      </w:pPr>
      <w:r>
        <w:rPr>
          <w:spacing w:val="-20"/>
          <w:sz w:val="24"/>
          <w:szCs w:val="24"/>
        </w:rPr>
        <w:t>一劳永逸。这样可以检验和复核已放的高程桩是否准确，同时也检验操作者在使用高程桩是否</w:t>
      </w:r>
      <w:r>
        <w:rPr>
          <w:spacing w:val="-21"/>
          <w:sz w:val="24"/>
          <w:szCs w:val="24"/>
        </w:rPr>
        <w:t>正确。</w:t>
      </w:r>
    </w:p>
    <w:p w14:paraId="010A9437">
      <w:pPr>
        <w:pStyle w:val="2"/>
        <w:spacing w:line="308" w:lineRule="auto"/>
        <w:ind w:left="1470" w:right="1409" w:firstLine="422"/>
        <w:rPr>
          <w:sz w:val="24"/>
          <w:szCs w:val="24"/>
        </w:rPr>
      </w:pPr>
      <w:r>
        <w:rPr>
          <w:spacing w:val="-22"/>
          <w:sz w:val="24"/>
          <w:szCs w:val="24"/>
        </w:rPr>
        <w:t>（2）依靠准确的侧石高程，在侧石立面上弹出路面边线高程，依据此线，应事先找补</w:t>
      </w:r>
      <w:r>
        <w:rPr>
          <w:spacing w:val="-23"/>
          <w:sz w:val="24"/>
          <w:szCs w:val="24"/>
        </w:rPr>
        <w:t>修整</w:t>
      </w:r>
      <w:r>
        <w:rPr>
          <w:spacing w:val="-22"/>
          <w:sz w:val="24"/>
          <w:szCs w:val="24"/>
        </w:rPr>
        <w:t>的一次路边底层平整度和密实度。摊铺面层时，严格按弹线控制</w:t>
      </w:r>
      <w:r>
        <w:rPr>
          <w:spacing w:val="-23"/>
          <w:sz w:val="24"/>
          <w:szCs w:val="24"/>
        </w:rPr>
        <w:t>高程。</w:t>
      </w:r>
    </w:p>
    <w:p w14:paraId="6E8D2E0E">
      <w:pPr>
        <w:pStyle w:val="2"/>
        <w:spacing w:line="218" w:lineRule="auto"/>
        <w:ind w:left="1893"/>
        <w:rPr>
          <w:sz w:val="24"/>
          <w:szCs w:val="24"/>
        </w:rPr>
      </w:pPr>
      <w:r>
        <w:rPr>
          <w:spacing w:val="-20"/>
          <w:sz w:val="24"/>
          <w:szCs w:val="24"/>
        </w:rPr>
        <w:t>（五）、弯道八字不圆顺</w:t>
      </w:r>
    </w:p>
    <w:p w14:paraId="35353F9C">
      <w:pPr>
        <w:pStyle w:val="2"/>
        <w:spacing w:before="114" w:line="219" w:lineRule="auto"/>
        <w:ind w:left="1903"/>
        <w:rPr>
          <w:sz w:val="24"/>
          <w:szCs w:val="24"/>
        </w:rPr>
      </w:pPr>
      <w:r>
        <w:rPr>
          <w:spacing w:val="-25"/>
          <w:sz w:val="24"/>
          <w:szCs w:val="24"/>
        </w:rPr>
        <w:t>1、现象：</w:t>
      </w:r>
    </w:p>
    <w:p w14:paraId="60245B24">
      <w:pPr>
        <w:pStyle w:val="2"/>
        <w:spacing w:before="117" w:line="262" w:lineRule="auto"/>
        <w:ind w:left="1455" w:right="1429" w:firstLine="437"/>
        <w:rPr>
          <w:sz w:val="24"/>
          <w:szCs w:val="24"/>
        </w:rPr>
      </w:pPr>
      <w:r>
        <w:rPr>
          <w:spacing w:val="-23"/>
          <w:sz w:val="24"/>
          <w:szCs w:val="24"/>
        </w:rPr>
        <w:t>（1）路线大半径弯道，局部不圆顺，有折点，和路口小半径八字符合圆半径的要求，出现</w:t>
      </w:r>
      <w:r>
        <w:rPr>
          <w:spacing w:val="-20"/>
          <w:sz w:val="24"/>
          <w:szCs w:val="24"/>
        </w:rPr>
        <w:t>折角，或出现多个弧度。</w:t>
      </w:r>
    </w:p>
    <w:p w14:paraId="082B8BA9">
      <w:pPr>
        <w:pStyle w:val="2"/>
        <w:spacing w:before="117" w:line="262" w:lineRule="auto"/>
        <w:ind w:left="1458" w:right="1411" w:firstLine="434"/>
        <w:rPr>
          <w:sz w:val="24"/>
          <w:szCs w:val="24"/>
        </w:rPr>
      </w:pPr>
      <w:r>
        <w:rPr>
          <w:spacing w:val="-22"/>
          <w:sz w:val="24"/>
          <w:szCs w:val="24"/>
        </w:rPr>
        <w:t>（2）侧石高程与路面边缘相对高差悬殊，出现较切点以外明显高突，多数出现</w:t>
      </w:r>
      <w:r>
        <w:rPr>
          <w:spacing w:val="-23"/>
          <w:sz w:val="24"/>
          <w:szCs w:val="24"/>
        </w:rPr>
        <w:t>在路口小半</w:t>
      </w:r>
      <w:r>
        <w:rPr>
          <w:spacing w:val="-21"/>
          <w:sz w:val="24"/>
          <w:szCs w:val="24"/>
        </w:rPr>
        <w:t>径八字和隔离带断口圆头牙。</w:t>
      </w:r>
    </w:p>
    <w:p w14:paraId="495FB819">
      <w:pPr>
        <w:pStyle w:val="2"/>
        <w:spacing w:before="121" w:line="219" w:lineRule="auto"/>
        <w:ind w:left="1893"/>
        <w:rPr>
          <w:sz w:val="24"/>
          <w:szCs w:val="24"/>
        </w:rPr>
      </w:pPr>
      <w:r>
        <w:rPr>
          <w:spacing w:val="-21"/>
          <w:sz w:val="24"/>
          <w:szCs w:val="24"/>
        </w:rPr>
        <w:t>（3）一个路口两侧八字侧石外露一侧高一侧低。</w:t>
      </w:r>
    </w:p>
    <w:p w14:paraId="27B93607">
      <w:pPr>
        <w:pStyle w:val="2"/>
        <w:spacing w:before="114" w:line="217" w:lineRule="auto"/>
        <w:ind w:left="1888"/>
        <w:rPr>
          <w:sz w:val="24"/>
          <w:szCs w:val="24"/>
        </w:rPr>
      </w:pPr>
      <w:r>
        <w:rPr>
          <w:spacing w:val="-16"/>
          <w:sz w:val="24"/>
          <w:szCs w:val="24"/>
        </w:rPr>
        <w:t>2、原因分析：</w:t>
      </w:r>
    </w:p>
    <w:p w14:paraId="2968FD1E">
      <w:pPr>
        <w:pStyle w:val="2"/>
        <w:spacing w:before="118" w:line="217" w:lineRule="auto"/>
        <w:ind w:left="1893"/>
        <w:rPr>
          <w:sz w:val="24"/>
          <w:szCs w:val="24"/>
        </w:rPr>
      </w:pPr>
      <w:r>
        <w:rPr>
          <w:spacing w:val="-21"/>
          <w:sz w:val="24"/>
          <w:szCs w:val="24"/>
        </w:rPr>
        <w:t>（1）路线大半径曲线侧石安载后，宏观弯顺度未调顺，即还土固定。</w:t>
      </w:r>
    </w:p>
    <w:p w14:paraId="2EF6A2D7">
      <w:pPr>
        <w:pStyle w:val="2"/>
        <w:spacing w:before="119" w:line="217" w:lineRule="auto"/>
        <w:ind w:left="1893"/>
        <w:rPr>
          <w:sz w:val="24"/>
          <w:szCs w:val="24"/>
        </w:rPr>
      </w:pPr>
      <w:r>
        <w:rPr>
          <w:spacing w:val="-21"/>
          <w:sz w:val="24"/>
          <w:szCs w:val="24"/>
        </w:rPr>
        <w:t>（2）小半径圆弧，未放出圆心，按设计半径控制弧度。</w:t>
      </w:r>
    </w:p>
    <w:p w14:paraId="560F19F7">
      <w:pPr>
        <w:pStyle w:val="2"/>
        <w:spacing w:before="116" w:line="263" w:lineRule="auto"/>
        <w:ind w:left="1457" w:right="1411" w:firstLine="435"/>
        <w:rPr>
          <w:sz w:val="24"/>
          <w:szCs w:val="24"/>
        </w:rPr>
      </w:pPr>
      <w:r>
        <w:rPr>
          <w:spacing w:val="-22"/>
          <w:sz w:val="24"/>
          <w:szCs w:val="24"/>
        </w:rPr>
        <w:t>（3）隔离带断口未按断口横断高程或设计所给等高线控制侧石高程。对待侧石</w:t>
      </w:r>
      <w:r>
        <w:rPr>
          <w:spacing w:val="-23"/>
          <w:sz w:val="24"/>
          <w:szCs w:val="24"/>
        </w:rPr>
        <w:t>高程随意性</w:t>
      </w:r>
      <w:r>
        <w:rPr>
          <w:spacing w:val="-21"/>
          <w:sz w:val="24"/>
          <w:szCs w:val="24"/>
        </w:rPr>
        <w:t>较强。</w:t>
      </w:r>
    </w:p>
    <w:p w14:paraId="2FDC11BC">
      <w:pPr>
        <w:pStyle w:val="2"/>
        <w:spacing w:before="118" w:line="219" w:lineRule="auto"/>
        <w:ind w:left="1890"/>
        <w:rPr>
          <w:sz w:val="24"/>
          <w:szCs w:val="24"/>
        </w:rPr>
      </w:pPr>
      <w:r>
        <w:rPr>
          <w:spacing w:val="-23"/>
          <w:sz w:val="24"/>
          <w:szCs w:val="24"/>
        </w:rPr>
        <w:t>3、危害：</w:t>
      </w:r>
    </w:p>
    <w:p w14:paraId="08AD4051">
      <w:pPr>
        <w:pStyle w:val="2"/>
        <w:spacing w:before="114" w:line="219" w:lineRule="auto"/>
        <w:ind w:left="1893"/>
        <w:rPr>
          <w:sz w:val="24"/>
          <w:szCs w:val="24"/>
        </w:rPr>
      </w:pPr>
      <w:r>
        <w:rPr>
          <w:spacing w:val="-21"/>
          <w:sz w:val="24"/>
          <w:szCs w:val="24"/>
        </w:rPr>
        <w:t>侧石曲线不圆顺，主要影响外观质量。</w:t>
      </w:r>
    </w:p>
    <w:p w14:paraId="015D1DF2">
      <w:pPr>
        <w:pStyle w:val="2"/>
        <w:spacing w:before="116" w:line="218" w:lineRule="auto"/>
        <w:ind w:left="1884"/>
        <w:rPr>
          <w:sz w:val="24"/>
          <w:szCs w:val="24"/>
        </w:rPr>
      </w:pPr>
      <w:r>
        <w:rPr>
          <w:spacing w:val="-16"/>
          <w:sz w:val="24"/>
          <w:szCs w:val="24"/>
        </w:rPr>
        <w:t>4、治理方法：</w:t>
      </w:r>
    </w:p>
    <w:p w14:paraId="246877FB">
      <w:pPr>
        <w:pStyle w:val="2"/>
        <w:spacing w:before="117" w:line="261" w:lineRule="auto"/>
        <w:ind w:left="1460" w:right="1412" w:firstLine="432"/>
        <w:rPr>
          <w:sz w:val="24"/>
          <w:szCs w:val="24"/>
        </w:rPr>
      </w:pPr>
      <w:r>
        <w:rPr>
          <w:spacing w:val="-22"/>
          <w:sz w:val="24"/>
          <w:szCs w:val="24"/>
        </w:rPr>
        <w:t>（1）路线大半径曲线，除严格依照已控制的道路中线量出侧石位置控制安载外</w:t>
      </w:r>
      <w:r>
        <w:rPr>
          <w:spacing w:val="-23"/>
          <w:sz w:val="24"/>
          <w:szCs w:val="24"/>
        </w:rPr>
        <w:t>，还要做好</w:t>
      </w:r>
      <w:r>
        <w:rPr>
          <w:spacing w:val="-21"/>
          <w:sz w:val="24"/>
          <w:szCs w:val="24"/>
        </w:rPr>
        <w:t>宏观调顺后，在回填固定。</w:t>
      </w:r>
    </w:p>
    <w:p w14:paraId="5241A1B3">
      <w:pPr>
        <w:pStyle w:val="2"/>
        <w:spacing w:before="120" w:line="264" w:lineRule="auto"/>
        <w:ind w:left="1463" w:right="1411" w:firstLine="429"/>
        <w:rPr>
          <w:sz w:val="24"/>
          <w:szCs w:val="24"/>
        </w:rPr>
      </w:pPr>
      <w:r>
        <w:rPr>
          <w:spacing w:val="-22"/>
          <w:sz w:val="24"/>
          <w:szCs w:val="24"/>
        </w:rPr>
        <w:t>（2）小半径圆曲线要使用圆半径控制圆弧，要按路断口的纵横断面或等高线高</w:t>
      </w:r>
      <w:r>
        <w:rPr>
          <w:spacing w:val="-23"/>
          <w:sz w:val="24"/>
          <w:szCs w:val="24"/>
        </w:rPr>
        <w:t>程控制侧石</w:t>
      </w:r>
      <w:r>
        <w:rPr>
          <w:spacing w:val="-22"/>
          <w:sz w:val="24"/>
          <w:szCs w:val="24"/>
        </w:rPr>
        <w:t>高程。</w:t>
      </w:r>
    </w:p>
    <w:p w14:paraId="405386E1">
      <w:pPr>
        <w:pStyle w:val="2"/>
        <w:spacing w:before="115" w:line="262" w:lineRule="auto"/>
        <w:ind w:left="1456" w:right="1412" w:firstLine="436"/>
        <w:rPr>
          <w:sz w:val="24"/>
          <w:szCs w:val="24"/>
        </w:rPr>
      </w:pPr>
      <w:r>
        <w:rPr>
          <w:spacing w:val="-22"/>
          <w:sz w:val="24"/>
          <w:szCs w:val="24"/>
        </w:rPr>
        <w:t>（3）过小半径圆弧曲线，为了防治长侧石的折角和短侧石的不稳定及勾缝的困</w:t>
      </w:r>
      <w:r>
        <w:rPr>
          <w:spacing w:val="-23"/>
          <w:sz w:val="24"/>
          <w:szCs w:val="24"/>
        </w:rPr>
        <w:t>难，应按设</w:t>
      </w:r>
      <w:r>
        <w:rPr>
          <w:spacing w:val="-20"/>
          <w:sz w:val="24"/>
          <w:szCs w:val="24"/>
        </w:rPr>
        <w:t>计圆半径预制圆弧侧石。</w:t>
      </w:r>
    </w:p>
    <w:p w14:paraId="4726C390">
      <w:pPr>
        <w:pStyle w:val="2"/>
        <w:spacing w:before="119" w:line="219" w:lineRule="auto"/>
        <w:ind w:left="1893"/>
        <w:rPr>
          <w:sz w:val="24"/>
          <w:szCs w:val="24"/>
        </w:rPr>
      </w:pPr>
      <w:r>
        <w:rPr>
          <w:spacing w:val="-19"/>
          <w:sz w:val="24"/>
          <w:szCs w:val="24"/>
        </w:rPr>
        <w:t>（六）、平石不平</w:t>
      </w:r>
    </w:p>
    <w:p w14:paraId="46021111">
      <w:pPr>
        <w:pStyle w:val="2"/>
        <w:spacing w:before="114" w:line="219" w:lineRule="auto"/>
        <w:ind w:left="1903"/>
        <w:rPr>
          <w:sz w:val="24"/>
          <w:szCs w:val="24"/>
        </w:rPr>
      </w:pPr>
      <w:r>
        <w:rPr>
          <w:spacing w:val="-25"/>
          <w:sz w:val="24"/>
          <w:szCs w:val="24"/>
        </w:rPr>
        <w:t>1、现象：</w:t>
      </w:r>
    </w:p>
    <w:p w14:paraId="3600E7BC">
      <w:pPr>
        <w:pStyle w:val="2"/>
        <w:spacing w:before="117" w:line="217" w:lineRule="auto"/>
        <w:ind w:left="1893"/>
        <w:rPr>
          <w:sz w:val="24"/>
          <w:szCs w:val="24"/>
        </w:rPr>
      </w:pPr>
      <w:r>
        <w:rPr>
          <w:spacing w:val="-20"/>
          <w:sz w:val="24"/>
          <w:szCs w:val="24"/>
        </w:rPr>
        <w:t>（1）平石局部有下沉或相邻板差过大。</w:t>
      </w:r>
    </w:p>
    <w:p w14:paraId="0036DC24">
      <w:pPr>
        <w:pStyle w:val="2"/>
        <w:spacing w:before="119" w:line="218" w:lineRule="auto"/>
        <w:ind w:left="1893"/>
        <w:rPr>
          <w:sz w:val="24"/>
          <w:szCs w:val="24"/>
        </w:rPr>
      </w:pPr>
      <w:r>
        <w:rPr>
          <w:spacing w:val="-20"/>
          <w:sz w:val="24"/>
          <w:szCs w:val="24"/>
        </w:rPr>
        <w:t>（2）平石顶面纵向有明显波浪。</w:t>
      </w:r>
    </w:p>
    <w:p w14:paraId="515137FF">
      <w:pPr>
        <w:pStyle w:val="2"/>
        <w:spacing w:before="115" w:line="218" w:lineRule="auto"/>
        <w:ind w:left="1893"/>
        <w:rPr>
          <w:sz w:val="24"/>
          <w:szCs w:val="24"/>
        </w:rPr>
      </w:pPr>
      <w:r>
        <w:rPr>
          <w:spacing w:val="-21"/>
          <w:sz w:val="24"/>
          <w:szCs w:val="24"/>
        </w:rPr>
        <w:t>（3）平石材质差，表面不平整，有掉皮、起砂、</w:t>
      </w:r>
      <w:r>
        <w:rPr>
          <w:spacing w:val="-22"/>
          <w:sz w:val="24"/>
          <w:szCs w:val="24"/>
        </w:rPr>
        <w:t>裂缝等现象。</w:t>
      </w:r>
    </w:p>
    <w:p w14:paraId="520956FC">
      <w:pPr>
        <w:pStyle w:val="2"/>
        <w:spacing w:before="117" w:line="217" w:lineRule="auto"/>
        <w:ind w:left="1888"/>
        <w:rPr>
          <w:sz w:val="24"/>
          <w:szCs w:val="24"/>
        </w:rPr>
      </w:pPr>
      <w:r>
        <w:rPr>
          <w:spacing w:val="-16"/>
          <w:sz w:val="24"/>
          <w:szCs w:val="24"/>
        </w:rPr>
        <w:t>2、原因分析：</w:t>
      </w:r>
    </w:p>
    <w:p w14:paraId="69353B0B">
      <w:pPr>
        <w:pStyle w:val="2"/>
        <w:spacing w:before="118" w:line="217" w:lineRule="auto"/>
        <w:ind w:left="1893"/>
        <w:rPr>
          <w:sz w:val="24"/>
          <w:szCs w:val="24"/>
        </w:rPr>
      </w:pPr>
      <w:r>
        <w:rPr>
          <w:spacing w:val="-21"/>
          <w:sz w:val="24"/>
          <w:szCs w:val="24"/>
        </w:rPr>
        <w:t>（1）平石基底超挖部分或因高程不够找补部分未进行夯实。</w:t>
      </w:r>
    </w:p>
    <w:p w14:paraId="5B60B124">
      <w:pPr>
        <w:pStyle w:val="2"/>
        <w:spacing w:before="117" w:line="218" w:lineRule="auto"/>
        <w:ind w:left="1893"/>
        <w:rPr>
          <w:sz w:val="24"/>
          <w:szCs w:val="24"/>
        </w:rPr>
      </w:pPr>
      <w:r>
        <w:rPr>
          <w:spacing w:val="-21"/>
          <w:sz w:val="24"/>
          <w:szCs w:val="24"/>
        </w:rPr>
        <w:t>（2）板差大与砌筑工艺粗糙和平石（大方砖）本身表面不平或扭曲有关。</w:t>
      </w:r>
    </w:p>
    <w:p w14:paraId="474D82F7">
      <w:pPr>
        <w:pStyle w:val="2"/>
        <w:spacing w:before="117" w:line="217" w:lineRule="auto"/>
        <w:ind w:left="1893"/>
        <w:rPr>
          <w:sz w:val="24"/>
          <w:szCs w:val="24"/>
        </w:rPr>
      </w:pPr>
      <w:r>
        <w:rPr>
          <w:spacing w:val="-21"/>
          <w:sz w:val="24"/>
          <w:szCs w:val="24"/>
        </w:rPr>
        <w:t>（3）平石波浪，主要是纵断面高程失控造成。</w:t>
      </w:r>
    </w:p>
    <w:p w14:paraId="4D373C56">
      <w:pPr>
        <w:pStyle w:val="2"/>
        <w:spacing w:before="119" w:line="216" w:lineRule="auto"/>
        <w:ind w:left="1893"/>
        <w:rPr>
          <w:sz w:val="24"/>
          <w:szCs w:val="24"/>
        </w:rPr>
      </w:pPr>
      <w:r>
        <w:rPr>
          <w:spacing w:val="-20"/>
          <w:sz w:val="24"/>
          <w:szCs w:val="24"/>
        </w:rPr>
        <w:t>（4）未按质量标准把住材料进场质量关。</w:t>
      </w:r>
    </w:p>
    <w:p w14:paraId="375775F8">
      <w:pPr>
        <w:pStyle w:val="2"/>
        <w:spacing w:before="117" w:line="219" w:lineRule="auto"/>
        <w:ind w:left="1890"/>
        <w:rPr>
          <w:sz w:val="24"/>
          <w:szCs w:val="24"/>
        </w:rPr>
      </w:pPr>
      <w:r>
        <w:rPr>
          <w:spacing w:val="-23"/>
          <w:sz w:val="24"/>
          <w:szCs w:val="24"/>
        </w:rPr>
        <w:t>3、危害：</w:t>
      </w:r>
    </w:p>
    <w:p w14:paraId="309F3D76">
      <w:pPr>
        <w:spacing w:line="219" w:lineRule="auto"/>
        <w:rPr>
          <w:sz w:val="24"/>
          <w:szCs w:val="24"/>
        </w:rPr>
        <w:sectPr>
          <w:footerReference r:id="rId227" w:type="default"/>
          <w:pgSz w:w="11907" w:h="16839"/>
          <w:pgMar w:top="954" w:right="4" w:bottom="1038" w:left="0" w:header="499" w:footer="357" w:gutter="0"/>
          <w:pgBorders>
            <w:top w:val="none" w:sz="0" w:space="0"/>
            <w:left w:val="none" w:sz="0" w:space="0"/>
            <w:bottom w:val="none" w:sz="0" w:space="0"/>
            <w:right w:val="none" w:sz="0" w:space="0"/>
          </w:pgBorders>
          <w:cols w:space="720" w:num="1"/>
        </w:sectPr>
      </w:pPr>
    </w:p>
    <w:p w14:paraId="2C6B1927">
      <w:pPr>
        <w:spacing w:line="251" w:lineRule="auto"/>
        <w:rPr>
          <w:rFonts w:ascii="Arial"/>
          <w:sz w:val="21"/>
        </w:rPr>
      </w:pPr>
    </w:p>
    <w:p w14:paraId="46B31FDC">
      <w:pPr>
        <w:pStyle w:val="2"/>
        <w:spacing w:before="78" w:line="263" w:lineRule="auto"/>
        <w:ind w:left="1457" w:right="1412" w:firstLine="435"/>
        <w:rPr>
          <w:sz w:val="24"/>
          <w:szCs w:val="24"/>
        </w:rPr>
      </w:pPr>
      <w:r>
        <w:rPr>
          <w:spacing w:val="-22"/>
          <w:sz w:val="24"/>
          <w:szCs w:val="24"/>
        </w:rPr>
        <w:t>（1）平石纵向波浪，相邻板差、下沉，会造成雨水口之间积水：同时使路面与</w:t>
      </w:r>
      <w:r>
        <w:rPr>
          <w:spacing w:val="-23"/>
          <w:sz w:val="24"/>
          <w:szCs w:val="24"/>
        </w:rPr>
        <w:t>平石也不易</w:t>
      </w:r>
      <w:r>
        <w:rPr>
          <w:spacing w:val="-21"/>
          <w:sz w:val="24"/>
          <w:szCs w:val="24"/>
        </w:rPr>
        <w:t>接平，影响路面整体的外观质量。</w:t>
      </w:r>
    </w:p>
    <w:p w14:paraId="07F9056C">
      <w:pPr>
        <w:pStyle w:val="2"/>
        <w:spacing w:before="114" w:line="263" w:lineRule="auto"/>
        <w:ind w:left="1453" w:right="1343" w:firstLine="439"/>
        <w:rPr>
          <w:sz w:val="24"/>
          <w:szCs w:val="24"/>
        </w:rPr>
      </w:pPr>
      <w:r>
        <w:rPr>
          <w:spacing w:val="-26"/>
          <w:sz w:val="24"/>
          <w:szCs w:val="24"/>
        </w:rPr>
        <w:t>（2）平石多是承担路面排水的偏沟和清洁工人清扫磨耗的部位，如果材质不密实、强度低、</w:t>
      </w:r>
      <w:r>
        <w:rPr>
          <w:spacing w:val="-21"/>
          <w:sz w:val="24"/>
          <w:szCs w:val="24"/>
        </w:rPr>
        <w:t>有蜂窝、脱皮，会因渗水，冬春冻融风化等原因，造成混凝土平石</w:t>
      </w:r>
      <w:r>
        <w:rPr>
          <w:spacing w:val="-22"/>
          <w:sz w:val="24"/>
          <w:szCs w:val="24"/>
        </w:rPr>
        <w:t>松散出坑。</w:t>
      </w:r>
    </w:p>
    <w:p w14:paraId="16A38874">
      <w:pPr>
        <w:pStyle w:val="2"/>
        <w:spacing w:before="117" w:line="219" w:lineRule="auto"/>
        <w:ind w:left="1884"/>
        <w:rPr>
          <w:sz w:val="24"/>
          <w:szCs w:val="24"/>
        </w:rPr>
      </w:pPr>
      <w:r>
        <w:rPr>
          <w:spacing w:val="-16"/>
          <w:sz w:val="24"/>
          <w:szCs w:val="24"/>
        </w:rPr>
        <w:t>4、预防措施：</w:t>
      </w:r>
    </w:p>
    <w:p w14:paraId="56B5B178">
      <w:pPr>
        <w:pStyle w:val="2"/>
        <w:spacing w:before="114" w:line="217" w:lineRule="auto"/>
        <w:ind w:left="1893"/>
        <w:rPr>
          <w:sz w:val="24"/>
          <w:szCs w:val="24"/>
        </w:rPr>
      </w:pPr>
      <w:r>
        <w:rPr>
          <w:spacing w:val="-21"/>
          <w:sz w:val="24"/>
          <w:szCs w:val="24"/>
        </w:rPr>
        <w:t>（1）对平石的材质应该按其质量标准严格把住进场关。</w:t>
      </w:r>
    </w:p>
    <w:p w14:paraId="6BE585FD">
      <w:pPr>
        <w:pStyle w:val="2"/>
        <w:spacing w:before="118" w:line="217" w:lineRule="auto"/>
        <w:ind w:left="1893"/>
        <w:rPr>
          <w:sz w:val="24"/>
          <w:szCs w:val="24"/>
        </w:rPr>
      </w:pPr>
      <w:r>
        <w:rPr>
          <w:spacing w:val="-21"/>
          <w:sz w:val="24"/>
          <w:szCs w:val="24"/>
        </w:rPr>
        <w:t>（2）要保证每块平石基底的密实度。对超挖和找补填垫或其它废槽，必须补充夯实。</w:t>
      </w:r>
    </w:p>
    <w:p w14:paraId="71EB8A45">
      <w:pPr>
        <w:pStyle w:val="2"/>
        <w:spacing w:before="118" w:line="263" w:lineRule="auto"/>
        <w:ind w:left="1458" w:right="1410" w:firstLine="434"/>
        <w:rPr>
          <w:sz w:val="24"/>
          <w:szCs w:val="24"/>
        </w:rPr>
      </w:pPr>
      <w:r>
        <w:rPr>
          <w:spacing w:val="-22"/>
          <w:sz w:val="24"/>
          <w:szCs w:val="24"/>
        </w:rPr>
        <w:t>（3）对平石的内侧和外侧高程，应加密点给予控制，在砌筑中应随时用水准仪检查</w:t>
      </w:r>
      <w:r>
        <w:rPr>
          <w:spacing w:val="-23"/>
          <w:sz w:val="24"/>
          <w:szCs w:val="24"/>
        </w:rPr>
        <w:t>，并最</w:t>
      </w:r>
      <w:r>
        <w:rPr>
          <w:spacing w:val="-22"/>
          <w:sz w:val="24"/>
          <w:szCs w:val="24"/>
        </w:rPr>
        <w:t>后做好高程验收。</w:t>
      </w:r>
    </w:p>
    <w:p w14:paraId="6DD94EFD">
      <w:pPr>
        <w:pStyle w:val="2"/>
        <w:spacing w:before="117" w:line="263" w:lineRule="auto"/>
        <w:ind w:left="1467" w:right="1440" w:firstLine="425"/>
        <w:rPr>
          <w:sz w:val="24"/>
          <w:szCs w:val="24"/>
        </w:rPr>
      </w:pPr>
      <w:r>
        <w:rPr>
          <w:spacing w:val="-23"/>
          <w:sz w:val="24"/>
          <w:szCs w:val="24"/>
        </w:rPr>
        <w:t>（4）对平石的卧底砂浆要注意工作度，不能太干。每块都有夯实至要求标高。留缝均匀，</w:t>
      </w:r>
      <w:r>
        <w:rPr>
          <w:spacing w:val="-19"/>
          <w:sz w:val="24"/>
          <w:szCs w:val="24"/>
        </w:rPr>
        <w:t>勾缝密实。</w:t>
      </w:r>
    </w:p>
    <w:p w14:paraId="7D384246">
      <w:pPr>
        <w:pStyle w:val="2"/>
        <w:spacing w:before="115" w:line="219" w:lineRule="auto"/>
        <w:ind w:left="1893"/>
        <w:rPr>
          <w:sz w:val="24"/>
          <w:szCs w:val="24"/>
        </w:rPr>
      </w:pPr>
      <w:r>
        <w:rPr>
          <w:spacing w:val="-20"/>
          <w:sz w:val="24"/>
          <w:szCs w:val="24"/>
        </w:rPr>
        <w:t>（七）、侧石、平石材质差</w:t>
      </w:r>
    </w:p>
    <w:p w14:paraId="6D6640B1">
      <w:pPr>
        <w:pStyle w:val="2"/>
        <w:spacing w:before="116" w:line="219" w:lineRule="auto"/>
        <w:ind w:left="1903"/>
        <w:rPr>
          <w:sz w:val="24"/>
          <w:szCs w:val="24"/>
        </w:rPr>
      </w:pPr>
      <w:r>
        <w:rPr>
          <w:spacing w:val="-25"/>
          <w:sz w:val="24"/>
          <w:szCs w:val="24"/>
        </w:rPr>
        <w:t>1、现象：</w:t>
      </w:r>
    </w:p>
    <w:p w14:paraId="0AFFABF3">
      <w:pPr>
        <w:pStyle w:val="2"/>
        <w:spacing w:before="117" w:line="215" w:lineRule="auto"/>
        <w:ind w:left="1893"/>
        <w:rPr>
          <w:sz w:val="24"/>
          <w:szCs w:val="24"/>
        </w:rPr>
      </w:pPr>
      <w:r>
        <w:rPr>
          <w:spacing w:val="-21"/>
          <w:sz w:val="24"/>
          <w:szCs w:val="24"/>
        </w:rPr>
        <w:t>（1）侧石、平石混凝土强度不足，在运输过程中缺棱掉角较多。</w:t>
      </w:r>
    </w:p>
    <w:p w14:paraId="63CA0EBD">
      <w:pPr>
        <w:pStyle w:val="2"/>
        <w:spacing w:before="119" w:line="217" w:lineRule="auto"/>
        <w:ind w:left="1893"/>
        <w:rPr>
          <w:sz w:val="24"/>
          <w:szCs w:val="24"/>
        </w:rPr>
      </w:pPr>
      <w:r>
        <w:rPr>
          <w:spacing w:val="-21"/>
          <w:sz w:val="24"/>
          <w:szCs w:val="24"/>
        </w:rPr>
        <w:t>（2）侧石表面气泡多，侧石、平石有麻面，有掉皮，甚至有的出现局部或整块松散。</w:t>
      </w:r>
    </w:p>
    <w:p w14:paraId="4EF173B0">
      <w:pPr>
        <w:pStyle w:val="2"/>
        <w:spacing w:before="118" w:line="263" w:lineRule="auto"/>
        <w:ind w:left="1458" w:right="1411" w:firstLine="434"/>
        <w:rPr>
          <w:sz w:val="24"/>
          <w:szCs w:val="24"/>
        </w:rPr>
      </w:pPr>
      <w:r>
        <w:rPr>
          <w:spacing w:val="-22"/>
          <w:sz w:val="24"/>
          <w:szCs w:val="24"/>
        </w:rPr>
        <w:t>（3）侧石薄厚不一，棱角不直，呈两头尖现象；平石表面不平，四角扭曲不在</w:t>
      </w:r>
      <w:r>
        <w:rPr>
          <w:spacing w:val="-23"/>
          <w:sz w:val="24"/>
          <w:szCs w:val="24"/>
        </w:rPr>
        <w:t>一各水平面</w:t>
      </w:r>
      <w:r>
        <w:rPr>
          <w:spacing w:val="-21"/>
          <w:sz w:val="24"/>
          <w:szCs w:val="24"/>
        </w:rPr>
        <w:t>上，造成安砌的局部相邻板差。</w:t>
      </w:r>
    </w:p>
    <w:p w14:paraId="18614DF3">
      <w:pPr>
        <w:pStyle w:val="2"/>
        <w:spacing w:before="116" w:line="217" w:lineRule="auto"/>
        <w:ind w:left="1888"/>
        <w:rPr>
          <w:sz w:val="24"/>
          <w:szCs w:val="24"/>
        </w:rPr>
      </w:pPr>
      <w:r>
        <w:rPr>
          <w:spacing w:val="-16"/>
          <w:sz w:val="24"/>
          <w:szCs w:val="24"/>
        </w:rPr>
        <w:t>2、原因分析：</w:t>
      </w:r>
    </w:p>
    <w:p w14:paraId="672D9C86">
      <w:pPr>
        <w:pStyle w:val="2"/>
        <w:spacing w:before="120" w:line="277" w:lineRule="auto"/>
        <w:ind w:left="1453" w:right="1412" w:firstLine="439"/>
        <w:rPr>
          <w:sz w:val="24"/>
          <w:szCs w:val="24"/>
        </w:rPr>
      </w:pPr>
      <w:r>
        <w:rPr>
          <w:spacing w:val="-22"/>
          <w:sz w:val="24"/>
          <w:szCs w:val="24"/>
        </w:rPr>
        <w:t>（1）侧石、平石生产过程中使用的原材料有问题，水泥用量低或使用劣质水泥</w:t>
      </w:r>
      <w:r>
        <w:rPr>
          <w:spacing w:val="-23"/>
          <w:sz w:val="24"/>
          <w:szCs w:val="24"/>
        </w:rPr>
        <w:t>和不合格骨</w:t>
      </w:r>
      <w:r>
        <w:rPr>
          <w:spacing w:val="-20"/>
          <w:sz w:val="24"/>
          <w:szCs w:val="24"/>
        </w:rPr>
        <w:t>材（级配差、强度底、含泥量大）致使强度低，易损坏；同时因技术素质低，管理差，缺少应</w:t>
      </w:r>
      <w:r>
        <w:rPr>
          <w:spacing w:val="-21"/>
          <w:sz w:val="24"/>
          <w:szCs w:val="24"/>
        </w:rPr>
        <w:t>有的质量控制手段，达不到规定的质量指标。</w:t>
      </w:r>
    </w:p>
    <w:p w14:paraId="35D0E44B">
      <w:pPr>
        <w:pStyle w:val="2"/>
        <w:spacing w:before="118" w:line="216" w:lineRule="auto"/>
        <w:ind w:left="1893"/>
        <w:rPr>
          <w:sz w:val="24"/>
          <w:szCs w:val="24"/>
        </w:rPr>
      </w:pPr>
      <w:r>
        <w:rPr>
          <w:spacing w:val="-21"/>
          <w:sz w:val="24"/>
          <w:szCs w:val="24"/>
        </w:rPr>
        <w:t>（2）施工单位材料采购者，不是选购质量好的，而是光顾选购价格低的。</w:t>
      </w:r>
    </w:p>
    <w:p w14:paraId="0EC9E4C2">
      <w:pPr>
        <w:pStyle w:val="2"/>
        <w:spacing w:before="119" w:line="285" w:lineRule="auto"/>
        <w:ind w:left="1456" w:right="1409" w:firstLine="434"/>
        <w:rPr>
          <w:sz w:val="24"/>
          <w:szCs w:val="24"/>
        </w:rPr>
      </w:pPr>
      <w:r>
        <w:rPr>
          <w:spacing w:val="-22"/>
          <w:sz w:val="24"/>
          <w:szCs w:val="24"/>
        </w:rPr>
        <w:t>3、危害：侧石、平石材质差，强度低，经不起风吹、雨淋、冰冻、车辆撞等自然和人为浸</w:t>
      </w:r>
      <w:r>
        <w:rPr>
          <w:spacing w:val="-20"/>
          <w:sz w:val="24"/>
          <w:szCs w:val="24"/>
        </w:rPr>
        <w:t>害，尚未竣工交验，即已出现损坏，影响工程外观质量和使用功能，造成返工浪费。竣工交验后，过早损坏，给养护单位增加维修负担。平石损坏造成路边积水，冬春冻融更加剧损坏，也</w:t>
      </w:r>
      <w:r>
        <w:rPr>
          <w:spacing w:val="-21"/>
          <w:sz w:val="24"/>
          <w:szCs w:val="24"/>
        </w:rPr>
        <w:t>给清洁工人的保洁工作增加了难度。</w:t>
      </w:r>
    </w:p>
    <w:p w14:paraId="454A41A8">
      <w:pPr>
        <w:pStyle w:val="2"/>
        <w:spacing w:before="117" w:line="263" w:lineRule="auto"/>
        <w:ind w:left="1455" w:right="1411" w:firstLine="429"/>
        <w:rPr>
          <w:sz w:val="24"/>
          <w:szCs w:val="24"/>
        </w:rPr>
      </w:pPr>
      <w:r>
        <w:rPr>
          <w:spacing w:val="-22"/>
          <w:sz w:val="24"/>
          <w:szCs w:val="24"/>
        </w:rPr>
        <w:t>4、预防措施：施工单位的材料采购员应与本企业的质量管理人员配合，负责事先选择采购</w:t>
      </w:r>
      <w:r>
        <w:rPr>
          <w:spacing w:val="-21"/>
          <w:sz w:val="24"/>
          <w:szCs w:val="24"/>
        </w:rPr>
        <w:t>厂家，对其产品的外观质量、强度、几何尺寸要严格反关，不</w:t>
      </w:r>
      <w:r>
        <w:rPr>
          <w:spacing w:val="-22"/>
          <w:sz w:val="24"/>
          <w:szCs w:val="24"/>
        </w:rPr>
        <w:t>合格的不能进场。</w:t>
      </w:r>
    </w:p>
    <w:p w14:paraId="1D7FA55D">
      <w:pPr>
        <w:pStyle w:val="2"/>
        <w:spacing w:before="119" w:line="217" w:lineRule="auto"/>
        <w:ind w:left="1893"/>
        <w:rPr>
          <w:sz w:val="24"/>
          <w:szCs w:val="24"/>
        </w:rPr>
      </w:pPr>
      <w:r>
        <w:rPr>
          <w:spacing w:val="-20"/>
          <w:sz w:val="24"/>
          <w:szCs w:val="24"/>
        </w:rPr>
        <w:t>（八）、人行道板砖下沉</w:t>
      </w:r>
    </w:p>
    <w:p w14:paraId="651B6D31">
      <w:pPr>
        <w:pStyle w:val="2"/>
        <w:spacing w:before="116" w:line="219" w:lineRule="auto"/>
        <w:ind w:left="1903"/>
        <w:rPr>
          <w:sz w:val="24"/>
          <w:szCs w:val="24"/>
        </w:rPr>
      </w:pPr>
      <w:r>
        <w:rPr>
          <w:spacing w:val="-24"/>
          <w:sz w:val="24"/>
          <w:szCs w:val="24"/>
        </w:rPr>
        <w:t>1、现象：</w:t>
      </w:r>
    </w:p>
    <w:p w14:paraId="506A5EDE">
      <w:pPr>
        <w:pStyle w:val="2"/>
        <w:spacing w:before="116" w:line="217" w:lineRule="auto"/>
        <w:ind w:left="1893"/>
        <w:rPr>
          <w:sz w:val="24"/>
          <w:szCs w:val="24"/>
        </w:rPr>
      </w:pPr>
      <w:r>
        <w:rPr>
          <w:spacing w:val="-20"/>
          <w:sz w:val="24"/>
          <w:szCs w:val="24"/>
        </w:rPr>
        <w:t>（1）人行道板砖局部下沉，出现坑洞现象。</w:t>
      </w:r>
    </w:p>
    <w:p w14:paraId="6E601570">
      <w:pPr>
        <w:pStyle w:val="2"/>
        <w:spacing w:before="119" w:line="217" w:lineRule="auto"/>
        <w:ind w:left="1893"/>
        <w:rPr>
          <w:sz w:val="24"/>
          <w:szCs w:val="24"/>
        </w:rPr>
      </w:pPr>
      <w:r>
        <w:rPr>
          <w:spacing w:val="-20"/>
          <w:sz w:val="24"/>
          <w:szCs w:val="24"/>
        </w:rPr>
        <w:t>（2）人行道板砖松动，平整度差等。</w:t>
      </w:r>
    </w:p>
    <w:p w14:paraId="27C82A05">
      <w:pPr>
        <w:pStyle w:val="2"/>
        <w:spacing w:before="117" w:line="217" w:lineRule="auto"/>
        <w:ind w:left="1888"/>
        <w:rPr>
          <w:sz w:val="24"/>
          <w:szCs w:val="24"/>
        </w:rPr>
      </w:pPr>
      <w:r>
        <w:rPr>
          <w:spacing w:val="-16"/>
          <w:sz w:val="24"/>
          <w:szCs w:val="24"/>
        </w:rPr>
        <w:t>2、原因分析：</w:t>
      </w:r>
    </w:p>
    <w:p w14:paraId="00991BD0">
      <w:pPr>
        <w:pStyle w:val="2"/>
        <w:spacing w:before="119" w:line="262" w:lineRule="auto"/>
        <w:ind w:left="1460" w:right="1409" w:firstLine="432"/>
        <w:rPr>
          <w:sz w:val="24"/>
          <w:szCs w:val="24"/>
        </w:rPr>
      </w:pPr>
      <w:r>
        <w:rPr>
          <w:spacing w:val="-22"/>
          <w:sz w:val="24"/>
          <w:szCs w:val="24"/>
        </w:rPr>
        <w:t>（1）人行道灰土回填质量较差，尤其下有经营性管线时，由于管道回填质量控制不严</w:t>
      </w:r>
      <w:r>
        <w:rPr>
          <w:spacing w:val="-23"/>
          <w:sz w:val="24"/>
          <w:szCs w:val="24"/>
        </w:rPr>
        <w:t>，造</w:t>
      </w:r>
      <w:r>
        <w:rPr>
          <w:spacing w:val="-21"/>
          <w:sz w:val="24"/>
          <w:szCs w:val="24"/>
        </w:rPr>
        <w:t>成下沉引起人行道板砖下沉。</w:t>
      </w:r>
    </w:p>
    <w:p w14:paraId="216BE758">
      <w:pPr>
        <w:pStyle w:val="2"/>
        <w:spacing w:before="117" w:line="215" w:lineRule="auto"/>
        <w:ind w:left="1893"/>
        <w:rPr>
          <w:sz w:val="24"/>
          <w:szCs w:val="24"/>
        </w:rPr>
      </w:pPr>
      <w:r>
        <w:rPr>
          <w:spacing w:val="-21"/>
          <w:sz w:val="24"/>
          <w:szCs w:val="24"/>
        </w:rPr>
        <w:t>（2）在人行道板砖强度未达到设计要求时，外力引起的沉陷。</w:t>
      </w:r>
    </w:p>
    <w:p w14:paraId="42772E8C">
      <w:pPr>
        <w:spacing w:line="215" w:lineRule="auto"/>
        <w:rPr>
          <w:sz w:val="24"/>
          <w:szCs w:val="24"/>
        </w:rPr>
        <w:sectPr>
          <w:footerReference r:id="rId228" w:type="default"/>
          <w:pgSz w:w="11907" w:h="16839"/>
          <w:pgMar w:top="954" w:right="4" w:bottom="1038" w:left="0" w:header="499" w:footer="357" w:gutter="0"/>
          <w:pgBorders>
            <w:top w:val="none" w:sz="0" w:space="0"/>
            <w:left w:val="none" w:sz="0" w:space="0"/>
            <w:bottom w:val="none" w:sz="0" w:space="0"/>
            <w:right w:val="none" w:sz="0" w:space="0"/>
          </w:pgBorders>
          <w:cols w:space="720" w:num="1"/>
        </w:sectPr>
      </w:pPr>
    </w:p>
    <w:p w14:paraId="75036D9A">
      <w:pPr>
        <w:spacing w:line="250" w:lineRule="auto"/>
        <w:rPr>
          <w:rFonts w:ascii="Arial"/>
          <w:sz w:val="21"/>
        </w:rPr>
      </w:pPr>
    </w:p>
    <w:p w14:paraId="5C95B15D">
      <w:pPr>
        <w:pStyle w:val="2"/>
        <w:spacing w:before="78" w:line="219" w:lineRule="auto"/>
        <w:ind w:left="1890"/>
        <w:rPr>
          <w:sz w:val="24"/>
          <w:szCs w:val="24"/>
        </w:rPr>
      </w:pPr>
      <w:r>
        <w:rPr>
          <w:spacing w:val="-16"/>
          <w:sz w:val="24"/>
          <w:szCs w:val="24"/>
        </w:rPr>
        <w:t>3、预防措施：</w:t>
      </w:r>
    </w:p>
    <w:p w14:paraId="65C7340C">
      <w:pPr>
        <w:pStyle w:val="2"/>
        <w:spacing w:before="116" w:line="264" w:lineRule="auto"/>
        <w:ind w:left="1462" w:right="1413" w:firstLine="431"/>
        <w:rPr>
          <w:sz w:val="24"/>
          <w:szCs w:val="24"/>
        </w:rPr>
      </w:pPr>
      <w:r>
        <w:rPr>
          <w:spacing w:val="-22"/>
          <w:sz w:val="24"/>
          <w:szCs w:val="24"/>
        </w:rPr>
        <w:t>（1）加强人行道下部经营性管道回填质量的控制，严格检查每层压实度，确</w:t>
      </w:r>
      <w:r>
        <w:rPr>
          <w:spacing w:val="-23"/>
          <w:sz w:val="24"/>
          <w:szCs w:val="24"/>
        </w:rPr>
        <w:t>保管道的回填</w:t>
      </w:r>
      <w:r>
        <w:rPr>
          <w:spacing w:val="-22"/>
          <w:sz w:val="24"/>
          <w:szCs w:val="24"/>
        </w:rPr>
        <w:t>质量。</w:t>
      </w:r>
    </w:p>
    <w:p w14:paraId="166FA027">
      <w:pPr>
        <w:pStyle w:val="2"/>
        <w:spacing w:before="114" w:line="263" w:lineRule="auto"/>
        <w:ind w:left="1458" w:right="1409" w:firstLine="434"/>
        <w:rPr>
          <w:sz w:val="24"/>
          <w:szCs w:val="24"/>
        </w:rPr>
      </w:pPr>
      <w:r>
        <w:rPr>
          <w:spacing w:val="-22"/>
          <w:sz w:val="24"/>
          <w:szCs w:val="24"/>
        </w:rPr>
        <w:t>（2）加强人行道板砖基础层砼的质量控制，在未达到强度时，应加强成品保护，防止</w:t>
      </w:r>
      <w:r>
        <w:rPr>
          <w:spacing w:val="-23"/>
          <w:sz w:val="24"/>
          <w:szCs w:val="24"/>
        </w:rPr>
        <w:t>车辆</w:t>
      </w:r>
      <w:r>
        <w:rPr>
          <w:spacing w:val="-20"/>
          <w:sz w:val="24"/>
          <w:szCs w:val="24"/>
        </w:rPr>
        <w:t>进入已完成的道板砖上。</w:t>
      </w:r>
    </w:p>
    <w:p w14:paraId="7D0E9EDE">
      <w:pPr>
        <w:pStyle w:val="2"/>
        <w:spacing w:before="114" w:line="217" w:lineRule="auto"/>
        <w:ind w:left="1893"/>
        <w:rPr>
          <w:sz w:val="24"/>
          <w:szCs w:val="24"/>
        </w:rPr>
      </w:pPr>
      <w:r>
        <w:rPr>
          <w:spacing w:val="-20"/>
          <w:sz w:val="24"/>
          <w:szCs w:val="24"/>
        </w:rPr>
        <w:t>（九）、人行道板砖横纵缝不直</w:t>
      </w:r>
    </w:p>
    <w:p w14:paraId="16B84BC1">
      <w:pPr>
        <w:pStyle w:val="2"/>
        <w:spacing w:before="118" w:line="219" w:lineRule="auto"/>
        <w:ind w:left="1903"/>
        <w:rPr>
          <w:sz w:val="24"/>
          <w:szCs w:val="24"/>
        </w:rPr>
      </w:pPr>
      <w:r>
        <w:rPr>
          <w:spacing w:val="-24"/>
          <w:sz w:val="24"/>
          <w:szCs w:val="24"/>
        </w:rPr>
        <w:t>1、现象：</w:t>
      </w:r>
    </w:p>
    <w:p w14:paraId="01853364">
      <w:pPr>
        <w:pStyle w:val="2"/>
        <w:spacing w:before="115" w:line="217" w:lineRule="auto"/>
        <w:ind w:left="1893"/>
        <w:rPr>
          <w:sz w:val="24"/>
          <w:szCs w:val="24"/>
        </w:rPr>
      </w:pPr>
      <w:r>
        <w:rPr>
          <w:spacing w:val="-20"/>
          <w:sz w:val="24"/>
          <w:szCs w:val="24"/>
        </w:rPr>
        <w:t>（1）人行道板砖横纵缝不顺直。</w:t>
      </w:r>
    </w:p>
    <w:p w14:paraId="164717EE">
      <w:pPr>
        <w:pStyle w:val="2"/>
        <w:spacing w:before="117" w:line="217" w:lineRule="auto"/>
        <w:ind w:left="1893"/>
        <w:rPr>
          <w:sz w:val="24"/>
          <w:szCs w:val="24"/>
        </w:rPr>
      </w:pPr>
      <w:r>
        <w:rPr>
          <w:spacing w:val="-19"/>
          <w:sz w:val="24"/>
          <w:szCs w:val="24"/>
        </w:rPr>
        <w:t>（2）外观观感较差。</w:t>
      </w:r>
    </w:p>
    <w:p w14:paraId="1BFE8513">
      <w:pPr>
        <w:pStyle w:val="2"/>
        <w:spacing w:before="118" w:line="217" w:lineRule="auto"/>
        <w:ind w:left="1893"/>
        <w:rPr>
          <w:sz w:val="24"/>
          <w:szCs w:val="24"/>
        </w:rPr>
      </w:pPr>
      <w:r>
        <w:rPr>
          <w:spacing w:val="-20"/>
          <w:sz w:val="24"/>
          <w:szCs w:val="24"/>
        </w:rPr>
        <w:t>（3）与路缘石不密贴出现错台等。</w:t>
      </w:r>
    </w:p>
    <w:p w14:paraId="0C16A78B">
      <w:pPr>
        <w:pStyle w:val="2"/>
        <w:spacing w:before="120" w:line="217" w:lineRule="auto"/>
        <w:ind w:left="1888"/>
        <w:rPr>
          <w:sz w:val="24"/>
          <w:szCs w:val="24"/>
        </w:rPr>
      </w:pPr>
      <w:r>
        <w:rPr>
          <w:spacing w:val="-21"/>
          <w:sz w:val="24"/>
          <w:szCs w:val="24"/>
        </w:rPr>
        <w:t>2、原因分析：</w:t>
      </w:r>
    </w:p>
    <w:p w14:paraId="0BC6E5F3">
      <w:pPr>
        <w:pStyle w:val="2"/>
        <w:spacing w:before="116" w:line="217" w:lineRule="auto"/>
        <w:ind w:left="1893"/>
        <w:rPr>
          <w:sz w:val="24"/>
          <w:szCs w:val="24"/>
        </w:rPr>
      </w:pPr>
      <w:r>
        <w:rPr>
          <w:spacing w:val="-21"/>
          <w:sz w:val="24"/>
          <w:szCs w:val="24"/>
        </w:rPr>
        <w:t>（1）人行道铺设过程中未进行挂线，横向纵向出</w:t>
      </w:r>
      <w:r>
        <w:rPr>
          <w:spacing w:val="-22"/>
          <w:sz w:val="24"/>
          <w:szCs w:val="24"/>
        </w:rPr>
        <w:t>现线型扭曲。</w:t>
      </w:r>
    </w:p>
    <w:p w14:paraId="602E8870">
      <w:pPr>
        <w:pStyle w:val="2"/>
        <w:spacing w:before="119" w:line="215" w:lineRule="auto"/>
        <w:ind w:left="1893"/>
        <w:rPr>
          <w:sz w:val="24"/>
          <w:szCs w:val="24"/>
        </w:rPr>
      </w:pPr>
      <w:r>
        <w:rPr>
          <w:spacing w:val="-21"/>
          <w:sz w:val="24"/>
          <w:szCs w:val="24"/>
        </w:rPr>
        <w:t>（2）在铺设过程中，底层砼垫层铺设不平整。</w:t>
      </w:r>
    </w:p>
    <w:p w14:paraId="48754ED5">
      <w:pPr>
        <w:pStyle w:val="2"/>
        <w:spacing w:before="121" w:line="217" w:lineRule="auto"/>
        <w:ind w:left="1893"/>
        <w:rPr>
          <w:sz w:val="24"/>
          <w:szCs w:val="24"/>
        </w:rPr>
      </w:pPr>
      <w:r>
        <w:rPr>
          <w:spacing w:val="-21"/>
          <w:sz w:val="24"/>
          <w:szCs w:val="24"/>
        </w:rPr>
        <w:t>（3）铺设人行道板砖时，人工使用橡胶锤未振捣密实。</w:t>
      </w:r>
    </w:p>
    <w:p w14:paraId="2830DD2A">
      <w:pPr>
        <w:pStyle w:val="2"/>
        <w:spacing w:before="117" w:line="218" w:lineRule="auto"/>
        <w:ind w:left="1890"/>
        <w:rPr>
          <w:sz w:val="24"/>
          <w:szCs w:val="24"/>
        </w:rPr>
      </w:pPr>
      <w:r>
        <w:rPr>
          <w:spacing w:val="-16"/>
          <w:sz w:val="24"/>
          <w:szCs w:val="24"/>
        </w:rPr>
        <w:t>3、防治措施：</w:t>
      </w:r>
    </w:p>
    <w:p w14:paraId="21CC9FB4">
      <w:pPr>
        <w:pStyle w:val="2"/>
        <w:spacing w:before="117" w:line="217" w:lineRule="auto"/>
        <w:ind w:left="1893"/>
        <w:rPr>
          <w:sz w:val="24"/>
          <w:szCs w:val="24"/>
        </w:rPr>
      </w:pPr>
      <w:r>
        <w:rPr>
          <w:spacing w:val="-21"/>
          <w:sz w:val="24"/>
          <w:szCs w:val="24"/>
        </w:rPr>
        <w:t>（1）每道道板砖进行铺设时必须采用横向、纵向挂线，及时调整铺设的线型。</w:t>
      </w:r>
    </w:p>
    <w:p w14:paraId="5DB73454">
      <w:pPr>
        <w:pStyle w:val="2"/>
        <w:spacing w:before="118" w:line="217" w:lineRule="auto"/>
        <w:ind w:left="1893"/>
        <w:rPr>
          <w:sz w:val="24"/>
          <w:szCs w:val="24"/>
        </w:rPr>
      </w:pPr>
      <w:r>
        <w:rPr>
          <w:spacing w:val="-20"/>
          <w:sz w:val="24"/>
          <w:szCs w:val="24"/>
        </w:rPr>
        <w:t>（2）铺设完毕后及时欠缝处理。的线型。</w:t>
      </w:r>
    </w:p>
    <w:p w14:paraId="3C1112EC">
      <w:pPr>
        <w:pStyle w:val="2"/>
        <w:spacing w:before="83" w:line="216" w:lineRule="auto"/>
        <w:ind w:left="1985"/>
        <w:outlineLvl w:val="2"/>
        <w:rPr>
          <w:sz w:val="28"/>
          <w:szCs w:val="28"/>
        </w:rPr>
      </w:pPr>
      <w:bookmarkStart w:id="158" w:name="bookmark151"/>
      <w:bookmarkEnd w:id="158"/>
      <w:r>
        <w:rPr>
          <w:b/>
          <w:bCs/>
          <w:spacing w:val="-23"/>
          <w:sz w:val="28"/>
          <w:szCs w:val="28"/>
        </w:rPr>
        <w:t>三、路基结构层恢复的质量通病及防治措施</w:t>
      </w:r>
    </w:p>
    <w:p w14:paraId="30CF1807">
      <w:pPr>
        <w:pStyle w:val="2"/>
        <w:spacing w:before="107" w:line="215" w:lineRule="auto"/>
        <w:ind w:left="1903"/>
        <w:rPr>
          <w:sz w:val="24"/>
          <w:szCs w:val="24"/>
        </w:rPr>
      </w:pPr>
      <w:r>
        <w:rPr>
          <w:spacing w:val="-20"/>
          <w:sz w:val="24"/>
          <w:szCs w:val="24"/>
        </w:rPr>
        <w:t>1、水泥稳定碎石基层平整度差</w:t>
      </w:r>
    </w:p>
    <w:p w14:paraId="5058FFD8">
      <w:pPr>
        <w:pStyle w:val="2"/>
        <w:spacing w:before="122" w:line="217" w:lineRule="auto"/>
        <w:ind w:left="1903"/>
        <w:rPr>
          <w:sz w:val="24"/>
          <w:szCs w:val="24"/>
        </w:rPr>
      </w:pPr>
      <w:r>
        <w:rPr>
          <w:spacing w:val="-16"/>
          <w:sz w:val="24"/>
          <w:szCs w:val="24"/>
        </w:rPr>
        <w:t>1.原因分析</w:t>
      </w:r>
    </w:p>
    <w:p w14:paraId="6385F58B">
      <w:pPr>
        <w:pStyle w:val="2"/>
        <w:spacing w:before="116" w:line="216" w:lineRule="auto"/>
        <w:ind w:left="1885"/>
        <w:rPr>
          <w:sz w:val="24"/>
          <w:szCs w:val="24"/>
        </w:rPr>
      </w:pPr>
      <w:r>
        <w:rPr>
          <w:spacing w:val="-21"/>
          <w:sz w:val="24"/>
          <w:szCs w:val="24"/>
        </w:rPr>
        <w:t>①拌和站混合料不够均匀，碾压过程不均匀沉降。</w:t>
      </w:r>
    </w:p>
    <w:p w14:paraId="5E381FF5">
      <w:pPr>
        <w:pStyle w:val="2"/>
        <w:spacing w:before="120" w:line="215" w:lineRule="auto"/>
        <w:ind w:left="1884"/>
        <w:rPr>
          <w:sz w:val="24"/>
          <w:szCs w:val="24"/>
        </w:rPr>
      </w:pPr>
      <w:r>
        <w:rPr>
          <w:spacing w:val="-21"/>
          <w:sz w:val="24"/>
          <w:szCs w:val="24"/>
        </w:rPr>
        <w:t>②碾压过程控制不严格，混合料摊铺过程使用机械不一样，造成局部低洼。</w:t>
      </w:r>
    </w:p>
    <w:p w14:paraId="342AC914">
      <w:pPr>
        <w:pStyle w:val="2"/>
        <w:spacing w:before="121" w:line="263" w:lineRule="auto"/>
        <w:ind w:left="1455" w:right="1410" w:firstLine="429"/>
        <w:rPr>
          <w:sz w:val="24"/>
          <w:szCs w:val="24"/>
        </w:rPr>
      </w:pPr>
      <w:r>
        <w:rPr>
          <w:spacing w:val="-19"/>
          <w:sz w:val="24"/>
          <w:szCs w:val="24"/>
        </w:rPr>
        <w:t>③未及时人工消除碾压接茬部位的高岗或压路机停在刚碾压</w:t>
      </w:r>
      <w:r>
        <w:rPr>
          <w:spacing w:val="-20"/>
          <w:sz w:val="24"/>
          <w:szCs w:val="24"/>
        </w:rPr>
        <w:t>完的混合料上的低洼带，机械</w:t>
      </w:r>
      <w:r>
        <w:rPr>
          <w:spacing w:val="-19"/>
          <w:sz w:val="24"/>
          <w:szCs w:val="24"/>
        </w:rPr>
        <w:t>碾压过程不规范。</w:t>
      </w:r>
    </w:p>
    <w:p w14:paraId="7C75830E">
      <w:pPr>
        <w:pStyle w:val="2"/>
        <w:spacing w:before="116" w:line="217" w:lineRule="auto"/>
        <w:ind w:left="1884"/>
        <w:rPr>
          <w:sz w:val="24"/>
          <w:szCs w:val="24"/>
        </w:rPr>
      </w:pPr>
      <w:r>
        <w:rPr>
          <w:spacing w:val="-21"/>
          <w:sz w:val="24"/>
          <w:szCs w:val="24"/>
        </w:rPr>
        <w:t>④下承层平整度差，影响基层摊铺质量。</w:t>
      </w:r>
    </w:p>
    <w:p w14:paraId="0780586E">
      <w:pPr>
        <w:pStyle w:val="2"/>
        <w:spacing w:before="118" w:line="219" w:lineRule="auto"/>
        <w:ind w:left="1888"/>
        <w:rPr>
          <w:sz w:val="24"/>
          <w:szCs w:val="24"/>
        </w:rPr>
      </w:pPr>
      <w:r>
        <w:rPr>
          <w:spacing w:val="-14"/>
          <w:sz w:val="24"/>
          <w:szCs w:val="24"/>
        </w:rPr>
        <w:t>2.预防措施</w:t>
      </w:r>
    </w:p>
    <w:p w14:paraId="302BCD0F">
      <w:pPr>
        <w:pStyle w:val="2"/>
        <w:spacing w:before="114" w:line="216" w:lineRule="auto"/>
        <w:ind w:left="1885"/>
        <w:rPr>
          <w:sz w:val="24"/>
          <w:szCs w:val="24"/>
        </w:rPr>
      </w:pPr>
      <w:r>
        <w:rPr>
          <w:spacing w:val="-21"/>
          <w:sz w:val="24"/>
          <w:szCs w:val="24"/>
        </w:rPr>
        <w:t>①加强拌和站巡视力度，加强混合料拌和过程的规范性。</w:t>
      </w:r>
    </w:p>
    <w:p w14:paraId="6EF8C96E">
      <w:pPr>
        <w:pStyle w:val="2"/>
        <w:spacing w:before="121" w:line="215" w:lineRule="auto"/>
        <w:ind w:left="1884"/>
        <w:rPr>
          <w:sz w:val="24"/>
          <w:szCs w:val="24"/>
        </w:rPr>
      </w:pPr>
      <w:r>
        <w:rPr>
          <w:spacing w:val="-21"/>
          <w:sz w:val="24"/>
          <w:szCs w:val="24"/>
        </w:rPr>
        <w:t>②严禁压路机在碾压结束后停放在刚碾压好的基层面上。</w:t>
      </w:r>
    </w:p>
    <w:p w14:paraId="01E366F7">
      <w:pPr>
        <w:pStyle w:val="2"/>
        <w:spacing w:before="120" w:line="263" w:lineRule="auto"/>
        <w:ind w:left="1460" w:right="1409" w:firstLine="424"/>
        <w:rPr>
          <w:sz w:val="24"/>
          <w:szCs w:val="24"/>
        </w:rPr>
      </w:pPr>
      <w:r>
        <w:rPr>
          <w:spacing w:val="-19"/>
          <w:sz w:val="24"/>
          <w:szCs w:val="24"/>
        </w:rPr>
        <w:t>③防止出现平整度较差现象，及时提示现场管理人员安排专</w:t>
      </w:r>
      <w:r>
        <w:rPr>
          <w:spacing w:val="-20"/>
          <w:sz w:val="24"/>
          <w:szCs w:val="24"/>
        </w:rPr>
        <w:t>人对压路机碾压接茬部位进行</w:t>
      </w:r>
      <w:r>
        <w:rPr>
          <w:spacing w:val="-22"/>
          <w:sz w:val="24"/>
          <w:szCs w:val="24"/>
        </w:rPr>
        <w:t>人工整平处理。</w:t>
      </w:r>
    </w:p>
    <w:p w14:paraId="2F9E5B42">
      <w:pPr>
        <w:pStyle w:val="2"/>
        <w:spacing w:before="116" w:line="262" w:lineRule="auto"/>
        <w:ind w:left="1459" w:right="1409" w:firstLine="425"/>
        <w:rPr>
          <w:sz w:val="24"/>
          <w:szCs w:val="24"/>
        </w:rPr>
      </w:pPr>
      <w:r>
        <w:rPr>
          <w:spacing w:val="-19"/>
          <w:sz w:val="24"/>
          <w:szCs w:val="24"/>
        </w:rPr>
        <w:t>④严格按照批复的碾压组合进行碾压，加强水泥稳定碎石基</w:t>
      </w:r>
      <w:r>
        <w:rPr>
          <w:spacing w:val="-20"/>
          <w:sz w:val="24"/>
          <w:szCs w:val="24"/>
        </w:rPr>
        <w:t>层碾压的规范性的检查，不允</w:t>
      </w:r>
      <w:r>
        <w:rPr>
          <w:spacing w:val="-22"/>
          <w:sz w:val="24"/>
          <w:szCs w:val="24"/>
        </w:rPr>
        <w:t>许出现轮迹现象。</w:t>
      </w:r>
    </w:p>
    <w:p w14:paraId="0CA3868C">
      <w:pPr>
        <w:pStyle w:val="2"/>
        <w:spacing w:before="118" w:line="263" w:lineRule="auto"/>
        <w:ind w:left="1455" w:right="1428" w:firstLine="429"/>
        <w:rPr>
          <w:sz w:val="24"/>
          <w:szCs w:val="24"/>
        </w:rPr>
      </w:pPr>
      <w:r>
        <w:rPr>
          <w:spacing w:val="-20"/>
          <w:sz w:val="24"/>
          <w:szCs w:val="24"/>
        </w:rPr>
        <w:t>⑤除纵向拉线控制外，强调横向拉流动线进行检测，采用拉线控制松铺厚度，在摊铺前发现有低洼处时及时填补。</w:t>
      </w:r>
    </w:p>
    <w:p w14:paraId="79D0CAD9">
      <w:pPr>
        <w:pStyle w:val="2"/>
        <w:spacing w:before="119" w:line="217" w:lineRule="auto"/>
        <w:ind w:left="1884"/>
        <w:rPr>
          <w:sz w:val="24"/>
          <w:szCs w:val="24"/>
        </w:rPr>
      </w:pPr>
      <w:r>
        <w:rPr>
          <w:spacing w:val="-21"/>
          <w:sz w:val="24"/>
          <w:szCs w:val="24"/>
        </w:rPr>
        <w:t>⑥严格控制路基平整度，加强技术教育。</w:t>
      </w:r>
    </w:p>
    <w:p w14:paraId="5F91E586">
      <w:pPr>
        <w:pStyle w:val="2"/>
        <w:spacing w:before="116" w:line="215" w:lineRule="auto"/>
        <w:ind w:left="1888"/>
        <w:rPr>
          <w:sz w:val="24"/>
          <w:szCs w:val="24"/>
        </w:rPr>
      </w:pPr>
      <w:r>
        <w:rPr>
          <w:spacing w:val="-19"/>
          <w:sz w:val="24"/>
          <w:szCs w:val="24"/>
        </w:rPr>
        <w:t>2、水稳基层表面松散起皮</w:t>
      </w:r>
    </w:p>
    <w:p w14:paraId="2F27D4F1">
      <w:pPr>
        <w:spacing w:line="215" w:lineRule="auto"/>
        <w:rPr>
          <w:sz w:val="24"/>
          <w:szCs w:val="24"/>
        </w:rPr>
        <w:sectPr>
          <w:footerReference r:id="rId229" w:type="default"/>
          <w:pgSz w:w="11907" w:h="16839"/>
          <w:pgMar w:top="954" w:right="4" w:bottom="1038" w:left="0" w:header="499" w:footer="357" w:gutter="0"/>
          <w:pgBorders>
            <w:top w:val="none" w:sz="0" w:space="0"/>
            <w:left w:val="none" w:sz="0" w:space="0"/>
            <w:bottom w:val="none" w:sz="0" w:space="0"/>
            <w:right w:val="none" w:sz="0" w:space="0"/>
          </w:pgBorders>
          <w:cols w:space="720" w:num="1"/>
        </w:sectPr>
      </w:pPr>
    </w:p>
    <w:p w14:paraId="69C4B51F">
      <w:pPr>
        <w:spacing w:line="250" w:lineRule="auto"/>
        <w:rPr>
          <w:rFonts w:ascii="Arial"/>
          <w:sz w:val="21"/>
        </w:rPr>
      </w:pPr>
    </w:p>
    <w:p w14:paraId="25AE5130">
      <w:pPr>
        <w:pStyle w:val="2"/>
        <w:spacing w:before="78" w:line="219" w:lineRule="auto"/>
        <w:ind w:left="1903"/>
        <w:rPr>
          <w:sz w:val="24"/>
          <w:szCs w:val="24"/>
        </w:rPr>
      </w:pPr>
      <w:r>
        <w:rPr>
          <w:spacing w:val="-18"/>
          <w:sz w:val="24"/>
          <w:szCs w:val="24"/>
        </w:rPr>
        <w:t>1.产生的主要原因</w:t>
      </w:r>
    </w:p>
    <w:p w14:paraId="35669851">
      <w:pPr>
        <w:pStyle w:val="2"/>
        <w:spacing w:before="118" w:line="307" w:lineRule="auto"/>
        <w:ind w:left="1456" w:right="1410" w:firstLine="437"/>
        <w:rPr>
          <w:sz w:val="24"/>
          <w:szCs w:val="24"/>
        </w:rPr>
      </w:pPr>
      <w:r>
        <w:rPr>
          <w:spacing w:val="-20"/>
          <w:sz w:val="24"/>
          <w:szCs w:val="24"/>
        </w:rPr>
        <w:t>卸料时自然滑落，铺筑时粗颗粒集中造成填筑层松散，压不实；混合料拌合不均匀，堆放时间长；运输过程中，不及时卸掉熟料，急转弯和急刹车，往往会导致摊铺机内出现局部大碎石集中的现象；送料刮料板外露现象。摊铺机受料斗两翼板翻动过速，积料多，极易使混合料</w:t>
      </w:r>
      <w:r>
        <w:rPr>
          <w:spacing w:val="-21"/>
          <w:sz w:val="24"/>
          <w:szCs w:val="24"/>
        </w:rPr>
        <w:t>离析。</w:t>
      </w:r>
    </w:p>
    <w:p w14:paraId="4C636B16">
      <w:pPr>
        <w:pStyle w:val="2"/>
        <w:spacing w:before="1" w:line="218" w:lineRule="auto"/>
        <w:ind w:left="1888"/>
        <w:rPr>
          <w:sz w:val="24"/>
          <w:szCs w:val="24"/>
        </w:rPr>
      </w:pPr>
      <w:r>
        <w:rPr>
          <w:spacing w:val="-14"/>
          <w:sz w:val="24"/>
          <w:szCs w:val="24"/>
        </w:rPr>
        <w:t>2.预防措施</w:t>
      </w:r>
    </w:p>
    <w:p w14:paraId="12E9A035">
      <w:pPr>
        <w:pStyle w:val="2"/>
        <w:spacing w:before="116" w:line="215" w:lineRule="auto"/>
        <w:ind w:left="1885"/>
        <w:rPr>
          <w:sz w:val="24"/>
          <w:szCs w:val="24"/>
        </w:rPr>
      </w:pPr>
      <w:r>
        <w:rPr>
          <w:spacing w:val="-21"/>
          <w:sz w:val="24"/>
          <w:szCs w:val="24"/>
        </w:rPr>
        <w:t>①水泥稳定混合料避免熟料过久堆放，随拌随用。</w:t>
      </w:r>
    </w:p>
    <w:p w14:paraId="62024469">
      <w:pPr>
        <w:pStyle w:val="2"/>
        <w:spacing w:before="122" w:line="260" w:lineRule="auto"/>
        <w:ind w:left="1469" w:right="1410" w:firstLine="415"/>
        <w:rPr>
          <w:sz w:val="24"/>
          <w:szCs w:val="24"/>
        </w:rPr>
      </w:pPr>
      <w:r>
        <w:rPr>
          <w:spacing w:val="-19"/>
          <w:sz w:val="24"/>
          <w:szCs w:val="24"/>
        </w:rPr>
        <w:t>②禁止送料刮料板外露，以防止混合料在摊铺机内产生局部</w:t>
      </w:r>
      <w:r>
        <w:rPr>
          <w:spacing w:val="-20"/>
          <w:sz w:val="24"/>
          <w:szCs w:val="24"/>
        </w:rPr>
        <w:t>大碎石集中现象；运输时避免</w:t>
      </w:r>
      <w:r>
        <w:rPr>
          <w:spacing w:val="-21"/>
          <w:sz w:val="24"/>
          <w:szCs w:val="24"/>
        </w:rPr>
        <w:t>急转弯、急刹车。</w:t>
      </w:r>
    </w:p>
    <w:p w14:paraId="55DA6413">
      <w:pPr>
        <w:pStyle w:val="2"/>
        <w:spacing w:before="120" w:line="278" w:lineRule="auto"/>
        <w:ind w:left="1462" w:right="1357" w:firstLine="422"/>
        <w:rPr>
          <w:sz w:val="24"/>
          <w:szCs w:val="24"/>
        </w:rPr>
      </w:pPr>
      <w:r>
        <w:rPr>
          <w:spacing w:val="-24"/>
          <w:sz w:val="24"/>
          <w:szCs w:val="24"/>
        </w:rPr>
        <w:t>③加强拌合站的材料控制。一是上料仓的料不能出现间断现象，确保料仓内随时达到满仓；</w:t>
      </w:r>
      <w:r>
        <w:rPr>
          <w:spacing w:val="-20"/>
          <w:sz w:val="24"/>
          <w:szCs w:val="24"/>
        </w:rPr>
        <w:t>二是对不合格的原材料重新过筛，控制原材料；三是严格控制成品料，如发现有花白料、粗细</w:t>
      </w:r>
      <w:r>
        <w:rPr>
          <w:spacing w:val="-21"/>
          <w:sz w:val="24"/>
          <w:szCs w:val="24"/>
        </w:rPr>
        <w:t>离析等现象时，应重新拌合直到达到标准。</w:t>
      </w:r>
    </w:p>
    <w:p w14:paraId="57707357">
      <w:pPr>
        <w:pStyle w:val="2"/>
        <w:spacing w:before="118" w:line="215" w:lineRule="auto"/>
        <w:ind w:left="1884"/>
        <w:rPr>
          <w:sz w:val="24"/>
          <w:szCs w:val="24"/>
        </w:rPr>
      </w:pPr>
      <w:r>
        <w:rPr>
          <w:spacing w:val="-21"/>
          <w:sz w:val="24"/>
          <w:szCs w:val="24"/>
        </w:rPr>
        <w:t>④为确保混合料始终处于最佳含水量状态，应采用大车运输并用蓬布覆盖。</w:t>
      </w:r>
    </w:p>
    <w:p w14:paraId="0C9FD421">
      <w:pPr>
        <w:pStyle w:val="2"/>
        <w:spacing w:before="122" w:line="217" w:lineRule="auto"/>
        <w:ind w:left="1890"/>
        <w:rPr>
          <w:sz w:val="24"/>
          <w:szCs w:val="24"/>
        </w:rPr>
      </w:pPr>
      <w:r>
        <w:rPr>
          <w:spacing w:val="-18"/>
          <w:sz w:val="24"/>
          <w:szCs w:val="24"/>
        </w:rPr>
        <w:t>3、干（温）缩裂缝</w:t>
      </w:r>
    </w:p>
    <w:p w14:paraId="6A71AE68">
      <w:pPr>
        <w:pStyle w:val="2"/>
        <w:spacing w:before="116" w:line="215" w:lineRule="auto"/>
        <w:ind w:left="1903"/>
        <w:rPr>
          <w:sz w:val="24"/>
          <w:szCs w:val="24"/>
        </w:rPr>
      </w:pPr>
      <w:r>
        <w:rPr>
          <w:spacing w:val="-20"/>
          <w:sz w:val="24"/>
          <w:szCs w:val="24"/>
        </w:rPr>
        <w:t>1.水泥稳定基层裂缝的产生原因</w:t>
      </w:r>
    </w:p>
    <w:p w14:paraId="68EC5C05">
      <w:pPr>
        <w:pStyle w:val="2"/>
        <w:spacing w:before="119" w:line="308" w:lineRule="auto"/>
        <w:ind w:left="1454" w:right="1410" w:firstLine="8"/>
        <w:jc w:val="both"/>
        <w:rPr>
          <w:sz w:val="24"/>
          <w:szCs w:val="24"/>
        </w:rPr>
      </w:pPr>
      <w:r>
        <w:rPr>
          <w:spacing w:val="-20"/>
          <w:sz w:val="24"/>
          <w:szCs w:val="24"/>
        </w:rPr>
        <w:t>主要是水泥稳定基层混合料水泥固化及水分散发后使基层表面产生的细微开裂，由此引发了水</w:t>
      </w:r>
      <w:r>
        <w:rPr>
          <w:spacing w:val="-21"/>
          <w:sz w:val="24"/>
          <w:szCs w:val="24"/>
        </w:rPr>
        <w:t>泥稳定基层裂缝，并逐渐向横纵两个方向扩展，直至贯通整个基层。裂缝宽约1～3m</w:t>
      </w:r>
      <w:r>
        <w:rPr>
          <w:spacing w:val="-22"/>
          <w:sz w:val="24"/>
          <w:szCs w:val="24"/>
        </w:rPr>
        <w:t>m，只有少</w:t>
      </w:r>
      <w:r>
        <w:rPr>
          <w:spacing w:val="-20"/>
          <w:sz w:val="24"/>
          <w:szCs w:val="24"/>
        </w:rPr>
        <w:t>数裂缝宽度达到了4～5mm，基层板块的整体受力情</w:t>
      </w:r>
      <w:r>
        <w:rPr>
          <w:spacing w:val="-21"/>
          <w:sz w:val="24"/>
          <w:szCs w:val="24"/>
        </w:rPr>
        <w:t>况会因裂缝的出现而受到影响。如果不及时</w:t>
      </w:r>
      <w:r>
        <w:rPr>
          <w:spacing w:val="-20"/>
          <w:sz w:val="24"/>
          <w:szCs w:val="24"/>
        </w:rPr>
        <w:t>采取控制措施，致使裂缝危害进一步蔓延，那么未来可能会发展为反射裂缝，再严重些可能使路面面层也出现裂缝或断板。</w:t>
      </w:r>
    </w:p>
    <w:p w14:paraId="59A0063A">
      <w:pPr>
        <w:pStyle w:val="2"/>
        <w:spacing w:before="2" w:line="262" w:lineRule="auto"/>
        <w:ind w:left="1455" w:right="1414" w:hanging="7"/>
        <w:rPr>
          <w:sz w:val="24"/>
          <w:szCs w:val="24"/>
        </w:rPr>
      </w:pPr>
      <w:r>
        <w:rPr>
          <w:spacing w:val="-20"/>
          <w:sz w:val="24"/>
          <w:szCs w:val="24"/>
        </w:rPr>
        <w:t>①在混凝土结构中，如果增加混合料中的含水量，水泥稳定基层干缩应变也将随之增大；在碾</w:t>
      </w:r>
      <w:r>
        <w:rPr>
          <w:spacing w:val="-22"/>
          <w:sz w:val="24"/>
          <w:szCs w:val="24"/>
        </w:rPr>
        <w:t>压过程中，结构层发生干缩裂缝的机率会随着含水量的增加而增大。</w:t>
      </w:r>
    </w:p>
    <w:p w14:paraId="54E1F9EA">
      <w:pPr>
        <w:pStyle w:val="2"/>
        <w:spacing w:before="118" w:line="263" w:lineRule="auto"/>
        <w:ind w:left="1462" w:right="1409" w:firstLine="422"/>
        <w:rPr>
          <w:sz w:val="24"/>
          <w:szCs w:val="24"/>
        </w:rPr>
      </w:pPr>
      <w:r>
        <w:rPr>
          <w:spacing w:val="-19"/>
          <w:sz w:val="24"/>
          <w:szCs w:val="24"/>
        </w:rPr>
        <w:t>②选用合适的水泥在一定程度上能减少干缩裂缝，水泥的干</w:t>
      </w:r>
      <w:r>
        <w:rPr>
          <w:spacing w:val="-20"/>
          <w:sz w:val="24"/>
          <w:szCs w:val="24"/>
        </w:rPr>
        <w:t>缩程度也因品种不同而呈现出</w:t>
      </w:r>
      <w:r>
        <w:rPr>
          <w:spacing w:val="-19"/>
          <w:sz w:val="24"/>
          <w:szCs w:val="24"/>
        </w:rPr>
        <w:t>不同的特点。</w:t>
      </w:r>
    </w:p>
    <w:p w14:paraId="364899A0">
      <w:pPr>
        <w:pStyle w:val="2"/>
        <w:spacing w:before="115" w:line="263" w:lineRule="auto"/>
        <w:ind w:left="1470" w:right="1410" w:firstLine="414"/>
        <w:rPr>
          <w:sz w:val="24"/>
          <w:szCs w:val="24"/>
        </w:rPr>
      </w:pPr>
      <w:r>
        <w:rPr>
          <w:spacing w:val="-19"/>
          <w:sz w:val="24"/>
          <w:szCs w:val="24"/>
        </w:rPr>
        <w:t>③水泥稳定基层裂缝的产生和各种粒料的含土量有一定的联</w:t>
      </w:r>
      <w:r>
        <w:rPr>
          <w:spacing w:val="-20"/>
          <w:sz w:val="24"/>
          <w:szCs w:val="24"/>
        </w:rPr>
        <w:t>系，如果加大粘土量，混合料</w:t>
      </w:r>
      <w:r>
        <w:rPr>
          <w:spacing w:val="-22"/>
          <w:sz w:val="24"/>
          <w:szCs w:val="24"/>
        </w:rPr>
        <w:t>的温缩系数的变化幅度就会随温度的下降幅度而逐渐增大。</w:t>
      </w:r>
    </w:p>
    <w:p w14:paraId="54CB4561">
      <w:pPr>
        <w:pStyle w:val="2"/>
        <w:spacing w:before="115" w:line="262" w:lineRule="auto"/>
        <w:ind w:left="1463" w:right="1409" w:firstLine="420"/>
        <w:rPr>
          <w:sz w:val="24"/>
          <w:szCs w:val="24"/>
        </w:rPr>
      </w:pPr>
      <w:r>
        <w:rPr>
          <w:spacing w:val="-19"/>
          <w:sz w:val="24"/>
          <w:szCs w:val="24"/>
        </w:rPr>
        <w:t>④水泥稳定基层裂缝和细集料的含量有关系，细集料含量的</w:t>
      </w:r>
      <w:r>
        <w:rPr>
          <w:spacing w:val="-20"/>
          <w:sz w:val="24"/>
          <w:szCs w:val="24"/>
        </w:rPr>
        <w:t>多少对水泥稳定土的质量影响</w:t>
      </w:r>
      <w:r>
        <w:rPr>
          <w:spacing w:val="-22"/>
          <w:sz w:val="24"/>
          <w:szCs w:val="24"/>
        </w:rPr>
        <w:t>非常大，减少细集料的含量可降低水泥稳定粒料的收缩性和提高其抗冲刷性。</w:t>
      </w:r>
    </w:p>
    <w:p w14:paraId="3092C8CE">
      <w:pPr>
        <w:pStyle w:val="2"/>
        <w:spacing w:before="121" w:line="261" w:lineRule="auto"/>
        <w:ind w:left="1458" w:right="1409" w:firstLine="426"/>
        <w:rPr>
          <w:sz w:val="24"/>
          <w:szCs w:val="24"/>
        </w:rPr>
      </w:pPr>
      <w:r>
        <w:rPr>
          <w:spacing w:val="-19"/>
          <w:sz w:val="24"/>
          <w:szCs w:val="24"/>
        </w:rPr>
        <w:t>⑤水泥稳定土与水稳基层碾压密实度之间往往存在必然的联</w:t>
      </w:r>
      <w:r>
        <w:rPr>
          <w:spacing w:val="-20"/>
          <w:sz w:val="24"/>
          <w:szCs w:val="24"/>
        </w:rPr>
        <w:t>系。水泥稳定土的耐冻性和干</w:t>
      </w:r>
      <w:r>
        <w:rPr>
          <w:spacing w:val="-21"/>
          <w:sz w:val="24"/>
          <w:szCs w:val="24"/>
        </w:rPr>
        <w:t>缩性主要取决于水泥稳定基层碾压密实度。</w:t>
      </w:r>
    </w:p>
    <w:p w14:paraId="3F85C163">
      <w:pPr>
        <w:pStyle w:val="2"/>
        <w:spacing w:before="122" w:line="215" w:lineRule="auto"/>
        <w:ind w:left="1884"/>
        <w:rPr>
          <w:sz w:val="24"/>
          <w:szCs w:val="24"/>
        </w:rPr>
      </w:pPr>
      <w:r>
        <w:rPr>
          <w:spacing w:val="-22"/>
          <w:sz w:val="24"/>
          <w:szCs w:val="24"/>
        </w:rPr>
        <w:t>⑥不及时对水泥稳定基层进行养护，会提高干缩裂缝发生的机率。</w:t>
      </w:r>
    </w:p>
    <w:p w14:paraId="6C4E9EE0">
      <w:pPr>
        <w:pStyle w:val="2"/>
        <w:spacing w:before="121" w:line="261" w:lineRule="auto"/>
        <w:ind w:left="1473" w:right="1410" w:firstLine="411"/>
        <w:rPr>
          <w:sz w:val="24"/>
          <w:szCs w:val="24"/>
        </w:rPr>
      </w:pPr>
      <w:r>
        <w:rPr>
          <w:spacing w:val="-19"/>
          <w:sz w:val="24"/>
          <w:szCs w:val="24"/>
        </w:rPr>
        <w:t>⑦基层施工时的温度与冬季温度之间的温差愈大，基层就</w:t>
      </w:r>
      <w:r>
        <w:rPr>
          <w:spacing w:val="-20"/>
          <w:sz w:val="24"/>
          <w:szCs w:val="24"/>
        </w:rPr>
        <w:t>越容易产生温缩裂缝，因此施工</w:t>
      </w:r>
      <w:r>
        <w:rPr>
          <w:spacing w:val="-22"/>
          <w:sz w:val="24"/>
          <w:szCs w:val="24"/>
        </w:rPr>
        <w:t>时间的选择有密切关系。</w:t>
      </w:r>
    </w:p>
    <w:p w14:paraId="6079A1A6">
      <w:pPr>
        <w:pStyle w:val="2"/>
        <w:spacing w:before="120" w:line="215" w:lineRule="auto"/>
        <w:ind w:left="1888"/>
        <w:rPr>
          <w:sz w:val="24"/>
          <w:szCs w:val="24"/>
        </w:rPr>
      </w:pPr>
      <w:r>
        <w:rPr>
          <w:spacing w:val="-19"/>
          <w:sz w:val="24"/>
          <w:szCs w:val="24"/>
        </w:rPr>
        <w:t>2.水泥稳定基层裂缝的预防措施</w:t>
      </w:r>
    </w:p>
    <w:p w14:paraId="0EB2427A">
      <w:pPr>
        <w:pStyle w:val="2"/>
        <w:spacing w:before="121" w:line="216" w:lineRule="auto"/>
        <w:ind w:left="1888"/>
        <w:rPr>
          <w:sz w:val="24"/>
          <w:szCs w:val="24"/>
        </w:rPr>
      </w:pPr>
      <w:r>
        <w:rPr>
          <w:spacing w:val="-21"/>
          <w:sz w:val="24"/>
          <w:szCs w:val="24"/>
        </w:rPr>
        <w:t>2.1充分重视原材料的选用及配合比设计。</w:t>
      </w:r>
    </w:p>
    <w:p w14:paraId="30D4F90F">
      <w:pPr>
        <w:pStyle w:val="2"/>
        <w:spacing w:before="118" w:line="217" w:lineRule="auto"/>
        <w:ind w:left="1885"/>
        <w:rPr>
          <w:sz w:val="24"/>
          <w:szCs w:val="24"/>
        </w:rPr>
      </w:pPr>
      <w:r>
        <w:rPr>
          <w:spacing w:val="-19"/>
          <w:sz w:val="24"/>
          <w:szCs w:val="24"/>
        </w:rPr>
        <w:t>①水泥剂量与级配。</w:t>
      </w:r>
    </w:p>
    <w:p w14:paraId="5F912118">
      <w:pPr>
        <w:spacing w:line="217" w:lineRule="auto"/>
        <w:rPr>
          <w:sz w:val="24"/>
          <w:szCs w:val="24"/>
        </w:rPr>
        <w:sectPr>
          <w:footerReference r:id="rId230" w:type="default"/>
          <w:pgSz w:w="11907" w:h="16839"/>
          <w:pgMar w:top="954" w:right="4" w:bottom="1038" w:left="0" w:header="499" w:footer="357" w:gutter="0"/>
          <w:pgBorders>
            <w:top w:val="none" w:sz="0" w:space="0"/>
            <w:left w:val="none" w:sz="0" w:space="0"/>
            <w:bottom w:val="none" w:sz="0" w:space="0"/>
            <w:right w:val="none" w:sz="0" w:space="0"/>
          </w:pgBorders>
          <w:cols w:space="720" w:num="1"/>
        </w:sectPr>
      </w:pPr>
    </w:p>
    <w:p w14:paraId="153DC459">
      <w:pPr>
        <w:spacing w:line="250" w:lineRule="auto"/>
        <w:rPr>
          <w:rFonts w:ascii="Arial"/>
          <w:sz w:val="21"/>
        </w:rPr>
      </w:pPr>
    </w:p>
    <w:p w14:paraId="30E7AD28">
      <w:pPr>
        <w:pStyle w:val="2"/>
        <w:spacing w:before="78" w:line="216" w:lineRule="auto"/>
        <w:ind w:left="1884"/>
        <w:rPr>
          <w:sz w:val="24"/>
          <w:szCs w:val="24"/>
        </w:rPr>
      </w:pPr>
      <w:r>
        <w:rPr>
          <w:spacing w:val="-18"/>
          <w:sz w:val="24"/>
          <w:szCs w:val="24"/>
        </w:rPr>
        <w:t>②水泥品种的选择。</w:t>
      </w:r>
    </w:p>
    <w:p w14:paraId="204EC03D">
      <w:pPr>
        <w:pStyle w:val="2"/>
        <w:spacing w:before="120" w:line="216" w:lineRule="auto"/>
        <w:ind w:left="1884"/>
        <w:rPr>
          <w:sz w:val="24"/>
          <w:szCs w:val="24"/>
        </w:rPr>
      </w:pPr>
      <w:r>
        <w:rPr>
          <w:spacing w:val="-21"/>
          <w:sz w:val="24"/>
          <w:szCs w:val="24"/>
        </w:rPr>
        <w:t>③限制收缩最重要的措施是除去集料中的粘土含量，达到规范的范围，而且愈</w:t>
      </w:r>
      <w:r>
        <w:rPr>
          <w:spacing w:val="-22"/>
          <w:sz w:val="24"/>
          <w:szCs w:val="24"/>
        </w:rPr>
        <w:t>小愈好。</w:t>
      </w:r>
    </w:p>
    <w:p w14:paraId="1210476E">
      <w:pPr>
        <w:pStyle w:val="2"/>
        <w:spacing w:before="117" w:line="216" w:lineRule="auto"/>
        <w:ind w:left="1884"/>
        <w:rPr>
          <w:sz w:val="24"/>
          <w:szCs w:val="24"/>
        </w:rPr>
      </w:pPr>
      <w:r>
        <w:rPr>
          <w:spacing w:val="-21"/>
          <w:sz w:val="24"/>
          <w:szCs w:val="24"/>
        </w:rPr>
        <w:t>④细集料不能太多。</w:t>
      </w:r>
    </w:p>
    <w:p w14:paraId="0AFB2FD0">
      <w:pPr>
        <w:pStyle w:val="2"/>
        <w:spacing w:before="120" w:line="216" w:lineRule="auto"/>
        <w:ind w:left="1884"/>
        <w:rPr>
          <w:sz w:val="24"/>
          <w:szCs w:val="24"/>
        </w:rPr>
      </w:pPr>
      <w:r>
        <w:rPr>
          <w:spacing w:val="-21"/>
          <w:sz w:val="24"/>
          <w:szCs w:val="24"/>
        </w:rPr>
        <w:t>⑤水泥的水化和结硬作用进行的比较快，容易产生收缩裂缝。</w:t>
      </w:r>
    </w:p>
    <w:p w14:paraId="03FEF247">
      <w:pPr>
        <w:pStyle w:val="2"/>
        <w:spacing w:before="120" w:line="216" w:lineRule="auto"/>
        <w:ind w:left="1884"/>
        <w:rPr>
          <w:sz w:val="24"/>
          <w:szCs w:val="24"/>
        </w:rPr>
      </w:pPr>
      <w:r>
        <w:rPr>
          <w:spacing w:val="-21"/>
          <w:sz w:val="24"/>
          <w:szCs w:val="24"/>
        </w:rPr>
        <w:t>⑥根据当地的材料情况确定相应的配合比。</w:t>
      </w:r>
    </w:p>
    <w:p w14:paraId="5AF5B194">
      <w:pPr>
        <w:pStyle w:val="2"/>
        <w:spacing w:before="116" w:line="278" w:lineRule="auto"/>
        <w:ind w:left="1460" w:right="1412" w:firstLine="428"/>
        <w:rPr>
          <w:sz w:val="24"/>
          <w:szCs w:val="24"/>
        </w:rPr>
      </w:pPr>
      <w:r>
        <w:rPr>
          <w:spacing w:val="-23"/>
          <w:sz w:val="24"/>
          <w:szCs w:val="24"/>
        </w:rPr>
        <w:t>2.2施工时间的选择。应根据当地的气候条件合理安排基层、底基层的施工时间，选择合适</w:t>
      </w:r>
      <w:r>
        <w:rPr>
          <w:spacing w:val="-20"/>
          <w:sz w:val="24"/>
          <w:szCs w:val="24"/>
        </w:rPr>
        <w:t>的时间摊铺，工期最好选在夏季高温季节到来之前。若在夏季高温季节施工时，最好选在上午</w:t>
      </w:r>
      <w:r>
        <w:rPr>
          <w:spacing w:val="-22"/>
          <w:sz w:val="24"/>
          <w:szCs w:val="24"/>
        </w:rPr>
        <w:t>或夜间施工，加强覆盖养生。</w:t>
      </w:r>
    </w:p>
    <w:p w14:paraId="6611FCD5">
      <w:pPr>
        <w:pStyle w:val="2"/>
        <w:spacing w:before="118" w:line="262" w:lineRule="auto"/>
        <w:ind w:left="1456" w:right="1409" w:firstLine="432"/>
        <w:rPr>
          <w:sz w:val="24"/>
          <w:szCs w:val="24"/>
        </w:rPr>
      </w:pPr>
      <w:r>
        <w:rPr>
          <w:spacing w:val="-20"/>
          <w:sz w:val="24"/>
          <w:szCs w:val="24"/>
        </w:rPr>
        <w:t>2.3增加水稳碾压密实度。压实较密的基层不易产</w:t>
      </w:r>
      <w:r>
        <w:rPr>
          <w:spacing w:val="-21"/>
          <w:sz w:val="24"/>
          <w:szCs w:val="24"/>
        </w:rPr>
        <w:t>生干缩，因此在施工中选用20～25t振动</w:t>
      </w:r>
      <w:r>
        <w:rPr>
          <w:spacing w:val="-20"/>
          <w:sz w:val="24"/>
          <w:szCs w:val="24"/>
        </w:rPr>
        <w:t>压路机进行重型碾压。</w:t>
      </w:r>
    </w:p>
    <w:p w14:paraId="338E4EF3">
      <w:pPr>
        <w:pStyle w:val="2"/>
        <w:spacing w:before="119" w:line="262" w:lineRule="auto"/>
        <w:ind w:left="1460" w:right="1410" w:firstLine="428"/>
        <w:rPr>
          <w:sz w:val="24"/>
          <w:szCs w:val="24"/>
        </w:rPr>
      </w:pPr>
      <w:r>
        <w:rPr>
          <w:spacing w:val="-23"/>
          <w:sz w:val="24"/>
          <w:szCs w:val="24"/>
        </w:rPr>
        <w:t>2.4控制含水量。避免因施工用水量控制不当而人为造成的干缩裂缝，施工时严格按照施工</w:t>
      </w:r>
      <w:r>
        <w:rPr>
          <w:spacing w:val="-20"/>
          <w:sz w:val="24"/>
          <w:szCs w:val="24"/>
        </w:rPr>
        <w:t>配合比控制最佳含水量。</w:t>
      </w:r>
    </w:p>
    <w:p w14:paraId="40D35BB9">
      <w:pPr>
        <w:pStyle w:val="2"/>
        <w:spacing w:before="119" w:line="215" w:lineRule="auto"/>
        <w:ind w:left="1888"/>
        <w:rPr>
          <w:sz w:val="24"/>
          <w:szCs w:val="24"/>
        </w:rPr>
      </w:pPr>
      <w:r>
        <w:rPr>
          <w:spacing w:val="-19"/>
          <w:sz w:val="24"/>
          <w:szCs w:val="24"/>
        </w:rPr>
        <w:t>2.5施工中对水泥稳定基层的控制。</w:t>
      </w:r>
    </w:p>
    <w:p w14:paraId="2EF573E5">
      <w:pPr>
        <w:pStyle w:val="2"/>
        <w:spacing w:before="121" w:line="216" w:lineRule="auto"/>
        <w:ind w:left="1885"/>
        <w:rPr>
          <w:sz w:val="24"/>
          <w:szCs w:val="24"/>
        </w:rPr>
      </w:pPr>
      <w:r>
        <w:rPr>
          <w:spacing w:val="-21"/>
          <w:sz w:val="24"/>
          <w:szCs w:val="24"/>
        </w:rPr>
        <w:t>①加强拌合摊铺质量，减少材料离析现象。</w:t>
      </w:r>
    </w:p>
    <w:p w14:paraId="03226A27">
      <w:pPr>
        <w:pStyle w:val="2"/>
        <w:spacing w:before="117" w:line="262" w:lineRule="auto"/>
        <w:ind w:left="1459" w:right="1409" w:firstLine="425"/>
        <w:rPr>
          <w:sz w:val="24"/>
          <w:szCs w:val="24"/>
        </w:rPr>
      </w:pPr>
      <w:r>
        <w:rPr>
          <w:spacing w:val="-19"/>
          <w:sz w:val="24"/>
          <w:szCs w:val="24"/>
        </w:rPr>
        <w:t>②尽可能的缩短基层集料从加水拌合到碾压终了的延迟时间</w:t>
      </w:r>
      <w:r>
        <w:rPr>
          <w:spacing w:val="-20"/>
          <w:sz w:val="24"/>
          <w:szCs w:val="24"/>
        </w:rPr>
        <w:t>，按试验路段确定的合适的延</w:t>
      </w:r>
      <w:r>
        <w:rPr>
          <w:spacing w:val="-21"/>
          <w:sz w:val="24"/>
          <w:szCs w:val="24"/>
        </w:rPr>
        <w:t>迟时间严格施工，确保在水泥初凝时间内完成碾压。</w:t>
      </w:r>
    </w:p>
    <w:p w14:paraId="1EEF4BB1">
      <w:pPr>
        <w:pStyle w:val="2"/>
        <w:spacing w:before="120" w:line="217" w:lineRule="auto"/>
        <w:ind w:left="1884"/>
        <w:rPr>
          <w:sz w:val="24"/>
          <w:szCs w:val="24"/>
        </w:rPr>
      </w:pPr>
      <w:r>
        <w:rPr>
          <w:spacing w:val="-20"/>
          <w:sz w:val="24"/>
          <w:szCs w:val="24"/>
        </w:rPr>
        <w:t>③保证基层的保湿养生期和养生温度。</w:t>
      </w:r>
    </w:p>
    <w:p w14:paraId="3EBCFFCE">
      <w:pPr>
        <w:pStyle w:val="2"/>
        <w:spacing w:before="117" w:line="217" w:lineRule="auto"/>
        <w:ind w:left="1888"/>
        <w:rPr>
          <w:sz w:val="24"/>
          <w:szCs w:val="24"/>
        </w:rPr>
      </w:pPr>
      <w:r>
        <w:rPr>
          <w:spacing w:val="-16"/>
          <w:sz w:val="24"/>
          <w:szCs w:val="24"/>
        </w:rPr>
        <w:t>2.6及时养生。</w:t>
      </w:r>
    </w:p>
    <w:p w14:paraId="69E3DC0D">
      <w:pPr>
        <w:pStyle w:val="2"/>
        <w:spacing w:before="120" w:line="262" w:lineRule="auto"/>
        <w:ind w:left="1463" w:right="1412" w:firstLine="425"/>
        <w:rPr>
          <w:sz w:val="24"/>
          <w:szCs w:val="24"/>
        </w:rPr>
      </w:pPr>
      <w:r>
        <w:rPr>
          <w:spacing w:val="-19"/>
          <w:sz w:val="24"/>
          <w:szCs w:val="24"/>
        </w:rPr>
        <w:t>2.7基层中添加粉煤灰。水泥稳定土中</w:t>
      </w:r>
      <w:r>
        <w:rPr>
          <w:spacing w:val="-20"/>
          <w:sz w:val="24"/>
          <w:szCs w:val="24"/>
        </w:rPr>
        <w:t>添加占集料重量的10%～20%的粉煤灰，可以增加混</w:t>
      </w:r>
      <w:r>
        <w:rPr>
          <w:spacing w:val="-22"/>
          <w:sz w:val="24"/>
          <w:szCs w:val="24"/>
        </w:rPr>
        <w:t>合料的抗冻能力和改善混合料的形变性能，延缓混合料凝结。</w:t>
      </w:r>
    </w:p>
    <w:p w14:paraId="497BDF2C">
      <w:pPr>
        <w:pStyle w:val="2"/>
        <w:spacing w:before="117" w:line="262" w:lineRule="auto"/>
        <w:ind w:left="1463" w:right="1410" w:firstLine="424"/>
        <w:rPr>
          <w:sz w:val="24"/>
          <w:szCs w:val="24"/>
        </w:rPr>
      </w:pPr>
      <w:r>
        <w:rPr>
          <w:spacing w:val="-23"/>
          <w:sz w:val="24"/>
          <w:szCs w:val="24"/>
        </w:rPr>
        <w:t>2.8在混合料中加入膨胀剂。在水泥稳定粒料中使用减水剂，减少混合料的含水量，可以达</w:t>
      </w:r>
      <w:r>
        <w:rPr>
          <w:spacing w:val="-22"/>
          <w:sz w:val="24"/>
          <w:szCs w:val="24"/>
        </w:rPr>
        <w:t>到减少干缩裂缝的目的，同样混合料中加入膨胀剂可以减少水泥稳定基层的干缩裂缝。</w:t>
      </w:r>
    </w:p>
    <w:p w14:paraId="6C2E1AB1">
      <w:pPr>
        <w:pStyle w:val="2"/>
        <w:spacing w:before="121" w:line="261" w:lineRule="auto"/>
        <w:ind w:left="1459" w:right="1409" w:firstLine="429"/>
        <w:rPr>
          <w:sz w:val="24"/>
          <w:szCs w:val="24"/>
        </w:rPr>
      </w:pPr>
      <w:r>
        <w:rPr>
          <w:spacing w:val="-23"/>
          <w:sz w:val="24"/>
          <w:szCs w:val="24"/>
        </w:rPr>
        <w:t>2.9在混合料中掺入纤维。在水泥稳定碎石中掺入纤维材料，可以提高抗压强度。纤维的种</w:t>
      </w:r>
      <w:r>
        <w:rPr>
          <w:spacing w:val="-21"/>
          <w:sz w:val="24"/>
          <w:szCs w:val="24"/>
        </w:rPr>
        <w:t>类较多，有钢纤维，塑料纤维，也可采用麻筋等。</w:t>
      </w:r>
    </w:p>
    <w:p w14:paraId="6D2F0F49">
      <w:pPr>
        <w:pStyle w:val="2"/>
        <w:spacing w:before="86" w:line="216" w:lineRule="auto"/>
        <w:ind w:left="2010"/>
        <w:outlineLvl w:val="2"/>
        <w:rPr>
          <w:sz w:val="28"/>
          <w:szCs w:val="28"/>
        </w:rPr>
      </w:pPr>
      <w:bookmarkStart w:id="159" w:name="bookmark152"/>
      <w:bookmarkEnd w:id="159"/>
      <w:r>
        <w:rPr>
          <w:b/>
          <w:bCs/>
          <w:spacing w:val="-25"/>
          <w:sz w:val="28"/>
          <w:szCs w:val="28"/>
        </w:rPr>
        <w:t>四、路面面层恢复质量通病及防治措施</w:t>
      </w:r>
    </w:p>
    <w:p w14:paraId="4B25827B">
      <w:pPr>
        <w:pStyle w:val="2"/>
        <w:spacing w:before="107" w:line="216" w:lineRule="auto"/>
        <w:ind w:left="1896"/>
        <w:rPr>
          <w:sz w:val="24"/>
          <w:szCs w:val="24"/>
        </w:rPr>
      </w:pPr>
      <w:r>
        <w:rPr>
          <w:spacing w:val="-19"/>
          <w:sz w:val="24"/>
          <w:szCs w:val="24"/>
        </w:rPr>
        <w:t>沥青混合料面层</w:t>
      </w:r>
    </w:p>
    <w:p w14:paraId="47B9D9E8">
      <w:pPr>
        <w:pStyle w:val="2"/>
        <w:spacing w:before="118" w:line="218" w:lineRule="auto"/>
        <w:ind w:left="1893"/>
        <w:rPr>
          <w:sz w:val="24"/>
          <w:szCs w:val="24"/>
        </w:rPr>
      </w:pPr>
      <w:r>
        <w:rPr>
          <w:spacing w:val="-19"/>
          <w:sz w:val="24"/>
          <w:szCs w:val="24"/>
        </w:rPr>
        <w:t>（一）、横向裂缝</w:t>
      </w:r>
    </w:p>
    <w:p w14:paraId="068338F9">
      <w:pPr>
        <w:pStyle w:val="2"/>
        <w:spacing w:before="118" w:line="217" w:lineRule="auto"/>
        <w:ind w:left="1903"/>
        <w:rPr>
          <w:sz w:val="24"/>
          <w:szCs w:val="24"/>
        </w:rPr>
      </w:pPr>
      <w:r>
        <w:rPr>
          <w:spacing w:val="-24"/>
          <w:sz w:val="24"/>
          <w:szCs w:val="24"/>
        </w:rPr>
        <w:t>1．现象：裂缝与路中心线基本垂直，缝宽不一</w:t>
      </w:r>
      <w:r>
        <w:rPr>
          <w:spacing w:val="-25"/>
          <w:sz w:val="24"/>
          <w:szCs w:val="24"/>
        </w:rPr>
        <w:t>，缝长有贯穿整个路幅的，也有部分路幅的。</w:t>
      </w:r>
    </w:p>
    <w:p w14:paraId="76DE8516">
      <w:pPr>
        <w:pStyle w:val="2"/>
        <w:spacing w:before="119" w:line="217" w:lineRule="auto"/>
        <w:ind w:left="1888"/>
        <w:rPr>
          <w:sz w:val="24"/>
          <w:szCs w:val="24"/>
        </w:rPr>
      </w:pPr>
      <w:r>
        <w:rPr>
          <w:spacing w:val="-15"/>
          <w:sz w:val="24"/>
          <w:szCs w:val="24"/>
        </w:rPr>
        <w:t>2．原因分析</w:t>
      </w:r>
    </w:p>
    <w:p w14:paraId="64CC3A6D">
      <w:pPr>
        <w:pStyle w:val="2"/>
        <w:spacing w:before="116" w:line="218" w:lineRule="auto"/>
        <w:ind w:left="1893"/>
        <w:rPr>
          <w:sz w:val="24"/>
          <w:szCs w:val="24"/>
        </w:rPr>
      </w:pPr>
      <w:r>
        <w:rPr>
          <w:spacing w:val="-21"/>
          <w:sz w:val="24"/>
          <w:szCs w:val="24"/>
        </w:rPr>
        <w:t>（1）施工缝末处理好，接缝不紧密，结合不良。</w:t>
      </w:r>
    </w:p>
    <w:p w14:paraId="4EA432BE">
      <w:pPr>
        <w:pStyle w:val="2"/>
        <w:spacing w:before="118" w:line="262" w:lineRule="auto"/>
        <w:ind w:left="1459" w:right="1411" w:firstLine="433"/>
        <w:rPr>
          <w:sz w:val="24"/>
          <w:szCs w:val="24"/>
        </w:rPr>
      </w:pPr>
      <w:r>
        <w:rPr>
          <w:spacing w:val="-22"/>
          <w:sz w:val="24"/>
          <w:szCs w:val="24"/>
        </w:rPr>
        <w:t>（2）沥青未达到适合于本地区气候条件和使用要求的质量标准，致使沥青面层</w:t>
      </w:r>
      <w:r>
        <w:rPr>
          <w:spacing w:val="-23"/>
          <w:sz w:val="24"/>
          <w:szCs w:val="24"/>
        </w:rPr>
        <w:t>温度收缩或</w:t>
      </w:r>
      <w:r>
        <w:rPr>
          <w:spacing w:val="-21"/>
          <w:sz w:val="24"/>
          <w:szCs w:val="24"/>
        </w:rPr>
        <w:t>温度疲劳应力（应变）大于沥青混合料的抗拉强度（应变）。</w:t>
      </w:r>
    </w:p>
    <w:p w14:paraId="302D2CA9">
      <w:pPr>
        <w:pStyle w:val="2"/>
        <w:spacing w:before="117" w:line="216" w:lineRule="auto"/>
        <w:ind w:left="1893"/>
        <w:rPr>
          <w:sz w:val="24"/>
          <w:szCs w:val="24"/>
        </w:rPr>
      </w:pPr>
      <w:r>
        <w:rPr>
          <w:spacing w:val="-20"/>
          <w:sz w:val="24"/>
          <w:szCs w:val="24"/>
        </w:rPr>
        <w:t>（3）半刚性基层收缩裂缝的反射缝。</w:t>
      </w:r>
    </w:p>
    <w:p w14:paraId="1B04126E">
      <w:pPr>
        <w:pStyle w:val="2"/>
        <w:spacing w:before="121" w:line="218" w:lineRule="auto"/>
        <w:ind w:left="1893"/>
        <w:rPr>
          <w:sz w:val="24"/>
          <w:szCs w:val="24"/>
        </w:rPr>
      </w:pPr>
      <w:r>
        <w:rPr>
          <w:spacing w:val="-21"/>
          <w:sz w:val="24"/>
          <w:szCs w:val="24"/>
        </w:rPr>
        <w:t>（4）桥梁、涵洞或通道二侧的填土产生固结或地基沉降。</w:t>
      </w:r>
    </w:p>
    <w:p w14:paraId="1438A29D">
      <w:pPr>
        <w:pStyle w:val="2"/>
        <w:spacing w:before="117" w:line="219" w:lineRule="auto"/>
        <w:ind w:left="1890"/>
        <w:rPr>
          <w:sz w:val="24"/>
          <w:szCs w:val="24"/>
        </w:rPr>
      </w:pPr>
      <w:r>
        <w:rPr>
          <w:spacing w:val="-16"/>
          <w:sz w:val="24"/>
          <w:szCs w:val="24"/>
        </w:rPr>
        <w:t>3．预防措施</w:t>
      </w:r>
    </w:p>
    <w:p w14:paraId="1DD5926D">
      <w:pPr>
        <w:pStyle w:val="2"/>
        <w:spacing w:before="113" w:line="216" w:lineRule="auto"/>
        <w:ind w:left="1893"/>
        <w:rPr>
          <w:sz w:val="24"/>
          <w:szCs w:val="24"/>
        </w:rPr>
      </w:pPr>
      <w:r>
        <w:rPr>
          <w:spacing w:val="-22"/>
          <w:sz w:val="24"/>
          <w:szCs w:val="24"/>
        </w:rPr>
        <w:t>（1）合理组织施工，摊铺作业连续进行，减少冷接缝。冷接缝的处理，应先将已摊铺压实</w:t>
      </w:r>
    </w:p>
    <w:p w14:paraId="1538C4D8">
      <w:pPr>
        <w:spacing w:line="216" w:lineRule="auto"/>
        <w:rPr>
          <w:sz w:val="24"/>
          <w:szCs w:val="24"/>
        </w:rPr>
        <w:sectPr>
          <w:footerReference r:id="rId231" w:type="default"/>
          <w:pgSz w:w="11907" w:h="16839"/>
          <w:pgMar w:top="954" w:right="4" w:bottom="1038" w:left="0" w:header="499" w:footer="357" w:gutter="0"/>
          <w:pgBorders>
            <w:top w:val="none" w:sz="0" w:space="0"/>
            <w:left w:val="none" w:sz="0" w:space="0"/>
            <w:bottom w:val="none" w:sz="0" w:space="0"/>
            <w:right w:val="none" w:sz="0" w:space="0"/>
          </w:pgBorders>
          <w:cols w:space="720" w:num="1"/>
        </w:sectPr>
      </w:pPr>
    </w:p>
    <w:p w14:paraId="7ECC0EFF">
      <w:pPr>
        <w:spacing w:line="251" w:lineRule="auto"/>
        <w:rPr>
          <w:rFonts w:ascii="Arial"/>
          <w:sz w:val="21"/>
        </w:rPr>
      </w:pPr>
    </w:p>
    <w:p w14:paraId="3B8C1B34">
      <w:pPr>
        <w:pStyle w:val="2"/>
        <w:spacing w:before="78" w:line="306" w:lineRule="auto"/>
        <w:ind w:left="1458" w:right="1354" w:firstLine="12"/>
        <w:rPr>
          <w:sz w:val="24"/>
          <w:szCs w:val="24"/>
        </w:rPr>
      </w:pPr>
      <w:r>
        <w:rPr>
          <w:spacing w:val="-24"/>
          <w:sz w:val="24"/>
          <w:szCs w:val="24"/>
        </w:rPr>
        <w:t>的摊铺带边缘切割整齐、清除碎料，然后用热混合料敷贴接缝处，使其预热软化；铲除敷贴料，</w:t>
      </w:r>
      <w:r>
        <w:rPr>
          <w:spacing w:val="-17"/>
          <w:sz w:val="24"/>
          <w:szCs w:val="24"/>
        </w:rPr>
        <w:t>对缝壁涂刷0．3～0．6kg／m2粘层沥青，再铺筑新混合料。</w:t>
      </w:r>
    </w:p>
    <w:p w14:paraId="6319D1A4">
      <w:pPr>
        <w:pStyle w:val="2"/>
        <w:spacing w:before="2" w:line="262" w:lineRule="auto"/>
        <w:ind w:left="1460" w:right="1428" w:firstLine="432"/>
        <w:rPr>
          <w:sz w:val="24"/>
          <w:szCs w:val="24"/>
        </w:rPr>
      </w:pPr>
      <w:r>
        <w:rPr>
          <w:spacing w:val="-23"/>
          <w:sz w:val="24"/>
          <w:szCs w:val="24"/>
        </w:rPr>
        <w:t>（2）充分压实横向接缝。碾压时，压路机在已压实的横幅上，钢轮伸入新铺层15cm，每压</w:t>
      </w:r>
      <w:r>
        <w:rPr>
          <w:spacing w:val="-20"/>
          <w:sz w:val="24"/>
          <w:szCs w:val="24"/>
        </w:rPr>
        <w:t>一遍向新铺层移动15～20cm，直到压路机全部在新铺层为止，再改为纵向碾压。</w:t>
      </w:r>
    </w:p>
    <w:p w14:paraId="789BCB1A">
      <w:pPr>
        <w:pStyle w:val="2"/>
        <w:spacing w:before="120" w:line="262" w:lineRule="auto"/>
        <w:ind w:left="1459" w:right="1412" w:firstLine="433"/>
        <w:rPr>
          <w:sz w:val="24"/>
          <w:szCs w:val="24"/>
        </w:rPr>
      </w:pPr>
      <w:r>
        <w:rPr>
          <w:spacing w:val="-18"/>
          <w:sz w:val="24"/>
          <w:szCs w:val="24"/>
        </w:rPr>
        <w:t>（3）根据《沥青路面施工及验收规范》（GB50092）要求，按本地区气候条件和道路等级</w:t>
      </w:r>
      <w:r>
        <w:rPr>
          <w:spacing w:val="-21"/>
          <w:sz w:val="24"/>
          <w:szCs w:val="24"/>
        </w:rPr>
        <w:t>选取适用的沥青类型，以减少或消除沥青面层温度收缩</w:t>
      </w:r>
      <w:r>
        <w:rPr>
          <w:spacing w:val="-22"/>
          <w:sz w:val="24"/>
          <w:szCs w:val="24"/>
        </w:rPr>
        <w:t>裂缝。采用优质沥青更有效。</w:t>
      </w:r>
    </w:p>
    <w:p w14:paraId="5E92D486">
      <w:pPr>
        <w:pStyle w:val="2"/>
        <w:spacing w:before="117" w:line="264" w:lineRule="auto"/>
        <w:ind w:left="1456" w:right="1412" w:firstLine="436"/>
        <w:rPr>
          <w:sz w:val="24"/>
          <w:szCs w:val="24"/>
        </w:rPr>
      </w:pPr>
      <w:r>
        <w:rPr>
          <w:spacing w:val="-22"/>
          <w:sz w:val="24"/>
          <w:szCs w:val="24"/>
        </w:rPr>
        <w:t>（4）桥涵两侧填上充分压实或进行加固处理；工后沉降严重地段事前应进行软</w:t>
      </w:r>
      <w:r>
        <w:rPr>
          <w:spacing w:val="-23"/>
          <w:sz w:val="24"/>
          <w:szCs w:val="24"/>
        </w:rPr>
        <w:t>土地基处理</w:t>
      </w:r>
      <w:r>
        <w:rPr>
          <w:spacing w:val="-20"/>
          <w:sz w:val="24"/>
          <w:szCs w:val="24"/>
        </w:rPr>
        <w:t>和合理的路基施工组织措施。</w:t>
      </w:r>
    </w:p>
    <w:p w14:paraId="0709EF3B">
      <w:pPr>
        <w:pStyle w:val="2"/>
        <w:spacing w:before="114" w:line="218" w:lineRule="auto"/>
        <w:ind w:left="1884"/>
        <w:rPr>
          <w:sz w:val="24"/>
          <w:szCs w:val="24"/>
        </w:rPr>
      </w:pPr>
      <w:r>
        <w:rPr>
          <w:spacing w:val="-15"/>
          <w:sz w:val="24"/>
          <w:szCs w:val="24"/>
        </w:rPr>
        <w:t>4．治理方法</w:t>
      </w:r>
    </w:p>
    <w:p w14:paraId="5C838390">
      <w:pPr>
        <w:pStyle w:val="2"/>
        <w:spacing w:before="116" w:line="308" w:lineRule="auto"/>
        <w:ind w:left="1456" w:right="1410" w:firstLine="436"/>
        <w:jc w:val="both"/>
        <w:rPr>
          <w:sz w:val="24"/>
          <w:szCs w:val="24"/>
        </w:rPr>
      </w:pPr>
      <w:r>
        <w:rPr>
          <w:spacing w:val="-21"/>
          <w:sz w:val="24"/>
          <w:szCs w:val="24"/>
        </w:rPr>
        <w:t>（1）为防止雨水由裂缝渗透至路面结构，对于细裂缝（2～5mm）可用改性乳化沥青灌缝。</w:t>
      </w:r>
      <w:r>
        <w:rPr>
          <w:spacing w:val="-19"/>
          <w:sz w:val="24"/>
          <w:szCs w:val="24"/>
        </w:rPr>
        <w:t>对大于5mm的粗裂缝，可用改性沥青（如SBS改性沥青）灌缝。</w:t>
      </w:r>
      <w:r>
        <w:rPr>
          <w:spacing w:val="-20"/>
          <w:sz w:val="24"/>
          <w:szCs w:val="24"/>
        </w:rPr>
        <w:t>灌缝前，须清除缝内、缝边碎</w:t>
      </w:r>
      <w:r>
        <w:rPr>
          <w:spacing w:val="-19"/>
          <w:sz w:val="24"/>
          <w:szCs w:val="24"/>
        </w:rPr>
        <w:t>粒料、垃圾，并使缝内干燥。灌缝后，表面撒上租砂或3～5mm石屑。</w:t>
      </w:r>
    </w:p>
    <w:p w14:paraId="7EC5FCC9">
      <w:pPr>
        <w:pStyle w:val="2"/>
        <w:spacing w:before="1" w:line="219" w:lineRule="auto"/>
        <w:ind w:left="1893"/>
        <w:rPr>
          <w:sz w:val="24"/>
          <w:szCs w:val="24"/>
        </w:rPr>
      </w:pPr>
      <w:r>
        <w:rPr>
          <w:spacing w:val="-19"/>
          <w:sz w:val="24"/>
          <w:szCs w:val="24"/>
        </w:rPr>
        <w:t>（二）、纵向裂缝</w:t>
      </w:r>
    </w:p>
    <w:p w14:paraId="6D71F2F8">
      <w:pPr>
        <w:pStyle w:val="2"/>
        <w:spacing w:before="116" w:line="215" w:lineRule="auto"/>
        <w:ind w:left="1903"/>
        <w:rPr>
          <w:sz w:val="24"/>
          <w:szCs w:val="24"/>
        </w:rPr>
      </w:pPr>
      <w:r>
        <w:rPr>
          <w:spacing w:val="-21"/>
          <w:sz w:val="24"/>
          <w:szCs w:val="24"/>
        </w:rPr>
        <w:t>1．现象：裂缝走向基本与行车方向平行，裂缝长度和宽度不一。</w:t>
      </w:r>
    </w:p>
    <w:p w14:paraId="4FC289FF">
      <w:pPr>
        <w:pStyle w:val="2"/>
        <w:spacing w:before="119" w:line="217" w:lineRule="auto"/>
        <w:ind w:left="1888"/>
        <w:rPr>
          <w:sz w:val="24"/>
          <w:szCs w:val="24"/>
        </w:rPr>
      </w:pPr>
      <w:r>
        <w:rPr>
          <w:spacing w:val="-15"/>
          <w:sz w:val="24"/>
          <w:szCs w:val="24"/>
        </w:rPr>
        <w:t>2．原因分析</w:t>
      </w:r>
    </w:p>
    <w:p w14:paraId="3F04A057">
      <w:pPr>
        <w:pStyle w:val="2"/>
        <w:spacing w:before="118" w:line="217" w:lineRule="auto"/>
        <w:ind w:left="1893"/>
        <w:rPr>
          <w:sz w:val="24"/>
          <w:szCs w:val="24"/>
        </w:rPr>
      </w:pPr>
      <w:r>
        <w:rPr>
          <w:spacing w:val="-21"/>
          <w:sz w:val="24"/>
          <w:szCs w:val="24"/>
        </w:rPr>
        <w:t>（1）前后摊铺幅相接处的冷接缝末按有关规范要求认真处理，结合不紧密而脱开。</w:t>
      </w:r>
    </w:p>
    <w:p w14:paraId="3D0DD990">
      <w:pPr>
        <w:pStyle w:val="2"/>
        <w:spacing w:before="119" w:line="217" w:lineRule="auto"/>
        <w:ind w:left="1893"/>
        <w:rPr>
          <w:sz w:val="24"/>
          <w:szCs w:val="24"/>
        </w:rPr>
      </w:pPr>
      <w:r>
        <w:rPr>
          <w:spacing w:val="-20"/>
          <w:sz w:val="24"/>
          <w:szCs w:val="24"/>
        </w:rPr>
        <w:t>（2）纵向沟槽回填土压实质量差而发生沉</w:t>
      </w:r>
      <w:r>
        <w:rPr>
          <w:spacing w:val="-21"/>
          <w:sz w:val="24"/>
          <w:szCs w:val="24"/>
        </w:rPr>
        <w:t>陷。</w:t>
      </w:r>
    </w:p>
    <w:p w14:paraId="4BB2826B">
      <w:pPr>
        <w:pStyle w:val="2"/>
        <w:spacing w:before="116" w:line="218" w:lineRule="auto"/>
        <w:ind w:left="1893"/>
        <w:rPr>
          <w:sz w:val="24"/>
          <w:szCs w:val="24"/>
        </w:rPr>
      </w:pPr>
      <w:r>
        <w:rPr>
          <w:spacing w:val="-20"/>
          <w:sz w:val="24"/>
          <w:szCs w:val="24"/>
        </w:rPr>
        <w:t>（3）拓宽路段的新老路面交界处沉降不一。</w:t>
      </w:r>
    </w:p>
    <w:p w14:paraId="1CB67E36">
      <w:pPr>
        <w:pStyle w:val="2"/>
        <w:spacing w:before="117" w:line="219" w:lineRule="auto"/>
        <w:ind w:left="1890"/>
        <w:rPr>
          <w:sz w:val="24"/>
          <w:szCs w:val="24"/>
        </w:rPr>
      </w:pPr>
      <w:r>
        <w:rPr>
          <w:spacing w:val="-16"/>
          <w:sz w:val="24"/>
          <w:szCs w:val="24"/>
        </w:rPr>
        <w:t>3．预防措施</w:t>
      </w:r>
    </w:p>
    <w:p w14:paraId="003E8677">
      <w:pPr>
        <w:pStyle w:val="2"/>
        <w:spacing w:before="116" w:line="262" w:lineRule="auto"/>
        <w:ind w:left="1456" w:right="1409" w:firstLine="436"/>
        <w:rPr>
          <w:sz w:val="24"/>
          <w:szCs w:val="24"/>
        </w:rPr>
      </w:pPr>
      <w:r>
        <w:rPr>
          <w:spacing w:val="-22"/>
          <w:sz w:val="24"/>
          <w:szCs w:val="24"/>
        </w:rPr>
        <w:t>（1）采用全路幅一次摊铺，如分幅摊铺时，前后幅应紧跟，避免前摊铺幅混合料冷却</w:t>
      </w:r>
      <w:r>
        <w:rPr>
          <w:spacing w:val="-23"/>
          <w:sz w:val="24"/>
          <w:szCs w:val="24"/>
        </w:rPr>
        <w:t>后才</w:t>
      </w:r>
      <w:r>
        <w:rPr>
          <w:spacing w:val="-20"/>
          <w:sz w:val="24"/>
          <w:szCs w:val="24"/>
        </w:rPr>
        <w:t>摊铺后半幅，确保热接缝。</w:t>
      </w:r>
    </w:p>
    <w:p w14:paraId="4478C5CA">
      <w:pPr>
        <w:pStyle w:val="2"/>
        <w:spacing w:before="119" w:line="285" w:lineRule="auto"/>
        <w:ind w:left="1457" w:right="1410" w:firstLine="435"/>
        <w:rPr>
          <w:sz w:val="24"/>
          <w:szCs w:val="24"/>
        </w:rPr>
      </w:pPr>
      <w:r>
        <w:rPr>
          <w:spacing w:val="-20"/>
          <w:sz w:val="24"/>
          <w:szCs w:val="24"/>
        </w:rPr>
        <w:t>（2）如无条件全路幅摊铺时，上、下层的施</w:t>
      </w:r>
      <w:r>
        <w:rPr>
          <w:spacing w:val="-21"/>
          <w:sz w:val="24"/>
          <w:szCs w:val="24"/>
        </w:rPr>
        <w:t>工纵缝应错开15cm以上。前后幅相接处为冷</w:t>
      </w:r>
      <w:r>
        <w:rPr>
          <w:spacing w:val="-20"/>
          <w:sz w:val="24"/>
          <w:szCs w:val="24"/>
        </w:rPr>
        <w:t>接缝时，应先将已施工压实完的边缘坍斜部分切除，切线须顺直，侧壁要垂直，清除碎料后，宜用热混合料敷贴接缝处，使之预热软化，然后铲除敷贴料，并对测壁涂刷0．3～0．6kg／m2</w:t>
      </w:r>
      <w:r>
        <w:rPr>
          <w:spacing w:val="-21"/>
          <w:sz w:val="24"/>
          <w:szCs w:val="24"/>
        </w:rPr>
        <w:t>粘层沥青，再摊铺相邻路幅。摊铺时控制好松铺系数，使</w:t>
      </w:r>
      <w:r>
        <w:rPr>
          <w:spacing w:val="-22"/>
          <w:sz w:val="24"/>
          <w:szCs w:val="24"/>
        </w:rPr>
        <w:t>压实后的接缝结合紧密、平整。</w:t>
      </w:r>
    </w:p>
    <w:p w14:paraId="7553F9FF">
      <w:pPr>
        <w:pStyle w:val="2"/>
        <w:spacing w:before="119" w:line="261" w:lineRule="auto"/>
        <w:ind w:left="1460" w:right="1338" w:firstLine="432"/>
        <w:rPr>
          <w:sz w:val="24"/>
          <w:szCs w:val="24"/>
        </w:rPr>
      </w:pPr>
      <w:r>
        <w:rPr>
          <w:spacing w:val="-22"/>
          <w:sz w:val="24"/>
          <w:szCs w:val="24"/>
        </w:rPr>
        <w:t>（3）沟槽回填土应分层填筑、压实，压实度必须达到要求。如符合质量要求的回填</w:t>
      </w:r>
      <w:r>
        <w:rPr>
          <w:spacing w:val="-23"/>
          <w:sz w:val="24"/>
          <w:szCs w:val="24"/>
        </w:rPr>
        <w:t>土来源或压实有困难时，须作特殊处理，如采用黄砂、砾石砂或有自硬性</w:t>
      </w:r>
      <w:r>
        <w:rPr>
          <w:spacing w:val="-24"/>
          <w:sz w:val="24"/>
          <w:szCs w:val="24"/>
        </w:rPr>
        <w:t>的高钙粉煤灰或热焖钢渣等。</w:t>
      </w:r>
    </w:p>
    <w:p w14:paraId="368714C3">
      <w:pPr>
        <w:pStyle w:val="2"/>
        <w:spacing w:before="120" w:line="278" w:lineRule="auto"/>
        <w:ind w:left="1460" w:right="1411" w:firstLine="432"/>
        <w:rPr>
          <w:sz w:val="24"/>
          <w:szCs w:val="24"/>
        </w:rPr>
      </w:pPr>
      <w:r>
        <w:rPr>
          <w:spacing w:val="-22"/>
          <w:sz w:val="24"/>
          <w:szCs w:val="24"/>
        </w:rPr>
        <w:t>（4）拓宽路段的基层厚度和材料须与老路面一致，或稍厚。土路基应密实、稳</w:t>
      </w:r>
      <w:r>
        <w:rPr>
          <w:spacing w:val="-23"/>
          <w:sz w:val="24"/>
          <w:szCs w:val="24"/>
        </w:rPr>
        <w:t>定。铺筑沥</w:t>
      </w:r>
      <w:r>
        <w:rPr>
          <w:spacing w:val="-19"/>
          <w:sz w:val="24"/>
          <w:szCs w:val="24"/>
        </w:rPr>
        <w:t>青面层前，老路面侧壁应涂刷0.3～0.6kg／m2粘层沥青。沥青面层应充分压实。新老路面接缝宜用热烙铁烫密。</w:t>
      </w:r>
    </w:p>
    <w:p w14:paraId="5B7D763A">
      <w:pPr>
        <w:pStyle w:val="2"/>
        <w:spacing w:before="117" w:line="218" w:lineRule="auto"/>
        <w:ind w:left="1884"/>
        <w:rPr>
          <w:sz w:val="24"/>
          <w:szCs w:val="24"/>
        </w:rPr>
      </w:pPr>
      <w:r>
        <w:rPr>
          <w:spacing w:val="-15"/>
          <w:sz w:val="24"/>
          <w:szCs w:val="24"/>
        </w:rPr>
        <w:t>4．治理方法</w:t>
      </w:r>
    </w:p>
    <w:p w14:paraId="33C4ABC4">
      <w:pPr>
        <w:pStyle w:val="2"/>
        <w:spacing w:before="116" w:line="308" w:lineRule="auto"/>
        <w:ind w:left="1460" w:right="1414" w:firstLine="428"/>
        <w:rPr>
          <w:sz w:val="24"/>
          <w:szCs w:val="24"/>
        </w:rPr>
      </w:pPr>
      <w:r>
        <w:rPr>
          <w:spacing w:val="-19"/>
          <w:sz w:val="24"/>
          <w:szCs w:val="24"/>
        </w:rPr>
        <w:t>2～5mm的裂缝可用改性乳化沥青灌缝，大于5mm的裂缝可用改性沥青（如SBS</w:t>
      </w:r>
      <w:r>
        <w:rPr>
          <w:spacing w:val="-20"/>
          <w:sz w:val="24"/>
          <w:szCs w:val="24"/>
        </w:rPr>
        <w:t>改性沥青）灌缝。灌缝前，须先清除缝内、缝边碎粒料、垃圾，并保持缝内干燥，灌缝后，表面撒上粗砂</w:t>
      </w:r>
      <w:r>
        <w:rPr>
          <w:spacing w:val="-10"/>
          <w:sz w:val="24"/>
          <w:szCs w:val="24"/>
        </w:rPr>
        <w:t>或3～5mm石屑。</w:t>
      </w:r>
    </w:p>
    <w:p w14:paraId="2EE6F45D">
      <w:pPr>
        <w:pStyle w:val="2"/>
        <w:spacing w:line="219" w:lineRule="auto"/>
        <w:ind w:left="1893"/>
        <w:rPr>
          <w:sz w:val="24"/>
          <w:szCs w:val="24"/>
        </w:rPr>
      </w:pPr>
      <w:r>
        <w:rPr>
          <w:spacing w:val="-19"/>
          <w:sz w:val="24"/>
          <w:szCs w:val="24"/>
        </w:rPr>
        <w:t>（三）、网状裂缝</w:t>
      </w:r>
    </w:p>
    <w:p w14:paraId="524F3B73">
      <w:pPr>
        <w:pStyle w:val="2"/>
        <w:spacing w:before="114" w:line="218" w:lineRule="auto"/>
        <w:ind w:left="1903"/>
        <w:rPr>
          <w:sz w:val="24"/>
          <w:szCs w:val="24"/>
        </w:rPr>
      </w:pPr>
      <w:r>
        <w:rPr>
          <w:spacing w:val="-20"/>
          <w:sz w:val="24"/>
          <w:szCs w:val="24"/>
        </w:rPr>
        <w:t>1．现象：裂缝纵横交错，缝宽lmm以上，缝距40cm以下，lm2以上。</w:t>
      </w:r>
    </w:p>
    <w:p w14:paraId="5DB73739">
      <w:pPr>
        <w:spacing w:line="218" w:lineRule="auto"/>
        <w:rPr>
          <w:sz w:val="24"/>
          <w:szCs w:val="24"/>
        </w:rPr>
        <w:sectPr>
          <w:footerReference r:id="rId232" w:type="default"/>
          <w:pgSz w:w="11907" w:h="16839"/>
          <w:pgMar w:top="954" w:right="4" w:bottom="1038" w:left="0" w:header="499" w:footer="357" w:gutter="0"/>
          <w:pgBorders>
            <w:top w:val="none" w:sz="0" w:space="0"/>
            <w:left w:val="none" w:sz="0" w:space="0"/>
            <w:bottom w:val="none" w:sz="0" w:space="0"/>
            <w:right w:val="none" w:sz="0" w:space="0"/>
          </w:pgBorders>
          <w:cols w:space="720" w:num="1"/>
        </w:sectPr>
      </w:pPr>
    </w:p>
    <w:p w14:paraId="7AB9CB8A">
      <w:pPr>
        <w:spacing w:line="251" w:lineRule="auto"/>
        <w:rPr>
          <w:rFonts w:ascii="Arial"/>
          <w:sz w:val="21"/>
        </w:rPr>
      </w:pPr>
    </w:p>
    <w:p w14:paraId="0522FAD8">
      <w:pPr>
        <w:pStyle w:val="2"/>
        <w:spacing w:before="78" w:line="217" w:lineRule="auto"/>
        <w:ind w:left="1888"/>
        <w:rPr>
          <w:sz w:val="24"/>
          <w:szCs w:val="24"/>
        </w:rPr>
      </w:pPr>
      <w:r>
        <w:rPr>
          <w:spacing w:val="-15"/>
          <w:sz w:val="24"/>
          <w:szCs w:val="24"/>
        </w:rPr>
        <w:t>2．原因分析</w:t>
      </w:r>
    </w:p>
    <w:p w14:paraId="5E6289E8">
      <w:pPr>
        <w:pStyle w:val="2"/>
        <w:spacing w:before="118" w:line="215" w:lineRule="auto"/>
        <w:ind w:left="1893"/>
        <w:rPr>
          <w:sz w:val="24"/>
          <w:szCs w:val="24"/>
        </w:rPr>
      </w:pPr>
      <w:r>
        <w:rPr>
          <w:spacing w:val="-21"/>
          <w:sz w:val="24"/>
          <w:szCs w:val="24"/>
        </w:rPr>
        <w:t>（1）路面结构中夹有软弱层或泥灰层，粒料层松动，水稳性差。</w:t>
      </w:r>
    </w:p>
    <w:p w14:paraId="7B15F4CF">
      <w:pPr>
        <w:pStyle w:val="2"/>
        <w:spacing w:before="118" w:line="216" w:lineRule="auto"/>
        <w:ind w:left="1893"/>
        <w:rPr>
          <w:sz w:val="24"/>
          <w:szCs w:val="24"/>
        </w:rPr>
      </w:pPr>
      <w:r>
        <w:rPr>
          <w:spacing w:val="-21"/>
          <w:sz w:val="24"/>
          <w:szCs w:val="24"/>
        </w:rPr>
        <w:t>（2）沥青与沥青混合料质量差，延度低，抗裂性差。</w:t>
      </w:r>
    </w:p>
    <w:p w14:paraId="63CA146C">
      <w:pPr>
        <w:pStyle w:val="2"/>
        <w:spacing w:before="120" w:line="217" w:lineRule="auto"/>
        <w:ind w:left="1893"/>
        <w:rPr>
          <w:sz w:val="24"/>
          <w:szCs w:val="24"/>
        </w:rPr>
      </w:pPr>
      <w:r>
        <w:rPr>
          <w:spacing w:val="-21"/>
          <w:sz w:val="24"/>
          <w:szCs w:val="24"/>
        </w:rPr>
        <w:t>（3）沥青层厚度不足，层间粘结差，水分渗入，加速裂缝的形成。</w:t>
      </w:r>
    </w:p>
    <w:p w14:paraId="58E032B0">
      <w:pPr>
        <w:pStyle w:val="2"/>
        <w:spacing w:before="118" w:line="219" w:lineRule="auto"/>
        <w:ind w:left="1890"/>
        <w:rPr>
          <w:sz w:val="24"/>
          <w:szCs w:val="24"/>
        </w:rPr>
      </w:pPr>
      <w:r>
        <w:rPr>
          <w:spacing w:val="-16"/>
          <w:sz w:val="24"/>
          <w:szCs w:val="24"/>
        </w:rPr>
        <w:t>3．预防措施</w:t>
      </w:r>
    </w:p>
    <w:p w14:paraId="1388A72F">
      <w:pPr>
        <w:pStyle w:val="2"/>
        <w:spacing w:before="113" w:line="260" w:lineRule="auto"/>
        <w:ind w:left="1456" w:right="1415" w:firstLine="436"/>
        <w:rPr>
          <w:sz w:val="24"/>
          <w:szCs w:val="24"/>
        </w:rPr>
      </w:pPr>
      <w:r>
        <w:rPr>
          <w:spacing w:val="-22"/>
          <w:sz w:val="24"/>
          <w:szCs w:val="24"/>
        </w:rPr>
        <w:t>（1）沥青面层摊铺前，对下卧层应认真检查，及时清除泥灰，处理好软</w:t>
      </w:r>
      <w:r>
        <w:rPr>
          <w:spacing w:val="-23"/>
          <w:sz w:val="24"/>
          <w:szCs w:val="24"/>
        </w:rPr>
        <w:t>弱层，保证下卧层</w:t>
      </w:r>
      <w:r>
        <w:rPr>
          <w:spacing w:val="-14"/>
          <w:sz w:val="24"/>
          <w:szCs w:val="24"/>
        </w:rPr>
        <w:t>稳定，并宜喷洒0.3~0.6kg／m2粘层沥青。</w:t>
      </w:r>
    </w:p>
    <w:p w14:paraId="538FBBE3">
      <w:pPr>
        <w:pStyle w:val="2"/>
        <w:spacing w:before="125" w:line="262" w:lineRule="auto"/>
        <w:ind w:left="1458" w:right="1411" w:firstLine="434"/>
        <w:rPr>
          <w:sz w:val="24"/>
          <w:szCs w:val="24"/>
        </w:rPr>
      </w:pPr>
      <w:r>
        <w:rPr>
          <w:spacing w:val="-18"/>
          <w:sz w:val="24"/>
          <w:szCs w:val="24"/>
        </w:rPr>
        <w:t>（2）原材料质量和混合料质量严格按《沥青路面施工及验收规范》（GB50092）的要求进</w:t>
      </w:r>
      <w:r>
        <w:rPr>
          <w:spacing w:val="-20"/>
          <w:sz w:val="24"/>
          <w:szCs w:val="24"/>
        </w:rPr>
        <w:t>行选定、拌制和施工。</w:t>
      </w:r>
    </w:p>
    <w:p w14:paraId="24717D90">
      <w:pPr>
        <w:pStyle w:val="2"/>
        <w:spacing w:before="120" w:line="263" w:lineRule="auto"/>
        <w:ind w:left="1455" w:right="1429" w:firstLine="437"/>
        <w:rPr>
          <w:sz w:val="24"/>
          <w:szCs w:val="24"/>
        </w:rPr>
      </w:pPr>
      <w:r>
        <w:rPr>
          <w:spacing w:val="-23"/>
          <w:sz w:val="24"/>
          <w:szCs w:val="24"/>
        </w:rPr>
        <w:t>（3）沥青面层各层应满足最小施工厚度的要求，保证上下层的良好连结；并从设计施工养</w:t>
      </w:r>
      <w:r>
        <w:rPr>
          <w:spacing w:val="-21"/>
          <w:sz w:val="24"/>
          <w:szCs w:val="24"/>
        </w:rPr>
        <w:t>护上采取措施有效地排除雨后结构层内积水。</w:t>
      </w:r>
    </w:p>
    <w:p w14:paraId="26A326B8">
      <w:pPr>
        <w:pStyle w:val="2"/>
        <w:spacing w:before="115" w:line="262" w:lineRule="auto"/>
        <w:ind w:left="1456" w:right="1412" w:firstLine="436"/>
        <w:rPr>
          <w:sz w:val="24"/>
          <w:szCs w:val="24"/>
        </w:rPr>
      </w:pPr>
      <w:r>
        <w:rPr>
          <w:spacing w:val="-22"/>
          <w:sz w:val="24"/>
          <w:szCs w:val="24"/>
        </w:rPr>
        <w:t>（4）路面结构设计应做好交通量调查和预测工作，使路面结构组合与总体强</w:t>
      </w:r>
      <w:r>
        <w:rPr>
          <w:spacing w:val="-23"/>
          <w:sz w:val="24"/>
          <w:szCs w:val="24"/>
        </w:rPr>
        <w:t>度满足设计使</w:t>
      </w:r>
      <w:r>
        <w:rPr>
          <w:spacing w:val="-21"/>
          <w:sz w:val="24"/>
          <w:szCs w:val="24"/>
        </w:rPr>
        <w:t>用期限内交通荷载要求。上基层必须选用水稳定性良好的有</w:t>
      </w:r>
      <w:r>
        <w:rPr>
          <w:spacing w:val="-22"/>
          <w:sz w:val="24"/>
          <w:szCs w:val="24"/>
        </w:rPr>
        <w:t>粗粒料的石灰、水泥稳定类材料。</w:t>
      </w:r>
    </w:p>
    <w:p w14:paraId="62ABC87B">
      <w:pPr>
        <w:pStyle w:val="2"/>
        <w:spacing w:before="121" w:line="218" w:lineRule="auto"/>
        <w:ind w:left="1884"/>
        <w:rPr>
          <w:sz w:val="24"/>
          <w:szCs w:val="24"/>
        </w:rPr>
      </w:pPr>
      <w:r>
        <w:rPr>
          <w:spacing w:val="-15"/>
          <w:sz w:val="24"/>
          <w:szCs w:val="24"/>
        </w:rPr>
        <w:t>4．治理方法</w:t>
      </w:r>
    </w:p>
    <w:p w14:paraId="229F4842">
      <w:pPr>
        <w:pStyle w:val="2"/>
        <w:spacing w:before="115" w:line="262" w:lineRule="auto"/>
        <w:ind w:left="1461" w:right="1409" w:firstLine="432"/>
        <w:rPr>
          <w:sz w:val="24"/>
          <w:szCs w:val="24"/>
        </w:rPr>
      </w:pPr>
      <w:r>
        <w:rPr>
          <w:spacing w:val="-21"/>
          <w:sz w:val="24"/>
          <w:szCs w:val="24"/>
        </w:rPr>
        <w:t>（1）如央有软弱层或不稳定结构层时，应将其铲除；如因结构层积水弓I起网裂时，铲除面层后，需加设将路面渗透水排除至路外的排水</w:t>
      </w:r>
      <w:r>
        <w:rPr>
          <w:spacing w:val="-22"/>
          <w:sz w:val="24"/>
          <w:szCs w:val="24"/>
        </w:rPr>
        <w:t>设施，然后再铺筑新混合料。</w:t>
      </w:r>
    </w:p>
    <w:p w14:paraId="4F0E3129">
      <w:pPr>
        <w:pStyle w:val="2"/>
        <w:spacing w:before="121" w:line="277" w:lineRule="auto"/>
        <w:ind w:left="1455" w:right="1412" w:firstLine="437"/>
        <w:rPr>
          <w:sz w:val="24"/>
          <w:szCs w:val="24"/>
        </w:rPr>
      </w:pPr>
      <w:r>
        <w:rPr>
          <w:spacing w:val="-22"/>
          <w:sz w:val="24"/>
          <w:szCs w:val="24"/>
        </w:rPr>
        <w:t>（2）如强度满足要求，网状裂缝出自沥青面层厚度不足时，可采用铣削网裂的</w:t>
      </w:r>
      <w:r>
        <w:rPr>
          <w:spacing w:val="-23"/>
          <w:sz w:val="24"/>
          <w:szCs w:val="24"/>
        </w:rPr>
        <w:t>面层后加铺</w:t>
      </w:r>
      <w:r>
        <w:rPr>
          <w:spacing w:val="-20"/>
          <w:sz w:val="24"/>
          <w:szCs w:val="24"/>
        </w:rPr>
        <w:t>新料来处理。加铺厚度按现行设计规范计算确定；如在路面上加罩，为减轻反射裂缝。可采取各种“防反”措施进行处理。</w:t>
      </w:r>
    </w:p>
    <w:p w14:paraId="01E7E4B0">
      <w:pPr>
        <w:pStyle w:val="2"/>
        <w:spacing w:before="118" w:line="277" w:lineRule="auto"/>
        <w:ind w:left="1456" w:right="1409" w:firstLine="436"/>
        <w:rPr>
          <w:sz w:val="24"/>
          <w:szCs w:val="24"/>
        </w:rPr>
      </w:pPr>
      <w:r>
        <w:rPr>
          <w:spacing w:val="-22"/>
          <w:sz w:val="24"/>
          <w:szCs w:val="24"/>
        </w:rPr>
        <w:t>（3）由于路基不稳定导致路面网裂时，可采用石灰或水泥处理路基，或注浆加固处理</w:t>
      </w:r>
      <w:r>
        <w:rPr>
          <w:spacing w:val="-23"/>
          <w:sz w:val="24"/>
          <w:szCs w:val="24"/>
        </w:rPr>
        <w:t>，深</w:t>
      </w:r>
      <w:r>
        <w:rPr>
          <w:spacing w:val="-18"/>
          <w:sz w:val="24"/>
          <w:szCs w:val="24"/>
        </w:rPr>
        <w:t>度可根据具体情况确定，一般为20～40cm。消石灰</w:t>
      </w:r>
      <w:r>
        <w:rPr>
          <w:spacing w:val="-19"/>
          <w:sz w:val="24"/>
          <w:szCs w:val="24"/>
        </w:rPr>
        <w:t>用量5</w:t>
      </w:r>
      <w:r>
        <w:rPr>
          <w:spacing w:val="-25"/>
          <w:sz w:val="24"/>
          <w:szCs w:val="24"/>
        </w:rPr>
        <w:t>％～</w:t>
      </w:r>
      <w:r>
        <w:rPr>
          <w:spacing w:val="-19"/>
          <w:sz w:val="24"/>
          <w:szCs w:val="24"/>
        </w:rPr>
        <w:t>10</w:t>
      </w:r>
      <w:r>
        <w:rPr>
          <w:spacing w:val="-25"/>
          <w:sz w:val="24"/>
          <w:szCs w:val="24"/>
        </w:rPr>
        <w:t>％，</w:t>
      </w:r>
      <w:r>
        <w:rPr>
          <w:spacing w:val="-19"/>
          <w:sz w:val="24"/>
          <w:szCs w:val="24"/>
        </w:rPr>
        <w:t>或水泥用量4</w:t>
      </w:r>
      <w:r>
        <w:rPr>
          <w:spacing w:val="-25"/>
          <w:sz w:val="24"/>
          <w:szCs w:val="24"/>
        </w:rPr>
        <w:t>％～</w:t>
      </w:r>
      <w:r>
        <w:rPr>
          <w:spacing w:val="-19"/>
          <w:sz w:val="24"/>
          <w:szCs w:val="24"/>
        </w:rPr>
        <w:t>6％。待</w:t>
      </w:r>
      <w:r>
        <w:rPr>
          <w:spacing w:val="-21"/>
          <w:sz w:val="24"/>
          <w:szCs w:val="24"/>
        </w:rPr>
        <w:t>上路基处理稳定后，再重做基层、面层。</w:t>
      </w:r>
    </w:p>
    <w:p w14:paraId="1582F739">
      <w:pPr>
        <w:pStyle w:val="2"/>
        <w:spacing w:before="119" w:line="278" w:lineRule="auto"/>
        <w:ind w:left="1456" w:right="1410" w:firstLine="436"/>
        <w:rPr>
          <w:sz w:val="24"/>
          <w:szCs w:val="24"/>
        </w:rPr>
      </w:pPr>
      <w:r>
        <w:rPr>
          <w:spacing w:val="-22"/>
          <w:sz w:val="24"/>
          <w:szCs w:val="24"/>
        </w:rPr>
        <w:t>（4）由于基层软弱或厚度不足引起路面网裂时，可根据情况，分别采取加厚、调换</w:t>
      </w:r>
      <w:r>
        <w:rPr>
          <w:spacing w:val="-23"/>
          <w:sz w:val="24"/>
          <w:szCs w:val="24"/>
        </w:rPr>
        <w:t>或综合</w:t>
      </w:r>
      <w:r>
        <w:rPr>
          <w:spacing w:val="-20"/>
          <w:sz w:val="24"/>
          <w:szCs w:val="24"/>
        </w:rPr>
        <w:t>稳定的措施进行加强。水稳定性好、收缩性小的半刚性材料是首选基层。基层加强后，再铺筑</w:t>
      </w:r>
      <w:r>
        <w:rPr>
          <w:spacing w:val="-17"/>
          <w:sz w:val="24"/>
          <w:szCs w:val="24"/>
        </w:rPr>
        <w:t>沥青面层。</w:t>
      </w:r>
    </w:p>
    <w:p w14:paraId="5A2D6340">
      <w:pPr>
        <w:pStyle w:val="2"/>
        <w:spacing w:before="117" w:line="219" w:lineRule="auto"/>
        <w:ind w:left="1893"/>
        <w:rPr>
          <w:sz w:val="24"/>
          <w:szCs w:val="24"/>
        </w:rPr>
      </w:pPr>
      <w:r>
        <w:rPr>
          <w:spacing w:val="-19"/>
          <w:sz w:val="24"/>
          <w:szCs w:val="24"/>
        </w:rPr>
        <w:t>（四）、反射裂缝</w:t>
      </w:r>
    </w:p>
    <w:p w14:paraId="607EB6A2">
      <w:pPr>
        <w:pStyle w:val="2"/>
        <w:spacing w:before="115" w:line="278" w:lineRule="auto"/>
        <w:ind w:left="1458" w:right="1414" w:firstLine="445"/>
        <w:rPr>
          <w:sz w:val="24"/>
          <w:szCs w:val="24"/>
        </w:rPr>
      </w:pPr>
      <w:r>
        <w:rPr>
          <w:spacing w:val="-22"/>
          <w:sz w:val="24"/>
          <w:szCs w:val="24"/>
        </w:rPr>
        <w:t>1．现象：基层产生裂缝后，在温度和行车荷载作</w:t>
      </w:r>
      <w:r>
        <w:rPr>
          <w:spacing w:val="-23"/>
          <w:sz w:val="24"/>
          <w:szCs w:val="24"/>
        </w:rPr>
        <w:t>用下，裂缝将逐渐反射到沥青层表面，路</w:t>
      </w:r>
      <w:r>
        <w:rPr>
          <w:spacing w:val="-20"/>
          <w:sz w:val="24"/>
          <w:szCs w:val="24"/>
        </w:rPr>
        <w:t>表面裂缝的位置形状与基层裂缝基本相似。对于半刚性基层以横向裂缝居多，对于在柔性路面</w:t>
      </w:r>
      <w:r>
        <w:rPr>
          <w:spacing w:val="-22"/>
          <w:sz w:val="24"/>
          <w:szCs w:val="24"/>
        </w:rPr>
        <w:t>上加罩的沥青结构层，裂缝形式不一，取决于</w:t>
      </w:r>
      <w:r>
        <w:rPr>
          <w:spacing w:val="-23"/>
          <w:sz w:val="24"/>
          <w:szCs w:val="24"/>
        </w:rPr>
        <w:t>下卧层。</w:t>
      </w:r>
    </w:p>
    <w:p w14:paraId="70AF0AF5">
      <w:pPr>
        <w:pStyle w:val="2"/>
        <w:spacing w:before="116" w:line="217" w:lineRule="auto"/>
        <w:ind w:left="1888"/>
        <w:rPr>
          <w:sz w:val="24"/>
          <w:szCs w:val="24"/>
        </w:rPr>
      </w:pPr>
      <w:r>
        <w:rPr>
          <w:spacing w:val="-15"/>
          <w:sz w:val="24"/>
          <w:szCs w:val="24"/>
        </w:rPr>
        <w:t>2．原因分析</w:t>
      </w:r>
    </w:p>
    <w:p w14:paraId="5AAF5506">
      <w:pPr>
        <w:pStyle w:val="2"/>
        <w:spacing w:before="118" w:line="216" w:lineRule="auto"/>
        <w:ind w:left="1893"/>
        <w:rPr>
          <w:sz w:val="24"/>
          <w:szCs w:val="24"/>
        </w:rPr>
      </w:pPr>
      <w:r>
        <w:rPr>
          <w:spacing w:val="-20"/>
          <w:sz w:val="24"/>
          <w:szCs w:val="24"/>
        </w:rPr>
        <w:t>（1）半刚性基层收缩裂缝的反射裂缝。</w:t>
      </w:r>
    </w:p>
    <w:p w14:paraId="45DC4AA4">
      <w:pPr>
        <w:pStyle w:val="2"/>
        <w:spacing w:before="121" w:line="215" w:lineRule="auto"/>
        <w:ind w:left="1893"/>
        <w:rPr>
          <w:sz w:val="24"/>
          <w:szCs w:val="24"/>
        </w:rPr>
      </w:pPr>
      <w:r>
        <w:rPr>
          <w:spacing w:val="-22"/>
          <w:sz w:val="24"/>
          <w:szCs w:val="24"/>
        </w:rPr>
        <w:t>（2）在旧路面上加罩沥青面层后原路面上已有裂缝包括水泥混凝土路面的接缝的反射。</w:t>
      </w:r>
    </w:p>
    <w:p w14:paraId="6B56E398">
      <w:pPr>
        <w:pStyle w:val="2"/>
        <w:spacing w:before="118" w:line="219" w:lineRule="auto"/>
        <w:ind w:left="1890"/>
        <w:rPr>
          <w:sz w:val="24"/>
          <w:szCs w:val="24"/>
        </w:rPr>
      </w:pPr>
      <w:r>
        <w:rPr>
          <w:spacing w:val="-16"/>
          <w:sz w:val="24"/>
          <w:szCs w:val="24"/>
        </w:rPr>
        <w:t>3．预防措施</w:t>
      </w:r>
    </w:p>
    <w:p w14:paraId="09EB7BB9">
      <w:pPr>
        <w:pStyle w:val="2"/>
        <w:spacing w:before="116" w:line="216" w:lineRule="auto"/>
        <w:ind w:left="1893"/>
        <w:rPr>
          <w:sz w:val="24"/>
          <w:szCs w:val="24"/>
        </w:rPr>
      </w:pPr>
      <w:r>
        <w:rPr>
          <w:spacing w:val="-19"/>
          <w:sz w:val="24"/>
          <w:szCs w:val="24"/>
        </w:rPr>
        <w:t>（1）采取有效措施减少半刚性基层收缩裂缝（详见《底基层和基层</w:t>
      </w:r>
      <w:r>
        <w:rPr>
          <w:spacing w:val="-20"/>
          <w:sz w:val="24"/>
          <w:szCs w:val="24"/>
        </w:rPr>
        <w:t>》中2．12）。</w:t>
      </w:r>
    </w:p>
    <w:p w14:paraId="0FA1CCA3">
      <w:pPr>
        <w:pStyle w:val="2"/>
        <w:spacing w:before="120" w:line="262" w:lineRule="auto"/>
        <w:ind w:left="1462" w:right="1410" w:firstLine="431"/>
        <w:rPr>
          <w:sz w:val="24"/>
          <w:szCs w:val="24"/>
        </w:rPr>
      </w:pPr>
      <w:r>
        <w:rPr>
          <w:spacing w:val="-22"/>
          <w:sz w:val="24"/>
          <w:szCs w:val="24"/>
        </w:rPr>
        <w:t>（2）在旧路面加罩沥青路面结构层前，可铣削原路面后再加罩，或采用铺设立工织</w:t>
      </w:r>
      <w:r>
        <w:rPr>
          <w:spacing w:val="-23"/>
          <w:sz w:val="24"/>
          <w:szCs w:val="24"/>
        </w:rPr>
        <w:t>物、玻</w:t>
      </w:r>
      <w:r>
        <w:rPr>
          <w:spacing w:val="-21"/>
          <w:sz w:val="24"/>
          <w:szCs w:val="24"/>
        </w:rPr>
        <w:t>纤网后再加罩，以延缓反射裂缝的形成。</w:t>
      </w:r>
    </w:p>
    <w:p w14:paraId="0A41A2CA">
      <w:pPr>
        <w:spacing w:line="262" w:lineRule="auto"/>
        <w:rPr>
          <w:sz w:val="24"/>
          <w:szCs w:val="24"/>
        </w:rPr>
        <w:sectPr>
          <w:footerReference r:id="rId233" w:type="default"/>
          <w:pgSz w:w="11907" w:h="16839"/>
          <w:pgMar w:top="954" w:right="4" w:bottom="1038" w:left="0" w:header="499" w:footer="357" w:gutter="0"/>
          <w:pgBorders>
            <w:top w:val="none" w:sz="0" w:space="0"/>
            <w:left w:val="none" w:sz="0" w:space="0"/>
            <w:bottom w:val="none" w:sz="0" w:space="0"/>
            <w:right w:val="none" w:sz="0" w:space="0"/>
          </w:pgBorders>
          <w:cols w:space="720" w:num="1"/>
        </w:sectPr>
      </w:pPr>
    </w:p>
    <w:p w14:paraId="2380E968">
      <w:pPr>
        <w:spacing w:line="250" w:lineRule="auto"/>
        <w:rPr>
          <w:rFonts w:ascii="Arial"/>
          <w:sz w:val="21"/>
        </w:rPr>
      </w:pPr>
    </w:p>
    <w:p w14:paraId="4D2B6410">
      <w:pPr>
        <w:pStyle w:val="2"/>
        <w:spacing w:before="78" w:line="218" w:lineRule="auto"/>
        <w:ind w:left="1884"/>
        <w:rPr>
          <w:sz w:val="24"/>
          <w:szCs w:val="24"/>
        </w:rPr>
      </w:pPr>
      <w:r>
        <w:rPr>
          <w:spacing w:val="-15"/>
          <w:sz w:val="24"/>
          <w:szCs w:val="24"/>
        </w:rPr>
        <w:t>4．治理方法</w:t>
      </w:r>
    </w:p>
    <w:p w14:paraId="2E0681C1">
      <w:pPr>
        <w:pStyle w:val="2"/>
        <w:spacing w:before="117" w:line="216" w:lineRule="auto"/>
        <w:ind w:left="1893"/>
        <w:rPr>
          <w:sz w:val="24"/>
          <w:szCs w:val="24"/>
        </w:rPr>
      </w:pPr>
      <w:r>
        <w:rPr>
          <w:spacing w:val="-18"/>
          <w:sz w:val="24"/>
          <w:szCs w:val="24"/>
        </w:rPr>
        <w:t>（1）缝宽小于2mm时，可不作处理。</w:t>
      </w:r>
    </w:p>
    <w:p w14:paraId="7B884287">
      <w:pPr>
        <w:pStyle w:val="2"/>
        <w:spacing w:before="117" w:line="262" w:lineRule="auto"/>
        <w:ind w:left="1457" w:right="1415" w:firstLine="435"/>
        <w:rPr>
          <w:sz w:val="24"/>
          <w:szCs w:val="24"/>
        </w:rPr>
      </w:pPr>
      <w:r>
        <w:rPr>
          <w:spacing w:val="-19"/>
          <w:sz w:val="24"/>
          <w:szCs w:val="24"/>
        </w:rPr>
        <w:t>（2）缝宽大于2mm时，可采用改性乳化沥青或改性沥青（如SBS改性沥青）灌缝。</w:t>
      </w:r>
      <w:r>
        <w:rPr>
          <w:spacing w:val="-20"/>
          <w:sz w:val="24"/>
          <w:szCs w:val="24"/>
        </w:rPr>
        <w:t>灌缝前须先清除缝内垃圾，缝边碎粒料，并保持缝内干燥。灌缝后撒洒粗砂或3～5mm石屑。</w:t>
      </w:r>
    </w:p>
    <w:p w14:paraId="0B818042">
      <w:pPr>
        <w:pStyle w:val="2"/>
        <w:spacing w:before="84" w:line="219" w:lineRule="auto"/>
        <w:ind w:left="1981"/>
        <w:outlineLvl w:val="2"/>
        <w:rPr>
          <w:sz w:val="28"/>
          <w:szCs w:val="28"/>
        </w:rPr>
      </w:pPr>
      <w:bookmarkStart w:id="160" w:name="bookmark153"/>
      <w:bookmarkEnd w:id="160"/>
      <w:r>
        <w:rPr>
          <w:b/>
          <w:bCs/>
          <w:spacing w:val="-23"/>
          <w:sz w:val="28"/>
          <w:szCs w:val="28"/>
        </w:rPr>
        <w:t>五、管道焊接质量通病及防治措施</w:t>
      </w:r>
    </w:p>
    <w:p w14:paraId="46D28E83">
      <w:pPr>
        <w:pStyle w:val="2"/>
        <w:spacing w:before="102" w:line="218" w:lineRule="auto"/>
        <w:ind w:left="1903"/>
        <w:rPr>
          <w:sz w:val="24"/>
          <w:szCs w:val="24"/>
        </w:rPr>
      </w:pPr>
      <w:r>
        <w:rPr>
          <w:spacing w:val="-20"/>
          <w:sz w:val="24"/>
          <w:szCs w:val="24"/>
        </w:rPr>
        <w:t>1、焊接质量通病几原因</w:t>
      </w:r>
    </w:p>
    <w:p w14:paraId="46D88077">
      <w:pPr>
        <w:pStyle w:val="2"/>
        <w:spacing w:before="117" w:line="264" w:lineRule="auto"/>
        <w:ind w:left="1455" w:right="1409" w:firstLine="437"/>
        <w:rPr>
          <w:sz w:val="24"/>
          <w:szCs w:val="24"/>
        </w:rPr>
      </w:pPr>
      <w:r>
        <w:rPr>
          <w:spacing w:val="-20"/>
          <w:sz w:val="24"/>
          <w:szCs w:val="24"/>
        </w:rPr>
        <w:t>焊缝的质量控制对于管道安装施工毫无疑问是需要重点关注的主控环节，焊缝质量的不合</w:t>
      </w:r>
      <w:r>
        <w:rPr>
          <w:spacing w:val="-21"/>
          <w:sz w:val="24"/>
          <w:szCs w:val="24"/>
        </w:rPr>
        <w:t>格将直接带来重大的安全事故和严重的经济损失。</w:t>
      </w:r>
    </w:p>
    <w:p w14:paraId="60DB1DD9">
      <w:pPr>
        <w:spacing w:line="5643" w:lineRule="exact"/>
        <w:ind w:firstLine="1920"/>
      </w:pPr>
      <w:r>
        <w:rPr>
          <w:position w:val="-112"/>
        </w:rPr>
        <w:drawing>
          <wp:inline distT="0" distB="0" distL="0" distR="0">
            <wp:extent cx="5264150" cy="3583305"/>
            <wp:effectExtent l="0" t="0" r="0" b="0"/>
            <wp:docPr id="1066" name="IM 1066"/>
            <wp:cNvGraphicFramePr/>
            <a:graphic xmlns:a="http://schemas.openxmlformats.org/drawingml/2006/main">
              <a:graphicData uri="http://schemas.openxmlformats.org/drawingml/2006/picture">
                <pic:pic xmlns:pic="http://schemas.openxmlformats.org/drawingml/2006/picture">
                  <pic:nvPicPr>
                    <pic:cNvPr id="1066" name="IM 1066"/>
                    <pic:cNvPicPr/>
                  </pic:nvPicPr>
                  <pic:blipFill>
                    <a:blip r:embed="rId644"/>
                    <a:stretch>
                      <a:fillRect/>
                    </a:stretch>
                  </pic:blipFill>
                  <pic:spPr>
                    <a:xfrm>
                      <a:off x="0" y="0"/>
                      <a:ext cx="5264150" cy="3583305"/>
                    </a:xfrm>
                    <a:prstGeom prst="rect">
                      <a:avLst/>
                    </a:prstGeom>
                  </pic:spPr>
                </pic:pic>
              </a:graphicData>
            </a:graphic>
          </wp:inline>
        </w:drawing>
      </w:r>
    </w:p>
    <w:p w14:paraId="629E1561">
      <w:pPr>
        <w:pStyle w:val="2"/>
        <w:spacing w:before="116" w:line="218" w:lineRule="auto"/>
        <w:ind w:left="1903"/>
        <w:rPr>
          <w:sz w:val="24"/>
          <w:szCs w:val="24"/>
        </w:rPr>
      </w:pPr>
      <w:r>
        <w:rPr>
          <w:spacing w:val="-20"/>
          <w:sz w:val="24"/>
          <w:szCs w:val="24"/>
        </w:rPr>
        <w:t>1）未满焊</w:t>
      </w:r>
    </w:p>
    <w:p w14:paraId="702EFE9A">
      <w:pPr>
        <w:spacing w:line="28" w:lineRule="auto"/>
        <w:rPr>
          <w:rFonts w:ascii="Arial"/>
          <w:sz w:val="2"/>
        </w:rPr>
      </w:pPr>
    </w:p>
    <w:tbl>
      <w:tblPr>
        <w:tblStyle w:val="6"/>
        <w:tblW w:w="8549" w:type="dxa"/>
        <w:tblInd w:w="167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285"/>
        <w:gridCol w:w="4264"/>
      </w:tblGrid>
      <w:tr w14:paraId="58701C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88" w:hRule="atLeast"/>
        </w:trPr>
        <w:tc>
          <w:tcPr>
            <w:tcW w:w="4285" w:type="dxa"/>
            <w:tcBorders>
              <w:top w:val="single" w:color="000000" w:sz="4" w:space="0"/>
              <w:left w:val="single" w:color="000000" w:sz="4" w:space="0"/>
            </w:tcBorders>
            <w:shd w:val="clear" w:color="auto" w:fill="DEEAF6"/>
            <w:vAlign w:val="top"/>
          </w:tcPr>
          <w:p w14:paraId="135ADDB2">
            <w:pPr>
              <w:spacing w:line="33" w:lineRule="exact"/>
              <w:ind w:firstLine="4264"/>
            </w:pPr>
            <w:r>
              <w:pict>
                <v:shape id="_x0000_s3566" o:spid="_x0000_s3566" style="position:absolute;left:0pt;margin-left:-0.2pt;margin-top:0.05pt;height:0.75pt;width:2.2pt;mso-position-horizontal-relative:page;mso-position-vertical-relative:page;z-index:252141568;mso-width-relative:page;mso-height-relative:page;" fillcolor="#5B9BD5" filled="t" stroked="f" coordsize="44,15" path="m0,14l43,14,43,0,0,0,0,14xe">
                  <v:path/>
                  <v:fill on="t" focussize="0,0"/>
                  <v:stroke on="f"/>
                  <v:imagedata o:title=""/>
                  <o:lock v:ext="edit"/>
                </v:shape>
              </w:pict>
            </w:r>
            <w:r>
              <w:pict>
                <v:group id="_x0000_s3567" o:spid="_x0000_s3567" o:spt="203" style="height:2.2pt;width:2.2pt;" coordsize="44,44">
                  <o:lock v:ext="edit"/>
                  <v:shape id="_x0000_s3568" o:spid="_x0000_s3568" style="position:absolute;left:0;top:0;height:15;width:44;" fillcolor="#5B9BD5" filled="t" stroked="f" coordsize="44,15" path="m0,14l43,14,43,0,0,0,0,14xe">
                    <v:path/>
                    <v:fill on="t" focussize="0,0"/>
                    <v:stroke on="f"/>
                    <v:imagedata o:title=""/>
                    <o:lock v:ext="edit"/>
                  </v:shape>
                  <v:shape id="_x0000_s3569" o:spid="_x0000_s3569" style="position:absolute;left:0;top:14;height:15;width:44;" fillcolor="#20507B" filled="t" stroked="f" coordsize="44,15" path="m0,14l43,14,43,0,0,0,0,14xe">
                    <v:path/>
                    <v:fill on="t" focussize="0,0"/>
                    <v:stroke on="f"/>
                    <v:imagedata o:title=""/>
                    <o:lock v:ext="edit"/>
                  </v:shape>
                  <v:shape id="_x0000_s3570" o:spid="_x0000_s3570" style="position:absolute;left:0;top:28;height:15;width:44;" fillcolor="#1C456A" filled="t" stroked="f" coordsize="44,15" path="m0,14l43,14,43,0,0,0,0,14xe">
                    <v:path/>
                    <v:fill on="t" focussize="0,0"/>
                    <v:stroke on="f"/>
                    <v:imagedata o:title=""/>
                    <o:lock v:ext="edit"/>
                  </v:shape>
                  <w10:wrap type="none"/>
                  <w10:anchorlock/>
                </v:group>
              </w:pict>
            </w:r>
          </w:p>
          <w:p w14:paraId="2C5F42DE">
            <w:pPr>
              <w:pStyle w:val="7"/>
              <w:spacing w:before="93" w:line="218" w:lineRule="auto"/>
              <w:ind w:left="1723"/>
            </w:pPr>
            <w:r>
              <w:rPr>
                <w:b/>
                <w:bCs/>
                <w:spacing w:val="-19"/>
              </w:rPr>
              <w:t>合格焊缝</w:t>
            </w:r>
          </w:p>
        </w:tc>
        <w:tc>
          <w:tcPr>
            <w:tcW w:w="4264" w:type="dxa"/>
            <w:tcBorders>
              <w:top w:val="single" w:color="5B9BD5" w:sz="4" w:space="0"/>
              <w:right w:val="single" w:color="5B9BD5" w:sz="4" w:space="0"/>
            </w:tcBorders>
            <w:shd w:val="clear" w:color="auto" w:fill="DEEAF6"/>
            <w:vAlign w:val="top"/>
          </w:tcPr>
          <w:p w14:paraId="73FE45FA">
            <w:pPr>
              <w:pStyle w:val="7"/>
              <w:spacing w:before="127" w:line="218" w:lineRule="auto"/>
              <w:ind w:left="1478"/>
            </w:pPr>
            <w:r>
              <w:rPr>
                <w:b/>
                <w:bCs/>
                <w:spacing w:val="-20"/>
              </w:rPr>
              <w:t>未满焊、漏焊</w:t>
            </w:r>
          </w:p>
        </w:tc>
      </w:tr>
      <w:tr w14:paraId="382974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86" w:hRule="atLeast"/>
        </w:trPr>
        <w:tc>
          <w:tcPr>
            <w:tcW w:w="4285" w:type="dxa"/>
            <w:tcBorders>
              <w:left w:val="single" w:color="1C456A" w:sz="4" w:space="0"/>
              <w:bottom w:val="single" w:color="1C456A" w:sz="4" w:space="0"/>
            </w:tcBorders>
            <w:vAlign w:val="top"/>
          </w:tcPr>
          <w:p w14:paraId="54294B68">
            <w:pPr>
              <w:spacing w:before="92" w:line="3144" w:lineRule="exact"/>
              <w:ind w:firstLine="121"/>
            </w:pPr>
            <w:r>
              <w:pict>
                <v:shape id="_x0000_s3571" o:spid="_x0000_s3571" style="position:absolute;left:0pt;margin-left:-0.2pt;margin-top:174.35pt;height:0.75pt;width:2.2pt;mso-position-horizontal-relative:page;mso-position-vertical-relative:page;z-index:252140544;mso-width-relative:page;mso-height-relative:page;" fillcolor="#5B9BD5" filled="t" stroked="f" coordsize="44,15" path="m0,14l43,14,43,0,0,0,0,14xe">
                  <v:path/>
                  <v:fill on="t" focussize="0,0"/>
                  <v:stroke on="f"/>
                  <v:imagedata o:title=""/>
                  <o:lock v:ext="edit"/>
                </v:shape>
              </w:pict>
            </w:r>
            <w:r>
              <w:rPr>
                <w:position w:val="-62"/>
              </w:rPr>
              <w:drawing>
                <wp:inline distT="0" distB="0" distL="0" distR="0">
                  <wp:extent cx="2561590" cy="1995805"/>
                  <wp:effectExtent l="0" t="0" r="0" b="0"/>
                  <wp:docPr id="1068" name="IM 1068"/>
                  <wp:cNvGraphicFramePr/>
                  <a:graphic xmlns:a="http://schemas.openxmlformats.org/drawingml/2006/main">
                    <a:graphicData uri="http://schemas.openxmlformats.org/drawingml/2006/picture">
                      <pic:pic xmlns:pic="http://schemas.openxmlformats.org/drawingml/2006/picture">
                        <pic:nvPicPr>
                          <pic:cNvPr id="1068" name="IM 1068"/>
                          <pic:cNvPicPr/>
                        </pic:nvPicPr>
                        <pic:blipFill>
                          <a:blip r:embed="rId645"/>
                          <a:stretch>
                            <a:fillRect/>
                          </a:stretch>
                        </pic:blipFill>
                        <pic:spPr>
                          <a:xfrm>
                            <a:off x="0" y="0"/>
                            <a:ext cx="2561590" cy="1996439"/>
                          </a:xfrm>
                          <a:prstGeom prst="rect">
                            <a:avLst/>
                          </a:prstGeom>
                        </pic:spPr>
                      </pic:pic>
                    </a:graphicData>
                  </a:graphic>
                </wp:inline>
              </w:drawing>
            </w:r>
          </w:p>
        </w:tc>
        <w:tc>
          <w:tcPr>
            <w:tcW w:w="4264" w:type="dxa"/>
            <w:tcBorders>
              <w:bottom w:val="single" w:color="5B9BD5" w:sz="4" w:space="0"/>
              <w:right w:val="single" w:color="5B9BD5" w:sz="4" w:space="0"/>
            </w:tcBorders>
            <w:vAlign w:val="top"/>
          </w:tcPr>
          <w:p w14:paraId="7DFC0F9B">
            <w:pPr>
              <w:spacing w:before="86" w:line="3151" w:lineRule="exact"/>
              <w:ind w:firstLine="106"/>
            </w:pPr>
            <w:r>
              <w:rPr>
                <w:position w:val="-63"/>
              </w:rPr>
              <w:drawing>
                <wp:inline distT="0" distB="0" distL="0" distR="0">
                  <wp:extent cx="2552700" cy="2000885"/>
                  <wp:effectExtent l="0" t="0" r="0" b="0"/>
                  <wp:docPr id="1070" name="IM 1070"/>
                  <wp:cNvGraphicFramePr/>
                  <a:graphic xmlns:a="http://schemas.openxmlformats.org/drawingml/2006/main">
                    <a:graphicData uri="http://schemas.openxmlformats.org/drawingml/2006/picture">
                      <pic:pic xmlns:pic="http://schemas.openxmlformats.org/drawingml/2006/picture">
                        <pic:nvPicPr>
                          <pic:cNvPr id="1070" name="IM 1070"/>
                          <pic:cNvPicPr/>
                        </pic:nvPicPr>
                        <pic:blipFill>
                          <a:blip r:embed="rId646"/>
                          <a:stretch>
                            <a:fillRect/>
                          </a:stretch>
                        </pic:blipFill>
                        <pic:spPr>
                          <a:xfrm>
                            <a:off x="0" y="0"/>
                            <a:ext cx="2552700" cy="2000885"/>
                          </a:xfrm>
                          <a:prstGeom prst="rect">
                            <a:avLst/>
                          </a:prstGeom>
                        </pic:spPr>
                      </pic:pic>
                    </a:graphicData>
                  </a:graphic>
                </wp:inline>
              </w:drawing>
            </w:r>
          </w:p>
        </w:tc>
      </w:tr>
    </w:tbl>
    <w:p w14:paraId="11759B3B">
      <w:pPr>
        <w:pStyle w:val="2"/>
        <w:spacing w:before="114" w:line="309" w:lineRule="auto"/>
        <w:ind w:left="1456" w:right="1409" w:firstLine="432"/>
        <w:rPr>
          <w:sz w:val="24"/>
          <w:szCs w:val="24"/>
        </w:rPr>
      </w:pPr>
      <w:r>
        <w:rPr>
          <w:spacing w:val="-19"/>
          <w:sz w:val="24"/>
          <w:szCs w:val="24"/>
        </w:rPr>
        <w:t>2）未焊透:母材之间或母材与熔敷金属之间存在局部未熔合现象。它一般存在于单面焊的</w:t>
      </w:r>
      <w:r>
        <w:rPr>
          <w:spacing w:val="-21"/>
          <w:sz w:val="24"/>
          <w:szCs w:val="24"/>
        </w:rPr>
        <w:t>焊缝根部，对应力集中很敏感，对强度、疲劳等性能影响</w:t>
      </w:r>
      <w:r>
        <w:rPr>
          <w:spacing w:val="-22"/>
          <w:sz w:val="24"/>
          <w:szCs w:val="24"/>
        </w:rPr>
        <w:t>较大。</w:t>
      </w:r>
    </w:p>
    <w:p w14:paraId="15F3E033">
      <w:pPr>
        <w:spacing w:line="309" w:lineRule="auto"/>
        <w:rPr>
          <w:sz w:val="24"/>
          <w:szCs w:val="24"/>
        </w:rPr>
        <w:sectPr>
          <w:footerReference r:id="rId234" w:type="default"/>
          <w:pgSz w:w="11907" w:h="16839"/>
          <w:pgMar w:top="954" w:right="4" w:bottom="1038" w:left="0" w:header="499" w:footer="357" w:gutter="0"/>
          <w:pgBorders>
            <w:top w:val="none" w:sz="0" w:space="0"/>
            <w:left w:val="none" w:sz="0" w:space="0"/>
            <w:bottom w:val="none" w:sz="0" w:space="0"/>
            <w:right w:val="none" w:sz="0" w:space="0"/>
          </w:pgBorders>
          <w:cols w:space="720" w:num="1"/>
        </w:sectPr>
      </w:pPr>
    </w:p>
    <w:p w14:paraId="0FFB17C7">
      <w:pPr>
        <w:spacing w:line="250" w:lineRule="auto"/>
        <w:rPr>
          <w:rFonts w:ascii="Arial"/>
          <w:sz w:val="21"/>
        </w:rPr>
      </w:pPr>
    </w:p>
    <w:p w14:paraId="3F7A510E">
      <w:pPr>
        <w:pStyle w:val="2"/>
        <w:spacing w:before="78" w:line="219" w:lineRule="auto"/>
        <w:ind w:left="1895"/>
        <w:rPr>
          <w:sz w:val="24"/>
          <w:szCs w:val="24"/>
        </w:rPr>
      </w:pPr>
      <w:r>
        <w:rPr>
          <w:spacing w:val="-19"/>
          <w:sz w:val="24"/>
          <w:szCs w:val="24"/>
        </w:rPr>
        <w:t>产生的原因是:</w:t>
      </w:r>
    </w:p>
    <w:p w14:paraId="3A145699">
      <w:pPr>
        <w:pStyle w:val="2"/>
        <w:spacing w:before="116" w:line="218" w:lineRule="auto"/>
        <w:ind w:left="1893"/>
        <w:rPr>
          <w:sz w:val="24"/>
          <w:szCs w:val="24"/>
        </w:rPr>
      </w:pPr>
      <w:r>
        <w:rPr>
          <w:spacing w:val="-21"/>
          <w:sz w:val="24"/>
          <w:szCs w:val="24"/>
        </w:rPr>
        <w:t>坡口设计不良，角度小、钝边大、间隙小;焊条、焊丝角度不正确;</w:t>
      </w:r>
    </w:p>
    <w:p w14:paraId="6D848F13">
      <w:pPr>
        <w:pStyle w:val="2"/>
        <w:spacing w:before="114" w:line="218" w:lineRule="auto"/>
        <w:ind w:left="1919"/>
        <w:rPr>
          <w:sz w:val="24"/>
          <w:szCs w:val="24"/>
        </w:rPr>
      </w:pPr>
      <w:r>
        <w:rPr>
          <w:spacing w:val="-22"/>
          <w:sz w:val="24"/>
          <w:szCs w:val="24"/>
        </w:rPr>
        <w:t>电流过小、电压过低、焊速过快、电弧过长、有磁偏吹等;焊件有厚锈，未清除</w:t>
      </w:r>
      <w:r>
        <w:rPr>
          <w:spacing w:val="-23"/>
          <w:sz w:val="24"/>
          <w:szCs w:val="24"/>
        </w:rPr>
        <w:t>干净。</w:t>
      </w:r>
    </w:p>
    <w:p w14:paraId="4F9C8080">
      <w:pPr>
        <w:pStyle w:val="2"/>
        <w:spacing w:before="117" w:line="215" w:lineRule="auto"/>
        <w:ind w:left="1890"/>
        <w:rPr>
          <w:sz w:val="24"/>
          <w:szCs w:val="24"/>
        </w:rPr>
      </w:pPr>
      <w:r>
        <w:rPr>
          <w:spacing w:val="-20"/>
          <w:sz w:val="24"/>
          <w:szCs w:val="24"/>
        </w:rPr>
        <w:t>3)未熔合:是指焊缝金属与母材金属，或焊缝金属之间</w:t>
      </w:r>
      <w:r>
        <w:rPr>
          <w:spacing w:val="-21"/>
          <w:sz w:val="24"/>
          <w:szCs w:val="24"/>
        </w:rPr>
        <w:t>未熔化结合在一起的缺陷。</w:t>
      </w:r>
    </w:p>
    <w:p w14:paraId="7386B47B">
      <w:pPr>
        <w:pStyle w:val="2"/>
        <w:spacing w:before="121" w:line="219" w:lineRule="auto"/>
        <w:ind w:left="1899"/>
        <w:rPr>
          <w:sz w:val="24"/>
          <w:szCs w:val="24"/>
        </w:rPr>
      </w:pPr>
      <w:r>
        <w:rPr>
          <w:spacing w:val="-19"/>
          <w:sz w:val="24"/>
          <w:szCs w:val="24"/>
        </w:rPr>
        <w:t>主要原因是:</w:t>
      </w:r>
    </w:p>
    <w:p w14:paraId="795E8C1F">
      <w:pPr>
        <w:pStyle w:val="2"/>
        <w:spacing w:before="114" w:line="217" w:lineRule="auto"/>
        <w:ind w:left="1899"/>
        <w:rPr>
          <w:sz w:val="24"/>
          <w:szCs w:val="24"/>
        </w:rPr>
      </w:pPr>
      <w:r>
        <w:rPr>
          <w:spacing w:val="-22"/>
          <w:sz w:val="24"/>
          <w:szCs w:val="24"/>
        </w:rPr>
        <w:t>主要是焊接热输入太低，电弧指向偏斜，坡口侧壁有绣垢及污物，层间清渣不彻底等。</w:t>
      </w:r>
    </w:p>
    <w:p w14:paraId="787FA104">
      <w:pPr>
        <w:pStyle w:val="2"/>
        <w:spacing w:before="118" w:line="220" w:lineRule="auto"/>
        <w:ind w:left="1884"/>
        <w:rPr>
          <w:sz w:val="24"/>
          <w:szCs w:val="24"/>
        </w:rPr>
      </w:pPr>
      <w:r>
        <w:rPr>
          <w:spacing w:val="-15"/>
          <w:sz w:val="24"/>
          <w:szCs w:val="24"/>
        </w:rPr>
        <w:t>4）裂纹</w:t>
      </w:r>
    </w:p>
    <w:p w14:paraId="4380A2C4">
      <w:pPr>
        <w:pStyle w:val="2"/>
        <w:spacing w:before="117" w:line="307" w:lineRule="auto"/>
        <w:ind w:left="1458" w:right="1410" w:firstLine="440"/>
        <w:rPr>
          <w:sz w:val="24"/>
          <w:szCs w:val="24"/>
        </w:rPr>
      </w:pPr>
      <w:r>
        <w:rPr>
          <w:spacing w:val="-20"/>
          <w:sz w:val="24"/>
          <w:szCs w:val="24"/>
        </w:rPr>
        <w:t>危害是最大的，在任何焊缝中都是禁止有裂纹的，产生裂纹的原因主要是焊接工艺的错误</w:t>
      </w:r>
      <w:r>
        <w:rPr>
          <w:spacing w:val="-21"/>
          <w:sz w:val="24"/>
          <w:szCs w:val="24"/>
        </w:rPr>
        <w:t>导致。</w:t>
      </w:r>
    </w:p>
    <w:p w14:paraId="727F01DF">
      <w:pPr>
        <w:pStyle w:val="2"/>
        <w:spacing w:line="215" w:lineRule="auto"/>
        <w:ind w:left="1890"/>
        <w:rPr>
          <w:sz w:val="24"/>
          <w:szCs w:val="24"/>
        </w:rPr>
      </w:pPr>
      <w:r>
        <w:rPr>
          <w:spacing w:val="-21"/>
          <w:sz w:val="24"/>
          <w:szCs w:val="24"/>
        </w:rPr>
        <w:t>5）气孔:在焊接过程中，因气体来不及及时逸出而在焊缝金属内部或表面所形成的空穴。</w:t>
      </w:r>
    </w:p>
    <w:p w14:paraId="5E337F7B">
      <w:pPr>
        <w:pStyle w:val="2"/>
        <w:spacing w:before="121" w:line="219" w:lineRule="auto"/>
        <w:ind w:left="1895"/>
        <w:rPr>
          <w:sz w:val="24"/>
          <w:szCs w:val="24"/>
        </w:rPr>
      </w:pPr>
      <w:r>
        <w:rPr>
          <w:spacing w:val="-19"/>
          <w:sz w:val="24"/>
          <w:szCs w:val="24"/>
        </w:rPr>
        <w:t>其产生的原因是:</w:t>
      </w:r>
    </w:p>
    <w:p w14:paraId="513CEA2A">
      <w:pPr>
        <w:pStyle w:val="2"/>
        <w:spacing w:before="114" w:line="218" w:lineRule="auto"/>
        <w:ind w:left="1893"/>
        <w:rPr>
          <w:sz w:val="24"/>
          <w:szCs w:val="24"/>
        </w:rPr>
      </w:pPr>
      <w:r>
        <w:rPr>
          <w:spacing w:val="-19"/>
          <w:sz w:val="24"/>
          <w:szCs w:val="24"/>
        </w:rPr>
        <w:t>焊条烘干不够;</w:t>
      </w:r>
    </w:p>
    <w:p w14:paraId="3E0C9D6F">
      <w:pPr>
        <w:pStyle w:val="2"/>
        <w:spacing w:before="118" w:line="215" w:lineRule="auto"/>
        <w:ind w:left="1893"/>
        <w:rPr>
          <w:sz w:val="24"/>
          <w:szCs w:val="24"/>
        </w:rPr>
      </w:pPr>
      <w:r>
        <w:rPr>
          <w:spacing w:val="-21"/>
          <w:sz w:val="24"/>
          <w:szCs w:val="24"/>
        </w:rPr>
        <w:t>焊接工艺不够稳定，电弧电压偏高，电弧过长，焊速过快和</w:t>
      </w:r>
      <w:r>
        <w:rPr>
          <w:spacing w:val="-22"/>
          <w:sz w:val="24"/>
          <w:szCs w:val="24"/>
        </w:rPr>
        <w:t>电流过小;</w:t>
      </w:r>
    </w:p>
    <w:p w14:paraId="1BF85B52">
      <w:pPr>
        <w:pStyle w:val="2"/>
        <w:spacing w:before="121" w:line="217" w:lineRule="auto"/>
        <w:ind w:left="1895"/>
        <w:rPr>
          <w:sz w:val="24"/>
          <w:szCs w:val="24"/>
        </w:rPr>
      </w:pPr>
      <w:r>
        <w:rPr>
          <w:spacing w:val="-21"/>
          <w:sz w:val="24"/>
          <w:szCs w:val="24"/>
        </w:rPr>
        <w:t>填充金属和母材表面油、锈等未清除干净;未将</w:t>
      </w:r>
      <w:r>
        <w:rPr>
          <w:spacing w:val="-22"/>
          <w:sz w:val="24"/>
          <w:szCs w:val="24"/>
        </w:rPr>
        <w:t>引弧和熄弧的位置错开等。</w:t>
      </w:r>
    </w:p>
    <w:p w14:paraId="4091CC29">
      <w:pPr>
        <w:pStyle w:val="2"/>
        <w:spacing w:before="116" w:line="215" w:lineRule="auto"/>
        <w:ind w:left="1887"/>
        <w:rPr>
          <w:sz w:val="24"/>
          <w:szCs w:val="24"/>
        </w:rPr>
      </w:pPr>
      <w:r>
        <w:rPr>
          <w:spacing w:val="-20"/>
          <w:sz w:val="24"/>
          <w:szCs w:val="24"/>
        </w:rPr>
        <w:t>6）夹渣:在焊缝金属内部或熔合线部位存在的非金属</w:t>
      </w:r>
      <w:r>
        <w:rPr>
          <w:spacing w:val="-21"/>
          <w:sz w:val="24"/>
          <w:szCs w:val="24"/>
        </w:rPr>
        <w:t>夹杂物。</w:t>
      </w:r>
    </w:p>
    <w:p w14:paraId="233C7804">
      <w:pPr>
        <w:pStyle w:val="2"/>
        <w:spacing w:before="121" w:line="219" w:lineRule="auto"/>
        <w:ind w:left="1895"/>
        <w:rPr>
          <w:sz w:val="24"/>
          <w:szCs w:val="24"/>
        </w:rPr>
      </w:pPr>
      <w:r>
        <w:rPr>
          <w:spacing w:val="-19"/>
          <w:sz w:val="24"/>
          <w:szCs w:val="24"/>
        </w:rPr>
        <w:t>其产生的原因是:</w:t>
      </w:r>
    </w:p>
    <w:p w14:paraId="2DFA4CDC">
      <w:pPr>
        <w:pStyle w:val="2"/>
        <w:spacing w:before="117" w:line="217" w:lineRule="auto"/>
        <w:ind w:left="1885"/>
        <w:rPr>
          <w:sz w:val="24"/>
          <w:szCs w:val="24"/>
        </w:rPr>
      </w:pPr>
      <w:r>
        <w:rPr>
          <w:rFonts w:ascii="宋体" w:hAnsi="宋体" w:eastAsia="宋体" w:cs="宋体"/>
          <w:spacing w:val="-21"/>
          <w:sz w:val="24"/>
          <w:szCs w:val="24"/>
        </w:rPr>
        <w:t>①</w:t>
      </w:r>
      <w:r>
        <w:rPr>
          <w:spacing w:val="-21"/>
          <w:sz w:val="24"/>
          <w:szCs w:val="24"/>
        </w:rPr>
        <w:t>焊层形状不良、坡口角度设计不当;</w:t>
      </w:r>
      <w:r>
        <w:rPr>
          <w:rFonts w:ascii="宋体" w:hAnsi="宋体" w:eastAsia="宋体" w:cs="宋体"/>
          <w:spacing w:val="-21"/>
          <w:sz w:val="24"/>
          <w:szCs w:val="24"/>
        </w:rPr>
        <w:t>②</w:t>
      </w:r>
      <w:r>
        <w:rPr>
          <w:spacing w:val="-21"/>
          <w:sz w:val="24"/>
          <w:szCs w:val="24"/>
        </w:rPr>
        <w:t>焊件上留有厚锈等;</w:t>
      </w:r>
    </w:p>
    <w:p w14:paraId="097BA61C">
      <w:pPr>
        <w:pStyle w:val="2"/>
        <w:spacing w:before="116" w:line="308" w:lineRule="auto"/>
        <w:ind w:left="1460" w:right="1410" w:firstLine="442"/>
        <w:rPr>
          <w:sz w:val="24"/>
          <w:szCs w:val="24"/>
        </w:rPr>
      </w:pPr>
      <w:r>
        <w:rPr>
          <w:spacing w:val="-22"/>
          <w:sz w:val="24"/>
          <w:szCs w:val="24"/>
        </w:rPr>
        <w:t>咬边:电弧将焊缝边缘的母材熔化后，没有得到焊缝金属的补充</w:t>
      </w:r>
      <w:r>
        <w:rPr>
          <w:spacing w:val="-23"/>
          <w:sz w:val="24"/>
          <w:szCs w:val="24"/>
        </w:rPr>
        <w:t>而留下缺口。咬边削弱了接</w:t>
      </w:r>
      <w:r>
        <w:rPr>
          <w:spacing w:val="-22"/>
          <w:sz w:val="24"/>
          <w:szCs w:val="24"/>
        </w:rPr>
        <w:t>头的受力截面，使接头强度降低，造成应力集中，使可能在咬边处导致破坏。</w:t>
      </w:r>
    </w:p>
    <w:p w14:paraId="77B351DF">
      <w:pPr>
        <w:pStyle w:val="2"/>
        <w:spacing w:before="1" w:line="219" w:lineRule="auto"/>
        <w:ind w:left="1895"/>
        <w:rPr>
          <w:sz w:val="24"/>
          <w:szCs w:val="24"/>
        </w:rPr>
      </w:pPr>
      <w:r>
        <w:rPr>
          <w:spacing w:val="-19"/>
          <w:sz w:val="24"/>
          <w:szCs w:val="24"/>
        </w:rPr>
        <w:t>其产生的原因是:</w:t>
      </w:r>
    </w:p>
    <w:p w14:paraId="78D367B6">
      <w:pPr>
        <w:pStyle w:val="2"/>
        <w:spacing w:before="114" w:line="219" w:lineRule="auto"/>
        <w:ind w:left="1919"/>
        <w:rPr>
          <w:sz w:val="24"/>
          <w:szCs w:val="24"/>
        </w:rPr>
      </w:pPr>
      <w:r>
        <w:rPr>
          <w:spacing w:val="-22"/>
          <w:sz w:val="24"/>
          <w:szCs w:val="24"/>
        </w:rPr>
        <w:t>电流过大，电弧过长、运条速度不当、电弧热量过高;</w:t>
      </w:r>
    </w:p>
    <w:p w14:paraId="0458E257">
      <w:pPr>
        <w:pStyle w:val="2"/>
        <w:spacing w:before="116" w:line="218" w:lineRule="auto"/>
        <w:ind w:left="1893"/>
        <w:rPr>
          <w:sz w:val="24"/>
          <w:szCs w:val="24"/>
        </w:rPr>
      </w:pPr>
      <w:r>
        <w:rPr>
          <w:spacing w:val="-22"/>
          <w:sz w:val="24"/>
          <w:szCs w:val="24"/>
        </w:rPr>
        <w:t>焊条、焊丝的倾斜角度不正确等。</w:t>
      </w:r>
    </w:p>
    <w:p w14:paraId="00139BEF">
      <w:pPr>
        <w:pStyle w:val="2"/>
        <w:spacing w:before="117" w:line="218" w:lineRule="auto"/>
        <w:ind w:left="1888"/>
        <w:rPr>
          <w:sz w:val="24"/>
          <w:szCs w:val="24"/>
        </w:rPr>
      </w:pPr>
      <w:r>
        <w:pict>
          <v:shape id="_x0000_s3572" o:spid="_x0000_s3572" style="position:absolute;left:0pt;margin-left:232.85pt;margin-top:21.55pt;height:0.75pt;width:2.2pt;z-index:252142592;mso-width-relative:page;mso-height-relative:page;" fillcolor="#1C456A" filled="t" stroked="f" coordsize="44,15" path="m0,14l43,14,43,0,0,0,0,14xe">
            <v:path/>
            <v:fill on="t" focussize="0,0"/>
            <v:stroke on="f"/>
            <v:imagedata o:title=""/>
            <o:lock v:ext="edit"/>
          </v:shape>
        </w:pict>
      </w:r>
      <w:r>
        <w:rPr>
          <w:spacing w:val="-19"/>
          <w:sz w:val="24"/>
          <w:szCs w:val="24"/>
        </w:rPr>
        <w:t>2、焊接质量通病防治措施</w:t>
      </w:r>
    </w:p>
    <w:p w14:paraId="3B155B72">
      <w:pPr>
        <w:spacing w:line="28" w:lineRule="auto"/>
        <w:rPr>
          <w:rFonts w:ascii="Arial"/>
          <w:sz w:val="2"/>
        </w:rPr>
      </w:pPr>
    </w:p>
    <w:tbl>
      <w:tblPr>
        <w:tblStyle w:val="6"/>
        <w:tblW w:w="9073" w:type="dxa"/>
        <w:tblInd w:w="1416"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57"/>
        <w:gridCol w:w="1056"/>
        <w:gridCol w:w="1836"/>
        <w:gridCol w:w="1246"/>
        <w:gridCol w:w="4513"/>
        <w:gridCol w:w="65"/>
      </w:tblGrid>
      <w:tr w14:paraId="440B5A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8" w:hRule="atLeast"/>
        </w:trPr>
        <w:tc>
          <w:tcPr>
            <w:tcW w:w="1413" w:type="dxa"/>
            <w:gridSpan w:val="2"/>
            <w:tcBorders>
              <w:top w:val="single" w:color="000000" w:sz="4" w:space="0"/>
              <w:left w:val="single" w:color="000000" w:sz="4" w:space="0"/>
            </w:tcBorders>
            <w:shd w:val="clear" w:color="auto" w:fill="DEEAF6"/>
            <w:vAlign w:val="top"/>
          </w:tcPr>
          <w:p w14:paraId="024AA911">
            <w:pPr>
              <w:spacing w:line="33" w:lineRule="exact"/>
              <w:ind w:firstLine="1391"/>
            </w:pPr>
            <w:r>
              <w:pict>
                <v:shape id="_x0000_s3573" o:spid="_x0000_s3573" style="position:absolute;left:0pt;margin-left:-0.2pt;margin-top:0pt;height:0.75pt;width:2.2pt;mso-position-horizontal-relative:page;mso-position-vertical-relative:page;z-index:252146688;mso-width-relative:page;mso-height-relative:page;" fillcolor="#5B9BD5" filled="t" stroked="f" coordsize="44,15" path="m0,14l43,14,43,0,0,0,0,14xe">
                  <v:path/>
                  <v:fill on="t" focussize="0,0"/>
                  <v:stroke on="f"/>
                  <v:imagedata o:title=""/>
                  <o:lock v:ext="edit"/>
                </v:shape>
              </w:pict>
            </w:r>
            <w:r>
              <w:pict>
                <v:group id="_x0000_s3574" o:spid="_x0000_s3574" o:spt="203" style="height:2.2pt;width:2.2pt;" coordsize="44,44">
                  <o:lock v:ext="edit"/>
                  <v:shape id="_x0000_s3575" o:spid="_x0000_s3575" style="position:absolute;left:0;top:0;height:15;width:44;" fillcolor="#5B9BD5" filled="t" stroked="f" coordsize="44,15" path="m0,14l43,14,43,0,0,0,0,14xe">
                    <v:path/>
                    <v:fill on="t" focussize="0,0"/>
                    <v:stroke on="f"/>
                    <v:imagedata o:title=""/>
                    <o:lock v:ext="edit"/>
                  </v:shape>
                  <v:shape id="_x0000_s3576" o:spid="_x0000_s3576" style="position:absolute;left:0;top:14;height:15;width:44;" fillcolor="#20507B" filled="t" stroked="f" coordsize="44,15" path="m0,14l43,14,43,0,0,0,0,14xe">
                    <v:path/>
                    <v:fill on="t" focussize="0,0"/>
                    <v:stroke on="f"/>
                    <v:imagedata o:title=""/>
                    <o:lock v:ext="edit"/>
                  </v:shape>
                  <v:shape id="_x0000_s3577" o:spid="_x0000_s3577" style="position:absolute;left:0;top:28;height:15;width:44;" fillcolor="#1C456A" filled="t" stroked="f" coordsize="44,15" path="m0,14l43,14,43,0,0,0,0,14xe">
                    <v:path/>
                    <v:fill on="t" focussize="0,0"/>
                    <v:stroke on="f"/>
                    <v:imagedata o:title=""/>
                    <o:lock v:ext="edit"/>
                  </v:shape>
                  <w10:wrap type="none"/>
                  <w10:anchorlock/>
                </v:group>
              </w:pict>
            </w:r>
          </w:p>
          <w:p w14:paraId="136D457A">
            <w:pPr>
              <w:pStyle w:val="7"/>
              <w:spacing w:before="93" w:line="218" w:lineRule="auto"/>
              <w:ind w:left="500"/>
            </w:pPr>
            <w:r>
              <w:rPr>
                <w:b/>
                <w:bCs/>
                <w:spacing w:val="-12"/>
              </w:rPr>
              <w:t>序号</w:t>
            </w:r>
          </w:p>
        </w:tc>
        <w:tc>
          <w:tcPr>
            <w:tcW w:w="1836" w:type="dxa"/>
            <w:tcBorders>
              <w:top w:val="single" w:color="000000" w:sz="4" w:space="0"/>
            </w:tcBorders>
            <w:shd w:val="clear" w:color="auto" w:fill="DEEAF6"/>
            <w:vAlign w:val="top"/>
          </w:tcPr>
          <w:p w14:paraId="5F69FCE2">
            <w:pPr>
              <w:pStyle w:val="7"/>
              <w:spacing w:before="126" w:line="219" w:lineRule="auto"/>
              <w:ind w:left="489"/>
            </w:pPr>
            <w:r>
              <w:rPr>
                <w:b/>
                <w:bCs/>
                <w:spacing w:val="-19"/>
              </w:rPr>
              <w:t>质量通病</w:t>
            </w:r>
          </w:p>
        </w:tc>
        <w:tc>
          <w:tcPr>
            <w:tcW w:w="1246" w:type="dxa"/>
            <w:tcBorders>
              <w:top w:val="single" w:color="5B9BD5" w:sz="4" w:space="0"/>
              <w:right w:val="nil"/>
            </w:tcBorders>
            <w:shd w:val="clear" w:color="auto" w:fill="DEEAF6"/>
            <w:vAlign w:val="top"/>
          </w:tcPr>
          <w:p w14:paraId="5069AB1A">
            <w:pPr>
              <w:spacing w:line="18" w:lineRule="exact"/>
            </w:pPr>
            <w:r>
              <w:pict>
                <v:group id="_x0000_s3578" o:spid="_x0000_s3578" o:spt="203" style="height:1.45pt;width:2.2pt;" coordsize="44,29">
                  <o:lock v:ext="edit"/>
                  <v:shape id="_x0000_s3579" o:spid="_x0000_s3579" style="position:absolute;left:0;top:0;height:15;width:44;" fillcolor="#5B9BD5" filled="t" stroked="f" coordsize="44,15" path="m0,14l43,14,43,0,0,0,0,14xe">
                    <v:path/>
                    <v:fill on="t" focussize="0,0"/>
                    <v:stroke on="f"/>
                    <v:imagedata o:title=""/>
                    <o:lock v:ext="edit"/>
                  </v:shape>
                  <v:shape id="_x0000_s3580" o:spid="_x0000_s3580" style="position:absolute;left:0;top:14;height:15;width:44;" fillcolor="#20507B" filled="t" stroked="f" coordsize="44,15" path="m0,14l43,14,43,0,0,0,0,14xe">
                    <v:path/>
                    <v:fill on="t" focussize="0,0"/>
                    <v:stroke on="f"/>
                    <v:imagedata o:title=""/>
                    <o:lock v:ext="edit"/>
                  </v:shape>
                  <w10:wrap type="none"/>
                  <w10:anchorlock/>
                </v:group>
              </w:pict>
            </w:r>
          </w:p>
        </w:tc>
        <w:tc>
          <w:tcPr>
            <w:tcW w:w="4513" w:type="dxa"/>
            <w:tcBorders>
              <w:top w:val="single" w:color="5B9BD5" w:sz="4" w:space="0"/>
              <w:left w:val="nil"/>
              <w:right w:val="nil"/>
            </w:tcBorders>
            <w:shd w:val="clear" w:color="auto" w:fill="DEEAF6"/>
            <w:vAlign w:val="top"/>
          </w:tcPr>
          <w:p w14:paraId="7E0D0EDD">
            <w:pPr>
              <w:pStyle w:val="7"/>
              <w:spacing w:before="126" w:line="219" w:lineRule="auto"/>
              <w:ind w:left="1247"/>
            </w:pPr>
            <w:r>
              <w:rPr>
                <w:b/>
                <w:bCs/>
                <w:spacing w:val="-21"/>
              </w:rPr>
              <w:t>防止措施</w:t>
            </w:r>
          </w:p>
        </w:tc>
        <w:tc>
          <w:tcPr>
            <w:tcW w:w="65" w:type="dxa"/>
            <w:tcBorders>
              <w:top w:val="single" w:color="5B9BD5" w:sz="4" w:space="0"/>
              <w:left w:val="nil"/>
              <w:right w:val="single" w:color="5B9BD5" w:sz="4" w:space="0"/>
            </w:tcBorders>
            <w:vAlign w:val="top"/>
          </w:tcPr>
          <w:p w14:paraId="41B8342F">
            <w:pPr>
              <w:rPr>
                <w:rFonts w:ascii="Arial"/>
                <w:sz w:val="21"/>
              </w:rPr>
            </w:pPr>
            <w:r>
              <w:pict>
                <v:shape id="_x0000_s3581" o:spid="_x0000_s3581" style="position:absolute;left:0pt;margin-left:1.35pt;margin-top:0pt;height:0.75pt;width:2.2pt;mso-position-horizontal-relative:page;mso-position-vertical-relative:page;z-index:252145664;mso-width-relative:page;mso-height-relative:page;" fillcolor="#5B9BD5" filled="t" stroked="f" coordsize="44,15" path="m0,14l43,14,43,0,0,0,0,14xe">
                  <v:path/>
                  <v:fill on="t" focussize="0,0"/>
                  <v:stroke on="f"/>
                  <v:imagedata o:title=""/>
                  <o:lock v:ext="edit"/>
                </v:shape>
              </w:pict>
            </w:r>
          </w:p>
        </w:tc>
      </w:tr>
      <w:tr w14:paraId="093BFD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5" w:hRule="atLeast"/>
        </w:trPr>
        <w:tc>
          <w:tcPr>
            <w:tcW w:w="1413" w:type="dxa"/>
            <w:gridSpan w:val="2"/>
            <w:tcBorders>
              <w:left w:val="single" w:color="000000" w:sz="4" w:space="0"/>
            </w:tcBorders>
            <w:vAlign w:val="top"/>
          </w:tcPr>
          <w:p w14:paraId="67BCA821">
            <w:pPr>
              <w:rPr>
                <w:rFonts w:ascii="Arial"/>
                <w:sz w:val="21"/>
              </w:rPr>
            </w:pPr>
          </w:p>
          <w:p w14:paraId="4DEA6D68">
            <w:pPr>
              <w:rPr>
                <w:rFonts w:ascii="Arial"/>
                <w:sz w:val="21"/>
              </w:rPr>
            </w:pPr>
          </w:p>
          <w:p w14:paraId="572E0483">
            <w:pPr>
              <w:rPr>
                <w:rFonts w:ascii="Arial"/>
                <w:sz w:val="21"/>
              </w:rPr>
            </w:pPr>
          </w:p>
          <w:p w14:paraId="5EC41496">
            <w:pPr>
              <w:rPr>
                <w:rFonts w:ascii="Arial"/>
                <w:sz w:val="21"/>
              </w:rPr>
            </w:pPr>
          </w:p>
          <w:p w14:paraId="3B7C286B">
            <w:pPr>
              <w:rPr>
                <w:rFonts w:ascii="Arial"/>
                <w:sz w:val="21"/>
              </w:rPr>
            </w:pPr>
          </w:p>
          <w:p w14:paraId="012BEFA0">
            <w:pPr>
              <w:rPr>
                <w:rFonts w:ascii="Arial"/>
                <w:sz w:val="21"/>
              </w:rPr>
            </w:pPr>
          </w:p>
          <w:p w14:paraId="37AF61C3">
            <w:pPr>
              <w:pStyle w:val="7"/>
              <w:spacing w:before="78" w:line="238" w:lineRule="auto"/>
              <w:ind w:left="676"/>
            </w:pPr>
            <w:r>
              <w:t>1</w:t>
            </w:r>
          </w:p>
        </w:tc>
        <w:tc>
          <w:tcPr>
            <w:tcW w:w="1836" w:type="dxa"/>
            <w:vAlign w:val="top"/>
          </w:tcPr>
          <w:p w14:paraId="4770CA05">
            <w:pPr>
              <w:spacing w:line="241" w:lineRule="auto"/>
              <w:rPr>
                <w:rFonts w:ascii="Arial"/>
                <w:sz w:val="21"/>
              </w:rPr>
            </w:pPr>
          </w:p>
          <w:p w14:paraId="083131B2">
            <w:pPr>
              <w:spacing w:line="241" w:lineRule="auto"/>
              <w:rPr>
                <w:rFonts w:ascii="Arial"/>
                <w:sz w:val="21"/>
              </w:rPr>
            </w:pPr>
          </w:p>
          <w:p w14:paraId="0785DA4D">
            <w:pPr>
              <w:spacing w:line="241" w:lineRule="auto"/>
              <w:rPr>
                <w:rFonts w:ascii="Arial"/>
                <w:sz w:val="21"/>
              </w:rPr>
            </w:pPr>
          </w:p>
          <w:p w14:paraId="35A9360E">
            <w:pPr>
              <w:spacing w:line="242" w:lineRule="auto"/>
              <w:rPr>
                <w:rFonts w:ascii="Arial"/>
                <w:sz w:val="21"/>
              </w:rPr>
            </w:pPr>
          </w:p>
          <w:p w14:paraId="79207638">
            <w:pPr>
              <w:spacing w:line="242" w:lineRule="auto"/>
              <w:rPr>
                <w:rFonts w:ascii="Arial"/>
                <w:sz w:val="21"/>
              </w:rPr>
            </w:pPr>
          </w:p>
          <w:p w14:paraId="7C8AC05A">
            <w:pPr>
              <w:pStyle w:val="7"/>
              <w:spacing w:before="78" w:line="360" w:lineRule="auto"/>
              <w:ind w:left="709" w:right="138" w:hanging="549"/>
            </w:pPr>
            <w:r>
              <w:rPr>
                <w:spacing w:val="-22"/>
              </w:rPr>
              <w:t>焊缝尺寸不符合</w:t>
            </w:r>
            <w:r>
              <w:rPr>
                <w:spacing w:val="-11"/>
              </w:rPr>
              <w:t>要求</w:t>
            </w:r>
          </w:p>
        </w:tc>
        <w:tc>
          <w:tcPr>
            <w:tcW w:w="5824" w:type="dxa"/>
            <w:gridSpan w:val="3"/>
            <w:tcBorders>
              <w:right w:val="single" w:color="000000" w:sz="4" w:space="0"/>
            </w:tcBorders>
            <w:vAlign w:val="top"/>
          </w:tcPr>
          <w:p w14:paraId="27375170">
            <w:pPr>
              <w:pStyle w:val="7"/>
              <w:spacing w:before="123" w:line="217" w:lineRule="auto"/>
              <w:ind w:left="460"/>
            </w:pPr>
            <w:r>
              <w:rPr>
                <w:spacing w:val="-22"/>
              </w:rPr>
              <w:t>（1）采用自动和半自动切割机或刨边机加工坡口。</w:t>
            </w:r>
          </w:p>
          <w:p w14:paraId="162E2C4D">
            <w:pPr>
              <w:pStyle w:val="7"/>
              <w:spacing w:before="185" w:line="287" w:lineRule="auto"/>
              <w:ind w:left="80" w:right="64" w:hanging="16"/>
            </w:pPr>
            <w:r>
              <w:rPr>
                <w:spacing w:val="-25"/>
              </w:rPr>
              <w:t>（2）焊缝组对间隙应控制在标准规范要求值以内，背面用碳</w:t>
            </w:r>
            <w:r>
              <w:rPr>
                <w:spacing w:val="-22"/>
              </w:rPr>
              <w:t>弧气刨清根后，采用砂轮修整刨槽及碳化层，使刨槽宽窄一</w:t>
            </w:r>
          </w:p>
          <w:p w14:paraId="281DAF45">
            <w:pPr>
              <w:pStyle w:val="7"/>
              <w:spacing w:before="188" w:line="219" w:lineRule="auto"/>
              <w:ind w:left="2698"/>
            </w:pPr>
            <w:r>
              <w:rPr>
                <w:spacing w:val="-19"/>
              </w:rPr>
              <w:t>致。</w:t>
            </w:r>
          </w:p>
          <w:p w14:paraId="62B60AE6">
            <w:pPr>
              <w:pStyle w:val="7"/>
              <w:spacing w:before="181" w:line="218" w:lineRule="auto"/>
              <w:ind w:left="64"/>
            </w:pPr>
            <w:r>
              <w:rPr>
                <w:spacing w:val="-24"/>
              </w:rPr>
              <w:t>（3）选用适当的焊接电流和焊条直径，遵守焊接工艺，熟练</w:t>
            </w:r>
          </w:p>
          <w:p w14:paraId="2DA0A7A2">
            <w:pPr>
              <w:pStyle w:val="7"/>
              <w:spacing w:before="184" w:line="216" w:lineRule="auto"/>
              <w:ind w:left="86"/>
            </w:pPr>
            <w:r>
              <w:rPr>
                <w:spacing w:val="-21"/>
              </w:rPr>
              <w:t>掌握操作技术，保持焊速均匀；手工焊操作</w:t>
            </w:r>
            <w:r>
              <w:rPr>
                <w:spacing w:val="-22"/>
              </w:rPr>
              <w:t>人员要熟练地掌</w:t>
            </w:r>
          </w:p>
          <w:p w14:paraId="30F74B82">
            <w:pPr>
              <w:pStyle w:val="7"/>
              <w:spacing w:before="185" w:line="218" w:lineRule="auto"/>
              <w:ind w:left="515"/>
            </w:pPr>
            <w:r>
              <w:rPr>
                <w:spacing w:val="-21"/>
              </w:rPr>
              <w:t>握运条速度和焊条角度，以获得成形美观的焊缝。</w:t>
            </w:r>
          </w:p>
        </w:tc>
      </w:tr>
      <w:tr w14:paraId="5A0618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6" w:hRule="atLeast"/>
        </w:trPr>
        <w:tc>
          <w:tcPr>
            <w:tcW w:w="357" w:type="dxa"/>
            <w:tcBorders>
              <w:left w:val="single" w:color="1C456A" w:sz="4" w:space="0"/>
              <w:bottom w:val="single" w:color="1C456A" w:sz="4" w:space="0"/>
              <w:right w:val="nil"/>
            </w:tcBorders>
            <w:vAlign w:val="top"/>
          </w:tcPr>
          <w:p w14:paraId="47813EF0">
            <w:pPr>
              <w:rPr>
                <w:rFonts w:ascii="Arial"/>
                <w:sz w:val="21"/>
              </w:rPr>
            </w:pPr>
            <w:r>
              <w:pict>
                <v:shape id="_x0000_s3582" o:spid="_x0000_s3582" style="position:absolute;left:0pt;margin-left:-0.25pt;margin-top:54.85pt;height:0.75pt;width:2.2pt;mso-position-horizontal-relative:page;mso-position-vertical-relative:page;z-index:252143616;mso-width-relative:page;mso-height-relative:page;" fillcolor="#5B9BD5" filled="t" stroked="f" coordsize="44,15" path="m0,14l43,14,43,0,0,0,0,14xe">
                  <v:path/>
                  <v:fill on="t" focussize="0,0"/>
                  <v:stroke on="f"/>
                  <v:imagedata o:title=""/>
                  <o:lock v:ext="edit"/>
                </v:shape>
              </w:pict>
            </w:r>
          </w:p>
        </w:tc>
        <w:tc>
          <w:tcPr>
            <w:tcW w:w="1056" w:type="dxa"/>
            <w:tcBorders>
              <w:left w:val="nil"/>
              <w:bottom w:val="single" w:color="1C456A" w:sz="4" w:space="0"/>
            </w:tcBorders>
            <w:vAlign w:val="top"/>
          </w:tcPr>
          <w:p w14:paraId="45E6A6F1">
            <w:pPr>
              <w:spacing w:line="262" w:lineRule="auto"/>
              <w:rPr>
                <w:rFonts w:ascii="Arial"/>
                <w:sz w:val="21"/>
              </w:rPr>
            </w:pPr>
          </w:p>
          <w:p w14:paraId="2A41E67B">
            <w:pPr>
              <w:pStyle w:val="7"/>
              <w:spacing w:before="78" w:line="238" w:lineRule="auto"/>
              <w:ind w:left="309"/>
            </w:pPr>
            <w:r>
              <w:t>2</w:t>
            </w:r>
          </w:p>
        </w:tc>
        <w:tc>
          <w:tcPr>
            <w:tcW w:w="1836" w:type="dxa"/>
            <w:tcBorders>
              <w:bottom w:val="single" w:color="000000" w:sz="4" w:space="0"/>
            </w:tcBorders>
            <w:vAlign w:val="top"/>
          </w:tcPr>
          <w:p w14:paraId="3D803FF2">
            <w:pPr>
              <w:spacing w:line="261" w:lineRule="auto"/>
              <w:rPr>
                <w:rFonts w:ascii="Arial"/>
                <w:sz w:val="21"/>
              </w:rPr>
            </w:pPr>
          </w:p>
          <w:p w14:paraId="2A145F39">
            <w:pPr>
              <w:pStyle w:val="7"/>
              <w:spacing w:before="78" w:line="219" w:lineRule="auto"/>
              <w:ind w:left="714"/>
            </w:pPr>
            <w:r>
              <w:rPr>
                <w:spacing w:val="-12"/>
              </w:rPr>
              <w:t>咬边</w:t>
            </w:r>
          </w:p>
        </w:tc>
        <w:tc>
          <w:tcPr>
            <w:tcW w:w="5824" w:type="dxa"/>
            <w:gridSpan w:val="3"/>
            <w:tcBorders>
              <w:bottom w:val="single" w:color="5B9BD5" w:sz="4" w:space="0"/>
              <w:right w:val="single" w:color="5B9BD5" w:sz="4" w:space="0"/>
            </w:tcBorders>
            <w:vAlign w:val="top"/>
          </w:tcPr>
          <w:p w14:paraId="710180FA">
            <w:pPr>
              <w:pStyle w:val="7"/>
              <w:spacing w:before="107" w:line="359" w:lineRule="auto"/>
              <w:ind w:left="79" w:right="18" w:hanging="15"/>
            </w:pPr>
            <w:r>
              <w:pict>
                <v:shape id="_x0000_s3583" o:spid="_x0000_s3583" style="position:absolute;left:0pt;margin-left:289.3pt;margin-top:54.85pt;height:0.75pt;width:2.2pt;mso-position-horizontal-relative:page;mso-position-vertical-relative:page;z-index:252144640;mso-width-relative:page;mso-height-relative:page;" fillcolor="#5B9BD5" filled="t" stroked="f" coordsize="44,15" path="m0,14l43,14,43,0,0,0,0,14xe">
                  <v:path/>
                  <v:fill on="t" focussize="0,0"/>
                  <v:stroke on="f"/>
                  <v:imagedata o:title=""/>
                  <o:lock v:ext="edit"/>
                </v:shape>
              </w:pict>
            </w:r>
            <w:r>
              <w:rPr>
                <w:spacing w:val="-23"/>
              </w:rPr>
              <w:t>（1）选择合理的焊接工艺参数。碱性焊条应</w:t>
            </w:r>
            <w:r>
              <w:rPr>
                <w:spacing w:val="-24"/>
              </w:rPr>
              <w:t>采用短弧焊接，</w:t>
            </w:r>
            <w:r>
              <w:rPr>
                <w:spacing w:val="-22"/>
              </w:rPr>
              <w:t>保持运条均匀，坡口边缘运条稍慢些，停留时间稍长些，中</w:t>
            </w:r>
          </w:p>
        </w:tc>
      </w:tr>
    </w:tbl>
    <w:p w14:paraId="0BB3B6D2">
      <w:pPr>
        <w:rPr>
          <w:rFonts w:ascii="Arial"/>
          <w:sz w:val="21"/>
        </w:rPr>
      </w:pPr>
    </w:p>
    <w:p w14:paraId="0412BF5D">
      <w:pPr>
        <w:rPr>
          <w:rFonts w:ascii="Arial" w:hAnsi="Arial" w:eastAsia="Arial" w:cs="Arial"/>
          <w:sz w:val="21"/>
          <w:szCs w:val="21"/>
        </w:rPr>
        <w:sectPr>
          <w:footerReference r:id="rId235" w:type="default"/>
          <w:pgSz w:w="11907" w:h="16839"/>
          <w:pgMar w:top="954" w:right="4" w:bottom="1038" w:left="0" w:header="499" w:footer="357" w:gutter="0"/>
          <w:pgBorders>
            <w:top w:val="none" w:sz="0" w:space="0"/>
            <w:left w:val="none" w:sz="0" w:space="0"/>
            <w:bottom w:val="none" w:sz="0" w:space="0"/>
            <w:right w:val="none" w:sz="0" w:space="0"/>
          </w:pgBorders>
          <w:cols w:space="720" w:num="1"/>
        </w:sectPr>
      </w:pPr>
    </w:p>
    <w:p w14:paraId="4A6D4822">
      <w:pPr>
        <w:spacing w:line="214" w:lineRule="exact"/>
      </w:pPr>
    </w:p>
    <w:tbl>
      <w:tblPr>
        <w:tblStyle w:val="6"/>
        <w:tblW w:w="9073" w:type="dxa"/>
        <w:tblInd w:w="1416"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56"/>
        <w:gridCol w:w="1048"/>
        <w:gridCol w:w="1842"/>
        <w:gridCol w:w="5827"/>
      </w:tblGrid>
      <w:tr w14:paraId="3EA872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22" w:hRule="atLeast"/>
        </w:trPr>
        <w:tc>
          <w:tcPr>
            <w:tcW w:w="1404" w:type="dxa"/>
            <w:gridSpan w:val="2"/>
            <w:tcBorders>
              <w:top w:val="single" w:color="000000" w:sz="4" w:space="0"/>
              <w:left w:val="single" w:color="000000" w:sz="4" w:space="0"/>
            </w:tcBorders>
            <w:vAlign w:val="top"/>
          </w:tcPr>
          <w:p w14:paraId="63C65955">
            <w:pPr>
              <w:rPr>
                <w:rFonts w:ascii="Arial"/>
                <w:sz w:val="21"/>
              </w:rPr>
            </w:pPr>
          </w:p>
        </w:tc>
        <w:tc>
          <w:tcPr>
            <w:tcW w:w="1842" w:type="dxa"/>
            <w:tcBorders>
              <w:top w:val="single" w:color="000000" w:sz="4" w:space="0"/>
            </w:tcBorders>
            <w:vAlign w:val="top"/>
          </w:tcPr>
          <w:p w14:paraId="76EE514D">
            <w:pPr>
              <w:rPr>
                <w:rFonts w:ascii="Arial"/>
                <w:sz w:val="21"/>
              </w:rPr>
            </w:pPr>
          </w:p>
        </w:tc>
        <w:tc>
          <w:tcPr>
            <w:tcW w:w="5827" w:type="dxa"/>
            <w:tcBorders>
              <w:top w:val="single" w:color="5B9BD5" w:sz="4" w:space="0"/>
              <w:right w:val="single" w:color="5B9BD5" w:sz="4" w:space="0"/>
            </w:tcBorders>
            <w:vAlign w:val="top"/>
          </w:tcPr>
          <w:p w14:paraId="0743DBDF">
            <w:pPr>
              <w:pStyle w:val="7"/>
              <w:spacing w:before="128" w:line="217" w:lineRule="auto"/>
              <w:ind w:left="104"/>
            </w:pPr>
            <w:r>
              <w:rPr>
                <w:spacing w:val="-22"/>
              </w:rPr>
              <w:t>间运条稍快些。多道焊中，应保持匀速焊接，应注意运条角</w:t>
            </w:r>
          </w:p>
          <w:p w14:paraId="0EB1BABF">
            <w:pPr>
              <w:pStyle w:val="7"/>
              <w:spacing w:before="184" w:line="219" w:lineRule="auto"/>
              <w:ind w:left="2698"/>
            </w:pPr>
            <w:r>
              <w:rPr>
                <w:spacing w:val="-18"/>
              </w:rPr>
              <w:t>度。</w:t>
            </w:r>
          </w:p>
          <w:p w14:paraId="1D9155BF">
            <w:pPr>
              <w:pStyle w:val="7"/>
              <w:spacing w:before="183" w:line="215" w:lineRule="auto"/>
              <w:ind w:left="67"/>
            </w:pPr>
            <w:r>
              <w:rPr>
                <w:spacing w:val="-24"/>
              </w:rPr>
              <w:t>（2）焊条的填充金属应略低于焊道母材表面，这样盖面的焊</w:t>
            </w:r>
          </w:p>
          <w:p w14:paraId="1A7D880E">
            <w:pPr>
              <w:pStyle w:val="7"/>
              <w:spacing w:before="186" w:line="215" w:lineRule="auto"/>
              <w:ind w:left="1391"/>
            </w:pPr>
            <w:r>
              <w:rPr>
                <w:spacing w:val="-21"/>
              </w:rPr>
              <w:t>道宽度轮廓清楚，外观成型好。</w:t>
            </w:r>
          </w:p>
        </w:tc>
      </w:tr>
      <w:tr w14:paraId="70438A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83" w:hRule="atLeast"/>
        </w:trPr>
        <w:tc>
          <w:tcPr>
            <w:tcW w:w="1404" w:type="dxa"/>
            <w:gridSpan w:val="2"/>
            <w:tcBorders>
              <w:left w:val="single" w:color="000000" w:sz="4" w:space="0"/>
            </w:tcBorders>
            <w:vAlign w:val="top"/>
          </w:tcPr>
          <w:p w14:paraId="28D20599">
            <w:pPr>
              <w:spacing w:line="355" w:lineRule="auto"/>
              <w:rPr>
                <w:rFonts w:ascii="Arial"/>
                <w:sz w:val="21"/>
              </w:rPr>
            </w:pPr>
          </w:p>
          <w:p w14:paraId="4E64719F">
            <w:pPr>
              <w:spacing w:line="355" w:lineRule="auto"/>
              <w:rPr>
                <w:rFonts w:ascii="Arial"/>
                <w:sz w:val="21"/>
              </w:rPr>
            </w:pPr>
          </w:p>
          <w:p w14:paraId="02E81075">
            <w:pPr>
              <w:pStyle w:val="7"/>
              <w:spacing w:before="78" w:line="237" w:lineRule="auto"/>
              <w:ind w:left="663"/>
            </w:pPr>
            <w:r>
              <w:t>3</w:t>
            </w:r>
          </w:p>
        </w:tc>
        <w:tc>
          <w:tcPr>
            <w:tcW w:w="1842" w:type="dxa"/>
            <w:vAlign w:val="top"/>
          </w:tcPr>
          <w:p w14:paraId="46E8A989">
            <w:pPr>
              <w:spacing w:line="355" w:lineRule="auto"/>
              <w:rPr>
                <w:rFonts w:ascii="Arial"/>
                <w:sz w:val="21"/>
              </w:rPr>
            </w:pPr>
          </w:p>
          <w:p w14:paraId="7CA94584">
            <w:pPr>
              <w:spacing w:line="355" w:lineRule="auto"/>
              <w:rPr>
                <w:rFonts w:ascii="Arial"/>
                <w:sz w:val="21"/>
              </w:rPr>
            </w:pPr>
          </w:p>
          <w:p w14:paraId="0363025F">
            <w:pPr>
              <w:pStyle w:val="7"/>
              <w:spacing w:before="78" w:line="218" w:lineRule="auto"/>
              <w:ind w:left="713"/>
            </w:pPr>
            <w:r>
              <w:rPr>
                <w:spacing w:val="-10"/>
              </w:rPr>
              <w:t>焊瘤</w:t>
            </w:r>
          </w:p>
        </w:tc>
        <w:tc>
          <w:tcPr>
            <w:tcW w:w="5827" w:type="dxa"/>
            <w:tcBorders>
              <w:right w:val="single" w:color="000000" w:sz="4" w:space="0"/>
            </w:tcBorders>
            <w:vAlign w:val="top"/>
          </w:tcPr>
          <w:p w14:paraId="5408A753">
            <w:pPr>
              <w:pStyle w:val="7"/>
              <w:spacing w:before="94" w:line="217" w:lineRule="auto"/>
              <w:ind w:left="67"/>
            </w:pPr>
            <w:r>
              <w:rPr>
                <w:spacing w:val="-24"/>
              </w:rPr>
              <w:t>（1）焊接前应彻底清理坡口及其附近的脏物；组对间隙要合</w:t>
            </w:r>
          </w:p>
          <w:p w14:paraId="4A9019C7">
            <w:pPr>
              <w:pStyle w:val="7"/>
              <w:spacing w:before="183" w:line="216" w:lineRule="auto"/>
              <w:ind w:left="81"/>
            </w:pPr>
            <w:r>
              <w:rPr>
                <w:spacing w:val="-21"/>
              </w:rPr>
              <w:t>适；选择适当的焊接电流和运条角度，熟练掌握操作技术，</w:t>
            </w:r>
          </w:p>
          <w:p w14:paraId="66A949DE">
            <w:pPr>
              <w:pStyle w:val="7"/>
              <w:spacing w:before="186" w:line="217" w:lineRule="auto"/>
              <w:ind w:left="2154"/>
            </w:pPr>
            <w:r>
              <w:rPr>
                <w:spacing w:val="-19"/>
              </w:rPr>
              <w:t>保持焊速均匀。</w:t>
            </w:r>
          </w:p>
          <w:p w14:paraId="2575204D">
            <w:pPr>
              <w:pStyle w:val="7"/>
              <w:spacing w:before="183" w:line="216" w:lineRule="auto"/>
              <w:ind w:left="898"/>
            </w:pPr>
            <w:r>
              <w:rPr>
                <w:spacing w:val="-20"/>
              </w:rPr>
              <w:t>（2）碱性焊条采用短弧焊接，极性反接。</w:t>
            </w:r>
          </w:p>
        </w:tc>
      </w:tr>
      <w:tr w14:paraId="11AAE6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53" w:hRule="atLeast"/>
        </w:trPr>
        <w:tc>
          <w:tcPr>
            <w:tcW w:w="1404" w:type="dxa"/>
            <w:gridSpan w:val="2"/>
            <w:tcBorders>
              <w:left w:val="single" w:color="000000" w:sz="4" w:space="0"/>
            </w:tcBorders>
            <w:vAlign w:val="top"/>
          </w:tcPr>
          <w:p w14:paraId="424B946A">
            <w:pPr>
              <w:spacing w:line="253" w:lineRule="auto"/>
              <w:rPr>
                <w:rFonts w:ascii="Arial"/>
                <w:sz w:val="21"/>
              </w:rPr>
            </w:pPr>
          </w:p>
          <w:p w14:paraId="541DD570">
            <w:pPr>
              <w:pStyle w:val="7"/>
              <w:spacing w:before="78" w:line="238" w:lineRule="auto"/>
              <w:ind w:left="657"/>
            </w:pPr>
            <w:r>
              <w:t>4</w:t>
            </w:r>
          </w:p>
        </w:tc>
        <w:tc>
          <w:tcPr>
            <w:tcW w:w="1842" w:type="dxa"/>
            <w:vAlign w:val="top"/>
          </w:tcPr>
          <w:p w14:paraId="67833E09">
            <w:pPr>
              <w:spacing w:line="252" w:lineRule="auto"/>
              <w:rPr>
                <w:rFonts w:ascii="Arial"/>
                <w:sz w:val="21"/>
              </w:rPr>
            </w:pPr>
          </w:p>
          <w:p w14:paraId="2D6654FE">
            <w:pPr>
              <w:pStyle w:val="7"/>
              <w:spacing w:before="78" w:line="219" w:lineRule="auto"/>
              <w:ind w:left="715"/>
            </w:pPr>
            <w:r>
              <w:rPr>
                <w:spacing w:val="-10"/>
              </w:rPr>
              <w:t>弧坑</w:t>
            </w:r>
          </w:p>
        </w:tc>
        <w:tc>
          <w:tcPr>
            <w:tcW w:w="5827" w:type="dxa"/>
            <w:tcBorders>
              <w:right w:val="single" w:color="000000" w:sz="4" w:space="0"/>
            </w:tcBorders>
            <w:vAlign w:val="top"/>
          </w:tcPr>
          <w:p w14:paraId="6DD7FECB">
            <w:pPr>
              <w:pStyle w:val="7"/>
              <w:spacing w:before="97" w:line="215" w:lineRule="auto"/>
              <w:ind w:left="83"/>
            </w:pPr>
            <w:r>
              <w:rPr>
                <w:spacing w:val="-21"/>
              </w:rPr>
              <w:t>采用砂轮打磨修整、补焊，碱性焊条宜采用回弧焊接，以免</w:t>
            </w:r>
          </w:p>
          <w:p w14:paraId="303544BD">
            <w:pPr>
              <w:pStyle w:val="7"/>
              <w:spacing w:before="188" w:line="218" w:lineRule="auto"/>
              <w:ind w:left="2162"/>
            </w:pPr>
            <w:r>
              <w:rPr>
                <w:spacing w:val="-20"/>
              </w:rPr>
              <w:t>引弧产生气孔。</w:t>
            </w:r>
          </w:p>
        </w:tc>
      </w:tr>
      <w:tr w14:paraId="274B06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51" w:hRule="atLeast"/>
        </w:trPr>
        <w:tc>
          <w:tcPr>
            <w:tcW w:w="1404" w:type="dxa"/>
            <w:gridSpan w:val="2"/>
            <w:tcBorders>
              <w:left w:val="single" w:color="000000" w:sz="4" w:space="0"/>
            </w:tcBorders>
            <w:vAlign w:val="top"/>
          </w:tcPr>
          <w:p w14:paraId="72D498D0">
            <w:pPr>
              <w:spacing w:line="315" w:lineRule="auto"/>
              <w:rPr>
                <w:rFonts w:ascii="Arial"/>
                <w:sz w:val="21"/>
              </w:rPr>
            </w:pPr>
          </w:p>
          <w:p w14:paraId="658B00EB">
            <w:pPr>
              <w:spacing w:line="315" w:lineRule="auto"/>
              <w:rPr>
                <w:rFonts w:ascii="Arial"/>
                <w:sz w:val="21"/>
              </w:rPr>
            </w:pPr>
          </w:p>
          <w:p w14:paraId="305BE445">
            <w:pPr>
              <w:spacing w:line="316" w:lineRule="auto"/>
              <w:rPr>
                <w:rFonts w:ascii="Arial"/>
                <w:sz w:val="21"/>
              </w:rPr>
            </w:pPr>
          </w:p>
          <w:p w14:paraId="33F7912D">
            <w:pPr>
              <w:pStyle w:val="7"/>
              <w:spacing w:before="78" w:line="237" w:lineRule="auto"/>
              <w:ind w:left="663"/>
            </w:pPr>
            <w:r>
              <w:t>5</w:t>
            </w:r>
          </w:p>
        </w:tc>
        <w:tc>
          <w:tcPr>
            <w:tcW w:w="1842" w:type="dxa"/>
            <w:vAlign w:val="top"/>
          </w:tcPr>
          <w:p w14:paraId="4045A6B6">
            <w:pPr>
              <w:spacing w:line="357" w:lineRule="auto"/>
              <w:rPr>
                <w:rFonts w:ascii="Arial"/>
                <w:sz w:val="21"/>
              </w:rPr>
            </w:pPr>
          </w:p>
          <w:p w14:paraId="2F015DB3">
            <w:pPr>
              <w:spacing w:line="358" w:lineRule="auto"/>
              <w:rPr>
                <w:rFonts w:ascii="Arial"/>
                <w:sz w:val="21"/>
              </w:rPr>
            </w:pPr>
          </w:p>
          <w:p w14:paraId="16C76878">
            <w:pPr>
              <w:pStyle w:val="7"/>
              <w:spacing w:before="78" w:line="360" w:lineRule="auto"/>
              <w:ind w:left="387" w:right="135" w:hanging="216"/>
            </w:pPr>
            <w:r>
              <w:rPr>
                <w:spacing w:val="-22"/>
              </w:rPr>
              <w:t>母材表面电弧擦</w:t>
            </w:r>
            <w:r>
              <w:rPr>
                <w:spacing w:val="-17"/>
              </w:rPr>
              <w:t>伤（弧疤）</w:t>
            </w:r>
          </w:p>
        </w:tc>
        <w:tc>
          <w:tcPr>
            <w:tcW w:w="5827" w:type="dxa"/>
            <w:tcBorders>
              <w:right w:val="single" w:color="000000" w:sz="4" w:space="0"/>
            </w:tcBorders>
            <w:vAlign w:val="top"/>
          </w:tcPr>
          <w:p w14:paraId="186A46B8">
            <w:pPr>
              <w:pStyle w:val="7"/>
              <w:spacing w:before="96" w:line="289" w:lineRule="auto"/>
              <w:ind w:left="1825" w:right="72" w:hanging="1758"/>
            </w:pPr>
            <w:r>
              <w:rPr>
                <w:spacing w:val="-25"/>
              </w:rPr>
              <w:t>（1）精心操作，避免带电的焊条或焊把裸露</w:t>
            </w:r>
            <w:r>
              <w:rPr>
                <w:spacing w:val="-26"/>
              </w:rPr>
              <w:t>部分与非焊接区</w:t>
            </w:r>
            <w:r>
              <w:rPr>
                <w:spacing w:val="-20"/>
              </w:rPr>
              <w:t>域母材相碰引起电弧。</w:t>
            </w:r>
          </w:p>
          <w:p w14:paraId="2C2EBF8A">
            <w:pPr>
              <w:pStyle w:val="7"/>
              <w:spacing w:before="181" w:line="288" w:lineRule="auto"/>
              <w:ind w:left="1718" w:right="48" w:hanging="1651"/>
            </w:pPr>
            <w:r>
              <w:rPr>
                <w:spacing w:val="-25"/>
              </w:rPr>
              <w:t>（2）不得在非焊接部位随意引弧或试电流，引弧应在引弧板</w:t>
            </w:r>
            <w:r>
              <w:rPr>
                <w:spacing w:val="-20"/>
              </w:rPr>
              <w:t>上或在焊道破口内进行。</w:t>
            </w:r>
          </w:p>
          <w:p w14:paraId="6F686ACB">
            <w:pPr>
              <w:pStyle w:val="7"/>
              <w:spacing w:before="185" w:line="219" w:lineRule="auto"/>
              <w:ind w:left="1442"/>
            </w:pPr>
            <w:r>
              <w:rPr>
                <w:spacing w:val="-20"/>
              </w:rPr>
              <w:t>（3）地线与母材应紧固良好。</w:t>
            </w:r>
          </w:p>
        </w:tc>
      </w:tr>
      <w:tr w14:paraId="68BB0C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92" w:hRule="atLeast"/>
        </w:trPr>
        <w:tc>
          <w:tcPr>
            <w:tcW w:w="356" w:type="dxa"/>
            <w:tcBorders>
              <w:left w:val="single" w:color="1C456A" w:sz="4" w:space="0"/>
              <w:bottom w:val="single" w:color="1C456A" w:sz="4" w:space="0"/>
              <w:right w:val="nil"/>
            </w:tcBorders>
            <w:vAlign w:val="top"/>
          </w:tcPr>
          <w:p w14:paraId="07D0B152">
            <w:pPr>
              <w:rPr>
                <w:rFonts w:ascii="Arial"/>
                <w:sz w:val="21"/>
              </w:rPr>
            </w:pPr>
            <w:r>
              <w:pict>
                <v:shape id="_x0000_s3584" o:spid="_x0000_s3584" style="position:absolute;left:0pt;margin-left:-0.25pt;margin-top:334.6pt;height:0.75pt;width:2.2pt;mso-position-horizontal-relative:page;mso-position-vertical-relative:page;z-index:252147712;mso-width-relative:page;mso-height-relative:page;" fillcolor="#5B9BD5" filled="t" stroked="f" coordsize="44,15" path="m0,14l43,14,43,0,0,0,0,14xe">
                  <v:path/>
                  <v:fill on="t" focussize="0,0"/>
                  <v:stroke on="f"/>
                  <v:imagedata o:title=""/>
                  <o:lock v:ext="edit"/>
                </v:shape>
              </w:pict>
            </w:r>
          </w:p>
        </w:tc>
        <w:tc>
          <w:tcPr>
            <w:tcW w:w="1048" w:type="dxa"/>
            <w:tcBorders>
              <w:left w:val="nil"/>
              <w:bottom w:val="single" w:color="1C456A" w:sz="4" w:space="0"/>
            </w:tcBorders>
            <w:vAlign w:val="top"/>
          </w:tcPr>
          <w:p w14:paraId="1742FA36">
            <w:pPr>
              <w:spacing w:line="253" w:lineRule="auto"/>
              <w:rPr>
                <w:rFonts w:ascii="Arial"/>
                <w:sz w:val="21"/>
              </w:rPr>
            </w:pPr>
          </w:p>
          <w:p w14:paraId="675E0B65">
            <w:pPr>
              <w:spacing w:line="253" w:lineRule="auto"/>
              <w:rPr>
                <w:rFonts w:ascii="Arial"/>
                <w:sz w:val="21"/>
              </w:rPr>
            </w:pPr>
          </w:p>
          <w:p w14:paraId="4906ABD9">
            <w:pPr>
              <w:spacing w:line="253" w:lineRule="auto"/>
              <w:rPr>
                <w:rFonts w:ascii="Arial"/>
                <w:sz w:val="21"/>
              </w:rPr>
            </w:pPr>
          </w:p>
          <w:p w14:paraId="6EA00694">
            <w:pPr>
              <w:spacing w:line="253" w:lineRule="auto"/>
              <w:rPr>
                <w:rFonts w:ascii="Arial"/>
                <w:sz w:val="21"/>
              </w:rPr>
            </w:pPr>
          </w:p>
          <w:p w14:paraId="168B1CA0">
            <w:pPr>
              <w:spacing w:line="253" w:lineRule="auto"/>
              <w:rPr>
                <w:rFonts w:ascii="Arial"/>
                <w:sz w:val="21"/>
              </w:rPr>
            </w:pPr>
          </w:p>
          <w:p w14:paraId="4880581C">
            <w:pPr>
              <w:spacing w:line="253" w:lineRule="auto"/>
              <w:rPr>
                <w:rFonts w:ascii="Arial"/>
                <w:sz w:val="21"/>
              </w:rPr>
            </w:pPr>
          </w:p>
          <w:p w14:paraId="1A98FC9B">
            <w:pPr>
              <w:spacing w:line="253" w:lineRule="auto"/>
              <w:rPr>
                <w:rFonts w:ascii="Arial"/>
                <w:sz w:val="21"/>
              </w:rPr>
            </w:pPr>
          </w:p>
          <w:p w14:paraId="15B75AD7">
            <w:pPr>
              <w:spacing w:line="253" w:lineRule="auto"/>
              <w:rPr>
                <w:rFonts w:ascii="Arial"/>
                <w:sz w:val="21"/>
              </w:rPr>
            </w:pPr>
          </w:p>
          <w:p w14:paraId="7C6FEA51">
            <w:pPr>
              <w:spacing w:line="253" w:lineRule="auto"/>
              <w:rPr>
                <w:rFonts w:ascii="Arial"/>
                <w:sz w:val="21"/>
              </w:rPr>
            </w:pPr>
          </w:p>
          <w:p w14:paraId="69FC6594">
            <w:pPr>
              <w:spacing w:line="253" w:lineRule="auto"/>
              <w:rPr>
                <w:rFonts w:ascii="Arial"/>
                <w:sz w:val="21"/>
              </w:rPr>
            </w:pPr>
          </w:p>
          <w:p w14:paraId="41D19280">
            <w:pPr>
              <w:spacing w:line="254" w:lineRule="auto"/>
              <w:rPr>
                <w:rFonts w:ascii="Arial"/>
                <w:sz w:val="21"/>
              </w:rPr>
            </w:pPr>
          </w:p>
          <w:p w14:paraId="2D3A159A">
            <w:pPr>
              <w:spacing w:line="254" w:lineRule="auto"/>
              <w:rPr>
                <w:rFonts w:ascii="Arial"/>
                <w:sz w:val="21"/>
              </w:rPr>
            </w:pPr>
          </w:p>
          <w:p w14:paraId="6D8A88A0">
            <w:pPr>
              <w:pStyle w:val="7"/>
              <w:spacing w:before="78" w:line="237" w:lineRule="auto"/>
              <w:ind w:left="309"/>
            </w:pPr>
            <w:r>
              <w:t>6</w:t>
            </w:r>
          </w:p>
        </w:tc>
        <w:tc>
          <w:tcPr>
            <w:tcW w:w="1842" w:type="dxa"/>
            <w:tcBorders>
              <w:bottom w:val="single" w:color="000000" w:sz="4" w:space="0"/>
            </w:tcBorders>
            <w:vAlign w:val="top"/>
          </w:tcPr>
          <w:p w14:paraId="0E7A376F">
            <w:pPr>
              <w:spacing w:line="253" w:lineRule="auto"/>
              <w:rPr>
                <w:rFonts w:ascii="Arial"/>
                <w:sz w:val="21"/>
              </w:rPr>
            </w:pPr>
          </w:p>
          <w:p w14:paraId="00102B94">
            <w:pPr>
              <w:spacing w:line="253" w:lineRule="auto"/>
              <w:rPr>
                <w:rFonts w:ascii="Arial"/>
                <w:sz w:val="21"/>
              </w:rPr>
            </w:pPr>
          </w:p>
          <w:p w14:paraId="4F916570">
            <w:pPr>
              <w:spacing w:line="253" w:lineRule="auto"/>
              <w:rPr>
                <w:rFonts w:ascii="Arial"/>
                <w:sz w:val="21"/>
              </w:rPr>
            </w:pPr>
          </w:p>
          <w:p w14:paraId="78BEA492">
            <w:pPr>
              <w:spacing w:line="253" w:lineRule="auto"/>
              <w:rPr>
                <w:rFonts w:ascii="Arial"/>
                <w:sz w:val="21"/>
              </w:rPr>
            </w:pPr>
          </w:p>
          <w:p w14:paraId="149104E2">
            <w:pPr>
              <w:spacing w:line="253" w:lineRule="auto"/>
              <w:rPr>
                <w:rFonts w:ascii="Arial"/>
                <w:sz w:val="21"/>
              </w:rPr>
            </w:pPr>
          </w:p>
          <w:p w14:paraId="7316C54A">
            <w:pPr>
              <w:spacing w:line="253" w:lineRule="auto"/>
              <w:rPr>
                <w:rFonts w:ascii="Arial"/>
                <w:sz w:val="21"/>
              </w:rPr>
            </w:pPr>
          </w:p>
          <w:p w14:paraId="263B53CC">
            <w:pPr>
              <w:spacing w:line="253" w:lineRule="auto"/>
              <w:rPr>
                <w:rFonts w:ascii="Arial"/>
                <w:sz w:val="21"/>
              </w:rPr>
            </w:pPr>
          </w:p>
          <w:p w14:paraId="1852B641">
            <w:pPr>
              <w:spacing w:line="253" w:lineRule="auto"/>
              <w:rPr>
                <w:rFonts w:ascii="Arial"/>
                <w:sz w:val="21"/>
              </w:rPr>
            </w:pPr>
          </w:p>
          <w:p w14:paraId="7F548D0A">
            <w:pPr>
              <w:spacing w:line="253" w:lineRule="auto"/>
              <w:rPr>
                <w:rFonts w:ascii="Arial"/>
                <w:sz w:val="21"/>
              </w:rPr>
            </w:pPr>
          </w:p>
          <w:p w14:paraId="4AB3F708">
            <w:pPr>
              <w:spacing w:line="254" w:lineRule="auto"/>
              <w:rPr>
                <w:rFonts w:ascii="Arial"/>
                <w:sz w:val="21"/>
              </w:rPr>
            </w:pPr>
          </w:p>
          <w:p w14:paraId="12F2E937">
            <w:pPr>
              <w:spacing w:line="254" w:lineRule="auto"/>
              <w:rPr>
                <w:rFonts w:ascii="Arial"/>
                <w:sz w:val="21"/>
              </w:rPr>
            </w:pPr>
          </w:p>
          <w:p w14:paraId="5E662EBF">
            <w:pPr>
              <w:spacing w:line="254" w:lineRule="auto"/>
              <w:rPr>
                <w:rFonts w:ascii="Arial"/>
                <w:sz w:val="21"/>
              </w:rPr>
            </w:pPr>
          </w:p>
          <w:p w14:paraId="064FBFC9">
            <w:pPr>
              <w:pStyle w:val="7"/>
              <w:spacing w:before="78" w:line="220" w:lineRule="auto"/>
              <w:ind w:left="723"/>
            </w:pPr>
            <w:r>
              <w:rPr>
                <w:spacing w:val="-12"/>
              </w:rPr>
              <w:t>气孔</w:t>
            </w:r>
          </w:p>
        </w:tc>
        <w:tc>
          <w:tcPr>
            <w:tcW w:w="5827" w:type="dxa"/>
            <w:tcBorders>
              <w:bottom w:val="single" w:color="5B9BD5" w:sz="4" w:space="0"/>
              <w:right w:val="single" w:color="5B9BD5" w:sz="4" w:space="0"/>
            </w:tcBorders>
            <w:vAlign w:val="top"/>
          </w:tcPr>
          <w:p w14:paraId="10388E3E">
            <w:pPr>
              <w:pStyle w:val="7"/>
              <w:spacing w:before="99" w:line="217" w:lineRule="auto"/>
              <w:ind w:left="82"/>
            </w:pPr>
            <w:r>
              <w:rPr>
                <w:spacing w:val="-20"/>
              </w:rPr>
              <w:t>（1）应将坡口及坡口附近15mm区域内的油污、油</w:t>
            </w:r>
            <w:r>
              <w:rPr>
                <w:spacing w:val="-21"/>
              </w:rPr>
              <w:t>漆、氧化</w:t>
            </w:r>
          </w:p>
          <w:p w14:paraId="00E463B7">
            <w:pPr>
              <w:pStyle w:val="7"/>
              <w:spacing w:before="184" w:line="217" w:lineRule="auto"/>
              <w:ind w:left="1609"/>
            </w:pPr>
            <w:r>
              <w:rPr>
                <w:spacing w:val="-20"/>
              </w:rPr>
              <w:t>物、水分等污物清理干净。</w:t>
            </w:r>
          </w:p>
          <w:p w14:paraId="7C45407D">
            <w:pPr>
              <w:pStyle w:val="7"/>
              <w:spacing w:before="183" w:line="217" w:lineRule="auto"/>
              <w:ind w:left="67"/>
            </w:pPr>
            <w:r>
              <w:rPr>
                <w:spacing w:val="-24"/>
              </w:rPr>
              <w:t>（2）焊条应严格按照焊条说明书的要求进行焊条烘焙，不能</w:t>
            </w:r>
          </w:p>
          <w:p w14:paraId="310FEAA1">
            <w:pPr>
              <w:pStyle w:val="7"/>
              <w:spacing w:before="187" w:line="217" w:lineRule="auto"/>
              <w:ind w:left="106"/>
            </w:pPr>
            <w:r>
              <w:rPr>
                <w:spacing w:val="-22"/>
              </w:rPr>
              <w:t>以较低的烘干温度、较长的烘焙时间来代替，烘干后应恒温</w:t>
            </w:r>
          </w:p>
          <w:p w14:paraId="07CA4AEE">
            <w:pPr>
              <w:pStyle w:val="7"/>
              <w:spacing w:before="185" w:line="215" w:lineRule="auto"/>
              <w:ind w:left="83"/>
            </w:pPr>
            <w:r>
              <w:rPr>
                <w:spacing w:val="-21"/>
              </w:rPr>
              <w:t>贮存，随用随取。用不完的焊条应及时回</w:t>
            </w:r>
            <w:r>
              <w:rPr>
                <w:spacing w:val="-22"/>
              </w:rPr>
              <w:t>收，重新烘焙，烘</w:t>
            </w:r>
          </w:p>
          <w:p w14:paraId="145A376A">
            <w:pPr>
              <w:pStyle w:val="7"/>
              <w:spacing w:before="187" w:line="217" w:lineRule="auto"/>
              <w:ind w:left="848"/>
            </w:pPr>
            <w:r>
              <w:rPr>
                <w:spacing w:val="-21"/>
              </w:rPr>
              <w:t>焙次数不得超过两次，否则不能用于焊接。</w:t>
            </w:r>
          </w:p>
          <w:p w14:paraId="22221D07">
            <w:pPr>
              <w:pStyle w:val="7"/>
              <w:spacing w:before="185" w:line="288" w:lineRule="auto"/>
              <w:ind w:left="2263" w:right="48" w:hanging="2196"/>
            </w:pPr>
            <w:r>
              <w:rPr>
                <w:spacing w:val="-25"/>
              </w:rPr>
              <w:t>（3）药皮开裂、剥落、变质、偏心过度以及焊芯锈蚀的电焊</w:t>
            </w:r>
            <w:r>
              <w:rPr>
                <w:spacing w:val="-18"/>
              </w:rPr>
              <w:t>条不能使用。</w:t>
            </w:r>
          </w:p>
          <w:p w14:paraId="27A33DF5">
            <w:pPr>
              <w:pStyle w:val="7"/>
              <w:spacing w:before="187" w:line="287" w:lineRule="auto"/>
              <w:ind w:left="407" w:right="81" w:hanging="340"/>
            </w:pPr>
            <w:r>
              <w:rPr>
                <w:spacing w:val="-26"/>
              </w:rPr>
              <w:t>（4）碱性焊条宜采用长弧回焊法引弧，长弧起预热作用，回</w:t>
            </w:r>
            <w:r>
              <w:rPr>
                <w:spacing w:val="-21"/>
              </w:rPr>
              <w:t>焊可重熔引弧处，形成良好的保护气氛，消除缺陷。</w:t>
            </w:r>
          </w:p>
          <w:p w14:paraId="13374055">
            <w:pPr>
              <w:pStyle w:val="7"/>
              <w:spacing w:before="184" w:line="312" w:lineRule="auto"/>
              <w:ind w:left="82" w:right="64" w:hanging="15"/>
            </w:pPr>
            <w:r>
              <w:rPr>
                <w:spacing w:val="-25"/>
              </w:rPr>
              <w:t>（5）焊接时应避免风吹雨淋等恶劣环境的影响。室外进行气</w:t>
            </w:r>
            <w:r>
              <w:rPr>
                <w:spacing w:val="-22"/>
              </w:rPr>
              <w:t>体保护焊时要设置挡风罩。焊接管子时，要注意管内穿堂风的影响。气体保护焊时，要注意气体的纯度和含水量必须符</w:t>
            </w:r>
          </w:p>
          <w:p w14:paraId="6C2FF4CA">
            <w:pPr>
              <w:pStyle w:val="7"/>
              <w:spacing w:before="184" w:line="218" w:lineRule="auto"/>
              <w:ind w:left="1941"/>
            </w:pPr>
            <w:r>
              <w:rPr>
                <w:spacing w:val="-20"/>
              </w:rPr>
              <w:t>合有关标准的规定。</w:t>
            </w:r>
          </w:p>
        </w:tc>
      </w:tr>
    </w:tbl>
    <w:p w14:paraId="59066E40">
      <w:pPr>
        <w:rPr>
          <w:rFonts w:ascii="Arial"/>
          <w:sz w:val="21"/>
        </w:rPr>
      </w:pPr>
    </w:p>
    <w:p w14:paraId="0BFA9BA8">
      <w:pPr>
        <w:rPr>
          <w:rFonts w:ascii="Arial" w:hAnsi="Arial" w:eastAsia="Arial" w:cs="Arial"/>
          <w:sz w:val="21"/>
          <w:szCs w:val="21"/>
        </w:rPr>
        <w:sectPr>
          <w:footerReference r:id="rId236" w:type="default"/>
          <w:pgSz w:w="11907" w:h="16839"/>
          <w:pgMar w:top="954" w:right="4" w:bottom="1038" w:left="0" w:header="499" w:footer="357" w:gutter="0"/>
          <w:pgBorders>
            <w:top w:val="none" w:sz="0" w:space="0"/>
            <w:left w:val="none" w:sz="0" w:space="0"/>
            <w:bottom w:val="none" w:sz="0" w:space="0"/>
            <w:right w:val="none" w:sz="0" w:space="0"/>
          </w:pgBorders>
          <w:cols w:space="720" w:num="1"/>
        </w:sectPr>
      </w:pPr>
    </w:p>
    <w:p w14:paraId="022C1073">
      <w:pPr>
        <w:spacing w:line="214" w:lineRule="exact"/>
      </w:pPr>
    </w:p>
    <w:tbl>
      <w:tblPr>
        <w:tblStyle w:val="6"/>
        <w:tblW w:w="9073" w:type="dxa"/>
        <w:tblInd w:w="1416"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56"/>
        <w:gridCol w:w="1049"/>
        <w:gridCol w:w="1842"/>
        <w:gridCol w:w="5826"/>
      </w:tblGrid>
      <w:tr w14:paraId="388307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88" w:hRule="atLeast"/>
        </w:trPr>
        <w:tc>
          <w:tcPr>
            <w:tcW w:w="1405" w:type="dxa"/>
            <w:gridSpan w:val="2"/>
            <w:tcBorders>
              <w:top w:val="single" w:color="000000" w:sz="4" w:space="0"/>
              <w:left w:val="single" w:color="000000" w:sz="4" w:space="0"/>
            </w:tcBorders>
            <w:vAlign w:val="top"/>
          </w:tcPr>
          <w:p w14:paraId="43DDD974">
            <w:pPr>
              <w:rPr>
                <w:rFonts w:ascii="Arial"/>
                <w:sz w:val="21"/>
              </w:rPr>
            </w:pPr>
          </w:p>
        </w:tc>
        <w:tc>
          <w:tcPr>
            <w:tcW w:w="1842" w:type="dxa"/>
            <w:tcBorders>
              <w:top w:val="single" w:color="000000" w:sz="4" w:space="0"/>
            </w:tcBorders>
            <w:vAlign w:val="top"/>
          </w:tcPr>
          <w:p w14:paraId="545C11AA">
            <w:pPr>
              <w:rPr>
                <w:rFonts w:ascii="Arial"/>
                <w:sz w:val="21"/>
              </w:rPr>
            </w:pPr>
          </w:p>
        </w:tc>
        <w:tc>
          <w:tcPr>
            <w:tcW w:w="5826" w:type="dxa"/>
            <w:tcBorders>
              <w:top w:val="single" w:color="5B9BD5" w:sz="4" w:space="0"/>
              <w:right w:val="single" w:color="5B9BD5" w:sz="4" w:space="0"/>
            </w:tcBorders>
            <w:vAlign w:val="top"/>
          </w:tcPr>
          <w:p w14:paraId="6FD731B6">
            <w:pPr>
              <w:pStyle w:val="7"/>
              <w:spacing w:before="129" w:line="216" w:lineRule="auto"/>
              <w:ind w:left="66"/>
            </w:pPr>
            <w:r>
              <w:rPr>
                <w:spacing w:val="-24"/>
              </w:rPr>
              <w:t>（6）选用适当的焊接工艺参数，碱性焊条极性应采用直流反</w:t>
            </w:r>
          </w:p>
          <w:p w14:paraId="52E8C1C4">
            <w:pPr>
              <w:pStyle w:val="7"/>
              <w:spacing w:before="185" w:line="218" w:lineRule="auto"/>
              <w:ind w:left="734"/>
            </w:pPr>
            <w:r>
              <w:rPr>
                <w:spacing w:val="-22"/>
              </w:rPr>
              <w:t>接，电弧发生偏吹时，应及时调整焊接角度。</w:t>
            </w:r>
          </w:p>
        </w:tc>
      </w:tr>
      <w:tr w14:paraId="0E4FA1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83" w:hRule="atLeast"/>
        </w:trPr>
        <w:tc>
          <w:tcPr>
            <w:tcW w:w="1405" w:type="dxa"/>
            <w:gridSpan w:val="2"/>
            <w:tcBorders>
              <w:left w:val="single" w:color="000000" w:sz="4" w:space="0"/>
            </w:tcBorders>
            <w:vAlign w:val="top"/>
          </w:tcPr>
          <w:p w14:paraId="0B041874">
            <w:pPr>
              <w:spacing w:line="281" w:lineRule="auto"/>
              <w:rPr>
                <w:rFonts w:ascii="Arial"/>
                <w:sz w:val="21"/>
              </w:rPr>
            </w:pPr>
          </w:p>
          <w:p w14:paraId="4716DA6D">
            <w:pPr>
              <w:spacing w:line="281" w:lineRule="auto"/>
              <w:rPr>
                <w:rFonts w:ascii="Arial"/>
                <w:sz w:val="21"/>
              </w:rPr>
            </w:pPr>
          </w:p>
          <w:p w14:paraId="0F3748FD">
            <w:pPr>
              <w:spacing w:line="281" w:lineRule="auto"/>
              <w:rPr>
                <w:rFonts w:ascii="Arial"/>
                <w:sz w:val="21"/>
              </w:rPr>
            </w:pPr>
          </w:p>
          <w:p w14:paraId="235BDBC3">
            <w:pPr>
              <w:spacing w:line="282" w:lineRule="auto"/>
              <w:rPr>
                <w:rFonts w:ascii="Arial"/>
                <w:sz w:val="21"/>
              </w:rPr>
            </w:pPr>
          </w:p>
          <w:p w14:paraId="2F0796DD">
            <w:pPr>
              <w:spacing w:line="282" w:lineRule="auto"/>
              <w:rPr>
                <w:rFonts w:ascii="Arial"/>
                <w:sz w:val="21"/>
              </w:rPr>
            </w:pPr>
          </w:p>
          <w:p w14:paraId="172684CA">
            <w:pPr>
              <w:pStyle w:val="7"/>
              <w:spacing w:before="78" w:line="237" w:lineRule="auto"/>
              <w:ind w:left="664"/>
            </w:pPr>
            <w:r>
              <w:t>7</w:t>
            </w:r>
          </w:p>
        </w:tc>
        <w:tc>
          <w:tcPr>
            <w:tcW w:w="1842" w:type="dxa"/>
            <w:vAlign w:val="top"/>
          </w:tcPr>
          <w:p w14:paraId="4D1B54C2">
            <w:pPr>
              <w:spacing w:line="281" w:lineRule="auto"/>
              <w:rPr>
                <w:rFonts w:ascii="Arial"/>
                <w:sz w:val="21"/>
              </w:rPr>
            </w:pPr>
          </w:p>
          <w:p w14:paraId="15FC1B3D">
            <w:pPr>
              <w:spacing w:line="281" w:lineRule="auto"/>
              <w:rPr>
                <w:rFonts w:ascii="Arial"/>
                <w:sz w:val="21"/>
              </w:rPr>
            </w:pPr>
          </w:p>
          <w:p w14:paraId="32C4EBF7">
            <w:pPr>
              <w:spacing w:line="281" w:lineRule="auto"/>
              <w:rPr>
                <w:rFonts w:ascii="Arial"/>
                <w:sz w:val="21"/>
              </w:rPr>
            </w:pPr>
          </w:p>
          <w:p w14:paraId="05D5190C">
            <w:pPr>
              <w:spacing w:line="282" w:lineRule="auto"/>
              <w:rPr>
                <w:rFonts w:ascii="Arial"/>
                <w:sz w:val="21"/>
              </w:rPr>
            </w:pPr>
          </w:p>
          <w:p w14:paraId="4A3D48C8">
            <w:pPr>
              <w:spacing w:line="282" w:lineRule="auto"/>
              <w:rPr>
                <w:rFonts w:ascii="Arial"/>
                <w:sz w:val="21"/>
              </w:rPr>
            </w:pPr>
          </w:p>
          <w:p w14:paraId="4BA8F66F">
            <w:pPr>
              <w:pStyle w:val="7"/>
              <w:spacing w:before="78" w:line="218" w:lineRule="auto"/>
              <w:ind w:left="604"/>
            </w:pPr>
            <w:r>
              <w:rPr>
                <w:spacing w:val="-14"/>
              </w:rPr>
              <w:t>未焊透</w:t>
            </w:r>
          </w:p>
        </w:tc>
        <w:tc>
          <w:tcPr>
            <w:tcW w:w="5826" w:type="dxa"/>
            <w:tcBorders>
              <w:right w:val="single" w:color="000000" w:sz="4" w:space="0"/>
            </w:tcBorders>
            <w:vAlign w:val="top"/>
          </w:tcPr>
          <w:p w14:paraId="65E8C6DF">
            <w:pPr>
              <w:pStyle w:val="7"/>
              <w:spacing w:before="92" w:line="217" w:lineRule="auto"/>
              <w:jc w:val="right"/>
            </w:pPr>
            <w:r>
              <w:rPr>
                <w:spacing w:val="-31"/>
              </w:rPr>
              <w:t>（1）根据规范要求控制坡口尺寸及组对间隙，彻底清理焊根，</w:t>
            </w:r>
          </w:p>
          <w:p w14:paraId="121B05F5">
            <w:pPr>
              <w:pStyle w:val="7"/>
              <w:spacing w:before="185" w:line="217" w:lineRule="auto"/>
              <w:ind w:left="2153"/>
            </w:pPr>
            <w:r>
              <w:rPr>
                <w:spacing w:val="-19"/>
              </w:rPr>
              <w:t>保证根部焊透。</w:t>
            </w:r>
          </w:p>
          <w:p w14:paraId="705F4E8D">
            <w:pPr>
              <w:pStyle w:val="7"/>
              <w:spacing w:before="186" w:line="216" w:lineRule="auto"/>
              <w:ind w:left="66"/>
            </w:pPr>
            <w:r>
              <w:rPr>
                <w:spacing w:val="-24"/>
              </w:rPr>
              <w:t>（2）遵守焊接工艺，选择合理的焊接电流、运条角度及焊接</w:t>
            </w:r>
          </w:p>
          <w:p w14:paraId="4FC508CF">
            <w:pPr>
              <w:pStyle w:val="7"/>
              <w:spacing w:before="184" w:line="216" w:lineRule="auto"/>
              <w:ind w:left="80"/>
            </w:pPr>
            <w:r>
              <w:rPr>
                <w:spacing w:val="-21"/>
              </w:rPr>
              <w:t>速度，并注意根部熔化铁水，使用偏心焊条时，应注意调整</w:t>
            </w:r>
          </w:p>
          <w:p w14:paraId="0FFB0C0B">
            <w:pPr>
              <w:pStyle w:val="7"/>
              <w:spacing w:before="187" w:line="218" w:lineRule="auto"/>
              <w:ind w:left="1281"/>
            </w:pPr>
            <w:r>
              <w:rPr>
                <w:spacing w:val="-21"/>
              </w:rPr>
              <w:t>焊接角度，使电弧处于正确方向。</w:t>
            </w:r>
          </w:p>
          <w:p w14:paraId="7956D4DD">
            <w:pPr>
              <w:pStyle w:val="7"/>
              <w:spacing w:before="183" w:line="217" w:lineRule="auto"/>
              <w:ind w:left="66"/>
            </w:pPr>
            <w:r>
              <w:rPr>
                <w:spacing w:val="-24"/>
              </w:rPr>
              <w:t>（3）对于低合金钢材质，厚度大、导热快的母材，焊前一定</w:t>
            </w:r>
          </w:p>
          <w:p w14:paraId="413D62AC">
            <w:pPr>
              <w:pStyle w:val="7"/>
              <w:spacing w:before="186" w:line="219" w:lineRule="auto"/>
              <w:ind w:left="2483"/>
            </w:pPr>
            <w:r>
              <w:rPr>
                <w:spacing w:val="-16"/>
              </w:rPr>
              <w:t>要预热。</w:t>
            </w:r>
          </w:p>
        </w:tc>
      </w:tr>
      <w:tr w14:paraId="4A7C5E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17" w:hRule="atLeast"/>
        </w:trPr>
        <w:tc>
          <w:tcPr>
            <w:tcW w:w="1405" w:type="dxa"/>
            <w:gridSpan w:val="2"/>
            <w:tcBorders>
              <w:left w:val="single" w:color="000000" w:sz="4" w:space="0"/>
            </w:tcBorders>
            <w:vAlign w:val="top"/>
          </w:tcPr>
          <w:p w14:paraId="46FA3DA7">
            <w:pPr>
              <w:spacing w:line="294" w:lineRule="auto"/>
              <w:rPr>
                <w:rFonts w:ascii="Arial"/>
                <w:sz w:val="21"/>
              </w:rPr>
            </w:pPr>
          </w:p>
          <w:p w14:paraId="494BFC75">
            <w:pPr>
              <w:spacing w:line="295" w:lineRule="auto"/>
              <w:rPr>
                <w:rFonts w:ascii="Arial"/>
                <w:sz w:val="21"/>
              </w:rPr>
            </w:pPr>
          </w:p>
          <w:p w14:paraId="7CFB0BA8">
            <w:pPr>
              <w:spacing w:line="295" w:lineRule="auto"/>
              <w:rPr>
                <w:rFonts w:ascii="Arial"/>
                <w:sz w:val="21"/>
              </w:rPr>
            </w:pPr>
          </w:p>
          <w:p w14:paraId="20DE0FC9">
            <w:pPr>
              <w:spacing w:line="295" w:lineRule="auto"/>
              <w:rPr>
                <w:rFonts w:ascii="Arial"/>
                <w:sz w:val="21"/>
              </w:rPr>
            </w:pPr>
          </w:p>
          <w:p w14:paraId="43775818">
            <w:pPr>
              <w:pStyle w:val="7"/>
              <w:spacing w:before="78" w:line="237" w:lineRule="auto"/>
              <w:ind w:left="659"/>
            </w:pPr>
            <w:r>
              <w:t>8</w:t>
            </w:r>
          </w:p>
        </w:tc>
        <w:tc>
          <w:tcPr>
            <w:tcW w:w="1842" w:type="dxa"/>
            <w:vAlign w:val="top"/>
          </w:tcPr>
          <w:p w14:paraId="79841781">
            <w:pPr>
              <w:spacing w:line="295" w:lineRule="auto"/>
              <w:rPr>
                <w:rFonts w:ascii="Arial"/>
                <w:sz w:val="21"/>
              </w:rPr>
            </w:pPr>
          </w:p>
          <w:p w14:paraId="422FB8F6">
            <w:pPr>
              <w:spacing w:line="295" w:lineRule="auto"/>
              <w:rPr>
                <w:rFonts w:ascii="Arial"/>
                <w:sz w:val="21"/>
              </w:rPr>
            </w:pPr>
          </w:p>
          <w:p w14:paraId="100FFAF0">
            <w:pPr>
              <w:spacing w:line="295" w:lineRule="auto"/>
              <w:rPr>
                <w:rFonts w:ascii="Arial"/>
                <w:sz w:val="21"/>
              </w:rPr>
            </w:pPr>
          </w:p>
          <w:p w14:paraId="2814BF1D">
            <w:pPr>
              <w:spacing w:line="295" w:lineRule="auto"/>
              <w:rPr>
                <w:rFonts w:ascii="Arial"/>
                <w:sz w:val="21"/>
              </w:rPr>
            </w:pPr>
          </w:p>
          <w:p w14:paraId="14ED650C">
            <w:pPr>
              <w:pStyle w:val="7"/>
              <w:spacing w:before="78" w:line="218" w:lineRule="auto"/>
              <w:ind w:left="604"/>
            </w:pPr>
            <w:r>
              <w:rPr>
                <w:spacing w:val="-14"/>
              </w:rPr>
              <w:t>未熔合</w:t>
            </w:r>
          </w:p>
        </w:tc>
        <w:tc>
          <w:tcPr>
            <w:tcW w:w="5826" w:type="dxa"/>
            <w:tcBorders>
              <w:right w:val="single" w:color="000000" w:sz="4" w:space="0"/>
            </w:tcBorders>
            <w:vAlign w:val="top"/>
          </w:tcPr>
          <w:p w14:paraId="6A2F631C">
            <w:pPr>
              <w:pStyle w:val="7"/>
              <w:spacing w:before="99" w:line="218" w:lineRule="auto"/>
              <w:ind w:left="66"/>
            </w:pPr>
            <w:r>
              <w:rPr>
                <w:spacing w:val="-24"/>
              </w:rPr>
              <w:t>（1）选用合理的焊接工艺参数，运条角度和速度应适当，坡</w:t>
            </w:r>
          </w:p>
          <w:p w14:paraId="10522039">
            <w:pPr>
              <w:pStyle w:val="7"/>
              <w:spacing w:before="182" w:line="217" w:lineRule="auto"/>
              <w:ind w:left="124"/>
            </w:pPr>
            <w:r>
              <w:rPr>
                <w:spacing w:val="-23"/>
              </w:rPr>
              <w:t>口边缘运条稍慢，停留稍长，使热量足以熔化母材和前一层</w:t>
            </w:r>
          </w:p>
          <w:p w14:paraId="1E02A7E9">
            <w:pPr>
              <w:pStyle w:val="7"/>
              <w:spacing w:before="185" w:line="218" w:lineRule="auto"/>
              <w:ind w:left="2371"/>
            </w:pPr>
            <w:r>
              <w:rPr>
                <w:spacing w:val="-20"/>
              </w:rPr>
              <w:t>焊缝金属。</w:t>
            </w:r>
          </w:p>
          <w:p w14:paraId="56A342D2">
            <w:pPr>
              <w:pStyle w:val="7"/>
              <w:spacing w:before="182" w:line="218" w:lineRule="auto"/>
              <w:ind w:left="136"/>
            </w:pPr>
            <w:r>
              <w:rPr>
                <w:spacing w:val="-21"/>
              </w:rPr>
              <w:t>（2）母材坡口内氧化铁及焊缝沟槽熔渣应清理干</w:t>
            </w:r>
            <w:r>
              <w:rPr>
                <w:spacing w:val="-22"/>
              </w:rPr>
              <w:t>净平整。</w:t>
            </w:r>
          </w:p>
          <w:p w14:paraId="762ADFC9">
            <w:pPr>
              <w:pStyle w:val="7"/>
              <w:spacing w:before="184" w:line="291" w:lineRule="auto"/>
              <w:ind w:left="2727" w:right="48" w:hanging="2661"/>
            </w:pPr>
            <w:r>
              <w:rPr>
                <w:spacing w:val="-25"/>
              </w:rPr>
              <w:t>（3）焊接中焊条有偏心时，应调整角度，使电弧处于正确方</w:t>
            </w:r>
            <w:r>
              <w:rPr>
                <w:spacing w:val="-26"/>
              </w:rPr>
              <w:t>向。</w:t>
            </w:r>
          </w:p>
        </w:tc>
      </w:tr>
      <w:tr w14:paraId="690F6D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1" w:hRule="atLeast"/>
        </w:trPr>
        <w:tc>
          <w:tcPr>
            <w:tcW w:w="356" w:type="dxa"/>
            <w:tcBorders>
              <w:left w:val="single" w:color="1C456A" w:sz="4" w:space="0"/>
              <w:bottom w:val="single" w:color="1C456A" w:sz="4" w:space="0"/>
              <w:right w:val="nil"/>
            </w:tcBorders>
            <w:vAlign w:val="top"/>
          </w:tcPr>
          <w:p w14:paraId="42462123">
            <w:pPr>
              <w:rPr>
                <w:rFonts w:ascii="Arial"/>
                <w:sz w:val="21"/>
              </w:rPr>
            </w:pPr>
            <w:r>
              <w:pict>
                <v:shape id="_x0000_s3585" o:spid="_x0000_s3585" style="position:absolute;left:0pt;margin-left:-0.25pt;margin-top:54.55pt;height:0.75pt;width:2.2pt;mso-position-horizontal-relative:page;mso-position-vertical-relative:page;z-index:252149760;mso-width-relative:page;mso-height-relative:page;" fillcolor="#5B9BD5" filled="t" stroked="f" coordsize="44,15" path="m0,14l43,14,43,0,0,0,0,14xe">
                  <v:path/>
                  <v:fill on="t" focussize="0,0"/>
                  <v:stroke on="f"/>
                  <v:imagedata o:title=""/>
                  <o:lock v:ext="edit"/>
                </v:shape>
              </w:pict>
            </w:r>
          </w:p>
        </w:tc>
        <w:tc>
          <w:tcPr>
            <w:tcW w:w="1049" w:type="dxa"/>
            <w:tcBorders>
              <w:left w:val="nil"/>
              <w:bottom w:val="single" w:color="1C456A" w:sz="4" w:space="0"/>
            </w:tcBorders>
            <w:vAlign w:val="top"/>
          </w:tcPr>
          <w:p w14:paraId="67B55754">
            <w:pPr>
              <w:spacing w:line="256" w:lineRule="auto"/>
              <w:rPr>
                <w:rFonts w:ascii="Arial"/>
                <w:sz w:val="21"/>
              </w:rPr>
            </w:pPr>
          </w:p>
          <w:p w14:paraId="0D0E913E">
            <w:pPr>
              <w:pStyle w:val="7"/>
              <w:spacing w:before="78" w:line="237" w:lineRule="auto"/>
              <w:ind w:left="308"/>
            </w:pPr>
            <w:r>
              <w:t>9</w:t>
            </w:r>
          </w:p>
        </w:tc>
        <w:tc>
          <w:tcPr>
            <w:tcW w:w="1842" w:type="dxa"/>
            <w:tcBorders>
              <w:bottom w:val="single" w:color="000000" w:sz="4" w:space="0"/>
            </w:tcBorders>
            <w:vAlign w:val="top"/>
          </w:tcPr>
          <w:p w14:paraId="73B4B18B">
            <w:pPr>
              <w:spacing w:line="255" w:lineRule="auto"/>
              <w:rPr>
                <w:rFonts w:ascii="Arial"/>
                <w:sz w:val="21"/>
              </w:rPr>
            </w:pPr>
          </w:p>
          <w:p w14:paraId="70E1A817">
            <w:pPr>
              <w:pStyle w:val="7"/>
              <w:spacing w:before="78" w:line="220" w:lineRule="auto"/>
              <w:ind w:left="714"/>
            </w:pPr>
            <w:r>
              <w:rPr>
                <w:spacing w:val="-9"/>
              </w:rPr>
              <w:t>裂纹</w:t>
            </w:r>
          </w:p>
        </w:tc>
        <w:tc>
          <w:tcPr>
            <w:tcW w:w="5826" w:type="dxa"/>
            <w:tcBorders>
              <w:bottom w:val="single" w:color="5B9BD5" w:sz="4" w:space="0"/>
              <w:right w:val="single" w:color="5B9BD5" w:sz="4" w:space="0"/>
            </w:tcBorders>
            <w:vAlign w:val="top"/>
          </w:tcPr>
          <w:p w14:paraId="7C433703">
            <w:pPr>
              <w:pStyle w:val="7"/>
              <w:spacing w:before="102" w:line="218" w:lineRule="auto"/>
              <w:ind w:left="112"/>
            </w:pPr>
            <w:r>
              <w:pict>
                <v:shape id="_x0000_s3586" o:spid="_x0000_s3586" style="position:absolute;left:0pt;margin-left:289.4pt;margin-top:54.55pt;height:0.75pt;width:2.2pt;mso-position-horizontal-relative:page;mso-position-vertical-relative:page;z-index:252148736;mso-width-relative:page;mso-height-relative:page;" fillcolor="#5B9BD5" filled="t" stroked="f" coordsize="44,15" path="m0,14l43,14,43,0,0,0,0,14xe">
                  <v:path/>
                  <v:fill on="t" focussize="0,0"/>
                  <v:stroke on="f"/>
                  <v:imagedata o:title=""/>
                  <o:lock v:ext="edit"/>
                </v:shape>
              </w:pict>
            </w:r>
            <w:r>
              <w:rPr>
                <w:spacing w:val="-23"/>
              </w:rPr>
              <w:t>由于裂缝的产生原因和形成机理的不同，下面就热裂缝</w:t>
            </w:r>
            <w:r>
              <w:rPr>
                <w:spacing w:val="-24"/>
              </w:rPr>
              <w:t>、冷</w:t>
            </w:r>
          </w:p>
          <w:p w14:paraId="5D54E3A1">
            <w:pPr>
              <w:pStyle w:val="7"/>
              <w:spacing w:before="182" w:line="219" w:lineRule="auto"/>
              <w:ind w:left="1172"/>
            </w:pPr>
            <w:r>
              <w:rPr>
                <w:spacing w:val="-21"/>
              </w:rPr>
              <w:t>裂缝和再热裂缝三类分别予以讨论。</w:t>
            </w:r>
          </w:p>
        </w:tc>
      </w:tr>
    </w:tbl>
    <w:p w14:paraId="37821E38">
      <w:pPr>
        <w:pStyle w:val="2"/>
        <w:spacing w:before="63" w:line="216" w:lineRule="auto"/>
        <w:ind w:left="3892"/>
        <w:outlineLvl w:val="1"/>
        <w:rPr>
          <w:sz w:val="30"/>
          <w:szCs w:val="30"/>
        </w:rPr>
      </w:pPr>
      <w:bookmarkStart w:id="161" w:name="bookmark154"/>
      <w:bookmarkEnd w:id="161"/>
      <w:r>
        <w:rPr>
          <w:b/>
          <w:bCs/>
          <w:color w:val="0070C0"/>
          <w:spacing w:val="-24"/>
          <w:sz w:val="30"/>
          <w:szCs w:val="30"/>
        </w:rPr>
        <w:t>第九节、材料和设备质量保证措施</w:t>
      </w:r>
    </w:p>
    <w:p w14:paraId="6E966021">
      <w:pPr>
        <w:pStyle w:val="2"/>
        <w:spacing w:before="67" w:line="216" w:lineRule="auto"/>
        <w:ind w:left="1981"/>
        <w:outlineLvl w:val="2"/>
        <w:rPr>
          <w:sz w:val="28"/>
          <w:szCs w:val="28"/>
        </w:rPr>
      </w:pPr>
      <w:bookmarkStart w:id="162" w:name="bookmark155"/>
      <w:bookmarkEnd w:id="162"/>
      <w:r>
        <w:rPr>
          <w:b/>
          <w:bCs/>
          <w:spacing w:val="-22"/>
          <w:sz w:val="28"/>
          <w:szCs w:val="28"/>
        </w:rPr>
        <w:t>一、原材料质量控制</w:t>
      </w:r>
    </w:p>
    <w:p w14:paraId="486A5880">
      <w:pPr>
        <w:pStyle w:val="2"/>
        <w:spacing w:before="105" w:line="308" w:lineRule="auto"/>
        <w:ind w:left="1458" w:right="1409" w:firstLine="439"/>
        <w:rPr>
          <w:sz w:val="24"/>
          <w:szCs w:val="24"/>
        </w:rPr>
      </w:pPr>
      <w:r>
        <w:rPr>
          <w:spacing w:val="-20"/>
          <w:sz w:val="24"/>
          <w:szCs w:val="24"/>
        </w:rPr>
        <w:t>原材料的质量是工程质量的基础，材料的质量不合格，则工程质量就不可能符合标准，因</w:t>
      </w:r>
      <w:r>
        <w:rPr>
          <w:spacing w:val="-21"/>
          <w:sz w:val="24"/>
          <w:szCs w:val="24"/>
        </w:rPr>
        <w:t>此，我们在施工中，要加强对原材料的质量控制。</w:t>
      </w:r>
    </w:p>
    <w:p w14:paraId="0CC4E4C6">
      <w:pPr>
        <w:pStyle w:val="2"/>
        <w:spacing w:line="216" w:lineRule="auto"/>
        <w:ind w:left="1903"/>
        <w:rPr>
          <w:sz w:val="24"/>
          <w:szCs w:val="24"/>
        </w:rPr>
      </w:pPr>
      <w:r>
        <w:rPr>
          <w:spacing w:val="-19"/>
          <w:sz w:val="24"/>
          <w:szCs w:val="24"/>
        </w:rPr>
        <w:t>1、原材料的选用</w:t>
      </w:r>
    </w:p>
    <w:p w14:paraId="34BAA073">
      <w:pPr>
        <w:pStyle w:val="2"/>
        <w:spacing w:before="117" w:line="309" w:lineRule="auto"/>
        <w:ind w:left="1460" w:right="1410" w:firstLine="437"/>
        <w:rPr>
          <w:sz w:val="24"/>
          <w:szCs w:val="24"/>
        </w:rPr>
      </w:pPr>
      <w:r>
        <w:rPr>
          <w:spacing w:val="-20"/>
          <w:sz w:val="24"/>
          <w:szCs w:val="24"/>
        </w:rPr>
        <w:t>原材料的选用原则上在建设单位指定的料场选材，但也要有选择性的优先选取质量优、级</w:t>
      </w:r>
      <w:r>
        <w:rPr>
          <w:spacing w:val="-22"/>
          <w:sz w:val="24"/>
          <w:szCs w:val="24"/>
        </w:rPr>
        <w:t>配好、规模大、料源足的场地。</w:t>
      </w:r>
    </w:p>
    <w:p w14:paraId="62186EC0">
      <w:pPr>
        <w:pStyle w:val="2"/>
        <w:spacing w:before="1" w:line="215" w:lineRule="auto"/>
        <w:ind w:left="1888"/>
        <w:rPr>
          <w:sz w:val="24"/>
          <w:szCs w:val="24"/>
        </w:rPr>
      </w:pPr>
      <w:r>
        <w:rPr>
          <w:spacing w:val="-19"/>
          <w:sz w:val="24"/>
          <w:szCs w:val="24"/>
        </w:rPr>
        <w:t>2、建立严格的原材料试验制度</w:t>
      </w:r>
    </w:p>
    <w:p w14:paraId="57417949">
      <w:pPr>
        <w:pStyle w:val="2"/>
        <w:spacing w:before="116" w:line="308" w:lineRule="auto"/>
        <w:ind w:left="1460" w:right="1414" w:firstLine="434"/>
        <w:rPr>
          <w:spacing w:val="-22"/>
          <w:sz w:val="24"/>
          <w:szCs w:val="24"/>
        </w:rPr>
      </w:pPr>
      <w:r>
        <w:rPr>
          <w:spacing w:val="-20"/>
          <w:sz w:val="24"/>
          <w:szCs w:val="24"/>
        </w:rPr>
        <w:t>进场的原材料，必须依相应的国家规定取样试验，对原材料的取样，必须注意其代表性，必须依试验规程规定的取样方式进行取样，即使是报验的材料检验合格，对同一批原材料仍须</w:t>
      </w:r>
      <w:r>
        <w:rPr>
          <w:spacing w:val="-21"/>
          <w:sz w:val="24"/>
          <w:szCs w:val="24"/>
        </w:rPr>
        <w:t>注意其质量的稳定性，发现可疑的材料应立即重</w:t>
      </w:r>
      <w:r>
        <w:rPr>
          <w:spacing w:val="-22"/>
          <w:sz w:val="24"/>
          <w:szCs w:val="24"/>
        </w:rPr>
        <w:t>新取样试验。</w:t>
      </w:r>
    </w:p>
    <w:p w14:paraId="7AC8D22C">
      <w:pPr>
        <w:pStyle w:val="2"/>
        <w:spacing w:before="116" w:line="308" w:lineRule="auto"/>
        <w:ind w:left="1460" w:right="1414" w:firstLine="434"/>
        <w:rPr>
          <w:rFonts w:hint="eastAsia"/>
          <w:spacing w:val="-22"/>
          <w:sz w:val="24"/>
          <w:szCs w:val="24"/>
        </w:rPr>
      </w:pPr>
      <w:r>
        <w:rPr>
          <w:rFonts w:hint="eastAsia"/>
          <w:spacing w:val="-22"/>
          <w:sz w:val="24"/>
          <w:szCs w:val="24"/>
          <w:lang w:val="en-US" w:eastAsia="zh-CN"/>
        </w:rPr>
        <w:t>原材料</w:t>
      </w:r>
      <w:r>
        <w:rPr>
          <w:rFonts w:hint="eastAsia"/>
          <w:spacing w:val="-22"/>
          <w:sz w:val="24"/>
          <w:szCs w:val="24"/>
        </w:rPr>
        <w:t>账务处理及报表：</w:t>
      </w:r>
    </w:p>
    <w:p w14:paraId="26D18506">
      <w:pPr>
        <w:pStyle w:val="2"/>
        <w:spacing w:before="116" w:line="308" w:lineRule="auto"/>
        <w:ind w:left="1460" w:right="1414" w:firstLine="434"/>
        <w:rPr>
          <w:rFonts w:hint="eastAsia"/>
          <w:spacing w:val="-22"/>
          <w:sz w:val="24"/>
          <w:szCs w:val="24"/>
        </w:rPr>
      </w:pPr>
      <w:r>
        <w:rPr>
          <w:rFonts w:hint="eastAsia"/>
          <w:spacing w:val="-22"/>
          <w:sz w:val="24"/>
          <w:szCs w:val="24"/>
        </w:rPr>
        <w:t>①仓库账簿记账原则是：简单、清楚、及时、准确。</w:t>
      </w:r>
    </w:p>
    <w:p w14:paraId="27C57C46">
      <w:pPr>
        <w:pStyle w:val="2"/>
        <w:spacing w:before="116" w:line="308" w:lineRule="auto"/>
        <w:ind w:left="1460" w:right="1414" w:firstLine="434"/>
        <w:rPr>
          <w:rFonts w:hint="eastAsia"/>
          <w:spacing w:val="-22"/>
          <w:sz w:val="24"/>
          <w:szCs w:val="24"/>
        </w:rPr>
      </w:pPr>
      <w:r>
        <w:rPr>
          <w:rFonts w:hint="eastAsia"/>
          <w:spacing w:val="-22"/>
          <w:sz w:val="24"/>
          <w:szCs w:val="24"/>
        </w:rPr>
        <w:t>②为便于记账和便于查找，记账人员必须按十五大类分类记账。</w:t>
      </w:r>
    </w:p>
    <w:p w14:paraId="6EC14180">
      <w:pPr>
        <w:pStyle w:val="2"/>
        <w:spacing w:before="116" w:line="308" w:lineRule="auto"/>
        <w:ind w:left="1460" w:right="1414" w:firstLine="434"/>
        <w:rPr>
          <w:rFonts w:hint="eastAsia"/>
          <w:spacing w:val="-22"/>
          <w:sz w:val="24"/>
          <w:szCs w:val="24"/>
        </w:rPr>
      </w:pPr>
      <w:r>
        <w:rPr>
          <w:rFonts w:hint="eastAsia"/>
          <w:spacing w:val="-22"/>
          <w:sz w:val="24"/>
          <w:szCs w:val="24"/>
        </w:rPr>
        <w:t>③记账时必须按先后顺序详细记录。</w:t>
      </w:r>
    </w:p>
    <w:p w14:paraId="3FF5C18D">
      <w:pPr>
        <w:pStyle w:val="2"/>
        <w:spacing w:before="116" w:line="308" w:lineRule="auto"/>
        <w:ind w:left="1460" w:right="1414" w:firstLine="434"/>
        <w:rPr>
          <w:rFonts w:hint="eastAsia"/>
          <w:spacing w:val="-22"/>
          <w:sz w:val="24"/>
          <w:szCs w:val="24"/>
        </w:rPr>
      </w:pPr>
      <w:r>
        <w:rPr>
          <w:rFonts w:hint="eastAsia"/>
          <w:spacing w:val="-22"/>
          <w:sz w:val="24"/>
          <w:szCs w:val="24"/>
        </w:rPr>
        <w:t>④所有账务票据资料必须清楚、准确、及时、不得出现后补、涂改等情况。</w:t>
      </w:r>
    </w:p>
    <w:p w14:paraId="043E662E">
      <w:pPr>
        <w:pStyle w:val="2"/>
        <w:spacing w:before="116" w:line="308" w:lineRule="auto"/>
        <w:ind w:left="1460" w:right="1414" w:firstLine="434"/>
        <w:rPr>
          <w:rFonts w:hint="eastAsia"/>
          <w:spacing w:val="-22"/>
          <w:sz w:val="24"/>
          <w:szCs w:val="24"/>
        </w:rPr>
      </w:pPr>
      <w:r>
        <w:rPr>
          <w:rFonts w:hint="eastAsia"/>
          <w:spacing w:val="-22"/>
          <w:sz w:val="24"/>
          <w:szCs w:val="24"/>
        </w:rPr>
        <w:t>⑤工具类物资不做出库处理，只做领用手续，单独建立台账及报表。</w:t>
      </w:r>
    </w:p>
    <w:p w14:paraId="2434C647">
      <w:pPr>
        <w:pStyle w:val="2"/>
        <w:spacing w:before="116" w:line="308" w:lineRule="auto"/>
        <w:ind w:left="1460" w:right="1414" w:firstLine="434"/>
        <w:rPr>
          <w:rFonts w:hint="eastAsia"/>
          <w:spacing w:val="-22"/>
          <w:sz w:val="24"/>
          <w:szCs w:val="24"/>
        </w:rPr>
      </w:pPr>
      <w:r>
        <w:rPr>
          <w:rFonts w:hint="eastAsia"/>
          <w:spacing w:val="-22"/>
          <w:sz w:val="24"/>
          <w:szCs w:val="24"/>
        </w:rPr>
        <w:t>4、地材由物资分公司限价后项目部自行购买，但出入库及报账必须由库房管理人员做登记报账处理。</w:t>
      </w:r>
    </w:p>
    <w:p w14:paraId="024C7E61">
      <w:pPr>
        <w:pStyle w:val="2"/>
        <w:spacing w:before="116" w:line="308" w:lineRule="auto"/>
        <w:ind w:left="1460" w:right="1414" w:firstLine="434"/>
        <w:rPr>
          <w:rFonts w:hint="eastAsia"/>
          <w:spacing w:val="-22"/>
          <w:sz w:val="24"/>
          <w:szCs w:val="24"/>
        </w:rPr>
      </w:pPr>
      <w:r>
        <w:rPr>
          <w:rFonts w:hint="eastAsia"/>
          <w:spacing w:val="-22"/>
          <w:sz w:val="24"/>
          <w:szCs w:val="24"/>
        </w:rPr>
        <w:t>5、每月底按单项工程统计主材报表（主材：钢材、砂子、石子、水泥、砖、白灰、木材、卷材；矿建主材：钢材、砂子、石子、水泥、木材、锚杆、网片、锚锁）。</w:t>
      </w:r>
    </w:p>
    <w:p w14:paraId="72F4CBBD">
      <w:pPr>
        <w:pStyle w:val="2"/>
        <w:spacing w:before="116" w:line="308" w:lineRule="auto"/>
        <w:ind w:left="1460" w:right="1414" w:firstLine="434"/>
        <w:rPr>
          <w:rFonts w:hint="eastAsia"/>
          <w:spacing w:val="-22"/>
          <w:sz w:val="24"/>
          <w:szCs w:val="24"/>
        </w:rPr>
      </w:pPr>
      <w:r>
        <w:rPr>
          <w:rFonts w:hint="eastAsia"/>
          <w:spacing w:val="-22"/>
          <w:sz w:val="24"/>
          <w:szCs w:val="24"/>
        </w:rPr>
        <w:t>6、凡进入机械费、安全费用的物资不做出库处理，单独建立台帐及报表。</w:t>
      </w:r>
    </w:p>
    <w:p w14:paraId="6C1BFF08">
      <w:pPr>
        <w:pStyle w:val="2"/>
        <w:spacing w:before="116" w:line="308" w:lineRule="auto"/>
        <w:ind w:left="1460" w:right="1414" w:firstLine="434"/>
        <w:rPr>
          <w:rFonts w:hint="eastAsia"/>
          <w:spacing w:val="-22"/>
          <w:sz w:val="24"/>
          <w:szCs w:val="24"/>
        </w:rPr>
      </w:pPr>
      <w:r>
        <w:rPr>
          <w:rFonts w:hint="eastAsia"/>
          <w:spacing w:val="-22"/>
          <w:sz w:val="24"/>
          <w:szCs w:val="24"/>
        </w:rPr>
        <w:t>7、工具类物资不做出库处理，只做领用手续（属于以旧换新的必须以旧换新），并单独建立台帐和报表。</w:t>
      </w:r>
    </w:p>
    <w:p w14:paraId="2FDF0D94">
      <w:pPr>
        <w:pStyle w:val="2"/>
        <w:spacing w:before="116" w:line="308" w:lineRule="auto"/>
        <w:ind w:left="1460" w:right="1414" w:firstLine="434"/>
        <w:rPr>
          <w:rFonts w:hint="eastAsia"/>
          <w:spacing w:val="-22"/>
          <w:sz w:val="24"/>
          <w:szCs w:val="24"/>
        </w:rPr>
      </w:pPr>
      <w:r>
        <w:rPr>
          <w:rFonts w:hint="eastAsia"/>
          <w:spacing w:val="-22"/>
          <w:sz w:val="24"/>
          <w:szCs w:val="24"/>
        </w:rPr>
        <w:t>8、每月必须按照规定时间报账、挂账并出具相应的报表。</w:t>
      </w:r>
    </w:p>
    <w:p w14:paraId="4E671EDC">
      <w:pPr>
        <w:pStyle w:val="2"/>
        <w:spacing w:before="116" w:line="308" w:lineRule="auto"/>
        <w:ind w:left="1460" w:right="1414" w:firstLine="434"/>
        <w:rPr>
          <w:rFonts w:hint="eastAsia"/>
          <w:spacing w:val="-22"/>
          <w:sz w:val="24"/>
          <w:szCs w:val="24"/>
        </w:rPr>
      </w:pPr>
      <w:r>
        <w:rPr>
          <w:rFonts w:hint="eastAsia"/>
          <w:spacing w:val="-22"/>
          <w:sz w:val="24"/>
          <w:szCs w:val="24"/>
        </w:rPr>
        <w:t>余料退库</w:t>
      </w:r>
    </w:p>
    <w:p w14:paraId="097527DC">
      <w:pPr>
        <w:pStyle w:val="2"/>
        <w:spacing w:before="116" w:line="308" w:lineRule="auto"/>
        <w:ind w:left="1460" w:right="1414" w:firstLine="434"/>
        <w:rPr>
          <w:rFonts w:hint="eastAsia"/>
          <w:spacing w:val="-22"/>
          <w:sz w:val="24"/>
          <w:szCs w:val="24"/>
        </w:rPr>
      </w:pPr>
      <w:r>
        <w:rPr>
          <w:rFonts w:hint="eastAsia"/>
          <w:spacing w:val="-22"/>
          <w:sz w:val="24"/>
          <w:szCs w:val="24"/>
        </w:rPr>
        <w:t>1、项目经理、施工员和仓管员要要求施工人员将余料、边角料和废料退还给仓管员,由仓管员统-保管,未经公司同意不得私自处理。</w:t>
      </w:r>
    </w:p>
    <w:p w14:paraId="399F7BBE">
      <w:pPr>
        <w:pStyle w:val="2"/>
        <w:spacing w:before="116" w:line="308" w:lineRule="auto"/>
        <w:ind w:left="1460" w:right="1414" w:firstLine="434"/>
        <w:rPr>
          <w:rFonts w:hint="eastAsia"/>
          <w:spacing w:val="-22"/>
          <w:sz w:val="24"/>
          <w:szCs w:val="24"/>
        </w:rPr>
      </w:pPr>
      <w:r>
        <w:rPr>
          <w:rFonts w:hint="eastAsia"/>
          <w:spacing w:val="-22"/>
          <w:sz w:val="24"/>
          <w:szCs w:val="24"/>
        </w:rPr>
        <w:t>2、施工员退料时要办好退料手续。</w:t>
      </w:r>
    </w:p>
    <w:p w14:paraId="2B13907A">
      <w:pPr>
        <w:pStyle w:val="2"/>
        <w:spacing w:before="116" w:line="308" w:lineRule="auto"/>
        <w:ind w:left="1460" w:right="1414" w:firstLine="434"/>
        <w:rPr>
          <w:rFonts w:hint="eastAsia"/>
          <w:spacing w:val="-22"/>
          <w:sz w:val="24"/>
          <w:szCs w:val="24"/>
        </w:rPr>
      </w:pPr>
      <w:r>
        <w:rPr>
          <w:rFonts w:hint="eastAsia"/>
          <w:spacing w:val="-22"/>
          <w:sz w:val="24"/>
          <w:szCs w:val="24"/>
        </w:rPr>
        <w:t>3、仓管员要建立边角料和废料明细表。</w:t>
      </w:r>
    </w:p>
    <w:p w14:paraId="0A4F6B86">
      <w:pPr>
        <w:pStyle w:val="2"/>
        <w:spacing w:before="116" w:line="308" w:lineRule="auto"/>
        <w:ind w:left="1460" w:right="1414" w:firstLine="434"/>
        <w:rPr>
          <w:rFonts w:hint="eastAsia"/>
          <w:spacing w:val="-22"/>
          <w:sz w:val="24"/>
          <w:szCs w:val="24"/>
        </w:rPr>
      </w:pPr>
      <w:r>
        <w:rPr>
          <w:rFonts w:hint="eastAsia"/>
          <w:spacing w:val="-22"/>
          <w:sz w:val="24"/>
          <w:szCs w:val="24"/>
        </w:rPr>
        <w:t>边角料、废料处理</w:t>
      </w:r>
    </w:p>
    <w:p w14:paraId="35F18E1F">
      <w:pPr>
        <w:pStyle w:val="2"/>
        <w:spacing w:before="116" w:line="308" w:lineRule="auto"/>
        <w:ind w:left="1460" w:right="1414" w:firstLine="434"/>
        <w:rPr>
          <w:rFonts w:hint="eastAsia"/>
          <w:spacing w:val="-22"/>
          <w:sz w:val="24"/>
          <w:szCs w:val="24"/>
        </w:rPr>
      </w:pPr>
      <w:r>
        <w:rPr>
          <w:rFonts w:hint="eastAsia"/>
          <w:spacing w:val="-22"/>
          <w:sz w:val="24"/>
          <w:szCs w:val="24"/>
        </w:rPr>
        <w:t>1、边角料、废料在出售前要编写废料明细表,经项目经理和工程管理中心批准后,由施工员和仓管员共同在场监督变卖。</w:t>
      </w:r>
    </w:p>
    <w:p w14:paraId="14C2A3F4">
      <w:pPr>
        <w:pStyle w:val="2"/>
        <w:spacing w:before="116" w:line="308" w:lineRule="auto"/>
        <w:ind w:left="1460" w:right="1414" w:firstLine="434"/>
        <w:rPr>
          <w:rFonts w:hint="eastAsia"/>
          <w:spacing w:val="-22"/>
          <w:sz w:val="24"/>
          <w:szCs w:val="24"/>
        </w:rPr>
      </w:pPr>
      <w:r>
        <w:rPr>
          <w:rFonts w:hint="eastAsia"/>
          <w:spacing w:val="-22"/>
          <w:sz w:val="24"/>
          <w:szCs w:val="24"/>
        </w:rPr>
        <w:t>2、收回材料变卖款要交回财务部。</w:t>
      </w:r>
    </w:p>
    <w:p w14:paraId="33E359C6">
      <w:pPr>
        <w:pStyle w:val="2"/>
        <w:spacing w:before="116" w:line="308" w:lineRule="auto"/>
        <w:ind w:left="1460" w:right="1414" w:firstLine="434"/>
        <w:rPr>
          <w:rFonts w:hint="eastAsia"/>
          <w:spacing w:val="-22"/>
          <w:sz w:val="24"/>
          <w:szCs w:val="24"/>
        </w:rPr>
      </w:pPr>
      <w:r>
        <w:rPr>
          <w:rFonts w:hint="eastAsia"/>
          <w:spacing w:val="-22"/>
          <w:sz w:val="24"/>
          <w:szCs w:val="24"/>
        </w:rPr>
        <w:t>出入登记制度</w:t>
      </w:r>
    </w:p>
    <w:p w14:paraId="7A570553">
      <w:pPr>
        <w:pStyle w:val="2"/>
        <w:spacing w:before="116" w:line="308" w:lineRule="auto"/>
        <w:ind w:left="1460" w:right="1414" w:firstLine="434"/>
        <w:rPr>
          <w:rFonts w:hint="eastAsia"/>
          <w:spacing w:val="-22"/>
          <w:sz w:val="24"/>
          <w:szCs w:val="24"/>
        </w:rPr>
      </w:pPr>
      <w:r>
        <w:rPr>
          <w:rFonts w:hint="eastAsia"/>
          <w:spacing w:val="-22"/>
          <w:sz w:val="24"/>
          <w:szCs w:val="24"/>
        </w:rPr>
        <w:t>1、凡出入库的材料均应按照出入库登记表进行登记,登记时要根据入库单和领料单如实登记。杜绝舞弊现象,否则-经发现严重处罚。</w:t>
      </w:r>
    </w:p>
    <w:p w14:paraId="55CBDB68">
      <w:pPr>
        <w:pStyle w:val="2"/>
        <w:spacing w:before="116" w:line="308" w:lineRule="auto"/>
        <w:ind w:left="1460" w:right="1414" w:firstLine="434"/>
        <w:rPr>
          <w:rFonts w:hint="eastAsia"/>
          <w:spacing w:val="-22"/>
          <w:sz w:val="24"/>
          <w:szCs w:val="24"/>
        </w:rPr>
      </w:pPr>
      <w:r>
        <w:rPr>
          <w:rFonts w:hint="eastAsia"/>
          <w:spacing w:val="-22"/>
          <w:sz w:val="24"/>
          <w:szCs w:val="24"/>
        </w:rPr>
        <w:t>2、出入库登记表是每月盘点的主要依据,-定要严格按照要求填写,字体要清晰,并要严格保管,不能遗失。</w:t>
      </w:r>
    </w:p>
    <w:p w14:paraId="6D99ED54">
      <w:pPr>
        <w:pStyle w:val="2"/>
        <w:spacing w:before="116" w:line="308" w:lineRule="auto"/>
        <w:ind w:left="1460" w:right="1414" w:firstLine="434"/>
        <w:rPr>
          <w:rFonts w:hint="eastAsia"/>
          <w:spacing w:val="-22"/>
          <w:sz w:val="24"/>
          <w:szCs w:val="24"/>
        </w:rPr>
      </w:pPr>
      <w:r>
        <w:rPr>
          <w:rFonts w:hint="eastAsia"/>
          <w:spacing w:val="-22"/>
          <w:sz w:val="24"/>
          <w:szCs w:val="24"/>
        </w:rPr>
        <w:t>3、材料出入库必须在出入库当天登记台账。</w:t>
      </w:r>
    </w:p>
    <w:p w14:paraId="70FB172F">
      <w:pPr>
        <w:pStyle w:val="2"/>
        <w:spacing w:before="116" w:line="308" w:lineRule="auto"/>
        <w:ind w:left="1460" w:right="1414" w:firstLine="434"/>
        <w:rPr>
          <w:rFonts w:hint="eastAsia"/>
          <w:spacing w:val="-22"/>
          <w:sz w:val="24"/>
          <w:szCs w:val="24"/>
        </w:rPr>
      </w:pPr>
      <w:r>
        <w:rPr>
          <w:rFonts w:hint="eastAsia"/>
          <w:spacing w:val="-22"/>
          <w:sz w:val="24"/>
          <w:szCs w:val="24"/>
        </w:rPr>
        <w:t>4、严禁随意修改台账。</w:t>
      </w:r>
    </w:p>
    <w:p w14:paraId="01C4C921">
      <w:pPr>
        <w:pStyle w:val="2"/>
        <w:spacing w:before="116" w:line="308" w:lineRule="auto"/>
        <w:ind w:left="1460" w:right="1414" w:firstLine="434"/>
        <w:rPr>
          <w:rFonts w:hint="eastAsia"/>
          <w:spacing w:val="-22"/>
          <w:sz w:val="24"/>
          <w:szCs w:val="24"/>
        </w:rPr>
      </w:pPr>
      <w:r>
        <w:rPr>
          <w:rFonts w:hint="eastAsia"/>
          <w:spacing w:val="-22"/>
          <w:sz w:val="24"/>
          <w:szCs w:val="24"/>
        </w:rPr>
        <w:t>现场材料盘点，</w:t>
      </w:r>
    </w:p>
    <w:p w14:paraId="3E79EEA1">
      <w:pPr>
        <w:pStyle w:val="2"/>
        <w:spacing w:before="116" w:line="308" w:lineRule="auto"/>
        <w:ind w:left="1460" w:right="1414" w:firstLine="434"/>
        <w:rPr>
          <w:rFonts w:hint="eastAsia"/>
          <w:spacing w:val="-22"/>
          <w:sz w:val="24"/>
          <w:szCs w:val="24"/>
        </w:rPr>
      </w:pPr>
      <w:r>
        <w:rPr>
          <w:rFonts w:hint="eastAsia"/>
          <w:spacing w:val="-22"/>
          <w:sz w:val="24"/>
          <w:szCs w:val="24"/>
        </w:rPr>
        <w:t>1、仓管员必须做到现场库存材料账实相符,两周需盘点-次。</w:t>
      </w:r>
    </w:p>
    <w:p w14:paraId="186E9DE6">
      <w:pPr>
        <w:pStyle w:val="2"/>
        <w:spacing w:before="116" w:line="308" w:lineRule="auto"/>
        <w:ind w:left="1460" w:right="1414" w:firstLine="434"/>
        <w:rPr>
          <w:rFonts w:hint="eastAsia"/>
          <w:spacing w:val="-22"/>
          <w:sz w:val="24"/>
          <w:szCs w:val="24"/>
        </w:rPr>
      </w:pPr>
      <w:r>
        <w:rPr>
          <w:rFonts w:hint="eastAsia"/>
          <w:spacing w:val="-22"/>
          <w:sz w:val="24"/>
          <w:szCs w:val="24"/>
        </w:rPr>
        <w:t>2、财务人员根据工作安排,可随时抽盘现场材料。</w:t>
      </w:r>
    </w:p>
    <w:p w14:paraId="31CC2285">
      <w:pPr>
        <w:pStyle w:val="2"/>
        <w:spacing w:before="116" w:line="308" w:lineRule="auto"/>
        <w:ind w:left="1460" w:right="1414" w:firstLine="434"/>
        <w:rPr>
          <w:rFonts w:hint="eastAsia"/>
          <w:spacing w:val="-22"/>
          <w:sz w:val="24"/>
          <w:szCs w:val="24"/>
        </w:rPr>
      </w:pPr>
      <w:r>
        <w:rPr>
          <w:rFonts w:hint="eastAsia"/>
          <w:spacing w:val="-22"/>
          <w:sz w:val="24"/>
          <w:szCs w:val="24"/>
        </w:rPr>
        <w:t>奖惩规定</w:t>
      </w:r>
    </w:p>
    <w:p w14:paraId="4597ADBA">
      <w:pPr>
        <w:pStyle w:val="2"/>
        <w:spacing w:before="116" w:line="308" w:lineRule="auto"/>
        <w:ind w:left="1460" w:right="1414" w:firstLine="434"/>
        <w:rPr>
          <w:rFonts w:hint="eastAsia"/>
          <w:spacing w:val="-22"/>
          <w:sz w:val="24"/>
          <w:szCs w:val="24"/>
        </w:rPr>
      </w:pPr>
      <w:r>
        <w:rPr>
          <w:rFonts w:hint="eastAsia"/>
          <w:spacing w:val="-22"/>
          <w:sz w:val="24"/>
          <w:szCs w:val="24"/>
        </w:rPr>
        <w:t>1、吃回扣、多开收据或发票都是违法行为,凡经查实,处以10倍罚款,严重的移交司法机关处。</w:t>
      </w:r>
    </w:p>
    <w:p w14:paraId="1E9F516D">
      <w:pPr>
        <w:pStyle w:val="2"/>
        <w:spacing w:before="116" w:line="308" w:lineRule="auto"/>
        <w:ind w:left="1460" w:right="1414" w:firstLine="434"/>
        <w:rPr>
          <w:rFonts w:hint="eastAsia"/>
          <w:spacing w:val="-22"/>
          <w:sz w:val="24"/>
          <w:szCs w:val="24"/>
        </w:rPr>
      </w:pPr>
      <w:r>
        <w:rPr>
          <w:rFonts w:hint="eastAsia"/>
          <w:spacing w:val="-22"/>
          <w:sz w:val="24"/>
          <w:szCs w:val="24"/>
        </w:rPr>
        <w:t>2、凡发现工地材料浪费现象,当事人按材料价格处罚。</w:t>
      </w:r>
    </w:p>
    <w:p w14:paraId="0FF2EA16">
      <w:pPr>
        <w:pStyle w:val="2"/>
        <w:spacing w:before="116" w:line="308" w:lineRule="auto"/>
        <w:ind w:left="1460" w:right="1414" w:firstLine="434"/>
        <w:rPr>
          <w:spacing w:val="-22"/>
          <w:sz w:val="24"/>
          <w:szCs w:val="24"/>
        </w:rPr>
      </w:pPr>
      <w:r>
        <w:rPr>
          <w:rFonts w:hint="eastAsia"/>
          <w:spacing w:val="-22"/>
          <w:sz w:val="24"/>
          <w:szCs w:val="24"/>
        </w:rPr>
        <w:t>3、凡发现舞弊或偷窃行为按材料价格5倍处罚。</w:t>
      </w:r>
    </w:p>
    <w:p w14:paraId="213CBF13">
      <w:pPr>
        <w:pStyle w:val="2"/>
        <w:spacing w:before="1" w:line="215" w:lineRule="auto"/>
        <w:ind w:left="1890"/>
        <w:rPr>
          <w:sz w:val="24"/>
          <w:szCs w:val="24"/>
        </w:rPr>
      </w:pPr>
      <w:r>
        <w:rPr>
          <w:spacing w:val="-20"/>
          <w:sz w:val="24"/>
          <w:szCs w:val="24"/>
        </w:rPr>
        <w:t>3、选择有资质的技术力量强的试验室</w:t>
      </w:r>
    </w:p>
    <w:p w14:paraId="32880F79">
      <w:pPr>
        <w:pStyle w:val="2"/>
        <w:spacing w:before="120" w:line="216" w:lineRule="auto"/>
        <w:ind w:left="1895"/>
        <w:rPr>
          <w:sz w:val="24"/>
          <w:szCs w:val="24"/>
        </w:rPr>
      </w:pPr>
      <w:r>
        <w:rPr>
          <w:spacing w:val="-22"/>
          <w:sz w:val="24"/>
          <w:szCs w:val="24"/>
        </w:rPr>
        <w:t>如果我公司中标，我们将选择资质优质的实验室进行各种材料试验。</w:t>
      </w:r>
    </w:p>
    <w:p w14:paraId="68692D29">
      <w:pPr>
        <w:pStyle w:val="2"/>
        <w:spacing w:before="120" w:line="216" w:lineRule="auto"/>
        <w:ind w:left="1884"/>
        <w:rPr>
          <w:sz w:val="24"/>
          <w:szCs w:val="24"/>
        </w:rPr>
      </w:pPr>
      <w:r>
        <w:rPr>
          <w:spacing w:val="-21"/>
          <w:sz w:val="24"/>
          <w:szCs w:val="24"/>
        </w:rPr>
        <w:t>4、施工材料的质量，尤其是用于结构施工的材料质量</w:t>
      </w:r>
      <w:r>
        <w:rPr>
          <w:spacing w:val="-22"/>
          <w:sz w:val="24"/>
          <w:szCs w:val="24"/>
        </w:rPr>
        <w:t>，将会直接影响到整个工程结构的安</w:t>
      </w:r>
    </w:p>
    <w:p w14:paraId="71E90DF2">
      <w:pPr>
        <w:spacing w:line="216" w:lineRule="auto"/>
        <w:rPr>
          <w:sz w:val="24"/>
          <w:szCs w:val="24"/>
        </w:rPr>
        <w:sectPr>
          <w:footerReference r:id="rId237" w:type="default"/>
          <w:pgSz w:w="11907" w:h="16839"/>
          <w:pgMar w:top="954" w:right="4" w:bottom="1038" w:left="0" w:header="499" w:footer="357" w:gutter="0"/>
          <w:pgBorders>
            <w:top w:val="none" w:sz="0" w:space="0"/>
            <w:left w:val="none" w:sz="0" w:space="0"/>
            <w:bottom w:val="none" w:sz="0" w:space="0"/>
            <w:right w:val="none" w:sz="0" w:space="0"/>
          </w:pgBorders>
          <w:cols w:space="720" w:num="1"/>
        </w:sectPr>
      </w:pPr>
    </w:p>
    <w:p w14:paraId="1DF60748">
      <w:pPr>
        <w:spacing w:line="248" w:lineRule="auto"/>
        <w:rPr>
          <w:rFonts w:ascii="Arial"/>
          <w:sz w:val="21"/>
        </w:rPr>
      </w:pPr>
    </w:p>
    <w:p w14:paraId="4810C45D">
      <w:pPr>
        <w:pStyle w:val="2"/>
        <w:spacing w:before="78" w:line="308" w:lineRule="auto"/>
        <w:ind w:left="1431" w:right="1342" w:firstLine="30"/>
        <w:jc w:val="both"/>
        <w:rPr>
          <w:sz w:val="24"/>
          <w:szCs w:val="24"/>
        </w:rPr>
      </w:pPr>
      <w:r>
        <w:rPr>
          <w:spacing w:val="-20"/>
          <w:sz w:val="24"/>
          <w:szCs w:val="24"/>
        </w:rPr>
        <w:t>全，为保证材料质量，要求材料部门严格按有关文件、规定及相关质量体系文件进行操作及管</w:t>
      </w:r>
      <w:r>
        <w:rPr>
          <w:spacing w:val="-23"/>
          <w:sz w:val="24"/>
          <w:szCs w:val="24"/>
        </w:rPr>
        <w:t>理。对采购的原材料构（配）件、半成品等，均要建立完善的验收及送检制度，做到“四检”、</w:t>
      </w:r>
      <w:r>
        <w:rPr>
          <w:spacing w:val="-19"/>
          <w:sz w:val="24"/>
          <w:szCs w:val="24"/>
        </w:rPr>
        <w:t>“三把关”。即“验规格、验品种、验数量、验质量”、“材料验收人员把</w:t>
      </w:r>
      <w:r>
        <w:rPr>
          <w:spacing w:val="-20"/>
          <w:sz w:val="24"/>
          <w:szCs w:val="24"/>
        </w:rPr>
        <w:t>关、技术质量试验</w:t>
      </w:r>
      <w:r>
        <w:rPr>
          <w:spacing w:val="-19"/>
          <w:sz w:val="24"/>
          <w:szCs w:val="24"/>
        </w:rPr>
        <w:t>人员把关、操作人员把关”，杜绝不合格材料进入现场，更不允许不合格材料</w:t>
      </w:r>
      <w:r>
        <w:rPr>
          <w:spacing w:val="-20"/>
          <w:sz w:val="24"/>
          <w:szCs w:val="24"/>
        </w:rPr>
        <w:t>用于施工，以保证用于本工程上的各种材料均是合格优质的材料。</w:t>
      </w:r>
    </w:p>
    <w:p w14:paraId="087FC91E">
      <w:pPr>
        <w:pStyle w:val="2"/>
        <w:spacing w:before="4" w:line="307" w:lineRule="auto"/>
        <w:ind w:left="1455" w:right="1343" w:firstLine="439"/>
        <w:jc w:val="both"/>
        <w:rPr>
          <w:sz w:val="24"/>
          <w:szCs w:val="24"/>
        </w:rPr>
      </w:pPr>
      <w:r>
        <w:rPr>
          <w:spacing w:val="-23"/>
          <w:sz w:val="24"/>
          <w:szCs w:val="24"/>
        </w:rPr>
        <w:t>在材料进场时，一定要求供应商随货提供产品的出</w:t>
      </w:r>
      <w:r>
        <w:rPr>
          <w:spacing w:val="-24"/>
          <w:sz w:val="24"/>
          <w:szCs w:val="24"/>
        </w:rPr>
        <w:t>厂合格证或质保书；同时对管材、钢材、</w:t>
      </w:r>
      <w:r>
        <w:rPr>
          <w:spacing w:val="-20"/>
          <w:sz w:val="24"/>
          <w:szCs w:val="24"/>
        </w:rPr>
        <w:t>水泥复试和分析报告，对钢材应按炉号及钢筋直径分批检验，严格控制硫、磷的含量；水泥应按出厂编号分批做复试，且有符合GB275-92的规定；只有复试报告、分析报告等全部合格的材料，方能允许用于施工。</w:t>
      </w:r>
    </w:p>
    <w:p w14:paraId="6A3B54A3">
      <w:pPr>
        <w:pStyle w:val="2"/>
        <w:spacing w:before="7" w:line="307" w:lineRule="auto"/>
        <w:ind w:left="1456" w:right="1353" w:firstLine="434"/>
        <w:rPr>
          <w:sz w:val="24"/>
          <w:szCs w:val="24"/>
        </w:rPr>
      </w:pPr>
      <w:r>
        <w:rPr>
          <w:spacing w:val="-19"/>
          <w:sz w:val="24"/>
          <w:szCs w:val="24"/>
        </w:rPr>
        <w:t>排水工程所用混凝土为现场搅拌，必须组织</w:t>
      </w:r>
      <w:r>
        <w:rPr>
          <w:spacing w:val="-20"/>
          <w:sz w:val="24"/>
          <w:szCs w:val="24"/>
        </w:rPr>
        <w:t>好水泥、粗骨料、细骨料等材料的分批进场工</w:t>
      </w:r>
      <w:r>
        <w:rPr>
          <w:spacing w:val="-19"/>
          <w:sz w:val="24"/>
          <w:szCs w:val="24"/>
        </w:rPr>
        <w:t>作及水泥的防潮措施。骨料应贮存于有漏斗的容器内或硬质地面</w:t>
      </w:r>
      <w:r>
        <w:rPr>
          <w:spacing w:val="-20"/>
          <w:sz w:val="24"/>
          <w:szCs w:val="24"/>
        </w:rPr>
        <w:t>上，并保持堆场排水的通畅。</w:t>
      </w:r>
      <w:r>
        <w:rPr>
          <w:spacing w:val="-23"/>
          <w:sz w:val="24"/>
          <w:szCs w:val="24"/>
        </w:rPr>
        <w:t>在施工前必须进行混凝土的试配工作，达到</w:t>
      </w:r>
      <w:r>
        <w:rPr>
          <w:spacing w:val="-24"/>
          <w:sz w:val="24"/>
          <w:szCs w:val="24"/>
        </w:rPr>
        <w:t>设计要求后，出具各种不同标号的混凝土级配报告，</w:t>
      </w:r>
      <w:r>
        <w:rPr>
          <w:spacing w:val="-20"/>
          <w:sz w:val="24"/>
          <w:szCs w:val="24"/>
        </w:rPr>
        <w:t>提交有关方面审核后才能用于施工。在施工时，必须严格按级配单进行拌制，且按规范要求做好各类试块，除按规定标养外，另做一组试块在施工同等条件下养护，并及时试压以确保混凝</w:t>
      </w:r>
      <w:r>
        <w:rPr>
          <w:spacing w:val="-22"/>
          <w:sz w:val="24"/>
          <w:szCs w:val="24"/>
        </w:rPr>
        <w:t>土的施工质量。商品砼在厂内必须对原材料、配合比计量进行控制，保证运输时间不超过1小</w:t>
      </w:r>
      <w:r>
        <w:rPr>
          <w:spacing w:val="-21"/>
          <w:sz w:val="24"/>
          <w:szCs w:val="24"/>
        </w:rPr>
        <w:t>时，现场进行签收，并注明时间地点。</w:t>
      </w:r>
    </w:p>
    <w:p w14:paraId="71DB80A7">
      <w:pPr>
        <w:pStyle w:val="2"/>
        <w:spacing w:before="2" w:line="293" w:lineRule="auto"/>
        <w:ind w:left="1457" w:right="1410" w:firstLine="442"/>
        <w:rPr>
          <w:sz w:val="24"/>
          <w:szCs w:val="24"/>
        </w:rPr>
      </w:pPr>
      <w:r>
        <w:rPr>
          <w:spacing w:val="-20"/>
          <w:sz w:val="24"/>
          <w:szCs w:val="24"/>
        </w:rPr>
        <w:t>监理工程师收到原材料试验报告及原材料合格证后对进厂的材料进行抽检复查，签字证明</w:t>
      </w:r>
      <w:r>
        <w:rPr>
          <w:spacing w:val="-21"/>
          <w:sz w:val="24"/>
          <w:szCs w:val="24"/>
        </w:rPr>
        <w:t>所报验的材料符合国家规定，项目部方可使用。</w:t>
      </w:r>
    </w:p>
    <w:p w14:paraId="1B056D91">
      <w:pPr>
        <w:pStyle w:val="2"/>
        <w:spacing w:line="217" w:lineRule="auto"/>
        <w:ind w:left="1986"/>
        <w:outlineLvl w:val="2"/>
        <w:rPr>
          <w:sz w:val="28"/>
          <w:szCs w:val="28"/>
        </w:rPr>
      </w:pPr>
      <w:bookmarkStart w:id="163" w:name="bookmark156"/>
      <w:bookmarkEnd w:id="163"/>
      <w:r>
        <w:rPr>
          <w:b/>
          <w:bCs/>
          <w:spacing w:val="-23"/>
          <w:sz w:val="28"/>
          <w:szCs w:val="28"/>
        </w:rPr>
        <w:t>二、施工机械设备质量控制</w:t>
      </w:r>
    </w:p>
    <w:p w14:paraId="03C753C6">
      <w:pPr>
        <w:pStyle w:val="2"/>
        <w:spacing w:before="106" w:line="216" w:lineRule="auto"/>
        <w:ind w:left="1903"/>
        <w:rPr>
          <w:sz w:val="24"/>
          <w:szCs w:val="24"/>
        </w:rPr>
      </w:pPr>
      <w:r>
        <w:rPr>
          <w:spacing w:val="-20"/>
          <w:sz w:val="24"/>
          <w:szCs w:val="24"/>
        </w:rPr>
        <w:t>1、施工机械设备的选择</w:t>
      </w:r>
    </w:p>
    <w:p w14:paraId="39BCC0F4">
      <w:pPr>
        <w:pStyle w:val="2"/>
        <w:spacing w:before="119" w:line="308" w:lineRule="auto"/>
        <w:ind w:left="1463" w:right="1409" w:firstLine="429"/>
        <w:rPr>
          <w:sz w:val="24"/>
          <w:szCs w:val="24"/>
        </w:rPr>
      </w:pPr>
      <w:r>
        <w:rPr>
          <w:spacing w:val="-20"/>
          <w:sz w:val="24"/>
          <w:szCs w:val="24"/>
        </w:rPr>
        <w:t>施工机械设备的选择，本着为工程施工提供性能好、质量优、效率高、操作方便、安全可</w:t>
      </w:r>
      <w:r>
        <w:rPr>
          <w:spacing w:val="-21"/>
          <w:sz w:val="24"/>
          <w:szCs w:val="24"/>
        </w:rPr>
        <w:t>靠、数量充足的原则，以保证依照合同规定的</w:t>
      </w:r>
      <w:r>
        <w:rPr>
          <w:spacing w:val="-22"/>
          <w:sz w:val="24"/>
          <w:szCs w:val="24"/>
        </w:rPr>
        <w:t>质量及工期要求，完成工程施工任务。</w:t>
      </w:r>
    </w:p>
    <w:p w14:paraId="7940C1A7">
      <w:pPr>
        <w:pStyle w:val="2"/>
        <w:spacing w:before="1" w:line="216" w:lineRule="auto"/>
        <w:ind w:left="1888"/>
        <w:rPr>
          <w:sz w:val="24"/>
          <w:szCs w:val="24"/>
        </w:rPr>
      </w:pPr>
      <w:r>
        <w:rPr>
          <w:spacing w:val="-18"/>
          <w:sz w:val="24"/>
          <w:szCs w:val="24"/>
        </w:rPr>
        <w:t>2、机械设备使用管理</w:t>
      </w:r>
    </w:p>
    <w:p w14:paraId="37D086A8">
      <w:pPr>
        <w:pStyle w:val="2"/>
        <w:spacing w:before="118" w:line="262" w:lineRule="auto"/>
        <w:ind w:left="1458" w:right="1431" w:firstLine="427"/>
        <w:rPr>
          <w:sz w:val="24"/>
          <w:szCs w:val="24"/>
        </w:rPr>
      </w:pPr>
      <w:r>
        <w:rPr>
          <w:spacing w:val="-20"/>
          <w:sz w:val="24"/>
          <w:szCs w:val="24"/>
        </w:rPr>
        <w:t>①加强设备操作人员的技术培训及考核，正确掌握机械设备操作技术，做到定机定人，实</w:t>
      </w:r>
      <w:r>
        <w:rPr>
          <w:spacing w:val="-21"/>
          <w:sz w:val="24"/>
          <w:szCs w:val="24"/>
        </w:rPr>
        <w:t>行机械使用和保养的岗位责任制。</w:t>
      </w:r>
    </w:p>
    <w:p w14:paraId="5CFC2546">
      <w:pPr>
        <w:pStyle w:val="2"/>
        <w:spacing w:before="119" w:line="262" w:lineRule="auto"/>
        <w:ind w:left="1457" w:right="1409" w:firstLine="427"/>
        <w:rPr>
          <w:sz w:val="24"/>
          <w:szCs w:val="24"/>
        </w:rPr>
      </w:pPr>
      <w:r>
        <w:rPr>
          <w:spacing w:val="-19"/>
          <w:sz w:val="24"/>
          <w:szCs w:val="24"/>
        </w:rPr>
        <w:t>②建立健全机械设备使用和管理的各项规章制度，包括人机</w:t>
      </w:r>
      <w:r>
        <w:rPr>
          <w:spacing w:val="-20"/>
          <w:sz w:val="24"/>
          <w:szCs w:val="24"/>
        </w:rPr>
        <w:t>固定制度、安全操作制度、交接班制度、安全使用制度等。</w:t>
      </w:r>
    </w:p>
    <w:p w14:paraId="408B9BB0">
      <w:pPr>
        <w:pStyle w:val="2"/>
        <w:spacing w:before="117" w:line="217" w:lineRule="auto"/>
        <w:ind w:left="1884"/>
        <w:rPr>
          <w:sz w:val="24"/>
          <w:szCs w:val="24"/>
        </w:rPr>
      </w:pPr>
      <w:r>
        <w:rPr>
          <w:spacing w:val="-21"/>
          <w:sz w:val="24"/>
          <w:szCs w:val="24"/>
        </w:rPr>
        <w:t>③格执行各项技术规定，正确使用机械设备。</w:t>
      </w:r>
    </w:p>
    <w:p w14:paraId="01607485">
      <w:pPr>
        <w:pStyle w:val="2"/>
        <w:spacing w:before="68" w:line="217" w:lineRule="auto"/>
        <w:ind w:left="4171"/>
        <w:outlineLvl w:val="1"/>
        <w:rPr>
          <w:sz w:val="30"/>
          <w:szCs w:val="30"/>
        </w:rPr>
      </w:pPr>
      <w:bookmarkStart w:id="164" w:name="bookmark157"/>
      <w:bookmarkEnd w:id="164"/>
      <w:r>
        <w:rPr>
          <w:b/>
          <w:bCs/>
          <w:color w:val="0070C0"/>
          <w:spacing w:val="-24"/>
          <w:sz w:val="30"/>
          <w:szCs w:val="30"/>
        </w:rPr>
        <w:t>第十节、项维修管理暂行规定</w:t>
      </w:r>
    </w:p>
    <w:p w14:paraId="0AB0E938">
      <w:pPr>
        <w:pStyle w:val="2"/>
        <w:spacing w:before="63" w:line="218" w:lineRule="auto"/>
        <w:ind w:left="1981"/>
        <w:outlineLvl w:val="2"/>
        <w:rPr>
          <w:sz w:val="28"/>
          <w:szCs w:val="28"/>
        </w:rPr>
      </w:pPr>
      <w:bookmarkStart w:id="165" w:name="bookmark158"/>
      <w:bookmarkEnd w:id="165"/>
      <w:r>
        <w:rPr>
          <w:b/>
          <w:bCs/>
          <w:spacing w:val="-22"/>
          <w:sz w:val="28"/>
          <w:szCs w:val="28"/>
        </w:rPr>
        <w:t>一、维修管理职责</w:t>
      </w:r>
    </w:p>
    <w:p w14:paraId="6E4A8382">
      <w:pPr>
        <w:pStyle w:val="2"/>
        <w:spacing w:before="105" w:line="262" w:lineRule="auto"/>
        <w:ind w:left="1485" w:right="1415" w:firstLine="417"/>
        <w:rPr>
          <w:sz w:val="24"/>
          <w:szCs w:val="24"/>
        </w:rPr>
      </w:pPr>
      <w:r>
        <w:rPr>
          <w:b/>
          <w:bCs/>
          <w:spacing w:val="-20"/>
          <w:sz w:val="24"/>
          <w:szCs w:val="24"/>
        </w:rPr>
        <w:t>第一条</w:t>
      </w:r>
      <w:r>
        <w:rPr>
          <w:spacing w:val="-20"/>
          <w:sz w:val="24"/>
          <w:szCs w:val="24"/>
        </w:rPr>
        <w:t>公司工程管理部负责本项目售后回访、维修服务工作的组织、协调；</w:t>
      </w:r>
      <w:r>
        <w:rPr>
          <w:spacing w:val="-21"/>
          <w:sz w:val="24"/>
          <w:szCs w:val="24"/>
        </w:rPr>
        <w:t>负责公司年度</w:t>
      </w:r>
      <w:r>
        <w:rPr>
          <w:spacing w:val="-22"/>
          <w:sz w:val="24"/>
          <w:szCs w:val="24"/>
        </w:rPr>
        <w:t>回访和保修情况的归口管理和汇总分析，并确定专人负</w:t>
      </w:r>
      <w:r>
        <w:rPr>
          <w:spacing w:val="-23"/>
          <w:sz w:val="24"/>
          <w:szCs w:val="24"/>
        </w:rPr>
        <w:t>责执行。</w:t>
      </w:r>
    </w:p>
    <w:p w14:paraId="732AE89D">
      <w:pPr>
        <w:pStyle w:val="2"/>
        <w:spacing w:before="118" w:line="218" w:lineRule="auto"/>
        <w:ind w:left="1903"/>
        <w:rPr>
          <w:sz w:val="24"/>
          <w:szCs w:val="24"/>
        </w:rPr>
      </w:pPr>
      <w:r>
        <w:rPr>
          <w:b/>
          <w:bCs/>
          <w:spacing w:val="-21"/>
          <w:sz w:val="24"/>
          <w:szCs w:val="24"/>
        </w:rPr>
        <w:t>第二条</w:t>
      </w:r>
      <w:r>
        <w:rPr>
          <w:spacing w:val="-21"/>
          <w:sz w:val="24"/>
          <w:szCs w:val="24"/>
        </w:rPr>
        <w:t>工程管理部职责</w:t>
      </w:r>
    </w:p>
    <w:p w14:paraId="32869068">
      <w:pPr>
        <w:pStyle w:val="2"/>
        <w:spacing w:before="117" w:line="216" w:lineRule="auto"/>
        <w:ind w:left="1903"/>
        <w:rPr>
          <w:sz w:val="24"/>
          <w:szCs w:val="24"/>
        </w:rPr>
      </w:pPr>
      <w:r>
        <w:rPr>
          <w:spacing w:val="-21"/>
          <w:sz w:val="24"/>
          <w:szCs w:val="24"/>
        </w:rPr>
        <w:t>1、负责竣工项目回访工作计划的制定和执行；</w:t>
      </w:r>
    </w:p>
    <w:p w14:paraId="1E071FEB">
      <w:pPr>
        <w:pStyle w:val="2"/>
        <w:spacing w:before="120" w:line="216" w:lineRule="auto"/>
        <w:ind w:left="1888"/>
        <w:rPr>
          <w:sz w:val="24"/>
          <w:szCs w:val="24"/>
        </w:rPr>
      </w:pPr>
      <w:r>
        <w:rPr>
          <w:spacing w:val="-22"/>
          <w:sz w:val="24"/>
          <w:szCs w:val="24"/>
        </w:rPr>
        <w:t>2、负责建立健全回访、维修工作的台账；</w:t>
      </w:r>
    </w:p>
    <w:p w14:paraId="77FA5D51">
      <w:pPr>
        <w:pStyle w:val="2"/>
        <w:spacing w:before="118" w:line="216" w:lineRule="auto"/>
        <w:ind w:left="1890"/>
        <w:rPr>
          <w:sz w:val="24"/>
          <w:szCs w:val="24"/>
        </w:rPr>
      </w:pPr>
      <w:r>
        <w:rPr>
          <w:spacing w:val="-19"/>
          <w:sz w:val="24"/>
          <w:szCs w:val="24"/>
        </w:rPr>
        <w:t>3、受理业主投诉并进行处置；</w:t>
      </w:r>
    </w:p>
    <w:p w14:paraId="7D0F8F70">
      <w:pPr>
        <w:spacing w:line="216" w:lineRule="auto"/>
        <w:rPr>
          <w:sz w:val="24"/>
          <w:szCs w:val="24"/>
        </w:rPr>
        <w:sectPr>
          <w:footerReference r:id="rId238" w:type="default"/>
          <w:pgSz w:w="11907" w:h="16839"/>
          <w:pgMar w:top="954" w:right="4" w:bottom="1038" w:left="0" w:header="499" w:footer="357" w:gutter="0"/>
          <w:pgBorders>
            <w:top w:val="none" w:sz="0" w:space="0"/>
            <w:left w:val="none" w:sz="0" w:space="0"/>
            <w:bottom w:val="none" w:sz="0" w:space="0"/>
            <w:right w:val="none" w:sz="0" w:space="0"/>
          </w:pgBorders>
          <w:cols w:space="720" w:num="1"/>
        </w:sectPr>
      </w:pPr>
    </w:p>
    <w:p w14:paraId="4A0AE84A">
      <w:pPr>
        <w:spacing w:line="250" w:lineRule="auto"/>
        <w:rPr>
          <w:rFonts w:ascii="Arial"/>
          <w:sz w:val="21"/>
        </w:rPr>
      </w:pPr>
    </w:p>
    <w:p w14:paraId="53CAFFE6">
      <w:pPr>
        <w:pStyle w:val="2"/>
        <w:spacing w:before="78" w:line="216" w:lineRule="auto"/>
        <w:ind w:left="1884"/>
        <w:rPr>
          <w:sz w:val="24"/>
          <w:szCs w:val="24"/>
        </w:rPr>
      </w:pPr>
      <w:r>
        <w:rPr>
          <w:spacing w:val="-21"/>
          <w:sz w:val="24"/>
          <w:szCs w:val="24"/>
        </w:rPr>
        <w:t>4、确定片区项目回访、维修工作的负责人；</w:t>
      </w:r>
    </w:p>
    <w:p w14:paraId="4CE14C4D">
      <w:pPr>
        <w:pStyle w:val="2"/>
        <w:spacing w:before="120" w:line="217" w:lineRule="auto"/>
        <w:ind w:left="1890"/>
        <w:rPr>
          <w:sz w:val="24"/>
          <w:szCs w:val="24"/>
        </w:rPr>
      </w:pPr>
      <w:r>
        <w:rPr>
          <w:spacing w:val="-21"/>
          <w:sz w:val="24"/>
          <w:szCs w:val="24"/>
        </w:rPr>
        <w:t>5、负责维修方案的制定，维修施工队伍的组织，维修施工过程中的管理监控；</w:t>
      </w:r>
    </w:p>
    <w:p w14:paraId="727616FC">
      <w:pPr>
        <w:pStyle w:val="2"/>
        <w:spacing w:before="115" w:line="216" w:lineRule="auto"/>
        <w:ind w:left="1887"/>
        <w:rPr>
          <w:sz w:val="24"/>
          <w:szCs w:val="24"/>
        </w:rPr>
      </w:pPr>
      <w:r>
        <w:rPr>
          <w:spacing w:val="-20"/>
          <w:sz w:val="24"/>
          <w:szCs w:val="24"/>
        </w:rPr>
        <w:t>6、回访、维修工作的统计、分析以及预防</w:t>
      </w:r>
      <w:r>
        <w:rPr>
          <w:spacing w:val="-21"/>
          <w:sz w:val="24"/>
          <w:szCs w:val="24"/>
        </w:rPr>
        <w:t>方案的制定。</w:t>
      </w:r>
    </w:p>
    <w:p w14:paraId="3DA8A5F8">
      <w:pPr>
        <w:pStyle w:val="2"/>
        <w:spacing w:before="120" w:line="216" w:lineRule="auto"/>
        <w:ind w:left="1903"/>
        <w:rPr>
          <w:sz w:val="24"/>
          <w:szCs w:val="24"/>
        </w:rPr>
      </w:pPr>
      <w:r>
        <w:rPr>
          <w:b/>
          <w:bCs/>
          <w:spacing w:val="-22"/>
          <w:sz w:val="24"/>
          <w:szCs w:val="24"/>
        </w:rPr>
        <w:t>第三条</w:t>
      </w:r>
      <w:r>
        <w:rPr>
          <w:spacing w:val="-22"/>
          <w:sz w:val="24"/>
          <w:szCs w:val="24"/>
        </w:rPr>
        <w:t>回访、维修工作负责人职责</w:t>
      </w:r>
    </w:p>
    <w:p w14:paraId="22B7B0AC">
      <w:pPr>
        <w:pStyle w:val="2"/>
        <w:spacing w:before="120" w:line="216" w:lineRule="auto"/>
        <w:ind w:left="1903"/>
        <w:rPr>
          <w:sz w:val="24"/>
          <w:szCs w:val="24"/>
        </w:rPr>
      </w:pPr>
      <w:r>
        <w:rPr>
          <w:spacing w:val="-21"/>
          <w:sz w:val="24"/>
          <w:szCs w:val="24"/>
        </w:rPr>
        <w:t>1、负责受理业主单位和个人对维修项目的质量问题的投诉并建立</w:t>
      </w:r>
      <w:r>
        <w:rPr>
          <w:spacing w:val="-22"/>
          <w:sz w:val="24"/>
          <w:szCs w:val="24"/>
        </w:rPr>
        <w:t>台帐；</w:t>
      </w:r>
    </w:p>
    <w:p w14:paraId="43D08E8D">
      <w:pPr>
        <w:pStyle w:val="2"/>
        <w:spacing w:before="117" w:line="216" w:lineRule="auto"/>
        <w:ind w:left="1888"/>
        <w:rPr>
          <w:sz w:val="24"/>
          <w:szCs w:val="24"/>
        </w:rPr>
      </w:pPr>
      <w:r>
        <w:rPr>
          <w:spacing w:val="-20"/>
          <w:sz w:val="24"/>
          <w:szCs w:val="24"/>
        </w:rPr>
        <w:t>2、负责回访、维修工作的日常事务；</w:t>
      </w:r>
    </w:p>
    <w:p w14:paraId="567DB981">
      <w:pPr>
        <w:pStyle w:val="2"/>
        <w:spacing w:before="120" w:line="216" w:lineRule="auto"/>
        <w:ind w:left="1890"/>
        <w:rPr>
          <w:sz w:val="24"/>
          <w:szCs w:val="24"/>
        </w:rPr>
      </w:pPr>
      <w:r>
        <w:rPr>
          <w:spacing w:val="-20"/>
          <w:sz w:val="24"/>
          <w:szCs w:val="24"/>
        </w:rPr>
        <w:t>3、负责组织维修的现场勘查工作；</w:t>
      </w:r>
    </w:p>
    <w:p w14:paraId="3CA08F22">
      <w:pPr>
        <w:pStyle w:val="2"/>
        <w:spacing w:before="120" w:line="216" w:lineRule="auto"/>
        <w:ind w:left="1884"/>
        <w:rPr>
          <w:sz w:val="24"/>
          <w:szCs w:val="24"/>
        </w:rPr>
      </w:pPr>
      <w:r>
        <w:rPr>
          <w:spacing w:val="-21"/>
          <w:sz w:val="24"/>
          <w:szCs w:val="24"/>
        </w:rPr>
        <w:t>4、负责一般性维修方案的制定，并报工程管理部负责人审批；</w:t>
      </w:r>
    </w:p>
    <w:p w14:paraId="4A1AA081">
      <w:pPr>
        <w:pStyle w:val="2"/>
        <w:spacing w:before="119" w:line="217" w:lineRule="auto"/>
        <w:ind w:left="1890"/>
        <w:rPr>
          <w:sz w:val="24"/>
          <w:szCs w:val="24"/>
        </w:rPr>
      </w:pPr>
      <w:r>
        <w:rPr>
          <w:spacing w:val="-19"/>
          <w:sz w:val="24"/>
          <w:szCs w:val="24"/>
        </w:rPr>
        <w:t>5、负责对维修队伍的管理；</w:t>
      </w:r>
    </w:p>
    <w:p w14:paraId="563F4C4E">
      <w:pPr>
        <w:pStyle w:val="2"/>
        <w:spacing w:before="118" w:line="216" w:lineRule="auto"/>
        <w:ind w:left="1887"/>
        <w:rPr>
          <w:sz w:val="24"/>
          <w:szCs w:val="24"/>
        </w:rPr>
      </w:pPr>
      <w:r>
        <w:rPr>
          <w:spacing w:val="-21"/>
          <w:sz w:val="24"/>
          <w:szCs w:val="24"/>
        </w:rPr>
        <w:t>6、负责对维修工作的过程管理、负责维修工作的记录和资料的收集整理；</w:t>
      </w:r>
    </w:p>
    <w:p w14:paraId="3C243ADF">
      <w:pPr>
        <w:pStyle w:val="2"/>
        <w:spacing w:before="120" w:line="216" w:lineRule="auto"/>
        <w:ind w:left="1891"/>
        <w:rPr>
          <w:sz w:val="24"/>
          <w:szCs w:val="24"/>
        </w:rPr>
      </w:pPr>
      <w:r>
        <w:rPr>
          <w:spacing w:val="-20"/>
          <w:sz w:val="24"/>
          <w:szCs w:val="24"/>
        </w:rPr>
        <w:t>7、负责组织维修的验收、结算工作；</w:t>
      </w:r>
    </w:p>
    <w:p w14:paraId="784FEC3C">
      <w:pPr>
        <w:pStyle w:val="2"/>
        <w:spacing w:before="118" w:line="216" w:lineRule="auto"/>
        <w:ind w:left="1886"/>
        <w:rPr>
          <w:sz w:val="24"/>
          <w:szCs w:val="24"/>
        </w:rPr>
      </w:pPr>
      <w:r>
        <w:rPr>
          <w:spacing w:val="-19"/>
          <w:sz w:val="24"/>
          <w:szCs w:val="24"/>
        </w:rPr>
        <w:t>8、负责维修工作的总结。</w:t>
      </w:r>
    </w:p>
    <w:p w14:paraId="01351902">
      <w:pPr>
        <w:pStyle w:val="2"/>
        <w:spacing w:before="85" w:line="219" w:lineRule="auto"/>
        <w:ind w:left="1986"/>
        <w:outlineLvl w:val="2"/>
        <w:rPr>
          <w:sz w:val="28"/>
          <w:szCs w:val="28"/>
        </w:rPr>
      </w:pPr>
      <w:bookmarkStart w:id="166" w:name="bookmark159"/>
      <w:bookmarkEnd w:id="166"/>
      <w:r>
        <w:rPr>
          <w:b/>
          <w:bCs/>
          <w:spacing w:val="-22"/>
          <w:sz w:val="28"/>
          <w:szCs w:val="28"/>
        </w:rPr>
        <w:t>二、工程回访</w:t>
      </w:r>
    </w:p>
    <w:p w14:paraId="43B92008">
      <w:pPr>
        <w:pStyle w:val="2"/>
        <w:spacing w:before="104" w:line="218" w:lineRule="auto"/>
        <w:ind w:left="1903"/>
        <w:rPr>
          <w:sz w:val="24"/>
          <w:szCs w:val="24"/>
        </w:rPr>
      </w:pPr>
      <w:r>
        <w:rPr>
          <w:b/>
          <w:bCs/>
          <w:spacing w:val="-21"/>
          <w:sz w:val="24"/>
          <w:szCs w:val="24"/>
        </w:rPr>
        <w:t>第四条</w:t>
      </w:r>
      <w:r>
        <w:rPr>
          <w:spacing w:val="-21"/>
          <w:sz w:val="24"/>
          <w:szCs w:val="24"/>
        </w:rPr>
        <w:t>回访的对象</w:t>
      </w:r>
    </w:p>
    <w:p w14:paraId="06B8AB99">
      <w:pPr>
        <w:pStyle w:val="2"/>
        <w:spacing w:before="114" w:line="217" w:lineRule="auto"/>
        <w:ind w:left="1895"/>
        <w:rPr>
          <w:sz w:val="24"/>
          <w:szCs w:val="24"/>
        </w:rPr>
      </w:pPr>
      <w:r>
        <w:rPr>
          <w:spacing w:val="-21"/>
          <w:sz w:val="24"/>
          <w:szCs w:val="24"/>
        </w:rPr>
        <w:t>竣工项目的业主或物业公司、已维修项目的小业主。</w:t>
      </w:r>
    </w:p>
    <w:p w14:paraId="0C316764">
      <w:pPr>
        <w:pStyle w:val="2"/>
        <w:spacing w:before="119" w:line="218" w:lineRule="auto"/>
        <w:ind w:left="1903"/>
        <w:rPr>
          <w:sz w:val="24"/>
          <w:szCs w:val="24"/>
        </w:rPr>
      </w:pPr>
      <w:r>
        <w:rPr>
          <w:b/>
          <w:bCs/>
          <w:spacing w:val="-21"/>
          <w:sz w:val="24"/>
          <w:szCs w:val="24"/>
        </w:rPr>
        <w:t>第五条</w:t>
      </w:r>
      <w:r>
        <w:rPr>
          <w:spacing w:val="-21"/>
          <w:sz w:val="24"/>
          <w:szCs w:val="24"/>
        </w:rPr>
        <w:t>回访的时间</w:t>
      </w:r>
    </w:p>
    <w:p w14:paraId="15353406">
      <w:pPr>
        <w:pStyle w:val="2"/>
        <w:spacing w:before="118" w:line="218" w:lineRule="auto"/>
        <w:ind w:left="1903"/>
        <w:rPr>
          <w:sz w:val="24"/>
          <w:szCs w:val="24"/>
        </w:rPr>
      </w:pPr>
      <w:r>
        <w:rPr>
          <w:spacing w:val="-21"/>
          <w:sz w:val="24"/>
          <w:szCs w:val="24"/>
        </w:rPr>
        <w:t>1、工程竣工后，第一年内每季度回访不少于一次：</w:t>
      </w:r>
    </w:p>
    <w:p w14:paraId="53B5F91B">
      <w:pPr>
        <w:pStyle w:val="2"/>
        <w:spacing w:before="114" w:line="217" w:lineRule="auto"/>
        <w:ind w:left="1888"/>
        <w:rPr>
          <w:sz w:val="24"/>
          <w:szCs w:val="24"/>
        </w:rPr>
      </w:pPr>
      <w:r>
        <w:rPr>
          <w:spacing w:val="-20"/>
          <w:sz w:val="24"/>
          <w:szCs w:val="24"/>
        </w:rPr>
        <w:t>2、工程竣工后，第二年内每半年不少于一次；</w:t>
      </w:r>
    </w:p>
    <w:p w14:paraId="44E89515">
      <w:pPr>
        <w:pStyle w:val="2"/>
        <w:spacing w:before="120" w:line="218" w:lineRule="auto"/>
        <w:ind w:left="1890"/>
        <w:rPr>
          <w:sz w:val="24"/>
          <w:szCs w:val="24"/>
        </w:rPr>
      </w:pPr>
      <w:r>
        <w:rPr>
          <w:spacing w:val="-20"/>
          <w:sz w:val="24"/>
          <w:szCs w:val="24"/>
        </w:rPr>
        <w:t>3、工程竣工后，第三~五年内每年不少于一次；</w:t>
      </w:r>
    </w:p>
    <w:p w14:paraId="4266B550">
      <w:pPr>
        <w:pStyle w:val="2"/>
        <w:spacing w:before="117" w:line="218" w:lineRule="auto"/>
        <w:ind w:left="1884"/>
        <w:rPr>
          <w:sz w:val="24"/>
          <w:szCs w:val="24"/>
        </w:rPr>
      </w:pPr>
      <w:r>
        <w:rPr>
          <w:spacing w:val="-20"/>
          <w:sz w:val="24"/>
          <w:szCs w:val="24"/>
        </w:rPr>
        <w:t>4、业主投诉时应及时回访和回复；</w:t>
      </w:r>
    </w:p>
    <w:p w14:paraId="3BAAE5A7">
      <w:pPr>
        <w:pStyle w:val="2"/>
        <w:spacing w:before="115" w:line="263" w:lineRule="auto"/>
        <w:ind w:left="1464" w:right="1414" w:firstLine="438"/>
        <w:rPr>
          <w:sz w:val="24"/>
          <w:szCs w:val="24"/>
        </w:rPr>
      </w:pPr>
      <w:r>
        <w:rPr>
          <w:b/>
          <w:bCs/>
          <w:spacing w:val="-20"/>
          <w:sz w:val="24"/>
          <w:szCs w:val="24"/>
        </w:rPr>
        <w:t>第六条</w:t>
      </w:r>
      <w:r>
        <w:rPr>
          <w:spacing w:val="-20"/>
          <w:sz w:val="24"/>
          <w:szCs w:val="24"/>
        </w:rPr>
        <w:t>回访人员应虚心听取业主意见和建议，做好回访记录，有需要的必须有</w:t>
      </w:r>
      <w:r>
        <w:rPr>
          <w:spacing w:val="-21"/>
          <w:sz w:val="24"/>
          <w:szCs w:val="24"/>
        </w:rPr>
        <w:t>影像资料作</w:t>
      </w:r>
      <w:r>
        <w:rPr>
          <w:spacing w:val="-19"/>
          <w:sz w:val="24"/>
          <w:szCs w:val="24"/>
        </w:rPr>
        <w:t>为补充说明。</w:t>
      </w:r>
    </w:p>
    <w:p w14:paraId="6ABB0039">
      <w:pPr>
        <w:pStyle w:val="2"/>
        <w:spacing w:before="119" w:line="277" w:lineRule="auto"/>
        <w:ind w:left="1461" w:right="1414" w:firstLine="442"/>
        <w:rPr>
          <w:sz w:val="24"/>
          <w:szCs w:val="24"/>
        </w:rPr>
      </w:pPr>
      <w:r>
        <w:rPr>
          <w:b/>
          <w:bCs/>
          <w:spacing w:val="-20"/>
          <w:sz w:val="24"/>
          <w:szCs w:val="24"/>
        </w:rPr>
        <w:t>第七条</w:t>
      </w:r>
      <w:r>
        <w:rPr>
          <w:spacing w:val="-20"/>
          <w:sz w:val="24"/>
          <w:szCs w:val="24"/>
        </w:rPr>
        <w:t>回访结束后，回访人员应将业主提出的意见和工程质量问题、形成的整</w:t>
      </w:r>
      <w:r>
        <w:rPr>
          <w:spacing w:val="-21"/>
          <w:sz w:val="24"/>
          <w:szCs w:val="24"/>
        </w:rPr>
        <w:t>改措施以及</w:t>
      </w:r>
      <w:r>
        <w:rPr>
          <w:spacing w:val="-20"/>
          <w:sz w:val="24"/>
          <w:szCs w:val="24"/>
        </w:rPr>
        <w:t>资金使用预算情况报告公司工程管理部主要负责人，由工程部主要负责人组织有关部门讨论确定保修措施，落实保修。</w:t>
      </w:r>
    </w:p>
    <w:p w14:paraId="179A7AFD">
      <w:pPr>
        <w:pStyle w:val="2"/>
        <w:spacing w:before="83" w:line="219" w:lineRule="auto"/>
        <w:ind w:left="1985"/>
        <w:outlineLvl w:val="2"/>
        <w:rPr>
          <w:sz w:val="28"/>
          <w:szCs w:val="28"/>
        </w:rPr>
      </w:pPr>
      <w:bookmarkStart w:id="167" w:name="bookmark160"/>
      <w:bookmarkEnd w:id="167"/>
      <w:r>
        <w:rPr>
          <w:b/>
          <w:bCs/>
          <w:spacing w:val="-21"/>
          <w:sz w:val="28"/>
          <w:szCs w:val="28"/>
        </w:rPr>
        <w:t>三、业主/用户投诉</w:t>
      </w:r>
    </w:p>
    <w:p w14:paraId="4DD6C1B2">
      <w:pPr>
        <w:pStyle w:val="2"/>
        <w:spacing w:before="103" w:line="278" w:lineRule="auto"/>
        <w:ind w:left="1456" w:right="1414" w:firstLine="447"/>
        <w:rPr>
          <w:sz w:val="24"/>
          <w:szCs w:val="24"/>
        </w:rPr>
      </w:pPr>
      <w:r>
        <w:rPr>
          <w:b/>
          <w:bCs/>
          <w:spacing w:val="-20"/>
          <w:sz w:val="24"/>
          <w:szCs w:val="24"/>
        </w:rPr>
        <w:t>第八条</w:t>
      </w:r>
      <w:r>
        <w:rPr>
          <w:spacing w:val="-20"/>
          <w:sz w:val="24"/>
          <w:szCs w:val="24"/>
        </w:rPr>
        <w:t>对于业主无论采取何种方式（如电话、传真、信函等）提出的工程投</w:t>
      </w:r>
      <w:r>
        <w:rPr>
          <w:spacing w:val="-21"/>
          <w:sz w:val="24"/>
          <w:szCs w:val="24"/>
        </w:rPr>
        <w:t>诉问题，由接</w:t>
      </w:r>
      <w:r>
        <w:rPr>
          <w:spacing w:val="-20"/>
          <w:sz w:val="24"/>
          <w:szCs w:val="24"/>
        </w:rPr>
        <w:t>待人将具体情况登记，填写《业主来人来函（电）登记》和专门记录，记录内容应包含投诉人</w:t>
      </w:r>
      <w:r>
        <w:rPr>
          <w:spacing w:val="-21"/>
          <w:sz w:val="24"/>
          <w:szCs w:val="24"/>
        </w:rPr>
        <w:t>姓名、联系方式、地址和部位、基本问题、问题描述、处理</w:t>
      </w:r>
      <w:r>
        <w:rPr>
          <w:spacing w:val="-22"/>
          <w:sz w:val="24"/>
          <w:szCs w:val="24"/>
        </w:rPr>
        <w:t>意见、处理结果等。</w:t>
      </w:r>
    </w:p>
    <w:p w14:paraId="7761B3A9">
      <w:pPr>
        <w:pStyle w:val="2"/>
        <w:spacing w:before="117" w:line="262" w:lineRule="auto"/>
        <w:ind w:left="1465" w:right="1415" w:firstLine="437"/>
        <w:rPr>
          <w:sz w:val="24"/>
          <w:szCs w:val="24"/>
        </w:rPr>
      </w:pPr>
      <w:r>
        <w:rPr>
          <w:b/>
          <w:bCs/>
          <w:spacing w:val="-20"/>
          <w:sz w:val="24"/>
          <w:szCs w:val="24"/>
        </w:rPr>
        <w:t>第九条</w:t>
      </w:r>
      <w:r>
        <w:rPr>
          <w:spacing w:val="-20"/>
          <w:sz w:val="24"/>
          <w:szCs w:val="24"/>
        </w:rPr>
        <w:t>接到业主投诉后，工程部必须在两天内委派人员进行回访并实地查勘</w:t>
      </w:r>
      <w:r>
        <w:rPr>
          <w:spacing w:val="-21"/>
          <w:sz w:val="24"/>
          <w:szCs w:val="24"/>
        </w:rPr>
        <w:t>，做好记录并</w:t>
      </w:r>
      <w:r>
        <w:rPr>
          <w:spacing w:val="-22"/>
          <w:sz w:val="24"/>
          <w:szCs w:val="24"/>
        </w:rPr>
        <w:t>与业主共同分析原因及责任，研究制定维修方案，妥善解决工程保修或维修事宜。</w:t>
      </w:r>
    </w:p>
    <w:p w14:paraId="01CAACDA">
      <w:pPr>
        <w:pStyle w:val="2"/>
        <w:spacing w:before="119" w:line="217" w:lineRule="auto"/>
        <w:ind w:left="1903"/>
        <w:rPr>
          <w:sz w:val="24"/>
          <w:szCs w:val="24"/>
        </w:rPr>
      </w:pPr>
      <w:r>
        <w:rPr>
          <w:b/>
          <w:bCs/>
          <w:spacing w:val="-22"/>
          <w:sz w:val="24"/>
          <w:szCs w:val="24"/>
        </w:rPr>
        <w:t>第十条</w:t>
      </w:r>
      <w:r>
        <w:rPr>
          <w:spacing w:val="-22"/>
          <w:sz w:val="24"/>
          <w:szCs w:val="24"/>
        </w:rPr>
        <w:t>对于业主的投诉需要公司协助解决的，公司各相关部门应积极</w:t>
      </w:r>
      <w:r>
        <w:rPr>
          <w:spacing w:val="-23"/>
          <w:sz w:val="24"/>
          <w:szCs w:val="24"/>
        </w:rPr>
        <w:t>协助处理。</w:t>
      </w:r>
    </w:p>
    <w:p w14:paraId="79DBD0B9">
      <w:pPr>
        <w:pStyle w:val="2"/>
        <w:spacing w:before="81" w:line="218" w:lineRule="auto"/>
        <w:ind w:left="2010"/>
        <w:outlineLvl w:val="2"/>
        <w:rPr>
          <w:sz w:val="28"/>
          <w:szCs w:val="28"/>
        </w:rPr>
      </w:pPr>
      <w:bookmarkStart w:id="168" w:name="bookmark161"/>
      <w:bookmarkEnd w:id="168"/>
      <w:r>
        <w:rPr>
          <w:b/>
          <w:bCs/>
          <w:spacing w:val="-26"/>
          <w:sz w:val="28"/>
          <w:szCs w:val="28"/>
        </w:rPr>
        <w:t>四、工程维修</w:t>
      </w:r>
    </w:p>
    <w:p w14:paraId="47F58387">
      <w:pPr>
        <w:pStyle w:val="2"/>
        <w:spacing w:before="106" w:line="217" w:lineRule="auto"/>
        <w:ind w:left="1903"/>
        <w:rPr>
          <w:sz w:val="24"/>
          <w:szCs w:val="24"/>
        </w:rPr>
      </w:pPr>
      <w:r>
        <w:rPr>
          <w:b/>
          <w:bCs/>
          <w:spacing w:val="-22"/>
          <w:sz w:val="24"/>
          <w:szCs w:val="24"/>
        </w:rPr>
        <w:t>第十一条</w:t>
      </w:r>
      <w:r>
        <w:rPr>
          <w:spacing w:val="-22"/>
          <w:sz w:val="24"/>
          <w:szCs w:val="24"/>
        </w:rPr>
        <w:t>维修服务的内容包括：</w:t>
      </w:r>
    </w:p>
    <w:p w14:paraId="3A65802D">
      <w:pPr>
        <w:pStyle w:val="2"/>
        <w:spacing w:before="117" w:line="217" w:lineRule="auto"/>
        <w:ind w:left="1903"/>
        <w:rPr>
          <w:sz w:val="24"/>
          <w:szCs w:val="24"/>
        </w:rPr>
      </w:pPr>
      <w:r>
        <w:rPr>
          <w:spacing w:val="-20"/>
          <w:sz w:val="24"/>
          <w:szCs w:val="24"/>
        </w:rPr>
        <w:t>1、施工合同约定保修期内；</w:t>
      </w:r>
    </w:p>
    <w:p w14:paraId="6B882791">
      <w:pPr>
        <w:pStyle w:val="2"/>
        <w:spacing w:before="117" w:line="218" w:lineRule="auto"/>
        <w:ind w:left="1888"/>
        <w:rPr>
          <w:sz w:val="24"/>
          <w:szCs w:val="24"/>
        </w:rPr>
      </w:pPr>
      <w:r>
        <w:rPr>
          <w:spacing w:val="-21"/>
          <w:sz w:val="24"/>
          <w:szCs w:val="24"/>
        </w:rPr>
        <w:t>2、合同以外顾客的合理要求。</w:t>
      </w:r>
    </w:p>
    <w:p w14:paraId="42D497F0">
      <w:pPr>
        <w:spacing w:line="218" w:lineRule="auto"/>
        <w:rPr>
          <w:sz w:val="24"/>
          <w:szCs w:val="24"/>
        </w:rPr>
        <w:sectPr>
          <w:footerReference r:id="rId239" w:type="default"/>
          <w:pgSz w:w="11907" w:h="16839"/>
          <w:pgMar w:top="954" w:right="4" w:bottom="1038" w:left="0" w:header="499" w:footer="357" w:gutter="0"/>
          <w:pgBorders>
            <w:top w:val="none" w:sz="0" w:space="0"/>
            <w:left w:val="none" w:sz="0" w:space="0"/>
            <w:bottom w:val="none" w:sz="0" w:space="0"/>
            <w:right w:val="none" w:sz="0" w:space="0"/>
          </w:pgBorders>
          <w:cols w:space="720" w:num="1"/>
        </w:sectPr>
      </w:pPr>
    </w:p>
    <w:p w14:paraId="356E675C">
      <w:pPr>
        <w:spacing w:line="250" w:lineRule="auto"/>
        <w:rPr>
          <w:rFonts w:ascii="Arial"/>
          <w:sz w:val="21"/>
        </w:rPr>
      </w:pPr>
    </w:p>
    <w:p w14:paraId="622E8B6C">
      <w:pPr>
        <w:pStyle w:val="2"/>
        <w:spacing w:before="78" w:line="217" w:lineRule="auto"/>
        <w:ind w:left="1903"/>
        <w:rPr>
          <w:sz w:val="24"/>
          <w:szCs w:val="24"/>
        </w:rPr>
      </w:pPr>
      <w:r>
        <w:rPr>
          <w:b/>
          <w:bCs/>
          <w:spacing w:val="-22"/>
          <w:sz w:val="24"/>
          <w:szCs w:val="24"/>
        </w:rPr>
        <w:t>第十二条</w:t>
      </w:r>
      <w:r>
        <w:rPr>
          <w:spacing w:val="-22"/>
          <w:sz w:val="24"/>
          <w:szCs w:val="24"/>
        </w:rPr>
        <w:t>保修期内属于公司承担责任的维修问题，应无条件进行保修。</w:t>
      </w:r>
    </w:p>
    <w:p w14:paraId="54E95F4D">
      <w:pPr>
        <w:pStyle w:val="2"/>
        <w:spacing w:before="119" w:line="285" w:lineRule="auto"/>
        <w:ind w:left="1458" w:right="1412" w:firstLine="445"/>
        <w:rPr>
          <w:sz w:val="24"/>
          <w:szCs w:val="24"/>
        </w:rPr>
      </w:pPr>
      <w:r>
        <w:rPr>
          <w:b/>
          <w:bCs/>
          <w:spacing w:val="-20"/>
          <w:sz w:val="24"/>
          <w:szCs w:val="24"/>
        </w:rPr>
        <w:t>第十三条</w:t>
      </w:r>
      <w:r>
        <w:rPr>
          <w:spacing w:val="-20"/>
          <w:sz w:val="24"/>
          <w:szCs w:val="24"/>
        </w:rPr>
        <w:t>保修期内属于顾客使用不当或其他非施工原因造成的质量问题，应</w:t>
      </w:r>
      <w:r>
        <w:rPr>
          <w:spacing w:val="-21"/>
          <w:sz w:val="24"/>
          <w:szCs w:val="24"/>
        </w:rPr>
        <w:t>向业主提出并</w:t>
      </w:r>
      <w:r>
        <w:rPr>
          <w:spacing w:val="-20"/>
          <w:sz w:val="24"/>
          <w:szCs w:val="24"/>
        </w:rPr>
        <w:t>解释原因，当业主需要公司进行维修时，维修专管人员应与业主进行协商达成一致意见，经业主认可，落实维修费用，由公司委派人组织队伍进行维修，维修专管人员对维修过程和情况进</w:t>
      </w:r>
      <w:r>
        <w:rPr>
          <w:spacing w:val="-16"/>
          <w:sz w:val="24"/>
          <w:szCs w:val="24"/>
        </w:rPr>
        <w:t>行监督。</w:t>
      </w:r>
    </w:p>
    <w:p w14:paraId="2A8ECEE7">
      <w:pPr>
        <w:pStyle w:val="2"/>
        <w:spacing w:before="117" w:line="263" w:lineRule="auto"/>
        <w:ind w:left="1455" w:right="1412" w:firstLine="447"/>
        <w:rPr>
          <w:sz w:val="24"/>
          <w:szCs w:val="24"/>
        </w:rPr>
      </w:pPr>
      <w:r>
        <w:rPr>
          <w:b/>
          <w:bCs/>
          <w:spacing w:val="-20"/>
          <w:sz w:val="24"/>
          <w:szCs w:val="24"/>
        </w:rPr>
        <w:t>第十四条</w:t>
      </w:r>
      <w:r>
        <w:rPr>
          <w:spacing w:val="-20"/>
          <w:sz w:val="24"/>
          <w:szCs w:val="24"/>
        </w:rPr>
        <w:t>保修期满后出现的质量问题确系施工质量造成的，公司工程管理部</w:t>
      </w:r>
      <w:r>
        <w:rPr>
          <w:spacing w:val="-21"/>
          <w:sz w:val="24"/>
          <w:szCs w:val="24"/>
        </w:rPr>
        <w:t>应组织安排维</w:t>
      </w:r>
      <w:r>
        <w:rPr>
          <w:spacing w:val="-18"/>
          <w:sz w:val="24"/>
          <w:szCs w:val="24"/>
        </w:rPr>
        <w:t>修。</w:t>
      </w:r>
    </w:p>
    <w:p w14:paraId="5593DD2D">
      <w:pPr>
        <w:pStyle w:val="2"/>
        <w:spacing w:before="116" w:line="262" w:lineRule="auto"/>
        <w:ind w:left="1457" w:right="1462" w:firstLine="446"/>
        <w:rPr>
          <w:sz w:val="24"/>
          <w:szCs w:val="24"/>
        </w:rPr>
      </w:pPr>
      <w:r>
        <w:rPr>
          <w:b/>
          <w:bCs/>
          <w:spacing w:val="-21"/>
          <w:sz w:val="24"/>
          <w:szCs w:val="24"/>
        </w:rPr>
        <w:t>第十五条</w:t>
      </w:r>
      <w:r>
        <w:rPr>
          <w:spacing w:val="-21"/>
          <w:sz w:val="24"/>
          <w:szCs w:val="24"/>
        </w:rPr>
        <w:t>超出保修范围和期限的，应根据实际情况</w:t>
      </w:r>
      <w:r>
        <w:rPr>
          <w:spacing w:val="-22"/>
          <w:sz w:val="24"/>
          <w:szCs w:val="24"/>
        </w:rPr>
        <w:t>与顾客商谈，落实维修方案和费用后，</w:t>
      </w:r>
      <w:r>
        <w:rPr>
          <w:spacing w:val="-21"/>
          <w:sz w:val="24"/>
          <w:szCs w:val="24"/>
        </w:rPr>
        <w:t>仍由工程部组织进行维修，尽量满足顾客的要求。</w:t>
      </w:r>
    </w:p>
    <w:p w14:paraId="0088FC34">
      <w:pPr>
        <w:pStyle w:val="2"/>
        <w:spacing w:before="119" w:line="216" w:lineRule="auto"/>
        <w:ind w:left="1903"/>
        <w:rPr>
          <w:sz w:val="24"/>
          <w:szCs w:val="24"/>
        </w:rPr>
      </w:pPr>
      <w:r>
        <w:rPr>
          <w:b/>
          <w:bCs/>
          <w:spacing w:val="-22"/>
          <w:sz w:val="24"/>
          <w:szCs w:val="24"/>
        </w:rPr>
        <w:t>第十六条</w:t>
      </w:r>
      <w:r>
        <w:rPr>
          <w:spacing w:val="-22"/>
          <w:sz w:val="24"/>
          <w:szCs w:val="24"/>
        </w:rPr>
        <w:t>维修工作负责人应及时组织现场查勘，制定维修方案，报工程部审核；</w:t>
      </w:r>
    </w:p>
    <w:p w14:paraId="2C796569">
      <w:pPr>
        <w:pStyle w:val="2"/>
        <w:spacing w:before="119" w:line="308" w:lineRule="auto"/>
        <w:ind w:left="1458" w:right="1354" w:firstLine="435"/>
        <w:jc w:val="both"/>
        <w:rPr>
          <w:sz w:val="24"/>
          <w:szCs w:val="24"/>
        </w:rPr>
      </w:pPr>
      <w:r>
        <w:rPr>
          <w:spacing w:val="-20"/>
          <w:sz w:val="24"/>
          <w:szCs w:val="24"/>
        </w:rPr>
        <w:t>根据确定后的维修方案，维修负责人应向维修施工队伍下达维修任务书，向维修班组人员</w:t>
      </w:r>
      <w:r>
        <w:rPr>
          <w:spacing w:val="-24"/>
          <w:sz w:val="24"/>
          <w:szCs w:val="24"/>
        </w:rPr>
        <w:t>进行书面的技术、安全交底，做好维修过程中的现场监控，并保持于业主的沟通；维修完成后，</w:t>
      </w:r>
      <w:r>
        <w:rPr>
          <w:spacing w:val="-22"/>
          <w:sz w:val="24"/>
          <w:szCs w:val="24"/>
        </w:rPr>
        <w:t>先经维修负责人、工程部验收，合格后再报业主验收。</w:t>
      </w:r>
    </w:p>
    <w:p w14:paraId="77F89463">
      <w:pPr>
        <w:pStyle w:val="2"/>
        <w:spacing w:before="1" w:line="215" w:lineRule="auto"/>
        <w:ind w:left="1903"/>
        <w:rPr>
          <w:sz w:val="24"/>
          <w:szCs w:val="24"/>
        </w:rPr>
      </w:pPr>
      <w:r>
        <w:rPr>
          <w:b/>
          <w:bCs/>
          <w:spacing w:val="-22"/>
          <w:sz w:val="24"/>
          <w:szCs w:val="24"/>
        </w:rPr>
        <w:t>第十七条</w:t>
      </w:r>
      <w:r>
        <w:rPr>
          <w:spacing w:val="-22"/>
          <w:sz w:val="24"/>
          <w:szCs w:val="24"/>
        </w:rPr>
        <w:t>维修工作经验收合格后，维修负责人应及时办理维修结算。</w:t>
      </w:r>
    </w:p>
    <w:p w14:paraId="4BCCDB0A">
      <w:pPr>
        <w:pStyle w:val="2"/>
        <w:spacing w:before="118" w:line="263" w:lineRule="auto"/>
        <w:ind w:left="1498" w:right="1412" w:firstLine="404"/>
        <w:rPr>
          <w:sz w:val="24"/>
          <w:szCs w:val="24"/>
        </w:rPr>
      </w:pPr>
      <w:r>
        <w:rPr>
          <w:b/>
          <w:bCs/>
          <w:spacing w:val="-20"/>
          <w:sz w:val="24"/>
          <w:szCs w:val="24"/>
        </w:rPr>
        <w:t>第十八条</w:t>
      </w:r>
      <w:r>
        <w:rPr>
          <w:spacing w:val="-20"/>
          <w:sz w:val="24"/>
          <w:szCs w:val="24"/>
        </w:rPr>
        <w:t>工程管理部应建立工程维修档案，记录工程维修的情况及费用情况，</w:t>
      </w:r>
      <w:r>
        <w:rPr>
          <w:spacing w:val="-21"/>
          <w:sz w:val="24"/>
          <w:szCs w:val="24"/>
        </w:rPr>
        <w:t>并纳入原项</w:t>
      </w:r>
      <w:r>
        <w:rPr>
          <w:spacing w:val="-26"/>
          <w:sz w:val="24"/>
          <w:szCs w:val="24"/>
        </w:rPr>
        <w:t>目的考核。</w:t>
      </w:r>
    </w:p>
    <w:p w14:paraId="608E7727">
      <w:pPr>
        <w:pStyle w:val="2"/>
        <w:spacing w:before="82" w:line="220" w:lineRule="auto"/>
        <w:ind w:left="1981"/>
        <w:outlineLvl w:val="2"/>
        <w:rPr>
          <w:sz w:val="28"/>
          <w:szCs w:val="28"/>
        </w:rPr>
      </w:pPr>
      <w:bookmarkStart w:id="169" w:name="bookmark162"/>
      <w:bookmarkEnd w:id="169"/>
      <w:r>
        <w:rPr>
          <w:b/>
          <w:bCs/>
          <w:spacing w:val="-18"/>
          <w:sz w:val="28"/>
          <w:szCs w:val="28"/>
        </w:rPr>
        <w:t>五、附则</w:t>
      </w:r>
    </w:p>
    <w:p w14:paraId="711015AE">
      <w:pPr>
        <w:pStyle w:val="2"/>
        <w:spacing w:before="99" w:line="217" w:lineRule="auto"/>
        <w:ind w:left="1903"/>
        <w:rPr>
          <w:sz w:val="24"/>
          <w:szCs w:val="24"/>
        </w:rPr>
      </w:pPr>
      <w:r>
        <w:rPr>
          <w:b/>
          <w:bCs/>
          <w:spacing w:val="-23"/>
          <w:sz w:val="24"/>
          <w:szCs w:val="24"/>
        </w:rPr>
        <w:t>第十九条</w:t>
      </w:r>
      <w:r>
        <w:rPr>
          <w:spacing w:val="-23"/>
          <w:sz w:val="24"/>
          <w:szCs w:val="24"/>
        </w:rPr>
        <w:t>本规定自批准之日起执行。</w:t>
      </w:r>
    </w:p>
    <w:p w14:paraId="721BA9CE">
      <w:pPr>
        <w:pStyle w:val="2"/>
        <w:spacing w:before="119" w:line="217" w:lineRule="auto"/>
        <w:ind w:left="1903"/>
        <w:rPr>
          <w:sz w:val="24"/>
          <w:szCs w:val="24"/>
        </w:rPr>
      </w:pPr>
      <w:r>
        <w:rPr>
          <w:b/>
          <w:bCs/>
          <w:spacing w:val="-21"/>
          <w:sz w:val="24"/>
          <w:szCs w:val="24"/>
        </w:rPr>
        <w:t>第二十条</w:t>
      </w:r>
      <w:r>
        <w:rPr>
          <w:spacing w:val="-21"/>
          <w:sz w:val="24"/>
          <w:szCs w:val="24"/>
        </w:rPr>
        <w:t>本办法相关附件</w:t>
      </w:r>
    </w:p>
    <w:p w14:paraId="523A55EC">
      <w:pPr>
        <w:pStyle w:val="2"/>
        <w:spacing w:before="120" w:line="217" w:lineRule="auto"/>
        <w:ind w:left="1903"/>
        <w:rPr>
          <w:sz w:val="24"/>
          <w:szCs w:val="24"/>
        </w:rPr>
      </w:pPr>
      <w:r>
        <w:rPr>
          <w:spacing w:val="-18"/>
          <w:sz w:val="24"/>
          <w:szCs w:val="24"/>
        </w:rPr>
        <w:t>附表1：业主来人来函（电）登记（ZH-WX-001）</w:t>
      </w:r>
    </w:p>
    <w:p w14:paraId="79C6185E">
      <w:pPr>
        <w:pStyle w:val="2"/>
        <w:spacing w:before="115" w:line="219" w:lineRule="auto"/>
        <w:ind w:left="1903"/>
        <w:rPr>
          <w:sz w:val="24"/>
          <w:szCs w:val="24"/>
        </w:rPr>
      </w:pPr>
      <w:r>
        <w:rPr>
          <w:spacing w:val="-14"/>
          <w:sz w:val="24"/>
          <w:szCs w:val="24"/>
        </w:rPr>
        <w:t>附表2：工程回访记录（ZH-WX-002）</w:t>
      </w:r>
    </w:p>
    <w:p w14:paraId="30332DA8">
      <w:pPr>
        <w:pStyle w:val="2"/>
        <w:spacing w:before="117" w:line="217" w:lineRule="auto"/>
        <w:ind w:left="1903"/>
        <w:rPr>
          <w:sz w:val="24"/>
          <w:szCs w:val="24"/>
        </w:rPr>
      </w:pPr>
      <w:r>
        <w:rPr>
          <w:spacing w:val="-15"/>
          <w:sz w:val="24"/>
          <w:szCs w:val="24"/>
        </w:rPr>
        <w:t>附表3：工程维修任务书（ZY-WX-003）</w:t>
      </w:r>
    </w:p>
    <w:p w14:paraId="1AEF781B">
      <w:pPr>
        <w:pStyle w:val="2"/>
        <w:spacing w:before="119" w:line="217" w:lineRule="auto"/>
        <w:ind w:left="1903"/>
        <w:rPr>
          <w:sz w:val="24"/>
          <w:szCs w:val="24"/>
        </w:rPr>
      </w:pPr>
      <w:r>
        <w:rPr>
          <w:spacing w:val="-15"/>
          <w:sz w:val="24"/>
          <w:szCs w:val="24"/>
        </w:rPr>
        <w:t>附表4：工程维修验收记录表（ZY-WX-004）</w:t>
      </w:r>
    </w:p>
    <w:p w14:paraId="30ED8799">
      <w:pPr>
        <w:spacing w:line="217" w:lineRule="auto"/>
        <w:rPr>
          <w:sz w:val="24"/>
          <w:szCs w:val="24"/>
        </w:rPr>
        <w:sectPr>
          <w:footerReference r:id="rId240" w:type="default"/>
          <w:pgSz w:w="11907" w:h="16839"/>
          <w:pgMar w:top="954" w:right="4" w:bottom="1038" w:left="0" w:header="499" w:footer="357" w:gutter="0"/>
          <w:pgBorders>
            <w:top w:val="none" w:sz="0" w:space="0"/>
            <w:left w:val="none" w:sz="0" w:space="0"/>
            <w:bottom w:val="none" w:sz="0" w:space="0"/>
            <w:right w:val="none" w:sz="0" w:space="0"/>
          </w:pgBorders>
          <w:cols w:space="720" w:num="1"/>
        </w:sectPr>
      </w:pPr>
    </w:p>
    <w:p w14:paraId="3AE3FB86">
      <w:pPr>
        <w:spacing w:line="250" w:lineRule="auto"/>
        <w:rPr>
          <w:rFonts w:ascii="Arial"/>
          <w:sz w:val="21"/>
        </w:rPr>
      </w:pPr>
    </w:p>
    <w:p w14:paraId="0EB47F52">
      <w:pPr>
        <w:pStyle w:val="2"/>
        <w:spacing w:before="78" w:line="264" w:lineRule="auto"/>
        <w:ind w:left="1894" w:right="7605" w:hanging="1"/>
        <w:rPr>
          <w:sz w:val="24"/>
          <w:szCs w:val="24"/>
        </w:rPr>
      </w:pPr>
      <w:r>
        <w:rPr>
          <w:spacing w:val="-22"/>
          <w:sz w:val="24"/>
          <w:szCs w:val="24"/>
        </w:rPr>
        <w:t>业主来人来函（电）登记</w:t>
      </w:r>
      <w:r>
        <w:rPr>
          <w:spacing w:val="-14"/>
          <w:sz w:val="24"/>
          <w:szCs w:val="24"/>
        </w:rPr>
        <w:t>编号：ZH-WX-001</w:t>
      </w:r>
    </w:p>
    <w:tbl>
      <w:tblPr>
        <w:tblStyle w:val="6"/>
        <w:tblW w:w="8960" w:type="dxa"/>
        <w:tblInd w:w="147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534"/>
        <w:gridCol w:w="2314"/>
        <w:gridCol w:w="1980"/>
        <w:gridCol w:w="3132"/>
      </w:tblGrid>
      <w:tr w14:paraId="2F3AEB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4" w:hRule="atLeast"/>
        </w:trPr>
        <w:tc>
          <w:tcPr>
            <w:tcW w:w="1534" w:type="dxa"/>
            <w:tcBorders>
              <w:top w:val="single" w:color="000000" w:sz="4" w:space="0"/>
              <w:left w:val="single" w:color="000000" w:sz="4" w:space="0"/>
            </w:tcBorders>
            <w:shd w:val="clear" w:color="auto" w:fill="DEEAF6"/>
            <w:vAlign w:val="top"/>
          </w:tcPr>
          <w:p w14:paraId="04CCA68C">
            <w:pPr>
              <w:pStyle w:val="7"/>
              <w:spacing w:before="169" w:line="217" w:lineRule="auto"/>
              <w:ind w:left="350"/>
            </w:pPr>
            <w:r>
              <w:rPr>
                <w:b/>
                <w:bCs/>
                <w:spacing w:val="-19"/>
              </w:rPr>
              <w:t>工程名称</w:t>
            </w:r>
          </w:p>
        </w:tc>
        <w:tc>
          <w:tcPr>
            <w:tcW w:w="2314" w:type="dxa"/>
            <w:tcBorders>
              <w:top w:val="single" w:color="000000" w:sz="4" w:space="0"/>
            </w:tcBorders>
            <w:shd w:val="clear" w:color="auto" w:fill="DEEAF6"/>
            <w:vAlign w:val="top"/>
          </w:tcPr>
          <w:p w14:paraId="6AFE2A10">
            <w:pPr>
              <w:rPr>
                <w:rFonts w:ascii="Arial"/>
                <w:sz w:val="21"/>
              </w:rPr>
            </w:pPr>
          </w:p>
        </w:tc>
        <w:tc>
          <w:tcPr>
            <w:tcW w:w="1980" w:type="dxa"/>
            <w:tcBorders>
              <w:top w:val="single" w:color="000000" w:sz="4" w:space="0"/>
            </w:tcBorders>
            <w:shd w:val="clear" w:color="auto" w:fill="DEEAF6"/>
            <w:vAlign w:val="top"/>
          </w:tcPr>
          <w:p w14:paraId="58C5D0CA">
            <w:pPr>
              <w:pStyle w:val="7"/>
              <w:spacing w:before="169" w:line="219" w:lineRule="auto"/>
              <w:ind w:left="566"/>
            </w:pPr>
            <w:r>
              <w:rPr>
                <w:b/>
                <w:bCs/>
                <w:spacing w:val="-18"/>
              </w:rPr>
              <w:t>竣工时间</w:t>
            </w:r>
          </w:p>
        </w:tc>
        <w:tc>
          <w:tcPr>
            <w:tcW w:w="3132" w:type="dxa"/>
            <w:tcBorders>
              <w:top w:val="single" w:color="5B9BD5" w:sz="4" w:space="0"/>
              <w:right w:val="single" w:color="5B9BD5" w:sz="4" w:space="0"/>
            </w:tcBorders>
            <w:shd w:val="clear" w:color="auto" w:fill="DEEAF6"/>
            <w:vAlign w:val="top"/>
          </w:tcPr>
          <w:p w14:paraId="5764674A">
            <w:pPr>
              <w:rPr>
                <w:rFonts w:ascii="Arial"/>
                <w:sz w:val="21"/>
              </w:rPr>
            </w:pPr>
          </w:p>
        </w:tc>
      </w:tr>
      <w:tr w14:paraId="50BEF7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6" w:hRule="atLeast"/>
        </w:trPr>
        <w:tc>
          <w:tcPr>
            <w:tcW w:w="1534" w:type="dxa"/>
            <w:tcBorders>
              <w:left w:val="single" w:color="000000" w:sz="4" w:space="0"/>
            </w:tcBorders>
            <w:vAlign w:val="top"/>
          </w:tcPr>
          <w:p w14:paraId="1AAAB935">
            <w:pPr>
              <w:pStyle w:val="7"/>
              <w:spacing w:before="190" w:line="220" w:lineRule="auto"/>
              <w:ind w:left="347"/>
            </w:pPr>
            <w:r>
              <w:rPr>
                <w:spacing w:val="-15"/>
              </w:rPr>
              <w:t>项目经理</w:t>
            </w:r>
          </w:p>
        </w:tc>
        <w:tc>
          <w:tcPr>
            <w:tcW w:w="2314" w:type="dxa"/>
            <w:vAlign w:val="top"/>
          </w:tcPr>
          <w:p w14:paraId="527E2B4A">
            <w:pPr>
              <w:rPr>
                <w:rFonts w:ascii="Arial"/>
                <w:sz w:val="21"/>
              </w:rPr>
            </w:pPr>
          </w:p>
        </w:tc>
        <w:tc>
          <w:tcPr>
            <w:tcW w:w="1980" w:type="dxa"/>
            <w:vAlign w:val="top"/>
          </w:tcPr>
          <w:p w14:paraId="7F86B990">
            <w:pPr>
              <w:pStyle w:val="7"/>
              <w:spacing w:before="190" w:line="217" w:lineRule="auto"/>
              <w:ind w:left="567"/>
            </w:pPr>
            <w:r>
              <w:rPr>
                <w:spacing w:val="-15"/>
              </w:rPr>
              <w:t>建设单位</w:t>
            </w:r>
          </w:p>
        </w:tc>
        <w:tc>
          <w:tcPr>
            <w:tcW w:w="3132" w:type="dxa"/>
            <w:tcBorders>
              <w:right w:val="single" w:color="000000" w:sz="4" w:space="0"/>
            </w:tcBorders>
            <w:vAlign w:val="top"/>
          </w:tcPr>
          <w:p w14:paraId="17173846">
            <w:pPr>
              <w:rPr>
                <w:rFonts w:ascii="Arial"/>
                <w:sz w:val="21"/>
              </w:rPr>
            </w:pPr>
          </w:p>
        </w:tc>
      </w:tr>
      <w:tr w14:paraId="7299F3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774" w:hRule="atLeast"/>
        </w:trPr>
        <w:tc>
          <w:tcPr>
            <w:tcW w:w="1534" w:type="dxa"/>
            <w:tcBorders>
              <w:left w:val="single" w:color="000000" w:sz="4" w:space="0"/>
            </w:tcBorders>
            <w:vAlign w:val="top"/>
          </w:tcPr>
          <w:p w14:paraId="35269080">
            <w:pPr>
              <w:pStyle w:val="7"/>
              <w:spacing w:before="189" w:line="218" w:lineRule="auto"/>
              <w:ind w:left="237"/>
            </w:pPr>
            <w:r>
              <w:rPr>
                <w:spacing w:val="-17"/>
              </w:rPr>
              <w:t>投诉人姓名</w:t>
            </w:r>
          </w:p>
        </w:tc>
        <w:tc>
          <w:tcPr>
            <w:tcW w:w="2314" w:type="dxa"/>
            <w:vAlign w:val="top"/>
          </w:tcPr>
          <w:p w14:paraId="0C95D303">
            <w:pPr>
              <w:rPr>
                <w:rFonts w:ascii="Arial"/>
                <w:sz w:val="21"/>
              </w:rPr>
            </w:pPr>
          </w:p>
        </w:tc>
        <w:tc>
          <w:tcPr>
            <w:tcW w:w="1980" w:type="dxa"/>
            <w:vAlign w:val="top"/>
          </w:tcPr>
          <w:p w14:paraId="22FFF51D">
            <w:pPr>
              <w:pStyle w:val="7"/>
              <w:spacing w:before="189" w:line="219" w:lineRule="auto"/>
              <w:ind w:left="564"/>
            </w:pPr>
            <w:r>
              <w:rPr>
                <w:spacing w:val="-15"/>
              </w:rPr>
              <w:t>联系电话</w:t>
            </w:r>
          </w:p>
        </w:tc>
        <w:tc>
          <w:tcPr>
            <w:tcW w:w="3132" w:type="dxa"/>
            <w:tcBorders>
              <w:right w:val="single" w:color="000000" w:sz="4" w:space="0"/>
            </w:tcBorders>
            <w:vAlign w:val="top"/>
          </w:tcPr>
          <w:p w14:paraId="519F4D0A">
            <w:pPr>
              <w:rPr>
                <w:rFonts w:ascii="Arial"/>
                <w:sz w:val="21"/>
              </w:rPr>
            </w:pPr>
          </w:p>
        </w:tc>
      </w:tr>
      <w:tr w14:paraId="3BEE96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70" w:hRule="atLeast"/>
        </w:trPr>
        <w:tc>
          <w:tcPr>
            <w:tcW w:w="1534" w:type="dxa"/>
            <w:tcBorders>
              <w:left w:val="single" w:color="000000" w:sz="4" w:space="0"/>
            </w:tcBorders>
            <w:vAlign w:val="top"/>
          </w:tcPr>
          <w:p w14:paraId="3D1A28E7">
            <w:pPr>
              <w:pStyle w:val="7"/>
              <w:spacing w:before="140" w:line="219" w:lineRule="auto"/>
              <w:ind w:left="357"/>
            </w:pPr>
            <w:r>
              <w:rPr>
                <w:spacing w:val="-18"/>
              </w:rPr>
              <w:t>受理时间</w:t>
            </w:r>
          </w:p>
        </w:tc>
        <w:tc>
          <w:tcPr>
            <w:tcW w:w="2314" w:type="dxa"/>
            <w:vAlign w:val="top"/>
          </w:tcPr>
          <w:p w14:paraId="7EB1624E">
            <w:pPr>
              <w:rPr>
                <w:rFonts w:ascii="Arial"/>
                <w:sz w:val="21"/>
              </w:rPr>
            </w:pPr>
          </w:p>
        </w:tc>
        <w:tc>
          <w:tcPr>
            <w:tcW w:w="1980" w:type="dxa"/>
            <w:vAlign w:val="top"/>
          </w:tcPr>
          <w:p w14:paraId="306AFB69">
            <w:pPr>
              <w:pStyle w:val="7"/>
              <w:spacing w:before="140" w:line="219" w:lineRule="auto"/>
              <w:ind w:left="564"/>
            </w:pPr>
            <w:r>
              <w:rPr>
                <w:spacing w:val="-15"/>
              </w:rPr>
              <w:t>联系电话</w:t>
            </w:r>
          </w:p>
        </w:tc>
        <w:tc>
          <w:tcPr>
            <w:tcW w:w="3132" w:type="dxa"/>
            <w:tcBorders>
              <w:right w:val="single" w:color="000000" w:sz="4" w:space="0"/>
            </w:tcBorders>
            <w:vAlign w:val="top"/>
          </w:tcPr>
          <w:p w14:paraId="311035B5">
            <w:pPr>
              <w:rPr>
                <w:rFonts w:ascii="Arial"/>
                <w:sz w:val="21"/>
              </w:rPr>
            </w:pPr>
          </w:p>
        </w:tc>
      </w:tr>
      <w:tr w14:paraId="78B433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1" w:hRule="atLeast"/>
        </w:trPr>
        <w:tc>
          <w:tcPr>
            <w:tcW w:w="1534" w:type="dxa"/>
            <w:tcBorders>
              <w:left w:val="single" w:color="000000" w:sz="4" w:space="0"/>
            </w:tcBorders>
            <w:vAlign w:val="top"/>
          </w:tcPr>
          <w:p w14:paraId="42FDD86C">
            <w:pPr>
              <w:pStyle w:val="7"/>
              <w:spacing w:before="142" w:line="217" w:lineRule="auto"/>
              <w:ind w:left="357"/>
            </w:pPr>
            <w:r>
              <w:rPr>
                <w:spacing w:val="-18"/>
              </w:rPr>
              <w:t>受理部门</w:t>
            </w:r>
          </w:p>
        </w:tc>
        <w:tc>
          <w:tcPr>
            <w:tcW w:w="2314" w:type="dxa"/>
            <w:vAlign w:val="top"/>
          </w:tcPr>
          <w:p w14:paraId="7A22AB9A">
            <w:pPr>
              <w:rPr>
                <w:rFonts w:ascii="Arial"/>
                <w:sz w:val="21"/>
              </w:rPr>
            </w:pPr>
          </w:p>
        </w:tc>
        <w:tc>
          <w:tcPr>
            <w:tcW w:w="1980" w:type="dxa"/>
            <w:vAlign w:val="top"/>
          </w:tcPr>
          <w:p w14:paraId="68D9A72F">
            <w:pPr>
              <w:pStyle w:val="7"/>
              <w:spacing w:before="141" w:line="219" w:lineRule="auto"/>
              <w:ind w:left="672"/>
            </w:pPr>
            <w:r>
              <w:rPr>
                <w:spacing w:val="-13"/>
              </w:rPr>
              <w:t>记录人</w:t>
            </w:r>
          </w:p>
        </w:tc>
        <w:tc>
          <w:tcPr>
            <w:tcW w:w="3132" w:type="dxa"/>
            <w:tcBorders>
              <w:right w:val="single" w:color="000000" w:sz="4" w:space="0"/>
            </w:tcBorders>
            <w:vAlign w:val="top"/>
          </w:tcPr>
          <w:p w14:paraId="2EF67ACE">
            <w:pPr>
              <w:rPr>
                <w:rFonts w:ascii="Arial"/>
                <w:sz w:val="21"/>
              </w:rPr>
            </w:pPr>
          </w:p>
        </w:tc>
      </w:tr>
      <w:tr w14:paraId="76DB08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19" w:hRule="atLeast"/>
        </w:trPr>
        <w:tc>
          <w:tcPr>
            <w:tcW w:w="1534" w:type="dxa"/>
            <w:tcBorders>
              <w:left w:val="single" w:color="000000" w:sz="4" w:space="0"/>
              <w:right w:val="nil"/>
            </w:tcBorders>
            <w:vAlign w:val="top"/>
          </w:tcPr>
          <w:p w14:paraId="3F501ADE">
            <w:pPr>
              <w:rPr>
                <w:rFonts w:ascii="Arial"/>
                <w:sz w:val="21"/>
              </w:rPr>
            </w:pPr>
          </w:p>
        </w:tc>
        <w:tc>
          <w:tcPr>
            <w:tcW w:w="7426" w:type="dxa"/>
            <w:gridSpan w:val="3"/>
            <w:tcBorders>
              <w:left w:val="nil"/>
              <w:right w:val="single" w:color="000000" w:sz="4" w:space="0"/>
            </w:tcBorders>
            <w:vAlign w:val="top"/>
          </w:tcPr>
          <w:p w14:paraId="29487D09">
            <w:pPr>
              <w:spacing w:line="287" w:lineRule="auto"/>
              <w:rPr>
                <w:rFonts w:ascii="Arial"/>
                <w:sz w:val="21"/>
              </w:rPr>
            </w:pPr>
          </w:p>
          <w:p w14:paraId="15C52478">
            <w:pPr>
              <w:pStyle w:val="7"/>
              <w:spacing w:before="78" w:line="217" w:lineRule="auto"/>
              <w:ind w:left="2415"/>
            </w:pPr>
            <w:r>
              <w:rPr>
                <w:spacing w:val="-17"/>
              </w:rPr>
              <w:t>信息描述：</w:t>
            </w:r>
          </w:p>
        </w:tc>
      </w:tr>
      <w:tr w14:paraId="2EEBC9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2" w:hRule="atLeast"/>
        </w:trPr>
        <w:tc>
          <w:tcPr>
            <w:tcW w:w="8960" w:type="dxa"/>
            <w:gridSpan w:val="4"/>
            <w:tcBorders>
              <w:left w:val="single" w:color="1C456A" w:sz="4" w:space="0"/>
              <w:bottom w:val="single" w:color="1C456A" w:sz="4" w:space="0"/>
              <w:right w:val="single" w:color="1C456A" w:sz="4" w:space="0"/>
            </w:tcBorders>
            <w:vAlign w:val="top"/>
          </w:tcPr>
          <w:p w14:paraId="69DAFD92">
            <w:pPr>
              <w:pStyle w:val="7"/>
              <w:spacing w:before="102" w:line="217" w:lineRule="auto"/>
              <w:ind w:left="3944"/>
            </w:pPr>
            <w:r>
              <w:pict>
                <v:shape id="_x0000_s3587" o:spid="_x0000_s3587" style="position:absolute;left:0pt;margin-left:-0.25pt;margin-top:54.65pt;height:0.75pt;width:2.2pt;mso-position-horizontal-relative:page;mso-position-vertical-relative:page;z-index:252156928;mso-width-relative:page;mso-height-relative:page;" fillcolor="#5B9BD5" filled="t" stroked="f" coordsize="44,15" path="m0,14l43,14,43,0,0,0,0,14xe">
                  <v:path/>
                  <v:fill on="t" focussize="0,0"/>
                  <v:stroke on="f"/>
                  <v:imagedata o:title=""/>
                  <o:lock v:ext="edit"/>
                </v:shape>
              </w:pict>
            </w:r>
            <w:r>
              <w:pict>
                <v:shape id="_x0000_s3588" o:spid="_x0000_s3588" style="position:absolute;left:0pt;margin-left:446.15pt;margin-top:54.65pt;height:0.75pt;width:2.2pt;mso-position-horizontal-relative:page;mso-position-vertical-relative:page;z-index:252157952;mso-width-relative:page;mso-height-relative:page;" fillcolor="#5B9BD5" filled="t" stroked="f" coordsize="44,15" path="m0,14l43,14,43,0,0,0,0,14xe">
                  <v:path/>
                  <v:fill on="t" focussize="0,0"/>
                  <v:stroke on="f"/>
                  <v:imagedata o:title=""/>
                  <o:lock v:ext="edit"/>
                </v:shape>
              </w:pict>
            </w:r>
            <w:r>
              <w:rPr>
                <w:spacing w:val="-17"/>
              </w:rPr>
              <w:t>信息处置：</w:t>
            </w:r>
          </w:p>
        </w:tc>
      </w:tr>
    </w:tbl>
    <w:p w14:paraId="6459AFC0">
      <w:pPr>
        <w:pStyle w:val="2"/>
        <w:spacing w:before="112" w:line="219" w:lineRule="auto"/>
        <w:ind w:left="1898"/>
        <w:rPr>
          <w:sz w:val="24"/>
          <w:szCs w:val="24"/>
        </w:rPr>
      </w:pPr>
      <w:r>
        <w:rPr>
          <w:spacing w:val="-19"/>
          <w:sz w:val="24"/>
          <w:szCs w:val="24"/>
        </w:rPr>
        <w:t>工程回访记录</w:t>
      </w:r>
    </w:p>
    <w:p w14:paraId="38B9F8D7">
      <w:pPr>
        <w:pStyle w:val="2"/>
        <w:spacing w:before="115" w:line="220" w:lineRule="auto"/>
        <w:ind w:left="1895"/>
        <w:rPr>
          <w:sz w:val="24"/>
          <w:szCs w:val="24"/>
        </w:rPr>
      </w:pPr>
      <w:r>
        <w:pict>
          <v:shape id="_x0000_s3589" o:spid="_x0000_s3589" style="position:absolute;left:0pt;margin-left:396.55pt;margin-top:21.45pt;height:0.75pt;width:2.2pt;z-index:252151808;mso-width-relative:page;mso-height-relative:page;" fillcolor="#1C456A" filled="t" stroked="f" coordsize="44,15" path="m0,14l43,14,43,0,0,0,0,14xe">
            <v:path/>
            <v:fill on="t" focussize="0,0"/>
            <v:stroke on="f"/>
            <v:imagedata o:title=""/>
            <o:lock v:ext="edit"/>
          </v:shape>
        </w:pict>
      </w:r>
      <w:r>
        <w:pict>
          <v:shape id="_x0000_s3590" o:spid="_x0000_s3590" style="position:absolute;left:0pt;margin-left:312.65pt;margin-top:21.45pt;height:0.75pt;width:2.2pt;z-index:252150784;mso-width-relative:page;mso-height-relative:page;" fillcolor="#1C456A" filled="t" stroked="f" coordsize="44,15" path="m0,14l43,14,43,0,0,0,0,14xe">
            <v:path/>
            <v:fill on="t" focussize="0,0"/>
            <v:stroke on="f"/>
            <v:imagedata o:title=""/>
            <o:lock v:ext="edit"/>
          </v:shape>
        </w:pict>
      </w:r>
      <w:r>
        <w:rPr>
          <w:spacing w:val="-14"/>
          <w:sz w:val="24"/>
          <w:szCs w:val="24"/>
        </w:rPr>
        <w:t>编号：ZH-WX-002</w:t>
      </w:r>
    </w:p>
    <w:tbl>
      <w:tblPr>
        <w:tblStyle w:val="6"/>
        <w:tblW w:w="8926" w:type="dxa"/>
        <w:tblInd w:w="149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418"/>
        <w:gridCol w:w="3353"/>
        <w:gridCol w:w="1673"/>
        <w:gridCol w:w="2482"/>
      </w:tblGrid>
      <w:tr w14:paraId="21AD20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4" w:hRule="atLeast"/>
        </w:trPr>
        <w:tc>
          <w:tcPr>
            <w:tcW w:w="1418" w:type="dxa"/>
            <w:tcBorders>
              <w:top w:val="single" w:color="000000" w:sz="4" w:space="0"/>
              <w:left w:val="single" w:color="000000" w:sz="4" w:space="0"/>
            </w:tcBorders>
            <w:shd w:val="clear" w:color="auto" w:fill="DEEAF6"/>
            <w:vAlign w:val="top"/>
          </w:tcPr>
          <w:p w14:paraId="6C6AC7CE">
            <w:pPr>
              <w:spacing w:line="18" w:lineRule="exact"/>
              <w:ind w:firstLine="1398"/>
            </w:pPr>
            <w:r>
              <w:pict>
                <v:shape id="_x0000_s3591" o:spid="_x0000_s3591" style="position:absolute;left:0pt;margin-left:-0.2pt;margin-top:0pt;height:0.75pt;width:2.2pt;mso-position-horizontal-relative:page;mso-position-vertical-relative:page;z-index:252155904;mso-width-relative:page;mso-height-relative:page;" fillcolor="#5B9BD5" filled="t" stroked="f" coordsize="44,15" path="m0,14l43,14,43,0,0,0,0,14xe">
                  <v:path/>
                  <v:fill on="t" focussize="0,0"/>
                  <v:stroke on="f"/>
                  <v:imagedata o:title=""/>
                  <o:lock v:ext="edit"/>
                </v:shape>
              </w:pict>
            </w:r>
            <w:r>
              <w:pict>
                <v:group id="_x0000_s3592" o:spid="_x0000_s3592" o:spt="203" style="height:1.45pt;width:2.2pt;" coordsize="44,29">
                  <o:lock v:ext="edit"/>
                  <v:shape id="_x0000_s3593" o:spid="_x0000_s3593" style="position:absolute;left:0;top:0;height:15;width:44;" fillcolor="#5B9BD5" filled="t" stroked="f" coordsize="44,15" path="m0,14l43,14,43,0,0,0,0,14xe">
                    <v:path/>
                    <v:fill on="t" focussize="0,0"/>
                    <v:stroke on="f"/>
                    <v:imagedata o:title=""/>
                    <o:lock v:ext="edit"/>
                  </v:shape>
                  <v:shape id="_x0000_s3594" o:spid="_x0000_s3594" style="position:absolute;left:0;top:14;height:15;width:44;" fillcolor="#20507B" filled="t" stroked="f" coordsize="44,15" path="m0,14l43,14,43,0,0,0,0,14xe">
                    <v:path/>
                    <v:fill on="t" focussize="0,0"/>
                    <v:stroke on="f"/>
                    <v:imagedata o:title=""/>
                    <o:lock v:ext="edit"/>
                  </v:shape>
                  <w10:wrap type="none"/>
                  <w10:anchorlock/>
                </v:group>
              </w:pict>
            </w:r>
          </w:p>
          <w:p w14:paraId="22036BEA">
            <w:pPr>
              <w:pStyle w:val="7"/>
              <w:spacing w:before="189" w:line="217" w:lineRule="auto"/>
              <w:ind w:left="289"/>
            </w:pPr>
            <w:r>
              <w:rPr>
                <w:b/>
                <w:bCs/>
                <w:spacing w:val="-19"/>
              </w:rPr>
              <w:t>工程名称</w:t>
            </w:r>
          </w:p>
        </w:tc>
        <w:tc>
          <w:tcPr>
            <w:tcW w:w="3353" w:type="dxa"/>
            <w:tcBorders>
              <w:top w:val="single" w:color="000000" w:sz="4" w:space="0"/>
            </w:tcBorders>
            <w:shd w:val="clear" w:color="auto" w:fill="DEEAF6"/>
            <w:vAlign w:val="top"/>
          </w:tcPr>
          <w:p w14:paraId="40645DE1">
            <w:pPr>
              <w:rPr>
                <w:rFonts w:ascii="Arial"/>
                <w:sz w:val="21"/>
              </w:rPr>
            </w:pPr>
          </w:p>
        </w:tc>
        <w:tc>
          <w:tcPr>
            <w:tcW w:w="1673" w:type="dxa"/>
            <w:tcBorders>
              <w:top w:val="single" w:color="000000" w:sz="4" w:space="0"/>
            </w:tcBorders>
            <w:shd w:val="clear" w:color="auto" w:fill="DEEAF6"/>
            <w:vAlign w:val="top"/>
          </w:tcPr>
          <w:p w14:paraId="6287CD77">
            <w:pPr>
              <w:spacing w:line="93" w:lineRule="exact"/>
            </w:pPr>
            <w:r>
              <w:rPr>
                <w:position w:val="-1"/>
              </w:rPr>
              <w:pict>
                <v:group id="_x0000_s3595" o:spid="_x0000_s3595" o:spt="203" style="height:5.2pt;width:83.95pt;" coordsize="1678,103">
                  <o:lock v:ext="edit"/>
                  <v:shape id="_x0000_s3596" o:spid="_x0000_s3596" style="position:absolute;left:0;top:0;height:15;width:44;" fillcolor="#5B9BD5" filled="t" stroked="f" coordsize="44,15" path="m0,14l43,14,43,0,0,0,0,14xe">
                    <v:path/>
                    <v:fill on="t" focussize="0,0"/>
                    <v:stroke on="f"/>
                    <v:imagedata o:title=""/>
                    <o:lock v:ext="edit"/>
                  </v:shape>
                  <v:shape id="_x0000_s3597" o:spid="_x0000_s3597" style="position:absolute;left:0;top:14;height:15;width:44;" fillcolor="#20507B" filled="t" stroked="f" coordsize="44,15" path="m0,14l43,14,43,0,0,0,0,14xe">
                    <v:path/>
                    <v:fill on="t" focussize="0,0"/>
                    <v:stroke on="f"/>
                    <v:imagedata o:title=""/>
                    <o:lock v:ext="edit"/>
                  </v:shape>
                  <v:shape id="_x0000_s3598" o:spid="_x0000_s3598" style="position:absolute;left:43;top:43;height:60;width:1635;" fillcolor="#DEEAF6" filled="t" stroked="f" coordsize="1635,60" path="m0,60l1634,60,1634,0,0,0,0,60xe">
                    <v:path/>
                    <v:fill on="t" focussize="0,0"/>
                    <v:stroke on="f"/>
                    <v:imagedata o:title=""/>
                    <o:lock v:ext="edit"/>
                  </v:shape>
                  <w10:wrap type="none"/>
                  <w10:anchorlock/>
                </v:group>
              </w:pict>
            </w:r>
          </w:p>
          <w:p w14:paraId="5FFBA508">
            <w:pPr>
              <w:pStyle w:val="7"/>
              <w:spacing w:before="115" w:line="217" w:lineRule="auto"/>
              <w:ind w:left="407"/>
            </w:pPr>
            <w:r>
              <w:rPr>
                <w:b/>
                <w:bCs/>
                <w:spacing w:val="-18"/>
              </w:rPr>
              <w:t>建设单位</w:t>
            </w:r>
          </w:p>
          <w:p w14:paraId="221BB4E1">
            <w:pPr>
              <w:spacing w:before="231" w:line="52" w:lineRule="exact"/>
            </w:pPr>
            <w:r>
              <w:rPr>
                <w:position w:val="-1"/>
              </w:rPr>
              <w:pict>
                <v:shape id="_x0000_s3599" o:spid="_x0000_s3599" style="height:2.9pt;width:83.95pt;" fillcolor="#DEEAF6" filled="t" stroked="f" coordsize="1678,58" path="m0,57l1678,57,1678,0,0,0,0,57xe">
                  <v:path/>
                  <v:fill on="t" focussize="0,0"/>
                  <v:stroke on="f"/>
                  <v:imagedata o:title=""/>
                  <o:lock v:ext="edit"/>
                  <w10:wrap type="none"/>
                  <w10:anchorlock/>
                </v:shape>
              </w:pict>
            </w:r>
          </w:p>
        </w:tc>
        <w:tc>
          <w:tcPr>
            <w:tcW w:w="2482" w:type="dxa"/>
            <w:tcBorders>
              <w:top w:val="single" w:color="5B9BD5" w:sz="4" w:space="0"/>
              <w:right w:val="single" w:color="5B9BD5" w:sz="4" w:space="0"/>
            </w:tcBorders>
            <w:shd w:val="clear" w:color="auto" w:fill="DEEAF6"/>
            <w:vAlign w:val="top"/>
          </w:tcPr>
          <w:p w14:paraId="16AB0EAF">
            <w:pPr>
              <w:spacing w:line="18" w:lineRule="exact"/>
            </w:pPr>
            <w:r>
              <w:pict>
                <v:shape id="_x0000_s3600" o:spid="_x0000_s3600" style="position:absolute;left:0pt;margin-left:122.25pt;margin-top:0pt;height:0.75pt;width:2.2pt;mso-position-horizontal-relative:page;mso-position-vertical-relative:page;z-index:252154880;mso-width-relative:page;mso-height-relative:page;" fillcolor="#5B9BD5" filled="t" stroked="f" coordsize="44,15" path="m0,14l43,14,43,0,0,0,0,14xe">
                  <v:path/>
                  <v:fill on="t" focussize="0,0"/>
                  <v:stroke on="f"/>
                  <v:imagedata o:title=""/>
                  <o:lock v:ext="edit"/>
                </v:shape>
              </w:pict>
            </w:r>
            <w:r>
              <w:pict>
                <v:group id="_x0000_s3601" o:spid="_x0000_s3601" o:spt="203" style="height:1.45pt;width:2.2pt;" coordsize="44,29">
                  <o:lock v:ext="edit"/>
                  <v:shape id="_x0000_s3602" o:spid="_x0000_s3602" style="position:absolute;left:0;top:0;height:15;width:44;" fillcolor="#5B9BD5" filled="t" stroked="f" coordsize="44,15" path="m0,14l43,14,43,0,0,0,0,14xe">
                    <v:path/>
                    <v:fill on="t" focussize="0,0"/>
                    <v:stroke on="f"/>
                    <v:imagedata o:title=""/>
                    <o:lock v:ext="edit"/>
                  </v:shape>
                  <v:shape id="_x0000_s3603" o:spid="_x0000_s3603" style="position:absolute;left:0;top:14;height:15;width:44;" fillcolor="#20507B" filled="t" stroked="f" coordsize="44,15" path="m0,14l43,14,43,0,0,0,0,14xe">
                    <v:path/>
                    <v:fill on="t" focussize="0,0"/>
                    <v:stroke on="f"/>
                    <v:imagedata o:title=""/>
                    <o:lock v:ext="edit"/>
                  </v:shape>
                  <w10:wrap type="none"/>
                  <w10:anchorlock/>
                </v:group>
              </w:pict>
            </w:r>
          </w:p>
          <w:p w14:paraId="6D04F98B">
            <w:pPr>
              <w:spacing w:before="14" w:line="60" w:lineRule="exact"/>
              <w:ind w:firstLine="36"/>
            </w:pPr>
            <w:r>
              <w:rPr>
                <w:position w:val="-1"/>
              </w:rPr>
              <w:pict>
                <v:shape id="_x0000_s3604" o:spid="_x0000_s3604" style="height:3pt;width:120.3pt;" fillcolor="#DEEAF6" filled="t" stroked="f" coordsize="2406,60" path="m0,60l2405,60,2405,0,0,0,0,60xe">
                  <v:path/>
                  <v:fill on="t" focussize="0,0"/>
                  <v:stroke on="f"/>
                  <v:imagedata o:title=""/>
                  <o:lock v:ext="edit"/>
                  <w10:wrap type="none"/>
                  <w10:anchorlock/>
                </v:shape>
              </w:pict>
            </w:r>
          </w:p>
          <w:p w14:paraId="55344E03">
            <w:pPr>
              <w:spacing w:line="312" w:lineRule="auto"/>
              <w:rPr>
                <w:rFonts w:ascii="Arial"/>
                <w:sz w:val="21"/>
              </w:rPr>
            </w:pPr>
          </w:p>
          <w:p w14:paraId="50F994BC">
            <w:pPr>
              <w:spacing w:line="313" w:lineRule="auto"/>
              <w:rPr>
                <w:rFonts w:ascii="Arial"/>
                <w:sz w:val="21"/>
              </w:rPr>
            </w:pPr>
          </w:p>
          <w:p w14:paraId="6BB3CBAB">
            <w:pPr>
              <w:spacing w:line="51" w:lineRule="exact"/>
            </w:pPr>
            <w:r>
              <w:rPr>
                <w:position w:val="-1"/>
              </w:rPr>
              <w:pict>
                <v:shape id="_x0000_s3605" o:spid="_x0000_s3605" style="height:2.9pt;width:123.3pt;" fillcolor="#DEEAF6" filled="t" stroked="f" coordsize="2466,58" path="m0,57l2465,57,2465,0,0,0,0,57xe">
                  <v:path/>
                  <v:fill on="t" focussize="0,0"/>
                  <v:stroke on="f"/>
                  <v:imagedata o:title=""/>
                  <o:lock v:ext="edit"/>
                  <w10:wrap type="none"/>
                  <w10:anchorlock/>
                </v:shape>
              </w:pict>
            </w:r>
          </w:p>
        </w:tc>
      </w:tr>
      <w:tr w14:paraId="2C3882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747" w:hRule="atLeast"/>
        </w:trPr>
        <w:tc>
          <w:tcPr>
            <w:tcW w:w="1418" w:type="dxa"/>
            <w:tcBorders>
              <w:left w:val="single" w:color="000000" w:sz="4" w:space="0"/>
            </w:tcBorders>
            <w:vAlign w:val="top"/>
          </w:tcPr>
          <w:p w14:paraId="4C4C6638">
            <w:pPr>
              <w:pStyle w:val="7"/>
              <w:spacing w:before="173" w:line="220" w:lineRule="auto"/>
              <w:ind w:left="287"/>
            </w:pPr>
            <w:r>
              <w:rPr>
                <w:spacing w:val="-15"/>
              </w:rPr>
              <w:t>项目经理</w:t>
            </w:r>
          </w:p>
        </w:tc>
        <w:tc>
          <w:tcPr>
            <w:tcW w:w="3353" w:type="dxa"/>
            <w:vAlign w:val="top"/>
          </w:tcPr>
          <w:p w14:paraId="38ED19F4">
            <w:pPr>
              <w:rPr>
                <w:rFonts w:ascii="Arial"/>
                <w:sz w:val="21"/>
              </w:rPr>
            </w:pPr>
          </w:p>
        </w:tc>
        <w:tc>
          <w:tcPr>
            <w:tcW w:w="1673" w:type="dxa"/>
            <w:vAlign w:val="top"/>
          </w:tcPr>
          <w:p w14:paraId="534F408F">
            <w:pPr>
              <w:pStyle w:val="7"/>
              <w:spacing w:before="173" w:line="219" w:lineRule="auto"/>
              <w:ind w:left="412"/>
            </w:pPr>
            <w:r>
              <w:rPr>
                <w:spacing w:val="-16"/>
              </w:rPr>
              <w:t>竣工时间</w:t>
            </w:r>
          </w:p>
        </w:tc>
        <w:tc>
          <w:tcPr>
            <w:tcW w:w="2482" w:type="dxa"/>
            <w:tcBorders>
              <w:right w:val="single" w:color="000000" w:sz="4" w:space="0"/>
            </w:tcBorders>
            <w:vAlign w:val="top"/>
          </w:tcPr>
          <w:p w14:paraId="4CA2FB06">
            <w:pPr>
              <w:rPr>
                <w:rFonts w:ascii="Arial"/>
                <w:sz w:val="21"/>
              </w:rPr>
            </w:pPr>
          </w:p>
        </w:tc>
      </w:tr>
      <w:tr w14:paraId="03299C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7" w:hRule="atLeast"/>
        </w:trPr>
        <w:tc>
          <w:tcPr>
            <w:tcW w:w="1418" w:type="dxa"/>
            <w:tcBorders>
              <w:left w:val="single" w:color="000000" w:sz="4" w:space="0"/>
            </w:tcBorders>
            <w:vAlign w:val="top"/>
          </w:tcPr>
          <w:p w14:paraId="5487CA92">
            <w:pPr>
              <w:pStyle w:val="7"/>
              <w:spacing w:before="177" w:line="219" w:lineRule="auto"/>
              <w:ind w:left="315"/>
            </w:pPr>
            <w:r>
              <w:rPr>
                <w:spacing w:val="-23"/>
              </w:rPr>
              <w:t>回访时间</w:t>
            </w:r>
          </w:p>
        </w:tc>
        <w:tc>
          <w:tcPr>
            <w:tcW w:w="3353" w:type="dxa"/>
            <w:vAlign w:val="top"/>
          </w:tcPr>
          <w:p w14:paraId="01062AC1">
            <w:pPr>
              <w:rPr>
                <w:rFonts w:ascii="Arial"/>
                <w:sz w:val="21"/>
              </w:rPr>
            </w:pPr>
          </w:p>
        </w:tc>
        <w:tc>
          <w:tcPr>
            <w:tcW w:w="1673" w:type="dxa"/>
            <w:vAlign w:val="top"/>
          </w:tcPr>
          <w:p w14:paraId="2584533B">
            <w:pPr>
              <w:pStyle w:val="7"/>
              <w:spacing w:before="177" w:line="219" w:lineRule="auto"/>
              <w:ind w:left="439"/>
            </w:pPr>
            <w:r>
              <w:rPr>
                <w:spacing w:val="-23"/>
              </w:rPr>
              <w:t>回访方式</w:t>
            </w:r>
          </w:p>
        </w:tc>
        <w:tc>
          <w:tcPr>
            <w:tcW w:w="2482" w:type="dxa"/>
            <w:tcBorders>
              <w:right w:val="single" w:color="000000" w:sz="4" w:space="0"/>
            </w:tcBorders>
            <w:vAlign w:val="top"/>
          </w:tcPr>
          <w:p w14:paraId="0881D99E">
            <w:pPr>
              <w:rPr>
                <w:rFonts w:ascii="Arial"/>
                <w:sz w:val="21"/>
              </w:rPr>
            </w:pPr>
          </w:p>
        </w:tc>
      </w:tr>
      <w:tr w14:paraId="649172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7" w:hRule="atLeast"/>
        </w:trPr>
        <w:tc>
          <w:tcPr>
            <w:tcW w:w="1418" w:type="dxa"/>
            <w:tcBorders>
              <w:left w:val="single" w:color="000000" w:sz="4" w:space="0"/>
            </w:tcBorders>
            <w:vAlign w:val="top"/>
          </w:tcPr>
          <w:p w14:paraId="34C99BC4">
            <w:pPr>
              <w:pStyle w:val="7"/>
              <w:spacing w:before="178" w:line="219" w:lineRule="auto"/>
              <w:ind w:left="286"/>
            </w:pPr>
            <w:r>
              <w:rPr>
                <w:spacing w:val="-15"/>
              </w:rPr>
              <w:t>被访对象</w:t>
            </w:r>
          </w:p>
        </w:tc>
        <w:tc>
          <w:tcPr>
            <w:tcW w:w="3353" w:type="dxa"/>
            <w:vAlign w:val="top"/>
          </w:tcPr>
          <w:p w14:paraId="361E168D">
            <w:pPr>
              <w:rPr>
                <w:rFonts w:ascii="Arial"/>
                <w:sz w:val="21"/>
              </w:rPr>
            </w:pPr>
          </w:p>
        </w:tc>
        <w:tc>
          <w:tcPr>
            <w:tcW w:w="1673" w:type="dxa"/>
            <w:vAlign w:val="top"/>
          </w:tcPr>
          <w:p w14:paraId="41A819D8">
            <w:pPr>
              <w:pStyle w:val="7"/>
              <w:spacing w:before="178" w:line="219" w:lineRule="auto"/>
              <w:ind w:left="407"/>
            </w:pPr>
            <w:r>
              <w:rPr>
                <w:spacing w:val="-15"/>
              </w:rPr>
              <w:t>联系电话</w:t>
            </w:r>
          </w:p>
        </w:tc>
        <w:tc>
          <w:tcPr>
            <w:tcW w:w="2482" w:type="dxa"/>
            <w:tcBorders>
              <w:right w:val="single" w:color="000000" w:sz="4" w:space="0"/>
            </w:tcBorders>
            <w:vAlign w:val="top"/>
          </w:tcPr>
          <w:p w14:paraId="34F6EF36">
            <w:pPr>
              <w:rPr>
                <w:rFonts w:ascii="Arial"/>
                <w:sz w:val="21"/>
              </w:rPr>
            </w:pPr>
          </w:p>
        </w:tc>
      </w:tr>
      <w:tr w14:paraId="4A0BE3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7" w:hRule="atLeast"/>
        </w:trPr>
        <w:tc>
          <w:tcPr>
            <w:tcW w:w="1418" w:type="dxa"/>
            <w:tcBorders>
              <w:left w:val="single" w:color="000000" w:sz="4" w:space="0"/>
            </w:tcBorders>
            <w:vAlign w:val="top"/>
          </w:tcPr>
          <w:p w14:paraId="5FD74860">
            <w:pPr>
              <w:pStyle w:val="7"/>
              <w:spacing w:before="181" w:line="227" w:lineRule="auto"/>
              <w:ind w:left="505"/>
            </w:pPr>
            <w:r>
              <w:rPr>
                <w:spacing w:val="-10"/>
              </w:rPr>
              <w:t>地址</w:t>
            </w:r>
          </w:p>
        </w:tc>
        <w:tc>
          <w:tcPr>
            <w:tcW w:w="3353" w:type="dxa"/>
            <w:vAlign w:val="top"/>
          </w:tcPr>
          <w:p w14:paraId="15D95D0A">
            <w:pPr>
              <w:rPr>
                <w:rFonts w:ascii="Arial"/>
                <w:sz w:val="21"/>
              </w:rPr>
            </w:pPr>
          </w:p>
        </w:tc>
        <w:tc>
          <w:tcPr>
            <w:tcW w:w="1673" w:type="dxa"/>
            <w:vAlign w:val="top"/>
          </w:tcPr>
          <w:p w14:paraId="3E480836">
            <w:pPr>
              <w:pStyle w:val="7"/>
              <w:spacing w:before="180" w:line="219" w:lineRule="auto"/>
              <w:ind w:left="515"/>
            </w:pPr>
            <w:r>
              <w:rPr>
                <w:spacing w:val="-13"/>
              </w:rPr>
              <w:t>记录人</w:t>
            </w:r>
          </w:p>
        </w:tc>
        <w:tc>
          <w:tcPr>
            <w:tcW w:w="2482" w:type="dxa"/>
            <w:tcBorders>
              <w:right w:val="single" w:color="000000" w:sz="4" w:space="0"/>
            </w:tcBorders>
            <w:vAlign w:val="top"/>
          </w:tcPr>
          <w:p w14:paraId="11B2F9EC">
            <w:pPr>
              <w:rPr>
                <w:rFonts w:ascii="Arial"/>
                <w:sz w:val="21"/>
              </w:rPr>
            </w:pPr>
          </w:p>
        </w:tc>
      </w:tr>
      <w:tr w14:paraId="21408D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87" w:hRule="atLeast"/>
        </w:trPr>
        <w:tc>
          <w:tcPr>
            <w:tcW w:w="1418" w:type="dxa"/>
            <w:tcBorders>
              <w:left w:val="single" w:color="1C456A" w:sz="4" w:space="0"/>
              <w:bottom w:val="single" w:color="1C456A" w:sz="4" w:space="0"/>
              <w:right w:val="nil"/>
            </w:tcBorders>
            <w:vAlign w:val="top"/>
          </w:tcPr>
          <w:p w14:paraId="6BCB6B46">
            <w:pPr>
              <w:rPr>
                <w:rFonts w:ascii="Arial"/>
                <w:sz w:val="21"/>
              </w:rPr>
            </w:pPr>
            <w:r>
              <w:pict>
                <v:shape id="_x0000_s3606" o:spid="_x0000_s3606" style="position:absolute;left:0pt;margin-left:-0.25pt;margin-top:84.35pt;height:0.75pt;width:2.2pt;mso-position-horizontal-relative:page;mso-position-vertical-relative:page;z-index:252153856;mso-width-relative:page;mso-height-relative:page;" fillcolor="#5B9BD5" filled="t" stroked="f" coordsize="44,15" path="m0,14l43,14,43,0,0,0,0,14xe">
                  <v:path/>
                  <v:fill on="t" focussize="0,0"/>
                  <v:stroke on="f"/>
                  <v:imagedata o:title=""/>
                  <o:lock v:ext="edit"/>
                </v:shape>
              </w:pict>
            </w:r>
          </w:p>
        </w:tc>
        <w:tc>
          <w:tcPr>
            <w:tcW w:w="7508" w:type="dxa"/>
            <w:gridSpan w:val="3"/>
            <w:tcBorders>
              <w:left w:val="nil"/>
              <w:bottom w:val="single" w:color="1C456A" w:sz="4" w:space="0"/>
              <w:right w:val="single" w:color="1C456A" w:sz="4" w:space="0"/>
            </w:tcBorders>
            <w:vAlign w:val="top"/>
          </w:tcPr>
          <w:p w14:paraId="1087FC25">
            <w:pPr>
              <w:pStyle w:val="7"/>
              <w:spacing w:before="166" w:line="359" w:lineRule="auto"/>
              <w:ind w:left="2514" w:right="3782" w:hanging="84"/>
            </w:pPr>
            <w:r>
              <w:pict>
                <v:shape id="_x0000_s3607" o:spid="_x0000_s3607" style="position:absolute;left:0pt;margin-left:373.55pt;margin-top:84.35pt;height:0.75pt;width:2.2pt;mso-position-horizontal-relative:page;mso-position-vertical-relative:page;z-index:252152832;mso-width-relative:page;mso-height-relative:page;" fillcolor="#5B9BD5" filled="t" stroked="f" coordsize="44,15" path="m0,14l43,14,43,0,0,0,0,14xe">
                  <v:path/>
                  <v:fill on="t" focussize="0,0"/>
                  <v:stroke on="f"/>
                  <v:imagedata o:title=""/>
                  <o:lock v:ext="edit"/>
                </v:shape>
              </w:pict>
            </w:r>
            <w:r>
              <w:rPr>
                <w:spacing w:val="-25"/>
              </w:rPr>
              <w:t>问访内容记录</w:t>
            </w:r>
            <w:r>
              <w:rPr>
                <w:spacing w:val="-17"/>
              </w:rPr>
              <w:t>业主签名：</w:t>
            </w:r>
          </w:p>
          <w:p w14:paraId="58CD6092">
            <w:pPr>
              <w:pStyle w:val="7"/>
              <w:spacing w:line="218" w:lineRule="auto"/>
              <w:ind w:left="2738"/>
            </w:pPr>
            <w:r>
              <w:rPr>
                <w:spacing w:val="-15"/>
              </w:rPr>
              <w:t>年月日</w:t>
            </w:r>
          </w:p>
        </w:tc>
      </w:tr>
    </w:tbl>
    <w:p w14:paraId="22EB3FB1">
      <w:pPr>
        <w:pStyle w:val="2"/>
        <w:spacing w:before="114" w:line="310" w:lineRule="auto"/>
        <w:ind w:left="1895" w:right="8380" w:firstLine="3"/>
        <w:rPr>
          <w:sz w:val="24"/>
          <w:szCs w:val="24"/>
        </w:rPr>
      </w:pPr>
      <w:r>
        <w:rPr>
          <w:spacing w:val="-22"/>
          <w:sz w:val="24"/>
          <w:szCs w:val="24"/>
        </w:rPr>
        <w:t>工程维修任务书</w:t>
      </w:r>
      <w:r>
        <w:rPr>
          <w:spacing w:val="-15"/>
          <w:sz w:val="24"/>
          <w:szCs w:val="24"/>
        </w:rPr>
        <w:t>编号：ZH-WX-003</w:t>
      </w:r>
    </w:p>
    <w:p w14:paraId="5B56F65A">
      <w:pPr>
        <w:spacing w:line="310" w:lineRule="auto"/>
        <w:rPr>
          <w:sz w:val="24"/>
          <w:szCs w:val="24"/>
        </w:rPr>
        <w:sectPr>
          <w:footerReference r:id="rId241" w:type="default"/>
          <w:pgSz w:w="11907" w:h="16839"/>
          <w:pgMar w:top="954" w:right="4" w:bottom="1038" w:left="0" w:header="499" w:footer="357" w:gutter="0"/>
          <w:pgBorders>
            <w:top w:val="none" w:sz="0" w:space="0"/>
            <w:left w:val="none" w:sz="0" w:space="0"/>
            <w:bottom w:val="none" w:sz="0" w:space="0"/>
            <w:right w:val="none" w:sz="0" w:space="0"/>
          </w:pgBorders>
          <w:cols w:space="720" w:num="1"/>
        </w:sectPr>
      </w:pPr>
    </w:p>
    <w:p w14:paraId="7697D144">
      <w:pPr>
        <w:spacing w:line="214" w:lineRule="exact"/>
      </w:pPr>
    </w:p>
    <w:tbl>
      <w:tblPr>
        <w:tblStyle w:val="6"/>
        <w:tblW w:w="8926" w:type="dxa"/>
        <w:tblInd w:w="149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925"/>
        <w:gridCol w:w="2172"/>
        <w:gridCol w:w="2170"/>
        <w:gridCol w:w="2659"/>
      </w:tblGrid>
      <w:tr w14:paraId="7E7F6F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2" w:hRule="atLeast"/>
        </w:trPr>
        <w:tc>
          <w:tcPr>
            <w:tcW w:w="1925" w:type="dxa"/>
            <w:tcBorders>
              <w:top w:val="single" w:color="000000" w:sz="4" w:space="0"/>
              <w:left w:val="single" w:color="000000" w:sz="4" w:space="0"/>
            </w:tcBorders>
            <w:shd w:val="clear" w:color="auto" w:fill="DEEAF6"/>
            <w:vAlign w:val="top"/>
          </w:tcPr>
          <w:p w14:paraId="5DCEBFF9">
            <w:pPr>
              <w:pStyle w:val="7"/>
              <w:spacing w:before="169" w:line="217" w:lineRule="auto"/>
              <w:ind w:left="541"/>
            </w:pPr>
            <w:r>
              <w:rPr>
                <w:b/>
                <w:bCs/>
                <w:spacing w:val="-19"/>
              </w:rPr>
              <w:t>工程名称</w:t>
            </w:r>
          </w:p>
        </w:tc>
        <w:tc>
          <w:tcPr>
            <w:tcW w:w="2172" w:type="dxa"/>
            <w:tcBorders>
              <w:top w:val="single" w:color="000000" w:sz="4" w:space="0"/>
            </w:tcBorders>
            <w:shd w:val="clear" w:color="auto" w:fill="DEEAF6"/>
            <w:vAlign w:val="top"/>
          </w:tcPr>
          <w:p w14:paraId="610AE543">
            <w:pPr>
              <w:rPr>
                <w:rFonts w:ascii="Arial"/>
                <w:sz w:val="21"/>
              </w:rPr>
            </w:pPr>
          </w:p>
        </w:tc>
        <w:tc>
          <w:tcPr>
            <w:tcW w:w="2170" w:type="dxa"/>
            <w:tcBorders>
              <w:top w:val="single" w:color="000000" w:sz="4" w:space="0"/>
            </w:tcBorders>
            <w:shd w:val="clear" w:color="auto" w:fill="DEEAF6"/>
            <w:vAlign w:val="top"/>
          </w:tcPr>
          <w:p w14:paraId="424758A4">
            <w:pPr>
              <w:pStyle w:val="7"/>
              <w:spacing w:before="169" w:line="217" w:lineRule="auto"/>
              <w:ind w:left="661"/>
            </w:pPr>
            <w:r>
              <w:rPr>
                <w:b/>
                <w:bCs/>
                <w:spacing w:val="-18"/>
              </w:rPr>
              <w:t>建设单位</w:t>
            </w:r>
          </w:p>
        </w:tc>
        <w:tc>
          <w:tcPr>
            <w:tcW w:w="2659" w:type="dxa"/>
            <w:tcBorders>
              <w:top w:val="single" w:color="5B9BD5" w:sz="4" w:space="0"/>
              <w:right w:val="single" w:color="5B9BD5" w:sz="4" w:space="0"/>
            </w:tcBorders>
            <w:shd w:val="clear" w:color="auto" w:fill="DEEAF6"/>
            <w:vAlign w:val="top"/>
          </w:tcPr>
          <w:p w14:paraId="6277C66D">
            <w:pPr>
              <w:rPr>
                <w:rFonts w:ascii="Arial"/>
                <w:sz w:val="21"/>
              </w:rPr>
            </w:pPr>
          </w:p>
        </w:tc>
      </w:tr>
      <w:tr w14:paraId="6344B5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5" w:hRule="atLeast"/>
        </w:trPr>
        <w:tc>
          <w:tcPr>
            <w:tcW w:w="1925" w:type="dxa"/>
            <w:tcBorders>
              <w:left w:val="single" w:color="000000" w:sz="4" w:space="0"/>
            </w:tcBorders>
            <w:vAlign w:val="top"/>
          </w:tcPr>
          <w:p w14:paraId="5A762E07">
            <w:pPr>
              <w:pStyle w:val="7"/>
              <w:spacing w:before="95" w:line="217" w:lineRule="auto"/>
              <w:ind w:left="435"/>
            </w:pPr>
            <w:r>
              <w:rPr>
                <w:spacing w:val="-18"/>
              </w:rPr>
              <w:t>维修负责人</w:t>
            </w:r>
          </w:p>
        </w:tc>
        <w:tc>
          <w:tcPr>
            <w:tcW w:w="2172" w:type="dxa"/>
            <w:vAlign w:val="top"/>
          </w:tcPr>
          <w:p w14:paraId="23DC3027">
            <w:pPr>
              <w:rPr>
                <w:rFonts w:ascii="Arial"/>
                <w:sz w:val="21"/>
              </w:rPr>
            </w:pPr>
          </w:p>
        </w:tc>
        <w:tc>
          <w:tcPr>
            <w:tcW w:w="2170" w:type="dxa"/>
            <w:vAlign w:val="top"/>
          </w:tcPr>
          <w:p w14:paraId="438820A9">
            <w:pPr>
              <w:pStyle w:val="7"/>
              <w:spacing w:before="95" w:line="217" w:lineRule="auto"/>
              <w:ind w:left="450"/>
            </w:pPr>
            <w:r>
              <w:rPr>
                <w:spacing w:val="-19"/>
              </w:rPr>
              <w:t>维修起止时间</w:t>
            </w:r>
          </w:p>
        </w:tc>
        <w:tc>
          <w:tcPr>
            <w:tcW w:w="2659" w:type="dxa"/>
            <w:tcBorders>
              <w:right w:val="single" w:color="000000" w:sz="4" w:space="0"/>
            </w:tcBorders>
            <w:vAlign w:val="top"/>
          </w:tcPr>
          <w:p w14:paraId="1B72A472">
            <w:pPr>
              <w:rPr>
                <w:rFonts w:ascii="Arial"/>
                <w:sz w:val="21"/>
              </w:rPr>
            </w:pPr>
          </w:p>
        </w:tc>
      </w:tr>
      <w:tr w14:paraId="6591A6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5" w:hRule="atLeast"/>
        </w:trPr>
        <w:tc>
          <w:tcPr>
            <w:tcW w:w="8926" w:type="dxa"/>
            <w:gridSpan w:val="4"/>
            <w:tcBorders>
              <w:left w:val="single" w:color="000000" w:sz="4" w:space="0"/>
              <w:right w:val="single" w:color="000000" w:sz="4" w:space="0"/>
            </w:tcBorders>
            <w:vAlign w:val="top"/>
          </w:tcPr>
          <w:p w14:paraId="7F73F6D3">
            <w:pPr>
              <w:pStyle w:val="7"/>
              <w:spacing w:before="145" w:line="217" w:lineRule="auto"/>
              <w:ind w:left="3824"/>
            </w:pPr>
            <w:r>
              <w:rPr>
                <w:spacing w:val="-19"/>
              </w:rPr>
              <w:t>维修任务简介</w:t>
            </w:r>
          </w:p>
        </w:tc>
      </w:tr>
      <w:tr w14:paraId="0DEA97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5" w:hRule="atLeast"/>
        </w:trPr>
        <w:tc>
          <w:tcPr>
            <w:tcW w:w="8926" w:type="dxa"/>
            <w:gridSpan w:val="4"/>
            <w:tcBorders>
              <w:left w:val="single" w:color="000000" w:sz="4" w:space="0"/>
              <w:right w:val="single" w:color="000000" w:sz="4" w:space="0"/>
            </w:tcBorders>
            <w:vAlign w:val="top"/>
          </w:tcPr>
          <w:p w14:paraId="6457C18D">
            <w:pPr>
              <w:pStyle w:val="7"/>
              <w:spacing w:before="147" w:line="215" w:lineRule="auto"/>
              <w:ind w:left="3667"/>
            </w:pPr>
            <w:r>
              <w:rPr>
                <w:spacing w:val="-19"/>
              </w:rPr>
              <w:t>1、存在的问题：</w:t>
            </w:r>
          </w:p>
        </w:tc>
      </w:tr>
      <w:tr w14:paraId="32A80D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5" w:hRule="atLeast"/>
        </w:trPr>
        <w:tc>
          <w:tcPr>
            <w:tcW w:w="8926" w:type="dxa"/>
            <w:gridSpan w:val="4"/>
            <w:tcBorders>
              <w:left w:val="single" w:color="000000" w:sz="4" w:space="0"/>
              <w:right w:val="single" w:color="000000" w:sz="4" w:space="0"/>
            </w:tcBorders>
            <w:vAlign w:val="top"/>
          </w:tcPr>
          <w:p w14:paraId="64704652">
            <w:pPr>
              <w:pStyle w:val="7"/>
              <w:spacing w:before="148" w:line="218" w:lineRule="auto"/>
              <w:ind w:left="3760"/>
            </w:pPr>
            <w:r>
              <w:rPr>
                <w:spacing w:val="-19"/>
              </w:rPr>
              <w:t>2、解决方案：</w:t>
            </w:r>
          </w:p>
        </w:tc>
      </w:tr>
      <w:tr w14:paraId="166098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5" w:hRule="atLeast"/>
        </w:trPr>
        <w:tc>
          <w:tcPr>
            <w:tcW w:w="8926" w:type="dxa"/>
            <w:gridSpan w:val="4"/>
            <w:tcBorders>
              <w:left w:val="single" w:color="000000" w:sz="4" w:space="0"/>
              <w:right w:val="single" w:color="000000" w:sz="4" w:space="0"/>
            </w:tcBorders>
            <w:vAlign w:val="top"/>
          </w:tcPr>
          <w:p w14:paraId="5FEB5CE1">
            <w:pPr>
              <w:pStyle w:val="7"/>
              <w:spacing w:before="148" w:line="219" w:lineRule="auto"/>
              <w:ind w:left="3980"/>
            </w:pPr>
            <w:r>
              <w:rPr>
                <w:spacing w:val="-18"/>
              </w:rPr>
              <w:t>3、工程量</w:t>
            </w:r>
          </w:p>
        </w:tc>
      </w:tr>
      <w:tr w14:paraId="510DFB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6" w:hRule="atLeast"/>
        </w:trPr>
        <w:tc>
          <w:tcPr>
            <w:tcW w:w="8926" w:type="dxa"/>
            <w:gridSpan w:val="4"/>
            <w:tcBorders>
              <w:left w:val="single" w:color="000000" w:sz="4" w:space="0"/>
              <w:right w:val="single" w:color="000000" w:sz="4" w:space="0"/>
            </w:tcBorders>
            <w:vAlign w:val="top"/>
          </w:tcPr>
          <w:p w14:paraId="0A0B585C">
            <w:pPr>
              <w:pStyle w:val="7"/>
              <w:spacing w:before="151" w:line="217" w:lineRule="auto"/>
              <w:ind w:left="3648"/>
            </w:pPr>
            <w:r>
              <w:rPr>
                <w:spacing w:val="-17"/>
              </w:rPr>
              <w:t>4、其他注意事项</w:t>
            </w:r>
          </w:p>
        </w:tc>
      </w:tr>
      <w:tr w14:paraId="38D2BC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49" w:hRule="atLeast"/>
        </w:trPr>
        <w:tc>
          <w:tcPr>
            <w:tcW w:w="8926" w:type="dxa"/>
            <w:gridSpan w:val="4"/>
            <w:tcBorders>
              <w:left w:val="single" w:color="000000" w:sz="4" w:space="0"/>
              <w:right w:val="single" w:color="000000" w:sz="4" w:space="0"/>
            </w:tcBorders>
            <w:vAlign w:val="top"/>
          </w:tcPr>
          <w:p w14:paraId="6B2EA3C6">
            <w:pPr>
              <w:pStyle w:val="7"/>
              <w:spacing w:before="100" w:line="218" w:lineRule="auto"/>
              <w:ind w:left="3819"/>
            </w:pPr>
            <w:r>
              <w:rPr>
                <w:spacing w:val="-18"/>
              </w:rPr>
              <w:t>任务下达人：</w:t>
            </w:r>
          </w:p>
          <w:p w14:paraId="14F39DCF">
            <w:pPr>
              <w:pStyle w:val="7"/>
              <w:spacing w:before="181" w:line="219" w:lineRule="auto"/>
              <w:ind w:left="4196"/>
            </w:pPr>
            <w:r>
              <w:rPr>
                <w:spacing w:val="-37"/>
              </w:rPr>
              <w:t>日期：</w:t>
            </w:r>
          </w:p>
        </w:tc>
      </w:tr>
      <w:tr w14:paraId="64CB7F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3" w:hRule="atLeast"/>
        </w:trPr>
        <w:tc>
          <w:tcPr>
            <w:tcW w:w="1925" w:type="dxa"/>
            <w:tcBorders>
              <w:left w:val="single" w:color="1C456A" w:sz="4" w:space="0"/>
              <w:bottom w:val="single" w:color="1C456A" w:sz="4" w:space="0"/>
              <w:right w:val="nil"/>
            </w:tcBorders>
            <w:vAlign w:val="top"/>
          </w:tcPr>
          <w:p w14:paraId="4285A2A8">
            <w:pPr>
              <w:rPr>
                <w:rFonts w:ascii="Arial"/>
                <w:sz w:val="21"/>
              </w:rPr>
            </w:pPr>
            <w:r>
              <w:pict>
                <v:shape id="_x0000_s3608" o:spid="_x0000_s3608" style="position:absolute;left:0pt;margin-left:-0.25pt;margin-top:54.7pt;height:0.75pt;width:2.2pt;mso-position-horizontal-relative:page;mso-position-vertical-relative:page;z-index:252164096;mso-width-relative:page;mso-height-relative:page;" fillcolor="#5B9BD5" filled="t" stroked="f" coordsize="44,15" path="m0,14l43,14,43,0,0,0,0,14xe">
                  <v:path/>
                  <v:fill on="t" focussize="0,0"/>
                  <v:stroke on="f"/>
                  <v:imagedata o:title=""/>
                  <o:lock v:ext="edit"/>
                </v:shape>
              </w:pict>
            </w:r>
          </w:p>
        </w:tc>
        <w:tc>
          <w:tcPr>
            <w:tcW w:w="7001" w:type="dxa"/>
            <w:gridSpan w:val="3"/>
            <w:tcBorders>
              <w:left w:val="nil"/>
              <w:bottom w:val="single" w:color="1C456A" w:sz="4" w:space="0"/>
              <w:right w:val="single" w:color="1C456A" w:sz="4" w:space="0"/>
            </w:tcBorders>
            <w:vAlign w:val="top"/>
          </w:tcPr>
          <w:p w14:paraId="7B5303BA">
            <w:pPr>
              <w:pStyle w:val="7"/>
              <w:spacing w:before="102" w:line="219" w:lineRule="auto"/>
              <w:ind w:left="1899"/>
            </w:pPr>
            <w:r>
              <w:pict>
                <v:shape id="_x0000_s3609" o:spid="_x0000_s3609" style="position:absolute;left:0pt;margin-left:348.2pt;margin-top:54.7pt;height:0.75pt;width:2.2pt;mso-position-horizontal-relative:page;mso-position-vertical-relative:page;z-index:252163072;mso-width-relative:page;mso-height-relative:page;" fillcolor="#5B9BD5" filled="t" stroked="f" coordsize="44,15" path="m0,14l43,14,43,0,0,0,0,14xe">
                  <v:path/>
                  <v:fill on="t" focussize="0,0"/>
                  <v:stroke on="f"/>
                  <v:imagedata o:title=""/>
                  <o:lock v:ext="edit"/>
                </v:shape>
              </w:pict>
            </w:r>
            <w:r>
              <w:rPr>
                <w:spacing w:val="-18"/>
              </w:rPr>
              <w:t>任务接收人：</w:t>
            </w:r>
          </w:p>
          <w:p w14:paraId="31910D94">
            <w:pPr>
              <w:pStyle w:val="7"/>
              <w:spacing w:before="183" w:line="219" w:lineRule="auto"/>
              <w:ind w:left="2276"/>
            </w:pPr>
            <w:r>
              <w:rPr>
                <w:spacing w:val="-37"/>
              </w:rPr>
              <w:t>日期：</w:t>
            </w:r>
          </w:p>
        </w:tc>
      </w:tr>
    </w:tbl>
    <w:p w14:paraId="089CCBE0">
      <w:pPr>
        <w:pStyle w:val="2"/>
        <w:spacing w:before="115" w:line="263" w:lineRule="auto"/>
        <w:ind w:left="1895" w:right="8040" w:firstLine="3"/>
        <w:rPr>
          <w:sz w:val="24"/>
          <w:szCs w:val="24"/>
        </w:rPr>
      </w:pPr>
      <w:r>
        <w:pict>
          <v:shape id="_x0000_s3610" o:spid="_x0000_s3610" style="position:absolute;left:0pt;margin-left:270.85pt;margin-top:41.4pt;height:0.75pt;width:2.2pt;z-index:252158976;mso-width-relative:page;mso-height-relative:page;" fillcolor="#1C456A" filled="t" stroked="f" coordsize="44,15" path="m0,14l43,14,43,0,0,0,0,14xe">
            <v:path/>
            <v:fill on="t" focussize="0,0"/>
            <v:stroke on="f"/>
            <v:imagedata o:title=""/>
            <o:lock v:ext="edit"/>
          </v:shape>
        </w:pict>
      </w:r>
      <w:r>
        <w:rPr>
          <w:spacing w:val="-22"/>
          <w:sz w:val="24"/>
          <w:szCs w:val="24"/>
        </w:rPr>
        <w:t>工程维修验收记录表</w:t>
      </w:r>
      <w:r>
        <w:rPr>
          <w:spacing w:val="-14"/>
          <w:sz w:val="24"/>
          <w:szCs w:val="24"/>
        </w:rPr>
        <w:t>编号：ZH-WX-004</w:t>
      </w:r>
    </w:p>
    <w:tbl>
      <w:tblPr>
        <w:tblStyle w:val="6"/>
        <w:tblW w:w="9250" w:type="dxa"/>
        <w:tblInd w:w="132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692"/>
        <w:gridCol w:w="2406"/>
        <w:gridCol w:w="543"/>
        <w:gridCol w:w="2479"/>
        <w:gridCol w:w="1692"/>
        <w:gridCol w:w="438"/>
      </w:tblGrid>
      <w:tr w14:paraId="6BC020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7" w:hRule="atLeast"/>
        </w:trPr>
        <w:tc>
          <w:tcPr>
            <w:tcW w:w="1692" w:type="dxa"/>
            <w:tcBorders>
              <w:top w:val="single" w:color="000000" w:sz="4" w:space="0"/>
              <w:left w:val="single" w:color="000000" w:sz="4" w:space="0"/>
            </w:tcBorders>
            <w:shd w:val="clear" w:color="auto" w:fill="DEEAF6"/>
            <w:vAlign w:val="top"/>
          </w:tcPr>
          <w:p w14:paraId="6301F245">
            <w:pPr>
              <w:spacing w:line="93" w:lineRule="exact"/>
            </w:pPr>
            <w:r>
              <w:rPr>
                <w:position w:val="-1"/>
              </w:rPr>
              <w:pict>
                <v:group id="_x0000_s3611" o:spid="_x0000_s3611" o:spt="203" style="height:5.2pt;width:86.4pt;" coordsize="1728,103">
                  <o:lock v:ext="edit"/>
                  <v:shape id="_x0000_s3612" o:spid="_x0000_s3612" style="position:absolute;left:0;top:0;height:15;width:44;" fillcolor="#5B9BD5" filled="t" stroked="f" coordsize="44,15" path="m0,14l43,14,43,0,0,0,0,14xe">
                    <v:path/>
                    <v:fill on="t" focussize="0,0"/>
                    <v:stroke on="f"/>
                    <v:imagedata o:title=""/>
                    <o:lock v:ext="edit"/>
                  </v:shape>
                  <v:shape id="_x0000_s3613" o:spid="_x0000_s3613" style="position:absolute;left:43;top:43;height:60;width:1641;" fillcolor="#DEEAF6" filled="t" stroked="f" coordsize="1641,60" path="m0,60l1641,60,1641,0,0,0,0,60xe">
                    <v:path/>
                    <v:fill on="t" focussize="0,0"/>
                    <v:stroke on="f"/>
                    <v:imagedata o:title=""/>
                    <o:lock v:ext="edit"/>
                  </v:shape>
                  <v:shape id="_x0000_s3614" o:spid="_x0000_s3614" style="position:absolute;left:1684;top:0;height:15;width:44;" fillcolor="#5B9BD5" filled="t" stroked="f" coordsize="44,15" path="m0,14l43,14,43,0,0,0,0,14xe">
                    <v:path/>
                    <v:fill on="t" focussize="0,0"/>
                    <v:stroke on="f"/>
                    <v:imagedata o:title=""/>
                    <o:lock v:ext="edit"/>
                  </v:shape>
                  <v:shape id="_x0000_s3615" o:spid="_x0000_s3615" style="position:absolute;left:1684;top:14;height:15;width:44;" fillcolor="#20507B" filled="t" stroked="f" coordsize="44,15" path="m0,14l43,14,43,0,0,0,0,14xe">
                    <v:path/>
                    <v:fill on="t" focussize="0,0"/>
                    <v:stroke on="f"/>
                    <v:imagedata o:title=""/>
                    <o:lock v:ext="edit"/>
                  </v:shape>
                  <v:shape id="_x0000_s3616" o:spid="_x0000_s3616" style="position:absolute;left:1684;top:29;height:15;width:44;" fillcolor="#1C456A" filled="t" stroked="f" coordsize="44,15" path="m0,14l43,14,43,0,0,0,0,14xe">
                    <v:path/>
                    <v:fill on="t" focussize="0,0"/>
                    <v:stroke on="f"/>
                    <v:imagedata o:title=""/>
                    <o:lock v:ext="edit"/>
                  </v:shape>
                  <w10:wrap type="none"/>
                  <w10:anchorlock/>
                </v:group>
              </w:pict>
            </w:r>
          </w:p>
          <w:p w14:paraId="6E16ED70">
            <w:pPr>
              <w:pStyle w:val="7"/>
              <w:spacing w:before="47" w:line="217" w:lineRule="auto"/>
              <w:ind w:left="424"/>
            </w:pPr>
            <w:r>
              <w:rPr>
                <w:b/>
                <w:bCs/>
                <w:spacing w:val="-18"/>
              </w:rPr>
              <w:t>项目名称</w:t>
            </w:r>
          </w:p>
          <w:p w14:paraId="7174DF5B">
            <w:pPr>
              <w:spacing w:before="162" w:line="51" w:lineRule="exact"/>
              <w:ind w:firstLine="11"/>
            </w:pPr>
            <w:r>
              <w:rPr>
                <w:position w:val="-1"/>
              </w:rPr>
              <w:pict>
                <v:shape id="_x0000_s3617" o:spid="_x0000_s3617" style="height:2.9pt;width:83.45pt;" fillcolor="#DEEAF6" filled="t" stroked="f" coordsize="1668,58" path="m0,57l1668,57,1668,0,0,0,0,57xe">
                  <v:path/>
                  <v:fill on="t" focussize="0,0"/>
                  <v:stroke on="f"/>
                  <v:imagedata o:title=""/>
                  <o:lock v:ext="edit"/>
                  <w10:wrap type="none"/>
                  <w10:anchorlock/>
                </v:shape>
              </w:pict>
            </w:r>
          </w:p>
        </w:tc>
        <w:tc>
          <w:tcPr>
            <w:tcW w:w="2406" w:type="dxa"/>
            <w:tcBorders>
              <w:top w:val="single" w:color="000000" w:sz="4" w:space="0"/>
            </w:tcBorders>
            <w:shd w:val="clear" w:color="auto" w:fill="DEEAF6"/>
            <w:vAlign w:val="top"/>
          </w:tcPr>
          <w:p w14:paraId="73733968">
            <w:pPr>
              <w:rPr>
                <w:rFonts w:ascii="Arial"/>
                <w:sz w:val="21"/>
              </w:rPr>
            </w:pPr>
          </w:p>
        </w:tc>
        <w:tc>
          <w:tcPr>
            <w:tcW w:w="543" w:type="dxa"/>
            <w:tcBorders>
              <w:top w:val="single" w:color="000000" w:sz="4" w:space="0"/>
              <w:right w:val="nil"/>
            </w:tcBorders>
            <w:shd w:val="clear" w:color="auto" w:fill="DEEAF6"/>
            <w:vAlign w:val="top"/>
          </w:tcPr>
          <w:p w14:paraId="78CEDC47">
            <w:pPr>
              <w:spacing w:line="19" w:lineRule="exact"/>
            </w:pPr>
            <w:r>
              <w:pict>
                <v:group id="_x0000_s3618" o:spid="_x0000_s3618" o:spt="203" style="height:1.5pt;width:2.2pt;" coordsize="44,30">
                  <o:lock v:ext="edit"/>
                  <v:shape id="_x0000_s3619" o:spid="_x0000_s3619" style="position:absolute;left:0;top:0;height:15;width:44;" fillcolor="#5B9BD5" filled="t" stroked="f" coordsize="44,15" path="m0,14l43,14,43,0,0,0,0,14xe">
                    <v:path/>
                    <v:fill on="t" focussize="0,0"/>
                    <v:stroke on="f"/>
                    <v:imagedata o:title=""/>
                    <o:lock v:ext="edit"/>
                  </v:shape>
                  <v:shape id="_x0000_s3620" o:spid="_x0000_s3620" style="position:absolute;left:0;top:14;height:15;width:44;" fillcolor="#20507B" filled="t" stroked="f" coordsize="44,15" path="m0,14l43,14,43,0,0,0,0,14xe">
                    <v:path/>
                    <v:fill on="t" focussize="0,0"/>
                    <v:stroke on="f"/>
                    <v:imagedata o:title=""/>
                    <o:lock v:ext="edit"/>
                  </v:shape>
                  <w10:wrap type="none"/>
                  <w10:anchorlock/>
                </v:group>
              </w:pict>
            </w:r>
          </w:p>
        </w:tc>
        <w:tc>
          <w:tcPr>
            <w:tcW w:w="2479" w:type="dxa"/>
            <w:tcBorders>
              <w:top w:val="single" w:color="000000" w:sz="4" w:space="0"/>
              <w:left w:val="nil"/>
            </w:tcBorders>
            <w:shd w:val="clear" w:color="auto" w:fill="DEEAF6"/>
            <w:vAlign w:val="top"/>
          </w:tcPr>
          <w:p w14:paraId="181A483F">
            <w:pPr>
              <w:pStyle w:val="7"/>
              <w:spacing w:before="141" w:line="217" w:lineRule="auto"/>
              <w:ind w:left="545"/>
            </w:pPr>
            <w:r>
              <w:rPr>
                <w:b/>
                <w:bCs/>
                <w:spacing w:val="-18"/>
              </w:rPr>
              <w:t>建设单位</w:t>
            </w:r>
          </w:p>
        </w:tc>
        <w:tc>
          <w:tcPr>
            <w:tcW w:w="2130" w:type="dxa"/>
            <w:gridSpan w:val="2"/>
            <w:tcBorders>
              <w:top w:val="single" w:color="000000" w:sz="4" w:space="0"/>
              <w:right w:val="single" w:color="000000" w:sz="4" w:space="0"/>
            </w:tcBorders>
            <w:shd w:val="clear" w:color="auto" w:fill="DEEAF6"/>
            <w:vAlign w:val="top"/>
          </w:tcPr>
          <w:p w14:paraId="2CD31085">
            <w:pPr>
              <w:rPr>
                <w:rFonts w:ascii="Arial"/>
                <w:sz w:val="21"/>
              </w:rPr>
            </w:pPr>
            <w:r>
              <w:pict>
                <v:shape id="_x0000_s3621" o:spid="_x0000_s3621" style="position:absolute;left:0pt;margin-left:104.65pt;margin-top:0.05pt;height:0.75pt;width:2.2pt;mso-position-horizontal-relative:page;mso-position-vertical-relative:page;z-index:252162048;mso-width-relative:page;mso-height-relative:page;" fillcolor="#5B9BD5" filled="t" stroked="f" coordsize="44,15" path="m0,14l43,14,43,0,0,0,0,14xe">
                  <v:path/>
                  <v:fill on="t" focussize="0,0"/>
                  <v:stroke on="f"/>
                  <v:imagedata o:title=""/>
                  <o:lock v:ext="edit"/>
                </v:shape>
              </w:pict>
            </w:r>
          </w:p>
        </w:tc>
      </w:tr>
      <w:tr w14:paraId="2CCFC4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4" w:hRule="atLeast"/>
        </w:trPr>
        <w:tc>
          <w:tcPr>
            <w:tcW w:w="1692" w:type="dxa"/>
            <w:tcBorders>
              <w:left w:val="single" w:color="000000" w:sz="4" w:space="0"/>
            </w:tcBorders>
            <w:vAlign w:val="top"/>
          </w:tcPr>
          <w:p w14:paraId="711E120B">
            <w:pPr>
              <w:pStyle w:val="7"/>
              <w:spacing w:before="95" w:line="217" w:lineRule="auto"/>
              <w:ind w:left="320"/>
            </w:pPr>
            <w:r>
              <w:rPr>
                <w:spacing w:val="-18"/>
              </w:rPr>
              <w:t>维修负责人</w:t>
            </w:r>
          </w:p>
        </w:tc>
        <w:tc>
          <w:tcPr>
            <w:tcW w:w="2406" w:type="dxa"/>
            <w:vAlign w:val="top"/>
          </w:tcPr>
          <w:p w14:paraId="33A69A96">
            <w:pPr>
              <w:rPr>
                <w:rFonts w:ascii="Arial"/>
                <w:sz w:val="21"/>
              </w:rPr>
            </w:pPr>
          </w:p>
        </w:tc>
        <w:tc>
          <w:tcPr>
            <w:tcW w:w="3022" w:type="dxa"/>
            <w:gridSpan w:val="2"/>
            <w:vAlign w:val="top"/>
          </w:tcPr>
          <w:p w14:paraId="55DFC355">
            <w:pPr>
              <w:pStyle w:val="7"/>
              <w:spacing w:before="94" w:line="217" w:lineRule="auto"/>
              <w:ind w:left="1087"/>
            </w:pPr>
            <w:r>
              <w:rPr>
                <w:spacing w:val="-15"/>
              </w:rPr>
              <w:t>施工单位</w:t>
            </w:r>
          </w:p>
        </w:tc>
        <w:tc>
          <w:tcPr>
            <w:tcW w:w="2130" w:type="dxa"/>
            <w:gridSpan w:val="2"/>
            <w:tcBorders>
              <w:right w:val="single" w:color="000000" w:sz="4" w:space="0"/>
            </w:tcBorders>
            <w:vAlign w:val="top"/>
          </w:tcPr>
          <w:p w14:paraId="2BAE4DFF">
            <w:pPr>
              <w:spacing w:line="58" w:lineRule="exact"/>
              <w:ind w:firstLine="2090"/>
            </w:pPr>
            <w:r>
              <w:rPr>
                <w:position w:val="-1"/>
              </w:rPr>
              <w:pict>
                <v:group id="_x0000_s3622" o:spid="_x0000_s3622" o:spt="203" style="height:3.4pt;width:1.45pt;" coordsize="29,68">
                  <o:lock v:ext="edit"/>
                  <v:shape id="_x0000_s3623" o:spid="_x0000_s3623" style="position:absolute;left:14;top:0;height:68;width:15;" fillcolor="#20507B" filled="t" stroked="f" coordsize="15,68" path="m0,67l14,67,14,0,0,0,0,67xe">
                    <v:path/>
                    <v:fill on="t" focussize="0,0"/>
                    <v:stroke on="f"/>
                    <v:imagedata o:title=""/>
                    <o:lock v:ext="edit"/>
                  </v:shape>
                  <v:shape id="_x0000_s3624" o:spid="_x0000_s3624" style="position:absolute;left:0;top:0;height:68;width:15;" fillcolor="#1C456A" filled="t" stroked="f" coordsize="15,68" path="m0,67l14,67,14,0,0,0,0,67xe">
                    <v:path/>
                    <v:fill on="t" focussize="0,0"/>
                    <v:stroke on="f"/>
                    <v:imagedata o:title=""/>
                    <o:lock v:ext="edit"/>
                  </v:shape>
                  <w10:wrap type="none"/>
                  <w10:anchorlock/>
                </v:group>
              </w:pict>
            </w:r>
          </w:p>
        </w:tc>
      </w:tr>
      <w:tr w14:paraId="1FA77D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3" w:hRule="atLeast"/>
        </w:trPr>
        <w:tc>
          <w:tcPr>
            <w:tcW w:w="1692" w:type="dxa"/>
            <w:tcBorders>
              <w:left w:val="single" w:color="000000" w:sz="4" w:space="0"/>
            </w:tcBorders>
            <w:vAlign w:val="top"/>
          </w:tcPr>
          <w:p w14:paraId="297C1E29">
            <w:pPr>
              <w:pStyle w:val="7"/>
              <w:spacing w:before="110" w:line="218" w:lineRule="auto"/>
              <w:ind w:left="641"/>
            </w:pPr>
            <w:r>
              <w:rPr>
                <w:spacing w:val="-10"/>
              </w:rPr>
              <w:t>序号</w:t>
            </w:r>
          </w:p>
        </w:tc>
        <w:tc>
          <w:tcPr>
            <w:tcW w:w="2406" w:type="dxa"/>
            <w:vAlign w:val="top"/>
          </w:tcPr>
          <w:p w14:paraId="3F88D19F">
            <w:pPr>
              <w:pStyle w:val="7"/>
              <w:spacing w:before="110" w:line="217" w:lineRule="auto"/>
              <w:ind w:left="773"/>
            </w:pPr>
            <w:r>
              <w:rPr>
                <w:spacing w:val="-15"/>
              </w:rPr>
              <w:t>验收部位</w:t>
            </w:r>
          </w:p>
        </w:tc>
        <w:tc>
          <w:tcPr>
            <w:tcW w:w="3022" w:type="dxa"/>
            <w:gridSpan w:val="2"/>
            <w:vAlign w:val="top"/>
          </w:tcPr>
          <w:p w14:paraId="5DA5D65C">
            <w:pPr>
              <w:pStyle w:val="7"/>
              <w:spacing w:before="110" w:line="219" w:lineRule="auto"/>
              <w:ind w:left="1087"/>
            </w:pPr>
            <w:r>
              <w:rPr>
                <w:spacing w:val="-15"/>
              </w:rPr>
              <w:t>验收意见</w:t>
            </w:r>
          </w:p>
        </w:tc>
        <w:tc>
          <w:tcPr>
            <w:tcW w:w="1692" w:type="dxa"/>
            <w:tcBorders>
              <w:right w:val="nil"/>
            </w:tcBorders>
            <w:vAlign w:val="top"/>
          </w:tcPr>
          <w:p w14:paraId="7A94404A">
            <w:pPr>
              <w:pStyle w:val="7"/>
              <w:spacing w:before="110" w:line="220" w:lineRule="auto"/>
              <w:ind w:left="852"/>
            </w:pPr>
            <w:r>
              <w:rPr>
                <w:spacing w:val="-10"/>
              </w:rPr>
              <w:t>备注</w:t>
            </w:r>
          </w:p>
        </w:tc>
        <w:tc>
          <w:tcPr>
            <w:tcW w:w="438" w:type="dxa"/>
            <w:tcBorders>
              <w:left w:val="nil"/>
              <w:right w:val="single" w:color="000000" w:sz="4" w:space="0"/>
            </w:tcBorders>
            <w:vAlign w:val="top"/>
          </w:tcPr>
          <w:p w14:paraId="0CBDEA9B">
            <w:pPr>
              <w:spacing w:line="59" w:lineRule="exact"/>
              <w:ind w:firstLine="400"/>
            </w:pPr>
            <w:r>
              <w:rPr>
                <w:position w:val="-1"/>
              </w:rPr>
              <w:pict>
                <v:group id="_x0000_s3625" o:spid="_x0000_s3625" o:spt="203" style="height:3.4pt;width:1.45pt;" coordsize="29,68">
                  <o:lock v:ext="edit"/>
                  <v:shape id="_x0000_s3626" o:spid="_x0000_s3626" style="position:absolute;left:14;top:0;height:68;width:15;" fillcolor="#20507B" filled="t" stroked="f" coordsize="15,68" path="m0,67l14,67,14,0,0,0,0,67xe">
                    <v:path/>
                    <v:fill on="t" focussize="0,0"/>
                    <v:stroke on="f"/>
                    <v:imagedata o:title=""/>
                    <o:lock v:ext="edit"/>
                  </v:shape>
                  <v:shape id="_x0000_s3627" o:spid="_x0000_s3627" style="position:absolute;left:0;top:0;height:68;width:15;" fillcolor="#1C456A" filled="t" stroked="f" coordsize="15,68" path="m0,67l14,67,14,0,0,0,0,67xe">
                    <v:path/>
                    <v:fill on="t" focussize="0,0"/>
                    <v:stroke on="f"/>
                    <v:imagedata o:title=""/>
                    <o:lock v:ext="edit"/>
                  </v:shape>
                  <w10:wrap type="none"/>
                  <w10:anchorlock/>
                </v:group>
              </w:pict>
            </w:r>
          </w:p>
        </w:tc>
      </w:tr>
      <w:tr w14:paraId="3F0A8A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3" w:hRule="atLeast"/>
        </w:trPr>
        <w:tc>
          <w:tcPr>
            <w:tcW w:w="1692" w:type="dxa"/>
            <w:tcBorders>
              <w:left w:val="single" w:color="000000" w:sz="4" w:space="0"/>
            </w:tcBorders>
            <w:vAlign w:val="top"/>
          </w:tcPr>
          <w:p w14:paraId="646CE007">
            <w:pPr>
              <w:rPr>
                <w:rFonts w:ascii="Arial"/>
                <w:sz w:val="21"/>
              </w:rPr>
            </w:pPr>
          </w:p>
        </w:tc>
        <w:tc>
          <w:tcPr>
            <w:tcW w:w="2406" w:type="dxa"/>
            <w:vAlign w:val="top"/>
          </w:tcPr>
          <w:p w14:paraId="4EF6D355">
            <w:pPr>
              <w:rPr>
                <w:rFonts w:ascii="Arial"/>
                <w:sz w:val="21"/>
              </w:rPr>
            </w:pPr>
          </w:p>
        </w:tc>
        <w:tc>
          <w:tcPr>
            <w:tcW w:w="3022" w:type="dxa"/>
            <w:gridSpan w:val="2"/>
            <w:vAlign w:val="top"/>
          </w:tcPr>
          <w:p w14:paraId="387BA4BC">
            <w:pPr>
              <w:rPr>
                <w:rFonts w:ascii="Arial"/>
                <w:sz w:val="21"/>
              </w:rPr>
            </w:pPr>
          </w:p>
        </w:tc>
        <w:tc>
          <w:tcPr>
            <w:tcW w:w="2130" w:type="dxa"/>
            <w:gridSpan w:val="2"/>
            <w:tcBorders>
              <w:right w:val="single" w:color="000000" w:sz="4" w:space="0"/>
            </w:tcBorders>
            <w:vAlign w:val="top"/>
          </w:tcPr>
          <w:p w14:paraId="61BE1564">
            <w:pPr>
              <w:spacing w:line="61" w:lineRule="exact"/>
              <w:ind w:firstLine="2090"/>
            </w:pPr>
            <w:r>
              <w:rPr>
                <w:position w:val="-1"/>
              </w:rPr>
              <w:pict>
                <v:group id="_x0000_s3628" o:spid="_x0000_s3628" o:spt="203" style="height:3.4pt;width:1.45pt;" coordsize="29,68">
                  <o:lock v:ext="edit"/>
                  <v:shape id="_x0000_s3629" o:spid="_x0000_s3629" style="position:absolute;left:14;top:0;height:68;width:15;" fillcolor="#20507B" filled="t" stroked="f" coordsize="15,68" path="m0,67l14,67,14,0,0,0,0,67xe">
                    <v:path/>
                    <v:fill on="t" focussize="0,0"/>
                    <v:stroke on="f"/>
                    <v:imagedata o:title=""/>
                    <o:lock v:ext="edit"/>
                  </v:shape>
                  <v:shape id="_x0000_s3630" o:spid="_x0000_s3630" style="position:absolute;left:0;top:0;height:68;width:15;" fillcolor="#1C456A" filled="t" stroked="f" coordsize="15,68" path="m0,67l14,67,14,0,0,0,0,67xe">
                    <v:path/>
                    <v:fill on="t" focussize="0,0"/>
                    <v:stroke on="f"/>
                    <v:imagedata o:title=""/>
                    <o:lock v:ext="edit"/>
                  </v:shape>
                  <w10:wrap type="none"/>
                  <w10:anchorlock/>
                </v:group>
              </w:pict>
            </w:r>
          </w:p>
        </w:tc>
      </w:tr>
      <w:tr w14:paraId="797BD1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3" w:hRule="atLeast"/>
        </w:trPr>
        <w:tc>
          <w:tcPr>
            <w:tcW w:w="1692" w:type="dxa"/>
            <w:tcBorders>
              <w:left w:val="single" w:color="000000" w:sz="4" w:space="0"/>
            </w:tcBorders>
            <w:vAlign w:val="top"/>
          </w:tcPr>
          <w:p w14:paraId="4DC66ABD">
            <w:pPr>
              <w:rPr>
                <w:rFonts w:ascii="Arial"/>
                <w:sz w:val="21"/>
              </w:rPr>
            </w:pPr>
          </w:p>
        </w:tc>
        <w:tc>
          <w:tcPr>
            <w:tcW w:w="2406" w:type="dxa"/>
            <w:vAlign w:val="top"/>
          </w:tcPr>
          <w:p w14:paraId="7559408F">
            <w:pPr>
              <w:rPr>
                <w:rFonts w:ascii="Arial"/>
                <w:sz w:val="21"/>
              </w:rPr>
            </w:pPr>
          </w:p>
        </w:tc>
        <w:tc>
          <w:tcPr>
            <w:tcW w:w="3022" w:type="dxa"/>
            <w:gridSpan w:val="2"/>
            <w:vAlign w:val="top"/>
          </w:tcPr>
          <w:p w14:paraId="02683527">
            <w:pPr>
              <w:rPr>
                <w:rFonts w:ascii="Arial"/>
                <w:sz w:val="21"/>
              </w:rPr>
            </w:pPr>
          </w:p>
        </w:tc>
        <w:tc>
          <w:tcPr>
            <w:tcW w:w="2130" w:type="dxa"/>
            <w:gridSpan w:val="2"/>
            <w:tcBorders>
              <w:right w:val="single" w:color="000000" w:sz="4" w:space="0"/>
            </w:tcBorders>
            <w:vAlign w:val="top"/>
          </w:tcPr>
          <w:p w14:paraId="70BB4C0C">
            <w:pPr>
              <w:spacing w:line="62" w:lineRule="exact"/>
              <w:ind w:firstLine="2090"/>
            </w:pPr>
            <w:r>
              <w:rPr>
                <w:position w:val="-1"/>
              </w:rPr>
              <w:pict>
                <v:group id="_x0000_s3631" o:spid="_x0000_s3631" o:spt="203" style="height:3.4pt;width:1.45pt;" coordsize="29,68">
                  <o:lock v:ext="edit"/>
                  <v:shape id="_x0000_s3632" o:spid="_x0000_s3632" style="position:absolute;left:14;top:0;height:68;width:15;" fillcolor="#20507B" filled="t" stroked="f" coordsize="15,68" path="m0,67l14,67,14,0,0,0,0,67xe">
                    <v:path/>
                    <v:fill on="t" focussize="0,0"/>
                    <v:stroke on="f"/>
                    <v:imagedata o:title=""/>
                    <o:lock v:ext="edit"/>
                  </v:shape>
                  <v:shape id="_x0000_s3633" o:spid="_x0000_s3633" style="position:absolute;left:0;top:0;height:68;width:15;" fillcolor="#1C456A" filled="t" stroked="f" coordsize="15,68" path="m0,67l14,67,14,0,0,0,0,67xe">
                    <v:path/>
                    <v:fill on="t" focussize="0,0"/>
                    <v:stroke on="f"/>
                    <v:imagedata o:title=""/>
                    <o:lock v:ext="edit"/>
                  </v:shape>
                  <w10:wrap type="none"/>
                  <w10:anchorlock/>
                </v:group>
              </w:pict>
            </w:r>
          </w:p>
        </w:tc>
      </w:tr>
      <w:tr w14:paraId="3EE767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08" w:hRule="atLeast"/>
        </w:trPr>
        <w:tc>
          <w:tcPr>
            <w:tcW w:w="1692" w:type="dxa"/>
            <w:tcBorders>
              <w:left w:val="single" w:color="1C456A" w:sz="4" w:space="0"/>
              <w:bottom w:val="single" w:color="1C456A" w:sz="4" w:space="0"/>
            </w:tcBorders>
            <w:vAlign w:val="top"/>
          </w:tcPr>
          <w:p w14:paraId="6BD0BA2A">
            <w:pPr>
              <w:pStyle w:val="7"/>
              <w:spacing w:before="209" w:line="219" w:lineRule="auto"/>
              <w:ind w:left="314"/>
            </w:pPr>
            <w:r>
              <w:pict>
                <v:shape id="_x0000_s3634" o:spid="_x0000_s3634" style="position:absolute;left:0pt;margin-left:-0.2pt;margin-top:135.45pt;height:0.75pt;width:2.2pt;mso-position-horizontal-relative:page;mso-position-vertical-relative:page;z-index:252161024;mso-width-relative:page;mso-height-relative:page;" fillcolor="#5B9BD5" filled="t" stroked="f" coordsize="44,15" path="m0,14l43,14,43,0,0,0,0,14xe">
                  <v:path/>
                  <v:fill on="t" focussize="0,0"/>
                  <v:stroke on="f"/>
                  <v:imagedata o:title=""/>
                  <o:lock v:ext="edit"/>
                </v:shape>
              </w:pict>
            </w:r>
            <w:r>
              <w:rPr>
                <w:spacing w:val="-17"/>
              </w:rPr>
              <w:t>验收结论：</w:t>
            </w:r>
          </w:p>
          <w:p w14:paraId="2D5708DD">
            <w:pPr>
              <w:pStyle w:val="7"/>
              <w:spacing w:before="181" w:line="217" w:lineRule="auto"/>
              <w:ind w:left="425"/>
            </w:pPr>
            <w:r>
              <w:rPr>
                <w:spacing w:val="-15"/>
              </w:rPr>
              <w:t>施工单位</w:t>
            </w:r>
          </w:p>
          <w:p w14:paraId="318D97F2">
            <w:pPr>
              <w:pStyle w:val="7"/>
              <w:spacing w:before="186" w:line="217" w:lineRule="auto"/>
              <w:ind w:left="208"/>
            </w:pPr>
            <w:r>
              <w:rPr>
                <w:spacing w:val="-18"/>
              </w:rPr>
              <w:t>项目维修负责</w:t>
            </w:r>
          </w:p>
          <w:p w14:paraId="3CF9C8EB">
            <w:pPr>
              <w:pStyle w:val="7"/>
              <w:spacing w:before="183" w:line="222" w:lineRule="auto"/>
              <w:ind w:left="645"/>
            </w:pPr>
            <w:r>
              <w:rPr>
                <w:spacing w:val="-10"/>
              </w:rPr>
              <w:t>人：</w:t>
            </w:r>
          </w:p>
          <w:p w14:paraId="514AAF40">
            <w:pPr>
              <w:pStyle w:val="7"/>
              <w:spacing w:before="179" w:line="218" w:lineRule="auto"/>
              <w:ind w:left="538"/>
            </w:pPr>
            <w:r>
              <w:rPr>
                <w:spacing w:val="-15"/>
              </w:rPr>
              <w:t>年月日</w:t>
            </w:r>
          </w:p>
        </w:tc>
        <w:tc>
          <w:tcPr>
            <w:tcW w:w="2406" w:type="dxa"/>
            <w:tcBorders>
              <w:bottom w:val="single" w:color="000000" w:sz="4" w:space="0"/>
            </w:tcBorders>
            <w:vAlign w:val="top"/>
          </w:tcPr>
          <w:p w14:paraId="711526FE">
            <w:pPr>
              <w:spacing w:line="363" w:lineRule="auto"/>
              <w:rPr>
                <w:rFonts w:ascii="Arial"/>
                <w:sz w:val="21"/>
              </w:rPr>
            </w:pPr>
          </w:p>
          <w:p w14:paraId="00676F74">
            <w:pPr>
              <w:pStyle w:val="7"/>
              <w:spacing w:before="78" w:line="219" w:lineRule="auto"/>
              <w:ind w:left="665"/>
            </w:pPr>
            <w:r>
              <w:rPr>
                <w:spacing w:val="-17"/>
              </w:rPr>
              <w:t>验收结论：</w:t>
            </w:r>
          </w:p>
          <w:p w14:paraId="5BF1CFFC">
            <w:pPr>
              <w:pStyle w:val="7"/>
              <w:spacing w:before="180" w:line="217" w:lineRule="auto"/>
              <w:ind w:left="773"/>
            </w:pPr>
            <w:r>
              <w:rPr>
                <w:spacing w:val="-15"/>
              </w:rPr>
              <w:t>施工单位</w:t>
            </w:r>
          </w:p>
          <w:p w14:paraId="66040E5D">
            <w:pPr>
              <w:pStyle w:val="7"/>
              <w:spacing w:before="187" w:line="361" w:lineRule="auto"/>
              <w:ind w:left="887" w:right="585" w:hanging="326"/>
            </w:pPr>
            <w:r>
              <w:rPr>
                <w:spacing w:val="-31"/>
              </w:rPr>
              <w:t>工程管理部：</w:t>
            </w:r>
            <w:r>
              <w:rPr>
                <w:spacing w:val="-15"/>
              </w:rPr>
              <w:t>年月日</w:t>
            </w:r>
          </w:p>
        </w:tc>
        <w:tc>
          <w:tcPr>
            <w:tcW w:w="3022" w:type="dxa"/>
            <w:gridSpan w:val="2"/>
            <w:tcBorders>
              <w:bottom w:val="single" w:color="000000" w:sz="4" w:space="0"/>
            </w:tcBorders>
            <w:vAlign w:val="top"/>
          </w:tcPr>
          <w:p w14:paraId="12D889CB">
            <w:pPr>
              <w:spacing w:line="364" w:lineRule="auto"/>
              <w:rPr>
                <w:rFonts w:ascii="Arial"/>
                <w:sz w:val="21"/>
              </w:rPr>
            </w:pPr>
          </w:p>
          <w:p w14:paraId="57172BFB">
            <w:pPr>
              <w:pStyle w:val="7"/>
              <w:spacing w:before="78" w:line="359" w:lineRule="auto"/>
              <w:ind w:left="870" w:right="887" w:firstLine="106"/>
              <w:jc w:val="right"/>
            </w:pPr>
            <w:r>
              <w:rPr>
                <w:spacing w:val="-17"/>
              </w:rPr>
              <w:t>验收结论：</w:t>
            </w:r>
            <w:r>
              <w:rPr>
                <w:spacing w:val="33"/>
              </w:rPr>
              <w:t>建设单位</w:t>
            </w:r>
            <w:r>
              <w:rPr>
                <w:spacing w:val="-31"/>
              </w:rPr>
              <w:t>项目负责人：</w:t>
            </w:r>
          </w:p>
          <w:p w14:paraId="2608C728">
            <w:pPr>
              <w:pStyle w:val="7"/>
              <w:spacing w:line="218" w:lineRule="auto"/>
              <w:ind w:left="1200"/>
            </w:pPr>
            <w:r>
              <w:rPr>
                <w:spacing w:val="-15"/>
              </w:rPr>
              <w:t>年月日</w:t>
            </w:r>
          </w:p>
        </w:tc>
        <w:tc>
          <w:tcPr>
            <w:tcW w:w="2130" w:type="dxa"/>
            <w:gridSpan w:val="2"/>
            <w:tcBorders>
              <w:bottom w:val="single" w:color="5B9BD5" w:sz="4" w:space="0"/>
              <w:right w:val="single" w:color="5B9BD5" w:sz="4" w:space="0"/>
            </w:tcBorders>
            <w:vAlign w:val="top"/>
          </w:tcPr>
          <w:p w14:paraId="6FA04834">
            <w:pPr>
              <w:spacing w:line="63" w:lineRule="exact"/>
              <w:ind w:firstLine="2090"/>
            </w:pPr>
            <w:r>
              <w:pict>
                <v:shape id="_x0000_s3635" o:spid="_x0000_s3635" style="position:absolute;left:0pt;margin-left:104.65pt;margin-top:135.45pt;height:0.75pt;width:2.2pt;mso-position-horizontal-relative:page;mso-position-vertical-relative:page;z-index:252160000;mso-width-relative:page;mso-height-relative:page;" fillcolor="#5B9BD5" filled="t" stroked="f" coordsize="44,15" path="m0,14l43,14,43,0,0,0,0,14xe">
                  <v:path/>
                  <v:fill on="t" focussize="0,0"/>
                  <v:stroke on="f"/>
                  <v:imagedata o:title=""/>
                  <o:lock v:ext="edit"/>
                </v:shape>
              </w:pict>
            </w:r>
            <w:r>
              <w:rPr>
                <w:position w:val="-1"/>
              </w:rPr>
              <w:pict>
                <v:group id="_x0000_s3636" o:spid="_x0000_s3636" o:spt="203" style="height:3.4pt;width:1.45pt;" coordsize="29,68">
                  <o:lock v:ext="edit"/>
                  <v:shape id="_x0000_s3637" o:spid="_x0000_s3637" style="position:absolute;left:14;top:0;height:68;width:15;" fillcolor="#20507B" filled="t" stroked="f" coordsize="15,68" path="m0,67l14,67,14,0,0,0,0,67xe">
                    <v:path/>
                    <v:fill on="t" focussize="0,0"/>
                    <v:stroke on="f"/>
                    <v:imagedata o:title=""/>
                    <o:lock v:ext="edit"/>
                  </v:shape>
                  <v:shape id="_x0000_s3638" o:spid="_x0000_s3638" style="position:absolute;left:0;top:0;height:68;width:15;" fillcolor="#1C456A" filled="t" stroked="f" coordsize="15,68" path="m0,67l14,67,14,0,0,0,0,67xe">
                    <v:path/>
                    <v:fill on="t" focussize="0,0"/>
                    <v:stroke on="f"/>
                    <v:imagedata o:title=""/>
                    <o:lock v:ext="edit"/>
                  </v:shape>
                  <w10:wrap type="none"/>
                  <w10:anchorlock/>
                </v:group>
              </w:pict>
            </w:r>
          </w:p>
          <w:p w14:paraId="356700A4">
            <w:pPr>
              <w:spacing w:line="265" w:lineRule="auto"/>
              <w:rPr>
                <w:rFonts w:ascii="Arial"/>
                <w:sz w:val="21"/>
              </w:rPr>
            </w:pPr>
          </w:p>
          <w:p w14:paraId="65156E34">
            <w:pPr>
              <w:spacing w:line="266" w:lineRule="auto"/>
              <w:rPr>
                <w:rFonts w:ascii="Arial"/>
                <w:sz w:val="21"/>
              </w:rPr>
            </w:pPr>
          </w:p>
          <w:p w14:paraId="4E8FCF41">
            <w:pPr>
              <w:pStyle w:val="7"/>
              <w:spacing w:before="78" w:line="219" w:lineRule="auto"/>
              <w:ind w:left="523"/>
            </w:pPr>
            <w:r>
              <w:rPr>
                <w:spacing w:val="-17"/>
              </w:rPr>
              <w:t>验收结论：</w:t>
            </w:r>
          </w:p>
          <w:p w14:paraId="74666EF5">
            <w:pPr>
              <w:pStyle w:val="7"/>
              <w:spacing w:before="184" w:line="359" w:lineRule="auto"/>
              <w:ind w:left="746" w:right="718" w:hanging="4"/>
            </w:pPr>
            <w:r>
              <w:rPr>
                <w:spacing w:val="-20"/>
              </w:rPr>
              <w:t>业主：</w:t>
            </w:r>
            <w:r>
              <w:rPr>
                <w:spacing w:val="-22"/>
              </w:rPr>
              <w:t>年月日</w:t>
            </w:r>
          </w:p>
        </w:tc>
      </w:tr>
    </w:tbl>
    <w:p w14:paraId="1E89CAE8">
      <w:pPr>
        <w:rPr>
          <w:rFonts w:ascii="Arial"/>
          <w:sz w:val="21"/>
        </w:rPr>
      </w:pPr>
    </w:p>
    <w:p w14:paraId="579AD960">
      <w:pPr>
        <w:rPr>
          <w:rFonts w:ascii="Arial" w:hAnsi="Arial" w:eastAsia="Arial" w:cs="Arial"/>
          <w:sz w:val="21"/>
          <w:szCs w:val="21"/>
        </w:rPr>
        <w:sectPr>
          <w:footerReference r:id="rId242" w:type="default"/>
          <w:pgSz w:w="11907" w:h="16839"/>
          <w:pgMar w:top="954" w:right="4" w:bottom="1038" w:left="0" w:header="499" w:footer="357" w:gutter="0"/>
          <w:pgBorders>
            <w:top w:val="none" w:sz="0" w:space="0"/>
            <w:left w:val="none" w:sz="0" w:space="0"/>
            <w:bottom w:val="none" w:sz="0" w:space="0"/>
            <w:right w:val="none" w:sz="0" w:space="0"/>
          </w:pgBorders>
          <w:cols w:space="720" w:num="1"/>
        </w:sectPr>
      </w:pPr>
    </w:p>
    <w:p w14:paraId="1A72BCD0">
      <w:pPr>
        <w:pStyle w:val="2"/>
        <w:spacing w:before="262" w:line="222" w:lineRule="auto"/>
        <w:jc w:val="center"/>
        <w:outlineLvl w:val="0"/>
        <w:rPr>
          <w:sz w:val="31"/>
          <w:szCs w:val="31"/>
        </w:rPr>
      </w:pPr>
      <w:bookmarkStart w:id="170" w:name="bookmark163"/>
      <w:bookmarkEnd w:id="170"/>
      <w:r>
        <w:rPr>
          <w:b/>
          <w:bCs/>
          <w:color w:val="7030A0"/>
          <w:spacing w:val="-15"/>
          <w:sz w:val="31"/>
          <w:szCs w:val="31"/>
        </w:rPr>
        <w:t>第六章、</w:t>
      </w:r>
      <w:r>
        <w:rPr>
          <w:rFonts w:hint="eastAsia"/>
          <w:b/>
          <w:bCs/>
          <w:color w:val="7030A0"/>
          <w:spacing w:val="-15"/>
          <w:sz w:val="31"/>
          <w:szCs w:val="31"/>
          <w:lang w:val="en-US" w:eastAsia="zh-CN"/>
        </w:rPr>
        <w:t>进度管理</w:t>
      </w:r>
      <w:r>
        <w:rPr>
          <w:b/>
          <w:bCs/>
          <w:color w:val="7030A0"/>
          <w:spacing w:val="-15"/>
          <w:sz w:val="31"/>
          <w:szCs w:val="31"/>
        </w:rPr>
        <w:t>措施</w:t>
      </w:r>
    </w:p>
    <w:p w14:paraId="0958DF3F">
      <w:pPr>
        <w:pStyle w:val="2"/>
        <w:spacing w:before="95" w:line="308" w:lineRule="auto"/>
        <w:ind w:left="1456" w:right="1410" w:firstLine="461"/>
        <w:jc w:val="both"/>
        <w:rPr>
          <w:sz w:val="24"/>
          <w:szCs w:val="24"/>
        </w:rPr>
      </w:pPr>
      <w:r>
        <w:rPr>
          <w:spacing w:val="-20"/>
          <w:sz w:val="24"/>
          <w:szCs w:val="24"/>
        </w:rPr>
        <w:t>因本项目工程任务重，工期时间紧，合理制定施工计划是非常关键的一环</w:t>
      </w:r>
      <w:r>
        <w:rPr>
          <w:spacing w:val="-21"/>
          <w:sz w:val="24"/>
          <w:szCs w:val="24"/>
        </w:rPr>
        <w:t>。我们对施工设</w:t>
      </w:r>
      <w:r>
        <w:rPr>
          <w:spacing w:val="-20"/>
          <w:sz w:val="24"/>
          <w:szCs w:val="24"/>
        </w:rPr>
        <w:t>计做了深入的分析和细致研究，为了高质量、高速度按期完成本标段施工任务，项目部拟定了科学的施工配合措施：</w:t>
      </w:r>
    </w:p>
    <w:p w14:paraId="5BB3EBDF">
      <w:pPr>
        <w:pStyle w:val="2"/>
        <w:spacing w:line="262" w:lineRule="auto"/>
        <w:ind w:left="1456" w:right="1425" w:firstLine="447"/>
        <w:rPr>
          <w:sz w:val="24"/>
          <w:szCs w:val="24"/>
        </w:rPr>
      </w:pPr>
      <w:r>
        <w:rPr>
          <w:spacing w:val="-23"/>
          <w:sz w:val="24"/>
          <w:szCs w:val="24"/>
        </w:rPr>
        <w:t>1、配备强有力的项目经理部和施工队伍组织，阵容强大、技术力量雄厚的施工队伍，高效</w:t>
      </w:r>
      <w:r>
        <w:rPr>
          <w:spacing w:val="-19"/>
          <w:sz w:val="24"/>
          <w:szCs w:val="24"/>
        </w:rPr>
        <w:t>优质按时完成任务。</w:t>
      </w:r>
    </w:p>
    <w:p w14:paraId="5F2CBF5D">
      <w:pPr>
        <w:pStyle w:val="2"/>
        <w:spacing w:before="117" w:line="216" w:lineRule="auto"/>
        <w:ind w:left="1888"/>
        <w:rPr>
          <w:sz w:val="24"/>
          <w:szCs w:val="24"/>
        </w:rPr>
      </w:pPr>
      <w:r>
        <w:rPr>
          <w:spacing w:val="-21"/>
          <w:sz w:val="24"/>
          <w:szCs w:val="24"/>
        </w:rPr>
        <w:t>2、分区施工，科学统筹，齐头并进，多开作业面，平行作业：</w:t>
      </w:r>
    </w:p>
    <w:p w14:paraId="06E07345">
      <w:pPr>
        <w:pStyle w:val="2"/>
        <w:spacing w:before="119" w:line="307" w:lineRule="auto"/>
        <w:ind w:left="1470" w:right="1409" w:firstLine="431"/>
        <w:rPr>
          <w:sz w:val="24"/>
          <w:szCs w:val="24"/>
        </w:rPr>
      </w:pPr>
      <w:r>
        <w:rPr>
          <w:spacing w:val="-20"/>
          <w:sz w:val="24"/>
          <w:szCs w:val="24"/>
        </w:rPr>
        <w:t>我公司安排阵容强大的施工队伍，管理层、技术指导层、操作层配置合理，具备交叉作业</w:t>
      </w:r>
      <w:r>
        <w:rPr>
          <w:spacing w:val="-22"/>
          <w:sz w:val="24"/>
          <w:szCs w:val="24"/>
        </w:rPr>
        <w:t>的必要条件，统筹安排，交叉作业，多项工</w:t>
      </w:r>
      <w:r>
        <w:rPr>
          <w:spacing w:val="-23"/>
          <w:sz w:val="24"/>
          <w:szCs w:val="24"/>
        </w:rPr>
        <w:t>艺并举，力保工程进度。</w:t>
      </w:r>
    </w:p>
    <w:p w14:paraId="00BFF6C9">
      <w:pPr>
        <w:pStyle w:val="2"/>
        <w:spacing w:before="1" w:line="308" w:lineRule="auto"/>
        <w:ind w:left="1456" w:right="1409" w:firstLine="436"/>
        <w:jc w:val="both"/>
        <w:rPr>
          <w:sz w:val="24"/>
          <w:szCs w:val="24"/>
        </w:rPr>
      </w:pPr>
      <w:r>
        <w:rPr>
          <w:spacing w:val="-19"/>
          <w:sz w:val="24"/>
          <w:szCs w:val="24"/>
        </w:rPr>
        <w:t>施工前，认真编制好科学的施工进度网络</w:t>
      </w:r>
      <w:r>
        <w:rPr>
          <w:spacing w:val="-20"/>
          <w:sz w:val="24"/>
          <w:szCs w:val="24"/>
        </w:rPr>
        <w:t>图，设计好人力调配计划；施工中加强现场指挥调度，合理安排调整人力、物力、财力、调度各工序、工艺、工种的协调一致，避免任何形式</w:t>
      </w:r>
      <w:r>
        <w:rPr>
          <w:spacing w:val="-21"/>
          <w:sz w:val="24"/>
          <w:szCs w:val="24"/>
        </w:rPr>
        <w:t>的窝工浪费，最大限度发挥各种资源效益。</w:t>
      </w:r>
    </w:p>
    <w:p w14:paraId="1D2FB05E">
      <w:pPr>
        <w:pStyle w:val="2"/>
        <w:spacing w:line="216" w:lineRule="auto"/>
        <w:ind w:left="1890"/>
        <w:rPr>
          <w:sz w:val="24"/>
          <w:szCs w:val="24"/>
        </w:rPr>
      </w:pPr>
      <w:r>
        <w:rPr>
          <w:spacing w:val="-20"/>
          <w:sz w:val="24"/>
          <w:szCs w:val="24"/>
        </w:rPr>
        <w:t>3、充分利用机械施工，提高效率。</w:t>
      </w:r>
    </w:p>
    <w:p w14:paraId="220C286C">
      <w:pPr>
        <w:pStyle w:val="2"/>
        <w:spacing w:before="120" w:line="307" w:lineRule="auto"/>
        <w:ind w:left="1455" w:right="1410" w:firstLine="446"/>
        <w:rPr>
          <w:sz w:val="24"/>
          <w:szCs w:val="24"/>
        </w:rPr>
      </w:pPr>
      <w:r>
        <w:rPr>
          <w:spacing w:val="-20"/>
          <w:sz w:val="24"/>
          <w:szCs w:val="24"/>
        </w:rPr>
        <w:t>我公司为本标工程配集全套施工机具，人机配合施工，保证质量，加快施工进度，力保在</w:t>
      </w:r>
      <w:r>
        <w:rPr>
          <w:spacing w:val="-21"/>
          <w:sz w:val="24"/>
          <w:szCs w:val="24"/>
        </w:rPr>
        <w:t>标段工期内如期或提前顺利完工。</w:t>
      </w:r>
    </w:p>
    <w:p w14:paraId="022B887D">
      <w:pPr>
        <w:pStyle w:val="2"/>
        <w:spacing w:before="2" w:line="215" w:lineRule="auto"/>
        <w:ind w:left="1884"/>
        <w:rPr>
          <w:sz w:val="24"/>
          <w:szCs w:val="24"/>
        </w:rPr>
      </w:pPr>
      <w:r>
        <w:rPr>
          <w:spacing w:val="-20"/>
          <w:sz w:val="24"/>
          <w:szCs w:val="24"/>
        </w:rPr>
        <w:t>4、材料供应、施工一线、后勤保障密切配合。</w:t>
      </w:r>
    </w:p>
    <w:p w14:paraId="58A685F7">
      <w:pPr>
        <w:pStyle w:val="2"/>
        <w:spacing w:before="120" w:line="216" w:lineRule="auto"/>
        <w:ind w:left="1897"/>
        <w:rPr>
          <w:sz w:val="24"/>
          <w:szCs w:val="24"/>
        </w:rPr>
      </w:pPr>
      <w:r>
        <w:rPr>
          <w:spacing w:val="-21"/>
          <w:sz w:val="24"/>
          <w:szCs w:val="24"/>
        </w:rPr>
        <w:t>原材料提前按需进场，保证施工需要；植物提前</w:t>
      </w:r>
      <w:r>
        <w:rPr>
          <w:spacing w:val="-22"/>
          <w:sz w:val="24"/>
          <w:szCs w:val="24"/>
        </w:rPr>
        <w:t>准备，保证施工随要随到；</w:t>
      </w:r>
    </w:p>
    <w:p w14:paraId="615AB41F">
      <w:pPr>
        <w:pStyle w:val="2"/>
        <w:spacing w:before="118" w:line="308" w:lineRule="auto"/>
        <w:ind w:left="1457" w:right="1447" w:firstLine="440"/>
        <w:rPr>
          <w:sz w:val="24"/>
          <w:szCs w:val="24"/>
        </w:rPr>
      </w:pPr>
      <w:r>
        <w:rPr>
          <w:spacing w:val="-21"/>
          <w:sz w:val="24"/>
          <w:szCs w:val="24"/>
        </w:rPr>
        <w:t>公司配合项目部做好行政后勤服务，解除一线施工人员一切后顾之忧，全力以赴保工期、</w:t>
      </w:r>
      <w:r>
        <w:rPr>
          <w:spacing w:val="-15"/>
          <w:sz w:val="24"/>
          <w:szCs w:val="24"/>
        </w:rPr>
        <w:t>保质量。</w:t>
      </w:r>
    </w:p>
    <w:p w14:paraId="0914BDA5">
      <w:pPr>
        <w:pStyle w:val="2"/>
        <w:spacing w:before="1" w:line="216" w:lineRule="auto"/>
        <w:ind w:left="1897"/>
        <w:rPr>
          <w:sz w:val="24"/>
          <w:szCs w:val="24"/>
        </w:rPr>
      </w:pPr>
      <w:r>
        <w:rPr>
          <w:spacing w:val="-21"/>
          <w:sz w:val="24"/>
          <w:szCs w:val="24"/>
        </w:rPr>
        <w:t>公司和项目部做到物供、施工、后勤三条线条条畅</w:t>
      </w:r>
      <w:r>
        <w:rPr>
          <w:spacing w:val="-22"/>
          <w:sz w:val="24"/>
          <w:szCs w:val="24"/>
        </w:rPr>
        <w:t>通，协同配合，打好总体战。</w:t>
      </w:r>
    </w:p>
    <w:p w14:paraId="3447E021">
      <w:pPr>
        <w:pStyle w:val="2"/>
        <w:spacing w:before="66" w:line="217" w:lineRule="auto"/>
        <w:ind w:left="4171"/>
        <w:outlineLvl w:val="1"/>
        <w:rPr>
          <w:sz w:val="30"/>
          <w:szCs w:val="30"/>
        </w:rPr>
      </w:pPr>
      <w:bookmarkStart w:id="171" w:name="bookmark164"/>
      <w:bookmarkEnd w:id="171"/>
      <w:r>
        <w:rPr>
          <w:b/>
          <w:bCs/>
          <w:color w:val="0070C0"/>
          <w:spacing w:val="-24"/>
          <w:sz w:val="30"/>
          <w:szCs w:val="30"/>
        </w:rPr>
        <w:t>第一节、工程总进度计划编制</w:t>
      </w:r>
    </w:p>
    <w:p w14:paraId="14FBC085">
      <w:pPr>
        <w:pStyle w:val="2"/>
        <w:spacing w:before="64" w:line="219" w:lineRule="auto"/>
        <w:ind w:left="1981"/>
        <w:outlineLvl w:val="2"/>
        <w:rPr>
          <w:sz w:val="28"/>
          <w:szCs w:val="28"/>
        </w:rPr>
      </w:pPr>
      <w:bookmarkStart w:id="172" w:name="bookmark165"/>
      <w:bookmarkEnd w:id="172"/>
      <w:r>
        <w:rPr>
          <w:b/>
          <w:bCs/>
          <w:spacing w:val="-22"/>
          <w:sz w:val="28"/>
          <w:szCs w:val="28"/>
        </w:rPr>
        <w:t>一、施工总工期安排</w:t>
      </w:r>
    </w:p>
    <w:p w14:paraId="49A68873">
      <w:pPr>
        <w:pStyle w:val="2"/>
        <w:spacing w:before="118" w:line="308" w:lineRule="auto"/>
        <w:ind w:left="1457" w:right="1447" w:firstLine="440"/>
        <w:rPr>
          <w:rFonts w:hint="eastAsia"/>
          <w:spacing w:val="-21"/>
          <w:sz w:val="24"/>
          <w:szCs w:val="24"/>
        </w:rPr>
      </w:pPr>
      <w:r>
        <w:rPr>
          <w:rFonts w:hint="eastAsia"/>
          <w:spacing w:val="-21"/>
          <w:sz w:val="24"/>
          <w:szCs w:val="24"/>
        </w:rPr>
        <w:t>计划工期：540 日历天</w:t>
      </w:r>
    </w:p>
    <w:p w14:paraId="3477C475">
      <w:pPr>
        <w:pStyle w:val="2"/>
        <w:spacing w:before="118" w:line="308" w:lineRule="auto"/>
        <w:ind w:left="1457" w:right="1447" w:firstLine="440"/>
        <w:rPr>
          <w:rFonts w:hint="eastAsia"/>
          <w:spacing w:val="-21"/>
          <w:sz w:val="24"/>
          <w:szCs w:val="24"/>
        </w:rPr>
      </w:pPr>
      <w:r>
        <w:rPr>
          <w:rFonts w:hint="eastAsia"/>
          <w:spacing w:val="-21"/>
          <w:sz w:val="24"/>
          <w:szCs w:val="24"/>
        </w:rPr>
        <w:t>计划开工日期：2022 年 6 月 5 日（具体开工日期以开工通知为准）</w:t>
      </w:r>
    </w:p>
    <w:p w14:paraId="559DAC4C">
      <w:pPr>
        <w:pStyle w:val="2"/>
        <w:spacing w:before="118" w:line="308" w:lineRule="auto"/>
        <w:ind w:left="1457" w:right="1447" w:firstLine="440"/>
        <w:rPr>
          <w:rFonts w:hint="eastAsia"/>
          <w:spacing w:val="-21"/>
          <w:sz w:val="24"/>
          <w:szCs w:val="24"/>
        </w:rPr>
      </w:pPr>
      <w:r>
        <w:rPr>
          <w:rFonts w:hint="eastAsia"/>
          <w:spacing w:val="-21"/>
          <w:sz w:val="24"/>
          <w:szCs w:val="24"/>
        </w:rPr>
        <w:t>计划竣工日期：2023 年 11 月 26 日</w:t>
      </w:r>
    </w:p>
    <w:p w14:paraId="2CB0280F">
      <w:pPr>
        <w:pStyle w:val="2"/>
        <w:spacing w:before="118" w:line="308" w:lineRule="auto"/>
        <w:ind w:left="1457" w:right="1447" w:firstLine="440"/>
        <w:rPr>
          <w:rFonts w:hint="eastAsia"/>
          <w:spacing w:val="-21"/>
          <w:sz w:val="24"/>
          <w:szCs w:val="24"/>
        </w:rPr>
      </w:pPr>
      <w:r>
        <w:rPr>
          <w:rFonts w:hint="eastAsia"/>
          <w:spacing w:val="-21"/>
          <w:sz w:val="24"/>
          <w:szCs w:val="24"/>
        </w:rPr>
        <w:t>除上述总工期外，发包人还要求以下区段工期： /</w:t>
      </w:r>
    </w:p>
    <w:p w14:paraId="0B6FC208">
      <w:pPr>
        <w:spacing w:line="214" w:lineRule="exact"/>
      </w:pPr>
    </w:p>
    <w:p w14:paraId="50CFF998">
      <w:pPr>
        <w:pStyle w:val="2"/>
        <w:spacing w:before="80" w:line="218" w:lineRule="auto"/>
        <w:ind w:left="1986"/>
        <w:outlineLvl w:val="2"/>
        <w:rPr>
          <w:sz w:val="28"/>
          <w:szCs w:val="28"/>
        </w:rPr>
      </w:pPr>
      <w:bookmarkStart w:id="173" w:name="bookmark166"/>
      <w:bookmarkEnd w:id="173"/>
      <w:r>
        <w:rPr>
          <w:b/>
          <w:bCs/>
          <w:spacing w:val="-22"/>
          <w:sz w:val="28"/>
          <w:szCs w:val="28"/>
        </w:rPr>
        <w:t>二、进度网络计划</w:t>
      </w:r>
    </w:p>
    <w:p w14:paraId="1BF180A8">
      <w:pPr>
        <w:pStyle w:val="2"/>
        <w:spacing w:before="103" w:line="217" w:lineRule="auto"/>
        <w:ind w:left="1903"/>
        <w:rPr>
          <w:sz w:val="24"/>
          <w:szCs w:val="24"/>
        </w:rPr>
      </w:pPr>
      <w:r>
        <w:rPr>
          <w:spacing w:val="-19"/>
          <w:sz w:val="24"/>
          <w:szCs w:val="24"/>
        </w:rPr>
        <w:t>1、进度控制方法</w:t>
      </w:r>
    </w:p>
    <w:p w14:paraId="3CFEA0DE">
      <w:pPr>
        <w:pStyle w:val="2"/>
        <w:spacing w:before="118" w:line="308" w:lineRule="auto"/>
        <w:ind w:left="1455" w:right="1410" w:firstLine="450"/>
        <w:rPr>
          <w:sz w:val="24"/>
          <w:szCs w:val="24"/>
        </w:rPr>
      </w:pPr>
      <w:r>
        <w:rPr>
          <w:spacing w:val="-20"/>
          <w:sz w:val="24"/>
          <w:szCs w:val="24"/>
        </w:rPr>
        <w:t>简单的说就是规划、控制和协调。规划就是按照分层进度计划，制定相应的诸如人员、材</w:t>
      </w:r>
      <w:r>
        <w:rPr>
          <w:spacing w:val="-19"/>
          <w:sz w:val="24"/>
          <w:szCs w:val="24"/>
        </w:rPr>
        <w:t>料、机具等计划。控制即是在项目实施的全过程中，进行实际进</w:t>
      </w:r>
      <w:r>
        <w:rPr>
          <w:spacing w:val="-20"/>
          <w:sz w:val="24"/>
          <w:szCs w:val="24"/>
        </w:rPr>
        <w:t>度与计划进度的比较，出现偏差及时采取措施调整。协调则为外部协调和内部协调，外部协调即协调与进度有关的各施工单位之间的关系和次序，减少重叠，把时间空间化；内部协调是指项目经理部根据进度计划对各部门、班组之间进行协调。</w:t>
      </w:r>
    </w:p>
    <w:p w14:paraId="475CF82A">
      <w:pPr>
        <w:pStyle w:val="2"/>
        <w:spacing w:line="217" w:lineRule="auto"/>
        <w:ind w:left="1888"/>
        <w:rPr>
          <w:sz w:val="24"/>
          <w:szCs w:val="24"/>
        </w:rPr>
      </w:pPr>
      <w:r>
        <w:rPr>
          <w:spacing w:val="-19"/>
          <w:sz w:val="24"/>
          <w:szCs w:val="24"/>
        </w:rPr>
        <w:t>2、进度控制措施</w:t>
      </w:r>
    </w:p>
    <w:p w14:paraId="113C95E2">
      <w:pPr>
        <w:pStyle w:val="2"/>
        <w:spacing w:before="118" w:line="285" w:lineRule="auto"/>
        <w:ind w:left="1455" w:right="1409" w:firstLine="432"/>
        <w:rPr>
          <w:sz w:val="24"/>
          <w:szCs w:val="24"/>
        </w:rPr>
      </w:pPr>
      <w:r>
        <w:rPr>
          <w:spacing w:val="-23"/>
          <w:sz w:val="24"/>
          <w:szCs w:val="24"/>
        </w:rPr>
        <w:t>2.1组织措施――落实各层次的进度控制人员及其具体任务和工作责任；建立进度控制的组</w:t>
      </w:r>
      <w:r>
        <w:rPr>
          <w:spacing w:val="-20"/>
          <w:sz w:val="24"/>
          <w:szCs w:val="24"/>
        </w:rPr>
        <w:t>织系统；根据具体的分项结构、进展情况，分阶段地进行分解细化，确定其进度目标，形成目标控制体系；确定进度控制工作制度，如检查时间、方法、协调会议时间、参加人等；对影响进度的因素分析和预测。</w:t>
      </w:r>
    </w:p>
    <w:p w14:paraId="692F40C2">
      <w:pPr>
        <w:pStyle w:val="2"/>
        <w:spacing w:before="116" w:line="218" w:lineRule="auto"/>
        <w:ind w:left="1888"/>
        <w:rPr>
          <w:sz w:val="24"/>
          <w:szCs w:val="24"/>
        </w:rPr>
      </w:pPr>
      <w:r>
        <w:rPr>
          <w:spacing w:val="-20"/>
          <w:sz w:val="24"/>
          <w:szCs w:val="24"/>
        </w:rPr>
        <w:t>2.2技术措施――采取加快施工进度的技术方法。</w:t>
      </w:r>
    </w:p>
    <w:p w14:paraId="239F3C48">
      <w:pPr>
        <w:pStyle w:val="2"/>
        <w:spacing w:before="117" w:line="216" w:lineRule="auto"/>
        <w:ind w:left="1888"/>
        <w:rPr>
          <w:sz w:val="24"/>
          <w:szCs w:val="24"/>
        </w:rPr>
      </w:pPr>
      <w:r>
        <w:rPr>
          <w:spacing w:val="-20"/>
          <w:sz w:val="24"/>
          <w:szCs w:val="24"/>
        </w:rPr>
        <w:t>2.3合同措施――对材料供应商签订的供货</w:t>
      </w:r>
      <w:r>
        <w:rPr>
          <w:spacing w:val="-21"/>
          <w:sz w:val="24"/>
          <w:szCs w:val="24"/>
        </w:rPr>
        <w:t>时间应与施工进度目标一致。</w:t>
      </w:r>
    </w:p>
    <w:p w14:paraId="0D88FB98">
      <w:pPr>
        <w:pStyle w:val="2"/>
        <w:spacing w:before="121" w:line="261" w:lineRule="auto"/>
        <w:ind w:left="1456" w:right="1409" w:firstLine="432"/>
        <w:rPr>
          <w:sz w:val="24"/>
          <w:szCs w:val="24"/>
        </w:rPr>
      </w:pPr>
      <w:r>
        <w:rPr>
          <w:spacing w:val="-23"/>
          <w:sz w:val="24"/>
          <w:szCs w:val="24"/>
        </w:rPr>
        <w:t>2.4信息管理措施――项目经理部对各分部实际进度的有关资料，进行整理统计并与计划进</w:t>
      </w:r>
      <w:r>
        <w:rPr>
          <w:spacing w:val="-21"/>
          <w:sz w:val="24"/>
          <w:szCs w:val="24"/>
        </w:rPr>
        <w:t>度比较，及时进行有针对性的调整。</w:t>
      </w:r>
    </w:p>
    <w:p w14:paraId="59DC144F">
      <w:pPr>
        <w:pStyle w:val="2"/>
        <w:spacing w:before="120" w:line="217" w:lineRule="auto"/>
        <w:ind w:left="1894"/>
        <w:rPr>
          <w:sz w:val="24"/>
          <w:szCs w:val="24"/>
        </w:rPr>
      </w:pPr>
      <w:r>
        <w:rPr>
          <w:spacing w:val="-21"/>
          <w:sz w:val="24"/>
          <w:szCs w:val="24"/>
        </w:rPr>
        <w:t>根据以上管理措施具体对进度计划从以下四方面进行控制：</w:t>
      </w:r>
    </w:p>
    <w:p w14:paraId="033718B4">
      <w:pPr>
        <w:pStyle w:val="2"/>
        <w:spacing w:before="119" w:line="218" w:lineRule="auto"/>
        <w:ind w:left="1890"/>
        <w:rPr>
          <w:sz w:val="24"/>
          <w:szCs w:val="24"/>
        </w:rPr>
      </w:pPr>
      <w:r>
        <w:rPr>
          <w:spacing w:val="-19"/>
          <w:sz w:val="24"/>
          <w:szCs w:val="24"/>
        </w:rPr>
        <w:t>3、施工进度计划的贯彻</w:t>
      </w:r>
    </w:p>
    <w:p w14:paraId="5AEB56C8">
      <w:pPr>
        <w:pStyle w:val="2"/>
        <w:spacing w:before="114" w:line="308" w:lineRule="auto"/>
        <w:ind w:left="1461" w:right="1410" w:firstLine="431"/>
        <w:rPr>
          <w:sz w:val="24"/>
          <w:szCs w:val="24"/>
        </w:rPr>
      </w:pPr>
      <w:r>
        <w:rPr>
          <w:spacing w:val="-20"/>
          <w:sz w:val="24"/>
          <w:szCs w:val="24"/>
        </w:rPr>
        <w:t>施工进度计划的实施就是施工活动的进展，也就是用施工进度计划指导施工活动、落实和完成计划。为了保证施工总进度计划的实施，并尽量按编制的计划时间逐步进行，保证各进度</w:t>
      </w:r>
      <w:r>
        <w:rPr>
          <w:spacing w:val="-21"/>
          <w:sz w:val="24"/>
          <w:szCs w:val="24"/>
        </w:rPr>
        <w:t>目标的实现，应做好如下的工作：</w:t>
      </w:r>
    </w:p>
    <w:p w14:paraId="57398ABA">
      <w:pPr>
        <w:pStyle w:val="2"/>
        <w:spacing w:before="6" w:line="289" w:lineRule="auto"/>
        <w:ind w:left="1458" w:right="1411" w:firstLine="434"/>
        <w:rPr>
          <w:sz w:val="24"/>
          <w:szCs w:val="24"/>
        </w:rPr>
      </w:pPr>
      <w:r>
        <w:rPr>
          <w:spacing w:val="-22"/>
          <w:sz w:val="24"/>
          <w:szCs w:val="24"/>
        </w:rPr>
        <w:t>（1）检查各层次的计划，形成严密的计划保证系统。该工程的所有施工进度计</w:t>
      </w:r>
      <w:r>
        <w:rPr>
          <w:spacing w:val="-23"/>
          <w:sz w:val="24"/>
          <w:szCs w:val="24"/>
        </w:rPr>
        <w:t>划都是围绕</w:t>
      </w:r>
      <w:r>
        <w:rPr>
          <w:spacing w:val="-20"/>
          <w:sz w:val="24"/>
          <w:szCs w:val="24"/>
        </w:rPr>
        <w:t>一个总任务而编制的，它们之间的关系是高层次的计划为低层次计划的依据，低层次的计划是高层次计划的具体化。在其贯彻执行时应当首先检查其是否协调一致，计划的目标是否层层分解，互相衔接，组成一个计划实施的保证体系，以施工任务书的方式下达到施工班组，以保证</w:t>
      </w:r>
      <w:r>
        <w:rPr>
          <w:spacing w:val="-21"/>
          <w:sz w:val="24"/>
          <w:szCs w:val="24"/>
        </w:rPr>
        <w:t>实施。</w:t>
      </w:r>
    </w:p>
    <w:p w14:paraId="7BF9D84C">
      <w:pPr>
        <w:pStyle w:val="2"/>
        <w:spacing w:before="117" w:line="277" w:lineRule="auto"/>
        <w:ind w:left="1457" w:right="1409" w:firstLine="435"/>
        <w:rPr>
          <w:sz w:val="24"/>
          <w:szCs w:val="24"/>
        </w:rPr>
      </w:pPr>
      <w:r>
        <w:rPr>
          <w:spacing w:val="-22"/>
          <w:sz w:val="24"/>
          <w:szCs w:val="24"/>
        </w:rPr>
        <w:t>（2）层层下达施工任务书。该项目的经理、工长和施工班组之间采用下达施工任务书</w:t>
      </w:r>
      <w:r>
        <w:rPr>
          <w:spacing w:val="-23"/>
          <w:sz w:val="24"/>
          <w:szCs w:val="24"/>
        </w:rPr>
        <w:t>，将</w:t>
      </w:r>
      <w:r>
        <w:rPr>
          <w:spacing w:val="-20"/>
          <w:sz w:val="24"/>
          <w:szCs w:val="24"/>
        </w:rPr>
        <w:t>作业下达到施工班组，明确具体施工任务、技术措施、质量要求等内容，使施工班互助组必须</w:t>
      </w:r>
      <w:r>
        <w:rPr>
          <w:spacing w:val="-21"/>
          <w:sz w:val="24"/>
          <w:szCs w:val="24"/>
        </w:rPr>
        <w:t>保证按作业计划时间完成规定的任务。</w:t>
      </w:r>
    </w:p>
    <w:p w14:paraId="218F83F0">
      <w:pPr>
        <w:pStyle w:val="2"/>
        <w:spacing w:before="120" w:line="277" w:lineRule="auto"/>
        <w:ind w:left="1457" w:right="1353" w:firstLine="435"/>
        <w:rPr>
          <w:sz w:val="24"/>
          <w:szCs w:val="24"/>
        </w:rPr>
      </w:pPr>
      <w:r>
        <w:rPr>
          <w:spacing w:val="-26"/>
          <w:sz w:val="24"/>
          <w:szCs w:val="24"/>
        </w:rPr>
        <w:t>（3）计划全面交底，发动工人实施计划。施工进度计划的实施是全体工作人员的共同行动，</w:t>
      </w:r>
      <w:r>
        <w:rPr>
          <w:spacing w:val="-19"/>
          <w:sz w:val="24"/>
          <w:szCs w:val="24"/>
        </w:rPr>
        <w:t>要使有关人员都明确各项计划的目标、任务、实施方案和措施</w:t>
      </w:r>
      <w:r>
        <w:rPr>
          <w:spacing w:val="-20"/>
          <w:sz w:val="24"/>
          <w:szCs w:val="24"/>
        </w:rPr>
        <w:t>，使管理层和作业层协调一致，将计划变成工人的自觉行动。</w:t>
      </w:r>
    </w:p>
    <w:p w14:paraId="7D02D0D5">
      <w:pPr>
        <w:pStyle w:val="2"/>
        <w:spacing w:before="120" w:line="218" w:lineRule="auto"/>
        <w:ind w:left="1884"/>
        <w:rPr>
          <w:sz w:val="24"/>
          <w:szCs w:val="24"/>
        </w:rPr>
      </w:pPr>
      <w:r>
        <w:rPr>
          <w:spacing w:val="-18"/>
          <w:sz w:val="24"/>
          <w:szCs w:val="24"/>
        </w:rPr>
        <w:t>4、施工进度计划的实施</w:t>
      </w:r>
    </w:p>
    <w:p w14:paraId="0A8C42E5">
      <w:pPr>
        <w:pStyle w:val="2"/>
        <w:spacing w:before="114" w:line="278" w:lineRule="auto"/>
        <w:ind w:left="1456" w:right="1356" w:firstLine="436"/>
        <w:rPr>
          <w:sz w:val="24"/>
          <w:szCs w:val="24"/>
        </w:rPr>
      </w:pPr>
      <w:r>
        <w:rPr>
          <w:spacing w:val="-22"/>
          <w:sz w:val="24"/>
          <w:szCs w:val="24"/>
        </w:rPr>
        <w:t>（1）编制月（周）计划。为了实施施工进度计划，将规定的任务结合现场的情</w:t>
      </w:r>
      <w:r>
        <w:rPr>
          <w:spacing w:val="-23"/>
          <w:sz w:val="24"/>
          <w:szCs w:val="24"/>
        </w:rPr>
        <w:t>况、劳动力</w:t>
      </w:r>
      <w:r>
        <w:rPr>
          <w:spacing w:val="-24"/>
          <w:sz w:val="24"/>
          <w:szCs w:val="24"/>
        </w:rPr>
        <w:t>机械等资源条件和施工的实际进度，在施工开始前和过程中不断地编制本月（周）的作业计划，</w:t>
      </w:r>
      <w:r>
        <w:rPr>
          <w:spacing w:val="-21"/>
          <w:sz w:val="24"/>
          <w:szCs w:val="24"/>
        </w:rPr>
        <w:t>使施工计划更具体、更切合实际和可行。</w:t>
      </w:r>
    </w:p>
    <w:p w14:paraId="6E4FBB49">
      <w:pPr>
        <w:pStyle w:val="2"/>
        <w:spacing w:before="119" w:line="277" w:lineRule="auto"/>
        <w:ind w:left="1467" w:right="1412" w:firstLine="425"/>
        <w:rPr>
          <w:sz w:val="24"/>
          <w:szCs w:val="24"/>
        </w:rPr>
      </w:pPr>
      <w:r>
        <w:rPr>
          <w:spacing w:val="-22"/>
          <w:sz w:val="24"/>
          <w:szCs w:val="24"/>
        </w:rPr>
        <w:t>（2）签发施工任务书。编制好月（周）作业计划以后，将每项具体任务通过签</w:t>
      </w:r>
      <w:r>
        <w:rPr>
          <w:spacing w:val="-23"/>
          <w:sz w:val="24"/>
          <w:szCs w:val="24"/>
        </w:rPr>
        <w:t>发施工任务</w:t>
      </w:r>
      <w:r>
        <w:rPr>
          <w:spacing w:val="-20"/>
          <w:sz w:val="24"/>
          <w:szCs w:val="24"/>
        </w:rPr>
        <w:t>书的方式使其进一步落实。施工任务书是向班组下达任务实行责任承包，全面管理和原始</w:t>
      </w:r>
      <w:r>
        <w:rPr>
          <w:spacing w:val="-21"/>
          <w:sz w:val="24"/>
          <w:szCs w:val="24"/>
        </w:rPr>
        <w:t>记录</w:t>
      </w:r>
      <w:r>
        <w:rPr>
          <w:spacing w:val="-22"/>
          <w:sz w:val="24"/>
          <w:szCs w:val="24"/>
        </w:rPr>
        <w:t>的综合性文件。施工班组必须保证指令任务的完成。</w:t>
      </w:r>
    </w:p>
    <w:p w14:paraId="75C77CCB">
      <w:pPr>
        <w:pStyle w:val="2"/>
        <w:spacing w:before="118" w:line="215" w:lineRule="auto"/>
        <w:ind w:left="1893"/>
        <w:rPr>
          <w:sz w:val="24"/>
          <w:szCs w:val="24"/>
        </w:rPr>
      </w:pPr>
      <w:r>
        <w:rPr>
          <w:spacing w:val="-21"/>
          <w:sz w:val="24"/>
          <w:szCs w:val="24"/>
        </w:rPr>
        <w:t>（3）做好施工进度记录，填好施工进度统</w:t>
      </w:r>
      <w:r>
        <w:rPr>
          <w:spacing w:val="-22"/>
          <w:sz w:val="24"/>
          <w:szCs w:val="24"/>
        </w:rPr>
        <w:t>计表。在计划任务完成的过程中，各级施工进度</w:t>
      </w:r>
    </w:p>
    <w:p w14:paraId="5F0B65FF">
      <w:pPr>
        <w:spacing w:line="215" w:lineRule="auto"/>
        <w:rPr>
          <w:sz w:val="24"/>
          <w:szCs w:val="24"/>
        </w:rPr>
        <w:sectPr>
          <w:footerReference r:id="rId243" w:type="default"/>
          <w:pgSz w:w="11907" w:h="16839"/>
          <w:pgMar w:top="954" w:right="4" w:bottom="1038" w:left="0" w:header="499" w:footer="357" w:gutter="0"/>
          <w:pgBorders>
            <w:top w:val="none" w:sz="0" w:space="0"/>
            <w:left w:val="none" w:sz="0" w:space="0"/>
            <w:bottom w:val="none" w:sz="0" w:space="0"/>
            <w:right w:val="none" w:sz="0" w:space="0"/>
          </w:pgBorders>
          <w:cols w:space="720" w:num="1"/>
        </w:sectPr>
      </w:pPr>
    </w:p>
    <w:p w14:paraId="28CBCEE5">
      <w:pPr>
        <w:spacing w:line="249" w:lineRule="auto"/>
        <w:rPr>
          <w:rFonts w:ascii="Arial"/>
          <w:sz w:val="21"/>
        </w:rPr>
      </w:pPr>
    </w:p>
    <w:p w14:paraId="194D628F">
      <w:pPr>
        <w:pStyle w:val="2"/>
        <w:spacing w:before="78" w:line="308" w:lineRule="auto"/>
        <w:ind w:left="1464" w:right="1335" w:hanging="8"/>
        <w:rPr>
          <w:sz w:val="24"/>
          <w:szCs w:val="24"/>
        </w:rPr>
      </w:pPr>
      <w:r>
        <w:rPr>
          <w:spacing w:val="-23"/>
          <w:sz w:val="24"/>
          <w:szCs w:val="24"/>
        </w:rPr>
        <w:t>计划的执行者都要跟踪做好施工记录，记载计划中的每项工作开始日期，工作进度</w:t>
      </w:r>
      <w:r>
        <w:rPr>
          <w:spacing w:val="-24"/>
          <w:sz w:val="24"/>
          <w:szCs w:val="24"/>
        </w:rPr>
        <w:t>和完成日期。</w:t>
      </w:r>
      <w:r>
        <w:rPr>
          <w:spacing w:val="-22"/>
          <w:sz w:val="24"/>
          <w:szCs w:val="24"/>
        </w:rPr>
        <w:t>为了施工进度检查分析提供信息，因此要求实事求是记载，并填好有关图表。</w:t>
      </w:r>
    </w:p>
    <w:p w14:paraId="6DD5C798">
      <w:pPr>
        <w:pStyle w:val="2"/>
        <w:spacing w:before="4" w:line="307" w:lineRule="auto"/>
        <w:ind w:left="1455" w:right="1409" w:firstLine="437"/>
        <w:jc w:val="both"/>
        <w:rPr>
          <w:sz w:val="24"/>
          <w:szCs w:val="24"/>
        </w:rPr>
      </w:pPr>
      <w:r>
        <w:rPr>
          <w:spacing w:val="-22"/>
          <w:sz w:val="24"/>
          <w:szCs w:val="24"/>
        </w:rPr>
        <w:t>（4）做好施工中的调度工作。施工中的调度是组织施工中各阶段、环节、专业和工种</w:t>
      </w:r>
      <w:r>
        <w:rPr>
          <w:spacing w:val="-23"/>
          <w:sz w:val="24"/>
          <w:szCs w:val="24"/>
        </w:rPr>
        <w:t>的互</w:t>
      </w:r>
      <w:r>
        <w:rPr>
          <w:spacing w:val="-20"/>
          <w:sz w:val="24"/>
          <w:szCs w:val="24"/>
        </w:rPr>
        <w:t>相配合、进度协调的指挥核心。调度工作主要任务是掌握计划实施情况，协调各方面的关系，采取措施，排出各种矛盾，加强各薄弱环节，实现动态平衡，保证完成作业计划和实现进度目</w:t>
      </w:r>
      <w:r>
        <w:rPr>
          <w:spacing w:val="-18"/>
          <w:sz w:val="24"/>
          <w:szCs w:val="24"/>
        </w:rPr>
        <w:t>标。</w:t>
      </w:r>
    </w:p>
    <w:p w14:paraId="7755AAD5">
      <w:pPr>
        <w:pStyle w:val="2"/>
        <w:spacing w:before="1" w:line="215" w:lineRule="auto"/>
        <w:ind w:left="1890"/>
        <w:rPr>
          <w:sz w:val="24"/>
          <w:szCs w:val="24"/>
        </w:rPr>
      </w:pPr>
      <w:r>
        <w:rPr>
          <w:spacing w:val="-19"/>
          <w:sz w:val="24"/>
          <w:szCs w:val="24"/>
        </w:rPr>
        <w:t>5、施工进度计划的检查</w:t>
      </w:r>
    </w:p>
    <w:p w14:paraId="4A13052B">
      <w:pPr>
        <w:pStyle w:val="2"/>
        <w:spacing w:before="117" w:line="290" w:lineRule="auto"/>
        <w:ind w:left="1457" w:right="1409" w:firstLine="435"/>
        <w:rPr>
          <w:sz w:val="24"/>
          <w:szCs w:val="24"/>
        </w:rPr>
      </w:pPr>
      <w:r>
        <w:rPr>
          <w:spacing w:val="-22"/>
          <w:sz w:val="24"/>
          <w:szCs w:val="24"/>
        </w:rPr>
        <w:t>（1）跟踪检查施工实际进度，确定为每周进行一次跟踪检查，若在施工中遇到天气、</w:t>
      </w:r>
      <w:r>
        <w:rPr>
          <w:spacing w:val="-23"/>
          <w:sz w:val="24"/>
          <w:szCs w:val="24"/>
        </w:rPr>
        <w:t>资源</w:t>
      </w:r>
      <w:r>
        <w:rPr>
          <w:spacing w:val="-20"/>
          <w:sz w:val="24"/>
          <w:szCs w:val="24"/>
        </w:rPr>
        <w:t>供应等不利因素的严重影响，检查的时间间隔可临时缩短，次数应频繁。检查和收集资料的方式一般采用进度报表方式和定期召开进度工作汇报会。为了保证汇报资料的准确性，进度控制的工作人员，要经常到现场察看施工的实际进度情况，从而保证经常地、定期地准确掌握施工</w:t>
      </w:r>
      <w:r>
        <w:rPr>
          <w:spacing w:val="-18"/>
          <w:sz w:val="24"/>
          <w:szCs w:val="24"/>
        </w:rPr>
        <w:t>的实际进度。</w:t>
      </w:r>
    </w:p>
    <w:p w14:paraId="3F3AED20">
      <w:pPr>
        <w:pStyle w:val="2"/>
        <w:spacing w:before="117" w:line="262" w:lineRule="auto"/>
        <w:ind w:left="1462" w:right="1410" w:firstLine="431"/>
        <w:rPr>
          <w:sz w:val="24"/>
          <w:szCs w:val="24"/>
        </w:rPr>
      </w:pPr>
      <w:r>
        <w:rPr>
          <w:spacing w:val="-22"/>
          <w:sz w:val="24"/>
          <w:szCs w:val="24"/>
        </w:rPr>
        <w:t>（2）整理统计检查数据，收集到的施工实际进度数据，要进行必要的整理，按计划</w:t>
      </w:r>
      <w:r>
        <w:rPr>
          <w:spacing w:val="-23"/>
          <w:sz w:val="24"/>
          <w:szCs w:val="24"/>
        </w:rPr>
        <w:t>控制的</w:t>
      </w:r>
      <w:r>
        <w:rPr>
          <w:spacing w:val="-21"/>
          <w:sz w:val="24"/>
          <w:szCs w:val="24"/>
        </w:rPr>
        <w:t>工作项目进行统计，形成与计划进度具体有可比</w:t>
      </w:r>
      <w:r>
        <w:rPr>
          <w:spacing w:val="-22"/>
          <w:sz w:val="24"/>
          <w:szCs w:val="24"/>
        </w:rPr>
        <w:t>性的数据。</w:t>
      </w:r>
    </w:p>
    <w:p w14:paraId="5B230815">
      <w:pPr>
        <w:pStyle w:val="2"/>
        <w:spacing w:before="119" w:line="262" w:lineRule="auto"/>
        <w:ind w:left="1458" w:right="1413" w:firstLine="434"/>
        <w:rPr>
          <w:sz w:val="24"/>
          <w:szCs w:val="24"/>
        </w:rPr>
      </w:pPr>
      <w:r>
        <w:rPr>
          <w:spacing w:val="-22"/>
          <w:sz w:val="24"/>
          <w:szCs w:val="24"/>
        </w:rPr>
        <w:t>（3）对比实际进度与计划进度。将收集的资料整理和统计成具有与计划进度</w:t>
      </w:r>
      <w:r>
        <w:rPr>
          <w:spacing w:val="-23"/>
          <w:sz w:val="24"/>
          <w:szCs w:val="24"/>
        </w:rPr>
        <w:t>可比性的数据</w:t>
      </w:r>
      <w:r>
        <w:rPr>
          <w:spacing w:val="-21"/>
          <w:sz w:val="24"/>
          <w:szCs w:val="24"/>
        </w:rPr>
        <w:t>后，就可进行比较，得出实际进度与计划进度相一致、</w:t>
      </w:r>
      <w:r>
        <w:rPr>
          <w:spacing w:val="-22"/>
          <w:sz w:val="24"/>
          <w:szCs w:val="24"/>
        </w:rPr>
        <w:t>超前、拖后三种情况。</w:t>
      </w:r>
    </w:p>
    <w:p w14:paraId="76B529FC">
      <w:pPr>
        <w:pStyle w:val="2"/>
        <w:spacing w:before="119" w:line="262" w:lineRule="auto"/>
        <w:ind w:left="1457" w:right="1410" w:firstLine="435"/>
        <w:rPr>
          <w:sz w:val="24"/>
          <w:szCs w:val="24"/>
        </w:rPr>
      </w:pPr>
      <w:r>
        <w:rPr>
          <w:spacing w:val="-22"/>
          <w:sz w:val="24"/>
          <w:szCs w:val="24"/>
        </w:rPr>
        <w:t>（4）施工进度检查结果的处理。施工进度检查的结果，按照报告制度的规定，形成</w:t>
      </w:r>
      <w:r>
        <w:rPr>
          <w:spacing w:val="-23"/>
          <w:sz w:val="24"/>
          <w:szCs w:val="24"/>
        </w:rPr>
        <w:t>进度控</w:t>
      </w:r>
      <w:r>
        <w:rPr>
          <w:spacing w:val="-21"/>
          <w:sz w:val="24"/>
          <w:szCs w:val="24"/>
        </w:rPr>
        <w:t>制报告向有关主管人员和部门汇报。</w:t>
      </w:r>
    </w:p>
    <w:p w14:paraId="266CF88F">
      <w:pPr>
        <w:pStyle w:val="2"/>
        <w:spacing w:before="118" w:line="218" w:lineRule="auto"/>
        <w:ind w:left="1887"/>
        <w:rPr>
          <w:sz w:val="24"/>
          <w:szCs w:val="24"/>
        </w:rPr>
      </w:pPr>
      <w:r>
        <w:rPr>
          <w:spacing w:val="-18"/>
          <w:sz w:val="24"/>
          <w:szCs w:val="24"/>
        </w:rPr>
        <w:t>6、施工进度计划的调整</w:t>
      </w:r>
    </w:p>
    <w:p w14:paraId="6C172034">
      <w:pPr>
        <w:pStyle w:val="2"/>
        <w:spacing w:before="118" w:line="216" w:lineRule="auto"/>
        <w:ind w:left="1893"/>
        <w:rPr>
          <w:sz w:val="24"/>
          <w:szCs w:val="24"/>
        </w:rPr>
      </w:pPr>
      <w:r>
        <w:rPr>
          <w:spacing w:val="-20"/>
          <w:sz w:val="24"/>
          <w:szCs w:val="24"/>
        </w:rPr>
        <w:t>（1）分析进度偏差的工作是否为关键工作</w:t>
      </w:r>
    </w:p>
    <w:p w14:paraId="4CBB50FE">
      <w:pPr>
        <w:pStyle w:val="2"/>
        <w:spacing w:before="116" w:line="308" w:lineRule="auto"/>
        <w:ind w:left="1458" w:right="1409" w:firstLine="434"/>
        <w:rPr>
          <w:sz w:val="24"/>
          <w:szCs w:val="24"/>
        </w:rPr>
      </w:pPr>
      <w:r>
        <w:rPr>
          <w:spacing w:val="-20"/>
          <w:sz w:val="24"/>
          <w:szCs w:val="24"/>
        </w:rPr>
        <w:t>若出现偏差的工作为关键工作，则无论偏差大小，都对后续工作及总工期产生影响，必须采取相应的调整措施，若出现偏差的工作不为关键工作，需要根据偏差值与总时差和自由时差</w:t>
      </w:r>
      <w:r>
        <w:rPr>
          <w:spacing w:val="-21"/>
          <w:sz w:val="24"/>
          <w:szCs w:val="24"/>
        </w:rPr>
        <w:t>的大小关系，确定对后续工作和总工期的影响程度。</w:t>
      </w:r>
    </w:p>
    <w:p w14:paraId="664011E3">
      <w:pPr>
        <w:pStyle w:val="2"/>
        <w:spacing w:before="1" w:line="217" w:lineRule="auto"/>
        <w:ind w:left="1893"/>
        <w:rPr>
          <w:sz w:val="24"/>
          <w:szCs w:val="24"/>
        </w:rPr>
      </w:pPr>
      <w:r>
        <w:rPr>
          <w:spacing w:val="-20"/>
          <w:sz w:val="24"/>
          <w:szCs w:val="24"/>
        </w:rPr>
        <w:t>（2）分析进度偏差是否大于总时差</w:t>
      </w:r>
    </w:p>
    <w:p w14:paraId="58F75B5C">
      <w:pPr>
        <w:pStyle w:val="2"/>
        <w:spacing w:before="116" w:line="308" w:lineRule="auto"/>
        <w:ind w:left="1457" w:right="1410" w:firstLine="435"/>
        <w:rPr>
          <w:sz w:val="24"/>
          <w:szCs w:val="24"/>
        </w:rPr>
      </w:pPr>
      <w:r>
        <w:rPr>
          <w:spacing w:val="-20"/>
          <w:sz w:val="24"/>
          <w:szCs w:val="24"/>
        </w:rPr>
        <w:t>若工作的进度偏差大于该工作的总时差，说明此偏差必将影响后续工作和总工期，必须采取相应的调整措施；若工作的进度偏差小于或等于该工作的总时差，说明此偏差对总工期无影</w:t>
      </w:r>
      <w:r>
        <w:rPr>
          <w:spacing w:val="-22"/>
          <w:sz w:val="24"/>
          <w:szCs w:val="24"/>
        </w:rPr>
        <w:t>响，但它对后续工作的影响程度，需要根据比较偏差与自由时差的情况来确定。</w:t>
      </w:r>
    </w:p>
    <w:p w14:paraId="4998250B">
      <w:pPr>
        <w:pStyle w:val="2"/>
        <w:spacing w:before="1" w:line="217" w:lineRule="auto"/>
        <w:ind w:left="1893"/>
        <w:rPr>
          <w:sz w:val="24"/>
          <w:szCs w:val="24"/>
        </w:rPr>
      </w:pPr>
      <w:r>
        <w:rPr>
          <w:spacing w:val="-20"/>
          <w:sz w:val="24"/>
          <w:szCs w:val="24"/>
        </w:rPr>
        <w:t>（3）分析进度偏差是否大于自由时差</w:t>
      </w:r>
    </w:p>
    <w:p w14:paraId="56CC1B0C">
      <w:pPr>
        <w:pStyle w:val="2"/>
        <w:spacing w:before="117" w:line="308" w:lineRule="auto"/>
        <w:ind w:left="1456" w:right="1409" w:firstLine="436"/>
        <w:rPr>
          <w:sz w:val="24"/>
          <w:szCs w:val="24"/>
        </w:rPr>
      </w:pPr>
      <w:r>
        <w:rPr>
          <w:spacing w:val="-20"/>
          <w:sz w:val="24"/>
          <w:szCs w:val="24"/>
        </w:rPr>
        <w:t>若工作的进度偏差大于该工作的自由时差，说明此偏差对后续工作产生影响，应该如何调整，应根据后续工作允许影响的程度而定；若工作的进度偏差小于或等于该工作的自由时差，</w:t>
      </w:r>
      <w:r>
        <w:rPr>
          <w:spacing w:val="-21"/>
          <w:sz w:val="24"/>
          <w:szCs w:val="24"/>
        </w:rPr>
        <w:t>则说明此偏差对后续工作无影响，因此，原进度计划可以不</w:t>
      </w:r>
      <w:r>
        <w:rPr>
          <w:spacing w:val="-22"/>
          <w:sz w:val="24"/>
          <w:szCs w:val="24"/>
        </w:rPr>
        <w:t>作调整。</w:t>
      </w:r>
    </w:p>
    <w:p w14:paraId="0AAB0A31">
      <w:pPr>
        <w:pStyle w:val="2"/>
        <w:spacing w:line="294" w:lineRule="auto"/>
        <w:ind w:left="1459" w:right="1411" w:firstLine="433"/>
        <w:rPr>
          <w:sz w:val="24"/>
          <w:szCs w:val="24"/>
        </w:rPr>
      </w:pPr>
      <w:r>
        <w:rPr>
          <w:spacing w:val="-22"/>
          <w:sz w:val="24"/>
          <w:szCs w:val="24"/>
        </w:rPr>
        <w:t>（4）经过如此分析，进度控制人员可以确度应该调整产生进度偏差的工作和调</w:t>
      </w:r>
      <w:r>
        <w:rPr>
          <w:spacing w:val="-23"/>
          <w:sz w:val="24"/>
          <w:szCs w:val="24"/>
        </w:rPr>
        <w:t>整偏差值的</w:t>
      </w:r>
      <w:r>
        <w:rPr>
          <w:spacing w:val="-22"/>
          <w:sz w:val="24"/>
          <w:szCs w:val="24"/>
        </w:rPr>
        <w:t>大小，以使确定采取高速措施，获得新的符合实际进度情况和计划目标的新进度。</w:t>
      </w:r>
    </w:p>
    <w:p w14:paraId="2AE38492">
      <w:pPr>
        <w:pStyle w:val="2"/>
        <w:spacing w:before="2" w:line="217" w:lineRule="auto"/>
        <w:ind w:left="1985"/>
        <w:outlineLvl w:val="2"/>
        <w:rPr>
          <w:sz w:val="28"/>
          <w:szCs w:val="28"/>
        </w:rPr>
      </w:pPr>
      <w:bookmarkStart w:id="174" w:name="bookmark167"/>
      <w:bookmarkEnd w:id="174"/>
      <w:r>
        <w:rPr>
          <w:b/>
          <w:bCs/>
          <w:spacing w:val="-23"/>
          <w:sz w:val="28"/>
          <w:szCs w:val="28"/>
        </w:rPr>
        <w:t>三、施工网络图编制指导思想</w:t>
      </w:r>
    </w:p>
    <w:p w14:paraId="2EBAED4C">
      <w:pPr>
        <w:pStyle w:val="2"/>
        <w:spacing w:before="105" w:line="219" w:lineRule="auto"/>
        <w:ind w:left="1903"/>
        <w:rPr>
          <w:sz w:val="24"/>
          <w:szCs w:val="24"/>
        </w:rPr>
      </w:pPr>
      <w:r>
        <w:rPr>
          <w:spacing w:val="-20"/>
          <w:sz w:val="24"/>
          <w:szCs w:val="24"/>
        </w:rPr>
        <w:t>1、列为重点工程，全力以赴</w:t>
      </w:r>
    </w:p>
    <w:p w14:paraId="0E2CA0F0">
      <w:pPr>
        <w:pStyle w:val="2"/>
        <w:spacing w:before="114" w:line="215" w:lineRule="auto"/>
        <w:ind w:left="1901"/>
        <w:rPr>
          <w:sz w:val="24"/>
          <w:szCs w:val="24"/>
        </w:rPr>
      </w:pPr>
      <w:r>
        <w:rPr>
          <w:spacing w:val="-19"/>
          <w:sz w:val="24"/>
          <w:szCs w:val="24"/>
        </w:rPr>
        <w:t>我公司将本工程摆在重中之重的位置，将组织精兵强将，全力以</w:t>
      </w:r>
      <w:r>
        <w:rPr>
          <w:spacing w:val="-20"/>
          <w:sz w:val="24"/>
          <w:szCs w:val="24"/>
        </w:rPr>
        <w:t>赴确保工程按计划顺利完</w:t>
      </w:r>
    </w:p>
    <w:p w14:paraId="32042109">
      <w:pPr>
        <w:spacing w:line="215" w:lineRule="auto"/>
        <w:rPr>
          <w:sz w:val="24"/>
          <w:szCs w:val="24"/>
        </w:rPr>
        <w:sectPr>
          <w:footerReference r:id="rId244" w:type="default"/>
          <w:pgSz w:w="11907" w:h="16839"/>
          <w:pgMar w:top="954" w:right="4" w:bottom="1038" w:left="0" w:header="499" w:footer="357" w:gutter="0"/>
          <w:pgBorders>
            <w:top w:val="none" w:sz="0" w:space="0"/>
            <w:left w:val="none" w:sz="0" w:space="0"/>
            <w:bottom w:val="none" w:sz="0" w:space="0"/>
            <w:right w:val="none" w:sz="0" w:space="0"/>
          </w:pgBorders>
          <w:cols w:space="720" w:num="1"/>
        </w:sectPr>
      </w:pPr>
    </w:p>
    <w:p w14:paraId="265AA5E1">
      <w:pPr>
        <w:spacing w:line="250" w:lineRule="auto"/>
        <w:rPr>
          <w:rFonts w:ascii="Arial"/>
          <w:sz w:val="21"/>
        </w:rPr>
      </w:pPr>
    </w:p>
    <w:p w14:paraId="47F6BE1A">
      <w:pPr>
        <w:pStyle w:val="2"/>
        <w:spacing w:before="78" w:line="220" w:lineRule="auto"/>
        <w:ind w:left="1460"/>
        <w:rPr>
          <w:sz w:val="24"/>
          <w:szCs w:val="24"/>
        </w:rPr>
      </w:pPr>
      <w:r>
        <w:rPr>
          <w:spacing w:val="-19"/>
          <w:sz w:val="24"/>
          <w:szCs w:val="24"/>
        </w:rPr>
        <w:t>成。</w:t>
      </w:r>
    </w:p>
    <w:p w14:paraId="6E7E90F1">
      <w:pPr>
        <w:pStyle w:val="2"/>
        <w:spacing w:before="115" w:line="218" w:lineRule="auto"/>
        <w:ind w:left="1888"/>
        <w:rPr>
          <w:sz w:val="24"/>
          <w:szCs w:val="24"/>
        </w:rPr>
      </w:pPr>
      <w:r>
        <w:rPr>
          <w:spacing w:val="-19"/>
          <w:sz w:val="24"/>
          <w:szCs w:val="24"/>
        </w:rPr>
        <w:t>2、强化组织指挥，加强现场管理</w:t>
      </w:r>
    </w:p>
    <w:p w14:paraId="774211A2">
      <w:pPr>
        <w:pStyle w:val="2"/>
        <w:spacing w:before="115" w:line="217" w:lineRule="auto"/>
        <w:ind w:left="1894"/>
        <w:rPr>
          <w:sz w:val="24"/>
          <w:szCs w:val="24"/>
        </w:rPr>
      </w:pPr>
      <w:r>
        <w:rPr>
          <w:spacing w:val="-21"/>
          <w:sz w:val="24"/>
          <w:szCs w:val="24"/>
        </w:rPr>
        <w:t>集公司全部力量，优化资源配置，统一指挥协调。</w:t>
      </w:r>
    </w:p>
    <w:p w14:paraId="753A6C5A">
      <w:pPr>
        <w:pStyle w:val="2"/>
        <w:spacing w:before="119" w:line="307" w:lineRule="auto"/>
        <w:ind w:left="1456" w:right="1409" w:firstLine="439"/>
        <w:rPr>
          <w:sz w:val="24"/>
          <w:szCs w:val="24"/>
        </w:rPr>
      </w:pPr>
      <w:r>
        <w:rPr>
          <w:spacing w:val="-20"/>
          <w:sz w:val="24"/>
          <w:szCs w:val="24"/>
        </w:rPr>
        <w:t>选派综合管理能力强、施工经验丰富并施工过类似工程的人员作为项目施工管理人员。并</w:t>
      </w:r>
      <w:r>
        <w:rPr>
          <w:spacing w:val="-21"/>
          <w:sz w:val="24"/>
          <w:szCs w:val="24"/>
        </w:rPr>
        <w:t>建立施工进度控制体系，制定施工进度控制流程，严格按控</w:t>
      </w:r>
      <w:r>
        <w:rPr>
          <w:spacing w:val="-22"/>
          <w:sz w:val="24"/>
          <w:szCs w:val="24"/>
        </w:rPr>
        <w:t>制流程进行控制。</w:t>
      </w:r>
    </w:p>
    <w:p w14:paraId="47F83977">
      <w:pPr>
        <w:pStyle w:val="2"/>
        <w:spacing w:before="4" w:line="307" w:lineRule="auto"/>
        <w:ind w:left="1458" w:right="1409" w:firstLine="436"/>
        <w:jc w:val="both"/>
        <w:rPr>
          <w:sz w:val="24"/>
          <w:szCs w:val="24"/>
        </w:rPr>
      </w:pPr>
      <w:r>
        <w:rPr>
          <w:spacing w:val="-20"/>
          <w:sz w:val="24"/>
          <w:szCs w:val="24"/>
        </w:rPr>
        <w:t>推行施工项目管理，加强与业主、监理单位的联系，及时向业主、监理单位提供影响工程进度计划的外部条件因素的处理意见或建议，供业主、监理单位在协调施工、设计、生产等各类关系时参考。组织有力的工程指挥系统，进行合理施工部署，统筹确定施工流程，编制切实</w:t>
      </w:r>
      <w:r>
        <w:rPr>
          <w:spacing w:val="-21"/>
          <w:sz w:val="24"/>
          <w:szCs w:val="24"/>
        </w:rPr>
        <w:t>可行的施工、技术措施，通过网络进行同步有序优化施</w:t>
      </w:r>
      <w:r>
        <w:rPr>
          <w:spacing w:val="-22"/>
          <w:sz w:val="24"/>
          <w:szCs w:val="24"/>
        </w:rPr>
        <w:t>工，控制、协调各种生产要素。</w:t>
      </w:r>
    </w:p>
    <w:p w14:paraId="612B4F38">
      <w:pPr>
        <w:pStyle w:val="2"/>
        <w:spacing w:line="218" w:lineRule="auto"/>
        <w:ind w:left="1890"/>
        <w:rPr>
          <w:sz w:val="24"/>
          <w:szCs w:val="24"/>
        </w:rPr>
      </w:pPr>
      <w:r>
        <w:rPr>
          <w:spacing w:val="-19"/>
          <w:sz w:val="24"/>
          <w:szCs w:val="24"/>
        </w:rPr>
        <w:t>3、精心安排，科学组织</w:t>
      </w:r>
    </w:p>
    <w:p w14:paraId="68879267">
      <w:pPr>
        <w:pStyle w:val="2"/>
        <w:spacing w:before="120" w:line="307" w:lineRule="auto"/>
        <w:ind w:left="1457" w:right="1414" w:firstLine="444"/>
        <w:rPr>
          <w:sz w:val="24"/>
          <w:szCs w:val="24"/>
        </w:rPr>
      </w:pPr>
      <w:r>
        <w:rPr>
          <w:spacing w:val="-20"/>
          <w:sz w:val="24"/>
          <w:szCs w:val="24"/>
        </w:rPr>
        <w:t>为保证工程快速、优质建设，将集中公司范围内的技术专家和技术骨干组成技术专家组，全力以赴编制沟槽开挖、支护、降排水及水塘清淤换填、顶管施工、管线保护、迁移等专项方案，以确保本工程技术准备工作的科学合理性、及时性，确保工期的兑现，并专门研究处理工程建设各个环节的问题。</w:t>
      </w:r>
    </w:p>
    <w:p w14:paraId="17D2B305">
      <w:pPr>
        <w:pStyle w:val="2"/>
        <w:spacing w:before="2" w:line="307" w:lineRule="auto"/>
        <w:ind w:left="1453" w:right="1409" w:firstLine="439"/>
        <w:jc w:val="both"/>
        <w:rPr>
          <w:sz w:val="24"/>
          <w:szCs w:val="24"/>
        </w:rPr>
      </w:pPr>
      <w:r>
        <w:rPr>
          <w:spacing w:val="-20"/>
          <w:sz w:val="24"/>
          <w:szCs w:val="24"/>
        </w:rPr>
        <w:t>若我公司中标，将立即建立与业主的沟通渠道，根据详细设计及现场实际条件和本公司已有的资源情况，提出有关施工总体部署、重要部位的施工方案，取得业主、设计、监理单位的支持。</w:t>
      </w:r>
    </w:p>
    <w:p w14:paraId="3DAD1B11">
      <w:pPr>
        <w:pStyle w:val="2"/>
        <w:spacing w:before="1" w:line="219" w:lineRule="auto"/>
        <w:ind w:left="1884"/>
        <w:rPr>
          <w:sz w:val="24"/>
          <w:szCs w:val="24"/>
        </w:rPr>
      </w:pPr>
      <w:r>
        <w:rPr>
          <w:spacing w:val="-17"/>
          <w:sz w:val="24"/>
          <w:szCs w:val="24"/>
        </w:rPr>
        <w:t>4、投入足够的资源</w:t>
      </w:r>
    </w:p>
    <w:p w14:paraId="201B8B39">
      <w:pPr>
        <w:pStyle w:val="2"/>
        <w:spacing w:before="114" w:line="308" w:lineRule="auto"/>
        <w:ind w:left="1462" w:right="1409" w:firstLine="431"/>
        <w:rPr>
          <w:sz w:val="24"/>
          <w:szCs w:val="24"/>
        </w:rPr>
      </w:pPr>
      <w:r>
        <w:rPr>
          <w:spacing w:val="-20"/>
          <w:sz w:val="24"/>
          <w:szCs w:val="24"/>
        </w:rPr>
        <w:t>根据资源投入计划，认真组织施工各阶段的劳动力和施工机具投入，保证施工工期。在施</w:t>
      </w:r>
      <w:r>
        <w:rPr>
          <w:spacing w:val="-21"/>
          <w:sz w:val="24"/>
          <w:szCs w:val="24"/>
        </w:rPr>
        <w:t>工中视工程进展的实际情况，及时调整投入</w:t>
      </w:r>
      <w:r>
        <w:rPr>
          <w:spacing w:val="-22"/>
          <w:sz w:val="24"/>
          <w:szCs w:val="24"/>
        </w:rPr>
        <w:t>计划，以满足各阶段施工的需要。</w:t>
      </w:r>
    </w:p>
    <w:p w14:paraId="75969A82">
      <w:pPr>
        <w:pStyle w:val="2"/>
        <w:spacing w:before="1" w:line="215" w:lineRule="auto"/>
        <w:ind w:left="1890"/>
        <w:rPr>
          <w:sz w:val="24"/>
          <w:szCs w:val="24"/>
        </w:rPr>
      </w:pPr>
      <w:r>
        <w:rPr>
          <w:spacing w:val="-19"/>
          <w:sz w:val="24"/>
          <w:szCs w:val="24"/>
        </w:rPr>
        <w:t>5、认真做好各项准备工作</w:t>
      </w:r>
    </w:p>
    <w:p w14:paraId="4CF9C562">
      <w:pPr>
        <w:pStyle w:val="2"/>
        <w:spacing w:before="119" w:line="308" w:lineRule="auto"/>
        <w:ind w:left="1453" w:right="1410" w:firstLine="470"/>
        <w:rPr>
          <w:sz w:val="24"/>
          <w:szCs w:val="24"/>
        </w:rPr>
      </w:pPr>
      <w:r>
        <w:rPr>
          <w:spacing w:val="-20"/>
          <w:sz w:val="24"/>
          <w:szCs w:val="24"/>
        </w:rPr>
        <w:t>中标后立即组织人力、物力进场，进行临时设施搭建，确</w:t>
      </w:r>
      <w:r>
        <w:rPr>
          <w:spacing w:val="-21"/>
          <w:sz w:val="24"/>
          <w:szCs w:val="24"/>
        </w:rPr>
        <w:t>保开工后全力施工，其主要工作有：施工控制网的布设，施工道路，施工和消防用水，施工用电，场地排水</w:t>
      </w:r>
      <w:r>
        <w:rPr>
          <w:spacing w:val="-22"/>
          <w:sz w:val="24"/>
          <w:szCs w:val="24"/>
        </w:rPr>
        <w:t>设施，双T板制作</w:t>
      </w:r>
      <w:r>
        <w:rPr>
          <w:spacing w:val="-19"/>
          <w:sz w:val="24"/>
          <w:szCs w:val="24"/>
        </w:rPr>
        <w:t>场地等。</w:t>
      </w:r>
    </w:p>
    <w:p w14:paraId="664D96D0">
      <w:pPr>
        <w:pStyle w:val="2"/>
        <w:spacing w:before="1" w:line="307" w:lineRule="auto"/>
        <w:ind w:left="1470" w:right="1410" w:firstLine="423"/>
        <w:rPr>
          <w:sz w:val="24"/>
          <w:szCs w:val="24"/>
        </w:rPr>
      </w:pPr>
      <w:r>
        <w:rPr>
          <w:spacing w:val="-20"/>
          <w:sz w:val="24"/>
          <w:szCs w:val="24"/>
        </w:rPr>
        <w:t>项目部派专人与业主联系，及时掌握设计方案、进度等情况，并及时向作业队伍交底，有</w:t>
      </w:r>
      <w:r>
        <w:rPr>
          <w:spacing w:val="-23"/>
          <w:sz w:val="24"/>
          <w:szCs w:val="24"/>
        </w:rPr>
        <w:t>的放矢的做好各项准备工作。</w:t>
      </w:r>
    </w:p>
    <w:p w14:paraId="41116AD5">
      <w:pPr>
        <w:pStyle w:val="2"/>
        <w:spacing w:before="2" w:line="308" w:lineRule="auto"/>
        <w:ind w:left="1457" w:right="1410" w:firstLine="436"/>
        <w:rPr>
          <w:sz w:val="24"/>
          <w:szCs w:val="24"/>
        </w:rPr>
      </w:pPr>
      <w:r>
        <w:rPr>
          <w:spacing w:val="-20"/>
          <w:sz w:val="24"/>
          <w:szCs w:val="24"/>
        </w:rPr>
        <w:t>认真进行图纸会审，并及时编制施工组织设计和分项施工作业设计，为施工提供必要的技</w:t>
      </w:r>
      <w:r>
        <w:rPr>
          <w:spacing w:val="-15"/>
          <w:sz w:val="24"/>
          <w:szCs w:val="24"/>
        </w:rPr>
        <w:t>术保证。</w:t>
      </w:r>
    </w:p>
    <w:p w14:paraId="7B727BB2">
      <w:pPr>
        <w:pStyle w:val="2"/>
        <w:spacing w:before="1" w:line="306" w:lineRule="auto"/>
        <w:ind w:left="1456" w:right="1410" w:firstLine="437"/>
        <w:rPr>
          <w:sz w:val="24"/>
          <w:szCs w:val="24"/>
        </w:rPr>
      </w:pPr>
      <w:r>
        <w:rPr>
          <w:spacing w:val="-20"/>
          <w:sz w:val="24"/>
          <w:szCs w:val="24"/>
        </w:rPr>
        <w:t>根据详细设计及现场实际条件运用网络计划管理工程，实行周计划和甲方定期协调例会制</w:t>
      </w:r>
      <w:r>
        <w:rPr>
          <w:spacing w:val="-22"/>
          <w:sz w:val="24"/>
          <w:szCs w:val="24"/>
        </w:rPr>
        <w:t>度，并用前峰线法检查工程进度，及时处理和协调出现的矛盾，提高网络节点正点率。</w:t>
      </w:r>
    </w:p>
    <w:p w14:paraId="7F3A3B55">
      <w:pPr>
        <w:pStyle w:val="2"/>
        <w:spacing w:before="2" w:line="218" w:lineRule="auto"/>
        <w:ind w:left="1887"/>
        <w:rPr>
          <w:sz w:val="24"/>
          <w:szCs w:val="24"/>
        </w:rPr>
      </w:pPr>
      <w:r>
        <w:rPr>
          <w:spacing w:val="-18"/>
          <w:sz w:val="24"/>
          <w:szCs w:val="24"/>
        </w:rPr>
        <w:t>6、严格计划管理和考核</w:t>
      </w:r>
    </w:p>
    <w:p w14:paraId="232FD15E">
      <w:pPr>
        <w:pStyle w:val="2"/>
        <w:spacing w:before="117" w:line="307" w:lineRule="auto"/>
        <w:ind w:left="1460" w:right="1353" w:firstLine="432"/>
        <w:rPr>
          <w:sz w:val="24"/>
          <w:szCs w:val="24"/>
        </w:rPr>
      </w:pPr>
      <w:r>
        <w:rPr>
          <w:spacing w:val="-24"/>
          <w:sz w:val="24"/>
          <w:szCs w:val="24"/>
        </w:rPr>
        <w:t>建立健全工期管理和考核制度，项目部根据施工总进度计划编制周、月计划或阶段性计划，</w:t>
      </w:r>
      <w:r>
        <w:rPr>
          <w:spacing w:val="-21"/>
          <w:sz w:val="24"/>
          <w:szCs w:val="24"/>
        </w:rPr>
        <w:t>作为指令性计划下达；并报业主和监理。</w:t>
      </w:r>
    </w:p>
    <w:p w14:paraId="53671991">
      <w:pPr>
        <w:pStyle w:val="2"/>
        <w:spacing w:before="4" w:line="307" w:lineRule="auto"/>
        <w:ind w:left="1459" w:right="1409" w:firstLine="434"/>
        <w:jc w:val="both"/>
        <w:rPr>
          <w:sz w:val="24"/>
          <w:szCs w:val="24"/>
        </w:rPr>
      </w:pPr>
      <w:r>
        <w:rPr>
          <w:spacing w:val="-20"/>
          <w:sz w:val="24"/>
          <w:szCs w:val="24"/>
        </w:rPr>
        <w:t>项目部建立周工程例会制度，安排周施工计划，并检查实施情况。在对施工进度计划进行分解的基础上，确定各关键工序的工期节点，对施工作业层严格实行工期节点考核，并在工程费用中抽取一定比例的资金作为工期节点考核的单项奖，实行奖罚兑现，以促进作业人员的劳</w:t>
      </w:r>
    </w:p>
    <w:p w14:paraId="0B4A0590">
      <w:pPr>
        <w:spacing w:line="307" w:lineRule="auto"/>
        <w:rPr>
          <w:sz w:val="24"/>
          <w:szCs w:val="24"/>
        </w:rPr>
        <w:sectPr>
          <w:footerReference r:id="rId245" w:type="default"/>
          <w:pgSz w:w="11907" w:h="16839"/>
          <w:pgMar w:top="954" w:right="4" w:bottom="1038" w:left="0" w:header="499" w:footer="357" w:gutter="0"/>
          <w:pgBorders>
            <w:top w:val="none" w:sz="0" w:space="0"/>
            <w:left w:val="none" w:sz="0" w:space="0"/>
            <w:bottom w:val="none" w:sz="0" w:space="0"/>
            <w:right w:val="none" w:sz="0" w:space="0"/>
          </w:pgBorders>
          <w:cols w:space="720" w:num="1"/>
        </w:sectPr>
      </w:pPr>
    </w:p>
    <w:p w14:paraId="000F3F74">
      <w:pPr>
        <w:spacing w:line="250" w:lineRule="auto"/>
        <w:rPr>
          <w:rFonts w:ascii="Arial"/>
          <w:sz w:val="21"/>
        </w:rPr>
      </w:pPr>
    </w:p>
    <w:p w14:paraId="3503E0F0">
      <w:pPr>
        <w:pStyle w:val="2"/>
        <w:spacing w:before="78" w:line="216" w:lineRule="auto"/>
        <w:ind w:left="1459"/>
        <w:rPr>
          <w:sz w:val="24"/>
          <w:szCs w:val="24"/>
        </w:rPr>
      </w:pPr>
      <w:r>
        <w:rPr>
          <w:spacing w:val="-18"/>
          <w:sz w:val="24"/>
          <w:szCs w:val="24"/>
        </w:rPr>
        <w:t>动积极性。</w:t>
      </w:r>
    </w:p>
    <w:p w14:paraId="5DB70F7A">
      <w:pPr>
        <w:pStyle w:val="2"/>
        <w:spacing w:before="120" w:line="218" w:lineRule="auto"/>
        <w:ind w:left="1891"/>
        <w:rPr>
          <w:sz w:val="24"/>
          <w:szCs w:val="24"/>
        </w:rPr>
      </w:pPr>
      <w:r>
        <w:rPr>
          <w:spacing w:val="-18"/>
          <w:sz w:val="24"/>
          <w:szCs w:val="24"/>
        </w:rPr>
        <w:t>7、开展劳动竞赛活动</w:t>
      </w:r>
    </w:p>
    <w:p w14:paraId="029401AE">
      <w:pPr>
        <w:pStyle w:val="2"/>
        <w:spacing w:before="114" w:line="217" w:lineRule="auto"/>
        <w:ind w:left="1893"/>
        <w:rPr>
          <w:sz w:val="24"/>
          <w:szCs w:val="24"/>
        </w:rPr>
      </w:pPr>
      <w:r>
        <w:rPr>
          <w:spacing w:val="-22"/>
          <w:sz w:val="24"/>
          <w:szCs w:val="24"/>
        </w:rPr>
        <w:t>开展多种形式的劳动竞赛，保持施工现场持久的劳动热情，活跃</w:t>
      </w:r>
      <w:r>
        <w:rPr>
          <w:spacing w:val="-23"/>
          <w:sz w:val="24"/>
          <w:szCs w:val="24"/>
        </w:rPr>
        <w:t>劳动气氛，提高劳动效率。</w:t>
      </w:r>
    </w:p>
    <w:p w14:paraId="324322E7">
      <w:pPr>
        <w:pStyle w:val="2"/>
        <w:spacing w:before="299" w:line="217" w:lineRule="auto"/>
        <w:ind w:left="3472"/>
        <w:outlineLvl w:val="1"/>
        <w:rPr>
          <w:sz w:val="30"/>
          <w:szCs w:val="30"/>
        </w:rPr>
      </w:pPr>
      <w:bookmarkStart w:id="175" w:name="bookmark169"/>
      <w:bookmarkEnd w:id="175"/>
      <w:bookmarkStart w:id="176" w:name="bookmark168"/>
      <w:bookmarkEnd w:id="176"/>
      <w:bookmarkStart w:id="177" w:name="bookmark170"/>
      <w:bookmarkEnd w:id="177"/>
      <w:r>
        <w:rPr>
          <w:b/>
          <w:bCs/>
          <w:color w:val="0070C0"/>
          <w:spacing w:val="-24"/>
          <w:sz w:val="30"/>
          <w:szCs w:val="30"/>
        </w:rPr>
        <w:t>第二节、保证工程进度计划实施保证措施</w:t>
      </w:r>
    </w:p>
    <w:p w14:paraId="57C26C61">
      <w:pPr>
        <w:pStyle w:val="2"/>
        <w:spacing w:before="65" w:line="217" w:lineRule="auto"/>
        <w:ind w:left="1981"/>
        <w:outlineLvl w:val="2"/>
        <w:rPr>
          <w:sz w:val="28"/>
          <w:szCs w:val="28"/>
        </w:rPr>
      </w:pPr>
      <w:bookmarkStart w:id="178" w:name="bookmark309"/>
      <w:bookmarkEnd w:id="178"/>
      <w:r>
        <w:rPr>
          <w:b/>
          <w:bCs/>
          <w:spacing w:val="-23"/>
          <w:sz w:val="28"/>
          <w:szCs w:val="28"/>
        </w:rPr>
        <w:t>一、确保工期的技术组织措施</w:t>
      </w:r>
    </w:p>
    <w:p w14:paraId="4B13A4FF">
      <w:pPr>
        <w:pStyle w:val="2"/>
        <w:spacing w:before="104" w:line="218" w:lineRule="auto"/>
        <w:ind w:left="1903"/>
        <w:rPr>
          <w:sz w:val="24"/>
          <w:szCs w:val="24"/>
        </w:rPr>
      </w:pPr>
      <w:r>
        <w:rPr>
          <w:spacing w:val="-20"/>
          <w:sz w:val="24"/>
          <w:szCs w:val="24"/>
        </w:rPr>
        <w:t>1、工期与进度计划安排</w:t>
      </w:r>
    </w:p>
    <w:p w14:paraId="5AF80A30">
      <w:pPr>
        <w:pStyle w:val="2"/>
        <w:spacing w:before="117" w:line="218" w:lineRule="auto"/>
        <w:ind w:left="1903"/>
        <w:rPr>
          <w:sz w:val="24"/>
          <w:szCs w:val="24"/>
        </w:rPr>
      </w:pPr>
      <w:r>
        <w:rPr>
          <w:spacing w:val="-18"/>
          <w:sz w:val="24"/>
          <w:szCs w:val="24"/>
        </w:rPr>
        <w:t>1.1、施工进度安排原则</w:t>
      </w:r>
    </w:p>
    <w:p w14:paraId="66625FE9">
      <w:pPr>
        <w:pStyle w:val="2"/>
        <w:spacing w:before="116" w:line="217" w:lineRule="auto"/>
        <w:ind w:left="1903"/>
        <w:rPr>
          <w:sz w:val="24"/>
          <w:szCs w:val="24"/>
        </w:rPr>
      </w:pPr>
      <w:r>
        <w:rPr>
          <w:spacing w:val="-21"/>
          <w:sz w:val="24"/>
          <w:szCs w:val="24"/>
        </w:rPr>
        <w:t>1.1.1、按照招标文件的有关规定进行施工组织和进度计划安排，确保目标工期如期实现。</w:t>
      </w:r>
    </w:p>
    <w:p w14:paraId="3ACBD26A">
      <w:pPr>
        <w:pStyle w:val="2"/>
        <w:spacing w:before="117" w:line="264" w:lineRule="auto"/>
        <w:ind w:left="1455" w:right="1410" w:firstLine="447"/>
        <w:rPr>
          <w:sz w:val="24"/>
          <w:szCs w:val="24"/>
        </w:rPr>
      </w:pPr>
      <w:r>
        <w:rPr>
          <w:spacing w:val="-21"/>
          <w:sz w:val="24"/>
          <w:szCs w:val="24"/>
        </w:rPr>
        <w:t>1.1.2、合理划分施工段，各段平行作业，段内流水作业，明确关</w:t>
      </w:r>
      <w:r>
        <w:rPr>
          <w:spacing w:val="-22"/>
          <w:sz w:val="24"/>
          <w:szCs w:val="24"/>
        </w:rPr>
        <w:t>键线路，并确保按计划实</w:t>
      </w:r>
      <w:r>
        <w:rPr>
          <w:spacing w:val="-18"/>
          <w:sz w:val="24"/>
          <w:szCs w:val="24"/>
        </w:rPr>
        <w:t>施。</w:t>
      </w:r>
    </w:p>
    <w:p w14:paraId="6D7344FD">
      <w:pPr>
        <w:pStyle w:val="2"/>
        <w:spacing w:before="114" w:line="262" w:lineRule="auto"/>
        <w:ind w:left="1462" w:right="1340" w:firstLine="441"/>
        <w:rPr>
          <w:sz w:val="24"/>
          <w:szCs w:val="24"/>
        </w:rPr>
      </w:pPr>
      <w:r>
        <w:rPr>
          <w:spacing w:val="-25"/>
          <w:sz w:val="24"/>
          <w:szCs w:val="24"/>
        </w:rPr>
        <w:t>1.1.3、优化施工方案，合理配置施工设备，从技术和施工设备上提供可靠的保证，使安全、</w:t>
      </w:r>
      <w:r>
        <w:rPr>
          <w:spacing w:val="-21"/>
          <w:sz w:val="24"/>
          <w:szCs w:val="24"/>
        </w:rPr>
        <w:t>质量和进度同时满足要求，力争做到均衡生产，</w:t>
      </w:r>
      <w:r>
        <w:rPr>
          <w:spacing w:val="-22"/>
          <w:sz w:val="24"/>
          <w:szCs w:val="24"/>
        </w:rPr>
        <w:t>以保证资源的合理利用。</w:t>
      </w:r>
    </w:p>
    <w:p w14:paraId="19122AEE">
      <w:pPr>
        <w:pStyle w:val="2"/>
        <w:spacing w:before="119" w:line="217" w:lineRule="auto"/>
        <w:ind w:left="1903"/>
        <w:rPr>
          <w:sz w:val="24"/>
          <w:szCs w:val="24"/>
        </w:rPr>
      </w:pPr>
      <w:r>
        <w:rPr>
          <w:spacing w:val="-20"/>
          <w:sz w:val="24"/>
          <w:szCs w:val="24"/>
        </w:rPr>
        <w:t>1.1.4、做好土方挖填的平衡，从进度安排上做好土方挖填结合，</w:t>
      </w:r>
      <w:r>
        <w:rPr>
          <w:spacing w:val="-21"/>
          <w:sz w:val="24"/>
          <w:szCs w:val="24"/>
        </w:rPr>
        <w:t>降低土方施工成本。</w:t>
      </w:r>
    </w:p>
    <w:p w14:paraId="6F9888CB">
      <w:pPr>
        <w:pStyle w:val="2"/>
        <w:spacing w:before="119" w:line="219" w:lineRule="auto"/>
        <w:ind w:left="1903"/>
        <w:rPr>
          <w:sz w:val="24"/>
          <w:szCs w:val="24"/>
        </w:rPr>
      </w:pPr>
      <w:r>
        <w:rPr>
          <w:spacing w:val="-16"/>
          <w:sz w:val="24"/>
          <w:szCs w:val="24"/>
        </w:rPr>
        <w:t>1.2、工期承诺</w:t>
      </w:r>
    </w:p>
    <w:p w14:paraId="27C68605">
      <w:pPr>
        <w:pStyle w:val="2"/>
        <w:spacing w:before="113" w:line="308" w:lineRule="auto"/>
        <w:ind w:left="1470" w:right="1410" w:firstLine="431"/>
        <w:rPr>
          <w:sz w:val="24"/>
          <w:szCs w:val="24"/>
        </w:rPr>
      </w:pPr>
      <w:r>
        <w:rPr>
          <w:spacing w:val="-20"/>
          <w:sz w:val="24"/>
          <w:szCs w:val="24"/>
        </w:rPr>
        <w:t>我们严格根据招标文件要求，承诺由中标单位所要保证的条件，随时准备同发包方签署合同协议，并保证在签署合同协议后立即准备进驻工地，我们郑重承诺：保证在监理工</w:t>
      </w:r>
      <w:r>
        <w:rPr>
          <w:spacing w:val="-21"/>
          <w:sz w:val="24"/>
          <w:szCs w:val="24"/>
        </w:rPr>
        <w:t>程师下达</w:t>
      </w:r>
      <w:r>
        <w:rPr>
          <w:spacing w:val="-22"/>
          <w:sz w:val="24"/>
          <w:szCs w:val="24"/>
        </w:rPr>
        <w:t>的开工令之日起开工，并在招标文件要求日历天内完成所有工程。</w:t>
      </w:r>
    </w:p>
    <w:p w14:paraId="37CC4514">
      <w:pPr>
        <w:pStyle w:val="2"/>
        <w:spacing w:line="217" w:lineRule="auto"/>
        <w:ind w:left="1903"/>
        <w:rPr>
          <w:sz w:val="24"/>
          <w:szCs w:val="24"/>
        </w:rPr>
      </w:pPr>
      <w:r>
        <w:rPr>
          <w:spacing w:val="-19"/>
          <w:sz w:val="24"/>
          <w:szCs w:val="24"/>
        </w:rPr>
        <w:t>1.3、关键线路及施工进度网络图</w:t>
      </w:r>
    </w:p>
    <w:p w14:paraId="5BDB590D">
      <w:pPr>
        <w:pStyle w:val="2"/>
        <w:spacing w:before="119" w:line="307" w:lineRule="auto"/>
        <w:ind w:left="1459" w:right="1410" w:firstLine="435"/>
        <w:rPr>
          <w:sz w:val="24"/>
          <w:szCs w:val="24"/>
        </w:rPr>
      </w:pPr>
      <w:r>
        <w:rPr>
          <w:spacing w:val="-20"/>
          <w:sz w:val="24"/>
          <w:szCs w:val="24"/>
        </w:rPr>
        <w:t>在认真研究本工程所有项目和技术条款后，结合本公司现有资源、经验和本工程特点，经过精心策划，统筹安排。</w:t>
      </w:r>
    </w:p>
    <w:p w14:paraId="3E754878">
      <w:pPr>
        <w:pStyle w:val="2"/>
        <w:spacing w:before="1" w:line="216" w:lineRule="auto"/>
        <w:ind w:left="1888"/>
        <w:rPr>
          <w:sz w:val="24"/>
          <w:szCs w:val="24"/>
        </w:rPr>
      </w:pPr>
      <w:r>
        <w:rPr>
          <w:spacing w:val="-18"/>
          <w:sz w:val="24"/>
          <w:szCs w:val="24"/>
        </w:rPr>
        <w:t>2、进度保证措施承诺</w:t>
      </w:r>
    </w:p>
    <w:p w14:paraId="226A63E8">
      <w:pPr>
        <w:pStyle w:val="2"/>
        <w:spacing w:before="119" w:line="216" w:lineRule="auto"/>
        <w:ind w:left="1888"/>
        <w:rPr>
          <w:sz w:val="24"/>
          <w:szCs w:val="24"/>
        </w:rPr>
      </w:pPr>
      <w:r>
        <w:rPr>
          <w:spacing w:val="-19"/>
          <w:sz w:val="24"/>
          <w:szCs w:val="24"/>
        </w:rPr>
        <w:t>2.1、作业层及机具设备、材料保证</w:t>
      </w:r>
    </w:p>
    <w:p w14:paraId="1E7E67B4">
      <w:pPr>
        <w:pStyle w:val="2"/>
        <w:spacing w:before="121" w:line="307" w:lineRule="auto"/>
        <w:ind w:left="1459" w:right="1344" w:firstLine="433"/>
        <w:rPr>
          <w:sz w:val="24"/>
          <w:szCs w:val="24"/>
        </w:rPr>
      </w:pPr>
      <w:r>
        <w:rPr>
          <w:spacing w:val="-20"/>
          <w:sz w:val="24"/>
          <w:szCs w:val="24"/>
        </w:rPr>
        <w:t>针对本项目特点，根据施工方案，及时配足人、财、物，我公司将充分发挥统一协调力度</w:t>
      </w:r>
      <w:r>
        <w:rPr>
          <w:spacing w:val="-23"/>
          <w:sz w:val="24"/>
          <w:szCs w:val="24"/>
        </w:rPr>
        <w:t>大的优点，充分利用我公司的设备资源优势，我公司一旦</w:t>
      </w:r>
      <w:r>
        <w:rPr>
          <w:spacing w:val="-24"/>
          <w:sz w:val="24"/>
          <w:szCs w:val="24"/>
        </w:rPr>
        <w:t>中标，就立即组织强有力的领导班子、</w:t>
      </w:r>
      <w:r>
        <w:rPr>
          <w:spacing w:val="-22"/>
          <w:sz w:val="24"/>
          <w:szCs w:val="24"/>
        </w:rPr>
        <w:t>先进的机械化设备、充足的周转材料，投入工程施工。</w:t>
      </w:r>
    </w:p>
    <w:p w14:paraId="07E3EC0B">
      <w:pPr>
        <w:pStyle w:val="2"/>
        <w:spacing w:before="5" w:line="307" w:lineRule="auto"/>
        <w:ind w:left="1459" w:right="1409" w:firstLine="435"/>
        <w:jc w:val="both"/>
        <w:rPr>
          <w:sz w:val="24"/>
          <w:szCs w:val="24"/>
        </w:rPr>
      </w:pPr>
      <w:r>
        <w:rPr>
          <w:spacing w:val="-20"/>
          <w:sz w:val="24"/>
          <w:szCs w:val="24"/>
        </w:rPr>
        <w:t>积极组织和开展劳动竞赛。根据施工阶段的特点，对施工量大、环节少的任务，开展班组之间的劳动竞赛，对优胜者进行精神奖励，如挂流动红旗，上黑板报，设擂台，和进行物质奖励，如经济上的支持等予以表彰和鼓励，增强各班组间分工合作，宏扬荣辱与共的团队精神，</w:t>
      </w:r>
      <w:r>
        <w:rPr>
          <w:spacing w:val="-21"/>
          <w:sz w:val="24"/>
          <w:szCs w:val="24"/>
        </w:rPr>
        <w:t>以点带面推动全体人员的工作干劲和劳动热情。</w:t>
      </w:r>
    </w:p>
    <w:p w14:paraId="69BBE380">
      <w:pPr>
        <w:pStyle w:val="2"/>
        <w:spacing w:before="1" w:line="215" w:lineRule="auto"/>
        <w:ind w:left="1893"/>
        <w:rPr>
          <w:sz w:val="24"/>
          <w:szCs w:val="24"/>
        </w:rPr>
      </w:pPr>
      <w:r>
        <w:rPr>
          <w:spacing w:val="-22"/>
          <w:sz w:val="24"/>
          <w:szCs w:val="24"/>
        </w:rPr>
        <w:t>机械设备做到平时勤保养，并备足零部件和配足机修人员，提高机械设备生产保证能力。</w:t>
      </w:r>
    </w:p>
    <w:p w14:paraId="58DA5269">
      <w:pPr>
        <w:pStyle w:val="2"/>
        <w:spacing w:before="119" w:line="308" w:lineRule="auto"/>
        <w:ind w:left="1462" w:right="1411" w:firstLine="433"/>
        <w:rPr>
          <w:sz w:val="24"/>
          <w:szCs w:val="24"/>
        </w:rPr>
      </w:pPr>
      <w:r>
        <w:rPr>
          <w:spacing w:val="-20"/>
          <w:sz w:val="24"/>
          <w:szCs w:val="24"/>
        </w:rPr>
        <w:t>正确对待工期与质量的关系，把工期、质量、责任有机结合起来，奖罚分明，充分调动职</w:t>
      </w:r>
      <w:r>
        <w:rPr>
          <w:spacing w:val="-19"/>
          <w:sz w:val="24"/>
          <w:szCs w:val="24"/>
        </w:rPr>
        <w:t>工的积极性。</w:t>
      </w:r>
    </w:p>
    <w:p w14:paraId="35D04B69">
      <w:pPr>
        <w:pStyle w:val="2"/>
        <w:spacing w:before="1" w:line="308" w:lineRule="auto"/>
        <w:ind w:left="1457" w:right="1409" w:firstLine="436"/>
        <w:rPr>
          <w:sz w:val="24"/>
          <w:szCs w:val="24"/>
        </w:rPr>
      </w:pPr>
      <w:r>
        <w:rPr>
          <w:spacing w:val="-20"/>
          <w:sz w:val="24"/>
          <w:szCs w:val="24"/>
        </w:rPr>
        <w:t>项目经理部将对工程实行目标管理，用经济责任制对工期、质量、安全等等进行全面奖罚</w:t>
      </w:r>
      <w:r>
        <w:rPr>
          <w:spacing w:val="-19"/>
          <w:sz w:val="24"/>
          <w:szCs w:val="24"/>
        </w:rPr>
        <w:t>考核，重奖重罚。</w:t>
      </w:r>
    </w:p>
    <w:p w14:paraId="5860F018">
      <w:pPr>
        <w:pStyle w:val="2"/>
        <w:spacing w:before="1" w:line="307" w:lineRule="auto"/>
        <w:ind w:left="1464" w:right="1409" w:firstLine="427"/>
        <w:rPr>
          <w:sz w:val="24"/>
          <w:szCs w:val="24"/>
        </w:rPr>
      </w:pPr>
      <w:r>
        <w:rPr>
          <w:spacing w:val="-20"/>
          <w:sz w:val="24"/>
          <w:szCs w:val="24"/>
        </w:rPr>
        <w:t>施工进度计划派专人监督执行，做到计划科学合理，施工认真到位，并在施工过程中不断</w:t>
      </w:r>
      <w:r>
        <w:rPr>
          <w:spacing w:val="-22"/>
          <w:sz w:val="24"/>
          <w:szCs w:val="24"/>
        </w:rPr>
        <w:t>予以优化，力争提前完成本标段工程。</w:t>
      </w:r>
    </w:p>
    <w:p w14:paraId="79656A3B">
      <w:pPr>
        <w:pStyle w:val="2"/>
        <w:spacing w:before="1" w:line="307" w:lineRule="auto"/>
        <w:ind w:left="1459" w:right="1357" w:firstLine="434"/>
        <w:rPr>
          <w:sz w:val="24"/>
          <w:szCs w:val="24"/>
        </w:rPr>
      </w:pPr>
      <w:r>
        <w:rPr>
          <w:spacing w:val="-24"/>
          <w:sz w:val="24"/>
          <w:szCs w:val="24"/>
        </w:rPr>
        <w:t>根据工程情况分成几个工作面，各段任务责任到人。合理安排劳动力，做好现场组织工作，</w:t>
      </w:r>
      <w:r>
        <w:rPr>
          <w:spacing w:val="-21"/>
          <w:sz w:val="24"/>
          <w:szCs w:val="24"/>
        </w:rPr>
        <w:t>并根据工程具体情况，某些项目安排二班至三班作业。</w:t>
      </w:r>
    </w:p>
    <w:p w14:paraId="3EEC70B4">
      <w:pPr>
        <w:pStyle w:val="2"/>
        <w:spacing w:line="216" w:lineRule="auto"/>
        <w:ind w:left="1894"/>
        <w:rPr>
          <w:sz w:val="24"/>
          <w:szCs w:val="24"/>
        </w:rPr>
      </w:pPr>
      <w:r>
        <w:rPr>
          <w:spacing w:val="-19"/>
          <w:sz w:val="24"/>
          <w:szCs w:val="24"/>
        </w:rPr>
        <w:t>确保设备、人力、物力充足，计划安排采取长计划、短安排、每旬编制计划，按制</w:t>
      </w:r>
      <w:r>
        <w:rPr>
          <w:spacing w:val="-20"/>
          <w:sz w:val="24"/>
          <w:szCs w:val="24"/>
        </w:rPr>
        <w:t>定的施</w:t>
      </w:r>
    </w:p>
    <w:p w14:paraId="03E32CB9">
      <w:pPr>
        <w:spacing w:line="216" w:lineRule="auto"/>
        <w:rPr>
          <w:sz w:val="24"/>
          <w:szCs w:val="24"/>
        </w:rPr>
        <w:sectPr>
          <w:headerReference r:id="rId246" w:type="default"/>
          <w:footerReference r:id="rId247" w:type="default"/>
          <w:pgSz w:w="11907" w:h="16839"/>
          <w:pgMar w:top="933" w:right="4" w:bottom="1038" w:left="0" w:header="478" w:footer="357" w:gutter="0"/>
          <w:pgBorders>
            <w:top w:val="none" w:sz="0" w:space="0"/>
            <w:left w:val="none" w:sz="0" w:space="0"/>
            <w:bottom w:val="none" w:sz="0" w:space="0"/>
            <w:right w:val="none" w:sz="0" w:space="0"/>
          </w:pgBorders>
          <w:cols w:space="720" w:num="1"/>
        </w:sectPr>
      </w:pPr>
    </w:p>
    <w:p w14:paraId="4CD25C8F">
      <w:pPr>
        <w:spacing w:line="270" w:lineRule="auto"/>
        <w:rPr>
          <w:rFonts w:ascii="Arial"/>
          <w:sz w:val="21"/>
        </w:rPr>
      </w:pPr>
    </w:p>
    <w:p w14:paraId="6B2EB685">
      <w:pPr>
        <w:pStyle w:val="2"/>
        <w:spacing w:before="78" w:line="308" w:lineRule="auto"/>
        <w:ind w:left="1457" w:right="1415" w:firstLine="4"/>
        <w:rPr>
          <w:sz w:val="24"/>
          <w:szCs w:val="24"/>
        </w:rPr>
      </w:pPr>
      <w:r>
        <w:rPr>
          <w:spacing w:val="-20"/>
          <w:sz w:val="24"/>
          <w:szCs w:val="24"/>
        </w:rPr>
        <w:t>工进度每旬检查一次，做到只许提前，不许退后，如发现退迟必须在下一个旬内进行赶期，不</w:t>
      </w:r>
      <w:r>
        <w:rPr>
          <w:spacing w:val="-21"/>
          <w:sz w:val="24"/>
          <w:szCs w:val="24"/>
        </w:rPr>
        <w:t>得拖延，必要时增加劳动力，加班加点，保质量，抢工期。</w:t>
      </w:r>
    </w:p>
    <w:p w14:paraId="3E11307A">
      <w:pPr>
        <w:pStyle w:val="2"/>
        <w:spacing w:line="308" w:lineRule="auto"/>
        <w:ind w:left="1455" w:right="1410" w:firstLine="438"/>
        <w:rPr>
          <w:sz w:val="24"/>
          <w:szCs w:val="24"/>
        </w:rPr>
      </w:pPr>
      <w:r>
        <w:rPr>
          <w:spacing w:val="-20"/>
          <w:sz w:val="24"/>
          <w:szCs w:val="24"/>
        </w:rPr>
        <w:t>认真制定各项目施工用料的供应计划，确保材料供应及时到位，满足施工要求。并存有备</w:t>
      </w:r>
      <w:r>
        <w:rPr>
          <w:spacing w:val="-22"/>
          <w:sz w:val="24"/>
          <w:szCs w:val="24"/>
        </w:rPr>
        <w:t>料，决不因材料短缺而影响工期。</w:t>
      </w:r>
    </w:p>
    <w:p w14:paraId="3842DCF6">
      <w:pPr>
        <w:pStyle w:val="2"/>
        <w:spacing w:before="2" w:line="307" w:lineRule="auto"/>
        <w:ind w:left="1455" w:right="1410" w:firstLine="438"/>
        <w:jc w:val="both"/>
        <w:rPr>
          <w:sz w:val="24"/>
          <w:szCs w:val="24"/>
        </w:rPr>
      </w:pPr>
      <w:r>
        <w:rPr>
          <w:spacing w:val="-20"/>
          <w:sz w:val="24"/>
          <w:szCs w:val="24"/>
        </w:rPr>
        <w:t>根据各施工段情况编制出施工网络图，抓住关键线路，保证各工序顺利施工，关键工序施工时严格控制其进度，必要时增加劳动力和机械设备。同时认真制定各工序之间的衔接计划措施，缩短上下工序的衔接时间。</w:t>
      </w:r>
    </w:p>
    <w:p w14:paraId="6B9D0BDB">
      <w:pPr>
        <w:pStyle w:val="2"/>
        <w:spacing w:before="1" w:line="306" w:lineRule="auto"/>
        <w:ind w:left="1458" w:right="1409" w:firstLine="434"/>
        <w:rPr>
          <w:sz w:val="24"/>
          <w:szCs w:val="24"/>
        </w:rPr>
      </w:pPr>
      <w:r>
        <w:rPr>
          <w:spacing w:val="-19"/>
          <w:sz w:val="24"/>
          <w:szCs w:val="24"/>
        </w:rPr>
        <w:t>加强质量监督，避免工程返工，严格按图纸</w:t>
      </w:r>
      <w:r>
        <w:rPr>
          <w:spacing w:val="-20"/>
          <w:sz w:val="24"/>
          <w:szCs w:val="24"/>
        </w:rPr>
        <w:t>规范施工，对单元工程及时进行质量自检、互</w:t>
      </w:r>
      <w:r>
        <w:rPr>
          <w:spacing w:val="-21"/>
          <w:sz w:val="24"/>
          <w:szCs w:val="24"/>
        </w:rPr>
        <w:t>检、验收评定，提高一次成功率，避免因返工延误工期。</w:t>
      </w:r>
    </w:p>
    <w:p w14:paraId="1E23DDF3">
      <w:pPr>
        <w:pStyle w:val="2"/>
        <w:spacing w:before="2" w:line="216" w:lineRule="auto"/>
        <w:ind w:left="1902"/>
        <w:rPr>
          <w:sz w:val="24"/>
          <w:szCs w:val="24"/>
        </w:rPr>
      </w:pPr>
      <w:r>
        <w:rPr>
          <w:spacing w:val="-22"/>
          <w:sz w:val="24"/>
          <w:szCs w:val="24"/>
        </w:rPr>
        <w:t>与当地居民和监理、设计、业主部门协调好关系，减少工作纠纷，加强配合。</w:t>
      </w:r>
    </w:p>
    <w:p w14:paraId="0B6CFEE2">
      <w:pPr>
        <w:pStyle w:val="2"/>
        <w:spacing w:before="120" w:line="219" w:lineRule="auto"/>
        <w:ind w:left="1888"/>
        <w:rPr>
          <w:sz w:val="24"/>
          <w:szCs w:val="24"/>
        </w:rPr>
      </w:pPr>
      <w:r>
        <w:rPr>
          <w:spacing w:val="-16"/>
          <w:sz w:val="24"/>
          <w:szCs w:val="24"/>
        </w:rPr>
        <w:t>2.2、抢工措施</w:t>
      </w:r>
    </w:p>
    <w:p w14:paraId="4310CB6A">
      <w:pPr>
        <w:pStyle w:val="2"/>
        <w:spacing w:before="114" w:line="219" w:lineRule="auto"/>
        <w:ind w:left="1893"/>
        <w:rPr>
          <w:sz w:val="24"/>
          <w:szCs w:val="24"/>
        </w:rPr>
      </w:pPr>
      <w:r>
        <w:rPr>
          <w:spacing w:val="-17"/>
          <w:sz w:val="24"/>
          <w:szCs w:val="24"/>
        </w:rPr>
        <w:t>（1）组织措施</w:t>
      </w:r>
    </w:p>
    <w:p w14:paraId="12C1DB52">
      <w:pPr>
        <w:pStyle w:val="2"/>
        <w:spacing w:before="115" w:line="308" w:lineRule="auto"/>
        <w:ind w:left="1462" w:right="1409" w:firstLine="461"/>
        <w:rPr>
          <w:sz w:val="24"/>
          <w:szCs w:val="24"/>
        </w:rPr>
      </w:pPr>
      <w:r>
        <w:rPr>
          <w:spacing w:val="-20"/>
          <w:sz w:val="24"/>
          <w:szCs w:val="24"/>
        </w:rPr>
        <w:t>中标后迅速组建本工程项目经理部，并着手按预定方案调集</w:t>
      </w:r>
      <w:r>
        <w:rPr>
          <w:spacing w:val="-21"/>
          <w:sz w:val="24"/>
          <w:szCs w:val="24"/>
        </w:rPr>
        <w:t>施工骨干力量，选派具有同类</w:t>
      </w:r>
      <w:r>
        <w:rPr>
          <w:spacing w:val="-20"/>
          <w:sz w:val="24"/>
          <w:szCs w:val="24"/>
        </w:rPr>
        <w:t>工程施工管理经验的人员组成一个精干的项目部班子，全面负责实施该工程项目的施工和质量</w:t>
      </w:r>
      <w:r>
        <w:rPr>
          <w:spacing w:val="-21"/>
          <w:sz w:val="24"/>
          <w:szCs w:val="24"/>
        </w:rPr>
        <w:t>管理，全权负责本项目工程的实施。</w:t>
      </w:r>
    </w:p>
    <w:p w14:paraId="5AC42811">
      <w:pPr>
        <w:pStyle w:val="2"/>
        <w:spacing w:before="3" w:line="307" w:lineRule="auto"/>
        <w:ind w:left="1457" w:right="1410" w:firstLine="436"/>
        <w:jc w:val="both"/>
        <w:rPr>
          <w:sz w:val="24"/>
          <w:szCs w:val="24"/>
        </w:rPr>
      </w:pPr>
      <w:r>
        <w:rPr>
          <w:spacing w:val="-20"/>
          <w:sz w:val="24"/>
          <w:szCs w:val="24"/>
        </w:rPr>
        <w:t>充分发挥我公司企业的优势，公司所属各职能部门全力支持项目经理部，确保项目所需人员、设备机具、材料物资按时进场，生活、生产顺利进行，争取黄金施工季节的一分一秒，确</w:t>
      </w:r>
      <w:r>
        <w:rPr>
          <w:spacing w:val="-21"/>
          <w:sz w:val="24"/>
          <w:szCs w:val="24"/>
        </w:rPr>
        <w:t>保工程总工期有一个良好的开端。</w:t>
      </w:r>
    </w:p>
    <w:p w14:paraId="157824CD">
      <w:pPr>
        <w:pStyle w:val="2"/>
        <w:spacing w:before="3" w:line="307" w:lineRule="auto"/>
        <w:ind w:left="1463" w:right="1353" w:firstLine="454"/>
        <w:jc w:val="both"/>
        <w:rPr>
          <w:sz w:val="24"/>
          <w:szCs w:val="24"/>
        </w:rPr>
      </w:pPr>
      <w:r>
        <w:rPr>
          <w:spacing w:val="-20"/>
          <w:sz w:val="24"/>
          <w:szCs w:val="24"/>
        </w:rPr>
        <w:t>以项目经理为核心的管理机构根据总进度计划分解为若干个阶段性计划，</w:t>
      </w:r>
      <w:r>
        <w:rPr>
          <w:spacing w:val="-21"/>
          <w:sz w:val="24"/>
          <w:szCs w:val="24"/>
        </w:rPr>
        <w:t>并将阶段性计划</w:t>
      </w:r>
      <w:r>
        <w:rPr>
          <w:spacing w:val="-24"/>
          <w:sz w:val="24"/>
          <w:szCs w:val="24"/>
        </w:rPr>
        <w:t>落实到责任人，阶段性计划还要安排每天应完成的工程量，计划员每天核算当日完成的工程量，</w:t>
      </w:r>
      <w:r>
        <w:rPr>
          <w:spacing w:val="-21"/>
          <w:sz w:val="24"/>
          <w:szCs w:val="24"/>
        </w:rPr>
        <w:t>发现问题，及时向项目经理汇报并采取有效措施</w:t>
      </w:r>
      <w:r>
        <w:rPr>
          <w:spacing w:val="-22"/>
          <w:sz w:val="24"/>
          <w:szCs w:val="24"/>
        </w:rPr>
        <w:t>调整，使计划必须实现。</w:t>
      </w:r>
    </w:p>
    <w:p w14:paraId="5D044A1B">
      <w:pPr>
        <w:pStyle w:val="2"/>
        <w:spacing w:line="218" w:lineRule="auto"/>
        <w:ind w:left="1893"/>
        <w:rPr>
          <w:sz w:val="24"/>
          <w:szCs w:val="24"/>
        </w:rPr>
      </w:pPr>
      <w:r>
        <w:rPr>
          <w:spacing w:val="-17"/>
          <w:sz w:val="24"/>
          <w:szCs w:val="24"/>
        </w:rPr>
        <w:t>（2）技术措施</w:t>
      </w:r>
    </w:p>
    <w:p w14:paraId="0D8FDC00">
      <w:pPr>
        <w:pStyle w:val="2"/>
        <w:spacing w:before="118" w:line="307" w:lineRule="auto"/>
        <w:ind w:left="1456" w:right="1410" w:firstLine="437"/>
        <w:rPr>
          <w:sz w:val="24"/>
          <w:szCs w:val="24"/>
        </w:rPr>
      </w:pPr>
      <w:r>
        <w:rPr>
          <w:spacing w:val="-20"/>
          <w:sz w:val="24"/>
          <w:szCs w:val="24"/>
        </w:rPr>
        <w:t>本工程必须从技术上和思想上都高度重视，充分考虑劳动力、设备、材料与生产任务量相</w:t>
      </w:r>
      <w:r>
        <w:rPr>
          <w:spacing w:val="-21"/>
          <w:sz w:val="24"/>
          <w:szCs w:val="24"/>
        </w:rPr>
        <w:t>平衡，科学安排工期进度，做到连续、均衡生产，确保施工</w:t>
      </w:r>
      <w:r>
        <w:rPr>
          <w:spacing w:val="-22"/>
          <w:sz w:val="24"/>
          <w:szCs w:val="24"/>
        </w:rPr>
        <w:t>进度的顺利完成。</w:t>
      </w:r>
    </w:p>
    <w:p w14:paraId="6FF1F889">
      <w:pPr>
        <w:pStyle w:val="2"/>
        <w:spacing w:before="2" w:line="307" w:lineRule="auto"/>
        <w:ind w:left="1458" w:right="1409" w:firstLine="435"/>
        <w:jc w:val="both"/>
        <w:rPr>
          <w:sz w:val="24"/>
          <w:szCs w:val="24"/>
        </w:rPr>
      </w:pPr>
      <w:r>
        <w:rPr>
          <w:spacing w:val="-20"/>
          <w:sz w:val="24"/>
          <w:szCs w:val="24"/>
        </w:rPr>
        <w:t>认真编制施工组织设计，做好开工前的有关准备工作：如施工项目管理人员、主要施工机械的落实，以及采购的材料渠道落实，做到一旦中标，即可迅速进场开工。项目部主要管理负</w:t>
      </w:r>
      <w:r>
        <w:rPr>
          <w:spacing w:val="-22"/>
          <w:sz w:val="24"/>
          <w:szCs w:val="24"/>
        </w:rPr>
        <w:t>责人在编制标书阶段积极参与、熟悉并了解整个工程的施工特点，做到胸有成竹。</w:t>
      </w:r>
    </w:p>
    <w:p w14:paraId="739BDF9B">
      <w:pPr>
        <w:pStyle w:val="2"/>
        <w:spacing w:line="308" w:lineRule="auto"/>
        <w:ind w:left="1456" w:right="1184" w:firstLine="436"/>
        <w:jc w:val="both"/>
        <w:rPr>
          <w:sz w:val="24"/>
          <w:szCs w:val="24"/>
        </w:rPr>
      </w:pPr>
      <w:r>
        <w:rPr>
          <w:spacing w:val="-22"/>
          <w:sz w:val="24"/>
          <w:szCs w:val="24"/>
        </w:rPr>
        <w:t>把工程的进度安排建立在科学可靠的基础上，同时在施工中加强技术培训，做好技术交底，</w:t>
      </w:r>
      <w:r>
        <w:rPr>
          <w:spacing w:val="-16"/>
          <w:sz w:val="24"/>
          <w:szCs w:val="24"/>
        </w:rPr>
        <w:t>推行标准化、程序化作业，认真执行公司根据ISO9001：2000制定的“</w:t>
      </w:r>
      <w:r>
        <w:rPr>
          <w:spacing w:val="-17"/>
          <w:sz w:val="24"/>
          <w:szCs w:val="24"/>
        </w:rPr>
        <w:t>现场施工管理实施细则”</w:t>
      </w:r>
      <w:r>
        <w:rPr>
          <w:spacing w:val="-21"/>
          <w:sz w:val="24"/>
          <w:szCs w:val="24"/>
        </w:rPr>
        <w:t>和“工序作业细则”，确保进度安排的贯彻实施。</w:t>
      </w:r>
    </w:p>
    <w:p w14:paraId="7B558C45">
      <w:pPr>
        <w:pStyle w:val="2"/>
        <w:spacing w:before="4" w:line="307" w:lineRule="auto"/>
        <w:ind w:left="1455" w:right="1410" w:firstLine="438"/>
        <w:jc w:val="both"/>
        <w:rPr>
          <w:sz w:val="24"/>
          <w:szCs w:val="24"/>
        </w:rPr>
      </w:pPr>
      <w:r>
        <w:rPr>
          <w:spacing w:val="-20"/>
          <w:sz w:val="24"/>
          <w:szCs w:val="24"/>
        </w:rPr>
        <w:t>详细编制施工计划，重点控制关键线路上的工程项目。强化计划管理，用文字、图表的方式把编制依据、工程特点、施工方法、工艺流程、材料设备、劳动力安排、施工质量和安全措施等内容传达到每个岗位上的职工，使每位职工心中有数。施工时制定详细的各分项工程的施工技术措施、组织流水作业，做到技术先进，工艺合理。在确保质量的前提下快速施工，同时</w:t>
      </w:r>
      <w:r>
        <w:rPr>
          <w:spacing w:val="-21"/>
          <w:sz w:val="24"/>
          <w:szCs w:val="24"/>
        </w:rPr>
        <w:t>要因地制宜，根据工程的实际情况发挥职工的积极性，集思</w:t>
      </w:r>
      <w:r>
        <w:rPr>
          <w:spacing w:val="-22"/>
          <w:sz w:val="24"/>
          <w:szCs w:val="24"/>
        </w:rPr>
        <w:t>广益，加快工程的进展速度。</w:t>
      </w:r>
    </w:p>
    <w:p w14:paraId="5593B433">
      <w:pPr>
        <w:pStyle w:val="2"/>
        <w:spacing w:before="1" w:line="215" w:lineRule="auto"/>
        <w:ind w:left="1897"/>
        <w:rPr>
          <w:sz w:val="24"/>
          <w:szCs w:val="24"/>
        </w:rPr>
      </w:pPr>
      <w:r>
        <w:rPr>
          <w:spacing w:val="-19"/>
          <w:sz w:val="24"/>
          <w:szCs w:val="24"/>
        </w:rPr>
        <w:t>实施施工任务完成情况检查反馈制度。施工员每天将细化了的施工任务</w:t>
      </w:r>
      <w:r>
        <w:rPr>
          <w:spacing w:val="-20"/>
          <w:sz w:val="24"/>
          <w:szCs w:val="24"/>
        </w:rPr>
        <w:t>，以书面的形式下</w:t>
      </w:r>
    </w:p>
    <w:p w14:paraId="243E62DB">
      <w:pPr>
        <w:spacing w:line="215" w:lineRule="auto"/>
        <w:rPr>
          <w:sz w:val="24"/>
          <w:szCs w:val="24"/>
        </w:rPr>
        <w:sectPr>
          <w:footerReference r:id="rId248" w:type="default"/>
          <w:pgSz w:w="11907" w:h="16839"/>
          <w:pgMar w:top="933" w:right="4" w:bottom="1038" w:left="0" w:header="478" w:footer="357" w:gutter="0"/>
          <w:pgBorders>
            <w:top w:val="none" w:sz="0" w:space="0"/>
            <w:left w:val="none" w:sz="0" w:space="0"/>
            <w:bottom w:val="none" w:sz="0" w:space="0"/>
            <w:right w:val="none" w:sz="0" w:space="0"/>
          </w:pgBorders>
          <w:cols w:space="720" w:num="1"/>
        </w:sectPr>
      </w:pPr>
    </w:p>
    <w:p w14:paraId="03A51D1F">
      <w:pPr>
        <w:spacing w:line="270" w:lineRule="auto"/>
        <w:rPr>
          <w:rFonts w:ascii="Arial"/>
          <w:sz w:val="21"/>
        </w:rPr>
      </w:pPr>
    </w:p>
    <w:p w14:paraId="6991B01E">
      <w:pPr>
        <w:pStyle w:val="2"/>
        <w:spacing w:before="78" w:line="308" w:lineRule="auto"/>
        <w:ind w:left="1457" w:right="1337" w:firstLine="1"/>
        <w:jc w:val="both"/>
        <w:rPr>
          <w:sz w:val="24"/>
          <w:szCs w:val="24"/>
        </w:rPr>
      </w:pPr>
      <w:r>
        <w:rPr>
          <w:spacing w:val="-20"/>
          <w:sz w:val="24"/>
          <w:szCs w:val="24"/>
        </w:rPr>
        <w:t>达到施工班组，当天及时进行检查并做好记录。对不能按期完成的任务应及时反馈，项目经理部及时分析原因，采取必要措施，确保各施工环节和总进度不受影响，并结合经济奖罚制度来</w:t>
      </w:r>
      <w:r>
        <w:rPr>
          <w:spacing w:val="-23"/>
          <w:sz w:val="24"/>
          <w:szCs w:val="24"/>
        </w:rPr>
        <w:t>制约，做到责、权、利挂钩，以制度促使各部门、各班组及员工保质按期完成</w:t>
      </w:r>
      <w:r>
        <w:rPr>
          <w:spacing w:val="-24"/>
          <w:sz w:val="24"/>
          <w:szCs w:val="24"/>
        </w:rPr>
        <w:t>当天的施工任务。</w:t>
      </w:r>
    </w:p>
    <w:p w14:paraId="06EC85AA">
      <w:pPr>
        <w:pStyle w:val="2"/>
        <w:spacing w:before="2" w:line="307" w:lineRule="auto"/>
        <w:ind w:left="1455" w:right="1414" w:firstLine="446"/>
        <w:jc w:val="both"/>
        <w:rPr>
          <w:sz w:val="24"/>
          <w:szCs w:val="24"/>
        </w:rPr>
      </w:pPr>
      <w:r>
        <w:rPr>
          <w:spacing w:val="-20"/>
          <w:sz w:val="24"/>
          <w:szCs w:val="24"/>
        </w:rPr>
        <w:t>为了使现场施工能顺利进行，成立专家技术顾问小组，专门解决项目部施工的疑难问题，把技术优先、优化置于施工方案的首位。使工序交接顺利，质量达到保证，现场测量和取样试</w:t>
      </w:r>
      <w:r>
        <w:rPr>
          <w:spacing w:val="-22"/>
          <w:sz w:val="24"/>
          <w:szCs w:val="24"/>
        </w:rPr>
        <w:t>验要及时，机械设备保养维修工作跟上，避免因机械故障而影响进度的现象发生。</w:t>
      </w:r>
    </w:p>
    <w:p w14:paraId="67347497">
      <w:pPr>
        <w:pStyle w:val="2"/>
        <w:spacing w:line="217" w:lineRule="auto"/>
        <w:ind w:left="1893"/>
        <w:rPr>
          <w:sz w:val="24"/>
          <w:szCs w:val="24"/>
        </w:rPr>
      </w:pPr>
      <w:r>
        <w:rPr>
          <w:spacing w:val="-17"/>
          <w:sz w:val="24"/>
          <w:szCs w:val="24"/>
        </w:rPr>
        <w:t>（3）制度保证</w:t>
      </w:r>
    </w:p>
    <w:p w14:paraId="5E4BB06B">
      <w:pPr>
        <w:pStyle w:val="2"/>
        <w:spacing w:before="117" w:line="308" w:lineRule="auto"/>
        <w:ind w:left="1457" w:right="1356" w:firstLine="436"/>
        <w:rPr>
          <w:sz w:val="24"/>
          <w:szCs w:val="24"/>
        </w:rPr>
      </w:pPr>
      <w:r>
        <w:rPr>
          <w:spacing w:val="-20"/>
          <w:sz w:val="24"/>
          <w:szCs w:val="24"/>
        </w:rPr>
        <w:t>项目部按照我公司ISO9001认证标准，以控制质量体系要素为中心，建立健</w:t>
      </w:r>
      <w:r>
        <w:rPr>
          <w:spacing w:val="-21"/>
          <w:sz w:val="24"/>
          <w:szCs w:val="24"/>
        </w:rPr>
        <w:t>全强有力的现</w:t>
      </w:r>
      <w:r>
        <w:rPr>
          <w:spacing w:val="-20"/>
          <w:sz w:val="24"/>
          <w:szCs w:val="24"/>
        </w:rPr>
        <w:t>场施工技术组织，与发包人、监理人、设计、顾问组相沟通、协调。方案需要人来实施，制度靠人来执行，能否保证各项关键工期的如期实现，关键在对项目部各层人员的管理力度，施工</w:t>
      </w:r>
      <w:r>
        <w:rPr>
          <w:spacing w:val="-24"/>
          <w:sz w:val="24"/>
          <w:szCs w:val="24"/>
        </w:rPr>
        <w:t>中增加管理人员和作业人员，加大人、财、物的投入，本项目实行严格的奖惩制度，及时奖罚，</w:t>
      </w:r>
      <w:r>
        <w:rPr>
          <w:spacing w:val="-20"/>
          <w:sz w:val="24"/>
          <w:szCs w:val="24"/>
        </w:rPr>
        <w:t>关键时候组织“青年突击队”，死保工期。平时对先进工作者给予表彰以调动全体员工的工作</w:t>
      </w:r>
      <w:r>
        <w:rPr>
          <w:spacing w:val="-21"/>
          <w:sz w:val="24"/>
          <w:szCs w:val="24"/>
        </w:rPr>
        <w:t>积极性。关键工序工期超过两天时，由公司法人组织协调</w:t>
      </w:r>
      <w:r>
        <w:rPr>
          <w:spacing w:val="-22"/>
          <w:sz w:val="24"/>
          <w:szCs w:val="24"/>
        </w:rPr>
        <w:t>，确保把工期抢过来。</w:t>
      </w:r>
    </w:p>
    <w:p w14:paraId="2FC5F668">
      <w:pPr>
        <w:pStyle w:val="2"/>
        <w:spacing w:line="216" w:lineRule="auto"/>
        <w:ind w:left="1893"/>
        <w:rPr>
          <w:sz w:val="24"/>
          <w:szCs w:val="24"/>
        </w:rPr>
      </w:pPr>
      <w:r>
        <w:rPr>
          <w:spacing w:val="-17"/>
          <w:sz w:val="24"/>
          <w:szCs w:val="24"/>
        </w:rPr>
        <w:t>（4）资金保证</w:t>
      </w:r>
    </w:p>
    <w:p w14:paraId="1ABC2FA3">
      <w:pPr>
        <w:pStyle w:val="2"/>
        <w:spacing w:before="117" w:line="308" w:lineRule="auto"/>
        <w:ind w:left="1456" w:right="1410" w:firstLine="437"/>
        <w:rPr>
          <w:sz w:val="24"/>
          <w:szCs w:val="24"/>
        </w:rPr>
      </w:pPr>
      <w:r>
        <w:rPr>
          <w:spacing w:val="-20"/>
          <w:sz w:val="24"/>
          <w:szCs w:val="24"/>
        </w:rPr>
        <w:t>本项目部为我公司一级项目部，项目部开设临时帐户，专款专用，使工程施工有充足的资</w:t>
      </w:r>
      <w:r>
        <w:rPr>
          <w:spacing w:val="-21"/>
          <w:sz w:val="24"/>
          <w:szCs w:val="24"/>
        </w:rPr>
        <w:t>金保证，必要时由我公司协调解决资金支持。</w:t>
      </w:r>
    </w:p>
    <w:p w14:paraId="7E3A7A73">
      <w:pPr>
        <w:pStyle w:val="2"/>
        <w:spacing w:before="1" w:line="216" w:lineRule="auto"/>
        <w:ind w:left="1893"/>
        <w:rPr>
          <w:sz w:val="24"/>
          <w:szCs w:val="24"/>
        </w:rPr>
      </w:pPr>
      <w:r>
        <w:rPr>
          <w:spacing w:val="-20"/>
          <w:sz w:val="24"/>
          <w:szCs w:val="24"/>
        </w:rPr>
        <w:t>（5）施工环境与地方协调保证</w:t>
      </w:r>
    </w:p>
    <w:p w14:paraId="6BB761BD">
      <w:pPr>
        <w:pStyle w:val="2"/>
        <w:spacing w:before="118" w:line="308" w:lineRule="auto"/>
        <w:ind w:left="1465" w:right="1410" w:firstLine="432"/>
        <w:rPr>
          <w:sz w:val="24"/>
          <w:szCs w:val="24"/>
        </w:rPr>
      </w:pPr>
      <w:r>
        <w:rPr>
          <w:spacing w:val="-20"/>
          <w:sz w:val="24"/>
          <w:szCs w:val="24"/>
        </w:rPr>
        <w:t>结合与地方各级政府建立的良好关系，项目部设置专人，在发包人统一领导下，主动积极</w:t>
      </w:r>
      <w:r>
        <w:rPr>
          <w:spacing w:val="-22"/>
          <w:sz w:val="24"/>
          <w:szCs w:val="24"/>
        </w:rPr>
        <w:t>与地方政府进行沟通、协调，为施工创造良好的环境。</w:t>
      </w:r>
    </w:p>
    <w:p w14:paraId="79CDE501">
      <w:pPr>
        <w:pStyle w:val="2"/>
        <w:spacing w:line="218" w:lineRule="auto"/>
        <w:ind w:left="1888"/>
        <w:rPr>
          <w:sz w:val="24"/>
          <w:szCs w:val="24"/>
        </w:rPr>
      </w:pPr>
      <w:r>
        <w:rPr>
          <w:spacing w:val="-17"/>
          <w:sz w:val="24"/>
          <w:szCs w:val="24"/>
        </w:rPr>
        <w:t>2.3、冬雨季施工安排</w:t>
      </w:r>
    </w:p>
    <w:p w14:paraId="6A9EA415">
      <w:pPr>
        <w:pStyle w:val="2"/>
        <w:spacing w:before="115" w:line="308" w:lineRule="auto"/>
        <w:ind w:left="1458" w:right="1414" w:firstLine="443"/>
        <w:rPr>
          <w:sz w:val="24"/>
          <w:szCs w:val="24"/>
        </w:rPr>
      </w:pPr>
      <w:r>
        <w:rPr>
          <w:spacing w:val="-20"/>
          <w:sz w:val="24"/>
          <w:szCs w:val="24"/>
        </w:rPr>
        <w:t>为确保工期，工程施工过程中安排整个冬季连续施工，项目部设专人负责收听气象预报，编制气象预报图，作为施工计划编制的参考依据之一，避免因天气变化造成对施工进度、质量的不良影响，做到以科学为依据指导计划和施工。及时掌握气象动态分析，抢晴天，赶雨天，抓住有利时机，环环相扣，步步为营。施工中根据气象预报及时调整作业计划、安排每天现场</w:t>
      </w:r>
      <w:r>
        <w:rPr>
          <w:spacing w:val="-22"/>
          <w:sz w:val="24"/>
          <w:szCs w:val="24"/>
        </w:rPr>
        <w:t>工作内容，确保工程质量及按期完工。</w:t>
      </w:r>
    </w:p>
    <w:p w14:paraId="2DB6421D">
      <w:pPr>
        <w:pStyle w:val="2"/>
        <w:spacing w:before="2" w:line="307" w:lineRule="auto"/>
        <w:ind w:left="1455" w:right="1338" w:firstLine="439"/>
        <w:jc w:val="both"/>
        <w:rPr>
          <w:sz w:val="24"/>
          <w:szCs w:val="24"/>
        </w:rPr>
      </w:pPr>
      <w:r>
        <w:rPr>
          <w:spacing w:val="-20"/>
          <w:sz w:val="24"/>
          <w:szCs w:val="24"/>
        </w:rPr>
        <w:t>冬季施工按冬季施工要求进行，现场做到防寒材料及设备的购置与配备齐全，做好施工材</w:t>
      </w:r>
      <w:r>
        <w:rPr>
          <w:spacing w:val="-23"/>
          <w:sz w:val="24"/>
          <w:szCs w:val="24"/>
        </w:rPr>
        <w:t>料的防雪、防冻措施，如外加剂、加温水箱、棚布、草帘子、塑料薄膜等保温</w:t>
      </w:r>
      <w:r>
        <w:rPr>
          <w:spacing w:val="-24"/>
          <w:sz w:val="24"/>
          <w:szCs w:val="24"/>
        </w:rPr>
        <w:t>防冻材料的购置。</w:t>
      </w:r>
      <w:r>
        <w:rPr>
          <w:spacing w:val="-21"/>
          <w:sz w:val="24"/>
          <w:szCs w:val="24"/>
        </w:rPr>
        <w:t>其次实验室做好冬季施工配合比调整工作。</w:t>
      </w:r>
    </w:p>
    <w:p w14:paraId="65913CA0">
      <w:pPr>
        <w:pStyle w:val="2"/>
        <w:spacing w:before="1" w:line="216" w:lineRule="auto"/>
        <w:ind w:left="1888"/>
        <w:rPr>
          <w:sz w:val="24"/>
          <w:szCs w:val="24"/>
        </w:rPr>
      </w:pPr>
      <w:r>
        <w:rPr>
          <w:spacing w:val="-17"/>
          <w:sz w:val="24"/>
          <w:szCs w:val="24"/>
        </w:rPr>
        <w:t>2.4、节假日工作安排</w:t>
      </w:r>
    </w:p>
    <w:p w14:paraId="36329C2C">
      <w:pPr>
        <w:pStyle w:val="2"/>
        <w:spacing w:before="116" w:line="299" w:lineRule="auto"/>
        <w:ind w:left="1456" w:right="1410" w:firstLine="467"/>
        <w:rPr>
          <w:sz w:val="24"/>
          <w:szCs w:val="24"/>
        </w:rPr>
      </w:pPr>
      <w:r>
        <w:rPr>
          <w:spacing w:val="-20"/>
          <w:sz w:val="24"/>
          <w:szCs w:val="24"/>
        </w:rPr>
        <w:t>由于工程量大，项目多，工期紧，工程施工过程中节假日</w:t>
      </w:r>
      <w:r>
        <w:rPr>
          <w:spacing w:val="-21"/>
          <w:sz w:val="24"/>
          <w:szCs w:val="24"/>
        </w:rPr>
        <w:t>正常安排现场施工作业，提前做</w:t>
      </w:r>
      <w:r>
        <w:rPr>
          <w:spacing w:val="-20"/>
          <w:sz w:val="24"/>
          <w:szCs w:val="24"/>
        </w:rPr>
        <w:t>好节假日施工期间劳动力、材料、设备安排、购置及进场时间，确保项目按期、保质、保量完</w:t>
      </w:r>
      <w:r>
        <w:rPr>
          <w:spacing w:val="-18"/>
          <w:sz w:val="24"/>
          <w:szCs w:val="24"/>
        </w:rPr>
        <w:t>成。</w:t>
      </w:r>
    </w:p>
    <w:p w14:paraId="4B246526">
      <w:pPr>
        <w:pStyle w:val="2"/>
        <w:spacing w:before="1" w:line="217" w:lineRule="auto"/>
        <w:ind w:left="1986"/>
        <w:outlineLvl w:val="2"/>
        <w:rPr>
          <w:sz w:val="28"/>
          <w:szCs w:val="28"/>
        </w:rPr>
      </w:pPr>
      <w:bookmarkStart w:id="179" w:name="bookmark171"/>
      <w:bookmarkEnd w:id="179"/>
      <w:r>
        <w:rPr>
          <w:b/>
          <w:bCs/>
          <w:spacing w:val="-23"/>
          <w:sz w:val="28"/>
          <w:szCs w:val="28"/>
        </w:rPr>
        <w:t>二、影响关键工期节点及其按时完成保证措施</w:t>
      </w:r>
    </w:p>
    <w:p w14:paraId="15E28C29">
      <w:pPr>
        <w:pStyle w:val="2"/>
        <w:spacing w:before="107" w:line="308" w:lineRule="auto"/>
        <w:ind w:left="1461" w:right="1409" w:firstLine="432"/>
        <w:jc w:val="both"/>
        <w:rPr>
          <w:sz w:val="24"/>
          <w:szCs w:val="24"/>
        </w:rPr>
      </w:pPr>
      <w:r>
        <w:rPr>
          <w:spacing w:val="-20"/>
          <w:sz w:val="24"/>
          <w:szCs w:val="24"/>
        </w:rPr>
        <w:t>本工程的施工要合理地安排施工流程、工序搭接、劳动力组织、机械配备等的前提下，以总体施工进度计划为依据，对阶段性节点工期以至整体工程总工期，进行逐段有效控制，才能完成本工程的工期目标。</w:t>
      </w:r>
    </w:p>
    <w:p w14:paraId="2882EEA2">
      <w:pPr>
        <w:spacing w:line="308" w:lineRule="auto"/>
        <w:rPr>
          <w:sz w:val="24"/>
          <w:szCs w:val="24"/>
        </w:rPr>
        <w:sectPr>
          <w:footerReference r:id="rId249" w:type="default"/>
          <w:pgSz w:w="11907" w:h="16839"/>
          <w:pgMar w:top="933" w:right="4" w:bottom="1038" w:left="0" w:header="478" w:footer="357" w:gutter="0"/>
          <w:pgBorders>
            <w:top w:val="none" w:sz="0" w:space="0"/>
            <w:left w:val="none" w:sz="0" w:space="0"/>
            <w:bottom w:val="none" w:sz="0" w:space="0"/>
            <w:right w:val="none" w:sz="0" w:space="0"/>
          </w:pgBorders>
          <w:cols w:space="720" w:num="1"/>
        </w:sectPr>
      </w:pPr>
    </w:p>
    <w:p w14:paraId="6DB12A65">
      <w:pPr>
        <w:spacing w:line="269" w:lineRule="auto"/>
        <w:rPr>
          <w:rFonts w:ascii="Arial"/>
          <w:sz w:val="21"/>
        </w:rPr>
      </w:pPr>
    </w:p>
    <w:p w14:paraId="633BF9AA">
      <w:pPr>
        <w:pStyle w:val="2"/>
        <w:spacing w:before="78" w:line="308" w:lineRule="auto"/>
        <w:ind w:left="1458" w:right="1410" w:firstLine="434"/>
        <w:jc w:val="both"/>
        <w:rPr>
          <w:sz w:val="24"/>
          <w:szCs w:val="24"/>
        </w:rPr>
      </w:pPr>
      <w:r>
        <w:rPr>
          <w:spacing w:val="-20"/>
          <w:sz w:val="24"/>
          <w:szCs w:val="24"/>
        </w:rPr>
        <w:t>承建本工程的施工项目部，将由具有相当技术素质和经历类似工程施工经验的管理人员组成，公司慎重选派项目经理、现场负责人、项目技术负责人以及综合协调副经理的人选。在项目经理的领导下，指定现场负责人为生产计划专管、协调副经理协办，对施工全过程的进度计划，进行全过程的进度计划，进行全面管理、协调和监控，建立计划检查制度，执行项目岗位</w:t>
      </w:r>
      <w:r>
        <w:rPr>
          <w:spacing w:val="-21"/>
          <w:sz w:val="24"/>
          <w:szCs w:val="24"/>
        </w:rPr>
        <w:t>责任制，从组织上保证工期目标的实现。</w:t>
      </w:r>
    </w:p>
    <w:p w14:paraId="1207425C">
      <w:pPr>
        <w:pStyle w:val="2"/>
        <w:spacing w:line="308" w:lineRule="auto"/>
        <w:ind w:left="1453" w:right="1409" w:firstLine="440"/>
        <w:rPr>
          <w:sz w:val="24"/>
          <w:szCs w:val="24"/>
        </w:rPr>
      </w:pPr>
      <w:r>
        <w:rPr>
          <w:spacing w:val="-20"/>
          <w:sz w:val="24"/>
          <w:szCs w:val="24"/>
        </w:rPr>
        <w:t>充分做好施工准备，编制各项物资需用量计划和劳动力计划，并按工程进度，组织分阶段</w:t>
      </w:r>
      <w:r>
        <w:rPr>
          <w:spacing w:val="-17"/>
          <w:sz w:val="24"/>
          <w:szCs w:val="24"/>
        </w:rPr>
        <w:t>有序进场。</w:t>
      </w:r>
    </w:p>
    <w:p w14:paraId="07E39652">
      <w:pPr>
        <w:pStyle w:val="2"/>
        <w:spacing w:line="307" w:lineRule="auto"/>
        <w:ind w:left="1459" w:right="1411" w:firstLine="434"/>
        <w:rPr>
          <w:sz w:val="24"/>
          <w:szCs w:val="24"/>
        </w:rPr>
      </w:pPr>
      <w:r>
        <w:rPr>
          <w:spacing w:val="-20"/>
          <w:sz w:val="24"/>
          <w:szCs w:val="24"/>
        </w:rPr>
        <w:t>本工程积极推广应用新技术、新工艺、新材料、新设备，在工程中加大科技含量，以科技</w:t>
      </w:r>
      <w:r>
        <w:rPr>
          <w:spacing w:val="-21"/>
          <w:sz w:val="24"/>
          <w:szCs w:val="24"/>
        </w:rPr>
        <w:t>手段促进生产和进度，体现“科技是第一生产力”的效</w:t>
      </w:r>
      <w:r>
        <w:rPr>
          <w:spacing w:val="-22"/>
          <w:sz w:val="24"/>
          <w:szCs w:val="24"/>
        </w:rPr>
        <w:t>应。</w:t>
      </w:r>
    </w:p>
    <w:p w14:paraId="4AAE778A">
      <w:pPr>
        <w:pStyle w:val="2"/>
        <w:spacing w:before="3" w:line="307" w:lineRule="auto"/>
        <w:ind w:left="1456" w:right="1409" w:firstLine="461"/>
        <w:jc w:val="both"/>
        <w:rPr>
          <w:sz w:val="24"/>
          <w:szCs w:val="24"/>
        </w:rPr>
      </w:pPr>
      <w:r>
        <w:rPr>
          <w:spacing w:val="-20"/>
          <w:sz w:val="24"/>
          <w:szCs w:val="24"/>
        </w:rPr>
        <w:t>以总体施工进度计划为依据，编制月、周施工进度计划，并在逐级计划时</w:t>
      </w:r>
      <w:r>
        <w:rPr>
          <w:spacing w:val="-21"/>
          <w:sz w:val="24"/>
          <w:szCs w:val="24"/>
        </w:rPr>
        <w:t>间段的后一天检</w:t>
      </w:r>
      <w:r>
        <w:rPr>
          <w:spacing w:val="-20"/>
          <w:sz w:val="24"/>
          <w:szCs w:val="24"/>
        </w:rPr>
        <w:t>查完成情况。其中以周计划作为检查的基准，并按项目岗位责任制执行奖罚办法，以激励生产</w:t>
      </w:r>
      <w:r>
        <w:rPr>
          <w:spacing w:val="-21"/>
          <w:sz w:val="24"/>
          <w:szCs w:val="24"/>
        </w:rPr>
        <w:t>机制。</w:t>
      </w:r>
    </w:p>
    <w:p w14:paraId="4F8506A0">
      <w:pPr>
        <w:pStyle w:val="2"/>
        <w:spacing w:line="217" w:lineRule="auto"/>
        <w:ind w:left="1903"/>
        <w:rPr>
          <w:sz w:val="24"/>
          <w:szCs w:val="24"/>
        </w:rPr>
      </w:pPr>
      <w:r>
        <w:rPr>
          <w:spacing w:val="-20"/>
          <w:sz w:val="24"/>
          <w:szCs w:val="24"/>
        </w:rPr>
        <w:t>1、影响工程关键工期因素分析</w:t>
      </w:r>
    </w:p>
    <w:p w14:paraId="2E82AB90">
      <w:pPr>
        <w:pStyle w:val="2"/>
        <w:spacing w:before="118" w:line="216" w:lineRule="auto"/>
        <w:ind w:left="1903"/>
        <w:rPr>
          <w:sz w:val="24"/>
          <w:szCs w:val="24"/>
        </w:rPr>
      </w:pPr>
      <w:r>
        <w:rPr>
          <w:spacing w:val="-21"/>
          <w:sz w:val="24"/>
          <w:szCs w:val="24"/>
        </w:rPr>
        <w:t>1.1、自然因素：主要是降雨、雪对施工的影响，影响设备、材料进场，</w:t>
      </w:r>
      <w:r>
        <w:rPr>
          <w:spacing w:val="-22"/>
          <w:sz w:val="24"/>
          <w:szCs w:val="24"/>
        </w:rPr>
        <w:t>影响沟槽开挖。</w:t>
      </w:r>
    </w:p>
    <w:p w14:paraId="12F69C33">
      <w:pPr>
        <w:pStyle w:val="2"/>
        <w:spacing w:before="119" w:line="262" w:lineRule="auto"/>
        <w:ind w:left="1456" w:right="1411" w:firstLine="447"/>
        <w:rPr>
          <w:sz w:val="24"/>
          <w:szCs w:val="24"/>
        </w:rPr>
      </w:pPr>
      <w:r>
        <w:rPr>
          <w:spacing w:val="-22"/>
          <w:sz w:val="24"/>
          <w:szCs w:val="24"/>
        </w:rPr>
        <w:t>1.2、交通条件：本工程虽然与对外交通道路相距较近，但场内仍需要根据各施工点布置相</w:t>
      </w:r>
      <w:r>
        <w:rPr>
          <w:spacing w:val="-21"/>
          <w:sz w:val="24"/>
          <w:szCs w:val="24"/>
        </w:rPr>
        <w:t>应的临时道路，确保施工期间交通畅通。</w:t>
      </w:r>
    </w:p>
    <w:p w14:paraId="08EFEB88">
      <w:pPr>
        <w:pStyle w:val="2"/>
        <w:spacing w:before="120" w:line="215" w:lineRule="auto"/>
        <w:ind w:left="1903"/>
        <w:rPr>
          <w:sz w:val="24"/>
          <w:szCs w:val="24"/>
        </w:rPr>
      </w:pPr>
      <w:r>
        <w:rPr>
          <w:spacing w:val="-24"/>
          <w:sz w:val="24"/>
          <w:szCs w:val="24"/>
        </w:rPr>
        <w:t>1.3、资源配置、采购：管材、水稳、沥青用量较大，如供应不及时，将直接影响工程进度。</w:t>
      </w:r>
    </w:p>
    <w:p w14:paraId="1580F92F">
      <w:pPr>
        <w:pStyle w:val="2"/>
        <w:spacing w:before="120" w:line="278" w:lineRule="auto"/>
        <w:ind w:left="1457" w:right="1414" w:firstLine="446"/>
        <w:rPr>
          <w:sz w:val="24"/>
          <w:szCs w:val="24"/>
        </w:rPr>
      </w:pPr>
      <w:r>
        <w:rPr>
          <w:spacing w:val="-22"/>
          <w:sz w:val="24"/>
          <w:szCs w:val="24"/>
        </w:rPr>
        <w:t>1.4、节日影响：本工程施工期跨越节日，节日时期劳动力减少，是影响工程进度的因素，</w:t>
      </w:r>
      <w:r>
        <w:rPr>
          <w:spacing w:val="-20"/>
          <w:sz w:val="24"/>
          <w:szCs w:val="24"/>
        </w:rPr>
        <w:t>在施工安排上必须采取措施，降低其影响程度。针对以上影响关键工期的因素，本公司们将采</w:t>
      </w:r>
      <w:r>
        <w:rPr>
          <w:spacing w:val="-18"/>
          <w:sz w:val="24"/>
          <w:szCs w:val="24"/>
        </w:rPr>
        <w:t>取如下措施。</w:t>
      </w:r>
    </w:p>
    <w:p w14:paraId="6F40B7E3">
      <w:pPr>
        <w:pStyle w:val="2"/>
        <w:spacing w:before="114" w:line="217" w:lineRule="auto"/>
        <w:ind w:left="1888"/>
        <w:rPr>
          <w:sz w:val="24"/>
          <w:szCs w:val="24"/>
        </w:rPr>
      </w:pPr>
      <w:r>
        <w:rPr>
          <w:spacing w:val="-19"/>
          <w:sz w:val="24"/>
          <w:szCs w:val="24"/>
        </w:rPr>
        <w:t>2、关键工期节点施工保证措施</w:t>
      </w:r>
    </w:p>
    <w:p w14:paraId="7190172E">
      <w:pPr>
        <w:pStyle w:val="2"/>
        <w:spacing w:before="116" w:line="295" w:lineRule="auto"/>
        <w:ind w:left="1456" w:right="1352" w:firstLine="432"/>
        <w:rPr>
          <w:sz w:val="24"/>
          <w:szCs w:val="24"/>
        </w:rPr>
      </w:pPr>
      <w:r>
        <w:rPr>
          <w:spacing w:val="-25"/>
          <w:sz w:val="24"/>
          <w:szCs w:val="24"/>
        </w:rPr>
        <w:t>2.1、劳动力保证措施：安排有经验、责任心强的工程技术经济、行政</w:t>
      </w:r>
      <w:r>
        <w:rPr>
          <w:spacing w:val="-26"/>
          <w:sz w:val="24"/>
          <w:szCs w:val="24"/>
        </w:rPr>
        <w:t>等各类专业管理人员，</w:t>
      </w:r>
      <w:r>
        <w:rPr>
          <w:spacing w:val="-20"/>
          <w:sz w:val="24"/>
          <w:szCs w:val="24"/>
        </w:rPr>
        <w:t>组成本工程项目经理部，选派工作经验丰富、年富力强的项目经理，全权负责现场施工各方面的工作。工程实施中，实施项目法管理，做到统一组织，统一计划协调、统一现场管理、统一</w:t>
      </w:r>
      <w:r>
        <w:rPr>
          <w:spacing w:val="-23"/>
          <w:sz w:val="24"/>
          <w:szCs w:val="24"/>
        </w:rPr>
        <w:t>物质供应、统一资金收付。建立健全项目管理</w:t>
      </w:r>
      <w:r>
        <w:rPr>
          <w:spacing w:val="-24"/>
          <w:sz w:val="24"/>
          <w:szCs w:val="24"/>
        </w:rPr>
        <w:t>机构，明确各部门、各岗位的职权范围。施工期，</w:t>
      </w:r>
      <w:r>
        <w:rPr>
          <w:spacing w:val="-20"/>
          <w:sz w:val="24"/>
          <w:szCs w:val="24"/>
        </w:rPr>
        <w:t>建立以工程管理、质量管理、合同管理、后勤供应、生产调度、劳资财务和行政保卫部门等协调配合的现场计划落实体制，确保各项工程的施工进度在保证工程质量的前提下得到控制与及</w:t>
      </w:r>
      <w:r>
        <w:rPr>
          <w:spacing w:val="-23"/>
          <w:sz w:val="24"/>
          <w:szCs w:val="24"/>
        </w:rPr>
        <w:t>时调整，满足总进度要求。具体劳动力保证投入计划详见《劳动力计划表》。</w:t>
      </w:r>
    </w:p>
    <w:p w14:paraId="15161691">
      <w:pPr>
        <w:pStyle w:val="2"/>
        <w:spacing w:before="121" w:line="277" w:lineRule="auto"/>
        <w:ind w:left="1463" w:right="1413" w:firstLine="425"/>
        <w:rPr>
          <w:sz w:val="24"/>
          <w:szCs w:val="24"/>
        </w:rPr>
      </w:pPr>
      <w:r>
        <w:rPr>
          <w:spacing w:val="-21"/>
          <w:sz w:val="24"/>
          <w:szCs w:val="24"/>
        </w:rPr>
        <w:t>2.2、机械设备保证措施：根据本工程的特点</w:t>
      </w:r>
      <w:r>
        <w:rPr>
          <w:spacing w:val="-22"/>
          <w:sz w:val="24"/>
          <w:szCs w:val="24"/>
        </w:rPr>
        <w:t>，投入工程施工的配套机械设备的数量和完好</w:t>
      </w:r>
      <w:r>
        <w:rPr>
          <w:spacing w:val="-20"/>
          <w:sz w:val="24"/>
          <w:szCs w:val="24"/>
        </w:rPr>
        <w:t>率是保证工期的重要硬件措施。届时将发挥本公司实力雄厚、施工机械化程度高的优势，选配</w:t>
      </w:r>
      <w:r>
        <w:rPr>
          <w:spacing w:val="-21"/>
          <w:sz w:val="24"/>
          <w:szCs w:val="24"/>
        </w:rPr>
        <w:t>合理配套的施工机械，建立合理的机械保养</w:t>
      </w:r>
      <w:r>
        <w:rPr>
          <w:spacing w:val="-22"/>
          <w:sz w:val="24"/>
          <w:szCs w:val="24"/>
        </w:rPr>
        <w:t>、维修体系，保证施工机械的完好率。</w:t>
      </w:r>
    </w:p>
    <w:p w14:paraId="34C8606A">
      <w:pPr>
        <w:pStyle w:val="2"/>
        <w:spacing w:before="117" w:line="285" w:lineRule="auto"/>
        <w:ind w:left="1455" w:right="1411" w:firstLine="432"/>
        <w:rPr>
          <w:sz w:val="24"/>
          <w:szCs w:val="24"/>
        </w:rPr>
      </w:pPr>
      <w:r>
        <w:rPr>
          <w:spacing w:val="-21"/>
          <w:sz w:val="24"/>
          <w:szCs w:val="24"/>
        </w:rPr>
        <w:t>2.3、材料、配件保证措施：施工材料和配件统</w:t>
      </w:r>
      <w:r>
        <w:rPr>
          <w:spacing w:val="-22"/>
          <w:sz w:val="24"/>
          <w:szCs w:val="24"/>
        </w:rPr>
        <w:t>一由公司物资部管理和调配，充分发挥本公</w:t>
      </w:r>
      <w:r>
        <w:rPr>
          <w:spacing w:val="-20"/>
          <w:sz w:val="24"/>
          <w:szCs w:val="24"/>
        </w:rPr>
        <w:t>司材料、配件使用点多面广，又管理高度集中的优势，在做好现有闲置材料和配件统一调配的基础上，根据本工程特点，认真做好材料和配件采购计划。保证本工程施工正常的、充足的材</w:t>
      </w:r>
      <w:r>
        <w:rPr>
          <w:spacing w:val="-18"/>
          <w:sz w:val="24"/>
          <w:szCs w:val="24"/>
        </w:rPr>
        <w:t>料和配件供应。</w:t>
      </w:r>
    </w:p>
    <w:p w14:paraId="6D9B5753">
      <w:pPr>
        <w:pStyle w:val="2"/>
        <w:spacing w:before="118" w:line="217" w:lineRule="auto"/>
        <w:ind w:left="1888"/>
        <w:rPr>
          <w:sz w:val="24"/>
          <w:szCs w:val="24"/>
        </w:rPr>
      </w:pPr>
      <w:r>
        <w:rPr>
          <w:spacing w:val="-21"/>
          <w:sz w:val="24"/>
          <w:szCs w:val="24"/>
        </w:rPr>
        <w:t>2.4、抓好资金管理，确保资金投入：选派有经验的、合格财务人员，对业主支付的工程款</w:t>
      </w:r>
    </w:p>
    <w:p w14:paraId="7E9D3F0A">
      <w:pPr>
        <w:spacing w:line="217" w:lineRule="auto"/>
        <w:rPr>
          <w:sz w:val="24"/>
          <w:szCs w:val="24"/>
        </w:rPr>
        <w:sectPr>
          <w:footerReference r:id="rId250" w:type="default"/>
          <w:pgSz w:w="11907" w:h="16839"/>
          <w:pgMar w:top="933" w:right="4" w:bottom="1038" w:left="0" w:header="478" w:footer="357" w:gutter="0"/>
          <w:pgBorders>
            <w:top w:val="none" w:sz="0" w:space="0"/>
            <w:left w:val="none" w:sz="0" w:space="0"/>
            <w:bottom w:val="none" w:sz="0" w:space="0"/>
            <w:right w:val="none" w:sz="0" w:space="0"/>
          </w:pgBorders>
          <w:cols w:space="720" w:num="1"/>
        </w:sectPr>
      </w:pPr>
    </w:p>
    <w:p w14:paraId="151A10BE">
      <w:pPr>
        <w:spacing w:line="270" w:lineRule="auto"/>
        <w:rPr>
          <w:rFonts w:ascii="Arial"/>
          <w:sz w:val="21"/>
        </w:rPr>
      </w:pPr>
    </w:p>
    <w:p w14:paraId="11FEEC6C">
      <w:pPr>
        <w:pStyle w:val="2"/>
        <w:spacing w:before="78" w:line="308" w:lineRule="auto"/>
        <w:ind w:left="1457" w:right="1414"/>
        <w:rPr>
          <w:sz w:val="24"/>
          <w:szCs w:val="24"/>
        </w:rPr>
      </w:pPr>
      <w:r>
        <w:rPr>
          <w:spacing w:val="-20"/>
          <w:sz w:val="24"/>
          <w:szCs w:val="24"/>
        </w:rPr>
        <w:t>项和本公司投入本工程施工的流动资金，进行封闭管理，用好、用活资金，保证工程正常施工</w:t>
      </w:r>
      <w:r>
        <w:rPr>
          <w:spacing w:val="-21"/>
          <w:sz w:val="24"/>
          <w:szCs w:val="24"/>
        </w:rPr>
        <w:t>对资金的需要，满足工程施工进度。</w:t>
      </w:r>
    </w:p>
    <w:p w14:paraId="192C40F0">
      <w:pPr>
        <w:pStyle w:val="2"/>
        <w:spacing w:before="5" w:line="296" w:lineRule="auto"/>
        <w:ind w:left="1455" w:right="1336" w:firstLine="432"/>
        <w:rPr>
          <w:sz w:val="24"/>
          <w:szCs w:val="24"/>
        </w:rPr>
      </w:pPr>
      <w:r>
        <w:rPr>
          <w:spacing w:val="-21"/>
          <w:sz w:val="24"/>
          <w:szCs w:val="24"/>
        </w:rPr>
        <w:t>2.5、施工工艺、施工方法保证：一旦本公司</w:t>
      </w:r>
      <w:r>
        <w:rPr>
          <w:spacing w:val="-22"/>
          <w:sz w:val="24"/>
          <w:szCs w:val="24"/>
        </w:rPr>
        <w:t>中标，将及时按招标文件要求编制现场施工详</w:t>
      </w:r>
      <w:r>
        <w:rPr>
          <w:spacing w:val="-20"/>
          <w:sz w:val="24"/>
          <w:szCs w:val="24"/>
        </w:rPr>
        <w:t>细进度计划，报监理工程师审批。对工程的重点、难点和控制工期的工序，应用网络技术，认真研究，抓住关键线路，对施工重点优先安排，增加设备、人力、物力、财力的投入，确保分</w:t>
      </w:r>
      <w:r>
        <w:rPr>
          <w:spacing w:val="-23"/>
          <w:sz w:val="24"/>
          <w:szCs w:val="24"/>
        </w:rPr>
        <w:t>项分部工程按期完成。使施工计划做到日保周，周保月，月保阶段目标，以阶段目</w:t>
      </w:r>
      <w:r>
        <w:rPr>
          <w:spacing w:val="-24"/>
          <w:sz w:val="24"/>
          <w:szCs w:val="24"/>
        </w:rPr>
        <w:t>标保总工期。</w:t>
      </w:r>
      <w:r>
        <w:rPr>
          <w:spacing w:val="-19"/>
          <w:sz w:val="24"/>
          <w:szCs w:val="24"/>
        </w:rPr>
        <w:t>同时，在保证质量、安全的前提下，充分利用现场已具备的施工条</w:t>
      </w:r>
      <w:r>
        <w:rPr>
          <w:spacing w:val="-20"/>
          <w:sz w:val="24"/>
          <w:szCs w:val="24"/>
        </w:rPr>
        <w:t>件，努力开辟多个工作面，促进各分项工程交叉进行，互相推动，充分发挥大流水线作业的优势，确保整体施工进度的快速推进。尽可能控制作业循环时间，合理安排作业层次，减少冬季不利因素对施工的影响，利用有利时机加快施工进度。</w:t>
      </w:r>
    </w:p>
    <w:p w14:paraId="4176225D">
      <w:pPr>
        <w:pStyle w:val="2"/>
        <w:spacing w:before="114" w:line="290" w:lineRule="auto"/>
        <w:ind w:left="1457" w:right="1412" w:firstLine="431"/>
        <w:rPr>
          <w:sz w:val="24"/>
          <w:szCs w:val="24"/>
        </w:rPr>
      </w:pPr>
      <w:r>
        <w:rPr>
          <w:spacing w:val="-21"/>
          <w:sz w:val="24"/>
          <w:szCs w:val="24"/>
        </w:rPr>
        <w:t>2.6、技术保证措施：随着施工情况的不断变化</w:t>
      </w:r>
      <w:r>
        <w:rPr>
          <w:spacing w:val="-22"/>
          <w:sz w:val="24"/>
          <w:szCs w:val="24"/>
        </w:rPr>
        <w:t>，及时分析控制工期的关键线路，合理调剂</w:t>
      </w:r>
      <w:r>
        <w:rPr>
          <w:spacing w:val="-20"/>
          <w:sz w:val="24"/>
          <w:szCs w:val="24"/>
        </w:rPr>
        <w:t>人力、物力、财力和机械配置，使施工进度紧跟计划。加强调度统计工作，减少各道工序间的衔接时间，充分利用各个工作面，避免出现窝工现象。协调好各部门的工作，加强协作配合，为现场施工提供有力的经济技术保障。理顺上下关系，对施工现场的需求和需解决的问题及时</w:t>
      </w:r>
      <w:r>
        <w:rPr>
          <w:spacing w:val="-21"/>
          <w:sz w:val="24"/>
          <w:szCs w:val="24"/>
        </w:rPr>
        <w:t>反映、及时解决，避免影响施工进度。解决好冬、雨季</w:t>
      </w:r>
      <w:r>
        <w:rPr>
          <w:spacing w:val="-22"/>
          <w:sz w:val="24"/>
          <w:szCs w:val="24"/>
        </w:rPr>
        <w:t>施工问题，合理安排施工生产。</w:t>
      </w:r>
    </w:p>
    <w:p w14:paraId="0E5F500C">
      <w:pPr>
        <w:pStyle w:val="2"/>
        <w:spacing w:before="116" w:line="277" w:lineRule="auto"/>
        <w:ind w:left="1458" w:right="1411" w:firstLine="430"/>
        <w:rPr>
          <w:sz w:val="24"/>
          <w:szCs w:val="24"/>
        </w:rPr>
      </w:pPr>
      <w:r>
        <w:rPr>
          <w:spacing w:val="-21"/>
          <w:sz w:val="24"/>
          <w:szCs w:val="24"/>
        </w:rPr>
        <w:t>2.7、搞好对外关系，确保施工生产顺利进行：</w:t>
      </w:r>
      <w:r>
        <w:rPr>
          <w:spacing w:val="-22"/>
          <w:sz w:val="24"/>
          <w:szCs w:val="24"/>
        </w:rPr>
        <w:t>施工对外涉及面广，处理好方方面面的关系</w:t>
      </w:r>
      <w:r>
        <w:rPr>
          <w:spacing w:val="-20"/>
          <w:sz w:val="24"/>
          <w:szCs w:val="24"/>
        </w:rPr>
        <w:t>对工程建设的顺利进行至关重要。因此，在施工中切实理顺与业主、监理、地方政府的工作关</w:t>
      </w:r>
      <w:r>
        <w:rPr>
          <w:spacing w:val="-21"/>
          <w:sz w:val="24"/>
          <w:szCs w:val="24"/>
        </w:rPr>
        <w:t>系，对保证工期起着重要的作用。</w:t>
      </w:r>
    </w:p>
    <w:p w14:paraId="210E14A3">
      <w:pPr>
        <w:pStyle w:val="2"/>
        <w:spacing w:before="120" w:line="262" w:lineRule="auto"/>
        <w:ind w:left="1462" w:right="1414" w:firstLine="426"/>
        <w:rPr>
          <w:sz w:val="24"/>
          <w:szCs w:val="24"/>
        </w:rPr>
      </w:pPr>
      <w:r>
        <w:rPr>
          <w:spacing w:val="-21"/>
          <w:sz w:val="24"/>
          <w:szCs w:val="24"/>
        </w:rPr>
        <w:t>2.8、安全措施完善：安全措施完善，也是</w:t>
      </w:r>
      <w:r>
        <w:rPr>
          <w:spacing w:val="-22"/>
          <w:sz w:val="24"/>
          <w:szCs w:val="24"/>
        </w:rPr>
        <w:t>进度保证措施之一，由于施工机械设备多，不安</w:t>
      </w:r>
      <w:r>
        <w:rPr>
          <w:spacing w:val="-21"/>
          <w:sz w:val="24"/>
          <w:szCs w:val="24"/>
        </w:rPr>
        <w:t>全因素较多，要着重控制运输中人的不安全</w:t>
      </w:r>
      <w:r>
        <w:rPr>
          <w:spacing w:val="-22"/>
          <w:sz w:val="24"/>
          <w:szCs w:val="24"/>
        </w:rPr>
        <w:t>因素，运输车辆、电源等物的不安全因素。</w:t>
      </w:r>
    </w:p>
    <w:p w14:paraId="0176B9EA">
      <w:pPr>
        <w:pStyle w:val="2"/>
        <w:spacing w:before="119" w:line="263" w:lineRule="auto"/>
        <w:ind w:left="1456" w:right="1409" w:firstLine="432"/>
        <w:rPr>
          <w:sz w:val="24"/>
          <w:szCs w:val="24"/>
        </w:rPr>
      </w:pPr>
      <w:r>
        <w:rPr>
          <w:spacing w:val="-21"/>
          <w:sz w:val="24"/>
          <w:szCs w:val="24"/>
        </w:rPr>
        <w:t>2.9、采用内部合同措施：采用内部合同措施，签订</w:t>
      </w:r>
      <w:r>
        <w:rPr>
          <w:spacing w:val="-22"/>
          <w:sz w:val="24"/>
          <w:szCs w:val="24"/>
        </w:rPr>
        <w:t>项目工程责任书，制定进度工期的奖惩</w:t>
      </w:r>
      <w:r>
        <w:rPr>
          <w:spacing w:val="-20"/>
          <w:sz w:val="24"/>
          <w:szCs w:val="24"/>
        </w:rPr>
        <w:t>措施，每月兑现，奖惩分明。</w:t>
      </w:r>
    </w:p>
    <w:p w14:paraId="151A51AD">
      <w:pPr>
        <w:pStyle w:val="2"/>
        <w:spacing w:before="117" w:line="217" w:lineRule="auto"/>
        <w:ind w:left="1890"/>
        <w:rPr>
          <w:sz w:val="24"/>
          <w:szCs w:val="24"/>
        </w:rPr>
      </w:pPr>
      <w:r>
        <w:rPr>
          <w:spacing w:val="-19"/>
          <w:sz w:val="24"/>
          <w:szCs w:val="24"/>
        </w:rPr>
        <w:t>3、节日期间施工进度保障措施</w:t>
      </w:r>
    </w:p>
    <w:p w14:paraId="242EB788">
      <w:pPr>
        <w:pStyle w:val="2"/>
        <w:spacing w:before="118" w:line="278" w:lineRule="auto"/>
        <w:ind w:left="1462" w:right="1414" w:firstLine="428"/>
        <w:rPr>
          <w:sz w:val="24"/>
          <w:szCs w:val="24"/>
        </w:rPr>
      </w:pPr>
      <w:r>
        <w:rPr>
          <w:spacing w:val="-22"/>
          <w:sz w:val="24"/>
          <w:szCs w:val="24"/>
        </w:rPr>
        <w:t>3.1、春节等节日是我国人民的传统节日，许多职工要回家度假。节日期间缺少劳动力，施</w:t>
      </w:r>
      <w:r>
        <w:rPr>
          <w:spacing w:val="-20"/>
          <w:sz w:val="24"/>
          <w:szCs w:val="24"/>
        </w:rPr>
        <w:t>工进度必然会受到影响。本单位根据本工程施工特点，节日期间采取轮休制，保证工地仍能正</w:t>
      </w:r>
      <w:r>
        <w:rPr>
          <w:spacing w:val="-17"/>
          <w:sz w:val="24"/>
          <w:szCs w:val="24"/>
        </w:rPr>
        <w:t>常施工。</w:t>
      </w:r>
    </w:p>
    <w:p w14:paraId="14246394">
      <w:pPr>
        <w:pStyle w:val="2"/>
        <w:spacing w:before="116" w:line="278" w:lineRule="auto"/>
        <w:ind w:left="1455" w:right="1412" w:firstLine="434"/>
        <w:rPr>
          <w:sz w:val="24"/>
          <w:szCs w:val="24"/>
        </w:rPr>
      </w:pPr>
      <w:r>
        <w:rPr>
          <w:spacing w:val="-21"/>
          <w:sz w:val="24"/>
          <w:szCs w:val="24"/>
        </w:rPr>
        <w:t>3.2、在施工进度计划安排上，充分考虑</w:t>
      </w:r>
      <w:r>
        <w:rPr>
          <w:spacing w:val="-22"/>
          <w:sz w:val="24"/>
          <w:szCs w:val="24"/>
        </w:rPr>
        <w:t>节日的影响因素，在节日之前尽可能加大各种资源</w:t>
      </w:r>
      <w:r>
        <w:rPr>
          <w:spacing w:val="-20"/>
          <w:sz w:val="24"/>
          <w:szCs w:val="24"/>
        </w:rPr>
        <w:t>投入力度，加快施工进度，特别是影响总工期的关键工序，尽可能将施工进度提前，以备节日</w:t>
      </w:r>
      <w:r>
        <w:rPr>
          <w:spacing w:val="-21"/>
          <w:sz w:val="24"/>
          <w:szCs w:val="24"/>
        </w:rPr>
        <w:t>时进度放慢后，总工期不受到影响。</w:t>
      </w:r>
    </w:p>
    <w:p w14:paraId="3E31D500">
      <w:pPr>
        <w:pStyle w:val="2"/>
        <w:spacing w:before="116" w:line="262" w:lineRule="auto"/>
        <w:ind w:left="1458" w:right="1411" w:firstLine="432"/>
        <w:rPr>
          <w:sz w:val="24"/>
          <w:szCs w:val="24"/>
        </w:rPr>
      </w:pPr>
      <w:r>
        <w:rPr>
          <w:spacing w:val="-21"/>
          <w:sz w:val="24"/>
          <w:szCs w:val="24"/>
        </w:rPr>
        <w:t>3.3、在工序安排上，节日期间尽可能少安</w:t>
      </w:r>
      <w:r>
        <w:rPr>
          <w:spacing w:val="-22"/>
          <w:sz w:val="24"/>
          <w:szCs w:val="24"/>
        </w:rPr>
        <w:t>排使用劳动力较多的施工项目，充分发挥施工机</w:t>
      </w:r>
      <w:r>
        <w:rPr>
          <w:spacing w:val="-21"/>
          <w:sz w:val="24"/>
          <w:szCs w:val="24"/>
        </w:rPr>
        <w:t>械设备的作用，以机械化施工为主，减少节日期间劳动力</w:t>
      </w:r>
      <w:r>
        <w:rPr>
          <w:spacing w:val="-22"/>
          <w:sz w:val="24"/>
          <w:szCs w:val="24"/>
        </w:rPr>
        <w:t>不足的缺陷。</w:t>
      </w:r>
    </w:p>
    <w:p w14:paraId="18E99349">
      <w:pPr>
        <w:pStyle w:val="2"/>
        <w:spacing w:before="119" w:line="262" w:lineRule="auto"/>
        <w:ind w:left="1458" w:right="1411" w:firstLine="432"/>
        <w:rPr>
          <w:sz w:val="24"/>
          <w:szCs w:val="24"/>
        </w:rPr>
      </w:pPr>
      <w:r>
        <w:rPr>
          <w:spacing w:val="-21"/>
          <w:sz w:val="24"/>
          <w:szCs w:val="24"/>
        </w:rPr>
        <w:t>3.4、节日过后及时组织劳动力进场施工，</w:t>
      </w:r>
      <w:r>
        <w:rPr>
          <w:spacing w:val="-22"/>
          <w:sz w:val="24"/>
          <w:szCs w:val="24"/>
        </w:rPr>
        <w:t>将节日期间耽误的工期赶回来，确保工程按期或</w:t>
      </w:r>
      <w:r>
        <w:rPr>
          <w:spacing w:val="-17"/>
          <w:sz w:val="24"/>
          <w:szCs w:val="24"/>
        </w:rPr>
        <w:t>提前完成。</w:t>
      </w:r>
    </w:p>
    <w:p w14:paraId="75F1EEBF">
      <w:pPr>
        <w:pStyle w:val="2"/>
        <w:spacing w:before="83" w:line="219" w:lineRule="auto"/>
        <w:ind w:left="1985"/>
        <w:outlineLvl w:val="2"/>
        <w:rPr>
          <w:sz w:val="28"/>
          <w:szCs w:val="28"/>
        </w:rPr>
      </w:pPr>
      <w:bookmarkStart w:id="180" w:name="bookmark172"/>
      <w:bookmarkEnd w:id="180"/>
      <w:r>
        <w:rPr>
          <w:b/>
          <w:bCs/>
          <w:spacing w:val="-23"/>
          <w:sz w:val="28"/>
          <w:szCs w:val="28"/>
        </w:rPr>
        <w:t>三、施工过程中进度计划实施管理</w:t>
      </w:r>
    </w:p>
    <w:p w14:paraId="6E61187A">
      <w:pPr>
        <w:pStyle w:val="2"/>
        <w:spacing w:before="105" w:line="306" w:lineRule="auto"/>
        <w:ind w:left="1458" w:right="1410" w:firstLine="436"/>
        <w:rPr>
          <w:sz w:val="24"/>
          <w:szCs w:val="24"/>
        </w:rPr>
      </w:pPr>
      <w:r>
        <w:rPr>
          <w:spacing w:val="-20"/>
          <w:sz w:val="24"/>
          <w:szCs w:val="24"/>
        </w:rPr>
        <w:t>在项目进度管理中，制定出一个科学、合理的项目进度计划，只是为项目进度的科学管理</w:t>
      </w:r>
      <w:r>
        <w:rPr>
          <w:spacing w:val="-21"/>
          <w:sz w:val="24"/>
          <w:szCs w:val="24"/>
        </w:rPr>
        <w:t>提供了可靠的前提和依据，但并不等于项目进度的管理就不再存在问题。在项目实施过程中，</w:t>
      </w:r>
    </w:p>
    <w:p w14:paraId="5CF973F2">
      <w:pPr>
        <w:spacing w:line="306" w:lineRule="auto"/>
        <w:rPr>
          <w:sz w:val="24"/>
          <w:szCs w:val="24"/>
        </w:rPr>
        <w:sectPr>
          <w:footerReference r:id="rId251" w:type="default"/>
          <w:pgSz w:w="11907" w:h="16839"/>
          <w:pgMar w:top="933" w:right="4" w:bottom="1038" w:left="0" w:header="478" w:footer="357" w:gutter="0"/>
          <w:pgBorders>
            <w:top w:val="none" w:sz="0" w:space="0"/>
            <w:left w:val="none" w:sz="0" w:space="0"/>
            <w:bottom w:val="none" w:sz="0" w:space="0"/>
            <w:right w:val="none" w:sz="0" w:space="0"/>
          </w:pgBorders>
          <w:cols w:space="720" w:num="1"/>
        </w:sectPr>
      </w:pPr>
    </w:p>
    <w:p w14:paraId="06F3B104">
      <w:pPr>
        <w:spacing w:line="270" w:lineRule="auto"/>
        <w:rPr>
          <w:rFonts w:ascii="Arial"/>
          <w:sz w:val="21"/>
        </w:rPr>
      </w:pPr>
    </w:p>
    <w:p w14:paraId="0406C59B">
      <w:pPr>
        <w:pStyle w:val="2"/>
        <w:spacing w:before="78" w:line="308" w:lineRule="auto"/>
        <w:ind w:left="1457" w:right="1415" w:firstLine="30"/>
        <w:jc w:val="both"/>
        <w:rPr>
          <w:sz w:val="24"/>
          <w:szCs w:val="24"/>
        </w:rPr>
      </w:pPr>
      <w:r>
        <w:rPr>
          <w:spacing w:val="-20"/>
          <w:sz w:val="24"/>
          <w:szCs w:val="24"/>
        </w:rPr>
        <w:t>由于外部环境和条件的变化，往往会造成实</w:t>
      </w:r>
      <w:r>
        <w:rPr>
          <w:spacing w:val="-21"/>
          <w:sz w:val="24"/>
          <w:szCs w:val="24"/>
        </w:rPr>
        <w:t>际进度与计划进度发生偏差，如不能及时发现这些</w:t>
      </w:r>
      <w:r>
        <w:rPr>
          <w:spacing w:val="-20"/>
          <w:sz w:val="24"/>
          <w:szCs w:val="24"/>
        </w:rPr>
        <w:t>偏差并加以纠正，项目进度管理目标的实现就一定会受到影响。所以，必须实行项目进度计划</w:t>
      </w:r>
      <w:r>
        <w:rPr>
          <w:spacing w:val="-19"/>
          <w:sz w:val="24"/>
          <w:szCs w:val="24"/>
        </w:rPr>
        <w:t>控制。</w:t>
      </w:r>
    </w:p>
    <w:p w14:paraId="670A2FAE">
      <w:pPr>
        <w:pStyle w:val="2"/>
        <w:spacing w:before="4" w:line="307" w:lineRule="auto"/>
        <w:ind w:left="1455" w:right="1342" w:firstLine="438"/>
        <w:jc w:val="both"/>
        <w:rPr>
          <w:sz w:val="24"/>
          <w:szCs w:val="24"/>
        </w:rPr>
      </w:pPr>
      <w:r>
        <w:rPr>
          <w:spacing w:val="-20"/>
          <w:sz w:val="24"/>
          <w:szCs w:val="24"/>
        </w:rPr>
        <w:t>项目进度计划控制的方法是以项目进度计划为依据，在实施过程中对实施情况不断进行跟踪检查，收集有关实际进度的信息，比较和分析实际进度与计划进度的偏差，找出偏差产生的</w:t>
      </w:r>
      <w:r>
        <w:rPr>
          <w:spacing w:val="-23"/>
          <w:sz w:val="24"/>
          <w:szCs w:val="24"/>
        </w:rPr>
        <w:t>原因和解决办法，确定调整措施，对原进度计划进行修改后再予以实施</w:t>
      </w:r>
      <w:r>
        <w:rPr>
          <w:spacing w:val="-24"/>
          <w:sz w:val="24"/>
          <w:szCs w:val="24"/>
        </w:rPr>
        <w:t>。随后继续检查、分析、</w:t>
      </w:r>
      <w:r>
        <w:rPr>
          <w:spacing w:val="-21"/>
          <w:sz w:val="24"/>
          <w:szCs w:val="24"/>
        </w:rPr>
        <w:t>修正；再检查、分析、修正直至项目最终完成。</w:t>
      </w:r>
    </w:p>
    <w:p w14:paraId="180445B7">
      <w:pPr>
        <w:pStyle w:val="2"/>
        <w:spacing w:before="7" w:line="307" w:lineRule="auto"/>
        <w:ind w:left="1456" w:right="1410" w:firstLine="438"/>
        <w:jc w:val="both"/>
        <w:rPr>
          <w:sz w:val="24"/>
          <w:szCs w:val="24"/>
        </w:rPr>
      </w:pPr>
      <w:r>
        <w:rPr>
          <w:spacing w:val="-20"/>
          <w:sz w:val="24"/>
          <w:szCs w:val="24"/>
        </w:rPr>
        <w:t>在项目执行和控制过程中，要对项目进度进行跟踪，对项目进度其实有两种不同的表示方法，一种是纯粹的时间表示，对照计划中的时间进度来检查是否在规定的时间内完成了计划的任务，另一种是以工作量来表示的，在计划中对整个项目的工作内容预先做出估算，在跟踪实际进度时看实际的工作量完成情况，而不是单纯看时间，即使某些项目活动有拖延，但如果实际完成的工作量不少于计划的工作量，那么也认为是正常的。在项目进度管理中，往往这两种方法是配合使用的，同时跟踪时间进度和工作量进度这两项指标，所以才有了“时间过半、任务过半”的说法。在掌握了实际进度及其与计划进度的偏差情况后，就可以对项目将来的实际</w:t>
      </w:r>
      <w:r>
        <w:rPr>
          <w:spacing w:val="-19"/>
          <w:sz w:val="24"/>
          <w:szCs w:val="24"/>
        </w:rPr>
        <w:t>完成时间做出预测。</w:t>
      </w:r>
    </w:p>
    <w:p w14:paraId="130E236D">
      <w:pPr>
        <w:pStyle w:val="2"/>
        <w:spacing w:before="1" w:line="215" w:lineRule="auto"/>
        <w:ind w:left="1903"/>
        <w:rPr>
          <w:sz w:val="24"/>
          <w:szCs w:val="24"/>
        </w:rPr>
      </w:pPr>
      <w:r>
        <w:rPr>
          <w:spacing w:val="-20"/>
          <w:sz w:val="24"/>
          <w:szCs w:val="24"/>
        </w:rPr>
        <w:t>1、施工准备工作计划表</w:t>
      </w:r>
    </w:p>
    <w:p w14:paraId="63BDCCBF">
      <w:pPr>
        <w:pStyle w:val="2"/>
        <w:spacing w:before="120" w:line="263" w:lineRule="auto"/>
        <w:ind w:left="1892" w:right="1358"/>
        <w:rPr>
          <w:sz w:val="24"/>
          <w:szCs w:val="24"/>
        </w:rPr>
      </w:pPr>
      <w:r>
        <w:pict>
          <v:shape id="_x0000_s3671" o:spid="_x0000_s3671" style="position:absolute;left:0pt;margin-left:370.25pt;margin-top:41.6pt;height:0.75pt;width:2.2pt;z-index:252166144;mso-width-relative:page;mso-height-relative:page;" fillcolor="#1C456A" filled="t" stroked="f" coordsize="44,15" path="m0,14l43,14,43,0,0,0,0,14xe">
            <v:path/>
            <v:fill on="t" focussize="0,0"/>
            <v:stroke on="f"/>
            <v:imagedata o:title=""/>
            <o:lock v:ext="edit"/>
          </v:shape>
        </w:pict>
      </w:r>
      <w:r>
        <w:rPr>
          <w:spacing w:val="-24"/>
          <w:sz w:val="24"/>
          <w:szCs w:val="24"/>
        </w:rPr>
        <w:t>做好施工准备工作计划是顺利实施项目的前提和基础。施工施工准备工作计划如下表所示：</w:t>
      </w:r>
      <w:r>
        <w:rPr>
          <w:spacing w:val="-19"/>
          <w:sz w:val="24"/>
          <w:szCs w:val="24"/>
        </w:rPr>
        <w:t>施工准备工作计划表</w:t>
      </w:r>
    </w:p>
    <w:tbl>
      <w:tblPr>
        <w:tblStyle w:val="6"/>
        <w:tblW w:w="8825" w:type="dxa"/>
        <w:tblInd w:w="154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65"/>
        <w:gridCol w:w="477"/>
        <w:gridCol w:w="3034"/>
        <w:gridCol w:w="2192"/>
        <w:gridCol w:w="529"/>
        <w:gridCol w:w="2197"/>
        <w:gridCol w:w="231"/>
      </w:tblGrid>
      <w:tr w14:paraId="7EECA5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1" w:hRule="atLeast"/>
        </w:trPr>
        <w:tc>
          <w:tcPr>
            <w:tcW w:w="642" w:type="dxa"/>
            <w:gridSpan w:val="2"/>
            <w:tcBorders>
              <w:top w:val="single" w:color="000000" w:sz="4" w:space="0"/>
              <w:left w:val="single" w:color="000000" w:sz="4" w:space="0"/>
            </w:tcBorders>
            <w:vAlign w:val="top"/>
          </w:tcPr>
          <w:p w14:paraId="2BE3C118">
            <w:pPr>
              <w:spacing w:before="33" w:line="60" w:lineRule="exact"/>
              <w:ind w:firstLine="33"/>
            </w:pPr>
            <w:r>
              <w:pict>
                <v:shape id="_x0000_s3672" o:spid="_x0000_s3672" style="position:absolute;left:0pt;margin-left:-0.2pt;margin-top:0pt;height:0.75pt;width:2.2pt;mso-position-horizontal-relative:page;mso-position-vertical-relative:page;z-index:252169216;mso-width-relative:page;mso-height-relative:page;" fillcolor="#5B9BD5" filled="t" stroked="f" coordsize="44,15" path="m0,14l43,14,43,0,0,0,0,14xe">
                  <v:path/>
                  <v:fill on="t" focussize="0,0"/>
                  <v:stroke on="f"/>
                  <v:imagedata o:title=""/>
                  <o:lock v:ext="edit"/>
                </v:shape>
              </w:pict>
            </w:r>
            <w:r>
              <w:rPr>
                <w:position w:val="-1"/>
              </w:rPr>
              <w:pict>
                <v:shape id="_x0000_s3673" o:spid="_x0000_s3673" style="height:3pt;width:29.65pt;" fillcolor="#DEEAF6" filled="t" stroked="f" coordsize="592,60" path="m0,60l592,60,592,0,0,0,0,60xe">
                  <v:path/>
                  <v:fill on="t" focussize="0,0"/>
                  <v:stroke on="f"/>
                  <v:imagedata o:title=""/>
                  <o:lock v:ext="edit"/>
                  <w10:wrap type="none"/>
                  <w10:anchorlock/>
                </v:shape>
              </w:pict>
            </w:r>
          </w:p>
          <w:p w14:paraId="0CECDF7C">
            <w:pPr>
              <w:pStyle w:val="7"/>
              <w:spacing w:before="36" w:line="218" w:lineRule="auto"/>
              <w:ind w:left="118"/>
            </w:pPr>
            <w:r>
              <w:pict>
                <v:shape id="_x0000_s3674" o:spid="_x0000_s3674" style="position:absolute;left:0pt;margin-left:0.55pt;margin-top:-2.85pt;height:29.1pt;width:31pt;z-index:-251151360;mso-width-relative:page;mso-height-relative:page;" fillcolor="#DEEAF6" filled="t" stroked="f" coordsize="620,582" path="m21,581l614,581,614,0,21,0,21,581xem57,523l561,523,561,57,57,57,57,523xem0,581l619,581,619,523,0,523,0,581xe">
                  <v:path/>
                  <v:fill on="t" focussize="0,0"/>
                  <v:stroke on="f"/>
                  <v:imagedata o:title=""/>
                  <o:lock v:ext="edit"/>
                </v:shape>
              </w:pict>
            </w:r>
            <w:r>
              <w:rPr>
                <w:b/>
                <w:bCs/>
                <w:spacing w:val="-12"/>
              </w:rPr>
              <w:t>序号</w:t>
            </w:r>
          </w:p>
        </w:tc>
        <w:tc>
          <w:tcPr>
            <w:tcW w:w="3034" w:type="dxa"/>
            <w:tcBorders>
              <w:top w:val="single" w:color="000000" w:sz="4" w:space="0"/>
            </w:tcBorders>
            <w:shd w:val="clear" w:color="auto" w:fill="DEEAF6"/>
            <w:vAlign w:val="top"/>
          </w:tcPr>
          <w:p w14:paraId="4345448B">
            <w:pPr>
              <w:spacing w:line="33" w:lineRule="exact"/>
              <w:ind w:firstLine="3023"/>
            </w:pPr>
            <w:r>
              <w:pict>
                <v:group id="_x0000_s3675" o:spid="_x0000_s3675" o:spt="203" style="height:2.2pt;width:2.2pt;" coordsize="44,44">
                  <o:lock v:ext="edit"/>
                  <v:shape id="_x0000_s3676" o:spid="_x0000_s3676" style="position:absolute;left:0;top:0;height:15;width:44;" fillcolor="#5B9BD5" filled="t" stroked="f" coordsize="44,15" path="m0,14l43,14,43,0,0,0,0,14xe">
                    <v:path/>
                    <v:fill on="t" focussize="0,0"/>
                    <v:stroke on="f"/>
                    <v:imagedata o:title=""/>
                    <o:lock v:ext="edit"/>
                  </v:shape>
                  <v:shape id="_x0000_s3677" o:spid="_x0000_s3677" style="position:absolute;left:0;top:14;height:15;width:44;" fillcolor="#20507B" filled="t" stroked="f" coordsize="44,15" path="m0,14l43,14,43,0,0,0,0,14xe">
                    <v:path/>
                    <v:fill on="t" focussize="0,0"/>
                    <v:stroke on="f"/>
                    <v:imagedata o:title=""/>
                    <o:lock v:ext="edit"/>
                  </v:shape>
                  <v:shape id="_x0000_s3678" o:spid="_x0000_s3678" style="position:absolute;left:0;top:28;height:15;width:44;" fillcolor="#1C456A" filled="t" stroked="f" coordsize="44,15" path="m0,14l43,14,43,0,0,0,0,14xe">
                    <v:path/>
                    <v:fill on="t" focussize="0,0"/>
                    <v:stroke on="f"/>
                    <v:imagedata o:title=""/>
                    <o:lock v:ext="edit"/>
                  </v:shape>
                  <w10:wrap type="none"/>
                  <w10:anchorlock/>
                </v:group>
              </w:pict>
            </w:r>
          </w:p>
          <w:p w14:paraId="61DF4D54">
            <w:pPr>
              <w:pStyle w:val="7"/>
              <w:spacing w:before="96" w:line="216" w:lineRule="auto"/>
              <w:ind w:left="649"/>
            </w:pPr>
            <w:r>
              <w:rPr>
                <w:b/>
                <w:bCs/>
                <w:spacing w:val="-21"/>
              </w:rPr>
              <w:t>施工准备工作内容</w:t>
            </w:r>
          </w:p>
        </w:tc>
        <w:tc>
          <w:tcPr>
            <w:tcW w:w="2192" w:type="dxa"/>
            <w:tcBorders>
              <w:top w:val="single" w:color="000000" w:sz="4" w:space="0"/>
            </w:tcBorders>
            <w:shd w:val="clear" w:color="auto" w:fill="DEEAF6"/>
            <w:vAlign w:val="top"/>
          </w:tcPr>
          <w:p w14:paraId="46175D44">
            <w:pPr>
              <w:pStyle w:val="7"/>
              <w:spacing w:before="128" w:line="220" w:lineRule="auto"/>
              <w:ind w:left="786"/>
            </w:pPr>
            <w:r>
              <w:rPr>
                <w:b/>
                <w:bCs/>
                <w:spacing w:val="-18"/>
              </w:rPr>
              <w:t>负责人</w:t>
            </w:r>
          </w:p>
        </w:tc>
        <w:tc>
          <w:tcPr>
            <w:tcW w:w="529" w:type="dxa"/>
            <w:tcBorders>
              <w:top w:val="single" w:color="5B9BD5" w:sz="4" w:space="0"/>
              <w:right w:val="nil"/>
            </w:tcBorders>
            <w:shd w:val="clear" w:color="auto" w:fill="DEEAF6"/>
            <w:vAlign w:val="top"/>
          </w:tcPr>
          <w:p w14:paraId="193E0ECD">
            <w:pPr>
              <w:spacing w:line="18" w:lineRule="exact"/>
            </w:pPr>
            <w:r>
              <w:pict>
                <v:group id="_x0000_s3679" o:spid="_x0000_s3679" o:spt="203" style="height:1.45pt;width:2.2pt;" coordsize="44,29">
                  <o:lock v:ext="edit"/>
                  <v:shape id="_x0000_s3680" o:spid="_x0000_s3680" style="position:absolute;left:0;top:0;height:15;width:44;" fillcolor="#5B9BD5" filled="t" stroked="f" coordsize="44,15" path="m0,14l43,14,43,0,0,0,0,14xe">
                    <v:path/>
                    <v:fill on="t" focussize="0,0"/>
                    <v:stroke on="f"/>
                    <v:imagedata o:title=""/>
                    <o:lock v:ext="edit"/>
                  </v:shape>
                  <v:shape id="_x0000_s3681" o:spid="_x0000_s3681" style="position:absolute;left:0;top:14;height:15;width:44;" fillcolor="#20507B" filled="t" stroked="f" coordsize="44,15" path="m0,14l43,14,43,0,0,0,0,14xe">
                    <v:path/>
                    <v:fill on="t" focussize="0,0"/>
                    <v:stroke on="f"/>
                    <v:imagedata o:title=""/>
                    <o:lock v:ext="edit"/>
                  </v:shape>
                  <w10:wrap type="none"/>
                  <w10:anchorlock/>
                </v:group>
              </w:pict>
            </w:r>
          </w:p>
        </w:tc>
        <w:tc>
          <w:tcPr>
            <w:tcW w:w="2197" w:type="dxa"/>
            <w:tcBorders>
              <w:top w:val="single" w:color="5B9BD5" w:sz="4" w:space="0"/>
              <w:left w:val="nil"/>
              <w:right w:val="nil"/>
            </w:tcBorders>
            <w:shd w:val="clear" w:color="auto" w:fill="DEEAF6"/>
            <w:vAlign w:val="top"/>
          </w:tcPr>
          <w:p w14:paraId="763A0B95">
            <w:pPr>
              <w:pStyle w:val="7"/>
              <w:spacing w:before="129" w:line="218" w:lineRule="auto"/>
              <w:ind w:left="536"/>
            </w:pPr>
            <w:r>
              <w:rPr>
                <w:b/>
                <w:bCs/>
                <w:spacing w:val="-22"/>
              </w:rPr>
              <w:t>时间安排</w:t>
            </w:r>
          </w:p>
        </w:tc>
        <w:tc>
          <w:tcPr>
            <w:tcW w:w="231" w:type="dxa"/>
            <w:tcBorders>
              <w:top w:val="single" w:color="5B9BD5" w:sz="4" w:space="0"/>
              <w:left w:val="nil"/>
              <w:right w:val="single" w:color="5B9BD5" w:sz="4" w:space="0"/>
            </w:tcBorders>
            <w:shd w:val="clear" w:color="auto" w:fill="DEEAF6"/>
            <w:vAlign w:val="top"/>
          </w:tcPr>
          <w:p w14:paraId="46B8D857">
            <w:pPr>
              <w:rPr>
                <w:rFonts w:ascii="Arial"/>
                <w:sz w:val="21"/>
              </w:rPr>
            </w:pPr>
            <w:r>
              <w:pict>
                <v:shape id="_x0000_s3682" o:spid="_x0000_s3682" style="position:absolute;left:0pt;margin-left:9.7pt;margin-top:0pt;height:0.75pt;width:2.2pt;mso-position-horizontal-relative:page;mso-position-vertical-relative:page;z-index:252168192;mso-width-relative:page;mso-height-relative:page;" fillcolor="#5B9BD5" filled="t" stroked="f" coordsize="44,15" path="m0,14l43,14,43,0,0,0,0,14xe">
                  <v:path/>
                  <v:fill on="t" focussize="0,0"/>
                  <v:stroke on="f"/>
                  <v:imagedata o:title=""/>
                  <o:lock v:ext="edit"/>
                </v:shape>
              </w:pict>
            </w:r>
          </w:p>
        </w:tc>
      </w:tr>
      <w:tr w14:paraId="0CD15F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642" w:type="dxa"/>
            <w:gridSpan w:val="2"/>
            <w:tcBorders>
              <w:left w:val="single" w:color="000000" w:sz="4" w:space="0"/>
            </w:tcBorders>
            <w:vAlign w:val="top"/>
          </w:tcPr>
          <w:p w14:paraId="18211907">
            <w:pPr>
              <w:pStyle w:val="7"/>
              <w:spacing w:before="111" w:line="238" w:lineRule="auto"/>
              <w:ind w:left="294"/>
            </w:pPr>
            <w:r>
              <w:t>1</w:t>
            </w:r>
          </w:p>
        </w:tc>
        <w:tc>
          <w:tcPr>
            <w:tcW w:w="3034" w:type="dxa"/>
            <w:vAlign w:val="top"/>
          </w:tcPr>
          <w:p w14:paraId="6F37DC7D">
            <w:pPr>
              <w:pStyle w:val="7"/>
              <w:spacing w:before="110" w:line="219" w:lineRule="auto"/>
              <w:ind w:left="768"/>
            </w:pPr>
            <w:r>
              <w:rPr>
                <w:spacing w:val="-19"/>
              </w:rPr>
              <w:t>工程合同的签订</w:t>
            </w:r>
          </w:p>
        </w:tc>
        <w:tc>
          <w:tcPr>
            <w:tcW w:w="2192" w:type="dxa"/>
            <w:vAlign w:val="top"/>
          </w:tcPr>
          <w:p w14:paraId="0DCF3461">
            <w:pPr>
              <w:pStyle w:val="7"/>
              <w:spacing w:before="110" w:line="219" w:lineRule="auto"/>
              <w:ind w:left="676"/>
            </w:pPr>
            <w:r>
              <w:rPr>
                <w:spacing w:val="-16"/>
              </w:rPr>
              <w:t>公司经理</w:t>
            </w:r>
          </w:p>
        </w:tc>
        <w:tc>
          <w:tcPr>
            <w:tcW w:w="2957" w:type="dxa"/>
            <w:gridSpan w:val="3"/>
            <w:tcBorders>
              <w:right w:val="single" w:color="000000" w:sz="4" w:space="0"/>
            </w:tcBorders>
            <w:vAlign w:val="top"/>
          </w:tcPr>
          <w:p w14:paraId="3DF13336">
            <w:pPr>
              <w:pStyle w:val="7"/>
              <w:spacing w:before="111" w:line="218" w:lineRule="auto"/>
              <w:ind w:left="396"/>
            </w:pPr>
            <w:r>
              <w:rPr>
                <w:spacing w:val="-20"/>
              </w:rPr>
              <w:t>接到中标通知书之日起</w:t>
            </w:r>
          </w:p>
        </w:tc>
      </w:tr>
      <w:tr w14:paraId="237ED9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642" w:type="dxa"/>
            <w:gridSpan w:val="2"/>
            <w:tcBorders>
              <w:left w:val="single" w:color="000000" w:sz="4" w:space="0"/>
            </w:tcBorders>
            <w:vAlign w:val="top"/>
          </w:tcPr>
          <w:p w14:paraId="2C08FEE6">
            <w:pPr>
              <w:pStyle w:val="7"/>
              <w:spacing w:before="112" w:line="238" w:lineRule="auto"/>
              <w:ind w:left="279"/>
            </w:pPr>
            <w:r>
              <w:t>2</w:t>
            </w:r>
          </w:p>
        </w:tc>
        <w:tc>
          <w:tcPr>
            <w:tcW w:w="3034" w:type="dxa"/>
            <w:vAlign w:val="top"/>
          </w:tcPr>
          <w:p w14:paraId="4AEB6DE5">
            <w:pPr>
              <w:pStyle w:val="7"/>
              <w:spacing w:before="111" w:line="216" w:lineRule="auto"/>
              <w:ind w:left="437"/>
            </w:pPr>
            <w:r>
              <w:rPr>
                <w:spacing w:val="-20"/>
              </w:rPr>
              <w:t>项目机构的组建、运作</w:t>
            </w:r>
          </w:p>
        </w:tc>
        <w:tc>
          <w:tcPr>
            <w:tcW w:w="2192" w:type="dxa"/>
            <w:vAlign w:val="top"/>
          </w:tcPr>
          <w:p w14:paraId="7D9D2DAC">
            <w:pPr>
              <w:pStyle w:val="7"/>
              <w:spacing w:before="111" w:line="219" w:lineRule="auto"/>
              <w:ind w:left="676"/>
            </w:pPr>
            <w:r>
              <w:rPr>
                <w:spacing w:val="-16"/>
              </w:rPr>
              <w:t>公司经理</w:t>
            </w:r>
          </w:p>
        </w:tc>
        <w:tc>
          <w:tcPr>
            <w:tcW w:w="2957" w:type="dxa"/>
            <w:gridSpan w:val="3"/>
            <w:tcBorders>
              <w:right w:val="single" w:color="000000" w:sz="4" w:space="0"/>
            </w:tcBorders>
            <w:vAlign w:val="top"/>
          </w:tcPr>
          <w:p w14:paraId="6A066E79">
            <w:pPr>
              <w:pStyle w:val="7"/>
              <w:spacing w:before="111" w:line="216" w:lineRule="auto"/>
              <w:ind w:left="753"/>
            </w:pPr>
            <w:r>
              <w:rPr>
                <w:spacing w:val="-23"/>
              </w:rPr>
              <w:t>中标后立即运作</w:t>
            </w:r>
          </w:p>
        </w:tc>
      </w:tr>
      <w:tr w14:paraId="700416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642" w:type="dxa"/>
            <w:gridSpan w:val="2"/>
            <w:tcBorders>
              <w:left w:val="single" w:color="000000" w:sz="4" w:space="0"/>
            </w:tcBorders>
            <w:vAlign w:val="top"/>
          </w:tcPr>
          <w:p w14:paraId="07F2B3E8">
            <w:pPr>
              <w:pStyle w:val="7"/>
              <w:spacing w:before="112" w:line="237" w:lineRule="auto"/>
              <w:ind w:left="281"/>
            </w:pPr>
            <w:r>
              <w:t>3</w:t>
            </w:r>
          </w:p>
        </w:tc>
        <w:tc>
          <w:tcPr>
            <w:tcW w:w="3034" w:type="dxa"/>
            <w:vAlign w:val="top"/>
          </w:tcPr>
          <w:p w14:paraId="0C17A502">
            <w:pPr>
              <w:pStyle w:val="7"/>
              <w:spacing w:before="113" w:line="218" w:lineRule="auto"/>
              <w:ind w:left="764"/>
            </w:pPr>
            <w:r>
              <w:rPr>
                <w:spacing w:val="-19"/>
              </w:rPr>
              <w:t>技术、合同交底</w:t>
            </w:r>
          </w:p>
        </w:tc>
        <w:tc>
          <w:tcPr>
            <w:tcW w:w="2192" w:type="dxa"/>
            <w:vAlign w:val="top"/>
          </w:tcPr>
          <w:p w14:paraId="3F024915">
            <w:pPr>
              <w:pStyle w:val="7"/>
              <w:spacing w:before="113" w:line="218" w:lineRule="auto"/>
              <w:ind w:left="240"/>
            </w:pPr>
            <w:r>
              <w:rPr>
                <w:spacing w:val="-20"/>
              </w:rPr>
              <w:t>公司经理、技术科</w:t>
            </w:r>
          </w:p>
        </w:tc>
        <w:tc>
          <w:tcPr>
            <w:tcW w:w="2957" w:type="dxa"/>
            <w:gridSpan w:val="3"/>
            <w:tcBorders>
              <w:right w:val="single" w:color="000000" w:sz="4" w:space="0"/>
            </w:tcBorders>
            <w:vAlign w:val="top"/>
          </w:tcPr>
          <w:p w14:paraId="4C281577">
            <w:pPr>
              <w:pStyle w:val="7"/>
              <w:spacing w:before="113" w:line="218" w:lineRule="auto"/>
              <w:ind w:left="510"/>
            </w:pPr>
            <w:r>
              <w:rPr>
                <w:spacing w:val="-18"/>
              </w:rPr>
              <w:t>合订签订后的3日内</w:t>
            </w:r>
          </w:p>
        </w:tc>
      </w:tr>
      <w:tr w14:paraId="3AA085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642" w:type="dxa"/>
            <w:gridSpan w:val="2"/>
            <w:tcBorders>
              <w:left w:val="single" w:color="000000" w:sz="4" w:space="0"/>
            </w:tcBorders>
            <w:vAlign w:val="top"/>
          </w:tcPr>
          <w:p w14:paraId="1A939C9A">
            <w:pPr>
              <w:pStyle w:val="7"/>
              <w:spacing w:before="114" w:line="238" w:lineRule="auto"/>
              <w:ind w:left="275"/>
            </w:pPr>
            <w:r>
              <w:t>4</w:t>
            </w:r>
          </w:p>
        </w:tc>
        <w:tc>
          <w:tcPr>
            <w:tcW w:w="3034" w:type="dxa"/>
            <w:vAlign w:val="top"/>
          </w:tcPr>
          <w:p w14:paraId="73056878">
            <w:pPr>
              <w:pStyle w:val="7"/>
              <w:spacing w:before="114" w:line="218" w:lineRule="auto"/>
              <w:ind w:left="870"/>
            </w:pPr>
            <w:r>
              <w:rPr>
                <w:spacing w:val="-18"/>
              </w:rPr>
              <w:t>规范规程准备</w:t>
            </w:r>
          </w:p>
        </w:tc>
        <w:tc>
          <w:tcPr>
            <w:tcW w:w="2192" w:type="dxa"/>
            <w:vAlign w:val="top"/>
          </w:tcPr>
          <w:p w14:paraId="07054023">
            <w:pPr>
              <w:pStyle w:val="7"/>
              <w:spacing w:before="114" w:line="218" w:lineRule="auto"/>
              <w:ind w:left="781"/>
            </w:pPr>
            <w:r>
              <w:rPr>
                <w:spacing w:val="-13"/>
              </w:rPr>
              <w:t>技术科</w:t>
            </w:r>
          </w:p>
        </w:tc>
        <w:tc>
          <w:tcPr>
            <w:tcW w:w="2957" w:type="dxa"/>
            <w:gridSpan w:val="3"/>
            <w:tcBorders>
              <w:right w:val="single" w:color="000000" w:sz="4" w:space="0"/>
            </w:tcBorders>
            <w:vAlign w:val="top"/>
          </w:tcPr>
          <w:p w14:paraId="504EEF3B">
            <w:pPr>
              <w:pStyle w:val="7"/>
              <w:spacing w:before="114" w:line="218" w:lineRule="auto"/>
              <w:ind w:left="861"/>
            </w:pPr>
            <w:r>
              <w:rPr>
                <w:spacing w:val="-17"/>
              </w:rPr>
              <w:t>中标后2日内</w:t>
            </w:r>
          </w:p>
        </w:tc>
      </w:tr>
      <w:tr w14:paraId="128A75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642" w:type="dxa"/>
            <w:gridSpan w:val="2"/>
            <w:tcBorders>
              <w:left w:val="single" w:color="000000" w:sz="4" w:space="0"/>
            </w:tcBorders>
            <w:vAlign w:val="top"/>
          </w:tcPr>
          <w:p w14:paraId="6CB811BF">
            <w:pPr>
              <w:pStyle w:val="7"/>
              <w:spacing w:before="114" w:line="237" w:lineRule="auto"/>
              <w:ind w:left="281"/>
            </w:pPr>
            <w:r>
              <w:t>5</w:t>
            </w:r>
          </w:p>
        </w:tc>
        <w:tc>
          <w:tcPr>
            <w:tcW w:w="3034" w:type="dxa"/>
            <w:vAlign w:val="top"/>
          </w:tcPr>
          <w:p w14:paraId="7EB7FD34">
            <w:pPr>
              <w:pStyle w:val="7"/>
              <w:spacing w:before="115" w:line="218" w:lineRule="auto"/>
              <w:ind w:left="1112"/>
            </w:pPr>
            <w:r>
              <w:rPr>
                <w:spacing w:val="-21"/>
              </w:rPr>
              <w:t>图纸会审</w:t>
            </w:r>
          </w:p>
        </w:tc>
        <w:tc>
          <w:tcPr>
            <w:tcW w:w="2192" w:type="dxa"/>
            <w:vAlign w:val="top"/>
          </w:tcPr>
          <w:p w14:paraId="375041D2">
            <w:pPr>
              <w:pStyle w:val="7"/>
              <w:spacing w:before="115" w:line="218" w:lineRule="auto"/>
              <w:ind w:left="781"/>
            </w:pPr>
            <w:r>
              <w:rPr>
                <w:spacing w:val="-14"/>
              </w:rPr>
              <w:t>技术科</w:t>
            </w:r>
          </w:p>
        </w:tc>
        <w:tc>
          <w:tcPr>
            <w:tcW w:w="2957" w:type="dxa"/>
            <w:gridSpan w:val="3"/>
            <w:tcBorders>
              <w:right w:val="single" w:color="000000" w:sz="4" w:space="0"/>
            </w:tcBorders>
            <w:vAlign w:val="top"/>
          </w:tcPr>
          <w:p w14:paraId="15852EB0">
            <w:pPr>
              <w:pStyle w:val="7"/>
              <w:spacing w:before="115" w:line="218" w:lineRule="auto"/>
              <w:ind w:left="940"/>
            </w:pPr>
            <w:r>
              <w:rPr>
                <w:spacing w:val="-17"/>
              </w:rPr>
              <w:t>按业主安排</w:t>
            </w:r>
          </w:p>
        </w:tc>
      </w:tr>
      <w:tr w14:paraId="616EAB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53" w:hRule="atLeast"/>
        </w:trPr>
        <w:tc>
          <w:tcPr>
            <w:tcW w:w="642" w:type="dxa"/>
            <w:gridSpan w:val="2"/>
            <w:tcBorders>
              <w:left w:val="single" w:color="000000" w:sz="4" w:space="0"/>
            </w:tcBorders>
            <w:vAlign w:val="top"/>
          </w:tcPr>
          <w:p w14:paraId="460B6F41">
            <w:pPr>
              <w:spacing w:line="252" w:lineRule="auto"/>
              <w:rPr>
                <w:rFonts w:ascii="Arial"/>
                <w:sz w:val="21"/>
              </w:rPr>
            </w:pPr>
          </w:p>
          <w:p w14:paraId="637C57EC">
            <w:pPr>
              <w:pStyle w:val="7"/>
              <w:spacing w:before="78" w:line="237" w:lineRule="auto"/>
              <w:ind w:left="278"/>
            </w:pPr>
            <w:r>
              <w:t>6</w:t>
            </w:r>
          </w:p>
        </w:tc>
        <w:tc>
          <w:tcPr>
            <w:tcW w:w="3034" w:type="dxa"/>
            <w:vAlign w:val="top"/>
          </w:tcPr>
          <w:p w14:paraId="49306522">
            <w:pPr>
              <w:pStyle w:val="7"/>
              <w:spacing w:before="99" w:line="360" w:lineRule="auto"/>
              <w:ind w:left="872" w:right="844" w:firstLine="107"/>
            </w:pPr>
            <w:r>
              <w:rPr>
                <w:spacing w:val="-21"/>
              </w:rPr>
              <w:t>施工机械及</w:t>
            </w:r>
            <w:r>
              <w:rPr>
                <w:spacing w:val="-22"/>
              </w:rPr>
              <w:t>周转材料准备</w:t>
            </w:r>
          </w:p>
        </w:tc>
        <w:tc>
          <w:tcPr>
            <w:tcW w:w="2192" w:type="dxa"/>
            <w:vAlign w:val="top"/>
          </w:tcPr>
          <w:p w14:paraId="2AF23E21">
            <w:pPr>
              <w:spacing w:line="252" w:lineRule="auto"/>
              <w:rPr>
                <w:rFonts w:ascii="Arial"/>
                <w:sz w:val="21"/>
              </w:rPr>
            </w:pPr>
          </w:p>
          <w:p w14:paraId="3D3A3B68">
            <w:pPr>
              <w:pStyle w:val="7"/>
              <w:spacing w:before="78" w:line="216" w:lineRule="auto"/>
              <w:ind w:left="350"/>
            </w:pPr>
            <w:r>
              <w:rPr>
                <w:spacing w:val="-19"/>
              </w:rPr>
              <w:t>公司材料设备科</w:t>
            </w:r>
          </w:p>
        </w:tc>
        <w:tc>
          <w:tcPr>
            <w:tcW w:w="2957" w:type="dxa"/>
            <w:gridSpan w:val="3"/>
            <w:tcBorders>
              <w:right w:val="single" w:color="000000" w:sz="4" w:space="0"/>
            </w:tcBorders>
            <w:vAlign w:val="top"/>
          </w:tcPr>
          <w:p w14:paraId="05292EA7">
            <w:pPr>
              <w:spacing w:line="253" w:lineRule="auto"/>
              <w:rPr>
                <w:rFonts w:ascii="Arial"/>
                <w:sz w:val="21"/>
              </w:rPr>
            </w:pPr>
          </w:p>
          <w:p w14:paraId="494B3A08">
            <w:pPr>
              <w:pStyle w:val="7"/>
              <w:spacing w:before="78" w:line="218" w:lineRule="auto"/>
              <w:ind w:left="618"/>
            </w:pPr>
            <w:r>
              <w:rPr>
                <w:spacing w:val="-15"/>
              </w:rPr>
              <w:t>合同签订后2日内</w:t>
            </w:r>
          </w:p>
        </w:tc>
      </w:tr>
      <w:tr w14:paraId="2B42F0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642" w:type="dxa"/>
            <w:gridSpan w:val="2"/>
            <w:tcBorders>
              <w:left w:val="single" w:color="000000" w:sz="4" w:space="0"/>
            </w:tcBorders>
            <w:vAlign w:val="top"/>
          </w:tcPr>
          <w:p w14:paraId="2359BD01">
            <w:pPr>
              <w:pStyle w:val="7"/>
              <w:spacing w:before="116" w:line="237" w:lineRule="auto"/>
              <w:ind w:left="282"/>
            </w:pPr>
            <w:r>
              <w:t>7</w:t>
            </w:r>
          </w:p>
        </w:tc>
        <w:tc>
          <w:tcPr>
            <w:tcW w:w="3034" w:type="dxa"/>
            <w:vAlign w:val="top"/>
          </w:tcPr>
          <w:p w14:paraId="4B0F5AD6">
            <w:pPr>
              <w:pStyle w:val="7"/>
              <w:spacing w:before="117" w:line="217" w:lineRule="auto"/>
              <w:ind w:left="876"/>
            </w:pPr>
            <w:r>
              <w:rPr>
                <w:spacing w:val="-19"/>
              </w:rPr>
              <w:t>工程预算编制</w:t>
            </w:r>
          </w:p>
        </w:tc>
        <w:tc>
          <w:tcPr>
            <w:tcW w:w="2192" w:type="dxa"/>
            <w:vAlign w:val="top"/>
          </w:tcPr>
          <w:p w14:paraId="279706BF">
            <w:pPr>
              <w:pStyle w:val="7"/>
              <w:spacing w:before="117" w:line="218" w:lineRule="auto"/>
              <w:ind w:left="350"/>
            </w:pPr>
            <w:r>
              <w:rPr>
                <w:spacing w:val="-19"/>
              </w:rPr>
              <w:t>公司生产经营科</w:t>
            </w:r>
          </w:p>
        </w:tc>
        <w:tc>
          <w:tcPr>
            <w:tcW w:w="2957" w:type="dxa"/>
            <w:gridSpan w:val="3"/>
            <w:tcBorders>
              <w:right w:val="single" w:color="000000" w:sz="4" w:space="0"/>
            </w:tcBorders>
            <w:vAlign w:val="top"/>
          </w:tcPr>
          <w:p w14:paraId="07E3A37D">
            <w:pPr>
              <w:pStyle w:val="7"/>
              <w:spacing w:before="117" w:line="218" w:lineRule="auto"/>
              <w:ind w:left="697"/>
            </w:pPr>
            <w:r>
              <w:rPr>
                <w:spacing w:val="-22"/>
              </w:rPr>
              <w:t>中标后10天之内</w:t>
            </w:r>
          </w:p>
        </w:tc>
      </w:tr>
      <w:tr w14:paraId="5B1B35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642" w:type="dxa"/>
            <w:gridSpan w:val="2"/>
            <w:tcBorders>
              <w:left w:val="single" w:color="000000" w:sz="4" w:space="0"/>
            </w:tcBorders>
            <w:vAlign w:val="top"/>
          </w:tcPr>
          <w:p w14:paraId="187F33E8">
            <w:pPr>
              <w:pStyle w:val="7"/>
              <w:spacing w:before="117" w:line="237" w:lineRule="auto"/>
              <w:ind w:left="277"/>
            </w:pPr>
            <w:r>
              <w:t>8</w:t>
            </w:r>
          </w:p>
        </w:tc>
        <w:tc>
          <w:tcPr>
            <w:tcW w:w="3034" w:type="dxa"/>
            <w:vAlign w:val="top"/>
          </w:tcPr>
          <w:p w14:paraId="186039E8">
            <w:pPr>
              <w:pStyle w:val="7"/>
              <w:spacing w:before="117" w:line="220" w:lineRule="auto"/>
              <w:ind w:left="993"/>
            </w:pPr>
            <w:r>
              <w:rPr>
                <w:spacing w:val="-20"/>
              </w:rPr>
              <w:t>劳动力组织</w:t>
            </w:r>
          </w:p>
        </w:tc>
        <w:tc>
          <w:tcPr>
            <w:tcW w:w="2192" w:type="dxa"/>
            <w:vAlign w:val="top"/>
          </w:tcPr>
          <w:p w14:paraId="03227336">
            <w:pPr>
              <w:pStyle w:val="7"/>
              <w:spacing w:before="117" w:line="220" w:lineRule="auto"/>
              <w:ind w:left="673"/>
            </w:pPr>
            <w:r>
              <w:rPr>
                <w:spacing w:val="-15"/>
              </w:rPr>
              <w:t>项目经理</w:t>
            </w:r>
          </w:p>
        </w:tc>
        <w:tc>
          <w:tcPr>
            <w:tcW w:w="2957" w:type="dxa"/>
            <w:gridSpan w:val="3"/>
            <w:tcBorders>
              <w:right w:val="single" w:color="000000" w:sz="4" w:space="0"/>
            </w:tcBorders>
            <w:vAlign w:val="top"/>
          </w:tcPr>
          <w:p w14:paraId="2C128CCC">
            <w:pPr>
              <w:pStyle w:val="7"/>
              <w:spacing w:before="118" w:line="218" w:lineRule="auto"/>
              <w:ind w:left="618"/>
            </w:pPr>
            <w:r>
              <w:rPr>
                <w:spacing w:val="-15"/>
              </w:rPr>
              <w:t>合同签订后2日内</w:t>
            </w:r>
          </w:p>
        </w:tc>
      </w:tr>
      <w:tr w14:paraId="2044D7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0" w:hRule="atLeast"/>
        </w:trPr>
        <w:tc>
          <w:tcPr>
            <w:tcW w:w="165" w:type="dxa"/>
            <w:tcBorders>
              <w:left w:val="single" w:color="1C456A" w:sz="4" w:space="0"/>
              <w:bottom w:val="single" w:color="1C456A" w:sz="4" w:space="0"/>
              <w:right w:val="nil"/>
            </w:tcBorders>
            <w:vAlign w:val="top"/>
          </w:tcPr>
          <w:p w14:paraId="7D66A283">
            <w:pPr>
              <w:rPr>
                <w:rFonts w:ascii="Arial"/>
                <w:sz w:val="21"/>
              </w:rPr>
            </w:pPr>
            <w:r>
              <w:pict>
                <v:shape id="_x0000_s3683" o:spid="_x0000_s3683" style="position:absolute;left:0pt;margin-left:-0.25pt;margin-top:54.5pt;height:0.75pt;width:2.2pt;mso-position-horizontal-relative:page;mso-position-vertical-relative:page;z-index:252167168;mso-width-relative:page;mso-height-relative:page;" fillcolor="#5B9BD5" filled="t" stroked="f" coordsize="44,15" path="m0,14l43,14,43,0,0,0,0,14xe">
                  <v:path/>
                  <v:fill on="t" focussize="0,0"/>
                  <v:stroke on="f"/>
                  <v:imagedata o:title=""/>
                  <o:lock v:ext="edit"/>
                </v:shape>
              </w:pict>
            </w:r>
          </w:p>
        </w:tc>
        <w:tc>
          <w:tcPr>
            <w:tcW w:w="477" w:type="dxa"/>
            <w:tcBorders>
              <w:left w:val="nil"/>
              <w:bottom w:val="single" w:color="1C456A" w:sz="4" w:space="0"/>
            </w:tcBorders>
            <w:vAlign w:val="top"/>
          </w:tcPr>
          <w:p w14:paraId="3CCC758F">
            <w:pPr>
              <w:spacing w:line="255" w:lineRule="auto"/>
              <w:rPr>
                <w:rFonts w:ascii="Arial"/>
                <w:sz w:val="21"/>
              </w:rPr>
            </w:pPr>
          </w:p>
          <w:p w14:paraId="6D206A38">
            <w:pPr>
              <w:pStyle w:val="7"/>
              <w:spacing w:before="78" w:line="237" w:lineRule="auto"/>
              <w:ind w:left="117"/>
            </w:pPr>
            <w:r>
              <w:t>9</w:t>
            </w:r>
          </w:p>
        </w:tc>
        <w:tc>
          <w:tcPr>
            <w:tcW w:w="3034" w:type="dxa"/>
            <w:tcBorders>
              <w:bottom w:val="single" w:color="000000" w:sz="4" w:space="0"/>
            </w:tcBorders>
            <w:vAlign w:val="top"/>
          </w:tcPr>
          <w:p w14:paraId="548762BA">
            <w:pPr>
              <w:pStyle w:val="7"/>
              <w:spacing w:before="102" w:line="218" w:lineRule="auto"/>
              <w:ind w:left="982"/>
            </w:pPr>
            <w:r>
              <w:rPr>
                <w:spacing w:val="-17"/>
              </w:rPr>
              <w:t>项目部人员</w:t>
            </w:r>
          </w:p>
          <w:p w14:paraId="756B9E04">
            <w:pPr>
              <w:pStyle w:val="7"/>
              <w:spacing w:before="182" w:line="218" w:lineRule="auto"/>
              <w:ind w:left="980"/>
            </w:pPr>
            <w:r>
              <w:rPr>
                <w:spacing w:val="-17"/>
              </w:rPr>
              <w:t>教育与培训</w:t>
            </w:r>
          </w:p>
        </w:tc>
        <w:tc>
          <w:tcPr>
            <w:tcW w:w="2192" w:type="dxa"/>
            <w:tcBorders>
              <w:bottom w:val="single" w:color="000000" w:sz="4" w:space="0"/>
            </w:tcBorders>
            <w:vAlign w:val="top"/>
          </w:tcPr>
          <w:p w14:paraId="27682065">
            <w:pPr>
              <w:spacing w:line="255" w:lineRule="auto"/>
              <w:rPr>
                <w:rFonts w:ascii="Arial"/>
                <w:sz w:val="21"/>
              </w:rPr>
            </w:pPr>
          </w:p>
          <w:p w14:paraId="732E0BCE">
            <w:pPr>
              <w:pStyle w:val="7"/>
              <w:spacing w:before="78" w:line="219" w:lineRule="auto"/>
              <w:ind w:left="458"/>
            </w:pPr>
            <w:r>
              <w:rPr>
                <w:spacing w:val="-19"/>
              </w:rPr>
              <w:t>公司经理书记</w:t>
            </w:r>
          </w:p>
        </w:tc>
        <w:tc>
          <w:tcPr>
            <w:tcW w:w="2957" w:type="dxa"/>
            <w:gridSpan w:val="3"/>
            <w:tcBorders>
              <w:bottom w:val="single" w:color="5B9BD5" w:sz="4" w:space="0"/>
              <w:right w:val="single" w:color="5B9BD5" w:sz="4" w:space="0"/>
            </w:tcBorders>
            <w:vAlign w:val="top"/>
          </w:tcPr>
          <w:p w14:paraId="4D494915">
            <w:pPr>
              <w:spacing w:line="255" w:lineRule="auto"/>
              <w:rPr>
                <w:rFonts w:ascii="Arial"/>
                <w:sz w:val="21"/>
              </w:rPr>
            </w:pPr>
            <w:r>
              <w:pict>
                <v:shape id="_x0000_s3684" o:spid="_x0000_s3684" style="position:absolute;left:0pt;margin-left:146pt;margin-top:54.5pt;height:0.75pt;width:2.2pt;mso-position-horizontal-relative:page;mso-position-vertical-relative:page;z-index:252170240;mso-width-relative:page;mso-height-relative:page;" fillcolor="#5B9BD5" filled="t" stroked="f" coordsize="44,15" path="m0,14l43,14,43,0,0,0,0,14xe">
                  <v:path/>
                  <v:fill on="t" focussize="0,0"/>
                  <v:stroke on="f"/>
                  <v:imagedata o:title=""/>
                  <o:lock v:ext="edit"/>
                </v:shape>
              </w:pict>
            </w:r>
          </w:p>
          <w:p w14:paraId="382E4222">
            <w:pPr>
              <w:pStyle w:val="7"/>
              <w:spacing w:before="78" w:line="218" w:lineRule="auto"/>
              <w:ind w:left="728"/>
            </w:pPr>
            <w:r>
              <w:rPr>
                <w:spacing w:val="-14"/>
              </w:rPr>
              <w:t>合同签订3日内</w:t>
            </w:r>
          </w:p>
        </w:tc>
      </w:tr>
    </w:tbl>
    <w:p w14:paraId="08D16EF5">
      <w:pPr>
        <w:rPr>
          <w:rFonts w:ascii="Arial"/>
          <w:sz w:val="21"/>
        </w:rPr>
      </w:pPr>
    </w:p>
    <w:p w14:paraId="07419C84">
      <w:pPr>
        <w:rPr>
          <w:rFonts w:ascii="Arial" w:hAnsi="Arial" w:eastAsia="Arial" w:cs="Arial"/>
          <w:sz w:val="21"/>
          <w:szCs w:val="21"/>
        </w:rPr>
        <w:sectPr>
          <w:footerReference r:id="rId252" w:type="default"/>
          <w:pgSz w:w="11907" w:h="16839"/>
          <w:pgMar w:top="933" w:right="4" w:bottom="1038" w:left="0" w:header="478" w:footer="357" w:gutter="0"/>
          <w:pgBorders>
            <w:top w:val="none" w:sz="0" w:space="0"/>
            <w:left w:val="none" w:sz="0" w:space="0"/>
            <w:bottom w:val="none" w:sz="0" w:space="0"/>
            <w:right w:val="none" w:sz="0" w:space="0"/>
          </w:pgBorders>
          <w:cols w:space="720" w:num="1"/>
        </w:sectPr>
      </w:pPr>
    </w:p>
    <w:p w14:paraId="26AC8799">
      <w:pPr>
        <w:spacing w:line="235" w:lineRule="exact"/>
      </w:pPr>
    </w:p>
    <w:tbl>
      <w:tblPr>
        <w:tblStyle w:val="6"/>
        <w:tblW w:w="8825" w:type="dxa"/>
        <w:tblInd w:w="154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40"/>
        <w:gridCol w:w="3033"/>
        <w:gridCol w:w="2194"/>
        <w:gridCol w:w="2958"/>
      </w:tblGrid>
      <w:tr w14:paraId="7E742C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53" w:hRule="atLeast"/>
        </w:trPr>
        <w:tc>
          <w:tcPr>
            <w:tcW w:w="640" w:type="dxa"/>
            <w:tcBorders>
              <w:top w:val="single" w:color="000000" w:sz="4" w:space="0"/>
              <w:left w:val="single" w:color="000000" w:sz="4" w:space="0"/>
            </w:tcBorders>
            <w:vAlign w:val="top"/>
          </w:tcPr>
          <w:p w14:paraId="6B686586">
            <w:pPr>
              <w:pStyle w:val="7"/>
              <w:spacing w:before="146" w:line="237" w:lineRule="auto"/>
              <w:ind w:left="239"/>
            </w:pPr>
            <w:r>
              <w:rPr>
                <w:spacing w:val="-10"/>
              </w:rPr>
              <w:t>10</w:t>
            </w:r>
          </w:p>
        </w:tc>
        <w:tc>
          <w:tcPr>
            <w:tcW w:w="3033" w:type="dxa"/>
            <w:tcBorders>
              <w:top w:val="single" w:color="000000" w:sz="4" w:space="0"/>
            </w:tcBorders>
            <w:vAlign w:val="top"/>
          </w:tcPr>
          <w:p w14:paraId="712D60CE">
            <w:pPr>
              <w:pStyle w:val="7"/>
              <w:spacing w:before="146" w:line="217" w:lineRule="auto"/>
              <w:ind w:left="1096"/>
            </w:pPr>
            <w:r>
              <w:rPr>
                <w:spacing w:val="-17"/>
              </w:rPr>
              <w:t>定位放线</w:t>
            </w:r>
          </w:p>
        </w:tc>
        <w:tc>
          <w:tcPr>
            <w:tcW w:w="2194" w:type="dxa"/>
            <w:tcBorders>
              <w:top w:val="single" w:color="000000" w:sz="4" w:space="0"/>
            </w:tcBorders>
            <w:vAlign w:val="top"/>
          </w:tcPr>
          <w:p w14:paraId="48C2AE34">
            <w:pPr>
              <w:pStyle w:val="7"/>
              <w:spacing w:before="146" w:line="218" w:lineRule="auto"/>
              <w:ind w:left="457"/>
            </w:pPr>
            <w:r>
              <w:rPr>
                <w:spacing w:val="-18"/>
              </w:rPr>
              <w:t>项目总工程师</w:t>
            </w:r>
          </w:p>
        </w:tc>
        <w:tc>
          <w:tcPr>
            <w:tcW w:w="2958" w:type="dxa"/>
            <w:tcBorders>
              <w:top w:val="single" w:color="5B9BD5" w:sz="4" w:space="0"/>
              <w:right w:val="single" w:color="5B9BD5" w:sz="4" w:space="0"/>
            </w:tcBorders>
            <w:vAlign w:val="top"/>
          </w:tcPr>
          <w:p w14:paraId="6C35D391">
            <w:pPr>
              <w:pStyle w:val="7"/>
              <w:spacing w:before="146" w:line="218" w:lineRule="auto"/>
              <w:ind w:left="286"/>
            </w:pPr>
            <w:r>
              <w:rPr>
                <w:spacing w:val="-20"/>
              </w:rPr>
              <w:t>业主安排或工程开工之日</w:t>
            </w:r>
          </w:p>
        </w:tc>
      </w:tr>
      <w:tr w14:paraId="64E369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51" w:hRule="atLeast"/>
        </w:trPr>
        <w:tc>
          <w:tcPr>
            <w:tcW w:w="640" w:type="dxa"/>
            <w:tcBorders>
              <w:left w:val="single" w:color="000000" w:sz="4" w:space="0"/>
            </w:tcBorders>
            <w:vAlign w:val="top"/>
          </w:tcPr>
          <w:p w14:paraId="174AC717">
            <w:pPr>
              <w:spacing w:line="249" w:lineRule="auto"/>
              <w:rPr>
                <w:rFonts w:ascii="Arial"/>
                <w:sz w:val="21"/>
              </w:rPr>
            </w:pPr>
          </w:p>
          <w:p w14:paraId="708B462C">
            <w:pPr>
              <w:pStyle w:val="7"/>
              <w:spacing w:before="78" w:line="238" w:lineRule="auto"/>
              <w:ind w:left="239"/>
            </w:pPr>
            <w:r>
              <w:rPr>
                <w:spacing w:val="-14"/>
              </w:rPr>
              <w:t>11</w:t>
            </w:r>
          </w:p>
        </w:tc>
        <w:tc>
          <w:tcPr>
            <w:tcW w:w="3033" w:type="dxa"/>
            <w:vAlign w:val="top"/>
          </w:tcPr>
          <w:p w14:paraId="41A1DD16">
            <w:pPr>
              <w:spacing w:line="249" w:lineRule="auto"/>
              <w:rPr>
                <w:rFonts w:ascii="Arial"/>
                <w:sz w:val="21"/>
              </w:rPr>
            </w:pPr>
          </w:p>
          <w:p w14:paraId="3EE6CCD5">
            <w:pPr>
              <w:pStyle w:val="7"/>
              <w:spacing w:before="78" w:line="218" w:lineRule="auto"/>
              <w:ind w:left="872"/>
            </w:pPr>
            <w:r>
              <w:rPr>
                <w:spacing w:val="-18"/>
              </w:rPr>
              <w:t>施工组织设计</w:t>
            </w:r>
          </w:p>
        </w:tc>
        <w:tc>
          <w:tcPr>
            <w:tcW w:w="2194" w:type="dxa"/>
            <w:vAlign w:val="top"/>
          </w:tcPr>
          <w:p w14:paraId="47F01EE7">
            <w:pPr>
              <w:pStyle w:val="7"/>
              <w:spacing w:before="95" w:line="220" w:lineRule="auto"/>
              <w:ind w:left="676"/>
            </w:pPr>
            <w:r>
              <w:rPr>
                <w:spacing w:val="-15"/>
              </w:rPr>
              <w:t>项目经理</w:t>
            </w:r>
          </w:p>
          <w:p w14:paraId="77D57235">
            <w:pPr>
              <w:pStyle w:val="7"/>
              <w:spacing w:before="180" w:line="218" w:lineRule="auto"/>
              <w:ind w:left="457"/>
            </w:pPr>
            <w:r>
              <w:rPr>
                <w:spacing w:val="-18"/>
              </w:rPr>
              <w:t>项目总工程师</w:t>
            </w:r>
          </w:p>
        </w:tc>
        <w:tc>
          <w:tcPr>
            <w:tcW w:w="2958" w:type="dxa"/>
            <w:tcBorders>
              <w:right w:val="single" w:color="000000" w:sz="4" w:space="0"/>
            </w:tcBorders>
            <w:vAlign w:val="top"/>
          </w:tcPr>
          <w:p w14:paraId="786C8AB7">
            <w:pPr>
              <w:spacing w:line="249" w:lineRule="auto"/>
              <w:rPr>
                <w:rFonts w:ascii="Arial"/>
                <w:sz w:val="21"/>
              </w:rPr>
            </w:pPr>
          </w:p>
          <w:p w14:paraId="2EF77C02">
            <w:pPr>
              <w:pStyle w:val="7"/>
              <w:spacing w:before="78" w:line="218" w:lineRule="auto"/>
              <w:ind w:left="285"/>
            </w:pPr>
            <w:r>
              <w:rPr>
                <w:spacing w:val="-16"/>
              </w:rPr>
              <w:t>施工图设计交底后3日内</w:t>
            </w:r>
          </w:p>
        </w:tc>
      </w:tr>
      <w:tr w14:paraId="505888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7" w:hRule="atLeast"/>
        </w:trPr>
        <w:tc>
          <w:tcPr>
            <w:tcW w:w="640" w:type="dxa"/>
            <w:tcBorders>
              <w:left w:val="single" w:color="000000" w:sz="4" w:space="0"/>
            </w:tcBorders>
            <w:vAlign w:val="top"/>
          </w:tcPr>
          <w:p w14:paraId="7611FD2E">
            <w:pPr>
              <w:pStyle w:val="7"/>
              <w:spacing w:before="112" w:line="238" w:lineRule="auto"/>
              <w:ind w:left="239"/>
            </w:pPr>
            <w:r>
              <w:rPr>
                <w:spacing w:val="-10"/>
              </w:rPr>
              <w:t>12</w:t>
            </w:r>
          </w:p>
        </w:tc>
        <w:tc>
          <w:tcPr>
            <w:tcW w:w="3033" w:type="dxa"/>
            <w:vAlign w:val="top"/>
          </w:tcPr>
          <w:p w14:paraId="619E1765">
            <w:pPr>
              <w:pStyle w:val="7"/>
              <w:spacing w:before="112" w:line="216" w:lineRule="auto"/>
              <w:ind w:left="653"/>
            </w:pPr>
            <w:r>
              <w:rPr>
                <w:spacing w:val="-19"/>
              </w:rPr>
              <w:t>现场临时设施工作</w:t>
            </w:r>
          </w:p>
        </w:tc>
        <w:tc>
          <w:tcPr>
            <w:tcW w:w="2194" w:type="dxa"/>
            <w:vAlign w:val="top"/>
          </w:tcPr>
          <w:p w14:paraId="735B1E09">
            <w:pPr>
              <w:pStyle w:val="7"/>
              <w:spacing w:before="112" w:line="220" w:lineRule="auto"/>
              <w:ind w:left="676"/>
            </w:pPr>
            <w:r>
              <w:rPr>
                <w:spacing w:val="-16"/>
              </w:rPr>
              <w:t>项目经理</w:t>
            </w:r>
          </w:p>
        </w:tc>
        <w:tc>
          <w:tcPr>
            <w:tcW w:w="2958" w:type="dxa"/>
            <w:tcBorders>
              <w:right w:val="single" w:color="000000" w:sz="4" w:space="0"/>
            </w:tcBorders>
            <w:vAlign w:val="top"/>
          </w:tcPr>
          <w:p w14:paraId="0968C31C">
            <w:pPr>
              <w:pStyle w:val="7"/>
              <w:spacing w:before="112" w:line="217" w:lineRule="auto"/>
              <w:ind w:left="511"/>
            </w:pPr>
            <w:r>
              <w:rPr>
                <w:spacing w:val="-20"/>
              </w:rPr>
              <w:t>合同签订后立即进行</w:t>
            </w:r>
          </w:p>
        </w:tc>
      </w:tr>
      <w:tr w14:paraId="066A8E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56" w:hRule="atLeast"/>
        </w:trPr>
        <w:tc>
          <w:tcPr>
            <w:tcW w:w="640" w:type="dxa"/>
            <w:tcBorders>
              <w:left w:val="single" w:color="1C456A" w:sz="4" w:space="0"/>
              <w:bottom w:val="single" w:color="1C456A" w:sz="4" w:space="0"/>
            </w:tcBorders>
            <w:vAlign w:val="top"/>
          </w:tcPr>
          <w:p w14:paraId="7EF365BB">
            <w:pPr>
              <w:spacing w:line="242" w:lineRule="auto"/>
              <w:rPr>
                <w:rFonts w:ascii="Arial"/>
                <w:sz w:val="21"/>
              </w:rPr>
            </w:pPr>
          </w:p>
          <w:p w14:paraId="48BFE309">
            <w:pPr>
              <w:spacing w:line="242" w:lineRule="auto"/>
              <w:rPr>
                <w:rFonts w:ascii="Arial"/>
                <w:sz w:val="21"/>
              </w:rPr>
            </w:pPr>
          </w:p>
          <w:p w14:paraId="6D8DB571">
            <w:pPr>
              <w:pStyle w:val="7"/>
              <w:spacing w:before="78" w:line="237" w:lineRule="auto"/>
              <w:ind w:left="239"/>
            </w:pPr>
            <w:r>
              <w:rPr>
                <w:spacing w:val="-10"/>
              </w:rPr>
              <w:t>13</w:t>
            </w:r>
          </w:p>
        </w:tc>
        <w:tc>
          <w:tcPr>
            <w:tcW w:w="3033" w:type="dxa"/>
            <w:tcBorders>
              <w:bottom w:val="single" w:color="000000" w:sz="4" w:space="0"/>
            </w:tcBorders>
            <w:vAlign w:val="top"/>
          </w:tcPr>
          <w:p w14:paraId="2587F0E6">
            <w:pPr>
              <w:spacing w:line="242" w:lineRule="auto"/>
              <w:rPr>
                <w:rFonts w:ascii="Arial"/>
                <w:sz w:val="21"/>
              </w:rPr>
            </w:pPr>
          </w:p>
          <w:p w14:paraId="6DDEEBD9">
            <w:pPr>
              <w:spacing w:line="242" w:lineRule="auto"/>
              <w:rPr>
                <w:rFonts w:ascii="Arial"/>
                <w:sz w:val="21"/>
              </w:rPr>
            </w:pPr>
          </w:p>
          <w:p w14:paraId="3FDD9BB9">
            <w:pPr>
              <w:pStyle w:val="7"/>
              <w:spacing w:before="78" w:line="216" w:lineRule="auto"/>
              <w:ind w:left="764"/>
            </w:pPr>
            <w:r>
              <w:rPr>
                <w:spacing w:val="-18"/>
              </w:rPr>
              <w:t>材料采购总计划</w:t>
            </w:r>
          </w:p>
        </w:tc>
        <w:tc>
          <w:tcPr>
            <w:tcW w:w="2194" w:type="dxa"/>
            <w:tcBorders>
              <w:bottom w:val="single" w:color="000000" w:sz="4" w:space="0"/>
            </w:tcBorders>
            <w:vAlign w:val="top"/>
          </w:tcPr>
          <w:p w14:paraId="18E8BECC">
            <w:pPr>
              <w:pStyle w:val="7"/>
              <w:spacing w:before="100" w:line="216" w:lineRule="auto"/>
              <w:ind w:left="349"/>
            </w:pPr>
            <w:r>
              <w:rPr>
                <w:spacing w:val="-19"/>
              </w:rPr>
              <w:t>项目材料工程师</w:t>
            </w:r>
          </w:p>
          <w:p w14:paraId="3489A63B">
            <w:pPr>
              <w:pStyle w:val="7"/>
              <w:spacing w:before="184" w:line="220" w:lineRule="auto"/>
              <w:ind w:left="676"/>
            </w:pPr>
            <w:r>
              <w:rPr>
                <w:spacing w:val="-15"/>
              </w:rPr>
              <w:t>项目经理</w:t>
            </w:r>
          </w:p>
          <w:p w14:paraId="6A50B533">
            <w:pPr>
              <w:pStyle w:val="7"/>
              <w:spacing w:before="182" w:line="218" w:lineRule="auto"/>
              <w:ind w:left="457"/>
            </w:pPr>
            <w:r>
              <w:rPr>
                <w:spacing w:val="-18"/>
              </w:rPr>
              <w:t>项目总工程师</w:t>
            </w:r>
          </w:p>
        </w:tc>
        <w:tc>
          <w:tcPr>
            <w:tcW w:w="2958" w:type="dxa"/>
            <w:tcBorders>
              <w:bottom w:val="single" w:color="5B9BD5" w:sz="4" w:space="0"/>
              <w:right w:val="single" w:color="5B9BD5" w:sz="4" w:space="0"/>
            </w:tcBorders>
            <w:vAlign w:val="top"/>
          </w:tcPr>
          <w:p w14:paraId="05ECD89B">
            <w:pPr>
              <w:spacing w:line="242" w:lineRule="auto"/>
              <w:rPr>
                <w:rFonts w:ascii="Arial"/>
                <w:sz w:val="21"/>
              </w:rPr>
            </w:pPr>
          </w:p>
          <w:p w14:paraId="58C63FD8">
            <w:pPr>
              <w:spacing w:line="242" w:lineRule="auto"/>
              <w:rPr>
                <w:rFonts w:ascii="Arial"/>
                <w:sz w:val="21"/>
              </w:rPr>
            </w:pPr>
          </w:p>
          <w:p w14:paraId="614F3E40">
            <w:pPr>
              <w:pStyle w:val="7"/>
              <w:spacing w:before="78" w:line="218" w:lineRule="auto"/>
              <w:ind w:left="618"/>
            </w:pPr>
            <w:r>
              <w:rPr>
                <w:spacing w:val="-12"/>
              </w:rPr>
              <w:t>工程开工后5天内</w:t>
            </w:r>
          </w:p>
        </w:tc>
      </w:tr>
    </w:tbl>
    <w:p w14:paraId="7C543A14">
      <w:pPr>
        <w:pStyle w:val="2"/>
        <w:spacing w:before="113" w:line="216" w:lineRule="auto"/>
        <w:ind w:left="1888"/>
        <w:rPr>
          <w:sz w:val="24"/>
          <w:szCs w:val="24"/>
        </w:rPr>
      </w:pPr>
      <w:r>
        <w:rPr>
          <w:spacing w:val="-17"/>
          <w:sz w:val="24"/>
          <w:szCs w:val="24"/>
        </w:rPr>
        <w:t>2、前期准备工作</w:t>
      </w:r>
    </w:p>
    <w:p w14:paraId="6E02E03C">
      <w:pPr>
        <w:pStyle w:val="2"/>
        <w:spacing w:before="120" w:line="215" w:lineRule="auto"/>
        <w:ind w:left="1903"/>
        <w:rPr>
          <w:sz w:val="24"/>
          <w:szCs w:val="24"/>
        </w:rPr>
      </w:pPr>
      <w:r>
        <w:rPr>
          <w:spacing w:val="-24"/>
          <w:sz w:val="24"/>
          <w:szCs w:val="24"/>
        </w:rPr>
        <w:t>1、项目经理部的组建与运作，在接到中标通知书</w:t>
      </w:r>
      <w:r>
        <w:rPr>
          <w:spacing w:val="-25"/>
          <w:sz w:val="24"/>
          <w:szCs w:val="24"/>
        </w:rPr>
        <w:t>后，按投标中所承诺人员配备，立即运作。</w:t>
      </w:r>
    </w:p>
    <w:p w14:paraId="5B9D79DB">
      <w:pPr>
        <w:pStyle w:val="2"/>
        <w:spacing w:before="121" w:line="261" w:lineRule="auto"/>
        <w:ind w:left="1462" w:right="1412" w:firstLine="426"/>
        <w:rPr>
          <w:sz w:val="24"/>
          <w:szCs w:val="24"/>
        </w:rPr>
      </w:pPr>
      <w:r>
        <w:rPr>
          <w:spacing w:val="-22"/>
          <w:sz w:val="24"/>
          <w:szCs w:val="24"/>
        </w:rPr>
        <w:t>2、施工组织设计：在投标施工组织设计的指导下，根据设计施工图交底，编制工程实施施</w:t>
      </w:r>
      <w:r>
        <w:rPr>
          <w:spacing w:val="-21"/>
          <w:sz w:val="24"/>
          <w:szCs w:val="24"/>
        </w:rPr>
        <w:t>工组织设计，并提交业主及监理工程师审定或提</w:t>
      </w:r>
      <w:r>
        <w:rPr>
          <w:spacing w:val="-22"/>
          <w:sz w:val="24"/>
          <w:szCs w:val="24"/>
        </w:rPr>
        <w:t>出修改意见并批准开工。</w:t>
      </w:r>
    </w:p>
    <w:p w14:paraId="2F234917">
      <w:pPr>
        <w:pStyle w:val="2"/>
        <w:spacing w:before="120" w:line="263" w:lineRule="auto"/>
        <w:ind w:left="1456" w:right="1415" w:firstLine="434"/>
        <w:rPr>
          <w:sz w:val="24"/>
          <w:szCs w:val="24"/>
        </w:rPr>
      </w:pPr>
      <w:r>
        <w:rPr>
          <w:spacing w:val="-22"/>
          <w:sz w:val="24"/>
          <w:szCs w:val="24"/>
        </w:rPr>
        <w:t>3、技术合同交底：组织本工程各专业、各工种施工人员，深入学习施工图纸、</w:t>
      </w:r>
      <w:r>
        <w:rPr>
          <w:spacing w:val="-23"/>
          <w:sz w:val="24"/>
          <w:szCs w:val="24"/>
        </w:rPr>
        <w:t>施工组织设</w:t>
      </w:r>
      <w:r>
        <w:rPr>
          <w:spacing w:val="-21"/>
          <w:sz w:val="24"/>
          <w:szCs w:val="24"/>
        </w:rPr>
        <w:t>计及施工合同，使施工人员明确本工程特点、主要施工方</w:t>
      </w:r>
      <w:r>
        <w:rPr>
          <w:spacing w:val="-22"/>
          <w:sz w:val="24"/>
          <w:szCs w:val="24"/>
        </w:rPr>
        <w:t>法及施工质量要求等。</w:t>
      </w:r>
    </w:p>
    <w:p w14:paraId="79424B29">
      <w:pPr>
        <w:pStyle w:val="2"/>
        <w:spacing w:before="115" w:line="217" w:lineRule="auto"/>
        <w:ind w:left="1884"/>
        <w:rPr>
          <w:sz w:val="24"/>
          <w:szCs w:val="24"/>
        </w:rPr>
      </w:pPr>
      <w:r>
        <w:rPr>
          <w:spacing w:val="-20"/>
          <w:sz w:val="24"/>
          <w:szCs w:val="24"/>
        </w:rPr>
        <w:t>4、规范规程准备：准备本工程施工所需的各种</w:t>
      </w:r>
      <w:r>
        <w:rPr>
          <w:spacing w:val="-21"/>
          <w:sz w:val="24"/>
          <w:szCs w:val="24"/>
        </w:rPr>
        <w:t>规范规程。</w:t>
      </w:r>
    </w:p>
    <w:p w14:paraId="249940F1">
      <w:pPr>
        <w:pStyle w:val="2"/>
        <w:spacing w:before="119" w:line="263" w:lineRule="auto"/>
        <w:ind w:left="1462" w:right="1412" w:firstLine="428"/>
        <w:rPr>
          <w:sz w:val="24"/>
          <w:szCs w:val="24"/>
        </w:rPr>
      </w:pPr>
      <w:r>
        <w:rPr>
          <w:spacing w:val="-22"/>
          <w:sz w:val="24"/>
          <w:szCs w:val="24"/>
        </w:rPr>
        <w:t>5、图纸会审：了解设计意图，以及对设计图纸上的问题提出意见，会同设计及业主</w:t>
      </w:r>
      <w:r>
        <w:rPr>
          <w:spacing w:val="-23"/>
          <w:sz w:val="24"/>
          <w:szCs w:val="24"/>
        </w:rPr>
        <w:t>或监理</w:t>
      </w:r>
      <w:r>
        <w:rPr>
          <w:spacing w:val="-20"/>
          <w:sz w:val="24"/>
          <w:szCs w:val="24"/>
        </w:rPr>
        <w:t>工程师协商解决。</w:t>
      </w:r>
    </w:p>
    <w:p w14:paraId="699B8E6D">
      <w:pPr>
        <w:pStyle w:val="2"/>
        <w:spacing w:before="116" w:line="214" w:lineRule="auto"/>
        <w:ind w:left="1887"/>
        <w:rPr>
          <w:sz w:val="24"/>
          <w:szCs w:val="24"/>
        </w:rPr>
      </w:pPr>
      <w:r>
        <w:rPr>
          <w:spacing w:val="-21"/>
          <w:sz w:val="24"/>
          <w:szCs w:val="24"/>
        </w:rPr>
        <w:t>6、机械设备及周转材料准备：准备工程施工必备的施工机械设备及周转材料。</w:t>
      </w:r>
    </w:p>
    <w:p w14:paraId="08D52C31">
      <w:pPr>
        <w:pStyle w:val="2"/>
        <w:spacing w:before="122" w:line="216" w:lineRule="auto"/>
        <w:ind w:left="1890"/>
        <w:rPr>
          <w:sz w:val="24"/>
          <w:szCs w:val="24"/>
        </w:rPr>
      </w:pPr>
      <w:r>
        <w:rPr>
          <w:spacing w:val="-17"/>
          <w:sz w:val="24"/>
          <w:szCs w:val="24"/>
        </w:rPr>
        <w:t>3、物资准备工作</w:t>
      </w:r>
    </w:p>
    <w:p w14:paraId="5B2F443F">
      <w:pPr>
        <w:pStyle w:val="2"/>
        <w:spacing w:before="119" w:line="295" w:lineRule="auto"/>
        <w:ind w:left="1455" w:right="1411" w:firstLine="447"/>
        <w:rPr>
          <w:sz w:val="24"/>
          <w:szCs w:val="24"/>
        </w:rPr>
      </w:pPr>
      <w:r>
        <w:rPr>
          <w:spacing w:val="-22"/>
          <w:sz w:val="24"/>
          <w:szCs w:val="24"/>
        </w:rPr>
        <w:t>1、根据施工进度要求、工程设计要求、以及施工组织设</w:t>
      </w:r>
      <w:r>
        <w:rPr>
          <w:spacing w:val="-23"/>
          <w:sz w:val="24"/>
          <w:szCs w:val="24"/>
        </w:rPr>
        <w:t>计质量要求，及时制定材料供应计</w:t>
      </w:r>
      <w:r>
        <w:rPr>
          <w:spacing w:val="-20"/>
          <w:sz w:val="24"/>
          <w:szCs w:val="24"/>
        </w:rPr>
        <w:t>划，并及时向业主提供材料使用总计划、季计划、月计划、旬计划。会同业主共同确定材料生产厂家、质量要求、及其价格，共同看样并封样。在比质比价的基础上优先选择优质产品，及时签订物资采购合，并要求产品有出厂合格证、检验证书和使用说明。对所有材料按国家有关规定进行检查验收，需要进行复试的材料及时取样复试。所有材料规格、数量的准确性及质量控制，我司将严格按ISO9002质量体系及程序要求办理，并接受工程业主及监</w:t>
      </w:r>
      <w:r>
        <w:rPr>
          <w:spacing w:val="-21"/>
          <w:sz w:val="24"/>
          <w:szCs w:val="24"/>
        </w:rPr>
        <w:t>理工程的监督、审查。</w:t>
      </w:r>
    </w:p>
    <w:p w14:paraId="5E3B9EB8">
      <w:pPr>
        <w:pStyle w:val="2"/>
        <w:spacing w:before="115" w:line="262" w:lineRule="auto"/>
        <w:ind w:left="1487" w:right="1409" w:firstLine="401"/>
        <w:rPr>
          <w:sz w:val="24"/>
          <w:szCs w:val="24"/>
        </w:rPr>
      </w:pPr>
      <w:r>
        <w:rPr>
          <w:spacing w:val="-22"/>
          <w:sz w:val="24"/>
          <w:szCs w:val="24"/>
        </w:rPr>
        <w:t>2、对于特殊结构的材料：根据施工进度计划、工程设计要求以及工程项目质量目标，及时向业主及设计提交设计书，在经设计师及业主审核批准后，实施材料采购及安装</w:t>
      </w:r>
      <w:r>
        <w:rPr>
          <w:spacing w:val="-23"/>
          <w:sz w:val="24"/>
          <w:szCs w:val="24"/>
        </w:rPr>
        <w:t>制作施工。</w:t>
      </w:r>
    </w:p>
    <w:p w14:paraId="37BE4734">
      <w:pPr>
        <w:pStyle w:val="2"/>
        <w:spacing w:before="121" w:line="216" w:lineRule="auto"/>
        <w:ind w:left="1884"/>
        <w:rPr>
          <w:sz w:val="24"/>
          <w:szCs w:val="24"/>
        </w:rPr>
      </w:pPr>
      <w:r>
        <w:rPr>
          <w:spacing w:val="-18"/>
          <w:sz w:val="24"/>
          <w:szCs w:val="24"/>
        </w:rPr>
        <w:t>4、施工现场准备工作</w:t>
      </w:r>
    </w:p>
    <w:p w14:paraId="24691BFB">
      <w:pPr>
        <w:pStyle w:val="2"/>
        <w:spacing w:before="118" w:line="262" w:lineRule="auto"/>
        <w:ind w:left="1455" w:right="1432" w:firstLine="447"/>
        <w:rPr>
          <w:sz w:val="24"/>
          <w:szCs w:val="24"/>
        </w:rPr>
      </w:pPr>
      <w:r>
        <w:rPr>
          <w:spacing w:val="-23"/>
          <w:sz w:val="24"/>
          <w:szCs w:val="24"/>
        </w:rPr>
        <w:t>1、对施工现场的地形进行复测，办理水准点及工程定位点的交验手续，认真细致引入现场</w:t>
      </w:r>
      <w:r>
        <w:rPr>
          <w:spacing w:val="-21"/>
          <w:sz w:val="24"/>
          <w:szCs w:val="24"/>
        </w:rPr>
        <w:t>水准点、坐标点，并进行定位，放线，同时做永久性保护。</w:t>
      </w:r>
    </w:p>
    <w:p w14:paraId="69CAC164">
      <w:pPr>
        <w:pStyle w:val="2"/>
        <w:spacing w:before="120" w:line="216" w:lineRule="auto"/>
        <w:ind w:left="1888"/>
        <w:rPr>
          <w:sz w:val="24"/>
          <w:szCs w:val="24"/>
        </w:rPr>
      </w:pPr>
      <w:r>
        <w:rPr>
          <w:spacing w:val="-21"/>
          <w:sz w:val="24"/>
          <w:szCs w:val="24"/>
        </w:rPr>
        <w:t>2、对已经施工的工程桩会同业主、设计院和监理</w:t>
      </w:r>
      <w:r>
        <w:rPr>
          <w:spacing w:val="-22"/>
          <w:sz w:val="24"/>
          <w:szCs w:val="24"/>
        </w:rPr>
        <w:t>的轴线进行验收，并进行交接。</w:t>
      </w:r>
    </w:p>
    <w:p w14:paraId="45CE4FE0">
      <w:pPr>
        <w:pStyle w:val="2"/>
        <w:spacing w:before="118" w:line="216" w:lineRule="auto"/>
        <w:ind w:left="1890"/>
        <w:rPr>
          <w:sz w:val="24"/>
          <w:szCs w:val="24"/>
        </w:rPr>
      </w:pPr>
      <w:r>
        <w:rPr>
          <w:spacing w:val="-21"/>
          <w:sz w:val="24"/>
          <w:szCs w:val="24"/>
        </w:rPr>
        <w:t>3、会同业主，了解工地现场地下管线网的布置，明确其重要性程度，制定保护措施。</w:t>
      </w:r>
    </w:p>
    <w:p w14:paraId="7AAA3420">
      <w:pPr>
        <w:pStyle w:val="2"/>
        <w:spacing w:before="119" w:line="217" w:lineRule="auto"/>
        <w:ind w:left="1884"/>
        <w:rPr>
          <w:sz w:val="24"/>
          <w:szCs w:val="24"/>
        </w:rPr>
      </w:pPr>
      <w:r>
        <w:rPr>
          <w:spacing w:val="-21"/>
          <w:sz w:val="24"/>
          <w:szCs w:val="24"/>
        </w:rPr>
        <w:t>4、做好施工场地的平面及高程控制点，以确保建筑物的位置。</w:t>
      </w:r>
    </w:p>
    <w:p w14:paraId="4944EB8D">
      <w:pPr>
        <w:spacing w:line="217" w:lineRule="auto"/>
        <w:rPr>
          <w:sz w:val="24"/>
          <w:szCs w:val="24"/>
        </w:rPr>
        <w:sectPr>
          <w:footerReference r:id="rId253" w:type="default"/>
          <w:pgSz w:w="11907" w:h="16839"/>
          <w:pgMar w:top="933" w:right="4" w:bottom="1038" w:left="0" w:header="478" w:footer="357" w:gutter="0"/>
          <w:pgBorders>
            <w:top w:val="none" w:sz="0" w:space="0"/>
            <w:left w:val="none" w:sz="0" w:space="0"/>
            <w:bottom w:val="none" w:sz="0" w:space="0"/>
            <w:right w:val="none" w:sz="0" w:space="0"/>
          </w:pgBorders>
          <w:cols w:space="720" w:num="1"/>
        </w:sectPr>
      </w:pPr>
    </w:p>
    <w:p w14:paraId="6F96DE85">
      <w:pPr>
        <w:spacing w:line="271" w:lineRule="auto"/>
        <w:rPr>
          <w:rFonts w:ascii="Arial"/>
          <w:sz w:val="21"/>
        </w:rPr>
      </w:pPr>
    </w:p>
    <w:p w14:paraId="6F1F6012">
      <w:pPr>
        <w:pStyle w:val="2"/>
        <w:spacing w:before="78" w:line="216" w:lineRule="auto"/>
        <w:ind w:left="1890"/>
        <w:rPr>
          <w:sz w:val="24"/>
          <w:szCs w:val="24"/>
        </w:rPr>
      </w:pPr>
      <w:r>
        <w:rPr>
          <w:spacing w:val="-22"/>
          <w:sz w:val="24"/>
          <w:szCs w:val="24"/>
        </w:rPr>
        <w:t>5、根据施工平面布置图确定临设用房、材料场地、临时用水、用电线路等位置。</w:t>
      </w:r>
    </w:p>
    <w:p w14:paraId="40DED310">
      <w:pPr>
        <w:pStyle w:val="2"/>
        <w:spacing w:before="120" w:line="216" w:lineRule="auto"/>
        <w:ind w:left="1887"/>
        <w:rPr>
          <w:sz w:val="24"/>
          <w:szCs w:val="24"/>
        </w:rPr>
      </w:pPr>
      <w:r>
        <w:rPr>
          <w:spacing w:val="-21"/>
          <w:sz w:val="24"/>
          <w:szCs w:val="24"/>
        </w:rPr>
        <w:t>6、尽快布置好临时供电、供水线路，及污水处理及排污布置。</w:t>
      </w:r>
    </w:p>
    <w:p w14:paraId="68ED27DD">
      <w:pPr>
        <w:pStyle w:val="2"/>
        <w:spacing w:before="117" w:line="216" w:lineRule="auto"/>
        <w:ind w:left="1891"/>
        <w:rPr>
          <w:sz w:val="24"/>
          <w:szCs w:val="24"/>
        </w:rPr>
      </w:pPr>
      <w:r>
        <w:rPr>
          <w:spacing w:val="-21"/>
          <w:sz w:val="24"/>
          <w:szCs w:val="24"/>
        </w:rPr>
        <w:t>7、搭设施工临时设施（施工临时设施及施工机械的布置详见“施工平面布置图”）。</w:t>
      </w:r>
    </w:p>
    <w:p w14:paraId="5D669F44">
      <w:pPr>
        <w:pStyle w:val="2"/>
        <w:spacing w:before="120" w:line="216" w:lineRule="auto"/>
        <w:ind w:left="1886"/>
        <w:rPr>
          <w:sz w:val="24"/>
          <w:szCs w:val="24"/>
        </w:rPr>
      </w:pPr>
      <w:r>
        <w:rPr>
          <w:spacing w:val="-21"/>
          <w:sz w:val="24"/>
          <w:szCs w:val="24"/>
        </w:rPr>
        <w:t>8、从一进场就形成良好的习惯，做好施工现场的清洁及围护工作，文明施工。</w:t>
      </w:r>
    </w:p>
    <w:p w14:paraId="70B4C748">
      <w:pPr>
        <w:pStyle w:val="2"/>
        <w:spacing w:before="85" w:line="217" w:lineRule="auto"/>
        <w:ind w:left="2010"/>
        <w:outlineLvl w:val="2"/>
        <w:rPr>
          <w:sz w:val="28"/>
          <w:szCs w:val="28"/>
        </w:rPr>
      </w:pPr>
      <w:bookmarkStart w:id="181" w:name="bookmark173"/>
      <w:bookmarkEnd w:id="181"/>
      <w:r>
        <w:rPr>
          <w:b/>
          <w:bCs/>
          <w:spacing w:val="-25"/>
          <w:sz w:val="28"/>
          <w:szCs w:val="28"/>
        </w:rPr>
        <w:t>四、沟槽开挖施工阶段进度保证措施</w:t>
      </w:r>
    </w:p>
    <w:p w14:paraId="49E49B7C">
      <w:pPr>
        <w:pStyle w:val="2"/>
        <w:spacing w:before="102" w:line="308" w:lineRule="auto"/>
        <w:ind w:left="1463" w:right="1410" w:firstLine="461"/>
        <w:jc w:val="both"/>
        <w:rPr>
          <w:sz w:val="24"/>
          <w:szCs w:val="24"/>
        </w:rPr>
      </w:pPr>
      <w:r>
        <w:rPr>
          <w:spacing w:val="-20"/>
          <w:sz w:val="24"/>
          <w:szCs w:val="24"/>
        </w:rPr>
        <w:t>由于本工程土方量大，管道埋设较深，沟槽开挖时要做好</w:t>
      </w:r>
      <w:r>
        <w:rPr>
          <w:spacing w:val="-21"/>
          <w:sz w:val="24"/>
          <w:szCs w:val="24"/>
        </w:rPr>
        <w:t>沟槽支护和降排水工作，安全要</w:t>
      </w:r>
      <w:r>
        <w:rPr>
          <w:spacing w:val="-20"/>
          <w:sz w:val="24"/>
          <w:szCs w:val="24"/>
        </w:rPr>
        <w:t>求高，对周边环境影响也较大，为了保证按期完成工程任务，我司针对本工程特点，以及面临</w:t>
      </w:r>
      <w:r>
        <w:rPr>
          <w:spacing w:val="-21"/>
          <w:sz w:val="24"/>
          <w:szCs w:val="24"/>
        </w:rPr>
        <w:t>的一些工期风险，制定了一套完善的工期保证</w:t>
      </w:r>
      <w:r>
        <w:rPr>
          <w:spacing w:val="-22"/>
          <w:sz w:val="24"/>
          <w:szCs w:val="24"/>
        </w:rPr>
        <w:t>措施及进度计划管理方法。</w:t>
      </w:r>
    </w:p>
    <w:p w14:paraId="1D105806">
      <w:pPr>
        <w:pStyle w:val="2"/>
        <w:spacing w:before="1" w:line="217" w:lineRule="auto"/>
        <w:ind w:left="1903"/>
        <w:rPr>
          <w:sz w:val="24"/>
          <w:szCs w:val="24"/>
        </w:rPr>
      </w:pPr>
      <w:r>
        <w:rPr>
          <w:spacing w:val="-20"/>
          <w:sz w:val="24"/>
          <w:szCs w:val="24"/>
        </w:rPr>
        <w:t>1、影响施工进度的主要因素分析</w:t>
      </w:r>
    </w:p>
    <w:p w14:paraId="5C93CEC8">
      <w:pPr>
        <w:pStyle w:val="2"/>
        <w:spacing w:before="118" w:line="264" w:lineRule="auto"/>
        <w:ind w:left="1458" w:right="1410" w:firstLine="435"/>
        <w:rPr>
          <w:sz w:val="24"/>
          <w:szCs w:val="24"/>
        </w:rPr>
      </w:pPr>
      <w:r>
        <w:rPr>
          <w:spacing w:val="-20"/>
          <w:sz w:val="24"/>
          <w:szCs w:val="24"/>
        </w:rPr>
        <w:t>根据本工程的工程特点，场地条件，周边环境确定出本工程存在以下主要风险因素，具体</w:t>
      </w:r>
      <w:r>
        <w:rPr>
          <w:spacing w:val="-16"/>
          <w:sz w:val="24"/>
          <w:szCs w:val="24"/>
        </w:rPr>
        <w:t>见下表：</w:t>
      </w:r>
    </w:p>
    <w:tbl>
      <w:tblPr>
        <w:tblStyle w:val="6"/>
        <w:tblW w:w="9106" w:type="dxa"/>
        <w:tblInd w:w="1399"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95"/>
        <w:gridCol w:w="576"/>
        <w:gridCol w:w="1675"/>
        <w:gridCol w:w="6660"/>
      </w:tblGrid>
      <w:tr w14:paraId="77685F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8" w:hRule="atLeast"/>
        </w:trPr>
        <w:tc>
          <w:tcPr>
            <w:tcW w:w="771" w:type="dxa"/>
            <w:gridSpan w:val="2"/>
            <w:tcBorders>
              <w:top w:val="single" w:color="000000" w:sz="4" w:space="0"/>
              <w:left w:val="single" w:color="000000" w:sz="4" w:space="0"/>
            </w:tcBorders>
            <w:shd w:val="clear" w:color="auto" w:fill="DEEAF6"/>
            <w:vAlign w:val="top"/>
          </w:tcPr>
          <w:p w14:paraId="1B4F7532">
            <w:pPr>
              <w:pStyle w:val="7"/>
              <w:spacing w:before="127" w:line="218" w:lineRule="auto"/>
              <w:ind w:left="181"/>
            </w:pPr>
            <w:r>
              <w:rPr>
                <w:b/>
                <w:bCs/>
                <w:spacing w:val="-12"/>
              </w:rPr>
              <w:t>序号</w:t>
            </w:r>
          </w:p>
        </w:tc>
        <w:tc>
          <w:tcPr>
            <w:tcW w:w="1675" w:type="dxa"/>
            <w:tcBorders>
              <w:top w:val="single" w:color="000000" w:sz="4" w:space="0"/>
            </w:tcBorders>
            <w:shd w:val="clear" w:color="auto" w:fill="DEEAF6"/>
            <w:vAlign w:val="top"/>
          </w:tcPr>
          <w:p w14:paraId="29993703">
            <w:pPr>
              <w:pStyle w:val="7"/>
              <w:spacing w:before="126" w:line="221" w:lineRule="auto"/>
              <w:ind w:left="651"/>
            </w:pPr>
            <w:r>
              <w:rPr>
                <w:b/>
                <w:bCs/>
                <w:spacing w:val="-19"/>
              </w:rPr>
              <w:t>因素</w:t>
            </w:r>
          </w:p>
        </w:tc>
        <w:tc>
          <w:tcPr>
            <w:tcW w:w="6660" w:type="dxa"/>
            <w:tcBorders>
              <w:top w:val="single" w:color="5B9BD5" w:sz="4" w:space="0"/>
              <w:right w:val="single" w:color="5B9BD5" w:sz="4" w:space="0"/>
            </w:tcBorders>
            <w:shd w:val="clear" w:color="auto" w:fill="DEEAF6"/>
            <w:vAlign w:val="top"/>
          </w:tcPr>
          <w:p w14:paraId="63715DD0">
            <w:pPr>
              <w:pStyle w:val="7"/>
              <w:spacing w:before="127" w:line="217" w:lineRule="auto"/>
              <w:ind w:left="2897"/>
            </w:pPr>
            <w:r>
              <w:rPr>
                <w:b/>
                <w:bCs/>
                <w:spacing w:val="-18"/>
              </w:rPr>
              <w:t>风险分析</w:t>
            </w:r>
          </w:p>
        </w:tc>
      </w:tr>
      <w:tr w14:paraId="07CD34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28" w:hRule="atLeast"/>
        </w:trPr>
        <w:tc>
          <w:tcPr>
            <w:tcW w:w="771" w:type="dxa"/>
            <w:gridSpan w:val="2"/>
            <w:tcBorders>
              <w:left w:val="single" w:color="000000" w:sz="4" w:space="0"/>
            </w:tcBorders>
            <w:vAlign w:val="top"/>
          </w:tcPr>
          <w:p w14:paraId="6B24727B">
            <w:pPr>
              <w:spacing w:line="255" w:lineRule="auto"/>
              <w:rPr>
                <w:rFonts w:ascii="Arial"/>
                <w:sz w:val="21"/>
              </w:rPr>
            </w:pPr>
          </w:p>
          <w:p w14:paraId="575B367C">
            <w:pPr>
              <w:spacing w:line="256" w:lineRule="auto"/>
              <w:rPr>
                <w:rFonts w:ascii="Arial"/>
                <w:sz w:val="21"/>
              </w:rPr>
            </w:pPr>
          </w:p>
          <w:p w14:paraId="7CE6C154">
            <w:pPr>
              <w:pStyle w:val="7"/>
              <w:spacing w:before="78" w:line="238" w:lineRule="auto"/>
              <w:ind w:left="356"/>
            </w:pPr>
            <w:r>
              <w:t>1</w:t>
            </w:r>
          </w:p>
        </w:tc>
        <w:tc>
          <w:tcPr>
            <w:tcW w:w="1675" w:type="dxa"/>
            <w:vAlign w:val="top"/>
          </w:tcPr>
          <w:p w14:paraId="179F1040">
            <w:pPr>
              <w:spacing w:line="255" w:lineRule="auto"/>
              <w:rPr>
                <w:rFonts w:ascii="Arial"/>
                <w:sz w:val="21"/>
              </w:rPr>
            </w:pPr>
          </w:p>
          <w:p w14:paraId="2C3A89AB">
            <w:pPr>
              <w:spacing w:line="256" w:lineRule="auto"/>
              <w:rPr>
                <w:rFonts w:ascii="Arial"/>
                <w:sz w:val="21"/>
              </w:rPr>
            </w:pPr>
          </w:p>
          <w:p w14:paraId="58DC9917">
            <w:pPr>
              <w:pStyle w:val="7"/>
              <w:spacing w:before="78" w:line="218" w:lineRule="auto"/>
              <w:ind w:left="411"/>
            </w:pPr>
            <w:r>
              <w:rPr>
                <w:spacing w:val="-15"/>
              </w:rPr>
              <w:t>场地分散</w:t>
            </w:r>
          </w:p>
        </w:tc>
        <w:tc>
          <w:tcPr>
            <w:tcW w:w="6660" w:type="dxa"/>
            <w:tcBorders>
              <w:right w:val="single" w:color="000000" w:sz="4" w:space="0"/>
            </w:tcBorders>
            <w:vAlign w:val="top"/>
          </w:tcPr>
          <w:p w14:paraId="2841B611">
            <w:pPr>
              <w:pStyle w:val="7"/>
              <w:spacing w:before="125" w:line="288" w:lineRule="auto"/>
              <w:ind w:left="1590" w:right="110" w:hanging="1461"/>
            </w:pPr>
            <w:r>
              <w:rPr>
                <w:spacing w:val="-22"/>
              </w:rPr>
              <w:t>1、由于场地分散，小区人流量大，给本工程带</w:t>
            </w:r>
            <w:r>
              <w:rPr>
                <w:spacing w:val="-23"/>
              </w:rPr>
              <w:t>来种种不便，如材料</w:t>
            </w:r>
            <w:r>
              <w:rPr>
                <w:spacing w:val="-21"/>
              </w:rPr>
              <w:t>堆放及加工场地不能满足施工要求。</w:t>
            </w:r>
          </w:p>
          <w:p w14:paraId="699898A8">
            <w:pPr>
              <w:pStyle w:val="7"/>
              <w:spacing w:before="183" w:line="216" w:lineRule="auto"/>
              <w:ind w:left="1640"/>
            </w:pPr>
            <w:r>
              <w:rPr>
                <w:spacing w:val="-20"/>
              </w:rPr>
              <w:t>2、现场交通布置较难，运输困难。</w:t>
            </w:r>
          </w:p>
        </w:tc>
      </w:tr>
      <w:tr w14:paraId="1F835E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56" w:hRule="atLeast"/>
        </w:trPr>
        <w:tc>
          <w:tcPr>
            <w:tcW w:w="771" w:type="dxa"/>
            <w:gridSpan w:val="2"/>
            <w:tcBorders>
              <w:left w:val="single" w:color="000000" w:sz="4" w:space="0"/>
            </w:tcBorders>
            <w:vAlign w:val="top"/>
          </w:tcPr>
          <w:p w14:paraId="3AC46467">
            <w:pPr>
              <w:spacing w:line="271" w:lineRule="auto"/>
              <w:rPr>
                <w:rFonts w:ascii="Arial"/>
                <w:sz w:val="21"/>
              </w:rPr>
            </w:pPr>
          </w:p>
          <w:p w14:paraId="0BFA6462">
            <w:pPr>
              <w:pStyle w:val="7"/>
              <w:spacing w:before="78" w:line="238" w:lineRule="auto"/>
              <w:ind w:left="342"/>
            </w:pPr>
            <w:r>
              <w:t>2</w:t>
            </w:r>
          </w:p>
        </w:tc>
        <w:tc>
          <w:tcPr>
            <w:tcW w:w="1675" w:type="dxa"/>
            <w:vAlign w:val="top"/>
          </w:tcPr>
          <w:p w14:paraId="5EFD5ADA">
            <w:pPr>
              <w:spacing w:line="271" w:lineRule="auto"/>
              <w:rPr>
                <w:rFonts w:ascii="Arial"/>
                <w:sz w:val="21"/>
              </w:rPr>
            </w:pPr>
          </w:p>
          <w:p w14:paraId="3FDE9023">
            <w:pPr>
              <w:pStyle w:val="7"/>
              <w:spacing w:before="78" w:line="218" w:lineRule="auto"/>
              <w:ind w:left="194"/>
            </w:pPr>
            <w:r>
              <w:rPr>
                <w:spacing w:val="-18"/>
              </w:rPr>
              <w:t>周边环境影响</w:t>
            </w:r>
          </w:p>
        </w:tc>
        <w:tc>
          <w:tcPr>
            <w:tcW w:w="6660" w:type="dxa"/>
            <w:tcBorders>
              <w:right w:val="single" w:color="000000" w:sz="4" w:space="0"/>
            </w:tcBorders>
            <w:vAlign w:val="top"/>
          </w:tcPr>
          <w:p w14:paraId="7A4937DA">
            <w:pPr>
              <w:pStyle w:val="7"/>
              <w:spacing w:before="118" w:line="215" w:lineRule="auto"/>
              <w:ind w:left="129"/>
            </w:pPr>
            <w:r>
              <w:rPr>
                <w:spacing w:val="-21"/>
              </w:rPr>
              <w:t>1、道路两侧多为在建住宅小区，场外存在交通组织协调问题以</w:t>
            </w:r>
            <w:r>
              <w:rPr>
                <w:spacing w:val="-22"/>
              </w:rPr>
              <w:t>及施</w:t>
            </w:r>
          </w:p>
          <w:p w14:paraId="69072108">
            <w:pPr>
              <w:pStyle w:val="7"/>
              <w:spacing w:before="185" w:line="217" w:lineRule="auto"/>
              <w:ind w:left="2032"/>
            </w:pPr>
            <w:r>
              <w:rPr>
                <w:spacing w:val="-21"/>
              </w:rPr>
              <w:t>工过程中的种种扰民问题。</w:t>
            </w:r>
          </w:p>
        </w:tc>
      </w:tr>
      <w:tr w14:paraId="486670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58" w:hRule="atLeast"/>
        </w:trPr>
        <w:tc>
          <w:tcPr>
            <w:tcW w:w="771" w:type="dxa"/>
            <w:gridSpan w:val="2"/>
            <w:tcBorders>
              <w:left w:val="single" w:color="000000" w:sz="4" w:space="0"/>
            </w:tcBorders>
            <w:vAlign w:val="top"/>
          </w:tcPr>
          <w:p w14:paraId="7227037C">
            <w:pPr>
              <w:spacing w:line="268" w:lineRule="auto"/>
              <w:rPr>
                <w:rFonts w:ascii="Arial"/>
                <w:sz w:val="21"/>
              </w:rPr>
            </w:pPr>
          </w:p>
          <w:p w14:paraId="0B077A71">
            <w:pPr>
              <w:pStyle w:val="7"/>
              <w:spacing w:before="78" w:line="237" w:lineRule="auto"/>
              <w:ind w:left="344"/>
            </w:pPr>
            <w:r>
              <w:t>3</w:t>
            </w:r>
          </w:p>
        </w:tc>
        <w:tc>
          <w:tcPr>
            <w:tcW w:w="1675" w:type="dxa"/>
            <w:vAlign w:val="top"/>
          </w:tcPr>
          <w:p w14:paraId="4E4BDDA8">
            <w:pPr>
              <w:spacing w:line="268" w:lineRule="auto"/>
              <w:rPr>
                <w:rFonts w:ascii="Arial"/>
                <w:sz w:val="21"/>
              </w:rPr>
            </w:pPr>
          </w:p>
          <w:p w14:paraId="0DEC9084">
            <w:pPr>
              <w:pStyle w:val="7"/>
              <w:spacing w:before="78" w:line="219" w:lineRule="auto"/>
              <w:ind w:left="410"/>
            </w:pPr>
            <w:r>
              <w:rPr>
                <w:spacing w:val="-15"/>
              </w:rPr>
              <w:t>雨季施工</w:t>
            </w:r>
          </w:p>
        </w:tc>
        <w:tc>
          <w:tcPr>
            <w:tcW w:w="6660" w:type="dxa"/>
            <w:tcBorders>
              <w:right w:val="single" w:color="000000" w:sz="4" w:space="0"/>
            </w:tcBorders>
            <w:vAlign w:val="top"/>
          </w:tcPr>
          <w:p w14:paraId="5F43AE3D">
            <w:pPr>
              <w:pStyle w:val="7"/>
              <w:spacing w:before="113" w:line="217" w:lineRule="auto"/>
              <w:ind w:left="129"/>
            </w:pPr>
            <w:r>
              <w:rPr>
                <w:spacing w:val="-21"/>
              </w:rPr>
              <w:t>1、本工程施工周期较长，无可避免的要经过雨季，且雨季对基</w:t>
            </w:r>
            <w:r>
              <w:rPr>
                <w:spacing w:val="-22"/>
              </w:rPr>
              <w:t>坑的</w:t>
            </w:r>
          </w:p>
          <w:p w14:paraId="1CCD5B0F">
            <w:pPr>
              <w:pStyle w:val="7"/>
              <w:spacing w:before="185" w:line="217" w:lineRule="auto"/>
              <w:ind w:left="2574"/>
            </w:pPr>
            <w:r>
              <w:rPr>
                <w:spacing w:val="-19"/>
              </w:rPr>
              <w:t>影响相当之大。</w:t>
            </w:r>
          </w:p>
        </w:tc>
      </w:tr>
      <w:tr w14:paraId="02F658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9" w:hRule="atLeast"/>
        </w:trPr>
        <w:tc>
          <w:tcPr>
            <w:tcW w:w="195" w:type="dxa"/>
            <w:tcBorders>
              <w:left w:val="single" w:color="1C456A" w:sz="4" w:space="0"/>
              <w:bottom w:val="single" w:color="1C456A" w:sz="4" w:space="0"/>
              <w:right w:val="nil"/>
            </w:tcBorders>
            <w:vAlign w:val="top"/>
          </w:tcPr>
          <w:p w14:paraId="264792EC">
            <w:pPr>
              <w:rPr>
                <w:rFonts w:ascii="Arial"/>
                <w:sz w:val="21"/>
              </w:rPr>
            </w:pPr>
            <w:r>
              <w:pict>
                <v:shape id="_x0000_s3685" o:spid="_x0000_s3685" style="position:absolute;left:0pt;margin-left:-0.25pt;margin-top:54.95pt;height:0.75pt;width:2.2pt;mso-position-horizontal-relative:page;mso-position-vertical-relative:page;z-index:252172288;mso-width-relative:page;mso-height-relative:page;" fillcolor="#5B9BD5" filled="t" stroked="f" coordsize="44,15" path="m0,14l43,14,43,0,0,0,0,14xe">
                  <v:path/>
                  <v:fill on="t" focussize="0,0"/>
                  <v:stroke on="f"/>
                  <v:imagedata o:title=""/>
                  <o:lock v:ext="edit"/>
                </v:shape>
              </w:pict>
            </w:r>
          </w:p>
        </w:tc>
        <w:tc>
          <w:tcPr>
            <w:tcW w:w="576" w:type="dxa"/>
            <w:tcBorders>
              <w:left w:val="nil"/>
              <w:bottom w:val="single" w:color="1C456A" w:sz="4" w:space="0"/>
            </w:tcBorders>
            <w:vAlign w:val="top"/>
          </w:tcPr>
          <w:p w14:paraId="632F99F1">
            <w:pPr>
              <w:spacing w:line="262" w:lineRule="auto"/>
              <w:rPr>
                <w:rFonts w:ascii="Arial"/>
                <w:sz w:val="21"/>
              </w:rPr>
            </w:pPr>
          </w:p>
          <w:p w14:paraId="03146350">
            <w:pPr>
              <w:pStyle w:val="7"/>
              <w:spacing w:before="78" w:line="238" w:lineRule="auto"/>
              <w:ind w:left="148"/>
            </w:pPr>
            <w:r>
              <w:t>4</w:t>
            </w:r>
          </w:p>
        </w:tc>
        <w:tc>
          <w:tcPr>
            <w:tcW w:w="1675" w:type="dxa"/>
            <w:tcBorders>
              <w:bottom w:val="single" w:color="000000" w:sz="4" w:space="0"/>
            </w:tcBorders>
            <w:vAlign w:val="top"/>
          </w:tcPr>
          <w:p w14:paraId="6066D22F">
            <w:pPr>
              <w:spacing w:line="261" w:lineRule="auto"/>
              <w:rPr>
                <w:rFonts w:ascii="Arial"/>
                <w:sz w:val="21"/>
              </w:rPr>
            </w:pPr>
          </w:p>
          <w:p w14:paraId="0EFD9A88">
            <w:pPr>
              <w:pStyle w:val="7"/>
              <w:spacing w:before="78" w:line="218" w:lineRule="auto"/>
              <w:ind w:left="201"/>
            </w:pPr>
            <w:r>
              <w:rPr>
                <w:spacing w:val="-20"/>
              </w:rPr>
              <w:t>意外突发情况</w:t>
            </w:r>
          </w:p>
        </w:tc>
        <w:tc>
          <w:tcPr>
            <w:tcW w:w="6660" w:type="dxa"/>
            <w:tcBorders>
              <w:bottom w:val="single" w:color="5B9BD5" w:sz="4" w:space="0"/>
              <w:right w:val="single" w:color="5B9BD5" w:sz="4" w:space="0"/>
            </w:tcBorders>
            <w:vAlign w:val="top"/>
          </w:tcPr>
          <w:p w14:paraId="4BF6D17D">
            <w:pPr>
              <w:pStyle w:val="7"/>
              <w:spacing w:before="109" w:line="217" w:lineRule="auto"/>
              <w:ind w:left="129"/>
            </w:pPr>
            <w:r>
              <w:pict>
                <v:shape id="_x0000_s3686" o:spid="_x0000_s3686" style="position:absolute;left:0pt;margin-left:331.15pt;margin-top:54.95pt;height:0.75pt;width:2.2pt;mso-position-horizontal-relative:page;mso-position-vertical-relative:page;z-index:252171264;mso-width-relative:page;mso-height-relative:page;" fillcolor="#5B9BD5" filled="t" stroked="f" coordsize="44,15" path="m0,14l43,14,43,0,0,0,0,14xe">
                  <v:path/>
                  <v:fill on="t" focussize="0,0"/>
                  <v:stroke on="f"/>
                  <v:imagedata o:title=""/>
                  <o:lock v:ext="edit"/>
                </v:shape>
              </w:pict>
            </w:r>
            <w:r>
              <w:rPr>
                <w:spacing w:val="-21"/>
              </w:rPr>
              <w:t>1、本工程基坑深度深，因地质情况而可能出现的意外情况的概</w:t>
            </w:r>
            <w:r>
              <w:rPr>
                <w:spacing w:val="-22"/>
              </w:rPr>
              <w:t>率也</w:t>
            </w:r>
          </w:p>
          <w:p w14:paraId="3E13ED5D">
            <w:pPr>
              <w:pStyle w:val="7"/>
              <w:spacing w:before="185" w:line="218" w:lineRule="auto"/>
              <w:ind w:left="1703"/>
            </w:pPr>
            <w:r>
              <w:rPr>
                <w:spacing w:val="-21"/>
              </w:rPr>
              <w:t>大，出现的意外情况会延长工期。</w:t>
            </w:r>
          </w:p>
        </w:tc>
      </w:tr>
    </w:tbl>
    <w:p w14:paraId="52534BEE">
      <w:pPr>
        <w:pStyle w:val="2"/>
        <w:spacing w:before="113" w:line="218" w:lineRule="auto"/>
        <w:ind w:left="1888"/>
        <w:rPr>
          <w:sz w:val="24"/>
          <w:szCs w:val="24"/>
        </w:rPr>
      </w:pPr>
      <w:r>
        <w:rPr>
          <w:spacing w:val="-19"/>
          <w:sz w:val="24"/>
          <w:szCs w:val="24"/>
        </w:rPr>
        <w:t>2、针对主要影响因素采取的措施</w:t>
      </w:r>
    </w:p>
    <w:p w14:paraId="755D40A8">
      <w:pPr>
        <w:pStyle w:val="2"/>
        <w:spacing w:before="118" w:line="218" w:lineRule="auto"/>
        <w:ind w:left="1888"/>
        <w:rPr>
          <w:sz w:val="24"/>
          <w:szCs w:val="24"/>
        </w:rPr>
      </w:pPr>
      <w:r>
        <w:rPr>
          <w:spacing w:val="-16"/>
          <w:sz w:val="24"/>
          <w:szCs w:val="24"/>
        </w:rPr>
        <w:t>2.1、场地分散因素</w:t>
      </w:r>
    </w:p>
    <w:p w14:paraId="0A7C5519">
      <w:pPr>
        <w:pStyle w:val="2"/>
        <w:spacing w:before="117" w:line="216" w:lineRule="auto"/>
        <w:ind w:left="1893"/>
        <w:rPr>
          <w:sz w:val="24"/>
          <w:szCs w:val="24"/>
        </w:rPr>
      </w:pPr>
      <w:r>
        <w:rPr>
          <w:spacing w:val="-21"/>
          <w:sz w:val="24"/>
          <w:szCs w:val="24"/>
        </w:rPr>
        <w:t>（1）精心合理布置平面，加强现场平面动态管理，最大限度的增加现场空地的利用</w:t>
      </w:r>
      <w:r>
        <w:rPr>
          <w:spacing w:val="-22"/>
          <w:sz w:val="24"/>
          <w:szCs w:val="24"/>
        </w:rPr>
        <w:t>率。</w:t>
      </w:r>
    </w:p>
    <w:p w14:paraId="46CBEB06">
      <w:pPr>
        <w:pStyle w:val="2"/>
        <w:spacing w:before="118" w:line="278" w:lineRule="auto"/>
        <w:ind w:left="1459" w:right="1409" w:firstLine="433"/>
        <w:rPr>
          <w:sz w:val="24"/>
          <w:szCs w:val="24"/>
        </w:rPr>
      </w:pPr>
      <w:r>
        <w:rPr>
          <w:spacing w:val="-22"/>
          <w:sz w:val="24"/>
          <w:szCs w:val="24"/>
        </w:rPr>
        <w:t>（2）大量投入机械在后期受施工场地影响较大，我方将合理组织安排，利有有效资源</w:t>
      </w:r>
      <w:r>
        <w:rPr>
          <w:spacing w:val="-23"/>
          <w:sz w:val="24"/>
          <w:szCs w:val="24"/>
        </w:rPr>
        <w:t>，加</w:t>
      </w:r>
      <w:r>
        <w:rPr>
          <w:spacing w:val="-20"/>
          <w:sz w:val="24"/>
          <w:szCs w:val="24"/>
        </w:rPr>
        <w:t>强穿插流水作业及中心盘开挖方式，才能确保各工序的施工工期，在总工期目标要求下做到提</w:t>
      </w:r>
      <w:r>
        <w:rPr>
          <w:spacing w:val="-21"/>
          <w:sz w:val="24"/>
          <w:szCs w:val="24"/>
        </w:rPr>
        <w:t>前穿插，尽可能增加工序搭接时间，减少工序等待时</w:t>
      </w:r>
      <w:r>
        <w:rPr>
          <w:spacing w:val="-22"/>
          <w:sz w:val="24"/>
          <w:szCs w:val="24"/>
        </w:rPr>
        <w:t>间，从而减少资源浪费，降低工程成本；</w:t>
      </w:r>
    </w:p>
    <w:p w14:paraId="6C43BCEE">
      <w:pPr>
        <w:pStyle w:val="2"/>
        <w:spacing w:before="117" w:line="262" w:lineRule="auto"/>
        <w:ind w:left="1456" w:right="1429" w:firstLine="436"/>
        <w:rPr>
          <w:sz w:val="24"/>
          <w:szCs w:val="24"/>
        </w:rPr>
      </w:pPr>
      <w:r>
        <w:rPr>
          <w:spacing w:val="-23"/>
          <w:sz w:val="24"/>
          <w:szCs w:val="24"/>
        </w:rPr>
        <w:t>（3）根据现场情况，在采用内支撑支护的部分预留土台做出土坡道，在现场设置两个出土</w:t>
      </w:r>
      <w:r>
        <w:rPr>
          <w:spacing w:val="-21"/>
          <w:sz w:val="24"/>
          <w:szCs w:val="24"/>
        </w:rPr>
        <w:t>坡道，保证土方外运，保证每日土方出土量。</w:t>
      </w:r>
    </w:p>
    <w:p w14:paraId="1B65FED9">
      <w:pPr>
        <w:pStyle w:val="2"/>
        <w:spacing w:before="120" w:line="218" w:lineRule="auto"/>
        <w:ind w:left="1888"/>
        <w:rPr>
          <w:sz w:val="24"/>
          <w:szCs w:val="24"/>
        </w:rPr>
      </w:pPr>
      <w:r>
        <w:rPr>
          <w:spacing w:val="-17"/>
          <w:sz w:val="24"/>
          <w:szCs w:val="24"/>
        </w:rPr>
        <w:t>2.2、周边环境影响因素</w:t>
      </w:r>
    </w:p>
    <w:p w14:paraId="2F74EC5F">
      <w:pPr>
        <w:pStyle w:val="2"/>
        <w:spacing w:before="115" w:line="309" w:lineRule="auto"/>
        <w:ind w:left="1457" w:right="1410" w:firstLine="435"/>
        <w:rPr>
          <w:sz w:val="24"/>
          <w:szCs w:val="24"/>
        </w:rPr>
      </w:pPr>
      <w:r>
        <w:rPr>
          <w:spacing w:val="-22"/>
          <w:sz w:val="24"/>
          <w:szCs w:val="24"/>
        </w:rPr>
        <w:t>（1）积极沟通政府部门，做好附近交通的协调组织工作，加大周围群众的安抚力度</w:t>
      </w:r>
      <w:r>
        <w:rPr>
          <w:spacing w:val="-23"/>
          <w:sz w:val="24"/>
          <w:szCs w:val="24"/>
        </w:rPr>
        <w:t>，尽量</w:t>
      </w:r>
      <w:r>
        <w:rPr>
          <w:spacing w:val="-19"/>
          <w:sz w:val="24"/>
          <w:szCs w:val="24"/>
        </w:rPr>
        <w:t>取得他们的谅解。</w:t>
      </w:r>
    </w:p>
    <w:p w14:paraId="5452C310">
      <w:pPr>
        <w:spacing w:line="309" w:lineRule="auto"/>
        <w:rPr>
          <w:sz w:val="24"/>
          <w:szCs w:val="24"/>
        </w:rPr>
        <w:sectPr>
          <w:footerReference r:id="rId254" w:type="default"/>
          <w:pgSz w:w="11907" w:h="16839"/>
          <w:pgMar w:top="933" w:right="4" w:bottom="1038" w:left="0" w:header="478" w:footer="357" w:gutter="0"/>
          <w:pgBorders>
            <w:top w:val="none" w:sz="0" w:space="0"/>
            <w:left w:val="none" w:sz="0" w:space="0"/>
            <w:bottom w:val="none" w:sz="0" w:space="0"/>
            <w:right w:val="none" w:sz="0" w:space="0"/>
          </w:pgBorders>
          <w:cols w:space="720" w:num="1"/>
        </w:sectPr>
      </w:pPr>
    </w:p>
    <w:p w14:paraId="3162E333">
      <w:pPr>
        <w:spacing w:line="270" w:lineRule="auto"/>
        <w:rPr>
          <w:rFonts w:ascii="Arial"/>
          <w:sz w:val="21"/>
        </w:rPr>
      </w:pPr>
    </w:p>
    <w:p w14:paraId="7BB8135C">
      <w:pPr>
        <w:pStyle w:val="2"/>
        <w:spacing w:before="78" w:line="263" w:lineRule="auto"/>
        <w:ind w:left="1462" w:right="1413" w:firstLine="431"/>
        <w:rPr>
          <w:sz w:val="24"/>
          <w:szCs w:val="24"/>
        </w:rPr>
      </w:pPr>
      <w:r>
        <w:rPr>
          <w:spacing w:val="-22"/>
          <w:sz w:val="24"/>
          <w:szCs w:val="24"/>
        </w:rPr>
        <w:t>（2）在施工过程中，做好防尘、防噪音、防遗撒措施，优先选用对周边环境</w:t>
      </w:r>
      <w:r>
        <w:rPr>
          <w:spacing w:val="-23"/>
          <w:sz w:val="24"/>
          <w:szCs w:val="24"/>
        </w:rPr>
        <w:t>影响较小的施工机械和施工工艺。</w:t>
      </w:r>
    </w:p>
    <w:p w14:paraId="4E3D3B10">
      <w:pPr>
        <w:pStyle w:val="2"/>
        <w:spacing w:before="117" w:line="215" w:lineRule="auto"/>
        <w:ind w:left="1893"/>
        <w:rPr>
          <w:sz w:val="24"/>
          <w:szCs w:val="24"/>
        </w:rPr>
      </w:pPr>
      <w:r>
        <w:rPr>
          <w:spacing w:val="-22"/>
          <w:sz w:val="24"/>
          <w:szCs w:val="24"/>
        </w:rPr>
        <w:t>（3）在工地附近租赁场地搭建工人生活区，租赁大巴每天固定时间集中接运工人上线班。</w:t>
      </w:r>
    </w:p>
    <w:p w14:paraId="523E84B8">
      <w:pPr>
        <w:pStyle w:val="2"/>
        <w:spacing w:before="120" w:line="219" w:lineRule="auto"/>
        <w:ind w:left="1888"/>
        <w:rPr>
          <w:sz w:val="24"/>
          <w:szCs w:val="24"/>
        </w:rPr>
      </w:pPr>
      <w:r>
        <w:rPr>
          <w:spacing w:val="-14"/>
          <w:sz w:val="24"/>
          <w:szCs w:val="24"/>
        </w:rPr>
        <w:t>2.3、雨季影响</w:t>
      </w:r>
    </w:p>
    <w:p w14:paraId="10709DF8">
      <w:pPr>
        <w:pStyle w:val="2"/>
        <w:spacing w:before="115" w:line="262" w:lineRule="auto"/>
        <w:ind w:left="1467" w:right="1412" w:firstLine="425"/>
        <w:rPr>
          <w:sz w:val="24"/>
          <w:szCs w:val="24"/>
        </w:rPr>
      </w:pPr>
      <w:r>
        <w:rPr>
          <w:spacing w:val="-22"/>
          <w:sz w:val="24"/>
          <w:szCs w:val="24"/>
        </w:rPr>
        <w:t>（1）工程开工后，根据以往的施工经验及每天收集的气象资料，调整施工进度</w:t>
      </w:r>
      <w:r>
        <w:rPr>
          <w:spacing w:val="-23"/>
          <w:sz w:val="24"/>
          <w:szCs w:val="24"/>
        </w:rPr>
        <w:t>，合理安排</w:t>
      </w:r>
      <w:r>
        <w:rPr>
          <w:spacing w:val="-22"/>
          <w:sz w:val="24"/>
          <w:szCs w:val="24"/>
        </w:rPr>
        <w:t>受雨季及台风季节影响的施工内容。</w:t>
      </w:r>
    </w:p>
    <w:p w14:paraId="29A4C72D">
      <w:pPr>
        <w:pStyle w:val="2"/>
        <w:spacing w:before="119" w:line="216" w:lineRule="auto"/>
        <w:ind w:left="1893"/>
        <w:rPr>
          <w:sz w:val="24"/>
          <w:szCs w:val="24"/>
        </w:rPr>
      </w:pPr>
      <w:r>
        <w:rPr>
          <w:spacing w:val="-21"/>
          <w:sz w:val="24"/>
          <w:szCs w:val="24"/>
        </w:rPr>
        <w:t>（2）施工期间密切注意天气预报,现场配备足够的潜水泵、塑</w:t>
      </w:r>
      <w:r>
        <w:rPr>
          <w:spacing w:val="-22"/>
          <w:sz w:val="24"/>
          <w:szCs w:val="24"/>
        </w:rPr>
        <w:t>料薄膜、彩条布等。</w:t>
      </w:r>
    </w:p>
    <w:p w14:paraId="29BCDD27">
      <w:pPr>
        <w:pStyle w:val="2"/>
        <w:spacing w:before="120" w:line="218" w:lineRule="auto"/>
        <w:ind w:left="1893"/>
        <w:rPr>
          <w:sz w:val="24"/>
          <w:szCs w:val="24"/>
        </w:rPr>
      </w:pPr>
      <w:r>
        <w:rPr>
          <w:spacing w:val="-20"/>
          <w:sz w:val="24"/>
          <w:szCs w:val="24"/>
        </w:rPr>
        <w:t>（3）做好现场的排水系统，减小雨季影响。</w:t>
      </w:r>
    </w:p>
    <w:p w14:paraId="0F94C1AA">
      <w:pPr>
        <w:pStyle w:val="2"/>
        <w:spacing w:before="114" w:line="218" w:lineRule="auto"/>
        <w:ind w:left="1888"/>
        <w:rPr>
          <w:sz w:val="24"/>
          <w:szCs w:val="24"/>
        </w:rPr>
      </w:pPr>
      <w:r>
        <w:rPr>
          <w:spacing w:val="-16"/>
          <w:sz w:val="24"/>
          <w:szCs w:val="24"/>
        </w:rPr>
        <w:t>2.4、意外突发情况</w:t>
      </w:r>
    </w:p>
    <w:p w14:paraId="70263FAC">
      <w:pPr>
        <w:pStyle w:val="2"/>
        <w:spacing w:before="117" w:line="217" w:lineRule="auto"/>
        <w:ind w:left="1893"/>
        <w:rPr>
          <w:sz w:val="24"/>
          <w:szCs w:val="24"/>
        </w:rPr>
      </w:pPr>
      <w:r>
        <w:rPr>
          <w:spacing w:val="-21"/>
          <w:sz w:val="24"/>
          <w:szCs w:val="24"/>
        </w:rPr>
        <w:t>（1）集中技术力量，事先全面考虑各种可能出现的突发事件，做好各项应急预案。</w:t>
      </w:r>
    </w:p>
    <w:p w14:paraId="6B014106">
      <w:pPr>
        <w:pStyle w:val="2"/>
        <w:spacing w:before="120" w:line="261" w:lineRule="auto"/>
        <w:ind w:left="1460" w:right="1411" w:firstLine="432"/>
        <w:rPr>
          <w:sz w:val="24"/>
          <w:szCs w:val="24"/>
        </w:rPr>
      </w:pPr>
      <w:r>
        <w:rPr>
          <w:spacing w:val="-22"/>
          <w:sz w:val="24"/>
          <w:szCs w:val="24"/>
        </w:rPr>
        <w:t>（2）针对本工程特邀请一些著名的资深专家，成立一个专家顾问小组，能够随</w:t>
      </w:r>
      <w:r>
        <w:rPr>
          <w:spacing w:val="-23"/>
          <w:sz w:val="24"/>
          <w:szCs w:val="24"/>
        </w:rPr>
        <w:t>时对本工程</w:t>
      </w:r>
      <w:r>
        <w:rPr>
          <w:spacing w:val="-22"/>
          <w:sz w:val="24"/>
          <w:szCs w:val="24"/>
        </w:rPr>
        <w:t>可能出现的问题，提供指导性意见及解决方案。</w:t>
      </w:r>
    </w:p>
    <w:p w14:paraId="5171AD14">
      <w:pPr>
        <w:pStyle w:val="2"/>
        <w:spacing w:before="86" w:line="217" w:lineRule="auto"/>
        <w:ind w:left="1981"/>
        <w:outlineLvl w:val="2"/>
        <w:rPr>
          <w:sz w:val="28"/>
          <w:szCs w:val="28"/>
        </w:rPr>
      </w:pPr>
      <w:bookmarkStart w:id="182" w:name="bookmark174"/>
      <w:bookmarkEnd w:id="182"/>
      <w:r>
        <w:rPr>
          <w:b/>
          <w:bCs/>
          <w:spacing w:val="-23"/>
          <w:sz w:val="28"/>
          <w:szCs w:val="28"/>
        </w:rPr>
        <w:t>五、其他各施工阶段进度保证措施</w:t>
      </w:r>
    </w:p>
    <w:p w14:paraId="4B75E373">
      <w:pPr>
        <w:pStyle w:val="2"/>
        <w:spacing w:before="105" w:line="308" w:lineRule="auto"/>
        <w:ind w:left="1459" w:right="1409" w:firstLine="433"/>
        <w:jc w:val="both"/>
        <w:rPr>
          <w:sz w:val="24"/>
          <w:szCs w:val="24"/>
        </w:rPr>
      </w:pPr>
      <w:r>
        <w:rPr>
          <w:spacing w:val="-20"/>
          <w:sz w:val="24"/>
          <w:szCs w:val="24"/>
        </w:rPr>
        <w:t>从本工程的具体情况分析，工程的关键线路在管道工程施工，水稳和沥青摊铺机械化操作高，施工速度快等。因此，为保证工期，需保证管道工程施工，钢筋工、砼工、模板工、管道</w:t>
      </w:r>
      <w:r>
        <w:rPr>
          <w:spacing w:val="-21"/>
          <w:sz w:val="24"/>
          <w:szCs w:val="24"/>
        </w:rPr>
        <w:t>安装工种及机械的随时调配，保证本工程工期的的</w:t>
      </w:r>
      <w:r>
        <w:rPr>
          <w:spacing w:val="-22"/>
          <w:sz w:val="24"/>
          <w:szCs w:val="24"/>
        </w:rPr>
        <w:t>顺利实现。</w:t>
      </w:r>
    </w:p>
    <w:p w14:paraId="65A8ACC4">
      <w:pPr>
        <w:pStyle w:val="2"/>
        <w:spacing w:before="1" w:line="215" w:lineRule="auto"/>
        <w:ind w:left="1903"/>
        <w:rPr>
          <w:sz w:val="24"/>
          <w:szCs w:val="24"/>
        </w:rPr>
      </w:pPr>
      <w:r>
        <w:rPr>
          <w:spacing w:val="-20"/>
          <w:sz w:val="24"/>
          <w:szCs w:val="24"/>
        </w:rPr>
        <w:t>1、施工进度计划检查及改正</w:t>
      </w:r>
    </w:p>
    <w:p w14:paraId="3A71C8ED">
      <w:pPr>
        <w:pStyle w:val="2"/>
        <w:spacing w:before="119" w:line="308" w:lineRule="auto"/>
        <w:ind w:left="1459" w:right="1410" w:firstLine="435"/>
        <w:rPr>
          <w:sz w:val="24"/>
          <w:szCs w:val="24"/>
        </w:rPr>
      </w:pPr>
      <w:r>
        <w:rPr>
          <w:spacing w:val="-20"/>
          <w:sz w:val="24"/>
          <w:szCs w:val="24"/>
        </w:rPr>
        <w:t>采用施工进度计划与周、日计划相结合的方法进行施工进度和管理，并配套制订措施、计</w:t>
      </w:r>
      <w:r>
        <w:rPr>
          <w:spacing w:val="-21"/>
          <w:sz w:val="24"/>
          <w:szCs w:val="24"/>
        </w:rPr>
        <w:t>划，设备、劳动力数量安排实施适当的动态管理。</w:t>
      </w:r>
    </w:p>
    <w:p w14:paraId="1ABCAB0D">
      <w:pPr>
        <w:pStyle w:val="2"/>
        <w:spacing w:before="1" w:line="307" w:lineRule="auto"/>
        <w:ind w:left="1455" w:right="1410" w:firstLine="444"/>
        <w:rPr>
          <w:sz w:val="24"/>
          <w:szCs w:val="24"/>
        </w:rPr>
      </w:pPr>
      <w:r>
        <w:rPr>
          <w:spacing w:val="-20"/>
          <w:sz w:val="24"/>
          <w:szCs w:val="24"/>
        </w:rPr>
        <w:t>合理安排施工进度和交叉流水工作，通过各控制点工期目标的实现来确保总工期目标的实</w:t>
      </w:r>
      <w:r>
        <w:rPr>
          <w:spacing w:val="-18"/>
          <w:sz w:val="24"/>
          <w:szCs w:val="24"/>
        </w:rPr>
        <w:t>现。</w:t>
      </w:r>
    </w:p>
    <w:p w14:paraId="7EA067CE">
      <w:pPr>
        <w:pStyle w:val="2"/>
        <w:spacing w:before="1" w:line="217" w:lineRule="auto"/>
        <w:ind w:left="1896"/>
        <w:rPr>
          <w:sz w:val="24"/>
          <w:szCs w:val="24"/>
        </w:rPr>
      </w:pPr>
      <w:r>
        <w:rPr>
          <w:spacing w:val="-21"/>
          <w:sz w:val="24"/>
          <w:szCs w:val="24"/>
        </w:rPr>
        <w:t>成熟的施工工艺和新工艺方法相结合，尽可能缩短工</w:t>
      </w:r>
      <w:r>
        <w:rPr>
          <w:spacing w:val="-22"/>
          <w:sz w:val="24"/>
          <w:szCs w:val="24"/>
        </w:rPr>
        <w:t>期。</w:t>
      </w:r>
    </w:p>
    <w:p w14:paraId="2D8DABBB">
      <w:pPr>
        <w:pStyle w:val="2"/>
        <w:spacing w:before="117" w:line="307" w:lineRule="auto"/>
        <w:ind w:left="1455" w:right="1410" w:firstLine="440"/>
        <w:rPr>
          <w:sz w:val="24"/>
          <w:szCs w:val="24"/>
        </w:rPr>
      </w:pPr>
      <w:r>
        <w:rPr>
          <w:spacing w:val="-20"/>
          <w:sz w:val="24"/>
          <w:szCs w:val="24"/>
        </w:rPr>
        <w:t>准备好预备零部件，带足备件、施工机械和工具，以保证现场的问题在现场解决，不因材料或组织的脱节而影响工期。</w:t>
      </w:r>
    </w:p>
    <w:p w14:paraId="4C4C0062">
      <w:pPr>
        <w:pStyle w:val="2"/>
        <w:spacing w:before="2" w:line="216" w:lineRule="auto"/>
        <w:ind w:left="1895"/>
        <w:rPr>
          <w:sz w:val="24"/>
          <w:szCs w:val="24"/>
        </w:rPr>
      </w:pPr>
      <w:r>
        <w:rPr>
          <w:spacing w:val="-21"/>
          <w:sz w:val="24"/>
          <w:szCs w:val="24"/>
        </w:rPr>
        <w:t>运输计划应至少提前三天到达现场，以避免雨天路阻影</w:t>
      </w:r>
      <w:r>
        <w:rPr>
          <w:spacing w:val="-22"/>
          <w:sz w:val="24"/>
          <w:szCs w:val="24"/>
        </w:rPr>
        <w:t>响材料脱节。</w:t>
      </w:r>
    </w:p>
    <w:p w14:paraId="1C51BDBA">
      <w:pPr>
        <w:pStyle w:val="2"/>
        <w:spacing w:before="120" w:line="216" w:lineRule="auto"/>
        <w:ind w:left="1894"/>
        <w:rPr>
          <w:sz w:val="24"/>
          <w:szCs w:val="24"/>
        </w:rPr>
      </w:pPr>
      <w:r>
        <w:rPr>
          <w:spacing w:val="-21"/>
          <w:sz w:val="24"/>
          <w:szCs w:val="24"/>
        </w:rPr>
        <w:t>所有构件编号由检验员专门核对，确保安装一次成功。</w:t>
      </w:r>
    </w:p>
    <w:p w14:paraId="4C9B2C56">
      <w:pPr>
        <w:pStyle w:val="2"/>
        <w:spacing w:before="118" w:line="308" w:lineRule="auto"/>
        <w:ind w:left="1458" w:right="1435" w:firstLine="436"/>
        <w:rPr>
          <w:sz w:val="24"/>
          <w:szCs w:val="24"/>
        </w:rPr>
      </w:pPr>
      <w:r>
        <w:rPr>
          <w:spacing w:val="-20"/>
          <w:sz w:val="24"/>
          <w:szCs w:val="24"/>
        </w:rPr>
        <w:t>严格完成当日施工计划工作量，不完成不收工，必要时可适当加班</w:t>
      </w:r>
      <w:r>
        <w:rPr>
          <w:spacing w:val="-21"/>
          <w:sz w:val="24"/>
          <w:szCs w:val="24"/>
        </w:rPr>
        <w:t>加点或加夜班完成，管理人员应及时分析工作中存在的问题并采取对策。</w:t>
      </w:r>
    </w:p>
    <w:p w14:paraId="5E696DC0">
      <w:pPr>
        <w:pStyle w:val="2"/>
        <w:spacing w:before="1" w:line="215" w:lineRule="auto"/>
        <w:ind w:left="1895"/>
        <w:rPr>
          <w:sz w:val="24"/>
          <w:szCs w:val="24"/>
        </w:rPr>
      </w:pPr>
      <w:r>
        <w:rPr>
          <w:spacing w:val="-21"/>
          <w:sz w:val="24"/>
          <w:szCs w:val="24"/>
        </w:rPr>
        <w:t>准备好照明灯具和线缆，确保在加夜班时有充分的照</w:t>
      </w:r>
      <w:r>
        <w:rPr>
          <w:spacing w:val="-22"/>
          <w:sz w:val="24"/>
          <w:szCs w:val="24"/>
        </w:rPr>
        <w:t>明，为夜班工作创造条件。</w:t>
      </w:r>
    </w:p>
    <w:p w14:paraId="68436F93">
      <w:pPr>
        <w:pStyle w:val="2"/>
        <w:spacing w:before="118" w:line="217" w:lineRule="auto"/>
        <w:ind w:left="1888"/>
        <w:rPr>
          <w:sz w:val="24"/>
          <w:szCs w:val="24"/>
        </w:rPr>
      </w:pPr>
      <w:r>
        <w:rPr>
          <w:spacing w:val="-19"/>
          <w:sz w:val="24"/>
          <w:szCs w:val="24"/>
        </w:rPr>
        <w:t>2、各阶段进度的保证措施</w:t>
      </w:r>
    </w:p>
    <w:p w14:paraId="59BE4B2E">
      <w:pPr>
        <w:pStyle w:val="2"/>
        <w:spacing w:before="120" w:line="218" w:lineRule="auto"/>
        <w:ind w:left="1893"/>
        <w:rPr>
          <w:sz w:val="24"/>
          <w:szCs w:val="24"/>
        </w:rPr>
      </w:pPr>
      <w:r>
        <w:rPr>
          <w:spacing w:val="-20"/>
          <w:sz w:val="24"/>
          <w:szCs w:val="24"/>
        </w:rPr>
        <w:t>（一）、工程进度目标</w:t>
      </w:r>
    </w:p>
    <w:p w14:paraId="0C247A1E">
      <w:pPr>
        <w:pStyle w:val="2"/>
        <w:spacing w:before="117" w:line="307" w:lineRule="auto"/>
        <w:ind w:left="1461" w:right="1409" w:firstLine="440"/>
        <w:rPr>
          <w:sz w:val="24"/>
          <w:szCs w:val="24"/>
        </w:rPr>
      </w:pPr>
      <w:r>
        <w:rPr>
          <w:spacing w:val="-20"/>
          <w:sz w:val="24"/>
          <w:szCs w:val="24"/>
        </w:rPr>
        <w:t>为了本工程施工能有条不紊的按期完工，因而制订好合理可行的进度计划，并能很好贯彻</w:t>
      </w:r>
      <w:r>
        <w:rPr>
          <w:spacing w:val="-21"/>
          <w:sz w:val="24"/>
          <w:szCs w:val="24"/>
        </w:rPr>
        <w:t>实施，将有利于工程的顺利进行，否则将会导致</w:t>
      </w:r>
      <w:r>
        <w:rPr>
          <w:spacing w:val="-22"/>
          <w:sz w:val="24"/>
          <w:szCs w:val="24"/>
        </w:rPr>
        <w:t>打乱仗，为此，我们做出具体安排计划。</w:t>
      </w:r>
    </w:p>
    <w:p w14:paraId="5BF139DD">
      <w:pPr>
        <w:pStyle w:val="2"/>
        <w:spacing w:line="217" w:lineRule="auto"/>
        <w:ind w:left="1893"/>
        <w:rPr>
          <w:sz w:val="24"/>
          <w:szCs w:val="24"/>
        </w:rPr>
      </w:pPr>
      <w:r>
        <w:rPr>
          <w:spacing w:val="-20"/>
          <w:sz w:val="24"/>
          <w:szCs w:val="24"/>
        </w:rPr>
        <w:t>（二）、组织保证措施</w:t>
      </w:r>
    </w:p>
    <w:p w14:paraId="0B485916">
      <w:pPr>
        <w:pStyle w:val="2"/>
        <w:spacing w:before="119" w:line="307" w:lineRule="auto"/>
        <w:ind w:left="1456" w:right="1410" w:firstLine="436"/>
        <w:rPr>
          <w:sz w:val="24"/>
          <w:szCs w:val="24"/>
        </w:rPr>
      </w:pPr>
      <w:r>
        <w:rPr>
          <w:spacing w:val="-20"/>
          <w:sz w:val="24"/>
          <w:szCs w:val="24"/>
        </w:rPr>
        <w:t>建立进度实施和控制组织系统及建军立进度控制目标体系。召开协调会议，落实各层次进度控制人员、具体任务和工作职责；按施工项目的组成、进展阶段、合作分工等将总进度计划</w:t>
      </w:r>
    </w:p>
    <w:p w14:paraId="5B7766A8">
      <w:pPr>
        <w:spacing w:line="307" w:lineRule="auto"/>
        <w:rPr>
          <w:sz w:val="24"/>
          <w:szCs w:val="24"/>
        </w:rPr>
        <w:sectPr>
          <w:footerReference r:id="rId255" w:type="default"/>
          <w:pgSz w:w="11907" w:h="16839"/>
          <w:pgMar w:top="933" w:right="4" w:bottom="1038" w:left="0" w:header="478" w:footer="357" w:gutter="0"/>
          <w:pgBorders>
            <w:top w:val="none" w:sz="0" w:space="0"/>
            <w:left w:val="none" w:sz="0" w:space="0"/>
            <w:bottom w:val="none" w:sz="0" w:space="0"/>
            <w:right w:val="none" w:sz="0" w:space="0"/>
          </w:pgBorders>
          <w:cols w:space="720" w:num="1"/>
        </w:sectPr>
      </w:pPr>
    </w:p>
    <w:p w14:paraId="7F7D2277">
      <w:pPr>
        <w:spacing w:line="271" w:lineRule="auto"/>
        <w:rPr>
          <w:rFonts w:ascii="Arial"/>
          <w:sz w:val="21"/>
        </w:rPr>
      </w:pPr>
    </w:p>
    <w:p w14:paraId="3D180A7F">
      <w:pPr>
        <w:pStyle w:val="2"/>
        <w:spacing w:before="78" w:line="217" w:lineRule="auto"/>
        <w:ind w:left="1459"/>
        <w:rPr>
          <w:sz w:val="24"/>
          <w:szCs w:val="24"/>
        </w:rPr>
      </w:pPr>
      <w:r>
        <w:rPr>
          <w:spacing w:val="-21"/>
          <w:sz w:val="24"/>
          <w:szCs w:val="24"/>
        </w:rPr>
        <w:t>分解，制定也切实可行的进度目标。</w:t>
      </w:r>
    </w:p>
    <w:p w14:paraId="503CF3B9">
      <w:pPr>
        <w:pStyle w:val="2"/>
        <w:spacing w:before="120" w:line="262" w:lineRule="auto"/>
        <w:ind w:left="1458" w:right="1410" w:firstLine="445"/>
        <w:rPr>
          <w:sz w:val="24"/>
          <w:szCs w:val="24"/>
        </w:rPr>
      </w:pPr>
      <w:r>
        <w:rPr>
          <w:spacing w:val="-22"/>
          <w:sz w:val="24"/>
          <w:szCs w:val="24"/>
        </w:rPr>
        <w:t>1、总公司成立工程现场指挥部，调度协调公司各部门，及时</w:t>
      </w:r>
      <w:r>
        <w:rPr>
          <w:spacing w:val="-23"/>
          <w:sz w:val="24"/>
          <w:szCs w:val="24"/>
        </w:rPr>
        <w:t>解决各项问题，优先保证本工</w:t>
      </w:r>
      <w:r>
        <w:rPr>
          <w:spacing w:val="-18"/>
          <w:sz w:val="24"/>
          <w:szCs w:val="24"/>
        </w:rPr>
        <w:t>程施工需要。</w:t>
      </w:r>
    </w:p>
    <w:p w14:paraId="705BBB6C">
      <w:pPr>
        <w:pStyle w:val="2"/>
        <w:spacing w:before="116" w:line="217" w:lineRule="auto"/>
        <w:ind w:left="1888"/>
        <w:rPr>
          <w:sz w:val="24"/>
          <w:szCs w:val="24"/>
        </w:rPr>
      </w:pPr>
      <w:r>
        <w:rPr>
          <w:spacing w:val="-21"/>
          <w:sz w:val="24"/>
          <w:szCs w:val="24"/>
        </w:rPr>
        <w:t>2、选派本工程的施工管理人员素质高、责任心强</w:t>
      </w:r>
      <w:r>
        <w:rPr>
          <w:spacing w:val="-22"/>
          <w:sz w:val="24"/>
          <w:szCs w:val="24"/>
        </w:rPr>
        <w:t>，从人员上能充分保证工程质量及工期。</w:t>
      </w:r>
    </w:p>
    <w:p w14:paraId="2CAD21FE">
      <w:pPr>
        <w:pStyle w:val="2"/>
        <w:spacing w:before="119" w:line="261" w:lineRule="auto"/>
        <w:ind w:left="1465" w:right="1411" w:firstLine="424"/>
        <w:rPr>
          <w:sz w:val="24"/>
          <w:szCs w:val="24"/>
        </w:rPr>
      </w:pPr>
      <w:r>
        <w:rPr>
          <w:spacing w:val="-22"/>
          <w:sz w:val="24"/>
          <w:szCs w:val="24"/>
        </w:rPr>
        <w:t>3、积极定期的与建设单位、设计单位及监理进行交流，服从建设单位与监理工程师的</w:t>
      </w:r>
      <w:r>
        <w:rPr>
          <w:spacing w:val="-23"/>
          <w:sz w:val="24"/>
          <w:szCs w:val="24"/>
        </w:rPr>
        <w:t>管理</w:t>
      </w:r>
      <w:r>
        <w:rPr>
          <w:spacing w:val="-22"/>
          <w:sz w:val="24"/>
          <w:szCs w:val="24"/>
        </w:rPr>
        <w:t>与监督，对其提出的工作指导与建议及时安排落实。</w:t>
      </w:r>
    </w:p>
    <w:p w14:paraId="617B1041">
      <w:pPr>
        <w:pStyle w:val="2"/>
        <w:spacing w:before="119" w:line="217" w:lineRule="auto"/>
        <w:ind w:left="1893"/>
        <w:rPr>
          <w:sz w:val="24"/>
          <w:szCs w:val="24"/>
        </w:rPr>
      </w:pPr>
      <w:r>
        <w:rPr>
          <w:spacing w:val="-20"/>
          <w:sz w:val="24"/>
          <w:szCs w:val="24"/>
        </w:rPr>
        <w:t>（三）、技术保证措施</w:t>
      </w:r>
    </w:p>
    <w:p w14:paraId="6D7C8836">
      <w:pPr>
        <w:pStyle w:val="2"/>
        <w:spacing w:before="119" w:line="307" w:lineRule="auto"/>
        <w:ind w:left="1465" w:right="1410" w:firstLine="429"/>
        <w:rPr>
          <w:sz w:val="24"/>
          <w:szCs w:val="24"/>
        </w:rPr>
      </w:pPr>
      <w:r>
        <w:rPr>
          <w:spacing w:val="-20"/>
          <w:sz w:val="24"/>
          <w:szCs w:val="24"/>
        </w:rPr>
        <w:t>编制施工进度计划实施细则；建立网络计划实施细则；建立网络计划和施工作业周计划体</w:t>
      </w:r>
      <w:r>
        <w:rPr>
          <w:spacing w:val="-22"/>
          <w:sz w:val="24"/>
          <w:szCs w:val="24"/>
        </w:rPr>
        <w:t>系；强化施工工程进度控制。保持总进度控制目标与合同总工期相一致。</w:t>
      </w:r>
    </w:p>
    <w:p w14:paraId="6909C6EA">
      <w:pPr>
        <w:pStyle w:val="2"/>
        <w:spacing w:before="1" w:line="263" w:lineRule="auto"/>
        <w:ind w:left="1455" w:right="1411" w:firstLine="447"/>
        <w:rPr>
          <w:sz w:val="24"/>
          <w:szCs w:val="24"/>
        </w:rPr>
      </w:pPr>
      <w:r>
        <w:rPr>
          <w:spacing w:val="-22"/>
          <w:sz w:val="24"/>
          <w:szCs w:val="24"/>
        </w:rPr>
        <w:t>1、编制切实可行的技术保证措施，推广新技术应用，优化</w:t>
      </w:r>
      <w:r>
        <w:rPr>
          <w:spacing w:val="-23"/>
          <w:sz w:val="24"/>
          <w:szCs w:val="24"/>
        </w:rPr>
        <w:t>施工方案、合理安排各工序间穿</w:t>
      </w:r>
      <w:r>
        <w:rPr>
          <w:spacing w:val="-19"/>
          <w:sz w:val="24"/>
          <w:szCs w:val="24"/>
        </w:rPr>
        <w:t>插施工，缩短工期。</w:t>
      </w:r>
    </w:p>
    <w:p w14:paraId="05B3B180">
      <w:pPr>
        <w:pStyle w:val="2"/>
        <w:spacing w:before="116" w:line="218" w:lineRule="auto"/>
        <w:ind w:left="1888"/>
        <w:rPr>
          <w:sz w:val="24"/>
          <w:szCs w:val="24"/>
        </w:rPr>
      </w:pPr>
      <w:r>
        <w:rPr>
          <w:spacing w:val="-21"/>
          <w:sz w:val="24"/>
          <w:szCs w:val="24"/>
        </w:rPr>
        <w:t>2、施工情况及时记录、总结，及时反馈，对</w:t>
      </w:r>
      <w:r>
        <w:rPr>
          <w:spacing w:val="-22"/>
          <w:sz w:val="24"/>
          <w:szCs w:val="24"/>
        </w:rPr>
        <w:t>不当之处及时改正处理。</w:t>
      </w:r>
    </w:p>
    <w:p w14:paraId="7135F0DA">
      <w:pPr>
        <w:pStyle w:val="2"/>
        <w:spacing w:before="117" w:line="217" w:lineRule="auto"/>
        <w:ind w:left="1890"/>
        <w:rPr>
          <w:sz w:val="24"/>
          <w:szCs w:val="24"/>
        </w:rPr>
      </w:pPr>
      <w:r>
        <w:rPr>
          <w:spacing w:val="-21"/>
          <w:sz w:val="24"/>
          <w:szCs w:val="24"/>
        </w:rPr>
        <w:t>3、采用新技术、新方法加快施工进度技术方法，保证进度调整，仍能如期竣工。</w:t>
      </w:r>
    </w:p>
    <w:p w14:paraId="5BC08136">
      <w:pPr>
        <w:pStyle w:val="2"/>
        <w:spacing w:before="118" w:line="262" w:lineRule="auto"/>
        <w:ind w:left="1470" w:right="1411" w:firstLine="414"/>
        <w:rPr>
          <w:sz w:val="24"/>
          <w:szCs w:val="24"/>
        </w:rPr>
      </w:pPr>
      <w:r>
        <w:rPr>
          <w:spacing w:val="-22"/>
          <w:sz w:val="24"/>
          <w:szCs w:val="24"/>
        </w:rPr>
        <w:t>4、经济保证措施：确保按时供应资金；奖励工期提前有功者；经批准紧急工程可采用较高的计件单价，保证施工资源正常供应，落实施工进度所需要的资金到位。</w:t>
      </w:r>
    </w:p>
    <w:p w14:paraId="3D6444CD">
      <w:pPr>
        <w:pStyle w:val="2"/>
        <w:spacing w:before="120" w:line="262" w:lineRule="auto"/>
        <w:ind w:left="1458" w:right="1413" w:firstLine="432"/>
        <w:rPr>
          <w:sz w:val="24"/>
          <w:szCs w:val="24"/>
        </w:rPr>
      </w:pPr>
      <w:r>
        <w:rPr>
          <w:spacing w:val="-22"/>
          <w:sz w:val="24"/>
          <w:szCs w:val="24"/>
        </w:rPr>
        <w:t>5、合同保证措施：全面履行工程承包合同，及时协调和有关单位的关系，保证施工</w:t>
      </w:r>
      <w:r>
        <w:rPr>
          <w:spacing w:val="-23"/>
          <w:sz w:val="24"/>
          <w:szCs w:val="24"/>
        </w:rPr>
        <w:t>正常进</w:t>
      </w:r>
      <w:r>
        <w:rPr>
          <w:spacing w:val="-18"/>
          <w:sz w:val="24"/>
          <w:szCs w:val="24"/>
        </w:rPr>
        <w:t>行。</w:t>
      </w:r>
    </w:p>
    <w:p w14:paraId="3BCC1790">
      <w:pPr>
        <w:pStyle w:val="2"/>
        <w:spacing w:before="118" w:line="262" w:lineRule="auto"/>
        <w:ind w:left="1469" w:right="1412" w:firstLine="418"/>
        <w:rPr>
          <w:sz w:val="24"/>
          <w:szCs w:val="24"/>
        </w:rPr>
      </w:pPr>
      <w:r>
        <w:rPr>
          <w:spacing w:val="-22"/>
          <w:sz w:val="24"/>
          <w:szCs w:val="24"/>
        </w:rPr>
        <w:t>6、加强在施工过程中的监测、分析、调整、反馈工作，建立相应的信息流动程序以及信息管理工作制度，以连续地对全过程实行动态控制。</w:t>
      </w:r>
    </w:p>
    <w:p w14:paraId="4667F0D1">
      <w:pPr>
        <w:pStyle w:val="2"/>
        <w:spacing w:before="120" w:line="217" w:lineRule="auto"/>
        <w:ind w:left="1893"/>
        <w:rPr>
          <w:sz w:val="24"/>
          <w:szCs w:val="24"/>
        </w:rPr>
      </w:pPr>
      <w:r>
        <w:rPr>
          <w:spacing w:val="-21"/>
          <w:sz w:val="24"/>
          <w:szCs w:val="24"/>
        </w:rPr>
        <w:t>（四）、保证工期进度的管理措施</w:t>
      </w:r>
    </w:p>
    <w:p w14:paraId="154C9095">
      <w:pPr>
        <w:pStyle w:val="2"/>
        <w:spacing w:before="117" w:line="278" w:lineRule="auto"/>
        <w:ind w:left="1455" w:right="1412" w:firstLine="447"/>
        <w:rPr>
          <w:sz w:val="24"/>
          <w:szCs w:val="24"/>
        </w:rPr>
      </w:pPr>
      <w:r>
        <w:rPr>
          <w:spacing w:val="-22"/>
          <w:sz w:val="24"/>
          <w:szCs w:val="24"/>
        </w:rPr>
        <w:t>1、项目部管理人员认真学习项目部与业主签订的合同</w:t>
      </w:r>
      <w:r>
        <w:rPr>
          <w:spacing w:val="-23"/>
          <w:sz w:val="24"/>
          <w:szCs w:val="24"/>
        </w:rPr>
        <w:t>文本，全面理解和掌握合同文本规的</w:t>
      </w:r>
      <w:r>
        <w:rPr>
          <w:spacing w:val="-20"/>
          <w:sz w:val="24"/>
          <w:szCs w:val="24"/>
        </w:rPr>
        <w:t>要求。在工程实施中，以合同文本为依据，自始至终贯彻执行到施工管理全过程，确保工程达</w:t>
      </w:r>
      <w:r>
        <w:rPr>
          <w:spacing w:val="-21"/>
          <w:sz w:val="24"/>
          <w:szCs w:val="24"/>
        </w:rPr>
        <w:t>标如期完成。</w:t>
      </w:r>
    </w:p>
    <w:p w14:paraId="2D9EFDBB">
      <w:pPr>
        <w:pStyle w:val="2"/>
        <w:spacing w:before="116" w:line="262" w:lineRule="auto"/>
        <w:ind w:left="1458" w:right="1412" w:firstLine="430"/>
        <w:rPr>
          <w:sz w:val="24"/>
          <w:szCs w:val="24"/>
        </w:rPr>
      </w:pPr>
      <w:r>
        <w:rPr>
          <w:spacing w:val="-22"/>
          <w:sz w:val="24"/>
          <w:szCs w:val="24"/>
        </w:rPr>
        <w:t>2、以合同规定的承包施工范围的工程质量、工期、安全、文明施工等要求为原则，项目部</w:t>
      </w:r>
      <w:r>
        <w:rPr>
          <w:spacing w:val="-21"/>
          <w:sz w:val="24"/>
          <w:szCs w:val="24"/>
        </w:rPr>
        <w:t>编制详细、完善的施工组织设计，经业主、监理单位审核</w:t>
      </w:r>
      <w:r>
        <w:rPr>
          <w:spacing w:val="-22"/>
          <w:sz w:val="24"/>
          <w:szCs w:val="24"/>
        </w:rPr>
        <w:t>后，进行实施。</w:t>
      </w:r>
    </w:p>
    <w:p w14:paraId="7AF72E15">
      <w:pPr>
        <w:pStyle w:val="2"/>
        <w:spacing w:before="118" w:line="262" w:lineRule="auto"/>
        <w:ind w:left="1480" w:right="1440" w:firstLine="409"/>
        <w:rPr>
          <w:sz w:val="24"/>
          <w:szCs w:val="24"/>
        </w:rPr>
      </w:pPr>
      <w:r>
        <w:rPr>
          <w:spacing w:val="-23"/>
          <w:sz w:val="24"/>
          <w:szCs w:val="24"/>
        </w:rPr>
        <w:t>3、以合同规定的总工期要求，项目部根据现场实际情况编制本工程施工总进度网络计划，</w:t>
      </w:r>
      <w:r>
        <w:rPr>
          <w:spacing w:val="-22"/>
          <w:sz w:val="24"/>
          <w:szCs w:val="24"/>
        </w:rPr>
        <w:t>以此有效地对工程进度进行总控制。</w:t>
      </w:r>
    </w:p>
    <w:p w14:paraId="5055C370">
      <w:pPr>
        <w:pStyle w:val="2"/>
        <w:spacing w:before="120" w:line="262" w:lineRule="auto"/>
        <w:ind w:left="1460" w:right="1412" w:firstLine="424"/>
        <w:rPr>
          <w:sz w:val="24"/>
          <w:szCs w:val="24"/>
        </w:rPr>
      </w:pPr>
      <w:r>
        <w:rPr>
          <w:spacing w:val="-22"/>
          <w:sz w:val="24"/>
          <w:szCs w:val="24"/>
        </w:rPr>
        <w:t>4、以总工期为依据，项目部根据现场实际情况编制分阶段实施计划；施工准备计划；劳动</w:t>
      </w:r>
      <w:r>
        <w:rPr>
          <w:spacing w:val="-21"/>
          <w:sz w:val="24"/>
          <w:szCs w:val="24"/>
        </w:rPr>
        <w:t>力进场计划：施工材料、设备、机具进场计划；分</w:t>
      </w:r>
      <w:r>
        <w:rPr>
          <w:spacing w:val="-22"/>
          <w:sz w:val="24"/>
          <w:szCs w:val="24"/>
        </w:rPr>
        <w:t>项分部施工进度计划等。</w:t>
      </w:r>
    </w:p>
    <w:p w14:paraId="42F2A40B">
      <w:pPr>
        <w:pStyle w:val="2"/>
        <w:spacing w:before="119" w:line="262" w:lineRule="auto"/>
        <w:ind w:left="1462" w:right="1411" w:firstLine="428"/>
        <w:rPr>
          <w:sz w:val="24"/>
          <w:szCs w:val="24"/>
        </w:rPr>
      </w:pPr>
      <w:r>
        <w:rPr>
          <w:spacing w:val="-22"/>
          <w:sz w:val="24"/>
          <w:szCs w:val="24"/>
        </w:rPr>
        <w:t>5、将合同的条款要求，分解纳入相对的分包合同中，对质量、工期、安全、文明施工</w:t>
      </w:r>
      <w:r>
        <w:rPr>
          <w:spacing w:val="-23"/>
          <w:sz w:val="24"/>
          <w:szCs w:val="24"/>
        </w:rPr>
        <w:t>等完</w:t>
      </w:r>
      <w:r>
        <w:rPr>
          <w:spacing w:val="-21"/>
          <w:sz w:val="24"/>
          <w:szCs w:val="24"/>
        </w:rPr>
        <w:t>全处于承包控制范围之中，确保工程如期完成。</w:t>
      </w:r>
    </w:p>
    <w:p w14:paraId="342A9AAC">
      <w:pPr>
        <w:pStyle w:val="2"/>
        <w:spacing w:before="120" w:line="261" w:lineRule="auto"/>
        <w:ind w:left="1460" w:right="1410" w:firstLine="427"/>
        <w:rPr>
          <w:sz w:val="24"/>
          <w:szCs w:val="24"/>
        </w:rPr>
      </w:pPr>
      <w:r>
        <w:rPr>
          <w:spacing w:val="-22"/>
          <w:sz w:val="24"/>
          <w:szCs w:val="24"/>
        </w:rPr>
        <w:t>6、施工过程中各类工作联系，除必要口头通知外，项目部一律以书面指示，及时发给各工</w:t>
      </w:r>
      <w:r>
        <w:rPr>
          <w:spacing w:val="-19"/>
          <w:sz w:val="24"/>
          <w:szCs w:val="24"/>
        </w:rPr>
        <w:t>作班组执行。</w:t>
      </w:r>
    </w:p>
    <w:p w14:paraId="1DF134CA">
      <w:pPr>
        <w:pStyle w:val="2"/>
        <w:spacing w:before="120" w:line="262" w:lineRule="auto"/>
        <w:ind w:left="1460" w:right="1425" w:firstLine="431"/>
        <w:rPr>
          <w:sz w:val="24"/>
          <w:szCs w:val="24"/>
        </w:rPr>
      </w:pPr>
      <w:r>
        <w:rPr>
          <w:spacing w:val="-22"/>
          <w:sz w:val="24"/>
          <w:szCs w:val="24"/>
        </w:rPr>
        <w:t>7、项目部诚恳接受业主、监理单位和当地主管部门对</w:t>
      </w:r>
      <w:r>
        <w:rPr>
          <w:spacing w:val="-23"/>
          <w:sz w:val="24"/>
          <w:szCs w:val="24"/>
        </w:rPr>
        <w:t>管理工作的指导和要求，相互紧密合</w:t>
      </w:r>
      <w:r>
        <w:rPr>
          <w:spacing w:val="-22"/>
          <w:sz w:val="24"/>
          <w:szCs w:val="24"/>
        </w:rPr>
        <w:t>作，确保工程顺利进行。</w:t>
      </w:r>
    </w:p>
    <w:p w14:paraId="51C697FA">
      <w:pPr>
        <w:pStyle w:val="2"/>
        <w:spacing w:before="118" w:line="217" w:lineRule="auto"/>
        <w:ind w:left="1893"/>
        <w:rPr>
          <w:sz w:val="24"/>
          <w:szCs w:val="24"/>
        </w:rPr>
      </w:pPr>
      <w:r>
        <w:rPr>
          <w:spacing w:val="-21"/>
          <w:sz w:val="24"/>
          <w:szCs w:val="24"/>
        </w:rPr>
        <w:t>（五）、工期保证体系及保证措施</w:t>
      </w:r>
    </w:p>
    <w:p w14:paraId="7D04A1A5">
      <w:pPr>
        <w:spacing w:line="217" w:lineRule="auto"/>
        <w:rPr>
          <w:sz w:val="24"/>
          <w:szCs w:val="24"/>
        </w:rPr>
        <w:sectPr>
          <w:footerReference r:id="rId256" w:type="default"/>
          <w:pgSz w:w="11907" w:h="16839"/>
          <w:pgMar w:top="933" w:right="4" w:bottom="1038" w:left="0" w:header="478" w:footer="357" w:gutter="0"/>
          <w:pgBorders>
            <w:top w:val="none" w:sz="0" w:space="0"/>
            <w:left w:val="none" w:sz="0" w:space="0"/>
            <w:bottom w:val="none" w:sz="0" w:space="0"/>
            <w:right w:val="none" w:sz="0" w:space="0"/>
          </w:pgBorders>
          <w:cols w:space="720" w:num="1"/>
        </w:sectPr>
      </w:pPr>
    </w:p>
    <w:p w14:paraId="089D189F">
      <w:pPr>
        <w:spacing w:line="270" w:lineRule="auto"/>
        <w:rPr>
          <w:rFonts w:ascii="Arial"/>
          <w:sz w:val="21"/>
        </w:rPr>
      </w:pPr>
    </w:p>
    <w:p w14:paraId="44CF44DA">
      <w:pPr>
        <w:pStyle w:val="2"/>
        <w:spacing w:before="78" w:line="308" w:lineRule="auto"/>
        <w:ind w:left="1457" w:right="1356" w:firstLine="441"/>
        <w:jc w:val="both"/>
        <w:rPr>
          <w:sz w:val="24"/>
          <w:szCs w:val="24"/>
        </w:rPr>
      </w:pPr>
      <w:r>
        <w:rPr>
          <w:spacing w:val="-24"/>
          <w:sz w:val="24"/>
          <w:szCs w:val="24"/>
        </w:rPr>
        <w:t>工程施工中，我们将根据设计文件和有关施工规范、规程、精心编制实施性施工组织设计，</w:t>
      </w:r>
      <w:r>
        <w:rPr>
          <w:spacing w:val="-20"/>
          <w:sz w:val="24"/>
          <w:szCs w:val="24"/>
        </w:rPr>
        <w:t>确定合理的施工方案，科学规划，狠抓关键线路，突出重点，确保主体。同时总揽全局，统筹</w:t>
      </w:r>
      <w:r>
        <w:rPr>
          <w:spacing w:val="-21"/>
          <w:sz w:val="24"/>
          <w:szCs w:val="24"/>
        </w:rPr>
        <w:t>兼顾，科学管理，确保工程保质保量按期竣工。我们从</w:t>
      </w:r>
      <w:r>
        <w:rPr>
          <w:spacing w:val="-22"/>
          <w:sz w:val="24"/>
          <w:szCs w:val="24"/>
        </w:rPr>
        <w:t>以下几个方面，予以有利保证：</w:t>
      </w:r>
    </w:p>
    <w:p w14:paraId="2F86E2E2">
      <w:pPr>
        <w:pStyle w:val="2"/>
        <w:spacing w:before="1" w:line="216" w:lineRule="auto"/>
        <w:ind w:left="1903"/>
        <w:rPr>
          <w:sz w:val="24"/>
          <w:szCs w:val="24"/>
        </w:rPr>
      </w:pPr>
      <w:r>
        <w:rPr>
          <w:spacing w:val="-20"/>
          <w:sz w:val="24"/>
          <w:szCs w:val="24"/>
        </w:rPr>
        <w:t>1、从优化施工方案上保证</w:t>
      </w:r>
    </w:p>
    <w:p w14:paraId="7DE794D5">
      <w:pPr>
        <w:pStyle w:val="2"/>
        <w:spacing w:before="117" w:line="308" w:lineRule="auto"/>
        <w:ind w:left="1458" w:right="1410" w:firstLine="435"/>
        <w:rPr>
          <w:sz w:val="24"/>
          <w:szCs w:val="24"/>
        </w:rPr>
      </w:pPr>
      <w:r>
        <w:rPr>
          <w:spacing w:val="-20"/>
          <w:sz w:val="24"/>
          <w:szCs w:val="24"/>
        </w:rPr>
        <w:t>本工程土方调运工程量大，且含大量苗木、地被，苗木最佳栽植季节已过去，施工中要保持各分项施工交叉进行。因此有序分层次的安排各项施工是保证工程进度和工程质量的关键环</w:t>
      </w:r>
      <w:r>
        <w:rPr>
          <w:spacing w:val="-18"/>
          <w:sz w:val="24"/>
          <w:szCs w:val="24"/>
        </w:rPr>
        <w:t>节。</w:t>
      </w:r>
    </w:p>
    <w:p w14:paraId="6BFCF2DE">
      <w:pPr>
        <w:pStyle w:val="2"/>
        <w:spacing w:line="216" w:lineRule="auto"/>
        <w:ind w:left="1893"/>
        <w:rPr>
          <w:sz w:val="24"/>
          <w:szCs w:val="24"/>
        </w:rPr>
      </w:pPr>
      <w:r>
        <w:rPr>
          <w:spacing w:val="-21"/>
          <w:sz w:val="24"/>
          <w:szCs w:val="24"/>
        </w:rPr>
        <w:t>（1）、分段进行，平行施工，抓好各工施工工序的交叉点，合理安排，重点突破。</w:t>
      </w:r>
    </w:p>
    <w:p w14:paraId="44BEC21F">
      <w:pPr>
        <w:pStyle w:val="2"/>
        <w:spacing w:before="116" w:line="264" w:lineRule="auto"/>
        <w:ind w:left="1457" w:right="1409" w:firstLine="435"/>
        <w:rPr>
          <w:sz w:val="24"/>
          <w:szCs w:val="24"/>
        </w:rPr>
      </w:pPr>
      <w:r>
        <w:rPr>
          <w:spacing w:val="-22"/>
          <w:sz w:val="24"/>
          <w:szCs w:val="24"/>
        </w:rPr>
        <w:t>（2）、科学管理，优化施工组织，抓住关键工序，按地形整理、绿化种植、土建铺装</w:t>
      </w:r>
      <w:r>
        <w:rPr>
          <w:spacing w:val="-23"/>
          <w:sz w:val="24"/>
          <w:szCs w:val="24"/>
        </w:rPr>
        <w:t>、现</w:t>
      </w:r>
      <w:r>
        <w:rPr>
          <w:spacing w:val="-21"/>
          <w:sz w:val="24"/>
          <w:szCs w:val="24"/>
        </w:rPr>
        <w:t>场围挡等专业分工，统一组织施工。</w:t>
      </w:r>
    </w:p>
    <w:p w14:paraId="5DA59579">
      <w:pPr>
        <w:pStyle w:val="2"/>
        <w:spacing w:before="117" w:line="215" w:lineRule="auto"/>
        <w:ind w:left="1893"/>
        <w:rPr>
          <w:sz w:val="24"/>
          <w:szCs w:val="24"/>
        </w:rPr>
      </w:pPr>
      <w:r>
        <w:rPr>
          <w:spacing w:val="-20"/>
          <w:sz w:val="24"/>
          <w:szCs w:val="24"/>
        </w:rPr>
        <w:t>（3）、必要时可昼夜施工，实行轮班制。</w:t>
      </w:r>
    </w:p>
    <w:p w14:paraId="5793E8FC">
      <w:pPr>
        <w:pStyle w:val="2"/>
        <w:spacing w:before="118" w:line="217" w:lineRule="auto"/>
        <w:ind w:left="1888"/>
        <w:rPr>
          <w:sz w:val="24"/>
          <w:szCs w:val="24"/>
        </w:rPr>
      </w:pPr>
      <w:r>
        <w:rPr>
          <w:spacing w:val="-19"/>
          <w:sz w:val="24"/>
          <w:szCs w:val="24"/>
        </w:rPr>
        <w:t>2、从组织机构、资源配置上保证</w:t>
      </w:r>
    </w:p>
    <w:p w14:paraId="5669B8B8">
      <w:pPr>
        <w:pStyle w:val="2"/>
        <w:spacing w:before="122" w:line="289" w:lineRule="auto"/>
        <w:ind w:left="1455" w:right="1415" w:firstLine="437"/>
        <w:rPr>
          <w:sz w:val="24"/>
          <w:szCs w:val="24"/>
        </w:rPr>
      </w:pPr>
      <w:r>
        <w:rPr>
          <w:spacing w:val="-22"/>
          <w:sz w:val="24"/>
          <w:szCs w:val="24"/>
        </w:rPr>
        <w:t>（1）、调遣精兵强将，强化项目管理。在中标后，各级人员准时到位并</w:t>
      </w:r>
      <w:r>
        <w:rPr>
          <w:spacing w:val="-23"/>
          <w:sz w:val="24"/>
          <w:szCs w:val="24"/>
        </w:rPr>
        <w:t>根据本工程特点，</w:t>
      </w:r>
      <w:r>
        <w:rPr>
          <w:spacing w:val="-20"/>
          <w:sz w:val="24"/>
          <w:szCs w:val="24"/>
        </w:rPr>
        <w:t>确定优秀的专业化施工队伍；投入性能优良的施工机械设备按时进场，及时进行安装调试，确保按时开工。同时，项目所需资金拨付到位及时，保证工程的顺利进行。项目经理部按项目管理的各项要求开展工作，强化项目管理，强化施工全过程的监督、检查、指导。并选用优质的</w:t>
      </w:r>
      <w:r>
        <w:rPr>
          <w:spacing w:val="-21"/>
          <w:sz w:val="24"/>
          <w:szCs w:val="24"/>
        </w:rPr>
        <w:t>施工材料，提高工程质量，降低施工难度，避免返工。</w:t>
      </w:r>
    </w:p>
    <w:p w14:paraId="131F70EA">
      <w:pPr>
        <w:pStyle w:val="2"/>
        <w:spacing w:before="119" w:line="278" w:lineRule="auto"/>
        <w:ind w:left="1458" w:right="1411" w:firstLine="434"/>
        <w:rPr>
          <w:sz w:val="24"/>
          <w:szCs w:val="24"/>
        </w:rPr>
      </w:pPr>
      <w:r>
        <w:rPr>
          <w:spacing w:val="-22"/>
          <w:sz w:val="24"/>
          <w:szCs w:val="24"/>
        </w:rPr>
        <w:t>（2）、为保证计划完成，我公司将选派曾经担任类似工程的项目经理担任该工</w:t>
      </w:r>
      <w:r>
        <w:rPr>
          <w:spacing w:val="-23"/>
          <w:sz w:val="24"/>
          <w:szCs w:val="24"/>
        </w:rPr>
        <w:t>程的项目经</w:t>
      </w:r>
      <w:r>
        <w:rPr>
          <w:spacing w:val="-20"/>
          <w:sz w:val="24"/>
          <w:szCs w:val="24"/>
        </w:rPr>
        <w:t>理，该同志具有丰富的现场施工组织管理经验，能够合理规划，统筹安排，保证工程的工期按</w:t>
      </w:r>
      <w:r>
        <w:rPr>
          <w:spacing w:val="-19"/>
          <w:sz w:val="24"/>
          <w:szCs w:val="24"/>
        </w:rPr>
        <w:t>要求时间完成。</w:t>
      </w:r>
    </w:p>
    <w:p w14:paraId="27B00E90">
      <w:pPr>
        <w:pStyle w:val="2"/>
        <w:spacing w:before="115" w:line="262" w:lineRule="auto"/>
        <w:ind w:left="1456" w:right="1412" w:firstLine="436"/>
        <w:rPr>
          <w:sz w:val="24"/>
          <w:szCs w:val="24"/>
        </w:rPr>
      </w:pPr>
      <w:r>
        <w:rPr>
          <w:spacing w:val="-22"/>
          <w:sz w:val="24"/>
          <w:szCs w:val="24"/>
        </w:rPr>
        <w:t>（3）、制定详细的材料采购计划，保证材料供应及时，专设材料供应组，专项</w:t>
      </w:r>
      <w:r>
        <w:rPr>
          <w:spacing w:val="-23"/>
          <w:sz w:val="24"/>
          <w:szCs w:val="24"/>
        </w:rPr>
        <w:t>负责材料采</w:t>
      </w:r>
      <w:r>
        <w:rPr>
          <w:spacing w:val="-21"/>
          <w:sz w:val="24"/>
          <w:szCs w:val="24"/>
        </w:rPr>
        <w:t>购工作，严格按照总体施工进度计划中要求的时间将材料运</w:t>
      </w:r>
      <w:r>
        <w:rPr>
          <w:spacing w:val="-22"/>
          <w:sz w:val="24"/>
          <w:szCs w:val="24"/>
        </w:rPr>
        <w:t>达现场。</w:t>
      </w:r>
    </w:p>
    <w:p w14:paraId="3F37D9C1">
      <w:pPr>
        <w:pStyle w:val="2"/>
        <w:spacing w:before="120" w:line="217" w:lineRule="auto"/>
        <w:ind w:left="1890"/>
        <w:rPr>
          <w:sz w:val="24"/>
          <w:szCs w:val="24"/>
        </w:rPr>
      </w:pPr>
      <w:r>
        <w:rPr>
          <w:spacing w:val="-18"/>
          <w:sz w:val="24"/>
          <w:szCs w:val="24"/>
        </w:rPr>
        <w:t>3、从施工计划上保证</w:t>
      </w:r>
    </w:p>
    <w:p w14:paraId="1126CA02">
      <w:pPr>
        <w:pStyle w:val="2"/>
        <w:spacing w:before="117" w:line="216" w:lineRule="auto"/>
        <w:ind w:left="1893"/>
        <w:rPr>
          <w:sz w:val="24"/>
          <w:szCs w:val="24"/>
        </w:rPr>
      </w:pPr>
      <w:r>
        <w:rPr>
          <w:spacing w:val="-20"/>
          <w:sz w:val="24"/>
          <w:szCs w:val="24"/>
        </w:rPr>
        <w:t>（1）、统筹规划，确保施工计划的严肃性。</w:t>
      </w:r>
    </w:p>
    <w:p w14:paraId="78204269">
      <w:pPr>
        <w:pStyle w:val="2"/>
        <w:spacing w:before="119" w:line="217" w:lineRule="auto"/>
        <w:ind w:left="1893"/>
        <w:rPr>
          <w:sz w:val="24"/>
          <w:szCs w:val="24"/>
        </w:rPr>
      </w:pPr>
      <w:r>
        <w:rPr>
          <w:spacing w:val="-20"/>
          <w:sz w:val="24"/>
          <w:szCs w:val="24"/>
        </w:rPr>
        <w:t>（2）、狠抓重点工程进度，确保按期竣工。</w:t>
      </w:r>
    </w:p>
    <w:p w14:paraId="33F6FF41">
      <w:pPr>
        <w:pStyle w:val="2"/>
        <w:spacing w:before="118" w:line="263" w:lineRule="auto"/>
        <w:ind w:left="1455" w:right="1412" w:firstLine="437"/>
        <w:rPr>
          <w:sz w:val="24"/>
          <w:szCs w:val="24"/>
        </w:rPr>
      </w:pPr>
      <w:r>
        <w:rPr>
          <w:spacing w:val="-22"/>
          <w:sz w:val="24"/>
          <w:szCs w:val="24"/>
        </w:rPr>
        <w:t>（3）、加强对种苗质量的采购、运输、保管和供应，确保工程的需要，坚决</w:t>
      </w:r>
      <w:r>
        <w:rPr>
          <w:spacing w:val="-23"/>
          <w:sz w:val="24"/>
          <w:szCs w:val="24"/>
        </w:rPr>
        <w:t>杜绝停工待料</w:t>
      </w:r>
      <w:r>
        <w:rPr>
          <w:spacing w:val="-18"/>
          <w:sz w:val="24"/>
          <w:szCs w:val="24"/>
        </w:rPr>
        <w:t>现象的发生。</w:t>
      </w:r>
    </w:p>
    <w:p w14:paraId="65CF9706">
      <w:pPr>
        <w:pStyle w:val="2"/>
        <w:spacing w:before="114" w:line="295" w:lineRule="auto"/>
        <w:ind w:left="1455" w:right="1356" w:firstLine="437"/>
        <w:rPr>
          <w:sz w:val="24"/>
          <w:szCs w:val="24"/>
        </w:rPr>
      </w:pPr>
      <w:r>
        <w:rPr>
          <w:spacing w:val="-22"/>
          <w:sz w:val="24"/>
          <w:szCs w:val="24"/>
        </w:rPr>
        <w:t>（4）、严格按照工期网络计划进行施工工序的安排，结合各项技术措施计划，</w:t>
      </w:r>
      <w:r>
        <w:rPr>
          <w:spacing w:val="-23"/>
          <w:sz w:val="24"/>
          <w:szCs w:val="24"/>
        </w:rPr>
        <w:t>认真编制施</w:t>
      </w:r>
      <w:r>
        <w:rPr>
          <w:spacing w:val="-24"/>
          <w:sz w:val="24"/>
          <w:szCs w:val="24"/>
        </w:rPr>
        <w:t>工进度计划，加强施工的组织领导，严格按审定的施工组织设计合理安排施工，做到旬有计划，</w:t>
      </w:r>
      <w:r>
        <w:rPr>
          <w:spacing w:val="-20"/>
          <w:sz w:val="24"/>
          <w:szCs w:val="24"/>
        </w:rPr>
        <w:t>日有安排。重要工序要做好施工组织设计和施工计划并呈报监理工程师审批后才实施。充分利用有利条件和适宜季节，合理安排施工计划并呈报监理工程师审批后才实施工序，缩短流水作业步距，加快工程进度，以确保工期。同时经常检查施工进度计划的执行情况，及时修正施工进度计划，使施工进度计划随时具有指导生产的效力。关键线路的关键工序，在条件允许和保</w:t>
      </w:r>
      <w:r>
        <w:rPr>
          <w:spacing w:val="-21"/>
          <w:sz w:val="24"/>
          <w:szCs w:val="24"/>
        </w:rPr>
        <w:t>证质量的前提下，采用两班作业，加快施工进度，保证合同工期</w:t>
      </w:r>
      <w:r>
        <w:rPr>
          <w:spacing w:val="-22"/>
          <w:sz w:val="24"/>
          <w:szCs w:val="24"/>
        </w:rPr>
        <w:t>的实现。</w:t>
      </w:r>
    </w:p>
    <w:p w14:paraId="66134A57">
      <w:pPr>
        <w:pStyle w:val="2"/>
        <w:spacing w:before="119" w:line="217" w:lineRule="auto"/>
        <w:ind w:left="1884"/>
        <w:rPr>
          <w:sz w:val="24"/>
          <w:szCs w:val="24"/>
        </w:rPr>
      </w:pPr>
      <w:r>
        <w:rPr>
          <w:spacing w:val="-18"/>
          <w:sz w:val="24"/>
          <w:szCs w:val="24"/>
        </w:rPr>
        <w:t>4、从工序安排上保证</w:t>
      </w:r>
    </w:p>
    <w:p w14:paraId="6E890179">
      <w:pPr>
        <w:pStyle w:val="2"/>
        <w:spacing w:before="117" w:line="216" w:lineRule="auto"/>
        <w:ind w:left="1893"/>
        <w:rPr>
          <w:sz w:val="24"/>
          <w:szCs w:val="24"/>
        </w:rPr>
      </w:pPr>
      <w:r>
        <w:rPr>
          <w:spacing w:val="-22"/>
          <w:sz w:val="24"/>
          <w:szCs w:val="24"/>
        </w:rPr>
        <w:t>（1）、采用先进的施工方法，合理安排施工程序；做好每个工序的准备工作，使各工序合</w:t>
      </w:r>
    </w:p>
    <w:p w14:paraId="3070A75C">
      <w:pPr>
        <w:spacing w:line="216" w:lineRule="auto"/>
        <w:rPr>
          <w:sz w:val="24"/>
          <w:szCs w:val="24"/>
        </w:rPr>
        <w:sectPr>
          <w:footerReference r:id="rId257" w:type="default"/>
          <w:pgSz w:w="11907" w:h="16839"/>
          <w:pgMar w:top="933" w:right="4" w:bottom="1038" w:left="0" w:header="478" w:footer="357" w:gutter="0"/>
          <w:pgBorders>
            <w:top w:val="none" w:sz="0" w:space="0"/>
            <w:left w:val="none" w:sz="0" w:space="0"/>
            <w:bottom w:val="none" w:sz="0" w:space="0"/>
            <w:right w:val="none" w:sz="0" w:space="0"/>
          </w:pgBorders>
          <w:cols w:space="720" w:num="1"/>
        </w:sectPr>
      </w:pPr>
    </w:p>
    <w:p w14:paraId="72C3512A">
      <w:pPr>
        <w:spacing w:line="272" w:lineRule="auto"/>
        <w:rPr>
          <w:rFonts w:ascii="Arial"/>
          <w:sz w:val="21"/>
        </w:rPr>
      </w:pPr>
    </w:p>
    <w:p w14:paraId="2D2BD6E5">
      <w:pPr>
        <w:pStyle w:val="2"/>
        <w:spacing w:before="78" w:line="214" w:lineRule="auto"/>
        <w:ind w:left="1458"/>
        <w:rPr>
          <w:sz w:val="24"/>
          <w:szCs w:val="24"/>
        </w:rPr>
      </w:pPr>
      <w:r>
        <w:rPr>
          <w:spacing w:val="-16"/>
          <w:sz w:val="24"/>
          <w:szCs w:val="24"/>
        </w:rPr>
        <w:t>理转序。</w:t>
      </w:r>
    </w:p>
    <w:p w14:paraId="51D83AAA">
      <w:pPr>
        <w:pStyle w:val="2"/>
        <w:spacing w:before="121" w:line="262" w:lineRule="auto"/>
        <w:ind w:left="1463" w:right="1411" w:firstLine="430"/>
        <w:rPr>
          <w:sz w:val="24"/>
          <w:szCs w:val="24"/>
        </w:rPr>
      </w:pPr>
      <w:r>
        <w:rPr>
          <w:spacing w:val="-22"/>
          <w:sz w:val="24"/>
          <w:szCs w:val="24"/>
        </w:rPr>
        <w:t>（2）、为最大限度地挖掘关键线路的潜力，各工序施工时间尽量压缩。各工种</w:t>
      </w:r>
      <w:r>
        <w:rPr>
          <w:spacing w:val="-23"/>
          <w:sz w:val="24"/>
          <w:szCs w:val="24"/>
        </w:rPr>
        <w:t>之间建立联</w:t>
      </w:r>
      <w:r>
        <w:rPr>
          <w:spacing w:val="-21"/>
          <w:sz w:val="24"/>
          <w:szCs w:val="24"/>
        </w:rPr>
        <w:t>合签认制度，保证各专业良好配合避免互相破</w:t>
      </w:r>
      <w:r>
        <w:rPr>
          <w:spacing w:val="-22"/>
          <w:sz w:val="24"/>
          <w:szCs w:val="24"/>
        </w:rPr>
        <w:t>坏或影响施工，造成工序时间延长。</w:t>
      </w:r>
    </w:p>
    <w:p w14:paraId="6D52BB1C">
      <w:pPr>
        <w:pStyle w:val="2"/>
        <w:spacing w:before="118" w:line="263" w:lineRule="auto"/>
        <w:ind w:left="1462" w:right="1411" w:firstLine="431"/>
        <w:rPr>
          <w:sz w:val="24"/>
          <w:szCs w:val="24"/>
        </w:rPr>
      </w:pPr>
      <w:r>
        <w:rPr>
          <w:spacing w:val="-22"/>
          <w:sz w:val="24"/>
          <w:szCs w:val="24"/>
        </w:rPr>
        <w:t>（3）、严格控制各工序施工质量，确保一次验收合格，杜绝返工，以一次成优</w:t>
      </w:r>
      <w:r>
        <w:rPr>
          <w:spacing w:val="-23"/>
          <w:sz w:val="24"/>
          <w:szCs w:val="24"/>
        </w:rPr>
        <w:t>的良好施工</w:t>
      </w:r>
      <w:r>
        <w:rPr>
          <w:spacing w:val="-20"/>
          <w:sz w:val="24"/>
          <w:szCs w:val="24"/>
        </w:rPr>
        <w:t>质量获取工期的缩短。</w:t>
      </w:r>
    </w:p>
    <w:p w14:paraId="0017B35A">
      <w:pPr>
        <w:pStyle w:val="2"/>
        <w:spacing w:before="117" w:line="262" w:lineRule="auto"/>
        <w:ind w:left="1459" w:right="1343" w:firstLine="433"/>
        <w:rPr>
          <w:sz w:val="24"/>
          <w:szCs w:val="24"/>
        </w:rPr>
      </w:pPr>
      <w:r>
        <w:rPr>
          <w:spacing w:val="-26"/>
          <w:sz w:val="24"/>
          <w:szCs w:val="24"/>
        </w:rPr>
        <w:t>（4）、制定详细合理的施工计划。抓住关键工序，对影响总工期的工序和具体环节给予人、</w:t>
      </w:r>
      <w:r>
        <w:rPr>
          <w:spacing w:val="-21"/>
          <w:sz w:val="24"/>
          <w:szCs w:val="24"/>
        </w:rPr>
        <w:t>财、物的充分保证，确保整个工程进行顺畅和连贯。</w:t>
      </w:r>
    </w:p>
    <w:p w14:paraId="0F6EDE39">
      <w:pPr>
        <w:pStyle w:val="2"/>
        <w:spacing w:before="118" w:line="277" w:lineRule="auto"/>
        <w:ind w:left="1455" w:right="1412" w:firstLine="437"/>
        <w:rPr>
          <w:sz w:val="24"/>
          <w:szCs w:val="24"/>
        </w:rPr>
      </w:pPr>
      <w:r>
        <w:rPr>
          <w:spacing w:val="-22"/>
          <w:sz w:val="24"/>
          <w:szCs w:val="24"/>
        </w:rPr>
        <w:t>（5）、为了充分利用施工空间、时间，用流水段均衡施工工艺，合理安排工序</w:t>
      </w:r>
      <w:r>
        <w:rPr>
          <w:spacing w:val="-23"/>
          <w:sz w:val="24"/>
          <w:szCs w:val="24"/>
        </w:rPr>
        <w:t>，在绝对保</w:t>
      </w:r>
      <w:r>
        <w:rPr>
          <w:spacing w:val="-20"/>
          <w:sz w:val="24"/>
          <w:szCs w:val="24"/>
        </w:rPr>
        <w:t>证安全质量的前提下，充分利用施工空间，科学组织土方挖运施工与苗木移植、苗木栽植等工</w:t>
      </w:r>
      <w:r>
        <w:rPr>
          <w:spacing w:val="-22"/>
          <w:sz w:val="24"/>
          <w:szCs w:val="24"/>
        </w:rPr>
        <w:t>程的交叉作业。</w:t>
      </w:r>
    </w:p>
    <w:p w14:paraId="16260A1C">
      <w:pPr>
        <w:pStyle w:val="2"/>
        <w:spacing w:before="120" w:line="217" w:lineRule="auto"/>
        <w:ind w:left="1890"/>
        <w:rPr>
          <w:sz w:val="24"/>
          <w:szCs w:val="24"/>
        </w:rPr>
      </w:pPr>
      <w:r>
        <w:rPr>
          <w:spacing w:val="-18"/>
          <w:sz w:val="24"/>
          <w:szCs w:val="24"/>
        </w:rPr>
        <w:t>5、从安全生产上保证</w:t>
      </w:r>
    </w:p>
    <w:p w14:paraId="2EEE8C8C">
      <w:pPr>
        <w:pStyle w:val="2"/>
        <w:spacing w:before="116" w:line="263" w:lineRule="auto"/>
        <w:ind w:left="1467" w:right="1412" w:firstLine="425"/>
        <w:rPr>
          <w:sz w:val="24"/>
          <w:szCs w:val="24"/>
        </w:rPr>
      </w:pPr>
      <w:r>
        <w:rPr>
          <w:spacing w:val="-22"/>
          <w:sz w:val="24"/>
          <w:szCs w:val="24"/>
        </w:rPr>
        <w:t>（1）、贯彻国家安全生产政策和各类安全法规，增强职工安全法制观念，并</w:t>
      </w:r>
      <w:r>
        <w:rPr>
          <w:spacing w:val="-23"/>
          <w:sz w:val="24"/>
          <w:szCs w:val="24"/>
        </w:rPr>
        <w:t>认真组织贯彻落实制定的各项管理制度。</w:t>
      </w:r>
    </w:p>
    <w:p w14:paraId="088BB8D4">
      <w:pPr>
        <w:pStyle w:val="2"/>
        <w:spacing w:before="119" w:line="262" w:lineRule="auto"/>
        <w:ind w:left="1455" w:right="1412" w:firstLine="437"/>
        <w:rPr>
          <w:sz w:val="24"/>
          <w:szCs w:val="24"/>
        </w:rPr>
      </w:pPr>
      <w:r>
        <w:rPr>
          <w:spacing w:val="-22"/>
          <w:sz w:val="24"/>
          <w:szCs w:val="24"/>
        </w:rPr>
        <w:t>（2）、加强临时的防火措施和易燃、易爆物品的保管、领发制度，配备足够消</w:t>
      </w:r>
      <w:r>
        <w:rPr>
          <w:spacing w:val="-23"/>
          <w:sz w:val="24"/>
          <w:szCs w:val="24"/>
        </w:rPr>
        <w:t>防器材，发</w:t>
      </w:r>
      <w:r>
        <w:rPr>
          <w:spacing w:val="-21"/>
          <w:sz w:val="24"/>
          <w:szCs w:val="24"/>
        </w:rPr>
        <w:t>现事故隐患或苗头要及时排除，杜绝重大事故的发生。</w:t>
      </w:r>
    </w:p>
    <w:p w14:paraId="6DE2CCAB">
      <w:pPr>
        <w:pStyle w:val="2"/>
        <w:spacing w:before="118" w:line="277" w:lineRule="auto"/>
        <w:ind w:left="1457" w:right="1412" w:firstLine="435"/>
        <w:rPr>
          <w:sz w:val="24"/>
          <w:szCs w:val="24"/>
        </w:rPr>
      </w:pPr>
      <w:r>
        <w:rPr>
          <w:spacing w:val="-22"/>
          <w:sz w:val="24"/>
          <w:szCs w:val="24"/>
        </w:rPr>
        <w:t>（3）、严禁无证上岗。在施工过程中，特别注意用电安全，严禁在施工场地、</w:t>
      </w:r>
      <w:r>
        <w:rPr>
          <w:spacing w:val="-23"/>
          <w:sz w:val="24"/>
          <w:szCs w:val="24"/>
        </w:rPr>
        <w:t>宿舍区内乱</w:t>
      </w:r>
      <w:r>
        <w:rPr>
          <w:spacing w:val="-20"/>
          <w:sz w:val="24"/>
          <w:szCs w:val="24"/>
        </w:rPr>
        <w:t>接电线，防止触电事故发生。各分队成立安全小组，设专职安全员负责日常安全生产的检查和</w:t>
      </w:r>
      <w:r>
        <w:rPr>
          <w:spacing w:val="-21"/>
          <w:sz w:val="24"/>
          <w:szCs w:val="24"/>
        </w:rPr>
        <w:t>监督，以便施工顺利进行，确保工期。</w:t>
      </w:r>
    </w:p>
    <w:p w14:paraId="38F7CA95">
      <w:pPr>
        <w:pStyle w:val="2"/>
        <w:spacing w:before="119" w:line="277" w:lineRule="auto"/>
        <w:ind w:left="1459" w:right="1411" w:firstLine="433"/>
        <w:rPr>
          <w:sz w:val="24"/>
          <w:szCs w:val="24"/>
        </w:rPr>
      </w:pPr>
      <w:r>
        <w:rPr>
          <w:spacing w:val="-22"/>
          <w:sz w:val="24"/>
          <w:szCs w:val="24"/>
        </w:rPr>
        <w:t>（4）、安全质检人员应及时检查，隐患及时处理，做好检查记录，并有权对违</w:t>
      </w:r>
      <w:r>
        <w:rPr>
          <w:spacing w:val="-23"/>
          <w:sz w:val="24"/>
          <w:szCs w:val="24"/>
        </w:rPr>
        <w:t>章作业的下</w:t>
      </w:r>
      <w:r>
        <w:rPr>
          <w:spacing w:val="-20"/>
          <w:sz w:val="24"/>
          <w:szCs w:val="24"/>
        </w:rPr>
        <w:t>达停工整改指令。安全质检人员应在技术交底会上或每周检查会上对安全工作进行交底，并且</w:t>
      </w:r>
      <w:r>
        <w:rPr>
          <w:spacing w:val="-21"/>
          <w:sz w:val="24"/>
          <w:szCs w:val="24"/>
        </w:rPr>
        <w:t>要宣贯安全操作规程，使广大职工时刻保持警惕，严</w:t>
      </w:r>
      <w:r>
        <w:rPr>
          <w:spacing w:val="-22"/>
          <w:sz w:val="24"/>
          <w:szCs w:val="24"/>
        </w:rPr>
        <w:t>防事故的发生。</w:t>
      </w:r>
    </w:p>
    <w:p w14:paraId="370D8C1B">
      <w:pPr>
        <w:pStyle w:val="2"/>
        <w:spacing w:before="120" w:line="262" w:lineRule="auto"/>
        <w:ind w:left="1457" w:right="1415" w:firstLine="435"/>
        <w:rPr>
          <w:sz w:val="24"/>
          <w:szCs w:val="24"/>
        </w:rPr>
      </w:pPr>
      <w:r>
        <w:rPr>
          <w:spacing w:val="-22"/>
          <w:sz w:val="24"/>
          <w:szCs w:val="24"/>
        </w:rPr>
        <w:t>（5）、项目经理部负责与当地派出所、治安防范组织保持经常联系，取</w:t>
      </w:r>
      <w:r>
        <w:rPr>
          <w:spacing w:val="-23"/>
          <w:sz w:val="24"/>
          <w:szCs w:val="24"/>
        </w:rPr>
        <w:t>得支持，确保施工</w:t>
      </w:r>
      <w:r>
        <w:rPr>
          <w:spacing w:val="-21"/>
          <w:sz w:val="24"/>
          <w:szCs w:val="24"/>
        </w:rPr>
        <w:t>顺利进行，抓好宣传工作，取得附近村民的谅解和支持。</w:t>
      </w:r>
    </w:p>
    <w:p w14:paraId="5577DF0D">
      <w:pPr>
        <w:pStyle w:val="2"/>
        <w:spacing w:before="118" w:line="216" w:lineRule="auto"/>
        <w:ind w:left="1887"/>
        <w:rPr>
          <w:sz w:val="24"/>
          <w:szCs w:val="24"/>
        </w:rPr>
      </w:pPr>
      <w:r>
        <w:rPr>
          <w:spacing w:val="-18"/>
          <w:sz w:val="24"/>
          <w:szCs w:val="24"/>
        </w:rPr>
        <w:t>6、从材料供应上保证</w:t>
      </w:r>
    </w:p>
    <w:p w14:paraId="67DF34A4">
      <w:pPr>
        <w:pStyle w:val="2"/>
        <w:spacing w:before="119" w:line="278" w:lineRule="auto"/>
        <w:ind w:left="1459" w:right="1411" w:firstLine="433"/>
        <w:rPr>
          <w:sz w:val="24"/>
          <w:szCs w:val="24"/>
        </w:rPr>
      </w:pPr>
      <w:r>
        <w:rPr>
          <w:spacing w:val="-22"/>
          <w:sz w:val="24"/>
          <w:szCs w:val="24"/>
        </w:rPr>
        <w:t>（1）、材料的组织供应是项目部物资管理的中心任务，供应质量的优劣与供应</w:t>
      </w:r>
      <w:r>
        <w:rPr>
          <w:spacing w:val="-23"/>
          <w:sz w:val="24"/>
          <w:szCs w:val="24"/>
        </w:rPr>
        <w:t>速度的及时</w:t>
      </w:r>
      <w:r>
        <w:rPr>
          <w:spacing w:val="-20"/>
          <w:sz w:val="24"/>
          <w:szCs w:val="24"/>
        </w:rPr>
        <w:t>准确与否是关系到项目部各项工作能否顺利进行的决定因素，所以在做好日常工作管理方面重</w:t>
      </w:r>
      <w:r>
        <w:rPr>
          <w:spacing w:val="-19"/>
          <w:sz w:val="24"/>
          <w:szCs w:val="24"/>
        </w:rPr>
        <w:t>点抓好如下几点：</w:t>
      </w:r>
    </w:p>
    <w:p w14:paraId="5143AA5B">
      <w:pPr>
        <w:pStyle w:val="2"/>
        <w:spacing w:before="117" w:line="216" w:lineRule="auto"/>
        <w:ind w:left="1893"/>
        <w:rPr>
          <w:sz w:val="24"/>
          <w:szCs w:val="24"/>
        </w:rPr>
      </w:pPr>
      <w:r>
        <w:rPr>
          <w:spacing w:val="-21"/>
          <w:sz w:val="24"/>
          <w:szCs w:val="24"/>
        </w:rPr>
        <w:t>（2）、加强材料计划的及时性、准确性、严肃性：</w:t>
      </w:r>
    </w:p>
    <w:p w14:paraId="4DD247A0">
      <w:pPr>
        <w:pStyle w:val="2"/>
        <w:spacing w:before="120" w:line="307" w:lineRule="auto"/>
        <w:ind w:left="1463" w:right="1410" w:firstLine="431"/>
        <w:rPr>
          <w:sz w:val="24"/>
          <w:szCs w:val="24"/>
        </w:rPr>
      </w:pPr>
      <w:r>
        <w:rPr>
          <w:spacing w:val="-20"/>
          <w:sz w:val="24"/>
          <w:szCs w:val="24"/>
        </w:rPr>
        <w:t>项目部将执行规范化的计划编制、审核、采购制度，做到供应工作的不同阶段有不同的人</w:t>
      </w:r>
      <w:r>
        <w:rPr>
          <w:spacing w:val="-21"/>
          <w:sz w:val="24"/>
          <w:szCs w:val="24"/>
        </w:rPr>
        <w:t>负责，坚决杜绝计划盲目性，铺张浪费的不严</w:t>
      </w:r>
      <w:r>
        <w:rPr>
          <w:spacing w:val="-22"/>
          <w:sz w:val="24"/>
          <w:szCs w:val="24"/>
        </w:rPr>
        <w:t>肃工作作风。</w:t>
      </w:r>
    </w:p>
    <w:p w14:paraId="56890CCC">
      <w:pPr>
        <w:pStyle w:val="2"/>
        <w:spacing w:before="2" w:line="217" w:lineRule="auto"/>
        <w:ind w:left="1892"/>
        <w:rPr>
          <w:sz w:val="24"/>
          <w:szCs w:val="24"/>
        </w:rPr>
      </w:pPr>
      <w:r>
        <w:rPr>
          <w:spacing w:val="-20"/>
          <w:sz w:val="24"/>
          <w:szCs w:val="24"/>
        </w:rPr>
        <w:t>加强采购成本的控制：</w:t>
      </w:r>
    </w:p>
    <w:p w14:paraId="0BD0E26C">
      <w:pPr>
        <w:pStyle w:val="2"/>
        <w:spacing w:before="119" w:line="277" w:lineRule="auto"/>
        <w:ind w:left="1458" w:right="1413" w:firstLine="434"/>
        <w:rPr>
          <w:sz w:val="24"/>
          <w:szCs w:val="24"/>
        </w:rPr>
      </w:pPr>
      <w:r>
        <w:rPr>
          <w:spacing w:val="-22"/>
          <w:sz w:val="24"/>
          <w:szCs w:val="24"/>
        </w:rPr>
        <w:t>（3）、在保证质量、数量供货及时的基础上，降低采购成本是提高项目施工</w:t>
      </w:r>
      <w:r>
        <w:rPr>
          <w:spacing w:val="-23"/>
          <w:sz w:val="24"/>
          <w:szCs w:val="24"/>
        </w:rPr>
        <w:t>效益的重要环</w:t>
      </w:r>
      <w:r>
        <w:rPr>
          <w:spacing w:val="-20"/>
          <w:sz w:val="24"/>
          <w:szCs w:val="24"/>
        </w:rPr>
        <w:t>节。为此，项目部将坚持材料采购以“三比一算”为基础的采购制度。任何物质的采购必须有</w:t>
      </w:r>
      <w:r>
        <w:rPr>
          <w:spacing w:val="-21"/>
          <w:sz w:val="24"/>
          <w:szCs w:val="24"/>
        </w:rPr>
        <w:t>采购通知单及严格的验收入库制度，采购员不得接受任</w:t>
      </w:r>
      <w:r>
        <w:rPr>
          <w:spacing w:val="-22"/>
          <w:sz w:val="24"/>
          <w:szCs w:val="24"/>
        </w:rPr>
        <w:t>何人随意的采购指令。</w:t>
      </w:r>
    </w:p>
    <w:p w14:paraId="2022AB22">
      <w:pPr>
        <w:pStyle w:val="2"/>
        <w:spacing w:before="119" w:line="217" w:lineRule="auto"/>
        <w:ind w:left="1893"/>
        <w:rPr>
          <w:sz w:val="24"/>
          <w:szCs w:val="24"/>
        </w:rPr>
      </w:pPr>
      <w:r>
        <w:rPr>
          <w:spacing w:val="-19"/>
          <w:sz w:val="24"/>
          <w:szCs w:val="24"/>
        </w:rPr>
        <w:t>（4）坚持审批的环节：</w:t>
      </w:r>
    </w:p>
    <w:p w14:paraId="265719A8">
      <w:pPr>
        <w:pStyle w:val="2"/>
        <w:spacing w:before="116" w:line="215" w:lineRule="auto"/>
        <w:ind w:left="1894"/>
        <w:rPr>
          <w:sz w:val="24"/>
          <w:szCs w:val="24"/>
        </w:rPr>
      </w:pPr>
      <w:r>
        <w:rPr>
          <w:spacing w:val="-19"/>
          <w:sz w:val="24"/>
          <w:szCs w:val="24"/>
        </w:rPr>
        <w:t>项目部在做好自身计划的审批工作的基础上，同时也做好对业主的报批工作，对</w:t>
      </w:r>
      <w:r>
        <w:rPr>
          <w:spacing w:val="-20"/>
          <w:sz w:val="24"/>
          <w:szCs w:val="24"/>
        </w:rPr>
        <w:t>实行调整</w:t>
      </w:r>
    </w:p>
    <w:p w14:paraId="7DF4824C">
      <w:pPr>
        <w:spacing w:line="215" w:lineRule="auto"/>
        <w:rPr>
          <w:sz w:val="24"/>
          <w:szCs w:val="24"/>
        </w:rPr>
        <w:sectPr>
          <w:footerReference r:id="rId258" w:type="default"/>
          <w:pgSz w:w="11907" w:h="16839"/>
          <w:pgMar w:top="933" w:right="4" w:bottom="1038" w:left="0" w:header="478" w:footer="357" w:gutter="0"/>
          <w:pgBorders>
            <w:top w:val="none" w:sz="0" w:space="0"/>
            <w:left w:val="none" w:sz="0" w:space="0"/>
            <w:bottom w:val="none" w:sz="0" w:space="0"/>
            <w:right w:val="none" w:sz="0" w:space="0"/>
          </w:pgBorders>
          <w:cols w:space="720" w:num="1"/>
        </w:sectPr>
      </w:pPr>
    </w:p>
    <w:p w14:paraId="7F149818">
      <w:pPr>
        <w:spacing w:line="270" w:lineRule="auto"/>
        <w:rPr>
          <w:rFonts w:ascii="Arial"/>
          <w:sz w:val="21"/>
        </w:rPr>
      </w:pPr>
    </w:p>
    <w:p w14:paraId="2A71B24D">
      <w:pPr>
        <w:pStyle w:val="2"/>
        <w:spacing w:before="78" w:line="308" w:lineRule="auto"/>
        <w:ind w:left="1455" w:right="1415" w:firstLine="14"/>
        <w:rPr>
          <w:sz w:val="24"/>
          <w:szCs w:val="24"/>
        </w:rPr>
      </w:pPr>
      <w:r>
        <w:rPr>
          <w:spacing w:val="-20"/>
          <w:sz w:val="24"/>
          <w:szCs w:val="24"/>
        </w:rPr>
        <w:t>的大宗材料应事先报送业主方进行价格、厂家的审批，在审批的基础上进行采购。</w:t>
      </w:r>
      <w:r>
        <w:rPr>
          <w:spacing w:val="-21"/>
          <w:sz w:val="24"/>
          <w:szCs w:val="24"/>
        </w:rPr>
        <w:t>未经审批的材料决不自行采购，决不先斩后奏。</w:t>
      </w:r>
    </w:p>
    <w:p w14:paraId="57966D89">
      <w:pPr>
        <w:pStyle w:val="2"/>
        <w:spacing w:line="216" w:lineRule="auto"/>
        <w:ind w:left="1893"/>
        <w:rPr>
          <w:sz w:val="24"/>
          <w:szCs w:val="24"/>
        </w:rPr>
      </w:pPr>
      <w:r>
        <w:rPr>
          <w:spacing w:val="-19"/>
          <w:sz w:val="24"/>
          <w:szCs w:val="24"/>
        </w:rPr>
        <w:t>（5）加强保管、及时回收：</w:t>
      </w:r>
    </w:p>
    <w:p w14:paraId="6358DCEF">
      <w:pPr>
        <w:pStyle w:val="2"/>
        <w:spacing w:before="118" w:line="308" w:lineRule="auto"/>
        <w:ind w:left="1455" w:right="1414" w:firstLine="437"/>
        <w:jc w:val="both"/>
        <w:rPr>
          <w:sz w:val="24"/>
          <w:szCs w:val="24"/>
        </w:rPr>
      </w:pPr>
      <w:r>
        <w:rPr>
          <w:spacing w:val="-20"/>
          <w:sz w:val="24"/>
          <w:szCs w:val="24"/>
        </w:rPr>
        <w:t>做好材料的保管、领用工作是保证材料供应不乱的基础，项目部坚决执行限额领料制度，凭施工进度计划和材料计划用量表发料，在保管工作上配备专业的保管工人，保证帐、卡、物相符。保证仓库的材料不变质、不受损。同时利用保洁队和班组材料节约奖励的办法，做好材</w:t>
      </w:r>
      <w:r>
        <w:rPr>
          <w:spacing w:val="-21"/>
          <w:sz w:val="24"/>
          <w:szCs w:val="24"/>
        </w:rPr>
        <w:t>料的回收利用，做到能使用的决不浪费。</w:t>
      </w:r>
    </w:p>
    <w:p w14:paraId="502DE288">
      <w:pPr>
        <w:pStyle w:val="2"/>
        <w:spacing w:line="216" w:lineRule="auto"/>
        <w:ind w:left="1891"/>
        <w:rPr>
          <w:sz w:val="24"/>
          <w:szCs w:val="24"/>
        </w:rPr>
      </w:pPr>
      <w:r>
        <w:rPr>
          <w:spacing w:val="-19"/>
          <w:sz w:val="24"/>
          <w:szCs w:val="24"/>
        </w:rPr>
        <w:t>7、工程进度的资金保证</w:t>
      </w:r>
    </w:p>
    <w:p w14:paraId="39F72B46">
      <w:pPr>
        <w:pStyle w:val="2"/>
        <w:spacing w:before="115" w:line="309" w:lineRule="auto"/>
        <w:ind w:left="1459" w:right="1409" w:firstLine="434"/>
        <w:rPr>
          <w:sz w:val="24"/>
          <w:szCs w:val="24"/>
        </w:rPr>
      </w:pPr>
      <w:r>
        <w:rPr>
          <w:spacing w:val="-20"/>
          <w:sz w:val="24"/>
          <w:szCs w:val="24"/>
        </w:rPr>
        <w:t>项目财力的合理使用是工程按进度计划顺利施工的保障，合理使用是项目降低成本、提高</w:t>
      </w:r>
      <w:r>
        <w:rPr>
          <w:spacing w:val="-19"/>
          <w:sz w:val="24"/>
          <w:szCs w:val="24"/>
        </w:rPr>
        <w:t>综合效益的基础。</w:t>
      </w:r>
    </w:p>
    <w:p w14:paraId="2C85D81B">
      <w:pPr>
        <w:pStyle w:val="2"/>
        <w:spacing w:before="1" w:line="218" w:lineRule="auto"/>
        <w:ind w:left="1893"/>
        <w:rPr>
          <w:sz w:val="24"/>
          <w:szCs w:val="24"/>
        </w:rPr>
      </w:pPr>
      <w:r>
        <w:rPr>
          <w:spacing w:val="-19"/>
          <w:sz w:val="24"/>
          <w:szCs w:val="24"/>
        </w:rPr>
        <w:t>（1）、合理收取工程款</w:t>
      </w:r>
    </w:p>
    <w:p w14:paraId="079A3521">
      <w:pPr>
        <w:pStyle w:val="2"/>
        <w:spacing w:before="113" w:line="308" w:lineRule="auto"/>
        <w:ind w:left="1459" w:right="1410" w:firstLine="435"/>
        <w:rPr>
          <w:sz w:val="24"/>
          <w:szCs w:val="24"/>
        </w:rPr>
      </w:pPr>
      <w:r>
        <w:rPr>
          <w:spacing w:val="-20"/>
          <w:sz w:val="24"/>
          <w:szCs w:val="24"/>
        </w:rPr>
        <w:t>严格遵照合同条款中有关付款的条文，根据要求提供必要的付款依据，请业主、监理工程师审核。统计工作的基础是实事求是，决不高估冒算，对设计变更增加的工作量实事求是地经</w:t>
      </w:r>
      <w:r>
        <w:rPr>
          <w:spacing w:val="-21"/>
          <w:sz w:val="24"/>
          <w:szCs w:val="24"/>
        </w:rPr>
        <w:t>过监理单位、业主审核，在审核的基础上结算价款。</w:t>
      </w:r>
    </w:p>
    <w:p w14:paraId="4C4520D7">
      <w:pPr>
        <w:pStyle w:val="2"/>
        <w:spacing w:line="218" w:lineRule="auto"/>
        <w:ind w:left="1893"/>
        <w:rPr>
          <w:sz w:val="24"/>
          <w:szCs w:val="24"/>
        </w:rPr>
      </w:pPr>
      <w:r>
        <w:rPr>
          <w:spacing w:val="-19"/>
          <w:sz w:val="24"/>
          <w:szCs w:val="24"/>
        </w:rPr>
        <w:t>（2）、合理使用工程款</w:t>
      </w:r>
    </w:p>
    <w:p w14:paraId="6CF55DF8">
      <w:pPr>
        <w:pStyle w:val="2"/>
        <w:spacing w:before="118" w:line="263" w:lineRule="auto"/>
        <w:ind w:left="1459" w:right="1409" w:firstLine="444"/>
        <w:rPr>
          <w:sz w:val="24"/>
          <w:szCs w:val="24"/>
        </w:rPr>
      </w:pPr>
      <w:r>
        <w:rPr>
          <w:spacing w:val="-19"/>
          <w:sz w:val="24"/>
          <w:szCs w:val="24"/>
        </w:rPr>
        <w:t>1.保证项目的资金使用是保证工程顺利进行的先决条件。为</w:t>
      </w:r>
      <w:r>
        <w:rPr>
          <w:spacing w:val="-20"/>
          <w:sz w:val="24"/>
          <w:szCs w:val="24"/>
        </w:rPr>
        <w:t>此在资金使用上坚决做到专款</w:t>
      </w:r>
      <w:r>
        <w:rPr>
          <w:spacing w:val="-21"/>
          <w:sz w:val="24"/>
          <w:szCs w:val="24"/>
        </w:rPr>
        <w:t>专用，不属于我们使用的资金绝不占用。</w:t>
      </w:r>
    </w:p>
    <w:p w14:paraId="2BF7B65D">
      <w:pPr>
        <w:pStyle w:val="2"/>
        <w:spacing w:before="115" w:line="215" w:lineRule="auto"/>
        <w:ind w:left="1888"/>
        <w:rPr>
          <w:sz w:val="24"/>
          <w:szCs w:val="24"/>
        </w:rPr>
      </w:pPr>
      <w:r>
        <w:rPr>
          <w:spacing w:val="-22"/>
          <w:sz w:val="24"/>
          <w:szCs w:val="24"/>
        </w:rPr>
        <w:t>2.在抓计划的基础上做好调度工作，决不因计划不周导致物资积压，使资金无法发挥效益。</w:t>
      </w:r>
    </w:p>
    <w:p w14:paraId="177C23A8">
      <w:pPr>
        <w:pStyle w:val="2"/>
        <w:spacing w:before="121" w:line="219" w:lineRule="auto"/>
        <w:ind w:left="1890"/>
        <w:rPr>
          <w:sz w:val="24"/>
          <w:szCs w:val="24"/>
        </w:rPr>
      </w:pPr>
      <w:r>
        <w:rPr>
          <w:spacing w:val="-17"/>
          <w:sz w:val="24"/>
          <w:szCs w:val="24"/>
        </w:rPr>
        <w:t>3.合理调度工程款</w:t>
      </w:r>
    </w:p>
    <w:p w14:paraId="4F552119">
      <w:pPr>
        <w:pStyle w:val="2"/>
        <w:spacing w:before="116" w:line="308" w:lineRule="auto"/>
        <w:ind w:left="1455" w:right="1410" w:firstLine="437"/>
        <w:jc w:val="both"/>
        <w:rPr>
          <w:sz w:val="24"/>
          <w:szCs w:val="24"/>
        </w:rPr>
      </w:pPr>
      <w:r>
        <w:rPr>
          <w:spacing w:val="-20"/>
          <w:sz w:val="24"/>
          <w:szCs w:val="24"/>
        </w:rPr>
        <w:t>若业主方按合同规定资金一时不能到位则不能因此而拖延工期或影响工程质量。我方将千方百计调度项目外资金确保工程顺利进行：这也是我公司“为业主服务”的一种实实在在的体</w:t>
      </w:r>
      <w:r>
        <w:rPr>
          <w:spacing w:val="-18"/>
          <w:sz w:val="24"/>
          <w:szCs w:val="24"/>
        </w:rPr>
        <w:t>现。</w:t>
      </w:r>
    </w:p>
    <w:p w14:paraId="7ED5C2BA">
      <w:pPr>
        <w:pStyle w:val="2"/>
        <w:spacing w:before="1" w:line="216" w:lineRule="auto"/>
        <w:ind w:left="1886"/>
        <w:rPr>
          <w:sz w:val="24"/>
          <w:szCs w:val="24"/>
        </w:rPr>
      </w:pPr>
      <w:r>
        <w:rPr>
          <w:spacing w:val="-17"/>
          <w:sz w:val="24"/>
          <w:szCs w:val="24"/>
        </w:rPr>
        <w:t>8、协调保证措施</w:t>
      </w:r>
    </w:p>
    <w:p w14:paraId="7C892753">
      <w:pPr>
        <w:pStyle w:val="2"/>
        <w:spacing w:before="119" w:line="307" w:lineRule="auto"/>
        <w:ind w:left="1455" w:right="1354" w:firstLine="438"/>
        <w:rPr>
          <w:sz w:val="24"/>
          <w:szCs w:val="24"/>
        </w:rPr>
      </w:pPr>
      <w:r>
        <w:rPr>
          <w:spacing w:val="-24"/>
          <w:sz w:val="24"/>
          <w:szCs w:val="24"/>
        </w:rPr>
        <w:t>项目施工中存在着多种因素的协调工作，既有项目部内部的，同时也有项目部外部的协调，</w:t>
      </w:r>
      <w:r>
        <w:rPr>
          <w:spacing w:val="-20"/>
          <w:sz w:val="24"/>
          <w:szCs w:val="24"/>
        </w:rPr>
        <w:t>针对协调的内容不同项目部将配备一名具有丰富施工经验的项目经理负责项目部的生产及对外</w:t>
      </w:r>
      <w:r>
        <w:rPr>
          <w:spacing w:val="-19"/>
          <w:sz w:val="24"/>
          <w:szCs w:val="24"/>
        </w:rPr>
        <w:t>协调工作，配备一名协调员进行项目内部诸因素的协调，协调的目的</w:t>
      </w:r>
      <w:r>
        <w:rPr>
          <w:spacing w:val="-20"/>
          <w:sz w:val="24"/>
          <w:szCs w:val="24"/>
        </w:rPr>
        <w:t>是调动工作人员积极性、</w:t>
      </w:r>
      <w:r>
        <w:rPr>
          <w:spacing w:val="-21"/>
          <w:sz w:val="24"/>
          <w:szCs w:val="24"/>
        </w:rPr>
        <w:t>提高项目组织的运转效率、消除项目按计划施工的任何不利的</w:t>
      </w:r>
      <w:r>
        <w:rPr>
          <w:spacing w:val="-22"/>
          <w:sz w:val="24"/>
          <w:szCs w:val="24"/>
        </w:rPr>
        <w:t>因素、保证施工项目的进度。</w:t>
      </w:r>
    </w:p>
    <w:p w14:paraId="3017ADC4">
      <w:pPr>
        <w:pStyle w:val="2"/>
        <w:spacing w:before="2" w:line="218" w:lineRule="auto"/>
        <w:ind w:left="1893"/>
        <w:rPr>
          <w:sz w:val="24"/>
          <w:szCs w:val="24"/>
        </w:rPr>
      </w:pPr>
      <w:r>
        <w:rPr>
          <w:spacing w:val="-19"/>
          <w:sz w:val="24"/>
          <w:szCs w:val="24"/>
        </w:rPr>
        <w:t>（1）、项目内部关系协调</w:t>
      </w:r>
    </w:p>
    <w:p w14:paraId="459BA572">
      <w:pPr>
        <w:pStyle w:val="2"/>
        <w:spacing w:before="120" w:line="307" w:lineRule="auto"/>
        <w:ind w:left="1456" w:right="1410" w:firstLine="437"/>
        <w:rPr>
          <w:sz w:val="24"/>
          <w:szCs w:val="24"/>
        </w:rPr>
      </w:pPr>
      <w:r>
        <w:rPr>
          <w:spacing w:val="-20"/>
          <w:sz w:val="24"/>
          <w:szCs w:val="24"/>
        </w:rPr>
        <w:t>项目经理协调项目内部人与人，各部门之间的工作关系，充分调动每个人的工作热情，使得人尽其才，用人之长，责任分明，使项目部精干、高效、政令畅通。由项目经理进行内部供求关系的协调，诸如劳动力、材料、机械设备、动力等，求得项目的资源保证，从而使物尽其</w:t>
      </w:r>
      <w:r>
        <w:rPr>
          <w:spacing w:val="-21"/>
          <w:sz w:val="24"/>
          <w:szCs w:val="24"/>
        </w:rPr>
        <w:t>用，按施工进度计划进行有条不紊的施工。</w:t>
      </w:r>
    </w:p>
    <w:p w14:paraId="7E1777AB">
      <w:pPr>
        <w:pStyle w:val="2"/>
        <w:spacing w:line="218" w:lineRule="auto"/>
        <w:ind w:left="1893"/>
        <w:rPr>
          <w:sz w:val="24"/>
          <w:szCs w:val="24"/>
        </w:rPr>
      </w:pPr>
      <w:r>
        <w:rPr>
          <w:spacing w:val="-18"/>
          <w:sz w:val="24"/>
          <w:szCs w:val="24"/>
        </w:rPr>
        <w:t>（2）、外部协调</w:t>
      </w:r>
    </w:p>
    <w:p w14:paraId="21166BB8">
      <w:pPr>
        <w:pStyle w:val="2"/>
        <w:spacing w:before="118" w:line="307" w:lineRule="auto"/>
        <w:ind w:left="1455" w:right="1410" w:firstLine="468"/>
        <w:rPr>
          <w:sz w:val="24"/>
          <w:szCs w:val="24"/>
        </w:rPr>
      </w:pPr>
      <w:r>
        <w:rPr>
          <w:spacing w:val="-20"/>
          <w:sz w:val="24"/>
          <w:szCs w:val="24"/>
        </w:rPr>
        <w:t>由项目经理组成对外协调，重点协调业主、监理单位、其</w:t>
      </w:r>
      <w:r>
        <w:rPr>
          <w:spacing w:val="-21"/>
          <w:sz w:val="24"/>
          <w:szCs w:val="24"/>
        </w:rPr>
        <w:t>他施工单位、公用单位。采取积极主动的态度在平等的基础进行协调。</w:t>
      </w:r>
    </w:p>
    <w:p w14:paraId="0195D513">
      <w:pPr>
        <w:pStyle w:val="2"/>
        <w:spacing w:before="1" w:line="216" w:lineRule="auto"/>
        <w:ind w:left="1886"/>
        <w:rPr>
          <w:sz w:val="24"/>
          <w:szCs w:val="24"/>
        </w:rPr>
      </w:pPr>
      <w:r>
        <w:rPr>
          <w:spacing w:val="-18"/>
          <w:sz w:val="24"/>
          <w:szCs w:val="24"/>
        </w:rPr>
        <w:t>9、从后勤供应上保证</w:t>
      </w:r>
    </w:p>
    <w:p w14:paraId="7EE36A89">
      <w:pPr>
        <w:spacing w:line="216" w:lineRule="auto"/>
        <w:rPr>
          <w:sz w:val="24"/>
          <w:szCs w:val="24"/>
        </w:rPr>
        <w:sectPr>
          <w:footerReference r:id="rId259" w:type="default"/>
          <w:pgSz w:w="11907" w:h="16839"/>
          <w:pgMar w:top="933" w:right="4" w:bottom="1038" w:left="0" w:header="478" w:footer="357" w:gutter="0"/>
          <w:pgBorders>
            <w:top w:val="none" w:sz="0" w:space="0"/>
            <w:left w:val="none" w:sz="0" w:space="0"/>
            <w:bottom w:val="none" w:sz="0" w:space="0"/>
            <w:right w:val="none" w:sz="0" w:space="0"/>
          </w:pgBorders>
          <w:cols w:space="720" w:num="1"/>
        </w:sectPr>
      </w:pPr>
    </w:p>
    <w:p w14:paraId="43FF3D2A">
      <w:pPr>
        <w:spacing w:line="270" w:lineRule="auto"/>
        <w:rPr>
          <w:rFonts w:ascii="Arial"/>
          <w:sz w:val="21"/>
        </w:rPr>
      </w:pPr>
    </w:p>
    <w:p w14:paraId="2DBFDCE2">
      <w:pPr>
        <w:pStyle w:val="2"/>
        <w:spacing w:before="78" w:line="308" w:lineRule="auto"/>
        <w:ind w:left="1456" w:right="1410" w:firstLine="436"/>
        <w:jc w:val="both"/>
        <w:rPr>
          <w:sz w:val="24"/>
          <w:szCs w:val="24"/>
        </w:rPr>
      </w:pPr>
      <w:r>
        <w:rPr>
          <w:spacing w:val="-20"/>
          <w:sz w:val="24"/>
          <w:szCs w:val="24"/>
        </w:rPr>
        <w:t>加强机械设备和车辆的养护、维修、搞好职工食堂，防病治病，保障职工身体健康，保证正常出勤率，保障施工正常运转，确保工期。并保持一定的后备施工力量，以备必要时投入使用，从而保证进度计划的实现。</w:t>
      </w:r>
    </w:p>
    <w:p w14:paraId="3BFD51BF">
      <w:pPr>
        <w:pStyle w:val="2"/>
        <w:spacing w:before="1" w:line="215" w:lineRule="auto"/>
        <w:ind w:left="1893"/>
        <w:rPr>
          <w:sz w:val="24"/>
          <w:szCs w:val="24"/>
        </w:rPr>
      </w:pPr>
      <w:r>
        <w:rPr>
          <w:spacing w:val="-20"/>
          <w:sz w:val="24"/>
          <w:szCs w:val="24"/>
        </w:rPr>
        <w:t>（六）、工期检查保证措施</w:t>
      </w:r>
    </w:p>
    <w:p w14:paraId="43B1384B">
      <w:pPr>
        <w:pStyle w:val="2"/>
        <w:spacing w:before="121" w:line="307" w:lineRule="auto"/>
        <w:ind w:left="1458" w:right="1410" w:firstLine="434"/>
        <w:jc w:val="both"/>
        <w:rPr>
          <w:sz w:val="24"/>
          <w:szCs w:val="24"/>
        </w:rPr>
      </w:pPr>
      <w:r>
        <w:rPr>
          <w:spacing w:val="-20"/>
          <w:sz w:val="24"/>
          <w:szCs w:val="24"/>
        </w:rPr>
        <w:t>施工进度的检查是计划执行信息的主要来源，也是计划调整和分析总结的依据。施工进度的跟踪检查，及时反馈进度计划的实施情况是进度闭环控制之中不可缺少的部分反馈系统。故在施工组织中应尤为重视。</w:t>
      </w:r>
    </w:p>
    <w:p w14:paraId="537616AC">
      <w:pPr>
        <w:pStyle w:val="2"/>
        <w:spacing w:before="1" w:line="216" w:lineRule="auto"/>
        <w:ind w:left="1903"/>
        <w:rPr>
          <w:sz w:val="24"/>
          <w:szCs w:val="24"/>
        </w:rPr>
      </w:pPr>
      <w:r>
        <w:rPr>
          <w:spacing w:val="-19"/>
          <w:sz w:val="24"/>
          <w:szCs w:val="24"/>
        </w:rPr>
        <w:t>1、日检查工作制</w:t>
      </w:r>
    </w:p>
    <w:p w14:paraId="055A117F">
      <w:pPr>
        <w:pStyle w:val="2"/>
        <w:spacing w:before="117" w:line="308" w:lineRule="auto"/>
        <w:ind w:left="1455" w:right="1410" w:firstLine="440"/>
        <w:rPr>
          <w:sz w:val="24"/>
          <w:szCs w:val="24"/>
        </w:rPr>
      </w:pPr>
      <w:r>
        <w:rPr>
          <w:spacing w:val="-20"/>
          <w:sz w:val="24"/>
          <w:szCs w:val="24"/>
        </w:rPr>
        <w:t>专业施工员是施工技术、进度、质量的主要负责人，建立以专业施工点为主的计划执行系统与施工员为主的计划检查系统这一对立统一的工作关系，是保证项目进度计划的重要方法。施工员每日进行现场检查，并将检查的结果每日以书面的形式汇报项目经理，以便及时了解施</w:t>
      </w:r>
      <w:r>
        <w:rPr>
          <w:spacing w:val="-21"/>
          <w:sz w:val="24"/>
          <w:szCs w:val="24"/>
        </w:rPr>
        <w:t>工动态，监督和督促各施工班组按计划完成工作，及时进行必</w:t>
      </w:r>
      <w:r>
        <w:rPr>
          <w:spacing w:val="-22"/>
          <w:sz w:val="24"/>
          <w:szCs w:val="24"/>
        </w:rPr>
        <w:t>要的调整。</w:t>
      </w:r>
    </w:p>
    <w:p w14:paraId="5567719E">
      <w:pPr>
        <w:pStyle w:val="2"/>
        <w:spacing w:before="1" w:line="215" w:lineRule="auto"/>
        <w:ind w:left="1888"/>
        <w:rPr>
          <w:sz w:val="24"/>
          <w:szCs w:val="24"/>
        </w:rPr>
      </w:pPr>
      <w:r>
        <w:rPr>
          <w:spacing w:val="-17"/>
          <w:sz w:val="24"/>
          <w:szCs w:val="24"/>
        </w:rPr>
        <w:t>2、周汇报工作制</w:t>
      </w:r>
    </w:p>
    <w:p w14:paraId="750FBAA1">
      <w:pPr>
        <w:pStyle w:val="2"/>
        <w:spacing w:before="121" w:line="307" w:lineRule="auto"/>
        <w:ind w:left="1456" w:right="1410" w:firstLine="440"/>
        <w:rPr>
          <w:sz w:val="24"/>
          <w:szCs w:val="24"/>
        </w:rPr>
      </w:pPr>
      <w:r>
        <w:rPr>
          <w:spacing w:val="-20"/>
          <w:sz w:val="24"/>
          <w:szCs w:val="24"/>
        </w:rPr>
        <w:t>配合三周滚动计划的实施，建立每周进度汇报分析制。汇报分析会由项目经理主持，项目经理参加检查、落实一周工作情况，并将检查分析的结果书面汇报监理单位、业主及存档。并</w:t>
      </w:r>
      <w:r>
        <w:rPr>
          <w:spacing w:val="-21"/>
          <w:sz w:val="24"/>
          <w:szCs w:val="24"/>
        </w:rPr>
        <w:t>提出建议及要求，在每周由业主或监理主持的协调会上解</w:t>
      </w:r>
      <w:r>
        <w:rPr>
          <w:spacing w:val="-22"/>
          <w:sz w:val="24"/>
          <w:szCs w:val="24"/>
        </w:rPr>
        <w:t>决。</w:t>
      </w:r>
    </w:p>
    <w:p w14:paraId="260A280E">
      <w:pPr>
        <w:pStyle w:val="2"/>
        <w:spacing w:before="2" w:line="217" w:lineRule="auto"/>
        <w:ind w:left="1890"/>
        <w:rPr>
          <w:sz w:val="24"/>
          <w:szCs w:val="24"/>
        </w:rPr>
      </w:pPr>
      <w:r>
        <w:rPr>
          <w:spacing w:val="-18"/>
          <w:sz w:val="24"/>
          <w:szCs w:val="24"/>
        </w:rPr>
        <w:t>3、旬分析调整制度</w:t>
      </w:r>
    </w:p>
    <w:p w14:paraId="76678151">
      <w:pPr>
        <w:pStyle w:val="2"/>
        <w:spacing w:before="115" w:line="308" w:lineRule="auto"/>
        <w:ind w:left="1460" w:right="1415" w:firstLine="433"/>
        <w:rPr>
          <w:sz w:val="24"/>
          <w:szCs w:val="24"/>
        </w:rPr>
      </w:pPr>
      <w:r>
        <w:rPr>
          <w:spacing w:val="-20"/>
          <w:sz w:val="24"/>
          <w:szCs w:val="24"/>
        </w:rPr>
        <w:t>项目部按旬进行分析、总结，并对进度的个别节点调整。进行必要的生产要素调动。由项目经理主持，公司项目部门及有关人员参加，并将检查分析的结果书面汇报业主、监理单位并</w:t>
      </w:r>
      <w:r>
        <w:rPr>
          <w:spacing w:val="-22"/>
          <w:sz w:val="24"/>
          <w:szCs w:val="24"/>
        </w:rPr>
        <w:t>存档。</w:t>
      </w:r>
    </w:p>
    <w:p w14:paraId="57DC8934">
      <w:pPr>
        <w:pStyle w:val="2"/>
        <w:spacing w:line="220" w:lineRule="auto"/>
        <w:ind w:left="1884"/>
        <w:rPr>
          <w:sz w:val="24"/>
          <w:szCs w:val="24"/>
        </w:rPr>
      </w:pPr>
      <w:r>
        <w:rPr>
          <w:spacing w:val="-18"/>
          <w:sz w:val="24"/>
          <w:szCs w:val="24"/>
        </w:rPr>
        <w:t>4、施工日志</w:t>
      </w:r>
    </w:p>
    <w:p w14:paraId="10B15E91">
      <w:pPr>
        <w:pStyle w:val="2"/>
        <w:spacing w:before="116" w:line="307" w:lineRule="auto"/>
        <w:ind w:left="1457" w:right="1335" w:firstLine="435"/>
        <w:rPr>
          <w:sz w:val="24"/>
          <w:szCs w:val="24"/>
        </w:rPr>
      </w:pPr>
      <w:r>
        <w:rPr>
          <w:spacing w:val="-23"/>
          <w:sz w:val="24"/>
          <w:szCs w:val="24"/>
        </w:rPr>
        <w:t>施工日志是项目施工中每一天所发生有关事宜的真实记录，也是项目日常</w:t>
      </w:r>
      <w:r>
        <w:rPr>
          <w:spacing w:val="-24"/>
          <w:sz w:val="24"/>
          <w:szCs w:val="24"/>
        </w:rPr>
        <w:t>管理的工作要点。</w:t>
      </w:r>
      <w:r>
        <w:rPr>
          <w:spacing w:val="-20"/>
          <w:sz w:val="24"/>
          <w:szCs w:val="24"/>
        </w:rPr>
        <w:t>由专业施工员对每日发生的事宜及有关工程的情况按施工日志的要求真实填写汇总，书面报送项目经理及资料存档。</w:t>
      </w:r>
    </w:p>
    <w:p w14:paraId="78893CFE">
      <w:pPr>
        <w:pStyle w:val="2"/>
        <w:spacing w:line="308" w:lineRule="auto"/>
        <w:ind w:left="1458" w:right="1410" w:firstLine="436"/>
        <w:jc w:val="both"/>
        <w:rPr>
          <w:sz w:val="24"/>
          <w:szCs w:val="24"/>
        </w:rPr>
      </w:pPr>
      <w:r>
        <w:rPr>
          <w:spacing w:val="-20"/>
          <w:sz w:val="24"/>
          <w:szCs w:val="24"/>
        </w:rPr>
        <w:t>如前所述，在建立各级检查制度的基础上有效的控制施工进度，这是目的所在。所以在了解了施工现状和实际进度后，如何进行进度控制是保证进度计划的关键，是项目管理的中心任</w:t>
      </w:r>
      <w:r>
        <w:rPr>
          <w:spacing w:val="-18"/>
          <w:sz w:val="24"/>
          <w:szCs w:val="24"/>
        </w:rPr>
        <w:t>务。</w:t>
      </w:r>
    </w:p>
    <w:p w14:paraId="6EC5C80A">
      <w:pPr>
        <w:pStyle w:val="2"/>
        <w:spacing w:before="1" w:line="218" w:lineRule="auto"/>
        <w:ind w:left="1890"/>
        <w:rPr>
          <w:sz w:val="24"/>
          <w:szCs w:val="24"/>
        </w:rPr>
      </w:pPr>
      <w:r>
        <w:rPr>
          <w:spacing w:val="-17"/>
          <w:sz w:val="24"/>
          <w:szCs w:val="24"/>
        </w:rPr>
        <w:t>5、调整进度计划</w:t>
      </w:r>
    </w:p>
    <w:p w14:paraId="393B0A14">
      <w:pPr>
        <w:pStyle w:val="2"/>
        <w:spacing w:before="118" w:line="306" w:lineRule="auto"/>
        <w:ind w:left="1484" w:right="1459" w:firstLine="439"/>
        <w:rPr>
          <w:sz w:val="24"/>
          <w:szCs w:val="24"/>
        </w:rPr>
      </w:pPr>
      <w:r>
        <w:rPr>
          <w:spacing w:val="-22"/>
          <w:sz w:val="24"/>
          <w:szCs w:val="24"/>
        </w:rPr>
        <w:t>由于外部因素影响造成进度无法实施或是计划与现场状况不符，就应及时调整进度计划，同时也要及时积极的进行施工协调，此项计划一般在分析会上做</w:t>
      </w:r>
      <w:r>
        <w:rPr>
          <w:spacing w:val="-23"/>
          <w:sz w:val="24"/>
          <w:szCs w:val="24"/>
        </w:rPr>
        <w:t>出。</w:t>
      </w:r>
    </w:p>
    <w:p w14:paraId="1E5F82DB">
      <w:pPr>
        <w:pStyle w:val="2"/>
        <w:spacing w:before="3" w:line="216" w:lineRule="auto"/>
        <w:ind w:left="1887"/>
        <w:rPr>
          <w:sz w:val="24"/>
          <w:szCs w:val="24"/>
        </w:rPr>
      </w:pPr>
      <w:r>
        <w:rPr>
          <w:spacing w:val="-17"/>
          <w:sz w:val="24"/>
          <w:szCs w:val="24"/>
        </w:rPr>
        <w:t>6、质量跟踪检查</w:t>
      </w:r>
    </w:p>
    <w:p w14:paraId="4632FE3E">
      <w:pPr>
        <w:pStyle w:val="2"/>
        <w:spacing w:before="119" w:line="308" w:lineRule="auto"/>
        <w:ind w:left="1459" w:right="1353" w:firstLine="434"/>
        <w:rPr>
          <w:sz w:val="24"/>
          <w:szCs w:val="24"/>
        </w:rPr>
      </w:pPr>
      <w:r>
        <w:rPr>
          <w:spacing w:val="-24"/>
          <w:sz w:val="24"/>
          <w:szCs w:val="24"/>
        </w:rPr>
        <w:t>项目部质量检查员每日对施工班组所施工的内容进行检查，发现质量问题及时签发整改单，</w:t>
      </w:r>
      <w:r>
        <w:rPr>
          <w:spacing w:val="-20"/>
          <w:sz w:val="24"/>
          <w:szCs w:val="24"/>
        </w:rPr>
        <w:t>并每日将检查结果汇报项目工程师，把质量问题消除在过程中，决不因质量问题造成返工，从而影响工程进度计划。</w:t>
      </w:r>
    </w:p>
    <w:p w14:paraId="1F0489CA">
      <w:pPr>
        <w:pStyle w:val="2"/>
        <w:spacing w:before="1" w:line="216" w:lineRule="auto"/>
        <w:ind w:left="1891"/>
        <w:rPr>
          <w:sz w:val="24"/>
          <w:szCs w:val="24"/>
        </w:rPr>
      </w:pPr>
      <w:r>
        <w:rPr>
          <w:spacing w:val="-21"/>
          <w:sz w:val="24"/>
          <w:szCs w:val="24"/>
        </w:rPr>
        <w:t>7、利用现代科学手段，采用计算机项目管理系统对工程进行动态管理。</w:t>
      </w:r>
    </w:p>
    <w:p w14:paraId="673ED203">
      <w:pPr>
        <w:pStyle w:val="2"/>
        <w:spacing w:before="116" w:line="217" w:lineRule="auto"/>
        <w:ind w:left="1893"/>
        <w:rPr>
          <w:sz w:val="24"/>
          <w:szCs w:val="24"/>
        </w:rPr>
      </w:pPr>
      <w:r>
        <w:rPr>
          <w:spacing w:val="-21"/>
          <w:sz w:val="24"/>
          <w:szCs w:val="24"/>
        </w:rPr>
        <w:t>（七）、建立确保工期的应急预案</w:t>
      </w:r>
    </w:p>
    <w:p w14:paraId="5858C9CB">
      <w:pPr>
        <w:spacing w:line="217" w:lineRule="auto"/>
        <w:rPr>
          <w:sz w:val="24"/>
          <w:szCs w:val="24"/>
        </w:rPr>
        <w:sectPr>
          <w:footerReference r:id="rId260" w:type="default"/>
          <w:pgSz w:w="11907" w:h="16839"/>
          <w:pgMar w:top="933" w:right="4" w:bottom="1038" w:left="0" w:header="478" w:footer="357" w:gutter="0"/>
          <w:pgBorders>
            <w:top w:val="none" w:sz="0" w:space="0"/>
            <w:left w:val="none" w:sz="0" w:space="0"/>
            <w:bottom w:val="none" w:sz="0" w:space="0"/>
            <w:right w:val="none" w:sz="0" w:space="0"/>
          </w:pgBorders>
          <w:cols w:space="720" w:num="1"/>
        </w:sectPr>
      </w:pPr>
    </w:p>
    <w:p w14:paraId="0D8A5114">
      <w:pPr>
        <w:spacing w:line="271" w:lineRule="auto"/>
        <w:rPr>
          <w:rFonts w:ascii="Arial"/>
          <w:sz w:val="21"/>
        </w:rPr>
      </w:pPr>
    </w:p>
    <w:p w14:paraId="72B64A61">
      <w:pPr>
        <w:pStyle w:val="2"/>
        <w:spacing w:before="78" w:line="216" w:lineRule="auto"/>
        <w:ind w:left="1893"/>
        <w:rPr>
          <w:sz w:val="24"/>
          <w:szCs w:val="24"/>
        </w:rPr>
      </w:pPr>
      <w:r>
        <w:rPr>
          <w:spacing w:val="-22"/>
          <w:sz w:val="24"/>
          <w:szCs w:val="24"/>
        </w:rPr>
        <w:t>（1）、根据情况随时准备加班、加点。并做好后勤保障，提高工人生活水平。</w:t>
      </w:r>
    </w:p>
    <w:p w14:paraId="2E9F4C9A">
      <w:pPr>
        <w:pStyle w:val="2"/>
        <w:spacing w:before="120" w:line="218" w:lineRule="auto"/>
        <w:ind w:left="1893"/>
        <w:rPr>
          <w:sz w:val="24"/>
          <w:szCs w:val="24"/>
        </w:rPr>
      </w:pPr>
      <w:r>
        <w:rPr>
          <w:spacing w:val="-21"/>
          <w:sz w:val="24"/>
          <w:szCs w:val="24"/>
        </w:rPr>
        <w:t>（2）、公司贮备备用人员，高峰或抢工期时随时增加人员。</w:t>
      </w:r>
    </w:p>
    <w:p w14:paraId="3D46CF8E">
      <w:pPr>
        <w:pStyle w:val="2"/>
        <w:spacing w:before="114" w:line="217" w:lineRule="auto"/>
        <w:ind w:left="1893"/>
        <w:rPr>
          <w:sz w:val="24"/>
          <w:szCs w:val="24"/>
        </w:rPr>
      </w:pPr>
      <w:r>
        <w:rPr>
          <w:spacing w:val="-20"/>
          <w:sz w:val="24"/>
          <w:szCs w:val="24"/>
        </w:rPr>
        <w:t>（3）、根据情况安排夜间施工。</w:t>
      </w:r>
    </w:p>
    <w:p w14:paraId="2F2A0F12">
      <w:pPr>
        <w:pStyle w:val="2"/>
        <w:spacing w:before="119" w:line="217" w:lineRule="auto"/>
        <w:ind w:left="1893"/>
        <w:rPr>
          <w:sz w:val="24"/>
          <w:szCs w:val="24"/>
        </w:rPr>
      </w:pPr>
      <w:r>
        <w:rPr>
          <w:spacing w:val="-22"/>
          <w:sz w:val="24"/>
          <w:szCs w:val="24"/>
        </w:rPr>
        <w:t>（4）、积极协调各方关系，随时了解交通时政信息，以便及时做出调整决策。</w:t>
      </w:r>
    </w:p>
    <w:p w14:paraId="31E841B3">
      <w:pPr>
        <w:pStyle w:val="2"/>
        <w:spacing w:before="66" w:line="217" w:lineRule="auto"/>
        <w:ind w:left="4032"/>
        <w:outlineLvl w:val="1"/>
        <w:rPr>
          <w:sz w:val="30"/>
          <w:szCs w:val="30"/>
        </w:rPr>
      </w:pPr>
      <w:bookmarkStart w:id="183" w:name="bookmark175"/>
      <w:bookmarkEnd w:id="183"/>
      <w:r>
        <w:rPr>
          <w:b/>
          <w:bCs/>
          <w:color w:val="0070C0"/>
          <w:spacing w:val="-24"/>
          <w:sz w:val="30"/>
          <w:szCs w:val="30"/>
        </w:rPr>
        <w:t>第三节、工期保证具体落实措施</w:t>
      </w:r>
    </w:p>
    <w:p w14:paraId="6C7DE84F">
      <w:pPr>
        <w:pStyle w:val="2"/>
        <w:spacing w:before="62" w:line="218" w:lineRule="auto"/>
        <w:ind w:left="1981"/>
        <w:outlineLvl w:val="2"/>
        <w:rPr>
          <w:sz w:val="28"/>
          <w:szCs w:val="28"/>
        </w:rPr>
      </w:pPr>
      <w:bookmarkStart w:id="184" w:name="bookmark176"/>
      <w:bookmarkEnd w:id="184"/>
      <w:r>
        <w:rPr>
          <w:b/>
          <w:bCs/>
          <w:spacing w:val="-22"/>
          <w:sz w:val="28"/>
          <w:szCs w:val="28"/>
        </w:rPr>
        <w:t>一、前端控制措施</w:t>
      </w:r>
    </w:p>
    <w:p w14:paraId="3AB51D80">
      <w:pPr>
        <w:pStyle w:val="2"/>
        <w:spacing w:before="106" w:line="219" w:lineRule="auto"/>
        <w:ind w:left="1893"/>
        <w:rPr>
          <w:sz w:val="24"/>
          <w:szCs w:val="24"/>
        </w:rPr>
      </w:pPr>
      <w:r>
        <w:rPr>
          <w:spacing w:val="-17"/>
          <w:sz w:val="24"/>
          <w:szCs w:val="24"/>
        </w:rPr>
        <w:t>（1）组织措施</w:t>
      </w:r>
    </w:p>
    <w:p w14:paraId="6CEF9941">
      <w:pPr>
        <w:pStyle w:val="2"/>
        <w:spacing w:before="114" w:line="308" w:lineRule="auto"/>
        <w:ind w:left="1457" w:right="1410" w:firstLine="436"/>
        <w:rPr>
          <w:sz w:val="24"/>
          <w:szCs w:val="24"/>
        </w:rPr>
      </w:pPr>
      <w:r>
        <w:rPr>
          <w:spacing w:val="-20"/>
          <w:sz w:val="24"/>
          <w:szCs w:val="24"/>
        </w:rPr>
        <w:t>组建强有力的项目部团队，调遣和招聘具有多年从事市政施工等类似施工经验的工程技术人员和技术工人。充分做好施工前期准备工作，及时进行材料物资的选型确认、采购，充分确保物资设备材料的抵达时间，免因材料、设备供应不及时造成的工期滞后。建立健全各项项目管理制度，如工程例会制度，工程进度快报、汇报制度，工程考核及激励制度等，确保人员到</w:t>
      </w:r>
      <w:r>
        <w:rPr>
          <w:spacing w:val="-21"/>
          <w:sz w:val="24"/>
          <w:szCs w:val="24"/>
        </w:rPr>
        <w:t>位，制度先行。</w:t>
      </w:r>
    </w:p>
    <w:p w14:paraId="28D6A005">
      <w:pPr>
        <w:pStyle w:val="2"/>
        <w:spacing w:before="2" w:line="307" w:lineRule="auto"/>
        <w:ind w:left="1456" w:right="1410" w:firstLine="437"/>
        <w:jc w:val="both"/>
        <w:rPr>
          <w:sz w:val="24"/>
          <w:szCs w:val="24"/>
        </w:rPr>
      </w:pPr>
      <w:r>
        <w:rPr>
          <w:spacing w:val="-20"/>
          <w:sz w:val="24"/>
          <w:szCs w:val="24"/>
        </w:rPr>
        <w:t>制定专项安全技术措施，实施严密的现场安全防护，确保安全设施齐全有效，以安全生产保证工期。建立各项培训制度，提前进行技术交底和人员培训工作。适时开展工期竞赛，通过</w:t>
      </w:r>
      <w:r>
        <w:rPr>
          <w:spacing w:val="-21"/>
          <w:sz w:val="24"/>
          <w:szCs w:val="24"/>
        </w:rPr>
        <w:t>经济奖励机制，结合质量管理情况，奖优罚劣，充分调动全体</w:t>
      </w:r>
      <w:r>
        <w:rPr>
          <w:spacing w:val="-22"/>
          <w:sz w:val="24"/>
          <w:szCs w:val="24"/>
        </w:rPr>
        <w:t>施工人员的积极性。</w:t>
      </w:r>
    </w:p>
    <w:p w14:paraId="78DB6A55">
      <w:pPr>
        <w:pStyle w:val="2"/>
        <w:spacing w:before="1" w:line="218" w:lineRule="auto"/>
        <w:ind w:left="1893"/>
        <w:rPr>
          <w:sz w:val="24"/>
          <w:szCs w:val="24"/>
        </w:rPr>
      </w:pPr>
      <w:r>
        <w:rPr>
          <w:spacing w:val="-17"/>
          <w:sz w:val="24"/>
          <w:szCs w:val="24"/>
        </w:rPr>
        <w:t>（2）技术措施</w:t>
      </w:r>
    </w:p>
    <w:p w14:paraId="0ABD5C75">
      <w:pPr>
        <w:pStyle w:val="2"/>
        <w:spacing w:before="115" w:line="308" w:lineRule="auto"/>
        <w:ind w:left="1455" w:right="1409" w:firstLine="437"/>
        <w:rPr>
          <w:sz w:val="24"/>
          <w:szCs w:val="24"/>
        </w:rPr>
      </w:pPr>
      <w:r>
        <w:rPr>
          <w:spacing w:val="-20"/>
          <w:sz w:val="24"/>
          <w:szCs w:val="24"/>
        </w:rPr>
        <w:t>建立以技术总工为核心的技术责任制，通过审图提前发现问题，及时解决施工中出现的疑难技术。设计部及时与项目业主、监理进行交流，了解设计意图及要求，快速高效的完成勘察设计的编制及审批工作。</w:t>
      </w:r>
    </w:p>
    <w:p w14:paraId="0720BAD8">
      <w:pPr>
        <w:pStyle w:val="2"/>
        <w:spacing w:line="307" w:lineRule="auto"/>
        <w:ind w:left="1463" w:right="1409" w:firstLine="431"/>
        <w:rPr>
          <w:sz w:val="24"/>
          <w:szCs w:val="24"/>
        </w:rPr>
      </w:pPr>
      <w:r>
        <w:rPr>
          <w:spacing w:val="-20"/>
          <w:sz w:val="24"/>
          <w:szCs w:val="24"/>
        </w:rPr>
        <w:t>编制项目策划书，通过联合体各部门的共同把关，在项目开工前就明确工程实施过程中应</w:t>
      </w:r>
      <w:r>
        <w:rPr>
          <w:spacing w:val="-21"/>
          <w:sz w:val="24"/>
          <w:szCs w:val="24"/>
        </w:rPr>
        <w:t>重点关注的难点及要点，提前做好相关的策</w:t>
      </w:r>
      <w:r>
        <w:rPr>
          <w:spacing w:val="-22"/>
          <w:sz w:val="24"/>
          <w:szCs w:val="24"/>
        </w:rPr>
        <w:t>划和应对工作。</w:t>
      </w:r>
    </w:p>
    <w:p w14:paraId="1931CE1D">
      <w:pPr>
        <w:pStyle w:val="2"/>
        <w:spacing w:before="3" w:line="307" w:lineRule="auto"/>
        <w:ind w:left="1470" w:right="1409" w:firstLine="424"/>
        <w:rPr>
          <w:sz w:val="24"/>
          <w:szCs w:val="24"/>
        </w:rPr>
      </w:pPr>
      <w:r>
        <w:rPr>
          <w:spacing w:val="-20"/>
          <w:sz w:val="24"/>
          <w:szCs w:val="24"/>
        </w:rPr>
        <w:t>编制具有指导性和可操作性的实施性施工组织设计并报项目监理公司审核批准，编制对应</w:t>
      </w:r>
      <w:r>
        <w:rPr>
          <w:spacing w:val="-22"/>
          <w:sz w:val="24"/>
          <w:szCs w:val="24"/>
        </w:rPr>
        <w:t>的、合理的、可行的单项施工方案。</w:t>
      </w:r>
    </w:p>
    <w:p w14:paraId="1C8110E0">
      <w:pPr>
        <w:pStyle w:val="2"/>
        <w:spacing w:before="1" w:line="308" w:lineRule="auto"/>
        <w:ind w:left="1457" w:right="1313" w:firstLine="437"/>
        <w:rPr>
          <w:sz w:val="24"/>
          <w:szCs w:val="24"/>
        </w:rPr>
      </w:pPr>
      <w:r>
        <w:rPr>
          <w:spacing w:val="-19"/>
          <w:sz w:val="24"/>
          <w:szCs w:val="24"/>
        </w:rPr>
        <w:t>编制合理的施工进度计划,质量计划,安全生产计划,职业健康安全环保计划,后勤保障计划,</w:t>
      </w:r>
      <w:r>
        <w:rPr>
          <w:spacing w:val="-21"/>
          <w:sz w:val="24"/>
          <w:szCs w:val="24"/>
        </w:rPr>
        <w:t>物资采购计划，充分调动各种生产要素，确保关键线路</w:t>
      </w:r>
      <w:r>
        <w:rPr>
          <w:spacing w:val="-22"/>
          <w:sz w:val="24"/>
          <w:szCs w:val="24"/>
        </w:rPr>
        <w:t>的各工序如期完成。</w:t>
      </w:r>
    </w:p>
    <w:p w14:paraId="75EB267E">
      <w:pPr>
        <w:pStyle w:val="2"/>
        <w:spacing w:before="1" w:line="215" w:lineRule="auto"/>
        <w:ind w:left="1892"/>
        <w:rPr>
          <w:sz w:val="24"/>
          <w:szCs w:val="24"/>
        </w:rPr>
      </w:pPr>
      <w:r>
        <w:rPr>
          <w:spacing w:val="-21"/>
          <w:sz w:val="24"/>
          <w:szCs w:val="24"/>
        </w:rPr>
        <w:t>施工机械配备上选择功率大的型号，充分发挥机械效率和提高工</w:t>
      </w:r>
      <w:r>
        <w:rPr>
          <w:spacing w:val="-22"/>
          <w:sz w:val="24"/>
          <w:szCs w:val="24"/>
        </w:rPr>
        <w:t>程进度。</w:t>
      </w:r>
    </w:p>
    <w:p w14:paraId="3C8DDB44">
      <w:pPr>
        <w:pStyle w:val="2"/>
        <w:spacing w:before="117" w:line="309" w:lineRule="auto"/>
        <w:ind w:left="1480" w:right="1459" w:firstLine="411"/>
        <w:rPr>
          <w:sz w:val="24"/>
          <w:szCs w:val="24"/>
        </w:rPr>
      </w:pPr>
      <w:r>
        <w:rPr>
          <w:spacing w:val="-21"/>
          <w:sz w:val="24"/>
          <w:szCs w:val="24"/>
        </w:rPr>
        <w:t>加强质量检查和成品保护工作，严格控制工序施工质量，确保一次验收合格，杜绝返工，</w:t>
      </w:r>
      <w:r>
        <w:rPr>
          <w:spacing w:val="-22"/>
          <w:sz w:val="24"/>
          <w:szCs w:val="24"/>
        </w:rPr>
        <w:t>以一次成优的施工过程获取缩短工期的效果。</w:t>
      </w:r>
    </w:p>
    <w:p w14:paraId="4F2044A7">
      <w:pPr>
        <w:pStyle w:val="2"/>
        <w:spacing w:before="1" w:line="218" w:lineRule="auto"/>
        <w:ind w:left="1893"/>
        <w:rPr>
          <w:sz w:val="24"/>
          <w:szCs w:val="24"/>
        </w:rPr>
      </w:pPr>
      <w:r>
        <w:rPr>
          <w:spacing w:val="-17"/>
          <w:sz w:val="24"/>
          <w:szCs w:val="24"/>
        </w:rPr>
        <w:t>（3）管理措施</w:t>
      </w:r>
    </w:p>
    <w:p w14:paraId="79039F64">
      <w:pPr>
        <w:pStyle w:val="2"/>
        <w:spacing w:before="113" w:line="308" w:lineRule="auto"/>
        <w:ind w:left="1457" w:right="1410" w:firstLine="435"/>
        <w:rPr>
          <w:sz w:val="24"/>
          <w:szCs w:val="24"/>
        </w:rPr>
      </w:pPr>
      <w:r>
        <w:rPr>
          <w:spacing w:val="-20"/>
          <w:sz w:val="24"/>
          <w:szCs w:val="24"/>
        </w:rPr>
        <w:t>施工中及时做好协调和调配工作，加强各方的沟通工作，强化项目部内部管理人员效率与协调，加强与业主、监理公司的联系，加强对专业队伍的控制和与各供货厂家的协作，并明确各方及个人的职责分工，减少扯皮现象。定期召开工程例会和交班会，积极有效的处理好生产中各种矛盾，提高信息管理作用，及时收集各方面有关工期方面的正面和反面的意见，存在问</w:t>
      </w:r>
      <w:r>
        <w:rPr>
          <w:spacing w:val="-21"/>
          <w:sz w:val="24"/>
          <w:szCs w:val="24"/>
        </w:rPr>
        <w:t>题及时研究解决，促进施工生产。</w:t>
      </w:r>
    </w:p>
    <w:p w14:paraId="3168C580">
      <w:pPr>
        <w:pStyle w:val="2"/>
        <w:spacing w:before="2" w:line="306" w:lineRule="auto"/>
        <w:ind w:left="1467" w:right="1342" w:firstLine="427"/>
        <w:rPr>
          <w:sz w:val="24"/>
          <w:szCs w:val="24"/>
        </w:rPr>
      </w:pPr>
      <w:r>
        <w:rPr>
          <w:spacing w:val="-23"/>
          <w:sz w:val="24"/>
          <w:szCs w:val="24"/>
        </w:rPr>
        <w:t>编制合理的总进度计划，明确工程的关键工序和工期</w:t>
      </w:r>
      <w:r>
        <w:rPr>
          <w:spacing w:val="-24"/>
          <w:sz w:val="24"/>
          <w:szCs w:val="24"/>
        </w:rPr>
        <w:t>节点。通过进度计划分解，编制年度、</w:t>
      </w:r>
      <w:r>
        <w:rPr>
          <w:spacing w:val="-20"/>
          <w:sz w:val="24"/>
          <w:szCs w:val="24"/>
        </w:rPr>
        <w:t>月度、周、专项进度计划，细化各工序的施工作业时间，做好工、料、机的生产要素的保障，</w:t>
      </w:r>
    </w:p>
    <w:p w14:paraId="59258017">
      <w:pPr>
        <w:spacing w:line="306" w:lineRule="auto"/>
        <w:rPr>
          <w:sz w:val="24"/>
          <w:szCs w:val="24"/>
        </w:rPr>
        <w:sectPr>
          <w:footerReference r:id="rId261" w:type="default"/>
          <w:pgSz w:w="11907" w:h="16839"/>
          <w:pgMar w:top="933" w:right="4" w:bottom="1038" w:left="0" w:header="478" w:footer="357" w:gutter="0"/>
          <w:pgBorders>
            <w:top w:val="none" w:sz="0" w:space="0"/>
            <w:left w:val="none" w:sz="0" w:space="0"/>
            <w:bottom w:val="none" w:sz="0" w:space="0"/>
            <w:right w:val="none" w:sz="0" w:space="0"/>
          </w:pgBorders>
          <w:cols w:space="720" w:num="1"/>
        </w:sectPr>
      </w:pPr>
    </w:p>
    <w:p w14:paraId="7E681BCB">
      <w:pPr>
        <w:spacing w:line="271" w:lineRule="auto"/>
        <w:rPr>
          <w:rFonts w:ascii="Arial"/>
          <w:sz w:val="21"/>
        </w:rPr>
      </w:pPr>
    </w:p>
    <w:p w14:paraId="423FA949">
      <w:pPr>
        <w:pStyle w:val="2"/>
        <w:spacing w:before="78" w:line="216" w:lineRule="auto"/>
        <w:ind w:left="1457"/>
        <w:rPr>
          <w:sz w:val="24"/>
          <w:szCs w:val="24"/>
        </w:rPr>
      </w:pPr>
      <w:r>
        <w:rPr>
          <w:spacing w:val="-22"/>
          <w:sz w:val="24"/>
          <w:szCs w:val="24"/>
        </w:rPr>
        <w:t>保证各专业之间的工序交叉协调。科学安排施工搭接，积极创造各工种交叉作业和施工工作面。</w:t>
      </w:r>
    </w:p>
    <w:p w14:paraId="1402596F">
      <w:pPr>
        <w:pStyle w:val="2"/>
        <w:spacing w:before="119" w:line="299" w:lineRule="auto"/>
        <w:ind w:left="1458" w:right="1410" w:firstLine="443"/>
        <w:jc w:val="both"/>
        <w:rPr>
          <w:sz w:val="24"/>
          <w:szCs w:val="24"/>
        </w:rPr>
      </w:pPr>
      <w:r>
        <w:rPr>
          <w:spacing w:val="-20"/>
          <w:sz w:val="24"/>
          <w:szCs w:val="24"/>
        </w:rPr>
        <w:t>每天对现场的施工情况进行检查、记录、汇总，及时反映施工计划的执行情况。定期召开进度分析会，一旦发现实际进度与计划进度不符，认真分析产生进度偏差的原因，分析该偏差</w:t>
      </w:r>
      <w:r>
        <w:rPr>
          <w:spacing w:val="-21"/>
          <w:sz w:val="24"/>
          <w:szCs w:val="24"/>
        </w:rPr>
        <w:t>对后续工作和对总工期的影响。及时调整施工计划，并采</w:t>
      </w:r>
      <w:r>
        <w:rPr>
          <w:spacing w:val="-22"/>
          <w:sz w:val="24"/>
          <w:szCs w:val="24"/>
        </w:rPr>
        <w:t>取必要的措施以确保进度目标实现。</w:t>
      </w:r>
    </w:p>
    <w:p w14:paraId="7B539170">
      <w:pPr>
        <w:pStyle w:val="2"/>
        <w:spacing w:line="217" w:lineRule="auto"/>
        <w:ind w:left="1986"/>
        <w:outlineLvl w:val="2"/>
        <w:rPr>
          <w:sz w:val="28"/>
          <w:szCs w:val="28"/>
        </w:rPr>
      </w:pPr>
      <w:bookmarkStart w:id="185" w:name="bookmark177"/>
      <w:bookmarkEnd w:id="185"/>
      <w:r>
        <w:rPr>
          <w:b/>
          <w:bCs/>
          <w:spacing w:val="-23"/>
          <w:sz w:val="28"/>
          <w:szCs w:val="28"/>
        </w:rPr>
        <w:t>二、劳动力和设备投入的保证措施</w:t>
      </w:r>
    </w:p>
    <w:p w14:paraId="6BB7DBE1">
      <w:pPr>
        <w:pStyle w:val="2"/>
        <w:spacing w:before="103" w:line="217" w:lineRule="auto"/>
        <w:ind w:left="1893"/>
        <w:rPr>
          <w:sz w:val="24"/>
          <w:szCs w:val="24"/>
        </w:rPr>
      </w:pPr>
      <w:r>
        <w:rPr>
          <w:rFonts w:hint="eastAsia"/>
          <w:spacing w:val="-18"/>
          <w:sz w:val="24"/>
          <w:szCs w:val="24"/>
          <w:lang w:val="en-US" w:eastAsia="zh-CN"/>
        </w:rPr>
        <w:t>一）</w:t>
      </w:r>
      <w:r>
        <w:rPr>
          <w:spacing w:val="-18"/>
          <w:sz w:val="24"/>
          <w:szCs w:val="24"/>
        </w:rPr>
        <w:t>资金保证措施</w:t>
      </w:r>
    </w:p>
    <w:p w14:paraId="5345D560">
      <w:pPr>
        <w:pStyle w:val="2"/>
        <w:spacing w:before="117" w:line="308" w:lineRule="auto"/>
        <w:ind w:left="1470" w:right="1409" w:firstLine="422"/>
        <w:rPr>
          <w:sz w:val="24"/>
          <w:szCs w:val="24"/>
        </w:rPr>
      </w:pPr>
      <w:r>
        <w:rPr>
          <w:spacing w:val="-20"/>
          <w:sz w:val="24"/>
          <w:szCs w:val="24"/>
        </w:rPr>
        <w:t>开设项目专用账户，实行资金专款专用，严格遵守资金监管流程，在资金方面保证本项目的正常运转。执行严格的预算管理，工程款按拨款计划及时到位，保证资金的周转</w:t>
      </w:r>
      <w:r>
        <w:rPr>
          <w:spacing w:val="-21"/>
          <w:sz w:val="24"/>
          <w:szCs w:val="24"/>
        </w:rPr>
        <w:t>，促进施工</w:t>
      </w:r>
      <w:r>
        <w:rPr>
          <w:spacing w:val="-22"/>
          <w:sz w:val="24"/>
          <w:szCs w:val="24"/>
        </w:rPr>
        <w:t>生产。我公司将贯彻施工过程中奖惩制度，以经济手段来保证工期实现。</w:t>
      </w:r>
    </w:p>
    <w:p w14:paraId="76578A22">
      <w:pPr>
        <w:pStyle w:val="2"/>
        <w:spacing w:before="1" w:line="216" w:lineRule="auto"/>
        <w:ind w:left="1893"/>
        <w:rPr>
          <w:sz w:val="24"/>
          <w:szCs w:val="24"/>
        </w:rPr>
      </w:pPr>
      <w:r>
        <w:rPr>
          <w:rFonts w:hint="eastAsia"/>
          <w:spacing w:val="-19"/>
          <w:sz w:val="24"/>
          <w:szCs w:val="24"/>
          <w:lang w:val="en-US" w:eastAsia="zh-CN"/>
        </w:rPr>
        <w:t>二）</w:t>
      </w:r>
      <w:r>
        <w:rPr>
          <w:spacing w:val="-19"/>
          <w:sz w:val="24"/>
          <w:szCs w:val="24"/>
        </w:rPr>
        <w:t>劳动力保证措施</w:t>
      </w:r>
    </w:p>
    <w:p w14:paraId="4B34C9B8">
      <w:pPr>
        <w:pStyle w:val="2"/>
        <w:spacing w:before="121" w:line="307" w:lineRule="auto"/>
        <w:ind w:left="1472" w:right="1410" w:firstLine="420"/>
        <w:rPr>
          <w:sz w:val="24"/>
          <w:szCs w:val="24"/>
        </w:rPr>
      </w:pPr>
      <w:r>
        <w:rPr>
          <w:spacing w:val="-20"/>
          <w:sz w:val="24"/>
          <w:szCs w:val="24"/>
        </w:rPr>
        <w:t>开工前编制详细的劳动力需求计划，提前组织好劳动力，挑选技术过硬、操作熟练的施工</w:t>
      </w:r>
      <w:r>
        <w:rPr>
          <w:spacing w:val="-22"/>
          <w:sz w:val="24"/>
          <w:szCs w:val="24"/>
        </w:rPr>
        <w:t>队伍，按照施工进度计划的安排，分批进场。</w:t>
      </w:r>
    </w:p>
    <w:p w14:paraId="08737A2C">
      <w:pPr>
        <w:pStyle w:val="2"/>
        <w:spacing w:before="1" w:line="307" w:lineRule="auto"/>
        <w:ind w:left="1478" w:right="1409" w:firstLine="416"/>
        <w:rPr>
          <w:sz w:val="24"/>
          <w:szCs w:val="24"/>
        </w:rPr>
      </w:pPr>
      <w:r>
        <w:rPr>
          <w:spacing w:val="-20"/>
          <w:sz w:val="24"/>
          <w:szCs w:val="24"/>
        </w:rPr>
        <w:t>对于劳务分包工程施工，项目部将根据实际需要严格控制其人力资源的投入量以及投入时</w:t>
      </w:r>
      <w:r>
        <w:rPr>
          <w:spacing w:val="-22"/>
          <w:sz w:val="24"/>
          <w:szCs w:val="24"/>
        </w:rPr>
        <w:t>间、完成时间以保证整体施工进度。</w:t>
      </w:r>
    </w:p>
    <w:p w14:paraId="226B8297">
      <w:pPr>
        <w:pStyle w:val="2"/>
        <w:spacing w:before="1" w:line="308" w:lineRule="auto"/>
        <w:ind w:left="1470" w:right="1409" w:firstLine="423"/>
        <w:rPr>
          <w:sz w:val="24"/>
          <w:szCs w:val="24"/>
        </w:rPr>
      </w:pPr>
      <w:r>
        <w:rPr>
          <w:spacing w:val="-20"/>
          <w:sz w:val="24"/>
          <w:szCs w:val="24"/>
        </w:rPr>
        <w:t>根据进度计划、工程量和流水段划分合理安排劳动力和投入生产设备，保证按照进度计划</w:t>
      </w:r>
      <w:r>
        <w:rPr>
          <w:spacing w:val="-21"/>
          <w:sz w:val="24"/>
          <w:szCs w:val="24"/>
        </w:rPr>
        <w:t>的要求完成任务。</w:t>
      </w:r>
    </w:p>
    <w:p w14:paraId="4D1C5EEE">
      <w:pPr>
        <w:pStyle w:val="2"/>
        <w:spacing w:before="1" w:line="307" w:lineRule="auto"/>
        <w:ind w:left="1453" w:right="1409" w:firstLine="438"/>
        <w:rPr>
          <w:sz w:val="24"/>
          <w:szCs w:val="24"/>
        </w:rPr>
      </w:pPr>
      <w:r>
        <w:rPr>
          <w:spacing w:val="-20"/>
          <w:sz w:val="24"/>
          <w:szCs w:val="24"/>
        </w:rPr>
        <w:t>加强班组建设，做到分工和人员搭配合理，提高工效，做到不停工待料，调整好人员的安</w:t>
      </w:r>
      <w:r>
        <w:rPr>
          <w:spacing w:val="-19"/>
          <w:sz w:val="24"/>
          <w:szCs w:val="24"/>
        </w:rPr>
        <w:t>排，不出现窝工现象。</w:t>
      </w:r>
    </w:p>
    <w:p w14:paraId="7CA952B8">
      <w:pPr>
        <w:pStyle w:val="2"/>
        <w:spacing w:before="4" w:line="307" w:lineRule="auto"/>
        <w:ind w:left="1460" w:right="1411" w:firstLine="432"/>
        <w:jc w:val="both"/>
        <w:rPr>
          <w:spacing w:val="-21"/>
          <w:sz w:val="24"/>
          <w:szCs w:val="24"/>
        </w:rPr>
      </w:pPr>
      <w:r>
        <w:rPr>
          <w:spacing w:val="-20"/>
          <w:sz w:val="24"/>
          <w:szCs w:val="24"/>
        </w:rPr>
        <w:t>做好劳动力的动态调配工作，抓关键工序，在关键工序延期时，可以抽调精干的人力，集中突击施工，确保关键线路按期完成。专业工人持证上岗。与班组签订包进度、包质量、包安全、包材料损耗、包文明施工的五包合同。充分调动参与人员的积极性和责任感，做到岗位到</w:t>
      </w:r>
      <w:r>
        <w:rPr>
          <w:spacing w:val="-21"/>
          <w:sz w:val="24"/>
          <w:szCs w:val="24"/>
        </w:rPr>
        <w:t>人、责任到人、定位到人，执行跟踪管理。</w:t>
      </w:r>
    </w:p>
    <w:p w14:paraId="407439C6">
      <w:pPr>
        <w:pStyle w:val="2"/>
        <w:spacing w:before="4" w:line="307" w:lineRule="auto"/>
        <w:ind w:left="1460" w:right="1411" w:firstLine="432"/>
        <w:jc w:val="both"/>
        <w:rPr>
          <w:rFonts w:hint="eastAsia"/>
          <w:spacing w:val="-21"/>
          <w:sz w:val="24"/>
          <w:szCs w:val="24"/>
        </w:rPr>
      </w:pPr>
      <w:r>
        <w:rPr>
          <w:rFonts w:hint="eastAsia"/>
          <w:spacing w:val="-21"/>
          <w:sz w:val="24"/>
          <w:szCs w:val="24"/>
        </w:rPr>
        <w:t>三）劳动力用量计划及保障措施</w:t>
      </w:r>
    </w:p>
    <w:p w14:paraId="23132CD5">
      <w:pPr>
        <w:pStyle w:val="2"/>
        <w:spacing w:before="4" w:line="307" w:lineRule="auto"/>
        <w:ind w:left="1460" w:right="1411" w:firstLine="432"/>
        <w:jc w:val="both"/>
        <w:rPr>
          <w:rFonts w:hint="eastAsia"/>
          <w:spacing w:val="-21"/>
          <w:sz w:val="24"/>
          <w:szCs w:val="24"/>
        </w:rPr>
      </w:pPr>
      <w:r>
        <w:rPr>
          <w:rFonts w:hint="eastAsia"/>
          <w:spacing w:val="-21"/>
          <w:sz w:val="24"/>
          <w:szCs w:val="24"/>
        </w:rPr>
        <w:t>1、劳动力计划</w:t>
      </w:r>
    </w:p>
    <w:p w14:paraId="6BF7FE1F">
      <w:pPr>
        <w:pStyle w:val="2"/>
        <w:spacing w:before="4" w:line="307" w:lineRule="auto"/>
        <w:ind w:left="1460" w:right="1411" w:firstLine="432"/>
        <w:jc w:val="both"/>
        <w:rPr>
          <w:rFonts w:hint="eastAsia"/>
          <w:spacing w:val="-21"/>
          <w:sz w:val="24"/>
          <w:szCs w:val="24"/>
        </w:rPr>
      </w:pPr>
      <w:r>
        <w:rPr>
          <w:rFonts w:hint="eastAsia"/>
          <w:spacing w:val="-21"/>
          <w:sz w:val="24"/>
          <w:szCs w:val="24"/>
        </w:rPr>
        <w:t>现场将根据施工的不同阶段、进度及需要及时组织专业素质高的劳务人员进场，保证现场的施工能够优质、高效的进行。</w:t>
      </w:r>
    </w:p>
    <w:p w14:paraId="69660045">
      <w:pPr>
        <w:pStyle w:val="2"/>
        <w:spacing w:before="4" w:line="307" w:lineRule="auto"/>
        <w:ind w:left="1460" w:right="1411" w:firstLine="432"/>
        <w:jc w:val="both"/>
        <w:rPr>
          <w:rFonts w:hint="eastAsia"/>
          <w:spacing w:val="-21"/>
          <w:sz w:val="24"/>
          <w:szCs w:val="24"/>
        </w:rPr>
      </w:pPr>
      <w:r>
        <w:rPr>
          <w:rFonts w:hint="eastAsia"/>
          <w:spacing w:val="-21"/>
          <w:sz w:val="24"/>
          <w:szCs w:val="24"/>
        </w:rPr>
        <w:t>2、劳动力管理措施生产管理与保障措施</w:t>
      </w:r>
    </w:p>
    <w:p w14:paraId="2892DC75">
      <w:pPr>
        <w:pStyle w:val="2"/>
        <w:spacing w:before="4" w:line="307" w:lineRule="auto"/>
        <w:ind w:left="1460" w:right="1411" w:firstLine="432"/>
        <w:jc w:val="both"/>
        <w:rPr>
          <w:rFonts w:hint="eastAsia"/>
          <w:spacing w:val="-21"/>
          <w:sz w:val="24"/>
          <w:szCs w:val="24"/>
        </w:rPr>
      </w:pPr>
      <w:r>
        <w:rPr>
          <w:rFonts w:hint="eastAsia"/>
          <w:spacing w:val="-21"/>
          <w:sz w:val="24"/>
          <w:szCs w:val="24"/>
        </w:rPr>
        <w:t>（1）施工队伍的选择</w:t>
      </w:r>
    </w:p>
    <w:p w14:paraId="22236387">
      <w:pPr>
        <w:pStyle w:val="2"/>
        <w:spacing w:before="4" w:line="307" w:lineRule="auto"/>
        <w:ind w:left="1460" w:right="1411" w:firstLine="432"/>
        <w:jc w:val="both"/>
        <w:rPr>
          <w:rFonts w:hint="eastAsia"/>
          <w:spacing w:val="-21"/>
          <w:sz w:val="24"/>
          <w:szCs w:val="24"/>
        </w:rPr>
      </w:pPr>
      <w:r>
        <w:rPr>
          <w:rFonts w:hint="eastAsia"/>
          <w:spacing w:val="-21"/>
          <w:sz w:val="24"/>
          <w:szCs w:val="24"/>
        </w:rPr>
        <w:t>我单位在施工队伍的选择上将从单位信息库内选择三家成建制并长期与我单位合作、有丰富施工经验和雄厚技术实力的队伍。</w:t>
      </w:r>
    </w:p>
    <w:p w14:paraId="15910432">
      <w:pPr>
        <w:pStyle w:val="2"/>
        <w:spacing w:before="4" w:line="307" w:lineRule="auto"/>
        <w:ind w:left="1460" w:right="1411" w:firstLine="432"/>
        <w:jc w:val="both"/>
        <w:rPr>
          <w:rFonts w:hint="eastAsia"/>
          <w:spacing w:val="-21"/>
          <w:sz w:val="24"/>
          <w:szCs w:val="24"/>
        </w:rPr>
      </w:pPr>
      <w:r>
        <w:rPr>
          <w:rFonts w:hint="eastAsia"/>
          <w:spacing w:val="-21"/>
          <w:sz w:val="24"/>
          <w:szCs w:val="24"/>
        </w:rPr>
        <w:t>（2）公司在与劳务队伍签订合同时，将对劳动力素质、劳动力数量的保障做出明确的约定，同时选择有经验有水平的劳务队伍管理人员进行现场劳务管理。</w:t>
      </w:r>
    </w:p>
    <w:p w14:paraId="61CA2843">
      <w:pPr>
        <w:pStyle w:val="2"/>
        <w:spacing w:before="4" w:line="307" w:lineRule="auto"/>
        <w:ind w:left="1460" w:right="1411" w:firstLine="432"/>
        <w:jc w:val="both"/>
        <w:rPr>
          <w:rFonts w:hint="eastAsia"/>
          <w:spacing w:val="-21"/>
          <w:sz w:val="24"/>
          <w:szCs w:val="24"/>
        </w:rPr>
      </w:pPr>
      <w:r>
        <w:rPr>
          <w:rFonts w:hint="eastAsia"/>
          <w:spacing w:val="-21"/>
          <w:sz w:val="24"/>
          <w:szCs w:val="24"/>
        </w:rPr>
        <w:t>（3）同劳务承包人依法签订合同，并按照合同约定履行义务。合同中明确约定支付工程款时间、结算方式以及保证按期支付的相应措施，确保工程款支付。</w:t>
      </w:r>
    </w:p>
    <w:p w14:paraId="0CAACB78">
      <w:pPr>
        <w:pStyle w:val="2"/>
        <w:spacing w:before="4" w:line="307" w:lineRule="auto"/>
        <w:ind w:left="1460" w:right="1411" w:firstLine="432"/>
        <w:jc w:val="both"/>
        <w:rPr>
          <w:rFonts w:hint="eastAsia"/>
          <w:spacing w:val="-21"/>
          <w:sz w:val="24"/>
          <w:szCs w:val="24"/>
        </w:rPr>
      </w:pPr>
      <w:r>
        <w:rPr>
          <w:rFonts w:hint="eastAsia"/>
          <w:spacing w:val="-21"/>
          <w:sz w:val="24"/>
          <w:szCs w:val="24"/>
        </w:rPr>
        <w:t>（4）与劳务订立合同后开始做手到建委进行备案。</w:t>
      </w:r>
    </w:p>
    <w:p w14:paraId="400ECE35">
      <w:pPr>
        <w:pStyle w:val="2"/>
        <w:spacing w:before="4" w:line="307" w:lineRule="auto"/>
        <w:ind w:left="1460" w:right="1411" w:firstLine="432"/>
        <w:jc w:val="both"/>
        <w:rPr>
          <w:rFonts w:hint="eastAsia"/>
          <w:spacing w:val="-21"/>
          <w:sz w:val="24"/>
          <w:szCs w:val="24"/>
        </w:rPr>
      </w:pPr>
      <w:r>
        <w:rPr>
          <w:rFonts w:hint="eastAsia"/>
          <w:spacing w:val="-21"/>
          <w:sz w:val="24"/>
          <w:szCs w:val="24"/>
        </w:rPr>
        <w:t>（5）如在施工过程中原约定的工程范围、建设工期、工程造价、拨款和结算等内容发生重大变更的，立即进行合同变更，并在变更后亦应向建委备案。</w:t>
      </w:r>
    </w:p>
    <w:p w14:paraId="5C9AB4BF">
      <w:pPr>
        <w:pStyle w:val="2"/>
        <w:spacing w:before="4" w:line="307" w:lineRule="auto"/>
        <w:ind w:left="1460" w:right="1411" w:firstLine="432"/>
        <w:jc w:val="both"/>
        <w:rPr>
          <w:rFonts w:hint="eastAsia"/>
          <w:spacing w:val="-21"/>
          <w:sz w:val="24"/>
          <w:szCs w:val="24"/>
        </w:rPr>
      </w:pPr>
      <w:r>
        <w:rPr>
          <w:rFonts w:hint="eastAsia"/>
          <w:spacing w:val="-21"/>
          <w:sz w:val="24"/>
          <w:szCs w:val="24"/>
        </w:rPr>
        <w:t>2.2劳动力的调配</w:t>
      </w:r>
    </w:p>
    <w:p w14:paraId="37FB60A2">
      <w:pPr>
        <w:pStyle w:val="2"/>
        <w:spacing w:before="4" w:line="307" w:lineRule="auto"/>
        <w:ind w:left="1460" w:right="1411" w:firstLine="432"/>
        <w:jc w:val="both"/>
        <w:rPr>
          <w:rFonts w:hint="eastAsia"/>
          <w:spacing w:val="-21"/>
          <w:sz w:val="24"/>
          <w:szCs w:val="24"/>
        </w:rPr>
      </w:pPr>
      <w:r>
        <w:rPr>
          <w:rFonts w:hint="eastAsia"/>
          <w:spacing w:val="-21"/>
          <w:sz w:val="24"/>
          <w:szCs w:val="24"/>
        </w:rPr>
        <w:t>合理调配劳动力是提高劳动效率的关键。项目经理部将现场劳动力分为两班。每班严格按8小时工作制控制，保证每天现场12小时的施工时间。同时我单位还将对所有劳动力进行统一调配，需要时马上调配至工作面配合施工，避免出现施工关键阶段因特殊原因造成现场劳动力短缺的情况，以保障关键工序的顺利完成。</w:t>
      </w:r>
    </w:p>
    <w:p w14:paraId="365D0BFA">
      <w:pPr>
        <w:pStyle w:val="2"/>
        <w:spacing w:before="4" w:line="307" w:lineRule="auto"/>
        <w:ind w:left="1460" w:right="1411" w:firstLine="432"/>
        <w:jc w:val="both"/>
        <w:rPr>
          <w:rFonts w:hint="eastAsia"/>
          <w:spacing w:val="-21"/>
          <w:sz w:val="24"/>
          <w:szCs w:val="24"/>
        </w:rPr>
      </w:pPr>
      <w:r>
        <w:rPr>
          <w:rFonts w:hint="eastAsia"/>
          <w:spacing w:val="-21"/>
          <w:sz w:val="24"/>
          <w:szCs w:val="24"/>
        </w:rPr>
        <w:t>2.3劳动力的现场管理</w:t>
      </w:r>
    </w:p>
    <w:p w14:paraId="4DD13A1F">
      <w:pPr>
        <w:pStyle w:val="2"/>
        <w:spacing w:before="4" w:line="307" w:lineRule="auto"/>
        <w:ind w:left="1460" w:right="1411" w:firstLine="432"/>
        <w:jc w:val="both"/>
        <w:rPr>
          <w:rFonts w:hint="eastAsia"/>
          <w:spacing w:val="-21"/>
          <w:sz w:val="24"/>
          <w:szCs w:val="24"/>
        </w:rPr>
      </w:pPr>
      <w:r>
        <w:rPr>
          <w:rFonts w:hint="eastAsia"/>
          <w:spacing w:val="-21"/>
          <w:sz w:val="24"/>
          <w:szCs w:val="24"/>
        </w:rPr>
        <w:t>（1）参加本工程的施工管理、作业人员具有建设行政主管部门核发的《职业资格证书》，并且已按有关规定办理了合法务工手续。</w:t>
      </w:r>
    </w:p>
    <w:p w14:paraId="1E9EB383">
      <w:pPr>
        <w:pStyle w:val="2"/>
        <w:spacing w:before="4" w:line="307" w:lineRule="auto"/>
        <w:ind w:left="1460" w:right="1411" w:firstLine="432"/>
        <w:jc w:val="both"/>
        <w:rPr>
          <w:rFonts w:hint="eastAsia"/>
          <w:spacing w:val="-21"/>
          <w:sz w:val="24"/>
          <w:szCs w:val="24"/>
        </w:rPr>
      </w:pPr>
      <w:r>
        <w:rPr>
          <w:rFonts w:hint="eastAsia"/>
          <w:spacing w:val="-21"/>
          <w:sz w:val="24"/>
          <w:szCs w:val="24"/>
        </w:rPr>
        <w:t>（2）加强劳务企业与其劳动者签订劳动合同的监督，对未与劳务企业签订劳动合同的劳动者禁止在施工现场从事施工活动。</w:t>
      </w:r>
    </w:p>
    <w:p w14:paraId="515C89E8">
      <w:pPr>
        <w:pStyle w:val="2"/>
        <w:spacing w:before="4" w:line="307" w:lineRule="auto"/>
        <w:ind w:left="1460" w:right="1411" w:firstLine="432"/>
        <w:jc w:val="both"/>
        <w:rPr>
          <w:rFonts w:hint="eastAsia"/>
          <w:spacing w:val="-21"/>
          <w:sz w:val="24"/>
          <w:szCs w:val="24"/>
        </w:rPr>
      </w:pPr>
      <w:r>
        <w:rPr>
          <w:rFonts w:hint="eastAsia"/>
          <w:spacing w:val="-21"/>
          <w:sz w:val="24"/>
          <w:szCs w:val="24"/>
        </w:rPr>
        <w:t>（3）项目部设置1名兼职管理人员负责劳务管理。建立施工管理作业人员劳务档案，记录人员身份证号、职业资格证书号、劳动合同编号以及业绩和信用等情况。</w:t>
      </w:r>
    </w:p>
    <w:p w14:paraId="4BF72D04">
      <w:pPr>
        <w:pStyle w:val="2"/>
        <w:spacing w:before="4" w:line="307" w:lineRule="auto"/>
        <w:ind w:left="1460" w:right="1411" w:firstLine="432"/>
        <w:jc w:val="both"/>
        <w:rPr>
          <w:rFonts w:hint="eastAsia"/>
          <w:spacing w:val="-21"/>
          <w:sz w:val="24"/>
          <w:szCs w:val="24"/>
        </w:rPr>
      </w:pPr>
      <w:r>
        <w:rPr>
          <w:rFonts w:hint="eastAsia"/>
          <w:spacing w:val="-21"/>
          <w:sz w:val="24"/>
          <w:szCs w:val="24"/>
        </w:rPr>
        <w:t>（4）特殊工种施工作业人员必须持有职业资格证书才能上岗作业。对不合格人员不得从事相应施工活动。</w:t>
      </w:r>
    </w:p>
    <w:p w14:paraId="0DFA16F7">
      <w:pPr>
        <w:pStyle w:val="2"/>
        <w:spacing w:before="4" w:line="307" w:lineRule="auto"/>
        <w:ind w:left="1460" w:right="1411" w:firstLine="432"/>
        <w:jc w:val="both"/>
        <w:rPr>
          <w:rFonts w:hint="eastAsia"/>
          <w:spacing w:val="-21"/>
          <w:sz w:val="24"/>
          <w:szCs w:val="24"/>
        </w:rPr>
      </w:pPr>
      <w:r>
        <w:rPr>
          <w:rFonts w:hint="eastAsia"/>
          <w:spacing w:val="-21"/>
          <w:sz w:val="24"/>
          <w:szCs w:val="24"/>
        </w:rPr>
        <w:t>（5）所有入场的特殊工种施工作业人员必须接受我单位组织的专业知识和安全考核，合格后方可上岗作业。我单位将对所有施工作业人员建立考核登记档案和安全学习记录。</w:t>
      </w:r>
    </w:p>
    <w:p w14:paraId="7390A7F6">
      <w:pPr>
        <w:pStyle w:val="2"/>
        <w:spacing w:before="4" w:line="307" w:lineRule="auto"/>
        <w:ind w:left="1460" w:right="1411" w:firstLine="432"/>
        <w:jc w:val="both"/>
        <w:rPr>
          <w:rFonts w:hint="eastAsia"/>
          <w:spacing w:val="-21"/>
          <w:sz w:val="24"/>
          <w:szCs w:val="24"/>
        </w:rPr>
      </w:pPr>
      <w:r>
        <w:rPr>
          <w:rFonts w:hint="eastAsia"/>
          <w:spacing w:val="-21"/>
          <w:sz w:val="24"/>
          <w:szCs w:val="24"/>
        </w:rPr>
        <w:t>（6）为调动现场劳动力的积极性，我单位在进场时将与劳动队伍签订现场施工奖罚协议书，从工期、质量、安全、文明施工等各个方面制定相应的奖罚措施，作到现场管理“有法可依”。</w:t>
      </w:r>
    </w:p>
    <w:p w14:paraId="0B750539">
      <w:pPr>
        <w:pStyle w:val="2"/>
        <w:spacing w:before="4" w:line="307" w:lineRule="auto"/>
        <w:ind w:left="1460" w:right="1411" w:firstLine="432"/>
        <w:jc w:val="both"/>
        <w:rPr>
          <w:rFonts w:hint="eastAsia"/>
          <w:spacing w:val="-21"/>
          <w:sz w:val="24"/>
          <w:szCs w:val="24"/>
        </w:rPr>
      </w:pPr>
      <w:r>
        <w:rPr>
          <w:rFonts w:hint="eastAsia"/>
          <w:spacing w:val="-21"/>
          <w:sz w:val="24"/>
          <w:szCs w:val="24"/>
        </w:rPr>
        <w:t>（7）施工期间，现场技术人员对关键工序进行旁站式监督，劳动队伍的管理人员保证施工期间不离现场。夜间施工期间，安排现场值班表，保证现场24小时有管理人员在现场。</w:t>
      </w:r>
    </w:p>
    <w:p w14:paraId="3221B308">
      <w:pPr>
        <w:pStyle w:val="2"/>
        <w:spacing w:before="4" w:line="307" w:lineRule="auto"/>
        <w:ind w:left="1460" w:right="1411" w:firstLine="432"/>
        <w:jc w:val="both"/>
        <w:rPr>
          <w:rFonts w:hint="eastAsia"/>
          <w:spacing w:val="-21"/>
          <w:sz w:val="24"/>
          <w:szCs w:val="24"/>
        </w:rPr>
      </w:pPr>
      <w:r>
        <w:rPr>
          <w:rFonts w:hint="eastAsia"/>
          <w:spacing w:val="-21"/>
          <w:sz w:val="24"/>
          <w:szCs w:val="24"/>
        </w:rPr>
        <w:t>2.4生活管理与保障措施</w:t>
      </w:r>
    </w:p>
    <w:p w14:paraId="45D7BE5D">
      <w:pPr>
        <w:pStyle w:val="2"/>
        <w:spacing w:before="4" w:line="307" w:lineRule="auto"/>
        <w:ind w:left="1460" w:right="1411" w:firstLine="432"/>
        <w:jc w:val="both"/>
        <w:rPr>
          <w:rFonts w:hint="eastAsia"/>
          <w:spacing w:val="-21"/>
          <w:sz w:val="24"/>
          <w:szCs w:val="24"/>
        </w:rPr>
      </w:pPr>
      <w:r>
        <w:rPr>
          <w:rFonts w:hint="eastAsia"/>
          <w:spacing w:val="-21"/>
          <w:sz w:val="24"/>
          <w:szCs w:val="24"/>
        </w:rPr>
        <w:t>（1）建立联合工会，工会的作用是为职工群众说话办事。联合</w:t>
      </w:r>
    </w:p>
    <w:p w14:paraId="1FDE8107">
      <w:pPr>
        <w:pStyle w:val="2"/>
        <w:spacing w:before="4" w:line="307" w:lineRule="auto"/>
        <w:ind w:left="1460" w:right="1411" w:firstLine="432"/>
        <w:jc w:val="both"/>
        <w:rPr>
          <w:rFonts w:hint="eastAsia"/>
          <w:spacing w:val="-21"/>
          <w:sz w:val="24"/>
          <w:szCs w:val="24"/>
        </w:rPr>
      </w:pPr>
      <w:r>
        <w:rPr>
          <w:rFonts w:hint="eastAsia"/>
          <w:spacing w:val="-21"/>
          <w:sz w:val="24"/>
          <w:szCs w:val="24"/>
        </w:rPr>
        <w:t>工会将进一步拉近公司和作业层之间的距离，及时为困难职工群体办</w:t>
      </w:r>
    </w:p>
    <w:p w14:paraId="427724E1">
      <w:pPr>
        <w:pStyle w:val="2"/>
        <w:spacing w:before="4" w:line="307" w:lineRule="auto"/>
        <w:ind w:left="1460" w:right="1411" w:firstLine="432"/>
        <w:jc w:val="both"/>
        <w:rPr>
          <w:rFonts w:hint="eastAsia"/>
          <w:spacing w:val="-21"/>
          <w:sz w:val="24"/>
          <w:szCs w:val="24"/>
        </w:rPr>
      </w:pPr>
      <w:r>
        <w:rPr>
          <w:rFonts w:hint="eastAsia"/>
          <w:spacing w:val="-21"/>
          <w:sz w:val="24"/>
          <w:szCs w:val="24"/>
        </w:rPr>
        <w:t>实事，帮助他们排忧解难。</w:t>
      </w:r>
    </w:p>
    <w:p w14:paraId="64120522">
      <w:pPr>
        <w:pStyle w:val="2"/>
        <w:spacing w:before="4" w:line="307" w:lineRule="auto"/>
        <w:ind w:left="1460" w:right="1411" w:firstLine="432"/>
        <w:jc w:val="both"/>
        <w:rPr>
          <w:rFonts w:hint="eastAsia"/>
          <w:spacing w:val="-21"/>
          <w:sz w:val="24"/>
          <w:szCs w:val="24"/>
        </w:rPr>
      </w:pPr>
      <w:r>
        <w:rPr>
          <w:rFonts w:hint="eastAsia"/>
          <w:spacing w:val="-21"/>
          <w:sz w:val="24"/>
          <w:szCs w:val="24"/>
        </w:rPr>
        <w:t>（2）支持和推动贯彻落实社会保障政策，联合工会将加强对劳务的监督管理，定期检查商工程款的发放状况。</w:t>
      </w:r>
    </w:p>
    <w:p w14:paraId="252AE57E">
      <w:pPr>
        <w:pStyle w:val="2"/>
        <w:spacing w:before="4" w:line="307" w:lineRule="auto"/>
        <w:ind w:left="1460" w:right="1411" w:firstLine="432"/>
        <w:jc w:val="both"/>
        <w:rPr>
          <w:rFonts w:hint="eastAsia"/>
          <w:spacing w:val="-21"/>
          <w:sz w:val="24"/>
          <w:szCs w:val="24"/>
        </w:rPr>
      </w:pPr>
      <w:r>
        <w:rPr>
          <w:rFonts w:hint="eastAsia"/>
          <w:spacing w:val="-21"/>
          <w:sz w:val="24"/>
          <w:szCs w:val="24"/>
        </w:rPr>
        <w:t>（3）在工人的安全健康方面，坚持“安全第一、预防为主、群防群治、依法监督”的原则，联合工会将开展多种形式的安全生产监督检查活动，积极推动劳动安全卫生监督检查体系的建立健全，确保职工的劳动安全。</w:t>
      </w:r>
    </w:p>
    <w:p w14:paraId="6572834D">
      <w:pPr>
        <w:pStyle w:val="2"/>
        <w:spacing w:before="4" w:line="307" w:lineRule="auto"/>
        <w:ind w:left="1460" w:right="1411" w:firstLine="432"/>
        <w:jc w:val="both"/>
        <w:rPr>
          <w:rFonts w:hint="eastAsia"/>
          <w:spacing w:val="-21"/>
          <w:sz w:val="24"/>
          <w:szCs w:val="24"/>
        </w:rPr>
      </w:pPr>
      <w:r>
        <w:rPr>
          <w:rFonts w:hint="eastAsia"/>
          <w:spacing w:val="-21"/>
          <w:sz w:val="24"/>
          <w:szCs w:val="24"/>
        </w:rPr>
        <w:t>（4）联合工会成立后要加强组织建设工作。让部分思想先进，能够代表大多数工人想法的职工加入工会组织，出现不能解决或解决起来困难的问题时，及时在联合工会内部反应。</w:t>
      </w:r>
    </w:p>
    <w:p w14:paraId="1D1A772B">
      <w:pPr>
        <w:pStyle w:val="2"/>
        <w:spacing w:before="4" w:line="307" w:lineRule="auto"/>
        <w:ind w:left="1460" w:right="1411" w:firstLine="432"/>
        <w:jc w:val="both"/>
        <w:rPr>
          <w:rFonts w:hint="eastAsia"/>
          <w:spacing w:val="-21"/>
          <w:sz w:val="24"/>
          <w:szCs w:val="24"/>
        </w:rPr>
      </w:pPr>
      <w:r>
        <w:rPr>
          <w:rFonts w:hint="eastAsia"/>
          <w:spacing w:val="-21"/>
          <w:sz w:val="24"/>
          <w:szCs w:val="24"/>
        </w:rPr>
        <w:t>（5）联合工会的成立扩大原有单一工会的工作范围，凡是涉及工人切身利益的事情，工会就有责任有义务代表工人出面解决。包括拖欠工资、出现工伤事故、劳动保护等，以保护工人的合法权益。</w:t>
      </w:r>
    </w:p>
    <w:p w14:paraId="544C58FC">
      <w:pPr>
        <w:pStyle w:val="2"/>
        <w:spacing w:before="4" w:line="307" w:lineRule="auto"/>
        <w:ind w:left="1460" w:right="1411" w:firstLine="432"/>
        <w:jc w:val="both"/>
        <w:rPr>
          <w:rFonts w:hint="eastAsia"/>
          <w:spacing w:val="-21"/>
          <w:sz w:val="24"/>
          <w:szCs w:val="24"/>
        </w:rPr>
      </w:pPr>
      <w:r>
        <w:rPr>
          <w:rFonts w:hint="eastAsia"/>
          <w:spacing w:val="-21"/>
          <w:sz w:val="24"/>
          <w:szCs w:val="24"/>
        </w:rPr>
        <w:t>（6）通过联合工会组织，积极开展宣传、普及劳动法活动，使工人懂得依法维权。</w:t>
      </w:r>
    </w:p>
    <w:p w14:paraId="48E7FCD1">
      <w:pPr>
        <w:pStyle w:val="2"/>
        <w:spacing w:before="4" w:line="307" w:lineRule="auto"/>
        <w:ind w:left="1460" w:right="1411" w:firstLine="432"/>
        <w:jc w:val="both"/>
        <w:rPr>
          <w:rFonts w:hint="eastAsia"/>
          <w:spacing w:val="-21"/>
          <w:sz w:val="24"/>
          <w:szCs w:val="24"/>
        </w:rPr>
      </w:pPr>
      <w:r>
        <w:rPr>
          <w:rFonts w:hint="eastAsia"/>
          <w:spacing w:val="-21"/>
          <w:sz w:val="24"/>
          <w:szCs w:val="24"/>
        </w:rPr>
        <w:t>2.5劳务人员工资保障措施</w:t>
      </w:r>
    </w:p>
    <w:p w14:paraId="79E3660E">
      <w:pPr>
        <w:pStyle w:val="2"/>
        <w:spacing w:before="4" w:line="307" w:lineRule="auto"/>
        <w:ind w:left="1460" w:right="1411" w:firstLine="432"/>
        <w:jc w:val="both"/>
        <w:rPr>
          <w:rFonts w:hint="eastAsia"/>
          <w:spacing w:val="-21"/>
          <w:sz w:val="24"/>
          <w:szCs w:val="24"/>
        </w:rPr>
      </w:pPr>
      <w:r>
        <w:rPr>
          <w:rFonts w:hint="eastAsia"/>
          <w:spacing w:val="-21"/>
          <w:sz w:val="24"/>
          <w:szCs w:val="24"/>
        </w:rPr>
        <w:t>（1）在同劳务的合同中明确约定劳务工程款的支付时间、结算方式以及保证按期支付的相应措施，确保劳动者工资支付。</w:t>
      </w:r>
    </w:p>
    <w:p w14:paraId="467F28AB">
      <w:pPr>
        <w:pStyle w:val="2"/>
        <w:spacing w:before="4" w:line="307" w:lineRule="auto"/>
        <w:ind w:left="1460" w:right="1411" w:firstLine="432"/>
        <w:jc w:val="both"/>
        <w:rPr>
          <w:rFonts w:hint="eastAsia"/>
          <w:spacing w:val="-21"/>
          <w:sz w:val="24"/>
          <w:szCs w:val="24"/>
        </w:rPr>
      </w:pPr>
      <w:r>
        <w:rPr>
          <w:rFonts w:hint="eastAsia"/>
          <w:spacing w:val="-21"/>
          <w:sz w:val="24"/>
          <w:szCs w:val="24"/>
        </w:rPr>
        <w:t>（2）付款额度公开。</w:t>
      </w:r>
    </w:p>
    <w:p w14:paraId="75F3D995">
      <w:pPr>
        <w:pStyle w:val="2"/>
        <w:spacing w:before="4" w:line="307" w:lineRule="auto"/>
        <w:ind w:left="1460" w:right="1411" w:firstLine="432"/>
        <w:jc w:val="both"/>
        <w:rPr>
          <w:rFonts w:hint="eastAsia"/>
          <w:spacing w:val="-21"/>
          <w:sz w:val="24"/>
          <w:szCs w:val="24"/>
        </w:rPr>
      </w:pPr>
      <w:r>
        <w:rPr>
          <w:rFonts w:hint="eastAsia"/>
          <w:spacing w:val="-21"/>
          <w:sz w:val="24"/>
          <w:szCs w:val="24"/>
        </w:rPr>
        <w:t>每月支付工程款时，我单位及时将付款的额度通知劳务公司作业班组长，让工人了解我单位的付款情况，稳定工人的情绪，保护劳务人员的知情权，从而一定程度上制约和避免劳务公司挪用工资款项。工程款支付后，加强对劳务公司资金流向的监督，督促其及时支付工人工资，防止劳务公司将工程款挪作他用。</w:t>
      </w:r>
    </w:p>
    <w:p w14:paraId="6F8E9FE0">
      <w:pPr>
        <w:pStyle w:val="2"/>
        <w:spacing w:before="4" w:line="307" w:lineRule="auto"/>
        <w:ind w:left="1460" w:right="1411" w:firstLine="432"/>
        <w:jc w:val="both"/>
        <w:rPr>
          <w:rFonts w:hint="eastAsia"/>
          <w:spacing w:val="-21"/>
          <w:sz w:val="24"/>
          <w:szCs w:val="24"/>
        </w:rPr>
      </w:pPr>
      <w:r>
        <w:rPr>
          <w:rFonts w:hint="eastAsia"/>
          <w:spacing w:val="-21"/>
          <w:sz w:val="24"/>
          <w:szCs w:val="24"/>
        </w:rPr>
        <w:t>（3）设置预留帐户</w:t>
      </w:r>
    </w:p>
    <w:p w14:paraId="53452F29">
      <w:pPr>
        <w:pStyle w:val="2"/>
        <w:spacing w:before="4" w:line="307" w:lineRule="auto"/>
        <w:ind w:left="1460" w:right="1411" w:firstLine="432"/>
        <w:jc w:val="both"/>
        <w:rPr>
          <w:rFonts w:hint="eastAsia"/>
          <w:spacing w:val="-21"/>
          <w:sz w:val="24"/>
          <w:szCs w:val="24"/>
        </w:rPr>
      </w:pPr>
      <w:r>
        <w:rPr>
          <w:rFonts w:hint="eastAsia"/>
          <w:spacing w:val="-21"/>
          <w:sz w:val="24"/>
          <w:szCs w:val="24"/>
        </w:rPr>
        <w:t>在支付劳务公司工程款时，将工程款的20%预留，划入预留帐户，防止劳务公司在现管理问题时，仍有资金支付工人的工资。在双方的双重监督下，此帐户中的款项专门用于支付劳务人员工资，该帐户资金由双方共管，任何一方不得私自挪用，并由联合工会进行日常监督。工程完工，全部劳务人员工资足额发放后，双方协商取消该帐户。</w:t>
      </w:r>
    </w:p>
    <w:p w14:paraId="7C187181">
      <w:pPr>
        <w:pStyle w:val="2"/>
        <w:spacing w:before="4" w:line="307" w:lineRule="auto"/>
        <w:ind w:left="1460" w:right="1411" w:firstLine="432"/>
        <w:jc w:val="both"/>
        <w:rPr>
          <w:rFonts w:hint="eastAsia"/>
          <w:spacing w:val="-21"/>
          <w:sz w:val="24"/>
          <w:szCs w:val="24"/>
        </w:rPr>
      </w:pPr>
      <w:r>
        <w:rPr>
          <w:rFonts w:hint="eastAsia"/>
          <w:spacing w:val="-21"/>
          <w:sz w:val="24"/>
          <w:szCs w:val="24"/>
        </w:rPr>
        <w:t>（4）所有施工队伍必须为工人建立工资卡，工人工资不得低于最低生活标准，工资发放实行月结季清，凡没按月结季清执行的，在联合工会的监督下，由我单位统一代发。</w:t>
      </w:r>
    </w:p>
    <w:p w14:paraId="5F25382B">
      <w:pPr>
        <w:pStyle w:val="2"/>
        <w:spacing w:before="4" w:line="307" w:lineRule="auto"/>
        <w:ind w:left="1460" w:right="1411" w:firstLine="432"/>
        <w:jc w:val="both"/>
        <w:rPr>
          <w:rFonts w:hint="eastAsia"/>
          <w:spacing w:val="-21"/>
          <w:sz w:val="24"/>
          <w:szCs w:val="24"/>
        </w:rPr>
      </w:pPr>
      <w:r>
        <w:rPr>
          <w:rFonts w:hint="eastAsia"/>
          <w:spacing w:val="-21"/>
          <w:sz w:val="24"/>
          <w:szCs w:val="24"/>
        </w:rPr>
        <w:t>（5）为了保障工人的正常生活，联合工会除了实行月结季清外，在每月不能足额发放工资的情况下，必须按照最低生活费的标准发放工人的生活保障费，其余的工资在本季度全部结清。</w:t>
      </w:r>
    </w:p>
    <w:p w14:paraId="77EE0781">
      <w:pPr>
        <w:pStyle w:val="2"/>
        <w:spacing w:before="4" w:line="307" w:lineRule="auto"/>
        <w:ind w:left="1460" w:right="1411" w:firstLine="432"/>
        <w:jc w:val="both"/>
        <w:rPr>
          <w:rFonts w:hint="eastAsia"/>
          <w:spacing w:val="-21"/>
          <w:sz w:val="24"/>
          <w:szCs w:val="24"/>
        </w:rPr>
      </w:pPr>
      <w:r>
        <w:rPr>
          <w:rFonts w:hint="eastAsia"/>
          <w:spacing w:val="-21"/>
          <w:sz w:val="24"/>
          <w:szCs w:val="24"/>
        </w:rPr>
        <w:t>（6）单位按照劳动合同约定的日期支付劳动者工资，不以工程款拖欠、结算纠纷、垫资施工等理由随意克扣或者无故拖欠。工程停工、窝工期间劳动者工资的支付，按照工程合同和劳动合同的约定办理。</w:t>
      </w:r>
    </w:p>
    <w:p w14:paraId="339798CA">
      <w:pPr>
        <w:pStyle w:val="2"/>
        <w:spacing w:before="4" w:line="307" w:lineRule="auto"/>
        <w:ind w:left="1460" w:right="1411" w:firstLine="432"/>
        <w:jc w:val="both"/>
        <w:rPr>
          <w:rFonts w:hint="eastAsia"/>
          <w:spacing w:val="-21"/>
          <w:sz w:val="24"/>
          <w:szCs w:val="24"/>
        </w:rPr>
      </w:pPr>
      <w:r>
        <w:rPr>
          <w:rFonts w:hint="eastAsia"/>
          <w:spacing w:val="-21"/>
          <w:sz w:val="24"/>
          <w:szCs w:val="24"/>
        </w:rPr>
        <w:t>（7）与工程承包人在工程施工过程中解除合同的，及时付清工程款。劳务企业每月将支付劳务工程款情况和向劳动者支付工资情况，按月如实填报在信息管理系统中。</w:t>
      </w:r>
    </w:p>
    <w:p w14:paraId="1971C511">
      <w:pPr>
        <w:pStyle w:val="2"/>
        <w:spacing w:before="4" w:line="307" w:lineRule="auto"/>
        <w:ind w:left="1460" w:right="1411" w:firstLine="432"/>
        <w:jc w:val="both"/>
        <w:rPr>
          <w:rFonts w:hint="eastAsia"/>
          <w:spacing w:val="-21"/>
          <w:sz w:val="24"/>
          <w:szCs w:val="24"/>
        </w:rPr>
      </w:pPr>
      <w:r>
        <w:rPr>
          <w:rFonts w:hint="eastAsia"/>
          <w:spacing w:val="-21"/>
          <w:sz w:val="24"/>
          <w:szCs w:val="24"/>
        </w:rPr>
        <w:t>2.6其他生活保障措施</w:t>
      </w:r>
    </w:p>
    <w:p w14:paraId="37D5E4EA">
      <w:pPr>
        <w:pStyle w:val="2"/>
        <w:spacing w:before="4" w:line="307" w:lineRule="auto"/>
        <w:ind w:left="1460" w:right="1411" w:firstLine="432"/>
        <w:jc w:val="both"/>
        <w:rPr>
          <w:rFonts w:hint="eastAsia"/>
          <w:spacing w:val="-21"/>
          <w:sz w:val="24"/>
          <w:szCs w:val="24"/>
        </w:rPr>
      </w:pPr>
      <w:r>
        <w:rPr>
          <w:rFonts w:hint="eastAsia"/>
          <w:spacing w:val="-21"/>
          <w:sz w:val="24"/>
          <w:szCs w:val="24"/>
        </w:rPr>
        <w:t>（1）严格执行8小时工作制，需进行夜间加班时，及时发给加班工资，并安排“夜宵”。</w:t>
      </w:r>
    </w:p>
    <w:p w14:paraId="6F7D0B87">
      <w:pPr>
        <w:pStyle w:val="2"/>
        <w:spacing w:before="4" w:line="307" w:lineRule="auto"/>
        <w:ind w:left="1460" w:right="1411" w:firstLine="432"/>
        <w:jc w:val="both"/>
        <w:rPr>
          <w:rFonts w:hint="eastAsia"/>
          <w:spacing w:val="-21"/>
          <w:sz w:val="24"/>
          <w:szCs w:val="24"/>
        </w:rPr>
      </w:pPr>
      <w:r>
        <w:rPr>
          <w:rFonts w:hint="eastAsia"/>
          <w:spacing w:val="-21"/>
          <w:sz w:val="24"/>
          <w:szCs w:val="24"/>
        </w:rPr>
        <w:t>（2）生活区的设置严格按相关标准，保证宿舍实行单人单床。</w:t>
      </w:r>
    </w:p>
    <w:p w14:paraId="47CB6230">
      <w:pPr>
        <w:pStyle w:val="2"/>
        <w:spacing w:before="4" w:line="307" w:lineRule="auto"/>
        <w:ind w:left="1460" w:right="1411" w:firstLine="432"/>
        <w:jc w:val="both"/>
        <w:rPr>
          <w:rFonts w:hint="eastAsia"/>
          <w:spacing w:val="-21"/>
          <w:sz w:val="24"/>
          <w:szCs w:val="24"/>
        </w:rPr>
      </w:pPr>
      <w:r>
        <w:rPr>
          <w:rFonts w:hint="eastAsia"/>
          <w:spacing w:val="-21"/>
          <w:sz w:val="24"/>
          <w:szCs w:val="24"/>
        </w:rPr>
        <w:t>（3）严格按照的有关规定对工人权益加以保护，确保施工人员的权益得到有效保障。</w:t>
      </w:r>
    </w:p>
    <w:p w14:paraId="0EF4AA80">
      <w:pPr>
        <w:pStyle w:val="2"/>
        <w:spacing w:before="4" w:line="307" w:lineRule="auto"/>
        <w:ind w:left="1460" w:right="1411" w:firstLine="432"/>
        <w:jc w:val="both"/>
        <w:rPr>
          <w:rFonts w:hint="eastAsia"/>
          <w:spacing w:val="-21"/>
          <w:sz w:val="24"/>
          <w:szCs w:val="24"/>
        </w:rPr>
      </w:pPr>
      <w:r>
        <w:rPr>
          <w:rFonts w:hint="eastAsia"/>
          <w:spacing w:val="-21"/>
          <w:sz w:val="24"/>
          <w:szCs w:val="24"/>
        </w:rPr>
        <w:t>2.7、主要周转材料使用计划进场后，项目技术人员根据工程预算和不同施工阶段的要求，及时提出周转材料的总体需用计划及月度需用计划，项目物资部从我单位材料供应商数据库中选择供货商，按计划及时组织材料陆续进场。</w:t>
      </w:r>
    </w:p>
    <w:p w14:paraId="5338000C">
      <w:pPr>
        <w:pStyle w:val="2"/>
        <w:spacing w:before="4" w:line="307" w:lineRule="auto"/>
        <w:ind w:left="1460" w:right="1411" w:firstLine="432"/>
        <w:jc w:val="both"/>
        <w:rPr>
          <w:rFonts w:hint="eastAsia"/>
          <w:spacing w:val="-21"/>
          <w:sz w:val="24"/>
          <w:szCs w:val="24"/>
        </w:rPr>
      </w:pPr>
      <w:r>
        <w:rPr>
          <w:rFonts w:hint="eastAsia"/>
          <w:spacing w:val="-21"/>
          <w:sz w:val="24"/>
          <w:szCs w:val="24"/>
        </w:rPr>
        <w:t>物资部门至少每月开展一次主要物资的市场供求形势和价格走势的分析，并形成报告。加强物资集中采购和保管，确定准确的物资付款时间和方式，物资入库后要认真详细的核实和记录，以确保财务数据准确完整。加强集中采购，避免分散采购带来的资金浪费和流失。确保物资需求计划准确、及时，避免频繁变更。</w:t>
      </w:r>
    </w:p>
    <w:p w14:paraId="3D3409F6">
      <w:pPr>
        <w:pStyle w:val="2"/>
        <w:spacing w:before="4" w:line="307" w:lineRule="auto"/>
        <w:ind w:left="1460" w:right="1411" w:firstLine="432"/>
        <w:jc w:val="both"/>
        <w:rPr>
          <w:rFonts w:hint="eastAsia"/>
          <w:spacing w:val="-21"/>
          <w:sz w:val="24"/>
          <w:szCs w:val="24"/>
        </w:rPr>
      </w:pPr>
      <w:r>
        <w:rPr>
          <w:rFonts w:hint="eastAsia"/>
          <w:spacing w:val="-21"/>
          <w:sz w:val="24"/>
          <w:szCs w:val="24"/>
        </w:rPr>
        <w:t>（二）物资投入计划保证措施</w:t>
      </w:r>
    </w:p>
    <w:p w14:paraId="55601951">
      <w:pPr>
        <w:pStyle w:val="2"/>
        <w:spacing w:before="4" w:line="307" w:lineRule="auto"/>
        <w:ind w:left="1460" w:right="1411" w:firstLine="432"/>
        <w:jc w:val="both"/>
        <w:rPr>
          <w:rFonts w:hint="eastAsia"/>
          <w:spacing w:val="-21"/>
          <w:sz w:val="24"/>
          <w:szCs w:val="24"/>
        </w:rPr>
      </w:pPr>
      <w:r>
        <w:rPr>
          <w:rFonts w:hint="eastAsia"/>
          <w:spacing w:val="-21"/>
          <w:sz w:val="24"/>
          <w:szCs w:val="24"/>
        </w:rPr>
        <w:t>建立材料进场检验控制</w:t>
      </w:r>
    </w:p>
    <w:p w14:paraId="671DF9BC">
      <w:pPr>
        <w:pStyle w:val="2"/>
        <w:spacing w:before="4" w:line="307" w:lineRule="auto"/>
        <w:ind w:left="1460" w:right="1411" w:firstLine="432"/>
        <w:jc w:val="both"/>
        <w:rPr>
          <w:rFonts w:hint="eastAsia"/>
          <w:spacing w:val="-21"/>
          <w:sz w:val="24"/>
          <w:szCs w:val="24"/>
        </w:rPr>
      </w:pPr>
      <w:r>
        <w:rPr>
          <w:rFonts w:hint="eastAsia"/>
          <w:spacing w:val="-21"/>
          <w:sz w:val="24"/>
          <w:szCs w:val="24"/>
        </w:rPr>
        <w:t>坚持材料进场检验制度，确保原材料、半成品、成品使用前符合技术规范的质量要求。</w:t>
      </w:r>
    </w:p>
    <w:p w14:paraId="209D611C">
      <w:pPr>
        <w:pStyle w:val="2"/>
        <w:spacing w:before="4" w:line="307" w:lineRule="auto"/>
        <w:ind w:left="1460" w:right="1411" w:firstLine="432"/>
        <w:jc w:val="both"/>
        <w:rPr>
          <w:rFonts w:hint="eastAsia"/>
          <w:spacing w:val="-21"/>
          <w:sz w:val="24"/>
          <w:szCs w:val="24"/>
        </w:rPr>
      </w:pPr>
      <w:r>
        <w:rPr>
          <w:rFonts w:hint="eastAsia"/>
          <w:spacing w:val="-21"/>
          <w:sz w:val="24"/>
          <w:szCs w:val="24"/>
        </w:rPr>
        <w:t>严格控制原材料、半成品的质量。施工中所用花木等均应具有相应的产地及质量证明书，而且还须按规范要求进行抽检试验，检验合格后才用于本工程的施工。对经检验达不到设计要求的原材料根据具体情况采取降级使用或退货处理。</w:t>
      </w:r>
    </w:p>
    <w:p w14:paraId="1ABDCC5C">
      <w:pPr>
        <w:pStyle w:val="2"/>
        <w:spacing w:before="4" w:line="307" w:lineRule="auto"/>
        <w:ind w:left="1460" w:right="1411" w:firstLine="432"/>
        <w:jc w:val="both"/>
        <w:rPr>
          <w:rFonts w:hint="eastAsia"/>
          <w:spacing w:val="-21"/>
          <w:sz w:val="24"/>
          <w:szCs w:val="24"/>
        </w:rPr>
      </w:pPr>
      <w:r>
        <w:rPr>
          <w:rFonts w:hint="eastAsia"/>
          <w:spacing w:val="-21"/>
          <w:sz w:val="24"/>
          <w:szCs w:val="24"/>
        </w:rPr>
        <w:t>原材料、半成品的堆放应符合现场要求，按照要求分类分规格堆放整齐，并挂好标识牌，以防误用。</w:t>
      </w:r>
    </w:p>
    <w:p w14:paraId="18E5FDC7">
      <w:pPr>
        <w:pStyle w:val="2"/>
        <w:spacing w:before="4" w:line="307" w:lineRule="auto"/>
        <w:ind w:left="1460" w:right="1411" w:firstLine="432"/>
        <w:jc w:val="both"/>
        <w:rPr>
          <w:rFonts w:hint="eastAsia"/>
          <w:spacing w:val="-21"/>
          <w:sz w:val="24"/>
          <w:szCs w:val="24"/>
        </w:rPr>
      </w:pPr>
      <w:r>
        <w:rPr>
          <w:rFonts w:hint="eastAsia"/>
          <w:spacing w:val="-21"/>
          <w:sz w:val="24"/>
          <w:szCs w:val="24"/>
        </w:rPr>
        <w:t>公司工程科及材设科每月对不合格半成品、成品或不合格的原材料进行统计分析，重点对一些容易出现质量通病的工序，分析其所用材料、工艺、生产设备、操作规程、操作人员的技艺或其他因素，对质量的不同影响，区别提出和采取预防措施。</w:t>
      </w:r>
    </w:p>
    <w:p w14:paraId="230226BA">
      <w:pPr>
        <w:pStyle w:val="2"/>
        <w:spacing w:before="4" w:line="307" w:lineRule="auto"/>
        <w:ind w:left="1460" w:right="1411" w:firstLine="432"/>
        <w:jc w:val="both"/>
        <w:rPr>
          <w:rFonts w:hint="eastAsia"/>
          <w:spacing w:val="-21"/>
          <w:sz w:val="24"/>
          <w:szCs w:val="24"/>
        </w:rPr>
      </w:pPr>
      <w:r>
        <w:rPr>
          <w:rFonts w:hint="eastAsia"/>
          <w:spacing w:val="-21"/>
          <w:sz w:val="24"/>
          <w:szCs w:val="24"/>
        </w:rPr>
        <w:t>加强对工程施工全过程的质量监控，尤其是被列入关键工序和特殊过程的工序要从材料采购、进场检验、施工过程检查、重点难点的技术攻关、特殊工种持证上岗、所用机械设备的能力鉴定、工序验收等各个环节予以全过程控制，保证工程质量。</w:t>
      </w:r>
    </w:p>
    <w:p w14:paraId="0F5B212E">
      <w:pPr>
        <w:pStyle w:val="2"/>
        <w:spacing w:before="4" w:line="307" w:lineRule="auto"/>
        <w:ind w:left="1460" w:right="1411" w:firstLine="432"/>
        <w:jc w:val="both"/>
        <w:rPr>
          <w:rFonts w:hint="eastAsia"/>
          <w:spacing w:val="-21"/>
          <w:sz w:val="24"/>
          <w:szCs w:val="24"/>
        </w:rPr>
      </w:pPr>
      <w:r>
        <w:rPr>
          <w:rFonts w:hint="eastAsia"/>
          <w:spacing w:val="-21"/>
          <w:sz w:val="24"/>
          <w:szCs w:val="24"/>
        </w:rPr>
        <w:t>在工程施工中，做到防患于未然。加强施工过程监督、检查，</w:t>
      </w:r>
    </w:p>
    <w:p w14:paraId="1EA432A5">
      <w:pPr>
        <w:pStyle w:val="2"/>
        <w:spacing w:before="4" w:line="307" w:lineRule="auto"/>
        <w:ind w:left="1460" w:right="1411" w:firstLine="432"/>
        <w:jc w:val="both"/>
        <w:rPr>
          <w:rFonts w:hint="eastAsia"/>
          <w:spacing w:val="-21"/>
          <w:sz w:val="24"/>
          <w:szCs w:val="24"/>
        </w:rPr>
      </w:pPr>
      <w:r>
        <w:rPr>
          <w:rFonts w:hint="eastAsia"/>
          <w:spacing w:val="-21"/>
          <w:sz w:val="24"/>
          <w:szCs w:val="24"/>
        </w:rPr>
        <w:t>严格实行“三检制”。</w:t>
      </w:r>
    </w:p>
    <w:p w14:paraId="446FCB92">
      <w:pPr>
        <w:pStyle w:val="2"/>
        <w:spacing w:before="4" w:line="307" w:lineRule="auto"/>
        <w:ind w:left="1460" w:right="1411" w:firstLine="432"/>
        <w:jc w:val="both"/>
        <w:rPr>
          <w:rFonts w:hint="eastAsia"/>
          <w:spacing w:val="-21"/>
          <w:sz w:val="24"/>
          <w:szCs w:val="24"/>
        </w:rPr>
      </w:pPr>
      <w:r>
        <w:rPr>
          <w:rFonts w:hint="eastAsia"/>
          <w:spacing w:val="-21"/>
          <w:sz w:val="24"/>
          <w:szCs w:val="24"/>
        </w:rPr>
        <w:t>（1）自检</w:t>
      </w:r>
    </w:p>
    <w:p w14:paraId="43ECB419">
      <w:pPr>
        <w:pStyle w:val="2"/>
        <w:spacing w:before="4" w:line="307" w:lineRule="auto"/>
        <w:ind w:left="1460" w:right="1411" w:firstLine="432"/>
        <w:jc w:val="both"/>
        <w:rPr>
          <w:rFonts w:hint="eastAsia"/>
          <w:spacing w:val="-21"/>
          <w:sz w:val="24"/>
          <w:szCs w:val="24"/>
        </w:rPr>
      </w:pPr>
      <w:r>
        <w:rPr>
          <w:rFonts w:hint="eastAsia"/>
          <w:spacing w:val="-21"/>
          <w:sz w:val="24"/>
          <w:szCs w:val="24"/>
        </w:rPr>
        <w:t>班组对当时自己完成的工作任务须详细的质量检查，检查质量符合所交底的质量标准，做法是否正确，有无错漏的地方，并把自检情况作详细记录交底到项目技术班组。</w:t>
      </w:r>
    </w:p>
    <w:p w14:paraId="217745B6">
      <w:pPr>
        <w:pStyle w:val="2"/>
        <w:spacing w:before="4" w:line="307" w:lineRule="auto"/>
        <w:ind w:left="1460" w:right="1411" w:firstLine="432"/>
        <w:jc w:val="both"/>
        <w:rPr>
          <w:rFonts w:hint="eastAsia"/>
          <w:spacing w:val="-21"/>
          <w:sz w:val="24"/>
          <w:szCs w:val="24"/>
        </w:rPr>
      </w:pPr>
      <w:r>
        <w:rPr>
          <w:rFonts w:hint="eastAsia"/>
          <w:spacing w:val="-21"/>
          <w:sz w:val="24"/>
          <w:szCs w:val="24"/>
        </w:rPr>
        <w:t>（2）专检</w:t>
      </w:r>
    </w:p>
    <w:p w14:paraId="7EB0EAAD">
      <w:pPr>
        <w:pStyle w:val="2"/>
        <w:spacing w:before="4" w:line="307" w:lineRule="auto"/>
        <w:ind w:left="1460" w:right="1411" w:firstLine="432"/>
        <w:jc w:val="both"/>
        <w:rPr>
          <w:rFonts w:hint="eastAsia"/>
          <w:spacing w:val="-21"/>
          <w:sz w:val="24"/>
          <w:szCs w:val="24"/>
        </w:rPr>
      </w:pPr>
      <w:r>
        <w:rPr>
          <w:rFonts w:hint="eastAsia"/>
          <w:spacing w:val="-21"/>
          <w:sz w:val="24"/>
          <w:szCs w:val="24"/>
        </w:rPr>
        <w:t>项目技术班组分项专业技术质检员，根据班组送交的自检记录进行查阅，确认自检合格后即进行专检，专检对班组当次所完成的工作进行全面检查，检查是否全部达到所要求的质量标准和自检报告所记录情况属实，专检合格后把专检情况作详细记录送交给项目技术质量主管，经审核认可后由项目技术质量主管上报监理工程师，批准后进行下道工序施工。</w:t>
      </w:r>
    </w:p>
    <w:p w14:paraId="305428D1">
      <w:pPr>
        <w:pStyle w:val="2"/>
        <w:spacing w:before="4" w:line="307" w:lineRule="auto"/>
        <w:ind w:left="1460" w:right="1411" w:firstLine="432"/>
        <w:jc w:val="both"/>
        <w:rPr>
          <w:rFonts w:hint="eastAsia"/>
          <w:spacing w:val="-21"/>
          <w:sz w:val="24"/>
          <w:szCs w:val="24"/>
        </w:rPr>
      </w:pPr>
      <w:r>
        <w:rPr>
          <w:rFonts w:hint="eastAsia"/>
          <w:spacing w:val="-21"/>
          <w:sz w:val="24"/>
          <w:szCs w:val="24"/>
        </w:rPr>
        <w:t>（3）交接检</w:t>
      </w:r>
    </w:p>
    <w:p w14:paraId="317F2D04">
      <w:pPr>
        <w:pStyle w:val="2"/>
        <w:spacing w:before="4" w:line="307" w:lineRule="auto"/>
        <w:ind w:left="1460" w:right="1411" w:firstLine="432"/>
        <w:jc w:val="both"/>
        <w:rPr>
          <w:rFonts w:hint="eastAsia"/>
          <w:spacing w:val="-21"/>
          <w:sz w:val="24"/>
          <w:szCs w:val="24"/>
        </w:rPr>
      </w:pPr>
      <w:r>
        <w:rPr>
          <w:rFonts w:hint="eastAsia"/>
          <w:spacing w:val="-21"/>
          <w:sz w:val="24"/>
          <w:szCs w:val="24"/>
        </w:rPr>
        <w:t>前道工序和后道工序班组之间的交接检查，交接检情况作详细记录送交到项目技术工程组。工序交接必须经质量部门的检验合格后由有关人员的签字方可进行。</w:t>
      </w:r>
    </w:p>
    <w:p w14:paraId="475172E2">
      <w:pPr>
        <w:pStyle w:val="2"/>
        <w:spacing w:before="4" w:line="307" w:lineRule="auto"/>
        <w:ind w:left="1460" w:right="1411" w:firstLine="432"/>
        <w:jc w:val="both"/>
        <w:rPr>
          <w:rFonts w:hint="eastAsia"/>
          <w:spacing w:val="-21"/>
          <w:sz w:val="24"/>
          <w:szCs w:val="24"/>
        </w:rPr>
      </w:pPr>
      <w:r>
        <w:rPr>
          <w:rFonts w:hint="eastAsia"/>
          <w:spacing w:val="-21"/>
          <w:sz w:val="24"/>
          <w:szCs w:val="24"/>
        </w:rPr>
        <w:t>赋予质量检查员质量否决权实行合格标准化制，优质优价，对于存在质量缺陷较多的施工单位和班组限令整改，否则坚决清除出场。</w:t>
      </w:r>
    </w:p>
    <w:p w14:paraId="229F1D8C">
      <w:pPr>
        <w:pStyle w:val="2"/>
        <w:spacing w:before="4" w:line="307" w:lineRule="auto"/>
        <w:ind w:left="1460" w:right="1411" w:firstLine="432"/>
        <w:jc w:val="both"/>
        <w:rPr>
          <w:rFonts w:hint="eastAsia"/>
          <w:spacing w:val="-21"/>
          <w:sz w:val="24"/>
          <w:szCs w:val="24"/>
        </w:rPr>
      </w:pPr>
      <w:r>
        <w:rPr>
          <w:rFonts w:hint="eastAsia"/>
          <w:spacing w:val="-21"/>
          <w:sz w:val="24"/>
          <w:szCs w:val="24"/>
        </w:rPr>
        <w:t>2.</w:t>
      </w:r>
      <w:r>
        <w:rPr>
          <w:rFonts w:hint="eastAsia"/>
          <w:spacing w:val="-21"/>
          <w:sz w:val="24"/>
          <w:szCs w:val="24"/>
          <w:lang w:val="en-US" w:eastAsia="zh-CN"/>
        </w:rPr>
        <w:t>8</w:t>
      </w:r>
      <w:r>
        <w:rPr>
          <w:rFonts w:hint="eastAsia"/>
          <w:spacing w:val="-21"/>
          <w:sz w:val="24"/>
          <w:szCs w:val="24"/>
        </w:rPr>
        <w:t>、材料保障措施</w:t>
      </w:r>
    </w:p>
    <w:p w14:paraId="740C509D">
      <w:pPr>
        <w:pStyle w:val="2"/>
        <w:spacing w:before="4" w:line="307" w:lineRule="auto"/>
        <w:ind w:left="1460" w:right="1411" w:firstLine="432"/>
        <w:jc w:val="both"/>
        <w:rPr>
          <w:rFonts w:hint="eastAsia"/>
          <w:spacing w:val="-21"/>
          <w:sz w:val="24"/>
          <w:szCs w:val="24"/>
        </w:rPr>
      </w:pPr>
      <w:r>
        <w:rPr>
          <w:rFonts w:hint="eastAsia"/>
          <w:spacing w:val="-21"/>
          <w:sz w:val="24"/>
          <w:szCs w:val="24"/>
        </w:rPr>
        <w:t>（1）我单位有完善的实体材料供应商服务网络，拥有大批重合同、守信用、有实力的物资供应商，能保证工程所需主材及时到场。</w:t>
      </w:r>
    </w:p>
    <w:p w14:paraId="50298B32">
      <w:pPr>
        <w:pStyle w:val="2"/>
        <w:spacing w:before="4" w:line="307" w:lineRule="auto"/>
        <w:ind w:left="1460" w:right="1411" w:firstLine="432"/>
        <w:jc w:val="both"/>
        <w:rPr>
          <w:rFonts w:hint="eastAsia"/>
          <w:spacing w:val="-21"/>
          <w:sz w:val="24"/>
          <w:szCs w:val="24"/>
        </w:rPr>
      </w:pPr>
      <w:r>
        <w:rPr>
          <w:rFonts w:hint="eastAsia"/>
          <w:spacing w:val="-21"/>
          <w:sz w:val="24"/>
          <w:szCs w:val="24"/>
        </w:rPr>
        <w:t>（2）根据工程进展，各专业工程师按照施工方案和进度计划提前做好主要材料需求计划，项目材料部门及时采购。</w:t>
      </w:r>
    </w:p>
    <w:p w14:paraId="6F9C5B94">
      <w:pPr>
        <w:pStyle w:val="2"/>
        <w:spacing w:before="4" w:line="307" w:lineRule="auto"/>
        <w:ind w:left="1460" w:right="1411" w:firstLine="432"/>
        <w:jc w:val="both"/>
        <w:rPr>
          <w:rFonts w:hint="eastAsia"/>
          <w:spacing w:val="-21"/>
          <w:sz w:val="24"/>
          <w:szCs w:val="24"/>
        </w:rPr>
      </w:pPr>
      <w:r>
        <w:rPr>
          <w:rFonts w:hint="eastAsia"/>
          <w:spacing w:val="-21"/>
          <w:sz w:val="24"/>
          <w:szCs w:val="24"/>
        </w:rPr>
        <w:t>（3）施工技术负责人牵头，专业工程师参加对进场实体材料进行验收。</w:t>
      </w:r>
    </w:p>
    <w:p w14:paraId="3C6456E2">
      <w:pPr>
        <w:pStyle w:val="2"/>
        <w:spacing w:before="4" w:line="307" w:lineRule="auto"/>
        <w:ind w:left="1460" w:right="1411" w:firstLine="432"/>
        <w:jc w:val="both"/>
        <w:rPr>
          <w:spacing w:val="-21"/>
          <w:sz w:val="24"/>
          <w:szCs w:val="24"/>
        </w:rPr>
      </w:pPr>
      <w:r>
        <w:rPr>
          <w:rFonts w:hint="eastAsia"/>
          <w:spacing w:val="-21"/>
          <w:sz w:val="24"/>
          <w:szCs w:val="24"/>
        </w:rPr>
        <w:t>（4）项目物资部及时向监理工程师呈报材料进场合格证，材料供应商资质证明等。</w:t>
      </w:r>
    </w:p>
    <w:p w14:paraId="6B1A1611">
      <w:pPr>
        <w:pStyle w:val="2"/>
        <w:spacing w:before="1" w:line="216" w:lineRule="auto"/>
        <w:ind w:left="1893"/>
        <w:rPr>
          <w:sz w:val="24"/>
          <w:szCs w:val="24"/>
        </w:rPr>
      </w:pPr>
      <w:r>
        <w:rPr>
          <w:spacing w:val="-19"/>
          <w:sz w:val="24"/>
          <w:szCs w:val="24"/>
        </w:rPr>
        <w:t>（3）设备投入保证措施</w:t>
      </w:r>
    </w:p>
    <w:p w14:paraId="2A059F04">
      <w:pPr>
        <w:pStyle w:val="2"/>
        <w:spacing w:before="118" w:line="308" w:lineRule="auto"/>
        <w:ind w:left="1455" w:right="1409" w:firstLine="439"/>
        <w:rPr>
          <w:sz w:val="24"/>
          <w:szCs w:val="24"/>
        </w:rPr>
      </w:pPr>
      <w:r>
        <w:rPr>
          <w:spacing w:val="-20"/>
          <w:sz w:val="24"/>
          <w:szCs w:val="24"/>
        </w:rPr>
        <w:t>编制机械设备需求计划表，根据工期和工程量，配备足够的机械设备及易损零配件，以保</w:t>
      </w:r>
      <w:r>
        <w:rPr>
          <w:spacing w:val="-21"/>
          <w:sz w:val="24"/>
          <w:szCs w:val="24"/>
        </w:rPr>
        <w:t>证施工生产始终能够顺利地进行。</w:t>
      </w:r>
    </w:p>
    <w:p w14:paraId="52B16824">
      <w:pPr>
        <w:pStyle w:val="2"/>
        <w:spacing w:before="2" w:line="306" w:lineRule="auto"/>
        <w:ind w:left="1457" w:right="1409" w:firstLine="435"/>
        <w:rPr>
          <w:sz w:val="24"/>
          <w:szCs w:val="24"/>
        </w:rPr>
      </w:pPr>
      <w:r>
        <w:rPr>
          <w:spacing w:val="-19"/>
          <w:sz w:val="24"/>
          <w:szCs w:val="24"/>
        </w:rPr>
        <w:t>加强机械管理，保证机械的完好率，对机</w:t>
      </w:r>
      <w:r>
        <w:rPr>
          <w:spacing w:val="-20"/>
          <w:sz w:val="24"/>
          <w:szCs w:val="24"/>
        </w:rPr>
        <w:t>械设备的进场调试、维修、保养、使用均制定专项措施，进场后彻底检修。</w:t>
      </w:r>
    </w:p>
    <w:p w14:paraId="134C1F10">
      <w:pPr>
        <w:pStyle w:val="2"/>
        <w:spacing w:before="1" w:line="299" w:lineRule="auto"/>
        <w:ind w:left="1459" w:right="1409" w:firstLine="433"/>
        <w:jc w:val="both"/>
        <w:rPr>
          <w:sz w:val="24"/>
          <w:szCs w:val="24"/>
        </w:rPr>
      </w:pPr>
      <w:r>
        <w:rPr>
          <w:spacing w:val="-22"/>
          <w:sz w:val="24"/>
          <w:szCs w:val="24"/>
        </w:rPr>
        <w:t>做好机械设备使用台班记录，掌握机械运转规律，合理组织施工,充分发挥机械设备的</w:t>
      </w:r>
      <w:r>
        <w:rPr>
          <w:spacing w:val="-23"/>
          <w:sz w:val="24"/>
          <w:szCs w:val="24"/>
        </w:rPr>
        <w:t>使用</w:t>
      </w:r>
      <w:r>
        <w:rPr>
          <w:spacing w:val="-20"/>
          <w:sz w:val="24"/>
          <w:szCs w:val="24"/>
        </w:rPr>
        <w:t>潜力，提高其利用率。配备专业维修人员，定期对机械设备进行维护保养。配备专业的库管人</w:t>
      </w:r>
      <w:r>
        <w:rPr>
          <w:spacing w:val="-21"/>
          <w:sz w:val="24"/>
          <w:szCs w:val="24"/>
        </w:rPr>
        <w:t>员，对特殊的材料和重要的设备，严格按照材料供应商</w:t>
      </w:r>
      <w:r>
        <w:rPr>
          <w:spacing w:val="-22"/>
          <w:sz w:val="24"/>
          <w:szCs w:val="24"/>
        </w:rPr>
        <w:t>的要求进行存放。</w:t>
      </w:r>
    </w:p>
    <w:p w14:paraId="0FA4A537">
      <w:pPr>
        <w:pStyle w:val="2"/>
        <w:spacing w:before="1" w:line="217" w:lineRule="auto"/>
        <w:ind w:left="1985"/>
        <w:outlineLvl w:val="2"/>
        <w:rPr>
          <w:sz w:val="28"/>
          <w:szCs w:val="28"/>
        </w:rPr>
      </w:pPr>
      <w:bookmarkStart w:id="186" w:name="bookmark178"/>
      <w:bookmarkEnd w:id="186"/>
      <w:r>
        <w:rPr>
          <w:b/>
          <w:bCs/>
          <w:spacing w:val="-23"/>
          <w:sz w:val="28"/>
          <w:szCs w:val="28"/>
        </w:rPr>
        <w:t>三、应急和纠正措施</w:t>
      </w:r>
    </w:p>
    <w:p w14:paraId="5821E208">
      <w:pPr>
        <w:pStyle w:val="2"/>
        <w:spacing w:before="106" w:line="307" w:lineRule="auto"/>
        <w:ind w:left="1459" w:right="1410" w:firstLine="433"/>
        <w:rPr>
          <w:sz w:val="24"/>
          <w:szCs w:val="24"/>
        </w:rPr>
      </w:pPr>
      <w:r>
        <w:rPr>
          <w:spacing w:val="-20"/>
          <w:sz w:val="24"/>
          <w:szCs w:val="24"/>
        </w:rPr>
        <w:t>建立工程施工进度监测系统，采用先进的进度控制软件进行进度监控，对施工阶段进度计</w:t>
      </w:r>
      <w:r>
        <w:rPr>
          <w:spacing w:val="-21"/>
          <w:sz w:val="24"/>
          <w:szCs w:val="24"/>
        </w:rPr>
        <w:t>划进行动态控制，及时收集信息。</w:t>
      </w:r>
    </w:p>
    <w:p w14:paraId="348E0F8C">
      <w:pPr>
        <w:pStyle w:val="2"/>
        <w:spacing w:before="1" w:line="307" w:lineRule="auto"/>
        <w:ind w:left="1460" w:right="1426" w:firstLine="437"/>
        <w:rPr>
          <w:sz w:val="24"/>
          <w:szCs w:val="24"/>
        </w:rPr>
      </w:pPr>
      <w:r>
        <w:rPr>
          <w:spacing w:val="-20"/>
          <w:sz w:val="24"/>
          <w:szCs w:val="24"/>
        </w:rPr>
        <w:t>定期召开进度分析会，一旦发现某工序与进度计划有偏差，分析产生延误的原因</w:t>
      </w:r>
      <w:r>
        <w:rPr>
          <w:spacing w:val="-21"/>
          <w:sz w:val="24"/>
          <w:szCs w:val="24"/>
        </w:rPr>
        <w:t>，有针对性的采取措施，调整施工计划，确保工期目标顺利实</w:t>
      </w:r>
      <w:r>
        <w:rPr>
          <w:spacing w:val="-22"/>
          <w:sz w:val="24"/>
          <w:szCs w:val="24"/>
        </w:rPr>
        <w:t>现。</w:t>
      </w:r>
    </w:p>
    <w:p w14:paraId="6AA90405">
      <w:pPr>
        <w:pStyle w:val="2"/>
        <w:spacing w:before="1" w:line="218" w:lineRule="auto"/>
        <w:ind w:left="1893"/>
        <w:rPr>
          <w:sz w:val="24"/>
          <w:szCs w:val="24"/>
        </w:rPr>
      </w:pPr>
      <w:r>
        <w:rPr>
          <w:spacing w:val="-19"/>
          <w:sz w:val="24"/>
          <w:szCs w:val="24"/>
        </w:rPr>
        <w:t>（1）非关键线路工序延误</w:t>
      </w:r>
    </w:p>
    <w:p w14:paraId="65799E26">
      <w:pPr>
        <w:spacing w:line="218" w:lineRule="auto"/>
        <w:rPr>
          <w:sz w:val="24"/>
          <w:szCs w:val="24"/>
        </w:rPr>
        <w:sectPr>
          <w:footerReference r:id="rId262" w:type="default"/>
          <w:pgSz w:w="11907" w:h="16839"/>
          <w:pgMar w:top="933" w:right="4" w:bottom="1038" w:left="0" w:header="478" w:footer="357" w:gutter="0"/>
          <w:pgBorders>
            <w:top w:val="none" w:sz="0" w:space="0"/>
            <w:left w:val="none" w:sz="0" w:space="0"/>
            <w:bottom w:val="none" w:sz="0" w:space="0"/>
            <w:right w:val="none" w:sz="0" w:space="0"/>
          </w:pgBorders>
          <w:cols w:space="720" w:num="1"/>
        </w:sectPr>
      </w:pPr>
    </w:p>
    <w:p w14:paraId="599605AC">
      <w:pPr>
        <w:spacing w:line="270" w:lineRule="auto"/>
        <w:rPr>
          <w:rFonts w:ascii="Arial"/>
          <w:sz w:val="21"/>
        </w:rPr>
      </w:pPr>
    </w:p>
    <w:p w14:paraId="3F11237D">
      <w:pPr>
        <w:pStyle w:val="2"/>
        <w:spacing w:before="78" w:line="308" w:lineRule="auto"/>
        <w:ind w:left="1457" w:right="1409" w:firstLine="437"/>
        <w:jc w:val="both"/>
        <w:rPr>
          <w:sz w:val="24"/>
          <w:szCs w:val="24"/>
        </w:rPr>
      </w:pPr>
      <w:r>
        <w:rPr>
          <w:spacing w:val="-20"/>
          <w:sz w:val="24"/>
          <w:szCs w:val="24"/>
        </w:rPr>
        <w:t>如果是非关键线路工序轻微延误，通过压缩后续工作时间来确保工期目标。如果是非关键线路工序一般延误，通过压缩后续工作时间、延长此工序作业时间、增加劳动力投入等措施来</w:t>
      </w:r>
      <w:r>
        <w:rPr>
          <w:spacing w:val="-19"/>
          <w:sz w:val="24"/>
          <w:szCs w:val="24"/>
        </w:rPr>
        <w:t>确保工期目标。</w:t>
      </w:r>
    </w:p>
    <w:p w14:paraId="0E72E747">
      <w:pPr>
        <w:pStyle w:val="2"/>
        <w:spacing w:line="218" w:lineRule="auto"/>
        <w:ind w:left="1893"/>
        <w:rPr>
          <w:sz w:val="24"/>
          <w:szCs w:val="24"/>
        </w:rPr>
      </w:pPr>
      <w:r>
        <w:rPr>
          <w:spacing w:val="-19"/>
          <w:sz w:val="24"/>
          <w:szCs w:val="24"/>
        </w:rPr>
        <w:t>（2）关键线路工序延误</w:t>
      </w:r>
    </w:p>
    <w:p w14:paraId="296A3926">
      <w:pPr>
        <w:pStyle w:val="2"/>
        <w:spacing w:before="118" w:line="307" w:lineRule="auto"/>
        <w:ind w:left="1456" w:right="1409" w:firstLine="438"/>
        <w:rPr>
          <w:sz w:val="24"/>
          <w:szCs w:val="24"/>
        </w:rPr>
      </w:pPr>
      <w:r>
        <w:rPr>
          <w:spacing w:val="-20"/>
          <w:sz w:val="24"/>
          <w:szCs w:val="24"/>
        </w:rPr>
        <w:t>如果是关键线路工序延误，采取组织大干，劳动竞赛形式提高劳动生产积极性，通过各种方式增加此工序的工作人员及机械投入，重新划分作业面，细化作业分区，采取“两班倒”等</w:t>
      </w:r>
      <w:r>
        <w:rPr>
          <w:spacing w:val="-21"/>
          <w:sz w:val="24"/>
          <w:szCs w:val="24"/>
        </w:rPr>
        <w:t>形式，在尽可能短的时间内把延误的工期赶回来。</w:t>
      </w:r>
    </w:p>
    <w:p w14:paraId="4A9FFD61">
      <w:pPr>
        <w:pStyle w:val="2"/>
        <w:spacing w:before="1" w:line="216" w:lineRule="auto"/>
        <w:ind w:left="1893"/>
        <w:rPr>
          <w:sz w:val="24"/>
          <w:szCs w:val="24"/>
        </w:rPr>
      </w:pPr>
      <w:r>
        <w:rPr>
          <w:spacing w:val="-20"/>
          <w:sz w:val="24"/>
          <w:szCs w:val="24"/>
        </w:rPr>
        <w:t>（3）材料供应造成的工期延误</w:t>
      </w:r>
    </w:p>
    <w:p w14:paraId="36D43DDF">
      <w:pPr>
        <w:pStyle w:val="2"/>
        <w:spacing w:before="116" w:line="309" w:lineRule="auto"/>
        <w:ind w:left="1466" w:right="1410" w:firstLine="428"/>
        <w:rPr>
          <w:sz w:val="24"/>
          <w:szCs w:val="24"/>
        </w:rPr>
      </w:pPr>
      <w:r>
        <w:rPr>
          <w:spacing w:val="-20"/>
          <w:sz w:val="24"/>
          <w:szCs w:val="24"/>
        </w:rPr>
        <w:t>如果是由于材料供应造成的局部停工待料，通过采取空运或调整作业面等多种方式，保证</w:t>
      </w:r>
      <w:r>
        <w:rPr>
          <w:spacing w:val="-23"/>
          <w:sz w:val="24"/>
          <w:szCs w:val="24"/>
        </w:rPr>
        <w:t>总工期不受影响。</w:t>
      </w:r>
    </w:p>
    <w:p w14:paraId="399A2CE9">
      <w:pPr>
        <w:pStyle w:val="2"/>
        <w:spacing w:line="218" w:lineRule="auto"/>
        <w:ind w:left="1893"/>
        <w:rPr>
          <w:sz w:val="24"/>
          <w:szCs w:val="24"/>
        </w:rPr>
      </w:pPr>
      <w:r>
        <w:rPr>
          <w:spacing w:val="-20"/>
          <w:sz w:val="24"/>
          <w:szCs w:val="24"/>
        </w:rPr>
        <w:t>（4）天气或地质条件变化造成的工期延误</w:t>
      </w:r>
    </w:p>
    <w:p w14:paraId="7ED667BA">
      <w:pPr>
        <w:pStyle w:val="2"/>
        <w:spacing w:before="114" w:line="295" w:lineRule="auto"/>
        <w:ind w:left="1470" w:right="1409" w:firstLine="424"/>
        <w:rPr>
          <w:sz w:val="24"/>
          <w:szCs w:val="24"/>
        </w:rPr>
      </w:pPr>
      <w:r>
        <w:rPr>
          <w:spacing w:val="-20"/>
          <w:sz w:val="24"/>
          <w:szCs w:val="24"/>
        </w:rPr>
        <w:t>如果是由于天气或地质条件变化造成的工期延误，我公司将采取优化施工方案，增大投入</w:t>
      </w:r>
      <w:r>
        <w:rPr>
          <w:spacing w:val="-23"/>
          <w:sz w:val="24"/>
          <w:szCs w:val="24"/>
        </w:rPr>
        <w:t>的方式确保总工期目标。</w:t>
      </w:r>
    </w:p>
    <w:p w14:paraId="56A90052">
      <w:pPr>
        <w:pStyle w:val="2"/>
        <w:spacing w:before="1" w:line="217" w:lineRule="auto"/>
        <w:ind w:left="2010"/>
        <w:outlineLvl w:val="2"/>
        <w:rPr>
          <w:sz w:val="28"/>
          <w:szCs w:val="28"/>
        </w:rPr>
      </w:pPr>
      <w:bookmarkStart w:id="187" w:name="bookmark179"/>
      <w:bookmarkEnd w:id="187"/>
      <w:r>
        <w:rPr>
          <w:b/>
          <w:bCs/>
          <w:spacing w:val="-25"/>
          <w:sz w:val="28"/>
          <w:szCs w:val="28"/>
        </w:rPr>
        <w:t>四、工期目标保证措施</w:t>
      </w:r>
    </w:p>
    <w:p w14:paraId="167FC429">
      <w:pPr>
        <w:pStyle w:val="2"/>
        <w:spacing w:before="102" w:line="308" w:lineRule="auto"/>
        <w:ind w:left="1469" w:right="1411" w:firstLine="424"/>
        <w:jc w:val="both"/>
        <w:rPr>
          <w:sz w:val="24"/>
          <w:szCs w:val="24"/>
        </w:rPr>
      </w:pPr>
      <w:r>
        <w:rPr>
          <w:spacing w:val="-20"/>
          <w:sz w:val="24"/>
          <w:szCs w:val="24"/>
        </w:rPr>
        <w:t>保证该合同段的工期按业主的要求顺利完成，我合同段将精心组织，科学管理，投入先进的机械设备和具有丰富经验的施工队伍进行施工，作好各阶段工期目标人、材、机、资</w:t>
      </w:r>
      <w:r>
        <w:rPr>
          <w:spacing w:val="-21"/>
          <w:sz w:val="24"/>
          <w:szCs w:val="24"/>
        </w:rPr>
        <w:t>金等保障工作，采取以下措施：</w:t>
      </w:r>
    </w:p>
    <w:p w14:paraId="29FE4C35">
      <w:pPr>
        <w:pStyle w:val="2"/>
        <w:spacing w:before="1" w:line="216" w:lineRule="auto"/>
        <w:ind w:left="1893"/>
        <w:rPr>
          <w:sz w:val="24"/>
          <w:szCs w:val="24"/>
        </w:rPr>
      </w:pPr>
      <w:r>
        <w:rPr>
          <w:spacing w:val="-20"/>
          <w:sz w:val="24"/>
          <w:szCs w:val="24"/>
        </w:rPr>
        <w:t>（一）从组织管理上保证工期</w:t>
      </w:r>
    </w:p>
    <w:p w14:paraId="1A6AB965">
      <w:pPr>
        <w:pStyle w:val="2"/>
        <w:spacing w:before="118" w:line="308" w:lineRule="auto"/>
        <w:ind w:left="1460" w:right="1409" w:firstLine="433"/>
        <w:rPr>
          <w:sz w:val="24"/>
          <w:szCs w:val="24"/>
        </w:rPr>
      </w:pPr>
      <w:r>
        <w:rPr>
          <w:spacing w:val="-20"/>
          <w:sz w:val="24"/>
          <w:szCs w:val="24"/>
        </w:rPr>
        <w:t>本工程实行项目法施工，根据本工程规模大，工期紧的特点，为便于管理和组织施工，我</w:t>
      </w:r>
      <w:r>
        <w:rPr>
          <w:spacing w:val="-21"/>
          <w:sz w:val="24"/>
          <w:szCs w:val="24"/>
        </w:rPr>
        <w:t>们将组织精干的施工管理人员和技术人员，调集精良</w:t>
      </w:r>
      <w:r>
        <w:rPr>
          <w:spacing w:val="-22"/>
          <w:sz w:val="24"/>
          <w:szCs w:val="24"/>
        </w:rPr>
        <w:t>设备投入到本工程项目之中。</w:t>
      </w:r>
    </w:p>
    <w:p w14:paraId="39FD648D">
      <w:pPr>
        <w:pStyle w:val="2"/>
        <w:spacing w:line="218" w:lineRule="auto"/>
        <w:ind w:left="1893"/>
        <w:rPr>
          <w:sz w:val="24"/>
          <w:szCs w:val="24"/>
        </w:rPr>
      </w:pPr>
      <w:r>
        <w:rPr>
          <w:spacing w:val="-21"/>
          <w:sz w:val="24"/>
          <w:szCs w:val="24"/>
        </w:rPr>
        <w:t>建立以项目经理为核心的责权利体系，定岗、定人、授权，各</w:t>
      </w:r>
      <w:r>
        <w:rPr>
          <w:spacing w:val="-22"/>
          <w:sz w:val="24"/>
          <w:szCs w:val="24"/>
        </w:rPr>
        <w:t>负其责。</w:t>
      </w:r>
    </w:p>
    <w:p w14:paraId="0446500C">
      <w:pPr>
        <w:pStyle w:val="2"/>
        <w:spacing w:before="119" w:line="307" w:lineRule="auto"/>
        <w:ind w:left="1459" w:right="1409" w:firstLine="434"/>
        <w:rPr>
          <w:sz w:val="24"/>
          <w:szCs w:val="24"/>
        </w:rPr>
      </w:pPr>
      <w:r>
        <w:rPr>
          <w:spacing w:val="-20"/>
          <w:sz w:val="24"/>
          <w:szCs w:val="24"/>
        </w:rPr>
        <w:t>各施工队应坚持每天一次的生产布置会，做到当天的问题不留到下一天，并让每个生产者</w:t>
      </w:r>
      <w:r>
        <w:rPr>
          <w:spacing w:val="-21"/>
          <w:sz w:val="24"/>
          <w:szCs w:val="24"/>
        </w:rPr>
        <w:t>清楚明天的工作，及时安排布置，不耽误每一天。</w:t>
      </w:r>
    </w:p>
    <w:p w14:paraId="069C3A54">
      <w:pPr>
        <w:pStyle w:val="2"/>
        <w:spacing w:before="2" w:line="307" w:lineRule="auto"/>
        <w:ind w:left="1457" w:right="1414" w:firstLine="450"/>
        <w:jc w:val="both"/>
        <w:rPr>
          <w:sz w:val="24"/>
          <w:szCs w:val="24"/>
        </w:rPr>
      </w:pPr>
      <w:r>
        <w:rPr>
          <w:spacing w:val="-20"/>
          <w:sz w:val="24"/>
          <w:szCs w:val="24"/>
        </w:rPr>
        <w:t>生产调度室每周定期召开一次由各施工队负责人参加的生产调度会，及时协调各队伍之间的生产关系，合理调配机械设备、物资和人力，及时解决施工生产中出现的问题，并积极参与协调好工程施工外部的关系。</w:t>
      </w:r>
    </w:p>
    <w:p w14:paraId="659A8BEA">
      <w:pPr>
        <w:pStyle w:val="2"/>
        <w:spacing w:before="5" w:line="307" w:lineRule="auto"/>
        <w:ind w:left="1459" w:right="1414" w:firstLine="442"/>
        <w:rPr>
          <w:sz w:val="24"/>
          <w:szCs w:val="24"/>
        </w:rPr>
      </w:pPr>
      <w:r>
        <w:rPr>
          <w:spacing w:val="-20"/>
          <w:sz w:val="24"/>
          <w:szCs w:val="24"/>
        </w:rPr>
        <w:t>每周由项目经理主持的生产总调度会，总结上周的施工进度情况，安排下周的施工生产；及时解决工程施工内部矛盾，及时协调各队伍之间和各队伍与各职能部门之间的关系；还对施工机械设备、生产物资和劳动力的使用情况进行全面了解，布置下周的机械设备、生产物资和</w:t>
      </w:r>
      <w:r>
        <w:rPr>
          <w:spacing w:val="-21"/>
          <w:sz w:val="24"/>
          <w:szCs w:val="24"/>
        </w:rPr>
        <w:t>劳动力安排计划；并对资金进行合理分配，保证施工进</w:t>
      </w:r>
      <w:r>
        <w:rPr>
          <w:spacing w:val="-22"/>
          <w:sz w:val="24"/>
          <w:szCs w:val="24"/>
        </w:rPr>
        <w:t>度的落实和完成。</w:t>
      </w:r>
    </w:p>
    <w:p w14:paraId="50CFB95B">
      <w:pPr>
        <w:pStyle w:val="2"/>
        <w:spacing w:before="1" w:line="307" w:lineRule="auto"/>
        <w:ind w:left="1464" w:right="1409" w:firstLine="428"/>
        <w:rPr>
          <w:sz w:val="24"/>
          <w:szCs w:val="24"/>
        </w:rPr>
      </w:pPr>
      <w:r>
        <w:rPr>
          <w:spacing w:val="-20"/>
          <w:sz w:val="24"/>
          <w:szCs w:val="24"/>
        </w:rPr>
        <w:t>建立严格的《工程施工日记》制度，逐日详细记录工程进度、质量，设计修改、工地洽商</w:t>
      </w:r>
      <w:r>
        <w:rPr>
          <w:spacing w:val="-22"/>
          <w:sz w:val="24"/>
          <w:szCs w:val="24"/>
        </w:rPr>
        <w:t>等问题，以及施工过程中必须记录的有关问题。</w:t>
      </w:r>
    </w:p>
    <w:p w14:paraId="66CA771C">
      <w:pPr>
        <w:pStyle w:val="2"/>
        <w:spacing w:before="2" w:line="308" w:lineRule="auto"/>
        <w:ind w:left="1456" w:right="1410" w:firstLine="437"/>
        <w:jc w:val="both"/>
        <w:rPr>
          <w:sz w:val="24"/>
          <w:szCs w:val="24"/>
        </w:rPr>
      </w:pPr>
      <w:r>
        <w:rPr>
          <w:spacing w:val="-20"/>
          <w:sz w:val="24"/>
          <w:szCs w:val="24"/>
        </w:rPr>
        <w:t>各级领导必须“干一观二计划三”，提前为下道工序的施工，做好人力、物力和机械设备的准备，确保工程一环扣一环地进行。对于影响工程总进度的关键项目、关键工序，主要领导者和有关管理人员必须跟班作业，必要时组织有效力量，加班加点突破难点，以确保工程总进</w:t>
      </w:r>
      <w:r>
        <w:rPr>
          <w:spacing w:val="-19"/>
          <w:sz w:val="24"/>
          <w:szCs w:val="24"/>
        </w:rPr>
        <w:t>度计划的实现。</w:t>
      </w:r>
    </w:p>
    <w:p w14:paraId="5ACDF356">
      <w:pPr>
        <w:spacing w:line="308" w:lineRule="auto"/>
        <w:rPr>
          <w:sz w:val="24"/>
          <w:szCs w:val="24"/>
        </w:rPr>
        <w:sectPr>
          <w:footerReference r:id="rId263" w:type="default"/>
          <w:pgSz w:w="11907" w:h="16839"/>
          <w:pgMar w:top="933" w:right="4" w:bottom="1038" w:left="0" w:header="478" w:footer="357" w:gutter="0"/>
          <w:pgBorders>
            <w:top w:val="none" w:sz="0" w:space="0"/>
            <w:left w:val="none" w:sz="0" w:space="0"/>
            <w:bottom w:val="none" w:sz="0" w:space="0"/>
            <w:right w:val="none" w:sz="0" w:space="0"/>
          </w:pgBorders>
          <w:cols w:space="720" w:num="1"/>
        </w:sectPr>
      </w:pPr>
    </w:p>
    <w:p w14:paraId="408BBF12">
      <w:pPr>
        <w:spacing w:line="270" w:lineRule="auto"/>
        <w:rPr>
          <w:rFonts w:ascii="Arial"/>
          <w:sz w:val="21"/>
        </w:rPr>
      </w:pPr>
    </w:p>
    <w:p w14:paraId="09B3BAA5">
      <w:pPr>
        <w:pStyle w:val="2"/>
        <w:spacing w:before="78" w:line="308" w:lineRule="auto"/>
        <w:ind w:left="1463" w:right="1410" w:firstLine="430"/>
        <w:jc w:val="both"/>
        <w:rPr>
          <w:sz w:val="24"/>
          <w:szCs w:val="24"/>
        </w:rPr>
      </w:pPr>
      <w:r>
        <w:rPr>
          <w:spacing w:val="-20"/>
          <w:sz w:val="24"/>
          <w:szCs w:val="24"/>
        </w:rPr>
        <w:t>建立奖罚严明的经济责任制，广泛开展“劳动竞赛”、“流动红旗设备竞赛”等活动，激发广大职工的工作热情和创造性，提高劳动效率，提前完成任务的重奖，未能按时完成任务的</w:t>
      </w:r>
      <w:r>
        <w:rPr>
          <w:spacing w:val="-21"/>
          <w:sz w:val="24"/>
          <w:szCs w:val="24"/>
        </w:rPr>
        <w:t>重罚，多次完成任务不力者调离岗位。</w:t>
      </w:r>
    </w:p>
    <w:p w14:paraId="12301470">
      <w:pPr>
        <w:pStyle w:val="2"/>
        <w:spacing w:before="2" w:line="307" w:lineRule="auto"/>
        <w:ind w:left="1455" w:right="1414" w:firstLine="438"/>
        <w:jc w:val="both"/>
        <w:rPr>
          <w:sz w:val="24"/>
          <w:szCs w:val="24"/>
        </w:rPr>
      </w:pPr>
      <w:r>
        <w:rPr>
          <w:spacing w:val="-20"/>
          <w:sz w:val="24"/>
          <w:szCs w:val="24"/>
        </w:rPr>
        <w:t>组织保证：建立强有力的指挥机构。选派指挥能力强、决策水平高、富有开拓精神和管理经验的干部进入各级管理层。我公司拟成立项目经理部，组成指挥机构。同时，选调具有丰富</w:t>
      </w:r>
      <w:r>
        <w:rPr>
          <w:spacing w:val="-21"/>
          <w:sz w:val="24"/>
          <w:szCs w:val="24"/>
        </w:rPr>
        <w:t>施工经验、有良好信誉、能打硬仗的专业工程队伍进行本合同段</w:t>
      </w:r>
      <w:r>
        <w:rPr>
          <w:spacing w:val="-22"/>
          <w:sz w:val="24"/>
          <w:szCs w:val="24"/>
        </w:rPr>
        <w:t>的施工。</w:t>
      </w:r>
    </w:p>
    <w:p w14:paraId="6FF96C5A">
      <w:pPr>
        <w:pStyle w:val="2"/>
        <w:spacing w:line="307" w:lineRule="auto"/>
        <w:ind w:left="1460" w:right="1410" w:firstLine="449"/>
        <w:rPr>
          <w:sz w:val="24"/>
          <w:szCs w:val="24"/>
        </w:rPr>
      </w:pPr>
      <w:r>
        <w:rPr>
          <w:spacing w:val="-20"/>
          <w:sz w:val="24"/>
          <w:szCs w:val="24"/>
        </w:rPr>
        <w:t>队伍进场后，尽快完成交接桩、复测和控制测量等技术工作，合理调配机械设备、物资和</w:t>
      </w:r>
      <w:r>
        <w:rPr>
          <w:spacing w:val="-21"/>
          <w:sz w:val="24"/>
          <w:szCs w:val="24"/>
        </w:rPr>
        <w:t>人员，按施工计划安排施工准备工作，确保工程按时</w:t>
      </w:r>
      <w:r>
        <w:rPr>
          <w:spacing w:val="-22"/>
          <w:sz w:val="24"/>
          <w:szCs w:val="24"/>
        </w:rPr>
        <w:t>开工。</w:t>
      </w:r>
    </w:p>
    <w:p w14:paraId="5FD9535C">
      <w:pPr>
        <w:pStyle w:val="2"/>
        <w:spacing w:before="1" w:line="216" w:lineRule="auto"/>
        <w:ind w:left="1893"/>
        <w:rPr>
          <w:sz w:val="24"/>
          <w:szCs w:val="24"/>
        </w:rPr>
      </w:pPr>
      <w:r>
        <w:rPr>
          <w:spacing w:val="-20"/>
          <w:sz w:val="24"/>
          <w:szCs w:val="24"/>
        </w:rPr>
        <w:t>（二）从计划安排上保证工期</w:t>
      </w:r>
    </w:p>
    <w:p w14:paraId="45768C05">
      <w:pPr>
        <w:pStyle w:val="2"/>
        <w:spacing w:before="118" w:line="308" w:lineRule="auto"/>
        <w:ind w:left="1458" w:right="1410" w:firstLine="436"/>
        <w:rPr>
          <w:sz w:val="24"/>
          <w:szCs w:val="24"/>
        </w:rPr>
      </w:pPr>
      <w:r>
        <w:rPr>
          <w:spacing w:val="-20"/>
          <w:sz w:val="24"/>
          <w:szCs w:val="24"/>
        </w:rPr>
        <w:t>在工程开工前，必须严格按照总工期要求，提出工程施工总进度计划，并对其科学性和合</w:t>
      </w:r>
      <w:r>
        <w:rPr>
          <w:spacing w:val="-21"/>
          <w:sz w:val="24"/>
          <w:szCs w:val="24"/>
        </w:rPr>
        <w:t>理性，以及能否满足合同工期的要求并有所提前等问题，进</w:t>
      </w:r>
      <w:r>
        <w:rPr>
          <w:spacing w:val="-22"/>
          <w:sz w:val="24"/>
          <w:szCs w:val="24"/>
        </w:rPr>
        <w:t>行认真审查。</w:t>
      </w:r>
    </w:p>
    <w:p w14:paraId="636B0F8B">
      <w:pPr>
        <w:pStyle w:val="2"/>
        <w:spacing w:line="215" w:lineRule="auto"/>
        <w:ind w:left="1895"/>
        <w:rPr>
          <w:sz w:val="24"/>
          <w:szCs w:val="24"/>
        </w:rPr>
      </w:pPr>
      <w:r>
        <w:rPr>
          <w:spacing w:val="-21"/>
          <w:sz w:val="24"/>
          <w:szCs w:val="24"/>
        </w:rPr>
        <w:t>在工程施工总进度计划的控制下，坚持逐月(周)编制出具体的工程施工计划和工作安排。</w:t>
      </w:r>
    </w:p>
    <w:p w14:paraId="44BE7B7A">
      <w:pPr>
        <w:pStyle w:val="2"/>
        <w:spacing w:before="122" w:line="307" w:lineRule="auto"/>
        <w:ind w:left="1460" w:right="1410" w:firstLine="433"/>
        <w:rPr>
          <w:sz w:val="24"/>
          <w:szCs w:val="24"/>
        </w:rPr>
      </w:pPr>
      <w:r>
        <w:rPr>
          <w:spacing w:val="-20"/>
          <w:sz w:val="24"/>
          <w:szCs w:val="24"/>
        </w:rPr>
        <w:t>制定周密详细的施工进度计划，抓住关键工序，对影响到总工期的工序和作业环节给予人</w:t>
      </w:r>
      <w:r>
        <w:rPr>
          <w:spacing w:val="-21"/>
          <w:sz w:val="24"/>
          <w:szCs w:val="24"/>
        </w:rPr>
        <w:t>力和物力的充分保证，确保总进度计划的顺利完成。</w:t>
      </w:r>
    </w:p>
    <w:p w14:paraId="15A9FE84">
      <w:pPr>
        <w:pStyle w:val="2"/>
        <w:spacing w:before="1" w:line="308" w:lineRule="auto"/>
        <w:ind w:left="1459" w:right="1354" w:firstLine="435"/>
        <w:rPr>
          <w:sz w:val="24"/>
          <w:szCs w:val="24"/>
        </w:rPr>
      </w:pPr>
      <w:r>
        <w:rPr>
          <w:spacing w:val="-24"/>
          <w:sz w:val="24"/>
          <w:szCs w:val="24"/>
        </w:rPr>
        <w:t>对生产要素认真进行优化组合、动态管理．灵活机动地对人员、设备、物质进行调度安排，</w:t>
      </w:r>
      <w:r>
        <w:rPr>
          <w:spacing w:val="-21"/>
          <w:sz w:val="24"/>
          <w:szCs w:val="24"/>
        </w:rPr>
        <w:t>及时组织施工所需的人员、设备进场，保障后勤供应，</w:t>
      </w:r>
      <w:r>
        <w:rPr>
          <w:spacing w:val="-22"/>
          <w:sz w:val="24"/>
          <w:szCs w:val="24"/>
        </w:rPr>
        <w:t>满足施工需要，保证连续施工作业。</w:t>
      </w:r>
    </w:p>
    <w:p w14:paraId="51857D52">
      <w:pPr>
        <w:pStyle w:val="2"/>
        <w:spacing w:before="4" w:line="307" w:lineRule="auto"/>
        <w:ind w:left="1458" w:right="1410" w:firstLine="440"/>
        <w:jc w:val="both"/>
        <w:rPr>
          <w:sz w:val="24"/>
          <w:szCs w:val="24"/>
        </w:rPr>
      </w:pPr>
      <w:r>
        <w:rPr>
          <w:spacing w:val="-20"/>
          <w:sz w:val="24"/>
          <w:szCs w:val="24"/>
        </w:rPr>
        <w:t>工程计划执行过程中，如发现未能按期完成计划的情况时，必须及时检查分析原因，立即采取有效的措施，调整下周的工作计划，使上周延误的工期在下周赶回来．在整个工程的实施过程中，坚持“以日保周，以周保月”的进度保证方针，实行“雨天的损失晴天补，白天的损失晚上补，本周的损失下周补，本月的损失下月补”的补赶意外耽误工期的措施，确保总工程</w:t>
      </w:r>
      <w:r>
        <w:rPr>
          <w:spacing w:val="-19"/>
          <w:sz w:val="24"/>
          <w:szCs w:val="24"/>
        </w:rPr>
        <w:t>进度计划的实现。</w:t>
      </w:r>
    </w:p>
    <w:p w14:paraId="4F1EC459">
      <w:pPr>
        <w:pStyle w:val="2"/>
        <w:spacing w:before="4" w:line="307" w:lineRule="auto"/>
        <w:ind w:left="1455" w:right="1414" w:firstLine="436"/>
        <w:jc w:val="both"/>
        <w:rPr>
          <w:sz w:val="24"/>
          <w:szCs w:val="24"/>
        </w:rPr>
      </w:pPr>
      <w:r>
        <w:rPr>
          <w:spacing w:val="-20"/>
          <w:sz w:val="24"/>
          <w:szCs w:val="24"/>
        </w:rPr>
        <w:t>施工组织设计保证：编制科学、严密、切实可行的实施性施工组织设计，优化施工方案，按网络计划组织施工。进度计划安排合理、周密、留有余地，切实考虑雨季和汛期等因素的不利影响，抓好黄金季节施工，实行倒班作业。各个作业区形成各工序、各环节流水作业；按网络计划节点组织安排施工，确保重点工程、难点工程、关键工程的工期，以日产量保旬产量，</w:t>
      </w:r>
      <w:r>
        <w:rPr>
          <w:spacing w:val="-22"/>
          <w:sz w:val="24"/>
          <w:szCs w:val="24"/>
        </w:rPr>
        <w:t>以旬产量保月产量，从而保证总工期。</w:t>
      </w:r>
    </w:p>
    <w:p w14:paraId="3D88241F">
      <w:pPr>
        <w:pStyle w:val="2"/>
        <w:spacing w:before="1" w:line="216" w:lineRule="auto"/>
        <w:ind w:left="1893"/>
        <w:rPr>
          <w:sz w:val="24"/>
          <w:szCs w:val="24"/>
        </w:rPr>
      </w:pPr>
      <w:r>
        <w:rPr>
          <w:spacing w:val="-20"/>
          <w:sz w:val="24"/>
          <w:szCs w:val="24"/>
        </w:rPr>
        <w:t>（三）从资源上保证工期</w:t>
      </w:r>
    </w:p>
    <w:p w14:paraId="2DDE1AC2">
      <w:pPr>
        <w:pStyle w:val="2"/>
        <w:spacing w:before="118" w:line="308" w:lineRule="auto"/>
        <w:ind w:left="1457" w:right="1409" w:firstLine="436"/>
        <w:jc w:val="both"/>
        <w:rPr>
          <w:sz w:val="24"/>
          <w:szCs w:val="24"/>
        </w:rPr>
      </w:pPr>
      <w:r>
        <w:rPr>
          <w:spacing w:val="-20"/>
          <w:sz w:val="24"/>
          <w:szCs w:val="24"/>
        </w:rPr>
        <w:t>本工程所需的机械、设备、技术人员、劳动力、材料、资金等资源给予优先保证，同时成立一个，结构形式合理的项目领导班子，配备一批优秀的技术骨干，生产骨干和性能卓越、状</w:t>
      </w:r>
      <w:r>
        <w:rPr>
          <w:spacing w:val="-21"/>
          <w:sz w:val="24"/>
          <w:szCs w:val="24"/>
        </w:rPr>
        <w:t>况良好的施工机械，组成一个高素质、高效率的施工队伍。</w:t>
      </w:r>
    </w:p>
    <w:p w14:paraId="2E0CFDF8">
      <w:pPr>
        <w:pStyle w:val="2"/>
        <w:spacing w:before="5" w:line="307" w:lineRule="auto"/>
        <w:ind w:left="1457" w:right="1356" w:firstLine="410"/>
        <w:jc w:val="both"/>
        <w:rPr>
          <w:sz w:val="24"/>
          <w:szCs w:val="24"/>
        </w:rPr>
      </w:pPr>
      <w:r>
        <w:rPr>
          <w:spacing w:val="-19"/>
          <w:sz w:val="24"/>
          <w:szCs w:val="24"/>
        </w:rPr>
        <w:t>“工欲善其事，必先利其器”，施工机械做到统筹安排、统一调配、合理使用。尽可能组</w:t>
      </w:r>
      <w:r>
        <w:rPr>
          <w:spacing w:val="-20"/>
          <w:sz w:val="24"/>
          <w:szCs w:val="24"/>
        </w:rPr>
        <w:t>织机械化流水作业，利用施工机械高效生产力，做好施工机械的维修、保养工作，施工现场设</w:t>
      </w:r>
      <w:r>
        <w:rPr>
          <w:spacing w:val="-24"/>
          <w:sz w:val="24"/>
          <w:szCs w:val="24"/>
        </w:rPr>
        <w:t>置修理场，保证施工机械的正常运转。对重要的、常用的施工机械和机具应留有富余备用设备，</w:t>
      </w:r>
      <w:r>
        <w:rPr>
          <w:spacing w:val="-17"/>
          <w:sz w:val="24"/>
          <w:szCs w:val="24"/>
        </w:rPr>
        <w:t>以防万一。</w:t>
      </w:r>
    </w:p>
    <w:p w14:paraId="6D5486B4">
      <w:pPr>
        <w:pStyle w:val="2"/>
        <w:spacing w:before="1" w:line="306" w:lineRule="auto"/>
        <w:ind w:left="1459" w:right="1409" w:firstLine="434"/>
        <w:rPr>
          <w:sz w:val="24"/>
          <w:szCs w:val="24"/>
        </w:rPr>
      </w:pPr>
      <w:r>
        <w:rPr>
          <w:spacing w:val="-20"/>
          <w:sz w:val="24"/>
          <w:szCs w:val="24"/>
        </w:rPr>
        <w:t>制定严格的材料供应计划，根据现场的施工进度情况配备足够的运输车辆保证施工材料的</w:t>
      </w:r>
      <w:r>
        <w:rPr>
          <w:spacing w:val="-21"/>
          <w:sz w:val="24"/>
          <w:szCs w:val="24"/>
        </w:rPr>
        <w:t>及时供应，杜绝停工待料的情况出现耽误工期。</w:t>
      </w:r>
    </w:p>
    <w:p w14:paraId="7C6474B6">
      <w:pPr>
        <w:spacing w:line="306" w:lineRule="auto"/>
        <w:rPr>
          <w:sz w:val="24"/>
          <w:szCs w:val="24"/>
        </w:rPr>
        <w:sectPr>
          <w:footerReference r:id="rId264" w:type="default"/>
          <w:pgSz w:w="11907" w:h="16839"/>
          <w:pgMar w:top="933" w:right="4" w:bottom="1038" w:left="0" w:header="478" w:footer="357" w:gutter="0"/>
          <w:pgBorders>
            <w:top w:val="none" w:sz="0" w:space="0"/>
            <w:left w:val="none" w:sz="0" w:space="0"/>
            <w:bottom w:val="none" w:sz="0" w:space="0"/>
            <w:right w:val="none" w:sz="0" w:space="0"/>
          </w:pgBorders>
          <w:cols w:space="720" w:num="1"/>
        </w:sectPr>
      </w:pPr>
    </w:p>
    <w:p w14:paraId="7EE538AB">
      <w:pPr>
        <w:spacing w:line="271" w:lineRule="auto"/>
        <w:rPr>
          <w:rFonts w:ascii="Arial"/>
          <w:sz w:val="21"/>
        </w:rPr>
      </w:pPr>
    </w:p>
    <w:p w14:paraId="5C2325EA">
      <w:pPr>
        <w:pStyle w:val="2"/>
        <w:spacing w:before="78" w:line="217" w:lineRule="auto"/>
        <w:ind w:left="1905"/>
        <w:rPr>
          <w:sz w:val="24"/>
          <w:szCs w:val="24"/>
        </w:rPr>
      </w:pPr>
      <w:r>
        <w:rPr>
          <w:spacing w:val="-22"/>
          <w:sz w:val="24"/>
          <w:szCs w:val="24"/>
        </w:rPr>
        <w:t>劳动力保证：投入足够保证施工需要的劳动力。</w:t>
      </w:r>
    </w:p>
    <w:p w14:paraId="5043B1C5">
      <w:pPr>
        <w:pStyle w:val="2"/>
        <w:spacing w:before="118" w:line="308" w:lineRule="auto"/>
        <w:ind w:left="1458" w:right="1415" w:firstLine="434"/>
        <w:jc w:val="both"/>
        <w:rPr>
          <w:sz w:val="24"/>
          <w:szCs w:val="24"/>
        </w:rPr>
      </w:pPr>
      <w:r>
        <w:rPr>
          <w:spacing w:val="-20"/>
          <w:sz w:val="24"/>
          <w:szCs w:val="24"/>
        </w:rPr>
        <w:t>机械设备保证：配全配足性能良好的机械设备。在施工过程中，加强维修保养，落实“清洁、润滑、紧固、调整、防腐”机械现场保养十字作业法，保证设备的性能完好，充分发挥机</w:t>
      </w:r>
      <w:r>
        <w:rPr>
          <w:spacing w:val="-22"/>
          <w:sz w:val="24"/>
          <w:szCs w:val="24"/>
        </w:rPr>
        <w:t>械化程度高的优势，以先进机械设备保工期。</w:t>
      </w:r>
    </w:p>
    <w:p w14:paraId="03F20AD7">
      <w:pPr>
        <w:pStyle w:val="2"/>
        <w:spacing w:line="307" w:lineRule="auto"/>
        <w:ind w:left="1458" w:right="1355" w:firstLine="435"/>
        <w:rPr>
          <w:sz w:val="24"/>
          <w:szCs w:val="24"/>
        </w:rPr>
      </w:pPr>
      <w:r>
        <w:rPr>
          <w:spacing w:val="-24"/>
          <w:sz w:val="24"/>
          <w:szCs w:val="24"/>
        </w:rPr>
        <w:t>物资保证：加强物资供应管理，保证物资供应。严把建筑材料的进料、检验和发放使用关，</w:t>
      </w:r>
      <w:r>
        <w:rPr>
          <w:spacing w:val="-21"/>
          <w:sz w:val="24"/>
          <w:szCs w:val="24"/>
        </w:rPr>
        <w:t>严格执行物资管理规定，确保施工顺利进行。</w:t>
      </w:r>
    </w:p>
    <w:p w14:paraId="2EA42AA3">
      <w:pPr>
        <w:pStyle w:val="2"/>
        <w:spacing w:before="1" w:line="307" w:lineRule="auto"/>
        <w:ind w:left="1458" w:right="1410" w:firstLine="438"/>
        <w:rPr>
          <w:sz w:val="24"/>
          <w:szCs w:val="24"/>
        </w:rPr>
      </w:pPr>
      <w:r>
        <w:rPr>
          <w:spacing w:val="-20"/>
          <w:sz w:val="24"/>
          <w:szCs w:val="24"/>
        </w:rPr>
        <w:t>人员素质保证：选派敬业精神强、业务精、技术熟练的工程技术人员和技术工人参加该工</w:t>
      </w:r>
      <w:r>
        <w:rPr>
          <w:spacing w:val="-22"/>
          <w:sz w:val="24"/>
          <w:szCs w:val="24"/>
        </w:rPr>
        <w:t>程施工。所有参加施工的人员均先培训后上岗，以高素质人员保工期。</w:t>
      </w:r>
    </w:p>
    <w:p w14:paraId="6B0EEBFF">
      <w:pPr>
        <w:pStyle w:val="2"/>
        <w:spacing w:before="1" w:line="308" w:lineRule="auto"/>
        <w:ind w:left="1455" w:right="1343" w:firstLine="436"/>
        <w:rPr>
          <w:sz w:val="24"/>
          <w:szCs w:val="24"/>
        </w:rPr>
      </w:pPr>
      <w:r>
        <w:rPr>
          <w:spacing w:val="-23"/>
          <w:sz w:val="24"/>
          <w:szCs w:val="24"/>
        </w:rPr>
        <w:t>施工工艺及施工方案保证：制定科学的施工方案，积极研</w:t>
      </w:r>
      <w:r>
        <w:rPr>
          <w:spacing w:val="-24"/>
          <w:sz w:val="24"/>
          <w:szCs w:val="24"/>
        </w:rPr>
        <w:t>究应用新技术、新工艺、新材料、</w:t>
      </w:r>
      <w:r>
        <w:rPr>
          <w:spacing w:val="-21"/>
          <w:sz w:val="24"/>
          <w:szCs w:val="24"/>
        </w:rPr>
        <w:t>新机具，采用先进施工方法和合理工艺流程，缩短工期。</w:t>
      </w:r>
    </w:p>
    <w:p w14:paraId="206B0ADA">
      <w:pPr>
        <w:pStyle w:val="2"/>
        <w:spacing w:before="1" w:line="306" w:lineRule="auto"/>
        <w:ind w:left="1462" w:right="1409" w:firstLine="434"/>
        <w:rPr>
          <w:sz w:val="24"/>
          <w:szCs w:val="24"/>
        </w:rPr>
      </w:pPr>
      <w:r>
        <w:rPr>
          <w:spacing w:val="-20"/>
          <w:sz w:val="24"/>
          <w:szCs w:val="24"/>
        </w:rPr>
        <w:t>成本核算保证：搞好成本核算工作，落实经济承包责任制，将个人收入与工程进度和工程</w:t>
      </w:r>
      <w:r>
        <w:rPr>
          <w:spacing w:val="-21"/>
          <w:sz w:val="24"/>
          <w:szCs w:val="24"/>
        </w:rPr>
        <w:t>质量挂钩，激发施工人员的生产主动性和积极性，</w:t>
      </w:r>
      <w:r>
        <w:rPr>
          <w:spacing w:val="-22"/>
          <w:sz w:val="24"/>
          <w:szCs w:val="24"/>
        </w:rPr>
        <w:t>保证工期</w:t>
      </w:r>
    </w:p>
    <w:p w14:paraId="5BCBE70B">
      <w:pPr>
        <w:pStyle w:val="2"/>
        <w:spacing w:before="3" w:line="307" w:lineRule="auto"/>
        <w:ind w:left="1501" w:right="1355" w:firstLine="403"/>
        <w:rPr>
          <w:sz w:val="24"/>
          <w:szCs w:val="24"/>
        </w:rPr>
      </w:pPr>
      <w:r>
        <w:rPr>
          <w:spacing w:val="-24"/>
          <w:sz w:val="24"/>
          <w:szCs w:val="24"/>
        </w:rPr>
        <w:t>资金保证：加强资金管理，合理运筹资金，搞好资金调控。在甲方资金暂不到位的情况下，</w:t>
      </w:r>
      <w:r>
        <w:rPr>
          <w:spacing w:val="-23"/>
          <w:sz w:val="24"/>
          <w:szCs w:val="24"/>
        </w:rPr>
        <w:t>自行调剂资金，确保重点工程和关键工程的正常施工。</w:t>
      </w:r>
    </w:p>
    <w:p w14:paraId="7923C5ED">
      <w:pPr>
        <w:pStyle w:val="2"/>
        <w:spacing w:before="4" w:line="307" w:lineRule="auto"/>
        <w:ind w:left="1455" w:right="1410" w:firstLine="479"/>
        <w:jc w:val="both"/>
        <w:rPr>
          <w:sz w:val="24"/>
          <w:szCs w:val="24"/>
        </w:rPr>
      </w:pPr>
      <w:r>
        <w:rPr>
          <w:spacing w:val="-21"/>
          <w:sz w:val="24"/>
          <w:szCs w:val="24"/>
        </w:rPr>
        <w:t>目标管理措施保证：奖罚分明。做到长计划、短安排。切实制定各个阶段的生产计划和保</w:t>
      </w:r>
      <w:r>
        <w:rPr>
          <w:spacing w:val="-20"/>
          <w:sz w:val="24"/>
          <w:szCs w:val="24"/>
        </w:rPr>
        <w:t>证完成措施，使施工人员明确目标，提高生产的主动性、积极性，并定期进行考核、评比、奖罚。对前期计划未完成的项目，在安排下期施工计划时，及时调整，保证阶段工期，从而确保</w:t>
      </w:r>
      <w:r>
        <w:rPr>
          <w:spacing w:val="-15"/>
          <w:sz w:val="24"/>
          <w:szCs w:val="24"/>
        </w:rPr>
        <w:t>总工期。</w:t>
      </w:r>
    </w:p>
    <w:p w14:paraId="55BAF570">
      <w:pPr>
        <w:pStyle w:val="2"/>
        <w:spacing w:before="2" w:line="307" w:lineRule="auto"/>
        <w:ind w:left="1460" w:right="1409" w:firstLine="430"/>
        <w:rPr>
          <w:sz w:val="24"/>
          <w:szCs w:val="24"/>
        </w:rPr>
      </w:pPr>
      <w:r>
        <w:rPr>
          <w:spacing w:val="-19"/>
          <w:sz w:val="24"/>
          <w:szCs w:val="24"/>
        </w:rPr>
        <w:t>试验保证：工程试验源于工程，并先于工程施</w:t>
      </w:r>
      <w:r>
        <w:rPr>
          <w:spacing w:val="-20"/>
          <w:sz w:val="24"/>
          <w:szCs w:val="24"/>
        </w:rPr>
        <w:t>工。各种原材料的检验、土工试验要先期完</w:t>
      </w:r>
      <w:r>
        <w:rPr>
          <w:spacing w:val="-22"/>
          <w:sz w:val="24"/>
          <w:szCs w:val="24"/>
        </w:rPr>
        <w:t>成，不得影响工程正常施工。</w:t>
      </w:r>
    </w:p>
    <w:p w14:paraId="0A0BD27E">
      <w:pPr>
        <w:pStyle w:val="2"/>
        <w:spacing w:before="4" w:line="307" w:lineRule="auto"/>
        <w:ind w:left="1455" w:right="1356" w:firstLine="443"/>
        <w:jc w:val="both"/>
        <w:rPr>
          <w:spacing w:val="-22"/>
          <w:sz w:val="24"/>
          <w:szCs w:val="24"/>
        </w:rPr>
      </w:pPr>
      <w:r>
        <w:rPr>
          <w:spacing w:val="-20"/>
          <w:sz w:val="24"/>
          <w:szCs w:val="24"/>
        </w:rPr>
        <w:t>质量和安全保证：确保工程质量和施工安全，不因质量和安全问题而影响工期。严格按照</w:t>
      </w:r>
      <w:r>
        <w:rPr>
          <w:spacing w:val="-21"/>
          <w:sz w:val="24"/>
          <w:szCs w:val="24"/>
        </w:rPr>
        <w:t>设计要求和施工技术规范组织施工，推行全面质量管理，针对技术和质量问题，开展QC小组攻</w:t>
      </w:r>
      <w:r>
        <w:rPr>
          <w:spacing w:val="-24"/>
          <w:sz w:val="24"/>
          <w:szCs w:val="24"/>
        </w:rPr>
        <w:t>关活动。全面实行“自检、互检、专检”的质量“三检”制度，杜绝质量事故，杜绝返工浪费，</w:t>
      </w:r>
      <w:r>
        <w:rPr>
          <w:spacing w:val="-22"/>
          <w:sz w:val="24"/>
          <w:szCs w:val="24"/>
        </w:rPr>
        <w:t>保证各项工程、各个工序按工期要求，有条不紊的进行。</w:t>
      </w:r>
    </w:p>
    <w:p w14:paraId="72CFD042">
      <w:pPr>
        <w:pStyle w:val="2"/>
        <w:spacing w:before="4" w:line="307" w:lineRule="auto"/>
        <w:ind w:left="1455" w:right="1356" w:firstLine="443"/>
        <w:jc w:val="both"/>
        <w:rPr>
          <w:rFonts w:hint="eastAsia"/>
          <w:spacing w:val="-22"/>
          <w:sz w:val="24"/>
          <w:szCs w:val="24"/>
        </w:rPr>
      </w:pPr>
      <w:r>
        <w:rPr>
          <w:rFonts w:hint="eastAsia"/>
          <w:spacing w:val="-22"/>
          <w:sz w:val="24"/>
          <w:szCs w:val="24"/>
        </w:rPr>
        <w:t>安全生产专项资金保证措施</w:t>
      </w:r>
    </w:p>
    <w:p w14:paraId="77CB2A84">
      <w:pPr>
        <w:pStyle w:val="2"/>
        <w:spacing w:before="4" w:line="307" w:lineRule="auto"/>
        <w:ind w:left="1455" w:right="1356" w:firstLine="443"/>
        <w:jc w:val="both"/>
        <w:rPr>
          <w:rFonts w:hint="eastAsia"/>
          <w:spacing w:val="-22"/>
          <w:sz w:val="24"/>
          <w:szCs w:val="24"/>
        </w:rPr>
      </w:pPr>
      <w:r>
        <w:rPr>
          <w:rFonts w:hint="eastAsia"/>
          <w:spacing w:val="-22"/>
          <w:sz w:val="24"/>
          <w:szCs w:val="24"/>
        </w:rPr>
        <w:t>为加强项目部安全生产管理，保证安全资金的有效投入，改善劳动条件，防止事故的发生，保障职工生命和身体健康和财产安全，按照国家有关法律法规，制定本管理制度。</w:t>
      </w:r>
    </w:p>
    <w:p w14:paraId="47A4D432">
      <w:pPr>
        <w:pStyle w:val="2"/>
        <w:spacing w:before="4" w:line="307" w:lineRule="auto"/>
        <w:ind w:left="1455" w:right="1356" w:firstLine="443"/>
        <w:jc w:val="both"/>
        <w:rPr>
          <w:rFonts w:hint="eastAsia"/>
          <w:spacing w:val="-22"/>
          <w:sz w:val="24"/>
          <w:szCs w:val="24"/>
        </w:rPr>
      </w:pPr>
      <w:r>
        <w:rPr>
          <w:rFonts w:hint="eastAsia"/>
          <w:spacing w:val="-22"/>
          <w:sz w:val="24"/>
          <w:szCs w:val="24"/>
        </w:rPr>
        <w:t>1、实现成本目标基本措施</w:t>
      </w:r>
    </w:p>
    <w:p w14:paraId="4105B2E7">
      <w:pPr>
        <w:pStyle w:val="2"/>
        <w:spacing w:before="4" w:line="307" w:lineRule="auto"/>
        <w:ind w:left="1455" w:right="1356" w:firstLine="443"/>
        <w:jc w:val="both"/>
        <w:rPr>
          <w:rFonts w:hint="eastAsia"/>
          <w:spacing w:val="-22"/>
          <w:sz w:val="24"/>
          <w:szCs w:val="24"/>
        </w:rPr>
      </w:pPr>
      <w:r>
        <w:rPr>
          <w:rFonts w:hint="eastAsia"/>
          <w:spacing w:val="-22"/>
          <w:sz w:val="24"/>
          <w:szCs w:val="24"/>
        </w:rPr>
        <w:t>通过项目部建立起来的材料供应网络，采购货真价实的安全劳保用品及防护用品。严格按“产品采购程序”认真对材料供应商进行评定，去劣选优。设立安全资金专用帐户，保证工程款专款专用，决不将本工程款挪为他用。</w:t>
      </w:r>
    </w:p>
    <w:p w14:paraId="46678A9E">
      <w:pPr>
        <w:pStyle w:val="2"/>
        <w:spacing w:before="4" w:line="307" w:lineRule="auto"/>
        <w:ind w:left="1455" w:right="1356" w:firstLine="443"/>
        <w:jc w:val="both"/>
        <w:rPr>
          <w:rFonts w:hint="eastAsia"/>
          <w:spacing w:val="-22"/>
          <w:sz w:val="24"/>
          <w:szCs w:val="24"/>
        </w:rPr>
      </w:pPr>
      <w:r>
        <w:rPr>
          <w:rFonts w:hint="eastAsia"/>
          <w:spacing w:val="-22"/>
          <w:sz w:val="24"/>
          <w:szCs w:val="24"/>
        </w:rPr>
        <w:t>2、成本核算</w:t>
      </w:r>
    </w:p>
    <w:p w14:paraId="09A0FA7E">
      <w:pPr>
        <w:pStyle w:val="2"/>
        <w:spacing w:before="4" w:line="307" w:lineRule="auto"/>
        <w:ind w:left="1455" w:right="1356" w:firstLine="443"/>
        <w:jc w:val="both"/>
        <w:rPr>
          <w:rFonts w:hint="eastAsia"/>
          <w:spacing w:val="-22"/>
          <w:sz w:val="24"/>
          <w:szCs w:val="24"/>
        </w:rPr>
      </w:pPr>
      <w:r>
        <w:rPr>
          <w:rFonts w:hint="eastAsia"/>
          <w:spacing w:val="-22"/>
          <w:sz w:val="24"/>
          <w:szCs w:val="24"/>
        </w:rPr>
        <w:t>（1）我项目经理部根据国家财务制度和会计制度的有关规定，明确项目成本核算工作的原则和要求，建立相关的核算工作制度，设置必要的核算台帐，正确记录原始数据资料。</w:t>
      </w:r>
    </w:p>
    <w:p w14:paraId="32B212B0">
      <w:pPr>
        <w:pStyle w:val="2"/>
        <w:spacing w:before="4" w:line="307" w:lineRule="auto"/>
        <w:ind w:left="1455" w:right="1356" w:firstLine="443"/>
        <w:jc w:val="both"/>
        <w:rPr>
          <w:rFonts w:hint="eastAsia"/>
          <w:spacing w:val="-22"/>
          <w:sz w:val="24"/>
          <w:szCs w:val="24"/>
        </w:rPr>
      </w:pPr>
      <w:r>
        <w:rPr>
          <w:rFonts w:hint="eastAsia"/>
          <w:spacing w:val="-22"/>
          <w:sz w:val="24"/>
          <w:szCs w:val="24"/>
        </w:rPr>
        <w:t>（2）施工过程项目成本的核算，以每月为一核算期，在月末进行。核算对象宜按单位工程划分，与施工项目管理责任目标成本的界定范围相一致。施工产值及实际成本的归集，宜参照以下方法进行：</w:t>
      </w:r>
    </w:p>
    <w:p w14:paraId="693DDE0D">
      <w:pPr>
        <w:pStyle w:val="2"/>
        <w:spacing w:before="4" w:line="307" w:lineRule="auto"/>
        <w:ind w:left="1455" w:right="1356" w:firstLine="443"/>
        <w:jc w:val="both"/>
        <w:rPr>
          <w:rFonts w:hint="eastAsia"/>
          <w:spacing w:val="-22"/>
          <w:sz w:val="24"/>
          <w:szCs w:val="24"/>
        </w:rPr>
      </w:pPr>
      <w:r>
        <w:rPr>
          <w:rFonts w:hint="eastAsia"/>
          <w:spacing w:val="-22"/>
          <w:sz w:val="24"/>
          <w:szCs w:val="24"/>
        </w:rPr>
        <w:t>(a)材料费根据当月项目材料消耗和实际价格，计算当期消耗，计入工程成本；周转材料实行内部租赁制，按照当月租赁时间、数量、单价，计入工程成本。</w:t>
      </w:r>
    </w:p>
    <w:p w14:paraId="1D4AE0F6">
      <w:pPr>
        <w:pStyle w:val="2"/>
        <w:spacing w:before="4" w:line="307" w:lineRule="auto"/>
        <w:ind w:left="1455" w:right="1356" w:firstLine="443"/>
        <w:jc w:val="both"/>
        <w:rPr>
          <w:rFonts w:hint="eastAsia"/>
          <w:spacing w:val="-22"/>
          <w:sz w:val="24"/>
          <w:szCs w:val="24"/>
        </w:rPr>
      </w:pPr>
      <w:r>
        <w:rPr>
          <w:rFonts w:hint="eastAsia"/>
          <w:spacing w:val="-22"/>
          <w:sz w:val="24"/>
          <w:szCs w:val="24"/>
        </w:rPr>
        <w:t>(b)其他直接费根据有关核算资料进行帐务处理，计入工程成本。</w:t>
      </w:r>
    </w:p>
    <w:p w14:paraId="2BEEB3BF">
      <w:pPr>
        <w:pStyle w:val="2"/>
        <w:spacing w:before="4" w:line="307" w:lineRule="auto"/>
        <w:ind w:left="1455" w:right="1356" w:firstLine="443"/>
        <w:jc w:val="both"/>
        <w:rPr>
          <w:rFonts w:hint="eastAsia"/>
          <w:spacing w:val="-22"/>
          <w:sz w:val="24"/>
          <w:szCs w:val="24"/>
        </w:rPr>
      </w:pPr>
      <w:r>
        <w:rPr>
          <w:rFonts w:hint="eastAsia"/>
          <w:spacing w:val="-22"/>
          <w:sz w:val="24"/>
          <w:szCs w:val="24"/>
        </w:rPr>
        <w:t>(c)间接成本根据现场所发生的间接成本项目的有关资料，进行帐务处理，计入工程成本。</w:t>
      </w:r>
    </w:p>
    <w:p w14:paraId="4E3B830A">
      <w:pPr>
        <w:pStyle w:val="2"/>
        <w:spacing w:before="4" w:line="307" w:lineRule="auto"/>
        <w:ind w:left="1455" w:right="1356" w:firstLine="443"/>
        <w:jc w:val="both"/>
        <w:rPr>
          <w:rFonts w:hint="eastAsia"/>
          <w:spacing w:val="-22"/>
          <w:sz w:val="24"/>
          <w:szCs w:val="24"/>
        </w:rPr>
      </w:pPr>
      <w:r>
        <w:rPr>
          <w:rFonts w:hint="eastAsia"/>
          <w:spacing w:val="-22"/>
          <w:sz w:val="24"/>
          <w:szCs w:val="24"/>
        </w:rPr>
        <w:t>（3）项目成本核算采取会计核算、统计核算和专业核算相结合的方法，做好以下几个方面的比较分析：</w:t>
      </w:r>
    </w:p>
    <w:p w14:paraId="77556D09">
      <w:pPr>
        <w:pStyle w:val="2"/>
        <w:spacing w:before="4" w:line="307" w:lineRule="auto"/>
        <w:ind w:left="1455" w:right="1356" w:firstLine="443"/>
        <w:jc w:val="both"/>
        <w:rPr>
          <w:rFonts w:hint="eastAsia"/>
          <w:spacing w:val="-22"/>
          <w:sz w:val="24"/>
          <w:szCs w:val="24"/>
        </w:rPr>
      </w:pPr>
      <w:r>
        <w:rPr>
          <w:rFonts w:hint="eastAsia"/>
          <w:spacing w:val="-22"/>
          <w:sz w:val="24"/>
          <w:szCs w:val="24"/>
        </w:rPr>
        <w:t>(a)实际成本与责任目标成本的比较分析，以反映本期施工结对实现相关责任目标成本的贡献或差距。</w:t>
      </w:r>
    </w:p>
    <w:p w14:paraId="421ED649">
      <w:pPr>
        <w:pStyle w:val="2"/>
        <w:spacing w:before="4" w:line="307" w:lineRule="auto"/>
        <w:ind w:left="1455" w:right="1356" w:firstLine="443"/>
        <w:jc w:val="both"/>
        <w:rPr>
          <w:rFonts w:hint="eastAsia"/>
          <w:spacing w:val="-22"/>
          <w:sz w:val="24"/>
          <w:szCs w:val="24"/>
        </w:rPr>
      </w:pPr>
      <w:r>
        <w:rPr>
          <w:rFonts w:hint="eastAsia"/>
          <w:spacing w:val="-22"/>
          <w:sz w:val="24"/>
          <w:szCs w:val="24"/>
        </w:rPr>
        <w:t>(b)实际成本与计划目标成本的比较，以反映本期施工结果的成本节超状况。辅以统计核算和专业核算资料，写明成本节超环节和原因。</w:t>
      </w:r>
    </w:p>
    <w:p w14:paraId="22F8E3EE">
      <w:pPr>
        <w:pStyle w:val="2"/>
        <w:spacing w:before="4" w:line="307" w:lineRule="auto"/>
        <w:ind w:left="1455" w:right="1356" w:firstLine="443"/>
        <w:jc w:val="both"/>
        <w:rPr>
          <w:rFonts w:hint="eastAsia"/>
          <w:spacing w:val="-22"/>
          <w:sz w:val="24"/>
          <w:szCs w:val="24"/>
        </w:rPr>
      </w:pPr>
      <w:r>
        <w:rPr>
          <w:rFonts w:hint="eastAsia"/>
          <w:spacing w:val="-22"/>
          <w:sz w:val="24"/>
          <w:szCs w:val="24"/>
        </w:rPr>
        <w:t>（4）项目部在跟踪核算分析的基础上，编制月度项目成本报告，递交给企业主管部门检查、考核和指导。</w:t>
      </w:r>
    </w:p>
    <w:p w14:paraId="7DE98FF6">
      <w:pPr>
        <w:pStyle w:val="2"/>
        <w:spacing w:before="4" w:line="307" w:lineRule="auto"/>
        <w:ind w:left="1455" w:right="1356" w:firstLine="443"/>
        <w:jc w:val="both"/>
        <w:rPr>
          <w:rFonts w:hint="eastAsia"/>
          <w:spacing w:val="-22"/>
          <w:sz w:val="24"/>
          <w:szCs w:val="24"/>
        </w:rPr>
      </w:pPr>
      <w:r>
        <w:rPr>
          <w:rFonts w:hint="eastAsia"/>
          <w:spacing w:val="-22"/>
          <w:sz w:val="24"/>
          <w:szCs w:val="24"/>
        </w:rPr>
        <w:t>（5）项目部在每月跟踪核算分析的同时，根据分部分项成本的累计偏差和相应的计划目标成本余额，预测后期施工成本的变化趋势和状况；结合偏差原因分析总结经验，寻求改善成本状况的措施，通过下月施工计划的制订和付诸实施，促使施工成本在波动中总体上处于受控状况。</w:t>
      </w:r>
    </w:p>
    <w:p w14:paraId="35AB136E">
      <w:pPr>
        <w:pStyle w:val="2"/>
        <w:spacing w:before="4" w:line="307" w:lineRule="auto"/>
        <w:ind w:left="1455" w:right="1356" w:firstLine="443"/>
        <w:jc w:val="both"/>
        <w:rPr>
          <w:rFonts w:hint="eastAsia"/>
          <w:spacing w:val="-22"/>
          <w:sz w:val="24"/>
          <w:szCs w:val="24"/>
        </w:rPr>
      </w:pPr>
      <w:r>
        <w:rPr>
          <w:rFonts w:hint="eastAsia"/>
          <w:spacing w:val="-22"/>
          <w:sz w:val="24"/>
          <w:szCs w:val="24"/>
        </w:rPr>
        <w:t>3、材料采购及使用上的节约措施</w:t>
      </w:r>
    </w:p>
    <w:p w14:paraId="7452B2B9">
      <w:pPr>
        <w:pStyle w:val="2"/>
        <w:spacing w:before="4" w:line="307" w:lineRule="auto"/>
        <w:ind w:left="1455" w:right="1356" w:firstLine="443"/>
        <w:jc w:val="both"/>
        <w:rPr>
          <w:rFonts w:hint="eastAsia"/>
          <w:spacing w:val="-22"/>
          <w:sz w:val="24"/>
          <w:szCs w:val="24"/>
        </w:rPr>
      </w:pPr>
      <w:r>
        <w:rPr>
          <w:rFonts w:hint="eastAsia"/>
          <w:spacing w:val="-22"/>
          <w:sz w:val="24"/>
          <w:szCs w:val="24"/>
        </w:rPr>
        <w:t>（1）把好材料采购、领用关，控制材料成本。</w:t>
      </w:r>
    </w:p>
    <w:p w14:paraId="5EB4AA7F">
      <w:pPr>
        <w:pStyle w:val="2"/>
        <w:spacing w:before="4" w:line="307" w:lineRule="auto"/>
        <w:ind w:left="1455" w:right="1356" w:firstLine="443"/>
        <w:jc w:val="both"/>
        <w:rPr>
          <w:rFonts w:hint="eastAsia"/>
          <w:spacing w:val="-22"/>
          <w:sz w:val="24"/>
          <w:szCs w:val="24"/>
        </w:rPr>
      </w:pPr>
      <w:r>
        <w:rPr>
          <w:rFonts w:hint="eastAsia"/>
          <w:spacing w:val="-22"/>
          <w:sz w:val="24"/>
          <w:szCs w:val="24"/>
        </w:rPr>
        <w:t>（2）严格控制材料的领用程序，仓库保管员按工料单发料，不</w:t>
      </w:r>
    </w:p>
    <w:p w14:paraId="2F49C616">
      <w:pPr>
        <w:pStyle w:val="2"/>
        <w:spacing w:before="4" w:line="307" w:lineRule="auto"/>
        <w:ind w:left="1455" w:right="1356" w:firstLine="443"/>
        <w:jc w:val="both"/>
        <w:rPr>
          <w:rFonts w:hint="eastAsia"/>
          <w:spacing w:val="-22"/>
          <w:sz w:val="24"/>
          <w:szCs w:val="24"/>
        </w:rPr>
      </w:pPr>
      <w:r>
        <w:rPr>
          <w:rFonts w:hint="eastAsia"/>
          <w:spacing w:val="-22"/>
          <w:sz w:val="24"/>
          <w:szCs w:val="24"/>
        </w:rPr>
        <w:t>见单不发料。成本核算人员（预结算员和财会）要按预算书编制材料采购计划、按行象进度计算材料理论用量、与实际进场材料进行及时比较，从中找出差值，并对此做出合理分析。对将有造计划用量可能的情况及时通报项目部，共同分析，共同做好材料成本控制工作。</w:t>
      </w:r>
    </w:p>
    <w:p w14:paraId="460163BE">
      <w:pPr>
        <w:pStyle w:val="2"/>
        <w:spacing w:before="4" w:line="307" w:lineRule="auto"/>
        <w:ind w:left="1455" w:right="1356" w:firstLine="443"/>
        <w:jc w:val="both"/>
        <w:rPr>
          <w:rFonts w:hint="eastAsia"/>
          <w:spacing w:val="-22"/>
          <w:sz w:val="24"/>
          <w:szCs w:val="24"/>
        </w:rPr>
      </w:pPr>
      <w:r>
        <w:rPr>
          <w:rFonts w:hint="eastAsia"/>
          <w:spacing w:val="-22"/>
          <w:sz w:val="24"/>
          <w:szCs w:val="24"/>
        </w:rPr>
        <w:t>4、组织保证措施</w:t>
      </w:r>
    </w:p>
    <w:p w14:paraId="4637414A">
      <w:pPr>
        <w:pStyle w:val="2"/>
        <w:spacing w:before="4" w:line="307" w:lineRule="auto"/>
        <w:ind w:left="1455" w:right="1356" w:firstLine="443"/>
        <w:jc w:val="both"/>
        <w:rPr>
          <w:rFonts w:hint="eastAsia"/>
          <w:spacing w:val="-22"/>
          <w:sz w:val="24"/>
          <w:szCs w:val="24"/>
        </w:rPr>
      </w:pPr>
      <w:r>
        <w:rPr>
          <w:rFonts w:hint="eastAsia"/>
          <w:spacing w:val="-22"/>
          <w:sz w:val="24"/>
          <w:szCs w:val="24"/>
        </w:rPr>
        <w:t>项目部内设一名技术员，负责图纸会审；资料收集和整理；工料单的核算；材料采购计划等工作。项目部两名项目副经理为施工负责人，负责施工组织设计的实施；劳动力的安排；质量、安全和进度的控制。下设施工员、质检员、安全员。</w:t>
      </w:r>
    </w:p>
    <w:p w14:paraId="13C198BC">
      <w:pPr>
        <w:pStyle w:val="2"/>
        <w:spacing w:before="4" w:line="307" w:lineRule="auto"/>
        <w:ind w:left="1455" w:right="1356" w:firstLine="443"/>
        <w:jc w:val="both"/>
        <w:rPr>
          <w:rFonts w:hint="eastAsia"/>
          <w:spacing w:val="-22"/>
          <w:sz w:val="24"/>
          <w:szCs w:val="24"/>
        </w:rPr>
      </w:pPr>
      <w:r>
        <w:rPr>
          <w:rFonts w:hint="eastAsia"/>
          <w:spacing w:val="-22"/>
          <w:sz w:val="24"/>
          <w:szCs w:val="24"/>
        </w:rPr>
        <w:t>项目部设财务负责人，负责本工程安全生产专项资金的专用、材料的采购、职工生活保障。</w:t>
      </w:r>
    </w:p>
    <w:p w14:paraId="309C7797">
      <w:pPr>
        <w:pStyle w:val="2"/>
        <w:spacing w:before="4" w:line="307" w:lineRule="auto"/>
        <w:ind w:left="1455" w:right="1356" w:firstLine="443"/>
        <w:jc w:val="both"/>
        <w:rPr>
          <w:rFonts w:hint="eastAsia"/>
          <w:spacing w:val="-22"/>
          <w:sz w:val="24"/>
          <w:szCs w:val="24"/>
        </w:rPr>
      </w:pPr>
      <w:r>
        <w:rPr>
          <w:rFonts w:hint="eastAsia"/>
          <w:spacing w:val="-22"/>
          <w:sz w:val="24"/>
          <w:szCs w:val="24"/>
        </w:rPr>
        <w:t>项目部操作过程为：施工员下达施工任务书，统计员计算定额工</w:t>
      </w:r>
    </w:p>
    <w:p w14:paraId="4953BB67">
      <w:pPr>
        <w:pStyle w:val="2"/>
        <w:spacing w:before="4" w:line="307" w:lineRule="auto"/>
        <w:ind w:left="1455" w:right="1356" w:firstLine="443"/>
        <w:jc w:val="both"/>
        <w:rPr>
          <w:rFonts w:hint="eastAsia"/>
          <w:spacing w:val="-22"/>
          <w:sz w:val="24"/>
          <w:szCs w:val="24"/>
        </w:rPr>
      </w:pPr>
      <w:r>
        <w:rPr>
          <w:rFonts w:hint="eastAsia"/>
          <w:spacing w:val="-22"/>
          <w:sz w:val="24"/>
          <w:szCs w:val="24"/>
        </w:rPr>
        <w:t>和材料用量单（即工料单），由班组实施，施工、质检、安全员进行验收，并在工料单上签认，班组长上缴工料单至财务。在此过程中着重抓住各工种间上下工序的验收，坚持做到上道工序不合格下道工序不施工，做到一次性成优，减少返工，从而达到缩短工期的目的；质检员要做好技术工人的技术档案；资料员要及时做好相关资料；如发生质量、进度与计划不符要及时总结，找出原因，及时解决。但当进度、质量与安全相矛盾时一定要坚持安全第一的原则。</w:t>
      </w:r>
    </w:p>
    <w:p w14:paraId="68547AD0">
      <w:pPr>
        <w:pStyle w:val="2"/>
        <w:spacing w:before="4" w:line="307" w:lineRule="auto"/>
        <w:ind w:left="1455" w:right="1356" w:firstLine="443"/>
        <w:jc w:val="both"/>
        <w:rPr>
          <w:rFonts w:hint="eastAsia"/>
          <w:spacing w:val="-22"/>
          <w:sz w:val="24"/>
          <w:szCs w:val="24"/>
        </w:rPr>
      </w:pPr>
      <w:r>
        <w:rPr>
          <w:rFonts w:hint="eastAsia"/>
          <w:spacing w:val="-22"/>
          <w:sz w:val="24"/>
          <w:szCs w:val="24"/>
        </w:rPr>
        <w:t>5、劳资物品保证措施采购足够的劳动防护用品（安全帽、安全带等），确保职工的安全防护；采购足够的灭火装置（干粉灭火器、黄砂等），确保工程出现危情及时扑救；采购足够的安全防护设备，确保安全防护落实到位。</w:t>
      </w:r>
    </w:p>
    <w:p w14:paraId="0E896BFD">
      <w:pPr>
        <w:pStyle w:val="2"/>
        <w:spacing w:before="4" w:line="307" w:lineRule="auto"/>
        <w:ind w:left="1455" w:right="1356" w:firstLine="443"/>
        <w:jc w:val="both"/>
        <w:rPr>
          <w:rFonts w:hint="eastAsia"/>
          <w:spacing w:val="-22"/>
          <w:sz w:val="24"/>
          <w:szCs w:val="24"/>
        </w:rPr>
      </w:pPr>
      <w:r>
        <w:rPr>
          <w:rFonts w:hint="eastAsia"/>
          <w:spacing w:val="-22"/>
          <w:sz w:val="24"/>
          <w:szCs w:val="24"/>
        </w:rPr>
        <w:t>6、安全生产费用的提取安全生产费用严格按照规定标准提取，在成本中列支，专门用于完善和改进企业安全生产条件的资金。</w:t>
      </w:r>
    </w:p>
    <w:p w14:paraId="065EED13">
      <w:pPr>
        <w:pStyle w:val="2"/>
        <w:spacing w:before="4" w:line="307" w:lineRule="auto"/>
        <w:ind w:left="1455" w:right="1356" w:firstLine="443"/>
        <w:jc w:val="both"/>
        <w:rPr>
          <w:rFonts w:hint="eastAsia"/>
          <w:spacing w:val="-22"/>
          <w:sz w:val="24"/>
          <w:szCs w:val="24"/>
        </w:rPr>
      </w:pPr>
      <w:r>
        <w:rPr>
          <w:rFonts w:hint="eastAsia"/>
          <w:spacing w:val="-22"/>
          <w:sz w:val="24"/>
          <w:szCs w:val="24"/>
        </w:rPr>
        <w:t>7、安全生产费用的使用范围</w:t>
      </w:r>
    </w:p>
    <w:p w14:paraId="05EEB437">
      <w:pPr>
        <w:pStyle w:val="2"/>
        <w:spacing w:before="4" w:line="307" w:lineRule="auto"/>
        <w:ind w:left="1455" w:right="1356" w:firstLine="443"/>
        <w:jc w:val="both"/>
        <w:rPr>
          <w:rFonts w:hint="eastAsia"/>
          <w:spacing w:val="-22"/>
          <w:sz w:val="24"/>
          <w:szCs w:val="24"/>
        </w:rPr>
      </w:pPr>
      <w:r>
        <w:rPr>
          <w:rFonts w:hint="eastAsia"/>
          <w:spacing w:val="-22"/>
          <w:sz w:val="24"/>
          <w:szCs w:val="24"/>
        </w:rPr>
        <w:t>7.1完善、改造和维护安全防护设备、设施支出。</w:t>
      </w:r>
    </w:p>
    <w:p w14:paraId="1026954A">
      <w:pPr>
        <w:pStyle w:val="2"/>
        <w:spacing w:before="4" w:line="307" w:lineRule="auto"/>
        <w:ind w:left="1455" w:right="1356" w:firstLine="443"/>
        <w:jc w:val="both"/>
        <w:rPr>
          <w:rFonts w:hint="eastAsia"/>
          <w:spacing w:val="-22"/>
          <w:sz w:val="24"/>
          <w:szCs w:val="24"/>
        </w:rPr>
      </w:pPr>
      <w:r>
        <w:rPr>
          <w:rFonts w:hint="eastAsia"/>
          <w:spacing w:val="-22"/>
          <w:sz w:val="24"/>
          <w:szCs w:val="24"/>
        </w:rPr>
        <w:t>7.2配备必要的应急救援器材、设备和现场作业人员安全防护物品支出。</w:t>
      </w:r>
    </w:p>
    <w:p w14:paraId="4058009A">
      <w:pPr>
        <w:pStyle w:val="2"/>
        <w:spacing w:before="4" w:line="307" w:lineRule="auto"/>
        <w:ind w:left="1455" w:right="1356" w:firstLine="443"/>
        <w:jc w:val="both"/>
        <w:rPr>
          <w:rFonts w:hint="eastAsia"/>
          <w:spacing w:val="-22"/>
          <w:sz w:val="24"/>
          <w:szCs w:val="24"/>
        </w:rPr>
      </w:pPr>
      <w:r>
        <w:rPr>
          <w:rFonts w:hint="eastAsia"/>
          <w:spacing w:val="-22"/>
          <w:sz w:val="24"/>
          <w:szCs w:val="24"/>
        </w:rPr>
        <w:t>7.3安全生产检查与评价支出。</w:t>
      </w:r>
    </w:p>
    <w:p w14:paraId="6AB77BF3">
      <w:pPr>
        <w:pStyle w:val="2"/>
        <w:spacing w:before="4" w:line="307" w:lineRule="auto"/>
        <w:ind w:left="1455" w:right="1356" w:firstLine="443"/>
        <w:jc w:val="both"/>
        <w:rPr>
          <w:rFonts w:hint="eastAsia"/>
          <w:spacing w:val="-22"/>
          <w:sz w:val="24"/>
          <w:szCs w:val="24"/>
        </w:rPr>
      </w:pPr>
      <w:r>
        <w:rPr>
          <w:rFonts w:hint="eastAsia"/>
          <w:spacing w:val="-22"/>
          <w:sz w:val="24"/>
          <w:szCs w:val="24"/>
        </w:rPr>
        <w:t>7.4重大危险源、重大事故隐患的评估、整改、监控支出。</w:t>
      </w:r>
    </w:p>
    <w:p w14:paraId="73396669">
      <w:pPr>
        <w:pStyle w:val="2"/>
        <w:spacing w:before="4" w:line="307" w:lineRule="auto"/>
        <w:ind w:left="1455" w:right="1356" w:firstLine="443"/>
        <w:jc w:val="both"/>
        <w:rPr>
          <w:rFonts w:hint="eastAsia"/>
          <w:spacing w:val="-22"/>
          <w:sz w:val="24"/>
          <w:szCs w:val="24"/>
        </w:rPr>
      </w:pPr>
      <w:r>
        <w:rPr>
          <w:rFonts w:hint="eastAsia"/>
          <w:spacing w:val="-22"/>
          <w:sz w:val="24"/>
          <w:szCs w:val="24"/>
        </w:rPr>
        <w:t>7.5安全技能培训及进行应急救援演练支出。7.6安全设施、特种设备的检测、校验。</w:t>
      </w:r>
    </w:p>
    <w:p w14:paraId="0FE4A3B1">
      <w:pPr>
        <w:pStyle w:val="2"/>
        <w:spacing w:before="4" w:line="307" w:lineRule="auto"/>
        <w:ind w:left="1455" w:right="1356" w:firstLine="443"/>
        <w:jc w:val="both"/>
        <w:rPr>
          <w:rFonts w:hint="eastAsia"/>
          <w:spacing w:val="-22"/>
          <w:sz w:val="24"/>
          <w:szCs w:val="24"/>
        </w:rPr>
      </w:pPr>
      <w:r>
        <w:rPr>
          <w:rFonts w:hint="eastAsia"/>
          <w:spacing w:val="-22"/>
          <w:sz w:val="24"/>
          <w:szCs w:val="24"/>
        </w:rPr>
        <w:t>7.7其他与安全生产直接相关的支出。</w:t>
      </w:r>
    </w:p>
    <w:p w14:paraId="4815C1FA">
      <w:pPr>
        <w:pStyle w:val="2"/>
        <w:spacing w:before="4" w:line="307" w:lineRule="auto"/>
        <w:ind w:left="1455" w:right="1356" w:firstLine="443"/>
        <w:jc w:val="both"/>
        <w:rPr>
          <w:rFonts w:hint="eastAsia"/>
          <w:spacing w:val="-22"/>
          <w:sz w:val="24"/>
          <w:szCs w:val="24"/>
        </w:rPr>
      </w:pPr>
      <w:r>
        <w:rPr>
          <w:rFonts w:hint="eastAsia"/>
          <w:spacing w:val="-22"/>
          <w:sz w:val="24"/>
          <w:szCs w:val="24"/>
        </w:rPr>
        <w:t>8、安全生产费用的使用</w:t>
      </w:r>
    </w:p>
    <w:p w14:paraId="27CDDAAE">
      <w:pPr>
        <w:pStyle w:val="2"/>
        <w:spacing w:before="4" w:line="307" w:lineRule="auto"/>
        <w:ind w:left="1455" w:right="1356" w:firstLine="443"/>
        <w:jc w:val="both"/>
        <w:rPr>
          <w:rFonts w:hint="eastAsia"/>
          <w:spacing w:val="-22"/>
          <w:sz w:val="24"/>
          <w:szCs w:val="24"/>
        </w:rPr>
      </w:pPr>
      <w:r>
        <w:rPr>
          <w:rFonts w:hint="eastAsia"/>
          <w:spacing w:val="-22"/>
          <w:sz w:val="24"/>
          <w:szCs w:val="24"/>
        </w:rPr>
        <w:t>8.1财务部每月月初向安质部处报送安全费用的提取数额，安全</w:t>
      </w:r>
    </w:p>
    <w:p w14:paraId="20D0FD0A">
      <w:pPr>
        <w:pStyle w:val="2"/>
        <w:spacing w:before="4" w:line="307" w:lineRule="auto"/>
        <w:ind w:left="1455" w:right="1356" w:firstLine="443"/>
        <w:jc w:val="both"/>
        <w:rPr>
          <w:rFonts w:hint="eastAsia"/>
          <w:spacing w:val="-22"/>
          <w:sz w:val="24"/>
          <w:szCs w:val="24"/>
        </w:rPr>
      </w:pPr>
      <w:r>
        <w:rPr>
          <w:rFonts w:hint="eastAsia"/>
          <w:spacing w:val="-22"/>
          <w:sz w:val="24"/>
          <w:szCs w:val="24"/>
        </w:rPr>
        <w:t>总监负责对安全费用的使用进行审批，凡包括上述范围内的所有支出均可从安全生产费用中列支。使用安全费用时必须经安全总监审批签字后，方可交财务部办理使用手续。</w:t>
      </w:r>
    </w:p>
    <w:p w14:paraId="25463C44">
      <w:pPr>
        <w:pStyle w:val="2"/>
        <w:spacing w:before="4" w:line="307" w:lineRule="auto"/>
        <w:ind w:left="1455" w:right="1356" w:firstLine="443"/>
        <w:jc w:val="both"/>
        <w:rPr>
          <w:rFonts w:hint="eastAsia"/>
          <w:spacing w:val="-22"/>
          <w:sz w:val="24"/>
          <w:szCs w:val="24"/>
        </w:rPr>
      </w:pPr>
      <w:r>
        <w:rPr>
          <w:rFonts w:hint="eastAsia"/>
          <w:spacing w:val="-22"/>
          <w:sz w:val="24"/>
          <w:szCs w:val="24"/>
        </w:rPr>
        <w:t>8.2安质部负责对安全费用的提取和使用建立台帐，并同时负责</w:t>
      </w:r>
    </w:p>
    <w:p w14:paraId="170EF61E">
      <w:pPr>
        <w:pStyle w:val="2"/>
        <w:spacing w:before="4" w:line="307" w:lineRule="auto"/>
        <w:ind w:left="1455" w:right="1356" w:firstLine="443"/>
        <w:jc w:val="both"/>
        <w:rPr>
          <w:rFonts w:hint="eastAsia"/>
          <w:spacing w:val="-22"/>
          <w:sz w:val="24"/>
          <w:szCs w:val="24"/>
        </w:rPr>
      </w:pPr>
      <w:r>
        <w:rPr>
          <w:rFonts w:hint="eastAsia"/>
          <w:spacing w:val="-22"/>
          <w:sz w:val="24"/>
          <w:szCs w:val="24"/>
        </w:rPr>
        <w:t>向上级部门报送安全费用统计报表及其他要求报送的资料。</w:t>
      </w:r>
    </w:p>
    <w:p w14:paraId="49EED313">
      <w:pPr>
        <w:pStyle w:val="2"/>
        <w:spacing w:before="4" w:line="307" w:lineRule="auto"/>
        <w:ind w:left="1455" w:right="1356" w:firstLine="443"/>
        <w:jc w:val="both"/>
        <w:rPr>
          <w:rFonts w:hint="eastAsia"/>
          <w:spacing w:val="-22"/>
          <w:sz w:val="24"/>
          <w:szCs w:val="24"/>
        </w:rPr>
      </w:pPr>
      <w:r>
        <w:rPr>
          <w:rFonts w:hint="eastAsia"/>
          <w:spacing w:val="-22"/>
          <w:sz w:val="24"/>
          <w:szCs w:val="24"/>
        </w:rPr>
        <w:t>（三）文明施工资金保障制度</w:t>
      </w:r>
    </w:p>
    <w:p w14:paraId="64A7C680">
      <w:pPr>
        <w:pStyle w:val="2"/>
        <w:spacing w:before="4" w:line="307" w:lineRule="auto"/>
        <w:ind w:left="1455" w:right="1356" w:firstLine="443"/>
        <w:jc w:val="both"/>
        <w:rPr>
          <w:rFonts w:hint="eastAsia"/>
          <w:spacing w:val="-22"/>
          <w:sz w:val="24"/>
          <w:szCs w:val="24"/>
        </w:rPr>
      </w:pPr>
      <w:r>
        <w:rPr>
          <w:rFonts w:hint="eastAsia"/>
          <w:spacing w:val="-22"/>
          <w:sz w:val="24"/>
          <w:szCs w:val="24"/>
        </w:rPr>
        <w:t>安全文明施工措施费,对于中标工程,中标合同中有相关单列约定的,项目部应严格按照相关约定执行,中标合同中安全生产措施费未进行约定的工程项目,安全生产措施费用按照当地地方政府参考费率标准采用差额定率累进计费方式计取;或者按照安全生产管理机构对施工现场安全生产管理的实际需要按计划计取。</w:t>
      </w:r>
    </w:p>
    <w:p w14:paraId="55CE5206">
      <w:pPr>
        <w:pStyle w:val="2"/>
        <w:spacing w:before="4" w:line="307" w:lineRule="auto"/>
        <w:ind w:left="1455" w:right="1356" w:firstLine="443"/>
        <w:jc w:val="both"/>
        <w:rPr>
          <w:rFonts w:hint="eastAsia"/>
          <w:spacing w:val="-22"/>
          <w:sz w:val="24"/>
          <w:szCs w:val="24"/>
        </w:rPr>
      </w:pPr>
      <w:r>
        <w:rPr>
          <w:rFonts w:hint="eastAsia"/>
          <w:spacing w:val="-22"/>
          <w:sz w:val="24"/>
          <w:szCs w:val="24"/>
        </w:rPr>
        <w:t>一)、公司对施工经营项目需具备安全生产条件所必须的资金投入,由施工经营项目的决策机构或主要负责人确保资金的及时到位,正确使用,并对由于安全生产所必需的资金投入不足导致的后果承担责任。</w:t>
      </w:r>
    </w:p>
    <w:p w14:paraId="56AC5827">
      <w:pPr>
        <w:pStyle w:val="2"/>
        <w:spacing w:before="4" w:line="307" w:lineRule="auto"/>
        <w:ind w:left="1455" w:right="1356" w:firstLine="443"/>
        <w:jc w:val="both"/>
        <w:rPr>
          <w:rFonts w:hint="eastAsia"/>
          <w:spacing w:val="-22"/>
          <w:sz w:val="24"/>
          <w:szCs w:val="24"/>
        </w:rPr>
      </w:pPr>
      <w:r>
        <w:rPr>
          <w:rFonts w:hint="eastAsia"/>
          <w:spacing w:val="-22"/>
          <w:sz w:val="24"/>
          <w:szCs w:val="24"/>
        </w:rPr>
        <w:t>二)、公司安全生产专项资金的支出由公司安全管理部按计划报批,项目安全生产专项资金的支出由该项目安全生产科按计划报批。</w:t>
      </w:r>
    </w:p>
    <w:p w14:paraId="629DC343">
      <w:pPr>
        <w:pStyle w:val="2"/>
        <w:spacing w:before="4" w:line="307" w:lineRule="auto"/>
        <w:ind w:left="1455" w:right="1356" w:firstLine="443"/>
        <w:jc w:val="both"/>
        <w:rPr>
          <w:spacing w:val="-22"/>
          <w:sz w:val="24"/>
          <w:szCs w:val="24"/>
        </w:rPr>
      </w:pPr>
      <w:r>
        <w:rPr>
          <w:rFonts w:hint="eastAsia"/>
          <w:spacing w:val="-22"/>
          <w:sz w:val="24"/>
          <w:szCs w:val="24"/>
        </w:rPr>
        <w:t>三)、对不按规定使用措施费或安全措施落实不到位的项目部</w:t>
      </w:r>
    </w:p>
    <w:p w14:paraId="30D819EB">
      <w:pPr>
        <w:pStyle w:val="2"/>
        <w:spacing w:before="4" w:line="307" w:lineRule="auto"/>
        <w:ind w:left="1455" w:right="1356" w:firstLine="443"/>
        <w:jc w:val="both"/>
        <w:rPr>
          <w:rFonts w:hint="eastAsia"/>
          <w:spacing w:val="-22"/>
          <w:sz w:val="24"/>
          <w:szCs w:val="24"/>
        </w:rPr>
      </w:pPr>
      <w:r>
        <w:rPr>
          <w:rFonts w:hint="eastAsia"/>
          <w:spacing w:val="-22"/>
          <w:sz w:val="24"/>
          <w:szCs w:val="24"/>
        </w:rPr>
        <w:t>安全生产专项资金保证措施</w:t>
      </w:r>
    </w:p>
    <w:p w14:paraId="1D2CEAF8">
      <w:pPr>
        <w:pStyle w:val="2"/>
        <w:spacing w:before="4" w:line="307" w:lineRule="auto"/>
        <w:ind w:left="1455" w:right="1356" w:firstLine="443"/>
        <w:jc w:val="both"/>
        <w:rPr>
          <w:rFonts w:hint="eastAsia"/>
          <w:spacing w:val="-22"/>
          <w:sz w:val="24"/>
          <w:szCs w:val="24"/>
        </w:rPr>
      </w:pPr>
      <w:r>
        <w:rPr>
          <w:rFonts w:hint="eastAsia"/>
          <w:spacing w:val="-22"/>
          <w:sz w:val="24"/>
          <w:szCs w:val="24"/>
        </w:rPr>
        <w:t>为加强项目部安全生产管理，保证安全资金的有效投入，改善劳动条件，防止事故的发生，保障职工生命和身体健康和财产安全，按照国家有关法律法规，制定本管理制度。</w:t>
      </w:r>
    </w:p>
    <w:p w14:paraId="72521DC4">
      <w:pPr>
        <w:pStyle w:val="2"/>
        <w:spacing w:before="4" w:line="307" w:lineRule="auto"/>
        <w:ind w:left="1455" w:right="1356" w:firstLine="443"/>
        <w:jc w:val="both"/>
        <w:rPr>
          <w:rFonts w:hint="eastAsia"/>
          <w:spacing w:val="-22"/>
          <w:sz w:val="24"/>
          <w:szCs w:val="24"/>
        </w:rPr>
      </w:pPr>
      <w:r>
        <w:rPr>
          <w:rFonts w:hint="eastAsia"/>
          <w:spacing w:val="-22"/>
          <w:sz w:val="24"/>
          <w:szCs w:val="24"/>
        </w:rPr>
        <w:t>实现成本目标基本措施通过项目部建立起来的材料供应网络，采购货真价实的安全劳保用品及防护用品。</w:t>
      </w:r>
    </w:p>
    <w:p w14:paraId="68FC7207">
      <w:pPr>
        <w:pStyle w:val="2"/>
        <w:spacing w:before="4" w:line="307" w:lineRule="auto"/>
        <w:ind w:left="1455" w:right="1356" w:firstLine="443"/>
        <w:jc w:val="both"/>
        <w:rPr>
          <w:rFonts w:hint="eastAsia"/>
          <w:spacing w:val="-22"/>
          <w:sz w:val="24"/>
          <w:szCs w:val="24"/>
        </w:rPr>
      </w:pPr>
      <w:r>
        <w:rPr>
          <w:rFonts w:hint="eastAsia"/>
          <w:spacing w:val="-22"/>
          <w:sz w:val="24"/>
          <w:szCs w:val="24"/>
        </w:rPr>
        <w:t>严格按“产品采购程序”认真对材料供应商进行评定，去劣选优。设立安全资金专用帐户，保证工程款专款专用，决不将本工程款挪为他用。</w:t>
      </w:r>
    </w:p>
    <w:p w14:paraId="7C322D36">
      <w:pPr>
        <w:pStyle w:val="2"/>
        <w:spacing w:before="4" w:line="307" w:lineRule="auto"/>
        <w:ind w:left="1455" w:right="1356" w:firstLine="443"/>
        <w:jc w:val="both"/>
        <w:rPr>
          <w:rFonts w:hint="eastAsia"/>
          <w:spacing w:val="-22"/>
          <w:sz w:val="24"/>
          <w:szCs w:val="24"/>
        </w:rPr>
      </w:pPr>
      <w:r>
        <w:rPr>
          <w:rFonts w:hint="eastAsia"/>
          <w:spacing w:val="-22"/>
          <w:sz w:val="24"/>
          <w:szCs w:val="24"/>
        </w:rPr>
        <w:t>成本核算</w:t>
      </w:r>
    </w:p>
    <w:p w14:paraId="7B19BB02">
      <w:pPr>
        <w:pStyle w:val="2"/>
        <w:spacing w:before="4" w:line="307" w:lineRule="auto"/>
        <w:ind w:left="1455" w:right="1356" w:firstLine="443"/>
        <w:jc w:val="both"/>
        <w:rPr>
          <w:rFonts w:hint="eastAsia"/>
          <w:spacing w:val="-22"/>
          <w:sz w:val="24"/>
          <w:szCs w:val="24"/>
        </w:rPr>
      </w:pPr>
      <w:r>
        <w:rPr>
          <w:rFonts w:hint="eastAsia"/>
          <w:spacing w:val="-22"/>
          <w:sz w:val="24"/>
          <w:szCs w:val="24"/>
        </w:rPr>
        <w:t>我项目经理部根据国家财务制度和会计制度的有关规定，明确项目成本核算工作的原则和要求，建立相关的核算工作制度，设置必要的核算台帐，正确记录原始数据资料。</w:t>
      </w:r>
    </w:p>
    <w:p w14:paraId="4861E590">
      <w:pPr>
        <w:pStyle w:val="2"/>
        <w:spacing w:before="4" w:line="307" w:lineRule="auto"/>
        <w:ind w:left="1455" w:right="1356" w:firstLine="443"/>
        <w:jc w:val="both"/>
        <w:rPr>
          <w:rFonts w:hint="eastAsia"/>
          <w:spacing w:val="-22"/>
          <w:sz w:val="24"/>
          <w:szCs w:val="24"/>
        </w:rPr>
      </w:pPr>
      <w:r>
        <w:rPr>
          <w:rFonts w:hint="eastAsia"/>
          <w:spacing w:val="-22"/>
          <w:sz w:val="24"/>
          <w:szCs w:val="24"/>
        </w:rPr>
        <w:t>施工过程项目成本的核算，以每月为一核算期，在月末进行。核算对象宜按单位工程划分，与施工项目管理责任目标成本的界定范围相一致。施工产值及实际成本的归集，宜参照以下方法进行：</w:t>
      </w:r>
    </w:p>
    <w:p w14:paraId="33ABA62A">
      <w:pPr>
        <w:pStyle w:val="2"/>
        <w:spacing w:before="4" w:line="307" w:lineRule="auto"/>
        <w:ind w:left="1455" w:right="1356" w:firstLine="443"/>
        <w:jc w:val="both"/>
        <w:rPr>
          <w:rFonts w:hint="eastAsia"/>
          <w:spacing w:val="-22"/>
          <w:sz w:val="24"/>
          <w:szCs w:val="24"/>
        </w:rPr>
      </w:pPr>
      <w:r>
        <w:rPr>
          <w:rFonts w:hint="eastAsia"/>
          <w:spacing w:val="-22"/>
          <w:sz w:val="24"/>
          <w:szCs w:val="24"/>
        </w:rPr>
        <w:t>(a)材料费根据当月项目材料消耗和实际价格，计算当期消耗，计入工程成本；周转材料实行内部租赁制，按照当月租赁时间、数量、单价，计入工程成本。</w:t>
      </w:r>
    </w:p>
    <w:p w14:paraId="71B5584E">
      <w:pPr>
        <w:pStyle w:val="2"/>
        <w:spacing w:before="4" w:line="307" w:lineRule="auto"/>
        <w:ind w:left="1455" w:right="1356" w:firstLine="443"/>
        <w:jc w:val="both"/>
        <w:rPr>
          <w:rFonts w:hint="eastAsia"/>
          <w:spacing w:val="-22"/>
          <w:sz w:val="24"/>
          <w:szCs w:val="24"/>
        </w:rPr>
      </w:pPr>
      <w:r>
        <w:rPr>
          <w:rFonts w:hint="eastAsia"/>
          <w:spacing w:val="-22"/>
          <w:sz w:val="24"/>
          <w:szCs w:val="24"/>
        </w:rPr>
        <w:t>(b)其他直接费根据有关核算资料进行帐务处理，计入工程成本。</w:t>
      </w:r>
    </w:p>
    <w:p w14:paraId="370A02AE">
      <w:pPr>
        <w:pStyle w:val="2"/>
        <w:spacing w:before="4" w:line="307" w:lineRule="auto"/>
        <w:ind w:left="1455" w:right="1356" w:firstLine="443"/>
        <w:jc w:val="both"/>
        <w:rPr>
          <w:rFonts w:hint="eastAsia"/>
          <w:spacing w:val="-22"/>
          <w:sz w:val="24"/>
          <w:szCs w:val="24"/>
        </w:rPr>
      </w:pPr>
      <w:r>
        <w:rPr>
          <w:rFonts w:hint="eastAsia"/>
          <w:spacing w:val="-22"/>
          <w:sz w:val="24"/>
          <w:szCs w:val="24"/>
        </w:rPr>
        <w:t>(c)间接成本根据现场所发生的间接成本项目的有关资料，进行帐务处理，计入工程成本。</w:t>
      </w:r>
    </w:p>
    <w:p w14:paraId="21274367">
      <w:pPr>
        <w:pStyle w:val="2"/>
        <w:spacing w:before="4" w:line="307" w:lineRule="auto"/>
        <w:ind w:left="1455" w:right="1356" w:firstLine="443"/>
        <w:jc w:val="both"/>
        <w:rPr>
          <w:rFonts w:hint="eastAsia"/>
          <w:spacing w:val="-22"/>
          <w:sz w:val="24"/>
          <w:szCs w:val="24"/>
        </w:rPr>
      </w:pPr>
      <w:r>
        <w:rPr>
          <w:rFonts w:hint="eastAsia"/>
          <w:spacing w:val="-22"/>
          <w:sz w:val="24"/>
          <w:szCs w:val="24"/>
        </w:rPr>
        <w:t>（3）项目成本核算采取会计核算、统计核算和专业核算相结合的方法，做好以下几个方面的比较分析：</w:t>
      </w:r>
    </w:p>
    <w:p w14:paraId="7C0B9E63">
      <w:pPr>
        <w:pStyle w:val="2"/>
        <w:spacing w:before="4" w:line="307" w:lineRule="auto"/>
        <w:ind w:left="1455" w:right="1356" w:firstLine="443"/>
        <w:jc w:val="both"/>
        <w:rPr>
          <w:rFonts w:hint="eastAsia"/>
          <w:spacing w:val="-22"/>
          <w:sz w:val="24"/>
          <w:szCs w:val="24"/>
        </w:rPr>
      </w:pPr>
      <w:r>
        <w:rPr>
          <w:rFonts w:hint="eastAsia"/>
          <w:spacing w:val="-22"/>
          <w:sz w:val="24"/>
          <w:szCs w:val="24"/>
        </w:rPr>
        <w:t>(a)实际成本与责任目标成本的比较分析，以反映本期施工结果对实现相关责任目标成本的贡献或差距。</w:t>
      </w:r>
    </w:p>
    <w:p w14:paraId="2B968E83">
      <w:pPr>
        <w:pStyle w:val="2"/>
        <w:spacing w:before="4" w:line="307" w:lineRule="auto"/>
        <w:ind w:left="1455" w:right="1356" w:firstLine="443"/>
        <w:jc w:val="both"/>
        <w:rPr>
          <w:rFonts w:hint="eastAsia"/>
          <w:spacing w:val="-22"/>
          <w:sz w:val="24"/>
          <w:szCs w:val="24"/>
        </w:rPr>
      </w:pPr>
      <w:r>
        <w:rPr>
          <w:rFonts w:hint="eastAsia"/>
          <w:spacing w:val="-22"/>
          <w:sz w:val="24"/>
          <w:szCs w:val="24"/>
        </w:rPr>
        <w:t>(b)实际成本与计划目标成本的比较，以反映本期施工结果的成本节超状况。辅以统计核算和专业核算资料，写明成本节超环节和原因。</w:t>
      </w:r>
    </w:p>
    <w:p w14:paraId="38D82147">
      <w:pPr>
        <w:pStyle w:val="2"/>
        <w:spacing w:before="4" w:line="307" w:lineRule="auto"/>
        <w:ind w:left="1455" w:right="1356" w:firstLine="443"/>
        <w:jc w:val="both"/>
        <w:rPr>
          <w:rFonts w:hint="eastAsia"/>
          <w:spacing w:val="-22"/>
          <w:sz w:val="24"/>
          <w:szCs w:val="24"/>
        </w:rPr>
      </w:pPr>
      <w:r>
        <w:rPr>
          <w:rFonts w:hint="eastAsia"/>
          <w:spacing w:val="-22"/>
          <w:sz w:val="24"/>
          <w:szCs w:val="24"/>
        </w:rPr>
        <w:t>项目部在跟踪核算分析的基础上，编制月度项目成本报告，递交给企业主管部门检查、考核和指导。</w:t>
      </w:r>
    </w:p>
    <w:p w14:paraId="241C779B">
      <w:pPr>
        <w:pStyle w:val="2"/>
        <w:spacing w:before="4" w:line="307" w:lineRule="auto"/>
        <w:ind w:left="1455" w:right="1356" w:firstLine="443"/>
        <w:jc w:val="both"/>
        <w:rPr>
          <w:rFonts w:hint="eastAsia"/>
          <w:spacing w:val="-22"/>
          <w:sz w:val="24"/>
          <w:szCs w:val="24"/>
        </w:rPr>
      </w:pPr>
      <w:r>
        <w:rPr>
          <w:rFonts w:hint="eastAsia"/>
          <w:spacing w:val="-22"/>
          <w:sz w:val="24"/>
          <w:szCs w:val="24"/>
        </w:rPr>
        <w:t>项目部在每月跟踪核算分析的同时，根据分部分项成本的累计偏差和相应的计划目标成本余额，预测后期施工成本的变化趋势和状况；结合偏差原因分析总结经验，寻求改善成本状况的措施，通过下月施工计划的制订和付诸实施，促使施工成本在波动中总体上处于受控状况。</w:t>
      </w:r>
    </w:p>
    <w:p w14:paraId="6ACD005B">
      <w:pPr>
        <w:pStyle w:val="2"/>
        <w:spacing w:before="4" w:line="307" w:lineRule="auto"/>
        <w:ind w:left="1455" w:right="1356" w:firstLine="443"/>
        <w:jc w:val="both"/>
        <w:rPr>
          <w:rFonts w:hint="eastAsia"/>
          <w:spacing w:val="-22"/>
          <w:sz w:val="24"/>
          <w:szCs w:val="24"/>
        </w:rPr>
      </w:pPr>
      <w:r>
        <w:rPr>
          <w:rFonts w:hint="eastAsia"/>
          <w:spacing w:val="-22"/>
          <w:sz w:val="24"/>
          <w:szCs w:val="24"/>
        </w:rPr>
        <w:t>材料采购及使用上的节约措施</w:t>
      </w:r>
    </w:p>
    <w:p w14:paraId="089F08C2">
      <w:pPr>
        <w:pStyle w:val="2"/>
        <w:spacing w:before="4" w:line="307" w:lineRule="auto"/>
        <w:ind w:left="1455" w:right="1356" w:firstLine="443"/>
        <w:jc w:val="both"/>
        <w:rPr>
          <w:rFonts w:hint="eastAsia"/>
          <w:spacing w:val="-22"/>
          <w:sz w:val="24"/>
          <w:szCs w:val="24"/>
        </w:rPr>
      </w:pPr>
      <w:r>
        <w:rPr>
          <w:rFonts w:hint="eastAsia"/>
          <w:spacing w:val="-22"/>
          <w:sz w:val="24"/>
          <w:szCs w:val="24"/>
        </w:rPr>
        <w:t>把好材料采购、领用关，控制材料成本。</w:t>
      </w:r>
    </w:p>
    <w:p w14:paraId="3F6D17B9">
      <w:pPr>
        <w:pStyle w:val="2"/>
        <w:spacing w:before="4" w:line="307" w:lineRule="auto"/>
        <w:ind w:left="1455" w:right="1356" w:firstLine="443"/>
        <w:jc w:val="both"/>
        <w:rPr>
          <w:rFonts w:hint="eastAsia"/>
          <w:spacing w:val="-22"/>
          <w:sz w:val="24"/>
          <w:szCs w:val="24"/>
        </w:rPr>
      </w:pPr>
      <w:r>
        <w:rPr>
          <w:rFonts w:hint="eastAsia"/>
          <w:spacing w:val="-22"/>
          <w:sz w:val="24"/>
          <w:szCs w:val="24"/>
        </w:rPr>
        <w:t>严格控制材料的领用程序，仓库保管员按工料单发料，不见单不发料。成本核算人员（预结算员和财会）要按预算书编制材料采购计划、按行象进度计算材料理论用量、与实际进场材料进行及时比较，从中找出差值，并对此做出合理分析。对将有造计划用量可能的情况及时通报项目部，共同分析，共同做好材料成本控制工作。</w:t>
      </w:r>
    </w:p>
    <w:p w14:paraId="72C91B63">
      <w:pPr>
        <w:pStyle w:val="2"/>
        <w:spacing w:before="4" w:line="307" w:lineRule="auto"/>
        <w:ind w:left="1455" w:right="1356" w:firstLine="443"/>
        <w:jc w:val="both"/>
        <w:rPr>
          <w:rFonts w:hint="eastAsia"/>
          <w:spacing w:val="-22"/>
          <w:sz w:val="24"/>
          <w:szCs w:val="24"/>
        </w:rPr>
      </w:pPr>
      <w:r>
        <w:rPr>
          <w:rFonts w:hint="eastAsia"/>
          <w:spacing w:val="-22"/>
          <w:sz w:val="24"/>
          <w:szCs w:val="24"/>
        </w:rPr>
        <w:t>组织保证措施项目部内设一名技术员，负责图纸会审；资料收集和整理；工料单的核算；材料采购计划等工作。项目部两名项目副经理为施工负责人，负责施工组织设计的实施；劳动力的安排；质量、安全和进度的控制。下设施工员、质检员、安全员。项目部设财务负责人，负责本工程安全生产专项资金的专用、材料的采购、职工生活保障。项目部操作过程为：施工员下达施工任务书，统计员计算定额工和材料用量单（即工料单），由班组实施，施工、质检、安全员进行验收，并在工料单上签认，班组长上缴工料单至财务。在此过程中着重抓住各工种间上下工序的验收，坚持做到上道工序不合格下道工序不施工，做到一次性成优，减少返工，从而达到缩短工期的目的；质检员要做好技术工人的技术档案；资料员要及时做好相关资料；如发生质量、进度与计划不符要及时总结，找出原因，及时解决。但当进度、质量与安全相矛盾时一定要坚持安全第一的原则。</w:t>
      </w:r>
    </w:p>
    <w:p w14:paraId="2A8D5CAF">
      <w:pPr>
        <w:pStyle w:val="2"/>
        <w:spacing w:before="4" w:line="307" w:lineRule="auto"/>
        <w:ind w:left="1455" w:right="1356" w:firstLine="443"/>
        <w:jc w:val="both"/>
        <w:rPr>
          <w:rFonts w:hint="eastAsia"/>
          <w:spacing w:val="-22"/>
          <w:sz w:val="24"/>
          <w:szCs w:val="24"/>
        </w:rPr>
      </w:pPr>
      <w:r>
        <w:rPr>
          <w:rFonts w:hint="eastAsia"/>
          <w:spacing w:val="-22"/>
          <w:sz w:val="24"/>
          <w:szCs w:val="24"/>
        </w:rPr>
        <w:t>组织均衡施工,合理安排各阶段施工工期,搞好现场调度和协作配合,加强工期与成本优化结合。</w:t>
      </w:r>
    </w:p>
    <w:p w14:paraId="3C853DA8">
      <w:pPr>
        <w:pStyle w:val="2"/>
        <w:spacing w:before="4" w:line="307" w:lineRule="auto"/>
        <w:ind w:left="1455" w:right="1356" w:firstLine="443"/>
        <w:jc w:val="both"/>
        <w:rPr>
          <w:rFonts w:hint="eastAsia"/>
          <w:spacing w:val="-22"/>
          <w:sz w:val="24"/>
          <w:szCs w:val="24"/>
        </w:rPr>
      </w:pPr>
      <w:r>
        <w:rPr>
          <w:rFonts w:hint="eastAsia"/>
          <w:spacing w:val="-22"/>
          <w:sz w:val="24"/>
          <w:szCs w:val="24"/>
        </w:rPr>
        <w:t>改善劳动组织,合理配备劳动力,减少窝工浪费,提高劳动效率。加强技术培训,提高工人文化素质和技术操作水平。实行合理的工资奖金分配制度。</w:t>
      </w:r>
    </w:p>
    <w:p w14:paraId="3909F3F0">
      <w:pPr>
        <w:pStyle w:val="2"/>
        <w:spacing w:before="4" w:line="307" w:lineRule="auto"/>
        <w:ind w:left="1455" w:right="1356" w:firstLine="443"/>
        <w:jc w:val="both"/>
        <w:rPr>
          <w:rFonts w:hint="eastAsia"/>
          <w:spacing w:val="-22"/>
          <w:sz w:val="24"/>
          <w:szCs w:val="24"/>
        </w:rPr>
      </w:pPr>
      <w:r>
        <w:rPr>
          <w:rFonts w:hint="eastAsia"/>
          <w:spacing w:val="-22"/>
          <w:sz w:val="24"/>
          <w:szCs w:val="24"/>
        </w:rPr>
        <w:t>加强质量管理,制定技术质量检验制度,确保工程质量达预期目标,以降低质量成本增加质量奖励收入。</w:t>
      </w:r>
    </w:p>
    <w:p w14:paraId="2706907D">
      <w:pPr>
        <w:pStyle w:val="2"/>
        <w:spacing w:before="4" w:line="307" w:lineRule="auto"/>
        <w:ind w:left="1455" w:right="1356" w:firstLine="443"/>
        <w:jc w:val="both"/>
        <w:rPr>
          <w:rFonts w:hint="eastAsia"/>
          <w:spacing w:val="-22"/>
          <w:sz w:val="24"/>
          <w:szCs w:val="24"/>
        </w:rPr>
      </w:pPr>
      <w:r>
        <w:rPr>
          <w:rFonts w:hint="eastAsia"/>
          <w:spacing w:val="-22"/>
          <w:sz w:val="24"/>
          <w:szCs w:val="24"/>
        </w:rPr>
        <w:t>搞好机械设备保养维修,提高其完好率和使用效率。合理配置和正确使用周转材料机械设备,降低使用费用。</w:t>
      </w:r>
    </w:p>
    <w:p w14:paraId="17AF3724">
      <w:pPr>
        <w:pStyle w:val="2"/>
        <w:spacing w:before="4" w:line="307" w:lineRule="auto"/>
        <w:ind w:left="1455" w:right="1356" w:firstLine="443"/>
        <w:jc w:val="both"/>
        <w:rPr>
          <w:rFonts w:hint="eastAsia"/>
          <w:spacing w:val="-22"/>
          <w:sz w:val="24"/>
          <w:szCs w:val="24"/>
        </w:rPr>
      </w:pPr>
      <w:r>
        <w:rPr>
          <w:rFonts w:hint="eastAsia"/>
          <w:spacing w:val="-22"/>
          <w:sz w:val="24"/>
          <w:szCs w:val="24"/>
        </w:rPr>
        <w:t>改进材料采购运输收发保管等工作,材料采购实行货比三家,有条件的实行工程材料招标采购,选择质优价廉的材料,减少各环节损耗,节约库存费用,减少资金占用,对施工班组实行材料限额领用制度,材料节约按比例提成,材料透支从劳务款中扣除。</w:t>
      </w:r>
    </w:p>
    <w:p w14:paraId="11D89139">
      <w:pPr>
        <w:pStyle w:val="2"/>
        <w:spacing w:before="4" w:line="307" w:lineRule="auto"/>
        <w:ind w:left="1455" w:right="1356" w:firstLine="443"/>
        <w:jc w:val="both"/>
        <w:rPr>
          <w:rFonts w:hint="eastAsia"/>
          <w:spacing w:val="-22"/>
          <w:sz w:val="24"/>
          <w:szCs w:val="24"/>
        </w:rPr>
      </w:pPr>
      <w:r>
        <w:rPr>
          <w:rFonts w:hint="eastAsia"/>
          <w:spacing w:val="-22"/>
          <w:sz w:val="24"/>
          <w:szCs w:val="24"/>
        </w:rPr>
        <w:t>合理堆置材料,减少二次搬运,严格材料进场验收和限额领料制度,制订并贯彻节约材料的技术措施,合理使用材料。抓好周转材料的回收废料的综合利用,杜绝浪费。</w:t>
      </w:r>
    </w:p>
    <w:p w14:paraId="7F7EB569">
      <w:pPr>
        <w:pStyle w:val="2"/>
        <w:spacing w:before="4" w:line="307" w:lineRule="auto"/>
        <w:ind w:left="1455" w:right="1356" w:firstLine="443"/>
        <w:jc w:val="both"/>
        <w:rPr>
          <w:rFonts w:hint="eastAsia"/>
          <w:spacing w:val="-22"/>
          <w:sz w:val="24"/>
          <w:szCs w:val="24"/>
        </w:rPr>
      </w:pPr>
      <w:r>
        <w:rPr>
          <w:rFonts w:hint="eastAsia"/>
          <w:spacing w:val="-22"/>
          <w:sz w:val="24"/>
          <w:szCs w:val="24"/>
        </w:rPr>
        <w:t>精简管理机构,减少管理层次,严格控制非生产人员比例,减少非生产费用开支。实行费用的定额管理,制订各部门定额指标,节约开支。</w:t>
      </w:r>
    </w:p>
    <w:p w14:paraId="55D20D21">
      <w:pPr>
        <w:pStyle w:val="2"/>
        <w:spacing w:before="4" w:line="307" w:lineRule="auto"/>
        <w:ind w:left="1455" w:right="1356" w:firstLine="443"/>
        <w:jc w:val="both"/>
        <w:rPr>
          <w:rFonts w:hint="eastAsia"/>
          <w:spacing w:val="-22"/>
          <w:sz w:val="24"/>
          <w:szCs w:val="24"/>
        </w:rPr>
      </w:pPr>
      <w:r>
        <w:rPr>
          <w:rFonts w:hint="eastAsia"/>
          <w:spacing w:val="-22"/>
          <w:sz w:val="24"/>
          <w:szCs w:val="24"/>
        </w:rPr>
        <w:t>四、实行成本控制和核算责任制项目经理全面负责项目成本控制工作。</w:t>
      </w:r>
    </w:p>
    <w:p w14:paraId="152C1EB8">
      <w:pPr>
        <w:pStyle w:val="2"/>
        <w:spacing w:before="4" w:line="307" w:lineRule="auto"/>
        <w:ind w:left="1455" w:right="1356" w:firstLine="443"/>
        <w:jc w:val="both"/>
        <w:rPr>
          <w:rFonts w:hint="eastAsia"/>
          <w:spacing w:val="-22"/>
          <w:sz w:val="24"/>
          <w:szCs w:val="24"/>
        </w:rPr>
      </w:pPr>
      <w:r>
        <w:rPr>
          <w:rFonts w:hint="eastAsia"/>
          <w:spacing w:val="-22"/>
          <w:sz w:val="24"/>
          <w:szCs w:val="24"/>
        </w:rPr>
        <w:t>负责成本预测决策工作,主持制订审核项目目标成本,组织措施计划,建立项目成本控制责任体系,与各职能部门专业队签订成本承包责任状,并监督执行。</w:t>
      </w:r>
    </w:p>
    <w:p w14:paraId="6F7C158E">
      <w:pPr>
        <w:pStyle w:val="2"/>
        <w:spacing w:before="4" w:line="307" w:lineRule="auto"/>
        <w:ind w:left="1455" w:right="1356" w:firstLine="443"/>
        <w:jc w:val="both"/>
        <w:rPr>
          <w:rFonts w:hint="eastAsia"/>
          <w:spacing w:val="-22"/>
          <w:sz w:val="24"/>
          <w:szCs w:val="24"/>
        </w:rPr>
      </w:pPr>
      <w:r>
        <w:rPr>
          <w:rFonts w:hint="eastAsia"/>
          <w:spacing w:val="-22"/>
          <w:sz w:val="24"/>
          <w:szCs w:val="24"/>
        </w:rPr>
        <w:t>预算及财务管理预测项目成本,编制项目成本计划,进行成本计划的综合平衡。</w:t>
      </w:r>
    </w:p>
    <w:p w14:paraId="63619AD9">
      <w:pPr>
        <w:pStyle w:val="2"/>
        <w:spacing w:before="4" w:line="307" w:lineRule="auto"/>
        <w:ind w:left="1455" w:right="1356" w:firstLine="443"/>
        <w:jc w:val="both"/>
        <w:rPr>
          <w:rFonts w:hint="eastAsia"/>
          <w:spacing w:val="-22"/>
          <w:sz w:val="24"/>
          <w:szCs w:val="24"/>
        </w:rPr>
      </w:pPr>
      <w:r>
        <w:rPr>
          <w:rFonts w:hint="eastAsia"/>
          <w:spacing w:val="-22"/>
          <w:sz w:val="24"/>
          <w:szCs w:val="24"/>
        </w:rPr>
        <w:t>根据施工需要,平衡调度资金,控制资金使用。</w:t>
      </w:r>
    </w:p>
    <w:p w14:paraId="1CC86ECC">
      <w:pPr>
        <w:pStyle w:val="2"/>
        <w:spacing w:before="4" w:line="307" w:lineRule="auto"/>
        <w:ind w:left="1455" w:right="1356" w:firstLine="443"/>
        <w:jc w:val="both"/>
        <w:rPr>
          <w:rFonts w:hint="eastAsia"/>
          <w:spacing w:val="-22"/>
          <w:sz w:val="24"/>
          <w:szCs w:val="24"/>
        </w:rPr>
      </w:pPr>
      <w:r>
        <w:rPr>
          <w:rFonts w:hint="eastAsia"/>
          <w:spacing w:val="-22"/>
          <w:sz w:val="24"/>
          <w:szCs w:val="24"/>
        </w:rPr>
        <w:t>按照成本开支范围费用支出标准等有关财务制度,严格审核各项成本费用,控制成本支出。</w:t>
      </w:r>
    </w:p>
    <w:p w14:paraId="44784623">
      <w:pPr>
        <w:pStyle w:val="2"/>
        <w:spacing w:before="4" w:line="307" w:lineRule="auto"/>
        <w:ind w:left="1455" w:right="1356" w:firstLine="443"/>
        <w:jc w:val="both"/>
        <w:rPr>
          <w:rFonts w:hint="eastAsia"/>
          <w:spacing w:val="-22"/>
          <w:sz w:val="24"/>
          <w:szCs w:val="24"/>
        </w:rPr>
      </w:pPr>
      <w:r>
        <w:rPr>
          <w:rFonts w:hint="eastAsia"/>
          <w:spacing w:val="-22"/>
          <w:sz w:val="24"/>
          <w:szCs w:val="24"/>
        </w:rPr>
        <w:t>对施工中出现成本亏损,视情节给予黄牌或红牌警告。</w:t>
      </w:r>
    </w:p>
    <w:p w14:paraId="5B479178">
      <w:pPr>
        <w:pStyle w:val="2"/>
        <w:spacing w:before="4" w:line="307" w:lineRule="auto"/>
        <w:ind w:left="1455" w:right="1356" w:firstLine="443"/>
        <w:jc w:val="both"/>
        <w:rPr>
          <w:rFonts w:hint="eastAsia"/>
          <w:spacing w:val="-22"/>
          <w:sz w:val="24"/>
          <w:szCs w:val="24"/>
        </w:rPr>
      </w:pPr>
      <w:r>
        <w:rPr>
          <w:rFonts w:hint="eastAsia"/>
          <w:spacing w:val="-22"/>
          <w:sz w:val="24"/>
          <w:szCs w:val="24"/>
        </w:rPr>
        <w:t>对成本进行分部分项分阶段的核算与考核分析,发现问题及时调整成本计划,并制定相应控制措施。</w:t>
      </w:r>
    </w:p>
    <w:p w14:paraId="2E4BA069">
      <w:pPr>
        <w:pStyle w:val="2"/>
        <w:spacing w:before="4" w:line="307" w:lineRule="auto"/>
        <w:ind w:left="1455" w:right="1356" w:firstLine="443"/>
        <w:jc w:val="both"/>
        <w:rPr>
          <w:rFonts w:hint="eastAsia"/>
          <w:spacing w:val="-22"/>
          <w:sz w:val="24"/>
          <w:szCs w:val="24"/>
        </w:rPr>
      </w:pPr>
      <w:r>
        <w:rPr>
          <w:rFonts w:hint="eastAsia"/>
          <w:spacing w:val="-22"/>
          <w:sz w:val="24"/>
          <w:szCs w:val="24"/>
        </w:rPr>
        <w:t>工程技术质量管理编制项目的技术组织措施计划,提出有效的技术节约,降低成本措施,合理规划布置现场,保证工程质量,降低质量成本,避免返工损失。</w:t>
      </w:r>
    </w:p>
    <w:p w14:paraId="41159784">
      <w:pPr>
        <w:pStyle w:val="2"/>
        <w:spacing w:before="4" w:line="307" w:lineRule="auto"/>
        <w:ind w:left="1455" w:right="1356" w:firstLine="443"/>
        <w:jc w:val="both"/>
        <w:rPr>
          <w:rFonts w:hint="eastAsia"/>
          <w:spacing w:val="-22"/>
          <w:sz w:val="24"/>
          <w:szCs w:val="24"/>
        </w:rPr>
      </w:pPr>
      <w:r>
        <w:rPr>
          <w:rFonts w:hint="eastAsia"/>
          <w:spacing w:val="-22"/>
          <w:sz w:val="24"/>
          <w:szCs w:val="24"/>
        </w:rPr>
        <w:t>严格施工安全控制,确保安全生产,减少事故损失。加强技术管理,进行技术革新。</w:t>
      </w:r>
    </w:p>
    <w:p w14:paraId="55F3407D">
      <w:pPr>
        <w:pStyle w:val="2"/>
        <w:spacing w:before="4" w:line="307" w:lineRule="auto"/>
        <w:ind w:left="1455" w:right="1356" w:firstLine="443"/>
        <w:jc w:val="both"/>
        <w:rPr>
          <w:rFonts w:hint="eastAsia"/>
          <w:spacing w:val="-22"/>
          <w:sz w:val="24"/>
          <w:szCs w:val="24"/>
        </w:rPr>
      </w:pPr>
      <w:r>
        <w:rPr>
          <w:rFonts w:hint="eastAsia"/>
          <w:spacing w:val="-22"/>
          <w:sz w:val="24"/>
          <w:szCs w:val="24"/>
        </w:rPr>
        <w:t>大力加强科技推广应用,努力提高劳动生产率,降低成本。</w:t>
      </w:r>
    </w:p>
    <w:p w14:paraId="4A3FE8C4">
      <w:pPr>
        <w:pStyle w:val="2"/>
        <w:spacing w:before="4" w:line="307" w:lineRule="auto"/>
        <w:ind w:left="1455" w:right="1356" w:firstLine="443"/>
        <w:jc w:val="both"/>
        <w:rPr>
          <w:rFonts w:hint="eastAsia"/>
          <w:spacing w:val="-22"/>
          <w:sz w:val="24"/>
          <w:szCs w:val="24"/>
        </w:rPr>
      </w:pPr>
      <w:r>
        <w:rPr>
          <w:rFonts w:hint="eastAsia"/>
          <w:spacing w:val="-22"/>
          <w:sz w:val="24"/>
          <w:szCs w:val="24"/>
        </w:rPr>
        <w:t>积极开展小组活动,严把质量关,通过质量管理提高劳动生产率。</w:t>
      </w:r>
    </w:p>
    <w:p w14:paraId="277746A0">
      <w:pPr>
        <w:pStyle w:val="2"/>
        <w:spacing w:before="4" w:line="307" w:lineRule="auto"/>
        <w:ind w:left="1455" w:right="1356" w:firstLine="443"/>
        <w:jc w:val="both"/>
        <w:rPr>
          <w:rFonts w:hint="eastAsia"/>
          <w:spacing w:val="-22"/>
          <w:sz w:val="24"/>
          <w:szCs w:val="24"/>
        </w:rPr>
      </w:pPr>
      <w:r>
        <w:rPr>
          <w:rFonts w:hint="eastAsia"/>
          <w:spacing w:val="-22"/>
          <w:sz w:val="24"/>
          <w:szCs w:val="24"/>
        </w:rPr>
        <w:t>材料管理控制合理组织和使用材料,材料费用占工程造价的%左右合理组织与使用材料是降低工程成本的重要因素。</w:t>
      </w:r>
    </w:p>
    <w:p w14:paraId="0586515C">
      <w:pPr>
        <w:pStyle w:val="2"/>
        <w:spacing w:before="4" w:line="307" w:lineRule="auto"/>
        <w:ind w:left="1455" w:right="1356" w:firstLine="443"/>
        <w:jc w:val="both"/>
        <w:rPr>
          <w:rFonts w:hint="eastAsia"/>
          <w:spacing w:val="-22"/>
          <w:sz w:val="24"/>
          <w:szCs w:val="24"/>
        </w:rPr>
      </w:pPr>
      <w:r>
        <w:rPr>
          <w:rFonts w:hint="eastAsia"/>
          <w:spacing w:val="-22"/>
          <w:sz w:val="24"/>
          <w:szCs w:val="24"/>
        </w:rPr>
        <w:t>从选材采购运输仓储安装就位,每一步都要严格遵照工作标准执行。</w:t>
      </w:r>
    </w:p>
    <w:p w14:paraId="5DFC028A">
      <w:pPr>
        <w:pStyle w:val="2"/>
        <w:spacing w:before="4" w:line="307" w:lineRule="auto"/>
        <w:ind w:left="1455" w:right="1356" w:firstLine="443"/>
        <w:jc w:val="both"/>
        <w:rPr>
          <w:rFonts w:hint="eastAsia"/>
          <w:spacing w:val="-22"/>
          <w:sz w:val="24"/>
          <w:szCs w:val="24"/>
        </w:rPr>
      </w:pPr>
      <w:r>
        <w:rPr>
          <w:rFonts w:hint="eastAsia"/>
          <w:spacing w:val="-22"/>
          <w:sz w:val="24"/>
          <w:szCs w:val="24"/>
        </w:rPr>
        <w:t>a选材在满足设计要求与安全指标的情况下,选用物美价廉的材料。</w:t>
      </w:r>
    </w:p>
    <w:p w14:paraId="11462497">
      <w:pPr>
        <w:pStyle w:val="2"/>
        <w:spacing w:before="4" w:line="307" w:lineRule="auto"/>
        <w:ind w:left="1455" w:right="1356" w:firstLine="443"/>
        <w:jc w:val="both"/>
        <w:rPr>
          <w:rFonts w:hint="eastAsia"/>
          <w:spacing w:val="-22"/>
          <w:sz w:val="24"/>
          <w:szCs w:val="24"/>
        </w:rPr>
      </w:pPr>
      <w:r>
        <w:rPr>
          <w:rFonts w:hint="eastAsia"/>
          <w:spacing w:val="-22"/>
          <w:sz w:val="24"/>
          <w:szCs w:val="24"/>
        </w:rPr>
        <w:t>b采购在选定了材料的品牌和规格后,对供应商进行多家比较考察做到货比三家。</w:t>
      </w:r>
    </w:p>
    <w:p w14:paraId="4EFA285D">
      <w:pPr>
        <w:pStyle w:val="2"/>
        <w:spacing w:before="4" w:line="307" w:lineRule="auto"/>
        <w:ind w:left="1455" w:right="1356" w:firstLine="443"/>
        <w:jc w:val="both"/>
        <w:rPr>
          <w:rFonts w:hint="eastAsia"/>
          <w:spacing w:val="-22"/>
          <w:sz w:val="24"/>
          <w:szCs w:val="24"/>
        </w:rPr>
      </w:pPr>
      <w:r>
        <w:rPr>
          <w:rFonts w:hint="eastAsia"/>
          <w:spacing w:val="-22"/>
          <w:sz w:val="24"/>
          <w:szCs w:val="24"/>
        </w:rPr>
        <w:t>c运输根据材料的性能,合理包装选择运输工具,以降低运输损耗。</w:t>
      </w:r>
    </w:p>
    <w:p w14:paraId="47C564F2">
      <w:pPr>
        <w:pStyle w:val="2"/>
        <w:spacing w:before="4" w:line="307" w:lineRule="auto"/>
        <w:ind w:left="1455" w:right="1356" w:firstLine="443"/>
        <w:jc w:val="both"/>
        <w:rPr>
          <w:rFonts w:hint="eastAsia"/>
          <w:spacing w:val="-22"/>
          <w:sz w:val="24"/>
          <w:szCs w:val="24"/>
        </w:rPr>
      </w:pPr>
      <w:r>
        <w:rPr>
          <w:rFonts w:hint="eastAsia"/>
          <w:spacing w:val="-22"/>
          <w:sz w:val="24"/>
          <w:szCs w:val="24"/>
        </w:rPr>
        <w:t>d仓储根据施工进度合理组织材料进场,以减少仓储面积和存放时间并根据材料性能进行堆放。</w:t>
      </w:r>
    </w:p>
    <w:p w14:paraId="28B82425">
      <w:pPr>
        <w:pStyle w:val="2"/>
        <w:spacing w:before="4" w:line="307" w:lineRule="auto"/>
        <w:ind w:left="1455" w:right="1356" w:firstLine="443"/>
        <w:jc w:val="both"/>
        <w:rPr>
          <w:rFonts w:hint="eastAsia"/>
          <w:spacing w:val="-22"/>
          <w:sz w:val="24"/>
          <w:szCs w:val="24"/>
        </w:rPr>
      </w:pPr>
      <w:r>
        <w:rPr>
          <w:rFonts w:hint="eastAsia"/>
          <w:spacing w:val="-22"/>
          <w:sz w:val="24"/>
          <w:szCs w:val="24"/>
        </w:rPr>
        <w:t>e安装:材料安装前对多个施工方案进行比较,达到合理使用材料之目的编制降低材料成本措施计划,控制材料采购成本,合理安排储备,降低材料管理损耗,减少资金占用,严格管理进料验收,限额领料,做好周转材料回收利用。做好材料收发存台账记录,提供材料耗用报表,考核材料实际消耗。</w:t>
      </w:r>
    </w:p>
    <w:p w14:paraId="6C493A53">
      <w:pPr>
        <w:pStyle w:val="2"/>
        <w:spacing w:before="4" w:line="307" w:lineRule="auto"/>
        <w:ind w:left="1455" w:right="1356" w:firstLine="443"/>
        <w:jc w:val="both"/>
        <w:rPr>
          <w:rFonts w:hint="eastAsia"/>
          <w:spacing w:val="-22"/>
          <w:sz w:val="24"/>
          <w:szCs w:val="24"/>
        </w:rPr>
      </w:pPr>
      <w:r>
        <w:rPr>
          <w:rFonts w:hint="eastAsia"/>
          <w:spacing w:val="-22"/>
          <w:sz w:val="24"/>
          <w:szCs w:val="24"/>
        </w:rPr>
        <w:t>后勤管理编制管理费用节约计划。</w:t>
      </w:r>
    </w:p>
    <w:p w14:paraId="2F9F62A6">
      <w:pPr>
        <w:pStyle w:val="2"/>
        <w:spacing w:before="4" w:line="307" w:lineRule="auto"/>
        <w:ind w:left="1455" w:right="1356" w:firstLine="443"/>
        <w:jc w:val="both"/>
        <w:rPr>
          <w:rFonts w:hint="eastAsia"/>
          <w:spacing w:val="-22"/>
          <w:sz w:val="24"/>
          <w:szCs w:val="24"/>
        </w:rPr>
      </w:pPr>
      <w:r>
        <w:rPr>
          <w:rFonts w:hint="eastAsia"/>
          <w:spacing w:val="-22"/>
          <w:sz w:val="24"/>
          <w:szCs w:val="24"/>
        </w:rPr>
        <w:t>合理精简项目管理人员,服务人员,节约工资性支出。</w:t>
      </w:r>
    </w:p>
    <w:p w14:paraId="681F5996">
      <w:pPr>
        <w:pStyle w:val="2"/>
        <w:spacing w:before="4" w:line="307" w:lineRule="auto"/>
        <w:ind w:left="1455" w:right="1356" w:firstLine="443"/>
        <w:jc w:val="both"/>
        <w:rPr>
          <w:rFonts w:hint="eastAsia"/>
          <w:spacing w:val="-22"/>
          <w:sz w:val="24"/>
          <w:szCs w:val="24"/>
        </w:rPr>
      </w:pPr>
      <w:r>
        <w:rPr>
          <w:rFonts w:hint="eastAsia"/>
          <w:spacing w:val="-22"/>
          <w:sz w:val="24"/>
          <w:szCs w:val="24"/>
        </w:rPr>
        <w:t>执行费用开支标准和有关财务制度,控制非生产性开支,管好行政办公用财产物资,防止损坏和流失。</w:t>
      </w:r>
    </w:p>
    <w:p w14:paraId="47725CFF">
      <w:pPr>
        <w:pStyle w:val="2"/>
        <w:spacing w:before="4" w:line="307" w:lineRule="auto"/>
        <w:ind w:left="1455" w:right="1356" w:firstLine="443"/>
        <w:jc w:val="both"/>
        <w:rPr>
          <w:rFonts w:hint="eastAsia"/>
          <w:spacing w:val="-22"/>
          <w:sz w:val="24"/>
          <w:szCs w:val="24"/>
        </w:rPr>
      </w:pPr>
      <w:r>
        <w:rPr>
          <w:rFonts w:hint="eastAsia"/>
          <w:spacing w:val="-22"/>
          <w:sz w:val="24"/>
          <w:szCs w:val="24"/>
        </w:rPr>
        <w:t>人工工资管理实行劳务招标制度,选择价格合理资信可靠的劳务队伍,及时签订劳务合同。</w:t>
      </w:r>
    </w:p>
    <w:p w14:paraId="11229A14">
      <w:pPr>
        <w:pStyle w:val="2"/>
        <w:spacing w:before="4" w:line="307" w:lineRule="auto"/>
        <w:ind w:left="1455" w:right="1356" w:firstLine="443"/>
        <w:jc w:val="both"/>
        <w:rPr>
          <w:rFonts w:hint="eastAsia"/>
          <w:spacing w:val="-22"/>
          <w:sz w:val="24"/>
          <w:szCs w:val="24"/>
        </w:rPr>
      </w:pPr>
      <w:r>
        <w:rPr>
          <w:rFonts w:hint="eastAsia"/>
          <w:spacing w:val="-22"/>
          <w:sz w:val="24"/>
          <w:szCs w:val="24"/>
        </w:rPr>
        <w:t>中标的劳务单价作为合同价,不得随意增加,在施工中严格控制点工的发生,按月结算劳务费用。</w:t>
      </w:r>
    </w:p>
    <w:p w14:paraId="3D90567C">
      <w:pPr>
        <w:pStyle w:val="2"/>
        <w:spacing w:before="4" w:line="307" w:lineRule="auto"/>
        <w:ind w:left="1455" w:right="1356" w:firstLine="443"/>
        <w:jc w:val="both"/>
        <w:rPr>
          <w:rFonts w:hint="eastAsia"/>
          <w:spacing w:val="-22"/>
          <w:sz w:val="24"/>
          <w:szCs w:val="24"/>
        </w:rPr>
      </w:pPr>
      <w:r>
        <w:rPr>
          <w:rFonts w:hint="eastAsia"/>
          <w:spacing w:val="-22"/>
          <w:sz w:val="24"/>
          <w:szCs w:val="24"/>
        </w:rPr>
        <w:t>劳资物品保证措施采购足够的劳动防护用品（安全帽、安全带等），确保职工的安全防护；采购足够的灭火装置（干粉灭火器、黄砂等），确保工程出现危情及时扑救；采购足够的安全防护设备，确保安全防护落实到位。</w:t>
      </w:r>
    </w:p>
    <w:p w14:paraId="028DA6A3">
      <w:pPr>
        <w:pStyle w:val="2"/>
        <w:spacing w:before="4" w:line="307" w:lineRule="auto"/>
        <w:ind w:left="1455" w:right="1356" w:firstLine="443"/>
        <w:jc w:val="both"/>
        <w:rPr>
          <w:rFonts w:hint="eastAsia"/>
          <w:spacing w:val="-22"/>
          <w:sz w:val="24"/>
          <w:szCs w:val="24"/>
        </w:rPr>
      </w:pPr>
      <w:r>
        <w:rPr>
          <w:rFonts w:hint="eastAsia"/>
          <w:spacing w:val="-22"/>
          <w:sz w:val="24"/>
          <w:szCs w:val="24"/>
        </w:rPr>
        <w:t>安全生产费用的提取安全生产费用严格按照规定标准提取，在成本中列支，专门用于完善和改进企业安全生产条件的资金。</w:t>
      </w:r>
    </w:p>
    <w:p w14:paraId="4B6A6C8C">
      <w:pPr>
        <w:pStyle w:val="2"/>
        <w:spacing w:before="4" w:line="307" w:lineRule="auto"/>
        <w:ind w:left="1455" w:right="1356" w:firstLine="443"/>
        <w:jc w:val="both"/>
        <w:rPr>
          <w:rFonts w:hint="eastAsia"/>
          <w:spacing w:val="-22"/>
          <w:sz w:val="24"/>
          <w:szCs w:val="24"/>
        </w:rPr>
      </w:pPr>
      <w:r>
        <w:rPr>
          <w:rFonts w:hint="eastAsia"/>
          <w:spacing w:val="-22"/>
          <w:sz w:val="24"/>
          <w:szCs w:val="24"/>
        </w:rPr>
        <w:t>安全生产费用的使用范围</w:t>
      </w:r>
    </w:p>
    <w:p w14:paraId="0B67E7D1">
      <w:pPr>
        <w:pStyle w:val="2"/>
        <w:spacing w:before="4" w:line="307" w:lineRule="auto"/>
        <w:ind w:left="1455" w:right="1356" w:firstLine="443"/>
        <w:jc w:val="both"/>
        <w:rPr>
          <w:rFonts w:hint="eastAsia"/>
          <w:spacing w:val="-22"/>
          <w:sz w:val="24"/>
          <w:szCs w:val="24"/>
        </w:rPr>
      </w:pPr>
      <w:r>
        <w:rPr>
          <w:rFonts w:hint="eastAsia"/>
          <w:spacing w:val="-22"/>
          <w:sz w:val="24"/>
          <w:szCs w:val="24"/>
        </w:rPr>
        <w:t>完善、改造和维护安全防护设备、设施支出。</w:t>
      </w:r>
    </w:p>
    <w:p w14:paraId="72FCF6E9">
      <w:pPr>
        <w:pStyle w:val="2"/>
        <w:spacing w:before="4" w:line="307" w:lineRule="auto"/>
        <w:ind w:left="1455" w:right="1356" w:firstLine="443"/>
        <w:jc w:val="both"/>
        <w:rPr>
          <w:rFonts w:hint="eastAsia"/>
          <w:spacing w:val="-22"/>
          <w:sz w:val="24"/>
          <w:szCs w:val="24"/>
        </w:rPr>
      </w:pPr>
      <w:r>
        <w:rPr>
          <w:rFonts w:hint="eastAsia"/>
          <w:spacing w:val="-22"/>
          <w:sz w:val="24"/>
          <w:szCs w:val="24"/>
        </w:rPr>
        <w:t>配备必要的应急救援器材、设备和现场作业人员安全防护物品支出。</w:t>
      </w:r>
    </w:p>
    <w:p w14:paraId="79630A98">
      <w:pPr>
        <w:pStyle w:val="2"/>
        <w:spacing w:before="4" w:line="307" w:lineRule="auto"/>
        <w:ind w:left="1455" w:right="1356" w:firstLine="443"/>
        <w:jc w:val="both"/>
        <w:rPr>
          <w:rFonts w:hint="eastAsia"/>
          <w:spacing w:val="-22"/>
          <w:sz w:val="24"/>
          <w:szCs w:val="24"/>
        </w:rPr>
      </w:pPr>
      <w:r>
        <w:rPr>
          <w:rFonts w:hint="eastAsia"/>
          <w:spacing w:val="-22"/>
          <w:sz w:val="24"/>
          <w:szCs w:val="24"/>
        </w:rPr>
        <w:t>安全生产检查与评价支出。</w:t>
      </w:r>
    </w:p>
    <w:p w14:paraId="1FC0A576">
      <w:pPr>
        <w:pStyle w:val="2"/>
        <w:spacing w:before="4" w:line="307" w:lineRule="auto"/>
        <w:ind w:left="1455" w:right="1356" w:firstLine="443"/>
        <w:jc w:val="both"/>
        <w:rPr>
          <w:rFonts w:hint="eastAsia"/>
          <w:spacing w:val="-22"/>
          <w:sz w:val="24"/>
          <w:szCs w:val="24"/>
        </w:rPr>
      </w:pPr>
      <w:r>
        <w:rPr>
          <w:rFonts w:hint="eastAsia"/>
          <w:spacing w:val="-22"/>
          <w:sz w:val="24"/>
          <w:szCs w:val="24"/>
        </w:rPr>
        <w:t>重大危险源、重大事故隐患的评估、整改、监控支出。</w:t>
      </w:r>
    </w:p>
    <w:p w14:paraId="264A0728">
      <w:pPr>
        <w:pStyle w:val="2"/>
        <w:spacing w:before="4" w:line="307" w:lineRule="auto"/>
        <w:ind w:left="1455" w:right="1356" w:firstLine="443"/>
        <w:jc w:val="both"/>
        <w:rPr>
          <w:rFonts w:hint="eastAsia"/>
          <w:spacing w:val="-22"/>
          <w:sz w:val="24"/>
          <w:szCs w:val="24"/>
        </w:rPr>
      </w:pPr>
      <w:r>
        <w:rPr>
          <w:rFonts w:hint="eastAsia"/>
          <w:spacing w:val="-22"/>
          <w:sz w:val="24"/>
          <w:szCs w:val="24"/>
        </w:rPr>
        <w:t>安全技能培训及进行应急救援演练支出。</w:t>
      </w:r>
    </w:p>
    <w:p w14:paraId="2CE7225B">
      <w:pPr>
        <w:pStyle w:val="2"/>
        <w:spacing w:before="4" w:line="307" w:lineRule="auto"/>
        <w:ind w:left="1455" w:right="1356" w:firstLine="443"/>
        <w:jc w:val="both"/>
        <w:rPr>
          <w:rFonts w:hint="eastAsia"/>
          <w:spacing w:val="-22"/>
          <w:sz w:val="24"/>
          <w:szCs w:val="24"/>
        </w:rPr>
      </w:pPr>
      <w:r>
        <w:rPr>
          <w:rFonts w:hint="eastAsia"/>
          <w:spacing w:val="-22"/>
          <w:sz w:val="24"/>
          <w:szCs w:val="24"/>
        </w:rPr>
        <w:t>安全设施、特种设备的检测、校验。</w:t>
      </w:r>
    </w:p>
    <w:p w14:paraId="4823C267">
      <w:pPr>
        <w:pStyle w:val="2"/>
        <w:spacing w:before="4" w:line="307" w:lineRule="auto"/>
        <w:ind w:left="1455" w:right="1356" w:firstLine="443"/>
        <w:jc w:val="both"/>
        <w:rPr>
          <w:rFonts w:hint="eastAsia"/>
          <w:spacing w:val="-22"/>
          <w:sz w:val="24"/>
          <w:szCs w:val="24"/>
        </w:rPr>
      </w:pPr>
      <w:r>
        <w:rPr>
          <w:rFonts w:hint="eastAsia"/>
          <w:spacing w:val="-22"/>
          <w:sz w:val="24"/>
          <w:szCs w:val="24"/>
        </w:rPr>
        <w:t>其他与安全生产直接相关的支出。</w:t>
      </w:r>
    </w:p>
    <w:p w14:paraId="7901C795">
      <w:pPr>
        <w:pStyle w:val="2"/>
        <w:spacing w:before="4" w:line="307" w:lineRule="auto"/>
        <w:ind w:left="1455" w:right="1356" w:firstLine="443"/>
        <w:jc w:val="both"/>
        <w:rPr>
          <w:rFonts w:hint="eastAsia"/>
          <w:spacing w:val="-22"/>
          <w:sz w:val="24"/>
          <w:szCs w:val="24"/>
        </w:rPr>
      </w:pPr>
      <w:r>
        <w:rPr>
          <w:rFonts w:hint="eastAsia"/>
          <w:spacing w:val="-22"/>
          <w:sz w:val="24"/>
          <w:szCs w:val="24"/>
        </w:rPr>
        <w:t>安全生产费用的使用</w:t>
      </w:r>
    </w:p>
    <w:p w14:paraId="7E96642A">
      <w:pPr>
        <w:pStyle w:val="2"/>
        <w:spacing w:before="4" w:line="307" w:lineRule="auto"/>
        <w:ind w:left="1455" w:right="1356" w:firstLine="443"/>
        <w:jc w:val="both"/>
        <w:rPr>
          <w:rFonts w:hint="eastAsia"/>
          <w:spacing w:val="-22"/>
          <w:sz w:val="24"/>
          <w:szCs w:val="24"/>
        </w:rPr>
      </w:pPr>
      <w:r>
        <w:rPr>
          <w:rFonts w:hint="eastAsia"/>
          <w:spacing w:val="-22"/>
          <w:sz w:val="24"/>
          <w:szCs w:val="24"/>
        </w:rPr>
        <w:t>财务部每月月初向安质部处报送安全费用的提取数额，安全总监负责对安全费用的使用进行审批，凡包括上述范围内的所有支出均可从安全生产费用中列支。使用安全费用时必须经安全总监审批签字后，方可交财务部办理使用手续。</w:t>
      </w:r>
    </w:p>
    <w:p w14:paraId="149F55D4">
      <w:pPr>
        <w:pStyle w:val="2"/>
        <w:spacing w:before="4" w:line="307" w:lineRule="auto"/>
        <w:ind w:left="1455" w:right="1356" w:firstLine="443"/>
        <w:jc w:val="both"/>
        <w:rPr>
          <w:spacing w:val="-22"/>
          <w:sz w:val="24"/>
          <w:szCs w:val="24"/>
        </w:rPr>
      </w:pPr>
      <w:r>
        <w:rPr>
          <w:rFonts w:hint="eastAsia"/>
          <w:spacing w:val="-22"/>
          <w:sz w:val="24"/>
          <w:szCs w:val="24"/>
        </w:rPr>
        <w:t>安质部负责对安全费用的提取和使用建立台帐，并同时负责向上级部门报送安全费用统计报表及其他要求报送的资料</w:t>
      </w:r>
    </w:p>
    <w:p w14:paraId="691DF8CD">
      <w:pPr>
        <w:pStyle w:val="2"/>
        <w:spacing w:before="4" w:line="307" w:lineRule="auto"/>
        <w:ind w:left="1455" w:right="1356" w:firstLine="444"/>
        <w:jc w:val="both"/>
        <w:rPr>
          <w:sz w:val="24"/>
          <w:szCs w:val="24"/>
        </w:rPr>
      </w:pPr>
      <w:r>
        <w:rPr>
          <w:spacing w:val="-24"/>
          <w:sz w:val="24"/>
          <w:szCs w:val="24"/>
        </w:rPr>
        <w:t>关系协调保证：协调好各种关系，维护甲方及监理工程师的权威，尊重其正确意见和建议，</w:t>
      </w:r>
      <w:r>
        <w:rPr>
          <w:spacing w:val="-20"/>
          <w:sz w:val="24"/>
          <w:szCs w:val="24"/>
        </w:rPr>
        <w:t>执行监理工程师指令。发现设计文件、图纸有误或在施工过程中发现与设计不符、可能影响工程质量、导致影响工期问题时，及时报请监理工程师和设计人员研究解决。处理好与当地各级政府及农民的关系，主动反映情况，虚心听取意见，通过友好协商妥善解决问题，保证工程顺</w:t>
      </w:r>
      <w:r>
        <w:rPr>
          <w:spacing w:val="-15"/>
          <w:sz w:val="24"/>
          <w:szCs w:val="24"/>
        </w:rPr>
        <w:t>利施工。</w:t>
      </w:r>
    </w:p>
    <w:p w14:paraId="641B40D2">
      <w:pPr>
        <w:pStyle w:val="2"/>
        <w:spacing w:before="1" w:line="217" w:lineRule="auto"/>
        <w:ind w:left="1892"/>
        <w:rPr>
          <w:sz w:val="24"/>
          <w:szCs w:val="24"/>
        </w:rPr>
      </w:pPr>
      <w:r>
        <w:rPr>
          <w:spacing w:val="-20"/>
          <w:sz w:val="24"/>
          <w:szCs w:val="24"/>
        </w:rPr>
        <w:t>加强施工前期资金的投入</w:t>
      </w:r>
    </w:p>
    <w:p w14:paraId="5467C754">
      <w:pPr>
        <w:pStyle w:val="2"/>
        <w:spacing w:before="118" w:line="307" w:lineRule="auto"/>
        <w:ind w:left="1457" w:right="1409" w:firstLine="444"/>
        <w:rPr>
          <w:sz w:val="24"/>
          <w:szCs w:val="24"/>
        </w:rPr>
      </w:pPr>
      <w:r>
        <w:rPr>
          <w:spacing w:val="-20"/>
          <w:sz w:val="24"/>
          <w:szCs w:val="24"/>
        </w:rPr>
        <w:t>为了确保工程如期完工，进场后立即抽调资金作为对本工程前期周转奖金，随着工程的进展，考虑到业主支付周期与我公司对本工程施工计划进展情况，我们还准备好足够的流动周转</w:t>
      </w:r>
      <w:r>
        <w:rPr>
          <w:spacing w:val="-21"/>
          <w:sz w:val="24"/>
          <w:szCs w:val="24"/>
        </w:rPr>
        <w:t>资金，随时投入本工程的资金运转，确保工程顺利进行。</w:t>
      </w:r>
    </w:p>
    <w:p w14:paraId="40CA7008">
      <w:pPr>
        <w:pStyle w:val="2"/>
        <w:spacing w:before="3" w:line="216" w:lineRule="auto"/>
        <w:ind w:left="1894"/>
        <w:rPr>
          <w:sz w:val="24"/>
          <w:szCs w:val="24"/>
        </w:rPr>
      </w:pPr>
      <w:r>
        <w:rPr>
          <w:spacing w:val="-20"/>
          <w:sz w:val="24"/>
          <w:szCs w:val="24"/>
        </w:rPr>
        <w:t>充分做好施工前期准备工作</w:t>
      </w:r>
    </w:p>
    <w:p w14:paraId="4340C856">
      <w:pPr>
        <w:pStyle w:val="2"/>
        <w:spacing w:before="119" w:line="307" w:lineRule="auto"/>
        <w:ind w:left="1462" w:right="1410" w:firstLine="431"/>
        <w:rPr>
          <w:sz w:val="24"/>
          <w:szCs w:val="24"/>
        </w:rPr>
      </w:pPr>
      <w:r>
        <w:rPr>
          <w:spacing w:val="-20"/>
          <w:sz w:val="24"/>
          <w:szCs w:val="24"/>
        </w:rPr>
        <w:t>组织工程技术人员对工程环境及条件作详细调查，充分掌握第一手资料，对本合同段的地质状况、水电、道路分布情况做出一个全面的评价和分析，对工程所需地方材料的供应以及机</w:t>
      </w:r>
    </w:p>
    <w:p w14:paraId="275E345A">
      <w:pPr>
        <w:spacing w:line="307" w:lineRule="auto"/>
        <w:rPr>
          <w:sz w:val="24"/>
          <w:szCs w:val="24"/>
        </w:rPr>
        <w:sectPr>
          <w:footerReference r:id="rId265" w:type="default"/>
          <w:pgSz w:w="11907" w:h="16839"/>
          <w:pgMar w:top="933" w:right="4" w:bottom="1038" w:left="0" w:header="478" w:footer="357" w:gutter="0"/>
          <w:pgBorders>
            <w:top w:val="none" w:sz="0" w:space="0"/>
            <w:left w:val="none" w:sz="0" w:space="0"/>
            <w:bottom w:val="none" w:sz="0" w:space="0"/>
            <w:right w:val="none" w:sz="0" w:space="0"/>
          </w:pgBorders>
          <w:cols w:space="720" w:num="1"/>
        </w:sectPr>
      </w:pPr>
    </w:p>
    <w:p w14:paraId="3A47D8AE">
      <w:pPr>
        <w:spacing w:line="270" w:lineRule="auto"/>
        <w:rPr>
          <w:rFonts w:ascii="Arial"/>
          <w:sz w:val="21"/>
        </w:rPr>
      </w:pPr>
    </w:p>
    <w:p w14:paraId="2D1DADD7">
      <w:pPr>
        <w:pStyle w:val="2"/>
        <w:spacing w:before="78" w:line="308" w:lineRule="auto"/>
        <w:ind w:left="1455" w:right="1353" w:firstLine="2"/>
        <w:jc w:val="both"/>
        <w:rPr>
          <w:sz w:val="24"/>
          <w:szCs w:val="24"/>
        </w:rPr>
      </w:pPr>
      <w:r>
        <w:rPr>
          <w:spacing w:val="-20"/>
          <w:sz w:val="24"/>
          <w:szCs w:val="24"/>
        </w:rPr>
        <w:t>械设备，人员进入施工现场的途径做出详尽的计划和必要的落实，并与沿线地方单位或政府建</w:t>
      </w:r>
      <w:r>
        <w:rPr>
          <w:spacing w:val="-23"/>
          <w:sz w:val="24"/>
          <w:szCs w:val="24"/>
        </w:rPr>
        <w:t>立联系，以获得地方各部门在工程所需的材</w:t>
      </w:r>
      <w:r>
        <w:rPr>
          <w:spacing w:val="-24"/>
          <w:sz w:val="24"/>
          <w:szCs w:val="24"/>
        </w:rPr>
        <w:t>料供应方面及一些交通设施的使用方面的全力支持，</w:t>
      </w:r>
      <w:r>
        <w:rPr>
          <w:spacing w:val="-21"/>
          <w:sz w:val="24"/>
          <w:szCs w:val="24"/>
        </w:rPr>
        <w:t>从面确保本工程开工后，即可迅速投入现场的前期准备工作</w:t>
      </w:r>
      <w:r>
        <w:rPr>
          <w:spacing w:val="-22"/>
          <w:sz w:val="24"/>
          <w:szCs w:val="24"/>
        </w:rPr>
        <w:t>，及早建立和开辟施工现场。</w:t>
      </w:r>
    </w:p>
    <w:p w14:paraId="3F6CBE1F">
      <w:pPr>
        <w:pStyle w:val="2"/>
        <w:spacing w:before="1" w:line="216" w:lineRule="auto"/>
        <w:ind w:left="1892"/>
        <w:rPr>
          <w:sz w:val="24"/>
          <w:szCs w:val="24"/>
        </w:rPr>
      </w:pPr>
      <w:r>
        <w:rPr>
          <w:spacing w:val="-20"/>
          <w:sz w:val="24"/>
          <w:szCs w:val="24"/>
        </w:rPr>
        <w:t>加强人员、机械设备的投入</w:t>
      </w:r>
    </w:p>
    <w:p w14:paraId="1240BE3B">
      <w:pPr>
        <w:pStyle w:val="2"/>
        <w:spacing w:before="117" w:line="308" w:lineRule="auto"/>
        <w:ind w:left="1456" w:right="1342" w:firstLine="445"/>
        <w:rPr>
          <w:sz w:val="24"/>
          <w:szCs w:val="24"/>
        </w:rPr>
      </w:pPr>
      <w:r>
        <w:rPr>
          <w:spacing w:val="-24"/>
          <w:sz w:val="24"/>
          <w:szCs w:val="24"/>
        </w:rPr>
        <w:t>我们保证按投标书的承诺投入足够数量与素质优良的技术、管理人员以及施工机械、测量、</w:t>
      </w:r>
      <w:r>
        <w:rPr>
          <w:spacing w:val="-20"/>
          <w:sz w:val="24"/>
          <w:szCs w:val="24"/>
        </w:rPr>
        <w:t>质检设备，提高机械化施工水平，并加强机械设备养护及操作，加强维修人员的管理，以提高</w:t>
      </w:r>
      <w:r>
        <w:rPr>
          <w:spacing w:val="-21"/>
          <w:sz w:val="24"/>
          <w:szCs w:val="24"/>
        </w:rPr>
        <w:t>机械设备的完好率和利用率，促进工程进度。</w:t>
      </w:r>
    </w:p>
    <w:p w14:paraId="40C846BB">
      <w:pPr>
        <w:pStyle w:val="2"/>
        <w:spacing w:line="215" w:lineRule="auto"/>
        <w:ind w:left="1895"/>
        <w:rPr>
          <w:sz w:val="24"/>
          <w:szCs w:val="24"/>
        </w:rPr>
      </w:pPr>
      <w:r>
        <w:rPr>
          <w:spacing w:val="-21"/>
          <w:sz w:val="24"/>
          <w:szCs w:val="24"/>
        </w:rPr>
        <w:t>在创造施工条件方面给予必要的投入</w:t>
      </w:r>
    </w:p>
    <w:p w14:paraId="387702B2">
      <w:pPr>
        <w:pStyle w:val="2"/>
        <w:spacing w:before="118" w:line="308" w:lineRule="auto"/>
        <w:ind w:left="1470" w:right="1411" w:firstLine="424"/>
        <w:rPr>
          <w:sz w:val="24"/>
          <w:szCs w:val="24"/>
        </w:rPr>
      </w:pPr>
      <w:r>
        <w:rPr>
          <w:spacing w:val="-20"/>
          <w:sz w:val="24"/>
          <w:szCs w:val="24"/>
        </w:rPr>
        <w:t>如修建畅通的临时道路、配备足够的设备，创造一个良好的施工环境，从而确保整个施工</w:t>
      </w:r>
      <w:r>
        <w:rPr>
          <w:spacing w:val="-21"/>
          <w:sz w:val="24"/>
          <w:szCs w:val="24"/>
        </w:rPr>
        <w:t>生产能力高效率运转。</w:t>
      </w:r>
    </w:p>
    <w:p w14:paraId="1B652972">
      <w:pPr>
        <w:pStyle w:val="2"/>
        <w:spacing w:before="1" w:line="218" w:lineRule="auto"/>
        <w:ind w:left="1892"/>
        <w:rPr>
          <w:sz w:val="24"/>
          <w:szCs w:val="24"/>
        </w:rPr>
      </w:pPr>
      <w:r>
        <w:rPr>
          <w:spacing w:val="-20"/>
          <w:sz w:val="24"/>
          <w:szCs w:val="24"/>
        </w:rPr>
        <w:t>加强工程科学计划管理</w:t>
      </w:r>
    </w:p>
    <w:p w14:paraId="36E3EFCE">
      <w:pPr>
        <w:pStyle w:val="2"/>
        <w:spacing w:before="118" w:line="293" w:lineRule="auto"/>
        <w:ind w:left="1455" w:right="1412" w:firstLine="447"/>
        <w:rPr>
          <w:sz w:val="24"/>
          <w:szCs w:val="24"/>
        </w:rPr>
      </w:pPr>
      <w:r>
        <w:rPr>
          <w:spacing w:val="-22"/>
          <w:sz w:val="24"/>
          <w:szCs w:val="24"/>
        </w:rPr>
        <w:t>1）充分分析工程的环境因素，把握工程重点、难点，</w:t>
      </w:r>
      <w:r>
        <w:rPr>
          <w:spacing w:val="-23"/>
          <w:sz w:val="24"/>
          <w:szCs w:val="24"/>
        </w:rPr>
        <w:t>详细计算劳动生产率，综合考虑气候</w:t>
      </w:r>
      <w:r>
        <w:rPr>
          <w:spacing w:val="-20"/>
          <w:sz w:val="24"/>
          <w:szCs w:val="24"/>
        </w:rPr>
        <w:t>因素，严密编制月度各分项工程施工进度计划，月生产指标，全面逐级落实生产任务，树立超前生产计划意识。对计划进度实行奖惩制度，关键工序不能按时完成实行重罚。同时在编制计划时充分分析施工方法、工艺生产流程，合理编制有序生产计划，对自然的突发性因素影响生产，提前有思想准备，在物资、资金、机械、人力方面做好充分保证应变突发性阻碍生产的措</w:t>
      </w:r>
      <w:r>
        <w:rPr>
          <w:spacing w:val="-18"/>
          <w:sz w:val="24"/>
          <w:szCs w:val="24"/>
        </w:rPr>
        <w:t>施。</w:t>
      </w:r>
    </w:p>
    <w:p w14:paraId="6F4BF7EB">
      <w:pPr>
        <w:pStyle w:val="2"/>
        <w:spacing w:before="112" w:line="262" w:lineRule="auto"/>
        <w:ind w:left="1458" w:right="1415" w:firstLine="430"/>
        <w:rPr>
          <w:sz w:val="24"/>
          <w:szCs w:val="24"/>
        </w:rPr>
      </w:pPr>
      <w:r>
        <w:rPr>
          <w:spacing w:val="-22"/>
          <w:sz w:val="24"/>
          <w:szCs w:val="24"/>
        </w:rPr>
        <w:t>2）在施工总体安排上，考虑雨季、农忙季节的影响，制定必要的季节性施工措施，</w:t>
      </w:r>
      <w:r>
        <w:rPr>
          <w:spacing w:val="-23"/>
          <w:sz w:val="24"/>
          <w:szCs w:val="24"/>
        </w:rPr>
        <w:t>并经监</w:t>
      </w:r>
      <w:r>
        <w:rPr>
          <w:spacing w:val="-22"/>
          <w:sz w:val="24"/>
          <w:szCs w:val="24"/>
        </w:rPr>
        <w:t>理工程师批准，争取延长有效工作时间。</w:t>
      </w:r>
    </w:p>
    <w:p w14:paraId="290C84D5">
      <w:pPr>
        <w:pStyle w:val="2"/>
        <w:spacing w:before="121" w:line="261" w:lineRule="auto"/>
        <w:ind w:left="1463" w:right="1440" w:firstLine="426"/>
        <w:rPr>
          <w:sz w:val="24"/>
          <w:szCs w:val="24"/>
        </w:rPr>
      </w:pPr>
      <w:r>
        <w:rPr>
          <w:spacing w:val="-23"/>
          <w:sz w:val="24"/>
          <w:szCs w:val="24"/>
        </w:rPr>
        <w:t>3）合理安排和充分利用好有效作业日外的每一个作业天，合理安排不利季节的施工项目，</w:t>
      </w:r>
      <w:r>
        <w:rPr>
          <w:spacing w:val="-21"/>
          <w:sz w:val="24"/>
          <w:szCs w:val="24"/>
        </w:rPr>
        <w:t>变不利施工日为有效施工日提高工作效率，</w:t>
      </w:r>
      <w:r>
        <w:rPr>
          <w:spacing w:val="-22"/>
          <w:sz w:val="24"/>
          <w:szCs w:val="24"/>
        </w:rPr>
        <w:t>促进工程施工顺利进展。</w:t>
      </w:r>
    </w:p>
    <w:p w14:paraId="56BC2C65">
      <w:pPr>
        <w:pStyle w:val="2"/>
        <w:spacing w:before="120" w:line="216" w:lineRule="auto"/>
        <w:ind w:left="1884"/>
        <w:rPr>
          <w:sz w:val="24"/>
          <w:szCs w:val="24"/>
        </w:rPr>
      </w:pPr>
      <w:r>
        <w:rPr>
          <w:spacing w:val="-20"/>
          <w:sz w:val="24"/>
          <w:szCs w:val="24"/>
        </w:rPr>
        <w:t>4）采用平行交叉流水作业法，使各工序紧密连接。</w:t>
      </w:r>
    </w:p>
    <w:p w14:paraId="05824E9E">
      <w:pPr>
        <w:pStyle w:val="2"/>
        <w:spacing w:before="120" w:line="216" w:lineRule="auto"/>
        <w:ind w:left="1890"/>
        <w:rPr>
          <w:sz w:val="24"/>
          <w:szCs w:val="24"/>
        </w:rPr>
      </w:pPr>
      <w:r>
        <w:rPr>
          <w:spacing w:val="-21"/>
          <w:sz w:val="24"/>
          <w:szCs w:val="24"/>
        </w:rPr>
        <w:t>5）充分调动职工积极性，对工程实行目标管理，层层落实承包制。</w:t>
      </w:r>
    </w:p>
    <w:p w14:paraId="04ABA1CD">
      <w:pPr>
        <w:pStyle w:val="2"/>
        <w:spacing w:before="118" w:line="218" w:lineRule="auto"/>
        <w:ind w:left="1887"/>
        <w:rPr>
          <w:sz w:val="24"/>
          <w:szCs w:val="24"/>
        </w:rPr>
      </w:pPr>
      <w:r>
        <w:rPr>
          <w:spacing w:val="-20"/>
          <w:sz w:val="24"/>
          <w:szCs w:val="24"/>
        </w:rPr>
        <w:t>6）尊重科学，依靠科学进步，快筑路、筑好路。</w:t>
      </w:r>
    </w:p>
    <w:p w14:paraId="08E8B77B">
      <w:pPr>
        <w:pStyle w:val="2"/>
        <w:spacing w:before="117" w:line="263" w:lineRule="auto"/>
        <w:ind w:left="1462" w:right="1410" w:firstLine="429"/>
        <w:rPr>
          <w:sz w:val="24"/>
          <w:szCs w:val="24"/>
        </w:rPr>
      </w:pPr>
      <w:r>
        <w:rPr>
          <w:spacing w:val="-22"/>
          <w:sz w:val="24"/>
          <w:szCs w:val="24"/>
        </w:rPr>
        <w:t>7）尊重科学、尊重实验，质量第一，安全生产，严字当头，强化施工人员的质量意识，使全体施工人员正确理解质量与进度的辩证关系以质量求速度，以速度求效益，以安全促生产。</w:t>
      </w:r>
    </w:p>
    <w:p w14:paraId="0809035A">
      <w:pPr>
        <w:pStyle w:val="2"/>
        <w:spacing w:before="115" w:line="217" w:lineRule="auto"/>
        <w:ind w:left="1893"/>
        <w:rPr>
          <w:sz w:val="24"/>
          <w:szCs w:val="24"/>
        </w:rPr>
      </w:pPr>
      <w:r>
        <w:rPr>
          <w:spacing w:val="-20"/>
          <w:sz w:val="24"/>
          <w:szCs w:val="24"/>
        </w:rPr>
        <w:t>（四）从技术上保证工期</w:t>
      </w:r>
    </w:p>
    <w:p w14:paraId="05B0C35B">
      <w:pPr>
        <w:pStyle w:val="2"/>
        <w:spacing w:before="118" w:line="308" w:lineRule="auto"/>
        <w:ind w:left="1461" w:right="1439" w:firstLine="462"/>
        <w:rPr>
          <w:sz w:val="24"/>
          <w:szCs w:val="24"/>
        </w:rPr>
      </w:pPr>
      <w:r>
        <w:rPr>
          <w:spacing w:val="-21"/>
          <w:sz w:val="24"/>
          <w:szCs w:val="24"/>
        </w:rPr>
        <w:t>由项目部总工程师全面负责该项目的施工技术管理，项目经理部设置工程技术科</w:t>
      </w:r>
      <w:r>
        <w:rPr>
          <w:spacing w:val="-22"/>
          <w:sz w:val="24"/>
          <w:szCs w:val="24"/>
        </w:rPr>
        <w:t>，负责制</w:t>
      </w:r>
      <w:r>
        <w:rPr>
          <w:spacing w:val="-21"/>
          <w:sz w:val="24"/>
          <w:szCs w:val="24"/>
        </w:rPr>
        <w:t>定施工方案，及时解决施工中出现的问题，以方案</w:t>
      </w:r>
      <w:r>
        <w:rPr>
          <w:spacing w:val="-22"/>
          <w:sz w:val="24"/>
          <w:szCs w:val="24"/>
        </w:rPr>
        <w:t>指导施工，防止出现返工现象而影响工期。</w:t>
      </w:r>
    </w:p>
    <w:p w14:paraId="5BAB2CC1">
      <w:pPr>
        <w:pStyle w:val="2"/>
        <w:spacing w:before="3" w:line="307" w:lineRule="auto"/>
        <w:ind w:left="1455" w:right="1410" w:firstLine="442"/>
        <w:rPr>
          <w:sz w:val="24"/>
          <w:szCs w:val="24"/>
        </w:rPr>
      </w:pPr>
      <w:r>
        <w:rPr>
          <w:spacing w:val="-20"/>
          <w:sz w:val="24"/>
          <w:szCs w:val="24"/>
        </w:rPr>
        <w:t>实行图纸会审制度，在工程开工前由总工程师组织有关技术人员进行设计图纸会审，及时向业主和监理工程师提出施工图纸、技术规范和其它技术文件中的问题和不足之处，使工程顺</w:t>
      </w:r>
      <w:r>
        <w:rPr>
          <w:spacing w:val="-15"/>
          <w:sz w:val="24"/>
          <w:szCs w:val="24"/>
        </w:rPr>
        <w:t>利进行。</w:t>
      </w:r>
    </w:p>
    <w:p w14:paraId="7DED4CC1">
      <w:pPr>
        <w:pStyle w:val="2"/>
        <w:spacing w:before="1" w:line="308" w:lineRule="auto"/>
        <w:ind w:left="1456" w:right="1410" w:firstLine="438"/>
        <w:rPr>
          <w:sz w:val="24"/>
          <w:szCs w:val="24"/>
        </w:rPr>
      </w:pPr>
      <w:r>
        <w:rPr>
          <w:spacing w:val="-20"/>
          <w:sz w:val="24"/>
          <w:szCs w:val="24"/>
        </w:rPr>
        <w:t>采用新技术、新工艺，尽量压缩工序时间，安排好工序衔接，统一调度指挥，平衡远期和</w:t>
      </w:r>
      <w:r>
        <w:rPr>
          <w:spacing w:val="-21"/>
          <w:sz w:val="24"/>
          <w:szCs w:val="24"/>
        </w:rPr>
        <w:t>近期所发生或将发生的各类矛盾，使工程按部就班地有节奏</w:t>
      </w:r>
      <w:r>
        <w:rPr>
          <w:spacing w:val="-22"/>
          <w:sz w:val="24"/>
          <w:szCs w:val="24"/>
        </w:rPr>
        <w:t>地进行。</w:t>
      </w:r>
    </w:p>
    <w:p w14:paraId="093CD9AE">
      <w:pPr>
        <w:pStyle w:val="2"/>
        <w:spacing w:before="2" w:line="306" w:lineRule="auto"/>
        <w:ind w:left="1462" w:right="1410" w:firstLine="435"/>
        <w:rPr>
          <w:sz w:val="24"/>
          <w:szCs w:val="24"/>
        </w:rPr>
      </w:pPr>
      <w:r>
        <w:rPr>
          <w:spacing w:val="-20"/>
          <w:sz w:val="24"/>
          <w:szCs w:val="24"/>
        </w:rPr>
        <w:t>实行技术交底制度，施工技术人员应在施工之前及时向班组做好详尽的技术交底，勤到施工现场，对各个施工过程做好跟踪技术监控，发现问题及时现场就地解决，防止工序检验不合</w:t>
      </w:r>
    </w:p>
    <w:p w14:paraId="59D59C93">
      <w:pPr>
        <w:spacing w:line="306" w:lineRule="auto"/>
        <w:rPr>
          <w:sz w:val="24"/>
          <w:szCs w:val="24"/>
        </w:rPr>
        <w:sectPr>
          <w:footerReference r:id="rId266" w:type="default"/>
          <w:pgSz w:w="11907" w:h="16839"/>
          <w:pgMar w:top="933" w:right="4" w:bottom="1038" w:left="0" w:header="478" w:footer="357" w:gutter="0"/>
          <w:pgBorders>
            <w:top w:val="none" w:sz="0" w:space="0"/>
            <w:left w:val="none" w:sz="0" w:space="0"/>
            <w:bottom w:val="none" w:sz="0" w:space="0"/>
            <w:right w:val="none" w:sz="0" w:space="0"/>
          </w:pgBorders>
          <w:cols w:space="720" w:num="1"/>
        </w:sectPr>
      </w:pPr>
    </w:p>
    <w:p w14:paraId="51F5BA4F">
      <w:pPr>
        <w:spacing w:line="271" w:lineRule="auto"/>
        <w:rPr>
          <w:rFonts w:ascii="Arial"/>
          <w:sz w:val="21"/>
        </w:rPr>
      </w:pPr>
    </w:p>
    <w:p w14:paraId="75176AFF">
      <w:pPr>
        <w:pStyle w:val="2"/>
        <w:spacing w:before="78" w:line="217" w:lineRule="auto"/>
        <w:ind w:left="1455"/>
        <w:rPr>
          <w:sz w:val="24"/>
          <w:szCs w:val="24"/>
        </w:rPr>
      </w:pPr>
      <w:r>
        <w:rPr>
          <w:spacing w:val="-20"/>
          <w:sz w:val="24"/>
          <w:szCs w:val="24"/>
        </w:rPr>
        <w:t>格而进行返工，延误工期。</w:t>
      </w:r>
    </w:p>
    <w:p w14:paraId="18AD68A5">
      <w:pPr>
        <w:pStyle w:val="2"/>
        <w:spacing w:before="119" w:line="217" w:lineRule="auto"/>
        <w:ind w:left="1893"/>
        <w:rPr>
          <w:sz w:val="24"/>
          <w:szCs w:val="24"/>
        </w:rPr>
      </w:pPr>
      <w:r>
        <w:rPr>
          <w:spacing w:val="-19"/>
          <w:sz w:val="24"/>
          <w:szCs w:val="24"/>
        </w:rPr>
        <w:t>（五）其它保证措施</w:t>
      </w:r>
    </w:p>
    <w:p w14:paraId="77355B2D">
      <w:pPr>
        <w:pStyle w:val="2"/>
        <w:spacing w:before="115" w:line="308" w:lineRule="auto"/>
        <w:ind w:left="1455" w:right="1410" w:firstLine="444"/>
        <w:jc w:val="both"/>
        <w:rPr>
          <w:sz w:val="24"/>
          <w:szCs w:val="24"/>
        </w:rPr>
      </w:pPr>
      <w:r>
        <w:rPr>
          <w:spacing w:val="-20"/>
          <w:sz w:val="24"/>
          <w:szCs w:val="24"/>
        </w:rPr>
        <w:t>关心员工的生活，根据不同的气候条件、施工强度相应调剂员工的饮食，加强饮食卫生管理，减少疾病。保证每个员工以健康的体魄，充沛体力，良好的精神状况投入到施工中。现场</w:t>
      </w:r>
      <w:r>
        <w:rPr>
          <w:spacing w:val="-21"/>
          <w:sz w:val="24"/>
          <w:szCs w:val="24"/>
        </w:rPr>
        <w:t>设立医务室、定期做好饮食卫生的消毒工作，防止恶性传染</w:t>
      </w:r>
      <w:r>
        <w:rPr>
          <w:spacing w:val="-22"/>
          <w:sz w:val="24"/>
          <w:szCs w:val="24"/>
        </w:rPr>
        <w:t>病的发生而影响正常施工。</w:t>
      </w:r>
    </w:p>
    <w:p w14:paraId="0D3FE3CF">
      <w:pPr>
        <w:pStyle w:val="2"/>
        <w:spacing w:line="216" w:lineRule="auto"/>
        <w:ind w:left="1893"/>
        <w:rPr>
          <w:sz w:val="24"/>
          <w:szCs w:val="24"/>
        </w:rPr>
      </w:pPr>
      <w:r>
        <w:rPr>
          <w:spacing w:val="-21"/>
          <w:sz w:val="24"/>
          <w:szCs w:val="24"/>
        </w:rPr>
        <w:t>做好雨季、夜间施工的措施，确保施工的顺利进行。</w:t>
      </w:r>
    </w:p>
    <w:p w14:paraId="65A4A341">
      <w:pPr>
        <w:pStyle w:val="2"/>
        <w:spacing w:before="119" w:line="218" w:lineRule="auto"/>
        <w:ind w:left="1892"/>
        <w:rPr>
          <w:sz w:val="24"/>
          <w:szCs w:val="24"/>
        </w:rPr>
      </w:pPr>
      <w:r>
        <w:rPr>
          <w:spacing w:val="-21"/>
          <w:sz w:val="24"/>
          <w:szCs w:val="24"/>
        </w:rPr>
        <w:t>搞好与业主、监理工程师及当地群众的关系，创造一个天时</w:t>
      </w:r>
      <w:r>
        <w:rPr>
          <w:spacing w:val="-22"/>
          <w:sz w:val="24"/>
          <w:szCs w:val="24"/>
        </w:rPr>
        <w:t>、地利、人和的施工环境。</w:t>
      </w:r>
    </w:p>
    <w:p w14:paraId="70D9BBB1">
      <w:pPr>
        <w:pStyle w:val="2"/>
        <w:spacing w:before="116" w:line="217" w:lineRule="auto"/>
        <w:ind w:left="1894"/>
        <w:rPr>
          <w:sz w:val="24"/>
          <w:szCs w:val="24"/>
        </w:rPr>
      </w:pPr>
      <w:r>
        <w:rPr>
          <w:spacing w:val="-19"/>
          <w:sz w:val="24"/>
          <w:szCs w:val="24"/>
        </w:rPr>
        <w:t>组织保障措施一览表</w:t>
      </w:r>
    </w:p>
    <w:p w14:paraId="0E852F98">
      <w:pPr>
        <w:spacing w:line="46" w:lineRule="auto"/>
        <w:rPr>
          <w:rFonts w:ascii="Arial"/>
          <w:sz w:val="2"/>
        </w:rPr>
      </w:pPr>
    </w:p>
    <w:tbl>
      <w:tblPr>
        <w:tblStyle w:val="6"/>
        <w:tblW w:w="9133" w:type="dxa"/>
        <w:tblInd w:w="138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72"/>
        <w:gridCol w:w="509"/>
        <w:gridCol w:w="1348"/>
        <w:gridCol w:w="6972"/>
        <w:gridCol w:w="132"/>
      </w:tblGrid>
      <w:tr w14:paraId="18B6F8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3" w:hRule="atLeast"/>
        </w:trPr>
        <w:tc>
          <w:tcPr>
            <w:tcW w:w="681" w:type="dxa"/>
            <w:gridSpan w:val="2"/>
            <w:tcBorders>
              <w:top w:val="single" w:color="000000" w:sz="4" w:space="0"/>
              <w:left w:val="single" w:color="000000" w:sz="4" w:space="0"/>
            </w:tcBorders>
            <w:shd w:val="clear" w:color="auto" w:fill="DEEAF6"/>
            <w:vAlign w:val="top"/>
          </w:tcPr>
          <w:p w14:paraId="194F5D6B">
            <w:pPr>
              <w:pStyle w:val="7"/>
              <w:spacing w:before="129" w:line="218" w:lineRule="auto"/>
              <w:ind w:left="133"/>
            </w:pPr>
            <w:r>
              <w:rPr>
                <w:b/>
                <w:bCs/>
                <w:spacing w:val="-12"/>
              </w:rPr>
              <w:t>序号</w:t>
            </w:r>
          </w:p>
        </w:tc>
        <w:tc>
          <w:tcPr>
            <w:tcW w:w="1348" w:type="dxa"/>
            <w:tcBorders>
              <w:top w:val="single" w:color="000000" w:sz="4" w:space="0"/>
            </w:tcBorders>
            <w:shd w:val="clear" w:color="auto" w:fill="DEEAF6"/>
            <w:vAlign w:val="top"/>
          </w:tcPr>
          <w:p w14:paraId="44EC9E7E">
            <w:pPr>
              <w:pStyle w:val="7"/>
              <w:spacing w:before="129" w:line="219" w:lineRule="auto"/>
              <w:ind w:left="460"/>
            </w:pPr>
            <w:r>
              <w:rPr>
                <w:b/>
                <w:bCs/>
                <w:spacing w:val="-12"/>
              </w:rPr>
              <w:t>措施</w:t>
            </w:r>
          </w:p>
        </w:tc>
        <w:tc>
          <w:tcPr>
            <w:tcW w:w="7104" w:type="dxa"/>
            <w:gridSpan w:val="2"/>
            <w:tcBorders>
              <w:top w:val="single" w:color="5B9BD5" w:sz="4" w:space="0"/>
              <w:right w:val="single" w:color="5B9BD5" w:sz="4" w:space="0"/>
            </w:tcBorders>
            <w:shd w:val="clear" w:color="auto" w:fill="DEEAF6"/>
            <w:vAlign w:val="top"/>
          </w:tcPr>
          <w:p w14:paraId="35D33CF9">
            <w:pPr>
              <w:pStyle w:val="7"/>
              <w:spacing w:before="129" w:line="218" w:lineRule="auto"/>
              <w:ind w:left="3119"/>
            </w:pPr>
            <w:r>
              <w:rPr>
                <w:b/>
                <w:bCs/>
                <w:spacing w:val="-19"/>
              </w:rPr>
              <w:t>具体内容</w:t>
            </w:r>
          </w:p>
        </w:tc>
      </w:tr>
      <w:tr w14:paraId="2E144E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18" w:hRule="atLeast"/>
        </w:trPr>
        <w:tc>
          <w:tcPr>
            <w:tcW w:w="681" w:type="dxa"/>
            <w:gridSpan w:val="2"/>
            <w:tcBorders>
              <w:left w:val="single" w:color="000000" w:sz="4" w:space="0"/>
            </w:tcBorders>
            <w:vAlign w:val="top"/>
          </w:tcPr>
          <w:p w14:paraId="068FFA3A">
            <w:pPr>
              <w:spacing w:line="294" w:lineRule="auto"/>
              <w:rPr>
                <w:rFonts w:ascii="Arial"/>
                <w:sz w:val="21"/>
              </w:rPr>
            </w:pPr>
          </w:p>
          <w:p w14:paraId="127CD1D1">
            <w:pPr>
              <w:spacing w:line="294" w:lineRule="auto"/>
              <w:rPr>
                <w:rFonts w:ascii="Arial"/>
                <w:sz w:val="21"/>
              </w:rPr>
            </w:pPr>
          </w:p>
          <w:p w14:paraId="7ED2FE14">
            <w:pPr>
              <w:spacing w:line="294" w:lineRule="auto"/>
              <w:rPr>
                <w:rFonts w:ascii="Arial"/>
                <w:sz w:val="21"/>
              </w:rPr>
            </w:pPr>
          </w:p>
          <w:p w14:paraId="2F9237B3">
            <w:pPr>
              <w:spacing w:line="294" w:lineRule="auto"/>
              <w:rPr>
                <w:rFonts w:ascii="Arial"/>
                <w:sz w:val="21"/>
              </w:rPr>
            </w:pPr>
          </w:p>
          <w:p w14:paraId="567F359E">
            <w:pPr>
              <w:pStyle w:val="7"/>
              <w:spacing w:before="78" w:line="238" w:lineRule="auto"/>
              <w:ind w:left="308"/>
            </w:pPr>
            <w:r>
              <w:t>1</w:t>
            </w:r>
          </w:p>
        </w:tc>
        <w:tc>
          <w:tcPr>
            <w:tcW w:w="1348" w:type="dxa"/>
            <w:vAlign w:val="top"/>
          </w:tcPr>
          <w:p w14:paraId="1FB2F53B">
            <w:pPr>
              <w:spacing w:line="315" w:lineRule="auto"/>
              <w:rPr>
                <w:rFonts w:ascii="Arial"/>
                <w:sz w:val="21"/>
              </w:rPr>
            </w:pPr>
          </w:p>
          <w:p w14:paraId="0A7FF004">
            <w:pPr>
              <w:spacing w:line="315" w:lineRule="auto"/>
              <w:rPr>
                <w:rFonts w:ascii="Arial"/>
                <w:sz w:val="21"/>
              </w:rPr>
            </w:pPr>
          </w:p>
          <w:p w14:paraId="647E1366">
            <w:pPr>
              <w:spacing w:line="315" w:lineRule="auto"/>
              <w:rPr>
                <w:rFonts w:ascii="Arial"/>
                <w:sz w:val="21"/>
              </w:rPr>
            </w:pPr>
          </w:p>
          <w:p w14:paraId="0125D141">
            <w:pPr>
              <w:pStyle w:val="7"/>
              <w:spacing w:before="78" w:line="361" w:lineRule="auto"/>
              <w:ind w:left="355" w:right="113" w:hanging="216"/>
            </w:pPr>
            <w:r>
              <w:rPr>
                <w:spacing w:val="-23"/>
              </w:rPr>
              <w:t>工期管理组</w:t>
            </w:r>
            <w:r>
              <w:rPr>
                <w:spacing w:val="-14"/>
              </w:rPr>
              <w:t>织机构</w:t>
            </w:r>
          </w:p>
        </w:tc>
        <w:tc>
          <w:tcPr>
            <w:tcW w:w="7104" w:type="dxa"/>
            <w:gridSpan w:val="2"/>
            <w:tcBorders>
              <w:right w:val="single" w:color="000000" w:sz="4" w:space="0"/>
            </w:tcBorders>
            <w:vAlign w:val="top"/>
          </w:tcPr>
          <w:p w14:paraId="33E497B2">
            <w:pPr>
              <w:spacing w:line="57" w:lineRule="exact"/>
              <w:ind w:right="4"/>
              <w:jc w:val="right"/>
            </w:pPr>
            <w:r>
              <w:rPr>
                <w:position w:val="-1"/>
              </w:rPr>
              <w:drawing>
                <wp:inline distT="0" distB="0" distL="0" distR="0">
                  <wp:extent cx="17780" cy="36195"/>
                  <wp:effectExtent l="0" t="0" r="0" b="0"/>
                  <wp:docPr id="1150" name="IM 1150"/>
                  <wp:cNvGraphicFramePr/>
                  <a:graphic xmlns:a="http://schemas.openxmlformats.org/drawingml/2006/main">
                    <a:graphicData uri="http://schemas.openxmlformats.org/drawingml/2006/picture">
                      <pic:pic xmlns:pic="http://schemas.openxmlformats.org/drawingml/2006/picture">
                        <pic:nvPicPr>
                          <pic:cNvPr id="1150" name="IM 1150"/>
                          <pic:cNvPicPr/>
                        </pic:nvPicPr>
                        <pic:blipFill>
                          <a:blip r:embed="rId647"/>
                          <a:stretch>
                            <a:fillRect/>
                          </a:stretch>
                        </pic:blipFill>
                        <pic:spPr>
                          <a:xfrm>
                            <a:off x="0" y="0"/>
                            <a:ext cx="18288" cy="36829"/>
                          </a:xfrm>
                          <a:prstGeom prst="rect">
                            <a:avLst/>
                          </a:prstGeom>
                        </pic:spPr>
                      </pic:pic>
                    </a:graphicData>
                  </a:graphic>
                </wp:inline>
              </w:drawing>
            </w:r>
          </w:p>
          <w:p w14:paraId="228C21BD">
            <w:pPr>
              <w:pStyle w:val="7"/>
              <w:spacing w:before="35" w:line="217" w:lineRule="auto"/>
              <w:ind w:left="1057"/>
            </w:pPr>
            <w:r>
              <w:rPr>
                <w:spacing w:val="-21"/>
              </w:rPr>
              <w:t>1)为确保本工程进度，我公司将成立以项目经理部。</w:t>
            </w:r>
          </w:p>
          <w:p w14:paraId="5D05F499">
            <w:pPr>
              <w:pStyle w:val="7"/>
              <w:spacing w:before="186" w:line="288" w:lineRule="auto"/>
              <w:ind w:left="214" w:right="50" w:hanging="154"/>
            </w:pPr>
            <w:r>
              <w:rPr>
                <w:spacing w:val="-21"/>
              </w:rPr>
              <w:t>2)我公司将选派具有类似工程管理经验和业绩的项目经理担任该工</w:t>
            </w:r>
            <w:r>
              <w:rPr>
                <w:spacing w:val="-22"/>
              </w:rPr>
              <w:t>程的项</w:t>
            </w:r>
            <w:r>
              <w:rPr>
                <w:spacing w:val="-23"/>
              </w:rPr>
              <w:t>目经理，同时还配备一批经验丰富、精力充沛的项目管理、技术人员。</w:t>
            </w:r>
          </w:p>
          <w:p w14:paraId="43845A2E">
            <w:pPr>
              <w:pStyle w:val="7"/>
              <w:spacing w:before="184" w:line="287" w:lineRule="auto"/>
              <w:ind w:left="81" w:right="49" w:hanging="19"/>
            </w:pPr>
            <w:r>
              <w:rPr>
                <w:spacing w:val="-21"/>
              </w:rPr>
              <w:t>3)项目组织机构在投标期间确定，项目管理人员提前做好就位</w:t>
            </w:r>
            <w:r>
              <w:rPr>
                <w:spacing w:val="-22"/>
              </w:rPr>
              <w:t>工作，主要骨干成员参与投标过程，熟悉工程特点，在</w:t>
            </w:r>
            <w:r>
              <w:rPr>
                <w:spacing w:val="-23"/>
              </w:rPr>
              <w:t>最快时间内进入角色；普通人</w:t>
            </w:r>
          </w:p>
          <w:p w14:paraId="484B1655">
            <w:pPr>
              <w:pStyle w:val="7"/>
              <w:spacing w:before="189" w:line="215" w:lineRule="auto"/>
              <w:ind w:left="1284"/>
            </w:pPr>
            <w:r>
              <w:rPr>
                <w:spacing w:val="-22"/>
              </w:rPr>
              <w:t>员在投标期间着手工作移交，中标后立即就位。</w:t>
            </w:r>
          </w:p>
        </w:tc>
      </w:tr>
      <w:tr w14:paraId="7FE237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86" w:hRule="atLeast"/>
        </w:trPr>
        <w:tc>
          <w:tcPr>
            <w:tcW w:w="681" w:type="dxa"/>
            <w:gridSpan w:val="2"/>
            <w:tcBorders>
              <w:left w:val="single" w:color="000000" w:sz="4" w:space="0"/>
            </w:tcBorders>
            <w:vAlign w:val="top"/>
          </w:tcPr>
          <w:p w14:paraId="6E18531A">
            <w:pPr>
              <w:spacing w:line="358" w:lineRule="auto"/>
              <w:rPr>
                <w:rFonts w:ascii="Arial"/>
                <w:sz w:val="21"/>
              </w:rPr>
            </w:pPr>
          </w:p>
          <w:p w14:paraId="762FE4DA">
            <w:pPr>
              <w:spacing w:line="358" w:lineRule="auto"/>
              <w:rPr>
                <w:rFonts w:ascii="Arial"/>
                <w:sz w:val="21"/>
              </w:rPr>
            </w:pPr>
          </w:p>
          <w:p w14:paraId="56997D9F">
            <w:pPr>
              <w:pStyle w:val="7"/>
              <w:spacing w:before="78" w:line="238" w:lineRule="auto"/>
              <w:ind w:left="294"/>
            </w:pPr>
            <w:r>
              <w:t>2</w:t>
            </w:r>
          </w:p>
        </w:tc>
        <w:tc>
          <w:tcPr>
            <w:tcW w:w="1348" w:type="dxa"/>
            <w:vAlign w:val="top"/>
          </w:tcPr>
          <w:p w14:paraId="12137E89">
            <w:pPr>
              <w:spacing w:line="357" w:lineRule="auto"/>
              <w:rPr>
                <w:rFonts w:ascii="Arial"/>
                <w:sz w:val="21"/>
              </w:rPr>
            </w:pPr>
          </w:p>
          <w:p w14:paraId="5BB8E53D">
            <w:pPr>
              <w:spacing w:line="358" w:lineRule="auto"/>
              <w:rPr>
                <w:rFonts w:ascii="Arial"/>
                <w:sz w:val="21"/>
              </w:rPr>
            </w:pPr>
          </w:p>
          <w:p w14:paraId="4AB49196">
            <w:pPr>
              <w:pStyle w:val="7"/>
              <w:spacing w:before="78" w:line="219" w:lineRule="auto"/>
              <w:ind w:left="246"/>
            </w:pPr>
            <w:r>
              <w:rPr>
                <w:spacing w:val="-16"/>
              </w:rPr>
              <w:t>分包模式</w:t>
            </w:r>
          </w:p>
        </w:tc>
        <w:tc>
          <w:tcPr>
            <w:tcW w:w="6972" w:type="dxa"/>
            <w:tcBorders>
              <w:right w:val="nil"/>
            </w:tcBorders>
            <w:vAlign w:val="top"/>
          </w:tcPr>
          <w:p w14:paraId="019DA5C3">
            <w:pPr>
              <w:pStyle w:val="7"/>
              <w:spacing w:before="97" w:line="216" w:lineRule="auto"/>
              <w:ind w:left="2365"/>
            </w:pPr>
            <w:r>
              <w:rPr>
                <w:spacing w:val="-19"/>
              </w:rPr>
              <w:t>1)选择合理的分包模式。</w:t>
            </w:r>
          </w:p>
          <w:p w14:paraId="5785D2E6">
            <w:pPr>
              <w:pStyle w:val="7"/>
              <w:spacing w:before="184" w:line="288" w:lineRule="auto"/>
              <w:ind w:left="719" w:hanging="659"/>
            </w:pPr>
            <w:r>
              <w:rPr>
                <w:spacing w:val="-23"/>
              </w:rPr>
              <w:t>2)在选择专业分包商及劳务作业层时，根据</w:t>
            </w:r>
            <w:r>
              <w:rPr>
                <w:spacing w:val="-24"/>
              </w:rPr>
              <w:t>不同的专业特点和施工要求，</w:t>
            </w:r>
            <w:r>
              <w:rPr>
                <w:spacing w:val="-22"/>
              </w:rPr>
              <w:t>采取不同的合同模式，在合同中明确保证进度的具体要求。</w:t>
            </w:r>
          </w:p>
          <w:p w14:paraId="23013471">
            <w:pPr>
              <w:pStyle w:val="7"/>
              <w:spacing w:before="185" w:line="217" w:lineRule="auto"/>
              <w:ind w:left="607"/>
            </w:pPr>
            <w:r>
              <w:rPr>
                <w:spacing w:val="-20"/>
              </w:rPr>
              <w:t>3)我公司将选用素质高，技术能力强的市政劳务</w:t>
            </w:r>
            <w:r>
              <w:rPr>
                <w:spacing w:val="-21"/>
              </w:rPr>
              <w:t>队进行施工。</w:t>
            </w:r>
          </w:p>
        </w:tc>
        <w:tc>
          <w:tcPr>
            <w:tcW w:w="132" w:type="dxa"/>
            <w:tcBorders>
              <w:left w:val="nil"/>
              <w:right w:val="single" w:color="000000" w:sz="4" w:space="0"/>
            </w:tcBorders>
            <w:vAlign w:val="top"/>
          </w:tcPr>
          <w:p w14:paraId="3B44660D">
            <w:pPr>
              <w:spacing w:line="61" w:lineRule="exact"/>
              <w:ind w:firstLine="93"/>
            </w:pPr>
            <w:r>
              <w:rPr>
                <w:position w:val="-1"/>
              </w:rPr>
              <w:pict>
                <v:group id="_x0000_s3687" o:spid="_x0000_s3687" o:spt="203" style="height:3.4pt;width:1.45pt;" coordsize="29,68">
                  <o:lock v:ext="edit"/>
                  <v:shape id="_x0000_s3688" o:spid="_x0000_s3688" style="position:absolute;left:14;top:0;height:68;width:15;" fillcolor="#20507B" filled="t" stroked="f" coordsize="15,68" path="m0,67l14,67,14,0,0,0,0,67xe">
                    <v:path/>
                    <v:fill on="t" focussize="0,0"/>
                    <v:stroke on="f"/>
                    <v:imagedata o:title=""/>
                    <o:lock v:ext="edit"/>
                  </v:shape>
                  <v:shape id="_x0000_s3689" o:spid="_x0000_s3689" style="position:absolute;left:0;top:0;height:68;width:15;" fillcolor="#1C456A" filled="t" stroked="f" coordsize="15,68" path="m0,67l14,67,14,0,0,0,0,67xe">
                    <v:path/>
                    <v:fill on="t" focussize="0,0"/>
                    <v:stroke on="f"/>
                    <v:imagedata o:title=""/>
                    <o:lock v:ext="edit"/>
                  </v:shape>
                  <w10:wrap type="none"/>
                  <w10:anchorlock/>
                </v:group>
              </w:pict>
            </w:r>
          </w:p>
        </w:tc>
      </w:tr>
      <w:tr w14:paraId="6FE6E4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51" w:hRule="atLeast"/>
        </w:trPr>
        <w:tc>
          <w:tcPr>
            <w:tcW w:w="681" w:type="dxa"/>
            <w:gridSpan w:val="2"/>
            <w:tcBorders>
              <w:left w:val="single" w:color="000000" w:sz="4" w:space="0"/>
            </w:tcBorders>
            <w:vAlign w:val="top"/>
          </w:tcPr>
          <w:p w14:paraId="44D3DAB0">
            <w:pPr>
              <w:spacing w:line="274" w:lineRule="auto"/>
              <w:rPr>
                <w:rFonts w:ascii="Arial"/>
                <w:sz w:val="21"/>
              </w:rPr>
            </w:pPr>
          </w:p>
          <w:p w14:paraId="0B488110">
            <w:pPr>
              <w:spacing w:line="274" w:lineRule="auto"/>
              <w:rPr>
                <w:rFonts w:ascii="Arial"/>
                <w:sz w:val="21"/>
              </w:rPr>
            </w:pPr>
          </w:p>
          <w:p w14:paraId="7F4C8111">
            <w:pPr>
              <w:spacing w:line="274" w:lineRule="auto"/>
              <w:rPr>
                <w:rFonts w:ascii="Arial"/>
                <w:sz w:val="21"/>
              </w:rPr>
            </w:pPr>
          </w:p>
          <w:p w14:paraId="10883702">
            <w:pPr>
              <w:spacing w:line="274" w:lineRule="auto"/>
              <w:rPr>
                <w:rFonts w:ascii="Arial"/>
                <w:sz w:val="21"/>
              </w:rPr>
            </w:pPr>
          </w:p>
          <w:p w14:paraId="666374B1">
            <w:pPr>
              <w:spacing w:line="274" w:lineRule="auto"/>
              <w:rPr>
                <w:rFonts w:ascii="Arial"/>
                <w:sz w:val="21"/>
              </w:rPr>
            </w:pPr>
          </w:p>
          <w:p w14:paraId="36F1902C">
            <w:pPr>
              <w:spacing w:line="274" w:lineRule="auto"/>
              <w:rPr>
                <w:rFonts w:ascii="Arial"/>
                <w:sz w:val="21"/>
              </w:rPr>
            </w:pPr>
          </w:p>
          <w:p w14:paraId="51B8380D">
            <w:pPr>
              <w:pStyle w:val="7"/>
              <w:spacing w:before="78" w:line="237" w:lineRule="auto"/>
              <w:ind w:left="296"/>
            </w:pPr>
            <w:r>
              <w:t>3</w:t>
            </w:r>
          </w:p>
        </w:tc>
        <w:tc>
          <w:tcPr>
            <w:tcW w:w="1348" w:type="dxa"/>
            <w:vAlign w:val="top"/>
          </w:tcPr>
          <w:p w14:paraId="70297AF6">
            <w:pPr>
              <w:spacing w:line="274" w:lineRule="auto"/>
              <w:rPr>
                <w:rFonts w:ascii="Arial"/>
                <w:sz w:val="21"/>
              </w:rPr>
            </w:pPr>
          </w:p>
          <w:p w14:paraId="269EFB4F">
            <w:pPr>
              <w:spacing w:line="274" w:lineRule="auto"/>
              <w:rPr>
                <w:rFonts w:ascii="Arial"/>
                <w:sz w:val="21"/>
              </w:rPr>
            </w:pPr>
          </w:p>
          <w:p w14:paraId="0E3B4172">
            <w:pPr>
              <w:spacing w:line="274" w:lineRule="auto"/>
              <w:rPr>
                <w:rFonts w:ascii="Arial"/>
                <w:sz w:val="21"/>
              </w:rPr>
            </w:pPr>
          </w:p>
          <w:p w14:paraId="701BFF6F">
            <w:pPr>
              <w:spacing w:line="274" w:lineRule="auto"/>
              <w:rPr>
                <w:rFonts w:ascii="Arial"/>
                <w:sz w:val="21"/>
              </w:rPr>
            </w:pPr>
          </w:p>
          <w:p w14:paraId="3211C715">
            <w:pPr>
              <w:spacing w:line="274" w:lineRule="auto"/>
              <w:rPr>
                <w:rFonts w:ascii="Arial"/>
                <w:sz w:val="21"/>
              </w:rPr>
            </w:pPr>
          </w:p>
          <w:p w14:paraId="7CF2D451">
            <w:pPr>
              <w:spacing w:line="274" w:lineRule="auto"/>
              <w:rPr>
                <w:rFonts w:ascii="Arial"/>
                <w:sz w:val="21"/>
              </w:rPr>
            </w:pPr>
          </w:p>
          <w:p w14:paraId="316449C5">
            <w:pPr>
              <w:pStyle w:val="7"/>
              <w:spacing w:before="78" w:line="220" w:lineRule="auto"/>
              <w:ind w:left="250"/>
            </w:pPr>
            <w:r>
              <w:rPr>
                <w:spacing w:val="-17"/>
              </w:rPr>
              <w:t>合同管理</w:t>
            </w:r>
          </w:p>
        </w:tc>
        <w:tc>
          <w:tcPr>
            <w:tcW w:w="7104" w:type="dxa"/>
            <w:gridSpan w:val="2"/>
            <w:tcBorders>
              <w:right w:val="single" w:color="000000" w:sz="4" w:space="0"/>
            </w:tcBorders>
            <w:vAlign w:val="top"/>
          </w:tcPr>
          <w:p w14:paraId="4AD5FA08">
            <w:pPr>
              <w:spacing w:line="62" w:lineRule="exact"/>
              <w:ind w:right="4"/>
              <w:jc w:val="right"/>
            </w:pPr>
            <w:r>
              <w:rPr>
                <w:position w:val="-1"/>
              </w:rPr>
              <w:drawing>
                <wp:inline distT="0" distB="0" distL="0" distR="0">
                  <wp:extent cx="17780" cy="39370"/>
                  <wp:effectExtent l="0" t="0" r="0" b="0"/>
                  <wp:docPr id="1152" name="IM 1152"/>
                  <wp:cNvGraphicFramePr/>
                  <a:graphic xmlns:a="http://schemas.openxmlformats.org/drawingml/2006/main">
                    <a:graphicData uri="http://schemas.openxmlformats.org/drawingml/2006/picture">
                      <pic:pic xmlns:pic="http://schemas.openxmlformats.org/drawingml/2006/picture">
                        <pic:nvPicPr>
                          <pic:cNvPr id="1152" name="IM 1152"/>
                          <pic:cNvPicPr/>
                        </pic:nvPicPr>
                        <pic:blipFill>
                          <a:blip r:embed="rId475"/>
                          <a:stretch>
                            <a:fillRect/>
                          </a:stretch>
                        </pic:blipFill>
                        <pic:spPr>
                          <a:xfrm>
                            <a:off x="0" y="0"/>
                            <a:ext cx="18288" cy="39750"/>
                          </a:xfrm>
                          <a:prstGeom prst="rect">
                            <a:avLst/>
                          </a:prstGeom>
                        </pic:spPr>
                      </pic:pic>
                    </a:graphicData>
                  </a:graphic>
                </wp:inline>
              </w:drawing>
            </w:r>
          </w:p>
          <w:p w14:paraId="7C57BA21">
            <w:pPr>
              <w:pStyle w:val="7"/>
              <w:spacing w:before="35" w:line="217" w:lineRule="auto"/>
              <w:ind w:left="75"/>
            </w:pPr>
            <w:r>
              <w:rPr>
                <w:spacing w:val="-21"/>
              </w:rPr>
              <w:t>1)施工前就要和各分包单位签订施工合同，规定完工日期及不能按期完成</w:t>
            </w:r>
          </w:p>
          <w:p w14:paraId="65EA9A20">
            <w:pPr>
              <w:pStyle w:val="7"/>
              <w:spacing w:before="184" w:line="215" w:lineRule="auto"/>
              <w:ind w:left="79"/>
            </w:pPr>
            <w:r>
              <w:rPr>
                <w:spacing w:val="-22"/>
              </w:rPr>
              <w:t>的惩罚措施等等。施工合同是施工和付工程款的依据，一定要在施工以前</w:t>
            </w:r>
          </w:p>
          <w:p w14:paraId="2137CFD2">
            <w:pPr>
              <w:pStyle w:val="7"/>
              <w:spacing w:before="188" w:line="220" w:lineRule="auto"/>
              <w:ind w:left="3232"/>
            </w:pPr>
            <w:r>
              <w:rPr>
                <w:spacing w:val="-22"/>
              </w:rPr>
              <w:t>签订。</w:t>
            </w:r>
          </w:p>
          <w:p w14:paraId="26CBDD0B">
            <w:pPr>
              <w:pStyle w:val="7"/>
              <w:spacing w:before="179" w:line="215" w:lineRule="auto"/>
              <w:ind w:left="60"/>
            </w:pPr>
            <w:r>
              <w:rPr>
                <w:spacing w:val="-20"/>
              </w:rPr>
              <w:t>2)在合同中添加专款专用制度以防止施工中因为</w:t>
            </w:r>
            <w:r>
              <w:rPr>
                <w:spacing w:val="-21"/>
              </w:rPr>
              <w:t>资金问题而影响工程的进</w:t>
            </w:r>
          </w:p>
          <w:p w14:paraId="2D7259F2">
            <w:pPr>
              <w:pStyle w:val="7"/>
              <w:spacing w:before="188" w:line="216" w:lineRule="auto"/>
              <w:ind w:left="65"/>
            </w:pPr>
            <w:r>
              <w:rPr>
                <w:spacing w:val="-21"/>
              </w:rPr>
              <w:t>展，充分保证劳动力、机械的充足配备，材料的及时进场。</w:t>
            </w:r>
            <w:r>
              <w:rPr>
                <w:spacing w:val="-22"/>
              </w:rPr>
              <w:t>随着工程各阶</w:t>
            </w:r>
          </w:p>
          <w:p w14:paraId="64EBA6E7">
            <w:pPr>
              <w:pStyle w:val="7"/>
              <w:spacing w:before="186" w:line="216" w:lineRule="auto"/>
              <w:ind w:left="66"/>
            </w:pPr>
            <w:r>
              <w:rPr>
                <w:spacing w:val="-21"/>
              </w:rPr>
              <w:t>段控制日期的完成，及时支付各作业队伍的劳务费用，为施</w:t>
            </w:r>
            <w:r>
              <w:rPr>
                <w:spacing w:val="-22"/>
              </w:rPr>
              <w:t>工作业人员的</w:t>
            </w:r>
          </w:p>
          <w:p w14:paraId="2E1DDA4D">
            <w:pPr>
              <w:pStyle w:val="7"/>
              <w:spacing w:before="187" w:line="217" w:lineRule="auto"/>
              <w:jc w:val="right"/>
            </w:pPr>
            <w:r>
              <w:rPr>
                <w:spacing w:val="-27"/>
              </w:rPr>
              <w:t>充足准备提供保证。按工期节点设立奖罚制度，提前或按期完成给予奖励，</w:t>
            </w:r>
          </w:p>
          <w:p w14:paraId="437B9778">
            <w:pPr>
              <w:pStyle w:val="7"/>
              <w:spacing w:before="183" w:line="219" w:lineRule="auto"/>
              <w:ind w:left="2788"/>
            </w:pPr>
            <w:r>
              <w:rPr>
                <w:spacing w:val="-18"/>
              </w:rPr>
              <w:t>拖期给予处罚。</w:t>
            </w:r>
          </w:p>
        </w:tc>
      </w:tr>
      <w:tr w14:paraId="2C40FB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58" w:hRule="atLeast"/>
        </w:trPr>
        <w:tc>
          <w:tcPr>
            <w:tcW w:w="172" w:type="dxa"/>
            <w:tcBorders>
              <w:left w:val="single" w:color="1C456A" w:sz="4" w:space="0"/>
              <w:bottom w:val="single" w:color="1C456A" w:sz="4" w:space="0"/>
              <w:right w:val="nil"/>
            </w:tcBorders>
            <w:vAlign w:val="top"/>
          </w:tcPr>
          <w:p w14:paraId="549E5752">
            <w:pPr>
              <w:rPr>
                <w:rFonts w:ascii="Arial"/>
                <w:sz w:val="21"/>
              </w:rPr>
            </w:pPr>
            <w:r>
              <w:pict>
                <v:shape id="_x0000_s3690" o:spid="_x0000_s3690" style="position:absolute;left:0pt;margin-left:-0.25pt;margin-top:77.95pt;height:0.75pt;width:2.2pt;mso-position-horizontal-relative:page;mso-position-vertical-relative:page;z-index:252174336;mso-width-relative:page;mso-height-relative:page;" fillcolor="#5B9BD5" filled="t" stroked="f" coordsize="44,15" path="m0,14l43,14,43,0,0,0,0,14xe">
                  <v:path/>
                  <v:fill on="t" focussize="0,0"/>
                  <v:stroke on="f"/>
                  <v:imagedata o:title=""/>
                  <o:lock v:ext="edit"/>
                </v:shape>
              </w:pict>
            </w:r>
          </w:p>
        </w:tc>
        <w:tc>
          <w:tcPr>
            <w:tcW w:w="509" w:type="dxa"/>
            <w:tcBorders>
              <w:left w:val="nil"/>
              <w:bottom w:val="single" w:color="1C456A" w:sz="4" w:space="0"/>
            </w:tcBorders>
            <w:vAlign w:val="top"/>
          </w:tcPr>
          <w:p w14:paraId="7F1D6CC4">
            <w:pPr>
              <w:spacing w:line="243" w:lineRule="auto"/>
              <w:rPr>
                <w:rFonts w:ascii="Arial"/>
                <w:sz w:val="21"/>
              </w:rPr>
            </w:pPr>
          </w:p>
          <w:p w14:paraId="19AB5C45">
            <w:pPr>
              <w:spacing w:line="244" w:lineRule="auto"/>
              <w:rPr>
                <w:rFonts w:ascii="Arial"/>
                <w:sz w:val="21"/>
              </w:rPr>
            </w:pPr>
          </w:p>
          <w:p w14:paraId="5A60FC0D">
            <w:pPr>
              <w:pStyle w:val="7"/>
              <w:spacing w:before="78" w:line="238" w:lineRule="auto"/>
              <w:ind w:left="123"/>
            </w:pPr>
            <w:r>
              <w:t>4</w:t>
            </w:r>
          </w:p>
        </w:tc>
        <w:tc>
          <w:tcPr>
            <w:tcW w:w="1348" w:type="dxa"/>
            <w:tcBorders>
              <w:bottom w:val="single" w:color="000000" w:sz="4" w:space="0"/>
            </w:tcBorders>
            <w:vAlign w:val="top"/>
          </w:tcPr>
          <w:p w14:paraId="60A92CA1">
            <w:pPr>
              <w:spacing w:line="256" w:lineRule="auto"/>
              <w:rPr>
                <w:rFonts w:ascii="Arial"/>
                <w:sz w:val="21"/>
              </w:rPr>
            </w:pPr>
          </w:p>
          <w:p w14:paraId="009F8281">
            <w:pPr>
              <w:pStyle w:val="7"/>
              <w:spacing w:before="78" w:line="217" w:lineRule="auto"/>
              <w:ind w:left="136"/>
            </w:pPr>
            <w:r>
              <w:rPr>
                <w:spacing w:val="-18"/>
              </w:rPr>
              <w:t>专题例会制</w:t>
            </w:r>
          </w:p>
          <w:p w14:paraId="26EE5724">
            <w:pPr>
              <w:pStyle w:val="7"/>
              <w:spacing w:before="182" w:line="219" w:lineRule="auto"/>
              <w:ind w:left="570"/>
            </w:pPr>
            <w:r>
              <w:t>度</w:t>
            </w:r>
          </w:p>
        </w:tc>
        <w:tc>
          <w:tcPr>
            <w:tcW w:w="7104" w:type="dxa"/>
            <w:gridSpan w:val="2"/>
            <w:tcBorders>
              <w:bottom w:val="single" w:color="5B9BD5" w:sz="4" w:space="0"/>
              <w:right w:val="single" w:color="5B9BD5" w:sz="4" w:space="0"/>
            </w:tcBorders>
            <w:vAlign w:val="top"/>
          </w:tcPr>
          <w:p w14:paraId="1AF0BB68">
            <w:pPr>
              <w:spacing w:line="66" w:lineRule="exact"/>
              <w:ind w:right="4"/>
              <w:jc w:val="right"/>
            </w:pPr>
            <w:r>
              <w:pict>
                <v:shape id="_x0000_s3691" o:spid="_x0000_s3691" style="position:absolute;left:0pt;margin-left:353.3pt;margin-top:77.95pt;height:0.75pt;width:2.2pt;mso-position-horizontal-relative:page;mso-position-vertical-relative:page;z-index:252173312;mso-width-relative:page;mso-height-relative:page;" fillcolor="#5B9BD5" filled="t" stroked="f" coordsize="44,15" path="m0,14l43,14,43,0,0,0,0,14xe">
                  <v:path/>
                  <v:fill on="t" focussize="0,0"/>
                  <v:stroke on="f"/>
                  <v:imagedata o:title=""/>
                  <o:lock v:ext="edit"/>
                </v:shape>
              </w:pict>
            </w:r>
            <w:r>
              <w:rPr>
                <w:position w:val="-1"/>
              </w:rPr>
              <w:drawing>
                <wp:inline distT="0" distB="0" distL="0" distR="0">
                  <wp:extent cx="17780" cy="41910"/>
                  <wp:effectExtent l="0" t="0" r="0" b="0"/>
                  <wp:docPr id="1154" name="IM 1154"/>
                  <wp:cNvGraphicFramePr/>
                  <a:graphic xmlns:a="http://schemas.openxmlformats.org/drawingml/2006/main">
                    <a:graphicData uri="http://schemas.openxmlformats.org/drawingml/2006/picture">
                      <pic:pic xmlns:pic="http://schemas.openxmlformats.org/drawingml/2006/picture">
                        <pic:nvPicPr>
                          <pic:cNvPr id="1154" name="IM 1154"/>
                          <pic:cNvPicPr/>
                        </pic:nvPicPr>
                        <pic:blipFill>
                          <a:blip r:embed="rId636"/>
                          <a:stretch>
                            <a:fillRect/>
                          </a:stretch>
                        </pic:blipFill>
                        <pic:spPr>
                          <a:xfrm>
                            <a:off x="0" y="0"/>
                            <a:ext cx="18288" cy="42163"/>
                          </a:xfrm>
                          <a:prstGeom prst="rect">
                            <a:avLst/>
                          </a:prstGeom>
                        </pic:spPr>
                      </pic:pic>
                    </a:graphicData>
                  </a:graphic>
                </wp:inline>
              </w:drawing>
            </w:r>
          </w:p>
          <w:p w14:paraId="71448260">
            <w:pPr>
              <w:pStyle w:val="7"/>
              <w:spacing w:before="36" w:line="218" w:lineRule="auto"/>
              <w:ind w:left="75"/>
            </w:pPr>
            <w:r>
              <w:rPr>
                <w:spacing w:val="-24"/>
              </w:rPr>
              <w:t>1）项目部定期召开施工生产协调会议，会议</w:t>
            </w:r>
            <w:r>
              <w:rPr>
                <w:spacing w:val="-25"/>
              </w:rPr>
              <w:t>由项目经理主持，业主指定专</w:t>
            </w:r>
          </w:p>
          <w:p w14:paraId="14A0A9EA">
            <w:pPr>
              <w:pStyle w:val="7"/>
              <w:spacing w:before="181" w:line="216" w:lineRule="auto"/>
              <w:jc w:val="right"/>
            </w:pPr>
            <w:r>
              <w:rPr>
                <w:spacing w:val="-27"/>
              </w:rPr>
              <w:t>业分包和劳务作业队主管生产的负责人参加。主要是检查计划的执行情况，</w:t>
            </w:r>
          </w:p>
          <w:p w14:paraId="0BDEE628">
            <w:pPr>
              <w:pStyle w:val="7"/>
              <w:spacing w:before="187" w:line="215" w:lineRule="auto"/>
              <w:ind w:left="1048"/>
            </w:pPr>
            <w:r>
              <w:rPr>
                <w:spacing w:val="-21"/>
              </w:rPr>
              <w:t>提出存在的问题，分析原因，研究对策，采取措施。</w:t>
            </w:r>
          </w:p>
        </w:tc>
      </w:tr>
    </w:tbl>
    <w:p w14:paraId="7F746CE7">
      <w:pPr>
        <w:rPr>
          <w:rFonts w:ascii="Arial"/>
          <w:sz w:val="21"/>
        </w:rPr>
      </w:pPr>
    </w:p>
    <w:p w14:paraId="20A73BCB">
      <w:pPr>
        <w:rPr>
          <w:rFonts w:ascii="Arial" w:hAnsi="Arial" w:eastAsia="Arial" w:cs="Arial"/>
          <w:sz w:val="21"/>
          <w:szCs w:val="21"/>
        </w:rPr>
        <w:sectPr>
          <w:footerReference r:id="rId267" w:type="default"/>
          <w:pgSz w:w="11907" w:h="16839"/>
          <w:pgMar w:top="933" w:right="4" w:bottom="1038" w:left="0" w:header="478" w:footer="357" w:gutter="0"/>
          <w:pgBorders>
            <w:top w:val="none" w:sz="0" w:space="0"/>
            <w:left w:val="none" w:sz="0" w:space="0"/>
            <w:bottom w:val="none" w:sz="0" w:space="0"/>
            <w:right w:val="none" w:sz="0" w:space="0"/>
          </w:pgBorders>
          <w:cols w:space="720" w:num="1"/>
        </w:sectPr>
      </w:pPr>
    </w:p>
    <w:p w14:paraId="19BA36DA">
      <w:pPr>
        <w:spacing w:line="235" w:lineRule="exact"/>
      </w:pPr>
    </w:p>
    <w:tbl>
      <w:tblPr>
        <w:tblStyle w:val="6"/>
        <w:tblW w:w="9133" w:type="dxa"/>
        <w:tblInd w:w="1387" w:type="dxa"/>
        <w:tblBorders>
          <w:top w:val="single" w:color="5B9BD5" w:sz="4" w:space="0"/>
          <w:left w:val="single" w:color="5B9BD5" w:sz="4" w:space="0"/>
          <w:bottom w:val="single" w:color="5B9BD5" w:sz="4" w:space="0"/>
          <w:right w:val="single" w:color="5B9BD5" w:sz="4" w:space="0"/>
          <w:insideH w:val="single" w:color="5B9BD5" w:sz="4" w:space="0"/>
          <w:insideV w:val="single" w:color="5B9BD5" w:sz="4" w:space="0"/>
        </w:tblBorders>
        <w:tblLayout w:type="fixed"/>
        <w:tblCellMar>
          <w:top w:w="0" w:type="dxa"/>
          <w:left w:w="0" w:type="dxa"/>
          <w:bottom w:w="0" w:type="dxa"/>
          <w:right w:w="0" w:type="dxa"/>
        </w:tblCellMar>
      </w:tblPr>
      <w:tblGrid>
        <w:gridCol w:w="676"/>
        <w:gridCol w:w="1352"/>
        <w:gridCol w:w="7105"/>
      </w:tblGrid>
      <w:tr w14:paraId="307C7A9E">
        <w:tblPrEx>
          <w:tblBorders>
            <w:top w:val="single" w:color="5B9BD5" w:sz="4" w:space="0"/>
            <w:left w:val="single" w:color="5B9BD5" w:sz="4" w:space="0"/>
            <w:bottom w:val="single" w:color="5B9BD5" w:sz="4" w:space="0"/>
            <w:right w:val="single" w:color="5B9BD5" w:sz="4" w:space="0"/>
            <w:insideH w:val="single" w:color="5B9BD5" w:sz="4" w:space="0"/>
            <w:insideV w:val="single" w:color="5B9BD5" w:sz="4" w:space="0"/>
          </w:tblBorders>
          <w:tblCellMar>
            <w:top w:w="0" w:type="dxa"/>
            <w:left w:w="0" w:type="dxa"/>
            <w:bottom w:w="0" w:type="dxa"/>
            <w:right w:w="0" w:type="dxa"/>
          </w:tblCellMar>
        </w:tblPrEx>
        <w:trPr>
          <w:trHeight w:val="2985" w:hRule="atLeast"/>
        </w:trPr>
        <w:tc>
          <w:tcPr>
            <w:tcW w:w="676" w:type="dxa"/>
            <w:tcBorders>
              <w:top w:val="single" w:color="1C456A" w:sz="4" w:space="0"/>
              <w:left w:val="single" w:color="1C456A" w:sz="4" w:space="0"/>
              <w:bottom w:val="single" w:color="1C456A" w:sz="4" w:space="0"/>
              <w:right w:val="single" w:color="000000" w:sz="2" w:space="0"/>
            </w:tcBorders>
            <w:vAlign w:val="top"/>
          </w:tcPr>
          <w:p w14:paraId="385EC262">
            <w:pPr>
              <w:rPr>
                <w:rFonts w:ascii="Arial"/>
                <w:sz w:val="21"/>
              </w:rPr>
            </w:pPr>
          </w:p>
        </w:tc>
        <w:tc>
          <w:tcPr>
            <w:tcW w:w="1352" w:type="dxa"/>
            <w:tcBorders>
              <w:left w:val="single" w:color="000000" w:sz="2" w:space="0"/>
              <w:right w:val="single" w:color="000000" w:sz="2" w:space="0"/>
            </w:tcBorders>
            <w:vAlign w:val="top"/>
          </w:tcPr>
          <w:p w14:paraId="0BBE4436">
            <w:pPr>
              <w:rPr>
                <w:rFonts w:ascii="Arial"/>
                <w:sz w:val="21"/>
              </w:rPr>
            </w:pPr>
          </w:p>
        </w:tc>
        <w:tc>
          <w:tcPr>
            <w:tcW w:w="7105" w:type="dxa"/>
            <w:tcBorders>
              <w:left w:val="single" w:color="000000" w:sz="2" w:space="0"/>
            </w:tcBorders>
            <w:vAlign w:val="top"/>
          </w:tcPr>
          <w:p w14:paraId="4A2AF8A6">
            <w:pPr>
              <w:pStyle w:val="7"/>
              <w:spacing w:before="129" w:line="216" w:lineRule="auto"/>
              <w:ind w:left="61"/>
            </w:pPr>
            <w:r>
              <w:rPr>
                <w:spacing w:val="-24"/>
              </w:rPr>
              <w:t>2）项目部随时召集并提前下达会议通知单。业主指定专业分包和各作业单</w:t>
            </w:r>
          </w:p>
          <w:p w14:paraId="5978C5B9">
            <w:pPr>
              <w:pStyle w:val="7"/>
              <w:spacing w:before="184" w:line="217" w:lineRule="auto"/>
              <w:ind w:left="938"/>
            </w:pPr>
            <w:r>
              <w:rPr>
                <w:spacing w:val="-21"/>
              </w:rPr>
              <w:t>位必须派符合资格的人参加，参加者将代表其决策者。</w:t>
            </w:r>
          </w:p>
          <w:p w14:paraId="60A1119B">
            <w:pPr>
              <w:pStyle w:val="7"/>
              <w:spacing w:before="185" w:line="217" w:lineRule="auto"/>
              <w:ind w:left="63"/>
            </w:pPr>
            <w:r>
              <w:rPr>
                <w:spacing w:val="-24"/>
              </w:rPr>
              <w:t>3）工程进度分析。计划管理人员定期进行进度分析，掌握指标的完成情况</w:t>
            </w:r>
          </w:p>
          <w:p w14:paraId="3BAF5468">
            <w:pPr>
              <w:pStyle w:val="7"/>
              <w:spacing w:before="183" w:line="217" w:lineRule="auto"/>
              <w:ind w:left="66"/>
            </w:pPr>
            <w:r>
              <w:rPr>
                <w:spacing w:val="-21"/>
              </w:rPr>
              <w:t>是否影响总目标。劳动力和机械设备的投入是否满足</w:t>
            </w:r>
            <w:r>
              <w:rPr>
                <w:spacing w:val="-22"/>
              </w:rPr>
              <w:t>施工进度的要求，通</w:t>
            </w:r>
          </w:p>
          <w:p w14:paraId="7F2DBFEF">
            <w:pPr>
              <w:pStyle w:val="7"/>
              <w:spacing w:before="186" w:line="217" w:lineRule="auto"/>
              <w:ind w:left="68"/>
            </w:pPr>
            <w:r>
              <w:rPr>
                <w:spacing w:val="-21"/>
              </w:rPr>
              <w:t>过分析、总结经验、暴露问题、找出原因、制定措施，确</w:t>
            </w:r>
            <w:r>
              <w:rPr>
                <w:spacing w:val="-22"/>
              </w:rPr>
              <w:t>保进度计划的顺</w:t>
            </w:r>
          </w:p>
          <w:p w14:paraId="68CE736C">
            <w:pPr>
              <w:pStyle w:val="7"/>
              <w:spacing w:before="183" w:line="217" w:lineRule="auto"/>
              <w:ind w:left="3118"/>
            </w:pPr>
            <w:r>
              <w:rPr>
                <w:spacing w:val="-15"/>
              </w:rPr>
              <w:t>利进行。</w:t>
            </w:r>
          </w:p>
          <w:p w14:paraId="6276CEF7">
            <w:pPr>
              <w:spacing w:before="208" w:line="23" w:lineRule="exact"/>
              <w:ind w:left="7078"/>
            </w:pPr>
            <w:r>
              <w:drawing>
                <wp:inline distT="0" distB="0" distL="0" distR="0">
                  <wp:extent cx="8890" cy="14605"/>
                  <wp:effectExtent l="0" t="0" r="0" b="0"/>
                  <wp:docPr id="1158" name="IM 1158"/>
                  <wp:cNvGraphicFramePr/>
                  <a:graphic xmlns:a="http://schemas.openxmlformats.org/drawingml/2006/main">
                    <a:graphicData uri="http://schemas.openxmlformats.org/drawingml/2006/picture">
                      <pic:pic xmlns:pic="http://schemas.openxmlformats.org/drawingml/2006/picture">
                        <pic:nvPicPr>
                          <pic:cNvPr id="1158" name="IM 1158"/>
                          <pic:cNvPicPr/>
                        </pic:nvPicPr>
                        <pic:blipFill>
                          <a:blip r:embed="rId648"/>
                          <a:stretch>
                            <a:fillRect/>
                          </a:stretch>
                        </pic:blipFill>
                        <pic:spPr>
                          <a:xfrm>
                            <a:off x="0" y="0"/>
                            <a:ext cx="9143" cy="14605"/>
                          </a:xfrm>
                          <a:prstGeom prst="rect">
                            <a:avLst/>
                          </a:prstGeom>
                        </pic:spPr>
                      </pic:pic>
                    </a:graphicData>
                  </a:graphic>
                </wp:inline>
              </w:drawing>
            </w:r>
          </w:p>
        </w:tc>
      </w:tr>
    </w:tbl>
    <w:p w14:paraId="395315E4">
      <w:pPr>
        <w:pStyle w:val="2"/>
        <w:spacing w:before="114" w:line="217" w:lineRule="auto"/>
        <w:ind w:left="1884"/>
        <w:rPr>
          <w:sz w:val="24"/>
          <w:szCs w:val="24"/>
        </w:rPr>
      </w:pPr>
      <w:r>
        <w:rPr>
          <w:spacing w:val="-17"/>
          <w:sz w:val="24"/>
          <w:szCs w:val="24"/>
        </w:rPr>
        <w:t>4.1人、财、物的保障</w:t>
      </w:r>
    </w:p>
    <w:p w14:paraId="051EE598">
      <w:pPr>
        <w:pStyle w:val="2"/>
        <w:spacing w:before="119" w:line="215" w:lineRule="auto"/>
        <w:ind w:left="1897"/>
        <w:rPr>
          <w:sz w:val="24"/>
          <w:szCs w:val="24"/>
        </w:rPr>
      </w:pPr>
      <w:r>
        <w:rPr>
          <w:spacing w:val="-21"/>
          <w:sz w:val="24"/>
          <w:szCs w:val="24"/>
        </w:rPr>
        <w:t>公司决定在人力、财力、物力等各方面给予优先安排,以确保施工顺利有序进</w:t>
      </w:r>
      <w:r>
        <w:rPr>
          <w:spacing w:val="-22"/>
          <w:sz w:val="24"/>
          <w:szCs w:val="24"/>
        </w:rPr>
        <w:t>行。</w:t>
      </w:r>
    </w:p>
    <w:p w14:paraId="32884F02">
      <w:pPr>
        <w:pStyle w:val="2"/>
        <w:spacing w:before="118" w:line="308" w:lineRule="auto"/>
        <w:ind w:left="1458" w:right="1413" w:firstLine="434"/>
        <w:jc w:val="both"/>
        <w:rPr>
          <w:sz w:val="24"/>
          <w:szCs w:val="24"/>
        </w:rPr>
      </w:pPr>
      <w:r>
        <w:rPr>
          <w:spacing w:val="-22"/>
          <w:sz w:val="24"/>
          <w:szCs w:val="24"/>
        </w:rPr>
        <w:t>（1）选派项目经理部骨干成员，组成强有力的生产技术指挥中心，每周一次</w:t>
      </w:r>
      <w:r>
        <w:rPr>
          <w:spacing w:val="-23"/>
          <w:sz w:val="24"/>
          <w:szCs w:val="24"/>
        </w:rPr>
        <w:t>在现场召开生</w:t>
      </w:r>
      <w:r>
        <w:rPr>
          <w:spacing w:val="-20"/>
          <w:sz w:val="24"/>
          <w:szCs w:val="24"/>
        </w:rPr>
        <w:t>产调度会以解决施工中各种问题。对分部、分项工程按总进度计划提前完成的有关人员给予奖</w:t>
      </w:r>
      <w:r>
        <w:rPr>
          <w:spacing w:val="-21"/>
          <w:sz w:val="24"/>
          <w:szCs w:val="24"/>
        </w:rPr>
        <w:t>励，对无故延误工期的有关人员实行经济处罚，并认真查</w:t>
      </w:r>
      <w:r>
        <w:rPr>
          <w:spacing w:val="-22"/>
          <w:sz w:val="24"/>
          <w:szCs w:val="24"/>
        </w:rPr>
        <w:t>找原因，及时采取措施。</w:t>
      </w:r>
    </w:p>
    <w:p w14:paraId="2B3E5478">
      <w:pPr>
        <w:pStyle w:val="2"/>
        <w:spacing w:before="1" w:line="308" w:lineRule="auto"/>
        <w:ind w:left="1460" w:right="1409" w:firstLine="433"/>
        <w:rPr>
          <w:sz w:val="24"/>
          <w:szCs w:val="24"/>
        </w:rPr>
      </w:pPr>
      <w:r>
        <w:rPr>
          <w:spacing w:val="-20"/>
          <w:sz w:val="24"/>
          <w:szCs w:val="24"/>
        </w:rPr>
        <w:t>本工程的劳动力投入计划详见“劳动力投入计划”中的相关内容。依据计划，劳动力需求</w:t>
      </w:r>
      <w:r>
        <w:rPr>
          <w:spacing w:val="-22"/>
          <w:sz w:val="24"/>
          <w:szCs w:val="24"/>
        </w:rPr>
        <w:t>必然需要强有力的保障措施作保证。保障措施见表。</w:t>
      </w:r>
    </w:p>
    <w:p w14:paraId="548EA3E4">
      <w:pPr>
        <w:pStyle w:val="2"/>
        <w:spacing w:line="216" w:lineRule="auto"/>
        <w:ind w:left="1905"/>
        <w:rPr>
          <w:sz w:val="24"/>
          <w:szCs w:val="24"/>
        </w:rPr>
      </w:pPr>
      <w:r>
        <w:pict>
          <v:shape id="_x0000_s3692" o:spid="_x0000_s3692" style="position:absolute;left:0pt;margin-left:151.3pt;margin-top:15.7pt;height:0.75pt;width:2.2pt;z-index:252176384;mso-width-relative:page;mso-height-relative:page;" fillcolor="#1C456A" filled="t" stroked="f" coordsize="44,15" path="m0,14l43,14,43,0,0,0,0,14xe">
            <v:path/>
            <v:fill on="t" focussize="0,0"/>
            <v:stroke on="f"/>
            <v:imagedata o:title=""/>
            <o:lock v:ext="edit"/>
          </v:shape>
        </w:pict>
      </w:r>
      <w:r>
        <w:rPr>
          <w:spacing w:val="-21"/>
          <w:sz w:val="24"/>
          <w:szCs w:val="24"/>
        </w:rPr>
        <w:t>劳动力投入的保障措施一览表</w:t>
      </w:r>
    </w:p>
    <w:p w14:paraId="7131910B">
      <w:pPr>
        <w:spacing w:line="48" w:lineRule="auto"/>
        <w:rPr>
          <w:rFonts w:ascii="Arial"/>
          <w:sz w:val="2"/>
        </w:rPr>
      </w:pPr>
    </w:p>
    <w:tbl>
      <w:tblPr>
        <w:tblStyle w:val="6"/>
        <w:tblW w:w="9133" w:type="dxa"/>
        <w:tblInd w:w="138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77"/>
        <w:gridCol w:w="520"/>
        <w:gridCol w:w="951"/>
        <w:gridCol w:w="1655"/>
        <w:gridCol w:w="4145"/>
        <w:gridCol w:w="1685"/>
      </w:tblGrid>
      <w:tr w14:paraId="5CC8CA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0" w:hRule="atLeast"/>
        </w:trPr>
        <w:tc>
          <w:tcPr>
            <w:tcW w:w="697" w:type="dxa"/>
            <w:gridSpan w:val="2"/>
            <w:tcBorders>
              <w:top w:val="single" w:color="000000" w:sz="4" w:space="0"/>
              <w:left w:val="single" w:color="000000" w:sz="4" w:space="0"/>
              <w:bottom w:val="nil"/>
            </w:tcBorders>
            <w:shd w:val="clear" w:color="auto" w:fill="DEEAF6"/>
            <w:vAlign w:val="top"/>
          </w:tcPr>
          <w:p w14:paraId="643324D5">
            <w:pPr>
              <w:spacing w:line="33" w:lineRule="exact"/>
              <w:ind w:firstLine="673"/>
            </w:pPr>
            <w:r>
              <w:pict>
                <v:shape id="_x0000_s3693" o:spid="_x0000_s3693" style="position:absolute;left:0pt;margin-left:-0.2pt;margin-top:0pt;height:0.75pt;width:2.2pt;mso-position-horizontal-relative:page;mso-position-vertical-relative:page;z-index:252179456;mso-width-relative:page;mso-height-relative:page;" fillcolor="#5B9BD5" filled="t" stroked="f" coordsize="44,15" path="m0,14l43,14,43,0,0,0,0,14xe">
                  <v:path/>
                  <v:fill on="t" focussize="0,0"/>
                  <v:stroke on="f"/>
                  <v:imagedata o:title=""/>
                  <o:lock v:ext="edit"/>
                </v:shape>
              </w:pict>
            </w:r>
            <w:r>
              <w:pict>
                <v:group id="_x0000_s3694" o:spid="_x0000_s3694" o:spt="203" style="height:2.2pt;width:2.2pt;" coordsize="44,44">
                  <o:lock v:ext="edit"/>
                  <v:shape id="_x0000_s3695" o:spid="_x0000_s3695" style="position:absolute;left:0;top:0;height:15;width:44;" fillcolor="#5B9BD5" filled="t" stroked="f" coordsize="44,15" path="m0,14l43,14,43,0,0,0,0,14xe">
                    <v:path/>
                    <v:fill on="t" focussize="0,0"/>
                    <v:stroke on="f"/>
                    <v:imagedata o:title=""/>
                    <o:lock v:ext="edit"/>
                  </v:shape>
                  <v:shape id="_x0000_s3696" o:spid="_x0000_s3696" style="position:absolute;left:0;top:14;height:15;width:44;" fillcolor="#20507B" filled="t" stroked="f" coordsize="44,15" path="m0,14l43,14,43,0,0,0,0,14xe">
                    <v:path/>
                    <v:fill on="t" focussize="0,0"/>
                    <v:stroke on="f"/>
                    <v:imagedata o:title=""/>
                    <o:lock v:ext="edit"/>
                  </v:shape>
                  <v:shape id="_x0000_s3697" o:spid="_x0000_s3697" style="position:absolute;left:0;top:28;height:15;width:44;" fillcolor="#1C456A" filled="t" stroked="f" coordsize="44,15" path="m0,14l43,14,43,0,0,0,0,14xe">
                    <v:path/>
                    <v:fill on="t" focussize="0,0"/>
                    <v:stroke on="f"/>
                    <v:imagedata o:title=""/>
                    <o:lock v:ext="edit"/>
                  </v:shape>
                  <w10:wrap type="none"/>
                  <w10:anchorlock/>
                </v:group>
              </w:pict>
            </w:r>
          </w:p>
        </w:tc>
        <w:tc>
          <w:tcPr>
            <w:tcW w:w="951" w:type="dxa"/>
            <w:vMerge w:val="restart"/>
            <w:tcBorders>
              <w:top w:val="single" w:color="000000" w:sz="4" w:space="0"/>
              <w:bottom w:val="nil"/>
            </w:tcBorders>
            <w:shd w:val="clear" w:color="auto" w:fill="DEEAF6"/>
            <w:vAlign w:val="top"/>
          </w:tcPr>
          <w:p w14:paraId="2D5D09F8">
            <w:pPr>
              <w:pStyle w:val="7"/>
              <w:spacing w:before="126" w:line="219" w:lineRule="auto"/>
              <w:ind w:left="262"/>
            </w:pPr>
            <w:r>
              <w:rPr>
                <w:b/>
                <w:bCs/>
                <w:spacing w:val="-13"/>
              </w:rPr>
              <w:t>类别</w:t>
            </w:r>
          </w:p>
        </w:tc>
        <w:tc>
          <w:tcPr>
            <w:tcW w:w="1655" w:type="dxa"/>
            <w:vMerge w:val="restart"/>
            <w:tcBorders>
              <w:top w:val="single" w:color="5B9BD5" w:sz="4" w:space="0"/>
              <w:bottom w:val="nil"/>
              <w:right w:val="nil"/>
            </w:tcBorders>
            <w:shd w:val="clear" w:color="auto" w:fill="DEEAF6"/>
            <w:vAlign w:val="top"/>
          </w:tcPr>
          <w:p w14:paraId="54FF8ABA">
            <w:pPr>
              <w:spacing w:line="18" w:lineRule="exact"/>
            </w:pPr>
            <w:r>
              <w:pict>
                <v:group id="_x0000_s3698" o:spid="_x0000_s3698" o:spt="203" style="height:1.45pt;width:2.2pt;" coordsize="44,29">
                  <o:lock v:ext="edit"/>
                  <v:shape id="_x0000_s3699" o:spid="_x0000_s3699" style="position:absolute;left:0;top:0;height:15;width:44;" fillcolor="#5B9BD5" filled="t" stroked="f" coordsize="44,15" path="m0,14l43,14,43,0,0,0,0,14xe">
                    <v:path/>
                    <v:fill on="t" focussize="0,0"/>
                    <v:stroke on="f"/>
                    <v:imagedata o:title=""/>
                    <o:lock v:ext="edit"/>
                  </v:shape>
                  <v:shape id="_x0000_s3700" o:spid="_x0000_s3700" style="position:absolute;left:0;top:14;height:15;width:44;" fillcolor="#20507B" filled="t" stroked="f" coordsize="44,15" path="m0,14l43,14,43,0,0,0,0,14xe">
                    <v:path/>
                    <v:fill on="t" focussize="0,0"/>
                    <v:stroke on="f"/>
                    <v:imagedata o:title=""/>
                    <o:lock v:ext="edit"/>
                  </v:shape>
                  <w10:wrap type="none"/>
                  <w10:anchorlock/>
                </v:group>
              </w:pict>
            </w:r>
          </w:p>
        </w:tc>
        <w:tc>
          <w:tcPr>
            <w:tcW w:w="4145" w:type="dxa"/>
            <w:vMerge w:val="restart"/>
            <w:tcBorders>
              <w:top w:val="single" w:color="5B9BD5" w:sz="4" w:space="0"/>
              <w:left w:val="nil"/>
              <w:bottom w:val="nil"/>
              <w:right w:val="nil"/>
            </w:tcBorders>
            <w:shd w:val="clear" w:color="auto" w:fill="DEEAF6"/>
            <w:vAlign w:val="top"/>
          </w:tcPr>
          <w:p w14:paraId="2D474795">
            <w:pPr>
              <w:pStyle w:val="7"/>
              <w:spacing w:before="127" w:line="218" w:lineRule="auto"/>
              <w:ind w:left="1655"/>
            </w:pPr>
            <w:r>
              <w:rPr>
                <w:b/>
                <w:bCs/>
                <w:spacing w:val="-18"/>
              </w:rPr>
              <w:t>措施内容</w:t>
            </w:r>
          </w:p>
        </w:tc>
        <w:tc>
          <w:tcPr>
            <w:tcW w:w="1685" w:type="dxa"/>
            <w:vMerge w:val="restart"/>
            <w:tcBorders>
              <w:top w:val="single" w:color="5B9BD5" w:sz="4" w:space="0"/>
              <w:left w:val="nil"/>
              <w:bottom w:val="nil"/>
              <w:right w:val="single" w:color="5B9BD5" w:sz="4" w:space="0"/>
            </w:tcBorders>
            <w:shd w:val="clear" w:color="auto" w:fill="DEEAF6"/>
            <w:vAlign w:val="top"/>
          </w:tcPr>
          <w:p w14:paraId="202DFFFE">
            <w:pPr>
              <w:rPr>
                <w:rFonts w:ascii="Arial"/>
                <w:sz w:val="21"/>
              </w:rPr>
            </w:pPr>
            <w:r>
              <w:pict>
                <v:shape id="_x0000_s3701" o:spid="_x0000_s3701" style="position:absolute;left:0pt;margin-left:82.35pt;margin-top:0pt;height:0.75pt;width:2.2pt;mso-position-horizontal-relative:page;mso-position-vertical-relative:page;z-index:252178432;mso-width-relative:page;mso-height-relative:page;" fillcolor="#5B9BD5" filled="t" stroked="f" coordsize="44,15" path="m0,14l43,14,43,0,0,0,0,14xe">
                  <v:path/>
                  <v:fill on="t" focussize="0,0"/>
                  <v:stroke on="f"/>
                  <v:imagedata o:title=""/>
                  <o:lock v:ext="edit"/>
                </v:shape>
              </w:pict>
            </w:r>
          </w:p>
        </w:tc>
      </w:tr>
      <w:tr w14:paraId="2E2527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9" w:hRule="atLeast"/>
        </w:trPr>
        <w:tc>
          <w:tcPr>
            <w:tcW w:w="697" w:type="dxa"/>
            <w:gridSpan w:val="2"/>
            <w:tcBorders>
              <w:top w:val="nil"/>
              <w:left w:val="single" w:color="000000" w:sz="4" w:space="0"/>
            </w:tcBorders>
            <w:vAlign w:val="top"/>
          </w:tcPr>
          <w:p w14:paraId="3EF3174A">
            <w:pPr>
              <w:pStyle w:val="7"/>
              <w:spacing w:before="17" w:line="218" w:lineRule="auto"/>
              <w:ind w:left="140"/>
            </w:pPr>
            <w:r>
              <mc:AlternateContent>
                <mc:Choice Requires="wps">
                  <w:drawing>
                    <wp:anchor distT="0" distB="0" distL="0" distR="0" simplePos="0" relativeHeight="252175360" behindDoc="1" locked="0" layoutInCell="1" allowOverlap="1">
                      <wp:simplePos x="0" y="0"/>
                      <wp:positionH relativeFrom="column">
                        <wp:posOffset>20955</wp:posOffset>
                      </wp:positionH>
                      <wp:positionV relativeFrom="paragraph">
                        <wp:posOffset>-48260</wp:posOffset>
                      </wp:positionV>
                      <wp:extent cx="405765" cy="370840"/>
                      <wp:effectExtent l="0" t="0" r="0" b="0"/>
                      <wp:wrapNone/>
                      <wp:docPr id="1160" name="Rect 1160"/>
                      <wp:cNvGraphicFramePr/>
                      <a:graphic xmlns:a="http://schemas.openxmlformats.org/drawingml/2006/main">
                        <a:graphicData uri="http://schemas.microsoft.com/office/word/2010/wordprocessingShape">
                          <wps:wsp>
                            <wps:cNvSpPr/>
                            <wps:spPr>
                              <a:xfrm>
                                <a:off x="21082" y="-48704"/>
                                <a:ext cx="405765" cy="370840"/>
                              </a:xfrm>
                              <a:prstGeom prst="rect">
                                <a:avLst/>
                              </a:prstGeom>
                              <a:solidFill>
                                <a:srgbClr val="DEEAF6"/>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1160" o:spid="_x0000_s1026" o:spt="1" style="position:absolute;left:0pt;margin-left:1.65pt;margin-top:-3.8pt;height:29.2pt;width:31.95pt;z-index:-251141120;mso-width-relative:page;mso-height-relative:page;" fillcolor="#DEEAF6" filled="t" stroked="f" coordsize="21600,21600" o:gfxdata="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CziARH1gAAAAYBAAAPAAAAAAAAAAEAIAAAACIAAABkcnMvZG93bnJldi54&#10;bWxQSwECFAAUAAAACACHTuJAGXko3zUCAABwBAAADgAAAAAAAAABACAAAAAlAQAAZHJzL2Uyb0Rv&#10;Yy54bWxQSwUGAAAAAAYABgBZAQAAzAUAAAAA&#10;">
                      <v:fill on="t" focussize="0,0"/>
                      <v:stroke on="f" weight="0pt"/>
                      <v:imagedata o:title=""/>
                      <o:lock v:ext="edit" aspectratio="f"/>
                      <v:textbox inset="0mm,0mm,0mm,0mm"/>
                    </v:rect>
                  </w:pict>
                </mc:Fallback>
              </mc:AlternateContent>
            </w:r>
            <w:r>
              <w:rPr>
                <w:b/>
                <w:bCs/>
                <w:spacing w:val="-12"/>
              </w:rPr>
              <w:t>序号</w:t>
            </w:r>
          </w:p>
        </w:tc>
        <w:tc>
          <w:tcPr>
            <w:tcW w:w="951" w:type="dxa"/>
            <w:vMerge w:val="continue"/>
            <w:tcBorders>
              <w:top w:val="nil"/>
            </w:tcBorders>
            <w:vAlign w:val="top"/>
          </w:tcPr>
          <w:p w14:paraId="3DE50445">
            <w:pPr>
              <w:rPr>
                <w:rFonts w:ascii="Arial"/>
                <w:sz w:val="21"/>
              </w:rPr>
            </w:pPr>
          </w:p>
        </w:tc>
        <w:tc>
          <w:tcPr>
            <w:tcW w:w="1655" w:type="dxa"/>
            <w:vMerge w:val="continue"/>
            <w:tcBorders>
              <w:top w:val="nil"/>
              <w:right w:val="nil"/>
            </w:tcBorders>
            <w:vAlign w:val="top"/>
          </w:tcPr>
          <w:p w14:paraId="20C5442F">
            <w:pPr>
              <w:rPr>
                <w:rFonts w:ascii="Arial"/>
                <w:sz w:val="21"/>
              </w:rPr>
            </w:pPr>
          </w:p>
        </w:tc>
        <w:tc>
          <w:tcPr>
            <w:tcW w:w="4145" w:type="dxa"/>
            <w:vMerge w:val="continue"/>
            <w:tcBorders>
              <w:top w:val="nil"/>
              <w:left w:val="nil"/>
              <w:right w:val="nil"/>
            </w:tcBorders>
            <w:vAlign w:val="top"/>
          </w:tcPr>
          <w:p w14:paraId="6686286C">
            <w:pPr>
              <w:rPr>
                <w:rFonts w:ascii="Arial"/>
                <w:sz w:val="21"/>
              </w:rPr>
            </w:pPr>
          </w:p>
        </w:tc>
        <w:tc>
          <w:tcPr>
            <w:tcW w:w="1685" w:type="dxa"/>
            <w:vMerge w:val="continue"/>
            <w:tcBorders>
              <w:top w:val="nil"/>
              <w:left w:val="nil"/>
              <w:right w:val="single" w:color="5B9BD5" w:sz="4" w:space="0"/>
            </w:tcBorders>
            <w:vAlign w:val="top"/>
          </w:tcPr>
          <w:p w14:paraId="4A251ECE">
            <w:pPr>
              <w:rPr>
                <w:rFonts w:ascii="Arial"/>
                <w:sz w:val="21"/>
              </w:rPr>
            </w:pPr>
          </w:p>
        </w:tc>
      </w:tr>
      <w:tr w14:paraId="5FE298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27" w:hRule="atLeast"/>
        </w:trPr>
        <w:tc>
          <w:tcPr>
            <w:tcW w:w="697" w:type="dxa"/>
            <w:gridSpan w:val="2"/>
            <w:tcBorders>
              <w:left w:val="single" w:color="000000" w:sz="4" w:space="0"/>
            </w:tcBorders>
            <w:vAlign w:val="top"/>
          </w:tcPr>
          <w:p w14:paraId="0CDEB30B">
            <w:pPr>
              <w:spacing w:line="241" w:lineRule="auto"/>
              <w:rPr>
                <w:rFonts w:ascii="Arial"/>
                <w:sz w:val="21"/>
              </w:rPr>
            </w:pPr>
          </w:p>
          <w:p w14:paraId="27688BC2">
            <w:pPr>
              <w:spacing w:line="241" w:lineRule="auto"/>
              <w:rPr>
                <w:rFonts w:ascii="Arial"/>
                <w:sz w:val="21"/>
              </w:rPr>
            </w:pPr>
          </w:p>
          <w:p w14:paraId="0C733462">
            <w:pPr>
              <w:spacing w:line="241" w:lineRule="auto"/>
              <w:rPr>
                <w:rFonts w:ascii="Arial"/>
                <w:sz w:val="21"/>
              </w:rPr>
            </w:pPr>
          </w:p>
          <w:p w14:paraId="6F80DEC5">
            <w:pPr>
              <w:spacing w:line="242" w:lineRule="auto"/>
              <w:rPr>
                <w:rFonts w:ascii="Arial"/>
                <w:sz w:val="21"/>
              </w:rPr>
            </w:pPr>
          </w:p>
          <w:p w14:paraId="6B54BE78">
            <w:pPr>
              <w:spacing w:line="242" w:lineRule="auto"/>
              <w:rPr>
                <w:rFonts w:ascii="Arial"/>
                <w:sz w:val="21"/>
              </w:rPr>
            </w:pPr>
          </w:p>
          <w:p w14:paraId="4C27811C">
            <w:pPr>
              <w:pStyle w:val="7"/>
              <w:spacing w:before="78" w:line="238" w:lineRule="auto"/>
              <w:ind w:left="313"/>
            </w:pPr>
            <w:r>
              <w:t>1</w:t>
            </w:r>
          </w:p>
        </w:tc>
        <w:tc>
          <w:tcPr>
            <w:tcW w:w="951" w:type="dxa"/>
            <w:vAlign w:val="top"/>
          </w:tcPr>
          <w:p w14:paraId="741377BD">
            <w:pPr>
              <w:spacing w:line="244" w:lineRule="auto"/>
              <w:rPr>
                <w:rFonts w:ascii="Arial"/>
                <w:sz w:val="21"/>
              </w:rPr>
            </w:pPr>
          </w:p>
          <w:p w14:paraId="1E0DE457">
            <w:pPr>
              <w:spacing w:line="244" w:lineRule="auto"/>
              <w:rPr>
                <w:rFonts w:ascii="Arial"/>
                <w:sz w:val="21"/>
              </w:rPr>
            </w:pPr>
          </w:p>
          <w:p w14:paraId="7661E64E">
            <w:pPr>
              <w:spacing w:line="244" w:lineRule="auto"/>
              <w:rPr>
                <w:rFonts w:ascii="Arial"/>
                <w:sz w:val="21"/>
              </w:rPr>
            </w:pPr>
          </w:p>
          <w:p w14:paraId="7BAF27A8">
            <w:pPr>
              <w:spacing w:line="244" w:lineRule="auto"/>
              <w:rPr>
                <w:rFonts w:ascii="Arial"/>
                <w:sz w:val="21"/>
              </w:rPr>
            </w:pPr>
          </w:p>
          <w:p w14:paraId="54563417">
            <w:pPr>
              <w:pStyle w:val="7"/>
              <w:spacing w:before="78" w:line="359" w:lineRule="auto"/>
              <w:ind w:left="382" w:right="133" w:hanging="232"/>
            </w:pPr>
            <w:r>
              <w:rPr>
                <w:spacing w:val="-20"/>
              </w:rPr>
              <w:t>数量保</w:t>
            </w:r>
            <w:r>
              <w:t>障</w:t>
            </w:r>
          </w:p>
        </w:tc>
        <w:tc>
          <w:tcPr>
            <w:tcW w:w="7485" w:type="dxa"/>
            <w:gridSpan w:val="3"/>
            <w:tcBorders>
              <w:right w:val="single" w:color="000000" w:sz="4" w:space="0"/>
            </w:tcBorders>
            <w:vAlign w:val="top"/>
          </w:tcPr>
          <w:p w14:paraId="55744DA1">
            <w:pPr>
              <w:spacing w:before="22" w:line="67" w:lineRule="exact"/>
              <w:ind w:firstLine="7444"/>
            </w:pPr>
            <w:r>
              <w:rPr>
                <w:position w:val="-1"/>
              </w:rPr>
              <w:pict>
                <v:group id="_x0000_s3702" o:spid="_x0000_s3702" o:spt="203" style="height:3.4pt;width:1.45pt;" coordsize="29,68">
                  <o:lock v:ext="edit"/>
                  <v:shape id="_x0000_s3703" o:spid="_x0000_s3703" style="position:absolute;left:14;top:0;height:68;width:15;" fillcolor="#20507B" filled="t" stroked="f" coordsize="15,68" path="m0,67l14,67,14,0,0,0,0,67xe">
                    <v:path/>
                    <v:fill on="t" focussize="0,0"/>
                    <v:stroke on="f"/>
                    <v:imagedata o:title=""/>
                    <o:lock v:ext="edit"/>
                  </v:shape>
                  <v:shape id="_x0000_s3704" o:spid="_x0000_s3704" style="position:absolute;left:0;top:0;height:68;width:15;" fillcolor="#1C456A" filled="t" stroked="f" coordsize="15,68" path="m0,67l14,67,14,0,0,0,0,67xe">
                    <v:path/>
                    <v:fill on="t" focussize="0,0"/>
                    <v:stroke on="f"/>
                    <v:imagedata o:title=""/>
                    <o:lock v:ext="edit"/>
                  </v:shape>
                  <w10:wrap type="none"/>
                  <w10:anchorlock/>
                </v:group>
              </w:pict>
            </w:r>
          </w:p>
          <w:p w14:paraId="0D50E88F">
            <w:pPr>
              <w:pStyle w:val="7"/>
              <w:spacing w:before="33" w:line="218" w:lineRule="auto"/>
              <w:ind w:left="374"/>
            </w:pPr>
            <w:r>
              <w:rPr>
                <w:spacing w:val="-22"/>
              </w:rPr>
              <w:t>1)按照“足够且略有盈余”的原则，以应对施工中的诸多不确定因素；</w:t>
            </w:r>
          </w:p>
          <w:p w14:paraId="7B933D20">
            <w:pPr>
              <w:pStyle w:val="7"/>
              <w:spacing w:before="184" w:line="216" w:lineRule="auto"/>
              <w:jc w:val="right"/>
            </w:pPr>
            <w:r>
              <w:rPr>
                <w:spacing w:val="-25"/>
              </w:rPr>
              <w:t>2）不因节假日及季节性影响导致人员流失，确保现场作业人员的长期固定性；</w:t>
            </w:r>
          </w:p>
          <w:p w14:paraId="62545F17">
            <w:pPr>
              <w:pStyle w:val="7"/>
              <w:spacing w:before="187" w:line="288" w:lineRule="auto"/>
              <w:ind w:left="1782" w:right="74" w:hanging="1692"/>
            </w:pPr>
            <w:r>
              <w:rPr>
                <w:spacing w:val="-21"/>
              </w:rPr>
              <w:t>3）根据总体、分阶段进度计划、劳动力供</w:t>
            </w:r>
            <w:r>
              <w:rPr>
                <w:spacing w:val="-22"/>
              </w:rPr>
              <w:t>应计划等，编制各工种劳动力平衡</w:t>
            </w:r>
            <w:r>
              <w:rPr>
                <w:spacing w:val="-21"/>
              </w:rPr>
              <w:t>计划，分解细化各阶段的劳动力投入量；</w:t>
            </w:r>
          </w:p>
          <w:p w14:paraId="58CB7775">
            <w:pPr>
              <w:pStyle w:val="7"/>
              <w:spacing w:before="186" w:line="288" w:lineRule="auto"/>
              <w:ind w:left="2984" w:right="124" w:hanging="2900"/>
            </w:pPr>
            <w:r>
              <w:rPr>
                <w:spacing w:val="-23"/>
              </w:rPr>
              <w:t>4）充分发挥经济杠杆作用，定期开展工期竞赛，进行工期考核，奖优罚劣，</w:t>
            </w:r>
            <w:r>
              <w:rPr>
                <w:spacing w:val="-19"/>
              </w:rPr>
              <w:t>激发劳动效率。</w:t>
            </w:r>
          </w:p>
        </w:tc>
      </w:tr>
      <w:tr w14:paraId="604F15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99" w:hRule="atLeast"/>
        </w:trPr>
        <w:tc>
          <w:tcPr>
            <w:tcW w:w="697" w:type="dxa"/>
            <w:gridSpan w:val="2"/>
            <w:tcBorders>
              <w:left w:val="single" w:color="000000" w:sz="4" w:space="0"/>
            </w:tcBorders>
            <w:vAlign w:val="top"/>
          </w:tcPr>
          <w:p w14:paraId="5B50F129">
            <w:pPr>
              <w:spacing w:line="286" w:lineRule="auto"/>
              <w:rPr>
                <w:rFonts w:ascii="Arial"/>
                <w:sz w:val="21"/>
              </w:rPr>
            </w:pPr>
          </w:p>
          <w:p w14:paraId="67F09B47">
            <w:pPr>
              <w:spacing w:line="286" w:lineRule="auto"/>
              <w:rPr>
                <w:rFonts w:ascii="Arial"/>
                <w:sz w:val="21"/>
              </w:rPr>
            </w:pPr>
          </w:p>
          <w:p w14:paraId="78E1D304">
            <w:pPr>
              <w:spacing w:line="287" w:lineRule="auto"/>
              <w:rPr>
                <w:rFonts w:ascii="Arial"/>
                <w:sz w:val="21"/>
              </w:rPr>
            </w:pPr>
          </w:p>
          <w:p w14:paraId="55B7A90E">
            <w:pPr>
              <w:spacing w:line="287" w:lineRule="auto"/>
              <w:rPr>
                <w:rFonts w:ascii="Arial"/>
                <w:sz w:val="21"/>
              </w:rPr>
            </w:pPr>
          </w:p>
          <w:p w14:paraId="2629B07B">
            <w:pPr>
              <w:spacing w:line="287" w:lineRule="auto"/>
              <w:rPr>
                <w:rFonts w:ascii="Arial"/>
                <w:sz w:val="21"/>
              </w:rPr>
            </w:pPr>
          </w:p>
          <w:p w14:paraId="6E7B68A7">
            <w:pPr>
              <w:pStyle w:val="7"/>
              <w:spacing w:before="78" w:line="238" w:lineRule="auto"/>
              <w:ind w:left="298"/>
            </w:pPr>
            <w:r>
              <w:t>2</w:t>
            </w:r>
          </w:p>
        </w:tc>
        <w:tc>
          <w:tcPr>
            <w:tcW w:w="951" w:type="dxa"/>
            <w:vAlign w:val="top"/>
          </w:tcPr>
          <w:p w14:paraId="06AB5B41">
            <w:pPr>
              <w:spacing w:line="299" w:lineRule="auto"/>
              <w:rPr>
                <w:rFonts w:ascii="Arial"/>
                <w:sz w:val="21"/>
              </w:rPr>
            </w:pPr>
          </w:p>
          <w:p w14:paraId="0B9919CD">
            <w:pPr>
              <w:spacing w:line="300" w:lineRule="auto"/>
              <w:rPr>
                <w:rFonts w:ascii="Arial"/>
                <w:sz w:val="21"/>
              </w:rPr>
            </w:pPr>
          </w:p>
          <w:p w14:paraId="508B1FBD">
            <w:pPr>
              <w:spacing w:line="300" w:lineRule="auto"/>
              <w:rPr>
                <w:rFonts w:ascii="Arial"/>
                <w:sz w:val="21"/>
              </w:rPr>
            </w:pPr>
          </w:p>
          <w:p w14:paraId="56396EC9">
            <w:pPr>
              <w:spacing w:line="300" w:lineRule="auto"/>
              <w:rPr>
                <w:rFonts w:ascii="Arial"/>
                <w:sz w:val="21"/>
              </w:rPr>
            </w:pPr>
          </w:p>
          <w:p w14:paraId="27E56506">
            <w:pPr>
              <w:pStyle w:val="7"/>
              <w:spacing w:before="78" w:line="360" w:lineRule="auto"/>
              <w:ind w:left="382" w:right="133" w:hanging="218"/>
            </w:pPr>
            <w:r>
              <w:rPr>
                <w:spacing w:val="-25"/>
              </w:rPr>
              <w:t>素质保</w:t>
            </w:r>
            <w:r>
              <w:t>障</w:t>
            </w:r>
          </w:p>
        </w:tc>
        <w:tc>
          <w:tcPr>
            <w:tcW w:w="7485" w:type="dxa"/>
            <w:gridSpan w:val="3"/>
            <w:tcBorders>
              <w:right w:val="single" w:color="000000" w:sz="4" w:space="0"/>
            </w:tcBorders>
            <w:vAlign w:val="top"/>
          </w:tcPr>
          <w:p w14:paraId="0E2B492A">
            <w:pPr>
              <w:spacing w:before="13" w:line="68" w:lineRule="exact"/>
              <w:ind w:right="4"/>
              <w:jc w:val="right"/>
            </w:pPr>
            <w:r>
              <w:rPr>
                <w:position w:val="-1"/>
              </w:rPr>
              <w:drawing>
                <wp:inline distT="0" distB="0" distL="0" distR="0">
                  <wp:extent cx="17780" cy="42545"/>
                  <wp:effectExtent l="0" t="0" r="0" b="0"/>
                  <wp:docPr id="1162" name="IM 1162"/>
                  <wp:cNvGraphicFramePr/>
                  <a:graphic xmlns:a="http://schemas.openxmlformats.org/drawingml/2006/main">
                    <a:graphicData uri="http://schemas.openxmlformats.org/drawingml/2006/picture">
                      <pic:pic xmlns:pic="http://schemas.openxmlformats.org/drawingml/2006/picture">
                        <pic:nvPicPr>
                          <pic:cNvPr id="1162" name="IM 1162"/>
                          <pic:cNvPicPr/>
                        </pic:nvPicPr>
                        <pic:blipFill>
                          <a:blip r:embed="rId449"/>
                          <a:stretch>
                            <a:fillRect/>
                          </a:stretch>
                        </pic:blipFill>
                        <pic:spPr>
                          <a:xfrm>
                            <a:off x="0" y="0"/>
                            <a:ext cx="18288" cy="42671"/>
                          </a:xfrm>
                          <a:prstGeom prst="rect">
                            <a:avLst/>
                          </a:prstGeom>
                        </pic:spPr>
                      </pic:pic>
                    </a:graphicData>
                  </a:graphic>
                </wp:inline>
              </w:drawing>
            </w:r>
          </w:p>
          <w:p w14:paraId="7E9FE6E1">
            <w:pPr>
              <w:pStyle w:val="7"/>
              <w:spacing w:before="36" w:line="288" w:lineRule="auto"/>
              <w:ind w:left="2545" w:right="48" w:hanging="2469"/>
            </w:pPr>
            <w:r>
              <w:rPr>
                <w:spacing w:val="-21"/>
              </w:rPr>
              <w:t>1)严格执行企业ISO9001认证体系运行文件要求，在企业的合</w:t>
            </w:r>
            <w:r>
              <w:rPr>
                <w:spacing w:val="-22"/>
              </w:rPr>
              <w:t>格分包商名录中</w:t>
            </w:r>
            <w:r>
              <w:rPr>
                <w:spacing w:val="-20"/>
              </w:rPr>
              <w:t>择优选择劳务分包队伍；</w:t>
            </w:r>
          </w:p>
          <w:p w14:paraId="7B69B458">
            <w:pPr>
              <w:pStyle w:val="7"/>
              <w:spacing w:before="185" w:line="289" w:lineRule="auto"/>
              <w:ind w:left="2090" w:right="74" w:hanging="2002"/>
            </w:pPr>
            <w:r>
              <w:rPr>
                <w:spacing w:val="-24"/>
              </w:rPr>
              <w:t>2)劳务分包合同中明确约定:进场人员必须持有各类《岗位资格证书》，其中</w:t>
            </w:r>
            <w:r>
              <w:rPr>
                <w:spacing w:val="-14"/>
              </w:rPr>
              <w:t>高、中级工所占比例不少于90%;</w:t>
            </w:r>
          </w:p>
          <w:p w14:paraId="5C5DD947">
            <w:pPr>
              <w:pStyle w:val="7"/>
              <w:spacing w:before="182" w:line="289" w:lineRule="auto"/>
              <w:ind w:left="3534" w:right="45" w:hanging="3470"/>
            </w:pPr>
            <w:r>
              <w:rPr>
                <w:spacing w:val="-23"/>
              </w:rPr>
              <w:t>3)劳务分包进场后，及时组织工期、技术、质量标准交底，进行安全教育培训</w:t>
            </w:r>
            <w:r>
              <w:rPr>
                <w:spacing w:val="-25"/>
              </w:rPr>
              <w:t>等；</w:t>
            </w:r>
          </w:p>
          <w:p w14:paraId="593D1FA2">
            <w:pPr>
              <w:pStyle w:val="7"/>
              <w:spacing w:before="184" w:line="218" w:lineRule="auto"/>
              <w:ind w:left="1556"/>
            </w:pPr>
            <w:r>
              <w:rPr>
                <w:spacing w:val="-20"/>
              </w:rPr>
              <w:t>4)施工中，定期组织工人素质考核、再教育。</w:t>
            </w:r>
          </w:p>
        </w:tc>
      </w:tr>
      <w:tr w14:paraId="497816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5" w:hRule="atLeast"/>
        </w:trPr>
        <w:tc>
          <w:tcPr>
            <w:tcW w:w="177" w:type="dxa"/>
            <w:tcBorders>
              <w:left w:val="single" w:color="1C456A" w:sz="4" w:space="0"/>
              <w:bottom w:val="single" w:color="1C456A" w:sz="4" w:space="0"/>
              <w:right w:val="nil"/>
            </w:tcBorders>
            <w:vAlign w:val="top"/>
          </w:tcPr>
          <w:p w14:paraId="0564E0FF">
            <w:pPr>
              <w:rPr>
                <w:rFonts w:ascii="Arial"/>
                <w:sz w:val="21"/>
              </w:rPr>
            </w:pPr>
            <w:r>
              <w:pict>
                <v:shape id="_x0000_s3705" o:spid="_x0000_s3705" style="position:absolute;left:0pt;margin-left:-0.25pt;margin-top:54.8pt;height:0.75pt;width:2.2pt;mso-position-horizontal-relative:page;mso-position-vertical-relative:page;z-index:252177408;mso-width-relative:page;mso-height-relative:page;" fillcolor="#5B9BD5" filled="t" stroked="f" coordsize="44,15" path="m0,14l43,14,43,0,0,0,0,14xe">
                  <v:path/>
                  <v:fill on="t" focussize="0,0"/>
                  <v:stroke on="f"/>
                  <v:imagedata o:title=""/>
                  <o:lock v:ext="edit"/>
                </v:shape>
              </w:pict>
            </w:r>
          </w:p>
        </w:tc>
        <w:tc>
          <w:tcPr>
            <w:tcW w:w="520" w:type="dxa"/>
            <w:tcBorders>
              <w:left w:val="nil"/>
              <w:bottom w:val="single" w:color="1C456A" w:sz="4" w:space="0"/>
            </w:tcBorders>
            <w:vAlign w:val="top"/>
          </w:tcPr>
          <w:p w14:paraId="5A29F226">
            <w:pPr>
              <w:spacing w:line="260" w:lineRule="auto"/>
              <w:rPr>
                <w:rFonts w:ascii="Arial"/>
                <w:sz w:val="21"/>
              </w:rPr>
            </w:pPr>
          </w:p>
          <w:p w14:paraId="64D6B58F">
            <w:pPr>
              <w:pStyle w:val="7"/>
              <w:spacing w:before="78" w:line="237" w:lineRule="auto"/>
              <w:ind w:left="128"/>
            </w:pPr>
            <w:r>
              <w:t>3</w:t>
            </w:r>
          </w:p>
        </w:tc>
        <w:tc>
          <w:tcPr>
            <w:tcW w:w="951" w:type="dxa"/>
            <w:tcBorders>
              <w:bottom w:val="single" w:color="000000" w:sz="4" w:space="0"/>
            </w:tcBorders>
            <w:vAlign w:val="top"/>
          </w:tcPr>
          <w:p w14:paraId="063A126E">
            <w:pPr>
              <w:pStyle w:val="7"/>
              <w:spacing w:before="107" w:line="220" w:lineRule="auto"/>
              <w:ind w:left="163"/>
            </w:pPr>
            <w:r>
              <w:rPr>
                <w:spacing w:val="-16"/>
              </w:rPr>
              <w:t>劳动力</w:t>
            </w:r>
          </w:p>
          <w:p w14:paraId="41E6D12D">
            <w:pPr>
              <w:pStyle w:val="7"/>
              <w:spacing w:before="179" w:line="220" w:lineRule="auto"/>
              <w:ind w:left="152"/>
            </w:pPr>
            <w:r>
              <w:rPr>
                <w:spacing w:val="-14"/>
              </w:rPr>
              <w:t>组织安</w:t>
            </w:r>
          </w:p>
        </w:tc>
        <w:tc>
          <w:tcPr>
            <w:tcW w:w="7485" w:type="dxa"/>
            <w:gridSpan w:val="3"/>
            <w:tcBorders>
              <w:bottom w:val="single" w:color="5B9BD5" w:sz="4" w:space="0"/>
              <w:right w:val="single" w:color="5B9BD5" w:sz="4" w:space="0"/>
            </w:tcBorders>
            <w:vAlign w:val="top"/>
          </w:tcPr>
          <w:p w14:paraId="2306BB04">
            <w:pPr>
              <w:spacing w:before="4" w:line="67" w:lineRule="exact"/>
              <w:ind w:right="4"/>
              <w:jc w:val="right"/>
            </w:pPr>
            <w:r>
              <w:rPr>
                <w:position w:val="-1"/>
              </w:rPr>
              <w:drawing>
                <wp:inline distT="0" distB="0" distL="0" distR="0">
                  <wp:extent cx="17780" cy="42545"/>
                  <wp:effectExtent l="0" t="0" r="0" b="0"/>
                  <wp:docPr id="1164" name="IM 1164"/>
                  <wp:cNvGraphicFramePr/>
                  <a:graphic xmlns:a="http://schemas.openxmlformats.org/drawingml/2006/main">
                    <a:graphicData uri="http://schemas.openxmlformats.org/drawingml/2006/picture">
                      <pic:pic xmlns:pic="http://schemas.openxmlformats.org/drawingml/2006/picture">
                        <pic:nvPicPr>
                          <pic:cNvPr id="1164" name="IM 1164"/>
                          <pic:cNvPicPr/>
                        </pic:nvPicPr>
                        <pic:blipFill>
                          <a:blip r:embed="rId449"/>
                          <a:stretch>
                            <a:fillRect/>
                          </a:stretch>
                        </pic:blipFill>
                        <pic:spPr>
                          <a:xfrm>
                            <a:off x="0" y="0"/>
                            <a:ext cx="18288" cy="42672"/>
                          </a:xfrm>
                          <a:prstGeom prst="rect">
                            <a:avLst/>
                          </a:prstGeom>
                        </pic:spPr>
                      </pic:pic>
                    </a:graphicData>
                  </a:graphic>
                </wp:inline>
              </w:drawing>
            </w:r>
          </w:p>
          <w:p w14:paraId="3EC90035">
            <w:pPr>
              <w:pStyle w:val="7"/>
              <w:spacing w:before="35" w:line="217" w:lineRule="auto"/>
              <w:jc w:val="right"/>
            </w:pPr>
            <w:r>
              <w:rPr>
                <w:spacing w:val="-23"/>
              </w:rPr>
              <w:t>1)为保证工程进度计划目标及管理生产目标，公司将充分配备项目管理人员，</w:t>
            </w:r>
          </w:p>
          <w:p w14:paraId="58F71D61">
            <w:pPr>
              <w:pStyle w:val="7"/>
              <w:spacing w:before="184" w:line="217" w:lineRule="auto"/>
              <w:ind w:left="1456"/>
            </w:pPr>
            <w:r>
              <w:rPr>
                <w:spacing w:val="-21"/>
              </w:rPr>
              <w:t>做到岗位设置齐全以形成严格完整的管理层次。</w:t>
            </w:r>
          </w:p>
          <w:p w14:paraId="65FB3E6B">
            <w:pPr>
              <w:spacing w:before="206" w:line="23" w:lineRule="exact"/>
              <w:ind w:left="7458"/>
            </w:pPr>
            <w:r>
              <w:drawing>
                <wp:inline distT="0" distB="0" distL="0" distR="0">
                  <wp:extent cx="8890" cy="13970"/>
                  <wp:effectExtent l="0" t="0" r="0" b="0"/>
                  <wp:docPr id="1166" name="IM 1166"/>
                  <wp:cNvGraphicFramePr/>
                  <a:graphic xmlns:a="http://schemas.openxmlformats.org/drawingml/2006/main">
                    <a:graphicData uri="http://schemas.openxmlformats.org/drawingml/2006/picture">
                      <pic:pic xmlns:pic="http://schemas.openxmlformats.org/drawingml/2006/picture">
                        <pic:nvPicPr>
                          <pic:cNvPr id="1166" name="IM 1166"/>
                          <pic:cNvPicPr/>
                        </pic:nvPicPr>
                        <pic:blipFill>
                          <a:blip r:embed="rId649"/>
                          <a:stretch>
                            <a:fillRect/>
                          </a:stretch>
                        </pic:blipFill>
                        <pic:spPr>
                          <a:xfrm>
                            <a:off x="0" y="0"/>
                            <a:ext cx="9143" cy="14273"/>
                          </a:xfrm>
                          <a:prstGeom prst="rect">
                            <a:avLst/>
                          </a:prstGeom>
                        </pic:spPr>
                      </pic:pic>
                    </a:graphicData>
                  </a:graphic>
                </wp:inline>
              </w:drawing>
            </w:r>
          </w:p>
        </w:tc>
      </w:tr>
    </w:tbl>
    <w:p w14:paraId="6E275AC3">
      <w:pPr>
        <w:rPr>
          <w:rFonts w:ascii="Arial"/>
          <w:sz w:val="21"/>
        </w:rPr>
      </w:pPr>
    </w:p>
    <w:p w14:paraId="127C3AAF">
      <w:pPr>
        <w:rPr>
          <w:rFonts w:ascii="Arial" w:hAnsi="Arial" w:eastAsia="Arial" w:cs="Arial"/>
          <w:sz w:val="21"/>
          <w:szCs w:val="21"/>
        </w:rPr>
        <w:sectPr>
          <w:footerReference r:id="rId268" w:type="default"/>
          <w:pgSz w:w="11907" w:h="16839"/>
          <w:pgMar w:top="933" w:right="4" w:bottom="1038" w:left="0" w:header="478" w:footer="357" w:gutter="0"/>
          <w:pgBorders>
            <w:top w:val="none" w:sz="0" w:space="0"/>
            <w:left w:val="none" w:sz="0" w:space="0"/>
            <w:bottom w:val="none" w:sz="0" w:space="0"/>
            <w:right w:val="none" w:sz="0" w:space="0"/>
          </w:pgBorders>
          <w:cols w:space="720" w:num="1"/>
        </w:sectPr>
      </w:pPr>
    </w:p>
    <w:p w14:paraId="655CFE07">
      <w:pPr>
        <w:spacing w:line="235" w:lineRule="exact"/>
      </w:pPr>
    </w:p>
    <w:tbl>
      <w:tblPr>
        <w:tblStyle w:val="6"/>
        <w:tblW w:w="9133" w:type="dxa"/>
        <w:tblInd w:w="138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75"/>
        <w:gridCol w:w="513"/>
        <w:gridCol w:w="959"/>
        <w:gridCol w:w="7423"/>
        <w:gridCol w:w="63"/>
      </w:tblGrid>
      <w:tr w14:paraId="63BB17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54" w:hRule="atLeast"/>
        </w:trPr>
        <w:tc>
          <w:tcPr>
            <w:tcW w:w="688" w:type="dxa"/>
            <w:gridSpan w:val="2"/>
            <w:tcBorders>
              <w:top w:val="single" w:color="000000" w:sz="4" w:space="0"/>
              <w:left w:val="single" w:color="000000" w:sz="4" w:space="0"/>
            </w:tcBorders>
            <w:vAlign w:val="top"/>
          </w:tcPr>
          <w:p w14:paraId="442970CA">
            <w:pPr>
              <w:rPr>
                <w:rFonts w:ascii="Arial"/>
                <w:sz w:val="21"/>
              </w:rPr>
            </w:pPr>
          </w:p>
        </w:tc>
        <w:tc>
          <w:tcPr>
            <w:tcW w:w="959" w:type="dxa"/>
            <w:tcBorders>
              <w:top w:val="single" w:color="000000" w:sz="4" w:space="0"/>
            </w:tcBorders>
            <w:vAlign w:val="top"/>
          </w:tcPr>
          <w:p w14:paraId="4FED66B0">
            <w:pPr>
              <w:pStyle w:val="7"/>
              <w:spacing w:before="129" w:line="218" w:lineRule="auto"/>
              <w:ind w:left="376"/>
            </w:pPr>
            <w:r>
              <w:t>排</w:t>
            </w:r>
          </w:p>
        </w:tc>
        <w:tc>
          <w:tcPr>
            <w:tcW w:w="7486" w:type="dxa"/>
            <w:gridSpan w:val="2"/>
            <w:tcBorders>
              <w:top w:val="single" w:color="5B9BD5" w:sz="4" w:space="0"/>
              <w:right w:val="single" w:color="5B9BD5" w:sz="4" w:space="0"/>
            </w:tcBorders>
            <w:vAlign w:val="top"/>
          </w:tcPr>
          <w:p w14:paraId="5BCD2105">
            <w:pPr>
              <w:pStyle w:val="7"/>
              <w:spacing w:before="129" w:line="216" w:lineRule="auto"/>
              <w:ind w:left="63"/>
            </w:pPr>
            <w:r>
              <w:rPr>
                <w:spacing w:val="-22"/>
              </w:rPr>
              <w:t>2)开工前提前组织好劳动力，挑选技术过硬、操作熟练的施工队伍，按照施工</w:t>
            </w:r>
          </w:p>
          <w:p w14:paraId="55DD8081">
            <w:pPr>
              <w:pStyle w:val="7"/>
              <w:spacing w:before="184" w:line="217" w:lineRule="auto"/>
              <w:ind w:left="69"/>
            </w:pPr>
            <w:r>
              <w:rPr>
                <w:spacing w:val="-23"/>
              </w:rPr>
              <w:t>进度计划的安排，分批进场。分析施工过程中的用人高峰和详细的劳动力需求</w:t>
            </w:r>
          </w:p>
          <w:p w14:paraId="3CEC7FA7">
            <w:pPr>
              <w:pStyle w:val="7"/>
              <w:spacing w:before="186" w:line="217" w:lineRule="auto"/>
              <w:ind w:left="67"/>
            </w:pPr>
            <w:r>
              <w:rPr>
                <w:spacing w:val="-23"/>
              </w:rPr>
              <w:t>计划，拟订日程表，劳动力的进场应相应比计划提前，预留进场培训，技术交</w:t>
            </w:r>
          </w:p>
          <w:p w14:paraId="232A18BD">
            <w:pPr>
              <w:pStyle w:val="7"/>
              <w:spacing w:before="183" w:line="218" w:lineRule="auto"/>
              <w:ind w:left="3313"/>
            </w:pPr>
            <w:r>
              <w:rPr>
                <w:spacing w:val="-16"/>
              </w:rPr>
              <w:t>底时间；</w:t>
            </w:r>
          </w:p>
          <w:p w14:paraId="017658F8">
            <w:pPr>
              <w:pStyle w:val="7"/>
              <w:spacing w:before="184" w:line="216" w:lineRule="auto"/>
              <w:ind w:left="65"/>
            </w:pPr>
            <w:r>
              <w:rPr>
                <w:spacing w:val="-22"/>
              </w:rPr>
              <w:t>3)做好后勤保障工作，安排好工人生活休息环境和伙食质量，尤其安排好</w:t>
            </w:r>
            <w:r>
              <w:rPr>
                <w:spacing w:val="-23"/>
              </w:rPr>
              <w:t>夜班</w:t>
            </w:r>
          </w:p>
          <w:p w14:paraId="05B3A7ED">
            <w:pPr>
              <w:pStyle w:val="7"/>
              <w:spacing w:before="185" w:line="216" w:lineRule="auto"/>
              <w:ind w:left="73"/>
            </w:pPr>
            <w:r>
              <w:rPr>
                <w:spacing w:val="-23"/>
              </w:rPr>
              <w:t>工人的休息环境，休息好才能工作好，保证工人有充沛的体力更好的完成施工</w:t>
            </w:r>
          </w:p>
          <w:p w14:paraId="6D906DD4">
            <w:pPr>
              <w:pStyle w:val="7"/>
              <w:spacing w:before="187" w:line="219" w:lineRule="auto"/>
              <w:ind w:left="3419"/>
            </w:pPr>
            <w:r>
              <w:rPr>
                <w:spacing w:val="-21"/>
              </w:rPr>
              <w:t>任务。</w:t>
            </w:r>
          </w:p>
          <w:p w14:paraId="1A35722F">
            <w:pPr>
              <w:pStyle w:val="7"/>
              <w:spacing w:before="181" w:line="215" w:lineRule="auto"/>
              <w:ind w:left="59"/>
            </w:pPr>
            <w:r>
              <w:rPr>
                <w:spacing w:val="-22"/>
              </w:rPr>
              <w:t>4)在确保现场劳动力前提下，还要计划储备一定数量劳动力，做为资源保障措</w:t>
            </w:r>
          </w:p>
          <w:p w14:paraId="278F884C">
            <w:pPr>
              <w:pStyle w:val="7"/>
              <w:spacing w:before="189" w:line="220" w:lineRule="auto"/>
              <w:ind w:left="3526"/>
            </w:pPr>
            <w:r>
              <w:rPr>
                <w:spacing w:val="-18"/>
              </w:rPr>
              <w:t>施。</w:t>
            </w:r>
          </w:p>
        </w:tc>
      </w:tr>
      <w:tr w14:paraId="14CA3F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52" w:hRule="atLeast"/>
        </w:trPr>
        <w:tc>
          <w:tcPr>
            <w:tcW w:w="688" w:type="dxa"/>
            <w:gridSpan w:val="2"/>
            <w:tcBorders>
              <w:left w:val="single" w:color="000000" w:sz="4" w:space="0"/>
            </w:tcBorders>
            <w:vAlign w:val="top"/>
          </w:tcPr>
          <w:p w14:paraId="0E54B29F">
            <w:pPr>
              <w:spacing w:line="259" w:lineRule="auto"/>
              <w:rPr>
                <w:rFonts w:ascii="Arial"/>
                <w:sz w:val="21"/>
              </w:rPr>
            </w:pPr>
          </w:p>
          <w:p w14:paraId="4F6A77AB">
            <w:pPr>
              <w:spacing w:line="260" w:lineRule="auto"/>
              <w:rPr>
                <w:rFonts w:ascii="Arial"/>
                <w:sz w:val="21"/>
              </w:rPr>
            </w:pPr>
          </w:p>
          <w:p w14:paraId="24C0311B">
            <w:pPr>
              <w:spacing w:line="260" w:lineRule="auto"/>
              <w:rPr>
                <w:rFonts w:ascii="Arial"/>
                <w:sz w:val="21"/>
              </w:rPr>
            </w:pPr>
          </w:p>
          <w:p w14:paraId="0079F3D3">
            <w:pPr>
              <w:spacing w:line="260" w:lineRule="auto"/>
              <w:rPr>
                <w:rFonts w:ascii="Arial"/>
                <w:sz w:val="21"/>
              </w:rPr>
            </w:pPr>
          </w:p>
          <w:p w14:paraId="5E159582">
            <w:pPr>
              <w:spacing w:line="260" w:lineRule="auto"/>
              <w:rPr>
                <w:rFonts w:ascii="Arial"/>
                <w:sz w:val="21"/>
              </w:rPr>
            </w:pPr>
          </w:p>
          <w:p w14:paraId="2BDC28FD">
            <w:pPr>
              <w:spacing w:line="260" w:lineRule="auto"/>
              <w:rPr>
                <w:rFonts w:ascii="Arial"/>
                <w:sz w:val="21"/>
              </w:rPr>
            </w:pPr>
          </w:p>
          <w:p w14:paraId="00357471">
            <w:pPr>
              <w:spacing w:line="260" w:lineRule="auto"/>
              <w:rPr>
                <w:rFonts w:ascii="Arial"/>
                <w:sz w:val="21"/>
              </w:rPr>
            </w:pPr>
          </w:p>
          <w:p w14:paraId="6D43C176">
            <w:pPr>
              <w:spacing w:line="260" w:lineRule="auto"/>
              <w:rPr>
                <w:rFonts w:ascii="Arial"/>
                <w:sz w:val="21"/>
              </w:rPr>
            </w:pPr>
          </w:p>
          <w:p w14:paraId="6E40A204">
            <w:pPr>
              <w:spacing w:line="260" w:lineRule="auto"/>
              <w:rPr>
                <w:rFonts w:ascii="Arial"/>
                <w:sz w:val="21"/>
              </w:rPr>
            </w:pPr>
          </w:p>
          <w:p w14:paraId="6B0A45EE">
            <w:pPr>
              <w:pStyle w:val="7"/>
              <w:spacing w:before="78" w:line="238" w:lineRule="auto"/>
              <w:ind w:left="295"/>
            </w:pPr>
            <w:r>
              <w:t>4</w:t>
            </w:r>
          </w:p>
        </w:tc>
        <w:tc>
          <w:tcPr>
            <w:tcW w:w="959" w:type="dxa"/>
            <w:vAlign w:val="top"/>
          </w:tcPr>
          <w:p w14:paraId="0830D125">
            <w:pPr>
              <w:spacing w:line="267" w:lineRule="auto"/>
              <w:rPr>
                <w:rFonts w:ascii="Arial"/>
                <w:sz w:val="21"/>
              </w:rPr>
            </w:pPr>
          </w:p>
          <w:p w14:paraId="7E22F2DB">
            <w:pPr>
              <w:spacing w:line="267" w:lineRule="auto"/>
              <w:rPr>
                <w:rFonts w:ascii="Arial"/>
                <w:sz w:val="21"/>
              </w:rPr>
            </w:pPr>
          </w:p>
          <w:p w14:paraId="2E1CF07C">
            <w:pPr>
              <w:spacing w:line="267" w:lineRule="auto"/>
              <w:rPr>
                <w:rFonts w:ascii="Arial"/>
                <w:sz w:val="21"/>
              </w:rPr>
            </w:pPr>
          </w:p>
          <w:p w14:paraId="2AB5C1D5">
            <w:pPr>
              <w:spacing w:line="268" w:lineRule="auto"/>
              <w:rPr>
                <w:rFonts w:ascii="Arial"/>
                <w:sz w:val="21"/>
              </w:rPr>
            </w:pPr>
          </w:p>
          <w:p w14:paraId="281CFAF4">
            <w:pPr>
              <w:spacing w:line="268" w:lineRule="auto"/>
              <w:rPr>
                <w:rFonts w:ascii="Arial"/>
                <w:sz w:val="21"/>
              </w:rPr>
            </w:pPr>
          </w:p>
          <w:p w14:paraId="6BF62B6B">
            <w:pPr>
              <w:spacing w:line="268" w:lineRule="auto"/>
              <w:rPr>
                <w:rFonts w:ascii="Arial"/>
                <w:sz w:val="21"/>
              </w:rPr>
            </w:pPr>
          </w:p>
          <w:p w14:paraId="3591B8DA">
            <w:pPr>
              <w:spacing w:line="268" w:lineRule="auto"/>
              <w:rPr>
                <w:rFonts w:ascii="Arial"/>
                <w:sz w:val="21"/>
              </w:rPr>
            </w:pPr>
          </w:p>
          <w:p w14:paraId="651BE05E">
            <w:pPr>
              <w:pStyle w:val="7"/>
              <w:spacing w:before="78" w:line="220" w:lineRule="auto"/>
              <w:ind w:left="164"/>
            </w:pPr>
            <w:r>
              <w:rPr>
                <w:spacing w:val="-14"/>
              </w:rPr>
              <w:t>人员劳</w:t>
            </w:r>
          </w:p>
          <w:p w14:paraId="45DE7EA9">
            <w:pPr>
              <w:pStyle w:val="7"/>
              <w:spacing w:before="182" w:line="220" w:lineRule="auto"/>
              <w:ind w:left="163"/>
            </w:pPr>
            <w:r>
              <w:rPr>
                <w:spacing w:val="-14"/>
              </w:rPr>
              <w:t>动力合</w:t>
            </w:r>
          </w:p>
          <w:p w14:paraId="1B1E5556">
            <w:pPr>
              <w:pStyle w:val="7"/>
              <w:spacing w:before="179" w:line="220" w:lineRule="auto"/>
              <w:ind w:left="162"/>
            </w:pPr>
            <w:r>
              <w:rPr>
                <w:spacing w:val="-14"/>
              </w:rPr>
              <w:t>理调配</w:t>
            </w:r>
          </w:p>
        </w:tc>
        <w:tc>
          <w:tcPr>
            <w:tcW w:w="7486" w:type="dxa"/>
            <w:gridSpan w:val="2"/>
            <w:tcBorders>
              <w:right w:val="single" w:color="000000" w:sz="4" w:space="0"/>
            </w:tcBorders>
            <w:vAlign w:val="top"/>
          </w:tcPr>
          <w:p w14:paraId="0A4D6644">
            <w:pPr>
              <w:spacing w:line="59" w:lineRule="exact"/>
              <w:ind w:right="4"/>
              <w:jc w:val="right"/>
            </w:pPr>
            <w:r>
              <w:rPr>
                <w:position w:val="-1"/>
              </w:rPr>
              <w:drawing>
                <wp:inline distT="0" distB="0" distL="0" distR="0">
                  <wp:extent cx="17780" cy="37465"/>
                  <wp:effectExtent l="0" t="0" r="0" b="0"/>
                  <wp:docPr id="1170" name="IM 1170"/>
                  <wp:cNvGraphicFramePr/>
                  <a:graphic xmlns:a="http://schemas.openxmlformats.org/drawingml/2006/main">
                    <a:graphicData uri="http://schemas.openxmlformats.org/drawingml/2006/picture">
                      <pic:pic xmlns:pic="http://schemas.openxmlformats.org/drawingml/2006/picture">
                        <pic:nvPicPr>
                          <pic:cNvPr id="1170" name="IM 1170"/>
                          <pic:cNvPicPr/>
                        </pic:nvPicPr>
                        <pic:blipFill>
                          <a:blip r:embed="rId476"/>
                          <a:stretch>
                            <a:fillRect/>
                          </a:stretch>
                        </pic:blipFill>
                        <pic:spPr>
                          <a:xfrm>
                            <a:off x="0" y="0"/>
                            <a:ext cx="18288" cy="38099"/>
                          </a:xfrm>
                          <a:prstGeom prst="rect">
                            <a:avLst/>
                          </a:prstGeom>
                        </pic:spPr>
                      </pic:pic>
                    </a:graphicData>
                  </a:graphic>
                </wp:inline>
              </w:drawing>
            </w:r>
          </w:p>
          <w:p w14:paraId="36E602AA">
            <w:pPr>
              <w:pStyle w:val="7"/>
              <w:spacing w:before="37" w:line="288" w:lineRule="auto"/>
              <w:ind w:left="1246" w:right="45" w:hanging="1169"/>
            </w:pPr>
            <w:r>
              <w:rPr>
                <w:spacing w:val="-23"/>
              </w:rPr>
              <w:t>1)做好劳动力的动态调配工作，抓关键工序，在关键工序延期时，可以抽</w:t>
            </w:r>
            <w:r>
              <w:rPr>
                <w:spacing w:val="-24"/>
              </w:rPr>
              <w:t>调精</w:t>
            </w:r>
            <w:r>
              <w:rPr>
                <w:spacing w:val="-22"/>
              </w:rPr>
              <w:t>干的人力，集中突击施工，确保关键线路按期完成。</w:t>
            </w:r>
          </w:p>
          <w:p w14:paraId="720FB375">
            <w:pPr>
              <w:pStyle w:val="7"/>
              <w:spacing w:before="183" w:line="288" w:lineRule="auto"/>
              <w:ind w:left="2325" w:hanging="2262"/>
            </w:pPr>
            <w:r>
              <w:rPr>
                <w:spacing w:val="-27"/>
              </w:rPr>
              <w:t>2)每道工序施工完成后，及时组织工人退场，给</w:t>
            </w:r>
            <w:r>
              <w:rPr>
                <w:spacing w:val="-28"/>
              </w:rPr>
              <w:t>下道工序工人操作提供作业面，</w:t>
            </w:r>
            <w:r>
              <w:rPr>
                <w:spacing w:val="-21"/>
              </w:rPr>
              <w:t>做到所有工作面均有人施工。</w:t>
            </w:r>
          </w:p>
          <w:p w14:paraId="0AF81B29">
            <w:pPr>
              <w:pStyle w:val="7"/>
              <w:spacing w:before="185" w:line="289" w:lineRule="auto"/>
              <w:ind w:left="2218" w:right="60" w:hanging="2153"/>
            </w:pPr>
            <w:r>
              <w:rPr>
                <w:spacing w:val="-23"/>
              </w:rPr>
              <w:t>3)根据进度计划、工程量和流水段划分合理安排劳动力和投入生产设</w:t>
            </w:r>
            <w:r>
              <w:rPr>
                <w:spacing w:val="-24"/>
              </w:rPr>
              <w:t>备，保证</w:t>
            </w:r>
            <w:r>
              <w:rPr>
                <w:spacing w:val="-20"/>
              </w:rPr>
              <w:t>按照进度计划的要求完成任务。</w:t>
            </w:r>
          </w:p>
          <w:p w14:paraId="772C68E9">
            <w:pPr>
              <w:pStyle w:val="7"/>
              <w:spacing w:before="182" w:line="289" w:lineRule="auto"/>
              <w:ind w:left="1672" w:hanging="1613"/>
            </w:pPr>
            <w:r>
              <w:rPr>
                <w:spacing w:val="-27"/>
              </w:rPr>
              <w:t>4)加强班组建设，做到分工和人员搭配合理，提高工效，</w:t>
            </w:r>
            <w:r>
              <w:rPr>
                <w:spacing w:val="-28"/>
              </w:rPr>
              <w:t>既要做到不停工待料，</w:t>
            </w:r>
            <w:r>
              <w:rPr>
                <w:spacing w:val="-21"/>
              </w:rPr>
              <w:t>又要调整好人员的安排，不出现窝工现象。</w:t>
            </w:r>
          </w:p>
          <w:p w14:paraId="2275C7C7">
            <w:pPr>
              <w:pStyle w:val="7"/>
              <w:spacing w:before="181" w:line="288" w:lineRule="auto"/>
              <w:ind w:left="70" w:right="45" w:hanging="5"/>
            </w:pPr>
            <w:r>
              <w:rPr>
                <w:spacing w:val="-23"/>
              </w:rPr>
              <w:t>5)合理调配劳动力，如钢筋工在绑扎钢筋的间歇，投入钢筋的制作成形工作以</w:t>
            </w:r>
            <w:r>
              <w:rPr>
                <w:spacing w:val="-24"/>
              </w:rPr>
              <w:t>及钢筋的场内二次倒运；混凝土工在绑扎钢筋和支设模板时，作为壮工配合使</w:t>
            </w:r>
          </w:p>
          <w:p w14:paraId="5871BDFE">
            <w:pPr>
              <w:pStyle w:val="7"/>
              <w:spacing w:before="188" w:line="220" w:lineRule="auto"/>
              <w:ind w:left="3527"/>
            </w:pPr>
            <w:r>
              <w:rPr>
                <w:spacing w:val="-18"/>
              </w:rPr>
              <w:t>用。</w:t>
            </w:r>
          </w:p>
        </w:tc>
      </w:tr>
      <w:tr w14:paraId="508D6D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51" w:hRule="atLeast"/>
        </w:trPr>
        <w:tc>
          <w:tcPr>
            <w:tcW w:w="688" w:type="dxa"/>
            <w:gridSpan w:val="2"/>
            <w:tcBorders>
              <w:left w:val="single" w:color="000000" w:sz="4" w:space="0"/>
            </w:tcBorders>
            <w:vAlign w:val="top"/>
          </w:tcPr>
          <w:p w14:paraId="60285A27">
            <w:pPr>
              <w:spacing w:line="316" w:lineRule="auto"/>
              <w:rPr>
                <w:rFonts w:ascii="Arial"/>
                <w:sz w:val="21"/>
              </w:rPr>
            </w:pPr>
          </w:p>
          <w:p w14:paraId="1B8F9861">
            <w:pPr>
              <w:spacing w:line="316" w:lineRule="auto"/>
              <w:rPr>
                <w:rFonts w:ascii="Arial"/>
                <w:sz w:val="21"/>
              </w:rPr>
            </w:pPr>
          </w:p>
          <w:p w14:paraId="2410195D">
            <w:pPr>
              <w:spacing w:line="317" w:lineRule="auto"/>
              <w:rPr>
                <w:rFonts w:ascii="Arial"/>
                <w:sz w:val="21"/>
              </w:rPr>
            </w:pPr>
          </w:p>
          <w:p w14:paraId="0FC0DAE1">
            <w:pPr>
              <w:pStyle w:val="7"/>
              <w:spacing w:before="78" w:line="237" w:lineRule="auto"/>
              <w:ind w:left="300"/>
            </w:pPr>
            <w:r>
              <w:t>5</w:t>
            </w:r>
          </w:p>
        </w:tc>
        <w:tc>
          <w:tcPr>
            <w:tcW w:w="959" w:type="dxa"/>
            <w:vAlign w:val="top"/>
          </w:tcPr>
          <w:p w14:paraId="5A633411">
            <w:pPr>
              <w:spacing w:line="242" w:lineRule="auto"/>
              <w:rPr>
                <w:rFonts w:ascii="Arial"/>
                <w:sz w:val="21"/>
              </w:rPr>
            </w:pPr>
          </w:p>
          <w:p w14:paraId="216DDD45">
            <w:pPr>
              <w:spacing w:line="242" w:lineRule="auto"/>
              <w:rPr>
                <w:rFonts w:ascii="Arial"/>
                <w:sz w:val="21"/>
              </w:rPr>
            </w:pPr>
          </w:p>
          <w:p w14:paraId="5265CDAD">
            <w:pPr>
              <w:pStyle w:val="7"/>
              <w:spacing w:before="78" w:line="217" w:lineRule="auto"/>
              <w:ind w:left="161"/>
            </w:pPr>
            <w:r>
              <w:rPr>
                <w:spacing w:val="-14"/>
              </w:rPr>
              <w:t>制定详</w:t>
            </w:r>
          </w:p>
          <w:p w14:paraId="1DA6196B">
            <w:pPr>
              <w:pStyle w:val="7"/>
              <w:spacing w:before="185" w:line="220" w:lineRule="auto"/>
              <w:ind w:left="165"/>
            </w:pPr>
            <w:r>
              <w:rPr>
                <w:spacing w:val="-15"/>
              </w:rPr>
              <w:t>细劳动</w:t>
            </w:r>
          </w:p>
          <w:p w14:paraId="4BF13F6A">
            <w:pPr>
              <w:pStyle w:val="7"/>
              <w:spacing w:before="180" w:line="218" w:lineRule="auto"/>
              <w:ind w:left="164"/>
            </w:pPr>
            <w:r>
              <w:rPr>
                <w:spacing w:val="-14"/>
              </w:rPr>
              <w:t>力计划</w:t>
            </w:r>
          </w:p>
        </w:tc>
        <w:tc>
          <w:tcPr>
            <w:tcW w:w="7486" w:type="dxa"/>
            <w:gridSpan w:val="2"/>
            <w:tcBorders>
              <w:right w:val="single" w:color="000000" w:sz="4" w:space="0"/>
            </w:tcBorders>
            <w:vAlign w:val="top"/>
          </w:tcPr>
          <w:p w14:paraId="0B748339">
            <w:pPr>
              <w:spacing w:line="64" w:lineRule="exact"/>
              <w:ind w:right="4"/>
              <w:jc w:val="right"/>
            </w:pPr>
            <w:r>
              <w:rPr>
                <w:position w:val="-1"/>
              </w:rPr>
              <w:drawing>
                <wp:inline distT="0" distB="0" distL="0" distR="0">
                  <wp:extent cx="17780" cy="40640"/>
                  <wp:effectExtent l="0" t="0" r="0" b="0"/>
                  <wp:docPr id="1172" name="IM 1172"/>
                  <wp:cNvGraphicFramePr/>
                  <a:graphic xmlns:a="http://schemas.openxmlformats.org/drawingml/2006/main">
                    <a:graphicData uri="http://schemas.openxmlformats.org/drawingml/2006/picture">
                      <pic:pic xmlns:pic="http://schemas.openxmlformats.org/drawingml/2006/picture">
                        <pic:nvPicPr>
                          <pic:cNvPr id="1172" name="IM 1172"/>
                          <pic:cNvPicPr/>
                        </pic:nvPicPr>
                        <pic:blipFill>
                          <a:blip r:embed="rId449"/>
                          <a:stretch>
                            <a:fillRect/>
                          </a:stretch>
                        </pic:blipFill>
                        <pic:spPr>
                          <a:xfrm>
                            <a:off x="0" y="0"/>
                            <a:ext cx="18288" cy="40766"/>
                          </a:xfrm>
                          <a:prstGeom prst="rect">
                            <a:avLst/>
                          </a:prstGeom>
                        </pic:spPr>
                      </pic:pic>
                    </a:graphicData>
                  </a:graphic>
                </wp:inline>
              </w:drawing>
            </w:r>
          </w:p>
          <w:p w14:paraId="72CD489C">
            <w:pPr>
              <w:pStyle w:val="7"/>
              <w:spacing w:before="36" w:line="216" w:lineRule="auto"/>
              <w:ind w:left="77"/>
            </w:pPr>
            <w:r>
              <w:rPr>
                <w:spacing w:val="-22"/>
              </w:rPr>
              <w:t>1)我公司将对劳务作业层实行专业化组织，穿</w:t>
            </w:r>
            <w:r>
              <w:rPr>
                <w:spacing w:val="-23"/>
              </w:rPr>
              <w:t>透性动态管理，以保证本工程各</w:t>
            </w:r>
          </w:p>
          <w:p w14:paraId="0C8BFF26">
            <w:pPr>
              <w:pStyle w:val="7"/>
              <w:spacing w:before="184" w:line="217" w:lineRule="auto"/>
              <w:ind w:left="476"/>
            </w:pPr>
            <w:r>
              <w:rPr>
                <w:spacing w:val="-21"/>
              </w:rPr>
              <w:t>项管理目标的实现。各专业主要工种人员的配备详见劳动力</w:t>
            </w:r>
            <w:r>
              <w:rPr>
                <w:spacing w:val="-22"/>
              </w:rPr>
              <w:t>动态表。</w:t>
            </w:r>
          </w:p>
          <w:p w14:paraId="28275556">
            <w:pPr>
              <w:pStyle w:val="7"/>
              <w:spacing w:before="185" w:line="217" w:lineRule="auto"/>
              <w:ind w:left="63"/>
            </w:pPr>
            <w:r>
              <w:rPr>
                <w:spacing w:val="-22"/>
              </w:rPr>
              <w:t>2)对于整个项目施工，保证劳动力需求配置计划按时实现。对于业主指定专业</w:t>
            </w:r>
          </w:p>
          <w:p w14:paraId="33BC17E6">
            <w:pPr>
              <w:pStyle w:val="7"/>
              <w:spacing w:before="184" w:line="217" w:lineRule="auto"/>
              <w:ind w:left="66"/>
            </w:pPr>
            <w:r>
              <w:rPr>
                <w:spacing w:val="-23"/>
              </w:rPr>
              <w:t>施工，将根据实际需要严格控制其人力资源的投入量以及投入时间、完成时间</w:t>
            </w:r>
          </w:p>
          <w:p w14:paraId="000B019F">
            <w:pPr>
              <w:pStyle w:val="7"/>
              <w:spacing w:before="185" w:line="217" w:lineRule="auto"/>
              <w:ind w:left="2679"/>
            </w:pPr>
            <w:r>
              <w:rPr>
                <w:spacing w:val="-22"/>
              </w:rPr>
              <w:t>以保证整体施工进度。</w:t>
            </w:r>
          </w:p>
        </w:tc>
      </w:tr>
      <w:tr w14:paraId="34A607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26" w:hRule="atLeast"/>
        </w:trPr>
        <w:tc>
          <w:tcPr>
            <w:tcW w:w="175" w:type="dxa"/>
            <w:tcBorders>
              <w:left w:val="single" w:color="1C456A" w:sz="4" w:space="0"/>
              <w:bottom w:val="single" w:color="1C456A" w:sz="4" w:space="0"/>
              <w:right w:val="nil"/>
            </w:tcBorders>
            <w:vAlign w:val="top"/>
          </w:tcPr>
          <w:p w14:paraId="70D28EA9">
            <w:pPr>
              <w:rPr>
                <w:rFonts w:ascii="Arial"/>
                <w:sz w:val="21"/>
              </w:rPr>
            </w:pPr>
            <w:r>
              <w:pict>
                <v:shape id="_x0000_s3706" o:spid="_x0000_s3706" style="position:absolute;left:0pt;margin-left:-0.25pt;margin-top:101.35pt;height:0.75pt;width:2.2pt;mso-position-horizontal-relative:page;mso-position-vertical-relative:page;z-index:252181504;mso-width-relative:page;mso-height-relative:page;" fillcolor="#5B9BD5" filled="t" stroked="f" coordsize="44,15" path="m0,14l43,14,43,0,0,0,0,14xe">
                  <v:path/>
                  <v:fill on="t" focussize="0,0"/>
                  <v:stroke on="f"/>
                  <v:imagedata o:title=""/>
                  <o:lock v:ext="edit"/>
                </v:shape>
              </w:pict>
            </w:r>
          </w:p>
        </w:tc>
        <w:tc>
          <w:tcPr>
            <w:tcW w:w="513" w:type="dxa"/>
            <w:tcBorders>
              <w:left w:val="nil"/>
              <w:bottom w:val="single" w:color="1C456A" w:sz="4" w:space="0"/>
            </w:tcBorders>
            <w:vAlign w:val="top"/>
          </w:tcPr>
          <w:p w14:paraId="0AF78DE6">
            <w:pPr>
              <w:rPr>
                <w:rFonts w:ascii="Arial"/>
                <w:sz w:val="21"/>
              </w:rPr>
            </w:pPr>
          </w:p>
          <w:p w14:paraId="33641A0A">
            <w:pPr>
              <w:rPr>
                <w:rFonts w:ascii="Arial"/>
                <w:sz w:val="21"/>
              </w:rPr>
            </w:pPr>
          </w:p>
          <w:p w14:paraId="2940C088">
            <w:pPr>
              <w:rPr>
                <w:rFonts w:ascii="Arial"/>
                <w:sz w:val="21"/>
              </w:rPr>
            </w:pPr>
          </w:p>
          <w:p w14:paraId="0A445DB8">
            <w:pPr>
              <w:pStyle w:val="7"/>
              <w:spacing w:before="78" w:line="237" w:lineRule="auto"/>
              <w:ind w:left="127"/>
            </w:pPr>
            <w:r>
              <w:t>6</w:t>
            </w:r>
          </w:p>
        </w:tc>
        <w:tc>
          <w:tcPr>
            <w:tcW w:w="959" w:type="dxa"/>
            <w:tcBorders>
              <w:bottom w:val="single" w:color="000000" w:sz="4" w:space="0"/>
            </w:tcBorders>
            <w:vAlign w:val="top"/>
          </w:tcPr>
          <w:p w14:paraId="5344856D">
            <w:pPr>
              <w:spacing w:line="244" w:lineRule="auto"/>
              <w:rPr>
                <w:rFonts w:ascii="Arial"/>
                <w:sz w:val="21"/>
              </w:rPr>
            </w:pPr>
          </w:p>
          <w:p w14:paraId="7B3AFB61">
            <w:pPr>
              <w:spacing w:line="244" w:lineRule="auto"/>
              <w:rPr>
                <w:rFonts w:ascii="Arial"/>
                <w:sz w:val="21"/>
              </w:rPr>
            </w:pPr>
          </w:p>
          <w:p w14:paraId="488F4D4F">
            <w:pPr>
              <w:pStyle w:val="7"/>
              <w:spacing w:before="79" w:line="220" w:lineRule="auto"/>
              <w:ind w:left="162"/>
            </w:pPr>
            <w:r>
              <w:rPr>
                <w:spacing w:val="-14"/>
              </w:rPr>
              <w:t>抢工应</w:t>
            </w:r>
          </w:p>
          <w:p w14:paraId="0F68CBB4">
            <w:pPr>
              <w:pStyle w:val="7"/>
              <w:spacing w:before="179" w:line="219" w:lineRule="auto"/>
              <w:ind w:left="173"/>
            </w:pPr>
            <w:r>
              <w:rPr>
                <w:spacing w:val="-17"/>
              </w:rPr>
              <w:t>急措施</w:t>
            </w:r>
          </w:p>
        </w:tc>
        <w:tc>
          <w:tcPr>
            <w:tcW w:w="7423" w:type="dxa"/>
            <w:tcBorders>
              <w:bottom w:val="single" w:color="5B9BD5" w:sz="4" w:space="0"/>
              <w:right w:val="nil"/>
            </w:tcBorders>
            <w:vAlign w:val="top"/>
          </w:tcPr>
          <w:p w14:paraId="70B5FB17">
            <w:pPr>
              <w:pStyle w:val="7"/>
              <w:spacing w:before="103" w:line="289" w:lineRule="auto"/>
              <w:ind w:left="2550" w:right="15" w:hanging="2446"/>
            </w:pPr>
            <w:r>
              <w:rPr>
                <w:spacing w:val="-22"/>
              </w:rPr>
              <w:t>1）从施工队伍选择上尽量避免和没有充足劳动力的劳务公司合作，确保在农</w:t>
            </w:r>
            <w:r>
              <w:rPr>
                <w:spacing w:val="-20"/>
              </w:rPr>
              <w:t>忙期间劳动人员不减员。</w:t>
            </w:r>
          </w:p>
          <w:p w14:paraId="17845787">
            <w:pPr>
              <w:pStyle w:val="7"/>
              <w:spacing w:before="181" w:line="288" w:lineRule="auto"/>
              <w:ind w:left="2874" w:right="15" w:hanging="2785"/>
            </w:pPr>
            <w:r>
              <w:rPr>
                <w:spacing w:val="-21"/>
              </w:rPr>
              <w:t>2）当出现习惯性劳动力供应不及时时，我公司可</w:t>
            </w:r>
            <w:r>
              <w:rPr>
                <w:spacing w:val="-22"/>
              </w:rPr>
              <w:t>抽调地区的资源，对</w:t>
            </w:r>
            <w:r>
              <w:rPr>
                <w:spacing w:val="-19"/>
              </w:rPr>
              <w:t>本工程进行补充。</w:t>
            </w:r>
          </w:p>
        </w:tc>
        <w:tc>
          <w:tcPr>
            <w:tcW w:w="63" w:type="dxa"/>
            <w:tcBorders>
              <w:left w:val="nil"/>
              <w:bottom w:val="single" w:color="5B9BD5" w:sz="4" w:space="0"/>
              <w:right w:val="single" w:color="5B9BD5" w:sz="4" w:space="0"/>
            </w:tcBorders>
            <w:vAlign w:val="top"/>
          </w:tcPr>
          <w:p w14:paraId="07D9CCCB">
            <w:pPr>
              <w:spacing w:line="66" w:lineRule="exact"/>
              <w:ind w:firstLine="24"/>
            </w:pPr>
            <w:r>
              <w:pict>
                <v:shape id="_x0000_s3707" o:spid="_x0000_s3707" style="position:absolute;left:0pt;margin-left:1.25pt;margin-top:101.35pt;height:0.75pt;width:2.2pt;mso-position-horizontal-relative:page;mso-position-vertical-relative:page;z-index:252180480;mso-width-relative:page;mso-height-relative:page;" fillcolor="#5B9BD5" filled="t" stroked="f" coordsize="44,15" path="m0,14l43,14,43,0,0,0,0,14xe">
                  <v:path/>
                  <v:fill on="t" focussize="0,0"/>
                  <v:stroke on="f"/>
                  <v:imagedata o:title=""/>
                  <o:lock v:ext="edit"/>
                </v:shape>
              </w:pict>
            </w:r>
            <w:r>
              <w:rPr>
                <w:position w:val="-1"/>
              </w:rPr>
              <w:pict>
                <v:group id="_x0000_s3708" o:spid="_x0000_s3708" o:spt="203" style="height:3.4pt;width:1.45pt;" coordsize="29,68">
                  <o:lock v:ext="edit"/>
                  <v:shape id="_x0000_s3709" o:spid="_x0000_s3709" style="position:absolute;left:14;top:0;height:68;width:15;" fillcolor="#20507B" filled="t" stroked="f" coordsize="15,68" path="m0,67l14,67,14,0,0,0,0,67xe">
                    <v:path/>
                    <v:fill on="t" focussize="0,0"/>
                    <v:stroke on="f"/>
                    <v:imagedata o:title=""/>
                    <o:lock v:ext="edit"/>
                  </v:shape>
                  <v:shape id="_x0000_s3710" o:spid="_x0000_s3710" style="position:absolute;left:0;top:0;height:68;width:15;" fillcolor="#1C456A" filled="t" stroked="f" coordsize="15,68" path="m0,67l14,67,14,0,0,0,0,67xe">
                    <v:path/>
                    <v:fill on="t" focussize="0,0"/>
                    <v:stroke on="f"/>
                    <v:imagedata o:title=""/>
                    <o:lock v:ext="edit"/>
                  </v:shape>
                  <w10:wrap type="none"/>
                  <w10:anchorlock/>
                </v:group>
              </w:pict>
            </w:r>
          </w:p>
        </w:tc>
      </w:tr>
    </w:tbl>
    <w:p w14:paraId="17B19093">
      <w:pPr>
        <w:rPr>
          <w:rFonts w:ascii="Arial"/>
          <w:sz w:val="21"/>
        </w:rPr>
      </w:pPr>
    </w:p>
    <w:p w14:paraId="11C253DB">
      <w:pPr>
        <w:rPr>
          <w:rFonts w:ascii="Arial" w:hAnsi="Arial" w:eastAsia="Arial" w:cs="Arial"/>
          <w:sz w:val="21"/>
          <w:szCs w:val="21"/>
        </w:rPr>
        <w:sectPr>
          <w:footerReference r:id="rId269" w:type="default"/>
          <w:pgSz w:w="11907" w:h="16839"/>
          <w:pgMar w:top="933" w:right="4" w:bottom="1038" w:left="0" w:header="478" w:footer="357" w:gutter="0"/>
          <w:pgBorders>
            <w:top w:val="none" w:sz="0" w:space="0"/>
            <w:left w:val="none" w:sz="0" w:space="0"/>
            <w:bottom w:val="none" w:sz="0" w:space="0"/>
            <w:right w:val="none" w:sz="0" w:space="0"/>
          </w:pgBorders>
          <w:cols w:space="720" w:num="1"/>
        </w:sectPr>
      </w:pPr>
    </w:p>
    <w:p w14:paraId="210AB0FC">
      <w:pPr>
        <w:spacing w:line="271" w:lineRule="auto"/>
        <w:rPr>
          <w:rFonts w:ascii="Arial"/>
          <w:sz w:val="21"/>
        </w:rPr>
      </w:pPr>
    </w:p>
    <w:p w14:paraId="66CF736F">
      <w:pPr>
        <w:pStyle w:val="2"/>
        <w:spacing w:before="78" w:line="216" w:lineRule="auto"/>
        <w:ind w:left="1893"/>
        <w:rPr>
          <w:sz w:val="24"/>
          <w:szCs w:val="24"/>
        </w:rPr>
      </w:pPr>
      <w:r>
        <w:rPr>
          <w:spacing w:val="-22"/>
          <w:sz w:val="24"/>
          <w:szCs w:val="24"/>
        </w:rPr>
        <w:t>（2）材料部门要根据提料计划，提前制定材料采购和供应计划，选择合格的供货商，提前</w:t>
      </w:r>
    </w:p>
    <w:p w14:paraId="4609F62A">
      <w:pPr>
        <w:pStyle w:val="2"/>
        <w:spacing w:before="120" w:line="216" w:lineRule="auto"/>
        <w:ind w:left="1453"/>
        <w:rPr>
          <w:sz w:val="24"/>
          <w:szCs w:val="24"/>
        </w:rPr>
      </w:pPr>
      <w:r>
        <w:rPr>
          <w:spacing w:val="-22"/>
          <w:sz w:val="24"/>
          <w:szCs w:val="24"/>
        </w:rPr>
        <w:t>3天按工程进度、部位将优质材料采购至现场，避免因供应不及时而耽误工期的现象发生。</w:t>
      </w:r>
    </w:p>
    <w:p w14:paraId="1396CEFB">
      <w:pPr>
        <w:pStyle w:val="2"/>
        <w:spacing w:before="118" w:line="214" w:lineRule="auto"/>
        <w:ind w:left="1894"/>
        <w:rPr>
          <w:sz w:val="24"/>
          <w:szCs w:val="24"/>
        </w:rPr>
      </w:pPr>
      <w:r>
        <w:rPr>
          <w:spacing w:val="-21"/>
          <w:sz w:val="24"/>
          <w:szCs w:val="24"/>
        </w:rPr>
        <w:t>本工程的材料分为周转材料和非周转材料两类，其供应保</w:t>
      </w:r>
      <w:r>
        <w:rPr>
          <w:spacing w:val="-22"/>
          <w:sz w:val="24"/>
          <w:szCs w:val="24"/>
        </w:rPr>
        <w:t>障措施见表所述。</w:t>
      </w:r>
    </w:p>
    <w:p w14:paraId="4CD76C96">
      <w:pPr>
        <w:pStyle w:val="2"/>
        <w:spacing w:before="121" w:line="216" w:lineRule="auto"/>
        <w:ind w:left="1892"/>
        <w:rPr>
          <w:sz w:val="24"/>
          <w:szCs w:val="24"/>
        </w:rPr>
      </w:pPr>
      <w:r>
        <w:rPr>
          <w:spacing w:val="-21"/>
          <w:sz w:val="24"/>
          <w:szCs w:val="24"/>
        </w:rPr>
        <w:t>材料、设备供应的保障措施一览表</w:t>
      </w:r>
    </w:p>
    <w:p w14:paraId="637D0639">
      <w:pPr>
        <w:spacing w:line="49" w:lineRule="auto"/>
        <w:rPr>
          <w:rFonts w:ascii="Arial"/>
          <w:sz w:val="2"/>
        </w:rPr>
      </w:pPr>
    </w:p>
    <w:tbl>
      <w:tblPr>
        <w:tblStyle w:val="6"/>
        <w:tblW w:w="9113" w:type="dxa"/>
        <w:tblInd w:w="139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05"/>
        <w:gridCol w:w="599"/>
        <w:gridCol w:w="1151"/>
        <w:gridCol w:w="7158"/>
      </w:tblGrid>
      <w:tr w14:paraId="1C8277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9" w:hRule="atLeast"/>
        </w:trPr>
        <w:tc>
          <w:tcPr>
            <w:tcW w:w="804" w:type="dxa"/>
            <w:gridSpan w:val="2"/>
            <w:tcBorders>
              <w:top w:val="single" w:color="000000" w:sz="4" w:space="0"/>
              <w:left w:val="single" w:color="000000" w:sz="4" w:space="0"/>
            </w:tcBorders>
            <w:shd w:val="clear" w:color="auto" w:fill="DEEAF6"/>
            <w:vAlign w:val="top"/>
          </w:tcPr>
          <w:p w14:paraId="39A810BC">
            <w:pPr>
              <w:pStyle w:val="7"/>
              <w:spacing w:before="127" w:line="218" w:lineRule="auto"/>
              <w:ind w:left="195"/>
            </w:pPr>
            <w:r>
              <w:rPr>
                <w:b/>
                <w:bCs/>
                <w:spacing w:val="-12"/>
              </w:rPr>
              <w:t>序号</w:t>
            </w:r>
          </w:p>
        </w:tc>
        <w:tc>
          <w:tcPr>
            <w:tcW w:w="1151" w:type="dxa"/>
            <w:tcBorders>
              <w:top w:val="single" w:color="000000" w:sz="4" w:space="0"/>
            </w:tcBorders>
            <w:shd w:val="clear" w:color="auto" w:fill="DEEAF6"/>
            <w:vAlign w:val="top"/>
          </w:tcPr>
          <w:p w14:paraId="5F82FEF0">
            <w:pPr>
              <w:pStyle w:val="7"/>
              <w:spacing w:before="126" w:line="216" w:lineRule="auto"/>
              <w:ind w:left="139"/>
            </w:pPr>
            <w:r>
              <w:rPr>
                <w:b/>
                <w:bCs/>
                <w:spacing w:val="-18"/>
              </w:rPr>
              <w:t>材料类别</w:t>
            </w:r>
          </w:p>
        </w:tc>
        <w:tc>
          <w:tcPr>
            <w:tcW w:w="7158" w:type="dxa"/>
            <w:tcBorders>
              <w:top w:val="single" w:color="5B9BD5" w:sz="4" w:space="0"/>
              <w:right w:val="single" w:color="5B9BD5" w:sz="4" w:space="0"/>
            </w:tcBorders>
            <w:shd w:val="clear" w:color="auto" w:fill="DEEAF6"/>
            <w:vAlign w:val="top"/>
          </w:tcPr>
          <w:p w14:paraId="735E43AF">
            <w:pPr>
              <w:pStyle w:val="7"/>
              <w:spacing w:before="126" w:line="217" w:lineRule="auto"/>
              <w:ind w:left="2924"/>
            </w:pPr>
            <w:r>
              <w:rPr>
                <w:b/>
                <w:bCs/>
                <w:spacing w:val="-20"/>
              </w:rPr>
              <w:t>供应保障措施</w:t>
            </w:r>
          </w:p>
        </w:tc>
      </w:tr>
      <w:tr w14:paraId="199446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28" w:hRule="atLeast"/>
        </w:trPr>
        <w:tc>
          <w:tcPr>
            <w:tcW w:w="804" w:type="dxa"/>
            <w:gridSpan w:val="2"/>
            <w:tcBorders>
              <w:left w:val="single" w:color="000000" w:sz="4" w:space="0"/>
            </w:tcBorders>
            <w:vAlign w:val="top"/>
          </w:tcPr>
          <w:p w14:paraId="3DDCDE17">
            <w:pPr>
              <w:spacing w:line="241" w:lineRule="auto"/>
              <w:rPr>
                <w:rFonts w:ascii="Arial"/>
                <w:sz w:val="21"/>
              </w:rPr>
            </w:pPr>
          </w:p>
          <w:p w14:paraId="09530A6A">
            <w:pPr>
              <w:spacing w:line="241" w:lineRule="auto"/>
              <w:rPr>
                <w:rFonts w:ascii="Arial"/>
                <w:sz w:val="21"/>
              </w:rPr>
            </w:pPr>
          </w:p>
          <w:p w14:paraId="365F2294">
            <w:pPr>
              <w:spacing w:line="241" w:lineRule="auto"/>
              <w:rPr>
                <w:rFonts w:ascii="Arial"/>
                <w:sz w:val="21"/>
              </w:rPr>
            </w:pPr>
          </w:p>
          <w:p w14:paraId="5C2E0F90">
            <w:pPr>
              <w:spacing w:line="242" w:lineRule="auto"/>
              <w:rPr>
                <w:rFonts w:ascii="Arial"/>
                <w:sz w:val="21"/>
              </w:rPr>
            </w:pPr>
          </w:p>
          <w:p w14:paraId="486A2455">
            <w:pPr>
              <w:spacing w:line="242" w:lineRule="auto"/>
              <w:rPr>
                <w:rFonts w:ascii="Arial"/>
                <w:sz w:val="21"/>
              </w:rPr>
            </w:pPr>
          </w:p>
          <w:p w14:paraId="1E4CA931">
            <w:pPr>
              <w:pStyle w:val="7"/>
              <w:spacing w:before="78" w:line="238" w:lineRule="auto"/>
              <w:ind w:left="371"/>
            </w:pPr>
            <w:r>
              <w:t>1</w:t>
            </w:r>
          </w:p>
        </w:tc>
        <w:tc>
          <w:tcPr>
            <w:tcW w:w="1151" w:type="dxa"/>
            <w:vAlign w:val="top"/>
          </w:tcPr>
          <w:p w14:paraId="1C768E76">
            <w:pPr>
              <w:spacing w:line="241" w:lineRule="auto"/>
              <w:rPr>
                <w:rFonts w:ascii="Arial"/>
                <w:sz w:val="21"/>
              </w:rPr>
            </w:pPr>
          </w:p>
          <w:p w14:paraId="4EF60743">
            <w:pPr>
              <w:spacing w:line="241" w:lineRule="auto"/>
              <w:rPr>
                <w:rFonts w:ascii="Arial"/>
                <w:sz w:val="21"/>
              </w:rPr>
            </w:pPr>
          </w:p>
          <w:p w14:paraId="2F2A115D">
            <w:pPr>
              <w:spacing w:line="241" w:lineRule="auto"/>
              <w:rPr>
                <w:rFonts w:ascii="Arial"/>
                <w:sz w:val="21"/>
              </w:rPr>
            </w:pPr>
          </w:p>
          <w:p w14:paraId="0C449A3B">
            <w:pPr>
              <w:spacing w:line="242" w:lineRule="auto"/>
              <w:rPr>
                <w:rFonts w:ascii="Arial"/>
                <w:sz w:val="21"/>
              </w:rPr>
            </w:pPr>
          </w:p>
          <w:p w14:paraId="1DEBFA9C">
            <w:pPr>
              <w:spacing w:line="242" w:lineRule="auto"/>
              <w:rPr>
                <w:rFonts w:ascii="Arial"/>
                <w:sz w:val="21"/>
              </w:rPr>
            </w:pPr>
          </w:p>
          <w:p w14:paraId="6623E45C">
            <w:pPr>
              <w:pStyle w:val="7"/>
              <w:spacing w:before="78" w:line="214" w:lineRule="auto"/>
              <w:ind w:left="144"/>
            </w:pPr>
            <w:r>
              <w:rPr>
                <w:spacing w:val="-16"/>
              </w:rPr>
              <w:t>周转材料</w:t>
            </w:r>
          </w:p>
        </w:tc>
        <w:tc>
          <w:tcPr>
            <w:tcW w:w="7158" w:type="dxa"/>
            <w:tcBorders>
              <w:right w:val="single" w:color="000000" w:sz="4" w:space="0"/>
            </w:tcBorders>
            <w:vAlign w:val="top"/>
          </w:tcPr>
          <w:p w14:paraId="0DF94EDC">
            <w:pPr>
              <w:pStyle w:val="7"/>
              <w:spacing w:before="126" w:line="214" w:lineRule="auto"/>
              <w:ind w:left="103"/>
            </w:pPr>
            <w:r>
              <w:rPr>
                <w:spacing w:val="-21"/>
              </w:rPr>
              <w:t>1)根据项目生产进度对各项材料需求，选择几家交通便利的周转材料租赁</w:t>
            </w:r>
          </w:p>
          <w:p w14:paraId="7781928D">
            <w:pPr>
              <w:pStyle w:val="7"/>
              <w:spacing w:before="187" w:line="214" w:lineRule="auto"/>
              <w:ind w:left="98"/>
            </w:pPr>
            <w:r>
              <w:rPr>
                <w:spacing w:val="-21"/>
              </w:rPr>
              <w:t>公司作为储备，在周转材料出现问题时及时进行租</w:t>
            </w:r>
            <w:r>
              <w:rPr>
                <w:spacing w:val="-22"/>
              </w:rPr>
              <w:t>赁调配，保证不耽误施</w:t>
            </w:r>
          </w:p>
          <w:p w14:paraId="6952BA1A">
            <w:pPr>
              <w:pStyle w:val="7"/>
              <w:spacing w:before="189" w:line="218" w:lineRule="auto"/>
              <w:ind w:left="2931"/>
            </w:pPr>
            <w:r>
              <w:rPr>
                <w:spacing w:val="-22"/>
              </w:rPr>
              <w:t>工生产需求。</w:t>
            </w:r>
          </w:p>
          <w:p w14:paraId="44648838">
            <w:pPr>
              <w:pStyle w:val="7"/>
              <w:spacing w:before="182" w:line="214" w:lineRule="auto"/>
              <w:ind w:left="88"/>
            </w:pPr>
            <w:r>
              <w:rPr>
                <w:spacing w:val="-20"/>
              </w:rPr>
              <w:t>2)根据周转材料投入总计划和工程进度计划，</w:t>
            </w:r>
            <w:r>
              <w:rPr>
                <w:spacing w:val="-21"/>
              </w:rPr>
              <w:t>结合工程实际情况，编制切</w:t>
            </w:r>
          </w:p>
          <w:p w14:paraId="07032004">
            <w:pPr>
              <w:pStyle w:val="7"/>
              <w:spacing w:before="190" w:line="214" w:lineRule="auto"/>
              <w:ind w:left="98"/>
            </w:pPr>
            <w:r>
              <w:rPr>
                <w:spacing w:val="-21"/>
              </w:rPr>
              <w:t>实可行的周转材料供应计划，按计划组织分批进场</w:t>
            </w:r>
            <w:r>
              <w:rPr>
                <w:spacing w:val="-22"/>
              </w:rPr>
              <w:t>，确保周转材料供应及</w:t>
            </w:r>
          </w:p>
          <w:p w14:paraId="386873B6">
            <w:pPr>
              <w:pStyle w:val="7"/>
              <w:spacing w:before="186" w:line="219" w:lineRule="auto"/>
              <w:ind w:left="3053"/>
            </w:pPr>
            <w:r>
              <w:rPr>
                <w:spacing w:val="-23"/>
              </w:rPr>
              <w:t>时、适量。</w:t>
            </w:r>
          </w:p>
        </w:tc>
      </w:tr>
      <w:tr w14:paraId="3E09CA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44" w:hRule="atLeast"/>
        </w:trPr>
        <w:tc>
          <w:tcPr>
            <w:tcW w:w="205" w:type="dxa"/>
            <w:tcBorders>
              <w:left w:val="single" w:color="1C456A" w:sz="4" w:space="0"/>
              <w:bottom w:val="single" w:color="1C456A" w:sz="4" w:space="0"/>
              <w:right w:val="nil"/>
            </w:tcBorders>
            <w:vAlign w:val="top"/>
          </w:tcPr>
          <w:p w14:paraId="5F95BF70">
            <w:pPr>
              <w:rPr>
                <w:rFonts w:ascii="Arial"/>
                <w:sz w:val="21"/>
              </w:rPr>
            </w:pPr>
            <w:r>
              <w:pict>
                <v:shape id="_x0000_s3711" o:spid="_x0000_s3711" style="position:absolute;left:0pt;margin-left:-0.25pt;margin-top:312.2pt;height:0.75pt;width:2.2pt;mso-position-horizontal-relative:page;mso-position-vertical-relative:page;z-index:252185600;mso-width-relative:page;mso-height-relative:page;" fillcolor="#5B9BD5" filled="t" stroked="f" coordsize="44,15" path="m0,14l43,14,43,0,0,0,0,14xe">
                  <v:path/>
                  <v:fill on="t" focussize="0,0"/>
                  <v:stroke on="f"/>
                  <v:imagedata o:title=""/>
                  <o:lock v:ext="edit"/>
                </v:shape>
              </w:pict>
            </w:r>
          </w:p>
        </w:tc>
        <w:tc>
          <w:tcPr>
            <w:tcW w:w="599" w:type="dxa"/>
            <w:tcBorders>
              <w:left w:val="nil"/>
              <w:bottom w:val="single" w:color="1C456A" w:sz="4" w:space="0"/>
            </w:tcBorders>
            <w:vAlign w:val="top"/>
          </w:tcPr>
          <w:p w14:paraId="46322F11">
            <w:pPr>
              <w:spacing w:line="256" w:lineRule="auto"/>
              <w:rPr>
                <w:rFonts w:ascii="Arial"/>
                <w:sz w:val="21"/>
              </w:rPr>
            </w:pPr>
          </w:p>
          <w:p w14:paraId="55D8BC62">
            <w:pPr>
              <w:spacing w:line="256" w:lineRule="auto"/>
              <w:rPr>
                <w:rFonts w:ascii="Arial"/>
                <w:sz w:val="21"/>
              </w:rPr>
            </w:pPr>
          </w:p>
          <w:p w14:paraId="7DB2C4C5">
            <w:pPr>
              <w:spacing w:line="257" w:lineRule="auto"/>
              <w:rPr>
                <w:rFonts w:ascii="Arial"/>
                <w:sz w:val="21"/>
              </w:rPr>
            </w:pPr>
          </w:p>
          <w:p w14:paraId="6EF5BF6B">
            <w:pPr>
              <w:spacing w:line="257" w:lineRule="auto"/>
              <w:rPr>
                <w:rFonts w:ascii="Arial"/>
                <w:sz w:val="21"/>
              </w:rPr>
            </w:pPr>
          </w:p>
          <w:p w14:paraId="17F460A9">
            <w:pPr>
              <w:spacing w:line="257" w:lineRule="auto"/>
              <w:rPr>
                <w:rFonts w:ascii="Arial"/>
                <w:sz w:val="21"/>
              </w:rPr>
            </w:pPr>
          </w:p>
          <w:p w14:paraId="33A10623">
            <w:pPr>
              <w:spacing w:line="257" w:lineRule="auto"/>
              <w:rPr>
                <w:rFonts w:ascii="Arial"/>
                <w:sz w:val="21"/>
              </w:rPr>
            </w:pPr>
          </w:p>
          <w:p w14:paraId="70F984AE">
            <w:pPr>
              <w:spacing w:line="257" w:lineRule="auto"/>
              <w:rPr>
                <w:rFonts w:ascii="Arial"/>
                <w:sz w:val="21"/>
              </w:rPr>
            </w:pPr>
          </w:p>
          <w:p w14:paraId="1A61CB41">
            <w:pPr>
              <w:spacing w:line="257" w:lineRule="auto"/>
              <w:rPr>
                <w:rFonts w:ascii="Arial"/>
                <w:sz w:val="21"/>
              </w:rPr>
            </w:pPr>
          </w:p>
          <w:p w14:paraId="78A5AFC7">
            <w:pPr>
              <w:spacing w:line="257" w:lineRule="auto"/>
              <w:rPr>
                <w:rFonts w:ascii="Arial"/>
                <w:sz w:val="21"/>
              </w:rPr>
            </w:pPr>
          </w:p>
          <w:p w14:paraId="4CD0323A">
            <w:pPr>
              <w:spacing w:line="257" w:lineRule="auto"/>
              <w:rPr>
                <w:rFonts w:ascii="Arial"/>
                <w:sz w:val="21"/>
              </w:rPr>
            </w:pPr>
          </w:p>
          <w:p w14:paraId="16D8D02B">
            <w:pPr>
              <w:spacing w:line="257" w:lineRule="auto"/>
              <w:rPr>
                <w:rFonts w:ascii="Arial"/>
                <w:sz w:val="21"/>
              </w:rPr>
            </w:pPr>
          </w:p>
          <w:p w14:paraId="39CB532D">
            <w:pPr>
              <w:pStyle w:val="7"/>
              <w:spacing w:before="78" w:line="238" w:lineRule="auto"/>
              <w:ind w:left="156"/>
            </w:pPr>
            <w:r>
              <w:t>2</w:t>
            </w:r>
          </w:p>
        </w:tc>
        <w:tc>
          <w:tcPr>
            <w:tcW w:w="1151" w:type="dxa"/>
            <w:tcBorders>
              <w:bottom w:val="single" w:color="000000" w:sz="4" w:space="0"/>
            </w:tcBorders>
            <w:vAlign w:val="top"/>
          </w:tcPr>
          <w:p w14:paraId="44F2D1BD">
            <w:pPr>
              <w:spacing w:line="259" w:lineRule="auto"/>
              <w:rPr>
                <w:rFonts w:ascii="Arial"/>
                <w:sz w:val="21"/>
              </w:rPr>
            </w:pPr>
          </w:p>
          <w:p w14:paraId="4965B62F">
            <w:pPr>
              <w:spacing w:line="259" w:lineRule="auto"/>
              <w:rPr>
                <w:rFonts w:ascii="Arial"/>
                <w:sz w:val="21"/>
              </w:rPr>
            </w:pPr>
          </w:p>
          <w:p w14:paraId="4986D7C4">
            <w:pPr>
              <w:spacing w:line="259" w:lineRule="auto"/>
              <w:rPr>
                <w:rFonts w:ascii="Arial"/>
                <w:sz w:val="21"/>
              </w:rPr>
            </w:pPr>
          </w:p>
          <w:p w14:paraId="65777133">
            <w:pPr>
              <w:spacing w:line="259" w:lineRule="auto"/>
              <w:rPr>
                <w:rFonts w:ascii="Arial"/>
                <w:sz w:val="21"/>
              </w:rPr>
            </w:pPr>
          </w:p>
          <w:p w14:paraId="21CAEDF2">
            <w:pPr>
              <w:spacing w:line="259" w:lineRule="auto"/>
              <w:rPr>
                <w:rFonts w:ascii="Arial"/>
                <w:sz w:val="21"/>
              </w:rPr>
            </w:pPr>
          </w:p>
          <w:p w14:paraId="095E088C">
            <w:pPr>
              <w:spacing w:line="259" w:lineRule="auto"/>
              <w:rPr>
                <w:rFonts w:ascii="Arial"/>
                <w:sz w:val="21"/>
              </w:rPr>
            </w:pPr>
          </w:p>
          <w:p w14:paraId="5E48B84C">
            <w:pPr>
              <w:spacing w:line="259" w:lineRule="auto"/>
              <w:rPr>
                <w:rFonts w:ascii="Arial"/>
                <w:sz w:val="21"/>
              </w:rPr>
            </w:pPr>
          </w:p>
          <w:p w14:paraId="57A8F833">
            <w:pPr>
              <w:spacing w:line="259" w:lineRule="auto"/>
              <w:rPr>
                <w:rFonts w:ascii="Arial"/>
                <w:sz w:val="21"/>
              </w:rPr>
            </w:pPr>
          </w:p>
          <w:p w14:paraId="56E9E2E7">
            <w:pPr>
              <w:spacing w:line="259" w:lineRule="auto"/>
              <w:rPr>
                <w:rFonts w:ascii="Arial"/>
                <w:sz w:val="21"/>
              </w:rPr>
            </w:pPr>
          </w:p>
          <w:p w14:paraId="0E2CA772">
            <w:pPr>
              <w:spacing w:line="260" w:lineRule="auto"/>
              <w:rPr>
                <w:rFonts w:ascii="Arial"/>
                <w:sz w:val="21"/>
              </w:rPr>
            </w:pPr>
          </w:p>
          <w:p w14:paraId="7DA62823">
            <w:pPr>
              <w:pStyle w:val="7"/>
              <w:spacing w:before="78" w:line="214" w:lineRule="auto"/>
              <w:ind w:left="150"/>
            </w:pPr>
            <w:r>
              <w:rPr>
                <w:spacing w:val="-17"/>
              </w:rPr>
              <w:t>非周转材</w:t>
            </w:r>
          </w:p>
          <w:p w14:paraId="23D7849A">
            <w:pPr>
              <w:pStyle w:val="7"/>
              <w:spacing w:before="189" w:line="216" w:lineRule="auto"/>
              <w:ind w:left="468"/>
            </w:pPr>
            <w:r>
              <w:t>料</w:t>
            </w:r>
          </w:p>
        </w:tc>
        <w:tc>
          <w:tcPr>
            <w:tcW w:w="7158" w:type="dxa"/>
            <w:tcBorders>
              <w:bottom w:val="single" w:color="5B9BD5" w:sz="4" w:space="0"/>
              <w:right w:val="single" w:color="5B9BD5" w:sz="4" w:space="0"/>
            </w:tcBorders>
            <w:vAlign w:val="top"/>
          </w:tcPr>
          <w:p w14:paraId="2C2B3E89">
            <w:pPr>
              <w:pStyle w:val="7"/>
              <w:spacing w:before="116" w:line="216" w:lineRule="auto"/>
              <w:ind w:left="2828"/>
            </w:pPr>
            <w:r>
              <w:rPr>
                <w:spacing w:val="-18"/>
              </w:rPr>
              <w:t>1)项目自购材料</w:t>
            </w:r>
          </w:p>
          <w:p w14:paraId="2C89C7A6">
            <w:pPr>
              <w:pStyle w:val="7"/>
              <w:spacing w:before="187" w:line="215" w:lineRule="auto"/>
              <w:ind w:left="180"/>
            </w:pPr>
            <w:r>
              <w:rPr>
                <w:spacing w:val="-21"/>
              </w:rPr>
              <w:t>(1)在全国各地建立大宗材料信息网络，不断充实更新材料</w:t>
            </w:r>
            <w:r>
              <w:rPr>
                <w:spacing w:val="-22"/>
              </w:rPr>
              <w:t>供应商档案；</w:t>
            </w:r>
          </w:p>
          <w:p w14:paraId="34643AB6">
            <w:pPr>
              <w:pStyle w:val="7"/>
              <w:spacing w:before="188" w:line="216" w:lineRule="auto"/>
              <w:ind w:left="1707"/>
            </w:pPr>
            <w:r>
              <w:rPr>
                <w:spacing w:val="-21"/>
              </w:rPr>
              <w:t>(2)随施工进度不断完善材料需用计划；</w:t>
            </w:r>
          </w:p>
          <w:p w14:paraId="1FCB0E94">
            <w:pPr>
              <w:pStyle w:val="7"/>
              <w:spacing w:before="184" w:line="288" w:lineRule="auto"/>
              <w:ind w:left="1185" w:right="46" w:hanging="1086"/>
            </w:pPr>
            <w:r>
              <w:rPr>
                <w:spacing w:val="-23"/>
              </w:rPr>
              <w:t>(3)在保证质量的前提下，按照“就近采</w:t>
            </w:r>
            <w:r>
              <w:rPr>
                <w:spacing w:val="-24"/>
              </w:rPr>
              <w:t>购”的原则选择供应商，尽量缩短</w:t>
            </w:r>
            <w:r>
              <w:rPr>
                <w:spacing w:val="-21"/>
              </w:rPr>
              <w:t>运输时间，确保短期内完成大宗材料的采购进场；</w:t>
            </w:r>
          </w:p>
          <w:p w14:paraId="2B8F20E3">
            <w:pPr>
              <w:pStyle w:val="7"/>
              <w:spacing w:before="185" w:line="216" w:lineRule="auto"/>
              <w:jc w:val="right"/>
            </w:pPr>
            <w:r>
              <w:rPr>
                <w:spacing w:val="-28"/>
              </w:rPr>
              <w:t>(4)严把材料采购过程、进场验收的质量关，避免因材</w:t>
            </w:r>
            <w:r>
              <w:rPr>
                <w:spacing w:val="-29"/>
              </w:rPr>
              <w:t>料质量问题影响工期。</w:t>
            </w:r>
          </w:p>
          <w:p w14:paraId="5F57DB74">
            <w:pPr>
              <w:pStyle w:val="7"/>
              <w:spacing w:before="187" w:line="216" w:lineRule="auto"/>
              <w:ind w:left="1613"/>
            </w:pPr>
            <w:r>
              <w:rPr>
                <w:spacing w:val="-20"/>
              </w:rPr>
              <w:t>2)业主提供材料、设备及分包商采购材料</w:t>
            </w:r>
          </w:p>
          <w:p w14:paraId="37B9CECA">
            <w:pPr>
              <w:pStyle w:val="7"/>
              <w:spacing w:before="185" w:line="289" w:lineRule="auto"/>
              <w:ind w:left="655" w:right="47" w:hanging="556"/>
            </w:pPr>
            <w:r>
              <w:rPr>
                <w:spacing w:val="-24"/>
              </w:rPr>
              <w:t>(1)协助业主、分包商超前编制准确的甲供材料、设备计划，明确细化进场</w:t>
            </w:r>
            <w:r>
              <w:rPr>
                <w:spacing w:val="-22"/>
              </w:rPr>
              <w:t>时间、质量标准等，必要时提供供货厂家和价格供业主参考。</w:t>
            </w:r>
          </w:p>
          <w:p w14:paraId="78FC0EBB">
            <w:pPr>
              <w:pStyle w:val="7"/>
              <w:spacing w:before="183" w:line="288" w:lineRule="auto"/>
              <w:ind w:left="2272" w:right="46" w:hanging="2173"/>
            </w:pPr>
            <w:r>
              <w:rPr>
                <w:spacing w:val="-23"/>
              </w:rPr>
              <w:t>(2)及时细致做好业主提供或分包商采购</w:t>
            </w:r>
            <w:r>
              <w:rPr>
                <w:spacing w:val="-24"/>
              </w:rPr>
              <w:t>材料、设备的质量验收工作，填写</w:t>
            </w:r>
            <w:r>
              <w:rPr>
                <w:spacing w:val="-20"/>
              </w:rPr>
              <w:t>开箱记录，办理交接手续。</w:t>
            </w:r>
          </w:p>
          <w:p w14:paraId="18299A59">
            <w:pPr>
              <w:pStyle w:val="7"/>
              <w:spacing w:before="185" w:line="288" w:lineRule="auto"/>
              <w:ind w:left="2699" w:hanging="2600"/>
            </w:pPr>
            <w:r>
              <w:rPr>
                <w:spacing w:val="-28"/>
              </w:rPr>
              <w:t>(3)做好甲供材料、设备的保管工作，对于露天堆放的</w:t>
            </w:r>
            <w:r>
              <w:rPr>
                <w:spacing w:val="-29"/>
              </w:rPr>
              <w:t>材料、设备采取遮盖、</w:t>
            </w:r>
            <w:r>
              <w:rPr>
                <w:spacing w:val="-20"/>
              </w:rPr>
              <w:t>搭棚等保护措施。</w:t>
            </w:r>
          </w:p>
        </w:tc>
      </w:tr>
    </w:tbl>
    <w:p w14:paraId="391789DA">
      <w:pPr>
        <w:pStyle w:val="2"/>
        <w:spacing w:before="115" w:line="307" w:lineRule="auto"/>
        <w:ind w:left="1456" w:right="1411" w:firstLine="436"/>
        <w:rPr>
          <w:sz w:val="24"/>
          <w:szCs w:val="24"/>
        </w:rPr>
      </w:pPr>
      <w:r>
        <w:rPr>
          <w:spacing w:val="-22"/>
          <w:sz w:val="24"/>
          <w:szCs w:val="24"/>
        </w:rPr>
        <w:t>（3）现场内所有施工机械必须设专人管理和维护，使之长久地处于正常运转状</w:t>
      </w:r>
      <w:r>
        <w:rPr>
          <w:spacing w:val="-23"/>
          <w:sz w:val="24"/>
          <w:szCs w:val="24"/>
        </w:rPr>
        <w:t>态，机械完</w:t>
      </w:r>
      <w:r>
        <w:rPr>
          <w:spacing w:val="-15"/>
          <w:sz w:val="24"/>
          <w:szCs w:val="24"/>
        </w:rPr>
        <w:t>好率要保证达到95%以上。</w:t>
      </w:r>
    </w:p>
    <w:p w14:paraId="2284AA11">
      <w:pPr>
        <w:pStyle w:val="2"/>
        <w:spacing w:before="2" w:line="307" w:lineRule="auto"/>
        <w:ind w:left="1458" w:right="1410" w:firstLine="435"/>
        <w:rPr>
          <w:sz w:val="24"/>
          <w:szCs w:val="24"/>
        </w:rPr>
      </w:pPr>
      <w:r>
        <w:rPr>
          <w:spacing w:val="-20"/>
          <w:sz w:val="24"/>
          <w:szCs w:val="24"/>
        </w:rPr>
        <w:t>本工程的主要施工机械设备投入计划详见“机械设备投入计划”中的相关内容。为确保机</w:t>
      </w:r>
      <w:r>
        <w:rPr>
          <w:spacing w:val="-22"/>
          <w:sz w:val="24"/>
          <w:szCs w:val="24"/>
        </w:rPr>
        <w:t>械设备投入到位，我公司拟采取如所示的保障措施。</w:t>
      </w:r>
    </w:p>
    <w:p w14:paraId="65DAD483">
      <w:pPr>
        <w:pStyle w:val="2"/>
        <w:spacing w:before="1" w:line="216" w:lineRule="auto"/>
        <w:ind w:left="1893"/>
        <w:rPr>
          <w:sz w:val="24"/>
          <w:szCs w:val="24"/>
        </w:rPr>
      </w:pPr>
      <w:r>
        <w:rPr>
          <w:spacing w:val="-20"/>
          <w:sz w:val="24"/>
          <w:szCs w:val="24"/>
        </w:rPr>
        <w:t>机械设备投入的保障措施一览表</w:t>
      </w:r>
    </w:p>
    <w:p w14:paraId="44B2B9A8">
      <w:pPr>
        <w:spacing w:line="42" w:lineRule="auto"/>
        <w:rPr>
          <w:rFonts w:ascii="Arial"/>
          <w:sz w:val="2"/>
        </w:rPr>
      </w:pPr>
    </w:p>
    <w:tbl>
      <w:tblPr>
        <w:tblStyle w:val="6"/>
        <w:tblW w:w="9315" w:type="dxa"/>
        <w:tblInd w:w="1296" w:type="dxa"/>
        <w:tblBorders>
          <w:top w:val="single" w:color="5B9BD5" w:sz="4" w:space="0"/>
          <w:left w:val="single" w:color="5B9BD5" w:sz="4" w:space="0"/>
          <w:bottom w:val="single" w:color="5B9BD5" w:sz="4" w:space="0"/>
          <w:right w:val="single" w:color="5B9BD5" w:sz="4" w:space="0"/>
          <w:insideH w:val="single" w:color="5B9BD5" w:sz="4" w:space="0"/>
          <w:insideV w:val="single" w:color="5B9BD5" w:sz="4" w:space="0"/>
        </w:tblBorders>
        <w:tblLayout w:type="fixed"/>
        <w:tblCellMar>
          <w:top w:w="0" w:type="dxa"/>
          <w:left w:w="0" w:type="dxa"/>
          <w:bottom w:w="0" w:type="dxa"/>
          <w:right w:w="0" w:type="dxa"/>
        </w:tblCellMar>
      </w:tblPr>
      <w:tblGrid>
        <w:gridCol w:w="858"/>
        <w:gridCol w:w="1000"/>
        <w:gridCol w:w="5790"/>
        <w:gridCol w:w="1667"/>
      </w:tblGrid>
      <w:tr w14:paraId="4FAB419B">
        <w:tblPrEx>
          <w:tblBorders>
            <w:top w:val="single" w:color="5B9BD5" w:sz="4" w:space="0"/>
            <w:left w:val="single" w:color="5B9BD5" w:sz="4" w:space="0"/>
            <w:bottom w:val="single" w:color="5B9BD5" w:sz="4" w:space="0"/>
            <w:right w:val="single" w:color="5B9BD5" w:sz="4" w:space="0"/>
            <w:insideH w:val="single" w:color="5B9BD5" w:sz="4" w:space="0"/>
            <w:insideV w:val="single" w:color="5B9BD5" w:sz="4" w:space="0"/>
          </w:tblBorders>
          <w:tblCellMar>
            <w:top w:w="0" w:type="dxa"/>
            <w:left w:w="0" w:type="dxa"/>
            <w:bottom w:w="0" w:type="dxa"/>
            <w:right w:w="0" w:type="dxa"/>
          </w:tblCellMar>
        </w:tblPrEx>
        <w:trPr>
          <w:trHeight w:val="621" w:hRule="atLeast"/>
        </w:trPr>
        <w:tc>
          <w:tcPr>
            <w:tcW w:w="858" w:type="dxa"/>
            <w:tcBorders>
              <w:top w:val="single" w:color="1C456A" w:sz="4" w:space="0"/>
              <w:left w:val="single" w:color="1C456A" w:sz="4" w:space="0"/>
              <w:bottom w:val="nil"/>
              <w:right w:val="single" w:color="000000" w:sz="2" w:space="0"/>
            </w:tcBorders>
            <w:shd w:val="clear" w:color="auto" w:fill="DEEAF6"/>
            <w:vAlign w:val="top"/>
          </w:tcPr>
          <w:p w14:paraId="41147D97">
            <w:pPr>
              <w:spacing w:line="93" w:lineRule="exact"/>
            </w:pPr>
            <w:r>
              <w:rPr>
                <w:position w:val="-1"/>
              </w:rPr>
              <w:pict>
                <v:group id="_x0000_s3712" o:spid="_x0000_s3712" o:spt="203" style="height:5.2pt;width:43.8pt;" coordsize="875,103">
                  <o:lock v:ext="edit"/>
                  <v:shape id="_x0000_s3713" o:spid="_x0000_s3713" style="position:absolute;left:0;top:0;height:15;width:44;" fillcolor="#5B9BD5" filled="t" stroked="f" coordsize="44,15" path="m0,14l43,14,43,0,0,0,0,14xe">
                    <v:path/>
                    <v:fill on="t" focussize="0,0"/>
                    <v:stroke on="f"/>
                    <v:imagedata o:title=""/>
                    <o:lock v:ext="edit"/>
                  </v:shape>
                  <v:shape id="_x0000_s3714" o:spid="_x0000_s3714" style="position:absolute;left:43;top:43;height:60;width:790;" fillcolor="#DEEAF6" filled="t" stroked="f" coordsize="790,60" path="m0,60l789,60,789,0,0,0,0,60xe">
                    <v:path/>
                    <v:fill on="t" focussize="0,0"/>
                    <v:stroke on="f"/>
                    <v:imagedata o:title=""/>
                    <o:lock v:ext="edit"/>
                  </v:shape>
                  <v:shape id="_x0000_s3715" o:spid="_x0000_s3715" style="position:absolute;left:832;top:0;height:15;width:44;" fillcolor="#5B9BD5" filled="t" stroked="f" coordsize="44,15" path="m0,14l43,14,43,0,0,0,0,14xe">
                    <v:path/>
                    <v:fill on="t" focussize="0,0"/>
                    <v:stroke on="f"/>
                    <v:imagedata o:title=""/>
                    <o:lock v:ext="edit"/>
                  </v:shape>
                  <v:shape id="_x0000_s3716" o:spid="_x0000_s3716" style="position:absolute;left:832;top:14;height:15;width:44;" fillcolor="#20507B" filled="t" stroked="f" coordsize="44,15" path="m0,14l43,14,43,0,0,0,0,14xe">
                    <v:path/>
                    <v:fill on="t" focussize="0,0"/>
                    <v:stroke on="f"/>
                    <v:imagedata o:title=""/>
                    <o:lock v:ext="edit"/>
                  </v:shape>
                  <v:shape id="_x0000_s3717" o:spid="_x0000_s3717" style="position:absolute;left:832;top:28;height:15;width:44;" fillcolor="#1C456A" filled="t" stroked="f" coordsize="44,15" path="m0,14l43,14,43,0,0,0,0,14xe">
                    <v:path/>
                    <v:fill on="t" focussize="0,0"/>
                    <v:stroke on="f"/>
                    <v:imagedata o:title=""/>
                    <o:lock v:ext="edit"/>
                  </v:shape>
                  <w10:wrap type="none"/>
                  <w10:anchorlock/>
                </v:group>
              </w:pict>
            </w:r>
          </w:p>
          <w:p w14:paraId="1C651B45">
            <w:pPr>
              <w:pStyle w:val="7"/>
              <w:spacing w:before="36" w:line="218" w:lineRule="auto"/>
              <w:ind w:left="217"/>
            </w:pPr>
            <w:r>
              <w:rPr>
                <w:b/>
                <w:bCs/>
                <w:spacing w:val="-12"/>
              </w:rPr>
              <w:t>序号</w:t>
            </w:r>
          </w:p>
          <w:p w14:paraId="109FDE57">
            <w:pPr>
              <w:spacing w:before="145" w:line="53" w:lineRule="exact"/>
              <w:ind w:firstLine="11"/>
            </w:pPr>
            <w:r>
              <w:rPr>
                <w:position w:val="-1"/>
              </w:rPr>
              <w:pict>
                <v:shape id="_x0000_s3718" o:spid="_x0000_s3718" style="height:2.9pt;width:40.8pt;" fillcolor="#DEEAF6" filled="t" stroked="f" coordsize="815,58" path="m0,57l815,57,815,0,0,0,0,57xe">
                  <v:path/>
                  <v:fill on="t" focussize="0,0"/>
                  <v:stroke on="f"/>
                  <v:imagedata o:title=""/>
                  <o:lock v:ext="edit"/>
                  <w10:wrap type="none"/>
                  <w10:anchorlock/>
                </v:shape>
              </w:pict>
            </w:r>
          </w:p>
        </w:tc>
        <w:tc>
          <w:tcPr>
            <w:tcW w:w="1000" w:type="dxa"/>
            <w:vMerge w:val="restart"/>
            <w:tcBorders>
              <w:left w:val="single" w:color="000000" w:sz="2" w:space="0"/>
              <w:bottom w:val="nil"/>
              <w:right w:val="single" w:color="000000" w:sz="2" w:space="0"/>
            </w:tcBorders>
            <w:shd w:val="clear" w:color="auto" w:fill="DEEAF6"/>
            <w:vAlign w:val="top"/>
          </w:tcPr>
          <w:p w14:paraId="097B8735">
            <w:pPr>
              <w:pStyle w:val="7"/>
              <w:spacing w:before="129" w:line="219" w:lineRule="auto"/>
              <w:ind w:left="268"/>
            </w:pPr>
            <w:r>
              <w:rPr>
                <w:b/>
                <w:bCs/>
                <w:spacing w:val="-12"/>
              </w:rPr>
              <w:t>措施</w:t>
            </w:r>
          </w:p>
        </w:tc>
        <w:tc>
          <w:tcPr>
            <w:tcW w:w="5790" w:type="dxa"/>
            <w:vMerge w:val="restart"/>
            <w:tcBorders>
              <w:left w:val="single" w:color="000000" w:sz="2" w:space="0"/>
              <w:bottom w:val="nil"/>
              <w:right w:val="nil"/>
            </w:tcBorders>
            <w:shd w:val="clear" w:color="auto" w:fill="DEEAF6"/>
            <w:vAlign w:val="top"/>
          </w:tcPr>
          <w:p w14:paraId="4DD5CE76">
            <w:pPr>
              <w:pStyle w:val="7"/>
              <w:spacing w:before="129" w:line="218" w:lineRule="auto"/>
              <w:ind w:left="3287"/>
            </w:pPr>
            <w:r>
              <w:rPr>
                <w:b/>
                <w:bCs/>
                <w:spacing w:val="-19"/>
              </w:rPr>
              <w:t>具体内容</w:t>
            </w:r>
          </w:p>
        </w:tc>
        <w:tc>
          <w:tcPr>
            <w:tcW w:w="1667" w:type="dxa"/>
            <w:vMerge w:val="restart"/>
            <w:tcBorders>
              <w:left w:val="nil"/>
              <w:bottom w:val="nil"/>
            </w:tcBorders>
            <w:shd w:val="clear" w:color="auto" w:fill="DEEAF6"/>
            <w:vAlign w:val="top"/>
          </w:tcPr>
          <w:p w14:paraId="2BB946DD">
            <w:pPr>
              <w:rPr>
                <w:rFonts w:ascii="Arial"/>
                <w:sz w:val="21"/>
              </w:rPr>
            </w:pPr>
            <w:r>
              <w:pict>
                <v:shape id="_x0000_s3719" o:spid="_x0000_s3719" style="position:absolute;left:0pt;margin-left:81.5pt;margin-top:0pt;height:0.75pt;width:2.2pt;mso-position-horizontal-relative:page;mso-position-vertical-relative:page;z-index:252184576;mso-width-relative:page;mso-height-relative:page;" fillcolor="#5B9BD5" filled="t" stroked="f" coordsize="44,15" path="m0,14l43,14,43,0,0,0,0,14xe">
                  <v:path/>
                  <v:fill on="t" focussize="0,0"/>
                  <v:stroke on="f"/>
                  <v:imagedata o:title=""/>
                  <o:lock v:ext="edit"/>
                </v:shape>
              </w:pict>
            </w:r>
            <w:r>
              <w:pict>
                <v:shape id="_x0000_s3720" o:spid="_x0000_s3720" style="position:absolute;left:0pt;margin-left:81.5pt;margin-top:32.85pt;height:0.75pt;width:2.2pt;mso-position-horizontal-relative:page;mso-position-vertical-relative:page;z-index:252182528;mso-width-relative:page;mso-height-relative:page;" fillcolor="#5B9BD5" filled="t" stroked="f" coordsize="44,15" path="m0,14l43,14,43,0,0,0,0,14xe">
                  <v:path/>
                  <v:fill on="t" focussize="0,0"/>
                  <v:stroke on="f"/>
                  <v:imagedata o:title=""/>
                  <o:lock v:ext="edit"/>
                </v:shape>
              </w:pict>
            </w:r>
          </w:p>
        </w:tc>
      </w:tr>
      <w:tr w14:paraId="3A7BF8FA">
        <w:tblPrEx>
          <w:tblBorders>
            <w:top w:val="single" w:color="5B9BD5" w:sz="4" w:space="0"/>
            <w:left w:val="single" w:color="5B9BD5" w:sz="4" w:space="0"/>
            <w:bottom w:val="single" w:color="5B9BD5" w:sz="4" w:space="0"/>
            <w:right w:val="single" w:color="5B9BD5" w:sz="4" w:space="0"/>
            <w:insideH w:val="single" w:color="5B9BD5" w:sz="4" w:space="0"/>
            <w:insideV w:val="single" w:color="5B9BD5" w:sz="4" w:space="0"/>
          </w:tblBorders>
          <w:tblCellMar>
            <w:top w:w="0" w:type="dxa"/>
            <w:left w:w="0" w:type="dxa"/>
            <w:bottom w:w="0" w:type="dxa"/>
            <w:right w:w="0" w:type="dxa"/>
          </w:tblCellMar>
        </w:tblPrEx>
        <w:trPr>
          <w:trHeight w:val="30" w:hRule="atLeast"/>
        </w:trPr>
        <w:tc>
          <w:tcPr>
            <w:tcW w:w="858" w:type="dxa"/>
            <w:tcBorders>
              <w:top w:val="nil"/>
              <w:left w:val="single" w:color="1C456A" w:sz="4" w:space="0"/>
              <w:bottom w:val="single" w:color="1C456A" w:sz="4" w:space="0"/>
              <w:right w:val="single" w:color="000000" w:sz="2" w:space="0"/>
            </w:tcBorders>
            <w:vAlign w:val="top"/>
          </w:tcPr>
          <w:p w14:paraId="3D9A133F">
            <w:pPr>
              <w:spacing w:line="20" w:lineRule="exact"/>
              <w:rPr>
                <w:rFonts w:ascii="Arial"/>
                <w:sz w:val="2"/>
              </w:rPr>
            </w:pPr>
            <w:r>
              <w:pict>
                <v:shape id="_x0000_s3721" o:spid="_x0000_s3721" style="position:absolute;left:0pt;margin-left:-0.2pt;margin-top:1.3pt;height:0.75pt;width:2.2pt;mso-position-horizontal-relative:page;mso-position-vertical-relative:page;z-index:252183552;mso-width-relative:page;mso-height-relative:page;" fillcolor="#5B9BD5" filled="t" stroked="f" coordsize="44,15" path="m0,14l43,14,43,0,0,0,0,14xe">
                  <v:path/>
                  <v:fill on="t" focussize="0,0"/>
                  <v:stroke on="f"/>
                  <v:imagedata o:title=""/>
                  <o:lock v:ext="edit"/>
                </v:shape>
              </w:pict>
            </w:r>
          </w:p>
        </w:tc>
        <w:tc>
          <w:tcPr>
            <w:tcW w:w="1000" w:type="dxa"/>
            <w:vMerge w:val="continue"/>
            <w:tcBorders>
              <w:top w:val="nil"/>
              <w:left w:val="single" w:color="000000" w:sz="2" w:space="0"/>
              <w:right w:val="single" w:color="000000" w:sz="2" w:space="0"/>
            </w:tcBorders>
            <w:vAlign w:val="top"/>
          </w:tcPr>
          <w:p w14:paraId="6E7D6FD6">
            <w:pPr>
              <w:rPr>
                <w:rFonts w:ascii="Arial"/>
                <w:sz w:val="21"/>
              </w:rPr>
            </w:pPr>
          </w:p>
        </w:tc>
        <w:tc>
          <w:tcPr>
            <w:tcW w:w="5790" w:type="dxa"/>
            <w:vMerge w:val="continue"/>
            <w:tcBorders>
              <w:top w:val="nil"/>
              <w:left w:val="single" w:color="000000" w:sz="2" w:space="0"/>
              <w:right w:val="nil"/>
            </w:tcBorders>
            <w:vAlign w:val="top"/>
          </w:tcPr>
          <w:p w14:paraId="3DE3160E">
            <w:pPr>
              <w:rPr>
                <w:rFonts w:ascii="Arial"/>
                <w:sz w:val="21"/>
              </w:rPr>
            </w:pPr>
          </w:p>
        </w:tc>
        <w:tc>
          <w:tcPr>
            <w:tcW w:w="1667" w:type="dxa"/>
            <w:vMerge w:val="continue"/>
            <w:tcBorders>
              <w:top w:val="nil"/>
              <w:left w:val="nil"/>
            </w:tcBorders>
            <w:vAlign w:val="top"/>
          </w:tcPr>
          <w:p w14:paraId="5B4FBB65">
            <w:pPr>
              <w:rPr>
                <w:rFonts w:ascii="Arial"/>
                <w:sz w:val="21"/>
              </w:rPr>
            </w:pPr>
          </w:p>
        </w:tc>
      </w:tr>
    </w:tbl>
    <w:p w14:paraId="6A32F70E">
      <w:pPr>
        <w:rPr>
          <w:rFonts w:ascii="Arial"/>
          <w:sz w:val="21"/>
        </w:rPr>
      </w:pPr>
    </w:p>
    <w:p w14:paraId="7C84B086">
      <w:pPr>
        <w:rPr>
          <w:rFonts w:ascii="Arial" w:hAnsi="Arial" w:eastAsia="Arial" w:cs="Arial"/>
          <w:sz w:val="21"/>
          <w:szCs w:val="21"/>
        </w:rPr>
        <w:sectPr>
          <w:footerReference r:id="rId270" w:type="default"/>
          <w:pgSz w:w="11907" w:h="16839"/>
          <w:pgMar w:top="933" w:right="4" w:bottom="1038" w:left="0" w:header="478" w:footer="357" w:gutter="0"/>
          <w:pgBorders>
            <w:top w:val="none" w:sz="0" w:space="0"/>
            <w:left w:val="none" w:sz="0" w:space="0"/>
            <w:bottom w:val="none" w:sz="0" w:space="0"/>
            <w:right w:val="none" w:sz="0" w:space="0"/>
          </w:pgBorders>
          <w:cols w:space="720" w:num="1"/>
        </w:sectPr>
      </w:pPr>
    </w:p>
    <w:p w14:paraId="0C7841ED">
      <w:pPr>
        <w:spacing w:line="235" w:lineRule="exact"/>
      </w:pPr>
    </w:p>
    <w:tbl>
      <w:tblPr>
        <w:tblStyle w:val="6"/>
        <w:tblW w:w="9315" w:type="dxa"/>
        <w:tblInd w:w="1296"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12"/>
        <w:gridCol w:w="624"/>
        <w:gridCol w:w="1000"/>
        <w:gridCol w:w="7479"/>
      </w:tblGrid>
      <w:tr w14:paraId="43CABF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20" w:hRule="atLeast"/>
        </w:trPr>
        <w:tc>
          <w:tcPr>
            <w:tcW w:w="836" w:type="dxa"/>
            <w:gridSpan w:val="2"/>
            <w:tcBorders>
              <w:top w:val="single" w:color="000000" w:sz="4" w:space="0"/>
              <w:left w:val="single" w:color="000000" w:sz="4" w:space="0"/>
            </w:tcBorders>
            <w:vAlign w:val="top"/>
          </w:tcPr>
          <w:p w14:paraId="06164326">
            <w:pPr>
              <w:spacing w:line="249" w:lineRule="auto"/>
              <w:rPr>
                <w:rFonts w:ascii="Arial"/>
                <w:sz w:val="21"/>
              </w:rPr>
            </w:pPr>
          </w:p>
          <w:p w14:paraId="28FE6206">
            <w:pPr>
              <w:spacing w:line="249" w:lineRule="auto"/>
              <w:rPr>
                <w:rFonts w:ascii="Arial"/>
                <w:sz w:val="21"/>
              </w:rPr>
            </w:pPr>
          </w:p>
          <w:p w14:paraId="3E630012">
            <w:pPr>
              <w:spacing w:line="250" w:lineRule="auto"/>
              <w:rPr>
                <w:rFonts w:ascii="Arial"/>
                <w:sz w:val="21"/>
              </w:rPr>
            </w:pPr>
          </w:p>
          <w:p w14:paraId="073CA753">
            <w:pPr>
              <w:pStyle w:val="7"/>
              <w:spacing w:before="78" w:line="238" w:lineRule="auto"/>
              <w:ind w:left="390"/>
            </w:pPr>
            <w:r>
              <w:t>1</w:t>
            </w:r>
          </w:p>
        </w:tc>
        <w:tc>
          <w:tcPr>
            <w:tcW w:w="1000" w:type="dxa"/>
            <w:tcBorders>
              <w:top w:val="single" w:color="000000" w:sz="4" w:space="0"/>
            </w:tcBorders>
            <w:vAlign w:val="top"/>
          </w:tcPr>
          <w:p w14:paraId="22709754">
            <w:pPr>
              <w:spacing w:line="249" w:lineRule="auto"/>
              <w:rPr>
                <w:rFonts w:ascii="Arial"/>
                <w:sz w:val="21"/>
              </w:rPr>
            </w:pPr>
          </w:p>
          <w:p w14:paraId="58344570">
            <w:pPr>
              <w:spacing w:line="249" w:lineRule="auto"/>
              <w:rPr>
                <w:rFonts w:ascii="Arial"/>
                <w:sz w:val="21"/>
              </w:rPr>
            </w:pPr>
          </w:p>
          <w:p w14:paraId="1352694C">
            <w:pPr>
              <w:spacing w:line="249" w:lineRule="auto"/>
              <w:rPr>
                <w:rFonts w:ascii="Arial"/>
                <w:sz w:val="21"/>
              </w:rPr>
            </w:pPr>
          </w:p>
          <w:p w14:paraId="279D6C9D">
            <w:pPr>
              <w:pStyle w:val="7"/>
              <w:spacing w:before="78" w:line="217" w:lineRule="auto"/>
              <w:ind w:left="71"/>
            </w:pPr>
            <w:r>
              <w:rPr>
                <w:spacing w:val="-15"/>
              </w:rPr>
              <w:t>数量保障</w:t>
            </w:r>
          </w:p>
        </w:tc>
        <w:tc>
          <w:tcPr>
            <w:tcW w:w="7479" w:type="dxa"/>
            <w:tcBorders>
              <w:top w:val="single" w:color="5B9BD5" w:sz="4" w:space="0"/>
              <w:right w:val="single" w:color="5B9BD5" w:sz="4" w:space="0"/>
            </w:tcBorders>
            <w:vAlign w:val="top"/>
          </w:tcPr>
          <w:p w14:paraId="4A34CADC">
            <w:pPr>
              <w:pStyle w:val="7"/>
              <w:spacing w:before="128" w:line="288" w:lineRule="auto"/>
              <w:ind w:left="1672" w:right="47" w:hanging="1594"/>
            </w:pPr>
            <w:r>
              <w:rPr>
                <w:spacing w:val="-23"/>
              </w:rPr>
              <w:t>1)调集：发挥企业在经营布局方面的雄厚综合实力优</w:t>
            </w:r>
            <w:r>
              <w:rPr>
                <w:spacing w:val="-24"/>
              </w:rPr>
              <w:t>势，迅速在市内或周边调</w:t>
            </w:r>
            <w:r>
              <w:rPr>
                <w:spacing w:val="-21"/>
              </w:rPr>
              <w:t>集能满足施工需要的各类机械设备及器具；</w:t>
            </w:r>
          </w:p>
          <w:p w14:paraId="4764D0E8">
            <w:pPr>
              <w:pStyle w:val="7"/>
              <w:spacing w:before="185" w:line="289" w:lineRule="auto"/>
              <w:ind w:left="3308" w:right="47" w:hanging="3245"/>
            </w:pPr>
            <w:r>
              <w:rPr>
                <w:spacing w:val="-23"/>
              </w:rPr>
              <w:t>2)新购或租赁：必要时实施就地采购或租赁。配备足够的机械设备和必需的备</w:t>
            </w:r>
            <w:r>
              <w:rPr>
                <w:spacing w:val="-15"/>
              </w:rPr>
              <w:t>用设备。</w:t>
            </w:r>
          </w:p>
        </w:tc>
      </w:tr>
      <w:tr w14:paraId="3180A3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49" w:hRule="atLeast"/>
        </w:trPr>
        <w:tc>
          <w:tcPr>
            <w:tcW w:w="836" w:type="dxa"/>
            <w:gridSpan w:val="2"/>
            <w:tcBorders>
              <w:left w:val="single" w:color="000000" w:sz="4" w:space="0"/>
            </w:tcBorders>
            <w:vAlign w:val="top"/>
          </w:tcPr>
          <w:p w14:paraId="3DD81A01">
            <w:pPr>
              <w:spacing w:line="250" w:lineRule="auto"/>
              <w:rPr>
                <w:rFonts w:ascii="Arial"/>
                <w:sz w:val="21"/>
              </w:rPr>
            </w:pPr>
          </w:p>
          <w:p w14:paraId="7A287F33">
            <w:pPr>
              <w:pStyle w:val="7"/>
              <w:spacing w:before="78" w:line="238" w:lineRule="auto"/>
              <w:ind w:left="375"/>
            </w:pPr>
            <w:r>
              <w:t>2</w:t>
            </w:r>
          </w:p>
        </w:tc>
        <w:tc>
          <w:tcPr>
            <w:tcW w:w="1000" w:type="dxa"/>
            <w:vAlign w:val="top"/>
          </w:tcPr>
          <w:p w14:paraId="015D95DC">
            <w:pPr>
              <w:spacing w:line="249" w:lineRule="auto"/>
              <w:rPr>
                <w:rFonts w:ascii="Arial"/>
                <w:sz w:val="21"/>
              </w:rPr>
            </w:pPr>
          </w:p>
          <w:p w14:paraId="3E64A3EF">
            <w:pPr>
              <w:pStyle w:val="7"/>
              <w:spacing w:before="78" w:line="217" w:lineRule="auto"/>
              <w:ind w:left="72"/>
            </w:pPr>
            <w:r>
              <w:rPr>
                <w:spacing w:val="-15"/>
              </w:rPr>
              <w:t>机械计划</w:t>
            </w:r>
          </w:p>
        </w:tc>
        <w:tc>
          <w:tcPr>
            <w:tcW w:w="7479" w:type="dxa"/>
            <w:tcBorders>
              <w:right w:val="single" w:color="000000" w:sz="4" w:space="0"/>
            </w:tcBorders>
            <w:vAlign w:val="top"/>
          </w:tcPr>
          <w:p w14:paraId="27D19D24">
            <w:pPr>
              <w:pStyle w:val="7"/>
              <w:spacing w:before="96" w:line="217" w:lineRule="auto"/>
              <w:ind w:left="68"/>
            </w:pPr>
            <w:r>
              <w:rPr>
                <w:spacing w:val="-23"/>
              </w:rPr>
              <w:t>精心编制详细准确的机械计划，明确机械名称、型号、数量、能力及进场</w:t>
            </w:r>
            <w:r>
              <w:rPr>
                <w:spacing w:val="-24"/>
              </w:rPr>
              <w:t>时间</w:t>
            </w:r>
          </w:p>
          <w:p w14:paraId="104EC659">
            <w:pPr>
              <w:pStyle w:val="7"/>
              <w:spacing w:before="183" w:line="216" w:lineRule="auto"/>
              <w:ind w:left="2662"/>
            </w:pPr>
            <w:r>
              <w:rPr>
                <w:spacing w:val="-20"/>
              </w:rPr>
              <w:t>等，并严格落实计划。</w:t>
            </w:r>
          </w:p>
        </w:tc>
      </w:tr>
      <w:tr w14:paraId="6B302D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7" w:hRule="atLeast"/>
        </w:trPr>
        <w:tc>
          <w:tcPr>
            <w:tcW w:w="836" w:type="dxa"/>
            <w:gridSpan w:val="2"/>
            <w:tcBorders>
              <w:left w:val="single" w:color="000000" w:sz="4" w:space="0"/>
            </w:tcBorders>
            <w:vAlign w:val="top"/>
          </w:tcPr>
          <w:p w14:paraId="71A58DA3">
            <w:pPr>
              <w:pStyle w:val="7"/>
              <w:spacing w:before="98" w:line="237" w:lineRule="auto"/>
              <w:ind w:left="377"/>
            </w:pPr>
            <w:r>
              <w:t>3</w:t>
            </w:r>
          </w:p>
        </w:tc>
        <w:tc>
          <w:tcPr>
            <w:tcW w:w="1000" w:type="dxa"/>
            <w:vAlign w:val="top"/>
          </w:tcPr>
          <w:p w14:paraId="378C8FEC">
            <w:pPr>
              <w:pStyle w:val="7"/>
              <w:spacing w:before="98" w:line="217" w:lineRule="auto"/>
              <w:ind w:left="72"/>
            </w:pPr>
            <w:r>
              <w:rPr>
                <w:spacing w:val="-15"/>
              </w:rPr>
              <w:t>机械进场</w:t>
            </w:r>
          </w:p>
        </w:tc>
        <w:tc>
          <w:tcPr>
            <w:tcW w:w="7479" w:type="dxa"/>
            <w:tcBorders>
              <w:right w:val="single" w:color="000000" w:sz="4" w:space="0"/>
            </w:tcBorders>
            <w:vAlign w:val="top"/>
          </w:tcPr>
          <w:p w14:paraId="2C444855">
            <w:pPr>
              <w:pStyle w:val="7"/>
              <w:spacing w:before="98" w:line="217" w:lineRule="auto"/>
              <w:ind w:left="1345"/>
            </w:pPr>
            <w:r>
              <w:rPr>
                <w:spacing w:val="-21"/>
              </w:rPr>
              <w:t>机械进行保养和维护，确保施工时即可投入使用。</w:t>
            </w:r>
          </w:p>
        </w:tc>
      </w:tr>
      <w:tr w14:paraId="71709E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5" w:hRule="atLeast"/>
        </w:trPr>
        <w:tc>
          <w:tcPr>
            <w:tcW w:w="212" w:type="dxa"/>
            <w:tcBorders>
              <w:left w:val="single" w:color="1C456A" w:sz="4" w:space="0"/>
              <w:bottom w:val="single" w:color="1C456A" w:sz="4" w:space="0"/>
              <w:right w:val="nil"/>
            </w:tcBorders>
            <w:vAlign w:val="top"/>
          </w:tcPr>
          <w:p w14:paraId="7E0ACE93">
            <w:pPr>
              <w:rPr>
                <w:rFonts w:ascii="Arial"/>
                <w:sz w:val="21"/>
              </w:rPr>
            </w:pPr>
            <w:r>
              <w:pict>
                <v:shape id="_x0000_s3722" o:spid="_x0000_s3722" style="position:absolute;left:0pt;margin-left:-0.25pt;margin-top:147.8pt;height:0.75pt;width:2.2pt;mso-position-horizontal-relative:page;mso-position-vertical-relative:page;z-index:252187648;mso-width-relative:page;mso-height-relative:page;" fillcolor="#5B9BD5" filled="t" stroked="f" coordsize="44,15" path="m0,14l43,14,43,0,0,0,0,14xe">
                  <v:path/>
                  <v:fill on="t" focussize="0,0"/>
                  <v:stroke on="f"/>
                  <v:imagedata o:title=""/>
                  <o:lock v:ext="edit"/>
                </v:shape>
              </w:pict>
            </w:r>
          </w:p>
        </w:tc>
        <w:tc>
          <w:tcPr>
            <w:tcW w:w="624" w:type="dxa"/>
            <w:tcBorders>
              <w:left w:val="nil"/>
              <w:bottom w:val="single" w:color="1C456A" w:sz="4" w:space="0"/>
            </w:tcBorders>
            <w:vAlign w:val="top"/>
          </w:tcPr>
          <w:p w14:paraId="06D7BAE4">
            <w:pPr>
              <w:spacing w:line="295" w:lineRule="auto"/>
              <w:rPr>
                <w:rFonts w:ascii="Arial"/>
                <w:sz w:val="21"/>
              </w:rPr>
            </w:pPr>
          </w:p>
          <w:p w14:paraId="63F9E363">
            <w:pPr>
              <w:spacing w:line="295" w:lineRule="auto"/>
              <w:rPr>
                <w:rFonts w:ascii="Arial"/>
                <w:sz w:val="21"/>
              </w:rPr>
            </w:pPr>
          </w:p>
          <w:p w14:paraId="2EDFBF10">
            <w:pPr>
              <w:spacing w:line="295" w:lineRule="auto"/>
              <w:rPr>
                <w:rFonts w:ascii="Arial"/>
                <w:sz w:val="21"/>
              </w:rPr>
            </w:pPr>
          </w:p>
          <w:p w14:paraId="1DF669DA">
            <w:pPr>
              <w:spacing w:line="296" w:lineRule="auto"/>
              <w:rPr>
                <w:rFonts w:ascii="Arial"/>
                <w:sz w:val="21"/>
              </w:rPr>
            </w:pPr>
          </w:p>
          <w:p w14:paraId="575B1169">
            <w:pPr>
              <w:pStyle w:val="7"/>
              <w:spacing w:before="78" w:line="238" w:lineRule="auto"/>
              <w:ind w:left="164"/>
            </w:pPr>
            <w:r>
              <w:t>4</w:t>
            </w:r>
          </w:p>
        </w:tc>
        <w:tc>
          <w:tcPr>
            <w:tcW w:w="1000" w:type="dxa"/>
            <w:tcBorders>
              <w:bottom w:val="single" w:color="000000" w:sz="4" w:space="0"/>
            </w:tcBorders>
            <w:vAlign w:val="top"/>
          </w:tcPr>
          <w:p w14:paraId="55B712BF">
            <w:pPr>
              <w:spacing w:line="295" w:lineRule="auto"/>
              <w:rPr>
                <w:rFonts w:ascii="Arial"/>
                <w:sz w:val="21"/>
              </w:rPr>
            </w:pPr>
          </w:p>
          <w:p w14:paraId="5E58FA78">
            <w:pPr>
              <w:spacing w:line="295" w:lineRule="auto"/>
              <w:rPr>
                <w:rFonts w:ascii="Arial"/>
                <w:sz w:val="21"/>
              </w:rPr>
            </w:pPr>
          </w:p>
          <w:p w14:paraId="6A8E0C8F">
            <w:pPr>
              <w:spacing w:line="295" w:lineRule="auto"/>
              <w:rPr>
                <w:rFonts w:ascii="Arial"/>
                <w:sz w:val="21"/>
              </w:rPr>
            </w:pPr>
          </w:p>
          <w:p w14:paraId="1F26A29D">
            <w:pPr>
              <w:spacing w:line="296" w:lineRule="auto"/>
              <w:rPr>
                <w:rFonts w:ascii="Arial"/>
                <w:sz w:val="21"/>
              </w:rPr>
            </w:pPr>
          </w:p>
          <w:p w14:paraId="175990D4">
            <w:pPr>
              <w:pStyle w:val="7"/>
              <w:spacing w:before="78" w:line="216" w:lineRule="auto"/>
              <w:ind w:left="76"/>
            </w:pPr>
            <w:r>
              <w:rPr>
                <w:spacing w:val="-16"/>
              </w:rPr>
              <w:t>性能维护</w:t>
            </w:r>
          </w:p>
        </w:tc>
        <w:tc>
          <w:tcPr>
            <w:tcW w:w="7479" w:type="dxa"/>
            <w:tcBorders>
              <w:bottom w:val="single" w:color="5B9BD5" w:sz="4" w:space="0"/>
              <w:right w:val="single" w:color="5B9BD5" w:sz="4" w:space="0"/>
            </w:tcBorders>
            <w:vAlign w:val="top"/>
          </w:tcPr>
          <w:p w14:paraId="785F2859">
            <w:pPr>
              <w:pStyle w:val="7"/>
              <w:spacing w:before="97" w:line="215" w:lineRule="auto"/>
              <w:ind w:left="78"/>
            </w:pPr>
            <w:r>
              <w:pict>
                <v:shape id="_x0000_s3723" o:spid="_x0000_s3723" style="position:absolute;left:0pt;margin-left:372.1pt;margin-top:147.8pt;height:0.75pt;width:2.2pt;mso-position-horizontal-relative:page;mso-position-vertical-relative:page;z-index:252186624;mso-width-relative:page;mso-height-relative:page;" fillcolor="#5B9BD5" filled="t" stroked="f" coordsize="44,15" path="m0,14l43,14,43,0,0,0,0,14xe">
                  <v:path/>
                  <v:fill on="t" focussize="0,0"/>
                  <v:stroke on="f"/>
                  <v:imagedata o:title=""/>
                  <o:lock v:ext="edit"/>
                </v:shape>
              </w:pict>
            </w:r>
            <w:r>
              <w:rPr>
                <w:spacing w:val="-23"/>
              </w:rPr>
              <w:t>1)设备进场验收：对所有投入使用的施工机械设备或器具，在进场时严格按照</w:t>
            </w:r>
          </w:p>
          <w:p w14:paraId="45CE0E93">
            <w:pPr>
              <w:pStyle w:val="7"/>
              <w:spacing w:before="188" w:line="216" w:lineRule="auto"/>
              <w:ind w:left="69"/>
            </w:pPr>
            <w:r>
              <w:rPr>
                <w:spacing w:val="-23"/>
              </w:rPr>
              <w:t>企业有关管理程序，结合工程实际情况进行性能验收，对不符合要求</w:t>
            </w:r>
            <w:r>
              <w:rPr>
                <w:spacing w:val="-24"/>
              </w:rPr>
              <w:t>的设备及</w:t>
            </w:r>
          </w:p>
          <w:p w14:paraId="51030384">
            <w:pPr>
              <w:pStyle w:val="7"/>
              <w:spacing w:before="187" w:line="217" w:lineRule="auto"/>
              <w:ind w:left="2344"/>
            </w:pPr>
            <w:r>
              <w:rPr>
                <w:spacing w:val="-22"/>
              </w:rPr>
              <w:t>时采取维修或清退更换处理；</w:t>
            </w:r>
          </w:p>
          <w:p w14:paraId="10C9A520">
            <w:pPr>
              <w:pStyle w:val="7"/>
              <w:spacing w:before="181" w:line="288" w:lineRule="auto"/>
              <w:ind w:left="492" w:right="44" w:hanging="429"/>
            </w:pPr>
            <w:r>
              <w:rPr>
                <w:spacing w:val="-23"/>
              </w:rPr>
              <w:t>2)施工中维护：根据“专业、专人、专机”的“三专”原则，安排专业维护人</w:t>
            </w:r>
            <w:r>
              <w:rPr>
                <w:spacing w:val="-22"/>
              </w:rPr>
              <w:t>员对机械实施全天候跟班维护作业，确保其始终处在最佳性能状态；</w:t>
            </w:r>
          </w:p>
          <w:p w14:paraId="5CC0BF38">
            <w:pPr>
              <w:pStyle w:val="7"/>
              <w:spacing w:before="186" w:line="216" w:lineRule="auto"/>
              <w:ind w:left="360"/>
            </w:pPr>
            <w:r>
              <w:rPr>
                <w:spacing w:val="-21"/>
              </w:rPr>
              <w:t>3)检定：对测量器具等精密仪器，按国家或企业相关规定，定期送检。</w:t>
            </w:r>
          </w:p>
        </w:tc>
      </w:tr>
    </w:tbl>
    <w:p w14:paraId="26477E3F">
      <w:pPr>
        <w:pStyle w:val="2"/>
        <w:spacing w:before="114" w:line="308" w:lineRule="auto"/>
        <w:ind w:left="1459" w:right="1412" w:firstLine="433"/>
        <w:rPr>
          <w:sz w:val="24"/>
          <w:szCs w:val="24"/>
        </w:rPr>
      </w:pPr>
      <w:r>
        <w:rPr>
          <w:spacing w:val="-22"/>
          <w:sz w:val="24"/>
          <w:szCs w:val="24"/>
        </w:rPr>
        <w:t>（4）根据工程条件合理安排总施工进度计划和各阶段目标计划，施工中制定月</w:t>
      </w:r>
      <w:r>
        <w:rPr>
          <w:spacing w:val="-23"/>
          <w:sz w:val="24"/>
          <w:szCs w:val="24"/>
        </w:rPr>
        <w:t>计划和周计</w:t>
      </w:r>
      <w:r>
        <w:rPr>
          <w:spacing w:val="-21"/>
          <w:sz w:val="24"/>
          <w:szCs w:val="24"/>
        </w:rPr>
        <w:t>划，利用合同管理等手段控制计划目标的实现。</w:t>
      </w:r>
    </w:p>
    <w:p w14:paraId="54AF9EB3">
      <w:pPr>
        <w:pStyle w:val="2"/>
        <w:spacing w:line="308" w:lineRule="auto"/>
        <w:ind w:left="1470" w:right="1410" w:firstLine="427"/>
        <w:rPr>
          <w:sz w:val="24"/>
          <w:szCs w:val="24"/>
        </w:rPr>
      </w:pPr>
      <w:r>
        <w:rPr>
          <w:spacing w:val="-20"/>
          <w:sz w:val="24"/>
          <w:szCs w:val="24"/>
        </w:rPr>
        <w:t>定期召开生产例会，及时解决工程施工中出现的进度、质量、文明施工等问题，为下一步</w:t>
      </w:r>
      <w:r>
        <w:rPr>
          <w:spacing w:val="-21"/>
          <w:sz w:val="24"/>
          <w:szCs w:val="24"/>
        </w:rPr>
        <w:t>生产工作提前作好准备。</w:t>
      </w:r>
    </w:p>
    <w:p w14:paraId="4A392BDC">
      <w:pPr>
        <w:pStyle w:val="2"/>
        <w:spacing w:before="2" w:line="298" w:lineRule="auto"/>
        <w:ind w:left="1459" w:right="1411" w:firstLine="464"/>
        <w:jc w:val="both"/>
        <w:rPr>
          <w:sz w:val="24"/>
          <w:szCs w:val="24"/>
        </w:rPr>
      </w:pPr>
      <w:r>
        <w:rPr>
          <w:spacing w:val="-20"/>
          <w:sz w:val="24"/>
          <w:szCs w:val="24"/>
        </w:rPr>
        <w:t>由项目工程管理部组织召开每日碰头协调会，检查落实</w:t>
      </w:r>
      <w:r>
        <w:rPr>
          <w:spacing w:val="-21"/>
          <w:sz w:val="24"/>
          <w:szCs w:val="24"/>
        </w:rPr>
        <w:t>当天计划、完成情况、未完成计划</w:t>
      </w:r>
      <w:r>
        <w:rPr>
          <w:spacing w:val="-20"/>
          <w:sz w:val="24"/>
          <w:szCs w:val="24"/>
        </w:rPr>
        <w:t>原因，及时解决影响进度、质量、安全、文明施工、交叉施工存在的问题及采取相应的措施，安排布置第二天的计划。</w:t>
      </w:r>
    </w:p>
    <w:p w14:paraId="001ABF7B">
      <w:pPr>
        <w:pStyle w:val="2"/>
        <w:spacing w:before="1" w:line="218" w:lineRule="auto"/>
        <w:ind w:left="1981"/>
        <w:outlineLvl w:val="2"/>
        <w:rPr>
          <w:sz w:val="28"/>
          <w:szCs w:val="28"/>
        </w:rPr>
      </w:pPr>
      <w:bookmarkStart w:id="188" w:name="bookmark180"/>
      <w:bookmarkEnd w:id="188"/>
      <w:r>
        <w:rPr>
          <w:b/>
          <w:bCs/>
          <w:spacing w:val="-21"/>
          <w:sz w:val="28"/>
          <w:szCs w:val="28"/>
        </w:rPr>
        <w:t>五、技术措施</w:t>
      </w:r>
    </w:p>
    <w:p w14:paraId="32B396C5">
      <w:pPr>
        <w:pStyle w:val="2"/>
        <w:spacing w:before="102" w:line="262" w:lineRule="auto"/>
        <w:ind w:left="1455" w:right="1410" w:firstLine="437"/>
        <w:rPr>
          <w:sz w:val="24"/>
          <w:szCs w:val="24"/>
        </w:rPr>
      </w:pPr>
      <w:r>
        <w:rPr>
          <w:spacing w:val="-22"/>
          <w:sz w:val="24"/>
          <w:szCs w:val="24"/>
        </w:rPr>
        <w:t>（1）优化施工组织设计，按照工序、工艺合理划分施工段，根据互不干扰的原则组</w:t>
      </w:r>
      <w:r>
        <w:rPr>
          <w:spacing w:val="-23"/>
          <w:sz w:val="24"/>
          <w:szCs w:val="24"/>
        </w:rPr>
        <w:t>织流水</w:t>
      </w:r>
      <w:r>
        <w:rPr>
          <w:spacing w:val="-17"/>
          <w:sz w:val="24"/>
          <w:szCs w:val="24"/>
        </w:rPr>
        <w:t>施工作业。</w:t>
      </w:r>
    </w:p>
    <w:p w14:paraId="0D317930">
      <w:pPr>
        <w:pStyle w:val="2"/>
        <w:spacing w:before="121" w:line="261" w:lineRule="auto"/>
        <w:ind w:left="1458" w:right="1410" w:firstLine="434"/>
        <w:rPr>
          <w:sz w:val="24"/>
          <w:szCs w:val="24"/>
        </w:rPr>
      </w:pPr>
      <w:r>
        <w:rPr>
          <w:spacing w:val="-22"/>
          <w:sz w:val="24"/>
          <w:szCs w:val="24"/>
        </w:rPr>
        <w:t>（2）采用动态施工计划网络管理，明确进度管理目标，优化网络设计，并在施工过</w:t>
      </w:r>
      <w:r>
        <w:rPr>
          <w:spacing w:val="-23"/>
          <w:sz w:val="24"/>
          <w:szCs w:val="24"/>
        </w:rPr>
        <w:t>程中实</w:t>
      </w:r>
      <w:r>
        <w:rPr>
          <w:spacing w:val="-21"/>
          <w:sz w:val="24"/>
          <w:szCs w:val="24"/>
        </w:rPr>
        <w:t>行季度规划，月、旬计划，周、日跟踪落实，并根据实际</w:t>
      </w:r>
      <w:r>
        <w:rPr>
          <w:spacing w:val="-22"/>
          <w:sz w:val="24"/>
          <w:szCs w:val="24"/>
        </w:rPr>
        <w:t>施工状况不断修正与完善。</w:t>
      </w:r>
    </w:p>
    <w:p w14:paraId="0973DC33">
      <w:pPr>
        <w:pStyle w:val="2"/>
        <w:spacing w:before="121" w:line="214" w:lineRule="auto"/>
        <w:ind w:left="1893"/>
        <w:rPr>
          <w:sz w:val="24"/>
          <w:szCs w:val="24"/>
        </w:rPr>
      </w:pPr>
      <w:r>
        <w:rPr>
          <w:spacing w:val="-21"/>
          <w:sz w:val="24"/>
          <w:szCs w:val="24"/>
        </w:rPr>
        <w:t>（3）采用新型模板，加强模板及其周转材料的投入。</w:t>
      </w:r>
    </w:p>
    <w:p w14:paraId="6B430C54">
      <w:pPr>
        <w:pStyle w:val="2"/>
        <w:spacing w:before="123" w:line="214" w:lineRule="auto"/>
        <w:ind w:left="1893"/>
        <w:rPr>
          <w:sz w:val="24"/>
          <w:szCs w:val="24"/>
        </w:rPr>
      </w:pPr>
      <w:r>
        <w:rPr>
          <w:spacing w:val="-21"/>
          <w:sz w:val="24"/>
          <w:szCs w:val="24"/>
        </w:rPr>
        <w:t>（4）充分利用现场材料起点、料库，加快材料周转。</w:t>
      </w:r>
    </w:p>
    <w:p w14:paraId="551636C9">
      <w:pPr>
        <w:pStyle w:val="2"/>
        <w:spacing w:before="119" w:line="217" w:lineRule="auto"/>
        <w:ind w:left="1893"/>
        <w:rPr>
          <w:sz w:val="24"/>
          <w:szCs w:val="24"/>
        </w:rPr>
      </w:pPr>
      <w:r>
        <w:rPr>
          <w:spacing w:val="-21"/>
          <w:sz w:val="24"/>
          <w:szCs w:val="24"/>
        </w:rPr>
        <w:t>（5）提高施工机械化程度，充分发挥专业施工企业自身的优势。</w:t>
      </w:r>
    </w:p>
    <w:p w14:paraId="45B304B4">
      <w:pPr>
        <w:pStyle w:val="2"/>
        <w:spacing w:before="119" w:line="215" w:lineRule="auto"/>
        <w:ind w:left="1893"/>
        <w:rPr>
          <w:sz w:val="24"/>
          <w:szCs w:val="24"/>
        </w:rPr>
      </w:pPr>
      <w:r>
        <w:rPr>
          <w:spacing w:val="-14"/>
          <w:sz w:val="24"/>
          <w:szCs w:val="24"/>
        </w:rPr>
        <w:t>（6）合理安排工序坚持“样板制”</w:t>
      </w:r>
    </w:p>
    <w:p w14:paraId="44B81864">
      <w:pPr>
        <w:pStyle w:val="2"/>
        <w:spacing w:before="120" w:line="308" w:lineRule="auto"/>
        <w:ind w:left="1459" w:right="1409" w:firstLine="408"/>
        <w:jc w:val="both"/>
        <w:rPr>
          <w:sz w:val="24"/>
          <w:szCs w:val="24"/>
        </w:rPr>
      </w:pPr>
      <w:r>
        <w:rPr>
          <w:spacing w:val="-19"/>
          <w:sz w:val="24"/>
          <w:szCs w:val="24"/>
        </w:rPr>
        <w:t>“方案先行，样板引路”是我公司施工管理的特色，本工程将按照方案编制计划，指定详</w:t>
      </w:r>
      <w:r>
        <w:rPr>
          <w:spacing w:val="-20"/>
          <w:sz w:val="24"/>
          <w:szCs w:val="24"/>
        </w:rPr>
        <w:t>细的，有针对性和可操作性的专项施工方案，从而实现在管理层和操作层对施工工艺、质量标</w:t>
      </w:r>
      <w:r>
        <w:rPr>
          <w:spacing w:val="-21"/>
          <w:sz w:val="24"/>
          <w:szCs w:val="24"/>
        </w:rPr>
        <w:t>准的熟悉和掌握，使工程有条不紊按期保质的完成，</w:t>
      </w:r>
      <w:r>
        <w:rPr>
          <w:spacing w:val="-22"/>
          <w:sz w:val="24"/>
          <w:szCs w:val="24"/>
        </w:rPr>
        <w:t>避免返工造成工期延误。</w:t>
      </w:r>
    </w:p>
    <w:p w14:paraId="001E5FBA">
      <w:pPr>
        <w:spacing w:line="308" w:lineRule="auto"/>
        <w:rPr>
          <w:sz w:val="24"/>
          <w:szCs w:val="24"/>
        </w:rPr>
        <w:sectPr>
          <w:footerReference r:id="rId271" w:type="default"/>
          <w:pgSz w:w="11907" w:h="16839"/>
          <w:pgMar w:top="933" w:right="4" w:bottom="1038" w:left="0" w:header="478" w:footer="357" w:gutter="0"/>
          <w:pgBorders>
            <w:top w:val="none" w:sz="0" w:space="0"/>
            <w:left w:val="none" w:sz="0" w:space="0"/>
            <w:bottom w:val="none" w:sz="0" w:space="0"/>
            <w:right w:val="none" w:sz="0" w:space="0"/>
          </w:pgBorders>
          <w:cols w:space="720" w:num="1"/>
        </w:sectPr>
      </w:pPr>
    </w:p>
    <w:p w14:paraId="0CEDBBB7">
      <w:pPr>
        <w:spacing w:line="271" w:lineRule="auto"/>
        <w:rPr>
          <w:rFonts w:ascii="Arial"/>
          <w:sz w:val="21"/>
        </w:rPr>
      </w:pPr>
    </w:p>
    <w:p w14:paraId="1E43FA9D">
      <w:pPr>
        <w:pStyle w:val="2"/>
        <w:spacing w:before="78" w:line="294" w:lineRule="auto"/>
        <w:ind w:left="1457" w:right="1412" w:firstLine="435"/>
        <w:rPr>
          <w:sz w:val="24"/>
          <w:szCs w:val="24"/>
        </w:rPr>
      </w:pPr>
      <w:r>
        <w:rPr>
          <w:spacing w:val="-22"/>
          <w:sz w:val="24"/>
          <w:szCs w:val="24"/>
        </w:rPr>
        <w:t>（7）严肃施工纪律，严格执行施工组织设计的各分部分项施工方法及进度计划</w:t>
      </w:r>
      <w:r>
        <w:rPr>
          <w:spacing w:val="-23"/>
          <w:sz w:val="24"/>
          <w:szCs w:val="24"/>
        </w:rPr>
        <w:t>，确保各分</w:t>
      </w:r>
      <w:r>
        <w:rPr>
          <w:spacing w:val="-21"/>
          <w:sz w:val="24"/>
          <w:szCs w:val="24"/>
        </w:rPr>
        <w:t>项工程，尤其是关键工序做到切实有效地按施工进度计划的</w:t>
      </w:r>
      <w:r>
        <w:rPr>
          <w:spacing w:val="-22"/>
          <w:sz w:val="24"/>
          <w:szCs w:val="24"/>
        </w:rPr>
        <w:t>工期要求逐步逐项实施。</w:t>
      </w:r>
    </w:p>
    <w:p w14:paraId="579DC029">
      <w:pPr>
        <w:pStyle w:val="2"/>
        <w:spacing w:line="217" w:lineRule="auto"/>
        <w:ind w:left="1979"/>
        <w:outlineLvl w:val="2"/>
        <w:rPr>
          <w:sz w:val="28"/>
          <w:szCs w:val="28"/>
        </w:rPr>
      </w:pPr>
      <w:bookmarkStart w:id="189" w:name="bookmark181"/>
      <w:bookmarkEnd w:id="189"/>
      <w:r>
        <w:rPr>
          <w:b/>
          <w:bCs/>
          <w:spacing w:val="-21"/>
          <w:sz w:val="28"/>
          <w:szCs w:val="28"/>
        </w:rPr>
        <w:t>六、经济措施</w:t>
      </w:r>
    </w:p>
    <w:p w14:paraId="3C32A369">
      <w:pPr>
        <w:pStyle w:val="2"/>
        <w:spacing w:before="106" w:line="217" w:lineRule="auto"/>
        <w:ind w:left="1894"/>
        <w:rPr>
          <w:sz w:val="24"/>
          <w:szCs w:val="24"/>
        </w:rPr>
      </w:pPr>
      <w:r>
        <w:rPr>
          <w:spacing w:val="-21"/>
          <w:sz w:val="24"/>
          <w:szCs w:val="24"/>
        </w:rPr>
        <w:t>本工程的经济保障措施见下表。</w:t>
      </w:r>
    </w:p>
    <w:p w14:paraId="4560FCC7">
      <w:pPr>
        <w:pStyle w:val="2"/>
        <w:spacing w:before="118" w:line="217" w:lineRule="auto"/>
        <w:ind w:left="1905"/>
        <w:rPr>
          <w:sz w:val="24"/>
          <w:szCs w:val="24"/>
        </w:rPr>
      </w:pPr>
      <w:r>
        <w:rPr>
          <w:spacing w:val="-21"/>
          <w:sz w:val="24"/>
          <w:szCs w:val="24"/>
        </w:rPr>
        <w:t>资金管理保障措施一览表</w:t>
      </w:r>
    </w:p>
    <w:p w14:paraId="4C0220F9">
      <w:pPr>
        <w:spacing w:line="38" w:lineRule="auto"/>
        <w:rPr>
          <w:rFonts w:ascii="Arial"/>
          <w:sz w:val="2"/>
        </w:rPr>
      </w:pPr>
    </w:p>
    <w:tbl>
      <w:tblPr>
        <w:tblStyle w:val="6"/>
        <w:tblW w:w="9113" w:type="dxa"/>
        <w:tblInd w:w="139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77"/>
        <w:gridCol w:w="515"/>
        <w:gridCol w:w="1103"/>
        <w:gridCol w:w="7318"/>
      </w:tblGrid>
      <w:tr w14:paraId="3E1748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6" w:hRule="atLeast"/>
        </w:trPr>
        <w:tc>
          <w:tcPr>
            <w:tcW w:w="692" w:type="dxa"/>
            <w:gridSpan w:val="2"/>
            <w:tcBorders>
              <w:top w:val="single" w:color="000000" w:sz="4" w:space="0"/>
              <w:left w:val="single" w:color="000000" w:sz="4" w:space="0"/>
            </w:tcBorders>
            <w:shd w:val="clear" w:color="auto" w:fill="DEEAF6"/>
            <w:vAlign w:val="top"/>
          </w:tcPr>
          <w:p w14:paraId="66349B64">
            <w:pPr>
              <w:pStyle w:val="7"/>
              <w:spacing w:before="129" w:line="218" w:lineRule="auto"/>
              <w:ind w:left="142"/>
            </w:pPr>
            <w:r>
              <w:rPr>
                <w:b/>
                <w:bCs/>
                <w:spacing w:val="-12"/>
              </w:rPr>
              <w:t>序号</w:t>
            </w:r>
          </w:p>
        </w:tc>
        <w:tc>
          <w:tcPr>
            <w:tcW w:w="1103" w:type="dxa"/>
            <w:tcBorders>
              <w:top w:val="single" w:color="000000" w:sz="4" w:space="0"/>
            </w:tcBorders>
            <w:shd w:val="clear" w:color="auto" w:fill="DEEAF6"/>
            <w:vAlign w:val="top"/>
          </w:tcPr>
          <w:p w14:paraId="6F7914E7">
            <w:pPr>
              <w:pStyle w:val="7"/>
              <w:spacing w:before="129" w:line="219" w:lineRule="auto"/>
              <w:ind w:left="132"/>
            </w:pPr>
            <w:r>
              <w:rPr>
                <w:b/>
                <w:bCs/>
                <w:spacing w:val="-20"/>
              </w:rPr>
              <w:t>资金类别</w:t>
            </w:r>
          </w:p>
        </w:tc>
        <w:tc>
          <w:tcPr>
            <w:tcW w:w="7318" w:type="dxa"/>
            <w:tcBorders>
              <w:top w:val="single" w:color="5B9BD5" w:sz="4" w:space="0"/>
              <w:right w:val="single" w:color="5B9BD5" w:sz="4" w:space="0"/>
            </w:tcBorders>
            <w:shd w:val="clear" w:color="auto" w:fill="DEEAF6"/>
            <w:vAlign w:val="top"/>
          </w:tcPr>
          <w:p w14:paraId="572D43D8">
            <w:pPr>
              <w:pStyle w:val="7"/>
              <w:spacing w:before="128" w:line="217" w:lineRule="auto"/>
              <w:ind w:left="3019"/>
            </w:pPr>
            <w:r>
              <w:rPr>
                <w:b/>
                <w:bCs/>
                <w:spacing w:val="-22"/>
              </w:rPr>
              <w:t>管理保障措施</w:t>
            </w:r>
          </w:p>
        </w:tc>
      </w:tr>
      <w:tr w14:paraId="23A0A5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56" w:hRule="atLeast"/>
        </w:trPr>
        <w:tc>
          <w:tcPr>
            <w:tcW w:w="692" w:type="dxa"/>
            <w:gridSpan w:val="2"/>
            <w:tcBorders>
              <w:left w:val="single" w:color="000000" w:sz="4" w:space="0"/>
            </w:tcBorders>
            <w:vAlign w:val="top"/>
          </w:tcPr>
          <w:p w14:paraId="74A66128">
            <w:pPr>
              <w:spacing w:line="277" w:lineRule="auto"/>
              <w:rPr>
                <w:rFonts w:ascii="Arial"/>
                <w:sz w:val="21"/>
              </w:rPr>
            </w:pPr>
          </w:p>
          <w:p w14:paraId="5CE8D7CC">
            <w:pPr>
              <w:pStyle w:val="7"/>
              <w:spacing w:before="78" w:line="238" w:lineRule="auto"/>
              <w:ind w:left="316"/>
            </w:pPr>
            <w:r>
              <w:t>1</w:t>
            </w:r>
          </w:p>
        </w:tc>
        <w:tc>
          <w:tcPr>
            <w:tcW w:w="1103" w:type="dxa"/>
            <w:vAlign w:val="top"/>
          </w:tcPr>
          <w:p w14:paraId="2EDDEE8E">
            <w:pPr>
              <w:spacing w:line="277" w:lineRule="auto"/>
              <w:rPr>
                <w:rFonts w:ascii="Arial"/>
                <w:sz w:val="21"/>
              </w:rPr>
            </w:pPr>
          </w:p>
          <w:p w14:paraId="058F91B2">
            <w:pPr>
              <w:pStyle w:val="7"/>
              <w:spacing w:before="78" w:line="217" w:lineRule="auto"/>
              <w:ind w:left="124"/>
            </w:pPr>
            <w:r>
              <w:rPr>
                <w:spacing w:val="-16"/>
              </w:rPr>
              <w:t>预算管理</w:t>
            </w:r>
          </w:p>
        </w:tc>
        <w:tc>
          <w:tcPr>
            <w:tcW w:w="7318" w:type="dxa"/>
            <w:tcBorders>
              <w:right w:val="single" w:color="000000" w:sz="4" w:space="0"/>
            </w:tcBorders>
            <w:vAlign w:val="top"/>
          </w:tcPr>
          <w:p w14:paraId="7148699E">
            <w:pPr>
              <w:pStyle w:val="7"/>
              <w:spacing w:before="120" w:line="356" w:lineRule="auto"/>
              <w:ind w:left="215" w:right="44" w:hanging="148"/>
            </w:pPr>
            <w:r>
              <w:rPr>
                <w:spacing w:val="-22"/>
              </w:rPr>
              <w:t>执行严格的预算管理：施工准备期间，编制项目全过程现金流量表，预测项</w:t>
            </w:r>
            <w:r>
              <w:rPr>
                <w:spacing w:val="-23"/>
              </w:rPr>
              <w:t>目的现金流，对资金做到平衡使用，以丰补缺，避免资金的无计划管理。</w:t>
            </w:r>
          </w:p>
        </w:tc>
      </w:tr>
      <w:tr w14:paraId="40A962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77" w:hRule="atLeast"/>
        </w:trPr>
        <w:tc>
          <w:tcPr>
            <w:tcW w:w="177" w:type="dxa"/>
            <w:tcBorders>
              <w:left w:val="single" w:color="1C456A" w:sz="4" w:space="0"/>
              <w:bottom w:val="single" w:color="1C456A" w:sz="4" w:space="0"/>
              <w:right w:val="nil"/>
            </w:tcBorders>
            <w:vAlign w:val="top"/>
          </w:tcPr>
          <w:p w14:paraId="736F365E">
            <w:pPr>
              <w:rPr>
                <w:rFonts w:ascii="Arial"/>
                <w:sz w:val="21"/>
              </w:rPr>
            </w:pPr>
            <w:r>
              <w:pict>
                <v:shape id="_x0000_s3724" o:spid="_x0000_s3724" style="position:absolute;left:0pt;margin-left:-0.25pt;margin-top:148.85pt;height:0.75pt;width:2.2pt;mso-position-horizontal-relative:page;mso-position-vertical-relative:page;z-index:252191744;mso-width-relative:page;mso-height-relative:page;" fillcolor="#5B9BD5" filled="t" stroked="f" coordsize="44,15" path="m0,14l43,14,43,0,0,0,0,14xe">
                  <v:path/>
                  <v:fill on="t" focussize="0,0"/>
                  <v:stroke on="f"/>
                  <v:imagedata o:title=""/>
                  <o:lock v:ext="edit"/>
                </v:shape>
              </w:pict>
            </w:r>
          </w:p>
        </w:tc>
        <w:tc>
          <w:tcPr>
            <w:tcW w:w="515" w:type="dxa"/>
            <w:tcBorders>
              <w:left w:val="nil"/>
              <w:bottom w:val="single" w:color="1C456A" w:sz="4" w:space="0"/>
            </w:tcBorders>
            <w:vAlign w:val="top"/>
          </w:tcPr>
          <w:p w14:paraId="3AB6E124">
            <w:pPr>
              <w:rPr>
                <w:rFonts w:ascii="Arial"/>
                <w:sz w:val="21"/>
              </w:rPr>
            </w:pPr>
          </w:p>
          <w:p w14:paraId="2A945F08">
            <w:pPr>
              <w:rPr>
                <w:rFonts w:ascii="Arial"/>
                <w:sz w:val="21"/>
              </w:rPr>
            </w:pPr>
          </w:p>
          <w:p w14:paraId="17856971">
            <w:pPr>
              <w:rPr>
                <w:rFonts w:ascii="Arial"/>
                <w:sz w:val="21"/>
              </w:rPr>
            </w:pPr>
          </w:p>
          <w:p w14:paraId="16973122">
            <w:pPr>
              <w:rPr>
                <w:rFonts w:ascii="Arial"/>
                <w:sz w:val="21"/>
              </w:rPr>
            </w:pPr>
          </w:p>
          <w:p w14:paraId="62AE83BB">
            <w:pPr>
              <w:rPr>
                <w:rFonts w:ascii="Arial"/>
                <w:sz w:val="21"/>
              </w:rPr>
            </w:pPr>
          </w:p>
          <w:p w14:paraId="0ADA345A">
            <w:pPr>
              <w:pStyle w:val="7"/>
              <w:spacing w:before="78" w:line="238" w:lineRule="auto"/>
              <w:ind w:left="129"/>
            </w:pPr>
            <w:r>
              <w:t>2</w:t>
            </w:r>
          </w:p>
        </w:tc>
        <w:tc>
          <w:tcPr>
            <w:tcW w:w="1103" w:type="dxa"/>
            <w:tcBorders>
              <w:bottom w:val="single" w:color="000000" w:sz="4" w:space="0"/>
            </w:tcBorders>
            <w:vAlign w:val="top"/>
          </w:tcPr>
          <w:p w14:paraId="32EEA9C3">
            <w:pPr>
              <w:spacing w:line="299" w:lineRule="auto"/>
              <w:rPr>
                <w:rFonts w:ascii="Arial"/>
                <w:sz w:val="21"/>
              </w:rPr>
            </w:pPr>
          </w:p>
          <w:p w14:paraId="5D505E4A">
            <w:pPr>
              <w:spacing w:line="300" w:lineRule="auto"/>
              <w:rPr>
                <w:rFonts w:ascii="Arial"/>
                <w:sz w:val="21"/>
              </w:rPr>
            </w:pPr>
          </w:p>
          <w:p w14:paraId="59B90493">
            <w:pPr>
              <w:spacing w:line="300" w:lineRule="auto"/>
              <w:rPr>
                <w:rFonts w:ascii="Arial"/>
                <w:sz w:val="21"/>
              </w:rPr>
            </w:pPr>
          </w:p>
          <w:p w14:paraId="032BB4B3">
            <w:pPr>
              <w:spacing w:line="300" w:lineRule="auto"/>
              <w:rPr>
                <w:rFonts w:ascii="Arial"/>
                <w:sz w:val="21"/>
              </w:rPr>
            </w:pPr>
          </w:p>
          <w:p w14:paraId="60738298">
            <w:pPr>
              <w:pStyle w:val="7"/>
              <w:spacing w:before="78" w:line="220" w:lineRule="auto"/>
              <w:ind w:left="122"/>
            </w:pPr>
            <w:r>
              <w:rPr>
                <w:spacing w:val="-15"/>
              </w:rPr>
              <w:t>支出管理</w:t>
            </w:r>
          </w:p>
        </w:tc>
        <w:tc>
          <w:tcPr>
            <w:tcW w:w="7318" w:type="dxa"/>
            <w:tcBorders>
              <w:bottom w:val="single" w:color="5B9BD5" w:sz="4" w:space="0"/>
              <w:right w:val="single" w:color="5B9BD5" w:sz="4" w:space="0"/>
            </w:tcBorders>
            <w:vAlign w:val="top"/>
          </w:tcPr>
          <w:p w14:paraId="038F4C4E">
            <w:pPr>
              <w:pStyle w:val="7"/>
              <w:spacing w:before="118" w:line="217" w:lineRule="auto"/>
              <w:ind w:left="78"/>
            </w:pPr>
            <w:r>
              <w:rPr>
                <w:spacing w:val="-21"/>
              </w:rPr>
              <w:t>1)执行专款专用制度：建立专门的工程资金帐户，随着工程各阶段控制日期</w:t>
            </w:r>
          </w:p>
          <w:p w14:paraId="1CD16566">
            <w:pPr>
              <w:pStyle w:val="7"/>
              <w:spacing w:before="187" w:line="218" w:lineRule="auto"/>
              <w:ind w:left="82"/>
            </w:pPr>
            <w:r>
              <w:rPr>
                <w:spacing w:val="-22"/>
              </w:rPr>
              <w:t>的完成，及时支付各专业队伍的劳务费用，防止施工中因为资金问题而影响</w:t>
            </w:r>
          </w:p>
          <w:p w14:paraId="02D42D98">
            <w:pPr>
              <w:pStyle w:val="7"/>
              <w:spacing w:before="181" w:line="216" w:lineRule="auto"/>
              <w:ind w:left="943"/>
            </w:pPr>
            <w:r>
              <w:rPr>
                <w:spacing w:val="-21"/>
              </w:rPr>
              <w:t>工程的进展，充分保证劳动力、机械、材料的</w:t>
            </w:r>
            <w:r>
              <w:rPr>
                <w:spacing w:val="-22"/>
              </w:rPr>
              <w:t>及时进场；</w:t>
            </w:r>
          </w:p>
          <w:p w14:paraId="12BD11F0">
            <w:pPr>
              <w:pStyle w:val="7"/>
              <w:spacing w:before="186" w:line="217" w:lineRule="auto"/>
              <w:ind w:left="2130"/>
            </w:pPr>
            <w:r>
              <w:rPr>
                <w:spacing w:val="-21"/>
              </w:rPr>
              <w:t>2)执行严格的预算管理：同上；</w:t>
            </w:r>
          </w:p>
          <w:p w14:paraId="39787672">
            <w:pPr>
              <w:pStyle w:val="7"/>
              <w:spacing w:before="184" w:line="288" w:lineRule="auto"/>
              <w:ind w:left="638" w:right="44" w:hanging="573"/>
            </w:pPr>
            <w:r>
              <w:rPr>
                <w:spacing w:val="-21"/>
              </w:rPr>
              <w:t>3)资金压力分解：在选择分包商、材料供应商时，提出部</w:t>
            </w:r>
            <w:r>
              <w:rPr>
                <w:spacing w:val="-22"/>
              </w:rPr>
              <w:t>分支付的条件，向同意部分支付又相对资金雄厚的合格分包商、供应商进行</w:t>
            </w:r>
            <w:r>
              <w:rPr>
                <w:spacing w:val="-23"/>
              </w:rPr>
              <w:t>倾斜。</w:t>
            </w:r>
          </w:p>
        </w:tc>
      </w:tr>
    </w:tbl>
    <w:p w14:paraId="7B42FC98">
      <w:pPr>
        <w:pStyle w:val="2"/>
        <w:spacing w:before="79" w:line="219" w:lineRule="auto"/>
        <w:ind w:left="1983"/>
        <w:outlineLvl w:val="2"/>
        <w:rPr>
          <w:sz w:val="28"/>
          <w:szCs w:val="28"/>
        </w:rPr>
      </w:pPr>
      <w:bookmarkStart w:id="190" w:name="bookmark182"/>
      <w:bookmarkEnd w:id="190"/>
      <w:r>
        <w:rPr>
          <w:b/>
          <w:bCs/>
          <w:spacing w:val="-22"/>
          <w:sz w:val="28"/>
          <w:szCs w:val="28"/>
        </w:rPr>
        <w:t>七、夜间施工安排</w:t>
      </w:r>
    </w:p>
    <w:p w14:paraId="080C5D84">
      <w:pPr>
        <w:pStyle w:val="2"/>
        <w:spacing w:before="101" w:line="217" w:lineRule="auto"/>
        <w:ind w:left="1901"/>
        <w:rPr>
          <w:sz w:val="24"/>
          <w:szCs w:val="24"/>
        </w:rPr>
      </w:pPr>
      <w:r>
        <w:rPr>
          <w:spacing w:val="-21"/>
          <w:sz w:val="24"/>
          <w:szCs w:val="24"/>
        </w:rPr>
        <w:t>为保障夜间施工能顺利进行，我公司拟采取</w:t>
      </w:r>
      <w:r>
        <w:rPr>
          <w:spacing w:val="-22"/>
          <w:sz w:val="24"/>
          <w:szCs w:val="24"/>
        </w:rPr>
        <w:t>措施如表所述。</w:t>
      </w:r>
    </w:p>
    <w:p w14:paraId="3D542196">
      <w:pPr>
        <w:pStyle w:val="2"/>
        <w:spacing w:before="120" w:line="217" w:lineRule="auto"/>
        <w:ind w:left="1893"/>
        <w:rPr>
          <w:sz w:val="24"/>
          <w:szCs w:val="24"/>
        </w:rPr>
      </w:pPr>
      <w:r>
        <w:pict>
          <v:shape id="_x0000_s3725" o:spid="_x0000_s3725" style="position:absolute;left:0pt;margin-left:174.35pt;margin-top:21.65pt;height:0.75pt;width:2.2pt;z-index:252188672;mso-width-relative:page;mso-height-relative:page;" fillcolor="#1C456A" filled="t" stroked="f" coordsize="44,15" path="m0,14l43,14,43,0,0,0,0,14xe">
            <v:path/>
            <v:fill on="t" focussize="0,0"/>
            <v:stroke on="f"/>
            <v:imagedata o:title=""/>
            <o:lock v:ext="edit"/>
          </v:shape>
        </w:pict>
      </w:r>
      <w:r>
        <w:rPr>
          <w:spacing w:val="-20"/>
          <w:sz w:val="24"/>
          <w:szCs w:val="24"/>
        </w:rPr>
        <w:t>夜间施工保障措施一览表</w:t>
      </w:r>
    </w:p>
    <w:p w14:paraId="23C713DF">
      <w:pPr>
        <w:spacing w:line="39" w:lineRule="auto"/>
        <w:rPr>
          <w:rFonts w:ascii="Arial"/>
          <w:sz w:val="2"/>
        </w:rPr>
      </w:pPr>
    </w:p>
    <w:tbl>
      <w:tblPr>
        <w:tblStyle w:val="6"/>
        <w:tblW w:w="9154" w:type="dxa"/>
        <w:tblInd w:w="137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08"/>
        <w:gridCol w:w="612"/>
        <w:gridCol w:w="1300"/>
        <w:gridCol w:w="1543"/>
        <w:gridCol w:w="3918"/>
        <w:gridCol w:w="1573"/>
      </w:tblGrid>
      <w:tr w14:paraId="5F4200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0" w:hRule="atLeast"/>
        </w:trPr>
        <w:tc>
          <w:tcPr>
            <w:tcW w:w="820" w:type="dxa"/>
            <w:gridSpan w:val="2"/>
            <w:tcBorders>
              <w:top w:val="single" w:color="000000" w:sz="4" w:space="0"/>
              <w:left w:val="single" w:color="000000" w:sz="4" w:space="0"/>
            </w:tcBorders>
            <w:shd w:val="clear" w:color="auto" w:fill="DEEAF6"/>
            <w:vAlign w:val="top"/>
          </w:tcPr>
          <w:p w14:paraId="17C651C6">
            <w:pPr>
              <w:spacing w:line="93" w:lineRule="exact"/>
            </w:pPr>
            <w:r>
              <w:rPr>
                <w:position w:val="-1"/>
              </w:rPr>
              <w:pict>
                <v:group id="_x0000_s3726" o:spid="_x0000_s3726" o:spt="203" style="height:5.2pt;width:42.6pt;" coordsize="851,103">
                  <o:lock v:ext="edit"/>
                  <v:shape id="_x0000_s3727" o:spid="_x0000_s3727" style="position:absolute;left:0;top:0;height:15;width:44;" fillcolor="#5B9BD5" filled="t" stroked="f" coordsize="44,15" path="m0,14l43,14,43,0,0,0,0,14xe">
                    <v:path/>
                    <v:fill on="t" focussize="0,0"/>
                    <v:stroke on="f"/>
                    <v:imagedata o:title=""/>
                    <o:lock v:ext="edit"/>
                  </v:shape>
                  <v:shape id="_x0000_s3728" o:spid="_x0000_s3728" style="position:absolute;left:43;top:43;height:60;width:765;" fillcolor="#DEEAF6" filled="t" stroked="f" coordsize="765,60" path="m0,60l765,60,765,0,0,0,0,60xe">
                    <v:path/>
                    <v:fill on="t" focussize="0,0"/>
                    <v:stroke on="f"/>
                    <v:imagedata o:title=""/>
                    <o:lock v:ext="edit"/>
                  </v:shape>
                  <v:shape id="_x0000_s3729" o:spid="_x0000_s3729" style="position:absolute;left:808;top:0;height:15;width:44;" fillcolor="#5B9BD5" filled="t" stroked="f" coordsize="44,15" path="m0,14l43,14,43,0,0,0,0,14xe">
                    <v:path/>
                    <v:fill on="t" focussize="0,0"/>
                    <v:stroke on="f"/>
                    <v:imagedata o:title=""/>
                    <o:lock v:ext="edit"/>
                  </v:shape>
                  <v:shape id="_x0000_s3730" o:spid="_x0000_s3730" style="position:absolute;left:808;top:14;height:15;width:44;" fillcolor="#20507B" filled="t" stroked="f" coordsize="44,15" path="m0,14l43,14,43,0,0,0,0,14xe">
                    <v:path/>
                    <v:fill on="t" focussize="0,0"/>
                    <v:stroke on="f"/>
                    <v:imagedata o:title=""/>
                    <o:lock v:ext="edit"/>
                  </v:shape>
                  <v:shape id="_x0000_s3731" o:spid="_x0000_s3731" style="position:absolute;left:808;top:28;height:15;width:44;" fillcolor="#1C456A" filled="t" stroked="f" coordsize="44,15" path="m0,14l43,14,43,0,0,0,0,14xe">
                    <v:path/>
                    <v:fill on="t" focussize="0,0"/>
                    <v:stroke on="f"/>
                    <v:imagedata o:title=""/>
                    <o:lock v:ext="edit"/>
                  </v:shape>
                  <w10:wrap type="none"/>
                  <w10:anchorlock/>
                </v:group>
              </w:pict>
            </w:r>
          </w:p>
          <w:p w14:paraId="5C1AC040">
            <w:pPr>
              <w:pStyle w:val="7"/>
              <w:spacing w:before="33" w:line="218" w:lineRule="auto"/>
              <w:ind w:left="205"/>
            </w:pPr>
            <w:r>
              <w:rPr>
                <w:b/>
                <w:bCs/>
                <w:spacing w:val="-12"/>
              </w:rPr>
              <w:t>序号</w:t>
            </w:r>
          </w:p>
          <w:p w14:paraId="248542CE">
            <w:pPr>
              <w:spacing w:before="148" w:line="51" w:lineRule="exact"/>
              <w:ind w:firstLine="11"/>
            </w:pPr>
            <w:r>
              <w:rPr>
                <w:position w:val="-1"/>
              </w:rPr>
              <w:pict>
                <v:shape id="_x0000_s3732" o:spid="_x0000_s3732" style="height:2.9pt;width:39.6pt;" fillcolor="#DEEAF6" filled="t" stroked="f" coordsize="791,58" path="m0,57l791,57,791,0,0,0,0,57xe">
                  <v:path/>
                  <v:fill on="t" focussize="0,0"/>
                  <v:stroke on="f"/>
                  <v:imagedata o:title=""/>
                  <o:lock v:ext="edit"/>
                  <w10:wrap type="none"/>
                  <w10:anchorlock/>
                </v:shape>
              </w:pict>
            </w:r>
          </w:p>
        </w:tc>
        <w:tc>
          <w:tcPr>
            <w:tcW w:w="1300" w:type="dxa"/>
            <w:tcBorders>
              <w:top w:val="single" w:color="000000" w:sz="4" w:space="0"/>
            </w:tcBorders>
            <w:shd w:val="clear" w:color="auto" w:fill="DEEAF6"/>
            <w:vAlign w:val="top"/>
          </w:tcPr>
          <w:p w14:paraId="7B894CC3">
            <w:pPr>
              <w:pStyle w:val="7"/>
              <w:spacing w:before="126" w:line="219" w:lineRule="auto"/>
              <w:ind w:left="436"/>
            </w:pPr>
            <w:r>
              <w:rPr>
                <w:b/>
                <w:bCs/>
                <w:spacing w:val="-12"/>
              </w:rPr>
              <w:t>措施</w:t>
            </w:r>
          </w:p>
        </w:tc>
        <w:tc>
          <w:tcPr>
            <w:tcW w:w="1543" w:type="dxa"/>
            <w:tcBorders>
              <w:top w:val="single" w:color="5B9BD5" w:sz="4" w:space="0"/>
              <w:right w:val="nil"/>
            </w:tcBorders>
            <w:shd w:val="clear" w:color="auto" w:fill="DEEAF6"/>
            <w:vAlign w:val="top"/>
          </w:tcPr>
          <w:p w14:paraId="26C97ECF">
            <w:pPr>
              <w:spacing w:line="18" w:lineRule="exact"/>
            </w:pPr>
            <w:r>
              <w:pict>
                <v:group id="_x0000_s3733" o:spid="_x0000_s3733" o:spt="203" style="height:1.45pt;width:2.2pt;" coordsize="44,29">
                  <o:lock v:ext="edit"/>
                  <v:shape id="_x0000_s3734" o:spid="_x0000_s3734" style="position:absolute;left:0;top:0;height:15;width:44;" fillcolor="#5B9BD5" filled="t" stroked="f" coordsize="44,15" path="m0,14l43,14,43,0,0,0,0,14xe">
                    <v:path/>
                    <v:fill on="t" focussize="0,0"/>
                    <v:stroke on="f"/>
                    <v:imagedata o:title=""/>
                    <o:lock v:ext="edit"/>
                  </v:shape>
                  <v:shape id="_x0000_s3735" o:spid="_x0000_s3735" style="position:absolute;left:0;top:14;height:15;width:44;" fillcolor="#20507B" filled="t" stroked="f" coordsize="44,15" path="m0,14l43,14,43,0,0,0,0,14xe">
                    <v:path/>
                    <v:fill on="t" focussize="0,0"/>
                    <v:stroke on="f"/>
                    <v:imagedata o:title=""/>
                    <o:lock v:ext="edit"/>
                  </v:shape>
                  <w10:wrap type="none"/>
                  <w10:anchorlock/>
                </v:group>
              </w:pict>
            </w:r>
          </w:p>
        </w:tc>
        <w:tc>
          <w:tcPr>
            <w:tcW w:w="3918" w:type="dxa"/>
            <w:tcBorders>
              <w:top w:val="single" w:color="5B9BD5" w:sz="4" w:space="0"/>
              <w:left w:val="nil"/>
              <w:right w:val="nil"/>
            </w:tcBorders>
            <w:shd w:val="clear" w:color="auto" w:fill="DEEAF6"/>
            <w:vAlign w:val="top"/>
          </w:tcPr>
          <w:p w14:paraId="10F37C91">
            <w:pPr>
              <w:pStyle w:val="7"/>
              <w:spacing w:before="127" w:line="218" w:lineRule="auto"/>
              <w:ind w:left="1545"/>
            </w:pPr>
            <w:r>
              <w:rPr>
                <w:b/>
                <w:bCs/>
                <w:spacing w:val="-19"/>
              </w:rPr>
              <w:t>具体内容</w:t>
            </w:r>
          </w:p>
        </w:tc>
        <w:tc>
          <w:tcPr>
            <w:tcW w:w="1573" w:type="dxa"/>
            <w:tcBorders>
              <w:top w:val="single" w:color="5B9BD5" w:sz="4" w:space="0"/>
              <w:left w:val="nil"/>
              <w:right w:val="single" w:color="5B9BD5" w:sz="4" w:space="0"/>
            </w:tcBorders>
            <w:shd w:val="clear" w:color="auto" w:fill="DEEAF6"/>
            <w:vAlign w:val="top"/>
          </w:tcPr>
          <w:p w14:paraId="39E5C49E">
            <w:pPr>
              <w:rPr>
                <w:rFonts w:ascii="Arial"/>
                <w:sz w:val="21"/>
              </w:rPr>
            </w:pPr>
            <w:r>
              <w:pict>
                <v:shape id="_x0000_s3736" o:spid="_x0000_s3736" style="position:absolute;left:0pt;margin-left:76.8pt;margin-top:0pt;height:0.75pt;width:2.2pt;mso-position-horizontal-relative:page;mso-position-vertical-relative:page;z-index:252190720;mso-width-relative:page;mso-height-relative:page;" fillcolor="#5B9BD5" filled="t" stroked="f" coordsize="44,15" path="m0,14l43,14,43,0,0,0,0,14xe">
                  <v:path/>
                  <v:fill on="t" focussize="0,0"/>
                  <v:stroke on="f"/>
                  <v:imagedata o:title=""/>
                  <o:lock v:ext="edit"/>
                </v:shape>
              </w:pict>
            </w:r>
          </w:p>
        </w:tc>
      </w:tr>
      <w:tr w14:paraId="0D9AF7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1517" w:hRule="atLeast"/>
        </w:trPr>
        <w:tc>
          <w:tcPr>
            <w:tcW w:w="820" w:type="dxa"/>
            <w:gridSpan w:val="2"/>
            <w:tcBorders>
              <w:left w:val="single" w:color="000000" w:sz="4" w:space="0"/>
            </w:tcBorders>
            <w:vAlign w:val="top"/>
          </w:tcPr>
          <w:p w14:paraId="390B62D1">
            <w:pPr>
              <w:spacing w:line="479" w:lineRule="auto"/>
              <w:rPr>
                <w:rFonts w:ascii="Arial"/>
                <w:sz w:val="21"/>
              </w:rPr>
            </w:pPr>
          </w:p>
          <w:p w14:paraId="11E5C7D8">
            <w:pPr>
              <w:pStyle w:val="7"/>
              <w:spacing w:before="78" w:line="238" w:lineRule="auto"/>
              <w:ind w:left="378"/>
            </w:pPr>
            <w:r>
              <w:t>1</w:t>
            </w:r>
          </w:p>
        </w:tc>
        <w:tc>
          <w:tcPr>
            <w:tcW w:w="1300" w:type="dxa"/>
            <w:vAlign w:val="top"/>
          </w:tcPr>
          <w:p w14:paraId="148F5F56">
            <w:pPr>
              <w:spacing w:line="479" w:lineRule="auto"/>
              <w:rPr>
                <w:rFonts w:ascii="Arial"/>
                <w:sz w:val="21"/>
              </w:rPr>
            </w:pPr>
          </w:p>
          <w:p w14:paraId="44C7546A">
            <w:pPr>
              <w:pStyle w:val="7"/>
              <w:spacing w:before="78" w:line="219" w:lineRule="auto"/>
              <w:ind w:left="226"/>
            </w:pPr>
            <w:r>
              <w:rPr>
                <w:spacing w:val="-17"/>
              </w:rPr>
              <w:t>监督管理</w:t>
            </w:r>
          </w:p>
        </w:tc>
        <w:tc>
          <w:tcPr>
            <w:tcW w:w="7034" w:type="dxa"/>
            <w:gridSpan w:val="3"/>
            <w:tcBorders>
              <w:right w:val="single" w:color="000000" w:sz="4" w:space="0"/>
            </w:tcBorders>
            <w:vAlign w:val="top"/>
          </w:tcPr>
          <w:p w14:paraId="3A6C2C52">
            <w:pPr>
              <w:pStyle w:val="7"/>
              <w:spacing w:before="95" w:line="358" w:lineRule="auto"/>
              <w:ind w:left="72" w:right="29" w:hanging="6"/>
            </w:pPr>
            <w:r>
              <w:rPr>
                <w:spacing w:val="-24"/>
              </w:rPr>
              <w:t>现场安排专职人员值班，协调处理夜间施工工作；项目经理部设置夜间施工监督员，对夜间施工进行巡视，确保夜间施工的工作效率和作业安全；</w:t>
            </w:r>
          </w:p>
          <w:p w14:paraId="032EADC0">
            <w:pPr>
              <w:pStyle w:val="7"/>
              <w:spacing w:before="1" w:line="217" w:lineRule="auto"/>
              <w:ind w:left="1559"/>
            </w:pPr>
            <w:r>
              <w:rPr>
                <w:spacing w:val="-21"/>
              </w:rPr>
              <w:t>项目部其他人员保持全天侯的通讯联络。</w:t>
            </w:r>
          </w:p>
        </w:tc>
      </w:tr>
      <w:tr w14:paraId="1C6C5F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54" w:hRule="atLeast"/>
        </w:trPr>
        <w:tc>
          <w:tcPr>
            <w:tcW w:w="208" w:type="dxa"/>
            <w:tcBorders>
              <w:left w:val="single" w:color="1C456A" w:sz="4" w:space="0"/>
              <w:bottom w:val="single" w:color="1C456A" w:sz="4" w:space="0"/>
              <w:right w:val="nil"/>
            </w:tcBorders>
            <w:vAlign w:val="top"/>
          </w:tcPr>
          <w:p w14:paraId="6FE1EADF">
            <w:pPr>
              <w:rPr>
                <w:rFonts w:ascii="Arial"/>
                <w:sz w:val="21"/>
              </w:rPr>
            </w:pPr>
            <w:r>
              <w:pict>
                <v:shape id="_x0000_s3737" o:spid="_x0000_s3737" style="position:absolute;left:0pt;margin-left:-0.25pt;margin-top:217.7pt;height:0.75pt;width:2.2pt;mso-position-horizontal-relative:page;mso-position-vertical-relative:page;z-index:252189696;mso-width-relative:page;mso-height-relative:page;" fillcolor="#5B9BD5" filled="t" stroked="f" coordsize="44,15" path="m0,14l43,14,43,0,0,0,0,14xe">
                  <v:path/>
                  <v:fill on="t" focussize="0,0"/>
                  <v:stroke on="f"/>
                  <v:imagedata o:title=""/>
                  <o:lock v:ext="edit"/>
                </v:shape>
              </w:pict>
            </w:r>
          </w:p>
        </w:tc>
        <w:tc>
          <w:tcPr>
            <w:tcW w:w="612" w:type="dxa"/>
            <w:tcBorders>
              <w:left w:val="nil"/>
              <w:bottom w:val="single" w:color="1C456A" w:sz="4" w:space="0"/>
            </w:tcBorders>
            <w:vAlign w:val="top"/>
          </w:tcPr>
          <w:p w14:paraId="6C79C5B6">
            <w:pPr>
              <w:spacing w:line="267" w:lineRule="auto"/>
              <w:rPr>
                <w:rFonts w:ascii="Arial"/>
                <w:sz w:val="21"/>
              </w:rPr>
            </w:pPr>
          </w:p>
          <w:p w14:paraId="2E17E4C8">
            <w:pPr>
              <w:spacing w:line="268" w:lineRule="auto"/>
              <w:rPr>
                <w:rFonts w:ascii="Arial"/>
                <w:sz w:val="21"/>
              </w:rPr>
            </w:pPr>
          </w:p>
          <w:p w14:paraId="7C788E16">
            <w:pPr>
              <w:spacing w:line="268" w:lineRule="auto"/>
              <w:rPr>
                <w:rFonts w:ascii="Arial"/>
                <w:sz w:val="21"/>
              </w:rPr>
            </w:pPr>
          </w:p>
          <w:p w14:paraId="2B2C83C3">
            <w:pPr>
              <w:spacing w:line="268" w:lineRule="auto"/>
              <w:rPr>
                <w:rFonts w:ascii="Arial"/>
                <w:sz w:val="21"/>
              </w:rPr>
            </w:pPr>
          </w:p>
          <w:p w14:paraId="35E4AA56">
            <w:pPr>
              <w:spacing w:line="268" w:lineRule="auto"/>
              <w:rPr>
                <w:rFonts w:ascii="Arial"/>
                <w:sz w:val="21"/>
              </w:rPr>
            </w:pPr>
          </w:p>
          <w:p w14:paraId="5AC135DA">
            <w:pPr>
              <w:spacing w:line="268" w:lineRule="auto"/>
              <w:rPr>
                <w:rFonts w:ascii="Arial"/>
                <w:sz w:val="21"/>
              </w:rPr>
            </w:pPr>
          </w:p>
          <w:p w14:paraId="083A1205">
            <w:pPr>
              <w:spacing w:line="268" w:lineRule="auto"/>
              <w:rPr>
                <w:rFonts w:ascii="Arial"/>
                <w:sz w:val="21"/>
              </w:rPr>
            </w:pPr>
          </w:p>
          <w:p w14:paraId="4D45E8DE">
            <w:pPr>
              <w:pStyle w:val="7"/>
              <w:spacing w:before="78" w:line="238" w:lineRule="auto"/>
              <w:ind w:left="160"/>
            </w:pPr>
            <w:r>
              <w:t>2</w:t>
            </w:r>
          </w:p>
        </w:tc>
        <w:tc>
          <w:tcPr>
            <w:tcW w:w="1300" w:type="dxa"/>
            <w:tcBorders>
              <w:bottom w:val="single" w:color="000000" w:sz="4" w:space="0"/>
            </w:tcBorders>
            <w:vAlign w:val="top"/>
          </w:tcPr>
          <w:p w14:paraId="3DD64FA6">
            <w:pPr>
              <w:spacing w:line="267" w:lineRule="auto"/>
              <w:rPr>
                <w:rFonts w:ascii="Arial"/>
                <w:sz w:val="21"/>
              </w:rPr>
            </w:pPr>
          </w:p>
          <w:p w14:paraId="791DE2CF">
            <w:pPr>
              <w:spacing w:line="267" w:lineRule="auto"/>
              <w:rPr>
                <w:rFonts w:ascii="Arial"/>
                <w:sz w:val="21"/>
              </w:rPr>
            </w:pPr>
          </w:p>
          <w:p w14:paraId="6D01D04B">
            <w:pPr>
              <w:spacing w:line="268" w:lineRule="auto"/>
              <w:rPr>
                <w:rFonts w:ascii="Arial"/>
                <w:sz w:val="21"/>
              </w:rPr>
            </w:pPr>
          </w:p>
          <w:p w14:paraId="2C3F6099">
            <w:pPr>
              <w:spacing w:line="268" w:lineRule="auto"/>
              <w:rPr>
                <w:rFonts w:ascii="Arial"/>
                <w:sz w:val="21"/>
              </w:rPr>
            </w:pPr>
          </w:p>
          <w:p w14:paraId="6EBE442C">
            <w:pPr>
              <w:spacing w:line="268" w:lineRule="auto"/>
              <w:rPr>
                <w:rFonts w:ascii="Arial"/>
                <w:sz w:val="21"/>
              </w:rPr>
            </w:pPr>
          </w:p>
          <w:p w14:paraId="134EABEF">
            <w:pPr>
              <w:spacing w:line="268" w:lineRule="auto"/>
              <w:rPr>
                <w:rFonts w:ascii="Arial"/>
                <w:sz w:val="21"/>
              </w:rPr>
            </w:pPr>
          </w:p>
          <w:p w14:paraId="0E5343B0">
            <w:pPr>
              <w:spacing w:line="268" w:lineRule="auto"/>
              <w:rPr>
                <w:rFonts w:ascii="Arial"/>
                <w:sz w:val="21"/>
              </w:rPr>
            </w:pPr>
          </w:p>
          <w:p w14:paraId="6F2E26F9">
            <w:pPr>
              <w:pStyle w:val="7"/>
              <w:spacing w:before="78" w:line="220" w:lineRule="auto"/>
              <w:ind w:left="219"/>
            </w:pPr>
            <w:r>
              <w:rPr>
                <w:spacing w:val="-15"/>
              </w:rPr>
              <w:t>施工照明</w:t>
            </w:r>
          </w:p>
        </w:tc>
        <w:tc>
          <w:tcPr>
            <w:tcW w:w="7034" w:type="dxa"/>
            <w:gridSpan w:val="3"/>
            <w:tcBorders>
              <w:bottom w:val="single" w:color="5B9BD5" w:sz="4" w:space="0"/>
              <w:right w:val="single" w:color="5B9BD5" w:sz="4" w:space="0"/>
            </w:tcBorders>
            <w:vAlign w:val="top"/>
          </w:tcPr>
          <w:p w14:paraId="2E56C35E">
            <w:pPr>
              <w:pStyle w:val="7"/>
              <w:spacing w:before="97" w:line="287" w:lineRule="auto"/>
              <w:ind w:left="1451" w:right="46" w:hanging="1374"/>
            </w:pPr>
            <w:r>
              <w:rPr>
                <w:spacing w:val="-24"/>
              </w:rPr>
              <w:t>1)施工照明与施工机械设备用电各自采用一条施工线路，防止大型施工机</w:t>
            </w:r>
            <w:r>
              <w:rPr>
                <w:spacing w:val="-22"/>
              </w:rPr>
              <w:t>械因偶尔而过载后跳闸导致施工照明不足。</w:t>
            </w:r>
          </w:p>
          <w:p w14:paraId="2EBB1164">
            <w:pPr>
              <w:pStyle w:val="7"/>
              <w:spacing w:before="185" w:line="289" w:lineRule="auto"/>
              <w:ind w:left="3106" w:right="45" w:hanging="3044"/>
            </w:pPr>
            <w:r>
              <w:rPr>
                <w:spacing w:val="-23"/>
              </w:rPr>
              <w:t>2)施工准备期间，分别在场地四周搭设大功率镝灯，用于整个施</w:t>
            </w:r>
            <w:r>
              <w:rPr>
                <w:spacing w:val="-24"/>
              </w:rPr>
              <w:t>工现场夜</w:t>
            </w:r>
            <w:r>
              <w:rPr>
                <w:spacing w:val="-21"/>
              </w:rPr>
              <w:t>间照明。</w:t>
            </w:r>
          </w:p>
          <w:p w14:paraId="154BD97A">
            <w:pPr>
              <w:pStyle w:val="7"/>
              <w:spacing w:before="183" w:line="215" w:lineRule="auto"/>
              <w:jc w:val="right"/>
            </w:pPr>
            <w:r>
              <w:rPr>
                <w:spacing w:val="-22"/>
              </w:rPr>
              <w:t>3)结构施工期间，在夜间施工处加设镝灯，用于施工作业层的夜</w:t>
            </w:r>
            <w:r>
              <w:rPr>
                <w:spacing w:val="-23"/>
              </w:rPr>
              <w:t>间照明。</w:t>
            </w:r>
          </w:p>
          <w:p w14:paraId="7A928B17">
            <w:pPr>
              <w:pStyle w:val="7"/>
              <w:spacing w:before="186" w:line="217" w:lineRule="auto"/>
              <w:jc w:val="right"/>
            </w:pPr>
            <w:r>
              <w:rPr>
                <w:spacing w:val="-28"/>
              </w:rPr>
              <w:t>4)现场必须有足够的照明能力。满足夜间施工质量、安全等对照明的需</w:t>
            </w:r>
            <w:r>
              <w:rPr>
                <w:spacing w:val="-29"/>
              </w:rPr>
              <w:t>求。</w:t>
            </w:r>
          </w:p>
          <w:p w14:paraId="22FCF2F0">
            <w:pPr>
              <w:pStyle w:val="7"/>
              <w:spacing w:before="185" w:line="288" w:lineRule="auto"/>
              <w:ind w:left="935" w:right="42" w:hanging="871"/>
            </w:pPr>
            <w:r>
              <w:rPr>
                <w:spacing w:val="-23"/>
              </w:rPr>
              <w:t>5)现场在临边、基坑等事故易发位置，严格按照有关规定设置警戒</w:t>
            </w:r>
            <w:r>
              <w:rPr>
                <w:spacing w:val="-24"/>
              </w:rPr>
              <w:t>灯，并</w:t>
            </w:r>
            <w:r>
              <w:rPr>
                <w:spacing w:val="-22"/>
              </w:rPr>
              <w:t>由专职安全员负责维护，确保设施的完整性</w:t>
            </w:r>
            <w:r>
              <w:rPr>
                <w:spacing w:val="-23"/>
              </w:rPr>
              <w:t>、有效性。</w:t>
            </w:r>
          </w:p>
          <w:p w14:paraId="6B6979F7">
            <w:pPr>
              <w:pStyle w:val="7"/>
              <w:spacing w:before="185" w:line="218" w:lineRule="auto"/>
              <w:ind w:left="244"/>
            </w:pPr>
            <w:r>
              <w:rPr>
                <w:spacing w:val="-20"/>
              </w:rPr>
              <w:t>6)配备足够的电工，及时配合施工对照明的需要，</w:t>
            </w:r>
            <w:r>
              <w:rPr>
                <w:spacing w:val="-21"/>
              </w:rPr>
              <w:t>尤其是移动光源。</w:t>
            </w:r>
          </w:p>
        </w:tc>
      </w:tr>
    </w:tbl>
    <w:p w14:paraId="2C5ED314">
      <w:pPr>
        <w:spacing w:line="238" w:lineRule="exact"/>
        <w:rPr>
          <w:rFonts w:ascii="Arial"/>
          <w:sz w:val="20"/>
        </w:rPr>
      </w:pPr>
    </w:p>
    <w:p w14:paraId="23150E58">
      <w:pPr>
        <w:spacing w:line="238" w:lineRule="exact"/>
        <w:rPr>
          <w:rFonts w:ascii="Arial" w:hAnsi="Arial" w:eastAsia="Arial" w:cs="Arial"/>
          <w:sz w:val="20"/>
          <w:szCs w:val="20"/>
        </w:rPr>
        <w:sectPr>
          <w:footerReference r:id="rId272" w:type="default"/>
          <w:pgSz w:w="11907" w:h="16839"/>
          <w:pgMar w:top="933" w:right="4" w:bottom="1038" w:left="0" w:header="478" w:footer="357" w:gutter="0"/>
          <w:pgBorders>
            <w:top w:val="none" w:sz="0" w:space="0"/>
            <w:left w:val="none" w:sz="0" w:space="0"/>
            <w:bottom w:val="none" w:sz="0" w:space="0"/>
            <w:right w:val="none" w:sz="0" w:space="0"/>
          </w:pgBorders>
          <w:cols w:space="720" w:num="1"/>
        </w:sectPr>
      </w:pPr>
    </w:p>
    <w:p w14:paraId="2E9305B8">
      <w:pPr>
        <w:spacing w:line="235" w:lineRule="exact"/>
      </w:pPr>
    </w:p>
    <w:tbl>
      <w:tblPr>
        <w:tblStyle w:val="6"/>
        <w:tblW w:w="9154" w:type="dxa"/>
        <w:tblInd w:w="137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13"/>
        <w:gridCol w:w="1306"/>
        <w:gridCol w:w="7035"/>
      </w:tblGrid>
      <w:tr w14:paraId="6E6975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89" w:hRule="atLeast"/>
        </w:trPr>
        <w:tc>
          <w:tcPr>
            <w:tcW w:w="813" w:type="dxa"/>
            <w:tcBorders>
              <w:top w:val="single" w:color="000000" w:sz="4" w:space="0"/>
              <w:left w:val="single" w:color="000000" w:sz="4" w:space="0"/>
            </w:tcBorders>
            <w:vAlign w:val="top"/>
          </w:tcPr>
          <w:p w14:paraId="0F13D53C">
            <w:pPr>
              <w:spacing w:line="284" w:lineRule="auto"/>
              <w:rPr>
                <w:rFonts w:ascii="Arial"/>
                <w:sz w:val="21"/>
              </w:rPr>
            </w:pPr>
          </w:p>
          <w:p w14:paraId="71B0CDCD">
            <w:pPr>
              <w:pStyle w:val="7"/>
              <w:spacing w:before="78" w:line="237" w:lineRule="auto"/>
              <w:ind w:left="365"/>
            </w:pPr>
            <w:r>
              <w:t>3</w:t>
            </w:r>
          </w:p>
        </w:tc>
        <w:tc>
          <w:tcPr>
            <w:tcW w:w="1306" w:type="dxa"/>
            <w:tcBorders>
              <w:top w:val="single" w:color="000000" w:sz="4" w:space="0"/>
            </w:tcBorders>
            <w:vAlign w:val="top"/>
          </w:tcPr>
          <w:p w14:paraId="7039C881">
            <w:pPr>
              <w:spacing w:line="284" w:lineRule="auto"/>
              <w:rPr>
                <w:rFonts w:ascii="Arial"/>
                <w:sz w:val="21"/>
              </w:rPr>
            </w:pPr>
          </w:p>
          <w:p w14:paraId="6849A823">
            <w:pPr>
              <w:pStyle w:val="7"/>
              <w:spacing w:before="78" w:line="218" w:lineRule="auto"/>
              <w:ind w:left="230"/>
            </w:pPr>
            <w:r>
              <w:rPr>
                <w:spacing w:val="-16"/>
              </w:rPr>
              <w:t>安全防护</w:t>
            </w:r>
          </w:p>
        </w:tc>
        <w:tc>
          <w:tcPr>
            <w:tcW w:w="7035" w:type="dxa"/>
            <w:tcBorders>
              <w:top w:val="single" w:color="5B9BD5" w:sz="4" w:space="0"/>
              <w:right w:val="single" w:color="5B9BD5" w:sz="4" w:space="0"/>
            </w:tcBorders>
            <w:vAlign w:val="top"/>
          </w:tcPr>
          <w:p w14:paraId="694A2F70">
            <w:pPr>
              <w:pStyle w:val="7"/>
              <w:spacing w:before="129" w:line="216" w:lineRule="auto"/>
              <w:ind w:left="68"/>
            </w:pPr>
            <w:r>
              <w:rPr>
                <w:spacing w:val="-23"/>
              </w:rPr>
              <w:t>夜间施工时，加强进行安全设施管理，重点检查作业层四周安</w:t>
            </w:r>
            <w:r>
              <w:rPr>
                <w:spacing w:val="-24"/>
              </w:rPr>
              <w:t>全围护、临</w:t>
            </w:r>
          </w:p>
          <w:p w14:paraId="6A853985">
            <w:pPr>
              <w:pStyle w:val="7"/>
              <w:spacing w:before="187" w:line="217" w:lineRule="auto"/>
              <w:ind w:left="1564"/>
            </w:pPr>
            <w:r>
              <w:rPr>
                <w:spacing w:val="-21"/>
              </w:rPr>
              <w:t>边基坑防护等部位，确保夜间施工安全。</w:t>
            </w:r>
          </w:p>
        </w:tc>
      </w:tr>
      <w:tr w14:paraId="32B005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3" w:hRule="atLeast"/>
        </w:trPr>
        <w:tc>
          <w:tcPr>
            <w:tcW w:w="813" w:type="dxa"/>
            <w:tcBorders>
              <w:left w:val="single" w:color="000000" w:sz="4" w:space="0"/>
            </w:tcBorders>
            <w:vAlign w:val="top"/>
          </w:tcPr>
          <w:p w14:paraId="2A1F9F4F">
            <w:pPr>
              <w:pStyle w:val="7"/>
              <w:spacing w:before="96" w:line="238" w:lineRule="auto"/>
              <w:ind w:left="359"/>
            </w:pPr>
            <w:r>
              <w:t>4</w:t>
            </w:r>
          </w:p>
        </w:tc>
        <w:tc>
          <w:tcPr>
            <w:tcW w:w="1306" w:type="dxa"/>
            <w:vAlign w:val="top"/>
          </w:tcPr>
          <w:p w14:paraId="4F897AFB">
            <w:pPr>
              <w:pStyle w:val="7"/>
              <w:spacing w:before="96" w:line="217" w:lineRule="auto"/>
              <w:ind w:left="229"/>
            </w:pPr>
            <w:r>
              <w:rPr>
                <w:spacing w:val="-16"/>
              </w:rPr>
              <w:t>后勤保障</w:t>
            </w:r>
          </w:p>
        </w:tc>
        <w:tc>
          <w:tcPr>
            <w:tcW w:w="7035" w:type="dxa"/>
            <w:tcBorders>
              <w:right w:val="single" w:color="000000" w:sz="4" w:space="0"/>
            </w:tcBorders>
            <w:vAlign w:val="top"/>
          </w:tcPr>
          <w:p w14:paraId="0B03D973">
            <w:pPr>
              <w:pStyle w:val="7"/>
              <w:spacing w:before="96" w:line="216" w:lineRule="auto"/>
              <w:jc w:val="right"/>
            </w:pPr>
            <w:r>
              <w:rPr>
                <w:spacing w:val="-29"/>
              </w:rPr>
              <w:t>做好后勤保障工作，尤其食堂等生活配套设施，必须满足夜间施</w:t>
            </w:r>
            <w:r>
              <w:rPr>
                <w:spacing w:val="-30"/>
              </w:rPr>
              <w:t>工的要求；</w:t>
            </w:r>
          </w:p>
        </w:tc>
      </w:tr>
      <w:tr w14:paraId="1F16F1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53" w:hRule="atLeast"/>
        </w:trPr>
        <w:tc>
          <w:tcPr>
            <w:tcW w:w="813" w:type="dxa"/>
            <w:tcBorders>
              <w:left w:val="single" w:color="000000" w:sz="4" w:space="0"/>
            </w:tcBorders>
            <w:vAlign w:val="top"/>
          </w:tcPr>
          <w:p w14:paraId="49835822">
            <w:pPr>
              <w:spacing w:line="254" w:lineRule="auto"/>
              <w:rPr>
                <w:rFonts w:ascii="Arial"/>
                <w:sz w:val="21"/>
              </w:rPr>
            </w:pPr>
          </w:p>
          <w:p w14:paraId="4D6F8252">
            <w:pPr>
              <w:pStyle w:val="7"/>
              <w:spacing w:before="78" w:line="237" w:lineRule="auto"/>
              <w:ind w:left="365"/>
            </w:pPr>
            <w:r>
              <w:t>5</w:t>
            </w:r>
          </w:p>
        </w:tc>
        <w:tc>
          <w:tcPr>
            <w:tcW w:w="1306" w:type="dxa"/>
            <w:vAlign w:val="top"/>
          </w:tcPr>
          <w:p w14:paraId="268152A3">
            <w:pPr>
              <w:spacing w:line="254" w:lineRule="auto"/>
              <w:rPr>
                <w:rFonts w:ascii="Arial"/>
                <w:sz w:val="21"/>
              </w:rPr>
            </w:pPr>
          </w:p>
          <w:p w14:paraId="48904E71">
            <w:pPr>
              <w:pStyle w:val="7"/>
              <w:spacing w:before="78" w:line="218" w:lineRule="auto"/>
              <w:ind w:left="226"/>
            </w:pPr>
            <w:r>
              <w:rPr>
                <w:spacing w:val="-15"/>
              </w:rPr>
              <w:t>验收计划</w:t>
            </w:r>
          </w:p>
        </w:tc>
        <w:tc>
          <w:tcPr>
            <w:tcW w:w="7035" w:type="dxa"/>
            <w:tcBorders>
              <w:right w:val="single" w:color="000000" w:sz="4" w:space="0"/>
            </w:tcBorders>
            <w:vAlign w:val="top"/>
          </w:tcPr>
          <w:p w14:paraId="756F2D8C">
            <w:pPr>
              <w:pStyle w:val="7"/>
              <w:spacing w:before="100" w:line="217" w:lineRule="auto"/>
              <w:ind w:left="67"/>
            </w:pPr>
            <w:r>
              <w:rPr>
                <w:spacing w:val="-23"/>
              </w:rPr>
              <w:t>针对夜间施工中出现的中间验收，提前制定验收计划</w:t>
            </w:r>
            <w:r>
              <w:rPr>
                <w:spacing w:val="-24"/>
              </w:rPr>
              <w:t>，上报业主、监理单</w:t>
            </w:r>
          </w:p>
          <w:p w14:paraId="76D6D922">
            <w:pPr>
              <w:pStyle w:val="7"/>
              <w:spacing w:before="183" w:line="216" w:lineRule="auto"/>
              <w:ind w:left="1778"/>
            </w:pPr>
            <w:r>
              <w:rPr>
                <w:spacing w:val="-21"/>
              </w:rPr>
              <w:t>位，以便他们作出相应的工作安排。</w:t>
            </w:r>
          </w:p>
        </w:tc>
      </w:tr>
      <w:tr w14:paraId="087C43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13" w:hRule="atLeast"/>
        </w:trPr>
        <w:tc>
          <w:tcPr>
            <w:tcW w:w="813" w:type="dxa"/>
            <w:tcBorders>
              <w:left w:val="single" w:color="1C456A" w:sz="4" w:space="0"/>
              <w:bottom w:val="single" w:color="1C456A" w:sz="4" w:space="0"/>
            </w:tcBorders>
            <w:vAlign w:val="top"/>
          </w:tcPr>
          <w:p w14:paraId="09F9935C">
            <w:pPr>
              <w:spacing w:line="266" w:lineRule="auto"/>
              <w:rPr>
                <w:rFonts w:ascii="Arial"/>
                <w:sz w:val="21"/>
              </w:rPr>
            </w:pPr>
          </w:p>
          <w:p w14:paraId="50437FB7">
            <w:pPr>
              <w:pStyle w:val="7"/>
              <w:spacing w:before="78" w:line="237" w:lineRule="auto"/>
              <w:ind w:left="362"/>
            </w:pPr>
            <w:r>
              <w:t>6</w:t>
            </w:r>
          </w:p>
        </w:tc>
        <w:tc>
          <w:tcPr>
            <w:tcW w:w="1306" w:type="dxa"/>
            <w:tcBorders>
              <w:bottom w:val="single" w:color="000000" w:sz="4" w:space="0"/>
            </w:tcBorders>
            <w:vAlign w:val="top"/>
          </w:tcPr>
          <w:p w14:paraId="735A32F2">
            <w:pPr>
              <w:spacing w:line="266" w:lineRule="auto"/>
              <w:rPr>
                <w:rFonts w:ascii="Arial"/>
                <w:sz w:val="21"/>
              </w:rPr>
            </w:pPr>
          </w:p>
          <w:p w14:paraId="6C4C1C4C">
            <w:pPr>
              <w:pStyle w:val="7"/>
              <w:spacing w:before="78" w:line="220" w:lineRule="auto"/>
              <w:ind w:left="230"/>
            </w:pPr>
            <w:r>
              <w:rPr>
                <w:spacing w:val="-16"/>
              </w:rPr>
              <w:t>分包管理</w:t>
            </w:r>
          </w:p>
        </w:tc>
        <w:tc>
          <w:tcPr>
            <w:tcW w:w="7035" w:type="dxa"/>
            <w:tcBorders>
              <w:bottom w:val="single" w:color="5B9BD5" w:sz="4" w:space="0"/>
              <w:right w:val="single" w:color="5B9BD5" w:sz="4" w:space="0"/>
            </w:tcBorders>
            <w:vAlign w:val="top"/>
          </w:tcPr>
          <w:p w14:paraId="34019AA2">
            <w:pPr>
              <w:pStyle w:val="7"/>
              <w:spacing w:before="113" w:line="216" w:lineRule="auto"/>
              <w:ind w:left="69"/>
            </w:pPr>
            <w:r>
              <w:rPr>
                <w:spacing w:val="-23"/>
              </w:rPr>
              <w:t>但凡涉及夜间施工的其他相关单位如分包单位等</w:t>
            </w:r>
            <w:r>
              <w:rPr>
                <w:spacing w:val="-24"/>
              </w:rPr>
              <w:t>，我公司都要求他们作出</w:t>
            </w:r>
          </w:p>
          <w:p w14:paraId="2DC99F0D">
            <w:pPr>
              <w:pStyle w:val="7"/>
              <w:spacing w:before="187" w:line="216" w:lineRule="auto"/>
              <w:ind w:left="2650"/>
            </w:pPr>
            <w:r>
              <w:rPr>
                <w:spacing w:val="-19"/>
              </w:rPr>
              <w:t>相应的协作保证。</w:t>
            </w:r>
          </w:p>
        </w:tc>
      </w:tr>
    </w:tbl>
    <w:p w14:paraId="7BF3D1A4">
      <w:pPr>
        <w:pStyle w:val="2"/>
        <w:spacing w:before="81" w:line="216" w:lineRule="auto"/>
        <w:ind w:left="1976"/>
        <w:outlineLvl w:val="2"/>
        <w:rPr>
          <w:sz w:val="28"/>
          <w:szCs w:val="28"/>
        </w:rPr>
      </w:pPr>
      <w:bookmarkStart w:id="191" w:name="bookmark183"/>
      <w:bookmarkEnd w:id="191"/>
      <w:r>
        <w:rPr>
          <w:b/>
          <w:bCs/>
          <w:spacing w:val="-22"/>
          <w:sz w:val="28"/>
          <w:szCs w:val="28"/>
        </w:rPr>
        <w:t>八、节假日施工安排</w:t>
      </w:r>
    </w:p>
    <w:p w14:paraId="7F538408">
      <w:pPr>
        <w:pStyle w:val="2"/>
        <w:spacing w:before="108" w:line="307" w:lineRule="auto"/>
        <w:ind w:left="1457" w:right="1410" w:firstLine="436"/>
        <w:rPr>
          <w:sz w:val="24"/>
          <w:szCs w:val="24"/>
        </w:rPr>
      </w:pPr>
      <w:r>
        <w:rPr>
          <w:spacing w:val="-20"/>
          <w:sz w:val="24"/>
          <w:szCs w:val="24"/>
        </w:rPr>
        <w:t>根据总进度计划安排，本为保证农忙、节假日期间的正常施工，我公司拟采取措施如表所</w:t>
      </w:r>
      <w:r>
        <w:rPr>
          <w:spacing w:val="-18"/>
          <w:sz w:val="24"/>
          <w:szCs w:val="24"/>
        </w:rPr>
        <w:t>示。</w:t>
      </w:r>
    </w:p>
    <w:p w14:paraId="6FE40D33">
      <w:pPr>
        <w:pStyle w:val="2"/>
        <w:spacing w:before="1" w:line="215" w:lineRule="auto"/>
        <w:ind w:left="1894"/>
        <w:rPr>
          <w:sz w:val="24"/>
          <w:szCs w:val="24"/>
        </w:rPr>
      </w:pPr>
      <w:r>
        <w:pict>
          <v:shape id="_x0000_s3738" o:spid="_x0000_s3738" style="position:absolute;left:0pt;margin-left:175.45pt;margin-top:15.75pt;height:0.75pt;width:2.2pt;z-index:252192768;mso-width-relative:page;mso-height-relative:page;" fillcolor="#1C456A" filled="t" stroked="f" coordsize="44,15" path="m0,14l43,14,43,0,0,0,0,14xe">
            <v:path/>
            <v:fill on="t" focussize="0,0"/>
            <v:stroke on="f"/>
            <v:imagedata o:title=""/>
            <o:lock v:ext="edit"/>
          </v:shape>
        </w:pict>
      </w:r>
      <w:r>
        <w:rPr>
          <w:spacing w:val="-21"/>
          <w:sz w:val="24"/>
          <w:szCs w:val="24"/>
        </w:rPr>
        <w:t>农忙、节假日施工保障措施一览表</w:t>
      </w:r>
    </w:p>
    <w:p w14:paraId="7210C2EC">
      <w:pPr>
        <w:spacing w:line="51" w:lineRule="auto"/>
        <w:rPr>
          <w:rFonts w:ascii="Arial"/>
          <w:sz w:val="2"/>
        </w:rPr>
      </w:pPr>
    </w:p>
    <w:tbl>
      <w:tblPr>
        <w:tblStyle w:val="6"/>
        <w:tblW w:w="9233" w:type="dxa"/>
        <w:tblInd w:w="133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15"/>
        <w:gridCol w:w="625"/>
        <w:gridCol w:w="1340"/>
        <w:gridCol w:w="1547"/>
        <w:gridCol w:w="5506"/>
      </w:tblGrid>
      <w:tr w14:paraId="210888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0" w:hRule="atLeast"/>
        </w:trPr>
        <w:tc>
          <w:tcPr>
            <w:tcW w:w="840" w:type="dxa"/>
            <w:gridSpan w:val="2"/>
            <w:tcBorders>
              <w:top w:val="single" w:color="000000" w:sz="4" w:space="0"/>
              <w:left w:val="single" w:color="000000" w:sz="4" w:space="0"/>
            </w:tcBorders>
            <w:shd w:val="clear" w:color="auto" w:fill="DEEAF6"/>
            <w:vAlign w:val="top"/>
          </w:tcPr>
          <w:p w14:paraId="719BF4CD">
            <w:pPr>
              <w:spacing w:line="93" w:lineRule="exact"/>
            </w:pPr>
            <w:r>
              <w:rPr>
                <w:position w:val="-1"/>
              </w:rPr>
              <w:pict>
                <v:group id="_x0000_s3739" o:spid="_x0000_s3739" o:spt="203" style="height:5.2pt;width:43.7pt;" coordsize="874,103">
                  <o:lock v:ext="edit"/>
                  <v:shape id="_x0000_s3740" o:spid="_x0000_s3740" style="position:absolute;left:0;top:0;height:15;width:44;" fillcolor="#5B9BD5" filled="t" stroked="f" coordsize="44,15" path="m0,14l43,14,43,0,0,0,0,14xe">
                    <v:path/>
                    <v:fill on="t" focussize="0,0"/>
                    <v:stroke on="f"/>
                    <v:imagedata o:title=""/>
                    <o:lock v:ext="edit"/>
                  </v:shape>
                  <v:shape id="_x0000_s3741" o:spid="_x0000_s3741" style="position:absolute;left:43;top:43;height:60;width:788;" fillcolor="#DEEAF6" filled="t" stroked="f" coordsize="788,60" path="m0,60l787,60,787,0,0,0,0,60xe">
                    <v:path/>
                    <v:fill on="t" focussize="0,0"/>
                    <v:stroke on="f"/>
                    <v:imagedata o:title=""/>
                    <o:lock v:ext="edit"/>
                  </v:shape>
                  <v:shape id="_x0000_s3742" o:spid="_x0000_s3742" style="position:absolute;left:830;top:0;height:15;width:44;" fillcolor="#5B9BD5" filled="t" stroked="f" coordsize="44,15" path="m0,14l43,14,43,0,0,0,0,14xe">
                    <v:path/>
                    <v:fill on="t" focussize="0,0"/>
                    <v:stroke on="f"/>
                    <v:imagedata o:title=""/>
                    <o:lock v:ext="edit"/>
                  </v:shape>
                  <v:shape id="_x0000_s3743" o:spid="_x0000_s3743" style="position:absolute;left:830;top:14;height:15;width:44;" fillcolor="#20507B" filled="t" stroked="f" coordsize="44,15" path="m0,14l43,14,43,0,0,0,0,14xe">
                    <v:path/>
                    <v:fill on="t" focussize="0,0"/>
                    <v:stroke on="f"/>
                    <v:imagedata o:title=""/>
                    <o:lock v:ext="edit"/>
                  </v:shape>
                  <v:shape id="_x0000_s3744" o:spid="_x0000_s3744" style="position:absolute;left:830;top:28;height:15;width:44;" fillcolor="#1C456A" filled="t" stroked="f" coordsize="44,15" path="m0,14l43,14,43,0,0,0,0,14xe">
                    <v:path/>
                    <v:fill on="t" focussize="0,0"/>
                    <v:stroke on="f"/>
                    <v:imagedata o:title=""/>
                    <o:lock v:ext="edit"/>
                  </v:shape>
                  <w10:wrap type="none"/>
                  <w10:anchorlock/>
                </v:group>
              </w:pict>
            </w:r>
          </w:p>
          <w:p w14:paraId="6A38D82E">
            <w:pPr>
              <w:pStyle w:val="7"/>
              <w:spacing w:before="36" w:line="218" w:lineRule="auto"/>
              <w:ind w:left="217"/>
            </w:pPr>
            <w:r>
              <w:rPr>
                <w:b/>
                <w:bCs/>
                <w:spacing w:val="-12"/>
              </w:rPr>
              <w:t>序号</w:t>
            </w:r>
          </w:p>
          <w:p w14:paraId="5DA962FE">
            <w:pPr>
              <w:spacing w:before="145" w:line="52" w:lineRule="exact"/>
              <w:ind w:firstLine="11"/>
            </w:pPr>
            <w:r>
              <w:rPr>
                <w:position w:val="-1"/>
              </w:rPr>
              <w:pict>
                <v:shape id="_x0000_s3745" o:spid="_x0000_s3745" style="height:2.9pt;width:40.7pt;" fillcolor="#DEEAF6" filled="t" stroked="f" coordsize="814,58" path="m0,57l813,57,813,0,0,0,0,57xe">
                  <v:path/>
                  <v:fill on="t" focussize="0,0"/>
                  <v:stroke on="f"/>
                  <v:imagedata o:title=""/>
                  <o:lock v:ext="edit"/>
                  <w10:wrap type="none"/>
                  <w10:anchorlock/>
                </v:shape>
              </w:pict>
            </w:r>
          </w:p>
        </w:tc>
        <w:tc>
          <w:tcPr>
            <w:tcW w:w="1340" w:type="dxa"/>
            <w:tcBorders>
              <w:top w:val="single" w:color="000000" w:sz="4" w:space="0"/>
            </w:tcBorders>
            <w:shd w:val="clear" w:color="auto" w:fill="DEEAF6"/>
            <w:vAlign w:val="top"/>
          </w:tcPr>
          <w:p w14:paraId="0BDC6A00">
            <w:pPr>
              <w:pStyle w:val="7"/>
              <w:spacing w:before="128" w:line="217" w:lineRule="auto"/>
              <w:ind w:left="238"/>
            </w:pPr>
            <w:r>
              <w:rPr>
                <w:b/>
                <w:bCs/>
                <w:spacing w:val="-18"/>
              </w:rPr>
              <w:t>措施名称</w:t>
            </w:r>
          </w:p>
        </w:tc>
        <w:tc>
          <w:tcPr>
            <w:tcW w:w="1547" w:type="dxa"/>
            <w:tcBorders>
              <w:top w:val="single" w:color="5B9BD5" w:sz="4" w:space="0"/>
              <w:right w:val="nil"/>
            </w:tcBorders>
            <w:shd w:val="clear" w:color="auto" w:fill="DEEAF6"/>
            <w:vAlign w:val="top"/>
          </w:tcPr>
          <w:p w14:paraId="51B95EAE">
            <w:pPr>
              <w:spacing w:line="18" w:lineRule="exact"/>
            </w:pPr>
            <w:r>
              <w:pict>
                <v:group id="_x0000_s3746" o:spid="_x0000_s3746" o:spt="203" style="height:1.45pt;width:2.2pt;" coordsize="44,29">
                  <o:lock v:ext="edit"/>
                  <v:shape id="_x0000_s3747" o:spid="_x0000_s3747" style="position:absolute;left:0;top:0;height:15;width:44;" fillcolor="#5B9BD5" filled="t" stroked="f" coordsize="44,15" path="m0,14l43,14,43,0,0,0,0,14xe">
                    <v:path/>
                    <v:fill on="t" focussize="0,0"/>
                    <v:stroke on="f"/>
                    <v:imagedata o:title=""/>
                    <o:lock v:ext="edit"/>
                  </v:shape>
                  <v:shape id="_x0000_s3748" o:spid="_x0000_s3748" style="position:absolute;left:0;top:14;height:15;width:44;" fillcolor="#20507B" filled="t" stroked="f" coordsize="44,15" path="m0,14l43,14,43,0,0,0,0,14xe">
                    <v:path/>
                    <v:fill on="t" focussize="0,0"/>
                    <v:stroke on="f"/>
                    <v:imagedata o:title=""/>
                    <o:lock v:ext="edit"/>
                  </v:shape>
                  <w10:wrap type="none"/>
                  <w10:anchorlock/>
                </v:group>
              </w:pict>
            </w:r>
          </w:p>
        </w:tc>
        <w:tc>
          <w:tcPr>
            <w:tcW w:w="5506" w:type="dxa"/>
            <w:tcBorders>
              <w:top w:val="single" w:color="5B9BD5" w:sz="4" w:space="0"/>
              <w:left w:val="nil"/>
              <w:right w:val="single" w:color="5B9BD5" w:sz="4" w:space="0"/>
            </w:tcBorders>
            <w:shd w:val="clear" w:color="auto" w:fill="DEEAF6"/>
            <w:vAlign w:val="top"/>
          </w:tcPr>
          <w:p w14:paraId="2A100FF9">
            <w:pPr>
              <w:pStyle w:val="7"/>
              <w:spacing w:before="129" w:line="218" w:lineRule="auto"/>
              <w:ind w:left="1550"/>
            </w:pPr>
            <w:r>
              <w:rPr>
                <w:b/>
                <w:bCs/>
                <w:spacing w:val="-19"/>
              </w:rPr>
              <w:t>具体内容</w:t>
            </w:r>
          </w:p>
        </w:tc>
      </w:tr>
      <w:tr w14:paraId="58E33F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917" w:hRule="atLeast"/>
        </w:trPr>
        <w:tc>
          <w:tcPr>
            <w:tcW w:w="840" w:type="dxa"/>
            <w:gridSpan w:val="2"/>
            <w:tcBorders>
              <w:left w:val="single" w:color="000000" w:sz="4" w:space="0"/>
            </w:tcBorders>
            <w:vAlign w:val="top"/>
          </w:tcPr>
          <w:p w14:paraId="1F406C3C">
            <w:pPr>
              <w:spacing w:line="294" w:lineRule="auto"/>
              <w:rPr>
                <w:rFonts w:ascii="Arial"/>
                <w:sz w:val="21"/>
              </w:rPr>
            </w:pPr>
          </w:p>
          <w:p w14:paraId="2B0B22E4">
            <w:pPr>
              <w:spacing w:line="294" w:lineRule="auto"/>
              <w:rPr>
                <w:rFonts w:ascii="Arial"/>
                <w:sz w:val="21"/>
              </w:rPr>
            </w:pPr>
          </w:p>
          <w:p w14:paraId="3AE6C1CF">
            <w:pPr>
              <w:spacing w:line="294" w:lineRule="auto"/>
              <w:rPr>
                <w:rFonts w:ascii="Arial"/>
                <w:sz w:val="21"/>
              </w:rPr>
            </w:pPr>
          </w:p>
          <w:p w14:paraId="5649F966">
            <w:pPr>
              <w:spacing w:line="294" w:lineRule="auto"/>
              <w:rPr>
                <w:rFonts w:ascii="Arial"/>
                <w:sz w:val="21"/>
              </w:rPr>
            </w:pPr>
          </w:p>
          <w:p w14:paraId="5F800199">
            <w:pPr>
              <w:pStyle w:val="7"/>
              <w:spacing w:before="78" w:line="238" w:lineRule="auto"/>
              <w:ind w:left="390"/>
            </w:pPr>
            <w:r>
              <w:t>1</w:t>
            </w:r>
          </w:p>
        </w:tc>
        <w:tc>
          <w:tcPr>
            <w:tcW w:w="1340" w:type="dxa"/>
            <w:vAlign w:val="top"/>
          </w:tcPr>
          <w:p w14:paraId="786852D8">
            <w:pPr>
              <w:spacing w:line="293" w:lineRule="auto"/>
              <w:rPr>
                <w:rFonts w:ascii="Arial"/>
                <w:sz w:val="21"/>
              </w:rPr>
            </w:pPr>
          </w:p>
          <w:p w14:paraId="216F4DC3">
            <w:pPr>
              <w:spacing w:line="294" w:lineRule="auto"/>
              <w:rPr>
                <w:rFonts w:ascii="Arial"/>
                <w:sz w:val="21"/>
              </w:rPr>
            </w:pPr>
          </w:p>
          <w:p w14:paraId="7D0572F6">
            <w:pPr>
              <w:spacing w:line="294" w:lineRule="auto"/>
              <w:rPr>
                <w:rFonts w:ascii="Arial"/>
                <w:sz w:val="21"/>
              </w:rPr>
            </w:pPr>
          </w:p>
          <w:p w14:paraId="3CE47B0D">
            <w:pPr>
              <w:spacing w:line="294" w:lineRule="auto"/>
              <w:rPr>
                <w:rFonts w:ascii="Arial"/>
                <w:sz w:val="21"/>
              </w:rPr>
            </w:pPr>
          </w:p>
          <w:p w14:paraId="2BF011ED">
            <w:pPr>
              <w:pStyle w:val="7"/>
              <w:spacing w:before="78" w:line="216" w:lineRule="auto"/>
              <w:ind w:left="247"/>
            </w:pPr>
            <w:r>
              <w:rPr>
                <w:spacing w:val="-17"/>
              </w:rPr>
              <w:t>合同约束</w:t>
            </w:r>
          </w:p>
        </w:tc>
        <w:tc>
          <w:tcPr>
            <w:tcW w:w="7053" w:type="dxa"/>
            <w:gridSpan w:val="2"/>
            <w:tcBorders>
              <w:right w:val="single" w:color="000000" w:sz="4" w:space="0"/>
            </w:tcBorders>
            <w:vAlign w:val="top"/>
          </w:tcPr>
          <w:p w14:paraId="6D63F9BD">
            <w:pPr>
              <w:pStyle w:val="7"/>
              <w:spacing w:before="94" w:line="216" w:lineRule="auto"/>
              <w:ind w:left="77"/>
            </w:pPr>
            <w:r>
              <w:rPr>
                <w:spacing w:val="-22"/>
              </w:rPr>
              <w:t>1)劳务分包合同：明确约定保证农忙、节假</w:t>
            </w:r>
            <w:r>
              <w:rPr>
                <w:spacing w:val="-23"/>
              </w:rPr>
              <w:t>日连续施工条款，并从每月工</w:t>
            </w:r>
          </w:p>
          <w:p w14:paraId="32612348">
            <w:pPr>
              <w:pStyle w:val="7"/>
              <w:spacing w:before="184" w:line="216" w:lineRule="auto"/>
              <w:ind w:left="69"/>
            </w:pPr>
            <w:r>
              <w:rPr>
                <w:spacing w:val="-22"/>
              </w:rPr>
              <w:t>程款中扣5%作为履约保证金，对考核达不到出勤率要求的每次扣除</w:t>
            </w:r>
            <w:r>
              <w:rPr>
                <w:spacing w:val="-23"/>
              </w:rPr>
              <w:t>保证金</w:t>
            </w:r>
          </w:p>
          <w:p w14:paraId="01597F75">
            <w:pPr>
              <w:pStyle w:val="7"/>
              <w:spacing w:before="187" w:line="218" w:lineRule="auto"/>
              <w:ind w:left="2271"/>
            </w:pPr>
            <w:r>
              <w:rPr>
                <w:spacing w:val="-17"/>
              </w:rPr>
              <w:t>20%，超过三次全部扣除。</w:t>
            </w:r>
          </w:p>
          <w:p w14:paraId="38CBC96C">
            <w:pPr>
              <w:pStyle w:val="7"/>
              <w:spacing w:before="182" w:line="216" w:lineRule="auto"/>
              <w:ind w:left="62"/>
            </w:pPr>
            <w:r>
              <w:rPr>
                <w:spacing w:val="-22"/>
              </w:rPr>
              <w:t>2)材料供货合同：明确约定保证农忙、节假日材料正常供应条款，并从每</w:t>
            </w:r>
          </w:p>
          <w:p w14:paraId="44D9BA09">
            <w:pPr>
              <w:pStyle w:val="7"/>
              <w:spacing w:before="187" w:line="216" w:lineRule="auto"/>
              <w:ind w:left="74"/>
            </w:pPr>
            <w:r>
              <w:rPr>
                <w:spacing w:val="-20"/>
              </w:rPr>
              <w:t>笔材料款中扣10%作为履约保证金，对考核</w:t>
            </w:r>
            <w:r>
              <w:rPr>
                <w:spacing w:val="-21"/>
              </w:rPr>
              <w:t>达不到供应率要求的每次扣除</w:t>
            </w:r>
          </w:p>
          <w:p w14:paraId="68280211">
            <w:pPr>
              <w:pStyle w:val="7"/>
              <w:spacing w:before="184" w:line="217" w:lineRule="auto"/>
              <w:ind w:left="1921"/>
            </w:pPr>
            <w:r>
              <w:rPr>
                <w:spacing w:val="-15"/>
              </w:rPr>
              <w:t>保证金30%，超过两次全部扣除。</w:t>
            </w:r>
          </w:p>
        </w:tc>
      </w:tr>
      <w:tr w14:paraId="3B9B74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18" w:hRule="atLeast"/>
        </w:trPr>
        <w:tc>
          <w:tcPr>
            <w:tcW w:w="840" w:type="dxa"/>
            <w:gridSpan w:val="2"/>
            <w:tcBorders>
              <w:left w:val="single" w:color="000000" w:sz="4" w:space="0"/>
            </w:tcBorders>
            <w:vAlign w:val="top"/>
          </w:tcPr>
          <w:p w14:paraId="164B08DA">
            <w:pPr>
              <w:spacing w:line="295" w:lineRule="auto"/>
              <w:rPr>
                <w:rFonts w:ascii="Arial"/>
                <w:sz w:val="21"/>
              </w:rPr>
            </w:pPr>
          </w:p>
          <w:p w14:paraId="069F20BA">
            <w:pPr>
              <w:spacing w:line="295" w:lineRule="auto"/>
              <w:rPr>
                <w:rFonts w:ascii="Arial"/>
                <w:sz w:val="21"/>
              </w:rPr>
            </w:pPr>
          </w:p>
          <w:p w14:paraId="1266D52C">
            <w:pPr>
              <w:spacing w:line="295" w:lineRule="auto"/>
              <w:rPr>
                <w:rFonts w:ascii="Arial"/>
                <w:sz w:val="21"/>
              </w:rPr>
            </w:pPr>
          </w:p>
          <w:p w14:paraId="60E2C24D">
            <w:pPr>
              <w:spacing w:line="295" w:lineRule="auto"/>
              <w:rPr>
                <w:rFonts w:ascii="Arial"/>
                <w:sz w:val="21"/>
              </w:rPr>
            </w:pPr>
          </w:p>
          <w:p w14:paraId="538385E7">
            <w:pPr>
              <w:pStyle w:val="7"/>
              <w:spacing w:before="78" w:line="238" w:lineRule="auto"/>
              <w:ind w:left="375"/>
            </w:pPr>
            <w:r>
              <w:t>2</w:t>
            </w:r>
          </w:p>
        </w:tc>
        <w:tc>
          <w:tcPr>
            <w:tcW w:w="1340" w:type="dxa"/>
            <w:vAlign w:val="top"/>
          </w:tcPr>
          <w:p w14:paraId="102F0C9E">
            <w:pPr>
              <w:spacing w:line="295" w:lineRule="auto"/>
              <w:rPr>
                <w:rFonts w:ascii="Arial"/>
                <w:sz w:val="21"/>
              </w:rPr>
            </w:pPr>
          </w:p>
          <w:p w14:paraId="579E4192">
            <w:pPr>
              <w:spacing w:line="295" w:lineRule="auto"/>
              <w:rPr>
                <w:rFonts w:ascii="Arial"/>
                <w:sz w:val="21"/>
              </w:rPr>
            </w:pPr>
          </w:p>
          <w:p w14:paraId="3D07E3D5">
            <w:pPr>
              <w:spacing w:line="295" w:lineRule="auto"/>
              <w:rPr>
                <w:rFonts w:ascii="Arial"/>
                <w:sz w:val="21"/>
              </w:rPr>
            </w:pPr>
          </w:p>
          <w:p w14:paraId="4867C731">
            <w:pPr>
              <w:spacing w:line="295" w:lineRule="auto"/>
              <w:rPr>
                <w:rFonts w:ascii="Arial"/>
                <w:sz w:val="21"/>
              </w:rPr>
            </w:pPr>
          </w:p>
          <w:p w14:paraId="3B8B584B">
            <w:pPr>
              <w:pStyle w:val="7"/>
              <w:spacing w:before="78" w:line="217" w:lineRule="auto"/>
              <w:ind w:left="242"/>
            </w:pPr>
            <w:r>
              <w:rPr>
                <w:spacing w:val="-15"/>
              </w:rPr>
              <w:t>超前计划</w:t>
            </w:r>
          </w:p>
        </w:tc>
        <w:tc>
          <w:tcPr>
            <w:tcW w:w="7053" w:type="dxa"/>
            <w:gridSpan w:val="2"/>
            <w:tcBorders>
              <w:right w:val="single" w:color="000000" w:sz="4" w:space="0"/>
            </w:tcBorders>
            <w:vAlign w:val="top"/>
          </w:tcPr>
          <w:p w14:paraId="528E7917">
            <w:pPr>
              <w:pStyle w:val="7"/>
              <w:spacing w:before="98" w:line="287" w:lineRule="auto"/>
              <w:ind w:left="1027" w:right="47" w:hanging="950"/>
            </w:pPr>
            <w:r>
              <w:rPr>
                <w:spacing w:val="-23"/>
              </w:rPr>
              <w:t>1)在农忙、节假日前半个月，排定详细的施工进度计划，运用统筹安</w:t>
            </w:r>
            <w:r>
              <w:rPr>
                <w:spacing w:val="-24"/>
              </w:rPr>
              <w:t>排的</w:t>
            </w:r>
            <w:r>
              <w:rPr>
                <w:spacing w:val="-23"/>
              </w:rPr>
              <w:t>原理，未雨绸缪，为后续工作尽可能提供便利条件；</w:t>
            </w:r>
          </w:p>
          <w:p w14:paraId="49176365">
            <w:pPr>
              <w:pStyle w:val="7"/>
              <w:spacing w:before="187" w:line="287" w:lineRule="auto"/>
              <w:ind w:left="2548" w:right="46" w:hanging="2486"/>
            </w:pPr>
            <w:r>
              <w:rPr>
                <w:spacing w:val="-23"/>
              </w:rPr>
              <w:t>2)提前半个月制定详细材料计划并同相关材料供应商沟通，确保落实；并</w:t>
            </w:r>
            <w:r>
              <w:rPr>
                <w:spacing w:val="-19"/>
              </w:rPr>
              <w:t>提前做好材料储备；</w:t>
            </w:r>
          </w:p>
          <w:p w14:paraId="60B3A71B">
            <w:pPr>
              <w:pStyle w:val="7"/>
              <w:spacing w:before="188" w:line="287" w:lineRule="auto"/>
              <w:ind w:left="914" w:right="35" w:hanging="850"/>
            </w:pPr>
            <w:r>
              <w:rPr>
                <w:spacing w:val="-22"/>
              </w:rPr>
              <w:t>3)根据进度计划，提前与业主、监理、设计、质监</w:t>
            </w:r>
            <w:r>
              <w:rPr>
                <w:spacing w:val="-23"/>
              </w:rPr>
              <w:t>协调好诸如图纸疑问、</w:t>
            </w:r>
            <w:r>
              <w:rPr>
                <w:spacing w:val="-22"/>
              </w:rPr>
              <w:t>分部分项验收等各项事宜，提前报送相关工作联系单。</w:t>
            </w:r>
          </w:p>
        </w:tc>
      </w:tr>
      <w:tr w14:paraId="2675FD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23" w:hRule="atLeast"/>
        </w:trPr>
        <w:tc>
          <w:tcPr>
            <w:tcW w:w="215" w:type="dxa"/>
            <w:tcBorders>
              <w:left w:val="single" w:color="1C456A" w:sz="4" w:space="0"/>
              <w:bottom w:val="single" w:color="1C456A" w:sz="4" w:space="0"/>
              <w:right w:val="nil"/>
            </w:tcBorders>
            <w:vAlign w:val="top"/>
          </w:tcPr>
          <w:p w14:paraId="15868603">
            <w:pPr>
              <w:rPr>
                <w:rFonts w:ascii="Arial"/>
                <w:sz w:val="21"/>
              </w:rPr>
            </w:pPr>
            <w:r>
              <w:pict>
                <v:shape id="_x0000_s3749" o:spid="_x0000_s3749" style="position:absolute;left:0pt;margin-left:-0.25pt;margin-top:101.2pt;height:0.75pt;width:2.2pt;mso-position-horizontal-relative:page;mso-position-vertical-relative:page;z-index:252193792;mso-width-relative:page;mso-height-relative:page;" fillcolor="#5B9BD5" filled="t" stroked="f" coordsize="44,15" path="m0,14l43,14,43,0,0,0,0,14xe">
                  <v:path/>
                  <v:fill on="t" focussize="0,0"/>
                  <v:stroke on="f"/>
                  <v:imagedata o:title=""/>
                  <o:lock v:ext="edit"/>
                </v:shape>
              </w:pict>
            </w:r>
          </w:p>
        </w:tc>
        <w:tc>
          <w:tcPr>
            <w:tcW w:w="625" w:type="dxa"/>
            <w:tcBorders>
              <w:left w:val="nil"/>
              <w:bottom w:val="single" w:color="1C456A" w:sz="4" w:space="0"/>
            </w:tcBorders>
            <w:vAlign w:val="top"/>
          </w:tcPr>
          <w:p w14:paraId="3B0F1E7F">
            <w:pPr>
              <w:spacing w:line="358" w:lineRule="auto"/>
              <w:rPr>
                <w:rFonts w:ascii="Arial"/>
                <w:sz w:val="21"/>
              </w:rPr>
            </w:pPr>
          </w:p>
          <w:p w14:paraId="28114083">
            <w:pPr>
              <w:spacing w:line="359" w:lineRule="auto"/>
              <w:rPr>
                <w:rFonts w:ascii="Arial"/>
                <w:sz w:val="21"/>
              </w:rPr>
            </w:pPr>
          </w:p>
          <w:p w14:paraId="2FED4709">
            <w:pPr>
              <w:pStyle w:val="7"/>
              <w:spacing w:before="78" w:line="237" w:lineRule="auto"/>
              <w:ind w:left="167"/>
            </w:pPr>
            <w:r>
              <w:t>3</w:t>
            </w:r>
          </w:p>
        </w:tc>
        <w:tc>
          <w:tcPr>
            <w:tcW w:w="1340" w:type="dxa"/>
            <w:tcBorders>
              <w:bottom w:val="single" w:color="000000" w:sz="4" w:space="0"/>
            </w:tcBorders>
            <w:vAlign w:val="top"/>
          </w:tcPr>
          <w:p w14:paraId="1DADAB23">
            <w:pPr>
              <w:spacing w:line="359" w:lineRule="auto"/>
              <w:rPr>
                <w:rFonts w:ascii="Arial"/>
                <w:sz w:val="21"/>
              </w:rPr>
            </w:pPr>
          </w:p>
          <w:p w14:paraId="45C8CDD2">
            <w:pPr>
              <w:spacing w:line="359" w:lineRule="auto"/>
              <w:rPr>
                <w:rFonts w:ascii="Arial"/>
                <w:sz w:val="21"/>
              </w:rPr>
            </w:pPr>
          </w:p>
          <w:p w14:paraId="7102477A">
            <w:pPr>
              <w:pStyle w:val="7"/>
              <w:spacing w:before="78" w:line="217" w:lineRule="auto"/>
              <w:ind w:left="463"/>
            </w:pPr>
            <w:r>
              <w:rPr>
                <w:spacing w:val="-11"/>
              </w:rPr>
              <w:t>补偿</w:t>
            </w:r>
          </w:p>
        </w:tc>
        <w:tc>
          <w:tcPr>
            <w:tcW w:w="7053" w:type="dxa"/>
            <w:gridSpan w:val="2"/>
            <w:tcBorders>
              <w:bottom w:val="single" w:color="5B9BD5" w:sz="4" w:space="0"/>
              <w:right w:val="single" w:color="5B9BD5" w:sz="4" w:space="0"/>
            </w:tcBorders>
            <w:vAlign w:val="top"/>
          </w:tcPr>
          <w:p w14:paraId="55F5B7EF">
            <w:pPr>
              <w:pStyle w:val="7"/>
              <w:spacing w:before="99" w:line="288" w:lineRule="auto"/>
              <w:ind w:left="1241" w:right="130" w:hanging="1082"/>
            </w:pPr>
            <w:r>
              <w:rPr>
                <w:spacing w:val="-22"/>
              </w:rPr>
              <w:t>1)严格按照国家劳动法对在节假日中加班的项目部人员及工人提供相应</w:t>
            </w:r>
            <w:r>
              <w:rPr>
                <w:spacing w:val="-21"/>
              </w:rPr>
              <w:t>报酬、补助发放，提高参建员工的工作积极性；</w:t>
            </w:r>
          </w:p>
          <w:p w14:paraId="2DA84A1E">
            <w:pPr>
              <w:pStyle w:val="7"/>
              <w:spacing w:before="188" w:line="287" w:lineRule="auto"/>
              <w:ind w:left="2442" w:right="44" w:hanging="2380"/>
            </w:pPr>
            <w:r>
              <w:rPr>
                <w:spacing w:val="-23"/>
              </w:rPr>
              <w:t>2)农忙季节来临前，做好工人的思想工作，承诺对农忙季节坚守岗位的工</w:t>
            </w:r>
            <w:r>
              <w:rPr>
                <w:spacing w:val="-20"/>
              </w:rPr>
              <w:t>人适当给予经济补偿。</w:t>
            </w:r>
          </w:p>
        </w:tc>
      </w:tr>
    </w:tbl>
    <w:p w14:paraId="37EEDA75">
      <w:pPr>
        <w:rPr>
          <w:rFonts w:ascii="Arial"/>
          <w:sz w:val="21"/>
        </w:rPr>
      </w:pPr>
    </w:p>
    <w:p w14:paraId="4266151C">
      <w:pPr>
        <w:rPr>
          <w:rFonts w:ascii="Arial" w:hAnsi="Arial" w:eastAsia="Arial" w:cs="Arial"/>
          <w:sz w:val="21"/>
          <w:szCs w:val="21"/>
        </w:rPr>
        <w:sectPr>
          <w:footerReference r:id="rId273" w:type="default"/>
          <w:pgSz w:w="11907" w:h="16839"/>
          <w:pgMar w:top="933" w:right="4" w:bottom="1038" w:left="0" w:header="478" w:footer="357" w:gutter="0"/>
          <w:pgBorders>
            <w:top w:val="none" w:sz="0" w:space="0"/>
            <w:left w:val="none" w:sz="0" w:space="0"/>
            <w:bottom w:val="none" w:sz="0" w:space="0"/>
            <w:right w:val="none" w:sz="0" w:space="0"/>
          </w:pgBorders>
          <w:cols w:space="720" w:num="1"/>
        </w:sectPr>
      </w:pPr>
    </w:p>
    <w:p w14:paraId="2CCFB9E5">
      <w:pPr>
        <w:spacing w:line="235" w:lineRule="exact"/>
      </w:pPr>
    </w:p>
    <w:tbl>
      <w:tblPr>
        <w:tblStyle w:val="6"/>
        <w:tblW w:w="9233" w:type="dxa"/>
        <w:tblInd w:w="133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34"/>
        <w:gridCol w:w="1345"/>
        <w:gridCol w:w="7054"/>
      </w:tblGrid>
      <w:tr w14:paraId="4C3CE8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891" w:hRule="atLeast"/>
        </w:trPr>
        <w:tc>
          <w:tcPr>
            <w:tcW w:w="834" w:type="dxa"/>
            <w:tcBorders>
              <w:top w:val="single" w:color="000000" w:sz="4" w:space="0"/>
              <w:left w:val="single" w:color="000000" w:sz="4" w:space="0"/>
            </w:tcBorders>
            <w:vAlign w:val="top"/>
          </w:tcPr>
          <w:p w14:paraId="47B33A59">
            <w:pPr>
              <w:rPr>
                <w:rFonts w:ascii="Arial"/>
                <w:sz w:val="21"/>
              </w:rPr>
            </w:pPr>
          </w:p>
        </w:tc>
        <w:tc>
          <w:tcPr>
            <w:tcW w:w="1345" w:type="dxa"/>
            <w:tcBorders>
              <w:top w:val="single" w:color="000000" w:sz="4" w:space="0"/>
            </w:tcBorders>
            <w:vAlign w:val="top"/>
          </w:tcPr>
          <w:p w14:paraId="5A6B42A7">
            <w:pPr>
              <w:rPr>
                <w:rFonts w:ascii="Arial"/>
                <w:sz w:val="21"/>
              </w:rPr>
            </w:pPr>
          </w:p>
        </w:tc>
        <w:tc>
          <w:tcPr>
            <w:tcW w:w="7054" w:type="dxa"/>
            <w:tcBorders>
              <w:top w:val="single" w:color="5B9BD5" w:sz="4" w:space="0"/>
              <w:right w:val="single" w:color="5B9BD5" w:sz="4" w:space="0"/>
            </w:tcBorders>
            <w:vAlign w:val="top"/>
          </w:tcPr>
          <w:p w14:paraId="4AF62E8E">
            <w:pPr>
              <w:pStyle w:val="7"/>
              <w:spacing w:before="129" w:line="216" w:lineRule="auto"/>
              <w:ind w:left="1837"/>
            </w:pPr>
            <w:r>
              <w:rPr>
                <w:spacing w:val="-20"/>
              </w:rPr>
              <w:t>3）利用工序间隙对假期进行补偿。</w:t>
            </w:r>
          </w:p>
        </w:tc>
      </w:tr>
      <w:tr w14:paraId="2A8ED4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2" w:hRule="atLeast"/>
        </w:trPr>
        <w:tc>
          <w:tcPr>
            <w:tcW w:w="834" w:type="dxa"/>
            <w:tcBorders>
              <w:left w:val="single" w:color="1C456A" w:sz="4" w:space="0"/>
              <w:bottom w:val="single" w:color="1C456A" w:sz="4" w:space="0"/>
            </w:tcBorders>
            <w:vAlign w:val="top"/>
          </w:tcPr>
          <w:p w14:paraId="190A90EA">
            <w:pPr>
              <w:pStyle w:val="7"/>
              <w:spacing w:before="100" w:line="238" w:lineRule="auto"/>
              <w:ind w:left="371"/>
            </w:pPr>
            <w:r>
              <w:t>4</w:t>
            </w:r>
          </w:p>
        </w:tc>
        <w:tc>
          <w:tcPr>
            <w:tcW w:w="1345" w:type="dxa"/>
            <w:tcBorders>
              <w:bottom w:val="single" w:color="000000" w:sz="4" w:space="0"/>
            </w:tcBorders>
            <w:vAlign w:val="top"/>
          </w:tcPr>
          <w:p w14:paraId="066B2766">
            <w:pPr>
              <w:pStyle w:val="7"/>
              <w:spacing w:before="100" w:line="218" w:lineRule="auto"/>
              <w:ind w:left="248"/>
            </w:pPr>
            <w:r>
              <w:rPr>
                <w:spacing w:val="-15"/>
              </w:rPr>
              <w:t>便利措施</w:t>
            </w:r>
          </w:p>
        </w:tc>
        <w:tc>
          <w:tcPr>
            <w:tcW w:w="7054" w:type="dxa"/>
            <w:tcBorders>
              <w:bottom w:val="single" w:color="5B9BD5" w:sz="4" w:space="0"/>
              <w:right w:val="single" w:color="5B9BD5" w:sz="4" w:space="0"/>
            </w:tcBorders>
            <w:vAlign w:val="top"/>
          </w:tcPr>
          <w:p w14:paraId="0D270832">
            <w:pPr>
              <w:spacing w:line="63" w:lineRule="exact"/>
              <w:ind w:right="3"/>
              <w:jc w:val="right"/>
            </w:pPr>
            <w:r>
              <w:rPr>
                <w:position w:val="-1"/>
              </w:rPr>
              <w:drawing>
                <wp:inline distT="0" distB="0" distL="0" distR="0">
                  <wp:extent cx="17780" cy="40005"/>
                  <wp:effectExtent l="0" t="0" r="0" b="0"/>
                  <wp:docPr id="1184" name="IM 1184"/>
                  <wp:cNvGraphicFramePr/>
                  <a:graphic xmlns:a="http://schemas.openxmlformats.org/drawingml/2006/main">
                    <a:graphicData uri="http://schemas.openxmlformats.org/drawingml/2006/picture">
                      <pic:pic xmlns:pic="http://schemas.openxmlformats.org/drawingml/2006/picture">
                        <pic:nvPicPr>
                          <pic:cNvPr id="1184" name="IM 1184"/>
                          <pic:cNvPicPr/>
                        </pic:nvPicPr>
                        <pic:blipFill>
                          <a:blip r:embed="rId449"/>
                          <a:stretch>
                            <a:fillRect/>
                          </a:stretch>
                        </pic:blipFill>
                        <pic:spPr>
                          <a:xfrm>
                            <a:off x="0" y="0"/>
                            <a:ext cx="18288" cy="40639"/>
                          </a:xfrm>
                          <a:prstGeom prst="rect">
                            <a:avLst/>
                          </a:prstGeom>
                        </pic:spPr>
                      </pic:pic>
                    </a:graphicData>
                  </a:graphic>
                </wp:inline>
              </w:drawing>
            </w:r>
          </w:p>
          <w:p w14:paraId="5BA0E7D8">
            <w:pPr>
              <w:pStyle w:val="7"/>
              <w:spacing w:before="36" w:line="216" w:lineRule="auto"/>
              <w:jc w:val="right"/>
            </w:pPr>
            <w:r>
              <w:rPr>
                <w:spacing w:val="-23"/>
              </w:rPr>
              <w:t>对农忙、节假日期间职工的娱乐生活等提供各项便利，确保工作积极性。</w:t>
            </w:r>
          </w:p>
        </w:tc>
      </w:tr>
    </w:tbl>
    <w:p w14:paraId="42A53F46">
      <w:pPr>
        <w:pStyle w:val="2"/>
        <w:spacing w:before="80" w:line="217" w:lineRule="auto"/>
        <w:ind w:left="1987"/>
        <w:outlineLvl w:val="2"/>
        <w:rPr>
          <w:sz w:val="28"/>
          <w:szCs w:val="28"/>
        </w:rPr>
      </w:pPr>
      <w:bookmarkStart w:id="192" w:name="bookmark184"/>
      <w:bookmarkEnd w:id="192"/>
      <w:r>
        <w:rPr>
          <w:b/>
          <w:bCs/>
          <w:spacing w:val="-23"/>
          <w:sz w:val="28"/>
          <w:szCs w:val="28"/>
        </w:rPr>
        <w:t>九、雨季施工保障措施</w:t>
      </w:r>
    </w:p>
    <w:p w14:paraId="71AA0CCE">
      <w:pPr>
        <w:pStyle w:val="2"/>
        <w:spacing w:before="103" w:line="264" w:lineRule="auto"/>
        <w:ind w:left="1893" w:right="7200"/>
        <w:rPr>
          <w:sz w:val="24"/>
          <w:szCs w:val="24"/>
        </w:rPr>
      </w:pPr>
      <w:r>
        <w:rPr>
          <w:spacing w:val="-24"/>
          <w:sz w:val="24"/>
          <w:szCs w:val="24"/>
        </w:rPr>
        <w:t>雨季施工保障措施见表所述。</w:t>
      </w:r>
      <w:r>
        <w:rPr>
          <w:spacing w:val="-19"/>
          <w:sz w:val="24"/>
          <w:szCs w:val="24"/>
        </w:rPr>
        <w:t>雨季施工保障措施</w:t>
      </w:r>
    </w:p>
    <w:tbl>
      <w:tblPr>
        <w:tblStyle w:val="6"/>
        <w:tblW w:w="9094" w:type="dxa"/>
        <w:tblInd w:w="140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89"/>
        <w:gridCol w:w="544"/>
        <w:gridCol w:w="1454"/>
        <w:gridCol w:w="6907"/>
      </w:tblGrid>
      <w:tr w14:paraId="0E87D3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0" w:hRule="atLeast"/>
        </w:trPr>
        <w:tc>
          <w:tcPr>
            <w:tcW w:w="733" w:type="dxa"/>
            <w:gridSpan w:val="2"/>
            <w:tcBorders>
              <w:top w:val="single" w:color="000000" w:sz="4" w:space="0"/>
              <w:left w:val="single" w:color="000000" w:sz="4" w:space="0"/>
            </w:tcBorders>
            <w:shd w:val="clear" w:color="auto" w:fill="DEEAF6"/>
            <w:vAlign w:val="top"/>
          </w:tcPr>
          <w:p w14:paraId="1FF0481C">
            <w:pPr>
              <w:pStyle w:val="7"/>
              <w:spacing w:before="129" w:line="218" w:lineRule="auto"/>
              <w:ind w:left="164"/>
            </w:pPr>
            <w:r>
              <w:rPr>
                <w:b/>
                <w:bCs/>
                <w:spacing w:val="-11"/>
              </w:rPr>
              <w:t>序号</w:t>
            </w:r>
          </w:p>
        </w:tc>
        <w:tc>
          <w:tcPr>
            <w:tcW w:w="1454" w:type="dxa"/>
            <w:tcBorders>
              <w:top w:val="single" w:color="000000" w:sz="4" w:space="0"/>
            </w:tcBorders>
            <w:shd w:val="clear" w:color="auto" w:fill="DEEAF6"/>
            <w:vAlign w:val="top"/>
          </w:tcPr>
          <w:p w14:paraId="574E72C8">
            <w:pPr>
              <w:pStyle w:val="7"/>
              <w:spacing w:before="128" w:line="217" w:lineRule="auto"/>
              <w:ind w:left="295"/>
            </w:pPr>
            <w:r>
              <w:rPr>
                <w:b/>
                <w:bCs/>
                <w:spacing w:val="-18"/>
              </w:rPr>
              <w:t>措施名称</w:t>
            </w:r>
          </w:p>
        </w:tc>
        <w:tc>
          <w:tcPr>
            <w:tcW w:w="6907" w:type="dxa"/>
            <w:tcBorders>
              <w:top w:val="single" w:color="5B9BD5" w:sz="4" w:space="0"/>
              <w:right w:val="single" w:color="5B9BD5" w:sz="4" w:space="0"/>
            </w:tcBorders>
            <w:shd w:val="clear" w:color="auto" w:fill="DEEAF6"/>
            <w:vAlign w:val="top"/>
          </w:tcPr>
          <w:p w14:paraId="54974C0F">
            <w:pPr>
              <w:pStyle w:val="7"/>
              <w:spacing w:before="129" w:line="218" w:lineRule="auto"/>
              <w:ind w:left="3023"/>
            </w:pPr>
            <w:r>
              <w:rPr>
                <w:b/>
                <w:bCs/>
                <w:spacing w:val="-19"/>
              </w:rPr>
              <w:t>具体内容</w:t>
            </w:r>
          </w:p>
        </w:tc>
      </w:tr>
      <w:tr w14:paraId="30CA0F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8" w:hRule="atLeast"/>
        </w:trPr>
        <w:tc>
          <w:tcPr>
            <w:tcW w:w="733" w:type="dxa"/>
            <w:gridSpan w:val="2"/>
            <w:tcBorders>
              <w:left w:val="single" w:color="000000" w:sz="4" w:space="0"/>
            </w:tcBorders>
            <w:vAlign w:val="top"/>
          </w:tcPr>
          <w:p w14:paraId="61E341A0">
            <w:pPr>
              <w:pStyle w:val="7"/>
              <w:spacing w:before="125" w:line="238" w:lineRule="auto"/>
              <w:ind w:left="337"/>
            </w:pPr>
            <w:r>
              <w:t>1</w:t>
            </w:r>
          </w:p>
        </w:tc>
        <w:tc>
          <w:tcPr>
            <w:tcW w:w="1454" w:type="dxa"/>
            <w:vAlign w:val="top"/>
          </w:tcPr>
          <w:p w14:paraId="48D08D20">
            <w:pPr>
              <w:pStyle w:val="7"/>
              <w:spacing w:before="124" w:line="218" w:lineRule="auto"/>
              <w:ind w:left="516"/>
            </w:pPr>
            <w:r>
              <w:rPr>
                <w:spacing w:val="-10"/>
              </w:rPr>
              <w:t>计划</w:t>
            </w:r>
          </w:p>
        </w:tc>
        <w:tc>
          <w:tcPr>
            <w:tcW w:w="6907" w:type="dxa"/>
            <w:tcBorders>
              <w:right w:val="single" w:color="000000" w:sz="4" w:space="0"/>
            </w:tcBorders>
            <w:vAlign w:val="top"/>
          </w:tcPr>
          <w:p w14:paraId="007F401F">
            <w:pPr>
              <w:pStyle w:val="7"/>
              <w:spacing w:before="124" w:line="216" w:lineRule="auto"/>
              <w:ind w:left="187"/>
            </w:pPr>
            <w:r>
              <w:rPr>
                <w:spacing w:val="-21"/>
              </w:rPr>
              <w:t>做好对雨季施工的各项分项工程的工作计划，明确各项针对</w:t>
            </w:r>
            <w:r>
              <w:rPr>
                <w:spacing w:val="-22"/>
              </w:rPr>
              <w:t>性措施。</w:t>
            </w:r>
          </w:p>
        </w:tc>
      </w:tr>
      <w:tr w14:paraId="57455B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25" w:hRule="atLeast"/>
        </w:trPr>
        <w:tc>
          <w:tcPr>
            <w:tcW w:w="733" w:type="dxa"/>
            <w:gridSpan w:val="2"/>
            <w:tcBorders>
              <w:left w:val="single" w:color="000000" w:sz="4" w:space="0"/>
            </w:tcBorders>
            <w:vAlign w:val="top"/>
          </w:tcPr>
          <w:p w14:paraId="76C46A38">
            <w:pPr>
              <w:spacing w:line="253" w:lineRule="auto"/>
              <w:rPr>
                <w:rFonts w:ascii="Arial"/>
                <w:sz w:val="21"/>
              </w:rPr>
            </w:pPr>
          </w:p>
          <w:p w14:paraId="33820D7D">
            <w:pPr>
              <w:spacing w:line="254" w:lineRule="auto"/>
              <w:rPr>
                <w:rFonts w:ascii="Arial"/>
                <w:sz w:val="21"/>
              </w:rPr>
            </w:pPr>
          </w:p>
          <w:p w14:paraId="01E24006">
            <w:pPr>
              <w:pStyle w:val="7"/>
              <w:spacing w:before="78" w:line="238" w:lineRule="auto"/>
              <w:ind w:left="322"/>
            </w:pPr>
            <w:r>
              <w:t>2</w:t>
            </w:r>
          </w:p>
        </w:tc>
        <w:tc>
          <w:tcPr>
            <w:tcW w:w="1454" w:type="dxa"/>
            <w:vAlign w:val="top"/>
          </w:tcPr>
          <w:p w14:paraId="614EE8AB">
            <w:pPr>
              <w:spacing w:line="253" w:lineRule="auto"/>
              <w:rPr>
                <w:rFonts w:ascii="Arial"/>
                <w:sz w:val="21"/>
              </w:rPr>
            </w:pPr>
          </w:p>
          <w:p w14:paraId="7AFD6392">
            <w:pPr>
              <w:spacing w:line="254" w:lineRule="auto"/>
              <w:rPr>
                <w:rFonts w:ascii="Arial"/>
                <w:sz w:val="21"/>
              </w:rPr>
            </w:pPr>
          </w:p>
          <w:p w14:paraId="746B0828">
            <w:pPr>
              <w:pStyle w:val="7"/>
              <w:spacing w:before="78" w:line="219" w:lineRule="auto"/>
              <w:ind w:left="95"/>
            </w:pPr>
            <w:r>
              <w:rPr>
                <w:spacing w:val="-21"/>
              </w:rPr>
              <w:t>防汛领导小组</w:t>
            </w:r>
          </w:p>
        </w:tc>
        <w:tc>
          <w:tcPr>
            <w:tcW w:w="6907" w:type="dxa"/>
            <w:tcBorders>
              <w:right w:val="single" w:color="000000" w:sz="4" w:space="0"/>
            </w:tcBorders>
            <w:vAlign w:val="top"/>
          </w:tcPr>
          <w:p w14:paraId="0E7B0DDE">
            <w:pPr>
              <w:pStyle w:val="7"/>
              <w:spacing w:before="123" w:line="217" w:lineRule="auto"/>
              <w:ind w:left="81"/>
            </w:pPr>
            <w:r>
              <w:rPr>
                <w:spacing w:val="-21"/>
              </w:rPr>
              <w:t>成立防汛领导小组，制定防汛计划和紧急措施。雨期施</w:t>
            </w:r>
            <w:r>
              <w:rPr>
                <w:spacing w:val="-22"/>
              </w:rPr>
              <w:t>工主要以预防为</w:t>
            </w:r>
          </w:p>
          <w:p w14:paraId="6C0F5B98">
            <w:pPr>
              <w:pStyle w:val="7"/>
              <w:spacing w:before="182" w:line="216" w:lineRule="auto"/>
              <w:ind w:left="83"/>
            </w:pPr>
            <w:r>
              <w:rPr>
                <w:spacing w:val="-21"/>
              </w:rPr>
              <w:t>主，采取防雨措施及加强排水手段，确保雨期施</w:t>
            </w:r>
            <w:r>
              <w:rPr>
                <w:spacing w:val="-22"/>
              </w:rPr>
              <w:t>工生产不受季节性条件</w:t>
            </w:r>
          </w:p>
          <w:p w14:paraId="32D69F45">
            <w:pPr>
              <w:pStyle w:val="7"/>
              <w:spacing w:before="187" w:line="219" w:lineRule="auto"/>
              <w:ind w:left="3133"/>
            </w:pPr>
            <w:r>
              <w:rPr>
                <w:spacing w:val="-21"/>
              </w:rPr>
              <w:t>影响。</w:t>
            </w:r>
          </w:p>
        </w:tc>
      </w:tr>
      <w:tr w14:paraId="42097E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27" w:hRule="atLeast"/>
        </w:trPr>
        <w:tc>
          <w:tcPr>
            <w:tcW w:w="733" w:type="dxa"/>
            <w:gridSpan w:val="2"/>
            <w:tcBorders>
              <w:left w:val="single" w:color="000000" w:sz="4" w:space="0"/>
            </w:tcBorders>
            <w:vAlign w:val="top"/>
          </w:tcPr>
          <w:p w14:paraId="72B662F4">
            <w:pPr>
              <w:spacing w:line="251" w:lineRule="auto"/>
              <w:rPr>
                <w:rFonts w:ascii="Arial"/>
                <w:sz w:val="21"/>
              </w:rPr>
            </w:pPr>
          </w:p>
          <w:p w14:paraId="4210401B">
            <w:pPr>
              <w:spacing w:line="252" w:lineRule="auto"/>
              <w:rPr>
                <w:rFonts w:ascii="Arial"/>
                <w:sz w:val="21"/>
              </w:rPr>
            </w:pPr>
          </w:p>
          <w:p w14:paraId="13FCD8E7">
            <w:pPr>
              <w:pStyle w:val="7"/>
              <w:spacing w:before="78" w:line="237" w:lineRule="auto"/>
              <w:ind w:left="324"/>
            </w:pPr>
            <w:r>
              <w:t>3</w:t>
            </w:r>
          </w:p>
        </w:tc>
        <w:tc>
          <w:tcPr>
            <w:tcW w:w="1454" w:type="dxa"/>
            <w:vAlign w:val="top"/>
          </w:tcPr>
          <w:p w14:paraId="22B99449">
            <w:pPr>
              <w:spacing w:line="251" w:lineRule="auto"/>
              <w:rPr>
                <w:rFonts w:ascii="Arial"/>
                <w:sz w:val="21"/>
              </w:rPr>
            </w:pPr>
          </w:p>
          <w:p w14:paraId="362625E4">
            <w:pPr>
              <w:spacing w:line="252" w:lineRule="auto"/>
              <w:rPr>
                <w:rFonts w:ascii="Arial"/>
                <w:sz w:val="21"/>
              </w:rPr>
            </w:pPr>
          </w:p>
          <w:p w14:paraId="39F996A0">
            <w:pPr>
              <w:pStyle w:val="7"/>
              <w:spacing w:before="78" w:line="219" w:lineRule="auto"/>
              <w:ind w:left="296"/>
            </w:pPr>
            <w:r>
              <w:rPr>
                <w:spacing w:val="-15"/>
              </w:rPr>
              <w:t>值班人员</w:t>
            </w:r>
          </w:p>
        </w:tc>
        <w:tc>
          <w:tcPr>
            <w:tcW w:w="6907" w:type="dxa"/>
            <w:tcBorders>
              <w:right w:val="single" w:color="000000" w:sz="4" w:space="0"/>
            </w:tcBorders>
            <w:vAlign w:val="top"/>
          </w:tcPr>
          <w:p w14:paraId="3739D3B5">
            <w:pPr>
              <w:pStyle w:val="7"/>
              <w:spacing w:before="116" w:line="216" w:lineRule="auto"/>
              <w:ind w:left="77"/>
            </w:pPr>
            <w:r>
              <w:rPr>
                <w:spacing w:val="-21"/>
              </w:rPr>
              <w:t>夜间设专职的值班人员，保证昼夜有人值班并做好值班记录，同</w:t>
            </w:r>
            <w:r>
              <w:rPr>
                <w:spacing w:val="-22"/>
              </w:rPr>
              <w:t>时要设</w:t>
            </w:r>
          </w:p>
          <w:p w14:paraId="42244E1D">
            <w:pPr>
              <w:pStyle w:val="7"/>
              <w:spacing w:before="187" w:line="216" w:lineRule="auto"/>
              <w:ind w:left="78"/>
            </w:pPr>
            <w:r>
              <w:rPr>
                <w:spacing w:val="-21"/>
              </w:rPr>
              <w:t>置天气预报员，负责收听和发布天气情况，防止暴雨突然袭</w:t>
            </w:r>
            <w:r>
              <w:rPr>
                <w:spacing w:val="-22"/>
              </w:rPr>
              <w:t>击，合理安</w:t>
            </w:r>
          </w:p>
          <w:p w14:paraId="021B15E6">
            <w:pPr>
              <w:pStyle w:val="7"/>
              <w:spacing w:before="184" w:line="216" w:lineRule="auto"/>
              <w:ind w:left="2691"/>
            </w:pPr>
            <w:r>
              <w:rPr>
                <w:spacing w:val="-18"/>
              </w:rPr>
              <w:t>排每日的工作。</w:t>
            </w:r>
          </w:p>
        </w:tc>
      </w:tr>
      <w:tr w14:paraId="5567EE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55" w:hRule="atLeast"/>
        </w:trPr>
        <w:tc>
          <w:tcPr>
            <w:tcW w:w="733" w:type="dxa"/>
            <w:gridSpan w:val="2"/>
            <w:tcBorders>
              <w:left w:val="single" w:color="000000" w:sz="4" w:space="0"/>
            </w:tcBorders>
            <w:vAlign w:val="top"/>
          </w:tcPr>
          <w:p w14:paraId="1E729908">
            <w:pPr>
              <w:spacing w:line="264" w:lineRule="auto"/>
              <w:rPr>
                <w:rFonts w:ascii="Arial"/>
                <w:sz w:val="21"/>
              </w:rPr>
            </w:pPr>
          </w:p>
          <w:p w14:paraId="31F50480">
            <w:pPr>
              <w:pStyle w:val="7"/>
              <w:spacing w:before="78" w:line="238" w:lineRule="auto"/>
              <w:ind w:left="319"/>
            </w:pPr>
            <w:r>
              <w:t>4</w:t>
            </w:r>
          </w:p>
        </w:tc>
        <w:tc>
          <w:tcPr>
            <w:tcW w:w="1454" w:type="dxa"/>
            <w:vAlign w:val="top"/>
          </w:tcPr>
          <w:p w14:paraId="7D964E7F">
            <w:pPr>
              <w:spacing w:line="264" w:lineRule="auto"/>
              <w:rPr>
                <w:rFonts w:ascii="Arial"/>
                <w:sz w:val="21"/>
              </w:rPr>
            </w:pPr>
          </w:p>
          <w:p w14:paraId="3EC077A7">
            <w:pPr>
              <w:pStyle w:val="7"/>
              <w:spacing w:before="78" w:line="218" w:lineRule="auto"/>
              <w:ind w:left="295"/>
            </w:pPr>
            <w:r>
              <w:rPr>
                <w:spacing w:val="-15"/>
              </w:rPr>
              <w:t>排水设施</w:t>
            </w:r>
          </w:p>
        </w:tc>
        <w:tc>
          <w:tcPr>
            <w:tcW w:w="6907" w:type="dxa"/>
            <w:tcBorders>
              <w:right w:val="single" w:color="000000" w:sz="4" w:space="0"/>
            </w:tcBorders>
            <w:vAlign w:val="top"/>
          </w:tcPr>
          <w:p w14:paraId="3D1012AF">
            <w:pPr>
              <w:pStyle w:val="7"/>
              <w:spacing w:before="108" w:line="216" w:lineRule="auto"/>
              <w:ind w:left="79"/>
            </w:pPr>
            <w:r>
              <w:rPr>
                <w:spacing w:val="-21"/>
              </w:rPr>
              <w:t>检查施工现场及生产生活基地的排水设施，疏通各种排水</w:t>
            </w:r>
            <w:r>
              <w:rPr>
                <w:spacing w:val="-22"/>
              </w:rPr>
              <w:t>渠道，清理雨</w:t>
            </w:r>
          </w:p>
          <w:p w14:paraId="22113321">
            <w:pPr>
              <w:pStyle w:val="7"/>
              <w:spacing w:before="187" w:line="217" w:lineRule="auto"/>
              <w:ind w:left="1929"/>
            </w:pPr>
            <w:r>
              <w:rPr>
                <w:spacing w:val="-22"/>
              </w:rPr>
              <w:t>水排水口，保证雨天排水通畅。</w:t>
            </w:r>
          </w:p>
        </w:tc>
      </w:tr>
      <w:tr w14:paraId="576CA0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8" w:hRule="atLeast"/>
        </w:trPr>
        <w:tc>
          <w:tcPr>
            <w:tcW w:w="189" w:type="dxa"/>
            <w:tcBorders>
              <w:left w:val="single" w:color="1C456A" w:sz="4" w:space="0"/>
              <w:bottom w:val="single" w:color="1C456A" w:sz="4" w:space="0"/>
              <w:right w:val="nil"/>
            </w:tcBorders>
            <w:vAlign w:val="top"/>
          </w:tcPr>
          <w:p w14:paraId="059C1EE5">
            <w:pPr>
              <w:rPr>
                <w:rFonts w:ascii="Arial"/>
                <w:sz w:val="21"/>
              </w:rPr>
            </w:pPr>
            <w:r>
              <w:pict>
                <v:shape id="_x0000_s3750" o:spid="_x0000_s3750" style="position:absolute;left:0pt;margin-left:-0.25pt;margin-top:54.9pt;height:0.75pt;width:2.2pt;mso-position-horizontal-relative:page;mso-position-vertical-relative:page;z-index:252199936;mso-width-relative:page;mso-height-relative:page;" fillcolor="#5B9BD5" filled="t" stroked="f" coordsize="44,15" path="m0,14l43,14,43,0,0,0,0,14xe">
                  <v:path/>
                  <v:fill on="t" focussize="0,0"/>
                  <v:stroke on="f"/>
                  <v:imagedata o:title=""/>
                  <o:lock v:ext="edit"/>
                </v:shape>
              </w:pict>
            </w:r>
          </w:p>
        </w:tc>
        <w:tc>
          <w:tcPr>
            <w:tcW w:w="544" w:type="dxa"/>
            <w:tcBorders>
              <w:left w:val="nil"/>
              <w:bottom w:val="single" w:color="1C456A" w:sz="4" w:space="0"/>
            </w:tcBorders>
            <w:vAlign w:val="top"/>
          </w:tcPr>
          <w:p w14:paraId="39480E8B">
            <w:pPr>
              <w:spacing w:line="260" w:lineRule="auto"/>
              <w:rPr>
                <w:rFonts w:ascii="Arial"/>
                <w:sz w:val="21"/>
              </w:rPr>
            </w:pPr>
          </w:p>
          <w:p w14:paraId="336CEE33">
            <w:pPr>
              <w:pStyle w:val="7"/>
              <w:spacing w:before="78" w:line="237" w:lineRule="auto"/>
              <w:ind w:left="140"/>
            </w:pPr>
            <w:r>
              <w:t>5</w:t>
            </w:r>
          </w:p>
        </w:tc>
        <w:tc>
          <w:tcPr>
            <w:tcW w:w="1454" w:type="dxa"/>
            <w:tcBorders>
              <w:bottom w:val="single" w:color="000000" w:sz="4" w:space="0"/>
            </w:tcBorders>
            <w:vAlign w:val="top"/>
          </w:tcPr>
          <w:p w14:paraId="7DC87206">
            <w:pPr>
              <w:spacing w:line="260" w:lineRule="auto"/>
              <w:rPr>
                <w:rFonts w:ascii="Arial"/>
                <w:sz w:val="21"/>
              </w:rPr>
            </w:pPr>
          </w:p>
          <w:p w14:paraId="33789379">
            <w:pPr>
              <w:pStyle w:val="7"/>
              <w:spacing w:before="78" w:line="216" w:lineRule="auto"/>
              <w:ind w:left="300"/>
            </w:pPr>
            <w:r>
              <w:rPr>
                <w:spacing w:val="-16"/>
              </w:rPr>
              <w:t>准备工作</w:t>
            </w:r>
          </w:p>
        </w:tc>
        <w:tc>
          <w:tcPr>
            <w:tcW w:w="6907" w:type="dxa"/>
            <w:tcBorders>
              <w:bottom w:val="single" w:color="5B9BD5" w:sz="4" w:space="0"/>
              <w:right w:val="single" w:color="5B9BD5" w:sz="4" w:space="0"/>
            </w:tcBorders>
            <w:vAlign w:val="top"/>
          </w:tcPr>
          <w:p w14:paraId="01779E48">
            <w:pPr>
              <w:pStyle w:val="7"/>
              <w:spacing w:before="107" w:line="216" w:lineRule="auto"/>
              <w:ind w:left="77"/>
            </w:pPr>
            <w:r>
              <w:pict>
                <v:shape id="_x0000_s3751" o:spid="_x0000_s3751" style="position:absolute;left:0pt;margin-left:343.5pt;margin-top:54.9pt;height:0.75pt;width:2.2pt;mso-position-horizontal-relative:page;mso-position-vertical-relative:page;z-index:252198912;mso-width-relative:page;mso-height-relative:page;" fillcolor="#5B9BD5" filled="t" stroked="f" coordsize="44,15" path="m0,14l43,14,43,0,0,0,0,14xe">
                  <v:path/>
                  <v:fill on="t" focussize="0,0"/>
                  <v:stroke on="f"/>
                  <v:imagedata o:title=""/>
                  <o:lock v:ext="edit"/>
                </v:shape>
              </w:pict>
            </w:r>
            <w:r>
              <w:rPr>
                <w:spacing w:val="-21"/>
              </w:rPr>
              <w:t>做好施工人员雨期培训工作，组织相关人员定期全面检查施工</w:t>
            </w:r>
            <w:r>
              <w:rPr>
                <w:spacing w:val="-22"/>
              </w:rPr>
              <w:t>现场的准</w:t>
            </w:r>
          </w:p>
          <w:p w14:paraId="795706D5">
            <w:pPr>
              <w:pStyle w:val="7"/>
              <w:spacing w:before="187" w:line="216" w:lineRule="auto"/>
              <w:ind w:left="2261"/>
            </w:pPr>
            <w:r>
              <w:rPr>
                <w:spacing w:val="-20"/>
              </w:rPr>
              <w:t>备工作，准备好排涝措施</w:t>
            </w:r>
          </w:p>
        </w:tc>
      </w:tr>
    </w:tbl>
    <w:p w14:paraId="3EFDF737">
      <w:pPr>
        <w:pStyle w:val="2"/>
        <w:spacing w:before="78" w:line="217" w:lineRule="auto"/>
        <w:ind w:left="1985"/>
        <w:outlineLvl w:val="2"/>
        <w:rPr>
          <w:sz w:val="28"/>
          <w:szCs w:val="28"/>
        </w:rPr>
      </w:pPr>
      <w:bookmarkStart w:id="193" w:name="bookmark185"/>
      <w:bookmarkEnd w:id="193"/>
      <w:r>
        <w:rPr>
          <w:b/>
          <w:bCs/>
          <w:spacing w:val="-23"/>
          <w:sz w:val="28"/>
          <w:szCs w:val="28"/>
        </w:rPr>
        <w:t>十、外部环境保障措施</w:t>
      </w:r>
    </w:p>
    <w:p w14:paraId="2741DAFF">
      <w:pPr>
        <w:pStyle w:val="2"/>
        <w:spacing w:before="106" w:line="217" w:lineRule="auto"/>
        <w:ind w:left="1895"/>
        <w:rPr>
          <w:sz w:val="24"/>
          <w:szCs w:val="24"/>
        </w:rPr>
      </w:pPr>
      <w:r>
        <w:rPr>
          <w:spacing w:val="-21"/>
          <w:sz w:val="24"/>
          <w:szCs w:val="24"/>
        </w:rPr>
        <w:t>外部环境保障措施见表所述。</w:t>
      </w:r>
    </w:p>
    <w:p w14:paraId="0356451C">
      <w:pPr>
        <w:pStyle w:val="2"/>
        <w:spacing w:before="119" w:line="217" w:lineRule="auto"/>
        <w:ind w:left="1895"/>
        <w:rPr>
          <w:sz w:val="24"/>
          <w:szCs w:val="24"/>
        </w:rPr>
      </w:pPr>
      <w:r>
        <w:pict>
          <v:shape id="_x0000_s3752" o:spid="_x0000_s3752" style="position:absolute;left:0pt;margin-left:171.7pt;margin-top:21.6pt;height:0.75pt;width:2.2pt;z-index:252194816;mso-width-relative:page;mso-height-relative:page;" fillcolor="#1C456A" filled="t" stroked="f" coordsize="44,15" path="m0,14l43,14,43,0,0,0,0,14xe">
            <v:path/>
            <v:fill on="t" focussize="0,0"/>
            <v:stroke on="f"/>
            <v:imagedata o:title=""/>
            <o:lock v:ext="edit"/>
          </v:shape>
        </w:pict>
      </w:r>
      <w:r>
        <w:rPr>
          <w:spacing w:val="-20"/>
          <w:sz w:val="24"/>
          <w:szCs w:val="24"/>
        </w:rPr>
        <w:t>外部环境保障措施一览表</w:t>
      </w:r>
    </w:p>
    <w:p w14:paraId="45D22386">
      <w:pPr>
        <w:spacing w:line="41" w:lineRule="auto"/>
        <w:rPr>
          <w:rFonts w:ascii="Arial"/>
          <w:sz w:val="2"/>
        </w:rPr>
      </w:pPr>
    </w:p>
    <w:tbl>
      <w:tblPr>
        <w:tblStyle w:val="6"/>
        <w:tblW w:w="9034" w:type="dxa"/>
        <w:tblInd w:w="143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12"/>
        <w:gridCol w:w="616"/>
        <w:gridCol w:w="1179"/>
        <w:gridCol w:w="1540"/>
        <w:gridCol w:w="5421"/>
        <w:gridCol w:w="66"/>
      </w:tblGrid>
      <w:tr w14:paraId="45D43C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1" w:hRule="atLeast"/>
        </w:trPr>
        <w:tc>
          <w:tcPr>
            <w:tcW w:w="828" w:type="dxa"/>
            <w:gridSpan w:val="2"/>
            <w:tcBorders>
              <w:top w:val="single" w:color="000000" w:sz="4" w:space="0"/>
              <w:left w:val="single" w:color="000000" w:sz="4" w:space="0"/>
            </w:tcBorders>
            <w:shd w:val="clear" w:color="auto" w:fill="DEEAF6"/>
            <w:vAlign w:val="top"/>
          </w:tcPr>
          <w:p w14:paraId="63C78B53">
            <w:pPr>
              <w:spacing w:line="93" w:lineRule="exact"/>
            </w:pPr>
            <w:r>
              <w:rPr>
                <w:position w:val="-1"/>
              </w:rPr>
              <w:pict>
                <v:group id="_x0000_s3753" o:spid="_x0000_s3753" o:spt="203" style="height:5.2pt;width:43.1pt;" coordsize="861,103">
                  <o:lock v:ext="edit"/>
                  <v:shape id="_x0000_s3754" o:spid="_x0000_s3754" style="position:absolute;left:0;top:0;height:15;width:44;" fillcolor="#5B9BD5" filled="t" stroked="f" coordsize="44,15" path="m0,14l43,14,43,0,0,0,0,14xe">
                    <v:path/>
                    <v:fill on="t" focussize="0,0"/>
                    <v:stroke on="f"/>
                    <v:imagedata o:title=""/>
                    <o:lock v:ext="edit"/>
                  </v:shape>
                  <v:shape id="_x0000_s3755" o:spid="_x0000_s3755" style="position:absolute;left:43;top:43;height:60;width:775;" fillcolor="#DEEAF6" filled="t" stroked="f" coordsize="775,60" path="m0,60l775,60,775,0,0,0,0,60xe">
                    <v:path/>
                    <v:fill on="t" focussize="0,0"/>
                    <v:stroke on="f"/>
                    <v:imagedata o:title=""/>
                    <o:lock v:ext="edit"/>
                  </v:shape>
                  <v:shape id="_x0000_s3756" o:spid="_x0000_s3756" style="position:absolute;left:818;top:0;height:15;width:44;" fillcolor="#5B9BD5" filled="t" stroked="f" coordsize="44,15" path="m0,14l43,14,43,0,0,0,0,14xe">
                    <v:path/>
                    <v:fill on="t" focussize="0,0"/>
                    <v:stroke on="f"/>
                    <v:imagedata o:title=""/>
                    <o:lock v:ext="edit"/>
                  </v:shape>
                  <v:shape id="_x0000_s3757" o:spid="_x0000_s3757" style="position:absolute;left:818;top:14;height:15;width:44;" fillcolor="#20507B" filled="t" stroked="f" coordsize="44,15" path="m0,14l43,14,43,0,0,0,0,14xe">
                    <v:path/>
                    <v:fill on="t" focussize="0,0"/>
                    <v:stroke on="f"/>
                    <v:imagedata o:title=""/>
                    <o:lock v:ext="edit"/>
                  </v:shape>
                  <v:shape id="_x0000_s3758" o:spid="_x0000_s3758" style="position:absolute;left:818;top:28;height:15;width:44;" fillcolor="#1C456A" filled="t" stroked="f" coordsize="44,15" path="m0,14l43,14,43,0,0,0,0,14xe">
                    <v:path/>
                    <v:fill on="t" focussize="0,0"/>
                    <v:stroke on="f"/>
                    <v:imagedata o:title=""/>
                    <o:lock v:ext="edit"/>
                  </v:shape>
                  <w10:wrap type="none"/>
                  <w10:anchorlock/>
                </v:group>
              </w:pict>
            </w:r>
          </w:p>
          <w:p w14:paraId="5BCB0B47">
            <w:pPr>
              <w:pStyle w:val="7"/>
              <w:spacing w:before="33" w:line="218" w:lineRule="auto"/>
              <w:ind w:left="209"/>
            </w:pPr>
            <w:r>
              <w:rPr>
                <w:b/>
                <w:bCs/>
                <w:spacing w:val="-12"/>
              </w:rPr>
              <w:t>序号</w:t>
            </w:r>
          </w:p>
        </w:tc>
        <w:tc>
          <w:tcPr>
            <w:tcW w:w="1179" w:type="dxa"/>
            <w:tcBorders>
              <w:top w:val="single" w:color="000000" w:sz="4" w:space="0"/>
            </w:tcBorders>
            <w:shd w:val="clear" w:color="auto" w:fill="DEEAF6"/>
            <w:vAlign w:val="top"/>
          </w:tcPr>
          <w:p w14:paraId="75A63AD6">
            <w:pPr>
              <w:pStyle w:val="7"/>
              <w:spacing w:before="126" w:line="219" w:lineRule="auto"/>
              <w:ind w:left="377"/>
            </w:pPr>
            <w:r>
              <w:rPr>
                <w:b/>
                <w:bCs/>
                <w:spacing w:val="-12"/>
              </w:rPr>
              <w:t>措施</w:t>
            </w:r>
          </w:p>
        </w:tc>
        <w:tc>
          <w:tcPr>
            <w:tcW w:w="1540" w:type="dxa"/>
            <w:tcBorders>
              <w:top w:val="single" w:color="5B9BD5" w:sz="4" w:space="0"/>
              <w:right w:val="nil"/>
            </w:tcBorders>
            <w:shd w:val="clear" w:color="auto" w:fill="DEEAF6"/>
            <w:vAlign w:val="top"/>
          </w:tcPr>
          <w:p w14:paraId="215E089B">
            <w:pPr>
              <w:spacing w:line="18" w:lineRule="exact"/>
            </w:pPr>
            <w:r>
              <w:pict>
                <v:group id="_x0000_s3759" o:spid="_x0000_s3759" o:spt="203" style="height:1.45pt;width:2.2pt;" coordsize="44,29">
                  <o:lock v:ext="edit"/>
                  <v:shape id="_x0000_s3760" o:spid="_x0000_s3760" style="position:absolute;left:0;top:0;height:15;width:44;" fillcolor="#5B9BD5" filled="t" stroked="f" coordsize="44,15" path="m0,14l43,14,43,0,0,0,0,14xe">
                    <v:path/>
                    <v:fill on="t" focussize="0,0"/>
                    <v:stroke on="f"/>
                    <v:imagedata o:title=""/>
                    <o:lock v:ext="edit"/>
                  </v:shape>
                  <v:shape id="_x0000_s3761" o:spid="_x0000_s3761" style="position:absolute;left:0;top:14;height:15;width:44;" fillcolor="#20507B" filled="t" stroked="f" coordsize="44,15" path="m0,14l43,14,43,0,0,0,0,14xe">
                    <v:path/>
                    <v:fill on="t" focussize="0,0"/>
                    <v:stroke on="f"/>
                    <v:imagedata o:title=""/>
                    <o:lock v:ext="edit"/>
                  </v:shape>
                  <w10:wrap type="none"/>
                  <w10:anchorlock/>
                </v:group>
              </w:pict>
            </w:r>
          </w:p>
        </w:tc>
        <w:tc>
          <w:tcPr>
            <w:tcW w:w="5421" w:type="dxa"/>
            <w:tcBorders>
              <w:top w:val="single" w:color="5B9BD5" w:sz="4" w:space="0"/>
              <w:left w:val="nil"/>
              <w:right w:val="nil"/>
            </w:tcBorders>
            <w:shd w:val="clear" w:color="auto" w:fill="DEEAF6"/>
            <w:vAlign w:val="top"/>
          </w:tcPr>
          <w:p w14:paraId="2EF51AF4">
            <w:pPr>
              <w:pStyle w:val="7"/>
              <w:spacing w:before="126" w:line="217" w:lineRule="auto"/>
              <w:ind w:left="1544"/>
            </w:pPr>
            <w:r>
              <w:rPr>
                <w:b/>
                <w:bCs/>
                <w:spacing w:val="-18"/>
              </w:rPr>
              <w:t>保障措施</w:t>
            </w:r>
          </w:p>
        </w:tc>
        <w:tc>
          <w:tcPr>
            <w:tcW w:w="66" w:type="dxa"/>
            <w:tcBorders>
              <w:top w:val="single" w:color="5B9BD5" w:sz="4" w:space="0"/>
              <w:left w:val="nil"/>
              <w:right w:val="single" w:color="5B9BD5" w:sz="4" w:space="0"/>
            </w:tcBorders>
            <w:vAlign w:val="top"/>
          </w:tcPr>
          <w:p w14:paraId="30ACAC7F">
            <w:pPr>
              <w:rPr>
                <w:rFonts w:ascii="Arial"/>
                <w:sz w:val="21"/>
              </w:rPr>
            </w:pPr>
            <w:r>
              <w:pict>
                <v:shape id="_x0000_s3762" o:spid="_x0000_s3762" style="position:absolute;left:0pt;margin-left:1.45pt;margin-top:0pt;height:0.75pt;width:2.2pt;mso-position-horizontal-relative:page;mso-position-vertical-relative:page;z-index:252197888;mso-width-relative:page;mso-height-relative:page;" fillcolor="#5B9BD5" filled="t" stroked="f" coordsize="44,15" path="m0,14l43,14,43,0,0,0,0,14xe">
                  <v:path/>
                  <v:fill on="t" focussize="0,0"/>
                  <v:stroke on="f"/>
                  <v:imagedata o:title=""/>
                  <o:lock v:ext="edit"/>
                </v:shape>
              </w:pict>
            </w:r>
          </w:p>
        </w:tc>
      </w:tr>
      <w:tr w14:paraId="01B53A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45" w:hRule="atLeast"/>
        </w:trPr>
        <w:tc>
          <w:tcPr>
            <w:tcW w:w="828" w:type="dxa"/>
            <w:gridSpan w:val="2"/>
            <w:tcBorders>
              <w:left w:val="single" w:color="000000" w:sz="4" w:space="0"/>
            </w:tcBorders>
            <w:vAlign w:val="top"/>
          </w:tcPr>
          <w:p w14:paraId="07ED4E91">
            <w:pPr>
              <w:spacing w:line="318" w:lineRule="auto"/>
              <w:rPr>
                <w:rFonts w:ascii="Arial"/>
                <w:sz w:val="21"/>
              </w:rPr>
            </w:pPr>
          </w:p>
          <w:p w14:paraId="46D0EECB">
            <w:pPr>
              <w:pStyle w:val="7"/>
              <w:spacing w:before="78" w:line="238" w:lineRule="auto"/>
              <w:ind w:left="383"/>
            </w:pPr>
            <w:r>
              <w:t>1</w:t>
            </w:r>
          </w:p>
        </w:tc>
        <w:tc>
          <w:tcPr>
            <w:tcW w:w="1179" w:type="dxa"/>
            <w:vAlign w:val="top"/>
          </w:tcPr>
          <w:p w14:paraId="1DE7EE91">
            <w:pPr>
              <w:spacing w:line="318" w:lineRule="auto"/>
              <w:rPr>
                <w:rFonts w:ascii="Arial"/>
                <w:sz w:val="21"/>
              </w:rPr>
            </w:pPr>
          </w:p>
          <w:p w14:paraId="39742F55">
            <w:pPr>
              <w:pStyle w:val="7"/>
              <w:spacing w:before="78" w:line="218" w:lineRule="auto"/>
              <w:ind w:left="168"/>
            </w:pPr>
            <w:r>
              <w:rPr>
                <w:spacing w:val="-17"/>
              </w:rPr>
              <w:t>市场动态</w:t>
            </w:r>
          </w:p>
        </w:tc>
        <w:tc>
          <w:tcPr>
            <w:tcW w:w="7027" w:type="dxa"/>
            <w:gridSpan w:val="3"/>
            <w:tcBorders>
              <w:right w:val="single" w:color="000000" w:sz="4" w:space="0"/>
            </w:tcBorders>
            <w:vAlign w:val="top"/>
          </w:tcPr>
          <w:p w14:paraId="5D17B301">
            <w:pPr>
              <w:pStyle w:val="7"/>
              <w:spacing w:before="165" w:line="217" w:lineRule="auto"/>
              <w:ind w:left="79"/>
            </w:pPr>
            <w:r>
              <w:rPr>
                <w:spacing w:val="-22"/>
              </w:rPr>
              <w:t>密切关注相关资源的市场动态</w:t>
            </w:r>
            <w:r>
              <w:rPr>
                <w:spacing w:val="-50"/>
              </w:rPr>
              <w:t>，，</w:t>
            </w:r>
            <w:r>
              <w:rPr>
                <w:spacing w:val="-22"/>
              </w:rPr>
              <w:t>预见市场的供应能力，对</w:t>
            </w:r>
            <w:r>
              <w:rPr>
                <w:spacing w:val="-23"/>
              </w:rPr>
              <w:t>消耗强度高的</w:t>
            </w:r>
          </w:p>
          <w:p w14:paraId="02B5399B">
            <w:pPr>
              <w:pStyle w:val="7"/>
              <w:spacing w:before="185" w:line="216" w:lineRule="auto"/>
              <w:ind w:left="355"/>
            </w:pPr>
            <w:r>
              <w:rPr>
                <w:spacing w:val="-21"/>
              </w:rPr>
              <w:t>材料，除现场有一定的储备外，还必须要求供应商第一供应保</w:t>
            </w:r>
            <w:r>
              <w:rPr>
                <w:spacing w:val="-22"/>
              </w:rPr>
              <w:t>证。</w:t>
            </w:r>
          </w:p>
        </w:tc>
      </w:tr>
      <w:tr w14:paraId="3172FB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60" w:hRule="atLeast"/>
        </w:trPr>
        <w:tc>
          <w:tcPr>
            <w:tcW w:w="828" w:type="dxa"/>
            <w:gridSpan w:val="2"/>
            <w:tcBorders>
              <w:left w:val="single" w:color="000000" w:sz="4" w:space="0"/>
            </w:tcBorders>
            <w:vAlign w:val="top"/>
          </w:tcPr>
          <w:p w14:paraId="57CA92D8">
            <w:pPr>
              <w:spacing w:line="270" w:lineRule="auto"/>
              <w:rPr>
                <w:rFonts w:ascii="Arial"/>
                <w:sz w:val="21"/>
              </w:rPr>
            </w:pPr>
          </w:p>
          <w:p w14:paraId="690BF19A">
            <w:pPr>
              <w:pStyle w:val="7"/>
              <w:spacing w:before="78" w:line="238" w:lineRule="auto"/>
              <w:ind w:left="368"/>
            </w:pPr>
            <w:r>
              <w:t>2</w:t>
            </w:r>
          </w:p>
        </w:tc>
        <w:tc>
          <w:tcPr>
            <w:tcW w:w="1179" w:type="dxa"/>
            <w:vAlign w:val="top"/>
          </w:tcPr>
          <w:p w14:paraId="174661EA">
            <w:pPr>
              <w:spacing w:line="270" w:lineRule="auto"/>
              <w:rPr>
                <w:rFonts w:ascii="Arial"/>
                <w:sz w:val="21"/>
              </w:rPr>
            </w:pPr>
          </w:p>
          <w:p w14:paraId="285968E0">
            <w:pPr>
              <w:pStyle w:val="7"/>
              <w:spacing w:before="78" w:line="217" w:lineRule="auto"/>
              <w:ind w:left="161"/>
            </w:pPr>
            <w:r>
              <w:rPr>
                <w:spacing w:val="-16"/>
              </w:rPr>
              <w:t>信息沟通</w:t>
            </w:r>
          </w:p>
        </w:tc>
        <w:tc>
          <w:tcPr>
            <w:tcW w:w="7027" w:type="dxa"/>
            <w:gridSpan w:val="3"/>
            <w:tcBorders>
              <w:right w:val="single" w:color="000000" w:sz="4" w:space="0"/>
            </w:tcBorders>
            <w:vAlign w:val="top"/>
          </w:tcPr>
          <w:p w14:paraId="4C045452">
            <w:pPr>
              <w:pStyle w:val="7"/>
              <w:spacing w:before="116" w:line="217" w:lineRule="auto"/>
              <w:jc w:val="right"/>
            </w:pPr>
            <w:r>
              <w:rPr>
                <w:spacing w:val="-30"/>
              </w:rPr>
              <w:t>与业主、监理单位、设计单位以及政府相关部门建立有效的信息沟通渠道，</w:t>
            </w:r>
          </w:p>
          <w:p w14:paraId="0299A838">
            <w:pPr>
              <w:pStyle w:val="7"/>
              <w:spacing w:before="184" w:line="215" w:lineRule="auto"/>
              <w:ind w:left="1775"/>
            </w:pPr>
            <w:r>
              <w:rPr>
                <w:spacing w:val="-21"/>
              </w:rPr>
              <w:t>确保各种信息在第一时间进行传输。</w:t>
            </w:r>
          </w:p>
        </w:tc>
      </w:tr>
      <w:tr w14:paraId="73664A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8" w:hRule="atLeast"/>
        </w:trPr>
        <w:tc>
          <w:tcPr>
            <w:tcW w:w="212" w:type="dxa"/>
            <w:tcBorders>
              <w:left w:val="single" w:color="1C456A" w:sz="4" w:space="0"/>
              <w:bottom w:val="single" w:color="1C456A" w:sz="4" w:space="0"/>
              <w:right w:val="nil"/>
            </w:tcBorders>
            <w:vAlign w:val="top"/>
          </w:tcPr>
          <w:p w14:paraId="050C6D76">
            <w:pPr>
              <w:rPr>
                <w:rFonts w:ascii="Arial"/>
                <w:sz w:val="21"/>
              </w:rPr>
            </w:pPr>
            <w:r>
              <w:pict>
                <v:shape id="_x0000_s3763" o:spid="_x0000_s3763" style="position:absolute;left:0pt;margin-left:-0.25pt;margin-top:54.9pt;height:0.75pt;width:2.2pt;mso-position-horizontal-relative:page;mso-position-vertical-relative:page;z-index:252195840;mso-width-relative:page;mso-height-relative:page;" fillcolor="#5B9BD5" filled="t" stroked="f" coordsize="44,15" path="m0,14l43,14,43,0,0,0,0,14xe">
                  <v:path/>
                  <v:fill on="t" focussize="0,0"/>
                  <v:stroke on="f"/>
                  <v:imagedata o:title=""/>
                  <o:lock v:ext="edit"/>
                </v:shape>
              </w:pict>
            </w:r>
          </w:p>
        </w:tc>
        <w:tc>
          <w:tcPr>
            <w:tcW w:w="616" w:type="dxa"/>
            <w:tcBorders>
              <w:left w:val="nil"/>
              <w:bottom w:val="single" w:color="1C456A" w:sz="4" w:space="0"/>
            </w:tcBorders>
            <w:vAlign w:val="top"/>
          </w:tcPr>
          <w:p w14:paraId="1697AB98">
            <w:pPr>
              <w:spacing w:line="263" w:lineRule="auto"/>
              <w:rPr>
                <w:rFonts w:ascii="Arial"/>
                <w:sz w:val="21"/>
              </w:rPr>
            </w:pPr>
          </w:p>
          <w:p w14:paraId="4B8A04CE">
            <w:pPr>
              <w:pStyle w:val="7"/>
              <w:spacing w:before="78" w:line="237" w:lineRule="auto"/>
              <w:ind w:left="163"/>
            </w:pPr>
            <w:r>
              <w:t>3</w:t>
            </w:r>
          </w:p>
        </w:tc>
        <w:tc>
          <w:tcPr>
            <w:tcW w:w="1179" w:type="dxa"/>
            <w:tcBorders>
              <w:bottom w:val="single" w:color="000000" w:sz="4" w:space="0"/>
            </w:tcBorders>
            <w:vAlign w:val="top"/>
          </w:tcPr>
          <w:p w14:paraId="039D9FCC">
            <w:pPr>
              <w:spacing w:line="263" w:lineRule="auto"/>
              <w:rPr>
                <w:rFonts w:ascii="Arial"/>
                <w:sz w:val="21"/>
              </w:rPr>
            </w:pPr>
          </w:p>
          <w:p w14:paraId="051CF295">
            <w:pPr>
              <w:pStyle w:val="7"/>
              <w:spacing w:before="78" w:line="218" w:lineRule="auto"/>
              <w:ind w:left="163"/>
            </w:pPr>
            <w:r>
              <w:rPr>
                <w:spacing w:val="-16"/>
              </w:rPr>
              <w:t>周边协调</w:t>
            </w:r>
          </w:p>
        </w:tc>
        <w:tc>
          <w:tcPr>
            <w:tcW w:w="7027" w:type="dxa"/>
            <w:gridSpan w:val="3"/>
            <w:tcBorders>
              <w:bottom w:val="single" w:color="5B9BD5" w:sz="4" w:space="0"/>
              <w:right w:val="single" w:color="5B9BD5" w:sz="4" w:space="0"/>
            </w:tcBorders>
            <w:vAlign w:val="top"/>
          </w:tcPr>
          <w:p w14:paraId="23D9F0E0">
            <w:pPr>
              <w:pStyle w:val="7"/>
              <w:spacing w:before="107" w:line="216" w:lineRule="auto"/>
              <w:ind w:left="77"/>
            </w:pPr>
            <w:r>
              <w:pict>
                <v:shape id="_x0000_s3764" o:spid="_x0000_s3764" style="position:absolute;left:0pt;margin-left:349.5pt;margin-top:54.9pt;height:0.75pt;width:2.2pt;mso-position-horizontal-relative:page;mso-position-vertical-relative:page;z-index:252196864;mso-width-relative:page;mso-height-relative:page;" fillcolor="#5B9BD5" filled="t" stroked="f" coordsize="44,15" path="m0,14l43,14,43,0,0,0,0,14xe">
                  <v:path/>
                  <v:fill on="t" focussize="0,0"/>
                  <v:stroke on="f"/>
                  <v:imagedata o:title=""/>
                  <o:lock v:ext="edit"/>
                </v:shape>
              </w:pict>
            </w:r>
            <w:r>
              <w:rPr>
                <w:spacing w:val="-23"/>
              </w:rPr>
              <w:t>1)设立独立的部门或者人员，专职负责外联工作，及时解决影响</w:t>
            </w:r>
            <w:r>
              <w:rPr>
                <w:spacing w:val="-24"/>
              </w:rPr>
              <w:t>工程的各</w:t>
            </w:r>
          </w:p>
          <w:p w14:paraId="5C9899FA">
            <w:pPr>
              <w:pStyle w:val="7"/>
              <w:spacing w:before="186" w:line="217" w:lineRule="auto"/>
              <w:ind w:left="3084"/>
            </w:pPr>
            <w:r>
              <w:rPr>
                <w:spacing w:val="-16"/>
              </w:rPr>
              <w:t>种事件。</w:t>
            </w:r>
          </w:p>
        </w:tc>
      </w:tr>
    </w:tbl>
    <w:p w14:paraId="378E0595">
      <w:pPr>
        <w:rPr>
          <w:rFonts w:ascii="Arial"/>
          <w:sz w:val="21"/>
        </w:rPr>
      </w:pPr>
    </w:p>
    <w:p w14:paraId="70E11671">
      <w:pPr>
        <w:rPr>
          <w:rFonts w:ascii="Arial" w:hAnsi="Arial" w:eastAsia="Arial" w:cs="Arial"/>
          <w:sz w:val="21"/>
          <w:szCs w:val="21"/>
        </w:rPr>
        <w:sectPr>
          <w:footerReference r:id="rId274" w:type="default"/>
          <w:pgSz w:w="11907" w:h="16839"/>
          <w:pgMar w:top="933" w:right="4" w:bottom="1038" w:left="0" w:header="478" w:footer="357" w:gutter="0"/>
          <w:pgBorders>
            <w:top w:val="none" w:sz="0" w:space="0"/>
            <w:left w:val="none" w:sz="0" w:space="0"/>
            <w:bottom w:val="none" w:sz="0" w:space="0"/>
            <w:right w:val="none" w:sz="0" w:space="0"/>
          </w:pgBorders>
          <w:cols w:space="720" w:num="1"/>
        </w:sectPr>
      </w:pPr>
    </w:p>
    <w:p w14:paraId="4D116979">
      <w:pPr>
        <w:pStyle w:val="2"/>
        <w:spacing w:before="282" w:line="224" w:lineRule="auto"/>
        <w:ind w:left="4641"/>
        <w:outlineLvl w:val="0"/>
        <w:rPr>
          <w:sz w:val="31"/>
          <w:szCs w:val="31"/>
        </w:rPr>
      </w:pPr>
      <w:bookmarkStart w:id="194" w:name="bookmark186"/>
      <w:bookmarkEnd w:id="194"/>
      <w:r>
        <w:rPr>
          <w:b/>
          <w:bCs/>
          <w:color w:val="7030A0"/>
          <w:spacing w:val="-15"/>
          <w:sz w:val="31"/>
          <w:szCs w:val="31"/>
        </w:rPr>
        <w:t>第七章、甲供材管理</w:t>
      </w:r>
    </w:p>
    <w:p w14:paraId="6F8E5D61">
      <w:pPr>
        <w:pStyle w:val="2"/>
        <w:spacing w:before="93" w:line="307" w:lineRule="auto"/>
        <w:ind w:left="1457" w:right="1411" w:firstLine="466"/>
        <w:rPr>
          <w:sz w:val="24"/>
          <w:szCs w:val="24"/>
        </w:rPr>
      </w:pPr>
      <w:r>
        <w:rPr>
          <w:spacing w:val="-20"/>
          <w:sz w:val="24"/>
          <w:szCs w:val="24"/>
        </w:rPr>
        <w:t>由于工程工期长，工程所需材料的及时投入是本工程按</w:t>
      </w:r>
      <w:r>
        <w:rPr>
          <w:spacing w:val="-21"/>
          <w:sz w:val="24"/>
          <w:szCs w:val="24"/>
        </w:rPr>
        <w:t>时完工的关键。本工程施工过程中所需用材料的投入主要根据工程施工进度及施工需求不同分</w:t>
      </w:r>
      <w:r>
        <w:rPr>
          <w:spacing w:val="-22"/>
          <w:sz w:val="24"/>
          <w:szCs w:val="24"/>
        </w:rPr>
        <w:t>批进场投入。</w:t>
      </w:r>
    </w:p>
    <w:p w14:paraId="100B8698">
      <w:pPr>
        <w:pStyle w:val="2"/>
        <w:spacing w:before="2" w:line="307" w:lineRule="auto"/>
        <w:ind w:left="1444" w:right="1448" w:firstLine="480"/>
        <w:rPr>
          <w:sz w:val="24"/>
          <w:szCs w:val="24"/>
        </w:rPr>
      </w:pPr>
      <w:r>
        <w:rPr>
          <w:spacing w:val="-12"/>
          <w:sz w:val="24"/>
          <w:szCs w:val="24"/>
        </w:rPr>
        <w:t>甲供主材为：DN600/DN800/DN</w:t>
      </w:r>
      <w:r>
        <w:rPr>
          <w:spacing w:val="-13"/>
          <w:sz w:val="24"/>
          <w:szCs w:val="24"/>
        </w:rPr>
        <w:t>1000球墨铸铁管、DN600/DN800/DN1000钢管、</w:t>
      </w:r>
      <w:r>
        <w:rPr>
          <w:spacing w:val="-14"/>
          <w:sz w:val="24"/>
          <w:szCs w:val="24"/>
        </w:rPr>
        <w:t>DN600/DN800/DN1000阀门、DN600/DN80</w:t>
      </w:r>
      <w:r>
        <w:rPr>
          <w:spacing w:val="-15"/>
          <w:sz w:val="24"/>
          <w:szCs w:val="24"/>
        </w:rPr>
        <w:t>0/DN1000胶圈、消火栓、水表、流量计。</w:t>
      </w:r>
    </w:p>
    <w:p w14:paraId="3C8EF0A5">
      <w:pPr>
        <w:pStyle w:val="2"/>
        <w:spacing w:before="1" w:line="288" w:lineRule="auto"/>
        <w:ind w:left="1463" w:right="1342" w:firstLine="438"/>
        <w:rPr>
          <w:sz w:val="24"/>
          <w:szCs w:val="24"/>
        </w:rPr>
      </w:pPr>
      <w:r>
        <w:rPr>
          <w:spacing w:val="-24"/>
          <w:sz w:val="24"/>
          <w:szCs w:val="24"/>
        </w:rPr>
        <w:t>我司将根据钢筋翻样单、各层砼方量、木工翻样图、管材等，及时提供材料用量报送甲方、</w:t>
      </w:r>
      <w:r>
        <w:rPr>
          <w:spacing w:val="-21"/>
          <w:sz w:val="24"/>
          <w:szCs w:val="24"/>
        </w:rPr>
        <w:t>监理，并进行由我司组织的采购工作，同时及</w:t>
      </w:r>
      <w:r>
        <w:rPr>
          <w:spacing w:val="-22"/>
          <w:sz w:val="24"/>
          <w:szCs w:val="24"/>
        </w:rPr>
        <w:t>时组织前期的周转材料进场，以确保顺利施工。</w:t>
      </w:r>
    </w:p>
    <w:p w14:paraId="39C9B5DB">
      <w:pPr>
        <w:pStyle w:val="2"/>
        <w:spacing w:line="215" w:lineRule="auto"/>
        <w:ind w:left="3892"/>
        <w:outlineLvl w:val="1"/>
        <w:rPr>
          <w:sz w:val="30"/>
          <w:szCs w:val="30"/>
        </w:rPr>
      </w:pPr>
      <w:bookmarkStart w:id="195" w:name="bookmark187"/>
      <w:bookmarkEnd w:id="195"/>
      <w:r>
        <w:rPr>
          <w:b/>
          <w:bCs/>
          <w:color w:val="0070C0"/>
          <w:spacing w:val="-24"/>
          <w:sz w:val="30"/>
          <w:szCs w:val="30"/>
        </w:rPr>
        <w:t>第一节、材料采购及进场存储方案</w:t>
      </w:r>
    </w:p>
    <w:p w14:paraId="1B887202">
      <w:pPr>
        <w:pStyle w:val="2"/>
        <w:spacing w:before="65" w:line="216" w:lineRule="auto"/>
        <w:ind w:left="1981"/>
        <w:outlineLvl w:val="2"/>
        <w:rPr>
          <w:sz w:val="28"/>
          <w:szCs w:val="28"/>
        </w:rPr>
      </w:pPr>
      <w:bookmarkStart w:id="196" w:name="bookmark188"/>
      <w:bookmarkEnd w:id="196"/>
      <w:r>
        <w:rPr>
          <w:b/>
          <w:bCs/>
          <w:spacing w:val="-23"/>
          <w:sz w:val="28"/>
          <w:szCs w:val="28"/>
        </w:rPr>
        <w:t>一、组织机构及材料及半成品物质管理流程</w:t>
      </w:r>
    </w:p>
    <w:p w14:paraId="5F034E0C">
      <w:pPr>
        <w:pStyle w:val="2"/>
        <w:spacing w:before="108" w:line="308" w:lineRule="auto"/>
        <w:ind w:left="1457" w:right="1415" w:firstLine="436"/>
        <w:rPr>
          <w:sz w:val="24"/>
          <w:szCs w:val="24"/>
        </w:rPr>
      </w:pPr>
      <w:r>
        <w:rPr>
          <w:spacing w:val="-20"/>
          <w:sz w:val="24"/>
          <w:szCs w:val="24"/>
        </w:rPr>
        <w:t>物质管理是项目法施工管理的重要组成部分，是确保工程所需物质快速、优质、足额供应的重要环节，是确保工程质量的基础。本工程项目的主要设备和材料由施工承包方负责采购和供应，材料及半成品供应是本项目的重要组成部分之一，主要包括材料及半成品计划、采购、</w:t>
      </w:r>
      <w:r>
        <w:rPr>
          <w:spacing w:val="-21"/>
          <w:sz w:val="24"/>
          <w:szCs w:val="24"/>
        </w:rPr>
        <w:t>运输、仓储管理以及驻厂监造和现场检验等内容。</w:t>
      </w:r>
    </w:p>
    <w:p w14:paraId="6C87B52F">
      <w:pPr>
        <w:pStyle w:val="2"/>
        <w:spacing w:before="1" w:line="215" w:lineRule="auto"/>
        <w:ind w:left="1893"/>
        <w:rPr>
          <w:sz w:val="24"/>
          <w:szCs w:val="24"/>
        </w:rPr>
      </w:pPr>
      <w:r>
        <w:rPr>
          <w:spacing w:val="-20"/>
          <w:sz w:val="24"/>
          <w:szCs w:val="24"/>
        </w:rPr>
        <w:t>（1）组建材料及半成品管理组织机构</w:t>
      </w:r>
    </w:p>
    <w:p w14:paraId="3A8689CE">
      <w:pPr>
        <w:pStyle w:val="2"/>
        <w:spacing w:before="117" w:line="295" w:lineRule="auto"/>
        <w:ind w:left="1459" w:right="1335" w:firstLine="442"/>
        <w:rPr>
          <w:sz w:val="24"/>
          <w:szCs w:val="24"/>
        </w:rPr>
      </w:pPr>
      <w:r>
        <w:rPr>
          <w:spacing w:val="-23"/>
          <w:sz w:val="24"/>
          <w:szCs w:val="24"/>
        </w:rPr>
        <w:t>为了搞好本工程的材料及半成品供应和管理工作，本</w:t>
      </w:r>
      <w:r>
        <w:rPr>
          <w:spacing w:val="-24"/>
          <w:sz w:val="24"/>
          <w:szCs w:val="24"/>
        </w:rPr>
        <w:t>投标人项目经理部拟成立材料物质部，</w:t>
      </w:r>
      <w:r>
        <w:rPr>
          <w:spacing w:val="-23"/>
          <w:sz w:val="24"/>
          <w:szCs w:val="24"/>
        </w:rPr>
        <w:t>专职负责此项工作，安排一位部长、一位物资计划管理工程师和一位物资供</w:t>
      </w:r>
      <w:r>
        <w:rPr>
          <w:spacing w:val="-24"/>
          <w:sz w:val="24"/>
          <w:szCs w:val="24"/>
        </w:rPr>
        <w:t>应工程师进行管理。</w:t>
      </w:r>
    </w:p>
    <w:p w14:paraId="5A48FCB0">
      <w:pPr>
        <w:pStyle w:val="2"/>
        <w:spacing w:line="217" w:lineRule="auto"/>
        <w:ind w:left="1986"/>
        <w:outlineLvl w:val="2"/>
        <w:rPr>
          <w:sz w:val="28"/>
          <w:szCs w:val="28"/>
        </w:rPr>
      </w:pPr>
      <w:bookmarkStart w:id="197" w:name="bookmark189"/>
      <w:bookmarkEnd w:id="197"/>
      <w:r>
        <w:rPr>
          <w:b/>
          <w:bCs/>
          <w:spacing w:val="-23"/>
          <w:sz w:val="28"/>
          <w:szCs w:val="28"/>
        </w:rPr>
        <w:t>二、物资采购和合同签订</w:t>
      </w:r>
    </w:p>
    <w:p w14:paraId="29791A53">
      <w:pPr>
        <w:pStyle w:val="2"/>
        <w:spacing w:before="104" w:line="217" w:lineRule="auto"/>
        <w:ind w:left="1893"/>
        <w:rPr>
          <w:sz w:val="24"/>
          <w:szCs w:val="24"/>
        </w:rPr>
      </w:pPr>
      <w:r>
        <w:rPr>
          <w:spacing w:val="-19"/>
          <w:sz w:val="24"/>
          <w:szCs w:val="24"/>
        </w:rPr>
        <w:t>（1）物资采购计划的制订</w:t>
      </w:r>
    </w:p>
    <w:p w14:paraId="44B0202A">
      <w:pPr>
        <w:pStyle w:val="2"/>
        <w:spacing w:before="117" w:line="308" w:lineRule="auto"/>
        <w:ind w:left="1457" w:right="1342" w:firstLine="436"/>
        <w:rPr>
          <w:sz w:val="24"/>
          <w:szCs w:val="24"/>
        </w:rPr>
      </w:pPr>
      <w:r>
        <w:rPr>
          <w:spacing w:val="-19"/>
          <w:sz w:val="24"/>
          <w:szCs w:val="24"/>
        </w:rPr>
        <w:t>项目开始之初，项目经理部将组织工程技术部专业工程师进行工程提料，制订提</w:t>
      </w:r>
      <w:r>
        <w:rPr>
          <w:spacing w:val="-20"/>
          <w:sz w:val="24"/>
          <w:szCs w:val="24"/>
        </w:rPr>
        <w:t>料计划，内容应包括：名称、规格、型号、材质、单位、净用量、技术要求条件以及使用时间，三大材要附编核算表。物资部根据工程部门提出的工程净用量材料计划，合理加入消耗和储备，制订</w:t>
      </w:r>
      <w:r>
        <w:rPr>
          <w:spacing w:val="-23"/>
          <w:sz w:val="24"/>
          <w:szCs w:val="24"/>
        </w:rPr>
        <w:t>物资采购计划。计划中应注明：净用量、工程用量、存库数量、申</w:t>
      </w:r>
      <w:r>
        <w:rPr>
          <w:spacing w:val="-24"/>
          <w:sz w:val="24"/>
          <w:szCs w:val="24"/>
        </w:rPr>
        <w:t>请数量以及到站、到货日期、</w:t>
      </w:r>
      <w:r>
        <w:rPr>
          <w:spacing w:val="-15"/>
          <w:sz w:val="24"/>
          <w:szCs w:val="24"/>
        </w:rPr>
        <w:t>收货人。</w:t>
      </w:r>
    </w:p>
    <w:p w14:paraId="09D8473C">
      <w:pPr>
        <w:pStyle w:val="2"/>
        <w:spacing w:before="2" w:line="307" w:lineRule="auto"/>
        <w:ind w:left="1460" w:right="1409" w:firstLine="457"/>
        <w:jc w:val="both"/>
        <w:rPr>
          <w:sz w:val="24"/>
          <w:szCs w:val="24"/>
        </w:rPr>
      </w:pPr>
      <w:r>
        <w:rPr>
          <w:spacing w:val="-20"/>
          <w:sz w:val="24"/>
          <w:szCs w:val="24"/>
        </w:rPr>
        <w:t>因任务或设计变更需要调整原采购计划时，工程部门在接到变更文件时应</w:t>
      </w:r>
      <w:r>
        <w:rPr>
          <w:spacing w:val="-21"/>
          <w:sz w:val="24"/>
          <w:szCs w:val="24"/>
        </w:rPr>
        <w:t>首先尽快通知物</w:t>
      </w:r>
      <w:r>
        <w:rPr>
          <w:spacing w:val="-20"/>
          <w:sz w:val="24"/>
          <w:szCs w:val="24"/>
        </w:rPr>
        <w:t>资计划管理工程师，以便及时根据变更计划更改正式物资采购计划。不能更改时，因变更而形</w:t>
      </w:r>
      <w:r>
        <w:rPr>
          <w:spacing w:val="-21"/>
          <w:sz w:val="24"/>
          <w:szCs w:val="24"/>
        </w:rPr>
        <w:t>成的物资采购计划应单独成册并附上相关的变更设计</w:t>
      </w:r>
      <w:r>
        <w:rPr>
          <w:spacing w:val="-22"/>
          <w:sz w:val="24"/>
          <w:szCs w:val="24"/>
        </w:rPr>
        <w:t>资料。</w:t>
      </w:r>
    </w:p>
    <w:p w14:paraId="0F459D0E">
      <w:pPr>
        <w:pStyle w:val="2"/>
        <w:spacing w:before="2" w:line="308" w:lineRule="auto"/>
        <w:ind w:left="1458" w:right="1409" w:firstLine="435"/>
        <w:rPr>
          <w:sz w:val="24"/>
          <w:szCs w:val="24"/>
        </w:rPr>
      </w:pPr>
      <w:r>
        <w:rPr>
          <w:spacing w:val="-20"/>
          <w:sz w:val="24"/>
          <w:szCs w:val="24"/>
        </w:rPr>
        <w:t>物资计划管理工程师接到变更通知后，及时与供货商联系，按合同法要求积极与供货商办</w:t>
      </w:r>
      <w:r>
        <w:rPr>
          <w:spacing w:val="-22"/>
          <w:sz w:val="24"/>
          <w:szCs w:val="24"/>
        </w:rPr>
        <w:t>理合同更改手续，对造成较大损失的，要查明原因，报项目负责人研究处理。</w:t>
      </w:r>
    </w:p>
    <w:p w14:paraId="261A241A">
      <w:pPr>
        <w:pStyle w:val="2"/>
        <w:spacing w:before="1" w:line="216" w:lineRule="auto"/>
        <w:ind w:left="1893"/>
        <w:rPr>
          <w:sz w:val="24"/>
          <w:szCs w:val="24"/>
        </w:rPr>
      </w:pPr>
      <w:r>
        <w:rPr>
          <w:spacing w:val="-19"/>
          <w:sz w:val="24"/>
          <w:szCs w:val="24"/>
        </w:rPr>
        <w:t>（2）物资采购和合同签订</w:t>
      </w:r>
    </w:p>
    <w:p w14:paraId="79E375CF">
      <w:pPr>
        <w:pStyle w:val="2"/>
        <w:spacing w:before="115" w:line="308" w:lineRule="auto"/>
        <w:ind w:left="1456" w:right="1411" w:firstLine="437"/>
        <w:rPr>
          <w:sz w:val="24"/>
          <w:szCs w:val="24"/>
        </w:rPr>
      </w:pPr>
      <w:r>
        <w:rPr>
          <w:spacing w:val="-20"/>
          <w:sz w:val="24"/>
          <w:szCs w:val="24"/>
        </w:rPr>
        <w:t>本投标人将严格执行招标文件中有关物资供应和管理的要求，对工程物资严把进货关。由于材料质量直接影响着最终工程质量，采购工作严格按照ISO9001质量体系</w:t>
      </w:r>
      <w:r>
        <w:rPr>
          <w:spacing w:val="-21"/>
          <w:sz w:val="24"/>
          <w:szCs w:val="24"/>
        </w:rPr>
        <w:t>《物资采购控制程</w:t>
      </w:r>
      <w:r>
        <w:rPr>
          <w:spacing w:val="-17"/>
          <w:sz w:val="24"/>
          <w:szCs w:val="24"/>
        </w:rPr>
        <w:t>序》执行。</w:t>
      </w:r>
    </w:p>
    <w:p w14:paraId="6C6E9BB5">
      <w:pPr>
        <w:pStyle w:val="2"/>
        <w:spacing w:before="1" w:line="308" w:lineRule="auto"/>
        <w:ind w:left="1458" w:right="1409" w:firstLine="435"/>
        <w:rPr>
          <w:sz w:val="24"/>
          <w:szCs w:val="24"/>
        </w:rPr>
      </w:pPr>
      <w:r>
        <w:rPr>
          <w:spacing w:val="-20"/>
          <w:sz w:val="24"/>
          <w:szCs w:val="24"/>
        </w:rPr>
        <w:t>项目经理部的物资部参与本投标人供货的采购的全过程，副经理和物资计划管理工程师负</w:t>
      </w:r>
      <w:r>
        <w:rPr>
          <w:spacing w:val="-21"/>
          <w:sz w:val="24"/>
          <w:szCs w:val="24"/>
        </w:rPr>
        <w:t>责日常业务；物资采购前进行供应方评价工作，并建</w:t>
      </w:r>
      <w:r>
        <w:rPr>
          <w:spacing w:val="-22"/>
          <w:sz w:val="24"/>
          <w:szCs w:val="24"/>
        </w:rPr>
        <w:t>立“合格供应方名册”。</w:t>
      </w:r>
    </w:p>
    <w:p w14:paraId="0989B1E8">
      <w:pPr>
        <w:pStyle w:val="2"/>
        <w:spacing w:line="307" w:lineRule="auto"/>
        <w:ind w:left="1461" w:right="1410" w:firstLine="440"/>
        <w:rPr>
          <w:sz w:val="24"/>
          <w:szCs w:val="24"/>
        </w:rPr>
      </w:pPr>
      <w:r>
        <w:rPr>
          <w:spacing w:val="-20"/>
          <w:sz w:val="24"/>
          <w:szCs w:val="24"/>
        </w:rPr>
        <w:t>我司采购物资时将和供货商签订严格的合同，主要内容包括：物资名称、规格型号、计量单位、数量、总价，交货时间、地点、包装、运输方式、现场验收方式和方法，付款方式、付</w:t>
      </w:r>
    </w:p>
    <w:p w14:paraId="3D4FAC18">
      <w:pPr>
        <w:spacing w:line="307" w:lineRule="auto"/>
        <w:rPr>
          <w:sz w:val="24"/>
          <w:szCs w:val="24"/>
        </w:rPr>
        <w:sectPr>
          <w:footerReference r:id="rId275" w:type="default"/>
          <w:pgSz w:w="11907" w:h="16839"/>
          <w:pgMar w:top="933" w:right="4" w:bottom="1038" w:left="0" w:header="478" w:footer="357" w:gutter="0"/>
          <w:pgBorders>
            <w:top w:val="none" w:sz="0" w:space="0"/>
            <w:left w:val="none" w:sz="0" w:space="0"/>
            <w:bottom w:val="none" w:sz="0" w:space="0"/>
            <w:right w:val="none" w:sz="0" w:space="0"/>
          </w:pgBorders>
          <w:cols w:space="720" w:num="1"/>
        </w:sectPr>
      </w:pPr>
    </w:p>
    <w:p w14:paraId="0CD70D90">
      <w:pPr>
        <w:spacing w:line="271" w:lineRule="auto"/>
        <w:rPr>
          <w:rFonts w:ascii="Arial"/>
          <w:sz w:val="21"/>
        </w:rPr>
      </w:pPr>
    </w:p>
    <w:p w14:paraId="2DBEF554">
      <w:pPr>
        <w:pStyle w:val="2"/>
        <w:spacing w:before="78" w:line="218" w:lineRule="auto"/>
        <w:ind w:left="1455"/>
        <w:rPr>
          <w:sz w:val="24"/>
          <w:szCs w:val="24"/>
        </w:rPr>
      </w:pPr>
      <w:r>
        <w:rPr>
          <w:spacing w:val="-22"/>
          <w:sz w:val="24"/>
          <w:szCs w:val="24"/>
        </w:rPr>
        <w:t>款时间，违约责任，附加协议，技术要求条件等等。</w:t>
      </w:r>
    </w:p>
    <w:p w14:paraId="5A886CF0">
      <w:pPr>
        <w:pStyle w:val="2"/>
        <w:spacing w:before="116" w:line="307" w:lineRule="auto"/>
        <w:ind w:left="1470" w:right="1409" w:firstLine="424"/>
        <w:rPr>
          <w:sz w:val="24"/>
          <w:szCs w:val="24"/>
        </w:rPr>
      </w:pPr>
      <w:r>
        <w:rPr>
          <w:spacing w:val="-20"/>
          <w:sz w:val="24"/>
          <w:szCs w:val="24"/>
        </w:rPr>
        <w:t>在采购的同时，及时提出本投标人要求驻厂监造的合理要求，并要求供货商提供物资设备</w:t>
      </w:r>
      <w:r>
        <w:rPr>
          <w:spacing w:val="-21"/>
          <w:sz w:val="24"/>
          <w:szCs w:val="24"/>
        </w:rPr>
        <w:t>的原始标识（厂家、材料名称、规格型号、出厂编号、</w:t>
      </w:r>
      <w:r>
        <w:rPr>
          <w:spacing w:val="-22"/>
          <w:sz w:val="24"/>
          <w:szCs w:val="24"/>
        </w:rPr>
        <w:t>出厂日期、合格证等）。</w:t>
      </w:r>
    </w:p>
    <w:p w14:paraId="0055D24C">
      <w:pPr>
        <w:pStyle w:val="2"/>
        <w:spacing w:before="1" w:line="217" w:lineRule="auto"/>
        <w:ind w:left="1894"/>
        <w:rPr>
          <w:sz w:val="24"/>
          <w:szCs w:val="24"/>
        </w:rPr>
      </w:pPr>
      <w:r>
        <w:rPr>
          <w:spacing w:val="-21"/>
          <w:sz w:val="24"/>
          <w:szCs w:val="24"/>
        </w:rPr>
        <w:t>物资采购的依据是经项目负责人审批的采购计划。</w:t>
      </w:r>
    </w:p>
    <w:p w14:paraId="16D3ABD2">
      <w:pPr>
        <w:pStyle w:val="2"/>
        <w:spacing w:before="119" w:line="217" w:lineRule="auto"/>
        <w:ind w:left="1895"/>
        <w:rPr>
          <w:sz w:val="24"/>
          <w:szCs w:val="24"/>
        </w:rPr>
      </w:pPr>
      <w:r>
        <w:rPr>
          <w:spacing w:val="-21"/>
          <w:sz w:val="24"/>
          <w:szCs w:val="24"/>
        </w:rPr>
        <w:t>采购合同签订要由法人或经法人授权的代理人来签定。</w:t>
      </w:r>
    </w:p>
    <w:p w14:paraId="4F0C4BC9">
      <w:pPr>
        <w:pStyle w:val="2"/>
        <w:spacing w:before="117" w:line="308" w:lineRule="auto"/>
        <w:ind w:left="1458" w:right="1409" w:firstLine="440"/>
        <w:rPr>
          <w:sz w:val="24"/>
          <w:szCs w:val="24"/>
        </w:rPr>
      </w:pPr>
      <w:r>
        <w:rPr>
          <w:spacing w:val="-20"/>
          <w:sz w:val="24"/>
          <w:szCs w:val="24"/>
        </w:rPr>
        <w:t>签订合同时不能确定到站和收货人的，物资管理工程师应随着工程的进展，通知供货商到</w:t>
      </w:r>
      <w:r>
        <w:rPr>
          <w:spacing w:val="-21"/>
          <w:sz w:val="24"/>
          <w:szCs w:val="24"/>
        </w:rPr>
        <w:t>站地点和收货人，掌握好工程进度和供货时间的衔接。</w:t>
      </w:r>
    </w:p>
    <w:p w14:paraId="5B22E214">
      <w:pPr>
        <w:pStyle w:val="2"/>
        <w:spacing w:before="1" w:line="307" w:lineRule="auto"/>
        <w:ind w:left="1461" w:right="1351" w:firstLine="438"/>
        <w:rPr>
          <w:sz w:val="24"/>
          <w:szCs w:val="24"/>
        </w:rPr>
      </w:pPr>
      <w:r>
        <w:rPr>
          <w:spacing w:val="-22"/>
          <w:sz w:val="24"/>
          <w:szCs w:val="24"/>
        </w:rPr>
        <w:t>合同签订后，物资管理工程师应及时开具《进</w:t>
      </w:r>
      <w:r>
        <w:rPr>
          <w:spacing w:val="-23"/>
          <w:sz w:val="24"/>
          <w:szCs w:val="24"/>
        </w:rPr>
        <w:t>料、催料通知单》（或合同原件、复印件</w:t>
      </w:r>
      <w:r>
        <w:rPr>
          <w:spacing w:val="-49"/>
          <w:sz w:val="24"/>
          <w:szCs w:val="24"/>
        </w:rPr>
        <w:t>），</w:t>
      </w:r>
      <w:r>
        <w:rPr>
          <w:spacing w:val="-20"/>
          <w:sz w:val="24"/>
          <w:szCs w:val="24"/>
        </w:rPr>
        <w:t>通知现场的收货人员。</w:t>
      </w:r>
    </w:p>
    <w:p w14:paraId="1AE7BD6B">
      <w:pPr>
        <w:pStyle w:val="2"/>
        <w:spacing w:before="1" w:line="307" w:lineRule="auto"/>
        <w:ind w:left="1457" w:right="1410" w:firstLine="436"/>
        <w:rPr>
          <w:sz w:val="24"/>
          <w:szCs w:val="24"/>
        </w:rPr>
      </w:pPr>
      <w:r>
        <w:rPr>
          <w:spacing w:val="-20"/>
          <w:sz w:val="24"/>
          <w:szCs w:val="24"/>
        </w:rPr>
        <w:t>物资管理工程师负责采购合同的日常管理，收集、保管收货单位的点收单、验收记录，根</w:t>
      </w:r>
      <w:r>
        <w:rPr>
          <w:spacing w:val="-22"/>
          <w:sz w:val="24"/>
          <w:szCs w:val="24"/>
        </w:rPr>
        <w:t>据到料情况，对查采购合同，处理帐务。</w:t>
      </w:r>
    </w:p>
    <w:p w14:paraId="0D6C19D4">
      <w:pPr>
        <w:pStyle w:val="2"/>
        <w:spacing w:before="3" w:line="298" w:lineRule="auto"/>
        <w:ind w:left="1453" w:right="1344" w:firstLine="464"/>
        <w:jc w:val="both"/>
        <w:rPr>
          <w:sz w:val="24"/>
          <w:szCs w:val="24"/>
        </w:rPr>
      </w:pPr>
      <w:r>
        <w:rPr>
          <w:spacing w:val="-20"/>
          <w:sz w:val="24"/>
          <w:szCs w:val="24"/>
        </w:rPr>
        <w:t>当供货商供应的产品出现质量等问题时，如：发现规格不符、资料不全</w:t>
      </w:r>
      <w:r>
        <w:rPr>
          <w:spacing w:val="-21"/>
          <w:sz w:val="24"/>
          <w:szCs w:val="24"/>
        </w:rPr>
        <w:t>、零部件短少、破</w:t>
      </w:r>
      <w:r>
        <w:rPr>
          <w:spacing w:val="-23"/>
          <w:sz w:val="24"/>
          <w:szCs w:val="24"/>
        </w:rPr>
        <w:t>损等，或达不到合同规定要求的，根据使用单位出具的相应纪录，物</w:t>
      </w:r>
      <w:r>
        <w:rPr>
          <w:spacing w:val="-24"/>
          <w:sz w:val="24"/>
          <w:szCs w:val="24"/>
        </w:rPr>
        <w:t>资管理工程师要负责组织、</w:t>
      </w:r>
      <w:r>
        <w:rPr>
          <w:spacing w:val="-19"/>
          <w:sz w:val="24"/>
          <w:szCs w:val="24"/>
        </w:rPr>
        <w:t>联络、协商解决。</w:t>
      </w:r>
    </w:p>
    <w:p w14:paraId="30CC440A">
      <w:pPr>
        <w:pStyle w:val="2"/>
        <w:spacing w:before="1" w:line="219" w:lineRule="auto"/>
        <w:ind w:left="1985"/>
        <w:outlineLvl w:val="2"/>
        <w:rPr>
          <w:sz w:val="28"/>
          <w:szCs w:val="28"/>
        </w:rPr>
      </w:pPr>
      <w:bookmarkStart w:id="198" w:name="bookmark190"/>
      <w:bookmarkEnd w:id="198"/>
      <w:r>
        <w:rPr>
          <w:b/>
          <w:bCs/>
          <w:spacing w:val="-22"/>
          <w:sz w:val="28"/>
          <w:szCs w:val="28"/>
        </w:rPr>
        <w:t>三、运输组织方式</w:t>
      </w:r>
    </w:p>
    <w:p w14:paraId="2E56022C">
      <w:pPr>
        <w:pStyle w:val="2"/>
        <w:spacing w:before="102" w:line="219" w:lineRule="auto"/>
        <w:ind w:left="1893"/>
        <w:rPr>
          <w:sz w:val="24"/>
          <w:szCs w:val="24"/>
        </w:rPr>
      </w:pPr>
      <w:r>
        <w:rPr>
          <w:spacing w:val="-18"/>
          <w:sz w:val="24"/>
          <w:szCs w:val="24"/>
        </w:rPr>
        <w:t>（1）运输方式说明</w:t>
      </w:r>
    </w:p>
    <w:p w14:paraId="7762988E">
      <w:pPr>
        <w:pStyle w:val="2"/>
        <w:spacing w:before="118" w:line="306" w:lineRule="auto"/>
        <w:ind w:left="1456" w:right="1410" w:firstLine="443"/>
        <w:rPr>
          <w:sz w:val="24"/>
          <w:szCs w:val="24"/>
        </w:rPr>
      </w:pPr>
      <w:r>
        <w:rPr>
          <w:spacing w:val="-20"/>
          <w:sz w:val="24"/>
          <w:szCs w:val="24"/>
        </w:rPr>
        <w:t>主要设备、材料的运输以供货商自行采用汽车运至施工现场为主，小宗物资以我方自行采</w:t>
      </w:r>
      <w:r>
        <w:rPr>
          <w:spacing w:val="-22"/>
          <w:sz w:val="24"/>
          <w:szCs w:val="24"/>
        </w:rPr>
        <w:t>购采用汽车运至施工现场。</w:t>
      </w:r>
    </w:p>
    <w:p w14:paraId="11617248">
      <w:pPr>
        <w:pStyle w:val="2"/>
        <w:spacing w:before="2" w:line="217" w:lineRule="auto"/>
        <w:ind w:left="1893"/>
        <w:rPr>
          <w:sz w:val="24"/>
          <w:szCs w:val="24"/>
        </w:rPr>
      </w:pPr>
      <w:r>
        <w:rPr>
          <w:spacing w:val="-19"/>
          <w:sz w:val="24"/>
          <w:szCs w:val="24"/>
        </w:rPr>
        <w:t>（2）物资的短途搬运和吊卸</w:t>
      </w:r>
    </w:p>
    <w:p w14:paraId="10824F3C">
      <w:pPr>
        <w:pStyle w:val="2"/>
        <w:spacing w:before="120" w:line="215" w:lineRule="auto"/>
        <w:ind w:left="1894"/>
        <w:rPr>
          <w:sz w:val="24"/>
          <w:szCs w:val="24"/>
        </w:rPr>
      </w:pPr>
      <w:r>
        <w:rPr>
          <w:spacing w:val="-19"/>
          <w:sz w:val="24"/>
          <w:szCs w:val="24"/>
        </w:rPr>
        <w:t>物资搬运和吊卸按照本投标人ISO9001</w:t>
      </w:r>
      <w:r>
        <w:rPr>
          <w:spacing w:val="-20"/>
          <w:sz w:val="24"/>
          <w:szCs w:val="24"/>
        </w:rPr>
        <w:t>体系文件《搬运和贮存程序》执行。</w:t>
      </w:r>
    </w:p>
    <w:p w14:paraId="1C52C140">
      <w:pPr>
        <w:pStyle w:val="2"/>
        <w:spacing w:before="119" w:line="308" w:lineRule="auto"/>
        <w:ind w:left="1463" w:right="1411" w:firstLine="430"/>
        <w:rPr>
          <w:sz w:val="24"/>
          <w:szCs w:val="24"/>
        </w:rPr>
      </w:pPr>
      <w:r>
        <w:rPr>
          <w:spacing w:val="-20"/>
          <w:sz w:val="24"/>
          <w:szCs w:val="24"/>
        </w:rPr>
        <w:t>使用适当的搬运和吊卸方法，经济合理地控制物资在搬运过程中和贮存时间内质量不受影</w:t>
      </w:r>
      <w:r>
        <w:rPr>
          <w:spacing w:val="-23"/>
          <w:sz w:val="24"/>
          <w:szCs w:val="24"/>
        </w:rPr>
        <w:t>响，数量不受损失。</w:t>
      </w:r>
    </w:p>
    <w:p w14:paraId="09AD9BE7">
      <w:pPr>
        <w:pStyle w:val="2"/>
        <w:spacing w:before="2" w:line="306" w:lineRule="auto"/>
        <w:ind w:left="1458" w:right="1409" w:firstLine="435"/>
        <w:rPr>
          <w:sz w:val="24"/>
          <w:szCs w:val="24"/>
        </w:rPr>
      </w:pPr>
      <w:r>
        <w:rPr>
          <w:spacing w:val="-20"/>
          <w:sz w:val="24"/>
          <w:szCs w:val="24"/>
        </w:rPr>
        <w:t>物资搬运和装卸过程中将采用适当的工具和方法，大型设备的搬运先由专业工程师制定搬</w:t>
      </w:r>
      <w:r>
        <w:rPr>
          <w:spacing w:val="-21"/>
          <w:sz w:val="24"/>
          <w:szCs w:val="24"/>
        </w:rPr>
        <w:t>运作业方案，并由项目经理部总工程师批准后方可实施。</w:t>
      </w:r>
    </w:p>
    <w:p w14:paraId="03E4B095">
      <w:pPr>
        <w:pStyle w:val="2"/>
        <w:spacing w:before="3" w:line="307" w:lineRule="auto"/>
        <w:ind w:left="1460" w:right="1354" w:firstLine="432"/>
        <w:rPr>
          <w:sz w:val="24"/>
          <w:szCs w:val="24"/>
        </w:rPr>
      </w:pPr>
      <w:r>
        <w:rPr>
          <w:spacing w:val="-24"/>
          <w:sz w:val="24"/>
          <w:szCs w:val="24"/>
        </w:rPr>
        <w:t>机械搬运和吊卸时，将根据货物的重量和大小选择合适的搬运机械，作业现场设统一指挥，</w:t>
      </w:r>
      <w:r>
        <w:rPr>
          <w:spacing w:val="-21"/>
          <w:sz w:val="24"/>
          <w:szCs w:val="24"/>
        </w:rPr>
        <w:t>作业过程中捆扎牢固，稳挂稳吊，有吊装标识的，</w:t>
      </w:r>
      <w:r>
        <w:rPr>
          <w:spacing w:val="-22"/>
          <w:sz w:val="24"/>
          <w:szCs w:val="24"/>
        </w:rPr>
        <w:t>按吊装点吊持，放置货物处预先铺垫平稳。</w:t>
      </w:r>
    </w:p>
    <w:p w14:paraId="6CEDB51C">
      <w:pPr>
        <w:pStyle w:val="2"/>
        <w:spacing w:before="5" w:line="307" w:lineRule="auto"/>
        <w:ind w:left="1458" w:right="1415" w:firstLine="436"/>
        <w:rPr>
          <w:sz w:val="24"/>
          <w:szCs w:val="24"/>
        </w:rPr>
      </w:pPr>
      <w:r>
        <w:rPr>
          <w:spacing w:val="-20"/>
          <w:sz w:val="24"/>
          <w:szCs w:val="24"/>
        </w:rPr>
        <w:t>在进行易燃（各种燃料及油漆）、易碎（各种瓷件）、易散落（各型穿钉、螺母、垫片、电力金具等）、超重超长限物资搬运时，下发相应的作业指导书或进行口头技术交底；送达目的地时对产品设备的保护状态和完整情况进行验证；机械搬运作业人员严格按技术操作规程进行作业。</w:t>
      </w:r>
    </w:p>
    <w:p w14:paraId="1B834A3D">
      <w:pPr>
        <w:pStyle w:val="2"/>
        <w:spacing w:before="1" w:line="307" w:lineRule="auto"/>
        <w:ind w:left="1456" w:right="1459" w:firstLine="440"/>
        <w:rPr>
          <w:sz w:val="24"/>
          <w:szCs w:val="24"/>
        </w:rPr>
      </w:pPr>
      <w:r>
        <w:rPr>
          <w:spacing w:val="-21"/>
          <w:sz w:val="24"/>
          <w:szCs w:val="24"/>
        </w:rPr>
        <w:t>人工搬运时，单人搬运轻拿轻放，不抛掷，二人或二人以上搬运时，制定呼唤应答措施，</w:t>
      </w:r>
      <w:r>
        <w:rPr>
          <w:spacing w:val="-19"/>
          <w:sz w:val="24"/>
          <w:szCs w:val="24"/>
        </w:rPr>
        <w:t>做到步调一致。</w:t>
      </w:r>
    </w:p>
    <w:p w14:paraId="4E65E832">
      <w:pPr>
        <w:pStyle w:val="2"/>
        <w:spacing w:before="1" w:line="216" w:lineRule="auto"/>
        <w:ind w:left="1895"/>
        <w:rPr>
          <w:sz w:val="24"/>
          <w:szCs w:val="24"/>
        </w:rPr>
      </w:pPr>
      <w:r>
        <w:rPr>
          <w:spacing w:val="-21"/>
          <w:sz w:val="24"/>
          <w:szCs w:val="24"/>
        </w:rPr>
        <w:t>搬运中，保持和维护物资原标识和有关状态标记不变，</w:t>
      </w:r>
      <w:r>
        <w:rPr>
          <w:spacing w:val="-22"/>
          <w:sz w:val="24"/>
          <w:szCs w:val="24"/>
        </w:rPr>
        <w:t>如有丢失设法及时补齐。</w:t>
      </w:r>
    </w:p>
    <w:p w14:paraId="5010F2FE">
      <w:pPr>
        <w:pStyle w:val="2"/>
        <w:spacing w:before="84" w:line="216" w:lineRule="auto"/>
        <w:ind w:left="2010"/>
        <w:outlineLvl w:val="2"/>
        <w:rPr>
          <w:sz w:val="28"/>
          <w:szCs w:val="28"/>
        </w:rPr>
      </w:pPr>
      <w:bookmarkStart w:id="199" w:name="bookmark191"/>
      <w:bookmarkEnd w:id="199"/>
      <w:r>
        <w:rPr>
          <w:b/>
          <w:bCs/>
          <w:spacing w:val="-25"/>
          <w:sz w:val="28"/>
          <w:szCs w:val="28"/>
        </w:rPr>
        <w:t>四、现检验和验收</w:t>
      </w:r>
    </w:p>
    <w:p w14:paraId="7C7654EB">
      <w:pPr>
        <w:pStyle w:val="2"/>
        <w:spacing w:before="107" w:line="307" w:lineRule="auto"/>
        <w:ind w:left="1457" w:right="1410" w:firstLine="435"/>
        <w:rPr>
          <w:sz w:val="24"/>
          <w:szCs w:val="24"/>
        </w:rPr>
      </w:pPr>
      <w:r>
        <w:rPr>
          <w:spacing w:val="-20"/>
          <w:sz w:val="24"/>
          <w:szCs w:val="24"/>
        </w:rPr>
        <w:t>现场验收的组织程序：现场检验和验收的组织程序参照出厂验收程序进行，首先，由物资部提前一周向业主和监理单位提报考核和检验的具体安排计划，以便业主和监理单位安排检验</w:t>
      </w:r>
    </w:p>
    <w:p w14:paraId="222C920A">
      <w:pPr>
        <w:spacing w:line="307" w:lineRule="auto"/>
        <w:rPr>
          <w:sz w:val="24"/>
          <w:szCs w:val="24"/>
        </w:rPr>
        <w:sectPr>
          <w:footerReference r:id="rId276" w:type="default"/>
          <w:pgSz w:w="11907" w:h="16839"/>
          <w:pgMar w:top="933" w:right="4" w:bottom="1038" w:left="0" w:header="478" w:footer="357" w:gutter="0"/>
          <w:pgBorders>
            <w:top w:val="none" w:sz="0" w:space="0"/>
            <w:left w:val="none" w:sz="0" w:space="0"/>
            <w:bottom w:val="none" w:sz="0" w:space="0"/>
            <w:right w:val="none" w:sz="0" w:space="0"/>
          </w:pgBorders>
          <w:cols w:space="720" w:num="1"/>
        </w:sectPr>
      </w:pPr>
    </w:p>
    <w:p w14:paraId="252B43E7">
      <w:pPr>
        <w:spacing w:line="272" w:lineRule="auto"/>
        <w:rPr>
          <w:rFonts w:ascii="Arial"/>
          <w:sz w:val="21"/>
        </w:rPr>
      </w:pPr>
    </w:p>
    <w:p w14:paraId="3C66C767">
      <w:pPr>
        <w:pStyle w:val="2"/>
        <w:spacing w:before="78" w:line="301" w:lineRule="auto"/>
        <w:ind w:left="1455" w:right="1414" w:firstLine="4"/>
        <w:jc w:val="both"/>
        <w:rPr>
          <w:sz w:val="24"/>
          <w:szCs w:val="24"/>
        </w:rPr>
      </w:pPr>
      <w:r>
        <w:rPr>
          <w:spacing w:val="-20"/>
          <w:sz w:val="24"/>
          <w:szCs w:val="24"/>
        </w:rPr>
        <w:t>人员参加现场考核检验。如果有部分设备、材料不能通过考核和检验，我司将责成制造厂商替换、修正或重新生产，严重时退货或取消其合格供货商的资格，未经考核检验通过的设备、材料，本投标人将向业主和监理单位申请重新进行考核和检验。考核和检验完成后，本投标人将</w:t>
      </w:r>
      <w:r>
        <w:rPr>
          <w:spacing w:val="-22"/>
          <w:sz w:val="24"/>
          <w:szCs w:val="24"/>
        </w:rPr>
        <w:t>向业主和监理单位提供一份已完成的证明报告。</w:t>
      </w:r>
    </w:p>
    <w:p w14:paraId="67204A7C">
      <w:pPr>
        <w:pStyle w:val="2"/>
        <w:spacing w:line="216" w:lineRule="auto"/>
        <w:ind w:left="1981"/>
        <w:outlineLvl w:val="2"/>
        <w:rPr>
          <w:sz w:val="28"/>
          <w:szCs w:val="28"/>
        </w:rPr>
      </w:pPr>
      <w:bookmarkStart w:id="200" w:name="bookmark192"/>
      <w:bookmarkEnd w:id="200"/>
      <w:r>
        <w:rPr>
          <w:b/>
          <w:bCs/>
          <w:spacing w:val="-23"/>
          <w:sz w:val="28"/>
          <w:szCs w:val="28"/>
        </w:rPr>
        <w:t>五、现检验和验收的方法</w:t>
      </w:r>
    </w:p>
    <w:p w14:paraId="0A97EC61">
      <w:pPr>
        <w:pStyle w:val="2"/>
        <w:spacing w:before="103" w:line="308" w:lineRule="auto"/>
        <w:ind w:left="1458" w:right="1415" w:firstLine="443"/>
        <w:jc w:val="both"/>
        <w:rPr>
          <w:sz w:val="24"/>
          <w:szCs w:val="24"/>
        </w:rPr>
      </w:pPr>
      <w:r>
        <w:rPr>
          <w:spacing w:val="-20"/>
          <w:sz w:val="24"/>
          <w:szCs w:val="24"/>
        </w:rPr>
        <w:t>我司承诺以下所有程序接受业主和监理指派的检验人员的现场监督和指导，并随时接受其提出的任何其它合理的检验和考核要求，以便对工程物资做进一步的质量、数量查验，满足工</w:t>
      </w:r>
      <w:r>
        <w:rPr>
          <w:spacing w:val="-17"/>
          <w:sz w:val="24"/>
          <w:szCs w:val="24"/>
        </w:rPr>
        <w:t>程的需要。</w:t>
      </w:r>
    </w:p>
    <w:p w14:paraId="31041D91">
      <w:pPr>
        <w:pStyle w:val="2"/>
        <w:spacing w:before="1" w:line="308" w:lineRule="auto"/>
        <w:ind w:left="1455" w:right="1421" w:firstLine="439"/>
        <w:rPr>
          <w:sz w:val="24"/>
          <w:szCs w:val="24"/>
        </w:rPr>
      </w:pPr>
      <w:r>
        <w:rPr>
          <w:spacing w:val="-20"/>
          <w:sz w:val="24"/>
          <w:szCs w:val="24"/>
        </w:rPr>
        <w:t>如业主无特殊要求，物资检验和试验按照本投标人ISO90</w:t>
      </w:r>
      <w:r>
        <w:rPr>
          <w:spacing w:val="-21"/>
          <w:sz w:val="24"/>
          <w:szCs w:val="24"/>
        </w:rPr>
        <w:t>01体系《进货检验和试验程序》执行。</w:t>
      </w:r>
    </w:p>
    <w:p w14:paraId="2EA5F472">
      <w:pPr>
        <w:pStyle w:val="2"/>
        <w:spacing w:before="2" w:line="306" w:lineRule="auto"/>
        <w:ind w:left="1475" w:right="1409" w:firstLine="418"/>
        <w:rPr>
          <w:sz w:val="24"/>
          <w:szCs w:val="24"/>
        </w:rPr>
      </w:pPr>
      <w:r>
        <w:rPr>
          <w:spacing w:val="-20"/>
          <w:sz w:val="24"/>
          <w:szCs w:val="24"/>
        </w:rPr>
        <w:t>物资到达时，物资管理人员核对发货凭证与订货合同、采购计划对照，通知中心料库管库</w:t>
      </w:r>
      <w:r>
        <w:rPr>
          <w:spacing w:val="-22"/>
          <w:sz w:val="24"/>
          <w:szCs w:val="24"/>
        </w:rPr>
        <w:t>员准备收货。管库员准备检验场所和检验器具。</w:t>
      </w:r>
    </w:p>
    <w:p w14:paraId="450AAA26">
      <w:pPr>
        <w:pStyle w:val="2"/>
        <w:spacing w:before="3" w:line="307" w:lineRule="auto"/>
        <w:ind w:left="1469" w:right="1410" w:firstLine="422"/>
        <w:rPr>
          <w:sz w:val="24"/>
          <w:szCs w:val="24"/>
        </w:rPr>
      </w:pPr>
      <w:r>
        <w:rPr>
          <w:spacing w:val="-20"/>
          <w:sz w:val="24"/>
          <w:szCs w:val="24"/>
        </w:rPr>
        <w:t>验收时，管库员首先应确认说明书、合格证、装箱单及供货商的检验和试验资料，逐件清</w:t>
      </w:r>
      <w:r>
        <w:rPr>
          <w:spacing w:val="-22"/>
          <w:sz w:val="24"/>
          <w:szCs w:val="24"/>
        </w:rPr>
        <w:t>点，对计重的物资，检重时填写磅码单，带包装计重的物资，同时记录毛重、皮重和净重。</w:t>
      </w:r>
    </w:p>
    <w:p w14:paraId="59298E7A">
      <w:pPr>
        <w:pStyle w:val="2"/>
        <w:spacing w:line="308" w:lineRule="auto"/>
        <w:ind w:left="1456" w:right="1449" w:firstLine="438"/>
        <w:rPr>
          <w:sz w:val="24"/>
          <w:szCs w:val="24"/>
        </w:rPr>
      </w:pPr>
      <w:r>
        <w:rPr>
          <w:spacing w:val="-21"/>
          <w:sz w:val="24"/>
          <w:szCs w:val="24"/>
        </w:rPr>
        <w:t>检查物资有无破损、缺陷、受潮、锈蚀、创伤、几何尺寸规格型号是否符合规定，标志、铭牌是否和发票、合格证、采购合同相符。</w:t>
      </w:r>
    </w:p>
    <w:p w14:paraId="7DB45A6A">
      <w:pPr>
        <w:pStyle w:val="2"/>
        <w:spacing w:before="1" w:line="215" w:lineRule="auto"/>
        <w:ind w:left="1922"/>
        <w:rPr>
          <w:sz w:val="24"/>
          <w:szCs w:val="24"/>
        </w:rPr>
      </w:pPr>
      <w:r>
        <w:rPr>
          <w:spacing w:val="-22"/>
          <w:sz w:val="24"/>
          <w:szCs w:val="24"/>
        </w:rPr>
        <w:t>内在质量检查联系合格检测单位进行。填写开箱记录和物资验收记</w:t>
      </w:r>
      <w:r>
        <w:rPr>
          <w:spacing w:val="-23"/>
          <w:sz w:val="24"/>
          <w:szCs w:val="24"/>
        </w:rPr>
        <w:t>录。</w:t>
      </w:r>
    </w:p>
    <w:p w14:paraId="5E6C1D1F">
      <w:pPr>
        <w:pStyle w:val="2"/>
        <w:spacing w:before="120" w:line="308" w:lineRule="auto"/>
        <w:ind w:left="1894" w:right="1533"/>
        <w:rPr>
          <w:sz w:val="24"/>
          <w:szCs w:val="24"/>
        </w:rPr>
      </w:pPr>
      <w:r>
        <w:rPr>
          <w:spacing w:val="-23"/>
          <w:sz w:val="24"/>
          <w:szCs w:val="24"/>
        </w:rPr>
        <w:t>使用前需要进行复验和试验的物资，由材料员或管库员协助技术部门或试验室共同进行。</w:t>
      </w:r>
      <w:r>
        <w:rPr>
          <w:spacing w:val="-21"/>
          <w:sz w:val="24"/>
          <w:szCs w:val="24"/>
        </w:rPr>
        <w:t>检验和试验中发现问题时，责成供货商进行修理、更换</w:t>
      </w:r>
      <w:r>
        <w:rPr>
          <w:spacing w:val="-22"/>
          <w:sz w:val="24"/>
          <w:szCs w:val="24"/>
        </w:rPr>
        <w:t>或退货。</w:t>
      </w:r>
    </w:p>
    <w:p w14:paraId="38A1AB6B">
      <w:pPr>
        <w:pStyle w:val="2"/>
        <w:spacing w:before="2" w:line="298" w:lineRule="auto"/>
        <w:ind w:left="1456" w:right="1336" w:firstLine="461"/>
        <w:jc w:val="both"/>
        <w:rPr>
          <w:sz w:val="24"/>
          <w:szCs w:val="24"/>
        </w:rPr>
      </w:pPr>
      <w:r>
        <w:rPr>
          <w:spacing w:val="-20"/>
          <w:sz w:val="24"/>
          <w:szCs w:val="24"/>
        </w:rPr>
        <w:t>因生产急需，未经检验的物资，可采取紧急放行措施。先由作业队填写《</w:t>
      </w:r>
      <w:r>
        <w:rPr>
          <w:spacing w:val="-21"/>
          <w:sz w:val="24"/>
          <w:szCs w:val="24"/>
        </w:rPr>
        <w:t>紧急放行物资请</w:t>
      </w:r>
      <w:r>
        <w:rPr>
          <w:spacing w:val="-25"/>
          <w:sz w:val="24"/>
          <w:szCs w:val="24"/>
        </w:rPr>
        <w:t>领单》，并由工程技术部专业工程师确认、审核，项目负</w:t>
      </w:r>
      <w:r>
        <w:rPr>
          <w:spacing w:val="-26"/>
          <w:sz w:val="24"/>
          <w:szCs w:val="24"/>
        </w:rPr>
        <w:t>责人批准后方可放行，同时做好记录。</w:t>
      </w:r>
      <w:r>
        <w:rPr>
          <w:spacing w:val="-22"/>
          <w:sz w:val="24"/>
          <w:szCs w:val="24"/>
        </w:rPr>
        <w:t>紧急放行物资仅仅限于经检验不合格可以追回的物资。</w:t>
      </w:r>
    </w:p>
    <w:p w14:paraId="461D2895">
      <w:pPr>
        <w:pStyle w:val="2"/>
        <w:spacing w:before="1" w:line="217" w:lineRule="auto"/>
        <w:ind w:left="1979"/>
        <w:outlineLvl w:val="2"/>
        <w:rPr>
          <w:sz w:val="28"/>
          <w:szCs w:val="28"/>
        </w:rPr>
      </w:pPr>
      <w:bookmarkStart w:id="201" w:name="bookmark193"/>
      <w:bookmarkEnd w:id="201"/>
      <w:r>
        <w:rPr>
          <w:b/>
          <w:bCs/>
          <w:spacing w:val="-22"/>
          <w:sz w:val="28"/>
          <w:szCs w:val="28"/>
        </w:rPr>
        <w:t>六、物资仓储和发放</w:t>
      </w:r>
    </w:p>
    <w:p w14:paraId="1C366EE4">
      <w:pPr>
        <w:pStyle w:val="2"/>
        <w:spacing w:before="104" w:line="215" w:lineRule="auto"/>
        <w:ind w:left="1893"/>
        <w:rPr>
          <w:sz w:val="24"/>
          <w:szCs w:val="24"/>
        </w:rPr>
      </w:pPr>
      <w:r>
        <w:rPr>
          <w:spacing w:val="-18"/>
          <w:sz w:val="24"/>
          <w:szCs w:val="24"/>
        </w:rPr>
        <w:t>（1）物资的储存</w:t>
      </w:r>
    </w:p>
    <w:p w14:paraId="4BA112BB">
      <w:pPr>
        <w:pStyle w:val="2"/>
        <w:spacing w:before="119" w:line="308" w:lineRule="auto"/>
        <w:ind w:left="1456" w:right="1351" w:firstLine="437"/>
        <w:rPr>
          <w:sz w:val="24"/>
          <w:szCs w:val="24"/>
        </w:rPr>
      </w:pPr>
      <w:r>
        <w:rPr>
          <w:spacing w:val="-20"/>
          <w:sz w:val="24"/>
          <w:szCs w:val="24"/>
        </w:rPr>
        <w:t>物资搬运和贮存按照ISO9001体系文件《搬运和贮存程序》执行。使用合理的贮存方法，经济合理地控制物资在贮存时间内质量不受影响，数量不受损失。合理布置材料堆放场地，设</w:t>
      </w:r>
      <w:r>
        <w:rPr>
          <w:spacing w:val="-23"/>
          <w:sz w:val="24"/>
          <w:szCs w:val="24"/>
        </w:rPr>
        <w:t>置贮存仓库，库房内存放的物资按名称、规格、</w:t>
      </w:r>
      <w:r>
        <w:rPr>
          <w:spacing w:val="-24"/>
          <w:sz w:val="24"/>
          <w:szCs w:val="24"/>
        </w:rPr>
        <w:t>型号，分库、分区、分类存放，做到四号定位，</w:t>
      </w:r>
      <w:r>
        <w:rPr>
          <w:spacing w:val="-20"/>
          <w:sz w:val="24"/>
          <w:szCs w:val="24"/>
        </w:rPr>
        <w:t>五化堆码。料棚、料场存放的物资分区、分类存放，按各类物资的保管要求进行堆码，做到整</w:t>
      </w:r>
      <w:r>
        <w:rPr>
          <w:spacing w:val="-23"/>
          <w:sz w:val="24"/>
          <w:szCs w:val="24"/>
        </w:rPr>
        <w:t>齐、牢固、过目成数，并留有作业通道；贮存中</w:t>
      </w:r>
      <w:r>
        <w:rPr>
          <w:spacing w:val="-24"/>
          <w:sz w:val="24"/>
          <w:szCs w:val="24"/>
        </w:rPr>
        <w:t>，保持和维护物资原标识和有关状态标记不变，</w:t>
      </w:r>
      <w:r>
        <w:rPr>
          <w:spacing w:val="-20"/>
          <w:sz w:val="24"/>
          <w:szCs w:val="24"/>
        </w:rPr>
        <w:t>如有丢失设法及时补齐。</w:t>
      </w:r>
    </w:p>
    <w:p w14:paraId="13932FC0">
      <w:pPr>
        <w:pStyle w:val="2"/>
        <w:spacing w:before="1" w:line="216" w:lineRule="auto"/>
        <w:ind w:left="1893"/>
        <w:rPr>
          <w:sz w:val="24"/>
          <w:szCs w:val="24"/>
        </w:rPr>
      </w:pPr>
      <w:r>
        <w:rPr>
          <w:spacing w:val="-18"/>
          <w:sz w:val="24"/>
          <w:szCs w:val="24"/>
        </w:rPr>
        <w:t>（2）物资的标识</w:t>
      </w:r>
    </w:p>
    <w:p w14:paraId="0D848F08">
      <w:pPr>
        <w:pStyle w:val="2"/>
        <w:spacing w:before="121" w:line="307" w:lineRule="auto"/>
        <w:ind w:left="1456" w:right="1342" w:firstLine="437"/>
        <w:rPr>
          <w:sz w:val="24"/>
          <w:szCs w:val="24"/>
        </w:rPr>
      </w:pPr>
      <w:r>
        <w:rPr>
          <w:spacing w:val="-20"/>
          <w:sz w:val="24"/>
          <w:szCs w:val="24"/>
        </w:rPr>
        <w:t>物资标识和可追溯按照本投标人ISO9001体系文件《物资标识和可追溯性</w:t>
      </w:r>
      <w:r>
        <w:rPr>
          <w:spacing w:val="-21"/>
          <w:sz w:val="24"/>
          <w:szCs w:val="24"/>
        </w:rPr>
        <w:t>程序》执行。物</w:t>
      </w:r>
      <w:r>
        <w:rPr>
          <w:spacing w:val="-23"/>
          <w:sz w:val="24"/>
          <w:szCs w:val="24"/>
        </w:rPr>
        <w:t>资、设备进行适当的标识，防止混淆、误用。需要时能对购进的物资</w:t>
      </w:r>
      <w:r>
        <w:rPr>
          <w:spacing w:val="-24"/>
          <w:sz w:val="24"/>
          <w:szCs w:val="24"/>
        </w:rPr>
        <w:t>实现追溯。用记录、铭牌、</w:t>
      </w:r>
      <w:r>
        <w:rPr>
          <w:spacing w:val="-20"/>
          <w:sz w:val="24"/>
          <w:szCs w:val="24"/>
        </w:rPr>
        <w:t>印号、产品合格证、材质证明单、使用说明书等方式实现。其中物资的铭牌、印号为不可离标识，其它为可离标识。同品种、同规格型号、同材质、同批次的物资按规定实行同存放、同标</w:t>
      </w:r>
      <w:r>
        <w:rPr>
          <w:spacing w:val="-19"/>
          <w:sz w:val="24"/>
          <w:szCs w:val="24"/>
        </w:rPr>
        <w:t>识。不同类、不同批次、不同供货商的物资按不同的标识，分类存</w:t>
      </w:r>
      <w:r>
        <w:rPr>
          <w:spacing w:val="-20"/>
          <w:sz w:val="24"/>
          <w:szCs w:val="24"/>
        </w:rPr>
        <w:t>放。物资、设备在出库时，</w:t>
      </w:r>
    </w:p>
    <w:p w14:paraId="52760946">
      <w:pPr>
        <w:spacing w:line="307" w:lineRule="auto"/>
        <w:rPr>
          <w:sz w:val="24"/>
          <w:szCs w:val="24"/>
        </w:rPr>
        <w:sectPr>
          <w:footerReference r:id="rId277" w:type="default"/>
          <w:pgSz w:w="11907" w:h="16839"/>
          <w:pgMar w:top="933" w:right="4" w:bottom="1038" w:left="0" w:header="478" w:footer="357" w:gutter="0"/>
          <w:pgBorders>
            <w:top w:val="none" w:sz="0" w:space="0"/>
            <w:left w:val="none" w:sz="0" w:space="0"/>
            <w:bottom w:val="none" w:sz="0" w:space="0"/>
            <w:right w:val="none" w:sz="0" w:space="0"/>
          </w:pgBorders>
          <w:cols w:space="720" w:num="1"/>
        </w:sectPr>
      </w:pPr>
    </w:p>
    <w:p w14:paraId="7FB6091F">
      <w:pPr>
        <w:spacing w:line="269" w:lineRule="auto"/>
        <w:rPr>
          <w:rFonts w:ascii="Arial"/>
          <w:sz w:val="21"/>
        </w:rPr>
      </w:pPr>
    </w:p>
    <w:p w14:paraId="73A9134F">
      <w:pPr>
        <w:pStyle w:val="2"/>
        <w:spacing w:before="78" w:line="308" w:lineRule="auto"/>
        <w:ind w:left="1457" w:right="1414"/>
        <w:jc w:val="both"/>
        <w:rPr>
          <w:sz w:val="24"/>
          <w:szCs w:val="24"/>
        </w:rPr>
      </w:pPr>
      <w:r>
        <w:rPr>
          <w:spacing w:val="-20"/>
          <w:sz w:val="24"/>
          <w:szCs w:val="24"/>
        </w:rPr>
        <w:t>本身携带的标识如铭牌、印号、使用说明书随物资发出，发出后其标识由使用的作业队负责管理，其它标识由管库员保管，待工程竣工后作为竣工资料的一部分移交业主。如果业主对此有其它规定和要求，按业主的规定和要求办理。通过标识和质量记录实现物资的可追溯性。在出库前需要追溯时，由物资管理工程师负责；物资投入安装使用后，需要追溯时由施工的有关人员提供物资出库时的记录及安装使用的分布和场所等标识，并报工程部，视情况作进一步的处</w:t>
      </w:r>
      <w:r>
        <w:rPr>
          <w:spacing w:val="-18"/>
          <w:sz w:val="24"/>
          <w:szCs w:val="24"/>
        </w:rPr>
        <w:t>理。</w:t>
      </w:r>
    </w:p>
    <w:p w14:paraId="27D0775A">
      <w:pPr>
        <w:pStyle w:val="2"/>
        <w:spacing w:line="216" w:lineRule="auto"/>
        <w:ind w:left="1893"/>
        <w:rPr>
          <w:sz w:val="24"/>
          <w:szCs w:val="24"/>
        </w:rPr>
      </w:pPr>
      <w:r>
        <w:rPr>
          <w:spacing w:val="-18"/>
          <w:sz w:val="24"/>
          <w:szCs w:val="24"/>
        </w:rPr>
        <w:t>（3）物资的发放</w:t>
      </w:r>
    </w:p>
    <w:p w14:paraId="14B6D241">
      <w:pPr>
        <w:pStyle w:val="2"/>
        <w:spacing w:before="117" w:line="298" w:lineRule="auto"/>
        <w:ind w:left="1456" w:right="1415" w:firstLine="437"/>
        <w:rPr>
          <w:sz w:val="24"/>
          <w:szCs w:val="24"/>
        </w:rPr>
      </w:pPr>
      <w:r>
        <w:rPr>
          <w:spacing w:val="-20"/>
          <w:sz w:val="24"/>
          <w:szCs w:val="24"/>
        </w:rPr>
        <w:t>本投标人将采用限额领料的方式进行物资发放，根据工程净用量对工班组进行物资发放，尽量减少物资消耗，定期进行领料记录查验，对施工班组进行奖惩。限额领料是降低工程造价的重要措施，是物资管理的重要组成部分，是班组经济核算的主要内容，施工班组、技术、财</w:t>
      </w:r>
      <w:r>
        <w:rPr>
          <w:spacing w:val="-21"/>
          <w:sz w:val="24"/>
          <w:szCs w:val="24"/>
        </w:rPr>
        <w:t>务、安质、物资等人员密切配合，保证限额领料的贯彻执</w:t>
      </w:r>
      <w:r>
        <w:rPr>
          <w:spacing w:val="-22"/>
          <w:sz w:val="24"/>
          <w:szCs w:val="24"/>
        </w:rPr>
        <w:t>行。</w:t>
      </w:r>
    </w:p>
    <w:p w14:paraId="1DB093B5">
      <w:pPr>
        <w:pStyle w:val="2"/>
        <w:spacing w:before="1" w:line="215" w:lineRule="auto"/>
        <w:ind w:left="4310"/>
        <w:outlineLvl w:val="1"/>
        <w:rPr>
          <w:sz w:val="30"/>
          <w:szCs w:val="30"/>
        </w:rPr>
      </w:pPr>
      <w:bookmarkStart w:id="202" w:name="bookmark194"/>
      <w:bookmarkEnd w:id="202"/>
      <w:r>
        <w:rPr>
          <w:b/>
          <w:bCs/>
          <w:color w:val="0070C0"/>
          <w:spacing w:val="-24"/>
          <w:sz w:val="30"/>
          <w:szCs w:val="30"/>
        </w:rPr>
        <w:t>第二节、材料采购环保措施</w:t>
      </w:r>
    </w:p>
    <w:p w14:paraId="23546730">
      <w:pPr>
        <w:pStyle w:val="2"/>
        <w:spacing w:before="65" w:line="219" w:lineRule="auto"/>
        <w:ind w:left="1981"/>
        <w:outlineLvl w:val="2"/>
        <w:rPr>
          <w:sz w:val="28"/>
          <w:szCs w:val="28"/>
        </w:rPr>
      </w:pPr>
      <w:bookmarkStart w:id="203" w:name="bookmark195"/>
      <w:bookmarkEnd w:id="203"/>
      <w:r>
        <w:rPr>
          <w:b/>
          <w:bCs/>
          <w:spacing w:val="-21"/>
          <w:sz w:val="28"/>
          <w:szCs w:val="28"/>
        </w:rPr>
        <w:t>一、材使用原则</w:t>
      </w:r>
    </w:p>
    <w:p w14:paraId="5AD056D4">
      <w:pPr>
        <w:pStyle w:val="2"/>
        <w:spacing w:before="104" w:line="307" w:lineRule="auto"/>
        <w:ind w:left="1459" w:right="1459" w:firstLine="435"/>
        <w:rPr>
          <w:sz w:val="24"/>
          <w:szCs w:val="24"/>
        </w:rPr>
      </w:pPr>
      <w:r>
        <w:rPr>
          <w:spacing w:val="-21"/>
          <w:sz w:val="24"/>
          <w:szCs w:val="24"/>
        </w:rPr>
        <w:t>采购前，必须按设计及施工规范的要求与业主、监理单位进行看样、比选、定质、定价，并经业主书面确认后方可购买。</w:t>
      </w:r>
    </w:p>
    <w:p w14:paraId="1A987912">
      <w:pPr>
        <w:pStyle w:val="2"/>
        <w:spacing w:before="3" w:line="307" w:lineRule="auto"/>
        <w:ind w:left="1458" w:right="1409" w:firstLine="436"/>
        <w:rPr>
          <w:sz w:val="24"/>
          <w:szCs w:val="24"/>
        </w:rPr>
      </w:pPr>
      <w:r>
        <w:rPr>
          <w:spacing w:val="-20"/>
          <w:sz w:val="24"/>
          <w:szCs w:val="24"/>
        </w:rPr>
        <w:t>对所购的材料和设备等必须保证质量，符合设计及规范要求的质量及环保标准，并向业主</w:t>
      </w:r>
      <w:r>
        <w:rPr>
          <w:spacing w:val="-21"/>
          <w:sz w:val="24"/>
          <w:szCs w:val="24"/>
        </w:rPr>
        <w:t>提供材料的样品和有效的质量证明书和国家有关部门的</w:t>
      </w:r>
      <w:r>
        <w:rPr>
          <w:spacing w:val="-22"/>
          <w:sz w:val="24"/>
          <w:szCs w:val="24"/>
        </w:rPr>
        <w:t>检测报告。</w:t>
      </w:r>
    </w:p>
    <w:p w14:paraId="07FB260E">
      <w:pPr>
        <w:pStyle w:val="2"/>
        <w:spacing w:before="1" w:line="215" w:lineRule="auto"/>
        <w:ind w:left="1892"/>
        <w:rPr>
          <w:sz w:val="24"/>
          <w:szCs w:val="24"/>
        </w:rPr>
      </w:pPr>
      <w:r>
        <w:rPr>
          <w:spacing w:val="-21"/>
          <w:sz w:val="24"/>
          <w:szCs w:val="24"/>
        </w:rPr>
        <w:t>材料采购前，必须进行自检，检验合格才能采购。</w:t>
      </w:r>
    </w:p>
    <w:p w14:paraId="19669B3D">
      <w:pPr>
        <w:pStyle w:val="2"/>
        <w:spacing w:before="119" w:line="308" w:lineRule="auto"/>
        <w:ind w:left="1462" w:right="1460" w:firstLine="439"/>
        <w:rPr>
          <w:sz w:val="24"/>
          <w:szCs w:val="24"/>
        </w:rPr>
      </w:pPr>
      <w:r>
        <w:rPr>
          <w:spacing w:val="-21"/>
          <w:sz w:val="24"/>
          <w:szCs w:val="24"/>
        </w:rPr>
        <w:t>为保证工程质量，所有的材料必须按照国家规范和标准进行验收，合格后方能投入</w:t>
      </w:r>
      <w:r>
        <w:rPr>
          <w:spacing w:val="-22"/>
          <w:sz w:val="24"/>
          <w:szCs w:val="24"/>
        </w:rPr>
        <w:t>生产，不合格产品坚决不能使用。</w:t>
      </w:r>
    </w:p>
    <w:p w14:paraId="545D9460">
      <w:pPr>
        <w:pStyle w:val="2"/>
        <w:spacing w:line="308" w:lineRule="auto"/>
        <w:ind w:left="1456" w:right="1409" w:firstLine="436"/>
        <w:rPr>
          <w:sz w:val="24"/>
          <w:szCs w:val="24"/>
        </w:rPr>
      </w:pPr>
      <w:r>
        <w:rPr>
          <w:spacing w:val="-20"/>
          <w:sz w:val="24"/>
          <w:szCs w:val="24"/>
        </w:rPr>
        <w:t>建立由项目经理牵头，材料员为主的材料采供组，材料采购、管理制度，按计划采购、供</w:t>
      </w:r>
      <w:r>
        <w:rPr>
          <w:spacing w:val="-15"/>
          <w:sz w:val="24"/>
          <w:szCs w:val="24"/>
        </w:rPr>
        <w:t>应材料。</w:t>
      </w:r>
    </w:p>
    <w:p w14:paraId="37AABE5C">
      <w:pPr>
        <w:pStyle w:val="2"/>
        <w:spacing w:before="2" w:line="306" w:lineRule="auto"/>
        <w:ind w:left="1459" w:right="1410" w:firstLine="433"/>
        <w:rPr>
          <w:sz w:val="24"/>
          <w:szCs w:val="24"/>
        </w:rPr>
      </w:pPr>
      <w:r>
        <w:rPr>
          <w:spacing w:val="-20"/>
          <w:sz w:val="24"/>
          <w:szCs w:val="24"/>
        </w:rPr>
        <w:t>贯彻执行质量保证体系，建立严格的质量采购控制程序。建立合格材料供应商花名册，经</w:t>
      </w:r>
      <w:r>
        <w:rPr>
          <w:spacing w:val="-21"/>
          <w:sz w:val="24"/>
          <w:szCs w:val="24"/>
        </w:rPr>
        <w:t>过层层筛选获得质量优良、价格合理的材料。</w:t>
      </w:r>
    </w:p>
    <w:p w14:paraId="6F965859">
      <w:pPr>
        <w:pStyle w:val="2"/>
        <w:spacing w:before="3" w:line="301" w:lineRule="auto"/>
        <w:ind w:left="1456" w:right="1410" w:firstLine="436"/>
        <w:jc w:val="both"/>
        <w:rPr>
          <w:sz w:val="24"/>
          <w:szCs w:val="24"/>
        </w:rPr>
      </w:pPr>
      <w:r>
        <w:rPr>
          <w:spacing w:val="-20"/>
          <w:sz w:val="24"/>
          <w:szCs w:val="24"/>
        </w:rPr>
        <w:t>建立材料的追溯性管理制度，建立材料台帐，对各种材料进行分类及登记。进场的材料应按材料的名称、规格、数量、批号、做好标识，使工程材料、半成品不能混用，确保需要时可实现可追溯性，当发生质量问题时可查清产品的来源，分析不合格原因，采取纠正措施，项目部材料员的追溯性管理。</w:t>
      </w:r>
    </w:p>
    <w:p w14:paraId="7BDF0AEE">
      <w:pPr>
        <w:pStyle w:val="2"/>
        <w:spacing w:before="1" w:line="216" w:lineRule="auto"/>
        <w:ind w:left="1986"/>
        <w:outlineLvl w:val="2"/>
        <w:rPr>
          <w:sz w:val="28"/>
          <w:szCs w:val="28"/>
        </w:rPr>
      </w:pPr>
      <w:bookmarkStart w:id="204" w:name="bookmark196"/>
      <w:bookmarkEnd w:id="204"/>
      <w:r>
        <w:rPr>
          <w:b/>
          <w:bCs/>
          <w:spacing w:val="-23"/>
          <w:sz w:val="28"/>
          <w:szCs w:val="28"/>
        </w:rPr>
        <w:t>二、实行材料及半成品检验制度</w:t>
      </w:r>
    </w:p>
    <w:p w14:paraId="09E46FC1">
      <w:pPr>
        <w:pStyle w:val="2"/>
        <w:spacing w:before="104" w:line="308" w:lineRule="auto"/>
        <w:ind w:left="1457" w:right="1409" w:firstLine="435"/>
        <w:jc w:val="both"/>
        <w:rPr>
          <w:sz w:val="24"/>
          <w:szCs w:val="24"/>
        </w:rPr>
      </w:pPr>
      <w:r>
        <w:rPr>
          <w:spacing w:val="-20"/>
          <w:sz w:val="24"/>
          <w:szCs w:val="24"/>
        </w:rPr>
        <w:t>材料物资的管理是企业进行经济核算的重要基础工作，加强材料的质量、数量的检验和控制是延长建筑产品的使用寿命和降低成本的重要关键。为此企业根据材料物资的管理工作量配备专职仓库保管员，加强材料及半成品现场管理，严格把好材料质量、数量验收关，制定如下</w:t>
      </w:r>
      <w:r>
        <w:rPr>
          <w:spacing w:val="-26"/>
          <w:sz w:val="24"/>
          <w:szCs w:val="24"/>
        </w:rPr>
        <w:t>制度：</w:t>
      </w:r>
    </w:p>
    <w:p w14:paraId="43D0B86E">
      <w:pPr>
        <w:pStyle w:val="2"/>
        <w:spacing w:before="2" w:line="261" w:lineRule="auto"/>
        <w:ind w:left="1464" w:right="1412" w:firstLine="438"/>
        <w:rPr>
          <w:sz w:val="24"/>
          <w:szCs w:val="24"/>
        </w:rPr>
      </w:pPr>
      <w:r>
        <w:rPr>
          <w:spacing w:val="-22"/>
          <w:sz w:val="24"/>
          <w:szCs w:val="24"/>
        </w:rPr>
        <w:t>1）从仓库开始，做好材料保管工作，材料的运输、堆</w:t>
      </w:r>
      <w:r>
        <w:rPr>
          <w:spacing w:val="-23"/>
          <w:sz w:val="24"/>
          <w:szCs w:val="24"/>
        </w:rPr>
        <w:t>放都要分类定点，位置有序合理，避</w:t>
      </w:r>
      <w:r>
        <w:rPr>
          <w:spacing w:val="-21"/>
          <w:sz w:val="24"/>
          <w:szCs w:val="24"/>
        </w:rPr>
        <w:t>免在施工前就造成损伤。</w:t>
      </w:r>
    </w:p>
    <w:p w14:paraId="4A0DC39A">
      <w:pPr>
        <w:pStyle w:val="2"/>
        <w:spacing w:before="119" w:line="216" w:lineRule="auto"/>
        <w:ind w:left="1888"/>
        <w:rPr>
          <w:sz w:val="24"/>
          <w:szCs w:val="24"/>
        </w:rPr>
      </w:pPr>
      <w:r>
        <w:rPr>
          <w:spacing w:val="-21"/>
          <w:sz w:val="24"/>
          <w:szCs w:val="24"/>
        </w:rPr>
        <w:t>2）严格控制来料的规格、材质、使其符合使用要求，一</w:t>
      </w:r>
      <w:r>
        <w:rPr>
          <w:spacing w:val="-22"/>
          <w:sz w:val="24"/>
          <w:szCs w:val="24"/>
        </w:rPr>
        <w:t>般材料可由材料员从外形判断，需</w:t>
      </w:r>
    </w:p>
    <w:p w14:paraId="10091F7E">
      <w:pPr>
        <w:spacing w:line="216" w:lineRule="auto"/>
        <w:rPr>
          <w:sz w:val="24"/>
          <w:szCs w:val="24"/>
        </w:rPr>
        <w:sectPr>
          <w:footerReference r:id="rId278" w:type="default"/>
          <w:pgSz w:w="11907" w:h="16839"/>
          <w:pgMar w:top="933" w:right="4" w:bottom="1038" w:left="0" w:header="478" w:footer="357" w:gutter="0"/>
          <w:pgBorders>
            <w:top w:val="none" w:sz="0" w:space="0"/>
            <w:left w:val="none" w:sz="0" w:space="0"/>
            <w:bottom w:val="none" w:sz="0" w:space="0"/>
            <w:right w:val="none" w:sz="0" w:space="0"/>
          </w:pgBorders>
          <w:cols w:space="720" w:num="1"/>
        </w:sectPr>
      </w:pPr>
    </w:p>
    <w:p w14:paraId="75C0020C">
      <w:pPr>
        <w:spacing w:line="271" w:lineRule="auto"/>
        <w:rPr>
          <w:rFonts w:ascii="Arial"/>
          <w:sz w:val="21"/>
        </w:rPr>
      </w:pPr>
    </w:p>
    <w:p w14:paraId="7FE94E33">
      <w:pPr>
        <w:pStyle w:val="2"/>
        <w:spacing w:before="78" w:line="216" w:lineRule="auto"/>
        <w:ind w:left="1461"/>
        <w:rPr>
          <w:sz w:val="24"/>
          <w:szCs w:val="24"/>
        </w:rPr>
      </w:pPr>
      <w:r>
        <w:rPr>
          <w:spacing w:val="-21"/>
          <w:sz w:val="24"/>
          <w:szCs w:val="24"/>
        </w:rPr>
        <w:t>要进行技术检验或进行物理化学试验的应向项目部</w:t>
      </w:r>
      <w:r>
        <w:rPr>
          <w:spacing w:val="-22"/>
          <w:sz w:val="24"/>
          <w:szCs w:val="24"/>
        </w:rPr>
        <w:t>汇报，由技术检验部门抽验。</w:t>
      </w:r>
    </w:p>
    <w:p w14:paraId="483FBF13">
      <w:pPr>
        <w:pStyle w:val="2"/>
        <w:spacing w:before="120" w:line="261" w:lineRule="auto"/>
        <w:ind w:left="1456" w:right="1413" w:firstLine="434"/>
        <w:rPr>
          <w:sz w:val="24"/>
          <w:szCs w:val="24"/>
        </w:rPr>
      </w:pPr>
      <w:r>
        <w:rPr>
          <w:spacing w:val="-22"/>
          <w:sz w:val="24"/>
          <w:szCs w:val="24"/>
        </w:rPr>
        <w:t>3）对主材及半成品重要材料进场，必须同时附有材料供应单位提供的质量保证合</w:t>
      </w:r>
      <w:r>
        <w:rPr>
          <w:spacing w:val="-23"/>
          <w:sz w:val="24"/>
          <w:szCs w:val="24"/>
        </w:rPr>
        <w:t>格检验单</w:t>
      </w:r>
      <w:r>
        <w:rPr>
          <w:spacing w:val="-21"/>
          <w:sz w:val="24"/>
          <w:szCs w:val="24"/>
        </w:rPr>
        <w:t>和复试单，才能在工程中使用，无质保单的材料和半成品不</w:t>
      </w:r>
      <w:r>
        <w:rPr>
          <w:spacing w:val="-22"/>
          <w:sz w:val="24"/>
          <w:szCs w:val="24"/>
        </w:rPr>
        <w:t>得在工程中使用。</w:t>
      </w:r>
    </w:p>
    <w:p w14:paraId="69B20845">
      <w:pPr>
        <w:pStyle w:val="2"/>
        <w:spacing w:before="120" w:line="216" w:lineRule="auto"/>
        <w:ind w:left="1884"/>
        <w:rPr>
          <w:sz w:val="24"/>
          <w:szCs w:val="24"/>
        </w:rPr>
      </w:pPr>
      <w:r>
        <w:rPr>
          <w:spacing w:val="-21"/>
          <w:sz w:val="24"/>
          <w:szCs w:val="24"/>
        </w:rPr>
        <w:t>4）严格限额领料，收发料具要及时入帐，手续齐全。</w:t>
      </w:r>
    </w:p>
    <w:p w14:paraId="0740FA5E">
      <w:pPr>
        <w:pStyle w:val="2"/>
        <w:spacing w:before="120" w:line="261" w:lineRule="auto"/>
        <w:ind w:left="1479" w:right="1411" w:firstLine="410"/>
        <w:rPr>
          <w:sz w:val="24"/>
          <w:szCs w:val="24"/>
        </w:rPr>
      </w:pPr>
      <w:r>
        <w:rPr>
          <w:spacing w:val="-22"/>
          <w:sz w:val="24"/>
          <w:szCs w:val="24"/>
        </w:rPr>
        <w:t>5）坚持中间核算，也就是在施工过程中分阶段进行材料使用的分检和核算，以便及时</w:t>
      </w:r>
      <w:r>
        <w:rPr>
          <w:spacing w:val="-23"/>
          <w:sz w:val="24"/>
          <w:szCs w:val="24"/>
        </w:rPr>
        <w:t>发现</w:t>
      </w:r>
      <w:r>
        <w:rPr>
          <w:spacing w:val="-22"/>
          <w:sz w:val="24"/>
          <w:szCs w:val="24"/>
        </w:rPr>
        <w:t>问题，防止材料超用。</w:t>
      </w:r>
    </w:p>
    <w:p w14:paraId="3B3963EB">
      <w:pPr>
        <w:pStyle w:val="2"/>
        <w:spacing w:before="118" w:line="278" w:lineRule="auto"/>
        <w:ind w:left="1458" w:right="1440" w:firstLine="429"/>
        <w:rPr>
          <w:sz w:val="24"/>
          <w:szCs w:val="24"/>
        </w:rPr>
      </w:pPr>
      <w:r>
        <w:rPr>
          <w:spacing w:val="-23"/>
          <w:sz w:val="24"/>
          <w:szCs w:val="24"/>
        </w:rPr>
        <w:t>6）及时进行现场清理，做到随做随清。每天清理现场、回收、整理余料、做到工完场清，</w:t>
      </w:r>
      <w:r>
        <w:rPr>
          <w:spacing w:val="-20"/>
          <w:sz w:val="24"/>
          <w:szCs w:val="24"/>
        </w:rPr>
        <w:t>在进行工料消耗与分析的基础上，按单位工程核算材</w:t>
      </w:r>
      <w:r>
        <w:rPr>
          <w:spacing w:val="-21"/>
          <w:sz w:val="24"/>
          <w:szCs w:val="24"/>
        </w:rPr>
        <w:t>料消耗并分析原因总结经验，增收节约，</w:t>
      </w:r>
      <w:r>
        <w:rPr>
          <w:spacing w:val="-17"/>
          <w:sz w:val="24"/>
          <w:szCs w:val="24"/>
        </w:rPr>
        <w:t>降低造价。</w:t>
      </w:r>
    </w:p>
    <w:p w14:paraId="6695CA0F">
      <w:pPr>
        <w:pStyle w:val="2"/>
        <w:spacing w:before="118" w:line="215" w:lineRule="auto"/>
        <w:ind w:left="1891"/>
        <w:rPr>
          <w:sz w:val="24"/>
          <w:szCs w:val="24"/>
        </w:rPr>
      </w:pPr>
      <w:r>
        <w:rPr>
          <w:spacing w:val="-21"/>
          <w:sz w:val="24"/>
          <w:szCs w:val="24"/>
        </w:rPr>
        <w:t>7）加强验收，在一般情况下要全数检查，防止供应短缺现象。</w:t>
      </w:r>
    </w:p>
    <w:p w14:paraId="5EC8A75A">
      <w:pPr>
        <w:pStyle w:val="2"/>
        <w:spacing w:before="70" w:line="216" w:lineRule="auto"/>
        <w:ind w:left="3611"/>
        <w:outlineLvl w:val="1"/>
        <w:rPr>
          <w:sz w:val="30"/>
          <w:szCs w:val="30"/>
        </w:rPr>
      </w:pPr>
      <w:bookmarkStart w:id="205" w:name="bookmark197"/>
      <w:bookmarkEnd w:id="205"/>
      <w:r>
        <w:rPr>
          <w:b/>
          <w:bCs/>
          <w:color w:val="0070C0"/>
          <w:spacing w:val="-24"/>
          <w:sz w:val="30"/>
          <w:szCs w:val="30"/>
        </w:rPr>
        <w:t>第三节、主要材料性能和档次保证措施</w:t>
      </w:r>
    </w:p>
    <w:p w14:paraId="1402A537">
      <w:pPr>
        <w:pStyle w:val="2"/>
        <w:spacing w:before="97" w:line="285" w:lineRule="auto"/>
        <w:ind w:left="1458" w:right="1411" w:firstLine="445"/>
        <w:rPr>
          <w:sz w:val="24"/>
          <w:szCs w:val="24"/>
        </w:rPr>
      </w:pPr>
      <w:r>
        <w:rPr>
          <w:spacing w:val="-22"/>
          <w:sz w:val="24"/>
          <w:szCs w:val="24"/>
        </w:rPr>
        <w:t>1、掌握材料信息，优选供货厂家。在材料采购前，我公</w:t>
      </w:r>
      <w:r>
        <w:rPr>
          <w:spacing w:val="-23"/>
          <w:sz w:val="24"/>
          <w:szCs w:val="24"/>
        </w:rPr>
        <w:t>司将指派专人赶赴各材料供应厂家</w:t>
      </w:r>
      <w:r>
        <w:rPr>
          <w:spacing w:val="-20"/>
          <w:sz w:val="24"/>
          <w:szCs w:val="24"/>
        </w:rPr>
        <w:t>进行实地考察，比较各材料供应、加工厂家的材料品质、加工能力及供货能力，在业主提供的备选品牌中，对各供应商进行对比，选择最有优势、综合实力最强、供货能力最有保证的厂家</w:t>
      </w:r>
      <w:r>
        <w:rPr>
          <w:spacing w:val="-22"/>
          <w:sz w:val="24"/>
          <w:szCs w:val="24"/>
        </w:rPr>
        <w:t>作为本工程材料供应商，为日后的材料组织打好基础。</w:t>
      </w:r>
    </w:p>
    <w:p w14:paraId="78F7C429">
      <w:pPr>
        <w:pStyle w:val="2"/>
        <w:spacing w:before="120" w:line="216" w:lineRule="auto"/>
        <w:ind w:left="1888"/>
        <w:rPr>
          <w:sz w:val="24"/>
          <w:szCs w:val="24"/>
        </w:rPr>
      </w:pPr>
      <w:r>
        <w:rPr>
          <w:spacing w:val="-20"/>
          <w:sz w:val="24"/>
          <w:szCs w:val="24"/>
        </w:rPr>
        <w:t>2、严格参照设计标准进行材料采购。</w:t>
      </w:r>
    </w:p>
    <w:p w14:paraId="1CD06A24">
      <w:pPr>
        <w:pStyle w:val="2"/>
        <w:spacing w:before="120" w:line="278" w:lineRule="auto"/>
        <w:ind w:left="1455" w:right="1414" w:firstLine="434"/>
        <w:rPr>
          <w:sz w:val="24"/>
          <w:szCs w:val="24"/>
        </w:rPr>
      </w:pPr>
      <w:r>
        <w:rPr>
          <w:spacing w:val="-22"/>
          <w:sz w:val="24"/>
          <w:szCs w:val="24"/>
        </w:rPr>
        <w:t>3、本工程所需的材料和设备设施，采购前必须按设计及施工规范要求与业主、</w:t>
      </w:r>
      <w:r>
        <w:rPr>
          <w:spacing w:val="-23"/>
          <w:sz w:val="24"/>
          <w:szCs w:val="24"/>
        </w:rPr>
        <w:t>监理单位、</w:t>
      </w:r>
      <w:r>
        <w:rPr>
          <w:spacing w:val="-20"/>
          <w:sz w:val="24"/>
          <w:szCs w:val="24"/>
        </w:rPr>
        <w:t>设计单位四方一道看样、比选、定质，并经业主书面审定、认可后方进行购买。积极协助业主对主材的选用、调研、把关。</w:t>
      </w:r>
    </w:p>
    <w:p w14:paraId="3035DEB6">
      <w:pPr>
        <w:pStyle w:val="2"/>
        <w:spacing w:before="116" w:line="277" w:lineRule="auto"/>
        <w:ind w:left="1458" w:right="1415" w:firstLine="426"/>
        <w:rPr>
          <w:sz w:val="24"/>
          <w:szCs w:val="24"/>
        </w:rPr>
      </w:pPr>
      <w:r>
        <w:rPr>
          <w:spacing w:val="-22"/>
          <w:sz w:val="24"/>
          <w:szCs w:val="24"/>
        </w:rPr>
        <w:t>4、对所购材料和设备设施，保证质量，符合设计和规范要求，符合国家规定的环保要求，</w:t>
      </w:r>
      <w:r>
        <w:rPr>
          <w:spacing w:val="-20"/>
          <w:sz w:val="24"/>
          <w:szCs w:val="24"/>
        </w:rPr>
        <w:t>并附有权威部门的环保检测报告，随时向业主提供材料样品及有效的质量证明书和必要的材料</w:t>
      </w:r>
      <w:r>
        <w:rPr>
          <w:spacing w:val="-21"/>
          <w:sz w:val="24"/>
          <w:szCs w:val="24"/>
        </w:rPr>
        <w:t>检验资料，监理有权进行预检和过程抽检。</w:t>
      </w:r>
    </w:p>
    <w:p w14:paraId="0420BD06">
      <w:pPr>
        <w:pStyle w:val="2"/>
        <w:spacing w:before="120" w:line="216" w:lineRule="auto"/>
        <w:ind w:left="1890"/>
        <w:rPr>
          <w:sz w:val="24"/>
          <w:szCs w:val="24"/>
        </w:rPr>
      </w:pPr>
      <w:r>
        <w:rPr>
          <w:spacing w:val="-21"/>
          <w:sz w:val="24"/>
          <w:szCs w:val="24"/>
        </w:rPr>
        <w:t>5、采购的材料和设备设施必须先行自检，再报验。检验不合格，不准使用。</w:t>
      </w:r>
    </w:p>
    <w:p w14:paraId="2563A26E">
      <w:pPr>
        <w:pStyle w:val="2"/>
        <w:spacing w:before="119" w:line="278" w:lineRule="auto"/>
        <w:ind w:left="1456" w:right="1354" w:firstLine="431"/>
        <w:rPr>
          <w:sz w:val="24"/>
          <w:szCs w:val="24"/>
        </w:rPr>
      </w:pPr>
      <w:r>
        <w:rPr>
          <w:spacing w:val="-26"/>
          <w:sz w:val="24"/>
          <w:szCs w:val="24"/>
        </w:rPr>
        <w:t>6、合理组织材料供应，确保施工正常进行。合理的、科学的组织材料的采购、加工、运输，</w:t>
      </w:r>
      <w:r>
        <w:rPr>
          <w:spacing w:val="-20"/>
          <w:sz w:val="24"/>
          <w:szCs w:val="24"/>
        </w:rPr>
        <w:t>建立严密的计划、调度体系，加快材料的周转，减少材料的占用量，按质、按量、按期的满足</w:t>
      </w:r>
      <w:r>
        <w:rPr>
          <w:spacing w:val="-17"/>
          <w:sz w:val="24"/>
          <w:szCs w:val="24"/>
        </w:rPr>
        <w:t>建设需要。</w:t>
      </w:r>
    </w:p>
    <w:p w14:paraId="06D76BAB">
      <w:pPr>
        <w:pStyle w:val="2"/>
        <w:spacing w:before="116" w:line="262" w:lineRule="auto"/>
        <w:ind w:left="1458" w:right="1411" w:firstLine="433"/>
        <w:rPr>
          <w:sz w:val="24"/>
          <w:szCs w:val="24"/>
        </w:rPr>
      </w:pPr>
      <w:r>
        <w:rPr>
          <w:spacing w:val="-22"/>
          <w:sz w:val="24"/>
          <w:szCs w:val="24"/>
        </w:rPr>
        <w:t>7、材料的质量控制原材料加工即开始实施质量控制，对材料的中间加工、运输途中、</w:t>
      </w:r>
      <w:r>
        <w:rPr>
          <w:spacing w:val="-23"/>
          <w:sz w:val="24"/>
          <w:szCs w:val="24"/>
        </w:rPr>
        <w:t>进场</w:t>
      </w:r>
      <w:r>
        <w:rPr>
          <w:spacing w:val="-22"/>
          <w:sz w:val="24"/>
          <w:szCs w:val="24"/>
        </w:rPr>
        <w:t>进行全程质量监控。</w:t>
      </w:r>
    </w:p>
    <w:p w14:paraId="24CA5735">
      <w:pPr>
        <w:pStyle w:val="2"/>
        <w:spacing w:before="120" w:line="216" w:lineRule="auto"/>
        <w:ind w:left="1886"/>
        <w:rPr>
          <w:sz w:val="24"/>
          <w:szCs w:val="24"/>
        </w:rPr>
      </w:pPr>
      <w:r>
        <w:rPr>
          <w:spacing w:val="-21"/>
          <w:sz w:val="24"/>
          <w:szCs w:val="24"/>
        </w:rPr>
        <w:t>8、合理组织材料使用，减少材料的损失。</w:t>
      </w:r>
    </w:p>
    <w:p w14:paraId="23DB9731">
      <w:pPr>
        <w:pStyle w:val="2"/>
        <w:spacing w:before="117" w:line="216" w:lineRule="auto"/>
        <w:ind w:left="1886"/>
        <w:rPr>
          <w:sz w:val="24"/>
          <w:szCs w:val="24"/>
        </w:rPr>
      </w:pPr>
      <w:r>
        <w:rPr>
          <w:spacing w:val="-21"/>
          <w:sz w:val="24"/>
          <w:szCs w:val="24"/>
        </w:rPr>
        <w:t>9、加强材料检查验收，严把材料质量关。</w:t>
      </w:r>
    </w:p>
    <w:p w14:paraId="1A95B4EA">
      <w:pPr>
        <w:pStyle w:val="2"/>
        <w:spacing w:before="120" w:line="216" w:lineRule="auto"/>
        <w:ind w:left="1893"/>
        <w:rPr>
          <w:sz w:val="24"/>
          <w:szCs w:val="24"/>
        </w:rPr>
      </w:pPr>
      <w:r>
        <w:rPr>
          <w:spacing w:val="-21"/>
          <w:sz w:val="24"/>
          <w:szCs w:val="24"/>
        </w:rPr>
        <w:t>（1）对于主要材料进场必须具备正式的出厂合格证的材质化验单。</w:t>
      </w:r>
    </w:p>
    <w:p w14:paraId="6685FFCF">
      <w:pPr>
        <w:pStyle w:val="2"/>
        <w:spacing w:before="120" w:line="217" w:lineRule="auto"/>
        <w:ind w:left="1893"/>
        <w:rPr>
          <w:sz w:val="24"/>
          <w:szCs w:val="24"/>
        </w:rPr>
      </w:pPr>
      <w:r>
        <w:rPr>
          <w:spacing w:val="-22"/>
          <w:sz w:val="24"/>
          <w:szCs w:val="24"/>
        </w:rPr>
        <w:t>（2）所有各种构件，必须具有厂家批号和出厂合格证。</w:t>
      </w:r>
    </w:p>
    <w:p w14:paraId="424F0772">
      <w:pPr>
        <w:pStyle w:val="2"/>
        <w:spacing w:before="117" w:line="215" w:lineRule="auto"/>
        <w:ind w:left="1893"/>
        <w:rPr>
          <w:sz w:val="24"/>
          <w:szCs w:val="24"/>
        </w:rPr>
      </w:pPr>
      <w:r>
        <w:rPr>
          <w:spacing w:val="-22"/>
          <w:sz w:val="24"/>
          <w:szCs w:val="24"/>
        </w:rPr>
        <w:t>（3）材料质量抽样和检验的方法，要能反映该批材料的质量性能。</w:t>
      </w:r>
    </w:p>
    <w:p w14:paraId="4EFBEB0D">
      <w:pPr>
        <w:pStyle w:val="2"/>
        <w:spacing w:before="121" w:line="216" w:lineRule="auto"/>
        <w:ind w:left="1893"/>
        <w:rPr>
          <w:sz w:val="24"/>
          <w:szCs w:val="24"/>
        </w:rPr>
      </w:pPr>
      <w:r>
        <w:rPr>
          <w:spacing w:val="-21"/>
          <w:sz w:val="24"/>
          <w:szCs w:val="24"/>
        </w:rPr>
        <w:t>（4）对于进口材料、设备应会同商检局、质检站等进行检验。</w:t>
      </w:r>
    </w:p>
    <w:p w14:paraId="7924A1C9">
      <w:pPr>
        <w:pStyle w:val="2"/>
        <w:spacing w:before="120" w:line="215" w:lineRule="auto"/>
        <w:ind w:left="1893"/>
        <w:rPr>
          <w:sz w:val="24"/>
          <w:szCs w:val="24"/>
        </w:rPr>
      </w:pPr>
      <w:r>
        <w:rPr>
          <w:spacing w:val="-22"/>
          <w:sz w:val="24"/>
          <w:szCs w:val="24"/>
        </w:rPr>
        <w:t>（5）对于主要材料都应在定货前要求厂家提供样品或看样定货。</w:t>
      </w:r>
    </w:p>
    <w:p w14:paraId="3A4A9EE7">
      <w:pPr>
        <w:pStyle w:val="2"/>
        <w:spacing w:before="119" w:line="216" w:lineRule="auto"/>
        <w:ind w:left="1893"/>
        <w:rPr>
          <w:sz w:val="24"/>
          <w:szCs w:val="24"/>
        </w:rPr>
      </w:pPr>
      <w:r>
        <w:rPr>
          <w:spacing w:val="-21"/>
          <w:sz w:val="24"/>
          <w:szCs w:val="24"/>
        </w:rPr>
        <w:t>（6）新材料或较少使用的材料，应该经过试用再决</w:t>
      </w:r>
      <w:r>
        <w:rPr>
          <w:spacing w:val="-22"/>
          <w:sz w:val="24"/>
          <w:szCs w:val="24"/>
        </w:rPr>
        <w:t>定采用。</w:t>
      </w:r>
    </w:p>
    <w:p w14:paraId="5C52CB4A">
      <w:pPr>
        <w:spacing w:line="216" w:lineRule="auto"/>
        <w:rPr>
          <w:sz w:val="24"/>
          <w:szCs w:val="24"/>
        </w:rPr>
        <w:sectPr>
          <w:footerReference r:id="rId279" w:type="default"/>
          <w:pgSz w:w="11907" w:h="16839"/>
          <w:pgMar w:top="933" w:right="4" w:bottom="1038" w:left="0" w:header="478" w:footer="357" w:gutter="0"/>
          <w:pgBorders>
            <w:top w:val="none" w:sz="0" w:space="0"/>
            <w:left w:val="none" w:sz="0" w:space="0"/>
            <w:bottom w:val="none" w:sz="0" w:space="0"/>
            <w:right w:val="none" w:sz="0" w:space="0"/>
          </w:pgBorders>
          <w:cols w:space="720" w:num="1"/>
        </w:sectPr>
      </w:pPr>
    </w:p>
    <w:p w14:paraId="09323AC2">
      <w:pPr>
        <w:spacing w:line="271" w:lineRule="auto"/>
        <w:rPr>
          <w:rFonts w:ascii="Arial"/>
          <w:sz w:val="21"/>
        </w:rPr>
      </w:pPr>
    </w:p>
    <w:p w14:paraId="5FA60AD9">
      <w:pPr>
        <w:pStyle w:val="2"/>
        <w:spacing w:before="78" w:line="215" w:lineRule="auto"/>
        <w:ind w:left="1903"/>
        <w:rPr>
          <w:sz w:val="24"/>
          <w:szCs w:val="24"/>
        </w:rPr>
      </w:pPr>
      <w:r>
        <w:rPr>
          <w:spacing w:val="-20"/>
          <w:sz w:val="24"/>
          <w:szCs w:val="24"/>
        </w:rPr>
        <w:t>10、材料品牌及厂家选样的原则</w:t>
      </w:r>
    </w:p>
    <w:p w14:paraId="3FABE060">
      <w:pPr>
        <w:pStyle w:val="2"/>
        <w:spacing w:before="117" w:line="308" w:lineRule="auto"/>
        <w:ind w:left="1455" w:right="1409" w:firstLine="436"/>
        <w:rPr>
          <w:sz w:val="24"/>
          <w:szCs w:val="24"/>
        </w:rPr>
      </w:pPr>
      <w:r>
        <w:rPr>
          <w:spacing w:val="-20"/>
          <w:sz w:val="24"/>
          <w:szCs w:val="24"/>
        </w:rPr>
        <w:t>材料品质是保证工程质量及设计效果的重要手段，因此在材料的选择上，本工程严格按照国家颁发的《建筑安装工程质量检验评定标准》以招标文件、及业及设计方提出的关于相关材料要求进行材料选择。多年来，我公司与国内外各种类型的材料知名品牌生产厂家建立了良好的合作关系，保证了材料的正常供货渠道和优良品质，同时本着为业主节约资金、保证设计效果、确保质量的原则，我们采取比质、比价、比效果的选材方法，对材料厂家的质量和价格进行对比，从而筛选出最适合本工程的材料厂家。由于本工程在材料的选用上除了作质量与价格</w:t>
      </w:r>
      <w:r>
        <w:rPr>
          <w:spacing w:val="-21"/>
          <w:sz w:val="24"/>
          <w:szCs w:val="24"/>
        </w:rPr>
        <w:t>的比较外，还着重考虑材料本身的性能及其生产厂家的加工能</w:t>
      </w:r>
      <w:r>
        <w:rPr>
          <w:spacing w:val="-22"/>
          <w:sz w:val="24"/>
          <w:szCs w:val="24"/>
        </w:rPr>
        <w:t>力是否能够达到设计的要求。</w:t>
      </w:r>
    </w:p>
    <w:p w14:paraId="1EF1C936">
      <w:pPr>
        <w:pStyle w:val="2"/>
        <w:spacing w:before="1" w:line="288" w:lineRule="auto"/>
        <w:ind w:left="1458" w:right="1431" w:firstLine="436"/>
        <w:rPr>
          <w:sz w:val="24"/>
          <w:szCs w:val="24"/>
        </w:rPr>
      </w:pPr>
      <w:r>
        <w:rPr>
          <w:spacing w:val="-20"/>
          <w:sz w:val="24"/>
          <w:szCs w:val="24"/>
        </w:rPr>
        <w:t>在施工过程中建设及监理单位随时可以抽查检验，符合工程要求的方可使用</w:t>
      </w:r>
      <w:r>
        <w:rPr>
          <w:spacing w:val="-21"/>
          <w:sz w:val="24"/>
          <w:szCs w:val="24"/>
        </w:rPr>
        <w:t>。如发生货不对板，建设单位有权拒用，并由我公司承担损失。</w:t>
      </w:r>
    </w:p>
    <w:p w14:paraId="052BB599">
      <w:pPr>
        <w:pStyle w:val="2"/>
        <w:spacing w:before="1" w:line="215" w:lineRule="auto"/>
        <w:ind w:left="3333"/>
        <w:outlineLvl w:val="1"/>
        <w:rPr>
          <w:sz w:val="30"/>
          <w:szCs w:val="30"/>
        </w:rPr>
      </w:pPr>
      <w:bookmarkStart w:id="206" w:name="bookmark198"/>
      <w:bookmarkEnd w:id="206"/>
      <w:r>
        <w:rPr>
          <w:b/>
          <w:bCs/>
          <w:color w:val="0070C0"/>
          <w:spacing w:val="-24"/>
          <w:sz w:val="30"/>
          <w:szCs w:val="30"/>
        </w:rPr>
        <w:t>第四节、现场材料管理及材料发放管理办法</w:t>
      </w:r>
    </w:p>
    <w:p w14:paraId="3E494D10">
      <w:pPr>
        <w:pStyle w:val="2"/>
        <w:spacing w:before="64" w:line="216" w:lineRule="auto"/>
        <w:ind w:left="1981"/>
        <w:outlineLvl w:val="2"/>
        <w:rPr>
          <w:sz w:val="28"/>
          <w:szCs w:val="28"/>
        </w:rPr>
      </w:pPr>
      <w:bookmarkStart w:id="207" w:name="bookmark199"/>
      <w:bookmarkEnd w:id="207"/>
      <w:r>
        <w:rPr>
          <w:b/>
          <w:bCs/>
          <w:spacing w:val="-23"/>
          <w:sz w:val="28"/>
          <w:szCs w:val="28"/>
        </w:rPr>
        <w:t>一、现场材料管理的具体内容</w:t>
      </w:r>
    </w:p>
    <w:p w14:paraId="055D6B74">
      <w:pPr>
        <w:pStyle w:val="2"/>
        <w:spacing w:before="108" w:line="218" w:lineRule="auto"/>
        <w:ind w:left="1892"/>
        <w:rPr>
          <w:sz w:val="24"/>
          <w:szCs w:val="24"/>
        </w:rPr>
      </w:pPr>
      <w:r>
        <w:rPr>
          <w:spacing w:val="-15"/>
          <w:sz w:val="24"/>
          <w:szCs w:val="24"/>
        </w:rPr>
        <w:t>验收准备</w:t>
      </w:r>
    </w:p>
    <w:p w14:paraId="152413A6">
      <w:pPr>
        <w:pStyle w:val="2"/>
        <w:spacing w:before="117" w:line="261" w:lineRule="auto"/>
        <w:ind w:left="1455" w:right="1409" w:firstLine="437"/>
        <w:rPr>
          <w:sz w:val="24"/>
          <w:szCs w:val="24"/>
        </w:rPr>
      </w:pPr>
      <w:r>
        <w:rPr>
          <w:spacing w:val="-22"/>
          <w:sz w:val="24"/>
          <w:szCs w:val="24"/>
        </w:rPr>
        <w:t>（1）场地和设施的准备。料具进场前，根据用料计划、现场平面布置图、物资保管规</w:t>
      </w:r>
      <w:r>
        <w:rPr>
          <w:spacing w:val="-23"/>
          <w:sz w:val="24"/>
          <w:szCs w:val="24"/>
        </w:rPr>
        <w:t>程及</w:t>
      </w:r>
      <w:r>
        <w:rPr>
          <w:spacing w:val="-21"/>
          <w:sz w:val="24"/>
          <w:szCs w:val="24"/>
        </w:rPr>
        <w:t>现场、场容管理要求，进行存料场地及设施准备。</w:t>
      </w:r>
    </w:p>
    <w:p w14:paraId="04770326">
      <w:pPr>
        <w:pStyle w:val="2"/>
        <w:spacing w:before="121" w:line="217" w:lineRule="auto"/>
        <w:ind w:left="1893"/>
        <w:rPr>
          <w:sz w:val="24"/>
          <w:szCs w:val="24"/>
        </w:rPr>
      </w:pPr>
      <w:r>
        <w:rPr>
          <w:spacing w:val="-21"/>
          <w:sz w:val="24"/>
          <w:szCs w:val="24"/>
        </w:rPr>
        <w:t>（2）覆盖物品的准备。</w:t>
      </w:r>
    </w:p>
    <w:p w14:paraId="5A813075">
      <w:pPr>
        <w:pStyle w:val="2"/>
        <w:spacing w:before="119" w:line="261" w:lineRule="auto"/>
        <w:ind w:left="1460" w:right="1411" w:firstLine="432"/>
        <w:rPr>
          <w:sz w:val="24"/>
          <w:szCs w:val="24"/>
        </w:rPr>
      </w:pPr>
      <w:r>
        <w:rPr>
          <w:spacing w:val="-22"/>
          <w:sz w:val="24"/>
          <w:szCs w:val="24"/>
        </w:rPr>
        <w:t>（3）计量器具的准备。根据不同材料计量特点，在材料进场前配齐所需的计量</w:t>
      </w:r>
      <w:r>
        <w:rPr>
          <w:spacing w:val="-23"/>
          <w:sz w:val="24"/>
          <w:szCs w:val="24"/>
        </w:rPr>
        <w:t>器具（各测</w:t>
      </w:r>
      <w:r>
        <w:rPr>
          <w:spacing w:val="-22"/>
          <w:sz w:val="24"/>
          <w:szCs w:val="24"/>
        </w:rPr>
        <w:t>量器具需提前进行检验</w:t>
      </w:r>
      <w:r>
        <w:rPr>
          <w:spacing w:val="-12"/>
          <w:sz w:val="24"/>
          <w:szCs w:val="24"/>
        </w:rPr>
        <w:t>），</w:t>
      </w:r>
      <w:r>
        <w:rPr>
          <w:spacing w:val="-22"/>
          <w:sz w:val="24"/>
          <w:szCs w:val="24"/>
        </w:rPr>
        <w:t>以确保验收顺利进行。</w:t>
      </w:r>
    </w:p>
    <w:p w14:paraId="395473C6">
      <w:pPr>
        <w:pStyle w:val="2"/>
        <w:spacing w:before="121" w:line="215" w:lineRule="auto"/>
        <w:ind w:left="1893"/>
        <w:rPr>
          <w:sz w:val="24"/>
          <w:szCs w:val="24"/>
        </w:rPr>
      </w:pPr>
      <w:r>
        <w:rPr>
          <w:spacing w:val="-21"/>
          <w:sz w:val="24"/>
          <w:szCs w:val="24"/>
        </w:rPr>
        <w:t>（4）有关资料的准备。包括用料计划、加工合同、翻样、配套表及有关材料的质量标准。</w:t>
      </w:r>
    </w:p>
    <w:p w14:paraId="389E1320">
      <w:pPr>
        <w:pStyle w:val="2"/>
        <w:spacing w:before="121" w:line="261" w:lineRule="auto"/>
        <w:ind w:left="1455" w:right="1410" w:firstLine="430"/>
        <w:rPr>
          <w:sz w:val="24"/>
          <w:szCs w:val="24"/>
        </w:rPr>
      </w:pPr>
      <w:r>
        <w:rPr>
          <w:spacing w:val="-19"/>
          <w:sz w:val="24"/>
          <w:szCs w:val="24"/>
        </w:rPr>
        <w:t>①核对凭证：确认是否为应收的材料，凡无进料凭证和经</w:t>
      </w:r>
      <w:r>
        <w:rPr>
          <w:spacing w:val="-20"/>
          <w:sz w:val="24"/>
          <w:szCs w:val="24"/>
        </w:rPr>
        <w:t>确认不属于应收的材料不得办理</w:t>
      </w:r>
      <w:r>
        <w:rPr>
          <w:spacing w:val="-21"/>
          <w:sz w:val="24"/>
          <w:szCs w:val="24"/>
        </w:rPr>
        <w:t>验收，并及时通知有关部门处理。进料凭证一般是：运输单</w:t>
      </w:r>
      <w:r>
        <w:rPr>
          <w:spacing w:val="-22"/>
          <w:sz w:val="24"/>
          <w:szCs w:val="24"/>
        </w:rPr>
        <w:t>、出库单、调拨单或发票。</w:t>
      </w:r>
    </w:p>
    <w:p w14:paraId="6BE10040">
      <w:pPr>
        <w:pStyle w:val="2"/>
        <w:spacing w:before="121" w:line="262" w:lineRule="auto"/>
        <w:ind w:left="1458" w:right="1409" w:firstLine="426"/>
        <w:rPr>
          <w:sz w:val="24"/>
          <w:szCs w:val="24"/>
        </w:rPr>
      </w:pPr>
      <w:r>
        <w:rPr>
          <w:spacing w:val="-19"/>
          <w:sz w:val="24"/>
          <w:szCs w:val="24"/>
        </w:rPr>
        <w:t>②质量验收：现场材料的质量验收，由于受客观条件所限，</w:t>
      </w:r>
      <w:r>
        <w:rPr>
          <w:spacing w:val="-20"/>
          <w:sz w:val="24"/>
          <w:szCs w:val="24"/>
        </w:rPr>
        <w:t>主要通过目测对料具外观的检查和材质性能证件的检验。</w:t>
      </w:r>
    </w:p>
    <w:p w14:paraId="67FF81A4">
      <w:pPr>
        <w:pStyle w:val="2"/>
        <w:spacing w:before="116" w:line="308" w:lineRule="auto"/>
        <w:ind w:left="1458" w:right="1409" w:firstLine="435"/>
        <w:jc w:val="both"/>
        <w:rPr>
          <w:sz w:val="24"/>
          <w:szCs w:val="24"/>
        </w:rPr>
      </w:pPr>
      <w:r>
        <w:rPr>
          <w:spacing w:val="-20"/>
          <w:sz w:val="24"/>
          <w:szCs w:val="24"/>
        </w:rPr>
        <w:t>凡一般材料外观检验，应检验材料的规格、型号、尺寸、颜色、方正及完整，做好检验记录。凡专用、特殊及加工制品的外观检验，应根据加工合同、图纸及翻样资料，会同有关部门进行质量验收并做好记录。</w:t>
      </w:r>
    </w:p>
    <w:p w14:paraId="448A460C">
      <w:pPr>
        <w:pStyle w:val="2"/>
        <w:spacing w:before="3" w:line="262" w:lineRule="auto"/>
        <w:ind w:left="1456" w:right="1409" w:firstLine="428"/>
        <w:rPr>
          <w:sz w:val="24"/>
          <w:szCs w:val="24"/>
        </w:rPr>
      </w:pPr>
      <w:r>
        <w:rPr>
          <w:spacing w:val="-19"/>
          <w:sz w:val="24"/>
          <w:szCs w:val="24"/>
        </w:rPr>
        <w:t>③数量验收：现场材料数量验收一般是采取点数、检斤、检</w:t>
      </w:r>
      <w:r>
        <w:rPr>
          <w:spacing w:val="-20"/>
          <w:sz w:val="24"/>
          <w:szCs w:val="24"/>
        </w:rPr>
        <w:t>尺的方法，对分批进场的要作</w:t>
      </w:r>
      <w:r>
        <w:rPr>
          <w:spacing w:val="-21"/>
          <w:sz w:val="24"/>
          <w:szCs w:val="24"/>
        </w:rPr>
        <w:t>好分次记录，对超过磅差的应通知有关部门处理。</w:t>
      </w:r>
    </w:p>
    <w:p w14:paraId="51B86D6E">
      <w:pPr>
        <w:pStyle w:val="2"/>
        <w:spacing w:before="120" w:line="289" w:lineRule="auto"/>
        <w:ind w:left="1456" w:right="1409" w:firstLine="428"/>
        <w:rPr>
          <w:b/>
          <w:bCs/>
          <w:spacing w:val="-23"/>
          <w:sz w:val="28"/>
          <w:szCs w:val="28"/>
        </w:rPr>
      </w:pPr>
      <w:r>
        <w:rPr>
          <w:spacing w:val="-19"/>
          <w:sz w:val="24"/>
          <w:szCs w:val="24"/>
        </w:rPr>
        <w:t>④验收手续：经核对质量、数量无误后，可以办理验收手续</w:t>
      </w:r>
      <w:r>
        <w:rPr>
          <w:spacing w:val="-20"/>
          <w:sz w:val="24"/>
          <w:szCs w:val="24"/>
        </w:rPr>
        <w:t>。验收手续根据不同情况采取不同形式。一般由收料人依据来料凭证和实际收取数量开写收料单；有些材料由收料人依据供方提供的调拨单直接填写实际验收数量并签字；属于多次进料最后结算办理验收手续的，如大堆材料，则由收料人依据分次进料凭证、验收记录核对结算凭证或开写验收单或在供方提供的</w:t>
      </w:r>
      <w:r>
        <w:rPr>
          <w:spacing w:val="-19"/>
          <w:sz w:val="24"/>
          <w:szCs w:val="24"/>
        </w:rPr>
        <w:t>调拨单上签认。</w:t>
      </w:r>
      <w:bookmarkStart w:id="208" w:name="bookmark200"/>
      <w:bookmarkEnd w:id="208"/>
    </w:p>
    <w:p w14:paraId="18290934">
      <w:pPr>
        <w:pStyle w:val="2"/>
        <w:spacing w:before="85" w:line="216" w:lineRule="auto"/>
        <w:ind w:left="1986"/>
        <w:outlineLvl w:val="2"/>
        <w:rPr>
          <w:sz w:val="28"/>
          <w:szCs w:val="28"/>
        </w:rPr>
      </w:pPr>
      <w:r>
        <w:rPr>
          <w:b/>
          <w:bCs/>
          <w:spacing w:val="-23"/>
          <w:sz w:val="28"/>
          <w:szCs w:val="28"/>
        </w:rPr>
        <w:t>二、现场材料发放管理方法</w:t>
      </w:r>
    </w:p>
    <w:p w14:paraId="6F8DB30D">
      <w:pPr>
        <w:pStyle w:val="2"/>
        <w:spacing w:before="107" w:line="216" w:lineRule="auto"/>
        <w:ind w:left="1893"/>
        <w:rPr>
          <w:sz w:val="24"/>
          <w:szCs w:val="24"/>
        </w:rPr>
      </w:pPr>
      <w:r>
        <w:rPr>
          <w:spacing w:val="-18"/>
          <w:sz w:val="24"/>
          <w:szCs w:val="24"/>
        </w:rPr>
        <w:t>（1）现场材料发放</w:t>
      </w:r>
    </w:p>
    <w:p w14:paraId="7DFC81B3">
      <w:pPr>
        <w:pStyle w:val="2"/>
        <w:spacing w:before="118" w:line="216" w:lineRule="auto"/>
        <w:ind w:left="1885"/>
        <w:rPr>
          <w:sz w:val="24"/>
          <w:szCs w:val="24"/>
        </w:rPr>
      </w:pPr>
      <w:r>
        <w:rPr>
          <w:spacing w:val="-22"/>
          <w:sz w:val="24"/>
          <w:szCs w:val="24"/>
        </w:rPr>
        <w:t>①发料依据：现场发料的依据是下达给施工班组、专业施工队的班组作业计划（</w:t>
      </w:r>
      <w:r>
        <w:rPr>
          <w:spacing w:val="-23"/>
          <w:sz w:val="24"/>
          <w:szCs w:val="24"/>
        </w:rPr>
        <w:t>任务书</w:t>
      </w:r>
      <w:r>
        <w:rPr>
          <w:spacing w:val="-9"/>
          <w:sz w:val="24"/>
          <w:szCs w:val="24"/>
        </w:rPr>
        <w:t>），</w:t>
      </w:r>
    </w:p>
    <w:p w14:paraId="178E3DB7">
      <w:pPr>
        <w:spacing w:line="216" w:lineRule="auto"/>
        <w:rPr>
          <w:sz w:val="24"/>
          <w:szCs w:val="24"/>
        </w:rPr>
        <w:sectPr>
          <w:footerReference r:id="rId280" w:type="default"/>
          <w:pgSz w:w="11907" w:h="16839"/>
          <w:pgMar w:top="933" w:right="4" w:bottom="1038" w:left="0" w:header="478" w:footer="357" w:gutter="0"/>
          <w:pgBorders>
            <w:top w:val="none" w:sz="0" w:space="0"/>
            <w:left w:val="none" w:sz="0" w:space="0"/>
            <w:bottom w:val="none" w:sz="0" w:space="0"/>
            <w:right w:val="none" w:sz="0" w:space="0"/>
          </w:pgBorders>
          <w:cols w:space="720" w:num="1"/>
        </w:sectPr>
      </w:pPr>
    </w:p>
    <w:p w14:paraId="26EA85E5">
      <w:pPr>
        <w:spacing w:line="270" w:lineRule="auto"/>
        <w:rPr>
          <w:rFonts w:ascii="Arial"/>
          <w:sz w:val="21"/>
        </w:rPr>
      </w:pPr>
    </w:p>
    <w:p w14:paraId="0FB4BADE">
      <w:pPr>
        <w:pStyle w:val="2"/>
        <w:spacing w:before="78" w:line="308" w:lineRule="auto"/>
        <w:ind w:left="1457" w:right="1414"/>
        <w:jc w:val="both"/>
        <w:rPr>
          <w:sz w:val="24"/>
          <w:szCs w:val="24"/>
        </w:rPr>
      </w:pPr>
      <w:r>
        <w:rPr>
          <w:spacing w:val="-20"/>
          <w:sz w:val="24"/>
          <w:szCs w:val="24"/>
        </w:rPr>
        <w:t>根据任务书上签发的工程项目和工程量所计算出材料用量，并且办理材料的领发手续。由于施工班组、专业施工队伍的工种所担负的施工部位和项目有所不同，因此除任务书以外，还须根</w:t>
      </w:r>
      <w:r>
        <w:rPr>
          <w:spacing w:val="-21"/>
          <w:sz w:val="24"/>
          <w:szCs w:val="24"/>
        </w:rPr>
        <w:t>据不同的情况和变化办理一些其它领发料依据。</w:t>
      </w:r>
    </w:p>
    <w:p w14:paraId="72435FF2">
      <w:pPr>
        <w:pStyle w:val="2"/>
        <w:spacing w:before="4" w:line="307" w:lineRule="auto"/>
        <w:ind w:left="1455" w:right="1344" w:firstLine="445"/>
        <w:rPr>
          <w:sz w:val="24"/>
          <w:szCs w:val="24"/>
        </w:rPr>
      </w:pPr>
      <w:r>
        <w:rPr>
          <w:spacing w:val="-20"/>
          <w:sz w:val="24"/>
          <w:szCs w:val="24"/>
        </w:rPr>
        <w:t>首先是工程用料的发放，包括大堆材料、主要材料及成品、半成品材料，凡属于工程用料</w:t>
      </w:r>
      <w:r>
        <w:rPr>
          <w:spacing w:val="-23"/>
          <w:sz w:val="24"/>
          <w:szCs w:val="24"/>
        </w:rPr>
        <w:t>的必须以限额领料单作为发料依据。但在实际生产过程中，因各</w:t>
      </w:r>
      <w:r>
        <w:rPr>
          <w:spacing w:val="-24"/>
          <w:sz w:val="24"/>
          <w:szCs w:val="24"/>
        </w:rPr>
        <w:t>种原因变化很多，如设计变更、</w:t>
      </w:r>
      <w:r>
        <w:rPr>
          <w:spacing w:val="-19"/>
          <w:sz w:val="24"/>
          <w:szCs w:val="24"/>
        </w:rPr>
        <w:t>施工不当等造成工程量增加或减少，使用的材料也发生变更，造成限额领料单不能及时下达。</w:t>
      </w:r>
      <w:r>
        <w:rPr>
          <w:spacing w:val="-23"/>
          <w:sz w:val="24"/>
          <w:szCs w:val="24"/>
        </w:rPr>
        <w:t>此时应由班组长填制项目经理审批的工程暂借单，并在3日内补齐限额领料单，交到材料部门</w:t>
      </w:r>
      <w:r>
        <w:rPr>
          <w:spacing w:val="-21"/>
          <w:sz w:val="24"/>
          <w:szCs w:val="24"/>
        </w:rPr>
        <w:t>作为正式发料凭证，否则停止发料。</w:t>
      </w:r>
    </w:p>
    <w:p w14:paraId="5A1D92A0">
      <w:pPr>
        <w:pStyle w:val="2"/>
        <w:spacing w:before="1" w:line="215" w:lineRule="auto"/>
        <w:ind w:left="1884"/>
        <w:rPr>
          <w:sz w:val="24"/>
          <w:szCs w:val="24"/>
        </w:rPr>
      </w:pPr>
      <w:r>
        <w:rPr>
          <w:spacing w:val="-17"/>
          <w:sz w:val="24"/>
          <w:szCs w:val="24"/>
        </w:rPr>
        <w:t>②材料发放程序</w:t>
      </w:r>
    </w:p>
    <w:p w14:paraId="3455DC8D">
      <w:pPr>
        <w:pStyle w:val="2"/>
        <w:spacing w:before="119" w:line="308" w:lineRule="auto"/>
        <w:ind w:left="1484" w:right="1409" w:firstLine="418"/>
        <w:rPr>
          <w:sz w:val="24"/>
          <w:szCs w:val="24"/>
        </w:rPr>
      </w:pPr>
      <w:r>
        <w:rPr>
          <w:spacing w:val="-20"/>
          <w:sz w:val="24"/>
          <w:szCs w:val="24"/>
        </w:rPr>
        <w:t>第一步将施工预算或定额员签发的限额领料单下达到班组。工长在对班组交待生产任务的</w:t>
      </w:r>
      <w:r>
        <w:rPr>
          <w:spacing w:val="-24"/>
          <w:sz w:val="24"/>
          <w:szCs w:val="24"/>
        </w:rPr>
        <w:t>同时，也要做好用料的交底。</w:t>
      </w:r>
    </w:p>
    <w:p w14:paraId="70541370">
      <w:pPr>
        <w:pStyle w:val="2"/>
        <w:spacing w:line="308" w:lineRule="auto"/>
        <w:ind w:left="1455" w:right="1447" w:firstLine="447"/>
        <w:rPr>
          <w:sz w:val="24"/>
          <w:szCs w:val="24"/>
        </w:rPr>
      </w:pPr>
      <w:r>
        <w:rPr>
          <w:spacing w:val="-21"/>
          <w:sz w:val="24"/>
          <w:szCs w:val="24"/>
        </w:rPr>
        <w:t>第二步班组领料员持限额领料单向材料员领料。材料员经核定工程量、材料品种、规格、</w:t>
      </w:r>
      <w:r>
        <w:rPr>
          <w:spacing w:val="-22"/>
          <w:sz w:val="24"/>
          <w:szCs w:val="24"/>
        </w:rPr>
        <w:t>数量等无误后，交给领料员和仓库保管员。</w:t>
      </w:r>
    </w:p>
    <w:p w14:paraId="2DFCD85B">
      <w:pPr>
        <w:pStyle w:val="2"/>
        <w:spacing w:before="1" w:line="307" w:lineRule="auto"/>
        <w:ind w:left="1460" w:right="1414" w:firstLine="443"/>
        <w:jc w:val="both"/>
        <w:rPr>
          <w:sz w:val="24"/>
          <w:szCs w:val="24"/>
        </w:rPr>
      </w:pPr>
      <w:r>
        <w:rPr>
          <w:spacing w:val="-20"/>
          <w:sz w:val="24"/>
          <w:szCs w:val="24"/>
        </w:rPr>
        <w:t>第三步班组凭限额领料单领用材料，仓库依此发放材料。发料时应以限额领料单为依据，限量发放，可直接记载在限额领料单上，也可开领料小票，双方签字认证。若一次开出的领料</w:t>
      </w:r>
      <w:r>
        <w:rPr>
          <w:spacing w:val="-21"/>
          <w:sz w:val="24"/>
          <w:szCs w:val="24"/>
        </w:rPr>
        <w:t>量较大多次发放时，应在发放记录上逐日记载实领数量</w:t>
      </w:r>
      <w:r>
        <w:rPr>
          <w:spacing w:val="-22"/>
          <w:sz w:val="24"/>
          <w:szCs w:val="24"/>
        </w:rPr>
        <w:t>，由领料人签认。</w:t>
      </w:r>
    </w:p>
    <w:p w14:paraId="2609E46E">
      <w:pPr>
        <w:pStyle w:val="2"/>
        <w:spacing w:before="3" w:line="307" w:lineRule="auto"/>
        <w:ind w:left="1462" w:right="1410" w:firstLine="441"/>
        <w:jc w:val="both"/>
        <w:rPr>
          <w:rFonts w:hint="eastAsia"/>
          <w:spacing w:val="-19"/>
          <w:sz w:val="24"/>
          <w:szCs w:val="24"/>
        </w:rPr>
      </w:pPr>
      <w:r>
        <w:rPr>
          <w:spacing w:val="-20"/>
          <w:sz w:val="24"/>
          <w:szCs w:val="24"/>
        </w:rPr>
        <w:t>第四步当领用数量达到或超过限额数量时，应立即向主管班组长和材料部门主管人员说明情况，分析原因，采取措施。若限额领料单不能及时下达，应由班组长填制并由项目经理审批</w:t>
      </w:r>
      <w:r>
        <w:rPr>
          <w:spacing w:val="-22"/>
          <w:sz w:val="24"/>
          <w:szCs w:val="24"/>
        </w:rPr>
        <w:t>的工程暂借用料单，办理因超耗及其它原因造成多用材料的</w:t>
      </w:r>
      <w:r>
        <w:rPr>
          <w:spacing w:val="-23"/>
          <w:sz w:val="24"/>
          <w:szCs w:val="24"/>
        </w:rPr>
        <w:t>领发手续。</w:t>
      </w:r>
      <w:r>
        <w:rPr>
          <w:rFonts w:hint="eastAsia"/>
          <w:spacing w:val="-19"/>
          <w:sz w:val="24"/>
          <w:szCs w:val="24"/>
          <w:lang w:val="en-US" w:eastAsia="zh-CN"/>
        </w:rPr>
        <w:t>需要</w:t>
      </w:r>
      <w:r>
        <w:rPr>
          <w:rFonts w:hint="eastAsia"/>
          <w:spacing w:val="-19"/>
          <w:sz w:val="24"/>
          <w:szCs w:val="24"/>
        </w:rPr>
        <w:t>建立和完善物资采购制度</w:t>
      </w:r>
    </w:p>
    <w:p w14:paraId="7A4290F9">
      <w:pPr>
        <w:pStyle w:val="2"/>
        <w:spacing w:before="2" w:line="261" w:lineRule="auto"/>
        <w:ind w:left="1460" w:right="1410" w:firstLine="424"/>
        <w:rPr>
          <w:rFonts w:hint="eastAsia"/>
          <w:spacing w:val="-19"/>
          <w:sz w:val="24"/>
          <w:szCs w:val="24"/>
        </w:rPr>
      </w:pPr>
      <w:r>
        <w:rPr>
          <w:rFonts w:hint="eastAsia"/>
          <w:spacing w:val="-19"/>
          <w:sz w:val="24"/>
          <w:szCs w:val="24"/>
        </w:rPr>
        <w:t>1、采购制度</w:t>
      </w:r>
    </w:p>
    <w:p w14:paraId="2639EDEC">
      <w:pPr>
        <w:pStyle w:val="2"/>
        <w:spacing w:before="2" w:line="261" w:lineRule="auto"/>
        <w:ind w:left="1460" w:right="1410" w:firstLine="424"/>
        <w:rPr>
          <w:rFonts w:hint="eastAsia"/>
          <w:spacing w:val="-19"/>
          <w:sz w:val="24"/>
          <w:szCs w:val="24"/>
        </w:rPr>
      </w:pPr>
      <w:r>
        <w:rPr>
          <w:rFonts w:hint="eastAsia"/>
          <w:spacing w:val="-19"/>
          <w:sz w:val="24"/>
          <w:szCs w:val="24"/>
        </w:rPr>
        <w:t>建立严格、完善的采购制度。采购制度应规定材料采购的申请、授权人的批准许可权、材料采购的流程、相关部门的责任和关系、各种材料采购的规定和方式、报价和价格审批等。比如,可在采购制度中规定采购的物品要向供应商询价、列表比较、议价,然后选择供应商,并把所选的供应商及其报价填在申购单上;还可规定超过一定金额的采购须附三个以上的书面报价及上级领导审批等,以供财务部门或内部审计部门稽核。</w:t>
      </w:r>
    </w:p>
    <w:p w14:paraId="3C364E8E">
      <w:pPr>
        <w:pStyle w:val="2"/>
        <w:spacing w:before="2" w:line="261" w:lineRule="auto"/>
        <w:ind w:left="1460" w:right="1410" w:firstLine="424"/>
        <w:rPr>
          <w:rFonts w:hint="eastAsia"/>
          <w:spacing w:val="-19"/>
          <w:sz w:val="24"/>
          <w:szCs w:val="24"/>
        </w:rPr>
      </w:pPr>
      <w:r>
        <w:rPr>
          <w:rFonts w:hint="eastAsia"/>
          <w:spacing w:val="-19"/>
          <w:sz w:val="24"/>
          <w:szCs w:val="24"/>
        </w:rPr>
        <w:t>2、供应商档案和准入制度</w:t>
      </w:r>
    </w:p>
    <w:p w14:paraId="48A1E87C">
      <w:pPr>
        <w:pStyle w:val="2"/>
        <w:spacing w:before="2" w:line="261" w:lineRule="auto"/>
        <w:ind w:left="1460" w:right="1410" w:firstLine="424"/>
        <w:rPr>
          <w:rFonts w:hint="eastAsia"/>
          <w:spacing w:val="-19"/>
          <w:sz w:val="24"/>
          <w:szCs w:val="24"/>
        </w:rPr>
      </w:pPr>
      <w:r>
        <w:rPr>
          <w:rFonts w:hint="eastAsia"/>
          <w:spacing w:val="-19"/>
          <w:sz w:val="24"/>
          <w:szCs w:val="24"/>
        </w:rPr>
        <w:t>对企业的正式供应商要建立档案,供应商档案除要有资质证明材料、详细联系方式、地址、银行账号、供应商评价外、还应有付款条款、交货条款、交货期限等,供应商档案应定期或不定期更新,并设专人管理;同时要建立供应商准入制度,企业要制定严格的考核程序和指标,只有达到或超过评分标准者才能成为归档供应商。</w:t>
      </w:r>
    </w:p>
    <w:p w14:paraId="3B254B6E">
      <w:pPr>
        <w:pStyle w:val="2"/>
        <w:spacing w:before="2" w:line="261" w:lineRule="auto"/>
        <w:ind w:left="1460" w:right="1410" w:firstLine="424"/>
        <w:rPr>
          <w:rFonts w:hint="eastAsia"/>
          <w:spacing w:val="-19"/>
          <w:sz w:val="24"/>
          <w:szCs w:val="24"/>
        </w:rPr>
      </w:pPr>
      <w:r>
        <w:rPr>
          <w:rFonts w:hint="eastAsia"/>
          <w:spacing w:val="-19"/>
          <w:sz w:val="24"/>
          <w:szCs w:val="24"/>
        </w:rPr>
        <w:t>3、价格档案盒价格评价体系</w:t>
      </w:r>
    </w:p>
    <w:p w14:paraId="0CB17611">
      <w:pPr>
        <w:pStyle w:val="2"/>
        <w:spacing w:before="2" w:line="261" w:lineRule="auto"/>
        <w:ind w:left="1460" w:right="1410" w:firstLine="424"/>
        <w:rPr>
          <w:rFonts w:hint="eastAsia"/>
          <w:spacing w:val="-19"/>
          <w:sz w:val="24"/>
          <w:szCs w:val="24"/>
        </w:rPr>
      </w:pPr>
      <w:r>
        <w:rPr>
          <w:rFonts w:hint="eastAsia"/>
          <w:spacing w:val="-19"/>
          <w:sz w:val="24"/>
          <w:szCs w:val="24"/>
        </w:rPr>
        <w:t>企业采购部门要对所有采购材料建立价格档案,原则上,材料采购的价格不能超过档案中的价格水平,否则要作出详细的说明。对于重点材料的价格,要建立价格评价体系,成立价格评价组,收集供应价格咨询,分析、评价现有的价格水平,并对归档的价格档案进行评价和更新。</w:t>
      </w:r>
    </w:p>
    <w:p w14:paraId="3608FAB1">
      <w:pPr>
        <w:pStyle w:val="2"/>
        <w:spacing w:before="2" w:line="261" w:lineRule="auto"/>
        <w:ind w:left="1460" w:right="1410" w:firstLine="424"/>
        <w:rPr>
          <w:rFonts w:hint="eastAsia"/>
          <w:spacing w:val="-19"/>
          <w:sz w:val="24"/>
          <w:szCs w:val="24"/>
        </w:rPr>
      </w:pPr>
      <w:r>
        <w:rPr>
          <w:rFonts w:hint="eastAsia"/>
          <w:spacing w:val="-19"/>
          <w:sz w:val="24"/>
          <w:szCs w:val="24"/>
        </w:rPr>
        <w:t>物资采购组织机构</w:t>
      </w:r>
    </w:p>
    <w:p w14:paraId="5FE1BBDB">
      <w:pPr>
        <w:pStyle w:val="2"/>
        <w:spacing w:before="2" w:line="261" w:lineRule="auto"/>
        <w:ind w:left="1460" w:right="1410" w:firstLine="424"/>
        <w:rPr>
          <w:rFonts w:hint="eastAsia"/>
          <w:spacing w:val="-19"/>
          <w:sz w:val="24"/>
          <w:szCs w:val="24"/>
        </w:rPr>
      </w:pPr>
      <w:r>
        <w:rPr>
          <w:rFonts w:hint="eastAsia"/>
          <w:spacing w:val="-19"/>
          <w:sz w:val="24"/>
          <w:szCs w:val="24"/>
        </w:rPr>
        <w:t>组织机构</w:t>
      </w:r>
    </w:p>
    <w:p w14:paraId="3948EF94">
      <w:pPr>
        <w:pStyle w:val="2"/>
        <w:spacing w:before="2" w:line="261" w:lineRule="auto"/>
        <w:ind w:left="1460" w:right="1410" w:firstLine="424"/>
        <w:rPr>
          <w:rFonts w:hint="eastAsia"/>
          <w:spacing w:val="-19"/>
          <w:sz w:val="24"/>
          <w:szCs w:val="24"/>
        </w:rPr>
      </w:pPr>
      <w:r>
        <w:rPr>
          <w:rFonts w:hint="eastAsia"/>
          <w:spacing w:val="-19"/>
          <w:sz w:val="24"/>
          <w:szCs w:val="24"/>
        </w:rPr>
        <w:t>为有效管理整个项目的采购工作,在本项目的组织机构中,设置专门的物资采购部。根据本项目整个采购工作的性质,采购部设置采购经理、大宗材料采购员、设备安装采购员、成本复核员、仓库管理员等职位。</w:t>
      </w:r>
    </w:p>
    <w:p w14:paraId="2955CB7C">
      <w:pPr>
        <w:pStyle w:val="2"/>
        <w:spacing w:before="2" w:line="261" w:lineRule="auto"/>
        <w:ind w:left="1460" w:right="1410" w:firstLine="424"/>
        <w:rPr>
          <w:rFonts w:hint="eastAsia"/>
          <w:spacing w:val="-19"/>
          <w:sz w:val="24"/>
          <w:szCs w:val="24"/>
        </w:rPr>
      </w:pPr>
      <w:r>
        <w:rPr>
          <w:rFonts w:hint="eastAsia"/>
          <w:spacing w:val="-19"/>
          <w:sz w:val="24"/>
          <w:szCs w:val="24"/>
        </w:rPr>
        <w:t>采购部职责</w:t>
      </w:r>
    </w:p>
    <w:p w14:paraId="19FE3B58">
      <w:pPr>
        <w:pStyle w:val="2"/>
        <w:spacing w:before="2" w:line="261" w:lineRule="auto"/>
        <w:ind w:left="1460" w:right="1410" w:firstLine="424"/>
        <w:rPr>
          <w:rFonts w:hint="eastAsia"/>
          <w:spacing w:val="-19"/>
          <w:sz w:val="24"/>
          <w:szCs w:val="24"/>
        </w:rPr>
      </w:pPr>
      <w:r>
        <w:rPr>
          <w:rFonts w:hint="eastAsia"/>
          <w:spacing w:val="-19"/>
          <w:sz w:val="24"/>
          <w:szCs w:val="24"/>
        </w:rPr>
        <w:t>1、全面负责工程合同下的物资采购供应管理工作；</w:t>
      </w:r>
    </w:p>
    <w:p w14:paraId="6E811F0C">
      <w:pPr>
        <w:pStyle w:val="2"/>
        <w:spacing w:before="2" w:line="261" w:lineRule="auto"/>
        <w:ind w:left="1460" w:right="1410" w:firstLine="424"/>
        <w:rPr>
          <w:rFonts w:hint="eastAsia"/>
          <w:spacing w:val="-19"/>
          <w:sz w:val="24"/>
          <w:szCs w:val="24"/>
        </w:rPr>
      </w:pPr>
      <w:r>
        <w:rPr>
          <w:rFonts w:hint="eastAsia"/>
          <w:spacing w:val="-19"/>
          <w:sz w:val="24"/>
          <w:szCs w:val="24"/>
        </w:rPr>
        <w:t>2、采购部根据项目部的总体部署和施工要求,对工程所需物资的采买、运输、储存、调拨、结算和核销等工作统一安排、统一协调、统一管理;</w:t>
      </w:r>
    </w:p>
    <w:p w14:paraId="54617B95">
      <w:pPr>
        <w:pStyle w:val="2"/>
        <w:spacing w:before="2" w:line="261" w:lineRule="auto"/>
        <w:ind w:left="1460" w:right="1410" w:firstLine="424"/>
        <w:rPr>
          <w:rFonts w:hint="eastAsia"/>
          <w:spacing w:val="-19"/>
          <w:sz w:val="24"/>
          <w:szCs w:val="24"/>
        </w:rPr>
      </w:pPr>
      <w:r>
        <w:rPr>
          <w:rFonts w:hint="eastAsia"/>
          <w:spacing w:val="-19"/>
          <w:sz w:val="24"/>
          <w:szCs w:val="24"/>
        </w:rPr>
        <w:t>3、负责采购物资质里控制和物资供应流量计划、进度计划的编制,并监督实施；</w:t>
      </w:r>
    </w:p>
    <w:p w14:paraId="6A7F742A">
      <w:pPr>
        <w:pStyle w:val="2"/>
        <w:spacing w:before="2" w:line="261" w:lineRule="auto"/>
        <w:ind w:left="1460" w:right="1410" w:firstLine="424"/>
        <w:rPr>
          <w:rFonts w:hint="eastAsia"/>
          <w:spacing w:val="-19"/>
          <w:sz w:val="24"/>
          <w:szCs w:val="24"/>
        </w:rPr>
      </w:pPr>
      <w:r>
        <w:rPr>
          <w:rFonts w:hint="eastAsia"/>
          <w:spacing w:val="-19"/>
          <w:sz w:val="24"/>
          <w:szCs w:val="24"/>
        </w:rPr>
        <w:t>4、负责物资供需计划的编制和供应进度计划的编制；</w:t>
      </w:r>
    </w:p>
    <w:p w14:paraId="5C533CC7">
      <w:pPr>
        <w:pStyle w:val="2"/>
        <w:spacing w:before="2" w:line="261" w:lineRule="auto"/>
        <w:ind w:left="1460" w:right="1410" w:firstLine="424"/>
        <w:rPr>
          <w:rFonts w:hint="eastAsia"/>
          <w:spacing w:val="-19"/>
          <w:sz w:val="24"/>
          <w:szCs w:val="24"/>
        </w:rPr>
      </w:pPr>
      <w:r>
        <w:rPr>
          <w:rFonts w:hint="eastAsia"/>
          <w:spacing w:val="-19"/>
          <w:sz w:val="24"/>
          <w:szCs w:val="24"/>
        </w:rPr>
        <w:t>5、负责物资采购资金使用计划编制及资金控制管理；</w:t>
      </w:r>
    </w:p>
    <w:p w14:paraId="15B64459">
      <w:pPr>
        <w:pStyle w:val="2"/>
        <w:spacing w:before="2" w:line="261" w:lineRule="auto"/>
        <w:ind w:left="1460" w:right="1410" w:firstLine="424"/>
        <w:rPr>
          <w:rFonts w:hint="eastAsia"/>
          <w:spacing w:val="-19"/>
          <w:sz w:val="24"/>
          <w:szCs w:val="24"/>
        </w:rPr>
      </w:pPr>
      <w:r>
        <w:rPr>
          <w:rFonts w:hint="eastAsia"/>
          <w:spacing w:val="-19"/>
          <w:sz w:val="24"/>
          <w:szCs w:val="24"/>
        </w:rPr>
        <w:t>6、负责大宗、主要物资招标文件的编制发放、招标会议组织、技术和商务谈判、合同签订以及物资采购招标的日常工作；</w:t>
      </w:r>
    </w:p>
    <w:p w14:paraId="114A66CE">
      <w:pPr>
        <w:pStyle w:val="2"/>
        <w:spacing w:before="2" w:line="261" w:lineRule="auto"/>
        <w:ind w:left="1460" w:right="1410" w:firstLine="424"/>
        <w:rPr>
          <w:spacing w:val="-19"/>
          <w:sz w:val="24"/>
          <w:szCs w:val="24"/>
        </w:rPr>
      </w:pPr>
      <w:r>
        <w:rPr>
          <w:rFonts w:hint="eastAsia"/>
          <w:spacing w:val="-19"/>
          <w:sz w:val="24"/>
          <w:szCs w:val="24"/>
        </w:rPr>
        <w:t>（四）物资采购流程</w:t>
      </w:r>
    </w:p>
    <w:p w14:paraId="13FB073B">
      <w:pPr>
        <w:pStyle w:val="2"/>
        <w:spacing w:before="2" w:line="261" w:lineRule="auto"/>
        <w:ind w:left="1460" w:right="1410" w:firstLine="424"/>
        <w:rPr>
          <w:rFonts w:hint="eastAsia"/>
          <w:spacing w:val="-19"/>
          <w:sz w:val="24"/>
          <w:szCs w:val="24"/>
        </w:rPr>
      </w:pPr>
      <w:r>
        <w:rPr>
          <w:rFonts w:hint="eastAsia"/>
          <w:spacing w:val="-19"/>
          <w:sz w:val="24"/>
          <w:szCs w:val="24"/>
        </w:rPr>
        <w:t>1、编制采购计划</w:t>
      </w:r>
    </w:p>
    <w:p w14:paraId="19F808B5">
      <w:pPr>
        <w:pStyle w:val="2"/>
        <w:spacing w:before="2" w:line="261" w:lineRule="auto"/>
        <w:ind w:left="1460" w:right="1410" w:firstLine="424"/>
        <w:rPr>
          <w:rFonts w:hint="eastAsia"/>
          <w:spacing w:val="-19"/>
          <w:sz w:val="24"/>
          <w:szCs w:val="24"/>
        </w:rPr>
      </w:pPr>
      <w:r>
        <w:rPr>
          <w:rFonts w:hint="eastAsia"/>
          <w:spacing w:val="-19"/>
          <w:sz w:val="24"/>
          <w:szCs w:val="24"/>
        </w:rPr>
        <w:t>项目采购计划是项目总体计划在采购方面的深化和补充,是采购工作的具体而详细的指导性任务文件项目的采购计划可分为总体计划与采购进度计划。总体采购计划一般包括的内容有:项目采购范围;业主相关部门对采购工作的特殊要求,以及业主对采购文件的审查规则;与厂家/供货商的协调程序和采购工作应遵守的工作程序;项目采购进度与费用的控制目标;总体采购原则,包括符合合同原则、进度保证原则、质量保证原则、价格经济原则、安全保证原则;采购其他问题说明等。</w:t>
      </w:r>
    </w:p>
    <w:p w14:paraId="54FB8B05">
      <w:pPr>
        <w:pStyle w:val="2"/>
        <w:spacing w:before="2" w:line="261" w:lineRule="auto"/>
        <w:ind w:left="1460" w:right="1410" w:firstLine="424"/>
        <w:rPr>
          <w:rFonts w:hint="eastAsia"/>
          <w:spacing w:val="-19"/>
          <w:sz w:val="24"/>
          <w:szCs w:val="24"/>
        </w:rPr>
      </w:pPr>
      <w:r>
        <w:rPr>
          <w:rFonts w:hint="eastAsia"/>
          <w:spacing w:val="-19"/>
          <w:sz w:val="24"/>
          <w:szCs w:val="24"/>
        </w:rPr>
        <w:t>(1)是计划的“刚性与”柔性相结合。其“刚性”主要表现在采购进度计划必须满足项目的总体进度计划。但由于项目总体计划在实施过程中可能有所调整,而且大型复杂的长周期设备的供货周期受到很多外部条件的约束,容易发生改变。因此,在确保符合总体进度计划的同时,最好保持一定的弹性。</w:t>
      </w:r>
    </w:p>
    <w:p w14:paraId="11047903">
      <w:pPr>
        <w:pStyle w:val="2"/>
        <w:spacing w:before="2" w:line="261" w:lineRule="auto"/>
        <w:ind w:left="1460" w:right="1410" w:firstLine="424"/>
        <w:rPr>
          <w:rFonts w:hint="eastAsia"/>
          <w:spacing w:val="-19"/>
          <w:sz w:val="24"/>
          <w:szCs w:val="24"/>
        </w:rPr>
      </w:pPr>
      <w:r>
        <w:rPr>
          <w:rFonts w:hint="eastAsia"/>
          <w:spacing w:val="-19"/>
          <w:sz w:val="24"/>
          <w:szCs w:val="24"/>
        </w:rPr>
        <w:t>（2)是采购进度计划与设计进度计划、施工进度计划的衔接。在采购进度计划中,应充分考虑设计部向采购部提交请购文件的时间,厂家返回图纸资料和审查的时间,施工部要求材料、设备交付项目现场的时间,各进度计划之间必须协调一致。</w:t>
      </w:r>
    </w:p>
    <w:p w14:paraId="1FB2BA43">
      <w:pPr>
        <w:pStyle w:val="2"/>
        <w:spacing w:before="2" w:line="261" w:lineRule="auto"/>
        <w:ind w:left="1460" w:right="1410" w:firstLine="424"/>
        <w:rPr>
          <w:rFonts w:hint="eastAsia"/>
          <w:spacing w:val="-19"/>
          <w:sz w:val="24"/>
          <w:szCs w:val="24"/>
        </w:rPr>
      </w:pPr>
      <w:r>
        <w:rPr>
          <w:rFonts w:hint="eastAsia"/>
          <w:spacing w:val="-19"/>
          <w:sz w:val="24"/>
          <w:szCs w:val="24"/>
        </w:rPr>
        <w:t>4、询价及报价评审;</w:t>
      </w:r>
    </w:p>
    <w:p w14:paraId="377280A9">
      <w:pPr>
        <w:pStyle w:val="2"/>
        <w:spacing w:before="2" w:line="261" w:lineRule="auto"/>
        <w:ind w:left="1460" w:right="1410" w:firstLine="424"/>
        <w:rPr>
          <w:rFonts w:hint="eastAsia"/>
          <w:spacing w:val="-19"/>
          <w:sz w:val="24"/>
          <w:szCs w:val="24"/>
        </w:rPr>
      </w:pPr>
      <w:r>
        <w:rPr>
          <w:rFonts w:hint="eastAsia"/>
          <w:spacing w:val="-19"/>
          <w:sz w:val="24"/>
          <w:szCs w:val="24"/>
        </w:rPr>
        <w:t>5、召开供应商协调会及签订采购合同;</w:t>
      </w:r>
    </w:p>
    <w:p w14:paraId="10B8027C">
      <w:pPr>
        <w:pStyle w:val="2"/>
        <w:spacing w:before="2" w:line="261" w:lineRule="auto"/>
        <w:ind w:left="1460" w:right="1410" w:firstLine="424"/>
        <w:rPr>
          <w:rFonts w:hint="eastAsia"/>
          <w:spacing w:val="-19"/>
          <w:sz w:val="24"/>
          <w:szCs w:val="24"/>
        </w:rPr>
      </w:pPr>
      <w:r>
        <w:rPr>
          <w:rFonts w:hint="eastAsia"/>
          <w:spacing w:val="-19"/>
          <w:sz w:val="24"/>
          <w:szCs w:val="24"/>
        </w:rPr>
        <w:t>6、催交、检验、运输;</w:t>
      </w:r>
    </w:p>
    <w:p w14:paraId="5B378223">
      <w:pPr>
        <w:pStyle w:val="2"/>
        <w:spacing w:before="2" w:line="261" w:lineRule="auto"/>
        <w:ind w:left="1460" w:right="1410" w:firstLine="424"/>
        <w:rPr>
          <w:rFonts w:hint="eastAsia"/>
          <w:spacing w:val="-19"/>
          <w:sz w:val="24"/>
          <w:szCs w:val="24"/>
        </w:rPr>
      </w:pPr>
      <w:r>
        <w:rPr>
          <w:rFonts w:hint="eastAsia"/>
          <w:spacing w:val="-19"/>
          <w:sz w:val="24"/>
          <w:szCs w:val="24"/>
        </w:rPr>
        <w:t>(1)催交</w:t>
      </w:r>
    </w:p>
    <w:p w14:paraId="7E14AF4D">
      <w:pPr>
        <w:pStyle w:val="2"/>
        <w:spacing w:before="2" w:line="261" w:lineRule="auto"/>
        <w:ind w:left="1460" w:right="1410" w:firstLine="424"/>
        <w:rPr>
          <w:rFonts w:hint="eastAsia"/>
          <w:spacing w:val="-19"/>
          <w:sz w:val="24"/>
          <w:szCs w:val="24"/>
        </w:rPr>
      </w:pPr>
      <w:r>
        <w:rPr>
          <w:rFonts w:hint="eastAsia"/>
          <w:spacing w:val="-19"/>
          <w:sz w:val="24"/>
          <w:szCs w:val="24"/>
        </w:rPr>
        <w:t>催交的步骤及内容:落实供货厂商设备、材料制造计划和交付计划;落实供货厂商原材料供应及其他辅料的供应;催办先期确认图和最终确认图的提交,审查确认和返回给制造商;跟踪制造计划和交付计划。</w:t>
      </w:r>
    </w:p>
    <w:p w14:paraId="31233E46">
      <w:pPr>
        <w:pStyle w:val="2"/>
        <w:spacing w:before="2" w:line="261" w:lineRule="auto"/>
        <w:ind w:left="1460" w:right="1410" w:firstLine="424"/>
        <w:rPr>
          <w:rFonts w:hint="eastAsia"/>
          <w:spacing w:val="-19"/>
          <w:sz w:val="24"/>
          <w:szCs w:val="24"/>
        </w:rPr>
      </w:pPr>
      <w:r>
        <w:rPr>
          <w:rFonts w:hint="eastAsia"/>
          <w:spacing w:val="-19"/>
          <w:sz w:val="24"/>
          <w:szCs w:val="24"/>
        </w:rPr>
        <w:t>从签订采购合同开始到最终物资抵达现场都属于催交工作的范畴。对于项目的采购来说,催交是一项十分重要的工作,从项目的实践来看,催交的工作量占整个采购工作量的20-30%。催交工作要有预见性,供货商有多种情况不能够按时交货,比如在准备、加工制造、装运过程中出现问题,供货商有时面临很多订单,不能按时生产出所采购设备或其质量规格与合同不符等,这就要求催交工作人员能够及时发现问题并采取有效的费用控制和质量保证措施,以防进度拖延。如果项目的采购量大,采购过程不易控制,则可以在采购部设置专门的催交工程师,负责催交工作。尤其对于设备采购,其催交工作比较紧迫,为此需要制定详细的催交计划。</w:t>
      </w:r>
    </w:p>
    <w:p w14:paraId="5038AFCD">
      <w:pPr>
        <w:pStyle w:val="2"/>
        <w:spacing w:before="2" w:line="261" w:lineRule="auto"/>
        <w:ind w:left="1460" w:right="1410" w:firstLine="424"/>
        <w:rPr>
          <w:rFonts w:hint="eastAsia"/>
          <w:spacing w:val="-19"/>
          <w:sz w:val="24"/>
          <w:szCs w:val="24"/>
        </w:rPr>
      </w:pPr>
      <w:r>
        <w:rPr>
          <w:rFonts w:hint="eastAsia"/>
          <w:spacing w:val="-19"/>
          <w:sz w:val="24"/>
          <w:szCs w:val="24"/>
        </w:rPr>
        <w:t>通过与供货商在设备设计、制造、运输等各环节保持紧密联络,从而实施监督检查。对于材料采购,主要工作集中在每次材料启运前,向供货商确认所运材料是否属于按计划本次应运的材料,防止运至现场的材料与计划所需不一致,对工期造成延误。</w:t>
      </w:r>
    </w:p>
    <w:p w14:paraId="70F01FAD">
      <w:pPr>
        <w:pStyle w:val="2"/>
        <w:spacing w:before="2" w:line="261" w:lineRule="auto"/>
        <w:ind w:left="1460" w:right="1410" w:firstLine="424"/>
        <w:rPr>
          <w:rFonts w:hint="eastAsia"/>
          <w:spacing w:val="-19"/>
          <w:sz w:val="24"/>
          <w:szCs w:val="24"/>
        </w:rPr>
      </w:pPr>
      <w:r>
        <w:rPr>
          <w:rFonts w:hint="eastAsia"/>
          <w:spacing w:val="-19"/>
          <w:sz w:val="24"/>
          <w:szCs w:val="24"/>
        </w:rPr>
        <w:t>(2)检验</w:t>
      </w:r>
    </w:p>
    <w:p w14:paraId="00C0B5E4">
      <w:pPr>
        <w:pStyle w:val="2"/>
        <w:spacing w:before="2" w:line="261" w:lineRule="auto"/>
        <w:ind w:left="1460" w:right="1410" w:firstLine="424"/>
        <w:rPr>
          <w:rFonts w:hint="eastAsia"/>
          <w:spacing w:val="-19"/>
          <w:sz w:val="24"/>
          <w:szCs w:val="24"/>
        </w:rPr>
      </w:pPr>
      <w:r>
        <w:rPr>
          <w:rFonts w:hint="eastAsia"/>
          <w:spacing w:val="-19"/>
          <w:sz w:val="24"/>
          <w:szCs w:val="24"/>
        </w:rPr>
        <w:t>检验的步骤及内容:落实第三方检验计划及合同的签订;落实业主检验计划;关键设备、材料安排驻厂建造和设备材料出厂检验;进出口海关检验;运抵现场开箱检验。</w:t>
      </w:r>
    </w:p>
    <w:p w14:paraId="2AB1757D">
      <w:pPr>
        <w:pStyle w:val="2"/>
        <w:spacing w:before="2" w:line="261" w:lineRule="auto"/>
        <w:ind w:left="1460" w:right="1410" w:firstLine="424"/>
        <w:rPr>
          <w:rFonts w:hint="eastAsia"/>
          <w:spacing w:val="-19"/>
          <w:sz w:val="24"/>
          <w:szCs w:val="24"/>
        </w:rPr>
      </w:pPr>
      <w:r>
        <w:rPr>
          <w:rFonts w:hint="eastAsia"/>
          <w:spacing w:val="-19"/>
          <w:sz w:val="24"/>
          <w:szCs w:val="24"/>
        </w:rPr>
        <w:t>项目采购部根据采购申请和相关合同、规范的要求,负责在供应商的工厂检查设备、材料和监督试验。对检验进行分级管理,确保所有的设备、材料完全符合批准的采购申请和相关的技术要求及检查/试验等级要求。进出口设备材料必须经过国家或地方的商检机构(如商检局)的商品检验。</w:t>
      </w:r>
    </w:p>
    <w:p w14:paraId="1D928F2C">
      <w:pPr>
        <w:pStyle w:val="2"/>
        <w:spacing w:before="2" w:line="261" w:lineRule="auto"/>
        <w:ind w:left="1460" w:right="1410" w:firstLine="424"/>
        <w:rPr>
          <w:rFonts w:hint="eastAsia"/>
          <w:spacing w:val="-19"/>
          <w:sz w:val="24"/>
          <w:szCs w:val="24"/>
        </w:rPr>
      </w:pPr>
      <w:r>
        <w:rPr>
          <w:rFonts w:hint="eastAsia"/>
          <w:spacing w:val="-19"/>
          <w:sz w:val="24"/>
          <w:szCs w:val="24"/>
        </w:rPr>
        <w:t>检验工作是对所采购物资的质量是否符合要求的检查工作,是采购过程中的质量保证环节。</w:t>
      </w:r>
    </w:p>
    <w:p w14:paraId="28C166C6">
      <w:pPr>
        <w:pStyle w:val="2"/>
        <w:spacing w:before="2" w:line="261" w:lineRule="auto"/>
        <w:ind w:left="1460" w:right="1410" w:firstLine="424"/>
        <w:rPr>
          <w:rFonts w:hint="eastAsia"/>
          <w:spacing w:val="-19"/>
          <w:sz w:val="24"/>
          <w:szCs w:val="24"/>
        </w:rPr>
      </w:pPr>
      <w:r>
        <w:rPr>
          <w:rFonts w:hint="eastAsia"/>
          <w:spacing w:val="-19"/>
          <w:sz w:val="24"/>
          <w:szCs w:val="24"/>
        </w:rPr>
        <w:t>检验的类别可以分为:现场接收检验、启运前检验、工序节点检验、驻厂检验。</w:t>
      </w:r>
    </w:p>
    <w:p w14:paraId="75D653BA">
      <w:pPr>
        <w:pStyle w:val="2"/>
        <w:spacing w:before="2" w:line="261" w:lineRule="auto"/>
        <w:ind w:left="1460" w:right="1410" w:firstLine="424"/>
        <w:rPr>
          <w:rFonts w:hint="eastAsia"/>
          <w:spacing w:val="-19"/>
          <w:sz w:val="24"/>
          <w:szCs w:val="24"/>
        </w:rPr>
      </w:pPr>
      <w:r>
        <w:rPr>
          <w:rFonts w:hint="eastAsia"/>
          <w:spacing w:val="-19"/>
          <w:sz w:val="24"/>
          <w:szCs w:val="24"/>
        </w:rPr>
        <w:t>根据设备和材料的重要性和复杂性,加上交货期方面的因素,可以考虑进行这四类检验中的任何一类或几类同时应用检验工作的核心是确保材料、设备的质量符合订货合同规定的要求。操作过程中,应避免由于质量问题影响工程建设,并依据项目机构人员配备的具体情况,由专业的检验人员做好材料设备制造过程中的监制、检验和验证工作。</w:t>
      </w:r>
    </w:p>
    <w:p w14:paraId="280F5563">
      <w:pPr>
        <w:pStyle w:val="2"/>
        <w:spacing w:before="2" w:line="261" w:lineRule="auto"/>
        <w:ind w:left="1460" w:right="1410" w:firstLine="424"/>
        <w:rPr>
          <w:rFonts w:hint="eastAsia"/>
          <w:spacing w:val="-19"/>
          <w:sz w:val="24"/>
          <w:szCs w:val="24"/>
        </w:rPr>
      </w:pPr>
      <w:r>
        <w:rPr>
          <w:rFonts w:hint="eastAsia"/>
          <w:spacing w:val="-19"/>
          <w:sz w:val="24"/>
          <w:szCs w:val="24"/>
        </w:rPr>
        <w:t>每次检验结束后,应由承包商检验工程师整理检验报告,真实地纪录检验的过程和结果,并给出被检验的设备或材料是否符合合同的规定。检验合格的签发检验认可书,对不合格品的处理方法通常是:其一,要求制造厂返工、返修以达到要求,提出的返修方案应征得工程公司的同意;其二,若返修后仍不合格,在不影响安全和使用功能情况下,经设计人员认可,可让步或降级使用;其三,拒收或报废,对不合格品经返工返修后仍不能达到规定要求时,应予拒收,对已采购的产品按报废处理。</w:t>
      </w:r>
    </w:p>
    <w:p w14:paraId="0BF1491C">
      <w:pPr>
        <w:pStyle w:val="2"/>
        <w:spacing w:before="2" w:line="261" w:lineRule="auto"/>
        <w:ind w:left="1460" w:right="1410" w:firstLine="424"/>
        <w:rPr>
          <w:rFonts w:hint="eastAsia"/>
          <w:spacing w:val="-19"/>
          <w:sz w:val="24"/>
          <w:szCs w:val="24"/>
        </w:rPr>
      </w:pPr>
      <w:r>
        <w:rPr>
          <w:rFonts w:hint="eastAsia"/>
          <w:spacing w:val="-19"/>
          <w:sz w:val="24"/>
          <w:szCs w:val="24"/>
        </w:rPr>
        <w:t>需要注意的是此类检验属于验证并不解除厂商对产品的最终质量责任。</w:t>
      </w:r>
    </w:p>
    <w:p w14:paraId="4C34E778">
      <w:pPr>
        <w:pStyle w:val="2"/>
        <w:spacing w:before="2" w:line="261" w:lineRule="auto"/>
        <w:ind w:left="1460" w:right="1410" w:firstLine="424"/>
        <w:rPr>
          <w:rFonts w:hint="eastAsia"/>
          <w:spacing w:val="-19"/>
          <w:sz w:val="24"/>
          <w:szCs w:val="24"/>
        </w:rPr>
      </w:pPr>
      <w:r>
        <w:rPr>
          <w:rFonts w:hint="eastAsia"/>
          <w:spacing w:val="-19"/>
          <w:sz w:val="24"/>
          <w:szCs w:val="24"/>
        </w:rPr>
        <w:t>(3)运输</w:t>
      </w:r>
    </w:p>
    <w:p w14:paraId="098DFE26">
      <w:pPr>
        <w:pStyle w:val="2"/>
        <w:spacing w:before="2" w:line="261" w:lineRule="auto"/>
        <w:ind w:left="1460" w:right="1410" w:firstLine="424"/>
        <w:rPr>
          <w:rFonts w:hint="eastAsia"/>
          <w:spacing w:val="-19"/>
          <w:sz w:val="24"/>
          <w:szCs w:val="24"/>
        </w:rPr>
      </w:pPr>
      <w:r>
        <w:rPr>
          <w:rFonts w:hint="eastAsia"/>
          <w:spacing w:val="-19"/>
          <w:sz w:val="24"/>
          <w:szCs w:val="24"/>
        </w:rPr>
        <w:t>运输的步骤及内容:选择合理的运输方式;签订运输委托合同;办理或督办运输保险办理或委托办理进出口报关手续;跟踪货物运输(重点是超限或关键设备、材料)。</w:t>
      </w:r>
    </w:p>
    <w:p w14:paraId="2EE5B043">
      <w:pPr>
        <w:pStyle w:val="2"/>
        <w:spacing w:before="2" w:line="261" w:lineRule="auto"/>
        <w:ind w:left="1460" w:right="1410" w:firstLine="424"/>
        <w:rPr>
          <w:spacing w:val="-19"/>
          <w:sz w:val="24"/>
          <w:szCs w:val="24"/>
        </w:rPr>
      </w:pPr>
      <w:r>
        <w:rPr>
          <w:rFonts w:hint="eastAsia"/>
          <w:spacing w:val="-19"/>
          <w:sz w:val="24"/>
          <w:szCs w:val="24"/>
        </w:rPr>
        <w:t>运输是指设备材料制造完毕,经检验合格后,从制造厂到施工现场这一过程中的包装、运输、保险等业务。项目采购部负责所有运输活动的管理和控制。运输工作中需要注意控制运输的费用、安全性、运抵现场的时间,以经济的方式保证物资顺利到达现场不同运输方式的选择会对价格、运抵时间造成较大的影响。在运输工作开始前应制定具体的运输工作计划,包括准备工作、运输时间、运输方式和运输路线的确定。对于大型设备要注意选择从港口到施工现场的运输路线,对于贵重物资还要选择购买合适的保险种类。运输方式的选择对采购价格有较大的影响。承包商应根据自身采购部的人员配置和采购经验选择最适合的交货方式。</w:t>
      </w:r>
    </w:p>
    <w:p w14:paraId="0E0C5D1B">
      <w:pPr>
        <w:pStyle w:val="2"/>
        <w:spacing w:before="2" w:line="261" w:lineRule="auto"/>
        <w:ind w:left="1460" w:right="1410" w:firstLine="424"/>
        <w:rPr>
          <w:sz w:val="24"/>
          <w:szCs w:val="24"/>
        </w:rPr>
      </w:pPr>
      <w:r>
        <w:rPr>
          <w:spacing w:val="-19"/>
          <w:sz w:val="24"/>
          <w:szCs w:val="24"/>
        </w:rPr>
        <w:t>材料发放方法：在现场材料管理中，各种材料的发放程序</w:t>
      </w:r>
      <w:r>
        <w:rPr>
          <w:spacing w:val="-20"/>
          <w:sz w:val="24"/>
          <w:szCs w:val="24"/>
        </w:rPr>
        <w:t>基本上是相同的，而发放方法</w:t>
      </w:r>
      <w:r>
        <w:rPr>
          <w:spacing w:val="-21"/>
          <w:sz w:val="24"/>
          <w:szCs w:val="24"/>
        </w:rPr>
        <w:t>却因不同品种、规格而有所不同。</w:t>
      </w:r>
    </w:p>
    <w:p w14:paraId="42C18611">
      <w:pPr>
        <w:pStyle w:val="2"/>
        <w:spacing w:before="120" w:line="262" w:lineRule="auto"/>
        <w:ind w:left="1455" w:right="1410" w:firstLine="429"/>
        <w:rPr>
          <w:sz w:val="24"/>
          <w:szCs w:val="24"/>
        </w:rPr>
      </w:pPr>
      <w:r>
        <w:rPr>
          <w:spacing w:val="-19"/>
          <w:sz w:val="24"/>
          <w:szCs w:val="24"/>
        </w:rPr>
        <w:t>必须提高材料人员的业务素质和管理水平，要对在施工</w:t>
      </w:r>
      <w:r>
        <w:rPr>
          <w:spacing w:val="-20"/>
          <w:sz w:val="24"/>
          <w:szCs w:val="24"/>
        </w:rPr>
        <w:t>的工程概况、施工进度计划、材</w:t>
      </w:r>
      <w:r>
        <w:rPr>
          <w:spacing w:val="-21"/>
          <w:sz w:val="24"/>
          <w:szCs w:val="24"/>
        </w:rPr>
        <w:t>料性能及工艺要求有进一步的了解，便于配合施工生产。</w:t>
      </w:r>
    </w:p>
    <w:p w14:paraId="2CEF986C">
      <w:pPr>
        <w:pStyle w:val="2"/>
        <w:spacing w:before="118" w:line="262" w:lineRule="auto"/>
        <w:ind w:left="1463" w:right="1410" w:firstLine="421"/>
        <w:rPr>
          <w:sz w:val="24"/>
          <w:szCs w:val="24"/>
        </w:rPr>
      </w:pPr>
      <w:r>
        <w:rPr>
          <w:spacing w:val="-19"/>
          <w:sz w:val="24"/>
          <w:szCs w:val="24"/>
        </w:rPr>
        <w:t>根据施工生产需要，按照国家计量法规定，配备足够的计</w:t>
      </w:r>
      <w:r>
        <w:rPr>
          <w:spacing w:val="-20"/>
          <w:sz w:val="24"/>
          <w:szCs w:val="24"/>
        </w:rPr>
        <w:t>量器具，严格执行材料进场及发放的计量检测制度。</w:t>
      </w:r>
    </w:p>
    <w:p w14:paraId="32CDD43A">
      <w:pPr>
        <w:pStyle w:val="2"/>
        <w:spacing w:before="119" w:line="263" w:lineRule="auto"/>
        <w:ind w:left="1460" w:right="1409" w:firstLine="424"/>
        <w:rPr>
          <w:sz w:val="24"/>
          <w:szCs w:val="24"/>
        </w:rPr>
      </w:pPr>
      <w:r>
        <w:rPr>
          <w:spacing w:val="-19"/>
          <w:sz w:val="24"/>
          <w:szCs w:val="24"/>
        </w:rPr>
        <w:t>在材料发放过程中，认真执行定额用料制度，核实工程量</w:t>
      </w:r>
      <w:r>
        <w:rPr>
          <w:spacing w:val="-20"/>
          <w:sz w:val="24"/>
          <w:szCs w:val="24"/>
        </w:rPr>
        <w:t>、材料的品种、规格及定额用量，以免影响施工生产。</w:t>
      </w:r>
    </w:p>
    <w:p w14:paraId="7F804BB3">
      <w:pPr>
        <w:pStyle w:val="2"/>
        <w:spacing w:before="117" w:line="262" w:lineRule="auto"/>
        <w:ind w:left="1455" w:right="1410" w:firstLine="429"/>
        <w:rPr>
          <w:sz w:val="24"/>
          <w:szCs w:val="24"/>
        </w:rPr>
      </w:pPr>
      <w:r>
        <w:rPr>
          <w:spacing w:val="-19"/>
          <w:sz w:val="24"/>
          <w:szCs w:val="24"/>
        </w:rPr>
        <w:t>严格执行材料管理制度，大堆材料清底使用，按计划配套</w:t>
      </w:r>
      <w:r>
        <w:rPr>
          <w:spacing w:val="-20"/>
          <w:sz w:val="24"/>
          <w:szCs w:val="24"/>
        </w:rPr>
        <w:t>发放，以免造成浪费，以及材料堆放场地的不合理占用。</w:t>
      </w:r>
    </w:p>
    <w:p w14:paraId="3A4CF3A5">
      <w:pPr>
        <w:pStyle w:val="2"/>
        <w:spacing w:before="118" w:line="262" w:lineRule="auto"/>
        <w:ind w:left="1456" w:right="1410" w:firstLine="428"/>
        <w:rPr>
          <w:sz w:val="24"/>
          <w:szCs w:val="24"/>
        </w:rPr>
      </w:pPr>
      <w:r>
        <w:rPr>
          <w:spacing w:val="-19"/>
          <w:sz w:val="24"/>
          <w:szCs w:val="24"/>
        </w:rPr>
        <w:t>对价值较高及易损、易坏、易丢的材料，发放时领发双</w:t>
      </w:r>
      <w:r>
        <w:rPr>
          <w:spacing w:val="-20"/>
          <w:sz w:val="24"/>
          <w:szCs w:val="24"/>
        </w:rPr>
        <w:t>方须当面点清，签字认证，并做</w:t>
      </w:r>
      <w:r>
        <w:rPr>
          <w:spacing w:val="-21"/>
          <w:sz w:val="24"/>
          <w:szCs w:val="24"/>
        </w:rPr>
        <w:t>好发放记录。并且要实行承包责任制，防止丢失损坏，以免重</w:t>
      </w:r>
      <w:r>
        <w:rPr>
          <w:spacing w:val="-22"/>
          <w:sz w:val="24"/>
          <w:szCs w:val="24"/>
        </w:rPr>
        <w:t>复领发料的现象发生。</w:t>
      </w:r>
    </w:p>
    <w:p w14:paraId="1336F679">
      <w:pPr>
        <w:pStyle w:val="2"/>
        <w:spacing w:before="69" w:line="216" w:lineRule="auto"/>
        <w:ind w:left="4032"/>
        <w:outlineLvl w:val="1"/>
        <w:rPr>
          <w:sz w:val="30"/>
          <w:szCs w:val="30"/>
        </w:rPr>
      </w:pPr>
      <w:bookmarkStart w:id="209" w:name="bookmark201"/>
      <w:bookmarkEnd w:id="209"/>
      <w:r>
        <w:rPr>
          <w:b/>
          <w:bCs/>
          <w:color w:val="0070C0"/>
          <w:spacing w:val="-24"/>
          <w:sz w:val="30"/>
          <w:szCs w:val="30"/>
        </w:rPr>
        <w:t>第五节、材料进场供应保证措施</w:t>
      </w:r>
    </w:p>
    <w:p w14:paraId="45599675">
      <w:pPr>
        <w:pStyle w:val="2"/>
        <w:spacing w:before="99" w:line="262" w:lineRule="auto"/>
        <w:ind w:left="1457" w:right="1411" w:firstLine="446"/>
        <w:rPr>
          <w:sz w:val="24"/>
          <w:szCs w:val="24"/>
        </w:rPr>
      </w:pPr>
      <w:r>
        <w:rPr>
          <w:spacing w:val="-22"/>
          <w:sz w:val="24"/>
          <w:szCs w:val="24"/>
        </w:rPr>
        <w:t>1、组织好材料供应工作，对于施工用到的几种主要材料</w:t>
      </w:r>
      <w:r>
        <w:rPr>
          <w:spacing w:val="-23"/>
          <w:sz w:val="24"/>
          <w:szCs w:val="24"/>
        </w:rPr>
        <w:t>要做到提前组织，同时由于施工现</w:t>
      </w:r>
      <w:r>
        <w:rPr>
          <w:spacing w:val="-21"/>
          <w:sz w:val="24"/>
          <w:szCs w:val="24"/>
        </w:rPr>
        <w:t>场不宜大量堆放材料因此材料部门将随时根据施工进度，</w:t>
      </w:r>
      <w:r>
        <w:rPr>
          <w:spacing w:val="-22"/>
          <w:sz w:val="24"/>
          <w:szCs w:val="24"/>
        </w:rPr>
        <w:t>分批安排材料进场。</w:t>
      </w:r>
    </w:p>
    <w:p w14:paraId="0EE967BD">
      <w:pPr>
        <w:pStyle w:val="2"/>
        <w:spacing w:before="120" w:line="261" w:lineRule="auto"/>
        <w:ind w:left="1480" w:right="1354" w:firstLine="407"/>
        <w:rPr>
          <w:sz w:val="24"/>
          <w:szCs w:val="24"/>
        </w:rPr>
      </w:pPr>
      <w:r>
        <w:rPr>
          <w:spacing w:val="-26"/>
          <w:sz w:val="24"/>
          <w:szCs w:val="24"/>
        </w:rPr>
        <w:t>2、根据我公司对现场施工用材的质量要求，同时要确保采购的材料能够满足图纸上的标准，</w:t>
      </w:r>
      <w:r>
        <w:rPr>
          <w:spacing w:val="-20"/>
          <w:sz w:val="24"/>
          <w:szCs w:val="24"/>
        </w:rPr>
        <w:t>以及施工中好用，我们要求现场材料部门所购主要材料都要达到国家规范规定的优良品或一级</w:t>
      </w:r>
    </w:p>
    <w:p w14:paraId="20ABB747">
      <w:pPr>
        <w:spacing w:line="261" w:lineRule="auto"/>
        <w:rPr>
          <w:sz w:val="24"/>
          <w:szCs w:val="24"/>
        </w:rPr>
        <w:sectPr>
          <w:footerReference r:id="rId281" w:type="default"/>
          <w:pgSz w:w="11907" w:h="16839"/>
          <w:pgMar w:top="933" w:right="4" w:bottom="1038" w:left="0" w:header="478" w:footer="357" w:gutter="0"/>
          <w:pgBorders>
            <w:top w:val="none" w:sz="0" w:space="0"/>
            <w:left w:val="none" w:sz="0" w:space="0"/>
            <w:bottom w:val="none" w:sz="0" w:space="0"/>
            <w:right w:val="none" w:sz="0" w:space="0"/>
          </w:pgBorders>
          <w:cols w:space="720" w:num="1"/>
        </w:sectPr>
      </w:pPr>
    </w:p>
    <w:p w14:paraId="5CCB104F">
      <w:pPr>
        <w:spacing w:line="271" w:lineRule="auto"/>
        <w:rPr>
          <w:rFonts w:ascii="Arial"/>
          <w:sz w:val="21"/>
        </w:rPr>
      </w:pPr>
    </w:p>
    <w:p w14:paraId="75B77A3B">
      <w:pPr>
        <w:pStyle w:val="2"/>
        <w:spacing w:before="78" w:line="218" w:lineRule="auto"/>
        <w:ind w:left="1482"/>
        <w:rPr>
          <w:sz w:val="24"/>
          <w:szCs w:val="24"/>
        </w:rPr>
      </w:pPr>
      <w:r>
        <w:rPr>
          <w:spacing w:val="-22"/>
          <w:sz w:val="24"/>
          <w:szCs w:val="24"/>
        </w:rPr>
        <w:t>品的标准。</w:t>
      </w:r>
    </w:p>
    <w:p w14:paraId="33E90BB9">
      <w:pPr>
        <w:pStyle w:val="2"/>
        <w:spacing w:before="118" w:line="278" w:lineRule="auto"/>
        <w:ind w:left="1458" w:right="1412" w:firstLine="432"/>
        <w:rPr>
          <w:sz w:val="24"/>
          <w:szCs w:val="24"/>
        </w:rPr>
      </w:pPr>
      <w:r>
        <w:rPr>
          <w:spacing w:val="-22"/>
          <w:sz w:val="24"/>
          <w:szCs w:val="24"/>
        </w:rPr>
        <w:t>3、及时准确地向业主提供料计划且具有超前意识；计划及时准确，关系到工程进度</w:t>
      </w:r>
      <w:r>
        <w:rPr>
          <w:spacing w:val="-23"/>
          <w:sz w:val="24"/>
          <w:szCs w:val="24"/>
        </w:rPr>
        <w:t>的顺利</w:t>
      </w:r>
      <w:r>
        <w:rPr>
          <w:spacing w:val="-20"/>
          <w:sz w:val="24"/>
          <w:szCs w:val="24"/>
        </w:rPr>
        <w:t>进行；也能充分发挥资金效益。因此，我公司将高度重视此项工作，在资料的印、传递方面严</w:t>
      </w:r>
      <w:r>
        <w:rPr>
          <w:spacing w:val="-16"/>
          <w:sz w:val="24"/>
          <w:szCs w:val="24"/>
        </w:rPr>
        <w:t>肃认真。</w:t>
      </w:r>
    </w:p>
    <w:p w14:paraId="337B7651">
      <w:pPr>
        <w:pStyle w:val="2"/>
        <w:spacing w:before="115" w:line="261" w:lineRule="auto"/>
        <w:ind w:left="1469" w:right="1410" w:firstLine="415"/>
        <w:rPr>
          <w:sz w:val="24"/>
          <w:szCs w:val="24"/>
        </w:rPr>
      </w:pPr>
      <w:r>
        <w:rPr>
          <w:spacing w:val="-22"/>
          <w:sz w:val="24"/>
          <w:szCs w:val="24"/>
        </w:rPr>
        <w:t>4、在时间及数量上慎之又慎，决不因为我方工作造成供料混乱。此项工作的落实，对各级管理人员制定岗位责任制，选派具有业务素质高、责任心强的专业材料员来担任此项工作。</w:t>
      </w:r>
    </w:p>
    <w:p w14:paraId="104F406C">
      <w:pPr>
        <w:pStyle w:val="2"/>
        <w:spacing w:before="119" w:line="277" w:lineRule="auto"/>
        <w:ind w:left="1457" w:right="1410" w:firstLine="433"/>
        <w:rPr>
          <w:sz w:val="24"/>
          <w:szCs w:val="24"/>
        </w:rPr>
      </w:pPr>
      <w:r>
        <w:rPr>
          <w:spacing w:val="-22"/>
          <w:sz w:val="24"/>
          <w:szCs w:val="24"/>
        </w:rPr>
        <w:t>5、做好材料供应及保管工作，是我公司为业主服务的具体表现。设置专门仓储库房，配备</w:t>
      </w:r>
      <w:r>
        <w:rPr>
          <w:spacing w:val="-20"/>
          <w:sz w:val="24"/>
          <w:szCs w:val="24"/>
        </w:rPr>
        <w:t>专人看管，对已装和未装的设备、材料进行定期的防护、检查、清洗、加油、回收，建立专职</w:t>
      </w:r>
      <w:r>
        <w:rPr>
          <w:spacing w:val="-21"/>
          <w:sz w:val="24"/>
          <w:szCs w:val="24"/>
        </w:rPr>
        <w:t>保管员及完整的领用手续，保证供应的设备及材料不丢失，</w:t>
      </w:r>
      <w:r>
        <w:rPr>
          <w:spacing w:val="-22"/>
          <w:sz w:val="24"/>
          <w:szCs w:val="24"/>
        </w:rPr>
        <w:t>不浪费。</w:t>
      </w:r>
    </w:p>
    <w:p w14:paraId="7C1C6E8D">
      <w:pPr>
        <w:pStyle w:val="2"/>
        <w:spacing w:before="119" w:line="278" w:lineRule="auto"/>
        <w:ind w:left="1456" w:right="1411" w:firstLine="431"/>
        <w:rPr>
          <w:sz w:val="24"/>
          <w:szCs w:val="24"/>
        </w:rPr>
      </w:pPr>
      <w:r>
        <w:rPr>
          <w:spacing w:val="-22"/>
          <w:sz w:val="24"/>
          <w:szCs w:val="24"/>
        </w:rPr>
        <w:t>6、材料的组织供应是项目部物资管理的中心任务，供应质量的优劣与供应速度的及时准确</w:t>
      </w:r>
      <w:r>
        <w:rPr>
          <w:spacing w:val="-20"/>
          <w:sz w:val="24"/>
          <w:szCs w:val="24"/>
        </w:rPr>
        <w:t>与否是关系到项目部各项工作能否顺利进行的决定因素，所以在做好日常工作管理方面重点抓</w:t>
      </w:r>
      <w:r>
        <w:rPr>
          <w:spacing w:val="-18"/>
          <w:sz w:val="24"/>
          <w:szCs w:val="24"/>
        </w:rPr>
        <w:t>好如下几点：</w:t>
      </w:r>
    </w:p>
    <w:p w14:paraId="6941B790">
      <w:pPr>
        <w:pStyle w:val="2"/>
        <w:spacing w:before="117" w:line="277" w:lineRule="auto"/>
        <w:ind w:left="1458" w:right="1414" w:firstLine="434"/>
        <w:rPr>
          <w:sz w:val="24"/>
          <w:szCs w:val="24"/>
        </w:rPr>
      </w:pPr>
      <w:r>
        <w:rPr>
          <w:spacing w:val="-22"/>
          <w:sz w:val="24"/>
          <w:szCs w:val="24"/>
        </w:rPr>
        <w:t>（1）加强材料计划的及时性、准确性、严肃性：项目部将执行规范化的计</w:t>
      </w:r>
      <w:r>
        <w:rPr>
          <w:spacing w:val="-23"/>
          <w:sz w:val="24"/>
          <w:szCs w:val="24"/>
        </w:rPr>
        <w:t>划编制、审核、</w:t>
      </w:r>
      <w:r>
        <w:rPr>
          <w:spacing w:val="-20"/>
          <w:sz w:val="24"/>
          <w:szCs w:val="24"/>
        </w:rPr>
        <w:t>采购制度，做到供应工作的不同阶段有不同的人负责，坚决杜绝计划盲目性，铺张浪费的不严</w:t>
      </w:r>
      <w:r>
        <w:rPr>
          <w:spacing w:val="-18"/>
          <w:sz w:val="24"/>
          <w:szCs w:val="24"/>
        </w:rPr>
        <w:t>肃工作作风。</w:t>
      </w:r>
    </w:p>
    <w:p w14:paraId="60231BD0">
      <w:pPr>
        <w:pStyle w:val="2"/>
        <w:spacing w:before="120" w:line="277" w:lineRule="auto"/>
        <w:ind w:left="1455" w:right="1335" w:firstLine="437"/>
        <w:rPr>
          <w:sz w:val="24"/>
          <w:szCs w:val="24"/>
        </w:rPr>
      </w:pPr>
      <w:r>
        <w:rPr>
          <w:spacing w:val="-22"/>
          <w:sz w:val="24"/>
          <w:szCs w:val="24"/>
        </w:rPr>
        <w:t>（2）加强采购成本的控制：在保证质量、数量供货及时的基础上，降低采购成本是提</w:t>
      </w:r>
      <w:r>
        <w:rPr>
          <w:spacing w:val="-23"/>
          <w:sz w:val="24"/>
          <w:szCs w:val="24"/>
        </w:rPr>
        <w:t>高项</w:t>
      </w:r>
      <w:r>
        <w:rPr>
          <w:spacing w:val="-20"/>
          <w:sz w:val="24"/>
          <w:szCs w:val="24"/>
        </w:rPr>
        <w:t>目施工效益的重要环节。为此，项目部将坚持材料采购在“三比一算”的基础上进行。任何材</w:t>
      </w:r>
      <w:r>
        <w:rPr>
          <w:spacing w:val="-23"/>
          <w:sz w:val="24"/>
          <w:szCs w:val="24"/>
        </w:rPr>
        <w:t>料工具的采购必须有采购通知单及严格的验收库制度，采购员不得接受任何人随意的</w:t>
      </w:r>
      <w:r>
        <w:rPr>
          <w:spacing w:val="-24"/>
          <w:sz w:val="24"/>
          <w:szCs w:val="24"/>
        </w:rPr>
        <w:t>采购指令。</w:t>
      </w:r>
    </w:p>
    <w:p w14:paraId="78442FE9">
      <w:pPr>
        <w:pStyle w:val="2"/>
        <w:spacing w:before="120" w:line="277" w:lineRule="auto"/>
        <w:ind w:left="1456" w:right="1412" w:firstLine="436"/>
        <w:rPr>
          <w:sz w:val="24"/>
          <w:szCs w:val="24"/>
        </w:rPr>
      </w:pPr>
      <w:r>
        <w:rPr>
          <w:spacing w:val="-22"/>
          <w:sz w:val="24"/>
          <w:szCs w:val="24"/>
        </w:rPr>
        <w:t>（3）坚持审批的环节：项目部在做好自身计划的审批工作的基础上，同时也做</w:t>
      </w:r>
      <w:r>
        <w:rPr>
          <w:spacing w:val="-23"/>
          <w:sz w:val="24"/>
          <w:szCs w:val="24"/>
        </w:rPr>
        <w:t>好对业主的</w:t>
      </w:r>
      <w:r>
        <w:rPr>
          <w:spacing w:val="-20"/>
          <w:sz w:val="24"/>
          <w:szCs w:val="24"/>
        </w:rPr>
        <w:t>报批工作，对实行调整的大宗材料应事先报送业主方进行价格、厂家的审批，在审批的基础上</w:t>
      </w:r>
      <w:r>
        <w:rPr>
          <w:spacing w:val="-21"/>
          <w:sz w:val="24"/>
          <w:szCs w:val="24"/>
        </w:rPr>
        <w:t>进行采购。未经审批的材料决不自行采购，决不先斩后奏。</w:t>
      </w:r>
    </w:p>
    <w:p w14:paraId="4B9EBBD1">
      <w:pPr>
        <w:pStyle w:val="2"/>
        <w:spacing w:before="119" w:line="285" w:lineRule="auto"/>
        <w:ind w:left="1455" w:right="1342" w:firstLine="437"/>
        <w:rPr>
          <w:sz w:val="24"/>
          <w:szCs w:val="24"/>
        </w:rPr>
      </w:pPr>
      <w:r>
        <w:rPr>
          <w:spacing w:val="-20"/>
          <w:sz w:val="24"/>
          <w:szCs w:val="24"/>
        </w:rPr>
        <w:t>（4）加强保管、及时回收：做好材料的保管、领用工作</w:t>
      </w:r>
      <w:r>
        <w:rPr>
          <w:spacing w:val="-21"/>
          <w:sz w:val="24"/>
          <w:szCs w:val="24"/>
        </w:rPr>
        <w:t>是保证材料供应供应不乱的基础，</w:t>
      </w:r>
      <w:r>
        <w:rPr>
          <w:spacing w:val="-23"/>
          <w:sz w:val="24"/>
          <w:szCs w:val="24"/>
        </w:rPr>
        <w:t>项目部坚持执行限额领料制度，凭计划发料，在保管工作上配备专业的</w:t>
      </w:r>
      <w:r>
        <w:rPr>
          <w:spacing w:val="-24"/>
          <w:sz w:val="24"/>
          <w:szCs w:val="24"/>
        </w:rPr>
        <w:t>保管工人，保证账、卡、</w:t>
      </w:r>
      <w:r>
        <w:rPr>
          <w:spacing w:val="-20"/>
          <w:sz w:val="24"/>
          <w:szCs w:val="24"/>
        </w:rPr>
        <w:t>物相符。保证仓库的材料不变质、不受损。同时利用保洁队和班组材料节约奖励的办法，做好</w:t>
      </w:r>
      <w:r>
        <w:rPr>
          <w:spacing w:val="-21"/>
          <w:sz w:val="24"/>
          <w:szCs w:val="24"/>
        </w:rPr>
        <w:t>材料的回收利用，做到能使用的决不浪费。</w:t>
      </w:r>
    </w:p>
    <w:p w14:paraId="6E95B0D1">
      <w:pPr>
        <w:pStyle w:val="2"/>
        <w:spacing w:before="85" w:line="216" w:lineRule="auto"/>
        <w:ind w:left="1981"/>
        <w:outlineLvl w:val="2"/>
        <w:rPr>
          <w:sz w:val="28"/>
          <w:szCs w:val="28"/>
        </w:rPr>
      </w:pPr>
      <w:bookmarkStart w:id="210" w:name="bookmark202"/>
      <w:bookmarkEnd w:id="210"/>
      <w:r>
        <w:rPr>
          <w:b/>
          <w:bCs/>
          <w:spacing w:val="-23"/>
          <w:sz w:val="28"/>
          <w:szCs w:val="28"/>
        </w:rPr>
        <w:t>一、工程材料采购进场计划</w:t>
      </w:r>
    </w:p>
    <w:p w14:paraId="21F38416">
      <w:pPr>
        <w:pStyle w:val="2"/>
        <w:spacing w:before="105" w:line="279" w:lineRule="auto"/>
        <w:ind w:left="1457" w:right="1410" w:firstLine="435"/>
        <w:jc w:val="both"/>
        <w:rPr>
          <w:sz w:val="24"/>
          <w:szCs w:val="24"/>
        </w:rPr>
      </w:pPr>
      <w:r>
        <w:rPr>
          <w:spacing w:val="-20"/>
          <w:sz w:val="24"/>
          <w:szCs w:val="24"/>
        </w:rPr>
        <w:t>材料供应措施是项目部物资管理的中心任务，供应质量的优劣与供应速度的及时准确与否是关系到项目部各项工作能否顺利进行的决定因素，在做好日常工作管理方面重点抓好如下几</w:t>
      </w:r>
      <w:r>
        <w:rPr>
          <w:spacing w:val="-23"/>
          <w:sz w:val="24"/>
          <w:szCs w:val="24"/>
        </w:rPr>
        <w:t>点：</w:t>
      </w:r>
    </w:p>
    <w:tbl>
      <w:tblPr>
        <w:tblStyle w:val="6"/>
        <w:tblW w:w="8917" w:type="dxa"/>
        <w:tblInd w:w="1495" w:type="dxa"/>
        <w:tblBorders>
          <w:top w:val="single" w:color="5B9BD5" w:sz="4" w:space="0"/>
          <w:left w:val="single" w:color="5B9BD5" w:sz="4" w:space="0"/>
          <w:bottom w:val="single" w:color="5B9BD5" w:sz="4" w:space="0"/>
          <w:right w:val="single" w:color="5B9BD5" w:sz="4" w:space="0"/>
          <w:insideH w:val="single" w:color="5B9BD5" w:sz="4" w:space="0"/>
          <w:insideV w:val="single" w:color="5B9BD5" w:sz="4" w:space="0"/>
        </w:tblBorders>
        <w:tblLayout w:type="fixed"/>
        <w:tblCellMar>
          <w:top w:w="0" w:type="dxa"/>
          <w:left w:w="0" w:type="dxa"/>
          <w:bottom w:w="0" w:type="dxa"/>
          <w:right w:w="0" w:type="dxa"/>
        </w:tblCellMar>
      </w:tblPr>
      <w:tblGrid>
        <w:gridCol w:w="892"/>
        <w:gridCol w:w="1700"/>
        <w:gridCol w:w="4627"/>
        <w:gridCol w:w="1469"/>
        <w:gridCol w:w="229"/>
      </w:tblGrid>
      <w:tr w14:paraId="5596D758">
        <w:tblPrEx>
          <w:tblBorders>
            <w:top w:val="single" w:color="5B9BD5" w:sz="4" w:space="0"/>
            <w:left w:val="single" w:color="5B9BD5" w:sz="4" w:space="0"/>
            <w:bottom w:val="single" w:color="5B9BD5" w:sz="4" w:space="0"/>
            <w:right w:val="single" w:color="5B9BD5" w:sz="4" w:space="0"/>
            <w:insideH w:val="single" w:color="5B9BD5" w:sz="4" w:space="0"/>
            <w:insideV w:val="single" w:color="5B9BD5" w:sz="4" w:space="0"/>
          </w:tblBorders>
          <w:tblCellMar>
            <w:top w:w="0" w:type="dxa"/>
            <w:left w:w="0" w:type="dxa"/>
            <w:bottom w:w="0" w:type="dxa"/>
            <w:right w:w="0" w:type="dxa"/>
          </w:tblCellMar>
        </w:tblPrEx>
        <w:trPr>
          <w:trHeight w:val="1276" w:hRule="atLeast"/>
        </w:trPr>
        <w:tc>
          <w:tcPr>
            <w:tcW w:w="892" w:type="dxa"/>
            <w:vMerge w:val="restart"/>
            <w:tcBorders>
              <w:bottom w:val="nil"/>
              <w:right w:val="single" w:color="000000" w:sz="2" w:space="0"/>
            </w:tcBorders>
            <w:shd w:val="clear" w:color="auto" w:fill="DEEAF6"/>
            <w:vAlign w:val="top"/>
          </w:tcPr>
          <w:p w14:paraId="0F9CB2A2">
            <w:pPr>
              <w:spacing w:before="33" w:line="60" w:lineRule="exact"/>
              <w:ind w:firstLine="33"/>
            </w:pPr>
            <w:r>
              <w:pict>
                <v:shape id="_x0000_s3765" o:spid="_x0000_s3765" style="position:absolute;left:0pt;margin-left:-0.2pt;margin-top:66.1pt;height:0.75pt;width:2.2pt;mso-position-horizontal-relative:page;mso-position-vertical-relative:page;z-index:252204032;mso-width-relative:page;mso-height-relative:page;" fillcolor="#5B9BD5" filled="t" stroked="f" coordsize="44,15" path="m0,14l43,14,43,0,0,0,0,14xe">
                  <v:path/>
                  <v:fill on="t" focussize="0,0"/>
                  <v:stroke on="f"/>
                  <v:imagedata o:title=""/>
                  <o:lock v:ext="edit"/>
                </v:shape>
              </w:pict>
            </w:r>
            <w:r>
              <w:pict>
                <v:shape id="_x0000_s3766" o:spid="_x0000_s3766" style="position:absolute;left:0pt;margin-left:1.95pt;margin-top:64.65pt;height:0.75pt;width:41.2pt;mso-position-horizontal-relative:page;mso-position-vertical-relative:page;z-index:252203008;mso-width-relative:page;mso-height-relative:page;" fillcolor="#1C456A" filled="t" stroked="f" coordsize="824,15" path="m0,14l823,14,823,0,0,0,0,14xe">
                  <v:path/>
                  <v:fill on="t" focussize="0,0"/>
                  <v:stroke on="f"/>
                  <v:imagedata o:title=""/>
                  <o:lock v:ext="edit"/>
                </v:shape>
              </w:pict>
            </w:r>
            <w:r>
              <w:pict>
                <v:shape id="_x0000_s3767" o:spid="_x0000_s3767" style="position:absolute;left:0pt;margin-left:-0.2pt;margin-top:0pt;height:0.75pt;width:2.2pt;mso-position-horizontal-relative:page;mso-position-vertical-relative:page;z-index:252205056;mso-width-relative:page;mso-height-relative:page;" fillcolor="#5B9BD5" filled="t" stroked="f" coordsize="44,15" path="m0,14l43,14,43,0,0,0,0,14xe">
                  <v:path/>
                  <v:fill on="t" focussize="0,0"/>
                  <v:stroke on="f"/>
                  <v:imagedata o:title=""/>
                  <o:lock v:ext="edit"/>
                </v:shape>
              </w:pict>
            </w:r>
            <w:r>
              <w:rPr>
                <w:position w:val="-1"/>
              </w:rPr>
              <w:pict>
                <v:shape id="_x0000_s3768" o:spid="_x0000_s3768" style="height:3pt;width:41.2pt;" fillcolor="#DEEAF6" filled="t" stroked="f" coordsize="824,60" path="m0,60l823,60,823,0,0,0,0,60xe">
                  <v:path/>
                  <v:fill on="t" focussize="0,0"/>
                  <v:stroke on="f"/>
                  <v:imagedata o:title=""/>
                  <o:lock v:ext="edit"/>
                  <w10:wrap type="none"/>
                  <w10:anchorlock/>
                </v:shape>
              </w:pict>
            </w:r>
          </w:p>
          <w:p w14:paraId="2F97BADF">
            <w:pPr>
              <w:spacing w:line="287" w:lineRule="auto"/>
              <w:rPr>
                <w:rFonts w:ascii="Arial"/>
                <w:sz w:val="21"/>
              </w:rPr>
            </w:pPr>
          </w:p>
          <w:p w14:paraId="6165A30F">
            <w:pPr>
              <w:pStyle w:val="7"/>
              <w:spacing w:before="78" w:line="218" w:lineRule="auto"/>
              <w:ind w:left="231"/>
            </w:pPr>
            <w:r>
              <w:rPr>
                <w:b/>
                <w:bCs/>
                <w:spacing w:val="-12"/>
              </w:rPr>
              <w:t>序号</w:t>
            </w:r>
          </w:p>
          <w:p w14:paraId="5863B49A">
            <w:pPr>
              <w:spacing w:line="476" w:lineRule="auto"/>
              <w:rPr>
                <w:rFonts w:ascii="Arial"/>
                <w:sz w:val="21"/>
              </w:rPr>
            </w:pPr>
          </w:p>
          <w:p w14:paraId="111337BA">
            <w:pPr>
              <w:spacing w:line="58" w:lineRule="exact"/>
              <w:ind w:firstLine="11"/>
            </w:pPr>
            <w:r>
              <w:rPr>
                <w:position w:val="-1"/>
              </w:rPr>
              <w:pict>
                <v:shape id="_x0000_s3769" o:spid="_x0000_s3769" style="height:2.9pt;width:42.5pt;" fillcolor="#DEEAF6" filled="t" stroked="f" coordsize="850,58" path="m0,57l849,57,849,0,0,0,0,57xe">
                  <v:path/>
                  <v:fill on="t" focussize="0,0"/>
                  <v:stroke on="f"/>
                  <v:imagedata o:title=""/>
                  <o:lock v:ext="edit"/>
                  <w10:wrap type="none"/>
                  <w10:anchorlock/>
                </v:shape>
              </w:pict>
            </w:r>
          </w:p>
        </w:tc>
        <w:tc>
          <w:tcPr>
            <w:tcW w:w="1700" w:type="dxa"/>
            <w:vMerge w:val="restart"/>
            <w:tcBorders>
              <w:left w:val="single" w:color="000000" w:sz="2" w:space="0"/>
              <w:bottom w:val="nil"/>
              <w:right w:val="single" w:color="000000" w:sz="2" w:space="0"/>
            </w:tcBorders>
            <w:shd w:val="clear" w:color="auto" w:fill="DEEAF6"/>
            <w:vAlign w:val="top"/>
          </w:tcPr>
          <w:p w14:paraId="1060D823">
            <w:pPr>
              <w:pStyle w:val="7"/>
              <w:spacing w:before="227" w:line="219" w:lineRule="auto"/>
              <w:ind w:left="296"/>
            </w:pPr>
            <w:r>
              <w:pict>
                <v:shape id="_x0000_s3770" o:spid="_x0000_s3770" style="position:absolute;left:0pt;margin-left:0.7pt;margin-top:64.65pt;height:0.75pt;width:82.95pt;mso-position-horizontal-relative:page;mso-position-vertical-relative:page;z-index:252201984;mso-width-relative:page;mso-height-relative:page;" fillcolor="#1C456A" filled="t" stroked="f" coordsize="1658,15" path="m0,14l1658,14,1658,0,0,0,0,14xe">
                  <v:path/>
                  <v:fill on="t" focussize="0,0"/>
                  <v:stroke on="f"/>
                  <v:imagedata o:title=""/>
                  <o:lock v:ext="edit"/>
                </v:shape>
              </w:pict>
            </w:r>
            <w:r>
              <w:rPr>
                <w:b/>
                <w:bCs/>
                <w:spacing w:val="-20"/>
              </w:rPr>
              <w:t>主要施工材</w:t>
            </w:r>
          </w:p>
          <w:p w14:paraId="40D98983">
            <w:pPr>
              <w:pStyle w:val="7"/>
              <w:spacing w:before="181" w:line="216" w:lineRule="auto"/>
              <w:ind w:left="728"/>
            </w:pPr>
            <w:r>
              <w:rPr>
                <w:b/>
                <w:bCs/>
                <w:spacing w:val="-3"/>
              </w:rPr>
              <w:t>料</w:t>
            </w:r>
          </w:p>
        </w:tc>
        <w:tc>
          <w:tcPr>
            <w:tcW w:w="4627" w:type="dxa"/>
            <w:tcBorders>
              <w:left w:val="single" w:color="000000" w:sz="2" w:space="0"/>
              <w:bottom w:val="single" w:color="1C456A" w:sz="8" w:space="0"/>
              <w:right w:val="single" w:color="000000" w:sz="2" w:space="0"/>
            </w:tcBorders>
            <w:shd w:val="clear" w:color="auto" w:fill="DEEAF6"/>
            <w:vAlign w:val="top"/>
          </w:tcPr>
          <w:p w14:paraId="4600FCE3">
            <w:pPr>
              <w:spacing w:line="18" w:lineRule="exact"/>
              <w:ind w:firstLine="4601"/>
            </w:pPr>
            <w:r>
              <w:pict>
                <v:group id="_x0000_s3771" o:spid="_x0000_s3771" o:spt="203" style="height:1.45pt;width:2.2pt;" coordsize="44,29">
                  <o:lock v:ext="edit"/>
                  <v:shape id="_x0000_s3772" o:spid="_x0000_s3772" style="position:absolute;left:0;top:0;height:15;width:44;" fillcolor="#5B9BD5" filled="t" stroked="f" coordsize="44,15" path="m0,14l43,14,43,0,0,0,0,14xe">
                    <v:path/>
                    <v:fill on="t" focussize="0,0"/>
                    <v:stroke on="f"/>
                    <v:imagedata o:title=""/>
                    <o:lock v:ext="edit"/>
                  </v:shape>
                  <v:shape id="_x0000_s3773" o:spid="_x0000_s3773" style="position:absolute;left:0;top:14;height:15;width:44;" fillcolor="#20507B" filled="t" stroked="f" coordsize="44,15" path="m0,14l43,14,43,0,0,0,0,14xe">
                    <v:path/>
                    <v:fill on="t" focussize="0,0"/>
                    <v:stroke on="f"/>
                    <v:imagedata o:title=""/>
                    <o:lock v:ext="edit"/>
                  </v:shape>
                  <w10:wrap type="none"/>
                  <w10:anchorlock/>
                </v:group>
              </w:pict>
            </w:r>
          </w:p>
          <w:p w14:paraId="29B7BA78">
            <w:pPr>
              <w:spacing w:line="361" w:lineRule="auto"/>
              <w:rPr>
                <w:rFonts w:ascii="Arial"/>
                <w:sz w:val="21"/>
              </w:rPr>
            </w:pPr>
          </w:p>
          <w:p w14:paraId="36E4CC3A">
            <w:pPr>
              <w:pStyle w:val="7"/>
              <w:spacing w:before="78" w:line="216" w:lineRule="auto"/>
              <w:ind w:left="1755"/>
            </w:pPr>
            <w:r>
              <w:rPr>
                <w:b/>
                <w:bCs/>
                <w:spacing w:val="-19"/>
              </w:rPr>
              <w:t>材料示意图</w:t>
            </w:r>
          </w:p>
        </w:tc>
        <w:tc>
          <w:tcPr>
            <w:tcW w:w="1469" w:type="dxa"/>
            <w:vMerge w:val="restart"/>
            <w:tcBorders>
              <w:left w:val="single" w:color="000000" w:sz="2" w:space="0"/>
              <w:bottom w:val="nil"/>
              <w:right w:val="nil"/>
            </w:tcBorders>
            <w:shd w:val="clear" w:color="auto" w:fill="DEEAF6"/>
            <w:vAlign w:val="top"/>
          </w:tcPr>
          <w:p w14:paraId="1640EEF3">
            <w:pPr>
              <w:spacing w:line="380" w:lineRule="auto"/>
              <w:rPr>
                <w:rFonts w:ascii="Arial"/>
                <w:sz w:val="21"/>
              </w:rPr>
            </w:pPr>
          </w:p>
          <w:p w14:paraId="5ED13703">
            <w:pPr>
              <w:pStyle w:val="7"/>
              <w:spacing w:before="78" w:line="219" w:lineRule="auto"/>
              <w:ind w:left="407"/>
            </w:pPr>
            <w:r>
              <w:rPr>
                <w:b/>
                <w:bCs/>
                <w:spacing w:val="-18"/>
              </w:rPr>
              <w:t>进场时间</w:t>
            </w:r>
          </w:p>
        </w:tc>
        <w:tc>
          <w:tcPr>
            <w:tcW w:w="229" w:type="dxa"/>
            <w:vMerge w:val="restart"/>
            <w:tcBorders>
              <w:left w:val="nil"/>
              <w:bottom w:val="nil"/>
            </w:tcBorders>
            <w:shd w:val="clear" w:color="auto" w:fill="DEEAF6"/>
            <w:vAlign w:val="top"/>
          </w:tcPr>
          <w:p w14:paraId="489CD612">
            <w:pPr>
              <w:rPr>
                <w:rFonts w:ascii="Arial"/>
                <w:sz w:val="21"/>
              </w:rPr>
            </w:pPr>
            <w:r>
              <w:pict>
                <v:shape id="_x0000_s3774" o:spid="_x0000_s3774" style="position:absolute;left:0pt;margin-left:9.55pt;margin-top:0pt;height:0.75pt;width:2.2pt;mso-position-horizontal-relative:page;mso-position-vertical-relative:page;z-index:252200960;mso-width-relative:page;mso-height-relative:page;" fillcolor="#5B9BD5" filled="t" stroked="f" coordsize="44,15" path="m0,14l43,14,43,0,0,0,0,14xe">
                  <v:path/>
                  <v:fill on="t" focussize="0,0"/>
                  <v:stroke on="f"/>
                  <v:imagedata o:title=""/>
                  <o:lock v:ext="edit"/>
                </v:shape>
              </w:pict>
            </w:r>
          </w:p>
        </w:tc>
      </w:tr>
      <w:tr w14:paraId="585283E9">
        <w:tblPrEx>
          <w:tblBorders>
            <w:top w:val="single" w:color="5B9BD5" w:sz="4" w:space="0"/>
            <w:left w:val="single" w:color="5B9BD5" w:sz="4" w:space="0"/>
            <w:bottom w:val="single" w:color="5B9BD5" w:sz="4" w:space="0"/>
            <w:right w:val="single" w:color="5B9BD5" w:sz="4" w:space="0"/>
            <w:insideH w:val="single" w:color="5B9BD5" w:sz="4" w:space="0"/>
            <w:insideV w:val="single" w:color="5B9BD5" w:sz="4" w:space="0"/>
          </w:tblBorders>
          <w:tblCellMar>
            <w:top w:w="0" w:type="dxa"/>
            <w:left w:w="0" w:type="dxa"/>
            <w:bottom w:w="0" w:type="dxa"/>
            <w:right w:w="0" w:type="dxa"/>
          </w:tblCellMar>
        </w:tblPrEx>
        <w:trPr>
          <w:trHeight w:val="20" w:hRule="atLeast"/>
        </w:trPr>
        <w:tc>
          <w:tcPr>
            <w:tcW w:w="892" w:type="dxa"/>
            <w:vMerge w:val="continue"/>
            <w:tcBorders>
              <w:top w:val="nil"/>
              <w:right w:val="single" w:color="000000" w:sz="2" w:space="0"/>
            </w:tcBorders>
            <w:vAlign w:val="top"/>
          </w:tcPr>
          <w:p w14:paraId="4ED48B1E">
            <w:pPr>
              <w:rPr>
                <w:rFonts w:ascii="Arial"/>
                <w:sz w:val="21"/>
              </w:rPr>
            </w:pPr>
          </w:p>
        </w:tc>
        <w:tc>
          <w:tcPr>
            <w:tcW w:w="1700" w:type="dxa"/>
            <w:vMerge w:val="continue"/>
            <w:tcBorders>
              <w:top w:val="nil"/>
              <w:left w:val="single" w:color="000000" w:sz="2" w:space="0"/>
              <w:right w:val="single" w:color="000000" w:sz="2" w:space="0"/>
            </w:tcBorders>
            <w:vAlign w:val="top"/>
          </w:tcPr>
          <w:p w14:paraId="6F468774">
            <w:pPr>
              <w:rPr>
                <w:rFonts w:ascii="Arial"/>
                <w:sz w:val="21"/>
              </w:rPr>
            </w:pPr>
          </w:p>
        </w:tc>
        <w:tc>
          <w:tcPr>
            <w:tcW w:w="4627" w:type="dxa"/>
            <w:tcBorders>
              <w:top w:val="single" w:color="1C456A" w:sz="2" w:space="0"/>
              <w:left w:val="single" w:color="000000" w:sz="2" w:space="0"/>
              <w:right w:val="single" w:color="000000" w:sz="2" w:space="0"/>
            </w:tcBorders>
            <w:vAlign w:val="top"/>
          </w:tcPr>
          <w:p w14:paraId="1A94CF75">
            <w:pPr>
              <w:spacing w:line="104" w:lineRule="auto"/>
              <w:rPr>
                <w:rFonts w:ascii="Arial"/>
                <w:sz w:val="2"/>
              </w:rPr>
            </w:pPr>
          </w:p>
        </w:tc>
        <w:tc>
          <w:tcPr>
            <w:tcW w:w="1469" w:type="dxa"/>
            <w:vMerge w:val="continue"/>
            <w:tcBorders>
              <w:top w:val="nil"/>
              <w:left w:val="single" w:color="000000" w:sz="2" w:space="0"/>
              <w:right w:val="nil"/>
            </w:tcBorders>
            <w:vAlign w:val="top"/>
          </w:tcPr>
          <w:p w14:paraId="3E803E88">
            <w:pPr>
              <w:rPr>
                <w:rFonts w:ascii="Arial"/>
                <w:sz w:val="21"/>
              </w:rPr>
            </w:pPr>
          </w:p>
        </w:tc>
        <w:tc>
          <w:tcPr>
            <w:tcW w:w="229" w:type="dxa"/>
            <w:vMerge w:val="continue"/>
            <w:tcBorders>
              <w:top w:val="nil"/>
              <w:left w:val="nil"/>
            </w:tcBorders>
            <w:vAlign w:val="top"/>
          </w:tcPr>
          <w:p w14:paraId="1B902C2B">
            <w:pPr>
              <w:rPr>
                <w:rFonts w:ascii="Arial"/>
                <w:sz w:val="21"/>
              </w:rPr>
            </w:pPr>
          </w:p>
        </w:tc>
      </w:tr>
    </w:tbl>
    <w:p w14:paraId="4A618090">
      <w:pPr>
        <w:rPr>
          <w:rFonts w:ascii="Arial"/>
          <w:sz w:val="21"/>
        </w:rPr>
      </w:pPr>
    </w:p>
    <w:p w14:paraId="7F094936">
      <w:pPr>
        <w:rPr>
          <w:rFonts w:ascii="Arial" w:hAnsi="Arial" w:eastAsia="Arial" w:cs="Arial"/>
          <w:sz w:val="21"/>
          <w:szCs w:val="21"/>
        </w:rPr>
        <w:sectPr>
          <w:footerReference r:id="rId282" w:type="default"/>
          <w:pgSz w:w="11907" w:h="16839"/>
          <w:pgMar w:top="933" w:right="4" w:bottom="1038" w:left="0" w:header="478" w:footer="357" w:gutter="0"/>
          <w:pgBorders>
            <w:top w:val="none" w:sz="0" w:space="0"/>
            <w:left w:val="none" w:sz="0" w:space="0"/>
            <w:bottom w:val="none" w:sz="0" w:space="0"/>
            <w:right w:val="none" w:sz="0" w:space="0"/>
          </w:pgBorders>
          <w:cols w:space="720" w:num="1"/>
        </w:sectPr>
      </w:pPr>
    </w:p>
    <w:p w14:paraId="22A70507">
      <w:pPr>
        <w:spacing w:line="235" w:lineRule="exact"/>
      </w:pPr>
    </w:p>
    <w:tbl>
      <w:tblPr>
        <w:tblStyle w:val="6"/>
        <w:tblW w:w="8917" w:type="dxa"/>
        <w:tblInd w:w="149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21"/>
        <w:gridCol w:w="650"/>
        <w:gridCol w:w="1700"/>
        <w:gridCol w:w="4627"/>
        <w:gridCol w:w="1719"/>
      </w:tblGrid>
      <w:tr w14:paraId="69249D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74" w:hRule="atLeast"/>
        </w:trPr>
        <w:tc>
          <w:tcPr>
            <w:tcW w:w="871" w:type="dxa"/>
            <w:gridSpan w:val="2"/>
            <w:tcBorders>
              <w:top w:val="single" w:color="000000" w:sz="4" w:space="0"/>
              <w:left w:val="single" w:color="000000" w:sz="4" w:space="0"/>
            </w:tcBorders>
            <w:vAlign w:val="top"/>
          </w:tcPr>
          <w:p w14:paraId="62DBF3B2">
            <w:pPr>
              <w:spacing w:line="274" w:lineRule="auto"/>
              <w:rPr>
                <w:rFonts w:ascii="Arial"/>
                <w:sz w:val="21"/>
              </w:rPr>
            </w:pPr>
          </w:p>
          <w:p w14:paraId="19645399">
            <w:pPr>
              <w:spacing w:line="274" w:lineRule="auto"/>
              <w:rPr>
                <w:rFonts w:ascii="Arial"/>
                <w:sz w:val="21"/>
              </w:rPr>
            </w:pPr>
          </w:p>
          <w:p w14:paraId="68CB7B47">
            <w:pPr>
              <w:spacing w:line="274" w:lineRule="auto"/>
              <w:rPr>
                <w:rFonts w:ascii="Arial"/>
                <w:sz w:val="21"/>
              </w:rPr>
            </w:pPr>
          </w:p>
          <w:p w14:paraId="5C7AE6F1">
            <w:pPr>
              <w:spacing w:line="274" w:lineRule="auto"/>
              <w:rPr>
                <w:rFonts w:ascii="Arial"/>
                <w:sz w:val="21"/>
              </w:rPr>
            </w:pPr>
          </w:p>
          <w:p w14:paraId="227959B9">
            <w:pPr>
              <w:spacing w:line="274" w:lineRule="auto"/>
              <w:rPr>
                <w:rFonts w:ascii="Arial"/>
                <w:sz w:val="21"/>
              </w:rPr>
            </w:pPr>
          </w:p>
          <w:p w14:paraId="07F033A6">
            <w:pPr>
              <w:pStyle w:val="7"/>
              <w:spacing w:before="78" w:line="238" w:lineRule="auto"/>
              <w:ind w:left="407"/>
            </w:pPr>
            <w:r>
              <w:t>1</w:t>
            </w:r>
          </w:p>
        </w:tc>
        <w:tc>
          <w:tcPr>
            <w:tcW w:w="1700" w:type="dxa"/>
            <w:tcBorders>
              <w:top w:val="single" w:color="000000" w:sz="4" w:space="0"/>
            </w:tcBorders>
            <w:vAlign w:val="top"/>
          </w:tcPr>
          <w:p w14:paraId="415C6A0D">
            <w:pPr>
              <w:spacing w:line="274" w:lineRule="auto"/>
              <w:rPr>
                <w:rFonts w:ascii="Arial"/>
                <w:sz w:val="21"/>
              </w:rPr>
            </w:pPr>
          </w:p>
          <w:p w14:paraId="0EF5B294">
            <w:pPr>
              <w:spacing w:line="274" w:lineRule="auto"/>
              <w:rPr>
                <w:rFonts w:ascii="Arial"/>
                <w:sz w:val="21"/>
              </w:rPr>
            </w:pPr>
          </w:p>
          <w:p w14:paraId="58D3B170">
            <w:pPr>
              <w:spacing w:line="274" w:lineRule="auto"/>
              <w:rPr>
                <w:rFonts w:ascii="Arial"/>
                <w:sz w:val="21"/>
              </w:rPr>
            </w:pPr>
          </w:p>
          <w:p w14:paraId="0C434E73">
            <w:pPr>
              <w:spacing w:line="274" w:lineRule="auto"/>
              <w:rPr>
                <w:rFonts w:ascii="Arial"/>
                <w:sz w:val="21"/>
              </w:rPr>
            </w:pPr>
          </w:p>
          <w:p w14:paraId="0E5C1C28">
            <w:pPr>
              <w:spacing w:line="275" w:lineRule="auto"/>
              <w:rPr>
                <w:rFonts w:ascii="Arial"/>
                <w:sz w:val="21"/>
              </w:rPr>
            </w:pPr>
          </w:p>
          <w:p w14:paraId="6FCA694B">
            <w:pPr>
              <w:pStyle w:val="7"/>
              <w:spacing w:before="78" w:line="222" w:lineRule="auto"/>
              <w:ind w:left="535"/>
            </w:pPr>
            <w:r>
              <w:rPr>
                <w:spacing w:val="-14"/>
              </w:rPr>
              <w:t>混凝土</w:t>
            </w:r>
          </w:p>
        </w:tc>
        <w:tc>
          <w:tcPr>
            <w:tcW w:w="4627" w:type="dxa"/>
            <w:tcBorders>
              <w:top w:val="single" w:color="000000" w:sz="4" w:space="0"/>
            </w:tcBorders>
            <w:vAlign w:val="top"/>
          </w:tcPr>
          <w:p w14:paraId="2D24BA1E">
            <w:pPr>
              <w:spacing w:before="93" w:line="2964" w:lineRule="exact"/>
              <w:ind w:firstLine="123"/>
            </w:pPr>
            <w:r>
              <w:rPr>
                <w:position w:val="-59"/>
              </w:rPr>
              <w:drawing>
                <wp:inline distT="0" distB="0" distL="0" distR="0">
                  <wp:extent cx="2771775" cy="1882140"/>
                  <wp:effectExtent l="0" t="0" r="0" b="0"/>
                  <wp:docPr id="1204" name="IM 1204"/>
                  <wp:cNvGraphicFramePr/>
                  <a:graphic xmlns:a="http://schemas.openxmlformats.org/drawingml/2006/main">
                    <a:graphicData uri="http://schemas.openxmlformats.org/drawingml/2006/picture">
                      <pic:pic xmlns:pic="http://schemas.openxmlformats.org/drawingml/2006/picture">
                        <pic:nvPicPr>
                          <pic:cNvPr id="1204" name="IM 1204"/>
                          <pic:cNvPicPr/>
                        </pic:nvPicPr>
                        <pic:blipFill>
                          <a:blip r:embed="rId650"/>
                          <a:stretch>
                            <a:fillRect/>
                          </a:stretch>
                        </pic:blipFill>
                        <pic:spPr>
                          <a:xfrm>
                            <a:off x="0" y="0"/>
                            <a:ext cx="2771775" cy="1882140"/>
                          </a:xfrm>
                          <a:prstGeom prst="rect">
                            <a:avLst/>
                          </a:prstGeom>
                        </pic:spPr>
                      </pic:pic>
                    </a:graphicData>
                  </a:graphic>
                </wp:inline>
              </w:drawing>
            </w:r>
          </w:p>
        </w:tc>
        <w:tc>
          <w:tcPr>
            <w:tcW w:w="1719" w:type="dxa"/>
            <w:tcBorders>
              <w:top w:val="single" w:color="5B9BD5" w:sz="4" w:space="0"/>
              <w:right w:val="single" w:color="5B9BD5" w:sz="4" w:space="0"/>
            </w:tcBorders>
            <w:vAlign w:val="top"/>
          </w:tcPr>
          <w:p w14:paraId="7AF08059">
            <w:pPr>
              <w:spacing w:line="274" w:lineRule="auto"/>
              <w:rPr>
                <w:rFonts w:ascii="Arial"/>
                <w:sz w:val="21"/>
              </w:rPr>
            </w:pPr>
          </w:p>
          <w:p w14:paraId="1BB747F7">
            <w:pPr>
              <w:spacing w:line="274" w:lineRule="auto"/>
              <w:rPr>
                <w:rFonts w:ascii="Arial"/>
                <w:sz w:val="21"/>
              </w:rPr>
            </w:pPr>
          </w:p>
          <w:p w14:paraId="7A6866C9">
            <w:pPr>
              <w:spacing w:line="274" w:lineRule="auto"/>
              <w:rPr>
                <w:rFonts w:ascii="Arial"/>
                <w:sz w:val="21"/>
              </w:rPr>
            </w:pPr>
          </w:p>
          <w:p w14:paraId="2E99F55B">
            <w:pPr>
              <w:spacing w:line="274" w:lineRule="auto"/>
              <w:rPr>
                <w:rFonts w:ascii="Arial"/>
                <w:sz w:val="21"/>
              </w:rPr>
            </w:pPr>
          </w:p>
          <w:p w14:paraId="5CBC0E3D">
            <w:pPr>
              <w:spacing w:line="274" w:lineRule="auto"/>
              <w:rPr>
                <w:rFonts w:ascii="Arial"/>
                <w:sz w:val="21"/>
              </w:rPr>
            </w:pPr>
          </w:p>
          <w:p w14:paraId="1392FEC7">
            <w:pPr>
              <w:pStyle w:val="7"/>
              <w:spacing w:before="78" w:line="218" w:lineRule="auto"/>
              <w:ind w:left="429"/>
            </w:pPr>
            <w:r>
              <w:rPr>
                <w:spacing w:val="-15"/>
              </w:rPr>
              <w:t>开工进场</w:t>
            </w:r>
          </w:p>
        </w:tc>
      </w:tr>
      <w:tr w14:paraId="27423C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96" w:hRule="atLeast"/>
        </w:trPr>
        <w:tc>
          <w:tcPr>
            <w:tcW w:w="871" w:type="dxa"/>
            <w:gridSpan w:val="2"/>
            <w:tcBorders>
              <w:left w:val="single" w:color="000000" w:sz="4" w:space="0"/>
            </w:tcBorders>
            <w:vAlign w:val="top"/>
          </w:tcPr>
          <w:p w14:paraId="4C6D21BE">
            <w:pPr>
              <w:spacing w:line="253" w:lineRule="auto"/>
              <w:rPr>
                <w:rFonts w:ascii="Arial"/>
                <w:sz w:val="21"/>
              </w:rPr>
            </w:pPr>
          </w:p>
          <w:p w14:paraId="10439F4E">
            <w:pPr>
              <w:spacing w:line="253" w:lineRule="auto"/>
              <w:rPr>
                <w:rFonts w:ascii="Arial"/>
                <w:sz w:val="21"/>
              </w:rPr>
            </w:pPr>
          </w:p>
          <w:p w14:paraId="54D0B9DB">
            <w:pPr>
              <w:spacing w:line="253" w:lineRule="auto"/>
              <w:rPr>
                <w:rFonts w:ascii="Arial"/>
                <w:sz w:val="21"/>
              </w:rPr>
            </w:pPr>
          </w:p>
          <w:p w14:paraId="5D5527DF">
            <w:pPr>
              <w:spacing w:line="253" w:lineRule="auto"/>
              <w:rPr>
                <w:rFonts w:ascii="Arial"/>
                <w:sz w:val="21"/>
              </w:rPr>
            </w:pPr>
          </w:p>
          <w:p w14:paraId="4BC41FB3">
            <w:pPr>
              <w:spacing w:line="253" w:lineRule="auto"/>
              <w:rPr>
                <w:rFonts w:ascii="Arial"/>
                <w:sz w:val="21"/>
              </w:rPr>
            </w:pPr>
          </w:p>
          <w:p w14:paraId="4C96A6F6">
            <w:pPr>
              <w:pStyle w:val="7"/>
              <w:spacing w:before="78" w:line="238" w:lineRule="auto"/>
              <w:ind w:left="392"/>
            </w:pPr>
            <w:r>
              <w:t>2</w:t>
            </w:r>
          </w:p>
        </w:tc>
        <w:tc>
          <w:tcPr>
            <w:tcW w:w="1700" w:type="dxa"/>
            <w:vAlign w:val="top"/>
          </w:tcPr>
          <w:p w14:paraId="5F615A8A">
            <w:pPr>
              <w:spacing w:line="253" w:lineRule="auto"/>
              <w:rPr>
                <w:rFonts w:ascii="Arial"/>
                <w:sz w:val="21"/>
              </w:rPr>
            </w:pPr>
          </w:p>
          <w:p w14:paraId="45E2E54B">
            <w:pPr>
              <w:spacing w:line="253" w:lineRule="auto"/>
              <w:rPr>
                <w:rFonts w:ascii="Arial"/>
                <w:sz w:val="21"/>
              </w:rPr>
            </w:pPr>
          </w:p>
          <w:p w14:paraId="7B7A3381">
            <w:pPr>
              <w:spacing w:line="253" w:lineRule="auto"/>
              <w:rPr>
                <w:rFonts w:ascii="Arial"/>
                <w:sz w:val="21"/>
              </w:rPr>
            </w:pPr>
          </w:p>
          <w:p w14:paraId="6E988CD3">
            <w:pPr>
              <w:spacing w:line="253" w:lineRule="auto"/>
              <w:rPr>
                <w:rFonts w:ascii="Arial"/>
                <w:sz w:val="21"/>
              </w:rPr>
            </w:pPr>
          </w:p>
          <w:p w14:paraId="30FC508F">
            <w:pPr>
              <w:spacing w:line="253" w:lineRule="auto"/>
              <w:rPr>
                <w:rFonts w:ascii="Arial"/>
                <w:sz w:val="21"/>
              </w:rPr>
            </w:pPr>
          </w:p>
          <w:p w14:paraId="742E9786">
            <w:pPr>
              <w:pStyle w:val="7"/>
              <w:spacing w:before="78" w:line="219" w:lineRule="auto"/>
              <w:ind w:left="638"/>
            </w:pPr>
            <w:r>
              <w:rPr>
                <w:spacing w:val="-10"/>
              </w:rPr>
              <w:t>钢筋</w:t>
            </w:r>
          </w:p>
        </w:tc>
        <w:tc>
          <w:tcPr>
            <w:tcW w:w="4627" w:type="dxa"/>
            <w:vAlign w:val="top"/>
          </w:tcPr>
          <w:p w14:paraId="0D6AE974">
            <w:pPr>
              <w:spacing w:before="59" w:line="2822" w:lineRule="exact"/>
              <w:ind w:firstLine="197"/>
            </w:pPr>
            <w:r>
              <w:rPr>
                <w:position w:val="-56"/>
              </w:rPr>
              <w:drawing>
                <wp:inline distT="0" distB="0" distL="0" distR="0">
                  <wp:extent cx="2677795" cy="1791970"/>
                  <wp:effectExtent l="0" t="0" r="0" b="0"/>
                  <wp:docPr id="1206" name="IM 1206"/>
                  <wp:cNvGraphicFramePr/>
                  <a:graphic xmlns:a="http://schemas.openxmlformats.org/drawingml/2006/main">
                    <a:graphicData uri="http://schemas.openxmlformats.org/drawingml/2006/picture">
                      <pic:pic xmlns:pic="http://schemas.openxmlformats.org/drawingml/2006/picture">
                        <pic:nvPicPr>
                          <pic:cNvPr id="1206" name="IM 1206"/>
                          <pic:cNvPicPr/>
                        </pic:nvPicPr>
                        <pic:blipFill>
                          <a:blip r:embed="rId651"/>
                          <a:stretch>
                            <a:fillRect/>
                          </a:stretch>
                        </pic:blipFill>
                        <pic:spPr>
                          <a:xfrm>
                            <a:off x="0" y="0"/>
                            <a:ext cx="2677795" cy="1791970"/>
                          </a:xfrm>
                          <a:prstGeom prst="rect">
                            <a:avLst/>
                          </a:prstGeom>
                        </pic:spPr>
                      </pic:pic>
                    </a:graphicData>
                  </a:graphic>
                </wp:inline>
              </w:drawing>
            </w:r>
          </w:p>
        </w:tc>
        <w:tc>
          <w:tcPr>
            <w:tcW w:w="1719" w:type="dxa"/>
            <w:tcBorders>
              <w:right w:val="single" w:color="000000" w:sz="4" w:space="0"/>
            </w:tcBorders>
            <w:vAlign w:val="top"/>
          </w:tcPr>
          <w:p w14:paraId="0B0B186E">
            <w:pPr>
              <w:spacing w:line="253" w:lineRule="auto"/>
              <w:rPr>
                <w:rFonts w:ascii="Arial"/>
                <w:sz w:val="21"/>
              </w:rPr>
            </w:pPr>
          </w:p>
          <w:p w14:paraId="08A25651">
            <w:pPr>
              <w:spacing w:line="253" w:lineRule="auto"/>
              <w:rPr>
                <w:rFonts w:ascii="Arial"/>
                <w:sz w:val="21"/>
              </w:rPr>
            </w:pPr>
          </w:p>
          <w:p w14:paraId="4E423C6C">
            <w:pPr>
              <w:spacing w:line="253" w:lineRule="auto"/>
              <w:rPr>
                <w:rFonts w:ascii="Arial"/>
                <w:sz w:val="21"/>
              </w:rPr>
            </w:pPr>
          </w:p>
          <w:p w14:paraId="154CC5F8">
            <w:pPr>
              <w:spacing w:line="253" w:lineRule="auto"/>
              <w:rPr>
                <w:rFonts w:ascii="Arial"/>
                <w:sz w:val="21"/>
              </w:rPr>
            </w:pPr>
          </w:p>
          <w:p w14:paraId="0549A2BF">
            <w:pPr>
              <w:spacing w:line="253" w:lineRule="auto"/>
              <w:rPr>
                <w:rFonts w:ascii="Arial"/>
                <w:sz w:val="21"/>
              </w:rPr>
            </w:pPr>
          </w:p>
          <w:p w14:paraId="03E38629">
            <w:pPr>
              <w:pStyle w:val="7"/>
              <w:spacing w:before="78" w:line="218" w:lineRule="auto"/>
              <w:ind w:left="429"/>
            </w:pPr>
            <w:r>
              <w:rPr>
                <w:spacing w:val="-15"/>
              </w:rPr>
              <w:t>开工进场</w:t>
            </w:r>
          </w:p>
        </w:tc>
      </w:tr>
      <w:tr w14:paraId="4B1004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88" w:hRule="atLeast"/>
        </w:trPr>
        <w:tc>
          <w:tcPr>
            <w:tcW w:w="871" w:type="dxa"/>
            <w:gridSpan w:val="2"/>
            <w:tcBorders>
              <w:left w:val="single" w:color="000000" w:sz="4" w:space="0"/>
            </w:tcBorders>
            <w:vAlign w:val="top"/>
          </w:tcPr>
          <w:p w14:paraId="4F72C233">
            <w:pPr>
              <w:spacing w:line="252" w:lineRule="auto"/>
              <w:rPr>
                <w:rFonts w:ascii="Arial"/>
                <w:sz w:val="21"/>
              </w:rPr>
            </w:pPr>
          </w:p>
          <w:p w14:paraId="2071CC02">
            <w:pPr>
              <w:spacing w:line="252" w:lineRule="auto"/>
              <w:rPr>
                <w:rFonts w:ascii="Arial"/>
                <w:sz w:val="21"/>
              </w:rPr>
            </w:pPr>
          </w:p>
          <w:p w14:paraId="5680061B">
            <w:pPr>
              <w:spacing w:line="252" w:lineRule="auto"/>
              <w:rPr>
                <w:rFonts w:ascii="Arial"/>
                <w:sz w:val="21"/>
              </w:rPr>
            </w:pPr>
          </w:p>
          <w:p w14:paraId="5E35D270">
            <w:pPr>
              <w:spacing w:line="252" w:lineRule="auto"/>
              <w:rPr>
                <w:rFonts w:ascii="Arial"/>
                <w:sz w:val="21"/>
              </w:rPr>
            </w:pPr>
          </w:p>
          <w:p w14:paraId="17CD3C36">
            <w:pPr>
              <w:spacing w:line="252" w:lineRule="auto"/>
              <w:rPr>
                <w:rFonts w:ascii="Arial"/>
                <w:sz w:val="21"/>
              </w:rPr>
            </w:pPr>
          </w:p>
          <w:p w14:paraId="6AAA034B">
            <w:pPr>
              <w:spacing w:line="253" w:lineRule="auto"/>
              <w:rPr>
                <w:rFonts w:ascii="Arial"/>
                <w:sz w:val="21"/>
              </w:rPr>
            </w:pPr>
          </w:p>
          <w:p w14:paraId="45BACEF7">
            <w:pPr>
              <w:pStyle w:val="7"/>
              <w:spacing w:before="78" w:line="237" w:lineRule="auto"/>
              <w:ind w:left="394"/>
            </w:pPr>
            <w:r>
              <w:t>3</w:t>
            </w:r>
          </w:p>
        </w:tc>
        <w:tc>
          <w:tcPr>
            <w:tcW w:w="1700" w:type="dxa"/>
            <w:vAlign w:val="top"/>
          </w:tcPr>
          <w:p w14:paraId="35872031">
            <w:pPr>
              <w:spacing w:line="252" w:lineRule="auto"/>
              <w:rPr>
                <w:rFonts w:ascii="Arial"/>
                <w:sz w:val="21"/>
              </w:rPr>
            </w:pPr>
          </w:p>
          <w:p w14:paraId="0CA52630">
            <w:pPr>
              <w:spacing w:line="252" w:lineRule="auto"/>
              <w:rPr>
                <w:rFonts w:ascii="Arial"/>
                <w:sz w:val="21"/>
              </w:rPr>
            </w:pPr>
          </w:p>
          <w:p w14:paraId="516FB04B">
            <w:pPr>
              <w:spacing w:line="252" w:lineRule="auto"/>
              <w:rPr>
                <w:rFonts w:ascii="Arial"/>
                <w:sz w:val="21"/>
              </w:rPr>
            </w:pPr>
          </w:p>
          <w:p w14:paraId="4881017F">
            <w:pPr>
              <w:spacing w:line="252" w:lineRule="auto"/>
              <w:rPr>
                <w:rFonts w:ascii="Arial"/>
                <w:sz w:val="21"/>
              </w:rPr>
            </w:pPr>
          </w:p>
          <w:p w14:paraId="7F99E808">
            <w:pPr>
              <w:spacing w:line="252" w:lineRule="auto"/>
              <w:rPr>
                <w:rFonts w:ascii="Arial"/>
                <w:sz w:val="21"/>
              </w:rPr>
            </w:pPr>
          </w:p>
          <w:p w14:paraId="4A45F588">
            <w:pPr>
              <w:spacing w:line="253" w:lineRule="auto"/>
              <w:rPr>
                <w:rFonts w:ascii="Arial"/>
                <w:sz w:val="21"/>
              </w:rPr>
            </w:pPr>
          </w:p>
          <w:p w14:paraId="6837BFFF">
            <w:pPr>
              <w:pStyle w:val="7"/>
              <w:spacing w:before="78" w:line="219" w:lineRule="auto"/>
              <w:ind w:left="206"/>
            </w:pPr>
            <w:r>
              <w:rPr>
                <w:spacing w:val="-18"/>
              </w:rPr>
              <w:t>球墨铸铁管道</w:t>
            </w:r>
          </w:p>
        </w:tc>
        <w:tc>
          <w:tcPr>
            <w:tcW w:w="4627" w:type="dxa"/>
            <w:vAlign w:val="top"/>
          </w:tcPr>
          <w:p w14:paraId="47E3DA32">
            <w:pPr>
              <w:spacing w:before="61" w:line="3317" w:lineRule="exact"/>
              <w:ind w:firstLine="101"/>
            </w:pPr>
            <w:r>
              <w:rPr>
                <w:position w:val="-66"/>
              </w:rPr>
              <w:drawing>
                <wp:inline distT="0" distB="0" distL="0" distR="0">
                  <wp:extent cx="2800985" cy="2106295"/>
                  <wp:effectExtent l="0" t="0" r="0" b="0"/>
                  <wp:docPr id="1208" name="IM 1208"/>
                  <wp:cNvGraphicFramePr/>
                  <a:graphic xmlns:a="http://schemas.openxmlformats.org/drawingml/2006/main">
                    <a:graphicData uri="http://schemas.openxmlformats.org/drawingml/2006/picture">
                      <pic:pic xmlns:pic="http://schemas.openxmlformats.org/drawingml/2006/picture">
                        <pic:nvPicPr>
                          <pic:cNvPr id="1208" name="IM 1208"/>
                          <pic:cNvPicPr/>
                        </pic:nvPicPr>
                        <pic:blipFill>
                          <a:blip r:embed="rId652"/>
                          <a:stretch>
                            <a:fillRect/>
                          </a:stretch>
                        </pic:blipFill>
                        <pic:spPr>
                          <a:xfrm>
                            <a:off x="0" y="0"/>
                            <a:ext cx="2800985" cy="2106295"/>
                          </a:xfrm>
                          <a:prstGeom prst="rect">
                            <a:avLst/>
                          </a:prstGeom>
                        </pic:spPr>
                      </pic:pic>
                    </a:graphicData>
                  </a:graphic>
                </wp:inline>
              </w:drawing>
            </w:r>
          </w:p>
        </w:tc>
        <w:tc>
          <w:tcPr>
            <w:tcW w:w="1719" w:type="dxa"/>
            <w:tcBorders>
              <w:right w:val="single" w:color="000000" w:sz="4" w:space="0"/>
            </w:tcBorders>
            <w:vAlign w:val="top"/>
          </w:tcPr>
          <w:p w14:paraId="1D7A515B">
            <w:pPr>
              <w:spacing w:line="252" w:lineRule="auto"/>
              <w:rPr>
                <w:rFonts w:ascii="Arial"/>
                <w:sz w:val="21"/>
              </w:rPr>
            </w:pPr>
          </w:p>
          <w:p w14:paraId="1BADB2AA">
            <w:pPr>
              <w:spacing w:line="252" w:lineRule="auto"/>
              <w:rPr>
                <w:rFonts w:ascii="Arial"/>
                <w:sz w:val="21"/>
              </w:rPr>
            </w:pPr>
          </w:p>
          <w:p w14:paraId="72531167">
            <w:pPr>
              <w:spacing w:line="252" w:lineRule="auto"/>
              <w:rPr>
                <w:rFonts w:ascii="Arial"/>
                <w:sz w:val="21"/>
              </w:rPr>
            </w:pPr>
          </w:p>
          <w:p w14:paraId="17E8672D">
            <w:pPr>
              <w:spacing w:line="252" w:lineRule="auto"/>
              <w:rPr>
                <w:rFonts w:ascii="Arial"/>
                <w:sz w:val="21"/>
              </w:rPr>
            </w:pPr>
          </w:p>
          <w:p w14:paraId="73F1334B">
            <w:pPr>
              <w:spacing w:line="253" w:lineRule="auto"/>
              <w:rPr>
                <w:rFonts w:ascii="Arial"/>
                <w:sz w:val="21"/>
              </w:rPr>
            </w:pPr>
          </w:p>
          <w:p w14:paraId="2BB0B5AC">
            <w:pPr>
              <w:spacing w:line="253" w:lineRule="auto"/>
              <w:rPr>
                <w:rFonts w:ascii="Arial"/>
                <w:sz w:val="21"/>
              </w:rPr>
            </w:pPr>
          </w:p>
          <w:p w14:paraId="73388AC8">
            <w:pPr>
              <w:pStyle w:val="7"/>
              <w:spacing w:before="78" w:line="218" w:lineRule="auto"/>
              <w:ind w:left="429"/>
            </w:pPr>
            <w:r>
              <w:rPr>
                <w:spacing w:val="-15"/>
              </w:rPr>
              <w:t>开工进场</w:t>
            </w:r>
          </w:p>
        </w:tc>
      </w:tr>
      <w:tr w14:paraId="7BEFF9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66" w:hRule="atLeast"/>
        </w:trPr>
        <w:tc>
          <w:tcPr>
            <w:tcW w:w="221" w:type="dxa"/>
            <w:tcBorders>
              <w:left w:val="single" w:color="1C456A" w:sz="4" w:space="0"/>
              <w:bottom w:val="single" w:color="1C456A" w:sz="4" w:space="0"/>
              <w:right w:val="nil"/>
            </w:tcBorders>
            <w:vAlign w:val="top"/>
          </w:tcPr>
          <w:p w14:paraId="460B1EED">
            <w:pPr>
              <w:rPr>
                <w:rFonts w:ascii="Arial"/>
                <w:sz w:val="21"/>
              </w:rPr>
            </w:pPr>
            <w:r>
              <w:pict>
                <v:shape id="_x0000_s3775" o:spid="_x0000_s3775" style="position:absolute;left:0pt;margin-left:-0.25pt;margin-top:178.35pt;height:0.75pt;width:2.2pt;mso-position-horizontal-relative:page;mso-position-vertical-relative:page;z-index:252206080;mso-width-relative:page;mso-height-relative:page;" fillcolor="#5B9BD5" filled="t" stroked="f" coordsize="44,15" path="m0,14l43,14,43,0,0,0,0,14xe">
                  <v:path/>
                  <v:fill on="t" focussize="0,0"/>
                  <v:stroke on="f"/>
                  <v:imagedata o:title=""/>
                  <o:lock v:ext="edit"/>
                </v:shape>
              </w:pict>
            </w:r>
          </w:p>
        </w:tc>
        <w:tc>
          <w:tcPr>
            <w:tcW w:w="650" w:type="dxa"/>
            <w:tcBorders>
              <w:left w:val="nil"/>
              <w:bottom w:val="single" w:color="1C456A" w:sz="4" w:space="0"/>
            </w:tcBorders>
            <w:vAlign w:val="top"/>
          </w:tcPr>
          <w:p w14:paraId="4962478A">
            <w:pPr>
              <w:spacing w:line="247" w:lineRule="auto"/>
              <w:rPr>
                <w:rFonts w:ascii="Arial"/>
                <w:sz w:val="21"/>
              </w:rPr>
            </w:pPr>
          </w:p>
          <w:p w14:paraId="5124C0D1">
            <w:pPr>
              <w:spacing w:line="247" w:lineRule="auto"/>
              <w:rPr>
                <w:rFonts w:ascii="Arial"/>
                <w:sz w:val="21"/>
              </w:rPr>
            </w:pPr>
          </w:p>
          <w:p w14:paraId="34F11B22">
            <w:pPr>
              <w:spacing w:line="248" w:lineRule="auto"/>
              <w:rPr>
                <w:rFonts w:ascii="Arial"/>
                <w:sz w:val="21"/>
              </w:rPr>
            </w:pPr>
          </w:p>
          <w:p w14:paraId="3E899627">
            <w:pPr>
              <w:spacing w:line="248" w:lineRule="auto"/>
              <w:rPr>
                <w:rFonts w:ascii="Arial"/>
                <w:sz w:val="21"/>
              </w:rPr>
            </w:pPr>
          </w:p>
          <w:p w14:paraId="477B6525">
            <w:pPr>
              <w:spacing w:line="248" w:lineRule="auto"/>
              <w:rPr>
                <w:rFonts w:ascii="Arial"/>
                <w:sz w:val="21"/>
              </w:rPr>
            </w:pPr>
          </w:p>
          <w:p w14:paraId="521AE048">
            <w:pPr>
              <w:spacing w:line="248" w:lineRule="auto"/>
              <w:rPr>
                <w:rFonts w:ascii="Arial"/>
                <w:sz w:val="21"/>
              </w:rPr>
            </w:pPr>
          </w:p>
          <w:p w14:paraId="3898313D">
            <w:pPr>
              <w:pStyle w:val="7"/>
              <w:spacing w:before="78" w:line="238" w:lineRule="auto"/>
              <w:ind w:left="172"/>
            </w:pPr>
            <w:r>
              <w:t>4</w:t>
            </w:r>
          </w:p>
        </w:tc>
        <w:tc>
          <w:tcPr>
            <w:tcW w:w="1700" w:type="dxa"/>
            <w:tcBorders>
              <w:bottom w:val="single" w:color="000000" w:sz="4" w:space="0"/>
            </w:tcBorders>
            <w:vAlign w:val="top"/>
          </w:tcPr>
          <w:p w14:paraId="3605BA42">
            <w:pPr>
              <w:spacing w:line="247" w:lineRule="auto"/>
              <w:rPr>
                <w:rFonts w:ascii="Arial"/>
                <w:sz w:val="21"/>
              </w:rPr>
            </w:pPr>
          </w:p>
          <w:p w14:paraId="2E289BF6">
            <w:pPr>
              <w:spacing w:line="247" w:lineRule="auto"/>
              <w:rPr>
                <w:rFonts w:ascii="Arial"/>
                <w:sz w:val="21"/>
              </w:rPr>
            </w:pPr>
          </w:p>
          <w:p w14:paraId="31271DEF">
            <w:pPr>
              <w:spacing w:line="247" w:lineRule="auto"/>
              <w:rPr>
                <w:rFonts w:ascii="Arial"/>
                <w:sz w:val="21"/>
              </w:rPr>
            </w:pPr>
          </w:p>
          <w:p w14:paraId="3238A7BA">
            <w:pPr>
              <w:spacing w:line="248" w:lineRule="auto"/>
              <w:rPr>
                <w:rFonts w:ascii="Arial"/>
                <w:sz w:val="21"/>
              </w:rPr>
            </w:pPr>
          </w:p>
          <w:p w14:paraId="31AB13B3">
            <w:pPr>
              <w:spacing w:line="248" w:lineRule="auto"/>
              <w:rPr>
                <w:rFonts w:ascii="Arial"/>
                <w:sz w:val="21"/>
              </w:rPr>
            </w:pPr>
          </w:p>
          <w:p w14:paraId="11A33EB0">
            <w:pPr>
              <w:spacing w:line="248" w:lineRule="auto"/>
              <w:rPr>
                <w:rFonts w:ascii="Arial"/>
                <w:sz w:val="21"/>
              </w:rPr>
            </w:pPr>
          </w:p>
          <w:p w14:paraId="573AE628">
            <w:pPr>
              <w:pStyle w:val="7"/>
              <w:spacing w:before="78" w:line="219" w:lineRule="auto"/>
              <w:ind w:left="638"/>
            </w:pPr>
            <w:r>
              <w:rPr>
                <w:spacing w:val="-10"/>
              </w:rPr>
              <w:t>钢管</w:t>
            </w:r>
          </w:p>
        </w:tc>
        <w:tc>
          <w:tcPr>
            <w:tcW w:w="4627" w:type="dxa"/>
            <w:tcBorders>
              <w:bottom w:val="single" w:color="000000" w:sz="4" w:space="0"/>
            </w:tcBorders>
            <w:vAlign w:val="top"/>
          </w:tcPr>
          <w:p w14:paraId="21C7C86E">
            <w:pPr>
              <w:spacing w:before="63" w:line="3255" w:lineRule="exact"/>
              <w:ind w:firstLine="80"/>
            </w:pPr>
            <w:r>
              <w:rPr>
                <w:position w:val="-65"/>
              </w:rPr>
              <w:drawing>
                <wp:inline distT="0" distB="0" distL="0" distR="0">
                  <wp:extent cx="2828290" cy="2066925"/>
                  <wp:effectExtent l="0" t="0" r="0" b="0"/>
                  <wp:docPr id="1210" name="IM 1210"/>
                  <wp:cNvGraphicFramePr/>
                  <a:graphic xmlns:a="http://schemas.openxmlformats.org/drawingml/2006/main">
                    <a:graphicData uri="http://schemas.openxmlformats.org/drawingml/2006/picture">
                      <pic:pic xmlns:pic="http://schemas.openxmlformats.org/drawingml/2006/picture">
                        <pic:nvPicPr>
                          <pic:cNvPr id="1210" name="IM 1210"/>
                          <pic:cNvPicPr/>
                        </pic:nvPicPr>
                        <pic:blipFill>
                          <a:blip r:embed="rId653"/>
                          <a:stretch>
                            <a:fillRect/>
                          </a:stretch>
                        </pic:blipFill>
                        <pic:spPr>
                          <a:xfrm>
                            <a:off x="0" y="0"/>
                            <a:ext cx="2828290" cy="2066925"/>
                          </a:xfrm>
                          <a:prstGeom prst="rect">
                            <a:avLst/>
                          </a:prstGeom>
                        </pic:spPr>
                      </pic:pic>
                    </a:graphicData>
                  </a:graphic>
                </wp:inline>
              </w:drawing>
            </w:r>
          </w:p>
        </w:tc>
        <w:tc>
          <w:tcPr>
            <w:tcW w:w="1719" w:type="dxa"/>
            <w:tcBorders>
              <w:bottom w:val="single" w:color="5B9BD5" w:sz="4" w:space="0"/>
              <w:right w:val="single" w:color="5B9BD5" w:sz="4" w:space="0"/>
            </w:tcBorders>
            <w:vAlign w:val="top"/>
          </w:tcPr>
          <w:p w14:paraId="2955BA69">
            <w:pPr>
              <w:spacing w:line="247" w:lineRule="auto"/>
              <w:rPr>
                <w:rFonts w:ascii="Arial"/>
                <w:sz w:val="21"/>
              </w:rPr>
            </w:pPr>
            <w:r>
              <w:pict>
                <v:shape id="_x0000_s3776" o:spid="_x0000_s3776" style="position:absolute;left:0pt;margin-left:84.05pt;margin-top:178.35pt;height:0.75pt;width:2.2pt;mso-position-horizontal-relative:page;mso-position-vertical-relative:page;z-index:252207104;mso-width-relative:page;mso-height-relative:page;" fillcolor="#5B9BD5" filled="t" stroked="f" coordsize="44,15" path="m0,14l43,14,43,0,0,0,0,14xe">
                  <v:path/>
                  <v:fill on="t" focussize="0,0"/>
                  <v:stroke on="f"/>
                  <v:imagedata o:title=""/>
                  <o:lock v:ext="edit"/>
                </v:shape>
              </w:pict>
            </w:r>
          </w:p>
          <w:p w14:paraId="59EAEC00">
            <w:pPr>
              <w:spacing w:line="247" w:lineRule="auto"/>
              <w:rPr>
                <w:rFonts w:ascii="Arial"/>
                <w:sz w:val="21"/>
              </w:rPr>
            </w:pPr>
          </w:p>
          <w:p w14:paraId="47AD1688">
            <w:pPr>
              <w:spacing w:line="247" w:lineRule="auto"/>
              <w:rPr>
                <w:rFonts w:ascii="Arial"/>
                <w:sz w:val="21"/>
              </w:rPr>
            </w:pPr>
          </w:p>
          <w:p w14:paraId="79D12312">
            <w:pPr>
              <w:spacing w:line="248" w:lineRule="auto"/>
              <w:rPr>
                <w:rFonts w:ascii="Arial"/>
                <w:sz w:val="21"/>
              </w:rPr>
            </w:pPr>
          </w:p>
          <w:p w14:paraId="70F5561E">
            <w:pPr>
              <w:spacing w:line="248" w:lineRule="auto"/>
              <w:rPr>
                <w:rFonts w:ascii="Arial"/>
                <w:sz w:val="21"/>
              </w:rPr>
            </w:pPr>
          </w:p>
          <w:p w14:paraId="291FF5F3">
            <w:pPr>
              <w:spacing w:line="248" w:lineRule="auto"/>
              <w:rPr>
                <w:rFonts w:ascii="Arial"/>
                <w:sz w:val="21"/>
              </w:rPr>
            </w:pPr>
          </w:p>
          <w:p w14:paraId="1FDF989A">
            <w:pPr>
              <w:pStyle w:val="7"/>
              <w:spacing w:before="78" w:line="218" w:lineRule="auto"/>
              <w:ind w:left="429"/>
            </w:pPr>
            <w:r>
              <w:rPr>
                <w:spacing w:val="-15"/>
              </w:rPr>
              <w:t>开工进场</w:t>
            </w:r>
          </w:p>
        </w:tc>
      </w:tr>
    </w:tbl>
    <w:p w14:paraId="144EDB81">
      <w:pPr>
        <w:rPr>
          <w:rFonts w:ascii="Arial"/>
          <w:sz w:val="21"/>
        </w:rPr>
      </w:pPr>
    </w:p>
    <w:p w14:paraId="69B27B20">
      <w:pPr>
        <w:rPr>
          <w:rFonts w:ascii="Arial" w:hAnsi="Arial" w:eastAsia="Arial" w:cs="Arial"/>
          <w:sz w:val="21"/>
          <w:szCs w:val="21"/>
        </w:rPr>
        <w:sectPr>
          <w:footerReference r:id="rId283" w:type="default"/>
          <w:pgSz w:w="11907" w:h="16839"/>
          <w:pgMar w:top="933" w:right="4" w:bottom="1038" w:left="0" w:header="478" w:footer="357" w:gutter="0"/>
          <w:pgBorders>
            <w:top w:val="none" w:sz="0" w:space="0"/>
            <w:left w:val="none" w:sz="0" w:space="0"/>
            <w:bottom w:val="none" w:sz="0" w:space="0"/>
            <w:right w:val="none" w:sz="0" w:space="0"/>
          </w:pgBorders>
          <w:cols w:space="720" w:num="1"/>
        </w:sectPr>
      </w:pPr>
    </w:p>
    <w:p w14:paraId="53477678">
      <w:pPr>
        <w:spacing w:line="235" w:lineRule="exact"/>
      </w:pPr>
    </w:p>
    <w:tbl>
      <w:tblPr>
        <w:tblStyle w:val="6"/>
        <w:tblW w:w="8917" w:type="dxa"/>
        <w:tblInd w:w="149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22"/>
        <w:gridCol w:w="649"/>
        <w:gridCol w:w="1700"/>
        <w:gridCol w:w="4627"/>
        <w:gridCol w:w="1653"/>
        <w:gridCol w:w="66"/>
      </w:tblGrid>
      <w:tr w14:paraId="2F7752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57" w:hRule="atLeast"/>
        </w:trPr>
        <w:tc>
          <w:tcPr>
            <w:tcW w:w="871" w:type="dxa"/>
            <w:gridSpan w:val="2"/>
            <w:tcBorders>
              <w:top w:val="single" w:color="000000" w:sz="4" w:space="0"/>
              <w:left w:val="single" w:color="000000" w:sz="4" w:space="0"/>
            </w:tcBorders>
            <w:vAlign w:val="top"/>
          </w:tcPr>
          <w:p w14:paraId="6205DF5A">
            <w:pPr>
              <w:spacing w:line="282" w:lineRule="auto"/>
              <w:rPr>
                <w:rFonts w:ascii="Arial"/>
                <w:sz w:val="21"/>
              </w:rPr>
            </w:pPr>
          </w:p>
          <w:p w14:paraId="1289A9DC">
            <w:pPr>
              <w:spacing w:line="282" w:lineRule="auto"/>
              <w:rPr>
                <w:rFonts w:ascii="Arial"/>
                <w:sz w:val="21"/>
              </w:rPr>
            </w:pPr>
          </w:p>
          <w:p w14:paraId="4B9C7D84">
            <w:pPr>
              <w:spacing w:line="282" w:lineRule="auto"/>
              <w:rPr>
                <w:rFonts w:ascii="Arial"/>
                <w:sz w:val="21"/>
              </w:rPr>
            </w:pPr>
          </w:p>
          <w:p w14:paraId="1498B7F8">
            <w:pPr>
              <w:spacing w:line="282" w:lineRule="auto"/>
              <w:rPr>
                <w:rFonts w:ascii="Arial"/>
                <w:sz w:val="21"/>
              </w:rPr>
            </w:pPr>
          </w:p>
          <w:p w14:paraId="22C53288">
            <w:pPr>
              <w:spacing w:line="282" w:lineRule="auto"/>
              <w:rPr>
                <w:rFonts w:ascii="Arial"/>
                <w:sz w:val="21"/>
              </w:rPr>
            </w:pPr>
          </w:p>
          <w:p w14:paraId="5153B3CE">
            <w:pPr>
              <w:pStyle w:val="7"/>
              <w:spacing w:before="78" w:line="237" w:lineRule="auto"/>
              <w:ind w:left="394"/>
            </w:pPr>
            <w:r>
              <w:t>5</w:t>
            </w:r>
          </w:p>
        </w:tc>
        <w:tc>
          <w:tcPr>
            <w:tcW w:w="1700" w:type="dxa"/>
            <w:tcBorders>
              <w:top w:val="single" w:color="000000" w:sz="4" w:space="0"/>
            </w:tcBorders>
            <w:vAlign w:val="top"/>
          </w:tcPr>
          <w:p w14:paraId="6A6B4B73">
            <w:pPr>
              <w:spacing w:line="282" w:lineRule="auto"/>
              <w:rPr>
                <w:rFonts w:ascii="Arial"/>
                <w:sz w:val="21"/>
              </w:rPr>
            </w:pPr>
          </w:p>
          <w:p w14:paraId="7865BAFB">
            <w:pPr>
              <w:spacing w:line="282" w:lineRule="auto"/>
              <w:rPr>
                <w:rFonts w:ascii="Arial"/>
                <w:sz w:val="21"/>
              </w:rPr>
            </w:pPr>
          </w:p>
          <w:p w14:paraId="3B204AB7">
            <w:pPr>
              <w:spacing w:line="282" w:lineRule="auto"/>
              <w:rPr>
                <w:rFonts w:ascii="Arial"/>
                <w:sz w:val="21"/>
              </w:rPr>
            </w:pPr>
          </w:p>
          <w:p w14:paraId="664850A5">
            <w:pPr>
              <w:spacing w:line="282" w:lineRule="auto"/>
              <w:rPr>
                <w:rFonts w:ascii="Arial"/>
                <w:sz w:val="21"/>
              </w:rPr>
            </w:pPr>
          </w:p>
          <w:p w14:paraId="5C5E648F">
            <w:pPr>
              <w:spacing w:line="282" w:lineRule="auto"/>
              <w:rPr>
                <w:rFonts w:ascii="Arial"/>
                <w:sz w:val="21"/>
              </w:rPr>
            </w:pPr>
          </w:p>
          <w:p w14:paraId="1554F1D9">
            <w:pPr>
              <w:pStyle w:val="7"/>
              <w:spacing w:before="78" w:line="220" w:lineRule="auto"/>
              <w:ind w:left="602"/>
            </w:pPr>
            <w:r>
              <w:rPr>
                <w:spacing w:val="-6"/>
              </w:rPr>
              <w:t>PC砖</w:t>
            </w:r>
          </w:p>
        </w:tc>
        <w:tc>
          <w:tcPr>
            <w:tcW w:w="4627" w:type="dxa"/>
            <w:tcBorders>
              <w:top w:val="single" w:color="000000" w:sz="4" w:space="0"/>
            </w:tcBorders>
            <w:vAlign w:val="top"/>
          </w:tcPr>
          <w:p w14:paraId="2BEE70D0">
            <w:pPr>
              <w:spacing w:before="93" w:line="3050" w:lineRule="exact"/>
              <w:ind w:firstLine="80"/>
            </w:pPr>
            <w:r>
              <w:rPr>
                <w:position w:val="-61"/>
              </w:rPr>
              <w:drawing>
                <wp:inline distT="0" distB="0" distL="0" distR="0">
                  <wp:extent cx="2828290" cy="1936750"/>
                  <wp:effectExtent l="0" t="0" r="0" b="0"/>
                  <wp:docPr id="1214" name="IM 1214"/>
                  <wp:cNvGraphicFramePr/>
                  <a:graphic xmlns:a="http://schemas.openxmlformats.org/drawingml/2006/main">
                    <a:graphicData uri="http://schemas.openxmlformats.org/drawingml/2006/picture">
                      <pic:pic xmlns:pic="http://schemas.openxmlformats.org/drawingml/2006/picture">
                        <pic:nvPicPr>
                          <pic:cNvPr id="1214" name="IM 1214"/>
                          <pic:cNvPicPr/>
                        </pic:nvPicPr>
                        <pic:blipFill>
                          <a:blip r:embed="rId654"/>
                          <a:stretch>
                            <a:fillRect/>
                          </a:stretch>
                        </pic:blipFill>
                        <pic:spPr>
                          <a:xfrm>
                            <a:off x="0" y="0"/>
                            <a:ext cx="2828290" cy="1936750"/>
                          </a:xfrm>
                          <a:prstGeom prst="rect">
                            <a:avLst/>
                          </a:prstGeom>
                        </pic:spPr>
                      </pic:pic>
                    </a:graphicData>
                  </a:graphic>
                </wp:inline>
              </w:drawing>
            </w:r>
          </w:p>
        </w:tc>
        <w:tc>
          <w:tcPr>
            <w:tcW w:w="1719" w:type="dxa"/>
            <w:gridSpan w:val="2"/>
            <w:tcBorders>
              <w:top w:val="single" w:color="5B9BD5" w:sz="4" w:space="0"/>
              <w:right w:val="single" w:color="5B9BD5" w:sz="4" w:space="0"/>
            </w:tcBorders>
            <w:vAlign w:val="top"/>
          </w:tcPr>
          <w:p w14:paraId="292876F3">
            <w:pPr>
              <w:spacing w:line="294" w:lineRule="auto"/>
              <w:rPr>
                <w:rFonts w:ascii="Arial"/>
                <w:sz w:val="21"/>
              </w:rPr>
            </w:pPr>
          </w:p>
          <w:p w14:paraId="2C9F7CDC">
            <w:pPr>
              <w:spacing w:line="295" w:lineRule="auto"/>
              <w:rPr>
                <w:rFonts w:ascii="Arial"/>
                <w:sz w:val="21"/>
              </w:rPr>
            </w:pPr>
          </w:p>
          <w:p w14:paraId="57312044">
            <w:pPr>
              <w:spacing w:line="295" w:lineRule="auto"/>
              <w:rPr>
                <w:rFonts w:ascii="Arial"/>
                <w:sz w:val="21"/>
              </w:rPr>
            </w:pPr>
          </w:p>
          <w:p w14:paraId="11657D7C">
            <w:pPr>
              <w:spacing w:line="295" w:lineRule="auto"/>
              <w:rPr>
                <w:rFonts w:ascii="Arial"/>
                <w:sz w:val="21"/>
              </w:rPr>
            </w:pPr>
          </w:p>
          <w:p w14:paraId="1AF810C8">
            <w:pPr>
              <w:pStyle w:val="7"/>
              <w:spacing w:before="78" w:line="362" w:lineRule="auto"/>
              <w:ind w:left="756" w:right="78" w:hanging="655"/>
            </w:pPr>
            <w:r>
              <w:rPr>
                <w:spacing w:val="-22"/>
              </w:rPr>
              <w:t>依据进度节点进</w:t>
            </w:r>
            <w:r>
              <w:t>场</w:t>
            </w:r>
          </w:p>
        </w:tc>
      </w:tr>
      <w:tr w14:paraId="7974C2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05" w:hRule="atLeast"/>
        </w:trPr>
        <w:tc>
          <w:tcPr>
            <w:tcW w:w="871" w:type="dxa"/>
            <w:gridSpan w:val="2"/>
            <w:tcBorders>
              <w:left w:val="single" w:color="000000" w:sz="4" w:space="0"/>
            </w:tcBorders>
            <w:vAlign w:val="top"/>
          </w:tcPr>
          <w:p w14:paraId="52F42AC6">
            <w:pPr>
              <w:spacing w:line="244" w:lineRule="auto"/>
              <w:rPr>
                <w:rFonts w:ascii="Arial"/>
                <w:sz w:val="21"/>
              </w:rPr>
            </w:pPr>
          </w:p>
          <w:p w14:paraId="0D296A02">
            <w:pPr>
              <w:spacing w:line="244" w:lineRule="auto"/>
              <w:rPr>
                <w:rFonts w:ascii="Arial"/>
                <w:sz w:val="21"/>
              </w:rPr>
            </w:pPr>
          </w:p>
          <w:p w14:paraId="1BE6C8CB">
            <w:pPr>
              <w:spacing w:line="244" w:lineRule="auto"/>
              <w:rPr>
                <w:rFonts w:ascii="Arial"/>
                <w:sz w:val="21"/>
              </w:rPr>
            </w:pPr>
          </w:p>
          <w:p w14:paraId="18609535">
            <w:pPr>
              <w:spacing w:line="244" w:lineRule="auto"/>
              <w:rPr>
                <w:rFonts w:ascii="Arial"/>
                <w:sz w:val="21"/>
              </w:rPr>
            </w:pPr>
          </w:p>
          <w:p w14:paraId="44042194">
            <w:pPr>
              <w:spacing w:line="245" w:lineRule="auto"/>
              <w:rPr>
                <w:rFonts w:ascii="Arial"/>
                <w:sz w:val="21"/>
              </w:rPr>
            </w:pPr>
          </w:p>
          <w:p w14:paraId="213E2C59">
            <w:pPr>
              <w:pStyle w:val="7"/>
              <w:spacing w:before="78" w:line="237" w:lineRule="auto"/>
              <w:ind w:left="391"/>
            </w:pPr>
            <w:r>
              <w:t>6</w:t>
            </w:r>
          </w:p>
        </w:tc>
        <w:tc>
          <w:tcPr>
            <w:tcW w:w="1700" w:type="dxa"/>
            <w:vAlign w:val="top"/>
          </w:tcPr>
          <w:p w14:paraId="15487049">
            <w:pPr>
              <w:spacing w:line="244" w:lineRule="auto"/>
              <w:rPr>
                <w:rFonts w:ascii="Arial"/>
                <w:sz w:val="21"/>
              </w:rPr>
            </w:pPr>
          </w:p>
          <w:p w14:paraId="54306187">
            <w:pPr>
              <w:spacing w:line="244" w:lineRule="auto"/>
              <w:rPr>
                <w:rFonts w:ascii="Arial"/>
                <w:sz w:val="21"/>
              </w:rPr>
            </w:pPr>
          </w:p>
          <w:p w14:paraId="526E62B0">
            <w:pPr>
              <w:spacing w:line="244" w:lineRule="auto"/>
              <w:rPr>
                <w:rFonts w:ascii="Arial"/>
                <w:sz w:val="21"/>
              </w:rPr>
            </w:pPr>
          </w:p>
          <w:p w14:paraId="75143A1D">
            <w:pPr>
              <w:spacing w:line="244" w:lineRule="auto"/>
              <w:rPr>
                <w:rFonts w:ascii="Arial"/>
                <w:sz w:val="21"/>
              </w:rPr>
            </w:pPr>
          </w:p>
          <w:p w14:paraId="72C2A19E">
            <w:pPr>
              <w:spacing w:line="245" w:lineRule="auto"/>
              <w:rPr>
                <w:rFonts w:ascii="Arial"/>
                <w:sz w:val="21"/>
              </w:rPr>
            </w:pPr>
          </w:p>
          <w:p w14:paraId="732048D4">
            <w:pPr>
              <w:pStyle w:val="7"/>
              <w:spacing w:before="78" w:line="216" w:lineRule="auto"/>
              <w:ind w:left="533"/>
            </w:pPr>
            <w:r>
              <w:rPr>
                <w:spacing w:val="-14"/>
              </w:rPr>
              <w:t>花岗岩</w:t>
            </w:r>
          </w:p>
        </w:tc>
        <w:tc>
          <w:tcPr>
            <w:tcW w:w="4627" w:type="dxa"/>
            <w:vAlign w:val="top"/>
          </w:tcPr>
          <w:p w14:paraId="566D50F1">
            <w:pPr>
              <w:spacing w:before="60" w:line="2731" w:lineRule="exact"/>
              <w:ind w:firstLine="216"/>
            </w:pPr>
            <w:r>
              <w:rPr>
                <w:position w:val="-54"/>
              </w:rPr>
              <w:drawing>
                <wp:inline distT="0" distB="0" distL="0" distR="0">
                  <wp:extent cx="2654935" cy="1733550"/>
                  <wp:effectExtent l="0" t="0" r="0" b="0"/>
                  <wp:docPr id="1216" name="IM 1216"/>
                  <wp:cNvGraphicFramePr/>
                  <a:graphic xmlns:a="http://schemas.openxmlformats.org/drawingml/2006/main">
                    <a:graphicData uri="http://schemas.openxmlformats.org/drawingml/2006/picture">
                      <pic:pic xmlns:pic="http://schemas.openxmlformats.org/drawingml/2006/picture">
                        <pic:nvPicPr>
                          <pic:cNvPr id="1216" name="IM 1216"/>
                          <pic:cNvPicPr/>
                        </pic:nvPicPr>
                        <pic:blipFill>
                          <a:blip r:embed="rId655"/>
                          <a:stretch>
                            <a:fillRect/>
                          </a:stretch>
                        </pic:blipFill>
                        <pic:spPr>
                          <a:xfrm>
                            <a:off x="0" y="0"/>
                            <a:ext cx="2654935" cy="1734184"/>
                          </a:xfrm>
                          <a:prstGeom prst="rect">
                            <a:avLst/>
                          </a:prstGeom>
                        </pic:spPr>
                      </pic:pic>
                    </a:graphicData>
                  </a:graphic>
                </wp:inline>
              </w:drawing>
            </w:r>
          </w:p>
        </w:tc>
        <w:tc>
          <w:tcPr>
            <w:tcW w:w="1719" w:type="dxa"/>
            <w:gridSpan w:val="2"/>
            <w:tcBorders>
              <w:right w:val="single" w:color="000000" w:sz="4" w:space="0"/>
            </w:tcBorders>
            <w:vAlign w:val="top"/>
          </w:tcPr>
          <w:p w14:paraId="52EC6010">
            <w:pPr>
              <w:spacing w:line="247" w:lineRule="auto"/>
              <w:rPr>
                <w:rFonts w:ascii="Arial"/>
                <w:sz w:val="21"/>
              </w:rPr>
            </w:pPr>
          </w:p>
          <w:p w14:paraId="11E28F53">
            <w:pPr>
              <w:spacing w:line="247" w:lineRule="auto"/>
              <w:rPr>
                <w:rFonts w:ascii="Arial"/>
                <w:sz w:val="21"/>
              </w:rPr>
            </w:pPr>
          </w:p>
          <w:p w14:paraId="20FAC5F0">
            <w:pPr>
              <w:spacing w:line="247" w:lineRule="auto"/>
              <w:rPr>
                <w:rFonts w:ascii="Arial"/>
                <w:sz w:val="21"/>
              </w:rPr>
            </w:pPr>
          </w:p>
          <w:p w14:paraId="5184D3E7">
            <w:pPr>
              <w:spacing w:line="248" w:lineRule="auto"/>
              <w:rPr>
                <w:rFonts w:ascii="Arial"/>
                <w:sz w:val="21"/>
              </w:rPr>
            </w:pPr>
          </w:p>
          <w:p w14:paraId="0E764C11">
            <w:pPr>
              <w:pStyle w:val="7"/>
              <w:spacing w:before="78" w:line="360" w:lineRule="auto"/>
              <w:ind w:left="756" w:right="79" w:hanging="655"/>
            </w:pPr>
            <w:r>
              <w:rPr>
                <w:spacing w:val="-22"/>
              </w:rPr>
              <w:t>依据进度节点进</w:t>
            </w:r>
            <w:r>
              <w:t>场</w:t>
            </w:r>
          </w:p>
        </w:tc>
      </w:tr>
      <w:tr w14:paraId="22F661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26" w:hRule="atLeast"/>
        </w:trPr>
        <w:tc>
          <w:tcPr>
            <w:tcW w:w="871" w:type="dxa"/>
            <w:gridSpan w:val="2"/>
            <w:tcBorders>
              <w:left w:val="single" w:color="000000" w:sz="4" w:space="0"/>
            </w:tcBorders>
            <w:vAlign w:val="top"/>
          </w:tcPr>
          <w:p w14:paraId="1C349B2F">
            <w:pPr>
              <w:spacing w:line="261" w:lineRule="auto"/>
              <w:rPr>
                <w:rFonts w:ascii="Arial"/>
                <w:sz w:val="21"/>
              </w:rPr>
            </w:pPr>
          </w:p>
          <w:p w14:paraId="3D0EF142">
            <w:pPr>
              <w:spacing w:line="261" w:lineRule="auto"/>
              <w:rPr>
                <w:rFonts w:ascii="Arial"/>
                <w:sz w:val="21"/>
              </w:rPr>
            </w:pPr>
          </w:p>
          <w:p w14:paraId="3A072581">
            <w:pPr>
              <w:spacing w:line="261" w:lineRule="auto"/>
              <w:rPr>
                <w:rFonts w:ascii="Arial"/>
                <w:sz w:val="21"/>
              </w:rPr>
            </w:pPr>
          </w:p>
          <w:p w14:paraId="6F55FBB9">
            <w:pPr>
              <w:spacing w:line="262" w:lineRule="auto"/>
              <w:rPr>
                <w:rFonts w:ascii="Arial"/>
                <w:sz w:val="21"/>
              </w:rPr>
            </w:pPr>
          </w:p>
          <w:p w14:paraId="5AD55880">
            <w:pPr>
              <w:spacing w:line="262" w:lineRule="auto"/>
              <w:rPr>
                <w:rFonts w:ascii="Arial"/>
                <w:sz w:val="21"/>
              </w:rPr>
            </w:pPr>
          </w:p>
          <w:p w14:paraId="7251D326">
            <w:pPr>
              <w:spacing w:line="262" w:lineRule="auto"/>
              <w:rPr>
                <w:rFonts w:ascii="Arial"/>
                <w:sz w:val="21"/>
              </w:rPr>
            </w:pPr>
          </w:p>
          <w:p w14:paraId="4140629D">
            <w:pPr>
              <w:spacing w:line="262" w:lineRule="auto"/>
              <w:rPr>
                <w:rFonts w:ascii="Arial"/>
                <w:sz w:val="21"/>
              </w:rPr>
            </w:pPr>
          </w:p>
          <w:p w14:paraId="19300C55">
            <w:pPr>
              <w:pStyle w:val="7"/>
              <w:spacing w:before="78" w:line="237" w:lineRule="auto"/>
              <w:ind w:left="395"/>
            </w:pPr>
            <w:r>
              <w:t>7</w:t>
            </w:r>
          </w:p>
        </w:tc>
        <w:tc>
          <w:tcPr>
            <w:tcW w:w="1700" w:type="dxa"/>
            <w:vAlign w:val="top"/>
          </w:tcPr>
          <w:p w14:paraId="3DB267E0">
            <w:pPr>
              <w:spacing w:line="261" w:lineRule="auto"/>
              <w:rPr>
                <w:rFonts w:ascii="Arial"/>
                <w:sz w:val="21"/>
              </w:rPr>
            </w:pPr>
          </w:p>
          <w:p w14:paraId="32405C05">
            <w:pPr>
              <w:spacing w:line="261" w:lineRule="auto"/>
              <w:rPr>
                <w:rFonts w:ascii="Arial"/>
                <w:sz w:val="21"/>
              </w:rPr>
            </w:pPr>
          </w:p>
          <w:p w14:paraId="2E5979C2">
            <w:pPr>
              <w:spacing w:line="262" w:lineRule="auto"/>
              <w:rPr>
                <w:rFonts w:ascii="Arial"/>
                <w:sz w:val="21"/>
              </w:rPr>
            </w:pPr>
          </w:p>
          <w:p w14:paraId="1D96D0DC">
            <w:pPr>
              <w:spacing w:line="262" w:lineRule="auto"/>
              <w:rPr>
                <w:rFonts w:ascii="Arial"/>
                <w:sz w:val="21"/>
              </w:rPr>
            </w:pPr>
          </w:p>
          <w:p w14:paraId="02E20C23">
            <w:pPr>
              <w:spacing w:line="262" w:lineRule="auto"/>
              <w:rPr>
                <w:rFonts w:ascii="Arial"/>
                <w:sz w:val="21"/>
              </w:rPr>
            </w:pPr>
          </w:p>
          <w:p w14:paraId="3104D835">
            <w:pPr>
              <w:spacing w:line="262" w:lineRule="auto"/>
              <w:rPr>
                <w:rFonts w:ascii="Arial"/>
                <w:sz w:val="21"/>
              </w:rPr>
            </w:pPr>
          </w:p>
          <w:p w14:paraId="5C8338D6">
            <w:pPr>
              <w:spacing w:line="262" w:lineRule="auto"/>
              <w:rPr>
                <w:rFonts w:ascii="Arial"/>
                <w:sz w:val="21"/>
              </w:rPr>
            </w:pPr>
          </w:p>
          <w:p w14:paraId="269B73A8">
            <w:pPr>
              <w:pStyle w:val="7"/>
              <w:spacing w:before="78" w:line="217" w:lineRule="auto"/>
              <w:ind w:left="641"/>
            </w:pPr>
            <w:r>
              <w:rPr>
                <w:spacing w:val="-10"/>
              </w:rPr>
              <w:t>苗木</w:t>
            </w:r>
          </w:p>
        </w:tc>
        <w:tc>
          <w:tcPr>
            <w:tcW w:w="4627" w:type="dxa"/>
            <w:vAlign w:val="top"/>
          </w:tcPr>
          <w:p w14:paraId="3C158100">
            <w:pPr>
              <w:spacing w:before="62" w:line="3955" w:lineRule="exact"/>
              <w:ind w:firstLine="149"/>
            </w:pPr>
            <w:r>
              <w:rPr>
                <w:position w:val="-79"/>
              </w:rPr>
              <w:drawing>
                <wp:inline distT="0" distB="0" distL="0" distR="0">
                  <wp:extent cx="2740025" cy="2511425"/>
                  <wp:effectExtent l="0" t="0" r="0" b="0"/>
                  <wp:docPr id="1218" name="IM 1218"/>
                  <wp:cNvGraphicFramePr/>
                  <a:graphic xmlns:a="http://schemas.openxmlformats.org/drawingml/2006/main">
                    <a:graphicData uri="http://schemas.openxmlformats.org/drawingml/2006/picture">
                      <pic:pic xmlns:pic="http://schemas.openxmlformats.org/drawingml/2006/picture">
                        <pic:nvPicPr>
                          <pic:cNvPr id="1218" name="IM 1218"/>
                          <pic:cNvPicPr/>
                        </pic:nvPicPr>
                        <pic:blipFill>
                          <a:blip r:embed="rId656"/>
                          <a:stretch>
                            <a:fillRect/>
                          </a:stretch>
                        </pic:blipFill>
                        <pic:spPr>
                          <a:xfrm>
                            <a:off x="0" y="0"/>
                            <a:ext cx="2740025" cy="2511425"/>
                          </a:xfrm>
                          <a:prstGeom prst="rect">
                            <a:avLst/>
                          </a:prstGeom>
                        </pic:spPr>
                      </pic:pic>
                    </a:graphicData>
                  </a:graphic>
                </wp:inline>
              </w:drawing>
            </w:r>
          </w:p>
        </w:tc>
        <w:tc>
          <w:tcPr>
            <w:tcW w:w="1719" w:type="dxa"/>
            <w:gridSpan w:val="2"/>
            <w:tcBorders>
              <w:right w:val="single" w:color="000000" w:sz="4" w:space="0"/>
            </w:tcBorders>
            <w:vAlign w:val="top"/>
          </w:tcPr>
          <w:p w14:paraId="674F98A4">
            <w:pPr>
              <w:spacing w:line="266" w:lineRule="auto"/>
              <w:rPr>
                <w:rFonts w:ascii="Arial"/>
                <w:sz w:val="21"/>
              </w:rPr>
            </w:pPr>
          </w:p>
          <w:p w14:paraId="1AFCC43A">
            <w:pPr>
              <w:spacing w:line="266" w:lineRule="auto"/>
              <w:rPr>
                <w:rFonts w:ascii="Arial"/>
                <w:sz w:val="21"/>
              </w:rPr>
            </w:pPr>
          </w:p>
          <w:p w14:paraId="096B5284">
            <w:pPr>
              <w:spacing w:line="266" w:lineRule="auto"/>
              <w:rPr>
                <w:rFonts w:ascii="Arial"/>
                <w:sz w:val="21"/>
              </w:rPr>
            </w:pPr>
          </w:p>
          <w:p w14:paraId="1F44A2F1">
            <w:pPr>
              <w:spacing w:line="266" w:lineRule="auto"/>
              <w:rPr>
                <w:rFonts w:ascii="Arial"/>
                <w:sz w:val="21"/>
              </w:rPr>
            </w:pPr>
          </w:p>
          <w:p w14:paraId="7BB79C9D">
            <w:pPr>
              <w:spacing w:line="266" w:lineRule="auto"/>
              <w:rPr>
                <w:rFonts w:ascii="Arial"/>
                <w:sz w:val="21"/>
              </w:rPr>
            </w:pPr>
          </w:p>
          <w:p w14:paraId="173A3B99">
            <w:pPr>
              <w:spacing w:line="267" w:lineRule="auto"/>
              <w:rPr>
                <w:rFonts w:ascii="Arial"/>
                <w:sz w:val="21"/>
              </w:rPr>
            </w:pPr>
          </w:p>
          <w:p w14:paraId="3165CEBA">
            <w:pPr>
              <w:pStyle w:val="7"/>
              <w:spacing w:before="78" w:line="362" w:lineRule="auto"/>
              <w:ind w:left="756" w:right="79" w:hanging="655"/>
            </w:pPr>
            <w:r>
              <w:rPr>
                <w:spacing w:val="-22"/>
              </w:rPr>
              <w:t>依据进度节点进</w:t>
            </w:r>
            <w:r>
              <w:t>场</w:t>
            </w:r>
          </w:p>
        </w:tc>
      </w:tr>
      <w:tr w14:paraId="08AB18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3" w:hRule="atLeast"/>
        </w:trPr>
        <w:tc>
          <w:tcPr>
            <w:tcW w:w="222" w:type="dxa"/>
            <w:tcBorders>
              <w:left w:val="single" w:color="1C456A" w:sz="4" w:space="0"/>
              <w:bottom w:val="single" w:color="1C456A" w:sz="4" w:space="0"/>
              <w:right w:val="nil"/>
            </w:tcBorders>
            <w:vAlign w:val="top"/>
          </w:tcPr>
          <w:p w14:paraId="323D4F4B">
            <w:pPr>
              <w:rPr>
                <w:rFonts w:ascii="Arial"/>
                <w:sz w:val="21"/>
              </w:rPr>
            </w:pPr>
            <w:r>
              <w:pict>
                <v:shape id="_x0000_s3777" o:spid="_x0000_s3777" style="position:absolute;left:0pt;margin-left:-0.25pt;margin-top:162.2pt;height:0.75pt;width:2.2pt;mso-position-horizontal-relative:page;mso-position-vertical-relative:page;z-index:252209152;mso-width-relative:page;mso-height-relative:page;" fillcolor="#5B9BD5" filled="t" stroked="f" coordsize="44,15" path="m0,14l43,14,43,0,0,0,0,14xe">
                  <v:path/>
                  <v:fill on="t" focussize="0,0"/>
                  <v:stroke on="f"/>
                  <v:imagedata o:title=""/>
                  <o:lock v:ext="edit"/>
                </v:shape>
              </w:pict>
            </w:r>
          </w:p>
        </w:tc>
        <w:tc>
          <w:tcPr>
            <w:tcW w:w="649" w:type="dxa"/>
            <w:tcBorders>
              <w:left w:val="nil"/>
              <w:bottom w:val="single" w:color="1C456A" w:sz="4" w:space="0"/>
            </w:tcBorders>
            <w:vAlign w:val="top"/>
          </w:tcPr>
          <w:p w14:paraId="267E0AEF">
            <w:pPr>
              <w:spacing w:line="264" w:lineRule="auto"/>
              <w:rPr>
                <w:rFonts w:ascii="Arial"/>
                <w:sz w:val="21"/>
              </w:rPr>
            </w:pPr>
          </w:p>
          <w:p w14:paraId="031BB3A0">
            <w:pPr>
              <w:spacing w:line="265" w:lineRule="auto"/>
              <w:rPr>
                <w:rFonts w:ascii="Arial"/>
                <w:sz w:val="21"/>
              </w:rPr>
            </w:pPr>
          </w:p>
          <w:p w14:paraId="114DF996">
            <w:pPr>
              <w:spacing w:line="265" w:lineRule="auto"/>
              <w:rPr>
                <w:rFonts w:ascii="Arial"/>
                <w:sz w:val="21"/>
              </w:rPr>
            </w:pPr>
          </w:p>
          <w:p w14:paraId="611D8E9F">
            <w:pPr>
              <w:spacing w:line="265" w:lineRule="auto"/>
              <w:rPr>
                <w:rFonts w:ascii="Arial"/>
                <w:sz w:val="21"/>
              </w:rPr>
            </w:pPr>
          </w:p>
          <w:p w14:paraId="4592886F">
            <w:pPr>
              <w:spacing w:line="265" w:lineRule="auto"/>
              <w:rPr>
                <w:rFonts w:ascii="Arial"/>
                <w:sz w:val="21"/>
              </w:rPr>
            </w:pPr>
          </w:p>
          <w:p w14:paraId="58CDCA99">
            <w:pPr>
              <w:pStyle w:val="7"/>
              <w:spacing w:before="78" w:line="237" w:lineRule="auto"/>
              <w:ind w:left="173"/>
            </w:pPr>
            <w:r>
              <w:t>8</w:t>
            </w:r>
          </w:p>
        </w:tc>
        <w:tc>
          <w:tcPr>
            <w:tcW w:w="1700" w:type="dxa"/>
            <w:tcBorders>
              <w:bottom w:val="single" w:color="000000" w:sz="4" w:space="0"/>
            </w:tcBorders>
            <w:vAlign w:val="top"/>
          </w:tcPr>
          <w:p w14:paraId="40713406">
            <w:pPr>
              <w:spacing w:line="264" w:lineRule="auto"/>
              <w:rPr>
                <w:rFonts w:ascii="Arial"/>
                <w:sz w:val="21"/>
              </w:rPr>
            </w:pPr>
          </w:p>
          <w:p w14:paraId="40C35D08">
            <w:pPr>
              <w:spacing w:line="265" w:lineRule="auto"/>
              <w:rPr>
                <w:rFonts w:ascii="Arial"/>
                <w:sz w:val="21"/>
              </w:rPr>
            </w:pPr>
          </w:p>
          <w:p w14:paraId="5E48A361">
            <w:pPr>
              <w:spacing w:line="265" w:lineRule="auto"/>
              <w:rPr>
                <w:rFonts w:ascii="Arial"/>
                <w:sz w:val="21"/>
              </w:rPr>
            </w:pPr>
          </w:p>
          <w:p w14:paraId="6107DD36">
            <w:pPr>
              <w:spacing w:line="265" w:lineRule="auto"/>
              <w:rPr>
                <w:rFonts w:ascii="Arial"/>
                <w:sz w:val="21"/>
              </w:rPr>
            </w:pPr>
          </w:p>
          <w:p w14:paraId="2494CAE1">
            <w:pPr>
              <w:spacing w:line="265" w:lineRule="auto"/>
              <w:rPr>
                <w:rFonts w:ascii="Arial"/>
                <w:sz w:val="21"/>
              </w:rPr>
            </w:pPr>
          </w:p>
          <w:p w14:paraId="52119529">
            <w:pPr>
              <w:pStyle w:val="7"/>
              <w:spacing w:before="78" w:line="218" w:lineRule="auto"/>
              <w:ind w:left="643"/>
            </w:pPr>
            <w:r>
              <w:rPr>
                <w:spacing w:val="-11"/>
              </w:rPr>
              <w:t>沥青</w:t>
            </w:r>
          </w:p>
        </w:tc>
        <w:tc>
          <w:tcPr>
            <w:tcW w:w="4627" w:type="dxa"/>
            <w:tcBorders>
              <w:bottom w:val="single" w:color="000000" w:sz="4" w:space="0"/>
            </w:tcBorders>
            <w:vAlign w:val="top"/>
          </w:tcPr>
          <w:p w14:paraId="45CD51D8">
            <w:pPr>
              <w:spacing w:before="64" w:line="2928" w:lineRule="exact"/>
              <w:ind w:firstLine="111"/>
            </w:pPr>
            <w:r>
              <w:rPr>
                <w:position w:val="-58"/>
              </w:rPr>
              <w:drawing>
                <wp:inline distT="0" distB="0" distL="0" distR="0">
                  <wp:extent cx="2788920" cy="1858645"/>
                  <wp:effectExtent l="0" t="0" r="0" b="0"/>
                  <wp:docPr id="1220" name="IM 1220"/>
                  <wp:cNvGraphicFramePr/>
                  <a:graphic xmlns:a="http://schemas.openxmlformats.org/drawingml/2006/main">
                    <a:graphicData uri="http://schemas.openxmlformats.org/drawingml/2006/picture">
                      <pic:pic xmlns:pic="http://schemas.openxmlformats.org/drawingml/2006/picture">
                        <pic:nvPicPr>
                          <pic:cNvPr id="1220" name="IM 1220"/>
                          <pic:cNvPicPr/>
                        </pic:nvPicPr>
                        <pic:blipFill>
                          <a:blip r:embed="rId657"/>
                          <a:stretch>
                            <a:fillRect/>
                          </a:stretch>
                        </pic:blipFill>
                        <pic:spPr>
                          <a:xfrm>
                            <a:off x="0" y="0"/>
                            <a:ext cx="2788920" cy="1859279"/>
                          </a:xfrm>
                          <a:prstGeom prst="rect">
                            <a:avLst/>
                          </a:prstGeom>
                        </pic:spPr>
                      </pic:pic>
                    </a:graphicData>
                  </a:graphic>
                </wp:inline>
              </w:drawing>
            </w:r>
          </w:p>
        </w:tc>
        <w:tc>
          <w:tcPr>
            <w:tcW w:w="1653" w:type="dxa"/>
            <w:tcBorders>
              <w:bottom w:val="single" w:color="5B9BD5" w:sz="4" w:space="0"/>
              <w:right w:val="nil"/>
            </w:tcBorders>
            <w:vAlign w:val="top"/>
          </w:tcPr>
          <w:p w14:paraId="7C52A263">
            <w:pPr>
              <w:spacing w:line="273" w:lineRule="auto"/>
              <w:rPr>
                <w:rFonts w:ascii="Arial"/>
                <w:sz w:val="21"/>
              </w:rPr>
            </w:pPr>
          </w:p>
          <w:p w14:paraId="0EC52A57">
            <w:pPr>
              <w:spacing w:line="273" w:lineRule="auto"/>
              <w:rPr>
                <w:rFonts w:ascii="Arial"/>
                <w:sz w:val="21"/>
              </w:rPr>
            </w:pPr>
          </w:p>
          <w:p w14:paraId="52CEA07C">
            <w:pPr>
              <w:spacing w:line="273" w:lineRule="auto"/>
              <w:rPr>
                <w:rFonts w:ascii="Arial"/>
                <w:sz w:val="21"/>
              </w:rPr>
            </w:pPr>
          </w:p>
          <w:p w14:paraId="54824E27">
            <w:pPr>
              <w:spacing w:line="273" w:lineRule="auto"/>
              <w:rPr>
                <w:rFonts w:ascii="Arial"/>
                <w:sz w:val="21"/>
              </w:rPr>
            </w:pPr>
          </w:p>
          <w:p w14:paraId="437265F1">
            <w:pPr>
              <w:pStyle w:val="7"/>
              <w:spacing w:before="78" w:line="362" w:lineRule="auto"/>
              <w:ind w:left="756" w:right="18" w:hanging="655"/>
            </w:pPr>
            <w:r>
              <w:rPr>
                <w:spacing w:val="-22"/>
              </w:rPr>
              <w:t>依据进度节点进</w:t>
            </w:r>
            <w:r>
              <w:t>场</w:t>
            </w:r>
          </w:p>
        </w:tc>
        <w:tc>
          <w:tcPr>
            <w:tcW w:w="66" w:type="dxa"/>
            <w:tcBorders>
              <w:left w:val="nil"/>
              <w:bottom w:val="single" w:color="5B9BD5" w:sz="4" w:space="0"/>
              <w:right w:val="single" w:color="5B9BD5" w:sz="4" w:space="0"/>
            </w:tcBorders>
            <w:vAlign w:val="top"/>
          </w:tcPr>
          <w:p w14:paraId="2E3C241D">
            <w:pPr>
              <w:rPr>
                <w:rFonts w:ascii="Arial"/>
                <w:sz w:val="21"/>
              </w:rPr>
            </w:pPr>
            <w:r>
              <w:pict>
                <v:shape id="_x0000_s3778" o:spid="_x0000_s3778" style="position:absolute;left:0pt;margin-left:1.4pt;margin-top:162.2pt;height:0.75pt;width:2.2pt;mso-position-horizontal-relative:page;mso-position-vertical-relative:page;z-index:252208128;mso-width-relative:page;mso-height-relative:page;" fillcolor="#5B9BD5" filled="t" stroked="f" coordsize="44,15" path="m0,14l43,14,43,0,0,0,0,14xe">
                  <v:path/>
                  <v:fill on="t" focussize="0,0"/>
                  <v:stroke on="f"/>
                  <v:imagedata o:title=""/>
                  <o:lock v:ext="edit"/>
                </v:shape>
              </w:pict>
            </w:r>
          </w:p>
        </w:tc>
      </w:tr>
    </w:tbl>
    <w:p w14:paraId="0239A740">
      <w:pPr>
        <w:pStyle w:val="2"/>
        <w:spacing w:before="81" w:line="216" w:lineRule="auto"/>
        <w:ind w:left="1986"/>
        <w:outlineLvl w:val="2"/>
        <w:rPr>
          <w:sz w:val="28"/>
          <w:szCs w:val="28"/>
        </w:rPr>
      </w:pPr>
      <w:bookmarkStart w:id="211" w:name="bookmark203"/>
      <w:bookmarkEnd w:id="211"/>
      <w:r>
        <w:rPr>
          <w:b/>
          <w:bCs/>
          <w:spacing w:val="-23"/>
          <w:sz w:val="28"/>
          <w:szCs w:val="28"/>
        </w:rPr>
        <w:t>二、加强材料计划的严肃性</w:t>
      </w:r>
    </w:p>
    <w:p w14:paraId="3B3CB3CD">
      <w:pPr>
        <w:spacing w:line="216" w:lineRule="auto"/>
        <w:rPr>
          <w:sz w:val="28"/>
          <w:szCs w:val="28"/>
        </w:rPr>
        <w:sectPr>
          <w:footerReference r:id="rId284" w:type="default"/>
          <w:pgSz w:w="11907" w:h="16839"/>
          <w:pgMar w:top="933" w:right="4" w:bottom="1038" w:left="0" w:header="478" w:footer="357" w:gutter="0"/>
          <w:pgBorders>
            <w:top w:val="none" w:sz="0" w:space="0"/>
            <w:left w:val="none" w:sz="0" w:space="0"/>
            <w:bottom w:val="none" w:sz="0" w:space="0"/>
            <w:right w:val="none" w:sz="0" w:space="0"/>
          </w:pgBorders>
          <w:cols w:space="720" w:num="1"/>
        </w:sectPr>
      </w:pPr>
    </w:p>
    <w:p w14:paraId="210B9E94">
      <w:pPr>
        <w:spacing w:line="271" w:lineRule="auto"/>
        <w:rPr>
          <w:rFonts w:ascii="Arial"/>
          <w:sz w:val="21"/>
        </w:rPr>
      </w:pPr>
    </w:p>
    <w:p w14:paraId="02911804">
      <w:pPr>
        <w:pStyle w:val="2"/>
        <w:spacing w:before="78" w:line="294" w:lineRule="auto"/>
        <w:ind w:left="1463" w:right="1409" w:firstLine="431"/>
        <w:rPr>
          <w:sz w:val="24"/>
          <w:szCs w:val="24"/>
        </w:rPr>
      </w:pPr>
      <w:r>
        <w:rPr>
          <w:spacing w:val="-20"/>
          <w:sz w:val="24"/>
          <w:szCs w:val="24"/>
        </w:rPr>
        <w:t>项目部将执行规范化的计划编制、审核、采购制度，做到供应工作的不同阶段有不同的人</w:t>
      </w:r>
      <w:r>
        <w:rPr>
          <w:spacing w:val="-21"/>
          <w:sz w:val="24"/>
          <w:szCs w:val="24"/>
        </w:rPr>
        <w:t>负责，坚决杜绝计划盲目性、铺张浪费的不严</w:t>
      </w:r>
      <w:r>
        <w:rPr>
          <w:spacing w:val="-22"/>
          <w:sz w:val="24"/>
          <w:szCs w:val="24"/>
        </w:rPr>
        <w:t>肃工作作风。</w:t>
      </w:r>
    </w:p>
    <w:p w14:paraId="602DC4DC">
      <w:pPr>
        <w:pStyle w:val="2"/>
        <w:spacing w:before="1" w:line="217" w:lineRule="auto"/>
        <w:ind w:left="1985"/>
        <w:outlineLvl w:val="2"/>
        <w:rPr>
          <w:sz w:val="28"/>
          <w:szCs w:val="28"/>
        </w:rPr>
      </w:pPr>
      <w:bookmarkStart w:id="212" w:name="bookmark204"/>
      <w:bookmarkEnd w:id="212"/>
      <w:r>
        <w:rPr>
          <w:b/>
          <w:bCs/>
          <w:spacing w:val="-23"/>
          <w:sz w:val="28"/>
          <w:szCs w:val="28"/>
        </w:rPr>
        <w:t>三、加强采购成本的控制</w:t>
      </w:r>
    </w:p>
    <w:p w14:paraId="26CA64EF">
      <w:pPr>
        <w:pStyle w:val="2"/>
        <w:spacing w:before="104" w:line="299" w:lineRule="auto"/>
        <w:ind w:left="1456" w:right="1414" w:firstLine="438"/>
        <w:rPr>
          <w:sz w:val="24"/>
          <w:szCs w:val="24"/>
        </w:rPr>
      </w:pPr>
      <w:r>
        <w:rPr>
          <w:spacing w:val="-20"/>
          <w:sz w:val="24"/>
          <w:szCs w:val="24"/>
        </w:rPr>
        <w:t>在保证质量、数量、供货及时的基础上，降低采购成本是提高项目施工效益的重要环节。任何物质的采购必须有采购通知单及严格的验收入库制度，采购员不得接受任何人随意的采购</w:t>
      </w:r>
      <w:r>
        <w:rPr>
          <w:spacing w:val="-21"/>
          <w:sz w:val="24"/>
          <w:szCs w:val="24"/>
        </w:rPr>
        <w:t>指令。</w:t>
      </w:r>
    </w:p>
    <w:p w14:paraId="56E4C506">
      <w:pPr>
        <w:pStyle w:val="2"/>
        <w:spacing w:before="1" w:line="217" w:lineRule="auto"/>
        <w:ind w:left="2010"/>
        <w:outlineLvl w:val="2"/>
        <w:rPr>
          <w:sz w:val="28"/>
          <w:szCs w:val="28"/>
        </w:rPr>
      </w:pPr>
      <w:bookmarkStart w:id="213" w:name="bookmark205"/>
      <w:bookmarkEnd w:id="213"/>
      <w:r>
        <w:rPr>
          <w:b/>
          <w:bCs/>
          <w:spacing w:val="-25"/>
          <w:sz w:val="28"/>
          <w:szCs w:val="28"/>
        </w:rPr>
        <w:t>四、坚持审批的环节</w:t>
      </w:r>
    </w:p>
    <w:p w14:paraId="455A8F73">
      <w:pPr>
        <w:pStyle w:val="2"/>
        <w:spacing w:before="104" w:line="299" w:lineRule="auto"/>
        <w:ind w:left="1455" w:right="1409" w:firstLine="438"/>
        <w:jc w:val="both"/>
        <w:rPr>
          <w:sz w:val="24"/>
          <w:szCs w:val="24"/>
        </w:rPr>
      </w:pPr>
      <w:r>
        <w:rPr>
          <w:spacing w:val="-20"/>
          <w:sz w:val="24"/>
          <w:szCs w:val="24"/>
        </w:rPr>
        <w:t>项目部在做好自身计划的审批工作的基础上，同时也做好对业主的报批工作，对实行调整的大宗材料应事先报业主方进行价格、厂家的审批，在审批的基础上进行采购。未经审批的材</w:t>
      </w:r>
      <w:r>
        <w:rPr>
          <w:spacing w:val="-19"/>
          <w:sz w:val="24"/>
          <w:szCs w:val="24"/>
        </w:rPr>
        <w:t>料决不自行采购。</w:t>
      </w:r>
    </w:p>
    <w:p w14:paraId="517364E5">
      <w:pPr>
        <w:pStyle w:val="2"/>
        <w:spacing w:line="219" w:lineRule="auto"/>
        <w:ind w:left="1981"/>
        <w:outlineLvl w:val="2"/>
        <w:rPr>
          <w:sz w:val="28"/>
          <w:szCs w:val="28"/>
        </w:rPr>
      </w:pPr>
      <w:bookmarkStart w:id="214" w:name="bookmark206"/>
      <w:bookmarkEnd w:id="214"/>
      <w:r>
        <w:rPr>
          <w:b/>
          <w:bCs/>
          <w:spacing w:val="-22"/>
          <w:sz w:val="28"/>
          <w:szCs w:val="28"/>
        </w:rPr>
        <w:t>五、加及时回收</w:t>
      </w:r>
    </w:p>
    <w:p w14:paraId="638221DC">
      <w:pPr>
        <w:pStyle w:val="2"/>
        <w:spacing w:before="101" w:line="298" w:lineRule="auto"/>
        <w:ind w:left="1462" w:right="1415" w:firstLine="431"/>
        <w:jc w:val="both"/>
        <w:rPr>
          <w:sz w:val="24"/>
          <w:szCs w:val="24"/>
        </w:rPr>
      </w:pPr>
      <w:r>
        <w:rPr>
          <w:spacing w:val="-20"/>
          <w:sz w:val="24"/>
          <w:szCs w:val="24"/>
        </w:rPr>
        <w:t>做好材料的保管、领用工作是保证材料供应不乱的基础，项目部坚决执行限额领料制度，凭计划发料，在保管工作上配备专业的保管人员，保证帐、卡、物相符，保证仓库的材料不变质、不受损，同时利用保洁队和班组材料节约奖励的办法，做好材料的回收利用，做到能使用</w:t>
      </w:r>
      <w:r>
        <w:rPr>
          <w:spacing w:val="-22"/>
          <w:sz w:val="24"/>
          <w:szCs w:val="24"/>
        </w:rPr>
        <w:t>的坚决不浪费。</w:t>
      </w:r>
    </w:p>
    <w:p w14:paraId="33261BE1">
      <w:pPr>
        <w:pStyle w:val="2"/>
        <w:spacing w:before="1" w:line="217" w:lineRule="auto"/>
        <w:ind w:left="4730"/>
        <w:outlineLvl w:val="1"/>
        <w:rPr>
          <w:sz w:val="30"/>
          <w:szCs w:val="30"/>
        </w:rPr>
      </w:pPr>
      <w:bookmarkStart w:id="215" w:name="bookmark207"/>
      <w:bookmarkEnd w:id="215"/>
      <w:r>
        <w:rPr>
          <w:b/>
          <w:bCs/>
          <w:color w:val="0070C0"/>
          <w:spacing w:val="-24"/>
          <w:sz w:val="30"/>
          <w:szCs w:val="30"/>
        </w:rPr>
        <w:t>第六节、甲供材管理</w:t>
      </w:r>
    </w:p>
    <w:p w14:paraId="1655424E">
      <w:pPr>
        <w:pStyle w:val="2"/>
        <w:spacing w:before="63" w:line="219" w:lineRule="auto"/>
        <w:ind w:left="1981"/>
        <w:outlineLvl w:val="2"/>
        <w:rPr>
          <w:sz w:val="28"/>
          <w:szCs w:val="28"/>
        </w:rPr>
      </w:pPr>
      <w:bookmarkStart w:id="216" w:name="bookmark208"/>
      <w:bookmarkEnd w:id="216"/>
      <w:r>
        <w:rPr>
          <w:b/>
          <w:bCs/>
          <w:spacing w:val="-22"/>
          <w:sz w:val="28"/>
          <w:szCs w:val="28"/>
        </w:rPr>
        <w:t>一、甲供材进场管理</w:t>
      </w:r>
    </w:p>
    <w:p w14:paraId="47750B21">
      <w:pPr>
        <w:pStyle w:val="2"/>
        <w:spacing w:before="103" w:line="308" w:lineRule="auto"/>
        <w:ind w:left="1444" w:right="1448" w:firstLine="480"/>
        <w:rPr>
          <w:sz w:val="24"/>
          <w:szCs w:val="24"/>
        </w:rPr>
      </w:pPr>
      <w:r>
        <w:rPr>
          <w:spacing w:val="-12"/>
          <w:sz w:val="24"/>
          <w:szCs w:val="24"/>
        </w:rPr>
        <w:t>甲供主材为：DN600/DN800/DN1</w:t>
      </w:r>
      <w:r>
        <w:rPr>
          <w:spacing w:val="-13"/>
          <w:sz w:val="24"/>
          <w:szCs w:val="24"/>
        </w:rPr>
        <w:t>000球墨铸铁管、DN600/DN800/DN1000钢管、</w:t>
      </w:r>
      <w:r>
        <w:rPr>
          <w:spacing w:val="-14"/>
          <w:sz w:val="24"/>
          <w:szCs w:val="24"/>
        </w:rPr>
        <w:t>DN600/DN800/DN1000阀门、DN600/DN80</w:t>
      </w:r>
      <w:r>
        <w:rPr>
          <w:spacing w:val="-15"/>
          <w:sz w:val="24"/>
          <w:szCs w:val="24"/>
        </w:rPr>
        <w:t>0/DN1000胶圈、消火栓、水表、流量计。</w:t>
      </w:r>
    </w:p>
    <w:p w14:paraId="1D6CDD59">
      <w:pPr>
        <w:pStyle w:val="2"/>
        <w:spacing w:line="278" w:lineRule="auto"/>
        <w:ind w:left="1455" w:right="1411" w:firstLine="446"/>
        <w:jc w:val="both"/>
        <w:rPr>
          <w:sz w:val="24"/>
          <w:szCs w:val="24"/>
        </w:rPr>
      </w:pPr>
      <w:r>
        <w:rPr>
          <w:spacing w:val="-20"/>
          <w:sz w:val="24"/>
          <w:szCs w:val="24"/>
        </w:rPr>
        <w:t>为进一步规范公司甲供材料管理工作，提高工作质量和办事效率，保证采购人员正确、高效地实施管理与服务，完善监督机制，兼顾质量和成本，在保证工程正常使用的前提下，提高</w:t>
      </w:r>
      <w:r>
        <w:rPr>
          <w:spacing w:val="-21"/>
          <w:sz w:val="24"/>
          <w:szCs w:val="24"/>
        </w:rPr>
        <w:t>材料设备质量，减少采购成本，结合项目的实际情况，特制定</w:t>
      </w:r>
      <w:r>
        <w:rPr>
          <w:spacing w:val="-22"/>
          <w:sz w:val="24"/>
          <w:szCs w:val="24"/>
        </w:rPr>
        <w:t>本办法。</w:t>
      </w:r>
    </w:p>
    <w:tbl>
      <w:tblPr>
        <w:tblStyle w:val="6"/>
        <w:tblW w:w="8883" w:type="dxa"/>
        <w:tblInd w:w="15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86"/>
        <w:gridCol w:w="839"/>
        <w:gridCol w:w="7758"/>
      </w:tblGrid>
      <w:tr w14:paraId="503B20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0" w:hRule="atLeast"/>
        </w:trPr>
        <w:tc>
          <w:tcPr>
            <w:tcW w:w="1125" w:type="dxa"/>
            <w:gridSpan w:val="2"/>
            <w:tcBorders>
              <w:top w:val="single" w:color="000000" w:sz="4" w:space="0"/>
              <w:left w:val="single" w:color="000000" w:sz="4" w:space="0"/>
            </w:tcBorders>
            <w:shd w:val="clear" w:color="auto" w:fill="DEEAF6"/>
            <w:vAlign w:val="top"/>
          </w:tcPr>
          <w:p w14:paraId="585105FE">
            <w:pPr>
              <w:spacing w:before="33" w:line="60" w:lineRule="exact"/>
              <w:ind w:firstLine="33"/>
            </w:pPr>
            <w:r>
              <w:pict>
                <v:shape id="_x0000_s3779" o:spid="_x0000_s3779" style="position:absolute;left:0pt;margin-left:-0.2pt;margin-top:0.05pt;height:0.75pt;width:2.2pt;mso-position-horizontal-relative:page;mso-position-vertical-relative:page;z-index:252211200;mso-width-relative:page;mso-height-relative:page;" fillcolor="#5B9BD5" filled="t" stroked="f" coordsize="44,15" path="m0,14l43,14,43,0,0,0,0,14xe">
                  <v:path/>
                  <v:fill on="t" focussize="0,0"/>
                  <v:stroke on="f"/>
                  <v:imagedata o:title=""/>
                  <o:lock v:ext="edit"/>
                </v:shape>
              </w:pict>
            </w:r>
            <w:r>
              <w:rPr>
                <w:position w:val="-1"/>
              </w:rPr>
              <w:pict>
                <v:shape id="_x0000_s3780" o:spid="_x0000_s3780" style="height:3pt;width:53.65pt;" fillcolor="#DEEAF6" filled="t" stroked="f" coordsize="1073,60" path="m0,60l1072,60,1072,0,0,0,0,60xe">
                  <v:path/>
                  <v:fill on="t" focussize="0,0"/>
                  <v:stroke on="f"/>
                  <v:imagedata o:title=""/>
                  <o:lock v:ext="edit"/>
                  <w10:wrap type="none"/>
                  <w10:anchorlock/>
                </v:shape>
              </w:pict>
            </w:r>
          </w:p>
          <w:p w14:paraId="00A2E183">
            <w:pPr>
              <w:pStyle w:val="7"/>
              <w:spacing w:before="33" w:line="218" w:lineRule="auto"/>
              <w:ind w:left="356"/>
            </w:pPr>
            <w:r>
              <w:rPr>
                <w:b/>
                <w:bCs/>
                <w:spacing w:val="-12"/>
              </w:rPr>
              <w:t>序号</w:t>
            </w:r>
          </w:p>
          <w:p w14:paraId="2E89AF57">
            <w:pPr>
              <w:spacing w:before="148" w:line="51" w:lineRule="exact"/>
              <w:ind w:firstLine="11"/>
            </w:pPr>
            <w:r>
              <w:rPr>
                <w:position w:val="-1"/>
              </w:rPr>
              <w:pict>
                <v:shape id="_x0000_s3781" o:spid="_x0000_s3781" style="height:2.9pt;width:55pt;" fillcolor="#DEEAF6" filled="t" stroked="f" coordsize="1100,58" path="m0,57l1099,57,1099,0,0,0,0,57xe">
                  <v:path/>
                  <v:fill on="t" focussize="0,0"/>
                  <v:stroke on="f"/>
                  <v:imagedata o:title=""/>
                  <o:lock v:ext="edit"/>
                  <w10:wrap type="none"/>
                  <w10:anchorlock/>
                </v:shape>
              </w:pict>
            </w:r>
          </w:p>
        </w:tc>
        <w:tc>
          <w:tcPr>
            <w:tcW w:w="7758" w:type="dxa"/>
            <w:tcBorders>
              <w:top w:val="single" w:color="5B9BD5" w:sz="4" w:space="0"/>
              <w:right w:val="single" w:color="5B9BD5" w:sz="4" w:space="0"/>
            </w:tcBorders>
            <w:shd w:val="clear" w:color="auto" w:fill="DEEAF6"/>
            <w:vAlign w:val="top"/>
          </w:tcPr>
          <w:p w14:paraId="0459443B">
            <w:pPr>
              <w:pStyle w:val="7"/>
              <w:spacing w:before="127" w:line="218" w:lineRule="auto"/>
              <w:ind w:left="3689"/>
            </w:pPr>
            <w:r>
              <w:rPr>
                <w:b/>
                <w:bCs/>
                <w:spacing w:val="-20"/>
              </w:rPr>
              <w:t>内容</w:t>
            </w:r>
          </w:p>
        </w:tc>
      </w:tr>
      <w:tr w14:paraId="75BD1E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84" w:hRule="atLeast"/>
        </w:trPr>
        <w:tc>
          <w:tcPr>
            <w:tcW w:w="1125" w:type="dxa"/>
            <w:gridSpan w:val="2"/>
            <w:tcBorders>
              <w:left w:val="single" w:color="000000" w:sz="4" w:space="0"/>
            </w:tcBorders>
            <w:vAlign w:val="top"/>
          </w:tcPr>
          <w:p w14:paraId="2DDBF8DF">
            <w:pPr>
              <w:spacing w:line="355" w:lineRule="auto"/>
              <w:rPr>
                <w:rFonts w:ascii="Arial"/>
                <w:sz w:val="21"/>
              </w:rPr>
            </w:pPr>
          </w:p>
          <w:p w14:paraId="7A261EE0">
            <w:pPr>
              <w:spacing w:line="356" w:lineRule="auto"/>
              <w:rPr>
                <w:rFonts w:ascii="Arial"/>
                <w:sz w:val="21"/>
              </w:rPr>
            </w:pPr>
          </w:p>
          <w:p w14:paraId="2945988C">
            <w:pPr>
              <w:pStyle w:val="7"/>
              <w:spacing w:before="78" w:line="238" w:lineRule="auto"/>
              <w:ind w:left="532"/>
            </w:pPr>
            <w:r>
              <w:t>1</w:t>
            </w:r>
          </w:p>
        </w:tc>
        <w:tc>
          <w:tcPr>
            <w:tcW w:w="7758" w:type="dxa"/>
            <w:tcBorders>
              <w:right w:val="single" w:color="000000" w:sz="4" w:space="0"/>
            </w:tcBorders>
            <w:vAlign w:val="top"/>
          </w:tcPr>
          <w:p w14:paraId="3A8C2FE6">
            <w:pPr>
              <w:pStyle w:val="7"/>
              <w:spacing w:before="94" w:line="217" w:lineRule="auto"/>
              <w:ind w:left="69"/>
            </w:pPr>
            <w:r>
              <w:rPr>
                <w:spacing w:val="-21"/>
              </w:rPr>
              <w:t>工程合同中已明确由我方供应的物资，凡属首次</w:t>
            </w:r>
            <w:r>
              <w:rPr>
                <w:spacing w:val="-22"/>
              </w:rPr>
              <w:t>供应的品种，施工单位至少应提</w:t>
            </w:r>
          </w:p>
          <w:p w14:paraId="1C6E7ACB">
            <w:pPr>
              <w:pStyle w:val="7"/>
              <w:spacing w:before="183" w:line="216" w:lineRule="auto"/>
              <w:ind w:left="64"/>
            </w:pPr>
            <w:r>
              <w:rPr>
                <w:spacing w:val="-22"/>
              </w:rPr>
              <w:t>前20天提出甲供材料设备需求计划，如需加工和生产周期较</w:t>
            </w:r>
            <w:r>
              <w:rPr>
                <w:spacing w:val="-23"/>
              </w:rPr>
              <w:t>长的材料一般至少提</w:t>
            </w:r>
          </w:p>
          <w:p w14:paraId="3FF2E5F0">
            <w:pPr>
              <w:pStyle w:val="7"/>
              <w:spacing w:before="186" w:line="217" w:lineRule="auto"/>
              <w:ind w:left="64"/>
            </w:pPr>
            <w:r>
              <w:rPr>
                <w:spacing w:val="-20"/>
              </w:rPr>
              <w:t>前45天。属同品种后续供货的,一般至少提前10日提出需求计划(合同中单独约</w:t>
            </w:r>
          </w:p>
          <w:p w14:paraId="5FB89A08">
            <w:pPr>
              <w:pStyle w:val="7"/>
              <w:spacing w:before="183" w:line="217" w:lineRule="auto"/>
              <w:ind w:left="2901"/>
            </w:pPr>
            <w:r>
              <w:rPr>
                <w:spacing w:val="-19"/>
              </w:rPr>
              <w:t>定的按合同执行）。</w:t>
            </w:r>
          </w:p>
        </w:tc>
      </w:tr>
      <w:tr w14:paraId="6D202D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16" w:hRule="atLeast"/>
        </w:trPr>
        <w:tc>
          <w:tcPr>
            <w:tcW w:w="1125" w:type="dxa"/>
            <w:gridSpan w:val="2"/>
            <w:tcBorders>
              <w:left w:val="single" w:color="000000" w:sz="4" w:space="0"/>
            </w:tcBorders>
            <w:vAlign w:val="top"/>
          </w:tcPr>
          <w:p w14:paraId="44655930">
            <w:pPr>
              <w:spacing w:line="241" w:lineRule="auto"/>
              <w:rPr>
                <w:rFonts w:ascii="Arial"/>
                <w:sz w:val="21"/>
              </w:rPr>
            </w:pPr>
          </w:p>
          <w:p w14:paraId="2FD6F741">
            <w:pPr>
              <w:spacing w:line="242" w:lineRule="auto"/>
              <w:rPr>
                <w:rFonts w:ascii="Arial"/>
                <w:sz w:val="21"/>
              </w:rPr>
            </w:pPr>
          </w:p>
          <w:p w14:paraId="369E2D89">
            <w:pPr>
              <w:pStyle w:val="7"/>
              <w:spacing w:before="78" w:line="238" w:lineRule="auto"/>
              <w:ind w:left="517"/>
            </w:pPr>
            <w:r>
              <w:t>2</w:t>
            </w:r>
          </w:p>
        </w:tc>
        <w:tc>
          <w:tcPr>
            <w:tcW w:w="7758" w:type="dxa"/>
            <w:tcBorders>
              <w:right w:val="single" w:color="000000" w:sz="4" w:space="0"/>
            </w:tcBorders>
            <w:vAlign w:val="top"/>
          </w:tcPr>
          <w:p w14:paraId="504BEECB">
            <w:pPr>
              <w:pStyle w:val="7"/>
              <w:spacing w:before="95" w:line="217" w:lineRule="auto"/>
              <w:ind w:left="63"/>
            </w:pPr>
            <w:r>
              <w:rPr>
                <w:spacing w:val="-21"/>
              </w:rPr>
              <w:t>施工单位提出的需求计划经监理及业主工程部审核后，报分管</w:t>
            </w:r>
            <w:r>
              <w:rPr>
                <w:spacing w:val="-22"/>
              </w:rPr>
              <w:t>副总批准，施工单</w:t>
            </w:r>
          </w:p>
          <w:p w14:paraId="5F82C78A">
            <w:pPr>
              <w:pStyle w:val="7"/>
              <w:spacing w:before="185" w:line="217" w:lineRule="auto"/>
              <w:ind w:left="62"/>
            </w:pPr>
            <w:r>
              <w:rPr>
                <w:spacing w:val="-23"/>
              </w:rPr>
              <w:t>位再交我方供应部进行采购。月计划报送时间为每月的25日之前、</w:t>
            </w:r>
            <w:r>
              <w:rPr>
                <w:spacing w:val="-24"/>
              </w:rPr>
              <w:t>周计划为每周</w:t>
            </w:r>
          </w:p>
          <w:p w14:paraId="7B37DC77">
            <w:pPr>
              <w:pStyle w:val="7"/>
              <w:spacing w:before="184" w:line="218" w:lineRule="auto"/>
              <w:ind w:left="3239"/>
            </w:pPr>
            <w:r>
              <w:rPr>
                <w:spacing w:val="-20"/>
              </w:rPr>
              <w:t>的周四报送。</w:t>
            </w:r>
          </w:p>
        </w:tc>
      </w:tr>
      <w:tr w14:paraId="5174D6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89" w:hRule="atLeast"/>
        </w:trPr>
        <w:tc>
          <w:tcPr>
            <w:tcW w:w="286" w:type="dxa"/>
            <w:tcBorders>
              <w:left w:val="single" w:color="1C456A" w:sz="4" w:space="0"/>
              <w:bottom w:val="single" w:color="1C456A" w:sz="4" w:space="0"/>
              <w:right w:val="nil"/>
            </w:tcBorders>
            <w:vAlign w:val="top"/>
          </w:tcPr>
          <w:p w14:paraId="777F0936">
            <w:pPr>
              <w:rPr>
                <w:rFonts w:ascii="Arial"/>
                <w:sz w:val="21"/>
              </w:rPr>
            </w:pPr>
            <w:r>
              <w:pict>
                <v:shape id="_x0000_s3782" o:spid="_x0000_s3782" style="position:absolute;left:0pt;margin-left:-0.25pt;margin-top:54.5pt;height:0.75pt;width:2.2pt;mso-position-horizontal-relative:page;mso-position-vertical-relative:page;z-index:252210176;mso-width-relative:page;mso-height-relative:page;" fillcolor="#5B9BD5" filled="t" stroked="f" coordsize="44,15" path="m0,14l43,14,43,0,0,0,0,14xe">
                  <v:path/>
                  <v:fill on="t" focussize="0,0"/>
                  <v:stroke on="f"/>
                  <v:imagedata o:title=""/>
                  <o:lock v:ext="edit"/>
                </v:shape>
              </w:pict>
            </w:r>
          </w:p>
        </w:tc>
        <w:tc>
          <w:tcPr>
            <w:tcW w:w="839" w:type="dxa"/>
            <w:tcBorders>
              <w:left w:val="nil"/>
              <w:bottom w:val="single" w:color="1C456A" w:sz="4" w:space="0"/>
            </w:tcBorders>
            <w:vAlign w:val="top"/>
          </w:tcPr>
          <w:p w14:paraId="7F90CFD3">
            <w:pPr>
              <w:spacing w:line="254" w:lineRule="auto"/>
              <w:rPr>
                <w:rFonts w:ascii="Arial"/>
                <w:sz w:val="21"/>
              </w:rPr>
            </w:pPr>
          </w:p>
          <w:p w14:paraId="6E2DBEB3">
            <w:pPr>
              <w:pStyle w:val="7"/>
              <w:spacing w:before="78" w:line="237" w:lineRule="auto"/>
              <w:ind w:left="238"/>
            </w:pPr>
            <w:r>
              <w:t>3</w:t>
            </w:r>
          </w:p>
        </w:tc>
        <w:tc>
          <w:tcPr>
            <w:tcW w:w="7758" w:type="dxa"/>
            <w:tcBorders>
              <w:bottom w:val="single" w:color="5B9BD5" w:sz="4" w:space="0"/>
              <w:right w:val="single" w:color="5B9BD5" w:sz="4" w:space="0"/>
            </w:tcBorders>
            <w:vAlign w:val="top"/>
          </w:tcPr>
          <w:p w14:paraId="51E2EBA1">
            <w:pPr>
              <w:pStyle w:val="7"/>
              <w:spacing w:before="102" w:line="358" w:lineRule="auto"/>
              <w:ind w:left="90" w:right="49" w:hanging="27"/>
            </w:pPr>
            <w:r>
              <w:rPr>
                <w:spacing w:val="-22"/>
              </w:rPr>
              <w:t>施工单位报送需求计划时，应充分考虑运输时间、生产周期等相关因素，为我方</w:t>
            </w:r>
            <w:r>
              <w:rPr>
                <w:spacing w:val="-23"/>
              </w:rPr>
              <w:t>留出合理的采购时间。如因计划报送不及时，造成材料到场时间延误、供货数量</w:t>
            </w:r>
          </w:p>
        </w:tc>
      </w:tr>
    </w:tbl>
    <w:p w14:paraId="488D5FA3">
      <w:pPr>
        <w:rPr>
          <w:rFonts w:ascii="Arial"/>
          <w:sz w:val="21"/>
        </w:rPr>
      </w:pPr>
    </w:p>
    <w:p w14:paraId="48FD79AE">
      <w:pPr>
        <w:rPr>
          <w:rFonts w:ascii="Arial" w:hAnsi="Arial" w:eastAsia="Arial" w:cs="Arial"/>
          <w:sz w:val="21"/>
          <w:szCs w:val="21"/>
        </w:rPr>
        <w:sectPr>
          <w:footerReference r:id="rId285" w:type="default"/>
          <w:pgSz w:w="11907" w:h="16839"/>
          <w:pgMar w:top="933" w:right="4" w:bottom="1038" w:left="0" w:header="478" w:footer="357" w:gutter="0"/>
          <w:pgBorders>
            <w:top w:val="none" w:sz="0" w:space="0"/>
            <w:left w:val="none" w:sz="0" w:space="0"/>
            <w:bottom w:val="none" w:sz="0" w:space="0"/>
            <w:right w:val="none" w:sz="0" w:space="0"/>
          </w:pgBorders>
          <w:cols w:space="720" w:num="1"/>
        </w:sectPr>
      </w:pPr>
    </w:p>
    <w:p w14:paraId="1BA27ECE">
      <w:pPr>
        <w:spacing w:line="235" w:lineRule="exact"/>
      </w:pPr>
    </w:p>
    <w:tbl>
      <w:tblPr>
        <w:tblStyle w:val="6"/>
        <w:tblW w:w="8883" w:type="dxa"/>
        <w:tblInd w:w="15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65"/>
        <w:gridCol w:w="854"/>
        <w:gridCol w:w="7764"/>
      </w:tblGrid>
      <w:tr w14:paraId="3527D2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1" w:hRule="atLeast"/>
        </w:trPr>
        <w:tc>
          <w:tcPr>
            <w:tcW w:w="1119" w:type="dxa"/>
            <w:gridSpan w:val="2"/>
            <w:tcBorders>
              <w:top w:val="single" w:color="000000" w:sz="4" w:space="0"/>
              <w:left w:val="single" w:color="000000" w:sz="4" w:space="0"/>
            </w:tcBorders>
            <w:vAlign w:val="top"/>
          </w:tcPr>
          <w:p w14:paraId="495CD3B9">
            <w:pPr>
              <w:rPr>
                <w:rFonts w:ascii="Arial"/>
                <w:sz w:val="21"/>
              </w:rPr>
            </w:pPr>
          </w:p>
        </w:tc>
        <w:tc>
          <w:tcPr>
            <w:tcW w:w="7764" w:type="dxa"/>
            <w:tcBorders>
              <w:top w:val="single" w:color="5B9BD5" w:sz="4" w:space="0"/>
              <w:right w:val="single" w:color="5B9BD5" w:sz="4" w:space="0"/>
            </w:tcBorders>
            <w:vAlign w:val="top"/>
          </w:tcPr>
          <w:p w14:paraId="7E7C38B5">
            <w:pPr>
              <w:pStyle w:val="7"/>
              <w:spacing w:before="128" w:line="217" w:lineRule="auto"/>
              <w:ind w:left="1929"/>
            </w:pPr>
            <w:r>
              <w:rPr>
                <w:spacing w:val="-21"/>
              </w:rPr>
              <w:t>不足等情况，一切损失由施工单位负责。</w:t>
            </w:r>
          </w:p>
        </w:tc>
      </w:tr>
      <w:tr w14:paraId="0A6CD8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53" w:hRule="atLeast"/>
        </w:trPr>
        <w:tc>
          <w:tcPr>
            <w:tcW w:w="1119" w:type="dxa"/>
            <w:gridSpan w:val="2"/>
            <w:tcBorders>
              <w:left w:val="single" w:color="000000" w:sz="4" w:space="0"/>
            </w:tcBorders>
            <w:vAlign w:val="top"/>
          </w:tcPr>
          <w:p w14:paraId="2DE991BF">
            <w:pPr>
              <w:spacing w:line="247" w:lineRule="auto"/>
              <w:rPr>
                <w:rFonts w:ascii="Arial"/>
                <w:sz w:val="21"/>
              </w:rPr>
            </w:pPr>
          </w:p>
          <w:p w14:paraId="4A06B145">
            <w:pPr>
              <w:pStyle w:val="7"/>
              <w:spacing w:before="78" w:line="238" w:lineRule="auto"/>
              <w:ind w:left="513"/>
            </w:pPr>
            <w:r>
              <w:t>4</w:t>
            </w:r>
          </w:p>
        </w:tc>
        <w:tc>
          <w:tcPr>
            <w:tcW w:w="7764" w:type="dxa"/>
            <w:tcBorders>
              <w:right w:val="single" w:color="000000" w:sz="4" w:space="0"/>
            </w:tcBorders>
            <w:vAlign w:val="top"/>
          </w:tcPr>
          <w:p w14:paraId="1C2601AF">
            <w:pPr>
              <w:pStyle w:val="7"/>
              <w:spacing w:before="94" w:line="215" w:lineRule="auto"/>
              <w:ind w:left="69"/>
            </w:pPr>
            <w:r>
              <w:rPr>
                <w:spacing w:val="-21"/>
              </w:rPr>
              <w:t>施工单位在填报材料计划时，应充分考虑运输条件，当期使用不</w:t>
            </w:r>
            <w:r>
              <w:rPr>
                <w:spacing w:val="-22"/>
              </w:rPr>
              <w:t>足一车而后续还</w:t>
            </w:r>
          </w:p>
          <w:p w14:paraId="0FEFD4E2">
            <w:pPr>
              <w:pStyle w:val="7"/>
              <w:spacing w:before="186" w:line="215" w:lineRule="auto"/>
              <w:ind w:left="2254"/>
            </w:pPr>
            <w:r>
              <w:rPr>
                <w:spacing w:val="-22"/>
              </w:rPr>
              <w:t>要使用的材料尽量考虑足车用量。</w:t>
            </w:r>
          </w:p>
        </w:tc>
      </w:tr>
      <w:tr w14:paraId="6D4140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18" w:hRule="atLeast"/>
        </w:trPr>
        <w:tc>
          <w:tcPr>
            <w:tcW w:w="1119" w:type="dxa"/>
            <w:gridSpan w:val="2"/>
            <w:tcBorders>
              <w:left w:val="single" w:color="000000" w:sz="4" w:space="0"/>
            </w:tcBorders>
            <w:vAlign w:val="top"/>
          </w:tcPr>
          <w:p w14:paraId="2F821477">
            <w:pPr>
              <w:spacing w:line="479" w:lineRule="auto"/>
              <w:rPr>
                <w:rFonts w:ascii="Arial"/>
                <w:sz w:val="21"/>
              </w:rPr>
            </w:pPr>
          </w:p>
          <w:p w14:paraId="0F441D00">
            <w:pPr>
              <w:pStyle w:val="7"/>
              <w:spacing w:before="78" w:line="237" w:lineRule="auto"/>
              <w:ind w:left="519"/>
            </w:pPr>
            <w:r>
              <w:t>5</w:t>
            </w:r>
          </w:p>
        </w:tc>
        <w:tc>
          <w:tcPr>
            <w:tcW w:w="7764" w:type="dxa"/>
            <w:tcBorders>
              <w:right w:val="single" w:color="000000" w:sz="4" w:space="0"/>
            </w:tcBorders>
            <w:vAlign w:val="top"/>
          </w:tcPr>
          <w:p w14:paraId="2F0BAD94">
            <w:pPr>
              <w:pStyle w:val="7"/>
              <w:spacing w:before="94" w:line="216" w:lineRule="auto"/>
              <w:ind w:left="69"/>
            </w:pPr>
            <w:r>
              <w:rPr>
                <w:spacing w:val="-21"/>
              </w:rPr>
              <w:t>材料需求计划应列出建设工程名称、分部分项工程名称、建设</w:t>
            </w:r>
            <w:r>
              <w:rPr>
                <w:spacing w:val="-22"/>
              </w:rPr>
              <w:t>单位名称、监理单</w:t>
            </w:r>
          </w:p>
          <w:p w14:paraId="37ECA10E">
            <w:pPr>
              <w:pStyle w:val="7"/>
              <w:spacing w:before="184" w:line="216" w:lineRule="auto"/>
              <w:ind w:left="71"/>
            </w:pPr>
            <w:r>
              <w:rPr>
                <w:spacing w:val="-21"/>
              </w:rPr>
              <w:t>位名称、施工单位名称，标明编制人、审核人、批准人、接</w:t>
            </w:r>
            <w:r>
              <w:rPr>
                <w:spacing w:val="-22"/>
              </w:rPr>
              <w:t>收人，并预留签字位</w:t>
            </w:r>
          </w:p>
          <w:p w14:paraId="10434AC0">
            <w:pPr>
              <w:pStyle w:val="7"/>
              <w:spacing w:before="187" w:line="224" w:lineRule="auto"/>
              <w:ind w:left="3666"/>
            </w:pPr>
            <w:r>
              <w:rPr>
                <w:spacing w:val="-18"/>
              </w:rPr>
              <w:t>置。</w:t>
            </w:r>
          </w:p>
        </w:tc>
      </w:tr>
      <w:tr w14:paraId="45D348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18" w:hRule="atLeast"/>
        </w:trPr>
        <w:tc>
          <w:tcPr>
            <w:tcW w:w="1119" w:type="dxa"/>
            <w:gridSpan w:val="2"/>
            <w:tcBorders>
              <w:left w:val="single" w:color="000000" w:sz="4" w:space="0"/>
            </w:tcBorders>
            <w:vAlign w:val="top"/>
          </w:tcPr>
          <w:p w14:paraId="1BC67E5E">
            <w:pPr>
              <w:rPr>
                <w:rFonts w:ascii="Arial"/>
                <w:sz w:val="21"/>
              </w:rPr>
            </w:pPr>
          </w:p>
          <w:p w14:paraId="7A772D6B">
            <w:pPr>
              <w:rPr>
                <w:rFonts w:ascii="Arial"/>
                <w:sz w:val="21"/>
              </w:rPr>
            </w:pPr>
          </w:p>
          <w:p w14:paraId="05F9B056">
            <w:pPr>
              <w:pStyle w:val="7"/>
              <w:spacing w:before="78" w:line="237" w:lineRule="auto"/>
              <w:ind w:left="516"/>
            </w:pPr>
            <w:r>
              <w:t>6</w:t>
            </w:r>
          </w:p>
        </w:tc>
        <w:tc>
          <w:tcPr>
            <w:tcW w:w="7764" w:type="dxa"/>
            <w:tcBorders>
              <w:right w:val="single" w:color="000000" w:sz="4" w:space="0"/>
            </w:tcBorders>
            <w:vAlign w:val="top"/>
          </w:tcPr>
          <w:p w14:paraId="1BB303CC">
            <w:pPr>
              <w:pStyle w:val="7"/>
              <w:spacing w:before="95" w:line="216" w:lineRule="auto"/>
              <w:ind w:left="66"/>
            </w:pPr>
            <w:r>
              <w:rPr>
                <w:spacing w:val="-24"/>
              </w:rPr>
              <w:t>材料需求计划应以表格形式报送，且表格应列明:材料名称、规格、型号、计量单</w:t>
            </w:r>
          </w:p>
          <w:p w14:paraId="77EBEA1F">
            <w:pPr>
              <w:pStyle w:val="7"/>
              <w:spacing w:before="184" w:line="216" w:lineRule="auto"/>
              <w:ind w:left="71"/>
            </w:pPr>
            <w:r>
              <w:rPr>
                <w:spacing w:val="-21"/>
              </w:rPr>
              <w:t>位、数量、到货日期、备注事项等有关内容。如材料是分批</w:t>
            </w:r>
            <w:r>
              <w:rPr>
                <w:spacing w:val="-22"/>
              </w:rPr>
              <w:t>分期到货的。必须详</w:t>
            </w:r>
          </w:p>
          <w:p w14:paraId="4B97A06C">
            <w:pPr>
              <w:pStyle w:val="7"/>
              <w:spacing w:before="187" w:line="219" w:lineRule="auto"/>
              <w:ind w:left="2146"/>
            </w:pPr>
            <w:r>
              <w:rPr>
                <w:spacing w:val="-21"/>
              </w:rPr>
              <w:t>细注明每一批次的到货数量和日期。</w:t>
            </w:r>
          </w:p>
        </w:tc>
      </w:tr>
      <w:tr w14:paraId="19AC6A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7" w:hRule="atLeast"/>
        </w:trPr>
        <w:tc>
          <w:tcPr>
            <w:tcW w:w="1119" w:type="dxa"/>
            <w:gridSpan w:val="2"/>
            <w:tcBorders>
              <w:left w:val="single" w:color="000000" w:sz="4" w:space="0"/>
            </w:tcBorders>
            <w:vAlign w:val="top"/>
          </w:tcPr>
          <w:p w14:paraId="60E42867">
            <w:pPr>
              <w:pStyle w:val="7"/>
              <w:spacing w:before="97" w:line="237" w:lineRule="auto"/>
              <w:ind w:left="520"/>
            </w:pPr>
            <w:r>
              <w:t>7</w:t>
            </w:r>
          </w:p>
        </w:tc>
        <w:tc>
          <w:tcPr>
            <w:tcW w:w="7764" w:type="dxa"/>
            <w:tcBorders>
              <w:right w:val="single" w:color="000000" w:sz="4" w:space="0"/>
            </w:tcBorders>
            <w:vAlign w:val="top"/>
          </w:tcPr>
          <w:p w14:paraId="6EC482B5">
            <w:pPr>
              <w:pStyle w:val="7"/>
              <w:spacing w:before="97" w:line="216" w:lineRule="auto"/>
              <w:ind w:left="69"/>
            </w:pPr>
            <w:r>
              <w:rPr>
                <w:spacing w:val="-22"/>
              </w:rPr>
              <w:t>材料名称的书写应以材料的行业统一名称为准，不得使用简称、别称及俗称等。</w:t>
            </w:r>
          </w:p>
        </w:tc>
      </w:tr>
      <w:tr w14:paraId="270829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18" w:hRule="atLeast"/>
        </w:trPr>
        <w:tc>
          <w:tcPr>
            <w:tcW w:w="1119" w:type="dxa"/>
            <w:gridSpan w:val="2"/>
            <w:tcBorders>
              <w:left w:val="single" w:color="000000" w:sz="4" w:space="0"/>
            </w:tcBorders>
            <w:vAlign w:val="top"/>
          </w:tcPr>
          <w:p w14:paraId="492F4003">
            <w:pPr>
              <w:spacing w:line="241" w:lineRule="auto"/>
              <w:rPr>
                <w:rFonts w:ascii="Arial"/>
                <w:sz w:val="21"/>
              </w:rPr>
            </w:pPr>
          </w:p>
          <w:p w14:paraId="43472E84">
            <w:pPr>
              <w:spacing w:line="241" w:lineRule="auto"/>
              <w:rPr>
                <w:rFonts w:ascii="Arial"/>
                <w:sz w:val="21"/>
              </w:rPr>
            </w:pPr>
          </w:p>
          <w:p w14:paraId="49BF0DF8">
            <w:pPr>
              <w:pStyle w:val="7"/>
              <w:spacing w:before="78" w:line="237" w:lineRule="auto"/>
              <w:ind w:left="515"/>
            </w:pPr>
            <w:r>
              <w:t>8</w:t>
            </w:r>
          </w:p>
        </w:tc>
        <w:tc>
          <w:tcPr>
            <w:tcW w:w="7764" w:type="dxa"/>
            <w:tcBorders>
              <w:right w:val="single" w:color="000000" w:sz="4" w:space="0"/>
            </w:tcBorders>
            <w:vAlign w:val="top"/>
          </w:tcPr>
          <w:p w14:paraId="40482A35">
            <w:pPr>
              <w:pStyle w:val="7"/>
              <w:spacing w:before="95" w:line="215" w:lineRule="auto"/>
              <w:ind w:left="66"/>
            </w:pPr>
            <w:r>
              <w:rPr>
                <w:spacing w:val="-22"/>
              </w:rPr>
              <w:t>施工单位在有材料需求时，先根据需求状况编制材料需求计划(一式四份</w:t>
            </w:r>
            <w:r>
              <w:rPr>
                <w:spacing w:val="-54"/>
              </w:rPr>
              <w:t>），</w:t>
            </w:r>
            <w:r>
              <w:rPr>
                <w:spacing w:val="-22"/>
              </w:rPr>
              <w:t>经编</w:t>
            </w:r>
          </w:p>
          <w:p w14:paraId="1E706A9D">
            <w:pPr>
              <w:pStyle w:val="7"/>
              <w:spacing w:before="188" w:line="215" w:lineRule="auto"/>
              <w:ind w:left="71"/>
            </w:pPr>
            <w:r>
              <w:rPr>
                <w:spacing w:val="-21"/>
              </w:rPr>
              <w:t>制人签字并加盖公章，按流程审核完成后，施工单位除自存</w:t>
            </w:r>
            <w:r>
              <w:rPr>
                <w:spacing w:val="-22"/>
              </w:rPr>
              <w:t>档一份外，须交一份</w:t>
            </w:r>
          </w:p>
          <w:p w14:paraId="4CF2B30B">
            <w:pPr>
              <w:pStyle w:val="7"/>
              <w:spacing w:before="186" w:line="215" w:lineRule="auto"/>
              <w:ind w:left="729"/>
            </w:pPr>
            <w:r>
              <w:rPr>
                <w:spacing w:val="-22"/>
              </w:rPr>
              <w:t>监理单位留存，一份业主单位工程部留存，一份业主供应部留存。</w:t>
            </w:r>
          </w:p>
        </w:tc>
      </w:tr>
      <w:tr w14:paraId="5592A5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18" w:hRule="atLeast"/>
        </w:trPr>
        <w:tc>
          <w:tcPr>
            <w:tcW w:w="1119" w:type="dxa"/>
            <w:gridSpan w:val="2"/>
            <w:tcBorders>
              <w:left w:val="single" w:color="000000" w:sz="4" w:space="0"/>
            </w:tcBorders>
            <w:vAlign w:val="top"/>
          </w:tcPr>
          <w:p w14:paraId="43389D13">
            <w:pPr>
              <w:spacing w:line="241" w:lineRule="auto"/>
              <w:rPr>
                <w:rFonts w:ascii="Arial"/>
                <w:sz w:val="21"/>
              </w:rPr>
            </w:pPr>
          </w:p>
          <w:p w14:paraId="1C8A7C34">
            <w:pPr>
              <w:spacing w:line="242" w:lineRule="auto"/>
              <w:rPr>
                <w:rFonts w:ascii="Arial"/>
                <w:sz w:val="21"/>
              </w:rPr>
            </w:pPr>
          </w:p>
          <w:p w14:paraId="66682647">
            <w:pPr>
              <w:pStyle w:val="7"/>
              <w:spacing w:before="78" w:line="237" w:lineRule="auto"/>
              <w:ind w:left="515"/>
            </w:pPr>
            <w:r>
              <w:t>9</w:t>
            </w:r>
          </w:p>
        </w:tc>
        <w:tc>
          <w:tcPr>
            <w:tcW w:w="7764" w:type="dxa"/>
            <w:tcBorders>
              <w:right w:val="single" w:color="000000" w:sz="4" w:space="0"/>
            </w:tcBorders>
            <w:vAlign w:val="top"/>
          </w:tcPr>
          <w:p w14:paraId="5212D19B">
            <w:pPr>
              <w:pStyle w:val="7"/>
              <w:spacing w:before="98" w:line="216" w:lineRule="auto"/>
              <w:ind w:left="69"/>
            </w:pPr>
            <w:r>
              <w:rPr>
                <w:spacing w:val="-21"/>
              </w:rPr>
              <w:t>材料计划由监理单位审核，相关专业监理工程师签字并加盖单</w:t>
            </w:r>
            <w:r>
              <w:rPr>
                <w:spacing w:val="-22"/>
              </w:rPr>
              <w:t>位公章，再交业主</w:t>
            </w:r>
          </w:p>
          <w:p w14:paraId="7C8C8C60">
            <w:pPr>
              <w:pStyle w:val="7"/>
              <w:spacing w:before="184" w:line="217" w:lineRule="auto"/>
              <w:ind w:left="75"/>
            </w:pPr>
            <w:r>
              <w:rPr>
                <w:spacing w:val="-22"/>
              </w:rPr>
              <w:t>工程部审核，然后报业主单位分管副总审批，审批完成交业主单位供应</w:t>
            </w:r>
            <w:r>
              <w:rPr>
                <w:spacing w:val="-23"/>
              </w:rPr>
              <w:t>部采购，</w:t>
            </w:r>
          </w:p>
          <w:p w14:paraId="7727DCC4">
            <w:pPr>
              <w:pStyle w:val="7"/>
              <w:spacing w:before="187" w:line="215" w:lineRule="auto"/>
              <w:ind w:left="1603"/>
            </w:pPr>
            <w:r>
              <w:rPr>
                <w:spacing w:val="-21"/>
              </w:rPr>
              <w:t>最后再将经审批完成的计划单交相关单位存档。</w:t>
            </w:r>
          </w:p>
        </w:tc>
      </w:tr>
      <w:tr w14:paraId="4C7188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18" w:hRule="atLeast"/>
        </w:trPr>
        <w:tc>
          <w:tcPr>
            <w:tcW w:w="1119" w:type="dxa"/>
            <w:gridSpan w:val="2"/>
            <w:tcBorders>
              <w:left w:val="single" w:color="000000" w:sz="4" w:space="0"/>
            </w:tcBorders>
            <w:vAlign w:val="top"/>
          </w:tcPr>
          <w:p w14:paraId="1CB777BA">
            <w:pPr>
              <w:spacing w:line="242" w:lineRule="auto"/>
              <w:rPr>
                <w:rFonts w:ascii="Arial"/>
                <w:sz w:val="21"/>
              </w:rPr>
            </w:pPr>
          </w:p>
          <w:p w14:paraId="4A34B7E4">
            <w:pPr>
              <w:spacing w:line="242" w:lineRule="auto"/>
              <w:rPr>
                <w:rFonts w:ascii="Arial"/>
                <w:sz w:val="21"/>
              </w:rPr>
            </w:pPr>
          </w:p>
          <w:p w14:paraId="4603A34C">
            <w:pPr>
              <w:pStyle w:val="7"/>
              <w:spacing w:before="78" w:line="237" w:lineRule="auto"/>
              <w:ind w:left="476"/>
            </w:pPr>
            <w:r>
              <w:rPr>
                <w:spacing w:val="-14"/>
              </w:rPr>
              <w:t>10</w:t>
            </w:r>
          </w:p>
        </w:tc>
        <w:tc>
          <w:tcPr>
            <w:tcW w:w="7764" w:type="dxa"/>
            <w:tcBorders>
              <w:right w:val="single" w:color="000000" w:sz="4" w:space="0"/>
            </w:tcBorders>
            <w:vAlign w:val="top"/>
          </w:tcPr>
          <w:p w14:paraId="6D21C2B1">
            <w:pPr>
              <w:pStyle w:val="7"/>
              <w:spacing w:before="100" w:line="216" w:lineRule="auto"/>
              <w:ind w:left="75"/>
            </w:pPr>
            <w:r>
              <w:rPr>
                <w:spacing w:val="-22"/>
              </w:rPr>
              <w:t>签字盖章完毕后，材料计划报送业主供应部，材料计</w:t>
            </w:r>
            <w:r>
              <w:rPr>
                <w:spacing w:val="-23"/>
              </w:rPr>
              <w:t>划不符合规定程序提报的，</w:t>
            </w:r>
          </w:p>
          <w:p w14:paraId="106847E5">
            <w:pPr>
              <w:pStyle w:val="7"/>
              <w:spacing w:before="185" w:line="218" w:lineRule="auto"/>
              <w:ind w:left="71"/>
            </w:pPr>
            <w:r>
              <w:rPr>
                <w:spacing w:val="-21"/>
              </w:rPr>
              <w:t>供应部接收人员审核发现后，要拒收或退回计划。11、该计划于供应部接收计划</w:t>
            </w:r>
          </w:p>
          <w:p w14:paraId="5815722C">
            <w:pPr>
              <w:pStyle w:val="7"/>
              <w:spacing w:before="184" w:line="216" w:lineRule="auto"/>
              <w:ind w:left="838"/>
            </w:pPr>
            <w:r>
              <w:rPr>
                <w:spacing w:val="-21"/>
              </w:rPr>
              <w:t>单之日起生效，供应部接收材料计划后依据计划</w:t>
            </w:r>
            <w:r>
              <w:rPr>
                <w:spacing w:val="-22"/>
              </w:rPr>
              <w:t>执行采购程序。</w:t>
            </w:r>
          </w:p>
        </w:tc>
      </w:tr>
      <w:tr w14:paraId="0D29CA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21" w:hRule="atLeast"/>
        </w:trPr>
        <w:tc>
          <w:tcPr>
            <w:tcW w:w="1119" w:type="dxa"/>
            <w:gridSpan w:val="2"/>
            <w:tcBorders>
              <w:left w:val="single" w:color="000000" w:sz="4" w:space="0"/>
            </w:tcBorders>
            <w:vAlign w:val="top"/>
          </w:tcPr>
          <w:p w14:paraId="393FA4FA">
            <w:pPr>
              <w:spacing w:line="244" w:lineRule="auto"/>
              <w:rPr>
                <w:rFonts w:ascii="Arial"/>
                <w:sz w:val="21"/>
              </w:rPr>
            </w:pPr>
          </w:p>
          <w:p w14:paraId="484598FB">
            <w:pPr>
              <w:spacing w:line="244" w:lineRule="auto"/>
              <w:rPr>
                <w:rFonts w:ascii="Arial"/>
                <w:sz w:val="21"/>
              </w:rPr>
            </w:pPr>
          </w:p>
          <w:p w14:paraId="5107D516">
            <w:pPr>
              <w:pStyle w:val="7"/>
              <w:spacing w:before="78" w:line="238" w:lineRule="auto"/>
              <w:ind w:left="476"/>
            </w:pPr>
            <w:r>
              <w:rPr>
                <w:spacing w:val="-14"/>
              </w:rPr>
              <w:t>11</w:t>
            </w:r>
          </w:p>
        </w:tc>
        <w:tc>
          <w:tcPr>
            <w:tcW w:w="7764" w:type="dxa"/>
            <w:tcBorders>
              <w:right w:val="single" w:color="000000" w:sz="4" w:space="0"/>
            </w:tcBorders>
            <w:vAlign w:val="top"/>
          </w:tcPr>
          <w:p w14:paraId="727968DD">
            <w:pPr>
              <w:pStyle w:val="7"/>
              <w:spacing w:before="101" w:line="216" w:lineRule="auto"/>
              <w:ind w:left="69"/>
            </w:pPr>
            <w:r>
              <w:rPr>
                <w:spacing w:val="-21"/>
              </w:rPr>
              <w:t>施工单位所报材料需求计划漏项或临时变更等原因需要材料，情</w:t>
            </w:r>
            <w:r>
              <w:rPr>
                <w:spacing w:val="-22"/>
              </w:rPr>
              <w:t>况紧急时需申报</w:t>
            </w:r>
          </w:p>
          <w:p w14:paraId="0316469D">
            <w:pPr>
              <w:pStyle w:val="7"/>
              <w:spacing w:before="187" w:line="216" w:lineRule="auto"/>
              <w:ind w:left="70"/>
            </w:pPr>
            <w:r>
              <w:rPr>
                <w:spacing w:val="-21"/>
              </w:rPr>
              <w:t>应急材料需求计划。应急需求计划必须由施工单</w:t>
            </w:r>
            <w:r>
              <w:rPr>
                <w:spacing w:val="-22"/>
              </w:rPr>
              <w:t>位项目经理签字并加盖公章，直</w:t>
            </w:r>
          </w:p>
          <w:p w14:paraId="537362C1">
            <w:pPr>
              <w:pStyle w:val="7"/>
              <w:spacing w:before="185" w:line="214" w:lineRule="auto"/>
              <w:ind w:left="1487"/>
            </w:pPr>
            <w:r>
              <w:rPr>
                <w:spacing w:val="-21"/>
              </w:rPr>
              <w:t>接报业主单位审核签字，转材料部执行采购程序。</w:t>
            </w:r>
          </w:p>
        </w:tc>
      </w:tr>
      <w:tr w14:paraId="16C1DA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83" w:hRule="atLeast"/>
        </w:trPr>
        <w:tc>
          <w:tcPr>
            <w:tcW w:w="1119" w:type="dxa"/>
            <w:gridSpan w:val="2"/>
            <w:tcBorders>
              <w:left w:val="single" w:color="000000" w:sz="4" w:space="0"/>
            </w:tcBorders>
            <w:vAlign w:val="top"/>
          </w:tcPr>
          <w:p w14:paraId="6EE8770B">
            <w:pPr>
              <w:spacing w:line="359" w:lineRule="auto"/>
              <w:rPr>
                <w:rFonts w:ascii="Arial"/>
                <w:sz w:val="21"/>
              </w:rPr>
            </w:pPr>
          </w:p>
          <w:p w14:paraId="122E9796">
            <w:pPr>
              <w:spacing w:line="359" w:lineRule="auto"/>
              <w:rPr>
                <w:rFonts w:ascii="Arial"/>
                <w:sz w:val="21"/>
              </w:rPr>
            </w:pPr>
          </w:p>
          <w:p w14:paraId="476F38C3">
            <w:pPr>
              <w:pStyle w:val="7"/>
              <w:spacing w:before="78" w:line="238" w:lineRule="auto"/>
              <w:ind w:left="476"/>
            </w:pPr>
            <w:r>
              <w:rPr>
                <w:spacing w:val="-14"/>
              </w:rPr>
              <w:t>12</w:t>
            </w:r>
          </w:p>
        </w:tc>
        <w:tc>
          <w:tcPr>
            <w:tcW w:w="7764" w:type="dxa"/>
            <w:tcBorders>
              <w:right w:val="single" w:color="000000" w:sz="4" w:space="0"/>
            </w:tcBorders>
            <w:vAlign w:val="top"/>
          </w:tcPr>
          <w:p w14:paraId="1280C0AD">
            <w:pPr>
              <w:pStyle w:val="7"/>
              <w:spacing w:before="99" w:line="216" w:lineRule="auto"/>
              <w:ind w:left="101"/>
            </w:pPr>
            <w:r>
              <w:rPr>
                <w:spacing w:val="-22"/>
              </w:rPr>
              <w:t>甲供材料到达施工现场后，由监理人员、施工单位的收料员、业主单</w:t>
            </w:r>
            <w:r>
              <w:rPr>
                <w:spacing w:val="-23"/>
              </w:rPr>
              <w:t>位库房管理</w:t>
            </w:r>
          </w:p>
          <w:p w14:paraId="6C1286FA">
            <w:pPr>
              <w:pStyle w:val="7"/>
              <w:spacing w:before="187" w:line="216" w:lineRule="auto"/>
              <w:jc w:val="right"/>
            </w:pPr>
            <w:r>
              <w:rPr>
                <w:spacing w:val="-27"/>
              </w:rPr>
              <w:t>人员、供应部人员及相关专业负责人共同验收，验收人员必须对材料数量、品牌、</w:t>
            </w:r>
          </w:p>
          <w:p w14:paraId="27DFD747">
            <w:pPr>
              <w:pStyle w:val="7"/>
              <w:spacing w:before="187" w:line="216" w:lineRule="auto"/>
              <w:ind w:left="69"/>
            </w:pPr>
            <w:r>
              <w:rPr>
                <w:spacing w:val="-21"/>
              </w:rPr>
              <w:t>规格、型号随货资料详细察看，并签署意见。验收通过后，甲</w:t>
            </w:r>
            <w:r>
              <w:rPr>
                <w:spacing w:val="-22"/>
              </w:rPr>
              <w:t>乙双方及时办理出</w:t>
            </w:r>
          </w:p>
          <w:p w14:paraId="38622EBA">
            <w:pPr>
              <w:pStyle w:val="7"/>
              <w:spacing w:before="185" w:line="218" w:lineRule="auto"/>
              <w:ind w:left="3339"/>
            </w:pPr>
            <w:r>
              <w:rPr>
                <w:spacing w:val="-17"/>
              </w:rPr>
              <w:t>入库手续。</w:t>
            </w:r>
          </w:p>
        </w:tc>
      </w:tr>
      <w:tr w14:paraId="4AEC2E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6" w:hRule="atLeast"/>
        </w:trPr>
        <w:tc>
          <w:tcPr>
            <w:tcW w:w="265" w:type="dxa"/>
            <w:tcBorders>
              <w:left w:val="single" w:color="1C456A" w:sz="4" w:space="0"/>
              <w:bottom w:val="single" w:color="1C456A" w:sz="4" w:space="0"/>
              <w:right w:val="nil"/>
            </w:tcBorders>
            <w:vAlign w:val="top"/>
          </w:tcPr>
          <w:p w14:paraId="4E774343">
            <w:pPr>
              <w:rPr>
                <w:rFonts w:ascii="Arial"/>
                <w:sz w:val="21"/>
              </w:rPr>
            </w:pPr>
            <w:r>
              <w:pict>
                <v:shape id="_x0000_s3783" o:spid="_x0000_s3783" style="position:absolute;left:0pt;margin-left:-0.25pt;margin-top:31.35pt;height:0.75pt;width:2.2pt;mso-position-horizontal-relative:page;mso-position-vertical-relative:page;z-index:252212224;mso-width-relative:page;mso-height-relative:page;" fillcolor="#5B9BD5" filled="t" stroked="f" coordsize="44,15" path="m0,14l43,14,43,0,0,0,0,14xe">
                  <v:path/>
                  <v:fill on="t" focussize="0,0"/>
                  <v:stroke on="f"/>
                  <v:imagedata o:title=""/>
                  <o:lock v:ext="edit"/>
                </v:shape>
              </w:pict>
            </w:r>
          </w:p>
        </w:tc>
        <w:tc>
          <w:tcPr>
            <w:tcW w:w="854" w:type="dxa"/>
            <w:tcBorders>
              <w:left w:val="nil"/>
              <w:bottom w:val="single" w:color="1C456A" w:sz="4" w:space="0"/>
            </w:tcBorders>
            <w:vAlign w:val="top"/>
          </w:tcPr>
          <w:p w14:paraId="7E0F6C9E">
            <w:pPr>
              <w:pStyle w:val="7"/>
              <w:spacing w:before="104" w:line="238" w:lineRule="auto"/>
              <w:ind w:left="216"/>
            </w:pPr>
            <w:r>
              <w:rPr>
                <w:spacing w:val="-14"/>
              </w:rPr>
              <w:t>12</w:t>
            </w:r>
          </w:p>
        </w:tc>
        <w:tc>
          <w:tcPr>
            <w:tcW w:w="7764" w:type="dxa"/>
            <w:tcBorders>
              <w:bottom w:val="single" w:color="5B9BD5" w:sz="4" w:space="0"/>
              <w:right w:val="single" w:color="5B9BD5" w:sz="4" w:space="0"/>
            </w:tcBorders>
            <w:vAlign w:val="top"/>
          </w:tcPr>
          <w:p w14:paraId="004EE508">
            <w:pPr>
              <w:pStyle w:val="7"/>
              <w:spacing w:before="103" w:line="216" w:lineRule="auto"/>
              <w:ind w:left="69"/>
            </w:pPr>
            <w:r>
              <w:rPr>
                <w:spacing w:val="-21"/>
              </w:rPr>
              <w:t>施工单位所购材料必须符合设计和国家、地方、行业相关规范、</w:t>
            </w:r>
            <w:r>
              <w:rPr>
                <w:spacing w:val="-22"/>
              </w:rPr>
              <w:t>规定、标准及业</w:t>
            </w:r>
          </w:p>
        </w:tc>
      </w:tr>
    </w:tbl>
    <w:p w14:paraId="4F0E6AFC">
      <w:pPr>
        <w:rPr>
          <w:rFonts w:ascii="Arial"/>
          <w:sz w:val="21"/>
        </w:rPr>
      </w:pPr>
    </w:p>
    <w:p w14:paraId="2DD8A880">
      <w:pPr>
        <w:rPr>
          <w:rFonts w:ascii="Arial" w:hAnsi="Arial" w:eastAsia="Arial" w:cs="Arial"/>
          <w:sz w:val="21"/>
          <w:szCs w:val="21"/>
        </w:rPr>
        <w:sectPr>
          <w:footerReference r:id="rId286" w:type="default"/>
          <w:pgSz w:w="11907" w:h="16839"/>
          <w:pgMar w:top="933" w:right="4" w:bottom="1038" w:left="0" w:header="478" w:footer="357" w:gutter="0"/>
          <w:pgBorders>
            <w:top w:val="none" w:sz="0" w:space="0"/>
            <w:left w:val="none" w:sz="0" w:space="0"/>
            <w:bottom w:val="none" w:sz="0" w:space="0"/>
            <w:right w:val="none" w:sz="0" w:space="0"/>
          </w:pgBorders>
          <w:cols w:space="720" w:num="1"/>
        </w:sectPr>
      </w:pPr>
    </w:p>
    <w:p w14:paraId="13C9FD4A">
      <w:pPr>
        <w:spacing w:line="235" w:lineRule="exact"/>
      </w:pPr>
    </w:p>
    <w:tbl>
      <w:tblPr>
        <w:tblStyle w:val="6"/>
        <w:tblW w:w="8883" w:type="dxa"/>
        <w:tblInd w:w="15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65"/>
        <w:gridCol w:w="854"/>
        <w:gridCol w:w="7764"/>
      </w:tblGrid>
      <w:tr w14:paraId="7DC78B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88" w:hRule="atLeast"/>
        </w:trPr>
        <w:tc>
          <w:tcPr>
            <w:tcW w:w="1119" w:type="dxa"/>
            <w:gridSpan w:val="2"/>
            <w:tcBorders>
              <w:top w:val="single" w:color="000000" w:sz="4" w:space="0"/>
              <w:left w:val="single" w:color="000000" w:sz="4" w:space="0"/>
            </w:tcBorders>
            <w:vAlign w:val="top"/>
          </w:tcPr>
          <w:p w14:paraId="2FD96283">
            <w:pPr>
              <w:rPr>
                <w:rFonts w:ascii="Arial"/>
                <w:sz w:val="21"/>
              </w:rPr>
            </w:pPr>
          </w:p>
        </w:tc>
        <w:tc>
          <w:tcPr>
            <w:tcW w:w="7764" w:type="dxa"/>
            <w:tcBorders>
              <w:top w:val="single" w:color="5B9BD5" w:sz="4" w:space="0"/>
              <w:right w:val="single" w:color="5B9BD5" w:sz="4" w:space="0"/>
            </w:tcBorders>
            <w:vAlign w:val="top"/>
          </w:tcPr>
          <w:p w14:paraId="625A7AD1">
            <w:pPr>
              <w:pStyle w:val="7"/>
              <w:spacing w:before="129" w:line="216" w:lineRule="auto"/>
              <w:ind w:left="76"/>
            </w:pPr>
            <w:r>
              <w:rPr>
                <w:spacing w:val="-21"/>
              </w:rPr>
              <w:t>主有关要求，进场后必须向监理及业主供应部</w:t>
            </w:r>
            <w:r>
              <w:rPr>
                <w:spacing w:val="-22"/>
              </w:rPr>
              <w:t>提供相关出厂合格证明、检验合格</w:t>
            </w:r>
          </w:p>
          <w:p w14:paraId="4197A7EA">
            <w:pPr>
              <w:pStyle w:val="7"/>
              <w:spacing w:before="184" w:line="217" w:lineRule="auto"/>
              <w:ind w:left="2901"/>
            </w:pPr>
            <w:r>
              <w:rPr>
                <w:spacing w:val="-22"/>
              </w:rPr>
              <w:t>证明等书面报告单。</w:t>
            </w:r>
          </w:p>
        </w:tc>
      </w:tr>
      <w:tr w14:paraId="25CC2E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49" w:hRule="atLeast"/>
        </w:trPr>
        <w:tc>
          <w:tcPr>
            <w:tcW w:w="1119" w:type="dxa"/>
            <w:gridSpan w:val="2"/>
            <w:tcBorders>
              <w:left w:val="single" w:color="000000" w:sz="4" w:space="0"/>
            </w:tcBorders>
            <w:vAlign w:val="top"/>
          </w:tcPr>
          <w:p w14:paraId="766FDBC1">
            <w:pPr>
              <w:spacing w:line="248" w:lineRule="auto"/>
              <w:rPr>
                <w:rFonts w:ascii="Arial"/>
                <w:sz w:val="21"/>
              </w:rPr>
            </w:pPr>
          </w:p>
          <w:p w14:paraId="63A12AE9">
            <w:pPr>
              <w:pStyle w:val="7"/>
              <w:spacing w:before="78" w:line="238" w:lineRule="auto"/>
              <w:ind w:left="476"/>
            </w:pPr>
            <w:r>
              <w:rPr>
                <w:spacing w:val="-14"/>
              </w:rPr>
              <w:t>14</w:t>
            </w:r>
          </w:p>
        </w:tc>
        <w:tc>
          <w:tcPr>
            <w:tcW w:w="7764" w:type="dxa"/>
            <w:tcBorders>
              <w:right w:val="single" w:color="000000" w:sz="4" w:space="0"/>
            </w:tcBorders>
            <w:vAlign w:val="top"/>
          </w:tcPr>
          <w:p w14:paraId="25C3B810">
            <w:pPr>
              <w:pStyle w:val="7"/>
              <w:spacing w:before="92" w:line="216" w:lineRule="auto"/>
              <w:jc w:val="right"/>
            </w:pPr>
            <w:r>
              <w:rPr>
                <w:spacing w:val="-26"/>
              </w:rPr>
              <w:t>材料设备出场及需要外协加工的材料出场时必</w:t>
            </w:r>
            <w:r>
              <w:rPr>
                <w:spacing w:val="-27"/>
              </w:rPr>
              <w:t>须有施工单位项目经理、监理单位、</w:t>
            </w:r>
          </w:p>
          <w:p w14:paraId="32D8571C">
            <w:pPr>
              <w:pStyle w:val="7"/>
              <w:spacing w:before="187" w:line="216" w:lineRule="auto"/>
              <w:ind w:left="559"/>
            </w:pPr>
            <w:r>
              <w:rPr>
                <w:spacing w:val="-21"/>
              </w:rPr>
              <w:t>业主分管副总签字同意，凭出门条出场（出门条由安保部</w:t>
            </w:r>
            <w:r>
              <w:rPr>
                <w:spacing w:val="-22"/>
              </w:rPr>
              <w:t>设计制作)。</w:t>
            </w:r>
          </w:p>
        </w:tc>
      </w:tr>
      <w:tr w14:paraId="1FF347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51" w:hRule="atLeast"/>
        </w:trPr>
        <w:tc>
          <w:tcPr>
            <w:tcW w:w="1119" w:type="dxa"/>
            <w:gridSpan w:val="2"/>
            <w:tcBorders>
              <w:left w:val="single" w:color="000000" w:sz="4" w:space="0"/>
            </w:tcBorders>
            <w:vAlign w:val="top"/>
          </w:tcPr>
          <w:p w14:paraId="22BE7931">
            <w:pPr>
              <w:spacing w:line="250" w:lineRule="auto"/>
              <w:rPr>
                <w:rFonts w:ascii="Arial"/>
                <w:sz w:val="21"/>
              </w:rPr>
            </w:pPr>
          </w:p>
          <w:p w14:paraId="44D321C6">
            <w:pPr>
              <w:pStyle w:val="7"/>
              <w:spacing w:before="78" w:line="237" w:lineRule="auto"/>
              <w:ind w:left="476"/>
            </w:pPr>
            <w:r>
              <w:rPr>
                <w:spacing w:val="-14"/>
              </w:rPr>
              <w:t>15</w:t>
            </w:r>
          </w:p>
        </w:tc>
        <w:tc>
          <w:tcPr>
            <w:tcW w:w="7764" w:type="dxa"/>
            <w:tcBorders>
              <w:right w:val="single" w:color="000000" w:sz="4" w:space="0"/>
            </w:tcBorders>
            <w:vAlign w:val="top"/>
          </w:tcPr>
          <w:p w14:paraId="5FB41420">
            <w:pPr>
              <w:pStyle w:val="7"/>
              <w:spacing w:before="97" w:line="216" w:lineRule="auto"/>
              <w:ind w:left="69"/>
            </w:pPr>
            <w:r>
              <w:rPr>
                <w:spacing w:val="-21"/>
              </w:rPr>
              <w:t>施工单位应指定专人进行甲供材料的收货，尤其是夜间及下班时</w:t>
            </w:r>
            <w:r>
              <w:rPr>
                <w:spacing w:val="-22"/>
              </w:rPr>
              <w:t>间内的到货，材</w:t>
            </w:r>
          </w:p>
          <w:p w14:paraId="1DCCDA15">
            <w:pPr>
              <w:pStyle w:val="7"/>
              <w:spacing w:before="187" w:line="216" w:lineRule="auto"/>
              <w:ind w:left="1050"/>
            </w:pPr>
            <w:r>
              <w:rPr>
                <w:spacing w:val="-21"/>
              </w:rPr>
              <w:t>料到场后半小时内必须到场参与收货，以便及时进行验收。</w:t>
            </w:r>
          </w:p>
        </w:tc>
      </w:tr>
      <w:tr w14:paraId="4EBF77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17" w:hRule="atLeast"/>
        </w:trPr>
        <w:tc>
          <w:tcPr>
            <w:tcW w:w="1119" w:type="dxa"/>
            <w:gridSpan w:val="2"/>
            <w:tcBorders>
              <w:left w:val="single" w:color="000000" w:sz="4" w:space="0"/>
            </w:tcBorders>
            <w:vAlign w:val="top"/>
          </w:tcPr>
          <w:p w14:paraId="2BDA11BD">
            <w:pPr>
              <w:spacing w:line="242" w:lineRule="auto"/>
              <w:rPr>
                <w:rFonts w:ascii="Arial"/>
                <w:sz w:val="21"/>
              </w:rPr>
            </w:pPr>
          </w:p>
          <w:p w14:paraId="4D11B332">
            <w:pPr>
              <w:spacing w:line="242" w:lineRule="auto"/>
              <w:rPr>
                <w:rFonts w:ascii="Arial"/>
                <w:sz w:val="21"/>
              </w:rPr>
            </w:pPr>
          </w:p>
          <w:p w14:paraId="0515813F">
            <w:pPr>
              <w:pStyle w:val="7"/>
              <w:spacing w:before="78" w:line="237" w:lineRule="auto"/>
              <w:ind w:left="476"/>
            </w:pPr>
            <w:r>
              <w:rPr>
                <w:spacing w:val="-14"/>
              </w:rPr>
              <w:t>16</w:t>
            </w:r>
          </w:p>
        </w:tc>
        <w:tc>
          <w:tcPr>
            <w:tcW w:w="7764" w:type="dxa"/>
            <w:tcBorders>
              <w:right w:val="single" w:color="000000" w:sz="4" w:space="0"/>
            </w:tcBorders>
            <w:vAlign w:val="top"/>
          </w:tcPr>
          <w:p w14:paraId="49D487EC">
            <w:pPr>
              <w:pStyle w:val="7"/>
              <w:spacing w:before="99" w:line="215" w:lineRule="auto"/>
              <w:ind w:left="101"/>
            </w:pPr>
            <w:r>
              <w:rPr>
                <w:spacing w:val="-22"/>
              </w:rPr>
              <w:t>甲供材料送到施工现场后，施工单位2日以内必须及时送样试验或检测，不经试</w:t>
            </w:r>
          </w:p>
          <w:p w14:paraId="2A0BCEAF">
            <w:pPr>
              <w:pStyle w:val="7"/>
              <w:spacing w:before="185" w:line="216" w:lineRule="auto"/>
              <w:ind w:left="69"/>
            </w:pPr>
            <w:r>
              <w:rPr>
                <w:spacing w:val="-21"/>
              </w:rPr>
              <w:t>验、检测的材料不得使用。经试验或检测后不合格的材料要坚</w:t>
            </w:r>
            <w:r>
              <w:rPr>
                <w:spacing w:val="-22"/>
              </w:rPr>
              <w:t>决退场，并注明材</w:t>
            </w:r>
          </w:p>
          <w:p w14:paraId="29AF054F">
            <w:pPr>
              <w:pStyle w:val="7"/>
              <w:spacing w:before="187" w:line="216" w:lineRule="auto"/>
              <w:ind w:left="3338"/>
            </w:pPr>
            <w:r>
              <w:rPr>
                <w:spacing w:val="-17"/>
              </w:rPr>
              <w:t>料的去向。</w:t>
            </w:r>
          </w:p>
        </w:tc>
      </w:tr>
      <w:tr w14:paraId="1AED15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2" w:hRule="atLeast"/>
        </w:trPr>
        <w:tc>
          <w:tcPr>
            <w:tcW w:w="265" w:type="dxa"/>
            <w:tcBorders>
              <w:left w:val="single" w:color="1C456A" w:sz="4" w:space="0"/>
              <w:bottom w:val="single" w:color="1C456A" w:sz="4" w:space="0"/>
              <w:right w:val="nil"/>
            </w:tcBorders>
            <w:vAlign w:val="top"/>
          </w:tcPr>
          <w:p w14:paraId="282FD0FC">
            <w:pPr>
              <w:rPr>
                <w:rFonts w:ascii="Arial"/>
                <w:sz w:val="21"/>
              </w:rPr>
            </w:pPr>
            <w:r>
              <w:pict>
                <v:shape id="_x0000_s3784" o:spid="_x0000_s3784" style="position:absolute;left:0pt;margin-left:-0.25pt;margin-top:54.65pt;height:0.75pt;width:2.2pt;mso-position-horizontal-relative:page;mso-position-vertical-relative:page;z-index:252213248;mso-width-relative:page;mso-height-relative:page;" fillcolor="#5B9BD5" filled="t" stroked="f" coordsize="44,15" path="m0,14l43,14,43,0,0,0,0,14xe">
                  <v:path/>
                  <v:fill on="t" focussize="0,0"/>
                  <v:stroke on="f"/>
                  <v:imagedata o:title=""/>
                  <o:lock v:ext="edit"/>
                </v:shape>
              </w:pict>
            </w:r>
          </w:p>
        </w:tc>
        <w:tc>
          <w:tcPr>
            <w:tcW w:w="854" w:type="dxa"/>
            <w:tcBorders>
              <w:left w:val="nil"/>
              <w:bottom w:val="single" w:color="1C456A" w:sz="4" w:space="0"/>
            </w:tcBorders>
            <w:vAlign w:val="top"/>
          </w:tcPr>
          <w:p w14:paraId="689B0CCC">
            <w:pPr>
              <w:spacing w:line="255" w:lineRule="auto"/>
              <w:rPr>
                <w:rFonts w:ascii="Arial"/>
                <w:sz w:val="21"/>
              </w:rPr>
            </w:pPr>
          </w:p>
          <w:p w14:paraId="53BC779B">
            <w:pPr>
              <w:pStyle w:val="7"/>
              <w:spacing w:before="78" w:line="237" w:lineRule="auto"/>
              <w:ind w:left="216"/>
            </w:pPr>
            <w:r>
              <w:rPr>
                <w:spacing w:val="-14"/>
              </w:rPr>
              <w:t>17</w:t>
            </w:r>
          </w:p>
        </w:tc>
        <w:tc>
          <w:tcPr>
            <w:tcW w:w="7764" w:type="dxa"/>
            <w:tcBorders>
              <w:bottom w:val="single" w:color="5B9BD5" w:sz="4" w:space="0"/>
              <w:right w:val="single" w:color="5B9BD5" w:sz="4" w:space="0"/>
            </w:tcBorders>
            <w:vAlign w:val="top"/>
          </w:tcPr>
          <w:p w14:paraId="1F8FABE7">
            <w:pPr>
              <w:pStyle w:val="7"/>
              <w:spacing w:before="102" w:line="215" w:lineRule="auto"/>
              <w:ind w:left="69"/>
            </w:pPr>
            <w:r>
              <w:rPr>
                <w:spacing w:val="-21"/>
              </w:rPr>
              <w:t>材料检验抽样由监理、施工单位及供货商在验收时现场随机抽</w:t>
            </w:r>
            <w:r>
              <w:rPr>
                <w:spacing w:val="-22"/>
              </w:rPr>
              <w:t>取，实验、检测结</w:t>
            </w:r>
          </w:p>
          <w:p w14:paraId="2BB2E287">
            <w:pPr>
              <w:pStyle w:val="7"/>
              <w:spacing w:before="188" w:line="215" w:lineRule="auto"/>
              <w:ind w:left="2251"/>
            </w:pPr>
            <w:r>
              <w:rPr>
                <w:spacing w:val="-21"/>
              </w:rPr>
              <w:t>果经监理见证后分送各单位存档。</w:t>
            </w:r>
          </w:p>
        </w:tc>
      </w:tr>
    </w:tbl>
    <w:p w14:paraId="7DC838A6">
      <w:pPr>
        <w:pStyle w:val="2"/>
        <w:spacing w:before="112" w:line="216" w:lineRule="auto"/>
        <w:ind w:left="1903"/>
        <w:rPr>
          <w:sz w:val="24"/>
          <w:szCs w:val="24"/>
        </w:rPr>
      </w:pPr>
      <w:r>
        <w:rPr>
          <w:spacing w:val="-20"/>
          <w:sz w:val="24"/>
          <w:szCs w:val="24"/>
        </w:rPr>
        <w:t>1.甲供材料进场管理工作程序：</w:t>
      </w:r>
    </w:p>
    <w:p w14:paraId="3C861AE5">
      <w:pPr>
        <w:pStyle w:val="2"/>
        <w:spacing w:before="120" w:line="262" w:lineRule="auto"/>
        <w:ind w:left="1468" w:right="1339" w:firstLine="434"/>
        <w:rPr>
          <w:sz w:val="24"/>
          <w:szCs w:val="24"/>
        </w:rPr>
      </w:pPr>
      <w:r>
        <w:rPr>
          <w:spacing w:val="-22"/>
          <w:sz w:val="24"/>
          <w:szCs w:val="24"/>
        </w:rPr>
        <w:t>1.1在甲供材料签约之前，主办工程师必须检查供货厂商的法人委托书、地址、营业执照、</w:t>
      </w:r>
      <w:r>
        <w:rPr>
          <w:spacing w:val="-23"/>
          <w:sz w:val="24"/>
          <w:szCs w:val="24"/>
        </w:rPr>
        <w:t>资质证书、准用证、合格证、检测报告及其技术</w:t>
      </w:r>
      <w:r>
        <w:rPr>
          <w:spacing w:val="-24"/>
          <w:sz w:val="24"/>
          <w:szCs w:val="24"/>
        </w:rPr>
        <w:t>指标等资料是否符合《合同》和入围资格要求。</w:t>
      </w:r>
    </w:p>
    <w:p w14:paraId="74BBC510">
      <w:pPr>
        <w:pStyle w:val="2"/>
        <w:spacing w:before="117" w:line="262" w:lineRule="auto"/>
        <w:ind w:left="1458" w:right="1411" w:firstLine="445"/>
        <w:rPr>
          <w:sz w:val="24"/>
          <w:szCs w:val="24"/>
        </w:rPr>
      </w:pPr>
      <w:r>
        <w:rPr>
          <w:spacing w:val="-23"/>
          <w:sz w:val="24"/>
          <w:szCs w:val="24"/>
        </w:rPr>
        <w:t>1.2监理公司材料员、施工单位材料员检查进</w:t>
      </w:r>
      <w:r>
        <w:rPr>
          <w:spacing w:val="-24"/>
          <w:sz w:val="24"/>
          <w:szCs w:val="24"/>
        </w:rPr>
        <w:t>场材料与“产品封样”是否相符，并将“产品</w:t>
      </w:r>
      <w:r>
        <w:rPr>
          <w:spacing w:val="-21"/>
          <w:sz w:val="24"/>
          <w:szCs w:val="24"/>
        </w:rPr>
        <w:t>封样”保留到工程竣工及至保修期结束。</w:t>
      </w:r>
    </w:p>
    <w:p w14:paraId="1A33DEA4">
      <w:pPr>
        <w:pStyle w:val="2"/>
        <w:spacing w:before="121" w:line="216" w:lineRule="auto"/>
        <w:ind w:left="1903"/>
        <w:rPr>
          <w:sz w:val="24"/>
          <w:szCs w:val="24"/>
        </w:rPr>
      </w:pPr>
      <w:r>
        <w:rPr>
          <w:spacing w:val="-21"/>
          <w:sz w:val="24"/>
          <w:szCs w:val="24"/>
        </w:rPr>
        <w:t>1.3检查进场材料的品牌是否符合合同要</w:t>
      </w:r>
      <w:r>
        <w:rPr>
          <w:spacing w:val="-22"/>
          <w:sz w:val="24"/>
          <w:szCs w:val="24"/>
        </w:rPr>
        <w:t>求。</w:t>
      </w:r>
    </w:p>
    <w:p w14:paraId="7C1DBD56">
      <w:pPr>
        <w:pStyle w:val="2"/>
        <w:spacing w:before="118" w:line="216" w:lineRule="auto"/>
        <w:ind w:left="1903"/>
        <w:rPr>
          <w:sz w:val="24"/>
          <w:szCs w:val="24"/>
        </w:rPr>
      </w:pPr>
      <w:r>
        <w:rPr>
          <w:spacing w:val="-21"/>
          <w:sz w:val="24"/>
          <w:szCs w:val="24"/>
        </w:rPr>
        <w:t>1.4检查进场材料的色泽、材质（指材料）、外观等是否符合设计及合同要求。</w:t>
      </w:r>
    </w:p>
    <w:p w14:paraId="074B0032">
      <w:pPr>
        <w:pStyle w:val="2"/>
        <w:spacing w:before="120" w:line="216" w:lineRule="auto"/>
        <w:ind w:left="1903"/>
        <w:rPr>
          <w:sz w:val="24"/>
          <w:szCs w:val="24"/>
        </w:rPr>
      </w:pPr>
      <w:r>
        <w:rPr>
          <w:spacing w:val="-21"/>
          <w:sz w:val="24"/>
          <w:szCs w:val="24"/>
        </w:rPr>
        <w:t>1.5检查进场材料的尺寸、规格、型号等是否符合设计及</w:t>
      </w:r>
      <w:r>
        <w:rPr>
          <w:spacing w:val="-22"/>
          <w:sz w:val="24"/>
          <w:szCs w:val="24"/>
        </w:rPr>
        <w:t>合同要求。</w:t>
      </w:r>
    </w:p>
    <w:p w14:paraId="5B6F8DFC">
      <w:pPr>
        <w:pStyle w:val="2"/>
        <w:spacing w:before="120" w:line="216" w:lineRule="auto"/>
        <w:ind w:left="1903"/>
        <w:rPr>
          <w:sz w:val="24"/>
          <w:szCs w:val="24"/>
        </w:rPr>
      </w:pPr>
      <w:r>
        <w:rPr>
          <w:spacing w:val="-21"/>
          <w:sz w:val="24"/>
          <w:szCs w:val="24"/>
        </w:rPr>
        <w:t>1.6检查进场材料是否符合出厂标准或有关国家行业标准以及合同要求达到的标准。</w:t>
      </w:r>
    </w:p>
    <w:p w14:paraId="4B1BD9E4">
      <w:pPr>
        <w:pStyle w:val="2"/>
        <w:spacing w:before="117" w:line="216" w:lineRule="auto"/>
        <w:ind w:left="1903"/>
        <w:rPr>
          <w:sz w:val="24"/>
          <w:szCs w:val="24"/>
        </w:rPr>
      </w:pPr>
      <w:r>
        <w:rPr>
          <w:spacing w:val="-21"/>
          <w:sz w:val="24"/>
          <w:szCs w:val="24"/>
        </w:rPr>
        <w:t>1.7检查进场材料合同要求的配件及辅材等是否齐全、</w:t>
      </w:r>
      <w:r>
        <w:rPr>
          <w:spacing w:val="-22"/>
          <w:sz w:val="24"/>
          <w:szCs w:val="24"/>
        </w:rPr>
        <w:t>正确。</w:t>
      </w:r>
    </w:p>
    <w:p w14:paraId="4AF2246D">
      <w:pPr>
        <w:pStyle w:val="2"/>
        <w:spacing w:before="120" w:line="216" w:lineRule="auto"/>
        <w:ind w:left="1903"/>
        <w:rPr>
          <w:sz w:val="24"/>
          <w:szCs w:val="24"/>
        </w:rPr>
      </w:pPr>
      <w:r>
        <w:rPr>
          <w:spacing w:val="-20"/>
          <w:sz w:val="24"/>
          <w:szCs w:val="24"/>
        </w:rPr>
        <w:t>1.8检查进场材料的产品保护措施是否到位。</w:t>
      </w:r>
    </w:p>
    <w:p w14:paraId="70DBD1B2">
      <w:pPr>
        <w:pStyle w:val="2"/>
        <w:spacing w:before="122" w:line="281" w:lineRule="auto"/>
        <w:ind w:left="1456" w:right="1409" w:firstLine="447"/>
        <w:rPr>
          <w:sz w:val="24"/>
          <w:szCs w:val="24"/>
        </w:rPr>
      </w:pPr>
      <w:r>
        <w:rPr>
          <w:spacing w:val="-23"/>
          <w:sz w:val="24"/>
          <w:szCs w:val="24"/>
        </w:rPr>
        <w:t>1.9检查进场材料的供货时间是否按合同及供货时间计划要求</w:t>
      </w:r>
      <w:r>
        <w:rPr>
          <w:spacing w:val="-24"/>
          <w:sz w:val="24"/>
          <w:szCs w:val="24"/>
        </w:rPr>
        <w:t>执行。如供货时间延误造成工</w:t>
      </w:r>
      <w:r>
        <w:rPr>
          <w:spacing w:val="-20"/>
          <w:sz w:val="24"/>
          <w:szCs w:val="24"/>
        </w:rPr>
        <w:t>期、经济损失，则由主办工程师书面通知供货厂商主办人员及其上级领导并按采购合同规定处</w:t>
      </w:r>
      <w:r>
        <w:rPr>
          <w:spacing w:val="-18"/>
          <w:sz w:val="24"/>
          <w:szCs w:val="24"/>
        </w:rPr>
        <w:t>理。</w:t>
      </w:r>
    </w:p>
    <w:p w14:paraId="7FB3E36C">
      <w:pPr>
        <w:pStyle w:val="2"/>
        <w:spacing w:before="102" w:line="262" w:lineRule="auto"/>
        <w:ind w:left="1458" w:right="1411" w:firstLine="445"/>
        <w:rPr>
          <w:sz w:val="24"/>
          <w:szCs w:val="24"/>
        </w:rPr>
      </w:pPr>
      <w:r>
        <w:rPr>
          <w:spacing w:val="-21"/>
          <w:sz w:val="24"/>
          <w:szCs w:val="24"/>
        </w:rPr>
        <w:t>1.10对关键材料的关键生产加工过程，主办工程师须会同监</w:t>
      </w:r>
      <w:r>
        <w:rPr>
          <w:spacing w:val="-22"/>
          <w:sz w:val="24"/>
          <w:szCs w:val="24"/>
        </w:rPr>
        <w:t>理工程师委派专门人员对其过</w:t>
      </w:r>
      <w:r>
        <w:rPr>
          <w:spacing w:val="-20"/>
          <w:sz w:val="24"/>
          <w:szCs w:val="24"/>
        </w:rPr>
        <w:t>程进行现场跟踪监督。</w:t>
      </w:r>
    </w:p>
    <w:p w14:paraId="14C5FDB3">
      <w:pPr>
        <w:pStyle w:val="2"/>
        <w:spacing w:before="119" w:line="216" w:lineRule="auto"/>
        <w:ind w:left="1903"/>
        <w:rPr>
          <w:sz w:val="24"/>
          <w:szCs w:val="24"/>
        </w:rPr>
      </w:pPr>
      <w:r>
        <w:rPr>
          <w:spacing w:val="-20"/>
          <w:sz w:val="24"/>
          <w:szCs w:val="24"/>
        </w:rPr>
        <w:t>1.11检查进场材料的数量是否符合合同要求及</w:t>
      </w:r>
      <w:r>
        <w:rPr>
          <w:spacing w:val="-21"/>
          <w:sz w:val="24"/>
          <w:szCs w:val="24"/>
        </w:rPr>
        <w:t>供货计划要求。</w:t>
      </w:r>
    </w:p>
    <w:p w14:paraId="4E5F3C57">
      <w:pPr>
        <w:pStyle w:val="2"/>
        <w:spacing w:before="120" w:line="215" w:lineRule="auto"/>
        <w:ind w:left="1903"/>
        <w:rPr>
          <w:sz w:val="24"/>
          <w:szCs w:val="24"/>
        </w:rPr>
      </w:pPr>
      <w:r>
        <w:rPr>
          <w:spacing w:val="-20"/>
          <w:sz w:val="24"/>
          <w:szCs w:val="24"/>
        </w:rPr>
        <w:t>1.12检查进场材料的存贮及堆放是否符合有关规定要</w:t>
      </w:r>
      <w:r>
        <w:rPr>
          <w:spacing w:val="-21"/>
          <w:sz w:val="24"/>
          <w:szCs w:val="24"/>
        </w:rPr>
        <w:t>求。</w:t>
      </w:r>
    </w:p>
    <w:p w14:paraId="6A5DC0B9">
      <w:pPr>
        <w:pStyle w:val="2"/>
        <w:spacing w:before="119" w:line="262" w:lineRule="auto"/>
        <w:ind w:left="1466" w:right="1342" w:firstLine="436"/>
        <w:rPr>
          <w:sz w:val="24"/>
          <w:szCs w:val="24"/>
        </w:rPr>
      </w:pPr>
      <w:r>
        <w:rPr>
          <w:spacing w:val="-21"/>
          <w:sz w:val="24"/>
          <w:szCs w:val="24"/>
        </w:rPr>
        <w:t>1.13进场材料的检查、验收工作必须做到100</w:t>
      </w:r>
      <w:r>
        <w:rPr>
          <w:spacing w:val="-9"/>
          <w:sz w:val="24"/>
          <w:szCs w:val="24"/>
        </w:rPr>
        <w:t>％，</w:t>
      </w:r>
      <w:r>
        <w:rPr>
          <w:spacing w:val="-21"/>
          <w:sz w:val="24"/>
          <w:szCs w:val="24"/>
        </w:rPr>
        <w:t>由工程部主办工程</w:t>
      </w:r>
      <w:r>
        <w:rPr>
          <w:spacing w:val="-22"/>
          <w:sz w:val="24"/>
          <w:szCs w:val="24"/>
        </w:rPr>
        <w:t>师负责会同监理公司、总承包公司等有关单位共同参与进行（必要时设计部也参加</w:t>
      </w:r>
      <w:r>
        <w:rPr>
          <w:spacing w:val="-25"/>
          <w:sz w:val="24"/>
          <w:szCs w:val="24"/>
        </w:rPr>
        <w:t>），</w:t>
      </w:r>
      <w:r>
        <w:rPr>
          <w:spacing w:val="-22"/>
          <w:sz w:val="24"/>
          <w:szCs w:val="24"/>
        </w:rPr>
        <w:t>验收合格后方可支付材料</w:t>
      </w:r>
      <w:r>
        <w:rPr>
          <w:spacing w:val="-23"/>
          <w:sz w:val="24"/>
          <w:szCs w:val="24"/>
        </w:rPr>
        <w:t>款。</w:t>
      </w:r>
    </w:p>
    <w:p w14:paraId="468783E6">
      <w:pPr>
        <w:pStyle w:val="2"/>
        <w:spacing w:before="120" w:line="216" w:lineRule="auto"/>
        <w:ind w:left="1903"/>
        <w:rPr>
          <w:sz w:val="24"/>
          <w:szCs w:val="24"/>
        </w:rPr>
      </w:pPr>
      <w:r>
        <w:rPr>
          <w:spacing w:val="-20"/>
          <w:sz w:val="24"/>
          <w:szCs w:val="24"/>
        </w:rPr>
        <w:t>1.14如施工单位要求延时交货，应提交书面申请。</w:t>
      </w:r>
    </w:p>
    <w:p w14:paraId="4B7391CD">
      <w:pPr>
        <w:spacing w:line="216" w:lineRule="auto"/>
        <w:rPr>
          <w:sz w:val="24"/>
          <w:szCs w:val="24"/>
        </w:rPr>
        <w:sectPr>
          <w:footerReference r:id="rId287" w:type="default"/>
          <w:pgSz w:w="11907" w:h="16839"/>
          <w:pgMar w:top="933" w:right="4" w:bottom="1038" w:left="0" w:header="478" w:footer="357" w:gutter="0"/>
          <w:pgBorders>
            <w:top w:val="none" w:sz="0" w:space="0"/>
            <w:left w:val="none" w:sz="0" w:space="0"/>
            <w:bottom w:val="none" w:sz="0" w:space="0"/>
            <w:right w:val="none" w:sz="0" w:space="0"/>
          </w:pgBorders>
          <w:cols w:space="720" w:num="1"/>
        </w:sectPr>
      </w:pPr>
    </w:p>
    <w:p w14:paraId="6469AA53">
      <w:pPr>
        <w:spacing w:line="272" w:lineRule="auto"/>
        <w:rPr>
          <w:rFonts w:ascii="Arial"/>
          <w:sz w:val="21"/>
        </w:rPr>
      </w:pPr>
    </w:p>
    <w:p w14:paraId="178054B3">
      <w:pPr>
        <w:pStyle w:val="2"/>
        <w:spacing w:before="78" w:line="217" w:lineRule="auto"/>
        <w:ind w:left="1903"/>
        <w:rPr>
          <w:sz w:val="24"/>
          <w:szCs w:val="24"/>
        </w:rPr>
      </w:pPr>
      <w:r>
        <w:rPr>
          <w:spacing w:val="-23"/>
          <w:sz w:val="24"/>
          <w:szCs w:val="24"/>
        </w:rPr>
        <w:t>1.15公司内部相关环节影响工期时，项目主办人应书面通知相关人员可能发生的费用损失。</w:t>
      </w:r>
    </w:p>
    <w:p w14:paraId="76E2CF11">
      <w:pPr>
        <w:pStyle w:val="2"/>
        <w:spacing w:before="119" w:line="261" w:lineRule="auto"/>
        <w:ind w:left="1455" w:right="1427" w:firstLine="447"/>
        <w:rPr>
          <w:sz w:val="24"/>
          <w:szCs w:val="24"/>
        </w:rPr>
      </w:pPr>
      <w:r>
        <w:rPr>
          <w:spacing w:val="-22"/>
          <w:sz w:val="24"/>
          <w:szCs w:val="24"/>
        </w:rPr>
        <w:t>1.16项目结束后，项目主管汇总甲供材料的供货质量、交货期、配合情况，填写《甲供材</w:t>
      </w:r>
      <w:r>
        <w:rPr>
          <w:spacing w:val="-25"/>
          <w:sz w:val="24"/>
          <w:szCs w:val="24"/>
        </w:rPr>
        <w:t>料（设备）供货单位考核情况评分表》，报部门经理审批。</w:t>
      </w:r>
    </w:p>
    <w:p w14:paraId="7553585E">
      <w:pPr>
        <w:pStyle w:val="2"/>
        <w:spacing w:before="84" w:line="219" w:lineRule="auto"/>
        <w:ind w:left="1986"/>
        <w:outlineLvl w:val="2"/>
        <w:rPr>
          <w:sz w:val="28"/>
          <w:szCs w:val="28"/>
        </w:rPr>
      </w:pPr>
      <w:bookmarkStart w:id="217" w:name="bookmark209"/>
      <w:bookmarkEnd w:id="217"/>
      <w:r>
        <w:rPr>
          <w:b/>
          <w:bCs/>
          <w:spacing w:val="-23"/>
          <w:sz w:val="28"/>
          <w:szCs w:val="28"/>
        </w:rPr>
        <w:t>二、甲供材进场验收</w:t>
      </w:r>
    </w:p>
    <w:p w14:paraId="1A9D8048">
      <w:pPr>
        <w:pStyle w:val="2"/>
        <w:spacing w:before="105" w:line="307" w:lineRule="auto"/>
        <w:ind w:left="1457" w:right="1414" w:firstLine="467"/>
        <w:rPr>
          <w:sz w:val="24"/>
          <w:szCs w:val="24"/>
        </w:rPr>
      </w:pPr>
      <w:r>
        <w:rPr>
          <w:spacing w:val="-20"/>
          <w:sz w:val="24"/>
          <w:szCs w:val="24"/>
        </w:rPr>
        <w:t>甲供材进场后，进行进场初步验收。参加人员</w:t>
      </w:r>
      <w:r>
        <w:rPr>
          <w:spacing w:val="-21"/>
          <w:sz w:val="24"/>
          <w:szCs w:val="24"/>
        </w:rPr>
        <w:t>为工程部、采购部、现场监理、总包单位、</w:t>
      </w:r>
      <w:r>
        <w:rPr>
          <w:spacing w:val="-20"/>
          <w:sz w:val="24"/>
          <w:szCs w:val="24"/>
        </w:rPr>
        <w:t>供货商。供货商应提供产品的合格证、出场检验报告等资料。各方对材料设备进场外观验收无</w:t>
      </w:r>
      <w:r>
        <w:rPr>
          <w:spacing w:val="-21"/>
          <w:sz w:val="24"/>
          <w:szCs w:val="24"/>
        </w:rPr>
        <w:t>问题的，在材料进场验收单上签字。</w:t>
      </w:r>
    </w:p>
    <w:p w14:paraId="58D0B5A7">
      <w:pPr>
        <w:pStyle w:val="2"/>
        <w:spacing w:before="1" w:line="216" w:lineRule="auto"/>
        <w:ind w:left="1893"/>
        <w:rPr>
          <w:sz w:val="24"/>
          <w:szCs w:val="24"/>
        </w:rPr>
      </w:pPr>
      <w:r>
        <w:rPr>
          <w:spacing w:val="-22"/>
          <w:sz w:val="24"/>
          <w:szCs w:val="24"/>
        </w:rPr>
        <w:t>（一）物料验收方法：</w:t>
      </w:r>
    </w:p>
    <w:p w14:paraId="733A06F8">
      <w:pPr>
        <w:pStyle w:val="2"/>
        <w:spacing w:before="117" w:line="216" w:lineRule="auto"/>
        <w:ind w:left="1935"/>
        <w:rPr>
          <w:sz w:val="24"/>
          <w:szCs w:val="24"/>
        </w:rPr>
      </w:pPr>
      <w:r>
        <w:rPr>
          <w:spacing w:val="-24"/>
          <w:sz w:val="24"/>
          <w:szCs w:val="24"/>
        </w:rPr>
        <w:t>目测、计量工具检测、理论计算、送专门机构检测。</w:t>
      </w:r>
    </w:p>
    <w:p w14:paraId="569E7A09">
      <w:pPr>
        <w:pStyle w:val="2"/>
        <w:spacing w:before="121" w:line="263" w:lineRule="auto"/>
        <w:ind w:left="1456" w:right="1409" w:firstLine="447"/>
        <w:rPr>
          <w:sz w:val="24"/>
          <w:szCs w:val="24"/>
        </w:rPr>
      </w:pPr>
      <w:r>
        <w:rPr>
          <w:spacing w:val="-19"/>
          <w:sz w:val="24"/>
          <w:szCs w:val="24"/>
        </w:rPr>
        <w:t>1.物料包装验收方法：目视物料包装平整光滑，密封包装无</w:t>
      </w:r>
      <w:r>
        <w:rPr>
          <w:spacing w:val="-20"/>
          <w:sz w:val="24"/>
          <w:szCs w:val="24"/>
        </w:rPr>
        <w:t>裂缝、无渗漏、无污染或破损</w:t>
      </w:r>
      <w:r>
        <w:rPr>
          <w:spacing w:val="-25"/>
          <w:sz w:val="24"/>
          <w:szCs w:val="24"/>
        </w:rPr>
        <w:t>痕迹；</w:t>
      </w:r>
    </w:p>
    <w:p w14:paraId="1CFA85A7">
      <w:pPr>
        <w:pStyle w:val="2"/>
        <w:spacing w:before="115" w:line="216" w:lineRule="auto"/>
        <w:ind w:left="1888"/>
        <w:rPr>
          <w:sz w:val="24"/>
          <w:szCs w:val="24"/>
        </w:rPr>
      </w:pPr>
      <w:r>
        <w:rPr>
          <w:spacing w:val="-17"/>
          <w:sz w:val="24"/>
          <w:szCs w:val="24"/>
        </w:rPr>
        <w:t>2.物料质量验收方法：</w:t>
      </w:r>
    </w:p>
    <w:p w14:paraId="53D36495">
      <w:pPr>
        <w:pStyle w:val="2"/>
        <w:spacing w:before="121" w:line="262" w:lineRule="auto"/>
        <w:ind w:left="1457" w:right="1409" w:firstLine="431"/>
        <w:rPr>
          <w:sz w:val="24"/>
          <w:szCs w:val="24"/>
        </w:rPr>
      </w:pPr>
      <w:r>
        <w:rPr>
          <w:spacing w:val="-24"/>
          <w:sz w:val="24"/>
          <w:szCs w:val="24"/>
        </w:rPr>
        <w:t>2.1目测表观质量。对有外饰要求的设备、材料应无擦伤、破损，无裂缝或扭曲变形；金属</w:t>
      </w:r>
      <w:r>
        <w:rPr>
          <w:spacing w:val="-21"/>
          <w:sz w:val="24"/>
          <w:szCs w:val="24"/>
        </w:rPr>
        <w:t>制品应无锈迹，颜色是否符合合同要求；</w:t>
      </w:r>
    </w:p>
    <w:p w14:paraId="3D1DCB95">
      <w:pPr>
        <w:pStyle w:val="2"/>
        <w:spacing w:before="117" w:line="216" w:lineRule="auto"/>
        <w:ind w:left="1888"/>
        <w:rPr>
          <w:sz w:val="24"/>
          <w:szCs w:val="24"/>
        </w:rPr>
      </w:pPr>
      <w:r>
        <w:rPr>
          <w:spacing w:val="-21"/>
          <w:sz w:val="24"/>
          <w:szCs w:val="24"/>
        </w:rPr>
        <w:t>2.2验收物料质地是否符合购买合同约定要求，设备类零部件是否符合合同约定配量；</w:t>
      </w:r>
    </w:p>
    <w:p w14:paraId="743991FF">
      <w:pPr>
        <w:pStyle w:val="2"/>
        <w:spacing w:before="121" w:line="262" w:lineRule="auto"/>
        <w:ind w:left="1462" w:right="1409" w:firstLine="426"/>
        <w:rPr>
          <w:sz w:val="24"/>
          <w:szCs w:val="24"/>
        </w:rPr>
      </w:pPr>
      <w:r>
        <w:rPr>
          <w:spacing w:val="-23"/>
          <w:sz w:val="24"/>
          <w:szCs w:val="24"/>
        </w:rPr>
        <w:t>2.3验收物品的名称、型号、规格尺寸、数量（重量）、品牌、质量等级、技术参数等是否</w:t>
      </w:r>
      <w:r>
        <w:rPr>
          <w:spacing w:val="-19"/>
          <w:sz w:val="24"/>
          <w:szCs w:val="24"/>
        </w:rPr>
        <w:t>符合合同约定；</w:t>
      </w:r>
    </w:p>
    <w:p w14:paraId="67457916">
      <w:pPr>
        <w:pStyle w:val="2"/>
        <w:spacing w:before="117" w:line="216" w:lineRule="auto"/>
        <w:ind w:left="1888"/>
        <w:rPr>
          <w:sz w:val="24"/>
          <w:szCs w:val="24"/>
        </w:rPr>
      </w:pPr>
      <w:r>
        <w:rPr>
          <w:spacing w:val="-21"/>
          <w:sz w:val="24"/>
          <w:szCs w:val="24"/>
        </w:rPr>
        <w:t>2.4随机资料及配件是否与装箱单一致，说明书、保修卡、质保书等是否齐备；</w:t>
      </w:r>
    </w:p>
    <w:p w14:paraId="7F4A979F">
      <w:pPr>
        <w:pStyle w:val="2"/>
        <w:spacing w:before="120" w:line="216" w:lineRule="auto"/>
        <w:ind w:left="1888"/>
        <w:rPr>
          <w:sz w:val="24"/>
          <w:szCs w:val="24"/>
        </w:rPr>
      </w:pPr>
      <w:r>
        <w:rPr>
          <w:spacing w:val="-20"/>
          <w:sz w:val="24"/>
          <w:szCs w:val="24"/>
        </w:rPr>
        <w:t>2.5对有理化指标要求的材料查看材质证明书。</w:t>
      </w:r>
    </w:p>
    <w:p w14:paraId="0DC6B67B">
      <w:pPr>
        <w:pStyle w:val="2"/>
        <w:spacing w:before="120" w:line="216" w:lineRule="auto"/>
        <w:ind w:left="1890"/>
        <w:rPr>
          <w:sz w:val="24"/>
          <w:szCs w:val="24"/>
        </w:rPr>
      </w:pPr>
      <w:r>
        <w:rPr>
          <w:spacing w:val="-18"/>
          <w:sz w:val="24"/>
          <w:szCs w:val="24"/>
        </w:rPr>
        <w:t>3.物料性能验收方法：</w:t>
      </w:r>
    </w:p>
    <w:p w14:paraId="09108C97">
      <w:pPr>
        <w:pStyle w:val="2"/>
        <w:spacing w:before="118" w:line="218" w:lineRule="auto"/>
        <w:ind w:left="1890"/>
        <w:rPr>
          <w:sz w:val="24"/>
          <w:szCs w:val="24"/>
        </w:rPr>
      </w:pPr>
      <w:r>
        <w:rPr>
          <w:spacing w:val="-21"/>
          <w:sz w:val="24"/>
          <w:szCs w:val="24"/>
        </w:rPr>
        <w:t>3.1管道等可用游标卡尺、皮尺测量；</w:t>
      </w:r>
    </w:p>
    <w:p w14:paraId="428573DB">
      <w:pPr>
        <w:pStyle w:val="2"/>
        <w:spacing w:before="118" w:line="217" w:lineRule="auto"/>
        <w:ind w:left="1890"/>
        <w:rPr>
          <w:sz w:val="24"/>
          <w:szCs w:val="24"/>
        </w:rPr>
      </w:pPr>
      <w:r>
        <w:rPr>
          <w:spacing w:val="-22"/>
          <w:sz w:val="24"/>
          <w:szCs w:val="24"/>
        </w:rPr>
        <w:t>3.2国家规定的其他验收方法。</w:t>
      </w:r>
    </w:p>
    <w:p w14:paraId="02F67073">
      <w:pPr>
        <w:pStyle w:val="2"/>
        <w:spacing w:before="118" w:line="216" w:lineRule="auto"/>
        <w:ind w:left="1884"/>
        <w:rPr>
          <w:sz w:val="24"/>
          <w:szCs w:val="24"/>
        </w:rPr>
      </w:pPr>
      <w:r>
        <w:rPr>
          <w:spacing w:val="-16"/>
          <w:sz w:val="24"/>
          <w:szCs w:val="24"/>
        </w:rPr>
        <w:t>4.物料验收程序：</w:t>
      </w:r>
    </w:p>
    <w:p w14:paraId="7966FC01">
      <w:pPr>
        <w:pStyle w:val="2"/>
        <w:spacing w:before="118" w:line="215" w:lineRule="auto"/>
        <w:ind w:left="1884"/>
        <w:rPr>
          <w:sz w:val="24"/>
          <w:szCs w:val="24"/>
        </w:rPr>
      </w:pPr>
      <w:r>
        <w:rPr>
          <w:spacing w:val="-20"/>
          <w:sz w:val="24"/>
          <w:szCs w:val="24"/>
        </w:rPr>
        <w:t>4.1项目管理部及采购管理部，在材料供应合同</w:t>
      </w:r>
      <w:r>
        <w:rPr>
          <w:spacing w:val="-21"/>
          <w:sz w:val="24"/>
          <w:szCs w:val="24"/>
        </w:rPr>
        <w:t>签订后，及时完善材料样板库的更新。</w:t>
      </w:r>
    </w:p>
    <w:p w14:paraId="043BB221">
      <w:pPr>
        <w:pStyle w:val="2"/>
        <w:spacing w:before="122" w:line="261" w:lineRule="auto"/>
        <w:ind w:left="1459" w:right="1339" w:firstLine="425"/>
        <w:rPr>
          <w:sz w:val="24"/>
          <w:szCs w:val="24"/>
        </w:rPr>
      </w:pPr>
      <w:r>
        <w:rPr>
          <w:spacing w:val="-21"/>
          <w:sz w:val="24"/>
          <w:szCs w:val="24"/>
        </w:rPr>
        <w:t>4.2项目管理部根据项目总体工程策划方案，编制《材料进场及施工计划》及发</w:t>
      </w:r>
      <w:r>
        <w:rPr>
          <w:spacing w:val="-22"/>
          <w:sz w:val="24"/>
          <w:szCs w:val="24"/>
        </w:rPr>
        <w:t>货通知单，</w:t>
      </w:r>
      <w:r>
        <w:rPr>
          <w:spacing w:val="-23"/>
          <w:sz w:val="24"/>
          <w:szCs w:val="24"/>
        </w:rPr>
        <w:t>并转交采购管理部。施工单位及监理单位配合项目管理部进行《材料</w:t>
      </w:r>
      <w:r>
        <w:rPr>
          <w:spacing w:val="-24"/>
          <w:sz w:val="24"/>
          <w:szCs w:val="24"/>
        </w:rPr>
        <w:t>进场及施工计划》的编制。</w:t>
      </w:r>
    </w:p>
    <w:p w14:paraId="4B7AA854">
      <w:pPr>
        <w:pStyle w:val="2"/>
        <w:spacing w:before="119" w:line="262" w:lineRule="auto"/>
        <w:ind w:left="1456" w:right="1409" w:firstLine="428"/>
        <w:rPr>
          <w:sz w:val="24"/>
          <w:szCs w:val="24"/>
        </w:rPr>
      </w:pPr>
      <w:r>
        <w:rPr>
          <w:spacing w:val="-23"/>
          <w:sz w:val="24"/>
          <w:szCs w:val="24"/>
        </w:rPr>
        <w:t>4.3供货商按照项目管理部下发的供货通知，进行生产及供货。对于大型设备，项目管理部</w:t>
      </w:r>
      <w:r>
        <w:rPr>
          <w:spacing w:val="-22"/>
          <w:sz w:val="24"/>
          <w:szCs w:val="24"/>
        </w:rPr>
        <w:t>应在设备出场前，联合采购管理部，对设备进行出场检测及调试验收。</w:t>
      </w:r>
    </w:p>
    <w:p w14:paraId="74E2E6AF">
      <w:pPr>
        <w:pStyle w:val="2"/>
        <w:spacing w:before="120" w:line="286" w:lineRule="auto"/>
        <w:ind w:left="1457" w:right="1410" w:firstLine="427"/>
        <w:rPr>
          <w:sz w:val="24"/>
          <w:szCs w:val="24"/>
        </w:rPr>
      </w:pPr>
      <w:r>
        <w:rPr>
          <w:spacing w:val="-24"/>
          <w:sz w:val="24"/>
          <w:szCs w:val="24"/>
        </w:rPr>
        <w:t>4.4甲供物料发货后，由项目管理部相关责任人，与供货商确定到货时间，并提前与施工单</w:t>
      </w:r>
      <w:r>
        <w:rPr>
          <w:spacing w:val="-25"/>
          <w:sz w:val="24"/>
          <w:szCs w:val="24"/>
        </w:rPr>
        <w:t>位、监理单位、采购管理部、项目管理部采购负责人、确定初步验收时间。现场验收需会签《甲</w:t>
      </w:r>
      <w:r>
        <w:rPr>
          <w:spacing w:val="-20"/>
          <w:sz w:val="24"/>
          <w:szCs w:val="24"/>
        </w:rPr>
        <w:t>供材料及设备入场验收单》，并由送货方事先填写并签章。现场物料经各方共同验收，并签字</w:t>
      </w:r>
      <w:r>
        <w:rPr>
          <w:spacing w:val="-21"/>
          <w:sz w:val="24"/>
          <w:szCs w:val="24"/>
        </w:rPr>
        <w:t>确认。</w:t>
      </w:r>
    </w:p>
    <w:p w14:paraId="7FEAC845">
      <w:pPr>
        <w:pStyle w:val="2"/>
        <w:spacing w:before="114" w:line="277" w:lineRule="auto"/>
        <w:ind w:left="1460" w:right="1414" w:firstLine="424"/>
        <w:rPr>
          <w:sz w:val="24"/>
          <w:szCs w:val="24"/>
        </w:rPr>
      </w:pPr>
      <w:r>
        <w:rPr>
          <w:spacing w:val="-21"/>
          <w:sz w:val="24"/>
          <w:szCs w:val="24"/>
        </w:rPr>
        <w:t>4.5《甲供材料及设备入场验收单》一式伍份，送</w:t>
      </w:r>
      <w:r>
        <w:rPr>
          <w:spacing w:val="-22"/>
          <w:sz w:val="24"/>
          <w:szCs w:val="24"/>
        </w:rPr>
        <w:t>供应商、施工单位、监理单位各一份；另</w:t>
      </w:r>
      <w:r>
        <w:rPr>
          <w:spacing w:val="-20"/>
          <w:sz w:val="24"/>
          <w:szCs w:val="24"/>
        </w:rPr>
        <w:t>两份其中一份采购管理部存档，另一份项目管理部存档。付款时《甲供材料设备入场</w:t>
      </w:r>
      <w:r>
        <w:rPr>
          <w:spacing w:val="-21"/>
          <w:sz w:val="24"/>
          <w:szCs w:val="24"/>
        </w:rPr>
        <w:t>验收单》</w:t>
      </w:r>
      <w:r>
        <w:rPr>
          <w:spacing w:val="-20"/>
          <w:sz w:val="24"/>
          <w:szCs w:val="24"/>
        </w:rPr>
        <w:t>作为必要附件之一。</w:t>
      </w:r>
    </w:p>
    <w:p w14:paraId="03C7EFC8">
      <w:pPr>
        <w:pStyle w:val="2"/>
        <w:spacing w:before="118" w:line="216" w:lineRule="auto"/>
        <w:ind w:left="1884"/>
        <w:rPr>
          <w:sz w:val="24"/>
          <w:szCs w:val="24"/>
        </w:rPr>
      </w:pPr>
      <w:r>
        <w:rPr>
          <w:spacing w:val="-22"/>
          <w:sz w:val="24"/>
          <w:szCs w:val="24"/>
        </w:rPr>
        <w:t>4.6现场验收人员，应审核进场材料的达标情况。对于审核合格</w:t>
      </w:r>
      <w:r>
        <w:rPr>
          <w:spacing w:val="-23"/>
          <w:sz w:val="24"/>
          <w:szCs w:val="24"/>
        </w:rPr>
        <w:t>的材料，应及时与施工单位</w:t>
      </w:r>
    </w:p>
    <w:p w14:paraId="6B498C79">
      <w:pPr>
        <w:spacing w:line="216" w:lineRule="auto"/>
        <w:rPr>
          <w:sz w:val="24"/>
          <w:szCs w:val="24"/>
        </w:rPr>
        <w:sectPr>
          <w:footerReference r:id="rId288" w:type="default"/>
          <w:pgSz w:w="11907" w:h="16839"/>
          <w:pgMar w:top="933" w:right="4" w:bottom="1038" w:left="0" w:header="478" w:footer="357" w:gutter="0"/>
          <w:pgBorders>
            <w:top w:val="none" w:sz="0" w:space="0"/>
            <w:left w:val="none" w:sz="0" w:space="0"/>
            <w:bottom w:val="none" w:sz="0" w:space="0"/>
            <w:right w:val="none" w:sz="0" w:space="0"/>
          </w:pgBorders>
          <w:cols w:space="720" w:num="1"/>
        </w:sectPr>
      </w:pPr>
    </w:p>
    <w:p w14:paraId="4D290F02">
      <w:pPr>
        <w:spacing w:line="271" w:lineRule="auto"/>
        <w:rPr>
          <w:rFonts w:ascii="Arial"/>
          <w:sz w:val="21"/>
        </w:rPr>
      </w:pPr>
    </w:p>
    <w:p w14:paraId="1CFAA2B9">
      <w:pPr>
        <w:pStyle w:val="2"/>
        <w:spacing w:before="78" w:line="216" w:lineRule="auto"/>
        <w:ind w:left="1463"/>
        <w:rPr>
          <w:sz w:val="24"/>
          <w:szCs w:val="24"/>
        </w:rPr>
      </w:pPr>
      <w:r>
        <w:rPr>
          <w:spacing w:val="-22"/>
          <w:sz w:val="24"/>
          <w:szCs w:val="24"/>
        </w:rPr>
        <w:t>办理材料交接手续，施工单位按照既定施工计划，进行施工。</w:t>
      </w:r>
    </w:p>
    <w:p w14:paraId="683A5858">
      <w:pPr>
        <w:pStyle w:val="2"/>
        <w:spacing w:before="120" w:line="216" w:lineRule="auto"/>
        <w:ind w:left="1884"/>
        <w:rPr>
          <w:sz w:val="24"/>
          <w:szCs w:val="24"/>
        </w:rPr>
      </w:pPr>
      <w:r>
        <w:rPr>
          <w:spacing w:val="-20"/>
          <w:sz w:val="24"/>
          <w:szCs w:val="24"/>
        </w:rPr>
        <w:t>4.7施工过程中，工程管理部对现场物料使用情况进</w:t>
      </w:r>
      <w:r>
        <w:rPr>
          <w:spacing w:val="-21"/>
          <w:sz w:val="24"/>
          <w:szCs w:val="24"/>
        </w:rPr>
        <w:t>行抽查，检查落实材料使用情况。</w:t>
      </w:r>
    </w:p>
    <w:p w14:paraId="7A37364C">
      <w:pPr>
        <w:pStyle w:val="2"/>
        <w:spacing w:before="117" w:line="216" w:lineRule="auto"/>
        <w:ind w:left="1890"/>
        <w:rPr>
          <w:sz w:val="24"/>
          <w:szCs w:val="24"/>
        </w:rPr>
      </w:pPr>
      <w:r>
        <w:rPr>
          <w:spacing w:val="-18"/>
          <w:sz w:val="24"/>
          <w:szCs w:val="24"/>
        </w:rPr>
        <w:t>5.对验收不合格物料：</w:t>
      </w:r>
    </w:p>
    <w:p w14:paraId="3752F3E7">
      <w:pPr>
        <w:pStyle w:val="2"/>
        <w:spacing w:before="118" w:line="290" w:lineRule="auto"/>
        <w:ind w:left="1455" w:right="1311" w:firstLine="434"/>
        <w:rPr>
          <w:sz w:val="24"/>
          <w:szCs w:val="24"/>
        </w:rPr>
      </w:pPr>
      <w:r>
        <w:rPr>
          <w:spacing w:val="-26"/>
          <w:sz w:val="24"/>
          <w:szCs w:val="24"/>
        </w:rPr>
        <w:t>5.1现场验收过程中，如物料验收不合格，相关验收人员不得在《甲供材料设备入场验收单》</w:t>
      </w:r>
      <w:r>
        <w:rPr>
          <w:spacing w:val="-20"/>
          <w:sz w:val="24"/>
          <w:szCs w:val="24"/>
        </w:rPr>
        <w:t>上签字，项目监理部立即签发监理工程师通知单，责令限期清退出场，并负责拍照取证和督促施工单位做好不合格材料的标记，该资料报建设方项目管理部存档。唯有验收合格的物料施工单位才能用于现场工程建设。同时，应由项目管理部组织专项讨论会，确定是否影响工期及与</w:t>
      </w:r>
      <w:r>
        <w:rPr>
          <w:spacing w:val="-22"/>
          <w:sz w:val="24"/>
          <w:szCs w:val="24"/>
        </w:rPr>
        <w:t>合同的相关条款。</w:t>
      </w:r>
    </w:p>
    <w:p w14:paraId="51BA4966">
      <w:pPr>
        <w:pStyle w:val="2"/>
        <w:spacing w:before="117" w:line="262" w:lineRule="auto"/>
        <w:ind w:left="1459" w:right="1409" w:firstLine="431"/>
        <w:rPr>
          <w:sz w:val="24"/>
          <w:szCs w:val="24"/>
        </w:rPr>
      </w:pPr>
      <w:r>
        <w:rPr>
          <w:spacing w:val="-23"/>
          <w:sz w:val="24"/>
          <w:szCs w:val="24"/>
        </w:rPr>
        <w:t>5.2如不影响总体施工部署，或经过与施工单位沟通，虽对整体施工进度造成影响，但可通</w:t>
      </w:r>
      <w:r>
        <w:rPr>
          <w:spacing w:val="-21"/>
          <w:sz w:val="24"/>
          <w:szCs w:val="24"/>
        </w:rPr>
        <w:t>过具体措施进行赶工的，应及时安排供货商重新排产供</w:t>
      </w:r>
      <w:r>
        <w:rPr>
          <w:spacing w:val="-22"/>
          <w:sz w:val="24"/>
          <w:szCs w:val="24"/>
        </w:rPr>
        <w:t>货。</w:t>
      </w:r>
    </w:p>
    <w:p w14:paraId="56377D73">
      <w:pPr>
        <w:pStyle w:val="2"/>
        <w:spacing w:before="119" w:line="216" w:lineRule="auto"/>
        <w:ind w:left="1890"/>
        <w:rPr>
          <w:sz w:val="24"/>
          <w:szCs w:val="24"/>
        </w:rPr>
      </w:pPr>
      <w:r>
        <w:rPr>
          <w:spacing w:val="-21"/>
          <w:sz w:val="24"/>
          <w:szCs w:val="24"/>
        </w:rPr>
        <w:t>5.3采购管理部及项目管理部完善对该材料供应商的过程评价，并最终纳入整体评价。</w:t>
      </w:r>
    </w:p>
    <w:p w14:paraId="3E3EC55A">
      <w:pPr>
        <w:pStyle w:val="2"/>
        <w:spacing w:before="119" w:line="278" w:lineRule="auto"/>
        <w:ind w:left="1457" w:right="1413" w:firstLine="433"/>
        <w:rPr>
          <w:sz w:val="24"/>
          <w:szCs w:val="24"/>
        </w:rPr>
      </w:pPr>
      <w:r>
        <w:rPr>
          <w:spacing w:val="-23"/>
          <w:sz w:val="24"/>
          <w:szCs w:val="24"/>
        </w:rPr>
        <w:t>5.4如材料验收不合格，会严重影响施工工期，则由项目管理部组织相关会议，商</w:t>
      </w:r>
      <w:r>
        <w:rPr>
          <w:spacing w:val="-24"/>
          <w:sz w:val="24"/>
          <w:szCs w:val="24"/>
        </w:rPr>
        <w:t>讨确定具</w:t>
      </w:r>
      <w:r>
        <w:rPr>
          <w:spacing w:val="-20"/>
          <w:sz w:val="24"/>
          <w:szCs w:val="24"/>
        </w:rPr>
        <w:t>体替代方案，同时与建设单位进行沟通，规避我方的相关违约责任，必要时可由总经办法务人</w:t>
      </w:r>
      <w:r>
        <w:rPr>
          <w:spacing w:val="-15"/>
          <w:sz w:val="24"/>
          <w:szCs w:val="24"/>
        </w:rPr>
        <w:t>员介入。</w:t>
      </w:r>
    </w:p>
    <w:p w14:paraId="3389AC82">
      <w:pPr>
        <w:pStyle w:val="2"/>
        <w:spacing w:before="116" w:line="262" w:lineRule="auto"/>
        <w:ind w:left="1455" w:right="1409" w:firstLine="434"/>
        <w:rPr>
          <w:sz w:val="24"/>
          <w:szCs w:val="24"/>
        </w:rPr>
      </w:pPr>
      <w:r>
        <w:rPr>
          <w:spacing w:val="-23"/>
          <w:sz w:val="24"/>
          <w:szCs w:val="24"/>
        </w:rPr>
        <w:t>5.5材料替代方案经过公司采购管理部、成本管理部、工程管理部、项目管理部分管领导审</w:t>
      </w:r>
      <w:r>
        <w:rPr>
          <w:spacing w:val="-21"/>
          <w:sz w:val="24"/>
          <w:szCs w:val="24"/>
        </w:rPr>
        <w:t>核后，上报公司总经理审批后执行。</w:t>
      </w:r>
    </w:p>
    <w:p w14:paraId="51B6A729">
      <w:pPr>
        <w:pStyle w:val="2"/>
        <w:spacing w:before="120" w:line="261" w:lineRule="auto"/>
        <w:ind w:left="1463" w:right="1410" w:firstLine="427"/>
        <w:rPr>
          <w:sz w:val="24"/>
          <w:szCs w:val="24"/>
        </w:rPr>
      </w:pPr>
      <w:r>
        <w:rPr>
          <w:spacing w:val="-23"/>
          <w:sz w:val="24"/>
          <w:szCs w:val="24"/>
        </w:rPr>
        <w:t>5.6现场材料验收不合格，项目管理部负责按照既定合同，与供货单位进行沟通，并提出相</w:t>
      </w:r>
      <w:r>
        <w:rPr>
          <w:spacing w:val="-21"/>
          <w:sz w:val="24"/>
          <w:szCs w:val="24"/>
        </w:rPr>
        <w:t>关索赔申请，办理违约索赔事宜。</w:t>
      </w:r>
    </w:p>
    <w:p w14:paraId="58EA715D">
      <w:pPr>
        <w:pStyle w:val="2"/>
        <w:spacing w:before="84" w:line="218" w:lineRule="auto"/>
        <w:ind w:left="1985"/>
        <w:outlineLvl w:val="2"/>
        <w:rPr>
          <w:sz w:val="28"/>
          <w:szCs w:val="28"/>
        </w:rPr>
      </w:pPr>
      <w:bookmarkStart w:id="218" w:name="bookmark210"/>
      <w:bookmarkEnd w:id="218"/>
      <w:r>
        <w:rPr>
          <w:b/>
          <w:bCs/>
          <w:spacing w:val="-22"/>
          <w:sz w:val="28"/>
          <w:szCs w:val="28"/>
        </w:rPr>
        <w:t>三、甲供材管理制度</w:t>
      </w:r>
    </w:p>
    <w:p w14:paraId="01622EDA">
      <w:pPr>
        <w:pStyle w:val="2"/>
        <w:spacing w:before="106" w:line="216" w:lineRule="auto"/>
        <w:ind w:left="1898"/>
        <w:rPr>
          <w:sz w:val="24"/>
          <w:szCs w:val="24"/>
        </w:rPr>
      </w:pPr>
      <w:r>
        <w:rPr>
          <w:spacing w:val="-20"/>
          <w:sz w:val="24"/>
          <w:szCs w:val="24"/>
        </w:rPr>
        <w:t>工程甲供材料/设备管理办法</w:t>
      </w:r>
    </w:p>
    <w:p w14:paraId="6477F124">
      <w:pPr>
        <w:pStyle w:val="2"/>
        <w:spacing w:before="117" w:line="222" w:lineRule="auto"/>
        <w:ind w:left="1896"/>
        <w:rPr>
          <w:sz w:val="24"/>
          <w:szCs w:val="24"/>
        </w:rPr>
      </w:pPr>
      <w:r>
        <w:rPr>
          <w:spacing w:val="-12"/>
          <w:sz w:val="24"/>
          <w:szCs w:val="24"/>
        </w:rPr>
        <w:t>一、目的</w:t>
      </w:r>
    </w:p>
    <w:p w14:paraId="6F1FB12D">
      <w:pPr>
        <w:pStyle w:val="2"/>
        <w:spacing w:before="113" w:line="217" w:lineRule="auto"/>
        <w:ind w:left="1901"/>
        <w:rPr>
          <w:sz w:val="24"/>
          <w:szCs w:val="24"/>
        </w:rPr>
      </w:pPr>
      <w:r>
        <w:rPr>
          <w:spacing w:val="-22"/>
          <w:sz w:val="24"/>
          <w:szCs w:val="24"/>
        </w:rPr>
        <w:t>为了保证工程质量、降低建造成本、促进工程建设，结合我公司实际情况制定本办法。</w:t>
      </w:r>
    </w:p>
    <w:p w14:paraId="3A53820F">
      <w:pPr>
        <w:pStyle w:val="2"/>
        <w:spacing w:before="119" w:line="218" w:lineRule="auto"/>
        <w:ind w:left="1900"/>
        <w:rPr>
          <w:sz w:val="24"/>
          <w:szCs w:val="24"/>
        </w:rPr>
      </w:pPr>
      <w:r>
        <w:rPr>
          <w:spacing w:val="-20"/>
          <w:sz w:val="24"/>
          <w:szCs w:val="24"/>
        </w:rPr>
        <w:t>二、适用范围及要求</w:t>
      </w:r>
    </w:p>
    <w:p w14:paraId="38FF140D">
      <w:pPr>
        <w:pStyle w:val="2"/>
        <w:spacing w:before="115" w:line="216" w:lineRule="auto"/>
        <w:ind w:left="1894"/>
        <w:rPr>
          <w:sz w:val="24"/>
          <w:szCs w:val="24"/>
        </w:rPr>
      </w:pPr>
      <w:r>
        <w:rPr>
          <w:spacing w:val="-21"/>
          <w:sz w:val="24"/>
          <w:szCs w:val="24"/>
        </w:rPr>
        <w:t>本办法适用于项目工程中的甲供材料/设备（以下简称“甲供材”）的采购。</w:t>
      </w:r>
    </w:p>
    <w:p w14:paraId="295AFCB6">
      <w:pPr>
        <w:pStyle w:val="2"/>
        <w:spacing w:before="121" w:line="277" w:lineRule="auto"/>
        <w:ind w:left="1444" w:right="1353" w:firstLine="459"/>
        <w:rPr>
          <w:sz w:val="24"/>
          <w:szCs w:val="24"/>
        </w:rPr>
      </w:pPr>
      <w:r>
        <w:rPr>
          <w:spacing w:val="-26"/>
          <w:sz w:val="24"/>
          <w:szCs w:val="24"/>
        </w:rPr>
        <w:t>1、工程中用量较大、部位较重要，涉及到安全、观感及物业日后维</w:t>
      </w:r>
      <w:r>
        <w:rPr>
          <w:spacing w:val="-27"/>
          <w:sz w:val="24"/>
          <w:szCs w:val="24"/>
        </w:rPr>
        <w:t>护工作量大的材料设备，</w:t>
      </w:r>
      <w:r>
        <w:rPr>
          <w:spacing w:val="-14"/>
          <w:sz w:val="24"/>
          <w:szCs w:val="24"/>
        </w:rPr>
        <w:t>统一由甲方订购。甲供主材为：DN600/DN800/</w:t>
      </w:r>
      <w:r>
        <w:rPr>
          <w:spacing w:val="-15"/>
          <w:sz w:val="24"/>
          <w:szCs w:val="24"/>
        </w:rPr>
        <w:t>DN1000球墨铸铁管、DN600/DN800/DN1000钢管、</w:t>
      </w:r>
      <w:r>
        <w:rPr>
          <w:spacing w:val="-14"/>
          <w:sz w:val="24"/>
          <w:szCs w:val="24"/>
        </w:rPr>
        <w:t>DN600/DN800/DN1000阀门、DN600/DN80</w:t>
      </w:r>
      <w:r>
        <w:rPr>
          <w:spacing w:val="-15"/>
          <w:sz w:val="24"/>
          <w:szCs w:val="24"/>
        </w:rPr>
        <w:t>0/DN1000胶圈、消火栓、水表、流量计。</w:t>
      </w:r>
    </w:p>
    <w:p w14:paraId="2A5140C4">
      <w:pPr>
        <w:pStyle w:val="2"/>
        <w:spacing w:before="119" w:line="262" w:lineRule="auto"/>
        <w:ind w:left="1457" w:right="3351" w:firstLine="431"/>
        <w:rPr>
          <w:sz w:val="24"/>
          <w:szCs w:val="24"/>
        </w:rPr>
      </w:pPr>
      <w:r>
        <w:rPr>
          <w:spacing w:val="-21"/>
          <w:sz w:val="24"/>
          <w:szCs w:val="24"/>
        </w:rPr>
        <w:t>2、按合同规定应由施工单位采购供应的材料，因</w:t>
      </w:r>
      <w:r>
        <w:rPr>
          <w:spacing w:val="-22"/>
          <w:sz w:val="24"/>
          <w:szCs w:val="24"/>
        </w:rPr>
        <w:t>某种原因改为建设单</w:t>
      </w:r>
      <w:r>
        <w:rPr>
          <w:spacing w:val="-19"/>
          <w:sz w:val="24"/>
          <w:szCs w:val="24"/>
        </w:rPr>
        <w:t>位采购供应的材料。</w:t>
      </w:r>
    </w:p>
    <w:p w14:paraId="43B8E6C5">
      <w:pPr>
        <w:pStyle w:val="2"/>
        <w:spacing w:before="118" w:line="218" w:lineRule="auto"/>
        <w:ind w:left="1899"/>
        <w:rPr>
          <w:sz w:val="24"/>
          <w:szCs w:val="24"/>
        </w:rPr>
      </w:pPr>
      <w:r>
        <w:rPr>
          <w:spacing w:val="-19"/>
          <w:sz w:val="24"/>
          <w:szCs w:val="24"/>
        </w:rPr>
        <w:t>三、采购计划</w:t>
      </w:r>
    </w:p>
    <w:p w14:paraId="2F2D7450">
      <w:pPr>
        <w:pStyle w:val="2"/>
        <w:spacing w:before="118" w:line="262" w:lineRule="auto"/>
        <w:ind w:left="1456" w:right="1409" w:firstLine="447"/>
        <w:rPr>
          <w:sz w:val="24"/>
          <w:szCs w:val="24"/>
        </w:rPr>
      </w:pPr>
      <w:r>
        <w:rPr>
          <w:spacing w:val="-19"/>
          <w:sz w:val="24"/>
          <w:szCs w:val="24"/>
        </w:rPr>
        <w:t>1、新开项目开工前，成本管理部编制《材料/设备需求总表</w:t>
      </w:r>
      <w:r>
        <w:rPr>
          <w:spacing w:val="-20"/>
          <w:sz w:val="24"/>
          <w:szCs w:val="24"/>
        </w:rPr>
        <w:t>》，甲供材、认质认价材料分</w:t>
      </w:r>
      <w:r>
        <w:rPr>
          <w:spacing w:val="-21"/>
          <w:sz w:val="24"/>
          <w:szCs w:val="24"/>
        </w:rPr>
        <w:t>开填写，交采购部，由采购部制定项目的材料设备采购计划。</w:t>
      </w:r>
    </w:p>
    <w:p w14:paraId="430A2F26">
      <w:pPr>
        <w:pStyle w:val="2"/>
        <w:spacing w:before="118" w:line="262" w:lineRule="auto"/>
        <w:ind w:left="1458" w:right="1413" w:firstLine="430"/>
        <w:rPr>
          <w:sz w:val="24"/>
          <w:szCs w:val="24"/>
        </w:rPr>
      </w:pPr>
      <w:r>
        <w:rPr>
          <w:spacing w:val="-22"/>
          <w:sz w:val="24"/>
          <w:szCs w:val="24"/>
        </w:rPr>
        <w:t>2、在建项目应在每年年初采购部随工程年度计划编制完成下一年的采购计划，包括材料设备名称、规格、性能参数、数量、拟招标起止日期、计划进场时间等。</w:t>
      </w:r>
    </w:p>
    <w:p w14:paraId="304C7944">
      <w:pPr>
        <w:pStyle w:val="2"/>
        <w:spacing w:before="120" w:line="262" w:lineRule="auto"/>
        <w:ind w:left="1456" w:right="1411" w:firstLine="434"/>
        <w:rPr>
          <w:sz w:val="24"/>
          <w:szCs w:val="24"/>
        </w:rPr>
      </w:pPr>
      <w:r>
        <w:rPr>
          <w:spacing w:val="-22"/>
          <w:sz w:val="24"/>
          <w:szCs w:val="24"/>
        </w:rPr>
        <w:t>3、实施中的工程项目的甲供材的进场计划由工程部根据与施工单位确认的施工进度计</w:t>
      </w:r>
      <w:r>
        <w:rPr>
          <w:spacing w:val="-23"/>
          <w:sz w:val="24"/>
          <w:szCs w:val="24"/>
        </w:rPr>
        <w:t>划提报：</w:t>
      </w:r>
    </w:p>
    <w:p w14:paraId="0951CC19">
      <w:pPr>
        <w:spacing w:line="262" w:lineRule="auto"/>
        <w:rPr>
          <w:sz w:val="24"/>
          <w:szCs w:val="24"/>
        </w:rPr>
        <w:sectPr>
          <w:footerReference r:id="rId289" w:type="default"/>
          <w:pgSz w:w="11907" w:h="16839"/>
          <w:pgMar w:top="933" w:right="4" w:bottom="1038" w:left="0" w:header="478" w:footer="357" w:gutter="0"/>
          <w:pgBorders>
            <w:top w:val="none" w:sz="0" w:space="0"/>
            <w:left w:val="none" w:sz="0" w:space="0"/>
            <w:bottom w:val="none" w:sz="0" w:space="0"/>
            <w:right w:val="none" w:sz="0" w:space="0"/>
          </w:pgBorders>
          <w:cols w:space="720" w:num="1"/>
        </w:sectPr>
      </w:pPr>
    </w:p>
    <w:p w14:paraId="5437791E">
      <w:pPr>
        <w:spacing w:line="271" w:lineRule="auto"/>
        <w:rPr>
          <w:rFonts w:ascii="Arial"/>
          <w:sz w:val="21"/>
        </w:rPr>
      </w:pPr>
    </w:p>
    <w:p w14:paraId="5F0FBD40">
      <w:pPr>
        <w:pStyle w:val="2"/>
        <w:spacing w:before="78" w:line="216" w:lineRule="auto"/>
        <w:ind w:left="1893"/>
        <w:rPr>
          <w:sz w:val="24"/>
          <w:szCs w:val="24"/>
        </w:rPr>
      </w:pPr>
      <w:r>
        <w:rPr>
          <w:spacing w:val="-17"/>
          <w:sz w:val="24"/>
          <w:szCs w:val="24"/>
        </w:rPr>
        <w:t>（1）一般材料提前30天提交；设备提前60天提交；</w:t>
      </w:r>
    </w:p>
    <w:p w14:paraId="508FB6C9">
      <w:pPr>
        <w:pStyle w:val="2"/>
        <w:spacing w:before="120" w:line="216" w:lineRule="auto"/>
        <w:ind w:left="1893"/>
        <w:rPr>
          <w:sz w:val="24"/>
          <w:szCs w:val="24"/>
        </w:rPr>
      </w:pPr>
      <w:r>
        <w:rPr>
          <w:spacing w:val="-21"/>
          <w:sz w:val="24"/>
          <w:szCs w:val="24"/>
        </w:rPr>
        <w:t>（2）需定制的材料设备、重大或集中采购的项目需适当提前。</w:t>
      </w:r>
    </w:p>
    <w:p w14:paraId="360018C5">
      <w:pPr>
        <w:pStyle w:val="2"/>
        <w:spacing w:before="117" w:line="217" w:lineRule="auto"/>
        <w:ind w:left="1921"/>
        <w:rPr>
          <w:sz w:val="24"/>
          <w:szCs w:val="24"/>
        </w:rPr>
      </w:pPr>
      <w:r>
        <w:rPr>
          <w:spacing w:val="-22"/>
          <w:sz w:val="24"/>
          <w:szCs w:val="24"/>
        </w:rPr>
        <w:t>四、甲供材执行程序</w:t>
      </w:r>
    </w:p>
    <w:p w14:paraId="7D4970F9">
      <w:pPr>
        <w:pStyle w:val="2"/>
        <w:spacing w:before="119" w:line="262" w:lineRule="auto"/>
        <w:ind w:left="1480" w:right="1410" w:firstLine="422"/>
        <w:rPr>
          <w:sz w:val="24"/>
          <w:szCs w:val="24"/>
        </w:rPr>
      </w:pPr>
      <w:r>
        <w:rPr>
          <w:spacing w:val="-22"/>
          <w:sz w:val="24"/>
          <w:szCs w:val="24"/>
        </w:rPr>
        <w:t>1、施工单位依据施工合同、招标文件、工程量清单、施工图</w:t>
      </w:r>
      <w:r>
        <w:rPr>
          <w:spacing w:val="-23"/>
          <w:sz w:val="24"/>
          <w:szCs w:val="24"/>
        </w:rPr>
        <w:t>纸要求等，对需要的甲供材提</w:t>
      </w:r>
      <w:r>
        <w:rPr>
          <w:spacing w:val="-25"/>
          <w:sz w:val="24"/>
          <w:szCs w:val="24"/>
        </w:rPr>
        <w:t>出书面申请。</w:t>
      </w:r>
    </w:p>
    <w:p w14:paraId="3D3F3E0D">
      <w:pPr>
        <w:pStyle w:val="2"/>
        <w:spacing w:before="116" w:line="278" w:lineRule="auto"/>
        <w:ind w:left="1456" w:right="1409" w:firstLine="432"/>
        <w:rPr>
          <w:sz w:val="24"/>
          <w:szCs w:val="24"/>
        </w:rPr>
      </w:pPr>
      <w:r>
        <w:rPr>
          <w:spacing w:val="-19"/>
          <w:sz w:val="24"/>
          <w:szCs w:val="24"/>
        </w:rPr>
        <w:t>2、施工单位在规定时间内按要求填写《甲供材料/设备申请单》→监理单位审核→工程部</w:t>
      </w:r>
      <w:r>
        <w:rPr>
          <w:spacing w:val="-20"/>
          <w:sz w:val="24"/>
          <w:szCs w:val="24"/>
        </w:rPr>
        <w:t>（审核规格型号是否与图纸相符）→成本管理部（对申报数量进行审核）→总工办（审核技术</w:t>
      </w:r>
      <w:r>
        <w:rPr>
          <w:spacing w:val="-21"/>
          <w:sz w:val="24"/>
          <w:szCs w:val="24"/>
        </w:rPr>
        <w:t>参数、规格型号等是否符合要求）→采购部。</w:t>
      </w:r>
    </w:p>
    <w:p w14:paraId="61C63AD7">
      <w:pPr>
        <w:pStyle w:val="2"/>
        <w:spacing w:before="117" w:line="262" w:lineRule="auto"/>
        <w:ind w:left="1463" w:right="1409" w:firstLine="427"/>
        <w:rPr>
          <w:sz w:val="24"/>
          <w:szCs w:val="24"/>
        </w:rPr>
      </w:pPr>
      <w:r>
        <w:rPr>
          <w:spacing w:val="-19"/>
          <w:sz w:val="24"/>
          <w:szCs w:val="24"/>
        </w:rPr>
        <w:t>3、采购部按照《甲供材料/设备申请单》内容和金额确定采取招标方式或直接采购；已有</w:t>
      </w:r>
      <w:r>
        <w:rPr>
          <w:spacing w:val="-21"/>
          <w:sz w:val="24"/>
          <w:szCs w:val="24"/>
        </w:rPr>
        <w:t>合作协议的，采购部直接订货；需进行招标的</w:t>
      </w:r>
      <w:r>
        <w:rPr>
          <w:spacing w:val="-22"/>
          <w:sz w:val="24"/>
          <w:szCs w:val="24"/>
        </w:rPr>
        <w:t>，送招标办按公司招标程序执行。</w:t>
      </w:r>
    </w:p>
    <w:p w14:paraId="5176A969">
      <w:pPr>
        <w:pStyle w:val="2"/>
        <w:spacing w:before="121" w:line="261" w:lineRule="auto"/>
        <w:ind w:left="1458" w:right="1412" w:firstLine="426"/>
        <w:rPr>
          <w:sz w:val="24"/>
          <w:szCs w:val="24"/>
        </w:rPr>
      </w:pPr>
      <w:r>
        <w:rPr>
          <w:spacing w:val="-22"/>
          <w:sz w:val="24"/>
          <w:szCs w:val="24"/>
        </w:rPr>
        <w:t>4、实施直接采购的，采购部通过询价方式将最终确定的价格填入《甲供材料设备采购审批</w:t>
      </w:r>
      <w:r>
        <w:rPr>
          <w:spacing w:val="-24"/>
          <w:sz w:val="24"/>
          <w:szCs w:val="24"/>
        </w:rPr>
        <w:t>表》，并附报价单及询价报告，报成本管理部、主管副总审核、分（子）公司总经理审批。</w:t>
      </w:r>
    </w:p>
    <w:p w14:paraId="7E97904D">
      <w:pPr>
        <w:pStyle w:val="2"/>
        <w:spacing w:before="120" w:line="216" w:lineRule="auto"/>
        <w:ind w:left="1890"/>
        <w:rPr>
          <w:sz w:val="24"/>
          <w:szCs w:val="24"/>
        </w:rPr>
      </w:pPr>
      <w:r>
        <w:rPr>
          <w:spacing w:val="-20"/>
          <w:sz w:val="24"/>
          <w:szCs w:val="24"/>
        </w:rPr>
        <w:t>5、《甲供材料/设备申请单》包括内容：</w:t>
      </w:r>
    </w:p>
    <w:p w14:paraId="1BBD491A">
      <w:pPr>
        <w:pStyle w:val="2"/>
        <w:spacing w:before="120" w:line="217" w:lineRule="auto"/>
        <w:ind w:left="1927"/>
        <w:rPr>
          <w:sz w:val="24"/>
          <w:szCs w:val="24"/>
        </w:rPr>
      </w:pPr>
      <w:r>
        <w:rPr>
          <w:spacing w:val="-23"/>
          <w:sz w:val="24"/>
          <w:szCs w:val="24"/>
        </w:rPr>
        <w:t>(1)工程名称，使用部位、合同编号；</w:t>
      </w:r>
    </w:p>
    <w:p w14:paraId="06234872">
      <w:pPr>
        <w:pStyle w:val="2"/>
        <w:spacing w:before="117" w:line="263" w:lineRule="auto"/>
        <w:ind w:left="1465" w:right="1411" w:firstLine="462"/>
        <w:rPr>
          <w:sz w:val="24"/>
          <w:szCs w:val="24"/>
        </w:rPr>
      </w:pPr>
      <w:r>
        <w:rPr>
          <w:spacing w:val="-19"/>
          <w:sz w:val="24"/>
          <w:szCs w:val="24"/>
        </w:rPr>
        <w:t>(2)施工单位、监理单位名称及主管签字，建</w:t>
      </w:r>
      <w:r>
        <w:rPr>
          <w:spacing w:val="-20"/>
          <w:sz w:val="24"/>
          <w:szCs w:val="24"/>
        </w:rPr>
        <w:t>设单位工程部主管工程师及总监/经理审核签</w:t>
      </w:r>
      <w:r>
        <w:rPr>
          <w:spacing w:val="-22"/>
          <w:sz w:val="24"/>
          <w:szCs w:val="24"/>
        </w:rPr>
        <w:t>字，成本管理部、总工办负责人审核签字；</w:t>
      </w:r>
    </w:p>
    <w:p w14:paraId="6FF271E4">
      <w:pPr>
        <w:pStyle w:val="2"/>
        <w:spacing w:before="117" w:line="216" w:lineRule="auto"/>
        <w:ind w:left="1893"/>
        <w:rPr>
          <w:sz w:val="24"/>
          <w:szCs w:val="24"/>
        </w:rPr>
      </w:pPr>
      <w:r>
        <w:rPr>
          <w:spacing w:val="-22"/>
          <w:sz w:val="24"/>
          <w:szCs w:val="24"/>
        </w:rPr>
        <w:t>（3）材料设备的名称、规格型号、数量等；</w:t>
      </w:r>
    </w:p>
    <w:p w14:paraId="61093D24">
      <w:pPr>
        <w:pStyle w:val="2"/>
        <w:spacing w:before="118" w:line="216" w:lineRule="auto"/>
        <w:ind w:left="1893"/>
        <w:rPr>
          <w:sz w:val="24"/>
          <w:szCs w:val="24"/>
        </w:rPr>
      </w:pPr>
      <w:r>
        <w:rPr>
          <w:spacing w:val="-21"/>
          <w:sz w:val="24"/>
          <w:szCs w:val="24"/>
        </w:rPr>
        <w:t>（4）申请时间、要求到货时间。</w:t>
      </w:r>
    </w:p>
    <w:p w14:paraId="6E35B17A">
      <w:pPr>
        <w:pStyle w:val="2"/>
        <w:spacing w:before="120" w:line="216" w:lineRule="auto"/>
        <w:ind w:left="1887"/>
        <w:rPr>
          <w:sz w:val="24"/>
          <w:szCs w:val="24"/>
        </w:rPr>
      </w:pPr>
      <w:r>
        <w:rPr>
          <w:spacing w:val="-20"/>
          <w:sz w:val="24"/>
          <w:szCs w:val="24"/>
        </w:rPr>
        <w:t>6、《甲供材料/设备采购审批表》应包含以下内容：</w:t>
      </w:r>
    </w:p>
    <w:p w14:paraId="79D2BF7A">
      <w:pPr>
        <w:pStyle w:val="2"/>
        <w:spacing w:before="120" w:line="218" w:lineRule="auto"/>
        <w:ind w:left="1893"/>
        <w:rPr>
          <w:sz w:val="24"/>
          <w:szCs w:val="24"/>
        </w:rPr>
      </w:pPr>
      <w:r>
        <w:rPr>
          <w:spacing w:val="-18"/>
          <w:sz w:val="24"/>
          <w:szCs w:val="24"/>
        </w:rPr>
        <w:t>（1）审批表编号；</w:t>
      </w:r>
    </w:p>
    <w:p w14:paraId="0D51888C">
      <w:pPr>
        <w:pStyle w:val="2"/>
        <w:spacing w:before="115" w:line="216" w:lineRule="auto"/>
        <w:ind w:left="1893"/>
        <w:rPr>
          <w:sz w:val="24"/>
          <w:szCs w:val="24"/>
        </w:rPr>
      </w:pPr>
      <w:r>
        <w:rPr>
          <w:spacing w:val="-21"/>
          <w:sz w:val="24"/>
          <w:szCs w:val="24"/>
        </w:rPr>
        <w:t>（2）材料设备名称、规格型号、单位、数量、单价、合计等；</w:t>
      </w:r>
    </w:p>
    <w:p w14:paraId="14EB05C2">
      <w:pPr>
        <w:pStyle w:val="2"/>
        <w:spacing w:before="121" w:line="264" w:lineRule="auto"/>
        <w:ind w:left="1461" w:right="1412" w:hanging="5"/>
        <w:rPr>
          <w:sz w:val="24"/>
          <w:szCs w:val="24"/>
        </w:rPr>
      </w:pPr>
      <w:r>
        <w:rPr>
          <w:spacing w:val="-22"/>
          <w:sz w:val="24"/>
          <w:szCs w:val="24"/>
        </w:rPr>
        <w:t>（3）采购部负责人、成本管理部负责人、总工办负责人、主管副总、分（子）公司总</w:t>
      </w:r>
      <w:r>
        <w:rPr>
          <w:spacing w:val="-23"/>
          <w:sz w:val="24"/>
          <w:szCs w:val="24"/>
        </w:rPr>
        <w:t>经理审核</w:t>
      </w:r>
      <w:r>
        <w:rPr>
          <w:spacing w:val="-22"/>
          <w:sz w:val="24"/>
          <w:szCs w:val="24"/>
        </w:rPr>
        <w:t>签字。</w:t>
      </w:r>
    </w:p>
    <w:p w14:paraId="0C28AB4A">
      <w:pPr>
        <w:pStyle w:val="2"/>
        <w:spacing w:before="112" w:line="216" w:lineRule="auto"/>
        <w:ind w:left="1891"/>
        <w:rPr>
          <w:sz w:val="24"/>
          <w:szCs w:val="24"/>
        </w:rPr>
      </w:pPr>
      <w:r>
        <w:rPr>
          <w:spacing w:val="-19"/>
          <w:sz w:val="24"/>
          <w:szCs w:val="24"/>
        </w:rPr>
        <w:t>7、甲供材工作的组织实施</w:t>
      </w:r>
    </w:p>
    <w:p w14:paraId="2F49E4BA">
      <w:pPr>
        <w:pStyle w:val="2"/>
        <w:spacing w:before="120" w:line="218" w:lineRule="auto"/>
        <w:ind w:left="1893"/>
        <w:rPr>
          <w:sz w:val="24"/>
          <w:szCs w:val="24"/>
        </w:rPr>
      </w:pPr>
      <w:r>
        <w:rPr>
          <w:spacing w:val="-17"/>
          <w:sz w:val="24"/>
          <w:szCs w:val="24"/>
        </w:rPr>
        <w:t>（1）招标方式</w:t>
      </w:r>
    </w:p>
    <w:p w14:paraId="7E193395">
      <w:pPr>
        <w:pStyle w:val="2"/>
        <w:spacing w:before="117" w:line="307" w:lineRule="auto"/>
        <w:ind w:left="1467" w:right="1415" w:hanging="2"/>
        <w:rPr>
          <w:sz w:val="24"/>
          <w:szCs w:val="24"/>
        </w:rPr>
      </w:pPr>
      <w:r>
        <w:rPr>
          <w:spacing w:val="-20"/>
          <w:sz w:val="24"/>
          <w:szCs w:val="24"/>
        </w:rPr>
        <w:t>需要通过招标方式确定的材料、设备，招标办依照公司有关规定进行招标；在公司合作伙伴信</w:t>
      </w:r>
      <w:r>
        <w:rPr>
          <w:spacing w:val="-21"/>
          <w:sz w:val="24"/>
          <w:szCs w:val="24"/>
        </w:rPr>
        <w:t>息库建立前公司各部门均可提供供应商、合作商信息；-</w:t>
      </w:r>
      <w:r>
        <w:rPr>
          <w:spacing w:val="-22"/>
          <w:sz w:val="24"/>
          <w:szCs w:val="24"/>
        </w:rPr>
        <w:t>采购部配合招标办进行招标。</w:t>
      </w:r>
    </w:p>
    <w:p w14:paraId="02BB50EF">
      <w:pPr>
        <w:pStyle w:val="2"/>
        <w:spacing w:before="2" w:line="218" w:lineRule="auto"/>
        <w:ind w:left="1927"/>
        <w:rPr>
          <w:sz w:val="24"/>
          <w:szCs w:val="24"/>
        </w:rPr>
      </w:pPr>
      <w:r>
        <w:rPr>
          <w:spacing w:val="-20"/>
          <w:sz w:val="24"/>
          <w:szCs w:val="24"/>
        </w:rPr>
        <w:t>(2)直接采购方式</w:t>
      </w:r>
    </w:p>
    <w:p w14:paraId="20F06322">
      <w:pPr>
        <w:pStyle w:val="2"/>
        <w:spacing w:before="118" w:line="218" w:lineRule="auto"/>
        <w:ind w:left="1896"/>
        <w:rPr>
          <w:sz w:val="24"/>
          <w:szCs w:val="24"/>
        </w:rPr>
      </w:pPr>
      <w:r>
        <w:rPr>
          <w:spacing w:val="-21"/>
          <w:sz w:val="24"/>
          <w:szCs w:val="24"/>
        </w:rPr>
        <w:t>可采取询价、议价方式确认；</w:t>
      </w:r>
    </w:p>
    <w:p w14:paraId="63A7401B">
      <w:pPr>
        <w:pStyle w:val="2"/>
        <w:spacing w:before="115" w:line="308" w:lineRule="auto"/>
        <w:ind w:left="1458" w:right="1412" w:firstLine="434"/>
        <w:rPr>
          <w:sz w:val="24"/>
          <w:szCs w:val="24"/>
        </w:rPr>
      </w:pPr>
      <w:r>
        <w:rPr>
          <w:spacing w:val="-21"/>
          <w:sz w:val="24"/>
          <w:szCs w:val="24"/>
        </w:rPr>
        <w:t>询价单位不得少于3家，有关询价信息填入报价汇总表；采购</w:t>
      </w:r>
      <w:r>
        <w:rPr>
          <w:spacing w:val="-22"/>
          <w:sz w:val="24"/>
          <w:szCs w:val="24"/>
        </w:rPr>
        <w:t>部填写《甲供材料设备审批</w:t>
      </w:r>
      <w:r>
        <w:rPr>
          <w:spacing w:val="-23"/>
          <w:sz w:val="24"/>
          <w:szCs w:val="24"/>
        </w:rPr>
        <w:t>表》，经审核批准后方可实施采购。5000元以上的采购必须签订采购合</w:t>
      </w:r>
      <w:r>
        <w:rPr>
          <w:spacing w:val="-24"/>
          <w:sz w:val="24"/>
          <w:szCs w:val="24"/>
        </w:rPr>
        <w:t>同。</w:t>
      </w:r>
    </w:p>
    <w:p w14:paraId="43482139">
      <w:pPr>
        <w:pStyle w:val="2"/>
        <w:spacing w:before="1" w:line="215" w:lineRule="auto"/>
        <w:ind w:left="1886"/>
        <w:rPr>
          <w:sz w:val="24"/>
          <w:szCs w:val="24"/>
        </w:rPr>
      </w:pPr>
      <w:r>
        <w:rPr>
          <w:spacing w:val="-17"/>
          <w:sz w:val="24"/>
          <w:szCs w:val="24"/>
        </w:rPr>
        <w:t>8、封样核准程序</w:t>
      </w:r>
    </w:p>
    <w:p w14:paraId="08D5D83A">
      <w:pPr>
        <w:pStyle w:val="2"/>
        <w:spacing w:before="118" w:line="295" w:lineRule="auto"/>
        <w:ind w:left="1460" w:right="1410" w:firstLine="432"/>
        <w:rPr>
          <w:sz w:val="24"/>
          <w:szCs w:val="24"/>
        </w:rPr>
      </w:pPr>
      <w:r>
        <w:rPr>
          <w:spacing w:val="-22"/>
          <w:sz w:val="24"/>
          <w:szCs w:val="24"/>
        </w:rPr>
        <w:t>（1）采购部在询价、谈判过程中，签订《采购合同》之前，要求供应商提供签字盖</w:t>
      </w:r>
      <w:r>
        <w:rPr>
          <w:spacing w:val="-23"/>
          <w:sz w:val="24"/>
          <w:szCs w:val="24"/>
        </w:rPr>
        <w:t>章、封</w:t>
      </w:r>
      <w:r>
        <w:rPr>
          <w:spacing w:val="-22"/>
          <w:sz w:val="24"/>
          <w:szCs w:val="24"/>
        </w:rPr>
        <w:t>存的样品，作为投标、报价的实物依据。</w:t>
      </w:r>
    </w:p>
    <w:p w14:paraId="70CC8CF9">
      <w:pPr>
        <w:pStyle w:val="2"/>
        <w:spacing w:before="1" w:line="218" w:lineRule="auto"/>
        <w:ind w:left="2010"/>
        <w:outlineLvl w:val="2"/>
        <w:rPr>
          <w:sz w:val="28"/>
          <w:szCs w:val="28"/>
        </w:rPr>
      </w:pPr>
      <w:bookmarkStart w:id="219" w:name="bookmark211"/>
      <w:bookmarkEnd w:id="219"/>
      <w:r>
        <w:rPr>
          <w:b/>
          <w:bCs/>
          <w:spacing w:val="-25"/>
          <w:sz w:val="28"/>
          <w:szCs w:val="28"/>
        </w:rPr>
        <w:t>四、甲供材管理流程</w:t>
      </w:r>
    </w:p>
    <w:p w14:paraId="271B9665">
      <w:pPr>
        <w:pStyle w:val="2"/>
        <w:spacing w:before="102" w:line="215" w:lineRule="auto"/>
        <w:ind w:left="1901"/>
        <w:rPr>
          <w:sz w:val="24"/>
          <w:szCs w:val="24"/>
        </w:rPr>
      </w:pPr>
      <w:r>
        <w:rPr>
          <w:spacing w:val="-19"/>
          <w:sz w:val="24"/>
          <w:szCs w:val="24"/>
        </w:rPr>
        <w:t>为了确保公司在甲供材供应上准确、及时，明确采购部、成本控</w:t>
      </w:r>
      <w:r>
        <w:rPr>
          <w:spacing w:val="-20"/>
          <w:sz w:val="24"/>
          <w:szCs w:val="24"/>
        </w:rPr>
        <w:t>制部、项目部、供货商、</w:t>
      </w:r>
    </w:p>
    <w:p w14:paraId="20F9AC98">
      <w:pPr>
        <w:spacing w:line="215" w:lineRule="auto"/>
        <w:rPr>
          <w:sz w:val="24"/>
          <w:szCs w:val="24"/>
        </w:rPr>
        <w:sectPr>
          <w:footerReference r:id="rId290" w:type="default"/>
          <w:pgSz w:w="11907" w:h="16839"/>
          <w:pgMar w:top="933" w:right="4" w:bottom="1038" w:left="0" w:header="478" w:footer="357" w:gutter="0"/>
          <w:pgBorders>
            <w:top w:val="none" w:sz="0" w:space="0"/>
            <w:left w:val="none" w:sz="0" w:space="0"/>
            <w:bottom w:val="none" w:sz="0" w:space="0"/>
            <w:right w:val="none" w:sz="0" w:space="0"/>
          </w:pgBorders>
          <w:cols w:space="720" w:num="1"/>
        </w:sectPr>
      </w:pPr>
    </w:p>
    <w:p w14:paraId="37D547D7">
      <w:pPr>
        <w:spacing w:line="271" w:lineRule="auto"/>
        <w:rPr>
          <w:rFonts w:ascii="Arial"/>
          <w:sz w:val="21"/>
        </w:rPr>
      </w:pPr>
    </w:p>
    <w:p w14:paraId="7D09E85D">
      <w:pPr>
        <w:pStyle w:val="2"/>
        <w:spacing w:before="78" w:line="217" w:lineRule="auto"/>
        <w:ind w:left="1455"/>
        <w:rPr>
          <w:sz w:val="24"/>
          <w:szCs w:val="24"/>
        </w:rPr>
      </w:pPr>
      <w:r>
        <w:rPr>
          <w:spacing w:val="-21"/>
          <w:sz w:val="24"/>
          <w:szCs w:val="24"/>
        </w:rPr>
        <w:t>施工单位责任，制订本管理办法。</w:t>
      </w:r>
    </w:p>
    <w:p w14:paraId="45E7F4E1">
      <w:pPr>
        <w:spacing w:line="38" w:lineRule="auto"/>
        <w:rPr>
          <w:rFonts w:ascii="Arial"/>
          <w:sz w:val="2"/>
        </w:rPr>
      </w:pPr>
    </w:p>
    <w:tbl>
      <w:tblPr>
        <w:tblStyle w:val="6"/>
        <w:tblW w:w="9358" w:type="dxa"/>
        <w:tblInd w:w="127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39"/>
        <w:gridCol w:w="697"/>
        <w:gridCol w:w="2120"/>
        <w:gridCol w:w="6239"/>
        <w:gridCol w:w="63"/>
      </w:tblGrid>
      <w:tr w14:paraId="055F47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7" w:hRule="atLeast"/>
        </w:trPr>
        <w:tc>
          <w:tcPr>
            <w:tcW w:w="936" w:type="dxa"/>
            <w:gridSpan w:val="2"/>
            <w:tcBorders>
              <w:top w:val="single" w:color="000000" w:sz="4" w:space="0"/>
              <w:left w:val="single" w:color="000000" w:sz="4" w:space="0"/>
            </w:tcBorders>
            <w:shd w:val="clear" w:color="auto" w:fill="DEEAF6"/>
            <w:vAlign w:val="top"/>
          </w:tcPr>
          <w:p w14:paraId="1A21D6B6">
            <w:pPr>
              <w:pStyle w:val="7"/>
              <w:spacing w:before="127" w:line="218" w:lineRule="auto"/>
              <w:ind w:left="262"/>
            </w:pPr>
            <w:r>
              <w:rPr>
                <w:b/>
                <w:bCs/>
                <w:spacing w:val="-12"/>
              </w:rPr>
              <w:t>序号</w:t>
            </w:r>
          </w:p>
        </w:tc>
        <w:tc>
          <w:tcPr>
            <w:tcW w:w="2120" w:type="dxa"/>
            <w:tcBorders>
              <w:top w:val="single" w:color="000000" w:sz="4" w:space="0"/>
            </w:tcBorders>
            <w:shd w:val="clear" w:color="auto" w:fill="DEEAF6"/>
            <w:vAlign w:val="top"/>
          </w:tcPr>
          <w:p w14:paraId="5E9B8C34">
            <w:pPr>
              <w:pStyle w:val="7"/>
              <w:spacing w:before="126" w:line="217" w:lineRule="auto"/>
              <w:ind w:left="846"/>
            </w:pPr>
            <w:r>
              <w:rPr>
                <w:b/>
                <w:bCs/>
                <w:spacing w:val="-13"/>
              </w:rPr>
              <w:t>名称</w:t>
            </w:r>
          </w:p>
        </w:tc>
        <w:tc>
          <w:tcPr>
            <w:tcW w:w="6302" w:type="dxa"/>
            <w:gridSpan w:val="2"/>
            <w:tcBorders>
              <w:top w:val="single" w:color="5B9BD5" w:sz="4" w:space="0"/>
              <w:right w:val="single" w:color="5B9BD5" w:sz="4" w:space="0"/>
            </w:tcBorders>
            <w:shd w:val="clear" w:color="auto" w:fill="DEEAF6"/>
            <w:vAlign w:val="top"/>
          </w:tcPr>
          <w:p w14:paraId="63E9F0BA">
            <w:pPr>
              <w:pStyle w:val="7"/>
              <w:spacing w:before="127" w:line="218" w:lineRule="auto"/>
              <w:ind w:left="2965"/>
            </w:pPr>
            <w:r>
              <w:rPr>
                <w:b/>
                <w:bCs/>
                <w:spacing w:val="-20"/>
              </w:rPr>
              <w:t>内容</w:t>
            </w:r>
          </w:p>
        </w:tc>
      </w:tr>
      <w:tr w14:paraId="10B822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33" w:hRule="atLeast"/>
        </w:trPr>
        <w:tc>
          <w:tcPr>
            <w:tcW w:w="936" w:type="dxa"/>
            <w:gridSpan w:val="2"/>
            <w:tcBorders>
              <w:top w:val="single" w:color="DEEAF6" w:sz="22" w:space="0"/>
              <w:left w:val="single" w:color="000000" w:sz="4" w:space="0"/>
            </w:tcBorders>
            <w:vAlign w:val="top"/>
          </w:tcPr>
          <w:p w14:paraId="3B340DB6">
            <w:pPr>
              <w:spacing w:line="257" w:lineRule="auto"/>
              <w:rPr>
                <w:rFonts w:ascii="Arial"/>
                <w:sz w:val="21"/>
              </w:rPr>
            </w:pPr>
          </w:p>
          <w:p w14:paraId="6EA80056">
            <w:pPr>
              <w:spacing w:line="257" w:lineRule="auto"/>
              <w:rPr>
                <w:rFonts w:ascii="Arial"/>
                <w:sz w:val="21"/>
              </w:rPr>
            </w:pPr>
          </w:p>
          <w:p w14:paraId="3B6D2BA4">
            <w:pPr>
              <w:spacing w:line="257" w:lineRule="auto"/>
              <w:rPr>
                <w:rFonts w:ascii="Arial"/>
                <w:sz w:val="21"/>
              </w:rPr>
            </w:pPr>
          </w:p>
          <w:p w14:paraId="73AC80D1">
            <w:pPr>
              <w:spacing w:line="258" w:lineRule="auto"/>
              <w:rPr>
                <w:rFonts w:ascii="Arial"/>
                <w:sz w:val="21"/>
              </w:rPr>
            </w:pPr>
          </w:p>
          <w:p w14:paraId="1A2957A8">
            <w:pPr>
              <w:spacing w:line="258" w:lineRule="auto"/>
              <w:rPr>
                <w:rFonts w:ascii="Arial"/>
                <w:sz w:val="21"/>
              </w:rPr>
            </w:pPr>
          </w:p>
          <w:p w14:paraId="7A1E929D">
            <w:pPr>
              <w:spacing w:line="258" w:lineRule="auto"/>
              <w:rPr>
                <w:rFonts w:ascii="Arial"/>
                <w:sz w:val="21"/>
              </w:rPr>
            </w:pPr>
          </w:p>
          <w:p w14:paraId="669CF17A">
            <w:pPr>
              <w:spacing w:line="258" w:lineRule="auto"/>
              <w:rPr>
                <w:rFonts w:ascii="Arial"/>
                <w:sz w:val="21"/>
              </w:rPr>
            </w:pPr>
          </w:p>
          <w:p w14:paraId="76E07919">
            <w:pPr>
              <w:spacing w:line="258" w:lineRule="auto"/>
              <w:rPr>
                <w:rFonts w:ascii="Arial"/>
                <w:sz w:val="21"/>
              </w:rPr>
            </w:pPr>
          </w:p>
          <w:p w14:paraId="6E378C48">
            <w:pPr>
              <w:spacing w:line="258" w:lineRule="auto"/>
              <w:rPr>
                <w:rFonts w:ascii="Arial"/>
                <w:sz w:val="21"/>
              </w:rPr>
            </w:pPr>
          </w:p>
          <w:p w14:paraId="0D4DB2FC">
            <w:pPr>
              <w:pStyle w:val="7"/>
              <w:spacing w:before="78" w:line="238" w:lineRule="auto"/>
              <w:ind w:left="438"/>
            </w:pPr>
            <w:r>
              <w:t>1</w:t>
            </w:r>
          </w:p>
        </w:tc>
        <w:tc>
          <w:tcPr>
            <w:tcW w:w="2120" w:type="dxa"/>
            <w:tcBorders>
              <w:top w:val="single" w:color="DEEAF6" w:sz="22" w:space="0"/>
            </w:tcBorders>
            <w:vAlign w:val="top"/>
          </w:tcPr>
          <w:p w14:paraId="44E7D9B8">
            <w:pPr>
              <w:spacing w:line="257" w:lineRule="auto"/>
              <w:rPr>
                <w:rFonts w:ascii="Arial"/>
                <w:sz w:val="21"/>
              </w:rPr>
            </w:pPr>
          </w:p>
          <w:p w14:paraId="1EDCDA20">
            <w:pPr>
              <w:spacing w:line="257" w:lineRule="auto"/>
              <w:rPr>
                <w:rFonts w:ascii="Arial"/>
                <w:sz w:val="21"/>
              </w:rPr>
            </w:pPr>
          </w:p>
          <w:p w14:paraId="3D5EA859">
            <w:pPr>
              <w:spacing w:line="257" w:lineRule="auto"/>
              <w:rPr>
                <w:rFonts w:ascii="Arial"/>
                <w:sz w:val="21"/>
              </w:rPr>
            </w:pPr>
          </w:p>
          <w:p w14:paraId="18DC68CA">
            <w:pPr>
              <w:spacing w:line="257" w:lineRule="auto"/>
              <w:rPr>
                <w:rFonts w:ascii="Arial"/>
                <w:sz w:val="21"/>
              </w:rPr>
            </w:pPr>
          </w:p>
          <w:p w14:paraId="72601FF0">
            <w:pPr>
              <w:spacing w:line="258" w:lineRule="auto"/>
              <w:rPr>
                <w:rFonts w:ascii="Arial"/>
                <w:sz w:val="21"/>
              </w:rPr>
            </w:pPr>
          </w:p>
          <w:p w14:paraId="1BD48B3E">
            <w:pPr>
              <w:spacing w:line="258" w:lineRule="auto"/>
              <w:rPr>
                <w:rFonts w:ascii="Arial"/>
                <w:sz w:val="21"/>
              </w:rPr>
            </w:pPr>
          </w:p>
          <w:p w14:paraId="2BE02962">
            <w:pPr>
              <w:spacing w:line="258" w:lineRule="auto"/>
              <w:rPr>
                <w:rFonts w:ascii="Arial"/>
                <w:sz w:val="21"/>
              </w:rPr>
            </w:pPr>
          </w:p>
          <w:p w14:paraId="31592AB3">
            <w:pPr>
              <w:spacing w:line="258" w:lineRule="auto"/>
              <w:rPr>
                <w:rFonts w:ascii="Arial"/>
                <w:sz w:val="21"/>
              </w:rPr>
            </w:pPr>
          </w:p>
          <w:p w14:paraId="476C5C25">
            <w:pPr>
              <w:spacing w:line="258" w:lineRule="auto"/>
              <w:rPr>
                <w:rFonts w:ascii="Arial"/>
                <w:sz w:val="21"/>
              </w:rPr>
            </w:pPr>
          </w:p>
          <w:p w14:paraId="24AC3782">
            <w:pPr>
              <w:pStyle w:val="7"/>
              <w:spacing w:before="78" w:line="218" w:lineRule="auto"/>
              <w:ind w:left="551"/>
            </w:pPr>
            <w:r>
              <w:rPr>
                <w:spacing w:val="-23"/>
              </w:rPr>
              <w:t>甲供材计划</w:t>
            </w:r>
          </w:p>
        </w:tc>
        <w:tc>
          <w:tcPr>
            <w:tcW w:w="6239" w:type="dxa"/>
            <w:tcBorders>
              <w:top w:val="single" w:color="DEEAF6" w:sz="22" w:space="0"/>
              <w:right w:val="nil"/>
            </w:tcBorders>
            <w:vAlign w:val="top"/>
          </w:tcPr>
          <w:p w14:paraId="47A9AC69">
            <w:pPr>
              <w:pStyle w:val="7"/>
              <w:spacing w:before="77" w:line="217" w:lineRule="auto"/>
              <w:ind w:right="2"/>
              <w:jc w:val="right"/>
            </w:pPr>
            <w:r>
              <w:rPr>
                <w:spacing w:val="-22"/>
              </w:rPr>
              <w:t>依据总</w:t>
            </w:r>
            <w:r>
              <w:rPr>
                <w:spacing w:val="-21"/>
              </w:rPr>
              <w:t>包合同和公司确定的甲供材种类，根据工程进度计划</w:t>
            </w:r>
            <w:r>
              <w:rPr>
                <w:spacing w:val="-22"/>
              </w:rPr>
              <w:t>和</w:t>
            </w:r>
            <w:r>
              <w:rPr>
                <w:spacing w:val="-19"/>
              </w:rPr>
              <w:t>材</w:t>
            </w:r>
          </w:p>
          <w:p w14:paraId="4F8523B5">
            <w:pPr>
              <w:pStyle w:val="7"/>
              <w:spacing w:before="183" w:line="216" w:lineRule="auto"/>
              <w:ind w:right="3"/>
              <w:jc w:val="right"/>
            </w:pPr>
            <w:r>
              <w:rPr>
                <w:spacing w:val="-22"/>
              </w:rPr>
              <w:t>料的</w:t>
            </w:r>
            <w:r>
              <w:rPr>
                <w:spacing w:val="-21"/>
              </w:rPr>
              <w:t>采购周期，由采购部编制全年采购计划，采购计划要求成</w:t>
            </w:r>
            <w:r>
              <w:rPr>
                <w:spacing w:val="-19"/>
              </w:rPr>
              <w:t>本</w:t>
            </w:r>
          </w:p>
          <w:p w14:paraId="43972613">
            <w:pPr>
              <w:pStyle w:val="7"/>
              <w:spacing w:before="187" w:line="216" w:lineRule="auto"/>
              <w:ind w:right="3"/>
              <w:jc w:val="right"/>
            </w:pPr>
            <w:r>
              <w:rPr>
                <w:spacing w:val="-21"/>
              </w:rPr>
              <w:t>控制部和项目部会签并备案，项目部依据工程进度情况预</w:t>
            </w:r>
            <w:r>
              <w:rPr>
                <w:spacing w:val="-22"/>
              </w:rPr>
              <w:t>先和采</w:t>
            </w:r>
          </w:p>
          <w:p w14:paraId="310A20DB">
            <w:pPr>
              <w:pStyle w:val="7"/>
              <w:spacing w:before="184" w:line="216" w:lineRule="auto"/>
              <w:ind w:right="3"/>
              <w:jc w:val="right"/>
            </w:pPr>
            <w:r>
              <w:rPr>
                <w:spacing w:val="-21"/>
              </w:rPr>
              <w:t>购部书面沟通材料进场的调整时间，并及时要求施工单位按</w:t>
            </w:r>
            <w:r>
              <w:rPr>
                <w:spacing w:val="-22"/>
              </w:rPr>
              <w:t>照施</w:t>
            </w:r>
          </w:p>
          <w:p w14:paraId="5E640D9A">
            <w:pPr>
              <w:pStyle w:val="7"/>
              <w:spacing w:before="187" w:line="216" w:lineRule="auto"/>
              <w:ind w:right="4"/>
              <w:jc w:val="right"/>
            </w:pPr>
            <w:r>
              <w:rPr>
                <w:spacing w:val="-21"/>
              </w:rPr>
              <w:t>工图纸、设计变更等技术文件提报《甲供材</w:t>
            </w:r>
            <w:r>
              <w:rPr>
                <w:spacing w:val="-22"/>
              </w:rPr>
              <w:t>料用量表》上报项目</w:t>
            </w:r>
          </w:p>
          <w:p w14:paraId="58A9B0F3">
            <w:pPr>
              <w:pStyle w:val="7"/>
              <w:spacing w:before="185" w:line="216" w:lineRule="auto"/>
              <w:ind w:right="4"/>
              <w:jc w:val="right"/>
            </w:pPr>
            <w:r>
              <w:rPr>
                <w:spacing w:val="-21"/>
              </w:rPr>
              <w:t>部，此《甲供材料用量表》经项目部审核、成本控制部</w:t>
            </w:r>
            <w:r>
              <w:rPr>
                <w:spacing w:val="-22"/>
              </w:rPr>
              <w:t>复核确定</w:t>
            </w:r>
          </w:p>
          <w:p w14:paraId="3D695C5B">
            <w:pPr>
              <w:pStyle w:val="7"/>
              <w:spacing w:before="187" w:line="216" w:lineRule="auto"/>
              <w:ind w:left="645"/>
            </w:pPr>
            <w:r>
              <w:rPr>
                <w:spacing w:val="-21"/>
              </w:rPr>
              <w:t>规格、数量后，由采购部与供方签订材料采购合同。</w:t>
            </w:r>
          </w:p>
          <w:p w14:paraId="68ABE9A3">
            <w:pPr>
              <w:pStyle w:val="7"/>
              <w:spacing w:before="186" w:line="217" w:lineRule="auto"/>
              <w:ind w:right="3"/>
              <w:jc w:val="right"/>
            </w:pPr>
            <w:r>
              <w:rPr>
                <w:spacing w:val="-23"/>
              </w:rPr>
              <w:t>甲供材采购合同签订后，采购</w:t>
            </w:r>
            <w:r>
              <w:rPr>
                <w:spacing w:val="-22"/>
              </w:rPr>
              <w:t>部及时发放给成本控</w:t>
            </w:r>
            <w:r>
              <w:rPr>
                <w:spacing w:val="-23"/>
              </w:rPr>
              <w:t>制部、项目</w:t>
            </w:r>
            <w:r>
              <w:rPr>
                <w:spacing w:val="-10"/>
              </w:rPr>
              <w:t>部</w:t>
            </w:r>
          </w:p>
          <w:p w14:paraId="326B218A">
            <w:pPr>
              <w:pStyle w:val="7"/>
              <w:spacing w:before="186" w:line="216" w:lineRule="auto"/>
              <w:ind w:right="3"/>
              <w:jc w:val="right"/>
            </w:pPr>
            <w:r>
              <w:rPr>
                <w:spacing w:val="-25"/>
              </w:rPr>
              <w:t>和其他相关部门，同时编制《材料进场联系表》，并根据需要向</w:t>
            </w:r>
          </w:p>
          <w:p w14:paraId="14BCF962">
            <w:pPr>
              <w:pStyle w:val="7"/>
              <w:spacing w:before="185" w:line="215" w:lineRule="auto"/>
              <w:ind w:right="3"/>
              <w:jc w:val="right"/>
            </w:pPr>
            <w:r>
              <w:rPr>
                <w:spacing w:val="-22"/>
              </w:rPr>
              <w:t>相关</w:t>
            </w:r>
            <w:r>
              <w:rPr>
                <w:spacing w:val="-21"/>
              </w:rPr>
              <w:t>人员发放或召开现场会议。需要确定材料样板的将</w:t>
            </w:r>
            <w:r>
              <w:rPr>
                <w:spacing w:val="-22"/>
              </w:rPr>
              <w:t>确认的</w:t>
            </w:r>
            <w:r>
              <w:rPr>
                <w:spacing w:val="-20"/>
              </w:rPr>
              <w:t>材</w:t>
            </w:r>
          </w:p>
          <w:p w14:paraId="121A0FFA">
            <w:pPr>
              <w:pStyle w:val="7"/>
              <w:spacing w:before="188" w:line="215" w:lineRule="auto"/>
              <w:ind w:left="1300"/>
            </w:pPr>
            <w:r>
              <w:rPr>
                <w:spacing w:val="-21"/>
              </w:rPr>
              <w:t>料封样送达施工现场交付项目部封存。</w:t>
            </w:r>
          </w:p>
        </w:tc>
        <w:tc>
          <w:tcPr>
            <w:tcW w:w="63" w:type="dxa"/>
            <w:tcBorders>
              <w:top w:val="single" w:color="DEEAF6" w:sz="22" w:space="0"/>
              <w:left w:val="nil"/>
              <w:right w:val="single" w:color="000000" w:sz="4" w:space="0"/>
            </w:tcBorders>
            <w:vAlign w:val="top"/>
          </w:tcPr>
          <w:p w14:paraId="03330E45">
            <w:pPr>
              <w:spacing w:line="42" w:lineRule="exact"/>
              <w:ind w:firstLine="25"/>
            </w:pPr>
            <w:r>
              <w:pict>
                <v:group id="_x0000_s3785" o:spid="_x0000_s3785" o:spt="203" style="height:3.4pt;width:1.45pt;" coordsize="29,68">
                  <o:lock v:ext="edit"/>
                  <v:shape id="_x0000_s3786" o:spid="_x0000_s3786" style="position:absolute;left:14;top:0;height:68;width:15;" fillcolor="#20507B" filled="t" stroked="f" coordsize="15,68" path="m0,67l14,67,14,0,0,0,0,67xe">
                    <v:path/>
                    <v:fill on="t" focussize="0,0"/>
                    <v:stroke on="f"/>
                    <v:imagedata o:title=""/>
                    <o:lock v:ext="edit"/>
                  </v:shape>
                  <v:shape id="_x0000_s3787" o:spid="_x0000_s3787" style="position:absolute;left:0;top:0;height:68;width:15;" fillcolor="#1C456A" filled="t" stroked="f" coordsize="15,68" path="m0,67l14,67,14,0,0,0,0,67xe">
                    <v:path/>
                    <v:fill on="t" focussize="0,0"/>
                    <v:stroke on="f"/>
                    <v:imagedata o:title=""/>
                    <o:lock v:ext="edit"/>
                  </v:shape>
                  <w10:wrap type="none"/>
                  <w10:anchorlock/>
                </v:group>
              </w:pict>
            </w:r>
          </w:p>
        </w:tc>
      </w:tr>
      <w:tr w14:paraId="44440C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51" w:hRule="atLeast"/>
        </w:trPr>
        <w:tc>
          <w:tcPr>
            <w:tcW w:w="936" w:type="dxa"/>
            <w:gridSpan w:val="2"/>
            <w:tcBorders>
              <w:left w:val="single" w:color="000000" w:sz="4" w:space="0"/>
            </w:tcBorders>
            <w:vAlign w:val="top"/>
          </w:tcPr>
          <w:p w14:paraId="136308E3">
            <w:pPr>
              <w:spacing w:line="274" w:lineRule="auto"/>
              <w:rPr>
                <w:rFonts w:ascii="Arial"/>
                <w:sz w:val="21"/>
              </w:rPr>
            </w:pPr>
          </w:p>
          <w:p w14:paraId="2159DB49">
            <w:pPr>
              <w:spacing w:line="274" w:lineRule="auto"/>
              <w:rPr>
                <w:rFonts w:ascii="Arial"/>
                <w:sz w:val="21"/>
              </w:rPr>
            </w:pPr>
          </w:p>
          <w:p w14:paraId="6A4AF822">
            <w:pPr>
              <w:spacing w:line="274" w:lineRule="auto"/>
              <w:rPr>
                <w:rFonts w:ascii="Arial"/>
                <w:sz w:val="21"/>
              </w:rPr>
            </w:pPr>
          </w:p>
          <w:p w14:paraId="3E7D916F">
            <w:pPr>
              <w:spacing w:line="274" w:lineRule="auto"/>
              <w:rPr>
                <w:rFonts w:ascii="Arial"/>
                <w:sz w:val="21"/>
              </w:rPr>
            </w:pPr>
          </w:p>
          <w:p w14:paraId="22E16170">
            <w:pPr>
              <w:spacing w:line="275" w:lineRule="auto"/>
              <w:rPr>
                <w:rFonts w:ascii="Arial"/>
                <w:sz w:val="21"/>
              </w:rPr>
            </w:pPr>
          </w:p>
          <w:p w14:paraId="1A86E466">
            <w:pPr>
              <w:spacing w:line="275" w:lineRule="auto"/>
              <w:rPr>
                <w:rFonts w:ascii="Arial"/>
                <w:sz w:val="21"/>
              </w:rPr>
            </w:pPr>
          </w:p>
          <w:p w14:paraId="5C84256B">
            <w:pPr>
              <w:pStyle w:val="7"/>
              <w:spacing w:before="78" w:line="238" w:lineRule="auto"/>
              <w:ind w:left="423"/>
            </w:pPr>
            <w:r>
              <w:t>2</w:t>
            </w:r>
          </w:p>
        </w:tc>
        <w:tc>
          <w:tcPr>
            <w:tcW w:w="2120" w:type="dxa"/>
            <w:vAlign w:val="top"/>
          </w:tcPr>
          <w:p w14:paraId="403202DA">
            <w:pPr>
              <w:spacing w:line="274" w:lineRule="auto"/>
              <w:rPr>
                <w:rFonts w:ascii="Arial"/>
                <w:sz w:val="21"/>
              </w:rPr>
            </w:pPr>
          </w:p>
          <w:p w14:paraId="6EC0DD3A">
            <w:pPr>
              <w:spacing w:line="274" w:lineRule="auto"/>
              <w:rPr>
                <w:rFonts w:ascii="Arial"/>
                <w:sz w:val="21"/>
              </w:rPr>
            </w:pPr>
          </w:p>
          <w:p w14:paraId="2F37C545">
            <w:pPr>
              <w:spacing w:line="274" w:lineRule="auto"/>
              <w:rPr>
                <w:rFonts w:ascii="Arial"/>
                <w:sz w:val="21"/>
              </w:rPr>
            </w:pPr>
          </w:p>
          <w:p w14:paraId="45E06D2B">
            <w:pPr>
              <w:spacing w:line="274" w:lineRule="auto"/>
              <w:rPr>
                <w:rFonts w:ascii="Arial"/>
                <w:sz w:val="21"/>
              </w:rPr>
            </w:pPr>
          </w:p>
          <w:p w14:paraId="51A8BCE1">
            <w:pPr>
              <w:spacing w:line="274" w:lineRule="auto"/>
              <w:rPr>
                <w:rFonts w:ascii="Arial"/>
                <w:sz w:val="21"/>
              </w:rPr>
            </w:pPr>
          </w:p>
          <w:p w14:paraId="7D7694F8">
            <w:pPr>
              <w:spacing w:line="275" w:lineRule="auto"/>
              <w:rPr>
                <w:rFonts w:ascii="Arial"/>
                <w:sz w:val="21"/>
              </w:rPr>
            </w:pPr>
          </w:p>
          <w:p w14:paraId="5CDED8BE">
            <w:pPr>
              <w:pStyle w:val="7"/>
              <w:spacing w:before="79" w:line="218" w:lineRule="auto"/>
              <w:ind w:left="332"/>
            </w:pPr>
            <w:r>
              <w:rPr>
                <w:spacing w:val="-23"/>
              </w:rPr>
              <w:t>甲供材供货管理</w:t>
            </w:r>
          </w:p>
        </w:tc>
        <w:tc>
          <w:tcPr>
            <w:tcW w:w="6239" w:type="dxa"/>
            <w:tcBorders>
              <w:right w:val="nil"/>
            </w:tcBorders>
            <w:vAlign w:val="top"/>
          </w:tcPr>
          <w:p w14:paraId="1C896A7D">
            <w:pPr>
              <w:pStyle w:val="7"/>
              <w:spacing w:before="99" w:line="218" w:lineRule="auto"/>
              <w:ind w:left="102"/>
            </w:pPr>
            <w:r>
              <w:rPr>
                <w:spacing w:val="-22"/>
              </w:rPr>
              <w:t>项目部按照实际工程进度、供货批次等对甲供材的进场时间、进</w:t>
            </w:r>
          </w:p>
          <w:p w14:paraId="477DFCDF">
            <w:pPr>
              <w:pStyle w:val="7"/>
              <w:spacing w:before="184" w:line="216" w:lineRule="auto"/>
              <w:ind w:right="6"/>
              <w:jc w:val="right"/>
            </w:pPr>
            <w:r>
              <w:rPr>
                <w:spacing w:val="-21"/>
              </w:rPr>
              <w:t>场数量进行调配及管理，采购部负责甲供材的跟踪</w:t>
            </w:r>
            <w:r>
              <w:rPr>
                <w:spacing w:val="-22"/>
              </w:rPr>
              <w:t>管理工作，并</w:t>
            </w:r>
          </w:p>
          <w:p w14:paraId="5BB3F612">
            <w:pPr>
              <w:pStyle w:val="7"/>
              <w:spacing w:before="184" w:line="217" w:lineRule="auto"/>
              <w:ind w:left="865"/>
            </w:pPr>
            <w:r>
              <w:rPr>
                <w:spacing w:val="-21"/>
              </w:rPr>
              <w:t>根据工程需要定期组织召开甲供材供货协调会。</w:t>
            </w:r>
          </w:p>
          <w:p w14:paraId="51721FF9">
            <w:pPr>
              <w:pStyle w:val="7"/>
              <w:spacing w:before="186" w:line="217" w:lineRule="auto"/>
              <w:ind w:right="3"/>
              <w:jc w:val="right"/>
            </w:pPr>
            <w:r>
              <w:rPr>
                <w:spacing w:val="-22"/>
              </w:rPr>
              <w:t>甲供材货到现场后，项目部负责组织用货施工单位</w:t>
            </w:r>
            <w:r>
              <w:rPr>
                <w:spacing w:val="-23"/>
              </w:rPr>
              <w:t>、监理单位、</w:t>
            </w:r>
          </w:p>
          <w:p w14:paraId="4DCB8488">
            <w:pPr>
              <w:pStyle w:val="7"/>
              <w:spacing w:before="183" w:line="216" w:lineRule="auto"/>
              <w:ind w:right="3"/>
              <w:jc w:val="right"/>
            </w:pPr>
            <w:r>
              <w:rPr>
                <w:spacing w:val="-21"/>
              </w:rPr>
              <w:t>供货单位共同对到货甲供材进行验收并填写《材料（设</w:t>
            </w:r>
            <w:r>
              <w:rPr>
                <w:spacing w:val="-22"/>
              </w:rPr>
              <w:t>备）进场</w:t>
            </w:r>
          </w:p>
          <w:p w14:paraId="7DCBCA03">
            <w:pPr>
              <w:pStyle w:val="7"/>
              <w:spacing w:before="187" w:line="216" w:lineRule="auto"/>
              <w:ind w:right="3"/>
              <w:jc w:val="right"/>
            </w:pPr>
            <w:r>
              <w:rPr>
                <w:spacing w:val="-22"/>
              </w:rPr>
              <w:t>检验报</w:t>
            </w:r>
            <w:r>
              <w:rPr>
                <w:spacing w:val="-21"/>
              </w:rPr>
              <w:t>告》。具体按照材料采购合同或相关质量标准验</w:t>
            </w:r>
            <w:r>
              <w:rPr>
                <w:spacing w:val="-22"/>
              </w:rPr>
              <w:t>收要点</w:t>
            </w:r>
            <w:r>
              <w:rPr>
                <w:spacing w:val="-19"/>
              </w:rPr>
              <w:t>验</w:t>
            </w:r>
          </w:p>
          <w:p w14:paraId="71B58356">
            <w:pPr>
              <w:pStyle w:val="7"/>
              <w:spacing w:before="185" w:line="216" w:lineRule="auto"/>
              <w:ind w:right="4"/>
              <w:jc w:val="right"/>
            </w:pPr>
            <w:r>
              <w:rPr>
                <w:spacing w:val="-25"/>
              </w:rPr>
              <w:t>收，同时组织材料供货单位填写《甲供材料供货确认单》，从而</w:t>
            </w:r>
          </w:p>
          <w:p w14:paraId="2A1CB112">
            <w:pPr>
              <w:pStyle w:val="7"/>
              <w:spacing w:before="187" w:line="216" w:lineRule="auto"/>
              <w:ind w:left="1851"/>
            </w:pPr>
            <w:r>
              <w:rPr>
                <w:spacing w:val="-22"/>
              </w:rPr>
              <w:t>完成甲供材供货确认工作。</w:t>
            </w:r>
          </w:p>
        </w:tc>
        <w:tc>
          <w:tcPr>
            <w:tcW w:w="63" w:type="dxa"/>
            <w:tcBorders>
              <w:left w:val="nil"/>
              <w:right w:val="single" w:color="000000" w:sz="4" w:space="0"/>
            </w:tcBorders>
            <w:vAlign w:val="top"/>
          </w:tcPr>
          <w:p w14:paraId="3765C41E">
            <w:pPr>
              <w:spacing w:line="63" w:lineRule="exact"/>
              <w:ind w:firstLine="25"/>
            </w:pPr>
            <w:r>
              <w:rPr>
                <w:position w:val="-1"/>
              </w:rPr>
              <w:pict>
                <v:group id="_x0000_s3788" o:spid="_x0000_s3788" o:spt="203" style="height:3.4pt;width:1.45pt;" coordsize="29,68">
                  <o:lock v:ext="edit"/>
                  <v:shape id="_x0000_s3789" o:spid="_x0000_s3789" style="position:absolute;left:14;top:0;height:68;width:15;" fillcolor="#20507B" filled="t" stroked="f" coordsize="15,68" path="m0,67l14,67,14,0,0,0,0,67xe">
                    <v:path/>
                    <v:fill on="t" focussize="0,0"/>
                    <v:stroke on="f"/>
                    <v:imagedata o:title=""/>
                    <o:lock v:ext="edit"/>
                  </v:shape>
                  <v:shape id="_x0000_s3790" o:spid="_x0000_s3790" style="position:absolute;left:0;top:0;height:68;width:15;" fillcolor="#1C456A" filled="t" stroked="f" coordsize="15,68" path="m0,67l14,67,14,0,0,0,0,67xe">
                    <v:path/>
                    <v:fill on="t" focussize="0,0"/>
                    <v:stroke on="f"/>
                    <v:imagedata o:title=""/>
                    <o:lock v:ext="edit"/>
                  </v:shape>
                  <w10:wrap type="none"/>
                  <w10:anchorlock/>
                </v:group>
              </w:pict>
            </w:r>
          </w:p>
        </w:tc>
      </w:tr>
      <w:tr w14:paraId="09CE50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59" w:hRule="atLeast"/>
        </w:trPr>
        <w:tc>
          <w:tcPr>
            <w:tcW w:w="239" w:type="dxa"/>
            <w:tcBorders>
              <w:left w:val="single" w:color="1C456A" w:sz="4" w:space="0"/>
              <w:bottom w:val="single" w:color="1C456A" w:sz="4" w:space="0"/>
              <w:right w:val="nil"/>
            </w:tcBorders>
            <w:vAlign w:val="top"/>
          </w:tcPr>
          <w:p w14:paraId="0A584046">
            <w:pPr>
              <w:rPr>
                <w:rFonts w:ascii="Arial"/>
                <w:sz w:val="21"/>
              </w:rPr>
            </w:pPr>
            <w:r>
              <w:pict>
                <v:shape id="_x0000_s3791" o:spid="_x0000_s3791" style="position:absolute;left:0pt;margin-left:-0.25pt;margin-top:78pt;height:0.75pt;width:2.2pt;mso-position-horizontal-relative:page;mso-position-vertical-relative:page;z-index:252216320;mso-width-relative:page;mso-height-relative:page;" fillcolor="#5B9BD5" filled="t" stroked="f" coordsize="44,15" path="m0,14l43,14,43,0,0,0,0,14xe">
                  <v:path/>
                  <v:fill on="t" focussize="0,0"/>
                  <v:stroke on="f"/>
                  <v:imagedata o:title=""/>
                  <o:lock v:ext="edit"/>
                </v:shape>
              </w:pict>
            </w:r>
          </w:p>
        </w:tc>
        <w:tc>
          <w:tcPr>
            <w:tcW w:w="697" w:type="dxa"/>
            <w:tcBorders>
              <w:left w:val="nil"/>
              <w:bottom w:val="single" w:color="1C456A" w:sz="4" w:space="0"/>
            </w:tcBorders>
            <w:vAlign w:val="top"/>
          </w:tcPr>
          <w:p w14:paraId="3F9E270C">
            <w:pPr>
              <w:spacing w:line="244" w:lineRule="auto"/>
              <w:rPr>
                <w:rFonts w:ascii="Arial"/>
                <w:sz w:val="21"/>
              </w:rPr>
            </w:pPr>
          </w:p>
          <w:p w14:paraId="65395209">
            <w:pPr>
              <w:spacing w:line="245" w:lineRule="auto"/>
              <w:rPr>
                <w:rFonts w:ascii="Arial"/>
                <w:sz w:val="21"/>
              </w:rPr>
            </w:pPr>
          </w:p>
          <w:p w14:paraId="0FFA0D45">
            <w:pPr>
              <w:pStyle w:val="7"/>
              <w:spacing w:before="78" w:line="237" w:lineRule="auto"/>
              <w:ind w:left="191"/>
            </w:pPr>
            <w:r>
              <w:t>3</w:t>
            </w:r>
          </w:p>
        </w:tc>
        <w:tc>
          <w:tcPr>
            <w:tcW w:w="2120" w:type="dxa"/>
            <w:tcBorders>
              <w:bottom w:val="single" w:color="000000" w:sz="4" w:space="0"/>
            </w:tcBorders>
            <w:vAlign w:val="top"/>
          </w:tcPr>
          <w:p w14:paraId="6014B698">
            <w:pPr>
              <w:spacing w:line="244" w:lineRule="auto"/>
              <w:rPr>
                <w:rFonts w:ascii="Arial"/>
                <w:sz w:val="21"/>
              </w:rPr>
            </w:pPr>
          </w:p>
          <w:p w14:paraId="743EB569">
            <w:pPr>
              <w:spacing w:line="245" w:lineRule="auto"/>
              <w:rPr>
                <w:rFonts w:ascii="Arial"/>
                <w:sz w:val="21"/>
              </w:rPr>
            </w:pPr>
          </w:p>
          <w:p w14:paraId="051740D9">
            <w:pPr>
              <w:pStyle w:val="7"/>
              <w:spacing w:before="78" w:line="218" w:lineRule="auto"/>
              <w:ind w:left="332"/>
            </w:pPr>
            <w:r>
              <w:rPr>
                <w:spacing w:val="-23"/>
              </w:rPr>
              <w:t>甲供材后期管理</w:t>
            </w:r>
          </w:p>
        </w:tc>
        <w:tc>
          <w:tcPr>
            <w:tcW w:w="6239" w:type="dxa"/>
            <w:tcBorders>
              <w:bottom w:val="single" w:color="5B9BD5" w:sz="4" w:space="0"/>
              <w:right w:val="nil"/>
            </w:tcBorders>
            <w:vAlign w:val="top"/>
          </w:tcPr>
          <w:p w14:paraId="5BC0C21B">
            <w:pPr>
              <w:pStyle w:val="7"/>
              <w:spacing w:before="102" w:line="217" w:lineRule="auto"/>
              <w:ind w:left="157"/>
            </w:pPr>
            <w:r>
              <w:rPr>
                <w:spacing w:val="-21"/>
              </w:rPr>
              <w:t>剩余甲供材的管理和甲供材的调换,由项目部组织用货施工单位</w:t>
            </w:r>
          </w:p>
          <w:p w14:paraId="75819BE7">
            <w:pPr>
              <w:pStyle w:val="7"/>
              <w:spacing w:before="186" w:line="216" w:lineRule="auto"/>
              <w:ind w:right="8"/>
              <w:jc w:val="right"/>
            </w:pPr>
            <w:r>
              <w:rPr>
                <w:spacing w:val="-25"/>
              </w:rPr>
              <w:t>填写《甲供材料返货确认单》，并根据《甲供材料返货确认单》</w:t>
            </w:r>
          </w:p>
          <w:p w14:paraId="5B115FC4">
            <w:pPr>
              <w:pStyle w:val="7"/>
              <w:spacing w:before="185" w:line="216" w:lineRule="auto"/>
              <w:ind w:left="539"/>
            </w:pPr>
            <w:r>
              <w:rPr>
                <w:spacing w:val="-21"/>
              </w:rPr>
              <w:t>协调用货施工单位与甲供材供货单位之间的返货工作。</w:t>
            </w:r>
          </w:p>
        </w:tc>
        <w:tc>
          <w:tcPr>
            <w:tcW w:w="63" w:type="dxa"/>
            <w:tcBorders>
              <w:left w:val="nil"/>
              <w:bottom w:val="single" w:color="5B9BD5" w:sz="4" w:space="0"/>
              <w:right w:val="single" w:color="5B9BD5" w:sz="4" w:space="0"/>
            </w:tcBorders>
            <w:vAlign w:val="top"/>
          </w:tcPr>
          <w:p w14:paraId="2D1BFE17">
            <w:pPr>
              <w:spacing w:line="66" w:lineRule="exact"/>
              <w:ind w:firstLine="25"/>
            </w:pPr>
            <w:r>
              <w:pict>
                <v:shape id="_x0000_s3792" o:spid="_x0000_s3792" style="position:absolute;left:0pt;margin-left:1.3pt;margin-top:78pt;height:0.75pt;width:2.2pt;mso-position-horizontal-relative:page;mso-position-vertical-relative:page;z-index:252217344;mso-width-relative:page;mso-height-relative:page;" fillcolor="#5B9BD5" filled="t" stroked="f" coordsize="44,15" path="m0,14l43,14,43,0,0,0,0,14xe">
                  <v:path/>
                  <v:fill on="t" focussize="0,0"/>
                  <v:stroke on="f"/>
                  <v:imagedata o:title=""/>
                  <o:lock v:ext="edit"/>
                </v:shape>
              </w:pict>
            </w:r>
            <w:r>
              <w:rPr>
                <w:position w:val="-1"/>
              </w:rPr>
              <w:pict>
                <v:group id="_x0000_s3793" o:spid="_x0000_s3793" o:spt="203" style="height:3.4pt;width:1.45pt;" coordsize="29,68">
                  <o:lock v:ext="edit"/>
                  <v:shape id="_x0000_s3794" o:spid="_x0000_s3794" style="position:absolute;left:14;top:0;height:68;width:15;" fillcolor="#20507B" filled="t" stroked="f" coordsize="15,68" path="m0,67l14,67,14,0,0,0,0,67xe">
                    <v:path/>
                    <v:fill on="t" focussize="0,0"/>
                    <v:stroke on="f"/>
                    <v:imagedata o:title=""/>
                    <o:lock v:ext="edit"/>
                  </v:shape>
                  <v:shape id="_x0000_s3795" o:spid="_x0000_s3795" style="position:absolute;left:0;top:0;height:68;width:15;" fillcolor="#1C456A" filled="t" stroked="f" coordsize="15,68" path="m0,67l14,67,14,0,0,0,0,67xe">
                    <v:path/>
                    <v:fill on="t" focussize="0,0"/>
                    <v:stroke on="f"/>
                    <v:imagedata o:title=""/>
                    <o:lock v:ext="edit"/>
                  </v:shape>
                  <w10:wrap type="none"/>
                  <w10:anchorlock/>
                </v:group>
              </w:pict>
            </w:r>
          </w:p>
        </w:tc>
      </w:tr>
    </w:tbl>
    <w:p w14:paraId="0FCCC2F6">
      <w:pPr>
        <w:pStyle w:val="2"/>
        <w:spacing w:before="80" w:line="211" w:lineRule="auto"/>
        <w:ind w:left="1981"/>
        <w:outlineLvl w:val="2"/>
        <w:rPr>
          <w:sz w:val="28"/>
          <w:szCs w:val="28"/>
        </w:rPr>
      </w:pPr>
      <w:bookmarkStart w:id="220" w:name="bookmark212"/>
      <w:bookmarkEnd w:id="220"/>
      <w:r>
        <w:rPr>
          <w:b/>
          <w:bCs/>
          <w:spacing w:val="-21"/>
          <w:sz w:val="28"/>
          <w:szCs w:val="28"/>
        </w:rPr>
        <w:t>五、职责分工</w:t>
      </w:r>
    </w:p>
    <w:tbl>
      <w:tblPr>
        <w:tblStyle w:val="6"/>
        <w:tblW w:w="9358" w:type="dxa"/>
        <w:tblInd w:w="127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46"/>
        <w:gridCol w:w="696"/>
        <w:gridCol w:w="2116"/>
        <w:gridCol w:w="4805"/>
        <w:gridCol w:w="1495"/>
      </w:tblGrid>
      <w:tr w14:paraId="0178F6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4" w:hRule="atLeast"/>
        </w:trPr>
        <w:tc>
          <w:tcPr>
            <w:tcW w:w="942" w:type="dxa"/>
            <w:gridSpan w:val="2"/>
            <w:tcBorders>
              <w:top w:val="single" w:color="000000" w:sz="4" w:space="0"/>
              <w:left w:val="single" w:color="000000" w:sz="4" w:space="0"/>
            </w:tcBorders>
            <w:shd w:val="clear" w:color="auto" w:fill="DEEAF6"/>
            <w:vAlign w:val="top"/>
          </w:tcPr>
          <w:p w14:paraId="07611184">
            <w:pPr>
              <w:spacing w:line="93" w:lineRule="exact"/>
            </w:pPr>
            <w:r>
              <w:rPr>
                <w:position w:val="-1"/>
              </w:rPr>
              <w:pict>
                <v:group id="_x0000_s3796" o:spid="_x0000_s3796" o:spt="203" style="height:5.2pt;width:48.5pt;" coordsize="970,103">
                  <o:lock v:ext="edit"/>
                  <v:shape id="_x0000_s3797" o:spid="_x0000_s3797" style="position:absolute;left:0;top:0;height:15;width:44;" fillcolor="#5B9BD5" filled="t" stroked="f" coordsize="44,15" path="m0,14l43,14,43,0,0,0,0,14xe">
                    <v:path/>
                    <v:fill on="t" focussize="0,0"/>
                    <v:stroke on="f"/>
                    <v:imagedata o:title=""/>
                    <o:lock v:ext="edit"/>
                  </v:shape>
                  <v:shape id="_x0000_s3798" o:spid="_x0000_s3798" style="position:absolute;left:43;top:43;height:60;width:884;" fillcolor="#DEEAF6" filled="t" stroked="f" coordsize="884,60" path="m0,60l883,60,883,0,0,0,0,60xe">
                    <v:path/>
                    <v:fill on="t" focussize="0,0"/>
                    <v:stroke on="f"/>
                    <v:imagedata o:title=""/>
                    <o:lock v:ext="edit"/>
                  </v:shape>
                  <v:shape id="_x0000_s3799" o:spid="_x0000_s3799" style="position:absolute;left:926;top:0;height:15;width:44;" fillcolor="#5B9BD5" filled="t" stroked="f" coordsize="44,15" path="m0,14l43,14,43,0,0,0,0,14xe">
                    <v:path/>
                    <v:fill on="t" focussize="0,0"/>
                    <v:stroke on="f"/>
                    <v:imagedata o:title=""/>
                    <o:lock v:ext="edit"/>
                  </v:shape>
                  <v:shape id="_x0000_s3800" o:spid="_x0000_s3800" style="position:absolute;left:926;top:14;height:15;width:44;" fillcolor="#20507B" filled="t" stroked="f" coordsize="44,15" path="m0,14l43,14,43,0,0,0,0,14xe">
                    <v:path/>
                    <v:fill on="t" focussize="0,0"/>
                    <v:stroke on="f"/>
                    <v:imagedata o:title=""/>
                    <o:lock v:ext="edit"/>
                  </v:shape>
                  <v:shape id="_x0000_s3801" o:spid="_x0000_s3801" style="position:absolute;left:926;top:28;height:15;width:44;" fillcolor="#1C456A" filled="t" stroked="f" coordsize="44,15" path="m0,14l43,14,43,0,0,0,0,14xe">
                    <v:path/>
                    <v:fill on="t" focussize="0,0"/>
                    <v:stroke on="f"/>
                    <v:imagedata o:title=""/>
                    <o:lock v:ext="edit"/>
                  </v:shape>
                  <w10:wrap type="none"/>
                  <w10:anchorlock/>
                </v:group>
              </w:pict>
            </w:r>
          </w:p>
          <w:p w14:paraId="64FA8B89">
            <w:pPr>
              <w:pStyle w:val="7"/>
              <w:spacing w:before="33" w:line="218" w:lineRule="auto"/>
              <w:ind w:left="262"/>
            </w:pPr>
            <w:r>
              <w:rPr>
                <w:b/>
                <w:bCs/>
                <w:spacing w:val="-12"/>
              </w:rPr>
              <w:t>序号</w:t>
            </w:r>
          </w:p>
        </w:tc>
        <w:tc>
          <w:tcPr>
            <w:tcW w:w="2116" w:type="dxa"/>
            <w:tcBorders>
              <w:top w:val="single" w:color="000000" w:sz="4" w:space="0"/>
            </w:tcBorders>
            <w:shd w:val="clear" w:color="auto" w:fill="DEEAF6"/>
            <w:vAlign w:val="top"/>
          </w:tcPr>
          <w:p w14:paraId="21AEFDFB">
            <w:pPr>
              <w:pStyle w:val="7"/>
              <w:spacing w:before="126" w:line="217" w:lineRule="auto"/>
              <w:ind w:left="840"/>
            </w:pPr>
            <w:r>
              <w:rPr>
                <w:b/>
                <w:bCs/>
                <w:spacing w:val="-13"/>
              </w:rPr>
              <w:t>名称</w:t>
            </w:r>
          </w:p>
        </w:tc>
        <w:tc>
          <w:tcPr>
            <w:tcW w:w="4805" w:type="dxa"/>
            <w:tcBorders>
              <w:top w:val="single" w:color="5B9BD5" w:sz="4" w:space="0"/>
              <w:right w:val="nil"/>
            </w:tcBorders>
            <w:shd w:val="clear" w:color="auto" w:fill="DEEAF6"/>
            <w:vAlign w:val="top"/>
          </w:tcPr>
          <w:p w14:paraId="6B03F4FD">
            <w:pPr>
              <w:pStyle w:val="7"/>
              <w:spacing w:before="127" w:line="218" w:lineRule="auto"/>
              <w:ind w:left="2963"/>
            </w:pPr>
            <w:r>
              <w:rPr>
                <w:b/>
                <w:bCs/>
                <w:spacing w:val="-20"/>
              </w:rPr>
              <w:t>内容</w:t>
            </w:r>
          </w:p>
        </w:tc>
        <w:tc>
          <w:tcPr>
            <w:tcW w:w="1495" w:type="dxa"/>
            <w:tcBorders>
              <w:top w:val="single" w:color="5B9BD5" w:sz="4" w:space="0"/>
              <w:left w:val="nil"/>
              <w:right w:val="single" w:color="5B9BD5" w:sz="4" w:space="0"/>
            </w:tcBorders>
            <w:shd w:val="clear" w:color="auto" w:fill="DEEAF6"/>
            <w:vAlign w:val="top"/>
          </w:tcPr>
          <w:p w14:paraId="0F9116A0">
            <w:pPr>
              <w:rPr>
                <w:rFonts w:ascii="Arial"/>
                <w:sz w:val="21"/>
              </w:rPr>
            </w:pPr>
            <w:r>
              <w:pict>
                <v:shape id="_x0000_s3802" o:spid="_x0000_s3802" style="position:absolute;left:0pt;margin-left:72.9pt;margin-top:0pt;height:0.75pt;width:2.2pt;mso-position-horizontal-relative:page;mso-position-vertical-relative:page;z-index:252215296;mso-width-relative:page;mso-height-relative:page;" fillcolor="#5B9BD5" filled="t" stroked="f" coordsize="44,15" path="m0,14l43,14,43,0,0,0,0,14xe">
                  <v:path/>
                  <v:fill on="t" focussize="0,0"/>
                  <v:stroke on="f"/>
                  <v:imagedata o:title=""/>
                  <o:lock v:ext="edit"/>
                </v:shape>
              </w:pict>
            </w:r>
          </w:p>
        </w:tc>
      </w:tr>
      <w:tr w14:paraId="285291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68" w:hRule="atLeast"/>
        </w:trPr>
        <w:tc>
          <w:tcPr>
            <w:tcW w:w="246" w:type="dxa"/>
            <w:tcBorders>
              <w:top w:val="single" w:color="DEEAF6" w:sz="22" w:space="0"/>
              <w:left w:val="single" w:color="1C456A" w:sz="4" w:space="0"/>
              <w:bottom w:val="single" w:color="1C456A" w:sz="4" w:space="0"/>
              <w:right w:val="nil"/>
            </w:tcBorders>
            <w:vAlign w:val="top"/>
          </w:tcPr>
          <w:p w14:paraId="773CE372">
            <w:pPr>
              <w:rPr>
                <w:rFonts w:ascii="Arial"/>
                <w:sz w:val="21"/>
              </w:rPr>
            </w:pPr>
            <w:r>
              <w:pict>
                <v:shape id="_x0000_s3803" o:spid="_x0000_s3803" style="position:absolute;left:0pt;margin-left:-0.25pt;margin-top:55.95pt;height:0.75pt;width:2.2pt;mso-position-horizontal-relative:page;mso-position-vertical-relative:page;z-index:252214272;mso-width-relative:page;mso-height-relative:page;" fillcolor="#5B9BD5" filled="t" stroked="f" coordsize="44,15" path="m0,14l43,14,43,0,0,0,0,14xe">
                  <v:path/>
                  <v:fill on="t" focussize="0,0"/>
                  <v:stroke on="f"/>
                  <v:imagedata o:title=""/>
                  <o:lock v:ext="edit"/>
                </v:shape>
              </w:pict>
            </w:r>
          </w:p>
        </w:tc>
        <w:tc>
          <w:tcPr>
            <w:tcW w:w="696" w:type="dxa"/>
            <w:tcBorders>
              <w:top w:val="single" w:color="DEEAF6" w:sz="22" w:space="0"/>
              <w:left w:val="nil"/>
              <w:bottom w:val="single" w:color="1C456A" w:sz="4" w:space="0"/>
            </w:tcBorders>
            <w:vAlign w:val="top"/>
          </w:tcPr>
          <w:p w14:paraId="2B9CAB37">
            <w:pPr>
              <w:pStyle w:val="7"/>
              <w:spacing w:before="313" w:line="238" w:lineRule="auto"/>
              <w:ind w:left="197"/>
            </w:pPr>
            <w:r>
              <w:t>1</w:t>
            </w:r>
          </w:p>
        </w:tc>
        <w:tc>
          <w:tcPr>
            <w:tcW w:w="2116" w:type="dxa"/>
            <w:tcBorders>
              <w:top w:val="single" w:color="DEEAF6" w:sz="22" w:space="0"/>
              <w:bottom w:val="single" w:color="000000" w:sz="4" w:space="0"/>
            </w:tcBorders>
            <w:vAlign w:val="top"/>
          </w:tcPr>
          <w:p w14:paraId="081DB7DF">
            <w:pPr>
              <w:pStyle w:val="7"/>
              <w:spacing w:before="313" w:line="216" w:lineRule="auto"/>
              <w:ind w:left="731"/>
            </w:pPr>
            <w:r>
              <w:rPr>
                <w:spacing w:val="-13"/>
              </w:rPr>
              <w:t>材料部</w:t>
            </w:r>
          </w:p>
        </w:tc>
        <w:tc>
          <w:tcPr>
            <w:tcW w:w="6300" w:type="dxa"/>
            <w:gridSpan w:val="2"/>
            <w:tcBorders>
              <w:top w:val="single" w:color="DEEAF6" w:sz="22" w:space="0"/>
              <w:bottom w:val="single" w:color="5B9BD5" w:sz="4" w:space="0"/>
              <w:right w:val="single" w:color="5B9BD5" w:sz="4" w:space="0"/>
            </w:tcBorders>
            <w:vAlign w:val="top"/>
          </w:tcPr>
          <w:p w14:paraId="013D0787">
            <w:pPr>
              <w:spacing w:line="44" w:lineRule="exact"/>
              <w:ind w:right="3"/>
              <w:jc w:val="right"/>
            </w:pPr>
            <w:r>
              <w:rPr>
                <w:position w:val="-1"/>
              </w:rPr>
              <w:drawing>
                <wp:inline distT="0" distB="0" distL="0" distR="0">
                  <wp:extent cx="17780" cy="27940"/>
                  <wp:effectExtent l="0" t="0" r="0" b="0"/>
                  <wp:docPr id="1236" name="IM 1236"/>
                  <wp:cNvGraphicFramePr/>
                  <a:graphic xmlns:a="http://schemas.openxmlformats.org/drawingml/2006/main">
                    <a:graphicData uri="http://schemas.openxmlformats.org/drawingml/2006/picture">
                      <pic:pic xmlns:pic="http://schemas.openxmlformats.org/drawingml/2006/picture">
                        <pic:nvPicPr>
                          <pic:cNvPr id="1236" name="IM 1236"/>
                          <pic:cNvPicPr/>
                        </pic:nvPicPr>
                        <pic:blipFill>
                          <a:blip r:embed="rId658"/>
                          <a:stretch>
                            <a:fillRect/>
                          </a:stretch>
                        </pic:blipFill>
                        <pic:spPr>
                          <a:xfrm>
                            <a:off x="0" y="0"/>
                            <a:ext cx="18287" cy="28321"/>
                          </a:xfrm>
                          <a:prstGeom prst="rect">
                            <a:avLst/>
                          </a:prstGeom>
                        </pic:spPr>
                      </pic:pic>
                    </a:graphicData>
                  </a:graphic>
                </wp:inline>
              </w:drawing>
            </w:r>
          </w:p>
          <w:p w14:paraId="092C6D2D">
            <w:pPr>
              <w:pStyle w:val="7"/>
              <w:spacing w:before="37" w:line="358" w:lineRule="auto"/>
              <w:ind w:left="105" w:right="83" w:hanging="7"/>
            </w:pPr>
            <w:r>
              <w:rPr>
                <w:spacing w:val="-22"/>
              </w:rPr>
              <w:t>材料部是甲供材料采购管理部门，负责甲供材料计划的终审、整</w:t>
            </w:r>
            <w:r>
              <w:rPr>
                <w:spacing w:val="-23"/>
              </w:rPr>
              <w:t>合汇总上报实施采购，监督各项目部甲供材料计</w:t>
            </w:r>
            <w:r>
              <w:rPr>
                <w:spacing w:val="-24"/>
              </w:rPr>
              <w:t>划的执行情况。</w:t>
            </w:r>
          </w:p>
        </w:tc>
      </w:tr>
    </w:tbl>
    <w:p w14:paraId="23747669">
      <w:pPr>
        <w:rPr>
          <w:rFonts w:ascii="Arial"/>
          <w:sz w:val="21"/>
        </w:rPr>
      </w:pPr>
    </w:p>
    <w:p w14:paraId="6243F27C">
      <w:pPr>
        <w:rPr>
          <w:rFonts w:ascii="Arial" w:hAnsi="Arial" w:eastAsia="Arial" w:cs="Arial"/>
          <w:sz w:val="21"/>
          <w:szCs w:val="21"/>
        </w:rPr>
        <w:sectPr>
          <w:footerReference r:id="rId291" w:type="default"/>
          <w:pgSz w:w="11907" w:h="16839"/>
          <w:pgMar w:top="933" w:right="4" w:bottom="1038" w:left="0" w:header="478" w:footer="357" w:gutter="0"/>
          <w:pgBorders>
            <w:top w:val="none" w:sz="0" w:space="0"/>
            <w:left w:val="none" w:sz="0" w:space="0"/>
            <w:bottom w:val="none" w:sz="0" w:space="0"/>
            <w:right w:val="none" w:sz="0" w:space="0"/>
          </w:pgBorders>
          <w:cols w:space="720" w:num="1"/>
        </w:sectPr>
      </w:pPr>
    </w:p>
    <w:p w14:paraId="7B72F514">
      <w:pPr>
        <w:spacing w:line="235" w:lineRule="exact"/>
      </w:pPr>
    </w:p>
    <w:tbl>
      <w:tblPr>
        <w:tblStyle w:val="6"/>
        <w:tblW w:w="9358" w:type="dxa"/>
        <w:tblInd w:w="127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30"/>
        <w:gridCol w:w="2125"/>
        <w:gridCol w:w="6235"/>
        <w:gridCol w:w="68"/>
      </w:tblGrid>
      <w:tr w14:paraId="77B2EE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52" w:hRule="atLeast"/>
        </w:trPr>
        <w:tc>
          <w:tcPr>
            <w:tcW w:w="930" w:type="dxa"/>
            <w:tcBorders>
              <w:top w:val="single" w:color="000000" w:sz="4" w:space="0"/>
              <w:left w:val="single" w:color="000000" w:sz="4" w:space="0"/>
            </w:tcBorders>
            <w:vAlign w:val="top"/>
          </w:tcPr>
          <w:p w14:paraId="262E63A1">
            <w:pPr>
              <w:spacing w:line="257" w:lineRule="auto"/>
              <w:rPr>
                <w:rFonts w:ascii="Arial"/>
                <w:sz w:val="21"/>
              </w:rPr>
            </w:pPr>
          </w:p>
          <w:p w14:paraId="4543F69C">
            <w:pPr>
              <w:spacing w:line="257" w:lineRule="auto"/>
              <w:rPr>
                <w:rFonts w:ascii="Arial"/>
                <w:sz w:val="21"/>
              </w:rPr>
            </w:pPr>
          </w:p>
          <w:p w14:paraId="60CC9C1F">
            <w:pPr>
              <w:pStyle w:val="7"/>
              <w:spacing w:before="78" w:line="238" w:lineRule="auto"/>
              <w:ind w:left="423"/>
            </w:pPr>
            <w:r>
              <w:t>2</w:t>
            </w:r>
          </w:p>
        </w:tc>
        <w:tc>
          <w:tcPr>
            <w:tcW w:w="2125" w:type="dxa"/>
            <w:tcBorders>
              <w:top w:val="single" w:color="000000" w:sz="4" w:space="0"/>
            </w:tcBorders>
            <w:vAlign w:val="top"/>
          </w:tcPr>
          <w:p w14:paraId="2E65F8E3">
            <w:pPr>
              <w:spacing w:line="257" w:lineRule="auto"/>
              <w:rPr>
                <w:rFonts w:ascii="Arial"/>
                <w:sz w:val="21"/>
              </w:rPr>
            </w:pPr>
          </w:p>
          <w:p w14:paraId="4C1977B3">
            <w:pPr>
              <w:spacing w:line="257" w:lineRule="auto"/>
              <w:rPr>
                <w:rFonts w:ascii="Arial"/>
                <w:sz w:val="21"/>
              </w:rPr>
            </w:pPr>
          </w:p>
          <w:p w14:paraId="3F621E2A">
            <w:pPr>
              <w:pStyle w:val="7"/>
              <w:spacing w:before="78" w:line="218" w:lineRule="auto"/>
              <w:ind w:left="749"/>
            </w:pPr>
            <w:r>
              <w:rPr>
                <w:spacing w:val="-15"/>
              </w:rPr>
              <w:t>工程部</w:t>
            </w:r>
          </w:p>
        </w:tc>
        <w:tc>
          <w:tcPr>
            <w:tcW w:w="6303" w:type="dxa"/>
            <w:gridSpan w:val="2"/>
            <w:tcBorders>
              <w:top w:val="single" w:color="5B9BD5" w:sz="4" w:space="0"/>
              <w:right w:val="single" w:color="5B9BD5" w:sz="4" w:space="0"/>
            </w:tcBorders>
            <w:vAlign w:val="top"/>
          </w:tcPr>
          <w:p w14:paraId="45360DCB">
            <w:pPr>
              <w:pStyle w:val="7"/>
              <w:spacing w:before="129" w:line="216" w:lineRule="auto"/>
              <w:ind w:left="108"/>
            </w:pPr>
            <w:r>
              <w:rPr>
                <w:spacing w:val="-21"/>
              </w:rPr>
              <w:t>工程部是甲供材料计划技术审核部门，负责材</w:t>
            </w:r>
            <w:r>
              <w:rPr>
                <w:spacing w:val="-22"/>
              </w:rPr>
              <w:t>料计划中各类材料</w:t>
            </w:r>
          </w:p>
          <w:p w14:paraId="3ACC3B0C">
            <w:pPr>
              <w:pStyle w:val="7"/>
              <w:spacing w:before="185" w:line="216" w:lineRule="auto"/>
              <w:ind w:left="113"/>
            </w:pPr>
            <w:r>
              <w:rPr>
                <w:spacing w:val="-22"/>
              </w:rPr>
              <w:t>型号规格及技术要求合规性审查，负责参与相关部门组织的材料</w:t>
            </w:r>
          </w:p>
          <w:p w14:paraId="787A936C">
            <w:pPr>
              <w:pStyle w:val="7"/>
              <w:spacing w:before="187" w:line="216" w:lineRule="auto"/>
              <w:ind w:left="646"/>
            </w:pPr>
            <w:r>
              <w:rPr>
                <w:spacing w:val="-21"/>
              </w:rPr>
              <w:t>验收工作，并负责监督各项目部材料质量管理工作。</w:t>
            </w:r>
          </w:p>
        </w:tc>
      </w:tr>
      <w:tr w14:paraId="62F302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15" w:hRule="atLeast"/>
        </w:trPr>
        <w:tc>
          <w:tcPr>
            <w:tcW w:w="930" w:type="dxa"/>
            <w:tcBorders>
              <w:left w:val="single" w:color="000000" w:sz="4" w:space="0"/>
            </w:tcBorders>
            <w:vAlign w:val="top"/>
          </w:tcPr>
          <w:p w14:paraId="4961C08C">
            <w:pPr>
              <w:spacing w:line="241" w:lineRule="auto"/>
              <w:rPr>
                <w:rFonts w:ascii="Arial"/>
                <w:sz w:val="21"/>
              </w:rPr>
            </w:pPr>
          </w:p>
          <w:p w14:paraId="438D115A">
            <w:pPr>
              <w:spacing w:line="242" w:lineRule="auto"/>
              <w:rPr>
                <w:rFonts w:ascii="Arial"/>
                <w:sz w:val="21"/>
              </w:rPr>
            </w:pPr>
          </w:p>
          <w:p w14:paraId="1700AA2A">
            <w:pPr>
              <w:pStyle w:val="7"/>
              <w:spacing w:before="78" w:line="237" w:lineRule="auto"/>
              <w:ind w:left="425"/>
            </w:pPr>
            <w:r>
              <w:t>3</w:t>
            </w:r>
          </w:p>
        </w:tc>
        <w:tc>
          <w:tcPr>
            <w:tcW w:w="2125" w:type="dxa"/>
            <w:vAlign w:val="top"/>
          </w:tcPr>
          <w:p w14:paraId="29775CE1">
            <w:pPr>
              <w:spacing w:line="241" w:lineRule="auto"/>
              <w:rPr>
                <w:rFonts w:ascii="Arial"/>
                <w:sz w:val="21"/>
              </w:rPr>
            </w:pPr>
          </w:p>
          <w:p w14:paraId="3259CA9B">
            <w:pPr>
              <w:spacing w:line="242" w:lineRule="auto"/>
              <w:rPr>
                <w:rFonts w:ascii="Arial"/>
                <w:sz w:val="21"/>
              </w:rPr>
            </w:pPr>
          </w:p>
          <w:p w14:paraId="2F2B4002">
            <w:pPr>
              <w:pStyle w:val="7"/>
              <w:spacing w:before="78" w:line="218" w:lineRule="auto"/>
              <w:ind w:left="746"/>
            </w:pPr>
            <w:r>
              <w:rPr>
                <w:spacing w:val="-14"/>
              </w:rPr>
              <w:t>财务部</w:t>
            </w:r>
          </w:p>
        </w:tc>
        <w:tc>
          <w:tcPr>
            <w:tcW w:w="6235" w:type="dxa"/>
            <w:tcBorders>
              <w:right w:val="nil"/>
            </w:tcBorders>
            <w:vAlign w:val="top"/>
          </w:tcPr>
          <w:p w14:paraId="113243C7">
            <w:pPr>
              <w:pStyle w:val="7"/>
              <w:spacing w:before="96" w:line="216" w:lineRule="auto"/>
              <w:jc w:val="right"/>
            </w:pPr>
            <w:r>
              <w:rPr>
                <w:spacing w:val="-23"/>
              </w:rPr>
              <w:t>财务部是甲供</w:t>
            </w:r>
            <w:r>
              <w:rPr>
                <w:spacing w:val="-22"/>
              </w:rPr>
              <w:t>材料结算部门，负责对各项目部所属工程项目甲</w:t>
            </w:r>
            <w:r>
              <w:rPr>
                <w:spacing w:val="-16"/>
              </w:rPr>
              <w:t>供</w:t>
            </w:r>
          </w:p>
          <w:p w14:paraId="74BCCFE5">
            <w:pPr>
              <w:pStyle w:val="7"/>
              <w:spacing w:before="187" w:line="215" w:lineRule="auto"/>
              <w:jc w:val="right"/>
            </w:pPr>
            <w:r>
              <w:rPr>
                <w:spacing w:val="-22"/>
              </w:rPr>
              <w:t>材料供应量进行审查，并在工程结算费用中负责对甲供材料费用</w:t>
            </w:r>
          </w:p>
          <w:p w14:paraId="239E71C0">
            <w:pPr>
              <w:pStyle w:val="7"/>
              <w:spacing w:before="185" w:line="217" w:lineRule="auto"/>
              <w:ind w:left="2612"/>
            </w:pPr>
            <w:r>
              <w:rPr>
                <w:spacing w:val="-17"/>
              </w:rPr>
              <w:t>进行核减。</w:t>
            </w:r>
          </w:p>
        </w:tc>
        <w:tc>
          <w:tcPr>
            <w:tcW w:w="68" w:type="dxa"/>
            <w:tcBorders>
              <w:left w:val="nil"/>
              <w:right w:val="single" w:color="000000" w:sz="4" w:space="0"/>
            </w:tcBorders>
            <w:vAlign w:val="top"/>
          </w:tcPr>
          <w:p w14:paraId="6F9F4505">
            <w:pPr>
              <w:spacing w:line="60" w:lineRule="exact"/>
              <w:ind w:firstLine="30"/>
            </w:pPr>
            <w:r>
              <w:rPr>
                <w:position w:val="-1"/>
              </w:rPr>
              <w:pict>
                <v:group id="_x0000_s3804" o:spid="_x0000_s3804" o:spt="203" style="height:3.4pt;width:1.45pt;" coordsize="29,68">
                  <o:lock v:ext="edit"/>
                  <v:shape id="_x0000_s3805" o:spid="_x0000_s3805" style="position:absolute;left:14;top:0;height:68;width:15;" fillcolor="#20507B" filled="t" stroked="f" coordsize="15,68" path="m0,67l14,67,14,0,0,0,0,67xe">
                    <v:path/>
                    <v:fill on="t" focussize="0,0"/>
                    <v:stroke on="f"/>
                    <v:imagedata o:title=""/>
                    <o:lock v:ext="edit"/>
                  </v:shape>
                  <v:shape id="_x0000_s3806" o:spid="_x0000_s3806" style="position:absolute;left:0;top:0;height:68;width:15;" fillcolor="#1C456A" filled="t" stroked="f" coordsize="15,68" path="m0,67l14,67,14,0,0,0,0,67xe">
                    <v:path/>
                    <v:fill on="t" focussize="0,0"/>
                    <v:stroke on="f"/>
                    <v:imagedata o:title=""/>
                    <o:lock v:ext="edit"/>
                  </v:shape>
                  <w10:wrap type="none"/>
                  <w10:anchorlock/>
                </v:group>
              </w:pict>
            </w:r>
          </w:p>
        </w:tc>
      </w:tr>
      <w:tr w14:paraId="3F426A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57" w:hRule="atLeast"/>
        </w:trPr>
        <w:tc>
          <w:tcPr>
            <w:tcW w:w="930" w:type="dxa"/>
            <w:tcBorders>
              <w:left w:val="single" w:color="1C456A" w:sz="4" w:space="0"/>
              <w:bottom w:val="single" w:color="1C456A" w:sz="4" w:space="0"/>
            </w:tcBorders>
            <w:vAlign w:val="top"/>
          </w:tcPr>
          <w:p w14:paraId="700FB27B">
            <w:pPr>
              <w:spacing w:line="244" w:lineRule="auto"/>
              <w:rPr>
                <w:rFonts w:ascii="Arial"/>
                <w:sz w:val="21"/>
              </w:rPr>
            </w:pPr>
          </w:p>
          <w:p w14:paraId="0BB45648">
            <w:pPr>
              <w:spacing w:line="244" w:lineRule="auto"/>
              <w:rPr>
                <w:rFonts w:ascii="Arial"/>
                <w:sz w:val="21"/>
              </w:rPr>
            </w:pPr>
          </w:p>
          <w:p w14:paraId="3EE473B7">
            <w:pPr>
              <w:pStyle w:val="7"/>
              <w:spacing w:before="78" w:line="238" w:lineRule="auto"/>
              <w:ind w:left="419"/>
            </w:pPr>
            <w:r>
              <w:t>4</w:t>
            </w:r>
          </w:p>
        </w:tc>
        <w:tc>
          <w:tcPr>
            <w:tcW w:w="2125" w:type="dxa"/>
            <w:tcBorders>
              <w:bottom w:val="single" w:color="000000" w:sz="4" w:space="0"/>
            </w:tcBorders>
            <w:vAlign w:val="top"/>
          </w:tcPr>
          <w:p w14:paraId="07E01F33">
            <w:pPr>
              <w:spacing w:line="243" w:lineRule="auto"/>
              <w:rPr>
                <w:rFonts w:ascii="Arial"/>
                <w:sz w:val="21"/>
              </w:rPr>
            </w:pPr>
          </w:p>
          <w:p w14:paraId="04C6D7E0">
            <w:pPr>
              <w:spacing w:line="244" w:lineRule="auto"/>
              <w:rPr>
                <w:rFonts w:ascii="Arial"/>
                <w:sz w:val="21"/>
              </w:rPr>
            </w:pPr>
          </w:p>
          <w:p w14:paraId="4F49C08E">
            <w:pPr>
              <w:pStyle w:val="7"/>
              <w:spacing w:before="78" w:line="217" w:lineRule="auto"/>
              <w:ind w:left="744"/>
            </w:pPr>
            <w:r>
              <w:rPr>
                <w:spacing w:val="-14"/>
              </w:rPr>
              <w:t>物资部</w:t>
            </w:r>
          </w:p>
        </w:tc>
        <w:tc>
          <w:tcPr>
            <w:tcW w:w="6235" w:type="dxa"/>
            <w:tcBorders>
              <w:bottom w:val="single" w:color="5B9BD5" w:sz="4" w:space="0"/>
              <w:right w:val="nil"/>
            </w:tcBorders>
            <w:vAlign w:val="top"/>
          </w:tcPr>
          <w:p w14:paraId="28517F00">
            <w:pPr>
              <w:pStyle w:val="7"/>
              <w:spacing w:before="100" w:line="216" w:lineRule="auto"/>
              <w:jc w:val="right"/>
            </w:pPr>
            <w:r>
              <w:rPr>
                <w:spacing w:val="-28"/>
              </w:rPr>
              <w:t>物资部是工程项目甲供材料现场管理部门，具体负责审核、汇总、</w:t>
            </w:r>
          </w:p>
          <w:p w14:paraId="62D2812A">
            <w:pPr>
              <w:pStyle w:val="7"/>
              <w:spacing w:before="187" w:line="216" w:lineRule="auto"/>
              <w:jc w:val="right"/>
            </w:pPr>
            <w:r>
              <w:rPr>
                <w:spacing w:val="-23"/>
              </w:rPr>
              <w:t>上报施工单位</w:t>
            </w:r>
            <w:r>
              <w:rPr>
                <w:spacing w:val="-22"/>
              </w:rPr>
              <w:t>编报的甲供材料计划，参与材料验收，负责甲供</w:t>
            </w:r>
            <w:r>
              <w:rPr>
                <w:spacing w:val="-16"/>
              </w:rPr>
              <w:t>材</w:t>
            </w:r>
          </w:p>
          <w:p w14:paraId="0F9320FE">
            <w:pPr>
              <w:pStyle w:val="7"/>
              <w:spacing w:before="185" w:line="216" w:lineRule="auto"/>
              <w:ind w:left="1846"/>
            </w:pPr>
            <w:r>
              <w:rPr>
                <w:spacing w:val="-20"/>
              </w:rPr>
              <w:t>料的出库管理和帐务管理。</w:t>
            </w:r>
          </w:p>
        </w:tc>
        <w:tc>
          <w:tcPr>
            <w:tcW w:w="68" w:type="dxa"/>
            <w:tcBorders>
              <w:left w:val="nil"/>
              <w:bottom w:val="single" w:color="5B9BD5" w:sz="4" w:space="0"/>
              <w:right w:val="single" w:color="5B9BD5" w:sz="4" w:space="0"/>
            </w:tcBorders>
            <w:vAlign w:val="top"/>
          </w:tcPr>
          <w:p w14:paraId="1EB99A61">
            <w:pPr>
              <w:spacing w:line="64" w:lineRule="exact"/>
              <w:ind w:firstLine="30"/>
            </w:pPr>
            <w:r>
              <w:rPr>
                <w:position w:val="-1"/>
              </w:rPr>
              <w:pict>
                <v:group id="_x0000_s3807" o:spid="_x0000_s3807" o:spt="203" style="height:3.4pt;width:1.45pt;" coordsize="29,68">
                  <o:lock v:ext="edit"/>
                  <v:shape id="_x0000_s3808" o:spid="_x0000_s3808" style="position:absolute;left:14;top:0;height:68;width:15;" fillcolor="#20507B" filled="t" stroked="f" coordsize="15,68" path="m0,67l14,67,14,0,0,0,0,67xe">
                    <v:path/>
                    <v:fill on="t" focussize="0,0"/>
                    <v:stroke on="f"/>
                    <v:imagedata o:title=""/>
                    <o:lock v:ext="edit"/>
                  </v:shape>
                  <v:shape id="_x0000_s3809" o:spid="_x0000_s3809" style="position:absolute;left:0;top:0;height:68;width:15;" fillcolor="#1C456A" filled="t" stroked="f" coordsize="15,68" path="m0,67l14,67,14,0,0,0,0,67xe">
                    <v:path/>
                    <v:fill on="t" focussize="0,0"/>
                    <v:stroke on="f"/>
                    <v:imagedata o:title=""/>
                    <o:lock v:ext="edit"/>
                  </v:shape>
                  <w10:wrap type="none"/>
                  <w10:anchorlock/>
                </v:group>
              </w:pict>
            </w:r>
          </w:p>
        </w:tc>
      </w:tr>
    </w:tbl>
    <w:p w14:paraId="04C5F461">
      <w:pPr>
        <w:pStyle w:val="2"/>
        <w:spacing w:before="79" w:line="219" w:lineRule="auto"/>
        <w:ind w:left="1979"/>
        <w:outlineLvl w:val="2"/>
        <w:rPr>
          <w:sz w:val="28"/>
          <w:szCs w:val="28"/>
        </w:rPr>
      </w:pPr>
      <w:bookmarkStart w:id="221" w:name="bookmark213"/>
      <w:bookmarkEnd w:id="221"/>
      <w:r>
        <w:rPr>
          <w:b/>
          <w:bCs/>
          <w:spacing w:val="-20"/>
          <w:sz w:val="28"/>
          <w:szCs w:val="28"/>
        </w:rPr>
        <w:t>六、管理内容</w:t>
      </w:r>
    </w:p>
    <w:p w14:paraId="1865594F">
      <w:pPr>
        <w:pStyle w:val="2"/>
        <w:spacing w:before="104" w:line="262" w:lineRule="auto"/>
        <w:ind w:left="1462" w:right="1409" w:firstLine="441"/>
        <w:rPr>
          <w:sz w:val="24"/>
          <w:szCs w:val="24"/>
        </w:rPr>
      </w:pPr>
      <w:r>
        <w:rPr>
          <w:spacing w:val="-19"/>
          <w:sz w:val="24"/>
          <w:szCs w:val="24"/>
        </w:rPr>
        <w:t>1、工程建设项目甲供材料根据施工合同规定的供货范围实行</w:t>
      </w:r>
      <w:r>
        <w:rPr>
          <w:spacing w:val="-20"/>
          <w:sz w:val="24"/>
          <w:szCs w:val="24"/>
        </w:rPr>
        <w:t>计划供应,禁止（或未经批准</w:t>
      </w:r>
      <w:r>
        <w:rPr>
          <w:spacing w:val="-22"/>
          <w:sz w:val="24"/>
          <w:szCs w:val="24"/>
        </w:rPr>
        <w:t>不得）超范围、超时段、超设计标准供应。</w:t>
      </w:r>
    </w:p>
    <w:p w14:paraId="157F1853">
      <w:pPr>
        <w:pStyle w:val="2"/>
        <w:spacing w:before="117" w:line="216" w:lineRule="auto"/>
        <w:ind w:left="1888"/>
        <w:rPr>
          <w:sz w:val="24"/>
          <w:szCs w:val="24"/>
        </w:rPr>
      </w:pPr>
      <w:r>
        <w:rPr>
          <w:spacing w:val="-21"/>
          <w:sz w:val="24"/>
          <w:szCs w:val="24"/>
        </w:rPr>
        <w:t>2、甲供材料计划编制、审核、批准流程执行公司甲供材料计划申报流程。</w:t>
      </w:r>
    </w:p>
    <w:p w14:paraId="51BC9BAB">
      <w:pPr>
        <w:pStyle w:val="2"/>
        <w:spacing w:before="120" w:line="262" w:lineRule="auto"/>
        <w:ind w:left="1457" w:right="1409" w:firstLine="433"/>
        <w:rPr>
          <w:sz w:val="24"/>
          <w:szCs w:val="24"/>
        </w:rPr>
      </w:pPr>
      <w:r>
        <w:rPr>
          <w:spacing w:val="-16"/>
          <w:sz w:val="24"/>
          <w:szCs w:val="24"/>
        </w:rPr>
        <w:t>3、甲供材料计划由工程项目施工单位按施工合同约</w:t>
      </w:r>
      <w:r>
        <w:rPr>
          <w:spacing w:val="-17"/>
          <w:sz w:val="24"/>
          <w:szCs w:val="24"/>
        </w:rPr>
        <w:t>定的甲供材料供货范围和施工设计编</w:t>
      </w:r>
      <w:r>
        <w:rPr>
          <w:spacing w:val="-18"/>
          <w:sz w:val="24"/>
          <w:szCs w:val="24"/>
        </w:rPr>
        <w:t>制。</w:t>
      </w:r>
    </w:p>
    <w:p w14:paraId="5AA72880">
      <w:pPr>
        <w:pStyle w:val="2"/>
        <w:spacing w:before="119" w:line="262" w:lineRule="auto"/>
        <w:ind w:left="1455" w:right="1410" w:firstLine="429"/>
        <w:rPr>
          <w:sz w:val="24"/>
          <w:szCs w:val="24"/>
        </w:rPr>
      </w:pPr>
      <w:r>
        <w:rPr>
          <w:spacing w:val="-22"/>
          <w:sz w:val="24"/>
          <w:szCs w:val="24"/>
        </w:rPr>
        <w:t>4、材料计划编制时应使用材料标准名称、标准计量单位；正确标注规格型号、主要技术参</w:t>
      </w:r>
      <w:r>
        <w:rPr>
          <w:spacing w:val="-21"/>
          <w:sz w:val="24"/>
          <w:szCs w:val="24"/>
        </w:rPr>
        <w:t>数和材料执行标准；正确计算材料需求数量，不得粗算冒估。</w:t>
      </w:r>
    </w:p>
    <w:p w14:paraId="1D128FD6">
      <w:pPr>
        <w:pStyle w:val="2"/>
        <w:spacing w:before="119" w:line="262" w:lineRule="auto"/>
        <w:ind w:left="1458" w:right="1413" w:firstLine="432"/>
        <w:rPr>
          <w:sz w:val="24"/>
          <w:szCs w:val="24"/>
        </w:rPr>
      </w:pPr>
      <w:r>
        <w:rPr>
          <w:spacing w:val="-22"/>
          <w:sz w:val="24"/>
          <w:szCs w:val="24"/>
        </w:rPr>
        <w:t>5、甲供材料计划由我单位编制人员、项目经理签字并加盖公章后一式五份，并经</w:t>
      </w:r>
      <w:r>
        <w:rPr>
          <w:spacing w:val="-23"/>
          <w:sz w:val="24"/>
          <w:szCs w:val="24"/>
        </w:rPr>
        <w:t>该项目监</w:t>
      </w:r>
      <w:r>
        <w:rPr>
          <w:spacing w:val="-21"/>
          <w:sz w:val="24"/>
          <w:szCs w:val="24"/>
        </w:rPr>
        <w:t>理单位审核后报公司相关部门审核。</w:t>
      </w:r>
    </w:p>
    <w:p w14:paraId="56739958">
      <w:pPr>
        <w:pStyle w:val="2"/>
        <w:spacing w:before="118" w:line="262" w:lineRule="auto"/>
        <w:ind w:left="1456" w:right="1411" w:firstLine="431"/>
        <w:rPr>
          <w:sz w:val="24"/>
          <w:szCs w:val="24"/>
        </w:rPr>
      </w:pPr>
      <w:r>
        <w:rPr>
          <w:spacing w:val="-22"/>
          <w:sz w:val="24"/>
          <w:szCs w:val="24"/>
        </w:rPr>
        <w:t>6、我单位对其编制的甲供材料计划的正确和计划报送时间节点负主要责任，凡因计划编报</w:t>
      </w:r>
      <w:r>
        <w:rPr>
          <w:spacing w:val="-21"/>
          <w:sz w:val="24"/>
          <w:szCs w:val="24"/>
        </w:rPr>
        <w:t>错误或供货时间延误造成的经济损失由计划编报单位自负。</w:t>
      </w:r>
    </w:p>
    <w:p w14:paraId="0FC876F5">
      <w:pPr>
        <w:pStyle w:val="2"/>
        <w:spacing w:before="119" w:line="216" w:lineRule="auto"/>
        <w:ind w:left="1891"/>
        <w:rPr>
          <w:sz w:val="24"/>
          <w:szCs w:val="24"/>
        </w:rPr>
      </w:pPr>
      <w:r>
        <w:rPr>
          <w:spacing w:val="-19"/>
          <w:sz w:val="24"/>
          <w:szCs w:val="24"/>
        </w:rPr>
        <w:t>7、材料月度计划于上月25日前、增补计划于当月</w:t>
      </w:r>
      <w:r>
        <w:rPr>
          <w:spacing w:val="-20"/>
          <w:sz w:val="24"/>
          <w:szCs w:val="24"/>
        </w:rPr>
        <w:t>5日前审批完成后报审。</w:t>
      </w:r>
    </w:p>
    <w:p w14:paraId="2AC0A6AD">
      <w:pPr>
        <w:pStyle w:val="2"/>
        <w:spacing w:before="119" w:line="278" w:lineRule="auto"/>
        <w:ind w:left="1462" w:right="1319" w:firstLine="424"/>
        <w:rPr>
          <w:sz w:val="24"/>
          <w:szCs w:val="24"/>
        </w:rPr>
      </w:pPr>
      <w:r>
        <w:rPr>
          <w:spacing w:val="-25"/>
          <w:sz w:val="24"/>
          <w:szCs w:val="24"/>
        </w:rPr>
        <w:t>8、物资部对编报的甲供材料计划进行初审，重点审核计划中甲供材料所用于的单项（单位）</w:t>
      </w:r>
      <w:r>
        <w:rPr>
          <w:spacing w:val="-20"/>
          <w:sz w:val="24"/>
          <w:szCs w:val="24"/>
        </w:rPr>
        <w:t>工程及使用时间、材料名称及其型号规格、主要技术参数、工况要求和材料执行标准、材料需</w:t>
      </w:r>
      <w:r>
        <w:rPr>
          <w:spacing w:val="-21"/>
          <w:sz w:val="24"/>
          <w:szCs w:val="24"/>
        </w:rPr>
        <w:t>求数量、计划到货时间等。</w:t>
      </w:r>
    </w:p>
    <w:p w14:paraId="45949735">
      <w:pPr>
        <w:pStyle w:val="2"/>
        <w:spacing w:before="116" w:line="262" w:lineRule="auto"/>
        <w:ind w:left="1455" w:right="1413" w:firstLine="431"/>
        <w:rPr>
          <w:sz w:val="24"/>
          <w:szCs w:val="24"/>
        </w:rPr>
      </w:pPr>
      <w:r>
        <w:rPr>
          <w:spacing w:val="-22"/>
          <w:sz w:val="24"/>
          <w:szCs w:val="24"/>
        </w:rPr>
        <w:t>9、工程部负责对甲供材料计划进行技术性复审，重点复审材料计划中所列甲供材料的型号</w:t>
      </w:r>
      <w:r>
        <w:rPr>
          <w:spacing w:val="-21"/>
          <w:sz w:val="24"/>
          <w:szCs w:val="24"/>
        </w:rPr>
        <w:t>规格、主要技术要求、工况要求和执行技术标准。</w:t>
      </w:r>
    </w:p>
    <w:p w14:paraId="26475000">
      <w:pPr>
        <w:pStyle w:val="2"/>
        <w:spacing w:before="119" w:line="216" w:lineRule="auto"/>
        <w:ind w:left="1903"/>
        <w:rPr>
          <w:sz w:val="24"/>
          <w:szCs w:val="24"/>
        </w:rPr>
      </w:pPr>
      <w:r>
        <w:rPr>
          <w:spacing w:val="-21"/>
          <w:sz w:val="24"/>
          <w:szCs w:val="24"/>
        </w:rPr>
        <w:t>10、计划部负责对复审后的甲供材料计划进行终审、汇总，报建设单位批准后实施采</w:t>
      </w:r>
      <w:r>
        <w:rPr>
          <w:spacing w:val="-22"/>
          <w:sz w:val="24"/>
          <w:szCs w:val="24"/>
        </w:rPr>
        <w:t>购。</w:t>
      </w:r>
    </w:p>
    <w:p w14:paraId="6066B8B7">
      <w:pPr>
        <w:pStyle w:val="2"/>
        <w:spacing w:before="120" w:line="216" w:lineRule="auto"/>
        <w:ind w:left="1892"/>
        <w:rPr>
          <w:sz w:val="24"/>
          <w:szCs w:val="24"/>
        </w:rPr>
      </w:pPr>
      <w:r>
        <w:rPr>
          <w:spacing w:val="-18"/>
          <w:sz w:val="24"/>
          <w:szCs w:val="24"/>
        </w:rPr>
        <w:t>材料保护制度</w:t>
      </w:r>
    </w:p>
    <w:p w14:paraId="523D71AF">
      <w:pPr>
        <w:pStyle w:val="2"/>
        <w:spacing w:before="118" w:line="216" w:lineRule="auto"/>
        <w:ind w:left="1903"/>
        <w:rPr>
          <w:sz w:val="24"/>
          <w:szCs w:val="24"/>
        </w:rPr>
      </w:pPr>
      <w:r>
        <w:rPr>
          <w:spacing w:val="-21"/>
          <w:sz w:val="24"/>
          <w:szCs w:val="24"/>
        </w:rPr>
        <w:t>1、由专人负责现场管材的保护工作，发现问题及时上报并果断</w:t>
      </w:r>
      <w:r>
        <w:rPr>
          <w:spacing w:val="-22"/>
          <w:sz w:val="24"/>
          <w:szCs w:val="24"/>
        </w:rPr>
        <w:t>处理。</w:t>
      </w:r>
    </w:p>
    <w:p w14:paraId="6CF21030">
      <w:pPr>
        <w:pStyle w:val="2"/>
        <w:spacing w:before="121" w:line="264" w:lineRule="auto"/>
        <w:ind w:left="1456" w:right="1412" w:firstLine="432"/>
        <w:rPr>
          <w:sz w:val="24"/>
          <w:szCs w:val="24"/>
        </w:rPr>
      </w:pPr>
      <w:r>
        <w:rPr>
          <w:spacing w:val="-22"/>
          <w:sz w:val="24"/>
          <w:szCs w:val="24"/>
        </w:rPr>
        <w:t>2、定期对管理和操作人员进行文明施工、成品保护教育，提高职工自觉保护成品的质量意</w:t>
      </w:r>
      <w:r>
        <w:rPr>
          <w:spacing w:val="-8"/>
          <w:sz w:val="24"/>
          <w:szCs w:val="24"/>
        </w:rPr>
        <w:t>识。</w:t>
      </w:r>
    </w:p>
    <w:p w14:paraId="10DB3A8D">
      <w:pPr>
        <w:pStyle w:val="2"/>
        <w:spacing w:before="112" w:line="216" w:lineRule="auto"/>
        <w:ind w:left="1890"/>
        <w:rPr>
          <w:sz w:val="24"/>
          <w:szCs w:val="24"/>
        </w:rPr>
      </w:pPr>
      <w:r>
        <w:rPr>
          <w:spacing w:val="-22"/>
          <w:sz w:val="24"/>
          <w:szCs w:val="24"/>
        </w:rPr>
        <w:t>3、经常对管材保护工作进行监察，发现被撞、损坏、污染及时采取措施进行纠正处理，对</w:t>
      </w:r>
    </w:p>
    <w:p w14:paraId="6039C9DB">
      <w:pPr>
        <w:spacing w:line="216" w:lineRule="auto"/>
        <w:rPr>
          <w:sz w:val="24"/>
          <w:szCs w:val="24"/>
        </w:rPr>
        <w:sectPr>
          <w:footerReference r:id="rId292" w:type="default"/>
          <w:pgSz w:w="11907" w:h="16839"/>
          <w:pgMar w:top="933" w:right="4" w:bottom="1038" w:left="0" w:header="478" w:footer="357" w:gutter="0"/>
          <w:pgBorders>
            <w:top w:val="none" w:sz="0" w:space="0"/>
            <w:left w:val="none" w:sz="0" w:space="0"/>
            <w:bottom w:val="none" w:sz="0" w:space="0"/>
            <w:right w:val="none" w:sz="0" w:space="0"/>
          </w:pgBorders>
          <w:cols w:space="720" w:num="1"/>
        </w:sectPr>
      </w:pPr>
    </w:p>
    <w:p w14:paraId="7B52F94E">
      <w:pPr>
        <w:spacing w:line="271" w:lineRule="auto"/>
        <w:rPr>
          <w:rFonts w:ascii="Arial"/>
          <w:sz w:val="21"/>
        </w:rPr>
      </w:pPr>
    </w:p>
    <w:p w14:paraId="1A51C001">
      <w:pPr>
        <w:pStyle w:val="2"/>
        <w:spacing w:before="78" w:line="217" w:lineRule="auto"/>
        <w:ind w:left="1458"/>
        <w:rPr>
          <w:sz w:val="24"/>
          <w:szCs w:val="24"/>
        </w:rPr>
      </w:pPr>
      <w:r>
        <w:rPr>
          <w:spacing w:val="-21"/>
          <w:sz w:val="24"/>
          <w:szCs w:val="24"/>
        </w:rPr>
        <w:t>责任人给予通报批评和经济处罚。</w:t>
      </w:r>
    </w:p>
    <w:p w14:paraId="2930A562">
      <w:pPr>
        <w:pStyle w:val="2"/>
        <w:spacing w:before="118" w:line="262" w:lineRule="auto"/>
        <w:ind w:left="1456" w:right="1438" w:firstLine="428"/>
        <w:rPr>
          <w:sz w:val="24"/>
          <w:szCs w:val="24"/>
        </w:rPr>
      </w:pPr>
      <w:r>
        <w:rPr>
          <w:spacing w:val="-23"/>
          <w:sz w:val="24"/>
          <w:szCs w:val="24"/>
        </w:rPr>
        <w:t>4、所有管材要有出厂合格证和抽样检验报告单，采购的管材在运输和储存的过程中采取相</w:t>
      </w:r>
      <w:r>
        <w:rPr>
          <w:spacing w:val="-19"/>
          <w:sz w:val="24"/>
          <w:szCs w:val="24"/>
        </w:rPr>
        <w:t>应的保护措施。</w:t>
      </w:r>
    </w:p>
    <w:p w14:paraId="59A56860">
      <w:pPr>
        <w:pStyle w:val="2"/>
        <w:spacing w:before="120" w:line="262" w:lineRule="auto"/>
        <w:ind w:left="1462" w:right="1411" w:firstLine="428"/>
        <w:rPr>
          <w:sz w:val="24"/>
          <w:szCs w:val="24"/>
        </w:rPr>
      </w:pPr>
      <w:r>
        <w:rPr>
          <w:spacing w:val="-22"/>
          <w:sz w:val="24"/>
          <w:szCs w:val="24"/>
        </w:rPr>
        <w:t>5、合理安排施工顺序，避免或减少工序间的相互干扰造成损伤和污染，凡下道工序对</w:t>
      </w:r>
      <w:r>
        <w:rPr>
          <w:spacing w:val="-23"/>
          <w:sz w:val="24"/>
          <w:szCs w:val="24"/>
        </w:rPr>
        <w:t>上道</w:t>
      </w:r>
      <w:r>
        <w:rPr>
          <w:spacing w:val="-21"/>
          <w:sz w:val="24"/>
          <w:szCs w:val="24"/>
        </w:rPr>
        <w:t>工序会产生损伤污染的，须先采取有效的成品保</w:t>
      </w:r>
      <w:r>
        <w:rPr>
          <w:spacing w:val="-22"/>
          <w:sz w:val="24"/>
          <w:szCs w:val="24"/>
        </w:rPr>
        <w:t>护措施，否则不许开工。</w:t>
      </w:r>
    </w:p>
    <w:p w14:paraId="6020CD19">
      <w:pPr>
        <w:pStyle w:val="2"/>
        <w:spacing w:before="117" w:line="263" w:lineRule="auto"/>
        <w:ind w:left="1455" w:right="1409" w:firstLine="432"/>
        <w:rPr>
          <w:sz w:val="24"/>
          <w:szCs w:val="24"/>
        </w:rPr>
      </w:pPr>
      <w:r>
        <w:rPr>
          <w:spacing w:val="-22"/>
          <w:sz w:val="24"/>
          <w:szCs w:val="24"/>
        </w:rPr>
        <w:t>6、严格按施工总平面布置图中划定的位置堆放成品、半成品及原材料，堆放整齐有序，保</w:t>
      </w:r>
      <w:r>
        <w:rPr>
          <w:spacing w:val="-15"/>
          <w:sz w:val="24"/>
          <w:szCs w:val="24"/>
        </w:rPr>
        <w:t>护良好。</w:t>
      </w:r>
    </w:p>
    <w:p w14:paraId="232191D8">
      <w:pPr>
        <w:pStyle w:val="2"/>
        <w:spacing w:before="116" w:line="262" w:lineRule="auto"/>
        <w:ind w:left="1460" w:right="1412" w:firstLine="431"/>
        <w:rPr>
          <w:sz w:val="24"/>
          <w:szCs w:val="24"/>
        </w:rPr>
      </w:pPr>
      <w:r>
        <w:rPr>
          <w:spacing w:val="-22"/>
          <w:sz w:val="24"/>
          <w:szCs w:val="24"/>
        </w:rPr>
        <w:t>7、视不同情况，施工中分别对成品进行隔离栏保护，用塑料布或塑料纸包裹、彩</w:t>
      </w:r>
      <w:r>
        <w:rPr>
          <w:spacing w:val="-23"/>
          <w:sz w:val="24"/>
          <w:szCs w:val="24"/>
        </w:rPr>
        <w:t>条布覆盖</w:t>
      </w:r>
      <w:r>
        <w:rPr>
          <w:spacing w:val="-21"/>
          <w:sz w:val="24"/>
          <w:szCs w:val="24"/>
        </w:rPr>
        <w:t>或对已完工部位进行局部封闭的方法。</w:t>
      </w:r>
    </w:p>
    <w:p w14:paraId="39B9B83C">
      <w:pPr>
        <w:pStyle w:val="2"/>
        <w:spacing w:before="119" w:line="262" w:lineRule="auto"/>
        <w:ind w:left="1459" w:right="1440" w:firstLine="427"/>
        <w:rPr>
          <w:sz w:val="24"/>
          <w:szCs w:val="24"/>
        </w:rPr>
      </w:pPr>
      <w:r>
        <w:rPr>
          <w:spacing w:val="-23"/>
          <w:sz w:val="24"/>
          <w:szCs w:val="24"/>
        </w:rPr>
        <w:t>8、进入现场的成品物资应按照品种、规格、型号分类堆码，现场的管材置于有盖仓库内，</w:t>
      </w:r>
      <w:r>
        <w:rPr>
          <w:spacing w:val="-21"/>
          <w:sz w:val="24"/>
          <w:szCs w:val="24"/>
        </w:rPr>
        <w:t>并加以支垫，防止雨淋、暴晒及受潮，存放地点必须</w:t>
      </w:r>
      <w:r>
        <w:rPr>
          <w:spacing w:val="-22"/>
          <w:sz w:val="24"/>
          <w:szCs w:val="24"/>
        </w:rPr>
        <w:t>有利于施工。</w:t>
      </w:r>
    </w:p>
    <w:p w14:paraId="6BE09ADD">
      <w:pPr>
        <w:pStyle w:val="2"/>
        <w:spacing w:before="118" w:line="262" w:lineRule="auto"/>
        <w:ind w:left="1472" w:right="1440" w:firstLine="414"/>
        <w:rPr>
          <w:sz w:val="24"/>
          <w:szCs w:val="24"/>
        </w:rPr>
      </w:pPr>
      <w:r>
        <w:rPr>
          <w:spacing w:val="-23"/>
          <w:sz w:val="24"/>
          <w:szCs w:val="24"/>
        </w:rPr>
        <w:t>9、进入现场的材料在存放中要按照其性能及防护要求定期涂油或刷防锈漆进行保养保护，</w:t>
      </w:r>
      <w:r>
        <w:rPr>
          <w:spacing w:val="-22"/>
          <w:sz w:val="24"/>
          <w:szCs w:val="24"/>
        </w:rPr>
        <w:t>防止锈蚀变质；运输时按照其产品运输注意事项操作，确保管材</w:t>
      </w:r>
      <w:r>
        <w:rPr>
          <w:spacing w:val="-23"/>
          <w:sz w:val="24"/>
          <w:szCs w:val="24"/>
        </w:rPr>
        <w:t>不受损伤。</w:t>
      </w:r>
    </w:p>
    <w:p w14:paraId="27AFE665">
      <w:pPr>
        <w:pStyle w:val="2"/>
        <w:spacing w:before="119" w:line="217" w:lineRule="auto"/>
        <w:ind w:left="1903"/>
        <w:rPr>
          <w:sz w:val="24"/>
          <w:szCs w:val="24"/>
        </w:rPr>
      </w:pPr>
      <w:r>
        <w:rPr>
          <w:spacing w:val="-21"/>
          <w:sz w:val="24"/>
          <w:szCs w:val="24"/>
        </w:rPr>
        <w:t>10、凡管材区域的施工或装卸运输，设专人管理，防止被撞或被刮。</w:t>
      </w:r>
    </w:p>
    <w:p w14:paraId="0DA7196B">
      <w:pPr>
        <w:pStyle w:val="2"/>
        <w:spacing w:before="117" w:line="216" w:lineRule="auto"/>
        <w:ind w:left="1903"/>
        <w:rPr>
          <w:sz w:val="24"/>
          <w:szCs w:val="24"/>
        </w:rPr>
      </w:pPr>
      <w:r>
        <w:rPr>
          <w:spacing w:val="-20"/>
          <w:sz w:val="24"/>
          <w:szCs w:val="24"/>
        </w:rPr>
        <w:t>11、严禁践踏管材作为施工受力构件。</w:t>
      </w:r>
    </w:p>
    <w:p w14:paraId="24C1ED27">
      <w:pPr>
        <w:pStyle w:val="2"/>
        <w:spacing w:before="121" w:line="262" w:lineRule="auto"/>
        <w:ind w:left="1460" w:right="1409" w:firstLine="443"/>
        <w:rPr>
          <w:spacing w:val="-21"/>
          <w:sz w:val="24"/>
          <w:szCs w:val="24"/>
        </w:rPr>
      </w:pPr>
      <w:r>
        <w:rPr>
          <w:spacing w:val="-19"/>
          <w:sz w:val="24"/>
          <w:szCs w:val="24"/>
        </w:rPr>
        <w:t>12、提倡文明作业，严禁野蛮施工，对野蛮施工的行为要进</w:t>
      </w:r>
      <w:r>
        <w:rPr>
          <w:spacing w:val="-20"/>
          <w:sz w:val="24"/>
          <w:szCs w:val="24"/>
        </w:rPr>
        <w:t>行制止，一经发现不论是否造</w:t>
      </w:r>
      <w:r>
        <w:rPr>
          <w:spacing w:val="-21"/>
          <w:sz w:val="24"/>
          <w:szCs w:val="24"/>
        </w:rPr>
        <w:t>成成品损伤，都要给予处分和经济处罚。</w:t>
      </w:r>
    </w:p>
    <w:p w14:paraId="36F69E51">
      <w:pPr>
        <w:pStyle w:val="2"/>
        <w:spacing w:before="121" w:line="262" w:lineRule="auto"/>
        <w:ind w:left="1460" w:right="1409" w:firstLine="443"/>
        <w:rPr>
          <w:rFonts w:hint="eastAsia"/>
          <w:spacing w:val="-21"/>
          <w:sz w:val="24"/>
          <w:szCs w:val="24"/>
        </w:rPr>
      </w:pPr>
      <w:r>
        <w:rPr>
          <w:rFonts w:hint="eastAsia"/>
          <w:spacing w:val="-21"/>
          <w:sz w:val="24"/>
          <w:szCs w:val="24"/>
        </w:rPr>
        <w:t>文明施工资金保障制度</w:t>
      </w:r>
    </w:p>
    <w:p w14:paraId="454D404D">
      <w:pPr>
        <w:pStyle w:val="2"/>
        <w:spacing w:before="121" w:line="262" w:lineRule="auto"/>
        <w:ind w:left="1460" w:right="1409" w:firstLine="443"/>
        <w:rPr>
          <w:rFonts w:hint="eastAsia"/>
          <w:spacing w:val="-21"/>
          <w:sz w:val="24"/>
          <w:szCs w:val="24"/>
        </w:rPr>
      </w:pPr>
      <w:r>
        <w:rPr>
          <w:rFonts w:hint="eastAsia"/>
          <w:spacing w:val="-21"/>
          <w:sz w:val="24"/>
          <w:szCs w:val="24"/>
        </w:rPr>
        <w:t>安全文明施工措施费,对于中标工程,中标合同中有相关单列约定的,项目部应严格按照相关约定执行,中标合同中安全生产措施费未进行约定的工程项目,安全生产措施费用按照当地地方政府参考费率标准采用差额定率累进计费方式计取;或者按照安全生产管理机构对施工现场安全生产管理的实际需要按计划计取。</w:t>
      </w:r>
    </w:p>
    <w:p w14:paraId="2A980028">
      <w:pPr>
        <w:pStyle w:val="2"/>
        <w:spacing w:before="121" w:line="262" w:lineRule="auto"/>
        <w:ind w:left="1460" w:right="1409" w:firstLine="443"/>
        <w:rPr>
          <w:rFonts w:hint="eastAsia"/>
          <w:spacing w:val="-21"/>
          <w:sz w:val="24"/>
          <w:szCs w:val="24"/>
        </w:rPr>
      </w:pPr>
      <w:r>
        <w:rPr>
          <w:rFonts w:hint="eastAsia"/>
          <w:spacing w:val="-21"/>
          <w:sz w:val="24"/>
          <w:szCs w:val="24"/>
        </w:rPr>
        <w:t>公司对施工经营项目需具备安全生产条件所必须的资金投入,由施工经营项目的决策机构或主要负责人确保资金的及时到位,正确使用,并对由于安全生产所必需的资金投入不足导致的后果承担责任。</w:t>
      </w:r>
    </w:p>
    <w:p w14:paraId="0AC9AE4B">
      <w:pPr>
        <w:pStyle w:val="2"/>
        <w:spacing w:before="121" w:line="262" w:lineRule="auto"/>
        <w:ind w:left="1460" w:right="1409" w:firstLine="443"/>
        <w:rPr>
          <w:rFonts w:hint="eastAsia"/>
          <w:spacing w:val="-21"/>
          <w:sz w:val="24"/>
          <w:szCs w:val="24"/>
        </w:rPr>
      </w:pPr>
      <w:r>
        <w:rPr>
          <w:rFonts w:hint="eastAsia"/>
          <w:spacing w:val="-21"/>
          <w:sz w:val="24"/>
          <w:szCs w:val="24"/>
        </w:rPr>
        <w:t>公司安全生产专项资金的支出由公司安全管理部按计划报批,项目安全生产专项资金的支出由该项目安全生产科按计划报批。</w:t>
      </w:r>
    </w:p>
    <w:p w14:paraId="30B07BF6">
      <w:pPr>
        <w:pStyle w:val="2"/>
        <w:spacing w:before="121" w:line="262" w:lineRule="auto"/>
        <w:ind w:left="1460" w:right="1409" w:firstLine="443"/>
        <w:rPr>
          <w:rFonts w:hint="eastAsia"/>
          <w:spacing w:val="-21"/>
          <w:sz w:val="24"/>
          <w:szCs w:val="24"/>
        </w:rPr>
      </w:pPr>
      <w:r>
        <w:rPr>
          <w:rFonts w:hint="eastAsia"/>
          <w:spacing w:val="-21"/>
          <w:sz w:val="24"/>
          <w:szCs w:val="24"/>
        </w:rPr>
        <w:t>对不按规定使用措施费或安全措施落实不到位的项目部,公司依照有关规章制度给予处分处罚。发生伤亡事故,危害职工身体健康的,应首先追究有关人员的责任。(四)、公司对于安全生产工作成绩优异的项目部、班组、个人给予适当奖励,奖励资金不使用公司安全生产专项资金。</w:t>
      </w:r>
    </w:p>
    <w:p w14:paraId="526A1425">
      <w:pPr>
        <w:pStyle w:val="2"/>
        <w:spacing w:before="121" w:line="262" w:lineRule="auto"/>
        <w:ind w:left="1460" w:right="1409" w:firstLine="443"/>
        <w:rPr>
          <w:rFonts w:hint="eastAsia"/>
          <w:spacing w:val="-21"/>
          <w:sz w:val="24"/>
          <w:szCs w:val="24"/>
        </w:rPr>
      </w:pPr>
      <w:r>
        <w:rPr>
          <w:rFonts w:hint="eastAsia"/>
          <w:spacing w:val="-21"/>
          <w:sz w:val="24"/>
          <w:szCs w:val="24"/>
        </w:rPr>
        <w:t>安全文明资金具体措施为了进一步加强企业安全管理,确保企业对安全技术措施费使用的及时、到位,根据国家安全生产法并依据本公司《财务管理制度》和《资金运用制度》的规定,结合本公司实际,特制订安全生产资金保障制度如下:</w:t>
      </w:r>
    </w:p>
    <w:p w14:paraId="7388B0A9">
      <w:pPr>
        <w:pStyle w:val="2"/>
        <w:spacing w:before="121" w:line="262" w:lineRule="auto"/>
        <w:ind w:left="1460" w:right="1409" w:firstLine="443"/>
        <w:rPr>
          <w:rFonts w:hint="eastAsia"/>
          <w:spacing w:val="-21"/>
          <w:sz w:val="24"/>
          <w:szCs w:val="24"/>
        </w:rPr>
      </w:pPr>
      <w:r>
        <w:rPr>
          <w:rFonts w:hint="eastAsia"/>
          <w:spacing w:val="-21"/>
          <w:sz w:val="24"/>
          <w:szCs w:val="24"/>
        </w:rPr>
        <w:t>一、公司设立安全生产专项资金专户,公司安全生产专项资金专户由公司安全生产领导小组管理。安全生产措施费专用于保障工程项目安全生产,实行专款专用,不得挪作他用;</w:t>
      </w:r>
    </w:p>
    <w:p w14:paraId="5D712730">
      <w:pPr>
        <w:pStyle w:val="2"/>
        <w:spacing w:before="121" w:line="262" w:lineRule="auto"/>
        <w:ind w:left="1460" w:right="1409" w:firstLine="443"/>
        <w:rPr>
          <w:rFonts w:hint="eastAsia"/>
          <w:spacing w:val="-21"/>
          <w:sz w:val="24"/>
          <w:szCs w:val="24"/>
        </w:rPr>
      </w:pPr>
      <w:r>
        <w:rPr>
          <w:rFonts w:hint="eastAsia"/>
          <w:spacing w:val="-21"/>
          <w:sz w:val="24"/>
          <w:szCs w:val="24"/>
        </w:rPr>
        <w:t>二、安全生产措施费暂按工程造价的1.4%计取列入项目成本,统一由公司管理。安全生产施措施费的使用必须立项,原则上由公司具体掌握。工程项目开工初期,项目部必须按照轻、重、缓、急和实用的原则制定出安全生产措施、方案,以及措施费的支出计划,报所属承包部审核,再经公司综合管理部复审,送公司总经理审批后,由财务部安排资金支付,所列费用方可计入安全生产措施费。各种安全技术设备,由各承包部安排专业人员购买、验收、管理,用于改善施工作业环境和机械设备的安全状况等。安全生产措施费用根据劳动部、全国总工会发布《安全技术措施计划的项目总名称表》、《施工安全检查标准》(JGJ59-99)制订,其包括的范围如下:</w:t>
      </w:r>
    </w:p>
    <w:p w14:paraId="301403B5">
      <w:pPr>
        <w:pStyle w:val="2"/>
        <w:spacing w:before="121" w:line="262" w:lineRule="auto"/>
        <w:ind w:left="1460" w:right="1409" w:firstLine="443"/>
        <w:rPr>
          <w:rFonts w:hint="eastAsia"/>
          <w:spacing w:val="-21"/>
          <w:sz w:val="24"/>
          <w:szCs w:val="24"/>
        </w:rPr>
      </w:pPr>
      <w:r>
        <w:rPr>
          <w:rFonts w:hint="eastAsia"/>
          <w:spacing w:val="-21"/>
          <w:sz w:val="24"/>
          <w:szCs w:val="24"/>
        </w:rPr>
        <w:t>1.安全资料的编印、安全施工标志的购置及宣传栏的设置(包括报刊、宣传书籍、标语的购置)费用;</w:t>
      </w:r>
    </w:p>
    <w:p w14:paraId="0FEC058C">
      <w:pPr>
        <w:pStyle w:val="2"/>
        <w:spacing w:before="121" w:line="262" w:lineRule="auto"/>
        <w:ind w:left="1460" w:right="1409" w:firstLine="443"/>
        <w:rPr>
          <w:rFonts w:hint="eastAsia"/>
          <w:spacing w:val="-21"/>
          <w:sz w:val="24"/>
          <w:szCs w:val="24"/>
        </w:rPr>
      </w:pPr>
      <w:r>
        <w:rPr>
          <w:rFonts w:hint="eastAsia"/>
          <w:spacing w:val="-21"/>
          <w:sz w:val="24"/>
          <w:szCs w:val="24"/>
        </w:rPr>
        <w:t>2.安全培训及教育费用;</w:t>
      </w:r>
    </w:p>
    <w:p w14:paraId="184FB9CD">
      <w:pPr>
        <w:pStyle w:val="2"/>
        <w:spacing w:before="121" w:line="262" w:lineRule="auto"/>
        <w:ind w:left="1460" w:right="1409" w:firstLine="443"/>
        <w:rPr>
          <w:rFonts w:hint="eastAsia"/>
          <w:spacing w:val="-21"/>
          <w:sz w:val="24"/>
          <w:szCs w:val="24"/>
        </w:rPr>
      </w:pPr>
      <w:r>
        <w:rPr>
          <w:rFonts w:hint="eastAsia"/>
          <w:spacing w:val="-21"/>
          <w:sz w:val="24"/>
          <w:szCs w:val="24"/>
        </w:rPr>
        <w:t>3.“三宝”、“四口”及临边防护的费用;</w:t>
      </w:r>
    </w:p>
    <w:p w14:paraId="1991E9F4">
      <w:pPr>
        <w:pStyle w:val="2"/>
        <w:spacing w:before="121" w:line="262" w:lineRule="auto"/>
        <w:ind w:left="1460" w:right="1409" w:firstLine="443"/>
        <w:rPr>
          <w:rFonts w:hint="eastAsia"/>
          <w:spacing w:val="-21"/>
          <w:sz w:val="24"/>
          <w:szCs w:val="24"/>
        </w:rPr>
      </w:pPr>
      <w:r>
        <w:rPr>
          <w:rFonts w:hint="eastAsia"/>
          <w:spacing w:val="-21"/>
          <w:sz w:val="24"/>
          <w:szCs w:val="24"/>
        </w:rPr>
        <w:t>4.施工安全用电的费用,包括:标准化电箱、电器保护装置、电源线路的敷设、外电防护措施等;</w:t>
      </w:r>
    </w:p>
    <w:p w14:paraId="727187C6">
      <w:pPr>
        <w:pStyle w:val="2"/>
        <w:spacing w:before="121" w:line="262" w:lineRule="auto"/>
        <w:ind w:left="1460" w:right="1409" w:firstLine="443"/>
        <w:rPr>
          <w:rFonts w:hint="eastAsia"/>
          <w:spacing w:val="-21"/>
          <w:sz w:val="24"/>
          <w:szCs w:val="24"/>
        </w:rPr>
      </w:pPr>
      <w:r>
        <w:rPr>
          <w:rFonts w:hint="eastAsia"/>
          <w:spacing w:val="-21"/>
          <w:sz w:val="24"/>
          <w:szCs w:val="24"/>
        </w:rPr>
        <w:t>5.设备及人员的安全防护等设施费用;</w:t>
      </w:r>
    </w:p>
    <w:p w14:paraId="6F91E09B">
      <w:pPr>
        <w:pStyle w:val="2"/>
        <w:spacing w:before="121" w:line="262" w:lineRule="auto"/>
        <w:ind w:left="1460" w:right="1409" w:firstLine="443"/>
        <w:rPr>
          <w:rFonts w:hint="eastAsia"/>
          <w:spacing w:val="-21"/>
          <w:sz w:val="24"/>
          <w:szCs w:val="24"/>
        </w:rPr>
      </w:pPr>
      <w:r>
        <w:rPr>
          <w:rFonts w:hint="eastAsia"/>
          <w:spacing w:val="-21"/>
          <w:sz w:val="24"/>
          <w:szCs w:val="24"/>
        </w:rPr>
        <w:t>6.施工机具防护棚及其围栏的安全保护设施费用;</w:t>
      </w:r>
    </w:p>
    <w:p w14:paraId="6615A57B">
      <w:pPr>
        <w:pStyle w:val="2"/>
        <w:spacing w:before="121" w:line="262" w:lineRule="auto"/>
        <w:ind w:left="1460" w:right="1409" w:firstLine="443"/>
        <w:rPr>
          <w:rFonts w:hint="eastAsia"/>
          <w:spacing w:val="-21"/>
          <w:sz w:val="24"/>
          <w:szCs w:val="24"/>
        </w:rPr>
      </w:pPr>
      <w:r>
        <w:rPr>
          <w:rFonts w:hint="eastAsia"/>
          <w:spacing w:val="-21"/>
          <w:sz w:val="24"/>
          <w:szCs w:val="24"/>
        </w:rPr>
        <w:t>7.施工设备、器材及防护、警示设施费用;</w:t>
      </w:r>
    </w:p>
    <w:p w14:paraId="57224B9C">
      <w:pPr>
        <w:pStyle w:val="2"/>
        <w:spacing w:before="121" w:line="262" w:lineRule="auto"/>
        <w:ind w:left="1460" w:right="1409" w:firstLine="443"/>
        <w:rPr>
          <w:rFonts w:hint="eastAsia"/>
          <w:spacing w:val="-21"/>
          <w:sz w:val="24"/>
          <w:szCs w:val="24"/>
        </w:rPr>
      </w:pPr>
      <w:r>
        <w:rPr>
          <w:rFonts w:hint="eastAsia"/>
          <w:spacing w:val="-21"/>
          <w:sz w:val="24"/>
          <w:szCs w:val="24"/>
        </w:rPr>
        <w:t>8.抢险应急措施;</w:t>
      </w:r>
    </w:p>
    <w:p w14:paraId="1634D4A4">
      <w:pPr>
        <w:pStyle w:val="2"/>
        <w:spacing w:before="121" w:line="262" w:lineRule="auto"/>
        <w:ind w:left="1460" w:right="1409" w:firstLine="443"/>
        <w:rPr>
          <w:rFonts w:hint="eastAsia"/>
          <w:spacing w:val="-21"/>
          <w:sz w:val="24"/>
          <w:szCs w:val="24"/>
        </w:rPr>
      </w:pPr>
      <w:r>
        <w:rPr>
          <w:rFonts w:hint="eastAsia"/>
          <w:spacing w:val="-21"/>
          <w:sz w:val="24"/>
          <w:szCs w:val="24"/>
        </w:rPr>
        <w:t>9.消防设施与消防器材的配置及保健急救措施费用;</w:t>
      </w:r>
    </w:p>
    <w:p w14:paraId="7192D9EB">
      <w:pPr>
        <w:pStyle w:val="2"/>
        <w:spacing w:before="121" w:line="262" w:lineRule="auto"/>
        <w:ind w:left="1460" w:right="1409" w:firstLine="443"/>
        <w:rPr>
          <w:rFonts w:hint="eastAsia"/>
          <w:spacing w:val="-21"/>
          <w:sz w:val="24"/>
          <w:szCs w:val="24"/>
        </w:rPr>
      </w:pPr>
      <w:r>
        <w:rPr>
          <w:rFonts w:hint="eastAsia"/>
          <w:spacing w:val="-21"/>
          <w:sz w:val="24"/>
          <w:szCs w:val="24"/>
        </w:rPr>
        <w:t>10.安全网、安全帽、安全带的购置费用;</w:t>
      </w:r>
    </w:p>
    <w:p w14:paraId="7F6060CF">
      <w:pPr>
        <w:pStyle w:val="2"/>
        <w:spacing w:before="121" w:line="262" w:lineRule="auto"/>
        <w:ind w:left="1460" w:right="1409" w:firstLine="443"/>
        <w:rPr>
          <w:rFonts w:hint="eastAsia"/>
          <w:spacing w:val="-21"/>
          <w:sz w:val="24"/>
          <w:szCs w:val="24"/>
        </w:rPr>
      </w:pPr>
      <w:r>
        <w:rPr>
          <w:rFonts w:hint="eastAsia"/>
          <w:spacing w:val="-21"/>
          <w:sz w:val="24"/>
          <w:szCs w:val="24"/>
        </w:rPr>
        <w:t>11.按国家、施工所在省、市规定的其它安全生产措施所涉及的费用。</w:t>
      </w:r>
    </w:p>
    <w:p w14:paraId="7B3B111A">
      <w:pPr>
        <w:pStyle w:val="2"/>
        <w:spacing w:before="121" w:line="262" w:lineRule="auto"/>
        <w:ind w:left="1460" w:right="1409" w:firstLine="443"/>
        <w:rPr>
          <w:rFonts w:hint="eastAsia"/>
          <w:spacing w:val="-21"/>
          <w:sz w:val="24"/>
          <w:szCs w:val="24"/>
        </w:rPr>
      </w:pPr>
      <w:r>
        <w:rPr>
          <w:rFonts w:hint="eastAsia"/>
          <w:spacing w:val="-21"/>
          <w:sz w:val="24"/>
          <w:szCs w:val="24"/>
        </w:rPr>
        <w:t>12.上述费用中,1、2、7、8、10项由公司专项列支,其他由项目部列支并按季统计上报。</w:t>
      </w:r>
    </w:p>
    <w:p w14:paraId="0261EA1D">
      <w:pPr>
        <w:pStyle w:val="2"/>
        <w:spacing w:before="121" w:line="262" w:lineRule="auto"/>
        <w:ind w:left="1460" w:right="1409" w:firstLine="443"/>
        <w:rPr>
          <w:rFonts w:hint="eastAsia"/>
          <w:spacing w:val="-21"/>
          <w:sz w:val="24"/>
          <w:szCs w:val="24"/>
        </w:rPr>
      </w:pPr>
      <w:r>
        <w:rPr>
          <w:rFonts w:hint="eastAsia"/>
          <w:spacing w:val="-21"/>
          <w:sz w:val="24"/>
          <w:szCs w:val="24"/>
        </w:rPr>
        <w:t>三、安全文明施工措施费,对于中标工程,中标合同中有相关单列约定的,项目部应严格按照相关约定执行,中标合同中安全生产措施费未进行约定的工程项目,安全生产措施费用按照当地地方政府参考费率标准采用差额定率累进计费方式计取;</w:t>
      </w:r>
    </w:p>
    <w:p w14:paraId="65EC0D86">
      <w:pPr>
        <w:pStyle w:val="2"/>
        <w:spacing w:before="121" w:line="262" w:lineRule="auto"/>
        <w:ind w:left="1460" w:right="1409" w:firstLine="443"/>
        <w:rPr>
          <w:rFonts w:hint="eastAsia"/>
          <w:spacing w:val="-21"/>
          <w:sz w:val="24"/>
          <w:szCs w:val="24"/>
        </w:rPr>
      </w:pPr>
      <w:r>
        <w:rPr>
          <w:rFonts w:hint="eastAsia"/>
          <w:spacing w:val="-21"/>
          <w:sz w:val="24"/>
          <w:szCs w:val="24"/>
        </w:rPr>
        <w:t>四、公司对施工经营项目需具备安全生产条件所必须的资金投入,由施工经营项目的决策机构或主要负责人确保资金的及时到位,正确使用,并对由于安全生产所必需的资金投入不足导致的后果承担责任。</w:t>
      </w:r>
    </w:p>
    <w:p w14:paraId="3319CFA2">
      <w:pPr>
        <w:pStyle w:val="2"/>
        <w:spacing w:before="121" w:line="262" w:lineRule="auto"/>
        <w:ind w:left="1460" w:right="1409" w:firstLine="443"/>
        <w:rPr>
          <w:rFonts w:hint="eastAsia"/>
          <w:spacing w:val="-21"/>
          <w:sz w:val="24"/>
          <w:szCs w:val="24"/>
        </w:rPr>
      </w:pPr>
      <w:r>
        <w:rPr>
          <w:rFonts w:hint="eastAsia"/>
          <w:spacing w:val="-21"/>
          <w:sz w:val="24"/>
          <w:szCs w:val="24"/>
        </w:rPr>
        <w:t>五、公司安全生产专项资金的支出由公司安全总监批准,项目安全生产专项资金的支出由该项目安全员批准。</w:t>
      </w:r>
    </w:p>
    <w:p w14:paraId="30807CF2">
      <w:pPr>
        <w:pStyle w:val="2"/>
        <w:spacing w:before="121" w:line="262" w:lineRule="auto"/>
        <w:ind w:left="1460" w:right="1409" w:firstLine="443"/>
        <w:rPr>
          <w:rFonts w:hint="eastAsia"/>
          <w:spacing w:val="-21"/>
          <w:sz w:val="24"/>
          <w:szCs w:val="24"/>
        </w:rPr>
      </w:pPr>
      <w:r>
        <w:rPr>
          <w:rFonts w:hint="eastAsia"/>
          <w:spacing w:val="-21"/>
          <w:sz w:val="24"/>
          <w:szCs w:val="24"/>
        </w:rPr>
        <w:t>六、对不按规定使用措施费或安全措施落实不到位的项目部,公司依照有关规章制度给予处分处罚,罚款数额由公司安全总监核定,罚款的收入,应如数上缴公司安全生产专项资金专户,统一调配使用。发生伤亡事故,危害职工身体健康的,应首先追究有关人员的责任。</w:t>
      </w:r>
    </w:p>
    <w:p w14:paraId="3230004E">
      <w:pPr>
        <w:pStyle w:val="2"/>
        <w:spacing w:before="121" w:line="262" w:lineRule="auto"/>
        <w:ind w:left="1460" w:right="1409" w:firstLine="443"/>
        <w:rPr>
          <w:rFonts w:hint="eastAsia"/>
          <w:spacing w:val="-21"/>
          <w:sz w:val="24"/>
          <w:szCs w:val="24"/>
        </w:rPr>
      </w:pPr>
      <w:r>
        <w:rPr>
          <w:rFonts w:hint="eastAsia"/>
          <w:spacing w:val="-21"/>
          <w:sz w:val="24"/>
          <w:szCs w:val="24"/>
        </w:rPr>
        <w:t>七、项目部安全生产专项资金帐户在工程结束时的结余,应全额上缴公司安全生产专项资金专户。不得挪用。</w:t>
      </w:r>
    </w:p>
    <w:p w14:paraId="20C3F293">
      <w:pPr>
        <w:pStyle w:val="2"/>
        <w:spacing w:before="121" w:line="262" w:lineRule="auto"/>
        <w:ind w:left="1460" w:right="1409" w:firstLine="443"/>
        <w:rPr>
          <w:spacing w:val="-21"/>
          <w:sz w:val="24"/>
          <w:szCs w:val="24"/>
        </w:rPr>
      </w:pPr>
      <w:r>
        <w:rPr>
          <w:rFonts w:hint="eastAsia"/>
          <w:spacing w:val="-21"/>
          <w:sz w:val="24"/>
          <w:szCs w:val="24"/>
        </w:rPr>
        <w:t>八、公司对于安全生产工作成绩优异的项目部、班组、个人给予适当奖励,奖励资金不使用公司安全生产专项资金。</w:t>
      </w:r>
    </w:p>
    <w:p w14:paraId="49E56B46">
      <w:pPr>
        <w:pStyle w:val="2"/>
        <w:spacing w:before="117" w:line="217" w:lineRule="auto"/>
        <w:ind w:left="1894"/>
        <w:rPr>
          <w:sz w:val="24"/>
          <w:szCs w:val="24"/>
        </w:rPr>
      </w:pPr>
      <w:r>
        <w:rPr>
          <w:rFonts w:hint="eastAsia"/>
          <w:spacing w:val="-15"/>
          <w:sz w:val="24"/>
          <w:szCs w:val="24"/>
          <w:lang w:val="en-US" w:eastAsia="zh-CN"/>
        </w:rPr>
        <w:t>材料</w:t>
      </w:r>
      <w:r>
        <w:rPr>
          <w:spacing w:val="-15"/>
          <w:sz w:val="24"/>
          <w:szCs w:val="24"/>
        </w:rPr>
        <w:t>堆放要求</w:t>
      </w:r>
    </w:p>
    <w:p w14:paraId="763210BA">
      <w:pPr>
        <w:spacing w:line="42" w:lineRule="auto"/>
        <w:rPr>
          <w:rFonts w:ascii="Arial"/>
          <w:sz w:val="2"/>
        </w:rPr>
      </w:pPr>
    </w:p>
    <w:tbl>
      <w:tblPr>
        <w:tblStyle w:val="6"/>
        <w:tblW w:w="8549" w:type="dxa"/>
        <w:tblInd w:w="1678" w:type="dxa"/>
        <w:tblBorders>
          <w:top w:val="single" w:color="5B9BD5" w:sz="4" w:space="0"/>
          <w:left w:val="single" w:color="5B9BD5" w:sz="4" w:space="0"/>
          <w:bottom w:val="single" w:color="5B9BD5" w:sz="4" w:space="0"/>
          <w:right w:val="single" w:color="5B9BD5" w:sz="4" w:space="0"/>
          <w:insideH w:val="single" w:color="5B9BD5" w:sz="4" w:space="0"/>
          <w:insideV w:val="single" w:color="5B9BD5" w:sz="4" w:space="0"/>
        </w:tblBorders>
        <w:tblLayout w:type="fixed"/>
        <w:tblCellMar>
          <w:top w:w="0" w:type="dxa"/>
          <w:left w:w="0" w:type="dxa"/>
          <w:bottom w:w="0" w:type="dxa"/>
          <w:right w:w="0" w:type="dxa"/>
        </w:tblCellMar>
      </w:tblPr>
      <w:tblGrid>
        <w:gridCol w:w="87"/>
        <w:gridCol w:w="4187"/>
        <w:gridCol w:w="4275"/>
      </w:tblGrid>
      <w:tr w14:paraId="2C5F2A71">
        <w:tblPrEx>
          <w:tblBorders>
            <w:top w:val="single" w:color="5B9BD5" w:sz="4" w:space="0"/>
            <w:left w:val="single" w:color="5B9BD5" w:sz="4" w:space="0"/>
            <w:bottom w:val="single" w:color="5B9BD5" w:sz="4" w:space="0"/>
            <w:right w:val="single" w:color="5B9BD5" w:sz="4" w:space="0"/>
            <w:insideH w:val="single" w:color="5B9BD5" w:sz="4" w:space="0"/>
            <w:insideV w:val="single" w:color="5B9BD5" w:sz="4" w:space="0"/>
          </w:tblBorders>
          <w:tblCellMar>
            <w:top w:w="0" w:type="dxa"/>
            <w:left w:w="0" w:type="dxa"/>
            <w:bottom w:w="0" w:type="dxa"/>
            <w:right w:w="0" w:type="dxa"/>
          </w:tblCellMar>
        </w:tblPrEx>
        <w:trPr>
          <w:trHeight w:val="620" w:hRule="atLeast"/>
        </w:trPr>
        <w:tc>
          <w:tcPr>
            <w:tcW w:w="87" w:type="dxa"/>
            <w:tcBorders>
              <w:bottom w:val="single" w:color="000000" w:sz="2" w:space="0"/>
              <w:right w:val="nil"/>
            </w:tcBorders>
            <w:vAlign w:val="top"/>
          </w:tcPr>
          <w:p w14:paraId="4826E179">
            <w:pPr>
              <w:rPr>
                <w:rFonts w:ascii="Arial"/>
                <w:sz w:val="21"/>
              </w:rPr>
            </w:pPr>
            <w:r>
              <w:pict>
                <v:shape id="_x0000_s3810" o:spid="_x0000_s3810" style="position:absolute;left:0pt;margin-left:-0.25pt;margin-top:0pt;height:0.75pt;width:2.2pt;mso-position-horizontal-relative:page;mso-position-vertical-relative:page;z-index:252225536;mso-width-relative:page;mso-height-relative:page;" fillcolor="#5B9BD5" filled="t" stroked="f" coordsize="44,15" path="m0,14l43,14,43,0,0,0,0,14xe">
                  <v:path/>
                  <v:fill on="t" focussize="0,0"/>
                  <v:stroke on="f"/>
                  <v:imagedata o:title=""/>
                  <o:lock v:ext="edit"/>
                </v:shape>
              </w:pict>
            </w:r>
          </w:p>
        </w:tc>
        <w:tc>
          <w:tcPr>
            <w:tcW w:w="8462" w:type="dxa"/>
            <w:gridSpan w:val="2"/>
            <w:tcBorders>
              <w:left w:val="nil"/>
              <w:bottom w:val="single" w:color="000000" w:sz="2" w:space="0"/>
            </w:tcBorders>
            <w:shd w:val="clear" w:color="auto" w:fill="DEEAF6"/>
            <w:vAlign w:val="top"/>
          </w:tcPr>
          <w:p w14:paraId="73287CFD">
            <w:pPr>
              <w:pStyle w:val="7"/>
              <w:spacing w:before="128" w:line="217" w:lineRule="auto"/>
              <w:ind w:left="3657"/>
            </w:pPr>
            <w:r>
              <w:rPr>
                <w:b/>
                <w:bCs/>
                <w:spacing w:val="-20"/>
              </w:rPr>
              <w:t>堆放示意图</w:t>
            </w:r>
          </w:p>
        </w:tc>
      </w:tr>
      <w:tr w14:paraId="356AC215">
        <w:tblPrEx>
          <w:tblBorders>
            <w:top w:val="single" w:color="5B9BD5" w:sz="4" w:space="0"/>
            <w:left w:val="single" w:color="5B9BD5" w:sz="4" w:space="0"/>
            <w:bottom w:val="single" w:color="5B9BD5" w:sz="4" w:space="0"/>
            <w:right w:val="single" w:color="5B9BD5" w:sz="4" w:space="0"/>
            <w:insideH w:val="single" w:color="5B9BD5" w:sz="4" w:space="0"/>
            <w:insideV w:val="single" w:color="5B9BD5" w:sz="4" w:space="0"/>
          </w:tblBorders>
          <w:tblCellMar>
            <w:top w:w="0" w:type="dxa"/>
            <w:left w:w="0" w:type="dxa"/>
            <w:bottom w:w="0" w:type="dxa"/>
            <w:right w:w="0" w:type="dxa"/>
          </w:tblCellMar>
        </w:tblPrEx>
        <w:trPr>
          <w:trHeight w:val="3257" w:hRule="atLeast"/>
        </w:trPr>
        <w:tc>
          <w:tcPr>
            <w:tcW w:w="4274" w:type="dxa"/>
            <w:gridSpan w:val="2"/>
            <w:tcBorders>
              <w:top w:val="single" w:color="000000" w:sz="2" w:space="0"/>
              <w:left w:val="single" w:color="1C456A" w:sz="4" w:space="0"/>
              <w:bottom w:val="single" w:color="1C456A" w:sz="4" w:space="0"/>
              <w:right w:val="single" w:color="000000" w:sz="2" w:space="0"/>
            </w:tcBorders>
            <w:vAlign w:val="top"/>
          </w:tcPr>
          <w:p w14:paraId="75C3B626">
            <w:pPr>
              <w:spacing w:before="137" w:line="2793" w:lineRule="exact"/>
              <w:ind w:firstLine="121"/>
            </w:pPr>
            <w:r>
              <w:pict>
                <v:shape id="_x0000_s3811" o:spid="_x0000_s3811" style="position:absolute;left:0pt;margin-left:-0.2pt;margin-top:162.9pt;height:0.75pt;width:2.2pt;mso-position-horizontal-relative:page;mso-position-vertical-relative:page;z-index:252224512;mso-width-relative:page;mso-height-relative:page;" fillcolor="#5B9BD5" filled="t" stroked="f" coordsize="44,15" path="m0,14l43,14,43,0,0,0,0,14xe">
                  <v:path/>
                  <v:fill on="t" focussize="0,0"/>
                  <v:stroke on="f"/>
                  <v:imagedata o:title=""/>
                  <o:lock v:ext="edit"/>
                </v:shape>
              </w:pict>
            </w:r>
            <w:r>
              <w:rPr>
                <w:position w:val="-55"/>
              </w:rPr>
              <w:drawing>
                <wp:inline distT="0" distB="0" distL="0" distR="0">
                  <wp:extent cx="2561590" cy="1773555"/>
                  <wp:effectExtent l="0" t="0" r="0" b="0"/>
                  <wp:docPr id="1242" name="IM 1242"/>
                  <wp:cNvGraphicFramePr/>
                  <a:graphic xmlns:a="http://schemas.openxmlformats.org/drawingml/2006/main">
                    <a:graphicData uri="http://schemas.openxmlformats.org/drawingml/2006/picture">
                      <pic:pic xmlns:pic="http://schemas.openxmlformats.org/drawingml/2006/picture">
                        <pic:nvPicPr>
                          <pic:cNvPr id="1242" name="IM 1242"/>
                          <pic:cNvPicPr/>
                        </pic:nvPicPr>
                        <pic:blipFill>
                          <a:blip r:embed="rId488"/>
                          <a:stretch>
                            <a:fillRect/>
                          </a:stretch>
                        </pic:blipFill>
                        <pic:spPr>
                          <a:xfrm>
                            <a:off x="0" y="0"/>
                            <a:ext cx="2561590" cy="1773555"/>
                          </a:xfrm>
                          <a:prstGeom prst="rect">
                            <a:avLst/>
                          </a:prstGeom>
                        </pic:spPr>
                      </pic:pic>
                    </a:graphicData>
                  </a:graphic>
                </wp:inline>
              </w:drawing>
            </w:r>
          </w:p>
        </w:tc>
        <w:tc>
          <w:tcPr>
            <w:tcW w:w="4275" w:type="dxa"/>
            <w:tcBorders>
              <w:top w:val="single" w:color="000000" w:sz="2" w:space="0"/>
              <w:left w:val="single" w:color="000000" w:sz="2" w:space="0"/>
            </w:tcBorders>
            <w:vAlign w:val="top"/>
          </w:tcPr>
          <w:p w14:paraId="5FD5FA91">
            <w:pPr>
              <w:spacing w:before="57" w:line="2952" w:lineRule="exact"/>
              <w:ind w:firstLine="131"/>
            </w:pPr>
            <w:r>
              <w:rPr>
                <w:position w:val="-59"/>
              </w:rPr>
              <w:drawing>
                <wp:inline distT="0" distB="0" distL="0" distR="0">
                  <wp:extent cx="2534920" cy="1874520"/>
                  <wp:effectExtent l="0" t="0" r="0" b="0"/>
                  <wp:docPr id="1244" name="IM 1244"/>
                  <wp:cNvGraphicFramePr/>
                  <a:graphic xmlns:a="http://schemas.openxmlformats.org/drawingml/2006/main">
                    <a:graphicData uri="http://schemas.openxmlformats.org/drawingml/2006/picture">
                      <pic:pic xmlns:pic="http://schemas.openxmlformats.org/drawingml/2006/picture">
                        <pic:nvPicPr>
                          <pic:cNvPr id="1244" name="IM 1244"/>
                          <pic:cNvPicPr/>
                        </pic:nvPicPr>
                        <pic:blipFill>
                          <a:blip r:embed="rId489"/>
                          <a:stretch>
                            <a:fillRect/>
                          </a:stretch>
                        </pic:blipFill>
                        <pic:spPr>
                          <a:xfrm>
                            <a:off x="0" y="0"/>
                            <a:ext cx="2534920" cy="1874520"/>
                          </a:xfrm>
                          <a:prstGeom prst="rect">
                            <a:avLst/>
                          </a:prstGeom>
                        </pic:spPr>
                      </pic:pic>
                    </a:graphicData>
                  </a:graphic>
                </wp:inline>
              </w:drawing>
            </w:r>
          </w:p>
        </w:tc>
      </w:tr>
    </w:tbl>
    <w:p w14:paraId="611CA437">
      <w:pPr>
        <w:pStyle w:val="2"/>
        <w:spacing w:before="116" w:line="215" w:lineRule="auto"/>
        <w:ind w:left="1894"/>
        <w:rPr>
          <w:sz w:val="24"/>
          <w:szCs w:val="24"/>
        </w:rPr>
      </w:pPr>
      <w:r>
        <w:rPr>
          <w:spacing w:val="-19"/>
          <w:sz w:val="24"/>
          <w:szCs w:val="24"/>
        </w:rPr>
        <w:t>球墨铸铁管堆码的原则要求是在码垛稳固、确保安全的条件下，做到按品种、规</w:t>
      </w:r>
      <w:r>
        <w:rPr>
          <w:spacing w:val="-20"/>
          <w:sz w:val="24"/>
          <w:szCs w:val="24"/>
        </w:rPr>
        <w:t>格码垛，</w:t>
      </w:r>
    </w:p>
    <w:p w14:paraId="29C87508">
      <w:pPr>
        <w:pStyle w:val="2"/>
        <w:spacing w:before="121" w:line="216" w:lineRule="auto"/>
        <w:ind w:left="1462"/>
        <w:rPr>
          <w:sz w:val="24"/>
          <w:szCs w:val="24"/>
        </w:rPr>
      </w:pPr>
      <w:r>
        <w:rPr>
          <w:spacing w:val="-21"/>
          <w:sz w:val="24"/>
          <w:szCs w:val="24"/>
        </w:rPr>
        <w:t>不同品种的材料要分别码垛，防止混淆和相互</w:t>
      </w:r>
      <w:r>
        <w:rPr>
          <w:spacing w:val="-22"/>
          <w:sz w:val="24"/>
          <w:szCs w:val="24"/>
        </w:rPr>
        <w:t>腐蚀。</w:t>
      </w:r>
    </w:p>
    <w:p w14:paraId="6A29C1DA">
      <w:pPr>
        <w:spacing w:line="51" w:lineRule="auto"/>
        <w:rPr>
          <w:rFonts w:ascii="Arial"/>
          <w:sz w:val="2"/>
        </w:rPr>
      </w:pPr>
    </w:p>
    <w:tbl>
      <w:tblPr>
        <w:tblStyle w:val="6"/>
        <w:tblW w:w="8549" w:type="dxa"/>
        <w:tblInd w:w="167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92"/>
        <w:gridCol w:w="1159"/>
        <w:gridCol w:w="5433"/>
        <w:gridCol w:w="871"/>
        <w:gridCol w:w="694"/>
      </w:tblGrid>
      <w:tr w14:paraId="46BC0E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1" w:hRule="atLeast"/>
        </w:trPr>
        <w:tc>
          <w:tcPr>
            <w:tcW w:w="1551" w:type="dxa"/>
            <w:gridSpan w:val="2"/>
            <w:tcBorders>
              <w:top w:val="single" w:color="000000" w:sz="4" w:space="0"/>
              <w:left w:val="single" w:color="000000" w:sz="4" w:space="0"/>
            </w:tcBorders>
            <w:shd w:val="clear" w:color="auto" w:fill="DEEAF6"/>
            <w:vAlign w:val="top"/>
          </w:tcPr>
          <w:p w14:paraId="5F79EEC9">
            <w:pPr>
              <w:spacing w:line="93" w:lineRule="exact"/>
            </w:pPr>
            <w:r>
              <w:rPr>
                <w:position w:val="-1"/>
              </w:rPr>
              <w:pict>
                <v:group id="_x0000_s3812" o:spid="_x0000_s3812" o:spt="203" style="height:5.2pt;width:79.35pt;" coordsize="1586,103">
                  <o:lock v:ext="edit"/>
                  <v:shape id="_x0000_s3813" o:spid="_x0000_s3813" style="position:absolute;left:0;top:0;height:15;width:44;" fillcolor="#5B9BD5" filled="t" stroked="f" coordsize="44,15" path="m0,14l43,14,43,0,0,0,0,14xe">
                    <v:path/>
                    <v:fill on="t" focussize="0,0"/>
                    <v:stroke on="f"/>
                    <v:imagedata o:title=""/>
                    <o:lock v:ext="edit"/>
                  </v:shape>
                  <v:shape id="_x0000_s3814" o:spid="_x0000_s3814" style="position:absolute;left:43;top:43;height:60;width:1501;" fillcolor="#DEEAF6" filled="t" stroked="f" coordsize="1501,60" path="m0,60l1500,60,1500,0,0,0,0,60xe">
                    <v:path/>
                    <v:fill on="t" focussize="0,0"/>
                    <v:stroke on="f"/>
                    <v:imagedata o:title=""/>
                    <o:lock v:ext="edit"/>
                  </v:shape>
                  <v:shape id="_x0000_s3815" o:spid="_x0000_s3815" style="position:absolute;left:1543;top:0;height:15;width:44;" fillcolor="#5B9BD5" filled="t" stroked="f" coordsize="44,15" path="m0,14l43,14,43,0,0,0,0,14xe">
                    <v:path/>
                    <v:fill on="t" focussize="0,0"/>
                    <v:stroke on="f"/>
                    <v:imagedata o:title=""/>
                    <o:lock v:ext="edit"/>
                  </v:shape>
                  <v:shape id="_x0000_s3816" o:spid="_x0000_s3816" style="position:absolute;left:1543;top:14;height:15;width:44;" fillcolor="#20507B" filled="t" stroked="f" coordsize="44,15" path="m0,14l43,14,43,0,0,0,0,14xe">
                    <v:path/>
                    <v:fill on="t" focussize="0,0"/>
                    <v:stroke on="f"/>
                    <v:imagedata o:title=""/>
                    <o:lock v:ext="edit"/>
                  </v:shape>
                  <v:shape id="_x0000_s3817" o:spid="_x0000_s3817" style="position:absolute;left:1543;top:28;height:15;width:44;" fillcolor="#1C456A" filled="t" stroked="f" coordsize="44,15" path="m0,14l43,14,43,0,0,0,0,14xe">
                    <v:path/>
                    <v:fill on="t" focussize="0,0"/>
                    <v:stroke on="f"/>
                    <v:imagedata o:title=""/>
                    <o:lock v:ext="edit"/>
                  </v:shape>
                  <w10:wrap type="none"/>
                  <w10:anchorlock/>
                </v:group>
              </w:pict>
            </w:r>
          </w:p>
          <w:p w14:paraId="6760919A">
            <w:pPr>
              <w:pStyle w:val="7"/>
              <w:spacing w:before="33" w:line="218" w:lineRule="auto"/>
              <w:ind w:left="572"/>
            </w:pPr>
            <w:r>
              <w:rPr>
                <w:b/>
                <w:bCs/>
                <w:spacing w:val="-12"/>
              </w:rPr>
              <w:t>序号</w:t>
            </w:r>
          </w:p>
        </w:tc>
        <w:tc>
          <w:tcPr>
            <w:tcW w:w="5433" w:type="dxa"/>
            <w:tcBorders>
              <w:top w:val="single" w:color="5B9BD5" w:sz="4" w:space="0"/>
              <w:right w:val="nil"/>
            </w:tcBorders>
            <w:shd w:val="clear" w:color="auto" w:fill="DEEAF6"/>
            <w:vAlign w:val="top"/>
          </w:tcPr>
          <w:p w14:paraId="62787B35">
            <w:pPr>
              <w:pStyle w:val="7"/>
              <w:spacing w:before="126" w:line="217" w:lineRule="auto"/>
              <w:ind w:left="3064"/>
            </w:pPr>
            <w:r>
              <w:rPr>
                <w:b/>
                <w:bCs/>
                <w:spacing w:val="-18"/>
              </w:rPr>
              <w:t>堆放要求</w:t>
            </w:r>
          </w:p>
        </w:tc>
        <w:tc>
          <w:tcPr>
            <w:tcW w:w="1565" w:type="dxa"/>
            <w:gridSpan w:val="2"/>
            <w:tcBorders>
              <w:top w:val="single" w:color="5B9BD5" w:sz="4" w:space="0"/>
              <w:left w:val="nil"/>
              <w:right w:val="single" w:color="5B9BD5" w:sz="4" w:space="0"/>
            </w:tcBorders>
            <w:shd w:val="clear" w:color="auto" w:fill="DEEAF6"/>
            <w:vAlign w:val="top"/>
          </w:tcPr>
          <w:p w14:paraId="1D50F60E">
            <w:pPr>
              <w:rPr>
                <w:rFonts w:ascii="Arial"/>
                <w:sz w:val="21"/>
              </w:rPr>
            </w:pPr>
            <w:r>
              <w:pict>
                <v:shape id="_x0000_s3818" o:spid="_x0000_s3818" style="position:absolute;left:0pt;margin-left:76.4pt;margin-top:0.05pt;height:0.75pt;width:2.2pt;mso-position-horizontal-relative:page;mso-position-vertical-relative:page;z-index:252223488;mso-width-relative:page;mso-height-relative:page;" fillcolor="#5B9BD5" filled="t" stroked="f" coordsize="44,15" path="m0,14l43,14,43,0,0,0,0,14xe">
                  <v:path/>
                  <v:fill on="t" focussize="0,0"/>
                  <v:stroke on="f"/>
                  <v:imagedata o:title=""/>
                  <o:lock v:ext="edit"/>
                </v:shape>
              </w:pict>
            </w:r>
          </w:p>
        </w:tc>
      </w:tr>
      <w:tr w14:paraId="1C7474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4" w:hRule="atLeast"/>
        </w:trPr>
        <w:tc>
          <w:tcPr>
            <w:tcW w:w="1551" w:type="dxa"/>
            <w:gridSpan w:val="2"/>
            <w:tcBorders>
              <w:left w:val="single" w:color="000000" w:sz="4" w:space="0"/>
            </w:tcBorders>
            <w:vAlign w:val="top"/>
          </w:tcPr>
          <w:p w14:paraId="311044FA">
            <w:pPr>
              <w:pStyle w:val="7"/>
              <w:spacing w:before="121" w:line="238" w:lineRule="auto"/>
              <w:ind w:left="745"/>
            </w:pPr>
            <w:r>
              <w:t>1</w:t>
            </w:r>
          </w:p>
        </w:tc>
        <w:tc>
          <w:tcPr>
            <w:tcW w:w="6304" w:type="dxa"/>
            <w:gridSpan w:val="2"/>
            <w:tcBorders>
              <w:right w:val="nil"/>
            </w:tcBorders>
            <w:vAlign w:val="top"/>
          </w:tcPr>
          <w:p w14:paraId="1C231189">
            <w:pPr>
              <w:pStyle w:val="7"/>
              <w:spacing w:before="121" w:line="215" w:lineRule="auto"/>
              <w:ind w:left="1219"/>
            </w:pPr>
            <w:r>
              <w:rPr>
                <w:spacing w:val="-21"/>
              </w:rPr>
              <w:t>禁止在垛位附近存放对钢材有腐蚀作用的物品。</w:t>
            </w:r>
          </w:p>
        </w:tc>
        <w:tc>
          <w:tcPr>
            <w:tcW w:w="694" w:type="dxa"/>
            <w:tcBorders>
              <w:left w:val="nil"/>
              <w:right w:val="single" w:color="000000" w:sz="4" w:space="0"/>
            </w:tcBorders>
            <w:vAlign w:val="top"/>
          </w:tcPr>
          <w:p w14:paraId="13C97A49">
            <w:pPr>
              <w:rPr>
                <w:rFonts w:ascii="Arial"/>
                <w:sz w:val="21"/>
              </w:rPr>
            </w:pPr>
            <w:r>
              <w:pict>
                <v:shape id="_x0000_s3819" o:spid="_x0000_s3819" style="position:absolute;left:0pt;margin-left:32.85pt;margin-top:1.1pt;height:3.4pt;width:0.75pt;mso-position-horizontal-relative:page;mso-position-vertical-relative:page;z-index:252218368;mso-width-relative:page;mso-height-relative:page;" fillcolor="#1C456A" filled="t" stroked="f" coordsize="15,68" path="m0,67l14,67,14,0,0,0,0,67xe">
                  <v:path/>
                  <v:fill on="t" focussize="0,0"/>
                  <v:stroke on="f"/>
                  <v:imagedata o:title=""/>
                  <o:lock v:ext="edit"/>
                </v:shape>
              </w:pict>
            </w:r>
          </w:p>
        </w:tc>
      </w:tr>
      <w:tr w14:paraId="4E10BF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1" w:hRule="atLeast"/>
        </w:trPr>
        <w:tc>
          <w:tcPr>
            <w:tcW w:w="1551" w:type="dxa"/>
            <w:gridSpan w:val="2"/>
            <w:tcBorders>
              <w:left w:val="single" w:color="000000" w:sz="4" w:space="0"/>
            </w:tcBorders>
            <w:vAlign w:val="top"/>
          </w:tcPr>
          <w:p w14:paraId="0BC56219">
            <w:pPr>
              <w:pStyle w:val="7"/>
              <w:spacing w:before="115" w:line="238" w:lineRule="auto"/>
              <w:ind w:left="730"/>
            </w:pPr>
            <w:r>
              <w:t>2</w:t>
            </w:r>
          </w:p>
        </w:tc>
        <w:tc>
          <w:tcPr>
            <w:tcW w:w="6304" w:type="dxa"/>
            <w:gridSpan w:val="2"/>
            <w:tcBorders>
              <w:right w:val="nil"/>
            </w:tcBorders>
            <w:vAlign w:val="top"/>
          </w:tcPr>
          <w:p w14:paraId="5A9B63D3">
            <w:pPr>
              <w:pStyle w:val="7"/>
              <w:spacing w:before="115" w:line="216" w:lineRule="auto"/>
              <w:ind w:left="1101"/>
            </w:pPr>
            <w:r>
              <w:rPr>
                <w:spacing w:val="-21"/>
              </w:rPr>
              <w:t>垛底应垫高、坚固、平整，防止材料受潮或变形。</w:t>
            </w:r>
          </w:p>
        </w:tc>
        <w:tc>
          <w:tcPr>
            <w:tcW w:w="694" w:type="dxa"/>
            <w:tcBorders>
              <w:left w:val="nil"/>
              <w:right w:val="single" w:color="000000" w:sz="4" w:space="0"/>
            </w:tcBorders>
            <w:vAlign w:val="top"/>
          </w:tcPr>
          <w:p w14:paraId="27D581E1">
            <w:pPr>
              <w:rPr>
                <w:rFonts w:ascii="Arial"/>
                <w:sz w:val="21"/>
              </w:rPr>
            </w:pPr>
            <w:r>
              <w:pict>
                <v:shape id="_x0000_s3820" o:spid="_x0000_s3820" style="position:absolute;left:0pt;margin-left:32.85pt;margin-top:0.8pt;height:3.4pt;width:0.75pt;mso-position-horizontal-relative:page;mso-position-vertical-relative:page;z-index:252219392;mso-width-relative:page;mso-height-relative:page;" fillcolor="#1C456A" filled="t" stroked="f" coordsize="15,68" path="m0,67l14,67,14,0,0,0,0,67xe">
                  <v:path/>
                  <v:fill on="t" focussize="0,0"/>
                  <v:stroke on="f"/>
                  <v:imagedata o:title=""/>
                  <o:lock v:ext="edit"/>
                </v:shape>
              </w:pict>
            </w:r>
          </w:p>
        </w:tc>
      </w:tr>
      <w:tr w14:paraId="0EDBB5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2" w:hRule="atLeast"/>
        </w:trPr>
        <w:tc>
          <w:tcPr>
            <w:tcW w:w="392" w:type="dxa"/>
            <w:tcBorders>
              <w:left w:val="single" w:color="1C456A" w:sz="4" w:space="0"/>
              <w:bottom w:val="single" w:color="1C456A" w:sz="4" w:space="0"/>
              <w:right w:val="nil"/>
            </w:tcBorders>
            <w:vAlign w:val="top"/>
          </w:tcPr>
          <w:p w14:paraId="768898C1">
            <w:pPr>
              <w:rPr>
                <w:rFonts w:ascii="Arial"/>
                <w:sz w:val="21"/>
              </w:rPr>
            </w:pPr>
            <w:r>
              <w:pict>
                <v:shape id="_x0000_s3821" o:spid="_x0000_s3821" style="position:absolute;left:0pt;margin-left:-0.25pt;margin-top:31.6pt;height:0.75pt;width:2.2pt;mso-position-horizontal-relative:page;mso-position-vertical-relative:page;z-index:252222464;mso-width-relative:page;mso-height-relative:page;" fillcolor="#5B9BD5" filled="t" stroked="f" coordsize="44,15" path="m0,14l43,14,43,0,0,0,0,14xe">
                  <v:path/>
                  <v:fill on="t" focussize="0,0"/>
                  <v:stroke on="f"/>
                  <v:imagedata o:title=""/>
                  <o:lock v:ext="edit"/>
                </v:shape>
              </w:pict>
            </w:r>
          </w:p>
        </w:tc>
        <w:tc>
          <w:tcPr>
            <w:tcW w:w="1159" w:type="dxa"/>
            <w:tcBorders>
              <w:left w:val="nil"/>
              <w:bottom w:val="single" w:color="1C456A" w:sz="4" w:space="0"/>
            </w:tcBorders>
            <w:vAlign w:val="top"/>
          </w:tcPr>
          <w:p w14:paraId="1A177A5B">
            <w:pPr>
              <w:pStyle w:val="7"/>
              <w:spacing w:before="109" w:line="237" w:lineRule="auto"/>
              <w:ind w:left="345"/>
            </w:pPr>
            <w:r>
              <w:t>3</w:t>
            </w:r>
          </w:p>
        </w:tc>
        <w:tc>
          <w:tcPr>
            <w:tcW w:w="6304" w:type="dxa"/>
            <w:gridSpan w:val="2"/>
            <w:tcBorders>
              <w:bottom w:val="single" w:color="5B9BD5" w:sz="4" w:space="0"/>
              <w:right w:val="nil"/>
            </w:tcBorders>
            <w:vAlign w:val="top"/>
          </w:tcPr>
          <w:p w14:paraId="685C9BA4">
            <w:pPr>
              <w:pStyle w:val="7"/>
              <w:spacing w:before="109" w:line="216" w:lineRule="auto"/>
              <w:jc w:val="right"/>
            </w:pPr>
            <w:r>
              <w:rPr>
                <w:spacing w:val="-25"/>
              </w:rPr>
              <w:t>同种材料按入库先后分别堆码，便于执行先进先发的原则。</w:t>
            </w:r>
          </w:p>
        </w:tc>
        <w:tc>
          <w:tcPr>
            <w:tcW w:w="694" w:type="dxa"/>
            <w:tcBorders>
              <w:left w:val="nil"/>
              <w:bottom w:val="single" w:color="5B9BD5" w:sz="4" w:space="0"/>
              <w:right w:val="single" w:color="5B9BD5" w:sz="4" w:space="0"/>
            </w:tcBorders>
            <w:vAlign w:val="top"/>
          </w:tcPr>
          <w:p w14:paraId="24E4C6C8">
            <w:pPr>
              <w:rPr>
                <w:rFonts w:ascii="Arial"/>
                <w:sz w:val="21"/>
              </w:rPr>
            </w:pPr>
            <w:r>
              <w:pict>
                <v:shape id="_x0000_s3822" o:spid="_x0000_s3822" style="position:absolute;left:0pt;margin-left:32.85pt;margin-top:0.55pt;height:3.4pt;width:0.75pt;mso-position-horizontal-relative:page;mso-position-vertical-relative:page;z-index:252220416;mso-width-relative:page;mso-height-relative:page;" fillcolor="#1C456A" filled="t" stroked="f" coordsize="15,68" path="m0,67l14,67,14,0,0,0,0,67xe">
                  <v:path/>
                  <v:fill on="t" focussize="0,0"/>
                  <v:stroke on="f"/>
                  <v:imagedata o:title=""/>
                  <o:lock v:ext="edit"/>
                </v:shape>
              </w:pict>
            </w:r>
            <w:r>
              <w:pict>
                <v:shape id="_x0000_s3823" o:spid="_x0000_s3823" style="position:absolute;left:0pt;margin-left:32.85pt;margin-top:31.6pt;height:0.75pt;width:2.2pt;mso-position-horizontal-relative:page;mso-position-vertical-relative:page;z-index:252221440;mso-width-relative:page;mso-height-relative:page;" fillcolor="#5B9BD5" filled="t" stroked="f" coordsize="44,15" path="m0,14l43,14,43,0,0,0,0,14xe">
                  <v:path/>
                  <v:fill on="t" focussize="0,0"/>
                  <v:stroke on="f"/>
                  <v:imagedata o:title=""/>
                  <o:lock v:ext="edit"/>
                </v:shape>
              </w:pict>
            </w:r>
          </w:p>
        </w:tc>
      </w:tr>
    </w:tbl>
    <w:p w14:paraId="6F3C0AAC">
      <w:pPr>
        <w:rPr>
          <w:rFonts w:ascii="Arial"/>
          <w:sz w:val="21"/>
        </w:rPr>
      </w:pPr>
    </w:p>
    <w:p w14:paraId="1D2D2E92">
      <w:pPr>
        <w:rPr>
          <w:rFonts w:ascii="Arial" w:hAnsi="Arial" w:eastAsia="Arial" w:cs="Arial"/>
          <w:sz w:val="21"/>
          <w:szCs w:val="21"/>
        </w:rPr>
        <w:sectPr>
          <w:footerReference r:id="rId293" w:type="default"/>
          <w:pgSz w:w="11907" w:h="16839"/>
          <w:pgMar w:top="933" w:right="4" w:bottom="1038" w:left="0" w:header="478" w:footer="357" w:gutter="0"/>
          <w:pgBorders>
            <w:top w:val="none" w:sz="0" w:space="0"/>
            <w:left w:val="none" w:sz="0" w:space="0"/>
            <w:bottom w:val="none" w:sz="0" w:space="0"/>
            <w:right w:val="none" w:sz="0" w:space="0"/>
          </w:pgBorders>
          <w:cols w:space="720" w:num="1"/>
        </w:sectPr>
      </w:pPr>
    </w:p>
    <w:p w14:paraId="747AEC75">
      <w:pPr>
        <w:spacing w:line="235" w:lineRule="exact"/>
      </w:pPr>
    </w:p>
    <w:tbl>
      <w:tblPr>
        <w:tblStyle w:val="6"/>
        <w:tblW w:w="8549" w:type="dxa"/>
        <w:tblInd w:w="167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90"/>
        <w:gridCol w:w="1155"/>
        <w:gridCol w:w="7004"/>
      </w:tblGrid>
      <w:tr w14:paraId="0261B6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88" w:hRule="atLeast"/>
        </w:trPr>
        <w:tc>
          <w:tcPr>
            <w:tcW w:w="1545" w:type="dxa"/>
            <w:gridSpan w:val="2"/>
            <w:tcBorders>
              <w:top w:val="single" w:color="000000" w:sz="4" w:space="0"/>
              <w:left w:val="single" w:color="000000" w:sz="4" w:space="0"/>
            </w:tcBorders>
            <w:vAlign w:val="top"/>
          </w:tcPr>
          <w:p w14:paraId="24184921">
            <w:pPr>
              <w:spacing w:line="282" w:lineRule="auto"/>
              <w:rPr>
                <w:rFonts w:ascii="Arial"/>
                <w:sz w:val="21"/>
              </w:rPr>
            </w:pPr>
          </w:p>
          <w:p w14:paraId="5502075C">
            <w:pPr>
              <w:pStyle w:val="7"/>
              <w:spacing w:before="78" w:line="238" w:lineRule="auto"/>
              <w:ind w:left="726"/>
            </w:pPr>
            <w:r>
              <w:t>4</w:t>
            </w:r>
          </w:p>
        </w:tc>
        <w:tc>
          <w:tcPr>
            <w:tcW w:w="7004" w:type="dxa"/>
            <w:tcBorders>
              <w:top w:val="single" w:color="5B9BD5" w:sz="4" w:space="0"/>
              <w:right w:val="single" w:color="5B9BD5" w:sz="4" w:space="0"/>
            </w:tcBorders>
            <w:vAlign w:val="top"/>
          </w:tcPr>
          <w:p w14:paraId="155385C9">
            <w:pPr>
              <w:pStyle w:val="7"/>
              <w:spacing w:before="129" w:line="216" w:lineRule="auto"/>
              <w:ind w:left="75"/>
            </w:pPr>
            <w:r>
              <w:rPr>
                <w:spacing w:val="-25"/>
              </w:rPr>
              <w:t>露天堆放的型钢，下面必须有木垫或条石，垛面略有倾斜，以利排水，并</w:t>
            </w:r>
          </w:p>
          <w:p w14:paraId="0A6C29F4">
            <w:pPr>
              <w:pStyle w:val="7"/>
              <w:spacing w:before="185" w:line="216" w:lineRule="auto"/>
              <w:ind w:left="1552"/>
            </w:pPr>
            <w:r>
              <w:rPr>
                <w:spacing w:val="-22"/>
              </w:rPr>
              <w:t>注意材料安放平直，防止造成弯曲变形。</w:t>
            </w:r>
          </w:p>
        </w:tc>
      </w:tr>
      <w:tr w14:paraId="262068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49" w:hRule="atLeast"/>
        </w:trPr>
        <w:tc>
          <w:tcPr>
            <w:tcW w:w="1545" w:type="dxa"/>
            <w:gridSpan w:val="2"/>
            <w:tcBorders>
              <w:left w:val="single" w:color="000000" w:sz="4" w:space="0"/>
            </w:tcBorders>
            <w:vAlign w:val="top"/>
          </w:tcPr>
          <w:p w14:paraId="016BDA12">
            <w:pPr>
              <w:spacing w:line="248" w:lineRule="auto"/>
              <w:rPr>
                <w:rFonts w:ascii="Arial"/>
                <w:sz w:val="21"/>
              </w:rPr>
            </w:pPr>
          </w:p>
          <w:p w14:paraId="2C696752">
            <w:pPr>
              <w:pStyle w:val="7"/>
              <w:spacing w:before="78" w:line="237" w:lineRule="auto"/>
              <w:ind w:left="732"/>
            </w:pPr>
            <w:r>
              <w:t>5</w:t>
            </w:r>
          </w:p>
        </w:tc>
        <w:tc>
          <w:tcPr>
            <w:tcW w:w="7004" w:type="dxa"/>
            <w:tcBorders>
              <w:right w:val="single" w:color="000000" w:sz="4" w:space="0"/>
            </w:tcBorders>
            <w:vAlign w:val="top"/>
          </w:tcPr>
          <w:p w14:paraId="3A53826E">
            <w:pPr>
              <w:pStyle w:val="7"/>
              <w:spacing w:before="92" w:line="216" w:lineRule="auto"/>
              <w:ind w:left="74"/>
            </w:pPr>
            <w:r>
              <w:rPr>
                <w:spacing w:val="-17"/>
              </w:rPr>
              <w:t>堆垛高度，人工作业的不超过1.2m，机械作业的</w:t>
            </w:r>
            <w:r>
              <w:rPr>
                <w:spacing w:val="-18"/>
              </w:rPr>
              <w:t>不超过1.5m，垛宽不超</w:t>
            </w:r>
          </w:p>
          <w:p w14:paraId="52DA7C4E">
            <w:pPr>
              <w:pStyle w:val="7"/>
              <w:spacing w:before="187" w:line="228" w:lineRule="auto"/>
              <w:ind w:left="3045"/>
            </w:pPr>
            <w:r>
              <w:rPr>
                <w:spacing w:val="-4"/>
              </w:rPr>
              <w:t>过2.5m。</w:t>
            </w:r>
          </w:p>
        </w:tc>
      </w:tr>
      <w:tr w14:paraId="76F777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51" w:hRule="atLeast"/>
        </w:trPr>
        <w:tc>
          <w:tcPr>
            <w:tcW w:w="1545" w:type="dxa"/>
            <w:gridSpan w:val="2"/>
            <w:tcBorders>
              <w:left w:val="single" w:color="000000" w:sz="4" w:space="0"/>
            </w:tcBorders>
            <w:vAlign w:val="top"/>
          </w:tcPr>
          <w:p w14:paraId="0A9C4918">
            <w:pPr>
              <w:spacing w:line="250" w:lineRule="auto"/>
              <w:rPr>
                <w:rFonts w:ascii="Arial"/>
                <w:sz w:val="21"/>
              </w:rPr>
            </w:pPr>
          </w:p>
          <w:p w14:paraId="37A38E1B">
            <w:pPr>
              <w:pStyle w:val="7"/>
              <w:spacing w:before="78" w:line="237" w:lineRule="auto"/>
              <w:ind w:left="729"/>
            </w:pPr>
            <w:r>
              <w:t>6</w:t>
            </w:r>
          </w:p>
        </w:tc>
        <w:tc>
          <w:tcPr>
            <w:tcW w:w="7004" w:type="dxa"/>
            <w:tcBorders>
              <w:right w:val="single" w:color="000000" w:sz="4" w:space="0"/>
            </w:tcBorders>
            <w:vAlign w:val="top"/>
          </w:tcPr>
          <w:p w14:paraId="63BF17D9">
            <w:pPr>
              <w:pStyle w:val="7"/>
              <w:spacing w:before="97" w:line="216" w:lineRule="auto"/>
              <w:ind w:left="99"/>
            </w:pPr>
            <w:r>
              <w:rPr>
                <w:spacing w:val="-18"/>
              </w:rPr>
              <w:t>垛与垛之间应留有一定的通道，检查道一般为0.5m，出入通道</w:t>
            </w:r>
            <w:r>
              <w:rPr>
                <w:spacing w:val="-19"/>
              </w:rPr>
              <w:t>视材料大</w:t>
            </w:r>
          </w:p>
          <w:p w14:paraId="40B6859A">
            <w:pPr>
              <w:pStyle w:val="7"/>
              <w:spacing w:before="186" w:line="217" w:lineRule="auto"/>
              <w:ind w:left="1571"/>
            </w:pPr>
            <w:r>
              <w:rPr>
                <w:spacing w:val="-18"/>
              </w:rPr>
              <w:t>小和运输机械而定，一般为1.5～2.0m。</w:t>
            </w:r>
          </w:p>
        </w:tc>
      </w:tr>
      <w:tr w14:paraId="2FDF17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17" w:hRule="atLeast"/>
        </w:trPr>
        <w:tc>
          <w:tcPr>
            <w:tcW w:w="1545" w:type="dxa"/>
            <w:gridSpan w:val="2"/>
            <w:tcBorders>
              <w:left w:val="single" w:color="000000" w:sz="4" w:space="0"/>
            </w:tcBorders>
            <w:vAlign w:val="top"/>
          </w:tcPr>
          <w:p w14:paraId="6FBE82E7">
            <w:pPr>
              <w:spacing w:line="242" w:lineRule="auto"/>
              <w:rPr>
                <w:rFonts w:ascii="Arial"/>
                <w:sz w:val="21"/>
              </w:rPr>
            </w:pPr>
          </w:p>
          <w:p w14:paraId="6B34D306">
            <w:pPr>
              <w:spacing w:line="242" w:lineRule="auto"/>
              <w:rPr>
                <w:rFonts w:ascii="Arial"/>
                <w:sz w:val="21"/>
              </w:rPr>
            </w:pPr>
          </w:p>
          <w:p w14:paraId="6D72E306">
            <w:pPr>
              <w:pStyle w:val="7"/>
              <w:spacing w:before="78" w:line="237" w:lineRule="auto"/>
              <w:ind w:left="733"/>
            </w:pPr>
            <w:r>
              <w:t>7</w:t>
            </w:r>
          </w:p>
        </w:tc>
        <w:tc>
          <w:tcPr>
            <w:tcW w:w="7004" w:type="dxa"/>
            <w:tcBorders>
              <w:right w:val="single" w:color="000000" w:sz="4" w:space="0"/>
            </w:tcBorders>
            <w:vAlign w:val="top"/>
          </w:tcPr>
          <w:p w14:paraId="627056FB">
            <w:pPr>
              <w:pStyle w:val="7"/>
              <w:spacing w:before="99" w:line="218" w:lineRule="auto"/>
              <w:ind w:left="72"/>
            </w:pPr>
            <w:r>
              <w:rPr>
                <w:spacing w:val="-19"/>
              </w:rPr>
              <w:t>垛底垫高，若仓库为朝阳的水泥地面，垫高0.1m即可；若为泥地，须垫</w:t>
            </w:r>
          </w:p>
          <w:p w14:paraId="10FD5CC6">
            <w:pPr>
              <w:pStyle w:val="7"/>
              <w:spacing w:before="181" w:line="219" w:lineRule="auto"/>
              <w:ind w:left="76"/>
            </w:pPr>
            <w:r>
              <w:rPr>
                <w:spacing w:val="-20"/>
              </w:rPr>
              <w:t>高0.2～0.5m。若为露天场地，水泥地面垫高0.3～0</w:t>
            </w:r>
            <w:r>
              <w:rPr>
                <w:spacing w:val="-21"/>
              </w:rPr>
              <w:t>.5m，沙泥面垫高0.5~</w:t>
            </w:r>
          </w:p>
          <w:p w14:paraId="640E2AEE">
            <w:pPr>
              <w:pStyle w:val="7"/>
              <w:spacing w:before="183" w:line="232" w:lineRule="auto"/>
              <w:ind w:left="3174"/>
            </w:pPr>
            <w:r>
              <w:rPr>
                <w:spacing w:val="-9"/>
              </w:rPr>
              <w:t>0.7m。</w:t>
            </w:r>
          </w:p>
        </w:tc>
      </w:tr>
      <w:tr w14:paraId="388FB3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2" w:hRule="atLeast"/>
        </w:trPr>
        <w:tc>
          <w:tcPr>
            <w:tcW w:w="390" w:type="dxa"/>
            <w:tcBorders>
              <w:left w:val="single" w:color="1C456A" w:sz="4" w:space="0"/>
              <w:bottom w:val="single" w:color="1C456A" w:sz="4" w:space="0"/>
              <w:right w:val="nil"/>
            </w:tcBorders>
            <w:vAlign w:val="top"/>
          </w:tcPr>
          <w:p w14:paraId="2C51B1E1">
            <w:pPr>
              <w:rPr>
                <w:rFonts w:ascii="Arial"/>
                <w:sz w:val="21"/>
              </w:rPr>
            </w:pPr>
            <w:r>
              <w:pict>
                <v:shape id="_x0000_s3824" o:spid="_x0000_s3824" style="position:absolute;left:0pt;margin-left:-0.25pt;margin-top:54.65pt;height:0.75pt;width:2.2pt;mso-position-horizontal-relative:page;mso-position-vertical-relative:page;z-index:252226560;mso-width-relative:page;mso-height-relative:page;" fillcolor="#5B9BD5" filled="t" stroked="f" coordsize="44,15" path="m0,14l43,14,43,0,0,0,0,14xe">
                  <v:path/>
                  <v:fill on="t" focussize="0,0"/>
                  <v:stroke on="f"/>
                  <v:imagedata o:title=""/>
                  <o:lock v:ext="edit"/>
                </v:shape>
              </w:pict>
            </w:r>
          </w:p>
        </w:tc>
        <w:tc>
          <w:tcPr>
            <w:tcW w:w="1155" w:type="dxa"/>
            <w:tcBorders>
              <w:left w:val="nil"/>
              <w:bottom w:val="single" w:color="1C456A" w:sz="4" w:space="0"/>
            </w:tcBorders>
            <w:vAlign w:val="top"/>
          </w:tcPr>
          <w:p w14:paraId="30938461">
            <w:pPr>
              <w:spacing w:line="255" w:lineRule="auto"/>
              <w:rPr>
                <w:rFonts w:ascii="Arial"/>
                <w:sz w:val="21"/>
              </w:rPr>
            </w:pPr>
          </w:p>
          <w:p w14:paraId="0D67CC58">
            <w:pPr>
              <w:pStyle w:val="7"/>
              <w:spacing w:before="78" w:line="237" w:lineRule="auto"/>
              <w:ind w:left="343"/>
            </w:pPr>
            <w:r>
              <w:t>8</w:t>
            </w:r>
          </w:p>
        </w:tc>
        <w:tc>
          <w:tcPr>
            <w:tcW w:w="7004" w:type="dxa"/>
            <w:tcBorders>
              <w:bottom w:val="single" w:color="5B9BD5" w:sz="4" w:space="0"/>
              <w:right w:val="single" w:color="5B9BD5" w:sz="4" w:space="0"/>
            </w:tcBorders>
            <w:vAlign w:val="top"/>
          </w:tcPr>
          <w:p w14:paraId="45324226">
            <w:pPr>
              <w:pStyle w:val="7"/>
              <w:spacing w:before="101" w:line="217" w:lineRule="auto"/>
              <w:ind w:left="75"/>
            </w:pPr>
            <w:r>
              <w:rPr>
                <w:spacing w:val="-24"/>
              </w:rPr>
              <w:t>露天堆放角钢和槽钢应俯放，即口朝下，工字钢应</w:t>
            </w:r>
            <w:r>
              <w:rPr>
                <w:spacing w:val="-25"/>
              </w:rPr>
              <w:t>立放，钢材的I槽面不</w:t>
            </w:r>
          </w:p>
          <w:p w14:paraId="076AB75D">
            <w:pPr>
              <w:pStyle w:val="7"/>
              <w:spacing w:before="186" w:line="217" w:lineRule="auto"/>
              <w:ind w:left="1778"/>
            </w:pPr>
            <w:r>
              <w:rPr>
                <w:spacing w:val="-22"/>
              </w:rPr>
              <w:t>能朝上，以球墨铸铁管免积水生锈。</w:t>
            </w:r>
          </w:p>
        </w:tc>
      </w:tr>
    </w:tbl>
    <w:p w14:paraId="3243097D">
      <w:pPr>
        <w:pStyle w:val="2"/>
        <w:spacing w:before="78" w:line="219" w:lineRule="auto"/>
        <w:ind w:left="1983"/>
        <w:outlineLvl w:val="2"/>
        <w:rPr>
          <w:sz w:val="28"/>
          <w:szCs w:val="28"/>
        </w:rPr>
      </w:pPr>
      <w:bookmarkStart w:id="222" w:name="bookmark214"/>
      <w:bookmarkEnd w:id="222"/>
      <w:r>
        <w:rPr>
          <w:b/>
          <w:bCs/>
          <w:spacing w:val="-21"/>
          <w:sz w:val="28"/>
          <w:szCs w:val="28"/>
        </w:rPr>
        <w:t>七、验收管理</w:t>
      </w:r>
    </w:p>
    <w:p w14:paraId="4E13F1E9">
      <w:pPr>
        <w:pStyle w:val="2"/>
        <w:spacing w:before="103" w:line="216" w:lineRule="auto"/>
        <w:ind w:left="1903"/>
        <w:rPr>
          <w:sz w:val="24"/>
          <w:szCs w:val="24"/>
        </w:rPr>
      </w:pPr>
      <w:r>
        <w:rPr>
          <w:spacing w:val="-21"/>
          <w:sz w:val="24"/>
          <w:szCs w:val="24"/>
        </w:rPr>
        <w:t>1、甲供材料验收人员：材料采购人员、材料计划员及相关技术</w:t>
      </w:r>
      <w:r>
        <w:rPr>
          <w:spacing w:val="-22"/>
          <w:sz w:val="24"/>
          <w:szCs w:val="24"/>
        </w:rPr>
        <w:t>人员、项目材料管理人员。</w:t>
      </w:r>
    </w:p>
    <w:p w14:paraId="027EA60C">
      <w:pPr>
        <w:pStyle w:val="2"/>
        <w:spacing w:before="120" w:line="218" w:lineRule="auto"/>
        <w:ind w:left="1888"/>
        <w:rPr>
          <w:sz w:val="24"/>
          <w:szCs w:val="24"/>
        </w:rPr>
      </w:pPr>
      <w:r>
        <w:rPr>
          <w:spacing w:val="-16"/>
          <w:sz w:val="24"/>
          <w:szCs w:val="24"/>
        </w:rPr>
        <w:t>2、验收内容</w:t>
      </w:r>
    </w:p>
    <w:p w14:paraId="07742FD1">
      <w:pPr>
        <w:pStyle w:val="2"/>
        <w:spacing w:before="113" w:line="263" w:lineRule="auto"/>
        <w:ind w:left="1457" w:right="1409" w:firstLine="431"/>
        <w:rPr>
          <w:sz w:val="24"/>
          <w:szCs w:val="24"/>
        </w:rPr>
      </w:pPr>
      <w:r>
        <w:rPr>
          <w:spacing w:val="-23"/>
          <w:sz w:val="24"/>
          <w:szCs w:val="24"/>
        </w:rPr>
        <w:t>2.1包装验收：要求材料有包装的是否完整，有无严重破损，无包装要求的有无</w:t>
      </w:r>
      <w:r>
        <w:rPr>
          <w:spacing w:val="-24"/>
          <w:sz w:val="24"/>
          <w:szCs w:val="24"/>
        </w:rPr>
        <w:t>打捆或其他</w:t>
      </w:r>
      <w:r>
        <w:rPr>
          <w:spacing w:val="-17"/>
          <w:sz w:val="24"/>
          <w:szCs w:val="24"/>
        </w:rPr>
        <w:t>保护措施。</w:t>
      </w:r>
    </w:p>
    <w:p w14:paraId="5194FF53">
      <w:pPr>
        <w:pStyle w:val="2"/>
        <w:spacing w:before="118" w:line="278" w:lineRule="auto"/>
        <w:ind w:left="1455" w:right="1341" w:firstLine="432"/>
        <w:rPr>
          <w:sz w:val="24"/>
          <w:szCs w:val="24"/>
        </w:rPr>
      </w:pPr>
      <w:r>
        <w:rPr>
          <w:spacing w:val="-26"/>
          <w:sz w:val="24"/>
          <w:szCs w:val="24"/>
        </w:rPr>
        <w:t>2.2技术文件的验收：技术文件完整、有效，符</w:t>
      </w:r>
      <w:r>
        <w:rPr>
          <w:spacing w:val="-27"/>
          <w:sz w:val="24"/>
          <w:szCs w:val="24"/>
        </w:rPr>
        <w:t>合国家（或行业）标准规定（如质量证明书、</w:t>
      </w:r>
      <w:r>
        <w:rPr>
          <w:spacing w:val="-20"/>
          <w:sz w:val="24"/>
          <w:szCs w:val="24"/>
        </w:rPr>
        <w:t>特种材料生产许可证、使用说明书、出厂编号、生产厂家、合格证、供应商在特殊材料质量证</w:t>
      </w:r>
      <w:r>
        <w:rPr>
          <w:spacing w:val="-21"/>
          <w:sz w:val="24"/>
          <w:szCs w:val="24"/>
        </w:rPr>
        <w:t>明书上的质量专用章等）。</w:t>
      </w:r>
    </w:p>
    <w:p w14:paraId="7FFA904E">
      <w:pPr>
        <w:pStyle w:val="2"/>
        <w:spacing w:before="119" w:line="289" w:lineRule="auto"/>
        <w:ind w:left="1457" w:right="1412" w:firstLine="431"/>
        <w:rPr>
          <w:sz w:val="24"/>
          <w:szCs w:val="24"/>
        </w:rPr>
      </w:pPr>
      <w:r>
        <w:rPr>
          <w:spacing w:val="-23"/>
          <w:sz w:val="24"/>
          <w:szCs w:val="24"/>
        </w:rPr>
        <w:t>2.3材料质量的验收：根据甲供材料综合采购计划要求的材料名称、型号规格、执行标准及</w:t>
      </w:r>
      <w:r>
        <w:rPr>
          <w:spacing w:val="-20"/>
          <w:sz w:val="24"/>
          <w:szCs w:val="24"/>
        </w:rPr>
        <w:t>相关技术参数等核对材质书、合格证是否一致；特殊要求需要复检的材料应取样进行检验，根据复检报告确认是否合格；特殊用途的材料如水泥等，必要时还应检查是否有受潮、结块等现象，检查内外包装型号、规格、材质是否一致；钢材验收应检查断面尺寸、形状公差、表面质</w:t>
      </w:r>
      <w:r>
        <w:rPr>
          <w:spacing w:val="-21"/>
          <w:sz w:val="24"/>
          <w:szCs w:val="24"/>
        </w:rPr>
        <w:t>量等是否符合相关标准的规定。</w:t>
      </w:r>
    </w:p>
    <w:p w14:paraId="51AC227D">
      <w:pPr>
        <w:pStyle w:val="2"/>
        <w:spacing w:before="120" w:line="215" w:lineRule="auto"/>
        <w:ind w:left="1888"/>
        <w:rPr>
          <w:sz w:val="24"/>
          <w:szCs w:val="24"/>
        </w:rPr>
      </w:pPr>
      <w:r>
        <w:rPr>
          <w:spacing w:val="-20"/>
          <w:sz w:val="24"/>
          <w:szCs w:val="24"/>
        </w:rPr>
        <w:t>2.4材料验收内容全部结束后，参加验收人员在《材料接收单</w:t>
      </w:r>
      <w:r>
        <w:rPr>
          <w:spacing w:val="-21"/>
          <w:sz w:val="24"/>
          <w:szCs w:val="24"/>
        </w:rPr>
        <w:t>》上签字。</w:t>
      </w:r>
    </w:p>
    <w:p w14:paraId="0287EA8D">
      <w:pPr>
        <w:pStyle w:val="2"/>
        <w:spacing w:before="120" w:line="261" w:lineRule="auto"/>
        <w:ind w:left="1456" w:right="1409" w:firstLine="432"/>
        <w:rPr>
          <w:sz w:val="24"/>
          <w:szCs w:val="24"/>
        </w:rPr>
      </w:pPr>
      <w:r>
        <w:rPr>
          <w:spacing w:val="-23"/>
          <w:sz w:val="24"/>
          <w:szCs w:val="24"/>
        </w:rPr>
        <w:t>2.5材料验收合格后，随货技术文件（包括质量证明书、产品合格证、产品使用说明书、随</w:t>
      </w:r>
      <w:r>
        <w:rPr>
          <w:spacing w:val="-21"/>
          <w:sz w:val="24"/>
          <w:szCs w:val="24"/>
        </w:rPr>
        <w:t>机附件清单、随机工具、易损件清单等）由施工单位材料</w:t>
      </w:r>
      <w:r>
        <w:rPr>
          <w:spacing w:val="-22"/>
          <w:sz w:val="24"/>
          <w:szCs w:val="24"/>
        </w:rPr>
        <w:t>员负责收集整理、存档备查。</w:t>
      </w:r>
    </w:p>
    <w:p w14:paraId="5DB78CA5">
      <w:pPr>
        <w:pStyle w:val="2"/>
        <w:spacing w:before="121" w:line="216" w:lineRule="auto"/>
        <w:ind w:left="1888"/>
        <w:rPr>
          <w:sz w:val="24"/>
          <w:szCs w:val="24"/>
        </w:rPr>
      </w:pPr>
      <w:r>
        <w:rPr>
          <w:spacing w:val="-22"/>
          <w:sz w:val="24"/>
          <w:szCs w:val="24"/>
        </w:rPr>
        <w:t>2.6不合格材料的处理：</w:t>
      </w:r>
    </w:p>
    <w:p w14:paraId="55D373B1">
      <w:pPr>
        <w:pStyle w:val="2"/>
        <w:spacing w:before="120" w:line="216" w:lineRule="auto"/>
        <w:ind w:left="1888"/>
        <w:rPr>
          <w:sz w:val="24"/>
          <w:szCs w:val="24"/>
        </w:rPr>
      </w:pPr>
      <w:r>
        <w:rPr>
          <w:spacing w:val="-20"/>
          <w:sz w:val="24"/>
          <w:szCs w:val="24"/>
        </w:rPr>
        <w:t>2.6.1经验收认定为技术性能、型号规格不合格的材料，作退货处理。</w:t>
      </w:r>
    </w:p>
    <w:p w14:paraId="185C241D">
      <w:pPr>
        <w:pStyle w:val="2"/>
        <w:spacing w:before="117" w:line="263" w:lineRule="auto"/>
        <w:ind w:left="1457" w:right="1409" w:firstLine="431"/>
        <w:rPr>
          <w:sz w:val="24"/>
          <w:szCs w:val="24"/>
        </w:rPr>
      </w:pPr>
      <w:r>
        <w:rPr>
          <w:spacing w:val="-22"/>
          <w:sz w:val="24"/>
          <w:szCs w:val="24"/>
        </w:rPr>
        <w:t>2.6.2经验收认定为技术性能、型号规格合格，但资料不</w:t>
      </w:r>
      <w:r>
        <w:rPr>
          <w:spacing w:val="-23"/>
          <w:sz w:val="24"/>
          <w:szCs w:val="24"/>
        </w:rPr>
        <w:t>齐全的材料，可入库存放，待所缺</w:t>
      </w:r>
      <w:r>
        <w:rPr>
          <w:spacing w:val="-21"/>
          <w:sz w:val="24"/>
          <w:szCs w:val="24"/>
        </w:rPr>
        <w:t>部分补齐后重新验收合格办理入库手续。</w:t>
      </w:r>
    </w:p>
    <w:p w14:paraId="4C7CBB9A">
      <w:pPr>
        <w:pStyle w:val="2"/>
        <w:spacing w:before="83" w:line="219" w:lineRule="auto"/>
        <w:ind w:left="1976"/>
        <w:outlineLvl w:val="2"/>
        <w:rPr>
          <w:sz w:val="28"/>
          <w:szCs w:val="28"/>
        </w:rPr>
      </w:pPr>
      <w:bookmarkStart w:id="223" w:name="bookmark215"/>
      <w:bookmarkEnd w:id="223"/>
      <w:r>
        <w:rPr>
          <w:b/>
          <w:bCs/>
          <w:spacing w:val="-19"/>
          <w:sz w:val="28"/>
          <w:szCs w:val="28"/>
        </w:rPr>
        <w:t>八、出库管理</w:t>
      </w:r>
    </w:p>
    <w:p w14:paraId="3BBED50E">
      <w:pPr>
        <w:spacing w:line="219" w:lineRule="auto"/>
        <w:rPr>
          <w:sz w:val="28"/>
          <w:szCs w:val="28"/>
        </w:rPr>
        <w:sectPr>
          <w:footerReference r:id="rId294" w:type="default"/>
          <w:pgSz w:w="11907" w:h="16839"/>
          <w:pgMar w:top="933" w:right="4" w:bottom="1038" w:left="0" w:header="478" w:footer="357" w:gutter="0"/>
          <w:pgBorders>
            <w:top w:val="none" w:sz="0" w:space="0"/>
            <w:left w:val="none" w:sz="0" w:space="0"/>
            <w:bottom w:val="none" w:sz="0" w:space="0"/>
            <w:right w:val="none" w:sz="0" w:space="0"/>
          </w:pgBorders>
          <w:cols w:space="720" w:num="1"/>
        </w:sectPr>
      </w:pPr>
    </w:p>
    <w:p w14:paraId="2E7C2FD7">
      <w:pPr>
        <w:spacing w:line="271" w:lineRule="auto"/>
        <w:rPr>
          <w:rFonts w:ascii="Arial"/>
          <w:sz w:val="21"/>
        </w:rPr>
      </w:pPr>
    </w:p>
    <w:p w14:paraId="7C95EAB0">
      <w:pPr>
        <w:pStyle w:val="2"/>
        <w:spacing w:before="78" w:line="216" w:lineRule="auto"/>
        <w:ind w:left="1903"/>
        <w:rPr>
          <w:sz w:val="24"/>
          <w:szCs w:val="24"/>
        </w:rPr>
      </w:pPr>
      <w:r>
        <w:rPr>
          <w:spacing w:val="-21"/>
          <w:sz w:val="24"/>
          <w:szCs w:val="24"/>
        </w:rPr>
        <w:t>1、甲供材料出库实行计划管理，严格审批程序，严禁超计</w:t>
      </w:r>
      <w:r>
        <w:rPr>
          <w:spacing w:val="-22"/>
          <w:sz w:val="24"/>
          <w:szCs w:val="24"/>
        </w:rPr>
        <w:t>划、超标准、超范围出库。</w:t>
      </w:r>
    </w:p>
    <w:p w14:paraId="62A2E6F3">
      <w:pPr>
        <w:pStyle w:val="2"/>
        <w:spacing w:before="120" w:line="277" w:lineRule="auto"/>
        <w:ind w:left="1460" w:right="1411" w:firstLine="428"/>
        <w:rPr>
          <w:sz w:val="24"/>
          <w:szCs w:val="24"/>
        </w:rPr>
      </w:pPr>
      <w:r>
        <w:rPr>
          <w:spacing w:val="-22"/>
          <w:sz w:val="24"/>
          <w:szCs w:val="24"/>
        </w:rPr>
        <w:t>2、验收合格的甲供材料由物资部填写入库单，并出库给工程部实施材料管理，再由工程部</w:t>
      </w:r>
      <w:r>
        <w:rPr>
          <w:spacing w:val="-20"/>
          <w:sz w:val="24"/>
          <w:szCs w:val="24"/>
        </w:rPr>
        <w:t>作入库登记后，出库给工程项目；出、入库单应填写材料名称、规格型号、计量单位、出库数</w:t>
      </w:r>
      <w:r>
        <w:rPr>
          <w:spacing w:val="-21"/>
          <w:sz w:val="24"/>
          <w:szCs w:val="24"/>
        </w:rPr>
        <w:t>量等；出库单上必须经相关负责人签字认可，并加</w:t>
      </w:r>
      <w:r>
        <w:rPr>
          <w:spacing w:val="-22"/>
          <w:sz w:val="24"/>
          <w:szCs w:val="24"/>
        </w:rPr>
        <w:t>盖施工单位公章。</w:t>
      </w:r>
    </w:p>
    <w:p w14:paraId="025281F3">
      <w:pPr>
        <w:pStyle w:val="2"/>
        <w:spacing w:before="85" w:line="217" w:lineRule="auto"/>
        <w:ind w:left="1987"/>
        <w:outlineLvl w:val="2"/>
        <w:rPr>
          <w:sz w:val="28"/>
          <w:szCs w:val="28"/>
        </w:rPr>
      </w:pPr>
      <w:bookmarkStart w:id="224" w:name="bookmark216"/>
      <w:bookmarkEnd w:id="224"/>
      <w:r>
        <w:rPr>
          <w:b/>
          <w:bCs/>
          <w:spacing w:val="-21"/>
          <w:sz w:val="28"/>
          <w:szCs w:val="28"/>
        </w:rPr>
        <w:t>九、台帐管理</w:t>
      </w:r>
    </w:p>
    <w:p w14:paraId="2AD5D418">
      <w:pPr>
        <w:pStyle w:val="2"/>
        <w:spacing w:before="103" w:line="216" w:lineRule="auto"/>
        <w:ind w:left="1903"/>
        <w:rPr>
          <w:sz w:val="24"/>
          <w:szCs w:val="24"/>
        </w:rPr>
      </w:pPr>
      <w:r>
        <w:rPr>
          <w:spacing w:val="-21"/>
          <w:sz w:val="24"/>
          <w:szCs w:val="24"/>
        </w:rPr>
        <w:t>1、项目部分别建立甲供材料数据台帐。</w:t>
      </w:r>
    </w:p>
    <w:p w14:paraId="53DFC9E1">
      <w:pPr>
        <w:spacing w:line="48" w:lineRule="auto"/>
        <w:rPr>
          <w:rFonts w:ascii="Arial"/>
          <w:sz w:val="2"/>
        </w:rPr>
      </w:pPr>
    </w:p>
    <w:tbl>
      <w:tblPr>
        <w:tblStyle w:val="6"/>
        <w:tblW w:w="8549" w:type="dxa"/>
        <w:tblInd w:w="1678" w:type="dxa"/>
        <w:tblBorders>
          <w:top w:val="single" w:color="5B9BD5" w:sz="4" w:space="0"/>
          <w:left w:val="single" w:color="5B9BD5" w:sz="4" w:space="0"/>
          <w:bottom w:val="single" w:color="5B9BD5" w:sz="4" w:space="0"/>
          <w:right w:val="single" w:color="5B9BD5" w:sz="4" w:space="0"/>
          <w:insideH w:val="single" w:color="5B9BD5" w:sz="4" w:space="0"/>
          <w:insideV w:val="single" w:color="5B9BD5" w:sz="4" w:space="0"/>
        </w:tblBorders>
        <w:tblLayout w:type="fixed"/>
        <w:tblCellMar>
          <w:top w:w="0" w:type="dxa"/>
          <w:left w:w="0" w:type="dxa"/>
          <w:bottom w:w="0" w:type="dxa"/>
          <w:right w:w="0" w:type="dxa"/>
        </w:tblCellMar>
      </w:tblPr>
      <w:tblGrid>
        <w:gridCol w:w="8549"/>
      </w:tblGrid>
      <w:tr w14:paraId="3CF47FCB">
        <w:tblPrEx>
          <w:tblBorders>
            <w:top w:val="single" w:color="5B9BD5" w:sz="4" w:space="0"/>
            <w:left w:val="single" w:color="5B9BD5" w:sz="4" w:space="0"/>
            <w:bottom w:val="single" w:color="5B9BD5" w:sz="4" w:space="0"/>
            <w:right w:val="single" w:color="5B9BD5" w:sz="4" w:space="0"/>
            <w:insideH w:val="single" w:color="5B9BD5" w:sz="4" w:space="0"/>
            <w:insideV w:val="single" w:color="5B9BD5" w:sz="4" w:space="0"/>
          </w:tblBorders>
          <w:tblCellMar>
            <w:top w:w="0" w:type="dxa"/>
            <w:left w:w="0" w:type="dxa"/>
            <w:bottom w:w="0" w:type="dxa"/>
            <w:right w:w="0" w:type="dxa"/>
          </w:tblCellMar>
        </w:tblPrEx>
        <w:trPr>
          <w:trHeight w:val="590" w:hRule="atLeast"/>
        </w:trPr>
        <w:tc>
          <w:tcPr>
            <w:tcW w:w="8549" w:type="dxa"/>
            <w:tcBorders>
              <w:bottom w:val="single" w:color="000000" w:sz="2" w:space="0"/>
            </w:tcBorders>
            <w:shd w:val="clear" w:color="auto" w:fill="DEEAF6"/>
            <w:vAlign w:val="top"/>
          </w:tcPr>
          <w:p w14:paraId="3EE3620A">
            <w:pPr>
              <w:pStyle w:val="7"/>
              <w:spacing w:before="128" w:line="217" w:lineRule="auto"/>
              <w:ind w:left="3659"/>
            </w:pPr>
            <w:r>
              <w:rPr>
                <w:b/>
                <w:bCs/>
                <w:spacing w:val="-25"/>
              </w:rPr>
              <w:t>甲供材接收单</w:t>
            </w:r>
          </w:p>
        </w:tc>
      </w:tr>
      <w:tr w14:paraId="0FA9DB98">
        <w:tblPrEx>
          <w:tblBorders>
            <w:top w:val="single" w:color="5B9BD5" w:sz="4" w:space="0"/>
            <w:left w:val="single" w:color="5B9BD5" w:sz="4" w:space="0"/>
            <w:bottom w:val="single" w:color="5B9BD5" w:sz="4" w:space="0"/>
            <w:right w:val="single" w:color="5B9BD5" w:sz="4" w:space="0"/>
            <w:insideH w:val="single" w:color="5B9BD5" w:sz="4" w:space="0"/>
            <w:insideV w:val="single" w:color="5B9BD5" w:sz="4" w:space="0"/>
          </w:tblBorders>
          <w:tblCellMar>
            <w:top w:w="0" w:type="dxa"/>
            <w:left w:w="0" w:type="dxa"/>
            <w:bottom w:w="0" w:type="dxa"/>
            <w:right w:w="0" w:type="dxa"/>
          </w:tblCellMar>
        </w:tblPrEx>
        <w:trPr>
          <w:trHeight w:val="5205" w:hRule="atLeast"/>
        </w:trPr>
        <w:tc>
          <w:tcPr>
            <w:tcW w:w="8549" w:type="dxa"/>
            <w:tcBorders>
              <w:top w:val="single" w:color="000000" w:sz="2" w:space="0"/>
              <w:left w:val="single" w:color="1C456A" w:sz="4" w:space="0"/>
              <w:bottom w:val="single" w:color="1C456A" w:sz="4" w:space="0"/>
              <w:right w:val="single" w:color="1C456A" w:sz="4" w:space="0"/>
            </w:tcBorders>
            <w:vAlign w:val="top"/>
          </w:tcPr>
          <w:p w14:paraId="165AC62C">
            <w:pPr>
              <w:spacing w:before="87" w:line="4870" w:lineRule="exact"/>
              <w:ind w:firstLine="759"/>
            </w:pPr>
            <w:r>
              <w:pict>
                <v:shape id="_x0000_s3825" o:spid="_x0000_s3825" style="position:absolute;left:0pt;margin-left:-0.25pt;margin-top:260.3pt;height:0.75pt;width:2.2pt;mso-position-horizontal-relative:page;mso-position-vertical-relative:page;z-index:252230656;mso-width-relative:page;mso-height-relative:page;" fillcolor="#5B9BD5" filled="t" stroked="f" coordsize="44,15" path="m0,14l43,14,43,0,0,0,0,14xe">
                  <v:path/>
                  <v:fill on="t" focussize="0,0"/>
                  <v:stroke on="f"/>
                  <v:imagedata o:title=""/>
                  <o:lock v:ext="edit"/>
                </v:shape>
              </w:pict>
            </w:r>
            <w:r>
              <w:rPr>
                <w:position w:val="-97"/>
              </w:rPr>
              <w:drawing>
                <wp:inline distT="0" distB="0" distL="0" distR="0">
                  <wp:extent cx="4454525" cy="3092450"/>
                  <wp:effectExtent l="0" t="0" r="0" b="0"/>
                  <wp:docPr id="1250" name="IM 1250"/>
                  <wp:cNvGraphicFramePr/>
                  <a:graphic xmlns:a="http://schemas.openxmlformats.org/drawingml/2006/main">
                    <a:graphicData uri="http://schemas.openxmlformats.org/drawingml/2006/picture">
                      <pic:pic xmlns:pic="http://schemas.openxmlformats.org/drawingml/2006/picture">
                        <pic:nvPicPr>
                          <pic:cNvPr id="1250" name="IM 1250"/>
                          <pic:cNvPicPr/>
                        </pic:nvPicPr>
                        <pic:blipFill>
                          <a:blip r:embed="rId659"/>
                          <a:stretch>
                            <a:fillRect/>
                          </a:stretch>
                        </pic:blipFill>
                        <pic:spPr>
                          <a:xfrm>
                            <a:off x="0" y="0"/>
                            <a:ext cx="4454525" cy="3092450"/>
                          </a:xfrm>
                          <a:prstGeom prst="rect">
                            <a:avLst/>
                          </a:prstGeom>
                        </pic:spPr>
                      </pic:pic>
                    </a:graphicData>
                  </a:graphic>
                </wp:inline>
              </w:drawing>
            </w:r>
          </w:p>
        </w:tc>
      </w:tr>
    </w:tbl>
    <w:p w14:paraId="203FCCD8">
      <w:pPr>
        <w:pStyle w:val="2"/>
        <w:spacing w:before="115" w:line="294" w:lineRule="auto"/>
        <w:ind w:left="1460" w:right="1410" w:firstLine="428"/>
        <w:rPr>
          <w:sz w:val="24"/>
          <w:szCs w:val="24"/>
        </w:rPr>
      </w:pPr>
      <w:r>
        <w:rPr>
          <w:spacing w:val="-22"/>
          <w:sz w:val="24"/>
          <w:szCs w:val="24"/>
        </w:rPr>
        <w:t>2、甲供材料台帐中应能及时反映工程甲供材料品种、型号规格、材料实际领用量（包括数</w:t>
      </w:r>
      <w:r>
        <w:rPr>
          <w:spacing w:val="-21"/>
          <w:sz w:val="24"/>
          <w:szCs w:val="24"/>
        </w:rPr>
        <w:t>量、单价、金额及出库时间）等动态数据。</w:t>
      </w:r>
    </w:p>
    <w:p w14:paraId="56C748BA">
      <w:pPr>
        <w:pStyle w:val="2"/>
        <w:spacing w:line="211" w:lineRule="auto"/>
        <w:ind w:left="1985"/>
        <w:outlineLvl w:val="2"/>
        <w:rPr>
          <w:sz w:val="28"/>
          <w:szCs w:val="28"/>
        </w:rPr>
      </w:pPr>
      <w:r>
        <w:pict>
          <v:shape id="_x0000_s3826" o:spid="_x0000_s3826" style="position:absolute;left:0pt;margin-left:238.85pt;margin-top:17.45pt;height:0.75pt;width:2.2pt;z-index:252227584;mso-width-relative:page;mso-height-relative:page;" fillcolor="#1C456A" filled="t" stroked="f" coordsize="44,15" path="m0,14l43,14,43,0,0,0,0,14xe">
            <v:path/>
            <v:fill on="t" focussize="0,0"/>
            <v:stroke on="f"/>
            <v:imagedata o:title=""/>
            <o:lock v:ext="edit"/>
          </v:shape>
        </w:pict>
      </w:r>
      <w:bookmarkStart w:id="225" w:name="bookmark217"/>
      <w:bookmarkEnd w:id="225"/>
      <w:r>
        <w:rPr>
          <w:b/>
          <w:bCs/>
          <w:spacing w:val="-22"/>
          <w:sz w:val="28"/>
          <w:szCs w:val="28"/>
        </w:rPr>
        <w:t>十、甲供材管理措施</w:t>
      </w:r>
    </w:p>
    <w:tbl>
      <w:tblPr>
        <w:tblStyle w:val="6"/>
        <w:tblW w:w="8549" w:type="dxa"/>
        <w:tblInd w:w="167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21"/>
        <w:gridCol w:w="950"/>
        <w:gridCol w:w="1836"/>
        <w:gridCol w:w="1267"/>
        <w:gridCol w:w="4175"/>
      </w:tblGrid>
      <w:tr w14:paraId="572FAC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0" w:hRule="atLeast"/>
        </w:trPr>
        <w:tc>
          <w:tcPr>
            <w:tcW w:w="1271" w:type="dxa"/>
            <w:gridSpan w:val="2"/>
            <w:tcBorders>
              <w:top w:val="single" w:color="000000" w:sz="4" w:space="0"/>
              <w:left w:val="single" w:color="000000" w:sz="4" w:space="0"/>
            </w:tcBorders>
            <w:shd w:val="clear" w:color="auto" w:fill="DEEAF6"/>
            <w:vAlign w:val="top"/>
          </w:tcPr>
          <w:p w14:paraId="7FA41F41">
            <w:pPr>
              <w:spacing w:line="33" w:lineRule="exact"/>
              <w:ind w:firstLine="1249"/>
            </w:pPr>
            <w:r>
              <w:pict>
                <v:shape id="_x0000_s3827" o:spid="_x0000_s3827" style="position:absolute;left:0pt;margin-left:-0.2pt;margin-top:0pt;height:0.75pt;width:2.2pt;mso-position-horizontal-relative:page;mso-position-vertical-relative:page;z-index:252229632;mso-width-relative:page;mso-height-relative:page;" fillcolor="#5B9BD5" filled="t" stroked="f" coordsize="44,15" path="m0,14l43,14,43,0,0,0,0,14xe">
                  <v:path/>
                  <v:fill on="t" focussize="0,0"/>
                  <v:stroke on="f"/>
                  <v:imagedata o:title=""/>
                  <o:lock v:ext="edit"/>
                </v:shape>
              </w:pict>
            </w:r>
            <w:r>
              <w:pict>
                <v:group id="_x0000_s3828" o:spid="_x0000_s3828" o:spt="203" style="height:2.2pt;width:2.2pt;" coordsize="44,44">
                  <o:lock v:ext="edit"/>
                  <v:shape id="_x0000_s3829" o:spid="_x0000_s3829" style="position:absolute;left:0;top:0;height:15;width:44;" fillcolor="#5B9BD5" filled="t" stroked="f" coordsize="44,15" path="m0,14l43,14,43,0,0,0,0,14xe">
                    <v:path/>
                    <v:fill on="t" focussize="0,0"/>
                    <v:stroke on="f"/>
                    <v:imagedata o:title=""/>
                    <o:lock v:ext="edit"/>
                  </v:shape>
                  <v:shape id="_x0000_s3830" o:spid="_x0000_s3830" style="position:absolute;left:0;top:14;height:15;width:44;" fillcolor="#20507B" filled="t" stroked="f" coordsize="44,15" path="m0,14l43,14,43,0,0,0,0,14xe">
                    <v:path/>
                    <v:fill on="t" focussize="0,0"/>
                    <v:stroke on="f"/>
                    <v:imagedata o:title=""/>
                    <o:lock v:ext="edit"/>
                  </v:shape>
                  <v:shape id="_x0000_s3831" o:spid="_x0000_s3831" style="position:absolute;left:0;top:28;height:15;width:44;" fillcolor="#1C456A" filled="t" stroked="f" coordsize="44,15" path="m0,14l43,14,43,0,0,0,0,14xe">
                    <v:path/>
                    <v:fill on="t" focussize="0,0"/>
                    <v:stroke on="f"/>
                    <v:imagedata o:title=""/>
                    <o:lock v:ext="edit"/>
                  </v:shape>
                  <w10:wrap type="none"/>
                  <w10:anchorlock/>
                </v:group>
              </w:pict>
            </w:r>
          </w:p>
          <w:p w14:paraId="53E5111F">
            <w:pPr>
              <w:pStyle w:val="7"/>
              <w:spacing w:before="96" w:line="218" w:lineRule="auto"/>
              <w:ind w:left="430"/>
            </w:pPr>
            <w:r>
              <w:rPr>
                <w:b/>
                <w:bCs/>
                <w:spacing w:val="-11"/>
              </w:rPr>
              <w:t>序号</w:t>
            </w:r>
          </w:p>
        </w:tc>
        <w:tc>
          <w:tcPr>
            <w:tcW w:w="1836" w:type="dxa"/>
            <w:tcBorders>
              <w:top w:val="single" w:color="000000" w:sz="4" w:space="0"/>
            </w:tcBorders>
            <w:shd w:val="clear" w:color="auto" w:fill="DEEAF6"/>
            <w:vAlign w:val="top"/>
          </w:tcPr>
          <w:p w14:paraId="1598D087">
            <w:pPr>
              <w:pStyle w:val="7"/>
              <w:spacing w:before="128" w:line="217" w:lineRule="auto"/>
              <w:ind w:left="706"/>
            </w:pPr>
            <w:r>
              <w:rPr>
                <w:b/>
                <w:bCs/>
                <w:spacing w:val="-13"/>
              </w:rPr>
              <w:t>名称</w:t>
            </w:r>
          </w:p>
        </w:tc>
        <w:tc>
          <w:tcPr>
            <w:tcW w:w="1267" w:type="dxa"/>
            <w:tcBorders>
              <w:top w:val="single" w:color="5B9BD5" w:sz="4" w:space="0"/>
              <w:right w:val="nil"/>
            </w:tcBorders>
            <w:shd w:val="clear" w:color="auto" w:fill="DEEAF6"/>
            <w:vAlign w:val="top"/>
          </w:tcPr>
          <w:p w14:paraId="6CE3170C">
            <w:pPr>
              <w:spacing w:line="18" w:lineRule="exact"/>
            </w:pPr>
            <w:r>
              <w:pict>
                <v:group id="_x0000_s3832" o:spid="_x0000_s3832" o:spt="203" style="height:1.45pt;width:2.2pt;" coordsize="44,29">
                  <o:lock v:ext="edit"/>
                  <v:shape id="_x0000_s3833" o:spid="_x0000_s3833" style="position:absolute;left:0;top:0;height:15;width:44;" fillcolor="#5B9BD5" filled="t" stroked="f" coordsize="44,15" path="m0,14l43,14,43,0,0,0,0,14xe">
                    <v:path/>
                    <v:fill on="t" focussize="0,0"/>
                    <v:stroke on="f"/>
                    <v:imagedata o:title=""/>
                    <o:lock v:ext="edit"/>
                  </v:shape>
                  <v:shape id="_x0000_s3834" o:spid="_x0000_s3834" style="position:absolute;left:0;top:14;height:15;width:44;" fillcolor="#20507B" filled="t" stroked="f" coordsize="44,15" path="m0,14l43,14,43,0,0,0,0,14xe">
                    <v:path/>
                    <v:fill on="t" focussize="0,0"/>
                    <v:stroke on="f"/>
                    <v:imagedata o:title=""/>
                    <o:lock v:ext="edit"/>
                  </v:shape>
                  <w10:wrap type="none"/>
                  <w10:anchorlock/>
                </v:group>
              </w:pict>
            </w:r>
          </w:p>
        </w:tc>
        <w:tc>
          <w:tcPr>
            <w:tcW w:w="4175" w:type="dxa"/>
            <w:tcBorders>
              <w:top w:val="single" w:color="5B9BD5" w:sz="4" w:space="0"/>
              <w:left w:val="nil"/>
              <w:right w:val="single" w:color="5B9BD5" w:sz="4" w:space="0"/>
            </w:tcBorders>
            <w:shd w:val="clear" w:color="auto" w:fill="DEEAF6"/>
            <w:vAlign w:val="top"/>
          </w:tcPr>
          <w:p w14:paraId="64C3EAAB">
            <w:pPr>
              <w:pStyle w:val="7"/>
              <w:spacing w:before="129" w:line="218" w:lineRule="auto"/>
              <w:ind w:left="1268"/>
            </w:pPr>
            <w:r>
              <w:rPr>
                <w:b/>
                <w:bCs/>
                <w:spacing w:val="-20"/>
              </w:rPr>
              <w:t>内容</w:t>
            </w:r>
          </w:p>
        </w:tc>
      </w:tr>
      <w:tr w14:paraId="4FA0A8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48" w:hRule="atLeast"/>
        </w:trPr>
        <w:tc>
          <w:tcPr>
            <w:tcW w:w="1271" w:type="dxa"/>
            <w:gridSpan w:val="2"/>
            <w:tcBorders>
              <w:left w:val="single" w:color="000000" w:sz="4" w:space="0"/>
            </w:tcBorders>
            <w:vAlign w:val="top"/>
          </w:tcPr>
          <w:p w14:paraId="331B92F7">
            <w:pPr>
              <w:spacing w:line="314" w:lineRule="auto"/>
              <w:rPr>
                <w:rFonts w:ascii="Arial"/>
                <w:sz w:val="21"/>
              </w:rPr>
            </w:pPr>
          </w:p>
          <w:p w14:paraId="584A16D1">
            <w:pPr>
              <w:spacing w:line="315" w:lineRule="auto"/>
              <w:rPr>
                <w:rFonts w:ascii="Arial"/>
                <w:sz w:val="21"/>
              </w:rPr>
            </w:pPr>
          </w:p>
          <w:p w14:paraId="7AA68232">
            <w:pPr>
              <w:spacing w:line="315" w:lineRule="auto"/>
              <w:rPr>
                <w:rFonts w:ascii="Arial"/>
                <w:sz w:val="21"/>
              </w:rPr>
            </w:pPr>
          </w:p>
          <w:p w14:paraId="40A9E440">
            <w:pPr>
              <w:pStyle w:val="7"/>
              <w:spacing w:before="78" w:line="238" w:lineRule="auto"/>
              <w:ind w:left="604"/>
            </w:pPr>
            <w:r>
              <w:t>1</w:t>
            </w:r>
          </w:p>
        </w:tc>
        <w:tc>
          <w:tcPr>
            <w:tcW w:w="1836" w:type="dxa"/>
            <w:vAlign w:val="top"/>
          </w:tcPr>
          <w:p w14:paraId="6E9E082F">
            <w:pPr>
              <w:spacing w:line="314" w:lineRule="auto"/>
              <w:rPr>
                <w:rFonts w:ascii="Arial"/>
                <w:sz w:val="21"/>
              </w:rPr>
            </w:pPr>
          </w:p>
          <w:p w14:paraId="215F8FD3">
            <w:pPr>
              <w:spacing w:line="315" w:lineRule="auto"/>
              <w:rPr>
                <w:rFonts w:ascii="Arial"/>
                <w:sz w:val="21"/>
              </w:rPr>
            </w:pPr>
          </w:p>
          <w:p w14:paraId="6B719EC6">
            <w:pPr>
              <w:spacing w:line="315" w:lineRule="auto"/>
              <w:rPr>
                <w:rFonts w:ascii="Arial"/>
                <w:sz w:val="21"/>
              </w:rPr>
            </w:pPr>
          </w:p>
          <w:p w14:paraId="07BFBBE9">
            <w:pPr>
              <w:pStyle w:val="7"/>
              <w:spacing w:before="78" w:line="216" w:lineRule="auto"/>
              <w:ind w:left="267"/>
            </w:pPr>
            <w:r>
              <w:rPr>
                <w:spacing w:val="-18"/>
              </w:rPr>
              <w:t>材料需用计划</w:t>
            </w:r>
          </w:p>
        </w:tc>
        <w:tc>
          <w:tcPr>
            <w:tcW w:w="5442" w:type="dxa"/>
            <w:gridSpan w:val="2"/>
            <w:tcBorders>
              <w:right w:val="single" w:color="000000" w:sz="4" w:space="0"/>
            </w:tcBorders>
            <w:vAlign w:val="top"/>
          </w:tcPr>
          <w:p w14:paraId="050B2DBB">
            <w:pPr>
              <w:pStyle w:val="7"/>
              <w:spacing w:before="94" w:line="217" w:lineRule="auto"/>
              <w:ind w:left="108"/>
            </w:pPr>
            <w:r>
              <w:rPr>
                <w:spacing w:val="-21"/>
              </w:rPr>
              <w:t>分包人根据设计图纸、设计变更、甲供材清单、工程进</w:t>
            </w:r>
          </w:p>
          <w:p w14:paraId="5DDD2C0C">
            <w:pPr>
              <w:pStyle w:val="7"/>
              <w:spacing w:before="183" w:line="216" w:lineRule="auto"/>
              <w:ind w:left="105"/>
            </w:pPr>
            <w:r>
              <w:rPr>
                <w:spacing w:val="-21"/>
              </w:rPr>
              <w:t>度计划及发包人提供的材料设备供应采购期量要求，提</w:t>
            </w:r>
          </w:p>
          <w:p w14:paraId="2BA04E74">
            <w:pPr>
              <w:pStyle w:val="7"/>
              <w:spacing w:before="186" w:line="217" w:lineRule="auto"/>
              <w:ind w:left="108"/>
            </w:pPr>
            <w:r>
              <w:rPr>
                <w:spacing w:val="-21"/>
              </w:rPr>
              <w:t>前对甲供材的规格、数量、进场时间进行分类统计和报</w:t>
            </w:r>
          </w:p>
          <w:p w14:paraId="0A9F001D">
            <w:pPr>
              <w:pStyle w:val="7"/>
              <w:spacing w:before="184" w:line="216" w:lineRule="auto"/>
              <w:ind w:left="109"/>
            </w:pPr>
            <w:r>
              <w:rPr>
                <w:spacing w:val="-21"/>
              </w:rPr>
              <w:t>量，制定甲供材进场计划，并由分包人项目经理签</w:t>
            </w:r>
            <w:r>
              <w:rPr>
                <w:spacing w:val="-22"/>
              </w:rPr>
              <w:t>字盖</w:t>
            </w:r>
          </w:p>
          <w:p w14:paraId="14E1A536">
            <w:pPr>
              <w:pStyle w:val="7"/>
              <w:spacing w:before="187" w:line="218" w:lineRule="auto"/>
              <w:ind w:left="2289"/>
            </w:pPr>
            <w:r>
              <w:rPr>
                <w:spacing w:val="-16"/>
              </w:rPr>
              <w:t>章确认。</w:t>
            </w:r>
          </w:p>
        </w:tc>
      </w:tr>
      <w:tr w14:paraId="6B4AEB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56" w:hRule="atLeast"/>
        </w:trPr>
        <w:tc>
          <w:tcPr>
            <w:tcW w:w="321" w:type="dxa"/>
            <w:tcBorders>
              <w:left w:val="single" w:color="1C456A" w:sz="4" w:space="0"/>
              <w:bottom w:val="single" w:color="1C456A" w:sz="4" w:space="0"/>
              <w:right w:val="nil"/>
            </w:tcBorders>
            <w:vAlign w:val="top"/>
          </w:tcPr>
          <w:p w14:paraId="59E4EDEF">
            <w:pPr>
              <w:rPr>
                <w:rFonts w:ascii="Arial"/>
                <w:sz w:val="21"/>
              </w:rPr>
            </w:pPr>
            <w:r>
              <w:pict>
                <v:shape id="_x0000_s3835" o:spid="_x0000_s3835" style="position:absolute;left:0pt;margin-left:-0.25pt;margin-top:77.8pt;height:0.75pt;width:2.2pt;mso-position-horizontal-relative:page;mso-position-vertical-relative:page;z-index:252228608;mso-width-relative:page;mso-height-relative:page;" fillcolor="#5B9BD5" filled="t" stroked="f" coordsize="44,15" path="m0,14l43,14,43,0,0,0,0,14xe">
                  <v:path/>
                  <v:fill on="t" focussize="0,0"/>
                  <v:stroke on="f"/>
                  <v:imagedata o:title=""/>
                  <o:lock v:ext="edit"/>
                </v:shape>
              </w:pict>
            </w:r>
          </w:p>
        </w:tc>
        <w:tc>
          <w:tcPr>
            <w:tcW w:w="950" w:type="dxa"/>
            <w:tcBorders>
              <w:left w:val="nil"/>
              <w:bottom w:val="single" w:color="1C456A" w:sz="4" w:space="0"/>
            </w:tcBorders>
            <w:vAlign w:val="top"/>
          </w:tcPr>
          <w:p w14:paraId="6E23B59C">
            <w:pPr>
              <w:spacing w:line="243" w:lineRule="auto"/>
              <w:rPr>
                <w:rFonts w:ascii="Arial"/>
                <w:sz w:val="21"/>
              </w:rPr>
            </w:pPr>
          </w:p>
          <w:p w14:paraId="3F9A8D07">
            <w:pPr>
              <w:spacing w:line="244" w:lineRule="auto"/>
              <w:rPr>
                <w:rFonts w:ascii="Arial"/>
                <w:sz w:val="21"/>
              </w:rPr>
            </w:pPr>
          </w:p>
          <w:p w14:paraId="655CB97C">
            <w:pPr>
              <w:pStyle w:val="7"/>
              <w:spacing w:before="78" w:line="238" w:lineRule="auto"/>
              <w:ind w:left="273"/>
            </w:pPr>
            <w:r>
              <w:t>2</w:t>
            </w:r>
          </w:p>
        </w:tc>
        <w:tc>
          <w:tcPr>
            <w:tcW w:w="1836" w:type="dxa"/>
            <w:tcBorders>
              <w:bottom w:val="single" w:color="000000" w:sz="4" w:space="0"/>
            </w:tcBorders>
            <w:vAlign w:val="top"/>
          </w:tcPr>
          <w:p w14:paraId="03B66B67">
            <w:pPr>
              <w:spacing w:line="243" w:lineRule="auto"/>
              <w:rPr>
                <w:rFonts w:ascii="Arial"/>
                <w:sz w:val="21"/>
              </w:rPr>
            </w:pPr>
          </w:p>
          <w:p w14:paraId="4BD04306">
            <w:pPr>
              <w:spacing w:line="244" w:lineRule="auto"/>
              <w:rPr>
                <w:rFonts w:ascii="Arial"/>
                <w:sz w:val="21"/>
              </w:rPr>
            </w:pPr>
          </w:p>
          <w:p w14:paraId="70A09A98">
            <w:pPr>
              <w:pStyle w:val="7"/>
              <w:spacing w:before="78" w:line="218" w:lineRule="auto"/>
              <w:ind w:left="705"/>
            </w:pPr>
            <w:r>
              <w:rPr>
                <w:spacing w:val="-8"/>
              </w:rPr>
              <w:t>报审</w:t>
            </w:r>
          </w:p>
        </w:tc>
        <w:tc>
          <w:tcPr>
            <w:tcW w:w="5442" w:type="dxa"/>
            <w:gridSpan w:val="2"/>
            <w:tcBorders>
              <w:bottom w:val="single" w:color="5B9BD5" w:sz="4" w:space="0"/>
              <w:right w:val="single" w:color="5B9BD5" w:sz="4" w:space="0"/>
            </w:tcBorders>
            <w:vAlign w:val="top"/>
          </w:tcPr>
          <w:p w14:paraId="635F528F">
            <w:pPr>
              <w:pStyle w:val="7"/>
              <w:spacing w:before="98" w:line="360" w:lineRule="auto"/>
              <w:ind w:left="103" w:right="89" w:firstLine="5"/>
              <w:jc w:val="both"/>
            </w:pPr>
            <w:r>
              <w:rPr>
                <w:spacing w:val="-22"/>
              </w:rPr>
              <w:t>分包人将已签字盖章的材料供应计划表报送监理单位，经监理单位签字确认后报发包人。发包人审核无误后安排订货。增补计划需要明确增补原因，如因分包人漏报</w:t>
            </w:r>
          </w:p>
        </w:tc>
      </w:tr>
    </w:tbl>
    <w:p w14:paraId="20DF6BEE">
      <w:pPr>
        <w:rPr>
          <w:rFonts w:ascii="Arial"/>
          <w:sz w:val="21"/>
        </w:rPr>
      </w:pPr>
    </w:p>
    <w:p w14:paraId="7B5D7B84">
      <w:pPr>
        <w:rPr>
          <w:rFonts w:ascii="Arial" w:hAnsi="Arial" w:eastAsia="Arial" w:cs="Arial"/>
          <w:sz w:val="21"/>
          <w:szCs w:val="21"/>
        </w:rPr>
        <w:sectPr>
          <w:footerReference r:id="rId295" w:type="default"/>
          <w:pgSz w:w="11907" w:h="16839"/>
          <w:pgMar w:top="933" w:right="4" w:bottom="1038" w:left="0" w:header="478" w:footer="357" w:gutter="0"/>
          <w:pgBorders>
            <w:top w:val="none" w:sz="0" w:space="0"/>
            <w:left w:val="none" w:sz="0" w:space="0"/>
            <w:bottom w:val="none" w:sz="0" w:space="0"/>
            <w:right w:val="none" w:sz="0" w:space="0"/>
          </w:pgBorders>
          <w:cols w:space="720" w:num="1"/>
        </w:sectPr>
      </w:pPr>
    </w:p>
    <w:p w14:paraId="5B583895">
      <w:pPr>
        <w:spacing w:line="235" w:lineRule="exact"/>
      </w:pPr>
    </w:p>
    <w:tbl>
      <w:tblPr>
        <w:tblStyle w:val="6"/>
        <w:tblW w:w="8549" w:type="dxa"/>
        <w:tblInd w:w="167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22"/>
        <w:gridCol w:w="941"/>
        <w:gridCol w:w="1841"/>
        <w:gridCol w:w="5445"/>
      </w:tblGrid>
      <w:tr w14:paraId="3799CF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22" w:hRule="atLeast"/>
        </w:trPr>
        <w:tc>
          <w:tcPr>
            <w:tcW w:w="1263" w:type="dxa"/>
            <w:gridSpan w:val="2"/>
            <w:tcBorders>
              <w:top w:val="single" w:color="000000" w:sz="4" w:space="0"/>
              <w:left w:val="single" w:color="000000" w:sz="4" w:space="0"/>
            </w:tcBorders>
            <w:vAlign w:val="top"/>
          </w:tcPr>
          <w:p w14:paraId="596260A4">
            <w:pPr>
              <w:rPr>
                <w:rFonts w:ascii="Arial"/>
                <w:sz w:val="21"/>
              </w:rPr>
            </w:pPr>
          </w:p>
        </w:tc>
        <w:tc>
          <w:tcPr>
            <w:tcW w:w="1841" w:type="dxa"/>
            <w:tcBorders>
              <w:top w:val="single" w:color="000000" w:sz="4" w:space="0"/>
            </w:tcBorders>
            <w:vAlign w:val="top"/>
          </w:tcPr>
          <w:p w14:paraId="0A81FEA2">
            <w:pPr>
              <w:rPr>
                <w:rFonts w:ascii="Arial"/>
                <w:sz w:val="21"/>
              </w:rPr>
            </w:pPr>
          </w:p>
        </w:tc>
        <w:tc>
          <w:tcPr>
            <w:tcW w:w="5445" w:type="dxa"/>
            <w:tcBorders>
              <w:top w:val="single" w:color="5B9BD5" w:sz="4" w:space="0"/>
              <w:right w:val="single" w:color="5B9BD5" w:sz="4" w:space="0"/>
            </w:tcBorders>
            <w:vAlign w:val="top"/>
          </w:tcPr>
          <w:p w14:paraId="31A819ED">
            <w:pPr>
              <w:pStyle w:val="7"/>
              <w:spacing w:before="129" w:line="216" w:lineRule="auto"/>
              <w:jc w:val="right"/>
            </w:pPr>
            <w:r>
              <w:rPr>
                <w:spacing w:val="-26"/>
              </w:rPr>
              <w:t>而导致的增补材料价格增加，由分包人承担该部分费用。</w:t>
            </w:r>
          </w:p>
          <w:p w14:paraId="3B5BDD1B">
            <w:pPr>
              <w:pStyle w:val="7"/>
              <w:spacing w:before="185" w:line="216" w:lineRule="auto"/>
              <w:jc w:val="right"/>
            </w:pPr>
            <w:r>
              <w:rPr>
                <w:spacing w:val="-26"/>
              </w:rPr>
              <w:t>如因分包人计划滞后、不准确造成材料设备供应不及时、</w:t>
            </w:r>
          </w:p>
          <w:p w14:paraId="56DC939A">
            <w:pPr>
              <w:pStyle w:val="7"/>
              <w:spacing w:before="186" w:line="217" w:lineRule="auto"/>
              <w:ind w:left="109"/>
            </w:pPr>
            <w:r>
              <w:rPr>
                <w:spacing w:val="-21"/>
              </w:rPr>
              <w:t>超供无法退货、超供折价退货的，由此造成的损失由分</w:t>
            </w:r>
          </w:p>
          <w:p w14:paraId="219595DC">
            <w:pPr>
              <w:pStyle w:val="7"/>
              <w:spacing w:before="183" w:line="220" w:lineRule="auto"/>
              <w:ind w:left="2189"/>
            </w:pPr>
            <w:r>
              <w:rPr>
                <w:spacing w:val="-19"/>
              </w:rPr>
              <w:t>包人承担。</w:t>
            </w:r>
          </w:p>
        </w:tc>
      </w:tr>
      <w:tr w14:paraId="5F3409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3" w:hRule="atLeast"/>
        </w:trPr>
        <w:tc>
          <w:tcPr>
            <w:tcW w:w="1263" w:type="dxa"/>
            <w:gridSpan w:val="2"/>
            <w:tcBorders>
              <w:left w:val="single" w:color="000000" w:sz="4" w:space="0"/>
            </w:tcBorders>
            <w:vAlign w:val="top"/>
          </w:tcPr>
          <w:p w14:paraId="1FF08E19">
            <w:pPr>
              <w:spacing w:line="254" w:lineRule="auto"/>
              <w:rPr>
                <w:rFonts w:ascii="Arial"/>
                <w:sz w:val="21"/>
              </w:rPr>
            </w:pPr>
          </w:p>
          <w:p w14:paraId="0B014C98">
            <w:pPr>
              <w:spacing w:line="254" w:lineRule="auto"/>
              <w:rPr>
                <w:rFonts w:ascii="Arial"/>
                <w:sz w:val="21"/>
              </w:rPr>
            </w:pPr>
          </w:p>
          <w:p w14:paraId="750B606D">
            <w:pPr>
              <w:spacing w:line="254" w:lineRule="auto"/>
              <w:rPr>
                <w:rFonts w:ascii="Arial"/>
                <w:sz w:val="21"/>
              </w:rPr>
            </w:pPr>
          </w:p>
          <w:p w14:paraId="0E227A3C">
            <w:pPr>
              <w:spacing w:line="254" w:lineRule="auto"/>
              <w:rPr>
                <w:rFonts w:ascii="Arial"/>
                <w:sz w:val="21"/>
              </w:rPr>
            </w:pPr>
          </w:p>
          <w:p w14:paraId="45A8CDA3">
            <w:pPr>
              <w:spacing w:line="254" w:lineRule="auto"/>
              <w:rPr>
                <w:rFonts w:ascii="Arial"/>
                <w:sz w:val="21"/>
              </w:rPr>
            </w:pPr>
          </w:p>
          <w:p w14:paraId="49C86F0C">
            <w:pPr>
              <w:spacing w:line="255" w:lineRule="auto"/>
              <w:rPr>
                <w:rFonts w:ascii="Arial"/>
                <w:sz w:val="21"/>
              </w:rPr>
            </w:pPr>
          </w:p>
          <w:p w14:paraId="34FAA44D">
            <w:pPr>
              <w:spacing w:line="255" w:lineRule="auto"/>
              <w:rPr>
                <w:rFonts w:ascii="Arial"/>
                <w:sz w:val="21"/>
              </w:rPr>
            </w:pPr>
          </w:p>
          <w:p w14:paraId="6575D380">
            <w:pPr>
              <w:spacing w:line="255" w:lineRule="auto"/>
              <w:rPr>
                <w:rFonts w:ascii="Arial"/>
                <w:sz w:val="21"/>
              </w:rPr>
            </w:pPr>
          </w:p>
          <w:p w14:paraId="5A52B883">
            <w:pPr>
              <w:spacing w:line="255" w:lineRule="auto"/>
              <w:rPr>
                <w:rFonts w:ascii="Arial"/>
                <w:sz w:val="21"/>
              </w:rPr>
            </w:pPr>
          </w:p>
          <w:p w14:paraId="078A06CB">
            <w:pPr>
              <w:spacing w:line="255" w:lineRule="auto"/>
              <w:rPr>
                <w:rFonts w:ascii="Arial"/>
                <w:sz w:val="21"/>
              </w:rPr>
            </w:pPr>
          </w:p>
          <w:p w14:paraId="42B913F7">
            <w:pPr>
              <w:spacing w:line="255" w:lineRule="auto"/>
              <w:rPr>
                <w:rFonts w:ascii="Arial"/>
                <w:sz w:val="21"/>
              </w:rPr>
            </w:pPr>
          </w:p>
          <w:p w14:paraId="419876CC">
            <w:pPr>
              <w:pStyle w:val="7"/>
              <w:spacing w:before="78" w:line="237" w:lineRule="auto"/>
              <w:ind w:left="591"/>
            </w:pPr>
            <w:r>
              <w:t>3</w:t>
            </w:r>
          </w:p>
        </w:tc>
        <w:tc>
          <w:tcPr>
            <w:tcW w:w="1841" w:type="dxa"/>
            <w:vAlign w:val="top"/>
          </w:tcPr>
          <w:p w14:paraId="2401C401">
            <w:pPr>
              <w:spacing w:line="254" w:lineRule="auto"/>
              <w:rPr>
                <w:rFonts w:ascii="Arial"/>
                <w:sz w:val="21"/>
              </w:rPr>
            </w:pPr>
          </w:p>
          <w:p w14:paraId="7C1E1132">
            <w:pPr>
              <w:spacing w:line="254" w:lineRule="auto"/>
              <w:rPr>
                <w:rFonts w:ascii="Arial"/>
                <w:sz w:val="21"/>
              </w:rPr>
            </w:pPr>
          </w:p>
          <w:p w14:paraId="029F55F8">
            <w:pPr>
              <w:spacing w:line="254" w:lineRule="auto"/>
              <w:rPr>
                <w:rFonts w:ascii="Arial"/>
                <w:sz w:val="21"/>
              </w:rPr>
            </w:pPr>
          </w:p>
          <w:p w14:paraId="698095B9">
            <w:pPr>
              <w:spacing w:line="254" w:lineRule="auto"/>
              <w:rPr>
                <w:rFonts w:ascii="Arial"/>
                <w:sz w:val="21"/>
              </w:rPr>
            </w:pPr>
          </w:p>
          <w:p w14:paraId="1CC14BCD">
            <w:pPr>
              <w:spacing w:line="254" w:lineRule="auto"/>
              <w:rPr>
                <w:rFonts w:ascii="Arial"/>
                <w:sz w:val="21"/>
              </w:rPr>
            </w:pPr>
          </w:p>
          <w:p w14:paraId="2D821744">
            <w:pPr>
              <w:spacing w:line="255" w:lineRule="auto"/>
              <w:rPr>
                <w:rFonts w:ascii="Arial"/>
                <w:sz w:val="21"/>
              </w:rPr>
            </w:pPr>
          </w:p>
          <w:p w14:paraId="1A7CFF02">
            <w:pPr>
              <w:spacing w:line="255" w:lineRule="auto"/>
              <w:rPr>
                <w:rFonts w:ascii="Arial"/>
                <w:sz w:val="21"/>
              </w:rPr>
            </w:pPr>
          </w:p>
          <w:p w14:paraId="7323B512">
            <w:pPr>
              <w:spacing w:line="255" w:lineRule="auto"/>
              <w:rPr>
                <w:rFonts w:ascii="Arial"/>
                <w:sz w:val="21"/>
              </w:rPr>
            </w:pPr>
          </w:p>
          <w:p w14:paraId="5C95547E">
            <w:pPr>
              <w:spacing w:line="255" w:lineRule="auto"/>
              <w:rPr>
                <w:rFonts w:ascii="Arial"/>
                <w:sz w:val="21"/>
              </w:rPr>
            </w:pPr>
          </w:p>
          <w:p w14:paraId="211EDBA4">
            <w:pPr>
              <w:spacing w:line="255" w:lineRule="auto"/>
              <w:rPr>
                <w:rFonts w:ascii="Arial"/>
                <w:sz w:val="21"/>
              </w:rPr>
            </w:pPr>
          </w:p>
          <w:p w14:paraId="4997FB80">
            <w:pPr>
              <w:spacing w:line="255" w:lineRule="auto"/>
              <w:rPr>
                <w:rFonts w:ascii="Arial"/>
                <w:sz w:val="21"/>
              </w:rPr>
            </w:pPr>
          </w:p>
          <w:p w14:paraId="408F5B21">
            <w:pPr>
              <w:pStyle w:val="7"/>
              <w:spacing w:before="78" w:line="216" w:lineRule="auto"/>
              <w:ind w:left="495"/>
            </w:pPr>
            <w:r>
              <w:rPr>
                <w:spacing w:val="-15"/>
              </w:rPr>
              <w:t>接收检验</w:t>
            </w:r>
          </w:p>
        </w:tc>
        <w:tc>
          <w:tcPr>
            <w:tcW w:w="5445" w:type="dxa"/>
            <w:tcBorders>
              <w:right w:val="single" w:color="000000" w:sz="4" w:space="0"/>
            </w:tcBorders>
            <w:vAlign w:val="top"/>
          </w:tcPr>
          <w:p w14:paraId="0EAD19CE">
            <w:pPr>
              <w:pStyle w:val="7"/>
              <w:spacing w:before="94" w:line="217" w:lineRule="auto"/>
              <w:ind w:left="140"/>
            </w:pPr>
            <w:r>
              <w:rPr>
                <w:spacing w:val="-23"/>
              </w:rPr>
              <w:t>甲供材运到现场后，分包人应安排适当的通道及卸货位</w:t>
            </w:r>
          </w:p>
          <w:p w14:paraId="1374ECC8">
            <w:pPr>
              <w:pStyle w:val="7"/>
              <w:spacing w:before="184" w:line="215" w:lineRule="auto"/>
              <w:ind w:left="109"/>
            </w:pPr>
            <w:r>
              <w:rPr>
                <w:spacing w:val="-21"/>
              </w:rPr>
              <w:t>置。所有甲供材由分包人负责下车及堆码、清点数量并</w:t>
            </w:r>
          </w:p>
          <w:p w14:paraId="26603AD1">
            <w:pPr>
              <w:pStyle w:val="7"/>
              <w:spacing w:before="188" w:line="215" w:lineRule="auto"/>
              <w:ind w:left="111"/>
            </w:pPr>
            <w:r>
              <w:rPr>
                <w:spacing w:val="-21"/>
              </w:rPr>
              <w:t>及时在送货单上签字确认数量。按本国家及地区规定、</w:t>
            </w:r>
          </w:p>
          <w:p w14:paraId="46AC4213">
            <w:pPr>
              <w:pStyle w:val="7"/>
              <w:spacing w:before="186" w:line="215" w:lineRule="auto"/>
              <w:ind w:left="108"/>
            </w:pPr>
            <w:r>
              <w:rPr>
                <w:spacing w:val="-21"/>
              </w:rPr>
              <w:t>招标文件要求需进行抽检试验的材料必须在使用前进行</w:t>
            </w:r>
          </w:p>
          <w:p w14:paraId="496DBEED">
            <w:pPr>
              <w:pStyle w:val="7"/>
              <w:spacing w:before="189" w:line="215" w:lineRule="auto"/>
              <w:ind w:left="108"/>
            </w:pPr>
            <w:r>
              <w:rPr>
                <w:spacing w:val="-21"/>
              </w:rPr>
              <w:t>抽样试验，材料的抽样送检必须在施工现场进行，且须</w:t>
            </w:r>
          </w:p>
          <w:p w14:paraId="2A517FFD">
            <w:pPr>
              <w:pStyle w:val="7"/>
              <w:spacing w:before="186" w:line="215" w:lineRule="auto"/>
              <w:ind w:left="139"/>
            </w:pPr>
            <w:r>
              <w:rPr>
                <w:spacing w:val="-22"/>
              </w:rPr>
              <w:t>由发包人或监理在场监督，送检合格后方能使</w:t>
            </w:r>
            <w:r>
              <w:rPr>
                <w:spacing w:val="-23"/>
              </w:rPr>
              <w:t>用；如检</w:t>
            </w:r>
          </w:p>
          <w:p w14:paraId="7F631818">
            <w:pPr>
              <w:pStyle w:val="7"/>
              <w:spacing w:before="188" w:line="215" w:lineRule="auto"/>
              <w:ind w:left="108"/>
            </w:pPr>
            <w:r>
              <w:rPr>
                <w:spacing w:val="-21"/>
              </w:rPr>
              <w:t>测不合格，由分包人按规范加倍取样试验，加倍取样试</w:t>
            </w:r>
          </w:p>
          <w:p w14:paraId="4A85E4EF">
            <w:pPr>
              <w:pStyle w:val="7"/>
              <w:spacing w:before="185" w:line="216" w:lineRule="auto"/>
              <w:ind w:left="108"/>
            </w:pPr>
            <w:r>
              <w:rPr>
                <w:spacing w:val="-21"/>
              </w:rPr>
              <w:t>验的试验费由发包人承担，不合格的材料由发包人及时</w:t>
            </w:r>
          </w:p>
          <w:p w14:paraId="16124FC4">
            <w:pPr>
              <w:pStyle w:val="7"/>
              <w:spacing w:before="188" w:line="215" w:lineRule="auto"/>
              <w:ind w:left="108"/>
            </w:pPr>
            <w:r>
              <w:rPr>
                <w:spacing w:val="-21"/>
              </w:rPr>
              <w:t>调运出现场。验收合格后统一存放到分包人库房，做好</w:t>
            </w:r>
          </w:p>
          <w:p w14:paraId="7F725A39">
            <w:pPr>
              <w:pStyle w:val="7"/>
              <w:spacing w:before="185" w:line="216" w:lineRule="auto"/>
              <w:ind w:left="108"/>
            </w:pPr>
            <w:r>
              <w:rPr>
                <w:spacing w:val="-21"/>
              </w:rPr>
              <w:t>验收记录。如分包人未及时发现材料设备的质量问题或</w:t>
            </w:r>
          </w:p>
          <w:p w14:paraId="34378FBC">
            <w:pPr>
              <w:pStyle w:val="7"/>
              <w:spacing w:before="188" w:line="216" w:lineRule="auto"/>
              <w:ind w:left="115"/>
            </w:pPr>
            <w:r>
              <w:rPr>
                <w:spacing w:val="-21"/>
              </w:rPr>
              <w:t>发现质量等问题未及时通知供货单位及发包</w:t>
            </w:r>
            <w:r>
              <w:rPr>
                <w:spacing w:val="-22"/>
              </w:rPr>
              <w:t>人，由此带</w:t>
            </w:r>
          </w:p>
          <w:p w14:paraId="4E011344">
            <w:pPr>
              <w:pStyle w:val="7"/>
              <w:spacing w:before="185" w:line="217" w:lineRule="auto"/>
              <w:ind w:left="109"/>
            </w:pPr>
            <w:r>
              <w:rPr>
                <w:spacing w:val="-21"/>
              </w:rPr>
              <w:t>来的所有返工和相应损失均由分包人负责。分包人负责</w:t>
            </w:r>
          </w:p>
          <w:p w14:paraId="5E146623">
            <w:pPr>
              <w:pStyle w:val="7"/>
              <w:spacing w:before="186" w:line="215" w:lineRule="auto"/>
              <w:ind w:left="995"/>
            </w:pPr>
            <w:r>
              <w:rPr>
                <w:spacing w:val="-22"/>
              </w:rPr>
              <w:t>收集、保存相关竣工所需产品资料。</w:t>
            </w:r>
          </w:p>
        </w:tc>
      </w:tr>
      <w:tr w14:paraId="0DD00D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20" w:hRule="atLeast"/>
        </w:trPr>
        <w:tc>
          <w:tcPr>
            <w:tcW w:w="1263" w:type="dxa"/>
            <w:gridSpan w:val="2"/>
            <w:tcBorders>
              <w:left w:val="single" w:color="000000" w:sz="4" w:space="0"/>
            </w:tcBorders>
            <w:vAlign w:val="top"/>
          </w:tcPr>
          <w:p w14:paraId="19A7810C">
            <w:pPr>
              <w:spacing w:line="268" w:lineRule="auto"/>
              <w:rPr>
                <w:rFonts w:ascii="Arial"/>
                <w:sz w:val="21"/>
              </w:rPr>
            </w:pPr>
          </w:p>
          <w:p w14:paraId="1810CF4B">
            <w:pPr>
              <w:spacing w:line="268" w:lineRule="auto"/>
              <w:rPr>
                <w:rFonts w:ascii="Arial"/>
                <w:sz w:val="21"/>
              </w:rPr>
            </w:pPr>
          </w:p>
          <w:p w14:paraId="5EA987BA">
            <w:pPr>
              <w:spacing w:line="268" w:lineRule="auto"/>
              <w:rPr>
                <w:rFonts w:ascii="Arial"/>
                <w:sz w:val="21"/>
              </w:rPr>
            </w:pPr>
          </w:p>
          <w:p w14:paraId="1AE7C22F">
            <w:pPr>
              <w:spacing w:line="268" w:lineRule="auto"/>
              <w:rPr>
                <w:rFonts w:ascii="Arial"/>
                <w:sz w:val="21"/>
              </w:rPr>
            </w:pPr>
          </w:p>
          <w:p w14:paraId="7F7B68DB">
            <w:pPr>
              <w:spacing w:line="268" w:lineRule="auto"/>
              <w:rPr>
                <w:rFonts w:ascii="Arial"/>
                <w:sz w:val="21"/>
              </w:rPr>
            </w:pPr>
          </w:p>
          <w:p w14:paraId="689FD2BE">
            <w:pPr>
              <w:spacing w:line="268" w:lineRule="auto"/>
              <w:rPr>
                <w:rFonts w:ascii="Arial"/>
                <w:sz w:val="21"/>
              </w:rPr>
            </w:pPr>
          </w:p>
          <w:p w14:paraId="462B9B93">
            <w:pPr>
              <w:spacing w:line="269" w:lineRule="auto"/>
              <w:rPr>
                <w:rFonts w:ascii="Arial"/>
                <w:sz w:val="21"/>
              </w:rPr>
            </w:pPr>
          </w:p>
          <w:p w14:paraId="34DA9892">
            <w:pPr>
              <w:pStyle w:val="7"/>
              <w:spacing w:before="78" w:line="238" w:lineRule="auto"/>
              <w:ind w:left="585"/>
            </w:pPr>
            <w:r>
              <w:t>4</w:t>
            </w:r>
          </w:p>
        </w:tc>
        <w:tc>
          <w:tcPr>
            <w:tcW w:w="1841" w:type="dxa"/>
            <w:vAlign w:val="top"/>
          </w:tcPr>
          <w:p w14:paraId="59449AC1">
            <w:pPr>
              <w:spacing w:line="268" w:lineRule="auto"/>
              <w:rPr>
                <w:rFonts w:ascii="Arial"/>
                <w:sz w:val="21"/>
              </w:rPr>
            </w:pPr>
          </w:p>
          <w:p w14:paraId="05AE4C2A">
            <w:pPr>
              <w:spacing w:line="268" w:lineRule="auto"/>
              <w:rPr>
                <w:rFonts w:ascii="Arial"/>
                <w:sz w:val="21"/>
              </w:rPr>
            </w:pPr>
          </w:p>
          <w:p w14:paraId="6A852589">
            <w:pPr>
              <w:spacing w:line="268" w:lineRule="auto"/>
              <w:rPr>
                <w:rFonts w:ascii="Arial"/>
                <w:sz w:val="21"/>
              </w:rPr>
            </w:pPr>
          </w:p>
          <w:p w14:paraId="17846C01">
            <w:pPr>
              <w:spacing w:line="268" w:lineRule="auto"/>
              <w:rPr>
                <w:rFonts w:ascii="Arial"/>
                <w:sz w:val="21"/>
              </w:rPr>
            </w:pPr>
          </w:p>
          <w:p w14:paraId="44FCC730">
            <w:pPr>
              <w:spacing w:line="268" w:lineRule="auto"/>
              <w:rPr>
                <w:rFonts w:ascii="Arial"/>
                <w:sz w:val="21"/>
              </w:rPr>
            </w:pPr>
          </w:p>
          <w:p w14:paraId="1CCA6ACB">
            <w:pPr>
              <w:spacing w:line="268" w:lineRule="auto"/>
              <w:rPr>
                <w:rFonts w:ascii="Arial"/>
                <w:sz w:val="21"/>
              </w:rPr>
            </w:pPr>
          </w:p>
          <w:p w14:paraId="010DED78">
            <w:pPr>
              <w:spacing w:line="268" w:lineRule="auto"/>
              <w:rPr>
                <w:rFonts w:ascii="Arial"/>
                <w:sz w:val="21"/>
              </w:rPr>
            </w:pPr>
          </w:p>
          <w:p w14:paraId="7A419A3D">
            <w:pPr>
              <w:pStyle w:val="7"/>
              <w:spacing w:before="79" w:line="217" w:lineRule="auto"/>
              <w:ind w:left="494"/>
            </w:pPr>
            <w:r>
              <w:rPr>
                <w:spacing w:val="-15"/>
              </w:rPr>
              <w:t>入库保管</w:t>
            </w:r>
          </w:p>
        </w:tc>
        <w:tc>
          <w:tcPr>
            <w:tcW w:w="5445" w:type="dxa"/>
            <w:tcBorders>
              <w:right w:val="single" w:color="000000" w:sz="4" w:space="0"/>
            </w:tcBorders>
            <w:vAlign w:val="top"/>
          </w:tcPr>
          <w:p w14:paraId="35A0A2C5">
            <w:pPr>
              <w:pStyle w:val="7"/>
              <w:spacing w:before="99" w:line="216" w:lineRule="auto"/>
              <w:ind w:left="70"/>
            </w:pPr>
            <w:r>
              <w:rPr>
                <w:spacing w:val="-19"/>
              </w:rPr>
              <w:t>分包人必须设有24小时材料设备看管值班人</w:t>
            </w:r>
            <w:r>
              <w:rPr>
                <w:spacing w:val="-20"/>
              </w:rPr>
              <w:t>员，看管并</w:t>
            </w:r>
          </w:p>
          <w:p w14:paraId="5D7FF119">
            <w:pPr>
              <w:pStyle w:val="7"/>
              <w:spacing w:before="187" w:line="216" w:lineRule="auto"/>
              <w:ind w:left="109"/>
            </w:pPr>
            <w:r>
              <w:rPr>
                <w:spacing w:val="-21"/>
              </w:rPr>
              <w:t>保证甲供材的收、发货及时顺畅。分包人必须随时检查</w:t>
            </w:r>
          </w:p>
          <w:p w14:paraId="6FB670B9">
            <w:pPr>
              <w:pStyle w:val="7"/>
              <w:spacing w:before="184" w:line="216" w:lineRule="auto"/>
              <w:ind w:left="112"/>
            </w:pPr>
            <w:r>
              <w:rPr>
                <w:spacing w:val="-22"/>
              </w:rPr>
              <w:t>库房环境及条件，根据材料设备的特性，考虑入库的材</w:t>
            </w:r>
          </w:p>
          <w:p w14:paraId="7548D69F">
            <w:pPr>
              <w:pStyle w:val="7"/>
              <w:spacing w:before="187" w:line="216" w:lineRule="auto"/>
              <w:ind w:left="108"/>
            </w:pPr>
            <w:r>
              <w:rPr>
                <w:spacing w:val="-21"/>
              </w:rPr>
              <w:t>料设备码放位置及高度，妥善保管，注意防水、防潮、</w:t>
            </w:r>
          </w:p>
          <w:p w14:paraId="6F70ED0A">
            <w:pPr>
              <w:pStyle w:val="7"/>
              <w:spacing w:before="185" w:line="215" w:lineRule="auto"/>
              <w:ind w:left="124"/>
            </w:pPr>
            <w:r>
              <w:rPr>
                <w:spacing w:val="-22"/>
              </w:rPr>
              <w:t>防磕碰等情况。所有材料设备不得露天存放，不能因存</w:t>
            </w:r>
          </w:p>
          <w:p w14:paraId="04CA9873">
            <w:pPr>
              <w:pStyle w:val="7"/>
              <w:spacing w:before="188" w:line="216" w:lineRule="auto"/>
              <w:jc w:val="right"/>
            </w:pPr>
            <w:r>
              <w:rPr>
                <w:spacing w:val="-26"/>
              </w:rPr>
              <w:t>放环境影响材料设备的质量和完好。如分包人保管不当，</w:t>
            </w:r>
          </w:p>
          <w:p w14:paraId="4F823C3E">
            <w:pPr>
              <w:pStyle w:val="7"/>
              <w:spacing w:before="186" w:line="217" w:lineRule="auto"/>
              <w:ind w:left="108"/>
            </w:pPr>
            <w:r>
              <w:rPr>
                <w:spacing w:val="-21"/>
              </w:rPr>
              <w:t>造成的甲供材损失，经监理、发包人确认后，相关费用</w:t>
            </w:r>
          </w:p>
          <w:p w14:paraId="3AE46910">
            <w:pPr>
              <w:pStyle w:val="7"/>
              <w:spacing w:before="185" w:line="216" w:lineRule="auto"/>
              <w:ind w:left="139"/>
            </w:pPr>
            <w:r>
              <w:rPr>
                <w:spacing w:val="-22"/>
              </w:rPr>
              <w:t>由分包人承担。每月分包人材料员将入库验</w:t>
            </w:r>
            <w:r>
              <w:rPr>
                <w:spacing w:val="-23"/>
              </w:rPr>
              <w:t>收单交到发</w:t>
            </w:r>
          </w:p>
          <w:p w14:paraId="1F39BB41">
            <w:pPr>
              <w:pStyle w:val="7"/>
              <w:spacing w:before="185" w:line="222" w:lineRule="auto"/>
              <w:ind w:left="2300"/>
            </w:pPr>
            <w:r>
              <w:rPr>
                <w:spacing w:val="-18"/>
              </w:rPr>
              <w:t>包人处。</w:t>
            </w:r>
          </w:p>
        </w:tc>
      </w:tr>
      <w:tr w14:paraId="430E87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58" w:hRule="atLeast"/>
        </w:trPr>
        <w:tc>
          <w:tcPr>
            <w:tcW w:w="322" w:type="dxa"/>
            <w:tcBorders>
              <w:left w:val="single" w:color="1C456A" w:sz="4" w:space="0"/>
              <w:bottom w:val="single" w:color="1C456A" w:sz="4" w:space="0"/>
              <w:right w:val="nil"/>
            </w:tcBorders>
            <w:vAlign w:val="top"/>
          </w:tcPr>
          <w:p w14:paraId="52F2677A">
            <w:pPr>
              <w:rPr>
                <w:rFonts w:ascii="Arial"/>
                <w:sz w:val="21"/>
              </w:rPr>
            </w:pPr>
            <w:r>
              <w:pict>
                <v:shape id="_x0000_s3836" o:spid="_x0000_s3836" style="position:absolute;left:0pt;margin-left:-0.25pt;margin-top:77.95pt;height:0.75pt;width:2.2pt;mso-position-horizontal-relative:page;mso-position-vertical-relative:page;z-index:252231680;mso-width-relative:page;mso-height-relative:page;" fillcolor="#5B9BD5" filled="t" stroked="f" coordsize="44,15" path="m0,14l43,14,43,0,0,0,0,14xe">
                  <v:path/>
                  <v:fill on="t" focussize="0,0"/>
                  <v:stroke on="f"/>
                  <v:imagedata o:title=""/>
                  <o:lock v:ext="edit"/>
                </v:shape>
              </w:pict>
            </w:r>
          </w:p>
        </w:tc>
        <w:tc>
          <w:tcPr>
            <w:tcW w:w="941" w:type="dxa"/>
            <w:tcBorders>
              <w:left w:val="nil"/>
              <w:bottom w:val="single" w:color="1C456A" w:sz="4" w:space="0"/>
            </w:tcBorders>
            <w:vAlign w:val="top"/>
          </w:tcPr>
          <w:p w14:paraId="5B82C506">
            <w:pPr>
              <w:spacing w:line="243" w:lineRule="auto"/>
              <w:rPr>
                <w:rFonts w:ascii="Arial"/>
                <w:sz w:val="21"/>
              </w:rPr>
            </w:pPr>
          </w:p>
          <w:p w14:paraId="61E81ABF">
            <w:pPr>
              <w:spacing w:line="244" w:lineRule="auto"/>
              <w:rPr>
                <w:rFonts w:ascii="Arial"/>
                <w:sz w:val="21"/>
              </w:rPr>
            </w:pPr>
          </w:p>
          <w:p w14:paraId="6BCD850E">
            <w:pPr>
              <w:pStyle w:val="7"/>
              <w:spacing w:before="78" w:line="237" w:lineRule="auto"/>
              <w:ind w:left="274"/>
            </w:pPr>
            <w:r>
              <w:t>5</w:t>
            </w:r>
          </w:p>
        </w:tc>
        <w:tc>
          <w:tcPr>
            <w:tcW w:w="1841" w:type="dxa"/>
            <w:tcBorders>
              <w:bottom w:val="single" w:color="000000" w:sz="4" w:space="0"/>
            </w:tcBorders>
            <w:vAlign w:val="top"/>
          </w:tcPr>
          <w:p w14:paraId="1D123B65">
            <w:pPr>
              <w:spacing w:line="243" w:lineRule="auto"/>
              <w:rPr>
                <w:rFonts w:ascii="Arial"/>
                <w:sz w:val="21"/>
              </w:rPr>
            </w:pPr>
          </w:p>
          <w:p w14:paraId="051D37CA">
            <w:pPr>
              <w:spacing w:line="244" w:lineRule="auto"/>
              <w:rPr>
                <w:rFonts w:ascii="Arial"/>
                <w:sz w:val="21"/>
              </w:rPr>
            </w:pPr>
          </w:p>
          <w:p w14:paraId="193278FE">
            <w:pPr>
              <w:pStyle w:val="7"/>
              <w:spacing w:before="78" w:line="216" w:lineRule="auto"/>
              <w:ind w:left="275"/>
            </w:pPr>
            <w:r>
              <w:rPr>
                <w:spacing w:val="-18"/>
              </w:rPr>
              <w:t>材料设备退货</w:t>
            </w:r>
          </w:p>
        </w:tc>
        <w:tc>
          <w:tcPr>
            <w:tcW w:w="5445" w:type="dxa"/>
            <w:tcBorders>
              <w:bottom w:val="single" w:color="5B9BD5" w:sz="4" w:space="0"/>
              <w:right w:val="single" w:color="5B9BD5" w:sz="4" w:space="0"/>
            </w:tcBorders>
            <w:vAlign w:val="top"/>
          </w:tcPr>
          <w:p w14:paraId="5824C271">
            <w:pPr>
              <w:pStyle w:val="7"/>
              <w:spacing w:before="103" w:line="359" w:lineRule="auto"/>
              <w:ind w:left="110" w:hanging="41"/>
              <w:jc w:val="both"/>
            </w:pPr>
            <w:r>
              <w:rPr>
                <w:spacing w:val="-26"/>
              </w:rPr>
              <w:t>对分包人已经领用的甲供材，如果因发包人原因（变更、</w:t>
            </w:r>
            <w:r>
              <w:rPr>
                <w:spacing w:val="-23"/>
              </w:rPr>
              <w:t>洽商、签证）导致有多余材料需要退货，分包人需提前</w:t>
            </w:r>
            <w:r>
              <w:rPr>
                <w:spacing w:val="-22"/>
              </w:rPr>
              <w:t>与对应材料的发包人采购工程师和材料供应商沟通并作</w:t>
            </w:r>
          </w:p>
        </w:tc>
      </w:tr>
    </w:tbl>
    <w:p w14:paraId="43C01864">
      <w:pPr>
        <w:rPr>
          <w:rFonts w:ascii="Arial"/>
          <w:sz w:val="21"/>
        </w:rPr>
      </w:pPr>
    </w:p>
    <w:p w14:paraId="7FC40D49">
      <w:pPr>
        <w:rPr>
          <w:rFonts w:ascii="Arial" w:hAnsi="Arial" w:eastAsia="Arial" w:cs="Arial"/>
          <w:sz w:val="21"/>
          <w:szCs w:val="21"/>
        </w:rPr>
        <w:sectPr>
          <w:footerReference r:id="rId296" w:type="default"/>
          <w:pgSz w:w="11907" w:h="16839"/>
          <w:pgMar w:top="933" w:right="4" w:bottom="1038" w:left="0" w:header="478" w:footer="357" w:gutter="0"/>
          <w:pgBorders>
            <w:top w:val="none" w:sz="0" w:space="0"/>
            <w:left w:val="none" w:sz="0" w:space="0"/>
            <w:bottom w:val="none" w:sz="0" w:space="0"/>
            <w:right w:val="none" w:sz="0" w:space="0"/>
          </w:pgBorders>
          <w:cols w:space="720" w:num="1"/>
        </w:sectPr>
      </w:pPr>
    </w:p>
    <w:p w14:paraId="6B8F3650">
      <w:pPr>
        <w:spacing w:line="235" w:lineRule="exact"/>
      </w:pPr>
    </w:p>
    <w:tbl>
      <w:tblPr>
        <w:tblStyle w:val="6"/>
        <w:tblW w:w="8549" w:type="dxa"/>
        <w:tblInd w:w="167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63"/>
        <w:gridCol w:w="1841"/>
        <w:gridCol w:w="5445"/>
      </w:tblGrid>
      <w:tr w14:paraId="5061B0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83" w:hRule="atLeast"/>
        </w:trPr>
        <w:tc>
          <w:tcPr>
            <w:tcW w:w="1263" w:type="dxa"/>
            <w:tcBorders>
              <w:top w:val="single" w:color="000000" w:sz="4" w:space="0"/>
              <w:left w:val="single" w:color="000000" w:sz="4" w:space="0"/>
            </w:tcBorders>
            <w:vAlign w:val="top"/>
          </w:tcPr>
          <w:p w14:paraId="33D30F7A">
            <w:pPr>
              <w:rPr>
                <w:rFonts w:ascii="Arial"/>
                <w:sz w:val="21"/>
              </w:rPr>
            </w:pPr>
          </w:p>
        </w:tc>
        <w:tc>
          <w:tcPr>
            <w:tcW w:w="1841" w:type="dxa"/>
            <w:tcBorders>
              <w:top w:val="single" w:color="000000" w:sz="4" w:space="0"/>
            </w:tcBorders>
            <w:vAlign w:val="top"/>
          </w:tcPr>
          <w:p w14:paraId="20236B08">
            <w:pPr>
              <w:rPr>
                <w:rFonts w:ascii="Arial"/>
                <w:sz w:val="21"/>
              </w:rPr>
            </w:pPr>
          </w:p>
        </w:tc>
        <w:tc>
          <w:tcPr>
            <w:tcW w:w="5445" w:type="dxa"/>
            <w:tcBorders>
              <w:top w:val="single" w:color="5B9BD5" w:sz="4" w:space="0"/>
              <w:right w:val="single" w:color="5B9BD5" w:sz="4" w:space="0"/>
            </w:tcBorders>
            <w:vAlign w:val="top"/>
          </w:tcPr>
          <w:p w14:paraId="3FFA4A9F">
            <w:pPr>
              <w:pStyle w:val="7"/>
              <w:spacing w:before="129" w:line="216" w:lineRule="auto"/>
              <w:ind w:left="133"/>
            </w:pPr>
            <w:r>
              <w:rPr>
                <w:spacing w:val="-22"/>
              </w:rPr>
              <w:t>出书面申请，完善相应人员签字盖章后方可进行材料退</w:t>
            </w:r>
          </w:p>
          <w:p w14:paraId="1612BD9C">
            <w:pPr>
              <w:pStyle w:val="7"/>
              <w:spacing w:before="185" w:line="216" w:lineRule="auto"/>
              <w:jc w:val="right"/>
            </w:pPr>
            <w:r>
              <w:rPr>
                <w:spacing w:val="-26"/>
              </w:rPr>
              <w:t>货。退申请一式四份，分包人、材料供应商各保留一份，</w:t>
            </w:r>
          </w:p>
          <w:p w14:paraId="0BF945B0">
            <w:pPr>
              <w:pStyle w:val="7"/>
              <w:spacing w:before="187" w:line="215" w:lineRule="auto"/>
              <w:ind w:left="115"/>
            </w:pPr>
            <w:r>
              <w:rPr>
                <w:spacing w:val="-22"/>
              </w:rPr>
              <w:t>另外两份需要在发生退货的当月交到发包人商务部</w:t>
            </w:r>
            <w:r>
              <w:rPr>
                <w:spacing w:val="-23"/>
              </w:rPr>
              <w:t>。如</w:t>
            </w:r>
          </w:p>
          <w:p w14:paraId="774E2DF6">
            <w:pPr>
              <w:pStyle w:val="7"/>
              <w:spacing w:before="185" w:line="216" w:lineRule="auto"/>
              <w:ind w:left="133"/>
            </w:pPr>
            <w:r>
              <w:rPr>
                <w:spacing w:val="-22"/>
              </w:rPr>
              <w:t>因材料有缺陷，达不到规范要求的，规定时间将不合格</w:t>
            </w:r>
          </w:p>
          <w:p w14:paraId="78EBBD2D">
            <w:pPr>
              <w:pStyle w:val="7"/>
              <w:spacing w:before="187" w:line="216" w:lineRule="auto"/>
              <w:ind w:left="218"/>
            </w:pPr>
            <w:r>
              <w:rPr>
                <w:spacing w:val="-21"/>
              </w:rPr>
              <w:t>材料设备运出施工场地，重新采购符合要求的产品。</w:t>
            </w:r>
          </w:p>
        </w:tc>
      </w:tr>
      <w:tr w14:paraId="43424A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89" w:hRule="atLeast"/>
        </w:trPr>
        <w:tc>
          <w:tcPr>
            <w:tcW w:w="1263" w:type="dxa"/>
            <w:tcBorders>
              <w:left w:val="single" w:color="1C456A" w:sz="4" w:space="0"/>
              <w:bottom w:val="single" w:color="1C456A" w:sz="4" w:space="0"/>
            </w:tcBorders>
            <w:vAlign w:val="top"/>
          </w:tcPr>
          <w:p w14:paraId="1786D346">
            <w:pPr>
              <w:spacing w:line="316" w:lineRule="auto"/>
              <w:rPr>
                <w:rFonts w:ascii="Arial"/>
                <w:sz w:val="21"/>
              </w:rPr>
            </w:pPr>
          </w:p>
          <w:p w14:paraId="28726CE6">
            <w:pPr>
              <w:spacing w:line="316" w:lineRule="auto"/>
              <w:rPr>
                <w:rFonts w:ascii="Arial"/>
                <w:sz w:val="21"/>
              </w:rPr>
            </w:pPr>
          </w:p>
          <w:p w14:paraId="612411A6">
            <w:pPr>
              <w:spacing w:line="316" w:lineRule="auto"/>
              <w:rPr>
                <w:rFonts w:ascii="Arial"/>
                <w:sz w:val="21"/>
              </w:rPr>
            </w:pPr>
          </w:p>
          <w:p w14:paraId="4A0948AB">
            <w:pPr>
              <w:pStyle w:val="7"/>
              <w:spacing w:before="78" w:line="237" w:lineRule="auto"/>
              <w:ind w:left="588"/>
            </w:pPr>
            <w:r>
              <w:t>6</w:t>
            </w:r>
          </w:p>
        </w:tc>
        <w:tc>
          <w:tcPr>
            <w:tcW w:w="1841" w:type="dxa"/>
            <w:tcBorders>
              <w:bottom w:val="single" w:color="000000" w:sz="4" w:space="0"/>
            </w:tcBorders>
            <w:vAlign w:val="top"/>
          </w:tcPr>
          <w:p w14:paraId="464AA045">
            <w:pPr>
              <w:spacing w:line="316" w:lineRule="auto"/>
              <w:rPr>
                <w:rFonts w:ascii="Arial"/>
                <w:sz w:val="21"/>
              </w:rPr>
            </w:pPr>
          </w:p>
          <w:p w14:paraId="3D5E46CE">
            <w:pPr>
              <w:spacing w:line="316" w:lineRule="auto"/>
              <w:rPr>
                <w:rFonts w:ascii="Arial"/>
                <w:sz w:val="21"/>
              </w:rPr>
            </w:pPr>
          </w:p>
          <w:p w14:paraId="65C6E4CC">
            <w:pPr>
              <w:spacing w:line="317" w:lineRule="auto"/>
              <w:rPr>
                <w:rFonts w:ascii="Arial"/>
                <w:sz w:val="21"/>
              </w:rPr>
            </w:pPr>
          </w:p>
          <w:p w14:paraId="6025CAFB">
            <w:pPr>
              <w:pStyle w:val="7"/>
              <w:spacing w:before="78" w:line="217" w:lineRule="auto"/>
              <w:ind w:left="718"/>
            </w:pPr>
            <w:r>
              <w:rPr>
                <w:spacing w:val="-11"/>
              </w:rPr>
              <w:t>结算</w:t>
            </w:r>
          </w:p>
        </w:tc>
        <w:tc>
          <w:tcPr>
            <w:tcW w:w="5445" w:type="dxa"/>
            <w:tcBorders>
              <w:bottom w:val="single" w:color="5B9BD5" w:sz="4" w:space="0"/>
              <w:right w:val="single" w:color="5B9BD5" w:sz="4" w:space="0"/>
            </w:tcBorders>
            <w:vAlign w:val="top"/>
          </w:tcPr>
          <w:p w14:paraId="6EF6588A">
            <w:pPr>
              <w:pStyle w:val="7"/>
              <w:spacing w:before="99" w:line="215" w:lineRule="auto"/>
              <w:ind w:left="114"/>
            </w:pPr>
            <w:r>
              <w:rPr>
                <w:spacing w:val="-21"/>
              </w:rPr>
              <w:t>工程甲供材结算本工程在办理工程结算前均需</w:t>
            </w:r>
            <w:r>
              <w:rPr>
                <w:spacing w:val="-22"/>
              </w:rPr>
              <w:t>办理甲供</w:t>
            </w:r>
          </w:p>
          <w:p w14:paraId="1D4BD63B">
            <w:pPr>
              <w:pStyle w:val="7"/>
              <w:spacing w:before="188" w:line="215" w:lineRule="auto"/>
              <w:ind w:left="108"/>
            </w:pPr>
            <w:r>
              <w:rPr>
                <w:spacing w:val="-21"/>
              </w:rPr>
              <w:t>材领用结算。在工程质检验收完成后启动办理对应项目</w:t>
            </w:r>
          </w:p>
          <w:p w14:paraId="64105810">
            <w:pPr>
              <w:pStyle w:val="7"/>
              <w:spacing w:before="185" w:line="217" w:lineRule="auto"/>
              <w:ind w:left="123"/>
            </w:pPr>
            <w:r>
              <w:rPr>
                <w:spacing w:val="-22"/>
              </w:rPr>
              <w:t>的甲供材领用结算，交验后半年内完成对应项目的甲供</w:t>
            </w:r>
          </w:p>
          <w:p w14:paraId="57DF67CC">
            <w:pPr>
              <w:pStyle w:val="7"/>
              <w:spacing w:before="186" w:line="216" w:lineRule="auto"/>
              <w:ind w:left="108"/>
            </w:pPr>
            <w:r>
              <w:rPr>
                <w:spacing w:val="-21"/>
              </w:rPr>
              <w:t>材领用结算。所有涉及有调拨、退货的材料均需进入领</w:t>
            </w:r>
          </w:p>
          <w:p w14:paraId="5EE7424B">
            <w:pPr>
              <w:pStyle w:val="7"/>
              <w:spacing w:before="185" w:line="217" w:lineRule="auto"/>
              <w:ind w:left="2290"/>
            </w:pPr>
            <w:r>
              <w:rPr>
                <w:spacing w:val="-15"/>
              </w:rPr>
              <w:t>用结算。</w:t>
            </w:r>
          </w:p>
        </w:tc>
      </w:tr>
    </w:tbl>
    <w:p w14:paraId="12E50EC5">
      <w:pPr>
        <w:rPr>
          <w:rFonts w:ascii="Arial"/>
          <w:sz w:val="21"/>
        </w:rPr>
      </w:pPr>
    </w:p>
    <w:p w14:paraId="7751DF5D">
      <w:pPr>
        <w:rPr>
          <w:rFonts w:ascii="Arial" w:hAnsi="Arial" w:eastAsia="Arial" w:cs="Arial"/>
          <w:sz w:val="21"/>
          <w:szCs w:val="21"/>
        </w:rPr>
        <w:sectPr>
          <w:footerReference r:id="rId297" w:type="default"/>
          <w:pgSz w:w="11907" w:h="16839"/>
          <w:pgMar w:top="933" w:right="4" w:bottom="1038" w:left="0" w:header="478" w:footer="357" w:gutter="0"/>
          <w:pgBorders>
            <w:top w:val="none" w:sz="0" w:space="0"/>
            <w:left w:val="none" w:sz="0" w:space="0"/>
            <w:bottom w:val="none" w:sz="0" w:space="0"/>
            <w:right w:val="none" w:sz="0" w:space="0"/>
          </w:pgBorders>
          <w:cols w:space="720" w:num="1"/>
        </w:sectPr>
      </w:pPr>
    </w:p>
    <w:p w14:paraId="1FC589BC">
      <w:pPr>
        <w:pStyle w:val="2"/>
        <w:spacing w:before="282" w:line="224" w:lineRule="auto"/>
        <w:jc w:val="center"/>
        <w:outlineLvl w:val="0"/>
        <w:rPr>
          <w:sz w:val="31"/>
          <w:szCs w:val="31"/>
        </w:rPr>
      </w:pPr>
      <w:bookmarkStart w:id="226" w:name="bookmark218"/>
      <w:bookmarkEnd w:id="226"/>
      <w:r>
        <w:rPr>
          <w:b/>
          <w:bCs/>
          <w:color w:val="7030A0"/>
          <w:spacing w:val="-15"/>
          <w:sz w:val="31"/>
          <w:szCs w:val="31"/>
        </w:rPr>
        <w:t>第八章、</w:t>
      </w:r>
      <w:r>
        <w:rPr>
          <w:rFonts w:hint="eastAsia"/>
          <w:b/>
          <w:bCs/>
          <w:color w:val="7030A0"/>
          <w:spacing w:val="-15"/>
          <w:sz w:val="31"/>
          <w:szCs w:val="31"/>
          <w:lang w:val="en-US" w:eastAsia="zh-CN"/>
        </w:rPr>
        <w:t>工程</w:t>
      </w:r>
      <w:r>
        <w:rPr>
          <w:b/>
          <w:bCs/>
          <w:color w:val="7030A0"/>
          <w:spacing w:val="-15"/>
          <w:sz w:val="31"/>
          <w:szCs w:val="31"/>
        </w:rPr>
        <w:t>重难点及</w:t>
      </w:r>
      <w:r>
        <w:rPr>
          <w:rFonts w:hint="eastAsia"/>
          <w:b/>
          <w:bCs/>
          <w:color w:val="7030A0"/>
          <w:spacing w:val="-15"/>
          <w:sz w:val="31"/>
          <w:szCs w:val="31"/>
          <w:lang w:val="en-US" w:eastAsia="zh-CN"/>
        </w:rPr>
        <w:t>对应保证</w:t>
      </w:r>
      <w:r>
        <w:rPr>
          <w:b/>
          <w:bCs/>
          <w:color w:val="7030A0"/>
          <w:spacing w:val="-15"/>
          <w:sz w:val="31"/>
          <w:szCs w:val="31"/>
        </w:rPr>
        <w:t>措施</w:t>
      </w:r>
    </w:p>
    <w:p w14:paraId="45BBA8E7">
      <w:pPr>
        <w:pStyle w:val="2"/>
        <w:spacing w:before="94" w:line="307" w:lineRule="auto"/>
        <w:ind w:left="1458" w:right="1410" w:firstLine="434"/>
        <w:rPr>
          <w:sz w:val="24"/>
          <w:szCs w:val="24"/>
        </w:rPr>
      </w:pPr>
      <w:r>
        <w:rPr>
          <w:spacing w:val="-20"/>
          <w:sz w:val="24"/>
          <w:szCs w:val="24"/>
        </w:rPr>
        <w:t>该项目占线长、协调量大，工期紧、施工受影响因素较多，本工程在施工过程中存在以下</w:t>
      </w:r>
      <w:r>
        <w:rPr>
          <w:spacing w:val="-18"/>
          <w:sz w:val="24"/>
          <w:szCs w:val="24"/>
        </w:rPr>
        <w:t>诸多重难点：</w:t>
      </w:r>
    </w:p>
    <w:p w14:paraId="36321645">
      <w:pPr>
        <w:pStyle w:val="2"/>
        <w:spacing w:before="3" w:line="276" w:lineRule="auto"/>
        <w:ind w:left="1455" w:right="1351" w:firstLine="447"/>
        <w:rPr>
          <w:sz w:val="24"/>
          <w:szCs w:val="24"/>
        </w:rPr>
      </w:pPr>
      <w:r>
        <w:rPr>
          <w:spacing w:val="-22"/>
          <w:sz w:val="24"/>
          <w:szCs w:val="24"/>
        </w:rPr>
        <w:t>1、本工程新建供水管道约20公里，工程占线长，作业面广，施工总工期紧，质量要求高，</w:t>
      </w:r>
      <w:r>
        <w:rPr>
          <w:spacing w:val="-20"/>
          <w:sz w:val="24"/>
          <w:szCs w:val="24"/>
        </w:rPr>
        <w:t>在工程实际施工中时间、空间立体交叉，特别要保证人力、物力、财力的投入。故多位置同时</w:t>
      </w:r>
      <w:r>
        <w:rPr>
          <w:spacing w:val="-21"/>
          <w:sz w:val="24"/>
          <w:szCs w:val="24"/>
        </w:rPr>
        <w:t>施工安排拟作为本工程的重难点。</w:t>
      </w:r>
    </w:p>
    <w:p w14:paraId="4272FF8E">
      <w:pPr>
        <w:pStyle w:val="2"/>
        <w:spacing w:before="120" w:line="262" w:lineRule="auto"/>
        <w:ind w:left="1459" w:right="1409" w:firstLine="429"/>
        <w:rPr>
          <w:sz w:val="24"/>
          <w:szCs w:val="24"/>
        </w:rPr>
      </w:pPr>
      <w:r>
        <w:rPr>
          <w:spacing w:val="-21"/>
          <w:sz w:val="24"/>
          <w:szCs w:val="24"/>
        </w:rPr>
        <w:t>2、本工程新建供水管道约20公里，工程占线长，作业面广，涉及供水管道试压冲洗需要</w:t>
      </w:r>
      <w:r>
        <w:rPr>
          <w:spacing w:val="-22"/>
          <w:sz w:val="24"/>
          <w:szCs w:val="24"/>
        </w:rPr>
        <w:t>分段进行，故供水管道分段试压冲洗施工拟作为本工程的重难点。</w:t>
      </w:r>
    </w:p>
    <w:p w14:paraId="3934312E">
      <w:pPr>
        <w:pStyle w:val="2"/>
        <w:spacing w:before="118" w:line="262" w:lineRule="auto"/>
        <w:ind w:left="1455" w:right="1340" w:firstLine="434"/>
        <w:rPr>
          <w:sz w:val="24"/>
          <w:szCs w:val="24"/>
        </w:rPr>
      </w:pPr>
      <w:r>
        <w:rPr>
          <w:spacing w:val="-31"/>
          <w:sz w:val="24"/>
          <w:szCs w:val="24"/>
        </w:rPr>
        <w:t>3、本工程施工范围内涉及燃气、电力、雨污水、电缆、石化、弱电等系统的杆、管道（线）、</w:t>
      </w:r>
      <w:r>
        <w:rPr>
          <w:spacing w:val="-21"/>
          <w:sz w:val="24"/>
          <w:szCs w:val="24"/>
        </w:rPr>
        <w:t>设备、检查井的保护和迁改，故不可预见地下管线迁改及停水</w:t>
      </w:r>
      <w:r>
        <w:rPr>
          <w:spacing w:val="-22"/>
          <w:sz w:val="24"/>
          <w:szCs w:val="24"/>
        </w:rPr>
        <w:t>施拟作为本工程的重难点。</w:t>
      </w:r>
    </w:p>
    <w:p w14:paraId="7052BBE2">
      <w:pPr>
        <w:pStyle w:val="2"/>
        <w:spacing w:before="119" w:line="278" w:lineRule="auto"/>
        <w:ind w:left="1470" w:right="1409" w:firstLine="414"/>
        <w:rPr>
          <w:sz w:val="24"/>
          <w:szCs w:val="24"/>
        </w:rPr>
      </w:pPr>
      <w:r>
        <w:rPr>
          <w:spacing w:val="-22"/>
          <w:sz w:val="24"/>
          <w:szCs w:val="24"/>
        </w:rPr>
        <w:t>4、本项目位于</w:t>
      </w:r>
      <w:r>
        <w:rPr>
          <w:rFonts w:hint="eastAsia"/>
          <w:spacing w:val="-22"/>
          <w:sz w:val="24"/>
          <w:szCs w:val="24"/>
          <w:lang w:eastAsia="zh-CN"/>
        </w:rPr>
        <w:t>某路</w:t>
      </w:r>
      <w:r>
        <w:rPr>
          <w:spacing w:val="-22"/>
          <w:sz w:val="24"/>
          <w:szCs w:val="24"/>
        </w:rPr>
        <w:t>，主要施工内容为：供水管道敷设及配套阀门、井</w:t>
      </w:r>
      <w:r>
        <w:rPr>
          <w:spacing w:val="-20"/>
          <w:sz w:val="24"/>
          <w:szCs w:val="24"/>
        </w:rPr>
        <w:t>室构筑物、部分现状道路破除恢复及土石方工程等，工程范围内所有勾接点施工拟作</w:t>
      </w:r>
      <w:r>
        <w:rPr>
          <w:spacing w:val="-21"/>
          <w:sz w:val="24"/>
          <w:szCs w:val="24"/>
        </w:rPr>
        <w:t>为本工程</w:t>
      </w:r>
      <w:r>
        <w:rPr>
          <w:spacing w:val="-20"/>
          <w:sz w:val="24"/>
          <w:szCs w:val="24"/>
        </w:rPr>
        <w:t>的重难点。</w:t>
      </w:r>
    </w:p>
    <w:p w14:paraId="05E23C46">
      <w:pPr>
        <w:pStyle w:val="2"/>
        <w:spacing w:before="118" w:line="261" w:lineRule="auto"/>
        <w:ind w:left="1457" w:right="1409" w:firstLine="433"/>
        <w:rPr>
          <w:sz w:val="24"/>
          <w:szCs w:val="24"/>
        </w:rPr>
      </w:pPr>
      <w:r>
        <w:rPr>
          <w:spacing w:val="-21"/>
          <w:sz w:val="24"/>
          <w:szCs w:val="24"/>
        </w:rPr>
        <w:t>5、本项目新建供水管道约20公里，占线长、作业点分散，施工单位在施工组织设计中提供保证工期的措施，确定节点目标，确保按期完工，故</w:t>
      </w:r>
      <w:r>
        <w:rPr>
          <w:spacing w:val="-22"/>
          <w:sz w:val="24"/>
          <w:szCs w:val="24"/>
        </w:rPr>
        <w:t>保证工期的实现作为本工程的重难点</w:t>
      </w:r>
    </w:p>
    <w:p w14:paraId="1D639AE8">
      <w:pPr>
        <w:pStyle w:val="2"/>
        <w:spacing w:before="119" w:line="277" w:lineRule="auto"/>
        <w:ind w:left="1455" w:right="1412" w:firstLine="432"/>
        <w:rPr>
          <w:sz w:val="24"/>
          <w:szCs w:val="24"/>
        </w:rPr>
      </w:pPr>
      <w:r>
        <w:rPr>
          <w:spacing w:val="-22"/>
          <w:sz w:val="24"/>
          <w:szCs w:val="24"/>
        </w:rPr>
        <w:t>6、应充分考虑施工期间人材机的进出场便道及与当地政府、村民、道排单位等协调以及涉</w:t>
      </w:r>
      <w:r>
        <w:rPr>
          <w:spacing w:val="-20"/>
          <w:sz w:val="24"/>
          <w:szCs w:val="24"/>
        </w:rPr>
        <w:t>及的部分道路破复、二次清表等问题，故我单位拟将项目与相关部门、企业及居民协调应对措施作为本工程的重难点。</w:t>
      </w:r>
    </w:p>
    <w:p w14:paraId="24DA2CDC">
      <w:pPr>
        <w:pStyle w:val="2"/>
        <w:spacing w:before="120" w:line="277" w:lineRule="auto"/>
        <w:ind w:left="1456" w:right="1412" w:firstLine="435"/>
        <w:rPr>
          <w:sz w:val="24"/>
          <w:szCs w:val="24"/>
        </w:rPr>
      </w:pPr>
      <w:r>
        <w:rPr>
          <w:spacing w:val="-22"/>
          <w:sz w:val="24"/>
          <w:szCs w:val="24"/>
        </w:rPr>
        <w:t>7、施工现场要求全封闭施工，我单位拟根据周边道路交通量情况实施合理交通疏</w:t>
      </w:r>
      <w:r>
        <w:rPr>
          <w:spacing w:val="-23"/>
          <w:sz w:val="24"/>
          <w:szCs w:val="24"/>
        </w:rPr>
        <w:t>导，作业</w:t>
      </w:r>
      <w:r>
        <w:rPr>
          <w:spacing w:val="-20"/>
          <w:sz w:val="24"/>
          <w:szCs w:val="24"/>
        </w:rPr>
        <w:t>区形成全封闭施工，方案实施前报主管部门及业主审批，审批通过后予以指导施工，故我单位</w:t>
      </w:r>
      <w:r>
        <w:rPr>
          <w:spacing w:val="-21"/>
          <w:sz w:val="24"/>
          <w:szCs w:val="24"/>
        </w:rPr>
        <w:t>拟将供水管道施工交通导改方案拟作为本工程的重点、难</w:t>
      </w:r>
      <w:r>
        <w:rPr>
          <w:spacing w:val="-22"/>
          <w:sz w:val="24"/>
          <w:szCs w:val="24"/>
        </w:rPr>
        <w:t>点。</w:t>
      </w:r>
    </w:p>
    <w:p w14:paraId="6588F057">
      <w:pPr>
        <w:pStyle w:val="2"/>
        <w:spacing w:before="120" w:line="263" w:lineRule="auto"/>
        <w:ind w:left="1463" w:right="1436" w:firstLine="422"/>
        <w:rPr>
          <w:sz w:val="24"/>
          <w:szCs w:val="24"/>
        </w:rPr>
      </w:pPr>
      <w:r>
        <w:rPr>
          <w:spacing w:val="-23"/>
          <w:sz w:val="24"/>
          <w:szCs w:val="24"/>
        </w:rPr>
        <w:t>8、本工程施工范围，安全文明施工要求高，为确保施工过程中城市市容市貌的</w:t>
      </w:r>
      <w:r>
        <w:rPr>
          <w:spacing w:val="-22"/>
          <w:sz w:val="24"/>
          <w:szCs w:val="24"/>
        </w:rPr>
        <w:t>干净整洁，文明施工，做好工地扬尘治理及施工噪声控制是本工程重、难点。</w:t>
      </w:r>
    </w:p>
    <w:p w14:paraId="762A2A8D">
      <w:pPr>
        <w:pStyle w:val="2"/>
        <w:spacing w:before="117" w:line="278" w:lineRule="auto"/>
        <w:ind w:left="1455" w:right="1409" w:firstLine="431"/>
        <w:rPr>
          <w:sz w:val="24"/>
          <w:szCs w:val="24"/>
        </w:rPr>
      </w:pPr>
      <w:r>
        <w:rPr>
          <w:spacing w:val="-22"/>
          <w:sz w:val="24"/>
          <w:szCs w:val="24"/>
        </w:rPr>
        <w:t>9、纵观本工程的进度计划，本工程施工将受到雨季和冬季的影响，因此，为保证本工程的</w:t>
      </w:r>
      <w:r>
        <w:rPr>
          <w:spacing w:val="-20"/>
          <w:sz w:val="24"/>
          <w:szCs w:val="24"/>
        </w:rPr>
        <w:t>施工质量，确保本工程顺利进展，必须重视雨季和冬季施工问题，故做好季节性施工是本工程</w:t>
      </w:r>
      <w:r>
        <w:rPr>
          <w:spacing w:val="-17"/>
          <w:sz w:val="24"/>
          <w:szCs w:val="24"/>
        </w:rPr>
        <w:t>重、难点。</w:t>
      </w:r>
    </w:p>
    <w:p w14:paraId="1408A626">
      <w:pPr>
        <w:pStyle w:val="2"/>
        <w:spacing w:before="115" w:line="262" w:lineRule="auto"/>
        <w:ind w:left="1457" w:right="1353" w:firstLine="446"/>
        <w:rPr>
          <w:sz w:val="24"/>
          <w:szCs w:val="24"/>
        </w:rPr>
      </w:pPr>
      <w:r>
        <w:rPr>
          <w:spacing w:val="-23"/>
          <w:sz w:val="24"/>
          <w:szCs w:val="24"/>
        </w:rPr>
        <w:t>10、本工程焊接主要包括沿线钢管敷设及低压碳钢焊接法兰</w:t>
      </w:r>
      <w:r>
        <w:rPr>
          <w:spacing w:val="-24"/>
          <w:sz w:val="24"/>
          <w:szCs w:val="24"/>
        </w:rPr>
        <w:t>，焊接质量直接影响工程质量，</w:t>
      </w:r>
      <w:r>
        <w:rPr>
          <w:spacing w:val="-21"/>
          <w:sz w:val="24"/>
          <w:szCs w:val="24"/>
        </w:rPr>
        <w:t>故管道焊接拟作为本工程的重难点。</w:t>
      </w:r>
    </w:p>
    <w:p w14:paraId="565D5FBD">
      <w:pPr>
        <w:pStyle w:val="2"/>
        <w:spacing w:before="120" w:line="217" w:lineRule="auto"/>
        <w:ind w:left="1892"/>
        <w:rPr>
          <w:sz w:val="24"/>
          <w:szCs w:val="24"/>
        </w:rPr>
      </w:pPr>
      <w:r>
        <w:rPr>
          <w:spacing w:val="-21"/>
          <w:sz w:val="24"/>
          <w:szCs w:val="24"/>
        </w:rPr>
        <w:t>针对上述工程重难点本公司已制定专项施工方案及技术组织措</w:t>
      </w:r>
      <w:r>
        <w:rPr>
          <w:spacing w:val="-22"/>
          <w:sz w:val="24"/>
          <w:szCs w:val="24"/>
        </w:rPr>
        <w:t>施详见：重难点及措施。</w:t>
      </w:r>
    </w:p>
    <w:p w14:paraId="4B5D2179">
      <w:pPr>
        <w:pStyle w:val="2"/>
        <w:spacing w:before="66" w:line="217" w:lineRule="auto"/>
        <w:ind w:left="4452"/>
        <w:outlineLvl w:val="1"/>
        <w:rPr>
          <w:sz w:val="30"/>
          <w:szCs w:val="30"/>
        </w:rPr>
      </w:pPr>
      <w:bookmarkStart w:id="227" w:name="bookmark219"/>
      <w:bookmarkEnd w:id="227"/>
      <w:r>
        <w:rPr>
          <w:b/>
          <w:bCs/>
          <w:color w:val="0070C0"/>
          <w:spacing w:val="-24"/>
          <w:sz w:val="30"/>
          <w:szCs w:val="30"/>
        </w:rPr>
        <w:t>第一节、多位置同时施工</w:t>
      </w:r>
    </w:p>
    <w:p w14:paraId="1A3DA315">
      <w:pPr>
        <w:pStyle w:val="2"/>
        <w:spacing w:before="64" w:line="218" w:lineRule="auto"/>
        <w:ind w:left="1981"/>
        <w:outlineLvl w:val="2"/>
        <w:rPr>
          <w:sz w:val="28"/>
          <w:szCs w:val="28"/>
        </w:rPr>
      </w:pPr>
      <w:bookmarkStart w:id="228" w:name="bookmark220"/>
      <w:bookmarkEnd w:id="228"/>
      <w:r>
        <w:rPr>
          <w:b/>
          <w:bCs/>
          <w:spacing w:val="-21"/>
          <w:sz w:val="28"/>
          <w:szCs w:val="28"/>
        </w:rPr>
        <w:t>一、重难点分析</w:t>
      </w:r>
    </w:p>
    <w:p w14:paraId="729B73EF">
      <w:pPr>
        <w:pStyle w:val="2"/>
        <w:spacing w:before="104" w:line="299" w:lineRule="auto"/>
        <w:ind w:left="1462" w:right="1414" w:firstLine="431"/>
        <w:jc w:val="both"/>
        <w:rPr>
          <w:sz w:val="24"/>
          <w:szCs w:val="24"/>
        </w:rPr>
      </w:pPr>
      <w:r>
        <w:rPr>
          <w:spacing w:val="-21"/>
          <w:sz w:val="24"/>
          <w:szCs w:val="24"/>
        </w:rPr>
        <w:t>本工程新建供水管道约20公里，工程占线长，作业面广，施工总工期紧，质量</w:t>
      </w:r>
      <w:r>
        <w:rPr>
          <w:spacing w:val="-22"/>
          <w:sz w:val="24"/>
          <w:szCs w:val="24"/>
        </w:rPr>
        <w:t>要求高，在</w:t>
      </w:r>
      <w:r>
        <w:rPr>
          <w:spacing w:val="-20"/>
          <w:sz w:val="24"/>
          <w:szCs w:val="24"/>
        </w:rPr>
        <w:t>工程实际施工中时间、空间立体交叉，特别要保证人力、物力、财力的投入。故多位置同时施</w:t>
      </w:r>
      <w:r>
        <w:rPr>
          <w:spacing w:val="-21"/>
          <w:sz w:val="24"/>
          <w:szCs w:val="24"/>
        </w:rPr>
        <w:t>工安排拟作为本工程的重难点。</w:t>
      </w:r>
    </w:p>
    <w:p w14:paraId="1E42CBDE">
      <w:pPr>
        <w:pStyle w:val="2"/>
        <w:spacing w:line="217" w:lineRule="auto"/>
        <w:ind w:left="1986"/>
        <w:outlineLvl w:val="2"/>
        <w:rPr>
          <w:sz w:val="28"/>
          <w:szCs w:val="28"/>
        </w:rPr>
      </w:pPr>
      <w:bookmarkStart w:id="229" w:name="bookmark221"/>
      <w:bookmarkEnd w:id="229"/>
      <w:r>
        <w:rPr>
          <w:b/>
          <w:bCs/>
          <w:spacing w:val="-22"/>
          <w:sz w:val="28"/>
          <w:szCs w:val="28"/>
        </w:rPr>
        <w:t>二、对应保证措施</w:t>
      </w:r>
    </w:p>
    <w:p w14:paraId="34070D8D">
      <w:pPr>
        <w:pStyle w:val="2"/>
        <w:spacing w:before="105" w:line="215" w:lineRule="auto"/>
        <w:ind w:left="1901"/>
        <w:rPr>
          <w:sz w:val="24"/>
          <w:szCs w:val="24"/>
        </w:rPr>
      </w:pPr>
      <w:r>
        <w:rPr>
          <w:spacing w:val="-19"/>
          <w:sz w:val="24"/>
          <w:szCs w:val="24"/>
        </w:rPr>
        <w:t>我公司若有幸能中标，我们将依靠和运用我公司在类似工程施</w:t>
      </w:r>
      <w:r>
        <w:rPr>
          <w:spacing w:val="-20"/>
          <w:sz w:val="24"/>
          <w:szCs w:val="24"/>
        </w:rPr>
        <w:t>工中积累的成熟经验，充分</w:t>
      </w:r>
    </w:p>
    <w:p w14:paraId="39F48297">
      <w:pPr>
        <w:spacing w:line="215" w:lineRule="auto"/>
        <w:rPr>
          <w:sz w:val="24"/>
          <w:szCs w:val="24"/>
        </w:rPr>
        <w:sectPr>
          <w:footerReference r:id="rId298" w:type="default"/>
          <w:pgSz w:w="11907" w:h="16839"/>
          <w:pgMar w:top="933" w:right="4" w:bottom="1038" w:left="0" w:header="478" w:footer="357" w:gutter="0"/>
          <w:pgBorders>
            <w:top w:val="none" w:sz="0" w:space="0"/>
            <w:left w:val="none" w:sz="0" w:space="0"/>
            <w:bottom w:val="none" w:sz="0" w:space="0"/>
            <w:right w:val="none" w:sz="0" w:space="0"/>
          </w:pgBorders>
          <w:cols w:space="720" w:num="1"/>
        </w:sectPr>
      </w:pPr>
    </w:p>
    <w:p w14:paraId="0E32BF21">
      <w:pPr>
        <w:spacing w:line="271" w:lineRule="auto"/>
        <w:rPr>
          <w:rFonts w:ascii="Arial"/>
          <w:sz w:val="21"/>
        </w:rPr>
      </w:pPr>
    </w:p>
    <w:p w14:paraId="39E88A47">
      <w:pPr>
        <w:pStyle w:val="2"/>
        <w:spacing w:before="78" w:line="308" w:lineRule="auto"/>
        <w:ind w:left="1456" w:right="1414" w:firstLine="6"/>
        <w:jc w:val="both"/>
        <w:rPr>
          <w:sz w:val="24"/>
          <w:szCs w:val="24"/>
        </w:rPr>
      </w:pPr>
      <w:r>
        <w:rPr>
          <w:spacing w:val="-20"/>
          <w:sz w:val="24"/>
          <w:szCs w:val="24"/>
        </w:rPr>
        <w:t>发挥广大工程技术人员的聪明才智和团队精神，做到技术领先、严格要求、文明、优质、快速地完成长本项目。为确保施工工期，所有结构部位混凝土工程将全部采用商品混凝土泵送，这大大缩短了施工作业时间；劳动力方面公司配备多名高级专业技术人员给予工程技术管理；资</w:t>
      </w:r>
      <w:r>
        <w:rPr>
          <w:spacing w:val="-21"/>
          <w:sz w:val="24"/>
          <w:szCs w:val="24"/>
        </w:rPr>
        <w:t>金投入采用专款专用，项目部配备专业财务会计及项目工程核</w:t>
      </w:r>
      <w:r>
        <w:rPr>
          <w:spacing w:val="-22"/>
          <w:sz w:val="24"/>
          <w:szCs w:val="24"/>
        </w:rPr>
        <w:t>算人员。</w:t>
      </w:r>
    </w:p>
    <w:p w14:paraId="4ED8E3C6">
      <w:pPr>
        <w:pStyle w:val="2"/>
        <w:spacing w:line="218" w:lineRule="auto"/>
        <w:ind w:left="1888"/>
        <w:rPr>
          <w:sz w:val="24"/>
          <w:szCs w:val="24"/>
        </w:rPr>
      </w:pPr>
      <w:r>
        <w:rPr>
          <w:spacing w:val="-16"/>
          <w:sz w:val="24"/>
          <w:szCs w:val="24"/>
        </w:rPr>
        <w:t>2.1施工组织部署</w:t>
      </w:r>
    </w:p>
    <w:p w14:paraId="0B6D5C3C">
      <w:pPr>
        <w:pStyle w:val="2"/>
        <w:spacing w:before="114" w:line="218" w:lineRule="auto"/>
        <w:ind w:left="1903"/>
        <w:rPr>
          <w:sz w:val="24"/>
          <w:szCs w:val="24"/>
        </w:rPr>
      </w:pPr>
      <w:r>
        <w:rPr>
          <w:spacing w:val="-19"/>
          <w:sz w:val="24"/>
          <w:szCs w:val="24"/>
        </w:rPr>
        <w:t>1、项目管理机构</w:t>
      </w:r>
    </w:p>
    <w:p w14:paraId="794BC166">
      <w:pPr>
        <w:pStyle w:val="2"/>
        <w:spacing w:before="115" w:line="308" w:lineRule="auto"/>
        <w:ind w:left="1460" w:right="1353" w:firstLine="433"/>
        <w:rPr>
          <w:sz w:val="24"/>
          <w:szCs w:val="24"/>
        </w:rPr>
      </w:pPr>
      <w:r>
        <w:rPr>
          <w:spacing w:val="-24"/>
          <w:sz w:val="24"/>
          <w:szCs w:val="24"/>
        </w:rPr>
        <w:t>本工程如幸中标，我公司将按招标文件规定的范围进行管理和施工，根据本工程的重要性，</w:t>
      </w:r>
      <w:r>
        <w:rPr>
          <w:spacing w:val="-20"/>
          <w:sz w:val="24"/>
          <w:szCs w:val="24"/>
        </w:rPr>
        <w:t>公司将派出实力雄厚的项目班子承担施工。由总公司工程部负责人为项目总负责人，委派专职工程施工、安全、质量负责人。现场项目部项目经理由公司国家注册壹级建造师担任，其它质</w:t>
      </w:r>
      <w:r>
        <w:rPr>
          <w:spacing w:val="-24"/>
          <w:sz w:val="24"/>
          <w:szCs w:val="24"/>
        </w:rPr>
        <w:t>量、安全、文明施工、环境保护、材料设备管理等岗位均选派有类似施工经验的人员专职担任，</w:t>
      </w:r>
      <w:r>
        <w:rPr>
          <w:spacing w:val="-21"/>
          <w:sz w:val="24"/>
          <w:szCs w:val="24"/>
        </w:rPr>
        <w:t>明确职责，保证各项工作顺利开展。项目经理、班子</w:t>
      </w:r>
      <w:r>
        <w:rPr>
          <w:spacing w:val="-22"/>
          <w:sz w:val="24"/>
          <w:szCs w:val="24"/>
        </w:rPr>
        <w:t>成员保证到位。</w:t>
      </w:r>
    </w:p>
    <w:p w14:paraId="0D5F9DD6">
      <w:pPr>
        <w:pStyle w:val="2"/>
        <w:spacing w:line="219" w:lineRule="auto"/>
        <w:ind w:left="1888"/>
        <w:rPr>
          <w:sz w:val="24"/>
          <w:szCs w:val="24"/>
        </w:rPr>
      </w:pPr>
      <w:r>
        <w:rPr>
          <w:spacing w:val="-17"/>
          <w:sz w:val="24"/>
          <w:szCs w:val="24"/>
        </w:rPr>
        <w:t>2、项目法管理</w:t>
      </w:r>
    </w:p>
    <w:p w14:paraId="5482C6CF">
      <w:pPr>
        <w:pStyle w:val="2"/>
        <w:spacing w:before="112" w:line="308" w:lineRule="auto"/>
        <w:ind w:left="1460" w:right="1415" w:firstLine="432"/>
        <w:rPr>
          <w:sz w:val="24"/>
          <w:szCs w:val="24"/>
        </w:rPr>
      </w:pPr>
      <w:r>
        <w:rPr>
          <w:spacing w:val="-20"/>
          <w:sz w:val="24"/>
          <w:szCs w:val="24"/>
        </w:rPr>
        <w:t>施工现场成立以项目经理为代表的项目经理部，全面负责该项目的施工管理，确保质量、工期和安全文明施工等各项计划的全面实现。根据该工程施工工期紧、质量要求高的特点，项目部成立由项目总工、技术员、施工员、质量员、安全员、材料员、核算员等岗位组成的施工管理班子，各岗位由项目经理负责，做到分工明确，各负其责，互相协作，紧密配合，形成有</w:t>
      </w:r>
      <w:r>
        <w:rPr>
          <w:spacing w:val="-19"/>
          <w:sz w:val="24"/>
          <w:szCs w:val="24"/>
        </w:rPr>
        <w:t>效的管理层。</w:t>
      </w:r>
    </w:p>
    <w:p w14:paraId="6BABC43A">
      <w:pPr>
        <w:pStyle w:val="2"/>
        <w:spacing w:before="1" w:line="218" w:lineRule="auto"/>
        <w:ind w:left="1890"/>
        <w:rPr>
          <w:sz w:val="24"/>
          <w:szCs w:val="24"/>
        </w:rPr>
      </w:pPr>
      <w:r>
        <w:rPr>
          <w:spacing w:val="-18"/>
          <w:sz w:val="24"/>
          <w:szCs w:val="24"/>
        </w:rPr>
        <w:t>3、项目班子管理职责</w:t>
      </w:r>
    </w:p>
    <w:p w14:paraId="70C242F1">
      <w:pPr>
        <w:pStyle w:val="2"/>
        <w:spacing w:before="116" w:line="220" w:lineRule="auto"/>
        <w:ind w:left="1893"/>
        <w:rPr>
          <w:sz w:val="24"/>
          <w:szCs w:val="24"/>
        </w:rPr>
      </w:pPr>
      <w:r>
        <w:rPr>
          <w:spacing w:val="-18"/>
          <w:sz w:val="24"/>
          <w:szCs w:val="24"/>
        </w:rPr>
        <w:t>（1）项目经理职责</w:t>
      </w:r>
    </w:p>
    <w:p w14:paraId="0C80585C">
      <w:pPr>
        <w:pStyle w:val="2"/>
        <w:spacing w:before="117" w:line="307" w:lineRule="auto"/>
        <w:ind w:left="1462" w:right="1410" w:firstLine="431"/>
        <w:rPr>
          <w:sz w:val="24"/>
          <w:szCs w:val="24"/>
        </w:rPr>
      </w:pPr>
      <w:r>
        <w:rPr>
          <w:spacing w:val="-20"/>
          <w:sz w:val="24"/>
          <w:szCs w:val="24"/>
        </w:rPr>
        <w:t>项目经理是企业法定代表人在工程项目上的代理人，受法定代表人的委托，对项目的施工</w:t>
      </w:r>
      <w:r>
        <w:rPr>
          <w:spacing w:val="-21"/>
          <w:sz w:val="24"/>
          <w:szCs w:val="24"/>
        </w:rPr>
        <w:t>全过程、全方位负责，其主要职责是：</w:t>
      </w:r>
    </w:p>
    <w:p w14:paraId="596C2C7E">
      <w:pPr>
        <w:pStyle w:val="2"/>
        <w:spacing w:line="218" w:lineRule="auto"/>
        <w:ind w:left="1899"/>
        <w:rPr>
          <w:sz w:val="24"/>
          <w:szCs w:val="24"/>
        </w:rPr>
      </w:pPr>
      <w:r>
        <w:rPr>
          <w:spacing w:val="-21"/>
          <w:sz w:val="24"/>
          <w:szCs w:val="24"/>
        </w:rPr>
        <w:t>负责组织指挥本工程项目的实施，对业主负责；</w:t>
      </w:r>
    </w:p>
    <w:p w14:paraId="17E672E8">
      <w:pPr>
        <w:pStyle w:val="2"/>
        <w:spacing w:before="117" w:line="216" w:lineRule="auto"/>
        <w:ind w:left="1899"/>
        <w:rPr>
          <w:sz w:val="24"/>
          <w:szCs w:val="24"/>
        </w:rPr>
      </w:pPr>
      <w:r>
        <w:rPr>
          <w:spacing w:val="-22"/>
          <w:sz w:val="24"/>
          <w:szCs w:val="24"/>
        </w:rPr>
        <w:t>负责组建项目经理部，调配并管理项目所需的人才、资金、物资、设备</w:t>
      </w:r>
      <w:r>
        <w:rPr>
          <w:spacing w:val="-23"/>
          <w:sz w:val="24"/>
          <w:szCs w:val="24"/>
        </w:rPr>
        <w:t>等生产要素；</w:t>
      </w:r>
    </w:p>
    <w:p w14:paraId="79DB0B85">
      <w:pPr>
        <w:pStyle w:val="2"/>
        <w:spacing w:before="118" w:line="218" w:lineRule="auto"/>
        <w:ind w:left="1899"/>
        <w:rPr>
          <w:sz w:val="24"/>
          <w:szCs w:val="24"/>
        </w:rPr>
      </w:pPr>
      <w:r>
        <w:rPr>
          <w:spacing w:val="-21"/>
          <w:sz w:val="24"/>
          <w:szCs w:val="24"/>
        </w:rPr>
        <w:t>负责工程合同的起草、洽谈、签约和管理；</w:t>
      </w:r>
    </w:p>
    <w:p w14:paraId="1D1FE145">
      <w:pPr>
        <w:pStyle w:val="2"/>
        <w:spacing w:before="117" w:line="218" w:lineRule="auto"/>
        <w:ind w:left="1899"/>
        <w:rPr>
          <w:sz w:val="24"/>
          <w:szCs w:val="24"/>
        </w:rPr>
      </w:pPr>
      <w:r>
        <w:rPr>
          <w:spacing w:val="-21"/>
          <w:sz w:val="24"/>
          <w:szCs w:val="24"/>
        </w:rPr>
        <w:t>负责处理与本项目有关的外部联系；</w:t>
      </w:r>
    </w:p>
    <w:p w14:paraId="1AD281B3">
      <w:pPr>
        <w:pStyle w:val="2"/>
        <w:spacing w:before="117" w:line="216" w:lineRule="auto"/>
        <w:ind w:left="1899"/>
        <w:rPr>
          <w:sz w:val="24"/>
          <w:szCs w:val="24"/>
        </w:rPr>
      </w:pPr>
      <w:r>
        <w:rPr>
          <w:spacing w:val="-21"/>
          <w:sz w:val="24"/>
          <w:szCs w:val="24"/>
        </w:rPr>
        <w:t>负责协调总、分包之间的配合协作工作；</w:t>
      </w:r>
    </w:p>
    <w:p w14:paraId="7B5A730F">
      <w:pPr>
        <w:pStyle w:val="2"/>
        <w:spacing w:before="118" w:line="218" w:lineRule="auto"/>
        <w:ind w:left="1895"/>
        <w:rPr>
          <w:sz w:val="24"/>
          <w:szCs w:val="24"/>
        </w:rPr>
      </w:pPr>
      <w:r>
        <w:rPr>
          <w:spacing w:val="-21"/>
          <w:sz w:val="24"/>
          <w:szCs w:val="24"/>
        </w:rPr>
        <w:t>对工程项目质量、安全、工期、成本和现场文明施工</w:t>
      </w:r>
      <w:r>
        <w:rPr>
          <w:spacing w:val="-22"/>
          <w:sz w:val="24"/>
          <w:szCs w:val="24"/>
        </w:rPr>
        <w:t>负全责。</w:t>
      </w:r>
    </w:p>
    <w:p w14:paraId="26D90A90">
      <w:pPr>
        <w:pStyle w:val="2"/>
        <w:spacing w:before="117" w:line="220" w:lineRule="auto"/>
        <w:ind w:left="1893"/>
        <w:rPr>
          <w:sz w:val="24"/>
          <w:szCs w:val="24"/>
        </w:rPr>
      </w:pPr>
      <w:r>
        <w:rPr>
          <w:spacing w:val="-20"/>
          <w:sz w:val="24"/>
          <w:szCs w:val="24"/>
        </w:rPr>
        <w:t>（2）项目副经理及安全经理职责</w:t>
      </w:r>
    </w:p>
    <w:p w14:paraId="060FB1F0">
      <w:pPr>
        <w:pStyle w:val="2"/>
        <w:spacing w:before="116" w:line="218" w:lineRule="auto"/>
        <w:ind w:left="1895"/>
        <w:rPr>
          <w:sz w:val="24"/>
          <w:szCs w:val="24"/>
        </w:rPr>
      </w:pPr>
      <w:r>
        <w:rPr>
          <w:spacing w:val="-21"/>
          <w:sz w:val="24"/>
          <w:szCs w:val="24"/>
        </w:rPr>
        <w:t>对整个项目的质量、进度、安全文明施工及工程成本责任；</w:t>
      </w:r>
    </w:p>
    <w:p w14:paraId="68D4087F">
      <w:pPr>
        <w:pStyle w:val="2"/>
        <w:spacing w:before="114" w:line="217" w:lineRule="auto"/>
        <w:ind w:left="1896"/>
        <w:rPr>
          <w:sz w:val="24"/>
          <w:szCs w:val="24"/>
        </w:rPr>
      </w:pPr>
      <w:r>
        <w:rPr>
          <w:spacing w:val="-21"/>
          <w:sz w:val="24"/>
          <w:szCs w:val="24"/>
        </w:rPr>
        <w:t>配合项目经理处理管理过程中一切需解决的问题，确</w:t>
      </w:r>
      <w:r>
        <w:rPr>
          <w:spacing w:val="-22"/>
          <w:sz w:val="24"/>
          <w:szCs w:val="24"/>
        </w:rPr>
        <w:t>保合同的全面履行。</w:t>
      </w:r>
    </w:p>
    <w:p w14:paraId="22112986">
      <w:pPr>
        <w:pStyle w:val="2"/>
        <w:spacing w:before="120" w:line="218" w:lineRule="auto"/>
        <w:ind w:left="1893"/>
        <w:rPr>
          <w:sz w:val="24"/>
          <w:szCs w:val="24"/>
        </w:rPr>
      </w:pPr>
      <w:r>
        <w:rPr>
          <w:spacing w:val="-19"/>
          <w:sz w:val="24"/>
          <w:szCs w:val="24"/>
        </w:rPr>
        <w:t>（3）项目技术负责人职责</w:t>
      </w:r>
    </w:p>
    <w:p w14:paraId="73470408">
      <w:pPr>
        <w:pStyle w:val="2"/>
        <w:spacing w:before="118" w:line="307" w:lineRule="auto"/>
        <w:ind w:left="1460" w:right="1434" w:firstLine="433"/>
        <w:rPr>
          <w:sz w:val="24"/>
          <w:szCs w:val="24"/>
        </w:rPr>
      </w:pPr>
      <w:r>
        <w:rPr>
          <w:spacing w:val="-20"/>
          <w:sz w:val="24"/>
          <w:szCs w:val="24"/>
        </w:rPr>
        <w:t>组织相关部门和人员代表项目参与与业主、监理或设计方等就施工方案</w:t>
      </w:r>
      <w:r>
        <w:rPr>
          <w:spacing w:val="-21"/>
          <w:sz w:val="24"/>
          <w:szCs w:val="24"/>
        </w:rPr>
        <w:t>、技术、设计、质量等方面的问题的会议、讨论或磋商；</w:t>
      </w:r>
    </w:p>
    <w:p w14:paraId="2476A000">
      <w:pPr>
        <w:pStyle w:val="2"/>
        <w:spacing w:before="1" w:line="215" w:lineRule="auto"/>
        <w:ind w:left="1899"/>
        <w:rPr>
          <w:sz w:val="24"/>
          <w:szCs w:val="24"/>
        </w:rPr>
      </w:pPr>
      <w:r>
        <w:rPr>
          <w:spacing w:val="-23"/>
          <w:sz w:val="24"/>
          <w:szCs w:val="24"/>
        </w:rPr>
        <w:t>主持施工组织设计和重大技术方案和测量方案并负责审核、把关；</w:t>
      </w:r>
    </w:p>
    <w:p w14:paraId="51C0E252">
      <w:pPr>
        <w:pStyle w:val="2"/>
        <w:spacing w:before="120" w:line="216" w:lineRule="auto"/>
        <w:ind w:left="1896"/>
        <w:rPr>
          <w:sz w:val="24"/>
          <w:szCs w:val="24"/>
        </w:rPr>
      </w:pPr>
      <w:r>
        <w:rPr>
          <w:spacing w:val="-23"/>
          <w:sz w:val="24"/>
          <w:szCs w:val="24"/>
        </w:rPr>
        <w:t>参与分包商选择，负责分包商技术方案的审核工作；</w:t>
      </w:r>
    </w:p>
    <w:p w14:paraId="0077C558">
      <w:pPr>
        <w:pStyle w:val="2"/>
        <w:spacing w:before="118" w:line="216" w:lineRule="auto"/>
        <w:ind w:left="1896"/>
        <w:rPr>
          <w:sz w:val="24"/>
          <w:szCs w:val="24"/>
        </w:rPr>
      </w:pPr>
      <w:r>
        <w:rPr>
          <w:spacing w:val="-21"/>
          <w:sz w:val="24"/>
          <w:szCs w:val="24"/>
        </w:rPr>
        <w:t>参与项目质量策划并督促技术方案和施工组织设计主</w:t>
      </w:r>
      <w:r>
        <w:rPr>
          <w:spacing w:val="-22"/>
          <w:sz w:val="24"/>
          <w:szCs w:val="24"/>
        </w:rPr>
        <w:t>要内容的落实工作；</w:t>
      </w:r>
    </w:p>
    <w:p w14:paraId="7C5233F2">
      <w:pPr>
        <w:spacing w:line="216" w:lineRule="auto"/>
        <w:rPr>
          <w:sz w:val="24"/>
          <w:szCs w:val="24"/>
        </w:rPr>
        <w:sectPr>
          <w:footerReference r:id="rId299" w:type="default"/>
          <w:pgSz w:w="11907" w:h="16839"/>
          <w:pgMar w:top="933" w:right="4" w:bottom="1038" w:left="0" w:header="478" w:footer="357" w:gutter="0"/>
          <w:pgBorders>
            <w:top w:val="none" w:sz="0" w:space="0"/>
            <w:left w:val="none" w:sz="0" w:space="0"/>
            <w:bottom w:val="none" w:sz="0" w:space="0"/>
            <w:right w:val="none" w:sz="0" w:space="0"/>
          </w:pgBorders>
          <w:cols w:space="720" w:num="1"/>
        </w:sectPr>
      </w:pPr>
    </w:p>
    <w:p w14:paraId="2CAC9B5F">
      <w:pPr>
        <w:spacing w:line="271" w:lineRule="auto"/>
        <w:rPr>
          <w:rFonts w:ascii="Arial"/>
          <w:sz w:val="21"/>
        </w:rPr>
      </w:pPr>
    </w:p>
    <w:p w14:paraId="3DE1F197">
      <w:pPr>
        <w:pStyle w:val="2"/>
        <w:spacing w:before="78" w:line="216" w:lineRule="auto"/>
        <w:ind w:left="1894"/>
        <w:rPr>
          <w:sz w:val="24"/>
          <w:szCs w:val="24"/>
        </w:rPr>
      </w:pPr>
      <w:r>
        <w:rPr>
          <w:spacing w:val="-22"/>
          <w:sz w:val="24"/>
          <w:szCs w:val="24"/>
        </w:rPr>
        <w:t>协助项目领导和组织创优工作。</w:t>
      </w:r>
    </w:p>
    <w:p w14:paraId="01A4ECA6">
      <w:pPr>
        <w:pStyle w:val="2"/>
        <w:spacing w:before="120" w:line="220" w:lineRule="auto"/>
        <w:ind w:left="1893"/>
        <w:rPr>
          <w:sz w:val="24"/>
          <w:szCs w:val="24"/>
        </w:rPr>
      </w:pPr>
      <w:r>
        <w:rPr>
          <w:spacing w:val="-21"/>
          <w:sz w:val="24"/>
          <w:szCs w:val="24"/>
        </w:rPr>
        <w:t>（4）施工员</w:t>
      </w:r>
    </w:p>
    <w:p w14:paraId="2A0797E5">
      <w:pPr>
        <w:pStyle w:val="2"/>
        <w:spacing w:before="112" w:line="308" w:lineRule="auto"/>
        <w:ind w:left="1470" w:right="1410" w:firstLine="423"/>
        <w:rPr>
          <w:sz w:val="24"/>
          <w:szCs w:val="24"/>
        </w:rPr>
      </w:pPr>
      <w:r>
        <w:rPr>
          <w:spacing w:val="-20"/>
          <w:sz w:val="24"/>
          <w:szCs w:val="24"/>
        </w:rPr>
        <w:t>协助项目经理工作，具体负责整个项目的总控进度计划、阶段进度计划以及相关保证措施</w:t>
      </w:r>
      <w:r>
        <w:rPr>
          <w:spacing w:val="-21"/>
          <w:sz w:val="24"/>
          <w:szCs w:val="24"/>
        </w:rPr>
        <w:t>的编制和落实；</w:t>
      </w:r>
    </w:p>
    <w:p w14:paraId="00C1A449">
      <w:pPr>
        <w:pStyle w:val="2"/>
        <w:spacing w:line="215" w:lineRule="auto"/>
        <w:ind w:left="1895"/>
        <w:rPr>
          <w:sz w:val="24"/>
          <w:szCs w:val="24"/>
        </w:rPr>
      </w:pPr>
      <w:r>
        <w:rPr>
          <w:spacing w:val="-21"/>
          <w:sz w:val="24"/>
          <w:szCs w:val="24"/>
        </w:rPr>
        <w:t>在项目总控进度计划和阶段进度计划的指导下，编制详</w:t>
      </w:r>
      <w:r>
        <w:rPr>
          <w:spacing w:val="-22"/>
          <w:sz w:val="24"/>
          <w:szCs w:val="24"/>
        </w:rPr>
        <w:t>细的月度、周和日计划；</w:t>
      </w:r>
    </w:p>
    <w:p w14:paraId="2A2474EF">
      <w:pPr>
        <w:pStyle w:val="2"/>
        <w:spacing w:before="119" w:line="308" w:lineRule="auto"/>
        <w:ind w:left="1456" w:right="1409" w:firstLine="440"/>
        <w:rPr>
          <w:sz w:val="24"/>
          <w:szCs w:val="24"/>
        </w:rPr>
      </w:pPr>
      <w:r>
        <w:rPr>
          <w:spacing w:val="-20"/>
          <w:sz w:val="24"/>
          <w:szCs w:val="24"/>
        </w:rPr>
        <w:t>参加计划协调例会，对进度计划的实施过程进行监控，并根据反馈信息及时发现问题，调</w:t>
      </w:r>
      <w:r>
        <w:rPr>
          <w:spacing w:val="-23"/>
          <w:sz w:val="24"/>
          <w:szCs w:val="24"/>
        </w:rPr>
        <w:t>整进度计划并上报项目副经理；</w:t>
      </w:r>
    </w:p>
    <w:p w14:paraId="77BDB6AC">
      <w:pPr>
        <w:pStyle w:val="2"/>
        <w:spacing w:before="1" w:line="307" w:lineRule="auto"/>
        <w:ind w:left="1457" w:right="1409" w:firstLine="440"/>
        <w:rPr>
          <w:sz w:val="24"/>
          <w:szCs w:val="24"/>
        </w:rPr>
      </w:pPr>
      <w:r>
        <w:rPr>
          <w:spacing w:val="-20"/>
          <w:sz w:val="24"/>
          <w:szCs w:val="24"/>
        </w:rPr>
        <w:t>结合进度计划及其保证措施，对抢工措施、资源投入、劳动力安排、材料设备进出场等问题提出建议报副经理审核；</w:t>
      </w:r>
    </w:p>
    <w:p w14:paraId="3BAC5325">
      <w:pPr>
        <w:pStyle w:val="2"/>
        <w:spacing w:before="2" w:line="215" w:lineRule="auto"/>
        <w:ind w:left="1894"/>
        <w:rPr>
          <w:sz w:val="24"/>
          <w:szCs w:val="24"/>
        </w:rPr>
      </w:pPr>
      <w:r>
        <w:rPr>
          <w:spacing w:val="-21"/>
          <w:sz w:val="24"/>
          <w:szCs w:val="24"/>
        </w:rPr>
        <w:t>协助安全文明施工、质量体系运行和创杯工作；</w:t>
      </w:r>
    </w:p>
    <w:p w14:paraId="317EC280">
      <w:pPr>
        <w:pStyle w:val="2"/>
        <w:spacing w:before="120" w:line="220" w:lineRule="auto"/>
        <w:ind w:left="1893"/>
        <w:rPr>
          <w:sz w:val="24"/>
          <w:szCs w:val="24"/>
        </w:rPr>
      </w:pPr>
      <w:r>
        <w:rPr>
          <w:spacing w:val="-18"/>
          <w:sz w:val="24"/>
          <w:szCs w:val="24"/>
        </w:rPr>
        <w:t>（5）质量管理员</w:t>
      </w:r>
    </w:p>
    <w:p w14:paraId="06AABFBC">
      <w:pPr>
        <w:pStyle w:val="2"/>
        <w:spacing w:before="113" w:line="216" w:lineRule="auto"/>
        <w:ind w:left="1894"/>
        <w:rPr>
          <w:sz w:val="24"/>
          <w:szCs w:val="24"/>
        </w:rPr>
      </w:pPr>
      <w:r>
        <w:rPr>
          <w:spacing w:val="-21"/>
          <w:sz w:val="24"/>
          <w:szCs w:val="24"/>
        </w:rPr>
        <w:t>协助项目技术负责工作，负责项目施工的技术工作；</w:t>
      </w:r>
    </w:p>
    <w:p w14:paraId="5236B5BC">
      <w:pPr>
        <w:pStyle w:val="2"/>
        <w:spacing w:before="121" w:line="307" w:lineRule="auto"/>
        <w:ind w:left="1457" w:right="1410" w:firstLine="439"/>
        <w:rPr>
          <w:sz w:val="24"/>
          <w:szCs w:val="24"/>
        </w:rPr>
      </w:pPr>
      <w:r>
        <w:rPr>
          <w:spacing w:val="-20"/>
          <w:sz w:val="24"/>
          <w:szCs w:val="24"/>
        </w:rPr>
        <w:t>参与编制项目质量保证计划。安全文明施工组织管理方案；负责安装工程外的各类施工方</w:t>
      </w:r>
      <w:r>
        <w:rPr>
          <w:spacing w:val="-23"/>
          <w:sz w:val="24"/>
          <w:szCs w:val="24"/>
        </w:rPr>
        <w:t>案的编制工作；协助安装部编制机电安装工程施工方案；</w:t>
      </w:r>
    </w:p>
    <w:p w14:paraId="29575E2F">
      <w:pPr>
        <w:pStyle w:val="2"/>
        <w:spacing w:before="1" w:line="215" w:lineRule="auto"/>
        <w:ind w:left="1899"/>
        <w:rPr>
          <w:sz w:val="24"/>
          <w:szCs w:val="24"/>
        </w:rPr>
      </w:pPr>
      <w:r>
        <w:rPr>
          <w:spacing w:val="-21"/>
          <w:sz w:val="24"/>
          <w:szCs w:val="24"/>
        </w:rPr>
        <w:t>负责技术资料收集整理工作，项目阶段交验和</w:t>
      </w:r>
      <w:r>
        <w:rPr>
          <w:spacing w:val="-22"/>
          <w:sz w:val="24"/>
          <w:szCs w:val="24"/>
        </w:rPr>
        <w:t>竣工交验；</w:t>
      </w:r>
    </w:p>
    <w:p w14:paraId="4FA67485">
      <w:pPr>
        <w:pStyle w:val="2"/>
        <w:spacing w:before="120" w:line="215" w:lineRule="auto"/>
        <w:ind w:left="1899"/>
        <w:rPr>
          <w:sz w:val="24"/>
          <w:szCs w:val="24"/>
        </w:rPr>
      </w:pPr>
      <w:r>
        <w:rPr>
          <w:spacing w:val="-21"/>
          <w:sz w:val="24"/>
          <w:szCs w:val="24"/>
        </w:rPr>
        <w:t>负责新技术、新材料、新工艺在本项目的推</w:t>
      </w:r>
      <w:r>
        <w:rPr>
          <w:spacing w:val="-22"/>
          <w:sz w:val="24"/>
          <w:szCs w:val="24"/>
        </w:rPr>
        <w:t>广应用和科技成果的总结工作；</w:t>
      </w:r>
    </w:p>
    <w:p w14:paraId="08208DC7">
      <w:pPr>
        <w:pStyle w:val="2"/>
        <w:spacing w:before="121" w:line="216" w:lineRule="auto"/>
        <w:ind w:left="1899"/>
        <w:rPr>
          <w:sz w:val="24"/>
          <w:szCs w:val="24"/>
        </w:rPr>
      </w:pPr>
      <w:r>
        <w:rPr>
          <w:spacing w:val="-19"/>
          <w:sz w:val="24"/>
          <w:szCs w:val="24"/>
        </w:rPr>
        <w:t>负责项目质量监督、质量管理、创优评奖和ISO9002贯标工</w:t>
      </w:r>
      <w:r>
        <w:rPr>
          <w:spacing w:val="-20"/>
          <w:sz w:val="24"/>
          <w:szCs w:val="24"/>
        </w:rPr>
        <w:t>作；</w:t>
      </w:r>
    </w:p>
    <w:p w14:paraId="67DF22A1">
      <w:pPr>
        <w:pStyle w:val="2"/>
        <w:spacing w:before="119" w:line="308" w:lineRule="auto"/>
        <w:ind w:left="1463" w:right="1410" w:firstLine="436"/>
        <w:rPr>
          <w:sz w:val="24"/>
          <w:szCs w:val="24"/>
        </w:rPr>
      </w:pPr>
      <w:r>
        <w:rPr>
          <w:spacing w:val="-20"/>
          <w:sz w:val="24"/>
          <w:szCs w:val="24"/>
        </w:rPr>
        <w:t>负责管理项目质量检检小组的工作，实施项目过程中工程质量的质检工作，并与政府质量</w:t>
      </w:r>
      <w:r>
        <w:rPr>
          <w:spacing w:val="-19"/>
          <w:sz w:val="24"/>
          <w:szCs w:val="24"/>
        </w:rPr>
        <w:t>监督对口工作；</w:t>
      </w:r>
    </w:p>
    <w:p w14:paraId="178AA22A">
      <w:pPr>
        <w:pStyle w:val="2"/>
        <w:spacing w:before="1" w:line="215" w:lineRule="auto"/>
        <w:ind w:left="1899"/>
        <w:rPr>
          <w:sz w:val="24"/>
          <w:szCs w:val="24"/>
        </w:rPr>
      </w:pPr>
      <w:r>
        <w:rPr>
          <w:spacing w:val="-21"/>
          <w:sz w:val="24"/>
          <w:szCs w:val="24"/>
        </w:rPr>
        <w:t>负责项目全员质量保证体系和质量方针的培</w:t>
      </w:r>
      <w:r>
        <w:rPr>
          <w:spacing w:val="-22"/>
          <w:sz w:val="24"/>
          <w:szCs w:val="24"/>
        </w:rPr>
        <w:t>训教育工作；</w:t>
      </w:r>
    </w:p>
    <w:p w14:paraId="4E22672D">
      <w:pPr>
        <w:pStyle w:val="2"/>
        <w:spacing w:before="118" w:line="216" w:lineRule="auto"/>
        <w:ind w:left="1899"/>
        <w:rPr>
          <w:sz w:val="24"/>
          <w:szCs w:val="24"/>
        </w:rPr>
      </w:pPr>
      <w:r>
        <w:rPr>
          <w:spacing w:val="-21"/>
          <w:sz w:val="24"/>
          <w:szCs w:val="24"/>
        </w:rPr>
        <w:t>负责分部分项工程工序质量检查和质量评定</w:t>
      </w:r>
      <w:r>
        <w:rPr>
          <w:spacing w:val="-22"/>
          <w:sz w:val="24"/>
          <w:szCs w:val="24"/>
        </w:rPr>
        <w:t>工作；</w:t>
      </w:r>
    </w:p>
    <w:p w14:paraId="07F3C36F">
      <w:pPr>
        <w:pStyle w:val="2"/>
        <w:spacing w:before="120" w:line="216" w:lineRule="auto"/>
        <w:ind w:left="1899"/>
        <w:rPr>
          <w:sz w:val="24"/>
          <w:szCs w:val="24"/>
        </w:rPr>
      </w:pPr>
      <w:r>
        <w:rPr>
          <w:spacing w:val="-21"/>
          <w:sz w:val="24"/>
          <w:szCs w:val="24"/>
        </w:rPr>
        <w:t>负责工程创优和评奖的策划、组织、资料准</w:t>
      </w:r>
      <w:r>
        <w:rPr>
          <w:spacing w:val="-22"/>
          <w:sz w:val="24"/>
          <w:szCs w:val="24"/>
        </w:rPr>
        <w:t>备和日常管理工作；</w:t>
      </w:r>
    </w:p>
    <w:p w14:paraId="74776D73">
      <w:pPr>
        <w:pStyle w:val="2"/>
        <w:spacing w:before="121" w:line="307" w:lineRule="auto"/>
        <w:ind w:left="1462" w:right="1409" w:firstLine="437"/>
        <w:rPr>
          <w:sz w:val="24"/>
          <w:szCs w:val="24"/>
        </w:rPr>
      </w:pPr>
      <w:r>
        <w:rPr>
          <w:spacing w:val="-20"/>
          <w:sz w:val="24"/>
          <w:szCs w:val="24"/>
        </w:rPr>
        <w:t>最终负责竣工和阶段交验技术资料和质量记录的整理、分装工作；负责项目阶段交验和竣</w:t>
      </w:r>
      <w:r>
        <w:rPr>
          <w:spacing w:val="-17"/>
          <w:sz w:val="24"/>
          <w:szCs w:val="24"/>
        </w:rPr>
        <w:t>工交验；</w:t>
      </w:r>
    </w:p>
    <w:p w14:paraId="5553BEC3">
      <w:pPr>
        <w:pStyle w:val="2"/>
        <w:spacing w:before="1" w:line="215" w:lineRule="auto"/>
        <w:ind w:left="1899"/>
        <w:rPr>
          <w:sz w:val="24"/>
          <w:szCs w:val="24"/>
        </w:rPr>
      </w:pPr>
      <w:r>
        <w:rPr>
          <w:spacing w:val="-21"/>
          <w:sz w:val="24"/>
          <w:szCs w:val="24"/>
        </w:rPr>
        <w:t>负责质量事故的预防和整改处理工作。</w:t>
      </w:r>
    </w:p>
    <w:p w14:paraId="61042808">
      <w:pPr>
        <w:pStyle w:val="2"/>
        <w:spacing w:before="120" w:line="220" w:lineRule="auto"/>
        <w:ind w:left="1893"/>
        <w:rPr>
          <w:sz w:val="24"/>
          <w:szCs w:val="24"/>
        </w:rPr>
      </w:pPr>
      <w:r>
        <w:rPr>
          <w:spacing w:val="-18"/>
          <w:sz w:val="24"/>
          <w:szCs w:val="24"/>
        </w:rPr>
        <w:t>（6）安全管理员</w:t>
      </w:r>
    </w:p>
    <w:p w14:paraId="27B72284">
      <w:pPr>
        <w:pStyle w:val="2"/>
        <w:spacing w:before="113" w:line="216" w:lineRule="auto"/>
        <w:ind w:left="1894"/>
        <w:rPr>
          <w:sz w:val="24"/>
          <w:szCs w:val="24"/>
        </w:rPr>
      </w:pPr>
      <w:r>
        <w:rPr>
          <w:spacing w:val="-21"/>
          <w:sz w:val="24"/>
          <w:szCs w:val="24"/>
        </w:rPr>
        <w:t>协助项目安全经理工作，负责项目安全生产、文明施工和环</w:t>
      </w:r>
      <w:r>
        <w:rPr>
          <w:spacing w:val="-22"/>
          <w:sz w:val="24"/>
          <w:szCs w:val="24"/>
        </w:rPr>
        <w:t>境保护工作；</w:t>
      </w:r>
    </w:p>
    <w:p w14:paraId="67CFEB2C">
      <w:pPr>
        <w:pStyle w:val="2"/>
        <w:spacing w:before="119" w:line="308" w:lineRule="auto"/>
        <w:ind w:left="1898" w:right="1356" w:hanging="2"/>
        <w:rPr>
          <w:sz w:val="24"/>
          <w:szCs w:val="24"/>
        </w:rPr>
      </w:pPr>
      <w:r>
        <w:rPr>
          <w:spacing w:val="-24"/>
          <w:sz w:val="24"/>
          <w:szCs w:val="24"/>
        </w:rPr>
        <w:t>参与编制项目质量保证计划，负责编制安全文明施工组织管理方案和管理制度并监督实施；</w:t>
      </w:r>
      <w:r>
        <w:rPr>
          <w:spacing w:val="-21"/>
          <w:sz w:val="24"/>
          <w:szCs w:val="24"/>
        </w:rPr>
        <w:t>负责安全生产和文明施工的日常检查、监督、</w:t>
      </w:r>
      <w:r>
        <w:rPr>
          <w:spacing w:val="-22"/>
          <w:sz w:val="24"/>
          <w:szCs w:val="24"/>
        </w:rPr>
        <w:t>消除隐患等管理工作；</w:t>
      </w:r>
    </w:p>
    <w:p w14:paraId="1E753E15">
      <w:pPr>
        <w:pStyle w:val="2"/>
        <w:spacing w:line="308" w:lineRule="auto"/>
        <w:ind w:left="1462" w:right="1411" w:firstLine="437"/>
        <w:rPr>
          <w:sz w:val="24"/>
          <w:szCs w:val="24"/>
        </w:rPr>
      </w:pPr>
      <w:r>
        <w:rPr>
          <w:spacing w:val="-20"/>
          <w:sz w:val="24"/>
          <w:szCs w:val="24"/>
        </w:rPr>
        <w:t>负责管理人员和进场工人安全教育工作；负责安全技术审核把关和安全交底；负责每周的</w:t>
      </w:r>
      <w:r>
        <w:rPr>
          <w:spacing w:val="-23"/>
          <w:sz w:val="24"/>
          <w:szCs w:val="24"/>
        </w:rPr>
        <w:t>全员安全生产例会；</w:t>
      </w:r>
    </w:p>
    <w:p w14:paraId="2B279F5D">
      <w:pPr>
        <w:pStyle w:val="2"/>
        <w:spacing w:before="1" w:line="307" w:lineRule="auto"/>
        <w:ind w:left="1458" w:right="1429" w:firstLine="441"/>
        <w:rPr>
          <w:sz w:val="24"/>
          <w:szCs w:val="24"/>
        </w:rPr>
      </w:pPr>
      <w:r>
        <w:rPr>
          <w:spacing w:val="-20"/>
          <w:sz w:val="24"/>
          <w:szCs w:val="24"/>
        </w:rPr>
        <w:t>负责项目争创市级双标化文明工地的组织和管理活动；负责安全目标</w:t>
      </w:r>
      <w:r>
        <w:rPr>
          <w:spacing w:val="-21"/>
          <w:sz w:val="24"/>
          <w:szCs w:val="24"/>
        </w:rPr>
        <w:t>的分解落实和安全生产责任制的考核评比；负责开展各类安全生产竞赛和</w:t>
      </w:r>
      <w:r>
        <w:rPr>
          <w:spacing w:val="-22"/>
          <w:sz w:val="24"/>
          <w:szCs w:val="24"/>
        </w:rPr>
        <w:t>宣传活动；</w:t>
      </w:r>
    </w:p>
    <w:p w14:paraId="664128CA">
      <w:pPr>
        <w:pStyle w:val="2"/>
        <w:spacing w:before="2" w:line="215" w:lineRule="auto"/>
        <w:ind w:left="1899"/>
        <w:rPr>
          <w:sz w:val="24"/>
          <w:szCs w:val="24"/>
        </w:rPr>
      </w:pPr>
      <w:r>
        <w:rPr>
          <w:spacing w:val="-21"/>
          <w:sz w:val="24"/>
          <w:szCs w:val="24"/>
        </w:rPr>
        <w:t>负责文明施工资料的收集整理工作。</w:t>
      </w:r>
    </w:p>
    <w:p w14:paraId="59566053">
      <w:pPr>
        <w:pStyle w:val="2"/>
        <w:spacing w:before="120" w:line="216" w:lineRule="auto"/>
        <w:ind w:left="1893"/>
        <w:rPr>
          <w:sz w:val="24"/>
          <w:szCs w:val="24"/>
        </w:rPr>
      </w:pPr>
      <w:r>
        <w:rPr>
          <w:spacing w:val="-21"/>
          <w:sz w:val="24"/>
          <w:szCs w:val="24"/>
        </w:rPr>
        <w:t>（7）材料员</w:t>
      </w:r>
    </w:p>
    <w:p w14:paraId="5941248D">
      <w:pPr>
        <w:pStyle w:val="2"/>
        <w:spacing w:before="117" w:line="217" w:lineRule="auto"/>
        <w:ind w:left="1895"/>
        <w:rPr>
          <w:sz w:val="24"/>
          <w:szCs w:val="24"/>
        </w:rPr>
      </w:pPr>
      <w:r>
        <w:rPr>
          <w:spacing w:val="-21"/>
          <w:sz w:val="24"/>
          <w:szCs w:val="24"/>
        </w:rPr>
        <w:t>具负责项目物资采购计划，进场计划和统计计划；</w:t>
      </w:r>
    </w:p>
    <w:p w14:paraId="654FACF7">
      <w:pPr>
        <w:spacing w:line="217" w:lineRule="auto"/>
        <w:rPr>
          <w:sz w:val="24"/>
          <w:szCs w:val="24"/>
        </w:rPr>
        <w:sectPr>
          <w:footerReference r:id="rId300" w:type="default"/>
          <w:pgSz w:w="11907" w:h="16839"/>
          <w:pgMar w:top="933" w:right="4" w:bottom="1038" w:left="0" w:header="478" w:footer="357" w:gutter="0"/>
          <w:pgBorders>
            <w:top w:val="none" w:sz="0" w:space="0"/>
            <w:left w:val="none" w:sz="0" w:space="0"/>
            <w:bottom w:val="none" w:sz="0" w:space="0"/>
            <w:right w:val="none" w:sz="0" w:space="0"/>
          </w:pgBorders>
          <w:cols w:space="720" w:num="1"/>
        </w:sectPr>
      </w:pPr>
    </w:p>
    <w:p w14:paraId="6969C9EB">
      <w:pPr>
        <w:spacing w:line="271" w:lineRule="auto"/>
        <w:rPr>
          <w:rFonts w:ascii="Arial"/>
          <w:sz w:val="21"/>
        </w:rPr>
      </w:pPr>
    </w:p>
    <w:p w14:paraId="4D3023CE">
      <w:pPr>
        <w:pStyle w:val="2"/>
        <w:spacing w:before="78" w:line="216" w:lineRule="auto"/>
        <w:ind w:left="1899"/>
        <w:rPr>
          <w:sz w:val="24"/>
          <w:szCs w:val="24"/>
        </w:rPr>
      </w:pPr>
      <w:r>
        <w:rPr>
          <w:spacing w:val="-21"/>
          <w:sz w:val="24"/>
          <w:szCs w:val="24"/>
        </w:rPr>
        <w:t>负责编制项目物资领用管理制度和日常管理</w:t>
      </w:r>
      <w:r>
        <w:rPr>
          <w:spacing w:val="-22"/>
          <w:sz w:val="24"/>
          <w:szCs w:val="24"/>
        </w:rPr>
        <w:t>工作；</w:t>
      </w:r>
    </w:p>
    <w:p w14:paraId="5F25402A">
      <w:pPr>
        <w:pStyle w:val="2"/>
        <w:spacing w:before="119" w:line="307" w:lineRule="auto"/>
        <w:ind w:left="1456" w:right="1409" w:firstLine="443"/>
        <w:rPr>
          <w:sz w:val="24"/>
          <w:szCs w:val="24"/>
        </w:rPr>
      </w:pPr>
      <w:r>
        <w:rPr>
          <w:spacing w:val="-20"/>
          <w:sz w:val="24"/>
          <w:szCs w:val="24"/>
        </w:rPr>
        <w:t>负责物资进出库管理和仓储管理，负责监督检查所有进场物资的质量，协助技术质量部做</w:t>
      </w:r>
      <w:r>
        <w:rPr>
          <w:spacing w:val="-22"/>
          <w:sz w:val="24"/>
          <w:szCs w:val="24"/>
        </w:rPr>
        <w:t>好技术资料的收集、整理工作；</w:t>
      </w:r>
    </w:p>
    <w:p w14:paraId="3502E154">
      <w:pPr>
        <w:pStyle w:val="2"/>
        <w:spacing w:before="2" w:line="217" w:lineRule="auto"/>
        <w:ind w:left="1899"/>
        <w:rPr>
          <w:sz w:val="24"/>
          <w:szCs w:val="24"/>
        </w:rPr>
      </w:pPr>
      <w:r>
        <w:rPr>
          <w:spacing w:val="-21"/>
          <w:sz w:val="24"/>
          <w:szCs w:val="24"/>
        </w:rPr>
        <w:t>负责编制施工设备的使用计划。</w:t>
      </w:r>
    </w:p>
    <w:p w14:paraId="41CA461D">
      <w:pPr>
        <w:pStyle w:val="2"/>
        <w:spacing w:before="118" w:line="217" w:lineRule="auto"/>
        <w:ind w:left="1893"/>
        <w:rPr>
          <w:sz w:val="24"/>
          <w:szCs w:val="24"/>
        </w:rPr>
      </w:pPr>
      <w:r>
        <w:rPr>
          <w:spacing w:val="-17"/>
          <w:sz w:val="24"/>
          <w:szCs w:val="24"/>
        </w:rPr>
        <w:t>（8）预算员</w:t>
      </w:r>
    </w:p>
    <w:p w14:paraId="2645588A">
      <w:pPr>
        <w:pStyle w:val="2"/>
        <w:spacing w:before="115" w:line="216" w:lineRule="auto"/>
        <w:ind w:left="1895"/>
        <w:rPr>
          <w:sz w:val="24"/>
          <w:szCs w:val="24"/>
        </w:rPr>
      </w:pPr>
      <w:r>
        <w:rPr>
          <w:spacing w:val="-21"/>
          <w:sz w:val="24"/>
          <w:szCs w:val="24"/>
        </w:rPr>
        <w:t>具体负责项目预算成本的编制和成本控制工作；</w:t>
      </w:r>
    </w:p>
    <w:p w14:paraId="2E4294FE">
      <w:pPr>
        <w:pStyle w:val="2"/>
        <w:spacing w:before="120" w:line="216" w:lineRule="auto"/>
        <w:ind w:left="1896"/>
        <w:rPr>
          <w:sz w:val="24"/>
          <w:szCs w:val="24"/>
        </w:rPr>
      </w:pPr>
      <w:r>
        <w:rPr>
          <w:spacing w:val="-20"/>
          <w:sz w:val="24"/>
          <w:szCs w:val="24"/>
        </w:rPr>
        <w:t>参与供应商的选择工作；</w:t>
      </w:r>
    </w:p>
    <w:p w14:paraId="185E8643">
      <w:pPr>
        <w:pStyle w:val="2"/>
        <w:spacing w:before="121" w:line="217" w:lineRule="auto"/>
        <w:ind w:left="1896"/>
        <w:rPr>
          <w:sz w:val="24"/>
          <w:szCs w:val="24"/>
        </w:rPr>
      </w:pPr>
      <w:r>
        <w:rPr>
          <w:spacing w:val="-21"/>
          <w:sz w:val="24"/>
          <w:szCs w:val="24"/>
        </w:rPr>
        <w:t>配合财务部编制开支预算和资金计划；</w:t>
      </w:r>
    </w:p>
    <w:p w14:paraId="49117F66">
      <w:pPr>
        <w:pStyle w:val="2"/>
        <w:spacing w:before="116" w:line="216" w:lineRule="auto"/>
        <w:ind w:left="1895"/>
        <w:rPr>
          <w:sz w:val="24"/>
          <w:szCs w:val="24"/>
        </w:rPr>
      </w:pPr>
      <w:r>
        <w:rPr>
          <w:spacing w:val="-21"/>
          <w:sz w:val="24"/>
          <w:szCs w:val="24"/>
        </w:rPr>
        <w:t>具体负责与业主和分包的结算工作，编制项目月度</w:t>
      </w:r>
      <w:r>
        <w:rPr>
          <w:spacing w:val="-22"/>
          <w:sz w:val="24"/>
          <w:szCs w:val="24"/>
        </w:rPr>
        <w:t>申请款、分包付款文件；</w:t>
      </w:r>
    </w:p>
    <w:p w14:paraId="2AF7B6B4">
      <w:pPr>
        <w:pStyle w:val="2"/>
        <w:spacing w:before="120" w:line="218" w:lineRule="auto"/>
        <w:ind w:left="1895"/>
        <w:rPr>
          <w:sz w:val="24"/>
          <w:szCs w:val="24"/>
        </w:rPr>
      </w:pPr>
      <w:r>
        <w:rPr>
          <w:spacing w:val="-21"/>
          <w:sz w:val="24"/>
          <w:szCs w:val="24"/>
        </w:rPr>
        <w:t>具体负责项目合同管理、造价确定。</w:t>
      </w:r>
    </w:p>
    <w:p w14:paraId="6CAB287F">
      <w:pPr>
        <w:pStyle w:val="2"/>
        <w:spacing w:before="118" w:line="216" w:lineRule="auto"/>
        <w:ind w:left="1893"/>
        <w:rPr>
          <w:sz w:val="24"/>
          <w:szCs w:val="24"/>
        </w:rPr>
      </w:pPr>
      <w:r>
        <w:rPr>
          <w:spacing w:val="-18"/>
          <w:sz w:val="24"/>
          <w:szCs w:val="24"/>
        </w:rPr>
        <w:t>（9）资料员</w:t>
      </w:r>
    </w:p>
    <w:p w14:paraId="5738DBB9">
      <w:pPr>
        <w:pStyle w:val="2"/>
        <w:spacing w:before="117" w:line="216" w:lineRule="auto"/>
        <w:ind w:left="1894"/>
        <w:rPr>
          <w:sz w:val="24"/>
          <w:szCs w:val="24"/>
        </w:rPr>
      </w:pPr>
      <w:r>
        <w:rPr>
          <w:spacing w:val="-21"/>
          <w:sz w:val="24"/>
          <w:szCs w:val="24"/>
        </w:rPr>
        <w:t>根据图纸及现场施工情况，编制施工技术资料；</w:t>
      </w:r>
    </w:p>
    <w:p w14:paraId="507FF689">
      <w:pPr>
        <w:pStyle w:val="2"/>
        <w:spacing w:before="120" w:line="216" w:lineRule="auto"/>
        <w:ind w:left="1893"/>
        <w:rPr>
          <w:sz w:val="24"/>
          <w:szCs w:val="24"/>
        </w:rPr>
      </w:pPr>
      <w:r>
        <w:rPr>
          <w:spacing w:val="-21"/>
          <w:sz w:val="24"/>
          <w:szCs w:val="24"/>
        </w:rPr>
        <w:t>做好各类有关资料的收集、整理工作。</w:t>
      </w:r>
    </w:p>
    <w:p w14:paraId="5A6B0E2C">
      <w:pPr>
        <w:pStyle w:val="2"/>
        <w:spacing w:before="120" w:line="219" w:lineRule="auto"/>
        <w:ind w:left="1893"/>
        <w:rPr>
          <w:sz w:val="24"/>
          <w:szCs w:val="24"/>
        </w:rPr>
      </w:pPr>
      <w:r>
        <w:rPr>
          <w:spacing w:val="-14"/>
          <w:sz w:val="24"/>
          <w:szCs w:val="24"/>
        </w:rPr>
        <w:t>（10）财务</w:t>
      </w:r>
    </w:p>
    <w:p w14:paraId="07DDB80C">
      <w:pPr>
        <w:pStyle w:val="2"/>
        <w:spacing w:before="114" w:line="216" w:lineRule="auto"/>
        <w:ind w:left="1894"/>
        <w:rPr>
          <w:sz w:val="24"/>
          <w:szCs w:val="24"/>
        </w:rPr>
      </w:pPr>
      <w:r>
        <w:rPr>
          <w:spacing w:val="-21"/>
          <w:sz w:val="24"/>
          <w:szCs w:val="24"/>
        </w:rPr>
        <w:t>协助项目经理的工作，具体负责项目财务和税务事务；</w:t>
      </w:r>
    </w:p>
    <w:p w14:paraId="205F1420">
      <w:pPr>
        <w:pStyle w:val="2"/>
        <w:spacing w:before="120" w:line="216" w:lineRule="auto"/>
        <w:ind w:left="1895"/>
        <w:rPr>
          <w:sz w:val="24"/>
          <w:szCs w:val="24"/>
        </w:rPr>
      </w:pPr>
      <w:r>
        <w:rPr>
          <w:spacing w:val="-21"/>
          <w:sz w:val="24"/>
          <w:szCs w:val="24"/>
        </w:rPr>
        <w:t>具体负责项目资金计划和各类财务报表的编制工作；</w:t>
      </w:r>
    </w:p>
    <w:p w14:paraId="66B588F7">
      <w:pPr>
        <w:pStyle w:val="2"/>
        <w:spacing w:before="120" w:line="216" w:lineRule="auto"/>
        <w:ind w:left="1895"/>
        <w:rPr>
          <w:sz w:val="24"/>
          <w:szCs w:val="24"/>
        </w:rPr>
      </w:pPr>
      <w:r>
        <w:rPr>
          <w:spacing w:val="-21"/>
          <w:sz w:val="24"/>
          <w:szCs w:val="24"/>
        </w:rPr>
        <w:t>具体负责工程款的收支工作；</w:t>
      </w:r>
    </w:p>
    <w:p w14:paraId="70815181">
      <w:pPr>
        <w:pStyle w:val="2"/>
        <w:spacing w:before="118" w:line="216" w:lineRule="auto"/>
        <w:ind w:left="1899"/>
        <w:rPr>
          <w:sz w:val="24"/>
          <w:szCs w:val="24"/>
        </w:rPr>
      </w:pPr>
      <w:r>
        <w:rPr>
          <w:spacing w:val="-23"/>
          <w:sz w:val="24"/>
          <w:szCs w:val="24"/>
        </w:rPr>
        <w:t>负责工资奖金发放工作；</w:t>
      </w:r>
    </w:p>
    <w:p w14:paraId="28072238">
      <w:pPr>
        <w:pStyle w:val="2"/>
        <w:spacing w:before="120" w:line="216" w:lineRule="auto"/>
        <w:ind w:left="1896"/>
        <w:rPr>
          <w:sz w:val="24"/>
          <w:szCs w:val="24"/>
        </w:rPr>
      </w:pPr>
      <w:r>
        <w:rPr>
          <w:spacing w:val="-22"/>
          <w:sz w:val="24"/>
          <w:szCs w:val="24"/>
        </w:rPr>
        <w:t>配合合约核算部成本控制工作和准备竣工决算报告。</w:t>
      </w:r>
    </w:p>
    <w:p w14:paraId="5EE5AC6D">
      <w:pPr>
        <w:pStyle w:val="2"/>
        <w:spacing w:before="120" w:line="219" w:lineRule="auto"/>
        <w:ind w:left="1893"/>
        <w:rPr>
          <w:sz w:val="24"/>
          <w:szCs w:val="24"/>
        </w:rPr>
      </w:pPr>
      <w:r>
        <w:rPr>
          <w:spacing w:val="-15"/>
          <w:sz w:val="24"/>
          <w:szCs w:val="24"/>
        </w:rPr>
        <w:t>（11）测量员</w:t>
      </w:r>
    </w:p>
    <w:p w14:paraId="1F03DC5B">
      <w:pPr>
        <w:pStyle w:val="2"/>
        <w:spacing w:before="114" w:line="216" w:lineRule="auto"/>
        <w:ind w:left="1899"/>
        <w:rPr>
          <w:sz w:val="24"/>
          <w:szCs w:val="24"/>
        </w:rPr>
      </w:pPr>
      <w:r>
        <w:rPr>
          <w:spacing w:val="-21"/>
          <w:sz w:val="24"/>
          <w:szCs w:val="24"/>
        </w:rPr>
        <w:t>负责测量技术方案的编制工作；</w:t>
      </w:r>
    </w:p>
    <w:p w14:paraId="588256E9">
      <w:pPr>
        <w:pStyle w:val="2"/>
        <w:spacing w:before="121" w:line="307" w:lineRule="auto"/>
        <w:ind w:left="1457" w:right="1410" w:firstLine="438"/>
        <w:rPr>
          <w:sz w:val="24"/>
          <w:szCs w:val="24"/>
        </w:rPr>
      </w:pPr>
      <w:r>
        <w:rPr>
          <w:spacing w:val="-20"/>
          <w:sz w:val="24"/>
          <w:szCs w:val="24"/>
        </w:rPr>
        <w:t>具体负责平面控制网建立，平面位置放样，负责标高控制，管道定位，沉降观测及测量准</w:t>
      </w:r>
      <w:r>
        <w:rPr>
          <w:spacing w:val="-19"/>
          <w:sz w:val="24"/>
          <w:szCs w:val="24"/>
        </w:rPr>
        <w:t>确性、及时性。</w:t>
      </w:r>
    </w:p>
    <w:p w14:paraId="5717841D">
      <w:pPr>
        <w:pStyle w:val="2"/>
        <w:spacing w:before="1" w:line="218" w:lineRule="auto"/>
        <w:ind w:left="1893"/>
        <w:rPr>
          <w:sz w:val="24"/>
          <w:szCs w:val="24"/>
        </w:rPr>
      </w:pPr>
      <w:r>
        <w:rPr>
          <w:spacing w:val="-17"/>
          <w:sz w:val="24"/>
          <w:szCs w:val="24"/>
        </w:rPr>
        <w:t>（12）后勤负责人</w:t>
      </w:r>
    </w:p>
    <w:p w14:paraId="386A8D3D">
      <w:pPr>
        <w:pStyle w:val="2"/>
        <w:spacing w:before="117" w:line="217" w:lineRule="auto"/>
        <w:ind w:left="1899"/>
        <w:rPr>
          <w:sz w:val="24"/>
          <w:szCs w:val="24"/>
        </w:rPr>
      </w:pPr>
      <w:r>
        <w:rPr>
          <w:spacing w:val="-21"/>
          <w:sz w:val="24"/>
          <w:szCs w:val="24"/>
        </w:rPr>
        <w:t>负责安排项目管理人员及工人住宿、生活等；</w:t>
      </w:r>
    </w:p>
    <w:p w14:paraId="3639D89D">
      <w:pPr>
        <w:pStyle w:val="2"/>
        <w:spacing w:before="118" w:line="216" w:lineRule="auto"/>
        <w:ind w:left="1894"/>
        <w:rPr>
          <w:sz w:val="24"/>
          <w:szCs w:val="24"/>
        </w:rPr>
      </w:pPr>
      <w:r>
        <w:rPr>
          <w:spacing w:val="-21"/>
          <w:sz w:val="24"/>
          <w:szCs w:val="24"/>
        </w:rPr>
        <w:t>协助项目经理、安全员做好民工学校工作；</w:t>
      </w:r>
    </w:p>
    <w:p w14:paraId="08B29D2C">
      <w:pPr>
        <w:pStyle w:val="2"/>
        <w:spacing w:before="118" w:line="218" w:lineRule="auto"/>
        <w:ind w:left="1899"/>
        <w:rPr>
          <w:sz w:val="24"/>
          <w:szCs w:val="24"/>
        </w:rPr>
      </w:pPr>
      <w:r>
        <w:rPr>
          <w:spacing w:val="-21"/>
          <w:sz w:val="24"/>
          <w:szCs w:val="24"/>
        </w:rPr>
        <w:t>负责项目日常用品采购；</w:t>
      </w:r>
    </w:p>
    <w:p w14:paraId="4149E0FA">
      <w:pPr>
        <w:pStyle w:val="2"/>
        <w:spacing w:before="117" w:line="216" w:lineRule="auto"/>
        <w:ind w:left="1899"/>
        <w:rPr>
          <w:sz w:val="24"/>
          <w:szCs w:val="24"/>
        </w:rPr>
      </w:pPr>
      <w:r>
        <w:rPr>
          <w:spacing w:val="-21"/>
          <w:sz w:val="24"/>
          <w:szCs w:val="24"/>
        </w:rPr>
        <w:t>负责项目部食堂、厕所、浴室管理工作；</w:t>
      </w:r>
    </w:p>
    <w:p w14:paraId="3503B448">
      <w:pPr>
        <w:pStyle w:val="2"/>
        <w:spacing w:before="120" w:line="216" w:lineRule="auto"/>
        <w:ind w:left="1894"/>
        <w:rPr>
          <w:sz w:val="24"/>
          <w:szCs w:val="24"/>
        </w:rPr>
      </w:pPr>
      <w:r>
        <w:rPr>
          <w:spacing w:val="-21"/>
          <w:sz w:val="24"/>
          <w:szCs w:val="24"/>
        </w:rPr>
        <w:t>协助项目副经理、安全员施工现场消防、保卫工作。</w:t>
      </w:r>
    </w:p>
    <w:p w14:paraId="12AA9EB3">
      <w:pPr>
        <w:pStyle w:val="2"/>
        <w:spacing w:before="118" w:line="218" w:lineRule="auto"/>
        <w:ind w:left="1888"/>
        <w:rPr>
          <w:sz w:val="24"/>
          <w:szCs w:val="24"/>
        </w:rPr>
      </w:pPr>
      <w:r>
        <w:rPr>
          <w:spacing w:val="-18"/>
          <w:sz w:val="24"/>
          <w:szCs w:val="24"/>
        </w:rPr>
        <w:t>2.2施工总体安排及流程</w:t>
      </w:r>
    </w:p>
    <w:p w14:paraId="4B4CCF70">
      <w:pPr>
        <w:pStyle w:val="2"/>
        <w:spacing w:before="117" w:line="220" w:lineRule="auto"/>
        <w:ind w:left="1903"/>
        <w:rPr>
          <w:sz w:val="24"/>
          <w:szCs w:val="24"/>
        </w:rPr>
      </w:pPr>
      <w:r>
        <w:rPr>
          <w:spacing w:val="-20"/>
          <w:sz w:val="24"/>
          <w:szCs w:val="24"/>
        </w:rPr>
        <w:t>1、划分施工区域</w:t>
      </w:r>
    </w:p>
    <w:p w14:paraId="7816AB57">
      <w:pPr>
        <w:pStyle w:val="2"/>
        <w:spacing w:before="115" w:line="307" w:lineRule="auto"/>
        <w:ind w:left="1456" w:right="1409" w:firstLine="437"/>
        <w:rPr>
          <w:sz w:val="24"/>
          <w:szCs w:val="24"/>
        </w:rPr>
      </w:pPr>
      <w:r>
        <w:rPr>
          <w:spacing w:val="-20"/>
          <w:sz w:val="24"/>
          <w:szCs w:val="24"/>
        </w:rPr>
        <w:t>本工程施工区域比较大，施工作业面较广，工期比较紧，因此科学管理，合理安排施工顺</w:t>
      </w:r>
      <w:r>
        <w:rPr>
          <w:spacing w:val="-21"/>
          <w:sz w:val="24"/>
          <w:szCs w:val="24"/>
        </w:rPr>
        <w:t>序，处理好施工搭接，做好材料供应，是加快工程施工进度</w:t>
      </w:r>
      <w:r>
        <w:rPr>
          <w:spacing w:val="-22"/>
          <w:sz w:val="24"/>
          <w:szCs w:val="24"/>
        </w:rPr>
        <w:t>的关键。</w:t>
      </w:r>
    </w:p>
    <w:p w14:paraId="21BD002E">
      <w:pPr>
        <w:pStyle w:val="2"/>
        <w:spacing w:before="2" w:line="307" w:lineRule="auto"/>
        <w:ind w:left="1459" w:right="1409" w:firstLine="434"/>
        <w:rPr>
          <w:sz w:val="24"/>
          <w:szCs w:val="24"/>
        </w:rPr>
      </w:pPr>
      <w:r>
        <w:rPr>
          <w:spacing w:val="-20"/>
          <w:sz w:val="24"/>
          <w:szCs w:val="24"/>
        </w:rPr>
        <w:t>各施工区间相互搭接，结构施工时充分考虑时空效应，对各种要素资源配置如劳动力、机</w:t>
      </w:r>
      <w:r>
        <w:rPr>
          <w:spacing w:val="-21"/>
          <w:sz w:val="24"/>
          <w:szCs w:val="24"/>
        </w:rPr>
        <w:t>具、材料、机械设备、周转材料等进行平行配置确</w:t>
      </w:r>
      <w:r>
        <w:rPr>
          <w:spacing w:val="-22"/>
          <w:sz w:val="24"/>
          <w:szCs w:val="24"/>
        </w:rPr>
        <w:t>保结构施工时进行平行的流水施工。</w:t>
      </w:r>
    </w:p>
    <w:p w14:paraId="768855F0">
      <w:pPr>
        <w:pStyle w:val="2"/>
        <w:spacing w:before="1" w:line="215" w:lineRule="auto"/>
        <w:ind w:left="1888"/>
        <w:rPr>
          <w:sz w:val="24"/>
          <w:szCs w:val="24"/>
        </w:rPr>
      </w:pPr>
      <w:r>
        <w:rPr>
          <w:spacing w:val="-18"/>
          <w:sz w:val="24"/>
          <w:szCs w:val="24"/>
        </w:rPr>
        <w:t>2、施工前期准备工作</w:t>
      </w:r>
    </w:p>
    <w:p w14:paraId="2B6D9CC7">
      <w:pPr>
        <w:spacing w:line="215" w:lineRule="auto"/>
        <w:rPr>
          <w:sz w:val="24"/>
          <w:szCs w:val="24"/>
        </w:rPr>
        <w:sectPr>
          <w:footerReference r:id="rId301" w:type="default"/>
          <w:pgSz w:w="11907" w:h="16839"/>
          <w:pgMar w:top="933" w:right="4" w:bottom="1038" w:left="0" w:header="478" w:footer="357" w:gutter="0"/>
          <w:pgBorders>
            <w:top w:val="none" w:sz="0" w:space="0"/>
            <w:left w:val="none" w:sz="0" w:space="0"/>
            <w:bottom w:val="none" w:sz="0" w:space="0"/>
            <w:right w:val="none" w:sz="0" w:space="0"/>
          </w:pgBorders>
          <w:cols w:space="720" w:num="1"/>
        </w:sectPr>
      </w:pPr>
    </w:p>
    <w:p w14:paraId="26549ACB">
      <w:pPr>
        <w:spacing w:line="235" w:lineRule="exact"/>
      </w:pPr>
    </w:p>
    <w:tbl>
      <w:tblPr>
        <w:tblStyle w:val="6"/>
        <w:tblW w:w="8552" w:type="dxa"/>
        <w:tblInd w:w="167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27"/>
        <w:gridCol w:w="1263"/>
        <w:gridCol w:w="6862"/>
      </w:tblGrid>
      <w:tr w14:paraId="73417C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9" w:hRule="atLeast"/>
        </w:trPr>
        <w:tc>
          <w:tcPr>
            <w:tcW w:w="1690" w:type="dxa"/>
            <w:gridSpan w:val="2"/>
            <w:tcBorders>
              <w:top w:val="single" w:color="000000" w:sz="4" w:space="0"/>
              <w:left w:val="single" w:color="000000" w:sz="4" w:space="0"/>
            </w:tcBorders>
            <w:shd w:val="clear" w:color="auto" w:fill="DEEAF6"/>
            <w:vAlign w:val="top"/>
          </w:tcPr>
          <w:p w14:paraId="314B8BC3">
            <w:pPr>
              <w:pStyle w:val="7"/>
              <w:spacing w:before="129" w:line="218" w:lineRule="auto"/>
              <w:ind w:left="641"/>
            </w:pPr>
            <w:r>
              <w:rPr>
                <w:b/>
                <w:bCs/>
                <w:spacing w:val="-12"/>
              </w:rPr>
              <w:t>序号</w:t>
            </w:r>
          </w:p>
        </w:tc>
        <w:tc>
          <w:tcPr>
            <w:tcW w:w="6862" w:type="dxa"/>
            <w:tcBorders>
              <w:top w:val="single" w:color="5B9BD5" w:sz="4" w:space="0"/>
              <w:right w:val="single" w:color="5B9BD5" w:sz="4" w:space="0"/>
            </w:tcBorders>
            <w:shd w:val="clear" w:color="auto" w:fill="DEEAF6"/>
            <w:vAlign w:val="top"/>
          </w:tcPr>
          <w:p w14:paraId="327C1631">
            <w:pPr>
              <w:pStyle w:val="7"/>
              <w:spacing w:before="129" w:line="218" w:lineRule="auto"/>
              <w:ind w:left="3244"/>
            </w:pPr>
            <w:r>
              <w:rPr>
                <w:b/>
                <w:bCs/>
                <w:spacing w:val="-20"/>
              </w:rPr>
              <w:t>内容</w:t>
            </w:r>
          </w:p>
        </w:tc>
      </w:tr>
      <w:tr w14:paraId="021EFA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1524" w:hRule="atLeast"/>
        </w:trPr>
        <w:tc>
          <w:tcPr>
            <w:tcW w:w="1690" w:type="dxa"/>
            <w:gridSpan w:val="2"/>
            <w:tcBorders>
              <w:left w:val="single" w:color="000000" w:sz="4" w:space="0"/>
            </w:tcBorders>
            <w:vAlign w:val="top"/>
          </w:tcPr>
          <w:p w14:paraId="4848CB4A">
            <w:pPr>
              <w:spacing w:line="255" w:lineRule="auto"/>
              <w:rPr>
                <w:rFonts w:ascii="Arial"/>
                <w:sz w:val="21"/>
              </w:rPr>
            </w:pPr>
          </w:p>
          <w:p w14:paraId="0430927C">
            <w:pPr>
              <w:spacing w:line="256" w:lineRule="auto"/>
              <w:rPr>
                <w:rFonts w:ascii="Arial"/>
                <w:sz w:val="21"/>
              </w:rPr>
            </w:pPr>
          </w:p>
          <w:p w14:paraId="5E9E11A7">
            <w:pPr>
              <w:pStyle w:val="7"/>
              <w:spacing w:before="78" w:line="238" w:lineRule="auto"/>
              <w:ind w:left="817"/>
            </w:pPr>
            <w:r>
              <w:t>1</w:t>
            </w:r>
          </w:p>
        </w:tc>
        <w:tc>
          <w:tcPr>
            <w:tcW w:w="6862" w:type="dxa"/>
            <w:tcBorders>
              <w:right w:val="single" w:color="000000" w:sz="4" w:space="0"/>
            </w:tcBorders>
            <w:vAlign w:val="top"/>
          </w:tcPr>
          <w:p w14:paraId="5D085494">
            <w:pPr>
              <w:pStyle w:val="7"/>
              <w:spacing w:before="125" w:line="356" w:lineRule="auto"/>
              <w:ind w:left="65" w:right="48"/>
              <w:jc w:val="both"/>
            </w:pPr>
            <w:r>
              <w:rPr>
                <w:spacing w:val="-23"/>
              </w:rPr>
              <w:t>组织项目管理部成员认真熟悉图纸，做好对基础、主体工程图纸的自审和会审工作。在图纸会审的基础上，着手进行图纸的翻样工作，以本施</w:t>
            </w:r>
            <w:r>
              <w:rPr>
                <w:spacing w:val="-18"/>
              </w:rPr>
              <w:t>工组织设计为大纲，编制材料采购供应计划和详细的专项施工方案。</w:t>
            </w:r>
          </w:p>
        </w:tc>
      </w:tr>
      <w:tr w14:paraId="54E435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57" w:hRule="atLeast"/>
        </w:trPr>
        <w:tc>
          <w:tcPr>
            <w:tcW w:w="1690" w:type="dxa"/>
            <w:gridSpan w:val="2"/>
            <w:tcBorders>
              <w:left w:val="single" w:color="000000" w:sz="4" w:space="0"/>
            </w:tcBorders>
            <w:vAlign w:val="top"/>
          </w:tcPr>
          <w:p w14:paraId="5CDEB005">
            <w:pPr>
              <w:spacing w:line="274" w:lineRule="auto"/>
              <w:rPr>
                <w:rFonts w:ascii="Arial"/>
                <w:sz w:val="21"/>
              </w:rPr>
            </w:pPr>
          </w:p>
          <w:p w14:paraId="26C95A17">
            <w:pPr>
              <w:pStyle w:val="7"/>
              <w:spacing w:before="78" w:line="238" w:lineRule="auto"/>
              <w:ind w:left="802"/>
            </w:pPr>
            <w:r>
              <w:t>2</w:t>
            </w:r>
          </w:p>
        </w:tc>
        <w:tc>
          <w:tcPr>
            <w:tcW w:w="6862" w:type="dxa"/>
            <w:tcBorders>
              <w:right w:val="single" w:color="000000" w:sz="4" w:space="0"/>
            </w:tcBorders>
            <w:vAlign w:val="top"/>
          </w:tcPr>
          <w:p w14:paraId="1D8CD921">
            <w:pPr>
              <w:pStyle w:val="7"/>
              <w:spacing w:before="121" w:line="216" w:lineRule="auto"/>
              <w:ind w:left="66"/>
            </w:pPr>
            <w:r>
              <w:rPr>
                <w:spacing w:val="-22"/>
              </w:rPr>
              <w:t>根据施工进度计划，落实大宗材料的进货渠道，确定主要大型施工机械</w:t>
            </w:r>
          </w:p>
          <w:p w14:paraId="40FEAE51">
            <w:pPr>
              <w:pStyle w:val="7"/>
              <w:spacing w:before="187" w:line="216" w:lineRule="auto"/>
              <w:ind w:left="1594"/>
            </w:pPr>
            <w:r>
              <w:rPr>
                <w:spacing w:val="-22"/>
              </w:rPr>
              <w:t>的进、退时间，组织各作业班组进场。</w:t>
            </w:r>
          </w:p>
        </w:tc>
      </w:tr>
      <w:tr w14:paraId="4D3528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94" w:hRule="atLeast"/>
        </w:trPr>
        <w:tc>
          <w:tcPr>
            <w:tcW w:w="1690" w:type="dxa"/>
            <w:gridSpan w:val="2"/>
            <w:tcBorders>
              <w:left w:val="single" w:color="000000" w:sz="4" w:space="0"/>
            </w:tcBorders>
            <w:vAlign w:val="top"/>
          </w:tcPr>
          <w:p w14:paraId="6A413881">
            <w:pPr>
              <w:spacing w:line="245" w:lineRule="auto"/>
              <w:rPr>
                <w:rFonts w:ascii="Arial"/>
                <w:sz w:val="21"/>
              </w:rPr>
            </w:pPr>
          </w:p>
          <w:p w14:paraId="16F5FCB7">
            <w:pPr>
              <w:spacing w:line="245" w:lineRule="auto"/>
              <w:rPr>
                <w:rFonts w:ascii="Arial"/>
                <w:sz w:val="21"/>
              </w:rPr>
            </w:pPr>
          </w:p>
          <w:p w14:paraId="54E8F841">
            <w:pPr>
              <w:spacing w:line="246" w:lineRule="auto"/>
              <w:rPr>
                <w:rFonts w:ascii="Arial"/>
                <w:sz w:val="21"/>
              </w:rPr>
            </w:pPr>
          </w:p>
          <w:p w14:paraId="479A23D6">
            <w:pPr>
              <w:pStyle w:val="7"/>
              <w:spacing w:before="78" w:line="237" w:lineRule="auto"/>
              <w:ind w:left="804"/>
            </w:pPr>
            <w:r>
              <w:t>3</w:t>
            </w:r>
          </w:p>
        </w:tc>
        <w:tc>
          <w:tcPr>
            <w:tcW w:w="6862" w:type="dxa"/>
            <w:tcBorders>
              <w:right w:val="single" w:color="000000" w:sz="4" w:space="0"/>
            </w:tcBorders>
            <w:vAlign w:val="top"/>
          </w:tcPr>
          <w:p w14:paraId="2DFFFA35">
            <w:pPr>
              <w:pStyle w:val="7"/>
              <w:spacing w:before="117" w:line="217" w:lineRule="auto"/>
              <w:ind w:left="66"/>
            </w:pPr>
            <w:r>
              <w:rPr>
                <w:spacing w:val="-22"/>
              </w:rPr>
              <w:t>根据建设单位提供的坐标点及水准基点进行定位放线，遵循“从整体到</w:t>
            </w:r>
          </w:p>
          <w:p w14:paraId="6B0DF28F">
            <w:pPr>
              <w:pStyle w:val="7"/>
              <w:spacing w:before="184" w:line="215" w:lineRule="auto"/>
              <w:ind w:left="69"/>
            </w:pPr>
            <w:r>
              <w:rPr>
                <w:spacing w:val="-22"/>
              </w:rPr>
              <w:t>局部”的原则建立施工平面测量控制网，在现场选择便于观测又较为永</w:t>
            </w:r>
          </w:p>
          <w:p w14:paraId="5B9CF446">
            <w:pPr>
              <w:pStyle w:val="7"/>
              <w:spacing w:before="189" w:line="215" w:lineRule="auto"/>
              <w:ind w:left="67"/>
            </w:pPr>
            <w:r>
              <w:rPr>
                <w:spacing w:val="-22"/>
              </w:rPr>
              <w:t>久稳固的地点设置若干个水准高程测量控制点，做好轴线控制点和高程</w:t>
            </w:r>
          </w:p>
          <w:p w14:paraId="002BDD10">
            <w:pPr>
              <w:pStyle w:val="7"/>
              <w:spacing w:before="188" w:line="216" w:lineRule="auto"/>
              <w:ind w:left="2452"/>
            </w:pPr>
            <w:r>
              <w:rPr>
                <w:spacing w:val="-22"/>
              </w:rPr>
              <w:t>控制点的保护工作。</w:t>
            </w:r>
          </w:p>
        </w:tc>
      </w:tr>
      <w:tr w14:paraId="590DC3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7" w:hRule="atLeast"/>
        </w:trPr>
        <w:tc>
          <w:tcPr>
            <w:tcW w:w="1690" w:type="dxa"/>
            <w:gridSpan w:val="2"/>
            <w:tcBorders>
              <w:left w:val="single" w:color="000000" w:sz="4" w:space="0"/>
            </w:tcBorders>
            <w:vAlign w:val="top"/>
          </w:tcPr>
          <w:p w14:paraId="2645669D">
            <w:pPr>
              <w:pStyle w:val="7"/>
              <w:spacing w:before="111" w:line="238" w:lineRule="auto"/>
              <w:ind w:left="798"/>
            </w:pPr>
            <w:r>
              <w:t>4</w:t>
            </w:r>
          </w:p>
        </w:tc>
        <w:tc>
          <w:tcPr>
            <w:tcW w:w="6862" w:type="dxa"/>
            <w:tcBorders>
              <w:right w:val="single" w:color="000000" w:sz="4" w:space="0"/>
            </w:tcBorders>
            <w:vAlign w:val="top"/>
          </w:tcPr>
          <w:p w14:paraId="715C4F33">
            <w:pPr>
              <w:pStyle w:val="7"/>
              <w:spacing w:before="111" w:line="218" w:lineRule="auto"/>
              <w:ind w:left="1251"/>
            </w:pPr>
            <w:r>
              <w:rPr>
                <w:spacing w:val="-21"/>
              </w:rPr>
              <w:t>做好现场排水管沟，使地表水尽快排出场外。</w:t>
            </w:r>
          </w:p>
        </w:tc>
      </w:tr>
      <w:tr w14:paraId="5DDDCA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56" w:hRule="atLeast"/>
        </w:trPr>
        <w:tc>
          <w:tcPr>
            <w:tcW w:w="1690" w:type="dxa"/>
            <w:gridSpan w:val="2"/>
            <w:tcBorders>
              <w:left w:val="single" w:color="000000" w:sz="4" w:space="0"/>
            </w:tcBorders>
            <w:vAlign w:val="top"/>
          </w:tcPr>
          <w:p w14:paraId="652B2271">
            <w:pPr>
              <w:spacing w:line="262" w:lineRule="auto"/>
              <w:rPr>
                <w:rFonts w:ascii="Arial"/>
                <w:sz w:val="21"/>
              </w:rPr>
            </w:pPr>
          </w:p>
          <w:p w14:paraId="2DF911C7">
            <w:pPr>
              <w:pStyle w:val="7"/>
              <w:spacing w:before="78" w:line="237" w:lineRule="auto"/>
              <w:ind w:left="804"/>
            </w:pPr>
            <w:r>
              <w:t>5</w:t>
            </w:r>
          </w:p>
        </w:tc>
        <w:tc>
          <w:tcPr>
            <w:tcW w:w="6862" w:type="dxa"/>
            <w:tcBorders>
              <w:right w:val="single" w:color="000000" w:sz="4" w:space="0"/>
            </w:tcBorders>
            <w:vAlign w:val="top"/>
          </w:tcPr>
          <w:p w14:paraId="6E5DEE11">
            <w:pPr>
              <w:pStyle w:val="7"/>
              <w:spacing w:before="109" w:line="217" w:lineRule="auto"/>
              <w:ind w:left="65"/>
            </w:pPr>
            <w:r>
              <w:rPr>
                <w:spacing w:val="-22"/>
              </w:rPr>
              <w:t>做好场地供电和给水系统，搭建临设。施工现场应做好临时施工环行道</w:t>
            </w:r>
          </w:p>
          <w:p w14:paraId="06F9492E">
            <w:pPr>
              <w:pStyle w:val="7"/>
              <w:spacing w:before="183" w:line="216" w:lineRule="auto"/>
              <w:ind w:left="1578"/>
            </w:pPr>
            <w:r>
              <w:rPr>
                <w:spacing w:val="-22"/>
              </w:rPr>
              <w:t>路；材料的堆放场地必须平整及硬化。</w:t>
            </w:r>
          </w:p>
        </w:tc>
      </w:tr>
      <w:tr w14:paraId="7FEF90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5" w:hRule="atLeast"/>
        </w:trPr>
        <w:tc>
          <w:tcPr>
            <w:tcW w:w="427" w:type="dxa"/>
            <w:tcBorders>
              <w:left w:val="single" w:color="1C456A" w:sz="4" w:space="0"/>
              <w:bottom w:val="single" w:color="1C456A" w:sz="4" w:space="0"/>
              <w:right w:val="nil"/>
            </w:tcBorders>
            <w:vAlign w:val="top"/>
          </w:tcPr>
          <w:p w14:paraId="6D83BFA9">
            <w:pPr>
              <w:rPr>
                <w:rFonts w:ascii="Arial"/>
                <w:sz w:val="21"/>
              </w:rPr>
            </w:pPr>
            <w:r>
              <w:pict>
                <v:shape id="_x0000_s3837" o:spid="_x0000_s3837" style="position:absolute;left:0pt;margin-left:-0.25pt;margin-top:54.8pt;height:0.75pt;width:2.2pt;mso-position-horizontal-relative:page;mso-position-vertical-relative:page;z-index:252234752;mso-width-relative:page;mso-height-relative:page;" fillcolor="#5B9BD5" filled="t" stroked="f" coordsize="44,15" path="m0,14l43,14,43,0,0,0,0,14xe">
                  <v:path/>
                  <v:fill on="t" focussize="0,0"/>
                  <v:stroke on="f"/>
                  <v:imagedata o:title=""/>
                  <o:lock v:ext="edit"/>
                </v:shape>
              </w:pict>
            </w:r>
          </w:p>
        </w:tc>
        <w:tc>
          <w:tcPr>
            <w:tcW w:w="1263" w:type="dxa"/>
            <w:tcBorders>
              <w:left w:val="nil"/>
              <w:bottom w:val="single" w:color="1C456A" w:sz="4" w:space="0"/>
            </w:tcBorders>
            <w:vAlign w:val="top"/>
          </w:tcPr>
          <w:p w14:paraId="65C09FCB">
            <w:pPr>
              <w:spacing w:line="260" w:lineRule="auto"/>
              <w:rPr>
                <w:rFonts w:ascii="Arial"/>
                <w:sz w:val="21"/>
              </w:rPr>
            </w:pPr>
          </w:p>
          <w:p w14:paraId="22DDE748">
            <w:pPr>
              <w:pStyle w:val="7"/>
              <w:spacing w:before="78" w:line="237" w:lineRule="auto"/>
              <w:ind w:left="379"/>
            </w:pPr>
            <w:r>
              <w:t>6</w:t>
            </w:r>
          </w:p>
        </w:tc>
        <w:tc>
          <w:tcPr>
            <w:tcW w:w="6862" w:type="dxa"/>
            <w:tcBorders>
              <w:bottom w:val="single" w:color="5B9BD5" w:sz="4" w:space="0"/>
              <w:right w:val="single" w:color="5B9BD5" w:sz="4" w:space="0"/>
            </w:tcBorders>
            <w:vAlign w:val="top"/>
          </w:tcPr>
          <w:p w14:paraId="7936924C">
            <w:pPr>
              <w:pStyle w:val="7"/>
              <w:spacing w:before="107" w:line="214" w:lineRule="auto"/>
              <w:jc w:val="right"/>
            </w:pPr>
            <w:r>
              <w:rPr>
                <w:spacing w:val="-28"/>
              </w:rPr>
              <w:t>施工机械、设备、周转材料提前进场。进场前对各种机械设备进行检修，</w:t>
            </w:r>
          </w:p>
          <w:p w14:paraId="4872877A">
            <w:pPr>
              <w:pStyle w:val="7"/>
              <w:spacing w:before="186" w:line="217" w:lineRule="auto"/>
              <w:ind w:left="817"/>
            </w:pPr>
            <w:r>
              <w:rPr>
                <w:spacing w:val="-21"/>
              </w:rPr>
              <w:t>建立现场仓库机具管理体系，确保机械设备的完好率。</w:t>
            </w:r>
          </w:p>
        </w:tc>
      </w:tr>
    </w:tbl>
    <w:p w14:paraId="0FB419D5">
      <w:pPr>
        <w:pStyle w:val="2"/>
        <w:spacing w:before="115" w:line="217" w:lineRule="auto"/>
        <w:ind w:left="1890"/>
        <w:rPr>
          <w:sz w:val="24"/>
          <w:szCs w:val="24"/>
        </w:rPr>
      </w:pPr>
      <w:r>
        <w:rPr>
          <w:spacing w:val="-19"/>
          <w:sz w:val="24"/>
          <w:szCs w:val="24"/>
        </w:rPr>
        <w:t>3、施工用电、水容量计算</w:t>
      </w:r>
    </w:p>
    <w:p w14:paraId="0C892F9F">
      <w:pPr>
        <w:spacing w:line="29" w:lineRule="auto"/>
        <w:rPr>
          <w:rFonts w:ascii="Arial"/>
          <w:sz w:val="2"/>
        </w:rPr>
      </w:pPr>
    </w:p>
    <w:tbl>
      <w:tblPr>
        <w:tblStyle w:val="6"/>
        <w:tblW w:w="8552" w:type="dxa"/>
        <w:tblInd w:w="167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88"/>
        <w:gridCol w:w="825"/>
        <w:gridCol w:w="1578"/>
        <w:gridCol w:w="5861"/>
      </w:tblGrid>
      <w:tr w14:paraId="1E0277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0" w:hRule="atLeast"/>
        </w:trPr>
        <w:tc>
          <w:tcPr>
            <w:tcW w:w="1113" w:type="dxa"/>
            <w:gridSpan w:val="2"/>
            <w:tcBorders>
              <w:top w:val="single" w:color="000000" w:sz="4" w:space="0"/>
              <w:left w:val="single" w:color="000000" w:sz="4" w:space="0"/>
            </w:tcBorders>
            <w:shd w:val="clear" w:color="auto" w:fill="DEEAF6"/>
            <w:vAlign w:val="top"/>
          </w:tcPr>
          <w:p w14:paraId="21662C56">
            <w:pPr>
              <w:spacing w:before="33" w:line="60" w:lineRule="exact"/>
              <w:ind w:firstLine="33"/>
            </w:pPr>
            <w:r>
              <w:pict>
                <v:shape id="_x0000_s3838" o:spid="_x0000_s3838" style="position:absolute;left:0pt;margin-left:-0.2pt;margin-top:0pt;height:0.75pt;width:2.2pt;mso-position-horizontal-relative:page;mso-position-vertical-relative:page;z-index:252233728;mso-width-relative:page;mso-height-relative:page;" fillcolor="#5B9BD5" filled="t" stroked="f" coordsize="44,15" path="m0,14l43,14,43,0,0,0,0,14xe">
                  <v:path/>
                  <v:fill on="t" focussize="0,0"/>
                  <v:stroke on="f"/>
                  <v:imagedata o:title=""/>
                  <o:lock v:ext="edit"/>
                </v:shape>
              </w:pict>
            </w:r>
            <w:r>
              <w:rPr>
                <w:position w:val="-1"/>
              </w:rPr>
              <w:pict>
                <v:shape id="_x0000_s3839" o:spid="_x0000_s3839" style="height:3pt;width:52.8pt;" fillcolor="#DEEAF6" filled="t" stroked="f" coordsize="1055,60" path="m0,60l1055,60,1055,0,0,0,0,60xe">
                  <v:path/>
                  <v:fill on="t" focussize="0,0"/>
                  <v:stroke on="f"/>
                  <v:imagedata o:title=""/>
                  <o:lock v:ext="edit"/>
                  <w10:wrap type="none"/>
                  <w10:anchorlock/>
                </v:shape>
              </w:pict>
            </w:r>
          </w:p>
          <w:p w14:paraId="57724A49">
            <w:pPr>
              <w:pStyle w:val="7"/>
              <w:spacing w:before="33" w:line="218" w:lineRule="auto"/>
              <w:ind w:left="348"/>
            </w:pPr>
            <w:r>
              <w:rPr>
                <w:b/>
                <w:bCs/>
                <w:spacing w:val="-12"/>
              </w:rPr>
              <w:t>序号</w:t>
            </w:r>
          </w:p>
          <w:p w14:paraId="49E0C79E">
            <w:pPr>
              <w:spacing w:before="148" w:line="51" w:lineRule="exact"/>
              <w:ind w:firstLine="11"/>
            </w:pPr>
            <w:r>
              <w:rPr>
                <w:position w:val="-1"/>
              </w:rPr>
              <w:pict>
                <v:shape id="_x0000_s3840" o:spid="_x0000_s3840" style="height:2.9pt;width:54.15pt;" fillcolor="#DEEAF6" filled="t" stroked="f" coordsize="1083,58" path="m0,57l1082,57,1082,0,0,0,0,57xe">
                  <v:path/>
                  <v:fill on="t" focussize="0,0"/>
                  <v:stroke on="f"/>
                  <v:imagedata o:title=""/>
                  <o:lock v:ext="edit"/>
                  <w10:wrap type="none"/>
                  <w10:anchorlock/>
                </v:shape>
              </w:pict>
            </w:r>
          </w:p>
        </w:tc>
        <w:tc>
          <w:tcPr>
            <w:tcW w:w="1578" w:type="dxa"/>
            <w:tcBorders>
              <w:top w:val="single" w:color="000000" w:sz="4" w:space="0"/>
            </w:tcBorders>
            <w:shd w:val="clear" w:color="auto" w:fill="DEEAF6"/>
            <w:vAlign w:val="top"/>
          </w:tcPr>
          <w:p w14:paraId="3805F5CA">
            <w:pPr>
              <w:pStyle w:val="7"/>
              <w:spacing w:before="127" w:line="220" w:lineRule="auto"/>
              <w:ind w:left="573"/>
            </w:pPr>
            <w:r>
              <w:rPr>
                <w:b/>
                <w:bCs/>
                <w:spacing w:val="-14"/>
              </w:rPr>
              <w:t>方法</w:t>
            </w:r>
          </w:p>
        </w:tc>
        <w:tc>
          <w:tcPr>
            <w:tcW w:w="5861" w:type="dxa"/>
            <w:tcBorders>
              <w:top w:val="single" w:color="5B9BD5" w:sz="4" w:space="0"/>
              <w:right w:val="single" w:color="5B9BD5" w:sz="4" w:space="0"/>
            </w:tcBorders>
            <w:shd w:val="clear" w:color="auto" w:fill="DEEAF6"/>
            <w:vAlign w:val="top"/>
          </w:tcPr>
          <w:p w14:paraId="65A474F9">
            <w:pPr>
              <w:pStyle w:val="7"/>
              <w:spacing w:before="127" w:line="218" w:lineRule="auto"/>
              <w:ind w:left="2737"/>
            </w:pPr>
            <w:r>
              <w:rPr>
                <w:b/>
                <w:bCs/>
                <w:spacing w:val="-20"/>
              </w:rPr>
              <w:t>内容</w:t>
            </w:r>
          </w:p>
        </w:tc>
      </w:tr>
      <w:tr w14:paraId="7B2724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85" w:hRule="atLeast"/>
        </w:trPr>
        <w:tc>
          <w:tcPr>
            <w:tcW w:w="288" w:type="dxa"/>
            <w:tcBorders>
              <w:left w:val="single" w:color="1C456A" w:sz="4" w:space="0"/>
              <w:bottom w:val="single" w:color="1C456A" w:sz="4" w:space="0"/>
              <w:right w:val="nil"/>
            </w:tcBorders>
            <w:vAlign w:val="top"/>
          </w:tcPr>
          <w:p w14:paraId="2361E75C">
            <w:pPr>
              <w:rPr>
                <w:rFonts w:ascii="Arial"/>
                <w:sz w:val="21"/>
              </w:rPr>
            </w:pPr>
            <w:r>
              <w:pict>
                <v:shape id="_x0000_s3841" o:spid="_x0000_s3841" style="position:absolute;left:0pt;margin-left:-0.25pt;margin-top:264.3pt;height:0.75pt;width:2.2pt;mso-position-horizontal-relative:page;mso-position-vertical-relative:page;z-index:252232704;mso-width-relative:page;mso-height-relative:page;" fillcolor="#5B9BD5" filled="t" stroked="f" coordsize="44,15" path="m0,14l43,14,43,0,0,0,0,14xe">
                  <v:path/>
                  <v:fill on="t" focussize="0,0"/>
                  <v:stroke on="f"/>
                  <v:imagedata o:title=""/>
                  <o:lock v:ext="edit"/>
                </v:shape>
              </w:pict>
            </w:r>
          </w:p>
        </w:tc>
        <w:tc>
          <w:tcPr>
            <w:tcW w:w="825" w:type="dxa"/>
            <w:tcBorders>
              <w:left w:val="nil"/>
              <w:bottom w:val="single" w:color="1C456A" w:sz="4" w:space="0"/>
            </w:tcBorders>
            <w:vAlign w:val="top"/>
          </w:tcPr>
          <w:p w14:paraId="41501EB7">
            <w:pPr>
              <w:spacing w:line="259" w:lineRule="auto"/>
              <w:rPr>
                <w:rFonts w:ascii="Arial"/>
                <w:sz w:val="21"/>
              </w:rPr>
            </w:pPr>
          </w:p>
          <w:p w14:paraId="47811497">
            <w:pPr>
              <w:spacing w:line="259" w:lineRule="auto"/>
              <w:rPr>
                <w:rFonts w:ascii="Arial"/>
                <w:sz w:val="21"/>
              </w:rPr>
            </w:pPr>
          </w:p>
          <w:p w14:paraId="53C5CED0">
            <w:pPr>
              <w:spacing w:line="259" w:lineRule="auto"/>
              <w:rPr>
                <w:rFonts w:ascii="Arial"/>
                <w:sz w:val="21"/>
              </w:rPr>
            </w:pPr>
          </w:p>
          <w:p w14:paraId="08EC4775">
            <w:pPr>
              <w:spacing w:line="259" w:lineRule="auto"/>
              <w:rPr>
                <w:rFonts w:ascii="Arial"/>
                <w:sz w:val="21"/>
              </w:rPr>
            </w:pPr>
          </w:p>
          <w:p w14:paraId="0937F73F">
            <w:pPr>
              <w:spacing w:line="260" w:lineRule="auto"/>
              <w:rPr>
                <w:rFonts w:ascii="Arial"/>
                <w:sz w:val="21"/>
              </w:rPr>
            </w:pPr>
          </w:p>
          <w:p w14:paraId="1051F750">
            <w:pPr>
              <w:spacing w:line="260" w:lineRule="auto"/>
              <w:rPr>
                <w:rFonts w:ascii="Arial"/>
                <w:sz w:val="21"/>
              </w:rPr>
            </w:pPr>
          </w:p>
          <w:p w14:paraId="5F26ED80">
            <w:pPr>
              <w:spacing w:line="260" w:lineRule="auto"/>
              <w:rPr>
                <w:rFonts w:ascii="Arial"/>
                <w:sz w:val="21"/>
              </w:rPr>
            </w:pPr>
          </w:p>
          <w:p w14:paraId="68E3E1E0">
            <w:pPr>
              <w:spacing w:line="260" w:lineRule="auto"/>
              <w:rPr>
                <w:rFonts w:ascii="Arial"/>
                <w:sz w:val="21"/>
              </w:rPr>
            </w:pPr>
          </w:p>
          <w:p w14:paraId="6C1B3261">
            <w:pPr>
              <w:spacing w:line="260" w:lineRule="auto"/>
              <w:rPr>
                <w:rFonts w:ascii="Arial"/>
                <w:sz w:val="21"/>
              </w:rPr>
            </w:pPr>
          </w:p>
          <w:p w14:paraId="39AB61E0">
            <w:pPr>
              <w:pStyle w:val="7"/>
              <w:spacing w:before="78" w:line="238" w:lineRule="auto"/>
              <w:ind w:left="241"/>
            </w:pPr>
            <w:r>
              <w:t>1</w:t>
            </w:r>
          </w:p>
        </w:tc>
        <w:tc>
          <w:tcPr>
            <w:tcW w:w="1578" w:type="dxa"/>
            <w:tcBorders>
              <w:bottom w:val="single" w:color="000000" w:sz="4" w:space="0"/>
            </w:tcBorders>
            <w:vAlign w:val="top"/>
          </w:tcPr>
          <w:p w14:paraId="38C980D5">
            <w:pPr>
              <w:spacing w:line="259" w:lineRule="auto"/>
              <w:rPr>
                <w:rFonts w:ascii="Arial"/>
                <w:sz w:val="21"/>
              </w:rPr>
            </w:pPr>
          </w:p>
          <w:p w14:paraId="52624189">
            <w:pPr>
              <w:spacing w:line="259" w:lineRule="auto"/>
              <w:rPr>
                <w:rFonts w:ascii="Arial"/>
                <w:sz w:val="21"/>
              </w:rPr>
            </w:pPr>
          </w:p>
          <w:p w14:paraId="2C7B27B2">
            <w:pPr>
              <w:spacing w:line="259" w:lineRule="auto"/>
              <w:rPr>
                <w:rFonts w:ascii="Arial"/>
                <w:sz w:val="21"/>
              </w:rPr>
            </w:pPr>
          </w:p>
          <w:p w14:paraId="573F64A9">
            <w:pPr>
              <w:spacing w:line="259" w:lineRule="auto"/>
              <w:rPr>
                <w:rFonts w:ascii="Arial"/>
                <w:sz w:val="21"/>
              </w:rPr>
            </w:pPr>
          </w:p>
          <w:p w14:paraId="60DF2A74">
            <w:pPr>
              <w:spacing w:line="259" w:lineRule="auto"/>
              <w:rPr>
                <w:rFonts w:ascii="Arial"/>
                <w:sz w:val="21"/>
              </w:rPr>
            </w:pPr>
          </w:p>
          <w:p w14:paraId="6C185C21">
            <w:pPr>
              <w:spacing w:line="260" w:lineRule="auto"/>
              <w:rPr>
                <w:rFonts w:ascii="Arial"/>
                <w:sz w:val="21"/>
              </w:rPr>
            </w:pPr>
          </w:p>
          <w:p w14:paraId="4F7C5BFE">
            <w:pPr>
              <w:spacing w:line="260" w:lineRule="auto"/>
              <w:rPr>
                <w:rFonts w:ascii="Arial"/>
                <w:sz w:val="21"/>
              </w:rPr>
            </w:pPr>
          </w:p>
          <w:p w14:paraId="35BD1153">
            <w:pPr>
              <w:spacing w:line="260" w:lineRule="auto"/>
              <w:rPr>
                <w:rFonts w:ascii="Arial"/>
                <w:sz w:val="21"/>
              </w:rPr>
            </w:pPr>
          </w:p>
          <w:p w14:paraId="7DAAF262">
            <w:pPr>
              <w:spacing w:line="260" w:lineRule="auto"/>
              <w:rPr>
                <w:rFonts w:ascii="Arial"/>
                <w:sz w:val="21"/>
              </w:rPr>
            </w:pPr>
          </w:p>
          <w:p w14:paraId="5E80EBA1">
            <w:pPr>
              <w:pStyle w:val="7"/>
              <w:spacing w:before="78" w:line="219" w:lineRule="auto"/>
              <w:ind w:left="353"/>
            </w:pPr>
            <w:r>
              <w:rPr>
                <w:spacing w:val="-17"/>
              </w:rPr>
              <w:t>配电方案</w:t>
            </w:r>
          </w:p>
        </w:tc>
        <w:tc>
          <w:tcPr>
            <w:tcW w:w="5861" w:type="dxa"/>
            <w:tcBorders>
              <w:bottom w:val="single" w:color="5B9BD5" w:sz="4" w:space="0"/>
              <w:right w:val="single" w:color="5B9BD5" w:sz="4" w:space="0"/>
            </w:tcBorders>
            <w:vAlign w:val="top"/>
          </w:tcPr>
          <w:p w14:paraId="63DCEFAF">
            <w:pPr>
              <w:pStyle w:val="7"/>
              <w:spacing w:before="94" w:line="218" w:lineRule="auto"/>
              <w:ind w:left="93"/>
            </w:pPr>
            <w:r>
              <w:rPr>
                <w:spacing w:val="-21"/>
              </w:rPr>
              <w:t>现场用电由业主提供的变配电间接入，可以满足施工需求。</w:t>
            </w:r>
          </w:p>
          <w:p w14:paraId="485AADED">
            <w:pPr>
              <w:pStyle w:val="7"/>
              <w:spacing w:before="181" w:line="216" w:lineRule="auto"/>
              <w:ind w:left="528"/>
            </w:pPr>
            <w:r>
              <w:rPr>
                <w:spacing w:val="-21"/>
              </w:rPr>
              <w:t>施工用电线路沿道路架设，具体详见施工场布图。</w:t>
            </w:r>
          </w:p>
          <w:p w14:paraId="3FEAA066">
            <w:pPr>
              <w:pStyle w:val="7"/>
              <w:spacing w:before="187" w:line="218" w:lineRule="auto"/>
              <w:ind w:left="93"/>
            </w:pPr>
            <w:r>
              <w:rPr>
                <w:spacing w:val="-22"/>
              </w:rPr>
              <w:t>施工生产、生活用电分开。现场设生活用电、机具用电、楼</w:t>
            </w:r>
          </w:p>
          <w:p w14:paraId="71ED6085">
            <w:pPr>
              <w:pStyle w:val="7"/>
              <w:spacing w:before="182" w:line="215" w:lineRule="auto"/>
              <w:ind w:left="641"/>
            </w:pPr>
            <w:r>
              <w:rPr>
                <w:spacing w:val="-22"/>
              </w:rPr>
              <w:t>层用电、加工车间用电、机动用电共五条线路。</w:t>
            </w:r>
          </w:p>
          <w:p w14:paraId="0175E98C">
            <w:pPr>
              <w:pStyle w:val="7"/>
              <w:spacing w:before="188" w:line="216" w:lineRule="auto"/>
              <w:ind w:left="108"/>
            </w:pPr>
            <w:r>
              <w:rPr>
                <w:spacing w:val="-22"/>
              </w:rPr>
              <w:t>生活用电能满足照明、空调、电脑等需求为标准，并确保进</w:t>
            </w:r>
          </w:p>
          <w:p w14:paraId="3DB9B5A8">
            <w:pPr>
              <w:pStyle w:val="7"/>
              <w:spacing w:before="185" w:line="217" w:lineRule="auto"/>
              <w:ind w:left="422"/>
            </w:pPr>
            <w:r>
              <w:rPr>
                <w:spacing w:val="-21"/>
              </w:rPr>
              <w:t>产前统一进行线路管理，采取有效的安全防护措施。</w:t>
            </w:r>
          </w:p>
          <w:p w14:paraId="1FA4EA2E">
            <w:pPr>
              <w:pStyle w:val="7"/>
              <w:spacing w:before="187" w:line="217" w:lineRule="auto"/>
              <w:ind w:left="93"/>
            </w:pPr>
            <w:r>
              <w:rPr>
                <w:spacing w:val="-21"/>
              </w:rPr>
              <w:t>施工用电采用三相五线制配线。用电主线路使用五芯电缆，</w:t>
            </w:r>
          </w:p>
          <w:p w14:paraId="1CFD3788">
            <w:pPr>
              <w:pStyle w:val="7"/>
              <w:spacing w:before="183" w:line="217" w:lineRule="auto"/>
              <w:ind w:left="94"/>
            </w:pPr>
            <w:r>
              <w:rPr>
                <w:spacing w:val="-21"/>
              </w:rPr>
              <w:t>入地敷设。现场设置安全总配电箱一只，按线路接出要求设</w:t>
            </w:r>
          </w:p>
          <w:p w14:paraId="3DCA6705">
            <w:pPr>
              <w:pStyle w:val="7"/>
              <w:spacing w:before="186" w:line="217" w:lineRule="auto"/>
              <w:ind w:left="57"/>
            </w:pPr>
            <w:r>
              <w:rPr>
                <w:spacing w:val="-22"/>
              </w:rPr>
              <w:t>置分配电箱。另备手提式安全配电箱10只。分配电箱、开关</w:t>
            </w:r>
          </w:p>
          <w:p w14:paraId="49A056FD">
            <w:pPr>
              <w:pStyle w:val="7"/>
              <w:spacing w:before="183" w:line="217" w:lineRule="auto"/>
              <w:ind w:left="99"/>
            </w:pPr>
            <w:r>
              <w:rPr>
                <w:spacing w:val="-21"/>
              </w:rPr>
              <w:t>箱按三级配电两级保护的要求配置。进场后需编制</w:t>
            </w:r>
            <w:r>
              <w:rPr>
                <w:spacing w:val="-22"/>
              </w:rPr>
              <w:t>专项用电</w:t>
            </w:r>
          </w:p>
          <w:p w14:paraId="0C7F175D">
            <w:pPr>
              <w:pStyle w:val="7"/>
              <w:spacing w:before="186" w:line="217" w:lineRule="auto"/>
              <w:ind w:left="971"/>
            </w:pPr>
            <w:r>
              <w:rPr>
                <w:spacing w:val="-21"/>
              </w:rPr>
              <w:t>方案做好防护措施，确保用电安全可靠。</w:t>
            </w:r>
          </w:p>
        </w:tc>
      </w:tr>
    </w:tbl>
    <w:p w14:paraId="26A365F8">
      <w:pPr>
        <w:rPr>
          <w:rFonts w:ascii="Arial"/>
          <w:sz w:val="21"/>
        </w:rPr>
      </w:pPr>
    </w:p>
    <w:p w14:paraId="435A274F">
      <w:pPr>
        <w:rPr>
          <w:rFonts w:ascii="Arial" w:hAnsi="Arial" w:eastAsia="Arial" w:cs="Arial"/>
          <w:sz w:val="21"/>
          <w:szCs w:val="21"/>
        </w:rPr>
        <w:sectPr>
          <w:footerReference r:id="rId302" w:type="default"/>
          <w:pgSz w:w="11907" w:h="16839"/>
          <w:pgMar w:top="933" w:right="4" w:bottom="1038" w:left="0" w:header="478" w:footer="357" w:gutter="0"/>
          <w:pgBorders>
            <w:top w:val="none" w:sz="0" w:space="0"/>
            <w:left w:val="none" w:sz="0" w:space="0"/>
            <w:bottom w:val="none" w:sz="0" w:space="0"/>
            <w:right w:val="none" w:sz="0" w:space="0"/>
          </w:pgBorders>
          <w:cols w:space="720" w:num="1"/>
        </w:sectPr>
      </w:pPr>
    </w:p>
    <w:p w14:paraId="6439F619">
      <w:pPr>
        <w:spacing w:line="235" w:lineRule="exact"/>
      </w:pPr>
    </w:p>
    <w:tbl>
      <w:tblPr>
        <w:tblStyle w:val="6"/>
        <w:tblW w:w="8552" w:type="dxa"/>
        <w:tblInd w:w="1678" w:type="dxa"/>
        <w:tblBorders>
          <w:top w:val="single" w:color="5B9BD5" w:sz="4" w:space="0"/>
          <w:left w:val="single" w:color="5B9BD5" w:sz="4" w:space="0"/>
          <w:bottom w:val="single" w:color="5B9BD5" w:sz="4" w:space="0"/>
          <w:right w:val="single" w:color="5B9BD5" w:sz="4" w:space="0"/>
          <w:insideH w:val="single" w:color="5B9BD5" w:sz="4" w:space="0"/>
          <w:insideV w:val="single" w:color="5B9BD5" w:sz="4" w:space="0"/>
        </w:tblBorders>
        <w:tblLayout w:type="fixed"/>
        <w:tblCellMar>
          <w:top w:w="0" w:type="dxa"/>
          <w:left w:w="0" w:type="dxa"/>
          <w:bottom w:w="0" w:type="dxa"/>
          <w:right w:w="0" w:type="dxa"/>
        </w:tblCellMar>
      </w:tblPr>
      <w:tblGrid>
        <w:gridCol w:w="1102"/>
        <w:gridCol w:w="1578"/>
        <w:gridCol w:w="5872"/>
      </w:tblGrid>
      <w:tr w14:paraId="3230E431">
        <w:tblPrEx>
          <w:tblBorders>
            <w:top w:val="single" w:color="5B9BD5" w:sz="4" w:space="0"/>
            <w:left w:val="single" w:color="5B9BD5" w:sz="4" w:space="0"/>
            <w:bottom w:val="single" w:color="5B9BD5" w:sz="4" w:space="0"/>
            <w:right w:val="single" w:color="5B9BD5" w:sz="4" w:space="0"/>
            <w:insideH w:val="single" w:color="5B9BD5" w:sz="4" w:space="0"/>
            <w:insideV w:val="single" w:color="5B9BD5" w:sz="4" w:space="0"/>
          </w:tblBorders>
          <w:tblCellMar>
            <w:top w:w="0" w:type="dxa"/>
            <w:left w:w="0" w:type="dxa"/>
            <w:bottom w:w="0" w:type="dxa"/>
            <w:right w:w="0" w:type="dxa"/>
          </w:tblCellMar>
        </w:tblPrEx>
        <w:trPr>
          <w:trHeight w:val="4387" w:hRule="atLeast"/>
        </w:trPr>
        <w:tc>
          <w:tcPr>
            <w:tcW w:w="1102" w:type="dxa"/>
            <w:tcBorders>
              <w:top w:val="single" w:color="1C456A" w:sz="4" w:space="0"/>
              <w:left w:val="single" w:color="1C456A" w:sz="4" w:space="0"/>
              <w:bottom w:val="single" w:color="1C456A" w:sz="4" w:space="0"/>
              <w:right w:val="single" w:color="000000" w:sz="2" w:space="0"/>
            </w:tcBorders>
            <w:vAlign w:val="top"/>
          </w:tcPr>
          <w:p w14:paraId="70C9BEAA">
            <w:pPr>
              <w:spacing w:line="272" w:lineRule="auto"/>
              <w:rPr>
                <w:rFonts w:ascii="Arial"/>
                <w:sz w:val="21"/>
              </w:rPr>
            </w:pPr>
          </w:p>
          <w:p w14:paraId="1785ED01">
            <w:pPr>
              <w:spacing w:line="272" w:lineRule="auto"/>
              <w:rPr>
                <w:rFonts w:ascii="Arial"/>
                <w:sz w:val="21"/>
              </w:rPr>
            </w:pPr>
          </w:p>
          <w:p w14:paraId="06BA745C">
            <w:pPr>
              <w:spacing w:line="272" w:lineRule="auto"/>
              <w:rPr>
                <w:rFonts w:ascii="Arial"/>
                <w:sz w:val="21"/>
              </w:rPr>
            </w:pPr>
          </w:p>
          <w:p w14:paraId="132DF48A">
            <w:pPr>
              <w:spacing w:line="272" w:lineRule="auto"/>
              <w:rPr>
                <w:rFonts w:ascii="Arial"/>
                <w:sz w:val="21"/>
              </w:rPr>
            </w:pPr>
          </w:p>
          <w:p w14:paraId="407E47E1">
            <w:pPr>
              <w:spacing w:line="273" w:lineRule="auto"/>
              <w:rPr>
                <w:rFonts w:ascii="Arial"/>
                <w:sz w:val="21"/>
              </w:rPr>
            </w:pPr>
          </w:p>
          <w:p w14:paraId="34ABA7E5">
            <w:pPr>
              <w:spacing w:line="273" w:lineRule="auto"/>
              <w:rPr>
                <w:rFonts w:ascii="Arial"/>
                <w:sz w:val="21"/>
              </w:rPr>
            </w:pPr>
          </w:p>
          <w:p w14:paraId="48C6F697">
            <w:pPr>
              <w:spacing w:line="273" w:lineRule="auto"/>
              <w:rPr>
                <w:rFonts w:ascii="Arial"/>
                <w:sz w:val="21"/>
              </w:rPr>
            </w:pPr>
          </w:p>
          <w:p w14:paraId="070CA990">
            <w:pPr>
              <w:pStyle w:val="7"/>
              <w:spacing w:before="78" w:line="238" w:lineRule="auto"/>
              <w:ind w:left="510"/>
            </w:pPr>
            <w:r>
              <w:t>2</w:t>
            </w:r>
          </w:p>
        </w:tc>
        <w:tc>
          <w:tcPr>
            <w:tcW w:w="1578" w:type="dxa"/>
            <w:tcBorders>
              <w:left w:val="single" w:color="000000" w:sz="2" w:space="0"/>
              <w:right w:val="single" w:color="000000" w:sz="2" w:space="0"/>
            </w:tcBorders>
            <w:vAlign w:val="top"/>
          </w:tcPr>
          <w:p w14:paraId="55BC3861">
            <w:pPr>
              <w:spacing w:line="272" w:lineRule="auto"/>
              <w:rPr>
                <w:rFonts w:ascii="Arial"/>
                <w:sz w:val="21"/>
              </w:rPr>
            </w:pPr>
          </w:p>
          <w:p w14:paraId="45FB8EE5">
            <w:pPr>
              <w:spacing w:line="272" w:lineRule="auto"/>
              <w:rPr>
                <w:rFonts w:ascii="Arial"/>
                <w:sz w:val="21"/>
              </w:rPr>
            </w:pPr>
          </w:p>
          <w:p w14:paraId="12C4B3AA">
            <w:pPr>
              <w:spacing w:line="272" w:lineRule="auto"/>
              <w:rPr>
                <w:rFonts w:ascii="Arial"/>
                <w:sz w:val="21"/>
              </w:rPr>
            </w:pPr>
          </w:p>
          <w:p w14:paraId="30769019">
            <w:pPr>
              <w:spacing w:line="272" w:lineRule="auto"/>
              <w:rPr>
                <w:rFonts w:ascii="Arial"/>
                <w:sz w:val="21"/>
              </w:rPr>
            </w:pPr>
          </w:p>
          <w:p w14:paraId="5D227337">
            <w:pPr>
              <w:spacing w:line="273" w:lineRule="auto"/>
              <w:rPr>
                <w:rFonts w:ascii="Arial"/>
                <w:sz w:val="21"/>
              </w:rPr>
            </w:pPr>
          </w:p>
          <w:p w14:paraId="7186F71C">
            <w:pPr>
              <w:spacing w:line="273" w:lineRule="auto"/>
              <w:rPr>
                <w:rFonts w:ascii="Arial"/>
                <w:sz w:val="21"/>
              </w:rPr>
            </w:pPr>
          </w:p>
          <w:p w14:paraId="1E3321A4">
            <w:pPr>
              <w:spacing w:line="273" w:lineRule="auto"/>
              <w:rPr>
                <w:rFonts w:ascii="Arial"/>
                <w:sz w:val="21"/>
              </w:rPr>
            </w:pPr>
          </w:p>
          <w:p w14:paraId="52683BA6">
            <w:pPr>
              <w:pStyle w:val="7"/>
              <w:spacing w:before="78" w:line="219" w:lineRule="auto"/>
              <w:ind w:left="141"/>
            </w:pPr>
            <w:r>
              <w:rPr>
                <w:spacing w:val="-18"/>
              </w:rPr>
              <w:t>施工用水方案</w:t>
            </w:r>
          </w:p>
        </w:tc>
        <w:tc>
          <w:tcPr>
            <w:tcW w:w="5872" w:type="dxa"/>
            <w:tcBorders>
              <w:left w:val="single" w:color="000000" w:sz="2" w:space="0"/>
            </w:tcBorders>
            <w:vAlign w:val="top"/>
          </w:tcPr>
          <w:p w14:paraId="005B0E01">
            <w:pPr>
              <w:pStyle w:val="7"/>
              <w:spacing w:before="129" w:line="216" w:lineRule="auto"/>
              <w:ind w:left="106"/>
            </w:pPr>
            <w:r>
              <w:rPr>
                <w:spacing w:val="-21"/>
              </w:rPr>
              <w:t>根据不同阶段的施工要求，敷设施工临时用水管路，管路布</w:t>
            </w:r>
          </w:p>
          <w:p w14:paraId="6E5556F3">
            <w:pPr>
              <w:pStyle w:val="7"/>
              <w:spacing w:before="185" w:line="216" w:lineRule="auto"/>
              <w:jc w:val="right"/>
            </w:pPr>
            <w:r>
              <w:rPr>
                <w:spacing w:val="-26"/>
              </w:rPr>
              <w:t>置详见施工场布图，水管穿越道路时，应有一定的埋置深度，</w:t>
            </w:r>
          </w:p>
          <w:p w14:paraId="4062F420">
            <w:pPr>
              <w:pStyle w:val="7"/>
              <w:spacing w:before="187" w:line="216" w:lineRule="auto"/>
              <w:ind w:left="216"/>
            </w:pPr>
            <w:r>
              <w:rPr>
                <w:spacing w:val="-21"/>
              </w:rPr>
              <w:t>并穿套管保护，冬季施工外露水管应做好管道保温工作。</w:t>
            </w:r>
          </w:p>
          <w:p w14:paraId="77BDDCD0">
            <w:pPr>
              <w:pStyle w:val="7"/>
              <w:spacing w:before="184" w:line="216" w:lineRule="auto"/>
              <w:ind w:left="104"/>
            </w:pPr>
            <w:r>
              <w:rPr>
                <w:spacing w:val="-21"/>
              </w:rPr>
              <w:t>施工现场管网水平安装按实际需要，可遍布整个施工现场。</w:t>
            </w:r>
          </w:p>
          <w:p w14:paraId="566BE5DC">
            <w:pPr>
              <w:pStyle w:val="7"/>
              <w:spacing w:before="186" w:line="217" w:lineRule="auto"/>
              <w:ind w:left="112"/>
            </w:pPr>
            <w:r>
              <w:rPr>
                <w:spacing w:val="-18"/>
              </w:rPr>
              <w:t>主线路上每隔30m设三通龙头，以方便接水。</w:t>
            </w:r>
            <w:r>
              <w:rPr>
                <w:spacing w:val="-19"/>
              </w:rPr>
              <w:t>建筑物高处水</w:t>
            </w:r>
          </w:p>
          <w:p w14:paraId="2517C02E">
            <w:pPr>
              <w:pStyle w:val="7"/>
              <w:spacing w:before="184" w:line="218" w:lineRule="auto"/>
              <w:ind w:left="1303"/>
            </w:pPr>
            <w:r>
              <w:rPr>
                <w:spacing w:val="-21"/>
              </w:rPr>
              <w:t>平供水采用水平管与橡皮管结合。</w:t>
            </w:r>
          </w:p>
          <w:p w14:paraId="45A57254">
            <w:pPr>
              <w:pStyle w:val="7"/>
              <w:spacing w:before="184" w:line="216" w:lineRule="auto"/>
              <w:ind w:left="106"/>
            </w:pPr>
            <w:r>
              <w:rPr>
                <w:spacing w:val="-21"/>
              </w:rPr>
              <w:t>根据施工要求派专人对用水线路做定期的检查和保养维修。</w:t>
            </w:r>
          </w:p>
          <w:p w14:paraId="572E2536">
            <w:pPr>
              <w:pStyle w:val="7"/>
              <w:spacing w:before="185" w:line="218" w:lineRule="auto"/>
              <w:ind w:left="119"/>
            </w:pPr>
            <w:r>
              <w:rPr>
                <w:spacing w:val="-22"/>
              </w:rPr>
              <w:t>生活用水与施工用水分设管道，所有管道铺设均由专业施工</w:t>
            </w:r>
          </w:p>
          <w:p w14:paraId="21EEF315">
            <w:pPr>
              <w:pStyle w:val="7"/>
              <w:spacing w:before="185" w:line="216" w:lineRule="auto"/>
              <w:ind w:left="980"/>
            </w:pPr>
            <w:r>
              <w:rPr>
                <w:spacing w:val="-21"/>
              </w:rPr>
              <w:t>人员完成，并统一受现场管理人员调配。</w:t>
            </w:r>
          </w:p>
        </w:tc>
      </w:tr>
    </w:tbl>
    <w:p w14:paraId="319FEE4A">
      <w:pPr>
        <w:pStyle w:val="2"/>
        <w:spacing w:before="115" w:line="217" w:lineRule="auto"/>
        <w:ind w:left="1884"/>
        <w:rPr>
          <w:sz w:val="24"/>
          <w:szCs w:val="24"/>
        </w:rPr>
      </w:pPr>
      <w:r>
        <w:rPr>
          <w:spacing w:val="-19"/>
          <w:sz w:val="24"/>
          <w:szCs w:val="24"/>
        </w:rPr>
        <w:t>4、工程定位、水准点的确定</w:t>
      </w:r>
    </w:p>
    <w:p w14:paraId="19EE6107">
      <w:pPr>
        <w:pStyle w:val="2"/>
        <w:spacing w:before="114" w:line="308" w:lineRule="auto"/>
        <w:ind w:left="1456" w:right="1336" w:firstLine="438"/>
        <w:rPr>
          <w:sz w:val="24"/>
          <w:szCs w:val="24"/>
        </w:rPr>
      </w:pPr>
      <w:r>
        <w:rPr>
          <w:spacing w:val="-20"/>
          <w:sz w:val="24"/>
          <w:szCs w:val="24"/>
        </w:rPr>
        <w:t>对业主提供的高程、坐标基准点，按规定办理交接手续，并做好保护措施，建筑物定位由我公司测绘队实施。针对本工程的施工定位情况，拟采用建筑方格网和建筑极坐标法测定设计</w:t>
      </w:r>
      <w:r>
        <w:rPr>
          <w:spacing w:val="-23"/>
          <w:sz w:val="24"/>
          <w:szCs w:val="24"/>
        </w:rPr>
        <w:t>建筑物，定位后再引测龙门板，配合当地规划部门进行定位记录、复核，复核无误</w:t>
      </w:r>
      <w:r>
        <w:rPr>
          <w:spacing w:val="-24"/>
          <w:sz w:val="24"/>
          <w:szCs w:val="24"/>
        </w:rPr>
        <w:t>后方可开工。</w:t>
      </w:r>
    </w:p>
    <w:p w14:paraId="20DD85A6">
      <w:pPr>
        <w:pStyle w:val="2"/>
        <w:spacing w:line="218" w:lineRule="auto"/>
        <w:ind w:left="1890"/>
        <w:rPr>
          <w:sz w:val="24"/>
          <w:szCs w:val="24"/>
        </w:rPr>
      </w:pPr>
      <w:r>
        <w:rPr>
          <w:spacing w:val="-19"/>
          <w:sz w:val="24"/>
          <w:szCs w:val="24"/>
        </w:rPr>
        <w:t>5、现场与周围环境的处理</w:t>
      </w:r>
    </w:p>
    <w:p w14:paraId="79DAA834">
      <w:pPr>
        <w:pStyle w:val="2"/>
        <w:spacing w:before="116" w:line="308" w:lineRule="auto"/>
        <w:ind w:left="1458" w:right="1409" w:firstLine="435"/>
        <w:rPr>
          <w:sz w:val="24"/>
          <w:szCs w:val="24"/>
        </w:rPr>
      </w:pPr>
      <w:r>
        <w:rPr>
          <w:spacing w:val="-20"/>
          <w:sz w:val="24"/>
          <w:szCs w:val="24"/>
        </w:rPr>
        <w:t>根据工程，总平面布置和现场测量，拟建工程周围的环境情况，我公司将切实履行总包管理职责，施工区域附近受施工影响的建筑物、农居点以及管线事先查明，并考虑可能发生的各</w:t>
      </w:r>
      <w:r>
        <w:rPr>
          <w:spacing w:val="-21"/>
          <w:sz w:val="24"/>
          <w:szCs w:val="24"/>
        </w:rPr>
        <w:t>种问题，若发现问题及时采取措施迅速加以解决，防止</w:t>
      </w:r>
      <w:r>
        <w:rPr>
          <w:spacing w:val="-22"/>
          <w:sz w:val="24"/>
          <w:szCs w:val="24"/>
        </w:rPr>
        <w:t>发生意外。</w:t>
      </w:r>
    </w:p>
    <w:p w14:paraId="5E2C4D54">
      <w:pPr>
        <w:pStyle w:val="2"/>
        <w:spacing w:before="1" w:line="218" w:lineRule="auto"/>
        <w:ind w:left="1888"/>
        <w:rPr>
          <w:sz w:val="24"/>
          <w:szCs w:val="24"/>
        </w:rPr>
      </w:pPr>
      <w:r>
        <w:rPr>
          <w:spacing w:val="-16"/>
          <w:sz w:val="24"/>
          <w:szCs w:val="24"/>
        </w:rPr>
        <w:t>2.3施工配合措施</w:t>
      </w:r>
    </w:p>
    <w:p w14:paraId="074D026C">
      <w:pPr>
        <w:pStyle w:val="2"/>
        <w:spacing w:before="119" w:line="307" w:lineRule="auto"/>
        <w:ind w:left="1457" w:right="1410" w:firstLine="436"/>
        <w:rPr>
          <w:sz w:val="24"/>
          <w:szCs w:val="24"/>
        </w:rPr>
      </w:pPr>
      <w:r>
        <w:rPr>
          <w:spacing w:val="-20"/>
          <w:sz w:val="24"/>
          <w:szCs w:val="24"/>
        </w:rPr>
        <w:t>本工程具有占线长、施工周期长、交叉作业等特点。如何有效地对工程实施管理，如何加强施工过程中的管理与协调，对实现工程的质量、工期、安全、成本目标影响很大，因此我们将建立实惠、科学、高效的管理和协调体系，并将“公正、统一、控制、协调、服务”这一原则贯彻于工程的施工过程中。</w:t>
      </w:r>
    </w:p>
    <w:p w14:paraId="78272F46">
      <w:pPr>
        <w:pStyle w:val="2"/>
        <w:spacing w:line="218" w:lineRule="auto"/>
        <w:ind w:left="1903"/>
        <w:rPr>
          <w:sz w:val="24"/>
          <w:szCs w:val="24"/>
        </w:rPr>
      </w:pPr>
      <w:r>
        <w:rPr>
          <w:spacing w:val="-19"/>
          <w:sz w:val="24"/>
          <w:szCs w:val="24"/>
        </w:rPr>
        <w:t>1、与业主的协调</w:t>
      </w:r>
    </w:p>
    <w:p w14:paraId="04D7C570">
      <w:pPr>
        <w:pStyle w:val="2"/>
        <w:spacing w:before="117" w:line="217" w:lineRule="auto"/>
        <w:ind w:left="1893"/>
        <w:rPr>
          <w:sz w:val="24"/>
          <w:szCs w:val="24"/>
        </w:rPr>
      </w:pPr>
      <w:r>
        <w:rPr>
          <w:spacing w:val="-21"/>
          <w:sz w:val="24"/>
          <w:szCs w:val="24"/>
        </w:rPr>
        <w:t>（1）我们将严格执行业主的决议，绝对服从业主的管理。</w:t>
      </w:r>
    </w:p>
    <w:p w14:paraId="58549A54">
      <w:pPr>
        <w:pStyle w:val="2"/>
        <w:spacing w:before="119" w:line="216" w:lineRule="auto"/>
        <w:ind w:left="1893"/>
        <w:rPr>
          <w:sz w:val="24"/>
          <w:szCs w:val="24"/>
        </w:rPr>
      </w:pPr>
      <w:r>
        <w:rPr>
          <w:spacing w:val="-21"/>
          <w:sz w:val="24"/>
          <w:szCs w:val="24"/>
        </w:rPr>
        <w:t>（2）积极配合业主进行场内的施工准备工作，尽最大可能为业主排忧解难。</w:t>
      </w:r>
    </w:p>
    <w:p w14:paraId="358C2CEC">
      <w:pPr>
        <w:pStyle w:val="2"/>
        <w:spacing w:before="116" w:line="278" w:lineRule="auto"/>
        <w:ind w:left="1456" w:right="1295" w:firstLine="436"/>
        <w:rPr>
          <w:sz w:val="24"/>
          <w:szCs w:val="24"/>
        </w:rPr>
      </w:pPr>
      <w:r>
        <w:rPr>
          <w:spacing w:val="-22"/>
          <w:sz w:val="24"/>
          <w:szCs w:val="24"/>
        </w:rPr>
        <w:t>（3）在熟悉图纸的基础上及时准确地编制工程预算书和施工进度计划，提供甲</w:t>
      </w:r>
      <w:r>
        <w:rPr>
          <w:spacing w:val="-23"/>
          <w:sz w:val="24"/>
          <w:szCs w:val="24"/>
        </w:rPr>
        <w:t>供材料清单</w:t>
      </w:r>
      <w:r>
        <w:rPr>
          <w:spacing w:val="-17"/>
          <w:sz w:val="24"/>
          <w:szCs w:val="24"/>
        </w:rPr>
        <w:t>报送业主，并派出具有丰富经验的采供人员密切协助业主进行材料订购的“三比”、“一算”</w:t>
      </w:r>
      <w:r>
        <w:rPr>
          <w:spacing w:val="-22"/>
          <w:sz w:val="24"/>
          <w:szCs w:val="24"/>
        </w:rPr>
        <w:t>等联系工作，使材料采购过程与工程施工过程的衔接。</w:t>
      </w:r>
    </w:p>
    <w:p w14:paraId="0F14F941">
      <w:pPr>
        <w:pStyle w:val="2"/>
        <w:spacing w:before="118" w:line="216" w:lineRule="auto"/>
        <w:ind w:left="1893"/>
        <w:rPr>
          <w:sz w:val="24"/>
          <w:szCs w:val="24"/>
        </w:rPr>
      </w:pPr>
      <w:r>
        <w:rPr>
          <w:spacing w:val="-21"/>
          <w:sz w:val="24"/>
          <w:szCs w:val="24"/>
        </w:rPr>
        <w:t>（4）密切配合业主进行设备、材料的交接和检验工</w:t>
      </w:r>
      <w:r>
        <w:rPr>
          <w:spacing w:val="-22"/>
          <w:sz w:val="24"/>
          <w:szCs w:val="24"/>
        </w:rPr>
        <w:t>作。</w:t>
      </w:r>
    </w:p>
    <w:p w14:paraId="03F9D767">
      <w:pPr>
        <w:pStyle w:val="2"/>
        <w:spacing w:before="120" w:line="262" w:lineRule="auto"/>
        <w:ind w:left="1456" w:right="1437" w:firstLine="436"/>
        <w:rPr>
          <w:sz w:val="24"/>
          <w:szCs w:val="24"/>
        </w:rPr>
      </w:pPr>
      <w:r>
        <w:rPr>
          <w:spacing w:val="-23"/>
          <w:sz w:val="24"/>
          <w:szCs w:val="24"/>
        </w:rPr>
        <w:t>（5）积极配合业主进行工程修改、方案确定、技术论证，从业主的角度出发，提出材料代</w:t>
      </w:r>
      <w:r>
        <w:rPr>
          <w:spacing w:val="-21"/>
          <w:sz w:val="24"/>
          <w:szCs w:val="24"/>
        </w:rPr>
        <w:t>用建议，并进行合理的经济分析，直到业主满意为止，同时</w:t>
      </w:r>
      <w:r>
        <w:rPr>
          <w:spacing w:val="-22"/>
          <w:sz w:val="24"/>
          <w:szCs w:val="24"/>
        </w:rPr>
        <w:t>绝不借故小修小改拖延工期。</w:t>
      </w:r>
    </w:p>
    <w:p w14:paraId="74976BEA">
      <w:pPr>
        <w:pStyle w:val="2"/>
        <w:spacing w:before="119" w:line="262" w:lineRule="auto"/>
        <w:ind w:left="1455" w:right="1412" w:firstLine="437"/>
        <w:rPr>
          <w:sz w:val="24"/>
          <w:szCs w:val="24"/>
        </w:rPr>
      </w:pPr>
      <w:r>
        <w:rPr>
          <w:spacing w:val="-22"/>
          <w:sz w:val="24"/>
          <w:szCs w:val="24"/>
        </w:rPr>
        <w:t>（6）如果发生工程进度滞后于计划进度的情况，我们将积极组织新的施工资源</w:t>
      </w:r>
      <w:r>
        <w:rPr>
          <w:spacing w:val="-23"/>
          <w:sz w:val="24"/>
          <w:szCs w:val="24"/>
        </w:rPr>
        <w:t>进场并实行</w:t>
      </w:r>
      <w:r>
        <w:rPr>
          <w:spacing w:val="-22"/>
          <w:sz w:val="24"/>
          <w:szCs w:val="24"/>
        </w:rPr>
        <w:t>加班、加点等赶工措施，确保工程按期竣工。</w:t>
      </w:r>
    </w:p>
    <w:p w14:paraId="1634E314">
      <w:pPr>
        <w:pStyle w:val="2"/>
        <w:spacing w:before="120" w:line="215" w:lineRule="auto"/>
        <w:ind w:left="1893"/>
        <w:rPr>
          <w:sz w:val="24"/>
          <w:szCs w:val="24"/>
        </w:rPr>
      </w:pPr>
      <w:r>
        <w:rPr>
          <w:spacing w:val="-22"/>
          <w:sz w:val="24"/>
          <w:szCs w:val="24"/>
        </w:rPr>
        <w:t>（7）工程施工中，我们将至始至终站在业主的立场上，切实从使用舒适、操作方便、便于</w:t>
      </w:r>
    </w:p>
    <w:p w14:paraId="3275AC52">
      <w:pPr>
        <w:spacing w:line="215" w:lineRule="auto"/>
        <w:rPr>
          <w:sz w:val="24"/>
          <w:szCs w:val="24"/>
        </w:rPr>
        <w:sectPr>
          <w:footerReference r:id="rId303" w:type="default"/>
          <w:pgSz w:w="11907" w:h="16839"/>
          <w:pgMar w:top="933" w:right="4" w:bottom="1038" w:left="0" w:header="478" w:footer="357" w:gutter="0"/>
          <w:pgBorders>
            <w:top w:val="none" w:sz="0" w:space="0"/>
            <w:left w:val="none" w:sz="0" w:space="0"/>
            <w:bottom w:val="none" w:sz="0" w:space="0"/>
            <w:right w:val="none" w:sz="0" w:space="0"/>
          </w:pgBorders>
          <w:cols w:space="720" w:num="1"/>
        </w:sectPr>
      </w:pPr>
    </w:p>
    <w:p w14:paraId="2374A9B5">
      <w:pPr>
        <w:spacing w:line="271" w:lineRule="auto"/>
        <w:rPr>
          <w:rFonts w:ascii="Arial"/>
          <w:sz w:val="21"/>
        </w:rPr>
      </w:pPr>
    </w:p>
    <w:p w14:paraId="62BE6906">
      <w:pPr>
        <w:pStyle w:val="2"/>
        <w:spacing w:before="78" w:line="217" w:lineRule="auto"/>
        <w:ind w:left="1461"/>
        <w:rPr>
          <w:sz w:val="24"/>
          <w:szCs w:val="24"/>
        </w:rPr>
      </w:pPr>
      <w:r>
        <w:rPr>
          <w:spacing w:val="-21"/>
          <w:sz w:val="24"/>
          <w:szCs w:val="24"/>
        </w:rPr>
        <w:t>维修的角度进行施工，为业主提供最好的服务。</w:t>
      </w:r>
    </w:p>
    <w:p w14:paraId="60FE13CD">
      <w:pPr>
        <w:pStyle w:val="2"/>
        <w:spacing w:before="120" w:line="307" w:lineRule="auto"/>
        <w:ind w:left="1458" w:right="1410" w:firstLine="434"/>
        <w:rPr>
          <w:sz w:val="24"/>
          <w:szCs w:val="24"/>
        </w:rPr>
      </w:pPr>
      <w:r>
        <w:rPr>
          <w:spacing w:val="-22"/>
          <w:sz w:val="24"/>
          <w:szCs w:val="24"/>
        </w:rPr>
        <w:t>（8）积极做好文明施工工作，争创文明工地，从施工阶段就树立起标志性的形象，</w:t>
      </w:r>
      <w:r>
        <w:rPr>
          <w:spacing w:val="-23"/>
          <w:sz w:val="24"/>
          <w:szCs w:val="24"/>
        </w:rPr>
        <w:t>为业主</w:t>
      </w:r>
      <w:r>
        <w:rPr>
          <w:spacing w:val="-21"/>
          <w:sz w:val="24"/>
          <w:szCs w:val="24"/>
        </w:rPr>
        <w:t>争光。</w:t>
      </w:r>
    </w:p>
    <w:p w14:paraId="737FA352">
      <w:pPr>
        <w:pStyle w:val="2"/>
        <w:spacing w:line="216" w:lineRule="auto"/>
        <w:ind w:left="1888"/>
        <w:rPr>
          <w:sz w:val="24"/>
          <w:szCs w:val="24"/>
        </w:rPr>
      </w:pPr>
      <w:r>
        <w:rPr>
          <w:spacing w:val="-19"/>
          <w:sz w:val="24"/>
          <w:szCs w:val="24"/>
        </w:rPr>
        <w:t>2、与设计单位的配合措施</w:t>
      </w:r>
    </w:p>
    <w:p w14:paraId="320A0DB4">
      <w:pPr>
        <w:pStyle w:val="2"/>
        <w:spacing w:before="119" w:line="307" w:lineRule="auto"/>
        <w:ind w:left="1459" w:right="1459" w:firstLine="433"/>
        <w:rPr>
          <w:sz w:val="24"/>
          <w:szCs w:val="24"/>
        </w:rPr>
      </w:pPr>
      <w:r>
        <w:rPr>
          <w:spacing w:val="-21"/>
          <w:sz w:val="24"/>
          <w:szCs w:val="24"/>
        </w:rPr>
        <w:t>设计对该项目的设计思路、设计依据、设计意图有深刻了解，故搞好与他们的协调工作，及时反馈施工信息，保证施工顺利进行。主要协调措施</w:t>
      </w:r>
      <w:r>
        <w:rPr>
          <w:spacing w:val="-22"/>
          <w:sz w:val="24"/>
          <w:szCs w:val="24"/>
        </w:rPr>
        <w:t>为：</w:t>
      </w:r>
    </w:p>
    <w:p w14:paraId="358541D0">
      <w:pPr>
        <w:pStyle w:val="2"/>
        <w:spacing w:line="218" w:lineRule="auto"/>
        <w:ind w:left="1893"/>
        <w:rPr>
          <w:sz w:val="24"/>
          <w:szCs w:val="24"/>
        </w:rPr>
      </w:pPr>
      <w:r>
        <w:rPr>
          <w:spacing w:val="-21"/>
          <w:sz w:val="24"/>
          <w:szCs w:val="24"/>
        </w:rPr>
        <w:t>（1）定期向设计方介绍施工情况及采用的施工工艺。</w:t>
      </w:r>
    </w:p>
    <w:p w14:paraId="40322811">
      <w:pPr>
        <w:pStyle w:val="2"/>
        <w:spacing w:before="118" w:line="263" w:lineRule="auto"/>
        <w:ind w:left="1470" w:right="1427" w:firstLine="422"/>
        <w:rPr>
          <w:sz w:val="24"/>
          <w:szCs w:val="24"/>
        </w:rPr>
      </w:pPr>
      <w:r>
        <w:rPr>
          <w:spacing w:val="-22"/>
          <w:sz w:val="24"/>
          <w:szCs w:val="24"/>
        </w:rPr>
        <w:t>（2）在每个分部分项工程施工前提交与设计</w:t>
      </w:r>
      <w:r>
        <w:rPr>
          <w:spacing w:val="-23"/>
          <w:sz w:val="24"/>
          <w:szCs w:val="24"/>
        </w:rPr>
        <w:t>有关的施工方案或作业指导书，并听取设计方</w:t>
      </w:r>
      <w:r>
        <w:rPr>
          <w:spacing w:val="-19"/>
          <w:sz w:val="24"/>
          <w:szCs w:val="24"/>
        </w:rPr>
        <w:t>的意见。</w:t>
      </w:r>
    </w:p>
    <w:p w14:paraId="6114D45E">
      <w:pPr>
        <w:pStyle w:val="2"/>
        <w:spacing w:before="116" w:line="263" w:lineRule="auto"/>
        <w:ind w:left="1463" w:right="1411" w:firstLine="429"/>
        <w:rPr>
          <w:sz w:val="24"/>
          <w:szCs w:val="24"/>
        </w:rPr>
      </w:pPr>
      <w:r>
        <w:rPr>
          <w:spacing w:val="-22"/>
          <w:sz w:val="24"/>
          <w:szCs w:val="24"/>
        </w:rPr>
        <w:t>（3）定期交换我们对设计内容的意见，用我们丰富的施工经验来完善细部节点</w:t>
      </w:r>
      <w:r>
        <w:rPr>
          <w:spacing w:val="-23"/>
          <w:sz w:val="24"/>
          <w:szCs w:val="24"/>
        </w:rPr>
        <w:t>设计，以达</w:t>
      </w:r>
      <w:r>
        <w:rPr>
          <w:spacing w:val="-19"/>
          <w:sz w:val="24"/>
          <w:szCs w:val="24"/>
        </w:rPr>
        <w:t>到最佳效果。</w:t>
      </w:r>
    </w:p>
    <w:p w14:paraId="610927F4">
      <w:pPr>
        <w:pStyle w:val="2"/>
        <w:spacing w:before="115" w:line="263" w:lineRule="auto"/>
        <w:ind w:left="1465" w:right="1411" w:firstLine="427"/>
        <w:rPr>
          <w:sz w:val="24"/>
          <w:szCs w:val="24"/>
        </w:rPr>
      </w:pPr>
      <w:r>
        <w:rPr>
          <w:spacing w:val="-22"/>
          <w:sz w:val="24"/>
          <w:szCs w:val="24"/>
        </w:rPr>
        <w:t>（4）如遇业主改变使用功能或采用合理化建议需要进行设计变更时，我们将积</w:t>
      </w:r>
      <w:r>
        <w:rPr>
          <w:spacing w:val="-23"/>
          <w:sz w:val="24"/>
          <w:szCs w:val="24"/>
        </w:rPr>
        <w:t>极配合，若</w:t>
      </w:r>
      <w:r>
        <w:rPr>
          <w:spacing w:val="-22"/>
          <w:sz w:val="24"/>
          <w:szCs w:val="24"/>
        </w:rPr>
        <w:t>需部分停工，我们将及时改变施工部署，尽量减少工期损失。</w:t>
      </w:r>
    </w:p>
    <w:p w14:paraId="119123BB">
      <w:pPr>
        <w:pStyle w:val="2"/>
        <w:spacing w:before="118" w:line="216" w:lineRule="auto"/>
        <w:ind w:left="1893"/>
        <w:rPr>
          <w:sz w:val="24"/>
          <w:szCs w:val="24"/>
        </w:rPr>
      </w:pPr>
      <w:r>
        <w:rPr>
          <w:spacing w:val="-21"/>
          <w:sz w:val="24"/>
          <w:szCs w:val="24"/>
        </w:rPr>
        <w:t>（5）积极组织各个专业施工队同设计人员认真做好图纸会审工作，完善施工图设计。</w:t>
      </w:r>
    </w:p>
    <w:p w14:paraId="6A0BB1E1">
      <w:pPr>
        <w:pStyle w:val="2"/>
        <w:spacing w:before="117" w:line="217" w:lineRule="auto"/>
        <w:ind w:left="1890"/>
        <w:rPr>
          <w:sz w:val="24"/>
          <w:szCs w:val="24"/>
        </w:rPr>
      </w:pPr>
      <w:r>
        <w:rPr>
          <w:spacing w:val="-19"/>
          <w:sz w:val="24"/>
          <w:szCs w:val="24"/>
        </w:rPr>
        <w:t>3、与监理单位的配合措施</w:t>
      </w:r>
    </w:p>
    <w:p w14:paraId="29044E0B">
      <w:pPr>
        <w:pStyle w:val="2"/>
        <w:spacing w:before="118" w:line="308" w:lineRule="auto"/>
        <w:ind w:left="1455" w:right="1409" w:firstLine="440"/>
        <w:rPr>
          <w:sz w:val="24"/>
          <w:szCs w:val="24"/>
        </w:rPr>
      </w:pPr>
      <w:r>
        <w:rPr>
          <w:spacing w:val="-20"/>
          <w:sz w:val="24"/>
          <w:szCs w:val="24"/>
        </w:rPr>
        <w:t>正确理解监理的地位和作用，监理既协助业主对工程实施监督，也协助承包商搞好工程建设，有效的监督可减少承包商的失误，确保各项工程管理目标的实现，为此，在本工程中，我</w:t>
      </w:r>
      <w:r>
        <w:rPr>
          <w:spacing w:val="-21"/>
          <w:sz w:val="24"/>
          <w:szCs w:val="24"/>
        </w:rPr>
        <w:t>公司将密切与监理配合，妥善协调，与监理协调配合时，我们</w:t>
      </w:r>
      <w:r>
        <w:rPr>
          <w:spacing w:val="-22"/>
          <w:sz w:val="24"/>
          <w:szCs w:val="24"/>
        </w:rPr>
        <w:t>将遵循“三让”原则。</w:t>
      </w:r>
    </w:p>
    <w:p w14:paraId="6FBDC711">
      <w:pPr>
        <w:pStyle w:val="2"/>
        <w:spacing w:line="218" w:lineRule="auto"/>
        <w:ind w:left="1893"/>
        <w:rPr>
          <w:sz w:val="24"/>
          <w:szCs w:val="24"/>
        </w:rPr>
      </w:pPr>
      <w:r>
        <w:rPr>
          <w:spacing w:val="-18"/>
          <w:sz w:val="24"/>
          <w:szCs w:val="24"/>
        </w:rPr>
        <w:t>（1）协调配合原则</w:t>
      </w:r>
    </w:p>
    <w:p w14:paraId="2C893835">
      <w:pPr>
        <w:pStyle w:val="2"/>
        <w:spacing w:before="118" w:line="215" w:lineRule="auto"/>
        <w:ind w:left="1885"/>
        <w:rPr>
          <w:sz w:val="24"/>
          <w:szCs w:val="24"/>
        </w:rPr>
      </w:pPr>
      <w:r>
        <w:rPr>
          <w:spacing w:val="-21"/>
          <w:sz w:val="24"/>
          <w:szCs w:val="24"/>
        </w:rPr>
        <w:t>①在监理要求高于国家规范标准时，我方意见尊重监理意见。</w:t>
      </w:r>
    </w:p>
    <w:p w14:paraId="490094F7">
      <w:pPr>
        <w:pStyle w:val="2"/>
        <w:spacing w:before="119" w:line="215" w:lineRule="auto"/>
        <w:ind w:left="1884"/>
        <w:rPr>
          <w:sz w:val="24"/>
          <w:szCs w:val="24"/>
        </w:rPr>
      </w:pPr>
      <w:r>
        <w:rPr>
          <w:spacing w:val="-21"/>
          <w:sz w:val="24"/>
          <w:szCs w:val="24"/>
        </w:rPr>
        <w:t>②在监理要求可改善使用功能时，我方意见尊重监理意见。</w:t>
      </w:r>
    </w:p>
    <w:p w14:paraId="0AFB3E48">
      <w:pPr>
        <w:pStyle w:val="2"/>
        <w:spacing w:before="121" w:line="215" w:lineRule="auto"/>
        <w:ind w:left="1884"/>
        <w:rPr>
          <w:sz w:val="24"/>
          <w:szCs w:val="24"/>
        </w:rPr>
      </w:pPr>
      <w:r>
        <w:rPr>
          <w:spacing w:val="-21"/>
          <w:sz w:val="24"/>
          <w:szCs w:val="24"/>
        </w:rPr>
        <w:t>③在监理要求与我方要求效果一致但做法不</w:t>
      </w:r>
      <w:r>
        <w:rPr>
          <w:spacing w:val="-22"/>
          <w:sz w:val="24"/>
          <w:szCs w:val="24"/>
        </w:rPr>
        <w:t>同时，我方意见尊重监理意见。</w:t>
      </w:r>
    </w:p>
    <w:p w14:paraId="51E30D06">
      <w:pPr>
        <w:pStyle w:val="2"/>
        <w:spacing w:before="121" w:line="218" w:lineRule="auto"/>
        <w:ind w:left="1893"/>
        <w:rPr>
          <w:sz w:val="24"/>
          <w:szCs w:val="24"/>
        </w:rPr>
      </w:pPr>
      <w:r>
        <w:rPr>
          <w:spacing w:val="-18"/>
          <w:sz w:val="24"/>
          <w:szCs w:val="24"/>
        </w:rPr>
        <w:t>（2）协调配合措施</w:t>
      </w:r>
    </w:p>
    <w:p w14:paraId="49E9A742">
      <w:pPr>
        <w:pStyle w:val="2"/>
        <w:spacing w:before="116" w:line="262" w:lineRule="auto"/>
        <w:ind w:left="1470" w:right="1409" w:firstLine="415"/>
        <w:rPr>
          <w:sz w:val="24"/>
          <w:szCs w:val="24"/>
        </w:rPr>
      </w:pPr>
      <w:r>
        <w:rPr>
          <w:spacing w:val="-19"/>
          <w:sz w:val="24"/>
          <w:szCs w:val="24"/>
        </w:rPr>
        <w:t>①积极参加监理工程师主持召开的每周一次生产例会或随</w:t>
      </w:r>
      <w:r>
        <w:rPr>
          <w:spacing w:val="-20"/>
          <w:sz w:val="24"/>
          <w:szCs w:val="24"/>
        </w:rPr>
        <w:t>时召集的其它会议，并保证派出</w:t>
      </w:r>
      <w:r>
        <w:rPr>
          <w:spacing w:val="-22"/>
          <w:sz w:val="24"/>
          <w:szCs w:val="24"/>
        </w:rPr>
        <w:t>能代表项目经理部当场做出决定的高级管理人员出席会议，同时确保有关施工队负责人参加。</w:t>
      </w:r>
    </w:p>
    <w:p w14:paraId="50BAC237">
      <w:pPr>
        <w:pStyle w:val="2"/>
        <w:spacing w:before="120" w:line="262" w:lineRule="auto"/>
        <w:ind w:left="1460" w:right="1409" w:firstLine="424"/>
        <w:rPr>
          <w:sz w:val="24"/>
          <w:szCs w:val="24"/>
        </w:rPr>
      </w:pPr>
      <w:r>
        <w:rPr>
          <w:spacing w:val="-19"/>
          <w:sz w:val="24"/>
          <w:szCs w:val="24"/>
        </w:rPr>
        <w:t>②严格按照监理工程师批准的施工规划和施工方案进行施工</w:t>
      </w:r>
      <w:r>
        <w:rPr>
          <w:spacing w:val="-20"/>
          <w:sz w:val="24"/>
          <w:szCs w:val="24"/>
        </w:rPr>
        <w:t>，并随时提交监理工程师认为</w:t>
      </w:r>
      <w:r>
        <w:rPr>
          <w:spacing w:val="-21"/>
          <w:sz w:val="24"/>
          <w:szCs w:val="24"/>
        </w:rPr>
        <w:t>必要的关于施工规划和施工方案的任何说明或文件。</w:t>
      </w:r>
    </w:p>
    <w:p w14:paraId="63BA6B34">
      <w:pPr>
        <w:pStyle w:val="2"/>
        <w:spacing w:before="117" w:line="278" w:lineRule="auto"/>
        <w:ind w:left="1456" w:right="1410" w:firstLine="428"/>
        <w:rPr>
          <w:sz w:val="24"/>
          <w:szCs w:val="24"/>
        </w:rPr>
      </w:pPr>
      <w:r>
        <w:rPr>
          <w:spacing w:val="-19"/>
          <w:sz w:val="24"/>
          <w:szCs w:val="24"/>
        </w:rPr>
        <w:t>③按监理工程师同意的格式和详细程度，向监理工程师及时</w:t>
      </w:r>
      <w:r>
        <w:rPr>
          <w:spacing w:val="-20"/>
          <w:sz w:val="24"/>
          <w:szCs w:val="24"/>
        </w:rPr>
        <w:t>提交完整的进度计划，以获得监理工程师的批准。无论监理工程师何时需要，保证随时以书面形式提交一份为保证工程进度</w:t>
      </w:r>
      <w:r>
        <w:rPr>
          <w:spacing w:val="-21"/>
          <w:sz w:val="24"/>
          <w:szCs w:val="24"/>
        </w:rPr>
        <w:t>计划而拟采用的方法和安排的说明，以供监理工程师参考。</w:t>
      </w:r>
    </w:p>
    <w:p w14:paraId="7E729FF9">
      <w:pPr>
        <w:pStyle w:val="2"/>
        <w:spacing w:before="115" w:line="278" w:lineRule="auto"/>
        <w:ind w:left="1463" w:right="1410" w:firstLine="421"/>
        <w:rPr>
          <w:sz w:val="24"/>
          <w:szCs w:val="24"/>
        </w:rPr>
      </w:pPr>
      <w:r>
        <w:rPr>
          <w:spacing w:val="-19"/>
          <w:sz w:val="24"/>
          <w:szCs w:val="24"/>
        </w:rPr>
        <w:t>④在任何时候如果监理工程师认为施工进度不符合批准的进</w:t>
      </w:r>
      <w:r>
        <w:rPr>
          <w:spacing w:val="-20"/>
          <w:sz w:val="24"/>
          <w:szCs w:val="24"/>
        </w:rPr>
        <w:t>度计划或不符合竣工期限的要求，则保证在监理工程师的同意下，立即采取必要的措施加快工程进度，以使其符合竣工期限</w:t>
      </w:r>
      <w:r>
        <w:rPr>
          <w:spacing w:val="-17"/>
          <w:sz w:val="24"/>
          <w:szCs w:val="24"/>
        </w:rPr>
        <w:t>的要求。</w:t>
      </w:r>
    </w:p>
    <w:p w14:paraId="3583955C">
      <w:pPr>
        <w:pStyle w:val="2"/>
        <w:spacing w:before="118" w:line="262" w:lineRule="auto"/>
        <w:ind w:left="1457" w:right="1409" w:firstLine="427"/>
        <w:rPr>
          <w:sz w:val="24"/>
          <w:szCs w:val="24"/>
        </w:rPr>
      </w:pPr>
      <w:r>
        <w:rPr>
          <w:spacing w:val="-19"/>
          <w:sz w:val="24"/>
          <w:szCs w:val="24"/>
        </w:rPr>
        <w:t>⑤承包范围内的所有施工过程和施工材料，接受监理工程师</w:t>
      </w:r>
      <w:r>
        <w:rPr>
          <w:spacing w:val="-20"/>
          <w:sz w:val="24"/>
          <w:szCs w:val="24"/>
        </w:rPr>
        <w:t>在任何时候进入现场进行他们</w:t>
      </w:r>
      <w:r>
        <w:rPr>
          <w:spacing w:val="-21"/>
          <w:sz w:val="24"/>
          <w:szCs w:val="24"/>
        </w:rPr>
        <w:t>认为有必要的检查，并提供一切便利。</w:t>
      </w:r>
    </w:p>
    <w:p w14:paraId="06CE0E67">
      <w:pPr>
        <w:pStyle w:val="2"/>
        <w:spacing w:before="117" w:line="217" w:lineRule="auto"/>
        <w:ind w:left="1884"/>
        <w:rPr>
          <w:sz w:val="24"/>
          <w:szCs w:val="24"/>
        </w:rPr>
      </w:pPr>
      <w:r>
        <w:rPr>
          <w:spacing w:val="-19"/>
          <w:sz w:val="24"/>
          <w:szCs w:val="24"/>
        </w:rPr>
        <w:t>⑥当监理工程师要求对工程的任何部位进行计量时，我们保证立即派出一名合格的代表协</w:t>
      </w:r>
    </w:p>
    <w:p w14:paraId="160EEE80">
      <w:pPr>
        <w:spacing w:line="217" w:lineRule="auto"/>
        <w:rPr>
          <w:sz w:val="24"/>
          <w:szCs w:val="24"/>
        </w:rPr>
        <w:sectPr>
          <w:footerReference r:id="rId304" w:type="default"/>
          <w:pgSz w:w="11907" w:h="16839"/>
          <w:pgMar w:top="933" w:right="4" w:bottom="1038" w:left="0" w:header="478" w:footer="357" w:gutter="0"/>
          <w:pgBorders>
            <w:top w:val="none" w:sz="0" w:space="0"/>
            <w:left w:val="none" w:sz="0" w:space="0"/>
            <w:bottom w:val="none" w:sz="0" w:space="0"/>
            <w:right w:val="none" w:sz="0" w:space="0"/>
          </w:pgBorders>
          <w:cols w:space="720" w:num="1"/>
        </w:sectPr>
      </w:pPr>
    </w:p>
    <w:p w14:paraId="5E73C4B3">
      <w:pPr>
        <w:spacing w:line="271" w:lineRule="auto"/>
        <w:rPr>
          <w:rFonts w:ascii="Arial"/>
          <w:sz w:val="21"/>
        </w:rPr>
      </w:pPr>
    </w:p>
    <w:p w14:paraId="7187AE88">
      <w:pPr>
        <w:pStyle w:val="2"/>
        <w:spacing w:before="78" w:line="216" w:lineRule="auto"/>
        <w:ind w:left="1455"/>
        <w:rPr>
          <w:sz w:val="24"/>
          <w:szCs w:val="24"/>
        </w:rPr>
      </w:pPr>
      <w:r>
        <w:rPr>
          <w:spacing w:val="-21"/>
          <w:sz w:val="24"/>
          <w:szCs w:val="24"/>
        </w:rPr>
        <w:t>助监理工程师进行上述审核或计量，并及时提供监理工程师所要</w:t>
      </w:r>
      <w:r>
        <w:rPr>
          <w:spacing w:val="-22"/>
          <w:sz w:val="24"/>
          <w:szCs w:val="24"/>
        </w:rPr>
        <w:t>求的一切详细资料。</w:t>
      </w:r>
    </w:p>
    <w:p w14:paraId="28F6D82E">
      <w:pPr>
        <w:pStyle w:val="2"/>
        <w:spacing w:before="120" w:line="261" w:lineRule="auto"/>
        <w:ind w:left="1458" w:right="1410" w:firstLine="426"/>
        <w:rPr>
          <w:sz w:val="24"/>
          <w:szCs w:val="24"/>
        </w:rPr>
      </w:pPr>
      <w:r>
        <w:rPr>
          <w:spacing w:val="-19"/>
          <w:sz w:val="24"/>
          <w:szCs w:val="24"/>
        </w:rPr>
        <w:t>⑦确保在承包范围内所有施工人员在现场绝对服从监理工程</w:t>
      </w:r>
      <w:r>
        <w:rPr>
          <w:spacing w:val="-20"/>
          <w:sz w:val="24"/>
          <w:szCs w:val="24"/>
        </w:rPr>
        <w:t>师的指挥，接受监理工程师的</w:t>
      </w:r>
      <w:r>
        <w:rPr>
          <w:spacing w:val="-21"/>
          <w:sz w:val="24"/>
          <w:szCs w:val="24"/>
        </w:rPr>
        <w:t>检查监督，并及时答复监理工程师提出的关于施工的任</w:t>
      </w:r>
      <w:r>
        <w:rPr>
          <w:spacing w:val="-22"/>
          <w:sz w:val="24"/>
          <w:szCs w:val="24"/>
        </w:rPr>
        <w:t>何问题。</w:t>
      </w:r>
    </w:p>
    <w:p w14:paraId="28FBF9C6">
      <w:pPr>
        <w:pStyle w:val="2"/>
        <w:spacing w:before="120" w:line="216" w:lineRule="auto"/>
        <w:ind w:left="1884"/>
        <w:rPr>
          <w:sz w:val="24"/>
          <w:szCs w:val="24"/>
        </w:rPr>
      </w:pPr>
      <w:r>
        <w:rPr>
          <w:spacing w:val="-20"/>
          <w:sz w:val="24"/>
          <w:szCs w:val="24"/>
        </w:rPr>
        <w:t>4、与各种材料供应商及社会关系的协调</w:t>
      </w:r>
    </w:p>
    <w:p w14:paraId="19751986">
      <w:pPr>
        <w:pStyle w:val="2"/>
        <w:spacing w:before="118" w:line="308" w:lineRule="auto"/>
        <w:ind w:left="1463" w:right="1409" w:firstLine="460"/>
        <w:jc w:val="both"/>
        <w:rPr>
          <w:sz w:val="24"/>
          <w:szCs w:val="24"/>
        </w:rPr>
      </w:pPr>
      <w:r>
        <w:rPr>
          <w:spacing w:val="-20"/>
          <w:sz w:val="24"/>
          <w:szCs w:val="24"/>
        </w:rPr>
        <w:t>由于工程建设是一种社会性的活动，与社会有着紧密的联系</w:t>
      </w:r>
      <w:r>
        <w:rPr>
          <w:spacing w:val="-21"/>
          <w:sz w:val="24"/>
          <w:szCs w:val="24"/>
        </w:rPr>
        <w:t>，工程施工对社会有一定的影</w:t>
      </w:r>
      <w:r>
        <w:rPr>
          <w:spacing w:val="-20"/>
          <w:sz w:val="24"/>
          <w:szCs w:val="24"/>
        </w:rPr>
        <w:t>响，而社会对施工的影响则更大，这些影响主要表现在：材料供应单位、各级政府部门、社会</w:t>
      </w:r>
      <w:r>
        <w:rPr>
          <w:spacing w:val="-21"/>
          <w:sz w:val="24"/>
          <w:szCs w:val="24"/>
        </w:rPr>
        <w:t>团体、公用事业企业、周围居民及居委会等。</w:t>
      </w:r>
    </w:p>
    <w:p w14:paraId="0A30957E">
      <w:pPr>
        <w:pStyle w:val="2"/>
        <w:spacing w:before="1" w:line="215" w:lineRule="auto"/>
        <w:ind w:left="1893"/>
        <w:rPr>
          <w:sz w:val="24"/>
          <w:szCs w:val="24"/>
        </w:rPr>
      </w:pPr>
      <w:r>
        <w:rPr>
          <w:spacing w:val="-20"/>
          <w:sz w:val="24"/>
          <w:szCs w:val="24"/>
        </w:rPr>
        <w:t>（1）与各种材料供应单位的关系协调</w:t>
      </w:r>
    </w:p>
    <w:p w14:paraId="3FC46575">
      <w:pPr>
        <w:pStyle w:val="2"/>
        <w:spacing w:before="117" w:line="309" w:lineRule="auto"/>
        <w:ind w:left="1457" w:right="1410" w:firstLine="435"/>
        <w:rPr>
          <w:sz w:val="24"/>
          <w:szCs w:val="24"/>
        </w:rPr>
      </w:pPr>
      <w:r>
        <w:rPr>
          <w:spacing w:val="-20"/>
          <w:sz w:val="24"/>
          <w:szCs w:val="24"/>
        </w:rPr>
        <w:t>材料供应及时与否将直接影响到施工过程能否顺利进行，因此，必须采取有效措施，以确</w:t>
      </w:r>
      <w:r>
        <w:rPr>
          <w:spacing w:val="-21"/>
          <w:sz w:val="24"/>
          <w:szCs w:val="24"/>
        </w:rPr>
        <w:t>保材料供应及时，满足施工要求。</w:t>
      </w:r>
    </w:p>
    <w:p w14:paraId="5B01E033">
      <w:pPr>
        <w:pStyle w:val="2"/>
        <w:spacing w:before="1" w:line="215" w:lineRule="auto"/>
        <w:ind w:left="1885"/>
        <w:rPr>
          <w:sz w:val="24"/>
          <w:szCs w:val="24"/>
        </w:rPr>
      </w:pPr>
      <w:r>
        <w:rPr>
          <w:spacing w:val="-22"/>
          <w:sz w:val="24"/>
          <w:szCs w:val="24"/>
        </w:rPr>
        <w:t>①选择信誉可靠、实力雄厚的供货商，并进行供货商评价。</w:t>
      </w:r>
    </w:p>
    <w:p w14:paraId="03A79934">
      <w:pPr>
        <w:pStyle w:val="2"/>
        <w:spacing w:before="117" w:line="216" w:lineRule="auto"/>
        <w:ind w:left="1884"/>
        <w:rPr>
          <w:sz w:val="24"/>
          <w:szCs w:val="24"/>
        </w:rPr>
      </w:pPr>
      <w:r>
        <w:rPr>
          <w:spacing w:val="-21"/>
          <w:sz w:val="24"/>
          <w:szCs w:val="24"/>
        </w:rPr>
        <w:t>②根据施工进度及时提供各种材料采购计划，对需检验的材料要留足够的检验周期。</w:t>
      </w:r>
    </w:p>
    <w:p w14:paraId="6CC110F7">
      <w:pPr>
        <w:pStyle w:val="2"/>
        <w:spacing w:before="119" w:line="264" w:lineRule="auto"/>
        <w:ind w:left="1458" w:right="1411" w:firstLine="426"/>
        <w:rPr>
          <w:sz w:val="24"/>
          <w:szCs w:val="24"/>
        </w:rPr>
      </w:pPr>
      <w:r>
        <w:rPr>
          <w:spacing w:val="-21"/>
          <w:sz w:val="24"/>
          <w:szCs w:val="24"/>
        </w:rPr>
        <w:t>③编制物资供应计划进场时间表，所需材料根据表中最迟进场时间提前5天与供</w:t>
      </w:r>
      <w:r>
        <w:rPr>
          <w:spacing w:val="-22"/>
          <w:sz w:val="24"/>
          <w:szCs w:val="24"/>
        </w:rPr>
        <w:t>货商落实</w:t>
      </w:r>
      <w:r>
        <w:rPr>
          <w:spacing w:val="-21"/>
          <w:sz w:val="24"/>
          <w:szCs w:val="24"/>
        </w:rPr>
        <w:t>进场。</w:t>
      </w:r>
    </w:p>
    <w:p w14:paraId="17E5440B">
      <w:pPr>
        <w:pStyle w:val="2"/>
        <w:spacing w:before="114" w:line="216" w:lineRule="auto"/>
        <w:ind w:left="1884"/>
        <w:rPr>
          <w:sz w:val="24"/>
          <w:szCs w:val="24"/>
        </w:rPr>
      </w:pPr>
      <w:r>
        <w:rPr>
          <w:spacing w:val="-21"/>
          <w:sz w:val="24"/>
          <w:szCs w:val="24"/>
        </w:rPr>
        <w:t>④签订完善的合同，根据合同来履行材料的采购任务。</w:t>
      </w:r>
    </w:p>
    <w:p w14:paraId="4839FA7E">
      <w:pPr>
        <w:pStyle w:val="2"/>
        <w:spacing w:before="120" w:line="216" w:lineRule="auto"/>
        <w:ind w:left="1884"/>
        <w:rPr>
          <w:sz w:val="24"/>
          <w:szCs w:val="24"/>
        </w:rPr>
      </w:pPr>
      <w:r>
        <w:rPr>
          <w:spacing w:val="-22"/>
          <w:sz w:val="24"/>
          <w:szCs w:val="24"/>
        </w:rPr>
        <w:t>⑤制定应急措施，当发生某种材料不能按时到场的情况时，应提前制订应急方案。</w:t>
      </w:r>
    </w:p>
    <w:p w14:paraId="07FFF7A2">
      <w:pPr>
        <w:pStyle w:val="2"/>
        <w:spacing w:before="121" w:line="217" w:lineRule="auto"/>
        <w:ind w:left="1893"/>
        <w:rPr>
          <w:sz w:val="24"/>
          <w:szCs w:val="24"/>
        </w:rPr>
      </w:pPr>
      <w:r>
        <w:rPr>
          <w:spacing w:val="-20"/>
          <w:sz w:val="24"/>
          <w:szCs w:val="24"/>
        </w:rPr>
        <w:t>（2）与政府各部门的关系协调</w:t>
      </w:r>
    </w:p>
    <w:p w14:paraId="00B94BB6">
      <w:pPr>
        <w:pStyle w:val="2"/>
        <w:spacing w:before="115" w:line="308" w:lineRule="auto"/>
        <w:ind w:left="1453" w:right="1410" w:firstLine="448"/>
        <w:jc w:val="both"/>
        <w:rPr>
          <w:sz w:val="24"/>
          <w:szCs w:val="24"/>
        </w:rPr>
      </w:pPr>
      <w:r>
        <w:rPr>
          <w:spacing w:val="-20"/>
          <w:sz w:val="24"/>
          <w:szCs w:val="24"/>
        </w:rPr>
        <w:t>我们将根据工程的实际情况，明确专人及时与政府有关部门取得联系，以及时得到或获得政府部门的指导、支持和谅解，为工程施工的顺利进行打下良好的基础。有关的政府部门主要</w:t>
      </w:r>
      <w:r>
        <w:rPr>
          <w:spacing w:val="-21"/>
          <w:sz w:val="24"/>
          <w:szCs w:val="24"/>
        </w:rPr>
        <w:t>有：技术监督、建设、市政、公安、消防、卫生、劳动、环保等。</w:t>
      </w:r>
    </w:p>
    <w:p w14:paraId="00206017">
      <w:pPr>
        <w:pStyle w:val="2"/>
        <w:spacing w:line="215" w:lineRule="auto"/>
        <w:ind w:left="1885"/>
        <w:rPr>
          <w:sz w:val="24"/>
          <w:szCs w:val="24"/>
        </w:rPr>
      </w:pPr>
      <w:r>
        <w:rPr>
          <w:spacing w:val="-21"/>
          <w:sz w:val="24"/>
          <w:szCs w:val="24"/>
        </w:rPr>
        <w:t>①在工程开工前，与各部门取得联系，并办理政府各部门规定的手续；</w:t>
      </w:r>
    </w:p>
    <w:p w14:paraId="3C25C972">
      <w:pPr>
        <w:pStyle w:val="2"/>
        <w:spacing w:before="120" w:line="262" w:lineRule="auto"/>
        <w:ind w:left="1473" w:right="1409" w:firstLine="411"/>
        <w:rPr>
          <w:sz w:val="24"/>
          <w:szCs w:val="24"/>
        </w:rPr>
      </w:pPr>
      <w:r>
        <w:rPr>
          <w:spacing w:val="-19"/>
          <w:sz w:val="24"/>
          <w:szCs w:val="24"/>
        </w:rPr>
        <w:t>②严格按《监检实施细则》的要求，认真配合好质量技术监</w:t>
      </w:r>
      <w:r>
        <w:rPr>
          <w:spacing w:val="-20"/>
          <w:sz w:val="24"/>
          <w:szCs w:val="24"/>
        </w:rPr>
        <w:t>督部门监检人员的工作，并及</w:t>
      </w:r>
      <w:r>
        <w:rPr>
          <w:spacing w:val="-21"/>
          <w:sz w:val="24"/>
          <w:szCs w:val="24"/>
        </w:rPr>
        <w:t>时整改存在质量问题。</w:t>
      </w:r>
    </w:p>
    <w:p w14:paraId="37C888F0">
      <w:pPr>
        <w:pStyle w:val="2"/>
        <w:spacing w:before="120" w:line="217" w:lineRule="auto"/>
        <w:ind w:left="1884"/>
        <w:rPr>
          <w:sz w:val="24"/>
          <w:szCs w:val="24"/>
        </w:rPr>
      </w:pPr>
      <w:r>
        <w:rPr>
          <w:spacing w:val="-21"/>
          <w:sz w:val="24"/>
          <w:szCs w:val="24"/>
        </w:rPr>
        <w:t>③建立定期沟通制度，及时向有关部门汇报施工管理情况，以期获得有力的支持。</w:t>
      </w:r>
    </w:p>
    <w:p w14:paraId="0FCDA5FA">
      <w:pPr>
        <w:pStyle w:val="2"/>
        <w:spacing w:before="117" w:line="264" w:lineRule="auto"/>
        <w:ind w:left="1462" w:right="1409" w:firstLine="422"/>
        <w:rPr>
          <w:sz w:val="24"/>
          <w:szCs w:val="24"/>
        </w:rPr>
      </w:pPr>
      <w:r>
        <w:rPr>
          <w:spacing w:val="-19"/>
          <w:sz w:val="24"/>
          <w:szCs w:val="24"/>
        </w:rPr>
        <w:t>④积极配合安全监督站对施工现场的检查和考评，并及时整</w:t>
      </w:r>
      <w:r>
        <w:rPr>
          <w:spacing w:val="-20"/>
          <w:sz w:val="24"/>
          <w:szCs w:val="24"/>
        </w:rPr>
        <w:t>改施工中存在的安全隐患，杜</w:t>
      </w:r>
      <w:r>
        <w:rPr>
          <w:spacing w:val="-19"/>
          <w:sz w:val="24"/>
          <w:szCs w:val="24"/>
        </w:rPr>
        <w:t>绝安全事故。</w:t>
      </w:r>
    </w:p>
    <w:p w14:paraId="23509158">
      <w:pPr>
        <w:pStyle w:val="2"/>
        <w:spacing w:before="113" w:line="216" w:lineRule="auto"/>
        <w:ind w:left="1884"/>
        <w:rPr>
          <w:sz w:val="24"/>
          <w:szCs w:val="24"/>
        </w:rPr>
      </w:pPr>
      <w:r>
        <w:rPr>
          <w:spacing w:val="-22"/>
          <w:sz w:val="24"/>
          <w:szCs w:val="24"/>
        </w:rPr>
        <w:t>⑤协助交通部门维持现场周围的交通，缓解施工带来的交通压力。</w:t>
      </w:r>
    </w:p>
    <w:p w14:paraId="38CCDF07">
      <w:pPr>
        <w:pStyle w:val="2"/>
        <w:spacing w:before="120" w:line="263" w:lineRule="auto"/>
        <w:ind w:left="1469" w:right="1409" w:firstLine="415"/>
        <w:rPr>
          <w:sz w:val="24"/>
          <w:szCs w:val="24"/>
        </w:rPr>
      </w:pPr>
      <w:r>
        <w:rPr>
          <w:spacing w:val="-19"/>
          <w:sz w:val="24"/>
          <w:szCs w:val="24"/>
        </w:rPr>
        <w:t>⑥建立综合治理小组，对涉及施工现场的治安、环卫、环保</w:t>
      </w:r>
      <w:r>
        <w:rPr>
          <w:spacing w:val="-20"/>
          <w:sz w:val="24"/>
          <w:szCs w:val="24"/>
        </w:rPr>
        <w:t>、消防等问题按有关规定进行</w:t>
      </w:r>
      <w:r>
        <w:rPr>
          <w:spacing w:val="-22"/>
          <w:sz w:val="24"/>
          <w:szCs w:val="24"/>
        </w:rPr>
        <w:t>管理；确保不因上述方面的问题影响工程的顺利进行。</w:t>
      </w:r>
    </w:p>
    <w:p w14:paraId="2D9644FB">
      <w:pPr>
        <w:pStyle w:val="2"/>
        <w:spacing w:before="66" w:line="217" w:lineRule="auto"/>
        <w:ind w:left="4310"/>
        <w:outlineLvl w:val="1"/>
        <w:rPr>
          <w:sz w:val="30"/>
          <w:szCs w:val="30"/>
        </w:rPr>
      </w:pPr>
      <w:bookmarkStart w:id="230" w:name="bookmark222"/>
      <w:bookmarkEnd w:id="230"/>
      <w:r>
        <w:rPr>
          <w:b/>
          <w:bCs/>
          <w:color w:val="0070C0"/>
          <w:spacing w:val="-24"/>
          <w:sz w:val="30"/>
          <w:szCs w:val="30"/>
        </w:rPr>
        <w:t>第二节、分段试压冲洗施工</w:t>
      </w:r>
    </w:p>
    <w:p w14:paraId="332A2420">
      <w:pPr>
        <w:pStyle w:val="2"/>
        <w:spacing w:before="64" w:line="218" w:lineRule="auto"/>
        <w:ind w:left="1981"/>
        <w:outlineLvl w:val="2"/>
        <w:rPr>
          <w:sz w:val="28"/>
          <w:szCs w:val="28"/>
        </w:rPr>
      </w:pPr>
      <w:bookmarkStart w:id="231" w:name="bookmark223"/>
      <w:bookmarkEnd w:id="231"/>
      <w:r>
        <w:rPr>
          <w:b/>
          <w:bCs/>
          <w:spacing w:val="-21"/>
          <w:sz w:val="28"/>
          <w:szCs w:val="28"/>
        </w:rPr>
        <w:t>一、重难点分析</w:t>
      </w:r>
    </w:p>
    <w:p w14:paraId="6201BAA8">
      <w:pPr>
        <w:pStyle w:val="2"/>
        <w:spacing w:before="105" w:line="294" w:lineRule="auto"/>
        <w:ind w:left="1458" w:right="1409" w:firstLine="435"/>
        <w:rPr>
          <w:sz w:val="24"/>
          <w:szCs w:val="24"/>
        </w:rPr>
      </w:pPr>
      <w:r>
        <w:rPr>
          <w:spacing w:val="-21"/>
          <w:sz w:val="24"/>
          <w:szCs w:val="24"/>
        </w:rPr>
        <w:t>本工程新建供水管道约20公里，工程占线长，作业面广，涉及供水管道试压冲洗需要分段进行，故供水管道分段试压冲洗施工拟作为本工程的重</w:t>
      </w:r>
      <w:r>
        <w:rPr>
          <w:spacing w:val="-22"/>
          <w:sz w:val="24"/>
          <w:szCs w:val="24"/>
        </w:rPr>
        <w:t>难点。</w:t>
      </w:r>
    </w:p>
    <w:p w14:paraId="10B34F69">
      <w:pPr>
        <w:pStyle w:val="2"/>
        <w:spacing w:line="217" w:lineRule="auto"/>
        <w:ind w:left="1986"/>
        <w:outlineLvl w:val="2"/>
        <w:rPr>
          <w:sz w:val="28"/>
          <w:szCs w:val="28"/>
        </w:rPr>
      </w:pPr>
      <w:bookmarkStart w:id="232" w:name="bookmark224"/>
      <w:bookmarkEnd w:id="232"/>
      <w:r>
        <w:rPr>
          <w:b/>
          <w:bCs/>
          <w:spacing w:val="-22"/>
          <w:sz w:val="28"/>
          <w:szCs w:val="28"/>
        </w:rPr>
        <w:t>二、对应保证措施</w:t>
      </w:r>
    </w:p>
    <w:p w14:paraId="7347A77E">
      <w:pPr>
        <w:pStyle w:val="2"/>
        <w:spacing w:before="106" w:line="219" w:lineRule="auto"/>
        <w:ind w:left="1888"/>
        <w:rPr>
          <w:sz w:val="24"/>
          <w:szCs w:val="24"/>
        </w:rPr>
      </w:pPr>
      <w:r>
        <w:rPr>
          <w:spacing w:val="-14"/>
          <w:sz w:val="24"/>
          <w:szCs w:val="24"/>
        </w:rPr>
        <w:t>2.1水压试验</w:t>
      </w:r>
    </w:p>
    <w:p w14:paraId="27620C71">
      <w:pPr>
        <w:pStyle w:val="2"/>
        <w:spacing w:before="114" w:line="217" w:lineRule="auto"/>
        <w:ind w:left="1906"/>
        <w:rPr>
          <w:sz w:val="24"/>
          <w:szCs w:val="24"/>
        </w:rPr>
      </w:pPr>
      <w:r>
        <w:rPr>
          <w:spacing w:val="-19"/>
          <w:sz w:val="24"/>
          <w:szCs w:val="24"/>
        </w:rPr>
        <w:t>管道试压是管道工程中不可无视的一个环节，管道试压</w:t>
      </w:r>
      <w:r>
        <w:rPr>
          <w:spacing w:val="-20"/>
          <w:sz w:val="24"/>
          <w:szCs w:val="24"/>
        </w:rPr>
        <w:t>常采用水压试验。根据场地实际条</w:t>
      </w:r>
    </w:p>
    <w:p w14:paraId="7A934B96">
      <w:pPr>
        <w:spacing w:line="217" w:lineRule="auto"/>
        <w:rPr>
          <w:sz w:val="24"/>
          <w:szCs w:val="24"/>
        </w:rPr>
        <w:sectPr>
          <w:footerReference r:id="rId305" w:type="default"/>
          <w:pgSz w:w="11907" w:h="16839"/>
          <w:pgMar w:top="933" w:right="4" w:bottom="1038" w:left="0" w:header="478" w:footer="357" w:gutter="0"/>
          <w:pgBorders>
            <w:top w:val="none" w:sz="0" w:space="0"/>
            <w:left w:val="none" w:sz="0" w:space="0"/>
            <w:bottom w:val="none" w:sz="0" w:space="0"/>
            <w:right w:val="none" w:sz="0" w:space="0"/>
          </w:pgBorders>
          <w:cols w:space="720" w:num="1"/>
        </w:sectPr>
      </w:pPr>
    </w:p>
    <w:p w14:paraId="1FD5DFC4">
      <w:pPr>
        <w:spacing w:line="270" w:lineRule="auto"/>
        <w:rPr>
          <w:rFonts w:ascii="Arial"/>
          <w:sz w:val="21"/>
        </w:rPr>
      </w:pPr>
    </w:p>
    <w:p w14:paraId="0D564E6D">
      <w:pPr>
        <w:pStyle w:val="2"/>
        <w:spacing w:before="78" w:line="308" w:lineRule="auto"/>
        <w:ind w:left="1458" w:right="1415" w:hanging="2"/>
        <w:rPr>
          <w:sz w:val="24"/>
          <w:szCs w:val="24"/>
        </w:rPr>
      </w:pPr>
      <w:r>
        <w:rPr>
          <w:spacing w:val="-20"/>
          <w:sz w:val="24"/>
          <w:szCs w:val="24"/>
        </w:rPr>
        <w:t>件，可利用的试压水源，组成管道系统的配件和附件〔阀门、井室〕的数量，管道各部位的高</w:t>
      </w:r>
      <w:r>
        <w:rPr>
          <w:spacing w:val="-21"/>
          <w:sz w:val="24"/>
          <w:szCs w:val="24"/>
        </w:rPr>
        <w:t>差情况等条件决定试压的长度。</w:t>
      </w:r>
    </w:p>
    <w:p w14:paraId="645833DF">
      <w:pPr>
        <w:pStyle w:val="2"/>
        <w:spacing w:line="217" w:lineRule="auto"/>
        <w:ind w:left="1903"/>
        <w:rPr>
          <w:sz w:val="24"/>
          <w:szCs w:val="24"/>
        </w:rPr>
      </w:pPr>
      <w:r>
        <w:rPr>
          <w:spacing w:val="-21"/>
          <w:sz w:val="24"/>
          <w:szCs w:val="24"/>
        </w:rPr>
        <w:t>1、管道水压试验前必须具备的条件</w:t>
      </w:r>
    </w:p>
    <w:p w14:paraId="7125E00C">
      <w:pPr>
        <w:pStyle w:val="2"/>
        <w:spacing w:before="118" w:line="216" w:lineRule="auto"/>
        <w:ind w:left="1886"/>
        <w:rPr>
          <w:sz w:val="24"/>
          <w:szCs w:val="24"/>
        </w:rPr>
      </w:pPr>
      <w:r>
        <w:rPr>
          <w:spacing w:val="-21"/>
          <w:sz w:val="24"/>
          <w:szCs w:val="24"/>
        </w:rPr>
        <w:t>a、水压试验前必须对管道节点、接口、支墩等及其他附属构筑物的外观进行认真的检查。</w:t>
      </w:r>
    </w:p>
    <w:p w14:paraId="12BD54D1">
      <w:pPr>
        <w:pStyle w:val="2"/>
        <w:spacing w:before="120" w:line="216" w:lineRule="auto"/>
        <w:ind w:left="1882"/>
        <w:rPr>
          <w:sz w:val="24"/>
          <w:szCs w:val="24"/>
        </w:rPr>
      </w:pPr>
      <w:r>
        <w:rPr>
          <w:spacing w:val="-20"/>
          <w:sz w:val="24"/>
          <w:szCs w:val="24"/>
        </w:rPr>
        <w:t>b、对管道的排气系统〔排气阀〕进行检查和落实。</w:t>
      </w:r>
    </w:p>
    <w:p w14:paraId="358CCD74">
      <w:pPr>
        <w:pStyle w:val="2"/>
        <w:spacing w:before="117" w:line="216" w:lineRule="auto"/>
        <w:ind w:left="1890"/>
        <w:rPr>
          <w:sz w:val="24"/>
          <w:szCs w:val="24"/>
        </w:rPr>
      </w:pPr>
      <w:r>
        <w:rPr>
          <w:spacing w:val="-21"/>
          <w:sz w:val="24"/>
          <w:szCs w:val="24"/>
        </w:rPr>
        <w:t>c、落实水源、试压设备、放水及量测设备是否准备妥当和齐全，工作状况是否良好。</w:t>
      </w:r>
    </w:p>
    <w:p w14:paraId="492F4DAF">
      <w:pPr>
        <w:pStyle w:val="2"/>
        <w:spacing w:before="120" w:line="218" w:lineRule="auto"/>
        <w:ind w:left="1890"/>
        <w:rPr>
          <w:sz w:val="24"/>
          <w:szCs w:val="24"/>
        </w:rPr>
      </w:pPr>
      <w:r>
        <w:rPr>
          <w:spacing w:val="-18"/>
          <w:sz w:val="24"/>
          <w:szCs w:val="24"/>
        </w:rPr>
        <w:t>d、准备试压的管段其管顶以上的回填土的厚度应不少于0.5M</w:t>
      </w:r>
      <w:r>
        <w:rPr>
          <w:spacing w:val="-19"/>
          <w:sz w:val="24"/>
          <w:szCs w:val="24"/>
        </w:rPr>
        <w:t>。〔接口处不填〕</w:t>
      </w:r>
    </w:p>
    <w:p w14:paraId="3C1997AB">
      <w:pPr>
        <w:pStyle w:val="2"/>
        <w:spacing w:before="117" w:line="217" w:lineRule="auto"/>
        <w:ind w:left="1891"/>
        <w:rPr>
          <w:sz w:val="24"/>
          <w:szCs w:val="24"/>
        </w:rPr>
      </w:pPr>
      <w:r>
        <w:rPr>
          <w:spacing w:val="-21"/>
          <w:sz w:val="24"/>
          <w:szCs w:val="24"/>
        </w:rPr>
        <w:t>e、试压管段的所有敞口应堵严，不能有漏水现象。</w:t>
      </w:r>
    </w:p>
    <w:p w14:paraId="25BC0281">
      <w:pPr>
        <w:pStyle w:val="2"/>
        <w:spacing w:before="116" w:line="216" w:lineRule="auto"/>
        <w:ind w:left="1889"/>
        <w:rPr>
          <w:sz w:val="24"/>
          <w:szCs w:val="24"/>
        </w:rPr>
      </w:pPr>
      <w:r>
        <w:rPr>
          <w:spacing w:val="-20"/>
          <w:sz w:val="24"/>
          <w:szCs w:val="24"/>
        </w:rPr>
        <w:t>f、试压管段不得采用闸阀作试压堵板。</w:t>
      </w:r>
    </w:p>
    <w:p w14:paraId="1F3F3F32">
      <w:pPr>
        <w:pStyle w:val="2"/>
        <w:spacing w:before="120" w:line="218" w:lineRule="auto"/>
        <w:ind w:left="1888"/>
        <w:rPr>
          <w:sz w:val="24"/>
          <w:szCs w:val="24"/>
        </w:rPr>
      </w:pPr>
      <w:r>
        <w:rPr>
          <w:spacing w:val="-19"/>
          <w:sz w:val="24"/>
          <w:szCs w:val="24"/>
        </w:rPr>
        <w:t>2、对试压管段的后背的要求</w:t>
      </w:r>
    </w:p>
    <w:p w14:paraId="14012D75">
      <w:pPr>
        <w:pStyle w:val="2"/>
        <w:spacing w:before="117" w:line="308" w:lineRule="auto"/>
        <w:ind w:left="1458" w:right="1409" w:firstLine="436"/>
        <w:rPr>
          <w:sz w:val="24"/>
          <w:szCs w:val="24"/>
        </w:rPr>
      </w:pPr>
      <w:r>
        <w:rPr>
          <w:spacing w:val="-20"/>
          <w:sz w:val="24"/>
          <w:szCs w:val="24"/>
        </w:rPr>
        <w:t>进行水压试验时，在水的压力的作用下，管端将产生巨大的推力，该推力全部作用在试压段的后背上，如后背不巩固，管段将产生很大的纵向位移，导致接口拔出，甚至于管身产生环</w:t>
      </w:r>
      <w:r>
        <w:rPr>
          <w:spacing w:val="-22"/>
          <w:sz w:val="24"/>
          <w:szCs w:val="24"/>
        </w:rPr>
        <w:t>向开裂，极易引起平安事故，必须加以重视。</w:t>
      </w:r>
    </w:p>
    <w:p w14:paraId="1E651A39">
      <w:pPr>
        <w:pStyle w:val="2"/>
        <w:spacing w:before="2" w:line="260" w:lineRule="auto"/>
        <w:ind w:left="1459" w:right="1412" w:firstLine="427"/>
        <w:rPr>
          <w:sz w:val="24"/>
          <w:szCs w:val="24"/>
        </w:rPr>
      </w:pPr>
      <w:r>
        <w:rPr>
          <w:spacing w:val="-22"/>
          <w:sz w:val="24"/>
          <w:szCs w:val="24"/>
        </w:rPr>
        <w:t>a、试压后背必须设在原状土上，当土质松软时，应采取混凝土、钢筋混凝土墙、板柱或换土夯实等加固措施，以保证后背稳定。</w:t>
      </w:r>
    </w:p>
    <w:p w14:paraId="4817B1E8">
      <w:pPr>
        <w:pStyle w:val="2"/>
        <w:spacing w:before="121" w:line="216" w:lineRule="auto"/>
        <w:ind w:left="1882"/>
        <w:rPr>
          <w:sz w:val="24"/>
          <w:szCs w:val="24"/>
        </w:rPr>
      </w:pPr>
      <w:r>
        <w:rPr>
          <w:spacing w:val="-21"/>
          <w:sz w:val="24"/>
          <w:szCs w:val="24"/>
        </w:rPr>
        <w:t>b、试压后背墙必须平直与管道轴线垂直。</w:t>
      </w:r>
    </w:p>
    <w:p w14:paraId="513E356E">
      <w:pPr>
        <w:pStyle w:val="2"/>
        <w:spacing w:before="120" w:line="215" w:lineRule="auto"/>
        <w:ind w:left="1890"/>
        <w:rPr>
          <w:sz w:val="24"/>
          <w:szCs w:val="24"/>
        </w:rPr>
      </w:pPr>
      <w:r>
        <w:rPr>
          <w:spacing w:val="-18"/>
          <w:sz w:val="24"/>
          <w:szCs w:val="24"/>
        </w:rPr>
        <w:t>c、用天然土作试压后背时，要保存7—10M的沟槽原状</w:t>
      </w:r>
      <w:r>
        <w:rPr>
          <w:spacing w:val="-19"/>
          <w:sz w:val="24"/>
          <w:szCs w:val="24"/>
        </w:rPr>
        <w:t>土不开挖。</w:t>
      </w:r>
    </w:p>
    <w:p w14:paraId="4F43F24B">
      <w:pPr>
        <w:pStyle w:val="2"/>
        <w:spacing w:before="120" w:line="262" w:lineRule="auto"/>
        <w:ind w:left="1470" w:right="1412" w:firstLine="420"/>
        <w:rPr>
          <w:sz w:val="24"/>
          <w:szCs w:val="24"/>
        </w:rPr>
      </w:pPr>
      <w:r>
        <w:rPr>
          <w:spacing w:val="-22"/>
          <w:sz w:val="24"/>
          <w:szCs w:val="24"/>
        </w:rPr>
        <w:t>d、后背支撑的形式：用工字钢纵横交错排列紧贴于土壁上，用千斤顶支撑在堵头，千</w:t>
      </w:r>
      <w:r>
        <w:rPr>
          <w:spacing w:val="-23"/>
          <w:sz w:val="24"/>
          <w:szCs w:val="24"/>
        </w:rPr>
        <w:t>斤顶</w:t>
      </w:r>
      <w:r>
        <w:rPr>
          <w:spacing w:val="-22"/>
          <w:sz w:val="24"/>
          <w:szCs w:val="24"/>
        </w:rPr>
        <w:t>的数量可根据顶力的大小，选用一个或多个千斤顶。</w:t>
      </w:r>
    </w:p>
    <w:p w14:paraId="138200F7">
      <w:pPr>
        <w:pStyle w:val="2"/>
        <w:spacing w:before="119" w:line="220" w:lineRule="auto"/>
        <w:ind w:left="1890"/>
        <w:rPr>
          <w:sz w:val="24"/>
          <w:szCs w:val="24"/>
        </w:rPr>
      </w:pPr>
      <w:r>
        <w:rPr>
          <w:spacing w:val="-18"/>
          <w:sz w:val="24"/>
          <w:szCs w:val="24"/>
        </w:rPr>
        <w:t>3、试压装置</w:t>
      </w:r>
    </w:p>
    <w:tbl>
      <w:tblPr>
        <w:tblStyle w:val="6"/>
        <w:tblW w:w="8549" w:type="dxa"/>
        <w:tblInd w:w="1678" w:type="dxa"/>
        <w:tblBorders>
          <w:top w:val="single" w:color="5B9BD5" w:sz="4" w:space="0"/>
          <w:left w:val="single" w:color="5B9BD5" w:sz="4" w:space="0"/>
          <w:bottom w:val="single" w:color="5B9BD5" w:sz="4" w:space="0"/>
          <w:right w:val="single" w:color="5B9BD5" w:sz="4" w:space="0"/>
          <w:insideH w:val="single" w:color="5B9BD5" w:sz="4" w:space="0"/>
          <w:insideV w:val="single" w:color="5B9BD5" w:sz="4" w:space="0"/>
        </w:tblBorders>
        <w:tblLayout w:type="fixed"/>
        <w:tblCellMar>
          <w:top w:w="0" w:type="dxa"/>
          <w:left w:w="0" w:type="dxa"/>
          <w:bottom w:w="0" w:type="dxa"/>
          <w:right w:w="0" w:type="dxa"/>
        </w:tblCellMar>
      </w:tblPr>
      <w:tblGrid>
        <w:gridCol w:w="87"/>
        <w:gridCol w:w="4187"/>
        <w:gridCol w:w="4275"/>
      </w:tblGrid>
      <w:tr w14:paraId="7F2041F0">
        <w:tblPrEx>
          <w:tblBorders>
            <w:top w:val="single" w:color="5B9BD5" w:sz="4" w:space="0"/>
            <w:left w:val="single" w:color="5B9BD5" w:sz="4" w:space="0"/>
            <w:bottom w:val="single" w:color="5B9BD5" w:sz="4" w:space="0"/>
            <w:right w:val="single" w:color="5B9BD5" w:sz="4" w:space="0"/>
            <w:insideH w:val="single" w:color="5B9BD5" w:sz="4" w:space="0"/>
            <w:insideV w:val="single" w:color="5B9BD5" w:sz="4" w:space="0"/>
          </w:tblBorders>
          <w:tblCellMar>
            <w:top w:w="0" w:type="dxa"/>
            <w:left w:w="0" w:type="dxa"/>
            <w:bottom w:w="0" w:type="dxa"/>
            <w:right w:w="0" w:type="dxa"/>
          </w:tblCellMar>
        </w:tblPrEx>
        <w:trPr>
          <w:trHeight w:val="589" w:hRule="atLeast"/>
        </w:trPr>
        <w:tc>
          <w:tcPr>
            <w:tcW w:w="87" w:type="dxa"/>
            <w:tcBorders>
              <w:bottom w:val="single" w:color="000000" w:sz="2" w:space="0"/>
              <w:right w:val="nil"/>
            </w:tcBorders>
            <w:vAlign w:val="top"/>
          </w:tcPr>
          <w:p w14:paraId="0278C07D">
            <w:pPr>
              <w:rPr>
                <w:rFonts w:ascii="Arial"/>
                <w:sz w:val="21"/>
              </w:rPr>
            </w:pPr>
            <w:r>
              <w:pict>
                <v:shape id="_x0000_s3842" o:spid="_x0000_s3842" style="position:absolute;left:0pt;margin-left:-0.25pt;margin-top:0pt;height:0.75pt;width:2.2pt;mso-position-horizontal-relative:page;mso-position-vertical-relative:page;z-index:252236800;mso-width-relative:page;mso-height-relative:page;" fillcolor="#5B9BD5" filled="t" stroked="f" coordsize="44,15" path="m0,14l43,14,43,0,0,0,0,14xe">
                  <v:path/>
                  <v:fill on="t" focussize="0,0"/>
                  <v:stroke on="f"/>
                  <v:imagedata o:title=""/>
                  <o:lock v:ext="edit"/>
                </v:shape>
              </w:pict>
            </w:r>
          </w:p>
        </w:tc>
        <w:tc>
          <w:tcPr>
            <w:tcW w:w="8462" w:type="dxa"/>
            <w:gridSpan w:val="2"/>
            <w:tcBorders>
              <w:left w:val="nil"/>
              <w:bottom w:val="single" w:color="000000" w:sz="2" w:space="0"/>
            </w:tcBorders>
            <w:shd w:val="clear" w:color="auto" w:fill="DEEAF6"/>
            <w:vAlign w:val="top"/>
          </w:tcPr>
          <w:p w14:paraId="25B1B53B">
            <w:pPr>
              <w:pStyle w:val="7"/>
              <w:spacing w:before="126" w:line="219" w:lineRule="auto"/>
              <w:ind w:left="3328"/>
            </w:pPr>
            <w:r>
              <w:rPr>
                <w:b/>
                <w:bCs/>
                <w:spacing w:val="-21"/>
              </w:rPr>
              <w:t>供水管道水压试验</w:t>
            </w:r>
          </w:p>
        </w:tc>
      </w:tr>
      <w:tr w14:paraId="05432B4C">
        <w:tblPrEx>
          <w:tblBorders>
            <w:top w:val="single" w:color="5B9BD5" w:sz="4" w:space="0"/>
            <w:left w:val="single" w:color="5B9BD5" w:sz="4" w:space="0"/>
            <w:bottom w:val="single" w:color="5B9BD5" w:sz="4" w:space="0"/>
            <w:right w:val="single" w:color="5B9BD5" w:sz="4" w:space="0"/>
            <w:insideH w:val="single" w:color="5B9BD5" w:sz="4" w:space="0"/>
            <w:insideV w:val="single" w:color="5B9BD5" w:sz="4" w:space="0"/>
          </w:tblBorders>
          <w:tblCellMar>
            <w:top w:w="0" w:type="dxa"/>
            <w:left w:w="0" w:type="dxa"/>
            <w:bottom w:w="0" w:type="dxa"/>
            <w:right w:w="0" w:type="dxa"/>
          </w:tblCellMar>
        </w:tblPrEx>
        <w:trPr>
          <w:trHeight w:val="3361" w:hRule="atLeast"/>
        </w:trPr>
        <w:tc>
          <w:tcPr>
            <w:tcW w:w="4274" w:type="dxa"/>
            <w:gridSpan w:val="2"/>
            <w:tcBorders>
              <w:top w:val="single" w:color="000000" w:sz="2" w:space="0"/>
              <w:left w:val="single" w:color="1C456A" w:sz="4" w:space="0"/>
              <w:bottom w:val="single" w:color="1C456A" w:sz="4" w:space="0"/>
              <w:right w:val="single" w:color="000000" w:sz="2" w:space="0"/>
            </w:tcBorders>
            <w:vAlign w:val="top"/>
          </w:tcPr>
          <w:p w14:paraId="1F6205DC">
            <w:pPr>
              <w:spacing w:before="86" w:line="3024" w:lineRule="exact"/>
              <w:ind w:firstLine="121"/>
            </w:pPr>
            <w:r>
              <w:pict>
                <v:shape id="_x0000_s3843" o:spid="_x0000_s3843" style="position:absolute;left:0pt;margin-left:-0.2pt;margin-top:168.05pt;height:0.75pt;width:2.2pt;mso-position-horizontal-relative:page;mso-position-vertical-relative:page;z-index:252235776;mso-width-relative:page;mso-height-relative:page;" fillcolor="#5B9BD5" filled="t" stroked="f" coordsize="44,15" path="m0,14l43,14,43,0,0,0,0,14xe">
                  <v:path/>
                  <v:fill on="t" focussize="0,0"/>
                  <v:stroke on="f"/>
                  <v:imagedata o:title=""/>
                  <o:lock v:ext="edit"/>
                </v:shape>
              </w:pict>
            </w:r>
            <w:r>
              <w:rPr>
                <w:position w:val="-60"/>
              </w:rPr>
              <w:drawing>
                <wp:inline distT="0" distB="0" distL="0" distR="0">
                  <wp:extent cx="2561590" cy="1919605"/>
                  <wp:effectExtent l="0" t="0" r="0" b="0"/>
                  <wp:docPr id="1274" name="IM 1274"/>
                  <wp:cNvGraphicFramePr/>
                  <a:graphic xmlns:a="http://schemas.openxmlformats.org/drawingml/2006/main">
                    <a:graphicData uri="http://schemas.openxmlformats.org/drawingml/2006/picture">
                      <pic:pic xmlns:pic="http://schemas.openxmlformats.org/drawingml/2006/picture">
                        <pic:nvPicPr>
                          <pic:cNvPr id="1274" name="IM 1274"/>
                          <pic:cNvPicPr/>
                        </pic:nvPicPr>
                        <pic:blipFill>
                          <a:blip r:embed="rId510"/>
                          <a:stretch>
                            <a:fillRect/>
                          </a:stretch>
                        </pic:blipFill>
                        <pic:spPr>
                          <a:xfrm>
                            <a:off x="0" y="0"/>
                            <a:ext cx="2561590" cy="1920239"/>
                          </a:xfrm>
                          <a:prstGeom prst="rect">
                            <a:avLst/>
                          </a:prstGeom>
                        </pic:spPr>
                      </pic:pic>
                    </a:graphicData>
                  </a:graphic>
                </wp:inline>
              </w:drawing>
            </w:r>
          </w:p>
        </w:tc>
        <w:tc>
          <w:tcPr>
            <w:tcW w:w="4275" w:type="dxa"/>
            <w:tcBorders>
              <w:top w:val="single" w:color="000000" w:sz="2" w:space="0"/>
              <w:left w:val="single" w:color="000000" w:sz="2" w:space="0"/>
            </w:tcBorders>
            <w:vAlign w:val="top"/>
          </w:tcPr>
          <w:p w14:paraId="51213826">
            <w:pPr>
              <w:spacing w:before="110" w:line="2980" w:lineRule="exact"/>
              <w:ind w:firstLine="110"/>
            </w:pPr>
            <w:r>
              <w:rPr>
                <w:position w:val="-59"/>
              </w:rPr>
              <w:drawing>
                <wp:inline distT="0" distB="0" distL="0" distR="0">
                  <wp:extent cx="2561590" cy="1892300"/>
                  <wp:effectExtent l="0" t="0" r="0" b="0"/>
                  <wp:docPr id="1276" name="IM 1276"/>
                  <wp:cNvGraphicFramePr/>
                  <a:graphic xmlns:a="http://schemas.openxmlformats.org/drawingml/2006/main">
                    <a:graphicData uri="http://schemas.openxmlformats.org/drawingml/2006/picture">
                      <pic:pic xmlns:pic="http://schemas.openxmlformats.org/drawingml/2006/picture">
                        <pic:nvPicPr>
                          <pic:cNvPr id="1276" name="IM 1276"/>
                          <pic:cNvPicPr/>
                        </pic:nvPicPr>
                        <pic:blipFill>
                          <a:blip r:embed="rId660"/>
                          <a:stretch>
                            <a:fillRect/>
                          </a:stretch>
                        </pic:blipFill>
                        <pic:spPr>
                          <a:xfrm>
                            <a:off x="0" y="0"/>
                            <a:ext cx="2561590" cy="1892300"/>
                          </a:xfrm>
                          <a:prstGeom prst="rect">
                            <a:avLst/>
                          </a:prstGeom>
                        </pic:spPr>
                      </pic:pic>
                    </a:graphicData>
                  </a:graphic>
                </wp:inline>
              </w:drawing>
            </w:r>
          </w:p>
        </w:tc>
      </w:tr>
    </w:tbl>
    <w:p w14:paraId="7E5C4868">
      <w:pPr>
        <w:pStyle w:val="2"/>
        <w:spacing w:before="113" w:line="278" w:lineRule="auto"/>
        <w:ind w:left="1456" w:right="1412" w:firstLine="430"/>
        <w:rPr>
          <w:sz w:val="24"/>
          <w:szCs w:val="24"/>
        </w:rPr>
      </w:pPr>
      <w:r>
        <w:rPr>
          <w:spacing w:val="-21"/>
          <w:sz w:val="24"/>
          <w:szCs w:val="24"/>
        </w:rPr>
        <w:t>a、压力表：弹簧压力表的精度不能低于1.5级，即</w:t>
      </w:r>
      <w:r>
        <w:rPr>
          <w:spacing w:val="-22"/>
          <w:sz w:val="24"/>
          <w:szCs w:val="24"/>
        </w:rPr>
        <w:t>压力表最大允许误差不超过最高刻度的</w:t>
      </w:r>
      <w:r>
        <w:rPr>
          <w:spacing w:val="-21"/>
          <w:sz w:val="24"/>
          <w:szCs w:val="24"/>
        </w:rPr>
        <w:t>1.5%。最大量程应为试验压力的1.5倍。为方便读数，表壳的公称直径不应小于1</w:t>
      </w:r>
      <w:r>
        <w:rPr>
          <w:spacing w:val="-22"/>
          <w:sz w:val="24"/>
          <w:szCs w:val="24"/>
        </w:rPr>
        <w:t>50mm。且在使</w:t>
      </w:r>
      <w:r>
        <w:rPr>
          <w:spacing w:val="-18"/>
          <w:sz w:val="24"/>
          <w:szCs w:val="24"/>
        </w:rPr>
        <w:t>用前应校正。</w:t>
      </w:r>
    </w:p>
    <w:p w14:paraId="11BEA6F0">
      <w:pPr>
        <w:pStyle w:val="2"/>
        <w:spacing w:before="116" w:line="218" w:lineRule="auto"/>
        <w:ind w:left="1882"/>
        <w:rPr>
          <w:sz w:val="24"/>
          <w:szCs w:val="24"/>
        </w:rPr>
      </w:pPr>
      <w:r>
        <w:rPr>
          <w:spacing w:val="-19"/>
          <w:sz w:val="24"/>
          <w:szCs w:val="24"/>
        </w:rPr>
        <w:t>b、加压泵：采用多级离心泵。</w:t>
      </w:r>
    </w:p>
    <w:p w14:paraId="73208D14">
      <w:pPr>
        <w:pStyle w:val="2"/>
        <w:spacing w:before="117" w:line="215" w:lineRule="auto"/>
        <w:ind w:left="1890"/>
        <w:rPr>
          <w:sz w:val="24"/>
          <w:szCs w:val="24"/>
        </w:rPr>
      </w:pPr>
      <w:r>
        <w:rPr>
          <w:spacing w:val="-21"/>
          <w:sz w:val="24"/>
          <w:szCs w:val="24"/>
        </w:rPr>
        <w:t>c、加压泵、压力表应安装在试验段下游端部与管道轴线垂直的支管上。</w:t>
      </w:r>
    </w:p>
    <w:p w14:paraId="7CC45A9B">
      <w:pPr>
        <w:pStyle w:val="2"/>
        <w:spacing w:before="122" w:line="217" w:lineRule="auto"/>
        <w:ind w:left="1890"/>
        <w:rPr>
          <w:sz w:val="24"/>
          <w:szCs w:val="24"/>
        </w:rPr>
      </w:pPr>
      <w:r>
        <w:rPr>
          <w:spacing w:val="-21"/>
          <w:sz w:val="24"/>
          <w:szCs w:val="24"/>
        </w:rPr>
        <w:t>d、试压堵板：堵板必须有足够的强度，试</w:t>
      </w:r>
      <w:r>
        <w:rPr>
          <w:spacing w:val="-22"/>
          <w:sz w:val="24"/>
          <w:szCs w:val="24"/>
        </w:rPr>
        <w:t>压过程中，堵板不能变形，与管道的接口处不能</w:t>
      </w:r>
    </w:p>
    <w:p w14:paraId="11A18589">
      <w:pPr>
        <w:spacing w:line="217" w:lineRule="auto"/>
        <w:rPr>
          <w:sz w:val="24"/>
          <w:szCs w:val="24"/>
        </w:rPr>
        <w:sectPr>
          <w:footerReference r:id="rId306" w:type="default"/>
          <w:pgSz w:w="11907" w:h="16839"/>
          <w:pgMar w:top="933" w:right="4" w:bottom="1038" w:left="0" w:header="478" w:footer="357" w:gutter="0"/>
          <w:pgBorders>
            <w:top w:val="none" w:sz="0" w:space="0"/>
            <w:left w:val="none" w:sz="0" w:space="0"/>
            <w:bottom w:val="none" w:sz="0" w:space="0"/>
            <w:right w:val="none" w:sz="0" w:space="0"/>
          </w:pgBorders>
          <w:cols w:space="720" w:num="1"/>
        </w:sectPr>
      </w:pPr>
    </w:p>
    <w:p w14:paraId="13858152">
      <w:pPr>
        <w:spacing w:line="271" w:lineRule="auto"/>
        <w:rPr>
          <w:rFonts w:ascii="Arial"/>
          <w:sz w:val="21"/>
        </w:rPr>
      </w:pPr>
    </w:p>
    <w:p w14:paraId="234DEA51">
      <w:pPr>
        <w:pStyle w:val="2"/>
        <w:spacing w:before="78" w:line="219" w:lineRule="auto"/>
        <w:ind w:left="1460"/>
        <w:rPr>
          <w:sz w:val="24"/>
          <w:szCs w:val="24"/>
        </w:rPr>
      </w:pPr>
      <w:r>
        <w:rPr>
          <w:spacing w:val="-14"/>
          <w:sz w:val="24"/>
          <w:szCs w:val="24"/>
        </w:rPr>
        <w:t>漏水。</w:t>
      </w:r>
    </w:p>
    <w:p w14:paraId="191E4C73">
      <w:pPr>
        <w:pStyle w:val="2"/>
        <w:spacing w:before="116" w:line="218" w:lineRule="auto"/>
        <w:ind w:left="1884"/>
        <w:rPr>
          <w:sz w:val="24"/>
          <w:szCs w:val="24"/>
        </w:rPr>
      </w:pPr>
      <w:r>
        <w:rPr>
          <w:spacing w:val="-17"/>
          <w:sz w:val="24"/>
          <w:szCs w:val="24"/>
        </w:rPr>
        <w:t>4、试压时的要求</w:t>
      </w:r>
    </w:p>
    <w:p w14:paraId="70EE8F39">
      <w:pPr>
        <w:pStyle w:val="2"/>
        <w:spacing w:before="114" w:line="216" w:lineRule="auto"/>
        <w:ind w:left="1886"/>
        <w:rPr>
          <w:sz w:val="24"/>
          <w:szCs w:val="24"/>
        </w:rPr>
      </w:pPr>
      <w:r>
        <w:rPr>
          <w:spacing w:val="-18"/>
          <w:sz w:val="24"/>
          <w:szCs w:val="24"/>
        </w:rPr>
        <w:t>a、管道实验压力为管道特性压力+2MPa。</w:t>
      </w:r>
    </w:p>
    <w:p w14:paraId="7357E7CE">
      <w:pPr>
        <w:pStyle w:val="2"/>
        <w:spacing w:before="120" w:line="262" w:lineRule="auto"/>
        <w:ind w:left="1475" w:right="1414" w:firstLine="406"/>
        <w:rPr>
          <w:sz w:val="24"/>
          <w:szCs w:val="24"/>
        </w:rPr>
      </w:pPr>
      <w:r>
        <w:rPr>
          <w:spacing w:val="-20"/>
          <w:sz w:val="24"/>
          <w:szCs w:val="24"/>
        </w:rPr>
        <w:t>b、管道充水：管道试压前3天，向试压管道充水</w:t>
      </w:r>
      <w:r>
        <w:rPr>
          <w:spacing w:val="-21"/>
          <w:sz w:val="24"/>
          <w:szCs w:val="24"/>
        </w:rPr>
        <w:t>，充水时水自管道低端流入，并翻开排气</w:t>
      </w:r>
      <w:r>
        <w:rPr>
          <w:spacing w:val="-23"/>
          <w:sz w:val="24"/>
          <w:szCs w:val="24"/>
        </w:rPr>
        <w:t>阀，当充水至排出的水流中不带气泡且水流连续时，</w:t>
      </w:r>
    </w:p>
    <w:p w14:paraId="2D4AA911">
      <w:pPr>
        <w:pStyle w:val="2"/>
        <w:spacing w:before="118" w:line="217" w:lineRule="auto"/>
        <w:ind w:left="1899"/>
        <w:rPr>
          <w:sz w:val="24"/>
          <w:szCs w:val="24"/>
        </w:rPr>
      </w:pPr>
      <w:r>
        <w:rPr>
          <w:spacing w:val="-20"/>
          <w:sz w:val="24"/>
          <w:szCs w:val="24"/>
        </w:rPr>
        <w:t>关闭排气阀，停止充水。试压前管道充水浸泡的时间不少于48小时。</w:t>
      </w:r>
    </w:p>
    <w:p w14:paraId="27548AE3">
      <w:pPr>
        <w:pStyle w:val="2"/>
        <w:spacing w:before="117" w:line="308" w:lineRule="auto"/>
        <w:ind w:left="1457" w:right="1410" w:firstLine="433"/>
        <w:jc w:val="both"/>
        <w:rPr>
          <w:sz w:val="24"/>
          <w:szCs w:val="24"/>
        </w:rPr>
      </w:pPr>
      <w:r>
        <w:rPr>
          <w:spacing w:val="-22"/>
          <w:sz w:val="24"/>
          <w:szCs w:val="24"/>
        </w:rPr>
        <w:t>c、升压：水压试验前，应屡次进行初步升压试验方可将管道内的气体排尽，当且仅</w:t>
      </w:r>
      <w:r>
        <w:rPr>
          <w:spacing w:val="-23"/>
          <w:sz w:val="24"/>
          <w:szCs w:val="24"/>
        </w:rPr>
        <w:t>当确定</w:t>
      </w:r>
      <w:r>
        <w:rPr>
          <w:spacing w:val="-22"/>
          <w:sz w:val="24"/>
          <w:szCs w:val="24"/>
        </w:rPr>
        <w:t>管道内的气体排尽后，才能进行水压试验。出现以下3种情况说明管道内的气体未排干净，应</w:t>
      </w:r>
      <w:r>
        <w:rPr>
          <w:spacing w:val="-19"/>
          <w:sz w:val="24"/>
          <w:szCs w:val="24"/>
        </w:rPr>
        <w:t>继续排气：A、升压时，水泵不断充水，但升压很慢；B、升压时，压力表</w:t>
      </w:r>
      <w:r>
        <w:rPr>
          <w:spacing w:val="-20"/>
          <w:sz w:val="24"/>
          <w:szCs w:val="24"/>
        </w:rPr>
        <w:t>指针摆动幅度很大且</w:t>
      </w:r>
      <w:r>
        <w:rPr>
          <w:spacing w:val="-21"/>
          <w:sz w:val="24"/>
          <w:szCs w:val="24"/>
        </w:rPr>
        <w:t>读数不稳定；C、当升压至80%时，停止升压，翻开放水阀门，水柱中有“突突〞的声响</w:t>
      </w:r>
      <w:r>
        <w:rPr>
          <w:spacing w:val="-22"/>
          <w:sz w:val="24"/>
          <w:szCs w:val="24"/>
        </w:rPr>
        <w:t>并喷出</w:t>
      </w:r>
      <w:r>
        <w:rPr>
          <w:spacing w:val="-20"/>
          <w:sz w:val="24"/>
          <w:szCs w:val="24"/>
        </w:rPr>
        <w:t>许多气泡。升压时要分级升压，每次以0.2Mpa为一级，每升一级检查后背、管身及接口，当确定无异常后，才能继续升压。水压试验时，后背顶撑和管道两端严禁站人。水压试验时，严禁</w:t>
      </w:r>
      <w:r>
        <w:rPr>
          <w:spacing w:val="-22"/>
          <w:sz w:val="24"/>
          <w:szCs w:val="24"/>
        </w:rPr>
        <w:t>对管身、接口进行敲打或修补缺陷，遇有缺陷时，应作出标记，卸压后才能修补。</w:t>
      </w:r>
    </w:p>
    <w:p w14:paraId="0CB5DD4E">
      <w:pPr>
        <w:pStyle w:val="2"/>
        <w:spacing w:line="218" w:lineRule="auto"/>
        <w:ind w:left="1890"/>
        <w:rPr>
          <w:sz w:val="24"/>
          <w:szCs w:val="24"/>
        </w:rPr>
      </w:pPr>
      <w:r>
        <w:rPr>
          <w:spacing w:val="-19"/>
          <w:sz w:val="24"/>
          <w:szCs w:val="24"/>
        </w:rPr>
        <w:t>5、水压试验的要求和标准</w:t>
      </w:r>
    </w:p>
    <w:p w14:paraId="0BC04937">
      <w:pPr>
        <w:pStyle w:val="2"/>
        <w:spacing w:before="115" w:line="212" w:lineRule="auto"/>
        <w:ind w:left="1886"/>
        <w:rPr>
          <w:sz w:val="24"/>
          <w:szCs w:val="24"/>
        </w:rPr>
      </w:pPr>
      <w:r>
        <w:rPr>
          <w:spacing w:val="-17"/>
          <w:sz w:val="24"/>
          <w:szCs w:val="24"/>
        </w:rPr>
        <w:t>a、在整个试压期间，不管管段有多长，压力下降</w:t>
      </w:r>
      <w:r>
        <w:rPr>
          <w:spacing w:val="-18"/>
          <w:sz w:val="24"/>
          <w:szCs w:val="24"/>
        </w:rPr>
        <w:t>值不超过0.3Mpa。</w:t>
      </w:r>
    </w:p>
    <w:p w14:paraId="09F156D4">
      <w:pPr>
        <w:pStyle w:val="2"/>
        <w:spacing w:before="125" w:line="215" w:lineRule="auto"/>
        <w:ind w:left="1882"/>
        <w:rPr>
          <w:sz w:val="24"/>
          <w:szCs w:val="24"/>
        </w:rPr>
      </w:pPr>
      <w:r>
        <w:rPr>
          <w:spacing w:val="-20"/>
          <w:sz w:val="24"/>
          <w:szCs w:val="24"/>
        </w:rPr>
        <w:t>b、在实验压力下，管段不得出现裂缝、变色、渗</w:t>
      </w:r>
      <w:r>
        <w:rPr>
          <w:spacing w:val="-21"/>
          <w:sz w:val="24"/>
          <w:szCs w:val="24"/>
        </w:rPr>
        <w:t>漏等现象。</w:t>
      </w:r>
    </w:p>
    <w:p w14:paraId="3DADEB2D">
      <w:pPr>
        <w:pStyle w:val="2"/>
        <w:spacing w:before="121" w:line="218" w:lineRule="auto"/>
        <w:ind w:left="1887"/>
        <w:rPr>
          <w:sz w:val="24"/>
          <w:szCs w:val="24"/>
        </w:rPr>
      </w:pPr>
      <w:r>
        <w:rPr>
          <w:spacing w:val="-18"/>
          <w:sz w:val="24"/>
          <w:szCs w:val="24"/>
        </w:rPr>
        <w:t>6、试压报告</w:t>
      </w:r>
    </w:p>
    <w:p w14:paraId="19C7A3DD">
      <w:pPr>
        <w:pStyle w:val="2"/>
        <w:spacing w:before="115" w:line="218" w:lineRule="auto"/>
        <w:ind w:left="1901"/>
        <w:rPr>
          <w:sz w:val="24"/>
          <w:szCs w:val="24"/>
        </w:rPr>
      </w:pPr>
      <w:r>
        <w:rPr>
          <w:spacing w:val="-22"/>
          <w:sz w:val="24"/>
          <w:szCs w:val="24"/>
        </w:rPr>
        <w:t>每次试压必须出具业主和承包商认可的报告。包括以下内容：</w:t>
      </w:r>
    </w:p>
    <w:p w14:paraId="7803E693">
      <w:pPr>
        <w:pStyle w:val="2"/>
        <w:spacing w:before="118" w:line="219" w:lineRule="auto"/>
        <w:ind w:left="1886"/>
        <w:rPr>
          <w:sz w:val="24"/>
          <w:szCs w:val="24"/>
        </w:rPr>
      </w:pPr>
      <w:r>
        <w:rPr>
          <w:spacing w:val="-20"/>
          <w:sz w:val="24"/>
          <w:szCs w:val="24"/>
        </w:rPr>
        <w:t>a、试压日期，编号。</w:t>
      </w:r>
    </w:p>
    <w:p w14:paraId="1BC1DBE0">
      <w:pPr>
        <w:pStyle w:val="2"/>
        <w:spacing w:before="117" w:line="217" w:lineRule="auto"/>
        <w:ind w:left="1882"/>
        <w:rPr>
          <w:sz w:val="24"/>
          <w:szCs w:val="24"/>
        </w:rPr>
      </w:pPr>
      <w:r>
        <w:rPr>
          <w:spacing w:val="-18"/>
          <w:sz w:val="24"/>
          <w:szCs w:val="24"/>
        </w:rPr>
        <w:t>b、试压管段的准确位置。</w:t>
      </w:r>
    </w:p>
    <w:p w14:paraId="6D7A1F88">
      <w:pPr>
        <w:pStyle w:val="2"/>
        <w:spacing w:before="115" w:line="216" w:lineRule="auto"/>
        <w:ind w:left="1890"/>
        <w:rPr>
          <w:sz w:val="24"/>
          <w:szCs w:val="24"/>
        </w:rPr>
      </w:pPr>
      <w:r>
        <w:rPr>
          <w:spacing w:val="-21"/>
          <w:sz w:val="24"/>
          <w:szCs w:val="24"/>
        </w:rPr>
        <w:t>c、试压草图，标明管道安装顺序、接头、阀门、仪器的数</w:t>
      </w:r>
      <w:r>
        <w:rPr>
          <w:spacing w:val="-22"/>
          <w:sz w:val="24"/>
          <w:szCs w:val="24"/>
        </w:rPr>
        <w:t>量和特性。</w:t>
      </w:r>
    </w:p>
    <w:p w14:paraId="1E261FEE">
      <w:pPr>
        <w:pStyle w:val="2"/>
        <w:spacing w:before="121" w:line="218" w:lineRule="auto"/>
        <w:ind w:left="1890"/>
        <w:rPr>
          <w:sz w:val="24"/>
          <w:szCs w:val="24"/>
        </w:rPr>
      </w:pPr>
      <w:r>
        <w:rPr>
          <w:spacing w:val="-20"/>
          <w:sz w:val="24"/>
          <w:szCs w:val="24"/>
        </w:rPr>
        <w:t>d、试压持续时间、压力、结论。</w:t>
      </w:r>
    </w:p>
    <w:p w14:paraId="645B7E29">
      <w:pPr>
        <w:pStyle w:val="2"/>
        <w:spacing w:before="117" w:line="218" w:lineRule="auto"/>
        <w:ind w:left="1891"/>
        <w:rPr>
          <w:sz w:val="24"/>
          <w:szCs w:val="24"/>
        </w:rPr>
      </w:pPr>
      <w:r>
        <w:rPr>
          <w:spacing w:val="-19"/>
          <w:sz w:val="24"/>
          <w:szCs w:val="24"/>
        </w:rPr>
        <w:t>e、修理的决定。</w:t>
      </w:r>
    </w:p>
    <w:p w14:paraId="3D2B4086">
      <w:pPr>
        <w:pStyle w:val="2"/>
        <w:spacing w:before="115" w:line="217" w:lineRule="auto"/>
        <w:ind w:left="1888"/>
        <w:rPr>
          <w:sz w:val="24"/>
          <w:szCs w:val="24"/>
        </w:rPr>
      </w:pPr>
      <w:r>
        <w:rPr>
          <w:spacing w:val="-17"/>
          <w:sz w:val="24"/>
          <w:szCs w:val="24"/>
        </w:rPr>
        <w:t>2.2供水管道冲洗消毒</w:t>
      </w:r>
    </w:p>
    <w:p w14:paraId="21E86195">
      <w:pPr>
        <w:pStyle w:val="2"/>
        <w:spacing w:before="119" w:line="217" w:lineRule="auto"/>
        <w:ind w:left="1903"/>
        <w:rPr>
          <w:sz w:val="24"/>
          <w:szCs w:val="24"/>
        </w:rPr>
      </w:pPr>
      <w:r>
        <w:rPr>
          <w:spacing w:val="-18"/>
          <w:sz w:val="24"/>
          <w:szCs w:val="24"/>
        </w:rPr>
        <w:t>1、施工前准备</w:t>
      </w:r>
    </w:p>
    <w:p w14:paraId="3307C662">
      <w:pPr>
        <w:spacing w:line="35" w:lineRule="auto"/>
        <w:rPr>
          <w:rFonts w:ascii="Arial"/>
          <w:sz w:val="2"/>
        </w:rPr>
      </w:pPr>
    </w:p>
    <w:tbl>
      <w:tblPr>
        <w:tblStyle w:val="6"/>
        <w:tblW w:w="8549" w:type="dxa"/>
        <w:tblInd w:w="167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285"/>
        <w:gridCol w:w="4264"/>
      </w:tblGrid>
      <w:tr w14:paraId="31BEED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1" w:hRule="atLeast"/>
        </w:trPr>
        <w:tc>
          <w:tcPr>
            <w:tcW w:w="4285" w:type="dxa"/>
            <w:tcBorders>
              <w:top w:val="single" w:color="000000" w:sz="4" w:space="0"/>
              <w:left w:val="single" w:color="000000" w:sz="4" w:space="0"/>
            </w:tcBorders>
            <w:shd w:val="clear" w:color="auto" w:fill="DEEAF6"/>
            <w:vAlign w:val="top"/>
          </w:tcPr>
          <w:p w14:paraId="5C048FE9">
            <w:pPr>
              <w:spacing w:line="33" w:lineRule="exact"/>
              <w:ind w:firstLine="4264"/>
            </w:pPr>
            <w:r>
              <w:pict>
                <v:shape id="_x0000_s3844" o:spid="_x0000_s3844" style="position:absolute;left:0pt;margin-left:-0.2pt;margin-top:0.05pt;height:0.75pt;width:2.2pt;mso-position-horizontal-relative:page;mso-position-vertical-relative:page;z-index:252237824;mso-width-relative:page;mso-height-relative:page;" fillcolor="#5B9BD5" filled="t" stroked="f" coordsize="44,15" path="m0,14l43,14,43,0,0,0,0,14xe">
                  <v:path/>
                  <v:fill on="t" focussize="0,0"/>
                  <v:stroke on="f"/>
                  <v:imagedata o:title=""/>
                  <o:lock v:ext="edit"/>
                </v:shape>
              </w:pict>
            </w:r>
            <w:r>
              <w:pict>
                <v:group id="_x0000_s3845" o:spid="_x0000_s3845" o:spt="203" style="height:2.2pt;width:2.2pt;" coordsize="44,44">
                  <o:lock v:ext="edit"/>
                  <v:shape id="_x0000_s3846" o:spid="_x0000_s3846" style="position:absolute;left:0;top:0;height:15;width:44;" fillcolor="#5B9BD5" filled="t" stroked="f" coordsize="44,15" path="m0,14l43,14,43,0,0,0,0,14xe">
                    <v:path/>
                    <v:fill on="t" focussize="0,0"/>
                    <v:stroke on="f"/>
                    <v:imagedata o:title=""/>
                    <o:lock v:ext="edit"/>
                  </v:shape>
                  <v:shape id="_x0000_s3847" o:spid="_x0000_s3847" style="position:absolute;left:0;top:14;height:15;width:44;" fillcolor="#20507B" filled="t" stroked="f" coordsize="44,15" path="m0,14l43,14,43,0,0,0,0,14xe">
                    <v:path/>
                    <v:fill on="t" focussize="0,0"/>
                    <v:stroke on="f"/>
                    <v:imagedata o:title=""/>
                    <o:lock v:ext="edit"/>
                  </v:shape>
                  <v:shape id="_x0000_s3848" o:spid="_x0000_s3848" style="position:absolute;left:0;top:28;height:15;width:44;" fillcolor="#1C456A" filled="t" stroked="f" coordsize="44,15" path="m0,14l43,14,43,0,0,0,0,14xe">
                    <v:path/>
                    <v:fill on="t" focussize="0,0"/>
                    <v:stroke on="f"/>
                    <v:imagedata o:title=""/>
                    <o:lock v:ext="edit"/>
                  </v:shape>
                  <w10:wrap type="none"/>
                  <w10:anchorlock/>
                </v:group>
              </w:pict>
            </w:r>
          </w:p>
          <w:p w14:paraId="0C00356B">
            <w:pPr>
              <w:pStyle w:val="7"/>
              <w:spacing w:before="94" w:line="217" w:lineRule="auto"/>
              <w:ind w:left="1511"/>
            </w:pPr>
            <w:r>
              <w:rPr>
                <w:b/>
                <w:bCs/>
                <w:spacing w:val="-22"/>
              </w:rPr>
              <w:t>管道全面消毒</w:t>
            </w:r>
          </w:p>
        </w:tc>
        <w:tc>
          <w:tcPr>
            <w:tcW w:w="4264" w:type="dxa"/>
            <w:tcBorders>
              <w:top w:val="single" w:color="5B9BD5" w:sz="4" w:space="0"/>
              <w:right w:val="single" w:color="5B9BD5" w:sz="4" w:space="0"/>
            </w:tcBorders>
            <w:shd w:val="clear" w:color="auto" w:fill="DEEAF6"/>
            <w:vAlign w:val="top"/>
          </w:tcPr>
          <w:p w14:paraId="6740BCDE">
            <w:pPr>
              <w:pStyle w:val="7"/>
              <w:spacing w:before="127" w:line="218" w:lineRule="auto"/>
              <w:ind w:left="1724"/>
            </w:pPr>
            <w:r>
              <w:rPr>
                <w:b/>
                <w:bCs/>
                <w:spacing w:val="-24"/>
              </w:rPr>
              <w:t>内衬清洗</w:t>
            </w:r>
          </w:p>
        </w:tc>
      </w:tr>
      <w:tr w14:paraId="47209E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1" w:hRule="atLeast"/>
        </w:trPr>
        <w:tc>
          <w:tcPr>
            <w:tcW w:w="4285" w:type="dxa"/>
            <w:tcBorders>
              <w:left w:val="single" w:color="1C456A" w:sz="4" w:space="0"/>
              <w:bottom w:val="single" w:color="1C456A" w:sz="4" w:space="0"/>
            </w:tcBorders>
            <w:vAlign w:val="top"/>
          </w:tcPr>
          <w:p w14:paraId="4B8CFBFD">
            <w:pPr>
              <w:spacing w:before="165" w:line="2916" w:lineRule="exact"/>
              <w:ind w:firstLine="80"/>
            </w:pPr>
            <w:r>
              <w:pict>
                <v:shape id="_x0000_s3849" o:spid="_x0000_s3849" style="position:absolute;left:0pt;margin-left:-0.2pt;margin-top:170.6pt;height:0.75pt;width:2.2pt;mso-position-horizontal-relative:page;mso-position-vertical-relative:page;z-index:252238848;mso-width-relative:page;mso-height-relative:page;" fillcolor="#5B9BD5" filled="t" stroked="f" coordsize="44,15" path="m0,14l43,14,43,0,0,0,0,14xe">
                  <v:path/>
                  <v:fill on="t" focussize="0,0"/>
                  <v:stroke on="f"/>
                  <v:imagedata o:title=""/>
                  <o:lock v:ext="edit"/>
                </v:shape>
              </w:pict>
            </w:r>
            <w:r>
              <w:rPr>
                <w:position w:val="-58"/>
              </w:rPr>
              <w:drawing>
                <wp:inline distT="0" distB="0" distL="0" distR="0">
                  <wp:extent cx="2613660" cy="1851660"/>
                  <wp:effectExtent l="0" t="0" r="0" b="0"/>
                  <wp:docPr id="1280" name="IM 1280"/>
                  <wp:cNvGraphicFramePr/>
                  <a:graphic xmlns:a="http://schemas.openxmlformats.org/drawingml/2006/main">
                    <a:graphicData uri="http://schemas.openxmlformats.org/drawingml/2006/picture">
                      <pic:pic xmlns:pic="http://schemas.openxmlformats.org/drawingml/2006/picture">
                        <pic:nvPicPr>
                          <pic:cNvPr id="1280" name="IM 1280"/>
                          <pic:cNvPicPr/>
                        </pic:nvPicPr>
                        <pic:blipFill>
                          <a:blip r:embed="rId661"/>
                          <a:stretch>
                            <a:fillRect/>
                          </a:stretch>
                        </pic:blipFill>
                        <pic:spPr>
                          <a:xfrm>
                            <a:off x="0" y="0"/>
                            <a:ext cx="2613660" cy="1851660"/>
                          </a:xfrm>
                          <a:prstGeom prst="rect">
                            <a:avLst/>
                          </a:prstGeom>
                        </pic:spPr>
                      </pic:pic>
                    </a:graphicData>
                  </a:graphic>
                </wp:inline>
              </w:drawing>
            </w:r>
          </w:p>
        </w:tc>
        <w:tc>
          <w:tcPr>
            <w:tcW w:w="4264" w:type="dxa"/>
            <w:tcBorders>
              <w:bottom w:val="single" w:color="5B9BD5" w:sz="4" w:space="0"/>
              <w:right w:val="single" w:color="5B9BD5" w:sz="4" w:space="0"/>
            </w:tcBorders>
            <w:vAlign w:val="top"/>
          </w:tcPr>
          <w:p w14:paraId="395E0854">
            <w:pPr>
              <w:spacing w:before="84" w:line="3079" w:lineRule="exact"/>
              <w:ind w:firstLine="96"/>
            </w:pPr>
            <w:r>
              <w:rPr>
                <w:position w:val="-61"/>
              </w:rPr>
              <w:drawing>
                <wp:inline distT="0" distB="0" distL="0" distR="0">
                  <wp:extent cx="2563495" cy="1954530"/>
                  <wp:effectExtent l="0" t="0" r="0" b="0"/>
                  <wp:docPr id="1282" name="IM 1282"/>
                  <wp:cNvGraphicFramePr/>
                  <a:graphic xmlns:a="http://schemas.openxmlformats.org/drawingml/2006/main">
                    <a:graphicData uri="http://schemas.openxmlformats.org/drawingml/2006/picture">
                      <pic:pic xmlns:pic="http://schemas.openxmlformats.org/drawingml/2006/picture">
                        <pic:nvPicPr>
                          <pic:cNvPr id="1282" name="IM 1282"/>
                          <pic:cNvPicPr/>
                        </pic:nvPicPr>
                        <pic:blipFill>
                          <a:blip r:embed="rId662"/>
                          <a:stretch>
                            <a:fillRect/>
                          </a:stretch>
                        </pic:blipFill>
                        <pic:spPr>
                          <a:xfrm>
                            <a:off x="0" y="0"/>
                            <a:ext cx="2563495" cy="1955164"/>
                          </a:xfrm>
                          <a:prstGeom prst="rect">
                            <a:avLst/>
                          </a:prstGeom>
                        </pic:spPr>
                      </pic:pic>
                    </a:graphicData>
                  </a:graphic>
                </wp:inline>
              </w:drawing>
            </w:r>
          </w:p>
        </w:tc>
      </w:tr>
    </w:tbl>
    <w:p w14:paraId="1B583508">
      <w:pPr>
        <w:rPr>
          <w:rFonts w:ascii="Arial"/>
          <w:sz w:val="21"/>
        </w:rPr>
      </w:pPr>
    </w:p>
    <w:p w14:paraId="01411720">
      <w:pPr>
        <w:rPr>
          <w:rFonts w:ascii="Arial" w:hAnsi="Arial" w:eastAsia="Arial" w:cs="Arial"/>
          <w:sz w:val="21"/>
          <w:szCs w:val="21"/>
        </w:rPr>
        <w:sectPr>
          <w:footerReference r:id="rId307" w:type="default"/>
          <w:pgSz w:w="11907" w:h="16839"/>
          <w:pgMar w:top="933" w:right="4" w:bottom="1038" w:left="0" w:header="478" w:footer="357" w:gutter="0"/>
          <w:pgBorders>
            <w:top w:val="none" w:sz="0" w:space="0"/>
            <w:left w:val="none" w:sz="0" w:space="0"/>
            <w:bottom w:val="none" w:sz="0" w:space="0"/>
            <w:right w:val="none" w:sz="0" w:space="0"/>
          </w:pgBorders>
          <w:cols w:space="720" w:num="1"/>
        </w:sectPr>
      </w:pPr>
    </w:p>
    <w:p w14:paraId="109E0808">
      <w:pPr>
        <w:spacing w:line="271" w:lineRule="auto"/>
        <w:rPr>
          <w:rFonts w:ascii="Arial"/>
          <w:sz w:val="21"/>
        </w:rPr>
      </w:pPr>
    </w:p>
    <w:p w14:paraId="4B6C38D9">
      <w:pPr>
        <w:pStyle w:val="2"/>
        <w:spacing w:before="78" w:line="217" w:lineRule="auto"/>
        <w:ind w:left="1903"/>
        <w:rPr>
          <w:sz w:val="24"/>
          <w:szCs w:val="24"/>
        </w:rPr>
      </w:pPr>
      <w:r>
        <w:rPr>
          <w:spacing w:val="-21"/>
          <w:sz w:val="24"/>
          <w:szCs w:val="24"/>
        </w:rPr>
        <w:t>1.1冲洗管道的水质符合国家水质标准，且水量充足，以确保可以随时对管道进行冲洗。</w:t>
      </w:r>
    </w:p>
    <w:p w14:paraId="51DCD3AF">
      <w:pPr>
        <w:pStyle w:val="2"/>
        <w:spacing w:before="119" w:line="215" w:lineRule="auto"/>
        <w:ind w:left="1903"/>
        <w:rPr>
          <w:sz w:val="24"/>
          <w:szCs w:val="24"/>
        </w:rPr>
      </w:pPr>
      <w:r>
        <w:rPr>
          <w:spacing w:val="-21"/>
          <w:sz w:val="24"/>
          <w:szCs w:val="24"/>
        </w:rPr>
        <w:t>1.2对进行冲洗的管线进行一次全面检查，以确保在冲洗过程中没有管道漏水等情况发生。</w:t>
      </w:r>
    </w:p>
    <w:p w14:paraId="0622BD7F">
      <w:pPr>
        <w:pStyle w:val="2"/>
        <w:spacing w:before="119" w:line="217" w:lineRule="auto"/>
        <w:ind w:left="1888"/>
        <w:rPr>
          <w:sz w:val="24"/>
          <w:szCs w:val="24"/>
        </w:rPr>
      </w:pPr>
      <w:r>
        <w:rPr>
          <w:spacing w:val="-19"/>
          <w:sz w:val="24"/>
          <w:szCs w:val="24"/>
        </w:rPr>
        <w:t>2、管道冲洗消毒实施方案</w:t>
      </w:r>
    </w:p>
    <w:p w14:paraId="1551DB02">
      <w:pPr>
        <w:pStyle w:val="2"/>
        <w:spacing w:before="118" w:line="263" w:lineRule="auto"/>
        <w:ind w:left="1470" w:right="1410" w:firstLine="418"/>
        <w:rPr>
          <w:sz w:val="24"/>
          <w:szCs w:val="24"/>
        </w:rPr>
      </w:pPr>
      <w:r>
        <w:rPr>
          <w:spacing w:val="-21"/>
          <w:sz w:val="24"/>
          <w:szCs w:val="24"/>
        </w:rPr>
        <w:t>2.1对管道进行由高至低逐条冲洗，并再次巡视整条</w:t>
      </w:r>
      <w:r>
        <w:rPr>
          <w:spacing w:val="-22"/>
          <w:sz w:val="24"/>
          <w:szCs w:val="24"/>
        </w:rPr>
        <w:t>管线是否有漏油等现象，如有此现象发</w:t>
      </w:r>
      <w:r>
        <w:rPr>
          <w:spacing w:val="-21"/>
          <w:sz w:val="24"/>
          <w:szCs w:val="24"/>
        </w:rPr>
        <w:t>生，立即停止管道冲洗</w:t>
      </w:r>
    </w:p>
    <w:p w14:paraId="74658994">
      <w:pPr>
        <w:pStyle w:val="2"/>
        <w:spacing w:before="114" w:line="218" w:lineRule="auto"/>
        <w:ind w:left="1888"/>
        <w:rPr>
          <w:sz w:val="24"/>
          <w:szCs w:val="24"/>
        </w:rPr>
      </w:pPr>
      <w:r>
        <w:rPr>
          <w:spacing w:val="-16"/>
          <w:sz w:val="24"/>
          <w:szCs w:val="24"/>
        </w:rPr>
        <w:t>2.2冲洗管道时，水的流速大于s。</w:t>
      </w:r>
    </w:p>
    <w:p w14:paraId="704F0B46">
      <w:pPr>
        <w:pStyle w:val="2"/>
        <w:spacing w:before="119" w:line="262" w:lineRule="auto"/>
        <w:ind w:left="1457" w:right="1409" w:firstLine="431"/>
        <w:rPr>
          <w:sz w:val="24"/>
          <w:szCs w:val="24"/>
        </w:rPr>
      </w:pPr>
      <w:r>
        <w:rPr>
          <w:spacing w:val="-23"/>
          <w:sz w:val="24"/>
          <w:szCs w:val="24"/>
        </w:rPr>
        <w:t>2.3管道冲洗所用的清洁水冲洗至出水口水样并用分光光度法（详见附</w:t>
      </w:r>
      <w:r>
        <w:rPr>
          <w:spacing w:val="-24"/>
          <w:sz w:val="24"/>
          <w:szCs w:val="24"/>
        </w:rPr>
        <w:t>表）来确定水的浊度</w:t>
      </w:r>
      <w:r>
        <w:rPr>
          <w:spacing w:val="-15"/>
          <w:sz w:val="24"/>
          <w:szCs w:val="24"/>
        </w:rPr>
        <w:t>是否小于3NTU，当水的浊度小鱼3NTU时，证明冲洗完毕。</w:t>
      </w:r>
    </w:p>
    <w:p w14:paraId="348EA0D8">
      <w:pPr>
        <w:pStyle w:val="2"/>
        <w:spacing w:before="115" w:line="293" w:lineRule="auto"/>
        <w:ind w:left="1456" w:right="1409" w:firstLine="432"/>
        <w:rPr>
          <w:sz w:val="24"/>
          <w:szCs w:val="24"/>
        </w:rPr>
      </w:pPr>
      <w:r>
        <w:rPr>
          <w:spacing w:val="-23"/>
          <w:sz w:val="24"/>
          <w:szCs w:val="24"/>
        </w:rPr>
        <w:t>2.4所有管道冲洗完毕后，将给水管道内的水排净，方便给水管道进行第二次冲洗与消毒作</w:t>
      </w:r>
      <w:r>
        <w:rPr>
          <w:spacing w:val="-20"/>
          <w:sz w:val="24"/>
          <w:szCs w:val="24"/>
        </w:rPr>
        <w:t>业。第二次冲洗前，将给水管道用有效氯离子含量不低于20mg/L的清洁水注入管内，高</w:t>
      </w:r>
      <w:r>
        <w:rPr>
          <w:spacing w:val="-21"/>
          <w:sz w:val="24"/>
          <w:szCs w:val="24"/>
        </w:rPr>
        <w:t>压给水</w:t>
      </w:r>
      <w:r>
        <w:rPr>
          <w:spacing w:val="-20"/>
          <w:sz w:val="24"/>
          <w:szCs w:val="24"/>
        </w:rPr>
        <w:t>管压力控制在，中压给水管压力控制在，低压给水管控制在，以确保管内空气尽快排出，并检</w:t>
      </w:r>
      <w:r>
        <w:rPr>
          <w:spacing w:val="-21"/>
          <w:sz w:val="24"/>
          <w:szCs w:val="24"/>
        </w:rPr>
        <w:t>查管内是否注满水，。注满水后对给水管道进行</w:t>
      </w:r>
      <w:r>
        <w:rPr>
          <w:spacing w:val="-22"/>
          <w:sz w:val="24"/>
          <w:szCs w:val="24"/>
        </w:rPr>
        <w:t>封闭消毒作业。浸泡24h，对给水管道进行第二</w:t>
      </w:r>
      <w:r>
        <w:rPr>
          <w:spacing w:val="-21"/>
          <w:sz w:val="24"/>
          <w:szCs w:val="24"/>
        </w:rPr>
        <w:t>次冲洗，冲洗完毕后，进行水质取样检验，如不符合国家《生活饮用水卫生标准》GB5749将再</w:t>
      </w:r>
      <w:r>
        <w:rPr>
          <w:spacing w:val="-20"/>
          <w:sz w:val="24"/>
          <w:szCs w:val="24"/>
        </w:rPr>
        <w:t>次进行冲洗直至合格为止。</w:t>
      </w:r>
    </w:p>
    <w:p w14:paraId="045B48F8">
      <w:pPr>
        <w:pStyle w:val="2"/>
        <w:spacing w:before="117" w:line="219" w:lineRule="auto"/>
        <w:ind w:left="1890"/>
        <w:rPr>
          <w:sz w:val="24"/>
          <w:szCs w:val="24"/>
        </w:rPr>
      </w:pPr>
      <w:r>
        <w:rPr>
          <w:spacing w:val="-18"/>
          <w:sz w:val="24"/>
          <w:szCs w:val="24"/>
        </w:rPr>
        <w:t>3、注意事项</w:t>
      </w:r>
    </w:p>
    <w:p w14:paraId="32256436">
      <w:pPr>
        <w:pStyle w:val="2"/>
        <w:spacing w:before="114" w:line="278" w:lineRule="auto"/>
        <w:ind w:left="1462" w:right="1370" w:firstLine="428"/>
        <w:rPr>
          <w:sz w:val="24"/>
          <w:szCs w:val="24"/>
        </w:rPr>
      </w:pPr>
      <w:r>
        <w:rPr>
          <w:spacing w:val="-22"/>
          <w:sz w:val="24"/>
          <w:szCs w:val="24"/>
        </w:rPr>
        <w:t>3.1初次冲洗时，由于管道是空管，冲洗总阀门的最初开启不宜太快以及开启度不宜太大。</w:t>
      </w:r>
      <w:r>
        <w:rPr>
          <w:spacing w:val="-20"/>
          <w:sz w:val="24"/>
          <w:szCs w:val="24"/>
        </w:rPr>
        <w:t>否则管内进水速度太快，管道中空气来不及排除，在局部会形成极大的气水压，有时高出正常</w:t>
      </w:r>
      <w:r>
        <w:rPr>
          <w:spacing w:val="-19"/>
          <w:sz w:val="24"/>
          <w:szCs w:val="24"/>
        </w:rPr>
        <w:t>管网水压几倍，</w:t>
      </w:r>
    </w:p>
    <w:p w14:paraId="7939B49C">
      <w:pPr>
        <w:pStyle w:val="2"/>
        <w:spacing w:before="118" w:line="218" w:lineRule="auto"/>
        <w:ind w:left="1890"/>
        <w:rPr>
          <w:sz w:val="24"/>
          <w:szCs w:val="24"/>
        </w:rPr>
      </w:pPr>
      <w:r>
        <w:rPr>
          <w:spacing w:val="-20"/>
          <w:sz w:val="24"/>
          <w:szCs w:val="24"/>
        </w:rPr>
        <w:t>3.2冲洗时，应避开用水高峰，以免影响正常用水</w:t>
      </w:r>
    </w:p>
    <w:p w14:paraId="5404BEE4">
      <w:pPr>
        <w:pStyle w:val="2"/>
        <w:spacing w:before="116" w:line="262" w:lineRule="auto"/>
        <w:ind w:left="1455" w:right="1410" w:firstLine="434"/>
        <w:rPr>
          <w:sz w:val="24"/>
          <w:szCs w:val="24"/>
        </w:rPr>
      </w:pPr>
      <w:r>
        <w:rPr>
          <w:spacing w:val="-23"/>
          <w:sz w:val="24"/>
          <w:szCs w:val="24"/>
        </w:rPr>
        <w:t>3.3冲洗管道时，不定期的进行管道巡视，确保管线无漏水等现象。如有此现在发生立即停</w:t>
      </w:r>
      <w:r>
        <w:rPr>
          <w:spacing w:val="-21"/>
          <w:sz w:val="24"/>
          <w:szCs w:val="24"/>
        </w:rPr>
        <w:t>止管道冲洗，进行维修。</w:t>
      </w:r>
    </w:p>
    <w:p w14:paraId="4D5058AB">
      <w:pPr>
        <w:pStyle w:val="2"/>
        <w:spacing w:before="120" w:line="217" w:lineRule="auto"/>
        <w:ind w:left="1890"/>
        <w:rPr>
          <w:sz w:val="24"/>
          <w:szCs w:val="24"/>
        </w:rPr>
      </w:pPr>
      <w:r>
        <w:rPr>
          <w:spacing w:val="-21"/>
          <w:sz w:val="24"/>
          <w:szCs w:val="24"/>
        </w:rPr>
        <w:t>3.4第一次冲洗给水管道后，将其管内水排净，封闭进水口，一面受到二次污染</w:t>
      </w:r>
    </w:p>
    <w:p w14:paraId="5AA9E079">
      <w:pPr>
        <w:pStyle w:val="2"/>
        <w:spacing w:before="119" w:line="261" w:lineRule="auto"/>
        <w:ind w:left="1464" w:right="1409" w:firstLine="425"/>
        <w:rPr>
          <w:sz w:val="24"/>
          <w:szCs w:val="24"/>
        </w:rPr>
      </w:pPr>
      <w:r>
        <w:rPr>
          <w:spacing w:val="-23"/>
          <w:sz w:val="24"/>
          <w:szCs w:val="24"/>
        </w:rPr>
        <w:t>3.5无论第一次冲洗还是第二次冲洗，每次都要对冲洗时间，水量，水质及冲洗效果进行记</w:t>
      </w:r>
      <w:r>
        <w:rPr>
          <w:spacing w:val="-20"/>
          <w:sz w:val="24"/>
          <w:szCs w:val="24"/>
        </w:rPr>
        <w:t>录及有关的影像资料</w:t>
      </w:r>
    </w:p>
    <w:p w14:paraId="7DCAF4F4">
      <w:pPr>
        <w:pStyle w:val="2"/>
        <w:spacing w:before="120" w:line="219" w:lineRule="auto"/>
        <w:ind w:left="1903"/>
        <w:rPr>
          <w:sz w:val="24"/>
          <w:szCs w:val="24"/>
        </w:rPr>
      </w:pPr>
      <w:r>
        <w:rPr>
          <w:spacing w:val="-20"/>
          <w:sz w:val="24"/>
          <w:szCs w:val="24"/>
        </w:rPr>
        <w:t>附表：分光光度法</w:t>
      </w:r>
    </w:p>
    <w:tbl>
      <w:tblPr>
        <w:tblStyle w:val="6"/>
        <w:tblW w:w="8549" w:type="dxa"/>
        <w:tblInd w:w="167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557"/>
        <w:gridCol w:w="6825"/>
        <w:gridCol w:w="167"/>
      </w:tblGrid>
      <w:tr w14:paraId="64537C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65" w:hRule="atLeast"/>
        </w:trPr>
        <w:tc>
          <w:tcPr>
            <w:tcW w:w="1557" w:type="dxa"/>
            <w:tcBorders>
              <w:top w:val="single" w:color="000000" w:sz="4" w:space="0"/>
              <w:left w:val="single" w:color="000000" w:sz="4" w:space="0"/>
            </w:tcBorders>
            <w:shd w:val="clear" w:color="auto" w:fill="DEEAF6"/>
            <w:vAlign w:val="top"/>
          </w:tcPr>
          <w:p w14:paraId="3275BA86">
            <w:pPr>
              <w:spacing w:line="33" w:lineRule="exact"/>
              <w:ind w:firstLine="1533"/>
            </w:pPr>
            <w:r>
              <w:pict>
                <v:shape id="_x0000_s3850" o:spid="_x0000_s3850" style="position:absolute;left:0pt;margin-left:-0.2pt;margin-top:0.05pt;height:0.75pt;width:2.2pt;mso-position-horizontal-relative:page;mso-position-vertical-relative:page;z-index:252242944;mso-width-relative:page;mso-height-relative:page;" fillcolor="#5B9BD5" filled="t" stroked="f" coordsize="44,15" path="m0,14l43,14,43,0,0,0,0,14xe">
                  <v:path/>
                  <v:fill on="t" focussize="0,0"/>
                  <v:stroke on="f"/>
                  <v:imagedata o:title=""/>
                  <o:lock v:ext="edit"/>
                </v:shape>
              </w:pict>
            </w:r>
            <w:r>
              <w:pict>
                <v:group id="_x0000_s3851" o:spid="_x0000_s3851" o:spt="203" style="height:2.2pt;width:2.2pt;" coordsize="44,44">
                  <o:lock v:ext="edit"/>
                  <v:shape id="_x0000_s3852" o:spid="_x0000_s3852" style="position:absolute;left:0;top:0;height:15;width:44;" fillcolor="#5B9BD5" filled="t" stroked="f" coordsize="44,15" path="m0,14l43,14,43,0,0,0,0,14xe">
                    <v:path/>
                    <v:fill on="t" focussize="0,0"/>
                    <v:stroke on="f"/>
                    <v:imagedata o:title=""/>
                    <o:lock v:ext="edit"/>
                  </v:shape>
                  <v:shape id="_x0000_s3853" o:spid="_x0000_s3853" style="position:absolute;left:0;top:14;height:15;width:44;" fillcolor="#20507B" filled="t" stroked="f" coordsize="44,15" path="m0,14l43,14,43,0,0,0,0,14xe">
                    <v:path/>
                    <v:fill on="t" focussize="0,0"/>
                    <v:stroke on="f"/>
                    <v:imagedata o:title=""/>
                    <o:lock v:ext="edit"/>
                  </v:shape>
                  <v:shape id="_x0000_s3854" o:spid="_x0000_s3854" style="position:absolute;left:0;top:28;height:15;width:44;" fillcolor="#1C456A" filled="t" stroked="f" coordsize="44,15" path="m0,14l43,14,43,0,0,0,0,14xe">
                    <v:path/>
                    <v:fill on="t" focussize="0,0"/>
                    <v:stroke on="f"/>
                    <v:imagedata o:title=""/>
                    <o:lock v:ext="edit"/>
                  </v:shape>
                  <w10:wrap type="none"/>
                  <w10:anchorlock/>
                </v:group>
              </w:pict>
            </w:r>
          </w:p>
          <w:p w14:paraId="4F7B8F4A">
            <w:pPr>
              <w:spacing w:line="249" w:lineRule="auto"/>
              <w:rPr>
                <w:rFonts w:ascii="Arial"/>
                <w:sz w:val="21"/>
              </w:rPr>
            </w:pPr>
          </w:p>
          <w:p w14:paraId="10502187">
            <w:pPr>
              <w:pStyle w:val="7"/>
              <w:spacing w:before="78" w:line="219" w:lineRule="auto"/>
              <w:ind w:left="576"/>
            </w:pPr>
            <w:r>
              <w:rPr>
                <w:b/>
                <w:bCs/>
                <w:spacing w:val="-14"/>
              </w:rPr>
              <w:t>原理</w:t>
            </w:r>
          </w:p>
        </w:tc>
        <w:tc>
          <w:tcPr>
            <w:tcW w:w="6825" w:type="dxa"/>
            <w:tcBorders>
              <w:top w:val="single" w:color="5B9BD5" w:sz="4" w:space="0"/>
              <w:right w:val="nil"/>
            </w:tcBorders>
            <w:shd w:val="clear" w:color="auto" w:fill="DEEAF6"/>
            <w:vAlign w:val="top"/>
          </w:tcPr>
          <w:p w14:paraId="149892A9">
            <w:pPr>
              <w:pStyle w:val="7"/>
              <w:spacing w:before="127" w:line="215" w:lineRule="auto"/>
              <w:jc w:val="right"/>
            </w:pPr>
            <w:r>
              <w:rPr>
                <w:b/>
                <w:bCs/>
                <w:spacing w:val="-26"/>
              </w:rPr>
              <w:t>在适当温度下，硫酸肼与六次甲基四胺聚合，形成白色高分子聚合物，</w:t>
            </w:r>
          </w:p>
          <w:p w14:paraId="0C43D9E7">
            <w:pPr>
              <w:pStyle w:val="7"/>
              <w:spacing w:before="188" w:line="215" w:lineRule="auto"/>
              <w:ind w:left="780"/>
            </w:pPr>
            <w:r>
              <w:rPr>
                <w:b/>
                <w:bCs/>
                <w:spacing w:val="-24"/>
              </w:rPr>
              <w:t>以此作为浊度标准液，在一定条件下与水样浊度相比较。</w:t>
            </w:r>
          </w:p>
        </w:tc>
        <w:tc>
          <w:tcPr>
            <w:tcW w:w="167" w:type="dxa"/>
            <w:tcBorders>
              <w:top w:val="single" w:color="5B9BD5" w:sz="4" w:space="0"/>
              <w:left w:val="nil"/>
              <w:right w:val="single" w:color="5B9BD5" w:sz="4" w:space="0"/>
            </w:tcBorders>
            <w:vAlign w:val="top"/>
          </w:tcPr>
          <w:p w14:paraId="7B7A2719">
            <w:pPr>
              <w:rPr>
                <w:rFonts w:ascii="Arial"/>
                <w:sz w:val="21"/>
              </w:rPr>
            </w:pPr>
            <w:r>
              <w:pict>
                <v:shape id="_x0000_s3855" o:spid="_x0000_s3855" style="position:absolute;left:0pt;margin-left:6.5pt;margin-top:0.05pt;height:0.75pt;width:2.2pt;mso-position-horizontal-relative:page;mso-position-vertical-relative:page;z-index:252241920;mso-width-relative:page;mso-height-relative:page;" fillcolor="#5B9BD5" filled="t" stroked="f" coordsize="44,15" path="m0,14l43,14,43,0,0,0,0,14xe">
                  <v:path/>
                  <v:fill on="t" focussize="0,0"/>
                  <v:stroke on="f"/>
                  <v:imagedata o:title=""/>
                  <o:lock v:ext="edit"/>
                </v:shape>
              </w:pict>
            </w:r>
          </w:p>
        </w:tc>
      </w:tr>
      <w:tr w14:paraId="6A8511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06" w:hRule="atLeast"/>
        </w:trPr>
        <w:tc>
          <w:tcPr>
            <w:tcW w:w="1557" w:type="dxa"/>
            <w:tcBorders>
              <w:left w:val="single" w:color="1C456A" w:sz="4" w:space="0"/>
              <w:bottom w:val="single" w:color="1C456A" w:sz="4" w:space="0"/>
            </w:tcBorders>
            <w:vAlign w:val="top"/>
          </w:tcPr>
          <w:p w14:paraId="5BF47FFE">
            <w:pPr>
              <w:spacing w:line="268" w:lineRule="auto"/>
              <w:rPr>
                <w:rFonts w:ascii="Arial"/>
                <w:sz w:val="21"/>
              </w:rPr>
            </w:pPr>
            <w:r>
              <w:pict>
                <v:shape id="_x0000_s3856" o:spid="_x0000_s3856" style="position:absolute;left:0pt;margin-left:-0.2pt;margin-top:55.35pt;height:0.75pt;width:2.2pt;mso-position-horizontal-relative:page;mso-position-vertical-relative:page;z-index:252239872;mso-width-relative:page;mso-height-relative:page;" fillcolor="#5B9BD5" filled="t" stroked="f" coordsize="44,15" path="m0,14l43,14,43,0,0,0,0,14xe">
                  <v:path/>
                  <v:fill on="t" focussize="0,0"/>
                  <v:stroke on="f"/>
                  <v:imagedata o:title=""/>
                  <o:lock v:ext="edit"/>
                </v:shape>
              </w:pict>
            </w:r>
          </w:p>
          <w:p w14:paraId="778EADF1">
            <w:pPr>
              <w:pStyle w:val="7"/>
              <w:spacing w:before="78" w:line="219" w:lineRule="auto"/>
              <w:ind w:left="569"/>
            </w:pPr>
            <w:r>
              <w:rPr>
                <w:spacing w:val="-9"/>
              </w:rPr>
              <w:t>试剂</w:t>
            </w:r>
          </w:p>
        </w:tc>
        <w:tc>
          <w:tcPr>
            <w:tcW w:w="6992" w:type="dxa"/>
            <w:gridSpan w:val="2"/>
            <w:tcBorders>
              <w:bottom w:val="single" w:color="5B9BD5" w:sz="4" w:space="0"/>
              <w:right w:val="single" w:color="5B9BD5" w:sz="4" w:space="0"/>
            </w:tcBorders>
            <w:vAlign w:val="top"/>
          </w:tcPr>
          <w:p w14:paraId="146C6750">
            <w:pPr>
              <w:spacing w:before="11" w:line="234" w:lineRule="auto"/>
              <w:ind w:left="6952"/>
              <w:rPr>
                <w:rFonts w:ascii="Arial" w:hAnsi="Arial" w:eastAsia="Arial" w:cs="Arial"/>
                <w:sz w:val="6"/>
                <w:szCs w:val="6"/>
              </w:rPr>
            </w:pPr>
            <w:r>
              <w:pict>
                <v:shape id="_x0000_s3857" o:spid="_x0000_s3857" style="position:absolute;left:0pt;margin-left:347.75pt;margin-top:55.35pt;height:0.75pt;width:2.2pt;mso-position-horizontal-relative:page;mso-position-vertical-relative:page;z-index:252240896;mso-width-relative:page;mso-height-relative:page;" fillcolor="#5B9BD5" filled="t" stroked="f" coordsize="44,15" path="m0,14l43,14,43,0,0,0,0,14xe">
                  <v:path/>
                  <v:fill on="t" focussize="0,0"/>
                  <v:stroke on="f"/>
                  <v:imagedata o:title=""/>
                  <o:lock v:ext="edit"/>
                </v:shape>
              </w:pict>
            </w:r>
            <w:r>
              <w:rPr>
                <w:rFonts w:ascii="Arial" w:hAnsi="Arial" w:eastAsia="Arial" w:cs="Arial"/>
                <w:color w:val="1C456A"/>
                <w:sz w:val="6"/>
                <w:szCs w:val="6"/>
              </w:rPr>
              <w:t>I</w:t>
            </w:r>
          </w:p>
          <w:p w14:paraId="6FC53642">
            <w:pPr>
              <w:pStyle w:val="7"/>
              <w:spacing w:before="36" w:line="217" w:lineRule="auto"/>
              <w:ind w:left="68"/>
            </w:pPr>
            <w:r>
              <w:rPr>
                <w:spacing w:val="-25"/>
              </w:rPr>
              <w:t>除非另有说明，分析时均使用符合国家标准或专业标准分析纯试剂，去离</w:t>
            </w:r>
          </w:p>
          <w:p w14:paraId="5E2DC2C7">
            <w:pPr>
              <w:pStyle w:val="7"/>
              <w:spacing w:before="186" w:line="219" w:lineRule="auto"/>
              <w:ind w:left="2414"/>
            </w:pPr>
            <w:r>
              <w:rPr>
                <w:spacing w:val="-21"/>
              </w:rPr>
              <w:t>子水或同等纯度的水。</w:t>
            </w:r>
          </w:p>
        </w:tc>
      </w:tr>
    </w:tbl>
    <w:p w14:paraId="075C2041">
      <w:pPr>
        <w:pStyle w:val="2"/>
        <w:spacing w:before="113" w:line="219" w:lineRule="auto"/>
        <w:ind w:left="1903"/>
        <w:rPr>
          <w:sz w:val="24"/>
          <w:szCs w:val="24"/>
        </w:rPr>
      </w:pPr>
      <w:r>
        <w:rPr>
          <w:spacing w:val="-16"/>
          <w:sz w:val="24"/>
          <w:szCs w:val="24"/>
        </w:rPr>
        <w:t>1.无浊度水</w:t>
      </w:r>
    </w:p>
    <w:p w14:paraId="58EC0A24">
      <w:pPr>
        <w:pStyle w:val="2"/>
        <w:spacing w:before="117" w:line="217" w:lineRule="auto"/>
        <w:ind w:left="1894"/>
        <w:rPr>
          <w:sz w:val="24"/>
          <w:szCs w:val="24"/>
        </w:rPr>
      </w:pPr>
      <w:r>
        <w:rPr>
          <w:spacing w:val="-21"/>
          <w:sz w:val="24"/>
          <w:szCs w:val="24"/>
        </w:rPr>
        <w:t>将蒸馏水通过μm滤膜过滤，收集于用滤过水荡洗两次的烧瓶中。</w:t>
      </w:r>
    </w:p>
    <w:p w14:paraId="15E03403">
      <w:pPr>
        <w:pStyle w:val="2"/>
        <w:spacing w:before="118" w:line="218" w:lineRule="auto"/>
        <w:ind w:left="1888"/>
        <w:rPr>
          <w:sz w:val="24"/>
          <w:szCs w:val="24"/>
        </w:rPr>
      </w:pPr>
      <w:r>
        <w:rPr>
          <w:spacing w:val="-16"/>
          <w:sz w:val="24"/>
          <w:szCs w:val="24"/>
        </w:rPr>
        <w:t>2.浊度标准贮备液</w:t>
      </w:r>
    </w:p>
    <w:p w14:paraId="2E4AE238">
      <w:pPr>
        <w:pStyle w:val="2"/>
        <w:spacing w:before="115" w:line="211" w:lineRule="auto"/>
        <w:ind w:left="1903"/>
        <w:rPr>
          <w:sz w:val="24"/>
          <w:szCs w:val="24"/>
        </w:rPr>
      </w:pPr>
      <w:r>
        <w:rPr>
          <w:spacing w:val="-16"/>
          <w:sz w:val="24"/>
          <w:szCs w:val="24"/>
        </w:rPr>
        <w:t>1g／100mL硫酸肼溶液</w:t>
      </w:r>
    </w:p>
    <w:p w14:paraId="25152EE1">
      <w:pPr>
        <w:pStyle w:val="2"/>
        <w:spacing w:before="126" w:line="217" w:lineRule="auto"/>
        <w:ind w:left="1893"/>
        <w:rPr>
          <w:sz w:val="24"/>
          <w:szCs w:val="24"/>
        </w:rPr>
      </w:pPr>
      <w:r>
        <w:rPr>
          <w:spacing w:val="-13"/>
          <w:sz w:val="24"/>
          <w:szCs w:val="24"/>
        </w:rPr>
        <w:t>称取硫酸肼[(N2H4)H2SO4]溶</w:t>
      </w:r>
      <w:r>
        <w:rPr>
          <w:spacing w:val="-14"/>
          <w:sz w:val="24"/>
          <w:szCs w:val="24"/>
        </w:rPr>
        <w:t>于水，定容至100mL。</w:t>
      </w:r>
    </w:p>
    <w:p w14:paraId="11E0BF1B">
      <w:pPr>
        <w:spacing w:line="217" w:lineRule="auto"/>
        <w:rPr>
          <w:sz w:val="24"/>
          <w:szCs w:val="24"/>
        </w:rPr>
        <w:sectPr>
          <w:footerReference r:id="rId308" w:type="default"/>
          <w:pgSz w:w="11907" w:h="16839"/>
          <w:pgMar w:top="933" w:right="4" w:bottom="1038" w:left="0" w:header="478" w:footer="357" w:gutter="0"/>
          <w:pgBorders>
            <w:top w:val="none" w:sz="0" w:space="0"/>
            <w:left w:val="none" w:sz="0" w:space="0"/>
            <w:bottom w:val="none" w:sz="0" w:space="0"/>
            <w:right w:val="none" w:sz="0" w:space="0"/>
          </w:pgBorders>
          <w:cols w:space="720" w:num="1"/>
        </w:sectPr>
      </w:pPr>
    </w:p>
    <w:p w14:paraId="54F0620E">
      <w:pPr>
        <w:spacing w:line="271" w:lineRule="auto"/>
        <w:rPr>
          <w:rFonts w:ascii="Arial"/>
          <w:sz w:val="21"/>
        </w:rPr>
      </w:pPr>
    </w:p>
    <w:p w14:paraId="445D0418">
      <w:pPr>
        <w:pStyle w:val="2"/>
        <w:spacing w:before="78" w:line="218" w:lineRule="auto"/>
        <w:ind w:left="1899"/>
        <w:rPr>
          <w:sz w:val="24"/>
          <w:szCs w:val="24"/>
        </w:rPr>
      </w:pPr>
      <w:r>
        <w:rPr>
          <w:spacing w:val="-21"/>
          <w:sz w:val="24"/>
          <w:szCs w:val="24"/>
        </w:rPr>
        <w:t>注：硫酸肼有毒、致癌!</w:t>
      </w:r>
    </w:p>
    <w:p w14:paraId="1C498A3A">
      <w:pPr>
        <w:pStyle w:val="2"/>
        <w:spacing w:before="117" w:line="211" w:lineRule="auto"/>
        <w:ind w:left="1903"/>
        <w:rPr>
          <w:sz w:val="24"/>
          <w:szCs w:val="24"/>
        </w:rPr>
      </w:pPr>
      <w:r>
        <w:rPr>
          <w:spacing w:val="-17"/>
          <w:sz w:val="24"/>
          <w:szCs w:val="24"/>
        </w:rPr>
        <w:t>10g／100mL六次甲基四胺溶液</w:t>
      </w:r>
    </w:p>
    <w:p w14:paraId="4850DD1F">
      <w:pPr>
        <w:pStyle w:val="2"/>
        <w:spacing w:before="123" w:line="217" w:lineRule="auto"/>
        <w:ind w:left="1893"/>
        <w:rPr>
          <w:sz w:val="24"/>
          <w:szCs w:val="24"/>
        </w:rPr>
      </w:pPr>
      <w:r>
        <w:rPr>
          <w:spacing w:val="-16"/>
          <w:sz w:val="24"/>
          <w:szCs w:val="24"/>
        </w:rPr>
        <w:t>称取六次甲基四胺[(CH2)6N4)溶于水</w:t>
      </w:r>
      <w:r>
        <w:rPr>
          <w:spacing w:val="-17"/>
          <w:sz w:val="24"/>
          <w:szCs w:val="24"/>
        </w:rPr>
        <w:t>，定容至100mL。</w:t>
      </w:r>
    </w:p>
    <w:p w14:paraId="0146379D">
      <w:pPr>
        <w:pStyle w:val="2"/>
        <w:spacing w:before="119" w:line="218" w:lineRule="auto"/>
        <w:ind w:left="1896"/>
        <w:rPr>
          <w:sz w:val="24"/>
          <w:szCs w:val="24"/>
        </w:rPr>
      </w:pPr>
      <w:r>
        <w:rPr>
          <w:spacing w:val="-19"/>
          <w:sz w:val="24"/>
          <w:szCs w:val="24"/>
        </w:rPr>
        <w:t>浊度标准贮备液</w:t>
      </w:r>
    </w:p>
    <w:p w14:paraId="5EC9A923">
      <w:pPr>
        <w:pStyle w:val="2"/>
        <w:spacing w:before="118" w:line="306" w:lineRule="auto"/>
        <w:ind w:left="1459" w:right="1335" w:firstLine="444"/>
        <w:rPr>
          <w:sz w:val="24"/>
          <w:szCs w:val="24"/>
        </w:rPr>
      </w:pPr>
      <w:r>
        <w:rPr>
          <w:spacing w:val="-21"/>
          <w:sz w:val="24"/>
          <w:szCs w:val="24"/>
        </w:rPr>
        <w:t>吸取硫酸肼溶液与六次甲基四胺溶液于100mL容量瓶中，混匀。于25±3℃下静置反应24h。</w:t>
      </w:r>
      <w:r>
        <w:rPr>
          <w:spacing w:val="-19"/>
          <w:sz w:val="24"/>
          <w:szCs w:val="24"/>
        </w:rPr>
        <w:t>冷后用水稀释至标线，混匀。此溶液浊度为400度。可保</w:t>
      </w:r>
      <w:r>
        <w:rPr>
          <w:spacing w:val="-20"/>
          <w:sz w:val="24"/>
          <w:szCs w:val="24"/>
        </w:rPr>
        <w:t>存一个月。</w:t>
      </w:r>
    </w:p>
    <w:p w14:paraId="5D846A3A">
      <w:pPr>
        <w:pStyle w:val="2"/>
        <w:spacing w:before="3" w:line="218" w:lineRule="auto"/>
        <w:ind w:left="1894"/>
        <w:rPr>
          <w:sz w:val="24"/>
          <w:szCs w:val="24"/>
        </w:rPr>
      </w:pPr>
      <w:r>
        <w:rPr>
          <w:spacing w:val="-10"/>
          <w:sz w:val="24"/>
          <w:szCs w:val="24"/>
        </w:rPr>
        <w:t>仪器</w:t>
      </w:r>
    </w:p>
    <w:p w14:paraId="151E7E0A">
      <w:pPr>
        <w:pStyle w:val="2"/>
        <w:spacing w:before="118" w:line="306" w:lineRule="auto"/>
        <w:ind w:left="1457" w:right="1424" w:firstLine="433"/>
        <w:rPr>
          <w:sz w:val="24"/>
          <w:szCs w:val="24"/>
        </w:rPr>
      </w:pPr>
      <w:r>
        <w:rPr>
          <w:spacing w:val="-19"/>
          <w:sz w:val="24"/>
          <w:szCs w:val="24"/>
        </w:rPr>
        <w:t>50mL具塞比色管。分光光度计。洗瓶500ml，容量瓶100ml，移液管2ml，5ml，10ml，50ml5</w:t>
      </w:r>
      <w:r>
        <w:rPr>
          <w:spacing w:val="-14"/>
          <w:sz w:val="24"/>
          <w:szCs w:val="24"/>
        </w:rPr>
        <w:t>个样品</w:t>
      </w:r>
    </w:p>
    <w:p w14:paraId="7DD93235">
      <w:pPr>
        <w:pStyle w:val="2"/>
        <w:spacing w:before="2" w:line="308" w:lineRule="auto"/>
        <w:ind w:left="1453" w:right="1436" w:firstLine="440"/>
        <w:rPr>
          <w:sz w:val="24"/>
          <w:szCs w:val="24"/>
        </w:rPr>
      </w:pPr>
      <w:r>
        <w:rPr>
          <w:spacing w:val="-22"/>
          <w:sz w:val="24"/>
          <w:szCs w:val="24"/>
        </w:rPr>
        <w:t>样品应收集到具塞玻璃瓶中，取样后尽快测定。如需保存，可保存在冷暗处</w:t>
      </w:r>
      <w:r>
        <w:rPr>
          <w:spacing w:val="-23"/>
          <w:sz w:val="24"/>
          <w:szCs w:val="24"/>
        </w:rPr>
        <w:t>不超过24h。测</w:t>
      </w:r>
      <w:r>
        <w:rPr>
          <w:spacing w:val="-20"/>
          <w:sz w:val="24"/>
          <w:szCs w:val="24"/>
        </w:rPr>
        <w:t>试前需激烈振摇并恢复到室温。</w:t>
      </w:r>
    </w:p>
    <w:p w14:paraId="0BB27653">
      <w:pPr>
        <w:pStyle w:val="2"/>
        <w:spacing w:line="215" w:lineRule="auto"/>
        <w:ind w:left="1894"/>
        <w:rPr>
          <w:sz w:val="24"/>
          <w:szCs w:val="24"/>
        </w:rPr>
      </w:pPr>
      <w:r>
        <w:rPr>
          <w:spacing w:val="-22"/>
          <w:sz w:val="24"/>
          <w:szCs w:val="24"/>
        </w:rPr>
        <w:t>所有与样品接触的玻璃器皿必须清洁，可用盐酸或表面活性剂清洗。</w:t>
      </w:r>
    </w:p>
    <w:p w14:paraId="2E4D54ED">
      <w:pPr>
        <w:pStyle w:val="2"/>
        <w:spacing w:before="121" w:line="215" w:lineRule="auto"/>
        <w:ind w:left="1895"/>
        <w:rPr>
          <w:sz w:val="24"/>
          <w:szCs w:val="24"/>
        </w:rPr>
      </w:pPr>
      <w:r>
        <w:rPr>
          <w:spacing w:val="-11"/>
          <w:sz w:val="24"/>
          <w:szCs w:val="24"/>
        </w:rPr>
        <w:t>步骤</w:t>
      </w:r>
    </w:p>
    <w:p w14:paraId="3CF606E2">
      <w:pPr>
        <w:pStyle w:val="2"/>
        <w:spacing w:before="122" w:line="217" w:lineRule="auto"/>
        <w:ind w:left="1903"/>
        <w:rPr>
          <w:sz w:val="24"/>
          <w:szCs w:val="24"/>
        </w:rPr>
      </w:pPr>
      <w:r>
        <w:rPr>
          <w:spacing w:val="-18"/>
          <w:sz w:val="24"/>
          <w:szCs w:val="24"/>
        </w:rPr>
        <w:t>1.标准曲线的绘制</w:t>
      </w:r>
    </w:p>
    <w:p w14:paraId="14E66130">
      <w:pPr>
        <w:pStyle w:val="2"/>
        <w:spacing w:before="116" w:line="308" w:lineRule="auto"/>
        <w:ind w:left="1449" w:right="1353" w:firstLine="453"/>
        <w:rPr>
          <w:sz w:val="24"/>
          <w:szCs w:val="24"/>
        </w:rPr>
      </w:pPr>
      <w:r>
        <w:rPr>
          <w:spacing w:val="-23"/>
          <w:sz w:val="24"/>
          <w:szCs w:val="24"/>
        </w:rPr>
        <w:t>吸取浊度标准液，置于50mL的比色管中，加水至标线。摇匀后，即得浊度为，10，20，40，</w:t>
      </w:r>
      <w:r>
        <w:rPr>
          <w:spacing w:val="-18"/>
          <w:sz w:val="24"/>
          <w:szCs w:val="24"/>
        </w:rPr>
        <w:t>80及100度的标准系列。于680nm波长，用30mm比色皿测定吸光度，绘制校</w:t>
      </w:r>
      <w:r>
        <w:rPr>
          <w:spacing w:val="-19"/>
          <w:sz w:val="24"/>
          <w:szCs w:val="24"/>
        </w:rPr>
        <w:t>准曲线。</w:t>
      </w:r>
    </w:p>
    <w:p w14:paraId="65B648A9">
      <w:pPr>
        <w:pStyle w:val="2"/>
        <w:spacing w:before="1" w:line="215" w:lineRule="auto"/>
        <w:ind w:left="1899"/>
        <w:rPr>
          <w:sz w:val="24"/>
          <w:szCs w:val="24"/>
        </w:rPr>
      </w:pPr>
      <w:r>
        <w:rPr>
          <w:spacing w:val="-18"/>
          <w:sz w:val="24"/>
          <w:szCs w:val="24"/>
        </w:rPr>
        <w:t>注：在680nm波长下测定，天然水中存在淡黄色</w:t>
      </w:r>
      <w:r>
        <w:rPr>
          <w:spacing w:val="-19"/>
          <w:sz w:val="24"/>
          <w:szCs w:val="24"/>
        </w:rPr>
        <w:t>、淡绿色无干扰。</w:t>
      </w:r>
    </w:p>
    <w:p w14:paraId="0472C630">
      <w:pPr>
        <w:pStyle w:val="2"/>
        <w:spacing w:before="118" w:line="219" w:lineRule="auto"/>
        <w:ind w:left="1888"/>
        <w:rPr>
          <w:sz w:val="24"/>
          <w:szCs w:val="24"/>
        </w:rPr>
      </w:pPr>
      <w:r>
        <w:rPr>
          <w:spacing w:val="-10"/>
          <w:sz w:val="24"/>
          <w:szCs w:val="24"/>
        </w:rPr>
        <w:t>2.测定</w:t>
      </w:r>
    </w:p>
    <w:p w14:paraId="405D34F2">
      <w:pPr>
        <w:pStyle w:val="2"/>
        <w:spacing w:before="115" w:line="308" w:lineRule="auto"/>
        <w:ind w:left="1469" w:right="1411" w:firstLine="433"/>
        <w:rPr>
          <w:sz w:val="24"/>
          <w:szCs w:val="24"/>
        </w:rPr>
      </w:pPr>
      <w:r>
        <w:rPr>
          <w:spacing w:val="-21"/>
          <w:sz w:val="24"/>
          <w:szCs w:val="24"/>
        </w:rPr>
        <w:t>吸取摇匀水样[无气泡，如浊度超过100</w:t>
      </w:r>
      <w:r>
        <w:rPr>
          <w:spacing w:val="-22"/>
          <w:sz w:val="24"/>
          <w:szCs w:val="24"/>
        </w:rPr>
        <w:t>度可酌情少取，用无浊度水稀释至]，于50mL比色管中，按绘制校准曲线步骤测定吸光度，由校准</w:t>
      </w:r>
      <w:r>
        <w:rPr>
          <w:spacing w:val="-23"/>
          <w:sz w:val="24"/>
          <w:szCs w:val="24"/>
        </w:rPr>
        <w:t>曲线上查得水样浊度。</w:t>
      </w:r>
    </w:p>
    <w:p w14:paraId="0DD686DB">
      <w:pPr>
        <w:pStyle w:val="2"/>
        <w:spacing w:line="215" w:lineRule="auto"/>
        <w:ind w:left="1897"/>
        <w:rPr>
          <w:sz w:val="24"/>
          <w:szCs w:val="24"/>
        </w:rPr>
      </w:pPr>
      <w:r>
        <w:rPr>
          <w:spacing w:val="-19"/>
          <w:sz w:val="24"/>
          <w:szCs w:val="24"/>
        </w:rPr>
        <w:t>结果的表述:A（B+C）式中：A——稀释后水样的浊度，(度)</w:t>
      </w:r>
    </w:p>
    <w:p w14:paraId="039DA233">
      <w:pPr>
        <w:pStyle w:val="2"/>
        <w:spacing w:before="121" w:line="217" w:lineRule="auto"/>
        <w:ind w:left="1896"/>
        <w:rPr>
          <w:sz w:val="24"/>
          <w:szCs w:val="24"/>
        </w:rPr>
      </w:pPr>
      <w:r>
        <w:rPr>
          <w:spacing w:val="-19"/>
          <w:sz w:val="24"/>
          <w:szCs w:val="24"/>
        </w:rPr>
        <w:t>浊度=—————B——稀释水体积，(mL)</w:t>
      </w:r>
    </w:p>
    <w:p w14:paraId="33509CAD">
      <w:pPr>
        <w:pStyle w:val="2"/>
        <w:spacing w:before="119" w:line="215" w:lineRule="auto"/>
        <w:ind w:left="1883"/>
        <w:rPr>
          <w:sz w:val="24"/>
          <w:szCs w:val="24"/>
        </w:rPr>
      </w:pPr>
      <w:r>
        <w:rPr>
          <w:spacing w:val="-16"/>
          <w:sz w:val="24"/>
          <w:szCs w:val="24"/>
        </w:rPr>
        <w:t>CC——原水样体积，(mL)。</w:t>
      </w:r>
    </w:p>
    <w:p w14:paraId="750DE43F">
      <w:pPr>
        <w:pStyle w:val="2"/>
        <w:spacing w:before="68" w:line="217" w:lineRule="auto"/>
        <w:ind w:left="4171"/>
        <w:outlineLvl w:val="1"/>
        <w:rPr>
          <w:sz w:val="30"/>
          <w:szCs w:val="30"/>
        </w:rPr>
      </w:pPr>
      <w:bookmarkStart w:id="233" w:name="bookmark225"/>
      <w:bookmarkEnd w:id="233"/>
      <w:r>
        <w:rPr>
          <w:b/>
          <w:bCs/>
          <w:color w:val="0070C0"/>
          <w:spacing w:val="-24"/>
          <w:sz w:val="30"/>
          <w:szCs w:val="30"/>
        </w:rPr>
        <w:t>第三节、管线迁改及停水施工</w:t>
      </w:r>
    </w:p>
    <w:p w14:paraId="0BE692AE">
      <w:pPr>
        <w:pStyle w:val="2"/>
        <w:spacing w:before="64" w:line="218" w:lineRule="auto"/>
        <w:ind w:left="1981"/>
        <w:outlineLvl w:val="2"/>
        <w:rPr>
          <w:sz w:val="28"/>
          <w:szCs w:val="28"/>
        </w:rPr>
      </w:pPr>
      <w:bookmarkStart w:id="234" w:name="bookmark226"/>
      <w:bookmarkEnd w:id="234"/>
      <w:r>
        <w:rPr>
          <w:b/>
          <w:bCs/>
          <w:spacing w:val="-21"/>
          <w:sz w:val="28"/>
          <w:szCs w:val="28"/>
        </w:rPr>
        <w:t>一、重难点分析</w:t>
      </w:r>
    </w:p>
    <w:p w14:paraId="3044BDEA">
      <w:pPr>
        <w:pStyle w:val="2"/>
        <w:spacing w:before="105" w:line="294" w:lineRule="auto"/>
        <w:ind w:left="1455" w:right="1343" w:firstLine="438"/>
        <w:rPr>
          <w:sz w:val="24"/>
          <w:szCs w:val="24"/>
        </w:rPr>
      </w:pPr>
      <w:r>
        <w:rPr>
          <w:spacing w:val="-23"/>
          <w:sz w:val="24"/>
          <w:szCs w:val="24"/>
        </w:rPr>
        <w:t>本工程施工范围内涉及燃气、电力、雨污水、电缆、</w:t>
      </w:r>
      <w:r>
        <w:rPr>
          <w:spacing w:val="-24"/>
          <w:sz w:val="24"/>
          <w:szCs w:val="24"/>
        </w:rPr>
        <w:t>石化、弱电等系统的杆、管道（线）、</w:t>
      </w:r>
      <w:r>
        <w:rPr>
          <w:spacing w:val="-21"/>
          <w:sz w:val="24"/>
          <w:szCs w:val="24"/>
        </w:rPr>
        <w:t>设备、检查井的保护和迁改，故不可预见地下管线迁改及停水</w:t>
      </w:r>
      <w:r>
        <w:rPr>
          <w:spacing w:val="-22"/>
          <w:sz w:val="24"/>
          <w:szCs w:val="24"/>
        </w:rPr>
        <w:t>施拟作为本工程的重难点。</w:t>
      </w:r>
    </w:p>
    <w:p w14:paraId="1090CD18">
      <w:pPr>
        <w:pStyle w:val="2"/>
        <w:spacing w:line="217" w:lineRule="auto"/>
        <w:ind w:left="1986"/>
        <w:outlineLvl w:val="2"/>
        <w:rPr>
          <w:sz w:val="28"/>
          <w:szCs w:val="28"/>
        </w:rPr>
      </w:pPr>
      <w:bookmarkStart w:id="235" w:name="bookmark227"/>
      <w:bookmarkEnd w:id="235"/>
      <w:r>
        <w:rPr>
          <w:b/>
          <w:bCs/>
          <w:spacing w:val="-22"/>
          <w:sz w:val="28"/>
          <w:szCs w:val="28"/>
        </w:rPr>
        <w:t>二、对应保证措施</w:t>
      </w:r>
    </w:p>
    <w:p w14:paraId="00F39D2C">
      <w:pPr>
        <w:pStyle w:val="2"/>
        <w:spacing w:before="107" w:line="216" w:lineRule="auto"/>
        <w:ind w:left="1888"/>
        <w:rPr>
          <w:sz w:val="24"/>
          <w:szCs w:val="24"/>
        </w:rPr>
      </w:pPr>
      <w:r>
        <w:rPr>
          <w:spacing w:val="-18"/>
          <w:sz w:val="24"/>
          <w:szCs w:val="24"/>
        </w:rPr>
        <w:t>2.1管线迁移恢复方案</w:t>
      </w:r>
    </w:p>
    <w:p w14:paraId="022EDF0D">
      <w:pPr>
        <w:pStyle w:val="2"/>
        <w:spacing w:before="118" w:line="219" w:lineRule="auto"/>
        <w:ind w:left="1888"/>
        <w:rPr>
          <w:sz w:val="24"/>
          <w:szCs w:val="24"/>
        </w:rPr>
      </w:pPr>
      <w:r>
        <w:rPr>
          <w:spacing w:val="-17"/>
          <w:sz w:val="24"/>
          <w:szCs w:val="24"/>
        </w:rPr>
        <w:t>2.1.1钢筋混凝土管道施工</w:t>
      </w:r>
    </w:p>
    <w:p w14:paraId="7DF289AE">
      <w:pPr>
        <w:pStyle w:val="2"/>
        <w:spacing w:before="116" w:line="220" w:lineRule="auto"/>
        <w:ind w:left="1903"/>
        <w:rPr>
          <w:sz w:val="24"/>
          <w:szCs w:val="24"/>
        </w:rPr>
      </w:pPr>
      <w:r>
        <w:rPr>
          <w:spacing w:val="-19"/>
          <w:sz w:val="24"/>
          <w:szCs w:val="24"/>
        </w:rPr>
        <w:t>1、混凝土管道施工</w:t>
      </w:r>
    </w:p>
    <w:p w14:paraId="5FFAF576">
      <w:pPr>
        <w:pStyle w:val="2"/>
        <w:spacing w:before="115" w:line="218" w:lineRule="auto"/>
        <w:ind w:left="1903"/>
        <w:rPr>
          <w:sz w:val="24"/>
          <w:szCs w:val="24"/>
        </w:rPr>
      </w:pPr>
      <w:r>
        <w:rPr>
          <w:spacing w:val="-19"/>
          <w:sz w:val="24"/>
          <w:szCs w:val="24"/>
        </w:rPr>
        <w:t>1.1施工放线、沟槽开挖</w:t>
      </w:r>
    </w:p>
    <w:p w14:paraId="112E7077">
      <w:pPr>
        <w:pStyle w:val="2"/>
        <w:spacing w:before="115" w:line="285" w:lineRule="auto"/>
        <w:ind w:left="1460" w:right="1414" w:firstLine="443"/>
        <w:rPr>
          <w:sz w:val="24"/>
          <w:szCs w:val="24"/>
        </w:rPr>
      </w:pPr>
      <w:r>
        <w:rPr>
          <w:spacing w:val="-23"/>
          <w:sz w:val="24"/>
          <w:szCs w:val="24"/>
        </w:rPr>
        <w:t>1.2开挖方式：为保证工期，主要采取挖机开挖，在机</w:t>
      </w:r>
      <w:r>
        <w:rPr>
          <w:spacing w:val="-24"/>
          <w:sz w:val="24"/>
          <w:szCs w:val="24"/>
        </w:rPr>
        <w:t>械无法挖掘，地下障碍较复杂或沟槽</w:t>
      </w:r>
      <w:r>
        <w:rPr>
          <w:spacing w:val="-20"/>
          <w:sz w:val="24"/>
          <w:szCs w:val="24"/>
        </w:rPr>
        <w:t>边树木及围墙等密集地段采用人工挖掘，对于沟槽占据公路的及过街的混凝土先用切割机切割</w:t>
      </w:r>
      <w:r>
        <w:rPr>
          <w:spacing w:val="-22"/>
          <w:sz w:val="24"/>
          <w:szCs w:val="24"/>
        </w:rPr>
        <w:t>混凝土路面，然后再进行挖掘，以保证施工端</w:t>
      </w:r>
      <w:r>
        <w:rPr>
          <w:spacing w:val="-23"/>
          <w:sz w:val="24"/>
          <w:szCs w:val="24"/>
        </w:rPr>
        <w:t>面整齐，美观。沟槽开挖时，采用机械开挖为主,</w:t>
      </w:r>
      <w:r>
        <w:rPr>
          <w:spacing w:val="-20"/>
          <w:sz w:val="24"/>
          <w:szCs w:val="24"/>
        </w:rPr>
        <w:t>人工开挖为辅的方法。开挖时沟底表面应连续平整。沟壁应视情况考虑放坡。以保证安全。清</w:t>
      </w:r>
    </w:p>
    <w:p w14:paraId="0964C211">
      <w:pPr>
        <w:spacing w:line="285" w:lineRule="auto"/>
        <w:rPr>
          <w:sz w:val="24"/>
          <w:szCs w:val="24"/>
        </w:rPr>
        <w:sectPr>
          <w:footerReference r:id="rId309" w:type="default"/>
          <w:pgSz w:w="11907" w:h="16839"/>
          <w:pgMar w:top="933" w:right="4" w:bottom="1038" w:left="0" w:header="478" w:footer="357" w:gutter="0"/>
          <w:pgBorders>
            <w:top w:val="none" w:sz="0" w:space="0"/>
            <w:left w:val="none" w:sz="0" w:space="0"/>
            <w:bottom w:val="none" w:sz="0" w:space="0"/>
            <w:right w:val="none" w:sz="0" w:space="0"/>
          </w:pgBorders>
          <w:cols w:space="720" w:num="1"/>
        </w:sectPr>
      </w:pPr>
    </w:p>
    <w:p w14:paraId="2B9481C6">
      <w:pPr>
        <w:spacing w:line="270" w:lineRule="auto"/>
        <w:rPr>
          <w:rFonts w:ascii="Arial"/>
          <w:sz w:val="21"/>
        </w:rPr>
      </w:pPr>
    </w:p>
    <w:p w14:paraId="03115DB1">
      <w:pPr>
        <w:pStyle w:val="2"/>
        <w:spacing w:before="78" w:line="308" w:lineRule="auto"/>
        <w:ind w:left="1471" w:right="1411" w:hanging="4"/>
        <w:rPr>
          <w:sz w:val="24"/>
          <w:szCs w:val="24"/>
        </w:rPr>
      </w:pPr>
      <w:r>
        <w:rPr>
          <w:spacing w:val="-21"/>
          <w:sz w:val="24"/>
          <w:szCs w:val="24"/>
        </w:rPr>
        <w:t>除直径大于38mm的圆石或大于25mm的夹角形石块。并清除沟上可能掉落的、碰落的物体。以</w:t>
      </w:r>
      <w:r>
        <w:rPr>
          <w:spacing w:val="-24"/>
          <w:sz w:val="24"/>
          <w:szCs w:val="24"/>
        </w:rPr>
        <w:t>防损坏管子。</w:t>
      </w:r>
    </w:p>
    <w:p w14:paraId="5369DEB2">
      <w:pPr>
        <w:pStyle w:val="2"/>
        <w:spacing w:line="285" w:lineRule="auto"/>
        <w:ind w:left="1455" w:right="1342" w:firstLine="447"/>
        <w:rPr>
          <w:sz w:val="24"/>
          <w:szCs w:val="24"/>
        </w:rPr>
      </w:pPr>
      <w:r>
        <w:rPr>
          <w:spacing w:val="-22"/>
          <w:sz w:val="24"/>
          <w:szCs w:val="24"/>
        </w:rPr>
        <w:t>1.3沟槽挖深以设计图断面图所示为准。遇土质松软地段，应按规定做好放坡和支撑措施，</w:t>
      </w:r>
      <w:r>
        <w:rPr>
          <w:spacing w:val="-21"/>
          <w:sz w:val="24"/>
          <w:szCs w:val="24"/>
        </w:rPr>
        <w:t>支撑以撑板形式为主，随挖土的加深及时安装，开始支撑的开挖沟槽深度不得超过1.</w:t>
      </w:r>
      <w:r>
        <w:rPr>
          <w:spacing w:val="-22"/>
          <w:sz w:val="24"/>
          <w:szCs w:val="24"/>
        </w:rPr>
        <w:t>0m，以后</w:t>
      </w:r>
      <w:r>
        <w:rPr>
          <w:spacing w:val="-24"/>
          <w:sz w:val="24"/>
          <w:szCs w:val="24"/>
        </w:rPr>
        <w:t>开挖与支撑交替进行，每次交替的深度宜为0.4—0.8m。支撑应经常检查，当发现支撑件有弯曲、</w:t>
      </w:r>
      <w:r>
        <w:rPr>
          <w:spacing w:val="-21"/>
          <w:sz w:val="24"/>
          <w:szCs w:val="24"/>
        </w:rPr>
        <w:t>松动、移位或劈裂等迹象时，应及时处理。</w:t>
      </w:r>
    </w:p>
    <w:p w14:paraId="25B74015">
      <w:pPr>
        <w:pStyle w:val="2"/>
        <w:spacing w:before="118" w:line="262" w:lineRule="auto"/>
        <w:ind w:left="1459" w:right="1410" w:firstLine="444"/>
        <w:rPr>
          <w:sz w:val="24"/>
          <w:szCs w:val="24"/>
        </w:rPr>
      </w:pPr>
      <w:r>
        <w:rPr>
          <w:spacing w:val="-24"/>
          <w:sz w:val="24"/>
          <w:szCs w:val="24"/>
        </w:rPr>
        <w:t>1.4管沟挖至设计管底标高后，在下管安装前，应按设计要求验槽，并对不达标处修整，槽</w:t>
      </w:r>
      <w:r>
        <w:rPr>
          <w:spacing w:val="-21"/>
          <w:sz w:val="24"/>
          <w:szCs w:val="24"/>
        </w:rPr>
        <w:t>底应检平，有超挖的，用素土和黄沙夯实至设计标高</w:t>
      </w:r>
      <w:r>
        <w:rPr>
          <w:spacing w:val="-22"/>
          <w:sz w:val="24"/>
          <w:szCs w:val="24"/>
        </w:rPr>
        <w:t>后方可下管安装。</w:t>
      </w:r>
    </w:p>
    <w:p w14:paraId="6EEC61E8">
      <w:pPr>
        <w:pStyle w:val="2"/>
        <w:spacing w:before="118" w:line="278" w:lineRule="auto"/>
        <w:ind w:left="1460" w:right="1409" w:firstLine="443"/>
        <w:rPr>
          <w:sz w:val="24"/>
          <w:szCs w:val="24"/>
        </w:rPr>
      </w:pPr>
      <w:r>
        <w:rPr>
          <w:spacing w:val="-21"/>
          <w:sz w:val="24"/>
          <w:szCs w:val="24"/>
        </w:rPr>
        <w:t>1.5管槽两侧堆土不得高于1.5米，且距槽口边缘不宜小于0.8米；不得</w:t>
      </w:r>
      <w:r>
        <w:rPr>
          <w:spacing w:val="-22"/>
          <w:sz w:val="24"/>
          <w:szCs w:val="24"/>
        </w:rPr>
        <w:t>掩埋消火栓、管道</w:t>
      </w:r>
      <w:r>
        <w:rPr>
          <w:spacing w:val="-20"/>
          <w:sz w:val="24"/>
          <w:szCs w:val="24"/>
        </w:rPr>
        <w:t>闸阀、雨水口、测量标志以及各种地下管道的井盖，以妨碍其正常使用。不得堆放于公路易造</w:t>
      </w:r>
      <w:r>
        <w:rPr>
          <w:spacing w:val="-21"/>
          <w:sz w:val="24"/>
          <w:szCs w:val="24"/>
        </w:rPr>
        <w:t>成交通阻碍的地方，应采取夜间及时运除余土。</w:t>
      </w:r>
    </w:p>
    <w:p w14:paraId="7B651CC0">
      <w:pPr>
        <w:pStyle w:val="2"/>
        <w:spacing w:before="114" w:line="264" w:lineRule="auto"/>
        <w:ind w:left="1462" w:right="1409" w:firstLine="441"/>
        <w:rPr>
          <w:sz w:val="24"/>
          <w:szCs w:val="24"/>
        </w:rPr>
      </w:pPr>
      <w:r>
        <w:rPr>
          <w:spacing w:val="-23"/>
          <w:sz w:val="24"/>
          <w:szCs w:val="24"/>
        </w:rPr>
        <w:t>1.6基础基坑开挖后采取基坑排水，施工时采取潜水泵抽排水，并</w:t>
      </w:r>
      <w:r>
        <w:rPr>
          <w:spacing w:val="-24"/>
          <w:sz w:val="24"/>
          <w:szCs w:val="24"/>
        </w:rPr>
        <w:t>注意坑边坡的稳定和地基</w:t>
      </w:r>
      <w:r>
        <w:rPr>
          <w:spacing w:val="-18"/>
          <w:sz w:val="24"/>
          <w:szCs w:val="24"/>
        </w:rPr>
        <w:t>不被扰动。</w:t>
      </w:r>
    </w:p>
    <w:p w14:paraId="32898209">
      <w:pPr>
        <w:pStyle w:val="2"/>
        <w:spacing w:before="116" w:line="217" w:lineRule="auto"/>
        <w:ind w:left="1903"/>
        <w:rPr>
          <w:sz w:val="24"/>
          <w:szCs w:val="24"/>
        </w:rPr>
      </w:pPr>
      <w:r>
        <w:rPr>
          <w:spacing w:val="-21"/>
          <w:sz w:val="24"/>
          <w:szCs w:val="24"/>
        </w:rPr>
        <w:t>1.7沟槽开挖完毕后，应立即浇筑垫层进行封闭。</w:t>
      </w:r>
    </w:p>
    <w:p w14:paraId="1F7891C3">
      <w:pPr>
        <w:pStyle w:val="2"/>
        <w:spacing w:before="117" w:line="218" w:lineRule="auto"/>
        <w:ind w:left="1903"/>
        <w:rPr>
          <w:sz w:val="24"/>
          <w:szCs w:val="24"/>
        </w:rPr>
      </w:pPr>
      <w:r>
        <w:rPr>
          <w:spacing w:val="-16"/>
          <w:sz w:val="24"/>
          <w:szCs w:val="24"/>
        </w:rPr>
        <w:t>1.8基槽处理</w:t>
      </w:r>
    </w:p>
    <w:p w14:paraId="3C4CE1B9">
      <w:pPr>
        <w:pStyle w:val="2"/>
        <w:spacing w:before="115" w:line="278" w:lineRule="auto"/>
        <w:ind w:left="1456" w:right="1410" w:firstLine="447"/>
        <w:rPr>
          <w:sz w:val="24"/>
          <w:szCs w:val="24"/>
        </w:rPr>
      </w:pPr>
      <w:r>
        <w:rPr>
          <w:spacing w:val="-23"/>
          <w:sz w:val="24"/>
          <w:szCs w:val="24"/>
        </w:rPr>
        <w:t>1.8.1基槽处理是保证管道施工质量的重要工序。开槽时如遇地质情况不良。须按设计文件</w:t>
      </w:r>
      <w:r>
        <w:rPr>
          <w:spacing w:val="-20"/>
          <w:sz w:val="24"/>
          <w:szCs w:val="24"/>
        </w:rPr>
        <w:t>及相应规范要求进行处理．避免产生不均匀沉降。使管道局部应力增大。若有局部超挖。还要</w:t>
      </w:r>
      <w:r>
        <w:rPr>
          <w:spacing w:val="-21"/>
          <w:sz w:val="24"/>
          <w:szCs w:val="24"/>
        </w:rPr>
        <w:t>按照设计要求回填夯实至槽底标高。</w:t>
      </w:r>
    </w:p>
    <w:p w14:paraId="5A26CC1D">
      <w:pPr>
        <w:pStyle w:val="2"/>
        <w:spacing w:before="118" w:line="262" w:lineRule="auto"/>
        <w:ind w:left="1457" w:right="1422" w:firstLine="446"/>
        <w:rPr>
          <w:sz w:val="24"/>
          <w:szCs w:val="24"/>
        </w:rPr>
      </w:pPr>
      <w:r>
        <w:rPr>
          <w:spacing w:val="-19"/>
          <w:sz w:val="24"/>
          <w:szCs w:val="24"/>
        </w:rPr>
        <w:t>1.8.2开挖管接头承插工作坑。其底部宽度应大于承口外径。长度应覆</w:t>
      </w:r>
      <w:r>
        <w:rPr>
          <w:spacing w:val="-20"/>
          <w:sz w:val="24"/>
          <w:szCs w:val="24"/>
        </w:rPr>
        <w:t>盖承口前后200mm。</w:t>
      </w:r>
      <w:r>
        <w:rPr>
          <w:spacing w:val="-21"/>
          <w:sz w:val="24"/>
          <w:szCs w:val="24"/>
        </w:rPr>
        <w:t>接口施工完毕后。采用与砂垫层相同的材料和密实度进行</w:t>
      </w:r>
      <w:r>
        <w:rPr>
          <w:spacing w:val="-22"/>
          <w:sz w:val="24"/>
          <w:szCs w:val="24"/>
        </w:rPr>
        <w:t>回填。</w:t>
      </w:r>
    </w:p>
    <w:p w14:paraId="53E8F314">
      <w:pPr>
        <w:pStyle w:val="2"/>
        <w:spacing w:before="118" w:line="218" w:lineRule="auto"/>
        <w:ind w:left="1903"/>
        <w:rPr>
          <w:sz w:val="24"/>
          <w:szCs w:val="24"/>
        </w:rPr>
      </w:pPr>
      <w:r>
        <w:rPr>
          <w:spacing w:val="-17"/>
          <w:sz w:val="24"/>
          <w:szCs w:val="24"/>
        </w:rPr>
        <w:t>1.9沟槽验收</w:t>
      </w:r>
    </w:p>
    <w:p w14:paraId="49F1D4E5">
      <w:pPr>
        <w:pStyle w:val="2"/>
        <w:spacing w:before="119" w:line="307" w:lineRule="auto"/>
        <w:ind w:left="1455" w:right="1342" w:firstLine="437"/>
        <w:rPr>
          <w:sz w:val="24"/>
          <w:szCs w:val="24"/>
        </w:rPr>
      </w:pPr>
      <w:r>
        <w:rPr>
          <w:spacing w:val="-23"/>
          <w:sz w:val="24"/>
          <w:szCs w:val="24"/>
        </w:rPr>
        <w:t>按工程规定的最小验收长度。在施工单位自检合格的基础</w:t>
      </w:r>
      <w:r>
        <w:rPr>
          <w:spacing w:val="-24"/>
          <w:sz w:val="24"/>
          <w:szCs w:val="24"/>
        </w:rPr>
        <w:t>上。由监理单位会同建设、设计、</w:t>
      </w:r>
      <w:r>
        <w:rPr>
          <w:spacing w:val="-21"/>
          <w:sz w:val="24"/>
          <w:szCs w:val="24"/>
        </w:rPr>
        <w:t>施工单位对槽底高程、底宽、垫层料厚度等指标进行检查。合</w:t>
      </w:r>
      <w:r>
        <w:rPr>
          <w:spacing w:val="-22"/>
          <w:sz w:val="24"/>
          <w:szCs w:val="24"/>
        </w:rPr>
        <w:t>格后移交给安装单位。</w:t>
      </w:r>
    </w:p>
    <w:p w14:paraId="32F6AB60">
      <w:pPr>
        <w:pStyle w:val="2"/>
        <w:spacing w:before="1" w:line="215" w:lineRule="auto"/>
        <w:ind w:left="1888"/>
        <w:rPr>
          <w:sz w:val="24"/>
          <w:szCs w:val="24"/>
        </w:rPr>
      </w:pPr>
      <w:r>
        <w:rPr>
          <w:spacing w:val="-19"/>
          <w:sz w:val="24"/>
          <w:szCs w:val="24"/>
        </w:rPr>
        <w:t>2、混凝土管道及检查井施工</w:t>
      </w:r>
    </w:p>
    <w:p w14:paraId="1B2DB696">
      <w:pPr>
        <w:pStyle w:val="2"/>
        <w:spacing w:before="120" w:line="218" w:lineRule="auto"/>
        <w:ind w:left="1888"/>
        <w:rPr>
          <w:sz w:val="24"/>
          <w:szCs w:val="24"/>
        </w:rPr>
      </w:pPr>
      <w:r>
        <w:rPr>
          <w:spacing w:val="-15"/>
          <w:sz w:val="24"/>
          <w:szCs w:val="24"/>
        </w:rPr>
        <w:t>2.1沟槽开挖</w:t>
      </w:r>
    </w:p>
    <w:p w14:paraId="14BE20B9">
      <w:pPr>
        <w:pStyle w:val="2"/>
        <w:spacing w:before="117" w:line="307" w:lineRule="auto"/>
        <w:ind w:left="1463" w:right="1411" w:firstLine="431"/>
        <w:rPr>
          <w:sz w:val="24"/>
          <w:szCs w:val="24"/>
        </w:rPr>
      </w:pPr>
      <w:r>
        <w:rPr>
          <w:spacing w:val="-21"/>
          <w:sz w:val="24"/>
          <w:szCs w:val="24"/>
        </w:rPr>
        <w:t>沟槽开挖采用挖掘机挖方自卸汽车、翻斗车配合运转。预留150mm厚作为人工修理，开挖至设计高程，自检合格后即邀请建设方、监</w:t>
      </w:r>
      <w:r>
        <w:rPr>
          <w:spacing w:val="-22"/>
          <w:sz w:val="24"/>
          <w:szCs w:val="24"/>
        </w:rPr>
        <w:t>理方、质量监督方、设计方到场验收。</w:t>
      </w:r>
    </w:p>
    <w:p w14:paraId="43A0780D">
      <w:pPr>
        <w:pStyle w:val="2"/>
        <w:spacing w:line="308" w:lineRule="auto"/>
        <w:ind w:left="1458" w:right="1410" w:firstLine="436"/>
        <w:rPr>
          <w:sz w:val="24"/>
          <w:szCs w:val="24"/>
        </w:rPr>
      </w:pPr>
      <w:r>
        <w:rPr>
          <w:spacing w:val="-20"/>
          <w:sz w:val="24"/>
          <w:szCs w:val="24"/>
        </w:rPr>
        <w:t>沟槽开挖必须保证沟槽边坡符合有关规范及土质要求。机械开挖沟槽时，要控制好槽底高</w:t>
      </w:r>
      <w:r>
        <w:rPr>
          <w:spacing w:val="-19"/>
          <w:sz w:val="24"/>
          <w:szCs w:val="24"/>
        </w:rPr>
        <w:t>程，防止超挖。</w:t>
      </w:r>
    </w:p>
    <w:p w14:paraId="7669538E">
      <w:pPr>
        <w:pStyle w:val="2"/>
        <w:spacing w:before="1" w:line="218" w:lineRule="auto"/>
        <w:ind w:left="1888"/>
        <w:rPr>
          <w:sz w:val="24"/>
          <w:szCs w:val="24"/>
        </w:rPr>
      </w:pPr>
      <w:r>
        <w:rPr>
          <w:spacing w:val="-11"/>
          <w:sz w:val="24"/>
          <w:szCs w:val="24"/>
        </w:rPr>
        <w:t>2.2铺管</w:t>
      </w:r>
    </w:p>
    <w:p w14:paraId="6349297D">
      <w:pPr>
        <w:pStyle w:val="2"/>
        <w:spacing w:before="118" w:line="307" w:lineRule="auto"/>
        <w:ind w:left="1456" w:right="1409" w:firstLine="437"/>
        <w:rPr>
          <w:sz w:val="24"/>
          <w:szCs w:val="24"/>
        </w:rPr>
      </w:pPr>
      <w:r>
        <w:rPr>
          <w:spacing w:val="-21"/>
          <w:sz w:val="24"/>
          <w:szCs w:val="24"/>
        </w:rPr>
        <w:t>根据填土深度按S2标准选择管座型式及平基高度。砼平基、浇筑高程严控，振捣严密。二次浇筑管座冲刷后进行，肩高可在管外壁划线控制。安管</w:t>
      </w:r>
      <w:r>
        <w:rPr>
          <w:spacing w:val="-22"/>
          <w:sz w:val="24"/>
          <w:szCs w:val="24"/>
        </w:rPr>
        <w:t>端直，下管小心以防损坏管口。</w:t>
      </w:r>
    </w:p>
    <w:p w14:paraId="6F0C68AB">
      <w:pPr>
        <w:pStyle w:val="2"/>
        <w:spacing w:before="5" w:line="307" w:lineRule="auto"/>
        <w:ind w:left="1455" w:right="1353" w:firstLine="439"/>
        <w:jc w:val="both"/>
        <w:rPr>
          <w:sz w:val="24"/>
          <w:szCs w:val="24"/>
        </w:rPr>
      </w:pPr>
      <w:r>
        <w:rPr>
          <w:spacing w:val="-20"/>
          <w:sz w:val="24"/>
          <w:szCs w:val="24"/>
        </w:rPr>
        <w:t>沟槽回填前，必须将槽底杂物清理干净，回填土从</w:t>
      </w:r>
      <w:r>
        <w:rPr>
          <w:spacing w:val="-21"/>
          <w:sz w:val="24"/>
          <w:szCs w:val="24"/>
        </w:rPr>
        <w:t>槽顶至管顶以上0.5m范围内不含有有机</w:t>
      </w:r>
      <w:r>
        <w:rPr>
          <w:spacing w:val="-24"/>
          <w:sz w:val="24"/>
          <w:szCs w:val="24"/>
        </w:rPr>
        <w:t>物、冻土大于50mm的砖石等硬块。回填土的含水量，按土类和压实工具控制在</w:t>
      </w:r>
      <w:r>
        <w:rPr>
          <w:spacing w:val="-25"/>
          <w:sz w:val="24"/>
          <w:szCs w:val="24"/>
        </w:rPr>
        <w:t>最佳含水量附近，</w:t>
      </w:r>
      <w:r>
        <w:rPr>
          <w:spacing w:val="-17"/>
          <w:sz w:val="24"/>
          <w:szCs w:val="24"/>
        </w:rPr>
        <w:t>胸腔以上及左右30cm人工回填，土方回填在管顶50厘米内对称地在</w:t>
      </w:r>
      <w:r>
        <w:rPr>
          <w:spacing w:val="-18"/>
          <w:sz w:val="24"/>
          <w:szCs w:val="24"/>
        </w:rPr>
        <w:t>管道两边分层用铁夯人工</w:t>
      </w:r>
      <w:r>
        <w:rPr>
          <w:spacing w:val="-19"/>
          <w:sz w:val="24"/>
          <w:szCs w:val="24"/>
        </w:rPr>
        <w:t>压实，每层虚铺厚度不超过25cm，管顶50厘米以上</w:t>
      </w:r>
      <w:r>
        <w:rPr>
          <w:spacing w:val="-20"/>
          <w:sz w:val="24"/>
          <w:szCs w:val="24"/>
        </w:rPr>
        <w:t>用打夯机分层碾压，以确保回填压实度，若</w:t>
      </w:r>
    </w:p>
    <w:p w14:paraId="70758DC4">
      <w:pPr>
        <w:spacing w:line="307" w:lineRule="auto"/>
        <w:rPr>
          <w:sz w:val="24"/>
          <w:szCs w:val="24"/>
        </w:rPr>
        <w:sectPr>
          <w:footerReference r:id="rId310" w:type="default"/>
          <w:pgSz w:w="11907" w:h="16839"/>
          <w:pgMar w:top="933" w:right="4" w:bottom="1038" w:left="0" w:header="478" w:footer="357" w:gutter="0"/>
          <w:pgBorders>
            <w:top w:val="none" w:sz="0" w:space="0"/>
            <w:left w:val="none" w:sz="0" w:space="0"/>
            <w:bottom w:val="none" w:sz="0" w:space="0"/>
            <w:right w:val="none" w:sz="0" w:space="0"/>
          </w:pgBorders>
          <w:cols w:space="720" w:num="1"/>
        </w:sectPr>
      </w:pPr>
    </w:p>
    <w:p w14:paraId="2BA19C7F">
      <w:pPr>
        <w:spacing w:line="271" w:lineRule="auto"/>
        <w:rPr>
          <w:rFonts w:ascii="Arial"/>
          <w:sz w:val="21"/>
        </w:rPr>
      </w:pPr>
    </w:p>
    <w:p w14:paraId="4D4C260C">
      <w:pPr>
        <w:pStyle w:val="2"/>
        <w:spacing w:before="78" w:line="264" w:lineRule="auto"/>
        <w:ind w:left="1485" w:right="1411" w:hanging="16"/>
        <w:rPr>
          <w:sz w:val="24"/>
          <w:szCs w:val="24"/>
        </w:rPr>
      </w:pPr>
      <w:r>
        <w:rPr>
          <w:spacing w:val="-20"/>
          <w:sz w:val="24"/>
          <w:szCs w:val="24"/>
        </w:rPr>
        <w:t>管道沟槽位于路基范围内，管顶以上25cm范围内回填土表层的压实度不应小于</w:t>
      </w:r>
      <w:r>
        <w:rPr>
          <w:spacing w:val="-21"/>
          <w:sz w:val="24"/>
          <w:szCs w:val="24"/>
        </w:rPr>
        <w:t>87%。其它部位</w:t>
      </w:r>
      <w:r>
        <w:rPr>
          <w:spacing w:val="-23"/>
          <w:sz w:val="24"/>
          <w:szCs w:val="24"/>
        </w:rPr>
        <w:t>回填土压实度如下：</w:t>
      </w:r>
    </w:p>
    <w:tbl>
      <w:tblPr>
        <w:tblStyle w:val="6"/>
        <w:tblW w:w="9661" w:type="dxa"/>
        <w:tblInd w:w="112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835"/>
        <w:gridCol w:w="4826"/>
      </w:tblGrid>
      <w:tr w14:paraId="07F4A5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4" w:hRule="atLeast"/>
        </w:trPr>
        <w:tc>
          <w:tcPr>
            <w:tcW w:w="4835" w:type="dxa"/>
            <w:tcBorders>
              <w:top w:val="single" w:color="000000" w:sz="4" w:space="0"/>
              <w:left w:val="single" w:color="000000" w:sz="4" w:space="0"/>
            </w:tcBorders>
            <w:shd w:val="clear" w:color="auto" w:fill="DEEAF6"/>
            <w:vAlign w:val="top"/>
          </w:tcPr>
          <w:p w14:paraId="71BB5B61">
            <w:pPr>
              <w:pStyle w:val="7"/>
              <w:spacing w:before="179" w:line="218" w:lineRule="auto"/>
              <w:ind w:left="1991"/>
            </w:pPr>
            <w:r>
              <w:rPr>
                <w:b/>
                <w:bCs/>
                <w:spacing w:val="-18"/>
              </w:rPr>
              <w:t>路槽以下</w:t>
            </w:r>
          </w:p>
        </w:tc>
        <w:tc>
          <w:tcPr>
            <w:tcW w:w="4826" w:type="dxa"/>
            <w:tcBorders>
              <w:top w:val="single" w:color="5B9BD5" w:sz="4" w:space="0"/>
              <w:right w:val="single" w:color="5B9BD5" w:sz="4" w:space="0"/>
            </w:tcBorders>
            <w:shd w:val="clear" w:color="auto" w:fill="DEEAF6"/>
            <w:vAlign w:val="top"/>
          </w:tcPr>
          <w:p w14:paraId="50E8804A">
            <w:pPr>
              <w:pStyle w:val="7"/>
              <w:spacing w:before="179" w:line="218" w:lineRule="auto"/>
              <w:ind w:left="2086"/>
            </w:pPr>
            <w:r>
              <w:rPr>
                <w:b/>
                <w:bCs/>
                <w:spacing w:val="-16"/>
              </w:rPr>
              <w:t>压实度</w:t>
            </w:r>
          </w:p>
        </w:tc>
      </w:tr>
      <w:tr w14:paraId="64646C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7" w:hRule="atLeast"/>
        </w:trPr>
        <w:tc>
          <w:tcPr>
            <w:tcW w:w="4835" w:type="dxa"/>
            <w:tcBorders>
              <w:left w:val="single" w:color="000000" w:sz="4" w:space="0"/>
            </w:tcBorders>
            <w:vAlign w:val="top"/>
          </w:tcPr>
          <w:p w14:paraId="7811B8A7">
            <w:pPr>
              <w:pStyle w:val="7"/>
              <w:spacing w:before="174" w:line="236" w:lineRule="auto"/>
              <w:ind w:left="2114"/>
            </w:pPr>
            <w:r>
              <w:rPr>
                <w:spacing w:val="-15"/>
              </w:rPr>
              <w:t>≤80cm</w:t>
            </w:r>
          </w:p>
        </w:tc>
        <w:tc>
          <w:tcPr>
            <w:tcW w:w="4826" w:type="dxa"/>
            <w:tcBorders>
              <w:right w:val="single" w:color="000000" w:sz="4" w:space="0"/>
            </w:tcBorders>
            <w:vAlign w:val="top"/>
          </w:tcPr>
          <w:p w14:paraId="685FDA4D">
            <w:pPr>
              <w:pStyle w:val="7"/>
              <w:spacing w:before="174" w:line="237" w:lineRule="auto"/>
              <w:ind w:left="2158"/>
            </w:pPr>
            <w:r>
              <w:rPr>
                <w:spacing w:val="-17"/>
              </w:rPr>
              <w:t>≥95%</w:t>
            </w:r>
          </w:p>
        </w:tc>
      </w:tr>
      <w:tr w14:paraId="058C99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4" w:hRule="atLeast"/>
        </w:trPr>
        <w:tc>
          <w:tcPr>
            <w:tcW w:w="4835" w:type="dxa"/>
            <w:tcBorders>
              <w:left w:val="single" w:color="000000" w:sz="4" w:space="0"/>
            </w:tcBorders>
            <w:vAlign w:val="top"/>
          </w:tcPr>
          <w:p w14:paraId="5534E5F5">
            <w:pPr>
              <w:pStyle w:val="7"/>
              <w:spacing w:before="166" w:line="236" w:lineRule="auto"/>
              <w:ind w:left="1842"/>
            </w:pPr>
            <w:r>
              <w:rPr>
                <w:spacing w:val="-15"/>
              </w:rPr>
              <w:t>≤80～150cm</w:t>
            </w:r>
          </w:p>
        </w:tc>
        <w:tc>
          <w:tcPr>
            <w:tcW w:w="4826" w:type="dxa"/>
            <w:tcBorders>
              <w:right w:val="single" w:color="000000" w:sz="4" w:space="0"/>
            </w:tcBorders>
            <w:vAlign w:val="top"/>
          </w:tcPr>
          <w:p w14:paraId="3541C280">
            <w:pPr>
              <w:pStyle w:val="7"/>
              <w:spacing w:before="165" w:line="237" w:lineRule="auto"/>
              <w:ind w:left="2158"/>
            </w:pPr>
            <w:r>
              <w:rPr>
                <w:spacing w:val="-17"/>
              </w:rPr>
              <w:t>≥92%</w:t>
            </w:r>
          </w:p>
        </w:tc>
      </w:tr>
      <w:tr w14:paraId="278330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55" w:hRule="atLeast"/>
        </w:trPr>
        <w:tc>
          <w:tcPr>
            <w:tcW w:w="4835" w:type="dxa"/>
            <w:tcBorders>
              <w:left w:val="single" w:color="1C456A" w:sz="4" w:space="0"/>
              <w:bottom w:val="single" w:color="1C456A" w:sz="4" w:space="0"/>
            </w:tcBorders>
            <w:vAlign w:val="top"/>
          </w:tcPr>
          <w:p w14:paraId="69A9BB61">
            <w:pPr>
              <w:pStyle w:val="7"/>
              <w:spacing w:before="170" w:line="237" w:lineRule="auto"/>
              <w:ind w:left="2062"/>
            </w:pPr>
            <w:r>
              <w:rPr>
                <w:spacing w:val="9"/>
              </w:rPr>
              <w:t>&lt;150</w:t>
            </w:r>
            <w:r>
              <w:t>cm</w:t>
            </w:r>
          </w:p>
        </w:tc>
        <w:tc>
          <w:tcPr>
            <w:tcW w:w="4826" w:type="dxa"/>
            <w:tcBorders>
              <w:bottom w:val="single" w:color="5B9BD5" w:sz="4" w:space="0"/>
              <w:right w:val="single" w:color="5B9BD5" w:sz="4" w:space="0"/>
            </w:tcBorders>
            <w:vAlign w:val="top"/>
          </w:tcPr>
          <w:p w14:paraId="049321B9">
            <w:pPr>
              <w:pStyle w:val="7"/>
              <w:spacing w:before="170" w:line="237" w:lineRule="auto"/>
              <w:ind w:left="2158"/>
            </w:pPr>
            <w:r>
              <w:rPr>
                <w:spacing w:val="-17"/>
              </w:rPr>
              <w:t>≥90%</w:t>
            </w:r>
          </w:p>
        </w:tc>
      </w:tr>
    </w:tbl>
    <w:p w14:paraId="557FD99A">
      <w:pPr>
        <w:spacing w:before="159"/>
      </w:pPr>
    </w:p>
    <w:tbl>
      <w:tblPr>
        <w:tblStyle w:val="6"/>
        <w:tblW w:w="8557" w:type="dxa"/>
        <w:tblInd w:w="167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372"/>
        <w:gridCol w:w="4185"/>
      </w:tblGrid>
      <w:tr w14:paraId="53B829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739" w:hRule="atLeast"/>
        </w:trPr>
        <w:tc>
          <w:tcPr>
            <w:tcW w:w="4372" w:type="dxa"/>
            <w:tcBorders>
              <w:top w:val="single" w:color="000000" w:sz="4" w:space="0"/>
              <w:left w:val="single" w:color="000000" w:sz="4" w:space="0"/>
            </w:tcBorders>
            <w:shd w:val="clear" w:color="auto" w:fill="DEEAF6"/>
            <w:vAlign w:val="top"/>
          </w:tcPr>
          <w:p w14:paraId="1572668C">
            <w:pPr>
              <w:spacing w:before="33" w:line="58" w:lineRule="exact"/>
              <w:ind w:firstLine="33"/>
            </w:pPr>
            <w:r>
              <w:rPr>
                <w:position w:val="-1"/>
              </w:rPr>
              <w:pict>
                <v:shape id="_x0000_s3858" o:spid="_x0000_s3858" style="height:3.05pt;width:215.95pt;" fillcolor="#DEEAF6" filled="t" stroked="f" coordsize="4318,60" path="m0,60l4318,60,4318,0,0,0,0,60xe">
                  <v:path/>
                  <v:fill on="t" focussize="0,0"/>
                  <v:stroke on="f"/>
                  <v:imagedata o:title=""/>
                  <o:lock v:ext="edit"/>
                  <w10:wrap type="none"/>
                  <w10:anchorlock/>
                </v:shape>
              </w:pict>
            </w:r>
          </w:p>
          <w:p w14:paraId="6E3ADB2F">
            <w:pPr>
              <w:spacing w:line="6440" w:lineRule="exact"/>
              <w:ind w:firstLine="95"/>
            </w:pPr>
            <w:r>
              <w:rPr>
                <w:position w:val="-128"/>
              </w:rPr>
              <w:drawing>
                <wp:inline distT="0" distB="0" distL="0" distR="0">
                  <wp:extent cx="2651760" cy="4089400"/>
                  <wp:effectExtent l="0" t="0" r="0" b="0"/>
                  <wp:docPr id="1292" name="IM 1292"/>
                  <wp:cNvGraphicFramePr/>
                  <a:graphic xmlns:a="http://schemas.openxmlformats.org/drawingml/2006/main">
                    <a:graphicData uri="http://schemas.openxmlformats.org/drawingml/2006/picture">
                      <pic:pic xmlns:pic="http://schemas.openxmlformats.org/drawingml/2006/picture">
                        <pic:nvPicPr>
                          <pic:cNvPr id="1292" name="IM 1292"/>
                          <pic:cNvPicPr/>
                        </pic:nvPicPr>
                        <pic:blipFill>
                          <a:blip r:embed="rId663"/>
                          <a:stretch>
                            <a:fillRect/>
                          </a:stretch>
                        </pic:blipFill>
                        <pic:spPr>
                          <a:xfrm>
                            <a:off x="0" y="0"/>
                            <a:ext cx="2651760" cy="4089526"/>
                          </a:xfrm>
                          <a:prstGeom prst="rect">
                            <a:avLst/>
                          </a:prstGeom>
                        </pic:spPr>
                      </pic:pic>
                    </a:graphicData>
                  </a:graphic>
                </wp:inline>
              </w:drawing>
            </w:r>
          </w:p>
        </w:tc>
        <w:tc>
          <w:tcPr>
            <w:tcW w:w="4185" w:type="dxa"/>
            <w:tcBorders>
              <w:top w:val="single" w:color="5B9BD5" w:sz="4" w:space="0"/>
              <w:right w:val="single" w:color="5B9BD5" w:sz="4" w:space="0"/>
            </w:tcBorders>
            <w:shd w:val="clear" w:color="auto" w:fill="DEEAF6"/>
            <w:vAlign w:val="top"/>
          </w:tcPr>
          <w:p w14:paraId="3D0EAAD0">
            <w:pPr>
              <w:spacing w:before="33" w:line="60" w:lineRule="exact"/>
              <w:ind w:firstLine="25"/>
            </w:pPr>
            <w:r>
              <w:rPr>
                <w:position w:val="-1"/>
              </w:rPr>
              <w:pict>
                <v:shape id="_x0000_s3859" o:spid="_x0000_s3859" style="height:3.05pt;width:206pt;" fillcolor="#DEEAF6" filled="t" stroked="f" coordsize="4120,60" path="m0,60l4119,60,4119,0,0,0,0,60xe">
                  <v:path/>
                  <v:fill on="t" focussize="0,0"/>
                  <v:stroke on="f"/>
                  <v:imagedata o:title=""/>
                  <o:lock v:ext="edit"/>
                  <w10:wrap type="none"/>
                  <w10:anchorlock/>
                </v:shape>
              </w:pict>
            </w:r>
          </w:p>
          <w:p w14:paraId="0B50963E">
            <w:pPr>
              <w:spacing w:before="51" w:line="6334" w:lineRule="exact"/>
              <w:ind w:firstLine="52"/>
            </w:pPr>
            <w:r>
              <w:rPr>
                <w:position w:val="-126"/>
              </w:rPr>
              <w:drawing>
                <wp:inline distT="0" distB="0" distL="0" distR="0">
                  <wp:extent cx="2566670" cy="4022090"/>
                  <wp:effectExtent l="0" t="0" r="0" b="0"/>
                  <wp:docPr id="1294" name="IM 1294"/>
                  <wp:cNvGraphicFramePr/>
                  <a:graphic xmlns:a="http://schemas.openxmlformats.org/drawingml/2006/main">
                    <a:graphicData uri="http://schemas.openxmlformats.org/drawingml/2006/picture">
                      <pic:pic xmlns:pic="http://schemas.openxmlformats.org/drawingml/2006/picture">
                        <pic:nvPicPr>
                          <pic:cNvPr id="1294" name="IM 1294"/>
                          <pic:cNvPicPr/>
                        </pic:nvPicPr>
                        <pic:blipFill>
                          <a:blip r:embed="rId664"/>
                          <a:stretch>
                            <a:fillRect/>
                          </a:stretch>
                        </pic:blipFill>
                        <pic:spPr>
                          <a:xfrm>
                            <a:off x="0" y="0"/>
                            <a:ext cx="2566670" cy="4022090"/>
                          </a:xfrm>
                          <a:prstGeom prst="rect">
                            <a:avLst/>
                          </a:prstGeom>
                        </pic:spPr>
                      </pic:pic>
                    </a:graphicData>
                  </a:graphic>
                </wp:inline>
              </w:drawing>
            </w:r>
          </w:p>
        </w:tc>
      </w:tr>
      <w:tr w14:paraId="6A2885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4372" w:type="dxa"/>
            <w:tcBorders>
              <w:left w:val="single" w:color="1C456A" w:sz="4" w:space="0"/>
              <w:bottom w:val="single" w:color="1C456A" w:sz="4" w:space="0"/>
            </w:tcBorders>
            <w:vAlign w:val="top"/>
          </w:tcPr>
          <w:p w14:paraId="0F313E3E">
            <w:pPr>
              <w:pStyle w:val="7"/>
              <w:spacing w:before="106" w:line="219" w:lineRule="auto"/>
              <w:ind w:left="1367"/>
            </w:pPr>
            <w:r>
              <w:pict>
                <v:shape id="_x0000_s3860" o:spid="_x0000_s3860" style="position:absolute;left:0pt;margin-left:-0.2pt;margin-top:31.5pt;height:0.75pt;width:2.2pt;mso-position-horizontal-relative:page;mso-position-vertical-relative:page;z-index:252244992;mso-width-relative:page;mso-height-relative:page;" fillcolor="#5B9BD5" filled="t" stroked="f" coordsize="44,15" path="m0,14l43,14,43,0,0,0,0,14xe">
                  <v:path/>
                  <v:fill on="t" focussize="0,0"/>
                  <v:stroke on="f"/>
                  <v:imagedata o:title=""/>
                  <o:lock v:ext="edit"/>
                </v:shape>
              </w:pict>
            </w:r>
            <w:r>
              <w:rPr>
                <w:spacing w:val="-21"/>
              </w:rPr>
              <w:t>管道安装施工图1</w:t>
            </w:r>
          </w:p>
        </w:tc>
        <w:tc>
          <w:tcPr>
            <w:tcW w:w="4185" w:type="dxa"/>
            <w:tcBorders>
              <w:bottom w:val="single" w:color="5B9BD5" w:sz="4" w:space="0"/>
              <w:right w:val="single" w:color="5B9BD5" w:sz="4" w:space="0"/>
            </w:tcBorders>
            <w:vAlign w:val="top"/>
          </w:tcPr>
          <w:p w14:paraId="47D245D3">
            <w:pPr>
              <w:pStyle w:val="7"/>
              <w:spacing w:before="106" w:line="219" w:lineRule="auto"/>
              <w:ind w:left="1259"/>
            </w:pPr>
            <w:r>
              <w:pict>
                <v:shape id="_x0000_s3861" o:spid="_x0000_s3861" style="position:absolute;left:0pt;margin-left:207.35pt;margin-top:31.5pt;height:0.75pt;width:2.2pt;mso-position-horizontal-relative:page;mso-position-vertical-relative:page;z-index:252243968;mso-width-relative:page;mso-height-relative:page;" fillcolor="#5B9BD5" filled="t" stroked="f" coordsize="44,15" path="m0,14l43,14,43,0,0,0,0,14xe">
                  <v:path/>
                  <v:fill on="t" focussize="0,0"/>
                  <v:stroke on="f"/>
                  <v:imagedata o:title=""/>
                  <o:lock v:ext="edit"/>
                </v:shape>
              </w:pict>
            </w:r>
            <w:r>
              <w:rPr>
                <w:spacing w:val="-15"/>
              </w:rPr>
              <w:t>管道安装施工图2</w:t>
            </w:r>
          </w:p>
        </w:tc>
      </w:tr>
    </w:tbl>
    <w:p w14:paraId="7A6E66CC">
      <w:pPr>
        <w:pStyle w:val="2"/>
        <w:spacing w:before="114" w:line="308" w:lineRule="auto"/>
        <w:ind w:left="1455" w:right="1411" w:firstLine="437"/>
        <w:jc w:val="both"/>
        <w:rPr>
          <w:sz w:val="24"/>
          <w:szCs w:val="24"/>
        </w:rPr>
      </w:pPr>
      <w:r>
        <w:rPr>
          <w:spacing w:val="-22"/>
          <w:sz w:val="24"/>
          <w:szCs w:val="24"/>
        </w:rPr>
        <w:t>若干槽超挖在15cm以内时，用原土回填夯实，其压实度不低于原地基天然土</w:t>
      </w:r>
      <w:r>
        <w:rPr>
          <w:spacing w:val="-23"/>
          <w:sz w:val="24"/>
          <w:szCs w:val="24"/>
        </w:rPr>
        <w:t>的密实度；干</w:t>
      </w:r>
      <w:r>
        <w:rPr>
          <w:spacing w:val="-19"/>
          <w:sz w:val="24"/>
          <w:szCs w:val="24"/>
        </w:rPr>
        <w:t>槽超挖在15cm以上时，用三七灰土回填，其压实度不应低于95%，槽底有地下水或</w:t>
      </w:r>
      <w:r>
        <w:rPr>
          <w:spacing w:val="-20"/>
          <w:sz w:val="24"/>
          <w:szCs w:val="24"/>
        </w:rPr>
        <w:t>地基土含水</w:t>
      </w:r>
      <w:r>
        <w:rPr>
          <w:spacing w:val="-21"/>
          <w:sz w:val="24"/>
          <w:szCs w:val="24"/>
        </w:rPr>
        <w:t>量较大，不适于加夯时，可用天然级配砂石回填。排水构筑物一律按国家排水标准图集S2下册</w:t>
      </w:r>
      <w:r>
        <w:rPr>
          <w:spacing w:val="-19"/>
          <w:sz w:val="24"/>
          <w:szCs w:val="24"/>
        </w:rPr>
        <w:t>的有关规定砌筑。</w:t>
      </w:r>
    </w:p>
    <w:p w14:paraId="3A2E9BA7">
      <w:pPr>
        <w:spacing w:line="308" w:lineRule="auto"/>
        <w:rPr>
          <w:sz w:val="24"/>
          <w:szCs w:val="24"/>
        </w:rPr>
        <w:sectPr>
          <w:footerReference r:id="rId311" w:type="default"/>
          <w:pgSz w:w="11907" w:h="16839"/>
          <w:pgMar w:top="933" w:right="4" w:bottom="1038" w:left="0" w:header="478" w:footer="357" w:gutter="0"/>
          <w:pgBorders>
            <w:top w:val="none" w:sz="0" w:space="0"/>
            <w:left w:val="none" w:sz="0" w:space="0"/>
            <w:bottom w:val="none" w:sz="0" w:space="0"/>
            <w:right w:val="none" w:sz="0" w:space="0"/>
          </w:pgBorders>
          <w:cols w:space="720" w:num="1"/>
        </w:sectPr>
      </w:pPr>
    </w:p>
    <w:p w14:paraId="2278A963">
      <w:pPr>
        <w:spacing w:line="235" w:lineRule="exact"/>
      </w:pPr>
    </w:p>
    <w:tbl>
      <w:tblPr>
        <w:tblStyle w:val="6"/>
        <w:tblW w:w="9166" w:type="dxa"/>
        <w:tblInd w:w="137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592"/>
        <w:gridCol w:w="4574"/>
      </w:tblGrid>
      <w:tr w14:paraId="6AC762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90" w:hRule="atLeast"/>
        </w:trPr>
        <w:tc>
          <w:tcPr>
            <w:tcW w:w="4592" w:type="dxa"/>
            <w:tcBorders>
              <w:top w:val="single" w:color="000000" w:sz="4" w:space="0"/>
              <w:left w:val="single" w:color="000000" w:sz="4" w:space="0"/>
            </w:tcBorders>
            <w:shd w:val="clear" w:color="auto" w:fill="DEEAF6"/>
            <w:vAlign w:val="top"/>
          </w:tcPr>
          <w:p w14:paraId="49A5C4D3">
            <w:pPr>
              <w:spacing w:before="93" w:line="5789" w:lineRule="exact"/>
              <w:ind w:firstLine="123"/>
            </w:pPr>
            <w:r>
              <w:pict>
                <v:group id="_x0000_s3862" o:spid="_x0000_s3862" o:spt="203" style="position:absolute;left:0pt;margin-left:0.9pt;margin-top:2.15pt;height:303.05pt;width:228.3pt;mso-position-horizontal-relative:page;mso-position-vertical-relative:page;z-index:252249088;mso-width-relative:page;mso-height-relative:page;" coordsize="4566,6060">
                  <o:lock v:ext="edit"/>
                  <v:shape id="_x0000_s3863" o:spid="_x0000_s3863" style="position:absolute;left:21;top:0;height:60;width:4538;" fillcolor="#DEEAF6" filled="t" stroked="f" coordsize="4538,60" path="m0,60l4538,60,4538,0,0,0,0,60xe">
                    <v:path/>
                    <v:fill on="t" focussize="0,0"/>
                    <v:stroke on="f"/>
                    <v:imagedata o:title=""/>
                    <o:lock v:ext="edit"/>
                  </v:shape>
                  <v:shape id="_x0000_s3864" o:spid="_x0000_s3864" style="position:absolute;left:0;top:6003;height:58;width:4566;" fillcolor="#DEEAF6" filled="t" stroked="f" coordsize="4566,58" path="m0,57l4565,57,4565,0,0,0,0,57xe">
                    <v:path/>
                    <v:fill on="t" focussize="0,0"/>
                    <v:stroke on="f"/>
                    <v:imagedata o:title=""/>
                    <o:lock v:ext="edit"/>
                  </v:shape>
                </v:group>
              </w:pict>
            </w:r>
            <w:r>
              <w:rPr>
                <w:position w:val="-115"/>
              </w:rPr>
              <w:drawing>
                <wp:inline distT="0" distB="0" distL="0" distR="0">
                  <wp:extent cx="2757170" cy="3675380"/>
                  <wp:effectExtent l="0" t="0" r="0" b="0"/>
                  <wp:docPr id="1298" name="IM 1298"/>
                  <wp:cNvGraphicFramePr/>
                  <a:graphic xmlns:a="http://schemas.openxmlformats.org/drawingml/2006/main">
                    <a:graphicData uri="http://schemas.openxmlformats.org/drawingml/2006/picture">
                      <pic:pic xmlns:pic="http://schemas.openxmlformats.org/drawingml/2006/picture">
                        <pic:nvPicPr>
                          <pic:cNvPr id="1298" name="IM 1298"/>
                          <pic:cNvPicPr/>
                        </pic:nvPicPr>
                        <pic:blipFill>
                          <a:blip r:embed="rId665"/>
                          <a:stretch>
                            <a:fillRect/>
                          </a:stretch>
                        </pic:blipFill>
                        <pic:spPr>
                          <a:xfrm>
                            <a:off x="0" y="0"/>
                            <a:ext cx="2757170" cy="3676014"/>
                          </a:xfrm>
                          <a:prstGeom prst="rect">
                            <a:avLst/>
                          </a:prstGeom>
                        </pic:spPr>
                      </pic:pic>
                    </a:graphicData>
                  </a:graphic>
                </wp:inline>
              </w:drawing>
            </w:r>
          </w:p>
        </w:tc>
        <w:tc>
          <w:tcPr>
            <w:tcW w:w="4574" w:type="dxa"/>
            <w:tcBorders>
              <w:top w:val="single" w:color="5B9BD5" w:sz="4" w:space="0"/>
              <w:right w:val="single" w:color="5B9BD5" w:sz="4" w:space="0"/>
            </w:tcBorders>
            <w:shd w:val="clear" w:color="auto" w:fill="DEEAF6"/>
            <w:vAlign w:val="top"/>
          </w:tcPr>
          <w:p w14:paraId="49F6E116">
            <w:pPr>
              <w:spacing w:before="103" w:line="5767" w:lineRule="exact"/>
              <w:ind w:firstLine="106"/>
            </w:pPr>
            <w:r>
              <w:pict>
                <v:group id="_x0000_s3865" o:spid="_x0000_s3865" o:spt="203" style="position:absolute;left:0pt;margin-left:-0.5pt;margin-top:2.15pt;height:303.05pt;width:228.45pt;mso-position-horizontal-relative:page;mso-position-vertical-relative:page;z-index:252246016;mso-width-relative:page;mso-height-relative:page;" coordsize="4568,6060">
                  <o:lock v:ext="edit"/>
                  <v:shape id="_x0000_s3866" o:spid="_x0000_s3866" style="position:absolute;left:38;top:0;height:60;width:4508;" fillcolor="#DEEAF6" filled="t" stroked="f" coordsize="4508,60" path="m0,60l4508,60,4508,0,0,0,0,60xe">
                    <v:path/>
                    <v:fill on="t" focussize="0,0"/>
                    <v:stroke on="f"/>
                    <v:imagedata o:title=""/>
                    <o:lock v:ext="edit"/>
                  </v:shape>
                  <v:shape id="_x0000_s3867" o:spid="_x0000_s3867" style="position:absolute;left:0;top:6003;height:58;width:4568;" fillcolor="#DEEAF6" filled="t" stroked="f" coordsize="4568,58" path="m0,57l4568,57,4568,0,0,0,0,57xe">
                    <v:path/>
                    <v:fill on="t" focussize="0,0"/>
                    <v:stroke on="f"/>
                    <v:imagedata o:title=""/>
                    <o:lock v:ext="edit"/>
                  </v:shape>
                </v:group>
              </w:pict>
            </w:r>
            <w:r>
              <w:rPr>
                <w:position w:val="-115"/>
              </w:rPr>
              <w:drawing>
                <wp:inline distT="0" distB="0" distL="0" distR="0">
                  <wp:extent cx="2745740" cy="3662045"/>
                  <wp:effectExtent l="0" t="0" r="0" b="0"/>
                  <wp:docPr id="1300" name="IM 1300"/>
                  <wp:cNvGraphicFramePr/>
                  <a:graphic xmlns:a="http://schemas.openxmlformats.org/drawingml/2006/main">
                    <a:graphicData uri="http://schemas.openxmlformats.org/drawingml/2006/picture">
                      <pic:pic xmlns:pic="http://schemas.openxmlformats.org/drawingml/2006/picture">
                        <pic:nvPicPr>
                          <pic:cNvPr id="1300" name="IM 1300"/>
                          <pic:cNvPicPr/>
                        </pic:nvPicPr>
                        <pic:blipFill>
                          <a:blip r:embed="rId666"/>
                          <a:stretch>
                            <a:fillRect/>
                          </a:stretch>
                        </pic:blipFill>
                        <pic:spPr>
                          <a:xfrm>
                            <a:off x="0" y="0"/>
                            <a:ext cx="2746374" cy="3662045"/>
                          </a:xfrm>
                          <a:prstGeom prst="rect">
                            <a:avLst/>
                          </a:prstGeom>
                        </pic:spPr>
                      </pic:pic>
                    </a:graphicData>
                  </a:graphic>
                </wp:inline>
              </w:drawing>
            </w:r>
          </w:p>
        </w:tc>
      </w:tr>
      <w:tr w14:paraId="41CAA4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5" w:hRule="atLeast"/>
        </w:trPr>
        <w:tc>
          <w:tcPr>
            <w:tcW w:w="4592" w:type="dxa"/>
            <w:tcBorders>
              <w:left w:val="single" w:color="1C456A" w:sz="4" w:space="0"/>
              <w:bottom w:val="single" w:color="1C456A" w:sz="4" w:space="0"/>
            </w:tcBorders>
            <w:vAlign w:val="top"/>
          </w:tcPr>
          <w:p w14:paraId="5178C179">
            <w:pPr>
              <w:pStyle w:val="7"/>
              <w:spacing w:before="102" w:line="219" w:lineRule="auto"/>
              <w:ind w:left="1478"/>
            </w:pPr>
            <w:r>
              <w:pict>
                <v:shape id="_x0000_s3868" o:spid="_x0000_s3868" style="position:absolute;left:0pt;margin-left:-0.2pt;margin-top:31.25pt;height:0.75pt;width:2.2pt;mso-position-horizontal-relative:page;mso-position-vertical-relative:page;z-index:252248064;mso-width-relative:page;mso-height-relative:page;" fillcolor="#5B9BD5" filled="t" stroked="f" coordsize="44,15" path="m0,14l43,14,43,0,0,0,0,14xe">
                  <v:path/>
                  <v:fill on="t" focussize="0,0"/>
                  <v:stroke on="f"/>
                  <v:imagedata o:title=""/>
                  <o:lock v:ext="edit"/>
                </v:shape>
              </w:pict>
            </w:r>
            <w:r>
              <w:rPr>
                <w:spacing w:val="-17"/>
              </w:rPr>
              <w:t>管道安装施工图3</w:t>
            </w:r>
          </w:p>
        </w:tc>
        <w:tc>
          <w:tcPr>
            <w:tcW w:w="4574" w:type="dxa"/>
            <w:tcBorders>
              <w:bottom w:val="single" w:color="5B9BD5" w:sz="4" w:space="0"/>
              <w:right w:val="single" w:color="5B9BD5" w:sz="4" w:space="0"/>
            </w:tcBorders>
            <w:vAlign w:val="top"/>
          </w:tcPr>
          <w:p w14:paraId="2EB808AA">
            <w:pPr>
              <w:pStyle w:val="7"/>
              <w:spacing w:before="102" w:line="219" w:lineRule="auto"/>
              <w:ind w:left="1454"/>
            </w:pPr>
            <w:r>
              <w:pict>
                <v:shape id="_x0000_s3869" o:spid="_x0000_s3869" style="position:absolute;left:0pt;margin-left:226.85pt;margin-top:31.25pt;height:0.75pt;width:2.2pt;mso-position-horizontal-relative:page;mso-position-vertical-relative:page;z-index:252247040;mso-width-relative:page;mso-height-relative:page;" fillcolor="#5B9BD5" filled="t" stroked="f" coordsize="44,15" path="m0,14l43,14,43,0,0,0,0,14xe">
                  <v:path/>
                  <v:fill on="t" focussize="0,0"/>
                  <v:stroke on="f"/>
                  <v:imagedata o:title=""/>
                  <o:lock v:ext="edit"/>
                </v:shape>
              </w:pict>
            </w:r>
            <w:r>
              <w:rPr>
                <w:spacing w:val="-17"/>
              </w:rPr>
              <w:t>管道安装施工图4</w:t>
            </w:r>
          </w:p>
        </w:tc>
      </w:tr>
    </w:tbl>
    <w:p w14:paraId="6777C3F5">
      <w:pPr>
        <w:pStyle w:val="2"/>
        <w:spacing w:before="114" w:line="217" w:lineRule="auto"/>
        <w:ind w:left="1888"/>
        <w:rPr>
          <w:sz w:val="24"/>
          <w:szCs w:val="24"/>
        </w:rPr>
      </w:pPr>
      <w:r>
        <w:rPr>
          <w:spacing w:val="-20"/>
          <w:sz w:val="24"/>
          <w:szCs w:val="24"/>
        </w:rPr>
        <w:t>2.3管道防腐处理。施工应按设计规定进行</w:t>
      </w:r>
      <w:r>
        <w:rPr>
          <w:spacing w:val="-21"/>
          <w:sz w:val="24"/>
          <w:szCs w:val="24"/>
        </w:rPr>
        <w:t>防腐处理。</w:t>
      </w:r>
    </w:p>
    <w:p w14:paraId="6867BA78">
      <w:pPr>
        <w:pStyle w:val="2"/>
        <w:spacing w:before="119" w:line="216" w:lineRule="auto"/>
        <w:ind w:left="1888"/>
        <w:rPr>
          <w:sz w:val="24"/>
          <w:szCs w:val="24"/>
        </w:rPr>
      </w:pPr>
      <w:r>
        <w:rPr>
          <w:spacing w:val="-20"/>
          <w:sz w:val="24"/>
          <w:szCs w:val="24"/>
        </w:rPr>
        <w:t>2.4混凝土检查井、雨水口及进出水口施工</w:t>
      </w:r>
    </w:p>
    <w:p w14:paraId="22BF1051">
      <w:pPr>
        <w:pStyle w:val="2"/>
        <w:spacing w:before="118" w:line="308" w:lineRule="auto"/>
        <w:ind w:left="1457" w:right="1410" w:firstLine="439"/>
        <w:rPr>
          <w:sz w:val="24"/>
          <w:szCs w:val="24"/>
        </w:rPr>
      </w:pPr>
      <w:r>
        <w:rPr>
          <w:spacing w:val="-20"/>
          <w:sz w:val="24"/>
          <w:szCs w:val="24"/>
        </w:rPr>
        <w:t>混凝土检查井主要有圆形井、矩形井及不规则井，虽然每个井室混凝土量不大，但施工中</w:t>
      </w:r>
      <w:r>
        <w:rPr>
          <w:spacing w:val="-21"/>
          <w:sz w:val="24"/>
          <w:szCs w:val="24"/>
        </w:rPr>
        <w:t>稍有疏忽，就可能使混凝土外观差，其工作缝出现洇水、</w:t>
      </w:r>
      <w:r>
        <w:rPr>
          <w:spacing w:val="-22"/>
          <w:sz w:val="24"/>
          <w:szCs w:val="24"/>
        </w:rPr>
        <w:t>渗水现象。</w:t>
      </w:r>
    </w:p>
    <w:p w14:paraId="5B530776">
      <w:pPr>
        <w:pStyle w:val="2"/>
        <w:spacing w:before="1" w:line="307" w:lineRule="auto"/>
        <w:ind w:left="1454" w:right="1409" w:firstLine="437"/>
        <w:rPr>
          <w:sz w:val="24"/>
          <w:szCs w:val="24"/>
        </w:rPr>
      </w:pPr>
      <w:r>
        <w:rPr>
          <w:spacing w:val="-19"/>
          <w:sz w:val="24"/>
          <w:szCs w:val="24"/>
        </w:rPr>
        <w:t>施工顺序：垫层混凝土→基础混凝土→管</w:t>
      </w:r>
      <w:r>
        <w:rPr>
          <w:spacing w:val="-20"/>
          <w:sz w:val="24"/>
          <w:szCs w:val="24"/>
        </w:rPr>
        <w:t>顶面以下侧墙混凝土浇筑→流槽→管顶面以上混</w:t>
      </w:r>
      <w:r>
        <w:rPr>
          <w:spacing w:val="-22"/>
          <w:sz w:val="24"/>
          <w:szCs w:val="24"/>
        </w:rPr>
        <w:t>凝土浇筑→塑钢踏步安装→现场预制混凝土盖板安装→预制混凝土井筒安装→铸铁井盖安装。</w:t>
      </w:r>
    </w:p>
    <w:p w14:paraId="616536F1">
      <w:pPr>
        <w:pStyle w:val="2"/>
        <w:spacing w:before="1" w:line="218" w:lineRule="auto"/>
        <w:ind w:left="1888"/>
        <w:rPr>
          <w:sz w:val="24"/>
          <w:szCs w:val="24"/>
        </w:rPr>
      </w:pPr>
      <w:r>
        <w:rPr>
          <w:spacing w:val="-11"/>
          <w:sz w:val="24"/>
          <w:szCs w:val="24"/>
        </w:rPr>
        <w:t>2.4.1钢筋</w:t>
      </w:r>
    </w:p>
    <w:p w14:paraId="556E1FCD">
      <w:pPr>
        <w:pStyle w:val="2"/>
        <w:spacing w:before="116" w:line="217" w:lineRule="auto"/>
        <w:ind w:left="1895"/>
        <w:rPr>
          <w:sz w:val="24"/>
          <w:szCs w:val="24"/>
        </w:rPr>
      </w:pPr>
      <w:r>
        <w:rPr>
          <w:spacing w:val="-22"/>
          <w:sz w:val="24"/>
          <w:szCs w:val="24"/>
        </w:rPr>
        <w:t>运至现场的钢筋要码放整齐、挂号标志牌，底部垫方木与地面保持距离。</w:t>
      </w:r>
    </w:p>
    <w:p w14:paraId="00ABD3ED">
      <w:pPr>
        <w:pStyle w:val="2"/>
        <w:spacing w:before="117" w:line="219" w:lineRule="auto"/>
        <w:ind w:left="1888"/>
        <w:rPr>
          <w:sz w:val="24"/>
          <w:szCs w:val="24"/>
        </w:rPr>
      </w:pPr>
      <w:r>
        <w:rPr>
          <w:spacing w:val="-14"/>
          <w:sz w:val="24"/>
          <w:szCs w:val="24"/>
        </w:rPr>
        <w:t>2.4.1.1绑扎、安装</w:t>
      </w:r>
    </w:p>
    <w:p w14:paraId="611F3E76">
      <w:pPr>
        <w:pStyle w:val="2"/>
        <w:spacing w:before="115" w:line="308" w:lineRule="auto"/>
        <w:ind w:left="1463" w:right="1410" w:firstLine="428"/>
        <w:rPr>
          <w:sz w:val="24"/>
          <w:szCs w:val="24"/>
        </w:rPr>
      </w:pPr>
      <w:r>
        <w:rPr>
          <w:spacing w:val="-20"/>
          <w:sz w:val="24"/>
          <w:szCs w:val="24"/>
        </w:rPr>
        <w:t>钢筋的现场绑扎及安装严格按照设计图纸的尺寸及要求进行。井室底板钢筋的定位必须弹线。</w:t>
      </w:r>
    </w:p>
    <w:p w14:paraId="2489A56C">
      <w:pPr>
        <w:pStyle w:val="2"/>
        <w:spacing w:before="1" w:line="217" w:lineRule="auto"/>
        <w:ind w:left="1902"/>
        <w:rPr>
          <w:sz w:val="24"/>
          <w:szCs w:val="24"/>
        </w:rPr>
      </w:pPr>
      <w:r>
        <w:rPr>
          <w:spacing w:val="-21"/>
          <w:sz w:val="24"/>
          <w:szCs w:val="24"/>
        </w:rPr>
        <w:t>架立筋：井室底板、顶板架立筋按1000mm间放，以此控制上、</w:t>
      </w:r>
      <w:r>
        <w:rPr>
          <w:spacing w:val="-22"/>
          <w:sz w:val="24"/>
          <w:szCs w:val="24"/>
        </w:rPr>
        <w:t>下层钢筋间距。</w:t>
      </w:r>
    </w:p>
    <w:p w14:paraId="171655FF">
      <w:pPr>
        <w:pStyle w:val="2"/>
        <w:spacing w:before="119" w:line="307" w:lineRule="auto"/>
        <w:ind w:left="1455" w:right="1411" w:firstLine="439"/>
        <w:rPr>
          <w:sz w:val="24"/>
          <w:szCs w:val="24"/>
        </w:rPr>
      </w:pPr>
      <w:r>
        <w:rPr>
          <w:spacing w:val="-20"/>
          <w:sz w:val="24"/>
          <w:szCs w:val="24"/>
        </w:rPr>
        <w:t>严格控制钢筋保护层，在模板与钢筋之间设置水泥、砂配比与所浇筑混凝土配比相同的水</w:t>
      </w:r>
      <w:r>
        <w:rPr>
          <w:spacing w:val="-17"/>
          <w:sz w:val="24"/>
          <w:szCs w:val="24"/>
        </w:rPr>
        <w:t>泥砂浆垫块,垫块数量不得小于2块/m2。</w:t>
      </w:r>
    </w:p>
    <w:p w14:paraId="10B0624D">
      <w:pPr>
        <w:pStyle w:val="2"/>
        <w:spacing w:before="1" w:line="308" w:lineRule="auto"/>
        <w:ind w:left="1469" w:right="1409" w:firstLine="424"/>
        <w:rPr>
          <w:sz w:val="24"/>
          <w:szCs w:val="24"/>
        </w:rPr>
      </w:pPr>
      <w:r>
        <w:rPr>
          <w:spacing w:val="-20"/>
          <w:sz w:val="24"/>
          <w:szCs w:val="24"/>
        </w:rPr>
        <w:t>绑扎时铺板作业，严禁踩踏绑扎完毕的钢筋。钢筋安装时接头的位置及数量，符合国标验收规范及规定。</w:t>
      </w:r>
    </w:p>
    <w:p w14:paraId="16FDABB2">
      <w:pPr>
        <w:pStyle w:val="2"/>
        <w:spacing w:line="307" w:lineRule="auto"/>
        <w:ind w:left="1458" w:right="1409" w:firstLine="437"/>
        <w:rPr>
          <w:sz w:val="24"/>
          <w:szCs w:val="24"/>
        </w:rPr>
      </w:pPr>
      <w:r>
        <w:rPr>
          <w:spacing w:val="-22"/>
          <w:sz w:val="24"/>
          <w:szCs w:val="24"/>
        </w:rPr>
        <w:t>井室底板及顶板同一截面内接头相互错开，其数量不得大于50%，墙体同一截面内接头必须</w:t>
      </w:r>
      <w:r>
        <w:rPr>
          <w:spacing w:val="-16"/>
          <w:sz w:val="24"/>
          <w:szCs w:val="24"/>
        </w:rPr>
        <w:t>相互错开，其数量不得大于25%。</w:t>
      </w:r>
    </w:p>
    <w:p w14:paraId="1D925DCA">
      <w:pPr>
        <w:pStyle w:val="2"/>
        <w:spacing w:before="2" w:line="215" w:lineRule="auto"/>
        <w:ind w:left="1888"/>
        <w:rPr>
          <w:sz w:val="24"/>
          <w:szCs w:val="24"/>
        </w:rPr>
      </w:pPr>
      <w:r>
        <w:rPr>
          <w:spacing w:val="-13"/>
          <w:sz w:val="24"/>
          <w:szCs w:val="24"/>
        </w:rPr>
        <w:t>2.4.2脚手架</w:t>
      </w:r>
    </w:p>
    <w:p w14:paraId="596EA84D">
      <w:pPr>
        <w:spacing w:line="215" w:lineRule="auto"/>
        <w:rPr>
          <w:sz w:val="24"/>
          <w:szCs w:val="24"/>
        </w:rPr>
        <w:sectPr>
          <w:footerReference r:id="rId312" w:type="default"/>
          <w:pgSz w:w="11907" w:h="16839"/>
          <w:pgMar w:top="933" w:right="4" w:bottom="1038" w:left="0" w:header="478" w:footer="357" w:gutter="0"/>
          <w:pgBorders>
            <w:top w:val="none" w:sz="0" w:space="0"/>
            <w:left w:val="none" w:sz="0" w:space="0"/>
            <w:bottom w:val="none" w:sz="0" w:space="0"/>
            <w:right w:val="none" w:sz="0" w:space="0"/>
          </w:pgBorders>
          <w:cols w:space="720" w:num="1"/>
        </w:sectPr>
      </w:pPr>
    </w:p>
    <w:p w14:paraId="20DB4CD4">
      <w:pPr>
        <w:spacing w:line="271" w:lineRule="auto"/>
        <w:rPr>
          <w:rFonts w:ascii="Arial"/>
          <w:sz w:val="21"/>
        </w:rPr>
      </w:pPr>
    </w:p>
    <w:p w14:paraId="57FE3A83">
      <w:pPr>
        <w:pStyle w:val="2"/>
        <w:spacing w:before="78" w:line="308" w:lineRule="auto"/>
        <w:ind w:left="1451" w:right="1410" w:firstLine="443"/>
        <w:jc w:val="both"/>
        <w:rPr>
          <w:sz w:val="24"/>
          <w:szCs w:val="24"/>
        </w:rPr>
      </w:pPr>
      <w:r>
        <w:rPr>
          <w:spacing w:val="-20"/>
          <w:sz w:val="24"/>
          <w:szCs w:val="24"/>
        </w:rPr>
        <w:t>检查井施工时，在其周围事先支搭钢管脚手架。坐落于肥槽上的脚手架用碗扣式钢管系列脚手架系统支搭，采用单排架。脚手架底部设立杆可调座，支腿下垫50mm大</w:t>
      </w:r>
      <w:r>
        <w:rPr>
          <w:spacing w:val="-21"/>
          <w:sz w:val="24"/>
          <w:szCs w:val="24"/>
        </w:rPr>
        <w:t>板，大板宽不小于</w:t>
      </w:r>
      <w:r>
        <w:rPr>
          <w:spacing w:val="-16"/>
          <w:sz w:val="24"/>
          <w:szCs w:val="24"/>
        </w:rPr>
        <w:t>200mm。脚手架内侧距结构墙皮700mm，架</w:t>
      </w:r>
      <w:r>
        <w:rPr>
          <w:spacing w:val="-17"/>
          <w:sz w:val="24"/>
          <w:szCs w:val="24"/>
        </w:rPr>
        <w:t>宽900mm，其立杆间距900mm，横杆间距1200mm。支</w:t>
      </w:r>
      <w:r>
        <w:rPr>
          <w:spacing w:val="-18"/>
          <w:sz w:val="24"/>
          <w:szCs w:val="24"/>
        </w:rPr>
        <w:t>搭时设碗扣式斜杆，脚手架上部设有高度横杆间距600mm，作为护栏。</w:t>
      </w:r>
    </w:p>
    <w:p w14:paraId="1BA852CA">
      <w:pPr>
        <w:pStyle w:val="2"/>
        <w:spacing w:before="1" w:line="218" w:lineRule="auto"/>
        <w:ind w:left="1888"/>
        <w:rPr>
          <w:sz w:val="24"/>
          <w:szCs w:val="24"/>
        </w:rPr>
      </w:pPr>
      <w:r>
        <w:rPr>
          <w:spacing w:val="-15"/>
          <w:sz w:val="24"/>
          <w:szCs w:val="24"/>
        </w:rPr>
        <w:t>2.4.3混凝土浇筑</w:t>
      </w:r>
    </w:p>
    <w:p w14:paraId="294B3C0F">
      <w:pPr>
        <w:pStyle w:val="2"/>
        <w:spacing w:before="114" w:line="218" w:lineRule="auto"/>
        <w:ind w:left="1888"/>
        <w:rPr>
          <w:sz w:val="24"/>
          <w:szCs w:val="24"/>
        </w:rPr>
      </w:pPr>
      <w:r>
        <w:rPr>
          <w:spacing w:val="-13"/>
          <w:sz w:val="24"/>
          <w:szCs w:val="24"/>
        </w:rPr>
        <w:t>2.4.3.1浇筑顺序</w:t>
      </w:r>
    </w:p>
    <w:p w14:paraId="4A3E6F27">
      <w:pPr>
        <w:pStyle w:val="2"/>
        <w:spacing w:before="117" w:line="218" w:lineRule="auto"/>
        <w:ind w:left="1895"/>
        <w:rPr>
          <w:sz w:val="24"/>
          <w:szCs w:val="24"/>
        </w:rPr>
      </w:pPr>
      <w:r>
        <w:rPr>
          <w:spacing w:val="-21"/>
          <w:sz w:val="24"/>
          <w:szCs w:val="24"/>
        </w:rPr>
        <w:t>井室混凝土浇筑顺序：垫层混凝土→基础混凝土→侧</w:t>
      </w:r>
      <w:r>
        <w:rPr>
          <w:spacing w:val="-22"/>
          <w:sz w:val="24"/>
          <w:szCs w:val="24"/>
        </w:rPr>
        <w:t>墙混凝土。</w:t>
      </w:r>
    </w:p>
    <w:p w14:paraId="7BFEAFD7">
      <w:pPr>
        <w:pStyle w:val="2"/>
        <w:spacing w:before="117" w:line="218" w:lineRule="auto"/>
        <w:ind w:left="1888"/>
        <w:rPr>
          <w:sz w:val="24"/>
          <w:szCs w:val="24"/>
        </w:rPr>
      </w:pPr>
      <w:r>
        <w:rPr>
          <w:spacing w:val="-18"/>
          <w:sz w:val="24"/>
          <w:szCs w:val="24"/>
        </w:rPr>
        <w:t>2.4.3.2施工要求与注意事项如下：</w:t>
      </w:r>
    </w:p>
    <w:p w14:paraId="478158B6">
      <w:pPr>
        <w:pStyle w:val="2"/>
        <w:spacing w:before="115" w:line="263" w:lineRule="auto"/>
        <w:ind w:left="1470" w:right="1426" w:firstLine="418"/>
        <w:rPr>
          <w:sz w:val="24"/>
          <w:szCs w:val="24"/>
        </w:rPr>
      </w:pPr>
      <w:r>
        <w:rPr>
          <w:spacing w:val="-22"/>
          <w:sz w:val="24"/>
          <w:szCs w:val="24"/>
        </w:rPr>
        <w:t>2.4.3.2.1浇筑前，对支架、模板、钢筋和预埋件进行检查，模板内的杂物、积水和钢筋上的污垢清理干净；模板如有缝隙，应填塞严密，模板内面应涂刷脱模剂。</w:t>
      </w:r>
    </w:p>
    <w:p w14:paraId="5E2F0B74">
      <w:pPr>
        <w:pStyle w:val="2"/>
        <w:spacing w:before="118" w:line="261" w:lineRule="auto"/>
        <w:ind w:left="1456" w:right="1356" w:firstLine="432"/>
        <w:rPr>
          <w:sz w:val="24"/>
          <w:szCs w:val="24"/>
        </w:rPr>
      </w:pPr>
      <w:r>
        <w:rPr>
          <w:spacing w:val="-22"/>
          <w:sz w:val="24"/>
          <w:szCs w:val="24"/>
        </w:rPr>
        <w:t>2.4.3.2.2浇注前，检查混凝土的均匀性和坍落度。2.4.3.2.3对浇注混凝土使用的脚手架，应便于人员与料具上下，且必须保证安全。</w:t>
      </w:r>
    </w:p>
    <w:p w14:paraId="63D67377">
      <w:pPr>
        <w:pStyle w:val="2"/>
        <w:spacing w:before="118" w:line="264" w:lineRule="auto"/>
        <w:ind w:left="1459" w:right="1409" w:firstLine="429"/>
        <w:rPr>
          <w:sz w:val="24"/>
          <w:szCs w:val="24"/>
        </w:rPr>
      </w:pPr>
      <w:r>
        <w:rPr>
          <w:spacing w:val="-21"/>
          <w:sz w:val="24"/>
          <w:szCs w:val="24"/>
        </w:rPr>
        <w:t>2.4.3.2.4混凝土应按一定厚度、顺序和方向分</w:t>
      </w:r>
      <w:r>
        <w:rPr>
          <w:spacing w:val="-22"/>
          <w:sz w:val="24"/>
          <w:szCs w:val="24"/>
        </w:rPr>
        <w:t>层浇筑，应在下层混凝土初凝或能重塑前浇</w:t>
      </w:r>
      <w:r>
        <w:rPr>
          <w:spacing w:val="-18"/>
          <w:sz w:val="24"/>
          <w:szCs w:val="24"/>
        </w:rPr>
        <w:t>筑上层混凝土，混凝土分层浇筑厚度不超过40cm。</w:t>
      </w:r>
    </w:p>
    <w:p w14:paraId="0118368A">
      <w:pPr>
        <w:pStyle w:val="2"/>
        <w:spacing w:before="114" w:line="290" w:lineRule="auto"/>
        <w:ind w:left="1455" w:right="1409" w:firstLine="432"/>
        <w:rPr>
          <w:sz w:val="24"/>
          <w:szCs w:val="24"/>
        </w:rPr>
      </w:pPr>
      <w:r>
        <w:rPr>
          <w:spacing w:val="-19"/>
          <w:sz w:val="24"/>
          <w:szCs w:val="24"/>
        </w:rPr>
        <w:t>2.4.3.2.5浇筑混凝土时，采用插</w:t>
      </w:r>
      <w:r>
        <w:rPr>
          <w:spacing w:val="-20"/>
          <w:sz w:val="24"/>
          <w:szCs w:val="24"/>
        </w:rPr>
        <w:t>入式振捣棒捣固。振捣应符合下列规定：a、使用插入式</w:t>
      </w:r>
      <w:r>
        <w:rPr>
          <w:spacing w:val="-19"/>
          <w:sz w:val="24"/>
          <w:szCs w:val="24"/>
        </w:rPr>
        <w:t>振动棒时，移动间距不应超过振捣棒作用半径的1.5倍；与侧模应保持5～10cm的距离；插入</w:t>
      </w:r>
      <w:r>
        <w:rPr>
          <w:spacing w:val="-21"/>
          <w:sz w:val="24"/>
          <w:szCs w:val="24"/>
        </w:rPr>
        <w:t>下层混凝土5～10cm；每一处振捣完毕后边振动边徐徐提出振动棒；避免振动棒碰撞模板</w:t>
      </w:r>
      <w:r>
        <w:rPr>
          <w:spacing w:val="-22"/>
          <w:sz w:val="24"/>
          <w:szCs w:val="24"/>
        </w:rPr>
        <w:t>、钢筋及其他预埋件。b、对每一振动部位，必须振动到该部位混凝土密实为止。密实的标</w:t>
      </w:r>
      <w:r>
        <w:rPr>
          <w:spacing w:val="-23"/>
          <w:sz w:val="24"/>
          <w:szCs w:val="24"/>
        </w:rPr>
        <w:t>志是混凝土</w:t>
      </w:r>
      <w:r>
        <w:rPr>
          <w:spacing w:val="-21"/>
          <w:sz w:val="24"/>
          <w:szCs w:val="24"/>
        </w:rPr>
        <w:t>停止下沉、不再有气泡冒出、表面呈现平坦、泛浆。</w:t>
      </w:r>
    </w:p>
    <w:p w14:paraId="1708BB26">
      <w:pPr>
        <w:pStyle w:val="2"/>
        <w:spacing w:before="117" w:line="277" w:lineRule="auto"/>
        <w:ind w:left="1460" w:right="1409" w:firstLine="428"/>
        <w:rPr>
          <w:sz w:val="24"/>
          <w:szCs w:val="24"/>
        </w:rPr>
      </w:pPr>
      <w:r>
        <w:rPr>
          <w:spacing w:val="-21"/>
          <w:sz w:val="24"/>
          <w:szCs w:val="24"/>
        </w:rPr>
        <w:t>2.4.3.2.6混凝土的浇筑必须连续进行，如因故</w:t>
      </w:r>
      <w:r>
        <w:rPr>
          <w:spacing w:val="-22"/>
          <w:sz w:val="24"/>
          <w:szCs w:val="24"/>
        </w:rPr>
        <w:t>间断，间断时间应小于前层混凝土的初凝时</w:t>
      </w:r>
      <w:r>
        <w:rPr>
          <w:spacing w:val="-20"/>
          <w:sz w:val="24"/>
          <w:szCs w:val="24"/>
        </w:rPr>
        <w:t>间或能重塑的时间。允许间断时间应经试验确定，若超过允许间断时间，须采取保证质量措施</w:t>
      </w:r>
      <w:r>
        <w:rPr>
          <w:spacing w:val="-19"/>
          <w:sz w:val="24"/>
          <w:szCs w:val="24"/>
        </w:rPr>
        <w:t>或按工作缝处理。</w:t>
      </w:r>
    </w:p>
    <w:p w14:paraId="7BF34767">
      <w:pPr>
        <w:pStyle w:val="2"/>
        <w:spacing w:before="122" w:line="285" w:lineRule="auto"/>
        <w:ind w:left="1462" w:right="1409" w:firstLine="426"/>
        <w:rPr>
          <w:sz w:val="24"/>
          <w:szCs w:val="24"/>
        </w:rPr>
      </w:pPr>
      <w:r>
        <w:rPr>
          <w:spacing w:val="-19"/>
          <w:sz w:val="24"/>
          <w:szCs w:val="24"/>
        </w:rPr>
        <w:t>2.4.3.2.7在混凝土浇筑过程中，应注</w:t>
      </w:r>
      <w:r>
        <w:rPr>
          <w:spacing w:val="-20"/>
          <w:sz w:val="24"/>
          <w:szCs w:val="24"/>
        </w:rPr>
        <w:t>意观测：a、随时观察所设置的预埋螺栓、预留孔是</w:t>
      </w:r>
      <w:r>
        <w:rPr>
          <w:spacing w:val="-19"/>
          <w:sz w:val="24"/>
          <w:szCs w:val="24"/>
        </w:rPr>
        <w:t>否移动，若发现移位时应及时校正。b、预留孔的成型设备</w:t>
      </w:r>
      <w:r>
        <w:rPr>
          <w:spacing w:val="-20"/>
          <w:sz w:val="24"/>
          <w:szCs w:val="24"/>
        </w:rPr>
        <w:t>及时抽拉松动。c、在灌注过程中应注意模板、支架等支撑情况，设专人检查，如有变形，移位或沉陷应立即校正并加固，处理后</w:t>
      </w:r>
      <w:r>
        <w:rPr>
          <w:spacing w:val="-19"/>
          <w:sz w:val="24"/>
          <w:szCs w:val="24"/>
        </w:rPr>
        <w:t>方可继续浇筑。</w:t>
      </w:r>
    </w:p>
    <w:p w14:paraId="7FB542DF">
      <w:pPr>
        <w:pStyle w:val="2"/>
        <w:spacing w:before="114" w:line="263" w:lineRule="auto"/>
        <w:ind w:left="1470" w:right="1409" w:firstLine="418"/>
        <w:rPr>
          <w:sz w:val="24"/>
          <w:szCs w:val="24"/>
        </w:rPr>
      </w:pPr>
      <w:r>
        <w:rPr>
          <w:spacing w:val="-21"/>
          <w:sz w:val="24"/>
          <w:szCs w:val="24"/>
        </w:rPr>
        <w:t>2.4.3.2.8在浇筑过程中或浇筑完成时，如混凝土表</w:t>
      </w:r>
      <w:r>
        <w:rPr>
          <w:spacing w:val="-22"/>
          <w:sz w:val="24"/>
          <w:szCs w:val="24"/>
        </w:rPr>
        <w:t>面泌水较多，须在不扰动已浇筑混凝土的条件下，采取措施将水排除。继续浇筑混凝土时，应查明原因，采取措施，减少泌水。</w:t>
      </w:r>
    </w:p>
    <w:p w14:paraId="6FFF888E">
      <w:pPr>
        <w:pStyle w:val="2"/>
        <w:spacing w:before="119" w:line="263" w:lineRule="auto"/>
        <w:ind w:left="1456" w:right="1409" w:firstLine="432"/>
        <w:rPr>
          <w:sz w:val="24"/>
          <w:szCs w:val="24"/>
        </w:rPr>
      </w:pPr>
      <w:r>
        <w:rPr>
          <w:spacing w:val="-21"/>
          <w:sz w:val="24"/>
          <w:szCs w:val="24"/>
        </w:rPr>
        <w:t>2.4.3.2.9混凝土浇筑完成后，对混凝土裸露面</w:t>
      </w:r>
      <w:r>
        <w:rPr>
          <w:spacing w:val="-22"/>
          <w:sz w:val="24"/>
          <w:szCs w:val="24"/>
        </w:rPr>
        <w:t>应及时进行修整、抹平，定浆后还应第二遍</w:t>
      </w:r>
      <w:r>
        <w:rPr>
          <w:spacing w:val="-18"/>
          <w:sz w:val="24"/>
          <w:szCs w:val="24"/>
        </w:rPr>
        <w:t>压光或拉毛。</w:t>
      </w:r>
    </w:p>
    <w:p w14:paraId="5DAF7EED">
      <w:pPr>
        <w:pStyle w:val="2"/>
        <w:spacing w:before="115" w:line="217" w:lineRule="auto"/>
        <w:ind w:left="1888"/>
        <w:rPr>
          <w:sz w:val="24"/>
          <w:szCs w:val="24"/>
        </w:rPr>
      </w:pPr>
      <w:r>
        <w:rPr>
          <w:spacing w:val="-19"/>
          <w:sz w:val="24"/>
          <w:szCs w:val="24"/>
        </w:rPr>
        <w:t>2.4.3.2.10混凝土达到一定强度后，要及时</w:t>
      </w:r>
      <w:r>
        <w:rPr>
          <w:spacing w:val="-20"/>
          <w:sz w:val="24"/>
          <w:szCs w:val="24"/>
        </w:rPr>
        <w:t>洒水养护，天气干燥时还应覆盖养护。</w:t>
      </w:r>
    </w:p>
    <w:p w14:paraId="3CC69AA4">
      <w:pPr>
        <w:pStyle w:val="2"/>
        <w:spacing w:before="118" w:line="263" w:lineRule="auto"/>
        <w:ind w:left="1484" w:right="1411" w:firstLine="403"/>
        <w:rPr>
          <w:sz w:val="24"/>
          <w:szCs w:val="24"/>
        </w:rPr>
      </w:pPr>
      <w:r>
        <w:rPr>
          <w:spacing w:val="-19"/>
          <w:sz w:val="24"/>
          <w:szCs w:val="24"/>
        </w:rPr>
        <w:t>2.4.3.2.11现浇砼水泥砂浆的强</w:t>
      </w:r>
      <w:r>
        <w:rPr>
          <w:spacing w:val="-20"/>
          <w:sz w:val="24"/>
          <w:szCs w:val="24"/>
        </w:rPr>
        <w:t>度应达到设计规定的强度后方允许回填。严禁与浇注井体</w:t>
      </w:r>
      <w:r>
        <w:rPr>
          <w:spacing w:val="-23"/>
          <w:sz w:val="24"/>
          <w:szCs w:val="24"/>
        </w:rPr>
        <w:t>同步回填。</w:t>
      </w:r>
    </w:p>
    <w:p w14:paraId="3CB6683C">
      <w:pPr>
        <w:spacing w:line="263" w:lineRule="auto"/>
        <w:rPr>
          <w:sz w:val="24"/>
          <w:szCs w:val="24"/>
        </w:rPr>
        <w:sectPr>
          <w:footerReference r:id="rId313" w:type="default"/>
          <w:pgSz w:w="11907" w:h="16839"/>
          <w:pgMar w:top="933" w:right="4" w:bottom="1038" w:left="0" w:header="478" w:footer="357" w:gutter="0"/>
          <w:pgBorders>
            <w:top w:val="none" w:sz="0" w:space="0"/>
            <w:left w:val="none" w:sz="0" w:space="0"/>
            <w:bottom w:val="none" w:sz="0" w:space="0"/>
            <w:right w:val="none" w:sz="0" w:space="0"/>
          </w:pgBorders>
          <w:cols w:space="720" w:num="1"/>
        </w:sectPr>
      </w:pPr>
    </w:p>
    <w:p w14:paraId="39B31C6C">
      <w:pPr>
        <w:spacing w:line="235" w:lineRule="exact"/>
      </w:pPr>
    </w:p>
    <w:tbl>
      <w:tblPr>
        <w:tblStyle w:val="6"/>
        <w:tblW w:w="8557" w:type="dxa"/>
        <w:tblInd w:w="167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187"/>
        <w:gridCol w:w="4370"/>
      </w:tblGrid>
      <w:tr w14:paraId="3041BF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03" w:hRule="atLeast"/>
        </w:trPr>
        <w:tc>
          <w:tcPr>
            <w:tcW w:w="4187" w:type="dxa"/>
            <w:tcBorders>
              <w:top w:val="single" w:color="000000" w:sz="4" w:space="0"/>
              <w:left w:val="single" w:color="000000" w:sz="4" w:space="0"/>
            </w:tcBorders>
            <w:shd w:val="clear" w:color="auto" w:fill="DEEAF6"/>
            <w:vAlign w:val="top"/>
          </w:tcPr>
          <w:p w14:paraId="26D67FB6">
            <w:pPr>
              <w:spacing w:before="124" w:line="4140" w:lineRule="exact"/>
              <w:ind w:firstLine="93"/>
            </w:pPr>
            <w:r>
              <w:pict>
                <v:group id="_x0000_s3870" o:spid="_x0000_s3870" o:spt="203" style="position:absolute;left:0pt;margin-left:0.9pt;margin-top:2.15pt;height:223.75pt;width:208pt;mso-position-horizontal-relative:page;mso-position-vertical-relative:page;z-index:252251136;mso-width-relative:page;mso-height-relative:page;" coordsize="4160,4475">
                  <o:lock v:ext="edit"/>
                  <v:shape id="_x0000_s3871" o:spid="_x0000_s3871" style="position:absolute;left:21;top:0;height:60;width:4133;" fillcolor="#DEEAF6" filled="t" stroked="f" coordsize="4133,60" path="m0,60l4133,60,4133,0,0,0,0,60xe">
                    <v:path/>
                    <v:fill on="t" focussize="0,0"/>
                    <v:stroke on="f"/>
                    <v:imagedata o:title=""/>
                    <o:lock v:ext="edit"/>
                  </v:shape>
                  <v:shape id="_x0000_s3872" o:spid="_x0000_s3872" style="position:absolute;left:0;top:4416;height:58;width:4160;" fillcolor="#DEEAF6" filled="t" stroked="f" coordsize="4160,58" path="m0,57l4159,57,4159,0,0,0,0,57xe">
                    <v:path/>
                    <v:fill on="t" focussize="0,0"/>
                    <v:stroke on="f"/>
                    <v:imagedata o:title=""/>
                    <o:lock v:ext="edit"/>
                  </v:shape>
                </v:group>
              </w:pict>
            </w:r>
            <w:r>
              <w:rPr>
                <w:position w:val="-82"/>
              </w:rPr>
              <w:drawing>
                <wp:inline distT="0" distB="0" distL="0" distR="0">
                  <wp:extent cx="2537460" cy="2628900"/>
                  <wp:effectExtent l="0" t="0" r="0" b="0"/>
                  <wp:docPr id="1306" name="IM 1306"/>
                  <wp:cNvGraphicFramePr/>
                  <a:graphic xmlns:a="http://schemas.openxmlformats.org/drawingml/2006/main">
                    <a:graphicData uri="http://schemas.openxmlformats.org/drawingml/2006/picture">
                      <pic:pic xmlns:pic="http://schemas.openxmlformats.org/drawingml/2006/picture">
                        <pic:nvPicPr>
                          <pic:cNvPr id="1306" name="IM 1306"/>
                          <pic:cNvPicPr/>
                        </pic:nvPicPr>
                        <pic:blipFill>
                          <a:blip r:embed="rId667"/>
                          <a:stretch>
                            <a:fillRect/>
                          </a:stretch>
                        </pic:blipFill>
                        <pic:spPr>
                          <a:xfrm>
                            <a:off x="0" y="0"/>
                            <a:ext cx="2537460" cy="2628900"/>
                          </a:xfrm>
                          <a:prstGeom prst="rect">
                            <a:avLst/>
                          </a:prstGeom>
                        </pic:spPr>
                      </pic:pic>
                    </a:graphicData>
                  </a:graphic>
                </wp:inline>
              </w:drawing>
            </w:r>
          </w:p>
        </w:tc>
        <w:tc>
          <w:tcPr>
            <w:tcW w:w="4370" w:type="dxa"/>
            <w:tcBorders>
              <w:top w:val="single" w:color="5B9BD5" w:sz="4" w:space="0"/>
              <w:right w:val="single" w:color="5B9BD5" w:sz="4" w:space="0"/>
            </w:tcBorders>
            <w:shd w:val="clear" w:color="auto" w:fill="DEEAF6"/>
            <w:vAlign w:val="top"/>
          </w:tcPr>
          <w:p w14:paraId="4873A96A">
            <w:pPr>
              <w:spacing w:before="93" w:line="4200" w:lineRule="exact"/>
              <w:ind w:firstLine="122"/>
            </w:pPr>
            <w:r>
              <w:pict>
                <v:group id="_x0000_s3873" o:spid="_x0000_s3873" o:spt="203" style="position:absolute;left:0pt;margin-left:-0.5pt;margin-top:2.15pt;height:223.75pt;width:218.25pt;mso-position-horizontal-relative:page;mso-position-vertical-relative:page;z-index:252250112;mso-width-relative:page;mso-height-relative:page;" coordsize="4365,4475">
                  <o:lock v:ext="edit"/>
                  <v:shape id="_x0000_s3874" o:spid="_x0000_s3874" style="position:absolute;left:38;top:0;height:60;width:4305;" fillcolor="#DEEAF6" filled="t" stroked="f" coordsize="4305,60" path="m0,60l4304,60,4304,0,0,0,0,60xe">
                    <v:path/>
                    <v:fill on="t" focussize="0,0"/>
                    <v:stroke on="f"/>
                    <v:imagedata o:title=""/>
                    <o:lock v:ext="edit"/>
                  </v:shape>
                  <v:shape id="_x0000_s3875" o:spid="_x0000_s3875" style="position:absolute;left:0;top:4416;height:58;width:4365;" fillcolor="#DEEAF6" filled="t" stroked="f" coordsize="4365,58" path="m0,57l4364,57,4364,0,0,0,0,57xe">
                    <v:path/>
                    <v:fill on="t" focussize="0,0"/>
                    <v:stroke on="f"/>
                    <v:imagedata o:title=""/>
                    <o:lock v:ext="edit"/>
                  </v:shape>
                </v:group>
              </w:pict>
            </w:r>
            <w:r>
              <w:rPr>
                <w:position w:val="-84"/>
              </w:rPr>
              <w:drawing>
                <wp:inline distT="0" distB="0" distL="0" distR="0">
                  <wp:extent cx="2595245" cy="2667000"/>
                  <wp:effectExtent l="0" t="0" r="0" b="0"/>
                  <wp:docPr id="1308" name="IM 1308"/>
                  <wp:cNvGraphicFramePr/>
                  <a:graphic xmlns:a="http://schemas.openxmlformats.org/drawingml/2006/main">
                    <a:graphicData uri="http://schemas.openxmlformats.org/drawingml/2006/picture">
                      <pic:pic xmlns:pic="http://schemas.openxmlformats.org/drawingml/2006/picture">
                        <pic:nvPicPr>
                          <pic:cNvPr id="1308" name="IM 1308"/>
                          <pic:cNvPicPr/>
                        </pic:nvPicPr>
                        <pic:blipFill>
                          <a:blip r:embed="rId668"/>
                          <a:stretch>
                            <a:fillRect/>
                          </a:stretch>
                        </pic:blipFill>
                        <pic:spPr>
                          <a:xfrm>
                            <a:off x="0" y="0"/>
                            <a:ext cx="2595245" cy="2667000"/>
                          </a:xfrm>
                          <a:prstGeom prst="rect">
                            <a:avLst/>
                          </a:prstGeom>
                        </pic:spPr>
                      </pic:pic>
                    </a:graphicData>
                  </a:graphic>
                </wp:inline>
              </w:drawing>
            </w:r>
          </w:p>
        </w:tc>
      </w:tr>
      <w:tr w14:paraId="532693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5" w:hRule="atLeast"/>
        </w:trPr>
        <w:tc>
          <w:tcPr>
            <w:tcW w:w="4187" w:type="dxa"/>
            <w:tcBorders>
              <w:left w:val="single" w:color="1C456A" w:sz="4" w:space="0"/>
              <w:bottom w:val="single" w:color="1C456A" w:sz="4" w:space="0"/>
            </w:tcBorders>
            <w:vAlign w:val="top"/>
          </w:tcPr>
          <w:p w14:paraId="4BEC7EA2">
            <w:pPr>
              <w:pStyle w:val="7"/>
              <w:spacing w:before="103" w:line="216" w:lineRule="auto"/>
              <w:ind w:left="1373"/>
            </w:pPr>
            <w:r>
              <w:rPr>
                <w:spacing w:val="-19"/>
              </w:rPr>
              <w:t>检查井施工图1</w:t>
            </w:r>
          </w:p>
        </w:tc>
        <w:tc>
          <w:tcPr>
            <w:tcW w:w="4370" w:type="dxa"/>
            <w:tcBorders>
              <w:bottom w:val="single" w:color="5B9BD5" w:sz="4" w:space="0"/>
              <w:right w:val="single" w:color="5B9BD5" w:sz="4" w:space="0"/>
            </w:tcBorders>
            <w:vAlign w:val="top"/>
          </w:tcPr>
          <w:p w14:paraId="3DFE7910">
            <w:pPr>
              <w:pStyle w:val="7"/>
              <w:spacing w:before="103" w:line="216" w:lineRule="auto"/>
              <w:ind w:left="1449"/>
            </w:pPr>
            <w:r>
              <w:rPr>
                <w:spacing w:val="-13"/>
              </w:rPr>
              <w:t>检查井施工图2</w:t>
            </w:r>
          </w:p>
        </w:tc>
      </w:tr>
    </w:tbl>
    <w:p w14:paraId="6C6C02CB">
      <w:pPr>
        <w:pStyle w:val="2"/>
        <w:spacing w:before="113" w:line="218" w:lineRule="auto"/>
        <w:ind w:left="1888"/>
        <w:rPr>
          <w:sz w:val="24"/>
          <w:szCs w:val="24"/>
        </w:rPr>
      </w:pPr>
      <w:r>
        <w:rPr>
          <w:spacing w:val="-11"/>
          <w:sz w:val="24"/>
          <w:szCs w:val="24"/>
        </w:rPr>
        <w:t>2.4.4模板</w:t>
      </w:r>
    </w:p>
    <w:p w14:paraId="7F51D314">
      <w:pPr>
        <w:pStyle w:val="2"/>
        <w:spacing w:before="117" w:line="307" w:lineRule="auto"/>
        <w:ind w:left="1463" w:right="1426" w:firstLine="431"/>
        <w:rPr>
          <w:sz w:val="24"/>
          <w:szCs w:val="24"/>
        </w:rPr>
      </w:pPr>
      <w:r>
        <w:rPr>
          <w:spacing w:val="-21"/>
          <w:sz w:val="24"/>
          <w:szCs w:val="24"/>
        </w:rPr>
        <w:t>检查井基础模板均选用SZ系列模板。圆形污水检查井墙体模板采用加</w:t>
      </w:r>
      <w:r>
        <w:rPr>
          <w:spacing w:val="-22"/>
          <w:sz w:val="24"/>
          <w:szCs w:val="24"/>
        </w:rPr>
        <w:t>工异型模板；三通、</w:t>
      </w:r>
      <w:r>
        <w:rPr>
          <w:spacing w:val="-21"/>
          <w:sz w:val="24"/>
          <w:szCs w:val="24"/>
        </w:rPr>
        <w:t>四通支线及垂直跌落井方形墙体部分采用SZ系列模</w:t>
      </w:r>
      <w:r>
        <w:rPr>
          <w:spacing w:val="-22"/>
          <w:sz w:val="24"/>
          <w:szCs w:val="24"/>
        </w:rPr>
        <w:t>板，圆形墙体部分采用加工异型模板；三通</w:t>
      </w:r>
      <w:r>
        <w:rPr>
          <w:spacing w:val="-19"/>
          <w:sz w:val="24"/>
          <w:szCs w:val="24"/>
        </w:rPr>
        <w:t>干线跌落井及转弯跌落井采用SZ系列模板。</w:t>
      </w:r>
    </w:p>
    <w:p w14:paraId="00107435">
      <w:pPr>
        <w:pStyle w:val="2"/>
        <w:spacing w:before="2" w:line="218" w:lineRule="auto"/>
        <w:ind w:left="1888"/>
        <w:rPr>
          <w:sz w:val="24"/>
          <w:szCs w:val="24"/>
        </w:rPr>
      </w:pPr>
      <w:r>
        <w:rPr>
          <w:spacing w:val="-13"/>
          <w:sz w:val="24"/>
          <w:szCs w:val="24"/>
        </w:rPr>
        <w:t>2.4.4.1模板安装</w:t>
      </w:r>
    </w:p>
    <w:p w14:paraId="7295A2EC">
      <w:pPr>
        <w:pStyle w:val="2"/>
        <w:spacing w:before="117" w:line="307" w:lineRule="auto"/>
        <w:ind w:left="1892" w:right="1336" w:firstLine="1"/>
        <w:rPr>
          <w:sz w:val="24"/>
          <w:szCs w:val="24"/>
        </w:rPr>
      </w:pPr>
      <w:r>
        <w:rPr>
          <w:spacing w:val="-21"/>
          <w:sz w:val="24"/>
          <w:szCs w:val="24"/>
        </w:rPr>
        <w:t>所有模板均采用现场拼装。模板组装好就位前在表面涂刷</w:t>
      </w:r>
      <w:r>
        <w:rPr>
          <w:spacing w:val="-22"/>
          <w:sz w:val="24"/>
          <w:szCs w:val="24"/>
        </w:rPr>
        <w:t>脱模剂并涂刷均匀且不能过厚。</w:t>
      </w:r>
      <w:r>
        <w:rPr>
          <w:spacing w:val="-23"/>
          <w:sz w:val="24"/>
          <w:szCs w:val="24"/>
        </w:rPr>
        <w:t>模板的安装严格按照模板配板设计的要求实施，操作按照《市政工程施</w:t>
      </w:r>
      <w:r>
        <w:rPr>
          <w:spacing w:val="-24"/>
          <w:sz w:val="24"/>
          <w:szCs w:val="24"/>
        </w:rPr>
        <w:t>工技术规程》执行。</w:t>
      </w:r>
    </w:p>
    <w:p w14:paraId="381F040F">
      <w:pPr>
        <w:pStyle w:val="2"/>
        <w:spacing w:before="1" w:line="218" w:lineRule="auto"/>
        <w:ind w:left="1888"/>
        <w:rPr>
          <w:sz w:val="24"/>
          <w:szCs w:val="24"/>
        </w:rPr>
      </w:pPr>
      <w:r>
        <w:rPr>
          <w:spacing w:val="-10"/>
          <w:sz w:val="24"/>
          <w:szCs w:val="24"/>
        </w:rPr>
        <w:t>2.4.4.2模板的拆除</w:t>
      </w:r>
    </w:p>
    <w:p w14:paraId="611B23B3">
      <w:pPr>
        <w:pStyle w:val="2"/>
        <w:spacing w:before="116" w:line="308" w:lineRule="auto"/>
        <w:ind w:left="1455" w:right="1337" w:firstLine="437"/>
        <w:rPr>
          <w:sz w:val="24"/>
          <w:szCs w:val="24"/>
        </w:rPr>
      </w:pPr>
      <w:r>
        <w:rPr>
          <w:spacing w:val="-23"/>
          <w:sz w:val="24"/>
          <w:szCs w:val="24"/>
        </w:rPr>
        <w:t>拆除期限的规定：侧模在混凝土强度能保证井体不因拆模而出现缺棱</w:t>
      </w:r>
      <w:r>
        <w:rPr>
          <w:spacing w:val="-24"/>
          <w:sz w:val="24"/>
          <w:szCs w:val="24"/>
        </w:rPr>
        <w:t>掉角现象时方可拆除。</w:t>
      </w:r>
      <w:r>
        <w:rPr>
          <w:spacing w:val="-20"/>
          <w:sz w:val="24"/>
          <w:szCs w:val="24"/>
        </w:rPr>
        <w:t>模板拆除后涂刷机油，选择平整的场地分类码放。模板的部件分类清点验收堆放有序，及时清</w:t>
      </w:r>
      <w:r>
        <w:rPr>
          <w:spacing w:val="-17"/>
          <w:sz w:val="24"/>
          <w:szCs w:val="24"/>
        </w:rPr>
        <w:t>理及修理。</w:t>
      </w:r>
    </w:p>
    <w:p w14:paraId="15461D40">
      <w:pPr>
        <w:pStyle w:val="2"/>
        <w:spacing w:before="1" w:line="218" w:lineRule="auto"/>
        <w:ind w:left="1888"/>
        <w:rPr>
          <w:sz w:val="24"/>
          <w:szCs w:val="24"/>
        </w:rPr>
      </w:pPr>
      <w:r>
        <w:rPr>
          <w:spacing w:val="-15"/>
          <w:sz w:val="24"/>
          <w:szCs w:val="24"/>
        </w:rPr>
        <w:t>2.5沟槽回填</w:t>
      </w:r>
    </w:p>
    <w:p w14:paraId="60586D73">
      <w:pPr>
        <w:pStyle w:val="2"/>
        <w:spacing w:before="115" w:line="217" w:lineRule="auto"/>
        <w:ind w:left="1922"/>
        <w:rPr>
          <w:sz w:val="24"/>
          <w:szCs w:val="24"/>
        </w:rPr>
      </w:pPr>
      <w:r>
        <w:rPr>
          <w:spacing w:val="-23"/>
          <w:sz w:val="24"/>
          <w:szCs w:val="24"/>
        </w:rPr>
        <w:t>回填管渠沟槽各部位的划分</w:t>
      </w:r>
    </w:p>
    <w:p w14:paraId="485BAD63">
      <w:pPr>
        <w:pStyle w:val="2"/>
        <w:spacing w:before="118" w:line="217" w:lineRule="auto"/>
        <w:ind w:left="1894"/>
        <w:rPr>
          <w:sz w:val="24"/>
          <w:szCs w:val="24"/>
        </w:rPr>
      </w:pPr>
      <w:r>
        <w:rPr>
          <w:spacing w:val="-21"/>
          <w:sz w:val="24"/>
          <w:szCs w:val="24"/>
        </w:rPr>
        <w:t>根据管道埋入地下的受力情况不同，管道沟槽回填土按图</w:t>
      </w:r>
      <w:r>
        <w:rPr>
          <w:spacing w:val="-22"/>
          <w:sz w:val="24"/>
          <w:szCs w:val="24"/>
        </w:rPr>
        <w:t>所示，分为三个部位：</w:t>
      </w:r>
    </w:p>
    <w:p w14:paraId="63385FE4">
      <w:pPr>
        <w:pStyle w:val="2"/>
        <w:spacing w:before="119" w:line="218" w:lineRule="auto"/>
        <w:ind w:left="1888"/>
        <w:rPr>
          <w:sz w:val="24"/>
          <w:szCs w:val="24"/>
        </w:rPr>
      </w:pPr>
      <w:r>
        <w:rPr>
          <w:spacing w:val="-20"/>
          <w:sz w:val="24"/>
          <w:szCs w:val="24"/>
        </w:rPr>
        <w:t>2.5.1管沟胸腔部分，要求回填密实，有接近原状土的承载力。</w:t>
      </w:r>
    </w:p>
    <w:p w14:paraId="770D362A">
      <w:pPr>
        <w:pStyle w:val="2"/>
        <w:spacing w:before="115" w:line="262" w:lineRule="auto"/>
        <w:ind w:left="1459" w:right="1409" w:firstLine="429"/>
        <w:rPr>
          <w:sz w:val="24"/>
          <w:szCs w:val="24"/>
        </w:rPr>
      </w:pPr>
      <w:r>
        <w:rPr>
          <w:spacing w:val="-20"/>
          <w:sz w:val="24"/>
          <w:szCs w:val="24"/>
        </w:rPr>
        <w:t>2.5.2管（沟）顶以上50cm部位，由于紧贴管材或沟盖板，夯实只能用木夯，成为其上土</w:t>
      </w:r>
      <w:r>
        <w:rPr>
          <w:spacing w:val="-18"/>
          <w:sz w:val="24"/>
          <w:szCs w:val="24"/>
        </w:rPr>
        <w:t>及荷载传递的缓冲层，密实度应在85%～88%之间，否则易引起管</w:t>
      </w:r>
      <w:r>
        <w:rPr>
          <w:spacing w:val="-19"/>
          <w:sz w:val="24"/>
          <w:szCs w:val="24"/>
        </w:rPr>
        <w:t>材或盖板裂损。</w:t>
      </w:r>
    </w:p>
    <w:p w14:paraId="1AE07BA9">
      <w:pPr>
        <w:pStyle w:val="2"/>
        <w:spacing w:before="121" w:line="217" w:lineRule="auto"/>
        <w:ind w:left="1888"/>
        <w:rPr>
          <w:sz w:val="24"/>
          <w:szCs w:val="24"/>
        </w:rPr>
      </w:pPr>
      <w:r>
        <w:rPr>
          <w:spacing w:val="-19"/>
          <w:sz w:val="24"/>
          <w:szCs w:val="24"/>
        </w:rPr>
        <w:t>2.5.3管顶50cm以上至地面部位，按地面的不同功能，其密实度的要求也不同。</w:t>
      </w:r>
    </w:p>
    <w:p w14:paraId="4FD2FAD6">
      <w:pPr>
        <w:pStyle w:val="2"/>
        <w:spacing w:before="114" w:line="278" w:lineRule="auto"/>
        <w:ind w:left="1455" w:right="1387" w:firstLine="432"/>
        <w:rPr>
          <w:sz w:val="24"/>
          <w:szCs w:val="24"/>
        </w:rPr>
      </w:pPr>
      <w:r>
        <w:rPr>
          <w:spacing w:val="-22"/>
          <w:sz w:val="24"/>
          <w:szCs w:val="24"/>
        </w:rPr>
        <w:t>2.5.3.1管道工程应在其主体结构经隐蔽验收合格，污水或雨污合流管道闭水试验合格后，</w:t>
      </w:r>
      <w:r>
        <w:rPr>
          <w:spacing w:val="-20"/>
          <w:sz w:val="24"/>
          <w:szCs w:val="24"/>
        </w:rPr>
        <w:t>及时进行回填。防止晾槽过久，造成塌方，挤坏管道，或管道接口抹带空鼓开裂；雨季易产生</w:t>
      </w:r>
      <w:r>
        <w:rPr>
          <w:spacing w:val="-21"/>
          <w:sz w:val="24"/>
          <w:szCs w:val="24"/>
        </w:rPr>
        <w:t>水泡槽，漂管或造成回填作业困难。</w:t>
      </w:r>
    </w:p>
    <w:p w14:paraId="22A51224">
      <w:pPr>
        <w:pStyle w:val="2"/>
        <w:spacing w:before="118" w:line="263" w:lineRule="auto"/>
        <w:ind w:left="1461" w:right="1410" w:firstLine="427"/>
        <w:rPr>
          <w:sz w:val="24"/>
          <w:szCs w:val="24"/>
        </w:rPr>
      </w:pPr>
      <w:r>
        <w:rPr>
          <w:spacing w:val="-22"/>
          <w:sz w:val="24"/>
          <w:szCs w:val="24"/>
        </w:rPr>
        <w:t>2.5.3.2还土回填要选择合格土源，过湿土、腐殖土、垃圾土、冬季冻土及碎石砖块不易压</w:t>
      </w:r>
      <w:r>
        <w:rPr>
          <w:spacing w:val="-21"/>
          <w:sz w:val="24"/>
          <w:szCs w:val="24"/>
        </w:rPr>
        <w:t>实，对管道结构安全有影响，因此均不宜采用。</w:t>
      </w:r>
    </w:p>
    <w:p w14:paraId="54A1A8F2">
      <w:pPr>
        <w:spacing w:line="263" w:lineRule="auto"/>
        <w:rPr>
          <w:sz w:val="24"/>
          <w:szCs w:val="24"/>
        </w:rPr>
        <w:sectPr>
          <w:footerReference r:id="rId314" w:type="default"/>
          <w:pgSz w:w="11907" w:h="16839"/>
          <w:pgMar w:top="933" w:right="4" w:bottom="1038" w:left="0" w:header="478" w:footer="357" w:gutter="0"/>
          <w:pgBorders>
            <w:top w:val="none" w:sz="0" w:space="0"/>
            <w:left w:val="none" w:sz="0" w:space="0"/>
            <w:bottom w:val="none" w:sz="0" w:space="0"/>
            <w:right w:val="none" w:sz="0" w:space="0"/>
          </w:pgBorders>
          <w:cols w:space="720" w:num="1"/>
        </w:sectPr>
      </w:pPr>
    </w:p>
    <w:p w14:paraId="129EC13F">
      <w:pPr>
        <w:spacing w:line="271" w:lineRule="auto"/>
        <w:rPr>
          <w:rFonts w:ascii="Arial"/>
          <w:sz w:val="21"/>
        </w:rPr>
      </w:pPr>
    </w:p>
    <w:p w14:paraId="671E5DDE">
      <w:pPr>
        <w:pStyle w:val="2"/>
        <w:spacing w:before="78" w:line="262" w:lineRule="auto"/>
        <w:ind w:left="1462" w:right="1387" w:firstLine="426"/>
        <w:rPr>
          <w:sz w:val="24"/>
          <w:szCs w:val="24"/>
        </w:rPr>
      </w:pPr>
      <w:r>
        <w:rPr>
          <w:spacing w:val="-22"/>
          <w:sz w:val="24"/>
          <w:szCs w:val="24"/>
        </w:rPr>
        <w:t>2.5.3.3回填前，应将槽内木料、草帘等杂物清理干净。当管槽内有积水时，应将水排净，</w:t>
      </w:r>
      <w:r>
        <w:rPr>
          <w:spacing w:val="-21"/>
          <w:sz w:val="24"/>
          <w:szCs w:val="24"/>
        </w:rPr>
        <w:t>不得在水中回填土。冬季、雨季回填应当日</w:t>
      </w:r>
      <w:r>
        <w:rPr>
          <w:spacing w:val="-22"/>
          <w:sz w:val="24"/>
          <w:szCs w:val="24"/>
        </w:rPr>
        <w:t>还土，当日夯实。</w:t>
      </w:r>
    </w:p>
    <w:p w14:paraId="282C9F21">
      <w:pPr>
        <w:pStyle w:val="2"/>
        <w:spacing w:before="119" w:line="285" w:lineRule="auto"/>
        <w:ind w:left="1457" w:right="1411" w:firstLine="431"/>
        <w:rPr>
          <w:sz w:val="24"/>
          <w:szCs w:val="24"/>
        </w:rPr>
      </w:pPr>
      <w:r>
        <w:rPr>
          <w:spacing w:val="-19"/>
          <w:sz w:val="24"/>
          <w:szCs w:val="24"/>
        </w:rPr>
        <w:t>2.5.3.4回填必须在管座混凝土强度达到5</w:t>
      </w:r>
      <w:r>
        <w:rPr>
          <w:spacing w:val="-20"/>
          <w:sz w:val="24"/>
          <w:szCs w:val="24"/>
        </w:rPr>
        <w:t>.0N/mm2以上时，方可进行。箱涵必须在盖板安</w:t>
      </w:r>
      <w:r>
        <w:rPr>
          <w:spacing w:val="-21"/>
          <w:sz w:val="24"/>
          <w:szCs w:val="24"/>
        </w:rPr>
        <w:t>装后才可回填；沟槽在管、沟结构两侧应同时回填，两侧回填土面高差不得超过30cm；不得将</w:t>
      </w:r>
      <w:r>
        <w:rPr>
          <w:spacing w:val="-20"/>
          <w:sz w:val="24"/>
          <w:szCs w:val="24"/>
        </w:rPr>
        <w:t>土直接砸在接口抹带上。总之，回填夯实操作，应以确保管、沟结构安全、不发生引起管道、</w:t>
      </w:r>
      <w:r>
        <w:rPr>
          <w:spacing w:val="-21"/>
          <w:sz w:val="24"/>
          <w:szCs w:val="24"/>
        </w:rPr>
        <w:t>接口沟墙、井室破坏或移位的事故，且达到各部位密实度要</w:t>
      </w:r>
      <w:r>
        <w:rPr>
          <w:spacing w:val="-22"/>
          <w:sz w:val="24"/>
          <w:szCs w:val="24"/>
        </w:rPr>
        <w:t>求为原则。</w:t>
      </w:r>
    </w:p>
    <w:p w14:paraId="664F5866">
      <w:pPr>
        <w:pStyle w:val="2"/>
        <w:spacing w:before="117" w:line="290" w:lineRule="auto"/>
        <w:ind w:left="1458" w:right="1411" w:firstLine="430"/>
        <w:rPr>
          <w:sz w:val="24"/>
          <w:szCs w:val="24"/>
        </w:rPr>
      </w:pPr>
      <w:r>
        <w:rPr>
          <w:spacing w:val="-19"/>
          <w:sz w:val="24"/>
          <w:szCs w:val="24"/>
        </w:rPr>
        <w:t>2.5.3.5为防止管道在回填夯实中裂损，其胸腔部分必须按虚厚不超过30cm，密实度达轻</w:t>
      </w:r>
      <w:r>
        <w:rPr>
          <w:spacing w:val="-20"/>
          <w:sz w:val="24"/>
          <w:szCs w:val="24"/>
        </w:rPr>
        <w:t>型击实密度的95%标准，分层夯实；管道顶50cm范围的填土，宜用木夯夯实，密实度达</w:t>
      </w:r>
      <w:r>
        <w:rPr>
          <w:spacing w:val="-21"/>
          <w:sz w:val="24"/>
          <w:szCs w:val="24"/>
        </w:rPr>
        <w:t>轻型击</w:t>
      </w:r>
      <w:r>
        <w:rPr>
          <w:spacing w:val="-19"/>
          <w:sz w:val="24"/>
          <w:szCs w:val="24"/>
        </w:rPr>
        <w:t>实85%，管沟于路基范围内，管顶以上25cm范围回填土表层的压实度不应小于87%</w:t>
      </w:r>
      <w:r>
        <w:rPr>
          <w:spacing w:val="-20"/>
          <w:sz w:val="24"/>
          <w:szCs w:val="24"/>
        </w:rPr>
        <w:t>；当管顶回</w:t>
      </w:r>
      <w:r>
        <w:rPr>
          <w:spacing w:val="-21"/>
          <w:sz w:val="24"/>
          <w:szCs w:val="24"/>
        </w:rPr>
        <w:t>填夯实高达1.5m以上时，方可使用碾压机械压实；如管顶距路床高不足1.5m时</w:t>
      </w:r>
      <w:r>
        <w:rPr>
          <w:spacing w:val="-22"/>
          <w:sz w:val="24"/>
          <w:szCs w:val="24"/>
        </w:rPr>
        <w:t>，管道设计应</w:t>
      </w:r>
      <w:r>
        <w:rPr>
          <w:spacing w:val="-14"/>
          <w:sz w:val="24"/>
          <w:szCs w:val="24"/>
        </w:rPr>
        <w:t>采用360度包封来加强。</w:t>
      </w:r>
    </w:p>
    <w:p w14:paraId="51C49534">
      <w:pPr>
        <w:pStyle w:val="2"/>
        <w:spacing w:before="115" w:line="216" w:lineRule="auto"/>
        <w:ind w:left="1888"/>
        <w:rPr>
          <w:sz w:val="24"/>
          <w:szCs w:val="24"/>
        </w:rPr>
      </w:pPr>
      <w:r>
        <w:rPr>
          <w:spacing w:val="-20"/>
          <w:sz w:val="24"/>
          <w:szCs w:val="24"/>
        </w:rPr>
        <w:t>2.6排水管道应进行闭水试验，检查其密闭性情况。</w:t>
      </w:r>
    </w:p>
    <w:p w14:paraId="06DA0DBA">
      <w:pPr>
        <w:pStyle w:val="2"/>
        <w:spacing w:before="123" w:line="289" w:lineRule="auto"/>
        <w:ind w:left="1456" w:right="1370" w:firstLine="432"/>
        <w:rPr>
          <w:sz w:val="24"/>
          <w:szCs w:val="24"/>
        </w:rPr>
      </w:pPr>
      <w:r>
        <w:rPr>
          <w:spacing w:val="-22"/>
          <w:sz w:val="24"/>
          <w:szCs w:val="24"/>
        </w:rPr>
        <w:t>2.6.1管线施工完毕后，必须按规定进行闭水试验。闭水试验采用从上游往下游分段进行。</w:t>
      </w:r>
      <w:r>
        <w:rPr>
          <w:spacing w:val="-18"/>
          <w:sz w:val="24"/>
          <w:szCs w:val="24"/>
        </w:rPr>
        <w:t>每段闭水试验长度不宜大于500米。闭水试验的水位应为试验段上游管内顶以上2米，采用带</w:t>
      </w:r>
      <w:r>
        <w:rPr>
          <w:spacing w:val="-19"/>
          <w:sz w:val="24"/>
          <w:szCs w:val="24"/>
        </w:rPr>
        <w:t>井试验的方式。闭水试验前，管道及检查井结构应检验合格，将各支线管口堵严保证不漏水，</w:t>
      </w:r>
      <w:r>
        <w:rPr>
          <w:spacing w:val="-22"/>
          <w:sz w:val="24"/>
          <w:szCs w:val="24"/>
        </w:rPr>
        <w:t>每段上游管口砌砖抹灰封严（封堵应经过承压计算）。实验程序：注水浸泡</w:t>
      </w:r>
      <w:r>
        <w:rPr>
          <w:spacing w:val="-23"/>
          <w:sz w:val="24"/>
          <w:szCs w:val="24"/>
        </w:rPr>
        <w:t>1～2天→闭水试验</w:t>
      </w:r>
      <w:r>
        <w:rPr>
          <w:spacing w:val="-19"/>
          <w:sz w:val="24"/>
          <w:szCs w:val="24"/>
        </w:rPr>
        <w:t>（不少于30分钟）→计算试验渗水量→检</w:t>
      </w:r>
      <w:r>
        <w:rPr>
          <w:spacing w:val="-20"/>
          <w:sz w:val="24"/>
          <w:szCs w:val="24"/>
        </w:rPr>
        <w:t>验合格→管线勾头。</w:t>
      </w:r>
    </w:p>
    <w:p w14:paraId="76F22B77">
      <w:pPr>
        <w:pStyle w:val="2"/>
        <w:spacing w:before="118" w:line="262" w:lineRule="auto"/>
        <w:ind w:left="1458" w:right="1410" w:firstLine="430"/>
        <w:rPr>
          <w:sz w:val="24"/>
          <w:szCs w:val="24"/>
        </w:rPr>
      </w:pPr>
      <w:r>
        <w:rPr>
          <w:spacing w:val="-22"/>
          <w:sz w:val="24"/>
          <w:szCs w:val="24"/>
        </w:rPr>
        <w:t>2.6.2根据管线长短可采用分段闭水，分段回填。如</w:t>
      </w:r>
      <w:r>
        <w:rPr>
          <w:spacing w:val="-23"/>
          <w:sz w:val="24"/>
          <w:szCs w:val="24"/>
        </w:rPr>
        <w:t>闭水试验不符合要求，必须对渗水部位</w:t>
      </w:r>
      <w:r>
        <w:rPr>
          <w:spacing w:val="-21"/>
          <w:sz w:val="24"/>
          <w:szCs w:val="24"/>
        </w:rPr>
        <w:t>进行修补处理，合格后方可回填沟槽。</w:t>
      </w:r>
    </w:p>
    <w:p w14:paraId="17B8A0EB">
      <w:pPr>
        <w:pStyle w:val="2"/>
        <w:spacing w:before="119" w:line="216" w:lineRule="auto"/>
        <w:ind w:left="1888"/>
        <w:rPr>
          <w:sz w:val="24"/>
          <w:szCs w:val="24"/>
        </w:rPr>
      </w:pPr>
      <w:r>
        <w:rPr>
          <w:b/>
          <w:bCs/>
          <w:spacing w:val="-18"/>
          <w:sz w:val="24"/>
          <w:szCs w:val="24"/>
        </w:rPr>
        <w:t>2.1.2铸铁管迁移恢复</w:t>
      </w:r>
    </w:p>
    <w:p w14:paraId="4FC6465F">
      <w:pPr>
        <w:pStyle w:val="2"/>
        <w:spacing w:before="118" w:line="219" w:lineRule="auto"/>
        <w:ind w:left="1903"/>
        <w:rPr>
          <w:sz w:val="24"/>
          <w:szCs w:val="24"/>
        </w:rPr>
      </w:pPr>
      <w:r>
        <w:rPr>
          <w:spacing w:val="-18"/>
          <w:sz w:val="24"/>
          <w:szCs w:val="24"/>
        </w:rPr>
        <w:t>1、铸铁管安装</w:t>
      </w:r>
    </w:p>
    <w:p w14:paraId="55142677">
      <w:pPr>
        <w:pStyle w:val="2"/>
        <w:spacing w:before="114" w:line="286" w:lineRule="auto"/>
        <w:ind w:left="1457" w:right="1409" w:firstLine="446"/>
        <w:jc w:val="both"/>
        <w:rPr>
          <w:sz w:val="24"/>
          <w:szCs w:val="24"/>
        </w:rPr>
      </w:pPr>
      <w:r>
        <w:rPr>
          <w:spacing w:val="-23"/>
          <w:sz w:val="24"/>
          <w:szCs w:val="24"/>
        </w:rPr>
        <w:t>1.1在铸铁管运到现场后，首先进行管沟开挖，待砂垫层铺设</w:t>
      </w:r>
      <w:r>
        <w:rPr>
          <w:spacing w:val="-24"/>
          <w:sz w:val="24"/>
          <w:szCs w:val="24"/>
        </w:rPr>
        <w:t>结束并验收合格后方可进行管</w:t>
      </w:r>
      <w:r>
        <w:rPr>
          <w:spacing w:val="-20"/>
          <w:sz w:val="24"/>
          <w:szCs w:val="24"/>
        </w:rPr>
        <w:t>道安装。施工安装时采用吊车将铸铁管从堆放场地吊至管沟内。吊装时，采用吊带吊装，吊带与铸铁管接触处用废旧橡胶垫隔以保护铸铁管和防腐层。吊装时，起吊和放下时的速度不易太</w:t>
      </w:r>
      <w:r>
        <w:rPr>
          <w:spacing w:val="-21"/>
          <w:sz w:val="24"/>
          <w:szCs w:val="24"/>
        </w:rPr>
        <w:t>快，做到小心轻放，避免摔跌、碰撞管道。</w:t>
      </w:r>
    </w:p>
    <w:tbl>
      <w:tblPr>
        <w:tblStyle w:val="6"/>
        <w:tblW w:w="8557" w:type="dxa"/>
        <w:tblInd w:w="167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372"/>
        <w:gridCol w:w="4185"/>
      </w:tblGrid>
      <w:tr w14:paraId="30E3A1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42" w:hRule="atLeast"/>
        </w:trPr>
        <w:tc>
          <w:tcPr>
            <w:tcW w:w="4372" w:type="dxa"/>
            <w:tcBorders>
              <w:top w:val="single" w:color="000000" w:sz="4" w:space="0"/>
              <w:left w:val="single" w:color="000000" w:sz="4" w:space="0"/>
            </w:tcBorders>
            <w:shd w:val="clear" w:color="auto" w:fill="DEEAF6"/>
            <w:vAlign w:val="top"/>
          </w:tcPr>
          <w:p w14:paraId="188D6255">
            <w:pPr>
              <w:spacing w:before="89" w:line="3041" w:lineRule="exact"/>
              <w:ind w:firstLine="126"/>
            </w:pPr>
            <w:r>
              <w:pict>
                <v:group id="_x0000_s3876" o:spid="_x0000_s3876" o:spt="203" style="position:absolute;left:0pt;margin-left:-0.2pt;margin-top:0.05pt;height:167.8pt;width:218.3pt;mso-position-horizontal-relative:page;mso-position-vertical-relative:page;z-index:252254208;mso-width-relative:page;mso-height-relative:page;" coordsize="4366,3356">
                  <o:lock v:ext="edit"/>
                  <v:group id="_x0000_s3877" o:spid="_x0000_s3877" o:spt="203" style="position:absolute;left:0;top:0;height:103;width:4362;" coordsize="4362,103">
                    <o:lock v:ext="edit"/>
                    <v:shape id="_x0000_s3878" o:spid="_x0000_s3878" style="position:absolute;left:0;top:0;height:15;width:44;" fillcolor="#5B9BD5" filled="t" stroked="f" coordsize="44,15" path="m0,14l43,14,43,0,0,0,0,14xe">
                      <v:path/>
                      <v:fill on="t" focussize="0,0"/>
                      <v:stroke on="f"/>
                      <v:imagedata o:title=""/>
                      <o:lock v:ext="edit"/>
                    </v:shape>
                    <v:shape id="_x0000_s3879" o:spid="_x0000_s3879" style="position:absolute;left:43;top:43;height:60;width:4318;" fillcolor="#DEEAF6" filled="t" stroked="f" coordsize="4318,60" path="m0,60l4318,60,4318,0,0,0,0,60xe">
                      <v:path/>
                      <v:fill on="t" focussize="0,0"/>
                      <v:stroke on="f"/>
                      <v:imagedata o:title=""/>
                      <o:lock v:ext="edit"/>
                    </v:shape>
                  </v:group>
                  <v:shape id="_x0000_s3880" o:spid="_x0000_s3880" style="position:absolute;left:21;top:3298;height:58;width:4345;" fillcolor="#DEEAF6" filled="t" stroked="f" coordsize="4345,58" path="m0,57l4344,57,4344,0,0,0,0,57xe">
                    <v:path/>
                    <v:fill on="t" focussize="0,0"/>
                    <v:stroke on="f"/>
                    <v:imagedata o:title=""/>
                    <o:lock v:ext="edit"/>
                  </v:shape>
                </v:group>
              </w:pict>
            </w:r>
            <w:r>
              <w:rPr>
                <w:position w:val="-60"/>
              </w:rPr>
              <w:drawing>
                <wp:inline distT="0" distB="0" distL="0" distR="0">
                  <wp:extent cx="2612390" cy="1931035"/>
                  <wp:effectExtent l="0" t="0" r="0" b="0"/>
                  <wp:docPr id="1312" name="IM 1312"/>
                  <wp:cNvGraphicFramePr/>
                  <a:graphic xmlns:a="http://schemas.openxmlformats.org/drawingml/2006/main">
                    <a:graphicData uri="http://schemas.openxmlformats.org/drawingml/2006/picture">
                      <pic:pic xmlns:pic="http://schemas.openxmlformats.org/drawingml/2006/picture">
                        <pic:nvPicPr>
                          <pic:cNvPr id="1312" name="IM 1312"/>
                          <pic:cNvPicPr/>
                        </pic:nvPicPr>
                        <pic:blipFill>
                          <a:blip r:embed="rId514"/>
                          <a:stretch>
                            <a:fillRect/>
                          </a:stretch>
                        </pic:blipFill>
                        <pic:spPr>
                          <a:xfrm>
                            <a:off x="0" y="0"/>
                            <a:ext cx="2612390" cy="1931035"/>
                          </a:xfrm>
                          <a:prstGeom prst="rect">
                            <a:avLst/>
                          </a:prstGeom>
                        </pic:spPr>
                      </pic:pic>
                    </a:graphicData>
                  </a:graphic>
                </wp:inline>
              </w:drawing>
            </w:r>
          </w:p>
        </w:tc>
        <w:tc>
          <w:tcPr>
            <w:tcW w:w="4185" w:type="dxa"/>
            <w:tcBorders>
              <w:top w:val="single" w:color="5B9BD5" w:sz="4" w:space="0"/>
              <w:right w:val="single" w:color="5B9BD5" w:sz="4" w:space="0"/>
            </w:tcBorders>
            <w:shd w:val="clear" w:color="auto" w:fill="DEEAF6"/>
            <w:vAlign w:val="top"/>
          </w:tcPr>
          <w:p w14:paraId="7F99F6B8">
            <w:pPr>
              <w:spacing w:line="93" w:lineRule="exact"/>
              <w:ind w:firstLine="25"/>
            </w:pPr>
            <w:r>
              <w:rPr>
                <w:position w:val="-1"/>
              </w:rPr>
              <w:pict>
                <v:group id="_x0000_s3881" o:spid="_x0000_s3881" o:spt="203" style="height:5.2pt;width:208.15pt;" coordsize="4162,103">
                  <o:lock v:ext="edit"/>
                  <v:shape id="_x0000_s3882" o:spid="_x0000_s3882" style="position:absolute;left:0;top:43;height:60;width:4120;" fillcolor="#DEEAF6" filled="t" stroked="f" coordsize="4120,60" path="m0,60l4119,60,4119,0,0,0,0,60xe">
                    <v:path/>
                    <v:fill on="t" focussize="0,0"/>
                    <v:stroke on="f"/>
                    <v:imagedata o:title=""/>
                    <o:lock v:ext="edit"/>
                  </v:shape>
                  <v:shape id="_x0000_s3883" o:spid="_x0000_s3883" style="position:absolute;left:4119;top:0;height:15;width:44;" fillcolor="#5B9BD5" filled="t" stroked="f" coordsize="44,15" path="m0,14l43,14,43,0,0,0,0,14xe">
                    <v:path/>
                    <v:fill on="t" focussize="0,0"/>
                    <v:stroke on="f"/>
                    <v:imagedata o:title=""/>
                    <o:lock v:ext="edit"/>
                  </v:shape>
                  <w10:wrap type="none"/>
                  <w10:anchorlock/>
                </v:group>
              </w:pict>
            </w:r>
          </w:p>
          <w:p w14:paraId="5C3F6654">
            <w:pPr>
              <w:spacing w:before="34" w:line="2964" w:lineRule="exact"/>
              <w:ind w:firstLine="95"/>
            </w:pPr>
            <w:r>
              <w:rPr>
                <w:position w:val="-59"/>
              </w:rPr>
              <w:drawing>
                <wp:inline distT="0" distB="0" distL="0" distR="0">
                  <wp:extent cx="2510155" cy="1881505"/>
                  <wp:effectExtent l="0" t="0" r="0" b="0"/>
                  <wp:docPr id="1314" name="IM 1314"/>
                  <wp:cNvGraphicFramePr/>
                  <a:graphic xmlns:a="http://schemas.openxmlformats.org/drawingml/2006/main">
                    <a:graphicData uri="http://schemas.openxmlformats.org/drawingml/2006/picture">
                      <pic:pic xmlns:pic="http://schemas.openxmlformats.org/drawingml/2006/picture">
                        <pic:nvPicPr>
                          <pic:cNvPr id="1314" name="IM 1314"/>
                          <pic:cNvPicPr/>
                        </pic:nvPicPr>
                        <pic:blipFill>
                          <a:blip r:embed="rId515"/>
                          <a:stretch>
                            <a:fillRect/>
                          </a:stretch>
                        </pic:blipFill>
                        <pic:spPr>
                          <a:xfrm>
                            <a:off x="0" y="0"/>
                            <a:ext cx="2510155" cy="1882139"/>
                          </a:xfrm>
                          <a:prstGeom prst="rect">
                            <a:avLst/>
                          </a:prstGeom>
                        </pic:spPr>
                      </pic:pic>
                    </a:graphicData>
                  </a:graphic>
                </wp:inline>
              </w:drawing>
            </w:r>
          </w:p>
          <w:p w14:paraId="4A4B7B96">
            <w:pPr>
              <w:spacing w:before="196" w:line="43" w:lineRule="exact"/>
            </w:pPr>
            <w:r>
              <w:rPr>
                <w:position w:val="-2"/>
              </w:rPr>
              <w:pict>
                <v:shape id="_x0000_s3884" o:spid="_x0000_s3884" style="height:2.9pt;width:209pt;" fillcolor="#DEEAF6" filled="t" stroked="f" coordsize="4180,58" path="m0,57l4179,57,4179,0,0,0,0,57xe">
                  <v:path/>
                  <v:fill on="t" focussize="0,0"/>
                  <v:stroke on="f"/>
                  <v:imagedata o:title=""/>
                  <o:lock v:ext="edit"/>
                  <w10:wrap type="none"/>
                  <w10:anchorlock/>
                </v:shape>
              </w:pict>
            </w:r>
          </w:p>
        </w:tc>
      </w:tr>
      <w:tr w14:paraId="08D51D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4" w:hRule="atLeast"/>
        </w:trPr>
        <w:tc>
          <w:tcPr>
            <w:tcW w:w="4372" w:type="dxa"/>
            <w:tcBorders>
              <w:left w:val="single" w:color="1C456A" w:sz="4" w:space="0"/>
              <w:bottom w:val="single" w:color="1C456A" w:sz="4" w:space="0"/>
            </w:tcBorders>
            <w:vAlign w:val="top"/>
          </w:tcPr>
          <w:p w14:paraId="7B77F5BC">
            <w:pPr>
              <w:pStyle w:val="7"/>
              <w:spacing w:before="101" w:line="219" w:lineRule="auto"/>
              <w:ind w:left="1367"/>
            </w:pPr>
            <w:r>
              <w:pict>
                <v:shape id="_x0000_s3885" o:spid="_x0000_s3885" style="position:absolute;left:0pt;margin-left:-0.2pt;margin-top:31.25pt;height:0.75pt;width:2.2pt;mso-position-horizontal-relative:page;mso-position-vertical-relative:page;z-index:252253184;mso-width-relative:page;mso-height-relative:page;" fillcolor="#5B9BD5" filled="t" stroked="f" coordsize="44,15" path="m0,14l43,14,43,0,0,0,0,14xe">
                  <v:path/>
                  <v:fill on="t" focussize="0,0"/>
                  <v:stroke on="f"/>
                  <v:imagedata o:title=""/>
                  <o:lock v:ext="edit"/>
                </v:shape>
              </w:pict>
            </w:r>
            <w:r>
              <w:rPr>
                <w:spacing w:val="-21"/>
              </w:rPr>
              <w:t>管道安装施工图1</w:t>
            </w:r>
          </w:p>
        </w:tc>
        <w:tc>
          <w:tcPr>
            <w:tcW w:w="4185" w:type="dxa"/>
            <w:tcBorders>
              <w:bottom w:val="single" w:color="5B9BD5" w:sz="4" w:space="0"/>
              <w:right w:val="single" w:color="5B9BD5" w:sz="4" w:space="0"/>
            </w:tcBorders>
            <w:vAlign w:val="top"/>
          </w:tcPr>
          <w:p w14:paraId="300C96D2">
            <w:pPr>
              <w:pStyle w:val="7"/>
              <w:spacing w:before="101" w:line="219" w:lineRule="auto"/>
              <w:ind w:left="1259"/>
            </w:pPr>
            <w:r>
              <w:pict>
                <v:shape id="_x0000_s3886" o:spid="_x0000_s3886" style="position:absolute;left:0pt;margin-left:207.35pt;margin-top:31.25pt;height:0.75pt;width:2.2pt;mso-position-horizontal-relative:page;mso-position-vertical-relative:page;z-index:252252160;mso-width-relative:page;mso-height-relative:page;" fillcolor="#5B9BD5" filled="t" stroked="f" coordsize="44,15" path="m0,14l43,14,43,0,0,0,0,14xe">
                  <v:path/>
                  <v:fill on="t" focussize="0,0"/>
                  <v:stroke on="f"/>
                  <v:imagedata o:title=""/>
                  <o:lock v:ext="edit"/>
                </v:shape>
              </w:pict>
            </w:r>
            <w:r>
              <w:rPr>
                <w:spacing w:val="-15"/>
              </w:rPr>
              <w:t>管道安装施工图2</w:t>
            </w:r>
          </w:p>
        </w:tc>
      </w:tr>
    </w:tbl>
    <w:p w14:paraId="6D2064C8">
      <w:pPr>
        <w:pStyle w:val="2"/>
        <w:spacing w:before="113" w:line="216" w:lineRule="auto"/>
        <w:ind w:left="1903"/>
        <w:rPr>
          <w:sz w:val="24"/>
          <w:szCs w:val="24"/>
        </w:rPr>
      </w:pPr>
      <w:r>
        <w:rPr>
          <w:spacing w:val="-23"/>
          <w:sz w:val="24"/>
          <w:szCs w:val="24"/>
        </w:rPr>
        <w:t>1.2管道安装施工前，应用钢丝刷、棉纱布等仔细将承口内腔和插口端外表面的泥沙</w:t>
      </w:r>
      <w:r>
        <w:rPr>
          <w:spacing w:val="-24"/>
          <w:sz w:val="24"/>
          <w:szCs w:val="24"/>
        </w:rPr>
        <w:t>及其它</w:t>
      </w:r>
    </w:p>
    <w:p w14:paraId="7C3CC3D4">
      <w:pPr>
        <w:spacing w:line="216" w:lineRule="auto"/>
        <w:rPr>
          <w:sz w:val="24"/>
          <w:szCs w:val="24"/>
        </w:rPr>
        <w:sectPr>
          <w:footerReference r:id="rId315" w:type="default"/>
          <w:pgSz w:w="11907" w:h="16839"/>
          <w:pgMar w:top="933" w:right="4" w:bottom="1038" w:left="0" w:header="478" w:footer="357" w:gutter="0"/>
          <w:pgBorders>
            <w:top w:val="none" w:sz="0" w:space="0"/>
            <w:left w:val="none" w:sz="0" w:space="0"/>
            <w:bottom w:val="none" w:sz="0" w:space="0"/>
            <w:right w:val="none" w:sz="0" w:space="0"/>
          </w:pgBorders>
          <w:cols w:space="720" w:num="1"/>
        </w:sectPr>
      </w:pPr>
    </w:p>
    <w:p w14:paraId="7168988D">
      <w:pPr>
        <w:spacing w:line="271" w:lineRule="auto"/>
        <w:rPr>
          <w:rFonts w:ascii="Arial"/>
          <w:sz w:val="21"/>
        </w:rPr>
      </w:pPr>
    </w:p>
    <w:p w14:paraId="1257603B">
      <w:pPr>
        <w:pStyle w:val="2"/>
        <w:spacing w:before="78" w:line="217" w:lineRule="auto"/>
        <w:ind w:left="1458"/>
        <w:rPr>
          <w:sz w:val="24"/>
          <w:szCs w:val="24"/>
        </w:rPr>
      </w:pPr>
      <w:r>
        <w:rPr>
          <w:spacing w:val="-21"/>
          <w:sz w:val="24"/>
          <w:szCs w:val="24"/>
        </w:rPr>
        <w:t>异物清理干净，不得含有泥沙、油污及其它异物。</w:t>
      </w:r>
    </w:p>
    <w:p w14:paraId="020597A6">
      <w:pPr>
        <w:pStyle w:val="2"/>
        <w:spacing w:before="120" w:line="262" w:lineRule="auto"/>
        <w:ind w:left="1499" w:right="1409" w:firstLine="403"/>
        <w:rPr>
          <w:sz w:val="24"/>
          <w:szCs w:val="24"/>
        </w:rPr>
      </w:pPr>
      <w:r>
        <w:rPr>
          <w:spacing w:val="-21"/>
          <w:sz w:val="24"/>
          <w:szCs w:val="24"/>
        </w:rPr>
        <w:t>1.3管道接口清理干净后，将随管配套的胶圈清理干净并捏成心脏</w:t>
      </w:r>
      <w:r>
        <w:rPr>
          <w:spacing w:val="-22"/>
          <w:sz w:val="24"/>
          <w:szCs w:val="24"/>
        </w:rPr>
        <w:t>型或“8”字形安放在承</w:t>
      </w:r>
      <w:r>
        <w:rPr>
          <w:spacing w:val="-27"/>
          <w:sz w:val="24"/>
          <w:szCs w:val="24"/>
        </w:rPr>
        <w:t>口内。</w:t>
      </w:r>
    </w:p>
    <w:p w14:paraId="64440FCD">
      <w:pPr>
        <w:pStyle w:val="2"/>
        <w:spacing w:before="116" w:line="262" w:lineRule="auto"/>
        <w:ind w:left="1462" w:right="1410" w:firstLine="441"/>
        <w:rPr>
          <w:sz w:val="24"/>
          <w:szCs w:val="24"/>
        </w:rPr>
      </w:pPr>
      <w:r>
        <w:rPr>
          <w:spacing w:val="-23"/>
          <w:sz w:val="24"/>
          <w:szCs w:val="24"/>
        </w:rPr>
        <w:t>1.4仔细检查胶圈安放位置是否正确，准确无误后用木锤沿</w:t>
      </w:r>
      <w:r>
        <w:rPr>
          <w:spacing w:val="-24"/>
          <w:sz w:val="24"/>
          <w:szCs w:val="24"/>
        </w:rPr>
        <w:t>管口内周围轻轻敲打，使胶圈完</w:t>
      </w:r>
      <w:r>
        <w:rPr>
          <w:spacing w:val="-20"/>
          <w:sz w:val="24"/>
          <w:szCs w:val="24"/>
        </w:rPr>
        <w:t>全安放在承口凹槽内。</w:t>
      </w:r>
    </w:p>
    <w:p w14:paraId="43A0A771">
      <w:pPr>
        <w:pStyle w:val="2"/>
        <w:spacing w:before="118" w:line="263" w:lineRule="auto"/>
        <w:ind w:left="1469" w:right="1387" w:firstLine="433"/>
        <w:rPr>
          <w:sz w:val="24"/>
          <w:szCs w:val="24"/>
        </w:rPr>
      </w:pPr>
      <w:r>
        <w:rPr>
          <w:spacing w:val="-23"/>
          <w:sz w:val="24"/>
          <w:szCs w:val="24"/>
        </w:rPr>
        <w:t>1.5胶圈安放完毕后用肥皂水作润滑剂，将承口内胶圈和插口端充分润滑，起到润滑作用，管道承插安装时节约劳动力和减轻施工难度。</w:t>
      </w:r>
    </w:p>
    <w:p w14:paraId="263A3D6E">
      <w:pPr>
        <w:pStyle w:val="2"/>
        <w:spacing w:before="118" w:line="215" w:lineRule="auto"/>
        <w:ind w:left="1903"/>
        <w:rPr>
          <w:sz w:val="24"/>
          <w:szCs w:val="24"/>
        </w:rPr>
      </w:pPr>
      <w:r>
        <w:rPr>
          <w:spacing w:val="-19"/>
          <w:sz w:val="24"/>
          <w:szCs w:val="24"/>
        </w:rPr>
        <w:t>1.6铸铁管在安装时吊机作少许起吊，起吊高</w:t>
      </w:r>
      <w:r>
        <w:rPr>
          <w:spacing w:val="-20"/>
          <w:sz w:val="24"/>
          <w:szCs w:val="24"/>
        </w:rPr>
        <w:t>度以铸铁管底高出粗砂垫层5cm为宜。</w:t>
      </w:r>
    </w:p>
    <w:p w14:paraId="4308AD8C">
      <w:pPr>
        <w:pStyle w:val="2"/>
        <w:spacing w:before="119" w:line="278" w:lineRule="auto"/>
        <w:ind w:left="1457" w:right="1387" w:firstLine="446"/>
        <w:rPr>
          <w:sz w:val="24"/>
          <w:szCs w:val="24"/>
        </w:rPr>
      </w:pPr>
      <w:r>
        <w:rPr>
          <w:spacing w:val="-23"/>
          <w:sz w:val="24"/>
          <w:szCs w:val="24"/>
        </w:rPr>
        <w:t>1.7插口与承口管道中心线对准一致，在起吊管末端用撬棍（或千斤顶）将铸铁管向前撬，</w:t>
      </w:r>
      <w:r>
        <w:rPr>
          <w:spacing w:val="-20"/>
          <w:sz w:val="24"/>
          <w:szCs w:val="24"/>
        </w:rPr>
        <w:t>将插口插入承口，插入深度为插口处的两条标志线将铸铁管插到看不见第一条线，只看到第二</w:t>
      </w:r>
      <w:r>
        <w:rPr>
          <w:spacing w:val="-21"/>
          <w:sz w:val="24"/>
          <w:szCs w:val="24"/>
        </w:rPr>
        <w:t>条线的位置为止。</w:t>
      </w:r>
    </w:p>
    <w:p w14:paraId="37C6C527">
      <w:pPr>
        <w:pStyle w:val="2"/>
        <w:spacing w:before="115" w:line="262" w:lineRule="auto"/>
        <w:ind w:left="1455" w:right="1461" w:firstLine="447"/>
        <w:rPr>
          <w:sz w:val="24"/>
          <w:szCs w:val="24"/>
        </w:rPr>
      </w:pPr>
      <w:r>
        <w:rPr>
          <w:spacing w:val="-21"/>
          <w:sz w:val="24"/>
          <w:szCs w:val="24"/>
        </w:rPr>
        <w:t>1.8铸铁管承插施工完后卸下扒杆及工具，管道承插</w:t>
      </w:r>
      <w:r>
        <w:rPr>
          <w:spacing w:val="-22"/>
          <w:sz w:val="24"/>
          <w:szCs w:val="24"/>
        </w:rPr>
        <w:t>头处及中部立即回填50cm厚二灰砂，轻夯压实，避免铸铁管在施工时发生偏移。</w:t>
      </w:r>
    </w:p>
    <w:p w14:paraId="5CD337AD">
      <w:pPr>
        <w:pStyle w:val="2"/>
        <w:spacing w:before="121" w:line="215" w:lineRule="auto"/>
        <w:ind w:left="1903"/>
        <w:rPr>
          <w:sz w:val="24"/>
          <w:szCs w:val="24"/>
        </w:rPr>
      </w:pPr>
      <w:r>
        <w:rPr>
          <w:spacing w:val="-21"/>
          <w:sz w:val="24"/>
          <w:szCs w:val="24"/>
        </w:rPr>
        <w:t>1.9重复上述操作布骤，安装球墨铸铁管。</w:t>
      </w:r>
    </w:p>
    <w:p w14:paraId="41135137">
      <w:pPr>
        <w:pStyle w:val="2"/>
        <w:spacing w:before="120" w:line="262" w:lineRule="auto"/>
        <w:ind w:left="1458" w:right="1411" w:firstLine="445"/>
        <w:rPr>
          <w:sz w:val="24"/>
          <w:szCs w:val="24"/>
        </w:rPr>
      </w:pPr>
      <w:r>
        <w:rPr>
          <w:spacing w:val="-21"/>
          <w:sz w:val="24"/>
          <w:szCs w:val="24"/>
        </w:rPr>
        <w:t>1.10检查井施工应与铸铁管安装相配合，安装完毕符合设计</w:t>
      </w:r>
      <w:r>
        <w:rPr>
          <w:spacing w:val="-22"/>
          <w:sz w:val="24"/>
          <w:szCs w:val="24"/>
        </w:rPr>
        <w:t>要求和施工规范规定后立即进</w:t>
      </w:r>
      <w:r>
        <w:rPr>
          <w:spacing w:val="-20"/>
          <w:sz w:val="24"/>
          <w:szCs w:val="24"/>
        </w:rPr>
        <w:t>行排水管闭水试验。</w:t>
      </w:r>
    </w:p>
    <w:p w14:paraId="163FC3F3">
      <w:pPr>
        <w:pStyle w:val="2"/>
        <w:spacing w:before="119" w:line="216" w:lineRule="auto"/>
        <w:ind w:left="1903"/>
        <w:rPr>
          <w:sz w:val="24"/>
          <w:szCs w:val="24"/>
        </w:rPr>
      </w:pPr>
      <w:r>
        <w:rPr>
          <w:spacing w:val="-21"/>
          <w:sz w:val="24"/>
          <w:szCs w:val="24"/>
        </w:rPr>
        <w:t>1.11闭水试验合格后方可进行二灰砂回填作业，回填土时分层回</w:t>
      </w:r>
      <w:r>
        <w:rPr>
          <w:spacing w:val="-22"/>
          <w:sz w:val="24"/>
          <w:szCs w:val="24"/>
        </w:rPr>
        <w:t>填。</w:t>
      </w:r>
    </w:p>
    <w:p w14:paraId="7A91D56B">
      <w:pPr>
        <w:pStyle w:val="2"/>
        <w:spacing w:before="117" w:line="219" w:lineRule="auto"/>
        <w:ind w:left="1903"/>
        <w:rPr>
          <w:sz w:val="24"/>
          <w:szCs w:val="24"/>
        </w:rPr>
      </w:pPr>
      <w:r>
        <w:rPr>
          <w:spacing w:val="-20"/>
          <w:sz w:val="24"/>
          <w:szCs w:val="24"/>
        </w:rPr>
        <w:t>1.12球墨铸铁管道安装工艺流程为：</w:t>
      </w:r>
    </w:p>
    <w:p w14:paraId="2A3C4833">
      <w:pPr>
        <w:pStyle w:val="2"/>
        <w:spacing w:before="115" w:line="308" w:lineRule="auto"/>
        <w:ind w:left="1457" w:right="1449" w:firstLine="436"/>
        <w:rPr>
          <w:sz w:val="24"/>
          <w:szCs w:val="24"/>
        </w:rPr>
      </w:pPr>
      <w:r>
        <w:rPr>
          <w:spacing w:val="-21"/>
          <w:sz w:val="24"/>
          <w:szCs w:val="24"/>
        </w:rPr>
        <w:t>场地内管道运输就位→吊装下沟→开挖工作坑→管道平</w:t>
      </w:r>
      <w:r>
        <w:rPr>
          <w:spacing w:val="-22"/>
          <w:sz w:val="24"/>
          <w:szCs w:val="24"/>
        </w:rPr>
        <w:t>衡起吊→插入端带橡胶圈→插口、</w:t>
      </w:r>
      <w:r>
        <w:rPr>
          <w:spacing w:val="-21"/>
          <w:sz w:val="24"/>
          <w:szCs w:val="24"/>
        </w:rPr>
        <w:t>胶圈、承口表面涂刷食用润滑油→平衡对接安装填塞胶圈</w:t>
      </w:r>
      <w:r>
        <w:rPr>
          <w:spacing w:val="-22"/>
          <w:sz w:val="24"/>
          <w:szCs w:val="24"/>
        </w:rPr>
        <w:t>→检查胶圈塞入度</w:t>
      </w:r>
    </w:p>
    <w:p w14:paraId="30E5F67B">
      <w:pPr>
        <w:pStyle w:val="2"/>
        <w:spacing w:before="1" w:line="217" w:lineRule="auto"/>
        <w:ind w:left="1888"/>
        <w:rPr>
          <w:sz w:val="24"/>
          <w:szCs w:val="24"/>
        </w:rPr>
      </w:pPr>
      <w:r>
        <w:rPr>
          <w:spacing w:val="-19"/>
          <w:sz w:val="24"/>
          <w:szCs w:val="24"/>
        </w:rPr>
        <w:t>2、阀门、排气阀及管件安装</w:t>
      </w:r>
    </w:p>
    <w:p w14:paraId="13A0072B">
      <w:pPr>
        <w:pStyle w:val="2"/>
        <w:spacing w:before="119" w:line="307" w:lineRule="auto"/>
        <w:ind w:left="1459" w:right="1434" w:firstLine="452"/>
        <w:rPr>
          <w:sz w:val="24"/>
          <w:szCs w:val="24"/>
        </w:rPr>
      </w:pPr>
      <w:r>
        <w:rPr>
          <w:spacing w:val="-21"/>
          <w:sz w:val="24"/>
          <w:szCs w:val="24"/>
        </w:rPr>
        <w:t>闸阀、放气阀结构牢固，阀门、放气阀启闭灵活、无松动、卡等现象以及不正常的杂音，</w:t>
      </w:r>
      <w:r>
        <w:rPr>
          <w:spacing w:val="-20"/>
          <w:sz w:val="24"/>
          <w:szCs w:val="24"/>
        </w:rPr>
        <w:t>并能达到全开和全关的程度，有明显的开关标示，布置的位置、</w:t>
      </w:r>
      <w:r>
        <w:rPr>
          <w:spacing w:val="-21"/>
          <w:sz w:val="24"/>
          <w:szCs w:val="24"/>
        </w:rPr>
        <w:t>角度、方向满足安装及运行要求，阀片的强度应保证在最大负荷压力下不弯曲变形。</w:t>
      </w:r>
    </w:p>
    <w:p w14:paraId="7B56090C">
      <w:pPr>
        <w:pStyle w:val="2"/>
        <w:spacing w:before="2" w:line="215" w:lineRule="auto"/>
        <w:ind w:left="1888"/>
        <w:rPr>
          <w:sz w:val="24"/>
          <w:szCs w:val="24"/>
        </w:rPr>
      </w:pPr>
      <w:r>
        <w:rPr>
          <w:spacing w:val="-21"/>
          <w:sz w:val="24"/>
          <w:szCs w:val="24"/>
        </w:rPr>
        <w:t>2.1阀门、放气阀安装位置合理，在安装的地方应有修理、调整、维护方便和安全的条</w:t>
      </w:r>
      <w:r>
        <w:rPr>
          <w:spacing w:val="-22"/>
          <w:sz w:val="24"/>
          <w:szCs w:val="24"/>
        </w:rPr>
        <w:t>件。</w:t>
      </w:r>
    </w:p>
    <w:p w14:paraId="02766931">
      <w:pPr>
        <w:pStyle w:val="2"/>
        <w:spacing w:before="121" w:line="261" w:lineRule="auto"/>
        <w:ind w:left="1458" w:right="1411" w:firstLine="430"/>
        <w:rPr>
          <w:sz w:val="24"/>
          <w:szCs w:val="24"/>
        </w:rPr>
      </w:pPr>
      <w:r>
        <w:rPr>
          <w:spacing w:val="-22"/>
          <w:sz w:val="24"/>
          <w:szCs w:val="24"/>
        </w:rPr>
        <w:t>2.2阀门、放气阀安装连接法兰的螺栓应均匀拧紧，法兰中的垫片采用5cm油板，其螺母都</w:t>
      </w:r>
      <w:r>
        <w:rPr>
          <w:spacing w:val="-17"/>
          <w:sz w:val="24"/>
          <w:szCs w:val="24"/>
        </w:rPr>
        <w:t>在同一侧。</w:t>
      </w:r>
    </w:p>
    <w:p w14:paraId="71B1BBE6">
      <w:pPr>
        <w:pStyle w:val="2"/>
        <w:spacing w:before="122" w:line="278" w:lineRule="auto"/>
        <w:ind w:left="1462" w:right="1412" w:firstLine="426"/>
        <w:rPr>
          <w:sz w:val="24"/>
          <w:szCs w:val="24"/>
        </w:rPr>
      </w:pPr>
      <w:r>
        <w:rPr>
          <w:spacing w:val="-18"/>
          <w:sz w:val="24"/>
          <w:szCs w:val="24"/>
        </w:rPr>
        <w:t>2.3阀门、放气阀安装前检查外观质量</w:t>
      </w:r>
      <w:r>
        <w:rPr>
          <w:spacing w:val="-19"/>
          <w:sz w:val="24"/>
          <w:szCs w:val="24"/>
        </w:rPr>
        <w:t>，安装前应进行水压试验，试验压力为工作压力的</w:t>
      </w:r>
      <w:r>
        <w:rPr>
          <w:spacing w:val="-21"/>
          <w:sz w:val="24"/>
          <w:szCs w:val="24"/>
        </w:rPr>
        <w:t>1.25倍，试验合格后方能进行安装。安装完成后，是否符合设计要求，</w:t>
      </w:r>
      <w:r>
        <w:rPr>
          <w:spacing w:val="-22"/>
          <w:sz w:val="24"/>
          <w:szCs w:val="24"/>
        </w:rPr>
        <w:t>外形是否完整，标牌是</w:t>
      </w:r>
      <w:r>
        <w:rPr>
          <w:spacing w:val="-17"/>
          <w:sz w:val="24"/>
          <w:szCs w:val="24"/>
        </w:rPr>
        <w:t>否安全。</w:t>
      </w:r>
    </w:p>
    <w:p w14:paraId="002C453F">
      <w:pPr>
        <w:pStyle w:val="2"/>
        <w:spacing w:before="116" w:line="265" w:lineRule="auto"/>
        <w:ind w:left="1461" w:right="1412" w:firstLine="427"/>
        <w:rPr>
          <w:sz w:val="24"/>
          <w:szCs w:val="24"/>
        </w:rPr>
      </w:pPr>
      <w:r>
        <w:rPr>
          <w:spacing w:val="-19"/>
          <w:sz w:val="24"/>
          <w:szCs w:val="24"/>
        </w:rPr>
        <w:t>2.4放气阀安装位置宜尽量安装在管道标高较高的位置上，或安装在供气方向闸阀位置前面。</w:t>
      </w:r>
    </w:p>
    <w:p w14:paraId="4EAFC1A2">
      <w:pPr>
        <w:pStyle w:val="2"/>
        <w:spacing w:before="110" w:line="215" w:lineRule="auto"/>
        <w:ind w:left="1888"/>
        <w:rPr>
          <w:sz w:val="24"/>
          <w:szCs w:val="24"/>
        </w:rPr>
      </w:pPr>
      <w:r>
        <w:rPr>
          <w:spacing w:val="-20"/>
          <w:sz w:val="24"/>
          <w:szCs w:val="24"/>
        </w:rPr>
        <w:t>2.5井室应在敷设好管道，装好阀门之后砌筑</w:t>
      </w:r>
      <w:r>
        <w:rPr>
          <w:spacing w:val="-21"/>
          <w:sz w:val="24"/>
          <w:szCs w:val="24"/>
        </w:rPr>
        <w:t>，其尺寸必须满足设计要求。</w:t>
      </w:r>
    </w:p>
    <w:p w14:paraId="210AAB1B">
      <w:pPr>
        <w:pStyle w:val="2"/>
        <w:spacing w:before="121" w:line="215" w:lineRule="auto"/>
        <w:ind w:left="1888"/>
        <w:rPr>
          <w:sz w:val="24"/>
          <w:szCs w:val="24"/>
        </w:rPr>
      </w:pPr>
      <w:r>
        <w:rPr>
          <w:spacing w:val="-20"/>
          <w:sz w:val="24"/>
          <w:szCs w:val="24"/>
        </w:rPr>
        <w:t>2.6阀门底座应垂直固定在水泥基础上。</w:t>
      </w:r>
    </w:p>
    <w:p w14:paraId="71BE7B01">
      <w:pPr>
        <w:pStyle w:val="2"/>
        <w:spacing w:before="121" w:line="219" w:lineRule="auto"/>
        <w:ind w:left="1890"/>
        <w:rPr>
          <w:sz w:val="24"/>
          <w:szCs w:val="24"/>
        </w:rPr>
      </w:pPr>
      <w:r>
        <w:rPr>
          <w:spacing w:val="-17"/>
          <w:sz w:val="24"/>
          <w:szCs w:val="24"/>
        </w:rPr>
        <w:t>3、钢管安装方法</w:t>
      </w:r>
    </w:p>
    <w:p w14:paraId="4E862DAC">
      <w:pPr>
        <w:pStyle w:val="2"/>
        <w:spacing w:before="113" w:line="216" w:lineRule="auto"/>
        <w:ind w:left="1892"/>
        <w:rPr>
          <w:sz w:val="24"/>
          <w:szCs w:val="24"/>
        </w:rPr>
      </w:pPr>
      <w:r>
        <w:rPr>
          <w:spacing w:val="-22"/>
          <w:sz w:val="24"/>
          <w:szCs w:val="24"/>
        </w:rPr>
        <w:t>钢管关节的材料、规格、压力等级、加工质量应符合设计要求，管节表面应无疤痕、裂纹、</w:t>
      </w:r>
    </w:p>
    <w:p w14:paraId="0E3B4EEE">
      <w:pPr>
        <w:spacing w:line="216" w:lineRule="auto"/>
        <w:rPr>
          <w:sz w:val="24"/>
          <w:szCs w:val="24"/>
        </w:rPr>
        <w:sectPr>
          <w:footerReference r:id="rId316" w:type="default"/>
          <w:pgSz w:w="11907" w:h="16839"/>
          <w:pgMar w:top="933" w:right="4" w:bottom="1038" w:left="0" w:header="478" w:footer="357" w:gutter="0"/>
          <w:pgBorders>
            <w:top w:val="none" w:sz="0" w:space="0"/>
            <w:left w:val="none" w:sz="0" w:space="0"/>
            <w:bottom w:val="none" w:sz="0" w:space="0"/>
            <w:right w:val="none" w:sz="0" w:space="0"/>
          </w:pgBorders>
          <w:cols w:space="720" w:num="1"/>
        </w:sectPr>
      </w:pPr>
    </w:p>
    <w:p w14:paraId="6B3EF0E8">
      <w:pPr>
        <w:spacing w:line="270" w:lineRule="auto"/>
        <w:rPr>
          <w:rFonts w:ascii="Arial"/>
          <w:sz w:val="21"/>
        </w:rPr>
      </w:pPr>
    </w:p>
    <w:p w14:paraId="072526A3">
      <w:pPr>
        <w:pStyle w:val="2"/>
        <w:spacing w:before="78" w:line="308" w:lineRule="auto"/>
        <w:ind w:left="1457" w:right="1413"/>
        <w:rPr>
          <w:sz w:val="24"/>
          <w:szCs w:val="24"/>
        </w:rPr>
      </w:pPr>
      <w:r>
        <w:rPr>
          <w:spacing w:val="-20"/>
          <w:sz w:val="24"/>
          <w:szCs w:val="24"/>
        </w:rPr>
        <w:t>严重锈蚀等缺陷；钢管内外防腐采用IPN8710防腐料防腐，管道内外</w:t>
      </w:r>
      <w:r>
        <w:rPr>
          <w:spacing w:val="-21"/>
          <w:sz w:val="24"/>
          <w:szCs w:val="24"/>
        </w:rPr>
        <w:t>壁的浮锈、氧化铁皮、焊渣、油污等，应彻底清除干净。</w:t>
      </w:r>
    </w:p>
    <w:p w14:paraId="6EE30B4C">
      <w:pPr>
        <w:pStyle w:val="2"/>
        <w:spacing w:before="1" w:line="215" w:lineRule="auto"/>
        <w:ind w:left="1892"/>
        <w:rPr>
          <w:sz w:val="24"/>
          <w:szCs w:val="24"/>
        </w:rPr>
      </w:pPr>
      <w:r>
        <w:rPr>
          <w:spacing w:val="-22"/>
          <w:sz w:val="24"/>
          <w:szCs w:val="24"/>
        </w:rPr>
        <w:t>钢管安装焊接操作人员须持证上岗，并实施检测，管节内外防腐层合格后方可下管。</w:t>
      </w:r>
    </w:p>
    <w:p w14:paraId="43233EC0">
      <w:pPr>
        <w:pStyle w:val="2"/>
        <w:spacing w:before="121" w:line="307" w:lineRule="auto"/>
        <w:ind w:left="1456" w:right="1409" w:firstLine="450"/>
        <w:rPr>
          <w:sz w:val="24"/>
          <w:szCs w:val="24"/>
        </w:rPr>
      </w:pPr>
      <w:r>
        <w:rPr>
          <w:spacing w:val="-20"/>
          <w:sz w:val="24"/>
          <w:szCs w:val="24"/>
        </w:rPr>
        <w:t>管道安装前，管节应逐根测量、编号宜选用管径相差较小的管节组队对接。管节焊条质量</w:t>
      </w:r>
      <w:r>
        <w:rPr>
          <w:spacing w:val="-21"/>
          <w:sz w:val="24"/>
          <w:szCs w:val="24"/>
        </w:rPr>
        <w:t>应符合现行国家标准《碳钢焊条》、&lt;&lt;低合金焊条》的规定，焊条应干燥。</w:t>
      </w:r>
    </w:p>
    <w:p w14:paraId="49DC9272">
      <w:pPr>
        <w:pStyle w:val="2"/>
        <w:spacing w:line="308" w:lineRule="auto"/>
        <w:ind w:left="1456" w:right="1410" w:firstLine="450"/>
        <w:jc w:val="both"/>
        <w:rPr>
          <w:sz w:val="24"/>
          <w:szCs w:val="24"/>
        </w:rPr>
      </w:pPr>
      <w:r>
        <w:rPr>
          <w:spacing w:val="-20"/>
          <w:sz w:val="24"/>
          <w:szCs w:val="24"/>
        </w:rPr>
        <w:t>管节焊接前应修口、清根，管段端面的坡度角度、钝边、减息应符合规范要求，不得在对</w:t>
      </w:r>
      <w:r>
        <w:rPr>
          <w:spacing w:val="-21"/>
          <w:sz w:val="24"/>
          <w:szCs w:val="24"/>
        </w:rPr>
        <w:t>口间隙夹焊帮条或用加热法缩小间隙施焊。对口时应使内壁齐平，错口的允许偏差应为0.2倍</w:t>
      </w:r>
      <w:r>
        <w:rPr>
          <w:spacing w:val="-20"/>
          <w:sz w:val="24"/>
          <w:szCs w:val="24"/>
        </w:rPr>
        <w:t>壁厚，且不得大于2mm。对口时纵向焊缝应放在管道中心垂线上半圆的45D左右处；纵向焊缝应</w:t>
      </w:r>
      <w:r>
        <w:rPr>
          <w:spacing w:val="-19"/>
          <w:sz w:val="24"/>
          <w:szCs w:val="24"/>
        </w:rPr>
        <w:t>错开，错开间距不得小于30mm；直管管段两相邻环向焊缝的间距不应小于20</w:t>
      </w:r>
      <w:r>
        <w:rPr>
          <w:spacing w:val="-20"/>
          <w:sz w:val="24"/>
          <w:szCs w:val="24"/>
        </w:rPr>
        <w:t>0mm。管道任何位</w:t>
      </w:r>
      <w:r>
        <w:rPr>
          <w:spacing w:val="-21"/>
          <w:sz w:val="24"/>
          <w:szCs w:val="24"/>
        </w:rPr>
        <w:t>置都不得有十字型焊缝。</w:t>
      </w:r>
    </w:p>
    <w:p w14:paraId="523E9694">
      <w:pPr>
        <w:pStyle w:val="2"/>
        <w:spacing w:before="1" w:line="307" w:lineRule="auto"/>
        <w:ind w:left="1459" w:right="1409" w:firstLine="447"/>
        <w:rPr>
          <w:sz w:val="24"/>
          <w:szCs w:val="24"/>
        </w:rPr>
      </w:pPr>
      <w:r>
        <w:rPr>
          <w:spacing w:val="-20"/>
          <w:sz w:val="24"/>
          <w:szCs w:val="24"/>
        </w:rPr>
        <w:t>管道上开孔应符合规范要求，不得在干管的纵向、环向焊缝处开孔，不得开方孔，不得在</w:t>
      </w:r>
      <w:r>
        <w:rPr>
          <w:spacing w:val="-22"/>
          <w:sz w:val="24"/>
          <w:szCs w:val="24"/>
        </w:rPr>
        <w:t>短节或管件上开孔。本次施工采用双面焊。</w:t>
      </w:r>
    </w:p>
    <w:p w14:paraId="40F8B3A3">
      <w:pPr>
        <w:pStyle w:val="2"/>
        <w:spacing w:line="218" w:lineRule="auto"/>
        <w:ind w:left="1884"/>
        <w:rPr>
          <w:sz w:val="24"/>
          <w:szCs w:val="24"/>
        </w:rPr>
      </w:pPr>
      <w:r>
        <w:rPr>
          <w:spacing w:val="-18"/>
          <w:sz w:val="24"/>
          <w:szCs w:val="24"/>
        </w:rPr>
        <w:t>4、管道冲洗及水压试验</w:t>
      </w:r>
    </w:p>
    <w:p w14:paraId="57B357DE">
      <w:pPr>
        <w:pStyle w:val="2"/>
        <w:spacing w:before="114" w:line="308" w:lineRule="auto"/>
        <w:ind w:left="1453" w:right="1353" w:firstLine="442"/>
        <w:rPr>
          <w:sz w:val="24"/>
          <w:szCs w:val="24"/>
        </w:rPr>
      </w:pPr>
      <w:r>
        <w:rPr>
          <w:spacing w:val="-22"/>
          <w:sz w:val="24"/>
          <w:szCs w:val="24"/>
        </w:rPr>
        <w:t>分段管道水压试验：每段距离低于1000m，</w:t>
      </w:r>
      <w:r>
        <w:rPr>
          <w:spacing w:val="-23"/>
          <w:sz w:val="24"/>
          <w:szCs w:val="24"/>
        </w:rPr>
        <w:t>安装好的管道应认真检查安装质量，承插口连接</w:t>
      </w:r>
      <w:r>
        <w:rPr>
          <w:spacing w:val="-27"/>
          <w:sz w:val="24"/>
          <w:szCs w:val="24"/>
        </w:rPr>
        <w:t>质量、阀门安装质量，外观检查合格后方能进行水压试验，介质用水，管道的工作压力为0.5mpa，</w:t>
      </w:r>
      <w:r>
        <w:rPr>
          <w:spacing w:val="-18"/>
          <w:sz w:val="24"/>
          <w:szCs w:val="24"/>
        </w:rPr>
        <w:t>试验压力为1.0mpa，稳压5min，管道无渗漏，压力下降不超过0.02mpa，试验合格后，</w:t>
      </w:r>
      <w:r>
        <w:rPr>
          <w:spacing w:val="-19"/>
          <w:sz w:val="24"/>
          <w:szCs w:val="24"/>
        </w:rPr>
        <w:t>进行管</w:t>
      </w:r>
      <w:r>
        <w:rPr>
          <w:spacing w:val="-20"/>
          <w:sz w:val="24"/>
          <w:szCs w:val="24"/>
        </w:rPr>
        <w:t>道冲洗，同时做好水压试验及冲洗记录。如果受条件影响，不能一次试压，则采用法兰盲板加</w:t>
      </w:r>
      <w:r>
        <w:rPr>
          <w:spacing w:val="-21"/>
          <w:sz w:val="24"/>
          <w:szCs w:val="24"/>
        </w:rPr>
        <w:t>支撑、顶堵等安全措施，分段进行试压。</w:t>
      </w:r>
    </w:p>
    <w:p w14:paraId="65D44B12">
      <w:pPr>
        <w:pStyle w:val="2"/>
        <w:spacing w:before="1" w:line="215" w:lineRule="auto"/>
        <w:ind w:left="1912"/>
        <w:rPr>
          <w:sz w:val="24"/>
          <w:szCs w:val="24"/>
        </w:rPr>
      </w:pPr>
      <w:r>
        <w:rPr>
          <w:spacing w:val="-21"/>
          <w:sz w:val="24"/>
          <w:szCs w:val="24"/>
        </w:rPr>
        <w:t>阀门安装前都应进行水压试验，压力为工作压力1.5倍，试压合格后</w:t>
      </w:r>
      <w:r>
        <w:rPr>
          <w:spacing w:val="-22"/>
          <w:sz w:val="24"/>
          <w:szCs w:val="24"/>
        </w:rPr>
        <w:t>方能进行安装。</w:t>
      </w:r>
    </w:p>
    <w:p w14:paraId="7B661A85">
      <w:pPr>
        <w:pStyle w:val="2"/>
        <w:spacing w:before="121" w:line="307" w:lineRule="auto"/>
        <w:ind w:left="1459" w:right="1353" w:firstLine="447"/>
        <w:rPr>
          <w:sz w:val="24"/>
          <w:szCs w:val="24"/>
        </w:rPr>
      </w:pPr>
      <w:r>
        <w:rPr>
          <w:spacing w:val="-24"/>
          <w:sz w:val="24"/>
          <w:szCs w:val="24"/>
        </w:rPr>
        <w:t>管道冲洗：安装好的管道应采用自来水和干净水反复冲洗，直至管道内无杂物、水浊现象，</w:t>
      </w:r>
      <w:r>
        <w:rPr>
          <w:spacing w:val="-21"/>
          <w:sz w:val="24"/>
          <w:szCs w:val="24"/>
        </w:rPr>
        <w:t>冲洗干净后，流出的水质透明为合格。</w:t>
      </w:r>
    </w:p>
    <w:p w14:paraId="1CB4A569">
      <w:pPr>
        <w:pStyle w:val="2"/>
        <w:spacing w:before="1" w:line="218" w:lineRule="auto"/>
        <w:ind w:left="1890"/>
        <w:rPr>
          <w:sz w:val="24"/>
          <w:szCs w:val="24"/>
        </w:rPr>
      </w:pPr>
      <w:r>
        <w:rPr>
          <w:spacing w:val="-19"/>
          <w:sz w:val="24"/>
          <w:szCs w:val="24"/>
        </w:rPr>
        <w:t>5、支墩浇筑</w:t>
      </w:r>
    </w:p>
    <w:p w14:paraId="7F190040">
      <w:pPr>
        <w:pStyle w:val="2"/>
        <w:spacing w:before="115" w:line="308" w:lineRule="auto"/>
        <w:ind w:left="1461" w:right="1409" w:firstLine="432"/>
        <w:rPr>
          <w:sz w:val="24"/>
          <w:szCs w:val="24"/>
        </w:rPr>
      </w:pPr>
      <w:r>
        <w:rPr>
          <w:spacing w:val="-20"/>
          <w:sz w:val="24"/>
          <w:szCs w:val="24"/>
        </w:rPr>
        <w:t>所有弯头处按图集要求进行支墩施工。管道及管道附近的支墩和锚定结构应位置准确，锚定应牢固；支墩应在坚固的地基上修筑。当无原状土做后背墙时，应采取措施保证支墩在受力</w:t>
      </w:r>
      <w:r>
        <w:rPr>
          <w:spacing w:val="-21"/>
          <w:sz w:val="24"/>
          <w:szCs w:val="24"/>
        </w:rPr>
        <w:t>情况下，不致破坏管道接口。当采用砌筑支墩时</w:t>
      </w:r>
      <w:r>
        <w:rPr>
          <w:spacing w:val="-22"/>
          <w:sz w:val="24"/>
          <w:szCs w:val="24"/>
        </w:rPr>
        <w:t>，原状土与支墩之间应采用砂浆填塞。</w:t>
      </w:r>
    </w:p>
    <w:p w14:paraId="10B50137">
      <w:pPr>
        <w:pStyle w:val="2"/>
        <w:spacing w:before="1" w:line="306" w:lineRule="auto"/>
        <w:ind w:left="1458" w:right="1409" w:firstLine="448"/>
        <w:rPr>
          <w:sz w:val="24"/>
          <w:szCs w:val="24"/>
        </w:rPr>
      </w:pPr>
      <w:r>
        <w:rPr>
          <w:spacing w:val="-20"/>
          <w:sz w:val="24"/>
          <w:szCs w:val="24"/>
        </w:rPr>
        <w:t>管道支墩应在管道接口做完、管道位置固定后砌筑。管道安装过程中的临时固定支架，应</w:t>
      </w:r>
      <w:r>
        <w:rPr>
          <w:spacing w:val="-21"/>
          <w:sz w:val="24"/>
          <w:szCs w:val="24"/>
        </w:rPr>
        <w:t>在支墩的砌筑砂浆或混凝土达到规定强度后拆除。</w:t>
      </w:r>
    </w:p>
    <w:p w14:paraId="68083855">
      <w:pPr>
        <w:pStyle w:val="2"/>
        <w:spacing w:before="3" w:line="218" w:lineRule="auto"/>
        <w:ind w:left="1887"/>
        <w:rPr>
          <w:sz w:val="24"/>
          <w:szCs w:val="24"/>
        </w:rPr>
      </w:pPr>
      <w:r>
        <w:rPr>
          <w:spacing w:val="-18"/>
          <w:sz w:val="24"/>
          <w:szCs w:val="24"/>
        </w:rPr>
        <w:t>6、锈刷油</w:t>
      </w:r>
    </w:p>
    <w:p w14:paraId="327B0302">
      <w:pPr>
        <w:pStyle w:val="2"/>
        <w:spacing w:before="118" w:line="218" w:lineRule="auto"/>
        <w:ind w:left="1898"/>
        <w:rPr>
          <w:sz w:val="24"/>
          <w:szCs w:val="24"/>
        </w:rPr>
      </w:pPr>
      <w:r>
        <w:rPr>
          <w:spacing w:val="-21"/>
          <w:sz w:val="24"/>
          <w:szCs w:val="24"/>
        </w:rPr>
        <w:t>工艺流程：人工除锈→刷防锈底漆→喷刷防</w:t>
      </w:r>
      <w:r>
        <w:rPr>
          <w:spacing w:val="-22"/>
          <w:sz w:val="24"/>
          <w:szCs w:val="24"/>
        </w:rPr>
        <w:t>腐面层</w:t>
      </w:r>
    </w:p>
    <w:p w14:paraId="485EAC08">
      <w:pPr>
        <w:pStyle w:val="2"/>
        <w:spacing w:before="115" w:line="262" w:lineRule="auto"/>
        <w:ind w:left="1458" w:right="1409" w:firstLine="429"/>
        <w:rPr>
          <w:sz w:val="24"/>
          <w:szCs w:val="24"/>
        </w:rPr>
      </w:pPr>
      <w:r>
        <w:rPr>
          <w:spacing w:val="-23"/>
          <w:sz w:val="24"/>
          <w:szCs w:val="24"/>
        </w:rPr>
        <w:t>6.1管道、支架除锈，采用人工除锈，用钢丝刷、砂布除锈，露出金属光</w:t>
      </w:r>
      <w:r>
        <w:rPr>
          <w:spacing w:val="-24"/>
          <w:sz w:val="24"/>
          <w:szCs w:val="24"/>
        </w:rPr>
        <w:t>泽为合格，再用干</w:t>
      </w:r>
      <w:r>
        <w:rPr>
          <w:spacing w:val="-19"/>
          <w:sz w:val="24"/>
          <w:szCs w:val="24"/>
        </w:rPr>
        <w:t>净废布擦拭干净。</w:t>
      </w:r>
    </w:p>
    <w:p w14:paraId="70FEA4A1">
      <w:pPr>
        <w:pStyle w:val="2"/>
        <w:spacing w:before="120" w:line="217" w:lineRule="auto"/>
        <w:ind w:left="1887"/>
        <w:rPr>
          <w:sz w:val="24"/>
          <w:szCs w:val="24"/>
        </w:rPr>
      </w:pPr>
      <w:r>
        <w:rPr>
          <w:spacing w:val="-20"/>
          <w:sz w:val="24"/>
          <w:szCs w:val="24"/>
        </w:rPr>
        <w:t>6.2所有管道、支架涂底漆前，表面的灰尘、铁</w:t>
      </w:r>
      <w:r>
        <w:rPr>
          <w:spacing w:val="-21"/>
          <w:sz w:val="24"/>
          <w:szCs w:val="24"/>
        </w:rPr>
        <w:t>锈、焊渣、油污等必须清除干净。</w:t>
      </w:r>
    </w:p>
    <w:p w14:paraId="43C9EFA8">
      <w:pPr>
        <w:pStyle w:val="2"/>
        <w:spacing w:before="116" w:line="263" w:lineRule="auto"/>
        <w:ind w:left="1487" w:right="1411" w:firstLine="400"/>
        <w:rPr>
          <w:sz w:val="24"/>
          <w:szCs w:val="24"/>
        </w:rPr>
      </w:pPr>
      <w:r>
        <w:rPr>
          <w:spacing w:val="-23"/>
          <w:sz w:val="24"/>
          <w:szCs w:val="24"/>
        </w:rPr>
        <w:t>6.3管道刷油应按设计的颜色面漆进行涂刷，不能在雨天场地进行除</w:t>
      </w:r>
      <w:r>
        <w:rPr>
          <w:spacing w:val="-24"/>
          <w:sz w:val="24"/>
          <w:szCs w:val="24"/>
        </w:rPr>
        <w:t>锈刷油，在刷油漆过程</w:t>
      </w:r>
      <w:r>
        <w:rPr>
          <w:spacing w:val="-23"/>
          <w:sz w:val="24"/>
          <w:szCs w:val="24"/>
        </w:rPr>
        <w:t>中，尽量将附近场地清扫干净，以免灰尘污染。</w:t>
      </w:r>
    </w:p>
    <w:p w14:paraId="3B4732B4">
      <w:pPr>
        <w:pStyle w:val="2"/>
        <w:spacing w:before="118" w:line="215" w:lineRule="auto"/>
        <w:ind w:left="1887"/>
        <w:rPr>
          <w:sz w:val="24"/>
          <w:szCs w:val="24"/>
        </w:rPr>
      </w:pPr>
      <w:r>
        <w:rPr>
          <w:spacing w:val="-20"/>
          <w:sz w:val="24"/>
          <w:szCs w:val="24"/>
        </w:rPr>
        <w:t>6.4油漆必须是在有小保质期限内的合格产品。</w:t>
      </w:r>
    </w:p>
    <w:p w14:paraId="2542FA53">
      <w:pPr>
        <w:pStyle w:val="2"/>
        <w:spacing w:before="118" w:line="217" w:lineRule="auto"/>
        <w:ind w:left="1887"/>
        <w:rPr>
          <w:sz w:val="24"/>
          <w:szCs w:val="24"/>
        </w:rPr>
      </w:pPr>
      <w:r>
        <w:rPr>
          <w:spacing w:val="-20"/>
          <w:sz w:val="24"/>
          <w:szCs w:val="24"/>
        </w:rPr>
        <w:t>6.5颜色符合设计要求，色泽一致，无漏涂不污染管道，设备及</w:t>
      </w:r>
      <w:r>
        <w:rPr>
          <w:spacing w:val="-21"/>
          <w:sz w:val="24"/>
          <w:szCs w:val="24"/>
        </w:rPr>
        <w:t>支撑面。</w:t>
      </w:r>
    </w:p>
    <w:p w14:paraId="7876F559">
      <w:pPr>
        <w:spacing w:line="217" w:lineRule="auto"/>
        <w:rPr>
          <w:sz w:val="24"/>
          <w:szCs w:val="24"/>
        </w:rPr>
        <w:sectPr>
          <w:footerReference r:id="rId317" w:type="default"/>
          <w:pgSz w:w="11907" w:h="16839"/>
          <w:pgMar w:top="933" w:right="4" w:bottom="1038" w:left="0" w:header="478" w:footer="357" w:gutter="0"/>
          <w:pgBorders>
            <w:top w:val="none" w:sz="0" w:space="0"/>
            <w:left w:val="none" w:sz="0" w:space="0"/>
            <w:bottom w:val="none" w:sz="0" w:space="0"/>
            <w:right w:val="none" w:sz="0" w:space="0"/>
          </w:pgBorders>
          <w:cols w:space="720" w:num="1"/>
        </w:sectPr>
      </w:pPr>
    </w:p>
    <w:p w14:paraId="490B12E9">
      <w:pPr>
        <w:spacing w:line="271" w:lineRule="auto"/>
        <w:rPr>
          <w:rFonts w:ascii="Arial"/>
          <w:sz w:val="21"/>
        </w:rPr>
      </w:pPr>
    </w:p>
    <w:p w14:paraId="6073C8A5">
      <w:pPr>
        <w:pStyle w:val="2"/>
        <w:spacing w:before="78" w:line="216" w:lineRule="auto"/>
        <w:ind w:left="1887"/>
        <w:rPr>
          <w:sz w:val="24"/>
          <w:szCs w:val="24"/>
        </w:rPr>
      </w:pPr>
      <w:r>
        <w:rPr>
          <w:spacing w:val="-15"/>
          <w:sz w:val="24"/>
          <w:szCs w:val="24"/>
        </w:rPr>
        <w:t>6.6检查井砌筑</w:t>
      </w:r>
    </w:p>
    <w:p w14:paraId="66947DDF">
      <w:pPr>
        <w:pStyle w:val="2"/>
        <w:spacing w:before="119" w:line="220" w:lineRule="auto"/>
        <w:ind w:left="1878"/>
        <w:rPr>
          <w:sz w:val="24"/>
          <w:szCs w:val="24"/>
        </w:rPr>
      </w:pPr>
      <w:r>
        <w:rPr>
          <w:spacing w:val="-17"/>
          <w:sz w:val="24"/>
          <w:szCs w:val="24"/>
        </w:rPr>
        <w:t>A、井室砌筑</w:t>
      </w:r>
    </w:p>
    <w:p w14:paraId="3BEABFB9">
      <w:pPr>
        <w:pStyle w:val="2"/>
        <w:spacing w:before="114" w:line="278" w:lineRule="auto"/>
        <w:ind w:left="1456" w:right="1411" w:firstLine="447"/>
        <w:rPr>
          <w:sz w:val="24"/>
          <w:szCs w:val="24"/>
        </w:rPr>
      </w:pPr>
      <w:r>
        <w:rPr>
          <w:spacing w:val="-22"/>
          <w:sz w:val="24"/>
          <w:szCs w:val="24"/>
        </w:rPr>
        <w:t>1、井室一般用机砖砌筑在整体水泥混凝土基础上，不应</w:t>
      </w:r>
      <w:r>
        <w:rPr>
          <w:spacing w:val="-23"/>
          <w:sz w:val="24"/>
          <w:szCs w:val="24"/>
        </w:rPr>
        <w:t>利用管道平基，再帮宽的办法做井</w:t>
      </w:r>
      <w:r>
        <w:rPr>
          <w:spacing w:val="-20"/>
          <w:sz w:val="24"/>
          <w:szCs w:val="24"/>
        </w:rPr>
        <w:t>基。应在挖槽时，就计算好检查井的准确位置，浇筑管道混凝土平基时，应将检查井井基宽度</w:t>
      </w:r>
      <w:r>
        <w:rPr>
          <w:spacing w:val="-17"/>
          <w:sz w:val="24"/>
          <w:szCs w:val="24"/>
        </w:rPr>
        <w:t>一次浇够。</w:t>
      </w:r>
    </w:p>
    <w:p w14:paraId="230788B9">
      <w:pPr>
        <w:pStyle w:val="2"/>
        <w:spacing w:before="115" w:line="262" w:lineRule="auto"/>
        <w:ind w:left="1457" w:right="1414" w:firstLine="431"/>
        <w:rPr>
          <w:sz w:val="24"/>
          <w:szCs w:val="24"/>
        </w:rPr>
      </w:pPr>
      <w:r>
        <w:rPr>
          <w:spacing w:val="-22"/>
          <w:sz w:val="24"/>
          <w:szCs w:val="24"/>
        </w:rPr>
        <w:t>2、井室内的流槽砌砖，应交错插入井墙，使井墙与流槽形成整体。不应先砌井墙，然</w:t>
      </w:r>
      <w:r>
        <w:rPr>
          <w:spacing w:val="-23"/>
          <w:sz w:val="24"/>
          <w:szCs w:val="24"/>
        </w:rPr>
        <w:t>后再</w:t>
      </w:r>
      <w:r>
        <w:rPr>
          <w:spacing w:val="-21"/>
          <w:sz w:val="24"/>
          <w:szCs w:val="24"/>
        </w:rPr>
        <w:t>堆砌流槽，造成流槽与井墙分离。</w:t>
      </w:r>
    </w:p>
    <w:p w14:paraId="52DCBCBA">
      <w:pPr>
        <w:pStyle w:val="2"/>
        <w:spacing w:before="118" w:line="278" w:lineRule="auto"/>
        <w:ind w:left="1455" w:right="1412" w:firstLine="434"/>
        <w:rPr>
          <w:sz w:val="24"/>
          <w:szCs w:val="24"/>
        </w:rPr>
      </w:pPr>
      <w:r>
        <w:rPr>
          <w:spacing w:val="-22"/>
          <w:sz w:val="24"/>
          <w:szCs w:val="24"/>
        </w:rPr>
        <w:t>3、流槽应砌（砖）、抹（面）成与上下游管径相同的半圆弧形，不应无流槽，也不应</w:t>
      </w:r>
      <w:r>
        <w:rPr>
          <w:spacing w:val="-23"/>
          <w:sz w:val="24"/>
          <w:szCs w:val="24"/>
        </w:rPr>
        <w:t>砌成</w:t>
      </w:r>
      <w:r>
        <w:rPr>
          <w:spacing w:val="-20"/>
          <w:sz w:val="24"/>
          <w:szCs w:val="24"/>
        </w:rPr>
        <w:t>梯形或矩形。同时，流槽过水断面不应小于上游和下游管径的过水断面。井底坡度和高程应符</w:t>
      </w:r>
      <w:r>
        <w:rPr>
          <w:spacing w:val="-18"/>
          <w:sz w:val="24"/>
          <w:szCs w:val="24"/>
        </w:rPr>
        <w:t>合设计要求。</w:t>
      </w:r>
    </w:p>
    <w:p w14:paraId="09905C19">
      <w:pPr>
        <w:pStyle w:val="2"/>
        <w:spacing w:before="117" w:line="277" w:lineRule="auto"/>
        <w:ind w:left="1456" w:right="1351" w:firstLine="428"/>
        <w:rPr>
          <w:sz w:val="24"/>
          <w:szCs w:val="24"/>
        </w:rPr>
      </w:pPr>
      <w:r>
        <w:rPr>
          <w:spacing w:val="-22"/>
          <w:sz w:val="24"/>
          <w:szCs w:val="24"/>
        </w:rPr>
        <w:t>4、圆井的砌筑，应掌握井墙竖直度和圆顺度；掌握井室几何尺寸不超质量标准；砌筑砂浆</w:t>
      </w:r>
      <w:r>
        <w:rPr>
          <w:spacing w:val="-23"/>
          <w:sz w:val="24"/>
          <w:szCs w:val="24"/>
        </w:rPr>
        <w:t>应饱满（包括竖缝</w:t>
      </w:r>
      <w:r>
        <w:rPr>
          <w:spacing w:val="-27"/>
          <w:sz w:val="24"/>
          <w:szCs w:val="24"/>
        </w:rPr>
        <w:t>），</w:t>
      </w:r>
      <w:r>
        <w:rPr>
          <w:spacing w:val="-23"/>
          <w:sz w:val="24"/>
          <w:szCs w:val="24"/>
        </w:rPr>
        <w:t>特别是污水管道的检查井（包括雨、污合流检查井</w:t>
      </w:r>
      <w:r>
        <w:rPr>
          <w:spacing w:val="-27"/>
          <w:sz w:val="24"/>
          <w:szCs w:val="24"/>
        </w:rPr>
        <w:t>），</w:t>
      </w:r>
      <w:r>
        <w:rPr>
          <w:spacing w:val="-23"/>
          <w:sz w:val="24"/>
          <w:szCs w:val="24"/>
        </w:rPr>
        <w:t>更应使</w:t>
      </w:r>
      <w:r>
        <w:rPr>
          <w:spacing w:val="-24"/>
          <w:sz w:val="24"/>
          <w:szCs w:val="24"/>
        </w:rPr>
        <w:t>砌缝饱满，</w:t>
      </w:r>
      <w:r>
        <w:rPr>
          <w:spacing w:val="-21"/>
          <w:sz w:val="24"/>
          <w:szCs w:val="24"/>
        </w:rPr>
        <w:t>防止井壁渗水，保证带井闭水成功。</w:t>
      </w:r>
    </w:p>
    <w:p w14:paraId="10267F65">
      <w:pPr>
        <w:pStyle w:val="2"/>
        <w:spacing w:before="119" w:line="262" w:lineRule="auto"/>
        <w:ind w:left="1455" w:right="1411" w:firstLine="434"/>
        <w:rPr>
          <w:sz w:val="24"/>
          <w:szCs w:val="24"/>
        </w:rPr>
      </w:pPr>
      <w:r>
        <w:rPr>
          <w:spacing w:val="-22"/>
          <w:sz w:val="24"/>
          <w:szCs w:val="24"/>
        </w:rPr>
        <w:t>5、水泥砂浆抹面要掌握厚度、均匀、平整、密实。抹完后要封闭井口，以保持井室湿</w:t>
      </w:r>
      <w:r>
        <w:rPr>
          <w:spacing w:val="-23"/>
          <w:sz w:val="24"/>
          <w:szCs w:val="24"/>
        </w:rPr>
        <w:t>润养</w:t>
      </w:r>
      <w:r>
        <w:rPr>
          <w:spacing w:val="-20"/>
          <w:sz w:val="24"/>
          <w:szCs w:val="24"/>
        </w:rPr>
        <w:t>护，不使抹面造成裂缝、空鼓。</w:t>
      </w:r>
    </w:p>
    <w:p w14:paraId="0B61D56B">
      <w:pPr>
        <w:pStyle w:val="2"/>
        <w:spacing w:before="119" w:line="219" w:lineRule="auto"/>
        <w:ind w:left="1880"/>
        <w:rPr>
          <w:sz w:val="24"/>
          <w:szCs w:val="24"/>
        </w:rPr>
      </w:pPr>
      <w:r>
        <w:rPr>
          <w:spacing w:val="-16"/>
          <w:sz w:val="24"/>
          <w:szCs w:val="24"/>
        </w:rPr>
        <w:t>B、井室收口砌筑</w:t>
      </w:r>
    </w:p>
    <w:p w14:paraId="464E991B">
      <w:pPr>
        <w:pStyle w:val="2"/>
        <w:spacing w:before="115" w:line="262" w:lineRule="auto"/>
        <w:ind w:left="1464" w:right="1411" w:firstLine="438"/>
        <w:rPr>
          <w:sz w:val="24"/>
          <w:szCs w:val="24"/>
        </w:rPr>
      </w:pPr>
      <w:r>
        <w:rPr>
          <w:spacing w:val="-21"/>
          <w:sz w:val="24"/>
          <w:szCs w:val="24"/>
        </w:rPr>
        <w:t>1、检查井设计规定：收口最大收进尺寸不超过50mm，为了保</w:t>
      </w:r>
      <w:r>
        <w:rPr>
          <w:spacing w:val="-22"/>
          <w:sz w:val="24"/>
          <w:szCs w:val="24"/>
        </w:rPr>
        <w:t>证不超过这个数值，一般宜按</w:t>
      </w:r>
      <w:r>
        <w:rPr>
          <w:spacing w:val="-17"/>
          <w:sz w:val="24"/>
          <w:szCs w:val="24"/>
        </w:rPr>
        <w:t>每层收进40mm掌握，较容易保证。</w:t>
      </w:r>
    </w:p>
    <w:p w14:paraId="0593CE61">
      <w:pPr>
        <w:pStyle w:val="2"/>
        <w:spacing w:before="120" w:line="277" w:lineRule="auto"/>
        <w:ind w:left="1458" w:right="1412" w:firstLine="430"/>
        <w:rPr>
          <w:sz w:val="24"/>
          <w:szCs w:val="24"/>
        </w:rPr>
      </w:pPr>
      <w:r>
        <w:rPr>
          <w:spacing w:val="-22"/>
          <w:sz w:val="24"/>
          <w:szCs w:val="24"/>
        </w:rPr>
        <w:t>2、如果管道浅，检查井必然性也浅，当井深尺寸不能满足收口高度，或满足了收口高度以</w:t>
      </w:r>
      <w:r>
        <w:rPr>
          <w:spacing w:val="-20"/>
          <w:sz w:val="24"/>
          <w:szCs w:val="24"/>
        </w:rPr>
        <w:t>后，井室缩小到难以使用时，可以采用四面收口，减少一半收口高度，来加大井室的办法。至</w:t>
      </w:r>
      <w:r>
        <w:rPr>
          <w:spacing w:val="-21"/>
          <w:sz w:val="24"/>
          <w:szCs w:val="24"/>
        </w:rPr>
        <w:t>于浅到什么程度可采用四面收口，没有统一规定，可根据当</w:t>
      </w:r>
      <w:r>
        <w:rPr>
          <w:spacing w:val="-22"/>
          <w:sz w:val="24"/>
          <w:szCs w:val="24"/>
        </w:rPr>
        <w:t>地情况掌握。</w:t>
      </w:r>
    </w:p>
    <w:p w14:paraId="0E71312E">
      <w:pPr>
        <w:pStyle w:val="2"/>
        <w:spacing w:before="121" w:line="262" w:lineRule="auto"/>
        <w:ind w:left="1460" w:right="1413" w:firstLine="430"/>
        <w:rPr>
          <w:sz w:val="24"/>
          <w:szCs w:val="24"/>
        </w:rPr>
      </w:pPr>
      <w:r>
        <w:rPr>
          <w:spacing w:val="-22"/>
          <w:sz w:val="24"/>
          <w:szCs w:val="24"/>
        </w:rPr>
        <w:t>3、收口时，每收进一层，变化一个直径，为了保证每层直径准确，每一块砖收进</w:t>
      </w:r>
      <w:r>
        <w:rPr>
          <w:spacing w:val="-23"/>
          <w:sz w:val="24"/>
          <w:szCs w:val="24"/>
        </w:rPr>
        <w:t>尺寸要均</w:t>
      </w:r>
      <w:r>
        <w:rPr>
          <w:spacing w:val="-22"/>
          <w:sz w:val="24"/>
          <w:szCs w:val="24"/>
        </w:rPr>
        <w:t>匀，每层缩小后的直径圆都要保持圆润。</w:t>
      </w:r>
    </w:p>
    <w:p w14:paraId="2BC3A291">
      <w:pPr>
        <w:pStyle w:val="2"/>
        <w:spacing w:before="117" w:line="285" w:lineRule="auto"/>
        <w:ind w:left="1455" w:right="1414" w:firstLine="429"/>
        <w:rPr>
          <w:sz w:val="24"/>
          <w:szCs w:val="24"/>
        </w:rPr>
      </w:pPr>
      <w:r>
        <w:rPr>
          <w:spacing w:val="-21"/>
          <w:sz w:val="24"/>
          <w:szCs w:val="24"/>
        </w:rPr>
        <w:t>4、收口部分容易出现竖向通缝或鱼鳞缝（错缝尺寸小于1/4块丁</w:t>
      </w:r>
      <w:r>
        <w:rPr>
          <w:spacing w:val="-22"/>
          <w:sz w:val="24"/>
          <w:szCs w:val="24"/>
        </w:rPr>
        <w:t>砖</w:t>
      </w:r>
      <w:r>
        <w:rPr>
          <w:spacing w:val="-26"/>
          <w:sz w:val="24"/>
          <w:szCs w:val="24"/>
        </w:rPr>
        <w:t>），</w:t>
      </w:r>
      <w:r>
        <w:rPr>
          <w:spacing w:val="-22"/>
          <w:sz w:val="24"/>
          <w:szCs w:val="24"/>
        </w:rPr>
        <w:t>应打制六分砖块，</w:t>
      </w:r>
      <w:r>
        <w:rPr>
          <w:spacing w:val="-20"/>
          <w:sz w:val="24"/>
          <w:szCs w:val="24"/>
        </w:rPr>
        <w:t>以满足错缝要求，不使出现通缝或鱼鳞缝。收口收进部分的竖缝，为防止形成空缝，应在砌砖时在砖的接砌一侧面挑上灰浆，将竖缝推挤严密。勾缝时再进一步填严抹平，保证收口部分的砖层能结合成整体受力。</w:t>
      </w:r>
    </w:p>
    <w:p w14:paraId="01661986">
      <w:pPr>
        <w:pStyle w:val="2"/>
        <w:spacing w:before="118" w:line="218" w:lineRule="auto"/>
        <w:ind w:left="1883"/>
        <w:rPr>
          <w:sz w:val="24"/>
          <w:szCs w:val="24"/>
        </w:rPr>
      </w:pPr>
      <w:r>
        <w:rPr>
          <w:spacing w:val="-17"/>
          <w:sz w:val="24"/>
          <w:szCs w:val="24"/>
        </w:rPr>
        <w:t>C、井筒砌筑</w:t>
      </w:r>
    </w:p>
    <w:p w14:paraId="79231EBA">
      <w:pPr>
        <w:pStyle w:val="2"/>
        <w:spacing w:before="116" w:line="308" w:lineRule="auto"/>
        <w:ind w:left="1455" w:right="1353" w:firstLine="440"/>
        <w:rPr>
          <w:sz w:val="24"/>
          <w:szCs w:val="24"/>
        </w:rPr>
      </w:pPr>
      <w:r>
        <w:rPr>
          <w:spacing w:val="-20"/>
          <w:sz w:val="24"/>
          <w:szCs w:val="24"/>
        </w:rPr>
        <w:t>井筒的功能是管理、维护者上下井的通道，是埋在道路路面结构层里的构筑物，是检查排水管渠工程质量时首先看到的部分。所以检查井井筒砌筑质量应该要求更好一些。检查井筒多</w:t>
      </w:r>
      <w:r>
        <w:rPr>
          <w:spacing w:val="-23"/>
          <w:sz w:val="24"/>
          <w:szCs w:val="24"/>
        </w:rPr>
        <w:t>为清水墙，因此应该要求所砌筑的砖墙外露</w:t>
      </w:r>
      <w:r>
        <w:rPr>
          <w:spacing w:val="-24"/>
          <w:sz w:val="24"/>
          <w:szCs w:val="24"/>
        </w:rPr>
        <w:t>面完整、无缺损、色泽一致、无花斑；砂浆应饱满，</w:t>
      </w:r>
      <w:r>
        <w:rPr>
          <w:spacing w:val="-20"/>
          <w:sz w:val="24"/>
          <w:szCs w:val="24"/>
        </w:rPr>
        <w:t>无空缝；砖体牢固，无松动；砌筑圆润，无折线；墙面平整，无凹凸。注意随砌随搂缝，勾缝</w:t>
      </w:r>
      <w:r>
        <w:rPr>
          <w:spacing w:val="-22"/>
          <w:sz w:val="24"/>
          <w:szCs w:val="24"/>
        </w:rPr>
        <w:t>时深浅要一致（凹入墙面3～4mm）平整、密实、</w:t>
      </w:r>
      <w:r>
        <w:rPr>
          <w:spacing w:val="-23"/>
          <w:sz w:val="24"/>
          <w:szCs w:val="24"/>
        </w:rPr>
        <w:t>光洁。污水检查井如处在有丰富地表水的地带，</w:t>
      </w:r>
      <w:r>
        <w:rPr>
          <w:spacing w:val="-18"/>
          <w:sz w:val="24"/>
          <w:szCs w:val="24"/>
        </w:rPr>
        <w:t>应加做外抹面。</w:t>
      </w:r>
    </w:p>
    <w:p w14:paraId="61DBC615">
      <w:pPr>
        <w:pStyle w:val="2"/>
        <w:spacing w:before="1" w:line="215" w:lineRule="auto"/>
        <w:ind w:left="1903"/>
        <w:rPr>
          <w:sz w:val="24"/>
          <w:szCs w:val="24"/>
        </w:rPr>
      </w:pPr>
      <w:r>
        <w:rPr>
          <w:spacing w:val="-21"/>
          <w:sz w:val="24"/>
          <w:szCs w:val="24"/>
        </w:rPr>
        <w:t>1、排水管道应进行闭水试验，检查其密闭性情况。</w:t>
      </w:r>
    </w:p>
    <w:p w14:paraId="275958DE">
      <w:pPr>
        <w:pStyle w:val="2"/>
        <w:spacing w:before="117" w:line="217" w:lineRule="auto"/>
        <w:ind w:left="1893"/>
        <w:rPr>
          <w:sz w:val="24"/>
          <w:szCs w:val="24"/>
        </w:rPr>
      </w:pPr>
      <w:r>
        <w:rPr>
          <w:spacing w:val="-21"/>
          <w:sz w:val="24"/>
          <w:szCs w:val="24"/>
        </w:rPr>
        <w:t>（1）管线施工完毕后，必须按规定进行闭水试验。闭水试验采用从上游往下游分段进行。</w:t>
      </w:r>
    </w:p>
    <w:p w14:paraId="71219B19">
      <w:pPr>
        <w:spacing w:line="217" w:lineRule="auto"/>
        <w:rPr>
          <w:sz w:val="24"/>
          <w:szCs w:val="24"/>
        </w:rPr>
        <w:sectPr>
          <w:footerReference r:id="rId318" w:type="default"/>
          <w:pgSz w:w="11907" w:h="16839"/>
          <w:pgMar w:top="933" w:right="4" w:bottom="1038" w:left="0" w:header="478" w:footer="357" w:gutter="0"/>
          <w:pgBorders>
            <w:top w:val="none" w:sz="0" w:space="0"/>
            <w:left w:val="none" w:sz="0" w:space="0"/>
            <w:bottom w:val="none" w:sz="0" w:space="0"/>
            <w:right w:val="none" w:sz="0" w:space="0"/>
          </w:pgBorders>
          <w:cols w:space="720" w:num="1"/>
        </w:sectPr>
      </w:pPr>
    </w:p>
    <w:p w14:paraId="17A19E32">
      <w:pPr>
        <w:spacing w:line="271" w:lineRule="auto"/>
        <w:rPr>
          <w:rFonts w:ascii="Arial"/>
          <w:sz w:val="21"/>
        </w:rPr>
      </w:pPr>
    </w:p>
    <w:p w14:paraId="1D756F23">
      <w:pPr>
        <w:pStyle w:val="2"/>
        <w:spacing w:before="78" w:line="308" w:lineRule="auto"/>
        <w:ind w:left="1456" w:right="1411" w:firstLine="8"/>
        <w:jc w:val="both"/>
        <w:rPr>
          <w:sz w:val="24"/>
          <w:szCs w:val="24"/>
        </w:rPr>
      </w:pPr>
      <w:r>
        <w:rPr>
          <w:spacing w:val="-18"/>
          <w:sz w:val="24"/>
          <w:szCs w:val="24"/>
        </w:rPr>
        <w:t>每段闭水试验长度不宜大于500米。闭水试验的水位应为试验段上游管内顶以上2米，采用带</w:t>
      </w:r>
      <w:r>
        <w:rPr>
          <w:spacing w:val="-20"/>
          <w:sz w:val="24"/>
          <w:szCs w:val="24"/>
        </w:rPr>
        <w:t>井试验的方式。闭水试验前，管道及检查井结构应检验合格，将各支线管口堵严保证不漏水，</w:t>
      </w:r>
      <w:r>
        <w:rPr>
          <w:spacing w:val="-22"/>
          <w:sz w:val="24"/>
          <w:szCs w:val="24"/>
        </w:rPr>
        <w:t>每段上游管口砌砖抹灰封严（封堵应经过承压计算）。实验程序：注水浸泡</w:t>
      </w:r>
      <w:r>
        <w:rPr>
          <w:spacing w:val="-23"/>
          <w:sz w:val="24"/>
          <w:szCs w:val="24"/>
        </w:rPr>
        <w:t>1～2天→闭水试验</w:t>
      </w:r>
      <w:r>
        <w:rPr>
          <w:spacing w:val="-19"/>
          <w:sz w:val="24"/>
          <w:szCs w:val="24"/>
        </w:rPr>
        <w:t>（不少于30分钟）→计算试验渗水量→检</w:t>
      </w:r>
      <w:r>
        <w:rPr>
          <w:spacing w:val="-20"/>
          <w:sz w:val="24"/>
          <w:szCs w:val="24"/>
        </w:rPr>
        <w:t>验合格→管线勾头。</w:t>
      </w:r>
    </w:p>
    <w:p w14:paraId="17DB5C13">
      <w:pPr>
        <w:pStyle w:val="2"/>
        <w:spacing w:line="307" w:lineRule="auto"/>
        <w:ind w:left="1458" w:right="1409" w:firstLine="434"/>
        <w:rPr>
          <w:sz w:val="24"/>
          <w:szCs w:val="24"/>
        </w:rPr>
      </w:pPr>
      <w:r>
        <w:rPr>
          <w:spacing w:val="-22"/>
          <w:sz w:val="24"/>
          <w:szCs w:val="24"/>
        </w:rPr>
        <w:t>（2）根据管线长短可采用分段闭水，分段回填。如闭水试验不符合要求，必须对渗水</w:t>
      </w:r>
      <w:r>
        <w:rPr>
          <w:spacing w:val="-23"/>
          <w:sz w:val="24"/>
          <w:szCs w:val="24"/>
        </w:rPr>
        <w:t>部位</w:t>
      </w:r>
      <w:r>
        <w:rPr>
          <w:spacing w:val="-21"/>
          <w:sz w:val="24"/>
          <w:szCs w:val="24"/>
        </w:rPr>
        <w:t>进行修补处理，合格后方可回填沟槽。</w:t>
      </w:r>
    </w:p>
    <w:p w14:paraId="65200413">
      <w:pPr>
        <w:pStyle w:val="2"/>
        <w:spacing w:line="216" w:lineRule="auto"/>
        <w:ind w:left="1888"/>
        <w:rPr>
          <w:sz w:val="24"/>
          <w:szCs w:val="24"/>
        </w:rPr>
      </w:pPr>
      <w:r>
        <w:rPr>
          <w:spacing w:val="-18"/>
          <w:sz w:val="24"/>
          <w:szCs w:val="24"/>
        </w:rPr>
        <w:t>2.1.3电缆排管迁移恢复</w:t>
      </w:r>
    </w:p>
    <w:p w14:paraId="26C2B224">
      <w:pPr>
        <w:pStyle w:val="2"/>
        <w:spacing w:before="119" w:line="219" w:lineRule="auto"/>
        <w:ind w:left="1903"/>
        <w:rPr>
          <w:sz w:val="24"/>
          <w:szCs w:val="24"/>
        </w:rPr>
      </w:pPr>
      <w:r>
        <w:rPr>
          <w:spacing w:val="-21"/>
          <w:sz w:val="24"/>
          <w:szCs w:val="24"/>
        </w:rPr>
        <w:t>1、挖沟及埋管</w:t>
      </w:r>
    </w:p>
    <w:p w14:paraId="43FBBDE3">
      <w:pPr>
        <w:pStyle w:val="2"/>
        <w:spacing w:before="114" w:line="217" w:lineRule="auto"/>
        <w:ind w:left="1893"/>
        <w:rPr>
          <w:sz w:val="24"/>
          <w:szCs w:val="24"/>
        </w:rPr>
      </w:pPr>
      <w:r>
        <w:rPr>
          <w:spacing w:val="-21"/>
          <w:sz w:val="24"/>
          <w:szCs w:val="24"/>
        </w:rPr>
        <w:t>按照施工图纸开挖电缆管预埋沟，预埋相应的电缆管。</w:t>
      </w:r>
    </w:p>
    <w:p w14:paraId="7001C726">
      <w:pPr>
        <w:pStyle w:val="2"/>
        <w:spacing w:before="118" w:line="219" w:lineRule="auto"/>
        <w:ind w:left="1893"/>
        <w:rPr>
          <w:sz w:val="24"/>
          <w:szCs w:val="24"/>
        </w:rPr>
      </w:pPr>
      <w:r>
        <w:rPr>
          <w:spacing w:val="-17"/>
          <w:sz w:val="24"/>
          <w:szCs w:val="24"/>
        </w:rPr>
        <w:t>（1）管道铺设</w:t>
      </w:r>
    </w:p>
    <w:p w14:paraId="3E6B2232">
      <w:pPr>
        <w:pStyle w:val="2"/>
        <w:spacing w:before="117" w:line="217" w:lineRule="auto"/>
        <w:ind w:left="1885"/>
        <w:rPr>
          <w:sz w:val="24"/>
          <w:szCs w:val="24"/>
        </w:rPr>
      </w:pPr>
      <w:r>
        <w:rPr>
          <w:spacing w:val="-12"/>
          <w:sz w:val="24"/>
          <w:szCs w:val="24"/>
        </w:rPr>
        <w:t>①沟槽</w:t>
      </w:r>
    </w:p>
    <w:p w14:paraId="452272DC">
      <w:pPr>
        <w:pStyle w:val="2"/>
        <w:spacing w:before="116" w:line="308" w:lineRule="auto"/>
        <w:ind w:left="1455" w:right="1410" w:firstLine="439"/>
        <w:rPr>
          <w:sz w:val="24"/>
          <w:szCs w:val="24"/>
        </w:rPr>
      </w:pPr>
      <w:r>
        <w:rPr>
          <w:spacing w:val="-20"/>
          <w:sz w:val="24"/>
          <w:szCs w:val="24"/>
        </w:rPr>
        <w:t>沟槽槽底净宽度，可按各地区的具体情况确定，宜按管外径加0.6m采用</w:t>
      </w:r>
      <w:r>
        <w:rPr>
          <w:spacing w:val="-21"/>
          <w:sz w:val="24"/>
          <w:szCs w:val="24"/>
        </w:rPr>
        <w:t>。开挖沟槽，应严</w:t>
      </w:r>
      <w:r>
        <w:rPr>
          <w:spacing w:val="-20"/>
          <w:sz w:val="24"/>
          <w:szCs w:val="24"/>
        </w:rPr>
        <w:t>格控制基底高程，不得扰动基底原状土层。基底设计标高以上0.2～0.3m的原状土，应在铺管</w:t>
      </w:r>
      <w:r>
        <w:rPr>
          <w:spacing w:val="-21"/>
          <w:sz w:val="24"/>
          <w:szCs w:val="24"/>
        </w:rPr>
        <w:t>前人工清理至设计标高。如遇局部超挖或发生扰动，不得回填泥土，可换填最大粒径10～15mm</w:t>
      </w:r>
      <w:r>
        <w:rPr>
          <w:spacing w:val="-20"/>
          <w:sz w:val="24"/>
          <w:szCs w:val="24"/>
        </w:rPr>
        <w:t>的天然级配砂石料或最大粒径小于40mm的</w:t>
      </w:r>
      <w:r>
        <w:rPr>
          <w:spacing w:val="-21"/>
          <w:sz w:val="24"/>
          <w:szCs w:val="24"/>
        </w:rPr>
        <w:t>碎石，并整平夯实。槽底如有坚硬物体必须清除，用砂石回填处理。</w:t>
      </w:r>
    </w:p>
    <w:p w14:paraId="10032556">
      <w:pPr>
        <w:pStyle w:val="2"/>
        <w:spacing w:before="1" w:line="307" w:lineRule="auto"/>
        <w:ind w:left="1455" w:right="1409" w:firstLine="437"/>
        <w:jc w:val="both"/>
        <w:rPr>
          <w:sz w:val="24"/>
          <w:szCs w:val="24"/>
        </w:rPr>
      </w:pPr>
      <w:r>
        <w:rPr>
          <w:spacing w:val="-20"/>
          <w:sz w:val="24"/>
          <w:szCs w:val="24"/>
        </w:rPr>
        <w:t>雨季施工时，应尽可能缩短开槽长度，且成槽快、回填快，并采取防泡槽措施。一旦发生泡槽，应将受泡的软化土层清除，换填砂石料或中粗砂。人工开槽时，宜将槽上部的混杂土与</w:t>
      </w:r>
      <w:r>
        <w:rPr>
          <w:spacing w:val="-21"/>
          <w:sz w:val="24"/>
          <w:szCs w:val="24"/>
        </w:rPr>
        <w:t>槽下部可用于沟槽回填的良质土分开堆放，且堆土不得影响</w:t>
      </w:r>
      <w:r>
        <w:rPr>
          <w:spacing w:val="-22"/>
          <w:sz w:val="24"/>
          <w:szCs w:val="24"/>
        </w:rPr>
        <w:t>沟槽的稳定性。</w:t>
      </w:r>
    </w:p>
    <w:p w14:paraId="0045BD61">
      <w:pPr>
        <w:pStyle w:val="2"/>
        <w:spacing w:before="2" w:line="217" w:lineRule="auto"/>
        <w:ind w:left="1884"/>
        <w:rPr>
          <w:sz w:val="24"/>
          <w:szCs w:val="24"/>
        </w:rPr>
      </w:pPr>
      <w:r>
        <w:rPr>
          <w:spacing w:val="-12"/>
          <w:sz w:val="24"/>
          <w:szCs w:val="24"/>
        </w:rPr>
        <w:t>②基础</w:t>
      </w:r>
    </w:p>
    <w:p w14:paraId="34368884">
      <w:pPr>
        <w:pStyle w:val="2"/>
        <w:spacing w:before="115" w:line="308" w:lineRule="auto"/>
        <w:ind w:left="1455" w:right="1411" w:firstLine="450"/>
        <w:rPr>
          <w:sz w:val="24"/>
          <w:szCs w:val="24"/>
        </w:rPr>
      </w:pPr>
      <w:r>
        <w:rPr>
          <w:spacing w:val="-21"/>
          <w:sz w:val="24"/>
          <w:szCs w:val="24"/>
        </w:rPr>
        <w:t>管道基础必须采用砂砾垫层基础。对一般的土质地段，基底可铺一层厚度H0为0.1m的粗</w:t>
      </w:r>
      <w:r>
        <w:rPr>
          <w:spacing w:val="-20"/>
          <w:sz w:val="24"/>
          <w:szCs w:val="24"/>
        </w:rPr>
        <w:t>砂基础；对软土地基，且槽底处在地下水位以下时，宜铺垫厚度不小于0</w:t>
      </w:r>
      <w:r>
        <w:rPr>
          <w:spacing w:val="-21"/>
          <w:sz w:val="24"/>
          <w:szCs w:val="24"/>
        </w:rPr>
        <w:t>.20m的砂砾基础，亦</w:t>
      </w:r>
      <w:r>
        <w:rPr>
          <w:spacing w:val="-17"/>
          <w:sz w:val="24"/>
          <w:szCs w:val="24"/>
        </w:rPr>
        <w:t>可分两层铺设，下层用粒径为5～40mm的碎石，上层铺粗砂，厚度不得小于0.05m。</w:t>
      </w:r>
    </w:p>
    <w:p w14:paraId="0BFC8AC9">
      <w:pPr>
        <w:pStyle w:val="2"/>
        <w:spacing w:line="217" w:lineRule="auto"/>
        <w:ind w:left="1906"/>
        <w:rPr>
          <w:sz w:val="24"/>
          <w:szCs w:val="24"/>
        </w:rPr>
      </w:pPr>
      <w:r>
        <w:rPr>
          <w:spacing w:val="-21"/>
          <w:sz w:val="24"/>
          <w:szCs w:val="24"/>
        </w:rPr>
        <w:t>管道基础支承角2α应依基础地质条件、地下水位、管径及</w:t>
      </w:r>
      <w:r>
        <w:rPr>
          <w:spacing w:val="-22"/>
          <w:sz w:val="24"/>
          <w:szCs w:val="24"/>
        </w:rPr>
        <w:t>埋深等条件由设计计算确定。</w:t>
      </w:r>
    </w:p>
    <w:p w14:paraId="739895B7">
      <w:pPr>
        <w:pStyle w:val="2"/>
        <w:spacing w:before="117" w:line="308" w:lineRule="auto"/>
        <w:ind w:left="1464" w:right="1356" w:firstLine="441"/>
        <w:rPr>
          <w:sz w:val="24"/>
          <w:szCs w:val="24"/>
        </w:rPr>
      </w:pPr>
      <w:r>
        <w:rPr>
          <w:spacing w:val="-21"/>
          <w:sz w:val="24"/>
          <w:szCs w:val="24"/>
        </w:rPr>
        <w:t>管道基础在接口部位的凹槽，宜在铺设管道时</w:t>
      </w:r>
      <w:r>
        <w:rPr>
          <w:spacing w:val="-22"/>
          <w:sz w:val="24"/>
          <w:szCs w:val="24"/>
        </w:rPr>
        <w:t>随铺随挖。凹槽长度L按管径大小采用，宜</w:t>
      </w:r>
      <w:r>
        <w:rPr>
          <w:spacing w:val="-14"/>
          <w:sz w:val="24"/>
          <w:szCs w:val="24"/>
        </w:rPr>
        <w:t>为0.4～0.6m，凹槽深度h宜为0.05～0.1m，凹槽宽度B宜为管外径的1.</w:t>
      </w:r>
      <w:r>
        <w:rPr>
          <w:spacing w:val="-15"/>
          <w:sz w:val="24"/>
          <w:szCs w:val="24"/>
        </w:rPr>
        <w:t>1倍。在接口完成后，</w:t>
      </w:r>
      <w:r>
        <w:rPr>
          <w:spacing w:val="-20"/>
          <w:sz w:val="24"/>
          <w:szCs w:val="24"/>
        </w:rPr>
        <w:t>凹槽即用砂回填密实。</w:t>
      </w:r>
    </w:p>
    <w:p w14:paraId="2C7B97F0">
      <w:pPr>
        <w:pStyle w:val="2"/>
        <w:spacing w:before="1" w:line="217" w:lineRule="auto"/>
        <w:ind w:left="1884"/>
        <w:rPr>
          <w:sz w:val="24"/>
          <w:szCs w:val="24"/>
        </w:rPr>
      </w:pPr>
      <w:r>
        <w:rPr>
          <w:spacing w:val="-18"/>
          <w:sz w:val="24"/>
          <w:szCs w:val="24"/>
        </w:rPr>
        <w:t>③管道安装及连接</w:t>
      </w:r>
    </w:p>
    <w:p w14:paraId="11DEAF32">
      <w:pPr>
        <w:pStyle w:val="2"/>
        <w:spacing w:before="116" w:line="308" w:lineRule="auto"/>
        <w:ind w:left="1458" w:right="1411" w:firstLine="448"/>
        <w:rPr>
          <w:sz w:val="24"/>
          <w:szCs w:val="24"/>
        </w:rPr>
      </w:pPr>
      <w:r>
        <w:rPr>
          <w:spacing w:val="-21"/>
          <w:sz w:val="24"/>
          <w:szCs w:val="24"/>
        </w:rPr>
        <w:t>管道安装可采用人工安装。槽深不大时可由人工抬管入槽，槽深大于3m或管径大于公称直</w:t>
      </w:r>
      <w:r>
        <w:rPr>
          <w:spacing w:val="-20"/>
          <w:sz w:val="24"/>
          <w:szCs w:val="24"/>
        </w:rPr>
        <w:t>径DN400mm时，可用非金属绳索溜管入槽，依次平衡地放在砂砾基础管位上。严禁用金属绳索勾住两端管口或将管材自槽边翻滚抛入槽中。混合槽或支撑槽，可采用从槽的一端集中下管，在槽底将管材运送到位。承插口管安装，在一般情况下插口插入方面应与水流方向一致，由低</w:t>
      </w:r>
      <w:r>
        <w:rPr>
          <w:spacing w:val="-21"/>
          <w:sz w:val="24"/>
          <w:szCs w:val="24"/>
        </w:rPr>
        <w:t>点向高点依次安装。调整管材长短时可用手锯切割，断面应</w:t>
      </w:r>
      <w:r>
        <w:rPr>
          <w:spacing w:val="-22"/>
          <w:sz w:val="24"/>
          <w:szCs w:val="24"/>
        </w:rPr>
        <w:t>垂直平整，不应有损坏。</w:t>
      </w:r>
    </w:p>
    <w:p w14:paraId="5DC86B2C">
      <w:pPr>
        <w:pStyle w:val="2"/>
        <w:spacing w:before="1" w:line="307" w:lineRule="auto"/>
        <w:ind w:left="1469" w:right="1411" w:firstLine="436"/>
        <w:rPr>
          <w:sz w:val="24"/>
          <w:szCs w:val="24"/>
        </w:rPr>
      </w:pPr>
      <w:r>
        <w:rPr>
          <w:spacing w:val="-20"/>
          <w:sz w:val="24"/>
          <w:szCs w:val="24"/>
        </w:rPr>
        <w:t>管道接头，除另有规定者外，应采用弹性密封圈柔性接头。公称直径小于DN200mm的平壁</w:t>
      </w:r>
      <w:r>
        <w:rPr>
          <w:spacing w:val="-21"/>
          <w:sz w:val="24"/>
          <w:szCs w:val="24"/>
        </w:rPr>
        <w:t>管亦可采用插入式粘接接口。</w:t>
      </w:r>
    </w:p>
    <w:p w14:paraId="5C1F55CC">
      <w:pPr>
        <w:pStyle w:val="2"/>
        <w:spacing w:line="218" w:lineRule="auto"/>
        <w:ind w:left="1892"/>
        <w:rPr>
          <w:sz w:val="24"/>
          <w:szCs w:val="24"/>
        </w:rPr>
      </w:pPr>
      <w:r>
        <w:rPr>
          <w:spacing w:val="-20"/>
          <w:sz w:val="24"/>
          <w:szCs w:val="24"/>
        </w:rPr>
        <w:t>橡胶圈接口应遵守下列规定：</w:t>
      </w:r>
    </w:p>
    <w:p w14:paraId="264B5870">
      <w:pPr>
        <w:spacing w:line="218" w:lineRule="auto"/>
        <w:rPr>
          <w:sz w:val="24"/>
          <w:szCs w:val="24"/>
        </w:rPr>
        <w:sectPr>
          <w:footerReference r:id="rId319" w:type="default"/>
          <w:pgSz w:w="11907" w:h="16839"/>
          <w:pgMar w:top="933" w:right="4" w:bottom="1038" w:left="0" w:header="478" w:footer="357" w:gutter="0"/>
          <w:pgBorders>
            <w:top w:val="none" w:sz="0" w:space="0"/>
            <w:left w:val="none" w:sz="0" w:space="0"/>
            <w:bottom w:val="none" w:sz="0" w:space="0"/>
            <w:right w:val="none" w:sz="0" w:space="0"/>
          </w:pgBorders>
          <w:cols w:space="720" w:num="1"/>
        </w:sectPr>
      </w:pPr>
    </w:p>
    <w:p w14:paraId="584D1F78">
      <w:pPr>
        <w:spacing w:line="271" w:lineRule="auto"/>
        <w:rPr>
          <w:rFonts w:ascii="Arial"/>
          <w:sz w:val="21"/>
        </w:rPr>
      </w:pPr>
    </w:p>
    <w:p w14:paraId="0177DF51">
      <w:pPr>
        <w:pStyle w:val="2"/>
        <w:spacing w:before="78" w:line="216" w:lineRule="auto"/>
        <w:ind w:left="1878"/>
        <w:rPr>
          <w:sz w:val="24"/>
          <w:szCs w:val="24"/>
        </w:rPr>
      </w:pPr>
      <w:r>
        <w:rPr>
          <w:spacing w:val="-21"/>
          <w:sz w:val="24"/>
          <w:szCs w:val="24"/>
        </w:rPr>
        <w:t>A、连接前，应先检查胶圈是否配套完好，确认胶圈安放位置及插口应插入承口的深度。</w:t>
      </w:r>
    </w:p>
    <w:p w14:paraId="7EED3C80">
      <w:pPr>
        <w:pStyle w:val="2"/>
        <w:spacing w:before="120" w:line="261" w:lineRule="auto"/>
        <w:ind w:left="1464" w:right="1409" w:firstLine="415"/>
        <w:rPr>
          <w:sz w:val="24"/>
          <w:szCs w:val="24"/>
        </w:rPr>
      </w:pPr>
      <w:r>
        <w:rPr>
          <w:spacing w:val="-22"/>
          <w:sz w:val="24"/>
          <w:szCs w:val="24"/>
        </w:rPr>
        <w:t>B、接口作业时，应先将承口（或插口）的内（或外）工作面用棉纱清理干净，不得有泥土等杂物，并在承口内工作面涂上润滑剂，然后立即将插口端的中心对准承口的中</w:t>
      </w:r>
      <w:r>
        <w:rPr>
          <w:spacing w:val="-23"/>
          <w:sz w:val="24"/>
          <w:szCs w:val="24"/>
        </w:rPr>
        <w:t>心轴线就位。</w:t>
      </w:r>
    </w:p>
    <w:p w14:paraId="3033C640">
      <w:pPr>
        <w:pStyle w:val="2"/>
        <w:spacing w:before="121" w:line="277" w:lineRule="auto"/>
        <w:ind w:left="1456" w:right="1411" w:firstLine="427"/>
        <w:rPr>
          <w:sz w:val="24"/>
          <w:szCs w:val="24"/>
        </w:rPr>
      </w:pPr>
      <w:r>
        <w:rPr>
          <w:spacing w:val="-22"/>
          <w:sz w:val="24"/>
          <w:szCs w:val="24"/>
        </w:rPr>
        <w:t>C、插口插入承口时，小口径管可用人力，可在管端部设置木挡板，用撬棍将被安装的管材</w:t>
      </w:r>
      <w:r>
        <w:rPr>
          <w:spacing w:val="-20"/>
          <w:sz w:val="24"/>
          <w:szCs w:val="24"/>
        </w:rPr>
        <w:t>沿着对准的轴线徐徐插入承口内，逐节依次安装。公称直径大于DN400mm的管道，可用缆绳系</w:t>
      </w:r>
      <w:r>
        <w:rPr>
          <w:spacing w:val="-21"/>
          <w:sz w:val="24"/>
          <w:szCs w:val="24"/>
        </w:rPr>
        <w:t>住管材用手搬葫芦等提力工具安装。严禁采用施工机械强</w:t>
      </w:r>
      <w:r>
        <w:rPr>
          <w:spacing w:val="-22"/>
          <w:sz w:val="24"/>
          <w:szCs w:val="24"/>
        </w:rPr>
        <w:t>行推顶管子插入承口。</w:t>
      </w:r>
    </w:p>
    <w:p w14:paraId="6BD42F6C">
      <w:pPr>
        <w:pStyle w:val="2"/>
        <w:spacing w:before="119" w:line="217" w:lineRule="auto"/>
        <w:ind w:left="1895"/>
        <w:rPr>
          <w:sz w:val="24"/>
          <w:szCs w:val="24"/>
        </w:rPr>
      </w:pPr>
      <w:r>
        <w:rPr>
          <w:spacing w:val="-21"/>
          <w:sz w:val="24"/>
          <w:szCs w:val="24"/>
        </w:rPr>
        <w:t>螺旋肋管的安装，应采用由管材生产厂提供的特制管</w:t>
      </w:r>
      <w:r>
        <w:rPr>
          <w:spacing w:val="-22"/>
          <w:sz w:val="24"/>
          <w:szCs w:val="24"/>
        </w:rPr>
        <w:t>接头，用粘接接口连接。</w:t>
      </w:r>
    </w:p>
    <w:p w14:paraId="7EDEC62A">
      <w:pPr>
        <w:pStyle w:val="2"/>
        <w:spacing w:before="117" w:line="308" w:lineRule="auto"/>
        <w:ind w:left="1459" w:right="1411" w:firstLine="433"/>
        <w:rPr>
          <w:sz w:val="24"/>
          <w:szCs w:val="24"/>
        </w:rPr>
      </w:pPr>
      <w:r>
        <w:rPr>
          <w:spacing w:val="-20"/>
          <w:sz w:val="24"/>
          <w:szCs w:val="24"/>
        </w:rPr>
        <w:t>雨季施工应采取防止管材漂浮的措施。可先回填到管顶以上大于一倍管径的高度。当管道安装完毕尚未还土而遭到水泡时，应进行管中心线和管底高程复测和外观检查，如出现位移、</w:t>
      </w:r>
      <w:r>
        <w:rPr>
          <w:spacing w:val="-22"/>
          <w:sz w:val="24"/>
          <w:szCs w:val="24"/>
        </w:rPr>
        <w:t>漂浮、拔口现象，应返工处理。</w:t>
      </w:r>
    </w:p>
    <w:p w14:paraId="2D3BA2B2">
      <w:pPr>
        <w:pStyle w:val="2"/>
        <w:spacing w:before="1" w:line="218" w:lineRule="auto"/>
        <w:ind w:left="1893"/>
        <w:rPr>
          <w:sz w:val="24"/>
          <w:szCs w:val="24"/>
        </w:rPr>
      </w:pPr>
      <w:r>
        <w:rPr>
          <w:spacing w:val="-18"/>
          <w:sz w:val="24"/>
          <w:szCs w:val="24"/>
        </w:rPr>
        <w:t>（2）、钢管铺设</w:t>
      </w:r>
    </w:p>
    <w:p w14:paraId="45FC1231">
      <w:pPr>
        <w:pStyle w:val="2"/>
        <w:spacing w:before="114" w:line="215" w:lineRule="auto"/>
        <w:ind w:left="1903"/>
        <w:rPr>
          <w:sz w:val="24"/>
          <w:szCs w:val="24"/>
        </w:rPr>
      </w:pPr>
      <w:r>
        <w:rPr>
          <w:spacing w:val="-21"/>
          <w:sz w:val="24"/>
          <w:szCs w:val="24"/>
        </w:rPr>
        <w:t>1、钢管切割可用细齿钢锯、割管机或型钢切割机配纤维增强</w:t>
      </w:r>
      <w:r>
        <w:rPr>
          <w:spacing w:val="-22"/>
          <w:sz w:val="24"/>
          <w:szCs w:val="24"/>
        </w:rPr>
        <w:t>砂轮片切割。</w:t>
      </w:r>
    </w:p>
    <w:p w14:paraId="1DD70DCE">
      <w:pPr>
        <w:pStyle w:val="2"/>
        <w:spacing w:before="122" w:line="263" w:lineRule="auto"/>
        <w:ind w:left="1470" w:right="1319" w:firstLine="418"/>
        <w:rPr>
          <w:sz w:val="24"/>
          <w:szCs w:val="24"/>
        </w:rPr>
      </w:pPr>
      <w:r>
        <w:rPr>
          <w:spacing w:val="-25"/>
          <w:sz w:val="24"/>
          <w:szCs w:val="24"/>
        </w:rPr>
        <w:t>2、管子端部套丝。水煤气钢管可用管子套绞板；电线管可用圆丝板套丝口。钢管与盒</w:t>
      </w:r>
      <w:r>
        <w:rPr>
          <w:spacing w:val="-26"/>
          <w:sz w:val="24"/>
          <w:szCs w:val="24"/>
        </w:rPr>
        <w:t>（箱）</w:t>
      </w:r>
      <w:r>
        <w:rPr>
          <w:spacing w:val="-22"/>
          <w:sz w:val="24"/>
          <w:szCs w:val="24"/>
        </w:rPr>
        <w:t>的连接采用焊接连接或锁紧螺母（护圈帽）固定。</w:t>
      </w:r>
    </w:p>
    <w:p w14:paraId="3B9AAB27">
      <w:pPr>
        <w:pStyle w:val="2"/>
        <w:spacing w:before="116" w:line="277" w:lineRule="auto"/>
        <w:ind w:left="1456" w:right="1354" w:firstLine="434"/>
        <w:rPr>
          <w:sz w:val="24"/>
          <w:szCs w:val="24"/>
        </w:rPr>
      </w:pPr>
      <w:r>
        <w:rPr>
          <w:spacing w:val="-22"/>
          <w:sz w:val="24"/>
          <w:szCs w:val="24"/>
        </w:rPr>
        <w:t>3、钢管与设备间连接时，钢管端部宜增设电线保护软管或可饶金属电线保护管后引</w:t>
      </w:r>
      <w:r>
        <w:rPr>
          <w:spacing w:val="-23"/>
          <w:sz w:val="24"/>
          <w:szCs w:val="24"/>
        </w:rPr>
        <w:t>入设备</w:t>
      </w:r>
      <w:r>
        <w:rPr>
          <w:spacing w:val="-24"/>
          <w:sz w:val="24"/>
          <w:szCs w:val="24"/>
        </w:rPr>
        <w:t>的接线盒内，且钢管管口包孔紧密；对潮湿场所，钢管端部增设防水弯头，导线加套保护软管，</w:t>
      </w:r>
      <w:r>
        <w:rPr>
          <w:spacing w:val="-22"/>
          <w:sz w:val="24"/>
          <w:szCs w:val="24"/>
        </w:rPr>
        <w:t>经弯成滴水弧状后，在引入到设备的接线盒。</w:t>
      </w:r>
    </w:p>
    <w:p w14:paraId="224BA66E">
      <w:pPr>
        <w:pStyle w:val="2"/>
        <w:spacing w:before="119" w:line="263" w:lineRule="auto"/>
        <w:ind w:left="1460" w:right="1410" w:firstLine="424"/>
        <w:rPr>
          <w:sz w:val="24"/>
          <w:szCs w:val="24"/>
        </w:rPr>
      </w:pPr>
      <w:r>
        <w:rPr>
          <w:spacing w:val="-22"/>
          <w:sz w:val="24"/>
          <w:szCs w:val="24"/>
        </w:rPr>
        <w:t>4、镀锌钢薄壁钢管采用套管螺纹接续（又称套管丝扣连接</w:t>
      </w:r>
      <w:r>
        <w:rPr>
          <w:spacing w:val="-19"/>
          <w:sz w:val="24"/>
          <w:szCs w:val="24"/>
        </w:rPr>
        <w:t>），</w:t>
      </w:r>
      <w:r>
        <w:rPr>
          <w:spacing w:val="-22"/>
          <w:sz w:val="24"/>
          <w:szCs w:val="24"/>
        </w:rPr>
        <w:t>管端螺纹长度不应小于管接</w:t>
      </w:r>
      <w:r>
        <w:rPr>
          <w:spacing w:val="-17"/>
          <w:sz w:val="24"/>
          <w:szCs w:val="24"/>
        </w:rPr>
        <w:t>头的1/2；连接后螺纹宜外露2－3扣。</w:t>
      </w:r>
    </w:p>
    <w:p w14:paraId="1F8C56D1">
      <w:pPr>
        <w:pStyle w:val="2"/>
        <w:spacing w:before="118" w:line="262" w:lineRule="auto"/>
        <w:ind w:left="1458" w:right="1319" w:firstLine="432"/>
        <w:rPr>
          <w:sz w:val="24"/>
          <w:szCs w:val="24"/>
        </w:rPr>
      </w:pPr>
      <w:r>
        <w:rPr>
          <w:spacing w:val="-30"/>
          <w:sz w:val="24"/>
          <w:szCs w:val="24"/>
        </w:rPr>
        <w:t>5、配管管路通过建筑物变形缝时，要在其两侧各埋设接线盒（箱）做补</w:t>
      </w:r>
      <w:r>
        <w:rPr>
          <w:spacing w:val="-31"/>
          <w:sz w:val="24"/>
          <w:szCs w:val="24"/>
        </w:rPr>
        <w:t>偿装置，接线盒（箱）</w:t>
      </w:r>
      <w:r>
        <w:rPr>
          <w:spacing w:val="-18"/>
          <w:sz w:val="24"/>
          <w:szCs w:val="24"/>
        </w:rPr>
        <w:t>上开长孔，不应小于管外径的2倍。</w:t>
      </w:r>
    </w:p>
    <w:p w14:paraId="0875F36D">
      <w:pPr>
        <w:pStyle w:val="2"/>
        <w:spacing w:before="118" w:line="218" w:lineRule="auto"/>
        <w:ind w:left="1888"/>
        <w:rPr>
          <w:sz w:val="24"/>
          <w:szCs w:val="24"/>
        </w:rPr>
      </w:pPr>
      <w:r>
        <w:rPr>
          <w:spacing w:val="-17"/>
          <w:sz w:val="24"/>
          <w:szCs w:val="24"/>
        </w:rPr>
        <w:t>2、施工技术措施</w:t>
      </w:r>
    </w:p>
    <w:p w14:paraId="1CB3BC60">
      <w:pPr>
        <w:pStyle w:val="2"/>
        <w:spacing w:before="117" w:line="218" w:lineRule="auto"/>
        <w:ind w:left="1888"/>
        <w:rPr>
          <w:sz w:val="24"/>
          <w:szCs w:val="24"/>
        </w:rPr>
      </w:pPr>
      <w:r>
        <w:rPr>
          <w:spacing w:val="-18"/>
          <w:sz w:val="24"/>
          <w:szCs w:val="24"/>
        </w:rPr>
        <w:t>2.1、电缆排管的施工技术措施</w:t>
      </w:r>
    </w:p>
    <w:p w14:paraId="02A155B3">
      <w:pPr>
        <w:pStyle w:val="2"/>
        <w:spacing w:before="116" w:line="308" w:lineRule="auto"/>
        <w:ind w:left="1458" w:right="1411" w:firstLine="436"/>
        <w:rPr>
          <w:sz w:val="24"/>
          <w:szCs w:val="24"/>
        </w:rPr>
      </w:pPr>
      <w:r>
        <w:rPr>
          <w:spacing w:val="-20"/>
          <w:sz w:val="24"/>
          <w:szCs w:val="24"/>
        </w:rPr>
        <w:t>采用挖掘机开挖，人工配合的方法进行电缆沟槽基础施工，沟槽基础形成后由人工整平并进行地板砼的浇筑。</w:t>
      </w:r>
    </w:p>
    <w:p w14:paraId="105FD94B">
      <w:pPr>
        <w:pStyle w:val="2"/>
        <w:spacing w:before="1" w:line="307" w:lineRule="auto"/>
        <w:ind w:left="1457" w:right="1411" w:firstLine="462"/>
        <w:rPr>
          <w:sz w:val="24"/>
          <w:szCs w:val="24"/>
        </w:rPr>
      </w:pPr>
      <w:r>
        <w:rPr>
          <w:spacing w:val="-20"/>
          <w:sz w:val="24"/>
          <w:szCs w:val="24"/>
        </w:rPr>
        <w:t>电缆排管的铺设和埋砂全部由人工进行，逐层管间间距和埋砂厚度</w:t>
      </w:r>
      <w:r>
        <w:rPr>
          <w:spacing w:val="-21"/>
          <w:sz w:val="24"/>
          <w:szCs w:val="24"/>
        </w:rPr>
        <w:t>要求符合设计尺寸，必须使砂和排管形成密实的整体。</w:t>
      </w:r>
    </w:p>
    <w:p w14:paraId="4430F223">
      <w:pPr>
        <w:pStyle w:val="2"/>
        <w:spacing w:before="1" w:line="307" w:lineRule="auto"/>
        <w:ind w:left="1459" w:right="1409" w:firstLine="460"/>
        <w:rPr>
          <w:sz w:val="24"/>
          <w:szCs w:val="24"/>
        </w:rPr>
      </w:pPr>
      <w:r>
        <w:rPr>
          <w:spacing w:val="-22"/>
          <w:sz w:val="24"/>
          <w:szCs w:val="24"/>
        </w:rPr>
        <w:t>电缆埋设完毕后进行土方回填回填时分层进行。每层厚度不超过15cm由人工进行夯实。余</w:t>
      </w:r>
      <w:r>
        <w:rPr>
          <w:spacing w:val="-20"/>
          <w:sz w:val="24"/>
          <w:szCs w:val="24"/>
        </w:rPr>
        <w:t>土由汽车运至弃置场。</w:t>
      </w:r>
    </w:p>
    <w:p w14:paraId="7CEEAD3A">
      <w:pPr>
        <w:pStyle w:val="2"/>
        <w:spacing w:line="218" w:lineRule="auto"/>
        <w:ind w:left="1888"/>
        <w:rPr>
          <w:sz w:val="24"/>
          <w:szCs w:val="24"/>
        </w:rPr>
      </w:pPr>
      <w:r>
        <w:rPr>
          <w:spacing w:val="-18"/>
          <w:sz w:val="24"/>
          <w:szCs w:val="24"/>
        </w:rPr>
        <w:t>2.2、电缆井的施工技术措施</w:t>
      </w:r>
    </w:p>
    <w:p w14:paraId="66781EA1">
      <w:pPr>
        <w:pStyle w:val="2"/>
        <w:spacing w:before="118" w:line="216" w:lineRule="auto"/>
        <w:ind w:left="1924"/>
        <w:rPr>
          <w:sz w:val="24"/>
          <w:szCs w:val="24"/>
        </w:rPr>
      </w:pPr>
      <w:r>
        <w:rPr>
          <w:spacing w:val="-22"/>
          <w:sz w:val="24"/>
          <w:szCs w:val="24"/>
        </w:rPr>
        <w:t>由挖掘机开挖出基础，然后由人工平整并浇</w:t>
      </w:r>
      <w:r>
        <w:rPr>
          <w:spacing w:val="-23"/>
          <w:sz w:val="24"/>
          <w:szCs w:val="24"/>
        </w:rPr>
        <w:t>筑砼地板。</w:t>
      </w:r>
    </w:p>
    <w:p w14:paraId="11306D00">
      <w:pPr>
        <w:pStyle w:val="2"/>
        <w:spacing w:before="120" w:line="216" w:lineRule="auto"/>
        <w:ind w:left="1896"/>
        <w:rPr>
          <w:sz w:val="24"/>
          <w:szCs w:val="24"/>
        </w:rPr>
      </w:pPr>
      <w:r>
        <w:rPr>
          <w:spacing w:val="-18"/>
          <w:sz w:val="24"/>
          <w:szCs w:val="24"/>
        </w:rPr>
        <w:t>人工砌筑电缆井墙体并按设计要求预埋L100×10电缆支架。</w:t>
      </w:r>
    </w:p>
    <w:p w14:paraId="0873DF95">
      <w:pPr>
        <w:pStyle w:val="2"/>
        <w:spacing w:before="118" w:line="308" w:lineRule="auto"/>
        <w:ind w:left="1455" w:right="1460" w:firstLine="463"/>
        <w:rPr>
          <w:sz w:val="24"/>
          <w:szCs w:val="24"/>
        </w:rPr>
      </w:pPr>
      <w:r>
        <w:rPr>
          <w:spacing w:val="-21"/>
          <w:sz w:val="24"/>
          <w:szCs w:val="24"/>
        </w:rPr>
        <w:t>电缆井压顶部分使用现浇方式进行。钢摸板</w:t>
      </w:r>
      <w:r>
        <w:rPr>
          <w:spacing w:val="-22"/>
          <w:sz w:val="24"/>
          <w:szCs w:val="24"/>
        </w:rPr>
        <w:t>的高度和宽度必须符合设计尺寸支撑要牢固，</w:t>
      </w:r>
      <w:r>
        <w:rPr>
          <w:spacing w:val="-21"/>
          <w:sz w:val="24"/>
          <w:szCs w:val="24"/>
        </w:rPr>
        <w:t>摸板稳固。浇筑时振捣密实，严禁漏振。</w:t>
      </w:r>
    </w:p>
    <w:p w14:paraId="14A857D2">
      <w:pPr>
        <w:pStyle w:val="2"/>
        <w:spacing w:line="308" w:lineRule="auto"/>
        <w:ind w:left="1459" w:right="1410" w:firstLine="439"/>
        <w:rPr>
          <w:sz w:val="24"/>
          <w:szCs w:val="24"/>
        </w:rPr>
      </w:pPr>
      <w:r>
        <w:rPr>
          <w:spacing w:val="-20"/>
          <w:sz w:val="24"/>
          <w:szCs w:val="24"/>
        </w:rPr>
        <w:t>盖板全部预制，安装时采用机械吊装，人工配合。盖板安装完后进行土方回填并夯实，余</w:t>
      </w:r>
      <w:r>
        <w:rPr>
          <w:spacing w:val="-19"/>
          <w:sz w:val="24"/>
          <w:szCs w:val="24"/>
        </w:rPr>
        <w:t>土运至弃置场。</w:t>
      </w:r>
    </w:p>
    <w:p w14:paraId="3C7DD3AD">
      <w:pPr>
        <w:spacing w:line="308" w:lineRule="auto"/>
        <w:rPr>
          <w:sz w:val="24"/>
          <w:szCs w:val="24"/>
        </w:rPr>
        <w:sectPr>
          <w:footerReference r:id="rId320" w:type="default"/>
          <w:pgSz w:w="11907" w:h="16839"/>
          <w:pgMar w:top="933" w:right="4" w:bottom="1038" w:left="0" w:header="478" w:footer="357" w:gutter="0"/>
          <w:pgBorders>
            <w:top w:val="none" w:sz="0" w:space="0"/>
            <w:left w:val="none" w:sz="0" w:space="0"/>
            <w:bottom w:val="none" w:sz="0" w:space="0"/>
            <w:right w:val="none" w:sz="0" w:space="0"/>
          </w:pgBorders>
          <w:cols w:space="720" w:num="1"/>
        </w:sectPr>
      </w:pPr>
    </w:p>
    <w:p w14:paraId="0AD27609">
      <w:pPr>
        <w:spacing w:line="271" w:lineRule="auto"/>
        <w:rPr>
          <w:rFonts w:ascii="Arial"/>
          <w:sz w:val="21"/>
        </w:rPr>
      </w:pPr>
    </w:p>
    <w:p w14:paraId="3AC25689">
      <w:pPr>
        <w:pStyle w:val="2"/>
        <w:spacing w:before="78" w:line="216" w:lineRule="auto"/>
        <w:ind w:left="1896"/>
        <w:rPr>
          <w:sz w:val="24"/>
          <w:szCs w:val="24"/>
        </w:rPr>
      </w:pPr>
      <w:r>
        <w:rPr>
          <w:spacing w:val="-21"/>
          <w:sz w:val="24"/>
          <w:szCs w:val="24"/>
        </w:rPr>
        <w:t>混凝土构件的制作工艺流程</w:t>
      </w:r>
    </w:p>
    <w:p w14:paraId="08EEA1C7">
      <w:pPr>
        <w:pStyle w:val="2"/>
        <w:spacing w:before="120" w:line="216" w:lineRule="auto"/>
        <w:ind w:left="1892"/>
        <w:rPr>
          <w:sz w:val="24"/>
          <w:szCs w:val="24"/>
        </w:rPr>
      </w:pPr>
      <w:r>
        <w:rPr>
          <w:spacing w:val="-21"/>
          <w:sz w:val="24"/>
          <w:szCs w:val="24"/>
        </w:rPr>
        <w:t>钢模制作→刷脱模剂→钢筋制作安装→混凝土的浇筑→脱模→</w:t>
      </w:r>
      <w:r>
        <w:rPr>
          <w:spacing w:val="-22"/>
          <w:sz w:val="24"/>
          <w:szCs w:val="24"/>
        </w:rPr>
        <w:t>养生→集中堆放</w:t>
      </w:r>
    </w:p>
    <w:p w14:paraId="6879E563">
      <w:pPr>
        <w:pStyle w:val="2"/>
        <w:spacing w:before="118" w:line="308" w:lineRule="auto"/>
        <w:ind w:left="1463" w:right="1409" w:firstLine="431"/>
        <w:rPr>
          <w:sz w:val="24"/>
          <w:szCs w:val="24"/>
        </w:rPr>
      </w:pPr>
      <w:r>
        <w:rPr>
          <w:spacing w:val="-20"/>
          <w:sz w:val="24"/>
          <w:szCs w:val="24"/>
        </w:rPr>
        <w:t>本公司拟在预制厂进行盖板构件的生产。如业主要求订购，我方将经过周密查找并筛选出</w:t>
      </w:r>
      <w:r>
        <w:rPr>
          <w:spacing w:val="-21"/>
          <w:sz w:val="24"/>
          <w:szCs w:val="24"/>
        </w:rPr>
        <w:t>合格的供应商，与之签定供应合同。</w:t>
      </w:r>
    </w:p>
    <w:p w14:paraId="5ECFBC7B">
      <w:pPr>
        <w:pStyle w:val="2"/>
        <w:spacing w:line="218" w:lineRule="auto"/>
        <w:ind w:left="1890"/>
        <w:rPr>
          <w:sz w:val="24"/>
          <w:szCs w:val="24"/>
        </w:rPr>
      </w:pPr>
      <w:r>
        <w:rPr>
          <w:spacing w:val="-19"/>
          <w:sz w:val="24"/>
          <w:szCs w:val="24"/>
        </w:rPr>
        <w:t>3、各分项工程施工顺序</w:t>
      </w:r>
    </w:p>
    <w:p w14:paraId="2774B8E0">
      <w:pPr>
        <w:pStyle w:val="2"/>
        <w:spacing w:before="114" w:line="218" w:lineRule="auto"/>
        <w:ind w:left="1890"/>
        <w:rPr>
          <w:sz w:val="24"/>
          <w:szCs w:val="24"/>
        </w:rPr>
      </w:pPr>
      <w:r>
        <w:rPr>
          <w:spacing w:val="-18"/>
          <w:sz w:val="24"/>
          <w:szCs w:val="24"/>
        </w:rPr>
        <w:t>3.1、电缆排管的施工顺序</w:t>
      </w:r>
    </w:p>
    <w:p w14:paraId="61135D69">
      <w:pPr>
        <w:pStyle w:val="2"/>
        <w:spacing w:before="117" w:line="218" w:lineRule="auto"/>
        <w:ind w:left="1893"/>
        <w:rPr>
          <w:sz w:val="24"/>
          <w:szCs w:val="24"/>
        </w:rPr>
      </w:pPr>
      <w:r>
        <w:rPr>
          <w:spacing w:val="-21"/>
          <w:sz w:val="24"/>
          <w:szCs w:val="24"/>
        </w:rPr>
        <w:t>测量放线→沟槽土方开挖及底板砼浇筑→土方回填夯实、余土</w:t>
      </w:r>
      <w:r>
        <w:rPr>
          <w:spacing w:val="-22"/>
          <w:sz w:val="24"/>
          <w:szCs w:val="24"/>
        </w:rPr>
        <w:t>弃运箭头</w:t>
      </w:r>
    </w:p>
    <w:p w14:paraId="6650FE90">
      <w:pPr>
        <w:pStyle w:val="2"/>
        <w:spacing w:before="118" w:line="216" w:lineRule="auto"/>
        <w:ind w:left="1890"/>
        <w:rPr>
          <w:sz w:val="24"/>
          <w:szCs w:val="24"/>
        </w:rPr>
      </w:pPr>
      <w:r>
        <w:rPr>
          <w:spacing w:val="-18"/>
          <w:sz w:val="24"/>
          <w:szCs w:val="24"/>
        </w:rPr>
        <w:t>3.2、电缆检查井的施工顺序</w:t>
      </w:r>
    </w:p>
    <w:p w14:paraId="20305746">
      <w:pPr>
        <w:pStyle w:val="2"/>
        <w:spacing w:before="118" w:line="217" w:lineRule="auto"/>
        <w:ind w:left="1895"/>
        <w:rPr>
          <w:sz w:val="24"/>
          <w:szCs w:val="24"/>
        </w:rPr>
      </w:pPr>
      <w:r>
        <w:rPr>
          <w:spacing w:val="-21"/>
          <w:sz w:val="24"/>
          <w:szCs w:val="24"/>
        </w:rPr>
        <w:t>底板基础开挖及砼浇筑→砌筑墙体及预埋铁件制安</w:t>
      </w:r>
      <w:r>
        <w:rPr>
          <w:spacing w:val="-22"/>
          <w:sz w:val="24"/>
          <w:szCs w:val="24"/>
        </w:rPr>
        <w:t>→压顶现浇→盖板的安装→</w:t>
      </w:r>
    </w:p>
    <w:p w14:paraId="69595260">
      <w:pPr>
        <w:pStyle w:val="2"/>
        <w:spacing w:before="118" w:line="218" w:lineRule="auto"/>
        <w:ind w:left="1895"/>
        <w:rPr>
          <w:sz w:val="24"/>
          <w:szCs w:val="24"/>
        </w:rPr>
      </w:pPr>
      <w:r>
        <w:rPr>
          <w:spacing w:val="-20"/>
          <w:sz w:val="24"/>
          <w:szCs w:val="24"/>
        </w:rPr>
        <w:t>土方回填夯实、余土弃运</w:t>
      </w:r>
    </w:p>
    <w:p w14:paraId="1449EF2D">
      <w:pPr>
        <w:pStyle w:val="2"/>
        <w:spacing w:before="118" w:line="218" w:lineRule="auto"/>
        <w:ind w:left="1884"/>
        <w:rPr>
          <w:sz w:val="24"/>
          <w:szCs w:val="24"/>
        </w:rPr>
      </w:pPr>
      <w:r>
        <w:rPr>
          <w:spacing w:val="-17"/>
          <w:sz w:val="24"/>
          <w:szCs w:val="24"/>
        </w:rPr>
        <w:t>4、总体施工安排</w:t>
      </w:r>
    </w:p>
    <w:p w14:paraId="7CEE92F4">
      <w:pPr>
        <w:pStyle w:val="2"/>
        <w:spacing w:before="116" w:line="308" w:lineRule="auto"/>
        <w:ind w:left="1464" w:right="1411" w:firstLine="429"/>
        <w:rPr>
          <w:sz w:val="24"/>
          <w:szCs w:val="24"/>
        </w:rPr>
      </w:pPr>
      <w:r>
        <w:rPr>
          <w:spacing w:val="-20"/>
          <w:sz w:val="24"/>
          <w:szCs w:val="24"/>
        </w:rPr>
        <w:t>本工程的主要分项工程分别为施工准备、电缆排管施工、电缆检查井施工、构件预制安装</w:t>
      </w:r>
      <w:r>
        <w:rPr>
          <w:spacing w:val="-22"/>
          <w:sz w:val="24"/>
          <w:szCs w:val="24"/>
        </w:rPr>
        <w:t>等四项工程施工。各分项工程总体施工安排如下：</w:t>
      </w:r>
    </w:p>
    <w:p w14:paraId="44AAAAAA">
      <w:pPr>
        <w:pStyle w:val="2"/>
        <w:spacing w:line="218" w:lineRule="auto"/>
        <w:ind w:left="1884"/>
        <w:rPr>
          <w:sz w:val="24"/>
          <w:szCs w:val="24"/>
        </w:rPr>
      </w:pPr>
      <w:r>
        <w:rPr>
          <w:spacing w:val="-14"/>
          <w:sz w:val="24"/>
          <w:szCs w:val="24"/>
        </w:rPr>
        <w:t>4.1、施工准备</w:t>
      </w:r>
    </w:p>
    <w:p w14:paraId="3F5B4E38">
      <w:pPr>
        <w:pStyle w:val="2"/>
        <w:spacing w:before="115" w:line="217" w:lineRule="auto"/>
        <w:ind w:left="1894"/>
        <w:rPr>
          <w:sz w:val="24"/>
          <w:szCs w:val="24"/>
        </w:rPr>
      </w:pPr>
      <w:r>
        <w:rPr>
          <w:spacing w:val="-18"/>
          <w:sz w:val="24"/>
          <w:szCs w:val="24"/>
        </w:rPr>
        <w:t>搭建临时设施</w:t>
      </w:r>
    </w:p>
    <w:p w14:paraId="1008A398">
      <w:pPr>
        <w:pStyle w:val="2"/>
        <w:spacing w:before="119" w:line="307" w:lineRule="auto"/>
        <w:ind w:left="1459" w:right="1410" w:firstLine="443"/>
        <w:rPr>
          <w:sz w:val="24"/>
          <w:szCs w:val="24"/>
        </w:rPr>
      </w:pPr>
      <w:r>
        <w:rPr>
          <w:spacing w:val="-20"/>
          <w:sz w:val="24"/>
          <w:szCs w:val="24"/>
        </w:rPr>
        <w:t>包括办公室、会议室、管理人员宿舍、工人宿舍、仓库和食堂拌和场等。主要安排在施工</w:t>
      </w:r>
      <w:r>
        <w:rPr>
          <w:spacing w:val="-18"/>
          <w:sz w:val="24"/>
          <w:szCs w:val="24"/>
        </w:rPr>
        <w:t>准备阶段，计划5天完成，即安排在开工后第1天～第5天内完成。</w:t>
      </w:r>
    </w:p>
    <w:p w14:paraId="3BE2A577">
      <w:pPr>
        <w:pStyle w:val="2"/>
        <w:spacing w:before="2" w:line="218" w:lineRule="auto"/>
        <w:ind w:left="1895"/>
        <w:rPr>
          <w:sz w:val="24"/>
          <w:szCs w:val="24"/>
        </w:rPr>
      </w:pPr>
      <w:r>
        <w:rPr>
          <w:spacing w:val="-21"/>
          <w:sz w:val="24"/>
          <w:szCs w:val="24"/>
        </w:rPr>
        <w:t>余土弃置场及其施工便道的施工</w:t>
      </w:r>
    </w:p>
    <w:p w14:paraId="338BBA30">
      <w:pPr>
        <w:pStyle w:val="2"/>
        <w:spacing w:before="116" w:line="215" w:lineRule="auto"/>
        <w:ind w:left="1895"/>
        <w:rPr>
          <w:sz w:val="24"/>
          <w:szCs w:val="24"/>
        </w:rPr>
      </w:pPr>
      <w:r>
        <w:rPr>
          <w:spacing w:val="-18"/>
          <w:sz w:val="24"/>
          <w:szCs w:val="24"/>
        </w:rPr>
        <w:t>安排在施工准备阶段，计划5天完成，即开工后第</w:t>
      </w:r>
      <w:r>
        <w:rPr>
          <w:spacing w:val="-19"/>
          <w:sz w:val="24"/>
          <w:szCs w:val="24"/>
        </w:rPr>
        <w:t>1天～第5天完工。</w:t>
      </w:r>
    </w:p>
    <w:p w14:paraId="0CFD89E4">
      <w:pPr>
        <w:pStyle w:val="2"/>
        <w:spacing w:before="122" w:line="218" w:lineRule="auto"/>
        <w:ind w:left="1884"/>
        <w:rPr>
          <w:sz w:val="24"/>
          <w:szCs w:val="24"/>
        </w:rPr>
      </w:pPr>
      <w:r>
        <w:rPr>
          <w:spacing w:val="-16"/>
          <w:sz w:val="24"/>
          <w:szCs w:val="24"/>
        </w:rPr>
        <w:t>4.2、电缆排管施工</w:t>
      </w:r>
    </w:p>
    <w:p w14:paraId="72C8B3BE">
      <w:pPr>
        <w:pStyle w:val="2"/>
        <w:spacing w:before="114" w:line="217" w:lineRule="auto"/>
        <w:ind w:left="1895"/>
        <w:rPr>
          <w:sz w:val="24"/>
          <w:szCs w:val="24"/>
        </w:rPr>
      </w:pPr>
      <w:r>
        <w:rPr>
          <w:spacing w:val="-21"/>
          <w:sz w:val="24"/>
          <w:szCs w:val="24"/>
        </w:rPr>
        <w:t>沟槽基础施工采用机械开挖，人工配合的方法施工。</w:t>
      </w:r>
    </w:p>
    <w:p w14:paraId="012F606D">
      <w:pPr>
        <w:pStyle w:val="2"/>
        <w:spacing w:before="119" w:line="217" w:lineRule="auto"/>
        <w:ind w:left="1919"/>
        <w:rPr>
          <w:sz w:val="24"/>
          <w:szCs w:val="24"/>
        </w:rPr>
      </w:pPr>
      <w:r>
        <w:rPr>
          <w:spacing w:val="-22"/>
          <w:sz w:val="24"/>
          <w:szCs w:val="24"/>
        </w:rPr>
        <w:t>电缆管群施工采用人工为主，机械辅助的方法施工。</w:t>
      </w:r>
    </w:p>
    <w:p w14:paraId="24AA0657">
      <w:pPr>
        <w:pStyle w:val="2"/>
        <w:spacing w:before="119" w:line="216" w:lineRule="auto"/>
        <w:ind w:left="1884"/>
        <w:rPr>
          <w:sz w:val="24"/>
          <w:szCs w:val="24"/>
        </w:rPr>
      </w:pPr>
      <w:r>
        <w:rPr>
          <w:spacing w:val="-16"/>
          <w:sz w:val="24"/>
          <w:szCs w:val="24"/>
        </w:rPr>
        <w:t>4.3、电缆检查井施工</w:t>
      </w:r>
    </w:p>
    <w:p w14:paraId="6CAD60FE">
      <w:pPr>
        <w:pStyle w:val="2"/>
        <w:spacing w:before="117" w:line="219" w:lineRule="auto"/>
        <w:ind w:left="1890"/>
        <w:rPr>
          <w:sz w:val="24"/>
          <w:szCs w:val="24"/>
        </w:rPr>
      </w:pPr>
      <w:r>
        <w:rPr>
          <w:spacing w:val="-19"/>
          <w:sz w:val="24"/>
          <w:szCs w:val="24"/>
        </w:rPr>
        <w:t>5、主要工程项目的施工方法</w:t>
      </w:r>
    </w:p>
    <w:p w14:paraId="34C31DD1">
      <w:pPr>
        <w:pStyle w:val="2"/>
        <w:spacing w:before="117" w:line="218" w:lineRule="auto"/>
        <w:ind w:left="1890"/>
        <w:rPr>
          <w:sz w:val="24"/>
          <w:szCs w:val="24"/>
        </w:rPr>
      </w:pPr>
      <w:r>
        <w:rPr>
          <w:spacing w:val="-18"/>
          <w:sz w:val="24"/>
          <w:szCs w:val="24"/>
        </w:rPr>
        <w:t>5.1、电缆排管的施工方法</w:t>
      </w:r>
    </w:p>
    <w:p w14:paraId="09984F67">
      <w:pPr>
        <w:pStyle w:val="2"/>
        <w:spacing w:before="117" w:line="215" w:lineRule="auto"/>
        <w:ind w:left="1892"/>
        <w:rPr>
          <w:sz w:val="24"/>
          <w:szCs w:val="24"/>
        </w:rPr>
      </w:pPr>
      <w:r>
        <w:rPr>
          <w:spacing w:val="-18"/>
          <w:sz w:val="24"/>
          <w:szCs w:val="24"/>
        </w:rPr>
        <w:t>施工测量放样</w:t>
      </w:r>
    </w:p>
    <w:p w14:paraId="3ACAB0CB">
      <w:pPr>
        <w:pStyle w:val="2"/>
        <w:spacing w:before="118" w:line="308" w:lineRule="auto"/>
        <w:ind w:left="1455" w:right="1412" w:firstLine="439"/>
        <w:rPr>
          <w:sz w:val="24"/>
          <w:szCs w:val="24"/>
        </w:rPr>
      </w:pPr>
      <w:r>
        <w:rPr>
          <w:spacing w:val="-20"/>
          <w:sz w:val="24"/>
          <w:szCs w:val="24"/>
        </w:rPr>
        <w:t>在施工前的准备工作阶段，即组织技术人员对业主交付的平面控制点和水准点进行复测，</w:t>
      </w:r>
      <w:r>
        <w:rPr>
          <w:spacing w:val="-21"/>
          <w:sz w:val="24"/>
          <w:szCs w:val="24"/>
        </w:rPr>
        <w:t>按150米左右的间距设置临时水准点，并与高程基准点进行闭合，闭合差小于规范要</w:t>
      </w:r>
      <w:r>
        <w:rPr>
          <w:spacing w:val="-22"/>
          <w:sz w:val="24"/>
          <w:szCs w:val="24"/>
        </w:rPr>
        <w:t>求。高程</w:t>
      </w:r>
      <w:r>
        <w:rPr>
          <w:spacing w:val="-20"/>
          <w:sz w:val="24"/>
          <w:szCs w:val="24"/>
        </w:rPr>
        <w:t>控制底板高程放样均采用北京光学仪器厂生产的BJDZS3型自动安平水准仪测量。施工控制网及</w:t>
      </w:r>
      <w:r>
        <w:rPr>
          <w:spacing w:val="-21"/>
          <w:sz w:val="24"/>
          <w:szCs w:val="24"/>
        </w:rPr>
        <w:t>施工水准起算点均应设置在不受干扰，牢固可靠，且通视条</w:t>
      </w:r>
      <w:r>
        <w:rPr>
          <w:spacing w:val="-22"/>
          <w:sz w:val="24"/>
          <w:szCs w:val="24"/>
        </w:rPr>
        <w:t>件良好，便于控制的地方。</w:t>
      </w:r>
    </w:p>
    <w:p w14:paraId="616A2C21">
      <w:pPr>
        <w:pStyle w:val="2"/>
        <w:spacing w:before="2" w:line="307" w:lineRule="auto"/>
        <w:ind w:left="1480" w:right="1441" w:firstLine="414"/>
        <w:rPr>
          <w:sz w:val="24"/>
          <w:szCs w:val="24"/>
        </w:rPr>
      </w:pPr>
      <w:r>
        <w:rPr>
          <w:spacing w:val="-20"/>
          <w:sz w:val="24"/>
          <w:szCs w:val="24"/>
        </w:rPr>
        <w:t>在按图控制轴线和高程的前提下，还要重点考虑本工</w:t>
      </w:r>
      <w:r>
        <w:rPr>
          <w:spacing w:val="-21"/>
          <w:sz w:val="24"/>
          <w:szCs w:val="24"/>
        </w:rPr>
        <w:t>程与主体道路和人行道的高程吻合。</w:t>
      </w:r>
      <w:r>
        <w:rPr>
          <w:spacing w:val="-24"/>
          <w:sz w:val="24"/>
          <w:szCs w:val="24"/>
        </w:rPr>
        <w:t>以局部服从整体，为整体美观创造条件。</w:t>
      </w:r>
    </w:p>
    <w:p w14:paraId="130C76F9">
      <w:pPr>
        <w:pStyle w:val="2"/>
        <w:spacing w:line="218" w:lineRule="auto"/>
        <w:ind w:left="1895"/>
        <w:rPr>
          <w:sz w:val="24"/>
          <w:szCs w:val="24"/>
        </w:rPr>
      </w:pPr>
      <w:r>
        <w:rPr>
          <w:spacing w:val="-16"/>
          <w:sz w:val="24"/>
          <w:szCs w:val="24"/>
        </w:rPr>
        <w:t>沟槽施工</w:t>
      </w:r>
    </w:p>
    <w:p w14:paraId="2E436B5E">
      <w:pPr>
        <w:pStyle w:val="2"/>
        <w:spacing w:before="117" w:line="218" w:lineRule="auto"/>
        <w:ind w:left="1903"/>
        <w:rPr>
          <w:sz w:val="24"/>
          <w:szCs w:val="24"/>
        </w:rPr>
      </w:pPr>
      <w:r>
        <w:rPr>
          <w:spacing w:val="-19"/>
          <w:sz w:val="24"/>
          <w:szCs w:val="24"/>
        </w:rPr>
        <w:t>1沟槽土方开挖</w:t>
      </w:r>
    </w:p>
    <w:p w14:paraId="4BEB7FF7">
      <w:pPr>
        <w:pStyle w:val="2"/>
        <w:spacing w:before="117" w:line="307" w:lineRule="auto"/>
        <w:ind w:left="1457" w:right="1409" w:firstLine="437"/>
        <w:rPr>
          <w:sz w:val="24"/>
          <w:szCs w:val="24"/>
        </w:rPr>
      </w:pPr>
      <w:r>
        <w:rPr>
          <w:spacing w:val="-20"/>
          <w:sz w:val="24"/>
          <w:szCs w:val="24"/>
        </w:rPr>
        <w:t>沟槽施工采用梯形断面开挖，以机械为主，人工配合。采用直槽形式开挖。在开挖时严格</w:t>
      </w:r>
      <w:r>
        <w:rPr>
          <w:spacing w:val="-22"/>
          <w:sz w:val="24"/>
          <w:szCs w:val="24"/>
        </w:rPr>
        <w:t>控制沟底设计标高，机械开挖应保留10cm用人工清底，以免机械作业超挖扰动沟槽底原状土。</w:t>
      </w:r>
    </w:p>
    <w:p w14:paraId="082EE736">
      <w:pPr>
        <w:spacing w:line="307" w:lineRule="auto"/>
        <w:rPr>
          <w:sz w:val="24"/>
          <w:szCs w:val="24"/>
        </w:rPr>
        <w:sectPr>
          <w:footerReference r:id="rId321" w:type="default"/>
          <w:pgSz w:w="11907" w:h="16839"/>
          <w:pgMar w:top="933" w:right="4" w:bottom="1038" w:left="0" w:header="478" w:footer="357" w:gutter="0"/>
          <w:pgBorders>
            <w:top w:val="none" w:sz="0" w:space="0"/>
            <w:left w:val="none" w:sz="0" w:space="0"/>
            <w:bottom w:val="none" w:sz="0" w:space="0"/>
            <w:right w:val="none" w:sz="0" w:space="0"/>
          </w:pgBorders>
          <w:cols w:space="720" w:num="1"/>
        </w:sectPr>
      </w:pPr>
    </w:p>
    <w:p w14:paraId="40C6E8B0">
      <w:pPr>
        <w:spacing w:line="271" w:lineRule="auto"/>
        <w:rPr>
          <w:rFonts w:ascii="Arial"/>
          <w:sz w:val="21"/>
        </w:rPr>
      </w:pPr>
    </w:p>
    <w:p w14:paraId="59943B33">
      <w:pPr>
        <w:pStyle w:val="2"/>
        <w:spacing w:before="78" w:line="216" w:lineRule="auto"/>
        <w:ind w:left="1458"/>
        <w:rPr>
          <w:sz w:val="24"/>
          <w:szCs w:val="24"/>
        </w:rPr>
      </w:pPr>
      <w:r>
        <w:rPr>
          <w:spacing w:val="-21"/>
          <w:sz w:val="24"/>
          <w:szCs w:val="24"/>
        </w:rPr>
        <w:t>如遇到不良土壤，以书面形式报告业主和监理工程师，</w:t>
      </w:r>
      <w:r>
        <w:rPr>
          <w:spacing w:val="-22"/>
          <w:sz w:val="24"/>
          <w:szCs w:val="24"/>
        </w:rPr>
        <w:t>经同意后再作施工处理。</w:t>
      </w:r>
    </w:p>
    <w:p w14:paraId="65C93D19">
      <w:pPr>
        <w:pStyle w:val="2"/>
        <w:spacing w:before="122" w:line="307" w:lineRule="auto"/>
        <w:ind w:left="1458" w:right="1409" w:firstLine="434"/>
        <w:jc w:val="both"/>
        <w:rPr>
          <w:sz w:val="24"/>
          <w:szCs w:val="24"/>
        </w:rPr>
      </w:pPr>
      <w:r>
        <w:rPr>
          <w:spacing w:val="-21"/>
          <w:sz w:val="24"/>
          <w:szCs w:val="24"/>
        </w:rPr>
        <w:t>开挖时做好基坑排水工作，两侧对称挖排水沟的截面积15cm×15cm为宜。施工前和施工过</w:t>
      </w:r>
      <w:r>
        <w:rPr>
          <w:spacing w:val="-20"/>
          <w:sz w:val="24"/>
          <w:szCs w:val="24"/>
        </w:rPr>
        <w:t>程中考虑地表水的排除及基坑中积水的抽排，确保混凝土底板在无水环境下施工。基坑开挖期间，基坑附近不堆放弃土和建筑材料，做到文明施工。开挖基坑时，如遇到不良土壤应适当加大放坡，确保槽底作业面。</w:t>
      </w:r>
    </w:p>
    <w:p w14:paraId="32AD1D83">
      <w:pPr>
        <w:pStyle w:val="2"/>
        <w:spacing w:line="218" w:lineRule="auto"/>
        <w:ind w:left="1888"/>
        <w:rPr>
          <w:sz w:val="24"/>
          <w:szCs w:val="24"/>
        </w:rPr>
      </w:pPr>
      <w:r>
        <w:rPr>
          <w:spacing w:val="-19"/>
          <w:sz w:val="24"/>
          <w:szCs w:val="24"/>
        </w:rPr>
        <w:t>2沟槽混凝土底板施工</w:t>
      </w:r>
    </w:p>
    <w:p w14:paraId="0FE0E90E">
      <w:pPr>
        <w:pStyle w:val="2"/>
        <w:spacing w:before="117" w:line="308" w:lineRule="auto"/>
        <w:ind w:left="1460" w:right="1409" w:firstLine="432"/>
        <w:rPr>
          <w:sz w:val="24"/>
          <w:szCs w:val="24"/>
        </w:rPr>
      </w:pPr>
      <w:r>
        <w:rPr>
          <w:spacing w:val="-20"/>
          <w:sz w:val="24"/>
          <w:szCs w:val="24"/>
        </w:rPr>
        <w:t>施工前，对沟槽底板进行整平，放出沟槽中心线，按设计的高度和宽度利用沟槽土模浇筑混凝土底板。混凝土标号为C15，采用商品混凝土，厚度10cm。浇筑时严格按要求振捣，直到</w:t>
      </w:r>
      <w:r>
        <w:rPr>
          <w:spacing w:val="-22"/>
          <w:sz w:val="24"/>
          <w:szCs w:val="24"/>
        </w:rPr>
        <w:t>完全密实为止。浇筑后进行收光并做到及时养护，确保混凝土的强度。沟槽底板应3</w:t>
      </w:r>
      <w:r>
        <w:rPr>
          <w:spacing w:val="-23"/>
          <w:sz w:val="24"/>
          <w:szCs w:val="24"/>
        </w:rPr>
        <w:t>‰朝排水方</w:t>
      </w:r>
      <w:r>
        <w:rPr>
          <w:spacing w:val="-21"/>
          <w:sz w:val="24"/>
          <w:szCs w:val="24"/>
        </w:rPr>
        <w:t>向放坡，以便电缆沟的排水。</w:t>
      </w:r>
    </w:p>
    <w:p w14:paraId="71587D54">
      <w:pPr>
        <w:pStyle w:val="2"/>
        <w:spacing w:line="218" w:lineRule="auto"/>
        <w:ind w:left="1890"/>
        <w:rPr>
          <w:sz w:val="24"/>
          <w:szCs w:val="24"/>
        </w:rPr>
      </w:pPr>
      <w:r>
        <w:rPr>
          <w:spacing w:val="-21"/>
          <w:sz w:val="24"/>
          <w:szCs w:val="24"/>
        </w:rPr>
        <w:t>3电缆排管的铺设</w:t>
      </w:r>
    </w:p>
    <w:p w14:paraId="22556281">
      <w:pPr>
        <w:spacing w:line="19" w:lineRule="auto"/>
        <w:rPr>
          <w:rFonts w:ascii="Arial"/>
          <w:sz w:val="2"/>
        </w:rPr>
      </w:pPr>
    </w:p>
    <w:tbl>
      <w:tblPr>
        <w:tblStyle w:val="6"/>
        <w:tblW w:w="9104" w:type="dxa"/>
        <w:tblInd w:w="140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984"/>
        <w:gridCol w:w="2569"/>
        <w:gridCol w:w="4551"/>
      </w:tblGrid>
      <w:tr w14:paraId="401750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4" w:hRule="atLeast"/>
        </w:trPr>
        <w:tc>
          <w:tcPr>
            <w:tcW w:w="4553" w:type="dxa"/>
            <w:gridSpan w:val="2"/>
            <w:tcBorders>
              <w:top w:val="single" w:color="000000" w:sz="4" w:space="0"/>
              <w:left w:val="single" w:color="000000" w:sz="4" w:space="0"/>
            </w:tcBorders>
            <w:shd w:val="clear" w:color="auto" w:fill="DEEAF6"/>
            <w:vAlign w:val="top"/>
          </w:tcPr>
          <w:p w14:paraId="082BE1DC">
            <w:pPr>
              <w:spacing w:before="147" w:line="2796" w:lineRule="exact"/>
              <w:ind w:firstLine="68"/>
            </w:pPr>
            <w:r>
              <w:pict>
                <v:group id="_x0000_s3887" o:spid="_x0000_s3887" o:spt="203" style="position:absolute;left:0pt;margin-left:0.9pt;margin-top:2.15pt;height:159pt;width:226.7pt;mso-position-horizontal-relative:page;mso-position-vertical-relative:page;z-index:252258304;mso-width-relative:page;mso-height-relative:page;" coordsize="4533,3180">
                  <o:lock v:ext="edit"/>
                  <v:shape id="_x0000_s3888" o:spid="_x0000_s3888" style="position:absolute;left:21;top:0;height:60;width:4507;" fillcolor="#DEEAF6" filled="t" stroked="f" coordsize="4507,60" path="m0,60l4507,60,4507,0,0,0,0,60xe">
                    <v:path/>
                    <v:fill on="t" focussize="0,0"/>
                    <v:stroke on="f"/>
                    <v:imagedata o:title=""/>
                    <o:lock v:ext="edit"/>
                  </v:shape>
                  <v:shape id="_x0000_s3889" o:spid="_x0000_s3889" style="position:absolute;left:0;top:3122;height:58;width:4533;" fillcolor="#DEEAF6" filled="t" stroked="f" coordsize="4533,58" path="m0,57l4533,57,4533,0,0,0,0,57xe">
                    <v:path/>
                    <v:fill on="t" focussize="0,0"/>
                    <v:stroke on="f"/>
                    <v:imagedata o:title=""/>
                    <o:lock v:ext="edit"/>
                  </v:shape>
                </v:group>
              </w:pict>
            </w:r>
            <w:r>
              <w:rPr>
                <w:position w:val="-55"/>
              </w:rPr>
              <w:drawing>
                <wp:inline distT="0" distB="0" distL="0" distR="0">
                  <wp:extent cx="2830830" cy="1775460"/>
                  <wp:effectExtent l="0" t="0" r="0" b="0"/>
                  <wp:docPr id="1330" name="IM 1330"/>
                  <wp:cNvGraphicFramePr/>
                  <a:graphic xmlns:a="http://schemas.openxmlformats.org/drawingml/2006/main">
                    <a:graphicData uri="http://schemas.openxmlformats.org/drawingml/2006/picture">
                      <pic:pic xmlns:pic="http://schemas.openxmlformats.org/drawingml/2006/picture">
                        <pic:nvPicPr>
                          <pic:cNvPr id="1330" name="IM 1330"/>
                          <pic:cNvPicPr/>
                        </pic:nvPicPr>
                        <pic:blipFill>
                          <a:blip r:embed="rId516"/>
                          <a:stretch>
                            <a:fillRect/>
                          </a:stretch>
                        </pic:blipFill>
                        <pic:spPr>
                          <a:xfrm>
                            <a:off x="0" y="0"/>
                            <a:ext cx="2831464" cy="1775460"/>
                          </a:xfrm>
                          <a:prstGeom prst="rect">
                            <a:avLst/>
                          </a:prstGeom>
                        </pic:spPr>
                      </pic:pic>
                    </a:graphicData>
                  </a:graphic>
                </wp:inline>
              </w:drawing>
            </w:r>
          </w:p>
        </w:tc>
        <w:tc>
          <w:tcPr>
            <w:tcW w:w="4551" w:type="dxa"/>
            <w:tcBorders>
              <w:top w:val="single" w:color="5B9BD5" w:sz="4" w:space="0"/>
              <w:right w:val="single" w:color="5B9BD5" w:sz="4" w:space="0"/>
            </w:tcBorders>
            <w:shd w:val="clear" w:color="auto" w:fill="DEEAF6"/>
            <w:vAlign w:val="top"/>
          </w:tcPr>
          <w:p w14:paraId="6F4379D0">
            <w:pPr>
              <w:spacing w:before="173" w:line="2741" w:lineRule="exact"/>
              <w:ind w:firstLine="52"/>
            </w:pPr>
            <w:r>
              <w:pict>
                <v:group id="_x0000_s3890" o:spid="_x0000_s3890" o:spt="203" style="position:absolute;left:0pt;margin-left:-0.1pt;margin-top:2.15pt;height:159pt;width:226.9pt;mso-position-horizontal-relative:page;mso-position-vertical-relative:page;z-index:252257280;mso-width-relative:page;mso-height-relative:page;" coordsize="4537,3180">
                  <o:lock v:ext="edit"/>
                  <v:shape id="_x0000_s3891" o:spid="_x0000_s3891" style="position:absolute;left:38;top:0;height:60;width:4477;" fillcolor="#DEEAF6" filled="t" stroked="f" coordsize="4477,60" path="m0,60l4477,60,4477,0,0,0,0,60xe">
                    <v:path/>
                    <v:fill on="t" focussize="0,0"/>
                    <v:stroke on="f"/>
                    <v:imagedata o:title=""/>
                    <o:lock v:ext="edit"/>
                  </v:shape>
                  <v:shape id="_x0000_s3892" o:spid="_x0000_s3892" style="position:absolute;left:0;top:3122;height:58;width:4537;" fillcolor="#DEEAF6" filled="t" stroked="f" coordsize="4537,58" path="m0,57l4537,57,4537,0,0,0,0,57xe">
                    <v:path/>
                    <v:fill on="t" focussize="0,0"/>
                    <v:stroke on="f"/>
                    <v:imagedata o:title=""/>
                    <o:lock v:ext="edit"/>
                  </v:shape>
                </v:group>
              </w:pict>
            </w:r>
            <w:r>
              <w:rPr>
                <w:position w:val="-54"/>
              </w:rPr>
              <w:drawing>
                <wp:inline distT="0" distB="0" distL="0" distR="0">
                  <wp:extent cx="2816225" cy="1739900"/>
                  <wp:effectExtent l="0" t="0" r="0" b="0"/>
                  <wp:docPr id="1332" name="IM 1332"/>
                  <wp:cNvGraphicFramePr/>
                  <a:graphic xmlns:a="http://schemas.openxmlformats.org/drawingml/2006/main">
                    <a:graphicData uri="http://schemas.openxmlformats.org/drawingml/2006/picture">
                      <pic:pic xmlns:pic="http://schemas.openxmlformats.org/drawingml/2006/picture">
                        <pic:nvPicPr>
                          <pic:cNvPr id="1332" name="IM 1332"/>
                          <pic:cNvPicPr/>
                        </pic:nvPicPr>
                        <pic:blipFill>
                          <a:blip r:embed="rId517"/>
                          <a:stretch>
                            <a:fillRect/>
                          </a:stretch>
                        </pic:blipFill>
                        <pic:spPr>
                          <a:xfrm>
                            <a:off x="0" y="0"/>
                            <a:ext cx="2816225" cy="1740534"/>
                          </a:xfrm>
                          <a:prstGeom prst="rect">
                            <a:avLst/>
                          </a:prstGeom>
                        </pic:spPr>
                      </pic:pic>
                    </a:graphicData>
                  </a:graphic>
                </wp:inline>
              </w:drawing>
            </w:r>
          </w:p>
        </w:tc>
      </w:tr>
      <w:tr w14:paraId="507A7B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5" w:hRule="atLeast"/>
        </w:trPr>
        <w:tc>
          <w:tcPr>
            <w:tcW w:w="4553" w:type="dxa"/>
            <w:gridSpan w:val="2"/>
            <w:tcBorders>
              <w:left w:val="single" w:color="000000" w:sz="4" w:space="0"/>
            </w:tcBorders>
            <w:vAlign w:val="top"/>
          </w:tcPr>
          <w:p w14:paraId="693BA194">
            <w:pPr>
              <w:pStyle w:val="7"/>
              <w:spacing w:before="97" w:line="220" w:lineRule="auto"/>
              <w:ind w:left="1653"/>
            </w:pPr>
            <w:r>
              <w:rPr>
                <w:spacing w:val="-20"/>
              </w:rPr>
              <w:t>管道垫层施工</w:t>
            </w:r>
          </w:p>
        </w:tc>
        <w:tc>
          <w:tcPr>
            <w:tcW w:w="4551" w:type="dxa"/>
            <w:tcBorders>
              <w:right w:val="single" w:color="000000" w:sz="4" w:space="0"/>
            </w:tcBorders>
            <w:vAlign w:val="top"/>
          </w:tcPr>
          <w:p w14:paraId="36026EF2">
            <w:pPr>
              <w:pStyle w:val="7"/>
              <w:spacing w:before="97" w:line="219" w:lineRule="auto"/>
              <w:ind w:left="1846"/>
            </w:pPr>
            <w:r>
              <w:rPr>
                <w:spacing w:val="-16"/>
              </w:rPr>
              <w:t>垫块施工</w:t>
            </w:r>
          </w:p>
        </w:tc>
      </w:tr>
      <w:tr w14:paraId="1D18DF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4" w:hRule="atLeast"/>
        </w:trPr>
        <w:tc>
          <w:tcPr>
            <w:tcW w:w="4553" w:type="dxa"/>
            <w:gridSpan w:val="2"/>
            <w:tcBorders>
              <w:left w:val="single" w:color="000000" w:sz="4" w:space="0"/>
              <w:bottom w:val="nil"/>
            </w:tcBorders>
            <w:vAlign w:val="top"/>
          </w:tcPr>
          <w:p w14:paraId="50547729">
            <w:pPr>
              <w:spacing w:line="164" w:lineRule="exact"/>
              <w:rPr>
                <w:rFonts w:ascii="Arial"/>
                <w:sz w:val="14"/>
              </w:rPr>
            </w:pPr>
          </w:p>
        </w:tc>
        <w:tc>
          <w:tcPr>
            <w:tcW w:w="4551" w:type="dxa"/>
            <w:tcBorders>
              <w:bottom w:val="nil"/>
              <w:right w:val="single" w:color="000000" w:sz="4" w:space="0"/>
            </w:tcBorders>
            <w:vAlign w:val="top"/>
          </w:tcPr>
          <w:p w14:paraId="0E34FE31">
            <w:pPr>
              <w:spacing w:line="164" w:lineRule="exact"/>
              <w:rPr>
                <w:rFonts w:ascii="Arial"/>
                <w:sz w:val="14"/>
              </w:rPr>
            </w:pPr>
          </w:p>
        </w:tc>
      </w:tr>
      <w:tr w14:paraId="1D74EB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23" w:hRule="atLeast"/>
        </w:trPr>
        <w:tc>
          <w:tcPr>
            <w:tcW w:w="4553" w:type="dxa"/>
            <w:gridSpan w:val="2"/>
            <w:tcBorders>
              <w:top w:val="nil"/>
              <w:left w:val="single" w:color="1C456A" w:sz="4" w:space="0"/>
              <w:bottom w:val="nil"/>
            </w:tcBorders>
            <w:vAlign w:val="top"/>
          </w:tcPr>
          <w:p w14:paraId="364252DE">
            <w:pPr>
              <w:spacing w:before="25" w:line="2784" w:lineRule="exact"/>
              <w:ind w:firstLine="68"/>
            </w:pPr>
            <w:r>
              <w:rPr>
                <w:position w:val="-55"/>
              </w:rPr>
              <w:drawing>
                <wp:inline distT="0" distB="0" distL="0" distR="0">
                  <wp:extent cx="2842260" cy="1767205"/>
                  <wp:effectExtent l="0" t="0" r="0" b="0"/>
                  <wp:docPr id="1334" name="IM 1334"/>
                  <wp:cNvGraphicFramePr/>
                  <a:graphic xmlns:a="http://schemas.openxmlformats.org/drawingml/2006/main">
                    <a:graphicData uri="http://schemas.openxmlformats.org/drawingml/2006/picture">
                      <pic:pic xmlns:pic="http://schemas.openxmlformats.org/drawingml/2006/picture">
                        <pic:nvPicPr>
                          <pic:cNvPr id="1334" name="IM 1334"/>
                          <pic:cNvPicPr/>
                        </pic:nvPicPr>
                        <pic:blipFill>
                          <a:blip r:embed="rId518"/>
                          <a:stretch>
                            <a:fillRect/>
                          </a:stretch>
                        </pic:blipFill>
                        <pic:spPr>
                          <a:xfrm>
                            <a:off x="0" y="0"/>
                            <a:ext cx="2842260" cy="1767839"/>
                          </a:xfrm>
                          <a:prstGeom prst="rect">
                            <a:avLst/>
                          </a:prstGeom>
                        </pic:spPr>
                      </pic:pic>
                    </a:graphicData>
                  </a:graphic>
                </wp:inline>
              </w:drawing>
            </w:r>
          </w:p>
        </w:tc>
        <w:tc>
          <w:tcPr>
            <w:tcW w:w="4551" w:type="dxa"/>
            <w:tcBorders>
              <w:top w:val="nil"/>
              <w:bottom w:val="nil"/>
              <w:right w:val="single" w:color="5B9BD5" w:sz="4" w:space="0"/>
            </w:tcBorders>
            <w:vAlign w:val="top"/>
          </w:tcPr>
          <w:p w14:paraId="691FCB6A">
            <w:pPr>
              <w:spacing w:before="4" w:line="2808" w:lineRule="exact"/>
              <w:ind w:firstLine="52"/>
            </w:pPr>
            <w:r>
              <w:rPr>
                <w:position w:val="-56"/>
              </w:rPr>
              <w:drawing>
                <wp:inline distT="0" distB="0" distL="0" distR="0">
                  <wp:extent cx="2840355" cy="1783080"/>
                  <wp:effectExtent l="0" t="0" r="0" b="0"/>
                  <wp:docPr id="1336" name="IM 1336"/>
                  <wp:cNvGraphicFramePr/>
                  <a:graphic xmlns:a="http://schemas.openxmlformats.org/drawingml/2006/main">
                    <a:graphicData uri="http://schemas.openxmlformats.org/drawingml/2006/picture">
                      <pic:pic xmlns:pic="http://schemas.openxmlformats.org/drawingml/2006/picture">
                        <pic:nvPicPr>
                          <pic:cNvPr id="1336" name="IM 1336"/>
                          <pic:cNvPicPr/>
                        </pic:nvPicPr>
                        <pic:blipFill>
                          <a:blip r:embed="rId519"/>
                          <a:stretch>
                            <a:fillRect/>
                          </a:stretch>
                        </pic:blipFill>
                        <pic:spPr>
                          <a:xfrm>
                            <a:off x="0" y="0"/>
                            <a:ext cx="2840355" cy="1783334"/>
                          </a:xfrm>
                          <a:prstGeom prst="rect">
                            <a:avLst/>
                          </a:prstGeom>
                        </pic:spPr>
                      </pic:pic>
                    </a:graphicData>
                  </a:graphic>
                </wp:inline>
              </w:drawing>
            </w:r>
          </w:p>
        </w:tc>
      </w:tr>
      <w:tr w14:paraId="713E36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5" w:hRule="atLeast"/>
        </w:trPr>
        <w:tc>
          <w:tcPr>
            <w:tcW w:w="4553" w:type="dxa"/>
            <w:gridSpan w:val="2"/>
            <w:tcBorders>
              <w:top w:val="nil"/>
              <w:left w:val="single" w:color="000000" w:sz="4" w:space="0"/>
            </w:tcBorders>
            <w:vAlign w:val="top"/>
          </w:tcPr>
          <w:p w14:paraId="3833F116">
            <w:pPr>
              <w:rPr>
                <w:rFonts w:ascii="Arial"/>
                <w:sz w:val="21"/>
              </w:rPr>
            </w:pPr>
          </w:p>
        </w:tc>
        <w:tc>
          <w:tcPr>
            <w:tcW w:w="4551" w:type="dxa"/>
            <w:tcBorders>
              <w:top w:val="nil"/>
              <w:right w:val="single" w:color="000000" w:sz="4" w:space="0"/>
            </w:tcBorders>
            <w:vAlign w:val="top"/>
          </w:tcPr>
          <w:p w14:paraId="16A6B527">
            <w:pPr>
              <w:rPr>
                <w:rFonts w:ascii="Arial"/>
                <w:sz w:val="21"/>
              </w:rPr>
            </w:pPr>
          </w:p>
        </w:tc>
      </w:tr>
      <w:tr w14:paraId="7B2677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5" w:hRule="atLeast"/>
        </w:trPr>
        <w:tc>
          <w:tcPr>
            <w:tcW w:w="1984" w:type="dxa"/>
            <w:tcBorders>
              <w:left w:val="single" w:color="1C456A" w:sz="4" w:space="0"/>
              <w:bottom w:val="single" w:color="1C456A" w:sz="4" w:space="0"/>
              <w:right w:val="nil"/>
            </w:tcBorders>
            <w:vAlign w:val="top"/>
          </w:tcPr>
          <w:p w14:paraId="5BEB3474">
            <w:pPr>
              <w:rPr>
                <w:rFonts w:ascii="Arial"/>
                <w:sz w:val="21"/>
              </w:rPr>
            </w:pPr>
            <w:r>
              <w:pict>
                <v:shape id="_x0000_s3893" o:spid="_x0000_s3893" style="position:absolute;left:0pt;margin-left:-0.25pt;margin-top:31.3pt;height:0.75pt;width:2.2pt;mso-position-horizontal-relative:page;mso-position-vertical-relative:page;z-index:252255232;mso-width-relative:page;mso-height-relative:page;" fillcolor="#5B9BD5" filled="t" stroked="f" coordsize="44,15" path="m0,14l43,14,43,0,0,0,0,14xe">
                  <v:path/>
                  <v:fill on="t" focussize="0,0"/>
                  <v:stroke on="f"/>
                  <v:imagedata o:title=""/>
                  <o:lock v:ext="edit"/>
                </v:shape>
              </w:pict>
            </w:r>
          </w:p>
        </w:tc>
        <w:tc>
          <w:tcPr>
            <w:tcW w:w="7120" w:type="dxa"/>
            <w:gridSpan w:val="2"/>
            <w:tcBorders>
              <w:left w:val="nil"/>
              <w:bottom w:val="single" w:color="1C456A" w:sz="4" w:space="0"/>
              <w:right w:val="single" w:color="1C456A" w:sz="4" w:space="0"/>
            </w:tcBorders>
            <w:vAlign w:val="top"/>
          </w:tcPr>
          <w:p w14:paraId="6DA516B8">
            <w:pPr>
              <w:pStyle w:val="7"/>
              <w:spacing w:before="102" w:line="219" w:lineRule="auto"/>
              <w:ind w:left="1942"/>
            </w:pPr>
            <w:r>
              <w:pict>
                <v:shape id="_x0000_s3894" o:spid="_x0000_s3894" style="position:absolute;left:0pt;margin-left:354.15pt;margin-top:31.3pt;height:0.75pt;width:2.2pt;mso-position-horizontal-relative:page;mso-position-vertical-relative:page;z-index:252256256;mso-width-relative:page;mso-height-relative:page;" fillcolor="#5B9BD5" filled="t" stroked="f" coordsize="44,15" path="m0,14l43,14,43,0,0,0,0,14xe">
                  <v:path/>
                  <v:fill on="t" focussize="0,0"/>
                  <v:stroke on="f"/>
                  <v:imagedata o:title=""/>
                  <o:lock v:ext="edit"/>
                </v:shape>
              </w:pict>
            </w:r>
            <w:r>
              <w:rPr>
                <w:spacing w:val="-20"/>
              </w:rPr>
              <w:t>管基钢筋敷设</w:t>
            </w:r>
          </w:p>
        </w:tc>
      </w:tr>
    </w:tbl>
    <w:p w14:paraId="7FB32F18">
      <w:pPr>
        <w:rPr>
          <w:rFonts w:ascii="Arial"/>
          <w:sz w:val="21"/>
        </w:rPr>
      </w:pPr>
    </w:p>
    <w:p w14:paraId="3CCAD696">
      <w:pPr>
        <w:rPr>
          <w:rFonts w:ascii="Arial" w:hAnsi="Arial" w:eastAsia="Arial" w:cs="Arial"/>
          <w:sz w:val="21"/>
          <w:szCs w:val="21"/>
        </w:rPr>
        <w:sectPr>
          <w:footerReference r:id="rId322" w:type="default"/>
          <w:pgSz w:w="11907" w:h="16839"/>
          <w:pgMar w:top="933" w:right="4" w:bottom="1038" w:left="0" w:header="478" w:footer="357" w:gutter="0"/>
          <w:pgBorders>
            <w:top w:val="none" w:sz="0" w:space="0"/>
            <w:left w:val="none" w:sz="0" w:space="0"/>
            <w:bottom w:val="none" w:sz="0" w:space="0"/>
            <w:right w:val="none" w:sz="0" w:space="0"/>
          </w:pgBorders>
          <w:cols w:space="720" w:num="1"/>
        </w:sectPr>
      </w:pPr>
    </w:p>
    <w:p w14:paraId="2C38F530">
      <w:pPr>
        <w:spacing w:line="235" w:lineRule="exact"/>
      </w:pPr>
    </w:p>
    <w:tbl>
      <w:tblPr>
        <w:tblStyle w:val="6"/>
        <w:tblW w:w="9104" w:type="dxa"/>
        <w:tblInd w:w="140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551"/>
        <w:gridCol w:w="4553"/>
      </w:tblGrid>
      <w:tr w14:paraId="2F674C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731" w:hRule="atLeast"/>
        </w:trPr>
        <w:tc>
          <w:tcPr>
            <w:tcW w:w="4551" w:type="dxa"/>
            <w:tcBorders>
              <w:top w:val="single" w:color="000000" w:sz="4" w:space="0"/>
              <w:left w:val="single" w:color="000000" w:sz="4" w:space="0"/>
            </w:tcBorders>
            <w:vAlign w:val="top"/>
          </w:tcPr>
          <w:p w14:paraId="02E5BEE0">
            <w:pPr>
              <w:spacing w:before="105" w:line="2400" w:lineRule="exact"/>
              <w:ind w:firstLine="68"/>
            </w:pPr>
            <w:r>
              <w:rPr>
                <w:position w:val="-48"/>
              </w:rPr>
              <w:drawing>
                <wp:inline distT="0" distB="0" distL="0" distR="0">
                  <wp:extent cx="2837180" cy="1524000"/>
                  <wp:effectExtent l="0" t="0" r="0" b="0"/>
                  <wp:docPr id="1340" name="IM 1340"/>
                  <wp:cNvGraphicFramePr/>
                  <a:graphic xmlns:a="http://schemas.openxmlformats.org/drawingml/2006/main">
                    <a:graphicData uri="http://schemas.openxmlformats.org/drawingml/2006/picture">
                      <pic:pic xmlns:pic="http://schemas.openxmlformats.org/drawingml/2006/picture">
                        <pic:nvPicPr>
                          <pic:cNvPr id="1340" name="IM 1340"/>
                          <pic:cNvPicPr/>
                        </pic:nvPicPr>
                        <pic:blipFill>
                          <a:blip r:embed="rId520"/>
                          <a:stretch>
                            <a:fillRect/>
                          </a:stretch>
                        </pic:blipFill>
                        <pic:spPr>
                          <a:xfrm>
                            <a:off x="0" y="0"/>
                            <a:ext cx="2837814" cy="1524000"/>
                          </a:xfrm>
                          <a:prstGeom prst="rect">
                            <a:avLst/>
                          </a:prstGeom>
                        </pic:spPr>
                      </pic:pic>
                    </a:graphicData>
                  </a:graphic>
                </wp:inline>
              </w:drawing>
            </w:r>
          </w:p>
        </w:tc>
        <w:tc>
          <w:tcPr>
            <w:tcW w:w="4553" w:type="dxa"/>
            <w:tcBorders>
              <w:top w:val="single" w:color="5B9BD5" w:sz="4" w:space="0"/>
              <w:right w:val="single" w:color="5B9BD5" w:sz="4" w:space="0"/>
            </w:tcBorders>
            <w:vAlign w:val="top"/>
          </w:tcPr>
          <w:p w14:paraId="319E2006">
            <w:pPr>
              <w:spacing w:before="93" w:line="2422" w:lineRule="exact"/>
              <w:ind w:firstLine="54"/>
            </w:pPr>
            <w:r>
              <w:rPr>
                <w:position w:val="-48"/>
              </w:rPr>
              <w:drawing>
                <wp:inline distT="0" distB="0" distL="0" distR="0">
                  <wp:extent cx="2851785" cy="1537335"/>
                  <wp:effectExtent l="0" t="0" r="0" b="0"/>
                  <wp:docPr id="1342" name="IM 1342"/>
                  <wp:cNvGraphicFramePr/>
                  <a:graphic xmlns:a="http://schemas.openxmlformats.org/drawingml/2006/main">
                    <a:graphicData uri="http://schemas.openxmlformats.org/drawingml/2006/picture">
                      <pic:pic xmlns:pic="http://schemas.openxmlformats.org/drawingml/2006/picture">
                        <pic:nvPicPr>
                          <pic:cNvPr id="1342" name="IM 1342"/>
                          <pic:cNvPicPr/>
                        </pic:nvPicPr>
                        <pic:blipFill>
                          <a:blip r:embed="rId521"/>
                          <a:stretch>
                            <a:fillRect/>
                          </a:stretch>
                        </pic:blipFill>
                        <pic:spPr>
                          <a:xfrm>
                            <a:off x="0" y="0"/>
                            <a:ext cx="2851962" cy="1537969"/>
                          </a:xfrm>
                          <a:prstGeom prst="rect">
                            <a:avLst/>
                          </a:prstGeom>
                        </pic:spPr>
                      </pic:pic>
                    </a:graphicData>
                  </a:graphic>
                </wp:inline>
              </w:drawing>
            </w:r>
          </w:p>
        </w:tc>
      </w:tr>
      <w:tr w14:paraId="6FCF39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85" w:hRule="atLeast"/>
        </w:trPr>
        <w:tc>
          <w:tcPr>
            <w:tcW w:w="4551" w:type="dxa"/>
            <w:tcBorders>
              <w:left w:val="single" w:color="000000" w:sz="4" w:space="0"/>
            </w:tcBorders>
            <w:vAlign w:val="top"/>
          </w:tcPr>
          <w:p w14:paraId="37375805">
            <w:pPr>
              <w:pStyle w:val="7"/>
              <w:spacing w:before="95" w:line="220" w:lineRule="auto"/>
              <w:ind w:left="1871"/>
            </w:pPr>
            <w:r>
              <w:rPr>
                <w:spacing w:val="-19"/>
              </w:rPr>
              <w:t>管道包封</w:t>
            </w:r>
          </w:p>
        </w:tc>
        <w:tc>
          <w:tcPr>
            <w:tcW w:w="4553" w:type="dxa"/>
            <w:tcBorders>
              <w:right w:val="single" w:color="000000" w:sz="4" w:space="0"/>
            </w:tcBorders>
            <w:vAlign w:val="top"/>
          </w:tcPr>
          <w:p w14:paraId="33307DF8">
            <w:pPr>
              <w:pStyle w:val="7"/>
              <w:spacing w:before="96" w:line="218" w:lineRule="auto"/>
              <w:ind w:left="1857"/>
            </w:pPr>
            <w:r>
              <w:rPr>
                <w:spacing w:val="-19"/>
              </w:rPr>
              <w:t>管道吊装</w:t>
            </w:r>
          </w:p>
        </w:tc>
      </w:tr>
      <w:tr w14:paraId="2CEE7C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5" w:hRule="atLeast"/>
        </w:trPr>
        <w:tc>
          <w:tcPr>
            <w:tcW w:w="4551" w:type="dxa"/>
            <w:tcBorders>
              <w:left w:val="single" w:color="000000" w:sz="4" w:space="0"/>
              <w:bottom w:val="nil"/>
            </w:tcBorders>
            <w:vAlign w:val="top"/>
          </w:tcPr>
          <w:p w14:paraId="67AE2A1D">
            <w:pPr>
              <w:spacing w:line="145" w:lineRule="exact"/>
              <w:rPr>
                <w:rFonts w:ascii="Arial"/>
                <w:sz w:val="12"/>
              </w:rPr>
            </w:pPr>
          </w:p>
        </w:tc>
        <w:tc>
          <w:tcPr>
            <w:tcW w:w="4553" w:type="dxa"/>
            <w:tcBorders>
              <w:bottom w:val="nil"/>
              <w:right w:val="single" w:color="000000" w:sz="4" w:space="0"/>
            </w:tcBorders>
            <w:vAlign w:val="top"/>
          </w:tcPr>
          <w:p w14:paraId="7F2DEC9D">
            <w:pPr>
              <w:spacing w:line="145" w:lineRule="exact"/>
              <w:rPr>
                <w:rFonts w:ascii="Arial"/>
                <w:sz w:val="12"/>
              </w:rPr>
            </w:pPr>
          </w:p>
        </w:tc>
      </w:tr>
      <w:tr w14:paraId="7E25EB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444" w:hRule="atLeast"/>
        </w:trPr>
        <w:tc>
          <w:tcPr>
            <w:tcW w:w="4551" w:type="dxa"/>
            <w:tcBorders>
              <w:top w:val="nil"/>
              <w:left w:val="single" w:color="1C456A" w:sz="4" w:space="0"/>
              <w:bottom w:val="nil"/>
            </w:tcBorders>
            <w:vAlign w:val="top"/>
          </w:tcPr>
          <w:p w14:paraId="74E994C2">
            <w:pPr>
              <w:spacing w:before="8" w:line="2426" w:lineRule="exact"/>
              <w:ind w:firstLine="68"/>
            </w:pPr>
            <w:r>
              <w:rPr>
                <w:position w:val="-48"/>
              </w:rPr>
              <w:drawing>
                <wp:inline distT="0" distB="0" distL="0" distR="0">
                  <wp:extent cx="2825115" cy="1539875"/>
                  <wp:effectExtent l="0" t="0" r="0" b="0"/>
                  <wp:docPr id="1344" name="IM 1344"/>
                  <wp:cNvGraphicFramePr/>
                  <a:graphic xmlns:a="http://schemas.openxmlformats.org/drawingml/2006/main">
                    <a:graphicData uri="http://schemas.openxmlformats.org/drawingml/2006/picture">
                      <pic:pic xmlns:pic="http://schemas.openxmlformats.org/drawingml/2006/picture">
                        <pic:nvPicPr>
                          <pic:cNvPr id="1344" name="IM 1344"/>
                          <pic:cNvPicPr/>
                        </pic:nvPicPr>
                        <pic:blipFill>
                          <a:blip r:embed="rId522"/>
                          <a:stretch>
                            <a:fillRect/>
                          </a:stretch>
                        </pic:blipFill>
                        <pic:spPr>
                          <a:xfrm>
                            <a:off x="0" y="0"/>
                            <a:ext cx="2825749" cy="1540383"/>
                          </a:xfrm>
                          <a:prstGeom prst="rect">
                            <a:avLst/>
                          </a:prstGeom>
                        </pic:spPr>
                      </pic:pic>
                    </a:graphicData>
                  </a:graphic>
                </wp:inline>
              </w:drawing>
            </w:r>
          </w:p>
        </w:tc>
        <w:tc>
          <w:tcPr>
            <w:tcW w:w="4553" w:type="dxa"/>
            <w:tcBorders>
              <w:top w:val="nil"/>
              <w:bottom w:val="nil"/>
              <w:right w:val="single" w:color="5B9BD5" w:sz="4" w:space="0"/>
            </w:tcBorders>
            <w:vAlign w:val="top"/>
          </w:tcPr>
          <w:p w14:paraId="52C28062">
            <w:pPr>
              <w:spacing w:before="3" w:line="2431" w:lineRule="exact"/>
              <w:ind w:firstLine="78"/>
            </w:pPr>
            <w:r>
              <w:rPr>
                <w:position w:val="-48"/>
              </w:rPr>
              <w:drawing>
                <wp:inline distT="0" distB="0" distL="0" distR="0">
                  <wp:extent cx="2774950" cy="1543050"/>
                  <wp:effectExtent l="0" t="0" r="0" b="0"/>
                  <wp:docPr id="1346" name="IM 1346"/>
                  <wp:cNvGraphicFramePr/>
                  <a:graphic xmlns:a="http://schemas.openxmlformats.org/drawingml/2006/main">
                    <a:graphicData uri="http://schemas.openxmlformats.org/drawingml/2006/picture">
                      <pic:pic xmlns:pic="http://schemas.openxmlformats.org/drawingml/2006/picture">
                        <pic:nvPicPr>
                          <pic:cNvPr id="1346" name="IM 1346"/>
                          <pic:cNvPicPr/>
                        </pic:nvPicPr>
                        <pic:blipFill>
                          <a:blip r:embed="rId523"/>
                          <a:stretch>
                            <a:fillRect/>
                          </a:stretch>
                        </pic:blipFill>
                        <pic:spPr>
                          <a:xfrm>
                            <a:off x="0" y="0"/>
                            <a:ext cx="2774950" cy="1543558"/>
                          </a:xfrm>
                          <a:prstGeom prst="rect">
                            <a:avLst/>
                          </a:prstGeom>
                        </pic:spPr>
                      </pic:pic>
                    </a:graphicData>
                  </a:graphic>
                </wp:inline>
              </w:drawing>
            </w:r>
          </w:p>
        </w:tc>
      </w:tr>
      <w:tr w14:paraId="1098D3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15" w:hRule="atLeast"/>
        </w:trPr>
        <w:tc>
          <w:tcPr>
            <w:tcW w:w="4551" w:type="dxa"/>
            <w:tcBorders>
              <w:top w:val="nil"/>
              <w:left w:val="single" w:color="000000" w:sz="4" w:space="0"/>
            </w:tcBorders>
            <w:vAlign w:val="top"/>
          </w:tcPr>
          <w:p w14:paraId="6A5A0079">
            <w:pPr>
              <w:rPr>
                <w:rFonts w:ascii="Arial"/>
                <w:sz w:val="21"/>
              </w:rPr>
            </w:pPr>
          </w:p>
        </w:tc>
        <w:tc>
          <w:tcPr>
            <w:tcW w:w="4553" w:type="dxa"/>
            <w:tcBorders>
              <w:top w:val="nil"/>
              <w:right w:val="single" w:color="000000" w:sz="4" w:space="0"/>
            </w:tcBorders>
            <w:vAlign w:val="top"/>
          </w:tcPr>
          <w:p w14:paraId="083B6EB5">
            <w:pPr>
              <w:rPr>
                <w:rFonts w:ascii="Arial"/>
                <w:sz w:val="21"/>
              </w:rPr>
            </w:pPr>
          </w:p>
        </w:tc>
      </w:tr>
      <w:tr w14:paraId="32D93D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732" w:hRule="atLeast"/>
        </w:trPr>
        <w:tc>
          <w:tcPr>
            <w:tcW w:w="4551" w:type="dxa"/>
            <w:tcBorders>
              <w:left w:val="single" w:color="000000" w:sz="4" w:space="0"/>
            </w:tcBorders>
            <w:vAlign w:val="top"/>
          </w:tcPr>
          <w:p w14:paraId="33A052B5">
            <w:pPr>
              <w:spacing w:before="62" w:line="2460" w:lineRule="exact"/>
              <w:ind w:firstLine="68"/>
            </w:pPr>
            <w:r>
              <w:rPr>
                <w:position w:val="-49"/>
              </w:rPr>
              <w:drawing>
                <wp:inline distT="0" distB="0" distL="0" distR="0">
                  <wp:extent cx="2840990" cy="1562100"/>
                  <wp:effectExtent l="0" t="0" r="0" b="0"/>
                  <wp:docPr id="1348" name="IM 1348"/>
                  <wp:cNvGraphicFramePr/>
                  <a:graphic xmlns:a="http://schemas.openxmlformats.org/drawingml/2006/main">
                    <a:graphicData uri="http://schemas.openxmlformats.org/drawingml/2006/picture">
                      <pic:pic xmlns:pic="http://schemas.openxmlformats.org/drawingml/2006/picture">
                        <pic:nvPicPr>
                          <pic:cNvPr id="1348" name="IM 1348"/>
                          <pic:cNvPicPr/>
                        </pic:nvPicPr>
                        <pic:blipFill>
                          <a:blip r:embed="rId524"/>
                          <a:stretch>
                            <a:fillRect/>
                          </a:stretch>
                        </pic:blipFill>
                        <pic:spPr>
                          <a:xfrm>
                            <a:off x="0" y="0"/>
                            <a:ext cx="2841485" cy="1562100"/>
                          </a:xfrm>
                          <a:prstGeom prst="rect">
                            <a:avLst/>
                          </a:prstGeom>
                        </pic:spPr>
                      </pic:pic>
                    </a:graphicData>
                  </a:graphic>
                </wp:inline>
              </w:drawing>
            </w:r>
          </w:p>
        </w:tc>
        <w:tc>
          <w:tcPr>
            <w:tcW w:w="4553" w:type="dxa"/>
            <w:tcBorders>
              <w:right w:val="single" w:color="000000" w:sz="4" w:space="0"/>
            </w:tcBorders>
            <w:vAlign w:val="top"/>
          </w:tcPr>
          <w:p w14:paraId="0EEF051B">
            <w:pPr>
              <w:spacing w:before="71" w:line="2441" w:lineRule="exact"/>
              <w:ind w:firstLine="54"/>
            </w:pPr>
            <w:r>
              <w:rPr>
                <w:position w:val="-48"/>
              </w:rPr>
              <w:drawing>
                <wp:inline distT="0" distB="0" distL="0" distR="0">
                  <wp:extent cx="2823210" cy="1549400"/>
                  <wp:effectExtent l="0" t="0" r="0" b="0"/>
                  <wp:docPr id="1350" name="IM 1350"/>
                  <wp:cNvGraphicFramePr/>
                  <a:graphic xmlns:a="http://schemas.openxmlformats.org/drawingml/2006/main">
                    <a:graphicData uri="http://schemas.openxmlformats.org/drawingml/2006/picture">
                      <pic:pic xmlns:pic="http://schemas.openxmlformats.org/drawingml/2006/picture">
                        <pic:nvPicPr>
                          <pic:cNvPr id="1350" name="IM 1350"/>
                          <pic:cNvPicPr/>
                        </pic:nvPicPr>
                        <pic:blipFill>
                          <a:blip r:embed="rId525"/>
                          <a:stretch>
                            <a:fillRect/>
                          </a:stretch>
                        </pic:blipFill>
                        <pic:spPr>
                          <a:xfrm>
                            <a:off x="0" y="0"/>
                            <a:ext cx="2823844" cy="1550034"/>
                          </a:xfrm>
                          <a:prstGeom prst="rect">
                            <a:avLst/>
                          </a:prstGeom>
                        </pic:spPr>
                      </pic:pic>
                    </a:graphicData>
                  </a:graphic>
                </wp:inline>
              </w:drawing>
            </w:r>
          </w:p>
        </w:tc>
      </w:tr>
      <w:tr w14:paraId="0D6C8E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87" w:hRule="atLeast"/>
        </w:trPr>
        <w:tc>
          <w:tcPr>
            <w:tcW w:w="9104" w:type="dxa"/>
            <w:gridSpan w:val="2"/>
            <w:tcBorders>
              <w:left w:val="single" w:color="000000" w:sz="4" w:space="0"/>
              <w:right w:val="single" w:color="000000" w:sz="4" w:space="0"/>
            </w:tcBorders>
            <w:vAlign w:val="top"/>
          </w:tcPr>
          <w:p w14:paraId="28B6C2E1">
            <w:pPr>
              <w:pStyle w:val="7"/>
              <w:spacing w:before="100" w:line="220" w:lineRule="auto"/>
              <w:ind w:left="4140"/>
            </w:pPr>
            <w:r>
              <w:rPr>
                <w:spacing w:val="-19"/>
              </w:rPr>
              <w:t>管道安装</w:t>
            </w:r>
          </w:p>
        </w:tc>
      </w:tr>
      <w:tr w14:paraId="4E7AFD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518" w:hRule="atLeast"/>
        </w:trPr>
        <w:tc>
          <w:tcPr>
            <w:tcW w:w="4551" w:type="dxa"/>
            <w:tcBorders>
              <w:left w:val="single" w:color="1C456A" w:sz="4" w:space="0"/>
              <w:bottom w:val="single" w:color="1C456A" w:sz="4" w:space="0"/>
            </w:tcBorders>
            <w:vAlign w:val="top"/>
          </w:tcPr>
          <w:p w14:paraId="36FF1D37">
            <w:pPr>
              <w:spacing w:before="61" w:line="2206" w:lineRule="exact"/>
              <w:ind w:firstLine="70"/>
            </w:pPr>
            <w:r>
              <w:pict>
                <v:shape id="_x0000_s3895" o:spid="_x0000_s3895" style="position:absolute;left:0pt;margin-left:-0.2pt;margin-top:125.95pt;height:0.75pt;width:2.2pt;mso-position-horizontal-relative:page;mso-position-vertical-relative:page;z-index:252260352;mso-width-relative:page;mso-height-relative:page;" fillcolor="#5B9BD5" filled="t" stroked="f" coordsize="44,15" path="m0,14l43,14,43,0,0,0,0,14xe">
                  <v:path/>
                  <v:fill on="t" focussize="0,0"/>
                  <v:stroke on="f"/>
                  <v:imagedata o:title=""/>
                  <o:lock v:ext="edit"/>
                </v:shape>
              </w:pict>
            </w:r>
            <w:r>
              <w:rPr>
                <w:position w:val="-44"/>
              </w:rPr>
              <w:drawing>
                <wp:inline distT="0" distB="0" distL="0" distR="0">
                  <wp:extent cx="2802890" cy="1400810"/>
                  <wp:effectExtent l="0" t="0" r="0" b="0"/>
                  <wp:docPr id="1352" name="IM 1352"/>
                  <wp:cNvGraphicFramePr/>
                  <a:graphic xmlns:a="http://schemas.openxmlformats.org/drawingml/2006/main">
                    <a:graphicData uri="http://schemas.openxmlformats.org/drawingml/2006/picture">
                      <pic:pic xmlns:pic="http://schemas.openxmlformats.org/drawingml/2006/picture">
                        <pic:nvPicPr>
                          <pic:cNvPr id="1352" name="IM 1352"/>
                          <pic:cNvPicPr/>
                        </pic:nvPicPr>
                        <pic:blipFill>
                          <a:blip r:embed="rId526"/>
                          <a:stretch>
                            <a:fillRect/>
                          </a:stretch>
                        </pic:blipFill>
                        <pic:spPr>
                          <a:xfrm>
                            <a:off x="0" y="0"/>
                            <a:ext cx="2802890" cy="1400810"/>
                          </a:xfrm>
                          <a:prstGeom prst="rect">
                            <a:avLst/>
                          </a:prstGeom>
                        </pic:spPr>
                      </pic:pic>
                    </a:graphicData>
                  </a:graphic>
                </wp:inline>
              </w:drawing>
            </w:r>
          </w:p>
        </w:tc>
        <w:tc>
          <w:tcPr>
            <w:tcW w:w="4553" w:type="dxa"/>
            <w:tcBorders>
              <w:bottom w:val="single" w:color="5B9BD5" w:sz="4" w:space="0"/>
              <w:right w:val="single" w:color="5B9BD5" w:sz="4" w:space="0"/>
            </w:tcBorders>
            <w:vAlign w:val="top"/>
          </w:tcPr>
          <w:p w14:paraId="3300C549">
            <w:pPr>
              <w:spacing w:before="81" w:line="2172" w:lineRule="exact"/>
              <w:ind w:firstLine="80"/>
            </w:pPr>
            <w:r>
              <w:pict>
                <v:shape id="_x0000_s3896" o:spid="_x0000_s3896" style="position:absolute;left:0pt;margin-left:225.8pt;margin-top:125.95pt;height:0.75pt;width:2.2pt;mso-position-horizontal-relative:page;mso-position-vertical-relative:page;z-index:252259328;mso-width-relative:page;mso-height-relative:page;" fillcolor="#5B9BD5" filled="t" stroked="f" coordsize="44,15" path="m0,14l43,14,43,0,0,0,0,14xe">
                  <v:path/>
                  <v:fill on="t" focussize="0,0"/>
                  <v:stroke on="f"/>
                  <v:imagedata o:title=""/>
                  <o:lock v:ext="edit"/>
                </v:shape>
              </w:pict>
            </w:r>
            <w:r>
              <w:rPr>
                <w:position w:val="-43"/>
              </w:rPr>
              <w:drawing>
                <wp:inline distT="0" distB="0" distL="0" distR="0">
                  <wp:extent cx="2773045" cy="1379220"/>
                  <wp:effectExtent l="0" t="0" r="0" b="0"/>
                  <wp:docPr id="1354" name="IM 1354"/>
                  <wp:cNvGraphicFramePr/>
                  <a:graphic xmlns:a="http://schemas.openxmlformats.org/drawingml/2006/main">
                    <a:graphicData uri="http://schemas.openxmlformats.org/drawingml/2006/picture">
                      <pic:pic xmlns:pic="http://schemas.openxmlformats.org/drawingml/2006/picture">
                        <pic:nvPicPr>
                          <pic:cNvPr id="1354" name="IM 1354"/>
                          <pic:cNvPicPr/>
                        </pic:nvPicPr>
                        <pic:blipFill>
                          <a:blip r:embed="rId527"/>
                          <a:stretch>
                            <a:fillRect/>
                          </a:stretch>
                        </pic:blipFill>
                        <pic:spPr>
                          <a:xfrm>
                            <a:off x="0" y="0"/>
                            <a:ext cx="2773679" cy="1379220"/>
                          </a:xfrm>
                          <a:prstGeom prst="rect">
                            <a:avLst/>
                          </a:prstGeom>
                        </pic:spPr>
                      </pic:pic>
                    </a:graphicData>
                  </a:graphic>
                </wp:inline>
              </w:drawing>
            </w:r>
          </w:p>
        </w:tc>
      </w:tr>
    </w:tbl>
    <w:p w14:paraId="2DA1F223">
      <w:pPr>
        <w:rPr>
          <w:rFonts w:ascii="Arial"/>
          <w:sz w:val="21"/>
        </w:rPr>
      </w:pPr>
    </w:p>
    <w:p w14:paraId="479FD21D">
      <w:pPr>
        <w:rPr>
          <w:rFonts w:ascii="Arial" w:hAnsi="Arial" w:eastAsia="Arial" w:cs="Arial"/>
          <w:sz w:val="21"/>
          <w:szCs w:val="21"/>
        </w:rPr>
        <w:sectPr>
          <w:footerReference r:id="rId323" w:type="default"/>
          <w:pgSz w:w="11907" w:h="16839"/>
          <w:pgMar w:top="933" w:right="4" w:bottom="1038" w:left="0" w:header="478" w:footer="357" w:gutter="0"/>
          <w:pgBorders>
            <w:top w:val="none" w:sz="0" w:space="0"/>
            <w:left w:val="none" w:sz="0" w:space="0"/>
            <w:bottom w:val="none" w:sz="0" w:space="0"/>
            <w:right w:val="none" w:sz="0" w:space="0"/>
          </w:pgBorders>
          <w:cols w:space="720" w:num="1"/>
        </w:sectPr>
      </w:pPr>
    </w:p>
    <w:p w14:paraId="4CD0B79D">
      <w:pPr>
        <w:spacing w:line="235" w:lineRule="exact"/>
      </w:pPr>
    </w:p>
    <w:tbl>
      <w:tblPr>
        <w:tblStyle w:val="6"/>
        <w:tblW w:w="9104" w:type="dxa"/>
        <w:tblInd w:w="140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551"/>
        <w:gridCol w:w="4553"/>
      </w:tblGrid>
      <w:tr w14:paraId="0CB9B4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09" w:hRule="atLeast"/>
        </w:trPr>
        <w:tc>
          <w:tcPr>
            <w:tcW w:w="4551" w:type="dxa"/>
            <w:tcBorders>
              <w:top w:val="single" w:color="5B9BD5" w:sz="4" w:space="0"/>
              <w:left w:val="single" w:color="1C456A" w:sz="4" w:space="0"/>
              <w:bottom w:val="nil"/>
            </w:tcBorders>
            <w:vAlign w:val="top"/>
          </w:tcPr>
          <w:p w14:paraId="2AA2EDD0">
            <w:pPr>
              <w:spacing w:before="208" w:line="2691" w:lineRule="exact"/>
              <w:ind w:firstLine="68"/>
            </w:pPr>
            <w:r>
              <w:rPr>
                <w:position w:val="-53"/>
              </w:rPr>
              <w:drawing>
                <wp:inline distT="0" distB="0" distL="0" distR="0">
                  <wp:extent cx="2840990" cy="1708150"/>
                  <wp:effectExtent l="0" t="0" r="0" b="0"/>
                  <wp:docPr id="1358" name="IM 1358"/>
                  <wp:cNvGraphicFramePr/>
                  <a:graphic xmlns:a="http://schemas.openxmlformats.org/drawingml/2006/main">
                    <a:graphicData uri="http://schemas.openxmlformats.org/drawingml/2006/picture">
                      <pic:pic xmlns:pic="http://schemas.openxmlformats.org/drawingml/2006/picture">
                        <pic:nvPicPr>
                          <pic:cNvPr id="1358" name="IM 1358"/>
                          <pic:cNvPicPr/>
                        </pic:nvPicPr>
                        <pic:blipFill>
                          <a:blip r:embed="rId528"/>
                          <a:stretch>
                            <a:fillRect/>
                          </a:stretch>
                        </pic:blipFill>
                        <pic:spPr>
                          <a:xfrm>
                            <a:off x="0" y="0"/>
                            <a:ext cx="2841485" cy="1708659"/>
                          </a:xfrm>
                          <a:prstGeom prst="rect">
                            <a:avLst/>
                          </a:prstGeom>
                        </pic:spPr>
                      </pic:pic>
                    </a:graphicData>
                  </a:graphic>
                </wp:inline>
              </w:drawing>
            </w:r>
          </w:p>
        </w:tc>
        <w:tc>
          <w:tcPr>
            <w:tcW w:w="4553" w:type="dxa"/>
            <w:tcBorders>
              <w:top w:val="single" w:color="5B9BD5" w:sz="4" w:space="0"/>
              <w:bottom w:val="nil"/>
              <w:right w:val="single" w:color="5B9BD5" w:sz="4" w:space="0"/>
            </w:tcBorders>
            <w:vAlign w:val="top"/>
          </w:tcPr>
          <w:p w14:paraId="646B4B7F">
            <w:pPr>
              <w:spacing w:before="220" w:line="2679" w:lineRule="exact"/>
              <w:ind w:firstLine="54"/>
            </w:pPr>
            <w:r>
              <w:rPr>
                <w:position w:val="-53"/>
              </w:rPr>
              <w:drawing>
                <wp:inline distT="0" distB="0" distL="0" distR="0">
                  <wp:extent cx="2838450" cy="1700530"/>
                  <wp:effectExtent l="0" t="0" r="0" b="0"/>
                  <wp:docPr id="1360" name="IM 1360"/>
                  <wp:cNvGraphicFramePr/>
                  <a:graphic xmlns:a="http://schemas.openxmlformats.org/drawingml/2006/main">
                    <a:graphicData uri="http://schemas.openxmlformats.org/drawingml/2006/picture">
                      <pic:pic xmlns:pic="http://schemas.openxmlformats.org/drawingml/2006/picture">
                        <pic:nvPicPr>
                          <pic:cNvPr id="1360" name="IM 1360"/>
                          <pic:cNvPicPr/>
                        </pic:nvPicPr>
                        <pic:blipFill>
                          <a:blip r:embed="rId529"/>
                          <a:stretch>
                            <a:fillRect/>
                          </a:stretch>
                        </pic:blipFill>
                        <pic:spPr>
                          <a:xfrm>
                            <a:off x="0" y="0"/>
                            <a:ext cx="2839084" cy="1701037"/>
                          </a:xfrm>
                          <a:prstGeom prst="rect">
                            <a:avLst/>
                          </a:prstGeom>
                        </pic:spPr>
                      </pic:pic>
                    </a:graphicData>
                  </a:graphic>
                </wp:inline>
              </w:drawing>
            </w:r>
          </w:p>
        </w:tc>
      </w:tr>
      <w:tr w14:paraId="0D8065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3" w:hRule="atLeast"/>
        </w:trPr>
        <w:tc>
          <w:tcPr>
            <w:tcW w:w="4551" w:type="dxa"/>
            <w:tcBorders>
              <w:top w:val="nil"/>
              <w:left w:val="single" w:color="000000" w:sz="4" w:space="0"/>
            </w:tcBorders>
            <w:vAlign w:val="top"/>
          </w:tcPr>
          <w:p w14:paraId="4CE420FA">
            <w:pPr>
              <w:rPr>
                <w:rFonts w:ascii="Arial"/>
                <w:sz w:val="21"/>
              </w:rPr>
            </w:pPr>
          </w:p>
        </w:tc>
        <w:tc>
          <w:tcPr>
            <w:tcW w:w="4553" w:type="dxa"/>
            <w:tcBorders>
              <w:top w:val="nil"/>
              <w:right w:val="single" w:color="000000" w:sz="4" w:space="0"/>
            </w:tcBorders>
            <w:vAlign w:val="top"/>
          </w:tcPr>
          <w:p w14:paraId="46715131">
            <w:pPr>
              <w:rPr>
                <w:rFonts w:ascii="Arial"/>
                <w:sz w:val="21"/>
              </w:rPr>
            </w:pPr>
          </w:p>
        </w:tc>
      </w:tr>
      <w:tr w14:paraId="06D94A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4" w:hRule="atLeast"/>
        </w:trPr>
        <w:tc>
          <w:tcPr>
            <w:tcW w:w="9104" w:type="dxa"/>
            <w:gridSpan w:val="2"/>
            <w:tcBorders>
              <w:left w:val="single" w:color="000000" w:sz="4" w:space="0"/>
              <w:right w:val="single" w:color="000000" w:sz="4" w:space="0"/>
            </w:tcBorders>
            <w:vAlign w:val="top"/>
          </w:tcPr>
          <w:p w14:paraId="0D4DB2D5">
            <w:pPr>
              <w:pStyle w:val="7"/>
              <w:spacing w:before="100" w:line="220" w:lineRule="auto"/>
              <w:ind w:left="3921"/>
            </w:pPr>
            <w:r>
              <w:rPr>
                <w:spacing w:val="-20"/>
              </w:rPr>
              <w:t>管道包封施工</w:t>
            </w:r>
          </w:p>
        </w:tc>
      </w:tr>
      <w:tr w14:paraId="574E33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5" w:hRule="atLeast"/>
        </w:trPr>
        <w:tc>
          <w:tcPr>
            <w:tcW w:w="9104" w:type="dxa"/>
            <w:gridSpan w:val="2"/>
            <w:tcBorders>
              <w:left w:val="single" w:color="1C456A" w:sz="4" w:space="0"/>
              <w:bottom w:val="single" w:color="1C456A" w:sz="4" w:space="0"/>
              <w:right w:val="single" w:color="1C456A" w:sz="4" w:space="0"/>
            </w:tcBorders>
            <w:vAlign w:val="top"/>
          </w:tcPr>
          <w:p w14:paraId="650EFBE2">
            <w:pPr>
              <w:pStyle w:val="7"/>
              <w:spacing w:before="102" w:line="218" w:lineRule="auto"/>
              <w:ind w:left="3171"/>
            </w:pPr>
            <w:r>
              <w:rPr>
                <w:spacing w:val="-22"/>
              </w:rPr>
              <w:t>电力排管工程施工流程示意图</w:t>
            </w:r>
          </w:p>
        </w:tc>
      </w:tr>
    </w:tbl>
    <w:p w14:paraId="669D245C">
      <w:pPr>
        <w:pStyle w:val="2"/>
        <w:spacing w:before="112" w:line="308" w:lineRule="auto"/>
        <w:ind w:left="1457" w:right="1353" w:firstLine="437"/>
        <w:jc w:val="both"/>
        <w:rPr>
          <w:sz w:val="24"/>
          <w:szCs w:val="24"/>
        </w:rPr>
      </w:pPr>
      <w:r>
        <w:rPr>
          <w:spacing w:val="-22"/>
          <w:sz w:val="24"/>
          <w:szCs w:val="24"/>
        </w:rPr>
        <w:t>在混凝土底板上平铺10cm厚的中砂垫层，再铺设电缆排管，并在管沟管间空隙填砂，用木</w:t>
      </w:r>
      <w:r>
        <w:rPr>
          <w:spacing w:val="-24"/>
          <w:sz w:val="24"/>
          <w:szCs w:val="24"/>
        </w:rPr>
        <w:t>棒捣实，使砂在管外壁形成圆弧状管床。排管的铺设，每段的接头要错开布置，保证连接严密，</w:t>
      </w:r>
      <w:r>
        <w:rPr>
          <w:spacing w:val="-21"/>
          <w:sz w:val="24"/>
          <w:szCs w:val="24"/>
        </w:rPr>
        <w:t>不得有砂粒渗入。管群铺设好后，每孔内穿入8#铁丝一根，以便今后穿线。依照施工</w:t>
      </w:r>
      <w:r>
        <w:rPr>
          <w:spacing w:val="-22"/>
          <w:sz w:val="24"/>
          <w:szCs w:val="24"/>
        </w:rPr>
        <w:t>要求进行逐层排管的铺设，待最上层排管铺设完后，再铺10cm厚的中砂垫层。最后采用灌水的方法将砂</w:t>
      </w:r>
      <w:r>
        <w:rPr>
          <w:spacing w:val="-21"/>
          <w:sz w:val="24"/>
          <w:szCs w:val="24"/>
        </w:rPr>
        <w:t>进一步沉降，使砂与电缆排管形成密实的整体。</w:t>
      </w:r>
    </w:p>
    <w:p w14:paraId="3601710C">
      <w:pPr>
        <w:pStyle w:val="2"/>
        <w:spacing w:before="1" w:line="218" w:lineRule="auto"/>
        <w:ind w:left="1884"/>
        <w:rPr>
          <w:sz w:val="24"/>
          <w:szCs w:val="24"/>
        </w:rPr>
      </w:pPr>
      <w:r>
        <w:rPr>
          <w:spacing w:val="-14"/>
          <w:sz w:val="24"/>
          <w:szCs w:val="24"/>
        </w:rPr>
        <w:t>4土方回填</w:t>
      </w:r>
    </w:p>
    <w:p w14:paraId="1D8605C6">
      <w:pPr>
        <w:pStyle w:val="2"/>
        <w:spacing w:before="115" w:line="308" w:lineRule="auto"/>
        <w:ind w:left="1459" w:right="1351" w:firstLine="460"/>
        <w:rPr>
          <w:sz w:val="24"/>
          <w:szCs w:val="24"/>
        </w:rPr>
      </w:pPr>
      <w:r>
        <w:rPr>
          <w:spacing w:val="-28"/>
          <w:sz w:val="24"/>
          <w:szCs w:val="24"/>
        </w:rPr>
        <w:t>电缆排管铺设完工后，进行土方回填，以机械为主，人工配合。分层回填，每层厚度</w:t>
      </w:r>
      <w:r>
        <w:rPr>
          <w:spacing w:val="-29"/>
          <w:sz w:val="24"/>
          <w:szCs w:val="24"/>
        </w:rPr>
        <w:t>为15cm，</w:t>
      </w:r>
      <w:r>
        <w:rPr>
          <w:spacing w:val="-21"/>
          <w:sz w:val="24"/>
          <w:szCs w:val="24"/>
        </w:rPr>
        <w:t>并进行夯实。回填的高度与主体道路路面高程吻</w:t>
      </w:r>
      <w:r>
        <w:rPr>
          <w:spacing w:val="-22"/>
          <w:sz w:val="24"/>
          <w:szCs w:val="24"/>
        </w:rPr>
        <w:t>合。余土用自卸汽车运至余土弃置场。</w:t>
      </w:r>
    </w:p>
    <w:p w14:paraId="6C165519">
      <w:pPr>
        <w:pStyle w:val="2"/>
        <w:spacing w:before="1" w:line="215" w:lineRule="auto"/>
        <w:ind w:left="1888"/>
        <w:rPr>
          <w:sz w:val="24"/>
          <w:szCs w:val="24"/>
        </w:rPr>
      </w:pPr>
      <w:r>
        <w:rPr>
          <w:spacing w:val="-15"/>
          <w:sz w:val="24"/>
          <w:szCs w:val="24"/>
        </w:rPr>
        <w:t>2.1.4钢管迁移恢复</w:t>
      </w:r>
    </w:p>
    <w:p w14:paraId="44437BA7">
      <w:pPr>
        <w:pStyle w:val="2"/>
        <w:spacing w:before="118" w:line="308" w:lineRule="auto"/>
        <w:ind w:left="1457" w:right="1342" w:firstLine="435"/>
        <w:rPr>
          <w:sz w:val="24"/>
          <w:szCs w:val="24"/>
        </w:rPr>
      </w:pPr>
      <w:r>
        <w:rPr>
          <w:spacing w:val="-23"/>
          <w:sz w:val="24"/>
          <w:szCs w:val="24"/>
        </w:rPr>
        <w:t>钢管关节的材料、规格、压力等级、加工质量应符合设计要</w:t>
      </w:r>
      <w:r>
        <w:rPr>
          <w:spacing w:val="-24"/>
          <w:sz w:val="24"/>
          <w:szCs w:val="24"/>
        </w:rPr>
        <w:t>求，管节表面应无疤痕、裂纹、</w:t>
      </w:r>
      <w:r>
        <w:rPr>
          <w:spacing w:val="-20"/>
          <w:sz w:val="24"/>
          <w:szCs w:val="24"/>
        </w:rPr>
        <w:t>严重锈蚀等缺陷；钢管内外防腐采用IPN8710防腐料防腐，管道内外壁的</w:t>
      </w:r>
      <w:r>
        <w:rPr>
          <w:spacing w:val="-21"/>
          <w:sz w:val="24"/>
          <w:szCs w:val="24"/>
        </w:rPr>
        <w:t>浮锈、氧化铁皮、焊渣、油污等，应彻底清除干净。</w:t>
      </w:r>
    </w:p>
    <w:p w14:paraId="7186B7C2">
      <w:pPr>
        <w:pStyle w:val="2"/>
        <w:spacing w:before="1" w:line="215" w:lineRule="auto"/>
        <w:ind w:left="1892"/>
        <w:rPr>
          <w:sz w:val="24"/>
          <w:szCs w:val="24"/>
        </w:rPr>
      </w:pPr>
      <w:r>
        <w:rPr>
          <w:spacing w:val="-21"/>
          <w:sz w:val="24"/>
          <w:szCs w:val="24"/>
        </w:rPr>
        <w:t>钢管安装焊接操作人员须持证上岗，并实施检测，管节内外防腐</w:t>
      </w:r>
      <w:r>
        <w:rPr>
          <w:spacing w:val="-22"/>
          <w:sz w:val="24"/>
          <w:szCs w:val="24"/>
        </w:rPr>
        <w:t>层合格后方可下管。</w:t>
      </w:r>
    </w:p>
    <w:p w14:paraId="6551A9B7">
      <w:pPr>
        <w:pStyle w:val="2"/>
        <w:spacing w:before="121" w:line="307" w:lineRule="auto"/>
        <w:ind w:left="1456" w:right="1411" w:firstLine="450"/>
        <w:rPr>
          <w:sz w:val="24"/>
          <w:szCs w:val="24"/>
        </w:rPr>
      </w:pPr>
      <w:r>
        <w:rPr>
          <w:spacing w:val="-20"/>
          <w:sz w:val="24"/>
          <w:szCs w:val="24"/>
        </w:rPr>
        <w:t>管道安装前，管节应逐根测量、编号宜选用管径相差较小的管节组队对接。管节焊条质量</w:t>
      </w:r>
      <w:r>
        <w:rPr>
          <w:spacing w:val="-21"/>
          <w:sz w:val="24"/>
          <w:szCs w:val="24"/>
        </w:rPr>
        <w:t>应符合现行国家标准《碳钢焊条》、&lt;&lt;低合金焊条》的规定，焊条应干燥。</w:t>
      </w:r>
    </w:p>
    <w:p w14:paraId="3971743D">
      <w:pPr>
        <w:pStyle w:val="2"/>
        <w:spacing w:before="5" w:line="307" w:lineRule="auto"/>
        <w:ind w:left="1456" w:right="1411" w:firstLine="450"/>
        <w:jc w:val="both"/>
        <w:rPr>
          <w:sz w:val="24"/>
          <w:szCs w:val="24"/>
        </w:rPr>
      </w:pPr>
      <w:r>
        <w:rPr>
          <w:spacing w:val="-20"/>
          <w:sz w:val="24"/>
          <w:szCs w:val="24"/>
        </w:rPr>
        <w:t>管节焊接前应修口、清根，管段端面的坡度角度、钝边、减息应符合规范要求，不得在对</w:t>
      </w:r>
      <w:r>
        <w:rPr>
          <w:spacing w:val="-21"/>
          <w:sz w:val="24"/>
          <w:szCs w:val="24"/>
        </w:rPr>
        <w:t>口间隙夹焊帮条或用加热法缩小间隙施焊。对口时应使内壁齐平，错口的允许偏差应为0.2倍</w:t>
      </w:r>
      <w:r>
        <w:rPr>
          <w:spacing w:val="-20"/>
          <w:sz w:val="24"/>
          <w:szCs w:val="24"/>
        </w:rPr>
        <w:t>壁厚，且不得大于2mm。对口时纵向焊缝应放在管道中心垂线上半圆的45D左右处；纵向焊缝应</w:t>
      </w:r>
      <w:r>
        <w:rPr>
          <w:spacing w:val="-19"/>
          <w:sz w:val="24"/>
          <w:szCs w:val="24"/>
        </w:rPr>
        <w:t>错开，错开间距不得小于30mm；直管管段两相邻环向焊缝的间距不应小于2</w:t>
      </w:r>
      <w:r>
        <w:rPr>
          <w:spacing w:val="-20"/>
          <w:sz w:val="24"/>
          <w:szCs w:val="24"/>
        </w:rPr>
        <w:t>00mm。管道任何位置都不得有十字型焊缝。</w:t>
      </w:r>
    </w:p>
    <w:p w14:paraId="48B1B181">
      <w:pPr>
        <w:pStyle w:val="2"/>
        <w:spacing w:before="1" w:line="308" w:lineRule="auto"/>
        <w:ind w:left="1459" w:right="1411" w:firstLine="447"/>
        <w:rPr>
          <w:sz w:val="24"/>
          <w:szCs w:val="24"/>
        </w:rPr>
      </w:pPr>
      <w:r>
        <w:rPr>
          <w:spacing w:val="-20"/>
          <w:sz w:val="24"/>
          <w:szCs w:val="24"/>
        </w:rPr>
        <w:t>管道上开孔应符合规范要求，不得在干管的纵向、环向焊缝处开孔，不得开方孔，不得在</w:t>
      </w:r>
      <w:r>
        <w:rPr>
          <w:spacing w:val="-22"/>
          <w:sz w:val="24"/>
          <w:szCs w:val="24"/>
        </w:rPr>
        <w:t>短节或管件上开孔。本次施工采用双面焊。</w:t>
      </w:r>
    </w:p>
    <w:p w14:paraId="4B7E9382">
      <w:pPr>
        <w:pStyle w:val="2"/>
        <w:spacing w:line="218" w:lineRule="auto"/>
        <w:ind w:left="1884"/>
        <w:rPr>
          <w:sz w:val="24"/>
          <w:szCs w:val="24"/>
        </w:rPr>
      </w:pPr>
      <w:r>
        <w:rPr>
          <w:spacing w:val="-18"/>
          <w:sz w:val="24"/>
          <w:szCs w:val="24"/>
        </w:rPr>
        <w:t>4、管道冲洗及水压试验</w:t>
      </w:r>
    </w:p>
    <w:p w14:paraId="6A40D90F">
      <w:pPr>
        <w:pStyle w:val="2"/>
        <w:spacing w:before="114" w:line="216" w:lineRule="auto"/>
        <w:ind w:left="1895"/>
        <w:rPr>
          <w:sz w:val="24"/>
          <w:szCs w:val="24"/>
        </w:rPr>
      </w:pPr>
      <w:r>
        <w:rPr>
          <w:spacing w:val="-22"/>
          <w:sz w:val="24"/>
          <w:szCs w:val="24"/>
        </w:rPr>
        <w:t>分段管道水压试验：每段距离低于1000m，安装好的管道应认真检查安装质量，承插口连接</w:t>
      </w:r>
    </w:p>
    <w:p w14:paraId="45E1902A">
      <w:pPr>
        <w:spacing w:line="216" w:lineRule="auto"/>
        <w:rPr>
          <w:sz w:val="24"/>
          <w:szCs w:val="24"/>
        </w:rPr>
        <w:sectPr>
          <w:footerReference r:id="rId324" w:type="default"/>
          <w:pgSz w:w="11907" w:h="16839"/>
          <w:pgMar w:top="933" w:right="4" w:bottom="1038" w:left="0" w:header="478" w:footer="357" w:gutter="0"/>
          <w:pgBorders>
            <w:top w:val="none" w:sz="0" w:space="0"/>
            <w:left w:val="none" w:sz="0" w:space="0"/>
            <w:bottom w:val="none" w:sz="0" w:space="0"/>
            <w:right w:val="none" w:sz="0" w:space="0"/>
          </w:pgBorders>
          <w:cols w:space="720" w:num="1"/>
        </w:sectPr>
      </w:pPr>
    </w:p>
    <w:p w14:paraId="62055080">
      <w:pPr>
        <w:spacing w:line="271" w:lineRule="auto"/>
        <w:rPr>
          <w:rFonts w:ascii="Arial"/>
          <w:sz w:val="21"/>
        </w:rPr>
      </w:pPr>
    </w:p>
    <w:p w14:paraId="589B97CD">
      <w:pPr>
        <w:pStyle w:val="2"/>
        <w:spacing w:before="78" w:line="308" w:lineRule="auto"/>
        <w:ind w:left="1453" w:right="1353" w:firstLine="8"/>
        <w:jc w:val="both"/>
        <w:rPr>
          <w:sz w:val="24"/>
          <w:szCs w:val="24"/>
        </w:rPr>
      </w:pPr>
      <w:r>
        <w:rPr>
          <w:spacing w:val="-27"/>
          <w:sz w:val="24"/>
          <w:szCs w:val="24"/>
        </w:rPr>
        <w:t>质量、阀门安装质量，外观检查合格后方能进行水压试验，介质用水，管道的工作压力为0.5mpa，</w:t>
      </w:r>
      <w:r>
        <w:rPr>
          <w:spacing w:val="-18"/>
          <w:sz w:val="24"/>
          <w:szCs w:val="24"/>
        </w:rPr>
        <w:t>试验压力为1.0mpa，稳压5min，管道无渗漏，压力下降不超过0.02mpa，试验合格后，进</w:t>
      </w:r>
      <w:r>
        <w:rPr>
          <w:spacing w:val="-19"/>
          <w:sz w:val="24"/>
          <w:szCs w:val="24"/>
        </w:rPr>
        <w:t>行管</w:t>
      </w:r>
      <w:r>
        <w:rPr>
          <w:spacing w:val="-20"/>
          <w:sz w:val="24"/>
          <w:szCs w:val="24"/>
        </w:rPr>
        <w:t>道冲洗，同时做好水压试验及冲洗记录。如果受条件影响，不能一次试压，则采用法兰盲板加</w:t>
      </w:r>
      <w:r>
        <w:rPr>
          <w:spacing w:val="-21"/>
          <w:sz w:val="24"/>
          <w:szCs w:val="24"/>
        </w:rPr>
        <w:t>支撑、顶堵等安全措施，分段进行试压。</w:t>
      </w:r>
    </w:p>
    <w:p w14:paraId="5891C5DD">
      <w:pPr>
        <w:pStyle w:val="2"/>
        <w:spacing w:before="1" w:line="215" w:lineRule="auto"/>
        <w:ind w:left="1912"/>
        <w:rPr>
          <w:sz w:val="24"/>
          <w:szCs w:val="24"/>
        </w:rPr>
      </w:pPr>
      <w:r>
        <w:rPr>
          <w:spacing w:val="-21"/>
          <w:sz w:val="24"/>
          <w:szCs w:val="24"/>
        </w:rPr>
        <w:t>阀门安装前都应进行水压试验，压力为工作压力1.5倍，试压合格后</w:t>
      </w:r>
      <w:r>
        <w:rPr>
          <w:spacing w:val="-22"/>
          <w:sz w:val="24"/>
          <w:szCs w:val="24"/>
        </w:rPr>
        <w:t>方能进行安装。</w:t>
      </w:r>
    </w:p>
    <w:p w14:paraId="4176B551">
      <w:pPr>
        <w:pStyle w:val="2"/>
        <w:spacing w:before="118" w:line="308" w:lineRule="auto"/>
        <w:ind w:left="1459" w:right="1354" w:firstLine="447"/>
        <w:rPr>
          <w:sz w:val="24"/>
          <w:szCs w:val="24"/>
        </w:rPr>
      </w:pPr>
      <w:r>
        <w:rPr>
          <w:spacing w:val="-24"/>
          <w:sz w:val="24"/>
          <w:szCs w:val="24"/>
        </w:rPr>
        <w:t>管道冲洗：安装好的管道应采用自来水和干净水反复冲洗，直至管道内无杂物、水浊现象，</w:t>
      </w:r>
      <w:r>
        <w:rPr>
          <w:spacing w:val="-21"/>
          <w:sz w:val="24"/>
          <w:szCs w:val="24"/>
        </w:rPr>
        <w:t>冲洗干净后，流出的水质透明为合格。</w:t>
      </w:r>
    </w:p>
    <w:p w14:paraId="44172FDA">
      <w:pPr>
        <w:pStyle w:val="2"/>
        <w:spacing w:before="1" w:line="218" w:lineRule="auto"/>
        <w:ind w:left="1890"/>
        <w:rPr>
          <w:sz w:val="24"/>
          <w:szCs w:val="24"/>
        </w:rPr>
      </w:pPr>
      <w:r>
        <w:rPr>
          <w:spacing w:val="-19"/>
          <w:sz w:val="24"/>
          <w:szCs w:val="24"/>
        </w:rPr>
        <w:t>5、支墩浇筑</w:t>
      </w:r>
    </w:p>
    <w:p w14:paraId="61CF6A24">
      <w:pPr>
        <w:pStyle w:val="2"/>
        <w:spacing w:before="113" w:line="308" w:lineRule="auto"/>
        <w:ind w:left="1461" w:right="1414" w:firstLine="432"/>
        <w:rPr>
          <w:sz w:val="24"/>
          <w:szCs w:val="24"/>
        </w:rPr>
      </w:pPr>
      <w:r>
        <w:rPr>
          <w:spacing w:val="-20"/>
          <w:sz w:val="24"/>
          <w:szCs w:val="24"/>
        </w:rPr>
        <w:t>所有弯头处按图集要求进行支墩施工。管道及管道附近的支墩和锚定结构应位置准确，锚定应牢固；支墩应在坚固的地基上修筑。当无原状土做后背墙时，应采取措施保证支墩在受力</w:t>
      </w:r>
      <w:r>
        <w:rPr>
          <w:spacing w:val="-21"/>
          <w:sz w:val="24"/>
          <w:szCs w:val="24"/>
        </w:rPr>
        <w:t>情况下，不致破坏管道接口。当采用砌筑支墩</w:t>
      </w:r>
      <w:r>
        <w:rPr>
          <w:spacing w:val="-22"/>
          <w:sz w:val="24"/>
          <w:szCs w:val="24"/>
        </w:rPr>
        <w:t>时，原状土与支墩之间应采用砂浆填塞。</w:t>
      </w:r>
    </w:p>
    <w:p w14:paraId="261DE1C7">
      <w:pPr>
        <w:pStyle w:val="2"/>
        <w:spacing w:line="308" w:lineRule="auto"/>
        <w:ind w:left="1458" w:right="1410" w:firstLine="448"/>
        <w:rPr>
          <w:sz w:val="24"/>
          <w:szCs w:val="24"/>
        </w:rPr>
      </w:pPr>
      <w:r>
        <w:rPr>
          <w:spacing w:val="-20"/>
          <w:sz w:val="24"/>
          <w:szCs w:val="24"/>
        </w:rPr>
        <w:t>管道支墩应在管道接口做完、管道位置固定后砌筑。管道安装过程中的临时固定支架，应</w:t>
      </w:r>
      <w:r>
        <w:rPr>
          <w:spacing w:val="-21"/>
          <w:sz w:val="24"/>
          <w:szCs w:val="24"/>
        </w:rPr>
        <w:t>在支墩的砌筑砂浆或混凝土达到规定强度后拆除。</w:t>
      </w:r>
    </w:p>
    <w:p w14:paraId="11DC8DF3">
      <w:pPr>
        <w:pStyle w:val="2"/>
        <w:spacing w:line="218" w:lineRule="auto"/>
        <w:ind w:left="1887"/>
        <w:rPr>
          <w:sz w:val="24"/>
          <w:szCs w:val="24"/>
        </w:rPr>
      </w:pPr>
      <w:r>
        <w:rPr>
          <w:spacing w:val="-18"/>
          <w:sz w:val="24"/>
          <w:szCs w:val="24"/>
        </w:rPr>
        <w:t>6、锈刷油</w:t>
      </w:r>
    </w:p>
    <w:p w14:paraId="7D419671">
      <w:pPr>
        <w:pStyle w:val="2"/>
        <w:spacing w:before="115" w:line="218" w:lineRule="auto"/>
        <w:ind w:left="1898"/>
        <w:rPr>
          <w:sz w:val="24"/>
          <w:szCs w:val="24"/>
        </w:rPr>
      </w:pPr>
      <w:r>
        <w:rPr>
          <w:spacing w:val="-21"/>
          <w:sz w:val="24"/>
          <w:szCs w:val="24"/>
        </w:rPr>
        <w:t>工艺流程：人工除锈→刷防锈底漆→喷刷防腐</w:t>
      </w:r>
      <w:r>
        <w:rPr>
          <w:spacing w:val="-22"/>
          <w:sz w:val="24"/>
          <w:szCs w:val="24"/>
        </w:rPr>
        <w:t>面层</w:t>
      </w:r>
    </w:p>
    <w:p w14:paraId="2F586578">
      <w:pPr>
        <w:pStyle w:val="2"/>
        <w:spacing w:before="117" w:line="262" w:lineRule="auto"/>
        <w:ind w:left="1458" w:right="1411" w:firstLine="429"/>
        <w:rPr>
          <w:sz w:val="24"/>
          <w:szCs w:val="24"/>
        </w:rPr>
      </w:pPr>
      <w:r>
        <w:rPr>
          <w:spacing w:val="-23"/>
          <w:sz w:val="24"/>
          <w:szCs w:val="24"/>
        </w:rPr>
        <w:t>6.1管道、支架除锈，采用人工除锈，用钢丝刷、砂布除锈，露出金</w:t>
      </w:r>
      <w:r>
        <w:rPr>
          <w:spacing w:val="-24"/>
          <w:sz w:val="24"/>
          <w:szCs w:val="24"/>
        </w:rPr>
        <w:t>属光泽为合格，再用干</w:t>
      </w:r>
      <w:r>
        <w:rPr>
          <w:spacing w:val="-19"/>
          <w:sz w:val="24"/>
          <w:szCs w:val="24"/>
        </w:rPr>
        <w:t>净废布擦拭干净。</w:t>
      </w:r>
    </w:p>
    <w:p w14:paraId="24272D17">
      <w:pPr>
        <w:pStyle w:val="2"/>
        <w:spacing w:before="118" w:line="217" w:lineRule="auto"/>
        <w:ind w:left="1887"/>
        <w:rPr>
          <w:sz w:val="24"/>
          <w:szCs w:val="24"/>
        </w:rPr>
      </w:pPr>
      <w:r>
        <w:rPr>
          <w:spacing w:val="-21"/>
          <w:sz w:val="24"/>
          <w:szCs w:val="24"/>
        </w:rPr>
        <w:t>6.2所有管道、支架涂底漆前，表面的灰尘、铁锈、焊渣、油污等必须清除干</w:t>
      </w:r>
      <w:r>
        <w:rPr>
          <w:spacing w:val="-22"/>
          <w:sz w:val="24"/>
          <w:szCs w:val="24"/>
        </w:rPr>
        <w:t>净。</w:t>
      </w:r>
    </w:p>
    <w:p w14:paraId="524E5CBF">
      <w:pPr>
        <w:pStyle w:val="2"/>
        <w:spacing w:before="119" w:line="263" w:lineRule="auto"/>
        <w:ind w:left="1487" w:right="1410" w:firstLine="400"/>
        <w:rPr>
          <w:sz w:val="24"/>
          <w:szCs w:val="24"/>
        </w:rPr>
      </w:pPr>
      <w:r>
        <w:rPr>
          <w:spacing w:val="-23"/>
          <w:sz w:val="24"/>
          <w:szCs w:val="24"/>
        </w:rPr>
        <w:t>6.3管道刷油应按设计的颜色面漆进行涂刷，不能在雨天场地进行除锈</w:t>
      </w:r>
      <w:r>
        <w:rPr>
          <w:spacing w:val="-24"/>
          <w:sz w:val="24"/>
          <w:szCs w:val="24"/>
        </w:rPr>
        <w:t>刷油，在刷油漆过程</w:t>
      </w:r>
      <w:r>
        <w:rPr>
          <w:spacing w:val="-23"/>
          <w:sz w:val="24"/>
          <w:szCs w:val="24"/>
        </w:rPr>
        <w:t>中，尽量将附近场地清扫干净，以免灰尘污染。</w:t>
      </w:r>
    </w:p>
    <w:p w14:paraId="5BC0E78E">
      <w:pPr>
        <w:pStyle w:val="2"/>
        <w:spacing w:before="116" w:line="215" w:lineRule="auto"/>
        <w:ind w:left="1887"/>
        <w:rPr>
          <w:sz w:val="24"/>
          <w:szCs w:val="24"/>
        </w:rPr>
      </w:pPr>
      <w:r>
        <w:rPr>
          <w:spacing w:val="-20"/>
          <w:sz w:val="24"/>
          <w:szCs w:val="24"/>
        </w:rPr>
        <w:t>6.4油漆必须是在有小保质期限内的合格产品。</w:t>
      </w:r>
    </w:p>
    <w:p w14:paraId="4FED7FC9">
      <w:pPr>
        <w:pStyle w:val="2"/>
        <w:spacing w:before="120" w:line="217" w:lineRule="auto"/>
        <w:ind w:left="1887"/>
        <w:rPr>
          <w:sz w:val="24"/>
          <w:szCs w:val="24"/>
        </w:rPr>
      </w:pPr>
      <w:r>
        <w:rPr>
          <w:spacing w:val="-20"/>
          <w:sz w:val="24"/>
          <w:szCs w:val="24"/>
        </w:rPr>
        <w:t>6.5颜色符合设计要求，色泽一致，无漏涂不污染管道，设备</w:t>
      </w:r>
      <w:r>
        <w:rPr>
          <w:spacing w:val="-21"/>
          <w:sz w:val="24"/>
          <w:szCs w:val="24"/>
        </w:rPr>
        <w:t>及支撑面。</w:t>
      </w:r>
    </w:p>
    <w:p w14:paraId="673C7E05">
      <w:pPr>
        <w:pStyle w:val="2"/>
        <w:spacing w:before="119" w:line="216" w:lineRule="auto"/>
        <w:ind w:left="1887"/>
        <w:rPr>
          <w:sz w:val="24"/>
          <w:szCs w:val="24"/>
        </w:rPr>
      </w:pPr>
      <w:r>
        <w:rPr>
          <w:spacing w:val="-15"/>
          <w:sz w:val="24"/>
          <w:szCs w:val="24"/>
        </w:rPr>
        <w:t>6.6检查井砌筑</w:t>
      </w:r>
    </w:p>
    <w:p w14:paraId="1BD74819">
      <w:pPr>
        <w:pStyle w:val="2"/>
        <w:spacing w:before="117" w:line="220" w:lineRule="auto"/>
        <w:ind w:left="1878"/>
        <w:rPr>
          <w:sz w:val="24"/>
          <w:szCs w:val="24"/>
        </w:rPr>
      </w:pPr>
      <w:r>
        <w:rPr>
          <w:spacing w:val="-17"/>
          <w:sz w:val="24"/>
          <w:szCs w:val="24"/>
        </w:rPr>
        <w:t>A、井室砌筑</w:t>
      </w:r>
    </w:p>
    <w:p w14:paraId="432FAAF7">
      <w:pPr>
        <w:pStyle w:val="2"/>
        <w:spacing w:before="115" w:line="278" w:lineRule="auto"/>
        <w:ind w:left="1456" w:right="1412" w:firstLine="447"/>
        <w:rPr>
          <w:sz w:val="24"/>
          <w:szCs w:val="24"/>
        </w:rPr>
      </w:pPr>
      <w:r>
        <w:rPr>
          <w:spacing w:val="-22"/>
          <w:sz w:val="24"/>
          <w:szCs w:val="24"/>
        </w:rPr>
        <w:t>1、井室一般用机砖砌筑在整体水泥混凝土基础上，不</w:t>
      </w:r>
      <w:r>
        <w:rPr>
          <w:spacing w:val="-23"/>
          <w:sz w:val="24"/>
          <w:szCs w:val="24"/>
        </w:rPr>
        <w:t>应利用管道平基，再帮宽的办法做井</w:t>
      </w:r>
      <w:r>
        <w:rPr>
          <w:spacing w:val="-20"/>
          <w:sz w:val="24"/>
          <w:szCs w:val="24"/>
        </w:rPr>
        <w:t>基。应在挖槽时，就计算好检查井的准确位置，浇筑管道混凝土平基时，应将检查井井基宽度</w:t>
      </w:r>
      <w:r>
        <w:rPr>
          <w:spacing w:val="-17"/>
          <w:sz w:val="24"/>
          <w:szCs w:val="24"/>
        </w:rPr>
        <w:t>一次浇够。</w:t>
      </w:r>
    </w:p>
    <w:p w14:paraId="659D6830">
      <w:pPr>
        <w:pStyle w:val="2"/>
        <w:spacing w:before="116" w:line="263" w:lineRule="auto"/>
        <w:ind w:left="1457" w:right="1414" w:firstLine="431"/>
        <w:rPr>
          <w:sz w:val="24"/>
          <w:szCs w:val="24"/>
        </w:rPr>
      </w:pPr>
      <w:r>
        <w:rPr>
          <w:spacing w:val="-22"/>
          <w:sz w:val="24"/>
          <w:szCs w:val="24"/>
        </w:rPr>
        <w:t>2、井室内的流槽砌砖，应交错插入井墙，使井墙与流槽形成整体。不应先砌井墙，</w:t>
      </w:r>
      <w:r>
        <w:rPr>
          <w:spacing w:val="-23"/>
          <w:sz w:val="24"/>
          <w:szCs w:val="24"/>
        </w:rPr>
        <w:t>然后再</w:t>
      </w:r>
      <w:r>
        <w:rPr>
          <w:spacing w:val="-21"/>
          <w:sz w:val="24"/>
          <w:szCs w:val="24"/>
        </w:rPr>
        <w:t>堆砌流槽，造成流槽与井墙分离。</w:t>
      </w:r>
    </w:p>
    <w:p w14:paraId="735CBF87">
      <w:pPr>
        <w:pStyle w:val="2"/>
        <w:spacing w:before="118" w:line="278" w:lineRule="auto"/>
        <w:ind w:left="1455" w:right="1411" w:firstLine="434"/>
        <w:rPr>
          <w:sz w:val="24"/>
          <w:szCs w:val="24"/>
        </w:rPr>
      </w:pPr>
      <w:r>
        <w:rPr>
          <w:spacing w:val="-22"/>
          <w:sz w:val="24"/>
          <w:szCs w:val="24"/>
        </w:rPr>
        <w:t>3、流槽应砌（砖）、抹（面）成与上下游管径相同的半圆弧形，不应无流槽，也不应</w:t>
      </w:r>
      <w:r>
        <w:rPr>
          <w:spacing w:val="-23"/>
          <w:sz w:val="24"/>
          <w:szCs w:val="24"/>
        </w:rPr>
        <w:t>砌成</w:t>
      </w:r>
      <w:r>
        <w:rPr>
          <w:spacing w:val="-20"/>
          <w:sz w:val="24"/>
          <w:szCs w:val="24"/>
        </w:rPr>
        <w:t>梯形或矩形。同时，流槽过水断面不应小于上游和下游管径的过水断面。井底坡度和高程应符</w:t>
      </w:r>
      <w:r>
        <w:rPr>
          <w:spacing w:val="-18"/>
          <w:sz w:val="24"/>
          <w:szCs w:val="24"/>
        </w:rPr>
        <w:t>合设计要求。</w:t>
      </w:r>
    </w:p>
    <w:p w14:paraId="5659F94B">
      <w:pPr>
        <w:pStyle w:val="2"/>
        <w:spacing w:before="116" w:line="277" w:lineRule="auto"/>
        <w:ind w:left="1456" w:right="1351" w:firstLine="428"/>
        <w:rPr>
          <w:sz w:val="24"/>
          <w:szCs w:val="24"/>
        </w:rPr>
      </w:pPr>
      <w:r>
        <w:rPr>
          <w:spacing w:val="-22"/>
          <w:sz w:val="24"/>
          <w:szCs w:val="24"/>
        </w:rPr>
        <w:t>4、圆井的砌筑，应掌握井墙竖直度和圆顺度；掌握井室几何尺寸不超质量标准；砌筑砂浆</w:t>
      </w:r>
      <w:r>
        <w:rPr>
          <w:spacing w:val="-23"/>
          <w:sz w:val="24"/>
          <w:szCs w:val="24"/>
        </w:rPr>
        <w:t>应饱满（包括竖缝</w:t>
      </w:r>
      <w:r>
        <w:rPr>
          <w:spacing w:val="-27"/>
          <w:sz w:val="24"/>
          <w:szCs w:val="24"/>
        </w:rPr>
        <w:t>），</w:t>
      </w:r>
      <w:r>
        <w:rPr>
          <w:spacing w:val="-23"/>
          <w:sz w:val="24"/>
          <w:szCs w:val="24"/>
        </w:rPr>
        <w:t>特别是污水管道的检查井（包括雨、污合流检查井</w:t>
      </w:r>
      <w:r>
        <w:rPr>
          <w:spacing w:val="-27"/>
          <w:sz w:val="24"/>
          <w:szCs w:val="24"/>
        </w:rPr>
        <w:t>），</w:t>
      </w:r>
      <w:r>
        <w:rPr>
          <w:spacing w:val="-23"/>
          <w:sz w:val="24"/>
          <w:szCs w:val="24"/>
        </w:rPr>
        <w:t>更应</w:t>
      </w:r>
      <w:r>
        <w:rPr>
          <w:spacing w:val="-24"/>
          <w:sz w:val="24"/>
          <w:szCs w:val="24"/>
        </w:rPr>
        <w:t>使砌缝饱满，</w:t>
      </w:r>
      <w:r>
        <w:rPr>
          <w:spacing w:val="-21"/>
          <w:sz w:val="24"/>
          <w:szCs w:val="24"/>
        </w:rPr>
        <w:t>防止井壁渗水，保证带井闭水成功。</w:t>
      </w:r>
    </w:p>
    <w:p w14:paraId="1D13160D">
      <w:pPr>
        <w:pStyle w:val="2"/>
        <w:spacing w:before="118" w:line="217" w:lineRule="auto"/>
        <w:ind w:left="1890"/>
        <w:rPr>
          <w:sz w:val="24"/>
          <w:szCs w:val="24"/>
        </w:rPr>
      </w:pPr>
      <w:r>
        <w:rPr>
          <w:spacing w:val="-21"/>
          <w:sz w:val="24"/>
          <w:szCs w:val="24"/>
        </w:rPr>
        <w:t>5、水泥砂浆抹面要掌握厚度、均匀、平整、</w:t>
      </w:r>
      <w:r>
        <w:rPr>
          <w:spacing w:val="-22"/>
          <w:sz w:val="24"/>
          <w:szCs w:val="24"/>
        </w:rPr>
        <w:t>密实。抹完后要封闭井口，以保持井室湿润养</w:t>
      </w:r>
    </w:p>
    <w:p w14:paraId="0D56E3ED">
      <w:pPr>
        <w:spacing w:line="217" w:lineRule="auto"/>
        <w:rPr>
          <w:sz w:val="24"/>
          <w:szCs w:val="24"/>
        </w:rPr>
        <w:sectPr>
          <w:footerReference r:id="rId325" w:type="default"/>
          <w:pgSz w:w="11907" w:h="16839"/>
          <w:pgMar w:top="933" w:right="4" w:bottom="1038" w:left="0" w:header="478" w:footer="357" w:gutter="0"/>
          <w:pgBorders>
            <w:top w:val="none" w:sz="0" w:space="0"/>
            <w:left w:val="none" w:sz="0" w:space="0"/>
            <w:bottom w:val="none" w:sz="0" w:space="0"/>
            <w:right w:val="none" w:sz="0" w:space="0"/>
          </w:pgBorders>
          <w:cols w:space="720" w:num="1"/>
        </w:sectPr>
      </w:pPr>
    </w:p>
    <w:p w14:paraId="32D2FF73">
      <w:pPr>
        <w:spacing w:line="271" w:lineRule="auto"/>
        <w:rPr>
          <w:rFonts w:ascii="Arial"/>
          <w:sz w:val="21"/>
        </w:rPr>
      </w:pPr>
    </w:p>
    <w:p w14:paraId="2FF7AD58">
      <w:pPr>
        <w:pStyle w:val="2"/>
        <w:spacing w:before="78" w:line="217" w:lineRule="auto"/>
        <w:ind w:left="1455"/>
        <w:rPr>
          <w:sz w:val="24"/>
          <w:szCs w:val="24"/>
        </w:rPr>
      </w:pPr>
      <w:r>
        <w:rPr>
          <w:spacing w:val="-20"/>
          <w:sz w:val="24"/>
          <w:szCs w:val="24"/>
        </w:rPr>
        <w:t>护，不使抹面造成裂缝、空鼓。</w:t>
      </w:r>
    </w:p>
    <w:p w14:paraId="250D5F4B">
      <w:pPr>
        <w:pStyle w:val="2"/>
        <w:spacing w:before="119" w:line="219" w:lineRule="auto"/>
        <w:ind w:left="1880"/>
        <w:rPr>
          <w:sz w:val="24"/>
          <w:szCs w:val="24"/>
        </w:rPr>
      </w:pPr>
      <w:r>
        <w:rPr>
          <w:spacing w:val="-19"/>
          <w:sz w:val="24"/>
          <w:szCs w:val="24"/>
        </w:rPr>
        <w:t>B、井室收口砌筑</w:t>
      </w:r>
    </w:p>
    <w:p w14:paraId="7F60FB1A">
      <w:pPr>
        <w:pStyle w:val="2"/>
        <w:spacing w:before="115" w:line="262" w:lineRule="auto"/>
        <w:ind w:left="1464" w:right="1412" w:firstLine="438"/>
        <w:rPr>
          <w:sz w:val="24"/>
          <w:szCs w:val="24"/>
        </w:rPr>
      </w:pPr>
      <w:r>
        <w:rPr>
          <w:spacing w:val="-21"/>
          <w:sz w:val="24"/>
          <w:szCs w:val="24"/>
        </w:rPr>
        <w:t>1、检查井设计规定：收口最大收进尺寸不超过50mm，为了</w:t>
      </w:r>
      <w:r>
        <w:rPr>
          <w:spacing w:val="-22"/>
          <w:sz w:val="24"/>
          <w:szCs w:val="24"/>
        </w:rPr>
        <w:t>保证不超过这个数值，一般宜按</w:t>
      </w:r>
      <w:r>
        <w:rPr>
          <w:spacing w:val="-16"/>
          <w:sz w:val="24"/>
          <w:szCs w:val="24"/>
        </w:rPr>
        <w:t>每层收进40mm掌握，较容易保证。</w:t>
      </w:r>
    </w:p>
    <w:p w14:paraId="7C676514">
      <w:pPr>
        <w:pStyle w:val="2"/>
        <w:spacing w:before="119" w:line="277" w:lineRule="auto"/>
        <w:ind w:left="1458" w:right="1412" w:firstLine="430"/>
        <w:rPr>
          <w:sz w:val="24"/>
          <w:szCs w:val="24"/>
        </w:rPr>
      </w:pPr>
      <w:r>
        <w:rPr>
          <w:spacing w:val="-22"/>
          <w:sz w:val="24"/>
          <w:szCs w:val="24"/>
        </w:rPr>
        <w:t>2、如果管道浅，检查井必然性也浅，当井深尺寸不能满足收口高度，或满足了收口高度以</w:t>
      </w:r>
      <w:r>
        <w:rPr>
          <w:spacing w:val="-20"/>
          <w:sz w:val="24"/>
          <w:szCs w:val="24"/>
        </w:rPr>
        <w:t>后，井室缩小到难以使用时，可以采用四面收口，减少一半收口高度，来加大井室的办法。至</w:t>
      </w:r>
      <w:r>
        <w:rPr>
          <w:spacing w:val="-21"/>
          <w:sz w:val="24"/>
          <w:szCs w:val="24"/>
        </w:rPr>
        <w:t>于浅到什么程度可采用四面收口，没有统一规定，可根据</w:t>
      </w:r>
      <w:r>
        <w:rPr>
          <w:spacing w:val="-22"/>
          <w:sz w:val="24"/>
          <w:szCs w:val="24"/>
        </w:rPr>
        <w:t>当地情况掌握。</w:t>
      </w:r>
    </w:p>
    <w:p w14:paraId="5110640B">
      <w:pPr>
        <w:pStyle w:val="2"/>
        <w:spacing w:before="117" w:line="262" w:lineRule="auto"/>
        <w:ind w:left="1460" w:right="1411" w:firstLine="430"/>
        <w:rPr>
          <w:sz w:val="24"/>
          <w:szCs w:val="24"/>
        </w:rPr>
      </w:pPr>
      <w:r>
        <w:rPr>
          <w:spacing w:val="-22"/>
          <w:sz w:val="24"/>
          <w:szCs w:val="24"/>
        </w:rPr>
        <w:t>3、收口时，每收进一层，变化一个直径，为了保证每层直径准确，每一块砖收进尺寸</w:t>
      </w:r>
      <w:r>
        <w:rPr>
          <w:spacing w:val="-23"/>
          <w:sz w:val="24"/>
          <w:szCs w:val="24"/>
        </w:rPr>
        <w:t>要均</w:t>
      </w:r>
      <w:r>
        <w:rPr>
          <w:spacing w:val="-22"/>
          <w:sz w:val="24"/>
          <w:szCs w:val="24"/>
        </w:rPr>
        <w:t>匀，每层缩小后的直径圆都要保持圆润。</w:t>
      </w:r>
    </w:p>
    <w:p w14:paraId="68C4A675">
      <w:pPr>
        <w:pStyle w:val="2"/>
        <w:spacing w:before="120" w:line="285" w:lineRule="auto"/>
        <w:ind w:left="1455" w:right="1415" w:firstLine="429"/>
        <w:rPr>
          <w:sz w:val="24"/>
          <w:szCs w:val="24"/>
        </w:rPr>
      </w:pPr>
      <w:r>
        <w:rPr>
          <w:spacing w:val="-21"/>
          <w:sz w:val="24"/>
          <w:szCs w:val="24"/>
        </w:rPr>
        <w:t>4、收口部分容易出现竖向通缝或鱼鳞缝（错缝尺寸小于1/4块</w:t>
      </w:r>
      <w:r>
        <w:rPr>
          <w:spacing w:val="-22"/>
          <w:sz w:val="24"/>
          <w:szCs w:val="24"/>
        </w:rPr>
        <w:t>丁砖</w:t>
      </w:r>
      <w:r>
        <w:rPr>
          <w:spacing w:val="-26"/>
          <w:sz w:val="24"/>
          <w:szCs w:val="24"/>
        </w:rPr>
        <w:t>），</w:t>
      </w:r>
      <w:r>
        <w:rPr>
          <w:spacing w:val="-22"/>
          <w:sz w:val="24"/>
          <w:szCs w:val="24"/>
        </w:rPr>
        <w:t>应打制六分砖块，</w:t>
      </w:r>
      <w:r>
        <w:rPr>
          <w:spacing w:val="-20"/>
          <w:sz w:val="24"/>
          <w:szCs w:val="24"/>
        </w:rPr>
        <w:t>以满足错缝要求，不使出现通缝或鱼鳞缝。收口收进部分的竖缝，为防止形成空缝，应在砌砖时在砖的接砌一侧面挑上灰浆，将竖缝推挤严密。勾缝时再进一步填严抹平，保证收口部分的砖层能结合成整体受力。</w:t>
      </w:r>
    </w:p>
    <w:p w14:paraId="27814336">
      <w:pPr>
        <w:pStyle w:val="2"/>
        <w:spacing w:before="118" w:line="218" w:lineRule="auto"/>
        <w:ind w:left="1883"/>
        <w:rPr>
          <w:sz w:val="24"/>
          <w:szCs w:val="24"/>
        </w:rPr>
      </w:pPr>
      <w:r>
        <w:rPr>
          <w:spacing w:val="-17"/>
          <w:sz w:val="24"/>
          <w:szCs w:val="24"/>
        </w:rPr>
        <w:t>C、井筒砌筑</w:t>
      </w:r>
    </w:p>
    <w:p w14:paraId="1990373C">
      <w:pPr>
        <w:pStyle w:val="2"/>
        <w:spacing w:before="113" w:line="308" w:lineRule="auto"/>
        <w:ind w:left="1455" w:right="1353" w:firstLine="440"/>
        <w:rPr>
          <w:sz w:val="24"/>
          <w:szCs w:val="24"/>
        </w:rPr>
      </w:pPr>
      <w:r>
        <w:rPr>
          <w:spacing w:val="-20"/>
          <w:sz w:val="24"/>
          <w:szCs w:val="24"/>
        </w:rPr>
        <w:t>井筒的功能是管理、维护者上下井的通道，是埋在道路路面结构层里的构筑物，是检查排水管渠工程质量时首先看到的部分。所以检查井井筒砌筑质量应该要求更好一些。检查井筒多</w:t>
      </w:r>
      <w:r>
        <w:rPr>
          <w:spacing w:val="-23"/>
          <w:sz w:val="24"/>
          <w:szCs w:val="24"/>
        </w:rPr>
        <w:t>为清水墙，因此应该要求所砌筑的砖墙外露</w:t>
      </w:r>
      <w:r>
        <w:rPr>
          <w:spacing w:val="-24"/>
          <w:sz w:val="24"/>
          <w:szCs w:val="24"/>
        </w:rPr>
        <w:t>面完整、无缺损、色泽一致、无花斑；砂浆应饱满，</w:t>
      </w:r>
      <w:r>
        <w:rPr>
          <w:spacing w:val="-20"/>
          <w:sz w:val="24"/>
          <w:szCs w:val="24"/>
        </w:rPr>
        <w:t>无空缝；砖体牢固，无松动；砌筑圆润，无折线；墙面平整，无凹凸。注意随砌随搂缝，勾缝</w:t>
      </w:r>
      <w:r>
        <w:rPr>
          <w:spacing w:val="-22"/>
          <w:sz w:val="24"/>
          <w:szCs w:val="24"/>
        </w:rPr>
        <w:t>时深浅要一致（凹入墙面3～4mm）平整、密实、</w:t>
      </w:r>
      <w:r>
        <w:rPr>
          <w:spacing w:val="-23"/>
          <w:sz w:val="24"/>
          <w:szCs w:val="24"/>
        </w:rPr>
        <w:t>光洁。污水检查井如处在有丰富地表水的地带，</w:t>
      </w:r>
      <w:r>
        <w:rPr>
          <w:spacing w:val="-22"/>
          <w:sz w:val="24"/>
          <w:szCs w:val="24"/>
        </w:rPr>
        <w:t>应加做外抹面。</w:t>
      </w:r>
    </w:p>
    <w:p w14:paraId="5BB0A24A">
      <w:pPr>
        <w:pStyle w:val="2"/>
        <w:spacing w:before="2" w:line="215" w:lineRule="auto"/>
        <w:ind w:left="1903"/>
        <w:rPr>
          <w:sz w:val="24"/>
          <w:szCs w:val="24"/>
        </w:rPr>
      </w:pPr>
      <w:r>
        <w:rPr>
          <w:spacing w:val="-21"/>
          <w:sz w:val="24"/>
          <w:szCs w:val="24"/>
        </w:rPr>
        <w:t>1、排水管道应进行闭水试验，检查其密闭性情况。</w:t>
      </w:r>
    </w:p>
    <w:p w14:paraId="037FF37A">
      <w:pPr>
        <w:pStyle w:val="2"/>
        <w:spacing w:before="123" w:line="289" w:lineRule="auto"/>
        <w:ind w:left="1456" w:right="1411" w:firstLine="436"/>
        <w:rPr>
          <w:sz w:val="24"/>
          <w:szCs w:val="24"/>
        </w:rPr>
      </w:pPr>
      <w:r>
        <w:rPr>
          <w:spacing w:val="-22"/>
          <w:sz w:val="24"/>
          <w:szCs w:val="24"/>
        </w:rPr>
        <w:t>（1）管线施工完毕后，必须按规定进行闭水试验。闭水试验采用从上游往下游</w:t>
      </w:r>
      <w:r>
        <w:rPr>
          <w:spacing w:val="-23"/>
          <w:sz w:val="24"/>
          <w:szCs w:val="24"/>
        </w:rPr>
        <w:t>分段进行。</w:t>
      </w:r>
      <w:r>
        <w:rPr>
          <w:spacing w:val="-18"/>
          <w:sz w:val="24"/>
          <w:szCs w:val="24"/>
        </w:rPr>
        <w:t>每段闭水试验长度不宜大于500米。闭水试验的水位应为试验段上游管内顶以上2米，采用带</w:t>
      </w:r>
      <w:r>
        <w:rPr>
          <w:spacing w:val="-20"/>
          <w:sz w:val="24"/>
          <w:szCs w:val="24"/>
        </w:rPr>
        <w:t>井试验的方式。闭水试验前，管道及检查井结构应检验合格，将各支线管口堵严保证不漏水，</w:t>
      </w:r>
      <w:r>
        <w:rPr>
          <w:spacing w:val="-22"/>
          <w:sz w:val="24"/>
          <w:szCs w:val="24"/>
        </w:rPr>
        <w:t>每段上游管口砌砖抹灰封严（封堵应经过承压计算）。实验程序：注水浸泡1</w:t>
      </w:r>
      <w:r>
        <w:rPr>
          <w:spacing w:val="-23"/>
          <w:sz w:val="24"/>
          <w:szCs w:val="24"/>
        </w:rPr>
        <w:t>～2天→闭水试验</w:t>
      </w:r>
      <w:r>
        <w:rPr>
          <w:spacing w:val="-19"/>
          <w:sz w:val="24"/>
          <w:szCs w:val="24"/>
        </w:rPr>
        <w:t>（不少于30分钟）→计算试验渗水量→检验合格→管线勾头。</w:t>
      </w:r>
    </w:p>
    <w:p w14:paraId="7B249301">
      <w:pPr>
        <w:pStyle w:val="2"/>
        <w:spacing w:before="119" w:line="262" w:lineRule="auto"/>
        <w:ind w:left="1458" w:right="1409" w:firstLine="434"/>
        <w:rPr>
          <w:sz w:val="24"/>
          <w:szCs w:val="24"/>
        </w:rPr>
      </w:pPr>
      <w:r>
        <w:rPr>
          <w:spacing w:val="-22"/>
          <w:sz w:val="24"/>
          <w:szCs w:val="24"/>
        </w:rPr>
        <w:t>（2）根据管线长短可采用分段闭水，分段回填。如闭水试验不符合要求，必须对渗水</w:t>
      </w:r>
      <w:r>
        <w:rPr>
          <w:spacing w:val="-23"/>
          <w:sz w:val="24"/>
          <w:szCs w:val="24"/>
        </w:rPr>
        <w:t>部位</w:t>
      </w:r>
      <w:r>
        <w:rPr>
          <w:spacing w:val="-21"/>
          <w:sz w:val="24"/>
          <w:szCs w:val="24"/>
        </w:rPr>
        <w:t>进行修补处理，合格后方可回填沟槽。</w:t>
      </w:r>
    </w:p>
    <w:p w14:paraId="3E74603D">
      <w:pPr>
        <w:pStyle w:val="2"/>
        <w:spacing w:before="119" w:line="216" w:lineRule="auto"/>
        <w:ind w:left="1888"/>
        <w:rPr>
          <w:sz w:val="24"/>
          <w:szCs w:val="24"/>
        </w:rPr>
      </w:pPr>
      <w:r>
        <w:rPr>
          <w:spacing w:val="-17"/>
          <w:sz w:val="24"/>
          <w:szCs w:val="24"/>
        </w:rPr>
        <w:t>2.1.5弱电综合管迁移恢复</w:t>
      </w:r>
    </w:p>
    <w:p w14:paraId="6ACEBB93">
      <w:pPr>
        <w:pStyle w:val="2"/>
        <w:spacing w:before="117" w:line="220" w:lineRule="auto"/>
        <w:ind w:left="1903"/>
        <w:rPr>
          <w:sz w:val="24"/>
          <w:szCs w:val="24"/>
        </w:rPr>
      </w:pPr>
      <w:r>
        <w:rPr>
          <w:spacing w:val="-17"/>
          <w:sz w:val="24"/>
          <w:szCs w:val="24"/>
        </w:rPr>
        <w:t>1、电气配管</w:t>
      </w:r>
    </w:p>
    <w:p w14:paraId="46562A4D">
      <w:pPr>
        <w:spacing w:line="220" w:lineRule="auto"/>
        <w:rPr>
          <w:sz w:val="24"/>
          <w:szCs w:val="24"/>
        </w:rPr>
        <w:sectPr>
          <w:footerReference r:id="rId326" w:type="default"/>
          <w:pgSz w:w="11907" w:h="16839"/>
          <w:pgMar w:top="933" w:right="4" w:bottom="1038" w:left="0" w:header="478" w:footer="357" w:gutter="0"/>
          <w:pgBorders>
            <w:top w:val="none" w:sz="0" w:space="0"/>
            <w:left w:val="none" w:sz="0" w:space="0"/>
            <w:bottom w:val="none" w:sz="0" w:space="0"/>
            <w:right w:val="none" w:sz="0" w:space="0"/>
          </w:pgBorders>
          <w:cols w:space="720" w:num="1"/>
        </w:sectPr>
      </w:pPr>
    </w:p>
    <w:p w14:paraId="5790346B">
      <w:pPr>
        <w:spacing w:line="235" w:lineRule="exact"/>
      </w:pPr>
    </w:p>
    <w:tbl>
      <w:tblPr>
        <w:tblStyle w:val="6"/>
        <w:tblW w:w="8549" w:type="dxa"/>
        <w:tblInd w:w="1678" w:type="dxa"/>
        <w:tblBorders>
          <w:top w:val="single" w:color="5B9BD5" w:sz="4" w:space="0"/>
          <w:left w:val="single" w:color="5B9BD5" w:sz="4" w:space="0"/>
          <w:bottom w:val="single" w:color="5B9BD5" w:sz="4" w:space="0"/>
          <w:right w:val="single" w:color="5B9BD5" w:sz="4" w:space="0"/>
          <w:insideH w:val="single" w:color="5B9BD5" w:sz="4" w:space="0"/>
          <w:insideV w:val="single" w:color="5B9BD5" w:sz="4" w:space="0"/>
        </w:tblBorders>
        <w:tblLayout w:type="fixed"/>
        <w:tblCellMar>
          <w:top w:w="0" w:type="dxa"/>
          <w:left w:w="0" w:type="dxa"/>
          <w:bottom w:w="0" w:type="dxa"/>
          <w:right w:w="0" w:type="dxa"/>
        </w:tblCellMar>
      </w:tblPr>
      <w:tblGrid>
        <w:gridCol w:w="8549"/>
      </w:tblGrid>
      <w:tr w14:paraId="0233E36C">
        <w:tblPrEx>
          <w:tblBorders>
            <w:top w:val="single" w:color="5B9BD5" w:sz="4" w:space="0"/>
            <w:left w:val="single" w:color="5B9BD5" w:sz="4" w:space="0"/>
            <w:bottom w:val="single" w:color="5B9BD5" w:sz="4" w:space="0"/>
            <w:right w:val="single" w:color="5B9BD5" w:sz="4" w:space="0"/>
            <w:insideH w:val="single" w:color="5B9BD5" w:sz="4" w:space="0"/>
            <w:insideV w:val="single" w:color="5B9BD5" w:sz="4" w:space="0"/>
          </w:tblBorders>
          <w:tblCellMar>
            <w:top w:w="0" w:type="dxa"/>
            <w:left w:w="0" w:type="dxa"/>
            <w:bottom w:w="0" w:type="dxa"/>
            <w:right w:w="0" w:type="dxa"/>
          </w:tblCellMar>
        </w:tblPrEx>
        <w:trPr>
          <w:trHeight w:val="4065" w:hRule="atLeast"/>
        </w:trPr>
        <w:tc>
          <w:tcPr>
            <w:tcW w:w="8549" w:type="dxa"/>
            <w:tcBorders>
              <w:bottom w:val="single" w:color="000000" w:sz="2" w:space="0"/>
            </w:tcBorders>
            <w:shd w:val="clear" w:color="auto" w:fill="DEEAF6"/>
            <w:vAlign w:val="top"/>
          </w:tcPr>
          <w:p w14:paraId="5B90E98A">
            <w:pPr>
              <w:spacing w:before="33" w:line="60" w:lineRule="exact"/>
              <w:ind w:firstLine="33"/>
            </w:pPr>
            <w:r>
              <w:rPr>
                <w:position w:val="-1"/>
              </w:rPr>
              <w:pict>
                <v:shape id="_x0000_s3897" o:spid="_x0000_s3897" style="height:3pt;width:423.7pt;" fillcolor="#DEEAF6" filled="t" stroked="f" coordsize="8474,60" path="m0,60l8473,60,8473,0,0,0,0,60xe">
                  <v:path/>
                  <v:fill on="t" focussize="0,0"/>
                  <v:stroke on="f"/>
                  <v:imagedata o:title=""/>
                  <o:lock v:ext="edit"/>
                  <w10:wrap type="none"/>
                  <w10:anchorlock/>
                </v:shape>
              </w:pict>
            </w:r>
          </w:p>
          <w:p w14:paraId="2719D67E">
            <w:pPr>
              <w:spacing w:line="3773" w:lineRule="exact"/>
              <w:ind w:firstLine="68"/>
            </w:pPr>
            <w:r>
              <w:rPr>
                <w:position w:val="-75"/>
              </w:rPr>
              <w:drawing>
                <wp:inline distT="0" distB="0" distL="0" distR="0">
                  <wp:extent cx="5337810" cy="2395855"/>
                  <wp:effectExtent l="0" t="0" r="0" b="0"/>
                  <wp:docPr id="1368" name="IM 1368"/>
                  <wp:cNvGraphicFramePr/>
                  <a:graphic xmlns:a="http://schemas.openxmlformats.org/drawingml/2006/main">
                    <a:graphicData uri="http://schemas.openxmlformats.org/drawingml/2006/picture">
                      <pic:pic xmlns:pic="http://schemas.openxmlformats.org/drawingml/2006/picture">
                        <pic:nvPicPr>
                          <pic:cNvPr id="1368" name="IM 1368"/>
                          <pic:cNvPicPr/>
                        </pic:nvPicPr>
                        <pic:blipFill>
                          <a:blip r:embed="rId530"/>
                          <a:stretch>
                            <a:fillRect/>
                          </a:stretch>
                        </pic:blipFill>
                        <pic:spPr>
                          <a:xfrm>
                            <a:off x="0" y="0"/>
                            <a:ext cx="5338444" cy="2395855"/>
                          </a:xfrm>
                          <a:prstGeom prst="rect">
                            <a:avLst/>
                          </a:prstGeom>
                        </pic:spPr>
                      </pic:pic>
                    </a:graphicData>
                  </a:graphic>
                </wp:inline>
              </w:drawing>
            </w:r>
          </w:p>
        </w:tc>
      </w:tr>
      <w:tr w14:paraId="03ACBA81">
        <w:tblPrEx>
          <w:tblBorders>
            <w:top w:val="single" w:color="5B9BD5" w:sz="4" w:space="0"/>
            <w:left w:val="single" w:color="5B9BD5" w:sz="4" w:space="0"/>
            <w:bottom w:val="single" w:color="5B9BD5" w:sz="4" w:space="0"/>
            <w:right w:val="single" w:color="5B9BD5" w:sz="4" w:space="0"/>
            <w:insideH w:val="single" w:color="5B9BD5" w:sz="4" w:space="0"/>
            <w:insideV w:val="single" w:color="5B9BD5" w:sz="4" w:space="0"/>
          </w:tblBorders>
          <w:tblCellMar>
            <w:top w:w="0" w:type="dxa"/>
            <w:left w:w="0" w:type="dxa"/>
            <w:bottom w:w="0" w:type="dxa"/>
            <w:right w:w="0" w:type="dxa"/>
          </w:tblCellMar>
        </w:tblPrEx>
        <w:trPr>
          <w:trHeight w:val="2503" w:hRule="atLeast"/>
        </w:trPr>
        <w:tc>
          <w:tcPr>
            <w:tcW w:w="8549" w:type="dxa"/>
            <w:tcBorders>
              <w:top w:val="single" w:color="000000" w:sz="2" w:space="0"/>
              <w:left w:val="single" w:color="1C456A" w:sz="4" w:space="0"/>
              <w:bottom w:val="single" w:color="1C456A" w:sz="4" w:space="0"/>
              <w:right w:val="single" w:color="1C456A" w:sz="4" w:space="0"/>
            </w:tcBorders>
            <w:vAlign w:val="top"/>
          </w:tcPr>
          <w:p w14:paraId="06A3B960">
            <w:pPr>
              <w:pStyle w:val="7"/>
              <w:spacing w:before="113" w:line="216" w:lineRule="auto"/>
              <w:ind w:left="1448"/>
            </w:pPr>
            <w:r>
              <w:pict>
                <v:shape id="_x0000_s3898" o:spid="_x0000_s3898" style="position:absolute;left:0pt;margin-left:-0.25pt;margin-top:125.2pt;height:0.75pt;width:2.2pt;mso-position-horizontal-relative:page;mso-position-vertical-relative:page;z-index:252261376;mso-width-relative:page;mso-height-relative:page;" fillcolor="#5B9BD5" filled="t" stroked="f" coordsize="44,15" path="m0,14l43,14,43,0,0,0,0,14xe">
                  <v:path/>
                  <v:fill on="t" focussize="0,0"/>
                  <v:stroke on="f"/>
                  <v:imagedata o:title=""/>
                  <o:lock v:ext="edit"/>
                </v:shape>
              </w:pict>
            </w:r>
            <w:r>
              <w:rPr>
                <w:spacing w:val="-12"/>
              </w:rPr>
              <w:t>路灯常用PE塑料管型号为DN40~DN75，镀锌钢管为DN100。</w:t>
            </w:r>
          </w:p>
          <w:p w14:paraId="182A745E">
            <w:pPr>
              <w:pStyle w:val="7"/>
              <w:spacing w:before="184" w:line="217" w:lineRule="auto"/>
              <w:ind w:left="85"/>
            </w:pPr>
            <w:r>
              <w:rPr>
                <w:spacing w:val="-24"/>
              </w:rPr>
              <w:t>控制要点：电缆保护管不应有孔洞、裂缝和明显的凹凸不平，内壁应光滑无毛刺，直线段</w:t>
            </w:r>
          </w:p>
          <w:p w14:paraId="3A2CD344">
            <w:pPr>
              <w:pStyle w:val="7"/>
              <w:spacing w:before="186" w:line="216" w:lineRule="auto"/>
              <w:ind w:left="85"/>
            </w:pPr>
            <w:r>
              <w:rPr>
                <w:spacing w:val="-22"/>
              </w:rPr>
              <w:t>保护管内径不应小于电缆外径的1.5倍，有弯曲时不应小于2倍。塑料管连接采用套接或</w:t>
            </w:r>
          </w:p>
          <w:p w14:paraId="0E2C908A">
            <w:pPr>
              <w:pStyle w:val="7"/>
              <w:spacing w:before="185" w:line="215" w:lineRule="auto"/>
              <w:ind w:left="84"/>
            </w:pPr>
            <w:r>
              <w:rPr>
                <w:spacing w:val="-24"/>
              </w:rPr>
              <w:t>插接时，在插接面上应涂以胶粘剂粘牢密封；采用套接时套接两端应采用密封措施。金属</w:t>
            </w:r>
          </w:p>
          <w:p w14:paraId="2B240C1B">
            <w:pPr>
              <w:pStyle w:val="7"/>
              <w:spacing w:before="187" w:line="217" w:lineRule="auto"/>
              <w:ind w:left="1803"/>
            </w:pPr>
            <w:r>
              <w:rPr>
                <w:spacing w:val="-22"/>
              </w:rPr>
              <w:t>电缆保护管不宜直接对焊，宜采用套管焊接的方式。</w:t>
            </w:r>
          </w:p>
        </w:tc>
      </w:tr>
    </w:tbl>
    <w:p w14:paraId="2E24F701">
      <w:pPr>
        <w:pStyle w:val="2"/>
        <w:spacing w:before="114" w:line="262" w:lineRule="auto"/>
        <w:ind w:left="1485" w:right="1409" w:firstLine="417"/>
        <w:rPr>
          <w:sz w:val="24"/>
          <w:szCs w:val="24"/>
        </w:rPr>
      </w:pPr>
      <w:r>
        <w:rPr>
          <w:spacing w:val="-24"/>
          <w:sz w:val="24"/>
          <w:szCs w:val="24"/>
        </w:rPr>
        <w:t>1.1当线路暗配时，电线保护管宜沿最近的路线敷设，并应减少弯曲。埋入建筑物，构筑物</w:t>
      </w:r>
      <w:r>
        <w:rPr>
          <w:spacing w:val="-19"/>
          <w:sz w:val="24"/>
          <w:szCs w:val="24"/>
        </w:rPr>
        <w:t>内的电线保护管，与建筑物、构筑物表面的距离不应小于15-30mm。</w:t>
      </w:r>
    </w:p>
    <w:p w14:paraId="1FDFBCA7">
      <w:pPr>
        <w:pStyle w:val="2"/>
        <w:spacing w:before="118" w:line="217" w:lineRule="auto"/>
        <w:ind w:left="1903"/>
        <w:rPr>
          <w:sz w:val="24"/>
          <w:szCs w:val="24"/>
        </w:rPr>
      </w:pPr>
      <w:r>
        <w:rPr>
          <w:spacing w:val="-20"/>
          <w:sz w:val="24"/>
          <w:szCs w:val="24"/>
        </w:rPr>
        <w:t>1.2电线保护管的弯曲处，不应的折皱、凹陷和裂缝，且弯扁程度不应大于管外径的10%。</w:t>
      </w:r>
    </w:p>
    <w:p w14:paraId="598BCADB">
      <w:pPr>
        <w:pStyle w:val="2"/>
        <w:spacing w:before="116" w:line="263" w:lineRule="auto"/>
        <w:ind w:left="1457" w:right="1409" w:firstLine="446"/>
        <w:rPr>
          <w:sz w:val="24"/>
          <w:szCs w:val="24"/>
        </w:rPr>
      </w:pPr>
      <w:r>
        <w:rPr>
          <w:spacing w:val="-24"/>
          <w:sz w:val="24"/>
          <w:szCs w:val="24"/>
        </w:rPr>
        <w:t>1.3当电线保护管遇下列情况之一时，中间应增设接线盒或拉线盒，且接线盒或拉线盒的位</w:t>
      </w:r>
      <w:r>
        <w:rPr>
          <w:spacing w:val="-19"/>
          <w:sz w:val="24"/>
          <w:szCs w:val="24"/>
        </w:rPr>
        <w:t>置应便于穿线：</w:t>
      </w:r>
    </w:p>
    <w:p w14:paraId="7AF4230D">
      <w:pPr>
        <w:pStyle w:val="2"/>
        <w:spacing w:before="119" w:line="217" w:lineRule="auto"/>
        <w:ind w:left="1885"/>
        <w:rPr>
          <w:sz w:val="24"/>
          <w:szCs w:val="24"/>
        </w:rPr>
      </w:pPr>
      <w:r>
        <w:rPr>
          <w:spacing w:val="-16"/>
          <w:sz w:val="24"/>
          <w:szCs w:val="24"/>
        </w:rPr>
        <w:t>①管长度每超过30米，无弯曲。</w:t>
      </w:r>
    </w:p>
    <w:p w14:paraId="6EBADE3F">
      <w:pPr>
        <w:pStyle w:val="2"/>
        <w:spacing w:before="116" w:line="217" w:lineRule="auto"/>
        <w:ind w:left="1884"/>
        <w:rPr>
          <w:sz w:val="24"/>
          <w:szCs w:val="24"/>
        </w:rPr>
      </w:pPr>
      <w:r>
        <w:rPr>
          <w:spacing w:val="-16"/>
          <w:sz w:val="24"/>
          <w:szCs w:val="24"/>
        </w:rPr>
        <w:t>②管长度每超过20米，有一个弯曲。</w:t>
      </w:r>
    </w:p>
    <w:p w14:paraId="47E2775D">
      <w:pPr>
        <w:pStyle w:val="2"/>
        <w:spacing w:before="119" w:line="217" w:lineRule="auto"/>
        <w:ind w:left="1884"/>
        <w:rPr>
          <w:sz w:val="24"/>
          <w:szCs w:val="24"/>
        </w:rPr>
      </w:pPr>
      <w:r>
        <w:rPr>
          <w:spacing w:val="-20"/>
          <w:sz w:val="24"/>
          <w:szCs w:val="24"/>
        </w:rPr>
        <w:t>③管长度每超过15米，有二个弯曲。</w:t>
      </w:r>
    </w:p>
    <w:p w14:paraId="03881235">
      <w:pPr>
        <w:pStyle w:val="2"/>
        <w:spacing w:before="118" w:line="217" w:lineRule="auto"/>
        <w:ind w:left="1884"/>
        <w:rPr>
          <w:sz w:val="24"/>
          <w:szCs w:val="24"/>
        </w:rPr>
      </w:pPr>
      <w:r>
        <w:rPr>
          <w:spacing w:val="-17"/>
          <w:sz w:val="24"/>
          <w:szCs w:val="24"/>
        </w:rPr>
        <w:t>④管长度每超过8米，有三个弯曲。</w:t>
      </w:r>
    </w:p>
    <w:p w14:paraId="168BD7EA">
      <w:pPr>
        <w:pStyle w:val="2"/>
        <w:spacing w:before="116" w:line="217" w:lineRule="auto"/>
        <w:ind w:left="1903"/>
        <w:rPr>
          <w:sz w:val="24"/>
          <w:szCs w:val="24"/>
        </w:rPr>
      </w:pPr>
      <w:r>
        <w:rPr>
          <w:spacing w:val="-22"/>
          <w:sz w:val="24"/>
          <w:szCs w:val="24"/>
        </w:rPr>
        <w:t>1.4电气保护管的管口和切口要平滑，不应有毛刺，钢管连接处的管内表面应平整、光滑。</w:t>
      </w:r>
    </w:p>
    <w:p w14:paraId="6F7A74EA">
      <w:pPr>
        <w:pStyle w:val="2"/>
        <w:spacing w:before="120" w:line="263" w:lineRule="auto"/>
        <w:ind w:left="1460" w:right="1412" w:firstLine="443"/>
        <w:rPr>
          <w:sz w:val="24"/>
          <w:szCs w:val="24"/>
        </w:rPr>
      </w:pPr>
      <w:r>
        <w:rPr>
          <w:spacing w:val="-19"/>
          <w:sz w:val="24"/>
          <w:szCs w:val="24"/>
        </w:rPr>
        <w:t>1.5在TN-S、TN-C-S系统中，金属电线保护管和金属盒（箱）必须与保护地线（PE线）有可靠的电气连接。</w:t>
      </w:r>
    </w:p>
    <w:p w14:paraId="665D98BC">
      <w:pPr>
        <w:pStyle w:val="2"/>
        <w:spacing w:before="115" w:line="218" w:lineRule="auto"/>
        <w:ind w:left="1903"/>
        <w:rPr>
          <w:sz w:val="24"/>
          <w:szCs w:val="24"/>
        </w:rPr>
      </w:pPr>
      <w:r>
        <w:rPr>
          <w:spacing w:val="-26"/>
          <w:sz w:val="24"/>
          <w:szCs w:val="24"/>
        </w:rPr>
        <w:t>1.6明配管或吊顶内敷设时，其支架、吊架、吊钩等设置完成，与管固定可采用管卡等卡紧。</w:t>
      </w:r>
    </w:p>
    <w:p w14:paraId="333DF285">
      <w:pPr>
        <w:pStyle w:val="2"/>
        <w:spacing w:before="118" w:line="217" w:lineRule="auto"/>
        <w:ind w:left="1888"/>
        <w:rPr>
          <w:sz w:val="24"/>
          <w:szCs w:val="24"/>
        </w:rPr>
      </w:pPr>
      <w:r>
        <w:rPr>
          <w:spacing w:val="-18"/>
          <w:sz w:val="24"/>
          <w:szCs w:val="24"/>
        </w:rPr>
        <w:t>2、电气穿线及连接</w:t>
      </w:r>
    </w:p>
    <w:p w14:paraId="680797D5">
      <w:pPr>
        <w:spacing w:line="217" w:lineRule="auto"/>
        <w:rPr>
          <w:sz w:val="24"/>
          <w:szCs w:val="24"/>
        </w:rPr>
        <w:sectPr>
          <w:footerReference r:id="rId327" w:type="default"/>
          <w:pgSz w:w="11907" w:h="16839"/>
          <w:pgMar w:top="933" w:right="4" w:bottom="1038" w:left="0" w:header="478" w:footer="357" w:gutter="0"/>
          <w:pgBorders>
            <w:top w:val="none" w:sz="0" w:space="0"/>
            <w:left w:val="none" w:sz="0" w:space="0"/>
            <w:bottom w:val="none" w:sz="0" w:space="0"/>
            <w:right w:val="none" w:sz="0" w:space="0"/>
          </w:pgBorders>
          <w:cols w:space="720" w:num="1"/>
        </w:sectPr>
      </w:pPr>
    </w:p>
    <w:p w14:paraId="6BC95F3E">
      <w:pPr>
        <w:spacing w:line="235" w:lineRule="exact"/>
      </w:pPr>
      <w:r>
        <w:drawing>
          <wp:anchor distT="0" distB="0" distL="0" distR="0" simplePos="0" relativeHeight="252263424" behindDoc="0" locked="0" layoutInCell="0" allowOverlap="1">
            <wp:simplePos x="0" y="0"/>
            <wp:positionH relativeFrom="page">
              <wp:posOffset>1111885</wp:posOffset>
            </wp:positionH>
            <wp:positionV relativeFrom="page">
              <wp:posOffset>807085</wp:posOffset>
            </wp:positionV>
            <wp:extent cx="5439410" cy="3493135"/>
            <wp:effectExtent l="0" t="0" r="0" b="0"/>
            <wp:wrapNone/>
            <wp:docPr id="1372" name="IM 1372"/>
            <wp:cNvGraphicFramePr/>
            <a:graphic xmlns:a="http://schemas.openxmlformats.org/drawingml/2006/main">
              <a:graphicData uri="http://schemas.openxmlformats.org/drawingml/2006/picture">
                <pic:pic xmlns:pic="http://schemas.openxmlformats.org/drawingml/2006/picture">
                  <pic:nvPicPr>
                    <pic:cNvPr id="1372" name="IM 1372"/>
                    <pic:cNvPicPr/>
                  </pic:nvPicPr>
                  <pic:blipFill>
                    <a:blip r:embed="rId531"/>
                    <a:stretch>
                      <a:fillRect/>
                    </a:stretch>
                  </pic:blipFill>
                  <pic:spPr>
                    <a:xfrm>
                      <a:off x="0" y="0"/>
                      <a:ext cx="5439409" cy="3493135"/>
                    </a:xfrm>
                    <a:prstGeom prst="rect">
                      <a:avLst/>
                    </a:prstGeom>
                  </pic:spPr>
                </pic:pic>
              </a:graphicData>
            </a:graphic>
          </wp:anchor>
        </w:drawing>
      </w:r>
    </w:p>
    <w:tbl>
      <w:tblPr>
        <w:tblStyle w:val="6"/>
        <w:tblW w:w="8549" w:type="dxa"/>
        <w:tblInd w:w="1678" w:type="dxa"/>
        <w:tblBorders>
          <w:top w:val="single" w:color="5B9BD5" w:sz="4" w:space="0"/>
          <w:left w:val="single" w:color="5B9BD5" w:sz="4" w:space="0"/>
          <w:bottom w:val="single" w:color="5B9BD5" w:sz="4" w:space="0"/>
          <w:right w:val="single" w:color="5B9BD5" w:sz="4" w:space="0"/>
          <w:insideH w:val="single" w:color="5B9BD5" w:sz="4" w:space="0"/>
          <w:insideV w:val="single" w:color="5B9BD5" w:sz="4" w:space="0"/>
        </w:tblBorders>
        <w:tblLayout w:type="fixed"/>
        <w:tblCellMar>
          <w:top w:w="0" w:type="dxa"/>
          <w:left w:w="0" w:type="dxa"/>
          <w:bottom w:w="0" w:type="dxa"/>
          <w:right w:w="0" w:type="dxa"/>
        </w:tblCellMar>
      </w:tblPr>
      <w:tblGrid>
        <w:gridCol w:w="8549"/>
      </w:tblGrid>
      <w:tr w14:paraId="7E5FF466">
        <w:tblPrEx>
          <w:tblBorders>
            <w:top w:val="single" w:color="5B9BD5" w:sz="4" w:space="0"/>
            <w:left w:val="single" w:color="5B9BD5" w:sz="4" w:space="0"/>
            <w:bottom w:val="single" w:color="5B9BD5" w:sz="4" w:space="0"/>
            <w:right w:val="single" w:color="5B9BD5" w:sz="4" w:space="0"/>
            <w:insideH w:val="single" w:color="5B9BD5" w:sz="4" w:space="0"/>
            <w:insideV w:val="single" w:color="5B9BD5" w:sz="4" w:space="0"/>
          </w:tblBorders>
          <w:tblCellMar>
            <w:top w:w="0" w:type="dxa"/>
            <w:left w:w="0" w:type="dxa"/>
            <w:bottom w:w="0" w:type="dxa"/>
            <w:right w:w="0" w:type="dxa"/>
          </w:tblCellMar>
        </w:tblPrEx>
        <w:trPr>
          <w:trHeight w:val="5794" w:hRule="atLeast"/>
        </w:trPr>
        <w:tc>
          <w:tcPr>
            <w:tcW w:w="8549" w:type="dxa"/>
            <w:tcBorders>
              <w:bottom w:val="single" w:color="000000" w:sz="2" w:space="0"/>
            </w:tcBorders>
            <w:shd w:val="clear" w:color="auto" w:fill="DEEAF6"/>
            <w:vAlign w:val="top"/>
          </w:tcPr>
          <w:p w14:paraId="4D22BCDA">
            <w:pPr>
              <w:spacing w:before="33" w:line="60" w:lineRule="exact"/>
              <w:ind w:firstLine="33"/>
            </w:pPr>
            <w:r>
              <w:rPr>
                <w:position w:val="-1"/>
              </w:rPr>
              <w:pict>
                <v:shape id="_x0000_s3899" o:spid="_x0000_s3899" style="height:3pt;width:423.7pt;" fillcolor="#DEEAF6" filled="t" stroked="f" coordsize="8474,60" path="m0,60l8473,60,8473,0,0,0,0,60xe">
                  <v:path/>
                  <v:fill on="t" focussize="0,0"/>
                  <v:stroke on="f"/>
                  <v:imagedata o:title=""/>
                  <o:lock v:ext="edit"/>
                  <w10:wrap type="none"/>
                  <w10:anchorlock/>
                </v:shape>
              </w:pict>
            </w:r>
          </w:p>
        </w:tc>
      </w:tr>
      <w:tr w14:paraId="4EBA4E51">
        <w:tblPrEx>
          <w:tblBorders>
            <w:top w:val="single" w:color="5B9BD5" w:sz="4" w:space="0"/>
            <w:left w:val="single" w:color="5B9BD5" w:sz="4" w:space="0"/>
            <w:bottom w:val="single" w:color="5B9BD5" w:sz="4" w:space="0"/>
            <w:right w:val="single" w:color="5B9BD5" w:sz="4" w:space="0"/>
            <w:insideH w:val="single" w:color="5B9BD5" w:sz="4" w:space="0"/>
            <w:insideV w:val="single" w:color="5B9BD5" w:sz="4" w:space="0"/>
          </w:tblBorders>
        </w:tblPrEx>
        <w:trPr>
          <w:trHeight w:val="2032" w:hRule="atLeast"/>
        </w:trPr>
        <w:tc>
          <w:tcPr>
            <w:tcW w:w="8549" w:type="dxa"/>
            <w:tcBorders>
              <w:top w:val="single" w:color="000000" w:sz="2" w:space="0"/>
              <w:left w:val="single" w:color="1C456A" w:sz="4" w:space="0"/>
              <w:bottom w:val="single" w:color="1C456A" w:sz="4" w:space="0"/>
              <w:right w:val="single" w:color="1C456A" w:sz="4" w:space="0"/>
            </w:tcBorders>
            <w:vAlign w:val="top"/>
          </w:tcPr>
          <w:p w14:paraId="2A3683F9">
            <w:pPr>
              <w:pStyle w:val="7"/>
              <w:spacing w:before="110" w:line="218" w:lineRule="auto"/>
              <w:ind w:left="3767"/>
            </w:pPr>
            <w:r>
              <w:pict>
                <v:shape id="_x0000_s3900" o:spid="_x0000_s3900" style="position:absolute;left:0pt;margin-left:-0.25pt;margin-top:101.65pt;height:0.75pt;width:2.2pt;mso-position-horizontal-relative:page;mso-position-vertical-relative:page;z-index:252262400;mso-width-relative:page;mso-height-relative:page;" fillcolor="#5B9BD5" filled="t" stroked="f" coordsize="44,15" path="m0,14l43,14,43,0,0,0,0,14xe">
                  <v:path/>
                  <v:fill on="t" focussize="0,0"/>
                  <v:stroke on="f"/>
                  <v:imagedata o:title=""/>
                  <o:lock v:ext="edit"/>
                </v:shape>
              </w:pict>
            </w:r>
            <w:r>
              <w:rPr>
                <w:spacing w:val="-22"/>
              </w:rPr>
              <w:t>电缆准备：</w:t>
            </w:r>
          </w:p>
          <w:p w14:paraId="38E36707">
            <w:pPr>
              <w:pStyle w:val="7"/>
              <w:spacing w:before="182" w:line="215" w:lineRule="auto"/>
              <w:ind w:left="534"/>
            </w:pPr>
            <w:r>
              <w:rPr>
                <w:spacing w:val="-22"/>
              </w:rPr>
              <w:t>1、电缆运输装卸过程中严禁将电缆盘直接由车上推下。电缆盘不应平放运输。</w:t>
            </w:r>
          </w:p>
          <w:p w14:paraId="4795C1BF">
            <w:pPr>
              <w:pStyle w:val="7"/>
              <w:spacing w:before="189" w:line="288" w:lineRule="auto"/>
              <w:ind w:left="3745" w:right="52" w:hanging="3663"/>
            </w:pPr>
            <w:r>
              <w:rPr>
                <w:spacing w:val="-21"/>
              </w:rPr>
              <w:t>2、电缆敷设前应检查型号、电压、规格符合设</w:t>
            </w:r>
            <w:r>
              <w:rPr>
                <w:spacing w:val="-22"/>
              </w:rPr>
              <w:t>计，外观无损伤，绝缘良好。金属部分防</w:t>
            </w:r>
            <w:r>
              <w:rPr>
                <w:spacing w:val="-18"/>
              </w:rPr>
              <w:t>腐层完整。</w:t>
            </w:r>
          </w:p>
        </w:tc>
      </w:tr>
    </w:tbl>
    <w:p w14:paraId="34793F6D">
      <w:pPr>
        <w:pStyle w:val="2"/>
        <w:spacing w:before="114" w:line="217" w:lineRule="auto"/>
        <w:ind w:left="1888"/>
        <w:rPr>
          <w:sz w:val="24"/>
          <w:szCs w:val="24"/>
        </w:rPr>
      </w:pPr>
      <w:r>
        <w:rPr>
          <w:spacing w:val="-21"/>
          <w:sz w:val="24"/>
          <w:szCs w:val="24"/>
        </w:rPr>
        <w:t>2.1导线规格型号必须符合设计要求，未经设计单位同意不得更改。</w:t>
      </w:r>
    </w:p>
    <w:p w14:paraId="154FC70B">
      <w:pPr>
        <w:pStyle w:val="2"/>
        <w:spacing w:before="118" w:line="262" w:lineRule="auto"/>
        <w:ind w:left="1458" w:right="1409" w:firstLine="430"/>
        <w:rPr>
          <w:sz w:val="24"/>
          <w:szCs w:val="24"/>
        </w:rPr>
      </w:pPr>
      <w:r>
        <w:rPr>
          <w:spacing w:val="-23"/>
          <w:sz w:val="24"/>
          <w:szCs w:val="24"/>
        </w:rPr>
        <w:t>2.2管内穿线宜在建筑物抹灰，粉刷及地面工程结束后进行，穿线前应</w:t>
      </w:r>
      <w:r>
        <w:rPr>
          <w:spacing w:val="-24"/>
          <w:sz w:val="24"/>
          <w:szCs w:val="24"/>
        </w:rPr>
        <w:t>将电线管内的积水及</w:t>
      </w:r>
      <w:r>
        <w:rPr>
          <w:spacing w:val="-19"/>
          <w:sz w:val="24"/>
          <w:szCs w:val="24"/>
        </w:rPr>
        <w:t>杂物清除干净。</w:t>
      </w:r>
    </w:p>
    <w:p w14:paraId="2EAFBCB7">
      <w:pPr>
        <w:pStyle w:val="2"/>
        <w:spacing w:before="118" w:line="263" w:lineRule="auto"/>
        <w:ind w:left="1458" w:right="1410" w:firstLine="430"/>
        <w:rPr>
          <w:sz w:val="24"/>
          <w:szCs w:val="24"/>
        </w:rPr>
      </w:pPr>
      <w:r>
        <w:rPr>
          <w:spacing w:val="-23"/>
          <w:sz w:val="24"/>
          <w:szCs w:val="24"/>
        </w:rPr>
        <w:t>2.3不同系统、不同电压等级，不同电压电流类别的线路不应穿同一管内，同一交流回</w:t>
      </w:r>
      <w:r>
        <w:rPr>
          <w:spacing w:val="-24"/>
          <w:sz w:val="24"/>
          <w:szCs w:val="24"/>
        </w:rPr>
        <w:t>路的</w:t>
      </w:r>
      <w:r>
        <w:rPr>
          <w:spacing w:val="-20"/>
          <w:sz w:val="24"/>
          <w:szCs w:val="24"/>
        </w:rPr>
        <w:t>导线应穿于同一钢管内。</w:t>
      </w:r>
    </w:p>
    <w:p w14:paraId="65055A17">
      <w:pPr>
        <w:pStyle w:val="2"/>
        <w:spacing w:before="116" w:line="215" w:lineRule="auto"/>
        <w:ind w:left="1888"/>
        <w:rPr>
          <w:sz w:val="24"/>
          <w:szCs w:val="24"/>
        </w:rPr>
      </w:pPr>
      <w:r>
        <w:rPr>
          <w:spacing w:val="-19"/>
          <w:sz w:val="24"/>
          <w:szCs w:val="24"/>
        </w:rPr>
        <w:t>2.4导线在管内或线槽内不应有接头或扭结。直线槽内导线，每隔2M应用扎带固定。</w:t>
      </w:r>
    </w:p>
    <w:p w14:paraId="5B521861">
      <w:pPr>
        <w:pStyle w:val="2"/>
        <w:spacing w:before="120" w:line="278" w:lineRule="auto"/>
        <w:ind w:left="1451" w:right="1409" w:firstLine="436"/>
        <w:rPr>
          <w:sz w:val="24"/>
          <w:szCs w:val="24"/>
        </w:rPr>
      </w:pPr>
      <w:r>
        <w:rPr>
          <w:spacing w:val="-17"/>
          <w:sz w:val="24"/>
          <w:szCs w:val="24"/>
        </w:rPr>
        <w:t>2.5导线截面10mm2及以下单股铜芯线可直接与设备、器具的端子连接。截面为2.2.2</w:t>
      </w:r>
      <w:r>
        <w:rPr>
          <w:spacing w:val="-18"/>
          <w:sz w:val="24"/>
          <w:szCs w:val="24"/>
        </w:rPr>
        <w:t>mm2</w:t>
      </w:r>
      <w:r>
        <w:rPr>
          <w:spacing w:val="-8"/>
          <w:sz w:val="24"/>
          <w:szCs w:val="24"/>
        </w:rPr>
        <w:t>及以下的多股铜线或芯线应先拧紧搪锡或压接端子，后再与设备、器</w:t>
      </w:r>
      <w:r>
        <w:rPr>
          <w:spacing w:val="-9"/>
          <w:sz w:val="24"/>
          <w:szCs w:val="24"/>
        </w:rPr>
        <w:t>具的端子连接，大于</w:t>
      </w:r>
      <w:r>
        <w:rPr>
          <w:spacing w:val="-20"/>
          <w:sz w:val="24"/>
          <w:szCs w:val="24"/>
        </w:rPr>
        <w:t>2.2.2mm2多股线的终端应焊接或压接端子后再与设备、器具的端子连接。</w:t>
      </w:r>
    </w:p>
    <w:p w14:paraId="4CB54453">
      <w:pPr>
        <w:pStyle w:val="2"/>
        <w:spacing w:before="117" w:line="263" w:lineRule="auto"/>
        <w:ind w:left="1463" w:right="1387" w:firstLine="424"/>
        <w:rPr>
          <w:sz w:val="24"/>
          <w:szCs w:val="24"/>
        </w:rPr>
      </w:pPr>
      <w:r>
        <w:rPr>
          <w:spacing w:val="-22"/>
          <w:sz w:val="24"/>
          <w:szCs w:val="24"/>
        </w:rPr>
        <w:t>2.6导线穿入钢管时，管口处应装设护线套保护导线</w:t>
      </w:r>
      <w:r>
        <w:rPr>
          <w:spacing w:val="-23"/>
          <w:sz w:val="24"/>
          <w:szCs w:val="24"/>
        </w:rPr>
        <w:t>。在不进入接线盒（箱）的垂直管口，</w:t>
      </w:r>
      <w:r>
        <w:rPr>
          <w:spacing w:val="-21"/>
          <w:sz w:val="24"/>
          <w:szCs w:val="24"/>
        </w:rPr>
        <w:t>穿入导线后应将管口密封。</w:t>
      </w:r>
    </w:p>
    <w:p w14:paraId="4A7145BF">
      <w:pPr>
        <w:pStyle w:val="2"/>
        <w:spacing w:before="115" w:line="264" w:lineRule="auto"/>
        <w:ind w:left="1455" w:right="1412" w:firstLine="432"/>
        <w:rPr>
          <w:sz w:val="24"/>
          <w:szCs w:val="24"/>
        </w:rPr>
      </w:pPr>
      <w:r>
        <w:rPr>
          <w:spacing w:val="-18"/>
          <w:sz w:val="24"/>
          <w:szCs w:val="24"/>
        </w:rPr>
        <w:t>2.7导线敷设后，应对每回路的导线用2.</w:t>
      </w:r>
      <w:r>
        <w:rPr>
          <w:spacing w:val="-19"/>
          <w:sz w:val="24"/>
          <w:szCs w:val="24"/>
        </w:rPr>
        <w:t>200V的的兆欧表测量绝缘电阻，其对地绝缘电阻</w:t>
      </w:r>
      <w:r>
        <w:rPr>
          <w:spacing w:val="-13"/>
          <w:sz w:val="24"/>
          <w:szCs w:val="24"/>
        </w:rPr>
        <w:t>值不应小于0.2.2MΩ。</w:t>
      </w:r>
    </w:p>
    <w:p w14:paraId="1AC95B2E">
      <w:pPr>
        <w:pStyle w:val="2"/>
        <w:spacing w:before="116" w:line="215" w:lineRule="auto"/>
        <w:ind w:left="1888"/>
        <w:rPr>
          <w:sz w:val="24"/>
          <w:szCs w:val="24"/>
        </w:rPr>
      </w:pPr>
      <w:r>
        <w:rPr>
          <w:spacing w:val="-21"/>
          <w:sz w:val="24"/>
          <w:szCs w:val="24"/>
        </w:rPr>
        <w:t>2.8在顶棚内由接线盒引向器具的绝缘导线应用可绕金属软管保护，导线不应有裸露部分。</w:t>
      </w:r>
    </w:p>
    <w:p w14:paraId="72180FC2">
      <w:pPr>
        <w:pStyle w:val="2"/>
        <w:spacing w:before="119" w:line="216" w:lineRule="auto"/>
        <w:ind w:left="1888"/>
        <w:rPr>
          <w:sz w:val="24"/>
          <w:szCs w:val="24"/>
        </w:rPr>
      </w:pPr>
      <w:r>
        <w:rPr>
          <w:spacing w:val="-21"/>
          <w:sz w:val="24"/>
          <w:szCs w:val="24"/>
        </w:rPr>
        <w:t>2.9同一建筑物内当配线的颜色选择应统一和规范，相线之间，保</w:t>
      </w:r>
      <w:r>
        <w:rPr>
          <w:spacing w:val="-22"/>
          <w:sz w:val="24"/>
          <w:szCs w:val="24"/>
        </w:rPr>
        <w:t>护地线和零线颜色不同。</w:t>
      </w:r>
    </w:p>
    <w:p w14:paraId="0FBAD33B">
      <w:pPr>
        <w:spacing w:line="216" w:lineRule="auto"/>
        <w:rPr>
          <w:sz w:val="24"/>
          <w:szCs w:val="24"/>
        </w:rPr>
        <w:sectPr>
          <w:footerReference r:id="rId328" w:type="default"/>
          <w:pgSz w:w="11907" w:h="16839"/>
          <w:pgMar w:top="933" w:right="4" w:bottom="1038" w:left="0" w:header="478" w:footer="357" w:gutter="0"/>
          <w:pgBorders>
            <w:top w:val="none" w:sz="0" w:space="0"/>
            <w:left w:val="none" w:sz="0" w:space="0"/>
            <w:bottom w:val="none" w:sz="0" w:space="0"/>
            <w:right w:val="none" w:sz="0" w:space="0"/>
          </w:pgBorders>
          <w:cols w:space="720" w:num="1"/>
        </w:sectPr>
      </w:pPr>
    </w:p>
    <w:p w14:paraId="2023350A">
      <w:pPr>
        <w:pStyle w:val="2"/>
        <w:spacing w:before="300" w:line="217" w:lineRule="auto"/>
        <w:ind w:left="3611"/>
        <w:outlineLvl w:val="1"/>
        <w:rPr>
          <w:sz w:val="30"/>
          <w:szCs w:val="30"/>
        </w:rPr>
      </w:pPr>
      <w:bookmarkStart w:id="236" w:name="bookmark229"/>
      <w:bookmarkEnd w:id="236"/>
      <w:bookmarkStart w:id="237" w:name="bookmark228"/>
      <w:bookmarkEnd w:id="237"/>
      <w:r>
        <w:rPr>
          <w:b/>
          <w:bCs/>
          <w:color w:val="0070C0"/>
          <w:spacing w:val="-24"/>
          <w:sz w:val="30"/>
          <w:szCs w:val="30"/>
        </w:rPr>
        <w:t>第四节、停水勾点专项施工方案及措施</w:t>
      </w:r>
    </w:p>
    <w:p w14:paraId="0363A732">
      <w:pPr>
        <w:pStyle w:val="2"/>
        <w:spacing w:before="64" w:line="218" w:lineRule="auto"/>
        <w:ind w:left="1981"/>
        <w:outlineLvl w:val="2"/>
        <w:rPr>
          <w:sz w:val="28"/>
          <w:szCs w:val="28"/>
        </w:rPr>
      </w:pPr>
      <w:bookmarkStart w:id="238" w:name="bookmark310"/>
      <w:bookmarkEnd w:id="238"/>
      <w:r>
        <w:rPr>
          <w:b/>
          <w:bCs/>
          <w:spacing w:val="-21"/>
          <w:sz w:val="28"/>
          <w:szCs w:val="28"/>
        </w:rPr>
        <w:t>一、重难点分析</w:t>
      </w:r>
    </w:p>
    <w:p w14:paraId="5795C231">
      <w:pPr>
        <w:pStyle w:val="2"/>
        <w:spacing w:before="101" w:line="299" w:lineRule="auto"/>
        <w:ind w:left="1455" w:right="1411" w:firstLine="438"/>
        <w:jc w:val="both"/>
        <w:rPr>
          <w:sz w:val="24"/>
          <w:szCs w:val="24"/>
        </w:rPr>
      </w:pPr>
      <w:r>
        <w:rPr>
          <w:spacing w:val="-20"/>
          <w:sz w:val="24"/>
          <w:szCs w:val="24"/>
        </w:rPr>
        <w:t>本项目位于</w:t>
      </w:r>
      <w:r>
        <w:rPr>
          <w:rFonts w:hint="eastAsia"/>
          <w:spacing w:val="-20"/>
          <w:sz w:val="24"/>
          <w:szCs w:val="24"/>
          <w:lang w:eastAsia="zh-CN"/>
        </w:rPr>
        <w:t>某路</w:t>
      </w:r>
      <w:r>
        <w:rPr>
          <w:spacing w:val="-20"/>
          <w:sz w:val="24"/>
          <w:szCs w:val="24"/>
        </w:rPr>
        <w:t>，主要施工内容为：供水管道敷设及配套阀门、井室构筑物、部分现状道路破除恢复及土石方工程等，工程范围内所有勾接点施工拟作为本工程的</w:t>
      </w:r>
      <w:r>
        <w:rPr>
          <w:spacing w:val="-15"/>
          <w:sz w:val="24"/>
          <w:szCs w:val="24"/>
        </w:rPr>
        <w:t>重难点。</w:t>
      </w:r>
    </w:p>
    <w:p w14:paraId="53B8A855">
      <w:pPr>
        <w:pStyle w:val="2"/>
        <w:spacing w:line="217" w:lineRule="auto"/>
        <w:ind w:left="1986"/>
        <w:outlineLvl w:val="2"/>
        <w:rPr>
          <w:sz w:val="28"/>
          <w:szCs w:val="28"/>
        </w:rPr>
      </w:pPr>
      <w:bookmarkStart w:id="239" w:name="bookmark230"/>
      <w:bookmarkEnd w:id="239"/>
      <w:r>
        <w:rPr>
          <w:b/>
          <w:bCs/>
          <w:spacing w:val="-22"/>
          <w:sz w:val="28"/>
          <w:szCs w:val="28"/>
        </w:rPr>
        <w:t>二、对应保证措施</w:t>
      </w:r>
    </w:p>
    <w:p w14:paraId="1477C65E">
      <w:pPr>
        <w:pStyle w:val="2"/>
        <w:spacing w:before="106" w:line="217" w:lineRule="auto"/>
        <w:ind w:left="1903"/>
        <w:rPr>
          <w:sz w:val="24"/>
          <w:szCs w:val="24"/>
        </w:rPr>
      </w:pPr>
      <w:r>
        <w:rPr>
          <w:spacing w:val="-20"/>
          <w:sz w:val="24"/>
          <w:szCs w:val="24"/>
        </w:rPr>
        <w:t>1、停水断管时排水措施</w:t>
      </w:r>
    </w:p>
    <w:p w14:paraId="0A3F901E">
      <w:pPr>
        <w:pStyle w:val="2"/>
        <w:spacing w:before="117" w:line="308" w:lineRule="auto"/>
        <w:ind w:left="1455" w:right="1411" w:firstLine="438"/>
        <w:rPr>
          <w:sz w:val="24"/>
          <w:szCs w:val="24"/>
        </w:rPr>
      </w:pPr>
      <w:r>
        <w:rPr>
          <w:spacing w:val="-20"/>
          <w:sz w:val="24"/>
          <w:szCs w:val="24"/>
        </w:rPr>
        <w:t>项目部提前谋划，制定停水勾点施工方案及操作手册，责任到人，明确分工，多次与相关参建单位沟通安排，并提前进行停水演练，停水前积极配合建设单位告知用户做好储水工作，确保勾点停水工作万无一失。考虑停水施工工作时间紧张，项目部充分组织并投入各项资源配备，共计投入施工管理人员、专业焊工、专业管工将近50余人，大型高压动力泵车3台，高压</w:t>
      </w:r>
      <w:r>
        <w:rPr>
          <w:spacing w:val="-21"/>
          <w:sz w:val="24"/>
          <w:szCs w:val="24"/>
        </w:rPr>
        <w:t>动力水泵5台，焊接及切割设备10台，发电机4台等，全力保障停水勾</w:t>
      </w:r>
      <w:r>
        <w:rPr>
          <w:spacing w:val="-22"/>
          <w:sz w:val="24"/>
          <w:szCs w:val="24"/>
        </w:rPr>
        <w:t>点工作，3小时内强排</w:t>
      </w:r>
      <w:r>
        <w:rPr>
          <w:spacing w:val="-21"/>
          <w:sz w:val="24"/>
          <w:szCs w:val="24"/>
        </w:rPr>
        <w:t>水将近1万方，现场施工紧密配合、统筹协调、联动高效</w:t>
      </w:r>
      <w:r>
        <w:rPr>
          <w:spacing w:val="-22"/>
          <w:sz w:val="24"/>
          <w:szCs w:val="24"/>
        </w:rPr>
        <w:t>，为勾点施工提供强有力保证。</w:t>
      </w:r>
    </w:p>
    <w:p w14:paraId="04533AB6">
      <w:pPr>
        <w:pStyle w:val="2"/>
        <w:spacing w:line="218" w:lineRule="auto"/>
        <w:ind w:left="1903"/>
        <w:rPr>
          <w:sz w:val="24"/>
          <w:szCs w:val="24"/>
        </w:rPr>
      </w:pPr>
      <w:r>
        <w:rPr>
          <w:spacing w:val="-16"/>
          <w:sz w:val="24"/>
          <w:szCs w:val="24"/>
        </w:rPr>
        <w:t>1.1基本流程</w:t>
      </w:r>
    </w:p>
    <w:p w14:paraId="72525C20">
      <w:pPr>
        <w:pStyle w:val="2"/>
        <w:spacing w:before="114" w:line="219" w:lineRule="auto"/>
        <w:ind w:left="1903"/>
        <w:rPr>
          <w:sz w:val="24"/>
          <w:szCs w:val="24"/>
        </w:rPr>
      </w:pPr>
      <w:r>
        <w:rPr>
          <w:spacing w:val="-14"/>
          <w:sz w:val="24"/>
          <w:szCs w:val="24"/>
        </w:rPr>
        <w:t>1.1.1停水</w:t>
      </w:r>
    </w:p>
    <w:p w14:paraId="26374EED">
      <w:pPr>
        <w:pStyle w:val="2"/>
        <w:spacing w:before="118" w:line="307" w:lineRule="auto"/>
        <w:ind w:left="1479" w:right="1410" w:firstLine="421"/>
        <w:rPr>
          <w:sz w:val="24"/>
          <w:szCs w:val="24"/>
        </w:rPr>
      </w:pPr>
      <w:r>
        <w:rPr>
          <w:spacing w:val="-19"/>
          <w:sz w:val="24"/>
          <w:szCs w:val="24"/>
        </w:rPr>
        <w:t>每处迁改需要停水一天,提前作好停水用户的通知和广告工作,停</w:t>
      </w:r>
      <w:r>
        <w:rPr>
          <w:spacing w:val="-20"/>
          <w:sz w:val="24"/>
          <w:szCs w:val="24"/>
        </w:rPr>
        <w:t>水关闭阀门由管网管理部</w:t>
      </w:r>
      <w:r>
        <w:rPr>
          <w:spacing w:val="-21"/>
          <w:sz w:val="24"/>
          <w:szCs w:val="24"/>
        </w:rPr>
        <w:t>门操作;</w:t>
      </w:r>
    </w:p>
    <w:p w14:paraId="32846676">
      <w:pPr>
        <w:pStyle w:val="2"/>
        <w:spacing w:line="216" w:lineRule="auto"/>
        <w:ind w:left="1903"/>
        <w:rPr>
          <w:sz w:val="24"/>
          <w:szCs w:val="24"/>
        </w:rPr>
      </w:pPr>
      <w:r>
        <w:rPr>
          <w:spacing w:val="-14"/>
          <w:sz w:val="24"/>
          <w:szCs w:val="24"/>
        </w:rPr>
        <w:t>1.1.2断管</w:t>
      </w:r>
    </w:p>
    <w:p w14:paraId="7DA81D02">
      <w:pPr>
        <w:pStyle w:val="2"/>
        <w:spacing w:before="119" w:line="217" w:lineRule="auto"/>
        <w:ind w:left="1895"/>
        <w:rPr>
          <w:sz w:val="24"/>
          <w:szCs w:val="24"/>
        </w:rPr>
      </w:pPr>
      <w:r>
        <w:rPr>
          <w:spacing w:val="-21"/>
          <w:sz w:val="24"/>
          <w:szCs w:val="24"/>
        </w:rPr>
        <w:t>停水泄压后,根据现状管的材质确定断管方法;</w:t>
      </w:r>
    </w:p>
    <w:p w14:paraId="64BE5B15">
      <w:pPr>
        <w:pStyle w:val="2"/>
        <w:spacing w:before="120" w:line="218" w:lineRule="auto"/>
        <w:ind w:left="1903"/>
        <w:rPr>
          <w:sz w:val="24"/>
          <w:szCs w:val="24"/>
        </w:rPr>
      </w:pPr>
      <w:r>
        <w:rPr>
          <w:spacing w:val="-13"/>
          <w:sz w:val="24"/>
          <w:szCs w:val="24"/>
        </w:rPr>
        <w:t>1.1.3排水</w:t>
      </w:r>
    </w:p>
    <w:p w14:paraId="7234D1D7">
      <w:pPr>
        <w:pStyle w:val="2"/>
        <w:spacing w:before="116" w:line="308" w:lineRule="auto"/>
        <w:ind w:left="1485" w:right="1409" w:firstLine="420"/>
        <w:rPr>
          <w:sz w:val="24"/>
          <w:szCs w:val="24"/>
        </w:rPr>
      </w:pPr>
      <w:r>
        <w:rPr>
          <w:spacing w:val="-16"/>
          <w:sz w:val="24"/>
          <w:szCs w:val="24"/>
        </w:rPr>
        <w:t>管内存水,有排泥阀的管段用排泥阀排水,没有排泥阀的</w:t>
      </w:r>
      <w:r>
        <w:rPr>
          <w:spacing w:val="-17"/>
          <w:sz w:val="24"/>
          <w:szCs w:val="24"/>
        </w:rPr>
        <w:t>管段用水泵抽排,废水要引到运河</w:t>
      </w:r>
      <w:r>
        <w:rPr>
          <w:spacing w:val="-23"/>
          <w:sz w:val="24"/>
          <w:szCs w:val="24"/>
        </w:rPr>
        <w:t>内;</w:t>
      </w:r>
    </w:p>
    <w:p w14:paraId="16790B71">
      <w:pPr>
        <w:pStyle w:val="2"/>
        <w:spacing w:line="218" w:lineRule="auto"/>
        <w:ind w:left="1903"/>
        <w:rPr>
          <w:sz w:val="24"/>
          <w:szCs w:val="24"/>
        </w:rPr>
      </w:pPr>
      <w:r>
        <w:rPr>
          <w:spacing w:val="-17"/>
          <w:sz w:val="24"/>
          <w:szCs w:val="24"/>
        </w:rPr>
        <w:t>1.1.4清洗停水管网</w:t>
      </w:r>
    </w:p>
    <w:p w14:paraId="047F4B82">
      <w:pPr>
        <w:pStyle w:val="2"/>
        <w:spacing w:before="114" w:line="217" w:lineRule="auto"/>
        <w:ind w:left="1917"/>
        <w:rPr>
          <w:sz w:val="24"/>
          <w:szCs w:val="24"/>
        </w:rPr>
      </w:pPr>
      <w:r>
        <w:rPr>
          <w:spacing w:val="-22"/>
          <w:sz w:val="24"/>
          <w:szCs w:val="24"/>
        </w:rPr>
        <w:t>因停水管内的水垢和沉淀物浮动,要经过冲洗才能封闭使用;</w:t>
      </w:r>
    </w:p>
    <w:p w14:paraId="02DF02C2">
      <w:pPr>
        <w:pStyle w:val="2"/>
        <w:spacing w:before="119" w:line="226" w:lineRule="auto"/>
        <w:ind w:left="1903"/>
        <w:rPr>
          <w:sz w:val="24"/>
          <w:szCs w:val="24"/>
        </w:rPr>
      </w:pPr>
      <w:r>
        <w:rPr>
          <w:spacing w:val="-14"/>
          <w:sz w:val="24"/>
          <w:szCs w:val="24"/>
        </w:rPr>
        <w:t>1.1.5碰口</w:t>
      </w:r>
    </w:p>
    <w:p w14:paraId="7DB17F58">
      <w:pPr>
        <w:pStyle w:val="2"/>
        <w:spacing w:before="108" w:line="215" w:lineRule="auto"/>
        <w:ind w:left="1897"/>
        <w:rPr>
          <w:sz w:val="24"/>
          <w:szCs w:val="24"/>
        </w:rPr>
      </w:pPr>
      <w:r>
        <w:rPr>
          <w:spacing w:val="-21"/>
          <w:sz w:val="24"/>
          <w:szCs w:val="24"/>
        </w:rPr>
        <w:t>要在批准的停水时间内作好接口工作,保证准时通水;</w:t>
      </w:r>
    </w:p>
    <w:p w14:paraId="17F9C57C">
      <w:pPr>
        <w:pStyle w:val="2"/>
        <w:spacing w:before="118" w:line="219" w:lineRule="auto"/>
        <w:ind w:left="1903"/>
        <w:rPr>
          <w:sz w:val="24"/>
          <w:szCs w:val="24"/>
        </w:rPr>
      </w:pPr>
      <w:r>
        <w:rPr>
          <w:spacing w:val="-15"/>
          <w:sz w:val="24"/>
          <w:szCs w:val="24"/>
        </w:rPr>
        <w:t>1.1.6接口处理</w:t>
      </w:r>
    </w:p>
    <w:p w14:paraId="39639E7E">
      <w:pPr>
        <w:pStyle w:val="2"/>
        <w:spacing w:before="116" w:line="216" w:lineRule="auto"/>
        <w:ind w:left="1894"/>
        <w:rPr>
          <w:sz w:val="24"/>
          <w:szCs w:val="24"/>
        </w:rPr>
      </w:pPr>
      <w:r>
        <w:rPr>
          <w:spacing w:val="-20"/>
          <w:sz w:val="24"/>
          <w:szCs w:val="24"/>
        </w:rPr>
        <w:t>接口要作好防腐处理和加固处理，碰口处,设标志</w:t>
      </w:r>
      <w:r>
        <w:rPr>
          <w:spacing w:val="-21"/>
          <w:sz w:val="24"/>
          <w:szCs w:val="24"/>
        </w:rPr>
        <w:t>桩,备管网管理单位今后检查,维修;</w:t>
      </w:r>
    </w:p>
    <w:p w14:paraId="44668601">
      <w:pPr>
        <w:spacing w:line="55" w:lineRule="auto"/>
        <w:rPr>
          <w:rFonts w:ascii="Arial"/>
          <w:sz w:val="2"/>
        </w:rPr>
      </w:pPr>
    </w:p>
    <w:tbl>
      <w:tblPr>
        <w:tblStyle w:val="6"/>
        <w:tblW w:w="8557" w:type="dxa"/>
        <w:tblInd w:w="1675" w:type="dxa"/>
        <w:tblBorders>
          <w:top w:val="single" w:color="1C456A" w:sz="4" w:space="0"/>
          <w:left w:val="single" w:color="1C456A" w:sz="4" w:space="0"/>
          <w:bottom w:val="single" w:color="1C456A" w:sz="4" w:space="0"/>
          <w:right w:val="single" w:color="1C456A" w:sz="4" w:space="0"/>
          <w:insideH w:val="single" w:color="1C456A" w:sz="4" w:space="0"/>
          <w:insideV w:val="single" w:color="1C456A" w:sz="4" w:space="0"/>
        </w:tblBorders>
        <w:shd w:val="clear" w:color="auto" w:fill="DEEAF6"/>
        <w:tblLayout w:type="fixed"/>
        <w:tblCellMar>
          <w:top w:w="0" w:type="dxa"/>
          <w:left w:w="0" w:type="dxa"/>
          <w:bottom w:w="0" w:type="dxa"/>
          <w:right w:w="0" w:type="dxa"/>
        </w:tblCellMar>
      </w:tblPr>
      <w:tblGrid>
        <w:gridCol w:w="911"/>
        <w:gridCol w:w="6754"/>
        <w:gridCol w:w="892"/>
      </w:tblGrid>
      <w:tr w14:paraId="303125D1">
        <w:tblPrEx>
          <w:tblBorders>
            <w:top w:val="single" w:color="1C456A" w:sz="4" w:space="0"/>
            <w:left w:val="single" w:color="1C456A" w:sz="4" w:space="0"/>
            <w:bottom w:val="single" w:color="1C456A" w:sz="4" w:space="0"/>
            <w:right w:val="single" w:color="1C456A" w:sz="4" w:space="0"/>
            <w:insideH w:val="single" w:color="1C456A" w:sz="4" w:space="0"/>
            <w:insideV w:val="single" w:color="1C456A" w:sz="4" w:space="0"/>
          </w:tblBorders>
          <w:shd w:val="clear" w:color="auto" w:fill="DEEAF6"/>
          <w:tblCellMar>
            <w:top w:w="0" w:type="dxa"/>
            <w:left w:w="0" w:type="dxa"/>
            <w:bottom w:w="0" w:type="dxa"/>
            <w:right w:w="0" w:type="dxa"/>
          </w:tblCellMar>
        </w:tblPrEx>
        <w:trPr>
          <w:trHeight w:val="650" w:hRule="atLeast"/>
        </w:trPr>
        <w:tc>
          <w:tcPr>
            <w:tcW w:w="911" w:type="dxa"/>
            <w:tcBorders>
              <w:right w:val="nil"/>
            </w:tcBorders>
            <w:shd w:val="clear" w:color="auto" w:fill="DEEAF6"/>
            <w:vAlign w:val="top"/>
          </w:tcPr>
          <w:p w14:paraId="21FB4232">
            <w:pPr>
              <w:rPr>
                <w:rFonts w:ascii="Arial"/>
                <w:sz w:val="21"/>
              </w:rPr>
            </w:pPr>
            <w:r>
              <w:pict>
                <v:shape id="_x0000_s3901" o:spid="_x0000_s3901" style="position:absolute;left:0pt;margin-left:-0.25pt;margin-top:0pt;height:0.75pt;width:2.2pt;mso-position-horizontal-relative:page;mso-position-vertical-relative:page;z-index:252267520;mso-width-relative:page;mso-height-relative:page;" fillcolor="#5B9BD5" filled="t" stroked="f" coordsize="44,15" path="m0,14l43,14,43,0,0,0,0,14xe">
                  <v:path/>
                  <v:fill on="t" focussize="0,0"/>
                  <v:stroke on="f"/>
                  <v:imagedata o:title=""/>
                  <o:lock v:ext="edit"/>
                </v:shape>
              </w:pict>
            </w:r>
            <w:r>
              <w:pict>
                <v:shape id="_x0000_s3902" o:spid="_x0000_s3902" style="position:absolute;left:0pt;margin-left:-0.25pt;margin-top:32.75pt;height:0.75pt;width:2.2pt;mso-position-horizontal-relative:page;mso-position-vertical-relative:page;z-index:252265472;mso-width-relative:page;mso-height-relative:page;" fillcolor="#5B9BD5" filled="t" stroked="f" coordsize="44,15" path="m0,14l43,14,43,0,0,0,0,14xe">
                  <v:path/>
                  <v:fill on="t" focussize="0,0"/>
                  <v:stroke on="f"/>
                  <v:imagedata o:title=""/>
                  <o:lock v:ext="edit"/>
                </v:shape>
              </w:pict>
            </w:r>
          </w:p>
        </w:tc>
        <w:tc>
          <w:tcPr>
            <w:tcW w:w="6754" w:type="dxa"/>
            <w:tcBorders>
              <w:left w:val="nil"/>
              <w:right w:val="nil"/>
            </w:tcBorders>
            <w:shd w:val="clear" w:color="auto" w:fill="DEEAF6"/>
            <w:vAlign w:val="top"/>
          </w:tcPr>
          <w:p w14:paraId="01014420">
            <w:pPr>
              <w:pStyle w:val="7"/>
              <w:spacing w:before="127" w:line="218" w:lineRule="auto"/>
              <w:ind w:left="864"/>
            </w:pPr>
            <w:r>
              <w:rPr>
                <w:b/>
                <w:bCs/>
                <w:spacing w:val="-18"/>
              </w:rPr>
              <w:t>供水工程“守夜人”——用“不眠”换用户“好</w:t>
            </w:r>
            <w:r>
              <w:rPr>
                <w:b/>
                <w:bCs/>
                <w:spacing w:val="-19"/>
              </w:rPr>
              <w:t>眠”</w:t>
            </w:r>
          </w:p>
        </w:tc>
        <w:tc>
          <w:tcPr>
            <w:tcW w:w="892" w:type="dxa"/>
            <w:tcBorders>
              <w:left w:val="nil"/>
            </w:tcBorders>
            <w:shd w:val="clear" w:color="auto" w:fill="DEEAF6"/>
            <w:vAlign w:val="top"/>
          </w:tcPr>
          <w:p w14:paraId="38E323A8">
            <w:pPr>
              <w:rPr>
                <w:rFonts w:ascii="Arial"/>
                <w:sz w:val="21"/>
              </w:rPr>
            </w:pPr>
            <w:r>
              <w:pict>
                <v:shape id="_x0000_s3903" o:spid="_x0000_s3903" style="position:absolute;left:0pt;margin-left:42.7pt;margin-top:0pt;height:0.75pt;width:2.2pt;mso-position-horizontal-relative:page;mso-position-vertical-relative:page;z-index:252264448;mso-width-relative:page;mso-height-relative:page;" fillcolor="#5B9BD5" filled="t" stroked="f" coordsize="44,15" path="m0,14l43,14,43,0,0,0,0,14xe">
                  <v:path/>
                  <v:fill on="t" focussize="0,0"/>
                  <v:stroke on="f"/>
                  <v:imagedata o:title=""/>
                  <o:lock v:ext="edit"/>
                </v:shape>
              </w:pict>
            </w:r>
            <w:r>
              <w:pict>
                <v:shape id="_x0000_s3904" o:spid="_x0000_s3904" style="position:absolute;left:0pt;margin-left:42.7pt;margin-top:32.75pt;height:0.75pt;width:2.2pt;mso-position-horizontal-relative:page;mso-position-vertical-relative:page;z-index:252266496;mso-width-relative:page;mso-height-relative:page;" fillcolor="#5B9BD5" filled="t" stroked="f" coordsize="44,15" path="m0,14l43,14,43,0,0,0,0,14xe">
                  <v:path/>
                  <v:fill on="t" focussize="0,0"/>
                  <v:stroke on="f"/>
                  <v:imagedata o:title=""/>
                  <o:lock v:ext="edit"/>
                </v:shape>
              </w:pict>
            </w:r>
          </w:p>
        </w:tc>
      </w:tr>
    </w:tbl>
    <w:p w14:paraId="20876F1C">
      <w:pPr>
        <w:rPr>
          <w:rFonts w:ascii="Arial"/>
          <w:sz w:val="21"/>
        </w:rPr>
      </w:pPr>
    </w:p>
    <w:p w14:paraId="35D77867">
      <w:pPr>
        <w:rPr>
          <w:rFonts w:ascii="Arial" w:hAnsi="Arial" w:eastAsia="Arial" w:cs="Arial"/>
          <w:sz w:val="21"/>
          <w:szCs w:val="21"/>
        </w:rPr>
        <w:sectPr>
          <w:footerReference r:id="rId329" w:type="default"/>
          <w:pgSz w:w="11907" w:h="16839"/>
          <w:pgMar w:top="933" w:right="4" w:bottom="1038" w:left="0" w:header="478" w:footer="357" w:gutter="0"/>
          <w:pgBorders>
            <w:top w:val="none" w:sz="0" w:space="0"/>
            <w:left w:val="none" w:sz="0" w:space="0"/>
            <w:bottom w:val="none" w:sz="0" w:space="0"/>
            <w:right w:val="none" w:sz="0" w:space="0"/>
          </w:pgBorders>
          <w:cols w:space="720" w:num="1"/>
        </w:sectPr>
      </w:pPr>
    </w:p>
    <w:p w14:paraId="123C6B48">
      <w:pPr>
        <w:spacing w:line="235" w:lineRule="exact"/>
      </w:pPr>
    </w:p>
    <w:tbl>
      <w:tblPr>
        <w:tblStyle w:val="6"/>
        <w:tblW w:w="8557" w:type="dxa"/>
        <w:tblInd w:w="167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0"/>
        <w:gridCol w:w="8487"/>
      </w:tblGrid>
      <w:tr w14:paraId="42BA53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545" w:hRule="atLeast"/>
        </w:trPr>
        <w:tc>
          <w:tcPr>
            <w:tcW w:w="8557" w:type="dxa"/>
            <w:gridSpan w:val="2"/>
            <w:tcBorders>
              <w:top w:val="single" w:color="5B9BD5" w:sz="4" w:space="0"/>
              <w:left w:val="single" w:color="5B9BD5" w:sz="4" w:space="0"/>
              <w:right w:val="single" w:color="5B9BD5" w:sz="4" w:space="0"/>
            </w:tcBorders>
            <w:vAlign w:val="top"/>
          </w:tcPr>
          <w:p w14:paraId="4EB4946C">
            <w:pPr>
              <w:spacing w:before="93" w:line="6238" w:lineRule="exact"/>
              <w:ind w:firstLine="124"/>
            </w:pPr>
            <w:r>
              <w:rPr>
                <w:position w:val="-124"/>
              </w:rPr>
              <w:drawing>
                <wp:inline distT="0" distB="0" distL="0" distR="0">
                  <wp:extent cx="5266690" cy="3960495"/>
                  <wp:effectExtent l="0" t="0" r="0" b="0"/>
                  <wp:docPr id="1378" name="IM 1378"/>
                  <wp:cNvGraphicFramePr/>
                  <a:graphic xmlns:a="http://schemas.openxmlformats.org/drawingml/2006/main">
                    <a:graphicData uri="http://schemas.openxmlformats.org/drawingml/2006/picture">
                      <pic:pic xmlns:pic="http://schemas.openxmlformats.org/drawingml/2006/picture">
                        <pic:nvPicPr>
                          <pic:cNvPr id="1378" name="IM 1378"/>
                          <pic:cNvPicPr/>
                        </pic:nvPicPr>
                        <pic:blipFill>
                          <a:blip r:embed="rId669"/>
                          <a:stretch>
                            <a:fillRect/>
                          </a:stretch>
                        </pic:blipFill>
                        <pic:spPr>
                          <a:xfrm>
                            <a:off x="0" y="0"/>
                            <a:ext cx="5266690" cy="3961129"/>
                          </a:xfrm>
                          <a:prstGeom prst="rect">
                            <a:avLst/>
                          </a:prstGeom>
                        </pic:spPr>
                      </pic:pic>
                    </a:graphicData>
                  </a:graphic>
                </wp:inline>
              </w:drawing>
            </w:r>
          </w:p>
        </w:tc>
      </w:tr>
      <w:tr w14:paraId="3F7BA3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85" w:hRule="atLeast"/>
        </w:trPr>
        <w:tc>
          <w:tcPr>
            <w:tcW w:w="8557" w:type="dxa"/>
            <w:gridSpan w:val="2"/>
            <w:tcBorders>
              <w:left w:val="single" w:color="000000" w:sz="4" w:space="0"/>
              <w:right w:val="single" w:color="000000" w:sz="4" w:space="0"/>
            </w:tcBorders>
            <w:vAlign w:val="top"/>
          </w:tcPr>
          <w:p w14:paraId="6A52B48F">
            <w:pPr>
              <w:pStyle w:val="7"/>
              <w:spacing w:before="96" w:line="219" w:lineRule="auto"/>
              <w:ind w:left="3418"/>
            </w:pPr>
            <w:r>
              <w:rPr>
                <w:spacing w:val="-19"/>
              </w:rPr>
              <w:t>停沟点施工示意图</w:t>
            </w:r>
          </w:p>
        </w:tc>
      </w:tr>
      <w:tr w14:paraId="019187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05" w:hRule="atLeast"/>
        </w:trPr>
        <w:tc>
          <w:tcPr>
            <w:tcW w:w="8557" w:type="dxa"/>
            <w:gridSpan w:val="2"/>
            <w:tcBorders>
              <w:left w:val="single" w:color="000000" w:sz="4" w:space="0"/>
              <w:right w:val="single" w:color="000000" w:sz="4" w:space="0"/>
            </w:tcBorders>
            <w:vAlign w:val="top"/>
          </w:tcPr>
          <w:p w14:paraId="7BA6688A">
            <w:pPr>
              <w:spacing w:before="62" w:line="5534" w:lineRule="exact"/>
              <w:ind w:firstLine="117"/>
            </w:pPr>
            <w:r>
              <w:rPr>
                <w:position w:val="-110"/>
              </w:rPr>
              <w:drawing>
                <wp:inline distT="0" distB="0" distL="0" distR="0">
                  <wp:extent cx="5276850" cy="3514090"/>
                  <wp:effectExtent l="0" t="0" r="0" b="0"/>
                  <wp:docPr id="1380" name="IM 1380"/>
                  <wp:cNvGraphicFramePr/>
                  <a:graphic xmlns:a="http://schemas.openxmlformats.org/drawingml/2006/main">
                    <a:graphicData uri="http://schemas.openxmlformats.org/drawingml/2006/picture">
                      <pic:pic xmlns:pic="http://schemas.openxmlformats.org/drawingml/2006/picture">
                        <pic:nvPicPr>
                          <pic:cNvPr id="1380" name="IM 1380"/>
                          <pic:cNvPicPr/>
                        </pic:nvPicPr>
                        <pic:blipFill>
                          <a:blip r:embed="rId670"/>
                          <a:stretch>
                            <a:fillRect/>
                          </a:stretch>
                        </pic:blipFill>
                        <pic:spPr>
                          <a:xfrm>
                            <a:off x="0" y="0"/>
                            <a:ext cx="5277484" cy="3514090"/>
                          </a:xfrm>
                          <a:prstGeom prst="rect">
                            <a:avLst/>
                          </a:prstGeom>
                        </pic:spPr>
                      </pic:pic>
                    </a:graphicData>
                  </a:graphic>
                </wp:inline>
              </w:drawing>
            </w:r>
          </w:p>
        </w:tc>
      </w:tr>
      <w:tr w14:paraId="156495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3" w:hRule="atLeast"/>
        </w:trPr>
        <w:tc>
          <w:tcPr>
            <w:tcW w:w="70" w:type="dxa"/>
            <w:tcBorders>
              <w:left w:val="single" w:color="1C456A" w:sz="4" w:space="0"/>
              <w:bottom w:val="single" w:color="1C456A" w:sz="4" w:space="0"/>
              <w:right w:val="nil"/>
            </w:tcBorders>
            <w:vAlign w:val="top"/>
          </w:tcPr>
          <w:p w14:paraId="0AA826B4">
            <w:pPr>
              <w:rPr>
                <w:rFonts w:ascii="Arial"/>
                <w:sz w:val="21"/>
              </w:rPr>
            </w:pPr>
            <w:r>
              <w:pict>
                <v:shape id="_x0000_s3905" o:spid="_x0000_s3905" style="position:absolute;left:0pt;margin-left:-0.25pt;margin-top:54.7pt;height:0.75pt;width:2.2pt;mso-position-horizontal-relative:page;mso-position-vertical-relative:page;z-index:252269568;mso-width-relative:page;mso-height-relative:page;" fillcolor="#5B9BD5" filled="t" stroked="f" coordsize="44,15" path="m0,14l43,14,43,0,0,0,0,14xe">
                  <v:path/>
                  <v:fill on="t" focussize="0,0"/>
                  <v:stroke on="f"/>
                  <v:imagedata o:title=""/>
                  <o:lock v:ext="edit"/>
                </v:shape>
              </w:pict>
            </w:r>
          </w:p>
        </w:tc>
        <w:tc>
          <w:tcPr>
            <w:tcW w:w="8487" w:type="dxa"/>
            <w:tcBorders>
              <w:left w:val="nil"/>
              <w:bottom w:val="single" w:color="1C456A" w:sz="4" w:space="0"/>
              <w:right w:val="single" w:color="1C456A" w:sz="4" w:space="0"/>
            </w:tcBorders>
            <w:vAlign w:val="top"/>
          </w:tcPr>
          <w:p w14:paraId="7FD4BE14">
            <w:pPr>
              <w:pStyle w:val="7"/>
              <w:spacing w:before="103" w:line="360" w:lineRule="auto"/>
              <w:ind w:left="56" w:right="65" w:hanging="35"/>
            </w:pPr>
            <w:r>
              <w:pict>
                <v:shape id="_x0000_s3906" o:spid="_x0000_s3906" style="position:absolute;left:0pt;margin-left:422.45pt;margin-top:54.7pt;height:0.75pt;width:2.2pt;mso-position-horizontal-relative:page;mso-position-vertical-relative:page;z-index:252268544;mso-width-relative:page;mso-height-relative:page;" fillcolor="#5B9BD5" filled="t" stroked="f" coordsize="44,15" path="m0,14l43,14,43,0,0,0,0,14xe">
                  <v:path/>
                  <v:fill on="t" focussize="0,0"/>
                  <v:stroke on="f"/>
                  <v:imagedata o:title=""/>
                  <o:lock v:ext="edit"/>
                </v:shape>
              </w:pict>
            </w:r>
            <w:r>
              <w:rPr>
                <w:spacing w:val="-25"/>
              </w:rPr>
              <w:t>积极主动与建设单位沟通协调，梳理难点，打通堵点，不断优化改进设计方案，努力实现</w:t>
            </w:r>
            <w:r>
              <w:rPr>
                <w:spacing w:val="-21"/>
              </w:rPr>
              <w:t>“不迁改、少迁改、尽量一次迁改”，尽可能减少停水迁改次数，减少作业影响区</w:t>
            </w:r>
            <w:r>
              <w:rPr>
                <w:spacing w:val="-22"/>
              </w:rPr>
              <w:t>域。</w:t>
            </w:r>
          </w:p>
        </w:tc>
      </w:tr>
    </w:tbl>
    <w:p w14:paraId="77202384">
      <w:pPr>
        <w:rPr>
          <w:rFonts w:ascii="Arial"/>
          <w:sz w:val="21"/>
        </w:rPr>
      </w:pPr>
    </w:p>
    <w:p w14:paraId="011029DB">
      <w:pPr>
        <w:rPr>
          <w:rFonts w:ascii="Arial" w:hAnsi="Arial" w:eastAsia="Arial" w:cs="Arial"/>
          <w:sz w:val="21"/>
          <w:szCs w:val="21"/>
        </w:rPr>
        <w:sectPr>
          <w:footerReference r:id="rId330" w:type="default"/>
          <w:pgSz w:w="11907" w:h="16839"/>
          <w:pgMar w:top="933" w:right="4" w:bottom="1038" w:left="0" w:header="478" w:footer="357" w:gutter="0"/>
          <w:pgBorders>
            <w:top w:val="none" w:sz="0" w:space="0"/>
            <w:left w:val="none" w:sz="0" w:space="0"/>
            <w:bottom w:val="none" w:sz="0" w:space="0"/>
            <w:right w:val="none" w:sz="0" w:space="0"/>
          </w:pgBorders>
          <w:cols w:space="720" w:num="1"/>
        </w:sectPr>
      </w:pPr>
    </w:p>
    <w:p w14:paraId="41F9EB7A">
      <w:pPr>
        <w:spacing w:line="235" w:lineRule="exact"/>
      </w:pPr>
    </w:p>
    <w:tbl>
      <w:tblPr>
        <w:tblStyle w:val="6"/>
        <w:tblW w:w="8557" w:type="dxa"/>
        <w:tblInd w:w="1675" w:type="dxa"/>
        <w:tblBorders>
          <w:top w:val="single" w:color="1C456A" w:sz="4" w:space="0"/>
          <w:left w:val="single" w:color="1C456A" w:sz="4" w:space="0"/>
          <w:bottom w:val="single" w:color="1C456A" w:sz="4" w:space="0"/>
          <w:right w:val="single" w:color="1C456A" w:sz="4" w:space="0"/>
          <w:insideH w:val="single" w:color="1C456A" w:sz="4" w:space="0"/>
          <w:insideV w:val="single" w:color="1C456A" w:sz="4" w:space="0"/>
        </w:tblBorders>
        <w:tblLayout w:type="fixed"/>
        <w:tblCellMar>
          <w:top w:w="0" w:type="dxa"/>
          <w:left w:w="0" w:type="dxa"/>
          <w:bottom w:w="0" w:type="dxa"/>
          <w:right w:w="0" w:type="dxa"/>
        </w:tblCellMar>
      </w:tblPr>
      <w:tblGrid>
        <w:gridCol w:w="69"/>
        <w:gridCol w:w="8488"/>
      </w:tblGrid>
      <w:tr w14:paraId="7BBE7209">
        <w:tblPrEx>
          <w:tblBorders>
            <w:top w:val="single" w:color="1C456A" w:sz="4" w:space="0"/>
            <w:left w:val="single" w:color="1C456A" w:sz="4" w:space="0"/>
            <w:bottom w:val="single" w:color="1C456A" w:sz="4" w:space="0"/>
            <w:right w:val="single" w:color="1C456A" w:sz="4" w:space="0"/>
            <w:insideH w:val="single" w:color="1C456A" w:sz="4" w:space="0"/>
            <w:insideV w:val="single" w:color="1C456A" w:sz="4" w:space="0"/>
          </w:tblBorders>
        </w:tblPrEx>
        <w:trPr>
          <w:trHeight w:val="1088" w:hRule="atLeast"/>
        </w:trPr>
        <w:tc>
          <w:tcPr>
            <w:tcW w:w="8557" w:type="dxa"/>
            <w:gridSpan w:val="2"/>
            <w:tcBorders>
              <w:top w:val="single" w:color="5B9BD5" w:sz="4" w:space="0"/>
              <w:left w:val="single" w:color="5B9BD5" w:sz="4" w:space="0"/>
              <w:bottom w:val="single" w:color="000000" w:sz="2" w:space="0"/>
              <w:right w:val="single" w:color="5B9BD5" w:sz="4" w:space="0"/>
            </w:tcBorders>
            <w:vAlign w:val="top"/>
          </w:tcPr>
          <w:p w14:paraId="04295994">
            <w:pPr>
              <w:pStyle w:val="7"/>
              <w:spacing w:before="128" w:line="359" w:lineRule="auto"/>
              <w:ind w:left="95" w:hanging="9"/>
            </w:pPr>
            <w:r>
              <w:rPr>
                <w:spacing w:val="-25"/>
              </w:rPr>
              <w:t>对于必须要迁改工程，全部安排在深夜进行，错开用水高峰期。现场调度、桌面推</w:t>
            </w:r>
            <w:r>
              <w:rPr>
                <w:spacing w:val="-26"/>
              </w:rPr>
              <w:t>演、反</w:t>
            </w:r>
            <w:r>
              <w:rPr>
                <w:spacing w:val="-29"/>
              </w:rPr>
              <w:t>复研究施工与调度方案，提前做好各项准备工作，全速推进施工作业，减少对用户的影响。</w:t>
            </w:r>
          </w:p>
        </w:tc>
      </w:tr>
      <w:tr w14:paraId="2EA4122F">
        <w:tblPrEx>
          <w:tblBorders>
            <w:top w:val="single" w:color="1C456A" w:sz="4" w:space="0"/>
            <w:left w:val="single" w:color="1C456A" w:sz="4" w:space="0"/>
            <w:bottom w:val="single" w:color="1C456A" w:sz="4" w:space="0"/>
            <w:right w:val="single" w:color="1C456A" w:sz="4" w:space="0"/>
            <w:insideH w:val="single" w:color="1C456A" w:sz="4" w:space="0"/>
            <w:insideV w:val="single" w:color="1C456A" w:sz="4" w:space="0"/>
          </w:tblBorders>
          <w:tblCellMar>
            <w:top w:w="0" w:type="dxa"/>
            <w:left w:w="0" w:type="dxa"/>
            <w:bottom w:w="0" w:type="dxa"/>
            <w:right w:w="0" w:type="dxa"/>
          </w:tblCellMar>
        </w:tblPrEx>
        <w:trPr>
          <w:trHeight w:val="4699" w:hRule="atLeast"/>
        </w:trPr>
        <w:tc>
          <w:tcPr>
            <w:tcW w:w="8557" w:type="dxa"/>
            <w:gridSpan w:val="2"/>
            <w:tcBorders>
              <w:top w:val="single" w:color="000000" w:sz="2" w:space="0"/>
              <w:bottom w:val="nil"/>
            </w:tcBorders>
            <w:vAlign w:val="top"/>
          </w:tcPr>
          <w:p w14:paraId="224D1D1F">
            <w:pPr>
              <w:spacing w:before="56" w:line="4633" w:lineRule="exact"/>
              <w:ind w:firstLine="117"/>
            </w:pPr>
            <w:r>
              <w:rPr>
                <w:position w:val="-92"/>
              </w:rPr>
              <w:drawing>
                <wp:inline distT="0" distB="0" distL="0" distR="0">
                  <wp:extent cx="5276850" cy="2941320"/>
                  <wp:effectExtent l="0" t="0" r="0" b="0"/>
                  <wp:docPr id="1384" name="IM 1384"/>
                  <wp:cNvGraphicFramePr/>
                  <a:graphic xmlns:a="http://schemas.openxmlformats.org/drawingml/2006/main">
                    <a:graphicData uri="http://schemas.openxmlformats.org/drawingml/2006/picture">
                      <pic:pic xmlns:pic="http://schemas.openxmlformats.org/drawingml/2006/picture">
                        <pic:nvPicPr>
                          <pic:cNvPr id="1384" name="IM 1384"/>
                          <pic:cNvPicPr/>
                        </pic:nvPicPr>
                        <pic:blipFill>
                          <a:blip r:embed="rId671"/>
                          <a:stretch>
                            <a:fillRect/>
                          </a:stretch>
                        </pic:blipFill>
                        <pic:spPr>
                          <a:xfrm>
                            <a:off x="0" y="0"/>
                            <a:ext cx="5277484" cy="2941828"/>
                          </a:xfrm>
                          <a:prstGeom prst="rect">
                            <a:avLst/>
                          </a:prstGeom>
                        </pic:spPr>
                      </pic:pic>
                    </a:graphicData>
                  </a:graphic>
                </wp:inline>
              </w:drawing>
            </w:r>
          </w:p>
        </w:tc>
      </w:tr>
      <w:tr w14:paraId="6DA82E5E">
        <w:tblPrEx>
          <w:tblBorders>
            <w:top w:val="single" w:color="1C456A" w:sz="4" w:space="0"/>
            <w:left w:val="single" w:color="1C456A" w:sz="4" w:space="0"/>
            <w:bottom w:val="single" w:color="1C456A" w:sz="4" w:space="0"/>
            <w:right w:val="single" w:color="1C456A" w:sz="4" w:space="0"/>
            <w:insideH w:val="single" w:color="1C456A" w:sz="4" w:space="0"/>
            <w:insideV w:val="single" w:color="1C456A" w:sz="4" w:space="0"/>
          </w:tblBorders>
          <w:tblCellMar>
            <w:top w:w="0" w:type="dxa"/>
            <w:left w:w="0" w:type="dxa"/>
            <w:bottom w:w="0" w:type="dxa"/>
            <w:right w:w="0" w:type="dxa"/>
          </w:tblCellMar>
        </w:tblPrEx>
        <w:trPr>
          <w:trHeight w:val="219" w:hRule="atLeast"/>
        </w:trPr>
        <w:tc>
          <w:tcPr>
            <w:tcW w:w="8557" w:type="dxa"/>
            <w:gridSpan w:val="2"/>
            <w:tcBorders>
              <w:top w:val="nil"/>
              <w:bottom w:val="single" w:color="000000" w:sz="2" w:space="0"/>
              <w:right w:val="single" w:color="5B9BD5" w:sz="4" w:space="0"/>
            </w:tcBorders>
            <w:vAlign w:val="top"/>
          </w:tcPr>
          <w:p w14:paraId="33F3B196">
            <w:pPr>
              <w:spacing w:line="209" w:lineRule="exact"/>
              <w:rPr>
                <w:rFonts w:ascii="Arial"/>
                <w:sz w:val="18"/>
              </w:rPr>
            </w:pPr>
          </w:p>
        </w:tc>
      </w:tr>
      <w:tr w14:paraId="47163239">
        <w:tblPrEx>
          <w:tblBorders>
            <w:top w:val="single" w:color="1C456A" w:sz="4" w:space="0"/>
            <w:left w:val="single" w:color="1C456A" w:sz="4" w:space="0"/>
            <w:bottom w:val="single" w:color="1C456A" w:sz="4" w:space="0"/>
            <w:right w:val="single" w:color="1C456A" w:sz="4" w:space="0"/>
            <w:insideH w:val="single" w:color="1C456A" w:sz="4" w:space="0"/>
            <w:insideV w:val="single" w:color="1C456A" w:sz="4" w:space="0"/>
          </w:tblBorders>
          <w:tblCellMar>
            <w:top w:w="0" w:type="dxa"/>
            <w:left w:w="0" w:type="dxa"/>
            <w:bottom w:w="0" w:type="dxa"/>
            <w:right w:w="0" w:type="dxa"/>
          </w:tblCellMar>
        </w:tblPrEx>
        <w:trPr>
          <w:trHeight w:val="4822" w:hRule="atLeast"/>
        </w:trPr>
        <w:tc>
          <w:tcPr>
            <w:tcW w:w="69" w:type="dxa"/>
            <w:tcBorders>
              <w:top w:val="single" w:color="000000" w:sz="2" w:space="0"/>
              <w:right w:val="nil"/>
            </w:tcBorders>
            <w:vAlign w:val="top"/>
          </w:tcPr>
          <w:p w14:paraId="3DAE55BA">
            <w:pPr>
              <w:rPr>
                <w:rFonts w:ascii="Arial"/>
                <w:sz w:val="21"/>
              </w:rPr>
            </w:pPr>
            <w:r>
              <w:pict>
                <v:shape id="_x0000_s3907" o:spid="_x0000_s3907" style="position:absolute;left:0pt;margin-left:-0.25pt;margin-top:241.15pt;height:0.75pt;width:2.2pt;mso-position-horizontal-relative:page;mso-position-vertical-relative:page;z-index:252271616;mso-width-relative:page;mso-height-relative:page;" fillcolor="#5B9BD5" filled="t" stroked="f" coordsize="44,15" path="m0,14l43,14,43,0,0,0,0,14xe">
                  <v:path/>
                  <v:fill on="t" focussize="0,0"/>
                  <v:stroke on="f"/>
                  <v:imagedata o:title=""/>
                  <o:lock v:ext="edit"/>
                </v:shape>
              </w:pict>
            </w:r>
          </w:p>
        </w:tc>
        <w:tc>
          <w:tcPr>
            <w:tcW w:w="8488" w:type="dxa"/>
            <w:tcBorders>
              <w:top w:val="single" w:color="000000" w:sz="2" w:space="0"/>
              <w:left w:val="nil"/>
            </w:tcBorders>
            <w:vAlign w:val="top"/>
          </w:tcPr>
          <w:p w14:paraId="224F2D8F">
            <w:pPr>
              <w:pStyle w:val="7"/>
              <w:spacing w:before="100" w:line="215" w:lineRule="auto"/>
              <w:ind w:left="34"/>
            </w:pPr>
            <w:r>
              <w:pict>
                <v:shape id="_x0000_s3908" o:spid="_x0000_s3908" style="position:absolute;left:0pt;margin-left:422.5pt;margin-top:241.15pt;height:0.75pt;width:2.2pt;mso-position-horizontal-relative:page;mso-position-vertical-relative:page;z-index:252270592;mso-width-relative:page;mso-height-relative:page;" fillcolor="#5B9BD5" filled="t" stroked="f" coordsize="44,15" path="m0,14l43,14,43,0,0,0,0,14xe">
                  <v:path/>
                  <v:fill on="t" focussize="0,0"/>
                  <v:stroke on="f"/>
                  <v:imagedata o:title=""/>
                  <o:lock v:ext="edit"/>
                </v:shape>
              </w:pict>
            </w:r>
            <w:r>
              <w:rPr>
                <w:spacing w:val="-24"/>
              </w:rPr>
              <w:t>管道迁改是一项时间长、涉及面广、程序复杂的工作，现场施工仅仅</w:t>
            </w:r>
            <w:r>
              <w:rPr>
                <w:spacing w:val="-25"/>
              </w:rPr>
              <w:t>是其中一个环节，在</w:t>
            </w:r>
          </w:p>
          <w:p w14:paraId="5E0D7400">
            <w:pPr>
              <w:pStyle w:val="7"/>
              <w:spacing w:before="185" w:line="216" w:lineRule="auto"/>
              <w:jc w:val="right"/>
            </w:pPr>
            <w:r>
              <w:rPr>
                <w:spacing w:val="-28"/>
              </w:rPr>
              <w:t>此前后，还有大量不为人知的工作。尤其是</w:t>
            </w:r>
            <w:r>
              <w:rPr>
                <w:spacing w:val="-29"/>
              </w:rPr>
              <w:t>与用户息息相关的停送水工作，更是重中之重。</w:t>
            </w:r>
          </w:p>
          <w:p w14:paraId="5E18EAED">
            <w:pPr>
              <w:pStyle w:val="7"/>
              <w:spacing w:before="187" w:line="215" w:lineRule="auto"/>
              <w:jc w:val="right"/>
            </w:pPr>
            <w:r>
              <w:rPr>
                <w:spacing w:val="-27"/>
              </w:rPr>
              <w:t>定时，控节点。在每一次供水管道迁改的前2周，严格配合业主，供水公司每日</w:t>
            </w:r>
            <w:r>
              <w:rPr>
                <w:spacing w:val="-28"/>
              </w:rPr>
              <w:t>在早高峰、</w:t>
            </w:r>
          </w:p>
          <w:p w14:paraId="56F57D58">
            <w:pPr>
              <w:pStyle w:val="7"/>
              <w:spacing w:before="185" w:line="216" w:lineRule="auto"/>
              <w:ind w:left="23"/>
            </w:pPr>
            <w:r>
              <w:rPr>
                <w:spacing w:val="-22"/>
              </w:rPr>
              <w:t>午高峰、晚高峰及凌晨等4个时间段，对停水涉及的阀门进行调控</w:t>
            </w:r>
            <w:r>
              <w:rPr>
                <w:spacing w:val="-23"/>
              </w:rPr>
              <w:t>，同步检测沿线水压及</w:t>
            </w:r>
          </w:p>
          <w:p w14:paraId="57015CB4">
            <w:pPr>
              <w:pStyle w:val="7"/>
              <w:spacing w:before="188" w:line="215" w:lineRule="auto"/>
              <w:jc w:val="right"/>
            </w:pPr>
            <w:r>
              <w:rPr>
                <w:spacing w:val="-23"/>
              </w:rPr>
              <w:t>水质变化，不断研究对比数据，制定出对用户影响最小的阀门调整方案。在施</w:t>
            </w:r>
            <w:r>
              <w:rPr>
                <w:spacing w:val="-24"/>
              </w:rPr>
              <w:t>工过程中，</w:t>
            </w:r>
          </w:p>
          <w:p w14:paraId="4A0C0E34">
            <w:pPr>
              <w:pStyle w:val="7"/>
              <w:spacing w:before="186" w:line="216" w:lineRule="auto"/>
              <w:ind w:left="1936"/>
            </w:pPr>
            <w:r>
              <w:rPr>
                <w:spacing w:val="-21"/>
              </w:rPr>
              <w:t>按照既定时间点，起闭阀门，做好排送水工作。</w:t>
            </w:r>
          </w:p>
          <w:p w14:paraId="406A272E">
            <w:pPr>
              <w:pStyle w:val="7"/>
              <w:spacing w:before="187" w:line="215" w:lineRule="auto"/>
              <w:ind w:left="25"/>
            </w:pPr>
            <w:r>
              <w:rPr>
                <w:spacing w:val="-24"/>
              </w:rPr>
              <w:t>定点，稳设施。在迁改前1周，根据涉及阀门的现场情况，对接施工方案，逐一定点排查</w:t>
            </w:r>
          </w:p>
          <w:p w14:paraId="38A687CC">
            <w:pPr>
              <w:pStyle w:val="7"/>
              <w:spacing w:before="186" w:line="216" w:lineRule="auto"/>
              <w:ind w:left="102"/>
            </w:pPr>
            <w:r>
              <w:rPr>
                <w:spacing w:val="-22"/>
              </w:rPr>
              <w:t>阀门，结合排查情况，做好排水阀、排气阀、消火栓等调节，确保迁改当晚顺利作业。</w:t>
            </w:r>
          </w:p>
          <w:p w14:paraId="36B79838">
            <w:pPr>
              <w:pStyle w:val="7"/>
              <w:spacing w:before="187" w:line="215" w:lineRule="auto"/>
              <w:ind w:left="25"/>
            </w:pPr>
            <w:r>
              <w:rPr>
                <w:spacing w:val="-22"/>
              </w:rPr>
              <w:t>定人，压责任。在迁改施工前3天，与供水公司通过划分停水</w:t>
            </w:r>
            <w:r>
              <w:rPr>
                <w:spacing w:val="-23"/>
              </w:rPr>
              <w:t>影响区域，将工作任务落实</w:t>
            </w:r>
          </w:p>
          <w:p w14:paraId="4A7E6181">
            <w:pPr>
              <w:pStyle w:val="7"/>
              <w:spacing w:before="186" w:line="217" w:lineRule="auto"/>
              <w:ind w:left="851"/>
            </w:pPr>
            <w:r>
              <w:rPr>
                <w:spacing w:val="-21"/>
              </w:rPr>
              <w:t>到个人，确保受影响用户应知尽知，各相关</w:t>
            </w:r>
            <w:r>
              <w:rPr>
                <w:spacing w:val="-22"/>
              </w:rPr>
              <w:t>配套设施按计划及时调节。</w:t>
            </w:r>
          </w:p>
        </w:tc>
      </w:tr>
    </w:tbl>
    <w:p w14:paraId="4158D81E">
      <w:pPr>
        <w:pStyle w:val="2"/>
        <w:spacing w:before="115" w:line="216" w:lineRule="auto"/>
        <w:ind w:left="1903"/>
        <w:rPr>
          <w:sz w:val="24"/>
          <w:szCs w:val="24"/>
        </w:rPr>
      </w:pPr>
      <w:r>
        <w:rPr>
          <w:spacing w:val="-24"/>
          <w:sz w:val="24"/>
          <w:szCs w:val="24"/>
        </w:rPr>
        <w:t>1.1现场勘查：安排施工员及2名技术工人到现场，对施工情况进行交底，并测量配件尺寸。</w:t>
      </w:r>
    </w:p>
    <w:p w14:paraId="6739C2DD">
      <w:pPr>
        <w:pStyle w:val="2"/>
        <w:spacing w:before="120" w:line="277" w:lineRule="auto"/>
        <w:ind w:left="1457" w:right="1409" w:firstLine="446"/>
        <w:rPr>
          <w:sz w:val="24"/>
          <w:szCs w:val="24"/>
        </w:rPr>
      </w:pPr>
      <w:r>
        <w:rPr>
          <w:spacing w:val="-22"/>
          <w:sz w:val="24"/>
          <w:szCs w:val="24"/>
        </w:rPr>
        <w:t>1.2提前制作钢制配件：事先制作接水钢制配件，安排技术工人6人在公司车间对配件进行</w:t>
      </w:r>
      <w:r>
        <w:rPr>
          <w:spacing w:val="-20"/>
          <w:sz w:val="24"/>
          <w:szCs w:val="24"/>
        </w:rPr>
        <w:t>放样、下料、拼接。特殊的小型配件直接在施工现场制作，计划所用到的器具有电焊机、氧气</w:t>
      </w:r>
      <w:r>
        <w:rPr>
          <w:spacing w:val="-19"/>
          <w:sz w:val="24"/>
          <w:szCs w:val="24"/>
        </w:rPr>
        <w:t>乙炔，配件制作完成后安排2名防腐工进行管件内外防腐工作。</w:t>
      </w:r>
    </w:p>
    <w:p w14:paraId="056D07B7">
      <w:pPr>
        <w:pStyle w:val="2"/>
        <w:spacing w:before="119" w:line="216" w:lineRule="auto"/>
        <w:ind w:left="1903"/>
        <w:rPr>
          <w:sz w:val="24"/>
          <w:szCs w:val="24"/>
        </w:rPr>
      </w:pPr>
      <w:r>
        <w:rPr>
          <w:spacing w:val="-21"/>
          <w:sz w:val="24"/>
          <w:szCs w:val="24"/>
        </w:rPr>
        <w:t>1.3勾点工作坑开挖并做好安全维护措施</w:t>
      </w:r>
    </w:p>
    <w:p w14:paraId="582B175C">
      <w:pPr>
        <w:pStyle w:val="2"/>
        <w:spacing w:before="118" w:line="262" w:lineRule="auto"/>
        <w:ind w:left="1456" w:right="1411" w:firstLine="447"/>
        <w:rPr>
          <w:sz w:val="24"/>
          <w:szCs w:val="24"/>
        </w:rPr>
      </w:pPr>
      <w:r>
        <w:rPr>
          <w:spacing w:val="-22"/>
          <w:sz w:val="24"/>
          <w:szCs w:val="24"/>
        </w:rPr>
        <w:t>1.4施工前准备：接水当天，在计划停水时间前2小时将安排工程车、货车、吊车、挖掘机</w:t>
      </w:r>
      <w:r>
        <w:rPr>
          <w:spacing w:val="-21"/>
          <w:sz w:val="24"/>
          <w:szCs w:val="24"/>
        </w:rPr>
        <w:t>若干将工作人员、发电机、电焊机、氧气乙炔瓶等运送至现</w:t>
      </w:r>
      <w:r>
        <w:rPr>
          <w:spacing w:val="-22"/>
          <w:sz w:val="24"/>
          <w:szCs w:val="24"/>
        </w:rPr>
        <w:t>场。</w:t>
      </w:r>
    </w:p>
    <w:p w14:paraId="37256FEE">
      <w:pPr>
        <w:pStyle w:val="2"/>
        <w:spacing w:before="120" w:line="219" w:lineRule="auto"/>
        <w:ind w:left="1888"/>
        <w:rPr>
          <w:sz w:val="24"/>
          <w:szCs w:val="24"/>
        </w:rPr>
      </w:pPr>
      <w:r>
        <w:rPr>
          <w:spacing w:val="-17"/>
          <w:sz w:val="24"/>
          <w:szCs w:val="24"/>
        </w:rPr>
        <w:t>2、勾点施工方案</w:t>
      </w:r>
    </w:p>
    <w:p w14:paraId="5904495B">
      <w:pPr>
        <w:spacing w:line="219" w:lineRule="auto"/>
        <w:rPr>
          <w:sz w:val="24"/>
          <w:szCs w:val="24"/>
        </w:rPr>
        <w:sectPr>
          <w:footerReference r:id="rId331" w:type="default"/>
          <w:pgSz w:w="11907" w:h="16839"/>
          <w:pgMar w:top="933" w:right="4" w:bottom="1038" w:left="0" w:header="478" w:footer="357" w:gutter="0"/>
          <w:pgBorders>
            <w:top w:val="none" w:sz="0" w:space="0"/>
            <w:left w:val="none" w:sz="0" w:space="0"/>
            <w:bottom w:val="none" w:sz="0" w:space="0"/>
            <w:right w:val="none" w:sz="0" w:space="0"/>
          </w:pgBorders>
          <w:cols w:space="720" w:num="1"/>
        </w:sectPr>
      </w:pPr>
    </w:p>
    <w:p w14:paraId="7CB7614B">
      <w:pPr>
        <w:spacing w:line="271" w:lineRule="auto"/>
        <w:rPr>
          <w:rFonts w:ascii="Arial"/>
          <w:sz w:val="21"/>
        </w:rPr>
      </w:pPr>
    </w:p>
    <w:p w14:paraId="4B88BDC3">
      <w:pPr>
        <w:pStyle w:val="2"/>
        <w:spacing w:before="78" w:line="218" w:lineRule="auto"/>
        <w:ind w:left="1888"/>
        <w:rPr>
          <w:sz w:val="24"/>
          <w:szCs w:val="24"/>
        </w:rPr>
      </w:pPr>
      <w:r>
        <w:rPr>
          <w:spacing w:val="-19"/>
          <w:sz w:val="24"/>
          <w:szCs w:val="24"/>
        </w:rPr>
        <w:t>2.1施工安排：</w:t>
      </w:r>
    </w:p>
    <w:p w14:paraId="4339B4D8">
      <w:pPr>
        <w:pStyle w:val="2"/>
        <w:spacing w:before="117" w:line="220" w:lineRule="auto"/>
        <w:ind w:left="1888"/>
        <w:rPr>
          <w:sz w:val="24"/>
          <w:szCs w:val="24"/>
        </w:rPr>
      </w:pPr>
      <w:r>
        <w:rPr>
          <w:spacing w:val="-15"/>
          <w:sz w:val="24"/>
          <w:szCs w:val="24"/>
        </w:rPr>
        <w:t>2.2设备配备：</w:t>
      </w:r>
    </w:p>
    <w:tbl>
      <w:tblPr>
        <w:tblStyle w:val="6"/>
        <w:tblW w:w="8554" w:type="dxa"/>
        <w:tblInd w:w="167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50"/>
        <w:gridCol w:w="735"/>
        <w:gridCol w:w="1601"/>
        <w:gridCol w:w="1422"/>
        <w:gridCol w:w="1360"/>
        <w:gridCol w:w="1698"/>
        <w:gridCol w:w="1488"/>
      </w:tblGrid>
      <w:tr w14:paraId="2ED3C0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8" w:hRule="atLeast"/>
        </w:trPr>
        <w:tc>
          <w:tcPr>
            <w:tcW w:w="985" w:type="dxa"/>
            <w:gridSpan w:val="2"/>
            <w:tcBorders>
              <w:top w:val="single" w:color="000000" w:sz="4" w:space="0"/>
              <w:left w:val="single" w:color="000000" w:sz="4" w:space="0"/>
            </w:tcBorders>
            <w:shd w:val="clear" w:color="auto" w:fill="DEEAF6"/>
            <w:vAlign w:val="top"/>
          </w:tcPr>
          <w:p w14:paraId="31258985">
            <w:pPr>
              <w:pStyle w:val="7"/>
              <w:spacing w:before="177" w:line="218" w:lineRule="auto"/>
              <w:ind w:left="289"/>
            </w:pPr>
            <w:r>
              <w:rPr>
                <w:b/>
                <w:bCs/>
                <w:spacing w:val="-12"/>
              </w:rPr>
              <w:t>序号</w:t>
            </w:r>
          </w:p>
        </w:tc>
        <w:tc>
          <w:tcPr>
            <w:tcW w:w="1601" w:type="dxa"/>
            <w:tcBorders>
              <w:top w:val="single" w:color="000000" w:sz="4" w:space="0"/>
            </w:tcBorders>
            <w:shd w:val="clear" w:color="auto" w:fill="DEEAF6"/>
            <w:vAlign w:val="top"/>
          </w:tcPr>
          <w:p w14:paraId="4571D28C">
            <w:pPr>
              <w:pStyle w:val="7"/>
              <w:spacing w:before="176" w:line="217" w:lineRule="auto"/>
              <w:ind w:left="368"/>
            </w:pPr>
            <w:r>
              <w:rPr>
                <w:b/>
                <w:bCs/>
                <w:spacing w:val="-18"/>
              </w:rPr>
              <w:t>设备名称</w:t>
            </w:r>
          </w:p>
        </w:tc>
        <w:tc>
          <w:tcPr>
            <w:tcW w:w="1422" w:type="dxa"/>
            <w:tcBorders>
              <w:top w:val="single" w:color="000000" w:sz="4" w:space="0"/>
            </w:tcBorders>
            <w:shd w:val="clear" w:color="auto" w:fill="DEEAF6"/>
            <w:vAlign w:val="top"/>
          </w:tcPr>
          <w:p w14:paraId="5427B9F9">
            <w:pPr>
              <w:pStyle w:val="7"/>
              <w:spacing w:before="177" w:line="218" w:lineRule="auto"/>
              <w:ind w:left="280"/>
            </w:pPr>
            <w:r>
              <w:rPr>
                <w:b/>
                <w:bCs/>
                <w:spacing w:val="-18"/>
              </w:rPr>
              <w:t>规格型号</w:t>
            </w:r>
          </w:p>
        </w:tc>
        <w:tc>
          <w:tcPr>
            <w:tcW w:w="1360" w:type="dxa"/>
            <w:tcBorders>
              <w:top w:val="single" w:color="000000" w:sz="4" w:space="0"/>
            </w:tcBorders>
            <w:shd w:val="clear" w:color="auto" w:fill="DEEAF6"/>
            <w:vAlign w:val="top"/>
          </w:tcPr>
          <w:p w14:paraId="4C3D2439">
            <w:pPr>
              <w:pStyle w:val="7"/>
              <w:spacing w:before="176" w:line="217" w:lineRule="auto"/>
              <w:ind w:left="479"/>
            </w:pPr>
            <w:r>
              <w:rPr>
                <w:b/>
                <w:bCs/>
                <w:spacing w:val="-14"/>
              </w:rPr>
              <w:t>单位</w:t>
            </w:r>
          </w:p>
        </w:tc>
        <w:tc>
          <w:tcPr>
            <w:tcW w:w="1698" w:type="dxa"/>
            <w:tcBorders>
              <w:top w:val="single" w:color="000000" w:sz="4" w:space="0"/>
            </w:tcBorders>
            <w:shd w:val="clear" w:color="auto" w:fill="DEEAF6"/>
            <w:vAlign w:val="top"/>
          </w:tcPr>
          <w:p w14:paraId="1493F84F">
            <w:pPr>
              <w:pStyle w:val="7"/>
              <w:spacing w:before="177" w:line="219" w:lineRule="auto"/>
              <w:ind w:left="645"/>
            </w:pPr>
            <w:r>
              <w:rPr>
                <w:b/>
                <w:bCs/>
                <w:spacing w:val="-12"/>
              </w:rPr>
              <w:t>数量</w:t>
            </w:r>
          </w:p>
        </w:tc>
        <w:tc>
          <w:tcPr>
            <w:tcW w:w="1488" w:type="dxa"/>
            <w:tcBorders>
              <w:top w:val="single" w:color="5B9BD5" w:sz="4" w:space="0"/>
              <w:right w:val="single" w:color="5B9BD5" w:sz="4" w:space="0"/>
            </w:tcBorders>
            <w:shd w:val="clear" w:color="auto" w:fill="DEEAF6"/>
            <w:vAlign w:val="top"/>
          </w:tcPr>
          <w:p w14:paraId="0FF7085A">
            <w:pPr>
              <w:pStyle w:val="7"/>
              <w:spacing w:before="177" w:line="220" w:lineRule="auto"/>
              <w:ind w:left="536"/>
            </w:pPr>
            <w:r>
              <w:rPr>
                <w:b/>
                <w:bCs/>
                <w:spacing w:val="-13"/>
              </w:rPr>
              <w:t>备注</w:t>
            </w:r>
          </w:p>
        </w:tc>
      </w:tr>
      <w:tr w14:paraId="72054E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57" w:hRule="atLeast"/>
        </w:trPr>
        <w:tc>
          <w:tcPr>
            <w:tcW w:w="985" w:type="dxa"/>
            <w:gridSpan w:val="2"/>
            <w:tcBorders>
              <w:left w:val="single" w:color="000000" w:sz="4" w:space="0"/>
            </w:tcBorders>
            <w:vAlign w:val="top"/>
          </w:tcPr>
          <w:p w14:paraId="0F9350CB">
            <w:pPr>
              <w:spacing w:line="278" w:lineRule="auto"/>
              <w:rPr>
                <w:rFonts w:ascii="Arial"/>
                <w:sz w:val="21"/>
              </w:rPr>
            </w:pPr>
          </w:p>
          <w:p w14:paraId="20F8B2ED">
            <w:pPr>
              <w:pStyle w:val="7"/>
              <w:spacing w:before="78" w:line="238" w:lineRule="auto"/>
              <w:ind w:left="462"/>
            </w:pPr>
            <w:r>
              <w:t>1</w:t>
            </w:r>
          </w:p>
        </w:tc>
        <w:tc>
          <w:tcPr>
            <w:tcW w:w="1601" w:type="dxa"/>
            <w:vAlign w:val="top"/>
          </w:tcPr>
          <w:p w14:paraId="337EEC1A">
            <w:pPr>
              <w:spacing w:line="278" w:lineRule="auto"/>
              <w:rPr>
                <w:rFonts w:ascii="Arial"/>
                <w:sz w:val="21"/>
              </w:rPr>
            </w:pPr>
          </w:p>
          <w:p w14:paraId="06FC7B1C">
            <w:pPr>
              <w:pStyle w:val="7"/>
              <w:spacing w:before="78" w:line="218" w:lineRule="auto"/>
              <w:ind w:left="266"/>
            </w:pPr>
            <w:r>
              <w:rPr>
                <w:spacing w:val="-18"/>
              </w:rPr>
              <w:t>氧气、乙炔</w:t>
            </w:r>
          </w:p>
        </w:tc>
        <w:tc>
          <w:tcPr>
            <w:tcW w:w="1422" w:type="dxa"/>
            <w:vAlign w:val="top"/>
          </w:tcPr>
          <w:p w14:paraId="4154E152">
            <w:pPr>
              <w:rPr>
                <w:rFonts w:ascii="Arial"/>
                <w:sz w:val="21"/>
              </w:rPr>
            </w:pPr>
          </w:p>
        </w:tc>
        <w:tc>
          <w:tcPr>
            <w:tcW w:w="1360" w:type="dxa"/>
            <w:vAlign w:val="top"/>
          </w:tcPr>
          <w:p w14:paraId="5D49B028">
            <w:pPr>
              <w:spacing w:line="277" w:lineRule="auto"/>
              <w:rPr>
                <w:rFonts w:ascii="Arial"/>
                <w:sz w:val="21"/>
              </w:rPr>
            </w:pPr>
          </w:p>
          <w:p w14:paraId="49F2ED75">
            <w:pPr>
              <w:pStyle w:val="7"/>
              <w:spacing w:before="78" w:line="222" w:lineRule="auto"/>
              <w:ind w:left="584"/>
            </w:pPr>
            <w:r>
              <w:t>套</w:t>
            </w:r>
          </w:p>
        </w:tc>
        <w:tc>
          <w:tcPr>
            <w:tcW w:w="1698" w:type="dxa"/>
            <w:vAlign w:val="top"/>
          </w:tcPr>
          <w:p w14:paraId="7E4A0B25">
            <w:pPr>
              <w:pStyle w:val="7"/>
              <w:spacing w:before="123" w:line="355" w:lineRule="auto"/>
              <w:ind w:left="543" w:right="59" w:hanging="441"/>
            </w:pPr>
            <w:r>
              <w:rPr>
                <w:spacing w:val="-22"/>
              </w:rPr>
              <w:t>满足现场勾点施</w:t>
            </w:r>
            <w:r>
              <w:rPr>
                <w:spacing w:val="-15"/>
              </w:rPr>
              <w:t>工需要</w:t>
            </w:r>
          </w:p>
        </w:tc>
        <w:tc>
          <w:tcPr>
            <w:tcW w:w="1488" w:type="dxa"/>
            <w:tcBorders>
              <w:right w:val="single" w:color="000000" w:sz="4" w:space="0"/>
            </w:tcBorders>
            <w:vAlign w:val="top"/>
          </w:tcPr>
          <w:p w14:paraId="10B2A12B">
            <w:pPr>
              <w:rPr>
                <w:rFonts w:ascii="Arial"/>
                <w:sz w:val="21"/>
              </w:rPr>
            </w:pPr>
          </w:p>
        </w:tc>
      </w:tr>
      <w:tr w14:paraId="4CCCC2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57" w:hRule="atLeast"/>
        </w:trPr>
        <w:tc>
          <w:tcPr>
            <w:tcW w:w="985" w:type="dxa"/>
            <w:gridSpan w:val="2"/>
            <w:tcBorders>
              <w:left w:val="single" w:color="000000" w:sz="4" w:space="0"/>
            </w:tcBorders>
            <w:vAlign w:val="top"/>
          </w:tcPr>
          <w:p w14:paraId="28784B2C">
            <w:pPr>
              <w:spacing w:line="275" w:lineRule="auto"/>
              <w:rPr>
                <w:rFonts w:ascii="Arial"/>
                <w:sz w:val="21"/>
              </w:rPr>
            </w:pPr>
          </w:p>
          <w:p w14:paraId="6BBD0DEA">
            <w:pPr>
              <w:pStyle w:val="7"/>
              <w:spacing w:before="78" w:line="238" w:lineRule="auto"/>
              <w:ind w:left="447"/>
            </w:pPr>
            <w:r>
              <w:t>2</w:t>
            </w:r>
          </w:p>
        </w:tc>
        <w:tc>
          <w:tcPr>
            <w:tcW w:w="1601" w:type="dxa"/>
            <w:vAlign w:val="top"/>
          </w:tcPr>
          <w:p w14:paraId="2B4E47BD">
            <w:pPr>
              <w:spacing w:line="274" w:lineRule="auto"/>
              <w:rPr>
                <w:rFonts w:ascii="Arial"/>
                <w:sz w:val="21"/>
              </w:rPr>
            </w:pPr>
          </w:p>
          <w:p w14:paraId="3F2CA822">
            <w:pPr>
              <w:pStyle w:val="7"/>
              <w:spacing w:before="78" w:line="218" w:lineRule="auto"/>
              <w:ind w:left="506"/>
            </w:pPr>
            <w:r>
              <w:rPr>
                <w:spacing w:val="-19"/>
              </w:rPr>
              <w:t>电焊机</w:t>
            </w:r>
          </w:p>
        </w:tc>
        <w:tc>
          <w:tcPr>
            <w:tcW w:w="1422" w:type="dxa"/>
            <w:vAlign w:val="top"/>
          </w:tcPr>
          <w:p w14:paraId="2B466844">
            <w:pPr>
              <w:spacing w:line="274" w:lineRule="auto"/>
              <w:rPr>
                <w:rFonts w:ascii="Arial"/>
                <w:sz w:val="21"/>
              </w:rPr>
            </w:pPr>
          </w:p>
          <w:p w14:paraId="0E774C32">
            <w:pPr>
              <w:pStyle w:val="7"/>
              <w:spacing w:before="78" w:line="237" w:lineRule="auto"/>
              <w:ind w:left="500"/>
            </w:pPr>
            <w:r>
              <w:rPr>
                <w:spacing w:val="-10"/>
              </w:rPr>
              <w:t>75kw</w:t>
            </w:r>
          </w:p>
        </w:tc>
        <w:tc>
          <w:tcPr>
            <w:tcW w:w="1360" w:type="dxa"/>
            <w:vAlign w:val="top"/>
          </w:tcPr>
          <w:p w14:paraId="2715D5FC">
            <w:pPr>
              <w:spacing w:line="274" w:lineRule="auto"/>
              <w:rPr>
                <w:rFonts w:ascii="Arial"/>
                <w:sz w:val="21"/>
              </w:rPr>
            </w:pPr>
          </w:p>
          <w:p w14:paraId="00D2F6B0">
            <w:pPr>
              <w:pStyle w:val="7"/>
              <w:spacing w:before="78" w:line="217" w:lineRule="auto"/>
              <w:ind w:left="607"/>
            </w:pPr>
            <w:r>
              <w:t>台</w:t>
            </w:r>
          </w:p>
        </w:tc>
        <w:tc>
          <w:tcPr>
            <w:tcW w:w="1698" w:type="dxa"/>
            <w:vAlign w:val="top"/>
          </w:tcPr>
          <w:p w14:paraId="2CA0BA4E">
            <w:pPr>
              <w:pStyle w:val="7"/>
              <w:spacing w:before="121" w:line="356" w:lineRule="auto"/>
              <w:ind w:left="543" w:right="59" w:hanging="441"/>
            </w:pPr>
            <w:r>
              <w:rPr>
                <w:spacing w:val="-22"/>
              </w:rPr>
              <w:t>满足现场勾点施</w:t>
            </w:r>
            <w:r>
              <w:rPr>
                <w:spacing w:val="-15"/>
              </w:rPr>
              <w:t>工需要</w:t>
            </w:r>
          </w:p>
        </w:tc>
        <w:tc>
          <w:tcPr>
            <w:tcW w:w="1488" w:type="dxa"/>
            <w:tcBorders>
              <w:right w:val="single" w:color="000000" w:sz="4" w:space="0"/>
            </w:tcBorders>
            <w:vAlign w:val="top"/>
          </w:tcPr>
          <w:p w14:paraId="30C917F7">
            <w:pPr>
              <w:rPr>
                <w:rFonts w:ascii="Arial"/>
                <w:sz w:val="21"/>
              </w:rPr>
            </w:pPr>
          </w:p>
        </w:tc>
      </w:tr>
      <w:tr w14:paraId="76237E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55" w:hRule="atLeast"/>
        </w:trPr>
        <w:tc>
          <w:tcPr>
            <w:tcW w:w="985" w:type="dxa"/>
            <w:gridSpan w:val="2"/>
            <w:tcBorders>
              <w:left w:val="single" w:color="000000" w:sz="4" w:space="0"/>
            </w:tcBorders>
            <w:vAlign w:val="top"/>
          </w:tcPr>
          <w:p w14:paraId="733BA612">
            <w:pPr>
              <w:spacing w:line="271" w:lineRule="auto"/>
              <w:rPr>
                <w:rFonts w:ascii="Arial"/>
                <w:sz w:val="21"/>
              </w:rPr>
            </w:pPr>
          </w:p>
          <w:p w14:paraId="39FD6CFE">
            <w:pPr>
              <w:pStyle w:val="7"/>
              <w:spacing w:before="78" w:line="237" w:lineRule="auto"/>
              <w:ind w:left="449"/>
            </w:pPr>
            <w:r>
              <w:t>3</w:t>
            </w:r>
          </w:p>
        </w:tc>
        <w:tc>
          <w:tcPr>
            <w:tcW w:w="1601" w:type="dxa"/>
            <w:vAlign w:val="top"/>
          </w:tcPr>
          <w:p w14:paraId="7669116C">
            <w:pPr>
              <w:spacing w:line="271" w:lineRule="auto"/>
              <w:rPr>
                <w:rFonts w:ascii="Arial"/>
                <w:sz w:val="21"/>
              </w:rPr>
            </w:pPr>
          </w:p>
          <w:p w14:paraId="6FCBE1C6">
            <w:pPr>
              <w:pStyle w:val="7"/>
              <w:spacing w:before="78" w:line="219" w:lineRule="auto"/>
              <w:ind w:left="587"/>
            </w:pPr>
            <w:r>
              <w:rPr>
                <w:spacing w:val="-10"/>
              </w:rPr>
              <w:t>水泵</w:t>
            </w:r>
          </w:p>
        </w:tc>
        <w:tc>
          <w:tcPr>
            <w:tcW w:w="1422" w:type="dxa"/>
            <w:vAlign w:val="top"/>
          </w:tcPr>
          <w:p w14:paraId="6B6C850D">
            <w:pPr>
              <w:pStyle w:val="7"/>
              <w:spacing w:before="158" w:line="179" w:lineRule="auto"/>
              <w:ind w:left="326"/>
            </w:pPr>
            <w:r>
              <w:rPr>
                <w:spacing w:val="-9"/>
              </w:rPr>
              <w:t>DN100、</w:t>
            </w:r>
          </w:p>
          <w:p w14:paraId="71FBE95A">
            <w:pPr>
              <w:pStyle w:val="7"/>
              <w:spacing w:before="237" w:line="178" w:lineRule="auto"/>
              <w:ind w:left="434"/>
            </w:pPr>
            <w:r>
              <w:rPr>
                <w:spacing w:val="-8"/>
              </w:rPr>
              <w:t>DN200</w:t>
            </w:r>
          </w:p>
        </w:tc>
        <w:tc>
          <w:tcPr>
            <w:tcW w:w="1360" w:type="dxa"/>
            <w:vAlign w:val="top"/>
          </w:tcPr>
          <w:p w14:paraId="5E2807FD">
            <w:pPr>
              <w:spacing w:line="271" w:lineRule="auto"/>
              <w:rPr>
                <w:rFonts w:ascii="Arial"/>
                <w:sz w:val="21"/>
              </w:rPr>
            </w:pPr>
          </w:p>
          <w:p w14:paraId="689637DB">
            <w:pPr>
              <w:pStyle w:val="7"/>
              <w:spacing w:before="78" w:line="217" w:lineRule="auto"/>
              <w:ind w:left="607"/>
            </w:pPr>
            <w:r>
              <w:t>台</w:t>
            </w:r>
          </w:p>
        </w:tc>
        <w:tc>
          <w:tcPr>
            <w:tcW w:w="1698" w:type="dxa"/>
            <w:vAlign w:val="top"/>
          </w:tcPr>
          <w:p w14:paraId="4AB8AAD6">
            <w:pPr>
              <w:pStyle w:val="7"/>
              <w:spacing w:before="116" w:line="357" w:lineRule="auto"/>
              <w:ind w:left="543" w:right="59" w:hanging="441"/>
            </w:pPr>
            <w:r>
              <w:rPr>
                <w:spacing w:val="-22"/>
              </w:rPr>
              <w:t>满足现场勾点施</w:t>
            </w:r>
            <w:r>
              <w:rPr>
                <w:spacing w:val="-15"/>
              </w:rPr>
              <w:t>工需要</w:t>
            </w:r>
          </w:p>
        </w:tc>
        <w:tc>
          <w:tcPr>
            <w:tcW w:w="1488" w:type="dxa"/>
            <w:tcBorders>
              <w:right w:val="single" w:color="000000" w:sz="4" w:space="0"/>
            </w:tcBorders>
            <w:vAlign w:val="top"/>
          </w:tcPr>
          <w:p w14:paraId="236D53E7">
            <w:pPr>
              <w:rPr>
                <w:rFonts w:ascii="Arial"/>
                <w:sz w:val="21"/>
              </w:rPr>
            </w:pPr>
          </w:p>
        </w:tc>
      </w:tr>
      <w:tr w14:paraId="3DB9F2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57" w:hRule="atLeast"/>
        </w:trPr>
        <w:tc>
          <w:tcPr>
            <w:tcW w:w="985" w:type="dxa"/>
            <w:gridSpan w:val="2"/>
            <w:tcBorders>
              <w:left w:val="single" w:color="000000" w:sz="4" w:space="0"/>
            </w:tcBorders>
            <w:vAlign w:val="top"/>
          </w:tcPr>
          <w:p w14:paraId="3968E6C1">
            <w:pPr>
              <w:spacing w:line="268" w:lineRule="auto"/>
              <w:rPr>
                <w:rFonts w:ascii="Arial"/>
                <w:sz w:val="21"/>
              </w:rPr>
            </w:pPr>
          </w:p>
          <w:p w14:paraId="088326C4">
            <w:pPr>
              <w:pStyle w:val="7"/>
              <w:spacing w:before="78" w:line="238" w:lineRule="auto"/>
              <w:ind w:left="443"/>
            </w:pPr>
            <w:r>
              <w:t>4</w:t>
            </w:r>
          </w:p>
        </w:tc>
        <w:tc>
          <w:tcPr>
            <w:tcW w:w="1601" w:type="dxa"/>
            <w:vAlign w:val="top"/>
          </w:tcPr>
          <w:p w14:paraId="5EB62818">
            <w:pPr>
              <w:spacing w:line="268" w:lineRule="auto"/>
              <w:rPr>
                <w:rFonts w:ascii="Arial"/>
                <w:sz w:val="21"/>
              </w:rPr>
            </w:pPr>
          </w:p>
          <w:p w14:paraId="162A5CC7">
            <w:pPr>
              <w:pStyle w:val="7"/>
              <w:spacing w:before="78" w:line="215" w:lineRule="auto"/>
              <w:ind w:left="621"/>
            </w:pPr>
            <w:r>
              <w:rPr>
                <w:spacing w:val="-18"/>
              </w:rPr>
              <w:t>吊车</w:t>
            </w:r>
          </w:p>
        </w:tc>
        <w:tc>
          <w:tcPr>
            <w:tcW w:w="1422" w:type="dxa"/>
            <w:vAlign w:val="top"/>
          </w:tcPr>
          <w:p w14:paraId="5839A765">
            <w:pPr>
              <w:spacing w:line="311" w:lineRule="auto"/>
              <w:rPr>
                <w:rFonts w:ascii="Arial"/>
                <w:sz w:val="21"/>
              </w:rPr>
            </w:pPr>
          </w:p>
          <w:p w14:paraId="08566242">
            <w:pPr>
              <w:pStyle w:val="7"/>
              <w:spacing w:before="78" w:line="178" w:lineRule="auto"/>
              <w:ind w:left="552"/>
            </w:pPr>
            <w:r>
              <w:rPr>
                <w:spacing w:val="-8"/>
              </w:rPr>
              <w:t>20T</w:t>
            </w:r>
          </w:p>
        </w:tc>
        <w:tc>
          <w:tcPr>
            <w:tcW w:w="1360" w:type="dxa"/>
            <w:vAlign w:val="top"/>
          </w:tcPr>
          <w:p w14:paraId="6FB8745E">
            <w:pPr>
              <w:spacing w:line="267" w:lineRule="auto"/>
              <w:rPr>
                <w:rFonts w:ascii="Arial"/>
                <w:sz w:val="21"/>
              </w:rPr>
            </w:pPr>
          </w:p>
          <w:p w14:paraId="3C2EE409">
            <w:pPr>
              <w:pStyle w:val="7"/>
              <w:spacing w:before="78" w:line="217" w:lineRule="auto"/>
              <w:ind w:left="607"/>
            </w:pPr>
            <w:r>
              <w:t>台</w:t>
            </w:r>
          </w:p>
        </w:tc>
        <w:tc>
          <w:tcPr>
            <w:tcW w:w="1698" w:type="dxa"/>
            <w:vAlign w:val="top"/>
          </w:tcPr>
          <w:p w14:paraId="5DF5BCAC">
            <w:pPr>
              <w:pStyle w:val="7"/>
              <w:spacing w:before="113" w:line="359" w:lineRule="auto"/>
              <w:ind w:left="543" w:right="59" w:hanging="441"/>
            </w:pPr>
            <w:r>
              <w:rPr>
                <w:spacing w:val="-22"/>
              </w:rPr>
              <w:t>满足现场勾点施</w:t>
            </w:r>
            <w:r>
              <w:rPr>
                <w:spacing w:val="-15"/>
              </w:rPr>
              <w:t>工需要</w:t>
            </w:r>
          </w:p>
        </w:tc>
        <w:tc>
          <w:tcPr>
            <w:tcW w:w="1488" w:type="dxa"/>
            <w:tcBorders>
              <w:right w:val="single" w:color="000000" w:sz="4" w:space="0"/>
            </w:tcBorders>
            <w:vAlign w:val="top"/>
          </w:tcPr>
          <w:p w14:paraId="3CF19544">
            <w:pPr>
              <w:rPr>
                <w:rFonts w:ascii="Arial"/>
                <w:sz w:val="21"/>
              </w:rPr>
            </w:pPr>
          </w:p>
        </w:tc>
      </w:tr>
      <w:tr w14:paraId="28BA5B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57" w:hRule="atLeast"/>
        </w:trPr>
        <w:tc>
          <w:tcPr>
            <w:tcW w:w="985" w:type="dxa"/>
            <w:gridSpan w:val="2"/>
            <w:tcBorders>
              <w:left w:val="single" w:color="000000" w:sz="4" w:space="0"/>
            </w:tcBorders>
            <w:vAlign w:val="top"/>
          </w:tcPr>
          <w:p w14:paraId="283BB279">
            <w:pPr>
              <w:spacing w:line="263" w:lineRule="auto"/>
              <w:rPr>
                <w:rFonts w:ascii="Arial"/>
                <w:sz w:val="21"/>
              </w:rPr>
            </w:pPr>
          </w:p>
          <w:p w14:paraId="29FED9BA">
            <w:pPr>
              <w:pStyle w:val="7"/>
              <w:spacing w:before="78" w:line="237" w:lineRule="auto"/>
              <w:ind w:left="449"/>
            </w:pPr>
            <w:r>
              <w:t>5</w:t>
            </w:r>
          </w:p>
        </w:tc>
        <w:tc>
          <w:tcPr>
            <w:tcW w:w="1601" w:type="dxa"/>
            <w:vAlign w:val="top"/>
          </w:tcPr>
          <w:p w14:paraId="3A8A51FB">
            <w:pPr>
              <w:spacing w:line="264" w:lineRule="auto"/>
              <w:rPr>
                <w:rFonts w:ascii="Arial"/>
                <w:sz w:val="21"/>
              </w:rPr>
            </w:pPr>
          </w:p>
          <w:p w14:paraId="44CDE92A">
            <w:pPr>
              <w:pStyle w:val="7"/>
              <w:spacing w:before="78" w:line="215" w:lineRule="auto"/>
              <w:ind w:left="377"/>
            </w:pPr>
            <w:r>
              <w:rPr>
                <w:spacing w:val="-17"/>
              </w:rPr>
              <w:t>工程货车</w:t>
            </w:r>
          </w:p>
        </w:tc>
        <w:tc>
          <w:tcPr>
            <w:tcW w:w="1422" w:type="dxa"/>
            <w:vAlign w:val="top"/>
          </w:tcPr>
          <w:p w14:paraId="26D6BD7E">
            <w:pPr>
              <w:rPr>
                <w:rFonts w:ascii="Arial"/>
                <w:sz w:val="21"/>
              </w:rPr>
            </w:pPr>
          </w:p>
        </w:tc>
        <w:tc>
          <w:tcPr>
            <w:tcW w:w="1360" w:type="dxa"/>
            <w:vAlign w:val="top"/>
          </w:tcPr>
          <w:p w14:paraId="02C08890">
            <w:pPr>
              <w:spacing w:line="263" w:lineRule="auto"/>
              <w:rPr>
                <w:rFonts w:ascii="Arial"/>
                <w:sz w:val="21"/>
              </w:rPr>
            </w:pPr>
          </w:p>
          <w:p w14:paraId="659EE315">
            <w:pPr>
              <w:pStyle w:val="7"/>
              <w:spacing w:before="78" w:line="217" w:lineRule="auto"/>
              <w:ind w:left="607"/>
            </w:pPr>
            <w:r>
              <w:t>台</w:t>
            </w:r>
          </w:p>
        </w:tc>
        <w:tc>
          <w:tcPr>
            <w:tcW w:w="1698" w:type="dxa"/>
            <w:vAlign w:val="top"/>
          </w:tcPr>
          <w:p w14:paraId="4FEA0DDE">
            <w:pPr>
              <w:pStyle w:val="7"/>
              <w:spacing w:before="112" w:line="359" w:lineRule="auto"/>
              <w:ind w:left="543" w:right="59" w:hanging="441"/>
            </w:pPr>
            <w:r>
              <w:rPr>
                <w:spacing w:val="-22"/>
              </w:rPr>
              <w:t>满足现场勾点施</w:t>
            </w:r>
            <w:r>
              <w:rPr>
                <w:spacing w:val="-15"/>
              </w:rPr>
              <w:t>工需要</w:t>
            </w:r>
          </w:p>
        </w:tc>
        <w:tc>
          <w:tcPr>
            <w:tcW w:w="1488" w:type="dxa"/>
            <w:tcBorders>
              <w:right w:val="single" w:color="000000" w:sz="4" w:space="0"/>
            </w:tcBorders>
            <w:vAlign w:val="top"/>
          </w:tcPr>
          <w:p w14:paraId="50F9E94C">
            <w:pPr>
              <w:rPr>
                <w:rFonts w:ascii="Arial"/>
                <w:sz w:val="21"/>
              </w:rPr>
            </w:pPr>
          </w:p>
        </w:tc>
      </w:tr>
      <w:tr w14:paraId="1CE3C8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5" w:hRule="atLeast"/>
        </w:trPr>
        <w:tc>
          <w:tcPr>
            <w:tcW w:w="250" w:type="dxa"/>
            <w:tcBorders>
              <w:left w:val="single" w:color="1C456A" w:sz="4" w:space="0"/>
              <w:bottom w:val="single" w:color="1C456A" w:sz="4" w:space="0"/>
              <w:right w:val="nil"/>
            </w:tcBorders>
            <w:vAlign w:val="top"/>
          </w:tcPr>
          <w:p w14:paraId="1B33BA60">
            <w:pPr>
              <w:rPr>
                <w:rFonts w:ascii="Arial"/>
                <w:sz w:val="21"/>
              </w:rPr>
            </w:pPr>
            <w:r>
              <w:pict>
                <v:shape id="_x0000_s3909" o:spid="_x0000_s3909" style="position:absolute;left:0pt;margin-left:-0.25pt;margin-top:54.8pt;height:0.75pt;width:2.2pt;mso-position-horizontal-relative:page;mso-position-vertical-relative:page;z-index:252273664;mso-width-relative:page;mso-height-relative:page;" fillcolor="#5B9BD5" filled="t" stroked="f" coordsize="44,15" path="m0,14l43,14,43,0,0,0,0,14xe">
                  <v:path/>
                  <v:fill on="t" focussize="0,0"/>
                  <v:stroke on="f"/>
                  <v:imagedata o:title=""/>
                  <o:lock v:ext="edit"/>
                </v:shape>
              </w:pict>
            </w:r>
          </w:p>
        </w:tc>
        <w:tc>
          <w:tcPr>
            <w:tcW w:w="735" w:type="dxa"/>
            <w:tcBorders>
              <w:left w:val="nil"/>
              <w:bottom w:val="single" w:color="1C456A" w:sz="4" w:space="0"/>
            </w:tcBorders>
            <w:vAlign w:val="top"/>
          </w:tcPr>
          <w:p w14:paraId="389F24DC">
            <w:pPr>
              <w:spacing w:line="260" w:lineRule="auto"/>
              <w:rPr>
                <w:rFonts w:ascii="Arial"/>
                <w:sz w:val="21"/>
              </w:rPr>
            </w:pPr>
          </w:p>
          <w:p w14:paraId="356327AF">
            <w:pPr>
              <w:pStyle w:val="7"/>
              <w:spacing w:before="78" w:line="237" w:lineRule="auto"/>
              <w:ind w:left="201"/>
            </w:pPr>
            <w:r>
              <w:t>6</w:t>
            </w:r>
          </w:p>
        </w:tc>
        <w:tc>
          <w:tcPr>
            <w:tcW w:w="1601" w:type="dxa"/>
            <w:tcBorders>
              <w:bottom w:val="single" w:color="000000" w:sz="4" w:space="0"/>
            </w:tcBorders>
            <w:vAlign w:val="top"/>
          </w:tcPr>
          <w:p w14:paraId="5D1C1E2A">
            <w:pPr>
              <w:spacing w:line="260" w:lineRule="auto"/>
              <w:rPr>
                <w:rFonts w:ascii="Arial"/>
                <w:sz w:val="21"/>
              </w:rPr>
            </w:pPr>
          </w:p>
          <w:p w14:paraId="5C6BC6AA">
            <w:pPr>
              <w:pStyle w:val="7"/>
              <w:spacing w:before="78" w:line="215" w:lineRule="auto"/>
              <w:ind w:left="485"/>
            </w:pPr>
            <w:r>
              <w:rPr>
                <w:spacing w:val="-15"/>
              </w:rPr>
              <w:t>工程车</w:t>
            </w:r>
          </w:p>
        </w:tc>
        <w:tc>
          <w:tcPr>
            <w:tcW w:w="1422" w:type="dxa"/>
            <w:tcBorders>
              <w:bottom w:val="single" w:color="000000" w:sz="4" w:space="0"/>
            </w:tcBorders>
            <w:vAlign w:val="top"/>
          </w:tcPr>
          <w:p w14:paraId="2D995E17">
            <w:pPr>
              <w:rPr>
                <w:rFonts w:ascii="Arial"/>
                <w:sz w:val="21"/>
              </w:rPr>
            </w:pPr>
          </w:p>
        </w:tc>
        <w:tc>
          <w:tcPr>
            <w:tcW w:w="1360" w:type="dxa"/>
            <w:tcBorders>
              <w:bottom w:val="single" w:color="000000" w:sz="4" w:space="0"/>
            </w:tcBorders>
            <w:vAlign w:val="top"/>
          </w:tcPr>
          <w:p w14:paraId="58CF7EB5">
            <w:pPr>
              <w:spacing w:line="260" w:lineRule="auto"/>
              <w:rPr>
                <w:rFonts w:ascii="Arial"/>
                <w:sz w:val="21"/>
              </w:rPr>
            </w:pPr>
          </w:p>
          <w:p w14:paraId="603FBF56">
            <w:pPr>
              <w:pStyle w:val="7"/>
              <w:spacing w:before="78" w:line="217" w:lineRule="auto"/>
              <w:ind w:left="607"/>
            </w:pPr>
            <w:r>
              <w:t>台</w:t>
            </w:r>
          </w:p>
        </w:tc>
        <w:tc>
          <w:tcPr>
            <w:tcW w:w="1698" w:type="dxa"/>
            <w:tcBorders>
              <w:bottom w:val="single" w:color="000000" w:sz="4" w:space="0"/>
            </w:tcBorders>
            <w:vAlign w:val="top"/>
          </w:tcPr>
          <w:p w14:paraId="3F640FDE">
            <w:pPr>
              <w:pStyle w:val="7"/>
              <w:spacing w:before="106" w:line="360" w:lineRule="auto"/>
              <w:ind w:left="543" w:right="59" w:hanging="441"/>
            </w:pPr>
            <w:r>
              <w:rPr>
                <w:spacing w:val="-22"/>
              </w:rPr>
              <w:t>满足现场勾点施</w:t>
            </w:r>
            <w:r>
              <w:rPr>
                <w:spacing w:val="-15"/>
              </w:rPr>
              <w:t>工需要</w:t>
            </w:r>
          </w:p>
        </w:tc>
        <w:tc>
          <w:tcPr>
            <w:tcW w:w="1488" w:type="dxa"/>
            <w:tcBorders>
              <w:bottom w:val="single" w:color="5B9BD5" w:sz="4" w:space="0"/>
              <w:right w:val="single" w:color="5B9BD5" w:sz="4" w:space="0"/>
            </w:tcBorders>
            <w:vAlign w:val="top"/>
          </w:tcPr>
          <w:p w14:paraId="3DE28BCF">
            <w:pPr>
              <w:rPr>
                <w:rFonts w:ascii="Arial"/>
                <w:sz w:val="21"/>
              </w:rPr>
            </w:pPr>
            <w:r>
              <w:pict>
                <v:shape id="_x0000_s3910" o:spid="_x0000_s3910" style="position:absolute;left:0pt;margin-left:72.55pt;margin-top:54.8pt;height:0.75pt;width:2.2pt;mso-position-horizontal-relative:page;mso-position-vertical-relative:page;z-index:252272640;mso-width-relative:page;mso-height-relative:page;" fillcolor="#5B9BD5" filled="t" stroked="f" coordsize="44,15" path="m0,14l43,14,43,0,0,0,0,14xe">
                  <v:path/>
                  <v:fill on="t" focussize="0,0"/>
                  <v:stroke on="f"/>
                  <v:imagedata o:title=""/>
                  <o:lock v:ext="edit"/>
                </v:shape>
              </w:pict>
            </w:r>
          </w:p>
        </w:tc>
      </w:tr>
    </w:tbl>
    <w:p w14:paraId="6F47F10C">
      <w:pPr>
        <w:pStyle w:val="2"/>
        <w:spacing w:before="115" w:line="218" w:lineRule="auto"/>
        <w:ind w:left="1888"/>
        <w:rPr>
          <w:sz w:val="24"/>
          <w:szCs w:val="24"/>
        </w:rPr>
      </w:pPr>
      <w:r>
        <w:rPr>
          <w:spacing w:val="-15"/>
          <w:sz w:val="24"/>
          <w:szCs w:val="24"/>
        </w:rPr>
        <w:t>2.3施工工序：</w:t>
      </w:r>
    </w:p>
    <w:p w14:paraId="391B8591">
      <w:pPr>
        <w:pStyle w:val="2"/>
        <w:spacing w:before="116" w:line="261" w:lineRule="auto"/>
        <w:ind w:left="1453" w:right="1409" w:firstLine="434"/>
        <w:rPr>
          <w:sz w:val="24"/>
          <w:szCs w:val="24"/>
        </w:rPr>
      </w:pPr>
      <w:r>
        <w:rPr>
          <w:spacing w:val="-21"/>
          <w:sz w:val="24"/>
          <w:szCs w:val="24"/>
        </w:rPr>
        <w:t>2.3.1开孔排水：在关闭主控阀后，安排2名技术工人在计划截断原管处分别采用气割开孔</w:t>
      </w:r>
      <w:r>
        <w:rPr>
          <w:spacing w:val="-20"/>
          <w:sz w:val="24"/>
          <w:szCs w:val="24"/>
        </w:rPr>
        <w:t>排水，并安排2名工人在接水工作坑下挖集水坑，用水泵将水抽到附近排水管内。</w:t>
      </w:r>
    </w:p>
    <w:p w14:paraId="2439FF2A">
      <w:pPr>
        <w:pStyle w:val="2"/>
        <w:spacing w:before="122" w:line="262" w:lineRule="auto"/>
        <w:ind w:left="1456" w:right="1318" w:firstLine="432"/>
        <w:rPr>
          <w:sz w:val="24"/>
          <w:szCs w:val="24"/>
        </w:rPr>
      </w:pPr>
      <w:r>
        <w:rPr>
          <w:spacing w:val="-24"/>
          <w:sz w:val="24"/>
          <w:szCs w:val="24"/>
        </w:rPr>
        <w:t>2.3.2截断原管：待管内排水量较小后，再安排2名技术工人采用气割设备（等离子切割机）</w:t>
      </w:r>
      <w:r>
        <w:rPr>
          <w:spacing w:val="-21"/>
          <w:sz w:val="24"/>
          <w:szCs w:val="24"/>
        </w:rPr>
        <w:t>截断原供水管道，截断长度根据现场情况决定；</w:t>
      </w:r>
    </w:p>
    <w:p w14:paraId="102D9DDF">
      <w:pPr>
        <w:pStyle w:val="2"/>
        <w:spacing w:before="117" w:line="215" w:lineRule="auto"/>
        <w:ind w:left="1888"/>
        <w:rPr>
          <w:sz w:val="24"/>
          <w:szCs w:val="24"/>
        </w:rPr>
      </w:pPr>
      <w:r>
        <w:rPr>
          <w:spacing w:val="-21"/>
          <w:sz w:val="24"/>
          <w:szCs w:val="24"/>
        </w:rPr>
        <w:t>2.3.3吊离断管：然后由施工人员指挥用吊车司机将截断的原管吊到制定位置放置；</w:t>
      </w:r>
    </w:p>
    <w:p w14:paraId="3E7F3AB8">
      <w:pPr>
        <w:pStyle w:val="2"/>
        <w:spacing w:before="121" w:line="215" w:lineRule="auto"/>
        <w:ind w:left="1888"/>
        <w:rPr>
          <w:sz w:val="24"/>
          <w:szCs w:val="24"/>
        </w:rPr>
      </w:pPr>
      <w:r>
        <w:rPr>
          <w:spacing w:val="-21"/>
          <w:sz w:val="24"/>
          <w:szCs w:val="24"/>
        </w:rPr>
        <w:t>2.3.4吊装配件：用吊车讲预先制作好的钢制配件吊至安装点并进行调整。</w:t>
      </w:r>
    </w:p>
    <w:p w14:paraId="578B51D2">
      <w:pPr>
        <w:pStyle w:val="2"/>
        <w:spacing w:before="121" w:line="218" w:lineRule="auto"/>
        <w:ind w:left="1888"/>
        <w:rPr>
          <w:sz w:val="24"/>
          <w:szCs w:val="24"/>
        </w:rPr>
      </w:pPr>
      <w:r>
        <w:rPr>
          <w:spacing w:val="-14"/>
          <w:sz w:val="24"/>
          <w:szCs w:val="24"/>
        </w:rPr>
        <w:t>2.3.5安装拼接</w:t>
      </w:r>
    </w:p>
    <w:p w14:paraId="622CC641">
      <w:pPr>
        <w:pStyle w:val="2"/>
        <w:spacing w:before="115" w:line="262" w:lineRule="auto"/>
        <w:ind w:left="1463" w:right="1409" w:firstLine="429"/>
        <w:rPr>
          <w:sz w:val="24"/>
          <w:szCs w:val="24"/>
        </w:rPr>
      </w:pPr>
      <w:r>
        <w:rPr>
          <w:spacing w:val="-21"/>
          <w:sz w:val="24"/>
          <w:szCs w:val="24"/>
        </w:rPr>
        <w:t>（1）安排1名建筑电工开启发电机及接电，2名焊工在配件与新装DN1400管一侧焊接钢制</w:t>
      </w:r>
      <w:r>
        <w:rPr>
          <w:spacing w:val="-22"/>
          <w:sz w:val="24"/>
          <w:szCs w:val="24"/>
        </w:rPr>
        <w:t>法兰，另安排若干名焊工轮班顶替及配合技术工作；</w:t>
      </w:r>
    </w:p>
    <w:p w14:paraId="106E3897">
      <w:pPr>
        <w:pStyle w:val="2"/>
        <w:spacing w:before="122" w:line="215" w:lineRule="auto"/>
        <w:ind w:left="1893"/>
        <w:rPr>
          <w:sz w:val="24"/>
          <w:szCs w:val="24"/>
        </w:rPr>
      </w:pPr>
      <w:r>
        <w:rPr>
          <w:spacing w:val="-21"/>
          <w:sz w:val="24"/>
          <w:szCs w:val="24"/>
        </w:rPr>
        <w:t>（2）法兰校对：在法兰连接一侧穿螺栓，调整配件角度；</w:t>
      </w:r>
    </w:p>
    <w:p w14:paraId="1479CA6F">
      <w:pPr>
        <w:pStyle w:val="2"/>
        <w:spacing w:before="118" w:line="216" w:lineRule="auto"/>
        <w:ind w:left="1893"/>
        <w:rPr>
          <w:sz w:val="24"/>
          <w:szCs w:val="24"/>
        </w:rPr>
      </w:pPr>
      <w:r>
        <w:rPr>
          <w:spacing w:val="-21"/>
          <w:sz w:val="24"/>
          <w:szCs w:val="24"/>
        </w:rPr>
        <w:t>（3）安装螺栓：待配件角度符合要求后，安排操作工人将法兰的螺栓上紧；</w:t>
      </w:r>
    </w:p>
    <w:p w14:paraId="0959D947">
      <w:pPr>
        <w:pStyle w:val="2"/>
        <w:spacing w:before="120" w:line="262" w:lineRule="auto"/>
        <w:ind w:left="1463" w:right="1353" w:firstLine="430"/>
        <w:rPr>
          <w:sz w:val="24"/>
          <w:szCs w:val="24"/>
        </w:rPr>
      </w:pPr>
      <w:r>
        <w:rPr>
          <w:spacing w:val="-25"/>
          <w:sz w:val="24"/>
          <w:szCs w:val="24"/>
        </w:rPr>
        <w:t>（4）配件焊接：待配件一侧固定后，安排3名技术工人通过另一配件的调整进行修补对焊，</w:t>
      </w:r>
      <w:r>
        <w:rPr>
          <w:spacing w:val="-21"/>
          <w:sz w:val="24"/>
          <w:szCs w:val="24"/>
        </w:rPr>
        <w:t>另安排若干名焊工轮班顶替及配合技术工作；</w:t>
      </w:r>
    </w:p>
    <w:p w14:paraId="368CEEEF">
      <w:pPr>
        <w:pStyle w:val="2"/>
        <w:spacing w:before="117" w:line="262" w:lineRule="auto"/>
        <w:ind w:left="1456" w:right="1412" w:firstLine="436"/>
        <w:rPr>
          <w:sz w:val="24"/>
          <w:szCs w:val="24"/>
        </w:rPr>
      </w:pPr>
      <w:r>
        <w:rPr>
          <w:spacing w:val="-21"/>
          <w:sz w:val="24"/>
          <w:szCs w:val="24"/>
        </w:rPr>
        <w:t>（5）开天窗：对接完成后，安排2名技术工人在原管连接及配件对接处开天窗进行管道内侧焊缝的焊接，完成后再将天窗按原样补焊。</w:t>
      </w:r>
    </w:p>
    <w:p w14:paraId="3AB7CC8A">
      <w:pPr>
        <w:spacing w:line="262" w:lineRule="auto"/>
        <w:rPr>
          <w:sz w:val="24"/>
          <w:szCs w:val="24"/>
        </w:rPr>
        <w:sectPr>
          <w:footerReference r:id="rId332" w:type="default"/>
          <w:pgSz w:w="11907" w:h="16839"/>
          <w:pgMar w:top="933" w:right="4" w:bottom="1038" w:left="0" w:header="478" w:footer="357" w:gutter="0"/>
          <w:pgBorders>
            <w:top w:val="none" w:sz="0" w:space="0"/>
            <w:left w:val="none" w:sz="0" w:space="0"/>
            <w:bottom w:val="none" w:sz="0" w:space="0"/>
            <w:right w:val="none" w:sz="0" w:space="0"/>
          </w:pgBorders>
          <w:cols w:space="720" w:num="1"/>
        </w:sectPr>
      </w:pPr>
    </w:p>
    <w:p w14:paraId="7576A0A2">
      <w:pPr>
        <w:spacing w:line="271" w:lineRule="auto"/>
        <w:rPr>
          <w:rFonts w:ascii="Arial"/>
          <w:sz w:val="21"/>
        </w:rPr>
      </w:pPr>
    </w:p>
    <w:p w14:paraId="4BAD2C76">
      <w:pPr>
        <w:pStyle w:val="2"/>
        <w:spacing w:before="78" w:line="217" w:lineRule="auto"/>
        <w:ind w:left="1890"/>
        <w:rPr>
          <w:sz w:val="24"/>
          <w:szCs w:val="24"/>
        </w:rPr>
      </w:pPr>
      <w:r>
        <w:rPr>
          <w:spacing w:val="-18"/>
          <w:sz w:val="24"/>
          <w:szCs w:val="24"/>
        </w:rPr>
        <w:t>3、应急保障措施：</w:t>
      </w:r>
    </w:p>
    <w:p w14:paraId="0E230E25">
      <w:pPr>
        <w:pStyle w:val="2"/>
        <w:spacing w:before="119" w:line="262" w:lineRule="auto"/>
        <w:ind w:left="1455" w:right="1409" w:firstLine="437"/>
        <w:rPr>
          <w:sz w:val="24"/>
          <w:szCs w:val="24"/>
        </w:rPr>
      </w:pPr>
      <w:r>
        <w:rPr>
          <w:spacing w:val="-21"/>
          <w:sz w:val="24"/>
          <w:szCs w:val="24"/>
        </w:rPr>
        <w:t>（1）及时与</w:t>
      </w:r>
      <w:r>
        <w:rPr>
          <w:rFonts w:hint="eastAsia"/>
          <w:spacing w:val="-21"/>
          <w:sz w:val="24"/>
          <w:szCs w:val="24"/>
          <w:lang w:eastAsia="zh-CN"/>
        </w:rPr>
        <w:t>某市水务集团</w:t>
      </w:r>
      <w:r>
        <w:rPr>
          <w:spacing w:val="-21"/>
          <w:sz w:val="24"/>
          <w:szCs w:val="24"/>
        </w:rPr>
        <w:t>沟通协调，提前24小时在各新闻媒体刊登停水通知，将具体停</w:t>
      </w:r>
      <w:r>
        <w:rPr>
          <w:spacing w:val="-22"/>
          <w:sz w:val="24"/>
          <w:szCs w:val="24"/>
        </w:rPr>
        <w:t>水时间、影响区域等信息明确告知广大用户。</w:t>
      </w:r>
    </w:p>
    <w:p w14:paraId="701ADE11">
      <w:pPr>
        <w:pStyle w:val="2"/>
        <w:spacing w:before="117" w:line="262" w:lineRule="auto"/>
        <w:ind w:left="1456" w:right="1411" w:firstLine="436"/>
        <w:rPr>
          <w:sz w:val="24"/>
          <w:szCs w:val="24"/>
        </w:rPr>
      </w:pPr>
      <w:r>
        <w:rPr>
          <w:spacing w:val="-22"/>
          <w:sz w:val="24"/>
          <w:szCs w:val="24"/>
        </w:rPr>
        <w:t>（2）根据停水改造期间所影响区域的实际状况和预估停水时间，及时安排应急</w:t>
      </w:r>
      <w:r>
        <w:rPr>
          <w:spacing w:val="-23"/>
          <w:sz w:val="24"/>
          <w:szCs w:val="24"/>
        </w:rPr>
        <w:t>送水车实施</w:t>
      </w:r>
      <w:r>
        <w:rPr>
          <w:spacing w:val="-21"/>
          <w:sz w:val="24"/>
          <w:szCs w:val="24"/>
        </w:rPr>
        <w:t>应急送水服务，并与消防部门联系适时增援消防车，配合实</w:t>
      </w:r>
      <w:r>
        <w:rPr>
          <w:spacing w:val="-22"/>
          <w:sz w:val="24"/>
          <w:szCs w:val="24"/>
        </w:rPr>
        <w:t>施应急送水服务。</w:t>
      </w:r>
    </w:p>
    <w:p w14:paraId="58BB4DC3">
      <w:pPr>
        <w:pStyle w:val="2"/>
        <w:spacing w:before="118" w:line="262" w:lineRule="auto"/>
        <w:ind w:left="1458" w:right="1413" w:firstLine="434"/>
        <w:rPr>
          <w:sz w:val="24"/>
          <w:szCs w:val="24"/>
        </w:rPr>
      </w:pPr>
      <w:r>
        <w:rPr>
          <w:spacing w:val="-22"/>
          <w:sz w:val="24"/>
          <w:szCs w:val="24"/>
        </w:rPr>
        <w:t>（3）停水关阀门关闭不严过水，过水量大于允许过水量导致无法施工时，项</w:t>
      </w:r>
      <w:r>
        <w:rPr>
          <w:spacing w:val="-23"/>
          <w:sz w:val="24"/>
          <w:szCs w:val="24"/>
        </w:rPr>
        <w:t>目经理及时通</w:t>
      </w:r>
      <w:r>
        <w:rPr>
          <w:spacing w:val="-21"/>
          <w:sz w:val="24"/>
          <w:szCs w:val="24"/>
        </w:rPr>
        <w:t>知</w:t>
      </w:r>
      <w:r>
        <w:rPr>
          <w:rFonts w:hint="eastAsia"/>
          <w:spacing w:val="-21"/>
          <w:sz w:val="24"/>
          <w:szCs w:val="24"/>
          <w:lang w:eastAsia="zh-CN"/>
        </w:rPr>
        <w:t>某市水务集团</w:t>
      </w:r>
      <w:r>
        <w:rPr>
          <w:spacing w:val="-21"/>
          <w:sz w:val="24"/>
          <w:szCs w:val="24"/>
        </w:rPr>
        <w:t>，根据现场实际情况制定应急处置措施</w:t>
      </w:r>
      <w:r>
        <w:rPr>
          <w:spacing w:val="-22"/>
          <w:sz w:val="24"/>
          <w:szCs w:val="24"/>
        </w:rPr>
        <w:t>并予以实施。</w:t>
      </w:r>
    </w:p>
    <w:p w14:paraId="18228F8D">
      <w:pPr>
        <w:pStyle w:val="2"/>
        <w:spacing w:before="118" w:line="262" w:lineRule="auto"/>
        <w:ind w:left="1460" w:right="1450" w:firstLine="432"/>
        <w:rPr>
          <w:sz w:val="24"/>
          <w:szCs w:val="24"/>
        </w:rPr>
      </w:pPr>
      <w:r>
        <w:rPr>
          <w:spacing w:val="-23"/>
          <w:sz w:val="24"/>
          <w:szCs w:val="24"/>
        </w:rPr>
        <w:t>（4）开阀通水后接头漏水：及时上报</w:t>
      </w:r>
      <w:r>
        <w:rPr>
          <w:rFonts w:hint="eastAsia"/>
          <w:spacing w:val="-23"/>
          <w:sz w:val="24"/>
          <w:szCs w:val="24"/>
          <w:lang w:eastAsia="zh-CN"/>
        </w:rPr>
        <w:t>某市水务集团</w:t>
      </w:r>
      <w:r>
        <w:rPr>
          <w:spacing w:val="-23"/>
          <w:sz w:val="24"/>
          <w:szCs w:val="24"/>
        </w:rPr>
        <w:t>，协调供水所人员到岗，随时应</w:t>
      </w:r>
      <w:r>
        <w:rPr>
          <w:spacing w:val="-24"/>
          <w:sz w:val="24"/>
          <w:szCs w:val="24"/>
        </w:rPr>
        <w:t>对阀门</w:t>
      </w:r>
      <w:r>
        <w:rPr>
          <w:spacing w:val="-21"/>
          <w:sz w:val="24"/>
          <w:szCs w:val="24"/>
        </w:rPr>
        <w:t>启闭过程中可能出现的各种情况，同时做好用户服</w:t>
      </w:r>
      <w:r>
        <w:rPr>
          <w:spacing w:val="-22"/>
          <w:sz w:val="24"/>
          <w:szCs w:val="24"/>
        </w:rPr>
        <w:t>务。</w:t>
      </w:r>
    </w:p>
    <w:p w14:paraId="58FF5043">
      <w:pPr>
        <w:pStyle w:val="2"/>
        <w:spacing w:before="120" w:line="218" w:lineRule="auto"/>
        <w:ind w:left="1893"/>
        <w:rPr>
          <w:sz w:val="24"/>
          <w:szCs w:val="24"/>
        </w:rPr>
      </w:pPr>
      <w:r>
        <w:rPr>
          <w:spacing w:val="-20"/>
          <w:sz w:val="24"/>
          <w:szCs w:val="24"/>
        </w:rPr>
        <w:t>（5）深基坑及沟槽坍塌事故应急处置措施</w:t>
      </w:r>
    </w:p>
    <w:p w14:paraId="582B2B7E">
      <w:pPr>
        <w:pStyle w:val="2"/>
        <w:spacing w:before="118" w:line="307" w:lineRule="auto"/>
        <w:ind w:left="1475" w:right="1409" w:firstLine="417"/>
        <w:rPr>
          <w:sz w:val="24"/>
          <w:szCs w:val="24"/>
        </w:rPr>
      </w:pPr>
      <w:r>
        <w:rPr>
          <w:spacing w:val="-20"/>
          <w:sz w:val="24"/>
          <w:szCs w:val="24"/>
        </w:rPr>
        <w:t>基坑及沟槽出现坍塌事故后，应首先检查判别深基坑或沟槽内有无施工人员，安排现场人</w:t>
      </w:r>
      <w:r>
        <w:rPr>
          <w:spacing w:val="-22"/>
          <w:sz w:val="24"/>
          <w:szCs w:val="24"/>
        </w:rPr>
        <w:t>员尽快撤离现场，同时安排对事故现场周围进行安全隔离和设警戒线；</w:t>
      </w:r>
    </w:p>
    <w:p w14:paraId="65F0D3A9">
      <w:pPr>
        <w:pStyle w:val="2"/>
        <w:spacing w:before="4" w:line="307" w:lineRule="auto"/>
        <w:ind w:left="1456" w:right="1409" w:firstLine="438"/>
        <w:rPr>
          <w:sz w:val="24"/>
          <w:szCs w:val="24"/>
        </w:rPr>
      </w:pPr>
      <w:r>
        <w:rPr>
          <w:spacing w:val="-20"/>
          <w:sz w:val="24"/>
          <w:szCs w:val="24"/>
        </w:rPr>
        <w:t>如果基坑或沟槽内有施工人员，应立即组织抢救，根据具体情况，采取人工和机械相结合的方法，对坍塌现场进行处理。抢救中如遇到坍塌巨物，人工搬运有困难时，可调集大型的吊车进行调运。在接近基坑或沟槽边坡处时，必须停止机械作业，全部改用人工扒物，防止误伤被埋人员。现场抢救中，还要安排专人对基坑或沟槽侧壁进行监测、清理和临时性加固，防止</w:t>
      </w:r>
      <w:r>
        <w:rPr>
          <w:spacing w:val="-17"/>
          <w:sz w:val="24"/>
          <w:szCs w:val="24"/>
        </w:rPr>
        <w:t>事故扩大。</w:t>
      </w:r>
    </w:p>
    <w:p w14:paraId="7A49047D">
      <w:pPr>
        <w:pStyle w:val="2"/>
        <w:spacing w:before="1" w:line="308" w:lineRule="auto"/>
        <w:ind w:left="1895" w:right="1532"/>
        <w:rPr>
          <w:sz w:val="24"/>
          <w:szCs w:val="24"/>
        </w:rPr>
      </w:pPr>
      <w:r>
        <w:rPr>
          <w:spacing w:val="-23"/>
          <w:sz w:val="24"/>
          <w:szCs w:val="24"/>
        </w:rPr>
        <w:t>在抢救的同时，根据事故级别分别向公司、</w:t>
      </w:r>
      <w:r>
        <w:rPr>
          <w:rFonts w:hint="eastAsia"/>
          <w:spacing w:val="-23"/>
          <w:sz w:val="24"/>
          <w:szCs w:val="24"/>
          <w:lang w:eastAsia="zh-CN"/>
        </w:rPr>
        <w:t>某市水务集团</w:t>
      </w:r>
      <w:r>
        <w:rPr>
          <w:spacing w:val="-23"/>
          <w:sz w:val="24"/>
          <w:szCs w:val="24"/>
        </w:rPr>
        <w:t>及各级安全生产管理部门进行报告。</w:t>
      </w:r>
      <w:r>
        <w:rPr>
          <w:spacing w:val="-22"/>
          <w:sz w:val="24"/>
          <w:szCs w:val="24"/>
        </w:rPr>
        <w:t>在抢救伤员的同时，及时拨打120急救电话。</w:t>
      </w:r>
    </w:p>
    <w:p w14:paraId="4B8A2BE7">
      <w:pPr>
        <w:pStyle w:val="2"/>
        <w:spacing w:before="1" w:line="307" w:lineRule="auto"/>
        <w:ind w:left="1460" w:right="1410" w:firstLine="434"/>
        <w:rPr>
          <w:sz w:val="24"/>
          <w:szCs w:val="24"/>
        </w:rPr>
      </w:pPr>
      <w:r>
        <w:rPr>
          <w:spacing w:val="-20"/>
          <w:sz w:val="24"/>
          <w:szCs w:val="24"/>
        </w:rPr>
        <w:t>在进行抢险的同时，安排人员同步做好事故调查取证工作，以利于事故处理，防止证据遗</w:t>
      </w:r>
      <w:r>
        <w:rPr>
          <w:spacing w:val="-19"/>
          <w:sz w:val="24"/>
          <w:szCs w:val="24"/>
        </w:rPr>
        <w:t>失。</w:t>
      </w:r>
    </w:p>
    <w:p w14:paraId="163E87DF">
      <w:pPr>
        <w:pStyle w:val="2"/>
        <w:spacing w:before="1" w:line="216" w:lineRule="auto"/>
        <w:ind w:left="1893"/>
        <w:rPr>
          <w:sz w:val="24"/>
          <w:szCs w:val="24"/>
        </w:rPr>
      </w:pPr>
      <w:r>
        <w:rPr>
          <w:spacing w:val="-20"/>
          <w:sz w:val="24"/>
          <w:szCs w:val="24"/>
        </w:rPr>
        <w:t>（6）高空坠落及物体打击应急处置措施</w:t>
      </w:r>
    </w:p>
    <w:p w14:paraId="12E0D4EF">
      <w:pPr>
        <w:pStyle w:val="2"/>
        <w:spacing w:before="119" w:line="307" w:lineRule="auto"/>
        <w:ind w:left="1457" w:right="1410" w:firstLine="443"/>
        <w:rPr>
          <w:sz w:val="24"/>
          <w:szCs w:val="24"/>
        </w:rPr>
      </w:pPr>
      <w:r>
        <w:rPr>
          <w:spacing w:val="-20"/>
          <w:sz w:val="24"/>
          <w:szCs w:val="24"/>
        </w:rPr>
        <w:t>高空坠落及物体打击发生后，发现人员应立即移走周围可能继续产生危险的坠落物、障碍</w:t>
      </w:r>
      <w:r>
        <w:rPr>
          <w:spacing w:val="-22"/>
          <w:sz w:val="24"/>
          <w:szCs w:val="24"/>
        </w:rPr>
        <w:t>物，做好现场安全警示维护，并及时报告。</w:t>
      </w:r>
    </w:p>
    <w:p w14:paraId="59B77358">
      <w:pPr>
        <w:pStyle w:val="2"/>
        <w:spacing w:before="1" w:line="217" w:lineRule="auto"/>
        <w:ind w:left="1895"/>
        <w:rPr>
          <w:sz w:val="24"/>
          <w:szCs w:val="24"/>
        </w:rPr>
      </w:pPr>
      <w:r>
        <w:rPr>
          <w:spacing w:val="-21"/>
          <w:sz w:val="24"/>
          <w:szCs w:val="24"/>
        </w:rPr>
        <w:t>抢救人员应对伤员进行识别，根据以下几种情况分别处理：</w:t>
      </w:r>
    </w:p>
    <w:p w14:paraId="5B2D786C">
      <w:pPr>
        <w:pStyle w:val="2"/>
        <w:spacing w:before="117" w:line="308" w:lineRule="auto"/>
        <w:ind w:left="1456" w:right="1414" w:firstLine="438"/>
        <w:rPr>
          <w:sz w:val="24"/>
          <w:szCs w:val="24"/>
        </w:rPr>
      </w:pPr>
      <w:r>
        <w:rPr>
          <w:spacing w:val="-21"/>
          <w:sz w:val="24"/>
          <w:szCs w:val="24"/>
        </w:rPr>
        <w:t>如发生人员昏迷、伤及内脏、骨折及大量失血等，立即拨打120急救电话</w:t>
      </w:r>
      <w:r>
        <w:rPr>
          <w:spacing w:val="-22"/>
          <w:sz w:val="24"/>
          <w:szCs w:val="24"/>
        </w:rPr>
        <w:t>，并说明伤情。</w:t>
      </w:r>
      <w:r>
        <w:rPr>
          <w:spacing w:val="-21"/>
          <w:sz w:val="24"/>
          <w:szCs w:val="24"/>
        </w:rPr>
        <w:t>对于外伤大出血，应现场采取止血措施。在120急救人员到来前不可急速移动摇</w:t>
      </w:r>
      <w:r>
        <w:rPr>
          <w:spacing w:val="-22"/>
          <w:sz w:val="24"/>
          <w:szCs w:val="24"/>
        </w:rPr>
        <w:t>动伤员身体，</w:t>
      </w:r>
      <w:r>
        <w:rPr>
          <w:spacing w:val="-20"/>
          <w:sz w:val="24"/>
          <w:szCs w:val="24"/>
        </w:rPr>
        <w:t>并注意对骨折人员在搬运时的保护，对昏迷、可能伤及脊椎、内脏或伤情不详者一律用担架或</w:t>
      </w:r>
      <w:r>
        <w:rPr>
          <w:spacing w:val="-21"/>
          <w:sz w:val="24"/>
          <w:szCs w:val="24"/>
        </w:rPr>
        <w:t>平板，禁止用搂、抱、背等方式运输伤员。</w:t>
      </w:r>
    </w:p>
    <w:p w14:paraId="2F988003">
      <w:pPr>
        <w:pStyle w:val="2"/>
        <w:spacing w:before="1" w:line="215" w:lineRule="auto"/>
        <w:ind w:left="1895"/>
        <w:rPr>
          <w:sz w:val="24"/>
          <w:szCs w:val="24"/>
        </w:rPr>
      </w:pPr>
      <w:r>
        <w:rPr>
          <w:spacing w:val="-21"/>
          <w:sz w:val="24"/>
          <w:szCs w:val="24"/>
        </w:rPr>
        <w:t>对一般性破皮伤情，及时送往医院检查，防止破伤风。</w:t>
      </w:r>
    </w:p>
    <w:p w14:paraId="306E804A">
      <w:pPr>
        <w:pStyle w:val="2"/>
        <w:spacing w:before="119" w:line="217" w:lineRule="auto"/>
        <w:ind w:left="1893"/>
        <w:rPr>
          <w:sz w:val="24"/>
          <w:szCs w:val="24"/>
        </w:rPr>
      </w:pPr>
      <w:r>
        <w:rPr>
          <w:spacing w:val="-20"/>
          <w:sz w:val="24"/>
          <w:szCs w:val="24"/>
        </w:rPr>
        <w:t>（7）机械伤害、起重伤害事故应急处置措施</w:t>
      </w:r>
    </w:p>
    <w:p w14:paraId="30240E32">
      <w:pPr>
        <w:pStyle w:val="2"/>
        <w:spacing w:before="119" w:line="307" w:lineRule="auto"/>
        <w:ind w:left="1458" w:right="1409" w:firstLine="441"/>
        <w:rPr>
          <w:sz w:val="24"/>
          <w:szCs w:val="24"/>
        </w:rPr>
      </w:pPr>
      <w:r>
        <w:rPr>
          <w:spacing w:val="-20"/>
          <w:sz w:val="24"/>
          <w:szCs w:val="24"/>
        </w:rPr>
        <w:t>发生机械或起重吊装事故后，应先切断机械电源，并将供油系统断开，初步对事故原因进</w:t>
      </w:r>
      <w:r>
        <w:rPr>
          <w:spacing w:val="-19"/>
          <w:sz w:val="24"/>
          <w:szCs w:val="24"/>
        </w:rPr>
        <w:t>行检查和判别。</w:t>
      </w:r>
    </w:p>
    <w:p w14:paraId="7E12E336">
      <w:pPr>
        <w:pStyle w:val="2"/>
        <w:spacing w:before="2" w:line="307" w:lineRule="auto"/>
        <w:ind w:left="1456" w:right="1338" w:firstLine="439"/>
        <w:rPr>
          <w:sz w:val="24"/>
          <w:szCs w:val="24"/>
        </w:rPr>
      </w:pPr>
      <w:r>
        <w:rPr>
          <w:spacing w:val="-20"/>
          <w:sz w:val="24"/>
          <w:szCs w:val="24"/>
        </w:rPr>
        <w:t>划出事故特定区域，进行安全隔离和设警戒线，非抢险人员不得进入特定区域。如果故障</w:t>
      </w:r>
      <w:r>
        <w:rPr>
          <w:spacing w:val="-23"/>
          <w:sz w:val="24"/>
          <w:szCs w:val="24"/>
        </w:rPr>
        <w:t>机械影响公共交通，要及时与交警部门联系，安排专人协助疏导交通，避免发</w:t>
      </w:r>
      <w:r>
        <w:rPr>
          <w:spacing w:val="-24"/>
          <w:sz w:val="24"/>
          <w:szCs w:val="24"/>
        </w:rPr>
        <w:t>生新的交通事故。</w:t>
      </w:r>
    </w:p>
    <w:p w14:paraId="6D61E9BE">
      <w:pPr>
        <w:pStyle w:val="2"/>
        <w:spacing w:before="1" w:line="215" w:lineRule="auto"/>
        <w:ind w:left="1893"/>
        <w:rPr>
          <w:sz w:val="24"/>
          <w:szCs w:val="24"/>
        </w:rPr>
      </w:pPr>
      <w:r>
        <w:rPr>
          <w:spacing w:val="-22"/>
          <w:sz w:val="24"/>
          <w:szCs w:val="24"/>
        </w:rPr>
        <w:t>调运车辆将故障机械运走，同时安排新的机械进场施工。</w:t>
      </w:r>
    </w:p>
    <w:p w14:paraId="3E1C152D">
      <w:pPr>
        <w:spacing w:line="215" w:lineRule="auto"/>
        <w:rPr>
          <w:sz w:val="24"/>
          <w:szCs w:val="24"/>
        </w:rPr>
        <w:sectPr>
          <w:footerReference r:id="rId333" w:type="default"/>
          <w:pgSz w:w="11907" w:h="16839"/>
          <w:pgMar w:top="933" w:right="4" w:bottom="1038" w:left="0" w:header="478" w:footer="357" w:gutter="0"/>
          <w:pgBorders>
            <w:top w:val="none" w:sz="0" w:space="0"/>
            <w:left w:val="none" w:sz="0" w:space="0"/>
            <w:bottom w:val="none" w:sz="0" w:space="0"/>
            <w:right w:val="none" w:sz="0" w:space="0"/>
          </w:pgBorders>
          <w:cols w:space="720" w:num="1"/>
        </w:sectPr>
      </w:pPr>
    </w:p>
    <w:p w14:paraId="3478D36C">
      <w:pPr>
        <w:spacing w:line="271" w:lineRule="auto"/>
        <w:rPr>
          <w:rFonts w:ascii="Arial"/>
          <w:sz w:val="21"/>
        </w:rPr>
      </w:pPr>
    </w:p>
    <w:p w14:paraId="1C0CF228">
      <w:pPr>
        <w:pStyle w:val="2"/>
        <w:spacing w:before="78" w:line="219" w:lineRule="auto"/>
        <w:ind w:left="1893"/>
        <w:rPr>
          <w:sz w:val="24"/>
          <w:szCs w:val="24"/>
        </w:rPr>
      </w:pPr>
      <w:r>
        <w:rPr>
          <w:spacing w:val="-19"/>
          <w:sz w:val="24"/>
          <w:szCs w:val="24"/>
        </w:rPr>
        <w:t>（8）触电事故应急处置措施</w:t>
      </w:r>
    </w:p>
    <w:p w14:paraId="4365D332">
      <w:pPr>
        <w:pStyle w:val="2"/>
        <w:spacing w:before="116" w:line="216" w:lineRule="auto"/>
        <w:ind w:left="1895"/>
        <w:rPr>
          <w:sz w:val="24"/>
          <w:szCs w:val="24"/>
        </w:rPr>
      </w:pPr>
      <w:r>
        <w:rPr>
          <w:spacing w:val="-21"/>
          <w:sz w:val="24"/>
          <w:szCs w:val="24"/>
        </w:rPr>
        <w:t>及时使触电人员脱离带电体，同时确保抢救人员首先自</w:t>
      </w:r>
      <w:r>
        <w:rPr>
          <w:spacing w:val="-22"/>
          <w:sz w:val="24"/>
          <w:szCs w:val="24"/>
        </w:rPr>
        <w:t>己不被伤害。</w:t>
      </w:r>
    </w:p>
    <w:p w14:paraId="0DD27D22">
      <w:pPr>
        <w:pStyle w:val="2"/>
        <w:spacing w:before="116" w:line="308" w:lineRule="auto"/>
        <w:ind w:left="1456" w:right="1344" w:firstLine="438"/>
        <w:rPr>
          <w:sz w:val="24"/>
          <w:szCs w:val="24"/>
        </w:rPr>
      </w:pPr>
      <w:r>
        <w:rPr>
          <w:spacing w:val="-23"/>
          <w:sz w:val="24"/>
          <w:szCs w:val="24"/>
        </w:rPr>
        <w:t>如附近有电源开关，应首先采取切断电源的方法</w:t>
      </w:r>
      <w:r>
        <w:rPr>
          <w:spacing w:val="-24"/>
          <w:sz w:val="24"/>
          <w:szCs w:val="24"/>
        </w:rPr>
        <w:t>；如附近无电源开关，应寻找干燥的方木、</w:t>
      </w:r>
      <w:r>
        <w:rPr>
          <w:spacing w:val="-20"/>
          <w:sz w:val="24"/>
          <w:szCs w:val="24"/>
        </w:rPr>
        <w:t>木板等绝缘材料，挑开带电体；如果能迅速呼唤到周围的专业电工，则电工可利用本人的绝缘</w:t>
      </w:r>
      <w:r>
        <w:rPr>
          <w:spacing w:val="-22"/>
          <w:sz w:val="24"/>
          <w:szCs w:val="24"/>
        </w:rPr>
        <w:t>手套、绝缘鞋齐全的条件，迅速使触电者脱离带电部分。</w:t>
      </w:r>
    </w:p>
    <w:p w14:paraId="68086B47">
      <w:pPr>
        <w:pStyle w:val="2"/>
        <w:spacing w:before="2" w:line="307" w:lineRule="auto"/>
        <w:ind w:left="1454" w:right="1409" w:firstLine="451"/>
        <w:rPr>
          <w:sz w:val="24"/>
          <w:szCs w:val="24"/>
        </w:rPr>
      </w:pPr>
      <w:r>
        <w:rPr>
          <w:spacing w:val="-20"/>
          <w:sz w:val="24"/>
          <w:szCs w:val="24"/>
        </w:rPr>
        <w:t>急救：触电者摆脱带电体后，应立即就地对其进行急救，除非周围狭窄、潮湿，不具备抢</w:t>
      </w:r>
      <w:r>
        <w:rPr>
          <w:spacing w:val="-22"/>
          <w:sz w:val="24"/>
          <w:szCs w:val="24"/>
        </w:rPr>
        <w:t>救条件，可将其转移到其他地方。同时应拨打120电话。</w:t>
      </w:r>
    </w:p>
    <w:p w14:paraId="3B45D09C">
      <w:pPr>
        <w:pStyle w:val="2"/>
        <w:spacing w:before="1" w:line="215" w:lineRule="auto"/>
        <w:ind w:left="1906"/>
        <w:rPr>
          <w:sz w:val="24"/>
          <w:szCs w:val="24"/>
        </w:rPr>
      </w:pPr>
      <w:r>
        <w:rPr>
          <w:spacing w:val="-20"/>
          <w:sz w:val="24"/>
          <w:szCs w:val="24"/>
        </w:rPr>
        <w:t>急救步骤如下：</w:t>
      </w:r>
    </w:p>
    <w:p w14:paraId="753911D8">
      <w:pPr>
        <w:pStyle w:val="2"/>
        <w:spacing w:before="118" w:line="216" w:lineRule="auto"/>
        <w:ind w:left="1894"/>
        <w:rPr>
          <w:sz w:val="24"/>
          <w:szCs w:val="24"/>
        </w:rPr>
      </w:pPr>
      <w:r>
        <w:rPr>
          <w:spacing w:val="-21"/>
          <w:sz w:val="24"/>
          <w:szCs w:val="24"/>
        </w:rPr>
        <w:t>使触电者仰面平躺，检查有无呼吸和心跳；</w:t>
      </w:r>
    </w:p>
    <w:p w14:paraId="190B8C2A">
      <w:pPr>
        <w:pStyle w:val="2"/>
        <w:spacing w:before="120" w:line="217" w:lineRule="auto"/>
        <w:ind w:left="1895"/>
        <w:rPr>
          <w:sz w:val="24"/>
          <w:szCs w:val="24"/>
        </w:rPr>
      </w:pPr>
      <w:r>
        <w:rPr>
          <w:spacing w:val="-21"/>
          <w:sz w:val="24"/>
          <w:szCs w:val="24"/>
        </w:rPr>
        <w:t>如触电者呼吸短促或微弱，胸部无明显呼吸起伏，应立即对</w:t>
      </w:r>
      <w:r>
        <w:rPr>
          <w:spacing w:val="-22"/>
          <w:sz w:val="24"/>
          <w:szCs w:val="24"/>
        </w:rPr>
        <w:t>其进行口对口人工呼吸；</w:t>
      </w:r>
    </w:p>
    <w:p w14:paraId="79ECF420">
      <w:pPr>
        <w:pStyle w:val="2"/>
        <w:spacing w:before="119" w:line="307" w:lineRule="auto"/>
        <w:ind w:left="1450" w:right="1409" w:firstLine="444"/>
        <w:rPr>
          <w:sz w:val="24"/>
          <w:szCs w:val="24"/>
        </w:rPr>
      </w:pPr>
      <w:r>
        <w:rPr>
          <w:spacing w:val="-20"/>
          <w:sz w:val="24"/>
          <w:szCs w:val="24"/>
        </w:rPr>
        <w:t>如触电者脉搏微弱，应立即对其进行胸外心脏按压，在心脏部位不断按压、松开，频率为</w:t>
      </w:r>
      <w:r>
        <w:rPr>
          <w:spacing w:val="-19"/>
          <w:sz w:val="24"/>
          <w:szCs w:val="24"/>
        </w:rPr>
        <w:t>60次/分，帮助触电者心脏恢复跳动；</w:t>
      </w:r>
    </w:p>
    <w:p w14:paraId="7E7AFB0B">
      <w:pPr>
        <w:pStyle w:val="2"/>
        <w:spacing w:line="308" w:lineRule="auto"/>
        <w:ind w:left="1456" w:right="1354" w:firstLine="461"/>
        <w:jc w:val="both"/>
        <w:rPr>
          <w:sz w:val="24"/>
          <w:szCs w:val="24"/>
        </w:rPr>
      </w:pPr>
      <w:r>
        <w:rPr>
          <w:spacing w:val="-24"/>
          <w:sz w:val="24"/>
          <w:szCs w:val="24"/>
        </w:rPr>
        <w:t>因触电的不良影响，不是一下子表现出来的，因此，即使自我感</w:t>
      </w:r>
      <w:r>
        <w:rPr>
          <w:spacing w:val="-25"/>
          <w:sz w:val="24"/>
          <w:szCs w:val="24"/>
        </w:rPr>
        <w:t>觉良好，也不得继续工作，</w:t>
      </w:r>
      <w:r>
        <w:rPr>
          <w:spacing w:val="-21"/>
          <w:sz w:val="24"/>
          <w:szCs w:val="24"/>
        </w:rPr>
        <w:t>应平躺休息，同时保证周围的空气流通，待120急救人员到来，检查和决定是否需要</w:t>
      </w:r>
      <w:r>
        <w:rPr>
          <w:spacing w:val="-22"/>
          <w:sz w:val="24"/>
          <w:szCs w:val="24"/>
        </w:rPr>
        <w:t>进一步治</w:t>
      </w:r>
      <w:r>
        <w:rPr>
          <w:spacing w:val="-18"/>
          <w:sz w:val="24"/>
          <w:szCs w:val="24"/>
        </w:rPr>
        <w:t>疗。</w:t>
      </w:r>
    </w:p>
    <w:p w14:paraId="0B4A6C21">
      <w:pPr>
        <w:pStyle w:val="2"/>
        <w:spacing w:before="1" w:line="307" w:lineRule="auto"/>
        <w:ind w:left="1454" w:right="1410" w:firstLine="446"/>
        <w:rPr>
          <w:sz w:val="24"/>
          <w:szCs w:val="24"/>
        </w:rPr>
      </w:pPr>
      <w:r>
        <w:rPr>
          <w:spacing w:val="-20"/>
          <w:sz w:val="24"/>
          <w:szCs w:val="24"/>
        </w:rPr>
        <w:t>高空出现触电事故时，应立即截断电源，把伤人抬到附近平坦的地方，立即对伤人进行急</w:t>
      </w:r>
      <w:r>
        <w:rPr>
          <w:spacing w:val="-17"/>
          <w:sz w:val="24"/>
          <w:szCs w:val="24"/>
        </w:rPr>
        <w:t>救。</w:t>
      </w:r>
    </w:p>
    <w:p w14:paraId="70EB8A37">
      <w:pPr>
        <w:pStyle w:val="2"/>
        <w:spacing w:line="218" w:lineRule="auto"/>
        <w:ind w:left="1893"/>
        <w:rPr>
          <w:sz w:val="24"/>
          <w:szCs w:val="24"/>
        </w:rPr>
      </w:pPr>
      <w:r>
        <w:rPr>
          <w:spacing w:val="-20"/>
          <w:sz w:val="24"/>
          <w:szCs w:val="24"/>
        </w:rPr>
        <w:t>（9）中毒窒息事故应急处置措施</w:t>
      </w:r>
    </w:p>
    <w:p w14:paraId="407ABB75">
      <w:pPr>
        <w:pStyle w:val="2"/>
        <w:spacing w:before="117" w:line="308" w:lineRule="auto"/>
        <w:ind w:left="1487" w:right="1409" w:firstLine="407"/>
        <w:rPr>
          <w:sz w:val="24"/>
          <w:szCs w:val="24"/>
        </w:rPr>
      </w:pPr>
      <w:r>
        <w:rPr>
          <w:spacing w:val="-20"/>
          <w:sz w:val="24"/>
          <w:szCs w:val="24"/>
        </w:rPr>
        <w:t>在人工挖孔、管道内焊接、深基坑及管、沟、槽、窨井等密闭空间作业作业时，各种气体</w:t>
      </w:r>
      <w:r>
        <w:rPr>
          <w:spacing w:val="-22"/>
          <w:sz w:val="24"/>
          <w:szCs w:val="24"/>
        </w:rPr>
        <w:t>中毒都有窒息的可能，窒息一旦发生，伤员生命处于危急状态，必须争分夺秒地进</w:t>
      </w:r>
      <w:r>
        <w:rPr>
          <w:spacing w:val="-23"/>
          <w:sz w:val="24"/>
          <w:szCs w:val="24"/>
        </w:rPr>
        <w:t>行抢救。</w:t>
      </w:r>
    </w:p>
    <w:p w14:paraId="58B62DBA">
      <w:pPr>
        <w:pStyle w:val="2"/>
        <w:spacing w:line="308" w:lineRule="auto"/>
        <w:ind w:left="1466" w:right="1409" w:firstLine="428"/>
        <w:rPr>
          <w:sz w:val="24"/>
          <w:szCs w:val="24"/>
        </w:rPr>
      </w:pPr>
      <w:r>
        <w:rPr>
          <w:spacing w:val="-20"/>
          <w:sz w:val="24"/>
          <w:szCs w:val="24"/>
        </w:rPr>
        <w:t>对因中毒造成呼吸困难或停止呼吸者，必须迅速将伤员运送到空气新鲜的地方，给予氧气</w:t>
      </w:r>
      <w:r>
        <w:rPr>
          <w:spacing w:val="-21"/>
          <w:sz w:val="24"/>
          <w:szCs w:val="24"/>
        </w:rPr>
        <w:t>吸入，必要时做口对口的人工呼吸。</w:t>
      </w:r>
    </w:p>
    <w:p w14:paraId="535095AC">
      <w:pPr>
        <w:pStyle w:val="2"/>
        <w:spacing w:before="1" w:line="307" w:lineRule="auto"/>
        <w:ind w:left="1499" w:right="1410" w:firstLine="395"/>
        <w:rPr>
          <w:sz w:val="24"/>
          <w:szCs w:val="24"/>
        </w:rPr>
      </w:pPr>
      <w:r>
        <w:rPr>
          <w:spacing w:val="-20"/>
          <w:sz w:val="24"/>
          <w:szCs w:val="24"/>
        </w:rPr>
        <w:t>对昏迷的伤员，一定要取侧俯卧位，使口中的分泌物流出，防止舌后坠，同时把舌头拉出</w:t>
      </w:r>
      <w:r>
        <w:rPr>
          <w:spacing w:val="-30"/>
          <w:sz w:val="24"/>
          <w:szCs w:val="24"/>
        </w:rPr>
        <w:t>口外。</w:t>
      </w:r>
    </w:p>
    <w:p w14:paraId="060B1361">
      <w:pPr>
        <w:pStyle w:val="2"/>
        <w:spacing w:before="1" w:line="215" w:lineRule="auto"/>
        <w:ind w:left="1893"/>
        <w:rPr>
          <w:sz w:val="24"/>
          <w:szCs w:val="24"/>
        </w:rPr>
      </w:pPr>
      <w:r>
        <w:rPr>
          <w:spacing w:val="-21"/>
          <w:sz w:val="24"/>
          <w:szCs w:val="24"/>
        </w:rPr>
        <w:t>用棉被或毯子将中毒者身体覆盖保暖，有条件时在身旁放热</w:t>
      </w:r>
      <w:r>
        <w:rPr>
          <w:spacing w:val="-22"/>
          <w:sz w:val="24"/>
          <w:szCs w:val="24"/>
        </w:rPr>
        <w:t>水袋。</w:t>
      </w:r>
    </w:p>
    <w:p w14:paraId="0E719642">
      <w:pPr>
        <w:pStyle w:val="2"/>
        <w:spacing w:before="120" w:line="288" w:lineRule="auto"/>
        <w:ind w:left="1472" w:right="1356" w:firstLine="420"/>
        <w:rPr>
          <w:sz w:val="24"/>
          <w:szCs w:val="24"/>
        </w:rPr>
      </w:pPr>
      <w:r>
        <w:rPr>
          <w:spacing w:val="-23"/>
          <w:sz w:val="24"/>
          <w:szCs w:val="24"/>
        </w:rPr>
        <w:t>现场应急急救的同时，立即向上级报告和拨打</w:t>
      </w:r>
      <w:r>
        <w:rPr>
          <w:spacing w:val="-24"/>
          <w:sz w:val="24"/>
          <w:szCs w:val="24"/>
        </w:rPr>
        <w:t>120急救电话，说明伤情，并做好现场保护，</w:t>
      </w:r>
      <w:r>
        <w:rPr>
          <w:spacing w:val="-23"/>
          <w:sz w:val="24"/>
          <w:szCs w:val="24"/>
        </w:rPr>
        <w:t>防止事故进一步扩大或发生次生事故。</w:t>
      </w:r>
    </w:p>
    <w:p w14:paraId="7D70815B">
      <w:pPr>
        <w:pStyle w:val="2"/>
        <w:spacing w:before="1" w:line="216" w:lineRule="auto"/>
        <w:ind w:left="4310"/>
        <w:outlineLvl w:val="1"/>
        <w:rPr>
          <w:sz w:val="30"/>
          <w:szCs w:val="30"/>
        </w:rPr>
      </w:pPr>
      <w:bookmarkStart w:id="240" w:name="bookmark231"/>
      <w:bookmarkEnd w:id="240"/>
      <w:r>
        <w:rPr>
          <w:b/>
          <w:bCs/>
          <w:color w:val="0070C0"/>
          <w:spacing w:val="-24"/>
          <w:sz w:val="30"/>
          <w:szCs w:val="30"/>
        </w:rPr>
        <w:t>第五节、工期实现保证措施</w:t>
      </w:r>
    </w:p>
    <w:p w14:paraId="433374CD">
      <w:pPr>
        <w:pStyle w:val="2"/>
        <w:spacing w:before="65" w:line="218" w:lineRule="auto"/>
        <w:ind w:left="1981"/>
        <w:outlineLvl w:val="2"/>
        <w:rPr>
          <w:sz w:val="28"/>
          <w:szCs w:val="28"/>
        </w:rPr>
      </w:pPr>
      <w:bookmarkStart w:id="241" w:name="bookmark232"/>
      <w:bookmarkEnd w:id="241"/>
      <w:r>
        <w:rPr>
          <w:b/>
          <w:bCs/>
          <w:spacing w:val="-21"/>
          <w:sz w:val="28"/>
          <w:szCs w:val="28"/>
        </w:rPr>
        <w:t>一、重难点分析</w:t>
      </w:r>
    </w:p>
    <w:p w14:paraId="7988AFD6">
      <w:pPr>
        <w:pStyle w:val="2"/>
        <w:spacing w:before="103" w:line="295" w:lineRule="auto"/>
        <w:ind w:left="1455" w:right="1410" w:firstLine="438"/>
        <w:rPr>
          <w:sz w:val="24"/>
          <w:szCs w:val="24"/>
        </w:rPr>
      </w:pPr>
      <w:r>
        <w:rPr>
          <w:spacing w:val="-21"/>
          <w:sz w:val="24"/>
          <w:szCs w:val="24"/>
        </w:rPr>
        <w:t>本项目新建供水管道约20公里，占线长、作业点分散，施工单位在施工组织设计中提供保证工期的措施，确定节点目标，确保按期完工，故保证工期</w:t>
      </w:r>
      <w:r>
        <w:rPr>
          <w:spacing w:val="-22"/>
          <w:sz w:val="24"/>
          <w:szCs w:val="24"/>
        </w:rPr>
        <w:t>的实现作为本工程的重难点。</w:t>
      </w:r>
    </w:p>
    <w:p w14:paraId="3E5E540C">
      <w:pPr>
        <w:pStyle w:val="2"/>
        <w:spacing w:line="217" w:lineRule="auto"/>
        <w:ind w:left="1986"/>
        <w:outlineLvl w:val="2"/>
        <w:rPr>
          <w:sz w:val="28"/>
          <w:szCs w:val="28"/>
        </w:rPr>
      </w:pPr>
      <w:bookmarkStart w:id="242" w:name="bookmark233"/>
      <w:bookmarkEnd w:id="242"/>
      <w:r>
        <w:rPr>
          <w:b/>
          <w:bCs/>
          <w:spacing w:val="-22"/>
          <w:sz w:val="28"/>
          <w:szCs w:val="28"/>
        </w:rPr>
        <w:t>二、对应保证措施</w:t>
      </w:r>
    </w:p>
    <w:p w14:paraId="1A328A8F">
      <w:pPr>
        <w:pStyle w:val="2"/>
        <w:spacing w:before="104" w:line="218" w:lineRule="auto"/>
        <w:ind w:left="1888"/>
        <w:rPr>
          <w:sz w:val="24"/>
          <w:szCs w:val="24"/>
        </w:rPr>
      </w:pPr>
      <w:r>
        <w:rPr>
          <w:spacing w:val="-6"/>
          <w:sz w:val="24"/>
          <w:szCs w:val="24"/>
        </w:rPr>
        <w:t>2.1工期目标</w:t>
      </w:r>
    </w:p>
    <w:p w14:paraId="344BD4C8">
      <w:pPr>
        <w:pStyle w:val="2"/>
        <w:spacing w:before="118" w:line="215" w:lineRule="auto"/>
        <w:ind w:left="1894"/>
        <w:rPr>
          <w:sz w:val="24"/>
          <w:szCs w:val="24"/>
        </w:rPr>
      </w:pPr>
      <w:r>
        <w:rPr>
          <w:spacing w:val="-21"/>
          <w:sz w:val="24"/>
          <w:szCs w:val="24"/>
        </w:rPr>
        <w:t>本工程拟在接到具体开工日期内完成本合同范围内的全</w:t>
      </w:r>
      <w:r>
        <w:rPr>
          <w:spacing w:val="-22"/>
          <w:sz w:val="24"/>
          <w:szCs w:val="24"/>
        </w:rPr>
        <w:t>部工作内容，并清场扫尾完毕。</w:t>
      </w:r>
    </w:p>
    <w:p w14:paraId="07FF0147">
      <w:pPr>
        <w:pStyle w:val="2"/>
        <w:spacing w:before="120" w:line="307" w:lineRule="auto"/>
        <w:ind w:left="1457" w:right="1410" w:firstLine="444"/>
        <w:rPr>
          <w:sz w:val="24"/>
          <w:szCs w:val="24"/>
        </w:rPr>
      </w:pPr>
      <w:r>
        <w:rPr>
          <w:spacing w:val="-20"/>
          <w:sz w:val="24"/>
          <w:szCs w:val="24"/>
        </w:rPr>
        <w:t>我公司将根据工程的实际情况，确定最佳施工程序和对施工方案按施工阶段和部位进行深化、细化，力争尽早插入施工，做好现场协调工作，保证本工程顺利完成。为此目标将制定切</w:t>
      </w:r>
    </w:p>
    <w:p w14:paraId="07EA9CD0">
      <w:pPr>
        <w:spacing w:line="307" w:lineRule="auto"/>
        <w:rPr>
          <w:sz w:val="24"/>
          <w:szCs w:val="24"/>
        </w:rPr>
        <w:sectPr>
          <w:footerReference r:id="rId334" w:type="default"/>
          <w:pgSz w:w="11907" w:h="16839"/>
          <w:pgMar w:top="933" w:right="4" w:bottom="1038" w:left="0" w:header="478" w:footer="357" w:gutter="0"/>
          <w:pgBorders>
            <w:top w:val="none" w:sz="0" w:space="0"/>
            <w:left w:val="none" w:sz="0" w:space="0"/>
            <w:bottom w:val="none" w:sz="0" w:space="0"/>
            <w:right w:val="none" w:sz="0" w:space="0"/>
          </w:pgBorders>
          <w:cols w:space="720" w:num="1"/>
        </w:sectPr>
      </w:pPr>
    </w:p>
    <w:p w14:paraId="5F24BAF9">
      <w:pPr>
        <w:spacing w:line="271" w:lineRule="auto"/>
        <w:rPr>
          <w:rFonts w:ascii="Arial"/>
          <w:sz w:val="21"/>
        </w:rPr>
      </w:pPr>
    </w:p>
    <w:p w14:paraId="4E9EAE8C">
      <w:pPr>
        <w:pStyle w:val="2"/>
        <w:spacing w:before="78" w:line="216" w:lineRule="auto"/>
        <w:ind w:left="1461"/>
        <w:rPr>
          <w:sz w:val="24"/>
          <w:szCs w:val="24"/>
        </w:rPr>
      </w:pPr>
      <w:r>
        <w:rPr>
          <w:spacing w:val="-21"/>
          <w:sz w:val="24"/>
          <w:szCs w:val="24"/>
        </w:rPr>
        <w:t>实可行的保证措施。并以此目标来组织劳动力</w:t>
      </w:r>
      <w:r>
        <w:rPr>
          <w:spacing w:val="-22"/>
          <w:sz w:val="24"/>
          <w:szCs w:val="24"/>
        </w:rPr>
        <w:t>、机械、材料、资金等进行该工程施工。</w:t>
      </w:r>
    </w:p>
    <w:p w14:paraId="2CE35BF3">
      <w:pPr>
        <w:pStyle w:val="2"/>
        <w:spacing w:before="120" w:line="219" w:lineRule="auto"/>
        <w:ind w:left="1888"/>
        <w:rPr>
          <w:sz w:val="24"/>
          <w:szCs w:val="24"/>
        </w:rPr>
      </w:pPr>
      <w:r>
        <w:rPr>
          <w:spacing w:val="-15"/>
          <w:sz w:val="24"/>
          <w:szCs w:val="24"/>
        </w:rPr>
        <w:t>2.2工期承诺</w:t>
      </w:r>
    </w:p>
    <w:p w14:paraId="74091F3D">
      <w:pPr>
        <w:pStyle w:val="2"/>
        <w:spacing w:before="113" w:line="216" w:lineRule="auto"/>
        <w:ind w:left="1901"/>
        <w:rPr>
          <w:sz w:val="24"/>
          <w:szCs w:val="24"/>
        </w:rPr>
      </w:pPr>
      <w:r>
        <w:rPr>
          <w:spacing w:val="-20"/>
          <w:sz w:val="24"/>
          <w:szCs w:val="24"/>
        </w:rPr>
        <w:t>我单位郑重承诺如下：</w:t>
      </w:r>
    </w:p>
    <w:p w14:paraId="7663C38D">
      <w:pPr>
        <w:pStyle w:val="2"/>
        <w:spacing w:before="121" w:line="307" w:lineRule="auto"/>
        <w:ind w:left="1455" w:right="1410" w:firstLine="437"/>
        <w:rPr>
          <w:sz w:val="24"/>
          <w:szCs w:val="24"/>
        </w:rPr>
      </w:pPr>
      <w:r>
        <w:rPr>
          <w:spacing w:val="-20"/>
          <w:sz w:val="24"/>
          <w:szCs w:val="24"/>
        </w:rPr>
        <w:t>若我单位中标，将严格遵守合同，在合同规定工期内完成施工内容，在确保安全生产和保</w:t>
      </w:r>
      <w:r>
        <w:rPr>
          <w:spacing w:val="-21"/>
          <w:sz w:val="24"/>
          <w:szCs w:val="24"/>
        </w:rPr>
        <w:t>证工程质量的前提下，完成该项目工程施工。保证工程按期完</w:t>
      </w:r>
      <w:r>
        <w:rPr>
          <w:spacing w:val="-22"/>
          <w:sz w:val="24"/>
          <w:szCs w:val="24"/>
        </w:rPr>
        <w:t>成。</w:t>
      </w:r>
    </w:p>
    <w:p w14:paraId="4BB4AE94">
      <w:pPr>
        <w:pStyle w:val="2"/>
        <w:spacing w:line="216" w:lineRule="auto"/>
        <w:ind w:left="1888"/>
        <w:rPr>
          <w:sz w:val="24"/>
          <w:szCs w:val="24"/>
        </w:rPr>
      </w:pPr>
      <w:r>
        <w:rPr>
          <w:spacing w:val="-16"/>
          <w:sz w:val="24"/>
          <w:szCs w:val="24"/>
        </w:rPr>
        <w:t>2.3组织保证措施</w:t>
      </w:r>
    </w:p>
    <w:p w14:paraId="1E95E2DB">
      <w:pPr>
        <w:pStyle w:val="2"/>
        <w:spacing w:before="119" w:line="216" w:lineRule="auto"/>
        <w:ind w:left="1894"/>
        <w:rPr>
          <w:sz w:val="24"/>
          <w:szCs w:val="24"/>
        </w:rPr>
      </w:pPr>
      <w:r>
        <w:rPr>
          <w:spacing w:val="-21"/>
          <w:sz w:val="24"/>
          <w:szCs w:val="24"/>
        </w:rPr>
        <w:t>项目部应建立进度实施和保证机构，制定进度管理工作制度</w:t>
      </w:r>
      <w:r>
        <w:rPr>
          <w:spacing w:val="-22"/>
          <w:sz w:val="24"/>
          <w:szCs w:val="24"/>
        </w:rPr>
        <w:t>，并建立工期目标体系。</w:t>
      </w:r>
    </w:p>
    <w:p w14:paraId="34F2BBE8">
      <w:pPr>
        <w:pStyle w:val="2"/>
        <w:spacing w:before="120" w:line="217" w:lineRule="auto"/>
        <w:ind w:left="1890"/>
        <w:rPr>
          <w:sz w:val="24"/>
          <w:szCs w:val="24"/>
        </w:rPr>
      </w:pPr>
      <w:r>
        <w:rPr>
          <w:spacing w:val="-18"/>
          <w:sz w:val="24"/>
          <w:szCs w:val="24"/>
        </w:rPr>
        <w:t>3.1、进度实施和保证机构设置</w:t>
      </w:r>
    </w:p>
    <w:p w14:paraId="243CCA7D">
      <w:pPr>
        <w:pStyle w:val="2"/>
        <w:spacing w:before="115" w:line="309" w:lineRule="auto"/>
        <w:ind w:left="1457" w:right="1411" w:firstLine="435"/>
        <w:rPr>
          <w:sz w:val="24"/>
          <w:szCs w:val="24"/>
        </w:rPr>
      </w:pPr>
      <w:r>
        <w:rPr>
          <w:spacing w:val="-20"/>
          <w:sz w:val="24"/>
          <w:szCs w:val="24"/>
        </w:rPr>
        <w:t>建立以项目经理为首的施工进度协调小组，对工程项目施工进度进行监督和协调，及时控</w:t>
      </w:r>
      <w:r>
        <w:rPr>
          <w:spacing w:val="-21"/>
          <w:sz w:val="24"/>
          <w:szCs w:val="24"/>
        </w:rPr>
        <w:t>制和解决施工过程中的关键问题。</w:t>
      </w:r>
    </w:p>
    <w:p w14:paraId="03BD8964">
      <w:pPr>
        <w:pStyle w:val="2"/>
        <w:spacing w:before="1" w:line="215" w:lineRule="auto"/>
        <w:ind w:left="1895"/>
        <w:rPr>
          <w:sz w:val="24"/>
          <w:szCs w:val="24"/>
        </w:rPr>
      </w:pPr>
      <w:r>
        <w:rPr>
          <w:spacing w:val="-21"/>
          <w:sz w:val="24"/>
          <w:szCs w:val="24"/>
        </w:rPr>
        <w:t>在工程技术部设置专职调度员，负责生产调度，进行</w:t>
      </w:r>
      <w:r>
        <w:rPr>
          <w:spacing w:val="-22"/>
          <w:sz w:val="24"/>
          <w:szCs w:val="24"/>
        </w:rPr>
        <w:t>进度控制。</w:t>
      </w:r>
    </w:p>
    <w:p w14:paraId="087E815E">
      <w:pPr>
        <w:pStyle w:val="2"/>
        <w:spacing w:before="119" w:line="308" w:lineRule="auto"/>
        <w:ind w:left="1470" w:right="1409" w:firstLine="424"/>
        <w:rPr>
          <w:sz w:val="24"/>
          <w:szCs w:val="24"/>
        </w:rPr>
      </w:pPr>
      <w:r>
        <w:rPr>
          <w:spacing w:val="-20"/>
          <w:sz w:val="24"/>
          <w:szCs w:val="24"/>
        </w:rPr>
        <w:t>在施工基层组织，包括设备物资部、施工队和施工班组，设置兼职调度员，在专职调度员</w:t>
      </w:r>
      <w:r>
        <w:rPr>
          <w:spacing w:val="-21"/>
          <w:sz w:val="24"/>
          <w:szCs w:val="24"/>
        </w:rPr>
        <w:t>的统一领导下做好调度工作。</w:t>
      </w:r>
    </w:p>
    <w:p w14:paraId="0330A200">
      <w:pPr>
        <w:pStyle w:val="2"/>
        <w:spacing w:before="1" w:line="216" w:lineRule="auto"/>
        <w:ind w:left="1890"/>
        <w:rPr>
          <w:sz w:val="24"/>
          <w:szCs w:val="24"/>
        </w:rPr>
      </w:pPr>
      <w:r>
        <w:rPr>
          <w:spacing w:val="-19"/>
          <w:sz w:val="24"/>
          <w:szCs w:val="24"/>
        </w:rPr>
        <w:t>3.2、主要岗位和部门的工期保证职责</w:t>
      </w:r>
    </w:p>
    <w:p w14:paraId="770D58D6">
      <w:pPr>
        <w:pStyle w:val="2"/>
        <w:spacing w:before="117" w:line="308" w:lineRule="auto"/>
        <w:ind w:left="1458" w:right="1354" w:firstLine="435"/>
        <w:rPr>
          <w:sz w:val="24"/>
          <w:szCs w:val="24"/>
        </w:rPr>
      </w:pPr>
      <w:r>
        <w:rPr>
          <w:spacing w:val="-26"/>
          <w:sz w:val="24"/>
          <w:szCs w:val="24"/>
        </w:rPr>
        <w:t>项目经理:为工期保证的最终负责人，领导和协调项目部人员保证进度完成。审查进度计</w:t>
      </w:r>
      <w:r>
        <w:rPr>
          <w:spacing w:val="-27"/>
          <w:sz w:val="24"/>
          <w:szCs w:val="24"/>
        </w:rPr>
        <w:t>划，</w:t>
      </w:r>
      <w:r>
        <w:rPr>
          <w:spacing w:val="-21"/>
          <w:sz w:val="24"/>
          <w:szCs w:val="24"/>
        </w:rPr>
        <w:t>检查工程进度，解决施工过程的关键问题，并对人、财、</w:t>
      </w:r>
      <w:r>
        <w:rPr>
          <w:spacing w:val="-22"/>
          <w:sz w:val="24"/>
          <w:szCs w:val="24"/>
        </w:rPr>
        <w:t>物进行调度。</w:t>
      </w:r>
    </w:p>
    <w:p w14:paraId="2A4BC79B">
      <w:pPr>
        <w:pStyle w:val="2"/>
        <w:spacing w:before="1" w:line="307" w:lineRule="auto"/>
        <w:ind w:left="1469" w:right="1409" w:firstLine="422"/>
        <w:rPr>
          <w:sz w:val="24"/>
          <w:szCs w:val="24"/>
        </w:rPr>
      </w:pPr>
      <w:r>
        <w:rPr>
          <w:spacing w:val="-21"/>
          <w:sz w:val="24"/>
          <w:szCs w:val="24"/>
        </w:rPr>
        <w:t>施工经理(项目副经理):负责协助项目经理</w:t>
      </w:r>
      <w:r>
        <w:rPr>
          <w:spacing w:val="-22"/>
          <w:sz w:val="24"/>
          <w:szCs w:val="24"/>
        </w:rPr>
        <w:t>推进项目施工，具体领导和组织施工生产，并主</w:t>
      </w:r>
      <w:r>
        <w:rPr>
          <w:spacing w:val="-20"/>
          <w:sz w:val="24"/>
          <w:szCs w:val="24"/>
        </w:rPr>
        <w:t>管生产调度。</w:t>
      </w:r>
    </w:p>
    <w:p w14:paraId="77974AF5">
      <w:pPr>
        <w:pStyle w:val="2"/>
        <w:spacing w:before="2" w:line="307" w:lineRule="auto"/>
        <w:ind w:left="1470" w:right="1413" w:firstLine="425"/>
        <w:rPr>
          <w:sz w:val="24"/>
          <w:szCs w:val="24"/>
        </w:rPr>
      </w:pPr>
      <w:r>
        <w:rPr>
          <w:spacing w:val="-22"/>
          <w:sz w:val="24"/>
          <w:szCs w:val="24"/>
        </w:rPr>
        <w:t>专职调度员:在施工经理的领导下，进行生产调度，严格贯彻执行生产</w:t>
      </w:r>
      <w:r>
        <w:rPr>
          <w:spacing w:val="-23"/>
          <w:sz w:val="24"/>
          <w:szCs w:val="24"/>
        </w:rPr>
        <w:t>计划，组织合理均衡</w:t>
      </w:r>
      <w:r>
        <w:rPr>
          <w:spacing w:val="-22"/>
          <w:sz w:val="24"/>
          <w:szCs w:val="24"/>
        </w:rPr>
        <w:t>的施工，并负责细化进度，检查施工进展情况，督促作业计划的完成。</w:t>
      </w:r>
    </w:p>
    <w:p w14:paraId="56FCC4C5">
      <w:pPr>
        <w:pStyle w:val="2"/>
        <w:spacing w:before="2" w:line="307" w:lineRule="auto"/>
        <w:ind w:left="1456" w:right="1409" w:firstLine="442"/>
        <w:jc w:val="both"/>
        <w:rPr>
          <w:sz w:val="24"/>
          <w:szCs w:val="24"/>
        </w:rPr>
      </w:pPr>
      <w:r>
        <w:rPr>
          <w:spacing w:val="-22"/>
          <w:sz w:val="24"/>
          <w:szCs w:val="24"/>
        </w:rPr>
        <w:t>工程技术部:在项目总工的领导下，制定进度计划和确保工期的技术组织</w:t>
      </w:r>
      <w:r>
        <w:rPr>
          <w:spacing w:val="-23"/>
          <w:sz w:val="24"/>
          <w:szCs w:val="24"/>
        </w:rPr>
        <w:t>措施，积极推广应</w:t>
      </w:r>
      <w:r>
        <w:rPr>
          <w:spacing w:val="-20"/>
          <w:sz w:val="24"/>
          <w:szCs w:val="24"/>
        </w:rPr>
        <w:t>用新技术，为工期保证提供技术上的支持。同时负责按施工进度计划组织施工生产，保证进度</w:t>
      </w:r>
      <w:r>
        <w:rPr>
          <w:spacing w:val="-21"/>
          <w:sz w:val="24"/>
          <w:szCs w:val="24"/>
        </w:rPr>
        <w:t>计划的实现。</w:t>
      </w:r>
    </w:p>
    <w:p w14:paraId="6B9EF295">
      <w:pPr>
        <w:pStyle w:val="2"/>
        <w:spacing w:before="1" w:line="308" w:lineRule="auto"/>
        <w:ind w:left="1456" w:right="1412" w:firstLine="436"/>
        <w:rPr>
          <w:sz w:val="24"/>
          <w:szCs w:val="24"/>
        </w:rPr>
      </w:pPr>
      <w:r>
        <w:rPr>
          <w:spacing w:val="-22"/>
          <w:sz w:val="24"/>
          <w:szCs w:val="24"/>
        </w:rPr>
        <w:t>设备物资部:保证设备按时进场并投入生产，并负责机械设备的维护、保养，使</w:t>
      </w:r>
      <w:r>
        <w:rPr>
          <w:spacing w:val="-23"/>
          <w:sz w:val="24"/>
          <w:szCs w:val="24"/>
        </w:rPr>
        <w:t>之处于较佳</w:t>
      </w:r>
      <w:r>
        <w:rPr>
          <w:spacing w:val="-21"/>
          <w:sz w:val="24"/>
          <w:szCs w:val="24"/>
        </w:rPr>
        <w:t>状态。同时保证材料供应，按材料计划采购材料并运输进</w:t>
      </w:r>
      <w:r>
        <w:rPr>
          <w:spacing w:val="-22"/>
          <w:sz w:val="24"/>
          <w:szCs w:val="24"/>
        </w:rPr>
        <w:t>场。</w:t>
      </w:r>
    </w:p>
    <w:p w14:paraId="374F8FBD">
      <w:pPr>
        <w:pStyle w:val="2"/>
        <w:spacing w:line="307" w:lineRule="auto"/>
        <w:ind w:left="1457" w:right="1441" w:firstLine="439"/>
        <w:rPr>
          <w:sz w:val="24"/>
          <w:szCs w:val="24"/>
        </w:rPr>
      </w:pPr>
      <w:r>
        <w:rPr>
          <w:spacing w:val="-23"/>
          <w:sz w:val="24"/>
          <w:szCs w:val="24"/>
        </w:rPr>
        <w:t>人事财务部:在项目经理的领导下管好用好资金，进行良好的资金运作，组织充足的资金，</w:t>
      </w:r>
      <w:r>
        <w:rPr>
          <w:spacing w:val="-21"/>
          <w:sz w:val="24"/>
          <w:szCs w:val="24"/>
        </w:rPr>
        <w:t>保证项目工期计划所急需资金供应。</w:t>
      </w:r>
    </w:p>
    <w:p w14:paraId="52DF4F3E">
      <w:pPr>
        <w:pStyle w:val="2"/>
        <w:spacing w:before="2" w:line="217" w:lineRule="auto"/>
        <w:ind w:left="1890"/>
        <w:rPr>
          <w:sz w:val="24"/>
          <w:szCs w:val="24"/>
        </w:rPr>
      </w:pPr>
      <w:r>
        <w:rPr>
          <w:spacing w:val="-16"/>
          <w:sz w:val="24"/>
          <w:szCs w:val="24"/>
        </w:rPr>
        <w:t>3.3、进度管理制度</w:t>
      </w:r>
    </w:p>
    <w:p w14:paraId="26CD9365">
      <w:pPr>
        <w:pStyle w:val="2"/>
        <w:spacing w:before="119" w:line="215" w:lineRule="auto"/>
        <w:ind w:left="1894"/>
        <w:rPr>
          <w:sz w:val="24"/>
          <w:szCs w:val="24"/>
        </w:rPr>
      </w:pPr>
      <w:r>
        <w:rPr>
          <w:spacing w:val="-22"/>
          <w:sz w:val="24"/>
          <w:szCs w:val="24"/>
        </w:rPr>
        <w:t>项目部应建立一系列管理制度，使工期保证工作落在实处。</w:t>
      </w:r>
    </w:p>
    <w:p w14:paraId="7439DCFA">
      <w:pPr>
        <w:pStyle w:val="2"/>
        <w:spacing w:before="118" w:line="216" w:lineRule="auto"/>
        <w:ind w:left="1892"/>
        <w:rPr>
          <w:sz w:val="24"/>
          <w:szCs w:val="24"/>
        </w:rPr>
      </w:pPr>
      <w:r>
        <w:rPr>
          <w:spacing w:val="-21"/>
          <w:sz w:val="24"/>
          <w:szCs w:val="24"/>
        </w:rPr>
        <w:t>施工现场施工管理实施办法(含施工调度工作细则)。</w:t>
      </w:r>
    </w:p>
    <w:p w14:paraId="647993E6">
      <w:pPr>
        <w:pStyle w:val="2"/>
        <w:spacing w:before="121" w:line="217" w:lineRule="auto"/>
        <w:ind w:left="1892"/>
        <w:rPr>
          <w:sz w:val="24"/>
          <w:szCs w:val="24"/>
        </w:rPr>
      </w:pPr>
      <w:r>
        <w:rPr>
          <w:spacing w:val="-20"/>
          <w:sz w:val="24"/>
          <w:szCs w:val="24"/>
        </w:rPr>
        <w:t>施工计划编制和实施办法。</w:t>
      </w:r>
    </w:p>
    <w:p w14:paraId="13E16F26">
      <w:pPr>
        <w:pStyle w:val="2"/>
        <w:spacing w:before="118" w:line="217" w:lineRule="auto"/>
        <w:ind w:left="1894"/>
        <w:rPr>
          <w:sz w:val="24"/>
          <w:szCs w:val="24"/>
        </w:rPr>
      </w:pPr>
      <w:r>
        <w:rPr>
          <w:spacing w:val="-22"/>
          <w:sz w:val="24"/>
          <w:szCs w:val="24"/>
        </w:rPr>
        <w:t>技术经济承包制实施办法。</w:t>
      </w:r>
    </w:p>
    <w:p w14:paraId="4905EE9F">
      <w:pPr>
        <w:pStyle w:val="2"/>
        <w:spacing w:before="116" w:line="216" w:lineRule="auto"/>
        <w:ind w:left="1892"/>
        <w:rPr>
          <w:sz w:val="24"/>
          <w:szCs w:val="24"/>
        </w:rPr>
      </w:pPr>
      <w:r>
        <w:rPr>
          <w:spacing w:val="-19"/>
          <w:sz w:val="24"/>
          <w:szCs w:val="24"/>
        </w:rPr>
        <w:t>施工进度检查制度。</w:t>
      </w:r>
    </w:p>
    <w:p w14:paraId="343CE940">
      <w:pPr>
        <w:pStyle w:val="2"/>
        <w:spacing w:before="121" w:line="218" w:lineRule="auto"/>
        <w:ind w:left="1899"/>
        <w:rPr>
          <w:sz w:val="24"/>
          <w:szCs w:val="24"/>
        </w:rPr>
      </w:pPr>
      <w:r>
        <w:rPr>
          <w:spacing w:val="-21"/>
          <w:sz w:val="24"/>
          <w:szCs w:val="24"/>
        </w:rPr>
        <w:t>关于施工进度协调会的规定等。</w:t>
      </w:r>
    </w:p>
    <w:p w14:paraId="563A4CC6">
      <w:pPr>
        <w:pStyle w:val="2"/>
        <w:spacing w:before="117" w:line="217" w:lineRule="auto"/>
        <w:ind w:left="1890"/>
        <w:rPr>
          <w:sz w:val="24"/>
          <w:szCs w:val="24"/>
        </w:rPr>
      </w:pPr>
      <w:r>
        <w:rPr>
          <w:spacing w:val="-18"/>
          <w:sz w:val="24"/>
          <w:szCs w:val="24"/>
        </w:rPr>
        <w:t>3.4、建立工期控制目标体系</w:t>
      </w:r>
    </w:p>
    <w:p w14:paraId="6A8B29FC">
      <w:pPr>
        <w:pStyle w:val="2"/>
        <w:spacing w:before="116" w:line="217" w:lineRule="auto"/>
        <w:ind w:left="1894"/>
        <w:rPr>
          <w:sz w:val="24"/>
          <w:szCs w:val="24"/>
        </w:rPr>
      </w:pPr>
      <w:r>
        <w:rPr>
          <w:spacing w:val="-19"/>
          <w:sz w:val="24"/>
          <w:szCs w:val="24"/>
        </w:rPr>
        <w:t>根据本工程特点，将总进度控制计划层层分解，分别确定各分部工程工期目标、各</w:t>
      </w:r>
      <w:r>
        <w:rPr>
          <w:spacing w:val="-20"/>
          <w:sz w:val="24"/>
          <w:szCs w:val="24"/>
        </w:rPr>
        <w:t>施工阶</w:t>
      </w:r>
    </w:p>
    <w:p w14:paraId="4683E0DB">
      <w:pPr>
        <w:spacing w:line="217" w:lineRule="auto"/>
        <w:rPr>
          <w:sz w:val="24"/>
          <w:szCs w:val="24"/>
        </w:rPr>
        <w:sectPr>
          <w:footerReference r:id="rId335" w:type="default"/>
          <w:pgSz w:w="11907" w:h="16839"/>
          <w:pgMar w:top="933" w:right="4" w:bottom="1038" w:left="0" w:header="478" w:footer="357" w:gutter="0"/>
          <w:pgBorders>
            <w:top w:val="none" w:sz="0" w:space="0"/>
            <w:left w:val="none" w:sz="0" w:space="0"/>
            <w:bottom w:val="none" w:sz="0" w:space="0"/>
            <w:right w:val="none" w:sz="0" w:space="0"/>
          </w:pgBorders>
          <w:cols w:space="720" w:num="1"/>
        </w:sectPr>
      </w:pPr>
    </w:p>
    <w:p w14:paraId="5E3E78F2">
      <w:pPr>
        <w:spacing w:line="271" w:lineRule="auto"/>
        <w:rPr>
          <w:rFonts w:ascii="Arial"/>
          <w:sz w:val="21"/>
        </w:rPr>
      </w:pPr>
    </w:p>
    <w:p w14:paraId="046B4838">
      <w:pPr>
        <w:pStyle w:val="2"/>
        <w:spacing w:before="78" w:line="216" w:lineRule="auto"/>
        <w:ind w:left="1458"/>
        <w:rPr>
          <w:sz w:val="24"/>
          <w:szCs w:val="24"/>
        </w:rPr>
      </w:pPr>
      <w:r>
        <w:rPr>
          <w:spacing w:val="-21"/>
          <w:sz w:val="24"/>
          <w:szCs w:val="24"/>
        </w:rPr>
        <w:t>段工期目标，形成目标框架体系，为计划编制和施工调度工</w:t>
      </w:r>
      <w:r>
        <w:rPr>
          <w:spacing w:val="-22"/>
          <w:sz w:val="24"/>
          <w:szCs w:val="24"/>
        </w:rPr>
        <w:t>作提供依据。</w:t>
      </w:r>
    </w:p>
    <w:p w14:paraId="15E11EF3">
      <w:pPr>
        <w:pStyle w:val="2"/>
        <w:spacing w:before="120" w:line="218" w:lineRule="auto"/>
        <w:ind w:left="1888"/>
        <w:rPr>
          <w:sz w:val="24"/>
          <w:szCs w:val="24"/>
        </w:rPr>
      </w:pPr>
      <w:r>
        <w:rPr>
          <w:spacing w:val="-14"/>
          <w:sz w:val="24"/>
          <w:szCs w:val="24"/>
        </w:rPr>
        <w:t>2.4技术措施</w:t>
      </w:r>
    </w:p>
    <w:p w14:paraId="1199056D">
      <w:pPr>
        <w:pStyle w:val="2"/>
        <w:spacing w:before="115" w:line="308" w:lineRule="auto"/>
        <w:ind w:left="1464" w:right="1409" w:firstLine="427"/>
        <w:rPr>
          <w:sz w:val="24"/>
          <w:szCs w:val="24"/>
        </w:rPr>
      </w:pPr>
      <w:r>
        <w:rPr>
          <w:spacing w:val="-19"/>
          <w:sz w:val="24"/>
          <w:szCs w:val="24"/>
        </w:rPr>
        <w:t>施工过程中应用电子计算机配备项目管理</w:t>
      </w:r>
      <w:r>
        <w:rPr>
          <w:spacing w:val="-20"/>
          <w:sz w:val="24"/>
          <w:szCs w:val="24"/>
        </w:rPr>
        <w:t>软件运用网络计划技术采取合理搭接和交叉作业</w:t>
      </w:r>
      <w:r>
        <w:rPr>
          <w:spacing w:val="-22"/>
          <w:sz w:val="24"/>
          <w:szCs w:val="24"/>
        </w:rPr>
        <w:t>等措施实施进度控制，并积极使用新技术，必要时采取赶工措施，确保工期目标的实现。</w:t>
      </w:r>
    </w:p>
    <w:p w14:paraId="58D95CD2">
      <w:pPr>
        <w:pStyle w:val="2"/>
        <w:spacing w:line="217" w:lineRule="auto"/>
        <w:ind w:left="1903"/>
        <w:rPr>
          <w:sz w:val="24"/>
          <w:szCs w:val="24"/>
        </w:rPr>
      </w:pPr>
      <w:r>
        <w:rPr>
          <w:spacing w:val="-18"/>
          <w:sz w:val="24"/>
          <w:szCs w:val="24"/>
        </w:rPr>
        <w:t>1、计算机技术</w:t>
      </w:r>
    </w:p>
    <w:p w14:paraId="5F5EF10A">
      <w:pPr>
        <w:pStyle w:val="2"/>
        <w:spacing w:before="114" w:line="308" w:lineRule="auto"/>
        <w:ind w:left="1456" w:right="1410" w:firstLine="445"/>
        <w:rPr>
          <w:sz w:val="24"/>
          <w:szCs w:val="24"/>
        </w:rPr>
      </w:pPr>
      <w:r>
        <w:rPr>
          <w:spacing w:val="-19"/>
          <w:sz w:val="24"/>
          <w:szCs w:val="24"/>
        </w:rPr>
        <w:t>我单位在本工程项目管理中将配置电子计算机并配备P3项目管理软件对项目进行动态控制，结合利用该软件的进度控制功能(智能网络计划系统)及时跟踪项目计划</w:t>
      </w:r>
      <w:r>
        <w:rPr>
          <w:spacing w:val="-20"/>
          <w:sz w:val="24"/>
          <w:szCs w:val="24"/>
        </w:rPr>
        <w:t>完成情况，及时调整计划，保证工期目标的实现。</w:t>
      </w:r>
    </w:p>
    <w:p w14:paraId="0CD85644">
      <w:pPr>
        <w:pStyle w:val="2"/>
        <w:spacing w:before="1" w:line="217" w:lineRule="auto"/>
        <w:ind w:left="1888"/>
        <w:rPr>
          <w:sz w:val="24"/>
          <w:szCs w:val="24"/>
        </w:rPr>
      </w:pPr>
      <w:r>
        <w:rPr>
          <w:spacing w:val="-17"/>
          <w:sz w:val="24"/>
          <w:szCs w:val="24"/>
        </w:rPr>
        <w:t>2、网络技术</w:t>
      </w:r>
    </w:p>
    <w:p w14:paraId="29E8D2DB">
      <w:pPr>
        <w:pStyle w:val="2"/>
        <w:spacing w:before="117" w:line="308" w:lineRule="auto"/>
        <w:ind w:left="1457" w:right="1414" w:firstLine="435"/>
        <w:rPr>
          <w:sz w:val="24"/>
          <w:szCs w:val="24"/>
        </w:rPr>
      </w:pPr>
      <w:r>
        <w:rPr>
          <w:spacing w:val="-20"/>
          <w:sz w:val="24"/>
          <w:szCs w:val="24"/>
        </w:rPr>
        <w:t>应用网络计划技术编制施工网络图和时标框图，便于执行和检查计划，并及时进行调整，保证目标实现。同时根据现场资源、资金等情况进行网络优化，主要是通过调用自由时差，但</w:t>
      </w:r>
      <w:r>
        <w:rPr>
          <w:spacing w:val="-21"/>
          <w:sz w:val="24"/>
          <w:szCs w:val="24"/>
        </w:rPr>
        <w:t>保证工期目标不变来进行网络优化，从而减少资源投入，</w:t>
      </w:r>
      <w:r>
        <w:rPr>
          <w:spacing w:val="-22"/>
          <w:sz w:val="24"/>
          <w:szCs w:val="24"/>
        </w:rPr>
        <w:t>以取得良好效益。</w:t>
      </w:r>
    </w:p>
    <w:p w14:paraId="343453B9">
      <w:pPr>
        <w:pStyle w:val="2"/>
        <w:spacing w:before="2" w:line="215" w:lineRule="auto"/>
        <w:ind w:left="1890"/>
        <w:rPr>
          <w:sz w:val="24"/>
          <w:szCs w:val="24"/>
        </w:rPr>
      </w:pPr>
      <w:r>
        <w:rPr>
          <w:spacing w:val="-19"/>
          <w:sz w:val="24"/>
          <w:szCs w:val="24"/>
        </w:rPr>
        <w:t>3、合理搭接和交叉作业措施</w:t>
      </w:r>
    </w:p>
    <w:p w14:paraId="49ACB838">
      <w:pPr>
        <w:pStyle w:val="2"/>
        <w:spacing w:before="119" w:line="308" w:lineRule="auto"/>
        <w:ind w:left="1460" w:right="1411" w:firstLine="433"/>
        <w:rPr>
          <w:sz w:val="24"/>
          <w:szCs w:val="24"/>
        </w:rPr>
      </w:pPr>
      <w:r>
        <w:rPr>
          <w:spacing w:val="-22"/>
          <w:sz w:val="24"/>
          <w:szCs w:val="24"/>
        </w:rPr>
        <w:t>保证重点、兼顾一般:根据网络计划，分清关键工序和非关键工序，对关键工</w:t>
      </w:r>
      <w:r>
        <w:rPr>
          <w:spacing w:val="-23"/>
          <w:sz w:val="24"/>
          <w:szCs w:val="24"/>
        </w:rPr>
        <w:t>序给予资源上</w:t>
      </w:r>
      <w:r>
        <w:rPr>
          <w:spacing w:val="-20"/>
          <w:sz w:val="24"/>
          <w:szCs w:val="24"/>
        </w:rPr>
        <w:t>的倾斜，保证关键工序按计划完成，而且同时进行的项目不宜过多，以免分散有限的人力和物</w:t>
      </w:r>
      <w:r>
        <w:rPr>
          <w:spacing w:val="-19"/>
          <w:sz w:val="24"/>
          <w:szCs w:val="24"/>
        </w:rPr>
        <w:t>力。</w:t>
      </w:r>
    </w:p>
    <w:p w14:paraId="6DAA6D1B">
      <w:pPr>
        <w:pStyle w:val="2"/>
        <w:spacing w:before="1" w:line="306" w:lineRule="auto"/>
        <w:ind w:left="1462" w:right="1410" w:firstLine="431"/>
        <w:rPr>
          <w:sz w:val="24"/>
          <w:szCs w:val="24"/>
        </w:rPr>
      </w:pPr>
      <w:r>
        <w:rPr>
          <w:spacing w:val="-22"/>
          <w:sz w:val="24"/>
          <w:szCs w:val="24"/>
        </w:rPr>
        <w:t>满足连续、均衡施工要求:进行网络优化，充分利用自由时差，使劳动力、施工机</w:t>
      </w:r>
      <w:r>
        <w:rPr>
          <w:spacing w:val="-23"/>
          <w:sz w:val="24"/>
          <w:szCs w:val="24"/>
        </w:rPr>
        <w:t>具连续施</w:t>
      </w:r>
      <w:r>
        <w:rPr>
          <w:spacing w:val="-21"/>
          <w:sz w:val="24"/>
          <w:szCs w:val="24"/>
        </w:rPr>
        <w:t>工、物资消耗相对均衡。同时适当留出一些后</w:t>
      </w:r>
      <w:r>
        <w:rPr>
          <w:spacing w:val="-22"/>
          <w:sz w:val="24"/>
          <w:szCs w:val="24"/>
        </w:rPr>
        <w:t>备项目穿插在主要项目施工中进行交叉作业。</w:t>
      </w:r>
    </w:p>
    <w:p w14:paraId="58B3D08C">
      <w:pPr>
        <w:pStyle w:val="2"/>
        <w:spacing w:before="1" w:line="308" w:lineRule="auto"/>
        <w:ind w:left="1456" w:right="1440" w:firstLine="437"/>
        <w:rPr>
          <w:sz w:val="24"/>
          <w:szCs w:val="24"/>
        </w:rPr>
      </w:pPr>
      <w:r>
        <w:rPr>
          <w:spacing w:val="-23"/>
          <w:sz w:val="24"/>
          <w:szCs w:val="24"/>
        </w:rPr>
        <w:t>满足生产工艺的要求:合理安排人机作业，根据各施工点的位置和结构要求确定施工顺序，</w:t>
      </w:r>
      <w:r>
        <w:rPr>
          <w:spacing w:val="-20"/>
          <w:sz w:val="24"/>
          <w:szCs w:val="24"/>
        </w:rPr>
        <w:t>形成工地施工“一条龙”。</w:t>
      </w:r>
    </w:p>
    <w:p w14:paraId="51979A94">
      <w:pPr>
        <w:pStyle w:val="2"/>
        <w:spacing w:before="1" w:line="216" w:lineRule="auto"/>
        <w:ind w:left="1898"/>
        <w:rPr>
          <w:sz w:val="24"/>
          <w:szCs w:val="24"/>
        </w:rPr>
      </w:pPr>
      <w:r>
        <w:rPr>
          <w:spacing w:val="-21"/>
          <w:sz w:val="24"/>
          <w:szCs w:val="24"/>
        </w:rPr>
        <w:t>全面考虑各种条件的限制</w:t>
      </w:r>
    </w:p>
    <w:p w14:paraId="1F28E531">
      <w:pPr>
        <w:pStyle w:val="2"/>
        <w:spacing w:before="120" w:line="307" w:lineRule="auto"/>
        <w:ind w:left="1456" w:right="1411" w:firstLine="436"/>
        <w:rPr>
          <w:sz w:val="24"/>
          <w:szCs w:val="24"/>
        </w:rPr>
      </w:pPr>
      <w:r>
        <w:rPr>
          <w:spacing w:val="-20"/>
          <w:sz w:val="24"/>
          <w:szCs w:val="24"/>
        </w:rPr>
        <w:t>应根据施工力量、材料设备供应，图纸变更等，及时调整网络计划，另外还应考虑季节和</w:t>
      </w:r>
      <w:r>
        <w:rPr>
          <w:spacing w:val="-21"/>
          <w:sz w:val="24"/>
          <w:szCs w:val="24"/>
        </w:rPr>
        <w:t>环境的影响。</w:t>
      </w:r>
    </w:p>
    <w:p w14:paraId="6D99A83D">
      <w:pPr>
        <w:pStyle w:val="2"/>
        <w:spacing w:before="1" w:line="218" w:lineRule="auto"/>
        <w:ind w:left="1884"/>
        <w:rPr>
          <w:sz w:val="24"/>
          <w:szCs w:val="24"/>
        </w:rPr>
      </w:pPr>
      <w:r>
        <w:rPr>
          <w:spacing w:val="-17"/>
          <w:sz w:val="24"/>
          <w:szCs w:val="24"/>
        </w:rPr>
        <w:t>4、赶工措施</w:t>
      </w:r>
    </w:p>
    <w:p w14:paraId="575965CB">
      <w:pPr>
        <w:pStyle w:val="2"/>
        <w:spacing w:before="116" w:line="216" w:lineRule="auto"/>
        <w:ind w:left="1894"/>
        <w:rPr>
          <w:sz w:val="24"/>
          <w:szCs w:val="24"/>
        </w:rPr>
      </w:pPr>
      <w:r>
        <w:rPr>
          <w:spacing w:val="-21"/>
          <w:sz w:val="24"/>
          <w:szCs w:val="24"/>
        </w:rPr>
        <w:t>组织三班连续作业，充分利用有限时间；</w:t>
      </w:r>
    </w:p>
    <w:p w14:paraId="18F4D2B7">
      <w:pPr>
        <w:pStyle w:val="2"/>
        <w:spacing w:before="120" w:line="216" w:lineRule="auto"/>
        <w:ind w:left="1893"/>
        <w:rPr>
          <w:sz w:val="24"/>
          <w:szCs w:val="24"/>
        </w:rPr>
      </w:pPr>
      <w:r>
        <w:rPr>
          <w:spacing w:val="-21"/>
          <w:sz w:val="24"/>
          <w:szCs w:val="24"/>
        </w:rPr>
        <w:t>增加人员、机械、材料的投入，压缩后续工序持续时间，保证工</w:t>
      </w:r>
      <w:r>
        <w:rPr>
          <w:spacing w:val="-22"/>
          <w:sz w:val="24"/>
          <w:szCs w:val="24"/>
        </w:rPr>
        <w:t>期不变。</w:t>
      </w:r>
    </w:p>
    <w:p w14:paraId="19D1AAFC">
      <w:pPr>
        <w:pStyle w:val="2"/>
        <w:spacing w:before="117" w:line="309" w:lineRule="auto"/>
        <w:ind w:left="1457" w:right="1409" w:firstLine="437"/>
        <w:rPr>
          <w:sz w:val="24"/>
          <w:szCs w:val="24"/>
        </w:rPr>
      </w:pPr>
      <w:r>
        <w:rPr>
          <w:spacing w:val="-20"/>
          <w:sz w:val="24"/>
          <w:szCs w:val="24"/>
        </w:rPr>
        <w:t>采用新技术，进行合理的施工工序组织，从而改变工序逻辑关系，减少关键线路上的工程项目，缩短工程总工期。</w:t>
      </w:r>
    </w:p>
    <w:p w14:paraId="2A5C25C5">
      <w:pPr>
        <w:pStyle w:val="2"/>
        <w:spacing w:before="1" w:line="215" w:lineRule="auto"/>
        <w:ind w:left="1893"/>
        <w:rPr>
          <w:sz w:val="24"/>
          <w:szCs w:val="24"/>
        </w:rPr>
      </w:pPr>
      <w:r>
        <w:rPr>
          <w:spacing w:val="-21"/>
          <w:sz w:val="24"/>
          <w:szCs w:val="24"/>
        </w:rPr>
        <w:t>开辟多个工作面同时施工，以缩短工期。</w:t>
      </w:r>
    </w:p>
    <w:p w14:paraId="36C2E148">
      <w:pPr>
        <w:pStyle w:val="2"/>
        <w:spacing w:before="117" w:line="219" w:lineRule="auto"/>
        <w:ind w:left="1888"/>
        <w:rPr>
          <w:sz w:val="24"/>
          <w:szCs w:val="24"/>
        </w:rPr>
      </w:pPr>
      <w:r>
        <w:rPr>
          <w:spacing w:val="-17"/>
          <w:sz w:val="24"/>
          <w:szCs w:val="24"/>
        </w:rPr>
        <w:t>2.5资源配备措施</w:t>
      </w:r>
    </w:p>
    <w:p w14:paraId="158F90AC">
      <w:pPr>
        <w:pStyle w:val="2"/>
        <w:spacing w:before="116" w:line="220" w:lineRule="auto"/>
        <w:ind w:left="1903"/>
        <w:rPr>
          <w:sz w:val="24"/>
          <w:szCs w:val="24"/>
        </w:rPr>
      </w:pPr>
      <w:r>
        <w:rPr>
          <w:spacing w:val="-18"/>
          <w:sz w:val="24"/>
          <w:szCs w:val="24"/>
        </w:rPr>
        <w:t>1、劳动力组织</w:t>
      </w:r>
    </w:p>
    <w:p w14:paraId="15DC2FBA">
      <w:pPr>
        <w:pStyle w:val="2"/>
        <w:spacing w:before="117" w:line="307" w:lineRule="auto"/>
        <w:ind w:left="1456" w:right="1354" w:firstLine="437"/>
        <w:rPr>
          <w:sz w:val="24"/>
          <w:szCs w:val="24"/>
        </w:rPr>
      </w:pPr>
      <w:r>
        <w:rPr>
          <w:spacing w:val="-19"/>
          <w:sz w:val="24"/>
          <w:szCs w:val="24"/>
        </w:rPr>
        <w:t>根据施工进度计划和工程项目情况(包括工作内容、工程量等)编制劳动力计划，</w:t>
      </w:r>
      <w:r>
        <w:rPr>
          <w:spacing w:val="-20"/>
          <w:sz w:val="24"/>
          <w:szCs w:val="24"/>
        </w:rPr>
        <w:t>责成项目</w:t>
      </w:r>
      <w:r>
        <w:rPr>
          <w:spacing w:val="-24"/>
          <w:sz w:val="24"/>
          <w:szCs w:val="24"/>
        </w:rPr>
        <w:t>部劳务部门按此计划组织劳动力进场，特殊工种人员须持证上岗，人员进场前先进行培训教育，采取赶工措施须增加人员投入时可部分利用当地劳力。同时建立考核奖罚制度，加强劳动纪律，</w:t>
      </w:r>
      <w:r>
        <w:rPr>
          <w:spacing w:val="-21"/>
          <w:sz w:val="24"/>
          <w:szCs w:val="24"/>
        </w:rPr>
        <w:t>开展劳动竞赛。并在施工时不断优化劳力组合，提高劳动生</w:t>
      </w:r>
      <w:r>
        <w:rPr>
          <w:spacing w:val="-22"/>
          <w:sz w:val="24"/>
          <w:szCs w:val="24"/>
        </w:rPr>
        <w:t>产率。</w:t>
      </w:r>
    </w:p>
    <w:p w14:paraId="6DD14A80">
      <w:pPr>
        <w:pStyle w:val="2"/>
        <w:spacing w:before="1" w:line="216" w:lineRule="auto"/>
        <w:ind w:left="1888"/>
        <w:rPr>
          <w:sz w:val="24"/>
          <w:szCs w:val="24"/>
        </w:rPr>
      </w:pPr>
      <w:r>
        <w:rPr>
          <w:spacing w:val="-18"/>
          <w:sz w:val="24"/>
          <w:szCs w:val="24"/>
        </w:rPr>
        <w:t>2、机械设备的配置</w:t>
      </w:r>
    </w:p>
    <w:p w14:paraId="72AE7C2D">
      <w:pPr>
        <w:spacing w:line="216" w:lineRule="auto"/>
        <w:rPr>
          <w:sz w:val="24"/>
          <w:szCs w:val="24"/>
        </w:rPr>
        <w:sectPr>
          <w:footerReference r:id="rId336" w:type="default"/>
          <w:pgSz w:w="11907" w:h="16839"/>
          <w:pgMar w:top="933" w:right="4" w:bottom="1038" w:left="0" w:header="478" w:footer="357" w:gutter="0"/>
          <w:pgBorders>
            <w:top w:val="none" w:sz="0" w:space="0"/>
            <w:left w:val="none" w:sz="0" w:space="0"/>
            <w:bottom w:val="none" w:sz="0" w:space="0"/>
            <w:right w:val="none" w:sz="0" w:space="0"/>
          </w:pgBorders>
          <w:cols w:space="720" w:num="1"/>
        </w:sectPr>
      </w:pPr>
    </w:p>
    <w:p w14:paraId="6B9107B2">
      <w:pPr>
        <w:spacing w:line="271" w:lineRule="auto"/>
        <w:rPr>
          <w:rFonts w:ascii="Arial"/>
          <w:sz w:val="21"/>
        </w:rPr>
      </w:pPr>
    </w:p>
    <w:p w14:paraId="4DFB1BD4">
      <w:pPr>
        <w:pStyle w:val="2"/>
        <w:spacing w:before="78" w:line="308" w:lineRule="auto"/>
        <w:ind w:left="1457" w:right="1354" w:firstLine="437"/>
        <w:jc w:val="both"/>
        <w:rPr>
          <w:sz w:val="24"/>
          <w:szCs w:val="24"/>
        </w:rPr>
      </w:pPr>
      <w:r>
        <w:rPr>
          <w:spacing w:val="-19"/>
          <w:sz w:val="24"/>
          <w:szCs w:val="24"/>
        </w:rPr>
        <w:t>提前按照施工进度计划进行机械设备需用量计算(散见各章节内容中)，然后根据</w:t>
      </w:r>
      <w:r>
        <w:rPr>
          <w:spacing w:val="-20"/>
          <w:sz w:val="24"/>
          <w:szCs w:val="24"/>
        </w:rPr>
        <w:t>各项目施</w:t>
      </w:r>
      <w:r>
        <w:rPr>
          <w:spacing w:val="-24"/>
          <w:sz w:val="24"/>
          <w:szCs w:val="24"/>
        </w:rPr>
        <w:t>工时间提前编制机械设备使用计划，按时按量组织机械设备进场。施工时应合理安排机械作业，</w:t>
      </w:r>
      <w:r>
        <w:rPr>
          <w:spacing w:val="-20"/>
          <w:sz w:val="24"/>
          <w:szCs w:val="24"/>
        </w:rPr>
        <w:t>使之发挥较高的使用效率，同时备足备用品和备件，另外要加强机械设备的维修与保养，使之</w:t>
      </w:r>
      <w:r>
        <w:rPr>
          <w:spacing w:val="-19"/>
          <w:sz w:val="24"/>
          <w:szCs w:val="24"/>
        </w:rPr>
        <w:t>处于良好状态。</w:t>
      </w:r>
    </w:p>
    <w:p w14:paraId="73960044">
      <w:pPr>
        <w:pStyle w:val="2"/>
        <w:spacing w:before="1" w:line="215" w:lineRule="auto"/>
        <w:ind w:left="1890"/>
        <w:rPr>
          <w:sz w:val="24"/>
          <w:szCs w:val="24"/>
        </w:rPr>
      </w:pPr>
      <w:r>
        <w:rPr>
          <w:spacing w:val="-18"/>
          <w:sz w:val="24"/>
          <w:szCs w:val="24"/>
        </w:rPr>
        <w:t>3、材料的采购与供应</w:t>
      </w:r>
    </w:p>
    <w:p w14:paraId="7927C435">
      <w:pPr>
        <w:pStyle w:val="2"/>
        <w:spacing w:before="117" w:line="216" w:lineRule="auto"/>
        <w:ind w:left="1895"/>
        <w:rPr>
          <w:sz w:val="24"/>
          <w:szCs w:val="24"/>
        </w:rPr>
      </w:pPr>
      <w:r>
        <w:rPr>
          <w:spacing w:val="-21"/>
          <w:sz w:val="24"/>
          <w:szCs w:val="24"/>
        </w:rPr>
        <w:t>先编制材料使用计划，据此进行采购，必须保证按质</w:t>
      </w:r>
      <w:r>
        <w:rPr>
          <w:spacing w:val="-22"/>
          <w:sz w:val="24"/>
          <w:szCs w:val="24"/>
        </w:rPr>
        <w:t>按量供应。</w:t>
      </w:r>
    </w:p>
    <w:p w14:paraId="609E8633">
      <w:pPr>
        <w:pStyle w:val="2"/>
        <w:spacing w:before="120" w:line="216" w:lineRule="auto"/>
        <w:ind w:left="1921"/>
        <w:rPr>
          <w:sz w:val="24"/>
          <w:szCs w:val="24"/>
        </w:rPr>
      </w:pPr>
      <w:r>
        <w:rPr>
          <w:spacing w:val="-23"/>
          <w:sz w:val="24"/>
          <w:szCs w:val="24"/>
        </w:rPr>
        <w:t>同时施工现场应及早做好各类材料堆场和仓库，以便前期储备部分材料。</w:t>
      </w:r>
    </w:p>
    <w:p w14:paraId="3D32C455">
      <w:pPr>
        <w:pStyle w:val="2"/>
        <w:spacing w:before="119" w:line="308" w:lineRule="auto"/>
        <w:ind w:left="1456" w:right="1409" w:firstLine="437"/>
        <w:rPr>
          <w:sz w:val="24"/>
          <w:szCs w:val="24"/>
        </w:rPr>
      </w:pPr>
      <w:r>
        <w:rPr>
          <w:spacing w:val="-20"/>
          <w:sz w:val="24"/>
          <w:szCs w:val="24"/>
        </w:rPr>
        <w:t>项目部应搞好资金运作，多方面筹措资金，保证资金供应，以利工期目标实现。在项目部</w:t>
      </w:r>
      <w:r>
        <w:rPr>
          <w:spacing w:val="-22"/>
          <w:sz w:val="24"/>
          <w:szCs w:val="24"/>
        </w:rPr>
        <w:t>资金供应不足时，应保证材料价款和员工工资的发放，其余款项(如总部管理费、核定</w:t>
      </w:r>
      <w:r>
        <w:rPr>
          <w:spacing w:val="-23"/>
          <w:sz w:val="24"/>
          <w:szCs w:val="24"/>
        </w:rPr>
        <w:t>利润等费</w:t>
      </w:r>
      <w:r>
        <w:rPr>
          <w:spacing w:val="-20"/>
          <w:sz w:val="24"/>
          <w:szCs w:val="24"/>
        </w:rPr>
        <w:t>用)暂缓提取，以保证施工顺利进行。</w:t>
      </w:r>
    </w:p>
    <w:p w14:paraId="6801282B">
      <w:pPr>
        <w:pStyle w:val="2"/>
        <w:spacing w:line="217" w:lineRule="auto"/>
        <w:ind w:left="1888"/>
        <w:rPr>
          <w:sz w:val="24"/>
          <w:szCs w:val="24"/>
        </w:rPr>
      </w:pPr>
      <w:r>
        <w:rPr>
          <w:spacing w:val="-16"/>
          <w:sz w:val="24"/>
          <w:szCs w:val="24"/>
        </w:rPr>
        <w:t>2.6信息管理措施</w:t>
      </w:r>
    </w:p>
    <w:p w14:paraId="51846796">
      <w:pPr>
        <w:pStyle w:val="2"/>
        <w:spacing w:before="116" w:line="217" w:lineRule="auto"/>
        <w:ind w:left="1903"/>
        <w:rPr>
          <w:sz w:val="24"/>
          <w:szCs w:val="24"/>
        </w:rPr>
      </w:pPr>
      <w:r>
        <w:rPr>
          <w:spacing w:val="-19"/>
          <w:sz w:val="24"/>
          <w:szCs w:val="24"/>
        </w:rPr>
        <w:t>1、信息系统建立</w:t>
      </w:r>
    </w:p>
    <w:p w14:paraId="051EE4CF">
      <w:pPr>
        <w:pStyle w:val="2"/>
        <w:spacing w:before="117" w:line="308" w:lineRule="auto"/>
        <w:ind w:left="1465" w:right="1356" w:firstLine="428"/>
        <w:rPr>
          <w:sz w:val="24"/>
          <w:szCs w:val="24"/>
        </w:rPr>
      </w:pPr>
      <w:r>
        <w:rPr>
          <w:spacing w:val="-24"/>
          <w:sz w:val="24"/>
          <w:szCs w:val="24"/>
        </w:rPr>
        <w:t>项目部应依据项目管理机构的组成建立监测、分析、调整、反馈进度实施过程的信息系统，</w:t>
      </w:r>
      <w:r>
        <w:rPr>
          <w:spacing w:val="-19"/>
          <w:sz w:val="24"/>
          <w:szCs w:val="24"/>
        </w:rPr>
        <w:t>包括由上而下的信息流动程序和由下而上的</w:t>
      </w:r>
      <w:r>
        <w:rPr>
          <w:spacing w:val="-20"/>
          <w:sz w:val="24"/>
          <w:szCs w:val="24"/>
        </w:rPr>
        <w:t>信息反馈程序，并建立一整套信息管理工作制度，</w:t>
      </w:r>
      <w:r>
        <w:rPr>
          <w:spacing w:val="-22"/>
          <w:sz w:val="24"/>
          <w:szCs w:val="24"/>
        </w:rPr>
        <w:t>以保证信息流动的畅通。</w:t>
      </w:r>
    </w:p>
    <w:p w14:paraId="05F3254D">
      <w:pPr>
        <w:pStyle w:val="2"/>
        <w:spacing w:line="217" w:lineRule="auto"/>
        <w:ind w:left="1888"/>
        <w:rPr>
          <w:sz w:val="24"/>
          <w:szCs w:val="24"/>
        </w:rPr>
      </w:pPr>
      <w:r>
        <w:rPr>
          <w:spacing w:val="-17"/>
          <w:sz w:val="24"/>
          <w:szCs w:val="24"/>
        </w:rPr>
        <w:t>2、信息管理</w:t>
      </w:r>
    </w:p>
    <w:p w14:paraId="737B2177">
      <w:pPr>
        <w:pStyle w:val="2"/>
        <w:spacing w:before="118" w:line="307" w:lineRule="auto"/>
        <w:ind w:left="1458" w:right="1409" w:firstLine="434"/>
        <w:rPr>
          <w:sz w:val="24"/>
          <w:szCs w:val="24"/>
        </w:rPr>
      </w:pPr>
      <w:r>
        <w:rPr>
          <w:spacing w:val="-20"/>
          <w:sz w:val="24"/>
          <w:szCs w:val="24"/>
        </w:rPr>
        <w:t>信息管理是通过有效的逐级信息分配，应用图表和指令作为载体，上级通过指令对下级发</w:t>
      </w:r>
      <w:r>
        <w:rPr>
          <w:spacing w:val="-21"/>
          <w:sz w:val="24"/>
          <w:szCs w:val="24"/>
        </w:rPr>
        <w:t>布信息，下级则用图表向上级汇报。</w:t>
      </w:r>
    </w:p>
    <w:p w14:paraId="288EFBAE">
      <w:pPr>
        <w:pStyle w:val="2"/>
        <w:spacing w:before="1" w:line="217" w:lineRule="auto"/>
        <w:ind w:left="1888"/>
        <w:rPr>
          <w:sz w:val="24"/>
          <w:szCs w:val="24"/>
        </w:rPr>
      </w:pPr>
      <w:r>
        <w:rPr>
          <w:spacing w:val="-19"/>
          <w:sz w:val="24"/>
          <w:szCs w:val="24"/>
        </w:rPr>
        <w:t>2.7单项工程进度计划保证措施</w:t>
      </w:r>
    </w:p>
    <w:p w14:paraId="08090A4B">
      <w:pPr>
        <w:pStyle w:val="2"/>
        <w:spacing w:before="119" w:line="219" w:lineRule="auto"/>
        <w:ind w:left="1903"/>
        <w:rPr>
          <w:sz w:val="24"/>
          <w:szCs w:val="24"/>
        </w:rPr>
      </w:pPr>
      <w:r>
        <w:rPr>
          <w:spacing w:val="-20"/>
          <w:sz w:val="24"/>
          <w:szCs w:val="24"/>
        </w:rPr>
        <w:t>1、钢筋工程措施</w:t>
      </w:r>
    </w:p>
    <w:p w14:paraId="5C737F5B">
      <w:pPr>
        <w:pStyle w:val="2"/>
        <w:spacing w:before="115" w:line="308" w:lineRule="auto"/>
        <w:ind w:left="1461" w:right="1410" w:firstLine="432"/>
        <w:rPr>
          <w:sz w:val="24"/>
          <w:szCs w:val="24"/>
        </w:rPr>
      </w:pPr>
      <w:r>
        <w:rPr>
          <w:spacing w:val="-20"/>
          <w:sz w:val="24"/>
          <w:szCs w:val="24"/>
        </w:rPr>
        <w:t>根据本工程的钢筋工程量，配备足够的钢筋加工机械，同时根据本工程的施工总平面布置</w:t>
      </w:r>
      <w:r>
        <w:rPr>
          <w:spacing w:val="-21"/>
          <w:sz w:val="24"/>
          <w:szCs w:val="24"/>
        </w:rPr>
        <w:t>要求，选择最佳的钢筋加工场地，减少钢筋成</w:t>
      </w:r>
      <w:r>
        <w:rPr>
          <w:spacing w:val="-22"/>
          <w:sz w:val="24"/>
          <w:szCs w:val="24"/>
        </w:rPr>
        <w:t>品的搬运次数。</w:t>
      </w:r>
    </w:p>
    <w:p w14:paraId="3BFD82B4">
      <w:pPr>
        <w:pStyle w:val="2"/>
        <w:spacing w:before="3" w:line="307" w:lineRule="auto"/>
        <w:ind w:left="1455" w:right="1410" w:firstLine="439"/>
        <w:jc w:val="both"/>
        <w:rPr>
          <w:sz w:val="24"/>
          <w:szCs w:val="24"/>
        </w:rPr>
      </w:pPr>
      <w:r>
        <w:rPr>
          <w:spacing w:val="-20"/>
          <w:sz w:val="24"/>
          <w:szCs w:val="24"/>
        </w:rPr>
        <w:t>在钢筋加工前，必须按图纸由钢筋翻样员提供钢筋配料单，并进行复核，独立配料，独立加工制作，确保不致因钢筋错配、漏配、混配造成对钢筋安装及其它班组产生影响而延误本工</w:t>
      </w:r>
      <w:r>
        <w:rPr>
          <w:spacing w:val="-18"/>
          <w:sz w:val="24"/>
          <w:szCs w:val="24"/>
        </w:rPr>
        <w:t>程的总体进度。</w:t>
      </w:r>
    </w:p>
    <w:p w14:paraId="715BCF45">
      <w:pPr>
        <w:pStyle w:val="2"/>
        <w:spacing w:before="1" w:line="307" w:lineRule="auto"/>
        <w:ind w:left="1462" w:right="1429" w:firstLine="431"/>
        <w:rPr>
          <w:sz w:val="24"/>
          <w:szCs w:val="24"/>
        </w:rPr>
      </w:pPr>
      <w:r>
        <w:rPr>
          <w:spacing w:val="-20"/>
          <w:sz w:val="24"/>
          <w:szCs w:val="24"/>
        </w:rPr>
        <w:t>根据施工图及工程进度，优化钢筋施工方案，减少现场接头作业量，使钢筋工程和</w:t>
      </w:r>
      <w:r>
        <w:rPr>
          <w:spacing w:val="-21"/>
          <w:sz w:val="24"/>
          <w:szCs w:val="24"/>
        </w:rPr>
        <w:t>其它施</w:t>
      </w:r>
      <w:r>
        <w:rPr>
          <w:spacing w:val="-20"/>
          <w:sz w:val="24"/>
          <w:szCs w:val="24"/>
        </w:rPr>
        <w:t>工工序能够顺利搭接。</w:t>
      </w:r>
    </w:p>
    <w:p w14:paraId="30998477">
      <w:pPr>
        <w:pStyle w:val="2"/>
        <w:spacing w:before="1" w:line="307" w:lineRule="auto"/>
        <w:ind w:left="1455" w:right="1410" w:firstLine="468"/>
        <w:rPr>
          <w:sz w:val="24"/>
          <w:szCs w:val="24"/>
        </w:rPr>
      </w:pPr>
      <w:r>
        <w:rPr>
          <w:spacing w:val="-20"/>
          <w:sz w:val="24"/>
          <w:szCs w:val="24"/>
        </w:rPr>
        <w:t>由于钢筋为主要质量控制材料，因此必须提前上报钢筋数</w:t>
      </w:r>
      <w:r>
        <w:rPr>
          <w:spacing w:val="-21"/>
          <w:sz w:val="24"/>
          <w:szCs w:val="24"/>
        </w:rPr>
        <w:t>量、品种、规格。并按要求做复</w:t>
      </w:r>
      <w:r>
        <w:rPr>
          <w:spacing w:val="-19"/>
          <w:sz w:val="24"/>
          <w:szCs w:val="24"/>
        </w:rPr>
        <w:t>验工作。</w:t>
      </w:r>
    </w:p>
    <w:p w14:paraId="3A21695C">
      <w:pPr>
        <w:pStyle w:val="2"/>
        <w:spacing w:before="2" w:line="215" w:lineRule="auto"/>
        <w:ind w:left="1892"/>
        <w:rPr>
          <w:sz w:val="24"/>
          <w:szCs w:val="24"/>
        </w:rPr>
      </w:pPr>
      <w:r>
        <w:rPr>
          <w:spacing w:val="-21"/>
          <w:sz w:val="24"/>
          <w:szCs w:val="24"/>
        </w:rPr>
        <w:t>现场施工必须配备足够的工作人员，明确各自的岗位职责，使下</w:t>
      </w:r>
      <w:r>
        <w:rPr>
          <w:spacing w:val="-22"/>
          <w:sz w:val="24"/>
          <w:szCs w:val="24"/>
        </w:rPr>
        <w:t>道工序按计划进行。</w:t>
      </w:r>
    </w:p>
    <w:p w14:paraId="1430DDDA">
      <w:pPr>
        <w:pStyle w:val="2"/>
        <w:spacing w:before="120" w:line="218" w:lineRule="auto"/>
        <w:ind w:left="1888"/>
        <w:rPr>
          <w:sz w:val="24"/>
          <w:szCs w:val="24"/>
        </w:rPr>
      </w:pPr>
      <w:r>
        <w:rPr>
          <w:spacing w:val="-17"/>
          <w:sz w:val="24"/>
          <w:szCs w:val="24"/>
        </w:rPr>
        <w:t>2、模板工程措施</w:t>
      </w:r>
    </w:p>
    <w:p w14:paraId="153A29FA">
      <w:pPr>
        <w:pStyle w:val="2"/>
        <w:spacing w:before="117" w:line="306" w:lineRule="auto"/>
        <w:ind w:left="1455" w:right="1411" w:firstLine="439"/>
        <w:rPr>
          <w:sz w:val="24"/>
          <w:szCs w:val="24"/>
        </w:rPr>
      </w:pPr>
      <w:r>
        <w:rPr>
          <w:spacing w:val="-20"/>
          <w:sz w:val="24"/>
          <w:szCs w:val="24"/>
        </w:rPr>
        <w:t>在结构施工中，合理运用新技术、新工艺、新材料，如砼掺用早强剂，减水剂，以提前拆</w:t>
      </w:r>
      <w:r>
        <w:rPr>
          <w:spacing w:val="-21"/>
          <w:sz w:val="24"/>
          <w:szCs w:val="24"/>
        </w:rPr>
        <w:t>模时间，加快模板及骨料的周转。</w:t>
      </w:r>
    </w:p>
    <w:p w14:paraId="5B6EA854">
      <w:pPr>
        <w:pStyle w:val="2"/>
        <w:spacing w:before="4" w:line="214" w:lineRule="auto"/>
        <w:ind w:left="1892"/>
        <w:rPr>
          <w:sz w:val="24"/>
          <w:szCs w:val="24"/>
        </w:rPr>
      </w:pPr>
      <w:r>
        <w:rPr>
          <w:spacing w:val="-21"/>
          <w:sz w:val="24"/>
          <w:szCs w:val="24"/>
        </w:rPr>
        <w:t>模板分区分段施工，配备足够的周转材料及模板、人工，确保</w:t>
      </w:r>
      <w:r>
        <w:rPr>
          <w:spacing w:val="-22"/>
          <w:sz w:val="24"/>
          <w:szCs w:val="24"/>
        </w:rPr>
        <w:t>工程的连续进行。</w:t>
      </w:r>
    </w:p>
    <w:p w14:paraId="0FEF7628">
      <w:pPr>
        <w:pStyle w:val="2"/>
        <w:spacing w:before="122" w:line="217" w:lineRule="auto"/>
        <w:ind w:left="1895"/>
        <w:rPr>
          <w:sz w:val="24"/>
          <w:szCs w:val="24"/>
        </w:rPr>
      </w:pPr>
      <w:r>
        <w:rPr>
          <w:spacing w:val="-21"/>
          <w:sz w:val="24"/>
          <w:szCs w:val="24"/>
        </w:rPr>
        <w:t>采用钢框竹胶板，优化模板施工工艺，使上下工序顺</w:t>
      </w:r>
      <w:r>
        <w:rPr>
          <w:spacing w:val="-22"/>
          <w:sz w:val="24"/>
          <w:szCs w:val="24"/>
        </w:rPr>
        <w:t>利搭接。</w:t>
      </w:r>
    </w:p>
    <w:p w14:paraId="7762459E">
      <w:pPr>
        <w:pStyle w:val="2"/>
        <w:spacing w:before="116" w:line="217" w:lineRule="auto"/>
        <w:ind w:left="1893"/>
        <w:rPr>
          <w:sz w:val="24"/>
          <w:szCs w:val="24"/>
        </w:rPr>
      </w:pPr>
      <w:r>
        <w:rPr>
          <w:spacing w:val="-21"/>
          <w:sz w:val="24"/>
          <w:szCs w:val="24"/>
        </w:rPr>
        <w:t>柱模、平台模、梁模等分类堆放，挂牌注明使用部位，使</w:t>
      </w:r>
      <w:r>
        <w:rPr>
          <w:spacing w:val="-22"/>
          <w:sz w:val="24"/>
          <w:szCs w:val="24"/>
        </w:rPr>
        <w:t>上下工序顺利搭接。</w:t>
      </w:r>
    </w:p>
    <w:p w14:paraId="27B180FA">
      <w:pPr>
        <w:spacing w:line="217" w:lineRule="auto"/>
        <w:rPr>
          <w:sz w:val="24"/>
          <w:szCs w:val="24"/>
        </w:rPr>
        <w:sectPr>
          <w:footerReference r:id="rId337" w:type="default"/>
          <w:pgSz w:w="11907" w:h="16839"/>
          <w:pgMar w:top="933" w:right="4" w:bottom="1038" w:left="0" w:header="478" w:footer="357" w:gutter="0"/>
          <w:pgBorders>
            <w:top w:val="none" w:sz="0" w:space="0"/>
            <w:left w:val="none" w:sz="0" w:space="0"/>
            <w:bottom w:val="none" w:sz="0" w:space="0"/>
            <w:right w:val="none" w:sz="0" w:space="0"/>
          </w:pgBorders>
          <w:cols w:space="720" w:num="1"/>
        </w:sectPr>
      </w:pPr>
    </w:p>
    <w:p w14:paraId="621F3097">
      <w:pPr>
        <w:spacing w:line="271" w:lineRule="auto"/>
        <w:rPr>
          <w:rFonts w:ascii="Arial"/>
          <w:sz w:val="21"/>
        </w:rPr>
      </w:pPr>
    </w:p>
    <w:p w14:paraId="712F31EC">
      <w:pPr>
        <w:pStyle w:val="2"/>
        <w:spacing w:before="78" w:line="219" w:lineRule="auto"/>
        <w:ind w:left="1890"/>
        <w:rPr>
          <w:sz w:val="24"/>
          <w:szCs w:val="24"/>
        </w:rPr>
      </w:pPr>
      <w:r>
        <w:rPr>
          <w:spacing w:val="-18"/>
          <w:sz w:val="24"/>
          <w:szCs w:val="24"/>
        </w:rPr>
        <w:t>3、混凝土工程措施</w:t>
      </w:r>
    </w:p>
    <w:p w14:paraId="14273449">
      <w:pPr>
        <w:pStyle w:val="2"/>
        <w:spacing w:before="116" w:line="218" w:lineRule="auto"/>
        <w:ind w:left="1896"/>
        <w:rPr>
          <w:sz w:val="24"/>
          <w:szCs w:val="24"/>
        </w:rPr>
      </w:pPr>
      <w:r>
        <w:rPr>
          <w:spacing w:val="-21"/>
          <w:sz w:val="24"/>
          <w:szCs w:val="24"/>
        </w:rPr>
        <w:t>混凝土采用现场设置砼搅拌站的泵送体系。</w:t>
      </w:r>
    </w:p>
    <w:p w14:paraId="139113CE">
      <w:pPr>
        <w:pStyle w:val="2"/>
        <w:spacing w:before="115" w:line="214" w:lineRule="auto"/>
        <w:ind w:left="1895"/>
        <w:rPr>
          <w:sz w:val="24"/>
          <w:szCs w:val="24"/>
        </w:rPr>
      </w:pPr>
      <w:r>
        <w:rPr>
          <w:spacing w:val="-21"/>
          <w:sz w:val="24"/>
          <w:szCs w:val="24"/>
        </w:rPr>
        <w:t>在混凝土浇筑前，对混凝土机械作一次全面检查，确保机械</w:t>
      </w:r>
      <w:r>
        <w:rPr>
          <w:spacing w:val="-22"/>
          <w:sz w:val="24"/>
          <w:szCs w:val="24"/>
        </w:rPr>
        <w:t>的正常运转。</w:t>
      </w:r>
    </w:p>
    <w:p w14:paraId="05C6B9E7">
      <w:pPr>
        <w:pStyle w:val="2"/>
        <w:spacing w:before="121" w:line="217" w:lineRule="auto"/>
        <w:ind w:left="1893"/>
        <w:rPr>
          <w:sz w:val="24"/>
          <w:szCs w:val="24"/>
        </w:rPr>
      </w:pPr>
      <w:r>
        <w:rPr>
          <w:spacing w:val="-21"/>
          <w:sz w:val="24"/>
          <w:szCs w:val="24"/>
        </w:rPr>
        <w:t>优化混凝土施工方案，确定合理的浇捣顺序，配足混凝土浇</w:t>
      </w:r>
      <w:r>
        <w:rPr>
          <w:spacing w:val="-22"/>
          <w:sz w:val="24"/>
          <w:szCs w:val="24"/>
        </w:rPr>
        <w:t>捣机械。</w:t>
      </w:r>
    </w:p>
    <w:p w14:paraId="0C276FE2">
      <w:pPr>
        <w:pStyle w:val="2"/>
        <w:spacing w:before="119" w:line="215" w:lineRule="auto"/>
        <w:ind w:left="1896"/>
        <w:rPr>
          <w:sz w:val="24"/>
          <w:szCs w:val="24"/>
        </w:rPr>
      </w:pPr>
      <w:r>
        <w:rPr>
          <w:spacing w:val="-21"/>
          <w:sz w:val="24"/>
          <w:szCs w:val="24"/>
        </w:rPr>
        <w:t>配备足够的混凝土操作人员，确保在每一施工段施工</w:t>
      </w:r>
      <w:r>
        <w:rPr>
          <w:spacing w:val="-22"/>
          <w:sz w:val="24"/>
          <w:szCs w:val="24"/>
        </w:rPr>
        <w:t>时的连续进行。</w:t>
      </w:r>
    </w:p>
    <w:p w14:paraId="467221F4">
      <w:pPr>
        <w:pStyle w:val="2"/>
        <w:spacing w:before="119" w:line="217" w:lineRule="auto"/>
        <w:ind w:left="1884"/>
        <w:rPr>
          <w:sz w:val="24"/>
          <w:szCs w:val="24"/>
        </w:rPr>
      </w:pPr>
      <w:r>
        <w:rPr>
          <w:spacing w:val="-17"/>
          <w:sz w:val="24"/>
          <w:szCs w:val="24"/>
        </w:rPr>
        <w:t>4、安装工程控制</w:t>
      </w:r>
    </w:p>
    <w:p w14:paraId="7974C4F3">
      <w:pPr>
        <w:pStyle w:val="2"/>
        <w:spacing w:before="119" w:line="307" w:lineRule="auto"/>
        <w:ind w:left="1459" w:right="1409" w:firstLine="433"/>
        <w:rPr>
          <w:sz w:val="24"/>
          <w:szCs w:val="24"/>
        </w:rPr>
      </w:pPr>
      <w:r>
        <w:rPr>
          <w:spacing w:val="-20"/>
          <w:sz w:val="24"/>
          <w:szCs w:val="24"/>
        </w:rPr>
        <w:t>优化安装专业工程施工方案，使各工序顺利搭接，预留预埋在土建施工中同步进行。为各</w:t>
      </w:r>
      <w:r>
        <w:rPr>
          <w:spacing w:val="-22"/>
          <w:sz w:val="24"/>
          <w:szCs w:val="24"/>
        </w:rPr>
        <w:t>专业安装单位提供相应的工作面，确保工程顺利进行。</w:t>
      </w:r>
    </w:p>
    <w:p w14:paraId="785B276B">
      <w:pPr>
        <w:pStyle w:val="2"/>
        <w:spacing w:before="1" w:line="216" w:lineRule="auto"/>
        <w:ind w:left="1894"/>
        <w:rPr>
          <w:sz w:val="24"/>
          <w:szCs w:val="24"/>
        </w:rPr>
      </w:pPr>
      <w:r>
        <w:rPr>
          <w:spacing w:val="-21"/>
          <w:sz w:val="24"/>
          <w:szCs w:val="24"/>
        </w:rPr>
        <w:t>根据施工总进度计划，编制各单位安装施工进度计划。</w:t>
      </w:r>
    </w:p>
    <w:p w14:paraId="3E439C4B">
      <w:pPr>
        <w:pStyle w:val="2"/>
        <w:spacing w:before="118" w:line="308" w:lineRule="auto"/>
        <w:ind w:left="1470" w:right="1411" w:firstLine="431"/>
        <w:rPr>
          <w:sz w:val="24"/>
          <w:szCs w:val="24"/>
        </w:rPr>
      </w:pPr>
      <w:r>
        <w:rPr>
          <w:spacing w:val="-20"/>
          <w:sz w:val="24"/>
          <w:szCs w:val="24"/>
        </w:rPr>
        <w:t>每周定期召集各单位参加工程例会，落实协调会的计划进度，协调和解决安装与土建出现</w:t>
      </w:r>
      <w:r>
        <w:rPr>
          <w:spacing w:val="-19"/>
          <w:sz w:val="24"/>
          <w:szCs w:val="24"/>
        </w:rPr>
        <w:t>的矛盾。</w:t>
      </w:r>
    </w:p>
    <w:p w14:paraId="22664889">
      <w:pPr>
        <w:pStyle w:val="2"/>
        <w:spacing w:before="1" w:line="216" w:lineRule="auto"/>
        <w:ind w:left="1894"/>
        <w:rPr>
          <w:sz w:val="24"/>
          <w:szCs w:val="24"/>
        </w:rPr>
      </w:pPr>
      <w:r>
        <w:rPr>
          <w:spacing w:val="-21"/>
          <w:sz w:val="24"/>
          <w:szCs w:val="24"/>
        </w:rPr>
        <w:t>各专业安装工程均应跟随土建工程同步进行。</w:t>
      </w:r>
    </w:p>
    <w:p w14:paraId="4A5D4AC8">
      <w:pPr>
        <w:pStyle w:val="2"/>
        <w:spacing w:before="118" w:line="308" w:lineRule="auto"/>
        <w:ind w:left="1454" w:right="1409" w:firstLine="440"/>
        <w:rPr>
          <w:sz w:val="24"/>
          <w:szCs w:val="24"/>
        </w:rPr>
      </w:pPr>
      <w:r>
        <w:rPr>
          <w:spacing w:val="-20"/>
          <w:sz w:val="24"/>
          <w:szCs w:val="24"/>
        </w:rPr>
        <w:t>对安装工程所用的材料、设备加强计划管理，编制设备、材料进场时间，对业主提供的特</w:t>
      </w:r>
      <w:r>
        <w:rPr>
          <w:spacing w:val="-21"/>
          <w:sz w:val="24"/>
          <w:szCs w:val="24"/>
        </w:rPr>
        <w:t>殊设备、材料同样进行验收，并将验收情况24小时内用书面形式通知业主，对其它材料定向定型采购订货，确保供应的及时性，减少浪费和延误工期。</w:t>
      </w:r>
    </w:p>
    <w:p w14:paraId="7F914EC1">
      <w:pPr>
        <w:pStyle w:val="2"/>
        <w:spacing w:line="216" w:lineRule="auto"/>
        <w:ind w:left="1890"/>
        <w:rPr>
          <w:sz w:val="24"/>
          <w:szCs w:val="24"/>
        </w:rPr>
      </w:pPr>
      <w:r>
        <w:rPr>
          <w:spacing w:val="-17"/>
          <w:sz w:val="24"/>
          <w:szCs w:val="24"/>
        </w:rPr>
        <w:t>5、交叉作业措施</w:t>
      </w:r>
    </w:p>
    <w:p w14:paraId="148BAAAF">
      <w:pPr>
        <w:pStyle w:val="2"/>
        <w:spacing w:before="117" w:line="308" w:lineRule="auto"/>
        <w:ind w:left="1455" w:right="1409" w:firstLine="440"/>
        <w:rPr>
          <w:sz w:val="24"/>
          <w:szCs w:val="24"/>
        </w:rPr>
      </w:pPr>
      <w:r>
        <w:rPr>
          <w:spacing w:val="-20"/>
          <w:sz w:val="24"/>
          <w:szCs w:val="24"/>
        </w:rPr>
        <w:t>土建工程中挖土工、木工、钢筋工、混凝土工、架子工、装修工等各工种及机具、周转材料的管理协调配合非常重要。在实施平面流水立体交叉作业过程中必然会有诸多的矛盾，因此必须做好事先控制，计划准备工作；事中控制，管理人员深入现场及时协调解决矛盾；事后总结经验教训，及时调整部署。做好交叉作业的协调工作，应紧紧围绕“人、机、料、法”的调</w:t>
      </w:r>
      <w:r>
        <w:rPr>
          <w:spacing w:val="-21"/>
          <w:sz w:val="24"/>
          <w:szCs w:val="24"/>
        </w:rPr>
        <w:t>度使用，尤其是每周开好协调会议并做好会议纪要实施。</w:t>
      </w:r>
    </w:p>
    <w:p w14:paraId="0F654A76">
      <w:pPr>
        <w:pStyle w:val="2"/>
        <w:spacing w:before="1" w:line="219" w:lineRule="auto"/>
        <w:ind w:left="1888"/>
        <w:rPr>
          <w:sz w:val="24"/>
          <w:szCs w:val="24"/>
        </w:rPr>
      </w:pPr>
      <w:r>
        <w:rPr>
          <w:spacing w:val="-18"/>
          <w:sz w:val="24"/>
          <w:szCs w:val="24"/>
        </w:rPr>
        <w:t>2.8工期延误时的抢工措施</w:t>
      </w:r>
    </w:p>
    <w:p w14:paraId="6FFAE40D">
      <w:pPr>
        <w:pStyle w:val="2"/>
        <w:spacing w:before="118" w:line="307" w:lineRule="auto"/>
        <w:ind w:left="1455" w:right="1340" w:firstLine="468"/>
        <w:rPr>
          <w:sz w:val="24"/>
          <w:szCs w:val="24"/>
        </w:rPr>
      </w:pPr>
      <w:r>
        <w:rPr>
          <w:spacing w:val="-24"/>
          <w:sz w:val="24"/>
          <w:szCs w:val="24"/>
        </w:rPr>
        <w:t>由于施工生产中影响进度的因素纷繁复杂，如设计变更、技术、资金、机械、材</w:t>
      </w:r>
      <w:r>
        <w:rPr>
          <w:spacing w:val="-25"/>
          <w:sz w:val="24"/>
          <w:szCs w:val="24"/>
        </w:rPr>
        <w:t>料、人力、</w:t>
      </w:r>
      <w:r>
        <w:rPr>
          <w:spacing w:val="-20"/>
          <w:sz w:val="24"/>
          <w:szCs w:val="24"/>
        </w:rPr>
        <w:t>水电供应、气候、组织协调等等，仍不可避免会出现在某阶段暂时性的工期滞后，为了防止一步落后，步步落后的现象发生，保证目标总工期的实现，就必须采取各种措施预防和克服上述</w:t>
      </w:r>
      <w:r>
        <w:rPr>
          <w:spacing w:val="-21"/>
          <w:sz w:val="24"/>
          <w:szCs w:val="24"/>
        </w:rPr>
        <w:t>影响进度的诸多因素，为此，提出以下具有针对性的赶工措</w:t>
      </w:r>
      <w:r>
        <w:rPr>
          <w:spacing w:val="-22"/>
          <w:sz w:val="24"/>
          <w:szCs w:val="24"/>
        </w:rPr>
        <w:t>施。</w:t>
      </w:r>
    </w:p>
    <w:p w14:paraId="4FC0441A">
      <w:pPr>
        <w:pStyle w:val="2"/>
        <w:spacing w:line="218" w:lineRule="auto"/>
        <w:ind w:left="1888"/>
        <w:rPr>
          <w:sz w:val="24"/>
          <w:szCs w:val="24"/>
        </w:rPr>
      </w:pPr>
      <w:r>
        <w:rPr>
          <w:spacing w:val="-14"/>
          <w:sz w:val="24"/>
          <w:szCs w:val="24"/>
        </w:rPr>
        <w:t>2.8.1技术措施</w:t>
      </w:r>
    </w:p>
    <w:p w14:paraId="0F30F53A">
      <w:pPr>
        <w:pStyle w:val="2"/>
        <w:spacing w:before="117" w:line="285" w:lineRule="auto"/>
        <w:ind w:left="1456" w:right="1411" w:firstLine="447"/>
        <w:rPr>
          <w:sz w:val="24"/>
          <w:szCs w:val="24"/>
        </w:rPr>
      </w:pPr>
      <w:r>
        <w:rPr>
          <w:spacing w:val="-22"/>
          <w:sz w:val="24"/>
          <w:szCs w:val="24"/>
        </w:rPr>
        <w:t>1、首先必须组织工程技术人员和作业班长熟悉施工图纸</w:t>
      </w:r>
      <w:r>
        <w:rPr>
          <w:spacing w:val="-23"/>
          <w:sz w:val="24"/>
          <w:szCs w:val="24"/>
        </w:rPr>
        <w:t>，优化施工方案，为快速施工创造</w:t>
      </w:r>
      <w:r>
        <w:rPr>
          <w:spacing w:val="-20"/>
          <w:sz w:val="24"/>
          <w:szCs w:val="24"/>
        </w:rPr>
        <w:t>条件；制定各分部分项工程施工工艺及技术保障措施（如砼施工及养护、地下防水、后浇带施工、支模承重架及拆模的施工技术措施，小到屋面防水节点构造等的施工方法及程序</w:t>
      </w:r>
      <w:r>
        <w:rPr>
          <w:spacing w:val="-16"/>
          <w:sz w:val="24"/>
          <w:szCs w:val="24"/>
        </w:rPr>
        <w:t>），</w:t>
      </w:r>
      <w:r>
        <w:rPr>
          <w:spacing w:val="-20"/>
          <w:sz w:val="24"/>
          <w:szCs w:val="24"/>
        </w:rPr>
        <w:t>提前</w:t>
      </w:r>
      <w:r>
        <w:rPr>
          <w:spacing w:val="-21"/>
          <w:sz w:val="24"/>
          <w:szCs w:val="24"/>
        </w:rPr>
        <w:t>做好一切施工技术准备工作，从而保证严格按审定的进度计</w:t>
      </w:r>
      <w:r>
        <w:rPr>
          <w:spacing w:val="-22"/>
          <w:sz w:val="24"/>
          <w:szCs w:val="24"/>
        </w:rPr>
        <w:t>划实施。</w:t>
      </w:r>
    </w:p>
    <w:p w14:paraId="309F874F">
      <w:pPr>
        <w:pStyle w:val="2"/>
        <w:spacing w:before="119" w:line="262" w:lineRule="auto"/>
        <w:ind w:left="1458" w:right="1436" w:firstLine="430"/>
        <w:rPr>
          <w:sz w:val="24"/>
          <w:szCs w:val="24"/>
        </w:rPr>
      </w:pPr>
      <w:r>
        <w:rPr>
          <w:spacing w:val="-23"/>
          <w:sz w:val="24"/>
          <w:szCs w:val="24"/>
        </w:rPr>
        <w:t>2、积极引进、采用有利于保证质量，加快进度的新技术、新工艺，在本工程中采用常用的</w:t>
      </w:r>
      <w:r>
        <w:rPr>
          <w:spacing w:val="-21"/>
          <w:sz w:val="24"/>
          <w:szCs w:val="24"/>
        </w:rPr>
        <w:t>泵送混凝土、钢筋直螺纹连接、竖向钢筋电渣压力焊</w:t>
      </w:r>
      <w:r>
        <w:rPr>
          <w:spacing w:val="-22"/>
          <w:sz w:val="24"/>
          <w:szCs w:val="24"/>
        </w:rPr>
        <w:t>等，以保证进度目标实现。</w:t>
      </w:r>
    </w:p>
    <w:p w14:paraId="43E033E1">
      <w:pPr>
        <w:pStyle w:val="2"/>
        <w:spacing w:before="119" w:line="263" w:lineRule="auto"/>
        <w:ind w:left="1462" w:right="1426" w:firstLine="428"/>
        <w:rPr>
          <w:sz w:val="24"/>
          <w:szCs w:val="24"/>
        </w:rPr>
      </w:pPr>
      <w:r>
        <w:rPr>
          <w:spacing w:val="-22"/>
          <w:sz w:val="24"/>
          <w:szCs w:val="24"/>
        </w:rPr>
        <w:t>3、落实施工方案，在发生问题时，及时与设计、甲</w:t>
      </w:r>
      <w:r>
        <w:rPr>
          <w:spacing w:val="-23"/>
          <w:sz w:val="24"/>
          <w:szCs w:val="24"/>
        </w:rPr>
        <w:t>方、监理沟通，根据现场实际，寻求妥</w:t>
      </w:r>
      <w:r>
        <w:rPr>
          <w:spacing w:val="-22"/>
          <w:sz w:val="24"/>
          <w:szCs w:val="24"/>
        </w:rPr>
        <w:t>善处理方法，遇事不拖，及时解决，加快施工进度。</w:t>
      </w:r>
    </w:p>
    <w:p w14:paraId="2E4ADA0D">
      <w:pPr>
        <w:pStyle w:val="2"/>
        <w:spacing w:before="115" w:line="215" w:lineRule="auto"/>
        <w:ind w:left="1884"/>
        <w:rPr>
          <w:sz w:val="24"/>
          <w:szCs w:val="24"/>
        </w:rPr>
      </w:pPr>
      <w:r>
        <w:rPr>
          <w:spacing w:val="-24"/>
          <w:sz w:val="24"/>
          <w:szCs w:val="24"/>
        </w:rPr>
        <w:t>4、施工面积大的有利条件是作业面宽敞，在保证足够劳动力的前提下，进行作业分栋管理，</w:t>
      </w:r>
    </w:p>
    <w:p w14:paraId="547702E9">
      <w:pPr>
        <w:spacing w:line="215" w:lineRule="auto"/>
        <w:rPr>
          <w:sz w:val="24"/>
          <w:szCs w:val="24"/>
        </w:rPr>
        <w:sectPr>
          <w:footerReference r:id="rId338" w:type="default"/>
          <w:pgSz w:w="11907" w:h="16839"/>
          <w:pgMar w:top="933" w:right="4" w:bottom="1038" w:left="0" w:header="478" w:footer="357" w:gutter="0"/>
          <w:pgBorders>
            <w:top w:val="none" w:sz="0" w:space="0"/>
            <w:left w:val="none" w:sz="0" w:space="0"/>
            <w:bottom w:val="none" w:sz="0" w:space="0"/>
            <w:right w:val="none" w:sz="0" w:space="0"/>
          </w:pgBorders>
          <w:cols w:space="720" w:num="1"/>
        </w:sectPr>
      </w:pPr>
    </w:p>
    <w:p w14:paraId="2FF7D84B">
      <w:pPr>
        <w:spacing w:line="271" w:lineRule="auto"/>
        <w:rPr>
          <w:rFonts w:ascii="Arial"/>
          <w:sz w:val="21"/>
        </w:rPr>
      </w:pPr>
    </w:p>
    <w:p w14:paraId="4ACEC33C">
      <w:pPr>
        <w:pStyle w:val="2"/>
        <w:spacing w:before="78" w:line="216" w:lineRule="auto"/>
        <w:ind w:left="1461"/>
        <w:rPr>
          <w:sz w:val="24"/>
          <w:szCs w:val="24"/>
        </w:rPr>
      </w:pPr>
      <w:r>
        <w:rPr>
          <w:spacing w:val="-21"/>
          <w:sz w:val="24"/>
          <w:szCs w:val="24"/>
        </w:rPr>
        <w:t>通过作业分栋来缩小工程规模，组织平行加流水</w:t>
      </w:r>
      <w:r>
        <w:rPr>
          <w:spacing w:val="-22"/>
          <w:sz w:val="24"/>
          <w:szCs w:val="24"/>
        </w:rPr>
        <w:t>施工。</w:t>
      </w:r>
    </w:p>
    <w:p w14:paraId="315B679F">
      <w:pPr>
        <w:pStyle w:val="2"/>
        <w:spacing w:before="119" w:line="262" w:lineRule="auto"/>
        <w:ind w:left="1458" w:right="1355" w:firstLine="432"/>
        <w:rPr>
          <w:sz w:val="24"/>
          <w:szCs w:val="24"/>
        </w:rPr>
      </w:pPr>
      <w:r>
        <w:rPr>
          <w:spacing w:val="-26"/>
          <w:sz w:val="24"/>
          <w:szCs w:val="24"/>
        </w:rPr>
        <w:t>5、建立准确可靠的现场质量监督网络，加强质检控制，保证施工质量，做好成品保护措施，</w:t>
      </w:r>
      <w:r>
        <w:rPr>
          <w:spacing w:val="-21"/>
          <w:sz w:val="24"/>
          <w:szCs w:val="24"/>
        </w:rPr>
        <w:t>减少不必要的返工、返修，以质量保工期，加快施工进度。</w:t>
      </w:r>
    </w:p>
    <w:p w14:paraId="49F50A5D">
      <w:pPr>
        <w:pStyle w:val="2"/>
        <w:spacing w:before="120" w:line="262" w:lineRule="auto"/>
        <w:ind w:left="1457" w:right="1412" w:firstLine="430"/>
        <w:rPr>
          <w:sz w:val="24"/>
          <w:szCs w:val="24"/>
        </w:rPr>
      </w:pPr>
      <w:r>
        <w:rPr>
          <w:spacing w:val="-22"/>
          <w:sz w:val="24"/>
          <w:szCs w:val="24"/>
        </w:rPr>
        <w:t>6、施工班组人员多，所以每道工序施工前必须做好技术质量交底，制定详细而实施性强的保证各工序顺畅衔接，减少窝工，提高工效。</w:t>
      </w:r>
    </w:p>
    <w:p w14:paraId="0947D0D5">
      <w:pPr>
        <w:pStyle w:val="2"/>
        <w:spacing w:before="116" w:line="216" w:lineRule="auto"/>
        <w:ind w:left="1891"/>
        <w:rPr>
          <w:sz w:val="24"/>
          <w:szCs w:val="24"/>
        </w:rPr>
      </w:pPr>
      <w:r>
        <w:rPr>
          <w:spacing w:val="-21"/>
          <w:sz w:val="24"/>
          <w:szCs w:val="24"/>
        </w:rPr>
        <w:t>7、针对交叉作业多的情况，施工中统筹安排，合理安排工序之间的流水与搭接。</w:t>
      </w:r>
    </w:p>
    <w:p w14:paraId="5103F1EB">
      <w:pPr>
        <w:pStyle w:val="2"/>
        <w:spacing w:before="116" w:line="295" w:lineRule="auto"/>
        <w:ind w:left="1456" w:right="1412" w:firstLine="430"/>
        <w:rPr>
          <w:sz w:val="24"/>
          <w:szCs w:val="24"/>
        </w:rPr>
      </w:pPr>
      <w:r>
        <w:rPr>
          <w:spacing w:val="-22"/>
          <w:sz w:val="24"/>
          <w:szCs w:val="24"/>
        </w:rPr>
        <w:t>8、实行进度计划的有效动态管理控制并适时调整，使周、月、季计划更具有现实性。以工</w:t>
      </w:r>
      <w:r>
        <w:rPr>
          <w:spacing w:val="-20"/>
          <w:sz w:val="24"/>
          <w:szCs w:val="24"/>
        </w:rPr>
        <w:t>程总体进度网络为纲，编制各施工阶段详细的实施计划，包括季度、月度、周计划，明确时间要求，据此向各作业队、班组下达任务。在安排施工进度时，各分部分项工程工作安排将根据实际情况，分别予以提前5%~10%，以确保工期目标的实现。并根据不同施工阶</w:t>
      </w:r>
      <w:r>
        <w:rPr>
          <w:spacing w:val="-21"/>
          <w:sz w:val="24"/>
          <w:szCs w:val="24"/>
        </w:rPr>
        <w:t>段及专业特点，</w:t>
      </w:r>
      <w:r>
        <w:rPr>
          <w:spacing w:val="-22"/>
          <w:sz w:val="24"/>
          <w:szCs w:val="24"/>
        </w:rPr>
        <w:t>把握施工周期中关键线路，决不允许关键线路上的工作事件被延误,对于非关键线路的</w:t>
      </w:r>
      <w:r>
        <w:rPr>
          <w:spacing w:val="-23"/>
          <w:sz w:val="24"/>
          <w:szCs w:val="24"/>
        </w:rPr>
        <w:t>工作，则</w:t>
      </w:r>
      <w:r>
        <w:rPr>
          <w:spacing w:val="-20"/>
          <w:sz w:val="24"/>
          <w:szCs w:val="24"/>
        </w:rPr>
        <w:t>可合理利用时差，在工作完成日期适当调整不影响计划工期的前提下，灵活安排施工机械和劳</w:t>
      </w:r>
      <w:r>
        <w:rPr>
          <w:spacing w:val="-21"/>
          <w:sz w:val="24"/>
          <w:szCs w:val="24"/>
        </w:rPr>
        <w:t>动力流水施工。做到重点突出，兼顾全局，紧张有序，忙而</w:t>
      </w:r>
      <w:r>
        <w:rPr>
          <w:spacing w:val="-22"/>
          <w:sz w:val="24"/>
          <w:szCs w:val="24"/>
        </w:rPr>
        <w:t>不乱。</w:t>
      </w:r>
    </w:p>
    <w:p w14:paraId="77C1C2D9">
      <w:pPr>
        <w:pStyle w:val="2"/>
        <w:spacing w:before="120" w:line="217" w:lineRule="auto"/>
        <w:ind w:left="1888"/>
        <w:rPr>
          <w:sz w:val="24"/>
          <w:szCs w:val="24"/>
        </w:rPr>
      </w:pPr>
      <w:r>
        <w:rPr>
          <w:spacing w:val="-14"/>
          <w:sz w:val="24"/>
          <w:szCs w:val="24"/>
        </w:rPr>
        <w:t>2.8.2经济措施</w:t>
      </w:r>
    </w:p>
    <w:p w14:paraId="3BF0F4FD">
      <w:pPr>
        <w:pStyle w:val="2"/>
        <w:spacing w:before="116" w:line="278" w:lineRule="auto"/>
        <w:ind w:left="1456" w:right="1411" w:firstLine="447"/>
        <w:rPr>
          <w:sz w:val="24"/>
          <w:szCs w:val="24"/>
        </w:rPr>
      </w:pPr>
      <w:r>
        <w:rPr>
          <w:spacing w:val="-22"/>
          <w:sz w:val="24"/>
          <w:szCs w:val="24"/>
        </w:rPr>
        <w:t>1、落实实现进度目标的保证资金，根据施工实际情况编</w:t>
      </w:r>
      <w:r>
        <w:rPr>
          <w:spacing w:val="-23"/>
          <w:sz w:val="24"/>
          <w:szCs w:val="24"/>
        </w:rPr>
        <w:t>制月进度报表，工程款做到专款专</w:t>
      </w:r>
      <w:r>
        <w:rPr>
          <w:spacing w:val="-20"/>
          <w:sz w:val="24"/>
          <w:szCs w:val="24"/>
        </w:rPr>
        <w:t>用，使之合理分配于人工费、材料费等各个方面，公司财务定期检查核实，从资金上保证工作</w:t>
      </w:r>
      <w:r>
        <w:rPr>
          <w:spacing w:val="-19"/>
          <w:sz w:val="24"/>
          <w:szCs w:val="24"/>
        </w:rPr>
        <w:t>能够顺利进行。</w:t>
      </w:r>
    </w:p>
    <w:p w14:paraId="23BCF60E">
      <w:pPr>
        <w:pStyle w:val="2"/>
        <w:spacing w:before="117" w:line="262" w:lineRule="auto"/>
        <w:ind w:left="1459" w:right="1411" w:firstLine="429"/>
        <w:rPr>
          <w:sz w:val="24"/>
          <w:szCs w:val="24"/>
        </w:rPr>
      </w:pPr>
      <w:r>
        <w:rPr>
          <w:spacing w:val="-22"/>
          <w:sz w:val="24"/>
          <w:szCs w:val="24"/>
        </w:rPr>
        <w:t>2、签订并实施关于工期和进度的经济承包责任制，包括公司与项目部，项目部与管理人员及作业班组，乃至作业班组与工人个人之间的责任状。</w:t>
      </w:r>
    </w:p>
    <w:p w14:paraId="6A5EFD31">
      <w:pPr>
        <w:pStyle w:val="2"/>
        <w:spacing w:before="121" w:line="289" w:lineRule="auto"/>
        <w:ind w:left="1456" w:right="1412" w:firstLine="434"/>
        <w:rPr>
          <w:sz w:val="24"/>
          <w:szCs w:val="24"/>
        </w:rPr>
      </w:pPr>
      <w:r>
        <w:rPr>
          <w:spacing w:val="-22"/>
          <w:sz w:val="24"/>
          <w:szCs w:val="24"/>
        </w:rPr>
        <w:t>3、建立并实施关于工期和进度的奖惩制度，实行奖惩制度是项目管理上激励机制和</w:t>
      </w:r>
      <w:r>
        <w:rPr>
          <w:spacing w:val="-23"/>
          <w:sz w:val="24"/>
          <w:szCs w:val="24"/>
        </w:rPr>
        <w:t>制约机</w:t>
      </w:r>
      <w:r>
        <w:rPr>
          <w:spacing w:val="-20"/>
          <w:sz w:val="24"/>
          <w:szCs w:val="24"/>
        </w:rPr>
        <w:t>制的具体体现，根据招标文件业主承诺的工期奖罚额度以及项目部层层签订的责任状，层层落实，层层考核，层层兑现。并预先将奖金分解到各工种班组中去，在全体参施人员中牢固树立质量争第一、进度也要第一的思想，通过对目标实现与否的重奖重罚增强项目部所有人员的责</w:t>
      </w:r>
      <w:r>
        <w:rPr>
          <w:spacing w:val="-22"/>
          <w:sz w:val="24"/>
          <w:szCs w:val="24"/>
        </w:rPr>
        <w:t>任心与积极性。</w:t>
      </w:r>
    </w:p>
    <w:p w14:paraId="2FB1C464">
      <w:pPr>
        <w:pStyle w:val="2"/>
        <w:spacing w:before="119" w:line="217" w:lineRule="auto"/>
        <w:ind w:left="1884"/>
        <w:rPr>
          <w:sz w:val="24"/>
          <w:szCs w:val="24"/>
        </w:rPr>
      </w:pPr>
      <w:r>
        <w:rPr>
          <w:spacing w:val="-21"/>
          <w:sz w:val="24"/>
          <w:szCs w:val="24"/>
        </w:rPr>
        <w:t>4、特殊时期还需考虑人工紧张劳动力增加费、停水停电机械租费等的资金储备。</w:t>
      </w:r>
    </w:p>
    <w:p w14:paraId="4718AD64">
      <w:pPr>
        <w:pStyle w:val="2"/>
        <w:spacing w:before="120" w:line="218" w:lineRule="auto"/>
        <w:ind w:left="1888"/>
        <w:rPr>
          <w:sz w:val="24"/>
          <w:szCs w:val="24"/>
        </w:rPr>
      </w:pPr>
      <w:r>
        <w:rPr>
          <w:spacing w:val="-15"/>
          <w:sz w:val="24"/>
          <w:szCs w:val="24"/>
        </w:rPr>
        <w:t>2.8.3组织协调措施</w:t>
      </w:r>
    </w:p>
    <w:p w14:paraId="0B2CB394">
      <w:pPr>
        <w:pStyle w:val="2"/>
        <w:spacing w:before="115" w:line="293" w:lineRule="auto"/>
        <w:ind w:left="1455" w:right="1356" w:firstLine="447"/>
        <w:rPr>
          <w:sz w:val="24"/>
          <w:szCs w:val="24"/>
        </w:rPr>
      </w:pPr>
      <w:r>
        <w:rPr>
          <w:spacing w:val="-22"/>
          <w:sz w:val="24"/>
          <w:szCs w:val="24"/>
        </w:rPr>
        <w:t>1、建立施工项目进度实施和控制的组织系统及目标控</w:t>
      </w:r>
      <w:r>
        <w:rPr>
          <w:spacing w:val="-23"/>
          <w:sz w:val="24"/>
          <w:szCs w:val="24"/>
        </w:rPr>
        <w:t>制体系，实行以总承包项目经理为首</w:t>
      </w:r>
      <w:r>
        <w:rPr>
          <w:spacing w:val="-20"/>
          <w:sz w:val="24"/>
          <w:szCs w:val="24"/>
        </w:rPr>
        <w:t>的施工调度中心，强化总承包管理，将所有参与本工程施工的各专业力量拧成一股绳，控制在总承包的统一部署之下，及时同有关分项队组互通信息，掌握施工动态，协调内部各专业工种</w:t>
      </w:r>
      <w:r>
        <w:rPr>
          <w:spacing w:val="-19"/>
          <w:sz w:val="24"/>
          <w:szCs w:val="24"/>
        </w:rPr>
        <w:t>之间的工作，注意后续工序的准备，布置工序之间的交接，及时解决</w:t>
      </w:r>
      <w:r>
        <w:rPr>
          <w:spacing w:val="-20"/>
          <w:sz w:val="24"/>
          <w:szCs w:val="24"/>
        </w:rPr>
        <w:t>施工中出现的各类问题，</w:t>
      </w:r>
      <w:r>
        <w:rPr>
          <w:spacing w:val="-24"/>
          <w:sz w:val="24"/>
          <w:szCs w:val="24"/>
        </w:rPr>
        <w:t>促成各专业几近同步地完成各自的施工任务。并成立快速应变工作小组，发现问题，当场解决，</w:t>
      </w:r>
      <w:r>
        <w:rPr>
          <w:spacing w:val="-21"/>
          <w:sz w:val="24"/>
          <w:szCs w:val="24"/>
        </w:rPr>
        <w:t>不推不拖，化解矛盾，减少工期损失。</w:t>
      </w:r>
    </w:p>
    <w:p w14:paraId="0EB30253">
      <w:pPr>
        <w:pStyle w:val="2"/>
        <w:spacing w:before="113" w:line="285" w:lineRule="auto"/>
        <w:ind w:left="1458" w:right="1343" w:firstLine="430"/>
        <w:rPr>
          <w:sz w:val="24"/>
          <w:szCs w:val="24"/>
        </w:rPr>
      </w:pPr>
      <w:r>
        <w:rPr>
          <w:spacing w:val="-26"/>
          <w:sz w:val="24"/>
          <w:szCs w:val="24"/>
        </w:rPr>
        <w:t>2、订立进度控制工作制度，在施工中，定期检查，随时监控施工过程的信息流，实现连续、</w:t>
      </w:r>
      <w:r>
        <w:rPr>
          <w:spacing w:val="-20"/>
          <w:sz w:val="24"/>
          <w:szCs w:val="24"/>
        </w:rPr>
        <w:t>动态的全过程进度目标控制，比照计划，分析进度执行情况，及时调整人力、物力、资金及机</w:t>
      </w:r>
      <w:r>
        <w:rPr>
          <w:spacing w:val="-19"/>
          <w:sz w:val="24"/>
          <w:szCs w:val="24"/>
        </w:rPr>
        <w:t>械的投入量。并及时总结前一段或借鉴兄弟单位的成功经验</w:t>
      </w:r>
      <w:r>
        <w:rPr>
          <w:spacing w:val="-20"/>
          <w:sz w:val="24"/>
          <w:szCs w:val="24"/>
        </w:rPr>
        <w:t>，不断改进优化施工工艺与程序，</w:t>
      </w:r>
      <w:r>
        <w:rPr>
          <w:spacing w:val="-21"/>
          <w:sz w:val="24"/>
          <w:szCs w:val="24"/>
        </w:rPr>
        <w:t>上下动员，齐心协力，出谋献策，共同把工作做到最好。</w:t>
      </w:r>
    </w:p>
    <w:p w14:paraId="7B3AD13D">
      <w:pPr>
        <w:spacing w:line="285" w:lineRule="auto"/>
        <w:rPr>
          <w:sz w:val="24"/>
          <w:szCs w:val="24"/>
        </w:rPr>
        <w:sectPr>
          <w:footerReference r:id="rId339" w:type="default"/>
          <w:pgSz w:w="11907" w:h="16839"/>
          <w:pgMar w:top="933" w:right="4" w:bottom="1038" w:left="0" w:header="478" w:footer="357" w:gutter="0"/>
          <w:pgBorders>
            <w:top w:val="none" w:sz="0" w:space="0"/>
            <w:left w:val="none" w:sz="0" w:space="0"/>
            <w:bottom w:val="none" w:sz="0" w:space="0"/>
            <w:right w:val="none" w:sz="0" w:space="0"/>
          </w:pgBorders>
          <w:cols w:space="720" w:num="1"/>
        </w:sectPr>
      </w:pPr>
    </w:p>
    <w:p w14:paraId="44A9EB8D">
      <w:pPr>
        <w:spacing w:line="271" w:lineRule="auto"/>
        <w:rPr>
          <w:rFonts w:ascii="Arial"/>
          <w:sz w:val="21"/>
        </w:rPr>
      </w:pPr>
    </w:p>
    <w:p w14:paraId="643DD0B5">
      <w:pPr>
        <w:pStyle w:val="2"/>
        <w:spacing w:before="78" w:line="277" w:lineRule="auto"/>
        <w:ind w:left="1456" w:right="1409" w:firstLine="434"/>
        <w:rPr>
          <w:sz w:val="24"/>
          <w:szCs w:val="24"/>
        </w:rPr>
      </w:pPr>
      <w:r>
        <w:rPr>
          <w:spacing w:val="-22"/>
          <w:sz w:val="24"/>
          <w:szCs w:val="24"/>
        </w:rPr>
        <w:t>3、落实各层次进度控制人员的具体任务和工作职责，实行节日期间不停工，双休日、春节</w:t>
      </w:r>
      <w:r>
        <w:rPr>
          <w:spacing w:val="-20"/>
          <w:sz w:val="24"/>
          <w:szCs w:val="24"/>
        </w:rPr>
        <w:t>等国定假日实施轮休，合理安排班组工作作息，以经济嘉奖作为鼓励。重点部位进行不间断连</w:t>
      </w:r>
      <w:r>
        <w:rPr>
          <w:spacing w:val="-21"/>
          <w:sz w:val="24"/>
          <w:szCs w:val="24"/>
        </w:rPr>
        <w:t>续施工，主要施工人员日夜值班，采用二班或三班工作制。</w:t>
      </w:r>
    </w:p>
    <w:p w14:paraId="72784AFC">
      <w:pPr>
        <w:pStyle w:val="2"/>
        <w:spacing w:before="123" w:line="292" w:lineRule="auto"/>
        <w:ind w:left="1456" w:right="1412" w:firstLine="428"/>
        <w:rPr>
          <w:sz w:val="24"/>
          <w:szCs w:val="24"/>
        </w:rPr>
      </w:pPr>
      <w:r>
        <w:rPr>
          <w:spacing w:val="-22"/>
          <w:sz w:val="24"/>
          <w:szCs w:val="24"/>
        </w:rPr>
        <w:t>4、重视现场协调会制度，分外联工程例会和内部工程例会两种形式。外联工程例会主要汇</w:t>
      </w:r>
      <w:r>
        <w:rPr>
          <w:spacing w:val="-20"/>
          <w:sz w:val="24"/>
          <w:szCs w:val="24"/>
        </w:rPr>
        <w:t>报工程进展情况，听取业主，监理、质监站及设计院等各方面的指导和意见，针对施工中的问题研讨处理方案措施，协调与业主外包专业工程施工单位的矛盾、协作关系；内部工程例会主要总结工程施工的进度、质量、安全情况，传达外联工程会议精神，明确各专业的施工顺序和工序穿叉的交接关系及责任，全面分析施工进度状况，找出问题根源，提出调整措施，加强各</w:t>
      </w:r>
      <w:r>
        <w:rPr>
          <w:spacing w:val="-21"/>
          <w:sz w:val="24"/>
          <w:szCs w:val="24"/>
        </w:rPr>
        <w:t>专业工种之间的协调、配合及工序交接管理，保证施工顺</w:t>
      </w:r>
      <w:r>
        <w:rPr>
          <w:spacing w:val="-22"/>
          <w:sz w:val="24"/>
          <w:szCs w:val="24"/>
        </w:rPr>
        <w:t>利进行。每周定期召开例会。</w:t>
      </w:r>
    </w:p>
    <w:p w14:paraId="7570B429">
      <w:pPr>
        <w:pStyle w:val="2"/>
        <w:spacing w:before="118" w:line="217" w:lineRule="auto"/>
        <w:ind w:left="1890"/>
        <w:rPr>
          <w:sz w:val="24"/>
          <w:szCs w:val="24"/>
        </w:rPr>
      </w:pPr>
      <w:r>
        <w:rPr>
          <w:spacing w:val="-21"/>
          <w:sz w:val="24"/>
          <w:szCs w:val="24"/>
        </w:rPr>
        <w:t>5、根据业主指令与安装单位协调，工程分区分批施工，分区分批验收交付安装。</w:t>
      </w:r>
    </w:p>
    <w:p w14:paraId="4775E067">
      <w:pPr>
        <w:pStyle w:val="2"/>
        <w:spacing w:before="119" w:line="219" w:lineRule="auto"/>
        <w:ind w:left="1888"/>
        <w:rPr>
          <w:sz w:val="24"/>
          <w:szCs w:val="24"/>
        </w:rPr>
      </w:pPr>
      <w:r>
        <w:rPr>
          <w:spacing w:val="-14"/>
          <w:sz w:val="24"/>
          <w:szCs w:val="24"/>
        </w:rPr>
        <w:t>2.8.4合同措施</w:t>
      </w:r>
    </w:p>
    <w:p w14:paraId="0869A694">
      <w:pPr>
        <w:pStyle w:val="2"/>
        <w:spacing w:before="113" w:line="263" w:lineRule="auto"/>
        <w:ind w:left="1456" w:right="1412" w:firstLine="447"/>
        <w:rPr>
          <w:sz w:val="24"/>
          <w:szCs w:val="24"/>
        </w:rPr>
      </w:pPr>
      <w:r>
        <w:rPr>
          <w:spacing w:val="-22"/>
          <w:sz w:val="24"/>
          <w:szCs w:val="24"/>
        </w:rPr>
        <w:t>1、以合同形式保证工期进度的实现，首先是保持总进</w:t>
      </w:r>
      <w:r>
        <w:rPr>
          <w:spacing w:val="-23"/>
          <w:sz w:val="24"/>
          <w:szCs w:val="24"/>
        </w:rPr>
        <w:t>度控制目标与合同总工期相一致，其</w:t>
      </w:r>
      <w:r>
        <w:rPr>
          <w:spacing w:val="-21"/>
          <w:sz w:val="24"/>
          <w:szCs w:val="24"/>
        </w:rPr>
        <w:t>次为分包合同的工期与总包合同的工期相一致。</w:t>
      </w:r>
    </w:p>
    <w:p w14:paraId="12852504">
      <w:pPr>
        <w:pStyle w:val="2"/>
        <w:spacing w:before="119" w:line="217" w:lineRule="auto"/>
        <w:ind w:left="1888"/>
        <w:rPr>
          <w:sz w:val="24"/>
          <w:szCs w:val="24"/>
        </w:rPr>
      </w:pPr>
      <w:r>
        <w:rPr>
          <w:spacing w:val="-21"/>
          <w:sz w:val="24"/>
          <w:szCs w:val="24"/>
        </w:rPr>
        <w:t>2、供货、供电、运输、构件加工等合同规定的提供服务时间与有关的进度控制目标一致。</w:t>
      </w:r>
    </w:p>
    <w:p w14:paraId="10BB6C4A">
      <w:pPr>
        <w:pStyle w:val="2"/>
        <w:spacing w:before="116" w:line="263" w:lineRule="auto"/>
        <w:ind w:left="1458" w:right="1410" w:firstLine="432"/>
        <w:rPr>
          <w:sz w:val="24"/>
          <w:szCs w:val="24"/>
        </w:rPr>
      </w:pPr>
      <w:r>
        <w:rPr>
          <w:spacing w:val="-22"/>
          <w:sz w:val="24"/>
          <w:szCs w:val="24"/>
        </w:rPr>
        <w:t>3、以上各种合同一经签订，便具有法律效力，明确各自在本工程中所应承担的义务，若有</w:t>
      </w:r>
      <w:r>
        <w:rPr>
          <w:spacing w:val="-21"/>
          <w:sz w:val="24"/>
          <w:szCs w:val="24"/>
        </w:rPr>
        <w:t>违反追究其违约的法律责任。</w:t>
      </w:r>
    </w:p>
    <w:p w14:paraId="3B84B978">
      <w:pPr>
        <w:pStyle w:val="2"/>
        <w:spacing w:before="117" w:line="216" w:lineRule="auto"/>
        <w:ind w:left="1888"/>
        <w:rPr>
          <w:sz w:val="24"/>
          <w:szCs w:val="24"/>
        </w:rPr>
      </w:pPr>
      <w:r>
        <w:rPr>
          <w:spacing w:val="-16"/>
          <w:sz w:val="24"/>
          <w:szCs w:val="24"/>
        </w:rPr>
        <w:t>2.8.5材料计划管理措施</w:t>
      </w:r>
    </w:p>
    <w:p w14:paraId="602BB01C">
      <w:pPr>
        <w:pStyle w:val="2"/>
        <w:spacing w:before="117" w:line="278" w:lineRule="auto"/>
        <w:ind w:left="1456" w:right="1412" w:firstLine="447"/>
        <w:rPr>
          <w:sz w:val="24"/>
          <w:szCs w:val="24"/>
        </w:rPr>
      </w:pPr>
      <w:r>
        <w:rPr>
          <w:spacing w:val="-22"/>
          <w:sz w:val="24"/>
          <w:szCs w:val="24"/>
        </w:rPr>
        <w:t>1、钢筋、水泥、砂石及早联系，根据实际情况编制各</w:t>
      </w:r>
      <w:r>
        <w:rPr>
          <w:spacing w:val="-23"/>
          <w:sz w:val="24"/>
          <w:szCs w:val="24"/>
        </w:rPr>
        <w:t>项材料计划表，按计划分批进场，适</w:t>
      </w:r>
      <w:r>
        <w:rPr>
          <w:spacing w:val="-20"/>
          <w:sz w:val="24"/>
          <w:szCs w:val="24"/>
        </w:rPr>
        <w:t>应施工进度的需要，并根据计划落实各种工程材料、成品半成品等材料货源，以保证其相应的</w:t>
      </w:r>
      <w:r>
        <w:rPr>
          <w:spacing w:val="-17"/>
          <w:sz w:val="24"/>
          <w:szCs w:val="24"/>
        </w:rPr>
        <w:t>运作周期。</w:t>
      </w:r>
    </w:p>
    <w:p w14:paraId="3B54A87D">
      <w:pPr>
        <w:pStyle w:val="2"/>
        <w:spacing w:before="117" w:line="216" w:lineRule="auto"/>
        <w:ind w:left="1888"/>
        <w:rPr>
          <w:sz w:val="24"/>
          <w:szCs w:val="24"/>
        </w:rPr>
      </w:pPr>
      <w:r>
        <w:rPr>
          <w:spacing w:val="-21"/>
          <w:sz w:val="24"/>
          <w:szCs w:val="24"/>
        </w:rPr>
        <w:t>2、地方材料采购，充分做好市场调查工作，落实货源，确保工程对材料的需求。</w:t>
      </w:r>
    </w:p>
    <w:p w14:paraId="152EB3F5">
      <w:pPr>
        <w:pStyle w:val="2"/>
        <w:spacing w:before="121" w:line="262" w:lineRule="auto"/>
        <w:ind w:left="1464" w:right="1412" w:firstLine="425"/>
        <w:rPr>
          <w:sz w:val="24"/>
          <w:szCs w:val="24"/>
        </w:rPr>
      </w:pPr>
      <w:r>
        <w:rPr>
          <w:spacing w:val="-22"/>
          <w:sz w:val="24"/>
          <w:szCs w:val="24"/>
        </w:rPr>
        <w:t>3、现场分别建立足够大的各种建材及周转材料储备仓库、堆场，防止灾害天气影响</w:t>
      </w:r>
      <w:r>
        <w:rPr>
          <w:spacing w:val="-23"/>
          <w:sz w:val="24"/>
          <w:szCs w:val="24"/>
        </w:rPr>
        <w:t>供货中</w:t>
      </w:r>
      <w:r>
        <w:rPr>
          <w:spacing w:val="-21"/>
          <w:sz w:val="24"/>
          <w:szCs w:val="24"/>
        </w:rPr>
        <w:t>断，保证工程正常施工。</w:t>
      </w:r>
    </w:p>
    <w:p w14:paraId="5F71DC58">
      <w:pPr>
        <w:pStyle w:val="2"/>
        <w:spacing w:before="117" w:line="263" w:lineRule="auto"/>
        <w:ind w:left="1459" w:right="1409" w:firstLine="425"/>
        <w:rPr>
          <w:sz w:val="24"/>
          <w:szCs w:val="24"/>
        </w:rPr>
      </w:pPr>
      <w:r>
        <w:rPr>
          <w:spacing w:val="-22"/>
          <w:sz w:val="24"/>
          <w:szCs w:val="24"/>
        </w:rPr>
        <w:t>4、随时了解材料供应动态，对缺口物资要做到心中有数，并积极协调，如对工程进度产生</w:t>
      </w:r>
      <w:r>
        <w:rPr>
          <w:spacing w:val="-21"/>
          <w:sz w:val="24"/>
          <w:szCs w:val="24"/>
        </w:rPr>
        <w:t>影响时，要提出调整局部进度计划和有效的补救措施，</w:t>
      </w:r>
      <w:r>
        <w:rPr>
          <w:spacing w:val="-22"/>
          <w:sz w:val="24"/>
          <w:szCs w:val="24"/>
        </w:rPr>
        <w:t>使总进度计划得以顺利实施。</w:t>
      </w:r>
    </w:p>
    <w:p w14:paraId="259213BE">
      <w:pPr>
        <w:pStyle w:val="2"/>
        <w:spacing w:before="119" w:line="261" w:lineRule="auto"/>
        <w:ind w:left="1457" w:right="1410" w:firstLine="433"/>
        <w:rPr>
          <w:sz w:val="24"/>
          <w:szCs w:val="24"/>
        </w:rPr>
      </w:pPr>
      <w:r>
        <w:rPr>
          <w:spacing w:val="-22"/>
          <w:sz w:val="24"/>
          <w:szCs w:val="24"/>
        </w:rPr>
        <w:t>5、根据不同的施工阶段要求，需业主、设计认可的材料、设备，在采购前提供样品及时确</w:t>
      </w:r>
      <w:r>
        <w:rPr>
          <w:spacing w:val="-21"/>
          <w:sz w:val="24"/>
          <w:szCs w:val="24"/>
        </w:rPr>
        <w:t>认，缩短不必要的非作业时间。</w:t>
      </w:r>
    </w:p>
    <w:p w14:paraId="7396F7D2">
      <w:pPr>
        <w:pStyle w:val="2"/>
        <w:spacing w:before="121" w:line="263" w:lineRule="auto"/>
        <w:ind w:left="1462" w:right="1411" w:firstLine="425"/>
        <w:rPr>
          <w:sz w:val="24"/>
          <w:szCs w:val="24"/>
        </w:rPr>
      </w:pPr>
      <w:r>
        <w:rPr>
          <w:spacing w:val="-22"/>
          <w:sz w:val="24"/>
          <w:szCs w:val="24"/>
        </w:rPr>
        <w:t>6、本工程中模板、钢管等周转材料用量极大，采取支模时梁板分离、后浇带与板承重架分</w:t>
      </w:r>
      <w:r>
        <w:rPr>
          <w:spacing w:val="-21"/>
          <w:sz w:val="24"/>
          <w:szCs w:val="24"/>
        </w:rPr>
        <w:t>离自成体系的模板早拆等技术措施。</w:t>
      </w:r>
    </w:p>
    <w:p w14:paraId="1C168651">
      <w:pPr>
        <w:pStyle w:val="2"/>
        <w:spacing w:before="114" w:line="217" w:lineRule="auto"/>
        <w:ind w:left="1888"/>
        <w:rPr>
          <w:sz w:val="24"/>
          <w:szCs w:val="24"/>
        </w:rPr>
      </w:pPr>
      <w:r>
        <w:rPr>
          <w:spacing w:val="-18"/>
          <w:sz w:val="24"/>
          <w:szCs w:val="24"/>
        </w:rPr>
        <w:t>2.8.6劳动力配置及保障措施</w:t>
      </w:r>
    </w:p>
    <w:p w14:paraId="70226623">
      <w:pPr>
        <w:pStyle w:val="2"/>
        <w:spacing w:before="120" w:line="262" w:lineRule="auto"/>
        <w:ind w:left="1468" w:right="1412" w:firstLine="434"/>
        <w:rPr>
          <w:sz w:val="24"/>
          <w:szCs w:val="24"/>
        </w:rPr>
      </w:pPr>
      <w:r>
        <w:rPr>
          <w:spacing w:val="-22"/>
          <w:sz w:val="24"/>
          <w:szCs w:val="24"/>
        </w:rPr>
        <w:t>1、施工劳务层是施工过程的实际操作人员，是施工进</w:t>
      </w:r>
      <w:r>
        <w:rPr>
          <w:spacing w:val="-23"/>
          <w:sz w:val="24"/>
          <w:szCs w:val="24"/>
        </w:rPr>
        <w:t>度最直接的保证者，故我公司在选择</w:t>
      </w:r>
      <w:r>
        <w:rPr>
          <w:spacing w:val="-22"/>
          <w:sz w:val="24"/>
          <w:szCs w:val="24"/>
        </w:rPr>
        <w:t>劳务操作人员时的原则为具有较高的技术等级及有过类似工程施工经验的人员。</w:t>
      </w:r>
    </w:p>
    <w:p w14:paraId="10430783">
      <w:pPr>
        <w:pStyle w:val="2"/>
        <w:spacing w:before="116" w:line="285" w:lineRule="auto"/>
        <w:ind w:left="1458" w:right="1414" w:firstLine="430"/>
        <w:rPr>
          <w:sz w:val="24"/>
          <w:szCs w:val="24"/>
        </w:rPr>
      </w:pPr>
      <w:r>
        <w:rPr>
          <w:spacing w:val="-22"/>
          <w:sz w:val="24"/>
          <w:szCs w:val="24"/>
        </w:rPr>
        <w:t>2、从劳务层的划分为三大类：第一类为特殊工种其中包括机操工、机修工、架子工、</w:t>
      </w:r>
      <w:r>
        <w:rPr>
          <w:spacing w:val="-23"/>
          <w:sz w:val="24"/>
          <w:szCs w:val="24"/>
        </w:rPr>
        <w:t>维修</w:t>
      </w:r>
      <w:r>
        <w:rPr>
          <w:spacing w:val="-20"/>
          <w:sz w:val="24"/>
          <w:szCs w:val="24"/>
        </w:rPr>
        <w:t>电工、焊工、起重工等，这些人员均为我公司多次参与过类似工程的施工，具有丰富的经验，持有相应上岗操作证的人员。第二类为普通技术工种，其中包括木工、钢筋工、混凝土工、油漆工、粉刷工等；第三类为非技术工种，后二类人员的来源为长期与我公司合作的固定施工劳</w:t>
      </w:r>
    </w:p>
    <w:p w14:paraId="68BE839A">
      <w:pPr>
        <w:spacing w:line="285" w:lineRule="auto"/>
        <w:rPr>
          <w:sz w:val="24"/>
          <w:szCs w:val="24"/>
        </w:rPr>
        <w:sectPr>
          <w:footerReference r:id="rId340" w:type="default"/>
          <w:pgSz w:w="11907" w:h="16839"/>
          <w:pgMar w:top="933" w:right="4" w:bottom="1038" w:left="0" w:header="478" w:footer="357" w:gutter="0"/>
          <w:pgBorders>
            <w:top w:val="none" w:sz="0" w:space="0"/>
            <w:left w:val="none" w:sz="0" w:space="0"/>
            <w:bottom w:val="none" w:sz="0" w:space="0"/>
            <w:right w:val="none" w:sz="0" w:space="0"/>
          </w:pgBorders>
          <w:cols w:space="720" w:num="1"/>
        </w:sectPr>
      </w:pPr>
    </w:p>
    <w:p w14:paraId="07BA43D5">
      <w:pPr>
        <w:spacing w:line="272" w:lineRule="auto"/>
        <w:rPr>
          <w:rFonts w:ascii="Arial"/>
          <w:sz w:val="21"/>
        </w:rPr>
      </w:pPr>
    </w:p>
    <w:p w14:paraId="2CDD5BAE">
      <w:pPr>
        <w:pStyle w:val="2"/>
        <w:spacing w:before="78" w:line="217" w:lineRule="auto"/>
        <w:ind w:left="1463"/>
        <w:rPr>
          <w:sz w:val="24"/>
          <w:szCs w:val="24"/>
        </w:rPr>
      </w:pPr>
      <w:r>
        <w:rPr>
          <w:spacing w:val="-21"/>
          <w:sz w:val="24"/>
          <w:szCs w:val="24"/>
        </w:rPr>
        <w:t>务队伍，素质好，信誉可靠。</w:t>
      </w:r>
    </w:p>
    <w:p w14:paraId="4BD84B84">
      <w:pPr>
        <w:pStyle w:val="2"/>
        <w:spacing w:before="118" w:line="217" w:lineRule="auto"/>
        <w:ind w:left="1888"/>
        <w:rPr>
          <w:sz w:val="24"/>
          <w:szCs w:val="24"/>
        </w:rPr>
      </w:pPr>
      <w:r>
        <w:rPr>
          <w:spacing w:val="-15"/>
          <w:sz w:val="24"/>
          <w:szCs w:val="24"/>
        </w:rPr>
        <w:t>2.8.7后勤保障措施</w:t>
      </w:r>
    </w:p>
    <w:p w14:paraId="48E65B10">
      <w:pPr>
        <w:pStyle w:val="2"/>
        <w:spacing w:before="114" w:line="278" w:lineRule="auto"/>
        <w:ind w:left="1457" w:right="1412" w:firstLine="446"/>
        <w:rPr>
          <w:sz w:val="24"/>
          <w:szCs w:val="24"/>
        </w:rPr>
      </w:pPr>
      <w:r>
        <w:rPr>
          <w:spacing w:val="-22"/>
          <w:sz w:val="24"/>
          <w:szCs w:val="24"/>
        </w:rPr>
        <w:t>1、本项目在施工过程中将进行科学而人性化的管理，</w:t>
      </w:r>
      <w:r>
        <w:rPr>
          <w:spacing w:val="-23"/>
          <w:sz w:val="24"/>
          <w:szCs w:val="24"/>
        </w:rPr>
        <w:t>在抓进度赶工期的同时，后勤配备包</w:t>
      </w:r>
      <w:r>
        <w:rPr>
          <w:spacing w:val="-21"/>
          <w:sz w:val="24"/>
          <w:szCs w:val="24"/>
        </w:rPr>
        <w:t>括食堂、医务、清洁等杂工考虑30人。认真仔细地做好各项后勤保障工作，使工人们能够安心愉快地投入工作，以提高工作效率。</w:t>
      </w:r>
    </w:p>
    <w:p w14:paraId="37009300">
      <w:pPr>
        <w:pStyle w:val="2"/>
        <w:spacing w:before="117" w:line="216" w:lineRule="auto"/>
        <w:ind w:left="1888"/>
        <w:rPr>
          <w:sz w:val="24"/>
          <w:szCs w:val="24"/>
        </w:rPr>
      </w:pPr>
      <w:r>
        <w:rPr>
          <w:spacing w:val="-21"/>
          <w:sz w:val="24"/>
          <w:szCs w:val="24"/>
        </w:rPr>
        <w:t>2、特殊工种的手套、口罩、防护眼镜、安全带等劳保防护用品供应及时而到位。</w:t>
      </w:r>
    </w:p>
    <w:p w14:paraId="0E49C951">
      <w:pPr>
        <w:pStyle w:val="2"/>
        <w:spacing w:before="120" w:line="217" w:lineRule="auto"/>
        <w:ind w:left="1890"/>
        <w:rPr>
          <w:sz w:val="24"/>
          <w:szCs w:val="24"/>
        </w:rPr>
      </w:pPr>
      <w:r>
        <w:rPr>
          <w:spacing w:val="-21"/>
          <w:sz w:val="24"/>
          <w:szCs w:val="24"/>
        </w:rPr>
        <w:t>3、高温季节现场准备充足茶水供应。</w:t>
      </w:r>
    </w:p>
    <w:p w14:paraId="40E0978F">
      <w:pPr>
        <w:pStyle w:val="2"/>
        <w:spacing w:before="117" w:line="217" w:lineRule="auto"/>
        <w:ind w:left="1884"/>
        <w:rPr>
          <w:sz w:val="24"/>
          <w:szCs w:val="24"/>
        </w:rPr>
      </w:pPr>
      <w:r>
        <w:rPr>
          <w:spacing w:val="-20"/>
          <w:sz w:val="24"/>
          <w:szCs w:val="24"/>
        </w:rPr>
        <w:t>4、雨季雨衣套鞋等劳保用品亦应充分。</w:t>
      </w:r>
    </w:p>
    <w:p w14:paraId="4D298024">
      <w:pPr>
        <w:pStyle w:val="2"/>
        <w:spacing w:before="118" w:line="215" w:lineRule="auto"/>
        <w:ind w:left="1890"/>
        <w:rPr>
          <w:sz w:val="24"/>
          <w:szCs w:val="24"/>
        </w:rPr>
      </w:pPr>
      <w:r>
        <w:rPr>
          <w:spacing w:val="-21"/>
          <w:sz w:val="24"/>
          <w:szCs w:val="24"/>
        </w:rPr>
        <w:t>5、在生活区设置必要的文娱设施，做到劳逸结合，调剂紧张的劳动生活。</w:t>
      </w:r>
    </w:p>
    <w:p w14:paraId="5CEAE97E">
      <w:pPr>
        <w:pStyle w:val="2"/>
        <w:spacing w:before="121" w:line="277" w:lineRule="auto"/>
        <w:ind w:left="1460" w:right="1410" w:firstLine="427"/>
        <w:rPr>
          <w:sz w:val="24"/>
          <w:szCs w:val="24"/>
        </w:rPr>
      </w:pPr>
      <w:r>
        <w:rPr>
          <w:spacing w:val="-22"/>
          <w:sz w:val="24"/>
          <w:szCs w:val="24"/>
        </w:rPr>
        <w:t>6、后勤服务人员要作好生活服务供应工作，重点抓好吃、住两大难题，食堂的饭菜要保证</w:t>
      </w:r>
      <w:r>
        <w:rPr>
          <w:spacing w:val="-20"/>
          <w:sz w:val="24"/>
          <w:szCs w:val="24"/>
        </w:rPr>
        <w:t>干净卫生且品种多、味道好，同时开饭时间要随时根据施工进度进行调整，晚上加班应备有夜</w:t>
      </w:r>
      <w:r>
        <w:rPr>
          <w:spacing w:val="-22"/>
          <w:sz w:val="24"/>
          <w:szCs w:val="24"/>
        </w:rPr>
        <w:t>餐。职工生活区要每日派专人打扫卫生，做好防蚊驱蝇工作。</w:t>
      </w:r>
    </w:p>
    <w:p w14:paraId="4C1F04A9">
      <w:pPr>
        <w:pStyle w:val="2"/>
        <w:spacing w:before="69" w:line="217" w:lineRule="auto"/>
        <w:ind w:left="2773"/>
        <w:outlineLvl w:val="1"/>
        <w:rPr>
          <w:sz w:val="30"/>
          <w:szCs w:val="30"/>
        </w:rPr>
      </w:pPr>
      <w:bookmarkStart w:id="243" w:name="bookmark234"/>
      <w:bookmarkEnd w:id="243"/>
      <w:r>
        <w:rPr>
          <w:b/>
          <w:bCs/>
          <w:color w:val="0070C0"/>
          <w:spacing w:val="-24"/>
          <w:sz w:val="30"/>
          <w:szCs w:val="30"/>
        </w:rPr>
        <w:t>第六节、项目与相关部门、企业及居民协调应对措施</w:t>
      </w:r>
    </w:p>
    <w:p w14:paraId="10EB3E30">
      <w:pPr>
        <w:pStyle w:val="2"/>
        <w:spacing w:before="64" w:line="218" w:lineRule="auto"/>
        <w:ind w:left="1981"/>
        <w:outlineLvl w:val="2"/>
        <w:rPr>
          <w:sz w:val="28"/>
          <w:szCs w:val="28"/>
        </w:rPr>
      </w:pPr>
      <w:bookmarkStart w:id="244" w:name="bookmark235"/>
      <w:bookmarkEnd w:id="244"/>
      <w:r>
        <w:rPr>
          <w:b/>
          <w:bCs/>
          <w:spacing w:val="-21"/>
          <w:sz w:val="28"/>
          <w:szCs w:val="28"/>
        </w:rPr>
        <w:t>一、重难点分析</w:t>
      </w:r>
    </w:p>
    <w:p w14:paraId="1B1E9472">
      <w:pPr>
        <w:pStyle w:val="2"/>
        <w:spacing w:before="102" w:line="299" w:lineRule="auto"/>
        <w:ind w:left="1460" w:right="1409" w:firstLine="432"/>
        <w:jc w:val="both"/>
        <w:rPr>
          <w:sz w:val="24"/>
          <w:szCs w:val="24"/>
        </w:rPr>
      </w:pPr>
      <w:r>
        <w:rPr>
          <w:spacing w:val="-20"/>
          <w:sz w:val="24"/>
          <w:szCs w:val="24"/>
        </w:rPr>
        <w:t>应充分考虑施工期间人材机的进出场便道及与当地政府、村民、道排单位等协调以及涉及的部分道路破复、二次清表等问题，故我单位拟将项目与相关部门、企业及居民协调应对措施作为本工程的重难点。</w:t>
      </w:r>
    </w:p>
    <w:p w14:paraId="7AC85483">
      <w:pPr>
        <w:pStyle w:val="2"/>
        <w:spacing w:line="217" w:lineRule="auto"/>
        <w:ind w:left="1986"/>
        <w:outlineLvl w:val="2"/>
        <w:rPr>
          <w:sz w:val="28"/>
          <w:szCs w:val="28"/>
        </w:rPr>
      </w:pPr>
      <w:bookmarkStart w:id="245" w:name="bookmark236"/>
      <w:bookmarkEnd w:id="245"/>
      <w:r>
        <w:rPr>
          <w:b/>
          <w:bCs/>
          <w:spacing w:val="-22"/>
          <w:sz w:val="28"/>
          <w:szCs w:val="28"/>
        </w:rPr>
        <w:t>二、对应保证措施</w:t>
      </w:r>
    </w:p>
    <w:p w14:paraId="2B8B9543">
      <w:pPr>
        <w:pStyle w:val="2"/>
        <w:spacing w:before="106" w:line="218" w:lineRule="auto"/>
        <w:ind w:left="1888"/>
        <w:rPr>
          <w:sz w:val="24"/>
          <w:szCs w:val="24"/>
        </w:rPr>
      </w:pPr>
      <w:r>
        <w:rPr>
          <w:spacing w:val="-18"/>
          <w:sz w:val="24"/>
          <w:szCs w:val="24"/>
        </w:rPr>
        <w:t>2.1项目协调方案及应对措施</w:t>
      </w:r>
    </w:p>
    <w:p w14:paraId="6ADD892C">
      <w:pPr>
        <w:spacing w:line="29" w:lineRule="auto"/>
        <w:rPr>
          <w:rFonts w:ascii="Arial"/>
          <w:sz w:val="2"/>
        </w:rPr>
      </w:pPr>
    </w:p>
    <w:tbl>
      <w:tblPr>
        <w:tblStyle w:val="6"/>
        <w:tblW w:w="8859" w:type="dxa"/>
        <w:tblInd w:w="152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35"/>
        <w:gridCol w:w="660"/>
        <w:gridCol w:w="1429"/>
        <w:gridCol w:w="5471"/>
        <w:gridCol w:w="1000"/>
        <w:gridCol w:w="64"/>
      </w:tblGrid>
      <w:tr w14:paraId="6E1794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6" w:hRule="atLeast"/>
        </w:trPr>
        <w:tc>
          <w:tcPr>
            <w:tcW w:w="895" w:type="dxa"/>
            <w:gridSpan w:val="2"/>
            <w:tcBorders>
              <w:top w:val="single" w:color="000000" w:sz="4" w:space="0"/>
              <w:left w:val="single" w:color="000000" w:sz="4" w:space="0"/>
            </w:tcBorders>
            <w:shd w:val="clear" w:color="auto" w:fill="DEEAF6"/>
            <w:vAlign w:val="top"/>
          </w:tcPr>
          <w:p w14:paraId="6A0D79F9">
            <w:pPr>
              <w:spacing w:before="33" w:line="60" w:lineRule="exact"/>
              <w:ind w:firstLine="33"/>
            </w:pPr>
            <w:r>
              <w:pict>
                <v:shape id="_x0000_s3911" o:spid="_x0000_s3911" style="position:absolute;left:0pt;margin-left:-0.2pt;margin-top:0pt;height:0.75pt;width:2.2pt;mso-position-horizontal-relative:page;mso-position-vertical-relative:page;z-index:252277760;mso-width-relative:page;mso-height-relative:page;" fillcolor="#5B9BD5" filled="t" stroked="f" coordsize="44,15" path="m0,14l43,14,43,0,0,0,0,14xe">
                  <v:path/>
                  <v:fill on="t" focussize="0,0"/>
                  <v:stroke on="f"/>
                  <v:imagedata o:title=""/>
                  <o:lock v:ext="edit"/>
                </v:shape>
              </w:pict>
            </w:r>
            <w:r>
              <w:rPr>
                <w:position w:val="-1"/>
              </w:rPr>
              <w:pict>
                <v:shape id="_x0000_s3912" o:spid="_x0000_s3912" style="height:3pt;width:41.9pt;" fillcolor="#DEEAF6" filled="t" stroked="f" coordsize="838,60" path="m0,60l837,60,837,0,0,0,0,60xe">
                  <v:path/>
                  <v:fill on="t" focussize="0,0"/>
                  <v:stroke on="f"/>
                  <v:imagedata o:title=""/>
                  <o:lock v:ext="edit"/>
                  <w10:wrap type="none"/>
                  <w10:anchorlock/>
                </v:shape>
              </w:pict>
            </w:r>
          </w:p>
          <w:p w14:paraId="448DBEB4">
            <w:pPr>
              <w:pStyle w:val="7"/>
              <w:spacing w:before="144" w:line="218" w:lineRule="auto"/>
              <w:ind w:left="241"/>
            </w:pPr>
            <w:r>
              <w:rPr>
                <w:b/>
                <w:bCs/>
                <w:spacing w:val="-12"/>
              </w:rPr>
              <w:t>序号</w:t>
            </w:r>
          </w:p>
          <w:p w14:paraId="719B4B27">
            <w:pPr>
              <w:spacing w:line="252" w:lineRule="auto"/>
              <w:rPr>
                <w:rFonts w:ascii="Arial"/>
                <w:sz w:val="21"/>
              </w:rPr>
            </w:pPr>
          </w:p>
          <w:p w14:paraId="019A9AF0">
            <w:pPr>
              <w:spacing w:line="51" w:lineRule="exact"/>
              <w:ind w:firstLine="11"/>
            </w:pPr>
            <w:r>
              <w:rPr>
                <w:position w:val="-1"/>
              </w:rPr>
              <w:pict>
                <v:shape id="_x0000_s3913" o:spid="_x0000_s3913" style="height:2.9pt;width:43.2pt;" fillcolor="#DEEAF6" filled="t" stroked="f" coordsize="864,58" path="m0,57l863,57,863,0,0,0,0,57xe">
                  <v:path/>
                  <v:fill on="t" focussize="0,0"/>
                  <v:stroke on="f"/>
                  <v:imagedata o:title=""/>
                  <o:lock v:ext="edit"/>
                  <w10:wrap type="none"/>
                  <w10:anchorlock/>
                </v:shape>
              </w:pict>
            </w:r>
          </w:p>
        </w:tc>
        <w:tc>
          <w:tcPr>
            <w:tcW w:w="1429" w:type="dxa"/>
            <w:tcBorders>
              <w:top w:val="single" w:color="000000" w:sz="4" w:space="0"/>
            </w:tcBorders>
            <w:shd w:val="clear" w:color="auto" w:fill="DEEAF6"/>
            <w:vAlign w:val="top"/>
          </w:tcPr>
          <w:p w14:paraId="7FD0020A">
            <w:pPr>
              <w:pStyle w:val="7"/>
              <w:spacing w:before="237" w:line="219" w:lineRule="auto"/>
              <w:ind w:left="498"/>
            </w:pPr>
            <w:r>
              <w:rPr>
                <w:b/>
                <w:bCs/>
                <w:spacing w:val="-13"/>
              </w:rPr>
              <w:t>类别</w:t>
            </w:r>
          </w:p>
        </w:tc>
        <w:tc>
          <w:tcPr>
            <w:tcW w:w="5471" w:type="dxa"/>
            <w:tcBorders>
              <w:top w:val="single" w:color="5B9BD5" w:sz="4" w:space="0"/>
              <w:right w:val="nil"/>
            </w:tcBorders>
            <w:shd w:val="clear" w:color="auto" w:fill="DEEAF6"/>
            <w:vAlign w:val="top"/>
          </w:tcPr>
          <w:p w14:paraId="6A09F3BC">
            <w:pPr>
              <w:pStyle w:val="7"/>
              <w:spacing w:before="237" w:line="218" w:lineRule="auto"/>
              <w:ind w:left="2061"/>
            </w:pPr>
            <w:r>
              <w:rPr>
                <w:b/>
                <w:bCs/>
                <w:spacing w:val="-22"/>
              </w:rPr>
              <w:t>项目协调方案及应对措施</w:t>
            </w:r>
          </w:p>
        </w:tc>
        <w:tc>
          <w:tcPr>
            <w:tcW w:w="1064" w:type="dxa"/>
            <w:gridSpan w:val="2"/>
            <w:tcBorders>
              <w:top w:val="single" w:color="5B9BD5" w:sz="4" w:space="0"/>
              <w:left w:val="nil"/>
              <w:right w:val="single" w:color="5B9BD5" w:sz="4" w:space="0"/>
            </w:tcBorders>
            <w:shd w:val="clear" w:color="auto" w:fill="DEEAF6"/>
            <w:vAlign w:val="top"/>
          </w:tcPr>
          <w:p w14:paraId="7B59ABC4">
            <w:pPr>
              <w:rPr>
                <w:rFonts w:ascii="Arial"/>
                <w:sz w:val="21"/>
              </w:rPr>
            </w:pPr>
            <w:r>
              <w:pict>
                <v:shape id="_x0000_s3914" o:spid="_x0000_s3914" style="position:absolute;left:0pt;margin-left:51.35pt;margin-top:0pt;height:0.75pt;width:2.2pt;mso-position-horizontal-relative:page;mso-position-vertical-relative:page;z-index:252276736;mso-width-relative:page;mso-height-relative:page;" fillcolor="#5B9BD5" filled="t" stroked="f" coordsize="44,15" path="m0,14l43,14,43,0,0,0,0,14xe">
                  <v:path/>
                  <v:fill on="t" focussize="0,0"/>
                  <v:stroke on="f"/>
                  <v:imagedata o:title=""/>
                  <o:lock v:ext="edit"/>
                </v:shape>
              </w:pict>
            </w:r>
          </w:p>
        </w:tc>
      </w:tr>
      <w:tr w14:paraId="2D79BA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54" w:hRule="atLeast"/>
        </w:trPr>
        <w:tc>
          <w:tcPr>
            <w:tcW w:w="235" w:type="dxa"/>
            <w:tcBorders>
              <w:left w:val="single" w:color="1C456A" w:sz="4" w:space="0"/>
              <w:bottom w:val="single" w:color="1C456A" w:sz="4" w:space="0"/>
              <w:right w:val="nil"/>
            </w:tcBorders>
            <w:vAlign w:val="top"/>
          </w:tcPr>
          <w:p w14:paraId="281EB1DA">
            <w:pPr>
              <w:rPr>
                <w:rFonts w:ascii="Arial"/>
                <w:sz w:val="21"/>
              </w:rPr>
            </w:pPr>
            <w:r>
              <w:pict>
                <v:shape id="_x0000_s3915" o:spid="_x0000_s3915" style="position:absolute;left:0pt;margin-left:-0.25pt;margin-top:287.7pt;height:0.75pt;width:2.2pt;mso-position-horizontal-relative:page;mso-position-vertical-relative:page;z-index:252275712;mso-width-relative:page;mso-height-relative:page;" fillcolor="#5B9BD5" filled="t" stroked="f" coordsize="44,15" path="m0,14l43,14,43,0,0,0,0,14xe">
                  <v:path/>
                  <v:fill on="t" focussize="0,0"/>
                  <v:stroke on="f"/>
                  <v:imagedata o:title=""/>
                  <o:lock v:ext="edit"/>
                </v:shape>
              </w:pict>
            </w:r>
          </w:p>
        </w:tc>
        <w:tc>
          <w:tcPr>
            <w:tcW w:w="660" w:type="dxa"/>
            <w:tcBorders>
              <w:left w:val="nil"/>
              <w:bottom w:val="single" w:color="1C456A" w:sz="4" w:space="0"/>
            </w:tcBorders>
            <w:vAlign w:val="top"/>
          </w:tcPr>
          <w:p w14:paraId="0966B274">
            <w:pPr>
              <w:spacing w:line="257" w:lineRule="auto"/>
              <w:rPr>
                <w:rFonts w:ascii="Arial"/>
                <w:sz w:val="21"/>
              </w:rPr>
            </w:pPr>
          </w:p>
          <w:p w14:paraId="7D6BF2B4">
            <w:pPr>
              <w:spacing w:line="257" w:lineRule="auto"/>
              <w:rPr>
                <w:rFonts w:ascii="Arial"/>
                <w:sz w:val="21"/>
              </w:rPr>
            </w:pPr>
          </w:p>
          <w:p w14:paraId="7C4FF851">
            <w:pPr>
              <w:spacing w:line="257" w:lineRule="auto"/>
              <w:rPr>
                <w:rFonts w:ascii="Arial"/>
                <w:sz w:val="21"/>
              </w:rPr>
            </w:pPr>
          </w:p>
          <w:p w14:paraId="57E6E766">
            <w:pPr>
              <w:spacing w:line="257" w:lineRule="auto"/>
              <w:rPr>
                <w:rFonts w:ascii="Arial"/>
                <w:sz w:val="21"/>
              </w:rPr>
            </w:pPr>
          </w:p>
          <w:p w14:paraId="07CFAF61">
            <w:pPr>
              <w:spacing w:line="257" w:lineRule="auto"/>
              <w:rPr>
                <w:rFonts w:ascii="Arial"/>
                <w:sz w:val="21"/>
              </w:rPr>
            </w:pPr>
          </w:p>
          <w:p w14:paraId="0FE8077B">
            <w:pPr>
              <w:spacing w:line="257" w:lineRule="auto"/>
              <w:rPr>
                <w:rFonts w:ascii="Arial"/>
                <w:sz w:val="21"/>
              </w:rPr>
            </w:pPr>
          </w:p>
          <w:p w14:paraId="0A85D441">
            <w:pPr>
              <w:spacing w:line="257" w:lineRule="auto"/>
              <w:rPr>
                <w:rFonts w:ascii="Arial"/>
                <w:sz w:val="21"/>
              </w:rPr>
            </w:pPr>
          </w:p>
          <w:p w14:paraId="5A64A454">
            <w:pPr>
              <w:spacing w:line="257" w:lineRule="auto"/>
              <w:rPr>
                <w:rFonts w:ascii="Arial"/>
                <w:sz w:val="21"/>
              </w:rPr>
            </w:pPr>
          </w:p>
          <w:p w14:paraId="32CE7928">
            <w:pPr>
              <w:spacing w:line="257" w:lineRule="auto"/>
              <w:rPr>
                <w:rFonts w:ascii="Arial"/>
                <w:sz w:val="21"/>
              </w:rPr>
            </w:pPr>
          </w:p>
          <w:p w14:paraId="2AEBB9E7">
            <w:pPr>
              <w:spacing w:line="257" w:lineRule="auto"/>
              <w:rPr>
                <w:rFonts w:ascii="Arial"/>
                <w:sz w:val="21"/>
              </w:rPr>
            </w:pPr>
          </w:p>
          <w:p w14:paraId="3C4F12D1">
            <w:pPr>
              <w:pStyle w:val="7"/>
              <w:spacing w:before="78" w:line="238" w:lineRule="auto"/>
              <w:ind w:left="186"/>
            </w:pPr>
            <w:r>
              <w:t>1</w:t>
            </w:r>
          </w:p>
        </w:tc>
        <w:tc>
          <w:tcPr>
            <w:tcW w:w="1429" w:type="dxa"/>
            <w:tcBorders>
              <w:bottom w:val="single" w:color="000000" w:sz="4" w:space="0"/>
            </w:tcBorders>
            <w:vAlign w:val="top"/>
          </w:tcPr>
          <w:p w14:paraId="79E35C22">
            <w:pPr>
              <w:spacing w:line="267" w:lineRule="auto"/>
              <w:rPr>
                <w:rFonts w:ascii="Arial"/>
                <w:sz w:val="21"/>
              </w:rPr>
            </w:pPr>
          </w:p>
          <w:p w14:paraId="78BD27E3">
            <w:pPr>
              <w:spacing w:line="267" w:lineRule="auto"/>
              <w:rPr>
                <w:rFonts w:ascii="Arial"/>
                <w:sz w:val="21"/>
              </w:rPr>
            </w:pPr>
          </w:p>
          <w:p w14:paraId="7FA6DD0C">
            <w:pPr>
              <w:spacing w:line="267" w:lineRule="auto"/>
              <w:rPr>
                <w:rFonts w:ascii="Arial"/>
                <w:sz w:val="21"/>
              </w:rPr>
            </w:pPr>
          </w:p>
          <w:p w14:paraId="5A261EC0">
            <w:pPr>
              <w:spacing w:line="267" w:lineRule="auto"/>
              <w:rPr>
                <w:rFonts w:ascii="Arial"/>
                <w:sz w:val="21"/>
              </w:rPr>
            </w:pPr>
          </w:p>
          <w:p w14:paraId="5E4B114A">
            <w:pPr>
              <w:spacing w:line="268" w:lineRule="auto"/>
              <w:rPr>
                <w:rFonts w:ascii="Arial"/>
                <w:sz w:val="21"/>
              </w:rPr>
            </w:pPr>
          </w:p>
          <w:p w14:paraId="3959CE42">
            <w:pPr>
              <w:spacing w:line="268" w:lineRule="auto"/>
              <w:rPr>
                <w:rFonts w:ascii="Arial"/>
                <w:sz w:val="21"/>
              </w:rPr>
            </w:pPr>
          </w:p>
          <w:p w14:paraId="11835736">
            <w:pPr>
              <w:spacing w:line="268" w:lineRule="auto"/>
              <w:rPr>
                <w:rFonts w:ascii="Arial"/>
                <w:sz w:val="21"/>
              </w:rPr>
            </w:pPr>
          </w:p>
          <w:p w14:paraId="1E171107">
            <w:pPr>
              <w:pStyle w:val="7"/>
              <w:spacing w:before="78" w:line="220" w:lineRule="auto"/>
              <w:ind w:left="388"/>
            </w:pPr>
            <w:r>
              <w:rPr>
                <w:spacing w:val="-13"/>
              </w:rPr>
              <w:t>项目组</w:t>
            </w:r>
          </w:p>
          <w:p w14:paraId="26DF4166">
            <w:pPr>
              <w:pStyle w:val="7"/>
              <w:spacing w:before="182" w:line="218" w:lineRule="auto"/>
              <w:ind w:left="391"/>
            </w:pPr>
            <w:r>
              <w:rPr>
                <w:spacing w:val="-14"/>
              </w:rPr>
              <w:t>织机构</w:t>
            </w:r>
          </w:p>
          <w:p w14:paraId="2A7A1B00">
            <w:pPr>
              <w:pStyle w:val="7"/>
              <w:spacing w:before="183" w:line="364" w:lineRule="auto"/>
              <w:ind w:left="498" w:right="375" w:hanging="108"/>
            </w:pPr>
            <w:r>
              <w:rPr>
                <w:spacing w:val="-21"/>
              </w:rPr>
              <w:t>及资源</w:t>
            </w:r>
            <w:r>
              <w:rPr>
                <w:spacing w:val="-11"/>
              </w:rPr>
              <w:t>配置</w:t>
            </w:r>
          </w:p>
        </w:tc>
        <w:tc>
          <w:tcPr>
            <w:tcW w:w="6471" w:type="dxa"/>
            <w:gridSpan w:val="2"/>
            <w:tcBorders>
              <w:bottom w:val="single" w:color="5B9BD5" w:sz="4" w:space="0"/>
              <w:right w:val="nil"/>
            </w:tcBorders>
            <w:vAlign w:val="top"/>
          </w:tcPr>
          <w:p w14:paraId="58388DDF">
            <w:pPr>
              <w:pStyle w:val="7"/>
              <w:spacing w:before="94" w:line="217" w:lineRule="auto"/>
              <w:ind w:right="15"/>
              <w:jc w:val="right"/>
            </w:pPr>
            <w:r>
              <w:rPr>
                <w:spacing w:val="-21"/>
              </w:rPr>
              <w:t>1)项目经理部下设五部二室（工程技术部、物资设备部、安全环境</w:t>
            </w:r>
          </w:p>
          <w:p w14:paraId="5FD9F1DE">
            <w:pPr>
              <w:pStyle w:val="7"/>
              <w:spacing w:before="186" w:line="216" w:lineRule="auto"/>
              <w:ind w:right="15"/>
              <w:jc w:val="right"/>
            </w:pPr>
            <w:r>
              <w:rPr>
                <w:spacing w:val="-22"/>
              </w:rPr>
              <w:t>部、质量测试部、计划财务部、党群工作室、综合办公室</w:t>
            </w:r>
            <w:r>
              <w:rPr>
                <w:spacing w:val="-10"/>
              </w:rPr>
              <w:t>），</w:t>
            </w:r>
            <w:r>
              <w:rPr>
                <w:spacing w:val="-22"/>
              </w:rPr>
              <w:t>以上</w:t>
            </w:r>
          </w:p>
          <w:p w14:paraId="253D785C">
            <w:pPr>
              <w:pStyle w:val="7"/>
              <w:spacing w:before="185" w:line="217" w:lineRule="auto"/>
              <w:ind w:right="15"/>
              <w:jc w:val="right"/>
            </w:pPr>
            <w:r>
              <w:rPr>
                <w:spacing w:val="-21"/>
              </w:rPr>
              <w:t>部门联合组合成一个强大的团队，负责本合同段工程项目</w:t>
            </w:r>
            <w:r>
              <w:rPr>
                <w:spacing w:val="-22"/>
              </w:rPr>
              <w:t>的施工技</w:t>
            </w:r>
          </w:p>
          <w:p w14:paraId="0458768D">
            <w:pPr>
              <w:pStyle w:val="7"/>
              <w:spacing w:before="185" w:line="216" w:lineRule="auto"/>
              <w:ind w:left="105"/>
            </w:pPr>
            <w:r>
              <w:rPr>
                <w:spacing w:val="-22"/>
              </w:rPr>
              <w:t>术、安全、质量、环境保护、计划、财务、物资设备保障、材料试</w:t>
            </w:r>
          </w:p>
          <w:p w14:paraId="29B7E8C6">
            <w:pPr>
              <w:pStyle w:val="7"/>
              <w:spacing w:before="184" w:line="216" w:lineRule="auto"/>
              <w:ind w:right="14"/>
              <w:jc w:val="right"/>
            </w:pPr>
            <w:r>
              <w:rPr>
                <w:spacing w:val="-21"/>
              </w:rPr>
              <w:t>验与检验、工程测量、行政管理等工作。项目管理机构按照直</w:t>
            </w:r>
            <w:r>
              <w:rPr>
                <w:spacing w:val="-22"/>
              </w:rPr>
              <w:t>线职</w:t>
            </w:r>
          </w:p>
          <w:p w14:paraId="70DDAD78">
            <w:pPr>
              <w:pStyle w:val="7"/>
              <w:spacing w:before="187" w:line="217" w:lineRule="auto"/>
              <w:jc w:val="right"/>
            </w:pPr>
            <w:r>
              <w:rPr>
                <w:spacing w:val="-27"/>
              </w:rPr>
              <w:t>能式管理模式，根据工程总体部署，下设土方施工队、道路施工队、</w:t>
            </w:r>
          </w:p>
          <w:p w14:paraId="67074172">
            <w:pPr>
              <w:pStyle w:val="7"/>
              <w:spacing w:before="185" w:line="218" w:lineRule="auto"/>
              <w:ind w:right="15"/>
              <w:jc w:val="right"/>
            </w:pPr>
            <w:r>
              <w:rPr>
                <w:spacing w:val="-22"/>
              </w:rPr>
              <w:t>管道施工队、拆除施工队、绿化施工队及附属施工队；施工队下设</w:t>
            </w:r>
          </w:p>
          <w:p w14:paraId="753B100F">
            <w:pPr>
              <w:pStyle w:val="7"/>
              <w:spacing w:before="184" w:line="217" w:lineRule="auto"/>
              <w:ind w:right="15"/>
              <w:jc w:val="right"/>
            </w:pPr>
            <w:r>
              <w:rPr>
                <w:spacing w:val="-21"/>
              </w:rPr>
              <w:t>专业施工班组，建立施工组织机构体系，确保本合同</w:t>
            </w:r>
            <w:r>
              <w:rPr>
                <w:spacing w:val="-22"/>
              </w:rPr>
              <w:t>段工程建设任</w:t>
            </w:r>
          </w:p>
          <w:p w14:paraId="34706B25">
            <w:pPr>
              <w:pStyle w:val="7"/>
              <w:spacing w:before="184" w:line="218" w:lineRule="auto"/>
              <w:ind w:left="1855"/>
            </w:pPr>
            <w:r>
              <w:rPr>
                <w:spacing w:val="-22"/>
              </w:rPr>
              <w:t>务的优质、高效、按时完成。</w:t>
            </w:r>
          </w:p>
          <w:p w14:paraId="594A077F">
            <w:pPr>
              <w:pStyle w:val="7"/>
              <w:spacing w:before="184" w:line="216" w:lineRule="auto"/>
              <w:jc w:val="right"/>
            </w:pPr>
            <w:r>
              <w:rPr>
                <w:spacing w:val="-25"/>
              </w:rPr>
              <w:t>2)根据初步统计的材料计划，本工程不同</w:t>
            </w:r>
            <w:r>
              <w:rPr>
                <w:spacing w:val="-26"/>
              </w:rPr>
              <w:t>规格的涉及多种主要材料，</w:t>
            </w:r>
          </w:p>
          <w:p w14:paraId="68F6D37A">
            <w:pPr>
              <w:pStyle w:val="7"/>
              <w:spacing w:before="185" w:line="216" w:lineRule="auto"/>
              <w:ind w:left="118"/>
            </w:pPr>
            <w:r>
              <w:rPr>
                <w:spacing w:val="-23"/>
              </w:rPr>
              <w:t>多为常规地产材料。中标进场后，将提前落实货源，按计划采购、</w:t>
            </w:r>
          </w:p>
          <w:p w14:paraId="413508B4">
            <w:pPr>
              <w:pStyle w:val="7"/>
              <w:spacing w:before="187" w:line="217" w:lineRule="auto"/>
              <w:ind w:left="1523"/>
            </w:pPr>
            <w:r>
              <w:rPr>
                <w:spacing w:val="-22"/>
              </w:rPr>
              <w:t>供应陆续进场以确保满足施工需要。</w:t>
            </w:r>
          </w:p>
        </w:tc>
        <w:tc>
          <w:tcPr>
            <w:tcW w:w="64" w:type="dxa"/>
            <w:tcBorders>
              <w:left w:val="nil"/>
              <w:bottom w:val="single" w:color="5B9BD5" w:sz="4" w:space="0"/>
              <w:right w:val="single" w:color="5B9BD5" w:sz="4" w:space="0"/>
            </w:tcBorders>
            <w:vAlign w:val="top"/>
          </w:tcPr>
          <w:p w14:paraId="1341AE16">
            <w:pPr>
              <w:rPr>
                <w:rFonts w:ascii="Arial"/>
                <w:sz w:val="21"/>
              </w:rPr>
            </w:pPr>
            <w:r>
              <w:pict>
                <v:shape id="_x0000_s3916" o:spid="_x0000_s3916" style="position:absolute;left:0pt;margin-left:1.35pt;margin-top:287.7pt;height:0.75pt;width:2.2pt;mso-position-horizontal-relative:page;mso-position-vertical-relative:page;z-index:252274688;mso-width-relative:page;mso-height-relative:page;" fillcolor="#5B9BD5" filled="t" stroked="f" coordsize="44,15" path="m0,14l43,14,43,0,0,0,0,14xe">
                  <v:path/>
                  <v:fill on="t" focussize="0,0"/>
                  <v:stroke on="f"/>
                  <v:imagedata o:title=""/>
                  <o:lock v:ext="edit"/>
                </v:shape>
              </w:pict>
            </w:r>
          </w:p>
        </w:tc>
      </w:tr>
    </w:tbl>
    <w:p w14:paraId="12307CA0">
      <w:pPr>
        <w:rPr>
          <w:rFonts w:ascii="Arial"/>
          <w:sz w:val="21"/>
        </w:rPr>
      </w:pPr>
    </w:p>
    <w:p w14:paraId="6E9CB567">
      <w:pPr>
        <w:rPr>
          <w:rFonts w:ascii="Arial" w:hAnsi="Arial" w:eastAsia="Arial" w:cs="Arial"/>
          <w:sz w:val="21"/>
          <w:szCs w:val="21"/>
        </w:rPr>
        <w:sectPr>
          <w:footerReference r:id="rId341" w:type="default"/>
          <w:pgSz w:w="11907" w:h="16839"/>
          <w:pgMar w:top="933" w:right="4" w:bottom="1038" w:left="0" w:header="478" w:footer="357" w:gutter="0"/>
          <w:pgBorders>
            <w:top w:val="none" w:sz="0" w:space="0"/>
            <w:left w:val="none" w:sz="0" w:space="0"/>
            <w:bottom w:val="none" w:sz="0" w:space="0"/>
            <w:right w:val="none" w:sz="0" w:space="0"/>
          </w:pgBorders>
          <w:cols w:space="720" w:num="1"/>
        </w:sectPr>
      </w:pPr>
    </w:p>
    <w:p w14:paraId="2083E34C">
      <w:pPr>
        <w:spacing w:line="235" w:lineRule="exact"/>
      </w:pPr>
    </w:p>
    <w:tbl>
      <w:tblPr>
        <w:tblStyle w:val="6"/>
        <w:tblW w:w="8859" w:type="dxa"/>
        <w:tblInd w:w="1524" w:type="dxa"/>
        <w:tblBorders>
          <w:top w:val="single" w:color="5B9BD5" w:sz="4" w:space="0"/>
          <w:left w:val="single" w:color="5B9BD5" w:sz="4" w:space="0"/>
          <w:bottom w:val="single" w:color="5B9BD5" w:sz="4" w:space="0"/>
          <w:right w:val="single" w:color="5B9BD5" w:sz="4" w:space="0"/>
          <w:insideH w:val="single" w:color="5B9BD5" w:sz="4" w:space="0"/>
          <w:insideV w:val="single" w:color="5B9BD5" w:sz="4" w:space="0"/>
        </w:tblBorders>
        <w:tblLayout w:type="fixed"/>
        <w:tblCellMar>
          <w:top w:w="0" w:type="dxa"/>
          <w:left w:w="0" w:type="dxa"/>
          <w:bottom w:w="0" w:type="dxa"/>
          <w:right w:w="0" w:type="dxa"/>
        </w:tblCellMar>
      </w:tblPr>
      <w:tblGrid>
        <w:gridCol w:w="884"/>
        <w:gridCol w:w="1429"/>
        <w:gridCol w:w="6546"/>
      </w:tblGrid>
      <w:tr w14:paraId="54F72DC6">
        <w:tblPrEx>
          <w:tblBorders>
            <w:top w:val="single" w:color="5B9BD5" w:sz="4" w:space="0"/>
            <w:left w:val="single" w:color="5B9BD5" w:sz="4" w:space="0"/>
            <w:bottom w:val="single" w:color="5B9BD5" w:sz="4" w:space="0"/>
            <w:right w:val="single" w:color="5B9BD5" w:sz="4" w:space="0"/>
            <w:insideH w:val="single" w:color="5B9BD5" w:sz="4" w:space="0"/>
            <w:insideV w:val="single" w:color="5B9BD5" w:sz="4" w:space="0"/>
          </w:tblBorders>
          <w:tblCellMar>
            <w:top w:w="0" w:type="dxa"/>
            <w:left w:w="0" w:type="dxa"/>
            <w:bottom w:w="0" w:type="dxa"/>
            <w:right w:w="0" w:type="dxa"/>
          </w:tblCellMar>
        </w:tblPrEx>
        <w:trPr>
          <w:trHeight w:val="4387" w:hRule="atLeast"/>
        </w:trPr>
        <w:tc>
          <w:tcPr>
            <w:tcW w:w="884" w:type="dxa"/>
            <w:tcBorders>
              <w:top w:val="single" w:color="1C456A" w:sz="4" w:space="0"/>
              <w:left w:val="single" w:color="1C456A" w:sz="4" w:space="0"/>
              <w:bottom w:val="single" w:color="1C456A" w:sz="4" w:space="0"/>
              <w:right w:val="single" w:color="000000" w:sz="2" w:space="0"/>
            </w:tcBorders>
            <w:vAlign w:val="top"/>
          </w:tcPr>
          <w:p w14:paraId="10A3543B">
            <w:pPr>
              <w:spacing w:line="272" w:lineRule="auto"/>
              <w:rPr>
                <w:rFonts w:ascii="Arial"/>
                <w:sz w:val="21"/>
              </w:rPr>
            </w:pPr>
          </w:p>
          <w:p w14:paraId="6957521A">
            <w:pPr>
              <w:spacing w:line="272" w:lineRule="auto"/>
              <w:rPr>
                <w:rFonts w:ascii="Arial"/>
                <w:sz w:val="21"/>
              </w:rPr>
            </w:pPr>
          </w:p>
          <w:p w14:paraId="1A03AA00">
            <w:pPr>
              <w:spacing w:line="272" w:lineRule="auto"/>
              <w:rPr>
                <w:rFonts w:ascii="Arial"/>
                <w:sz w:val="21"/>
              </w:rPr>
            </w:pPr>
          </w:p>
          <w:p w14:paraId="5427A094">
            <w:pPr>
              <w:spacing w:line="272" w:lineRule="auto"/>
              <w:rPr>
                <w:rFonts w:ascii="Arial"/>
                <w:sz w:val="21"/>
              </w:rPr>
            </w:pPr>
          </w:p>
          <w:p w14:paraId="03473393">
            <w:pPr>
              <w:spacing w:line="273" w:lineRule="auto"/>
              <w:rPr>
                <w:rFonts w:ascii="Arial"/>
                <w:sz w:val="21"/>
              </w:rPr>
            </w:pPr>
          </w:p>
          <w:p w14:paraId="3E0E4AA3">
            <w:pPr>
              <w:spacing w:line="273" w:lineRule="auto"/>
              <w:rPr>
                <w:rFonts w:ascii="Arial"/>
                <w:sz w:val="21"/>
              </w:rPr>
            </w:pPr>
          </w:p>
          <w:p w14:paraId="31892CC8">
            <w:pPr>
              <w:spacing w:line="273" w:lineRule="auto"/>
              <w:rPr>
                <w:rFonts w:ascii="Arial"/>
                <w:sz w:val="21"/>
              </w:rPr>
            </w:pPr>
          </w:p>
          <w:p w14:paraId="5EAB4850">
            <w:pPr>
              <w:pStyle w:val="7"/>
              <w:spacing w:before="78" w:line="238" w:lineRule="auto"/>
              <w:ind w:left="402"/>
            </w:pPr>
            <w:r>
              <w:t>2</w:t>
            </w:r>
          </w:p>
        </w:tc>
        <w:tc>
          <w:tcPr>
            <w:tcW w:w="1429" w:type="dxa"/>
            <w:tcBorders>
              <w:left w:val="single" w:color="000000" w:sz="2" w:space="0"/>
              <w:right w:val="single" w:color="000000" w:sz="2" w:space="0"/>
            </w:tcBorders>
            <w:vAlign w:val="top"/>
          </w:tcPr>
          <w:p w14:paraId="5E709245">
            <w:pPr>
              <w:spacing w:line="242" w:lineRule="auto"/>
              <w:rPr>
                <w:rFonts w:ascii="Arial"/>
                <w:sz w:val="21"/>
              </w:rPr>
            </w:pPr>
          </w:p>
          <w:p w14:paraId="33A36637">
            <w:pPr>
              <w:spacing w:line="242" w:lineRule="auto"/>
              <w:rPr>
                <w:rFonts w:ascii="Arial"/>
                <w:sz w:val="21"/>
              </w:rPr>
            </w:pPr>
          </w:p>
          <w:p w14:paraId="2898FBEB">
            <w:pPr>
              <w:spacing w:line="242" w:lineRule="auto"/>
              <w:rPr>
                <w:rFonts w:ascii="Arial"/>
                <w:sz w:val="21"/>
              </w:rPr>
            </w:pPr>
          </w:p>
          <w:p w14:paraId="4426960E">
            <w:pPr>
              <w:spacing w:line="242" w:lineRule="auto"/>
              <w:rPr>
                <w:rFonts w:ascii="Arial"/>
                <w:sz w:val="21"/>
              </w:rPr>
            </w:pPr>
          </w:p>
          <w:p w14:paraId="138ADE3B">
            <w:pPr>
              <w:spacing w:line="243" w:lineRule="auto"/>
              <w:rPr>
                <w:rFonts w:ascii="Arial"/>
                <w:sz w:val="21"/>
              </w:rPr>
            </w:pPr>
          </w:p>
          <w:p w14:paraId="7B6589D6">
            <w:pPr>
              <w:pStyle w:val="7"/>
              <w:spacing w:before="78" w:line="220" w:lineRule="auto"/>
              <w:ind w:left="397"/>
            </w:pPr>
            <w:r>
              <w:rPr>
                <w:spacing w:val="-13"/>
              </w:rPr>
              <w:t>施工区</w:t>
            </w:r>
          </w:p>
          <w:p w14:paraId="1A0F8FA8">
            <w:pPr>
              <w:pStyle w:val="7"/>
              <w:spacing w:before="181" w:line="219" w:lineRule="auto"/>
              <w:ind w:left="400"/>
            </w:pPr>
            <w:r>
              <w:rPr>
                <w:spacing w:val="-14"/>
              </w:rPr>
              <w:t>段划分</w:t>
            </w:r>
          </w:p>
          <w:p w14:paraId="1248357D">
            <w:pPr>
              <w:pStyle w:val="7"/>
              <w:spacing w:before="181" w:line="362" w:lineRule="auto"/>
              <w:ind w:left="519" w:right="364" w:hanging="118"/>
            </w:pPr>
            <w:r>
              <w:rPr>
                <w:spacing w:val="-21"/>
              </w:rPr>
              <w:t>及协调</w:t>
            </w:r>
            <w:r>
              <w:rPr>
                <w:spacing w:val="-13"/>
              </w:rPr>
              <w:t>管理</w:t>
            </w:r>
          </w:p>
        </w:tc>
        <w:tc>
          <w:tcPr>
            <w:tcW w:w="6546" w:type="dxa"/>
            <w:tcBorders>
              <w:left w:val="single" w:color="000000" w:sz="2" w:space="0"/>
            </w:tcBorders>
            <w:vAlign w:val="top"/>
          </w:tcPr>
          <w:p w14:paraId="015556C2">
            <w:pPr>
              <w:pStyle w:val="7"/>
              <w:spacing w:before="129" w:line="216" w:lineRule="auto"/>
              <w:ind w:left="116"/>
            </w:pPr>
            <w:r>
              <w:rPr>
                <w:spacing w:val="-21"/>
              </w:rPr>
              <w:t>本工程现场施工范围涉及部分障碍物尚未拆除，现场协调</w:t>
            </w:r>
            <w:r>
              <w:rPr>
                <w:spacing w:val="-22"/>
              </w:rPr>
              <w:t>工作量较</w:t>
            </w:r>
          </w:p>
          <w:p w14:paraId="10D62869">
            <w:pPr>
              <w:pStyle w:val="7"/>
              <w:spacing w:before="184" w:line="217" w:lineRule="auto"/>
              <w:ind w:left="117"/>
            </w:pPr>
            <w:r>
              <w:rPr>
                <w:spacing w:val="-21"/>
              </w:rPr>
              <w:t>大。中标后，我公司根据道路红线详细统计现场的障碍</w:t>
            </w:r>
            <w:r>
              <w:rPr>
                <w:spacing w:val="-22"/>
              </w:rPr>
              <w:t>物数量及产</w:t>
            </w:r>
          </w:p>
          <w:p w14:paraId="73E2F71F">
            <w:pPr>
              <w:pStyle w:val="7"/>
              <w:spacing w:before="185" w:line="217" w:lineRule="auto"/>
              <w:ind w:left="114"/>
            </w:pPr>
            <w:r>
              <w:rPr>
                <w:spacing w:val="-21"/>
              </w:rPr>
              <w:t>权单位，及时将障碍物统计表，上报给业主单位，及时与相关</w:t>
            </w:r>
            <w:r>
              <w:rPr>
                <w:spacing w:val="-22"/>
              </w:rPr>
              <w:t>单位</w:t>
            </w:r>
          </w:p>
          <w:p w14:paraId="6E6B1EBF">
            <w:pPr>
              <w:pStyle w:val="7"/>
              <w:spacing w:before="183" w:line="217" w:lineRule="auto"/>
              <w:ind w:left="116"/>
            </w:pPr>
            <w:r>
              <w:rPr>
                <w:spacing w:val="-21"/>
              </w:rPr>
              <w:t>取得联系，主动配合其对现场障碍物的拆除或者迁改。强</w:t>
            </w:r>
            <w:r>
              <w:rPr>
                <w:spacing w:val="-22"/>
              </w:rPr>
              <w:t>化项目部</w:t>
            </w:r>
          </w:p>
          <w:p w14:paraId="529A4E56">
            <w:pPr>
              <w:pStyle w:val="7"/>
              <w:spacing w:before="187" w:line="218" w:lineRule="auto"/>
              <w:ind w:left="144"/>
            </w:pPr>
            <w:r>
              <w:rPr>
                <w:spacing w:val="-22"/>
              </w:rPr>
              <w:t>内部管理人员效率与协调增强与业主的联系，加强对当地居</w:t>
            </w:r>
            <w:r>
              <w:rPr>
                <w:spacing w:val="-23"/>
              </w:rPr>
              <w:t>民委员</w:t>
            </w:r>
          </w:p>
          <w:p w14:paraId="6D88E81B">
            <w:pPr>
              <w:pStyle w:val="7"/>
              <w:spacing w:before="182" w:line="216" w:lineRule="auto"/>
              <w:ind w:left="122"/>
            </w:pPr>
            <w:r>
              <w:rPr>
                <w:spacing w:val="-22"/>
              </w:rPr>
              <w:t>会、派出所等部门的协作，并明确各方的人员职责分工，争取将围</w:t>
            </w:r>
          </w:p>
          <w:p w14:paraId="110DB44B">
            <w:pPr>
              <w:pStyle w:val="7"/>
              <w:spacing w:before="187" w:line="218" w:lineRule="auto"/>
              <w:jc w:val="right"/>
            </w:pPr>
            <w:r>
              <w:rPr>
                <w:spacing w:val="-25"/>
              </w:rPr>
              <w:t>绕本工程建设的各方各个人员充分调动统一，共同完成工期总目标。</w:t>
            </w:r>
          </w:p>
          <w:p w14:paraId="79423899">
            <w:pPr>
              <w:pStyle w:val="7"/>
              <w:spacing w:before="182" w:line="216" w:lineRule="auto"/>
              <w:ind w:left="120"/>
            </w:pPr>
            <w:r>
              <w:rPr>
                <w:spacing w:val="-21"/>
              </w:rPr>
              <w:t>全力配合现场苗木的移栽工作，并确保苗木移</w:t>
            </w:r>
            <w:r>
              <w:rPr>
                <w:spacing w:val="-22"/>
              </w:rPr>
              <w:t>栽的成活率，以保证</w:t>
            </w:r>
          </w:p>
          <w:p w14:paraId="0AF64526">
            <w:pPr>
              <w:pStyle w:val="7"/>
              <w:spacing w:before="187" w:line="217" w:lineRule="auto"/>
              <w:ind w:left="2185"/>
            </w:pPr>
            <w:r>
              <w:rPr>
                <w:spacing w:val="-19"/>
              </w:rPr>
              <w:t>施工的正常顺利进行。</w:t>
            </w:r>
          </w:p>
        </w:tc>
      </w:tr>
    </w:tbl>
    <w:p w14:paraId="73AA5E4F">
      <w:pPr>
        <w:pStyle w:val="2"/>
        <w:spacing w:before="115" w:line="216" w:lineRule="auto"/>
        <w:ind w:left="1888"/>
        <w:rPr>
          <w:sz w:val="24"/>
          <w:szCs w:val="24"/>
        </w:rPr>
      </w:pPr>
      <w:r>
        <w:rPr>
          <w:spacing w:val="-20"/>
          <w:sz w:val="24"/>
          <w:szCs w:val="24"/>
        </w:rPr>
        <w:t>2.2与产权单位、监理、设计等其他合作单位的协调</w:t>
      </w:r>
      <w:r>
        <w:rPr>
          <w:spacing w:val="-21"/>
          <w:sz w:val="24"/>
          <w:szCs w:val="24"/>
        </w:rPr>
        <w:t>配合</w:t>
      </w:r>
    </w:p>
    <w:p w14:paraId="4265D0A0">
      <w:pPr>
        <w:spacing w:line="48" w:lineRule="auto"/>
        <w:rPr>
          <w:rFonts w:ascii="Arial"/>
          <w:sz w:val="2"/>
        </w:rPr>
      </w:pPr>
    </w:p>
    <w:tbl>
      <w:tblPr>
        <w:tblStyle w:val="6"/>
        <w:tblW w:w="8888" w:type="dxa"/>
        <w:tblInd w:w="151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96"/>
        <w:gridCol w:w="564"/>
        <w:gridCol w:w="1451"/>
        <w:gridCol w:w="2193"/>
        <w:gridCol w:w="4362"/>
        <w:gridCol w:w="49"/>
        <w:gridCol w:w="73"/>
      </w:tblGrid>
      <w:tr w14:paraId="690CBA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6" w:hRule="atLeast"/>
        </w:trPr>
        <w:tc>
          <w:tcPr>
            <w:tcW w:w="760" w:type="dxa"/>
            <w:gridSpan w:val="2"/>
            <w:tcBorders>
              <w:top w:val="single" w:color="000000" w:sz="4" w:space="0"/>
              <w:left w:val="single" w:color="000000" w:sz="4" w:space="0"/>
            </w:tcBorders>
            <w:shd w:val="clear" w:color="auto" w:fill="DEEAF6"/>
            <w:vAlign w:val="top"/>
          </w:tcPr>
          <w:p w14:paraId="0F475C30">
            <w:pPr>
              <w:pStyle w:val="7"/>
              <w:spacing w:before="235" w:line="218" w:lineRule="auto"/>
              <w:ind w:left="178"/>
            </w:pPr>
            <w:r>
              <w:rPr>
                <w:b/>
                <w:bCs/>
                <w:spacing w:val="-12"/>
              </w:rPr>
              <w:t>序号</w:t>
            </w:r>
          </w:p>
        </w:tc>
        <w:tc>
          <w:tcPr>
            <w:tcW w:w="1451" w:type="dxa"/>
            <w:tcBorders>
              <w:top w:val="single" w:color="000000" w:sz="4" w:space="0"/>
            </w:tcBorders>
            <w:shd w:val="clear" w:color="auto" w:fill="DEEAF6"/>
            <w:vAlign w:val="top"/>
          </w:tcPr>
          <w:p w14:paraId="5CFA4B7A">
            <w:pPr>
              <w:pStyle w:val="7"/>
              <w:spacing w:before="234" w:line="217" w:lineRule="auto"/>
              <w:ind w:left="77"/>
            </w:pPr>
            <w:r>
              <w:rPr>
                <w:b/>
                <w:bCs/>
                <w:spacing w:val="-20"/>
              </w:rPr>
              <w:t>协调项目名称</w:t>
            </w:r>
          </w:p>
        </w:tc>
        <w:tc>
          <w:tcPr>
            <w:tcW w:w="2193" w:type="dxa"/>
            <w:tcBorders>
              <w:top w:val="single" w:color="000000" w:sz="4" w:space="0"/>
            </w:tcBorders>
            <w:shd w:val="clear" w:color="auto" w:fill="DEEAF6"/>
            <w:vAlign w:val="top"/>
          </w:tcPr>
          <w:p w14:paraId="4C78C3AF">
            <w:pPr>
              <w:pStyle w:val="7"/>
              <w:spacing w:before="234" w:line="217" w:lineRule="auto"/>
              <w:ind w:left="672"/>
            </w:pPr>
            <w:r>
              <w:rPr>
                <w:b/>
                <w:bCs/>
                <w:spacing w:val="-18"/>
              </w:rPr>
              <w:t>相关单位</w:t>
            </w:r>
          </w:p>
        </w:tc>
        <w:tc>
          <w:tcPr>
            <w:tcW w:w="4484" w:type="dxa"/>
            <w:gridSpan w:val="3"/>
            <w:tcBorders>
              <w:top w:val="single" w:color="5B9BD5" w:sz="4" w:space="0"/>
              <w:right w:val="single" w:color="5B9BD5" w:sz="4" w:space="0"/>
            </w:tcBorders>
            <w:shd w:val="clear" w:color="auto" w:fill="DEEAF6"/>
            <w:vAlign w:val="top"/>
          </w:tcPr>
          <w:p w14:paraId="6A6EFB80">
            <w:pPr>
              <w:pStyle w:val="7"/>
              <w:spacing w:before="234" w:line="216" w:lineRule="auto"/>
              <w:ind w:left="1481"/>
            </w:pPr>
            <w:r>
              <w:rPr>
                <w:b/>
                <w:bCs/>
                <w:spacing w:val="-21"/>
              </w:rPr>
              <w:t>依据及相关资料</w:t>
            </w:r>
          </w:p>
        </w:tc>
      </w:tr>
      <w:tr w14:paraId="18596E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52" w:hRule="atLeast"/>
        </w:trPr>
        <w:tc>
          <w:tcPr>
            <w:tcW w:w="760" w:type="dxa"/>
            <w:gridSpan w:val="2"/>
            <w:tcBorders>
              <w:left w:val="single" w:color="000000" w:sz="4" w:space="0"/>
            </w:tcBorders>
            <w:vAlign w:val="top"/>
          </w:tcPr>
          <w:p w14:paraId="40A709B4">
            <w:pPr>
              <w:spacing w:line="248" w:lineRule="auto"/>
              <w:rPr>
                <w:rFonts w:ascii="Arial"/>
                <w:sz w:val="21"/>
              </w:rPr>
            </w:pPr>
          </w:p>
          <w:p w14:paraId="3D4485A9">
            <w:pPr>
              <w:pStyle w:val="7"/>
              <w:spacing w:before="78" w:line="238" w:lineRule="auto"/>
              <w:ind w:left="352"/>
            </w:pPr>
            <w:r>
              <w:t>1</w:t>
            </w:r>
          </w:p>
        </w:tc>
        <w:tc>
          <w:tcPr>
            <w:tcW w:w="1451" w:type="dxa"/>
            <w:vAlign w:val="top"/>
          </w:tcPr>
          <w:p w14:paraId="23BBC67B">
            <w:pPr>
              <w:pStyle w:val="7"/>
              <w:spacing w:before="94" w:line="219" w:lineRule="auto"/>
              <w:ind w:left="88"/>
            </w:pPr>
            <w:r>
              <w:rPr>
                <w:spacing w:val="-20"/>
              </w:rPr>
              <w:t>与发包人间的</w:t>
            </w:r>
          </w:p>
          <w:p w14:paraId="1090E125">
            <w:pPr>
              <w:pStyle w:val="7"/>
              <w:spacing w:before="181" w:line="218" w:lineRule="auto"/>
              <w:ind w:left="516"/>
            </w:pPr>
            <w:r>
              <w:rPr>
                <w:spacing w:val="-10"/>
              </w:rPr>
              <w:t>协调</w:t>
            </w:r>
          </w:p>
        </w:tc>
        <w:tc>
          <w:tcPr>
            <w:tcW w:w="2193" w:type="dxa"/>
            <w:vAlign w:val="top"/>
          </w:tcPr>
          <w:p w14:paraId="73BBCEA8">
            <w:pPr>
              <w:spacing w:line="247" w:lineRule="auto"/>
              <w:rPr>
                <w:rFonts w:ascii="Arial"/>
                <w:sz w:val="21"/>
              </w:rPr>
            </w:pPr>
          </w:p>
          <w:p w14:paraId="78DBF66C">
            <w:pPr>
              <w:pStyle w:val="7"/>
              <w:spacing w:before="78" w:line="229" w:lineRule="auto"/>
              <w:ind w:left="891"/>
            </w:pPr>
            <w:r>
              <w:rPr>
                <w:spacing w:val="-10"/>
              </w:rPr>
              <w:t>业主</w:t>
            </w:r>
          </w:p>
        </w:tc>
        <w:tc>
          <w:tcPr>
            <w:tcW w:w="4362" w:type="dxa"/>
            <w:tcBorders>
              <w:right w:val="nil"/>
            </w:tcBorders>
            <w:vAlign w:val="top"/>
          </w:tcPr>
          <w:p w14:paraId="454F79A3">
            <w:pPr>
              <w:pStyle w:val="7"/>
              <w:spacing w:before="95" w:line="358" w:lineRule="auto"/>
              <w:ind w:left="824" w:hanging="754"/>
            </w:pPr>
            <w:r>
              <w:rPr>
                <w:spacing w:val="-26"/>
              </w:rPr>
              <w:t>施工项目管理全过程执行合同（资金、质量、</w:t>
            </w:r>
            <w:r>
              <w:rPr>
                <w:spacing w:val="-22"/>
              </w:rPr>
              <w:t>进度）生产计划、技术资料等</w:t>
            </w:r>
          </w:p>
        </w:tc>
        <w:tc>
          <w:tcPr>
            <w:tcW w:w="122" w:type="dxa"/>
            <w:gridSpan w:val="2"/>
            <w:tcBorders>
              <w:left w:val="nil"/>
              <w:right w:val="single" w:color="000000" w:sz="4" w:space="0"/>
            </w:tcBorders>
            <w:vAlign w:val="top"/>
          </w:tcPr>
          <w:p w14:paraId="4140035E">
            <w:pPr>
              <w:spacing w:line="58" w:lineRule="exact"/>
              <w:ind w:firstLine="84"/>
            </w:pPr>
            <w:r>
              <w:rPr>
                <w:position w:val="-1"/>
              </w:rPr>
              <w:pict>
                <v:group id="_x0000_s3917" o:spid="_x0000_s3917" o:spt="203" style="height:3.4pt;width:1.45pt;" coordsize="29,68">
                  <o:lock v:ext="edit"/>
                  <v:shape id="_x0000_s3918" o:spid="_x0000_s3918" style="position:absolute;left:14;top:0;height:68;width:15;" fillcolor="#20507B" filled="t" stroked="f" coordsize="15,68" path="m0,67l14,67,14,0,0,0,0,67xe">
                    <v:path/>
                    <v:fill on="t" focussize="0,0"/>
                    <v:stroke on="f"/>
                    <v:imagedata o:title=""/>
                    <o:lock v:ext="edit"/>
                  </v:shape>
                  <v:shape id="_x0000_s3919" o:spid="_x0000_s3919" style="position:absolute;left:0;top:0;height:68;width:15;" fillcolor="#1C456A" filled="t" stroked="f" coordsize="15,68" path="m0,67l14,67,14,0,0,0,0,67xe">
                    <v:path/>
                    <v:fill on="t" focussize="0,0"/>
                    <v:stroke on="f"/>
                    <v:imagedata o:title=""/>
                    <o:lock v:ext="edit"/>
                  </v:shape>
                  <w10:wrap type="none"/>
                  <w10:anchorlock/>
                </v:group>
              </w:pict>
            </w:r>
          </w:p>
        </w:tc>
      </w:tr>
      <w:tr w14:paraId="49276A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50" w:hRule="atLeast"/>
        </w:trPr>
        <w:tc>
          <w:tcPr>
            <w:tcW w:w="760" w:type="dxa"/>
            <w:gridSpan w:val="2"/>
            <w:tcBorders>
              <w:left w:val="single" w:color="000000" w:sz="4" w:space="0"/>
            </w:tcBorders>
            <w:vAlign w:val="top"/>
          </w:tcPr>
          <w:p w14:paraId="65FBD265">
            <w:pPr>
              <w:spacing w:line="249" w:lineRule="auto"/>
              <w:rPr>
                <w:rFonts w:ascii="Arial"/>
                <w:sz w:val="21"/>
              </w:rPr>
            </w:pPr>
          </w:p>
          <w:p w14:paraId="560023A8">
            <w:pPr>
              <w:pStyle w:val="7"/>
              <w:spacing w:before="78" w:line="238" w:lineRule="auto"/>
              <w:ind w:left="337"/>
            </w:pPr>
            <w:r>
              <w:t>2</w:t>
            </w:r>
          </w:p>
        </w:tc>
        <w:tc>
          <w:tcPr>
            <w:tcW w:w="1451" w:type="dxa"/>
            <w:vAlign w:val="top"/>
          </w:tcPr>
          <w:p w14:paraId="4B3FFA76">
            <w:pPr>
              <w:pStyle w:val="7"/>
              <w:spacing w:before="96" w:line="218" w:lineRule="auto"/>
              <w:ind w:left="88"/>
            </w:pPr>
            <w:r>
              <w:rPr>
                <w:spacing w:val="-20"/>
              </w:rPr>
              <w:t>与设计间的协</w:t>
            </w:r>
          </w:p>
          <w:p w14:paraId="34F45F8B">
            <w:pPr>
              <w:pStyle w:val="7"/>
              <w:spacing w:before="181" w:line="220" w:lineRule="auto"/>
              <w:ind w:left="623"/>
            </w:pPr>
            <w:r>
              <w:t>调</w:t>
            </w:r>
          </w:p>
        </w:tc>
        <w:tc>
          <w:tcPr>
            <w:tcW w:w="2193" w:type="dxa"/>
            <w:vAlign w:val="top"/>
          </w:tcPr>
          <w:p w14:paraId="4E4F98EA">
            <w:pPr>
              <w:spacing w:line="249" w:lineRule="auto"/>
              <w:rPr>
                <w:rFonts w:ascii="Arial"/>
                <w:sz w:val="21"/>
              </w:rPr>
            </w:pPr>
          </w:p>
          <w:p w14:paraId="3D0DD027">
            <w:pPr>
              <w:pStyle w:val="7"/>
              <w:spacing w:before="78" w:line="218" w:lineRule="auto"/>
              <w:ind w:left="780"/>
            </w:pPr>
            <w:r>
              <w:rPr>
                <w:spacing w:val="-13"/>
              </w:rPr>
              <w:t>设计院</w:t>
            </w:r>
          </w:p>
        </w:tc>
        <w:tc>
          <w:tcPr>
            <w:tcW w:w="4362" w:type="dxa"/>
            <w:tcBorders>
              <w:right w:val="nil"/>
            </w:tcBorders>
            <w:vAlign w:val="top"/>
          </w:tcPr>
          <w:p w14:paraId="3136AD25">
            <w:pPr>
              <w:pStyle w:val="7"/>
              <w:spacing w:before="96" w:line="218" w:lineRule="auto"/>
              <w:jc w:val="right"/>
            </w:pPr>
            <w:r>
              <w:rPr>
                <w:spacing w:val="-26"/>
              </w:rPr>
              <w:t>设计交底、图纸会审、洽商变更、地基处理、</w:t>
            </w:r>
          </w:p>
          <w:p w14:paraId="64F0CDBF">
            <w:pPr>
              <w:pStyle w:val="7"/>
              <w:spacing w:before="181" w:line="219" w:lineRule="auto"/>
              <w:ind w:left="1918"/>
            </w:pPr>
            <w:r>
              <w:rPr>
                <w:spacing w:val="-13"/>
              </w:rPr>
              <w:t>验收等</w:t>
            </w:r>
          </w:p>
        </w:tc>
        <w:tc>
          <w:tcPr>
            <w:tcW w:w="122" w:type="dxa"/>
            <w:gridSpan w:val="2"/>
            <w:tcBorders>
              <w:left w:val="nil"/>
              <w:right w:val="single" w:color="000000" w:sz="4" w:space="0"/>
            </w:tcBorders>
            <w:vAlign w:val="top"/>
          </w:tcPr>
          <w:p w14:paraId="029F7D2D">
            <w:pPr>
              <w:spacing w:line="60" w:lineRule="exact"/>
              <w:ind w:firstLine="84"/>
            </w:pPr>
            <w:r>
              <w:rPr>
                <w:position w:val="-1"/>
              </w:rPr>
              <w:pict>
                <v:group id="_x0000_s3920" o:spid="_x0000_s3920" o:spt="203" style="height:3.4pt;width:1.45pt;" coordsize="29,68">
                  <o:lock v:ext="edit"/>
                  <v:shape id="_x0000_s3921" o:spid="_x0000_s3921" style="position:absolute;left:14;top:0;height:68;width:15;" fillcolor="#20507B" filled="t" stroked="f" coordsize="15,68" path="m0,67l14,67,14,0,0,0,0,67xe">
                    <v:path/>
                    <v:fill on="t" focussize="0,0"/>
                    <v:stroke on="f"/>
                    <v:imagedata o:title=""/>
                    <o:lock v:ext="edit"/>
                  </v:shape>
                  <v:shape id="_x0000_s3922" o:spid="_x0000_s3922" style="position:absolute;left:0;top:0;height:68;width:15;" fillcolor="#1C456A" filled="t" stroked="f" coordsize="15,68" path="m0,67l14,67,14,0,0,0,0,67xe">
                    <v:path/>
                    <v:fill on="t" focussize="0,0"/>
                    <v:stroke on="f"/>
                    <v:imagedata o:title=""/>
                    <o:lock v:ext="edit"/>
                  </v:shape>
                  <w10:wrap type="none"/>
                  <w10:anchorlock/>
                </v:group>
              </w:pict>
            </w:r>
          </w:p>
        </w:tc>
      </w:tr>
      <w:tr w14:paraId="655255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52" w:hRule="atLeast"/>
        </w:trPr>
        <w:tc>
          <w:tcPr>
            <w:tcW w:w="760" w:type="dxa"/>
            <w:gridSpan w:val="2"/>
            <w:tcBorders>
              <w:left w:val="single" w:color="000000" w:sz="4" w:space="0"/>
            </w:tcBorders>
            <w:vAlign w:val="top"/>
          </w:tcPr>
          <w:p w14:paraId="5275FDFE">
            <w:pPr>
              <w:spacing w:line="253" w:lineRule="auto"/>
              <w:rPr>
                <w:rFonts w:ascii="Arial"/>
                <w:sz w:val="21"/>
              </w:rPr>
            </w:pPr>
          </w:p>
          <w:p w14:paraId="6748EF84">
            <w:pPr>
              <w:pStyle w:val="7"/>
              <w:spacing w:before="78" w:line="237" w:lineRule="auto"/>
              <w:ind w:left="339"/>
            </w:pPr>
            <w:r>
              <w:t>3</w:t>
            </w:r>
          </w:p>
        </w:tc>
        <w:tc>
          <w:tcPr>
            <w:tcW w:w="1451" w:type="dxa"/>
            <w:vAlign w:val="top"/>
          </w:tcPr>
          <w:p w14:paraId="709AF5B1">
            <w:pPr>
              <w:pStyle w:val="7"/>
              <w:spacing w:before="97" w:line="217" w:lineRule="auto"/>
              <w:ind w:left="88"/>
            </w:pPr>
            <w:r>
              <w:rPr>
                <w:spacing w:val="-20"/>
              </w:rPr>
              <w:t>与监理单位间</w:t>
            </w:r>
          </w:p>
          <w:p w14:paraId="148FC452">
            <w:pPr>
              <w:pStyle w:val="7"/>
              <w:spacing w:before="186" w:line="218" w:lineRule="auto"/>
              <w:ind w:left="419"/>
            </w:pPr>
            <w:r>
              <w:rPr>
                <w:spacing w:val="-17"/>
              </w:rPr>
              <w:t>的协调</w:t>
            </w:r>
          </w:p>
        </w:tc>
        <w:tc>
          <w:tcPr>
            <w:tcW w:w="2193" w:type="dxa"/>
            <w:vAlign w:val="top"/>
          </w:tcPr>
          <w:p w14:paraId="38C8590C">
            <w:pPr>
              <w:spacing w:line="253" w:lineRule="auto"/>
              <w:rPr>
                <w:rFonts w:ascii="Arial"/>
                <w:sz w:val="21"/>
              </w:rPr>
            </w:pPr>
          </w:p>
          <w:p w14:paraId="485D7D6B">
            <w:pPr>
              <w:pStyle w:val="7"/>
              <w:spacing w:before="78" w:line="219" w:lineRule="auto"/>
              <w:ind w:left="679"/>
            </w:pPr>
            <w:r>
              <w:rPr>
                <w:spacing w:val="-17"/>
              </w:rPr>
              <w:t>监理公司</w:t>
            </w:r>
          </w:p>
        </w:tc>
        <w:tc>
          <w:tcPr>
            <w:tcW w:w="4484" w:type="dxa"/>
            <w:gridSpan w:val="3"/>
            <w:tcBorders>
              <w:right w:val="single" w:color="000000" w:sz="4" w:space="0"/>
            </w:tcBorders>
            <w:vAlign w:val="top"/>
          </w:tcPr>
          <w:p w14:paraId="09243EED">
            <w:pPr>
              <w:spacing w:line="61" w:lineRule="exact"/>
              <w:ind w:right="4"/>
              <w:jc w:val="right"/>
            </w:pPr>
            <w:r>
              <w:rPr>
                <w:position w:val="-1"/>
              </w:rPr>
              <w:drawing>
                <wp:inline distT="0" distB="0" distL="0" distR="0">
                  <wp:extent cx="17780" cy="38735"/>
                  <wp:effectExtent l="0" t="0" r="0" b="0"/>
                  <wp:docPr id="1408" name="IM 1408"/>
                  <wp:cNvGraphicFramePr/>
                  <a:graphic xmlns:a="http://schemas.openxmlformats.org/drawingml/2006/main">
                    <a:graphicData uri="http://schemas.openxmlformats.org/drawingml/2006/picture">
                      <pic:pic xmlns:pic="http://schemas.openxmlformats.org/drawingml/2006/picture">
                        <pic:nvPicPr>
                          <pic:cNvPr id="1408" name="IM 1408"/>
                          <pic:cNvPicPr/>
                        </pic:nvPicPr>
                        <pic:blipFill>
                          <a:blip r:embed="rId475"/>
                          <a:stretch>
                            <a:fillRect/>
                          </a:stretch>
                        </pic:blipFill>
                        <pic:spPr>
                          <a:xfrm>
                            <a:off x="0" y="0"/>
                            <a:ext cx="18287" cy="38989"/>
                          </a:xfrm>
                          <a:prstGeom prst="rect">
                            <a:avLst/>
                          </a:prstGeom>
                        </pic:spPr>
                      </pic:pic>
                    </a:graphicData>
                  </a:graphic>
                </wp:inline>
              </w:drawing>
            </w:r>
          </w:p>
          <w:p w14:paraId="689471F6">
            <w:pPr>
              <w:pStyle w:val="7"/>
              <w:spacing w:before="36" w:line="216" w:lineRule="auto"/>
              <w:ind w:left="85"/>
            </w:pPr>
            <w:r>
              <w:rPr>
                <w:spacing w:val="-22"/>
              </w:rPr>
              <w:t>生产计划、技术资料、接收监督和管理、隐蔽</w:t>
            </w:r>
          </w:p>
          <w:p w14:paraId="7778EF8F">
            <w:pPr>
              <w:pStyle w:val="7"/>
              <w:spacing w:before="187" w:line="219" w:lineRule="auto"/>
              <w:ind w:left="1162"/>
            </w:pPr>
            <w:r>
              <w:rPr>
                <w:spacing w:val="-20"/>
              </w:rPr>
              <w:t>工程验收、竣工验收等</w:t>
            </w:r>
          </w:p>
        </w:tc>
      </w:tr>
      <w:tr w14:paraId="2A2DF2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52" w:hRule="atLeast"/>
        </w:trPr>
        <w:tc>
          <w:tcPr>
            <w:tcW w:w="760" w:type="dxa"/>
            <w:gridSpan w:val="2"/>
            <w:tcBorders>
              <w:left w:val="single" w:color="000000" w:sz="4" w:space="0"/>
            </w:tcBorders>
            <w:vAlign w:val="top"/>
          </w:tcPr>
          <w:p w14:paraId="0B786D0E">
            <w:pPr>
              <w:spacing w:line="252" w:lineRule="auto"/>
              <w:rPr>
                <w:rFonts w:ascii="Arial"/>
                <w:sz w:val="21"/>
              </w:rPr>
            </w:pPr>
          </w:p>
          <w:p w14:paraId="231BCE39">
            <w:pPr>
              <w:pStyle w:val="7"/>
              <w:spacing w:before="78" w:line="238" w:lineRule="auto"/>
              <w:ind w:left="333"/>
            </w:pPr>
            <w:r>
              <w:t>4</w:t>
            </w:r>
          </w:p>
        </w:tc>
        <w:tc>
          <w:tcPr>
            <w:tcW w:w="1451" w:type="dxa"/>
            <w:vAlign w:val="top"/>
          </w:tcPr>
          <w:p w14:paraId="58E57061">
            <w:pPr>
              <w:pStyle w:val="7"/>
              <w:spacing w:before="98" w:line="217" w:lineRule="auto"/>
              <w:ind w:left="88"/>
            </w:pPr>
            <w:r>
              <w:rPr>
                <w:spacing w:val="-20"/>
              </w:rPr>
              <w:t>与审计单位间</w:t>
            </w:r>
          </w:p>
          <w:p w14:paraId="296736ED">
            <w:pPr>
              <w:pStyle w:val="7"/>
              <w:spacing w:before="186" w:line="218" w:lineRule="auto"/>
              <w:ind w:left="419"/>
            </w:pPr>
            <w:r>
              <w:rPr>
                <w:spacing w:val="-17"/>
              </w:rPr>
              <w:t>的协调</w:t>
            </w:r>
          </w:p>
        </w:tc>
        <w:tc>
          <w:tcPr>
            <w:tcW w:w="2193" w:type="dxa"/>
            <w:vAlign w:val="top"/>
          </w:tcPr>
          <w:p w14:paraId="735E9CF6">
            <w:pPr>
              <w:spacing w:line="251" w:lineRule="auto"/>
              <w:rPr>
                <w:rFonts w:ascii="Arial"/>
                <w:sz w:val="21"/>
              </w:rPr>
            </w:pPr>
          </w:p>
          <w:p w14:paraId="57D1F948">
            <w:pPr>
              <w:pStyle w:val="7"/>
              <w:spacing w:before="78" w:line="217" w:lineRule="auto"/>
              <w:ind w:left="692"/>
            </w:pPr>
            <w:r>
              <w:rPr>
                <w:spacing w:val="-20"/>
              </w:rPr>
              <w:t>审计单位</w:t>
            </w:r>
          </w:p>
        </w:tc>
        <w:tc>
          <w:tcPr>
            <w:tcW w:w="4411" w:type="dxa"/>
            <w:gridSpan w:val="2"/>
            <w:tcBorders>
              <w:right w:val="nil"/>
            </w:tcBorders>
            <w:vAlign w:val="top"/>
          </w:tcPr>
          <w:p w14:paraId="06BA055D">
            <w:pPr>
              <w:pStyle w:val="7"/>
              <w:spacing w:before="98" w:line="217" w:lineRule="auto"/>
              <w:jc w:val="right"/>
            </w:pPr>
            <w:r>
              <w:rPr>
                <w:spacing w:val="-34"/>
              </w:rPr>
              <w:t>单价报审、变更签证、工程计量、工程款支付、</w:t>
            </w:r>
          </w:p>
          <w:p w14:paraId="2DA118B4">
            <w:pPr>
              <w:pStyle w:val="7"/>
              <w:spacing w:before="186" w:line="217" w:lineRule="auto"/>
              <w:ind w:left="1484"/>
            </w:pPr>
            <w:r>
              <w:rPr>
                <w:spacing w:val="-19"/>
              </w:rPr>
              <w:t>竣工结算审核等</w:t>
            </w:r>
          </w:p>
        </w:tc>
        <w:tc>
          <w:tcPr>
            <w:tcW w:w="73" w:type="dxa"/>
            <w:tcBorders>
              <w:left w:val="nil"/>
              <w:right w:val="single" w:color="000000" w:sz="4" w:space="0"/>
            </w:tcBorders>
            <w:vAlign w:val="top"/>
          </w:tcPr>
          <w:p w14:paraId="0C236938">
            <w:pPr>
              <w:spacing w:line="62" w:lineRule="exact"/>
              <w:ind w:firstLine="35"/>
            </w:pPr>
            <w:r>
              <w:rPr>
                <w:position w:val="-1"/>
              </w:rPr>
              <w:pict>
                <v:group id="_x0000_s3923" o:spid="_x0000_s3923" o:spt="203" style="height:3.4pt;width:1.45pt;" coordsize="29,68">
                  <o:lock v:ext="edit"/>
                  <v:shape id="_x0000_s3924" o:spid="_x0000_s3924" style="position:absolute;left:14;top:0;height:68;width:15;" fillcolor="#20507B" filled="t" stroked="f" coordsize="15,68" path="m0,67l14,67,14,0,0,0,0,67xe">
                    <v:path/>
                    <v:fill on="t" focussize="0,0"/>
                    <v:stroke on="f"/>
                    <v:imagedata o:title=""/>
                    <o:lock v:ext="edit"/>
                  </v:shape>
                  <v:shape id="_x0000_s3925" o:spid="_x0000_s3925" style="position:absolute;left:0;top:0;height:68;width:15;" fillcolor="#1C456A" filled="t" stroked="f" coordsize="15,68" path="m0,67l14,67,14,0,0,0,0,67xe">
                    <v:path/>
                    <v:fill on="t" focussize="0,0"/>
                    <v:stroke on="f"/>
                    <v:imagedata o:title=""/>
                    <o:lock v:ext="edit"/>
                  </v:shape>
                  <w10:wrap type="none"/>
                  <w10:anchorlock/>
                </v:group>
              </w:pict>
            </w:r>
          </w:p>
        </w:tc>
      </w:tr>
      <w:tr w14:paraId="6B327C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52" w:hRule="atLeast"/>
        </w:trPr>
        <w:tc>
          <w:tcPr>
            <w:tcW w:w="760" w:type="dxa"/>
            <w:gridSpan w:val="2"/>
            <w:tcBorders>
              <w:left w:val="single" w:color="000000" w:sz="4" w:space="0"/>
            </w:tcBorders>
            <w:vAlign w:val="top"/>
          </w:tcPr>
          <w:p w14:paraId="62806B0D">
            <w:pPr>
              <w:spacing w:line="253" w:lineRule="auto"/>
              <w:rPr>
                <w:rFonts w:ascii="Arial"/>
                <w:sz w:val="21"/>
              </w:rPr>
            </w:pPr>
          </w:p>
          <w:p w14:paraId="459FC2F6">
            <w:pPr>
              <w:pStyle w:val="7"/>
              <w:spacing w:before="78" w:line="237" w:lineRule="auto"/>
              <w:ind w:left="339"/>
            </w:pPr>
            <w:r>
              <w:t>5</w:t>
            </w:r>
          </w:p>
        </w:tc>
        <w:tc>
          <w:tcPr>
            <w:tcW w:w="1451" w:type="dxa"/>
            <w:vAlign w:val="top"/>
          </w:tcPr>
          <w:p w14:paraId="1F50A496">
            <w:pPr>
              <w:pStyle w:val="7"/>
              <w:spacing w:before="101" w:line="359" w:lineRule="auto"/>
              <w:ind w:left="319" w:right="53" w:hanging="231"/>
            </w:pPr>
            <w:r>
              <w:rPr>
                <w:spacing w:val="-23"/>
              </w:rPr>
              <w:t>与材料供应商</w:t>
            </w:r>
            <w:r>
              <w:rPr>
                <w:spacing w:val="-21"/>
              </w:rPr>
              <w:t>间的协调</w:t>
            </w:r>
          </w:p>
        </w:tc>
        <w:tc>
          <w:tcPr>
            <w:tcW w:w="2193" w:type="dxa"/>
            <w:vAlign w:val="top"/>
          </w:tcPr>
          <w:p w14:paraId="44DA028D">
            <w:pPr>
              <w:spacing w:line="253" w:lineRule="auto"/>
              <w:rPr>
                <w:rFonts w:ascii="Arial"/>
                <w:sz w:val="21"/>
              </w:rPr>
            </w:pPr>
          </w:p>
          <w:p w14:paraId="4F00D618">
            <w:pPr>
              <w:pStyle w:val="7"/>
              <w:spacing w:before="78" w:line="216" w:lineRule="auto"/>
              <w:ind w:left="564"/>
            </w:pPr>
            <w:r>
              <w:rPr>
                <w:spacing w:val="-17"/>
              </w:rPr>
              <w:t>材料供应商</w:t>
            </w:r>
          </w:p>
        </w:tc>
        <w:tc>
          <w:tcPr>
            <w:tcW w:w="4484" w:type="dxa"/>
            <w:gridSpan w:val="3"/>
            <w:tcBorders>
              <w:right w:val="single" w:color="000000" w:sz="4" w:space="0"/>
            </w:tcBorders>
            <w:vAlign w:val="top"/>
          </w:tcPr>
          <w:p w14:paraId="6C7B1DAF">
            <w:pPr>
              <w:spacing w:line="64" w:lineRule="exact"/>
              <w:ind w:firstLine="4443"/>
            </w:pPr>
            <w:r>
              <w:rPr>
                <w:position w:val="-1"/>
              </w:rPr>
              <w:pict>
                <v:group id="_x0000_s3926" o:spid="_x0000_s3926" o:spt="203" style="height:3.4pt;width:1.45pt;" coordsize="29,68">
                  <o:lock v:ext="edit"/>
                  <v:shape id="_x0000_s3927" o:spid="_x0000_s3927" style="position:absolute;left:14;top:0;height:68;width:15;" fillcolor="#20507B" filled="t" stroked="f" coordsize="15,68" path="m0,67l14,67,14,0,0,0,0,67xe">
                    <v:path/>
                    <v:fill on="t" focussize="0,0"/>
                    <v:stroke on="f"/>
                    <v:imagedata o:title=""/>
                    <o:lock v:ext="edit"/>
                  </v:shape>
                  <v:shape id="_x0000_s3928" o:spid="_x0000_s3928" style="position:absolute;left:0;top:0;height:68;width:15;" fillcolor="#1C456A" filled="t" stroked="f" coordsize="15,68" path="m0,67l14,67,14,0,0,0,0,67xe">
                    <v:path/>
                    <v:fill on="t" focussize="0,0"/>
                    <v:stroke on="f"/>
                    <v:imagedata o:title=""/>
                    <o:lock v:ext="edit"/>
                  </v:shape>
                  <w10:wrap type="none"/>
                  <w10:anchorlock/>
                </v:group>
              </w:pict>
            </w:r>
          </w:p>
          <w:p w14:paraId="6D3309BE">
            <w:pPr>
              <w:pStyle w:val="7"/>
              <w:spacing w:before="269" w:line="217" w:lineRule="auto"/>
              <w:ind w:left="72"/>
            </w:pPr>
            <w:r>
              <w:rPr>
                <w:spacing w:val="-22"/>
              </w:rPr>
              <w:t>供应合同、价格机制、竞争机制、供求机制等</w:t>
            </w:r>
          </w:p>
        </w:tc>
      </w:tr>
      <w:tr w14:paraId="3823E0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51" w:hRule="atLeast"/>
        </w:trPr>
        <w:tc>
          <w:tcPr>
            <w:tcW w:w="760" w:type="dxa"/>
            <w:gridSpan w:val="2"/>
            <w:tcBorders>
              <w:left w:val="single" w:color="000000" w:sz="4" w:space="0"/>
            </w:tcBorders>
            <w:vAlign w:val="top"/>
          </w:tcPr>
          <w:p w14:paraId="3388A41B">
            <w:pPr>
              <w:spacing w:line="255" w:lineRule="auto"/>
              <w:rPr>
                <w:rFonts w:ascii="Arial"/>
                <w:sz w:val="21"/>
              </w:rPr>
            </w:pPr>
          </w:p>
          <w:p w14:paraId="0C628BE0">
            <w:pPr>
              <w:pStyle w:val="7"/>
              <w:spacing w:before="78" w:line="237" w:lineRule="auto"/>
              <w:ind w:left="336"/>
            </w:pPr>
            <w:r>
              <w:t>6</w:t>
            </w:r>
          </w:p>
        </w:tc>
        <w:tc>
          <w:tcPr>
            <w:tcW w:w="1451" w:type="dxa"/>
            <w:vAlign w:val="top"/>
          </w:tcPr>
          <w:p w14:paraId="5AA37B5A">
            <w:pPr>
              <w:pStyle w:val="7"/>
              <w:spacing w:before="101" w:line="219" w:lineRule="auto"/>
              <w:ind w:left="88"/>
            </w:pPr>
            <w:r>
              <w:rPr>
                <w:spacing w:val="-20"/>
              </w:rPr>
              <w:t>与发包人间的</w:t>
            </w:r>
          </w:p>
          <w:p w14:paraId="51DC87F4">
            <w:pPr>
              <w:pStyle w:val="7"/>
              <w:spacing w:before="181" w:line="218" w:lineRule="auto"/>
              <w:ind w:left="516"/>
            </w:pPr>
            <w:r>
              <w:rPr>
                <w:spacing w:val="-10"/>
              </w:rPr>
              <w:t>协调</w:t>
            </w:r>
          </w:p>
        </w:tc>
        <w:tc>
          <w:tcPr>
            <w:tcW w:w="2193" w:type="dxa"/>
            <w:vAlign w:val="top"/>
          </w:tcPr>
          <w:p w14:paraId="3CCACB65">
            <w:pPr>
              <w:spacing w:line="255" w:lineRule="auto"/>
              <w:rPr>
                <w:rFonts w:ascii="Arial"/>
                <w:sz w:val="21"/>
              </w:rPr>
            </w:pPr>
          </w:p>
          <w:p w14:paraId="0D76858A">
            <w:pPr>
              <w:pStyle w:val="7"/>
              <w:spacing w:before="78" w:line="229" w:lineRule="auto"/>
              <w:ind w:left="891"/>
            </w:pPr>
            <w:r>
              <w:rPr>
                <w:spacing w:val="-10"/>
              </w:rPr>
              <w:t>业主</w:t>
            </w:r>
          </w:p>
        </w:tc>
        <w:tc>
          <w:tcPr>
            <w:tcW w:w="4362" w:type="dxa"/>
            <w:tcBorders>
              <w:right w:val="nil"/>
            </w:tcBorders>
            <w:vAlign w:val="top"/>
          </w:tcPr>
          <w:p w14:paraId="0F52E4BD">
            <w:pPr>
              <w:pStyle w:val="7"/>
              <w:spacing w:before="101" w:line="359" w:lineRule="auto"/>
              <w:ind w:left="824" w:hanging="754"/>
            </w:pPr>
            <w:r>
              <w:rPr>
                <w:spacing w:val="-26"/>
              </w:rPr>
              <w:t>施工项目管理全过程执行合同（资金、质量、</w:t>
            </w:r>
            <w:r>
              <w:rPr>
                <w:spacing w:val="-22"/>
              </w:rPr>
              <w:t>进度）生产计划、技术资料等</w:t>
            </w:r>
          </w:p>
        </w:tc>
        <w:tc>
          <w:tcPr>
            <w:tcW w:w="122" w:type="dxa"/>
            <w:gridSpan w:val="2"/>
            <w:tcBorders>
              <w:left w:val="nil"/>
              <w:right w:val="single" w:color="000000" w:sz="4" w:space="0"/>
            </w:tcBorders>
            <w:vAlign w:val="top"/>
          </w:tcPr>
          <w:p w14:paraId="29D323B2">
            <w:pPr>
              <w:spacing w:line="65" w:lineRule="exact"/>
              <w:ind w:firstLine="84"/>
            </w:pPr>
            <w:r>
              <w:rPr>
                <w:position w:val="-1"/>
              </w:rPr>
              <w:pict>
                <v:group id="_x0000_s3929" o:spid="_x0000_s3929" o:spt="203" style="height:3.4pt;width:1.45pt;" coordsize="29,68">
                  <o:lock v:ext="edit"/>
                  <v:shape id="_x0000_s3930" o:spid="_x0000_s3930" style="position:absolute;left:14;top:0;height:68;width:15;" fillcolor="#20507B" filled="t" stroked="f" coordsize="15,68" path="m0,67l14,67,14,0,0,0,0,67xe">
                    <v:path/>
                    <v:fill on="t" focussize="0,0"/>
                    <v:stroke on="f"/>
                    <v:imagedata o:title=""/>
                    <o:lock v:ext="edit"/>
                  </v:shape>
                  <v:shape id="_x0000_s3931" o:spid="_x0000_s3931" style="position:absolute;left:0;top:0;height:68;width:15;" fillcolor="#1C456A" filled="t" stroked="f" coordsize="15,68" path="m0,67l14,67,14,0,0,0,0,67xe">
                    <v:path/>
                    <v:fill on="t" focussize="0,0"/>
                    <v:stroke on="f"/>
                    <v:imagedata o:title=""/>
                    <o:lock v:ext="edit"/>
                  </v:shape>
                  <w10:wrap type="none"/>
                  <w10:anchorlock/>
                </v:group>
              </w:pict>
            </w:r>
          </w:p>
        </w:tc>
      </w:tr>
      <w:tr w14:paraId="421760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26" w:hRule="atLeast"/>
        </w:trPr>
        <w:tc>
          <w:tcPr>
            <w:tcW w:w="196" w:type="dxa"/>
            <w:tcBorders>
              <w:left w:val="single" w:color="1C456A" w:sz="4" w:space="0"/>
              <w:bottom w:val="single" w:color="1C456A" w:sz="4" w:space="0"/>
              <w:right w:val="nil"/>
            </w:tcBorders>
            <w:vAlign w:val="top"/>
          </w:tcPr>
          <w:p w14:paraId="0A0808DF">
            <w:pPr>
              <w:rPr>
                <w:rFonts w:ascii="Arial"/>
                <w:sz w:val="21"/>
              </w:rPr>
            </w:pPr>
            <w:r>
              <w:pict>
                <v:shape id="_x0000_s3932" o:spid="_x0000_s3932" style="position:absolute;left:0pt;margin-left:-0.25pt;margin-top:101.35pt;height:0.75pt;width:2.2pt;mso-position-horizontal-relative:page;mso-position-vertical-relative:page;z-index:252278784;mso-width-relative:page;mso-height-relative:page;" fillcolor="#5B9BD5" filled="t" stroked="f" coordsize="44,15" path="m0,14l43,14,43,0,0,0,0,14xe">
                  <v:path/>
                  <v:fill on="t" focussize="0,0"/>
                  <v:stroke on="f"/>
                  <v:imagedata o:title=""/>
                  <o:lock v:ext="edit"/>
                </v:shape>
              </w:pict>
            </w:r>
          </w:p>
        </w:tc>
        <w:tc>
          <w:tcPr>
            <w:tcW w:w="564" w:type="dxa"/>
            <w:tcBorders>
              <w:left w:val="nil"/>
              <w:bottom w:val="single" w:color="1C456A" w:sz="4" w:space="0"/>
            </w:tcBorders>
            <w:vAlign w:val="top"/>
          </w:tcPr>
          <w:p w14:paraId="13931A43">
            <w:pPr>
              <w:rPr>
                <w:rFonts w:ascii="Arial"/>
                <w:sz w:val="21"/>
              </w:rPr>
            </w:pPr>
          </w:p>
          <w:p w14:paraId="547D2BF0">
            <w:pPr>
              <w:rPr>
                <w:rFonts w:ascii="Arial"/>
                <w:sz w:val="21"/>
              </w:rPr>
            </w:pPr>
          </w:p>
          <w:p w14:paraId="36FCD903">
            <w:pPr>
              <w:rPr>
                <w:rFonts w:ascii="Arial"/>
                <w:sz w:val="21"/>
              </w:rPr>
            </w:pPr>
          </w:p>
          <w:p w14:paraId="610FF621">
            <w:pPr>
              <w:pStyle w:val="7"/>
              <w:spacing w:before="78" w:line="237" w:lineRule="auto"/>
              <w:ind w:left="149"/>
            </w:pPr>
            <w:r>
              <w:t>7</w:t>
            </w:r>
          </w:p>
        </w:tc>
        <w:tc>
          <w:tcPr>
            <w:tcW w:w="1451" w:type="dxa"/>
            <w:tcBorders>
              <w:bottom w:val="single" w:color="000000" w:sz="4" w:space="0"/>
            </w:tcBorders>
            <w:vAlign w:val="top"/>
          </w:tcPr>
          <w:p w14:paraId="7CFC6A70">
            <w:pPr>
              <w:spacing w:line="244" w:lineRule="auto"/>
              <w:rPr>
                <w:rFonts w:ascii="Arial"/>
                <w:sz w:val="21"/>
              </w:rPr>
            </w:pPr>
          </w:p>
          <w:p w14:paraId="7362814D">
            <w:pPr>
              <w:spacing w:line="245" w:lineRule="auto"/>
              <w:rPr>
                <w:rFonts w:ascii="Arial"/>
                <w:sz w:val="21"/>
              </w:rPr>
            </w:pPr>
          </w:p>
          <w:p w14:paraId="279C4BE8">
            <w:pPr>
              <w:pStyle w:val="7"/>
              <w:spacing w:before="78" w:line="215" w:lineRule="auto"/>
              <w:ind w:left="88"/>
            </w:pPr>
            <w:r>
              <w:rPr>
                <w:spacing w:val="-20"/>
              </w:rPr>
              <w:t>与在建单位协</w:t>
            </w:r>
          </w:p>
          <w:p w14:paraId="388B9102">
            <w:pPr>
              <w:pStyle w:val="7"/>
              <w:spacing w:before="185" w:line="220" w:lineRule="auto"/>
              <w:ind w:left="623"/>
            </w:pPr>
            <w:r>
              <w:t>调</w:t>
            </w:r>
          </w:p>
        </w:tc>
        <w:tc>
          <w:tcPr>
            <w:tcW w:w="2193" w:type="dxa"/>
            <w:tcBorders>
              <w:bottom w:val="single" w:color="000000" w:sz="4" w:space="0"/>
            </w:tcBorders>
            <w:vAlign w:val="top"/>
          </w:tcPr>
          <w:p w14:paraId="67AEAE7A">
            <w:pPr>
              <w:rPr>
                <w:rFonts w:ascii="Arial"/>
                <w:sz w:val="21"/>
              </w:rPr>
            </w:pPr>
          </w:p>
          <w:p w14:paraId="59AFEF7D">
            <w:pPr>
              <w:rPr>
                <w:rFonts w:ascii="Arial"/>
                <w:sz w:val="21"/>
              </w:rPr>
            </w:pPr>
          </w:p>
          <w:p w14:paraId="4569CA96">
            <w:pPr>
              <w:spacing w:line="241" w:lineRule="auto"/>
              <w:rPr>
                <w:rFonts w:ascii="Arial"/>
                <w:sz w:val="21"/>
              </w:rPr>
            </w:pPr>
          </w:p>
          <w:p w14:paraId="57A5014D">
            <w:pPr>
              <w:pStyle w:val="7"/>
              <w:spacing w:before="78" w:line="215" w:lineRule="auto"/>
              <w:ind w:left="674"/>
            </w:pPr>
            <w:r>
              <w:rPr>
                <w:spacing w:val="-16"/>
              </w:rPr>
              <w:t>在建单位</w:t>
            </w:r>
          </w:p>
        </w:tc>
        <w:tc>
          <w:tcPr>
            <w:tcW w:w="4484" w:type="dxa"/>
            <w:gridSpan w:val="3"/>
            <w:tcBorders>
              <w:bottom w:val="single" w:color="5B9BD5" w:sz="4" w:space="0"/>
              <w:right w:val="single" w:color="5B9BD5" w:sz="4" w:space="0"/>
            </w:tcBorders>
            <w:vAlign w:val="top"/>
          </w:tcPr>
          <w:p w14:paraId="755C3C37">
            <w:pPr>
              <w:spacing w:line="66" w:lineRule="exact"/>
              <w:ind w:right="4"/>
              <w:jc w:val="right"/>
            </w:pPr>
            <w:r>
              <w:rPr>
                <w:position w:val="-1"/>
              </w:rPr>
              <w:drawing>
                <wp:inline distT="0" distB="0" distL="0" distR="0">
                  <wp:extent cx="17780" cy="41910"/>
                  <wp:effectExtent l="0" t="0" r="0" b="0"/>
                  <wp:docPr id="1410" name="IM 1410"/>
                  <wp:cNvGraphicFramePr/>
                  <a:graphic xmlns:a="http://schemas.openxmlformats.org/drawingml/2006/main">
                    <a:graphicData uri="http://schemas.openxmlformats.org/drawingml/2006/picture">
                      <pic:pic xmlns:pic="http://schemas.openxmlformats.org/drawingml/2006/picture">
                        <pic:nvPicPr>
                          <pic:cNvPr id="1410" name="IM 1410"/>
                          <pic:cNvPicPr/>
                        </pic:nvPicPr>
                        <pic:blipFill>
                          <a:blip r:embed="rId636"/>
                          <a:stretch>
                            <a:fillRect/>
                          </a:stretch>
                        </pic:blipFill>
                        <pic:spPr>
                          <a:xfrm>
                            <a:off x="0" y="0"/>
                            <a:ext cx="18287" cy="42036"/>
                          </a:xfrm>
                          <a:prstGeom prst="rect">
                            <a:avLst/>
                          </a:prstGeom>
                        </pic:spPr>
                      </pic:pic>
                    </a:graphicData>
                  </a:graphic>
                </wp:inline>
              </w:drawing>
            </w:r>
          </w:p>
          <w:p w14:paraId="221A2659">
            <w:pPr>
              <w:pStyle w:val="7"/>
              <w:spacing w:before="35" w:line="217" w:lineRule="auto"/>
              <w:ind w:left="76"/>
            </w:pPr>
            <w:r>
              <w:rPr>
                <w:spacing w:val="-22"/>
              </w:rPr>
              <w:t>通过建设单位搭设沟通联系的“桥梁”，之后</w:t>
            </w:r>
          </w:p>
          <w:p w14:paraId="0A2FC720">
            <w:pPr>
              <w:pStyle w:val="7"/>
              <w:spacing w:before="186" w:line="215" w:lineRule="auto"/>
              <w:ind w:left="77"/>
            </w:pPr>
            <w:r>
              <w:rPr>
                <w:spacing w:val="-22"/>
              </w:rPr>
              <w:t>主动与在建单位共同，施工过程中各自安排专</w:t>
            </w:r>
          </w:p>
          <w:p w14:paraId="154A3AC9">
            <w:pPr>
              <w:pStyle w:val="7"/>
              <w:spacing w:before="185" w:line="216" w:lineRule="auto"/>
              <w:ind w:left="75"/>
            </w:pPr>
            <w:r>
              <w:rPr>
                <w:spacing w:val="-22"/>
              </w:rPr>
              <w:t>人对接施工作业面，如有碰撞交叉，积极主动</w:t>
            </w:r>
          </w:p>
          <w:p w14:paraId="7071C923">
            <w:pPr>
              <w:pStyle w:val="7"/>
              <w:spacing w:before="187" w:line="218" w:lineRule="auto"/>
              <w:ind w:left="1920"/>
            </w:pPr>
            <w:r>
              <w:rPr>
                <w:spacing w:val="-21"/>
              </w:rPr>
              <w:t>协调。</w:t>
            </w:r>
          </w:p>
        </w:tc>
      </w:tr>
    </w:tbl>
    <w:p w14:paraId="3CF654FE">
      <w:pPr>
        <w:rPr>
          <w:rFonts w:ascii="Arial"/>
          <w:sz w:val="21"/>
        </w:rPr>
      </w:pPr>
    </w:p>
    <w:p w14:paraId="581EDC9B">
      <w:pPr>
        <w:rPr>
          <w:rFonts w:ascii="Arial" w:hAnsi="Arial" w:eastAsia="Arial" w:cs="Arial"/>
          <w:sz w:val="21"/>
          <w:szCs w:val="21"/>
        </w:rPr>
        <w:sectPr>
          <w:footerReference r:id="rId342" w:type="default"/>
          <w:pgSz w:w="11907" w:h="16839"/>
          <w:pgMar w:top="933" w:right="4" w:bottom="1038" w:left="0" w:header="478" w:footer="357" w:gutter="0"/>
          <w:pgBorders>
            <w:top w:val="none" w:sz="0" w:space="0"/>
            <w:left w:val="none" w:sz="0" w:space="0"/>
            <w:bottom w:val="none" w:sz="0" w:space="0"/>
            <w:right w:val="none" w:sz="0" w:space="0"/>
          </w:pgBorders>
          <w:cols w:space="720" w:num="1"/>
        </w:sectPr>
      </w:pPr>
    </w:p>
    <w:p w14:paraId="01C3D409">
      <w:pPr>
        <w:pStyle w:val="2"/>
        <w:spacing w:before="300" w:line="217" w:lineRule="auto"/>
        <w:ind w:left="3753"/>
        <w:outlineLvl w:val="1"/>
        <w:rPr>
          <w:sz w:val="30"/>
          <w:szCs w:val="30"/>
        </w:rPr>
      </w:pPr>
      <w:bookmarkStart w:id="246" w:name="bookmark238"/>
      <w:bookmarkEnd w:id="246"/>
      <w:bookmarkStart w:id="247" w:name="bookmark237"/>
      <w:bookmarkEnd w:id="247"/>
      <w:r>
        <w:rPr>
          <w:b/>
          <w:bCs/>
          <w:color w:val="0070C0"/>
          <w:spacing w:val="-24"/>
          <w:sz w:val="30"/>
          <w:szCs w:val="30"/>
        </w:rPr>
        <w:t>第七节、供水管道施工交通导改方案</w:t>
      </w:r>
    </w:p>
    <w:p w14:paraId="3864DAE9">
      <w:pPr>
        <w:pStyle w:val="2"/>
        <w:spacing w:before="64" w:line="218" w:lineRule="auto"/>
        <w:ind w:left="1981"/>
        <w:outlineLvl w:val="2"/>
        <w:rPr>
          <w:sz w:val="28"/>
          <w:szCs w:val="28"/>
        </w:rPr>
      </w:pPr>
      <w:bookmarkStart w:id="248" w:name="bookmark311"/>
      <w:bookmarkEnd w:id="248"/>
      <w:r>
        <w:rPr>
          <w:b/>
          <w:bCs/>
          <w:spacing w:val="-22"/>
          <w:sz w:val="28"/>
          <w:szCs w:val="28"/>
        </w:rPr>
        <w:t>一、重点、难点分析</w:t>
      </w:r>
    </w:p>
    <w:p w14:paraId="7C107509">
      <w:pPr>
        <w:pStyle w:val="2"/>
        <w:spacing w:before="101" w:line="299" w:lineRule="auto"/>
        <w:ind w:left="1456" w:right="1410" w:firstLine="436"/>
        <w:jc w:val="both"/>
        <w:rPr>
          <w:sz w:val="24"/>
          <w:szCs w:val="24"/>
        </w:rPr>
      </w:pPr>
      <w:r>
        <w:rPr>
          <w:spacing w:val="-20"/>
          <w:sz w:val="24"/>
          <w:szCs w:val="24"/>
        </w:rPr>
        <w:t>施工现场要求全封闭施工，我单位拟根据周边道路交通量情况实施合理交通疏导，作业区形成全封闭施工，方案实施前报主管部门及业主审批，审批通过后予以指导施工，故我单位拟</w:t>
      </w:r>
      <w:r>
        <w:rPr>
          <w:spacing w:val="-21"/>
          <w:sz w:val="24"/>
          <w:szCs w:val="24"/>
        </w:rPr>
        <w:t>将供水管道施工交通导改方案拟作为本工程的重点、难点。</w:t>
      </w:r>
    </w:p>
    <w:p w14:paraId="63E02544">
      <w:pPr>
        <w:pStyle w:val="2"/>
        <w:spacing w:line="217" w:lineRule="auto"/>
        <w:ind w:left="1986"/>
        <w:outlineLvl w:val="2"/>
        <w:rPr>
          <w:sz w:val="28"/>
          <w:szCs w:val="28"/>
        </w:rPr>
      </w:pPr>
      <w:bookmarkStart w:id="249" w:name="bookmark239"/>
      <w:bookmarkEnd w:id="249"/>
      <w:r>
        <w:rPr>
          <w:b/>
          <w:bCs/>
          <w:spacing w:val="-22"/>
          <w:sz w:val="28"/>
          <w:szCs w:val="28"/>
        </w:rPr>
        <w:t>二、对应保证措施</w:t>
      </w:r>
    </w:p>
    <w:p w14:paraId="60677FC0">
      <w:pPr>
        <w:pStyle w:val="2"/>
        <w:spacing w:before="106" w:line="217" w:lineRule="auto"/>
        <w:ind w:left="1888"/>
        <w:rPr>
          <w:sz w:val="24"/>
          <w:szCs w:val="24"/>
        </w:rPr>
      </w:pPr>
      <w:r>
        <w:rPr>
          <w:spacing w:val="-12"/>
          <w:sz w:val="24"/>
          <w:szCs w:val="24"/>
        </w:rPr>
        <w:t>2.1交通疏导编制措施</w:t>
      </w:r>
    </w:p>
    <w:p w14:paraId="6983C208">
      <w:pPr>
        <w:pStyle w:val="2"/>
        <w:spacing w:before="119" w:line="217" w:lineRule="auto"/>
        <w:ind w:left="1903"/>
        <w:rPr>
          <w:sz w:val="24"/>
          <w:szCs w:val="24"/>
        </w:rPr>
      </w:pPr>
      <w:r>
        <w:rPr>
          <w:spacing w:val="-19"/>
          <w:sz w:val="24"/>
          <w:szCs w:val="24"/>
        </w:rPr>
        <w:t>1、交通维护原则</w:t>
      </w:r>
    </w:p>
    <w:p w14:paraId="3EC3E49B">
      <w:pPr>
        <w:pStyle w:val="2"/>
        <w:spacing w:before="115" w:line="308" w:lineRule="auto"/>
        <w:ind w:left="1457" w:right="1409" w:firstLine="441"/>
        <w:rPr>
          <w:sz w:val="24"/>
          <w:szCs w:val="24"/>
        </w:rPr>
      </w:pPr>
      <w:r>
        <w:rPr>
          <w:spacing w:val="-20"/>
          <w:sz w:val="24"/>
          <w:szCs w:val="24"/>
        </w:rPr>
        <w:t>交通维护原则遵循“以人为本、安全第一、对交通影响最小化”的新理念。本工程地理位置特殊，本工程交通流量较大。为此我们将根据不同的现状，合理采取相应的有效措施，既能使本工程施工进展顺利按期完工，又能使现场交通畅通，使工程施工对现场交通的影响减少到</w:t>
      </w:r>
      <w:r>
        <w:rPr>
          <w:spacing w:val="-17"/>
          <w:sz w:val="24"/>
          <w:szCs w:val="24"/>
        </w:rPr>
        <w:t>最低程度。</w:t>
      </w:r>
    </w:p>
    <w:p w14:paraId="26BE4549">
      <w:pPr>
        <w:pStyle w:val="2"/>
        <w:spacing w:before="2" w:line="262" w:lineRule="auto"/>
        <w:ind w:left="1457" w:right="1412" w:firstLine="446"/>
        <w:rPr>
          <w:sz w:val="24"/>
          <w:szCs w:val="24"/>
        </w:rPr>
      </w:pPr>
      <w:r>
        <w:rPr>
          <w:spacing w:val="-23"/>
          <w:sz w:val="24"/>
          <w:szCs w:val="24"/>
        </w:rPr>
        <w:t>1.1协调平衡原则。既要为施工建设提供良好的外部环境</w:t>
      </w:r>
      <w:r>
        <w:rPr>
          <w:spacing w:val="-24"/>
          <w:sz w:val="24"/>
          <w:szCs w:val="24"/>
        </w:rPr>
        <w:t>，确保工程顺利完成；又要尽量确</w:t>
      </w:r>
      <w:r>
        <w:rPr>
          <w:spacing w:val="-19"/>
          <w:sz w:val="24"/>
          <w:szCs w:val="24"/>
        </w:rPr>
        <w:t>保交通基本通行。</w:t>
      </w:r>
    </w:p>
    <w:p w14:paraId="714D2416">
      <w:pPr>
        <w:pStyle w:val="2"/>
        <w:spacing w:before="117" w:line="263" w:lineRule="auto"/>
        <w:ind w:left="1457" w:right="1410" w:firstLine="446"/>
        <w:rPr>
          <w:sz w:val="24"/>
          <w:szCs w:val="24"/>
        </w:rPr>
      </w:pPr>
      <w:r>
        <w:rPr>
          <w:spacing w:val="-23"/>
          <w:sz w:val="24"/>
          <w:szCs w:val="24"/>
        </w:rPr>
        <w:t>1.2系统性原则。先对整条施工线路的交通</w:t>
      </w:r>
      <w:r>
        <w:rPr>
          <w:spacing w:val="-24"/>
          <w:sz w:val="24"/>
          <w:szCs w:val="24"/>
        </w:rPr>
        <w:t>疏解方案进行整体分析；再对各主要节点进行细</w:t>
      </w:r>
      <w:r>
        <w:rPr>
          <w:spacing w:val="-15"/>
          <w:sz w:val="24"/>
          <w:szCs w:val="24"/>
        </w:rPr>
        <w:t>部研究。</w:t>
      </w:r>
    </w:p>
    <w:p w14:paraId="41349EF5">
      <w:pPr>
        <w:pStyle w:val="2"/>
        <w:spacing w:before="118" w:line="261" w:lineRule="auto"/>
        <w:ind w:left="1460" w:right="1409" w:firstLine="443"/>
        <w:rPr>
          <w:sz w:val="24"/>
          <w:szCs w:val="24"/>
        </w:rPr>
      </w:pPr>
      <w:r>
        <w:rPr>
          <w:spacing w:val="-23"/>
          <w:sz w:val="24"/>
          <w:szCs w:val="24"/>
        </w:rPr>
        <w:t>1.3保证交通基本需求原则。现状该道路交通量巨大，在城市交</w:t>
      </w:r>
      <w:r>
        <w:rPr>
          <w:spacing w:val="-24"/>
          <w:sz w:val="24"/>
          <w:szCs w:val="24"/>
        </w:rPr>
        <w:t>通系统中承担了相当重要的</w:t>
      </w:r>
      <w:r>
        <w:rPr>
          <w:spacing w:val="-21"/>
          <w:sz w:val="24"/>
          <w:szCs w:val="24"/>
        </w:rPr>
        <w:t>作用。施工期间应保证为周边地区基本交通需求提供</w:t>
      </w:r>
      <w:r>
        <w:rPr>
          <w:spacing w:val="-22"/>
          <w:sz w:val="24"/>
          <w:szCs w:val="24"/>
        </w:rPr>
        <w:t>条件。</w:t>
      </w:r>
    </w:p>
    <w:p w14:paraId="61AB5746">
      <w:pPr>
        <w:pStyle w:val="2"/>
        <w:spacing w:before="120" w:line="215" w:lineRule="auto"/>
        <w:ind w:left="1903"/>
        <w:rPr>
          <w:sz w:val="24"/>
          <w:szCs w:val="24"/>
        </w:rPr>
      </w:pPr>
      <w:r>
        <w:rPr>
          <w:spacing w:val="-21"/>
          <w:sz w:val="24"/>
          <w:szCs w:val="24"/>
        </w:rPr>
        <w:t>1.4公交优先原则。临时通道要尽量首先保证公交车辆的通行。</w:t>
      </w:r>
    </w:p>
    <w:p w14:paraId="030E1CCA">
      <w:pPr>
        <w:pStyle w:val="2"/>
        <w:spacing w:before="122" w:line="217" w:lineRule="auto"/>
        <w:ind w:left="1888"/>
        <w:rPr>
          <w:sz w:val="24"/>
          <w:szCs w:val="24"/>
        </w:rPr>
      </w:pPr>
      <w:r>
        <w:rPr>
          <w:spacing w:val="-17"/>
          <w:sz w:val="24"/>
          <w:szCs w:val="24"/>
        </w:rPr>
        <w:t>2、交通维护措施</w:t>
      </w:r>
    </w:p>
    <w:p w14:paraId="12ADEA76">
      <w:pPr>
        <w:pStyle w:val="2"/>
        <w:spacing w:before="116" w:line="217" w:lineRule="auto"/>
        <w:ind w:left="1888"/>
        <w:rPr>
          <w:sz w:val="24"/>
          <w:szCs w:val="24"/>
        </w:rPr>
      </w:pPr>
      <w:r>
        <w:rPr>
          <w:spacing w:val="-17"/>
          <w:sz w:val="24"/>
          <w:szCs w:val="24"/>
        </w:rPr>
        <w:t>2.1制定交通组织方案</w:t>
      </w:r>
    </w:p>
    <w:p w14:paraId="507EB7DD">
      <w:pPr>
        <w:pStyle w:val="2"/>
        <w:spacing w:before="117" w:line="308" w:lineRule="auto"/>
        <w:ind w:left="1455" w:right="1410" w:firstLine="438"/>
        <w:rPr>
          <w:sz w:val="24"/>
          <w:szCs w:val="24"/>
        </w:rPr>
      </w:pPr>
      <w:r>
        <w:rPr>
          <w:spacing w:val="-20"/>
          <w:sz w:val="24"/>
          <w:szCs w:val="24"/>
        </w:rPr>
        <w:t>根据本工程不同地段的地理位置和周围道路、车流情况，结合工程分阶段施工情况。我们计划在整个工程项目实施的准备阶段，我项目部将主动联系建设单位及相关管理单位分析工地</w:t>
      </w:r>
      <w:r>
        <w:rPr>
          <w:spacing w:val="-21"/>
          <w:sz w:val="24"/>
          <w:szCs w:val="24"/>
        </w:rPr>
        <w:t>现场实际情况，提出我项目部的实施意见，报请业主和交通</w:t>
      </w:r>
      <w:r>
        <w:rPr>
          <w:spacing w:val="-22"/>
          <w:sz w:val="24"/>
          <w:szCs w:val="24"/>
        </w:rPr>
        <w:t>及其他相关管理部门审批。</w:t>
      </w:r>
    </w:p>
    <w:p w14:paraId="035CC1DE">
      <w:pPr>
        <w:pStyle w:val="2"/>
        <w:spacing w:line="219" w:lineRule="auto"/>
        <w:ind w:left="1888"/>
        <w:rPr>
          <w:sz w:val="24"/>
          <w:szCs w:val="24"/>
        </w:rPr>
      </w:pPr>
      <w:r>
        <w:rPr>
          <w:spacing w:val="-16"/>
          <w:sz w:val="24"/>
          <w:szCs w:val="24"/>
        </w:rPr>
        <w:t>2.1.1交通分流方案</w:t>
      </w:r>
    </w:p>
    <w:p w14:paraId="49DBE828">
      <w:pPr>
        <w:pStyle w:val="2"/>
        <w:spacing w:before="116" w:line="217" w:lineRule="auto"/>
        <w:ind w:left="1897"/>
        <w:rPr>
          <w:sz w:val="24"/>
          <w:szCs w:val="24"/>
        </w:rPr>
      </w:pPr>
      <w:r>
        <w:rPr>
          <w:spacing w:val="-21"/>
          <w:sz w:val="24"/>
          <w:szCs w:val="24"/>
        </w:rPr>
        <w:t>通过提前设置交通标志引导出入施工道路或从</w:t>
      </w:r>
      <w:r>
        <w:rPr>
          <w:spacing w:val="-22"/>
          <w:sz w:val="24"/>
          <w:szCs w:val="24"/>
        </w:rPr>
        <w:t>其他道路绕行。</w:t>
      </w:r>
    </w:p>
    <w:p w14:paraId="416DA372">
      <w:pPr>
        <w:pStyle w:val="2"/>
        <w:spacing w:before="117" w:line="215" w:lineRule="auto"/>
        <w:ind w:left="1895"/>
        <w:rPr>
          <w:sz w:val="24"/>
          <w:szCs w:val="24"/>
        </w:rPr>
      </w:pPr>
      <w:r>
        <w:rPr>
          <w:spacing w:val="-21"/>
          <w:sz w:val="24"/>
          <w:szCs w:val="24"/>
        </w:rPr>
        <w:t>在项目施工期间，拟分段分幅施工。在施工中，留半幅</w:t>
      </w:r>
      <w:r>
        <w:rPr>
          <w:spacing w:val="-22"/>
          <w:sz w:val="24"/>
          <w:szCs w:val="24"/>
        </w:rPr>
        <w:t>道路供车辆行人通行。</w:t>
      </w:r>
    </w:p>
    <w:p w14:paraId="0F03415E">
      <w:pPr>
        <w:pStyle w:val="2"/>
        <w:spacing w:before="121" w:line="219" w:lineRule="auto"/>
        <w:ind w:left="1888"/>
        <w:rPr>
          <w:sz w:val="24"/>
          <w:szCs w:val="24"/>
        </w:rPr>
      </w:pPr>
      <w:r>
        <w:rPr>
          <w:spacing w:val="-16"/>
          <w:sz w:val="24"/>
          <w:szCs w:val="24"/>
        </w:rPr>
        <w:t>2.1.2公交调整方案</w:t>
      </w:r>
    </w:p>
    <w:p w14:paraId="69511062">
      <w:pPr>
        <w:pStyle w:val="2"/>
        <w:spacing w:before="118" w:line="307" w:lineRule="auto"/>
        <w:ind w:left="1457" w:right="1410" w:firstLine="435"/>
        <w:rPr>
          <w:sz w:val="24"/>
          <w:szCs w:val="24"/>
        </w:rPr>
      </w:pPr>
      <w:r>
        <w:rPr>
          <w:spacing w:val="-20"/>
          <w:sz w:val="24"/>
          <w:szCs w:val="24"/>
        </w:rPr>
        <w:t>建议在施工条件允许的情况下不对公交线路进行大的调整，对于在施工影响范围内的公交站点，建议依据实际施工围挡范围，根据不同的施工进度，公交站点调整至围挡较为宽裕的位</w:t>
      </w:r>
      <w:r>
        <w:rPr>
          <w:spacing w:val="-21"/>
          <w:sz w:val="24"/>
          <w:szCs w:val="24"/>
        </w:rPr>
        <w:t>置，方便乘客上下客，减轻公交车辆停靠对道路交通的</w:t>
      </w:r>
      <w:r>
        <w:rPr>
          <w:spacing w:val="-22"/>
          <w:sz w:val="24"/>
          <w:szCs w:val="24"/>
        </w:rPr>
        <w:t>影响。</w:t>
      </w:r>
    </w:p>
    <w:p w14:paraId="5A5A2860">
      <w:pPr>
        <w:pStyle w:val="2"/>
        <w:spacing w:before="1" w:line="219" w:lineRule="auto"/>
        <w:ind w:left="1888"/>
        <w:rPr>
          <w:sz w:val="24"/>
          <w:szCs w:val="24"/>
        </w:rPr>
      </w:pPr>
      <w:r>
        <w:rPr>
          <w:spacing w:val="-15"/>
          <w:sz w:val="24"/>
          <w:szCs w:val="24"/>
        </w:rPr>
        <w:t>2.1.3施工围挡方案</w:t>
      </w:r>
    </w:p>
    <w:p w14:paraId="7ACA739E">
      <w:pPr>
        <w:pStyle w:val="2"/>
        <w:spacing w:before="114" w:line="215" w:lineRule="auto"/>
        <w:ind w:left="1892"/>
        <w:rPr>
          <w:sz w:val="24"/>
          <w:szCs w:val="24"/>
        </w:rPr>
      </w:pPr>
      <w:r>
        <w:rPr>
          <w:spacing w:val="-21"/>
          <w:sz w:val="24"/>
          <w:szCs w:val="24"/>
        </w:rPr>
        <w:t>施工现场实行封闭式管理，围挡应连续、稳定、坚固、整洁、</w:t>
      </w:r>
      <w:r>
        <w:rPr>
          <w:spacing w:val="-22"/>
          <w:sz w:val="24"/>
          <w:szCs w:val="24"/>
        </w:rPr>
        <w:t>美观。</w:t>
      </w:r>
    </w:p>
    <w:p w14:paraId="47728BC1">
      <w:pPr>
        <w:pStyle w:val="2"/>
        <w:spacing w:before="122" w:line="307" w:lineRule="auto"/>
        <w:ind w:left="1463" w:right="1409" w:firstLine="454"/>
        <w:rPr>
          <w:sz w:val="24"/>
          <w:szCs w:val="24"/>
        </w:rPr>
      </w:pPr>
      <w:r>
        <w:rPr>
          <w:spacing w:val="-20"/>
          <w:sz w:val="24"/>
          <w:szCs w:val="24"/>
        </w:rPr>
        <w:t>围挡使用双层夹芯板，面层为绿色面漆，上下设置槽型金属边框压顶，与</w:t>
      </w:r>
      <w:r>
        <w:rPr>
          <w:spacing w:val="-21"/>
          <w:sz w:val="24"/>
          <w:szCs w:val="24"/>
        </w:rPr>
        <w:t>立柱之间要有可</w:t>
      </w:r>
      <w:r>
        <w:rPr>
          <w:spacing w:val="-17"/>
          <w:sz w:val="24"/>
          <w:szCs w:val="24"/>
        </w:rPr>
        <w:t>靠连接。</w:t>
      </w:r>
    </w:p>
    <w:p w14:paraId="63DC9558">
      <w:pPr>
        <w:pStyle w:val="2"/>
        <w:spacing w:line="218" w:lineRule="auto"/>
        <w:ind w:left="1917"/>
        <w:rPr>
          <w:sz w:val="24"/>
          <w:szCs w:val="24"/>
        </w:rPr>
      </w:pPr>
      <w:r>
        <w:rPr>
          <w:spacing w:val="-18"/>
          <w:sz w:val="24"/>
          <w:szCs w:val="24"/>
        </w:rPr>
        <w:t>围挡高度为3m；围挡下方设置0.5m高挡板，挡板上设置反光斜条；临</w:t>
      </w:r>
      <w:r>
        <w:rPr>
          <w:spacing w:val="-19"/>
          <w:sz w:val="24"/>
          <w:szCs w:val="24"/>
        </w:rPr>
        <w:t>时围挡高度为2m。</w:t>
      </w:r>
    </w:p>
    <w:p w14:paraId="2BA9E6E6">
      <w:pPr>
        <w:spacing w:line="218" w:lineRule="auto"/>
        <w:rPr>
          <w:sz w:val="24"/>
          <w:szCs w:val="24"/>
        </w:rPr>
        <w:sectPr>
          <w:footerReference r:id="rId343" w:type="default"/>
          <w:pgSz w:w="11907" w:h="16839"/>
          <w:pgMar w:top="933" w:right="4" w:bottom="1038" w:left="0" w:header="478" w:footer="357" w:gutter="0"/>
          <w:pgBorders>
            <w:top w:val="none" w:sz="0" w:space="0"/>
            <w:left w:val="none" w:sz="0" w:space="0"/>
            <w:bottom w:val="none" w:sz="0" w:space="0"/>
            <w:right w:val="none" w:sz="0" w:space="0"/>
          </w:pgBorders>
          <w:cols w:space="720" w:num="1"/>
        </w:sectPr>
      </w:pPr>
    </w:p>
    <w:p w14:paraId="51928ABC">
      <w:pPr>
        <w:spacing w:line="272" w:lineRule="auto"/>
        <w:rPr>
          <w:rFonts w:ascii="Arial"/>
          <w:sz w:val="21"/>
        </w:rPr>
      </w:pPr>
    </w:p>
    <w:p w14:paraId="44A325B5">
      <w:pPr>
        <w:pStyle w:val="2"/>
        <w:spacing w:before="78" w:line="214" w:lineRule="auto"/>
        <w:ind w:left="1459"/>
        <w:rPr>
          <w:sz w:val="24"/>
          <w:szCs w:val="24"/>
        </w:rPr>
      </w:pPr>
      <w:r>
        <w:rPr>
          <w:spacing w:val="-22"/>
          <w:sz w:val="24"/>
          <w:szCs w:val="24"/>
        </w:rPr>
        <w:t>转角处按要求设置通透式围挡。</w:t>
      </w:r>
    </w:p>
    <w:p w14:paraId="785D5A30">
      <w:pPr>
        <w:pStyle w:val="2"/>
        <w:spacing w:before="123" w:line="307" w:lineRule="auto"/>
        <w:ind w:left="1457" w:right="1410" w:firstLine="460"/>
        <w:rPr>
          <w:sz w:val="24"/>
          <w:szCs w:val="24"/>
        </w:rPr>
      </w:pPr>
      <w:r>
        <w:rPr>
          <w:spacing w:val="-20"/>
          <w:sz w:val="24"/>
          <w:szCs w:val="24"/>
        </w:rPr>
        <w:t>围挡上设警示灯和喷雾系统。喷雾系统安装在围挡顶端内侧，向内喷洒，</w:t>
      </w:r>
      <w:r>
        <w:rPr>
          <w:spacing w:val="-21"/>
          <w:sz w:val="24"/>
          <w:szCs w:val="24"/>
        </w:rPr>
        <w:t>喷头为四出口雾</w:t>
      </w:r>
      <w:r>
        <w:rPr>
          <w:spacing w:val="-15"/>
          <w:sz w:val="24"/>
          <w:szCs w:val="24"/>
        </w:rPr>
        <w:t>化喷头。</w:t>
      </w:r>
    </w:p>
    <w:p w14:paraId="09647097">
      <w:pPr>
        <w:pStyle w:val="2"/>
        <w:spacing w:before="1" w:line="215" w:lineRule="auto"/>
        <w:ind w:left="1907"/>
        <w:rPr>
          <w:sz w:val="24"/>
          <w:szCs w:val="24"/>
        </w:rPr>
      </w:pPr>
      <w:r>
        <w:rPr>
          <w:spacing w:val="-22"/>
          <w:sz w:val="24"/>
          <w:szCs w:val="24"/>
        </w:rPr>
        <w:t>临主干道路或街区围墙外部采用绿化或景观化处理，并与外围环境协调。</w:t>
      </w:r>
    </w:p>
    <w:p w14:paraId="76EA9418">
      <w:pPr>
        <w:pStyle w:val="2"/>
        <w:spacing w:before="120" w:line="263" w:lineRule="auto"/>
        <w:ind w:left="1462" w:right="1410" w:firstLine="432"/>
        <w:rPr>
          <w:sz w:val="24"/>
          <w:szCs w:val="24"/>
        </w:rPr>
      </w:pPr>
      <w:r>
        <w:rPr>
          <w:spacing w:val="-20"/>
          <w:sz w:val="24"/>
          <w:szCs w:val="24"/>
        </w:rPr>
        <w:t>在围挡面设置安全文化、安全标语、文明创建等宣传画和运动标识，文明创建公益广告应</w:t>
      </w:r>
      <w:r>
        <w:rPr>
          <w:spacing w:val="-17"/>
          <w:sz w:val="24"/>
          <w:szCs w:val="24"/>
        </w:rPr>
        <w:t>符合相关要求(≥30%）。围挡面宣传画比例协调、美观、平整。</w:t>
      </w:r>
    </w:p>
    <w:tbl>
      <w:tblPr>
        <w:tblStyle w:val="6"/>
        <w:tblW w:w="8549" w:type="dxa"/>
        <w:tblInd w:w="167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296"/>
        <w:gridCol w:w="4253"/>
      </w:tblGrid>
      <w:tr w14:paraId="64DFBD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32" w:hRule="atLeast"/>
        </w:trPr>
        <w:tc>
          <w:tcPr>
            <w:tcW w:w="4296" w:type="dxa"/>
            <w:tcBorders>
              <w:top w:val="single" w:color="000000" w:sz="4" w:space="0"/>
              <w:left w:val="single" w:color="000000" w:sz="4" w:space="0"/>
            </w:tcBorders>
            <w:shd w:val="clear" w:color="auto" w:fill="DEEAF6"/>
            <w:vAlign w:val="top"/>
          </w:tcPr>
          <w:p w14:paraId="32D76AFB">
            <w:pPr>
              <w:spacing w:before="92" w:line="3026" w:lineRule="exact"/>
              <w:ind w:firstLine="114"/>
            </w:pPr>
            <w:r>
              <w:pict>
                <v:group id="_x0000_s3933" o:spid="_x0000_s3933" o:spt="203" style="position:absolute;left:0pt;margin-left:0.9pt;margin-top:2.15pt;height:164.95pt;width:212.9pt;mso-position-horizontal-relative:page;mso-position-vertical-relative:page;z-index:252282880;mso-width-relative:page;mso-height-relative:page;" coordsize="4257,3298">
                  <o:lock v:ext="edit"/>
                  <v:shape id="_x0000_s3934" o:spid="_x0000_s3934" style="position:absolute;left:21;top:0;height:60;width:4232;" fillcolor="#DEEAF6" filled="t" stroked="f" coordsize="4232,60" path="m0,60l4231,60,4231,0,0,0,0,60xe">
                    <v:path/>
                    <v:fill on="t" focussize="0,0"/>
                    <v:stroke on="f"/>
                    <v:imagedata o:title=""/>
                    <o:lock v:ext="edit"/>
                  </v:shape>
                  <v:shape id="_x0000_s3935" o:spid="_x0000_s3935" style="position:absolute;left:0;top:3240;height:58;width:4257;" fillcolor="#DEEAF6" filled="t" stroked="f" coordsize="4257,58" path="m0,57l4257,57,4257,0,0,0,0,57xe">
                    <v:path/>
                    <v:fill on="t" focussize="0,0"/>
                    <v:stroke on="f"/>
                    <v:imagedata o:title=""/>
                    <o:lock v:ext="edit"/>
                  </v:shape>
                </v:group>
              </w:pict>
            </w:r>
            <w:r>
              <w:rPr>
                <w:position w:val="-60"/>
              </w:rPr>
              <w:drawing>
                <wp:inline distT="0" distB="0" distL="0" distR="0">
                  <wp:extent cx="2572385" cy="1921510"/>
                  <wp:effectExtent l="0" t="0" r="0" b="0"/>
                  <wp:docPr id="1416" name="IM 1416"/>
                  <wp:cNvGraphicFramePr/>
                  <a:graphic xmlns:a="http://schemas.openxmlformats.org/drawingml/2006/main">
                    <a:graphicData uri="http://schemas.openxmlformats.org/drawingml/2006/picture">
                      <pic:pic xmlns:pic="http://schemas.openxmlformats.org/drawingml/2006/picture">
                        <pic:nvPicPr>
                          <pic:cNvPr id="1416" name="IM 1416"/>
                          <pic:cNvPicPr/>
                        </pic:nvPicPr>
                        <pic:blipFill>
                          <a:blip r:embed="rId672"/>
                          <a:stretch>
                            <a:fillRect/>
                          </a:stretch>
                        </pic:blipFill>
                        <pic:spPr>
                          <a:xfrm>
                            <a:off x="0" y="0"/>
                            <a:ext cx="2572385" cy="1921510"/>
                          </a:xfrm>
                          <a:prstGeom prst="rect">
                            <a:avLst/>
                          </a:prstGeom>
                        </pic:spPr>
                      </pic:pic>
                    </a:graphicData>
                  </a:graphic>
                </wp:inline>
              </w:drawing>
            </w:r>
          </w:p>
        </w:tc>
        <w:tc>
          <w:tcPr>
            <w:tcW w:w="4253" w:type="dxa"/>
            <w:tcBorders>
              <w:top w:val="single" w:color="5B9BD5" w:sz="4" w:space="0"/>
              <w:right w:val="single" w:color="5B9BD5" w:sz="4" w:space="0"/>
            </w:tcBorders>
            <w:shd w:val="clear" w:color="auto" w:fill="DEEAF6"/>
            <w:vAlign w:val="top"/>
          </w:tcPr>
          <w:p w14:paraId="3EC4CFC2">
            <w:pPr>
              <w:spacing w:before="92" w:line="3026" w:lineRule="exact"/>
              <w:ind w:firstLine="78"/>
            </w:pPr>
            <w:r>
              <w:pict>
                <v:group id="_x0000_s3936" o:spid="_x0000_s3936" o:spt="203" style="position:absolute;left:0pt;margin-left:-1.05pt;margin-top:2.15pt;height:164.95pt;width:212.95pt;mso-position-horizontal-relative:page;mso-position-vertical-relative:page;z-index:252280832;mso-width-relative:page;mso-height-relative:page;" coordsize="4258,3298">
                  <o:lock v:ext="edit"/>
                  <v:shape id="_x0000_s3937" o:spid="_x0000_s3937" style="position:absolute;left:38;top:0;height:60;width:4198;" fillcolor="#DEEAF6" filled="t" stroked="f" coordsize="4198,60" path="m0,60l4198,60,4198,0,0,0,0,60xe">
                    <v:path/>
                    <v:fill on="t" focussize="0,0"/>
                    <v:stroke on="f"/>
                    <v:imagedata o:title=""/>
                    <o:lock v:ext="edit"/>
                  </v:shape>
                  <v:shape id="_x0000_s3938" o:spid="_x0000_s3938" style="position:absolute;left:0;top:3240;height:58;width:4258;" fillcolor="#DEEAF6" filled="t" stroked="f" coordsize="4258,58" path="m0,57l4258,57,4258,0,0,0,0,57xe">
                    <v:path/>
                    <v:fill on="t" focussize="0,0"/>
                    <v:stroke on="f"/>
                    <v:imagedata o:title=""/>
                    <o:lock v:ext="edit"/>
                  </v:shape>
                </v:group>
              </w:pict>
            </w:r>
            <w:r>
              <w:rPr>
                <w:position w:val="-60"/>
              </w:rPr>
              <w:drawing>
                <wp:inline distT="0" distB="0" distL="0" distR="0">
                  <wp:extent cx="2571750" cy="1921510"/>
                  <wp:effectExtent l="0" t="0" r="0" b="0"/>
                  <wp:docPr id="1418" name="IM 1418"/>
                  <wp:cNvGraphicFramePr/>
                  <a:graphic xmlns:a="http://schemas.openxmlformats.org/drawingml/2006/main">
                    <a:graphicData uri="http://schemas.openxmlformats.org/drawingml/2006/picture">
                      <pic:pic xmlns:pic="http://schemas.openxmlformats.org/drawingml/2006/picture">
                        <pic:nvPicPr>
                          <pic:cNvPr id="1418" name="IM 1418"/>
                          <pic:cNvPicPr/>
                        </pic:nvPicPr>
                        <pic:blipFill>
                          <a:blip r:embed="rId673"/>
                          <a:stretch>
                            <a:fillRect/>
                          </a:stretch>
                        </pic:blipFill>
                        <pic:spPr>
                          <a:xfrm>
                            <a:off x="0" y="0"/>
                            <a:ext cx="2572384" cy="1921510"/>
                          </a:xfrm>
                          <a:prstGeom prst="rect">
                            <a:avLst/>
                          </a:prstGeom>
                        </pic:spPr>
                      </pic:pic>
                    </a:graphicData>
                  </a:graphic>
                </wp:inline>
              </w:drawing>
            </w:r>
          </w:p>
        </w:tc>
      </w:tr>
      <w:tr w14:paraId="58C181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454" w:hRule="atLeast"/>
        </w:trPr>
        <w:tc>
          <w:tcPr>
            <w:tcW w:w="8549" w:type="dxa"/>
            <w:gridSpan w:val="2"/>
            <w:tcBorders>
              <w:left w:val="single" w:color="1C456A" w:sz="4" w:space="0"/>
              <w:bottom w:val="single" w:color="1C456A" w:sz="4" w:space="0"/>
              <w:right w:val="single" w:color="1C456A" w:sz="4" w:space="0"/>
            </w:tcBorders>
            <w:vAlign w:val="top"/>
          </w:tcPr>
          <w:p w14:paraId="7FB4511B">
            <w:pPr>
              <w:spacing w:before="60" w:line="5143" w:lineRule="exact"/>
              <w:ind w:firstLine="116"/>
            </w:pPr>
            <w:r>
              <w:pict>
                <v:shape id="_x0000_s3939" o:spid="_x0000_s3939" style="position:absolute;left:0pt;margin-left:-0.25pt;margin-top:272.75pt;height:0.75pt;width:2.2pt;mso-position-horizontal-relative:page;mso-position-vertical-relative:page;z-index:252279808;mso-width-relative:page;mso-height-relative:page;" fillcolor="#5B9BD5" filled="t" stroked="f" coordsize="44,15" path="m0,14l43,14,43,0,0,0,0,14xe">
                  <v:path/>
                  <v:fill on="t" focussize="0,0"/>
                  <v:stroke on="f"/>
                  <v:imagedata o:title=""/>
                  <o:lock v:ext="edit"/>
                </v:shape>
              </w:pict>
            </w:r>
            <w:r>
              <w:pict>
                <v:shape id="_x0000_s3940" o:spid="_x0000_s3940" style="position:absolute;left:0pt;margin-left:425.6pt;margin-top:272.75pt;height:0.75pt;width:2.2pt;mso-position-horizontal-relative:page;mso-position-vertical-relative:page;z-index:252281856;mso-width-relative:page;mso-height-relative:page;" fillcolor="#5B9BD5" filled="t" stroked="f" coordsize="44,15" path="m0,14l43,14,43,0,0,0,0,14xe">
                  <v:path/>
                  <v:fill on="t" focussize="0,0"/>
                  <v:stroke on="f"/>
                  <v:imagedata o:title=""/>
                  <o:lock v:ext="edit"/>
                </v:shape>
              </w:pict>
            </w:r>
            <w:r>
              <w:rPr>
                <w:position w:val="-102"/>
              </w:rPr>
              <w:drawing>
                <wp:inline distT="0" distB="0" distL="0" distR="0">
                  <wp:extent cx="5273040" cy="3265805"/>
                  <wp:effectExtent l="0" t="0" r="0" b="0"/>
                  <wp:docPr id="1420" name="IM 1420"/>
                  <wp:cNvGraphicFramePr/>
                  <a:graphic xmlns:a="http://schemas.openxmlformats.org/drawingml/2006/main">
                    <a:graphicData uri="http://schemas.openxmlformats.org/drawingml/2006/picture">
                      <pic:pic xmlns:pic="http://schemas.openxmlformats.org/drawingml/2006/picture">
                        <pic:nvPicPr>
                          <pic:cNvPr id="1420" name="IM 1420"/>
                          <pic:cNvPicPr/>
                        </pic:nvPicPr>
                        <pic:blipFill>
                          <a:blip r:embed="rId674"/>
                          <a:stretch>
                            <a:fillRect/>
                          </a:stretch>
                        </pic:blipFill>
                        <pic:spPr>
                          <a:xfrm>
                            <a:off x="0" y="0"/>
                            <a:ext cx="5273040" cy="3265805"/>
                          </a:xfrm>
                          <a:prstGeom prst="rect">
                            <a:avLst/>
                          </a:prstGeom>
                        </pic:spPr>
                      </pic:pic>
                    </a:graphicData>
                  </a:graphic>
                </wp:inline>
              </w:drawing>
            </w:r>
          </w:p>
        </w:tc>
      </w:tr>
    </w:tbl>
    <w:p w14:paraId="38C46FAC">
      <w:pPr>
        <w:rPr>
          <w:rFonts w:ascii="Arial"/>
          <w:sz w:val="21"/>
        </w:rPr>
      </w:pPr>
    </w:p>
    <w:p w14:paraId="49383925">
      <w:pPr>
        <w:rPr>
          <w:rFonts w:ascii="Arial" w:hAnsi="Arial" w:eastAsia="Arial" w:cs="Arial"/>
          <w:sz w:val="21"/>
          <w:szCs w:val="21"/>
        </w:rPr>
        <w:sectPr>
          <w:footerReference r:id="rId344" w:type="default"/>
          <w:pgSz w:w="11907" w:h="16839"/>
          <w:pgMar w:top="933" w:right="4" w:bottom="1038" w:left="0" w:header="478" w:footer="357" w:gutter="0"/>
          <w:pgBorders>
            <w:top w:val="none" w:sz="0" w:space="0"/>
            <w:left w:val="none" w:sz="0" w:space="0"/>
            <w:bottom w:val="none" w:sz="0" w:space="0"/>
            <w:right w:val="none" w:sz="0" w:space="0"/>
          </w:pgBorders>
          <w:cols w:space="720" w:num="1"/>
        </w:sectPr>
      </w:pPr>
    </w:p>
    <w:p w14:paraId="1AC14B5C">
      <w:pPr>
        <w:spacing w:line="235" w:lineRule="exact"/>
      </w:pPr>
    </w:p>
    <w:tbl>
      <w:tblPr>
        <w:tblStyle w:val="6"/>
        <w:tblW w:w="8549" w:type="dxa"/>
        <w:tblInd w:w="1678" w:type="dxa"/>
        <w:tblBorders>
          <w:top w:val="single" w:color="5B9BD5" w:sz="4" w:space="0"/>
          <w:left w:val="single" w:color="5B9BD5" w:sz="4" w:space="0"/>
          <w:bottom w:val="single" w:color="5B9BD5" w:sz="4" w:space="0"/>
          <w:right w:val="single" w:color="5B9BD5" w:sz="4" w:space="0"/>
          <w:insideH w:val="single" w:color="5B9BD5" w:sz="4" w:space="0"/>
          <w:insideV w:val="single" w:color="5B9BD5" w:sz="4" w:space="0"/>
        </w:tblBorders>
        <w:tblLayout w:type="fixed"/>
        <w:tblCellMar>
          <w:top w:w="0" w:type="dxa"/>
          <w:left w:w="0" w:type="dxa"/>
          <w:bottom w:w="0" w:type="dxa"/>
          <w:right w:w="0" w:type="dxa"/>
        </w:tblCellMar>
      </w:tblPr>
      <w:tblGrid>
        <w:gridCol w:w="8549"/>
      </w:tblGrid>
      <w:tr w14:paraId="1EDC2289">
        <w:tblPrEx>
          <w:tblBorders>
            <w:top w:val="single" w:color="5B9BD5" w:sz="4" w:space="0"/>
            <w:left w:val="single" w:color="5B9BD5" w:sz="4" w:space="0"/>
            <w:bottom w:val="single" w:color="5B9BD5" w:sz="4" w:space="0"/>
            <w:right w:val="single" w:color="5B9BD5" w:sz="4" w:space="0"/>
            <w:insideH w:val="single" w:color="5B9BD5" w:sz="4" w:space="0"/>
            <w:insideV w:val="single" w:color="5B9BD5" w:sz="4" w:space="0"/>
          </w:tblBorders>
          <w:tblCellMar>
            <w:top w:w="0" w:type="dxa"/>
            <w:left w:w="0" w:type="dxa"/>
            <w:bottom w:w="0" w:type="dxa"/>
            <w:right w:w="0" w:type="dxa"/>
          </w:tblCellMar>
        </w:tblPrEx>
        <w:trPr>
          <w:trHeight w:val="8416" w:hRule="atLeast"/>
        </w:trPr>
        <w:tc>
          <w:tcPr>
            <w:tcW w:w="8549" w:type="dxa"/>
            <w:tcBorders>
              <w:bottom w:val="single" w:color="000000" w:sz="2" w:space="0"/>
            </w:tcBorders>
            <w:vAlign w:val="top"/>
          </w:tcPr>
          <w:p w14:paraId="0162CC02">
            <w:pPr>
              <w:spacing w:before="93" w:line="8112" w:lineRule="exact"/>
              <w:ind w:firstLine="118"/>
            </w:pPr>
            <w:r>
              <w:rPr>
                <w:position w:val="-162"/>
              </w:rPr>
              <w:drawing>
                <wp:inline distT="0" distB="0" distL="0" distR="0">
                  <wp:extent cx="5270500" cy="5151120"/>
                  <wp:effectExtent l="0" t="0" r="0" b="0"/>
                  <wp:docPr id="1424" name="IM 1424"/>
                  <wp:cNvGraphicFramePr/>
                  <a:graphic xmlns:a="http://schemas.openxmlformats.org/drawingml/2006/main">
                    <a:graphicData uri="http://schemas.openxmlformats.org/drawingml/2006/picture">
                      <pic:pic xmlns:pic="http://schemas.openxmlformats.org/drawingml/2006/picture">
                        <pic:nvPicPr>
                          <pic:cNvPr id="1424" name="IM 1424"/>
                          <pic:cNvPicPr/>
                        </pic:nvPicPr>
                        <pic:blipFill>
                          <a:blip r:embed="rId675"/>
                          <a:stretch>
                            <a:fillRect/>
                          </a:stretch>
                        </pic:blipFill>
                        <pic:spPr>
                          <a:xfrm>
                            <a:off x="0" y="0"/>
                            <a:ext cx="5270500" cy="5151120"/>
                          </a:xfrm>
                          <a:prstGeom prst="rect">
                            <a:avLst/>
                          </a:prstGeom>
                        </pic:spPr>
                      </pic:pic>
                    </a:graphicData>
                  </a:graphic>
                </wp:inline>
              </w:drawing>
            </w:r>
          </w:p>
        </w:tc>
      </w:tr>
      <w:tr w14:paraId="2376C248">
        <w:tblPrEx>
          <w:tblBorders>
            <w:top w:val="single" w:color="5B9BD5" w:sz="4" w:space="0"/>
            <w:left w:val="single" w:color="5B9BD5" w:sz="4" w:space="0"/>
            <w:bottom w:val="single" w:color="5B9BD5" w:sz="4" w:space="0"/>
            <w:right w:val="single" w:color="5B9BD5" w:sz="4" w:space="0"/>
            <w:insideH w:val="single" w:color="5B9BD5" w:sz="4" w:space="0"/>
            <w:insideV w:val="single" w:color="5B9BD5" w:sz="4" w:space="0"/>
          </w:tblBorders>
          <w:tblCellMar>
            <w:top w:w="0" w:type="dxa"/>
            <w:left w:w="0" w:type="dxa"/>
            <w:bottom w:w="0" w:type="dxa"/>
            <w:right w:w="0" w:type="dxa"/>
          </w:tblCellMar>
        </w:tblPrEx>
        <w:trPr>
          <w:trHeight w:val="632" w:hRule="atLeast"/>
        </w:trPr>
        <w:tc>
          <w:tcPr>
            <w:tcW w:w="8549" w:type="dxa"/>
            <w:tcBorders>
              <w:top w:val="single" w:color="000000" w:sz="2" w:space="0"/>
              <w:left w:val="single" w:color="1C456A" w:sz="4" w:space="0"/>
              <w:bottom w:val="single" w:color="1C456A" w:sz="4" w:space="0"/>
              <w:right w:val="single" w:color="1C456A" w:sz="4" w:space="0"/>
            </w:tcBorders>
            <w:vAlign w:val="top"/>
          </w:tcPr>
          <w:p w14:paraId="07B3D3BD">
            <w:pPr>
              <w:pStyle w:val="7"/>
              <w:spacing w:before="104" w:line="219" w:lineRule="auto"/>
              <w:ind w:left="3521"/>
            </w:pPr>
            <w:r>
              <w:pict>
                <v:shape id="_x0000_s3941" o:spid="_x0000_s3941" style="position:absolute;left:0pt;margin-left:-0.25pt;margin-top:31.65pt;height:0.75pt;width:2.2pt;mso-position-horizontal-relative:page;mso-position-vertical-relative:page;z-index:252283904;mso-width-relative:page;mso-height-relative:page;" fillcolor="#5B9BD5" filled="t" stroked="f" coordsize="44,15" path="m0,14l43,14,43,0,0,0,0,14xe">
                  <v:path/>
                  <v:fill on="t" focussize="0,0"/>
                  <v:stroke on="f"/>
                  <v:imagedata o:title=""/>
                  <o:lock v:ext="edit"/>
                </v:shape>
              </w:pict>
            </w:r>
            <w:r>
              <w:rPr>
                <w:spacing w:val="-18"/>
              </w:rPr>
              <w:t>施工现场围挡图</w:t>
            </w:r>
          </w:p>
        </w:tc>
      </w:tr>
    </w:tbl>
    <w:p w14:paraId="0A66FDA9">
      <w:pPr>
        <w:pStyle w:val="2"/>
        <w:spacing w:before="115" w:line="218" w:lineRule="auto"/>
        <w:ind w:left="1888"/>
        <w:rPr>
          <w:sz w:val="24"/>
          <w:szCs w:val="24"/>
        </w:rPr>
      </w:pPr>
      <w:r>
        <w:rPr>
          <w:spacing w:val="-16"/>
          <w:sz w:val="24"/>
          <w:szCs w:val="24"/>
        </w:rPr>
        <w:t>2.1.3.1总体围挡方案说明</w:t>
      </w:r>
    </w:p>
    <w:p w14:paraId="6CE17A5B">
      <w:pPr>
        <w:pStyle w:val="2"/>
        <w:spacing w:before="113" w:line="308" w:lineRule="auto"/>
        <w:ind w:left="1455" w:right="1343" w:firstLine="440"/>
        <w:rPr>
          <w:sz w:val="24"/>
          <w:szCs w:val="24"/>
        </w:rPr>
      </w:pPr>
      <w:r>
        <w:rPr>
          <w:spacing w:val="-20"/>
          <w:sz w:val="24"/>
          <w:szCs w:val="24"/>
        </w:rPr>
        <w:t>先落实道路通行条件，再进行施工围挡。围挡应参考《围挡围墙设计施工导则</w:t>
      </w:r>
      <w:r>
        <w:rPr>
          <w:spacing w:val="-21"/>
          <w:sz w:val="24"/>
          <w:szCs w:val="24"/>
        </w:rPr>
        <w:t>》设</w:t>
      </w:r>
      <w:r>
        <w:rPr>
          <w:spacing w:val="-20"/>
          <w:sz w:val="24"/>
          <w:szCs w:val="24"/>
        </w:rPr>
        <w:t>置。分段施工，第一时间开放不必要的围挡。由于现状交通量大又缺乏全部封路条件，因此在施工期间保证半幅道路能双向通行。为了避免路口交通量大量积压，主要路口应拓宽渠化，尽量满足转向交通需求。为了保证非机动车和行人正常通行，施工期间设置的机动车和行人混行</w:t>
      </w:r>
      <w:r>
        <w:rPr>
          <w:spacing w:val="-21"/>
          <w:sz w:val="24"/>
          <w:szCs w:val="24"/>
        </w:rPr>
        <w:t>通道宽度应保证在3.5米以上。为了保证沿线单位车辆的基本进出，对于主要单位的出入口附</w:t>
      </w:r>
      <w:r>
        <w:rPr>
          <w:spacing w:val="-23"/>
          <w:sz w:val="24"/>
          <w:szCs w:val="24"/>
        </w:rPr>
        <w:t>近应预留通道，车辆右进右出。为了保证沿线行人、非机动车的正常</w:t>
      </w:r>
      <w:r>
        <w:rPr>
          <w:spacing w:val="-24"/>
          <w:sz w:val="24"/>
          <w:szCs w:val="24"/>
        </w:rPr>
        <w:t>过街需求，建议在交叉口、</w:t>
      </w:r>
      <w:r>
        <w:rPr>
          <w:spacing w:val="-23"/>
          <w:sz w:val="24"/>
          <w:szCs w:val="24"/>
        </w:rPr>
        <w:t>主要单位、公交站点附近设置行人过街通道，并设置障碍，禁止机动</w:t>
      </w:r>
      <w:r>
        <w:rPr>
          <w:spacing w:val="-24"/>
          <w:sz w:val="24"/>
          <w:szCs w:val="24"/>
        </w:rPr>
        <w:t>车辆穿行。在条件局限处，</w:t>
      </w:r>
      <w:r>
        <w:rPr>
          <w:spacing w:val="-15"/>
          <w:sz w:val="24"/>
          <w:szCs w:val="24"/>
        </w:rPr>
        <w:t>设置临时便道，浇筑20cm厚C20混凝</w:t>
      </w:r>
      <w:r>
        <w:rPr>
          <w:spacing w:val="-16"/>
          <w:sz w:val="24"/>
          <w:szCs w:val="24"/>
        </w:rPr>
        <w:t>土路面供车辆行人通行。</w:t>
      </w:r>
    </w:p>
    <w:p w14:paraId="63189918">
      <w:pPr>
        <w:spacing w:line="308" w:lineRule="auto"/>
        <w:rPr>
          <w:sz w:val="24"/>
          <w:szCs w:val="24"/>
        </w:rPr>
        <w:sectPr>
          <w:footerReference r:id="rId345" w:type="default"/>
          <w:pgSz w:w="11907" w:h="16839"/>
          <w:pgMar w:top="933" w:right="4" w:bottom="1038" w:left="0" w:header="478" w:footer="357" w:gutter="0"/>
          <w:pgBorders>
            <w:top w:val="none" w:sz="0" w:space="0"/>
            <w:left w:val="none" w:sz="0" w:space="0"/>
            <w:bottom w:val="none" w:sz="0" w:space="0"/>
            <w:right w:val="none" w:sz="0" w:space="0"/>
          </w:pgBorders>
          <w:cols w:space="720" w:num="1"/>
        </w:sectPr>
      </w:pPr>
    </w:p>
    <w:p w14:paraId="5406BA64">
      <w:pPr>
        <w:spacing w:line="235" w:lineRule="exact"/>
      </w:pPr>
    </w:p>
    <w:tbl>
      <w:tblPr>
        <w:tblStyle w:val="6"/>
        <w:tblW w:w="8549" w:type="dxa"/>
        <w:tblInd w:w="1678" w:type="dxa"/>
        <w:tblBorders>
          <w:top w:val="single" w:color="5B9BD5" w:sz="4" w:space="0"/>
          <w:left w:val="single" w:color="5B9BD5" w:sz="4" w:space="0"/>
          <w:bottom w:val="single" w:color="5B9BD5" w:sz="4" w:space="0"/>
          <w:right w:val="single" w:color="5B9BD5" w:sz="4" w:space="0"/>
          <w:insideH w:val="single" w:color="5B9BD5" w:sz="4" w:space="0"/>
          <w:insideV w:val="single" w:color="5B9BD5" w:sz="4" w:space="0"/>
        </w:tblBorders>
        <w:tblLayout w:type="fixed"/>
        <w:tblCellMar>
          <w:top w:w="0" w:type="dxa"/>
          <w:left w:w="0" w:type="dxa"/>
          <w:bottom w:w="0" w:type="dxa"/>
          <w:right w:w="0" w:type="dxa"/>
        </w:tblCellMar>
      </w:tblPr>
      <w:tblGrid>
        <w:gridCol w:w="8549"/>
      </w:tblGrid>
      <w:tr w14:paraId="4A5F6A76">
        <w:tblPrEx>
          <w:tblBorders>
            <w:top w:val="single" w:color="5B9BD5" w:sz="4" w:space="0"/>
            <w:left w:val="single" w:color="5B9BD5" w:sz="4" w:space="0"/>
            <w:bottom w:val="single" w:color="5B9BD5" w:sz="4" w:space="0"/>
            <w:right w:val="single" w:color="5B9BD5" w:sz="4" w:space="0"/>
            <w:insideH w:val="single" w:color="5B9BD5" w:sz="4" w:space="0"/>
            <w:insideV w:val="single" w:color="5B9BD5" w:sz="4" w:space="0"/>
          </w:tblBorders>
          <w:tblCellMar>
            <w:top w:w="0" w:type="dxa"/>
            <w:left w:w="0" w:type="dxa"/>
            <w:bottom w:w="0" w:type="dxa"/>
            <w:right w:w="0" w:type="dxa"/>
          </w:tblCellMar>
        </w:tblPrEx>
        <w:trPr>
          <w:trHeight w:val="4711" w:hRule="atLeast"/>
        </w:trPr>
        <w:tc>
          <w:tcPr>
            <w:tcW w:w="8549" w:type="dxa"/>
            <w:tcBorders>
              <w:bottom w:val="single" w:color="000000" w:sz="2" w:space="0"/>
            </w:tcBorders>
            <w:shd w:val="clear" w:color="auto" w:fill="DEEAF6"/>
            <w:vAlign w:val="top"/>
          </w:tcPr>
          <w:p w14:paraId="6026735E">
            <w:pPr>
              <w:spacing w:before="33" w:line="60" w:lineRule="exact"/>
              <w:ind w:firstLine="33"/>
            </w:pPr>
            <w:r>
              <w:rPr>
                <w:position w:val="-1"/>
              </w:rPr>
              <w:pict>
                <v:shape id="_x0000_s3942" o:spid="_x0000_s3942" style="height:3pt;width:423.7pt;" fillcolor="#DEEAF6" filled="t" stroked="f" coordsize="8474,60" path="m0,60l8473,60,8473,0,0,0,0,60xe">
                  <v:path/>
                  <v:fill on="t" focussize="0,0"/>
                  <v:stroke on="f"/>
                  <v:imagedata o:title=""/>
                  <o:lock v:ext="edit"/>
                  <w10:wrap type="none"/>
                  <w10:anchorlock/>
                </v:shape>
              </w:pict>
            </w:r>
          </w:p>
          <w:p w14:paraId="7766DF53">
            <w:pPr>
              <w:spacing w:line="4414" w:lineRule="exact"/>
              <w:ind w:firstLine="226"/>
            </w:pPr>
            <w:r>
              <w:rPr>
                <w:position w:val="-88"/>
              </w:rPr>
              <w:drawing>
                <wp:inline distT="0" distB="0" distL="0" distR="0">
                  <wp:extent cx="5133340" cy="2802890"/>
                  <wp:effectExtent l="0" t="0" r="0" b="0"/>
                  <wp:docPr id="1428" name="IM 1428"/>
                  <wp:cNvGraphicFramePr/>
                  <a:graphic xmlns:a="http://schemas.openxmlformats.org/drawingml/2006/main">
                    <a:graphicData uri="http://schemas.openxmlformats.org/drawingml/2006/picture">
                      <pic:pic xmlns:pic="http://schemas.openxmlformats.org/drawingml/2006/picture">
                        <pic:nvPicPr>
                          <pic:cNvPr id="1428" name="IM 1428"/>
                          <pic:cNvPicPr/>
                        </pic:nvPicPr>
                        <pic:blipFill>
                          <a:blip r:embed="rId676"/>
                          <a:stretch>
                            <a:fillRect/>
                          </a:stretch>
                        </pic:blipFill>
                        <pic:spPr>
                          <a:xfrm>
                            <a:off x="0" y="0"/>
                            <a:ext cx="5133340" cy="2802890"/>
                          </a:xfrm>
                          <a:prstGeom prst="rect">
                            <a:avLst/>
                          </a:prstGeom>
                        </pic:spPr>
                      </pic:pic>
                    </a:graphicData>
                  </a:graphic>
                </wp:inline>
              </w:drawing>
            </w:r>
          </w:p>
        </w:tc>
      </w:tr>
      <w:tr w14:paraId="652E28BB">
        <w:tblPrEx>
          <w:tblBorders>
            <w:top w:val="single" w:color="5B9BD5" w:sz="4" w:space="0"/>
            <w:left w:val="single" w:color="5B9BD5" w:sz="4" w:space="0"/>
            <w:bottom w:val="single" w:color="5B9BD5" w:sz="4" w:space="0"/>
            <w:right w:val="single" w:color="5B9BD5" w:sz="4" w:space="0"/>
            <w:insideH w:val="single" w:color="5B9BD5" w:sz="4" w:space="0"/>
            <w:insideV w:val="single" w:color="5B9BD5" w:sz="4" w:space="0"/>
          </w:tblBorders>
          <w:tblCellMar>
            <w:top w:w="0" w:type="dxa"/>
            <w:left w:w="0" w:type="dxa"/>
            <w:bottom w:w="0" w:type="dxa"/>
            <w:right w:w="0" w:type="dxa"/>
          </w:tblCellMar>
        </w:tblPrEx>
        <w:trPr>
          <w:trHeight w:val="628" w:hRule="atLeast"/>
        </w:trPr>
        <w:tc>
          <w:tcPr>
            <w:tcW w:w="8549" w:type="dxa"/>
            <w:tcBorders>
              <w:top w:val="single" w:color="000000" w:sz="2" w:space="0"/>
              <w:left w:val="single" w:color="1C456A" w:sz="4" w:space="0"/>
              <w:bottom w:val="single" w:color="1C456A" w:sz="4" w:space="0"/>
              <w:right w:val="single" w:color="1C456A" w:sz="4" w:space="0"/>
            </w:tcBorders>
            <w:vAlign w:val="top"/>
          </w:tcPr>
          <w:p w14:paraId="606727F0">
            <w:pPr>
              <w:pStyle w:val="7"/>
              <w:spacing w:before="106" w:line="216" w:lineRule="auto"/>
              <w:ind w:left="2758"/>
            </w:pPr>
            <w:r>
              <w:rPr>
                <w:spacing w:val="-20"/>
              </w:rPr>
              <w:t>施工作业控制区交通疏导示意图</w:t>
            </w:r>
          </w:p>
        </w:tc>
      </w:tr>
    </w:tbl>
    <w:p w14:paraId="5646605C">
      <w:pPr>
        <w:pStyle w:val="2"/>
        <w:spacing w:before="116" w:line="214" w:lineRule="auto"/>
        <w:ind w:left="1901"/>
        <w:rPr>
          <w:sz w:val="24"/>
          <w:szCs w:val="24"/>
        </w:rPr>
      </w:pPr>
      <w:r>
        <w:rPr>
          <w:spacing w:val="-23"/>
          <w:sz w:val="24"/>
          <w:szCs w:val="24"/>
        </w:rPr>
        <w:t>每个段面路面施工期间需对安全设施进行一次整体转换，在改道时计划设置安全设施如下：</w:t>
      </w:r>
    </w:p>
    <w:p w14:paraId="3D55679B">
      <w:pPr>
        <w:pStyle w:val="2"/>
        <w:spacing w:before="117" w:line="278" w:lineRule="auto"/>
        <w:ind w:left="1455" w:right="1412" w:firstLine="437"/>
        <w:rPr>
          <w:sz w:val="24"/>
          <w:szCs w:val="24"/>
        </w:rPr>
      </w:pPr>
      <w:r>
        <w:rPr>
          <w:spacing w:val="-22"/>
          <w:sz w:val="24"/>
          <w:szCs w:val="24"/>
        </w:rPr>
        <w:t>（1）进行施工区的基本区划。在施工时为了保证给过往车辆和施工工人提供最</w:t>
      </w:r>
      <w:r>
        <w:rPr>
          <w:spacing w:val="-23"/>
          <w:sz w:val="24"/>
          <w:szCs w:val="24"/>
        </w:rPr>
        <w:t>大的安全保</w:t>
      </w:r>
      <w:r>
        <w:rPr>
          <w:spacing w:val="-20"/>
          <w:sz w:val="24"/>
          <w:szCs w:val="24"/>
        </w:rPr>
        <w:t>护，即施工作业控制区应设置①警告区—→②上游渐变区—→③缓冲区—→④作业区—→⑤下</w:t>
      </w:r>
      <w:r>
        <w:rPr>
          <w:spacing w:val="-21"/>
          <w:sz w:val="24"/>
          <w:szCs w:val="24"/>
        </w:rPr>
        <w:t>游渐变区—→⑥终止区六个区段。作业控制区示意图如下：</w:t>
      </w:r>
    </w:p>
    <w:p w14:paraId="15686A8A">
      <w:pPr>
        <w:pStyle w:val="2"/>
        <w:spacing w:before="117" w:line="216" w:lineRule="auto"/>
        <w:ind w:left="1893"/>
        <w:rPr>
          <w:sz w:val="24"/>
          <w:szCs w:val="24"/>
        </w:rPr>
      </w:pPr>
      <w:r>
        <w:rPr>
          <w:spacing w:val="-22"/>
          <w:sz w:val="24"/>
          <w:szCs w:val="24"/>
        </w:rPr>
        <w:t>（2）施工区内设施布设：施工区安全设施的布设应按有关规定执行，其中设置施工区限速</w:t>
      </w:r>
    </w:p>
    <w:p w14:paraId="328C242A">
      <w:pPr>
        <w:pStyle w:val="2"/>
        <w:spacing w:before="120" w:line="217" w:lineRule="auto"/>
        <w:ind w:left="1451"/>
        <w:rPr>
          <w:sz w:val="24"/>
          <w:szCs w:val="24"/>
        </w:rPr>
      </w:pPr>
      <w:r>
        <w:rPr>
          <w:spacing w:val="-20"/>
          <w:sz w:val="24"/>
          <w:szCs w:val="24"/>
        </w:rPr>
        <w:t>20标志，报交警、路政及其他相关部门审批。</w:t>
      </w:r>
    </w:p>
    <w:p w14:paraId="51A93887">
      <w:pPr>
        <w:pStyle w:val="2"/>
        <w:spacing w:before="119" w:line="216" w:lineRule="auto"/>
        <w:ind w:left="1893"/>
        <w:rPr>
          <w:sz w:val="24"/>
          <w:szCs w:val="24"/>
        </w:rPr>
      </w:pPr>
      <w:r>
        <w:rPr>
          <w:spacing w:val="-22"/>
          <w:sz w:val="24"/>
          <w:szCs w:val="24"/>
        </w:rPr>
        <w:t>（3）各划分区域作用、长度、及标牌摆设。</w:t>
      </w:r>
    </w:p>
    <w:p w14:paraId="6CF232F6">
      <w:pPr>
        <w:pStyle w:val="2"/>
        <w:spacing w:before="115" w:line="295" w:lineRule="auto"/>
        <w:ind w:left="1455" w:right="1376" w:firstLine="430"/>
        <w:rPr>
          <w:sz w:val="24"/>
          <w:szCs w:val="24"/>
        </w:rPr>
      </w:pPr>
      <w:r>
        <w:rPr>
          <w:spacing w:val="-18"/>
          <w:sz w:val="24"/>
          <w:szCs w:val="24"/>
        </w:rPr>
        <w:t>①警告区。作用：提示前方道路施工，使行</w:t>
      </w:r>
      <w:r>
        <w:rPr>
          <w:spacing w:val="-19"/>
          <w:sz w:val="24"/>
          <w:szCs w:val="24"/>
        </w:rPr>
        <w:t>车者注意交通变化情况，以便及时采取措施。</w:t>
      </w:r>
      <w:r>
        <w:rPr>
          <w:spacing w:val="-22"/>
          <w:sz w:val="24"/>
          <w:szCs w:val="24"/>
        </w:rPr>
        <w:t>警示区设置长度不少于1600m。在该区段前，应设立施工预告标志，用于通告道路的交通阻断、</w:t>
      </w:r>
      <w:r>
        <w:rPr>
          <w:spacing w:val="-20"/>
          <w:sz w:val="24"/>
          <w:szCs w:val="24"/>
        </w:rPr>
        <w:t>绕行情况，使司机有时间调整其行车速度，同时在警告区设置减速带或震荡标线以降低过往车辆车速。施工预告标志采用固定方式设置在行车方向右侧醒目的地方。警告区内每隔一定距离</w:t>
      </w:r>
      <w:r>
        <w:rPr>
          <w:spacing w:val="-21"/>
          <w:sz w:val="24"/>
          <w:szCs w:val="24"/>
        </w:rPr>
        <w:t>应设置有关安全标志，第一个安全标志到下一个安全标志的间距不得超过300m。警告区内安全</w:t>
      </w:r>
      <w:r>
        <w:rPr>
          <w:spacing w:val="-20"/>
          <w:sz w:val="24"/>
          <w:szCs w:val="24"/>
        </w:rPr>
        <w:t>标志按类别分别设置“前方施工”标志、“禁止超车”标志、“前方车道变窄”标志、“禁止</w:t>
      </w:r>
      <w:r>
        <w:rPr>
          <w:spacing w:val="-21"/>
          <w:sz w:val="24"/>
          <w:szCs w:val="24"/>
        </w:rPr>
        <w:t>通行”标志、“导向”标志及“限制速度”标志等。</w:t>
      </w:r>
    </w:p>
    <w:p w14:paraId="11BF8B97">
      <w:pPr>
        <w:pStyle w:val="2"/>
        <w:spacing w:before="121" w:line="285" w:lineRule="auto"/>
        <w:ind w:left="1455" w:right="1410" w:firstLine="429"/>
        <w:rPr>
          <w:sz w:val="24"/>
          <w:szCs w:val="24"/>
        </w:rPr>
      </w:pPr>
      <w:r>
        <w:rPr>
          <w:spacing w:val="-19"/>
          <w:sz w:val="24"/>
          <w:szCs w:val="24"/>
        </w:rPr>
        <w:t>②上游渐变区。作用：起导流作用，引导车辆改变行驶方</w:t>
      </w:r>
      <w:r>
        <w:rPr>
          <w:spacing w:val="-20"/>
          <w:sz w:val="24"/>
          <w:szCs w:val="24"/>
        </w:rPr>
        <w:t>向，变换车道。该区长度设置不</w:t>
      </w:r>
      <w:r>
        <w:rPr>
          <w:spacing w:val="-19"/>
          <w:sz w:val="24"/>
          <w:szCs w:val="24"/>
        </w:rPr>
        <w:t>少于l00m。当车辆行驶至前渐变区时，行车速度应小于40k</w:t>
      </w:r>
      <w:r>
        <w:rPr>
          <w:spacing w:val="-20"/>
          <w:sz w:val="24"/>
          <w:szCs w:val="24"/>
        </w:rPr>
        <w:t>m／h。在上游渐变区前应设置“禁止超车”标志，并利用锥形交通标志隔离。若需在夜间施工，应在该区起点处安装一个爆闪警</w:t>
      </w:r>
      <w:r>
        <w:rPr>
          <w:spacing w:val="-21"/>
          <w:sz w:val="24"/>
          <w:szCs w:val="24"/>
        </w:rPr>
        <w:t>示灯。</w:t>
      </w:r>
    </w:p>
    <w:p w14:paraId="37ABC9D8">
      <w:pPr>
        <w:pStyle w:val="2"/>
        <w:spacing w:before="117" w:line="278" w:lineRule="auto"/>
        <w:ind w:left="1457" w:right="1415" w:firstLine="427"/>
        <w:rPr>
          <w:sz w:val="24"/>
          <w:szCs w:val="24"/>
        </w:rPr>
      </w:pPr>
      <w:r>
        <w:rPr>
          <w:spacing w:val="-22"/>
          <w:sz w:val="24"/>
          <w:szCs w:val="24"/>
        </w:rPr>
        <w:t>③缓冲区。作用：引导车流有序行进，减少意外情况造成的损失。缓冲区的长度应大于100</w:t>
      </w:r>
      <w:r>
        <w:rPr>
          <w:spacing w:val="-20"/>
          <w:sz w:val="24"/>
          <w:szCs w:val="24"/>
        </w:rPr>
        <w:t>米，缓冲区内不准停放器具、车辆、材料，禁止工作人员停留，以避免由于车辆失控出现的事</w:t>
      </w:r>
      <w:r>
        <w:rPr>
          <w:spacing w:val="-18"/>
          <w:sz w:val="24"/>
          <w:szCs w:val="24"/>
        </w:rPr>
        <w:t>故。</w:t>
      </w:r>
    </w:p>
    <w:p w14:paraId="727400EC">
      <w:pPr>
        <w:pStyle w:val="2"/>
        <w:spacing w:before="116" w:line="215" w:lineRule="auto"/>
        <w:ind w:left="1884"/>
        <w:rPr>
          <w:sz w:val="24"/>
          <w:szCs w:val="24"/>
        </w:rPr>
      </w:pPr>
      <w:r>
        <w:rPr>
          <w:spacing w:val="-19"/>
          <w:sz w:val="24"/>
          <w:szCs w:val="24"/>
        </w:rPr>
        <w:t>④作业区。作用：作业区是施工人员活动和工作的地方，在车道与作业区之间必须设置隔</w:t>
      </w:r>
    </w:p>
    <w:p w14:paraId="097DA360">
      <w:pPr>
        <w:spacing w:line="215" w:lineRule="auto"/>
        <w:rPr>
          <w:sz w:val="24"/>
          <w:szCs w:val="24"/>
        </w:rPr>
        <w:sectPr>
          <w:footerReference r:id="rId346" w:type="default"/>
          <w:pgSz w:w="11907" w:h="16839"/>
          <w:pgMar w:top="933" w:right="4" w:bottom="1038" w:left="0" w:header="478" w:footer="357" w:gutter="0"/>
          <w:pgBorders>
            <w:top w:val="none" w:sz="0" w:space="0"/>
            <w:left w:val="none" w:sz="0" w:space="0"/>
            <w:bottom w:val="none" w:sz="0" w:space="0"/>
            <w:right w:val="none" w:sz="0" w:space="0"/>
          </w:pgBorders>
          <w:cols w:space="720" w:num="1"/>
        </w:sectPr>
      </w:pPr>
    </w:p>
    <w:p w14:paraId="3D7DD5A2">
      <w:pPr>
        <w:spacing w:line="270" w:lineRule="auto"/>
        <w:rPr>
          <w:rFonts w:ascii="Arial"/>
          <w:sz w:val="21"/>
        </w:rPr>
      </w:pPr>
    </w:p>
    <w:p w14:paraId="380441BA">
      <w:pPr>
        <w:pStyle w:val="2"/>
        <w:spacing w:before="78" w:line="308" w:lineRule="auto"/>
        <w:ind w:left="1456" w:right="1410" w:firstLine="5"/>
        <w:rPr>
          <w:sz w:val="24"/>
          <w:szCs w:val="24"/>
        </w:rPr>
      </w:pPr>
      <w:r>
        <w:rPr>
          <w:spacing w:val="-20"/>
          <w:sz w:val="24"/>
          <w:szCs w:val="24"/>
        </w:rPr>
        <w:t>离装置，作业区还应为工程车辆提供安全的进出口,行车速度应小于20km</w:t>
      </w:r>
      <w:r>
        <w:rPr>
          <w:spacing w:val="-21"/>
          <w:sz w:val="24"/>
          <w:szCs w:val="24"/>
        </w:rPr>
        <w:t>／h。根据施工作业的需要设置作业区长度，每段施工长度不应大于</w:t>
      </w:r>
      <w:r>
        <w:rPr>
          <w:spacing w:val="-22"/>
          <w:sz w:val="24"/>
          <w:szCs w:val="24"/>
        </w:rPr>
        <w:t>2km。在该区域内全程用铁质护栏与通行车道进行</w:t>
      </w:r>
      <w:r>
        <w:rPr>
          <w:spacing w:val="-20"/>
          <w:sz w:val="24"/>
          <w:szCs w:val="24"/>
        </w:rPr>
        <w:t>隔离。安全设施设置在下坡等危险路段需进一步加强，并需派专人指挥交通和维护交通标志。</w:t>
      </w:r>
      <w:r>
        <w:rPr>
          <w:spacing w:val="-21"/>
          <w:sz w:val="24"/>
          <w:szCs w:val="24"/>
        </w:rPr>
        <w:t>夜间施工应在作业区内设置照明灯。</w:t>
      </w:r>
    </w:p>
    <w:p w14:paraId="4C7DDC40">
      <w:pPr>
        <w:pStyle w:val="2"/>
        <w:spacing w:before="3" w:line="276" w:lineRule="auto"/>
        <w:ind w:left="1458" w:right="1410" w:firstLine="426"/>
        <w:rPr>
          <w:sz w:val="24"/>
          <w:szCs w:val="24"/>
        </w:rPr>
      </w:pPr>
      <w:r>
        <w:rPr>
          <w:spacing w:val="-19"/>
          <w:sz w:val="24"/>
          <w:szCs w:val="24"/>
        </w:rPr>
        <w:t>⑤下游渐变区。作用：起导流作用，引导车辆改变行驶方</w:t>
      </w:r>
      <w:r>
        <w:rPr>
          <w:spacing w:val="-20"/>
          <w:sz w:val="24"/>
          <w:szCs w:val="24"/>
        </w:rPr>
        <w:t>向，变换车道，进入正常的行驶</w:t>
      </w:r>
      <w:r>
        <w:rPr>
          <w:spacing w:val="-22"/>
          <w:sz w:val="24"/>
          <w:szCs w:val="24"/>
        </w:rPr>
        <w:t>车道。该区域长度设置不低于30m，车辆驶过施工区后，应利用锥形交通标志设置后渐变区，引导车辆进入正常车道。</w:t>
      </w:r>
    </w:p>
    <w:p w14:paraId="454BC26B">
      <w:pPr>
        <w:pStyle w:val="2"/>
        <w:spacing w:before="121" w:line="262" w:lineRule="auto"/>
        <w:ind w:left="1457" w:right="1426" w:firstLine="427"/>
        <w:rPr>
          <w:sz w:val="24"/>
          <w:szCs w:val="24"/>
        </w:rPr>
      </w:pPr>
      <w:r>
        <w:rPr>
          <w:spacing w:val="-20"/>
          <w:sz w:val="24"/>
          <w:szCs w:val="24"/>
        </w:rPr>
        <w:t>⑥终止区。作用：表示施工区的结束和施工限制的解除，位于施工区的末端。终止区的设</w:t>
      </w:r>
      <w:r>
        <w:rPr>
          <w:spacing w:val="-18"/>
          <w:sz w:val="24"/>
          <w:szCs w:val="24"/>
        </w:rPr>
        <w:t>置长度大于30m。终止区的末端应设置解除限速标志。</w:t>
      </w:r>
    </w:p>
    <w:p w14:paraId="069A98B6">
      <w:pPr>
        <w:pStyle w:val="2"/>
        <w:spacing w:before="117" w:line="217" w:lineRule="auto"/>
        <w:ind w:left="1895"/>
        <w:rPr>
          <w:sz w:val="24"/>
          <w:szCs w:val="24"/>
        </w:rPr>
      </w:pPr>
      <w:r>
        <w:rPr>
          <w:spacing w:val="-21"/>
          <w:sz w:val="24"/>
          <w:szCs w:val="24"/>
        </w:rPr>
        <w:t>老路利用改建段设置交通标志的位置如下：</w:t>
      </w:r>
    </w:p>
    <w:p w14:paraId="79A12B5E">
      <w:pPr>
        <w:pStyle w:val="2"/>
        <w:spacing w:before="119" w:line="215" w:lineRule="auto"/>
        <w:ind w:left="1885"/>
        <w:rPr>
          <w:sz w:val="24"/>
          <w:szCs w:val="24"/>
        </w:rPr>
      </w:pPr>
      <w:r>
        <w:rPr>
          <w:spacing w:val="-20"/>
          <w:sz w:val="24"/>
          <w:szCs w:val="24"/>
        </w:rPr>
        <w:t>①将交通标志设在作业区边界的左侧。</w:t>
      </w:r>
    </w:p>
    <w:p w14:paraId="0F9B4D97">
      <w:pPr>
        <w:pStyle w:val="2"/>
        <w:spacing w:before="120" w:line="277" w:lineRule="auto"/>
        <w:ind w:left="1469" w:right="1409" w:firstLine="415"/>
        <w:rPr>
          <w:sz w:val="24"/>
          <w:szCs w:val="24"/>
        </w:rPr>
      </w:pPr>
      <w:r>
        <w:rPr>
          <w:spacing w:val="-19"/>
          <w:sz w:val="24"/>
          <w:szCs w:val="24"/>
        </w:rPr>
        <w:t>②禁令标志：禁止通行标志设在上游过度区的前方；禁止超</w:t>
      </w:r>
      <w:r>
        <w:rPr>
          <w:spacing w:val="-20"/>
          <w:sz w:val="24"/>
          <w:szCs w:val="24"/>
        </w:rPr>
        <w:t>车标志设在禁止超车路段的起点处，解除禁止超车标志设在禁止超车路段的终点处，限制速度标志，设在限制车速路</w:t>
      </w:r>
      <w:r>
        <w:rPr>
          <w:spacing w:val="-21"/>
          <w:sz w:val="24"/>
          <w:szCs w:val="24"/>
        </w:rPr>
        <w:t>段的起</w:t>
      </w:r>
      <w:r>
        <w:rPr>
          <w:spacing w:val="-22"/>
          <w:sz w:val="24"/>
          <w:szCs w:val="24"/>
        </w:rPr>
        <w:t>点，标志牌上标明所限制的速度；解除限制速度标志设在限</w:t>
      </w:r>
      <w:r>
        <w:rPr>
          <w:spacing w:val="-23"/>
          <w:sz w:val="24"/>
          <w:szCs w:val="24"/>
        </w:rPr>
        <w:t>制车速路段的终点处。</w:t>
      </w:r>
    </w:p>
    <w:p w14:paraId="692392A8">
      <w:pPr>
        <w:pStyle w:val="2"/>
        <w:spacing w:before="118" w:line="262" w:lineRule="auto"/>
        <w:ind w:left="1462" w:right="1409" w:firstLine="422"/>
        <w:rPr>
          <w:sz w:val="24"/>
          <w:szCs w:val="24"/>
        </w:rPr>
      </w:pPr>
      <w:r>
        <w:rPr>
          <w:spacing w:val="-19"/>
          <w:sz w:val="24"/>
          <w:szCs w:val="24"/>
        </w:rPr>
        <w:t>③警告标志：前方施工标志设在警示区的起点处；前方车道</w:t>
      </w:r>
      <w:r>
        <w:rPr>
          <w:spacing w:val="-20"/>
          <w:sz w:val="24"/>
          <w:szCs w:val="24"/>
        </w:rPr>
        <w:t>变窄标志应设在车道变窄处前</w:t>
      </w:r>
      <w:r>
        <w:rPr>
          <w:spacing w:val="-17"/>
          <w:sz w:val="24"/>
          <w:szCs w:val="24"/>
        </w:rPr>
        <w:t>方至少200米处；双向通行标志应设在双向通行路</w:t>
      </w:r>
      <w:r>
        <w:rPr>
          <w:spacing w:val="-18"/>
          <w:sz w:val="24"/>
          <w:szCs w:val="24"/>
        </w:rPr>
        <w:t>段前至少300米处。</w:t>
      </w:r>
    </w:p>
    <w:p w14:paraId="1CA25C05">
      <w:pPr>
        <w:pStyle w:val="2"/>
        <w:spacing w:before="120" w:line="293" w:lineRule="auto"/>
        <w:ind w:left="1459" w:right="1411" w:firstLine="425"/>
        <w:rPr>
          <w:sz w:val="24"/>
          <w:szCs w:val="24"/>
        </w:rPr>
      </w:pPr>
      <w:r>
        <w:rPr>
          <w:spacing w:val="-21"/>
          <w:sz w:val="24"/>
          <w:szCs w:val="24"/>
        </w:rPr>
        <w:t>④指示标志：前方绕行标志设在需要绕行的车辆进出处前至少200米处起点处；直行和单</w:t>
      </w:r>
      <w:r>
        <w:rPr>
          <w:spacing w:val="-20"/>
          <w:sz w:val="24"/>
          <w:szCs w:val="24"/>
        </w:rPr>
        <w:t>向行驶-标志，应设在需要直行、转弯和单向行驶路段前方20</w:t>
      </w:r>
      <w:r>
        <w:rPr>
          <w:spacing w:val="-21"/>
          <w:sz w:val="24"/>
          <w:szCs w:val="24"/>
        </w:rPr>
        <w:t>0米处。施工现场安全布控临时交</w:t>
      </w:r>
      <w:r>
        <w:rPr>
          <w:spacing w:val="-20"/>
          <w:sz w:val="24"/>
          <w:szCs w:val="24"/>
        </w:rPr>
        <w:t>通安全防护设施摆放完成后，首先自检，合格报监理、项目业主及交警部门联合验收，经验收合格后，施工材料、设备方可进场。验收程序：施工单位自检——监理单位验收——交通组织管理部联合验收。施工期间，现场安全设施、标志和警示牌未经施工负责人同意，不得擅自拆</w:t>
      </w:r>
      <w:r>
        <w:rPr>
          <w:spacing w:val="-19"/>
          <w:sz w:val="24"/>
          <w:szCs w:val="24"/>
        </w:rPr>
        <w:t>动。</w:t>
      </w:r>
    </w:p>
    <w:p w14:paraId="112DEF4C">
      <w:pPr>
        <w:pStyle w:val="2"/>
        <w:spacing w:before="115" w:line="261" w:lineRule="auto"/>
        <w:ind w:left="1457" w:right="1409" w:firstLine="427"/>
        <w:rPr>
          <w:sz w:val="24"/>
          <w:szCs w:val="24"/>
        </w:rPr>
      </w:pPr>
      <w:r>
        <w:rPr>
          <w:spacing w:val="-19"/>
          <w:sz w:val="24"/>
          <w:szCs w:val="24"/>
        </w:rPr>
        <w:t>⑤提示警示标志牌应固定牢靠，避免受风力影响而转动、倾</w:t>
      </w:r>
      <w:r>
        <w:rPr>
          <w:spacing w:val="-20"/>
          <w:sz w:val="24"/>
          <w:szCs w:val="24"/>
        </w:rPr>
        <w:t>倒等，标志牌均设置为反光贴</w:t>
      </w:r>
      <w:r>
        <w:rPr>
          <w:spacing w:val="-21"/>
          <w:sz w:val="24"/>
          <w:szCs w:val="24"/>
        </w:rPr>
        <w:t>膜作为夜间行车标示，各主要路口设置爆闪灯确保夜间行车</w:t>
      </w:r>
      <w:r>
        <w:rPr>
          <w:spacing w:val="-22"/>
          <w:sz w:val="24"/>
          <w:szCs w:val="24"/>
        </w:rPr>
        <w:t>方向安全。</w:t>
      </w:r>
    </w:p>
    <w:p w14:paraId="715D1985">
      <w:pPr>
        <w:pStyle w:val="2"/>
        <w:spacing w:before="121" w:line="262" w:lineRule="auto"/>
        <w:ind w:left="1455" w:right="1427" w:firstLine="429"/>
        <w:rPr>
          <w:sz w:val="24"/>
          <w:szCs w:val="24"/>
        </w:rPr>
      </w:pPr>
      <w:r>
        <w:rPr>
          <w:spacing w:val="-20"/>
          <w:sz w:val="24"/>
          <w:szCs w:val="24"/>
        </w:rPr>
        <w:t>⑥在项目起点、终点、主要道口处设置一块2*1.5m施工告示牌，标明建设、设计、监理、</w:t>
      </w:r>
      <w:r>
        <w:rPr>
          <w:spacing w:val="-21"/>
          <w:sz w:val="24"/>
          <w:szCs w:val="24"/>
        </w:rPr>
        <w:t>施工单位及负责人，现场施工安全负责人及联系电话,并在告示牌上公示绕行路线。</w:t>
      </w:r>
    </w:p>
    <w:p w14:paraId="559C6EA1">
      <w:pPr>
        <w:pStyle w:val="2"/>
        <w:spacing w:before="118" w:line="218" w:lineRule="auto"/>
        <w:ind w:left="1888"/>
        <w:rPr>
          <w:sz w:val="24"/>
          <w:szCs w:val="24"/>
        </w:rPr>
      </w:pPr>
      <w:r>
        <w:rPr>
          <w:spacing w:val="-14"/>
          <w:sz w:val="24"/>
          <w:szCs w:val="24"/>
        </w:rPr>
        <w:t>2.1.3.2新建道路围挡</w:t>
      </w:r>
    </w:p>
    <w:p w14:paraId="4A2B0C8E">
      <w:pPr>
        <w:pStyle w:val="2"/>
        <w:spacing w:before="117" w:line="308" w:lineRule="auto"/>
        <w:ind w:left="1455" w:right="1410" w:firstLine="436"/>
        <w:jc w:val="both"/>
        <w:rPr>
          <w:sz w:val="24"/>
          <w:szCs w:val="24"/>
        </w:rPr>
      </w:pPr>
      <w:r>
        <w:rPr>
          <w:spacing w:val="-20"/>
          <w:sz w:val="24"/>
          <w:szCs w:val="24"/>
        </w:rPr>
        <w:t>施工区域：新建道路部分的施工。围挡前工作台阶处设置缓坡，使现状人行道满足自行车通行要求。迁移信号灯至合适位置，调整信号相位相序。调整施工影响范围内的道路交通标志</w:t>
      </w:r>
      <w:r>
        <w:rPr>
          <w:spacing w:val="-21"/>
          <w:sz w:val="24"/>
          <w:szCs w:val="24"/>
        </w:rPr>
        <w:t>标线，增设外部分流的交通标志。</w:t>
      </w:r>
    </w:p>
    <w:p w14:paraId="76EB9BB8">
      <w:pPr>
        <w:pStyle w:val="2"/>
        <w:spacing w:before="1" w:line="218" w:lineRule="auto"/>
        <w:ind w:left="1888"/>
        <w:rPr>
          <w:sz w:val="24"/>
          <w:szCs w:val="24"/>
        </w:rPr>
      </w:pPr>
      <w:r>
        <w:rPr>
          <w:spacing w:val="-14"/>
          <w:sz w:val="24"/>
          <w:szCs w:val="24"/>
        </w:rPr>
        <w:t>2.1.3.2.1围挡范围</w:t>
      </w:r>
    </w:p>
    <w:p w14:paraId="3A2850F5">
      <w:pPr>
        <w:pStyle w:val="2"/>
        <w:spacing w:before="115" w:line="308" w:lineRule="auto"/>
        <w:ind w:left="1457" w:right="1410" w:firstLine="437"/>
        <w:rPr>
          <w:sz w:val="24"/>
          <w:szCs w:val="24"/>
        </w:rPr>
      </w:pPr>
      <w:r>
        <w:rPr>
          <w:spacing w:val="-20"/>
          <w:sz w:val="24"/>
          <w:szCs w:val="24"/>
        </w:rPr>
        <w:t>在交叉口位置断开围挡，并适当压缩围挡宽度，仅对施工必要区域进行围挡，保证交叉口各转向交通能够正常运行。围挡后剩余道路宽度突变的地方断开围挡，仅对施工必要区域进行</w:t>
      </w:r>
      <w:r>
        <w:rPr>
          <w:spacing w:val="-21"/>
          <w:sz w:val="24"/>
          <w:szCs w:val="24"/>
        </w:rPr>
        <w:t>围挡。</w:t>
      </w:r>
    </w:p>
    <w:p w14:paraId="68D5C9AD">
      <w:pPr>
        <w:pStyle w:val="2"/>
        <w:spacing w:line="218" w:lineRule="auto"/>
        <w:ind w:left="1888"/>
        <w:rPr>
          <w:sz w:val="24"/>
          <w:szCs w:val="24"/>
        </w:rPr>
      </w:pPr>
      <w:r>
        <w:rPr>
          <w:spacing w:val="-16"/>
          <w:sz w:val="24"/>
          <w:szCs w:val="24"/>
        </w:rPr>
        <w:t>2.</w:t>
      </w:r>
      <w:r>
        <w:fldChar w:fldCharType="begin"/>
      </w:r>
      <w:r>
        <w:instrText xml:space="preserve">HYPERLINK"1.3.2.2"</w:instrText>
      </w:r>
      <w:r>
        <w:fldChar w:fldCharType="separate"/>
      </w:r>
      <w:r>
        <w:rPr>
          <w:spacing w:val="-16"/>
          <w:sz w:val="24"/>
          <w:szCs w:val="24"/>
        </w:rPr>
        <w:t>1.3.2.2</w:t>
      </w:r>
      <w:r>
        <w:rPr>
          <w:spacing w:val="-16"/>
          <w:sz w:val="24"/>
          <w:szCs w:val="24"/>
        </w:rPr>
        <w:fldChar w:fldCharType="end"/>
      </w:r>
      <w:r>
        <w:rPr>
          <w:spacing w:val="-16"/>
          <w:sz w:val="24"/>
          <w:szCs w:val="24"/>
        </w:rPr>
        <w:t>围挡后交通条件</w:t>
      </w:r>
    </w:p>
    <w:p w14:paraId="1A55F46D">
      <w:pPr>
        <w:pStyle w:val="2"/>
        <w:spacing w:before="115" w:line="215" w:lineRule="auto"/>
        <w:ind w:left="1917"/>
        <w:rPr>
          <w:sz w:val="24"/>
          <w:szCs w:val="24"/>
        </w:rPr>
      </w:pPr>
      <w:r>
        <w:rPr>
          <w:spacing w:val="-22"/>
          <w:sz w:val="24"/>
          <w:szCs w:val="24"/>
        </w:rPr>
        <w:t>围挡后剩余道路保证双向通行。交叉口部分进行渠</w:t>
      </w:r>
      <w:r>
        <w:rPr>
          <w:spacing w:val="-23"/>
          <w:sz w:val="24"/>
          <w:szCs w:val="24"/>
        </w:rPr>
        <w:t>化。机动车道位置突变的地方断开围挡，</w:t>
      </w:r>
    </w:p>
    <w:p w14:paraId="3323A2A2">
      <w:pPr>
        <w:spacing w:line="215" w:lineRule="auto"/>
        <w:rPr>
          <w:sz w:val="24"/>
          <w:szCs w:val="24"/>
        </w:rPr>
        <w:sectPr>
          <w:footerReference r:id="rId347" w:type="default"/>
          <w:pgSz w:w="11907" w:h="16839"/>
          <w:pgMar w:top="933" w:right="4" w:bottom="1038" w:left="0" w:header="478" w:footer="357" w:gutter="0"/>
          <w:pgBorders>
            <w:top w:val="none" w:sz="0" w:space="0"/>
            <w:left w:val="none" w:sz="0" w:space="0"/>
            <w:bottom w:val="none" w:sz="0" w:space="0"/>
            <w:right w:val="none" w:sz="0" w:space="0"/>
          </w:pgBorders>
          <w:cols w:space="720" w:num="1"/>
        </w:sectPr>
      </w:pPr>
    </w:p>
    <w:p w14:paraId="2C832A00">
      <w:pPr>
        <w:spacing w:line="271" w:lineRule="auto"/>
        <w:rPr>
          <w:rFonts w:ascii="Arial"/>
          <w:sz w:val="21"/>
        </w:rPr>
      </w:pPr>
    </w:p>
    <w:p w14:paraId="35408D97">
      <w:pPr>
        <w:pStyle w:val="2"/>
        <w:spacing w:before="78" w:line="215" w:lineRule="auto"/>
        <w:ind w:left="1458"/>
        <w:rPr>
          <w:sz w:val="24"/>
          <w:szCs w:val="24"/>
        </w:rPr>
      </w:pPr>
      <w:r>
        <w:rPr>
          <w:spacing w:val="-21"/>
          <w:sz w:val="24"/>
          <w:szCs w:val="24"/>
        </w:rPr>
        <w:t>进行交通渠化，引导车辆按车道行驶。</w:t>
      </w:r>
    </w:p>
    <w:p w14:paraId="538E4846">
      <w:pPr>
        <w:pStyle w:val="2"/>
        <w:spacing w:before="121" w:line="219" w:lineRule="auto"/>
        <w:ind w:left="1888"/>
        <w:rPr>
          <w:sz w:val="24"/>
          <w:szCs w:val="24"/>
        </w:rPr>
      </w:pPr>
      <w:r>
        <w:rPr>
          <w:spacing w:val="-15"/>
          <w:sz w:val="24"/>
          <w:szCs w:val="24"/>
        </w:rPr>
        <w:t>2.1.3.3老路改造围挡</w:t>
      </w:r>
    </w:p>
    <w:p w14:paraId="3AF55AD5">
      <w:pPr>
        <w:pStyle w:val="2"/>
        <w:spacing w:before="114" w:line="218" w:lineRule="auto"/>
        <w:ind w:left="1888"/>
        <w:rPr>
          <w:sz w:val="24"/>
          <w:szCs w:val="24"/>
        </w:rPr>
      </w:pPr>
      <w:r>
        <w:rPr>
          <w:spacing w:val="-18"/>
          <w:sz w:val="24"/>
          <w:szCs w:val="24"/>
        </w:rPr>
        <w:t>2.1.3.3.1施工区域：用老路拆除重新施工。</w:t>
      </w:r>
    </w:p>
    <w:p w14:paraId="457E9BD9">
      <w:pPr>
        <w:pStyle w:val="2"/>
        <w:spacing w:before="117" w:line="216" w:lineRule="auto"/>
        <w:ind w:left="1888"/>
        <w:rPr>
          <w:sz w:val="24"/>
          <w:szCs w:val="24"/>
        </w:rPr>
      </w:pPr>
      <w:r>
        <w:rPr>
          <w:spacing w:val="-15"/>
          <w:sz w:val="24"/>
          <w:szCs w:val="24"/>
        </w:rPr>
        <w:t>2.1.3.3.2围挡前工作</w:t>
      </w:r>
    </w:p>
    <w:p w14:paraId="5EF675F0">
      <w:pPr>
        <w:pStyle w:val="2"/>
        <w:spacing w:before="121" w:line="307" w:lineRule="auto"/>
        <w:ind w:left="1457" w:right="1338" w:firstLine="435"/>
        <w:rPr>
          <w:sz w:val="24"/>
          <w:szCs w:val="24"/>
        </w:rPr>
      </w:pPr>
      <w:r>
        <w:rPr>
          <w:spacing w:val="-20"/>
          <w:sz w:val="24"/>
          <w:szCs w:val="24"/>
        </w:rPr>
        <w:t>施工范围内，按道路红线要求拓宽到位。拆除原砼道路面层、基层。迁移信号灯至合适位</w:t>
      </w:r>
      <w:r>
        <w:rPr>
          <w:spacing w:val="-23"/>
          <w:sz w:val="24"/>
          <w:szCs w:val="24"/>
        </w:rPr>
        <w:t>置，调整信号相位相序。调整施工影响范围内的道路交通标志标线，增设外</w:t>
      </w:r>
      <w:r>
        <w:rPr>
          <w:spacing w:val="-24"/>
          <w:sz w:val="24"/>
          <w:szCs w:val="24"/>
        </w:rPr>
        <w:t>部分流的交通标志。</w:t>
      </w:r>
    </w:p>
    <w:p w14:paraId="1290DC57">
      <w:pPr>
        <w:pStyle w:val="2"/>
        <w:spacing w:line="218" w:lineRule="auto"/>
        <w:ind w:left="1888"/>
        <w:rPr>
          <w:sz w:val="24"/>
          <w:szCs w:val="24"/>
        </w:rPr>
      </w:pPr>
      <w:r>
        <w:rPr>
          <w:spacing w:val="-16"/>
          <w:sz w:val="24"/>
          <w:szCs w:val="24"/>
        </w:rPr>
        <w:t>2.1.3.3.3围挡后交通条件</w:t>
      </w:r>
    </w:p>
    <w:p w14:paraId="2B58BA4F">
      <w:pPr>
        <w:pStyle w:val="2"/>
        <w:spacing w:before="117" w:line="306" w:lineRule="auto"/>
        <w:ind w:left="1459" w:right="1410" w:firstLine="433"/>
        <w:rPr>
          <w:sz w:val="24"/>
          <w:szCs w:val="24"/>
        </w:rPr>
      </w:pPr>
      <w:r>
        <w:rPr>
          <w:spacing w:val="-20"/>
          <w:sz w:val="24"/>
          <w:szCs w:val="24"/>
        </w:rPr>
        <w:t>开放新建道路的交通，围挡后道路保证双向通行。施工影响范围内各交叉口禁止机动车左</w:t>
      </w:r>
      <w:r>
        <w:rPr>
          <w:spacing w:val="-23"/>
          <w:sz w:val="24"/>
          <w:szCs w:val="24"/>
        </w:rPr>
        <w:t>转，提前设置指路标志，提醒车辆提前绕行。</w:t>
      </w:r>
    </w:p>
    <w:p w14:paraId="037EBE12">
      <w:pPr>
        <w:pStyle w:val="2"/>
        <w:spacing w:before="4" w:line="217" w:lineRule="auto"/>
        <w:ind w:left="1888"/>
        <w:rPr>
          <w:sz w:val="24"/>
          <w:szCs w:val="24"/>
        </w:rPr>
      </w:pPr>
      <w:r>
        <w:rPr>
          <w:spacing w:val="-18"/>
          <w:sz w:val="24"/>
          <w:szCs w:val="24"/>
        </w:rPr>
        <w:t>2.2交通维护措施的实施</w:t>
      </w:r>
    </w:p>
    <w:p w14:paraId="6643F27E">
      <w:pPr>
        <w:pStyle w:val="2"/>
        <w:spacing w:before="118" w:line="277" w:lineRule="auto"/>
        <w:ind w:left="1461" w:right="1410" w:firstLine="427"/>
        <w:rPr>
          <w:sz w:val="24"/>
          <w:szCs w:val="24"/>
        </w:rPr>
      </w:pPr>
      <w:r>
        <w:rPr>
          <w:spacing w:val="-23"/>
          <w:sz w:val="24"/>
          <w:szCs w:val="24"/>
        </w:rPr>
        <w:t>2.2.1我们将严格执行“二通三无五必须”的文明施工规范，确保施工工地沿线单位和出入</w:t>
      </w:r>
      <w:r>
        <w:rPr>
          <w:spacing w:val="-20"/>
          <w:sz w:val="24"/>
          <w:szCs w:val="24"/>
        </w:rPr>
        <w:t>口畅通无阻，牢固树立“建路想到行路人、文明施工为人民”的便民、利民、爱民思想，做好</w:t>
      </w:r>
      <w:r>
        <w:rPr>
          <w:spacing w:val="-21"/>
          <w:sz w:val="24"/>
          <w:szCs w:val="24"/>
        </w:rPr>
        <w:t>通行路段的交通维护工作。</w:t>
      </w:r>
    </w:p>
    <w:p w14:paraId="6E56F748">
      <w:pPr>
        <w:pStyle w:val="2"/>
        <w:spacing w:before="122" w:line="285" w:lineRule="auto"/>
        <w:ind w:left="1456" w:right="1409" w:firstLine="432"/>
        <w:rPr>
          <w:sz w:val="24"/>
          <w:szCs w:val="24"/>
        </w:rPr>
      </w:pPr>
      <w:r>
        <w:rPr>
          <w:spacing w:val="-22"/>
          <w:sz w:val="24"/>
          <w:szCs w:val="24"/>
        </w:rPr>
        <w:t>2.2.2施工场地与邻近出入口采取封闭隔离措施，施工区域</w:t>
      </w:r>
      <w:r>
        <w:rPr>
          <w:spacing w:val="-23"/>
          <w:sz w:val="24"/>
          <w:szCs w:val="24"/>
        </w:rPr>
        <w:t>与临时交通道路之间的封闭隔离</w:t>
      </w:r>
      <w:r>
        <w:rPr>
          <w:spacing w:val="-20"/>
          <w:sz w:val="24"/>
          <w:szCs w:val="24"/>
        </w:rPr>
        <w:t>措施，应满足封闭施工要求。主要出入口及封闭地段设置醒目的交通指令标志和示警灯。保证车辆和行人的安全，施工期间进出工地的车辆和人员，严格遵守交通法规，服从交通管理部门</w:t>
      </w:r>
      <w:r>
        <w:rPr>
          <w:spacing w:val="-19"/>
          <w:sz w:val="24"/>
          <w:szCs w:val="24"/>
        </w:rPr>
        <w:t>的指令和管理。</w:t>
      </w:r>
    </w:p>
    <w:p w14:paraId="159AC431">
      <w:pPr>
        <w:pStyle w:val="2"/>
        <w:spacing w:before="115" w:line="278" w:lineRule="auto"/>
        <w:ind w:left="1457" w:right="1428" w:firstLine="431"/>
        <w:rPr>
          <w:sz w:val="24"/>
          <w:szCs w:val="24"/>
        </w:rPr>
      </w:pPr>
      <w:r>
        <w:rPr>
          <w:spacing w:val="-23"/>
          <w:sz w:val="24"/>
          <w:szCs w:val="24"/>
        </w:rPr>
        <w:t>2.2.3我们在工程具体实施前将主动与交通管理部门联系，介绍、汇报本工程概况、施工方</w:t>
      </w:r>
      <w:r>
        <w:rPr>
          <w:spacing w:val="-20"/>
          <w:sz w:val="24"/>
          <w:szCs w:val="24"/>
        </w:rPr>
        <w:t>案，总平面图布置及工程材料、土方、混凝土的运输量和运输计划，请交通部门给</w:t>
      </w:r>
      <w:r>
        <w:rPr>
          <w:spacing w:val="-21"/>
          <w:sz w:val="24"/>
          <w:szCs w:val="24"/>
        </w:rPr>
        <w:t>予支持和指导，进一步改进完善交通运输方案，制定实施细则。</w:t>
      </w:r>
    </w:p>
    <w:p w14:paraId="596DE383">
      <w:pPr>
        <w:pStyle w:val="2"/>
        <w:spacing w:before="117" w:line="262" w:lineRule="auto"/>
        <w:ind w:left="1469" w:right="1409" w:firstLine="419"/>
        <w:rPr>
          <w:sz w:val="24"/>
          <w:szCs w:val="24"/>
        </w:rPr>
      </w:pPr>
      <w:r>
        <w:rPr>
          <w:spacing w:val="-23"/>
          <w:sz w:val="24"/>
          <w:szCs w:val="24"/>
        </w:rPr>
        <w:t>2.2.4自觉接受交通管理部门和建设单位的监督检查，一旦发现有影响</w:t>
      </w:r>
      <w:r>
        <w:rPr>
          <w:spacing w:val="-24"/>
          <w:sz w:val="24"/>
          <w:szCs w:val="24"/>
        </w:rPr>
        <w:t>交通秩序的问题，立</w:t>
      </w:r>
      <w:r>
        <w:rPr>
          <w:spacing w:val="-20"/>
          <w:sz w:val="24"/>
          <w:szCs w:val="24"/>
        </w:rPr>
        <w:t>即进行整改。</w:t>
      </w:r>
    </w:p>
    <w:p w14:paraId="68E899E4">
      <w:pPr>
        <w:pStyle w:val="2"/>
        <w:spacing w:before="119" w:line="215" w:lineRule="auto"/>
        <w:ind w:left="1888"/>
        <w:rPr>
          <w:sz w:val="24"/>
          <w:szCs w:val="24"/>
        </w:rPr>
      </w:pPr>
      <w:r>
        <w:rPr>
          <w:spacing w:val="-12"/>
          <w:sz w:val="24"/>
          <w:szCs w:val="24"/>
        </w:rPr>
        <w:t>2.2.4.1施工车辆的组织措施</w:t>
      </w:r>
    </w:p>
    <w:p w14:paraId="38B4CA47">
      <w:pPr>
        <w:pStyle w:val="2"/>
        <w:spacing w:before="119" w:line="215" w:lineRule="auto"/>
        <w:ind w:left="1901"/>
        <w:rPr>
          <w:sz w:val="24"/>
          <w:szCs w:val="24"/>
        </w:rPr>
      </w:pPr>
      <w:r>
        <w:rPr>
          <w:spacing w:val="-22"/>
          <w:sz w:val="24"/>
          <w:szCs w:val="24"/>
        </w:rPr>
        <w:t>为了减少施工车辆对城市道路交通、环境的不利影响，对施工车辆应加强管理。</w:t>
      </w:r>
    </w:p>
    <w:p w14:paraId="5B5CBEC4">
      <w:pPr>
        <w:pStyle w:val="2"/>
        <w:spacing w:before="121" w:line="215" w:lineRule="auto"/>
        <w:ind w:left="1893"/>
        <w:rPr>
          <w:sz w:val="24"/>
          <w:szCs w:val="24"/>
        </w:rPr>
      </w:pPr>
      <w:r>
        <w:rPr>
          <w:spacing w:val="-21"/>
          <w:sz w:val="24"/>
          <w:szCs w:val="24"/>
        </w:rPr>
        <w:t>建议施工车辆的进出安排在夜间，其余时间只在施工围挡</w:t>
      </w:r>
      <w:r>
        <w:rPr>
          <w:spacing w:val="-22"/>
          <w:sz w:val="24"/>
          <w:szCs w:val="24"/>
        </w:rPr>
        <w:t>场地范围内活动。</w:t>
      </w:r>
    </w:p>
    <w:p w14:paraId="7A25C67B">
      <w:pPr>
        <w:pStyle w:val="2"/>
        <w:spacing w:before="122" w:line="306" w:lineRule="auto"/>
        <w:ind w:left="1458" w:right="1410" w:firstLine="434"/>
        <w:rPr>
          <w:sz w:val="24"/>
          <w:szCs w:val="24"/>
        </w:rPr>
      </w:pPr>
      <w:r>
        <w:rPr>
          <w:spacing w:val="-20"/>
          <w:sz w:val="24"/>
          <w:szCs w:val="24"/>
        </w:rPr>
        <w:t>建议在施工段设置车辆减速提醒标志，出土点进出口设置警示灯，并有专人现场指挥调度进出车辆，避免发生事故。</w:t>
      </w:r>
    </w:p>
    <w:p w14:paraId="3740CE3F">
      <w:pPr>
        <w:pStyle w:val="2"/>
        <w:spacing w:before="2" w:line="217" w:lineRule="auto"/>
        <w:ind w:left="1888"/>
        <w:rPr>
          <w:sz w:val="24"/>
          <w:szCs w:val="24"/>
        </w:rPr>
      </w:pPr>
      <w:r>
        <w:rPr>
          <w:spacing w:val="-17"/>
          <w:sz w:val="24"/>
          <w:szCs w:val="24"/>
        </w:rPr>
        <w:t>2.2.4.2沿线单位出入口交通组织措施</w:t>
      </w:r>
    </w:p>
    <w:p w14:paraId="042F843C">
      <w:pPr>
        <w:pStyle w:val="2"/>
        <w:spacing w:before="123" w:line="307" w:lineRule="auto"/>
        <w:ind w:left="1456" w:right="1414" w:firstLine="436"/>
        <w:rPr>
          <w:sz w:val="24"/>
          <w:szCs w:val="24"/>
        </w:rPr>
      </w:pPr>
      <w:r>
        <w:rPr>
          <w:spacing w:val="-20"/>
          <w:sz w:val="24"/>
          <w:szCs w:val="24"/>
        </w:rPr>
        <w:t>施工期间，这些单位的出入口将受到影响甚至被封闭。因此建议：提前与相关单位协调，保证施工期间沿线单位车辆、行人能够正常出入。在其他道路上另有出入口的单位，可以临时封闭影响范围内的出入口。进出车辆和行人从其他出入口进出。没有其他出入口的单位，有条件的可临时在其他道路上开通出入口，尽量不在施工范围内出入，否则应在施工范围内开通临</w:t>
      </w:r>
      <w:r>
        <w:rPr>
          <w:spacing w:val="-21"/>
          <w:sz w:val="24"/>
          <w:szCs w:val="24"/>
        </w:rPr>
        <w:t>时出入口及通道，保证施工期间沿线单位车辆、行人能够正</w:t>
      </w:r>
      <w:r>
        <w:rPr>
          <w:spacing w:val="-22"/>
          <w:sz w:val="24"/>
          <w:szCs w:val="24"/>
        </w:rPr>
        <w:t>常出入。</w:t>
      </w:r>
    </w:p>
    <w:p w14:paraId="36A3B1D7">
      <w:pPr>
        <w:pStyle w:val="2"/>
        <w:spacing w:before="1" w:line="219" w:lineRule="auto"/>
        <w:ind w:left="1888"/>
        <w:rPr>
          <w:sz w:val="24"/>
          <w:szCs w:val="24"/>
        </w:rPr>
      </w:pPr>
      <w:r>
        <w:rPr>
          <w:spacing w:val="-15"/>
          <w:sz w:val="24"/>
          <w:szCs w:val="24"/>
        </w:rPr>
        <w:t>2.2.4.3交通管理措施</w:t>
      </w:r>
    </w:p>
    <w:p w14:paraId="5FB3327A">
      <w:pPr>
        <w:pStyle w:val="2"/>
        <w:spacing w:before="115" w:line="308" w:lineRule="auto"/>
        <w:ind w:left="1457" w:right="1410" w:firstLine="437"/>
        <w:rPr>
          <w:sz w:val="24"/>
          <w:szCs w:val="24"/>
        </w:rPr>
      </w:pPr>
      <w:r>
        <w:rPr>
          <w:spacing w:val="-20"/>
          <w:sz w:val="24"/>
          <w:szCs w:val="24"/>
        </w:rPr>
        <w:t>在保证施工正常进行的前提下，围挡应尽可能少占用道路空间资源；施工期间围挡宽度不得随意拓宽，侵占道路空间。</w:t>
      </w:r>
    </w:p>
    <w:p w14:paraId="7646DFA7">
      <w:pPr>
        <w:spacing w:line="308" w:lineRule="auto"/>
        <w:rPr>
          <w:sz w:val="24"/>
          <w:szCs w:val="24"/>
        </w:rPr>
        <w:sectPr>
          <w:footerReference r:id="rId348" w:type="default"/>
          <w:pgSz w:w="11907" w:h="16839"/>
          <w:pgMar w:top="933" w:right="4" w:bottom="1038" w:left="0" w:header="478" w:footer="357" w:gutter="0"/>
          <w:pgBorders>
            <w:top w:val="none" w:sz="0" w:space="0"/>
            <w:left w:val="none" w:sz="0" w:space="0"/>
            <w:bottom w:val="none" w:sz="0" w:space="0"/>
            <w:right w:val="none" w:sz="0" w:space="0"/>
          </w:pgBorders>
          <w:cols w:space="720" w:num="1"/>
        </w:sectPr>
      </w:pPr>
    </w:p>
    <w:p w14:paraId="502197C9">
      <w:pPr>
        <w:spacing w:line="270" w:lineRule="auto"/>
        <w:rPr>
          <w:rFonts w:ascii="Arial"/>
          <w:sz w:val="21"/>
        </w:rPr>
      </w:pPr>
    </w:p>
    <w:p w14:paraId="282EE69B">
      <w:pPr>
        <w:pStyle w:val="2"/>
        <w:spacing w:before="78" w:line="308" w:lineRule="auto"/>
        <w:ind w:left="1456" w:right="1409" w:firstLine="436"/>
        <w:jc w:val="both"/>
        <w:rPr>
          <w:sz w:val="24"/>
          <w:szCs w:val="24"/>
        </w:rPr>
      </w:pPr>
      <w:r>
        <w:rPr>
          <w:spacing w:val="-19"/>
          <w:sz w:val="24"/>
          <w:szCs w:val="24"/>
        </w:rPr>
        <w:t>施工期间充分考虑道路占用，交通疏导分</w:t>
      </w:r>
      <w:r>
        <w:rPr>
          <w:spacing w:val="-20"/>
          <w:sz w:val="24"/>
          <w:szCs w:val="24"/>
        </w:rPr>
        <w:t>流等交通组织方案，合理安排施工顺序及施工周期。密切配合交警部门对全桥施工范围内的施工车辆和地方车辆及行人的交通疏导，减少对地</w:t>
      </w:r>
      <w:r>
        <w:rPr>
          <w:spacing w:val="-19"/>
          <w:sz w:val="24"/>
          <w:szCs w:val="24"/>
        </w:rPr>
        <w:t>面交通的影响。</w:t>
      </w:r>
    </w:p>
    <w:p w14:paraId="03C31662">
      <w:pPr>
        <w:pStyle w:val="2"/>
        <w:spacing w:before="1" w:line="218" w:lineRule="auto"/>
        <w:ind w:left="1888"/>
        <w:rPr>
          <w:sz w:val="24"/>
          <w:szCs w:val="24"/>
        </w:rPr>
      </w:pPr>
      <w:r>
        <w:rPr>
          <w:spacing w:val="-16"/>
          <w:sz w:val="24"/>
          <w:szCs w:val="24"/>
        </w:rPr>
        <w:t>2.2.4.3.1加强分流道路改造与管理</w:t>
      </w:r>
    </w:p>
    <w:p w14:paraId="6BBF4329">
      <w:pPr>
        <w:pStyle w:val="2"/>
        <w:spacing w:before="117" w:line="306" w:lineRule="auto"/>
        <w:ind w:left="1470" w:right="1344" w:firstLine="424"/>
        <w:rPr>
          <w:sz w:val="24"/>
          <w:szCs w:val="24"/>
        </w:rPr>
      </w:pPr>
      <w:r>
        <w:rPr>
          <w:spacing w:val="-23"/>
          <w:sz w:val="24"/>
          <w:szCs w:val="24"/>
        </w:rPr>
        <w:t>在施工期间临时对部分分流道路，进行管理整治</w:t>
      </w:r>
      <w:r>
        <w:rPr>
          <w:spacing w:val="-24"/>
          <w:sz w:val="24"/>
          <w:szCs w:val="24"/>
        </w:rPr>
        <w:t>，取缔道路非法占用现象，例如路边摊贩、</w:t>
      </w:r>
      <w:r>
        <w:rPr>
          <w:spacing w:val="-22"/>
          <w:sz w:val="24"/>
          <w:szCs w:val="24"/>
        </w:rPr>
        <w:t>临时停车等，为交通分流提供良好的条件。</w:t>
      </w:r>
    </w:p>
    <w:p w14:paraId="6D737A4D">
      <w:pPr>
        <w:pStyle w:val="2"/>
        <w:spacing w:before="2" w:line="216" w:lineRule="auto"/>
        <w:ind w:left="1888"/>
        <w:rPr>
          <w:sz w:val="24"/>
          <w:szCs w:val="24"/>
        </w:rPr>
      </w:pPr>
      <w:r>
        <w:rPr>
          <w:spacing w:val="-18"/>
          <w:sz w:val="24"/>
          <w:szCs w:val="24"/>
        </w:rPr>
        <w:t>2.2.4.3.2及时发布施工信息、合理设置道路标志标线</w:t>
      </w:r>
    </w:p>
    <w:p w14:paraId="7E2A620F">
      <w:pPr>
        <w:pStyle w:val="2"/>
        <w:spacing w:before="119" w:line="308" w:lineRule="auto"/>
        <w:ind w:left="1461" w:right="1410" w:firstLine="433"/>
        <w:rPr>
          <w:sz w:val="24"/>
          <w:szCs w:val="24"/>
        </w:rPr>
      </w:pPr>
      <w:r>
        <w:rPr>
          <w:spacing w:val="-20"/>
          <w:sz w:val="24"/>
          <w:szCs w:val="24"/>
        </w:rPr>
        <w:t>在施工区域前方设置交通警告标志等，提醒过往车辆、行人，确保交通安全。提前做好交通信息发布，引导车辆提前选择正确的通行线路，尽量避开施工影响区域，减轻相应的道路交</w:t>
      </w:r>
      <w:r>
        <w:rPr>
          <w:spacing w:val="-21"/>
          <w:sz w:val="24"/>
          <w:szCs w:val="24"/>
        </w:rPr>
        <w:t>通压力，避免造成不必要的拥堵。</w:t>
      </w:r>
    </w:p>
    <w:p w14:paraId="07617284">
      <w:pPr>
        <w:pStyle w:val="2"/>
        <w:spacing w:before="1" w:line="215" w:lineRule="auto"/>
        <w:ind w:left="1888"/>
        <w:rPr>
          <w:sz w:val="24"/>
          <w:szCs w:val="24"/>
        </w:rPr>
      </w:pPr>
      <w:r>
        <w:rPr>
          <w:spacing w:val="-18"/>
          <w:sz w:val="24"/>
          <w:szCs w:val="24"/>
        </w:rPr>
        <w:t>2.2.4.3.3提前做好交叉口的渠化工作，相应调整</w:t>
      </w:r>
      <w:r>
        <w:rPr>
          <w:spacing w:val="-19"/>
          <w:sz w:val="24"/>
          <w:szCs w:val="24"/>
        </w:rPr>
        <w:t>信号灯配时。</w:t>
      </w:r>
    </w:p>
    <w:p w14:paraId="0562D393">
      <w:pPr>
        <w:pStyle w:val="2"/>
        <w:spacing w:before="118" w:line="215" w:lineRule="auto"/>
        <w:ind w:left="1888"/>
        <w:rPr>
          <w:sz w:val="24"/>
          <w:szCs w:val="24"/>
        </w:rPr>
      </w:pPr>
      <w:r>
        <w:rPr>
          <w:spacing w:val="-18"/>
          <w:sz w:val="24"/>
          <w:szCs w:val="24"/>
        </w:rPr>
        <w:t>2.2.4.3.4施工期间对施工车辆发放通行证。</w:t>
      </w:r>
    </w:p>
    <w:p w14:paraId="5C878B94">
      <w:pPr>
        <w:pStyle w:val="2"/>
        <w:spacing w:before="121" w:line="219" w:lineRule="auto"/>
        <w:ind w:left="1888"/>
        <w:rPr>
          <w:sz w:val="24"/>
          <w:szCs w:val="24"/>
        </w:rPr>
      </w:pPr>
      <w:r>
        <w:rPr>
          <w:spacing w:val="-16"/>
          <w:sz w:val="24"/>
          <w:szCs w:val="24"/>
        </w:rPr>
        <w:t>2.2.4.3.5对施工围挡加强管理。</w:t>
      </w:r>
    </w:p>
    <w:p w14:paraId="64B73568">
      <w:pPr>
        <w:pStyle w:val="2"/>
        <w:spacing w:before="116" w:line="261" w:lineRule="auto"/>
        <w:ind w:left="1456" w:right="1409" w:firstLine="432"/>
        <w:rPr>
          <w:sz w:val="24"/>
          <w:szCs w:val="24"/>
        </w:rPr>
      </w:pPr>
      <w:r>
        <w:rPr>
          <w:spacing w:val="-21"/>
          <w:sz w:val="24"/>
          <w:szCs w:val="24"/>
        </w:rPr>
        <w:t>2.2.4.3.6积极与市交管部门联系，共同制定详细的</w:t>
      </w:r>
      <w:r>
        <w:rPr>
          <w:spacing w:val="-22"/>
          <w:sz w:val="24"/>
          <w:szCs w:val="24"/>
        </w:rPr>
        <w:t>交通管制方案和工作联系制度，提前做</w:t>
      </w:r>
      <w:r>
        <w:rPr>
          <w:spacing w:val="-18"/>
          <w:sz w:val="24"/>
          <w:szCs w:val="24"/>
        </w:rPr>
        <w:t>好预防工作。</w:t>
      </w:r>
    </w:p>
    <w:p w14:paraId="6DDFF5B1">
      <w:pPr>
        <w:pStyle w:val="2"/>
        <w:spacing w:before="120" w:line="263" w:lineRule="auto"/>
        <w:ind w:left="1461" w:right="1410" w:firstLine="427"/>
        <w:rPr>
          <w:sz w:val="24"/>
          <w:szCs w:val="24"/>
        </w:rPr>
      </w:pPr>
      <w:r>
        <w:rPr>
          <w:spacing w:val="-21"/>
          <w:sz w:val="24"/>
          <w:szCs w:val="24"/>
        </w:rPr>
        <w:t>2.2.4.3.7按交管局的要求配备足够的交通协管人员，</w:t>
      </w:r>
      <w:r>
        <w:rPr>
          <w:spacing w:val="-22"/>
          <w:sz w:val="24"/>
          <w:szCs w:val="24"/>
        </w:rPr>
        <w:t>同时根据交通量的大小适当增加人员</w:t>
      </w:r>
      <w:r>
        <w:rPr>
          <w:spacing w:val="-18"/>
          <w:sz w:val="24"/>
          <w:szCs w:val="24"/>
        </w:rPr>
        <w:t>维护交通。</w:t>
      </w:r>
    </w:p>
    <w:p w14:paraId="13ACF490">
      <w:pPr>
        <w:pStyle w:val="2"/>
        <w:spacing w:before="117" w:line="262" w:lineRule="auto"/>
        <w:ind w:left="1455" w:right="1336" w:firstLine="432"/>
        <w:rPr>
          <w:sz w:val="24"/>
          <w:szCs w:val="24"/>
        </w:rPr>
      </w:pPr>
      <w:r>
        <w:rPr>
          <w:spacing w:val="-24"/>
          <w:sz w:val="24"/>
          <w:szCs w:val="24"/>
        </w:rPr>
        <w:t>2.2.4.3.8施工中制作并挂好各种交</w:t>
      </w:r>
      <w:r>
        <w:rPr>
          <w:spacing w:val="-25"/>
          <w:sz w:val="24"/>
          <w:szCs w:val="24"/>
        </w:rPr>
        <w:t>通标志和灯光，包括限速牌、提示牌、净空净高数据牌。</w:t>
      </w:r>
      <w:r>
        <w:rPr>
          <w:spacing w:val="-21"/>
          <w:sz w:val="24"/>
          <w:szCs w:val="24"/>
        </w:rPr>
        <w:t>施工区域和支架上设置灯光，保证夜间对实际及行人的提醒，防</w:t>
      </w:r>
      <w:r>
        <w:rPr>
          <w:spacing w:val="-22"/>
          <w:sz w:val="24"/>
          <w:szCs w:val="24"/>
        </w:rPr>
        <w:t>止冲撞事故发生。</w:t>
      </w:r>
    </w:p>
    <w:p w14:paraId="5A994845">
      <w:pPr>
        <w:pStyle w:val="2"/>
        <w:spacing w:before="119" w:line="261" w:lineRule="auto"/>
        <w:ind w:left="1462" w:right="1409" w:firstLine="426"/>
        <w:rPr>
          <w:sz w:val="24"/>
          <w:szCs w:val="24"/>
        </w:rPr>
      </w:pPr>
      <w:r>
        <w:rPr>
          <w:spacing w:val="-21"/>
          <w:sz w:val="24"/>
          <w:szCs w:val="24"/>
        </w:rPr>
        <w:t>2.2.4.3.9道路占用范围全部采用钢围挡进行封闭施工</w:t>
      </w:r>
      <w:r>
        <w:rPr>
          <w:spacing w:val="-22"/>
          <w:sz w:val="24"/>
          <w:szCs w:val="24"/>
        </w:rPr>
        <w:t>，围挡上安设彩灯，以保证夜间的行</w:t>
      </w:r>
      <w:r>
        <w:rPr>
          <w:spacing w:val="-17"/>
          <w:sz w:val="24"/>
          <w:szCs w:val="24"/>
        </w:rPr>
        <w:t>车安全。</w:t>
      </w:r>
    </w:p>
    <w:p w14:paraId="5D29CAFE">
      <w:pPr>
        <w:pStyle w:val="2"/>
        <w:spacing w:before="121" w:line="217" w:lineRule="auto"/>
        <w:ind w:left="1888"/>
        <w:rPr>
          <w:sz w:val="24"/>
          <w:szCs w:val="24"/>
        </w:rPr>
      </w:pPr>
      <w:r>
        <w:rPr>
          <w:spacing w:val="-19"/>
          <w:sz w:val="24"/>
          <w:szCs w:val="24"/>
        </w:rPr>
        <w:t>2.2.4.3.10支架下方的防撞墙用反光漆刷上斑马线，以提醒司机和行人的注意。</w:t>
      </w:r>
    </w:p>
    <w:p w14:paraId="20BA6DFA">
      <w:pPr>
        <w:pStyle w:val="2"/>
        <w:spacing w:before="119" w:line="219" w:lineRule="auto"/>
        <w:ind w:left="1888"/>
        <w:rPr>
          <w:sz w:val="24"/>
          <w:szCs w:val="24"/>
        </w:rPr>
      </w:pPr>
      <w:r>
        <w:rPr>
          <w:spacing w:val="-18"/>
          <w:sz w:val="24"/>
          <w:szCs w:val="24"/>
        </w:rPr>
        <w:t>2.2施工便道、围挡措施</w:t>
      </w:r>
    </w:p>
    <w:p w14:paraId="4C75B247">
      <w:pPr>
        <w:pStyle w:val="2"/>
        <w:spacing w:before="114" w:line="219" w:lineRule="auto"/>
        <w:ind w:left="1903"/>
        <w:rPr>
          <w:sz w:val="24"/>
          <w:szCs w:val="24"/>
        </w:rPr>
      </w:pPr>
      <w:r>
        <w:rPr>
          <w:spacing w:val="-18"/>
          <w:sz w:val="24"/>
          <w:szCs w:val="24"/>
        </w:rPr>
        <w:t>1、施工便道</w:t>
      </w:r>
    </w:p>
    <w:p w14:paraId="4E61A7A1">
      <w:pPr>
        <w:pStyle w:val="2"/>
        <w:spacing w:before="114" w:line="285" w:lineRule="auto"/>
        <w:ind w:left="1456" w:right="1412" w:firstLine="447"/>
        <w:rPr>
          <w:sz w:val="24"/>
          <w:szCs w:val="24"/>
        </w:rPr>
      </w:pPr>
      <w:r>
        <w:rPr>
          <w:spacing w:val="-18"/>
          <w:sz w:val="24"/>
          <w:szCs w:val="24"/>
        </w:rPr>
        <w:t>1.1便道干线宽度不小于4m；引入线宽度不小于3.5m；每200-300m设一会车道，会车道宽</w:t>
      </w:r>
      <w:r>
        <w:rPr>
          <w:spacing w:val="-20"/>
          <w:sz w:val="24"/>
          <w:szCs w:val="24"/>
        </w:rPr>
        <w:t>度为6m，长度15m。便道结构：底基层可为片石、宕渣、建筑</w:t>
      </w:r>
      <w:r>
        <w:rPr>
          <w:spacing w:val="-21"/>
          <w:sz w:val="24"/>
          <w:szCs w:val="24"/>
        </w:rPr>
        <w:t>垃圾、挖方废渣，面层原则上采用泥结碎石、砂石结构，当有特殊要求时可采用混凝土或钢板便道（钢板厚度不小于20mm）。在软土或水田地带，基层抛填片石或三七灰土换填处理并作必</w:t>
      </w:r>
      <w:r>
        <w:rPr>
          <w:spacing w:val="-22"/>
          <w:sz w:val="24"/>
          <w:szCs w:val="24"/>
        </w:rPr>
        <w:t>要的防护。</w:t>
      </w:r>
    </w:p>
    <w:p w14:paraId="445D7B63">
      <w:pPr>
        <w:pStyle w:val="2"/>
        <w:spacing w:before="122" w:line="215" w:lineRule="auto"/>
        <w:ind w:left="1903"/>
        <w:rPr>
          <w:sz w:val="24"/>
          <w:szCs w:val="24"/>
        </w:rPr>
      </w:pPr>
      <w:r>
        <w:rPr>
          <w:spacing w:val="-19"/>
          <w:sz w:val="24"/>
          <w:szCs w:val="24"/>
        </w:rPr>
        <w:t>1.2便道排水：单车道设单侧排水沟，双车道设双侧排水沟，沟底宽和深度一般为30cm。</w:t>
      </w:r>
    </w:p>
    <w:p w14:paraId="6FB796A1">
      <w:pPr>
        <w:pStyle w:val="2"/>
        <w:spacing w:before="118" w:line="215" w:lineRule="auto"/>
        <w:ind w:left="1903"/>
        <w:rPr>
          <w:sz w:val="24"/>
          <w:szCs w:val="24"/>
        </w:rPr>
      </w:pPr>
      <w:r>
        <w:rPr>
          <w:spacing w:val="-21"/>
          <w:sz w:val="24"/>
          <w:szCs w:val="24"/>
        </w:rPr>
        <w:t>1.3便道围挡：当便道处于市区或行人、车辆较多时，根据需要设置围挡。</w:t>
      </w:r>
    </w:p>
    <w:p w14:paraId="25445E83">
      <w:pPr>
        <w:pStyle w:val="2"/>
        <w:spacing w:before="121" w:line="219" w:lineRule="auto"/>
        <w:ind w:left="1888"/>
        <w:rPr>
          <w:sz w:val="24"/>
          <w:szCs w:val="24"/>
        </w:rPr>
      </w:pPr>
      <w:r>
        <w:rPr>
          <w:spacing w:val="-18"/>
          <w:sz w:val="24"/>
          <w:szCs w:val="24"/>
        </w:rPr>
        <w:t>2、围挡措施</w:t>
      </w:r>
    </w:p>
    <w:p w14:paraId="290064C9">
      <w:pPr>
        <w:pStyle w:val="2"/>
        <w:spacing w:before="117" w:line="215" w:lineRule="auto"/>
        <w:ind w:left="1888"/>
        <w:rPr>
          <w:sz w:val="24"/>
          <w:szCs w:val="24"/>
        </w:rPr>
      </w:pPr>
      <w:r>
        <w:rPr>
          <w:spacing w:val="-20"/>
          <w:sz w:val="24"/>
          <w:szCs w:val="24"/>
        </w:rPr>
        <w:t>2.1采用钢筋网片，安置于施工区域与车辆行驶区域分界线</w:t>
      </w:r>
      <w:r>
        <w:rPr>
          <w:spacing w:val="-21"/>
          <w:sz w:val="24"/>
          <w:szCs w:val="24"/>
        </w:rPr>
        <w:t>上。</w:t>
      </w:r>
    </w:p>
    <w:p w14:paraId="7A8F5F76">
      <w:pPr>
        <w:pStyle w:val="2"/>
        <w:spacing w:before="119" w:line="215" w:lineRule="auto"/>
        <w:ind w:left="1888"/>
        <w:rPr>
          <w:sz w:val="24"/>
          <w:szCs w:val="24"/>
        </w:rPr>
      </w:pPr>
      <w:r>
        <w:rPr>
          <w:spacing w:val="-20"/>
          <w:sz w:val="24"/>
          <w:szCs w:val="24"/>
        </w:rPr>
        <w:t>2.2在围墙上，水平方向等间距贴两道反光膜，</w:t>
      </w:r>
      <w:r>
        <w:rPr>
          <w:spacing w:val="-21"/>
          <w:sz w:val="24"/>
          <w:szCs w:val="24"/>
        </w:rPr>
        <w:t>以保证车辆夜间行驶安全。</w:t>
      </w:r>
    </w:p>
    <w:p w14:paraId="08BD2229">
      <w:pPr>
        <w:pStyle w:val="2"/>
        <w:spacing w:before="121" w:line="215" w:lineRule="auto"/>
        <w:ind w:left="1888"/>
        <w:rPr>
          <w:sz w:val="24"/>
          <w:szCs w:val="24"/>
        </w:rPr>
      </w:pPr>
      <w:r>
        <w:rPr>
          <w:spacing w:val="-21"/>
          <w:sz w:val="24"/>
          <w:szCs w:val="24"/>
        </w:rPr>
        <w:t>2.3在封闭区域两端及交叉路口设置闪光警示灯。</w:t>
      </w:r>
    </w:p>
    <w:p w14:paraId="53B8F07C">
      <w:pPr>
        <w:pStyle w:val="2"/>
        <w:spacing w:before="121" w:line="263" w:lineRule="auto"/>
        <w:ind w:left="1459" w:right="1410" w:firstLine="429"/>
        <w:rPr>
          <w:sz w:val="24"/>
          <w:szCs w:val="24"/>
        </w:rPr>
      </w:pPr>
      <w:r>
        <w:rPr>
          <w:spacing w:val="-23"/>
          <w:sz w:val="24"/>
          <w:szCs w:val="24"/>
        </w:rPr>
        <w:t>2.4十字路口、交叉路口设置各种安全警示牌、车辆行驶导向牌，车流量大的重要路</w:t>
      </w:r>
      <w:r>
        <w:rPr>
          <w:spacing w:val="-24"/>
          <w:sz w:val="24"/>
          <w:szCs w:val="24"/>
        </w:rPr>
        <w:t>口设置</w:t>
      </w:r>
      <w:r>
        <w:rPr>
          <w:spacing w:val="-19"/>
          <w:sz w:val="24"/>
          <w:szCs w:val="24"/>
        </w:rPr>
        <w:t>专人疏导交通。</w:t>
      </w:r>
    </w:p>
    <w:p w14:paraId="54E89070">
      <w:pPr>
        <w:spacing w:line="263" w:lineRule="auto"/>
        <w:rPr>
          <w:sz w:val="24"/>
          <w:szCs w:val="24"/>
        </w:rPr>
        <w:sectPr>
          <w:footerReference r:id="rId349" w:type="default"/>
          <w:pgSz w:w="11907" w:h="16839"/>
          <w:pgMar w:top="933" w:right="4" w:bottom="1038" w:left="0" w:header="478" w:footer="357" w:gutter="0"/>
          <w:pgBorders>
            <w:top w:val="none" w:sz="0" w:space="0"/>
            <w:left w:val="none" w:sz="0" w:space="0"/>
            <w:bottom w:val="none" w:sz="0" w:space="0"/>
            <w:right w:val="none" w:sz="0" w:space="0"/>
          </w:pgBorders>
          <w:cols w:space="720" w:num="1"/>
        </w:sectPr>
      </w:pPr>
    </w:p>
    <w:p w14:paraId="6E5E4FC9">
      <w:pPr>
        <w:spacing w:line="272" w:lineRule="auto"/>
        <w:rPr>
          <w:rFonts w:ascii="Arial"/>
          <w:sz w:val="21"/>
        </w:rPr>
      </w:pPr>
    </w:p>
    <w:p w14:paraId="2E0F8831">
      <w:pPr>
        <w:pStyle w:val="2"/>
        <w:spacing w:before="78" w:line="217" w:lineRule="auto"/>
        <w:ind w:left="1890"/>
        <w:rPr>
          <w:sz w:val="24"/>
          <w:szCs w:val="24"/>
        </w:rPr>
      </w:pPr>
      <w:r>
        <w:rPr>
          <w:spacing w:val="-17"/>
          <w:sz w:val="24"/>
          <w:szCs w:val="24"/>
        </w:rPr>
        <w:t>3、交通维护措施</w:t>
      </w:r>
    </w:p>
    <w:p w14:paraId="16EFDA08">
      <w:pPr>
        <w:pStyle w:val="2"/>
        <w:spacing w:before="118" w:line="261" w:lineRule="auto"/>
        <w:ind w:left="1457" w:right="1335" w:firstLine="433"/>
        <w:rPr>
          <w:sz w:val="24"/>
          <w:szCs w:val="24"/>
        </w:rPr>
      </w:pPr>
      <w:r>
        <w:rPr>
          <w:spacing w:val="-23"/>
          <w:sz w:val="24"/>
          <w:szCs w:val="24"/>
        </w:rPr>
        <w:t>3.1积极与当地各级行政及公安交警部门配合，在规定位置与本工程各通道与地方道路交汇</w:t>
      </w:r>
      <w:r>
        <w:rPr>
          <w:spacing w:val="-25"/>
          <w:sz w:val="24"/>
          <w:szCs w:val="24"/>
        </w:rPr>
        <w:t>处和入口设置施工围蔽和交通标志牌，指示过往行人、车</w:t>
      </w:r>
      <w:r>
        <w:rPr>
          <w:spacing w:val="-26"/>
          <w:sz w:val="24"/>
          <w:szCs w:val="24"/>
        </w:rPr>
        <w:t>辆通行,各通道入口处夜间设置警示灯。</w:t>
      </w:r>
    </w:p>
    <w:p w14:paraId="5A74EA7D">
      <w:pPr>
        <w:pStyle w:val="2"/>
        <w:spacing w:before="121" w:line="263" w:lineRule="auto"/>
        <w:ind w:left="1459" w:right="1409" w:firstLine="431"/>
        <w:rPr>
          <w:sz w:val="24"/>
          <w:szCs w:val="24"/>
        </w:rPr>
      </w:pPr>
      <w:r>
        <w:rPr>
          <w:spacing w:val="-23"/>
          <w:sz w:val="24"/>
          <w:szCs w:val="24"/>
        </w:rPr>
        <w:t>3.2防止车辆及非施工人员进入施工现场，在施工护栏上及</w:t>
      </w:r>
      <w:r>
        <w:rPr>
          <w:spacing w:val="-24"/>
          <w:sz w:val="24"/>
          <w:szCs w:val="24"/>
        </w:rPr>
        <w:t>施工区前来车方向设置警示标志</w:t>
      </w:r>
      <w:r>
        <w:rPr>
          <w:spacing w:val="-19"/>
          <w:sz w:val="24"/>
          <w:szCs w:val="24"/>
        </w:rPr>
        <w:t>及警示灯,以策安全。</w:t>
      </w:r>
    </w:p>
    <w:p w14:paraId="08740CD4">
      <w:pPr>
        <w:pStyle w:val="2"/>
        <w:spacing w:before="115" w:line="215" w:lineRule="auto"/>
        <w:ind w:left="1890"/>
        <w:rPr>
          <w:sz w:val="24"/>
          <w:szCs w:val="24"/>
        </w:rPr>
      </w:pPr>
      <w:r>
        <w:rPr>
          <w:spacing w:val="-20"/>
          <w:sz w:val="24"/>
          <w:szCs w:val="24"/>
        </w:rPr>
        <w:t>3.3设专职交通协管人员，疏解现场车辆通行，保证临时</w:t>
      </w:r>
      <w:r>
        <w:rPr>
          <w:spacing w:val="-21"/>
          <w:sz w:val="24"/>
          <w:szCs w:val="24"/>
        </w:rPr>
        <w:t>交通通道顺畅。</w:t>
      </w:r>
    </w:p>
    <w:p w14:paraId="502C860E">
      <w:pPr>
        <w:pStyle w:val="2"/>
        <w:spacing w:before="120" w:line="263" w:lineRule="auto"/>
        <w:ind w:left="1459" w:right="1409" w:firstLine="431"/>
        <w:rPr>
          <w:sz w:val="24"/>
          <w:szCs w:val="24"/>
        </w:rPr>
      </w:pPr>
      <w:r>
        <w:rPr>
          <w:spacing w:val="-23"/>
          <w:sz w:val="24"/>
          <w:szCs w:val="24"/>
        </w:rPr>
        <w:t>3.4施工材料堆放及机械设备的停放一律在施工范围内，不占用行车通道，确保车辆顺利通</w:t>
      </w:r>
      <w:r>
        <w:rPr>
          <w:spacing w:val="-19"/>
          <w:sz w:val="24"/>
          <w:szCs w:val="24"/>
        </w:rPr>
        <w:t>过，不阻塞交通。</w:t>
      </w:r>
    </w:p>
    <w:p w14:paraId="540FA22A">
      <w:pPr>
        <w:pStyle w:val="2"/>
        <w:spacing w:before="116" w:line="215" w:lineRule="auto"/>
        <w:ind w:left="1890"/>
        <w:rPr>
          <w:sz w:val="24"/>
          <w:szCs w:val="24"/>
        </w:rPr>
      </w:pPr>
      <w:r>
        <w:rPr>
          <w:spacing w:val="-21"/>
          <w:sz w:val="24"/>
          <w:szCs w:val="24"/>
        </w:rPr>
        <w:t>3.5科学安排工地的车辆出入工地。安排工地的运输车辆尽量在晚上交通低峰期出入工地。</w:t>
      </w:r>
    </w:p>
    <w:p w14:paraId="06FCC70E">
      <w:pPr>
        <w:pStyle w:val="2"/>
        <w:spacing w:before="121" w:line="263" w:lineRule="auto"/>
        <w:ind w:left="1481" w:right="1409" w:firstLine="408"/>
        <w:rPr>
          <w:sz w:val="24"/>
          <w:szCs w:val="24"/>
        </w:rPr>
      </w:pPr>
      <w:r>
        <w:rPr>
          <w:spacing w:val="-23"/>
          <w:sz w:val="24"/>
          <w:szCs w:val="24"/>
        </w:rPr>
        <w:t>3.6在施工范围的路口处设置明显的交通标志，引导车辆渠化分流，交通标志所用材料采用</w:t>
      </w:r>
      <w:r>
        <w:rPr>
          <w:spacing w:val="-22"/>
          <w:sz w:val="24"/>
          <w:szCs w:val="24"/>
        </w:rPr>
        <w:t>当地交通设施标志指定用材，交通疏解员分班全天候疏导交通。</w:t>
      </w:r>
    </w:p>
    <w:p w14:paraId="21159A79">
      <w:pPr>
        <w:pStyle w:val="2"/>
        <w:spacing w:before="114" w:line="285" w:lineRule="auto"/>
        <w:ind w:left="1457" w:right="1411" w:firstLine="433"/>
        <w:rPr>
          <w:sz w:val="24"/>
          <w:szCs w:val="24"/>
        </w:rPr>
      </w:pPr>
      <w:r>
        <w:rPr>
          <w:spacing w:val="-22"/>
          <w:sz w:val="24"/>
          <w:szCs w:val="24"/>
        </w:rPr>
        <w:t>3.7施工期间，我部成立疏导小组，设组长1名，副组长3名，组员若干名，维持交通，三</w:t>
      </w:r>
      <w:r>
        <w:rPr>
          <w:spacing w:val="-20"/>
          <w:sz w:val="24"/>
          <w:szCs w:val="24"/>
        </w:rPr>
        <w:t>班制轮流换班，交通疏解小组每天由组长根据项目总工的进度安排布置交通组织方案，副组长负责各自管理范围内交通组织落实、管理、巡查。发现有阻碍交通的障碍物或道路损坏时，及</w:t>
      </w:r>
      <w:r>
        <w:rPr>
          <w:spacing w:val="-21"/>
          <w:sz w:val="24"/>
          <w:szCs w:val="24"/>
        </w:rPr>
        <w:t>时进行清理或维修。处理不了的问题，及时反馈到项目</w:t>
      </w:r>
      <w:r>
        <w:rPr>
          <w:spacing w:val="-22"/>
          <w:sz w:val="24"/>
          <w:szCs w:val="24"/>
        </w:rPr>
        <w:t>经理部并与交警部门沟通解决。</w:t>
      </w:r>
    </w:p>
    <w:p w14:paraId="26B56E61">
      <w:pPr>
        <w:pStyle w:val="2"/>
        <w:spacing w:before="122" w:line="289" w:lineRule="auto"/>
        <w:ind w:left="1455" w:right="1410" w:firstLine="434"/>
        <w:rPr>
          <w:sz w:val="24"/>
          <w:szCs w:val="24"/>
        </w:rPr>
      </w:pPr>
      <w:r>
        <w:rPr>
          <w:spacing w:val="-23"/>
          <w:sz w:val="24"/>
          <w:szCs w:val="24"/>
        </w:rPr>
        <w:t>3.8路口设置明显的交通标志，指挥车辆渠化分流。交通疏导员分班全天侯指挥交通，上班</w:t>
      </w:r>
      <w:r>
        <w:rPr>
          <w:spacing w:val="-20"/>
          <w:sz w:val="24"/>
          <w:szCs w:val="24"/>
        </w:rPr>
        <w:t>时穿反光马甲佩戴袖章，装备指挥旗和对讲机，按交通知识牌和交警部门批准的疏导方案指挥车辆行使。建立与交警部门联系的直通道，即使反映现场交通情况。在节假日、上下班高峰期请交警到现场帮助指挥，当遇到严重堵车时，及时请交警到现场指挥并按应急方案进行分流。</w:t>
      </w:r>
      <w:r>
        <w:rPr>
          <w:spacing w:val="-22"/>
          <w:sz w:val="24"/>
          <w:szCs w:val="24"/>
        </w:rPr>
        <w:t>施工现场合理地安排进出车道，工程车严格按指示和指挥行使，礼让其他车辆。</w:t>
      </w:r>
    </w:p>
    <w:p w14:paraId="464E3C08">
      <w:pPr>
        <w:pStyle w:val="2"/>
        <w:spacing w:before="119" w:line="217" w:lineRule="auto"/>
        <w:ind w:left="1890"/>
        <w:rPr>
          <w:sz w:val="24"/>
          <w:szCs w:val="24"/>
        </w:rPr>
      </w:pPr>
      <w:r>
        <w:rPr>
          <w:spacing w:val="-20"/>
          <w:sz w:val="24"/>
          <w:szCs w:val="24"/>
        </w:rPr>
        <w:t>3.9加强与当地政府、沿线单位的沟通联系，</w:t>
      </w:r>
      <w:r>
        <w:rPr>
          <w:spacing w:val="-21"/>
          <w:sz w:val="24"/>
          <w:szCs w:val="24"/>
        </w:rPr>
        <w:t>听取他们的意见，得到他们的支持。</w:t>
      </w:r>
    </w:p>
    <w:p w14:paraId="7887E18E">
      <w:pPr>
        <w:pStyle w:val="2"/>
        <w:spacing w:before="118" w:line="217" w:lineRule="auto"/>
        <w:ind w:left="1884"/>
        <w:rPr>
          <w:sz w:val="24"/>
          <w:szCs w:val="24"/>
        </w:rPr>
      </w:pPr>
      <w:r>
        <w:rPr>
          <w:spacing w:val="-17"/>
          <w:sz w:val="24"/>
          <w:szCs w:val="24"/>
        </w:rPr>
        <w:t>4、交通保证措施</w:t>
      </w:r>
    </w:p>
    <w:p w14:paraId="40EE881E">
      <w:pPr>
        <w:pStyle w:val="2"/>
        <w:spacing w:before="120" w:line="215" w:lineRule="auto"/>
        <w:ind w:left="1898"/>
        <w:rPr>
          <w:sz w:val="24"/>
          <w:szCs w:val="24"/>
        </w:rPr>
      </w:pPr>
      <w:r>
        <w:rPr>
          <w:spacing w:val="-21"/>
          <w:sz w:val="24"/>
          <w:szCs w:val="24"/>
        </w:rPr>
        <w:t>交通疏导领导小组组织机构框图在施工中为</w:t>
      </w:r>
      <w:r>
        <w:rPr>
          <w:spacing w:val="-22"/>
          <w:sz w:val="24"/>
          <w:szCs w:val="24"/>
        </w:rPr>
        <w:t>不影响正常交通，我项目部制定以下措施：</w:t>
      </w:r>
    </w:p>
    <w:p w14:paraId="66421EA8">
      <w:pPr>
        <w:pStyle w:val="2"/>
        <w:spacing w:before="118" w:line="216" w:lineRule="auto"/>
        <w:ind w:left="1884"/>
        <w:rPr>
          <w:sz w:val="24"/>
          <w:szCs w:val="24"/>
        </w:rPr>
      </w:pPr>
      <w:r>
        <w:rPr>
          <w:spacing w:val="-19"/>
          <w:sz w:val="24"/>
          <w:szCs w:val="24"/>
        </w:rPr>
        <w:t>4.1材料堆放以施工现场合理交通为原则</w:t>
      </w:r>
      <w:r>
        <w:rPr>
          <w:spacing w:val="-20"/>
          <w:sz w:val="24"/>
          <w:szCs w:val="24"/>
        </w:rPr>
        <w:t>,切留出防火通道。</w:t>
      </w:r>
    </w:p>
    <w:p w14:paraId="44AE3FB8">
      <w:pPr>
        <w:pStyle w:val="2"/>
        <w:spacing w:before="121" w:line="215" w:lineRule="auto"/>
        <w:ind w:left="1884"/>
        <w:rPr>
          <w:sz w:val="24"/>
          <w:szCs w:val="24"/>
        </w:rPr>
      </w:pPr>
      <w:r>
        <w:rPr>
          <w:spacing w:val="-20"/>
          <w:sz w:val="24"/>
          <w:szCs w:val="24"/>
        </w:rPr>
        <w:t>4.2施工车辆进出现场避开交通高峰。</w:t>
      </w:r>
    </w:p>
    <w:p w14:paraId="25FE1D5A">
      <w:pPr>
        <w:pStyle w:val="2"/>
        <w:spacing w:before="121" w:line="215" w:lineRule="auto"/>
        <w:ind w:left="1884"/>
        <w:rPr>
          <w:sz w:val="24"/>
          <w:szCs w:val="24"/>
        </w:rPr>
      </w:pPr>
      <w:r>
        <w:rPr>
          <w:spacing w:val="-18"/>
          <w:sz w:val="24"/>
          <w:szCs w:val="24"/>
        </w:rPr>
        <w:t>4.3施工现场车辆配专人管理。</w:t>
      </w:r>
    </w:p>
    <w:p w14:paraId="02C3B733">
      <w:pPr>
        <w:pStyle w:val="2"/>
        <w:spacing w:before="119" w:line="215" w:lineRule="auto"/>
        <w:ind w:left="1884"/>
        <w:rPr>
          <w:sz w:val="24"/>
          <w:szCs w:val="24"/>
        </w:rPr>
      </w:pPr>
      <w:r>
        <w:rPr>
          <w:spacing w:val="-20"/>
          <w:sz w:val="24"/>
          <w:szCs w:val="24"/>
        </w:rPr>
        <w:t>4.4项目部设专人协调车辆运营情况,保证不影响正常交通。</w:t>
      </w:r>
    </w:p>
    <w:p w14:paraId="6CF53DA1">
      <w:pPr>
        <w:pStyle w:val="2"/>
        <w:spacing w:before="121" w:line="215" w:lineRule="auto"/>
        <w:ind w:left="1884"/>
        <w:rPr>
          <w:sz w:val="24"/>
          <w:szCs w:val="24"/>
        </w:rPr>
      </w:pPr>
      <w:r>
        <w:rPr>
          <w:spacing w:val="-21"/>
          <w:sz w:val="24"/>
          <w:szCs w:val="24"/>
        </w:rPr>
        <w:t>4.5主动与交管部门联系提前办理施工车辆通行证，保证施工顺利进行且不影响正常交通。</w:t>
      </w:r>
    </w:p>
    <w:p w14:paraId="0E1C6BFB">
      <w:pPr>
        <w:pStyle w:val="2"/>
        <w:spacing w:before="122" w:line="216" w:lineRule="auto"/>
        <w:ind w:left="1884"/>
        <w:rPr>
          <w:sz w:val="24"/>
          <w:szCs w:val="24"/>
        </w:rPr>
      </w:pPr>
      <w:r>
        <w:rPr>
          <w:spacing w:val="-20"/>
          <w:sz w:val="24"/>
          <w:szCs w:val="24"/>
        </w:rPr>
        <w:t>4.6及时了解市区内各大型活动时间，避开交通管制期间材料运</w:t>
      </w:r>
      <w:r>
        <w:rPr>
          <w:spacing w:val="-21"/>
          <w:sz w:val="24"/>
          <w:szCs w:val="24"/>
        </w:rPr>
        <w:t>输。</w:t>
      </w:r>
    </w:p>
    <w:p w14:paraId="0D13B01B">
      <w:pPr>
        <w:pStyle w:val="2"/>
        <w:spacing w:before="117" w:line="262" w:lineRule="auto"/>
        <w:ind w:left="1455" w:right="1370" w:firstLine="429"/>
        <w:rPr>
          <w:sz w:val="24"/>
          <w:szCs w:val="24"/>
        </w:rPr>
      </w:pPr>
      <w:r>
        <w:rPr>
          <w:spacing w:val="-22"/>
          <w:sz w:val="24"/>
          <w:szCs w:val="24"/>
        </w:rPr>
        <w:t>4.7警示牌、导向牌在相关路口按要求设置，施工中应加强交通安全维护与施工安全防护。</w:t>
      </w:r>
      <w:r>
        <w:rPr>
          <w:spacing w:val="-21"/>
          <w:sz w:val="24"/>
          <w:szCs w:val="24"/>
        </w:rPr>
        <w:t>标识标牌制作、反光膜粘贴等实行车间作业，现场安装。</w:t>
      </w:r>
    </w:p>
    <w:p w14:paraId="73679BFC">
      <w:pPr>
        <w:pStyle w:val="2"/>
        <w:spacing w:before="120" w:line="217" w:lineRule="auto"/>
        <w:ind w:left="1888"/>
        <w:rPr>
          <w:sz w:val="24"/>
          <w:szCs w:val="24"/>
        </w:rPr>
      </w:pPr>
      <w:r>
        <w:rPr>
          <w:spacing w:val="-17"/>
          <w:sz w:val="24"/>
          <w:szCs w:val="24"/>
        </w:rPr>
        <w:t>2.3交通导行方案</w:t>
      </w:r>
    </w:p>
    <w:p w14:paraId="4DC41A33">
      <w:pPr>
        <w:pStyle w:val="2"/>
        <w:spacing w:before="116" w:line="308" w:lineRule="auto"/>
        <w:ind w:left="1455" w:right="1411" w:firstLine="436"/>
        <w:jc w:val="both"/>
        <w:rPr>
          <w:sz w:val="24"/>
          <w:szCs w:val="24"/>
        </w:rPr>
      </w:pPr>
      <w:r>
        <w:rPr>
          <w:spacing w:val="-21"/>
          <w:sz w:val="24"/>
          <w:szCs w:val="24"/>
        </w:rPr>
        <w:t>施工中必须严格执行国务院393号令《建设工程安全生产管理条例》，必须严格执行市建</w:t>
      </w:r>
      <w:r>
        <w:rPr>
          <w:spacing w:val="-20"/>
          <w:sz w:val="24"/>
          <w:szCs w:val="24"/>
        </w:rPr>
        <w:t>设工程扬尘污染防治暂行规定，施工现场卫生保洁自开工至工程竣工卫生移交。工程施工中，建立专职文明安全施工领导机构，负责文明施工和安全施工的安排、指导、监督；所有施工工</w:t>
      </w:r>
      <w:r>
        <w:rPr>
          <w:spacing w:val="-22"/>
          <w:sz w:val="24"/>
          <w:szCs w:val="24"/>
        </w:rPr>
        <w:t>地严格落实标准化围挡（3米高度，外观干净整洁）并沿围挡每隔（最大）5米</w:t>
      </w:r>
      <w:r>
        <w:rPr>
          <w:spacing w:val="-23"/>
          <w:sz w:val="24"/>
          <w:szCs w:val="24"/>
        </w:rPr>
        <w:t>设自动喷淋降尘</w:t>
      </w:r>
    </w:p>
    <w:p w14:paraId="0FCF2EFC">
      <w:pPr>
        <w:spacing w:line="308" w:lineRule="auto"/>
        <w:rPr>
          <w:sz w:val="24"/>
          <w:szCs w:val="24"/>
        </w:rPr>
        <w:sectPr>
          <w:footerReference r:id="rId350" w:type="default"/>
          <w:pgSz w:w="11907" w:h="16839"/>
          <w:pgMar w:top="933" w:right="4" w:bottom="1038" w:left="0" w:header="478" w:footer="357" w:gutter="0"/>
          <w:pgBorders>
            <w:top w:val="none" w:sz="0" w:space="0"/>
            <w:left w:val="none" w:sz="0" w:space="0"/>
            <w:bottom w:val="none" w:sz="0" w:space="0"/>
            <w:right w:val="none" w:sz="0" w:space="0"/>
          </w:pgBorders>
          <w:cols w:space="720" w:num="1"/>
        </w:sectPr>
      </w:pPr>
    </w:p>
    <w:p w14:paraId="01A87564">
      <w:pPr>
        <w:spacing w:line="266" w:lineRule="auto"/>
        <w:rPr>
          <w:rFonts w:ascii="Arial"/>
          <w:sz w:val="21"/>
        </w:rPr>
      </w:pPr>
    </w:p>
    <w:p w14:paraId="0909D135">
      <w:pPr>
        <w:pStyle w:val="2"/>
        <w:spacing w:before="78" w:line="308" w:lineRule="auto"/>
        <w:ind w:left="1455" w:right="1342" w:firstLine="10"/>
        <w:jc w:val="both"/>
        <w:rPr>
          <w:sz w:val="24"/>
          <w:szCs w:val="24"/>
        </w:rPr>
      </w:pPr>
      <w:r>
        <w:rPr>
          <w:spacing w:val="-20"/>
          <w:sz w:val="24"/>
          <w:szCs w:val="24"/>
        </w:rPr>
        <w:t>系统，落实出入口自动冲洗平台、出入口硬化、工地内临时道路硬化、视频监控及扬尘自动监控系统等各项扬尘污染防治措施，经主管部门验收合格后方可开工（或续工）建设。施工工地</w:t>
      </w:r>
      <w:r>
        <w:rPr>
          <w:spacing w:val="-19"/>
          <w:sz w:val="24"/>
          <w:szCs w:val="24"/>
        </w:rPr>
        <w:t>自动喷淋降尘系统须在7：00—22:00实施连续喷淋。</w:t>
      </w:r>
      <w:r>
        <w:rPr>
          <w:spacing w:val="-20"/>
          <w:sz w:val="24"/>
          <w:szCs w:val="24"/>
        </w:rPr>
        <w:t>当出现以下情况，由大气办发布通知，实</w:t>
      </w:r>
      <w:r>
        <w:rPr>
          <w:spacing w:val="-18"/>
          <w:sz w:val="24"/>
          <w:szCs w:val="24"/>
        </w:rPr>
        <w:t>施临时管控：①当扬尘自动监控系统PM10超过7</w:t>
      </w:r>
      <w:r>
        <w:rPr>
          <w:spacing w:val="-19"/>
          <w:sz w:val="24"/>
          <w:szCs w:val="24"/>
        </w:rPr>
        <w:t>5微克/立方米时，工地（含渣土运输）必须停</w:t>
      </w:r>
      <w:r>
        <w:rPr>
          <w:spacing w:val="-20"/>
          <w:sz w:val="24"/>
          <w:szCs w:val="24"/>
        </w:rPr>
        <w:t>工、停运，并加强施工场区的洒水、喷雾等降尘措施；②当风力达四级及以上时，禁止土石方挖填和转运、爆破和建（构）筑物拆除、路基工程施工、路面整修施工、施工现场沥青溶化等作业。工地内裸露黄土不施工时须做到全覆盖；车辆冲洗干净后方可驶出工地，不得先污染后清理；禁止有污染车辆进入工地，否则对工地方予以处理；工地内部道路及物料堆放区域必须</w:t>
      </w:r>
      <w:r>
        <w:rPr>
          <w:spacing w:val="-19"/>
          <w:sz w:val="24"/>
          <w:szCs w:val="24"/>
        </w:rPr>
        <w:t>严格落实常态保洁、洒水保湿和覆盖等降尘措施。对取土作业、爆破</w:t>
      </w:r>
      <w:r>
        <w:rPr>
          <w:spacing w:val="-20"/>
          <w:sz w:val="24"/>
          <w:szCs w:val="24"/>
        </w:rPr>
        <w:t>和建（构）筑物拆除等，</w:t>
      </w:r>
      <w:r>
        <w:rPr>
          <w:spacing w:val="-23"/>
          <w:sz w:val="24"/>
          <w:szCs w:val="24"/>
        </w:rPr>
        <w:t>必须持续开启雾炮车实施喷雾降尘。（施工现场项目部、工地进出入口</w:t>
      </w:r>
      <w:r>
        <w:rPr>
          <w:spacing w:val="-24"/>
          <w:sz w:val="24"/>
          <w:szCs w:val="24"/>
        </w:rPr>
        <w:t>处（或道路重要交口）、</w:t>
      </w:r>
      <w:r>
        <w:rPr>
          <w:spacing w:val="-18"/>
          <w:sz w:val="24"/>
          <w:szCs w:val="24"/>
        </w:rPr>
        <w:t>工程重要施工节点必须设置视频探头、PM2.5检测仪，道路每增加1公里，其视频探头及PM2.5</w:t>
      </w:r>
      <w:r>
        <w:rPr>
          <w:spacing w:val="-20"/>
          <w:sz w:val="24"/>
          <w:szCs w:val="24"/>
        </w:rPr>
        <w:t>检测仪相应各增加一台；对公路工程取土区域作业时，须持续开启雾炮车喷雾降尘，出入工地</w:t>
      </w:r>
      <w:r>
        <w:rPr>
          <w:spacing w:val="-21"/>
          <w:sz w:val="24"/>
          <w:szCs w:val="24"/>
        </w:rPr>
        <w:t>车辆冲洗干净后方可驶出；工地内黄土、建筑材料集中对方区域超过24小时不施工的须做到全</w:t>
      </w:r>
      <w:r>
        <w:rPr>
          <w:spacing w:val="-22"/>
          <w:sz w:val="24"/>
          <w:szCs w:val="24"/>
        </w:rPr>
        <w:t>覆盖，如土方临时堆放点、材料堆放区域、设计绿化带区域须绿网全覆盖</w:t>
      </w:r>
      <w:r>
        <w:rPr>
          <w:spacing w:val="-3"/>
          <w:sz w:val="24"/>
          <w:szCs w:val="24"/>
        </w:rPr>
        <w:t>）；</w:t>
      </w:r>
    </w:p>
    <w:p w14:paraId="7235431C">
      <w:pPr>
        <w:pStyle w:val="2"/>
        <w:spacing w:before="2" w:line="307" w:lineRule="auto"/>
        <w:ind w:left="1456" w:right="1430" w:firstLine="445"/>
        <w:rPr>
          <w:sz w:val="24"/>
          <w:szCs w:val="24"/>
        </w:rPr>
      </w:pPr>
      <w:r>
        <w:rPr>
          <w:spacing w:val="-20"/>
          <w:sz w:val="24"/>
          <w:szCs w:val="24"/>
        </w:rPr>
        <w:t>为更好的引导车辆和保证施工的安全，针对上述情况，经实地</w:t>
      </w:r>
      <w:r>
        <w:rPr>
          <w:spacing w:val="-21"/>
          <w:sz w:val="24"/>
          <w:szCs w:val="24"/>
        </w:rPr>
        <w:t>踏勘，我公司拟先采用半幅</w:t>
      </w:r>
      <w:r>
        <w:rPr>
          <w:spacing w:val="-20"/>
          <w:sz w:val="24"/>
          <w:szCs w:val="24"/>
        </w:rPr>
        <w:t>拆除现状机非车道、分隔带、人行道、路灯后封闭，后另半幅机动车道封闭的</w:t>
      </w:r>
      <w:r>
        <w:rPr>
          <w:spacing w:val="-21"/>
          <w:sz w:val="24"/>
          <w:szCs w:val="24"/>
        </w:rPr>
        <w:t>方案组织施工。具体封闭及导行方案在上报交通行政主管部门及市政工程行政</w:t>
      </w:r>
      <w:r>
        <w:rPr>
          <w:spacing w:val="-22"/>
          <w:sz w:val="24"/>
          <w:szCs w:val="24"/>
        </w:rPr>
        <w:t>主管部门批示后执行：</w:t>
      </w:r>
    </w:p>
    <w:p w14:paraId="5CC64983">
      <w:pPr>
        <w:pStyle w:val="2"/>
        <w:spacing w:line="216" w:lineRule="auto"/>
        <w:ind w:left="1884"/>
        <w:rPr>
          <w:sz w:val="24"/>
          <w:szCs w:val="24"/>
        </w:rPr>
      </w:pPr>
      <w:r>
        <w:rPr>
          <w:spacing w:val="-17"/>
          <w:sz w:val="24"/>
          <w:szCs w:val="24"/>
        </w:rPr>
        <w:t>4、导行措施</w:t>
      </w:r>
    </w:p>
    <w:p w14:paraId="050A5DF7">
      <w:pPr>
        <w:pStyle w:val="2"/>
        <w:spacing w:before="118" w:line="219" w:lineRule="auto"/>
        <w:ind w:left="1884"/>
        <w:rPr>
          <w:sz w:val="24"/>
          <w:szCs w:val="24"/>
        </w:rPr>
      </w:pPr>
      <w:r>
        <w:rPr>
          <w:spacing w:val="-13"/>
          <w:sz w:val="24"/>
          <w:szCs w:val="24"/>
        </w:rPr>
        <w:t>4.1施工围挡</w:t>
      </w:r>
    </w:p>
    <w:p w14:paraId="4DB7C93A">
      <w:pPr>
        <w:pStyle w:val="2"/>
        <w:spacing w:before="117" w:line="215" w:lineRule="auto"/>
        <w:ind w:left="1895"/>
        <w:rPr>
          <w:sz w:val="24"/>
          <w:szCs w:val="24"/>
        </w:rPr>
      </w:pPr>
      <w:r>
        <w:rPr>
          <w:spacing w:val="-19"/>
          <w:sz w:val="24"/>
          <w:szCs w:val="24"/>
        </w:rPr>
        <w:t>在施工中施工区域用标准硬质围挡进行封闭，在管槽开挖时，最内侧的围挡距</w:t>
      </w:r>
      <w:r>
        <w:rPr>
          <w:spacing w:val="-20"/>
          <w:sz w:val="24"/>
          <w:szCs w:val="24"/>
        </w:rPr>
        <w:t>管槽不小于</w:t>
      </w:r>
    </w:p>
    <w:p w14:paraId="2EB91444">
      <w:pPr>
        <w:pStyle w:val="2"/>
        <w:spacing w:before="119" w:line="216" w:lineRule="auto"/>
        <w:ind w:left="1450"/>
        <w:rPr>
          <w:sz w:val="24"/>
          <w:szCs w:val="24"/>
        </w:rPr>
      </w:pPr>
      <w:r>
        <w:rPr>
          <w:spacing w:val="-20"/>
          <w:sz w:val="24"/>
          <w:szCs w:val="24"/>
        </w:rPr>
        <w:t>0.5米。围挡搭设整齐牢固、并按照规定设置警示和标识。</w:t>
      </w:r>
    </w:p>
    <w:p w14:paraId="63807C2B">
      <w:pPr>
        <w:pStyle w:val="2"/>
        <w:spacing w:before="120" w:line="216" w:lineRule="auto"/>
        <w:ind w:left="1884"/>
        <w:rPr>
          <w:sz w:val="24"/>
          <w:szCs w:val="24"/>
        </w:rPr>
      </w:pPr>
      <w:r>
        <w:rPr>
          <w:spacing w:val="-15"/>
          <w:sz w:val="24"/>
          <w:szCs w:val="24"/>
        </w:rPr>
        <w:t>4.2布设警示灯</w:t>
      </w:r>
    </w:p>
    <w:p w14:paraId="4C737642">
      <w:pPr>
        <w:pStyle w:val="2"/>
        <w:spacing w:before="120" w:line="261" w:lineRule="auto"/>
        <w:ind w:left="1480" w:right="1409" w:firstLine="403"/>
        <w:rPr>
          <w:sz w:val="24"/>
          <w:szCs w:val="24"/>
        </w:rPr>
      </w:pPr>
      <w:r>
        <w:rPr>
          <w:spacing w:val="-21"/>
          <w:sz w:val="24"/>
          <w:szCs w:val="24"/>
        </w:rPr>
        <w:t>4.2.1围挡上方每隔6米布设一盏低压警</w:t>
      </w:r>
      <w:r>
        <w:rPr>
          <w:spacing w:val="-22"/>
          <w:sz w:val="24"/>
          <w:szCs w:val="24"/>
        </w:rPr>
        <w:t>示红灯，用绝缘线缆及绝缘绑线，将标志灯固定在围挡支架布设的小方木上。</w:t>
      </w:r>
    </w:p>
    <w:p w14:paraId="22739D9D">
      <w:pPr>
        <w:pStyle w:val="2"/>
        <w:spacing w:before="122" w:line="262" w:lineRule="auto"/>
        <w:ind w:left="1458" w:right="1409" w:firstLine="426"/>
        <w:rPr>
          <w:sz w:val="24"/>
          <w:szCs w:val="24"/>
        </w:rPr>
      </w:pPr>
      <w:r>
        <w:rPr>
          <w:spacing w:val="-22"/>
          <w:sz w:val="24"/>
          <w:szCs w:val="24"/>
        </w:rPr>
        <w:t>4.2.2在施工区域入口及路口拐弯处设置交通警示灯并保证足</w:t>
      </w:r>
      <w:r>
        <w:rPr>
          <w:spacing w:val="-23"/>
          <w:sz w:val="24"/>
          <w:szCs w:val="24"/>
        </w:rPr>
        <w:t>够的照明，以确保过往车辆及</w:t>
      </w:r>
      <w:r>
        <w:rPr>
          <w:spacing w:val="-22"/>
          <w:sz w:val="24"/>
          <w:szCs w:val="24"/>
        </w:rPr>
        <w:t>行人的通行安全。</w:t>
      </w:r>
    </w:p>
    <w:p w14:paraId="016B7F29">
      <w:pPr>
        <w:pStyle w:val="2"/>
        <w:spacing w:before="116" w:line="217" w:lineRule="auto"/>
        <w:ind w:left="1884"/>
        <w:rPr>
          <w:sz w:val="24"/>
          <w:szCs w:val="24"/>
        </w:rPr>
      </w:pPr>
      <w:r>
        <w:rPr>
          <w:spacing w:val="-18"/>
          <w:sz w:val="24"/>
          <w:szCs w:val="24"/>
        </w:rPr>
        <w:t>4.3设置导行牌及警示标志</w:t>
      </w:r>
    </w:p>
    <w:p w14:paraId="3E149501">
      <w:pPr>
        <w:pStyle w:val="2"/>
        <w:spacing w:before="118" w:line="263" w:lineRule="auto"/>
        <w:ind w:left="1455" w:right="1412" w:firstLine="429"/>
        <w:rPr>
          <w:sz w:val="24"/>
          <w:szCs w:val="24"/>
        </w:rPr>
      </w:pPr>
      <w:r>
        <w:rPr>
          <w:spacing w:val="-22"/>
          <w:sz w:val="24"/>
          <w:szCs w:val="24"/>
        </w:rPr>
        <w:t>4.3.1在东西两侧的路口及施工区域入口处分别设置醒</w:t>
      </w:r>
      <w:r>
        <w:rPr>
          <w:spacing w:val="-23"/>
          <w:sz w:val="24"/>
          <w:szCs w:val="24"/>
        </w:rPr>
        <w:t>目的交通导行标志牌，及早对过往车</w:t>
      </w:r>
      <w:r>
        <w:rPr>
          <w:spacing w:val="-19"/>
          <w:sz w:val="24"/>
          <w:szCs w:val="24"/>
        </w:rPr>
        <w:t>辆进行警示和疏导。</w:t>
      </w:r>
    </w:p>
    <w:p w14:paraId="2EEB29C4">
      <w:pPr>
        <w:pStyle w:val="2"/>
        <w:spacing w:before="117" w:line="216" w:lineRule="auto"/>
        <w:ind w:left="1884"/>
        <w:rPr>
          <w:sz w:val="24"/>
          <w:szCs w:val="24"/>
        </w:rPr>
      </w:pPr>
      <w:r>
        <w:rPr>
          <w:spacing w:val="-19"/>
          <w:sz w:val="24"/>
          <w:szCs w:val="24"/>
        </w:rPr>
        <w:t>4.3.2围挡外侧及东西两侧30米外处分别用隔离桩警示隔离，并安放导向箭头指示灯。</w:t>
      </w:r>
    </w:p>
    <w:p w14:paraId="5EC15699">
      <w:pPr>
        <w:pStyle w:val="2"/>
        <w:spacing w:before="119" w:line="220" w:lineRule="auto"/>
        <w:ind w:left="1890"/>
        <w:rPr>
          <w:sz w:val="24"/>
          <w:szCs w:val="24"/>
        </w:rPr>
      </w:pPr>
      <w:r>
        <w:rPr>
          <w:spacing w:val="-18"/>
          <w:sz w:val="24"/>
          <w:szCs w:val="24"/>
        </w:rPr>
        <w:t>5、设置专人疏导交通</w:t>
      </w:r>
    </w:p>
    <w:p w14:paraId="79563CB7">
      <w:pPr>
        <w:pStyle w:val="2"/>
        <w:spacing w:before="117" w:line="306" w:lineRule="auto"/>
        <w:ind w:left="1456" w:right="1410" w:firstLine="445"/>
        <w:rPr>
          <w:sz w:val="24"/>
          <w:szCs w:val="24"/>
        </w:rPr>
      </w:pPr>
      <w:r>
        <w:rPr>
          <w:spacing w:val="-20"/>
          <w:sz w:val="24"/>
          <w:szCs w:val="24"/>
        </w:rPr>
        <w:t>为保证交通导行的顺利实施、社会车辆及行人安全有序的通行，我部成立专门的交通导行</w:t>
      </w:r>
      <w:r>
        <w:rPr>
          <w:spacing w:val="-21"/>
          <w:sz w:val="24"/>
          <w:szCs w:val="24"/>
        </w:rPr>
        <w:t>疏导小组，在施工段路口及出入口处建执勤岗，专职进行交</w:t>
      </w:r>
      <w:r>
        <w:rPr>
          <w:spacing w:val="-22"/>
          <w:sz w:val="24"/>
          <w:szCs w:val="24"/>
        </w:rPr>
        <w:t>通疏导的工作。</w:t>
      </w:r>
    </w:p>
    <w:p w14:paraId="120DCB06">
      <w:pPr>
        <w:pStyle w:val="2"/>
        <w:spacing w:before="1" w:line="264" w:lineRule="auto"/>
        <w:ind w:left="1461" w:right="1410" w:firstLine="429"/>
        <w:rPr>
          <w:sz w:val="24"/>
          <w:szCs w:val="24"/>
        </w:rPr>
      </w:pPr>
      <w:r>
        <w:rPr>
          <w:spacing w:val="-23"/>
          <w:sz w:val="24"/>
          <w:szCs w:val="24"/>
        </w:rPr>
        <w:t>5.1在施工过程中，施工区域通过位置的主要车辆、行人出入口以及路口处均设置专职的交</w:t>
      </w:r>
      <w:r>
        <w:rPr>
          <w:spacing w:val="-20"/>
          <w:sz w:val="24"/>
          <w:szCs w:val="24"/>
        </w:rPr>
        <w:t>通疏导人员，24小时负责交通安全方面的</w:t>
      </w:r>
      <w:r>
        <w:rPr>
          <w:spacing w:val="-21"/>
          <w:sz w:val="24"/>
          <w:szCs w:val="24"/>
        </w:rPr>
        <w:t>疏导。</w:t>
      </w:r>
    </w:p>
    <w:p w14:paraId="27C13BA5">
      <w:pPr>
        <w:pStyle w:val="2"/>
        <w:spacing w:before="114" w:line="216" w:lineRule="auto"/>
        <w:ind w:left="1890"/>
        <w:rPr>
          <w:sz w:val="24"/>
          <w:szCs w:val="24"/>
        </w:rPr>
      </w:pPr>
      <w:r>
        <w:rPr>
          <w:spacing w:val="-18"/>
          <w:sz w:val="24"/>
          <w:szCs w:val="24"/>
        </w:rPr>
        <w:t>5.2施工前请专业人员对交通疏导人员进行岗前培训指导，进行相关知识的学</w:t>
      </w:r>
      <w:r>
        <w:rPr>
          <w:spacing w:val="-19"/>
          <w:sz w:val="24"/>
          <w:szCs w:val="24"/>
        </w:rPr>
        <w:t>习机安全教</w:t>
      </w:r>
    </w:p>
    <w:p w14:paraId="50929519">
      <w:pPr>
        <w:spacing w:line="216" w:lineRule="auto"/>
        <w:rPr>
          <w:sz w:val="24"/>
          <w:szCs w:val="24"/>
        </w:rPr>
        <w:sectPr>
          <w:footerReference r:id="rId351" w:type="default"/>
          <w:pgSz w:w="11907" w:h="16839"/>
          <w:pgMar w:top="933" w:right="4" w:bottom="1038" w:left="0" w:header="478" w:footer="357" w:gutter="0"/>
          <w:pgBorders>
            <w:top w:val="none" w:sz="0" w:space="0"/>
            <w:left w:val="none" w:sz="0" w:space="0"/>
            <w:bottom w:val="none" w:sz="0" w:space="0"/>
            <w:right w:val="none" w:sz="0" w:space="0"/>
          </w:pgBorders>
          <w:cols w:space="720" w:num="1"/>
        </w:sectPr>
      </w:pPr>
    </w:p>
    <w:p w14:paraId="2B324002">
      <w:pPr>
        <w:spacing w:line="271" w:lineRule="auto"/>
        <w:rPr>
          <w:rFonts w:ascii="Arial"/>
          <w:sz w:val="21"/>
        </w:rPr>
      </w:pPr>
    </w:p>
    <w:p w14:paraId="3FEFD9BE">
      <w:pPr>
        <w:pStyle w:val="2"/>
        <w:spacing w:before="78" w:line="216" w:lineRule="auto"/>
        <w:ind w:left="1463"/>
        <w:rPr>
          <w:sz w:val="24"/>
          <w:szCs w:val="24"/>
        </w:rPr>
      </w:pPr>
      <w:r>
        <w:rPr>
          <w:spacing w:val="-21"/>
          <w:sz w:val="24"/>
          <w:szCs w:val="24"/>
        </w:rPr>
        <w:t>育。加强交通疏导人员的工作责任心，严格</w:t>
      </w:r>
      <w:r>
        <w:rPr>
          <w:spacing w:val="-22"/>
          <w:sz w:val="24"/>
          <w:szCs w:val="24"/>
        </w:rPr>
        <w:t>按要求上岗。</w:t>
      </w:r>
    </w:p>
    <w:p w14:paraId="1339E591">
      <w:pPr>
        <w:pStyle w:val="2"/>
        <w:spacing w:before="120" w:line="261" w:lineRule="auto"/>
        <w:ind w:left="1456" w:right="1409" w:firstLine="434"/>
        <w:rPr>
          <w:sz w:val="24"/>
          <w:szCs w:val="24"/>
        </w:rPr>
      </w:pPr>
      <w:r>
        <w:rPr>
          <w:spacing w:val="-23"/>
          <w:sz w:val="24"/>
          <w:szCs w:val="24"/>
        </w:rPr>
        <w:t>5.3交通疏导人员上岗时，严格按要求穿着反光服装，佩戴统一标志，疏导交通使</w:t>
      </w:r>
      <w:r>
        <w:rPr>
          <w:spacing w:val="-24"/>
          <w:sz w:val="24"/>
          <w:szCs w:val="24"/>
        </w:rPr>
        <w:t>用专门的</w:t>
      </w:r>
      <w:r>
        <w:rPr>
          <w:spacing w:val="-19"/>
          <w:sz w:val="24"/>
          <w:szCs w:val="24"/>
        </w:rPr>
        <w:t>指挥棒或指挥旗帜。</w:t>
      </w:r>
    </w:p>
    <w:p w14:paraId="6F3944AE">
      <w:pPr>
        <w:pStyle w:val="2"/>
        <w:spacing w:before="119" w:line="262" w:lineRule="auto"/>
        <w:ind w:left="1460" w:right="1410" w:firstLine="430"/>
        <w:rPr>
          <w:sz w:val="24"/>
          <w:szCs w:val="24"/>
        </w:rPr>
      </w:pPr>
      <w:r>
        <w:rPr>
          <w:spacing w:val="-23"/>
          <w:sz w:val="24"/>
          <w:szCs w:val="24"/>
        </w:rPr>
        <w:t>5.4为确保道路交通安全和施工的顺利进行，在路口及施工区域出入口设置</w:t>
      </w:r>
      <w:r>
        <w:rPr>
          <w:spacing w:val="-24"/>
          <w:sz w:val="24"/>
          <w:szCs w:val="24"/>
        </w:rPr>
        <w:t>专门的交通导行</w:t>
      </w:r>
      <w:r>
        <w:rPr>
          <w:spacing w:val="-21"/>
          <w:sz w:val="24"/>
          <w:szCs w:val="24"/>
        </w:rPr>
        <w:t>人员，进行对过往车辆及行人的交通安全疏导。</w:t>
      </w:r>
    </w:p>
    <w:p w14:paraId="5A62D55E">
      <w:pPr>
        <w:pStyle w:val="2"/>
        <w:spacing w:before="118" w:line="262" w:lineRule="auto"/>
        <w:ind w:left="1458" w:right="1409" w:firstLine="432"/>
        <w:rPr>
          <w:sz w:val="24"/>
          <w:szCs w:val="24"/>
        </w:rPr>
      </w:pPr>
      <w:r>
        <w:rPr>
          <w:spacing w:val="-23"/>
          <w:sz w:val="24"/>
          <w:szCs w:val="24"/>
        </w:rPr>
        <w:t>5.5施工过程中我项目部将全力积极配合交管部门及相关管理单位的要求，确保施工区域路</w:t>
      </w:r>
      <w:r>
        <w:rPr>
          <w:spacing w:val="-21"/>
          <w:sz w:val="24"/>
          <w:szCs w:val="24"/>
        </w:rPr>
        <w:t>段交通导行工作的顺利实施。</w:t>
      </w:r>
    </w:p>
    <w:p w14:paraId="2FEB0610">
      <w:pPr>
        <w:pStyle w:val="2"/>
        <w:spacing w:before="120" w:line="220" w:lineRule="auto"/>
        <w:ind w:left="1888"/>
        <w:rPr>
          <w:sz w:val="24"/>
          <w:szCs w:val="24"/>
        </w:rPr>
      </w:pPr>
      <w:r>
        <w:rPr>
          <w:spacing w:val="-18"/>
          <w:sz w:val="24"/>
          <w:szCs w:val="24"/>
        </w:rPr>
        <w:t>2.4安全施工、文明施工</w:t>
      </w:r>
    </w:p>
    <w:p w14:paraId="087D31B0">
      <w:pPr>
        <w:pStyle w:val="2"/>
        <w:spacing w:before="112" w:line="220" w:lineRule="auto"/>
        <w:ind w:left="1888"/>
        <w:rPr>
          <w:sz w:val="24"/>
          <w:szCs w:val="24"/>
        </w:rPr>
      </w:pPr>
      <w:r>
        <w:rPr>
          <w:spacing w:val="-14"/>
          <w:sz w:val="24"/>
          <w:szCs w:val="24"/>
        </w:rPr>
        <w:t>2.4.1安全施工</w:t>
      </w:r>
    </w:p>
    <w:p w14:paraId="430B02D4">
      <w:pPr>
        <w:pStyle w:val="2"/>
        <w:spacing w:before="115" w:line="308" w:lineRule="auto"/>
        <w:ind w:left="1456" w:right="1409" w:firstLine="440"/>
        <w:rPr>
          <w:sz w:val="24"/>
          <w:szCs w:val="24"/>
        </w:rPr>
      </w:pPr>
      <w:r>
        <w:rPr>
          <w:spacing w:val="-20"/>
          <w:sz w:val="24"/>
          <w:szCs w:val="24"/>
        </w:rPr>
        <w:t>成立由项目分部经理为组长，专职安全管理人员和各作业班组负责人为组员的施工安全及</w:t>
      </w:r>
      <w:r>
        <w:rPr>
          <w:spacing w:val="-22"/>
          <w:sz w:val="24"/>
          <w:szCs w:val="24"/>
        </w:rPr>
        <w:t>环境管理组织机构，根据施工进度和施工特点，分工序制定相应的安全保障及环境保护措施。</w:t>
      </w:r>
    </w:p>
    <w:p w14:paraId="6458E937">
      <w:pPr>
        <w:pStyle w:val="2"/>
        <w:spacing w:before="2" w:line="261" w:lineRule="auto"/>
        <w:ind w:left="1456" w:right="1410" w:firstLine="436"/>
        <w:rPr>
          <w:sz w:val="24"/>
          <w:szCs w:val="24"/>
        </w:rPr>
      </w:pPr>
      <w:r>
        <w:rPr>
          <w:spacing w:val="-22"/>
          <w:sz w:val="24"/>
          <w:szCs w:val="24"/>
        </w:rPr>
        <w:t>（1）全体作业人员在进场施工前，进行安全教育培训，从思想上重视施工安全，不</w:t>
      </w:r>
      <w:r>
        <w:rPr>
          <w:spacing w:val="-23"/>
          <w:sz w:val="24"/>
          <w:szCs w:val="24"/>
        </w:rPr>
        <w:t>跨区作</w:t>
      </w:r>
      <w:r>
        <w:rPr>
          <w:spacing w:val="-21"/>
          <w:sz w:val="24"/>
          <w:szCs w:val="24"/>
        </w:rPr>
        <w:t>业、不违章操作。严禁在交通安全设施外的道路上活动。</w:t>
      </w:r>
    </w:p>
    <w:p w14:paraId="4C1C99B3">
      <w:pPr>
        <w:pStyle w:val="2"/>
        <w:spacing w:before="119" w:line="262" w:lineRule="auto"/>
        <w:ind w:left="1459" w:right="1411" w:firstLine="433"/>
        <w:rPr>
          <w:sz w:val="24"/>
          <w:szCs w:val="24"/>
        </w:rPr>
      </w:pPr>
      <w:r>
        <w:rPr>
          <w:spacing w:val="-22"/>
          <w:sz w:val="24"/>
          <w:szCs w:val="24"/>
        </w:rPr>
        <w:t>（2）大型吊装作业时不得违章指挥，不得占用未封闭道路进行吊装，施工过程</w:t>
      </w:r>
      <w:r>
        <w:rPr>
          <w:spacing w:val="-23"/>
          <w:sz w:val="24"/>
          <w:szCs w:val="24"/>
        </w:rPr>
        <w:t>中安排专职</w:t>
      </w:r>
      <w:r>
        <w:rPr>
          <w:spacing w:val="-21"/>
          <w:sz w:val="24"/>
          <w:szCs w:val="24"/>
        </w:rPr>
        <w:t>安全人员进行现场疏导指挥。</w:t>
      </w:r>
    </w:p>
    <w:p w14:paraId="4A725C4C">
      <w:pPr>
        <w:pStyle w:val="2"/>
        <w:spacing w:before="120" w:line="277" w:lineRule="auto"/>
        <w:ind w:left="1458" w:right="1410" w:firstLine="434"/>
        <w:rPr>
          <w:sz w:val="24"/>
          <w:szCs w:val="24"/>
        </w:rPr>
      </w:pPr>
      <w:r>
        <w:rPr>
          <w:spacing w:val="-22"/>
          <w:sz w:val="24"/>
          <w:szCs w:val="24"/>
        </w:rPr>
        <w:t>（3）保持运输车辆的车厢完好，车容整洁。车辆装载严禁过满，对易产生扬尘的车</w:t>
      </w:r>
      <w:r>
        <w:rPr>
          <w:spacing w:val="-23"/>
          <w:sz w:val="24"/>
          <w:szCs w:val="24"/>
        </w:rPr>
        <w:t>辆用蓬</w:t>
      </w:r>
      <w:r>
        <w:rPr>
          <w:spacing w:val="-20"/>
          <w:sz w:val="24"/>
          <w:szCs w:val="24"/>
        </w:rPr>
        <w:t>布遮盖，防止抛、撒、漏，尽量减少交通隐患及环境污染。工程车辆的行驶路线和时间要遵守</w:t>
      </w:r>
      <w:r>
        <w:rPr>
          <w:spacing w:val="-22"/>
          <w:sz w:val="24"/>
          <w:szCs w:val="24"/>
        </w:rPr>
        <w:t>预定的要求，禁止超载、超高、超速行驶。</w:t>
      </w:r>
    </w:p>
    <w:p w14:paraId="2BE03DAD">
      <w:pPr>
        <w:pStyle w:val="2"/>
        <w:spacing w:before="118" w:line="263" w:lineRule="auto"/>
        <w:ind w:left="1459" w:right="1409" w:firstLine="433"/>
        <w:rPr>
          <w:sz w:val="24"/>
          <w:szCs w:val="24"/>
        </w:rPr>
      </w:pPr>
      <w:r>
        <w:rPr>
          <w:spacing w:val="-22"/>
          <w:sz w:val="24"/>
          <w:szCs w:val="24"/>
        </w:rPr>
        <w:t>（4）制定严格的奖惩措施，各级管理人员和施工作业人员责任明确，奖罚分明，使加</w:t>
      </w:r>
      <w:r>
        <w:rPr>
          <w:spacing w:val="-23"/>
          <w:sz w:val="24"/>
          <w:szCs w:val="24"/>
        </w:rPr>
        <w:t>强环</w:t>
      </w:r>
      <w:r>
        <w:rPr>
          <w:spacing w:val="-21"/>
          <w:sz w:val="24"/>
          <w:szCs w:val="24"/>
        </w:rPr>
        <w:t>境保护的有关措施得到有效的实施，周边环境得到妥</w:t>
      </w:r>
      <w:r>
        <w:rPr>
          <w:spacing w:val="-22"/>
          <w:sz w:val="24"/>
          <w:szCs w:val="24"/>
        </w:rPr>
        <w:t>善的保护。</w:t>
      </w:r>
    </w:p>
    <w:p w14:paraId="327D8ADD">
      <w:pPr>
        <w:pStyle w:val="2"/>
        <w:spacing w:before="118" w:line="263" w:lineRule="auto"/>
        <w:ind w:left="1454" w:right="1412" w:firstLine="438"/>
        <w:rPr>
          <w:sz w:val="24"/>
          <w:szCs w:val="24"/>
        </w:rPr>
      </w:pPr>
      <w:r>
        <w:rPr>
          <w:spacing w:val="-22"/>
          <w:sz w:val="24"/>
          <w:szCs w:val="24"/>
        </w:rPr>
        <w:t>（5）施工过程中，避免出现不必要的障碍，处置好设备及材料的存放，保持现</w:t>
      </w:r>
      <w:r>
        <w:rPr>
          <w:spacing w:val="-23"/>
          <w:sz w:val="24"/>
          <w:szCs w:val="24"/>
        </w:rPr>
        <w:t>场整洁和道</w:t>
      </w:r>
      <w:r>
        <w:rPr>
          <w:spacing w:val="-15"/>
          <w:sz w:val="24"/>
          <w:szCs w:val="24"/>
        </w:rPr>
        <w:t>路畅通。</w:t>
      </w:r>
    </w:p>
    <w:p w14:paraId="6F51E94F">
      <w:pPr>
        <w:pStyle w:val="2"/>
        <w:spacing w:before="116" w:line="217" w:lineRule="auto"/>
        <w:ind w:left="1893"/>
        <w:rPr>
          <w:sz w:val="24"/>
          <w:szCs w:val="24"/>
        </w:rPr>
      </w:pPr>
      <w:r>
        <w:rPr>
          <w:spacing w:val="-20"/>
          <w:sz w:val="24"/>
          <w:szCs w:val="24"/>
        </w:rPr>
        <w:t>（6）施工期间保障交通安全的措施</w:t>
      </w:r>
    </w:p>
    <w:p w14:paraId="7C99E625">
      <w:pPr>
        <w:pStyle w:val="2"/>
        <w:spacing w:before="118" w:line="217" w:lineRule="auto"/>
        <w:ind w:left="1887"/>
        <w:rPr>
          <w:sz w:val="24"/>
          <w:szCs w:val="24"/>
        </w:rPr>
      </w:pPr>
      <w:r>
        <w:rPr>
          <w:spacing w:val="-16"/>
          <w:sz w:val="24"/>
          <w:szCs w:val="24"/>
        </w:rPr>
        <w:t>6.1施工前准备措施</w:t>
      </w:r>
    </w:p>
    <w:p w14:paraId="21456BF8">
      <w:pPr>
        <w:pStyle w:val="2"/>
        <w:spacing w:before="119" w:line="307" w:lineRule="auto"/>
        <w:ind w:left="1456" w:right="1410" w:firstLine="437"/>
        <w:rPr>
          <w:sz w:val="24"/>
          <w:szCs w:val="24"/>
        </w:rPr>
      </w:pPr>
      <w:r>
        <w:rPr>
          <w:spacing w:val="-20"/>
          <w:sz w:val="24"/>
          <w:szCs w:val="24"/>
        </w:rPr>
        <w:t>项目部成立以安全第一责任人项目经理为组长的安全保畅领导小组，由主管安全的项目副</w:t>
      </w:r>
      <w:r>
        <w:rPr>
          <w:spacing w:val="-21"/>
          <w:sz w:val="24"/>
          <w:szCs w:val="24"/>
        </w:rPr>
        <w:t>经理挂帅，本着安全第一的原则，成立安全保畅领导小组。</w:t>
      </w:r>
    </w:p>
    <w:p w14:paraId="713B9DA4">
      <w:pPr>
        <w:pStyle w:val="2"/>
        <w:spacing w:before="1" w:line="308" w:lineRule="auto"/>
        <w:ind w:left="1458" w:right="1409" w:firstLine="429"/>
        <w:rPr>
          <w:sz w:val="24"/>
          <w:szCs w:val="24"/>
        </w:rPr>
      </w:pPr>
      <w:r>
        <w:rPr>
          <w:spacing w:val="-23"/>
          <w:sz w:val="24"/>
          <w:szCs w:val="24"/>
        </w:rPr>
        <w:t>6.2开工前安全技术培训开工前，项目经理部对所有参加施工的人员进行了工前安全技术培</w:t>
      </w:r>
      <w:r>
        <w:rPr>
          <w:spacing w:val="-20"/>
          <w:sz w:val="24"/>
          <w:szCs w:val="24"/>
        </w:rPr>
        <w:t>训，主要有以下内容</w:t>
      </w:r>
    </w:p>
    <w:p w14:paraId="77D4A3D9">
      <w:pPr>
        <w:pStyle w:val="2"/>
        <w:spacing w:before="2" w:line="215" w:lineRule="auto"/>
        <w:ind w:left="1890"/>
        <w:rPr>
          <w:sz w:val="24"/>
          <w:szCs w:val="24"/>
        </w:rPr>
      </w:pPr>
      <w:r>
        <w:rPr>
          <w:spacing w:val="-21"/>
          <w:sz w:val="24"/>
          <w:szCs w:val="24"/>
        </w:rPr>
        <w:t>有关安全的法律、法规、安全作业规范；</w:t>
      </w:r>
    </w:p>
    <w:p w14:paraId="01D915D4">
      <w:pPr>
        <w:pStyle w:val="2"/>
        <w:spacing w:before="117" w:line="216" w:lineRule="auto"/>
        <w:ind w:left="1891"/>
        <w:rPr>
          <w:sz w:val="24"/>
          <w:szCs w:val="24"/>
        </w:rPr>
      </w:pPr>
      <w:r>
        <w:rPr>
          <w:spacing w:val="-21"/>
          <w:sz w:val="24"/>
          <w:szCs w:val="24"/>
        </w:rPr>
        <w:t>路面拓宽工程安全施工责任制和安全工作目标，管理办法；</w:t>
      </w:r>
    </w:p>
    <w:p w14:paraId="60182101">
      <w:pPr>
        <w:pStyle w:val="2"/>
        <w:spacing w:before="120" w:line="216" w:lineRule="auto"/>
        <w:ind w:left="1898"/>
        <w:rPr>
          <w:sz w:val="24"/>
          <w:szCs w:val="24"/>
        </w:rPr>
      </w:pPr>
      <w:r>
        <w:rPr>
          <w:spacing w:val="-21"/>
          <w:sz w:val="24"/>
          <w:szCs w:val="24"/>
        </w:rPr>
        <w:t>交通安全技术实施方案、安全作业实施细则及</w:t>
      </w:r>
      <w:r>
        <w:rPr>
          <w:spacing w:val="-22"/>
          <w:sz w:val="24"/>
          <w:szCs w:val="24"/>
        </w:rPr>
        <w:t>有关常识；</w:t>
      </w:r>
    </w:p>
    <w:p w14:paraId="76A5E33E">
      <w:pPr>
        <w:pStyle w:val="2"/>
        <w:spacing w:before="120" w:line="217" w:lineRule="auto"/>
        <w:ind w:left="1897"/>
        <w:rPr>
          <w:sz w:val="24"/>
          <w:szCs w:val="24"/>
        </w:rPr>
      </w:pPr>
      <w:r>
        <w:rPr>
          <w:spacing w:val="-21"/>
          <w:sz w:val="24"/>
          <w:szCs w:val="24"/>
        </w:rPr>
        <w:t>结合工程实际进行安全隐患及事故案例分析；</w:t>
      </w:r>
    </w:p>
    <w:p w14:paraId="226F0F9C">
      <w:pPr>
        <w:pStyle w:val="2"/>
        <w:spacing w:before="116" w:line="219" w:lineRule="auto"/>
        <w:ind w:left="1893"/>
        <w:rPr>
          <w:sz w:val="24"/>
          <w:szCs w:val="24"/>
        </w:rPr>
      </w:pPr>
      <w:r>
        <w:rPr>
          <w:spacing w:val="-20"/>
          <w:sz w:val="24"/>
          <w:szCs w:val="24"/>
        </w:rPr>
        <w:t>事故应急措施和自救知识等。</w:t>
      </w:r>
    </w:p>
    <w:p w14:paraId="24F3CC80">
      <w:pPr>
        <w:pStyle w:val="2"/>
        <w:spacing w:before="117" w:line="308" w:lineRule="auto"/>
        <w:ind w:left="1461" w:right="1410" w:firstLine="426"/>
        <w:jc w:val="both"/>
        <w:rPr>
          <w:sz w:val="24"/>
          <w:szCs w:val="24"/>
        </w:rPr>
      </w:pPr>
      <w:r>
        <w:rPr>
          <w:spacing w:val="-23"/>
          <w:sz w:val="24"/>
          <w:szCs w:val="24"/>
        </w:rPr>
        <w:t>6.3落实安全措施，将编制的安全技术实施方案报送主管部门审批，并到交</w:t>
      </w:r>
      <w:r>
        <w:rPr>
          <w:spacing w:val="-24"/>
          <w:sz w:val="24"/>
          <w:szCs w:val="24"/>
        </w:rPr>
        <w:t>通安全管理部门</w:t>
      </w:r>
      <w:r>
        <w:rPr>
          <w:spacing w:val="-20"/>
          <w:sz w:val="24"/>
          <w:szCs w:val="24"/>
        </w:rPr>
        <w:t>办妥封路手续，对批复后的交通安全技术实施方案进行必要的模拟演示，并将有关安全作业主要环节的责任落实到人。</w:t>
      </w:r>
    </w:p>
    <w:p w14:paraId="65386F41">
      <w:pPr>
        <w:spacing w:line="308" w:lineRule="auto"/>
        <w:rPr>
          <w:sz w:val="24"/>
          <w:szCs w:val="24"/>
        </w:rPr>
        <w:sectPr>
          <w:footerReference r:id="rId352" w:type="default"/>
          <w:pgSz w:w="11907" w:h="16839"/>
          <w:pgMar w:top="933" w:right="4" w:bottom="1038" w:left="0" w:header="478" w:footer="357" w:gutter="0"/>
          <w:pgBorders>
            <w:top w:val="none" w:sz="0" w:space="0"/>
            <w:left w:val="none" w:sz="0" w:space="0"/>
            <w:bottom w:val="none" w:sz="0" w:space="0"/>
            <w:right w:val="none" w:sz="0" w:space="0"/>
          </w:pgBorders>
          <w:cols w:space="720" w:num="1"/>
        </w:sectPr>
      </w:pPr>
    </w:p>
    <w:p w14:paraId="1A13CE74">
      <w:pPr>
        <w:spacing w:line="268" w:lineRule="auto"/>
        <w:rPr>
          <w:rFonts w:ascii="Arial"/>
          <w:sz w:val="21"/>
        </w:rPr>
      </w:pPr>
    </w:p>
    <w:p w14:paraId="3FA79DBE">
      <w:pPr>
        <w:pStyle w:val="2"/>
        <w:spacing w:before="78" w:line="290" w:lineRule="auto"/>
        <w:ind w:left="1455" w:right="1410" w:firstLine="432"/>
        <w:rPr>
          <w:sz w:val="24"/>
          <w:szCs w:val="24"/>
        </w:rPr>
      </w:pPr>
      <w:r>
        <w:rPr>
          <w:spacing w:val="-23"/>
          <w:sz w:val="24"/>
          <w:szCs w:val="24"/>
        </w:rPr>
        <w:t>6.4开工前要准备足够的安全作业服装、设施、灯具与标志，并做到损坏或故障时能及时补</w:t>
      </w:r>
      <w:r>
        <w:rPr>
          <w:spacing w:val="-20"/>
          <w:sz w:val="24"/>
          <w:szCs w:val="24"/>
        </w:rPr>
        <w:t>充或更换。上路作业前，要清点安全作业服饰及设施，核对数量及标志版面内容，检查好示警灯具。进入现场的施工人员，必须按要求配戴安全帽及作业服，没有按要求做的，不得进入现场并责令其改正。遇有上级检查工作或外来人员参观作业现场，应由接待部门负责，准备好足</w:t>
      </w:r>
      <w:r>
        <w:rPr>
          <w:spacing w:val="-22"/>
          <w:sz w:val="24"/>
          <w:szCs w:val="24"/>
        </w:rPr>
        <w:t>够的作业服和安全帽，并讲述有关安全注意事项后方可进入现场。</w:t>
      </w:r>
    </w:p>
    <w:p w14:paraId="2D9BEB93">
      <w:pPr>
        <w:pStyle w:val="2"/>
        <w:spacing w:before="117" w:line="219" w:lineRule="auto"/>
        <w:ind w:left="1887"/>
        <w:rPr>
          <w:sz w:val="24"/>
          <w:szCs w:val="24"/>
        </w:rPr>
      </w:pPr>
      <w:r>
        <w:rPr>
          <w:spacing w:val="-18"/>
          <w:sz w:val="24"/>
          <w:szCs w:val="24"/>
        </w:rPr>
        <w:t>6.5管线损伤处理措施</w:t>
      </w:r>
    </w:p>
    <w:p w14:paraId="5598D356">
      <w:pPr>
        <w:pStyle w:val="2"/>
        <w:spacing w:before="117" w:line="307" w:lineRule="auto"/>
        <w:ind w:left="1480" w:right="1410" w:firstLine="413"/>
        <w:rPr>
          <w:sz w:val="24"/>
          <w:szCs w:val="24"/>
        </w:rPr>
      </w:pPr>
      <w:r>
        <w:rPr>
          <w:spacing w:val="-20"/>
          <w:sz w:val="24"/>
          <w:szCs w:val="24"/>
        </w:rPr>
        <w:t>确保各类管线闸阀始终处于正常工作状态。一旦出现渗水、漏气等异常情况，立即查明原</w:t>
      </w:r>
      <w:r>
        <w:rPr>
          <w:spacing w:val="-22"/>
          <w:sz w:val="24"/>
          <w:szCs w:val="24"/>
        </w:rPr>
        <w:t>因、采取措施，并与管理单位取得联系，制定补救措施并立即组织修复，确保管线安全。</w:t>
      </w:r>
    </w:p>
    <w:p w14:paraId="18607A77">
      <w:pPr>
        <w:pStyle w:val="2"/>
        <w:spacing w:before="1" w:line="308" w:lineRule="auto"/>
        <w:ind w:left="1463" w:right="1338" w:firstLine="430"/>
        <w:rPr>
          <w:sz w:val="24"/>
          <w:szCs w:val="24"/>
        </w:rPr>
      </w:pPr>
      <w:r>
        <w:rPr>
          <w:spacing w:val="-21"/>
          <w:sz w:val="24"/>
          <w:szCs w:val="24"/>
        </w:rPr>
        <w:t>地下管线路径两侧各2.0米范围内不用机械开挖。人工作业时，使用铁镐和齿类尖耙，做</w:t>
      </w:r>
      <w:r>
        <w:rPr>
          <w:spacing w:val="-23"/>
          <w:sz w:val="24"/>
          <w:szCs w:val="24"/>
        </w:rPr>
        <w:t>到逐层轻插浅挖，同时请产权单位或维护单位人员到现场监</w:t>
      </w:r>
      <w:r>
        <w:rPr>
          <w:spacing w:val="-24"/>
          <w:sz w:val="24"/>
          <w:szCs w:val="24"/>
        </w:rPr>
        <w:t>护，一旦发生损坏，及时组织抢修。</w:t>
      </w:r>
    </w:p>
    <w:p w14:paraId="1CDD7565">
      <w:pPr>
        <w:pStyle w:val="2"/>
        <w:spacing w:before="1" w:line="261" w:lineRule="auto"/>
        <w:ind w:left="1463" w:right="1434" w:firstLine="430"/>
        <w:rPr>
          <w:sz w:val="24"/>
          <w:szCs w:val="24"/>
        </w:rPr>
      </w:pPr>
      <w:r>
        <w:rPr>
          <w:spacing w:val="-23"/>
          <w:sz w:val="24"/>
          <w:szCs w:val="24"/>
        </w:rPr>
        <w:t>（7）现场施工渣土、泥浆、垃圾及时清理，泥浆不能排放到路面和雨水井里，由现场队长</w:t>
      </w:r>
      <w:r>
        <w:rPr>
          <w:spacing w:val="-21"/>
          <w:sz w:val="24"/>
          <w:szCs w:val="24"/>
        </w:rPr>
        <w:t>负责管理，及时处理保护周边环境。</w:t>
      </w:r>
    </w:p>
    <w:p w14:paraId="0E476CC4">
      <w:pPr>
        <w:pStyle w:val="2"/>
        <w:spacing w:before="118" w:line="262" w:lineRule="auto"/>
        <w:ind w:left="1457" w:right="1410" w:firstLine="435"/>
        <w:rPr>
          <w:sz w:val="24"/>
          <w:szCs w:val="24"/>
        </w:rPr>
      </w:pPr>
      <w:r>
        <w:rPr>
          <w:spacing w:val="-22"/>
          <w:sz w:val="24"/>
          <w:szCs w:val="24"/>
        </w:rPr>
        <w:t>（8）施工区域车辆需及时报备，日常管理、核查，农用车辆禁止使用，车辆有序停</w:t>
      </w:r>
      <w:r>
        <w:rPr>
          <w:spacing w:val="-23"/>
          <w:sz w:val="24"/>
          <w:szCs w:val="24"/>
        </w:rPr>
        <w:t>放至现</w:t>
      </w:r>
      <w:r>
        <w:rPr>
          <w:spacing w:val="-21"/>
          <w:sz w:val="24"/>
          <w:szCs w:val="24"/>
        </w:rPr>
        <w:t>场规定安全区域或周边停车场内。</w:t>
      </w:r>
    </w:p>
    <w:p w14:paraId="6022469B">
      <w:pPr>
        <w:pStyle w:val="2"/>
        <w:spacing w:before="118" w:line="308" w:lineRule="auto"/>
        <w:ind w:left="1462" w:right="1409" w:firstLine="431"/>
        <w:jc w:val="both"/>
        <w:rPr>
          <w:sz w:val="24"/>
          <w:szCs w:val="24"/>
        </w:rPr>
      </w:pPr>
      <w:r>
        <w:rPr>
          <w:spacing w:val="-20"/>
          <w:sz w:val="24"/>
          <w:szCs w:val="24"/>
        </w:rPr>
        <w:t>文明施工是一个建筑施工企业形象最直接的反映，在本工程施工过程中，我公司将严格按</w:t>
      </w:r>
      <w:r>
        <w:rPr>
          <w:spacing w:val="-25"/>
          <w:sz w:val="24"/>
          <w:szCs w:val="24"/>
        </w:rPr>
        <w:t>照安徽省对文明施工的各项规定的内容及相关文件进行布置及管理，对于文明施工</w:t>
      </w:r>
      <w:r>
        <w:rPr>
          <w:spacing w:val="-26"/>
          <w:sz w:val="24"/>
          <w:szCs w:val="24"/>
        </w:rPr>
        <w:t>管理详见《文</w:t>
      </w:r>
      <w:r>
        <w:rPr>
          <w:spacing w:val="-28"/>
          <w:sz w:val="24"/>
          <w:szCs w:val="24"/>
        </w:rPr>
        <w:t>明施工管理组织计划》，附图。</w:t>
      </w:r>
    </w:p>
    <w:p w14:paraId="075F4A55">
      <w:pPr>
        <w:pStyle w:val="2"/>
        <w:spacing w:line="219" w:lineRule="auto"/>
        <w:ind w:left="1888"/>
        <w:rPr>
          <w:sz w:val="24"/>
          <w:szCs w:val="24"/>
        </w:rPr>
      </w:pPr>
      <w:r>
        <w:rPr>
          <w:spacing w:val="-14"/>
          <w:sz w:val="24"/>
          <w:szCs w:val="24"/>
        </w:rPr>
        <w:t>2.4.2文明施工</w:t>
      </w:r>
    </w:p>
    <w:p w14:paraId="5BA62F94">
      <w:pPr>
        <w:pStyle w:val="2"/>
        <w:spacing w:before="115" w:line="217" w:lineRule="auto"/>
        <w:ind w:left="1903"/>
        <w:rPr>
          <w:sz w:val="24"/>
          <w:szCs w:val="24"/>
        </w:rPr>
      </w:pPr>
      <w:r>
        <w:rPr>
          <w:spacing w:val="-21"/>
          <w:sz w:val="24"/>
          <w:szCs w:val="24"/>
        </w:rPr>
        <w:t>1）确保安全文明施工，创建文明施工示范工地，达到国家现行</w:t>
      </w:r>
      <w:r>
        <w:rPr>
          <w:spacing w:val="-22"/>
          <w:sz w:val="24"/>
          <w:szCs w:val="24"/>
        </w:rPr>
        <w:t>相关规定要求。</w:t>
      </w:r>
    </w:p>
    <w:p w14:paraId="5099FCEC">
      <w:pPr>
        <w:pStyle w:val="2"/>
        <w:spacing w:before="119" w:line="277" w:lineRule="auto"/>
        <w:ind w:left="1461" w:right="1409" w:firstLine="427"/>
        <w:rPr>
          <w:sz w:val="24"/>
          <w:szCs w:val="24"/>
        </w:rPr>
      </w:pPr>
      <w:r>
        <w:rPr>
          <w:spacing w:val="-20"/>
          <w:sz w:val="24"/>
          <w:szCs w:val="24"/>
        </w:rPr>
        <w:t>2）必须严格执行国务院393号令《建设工程安全生产管理条例》。必须严格执行市创</w:t>
      </w:r>
      <w:r>
        <w:rPr>
          <w:spacing w:val="-21"/>
          <w:sz w:val="24"/>
          <w:szCs w:val="24"/>
        </w:rPr>
        <w:t>建文</w:t>
      </w:r>
      <w:r>
        <w:rPr>
          <w:spacing w:val="-20"/>
          <w:sz w:val="24"/>
          <w:szCs w:val="24"/>
        </w:rPr>
        <w:t>明城市责任考评办法、市建设系统创文明城市工作实施细则、文明施工的规</w:t>
      </w:r>
      <w:r>
        <w:rPr>
          <w:spacing w:val="-21"/>
          <w:sz w:val="24"/>
          <w:szCs w:val="24"/>
        </w:rPr>
        <w:t>定和招标人针对本工程所作出的安全、文明措</w:t>
      </w:r>
      <w:r>
        <w:rPr>
          <w:spacing w:val="-22"/>
          <w:sz w:val="24"/>
          <w:szCs w:val="24"/>
        </w:rPr>
        <w:t>施，确保符合市创建文明卫生城市要求。</w:t>
      </w:r>
    </w:p>
    <w:p w14:paraId="44D66878">
      <w:pPr>
        <w:pStyle w:val="2"/>
        <w:spacing w:before="121" w:line="262" w:lineRule="auto"/>
        <w:ind w:left="1461" w:right="1411" w:firstLine="429"/>
        <w:rPr>
          <w:sz w:val="24"/>
          <w:szCs w:val="24"/>
        </w:rPr>
      </w:pPr>
      <w:r>
        <w:rPr>
          <w:spacing w:val="-22"/>
          <w:sz w:val="24"/>
          <w:szCs w:val="24"/>
        </w:rPr>
        <w:t>3）现场临时设施符合相关标准的要求及国家级施工安全生产标准化建设工地和文明创</w:t>
      </w:r>
      <w:r>
        <w:rPr>
          <w:spacing w:val="-23"/>
          <w:sz w:val="24"/>
          <w:szCs w:val="24"/>
        </w:rPr>
        <w:t>建的</w:t>
      </w:r>
      <w:r>
        <w:rPr>
          <w:spacing w:val="-22"/>
          <w:sz w:val="24"/>
          <w:szCs w:val="24"/>
        </w:rPr>
        <w:t>要求。</w:t>
      </w:r>
    </w:p>
    <w:p w14:paraId="460143B5">
      <w:pPr>
        <w:pStyle w:val="2"/>
        <w:spacing w:before="118" w:line="278" w:lineRule="auto"/>
        <w:ind w:left="1455" w:right="1412" w:firstLine="429"/>
        <w:rPr>
          <w:sz w:val="24"/>
          <w:szCs w:val="24"/>
        </w:rPr>
      </w:pPr>
      <w:r>
        <w:rPr>
          <w:spacing w:val="-22"/>
          <w:sz w:val="24"/>
          <w:szCs w:val="24"/>
        </w:rPr>
        <w:t>4）文明工地是指科学地组织施工，工程质量满足设计和国家有关法规及合同要求，施工安</w:t>
      </w:r>
      <w:r>
        <w:rPr>
          <w:spacing w:val="-20"/>
          <w:sz w:val="24"/>
          <w:szCs w:val="24"/>
        </w:rPr>
        <w:t>全达标，生活和办公环境舒适，施工现场保持整洁、卫生，具有良好的文明氛围，组织严格、规范管理的建设工地。</w:t>
      </w:r>
    </w:p>
    <w:p w14:paraId="4F878278">
      <w:pPr>
        <w:pStyle w:val="2"/>
        <w:spacing w:before="114" w:line="278" w:lineRule="auto"/>
        <w:ind w:left="1457" w:right="1411" w:firstLine="433"/>
        <w:rPr>
          <w:sz w:val="24"/>
          <w:szCs w:val="24"/>
        </w:rPr>
      </w:pPr>
      <w:r>
        <w:rPr>
          <w:spacing w:val="-22"/>
          <w:sz w:val="24"/>
          <w:szCs w:val="24"/>
        </w:rPr>
        <w:t>5）创建文明工地活动是建筑行业落实国家政策、响应地方政府的号召、把社会主义精</w:t>
      </w:r>
      <w:r>
        <w:rPr>
          <w:spacing w:val="-23"/>
          <w:sz w:val="24"/>
          <w:szCs w:val="24"/>
        </w:rPr>
        <w:t>神文</w:t>
      </w:r>
      <w:r>
        <w:rPr>
          <w:spacing w:val="-20"/>
          <w:sz w:val="24"/>
          <w:szCs w:val="24"/>
        </w:rPr>
        <w:t>明和物质文明建设一起抓的结合点，也是实现现代企业两个根本性转变的重要突破口，同时也</w:t>
      </w:r>
      <w:r>
        <w:rPr>
          <w:spacing w:val="-21"/>
          <w:sz w:val="24"/>
          <w:szCs w:val="24"/>
        </w:rPr>
        <w:t>是开展城市环境整治、创建文明城市的重要部分。</w:t>
      </w:r>
    </w:p>
    <w:p w14:paraId="46A134A3">
      <w:pPr>
        <w:pStyle w:val="2"/>
        <w:spacing w:before="118" w:line="262" w:lineRule="auto"/>
        <w:ind w:left="1461" w:right="1411" w:firstLine="426"/>
        <w:rPr>
          <w:sz w:val="24"/>
          <w:szCs w:val="24"/>
        </w:rPr>
      </w:pPr>
      <w:r>
        <w:rPr>
          <w:spacing w:val="-22"/>
          <w:sz w:val="24"/>
          <w:szCs w:val="24"/>
        </w:rPr>
        <w:t>6）创建文明工地对于促进施工企业保证工程质量与施工安全，建设高素质队伍，增强整体</w:t>
      </w:r>
      <w:r>
        <w:rPr>
          <w:spacing w:val="-21"/>
          <w:sz w:val="24"/>
          <w:szCs w:val="24"/>
        </w:rPr>
        <w:t>实力，提高管理水平、效率和经济效益等具有非</w:t>
      </w:r>
      <w:r>
        <w:rPr>
          <w:spacing w:val="-22"/>
          <w:sz w:val="24"/>
          <w:szCs w:val="24"/>
        </w:rPr>
        <w:t>常实际的作用。</w:t>
      </w:r>
    </w:p>
    <w:p w14:paraId="6288ACDA">
      <w:pPr>
        <w:pStyle w:val="2"/>
        <w:spacing w:before="119" w:line="278" w:lineRule="auto"/>
        <w:ind w:left="1456" w:right="1413" w:firstLine="435"/>
        <w:rPr>
          <w:sz w:val="24"/>
          <w:szCs w:val="24"/>
        </w:rPr>
      </w:pPr>
      <w:r>
        <w:rPr>
          <w:spacing w:val="-22"/>
          <w:sz w:val="24"/>
          <w:szCs w:val="24"/>
        </w:rPr>
        <w:t>7）创建文明工地与“脏、乱、差、野”违章施工等现象形成强烈反差。创建文明</w:t>
      </w:r>
      <w:r>
        <w:rPr>
          <w:spacing w:val="-23"/>
          <w:sz w:val="24"/>
          <w:szCs w:val="24"/>
        </w:rPr>
        <w:t>工地是对</w:t>
      </w:r>
      <w:r>
        <w:rPr>
          <w:spacing w:val="-20"/>
          <w:sz w:val="24"/>
          <w:szCs w:val="24"/>
        </w:rPr>
        <w:t>粗制滥造、乱堆乱放、环境污染、设施简陋、危险作业、打架斗殴等不文明行为和落后粗放管</w:t>
      </w:r>
      <w:r>
        <w:rPr>
          <w:spacing w:val="-19"/>
          <w:sz w:val="24"/>
          <w:szCs w:val="24"/>
        </w:rPr>
        <w:t>理的否定和批判。</w:t>
      </w:r>
    </w:p>
    <w:p w14:paraId="11BB3700">
      <w:pPr>
        <w:pStyle w:val="2"/>
        <w:spacing w:before="114" w:line="217" w:lineRule="auto"/>
        <w:ind w:left="1886"/>
        <w:rPr>
          <w:sz w:val="24"/>
          <w:szCs w:val="24"/>
        </w:rPr>
      </w:pPr>
      <w:r>
        <w:rPr>
          <w:spacing w:val="-21"/>
          <w:sz w:val="24"/>
          <w:szCs w:val="24"/>
        </w:rPr>
        <w:t>8）创建文明工地是施工企业实施行业标准的具体体</w:t>
      </w:r>
      <w:r>
        <w:rPr>
          <w:spacing w:val="-22"/>
          <w:sz w:val="24"/>
          <w:szCs w:val="24"/>
        </w:rPr>
        <w:t>现，是企业综合素质水平的反应，也是</w:t>
      </w:r>
    </w:p>
    <w:p w14:paraId="4CF854A6">
      <w:pPr>
        <w:spacing w:line="217" w:lineRule="auto"/>
        <w:rPr>
          <w:sz w:val="24"/>
          <w:szCs w:val="24"/>
        </w:rPr>
        <w:sectPr>
          <w:footerReference r:id="rId353" w:type="default"/>
          <w:pgSz w:w="11907" w:h="16839"/>
          <w:pgMar w:top="933" w:right="4" w:bottom="1038" w:left="0" w:header="478" w:footer="357" w:gutter="0"/>
          <w:pgBorders>
            <w:top w:val="none" w:sz="0" w:space="0"/>
            <w:left w:val="none" w:sz="0" w:space="0"/>
            <w:bottom w:val="none" w:sz="0" w:space="0"/>
            <w:right w:val="none" w:sz="0" w:space="0"/>
          </w:pgBorders>
          <w:cols w:space="720" w:num="1"/>
        </w:sectPr>
      </w:pPr>
    </w:p>
    <w:p w14:paraId="1944F126">
      <w:pPr>
        <w:spacing w:line="271" w:lineRule="auto"/>
        <w:rPr>
          <w:rFonts w:ascii="Arial"/>
          <w:sz w:val="21"/>
        </w:rPr>
      </w:pPr>
    </w:p>
    <w:p w14:paraId="32EE3751">
      <w:pPr>
        <w:pStyle w:val="2"/>
        <w:spacing w:before="78" w:line="215" w:lineRule="auto"/>
        <w:ind w:left="1455"/>
        <w:rPr>
          <w:sz w:val="24"/>
          <w:szCs w:val="24"/>
        </w:rPr>
      </w:pPr>
      <w:r>
        <w:rPr>
          <w:spacing w:val="-22"/>
          <w:sz w:val="24"/>
          <w:szCs w:val="24"/>
        </w:rPr>
        <w:t>施工企业展示实力的一个窗口，对增加企业在社会上的知名度、竞争力，具有十分重要的作用。</w:t>
      </w:r>
    </w:p>
    <w:p w14:paraId="2A397475">
      <w:pPr>
        <w:pStyle w:val="2"/>
        <w:spacing w:before="120" w:line="217" w:lineRule="auto"/>
        <w:ind w:left="1888"/>
        <w:rPr>
          <w:sz w:val="24"/>
          <w:szCs w:val="24"/>
        </w:rPr>
      </w:pPr>
      <w:r>
        <w:rPr>
          <w:spacing w:val="-14"/>
          <w:sz w:val="24"/>
          <w:szCs w:val="24"/>
        </w:rPr>
        <w:t>2.5辅助措施</w:t>
      </w:r>
    </w:p>
    <w:p w14:paraId="581A6DA2">
      <w:pPr>
        <w:pStyle w:val="2"/>
        <w:spacing w:before="117" w:line="290" w:lineRule="auto"/>
        <w:ind w:left="1455" w:right="1414" w:firstLine="439"/>
        <w:rPr>
          <w:sz w:val="24"/>
          <w:szCs w:val="24"/>
        </w:rPr>
      </w:pPr>
      <w:r>
        <w:rPr>
          <w:spacing w:val="-20"/>
          <w:sz w:val="24"/>
          <w:szCs w:val="24"/>
        </w:rPr>
        <w:t>在疏导交通的出入口设置规范的警示标识及导改指示牌，夜间设置足够的照明和爆闪灯，</w:t>
      </w:r>
      <w:r>
        <w:rPr>
          <w:spacing w:val="-21"/>
          <w:sz w:val="24"/>
          <w:szCs w:val="24"/>
        </w:rPr>
        <w:t>施工期间，道路车辆出入口统一设置限速牌，限速30km，告诫车辆按限速要求行驶，安全通过</w:t>
      </w:r>
      <w:r>
        <w:rPr>
          <w:spacing w:val="-20"/>
          <w:sz w:val="24"/>
          <w:szCs w:val="24"/>
        </w:rPr>
        <w:t>施工路段。在施工区域出入口前一个路口设置预告牌及告示牌，预告牌内容为：“施工敬请绕行”。为减少标识标牌遭受人为破坏，对有条件的区域采用悬挂方式。其余地段采用支架形式</w:t>
      </w:r>
      <w:r>
        <w:rPr>
          <w:spacing w:val="-21"/>
          <w:sz w:val="24"/>
          <w:szCs w:val="24"/>
        </w:rPr>
        <w:t>放置。在疏解的西南两端各设置导流指示牌，告知司机绕行</w:t>
      </w:r>
      <w:r>
        <w:rPr>
          <w:spacing w:val="-22"/>
          <w:sz w:val="24"/>
          <w:szCs w:val="24"/>
        </w:rPr>
        <w:t>路线。</w:t>
      </w:r>
    </w:p>
    <w:tbl>
      <w:tblPr>
        <w:tblStyle w:val="6"/>
        <w:tblW w:w="8444" w:type="dxa"/>
        <w:tblInd w:w="173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779"/>
        <w:gridCol w:w="1404"/>
        <w:gridCol w:w="3261"/>
      </w:tblGrid>
      <w:tr w14:paraId="79045E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23" w:hRule="atLeast"/>
        </w:trPr>
        <w:tc>
          <w:tcPr>
            <w:tcW w:w="3779" w:type="dxa"/>
            <w:tcBorders>
              <w:top w:val="single" w:color="000000" w:sz="4" w:space="0"/>
              <w:left w:val="single" w:color="000000" w:sz="4" w:space="0"/>
            </w:tcBorders>
            <w:shd w:val="clear" w:color="auto" w:fill="DEEAF6"/>
            <w:vAlign w:val="top"/>
          </w:tcPr>
          <w:p w14:paraId="2177D72B">
            <w:pPr>
              <w:spacing w:line="273" w:lineRule="auto"/>
              <w:rPr>
                <w:rFonts w:ascii="Arial"/>
                <w:sz w:val="21"/>
              </w:rPr>
            </w:pPr>
          </w:p>
          <w:p w14:paraId="28EB9504">
            <w:pPr>
              <w:spacing w:line="274" w:lineRule="auto"/>
              <w:rPr>
                <w:rFonts w:ascii="Arial"/>
                <w:sz w:val="21"/>
              </w:rPr>
            </w:pPr>
          </w:p>
          <w:p w14:paraId="7E7671DF">
            <w:pPr>
              <w:pStyle w:val="7"/>
              <w:spacing w:before="78" w:line="218" w:lineRule="auto"/>
              <w:ind w:left="207"/>
            </w:pPr>
            <w:r>
              <w:rPr>
                <w:b/>
                <w:bCs/>
                <w:spacing w:val="-18"/>
              </w:rPr>
              <w:t>直径80mm晶彩格贴纸、钢管支撑式</w:t>
            </w:r>
          </w:p>
        </w:tc>
        <w:tc>
          <w:tcPr>
            <w:tcW w:w="1404" w:type="dxa"/>
            <w:tcBorders>
              <w:top w:val="single" w:color="000000" w:sz="4" w:space="0"/>
            </w:tcBorders>
            <w:shd w:val="clear" w:color="auto" w:fill="DEEAF6"/>
            <w:vAlign w:val="top"/>
          </w:tcPr>
          <w:p w14:paraId="6736BED6">
            <w:pPr>
              <w:spacing w:line="273" w:lineRule="auto"/>
              <w:rPr>
                <w:rFonts w:ascii="Arial"/>
                <w:sz w:val="21"/>
              </w:rPr>
            </w:pPr>
          </w:p>
          <w:p w14:paraId="20CC070E">
            <w:pPr>
              <w:spacing w:line="274" w:lineRule="auto"/>
              <w:rPr>
                <w:rFonts w:ascii="Arial"/>
                <w:sz w:val="21"/>
              </w:rPr>
            </w:pPr>
          </w:p>
          <w:p w14:paraId="000967C2">
            <w:pPr>
              <w:pStyle w:val="7"/>
              <w:spacing w:before="78" w:line="219" w:lineRule="auto"/>
              <w:ind w:left="460"/>
            </w:pPr>
            <w:r>
              <w:rPr>
                <w:b/>
                <w:bCs/>
                <w:spacing w:val="-11"/>
              </w:rPr>
              <w:t>30块</w:t>
            </w:r>
          </w:p>
        </w:tc>
        <w:tc>
          <w:tcPr>
            <w:tcW w:w="3261" w:type="dxa"/>
            <w:tcBorders>
              <w:top w:val="single" w:color="5B9BD5" w:sz="4" w:space="0"/>
              <w:right w:val="single" w:color="5B9BD5" w:sz="4" w:space="0"/>
            </w:tcBorders>
            <w:shd w:val="clear" w:color="auto" w:fill="DEEAF6"/>
            <w:vAlign w:val="top"/>
          </w:tcPr>
          <w:p w14:paraId="5DBAC875">
            <w:pPr>
              <w:spacing w:before="33" w:line="58" w:lineRule="exact"/>
              <w:ind w:firstLine="35"/>
            </w:pPr>
            <w:r>
              <w:pict>
                <v:shape id="_x0000_s3943" o:spid="_x0000_s3943" style="position:absolute;left:0pt;margin-left:0pt;margin-top:78.6pt;height:2.9pt;width:162.3pt;mso-position-horizontal-relative:page;mso-position-vertical-relative:page;z-index:252286976;mso-width-relative:page;mso-height-relative:page;" fillcolor="#DEEAF6" filled="t" stroked="f" coordsize="3246,58" path="m0,57l3245,57,3245,0,0,0,0,57xe">
                  <v:path/>
                  <v:fill on="t" focussize="0,0"/>
                  <v:stroke on="f"/>
                  <v:imagedata o:title=""/>
                  <o:lock v:ext="edit"/>
                </v:shape>
              </w:pict>
            </w:r>
            <w:r>
              <w:rPr>
                <w:position w:val="-1"/>
              </w:rPr>
              <w:pict>
                <v:shape id="_x0000_s3944" o:spid="_x0000_s3944" style="height:3pt;width:159.3pt;" fillcolor="#DEEAF6" filled="t" stroked="f" coordsize="3186,60" path="m0,60l3185,60,3185,0,0,0,0,60xe">
                  <v:path/>
                  <v:fill on="t" focussize="0,0"/>
                  <v:stroke on="f"/>
                  <v:imagedata o:title=""/>
                  <o:lock v:ext="edit"/>
                  <w10:wrap type="none"/>
                  <w10:anchorlock/>
                </v:shape>
              </w:pict>
            </w:r>
          </w:p>
          <w:p w14:paraId="62F5D332">
            <w:pPr>
              <w:spacing w:line="1521" w:lineRule="exact"/>
              <w:ind w:firstLine="833"/>
            </w:pPr>
            <w:r>
              <w:rPr>
                <w:position w:val="-30"/>
              </w:rPr>
              <w:drawing>
                <wp:inline distT="0" distB="0" distL="0" distR="0">
                  <wp:extent cx="993140" cy="965835"/>
                  <wp:effectExtent l="0" t="0" r="0" b="0"/>
                  <wp:docPr id="1446" name="IM 1446"/>
                  <wp:cNvGraphicFramePr/>
                  <a:graphic xmlns:a="http://schemas.openxmlformats.org/drawingml/2006/main">
                    <a:graphicData uri="http://schemas.openxmlformats.org/drawingml/2006/picture">
                      <pic:pic xmlns:pic="http://schemas.openxmlformats.org/drawingml/2006/picture">
                        <pic:nvPicPr>
                          <pic:cNvPr id="1446" name="IM 1446"/>
                          <pic:cNvPicPr/>
                        </pic:nvPicPr>
                        <pic:blipFill>
                          <a:blip r:embed="rId677"/>
                          <a:stretch>
                            <a:fillRect/>
                          </a:stretch>
                        </pic:blipFill>
                        <pic:spPr>
                          <a:xfrm>
                            <a:off x="0" y="0"/>
                            <a:ext cx="993140" cy="966089"/>
                          </a:xfrm>
                          <a:prstGeom prst="rect">
                            <a:avLst/>
                          </a:prstGeom>
                        </pic:spPr>
                      </pic:pic>
                    </a:graphicData>
                  </a:graphic>
                </wp:inline>
              </w:drawing>
            </w:r>
          </w:p>
        </w:tc>
      </w:tr>
      <w:tr w14:paraId="466A73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21" w:hRule="atLeast"/>
        </w:trPr>
        <w:tc>
          <w:tcPr>
            <w:tcW w:w="3779" w:type="dxa"/>
            <w:tcBorders>
              <w:left w:val="single" w:color="000000" w:sz="4" w:space="0"/>
            </w:tcBorders>
            <w:vAlign w:val="top"/>
          </w:tcPr>
          <w:p w14:paraId="1072E18A">
            <w:pPr>
              <w:spacing w:line="300" w:lineRule="auto"/>
              <w:rPr>
                <w:rFonts w:ascii="Arial"/>
                <w:sz w:val="21"/>
              </w:rPr>
            </w:pPr>
          </w:p>
          <w:p w14:paraId="78D7C043">
            <w:pPr>
              <w:pStyle w:val="7"/>
              <w:spacing w:before="78" w:line="217" w:lineRule="auto"/>
              <w:ind w:left="138"/>
            </w:pPr>
            <w:r>
              <w:rPr>
                <w:spacing w:val="-18"/>
              </w:rPr>
              <w:t>1.2m×1.7m晶彩格、方管框架、斜撑</w:t>
            </w:r>
          </w:p>
          <w:p w14:paraId="12CF1DA8">
            <w:pPr>
              <w:pStyle w:val="7"/>
              <w:spacing w:before="183" w:line="219" w:lineRule="auto"/>
              <w:ind w:left="1801"/>
            </w:pPr>
            <w:r>
              <w:t>式</w:t>
            </w:r>
          </w:p>
        </w:tc>
        <w:tc>
          <w:tcPr>
            <w:tcW w:w="1404" w:type="dxa"/>
            <w:vAlign w:val="top"/>
          </w:tcPr>
          <w:p w14:paraId="2F4C83D5">
            <w:pPr>
              <w:spacing w:line="266" w:lineRule="auto"/>
              <w:rPr>
                <w:rFonts w:ascii="Arial"/>
                <w:sz w:val="21"/>
              </w:rPr>
            </w:pPr>
          </w:p>
          <w:p w14:paraId="7D0C1011">
            <w:pPr>
              <w:spacing w:line="266" w:lineRule="auto"/>
              <w:rPr>
                <w:rFonts w:ascii="Arial"/>
                <w:sz w:val="21"/>
              </w:rPr>
            </w:pPr>
          </w:p>
          <w:p w14:paraId="1AD25BC0">
            <w:pPr>
              <w:pStyle w:val="7"/>
              <w:spacing w:before="78" w:line="219" w:lineRule="auto"/>
              <w:ind w:left="457"/>
            </w:pPr>
            <w:r>
              <w:rPr>
                <w:spacing w:val="-7"/>
              </w:rPr>
              <w:t>40块</w:t>
            </w:r>
          </w:p>
        </w:tc>
        <w:tc>
          <w:tcPr>
            <w:tcW w:w="3261" w:type="dxa"/>
            <w:tcBorders>
              <w:right w:val="single" w:color="000000" w:sz="4" w:space="0"/>
            </w:tcBorders>
            <w:vAlign w:val="top"/>
          </w:tcPr>
          <w:p w14:paraId="75482FBA">
            <w:pPr>
              <w:spacing w:before="149" w:line="1166" w:lineRule="exact"/>
              <w:ind w:firstLine="487"/>
            </w:pPr>
            <w:r>
              <w:rPr>
                <w:position w:val="-23"/>
              </w:rPr>
              <w:drawing>
                <wp:inline distT="0" distB="0" distL="0" distR="0">
                  <wp:extent cx="1433195" cy="740410"/>
                  <wp:effectExtent l="0" t="0" r="0" b="0"/>
                  <wp:docPr id="1448" name="IM 1448"/>
                  <wp:cNvGraphicFramePr/>
                  <a:graphic xmlns:a="http://schemas.openxmlformats.org/drawingml/2006/main">
                    <a:graphicData uri="http://schemas.openxmlformats.org/drawingml/2006/picture">
                      <pic:pic xmlns:pic="http://schemas.openxmlformats.org/drawingml/2006/picture">
                        <pic:nvPicPr>
                          <pic:cNvPr id="1448" name="IM 1448"/>
                          <pic:cNvPicPr/>
                        </pic:nvPicPr>
                        <pic:blipFill>
                          <a:blip r:embed="rId678"/>
                          <a:stretch>
                            <a:fillRect/>
                          </a:stretch>
                        </pic:blipFill>
                        <pic:spPr>
                          <a:xfrm>
                            <a:off x="0" y="0"/>
                            <a:ext cx="1433829" cy="740410"/>
                          </a:xfrm>
                          <a:prstGeom prst="rect">
                            <a:avLst/>
                          </a:prstGeom>
                        </pic:spPr>
                      </pic:pic>
                    </a:graphicData>
                  </a:graphic>
                </wp:inline>
              </w:drawing>
            </w:r>
          </w:p>
        </w:tc>
      </w:tr>
      <w:tr w14:paraId="60E507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23" w:hRule="atLeast"/>
        </w:trPr>
        <w:tc>
          <w:tcPr>
            <w:tcW w:w="3779" w:type="dxa"/>
            <w:tcBorders>
              <w:left w:val="single" w:color="000000" w:sz="4" w:space="0"/>
            </w:tcBorders>
            <w:vAlign w:val="top"/>
          </w:tcPr>
          <w:p w14:paraId="60F55B84">
            <w:pPr>
              <w:spacing w:line="268" w:lineRule="auto"/>
              <w:rPr>
                <w:rFonts w:ascii="Arial"/>
                <w:sz w:val="21"/>
              </w:rPr>
            </w:pPr>
          </w:p>
          <w:p w14:paraId="609E0445">
            <w:pPr>
              <w:spacing w:line="268" w:lineRule="auto"/>
              <w:rPr>
                <w:rFonts w:ascii="Arial"/>
                <w:sz w:val="21"/>
              </w:rPr>
            </w:pPr>
          </w:p>
          <w:p w14:paraId="0FA6D104">
            <w:pPr>
              <w:pStyle w:val="7"/>
              <w:spacing w:before="78" w:line="218" w:lineRule="auto"/>
              <w:ind w:left="1035"/>
            </w:pPr>
            <w:r>
              <w:rPr>
                <w:spacing w:val="-19"/>
              </w:rPr>
              <w:t>铁马、安全防护锥</w:t>
            </w:r>
          </w:p>
        </w:tc>
        <w:tc>
          <w:tcPr>
            <w:tcW w:w="1404" w:type="dxa"/>
            <w:vAlign w:val="top"/>
          </w:tcPr>
          <w:p w14:paraId="2A2EE3BF">
            <w:pPr>
              <w:spacing w:line="268" w:lineRule="auto"/>
              <w:rPr>
                <w:rFonts w:ascii="Arial"/>
                <w:sz w:val="21"/>
              </w:rPr>
            </w:pPr>
          </w:p>
          <w:p w14:paraId="38159279">
            <w:pPr>
              <w:spacing w:line="268" w:lineRule="auto"/>
              <w:rPr>
                <w:rFonts w:ascii="Arial"/>
                <w:sz w:val="21"/>
              </w:rPr>
            </w:pPr>
          </w:p>
          <w:p w14:paraId="23BB0FBD">
            <w:pPr>
              <w:pStyle w:val="7"/>
              <w:spacing w:before="78" w:line="219" w:lineRule="auto"/>
              <w:ind w:left="277"/>
            </w:pPr>
            <w:r>
              <w:rPr>
                <w:spacing w:val="-2"/>
              </w:rPr>
              <w:t>各500个</w:t>
            </w:r>
          </w:p>
        </w:tc>
        <w:tc>
          <w:tcPr>
            <w:tcW w:w="3261" w:type="dxa"/>
            <w:tcBorders>
              <w:right w:val="single" w:color="000000" w:sz="4" w:space="0"/>
            </w:tcBorders>
            <w:vAlign w:val="top"/>
          </w:tcPr>
          <w:p w14:paraId="50A10503">
            <w:pPr>
              <w:spacing w:before="60" w:line="1468" w:lineRule="exact"/>
              <w:ind w:firstLine="398"/>
            </w:pPr>
            <w:r>
              <w:rPr>
                <w:position w:val="-29"/>
              </w:rPr>
              <w:drawing>
                <wp:inline distT="0" distB="0" distL="0" distR="0">
                  <wp:extent cx="1546225" cy="931545"/>
                  <wp:effectExtent l="0" t="0" r="0" b="0"/>
                  <wp:docPr id="1450" name="IM 1450"/>
                  <wp:cNvGraphicFramePr/>
                  <a:graphic xmlns:a="http://schemas.openxmlformats.org/drawingml/2006/main">
                    <a:graphicData uri="http://schemas.openxmlformats.org/drawingml/2006/picture">
                      <pic:pic xmlns:pic="http://schemas.openxmlformats.org/drawingml/2006/picture">
                        <pic:nvPicPr>
                          <pic:cNvPr id="1450" name="IM 1450"/>
                          <pic:cNvPicPr/>
                        </pic:nvPicPr>
                        <pic:blipFill>
                          <a:blip r:embed="rId679"/>
                          <a:stretch>
                            <a:fillRect/>
                          </a:stretch>
                        </pic:blipFill>
                        <pic:spPr>
                          <a:xfrm>
                            <a:off x="0" y="0"/>
                            <a:ext cx="1546859" cy="932179"/>
                          </a:xfrm>
                          <a:prstGeom prst="rect">
                            <a:avLst/>
                          </a:prstGeom>
                        </pic:spPr>
                      </pic:pic>
                    </a:graphicData>
                  </a:graphic>
                </wp:inline>
              </w:drawing>
            </w:r>
          </w:p>
        </w:tc>
      </w:tr>
      <w:tr w14:paraId="6F6F2B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23" w:hRule="atLeast"/>
        </w:trPr>
        <w:tc>
          <w:tcPr>
            <w:tcW w:w="3779" w:type="dxa"/>
            <w:tcBorders>
              <w:left w:val="single" w:color="000000" w:sz="4" w:space="0"/>
            </w:tcBorders>
            <w:vAlign w:val="top"/>
          </w:tcPr>
          <w:p w14:paraId="2550692F">
            <w:pPr>
              <w:spacing w:line="304" w:lineRule="auto"/>
              <w:rPr>
                <w:rFonts w:ascii="Arial"/>
                <w:sz w:val="21"/>
              </w:rPr>
            </w:pPr>
          </w:p>
          <w:p w14:paraId="01E7E38A">
            <w:pPr>
              <w:pStyle w:val="7"/>
              <w:spacing w:before="78" w:line="217" w:lineRule="auto"/>
              <w:ind w:left="138"/>
            </w:pPr>
            <w:r>
              <w:rPr>
                <w:spacing w:val="-18"/>
              </w:rPr>
              <w:t>1.0m×1.4m晶彩格、方管框架、斜撑</w:t>
            </w:r>
          </w:p>
          <w:p w14:paraId="789BAA0B">
            <w:pPr>
              <w:pStyle w:val="7"/>
              <w:spacing w:before="186" w:line="219" w:lineRule="auto"/>
              <w:ind w:left="1801"/>
            </w:pPr>
            <w:r>
              <w:t>式</w:t>
            </w:r>
          </w:p>
        </w:tc>
        <w:tc>
          <w:tcPr>
            <w:tcW w:w="1404" w:type="dxa"/>
            <w:vAlign w:val="top"/>
          </w:tcPr>
          <w:p w14:paraId="7B794B48">
            <w:pPr>
              <w:spacing w:line="267" w:lineRule="auto"/>
              <w:rPr>
                <w:rFonts w:ascii="Arial"/>
                <w:sz w:val="21"/>
              </w:rPr>
            </w:pPr>
          </w:p>
          <w:p w14:paraId="37408724">
            <w:pPr>
              <w:spacing w:line="268" w:lineRule="auto"/>
              <w:rPr>
                <w:rFonts w:ascii="Arial"/>
                <w:sz w:val="21"/>
              </w:rPr>
            </w:pPr>
          </w:p>
          <w:p w14:paraId="2629219A">
            <w:pPr>
              <w:pStyle w:val="7"/>
              <w:spacing w:before="78" w:line="219" w:lineRule="auto"/>
              <w:ind w:left="476"/>
            </w:pPr>
            <w:r>
              <w:rPr>
                <w:spacing w:val="-13"/>
              </w:rPr>
              <w:t>16块</w:t>
            </w:r>
          </w:p>
        </w:tc>
        <w:tc>
          <w:tcPr>
            <w:tcW w:w="3261" w:type="dxa"/>
            <w:tcBorders>
              <w:right w:val="single" w:color="000000" w:sz="4" w:space="0"/>
            </w:tcBorders>
            <w:vAlign w:val="top"/>
          </w:tcPr>
          <w:p w14:paraId="17EDA936">
            <w:pPr>
              <w:spacing w:line="311" w:lineRule="auto"/>
              <w:rPr>
                <w:rFonts w:ascii="Arial"/>
                <w:sz w:val="21"/>
              </w:rPr>
            </w:pPr>
          </w:p>
          <w:p w14:paraId="019E8446">
            <w:pPr>
              <w:spacing w:line="845" w:lineRule="exact"/>
              <w:ind w:firstLine="348"/>
            </w:pPr>
            <w:r>
              <w:rPr>
                <w:position w:val="-16"/>
              </w:rPr>
              <w:drawing>
                <wp:inline distT="0" distB="0" distL="0" distR="0">
                  <wp:extent cx="1609090" cy="536575"/>
                  <wp:effectExtent l="0" t="0" r="0" b="0"/>
                  <wp:docPr id="1452" name="IM 1452"/>
                  <wp:cNvGraphicFramePr/>
                  <a:graphic xmlns:a="http://schemas.openxmlformats.org/drawingml/2006/main">
                    <a:graphicData uri="http://schemas.openxmlformats.org/drawingml/2006/picture">
                      <pic:pic xmlns:pic="http://schemas.openxmlformats.org/drawingml/2006/picture">
                        <pic:nvPicPr>
                          <pic:cNvPr id="1452" name="IM 1452"/>
                          <pic:cNvPicPr/>
                        </pic:nvPicPr>
                        <pic:blipFill>
                          <a:blip r:embed="rId680"/>
                          <a:stretch>
                            <a:fillRect/>
                          </a:stretch>
                        </pic:blipFill>
                        <pic:spPr>
                          <a:xfrm>
                            <a:off x="0" y="0"/>
                            <a:ext cx="1609090" cy="536575"/>
                          </a:xfrm>
                          <a:prstGeom prst="rect">
                            <a:avLst/>
                          </a:prstGeom>
                        </pic:spPr>
                      </pic:pic>
                    </a:graphicData>
                  </a:graphic>
                </wp:inline>
              </w:drawing>
            </w:r>
          </w:p>
        </w:tc>
      </w:tr>
      <w:tr w14:paraId="44EC9C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51" w:hRule="atLeast"/>
        </w:trPr>
        <w:tc>
          <w:tcPr>
            <w:tcW w:w="3779" w:type="dxa"/>
            <w:tcBorders>
              <w:left w:val="single" w:color="000000" w:sz="4" w:space="0"/>
            </w:tcBorders>
            <w:vAlign w:val="top"/>
          </w:tcPr>
          <w:p w14:paraId="3BD171D9">
            <w:pPr>
              <w:spacing w:line="326" w:lineRule="auto"/>
              <w:rPr>
                <w:rFonts w:ascii="Arial"/>
                <w:sz w:val="21"/>
              </w:rPr>
            </w:pPr>
          </w:p>
          <w:p w14:paraId="4A7A21BD">
            <w:pPr>
              <w:spacing w:line="326" w:lineRule="auto"/>
              <w:rPr>
                <w:rFonts w:ascii="Arial"/>
                <w:sz w:val="21"/>
              </w:rPr>
            </w:pPr>
          </w:p>
          <w:p w14:paraId="24648024">
            <w:pPr>
              <w:pStyle w:val="7"/>
              <w:spacing w:before="78" w:line="218" w:lineRule="auto"/>
              <w:ind w:left="217"/>
            </w:pPr>
            <w:r>
              <w:rPr>
                <w:spacing w:val="-17"/>
              </w:rPr>
              <w:t>直径80mm晶彩格贴纸、钢管支撑式</w:t>
            </w:r>
          </w:p>
        </w:tc>
        <w:tc>
          <w:tcPr>
            <w:tcW w:w="1404" w:type="dxa"/>
            <w:vAlign w:val="top"/>
          </w:tcPr>
          <w:p w14:paraId="16F42678">
            <w:pPr>
              <w:spacing w:line="325" w:lineRule="auto"/>
              <w:rPr>
                <w:rFonts w:ascii="Arial"/>
                <w:sz w:val="21"/>
              </w:rPr>
            </w:pPr>
          </w:p>
          <w:p w14:paraId="2EAEEDB2">
            <w:pPr>
              <w:spacing w:line="326" w:lineRule="auto"/>
              <w:rPr>
                <w:rFonts w:ascii="Arial"/>
                <w:sz w:val="21"/>
              </w:rPr>
            </w:pPr>
          </w:p>
          <w:p w14:paraId="365A579F">
            <w:pPr>
              <w:pStyle w:val="7"/>
              <w:spacing w:before="78" w:line="219" w:lineRule="auto"/>
              <w:ind w:left="463"/>
            </w:pPr>
            <w:r>
              <w:rPr>
                <w:spacing w:val="-9"/>
              </w:rPr>
              <w:t>30块</w:t>
            </w:r>
          </w:p>
        </w:tc>
        <w:tc>
          <w:tcPr>
            <w:tcW w:w="3261" w:type="dxa"/>
            <w:tcBorders>
              <w:right w:val="single" w:color="000000" w:sz="4" w:space="0"/>
            </w:tcBorders>
            <w:vAlign w:val="top"/>
          </w:tcPr>
          <w:p w14:paraId="600BF560">
            <w:pPr>
              <w:spacing w:before="62" w:line="1779" w:lineRule="exact"/>
              <w:ind w:firstLine="734"/>
            </w:pPr>
            <w:r>
              <w:rPr>
                <w:position w:val="-35"/>
              </w:rPr>
              <w:drawing>
                <wp:inline distT="0" distB="0" distL="0" distR="0">
                  <wp:extent cx="1120140" cy="1129030"/>
                  <wp:effectExtent l="0" t="0" r="0" b="0"/>
                  <wp:docPr id="1454" name="IM 1454"/>
                  <wp:cNvGraphicFramePr/>
                  <a:graphic xmlns:a="http://schemas.openxmlformats.org/drawingml/2006/main">
                    <a:graphicData uri="http://schemas.openxmlformats.org/drawingml/2006/picture">
                      <pic:pic xmlns:pic="http://schemas.openxmlformats.org/drawingml/2006/picture">
                        <pic:nvPicPr>
                          <pic:cNvPr id="1454" name="IM 1454"/>
                          <pic:cNvPicPr/>
                        </pic:nvPicPr>
                        <pic:blipFill>
                          <a:blip r:embed="rId681"/>
                          <a:stretch>
                            <a:fillRect/>
                          </a:stretch>
                        </pic:blipFill>
                        <pic:spPr>
                          <a:xfrm>
                            <a:off x="0" y="0"/>
                            <a:ext cx="1120140" cy="1129030"/>
                          </a:xfrm>
                          <a:prstGeom prst="rect">
                            <a:avLst/>
                          </a:prstGeom>
                        </pic:spPr>
                      </pic:pic>
                    </a:graphicData>
                  </a:graphic>
                </wp:inline>
              </w:drawing>
            </w:r>
          </w:p>
        </w:tc>
      </w:tr>
      <w:tr w14:paraId="4AD7BA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19" w:hRule="atLeast"/>
        </w:trPr>
        <w:tc>
          <w:tcPr>
            <w:tcW w:w="3779" w:type="dxa"/>
            <w:tcBorders>
              <w:left w:val="single" w:color="1C456A" w:sz="4" w:space="0"/>
              <w:bottom w:val="single" w:color="1C456A" w:sz="4" w:space="0"/>
            </w:tcBorders>
            <w:vAlign w:val="top"/>
          </w:tcPr>
          <w:p w14:paraId="0CF26075">
            <w:pPr>
              <w:spacing w:line="334" w:lineRule="auto"/>
              <w:rPr>
                <w:rFonts w:ascii="Arial"/>
                <w:sz w:val="21"/>
              </w:rPr>
            </w:pPr>
            <w:r>
              <w:pict>
                <v:shape id="_x0000_s3945" o:spid="_x0000_s3945" style="position:absolute;left:0pt;margin-left:-0.2pt;margin-top:86pt;height:0.75pt;width:2.2pt;mso-position-horizontal-relative:page;mso-position-vertical-relative:page;z-index:252285952;mso-width-relative:page;mso-height-relative:page;" fillcolor="#5B9BD5" filled="t" stroked="f" coordsize="44,15" path="m0,14l43,14,43,0,0,0,0,14xe">
                  <v:path/>
                  <v:fill on="t" focussize="0,0"/>
                  <v:stroke on="f"/>
                  <v:imagedata o:title=""/>
                  <o:lock v:ext="edit"/>
                </v:shape>
              </w:pict>
            </w:r>
          </w:p>
          <w:p w14:paraId="09CF51A5">
            <w:pPr>
              <w:pStyle w:val="7"/>
              <w:spacing w:before="78" w:line="217" w:lineRule="auto"/>
              <w:ind w:left="138"/>
            </w:pPr>
            <w:r>
              <w:rPr>
                <w:spacing w:val="-18"/>
              </w:rPr>
              <w:t>1.0m×1.4m晶彩格、方管框架、钢管</w:t>
            </w:r>
          </w:p>
          <w:p w14:paraId="2A3D2C87">
            <w:pPr>
              <w:pStyle w:val="7"/>
              <w:spacing w:before="186" w:line="219" w:lineRule="auto"/>
              <w:ind w:left="1577"/>
            </w:pPr>
            <w:r>
              <w:rPr>
                <w:spacing w:val="-13"/>
              </w:rPr>
              <w:t>支撑式</w:t>
            </w:r>
          </w:p>
        </w:tc>
        <w:tc>
          <w:tcPr>
            <w:tcW w:w="1404" w:type="dxa"/>
            <w:tcBorders>
              <w:bottom w:val="single" w:color="000000" w:sz="4" w:space="0"/>
            </w:tcBorders>
            <w:vAlign w:val="top"/>
          </w:tcPr>
          <w:p w14:paraId="485F638A">
            <w:pPr>
              <w:spacing w:line="284" w:lineRule="auto"/>
              <w:rPr>
                <w:rFonts w:ascii="Arial"/>
                <w:sz w:val="21"/>
              </w:rPr>
            </w:pPr>
          </w:p>
          <w:p w14:paraId="31C95636">
            <w:pPr>
              <w:spacing w:line="284" w:lineRule="auto"/>
              <w:rPr>
                <w:rFonts w:ascii="Arial"/>
                <w:sz w:val="21"/>
              </w:rPr>
            </w:pPr>
          </w:p>
          <w:p w14:paraId="6A8D64B6">
            <w:pPr>
              <w:pStyle w:val="7"/>
              <w:spacing w:before="78" w:line="219" w:lineRule="auto"/>
              <w:ind w:left="463"/>
            </w:pPr>
            <w:r>
              <w:rPr>
                <w:spacing w:val="-9"/>
              </w:rPr>
              <w:t>30块</w:t>
            </w:r>
          </w:p>
        </w:tc>
        <w:tc>
          <w:tcPr>
            <w:tcW w:w="3261" w:type="dxa"/>
            <w:tcBorders>
              <w:bottom w:val="single" w:color="5B9BD5" w:sz="4" w:space="0"/>
              <w:right w:val="single" w:color="5B9BD5" w:sz="4" w:space="0"/>
            </w:tcBorders>
            <w:vAlign w:val="top"/>
          </w:tcPr>
          <w:p w14:paraId="0C2EEF27">
            <w:pPr>
              <w:spacing w:before="63" w:line="1464" w:lineRule="exact"/>
              <w:ind w:firstLine="597"/>
            </w:pPr>
            <w:r>
              <w:pict>
                <v:shape id="_x0000_s3946" o:spid="_x0000_s3946" style="position:absolute;left:0pt;margin-left:161.2pt;margin-top:86pt;height:0.75pt;width:2.2pt;mso-position-horizontal-relative:page;mso-position-vertical-relative:page;z-index:252284928;mso-width-relative:page;mso-height-relative:page;" fillcolor="#5B9BD5" filled="t" stroked="f" coordsize="44,15" path="m0,14l43,14,43,0,0,0,0,14xe">
                  <v:path/>
                  <v:fill on="t" focussize="0,0"/>
                  <v:stroke on="f"/>
                  <v:imagedata o:title=""/>
                  <o:lock v:ext="edit"/>
                </v:shape>
              </w:pict>
            </w:r>
            <w:r>
              <w:rPr>
                <w:position w:val="-29"/>
              </w:rPr>
              <w:drawing>
                <wp:inline distT="0" distB="0" distL="0" distR="0">
                  <wp:extent cx="1292225" cy="929005"/>
                  <wp:effectExtent l="0" t="0" r="0" b="0"/>
                  <wp:docPr id="1456" name="IM 1456"/>
                  <wp:cNvGraphicFramePr/>
                  <a:graphic xmlns:a="http://schemas.openxmlformats.org/drawingml/2006/main">
                    <a:graphicData uri="http://schemas.openxmlformats.org/drawingml/2006/picture">
                      <pic:pic xmlns:pic="http://schemas.openxmlformats.org/drawingml/2006/picture">
                        <pic:nvPicPr>
                          <pic:cNvPr id="1456" name="IM 1456"/>
                          <pic:cNvPicPr/>
                        </pic:nvPicPr>
                        <pic:blipFill>
                          <a:blip r:embed="rId682"/>
                          <a:stretch>
                            <a:fillRect/>
                          </a:stretch>
                        </pic:blipFill>
                        <pic:spPr>
                          <a:xfrm>
                            <a:off x="0" y="0"/>
                            <a:ext cx="1292859" cy="929639"/>
                          </a:xfrm>
                          <a:prstGeom prst="rect">
                            <a:avLst/>
                          </a:prstGeom>
                        </pic:spPr>
                      </pic:pic>
                    </a:graphicData>
                  </a:graphic>
                </wp:inline>
              </w:drawing>
            </w:r>
          </w:p>
        </w:tc>
      </w:tr>
    </w:tbl>
    <w:p w14:paraId="4919E0A7">
      <w:pPr>
        <w:rPr>
          <w:rFonts w:ascii="Arial"/>
          <w:sz w:val="21"/>
        </w:rPr>
      </w:pPr>
    </w:p>
    <w:p w14:paraId="35498F75">
      <w:pPr>
        <w:rPr>
          <w:rFonts w:ascii="Arial" w:hAnsi="Arial" w:eastAsia="Arial" w:cs="Arial"/>
          <w:sz w:val="21"/>
          <w:szCs w:val="21"/>
        </w:rPr>
        <w:sectPr>
          <w:footerReference r:id="rId354" w:type="default"/>
          <w:pgSz w:w="11907" w:h="16839"/>
          <w:pgMar w:top="933" w:right="4" w:bottom="1038" w:left="0" w:header="478" w:footer="357" w:gutter="0"/>
          <w:pgBorders>
            <w:top w:val="none" w:sz="0" w:space="0"/>
            <w:left w:val="none" w:sz="0" w:space="0"/>
            <w:bottom w:val="none" w:sz="0" w:space="0"/>
            <w:right w:val="none" w:sz="0" w:space="0"/>
          </w:pgBorders>
          <w:cols w:space="720" w:num="1"/>
        </w:sectPr>
      </w:pPr>
    </w:p>
    <w:p w14:paraId="6F90D94C">
      <w:pPr>
        <w:spacing w:line="235" w:lineRule="exact"/>
      </w:pPr>
    </w:p>
    <w:tbl>
      <w:tblPr>
        <w:tblStyle w:val="6"/>
        <w:tblW w:w="8444" w:type="dxa"/>
        <w:tblInd w:w="173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774"/>
        <w:gridCol w:w="1407"/>
        <w:gridCol w:w="3263"/>
      </w:tblGrid>
      <w:tr w14:paraId="3CE279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11" w:hRule="atLeast"/>
        </w:trPr>
        <w:tc>
          <w:tcPr>
            <w:tcW w:w="3774" w:type="dxa"/>
            <w:tcBorders>
              <w:top w:val="single" w:color="000000" w:sz="4" w:space="0"/>
              <w:left w:val="single" w:color="000000" w:sz="4" w:space="0"/>
            </w:tcBorders>
            <w:vAlign w:val="top"/>
          </w:tcPr>
          <w:p w14:paraId="1D9B57FE">
            <w:pPr>
              <w:spacing w:line="363" w:lineRule="auto"/>
              <w:rPr>
                <w:rFonts w:ascii="Arial"/>
                <w:sz w:val="21"/>
              </w:rPr>
            </w:pPr>
          </w:p>
          <w:p w14:paraId="77809123">
            <w:pPr>
              <w:pStyle w:val="7"/>
              <w:spacing w:before="78" w:line="217" w:lineRule="auto"/>
              <w:ind w:left="106"/>
            </w:pPr>
            <w:r>
              <w:rPr>
                <w:spacing w:val="-17"/>
              </w:rPr>
              <w:t>直径80mm晶彩格、方管框架、钢管支</w:t>
            </w:r>
          </w:p>
          <w:p w14:paraId="6EDB75CC">
            <w:pPr>
              <w:pStyle w:val="7"/>
              <w:spacing w:before="183" w:line="219" w:lineRule="auto"/>
              <w:ind w:left="1690"/>
            </w:pPr>
            <w:r>
              <w:rPr>
                <w:spacing w:val="-10"/>
              </w:rPr>
              <w:t>撑式</w:t>
            </w:r>
          </w:p>
        </w:tc>
        <w:tc>
          <w:tcPr>
            <w:tcW w:w="1407" w:type="dxa"/>
            <w:tcBorders>
              <w:top w:val="single" w:color="000000" w:sz="4" w:space="0"/>
            </w:tcBorders>
            <w:vAlign w:val="top"/>
          </w:tcPr>
          <w:p w14:paraId="3DC0AE57">
            <w:pPr>
              <w:spacing w:line="297" w:lineRule="auto"/>
              <w:rPr>
                <w:rFonts w:ascii="Arial"/>
                <w:sz w:val="21"/>
              </w:rPr>
            </w:pPr>
          </w:p>
          <w:p w14:paraId="4A810B49">
            <w:pPr>
              <w:spacing w:line="298" w:lineRule="auto"/>
              <w:rPr>
                <w:rFonts w:ascii="Arial"/>
                <w:sz w:val="21"/>
              </w:rPr>
            </w:pPr>
          </w:p>
          <w:p w14:paraId="323FACB6">
            <w:pPr>
              <w:pStyle w:val="7"/>
              <w:spacing w:before="78" w:line="219" w:lineRule="auto"/>
              <w:ind w:left="462"/>
            </w:pPr>
            <w:r>
              <w:rPr>
                <w:spacing w:val="-7"/>
              </w:rPr>
              <w:t>40块</w:t>
            </w:r>
          </w:p>
        </w:tc>
        <w:tc>
          <w:tcPr>
            <w:tcW w:w="3263" w:type="dxa"/>
            <w:tcBorders>
              <w:top w:val="single" w:color="5B9BD5" w:sz="4" w:space="0"/>
              <w:right w:val="single" w:color="5B9BD5" w:sz="4" w:space="0"/>
            </w:tcBorders>
            <w:vAlign w:val="top"/>
          </w:tcPr>
          <w:p w14:paraId="55F3A286">
            <w:pPr>
              <w:spacing w:before="218" w:line="1289" w:lineRule="exact"/>
              <w:ind w:firstLine="881"/>
            </w:pPr>
            <w:r>
              <w:rPr>
                <w:position w:val="-25"/>
              </w:rPr>
              <w:drawing>
                <wp:inline distT="0" distB="0" distL="0" distR="0">
                  <wp:extent cx="822325" cy="818515"/>
                  <wp:effectExtent l="0" t="0" r="0" b="0"/>
                  <wp:docPr id="1460" name="IM 1460"/>
                  <wp:cNvGraphicFramePr/>
                  <a:graphic xmlns:a="http://schemas.openxmlformats.org/drawingml/2006/main">
                    <a:graphicData uri="http://schemas.openxmlformats.org/drawingml/2006/picture">
                      <pic:pic xmlns:pic="http://schemas.openxmlformats.org/drawingml/2006/picture">
                        <pic:nvPicPr>
                          <pic:cNvPr id="1460" name="IM 1460"/>
                          <pic:cNvPicPr/>
                        </pic:nvPicPr>
                        <pic:blipFill>
                          <a:blip r:embed="rId683"/>
                          <a:stretch>
                            <a:fillRect/>
                          </a:stretch>
                        </pic:blipFill>
                        <pic:spPr>
                          <a:xfrm>
                            <a:off x="0" y="0"/>
                            <a:ext cx="822959" cy="818515"/>
                          </a:xfrm>
                          <a:prstGeom prst="rect">
                            <a:avLst/>
                          </a:prstGeom>
                        </pic:spPr>
                      </pic:pic>
                    </a:graphicData>
                  </a:graphic>
                </wp:inline>
              </w:drawing>
            </w:r>
          </w:p>
        </w:tc>
      </w:tr>
      <w:tr w14:paraId="31465C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17" w:hRule="atLeast"/>
        </w:trPr>
        <w:tc>
          <w:tcPr>
            <w:tcW w:w="3774" w:type="dxa"/>
            <w:tcBorders>
              <w:left w:val="single" w:color="1C456A" w:sz="4" w:space="0"/>
              <w:bottom w:val="single" w:color="1C456A" w:sz="4" w:space="0"/>
            </w:tcBorders>
            <w:vAlign w:val="top"/>
          </w:tcPr>
          <w:p w14:paraId="08639DDE">
            <w:pPr>
              <w:spacing w:line="332" w:lineRule="auto"/>
              <w:rPr>
                <w:rFonts w:ascii="Arial"/>
                <w:sz w:val="21"/>
              </w:rPr>
            </w:pPr>
          </w:p>
          <w:p w14:paraId="51C35C04">
            <w:pPr>
              <w:pStyle w:val="7"/>
              <w:spacing w:before="78" w:line="217" w:lineRule="auto"/>
              <w:ind w:left="106"/>
            </w:pPr>
            <w:r>
              <w:rPr>
                <w:spacing w:val="-18"/>
              </w:rPr>
              <w:t>直径80mm晶彩格、方管框架、钢管支</w:t>
            </w:r>
          </w:p>
          <w:p w14:paraId="7C5BB01E">
            <w:pPr>
              <w:pStyle w:val="7"/>
              <w:spacing w:before="186" w:line="219" w:lineRule="auto"/>
              <w:ind w:left="1690"/>
            </w:pPr>
            <w:r>
              <w:rPr>
                <w:spacing w:val="-10"/>
              </w:rPr>
              <w:t>撑式</w:t>
            </w:r>
          </w:p>
        </w:tc>
        <w:tc>
          <w:tcPr>
            <w:tcW w:w="1407" w:type="dxa"/>
            <w:tcBorders>
              <w:bottom w:val="single" w:color="000000" w:sz="4" w:space="0"/>
            </w:tcBorders>
            <w:vAlign w:val="top"/>
          </w:tcPr>
          <w:p w14:paraId="5414B90E">
            <w:pPr>
              <w:spacing w:line="282" w:lineRule="auto"/>
              <w:rPr>
                <w:rFonts w:ascii="Arial"/>
                <w:sz w:val="21"/>
              </w:rPr>
            </w:pPr>
          </w:p>
          <w:p w14:paraId="68261285">
            <w:pPr>
              <w:spacing w:line="282" w:lineRule="auto"/>
              <w:rPr>
                <w:rFonts w:ascii="Arial"/>
                <w:sz w:val="21"/>
              </w:rPr>
            </w:pPr>
          </w:p>
          <w:p w14:paraId="60C0ADA8">
            <w:pPr>
              <w:pStyle w:val="7"/>
              <w:spacing w:before="78" w:line="219" w:lineRule="auto"/>
              <w:ind w:left="462"/>
            </w:pPr>
            <w:r>
              <w:rPr>
                <w:spacing w:val="-7"/>
              </w:rPr>
              <w:t>40块</w:t>
            </w:r>
          </w:p>
        </w:tc>
        <w:tc>
          <w:tcPr>
            <w:tcW w:w="3263" w:type="dxa"/>
            <w:tcBorders>
              <w:bottom w:val="single" w:color="5B9BD5" w:sz="4" w:space="0"/>
              <w:right w:val="single" w:color="5B9BD5" w:sz="4" w:space="0"/>
            </w:tcBorders>
            <w:vAlign w:val="top"/>
          </w:tcPr>
          <w:p w14:paraId="2D11E2D3">
            <w:pPr>
              <w:spacing w:before="95" w:line="1342" w:lineRule="exact"/>
              <w:ind w:firstLine="935"/>
            </w:pPr>
            <w:r>
              <w:rPr>
                <w:position w:val="-26"/>
              </w:rPr>
              <w:drawing>
                <wp:inline distT="0" distB="0" distL="0" distR="0">
                  <wp:extent cx="866775" cy="851535"/>
                  <wp:effectExtent l="0" t="0" r="0" b="0"/>
                  <wp:docPr id="1462" name="IM 1462"/>
                  <wp:cNvGraphicFramePr/>
                  <a:graphic xmlns:a="http://schemas.openxmlformats.org/drawingml/2006/main">
                    <a:graphicData uri="http://schemas.openxmlformats.org/drawingml/2006/picture">
                      <pic:pic xmlns:pic="http://schemas.openxmlformats.org/drawingml/2006/picture">
                        <pic:nvPicPr>
                          <pic:cNvPr id="1462" name="IM 1462"/>
                          <pic:cNvPicPr/>
                        </pic:nvPicPr>
                        <pic:blipFill>
                          <a:blip r:embed="rId684"/>
                          <a:stretch>
                            <a:fillRect/>
                          </a:stretch>
                        </pic:blipFill>
                        <pic:spPr>
                          <a:xfrm>
                            <a:off x="0" y="0"/>
                            <a:ext cx="867409" cy="852169"/>
                          </a:xfrm>
                          <a:prstGeom prst="rect">
                            <a:avLst/>
                          </a:prstGeom>
                        </pic:spPr>
                      </pic:pic>
                    </a:graphicData>
                  </a:graphic>
                </wp:inline>
              </w:drawing>
            </w:r>
          </w:p>
        </w:tc>
      </w:tr>
    </w:tbl>
    <w:p w14:paraId="0ACC3AC7">
      <w:pPr>
        <w:pStyle w:val="2"/>
        <w:spacing w:before="62" w:line="217" w:lineRule="auto"/>
        <w:ind w:left="3611"/>
        <w:outlineLvl w:val="1"/>
        <w:rPr>
          <w:sz w:val="30"/>
          <w:szCs w:val="30"/>
        </w:rPr>
      </w:pPr>
      <w:bookmarkStart w:id="250" w:name="bookmark240"/>
      <w:bookmarkEnd w:id="250"/>
      <w:r>
        <w:rPr>
          <w:b/>
          <w:bCs/>
          <w:color w:val="0070C0"/>
          <w:spacing w:val="-24"/>
          <w:sz w:val="30"/>
          <w:szCs w:val="30"/>
        </w:rPr>
        <w:t>第八节、扬尘治理及施工噪声控制方案</w:t>
      </w:r>
    </w:p>
    <w:p w14:paraId="13C8B1E4">
      <w:pPr>
        <w:pStyle w:val="2"/>
        <w:spacing w:before="63" w:line="218" w:lineRule="auto"/>
        <w:ind w:left="1981"/>
        <w:outlineLvl w:val="2"/>
        <w:rPr>
          <w:sz w:val="28"/>
          <w:szCs w:val="28"/>
        </w:rPr>
      </w:pPr>
      <w:bookmarkStart w:id="251" w:name="bookmark241"/>
      <w:bookmarkEnd w:id="251"/>
      <w:r>
        <w:rPr>
          <w:b/>
          <w:bCs/>
          <w:spacing w:val="-22"/>
          <w:sz w:val="28"/>
          <w:szCs w:val="28"/>
        </w:rPr>
        <w:t>一、重点、难点分析</w:t>
      </w:r>
    </w:p>
    <w:p w14:paraId="64422D90">
      <w:pPr>
        <w:pStyle w:val="2"/>
        <w:spacing w:before="105" w:line="294" w:lineRule="auto"/>
        <w:ind w:left="1458" w:right="1428" w:firstLine="435"/>
        <w:rPr>
          <w:sz w:val="24"/>
          <w:szCs w:val="24"/>
        </w:rPr>
      </w:pPr>
      <w:r>
        <w:rPr>
          <w:spacing w:val="-20"/>
          <w:sz w:val="24"/>
          <w:szCs w:val="24"/>
        </w:rPr>
        <w:t>本工程安全文明施工要求高，为确保施工过程中城市市容市貌</w:t>
      </w:r>
      <w:r>
        <w:rPr>
          <w:spacing w:val="-21"/>
          <w:sz w:val="24"/>
          <w:szCs w:val="24"/>
        </w:rPr>
        <w:t>的干净整洁，文明施工，做好工地扬尘治理及施工噪声控</w:t>
      </w:r>
      <w:r>
        <w:rPr>
          <w:spacing w:val="-22"/>
          <w:sz w:val="24"/>
          <w:szCs w:val="24"/>
        </w:rPr>
        <w:t>制是本工程重、难点。</w:t>
      </w:r>
    </w:p>
    <w:p w14:paraId="78B7398B">
      <w:pPr>
        <w:pStyle w:val="2"/>
        <w:spacing w:line="217" w:lineRule="auto"/>
        <w:ind w:left="1986"/>
        <w:outlineLvl w:val="2"/>
        <w:rPr>
          <w:sz w:val="28"/>
          <w:szCs w:val="28"/>
        </w:rPr>
      </w:pPr>
      <w:bookmarkStart w:id="252" w:name="bookmark242"/>
      <w:bookmarkEnd w:id="252"/>
      <w:r>
        <w:rPr>
          <w:b/>
          <w:bCs/>
          <w:spacing w:val="-22"/>
          <w:sz w:val="28"/>
          <w:szCs w:val="28"/>
        </w:rPr>
        <w:t>二、对应保障措施</w:t>
      </w:r>
    </w:p>
    <w:p w14:paraId="530B3FB7">
      <w:pPr>
        <w:pStyle w:val="2"/>
        <w:spacing w:before="102" w:line="295" w:lineRule="auto"/>
        <w:ind w:left="1456" w:right="1409" w:firstLine="447"/>
        <w:rPr>
          <w:sz w:val="24"/>
          <w:szCs w:val="24"/>
        </w:rPr>
      </w:pPr>
      <w:r>
        <w:rPr>
          <w:spacing w:val="-20"/>
          <w:sz w:val="24"/>
          <w:szCs w:val="24"/>
        </w:rPr>
        <w:t>1、承包人必须确保安全文明施工，必须严</w:t>
      </w:r>
      <w:r>
        <w:rPr>
          <w:spacing w:val="-21"/>
          <w:sz w:val="24"/>
          <w:szCs w:val="24"/>
        </w:rPr>
        <w:t>格执行国务院393号令《建设工程安全生产管理</w:t>
      </w:r>
      <w:r>
        <w:rPr>
          <w:spacing w:val="-22"/>
          <w:sz w:val="24"/>
          <w:szCs w:val="24"/>
        </w:rPr>
        <w:t>条例》。必须严格执行《</w:t>
      </w:r>
      <w:r>
        <w:rPr>
          <w:spacing w:val="-23"/>
          <w:sz w:val="24"/>
          <w:szCs w:val="24"/>
        </w:rPr>
        <w:t>设系统创</w:t>
      </w:r>
      <w:r>
        <w:rPr>
          <w:spacing w:val="-20"/>
          <w:sz w:val="24"/>
          <w:szCs w:val="24"/>
        </w:rPr>
        <w:t>文明城市工作实施细则》，确保符合创建文明卫生城市要求。所有施工工地严格落实标</w:t>
      </w:r>
      <w:r>
        <w:rPr>
          <w:spacing w:val="-22"/>
          <w:sz w:val="24"/>
          <w:szCs w:val="24"/>
        </w:rPr>
        <w:t>准化围挡（3米高度，外观干净整洁）并沿围挡每隔（最大）5米设自动</w:t>
      </w:r>
      <w:r>
        <w:rPr>
          <w:spacing w:val="-23"/>
          <w:sz w:val="24"/>
          <w:szCs w:val="24"/>
        </w:rPr>
        <w:t>喷淋降尘系统，落实出</w:t>
      </w:r>
      <w:r>
        <w:rPr>
          <w:spacing w:val="-20"/>
          <w:sz w:val="24"/>
          <w:szCs w:val="24"/>
        </w:rPr>
        <w:t>入口自动冲洗平台、出入口硬化、工地内临时道路硬化、视频监控及扬尘自动监控系统等各项扬尘污染防治措施，经主管部门验收合格后方可开工（或续工）建设。施工工地自动喷淋降尘系统须在7：00—22:00实施连续喷淋。当出现以下情况，由大气办发布通知，</w:t>
      </w:r>
      <w:r>
        <w:rPr>
          <w:spacing w:val="-21"/>
          <w:sz w:val="24"/>
          <w:szCs w:val="24"/>
        </w:rPr>
        <w:t>实施临时管控：</w:t>
      </w:r>
    </w:p>
    <w:p w14:paraId="233F92FF">
      <w:pPr>
        <w:pStyle w:val="2"/>
        <w:spacing w:before="119" w:line="262" w:lineRule="auto"/>
        <w:ind w:left="1459" w:right="1351" w:firstLine="426"/>
        <w:rPr>
          <w:sz w:val="24"/>
          <w:szCs w:val="24"/>
        </w:rPr>
      </w:pPr>
      <w:r>
        <w:rPr>
          <w:spacing w:val="-22"/>
          <w:sz w:val="24"/>
          <w:szCs w:val="24"/>
        </w:rPr>
        <w:t>①当扬尘自动监控系统PM10超过75微克/立方米时，工地（含渣土运输）必须停工、停运，</w:t>
      </w:r>
      <w:r>
        <w:rPr>
          <w:spacing w:val="-23"/>
          <w:sz w:val="24"/>
          <w:szCs w:val="24"/>
        </w:rPr>
        <w:t>并加强施工场区的洒水、喷雾等降尘措施；</w:t>
      </w:r>
    </w:p>
    <w:p w14:paraId="4EEC9AE1">
      <w:pPr>
        <w:pStyle w:val="2"/>
        <w:spacing w:before="115" w:line="299" w:lineRule="auto"/>
        <w:ind w:left="1455" w:right="1409" w:firstLine="429"/>
        <w:rPr>
          <w:sz w:val="24"/>
          <w:szCs w:val="24"/>
        </w:rPr>
      </w:pPr>
      <w:r>
        <w:rPr>
          <w:spacing w:val="-19"/>
          <w:sz w:val="24"/>
          <w:szCs w:val="24"/>
        </w:rPr>
        <w:t>②当风力达四级及以上时，禁止土石方挖填和转运、爆破和</w:t>
      </w:r>
      <w:r>
        <w:rPr>
          <w:spacing w:val="-20"/>
          <w:sz w:val="24"/>
          <w:szCs w:val="24"/>
        </w:rPr>
        <w:t>建（构）筑物拆除、路基工程施工、路面整修施工、施工现场沥青溶化等作业。工地内裸露黄土不施工时须做到全覆盖；车辆冲洗干净后方可驶出工地，不得先污染后清理；禁止有污染车辆进入工地，否则对工地方予以处理；工地内部道路及物料堆放区域必须严格落实常态保洁、洒水保湿和覆盖等降尘措施。对取土作业、爆破和建（构）筑物拆除等，必须持续开启雾炮车实施喷雾降尘。（施工现场项</w:t>
      </w:r>
      <w:r>
        <w:rPr>
          <w:spacing w:val="-22"/>
          <w:sz w:val="24"/>
          <w:szCs w:val="24"/>
        </w:rPr>
        <w:t>目部、工地进出入口处（或道路重要交口）、工程重要</w:t>
      </w:r>
      <w:r>
        <w:rPr>
          <w:spacing w:val="-23"/>
          <w:sz w:val="24"/>
          <w:szCs w:val="24"/>
        </w:rPr>
        <w:t>施工节点必须设置视频探头、PM2.5检测</w:t>
      </w:r>
      <w:r>
        <w:rPr>
          <w:spacing w:val="-20"/>
          <w:sz w:val="24"/>
          <w:szCs w:val="24"/>
        </w:rPr>
        <w:t>仪，道路每增加1公里，其视频探头及PM2.5检测仪相应各</w:t>
      </w:r>
      <w:r>
        <w:rPr>
          <w:spacing w:val="-21"/>
          <w:sz w:val="24"/>
          <w:szCs w:val="24"/>
        </w:rPr>
        <w:t>增加一台；对市政道排工程取土区</w:t>
      </w:r>
      <w:r>
        <w:rPr>
          <w:spacing w:val="-20"/>
          <w:sz w:val="24"/>
          <w:szCs w:val="24"/>
        </w:rPr>
        <w:t>域作业时，须持续开启雾炮车喷雾降尘，出入工地车辆冲洗干净后方可驶出；工地内黄土、建</w:t>
      </w:r>
      <w:r>
        <w:rPr>
          <w:spacing w:val="-21"/>
          <w:sz w:val="24"/>
          <w:szCs w:val="24"/>
        </w:rPr>
        <w:t>筑材料集中对方区域超过24小时不施工的须做到全覆盖，如土方临时堆放点、材料堆放区域、</w:t>
      </w:r>
      <w:r>
        <w:rPr>
          <w:spacing w:val="-22"/>
          <w:sz w:val="24"/>
          <w:szCs w:val="24"/>
        </w:rPr>
        <w:t>设计绿化带区域须绿网全覆盖</w:t>
      </w:r>
      <w:r>
        <w:rPr>
          <w:spacing w:val="-4"/>
          <w:sz w:val="24"/>
          <w:szCs w:val="24"/>
        </w:rPr>
        <w:t>）；</w:t>
      </w:r>
    </w:p>
    <w:p w14:paraId="7D68574D">
      <w:pPr>
        <w:pStyle w:val="2"/>
        <w:spacing w:before="119" w:line="308" w:lineRule="auto"/>
        <w:ind w:left="1457" w:right="1411" w:firstLine="433"/>
        <w:jc w:val="both"/>
        <w:rPr>
          <w:sz w:val="24"/>
          <w:szCs w:val="24"/>
        </w:rPr>
      </w:pPr>
      <w:r>
        <w:rPr>
          <w:spacing w:val="-22"/>
          <w:sz w:val="24"/>
          <w:szCs w:val="24"/>
        </w:rPr>
        <w:t>3）现场临时设施符合相关标准的要求，施工现场宿舍必须设置可开启式窗户；宿舍内</w:t>
      </w:r>
      <w:r>
        <w:rPr>
          <w:spacing w:val="-23"/>
          <w:sz w:val="24"/>
          <w:szCs w:val="24"/>
        </w:rPr>
        <w:t>应设</w:t>
      </w:r>
      <w:r>
        <w:rPr>
          <w:spacing w:val="-20"/>
          <w:sz w:val="24"/>
          <w:szCs w:val="24"/>
        </w:rPr>
        <w:t>置生活用品专柜，安装空调和限电装置,加宿舍内用USB插座，空调从宿舍外</w:t>
      </w:r>
      <w:r>
        <w:rPr>
          <w:spacing w:val="-21"/>
          <w:sz w:val="24"/>
          <w:szCs w:val="24"/>
        </w:rPr>
        <w:t>单独控制。卫生间为水冲式并贴瓷砖，设隔断；食堂应符合食品安全卫生要</w:t>
      </w:r>
      <w:r>
        <w:rPr>
          <w:spacing w:val="-22"/>
          <w:sz w:val="24"/>
          <w:szCs w:val="24"/>
        </w:rPr>
        <w:t>求；</w:t>
      </w:r>
    </w:p>
    <w:p w14:paraId="75B9106F">
      <w:pPr>
        <w:spacing w:line="308" w:lineRule="auto"/>
        <w:rPr>
          <w:sz w:val="24"/>
          <w:szCs w:val="24"/>
        </w:rPr>
        <w:sectPr>
          <w:footerReference r:id="rId355" w:type="default"/>
          <w:pgSz w:w="11907" w:h="16839"/>
          <w:pgMar w:top="933" w:right="4" w:bottom="1038" w:left="0" w:header="478" w:footer="357" w:gutter="0"/>
          <w:pgBorders>
            <w:top w:val="none" w:sz="0" w:space="0"/>
            <w:left w:val="none" w:sz="0" w:space="0"/>
            <w:bottom w:val="none" w:sz="0" w:space="0"/>
            <w:right w:val="none" w:sz="0" w:space="0"/>
          </w:pgBorders>
          <w:cols w:space="720" w:num="1"/>
        </w:sectPr>
      </w:pPr>
    </w:p>
    <w:p w14:paraId="27F5E07C">
      <w:pPr>
        <w:spacing w:line="269" w:lineRule="auto"/>
        <w:rPr>
          <w:rFonts w:ascii="Arial"/>
          <w:sz w:val="21"/>
        </w:rPr>
      </w:pPr>
    </w:p>
    <w:p w14:paraId="4392DEC7">
      <w:pPr>
        <w:pStyle w:val="2"/>
        <w:spacing w:before="78" w:line="308" w:lineRule="auto"/>
        <w:ind w:left="1455" w:right="1412" w:firstLine="429"/>
        <w:jc w:val="both"/>
        <w:rPr>
          <w:sz w:val="24"/>
          <w:szCs w:val="24"/>
        </w:rPr>
      </w:pPr>
      <w:r>
        <w:rPr>
          <w:spacing w:val="-22"/>
          <w:sz w:val="24"/>
          <w:szCs w:val="24"/>
        </w:rPr>
        <w:t>4）为方便施工及现场布置，招标人指定临时设施用地，我司拟根据招标人要求负责办理相</w:t>
      </w:r>
      <w:r>
        <w:rPr>
          <w:spacing w:val="-20"/>
          <w:sz w:val="24"/>
          <w:szCs w:val="24"/>
        </w:rPr>
        <w:t>关租借手续，相关费用含在投标报价中。我司若有信中标，承诺在中标后做好场地平整、围合及临时设施规划，并经招标人确认后方可进行搭建，项目结束后应按照招标人要求时间进行临设拆除、场地恢复。我司承诺为业主单位提供足够的办公用房及办公设施，并且符合市相关标准及要求，费用含在报价内。</w:t>
      </w:r>
    </w:p>
    <w:p w14:paraId="509F45B3">
      <w:pPr>
        <w:pStyle w:val="2"/>
        <w:spacing w:line="217" w:lineRule="auto"/>
        <w:ind w:left="1895"/>
        <w:rPr>
          <w:sz w:val="24"/>
          <w:szCs w:val="24"/>
        </w:rPr>
      </w:pPr>
      <w:r>
        <w:rPr>
          <w:spacing w:val="-16"/>
          <w:sz w:val="24"/>
          <w:szCs w:val="24"/>
        </w:rPr>
        <w:t>编制目的</w:t>
      </w:r>
    </w:p>
    <w:p w14:paraId="009C9A50">
      <w:pPr>
        <w:pStyle w:val="2"/>
        <w:spacing w:before="116" w:line="308" w:lineRule="auto"/>
        <w:ind w:left="1457" w:right="1353" w:firstLine="444"/>
        <w:rPr>
          <w:sz w:val="24"/>
          <w:szCs w:val="24"/>
        </w:rPr>
      </w:pPr>
      <w:r>
        <w:rPr>
          <w:spacing w:val="-24"/>
          <w:sz w:val="24"/>
          <w:szCs w:val="24"/>
        </w:rPr>
        <w:t>为加强工程的安全文明施工、环境保护的管理，确保施工过程中城市市容市貌的干净整洁，</w:t>
      </w:r>
      <w:r>
        <w:rPr>
          <w:spacing w:val="-20"/>
          <w:sz w:val="24"/>
          <w:szCs w:val="24"/>
        </w:rPr>
        <w:t>保护每一片蓝天，以始终坚持以人为本的科学发展观为指导，从维护城市形象和全市工作大局出发，把建筑施工扬尘控制工作作为工程施工管理的重要工作，高度重视，加强领导，进一步落实责任，确保有效控制施工扬尘污染，提升工地文明施工水平，以良好的工地面貌，展现施</w:t>
      </w:r>
      <w:r>
        <w:rPr>
          <w:spacing w:val="-18"/>
          <w:sz w:val="24"/>
          <w:szCs w:val="24"/>
        </w:rPr>
        <w:t>工企业形象。</w:t>
      </w:r>
    </w:p>
    <w:p w14:paraId="39B909BE">
      <w:pPr>
        <w:pStyle w:val="2"/>
        <w:spacing w:before="2" w:line="307" w:lineRule="auto"/>
        <w:ind w:left="1453" w:right="1343" w:firstLine="448"/>
        <w:jc w:val="both"/>
        <w:rPr>
          <w:sz w:val="24"/>
          <w:szCs w:val="24"/>
        </w:rPr>
      </w:pPr>
      <w:r>
        <w:rPr>
          <w:spacing w:val="-24"/>
          <w:sz w:val="24"/>
          <w:szCs w:val="24"/>
        </w:rPr>
        <w:t>为贯彻落实市建委关于切实加强建筑施工扬尘控制工作的精神，围好圈、把住口、盖住帽、</w:t>
      </w:r>
      <w:r>
        <w:rPr>
          <w:spacing w:val="-20"/>
          <w:sz w:val="24"/>
          <w:szCs w:val="24"/>
        </w:rPr>
        <w:t>扫净路，不让车辆将扬尘带到工地以外的地方，特编制本施工方案，使建筑施工扬尘控制工作</w:t>
      </w:r>
      <w:r>
        <w:rPr>
          <w:spacing w:val="-21"/>
          <w:sz w:val="24"/>
          <w:szCs w:val="24"/>
        </w:rPr>
        <w:t>有章，有序进行。</w:t>
      </w:r>
    </w:p>
    <w:p w14:paraId="10A96AAD">
      <w:pPr>
        <w:pStyle w:val="2"/>
        <w:spacing w:line="217" w:lineRule="auto"/>
        <w:ind w:left="1895"/>
        <w:rPr>
          <w:sz w:val="24"/>
          <w:szCs w:val="24"/>
        </w:rPr>
      </w:pPr>
      <w:r>
        <w:rPr>
          <w:spacing w:val="-16"/>
          <w:sz w:val="24"/>
          <w:szCs w:val="24"/>
        </w:rPr>
        <w:t>编制依据</w:t>
      </w:r>
    </w:p>
    <w:p w14:paraId="6BF4EB72">
      <w:pPr>
        <w:pStyle w:val="2"/>
        <w:spacing w:before="118" w:line="218" w:lineRule="auto"/>
        <w:ind w:left="1888"/>
        <w:rPr>
          <w:sz w:val="24"/>
          <w:szCs w:val="24"/>
        </w:rPr>
      </w:pPr>
      <w:r>
        <w:rPr>
          <w:spacing w:val="-17"/>
          <w:sz w:val="24"/>
          <w:szCs w:val="24"/>
        </w:rPr>
        <w:t>2.1.招标文件及施工图纸</w:t>
      </w:r>
    </w:p>
    <w:p w14:paraId="78C23556">
      <w:pPr>
        <w:pStyle w:val="2"/>
        <w:spacing w:before="117" w:line="218" w:lineRule="auto"/>
        <w:ind w:left="1888"/>
        <w:rPr>
          <w:sz w:val="24"/>
          <w:szCs w:val="24"/>
        </w:rPr>
      </w:pPr>
      <w:r>
        <w:rPr>
          <w:spacing w:val="-17"/>
          <w:sz w:val="24"/>
          <w:szCs w:val="24"/>
        </w:rPr>
        <w:t>2.2.国家法律、法规</w:t>
      </w:r>
    </w:p>
    <w:p w14:paraId="5C1375B8">
      <w:pPr>
        <w:pStyle w:val="2"/>
        <w:spacing w:before="115" w:line="217" w:lineRule="auto"/>
        <w:ind w:left="1893"/>
        <w:rPr>
          <w:sz w:val="24"/>
          <w:szCs w:val="24"/>
        </w:rPr>
      </w:pPr>
      <w:r>
        <w:rPr>
          <w:spacing w:val="-20"/>
          <w:sz w:val="24"/>
          <w:szCs w:val="24"/>
        </w:rPr>
        <w:t>（1）中华人民共各国安全生产法（国家主席令第</w:t>
      </w:r>
      <w:r>
        <w:rPr>
          <w:spacing w:val="-21"/>
          <w:sz w:val="24"/>
          <w:szCs w:val="24"/>
        </w:rPr>
        <w:t>70号）</w:t>
      </w:r>
    </w:p>
    <w:p w14:paraId="1B9327F7">
      <w:pPr>
        <w:pStyle w:val="2"/>
        <w:spacing w:before="119" w:line="217" w:lineRule="auto"/>
        <w:ind w:left="1893"/>
        <w:rPr>
          <w:sz w:val="24"/>
          <w:szCs w:val="24"/>
        </w:rPr>
      </w:pPr>
      <w:r>
        <w:rPr>
          <w:spacing w:val="-18"/>
          <w:sz w:val="24"/>
          <w:szCs w:val="24"/>
        </w:rPr>
        <w:t>（2）中华人民共各国建筑法（国家主席令第91号）</w:t>
      </w:r>
    </w:p>
    <w:p w14:paraId="041245AC">
      <w:pPr>
        <w:pStyle w:val="2"/>
        <w:spacing w:before="119" w:line="217" w:lineRule="auto"/>
        <w:ind w:left="1893"/>
        <w:rPr>
          <w:sz w:val="24"/>
          <w:szCs w:val="24"/>
        </w:rPr>
      </w:pPr>
      <w:r>
        <w:rPr>
          <w:spacing w:val="-18"/>
          <w:sz w:val="24"/>
          <w:szCs w:val="24"/>
        </w:rPr>
        <w:t>（3）中华人民共各国劳动法（国家主席令第28号）</w:t>
      </w:r>
    </w:p>
    <w:p w14:paraId="5618BE33">
      <w:pPr>
        <w:pStyle w:val="2"/>
        <w:spacing w:before="116" w:line="217" w:lineRule="auto"/>
        <w:ind w:left="1893"/>
        <w:rPr>
          <w:sz w:val="24"/>
          <w:szCs w:val="24"/>
        </w:rPr>
      </w:pPr>
      <w:r>
        <w:rPr>
          <w:spacing w:val="-19"/>
          <w:sz w:val="24"/>
          <w:szCs w:val="24"/>
        </w:rPr>
        <w:t>（4）中华人民共各国环境保护法（国家主席令第4号）</w:t>
      </w:r>
    </w:p>
    <w:p w14:paraId="60D4B991">
      <w:pPr>
        <w:pStyle w:val="2"/>
        <w:spacing w:before="119" w:line="217" w:lineRule="auto"/>
        <w:ind w:left="1893"/>
        <w:rPr>
          <w:sz w:val="24"/>
          <w:szCs w:val="24"/>
        </w:rPr>
      </w:pPr>
      <w:r>
        <w:rPr>
          <w:spacing w:val="-19"/>
          <w:sz w:val="24"/>
          <w:szCs w:val="24"/>
        </w:rPr>
        <w:t>（5）中华人民共各国扬尘污染环境防治产法（国家主席令第58号）</w:t>
      </w:r>
    </w:p>
    <w:p w14:paraId="70A99179">
      <w:pPr>
        <w:pStyle w:val="2"/>
        <w:spacing w:before="119" w:line="218" w:lineRule="auto"/>
        <w:ind w:left="1893"/>
        <w:rPr>
          <w:sz w:val="24"/>
          <w:szCs w:val="24"/>
        </w:rPr>
      </w:pPr>
      <w:r>
        <w:rPr>
          <w:spacing w:val="-21"/>
          <w:sz w:val="24"/>
          <w:szCs w:val="24"/>
        </w:rPr>
        <w:t>（6）建设工程施工现场管理条例（建设部15号令）</w:t>
      </w:r>
    </w:p>
    <w:p w14:paraId="74364E87">
      <w:pPr>
        <w:pStyle w:val="2"/>
        <w:spacing w:before="115" w:line="218" w:lineRule="auto"/>
        <w:ind w:left="1893"/>
        <w:rPr>
          <w:sz w:val="24"/>
          <w:szCs w:val="24"/>
        </w:rPr>
      </w:pPr>
      <w:r>
        <w:rPr>
          <w:spacing w:val="-18"/>
          <w:sz w:val="24"/>
          <w:szCs w:val="24"/>
        </w:rPr>
        <w:t>（7）建设项目安全生产管理条例（国务院第393号令）</w:t>
      </w:r>
    </w:p>
    <w:p w14:paraId="5599BA4F">
      <w:pPr>
        <w:pStyle w:val="2"/>
        <w:spacing w:before="116" w:line="217" w:lineRule="auto"/>
        <w:ind w:left="1893"/>
        <w:rPr>
          <w:sz w:val="24"/>
          <w:szCs w:val="24"/>
        </w:rPr>
      </w:pPr>
      <w:r>
        <w:rPr>
          <w:spacing w:val="-18"/>
          <w:sz w:val="24"/>
          <w:szCs w:val="24"/>
        </w:rPr>
        <w:t>（8）建设项目环境保护条例（国务院第235号令）</w:t>
      </w:r>
    </w:p>
    <w:p w14:paraId="328A2B03">
      <w:pPr>
        <w:pStyle w:val="2"/>
        <w:spacing w:before="120" w:line="218" w:lineRule="auto"/>
        <w:ind w:left="1888"/>
        <w:rPr>
          <w:sz w:val="24"/>
          <w:szCs w:val="24"/>
        </w:rPr>
      </w:pPr>
      <w:r>
        <w:rPr>
          <w:spacing w:val="-15"/>
          <w:sz w:val="24"/>
          <w:szCs w:val="24"/>
        </w:rPr>
        <w:t>2.3.地方法规、规章</w:t>
      </w:r>
    </w:p>
    <w:p w14:paraId="4EBCA1F3">
      <w:pPr>
        <w:pStyle w:val="2"/>
        <w:spacing w:before="115" w:line="218" w:lineRule="auto"/>
        <w:ind w:left="1888"/>
        <w:rPr>
          <w:sz w:val="24"/>
          <w:szCs w:val="24"/>
        </w:rPr>
      </w:pPr>
      <w:r>
        <w:rPr>
          <w:spacing w:val="-14"/>
          <w:sz w:val="24"/>
          <w:szCs w:val="24"/>
        </w:rPr>
        <w:t>2.4.标准、规范</w:t>
      </w:r>
    </w:p>
    <w:p w14:paraId="126A6321">
      <w:pPr>
        <w:pStyle w:val="2"/>
        <w:spacing w:before="117" w:line="218" w:lineRule="auto"/>
        <w:ind w:left="1893"/>
        <w:rPr>
          <w:sz w:val="24"/>
          <w:szCs w:val="24"/>
        </w:rPr>
      </w:pPr>
      <w:r>
        <w:rPr>
          <w:spacing w:val="-14"/>
          <w:sz w:val="24"/>
          <w:szCs w:val="24"/>
        </w:rPr>
        <w:t>（1）环境空气质量标准GB3095</w:t>
      </w:r>
    </w:p>
    <w:p w14:paraId="230F0C02">
      <w:pPr>
        <w:pStyle w:val="2"/>
        <w:spacing w:before="118" w:line="217" w:lineRule="auto"/>
        <w:ind w:left="1893"/>
        <w:rPr>
          <w:sz w:val="24"/>
          <w:szCs w:val="24"/>
        </w:rPr>
      </w:pPr>
      <w:r>
        <w:rPr>
          <w:spacing w:val="-15"/>
          <w:sz w:val="24"/>
          <w:szCs w:val="24"/>
        </w:rPr>
        <w:t>（2）扬尘污染物排放标准GB16297</w:t>
      </w:r>
    </w:p>
    <w:p w14:paraId="5CAB6DA1">
      <w:pPr>
        <w:pStyle w:val="2"/>
        <w:spacing w:before="117" w:line="217" w:lineRule="auto"/>
        <w:ind w:left="1892"/>
        <w:rPr>
          <w:sz w:val="24"/>
          <w:szCs w:val="24"/>
        </w:rPr>
      </w:pPr>
      <w:r>
        <w:rPr>
          <w:spacing w:val="-20"/>
          <w:sz w:val="24"/>
          <w:szCs w:val="24"/>
        </w:rPr>
        <w:t>施工扬尘控制组织机构</w:t>
      </w:r>
    </w:p>
    <w:p w14:paraId="575B6A5F">
      <w:pPr>
        <w:pStyle w:val="2"/>
        <w:spacing w:before="118" w:line="218" w:lineRule="auto"/>
        <w:ind w:left="1890"/>
        <w:rPr>
          <w:sz w:val="24"/>
          <w:szCs w:val="24"/>
        </w:rPr>
      </w:pPr>
      <w:r>
        <w:rPr>
          <w:spacing w:val="-14"/>
          <w:sz w:val="24"/>
          <w:szCs w:val="24"/>
        </w:rPr>
        <w:t>3.1、组织机构</w:t>
      </w:r>
    </w:p>
    <w:p w14:paraId="360C7177">
      <w:pPr>
        <w:pStyle w:val="2"/>
        <w:spacing w:before="118" w:line="217" w:lineRule="auto"/>
        <w:ind w:left="2300"/>
        <w:rPr>
          <w:sz w:val="24"/>
          <w:szCs w:val="24"/>
        </w:rPr>
      </w:pPr>
      <w:r>
        <w:rPr>
          <w:spacing w:val="-21"/>
          <w:sz w:val="24"/>
          <w:szCs w:val="24"/>
        </w:rPr>
        <w:t>成立以项目经理为首的扬尘控制领导小组：</w:t>
      </w:r>
    </w:p>
    <w:p w14:paraId="4CA421B4">
      <w:pPr>
        <w:spacing w:line="217" w:lineRule="auto"/>
        <w:rPr>
          <w:sz w:val="24"/>
          <w:szCs w:val="24"/>
        </w:rPr>
        <w:sectPr>
          <w:footerReference r:id="rId356" w:type="default"/>
          <w:pgSz w:w="11907" w:h="16839"/>
          <w:pgMar w:top="933" w:right="4" w:bottom="1038" w:left="0" w:header="478" w:footer="357" w:gutter="0"/>
          <w:pgBorders>
            <w:top w:val="none" w:sz="0" w:space="0"/>
            <w:left w:val="none" w:sz="0" w:space="0"/>
            <w:bottom w:val="none" w:sz="0" w:space="0"/>
            <w:right w:val="none" w:sz="0" w:space="0"/>
          </w:pgBorders>
          <w:cols w:space="720" w:num="1"/>
        </w:sectPr>
      </w:pPr>
    </w:p>
    <w:p w14:paraId="19849020">
      <w:pPr>
        <w:spacing w:line="267" w:lineRule="auto"/>
        <w:rPr>
          <w:rFonts w:ascii="Arial"/>
          <w:sz w:val="21"/>
        </w:rPr>
      </w:pPr>
      <w:r>
        <w:drawing>
          <wp:anchor distT="0" distB="0" distL="0" distR="0" simplePos="0" relativeHeight="252288000" behindDoc="1" locked="0" layoutInCell="1" allowOverlap="1">
            <wp:simplePos x="0" y="0"/>
            <wp:positionH relativeFrom="column">
              <wp:posOffset>1223645</wp:posOffset>
            </wp:positionH>
            <wp:positionV relativeFrom="paragraph">
              <wp:posOffset>151765</wp:posOffset>
            </wp:positionV>
            <wp:extent cx="5076825" cy="4512945"/>
            <wp:effectExtent l="0" t="0" r="0" b="0"/>
            <wp:wrapNone/>
            <wp:docPr id="1468" name="IM 1468"/>
            <wp:cNvGraphicFramePr/>
            <a:graphic xmlns:a="http://schemas.openxmlformats.org/drawingml/2006/main">
              <a:graphicData uri="http://schemas.openxmlformats.org/drawingml/2006/picture">
                <pic:pic xmlns:pic="http://schemas.openxmlformats.org/drawingml/2006/picture">
                  <pic:nvPicPr>
                    <pic:cNvPr id="1468" name="IM 1468"/>
                    <pic:cNvPicPr/>
                  </pic:nvPicPr>
                  <pic:blipFill>
                    <a:blip r:embed="rId685"/>
                    <a:stretch>
                      <a:fillRect/>
                    </a:stretch>
                  </pic:blipFill>
                  <pic:spPr>
                    <a:xfrm>
                      <a:off x="0" y="0"/>
                      <a:ext cx="5076825" cy="4512945"/>
                    </a:xfrm>
                    <a:prstGeom prst="rect">
                      <a:avLst/>
                    </a:prstGeom>
                  </pic:spPr>
                </pic:pic>
              </a:graphicData>
            </a:graphic>
          </wp:anchor>
        </w:drawing>
      </w:r>
    </w:p>
    <w:p w14:paraId="0C655318">
      <w:pPr>
        <w:pStyle w:val="2"/>
        <w:spacing w:before="68" w:line="221" w:lineRule="auto"/>
        <w:ind w:left="4974"/>
        <w:rPr>
          <w:sz w:val="21"/>
          <w:szCs w:val="21"/>
        </w:rPr>
      </w:pPr>
      <w:r>
        <w:rPr>
          <w:spacing w:val="-3"/>
          <w:sz w:val="21"/>
          <w:szCs w:val="21"/>
        </w:rPr>
        <w:t>项目经理</w:t>
      </w:r>
    </w:p>
    <w:p w14:paraId="21C0266F">
      <w:pPr>
        <w:spacing w:line="260" w:lineRule="auto"/>
        <w:rPr>
          <w:rFonts w:ascii="Arial"/>
          <w:sz w:val="21"/>
        </w:rPr>
      </w:pPr>
    </w:p>
    <w:p w14:paraId="2DCEABB9">
      <w:pPr>
        <w:spacing w:line="260" w:lineRule="auto"/>
        <w:rPr>
          <w:rFonts w:ascii="Arial"/>
          <w:sz w:val="21"/>
        </w:rPr>
      </w:pPr>
    </w:p>
    <w:p w14:paraId="13B76140">
      <w:pPr>
        <w:spacing w:line="261" w:lineRule="auto"/>
        <w:rPr>
          <w:rFonts w:ascii="Arial"/>
          <w:sz w:val="21"/>
        </w:rPr>
      </w:pPr>
    </w:p>
    <w:p w14:paraId="6813C52E">
      <w:pPr>
        <w:spacing w:line="261" w:lineRule="auto"/>
        <w:rPr>
          <w:rFonts w:ascii="Arial"/>
          <w:sz w:val="21"/>
        </w:rPr>
      </w:pPr>
    </w:p>
    <w:p w14:paraId="63FC267E">
      <w:pPr>
        <w:pStyle w:val="2"/>
        <w:spacing w:before="68" w:line="221" w:lineRule="auto"/>
        <w:ind w:left="4849"/>
        <w:rPr>
          <w:sz w:val="21"/>
          <w:szCs w:val="21"/>
        </w:rPr>
      </w:pPr>
      <w:r>
        <w:rPr>
          <w:spacing w:val="-3"/>
          <w:sz w:val="21"/>
          <w:szCs w:val="21"/>
        </w:rPr>
        <w:t>项目副经理</w:t>
      </w:r>
    </w:p>
    <w:p w14:paraId="28102B6E">
      <w:pPr>
        <w:spacing w:line="269" w:lineRule="auto"/>
        <w:rPr>
          <w:rFonts w:ascii="Arial"/>
          <w:sz w:val="21"/>
        </w:rPr>
      </w:pPr>
    </w:p>
    <w:p w14:paraId="4E0F5B9A">
      <w:pPr>
        <w:spacing w:line="269" w:lineRule="auto"/>
        <w:rPr>
          <w:rFonts w:ascii="Arial"/>
          <w:sz w:val="21"/>
        </w:rPr>
      </w:pPr>
    </w:p>
    <w:p w14:paraId="199070D3">
      <w:pPr>
        <w:spacing w:line="270" w:lineRule="auto"/>
        <w:rPr>
          <w:rFonts w:ascii="Arial"/>
          <w:sz w:val="21"/>
        </w:rPr>
      </w:pPr>
    </w:p>
    <w:p w14:paraId="2028D2DB">
      <w:pPr>
        <w:spacing w:line="270" w:lineRule="auto"/>
        <w:rPr>
          <w:rFonts w:ascii="Arial"/>
          <w:sz w:val="21"/>
        </w:rPr>
      </w:pPr>
    </w:p>
    <w:p w14:paraId="6E9AD368">
      <w:pPr>
        <w:pStyle w:val="2"/>
        <w:spacing w:before="68" w:line="219" w:lineRule="auto"/>
        <w:ind w:left="2311"/>
        <w:rPr>
          <w:sz w:val="21"/>
          <w:szCs w:val="21"/>
        </w:rPr>
      </w:pPr>
      <w:r>
        <w:pict>
          <v:shape id="_x0000_s3947" o:spid="_x0000_s3947" o:spt="202" type="#_x0000_t202" style="position:absolute;left:0pt;margin-left:345.7pt;margin-top:1.55pt;height:14.5pt;width:43pt;z-index:252292096;mso-width-relative:page;mso-height-relative:page;" filled="f" stroked="f" coordsize="21600,21600">
            <v:path/>
            <v:fill on="f" focussize="0,0"/>
            <v:stroke on="f"/>
            <v:imagedata o:title=""/>
            <o:lock v:ext="edit" aspectratio="f"/>
            <v:textbox inset="0mm,0mm,0mm,0mm">
              <w:txbxContent>
                <w:p w14:paraId="23417D9D">
                  <w:pPr>
                    <w:pStyle w:val="2"/>
                    <w:spacing w:before="20" w:line="219" w:lineRule="auto"/>
                    <w:ind w:left="20"/>
                    <w:rPr>
                      <w:sz w:val="21"/>
                      <w:szCs w:val="21"/>
                    </w:rPr>
                  </w:pPr>
                  <w:r>
                    <w:rPr>
                      <w:spacing w:val="-6"/>
                      <w:sz w:val="21"/>
                      <w:szCs w:val="21"/>
                    </w:rPr>
                    <w:t>总工程师</w:t>
                  </w:r>
                </w:p>
              </w:txbxContent>
            </v:textbox>
          </v:shape>
        </w:pict>
      </w:r>
      <w:r>
        <w:rPr>
          <w:spacing w:val="-3"/>
          <w:sz w:val="21"/>
          <w:szCs w:val="21"/>
        </w:rPr>
        <w:t>扬尘监察员</w:t>
      </w:r>
    </w:p>
    <w:p w14:paraId="77BBCFD2">
      <w:pPr>
        <w:spacing w:line="302" w:lineRule="auto"/>
        <w:rPr>
          <w:rFonts w:ascii="Arial"/>
          <w:sz w:val="21"/>
        </w:rPr>
      </w:pPr>
    </w:p>
    <w:p w14:paraId="142B30F3">
      <w:pPr>
        <w:spacing w:line="303" w:lineRule="auto"/>
        <w:rPr>
          <w:rFonts w:ascii="Arial"/>
          <w:sz w:val="21"/>
        </w:rPr>
      </w:pPr>
    </w:p>
    <w:p w14:paraId="7EBBF60F">
      <w:pPr>
        <w:spacing w:line="303" w:lineRule="auto"/>
        <w:rPr>
          <w:rFonts w:ascii="Arial"/>
          <w:sz w:val="21"/>
        </w:rPr>
      </w:pPr>
    </w:p>
    <w:p w14:paraId="25A512C8">
      <w:pPr>
        <w:pStyle w:val="2"/>
        <w:spacing w:before="68" w:line="220" w:lineRule="auto"/>
        <w:ind w:left="2315"/>
        <w:rPr>
          <w:sz w:val="21"/>
          <w:szCs w:val="21"/>
        </w:rPr>
      </w:pPr>
      <w:r>
        <w:pict>
          <v:shape id="_x0000_s3948" o:spid="_x0000_s3948" o:spt="202" type="#_x0000_t202" style="position:absolute;left:0pt;margin-left:237.35pt;margin-top:3.15pt;height:14.5pt;width:32.9pt;z-index:252293120;mso-width-relative:page;mso-height-relative:page;" filled="f" stroked="f" coordsize="21600,21600">
            <v:path/>
            <v:fill on="f" focussize="0,0"/>
            <v:stroke on="f"/>
            <v:imagedata o:title=""/>
            <o:lock v:ext="edit" aspectratio="f"/>
            <v:textbox inset="0mm,0mm,0mm,0mm">
              <w:txbxContent>
                <w:p w14:paraId="711D9B06">
                  <w:pPr>
                    <w:pStyle w:val="2"/>
                    <w:spacing w:before="20" w:line="219" w:lineRule="auto"/>
                    <w:ind w:left="20"/>
                    <w:rPr>
                      <w:sz w:val="21"/>
                      <w:szCs w:val="21"/>
                    </w:rPr>
                  </w:pPr>
                  <w:r>
                    <w:rPr>
                      <w:spacing w:val="-5"/>
                      <w:sz w:val="21"/>
                      <w:szCs w:val="21"/>
                    </w:rPr>
                    <w:t>安全部</w:t>
                  </w:r>
                </w:p>
              </w:txbxContent>
            </v:textbox>
          </v:shape>
        </w:pict>
      </w:r>
      <w:r>
        <w:pict>
          <v:shape id="_x0000_s3949" o:spid="_x0000_s3949" o:spt="202" type="#_x0000_t202" style="position:absolute;left:0pt;margin-left:327.6pt;margin-top:3.15pt;height:14.5pt;width:74.95pt;z-index:252289024;mso-width-relative:page;mso-height-relative:page;" filled="f" stroked="f" coordsize="21600,21600">
            <v:path/>
            <v:fill on="f" focussize="0,0"/>
            <v:stroke on="f"/>
            <v:imagedata o:title=""/>
            <o:lock v:ext="edit" aspectratio="f"/>
            <v:textbox inset="0mm,0mm,0mm,0mm">
              <w:txbxContent>
                <w:p w14:paraId="120C5CAC">
                  <w:pPr>
                    <w:pStyle w:val="2"/>
                    <w:spacing w:before="20" w:line="219" w:lineRule="auto"/>
                    <w:ind w:left="20"/>
                    <w:rPr>
                      <w:sz w:val="21"/>
                      <w:szCs w:val="21"/>
                    </w:rPr>
                  </w:pPr>
                  <w:r>
                    <w:rPr>
                      <w:spacing w:val="-2"/>
                      <w:sz w:val="21"/>
                      <w:szCs w:val="21"/>
                    </w:rPr>
                    <w:t>各队主管工程师</w:t>
                  </w:r>
                </w:p>
              </w:txbxContent>
            </v:textbox>
          </v:shape>
        </w:pict>
      </w:r>
      <w:r>
        <w:pict>
          <v:shape id="_x0000_s3950" o:spid="_x0000_s3950" o:spt="202" type="#_x0000_t202" style="position:absolute;left:0pt;margin-left:450.15pt;margin-top:3.15pt;height:14.5pt;width:32.75pt;z-index:252294144;mso-width-relative:page;mso-height-relative:page;" filled="f" stroked="f" coordsize="21600,21600">
            <v:path/>
            <v:fill on="f" focussize="0,0"/>
            <v:stroke on="f"/>
            <v:imagedata o:title=""/>
            <o:lock v:ext="edit" aspectratio="f"/>
            <v:textbox inset="0mm,0mm,0mm,0mm">
              <w:txbxContent>
                <w:p w14:paraId="56D83340">
                  <w:pPr>
                    <w:pStyle w:val="2"/>
                    <w:spacing w:before="20" w:line="219" w:lineRule="auto"/>
                    <w:ind w:left="20"/>
                    <w:rPr>
                      <w:sz w:val="21"/>
                      <w:szCs w:val="21"/>
                    </w:rPr>
                  </w:pPr>
                  <w:r>
                    <w:rPr>
                      <w:spacing w:val="-4"/>
                      <w:sz w:val="21"/>
                      <w:szCs w:val="21"/>
                    </w:rPr>
                    <w:t>工程部</w:t>
                  </w:r>
                </w:p>
              </w:txbxContent>
            </v:textbox>
          </v:shape>
        </w:pict>
      </w:r>
      <w:r>
        <w:rPr>
          <w:spacing w:val="-2"/>
          <w:sz w:val="21"/>
          <w:szCs w:val="21"/>
        </w:rPr>
        <w:t>施工队队长</w:t>
      </w:r>
    </w:p>
    <w:p w14:paraId="5D286313">
      <w:pPr>
        <w:spacing w:line="318" w:lineRule="auto"/>
        <w:rPr>
          <w:rFonts w:ascii="Arial"/>
          <w:sz w:val="21"/>
        </w:rPr>
      </w:pPr>
    </w:p>
    <w:p w14:paraId="1EBC0870">
      <w:pPr>
        <w:spacing w:line="318" w:lineRule="auto"/>
        <w:rPr>
          <w:rFonts w:ascii="Arial"/>
          <w:sz w:val="21"/>
        </w:rPr>
      </w:pPr>
    </w:p>
    <w:p w14:paraId="620189A0">
      <w:pPr>
        <w:spacing w:line="318" w:lineRule="auto"/>
        <w:rPr>
          <w:rFonts w:ascii="Arial"/>
          <w:sz w:val="21"/>
        </w:rPr>
      </w:pPr>
    </w:p>
    <w:p w14:paraId="4A6790A5">
      <w:pPr>
        <w:pStyle w:val="2"/>
        <w:spacing w:before="69" w:line="217" w:lineRule="auto"/>
        <w:ind w:left="2248"/>
        <w:rPr>
          <w:sz w:val="21"/>
          <w:szCs w:val="21"/>
        </w:rPr>
      </w:pPr>
      <w:r>
        <w:pict>
          <v:shape id="_x0000_s3951" o:spid="_x0000_s3951" o:spt="202" type="#_x0000_t202" style="position:absolute;left:0pt;margin-left:227.5pt;margin-top:2.45pt;height:14.55pt;width:64.4pt;z-index:252290048;mso-width-relative:page;mso-height-relative:page;" filled="f" stroked="f" coordsize="21600,21600">
            <v:path/>
            <v:fill on="f" focussize="0,0"/>
            <v:stroke on="f"/>
            <v:imagedata o:title=""/>
            <o:lock v:ext="edit" aspectratio="f"/>
            <v:textbox inset="0mm,0mm,0mm,0mm">
              <w:txbxContent>
                <w:p w14:paraId="00CACAD9">
                  <w:pPr>
                    <w:pStyle w:val="2"/>
                    <w:spacing w:before="19" w:line="220" w:lineRule="auto"/>
                    <w:ind w:left="20"/>
                    <w:rPr>
                      <w:sz w:val="21"/>
                      <w:szCs w:val="21"/>
                    </w:rPr>
                  </w:pPr>
                  <w:r>
                    <w:rPr>
                      <w:spacing w:val="-3"/>
                      <w:sz w:val="21"/>
                      <w:szCs w:val="21"/>
                    </w:rPr>
                    <w:t>各队尘控小组</w:t>
                  </w:r>
                </w:p>
              </w:txbxContent>
            </v:textbox>
          </v:shape>
        </w:pict>
      </w:r>
      <w:r>
        <w:pict>
          <v:shape id="_x0000_s3952" o:spid="_x0000_s3952" o:spt="202" type="#_x0000_t202" style="position:absolute;left:0pt;margin-left:433.45pt;margin-top:2.45pt;height:14.5pt;width:54pt;z-index:252291072;mso-width-relative:page;mso-height-relative:page;" filled="f" stroked="f" coordsize="21600,21600">
            <v:path/>
            <v:fill on="f" focussize="0,0"/>
            <v:stroke on="f"/>
            <v:imagedata o:title=""/>
            <o:lock v:ext="edit" aspectratio="f"/>
            <v:textbox inset="0mm,0mm,0mm,0mm">
              <w:txbxContent>
                <w:p w14:paraId="40B50B40">
                  <w:pPr>
                    <w:pStyle w:val="2"/>
                    <w:spacing w:before="20" w:line="219" w:lineRule="auto"/>
                    <w:ind w:left="20"/>
                    <w:rPr>
                      <w:sz w:val="21"/>
                      <w:szCs w:val="21"/>
                    </w:rPr>
                  </w:pPr>
                  <w:r>
                    <w:rPr>
                      <w:spacing w:val="-3"/>
                      <w:sz w:val="21"/>
                      <w:szCs w:val="21"/>
                    </w:rPr>
                    <w:t>各队技术组</w:t>
                  </w:r>
                </w:p>
              </w:txbxContent>
            </v:textbox>
          </v:shape>
        </w:pict>
      </w:r>
      <w:r>
        <w:rPr>
          <w:spacing w:val="-2"/>
          <w:sz w:val="21"/>
          <w:szCs w:val="21"/>
        </w:rPr>
        <w:t>施工作业班长</w:t>
      </w:r>
    </w:p>
    <w:p w14:paraId="2B0A5223">
      <w:pPr>
        <w:spacing w:line="309" w:lineRule="auto"/>
        <w:rPr>
          <w:rFonts w:ascii="Arial"/>
          <w:sz w:val="21"/>
        </w:rPr>
      </w:pPr>
    </w:p>
    <w:p w14:paraId="2AB9D028">
      <w:pPr>
        <w:spacing w:line="309" w:lineRule="auto"/>
        <w:rPr>
          <w:rFonts w:ascii="Arial"/>
          <w:sz w:val="21"/>
        </w:rPr>
      </w:pPr>
    </w:p>
    <w:p w14:paraId="71AFCFCE">
      <w:pPr>
        <w:spacing w:line="309" w:lineRule="auto"/>
        <w:rPr>
          <w:rFonts w:ascii="Arial"/>
          <w:sz w:val="21"/>
        </w:rPr>
      </w:pPr>
    </w:p>
    <w:p w14:paraId="47E217DA">
      <w:pPr>
        <w:pStyle w:val="2"/>
        <w:spacing w:before="69" w:line="217" w:lineRule="auto"/>
        <w:ind w:left="4573"/>
        <w:rPr>
          <w:sz w:val="21"/>
          <w:szCs w:val="21"/>
        </w:rPr>
      </w:pPr>
      <w:r>
        <w:rPr>
          <w:spacing w:val="-3"/>
          <w:sz w:val="21"/>
          <w:szCs w:val="21"/>
        </w:rPr>
        <w:t>作业班安全员作业班技术员</w:t>
      </w:r>
    </w:p>
    <w:p w14:paraId="2D467A93">
      <w:pPr>
        <w:spacing w:line="282" w:lineRule="auto"/>
        <w:rPr>
          <w:rFonts w:ascii="Arial"/>
          <w:sz w:val="21"/>
        </w:rPr>
      </w:pPr>
    </w:p>
    <w:p w14:paraId="7B1FAD2F">
      <w:pPr>
        <w:pStyle w:val="2"/>
        <w:spacing w:before="78" w:line="263" w:lineRule="auto"/>
        <w:ind w:left="1891" w:right="6676" w:hanging="1"/>
        <w:rPr>
          <w:sz w:val="24"/>
          <w:szCs w:val="24"/>
        </w:rPr>
      </w:pPr>
      <w:r>
        <w:rPr>
          <w:spacing w:val="-23"/>
          <w:sz w:val="24"/>
          <w:szCs w:val="24"/>
        </w:rPr>
        <w:t>3.2、施工扬尘控制管理岗位责任：</w:t>
      </w:r>
      <w:r>
        <w:rPr>
          <w:spacing w:val="-21"/>
          <w:sz w:val="24"/>
          <w:szCs w:val="24"/>
        </w:rPr>
        <w:t>施工扬尘控制岗位责任表。</w:t>
      </w:r>
    </w:p>
    <w:tbl>
      <w:tblPr>
        <w:tblStyle w:val="6"/>
        <w:tblW w:w="8794" w:type="dxa"/>
        <w:tblInd w:w="155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525"/>
        <w:gridCol w:w="7202"/>
        <w:gridCol w:w="67"/>
      </w:tblGrid>
      <w:tr w14:paraId="6E8C01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5" w:hRule="atLeast"/>
        </w:trPr>
        <w:tc>
          <w:tcPr>
            <w:tcW w:w="1525" w:type="dxa"/>
            <w:tcBorders>
              <w:top w:val="single" w:color="000000" w:sz="4" w:space="0"/>
              <w:left w:val="single" w:color="000000" w:sz="4" w:space="0"/>
            </w:tcBorders>
            <w:shd w:val="clear" w:color="auto" w:fill="DEEAF6"/>
            <w:vAlign w:val="top"/>
          </w:tcPr>
          <w:p w14:paraId="51DD3B54">
            <w:pPr>
              <w:spacing w:line="33" w:lineRule="exact"/>
              <w:ind w:firstLine="1509"/>
            </w:pPr>
            <w:r>
              <w:pict>
                <v:shape id="_x0000_s3953" o:spid="_x0000_s3953" style="position:absolute;left:0pt;margin-left:-0.2pt;margin-top:0.05pt;height:0.75pt;width:2.2pt;mso-position-horizontal-relative:page;mso-position-vertical-relative:page;z-index:252297216;mso-width-relative:page;mso-height-relative:page;" fillcolor="#5B9BD5" filled="t" stroked="f" coordsize="44,15" path="m0,14l43,14,43,0,0,0,0,14xe">
                  <v:path/>
                  <v:fill on="t" focussize="0,0"/>
                  <v:stroke on="f"/>
                  <v:imagedata o:title=""/>
                  <o:lock v:ext="edit"/>
                </v:shape>
              </w:pict>
            </w:r>
            <w:r>
              <w:pict>
                <v:group id="_x0000_s3954" o:spid="_x0000_s3954" o:spt="203" style="height:2.2pt;width:2.2pt;" coordsize="44,44">
                  <o:lock v:ext="edit"/>
                  <v:shape id="_x0000_s3955" o:spid="_x0000_s3955" style="position:absolute;left:0;top:0;height:15;width:44;" fillcolor="#5B9BD5" filled="t" stroked="f" coordsize="44,15" path="m0,14l43,14,43,0,0,0,0,14xe">
                    <v:path/>
                    <v:fill on="t" focussize="0,0"/>
                    <v:stroke on="f"/>
                    <v:imagedata o:title=""/>
                    <o:lock v:ext="edit"/>
                  </v:shape>
                  <v:shape id="_x0000_s3956" o:spid="_x0000_s3956" style="position:absolute;left:0;top:14;height:15;width:44;" fillcolor="#20507B" filled="t" stroked="f" coordsize="44,15" path="m0,14l43,14,43,0,0,0,0,14xe">
                    <v:path/>
                    <v:fill on="t" focussize="0,0"/>
                    <v:stroke on="f"/>
                    <v:imagedata o:title=""/>
                    <o:lock v:ext="edit"/>
                  </v:shape>
                  <v:shape id="_x0000_s3957" o:spid="_x0000_s3957" style="position:absolute;left:0;top:28;height:15;width:44;" fillcolor="#1C456A" filled="t" stroked="f" coordsize="44,15" path="m0,14l43,14,43,0,0,0,0,14xe">
                    <v:path/>
                    <v:fill on="t" focussize="0,0"/>
                    <v:stroke on="f"/>
                    <v:imagedata o:title=""/>
                    <o:lock v:ext="edit"/>
                  </v:shape>
                  <w10:wrap type="none"/>
                  <w10:anchorlock/>
                </v:group>
              </w:pict>
            </w:r>
          </w:p>
          <w:p w14:paraId="2646F0B0">
            <w:pPr>
              <w:pStyle w:val="7"/>
              <w:spacing w:before="158" w:line="217" w:lineRule="auto"/>
              <w:ind w:left="369"/>
            </w:pPr>
            <w:r>
              <w:rPr>
                <w:b/>
                <w:bCs/>
                <w:spacing w:val="-24"/>
              </w:rPr>
              <w:t>岗位名称</w:t>
            </w:r>
          </w:p>
        </w:tc>
        <w:tc>
          <w:tcPr>
            <w:tcW w:w="7202" w:type="dxa"/>
            <w:tcBorders>
              <w:top w:val="single" w:color="5B9BD5" w:sz="4" w:space="0"/>
              <w:right w:val="nil"/>
            </w:tcBorders>
            <w:shd w:val="clear" w:color="auto" w:fill="DEEAF6"/>
            <w:vAlign w:val="top"/>
          </w:tcPr>
          <w:p w14:paraId="2248CC4D">
            <w:pPr>
              <w:pStyle w:val="7"/>
              <w:spacing w:before="192" w:line="220" w:lineRule="auto"/>
              <w:ind w:left="3417"/>
            </w:pPr>
            <w:r>
              <w:rPr>
                <w:b/>
                <w:bCs/>
                <w:spacing w:val="-12"/>
              </w:rPr>
              <w:t>职责</w:t>
            </w:r>
          </w:p>
        </w:tc>
        <w:tc>
          <w:tcPr>
            <w:tcW w:w="67" w:type="dxa"/>
            <w:tcBorders>
              <w:top w:val="single" w:color="5B9BD5" w:sz="4" w:space="0"/>
              <w:left w:val="nil"/>
              <w:right w:val="single" w:color="5B9BD5" w:sz="4" w:space="0"/>
            </w:tcBorders>
            <w:vAlign w:val="top"/>
          </w:tcPr>
          <w:p w14:paraId="4780BBB9">
            <w:pPr>
              <w:rPr>
                <w:rFonts w:ascii="Arial"/>
                <w:sz w:val="21"/>
              </w:rPr>
            </w:pPr>
            <w:r>
              <w:pict>
                <v:shape id="_x0000_s3958" o:spid="_x0000_s3958" style="position:absolute;left:0pt;margin-left:1.5pt;margin-top:0.05pt;height:0.75pt;width:2.2pt;mso-position-horizontal-relative:page;mso-position-vertical-relative:page;z-index:252298240;mso-width-relative:page;mso-height-relative:page;" fillcolor="#5B9BD5" filled="t" stroked="f" coordsize="44,15" path="m0,14l43,14,43,0,0,0,0,14xe">
                  <v:path/>
                  <v:fill on="t" focussize="0,0"/>
                  <v:stroke on="f"/>
                  <v:imagedata o:title=""/>
                  <o:lock v:ext="edit"/>
                </v:shape>
              </w:pict>
            </w:r>
          </w:p>
        </w:tc>
      </w:tr>
      <w:tr w14:paraId="6B75B2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57" w:hRule="atLeast"/>
        </w:trPr>
        <w:tc>
          <w:tcPr>
            <w:tcW w:w="1525" w:type="dxa"/>
            <w:tcBorders>
              <w:left w:val="single" w:color="000000" w:sz="4" w:space="0"/>
            </w:tcBorders>
            <w:vAlign w:val="top"/>
          </w:tcPr>
          <w:p w14:paraId="20536FB3">
            <w:pPr>
              <w:spacing w:line="277" w:lineRule="auto"/>
              <w:rPr>
                <w:rFonts w:ascii="Arial"/>
                <w:sz w:val="21"/>
              </w:rPr>
            </w:pPr>
          </w:p>
          <w:p w14:paraId="74E751A0">
            <w:pPr>
              <w:pStyle w:val="7"/>
              <w:spacing w:before="78" w:line="220" w:lineRule="auto"/>
              <w:ind w:left="342"/>
            </w:pPr>
            <w:r>
              <w:rPr>
                <w:spacing w:val="-15"/>
              </w:rPr>
              <w:t>项目经理</w:t>
            </w:r>
          </w:p>
        </w:tc>
        <w:tc>
          <w:tcPr>
            <w:tcW w:w="7269" w:type="dxa"/>
            <w:gridSpan w:val="2"/>
            <w:tcBorders>
              <w:right w:val="single" w:color="000000" w:sz="4" w:space="0"/>
            </w:tcBorders>
            <w:vAlign w:val="top"/>
          </w:tcPr>
          <w:p w14:paraId="49D4CC1D">
            <w:pPr>
              <w:pStyle w:val="7"/>
              <w:spacing w:before="124" w:line="217" w:lineRule="auto"/>
              <w:ind w:left="65"/>
            </w:pPr>
            <w:r>
              <w:rPr>
                <w:spacing w:val="-23"/>
              </w:rPr>
              <w:t>认真贯彻执行施工扬尘控制的有关法规、标准，对施工安全，现场文明施工</w:t>
            </w:r>
          </w:p>
          <w:p w14:paraId="2D33BE29">
            <w:pPr>
              <w:pStyle w:val="7"/>
              <w:spacing w:before="186" w:line="217" w:lineRule="auto"/>
              <w:ind w:left="2659"/>
            </w:pPr>
            <w:r>
              <w:rPr>
                <w:spacing w:val="-20"/>
              </w:rPr>
              <w:t>实施组织领导职能。</w:t>
            </w:r>
          </w:p>
        </w:tc>
      </w:tr>
      <w:tr w14:paraId="3A8EB1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58" w:hRule="atLeast"/>
        </w:trPr>
        <w:tc>
          <w:tcPr>
            <w:tcW w:w="1525" w:type="dxa"/>
            <w:tcBorders>
              <w:left w:val="single" w:color="000000" w:sz="4" w:space="0"/>
            </w:tcBorders>
            <w:vAlign w:val="top"/>
          </w:tcPr>
          <w:p w14:paraId="77805B81">
            <w:pPr>
              <w:spacing w:line="273" w:lineRule="auto"/>
              <w:rPr>
                <w:rFonts w:ascii="Arial"/>
                <w:sz w:val="21"/>
              </w:rPr>
            </w:pPr>
          </w:p>
          <w:p w14:paraId="0375A244">
            <w:pPr>
              <w:pStyle w:val="7"/>
              <w:spacing w:before="78" w:line="217" w:lineRule="auto"/>
              <w:ind w:left="341"/>
            </w:pPr>
            <w:r>
              <w:rPr>
                <w:spacing w:val="-15"/>
              </w:rPr>
              <w:t>执行经理</w:t>
            </w:r>
          </w:p>
        </w:tc>
        <w:tc>
          <w:tcPr>
            <w:tcW w:w="7269" w:type="dxa"/>
            <w:gridSpan w:val="2"/>
            <w:tcBorders>
              <w:right w:val="single" w:color="000000" w:sz="4" w:space="0"/>
            </w:tcBorders>
            <w:vAlign w:val="top"/>
          </w:tcPr>
          <w:p w14:paraId="280DD400">
            <w:pPr>
              <w:pStyle w:val="7"/>
              <w:spacing w:before="120" w:line="216" w:lineRule="auto"/>
              <w:ind w:left="65"/>
            </w:pPr>
            <w:r>
              <w:rPr>
                <w:spacing w:val="-23"/>
              </w:rPr>
              <w:t>认真贯彻执行施工扬尘控制的有关法规、标准，负责安全文明施工工作，组</w:t>
            </w:r>
          </w:p>
          <w:p w14:paraId="3A5107DB">
            <w:pPr>
              <w:pStyle w:val="7"/>
              <w:spacing w:before="184" w:line="216" w:lineRule="auto"/>
              <w:ind w:left="2332"/>
            </w:pPr>
            <w:r>
              <w:rPr>
                <w:spacing w:val="-22"/>
              </w:rPr>
              <w:t>织有关施工扬尘控制检查。</w:t>
            </w:r>
          </w:p>
        </w:tc>
      </w:tr>
      <w:tr w14:paraId="1B19E5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56" w:hRule="atLeast"/>
        </w:trPr>
        <w:tc>
          <w:tcPr>
            <w:tcW w:w="1525" w:type="dxa"/>
            <w:tcBorders>
              <w:left w:val="single" w:color="000000" w:sz="4" w:space="0"/>
            </w:tcBorders>
            <w:vAlign w:val="top"/>
          </w:tcPr>
          <w:p w14:paraId="04A3DF47">
            <w:pPr>
              <w:spacing w:line="269" w:lineRule="auto"/>
              <w:rPr>
                <w:rFonts w:ascii="Arial"/>
                <w:sz w:val="21"/>
              </w:rPr>
            </w:pPr>
          </w:p>
          <w:p w14:paraId="451F5CD9">
            <w:pPr>
              <w:pStyle w:val="7"/>
              <w:spacing w:before="78" w:line="220" w:lineRule="auto"/>
              <w:ind w:left="356"/>
            </w:pPr>
            <w:r>
              <w:rPr>
                <w:spacing w:val="-19"/>
              </w:rPr>
              <w:t>生产经理</w:t>
            </w:r>
          </w:p>
        </w:tc>
        <w:tc>
          <w:tcPr>
            <w:tcW w:w="7269" w:type="dxa"/>
            <w:gridSpan w:val="2"/>
            <w:tcBorders>
              <w:right w:val="single" w:color="000000" w:sz="4" w:space="0"/>
            </w:tcBorders>
            <w:vAlign w:val="top"/>
          </w:tcPr>
          <w:p w14:paraId="42172539">
            <w:pPr>
              <w:pStyle w:val="7"/>
              <w:spacing w:before="115" w:line="217" w:lineRule="auto"/>
              <w:ind w:left="65"/>
            </w:pPr>
            <w:r>
              <w:rPr>
                <w:spacing w:val="-23"/>
              </w:rPr>
              <w:t>认真贯彻执行施工扬尘控制的有关法律、标准、制度，组织工长、工人进行</w:t>
            </w:r>
          </w:p>
          <w:p w14:paraId="38A10CF9">
            <w:pPr>
              <w:pStyle w:val="7"/>
              <w:spacing w:before="184" w:line="216" w:lineRule="auto"/>
              <w:ind w:left="1238"/>
            </w:pPr>
            <w:r>
              <w:rPr>
                <w:spacing w:val="-21"/>
              </w:rPr>
              <w:t>施工扬尘控制技术交底，参加施工扬尘控制检查。</w:t>
            </w:r>
          </w:p>
        </w:tc>
      </w:tr>
      <w:tr w14:paraId="21329F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57" w:hRule="atLeast"/>
        </w:trPr>
        <w:tc>
          <w:tcPr>
            <w:tcW w:w="1525" w:type="dxa"/>
            <w:tcBorders>
              <w:left w:val="single" w:color="000000" w:sz="4" w:space="0"/>
            </w:tcBorders>
            <w:vAlign w:val="top"/>
          </w:tcPr>
          <w:p w14:paraId="00571411">
            <w:pPr>
              <w:spacing w:line="266" w:lineRule="auto"/>
              <w:rPr>
                <w:rFonts w:ascii="Arial"/>
                <w:sz w:val="21"/>
              </w:rPr>
            </w:pPr>
          </w:p>
          <w:p w14:paraId="37CEA787">
            <w:pPr>
              <w:pStyle w:val="7"/>
              <w:spacing w:before="78" w:line="220" w:lineRule="auto"/>
              <w:ind w:left="233"/>
            </w:pPr>
            <w:r>
              <w:rPr>
                <w:spacing w:val="-17"/>
              </w:rPr>
              <w:t>设备负责人</w:t>
            </w:r>
          </w:p>
        </w:tc>
        <w:tc>
          <w:tcPr>
            <w:tcW w:w="7269" w:type="dxa"/>
            <w:gridSpan w:val="2"/>
            <w:tcBorders>
              <w:right w:val="single" w:color="000000" w:sz="4" w:space="0"/>
            </w:tcBorders>
            <w:vAlign w:val="top"/>
          </w:tcPr>
          <w:p w14:paraId="670E502B">
            <w:pPr>
              <w:pStyle w:val="7"/>
              <w:spacing w:before="111" w:line="217" w:lineRule="auto"/>
              <w:ind w:left="65"/>
            </w:pPr>
            <w:r>
              <w:rPr>
                <w:spacing w:val="-23"/>
              </w:rPr>
              <w:t>协助项目经理和施工负责人搞好施工扬尘控制，向工长、工人进行施工扬尘</w:t>
            </w:r>
          </w:p>
          <w:p w14:paraId="682FA46E">
            <w:pPr>
              <w:pStyle w:val="7"/>
              <w:spacing w:before="186" w:line="216" w:lineRule="auto"/>
              <w:ind w:left="1676"/>
            </w:pPr>
            <w:r>
              <w:rPr>
                <w:spacing w:val="-22"/>
              </w:rPr>
              <w:t>控制技术交底，参加施工扬尘控制检查。</w:t>
            </w:r>
          </w:p>
        </w:tc>
      </w:tr>
      <w:tr w14:paraId="55B66F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8" w:hRule="atLeast"/>
        </w:trPr>
        <w:tc>
          <w:tcPr>
            <w:tcW w:w="1525" w:type="dxa"/>
            <w:tcBorders>
              <w:left w:val="single" w:color="1C456A" w:sz="4" w:space="0"/>
              <w:bottom w:val="single" w:color="1C456A" w:sz="4" w:space="0"/>
            </w:tcBorders>
            <w:vAlign w:val="top"/>
          </w:tcPr>
          <w:p w14:paraId="04B8E61D">
            <w:pPr>
              <w:spacing w:line="261" w:lineRule="auto"/>
              <w:rPr>
                <w:rFonts w:ascii="Arial"/>
                <w:sz w:val="21"/>
              </w:rPr>
            </w:pPr>
            <w:r>
              <w:pict>
                <v:shape id="_x0000_s3959" o:spid="_x0000_s3959" style="position:absolute;left:0pt;margin-left:-0.2pt;margin-top:54.95pt;height:0.75pt;width:2.2pt;mso-position-horizontal-relative:page;mso-position-vertical-relative:page;z-index:252295168;mso-width-relative:page;mso-height-relative:page;" fillcolor="#5B9BD5" filled="t" stroked="f" coordsize="44,15" path="m0,14l43,14,43,0,0,0,0,14xe">
                  <v:path/>
                  <v:fill on="t" focussize="0,0"/>
                  <v:stroke on="f"/>
                  <v:imagedata o:title=""/>
                  <o:lock v:ext="edit"/>
                </v:shape>
              </w:pict>
            </w:r>
          </w:p>
          <w:p w14:paraId="47D222E7">
            <w:pPr>
              <w:pStyle w:val="7"/>
              <w:spacing w:before="78" w:line="216" w:lineRule="auto"/>
              <w:ind w:left="233"/>
            </w:pPr>
            <w:r>
              <w:rPr>
                <w:spacing w:val="-17"/>
              </w:rPr>
              <w:t>材料负责人</w:t>
            </w:r>
          </w:p>
        </w:tc>
        <w:tc>
          <w:tcPr>
            <w:tcW w:w="7269" w:type="dxa"/>
            <w:gridSpan w:val="2"/>
            <w:tcBorders>
              <w:bottom w:val="single" w:color="5B9BD5" w:sz="4" w:space="0"/>
              <w:right w:val="single" w:color="5B9BD5" w:sz="4" w:space="0"/>
            </w:tcBorders>
            <w:vAlign w:val="top"/>
          </w:tcPr>
          <w:p w14:paraId="507F4265">
            <w:pPr>
              <w:pStyle w:val="7"/>
              <w:spacing w:before="107" w:line="217" w:lineRule="auto"/>
              <w:jc w:val="right"/>
            </w:pPr>
            <w:r>
              <w:pict>
                <v:shape id="_x0000_s3960" o:spid="_x0000_s3960" style="position:absolute;left:0pt;margin-left:361.6pt;margin-top:54.95pt;height:0.75pt;width:2.2pt;mso-position-horizontal-relative:page;mso-position-vertical-relative:page;z-index:252296192;mso-width-relative:page;mso-height-relative:page;" fillcolor="#5B9BD5" filled="t" stroked="f" coordsize="44,15" path="m0,14l43,14,43,0,0,0,0,14xe">
                  <v:path/>
                  <v:fill on="t" focussize="0,0"/>
                  <v:stroke on="f"/>
                  <v:imagedata o:title=""/>
                  <o:lock v:ext="edit"/>
                </v:shape>
              </w:pict>
            </w:r>
            <w:r>
              <w:rPr>
                <w:spacing w:val="-23"/>
              </w:rPr>
              <w:t>认真贯彻执行安全文明施工的有关法规、标准，组织工长、工人安全文</w:t>
            </w:r>
            <w:r>
              <w:rPr>
                <w:spacing w:val="-24"/>
              </w:rPr>
              <w:t>明、</w:t>
            </w:r>
          </w:p>
          <w:p w14:paraId="5930B948">
            <w:pPr>
              <w:pStyle w:val="7"/>
              <w:spacing w:before="186" w:line="216" w:lineRule="auto"/>
              <w:ind w:left="1458"/>
            </w:pPr>
            <w:r>
              <w:rPr>
                <w:spacing w:val="-21"/>
              </w:rPr>
              <w:t>扬尘控制施工学习，参加施工扬尘控制检查。</w:t>
            </w:r>
          </w:p>
        </w:tc>
      </w:tr>
    </w:tbl>
    <w:p w14:paraId="469CAE9D">
      <w:pPr>
        <w:rPr>
          <w:rFonts w:ascii="Arial"/>
          <w:sz w:val="21"/>
        </w:rPr>
      </w:pPr>
    </w:p>
    <w:p w14:paraId="3A8A36E3">
      <w:pPr>
        <w:rPr>
          <w:rFonts w:ascii="Arial" w:hAnsi="Arial" w:eastAsia="Arial" w:cs="Arial"/>
          <w:sz w:val="21"/>
          <w:szCs w:val="21"/>
        </w:rPr>
        <w:sectPr>
          <w:footerReference r:id="rId357" w:type="default"/>
          <w:pgSz w:w="11907" w:h="16839"/>
          <w:pgMar w:top="933" w:right="4" w:bottom="1038" w:left="0" w:header="478" w:footer="357" w:gutter="0"/>
          <w:pgBorders>
            <w:top w:val="none" w:sz="0" w:space="0"/>
            <w:left w:val="none" w:sz="0" w:space="0"/>
            <w:bottom w:val="none" w:sz="0" w:space="0"/>
            <w:right w:val="none" w:sz="0" w:space="0"/>
          </w:pgBorders>
          <w:cols w:space="720" w:num="1"/>
        </w:sectPr>
      </w:pPr>
    </w:p>
    <w:p w14:paraId="2647C373">
      <w:pPr>
        <w:spacing w:line="235" w:lineRule="exact"/>
      </w:pPr>
    </w:p>
    <w:tbl>
      <w:tblPr>
        <w:tblStyle w:val="6"/>
        <w:tblW w:w="8794" w:type="dxa"/>
        <w:tblInd w:w="155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522"/>
        <w:gridCol w:w="7272"/>
      </w:tblGrid>
      <w:tr w14:paraId="728EFB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87" w:hRule="atLeast"/>
        </w:trPr>
        <w:tc>
          <w:tcPr>
            <w:tcW w:w="1522" w:type="dxa"/>
            <w:tcBorders>
              <w:top w:val="single" w:color="000000" w:sz="4" w:space="0"/>
              <w:left w:val="single" w:color="000000" w:sz="4" w:space="0"/>
            </w:tcBorders>
            <w:vAlign w:val="top"/>
          </w:tcPr>
          <w:p w14:paraId="7A43150C">
            <w:pPr>
              <w:spacing w:line="281" w:lineRule="auto"/>
              <w:rPr>
                <w:rFonts w:ascii="Arial"/>
                <w:sz w:val="21"/>
              </w:rPr>
            </w:pPr>
          </w:p>
          <w:p w14:paraId="29ABC01F">
            <w:pPr>
              <w:pStyle w:val="7"/>
              <w:spacing w:before="78" w:line="220" w:lineRule="auto"/>
              <w:ind w:left="233"/>
            </w:pPr>
            <w:r>
              <w:rPr>
                <w:spacing w:val="-17"/>
              </w:rPr>
              <w:t>施工负责人</w:t>
            </w:r>
          </w:p>
        </w:tc>
        <w:tc>
          <w:tcPr>
            <w:tcW w:w="7272" w:type="dxa"/>
            <w:tcBorders>
              <w:top w:val="single" w:color="5B9BD5" w:sz="4" w:space="0"/>
              <w:right w:val="single" w:color="5B9BD5" w:sz="4" w:space="0"/>
            </w:tcBorders>
            <w:vAlign w:val="top"/>
          </w:tcPr>
          <w:p w14:paraId="41FE0DA9">
            <w:pPr>
              <w:pStyle w:val="7"/>
              <w:spacing w:before="128" w:line="359" w:lineRule="auto"/>
              <w:ind w:left="72" w:firstLine="1"/>
            </w:pPr>
            <w:r>
              <w:rPr>
                <w:spacing w:val="-25"/>
              </w:rPr>
              <w:t>负责工程的分部分项工作施工参加施工扬尘控制的责任，向生产班组进行书</w:t>
            </w:r>
            <w:r>
              <w:rPr>
                <w:spacing w:val="-29"/>
              </w:rPr>
              <w:t>面技术交底，随时进行施工参加施工扬尘控制检查检查，发现隐患马上整改。</w:t>
            </w:r>
          </w:p>
        </w:tc>
      </w:tr>
      <w:tr w14:paraId="68D96D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15" w:hRule="atLeast"/>
        </w:trPr>
        <w:tc>
          <w:tcPr>
            <w:tcW w:w="1522" w:type="dxa"/>
            <w:tcBorders>
              <w:left w:val="single" w:color="000000" w:sz="4" w:space="0"/>
            </w:tcBorders>
            <w:vAlign w:val="top"/>
          </w:tcPr>
          <w:p w14:paraId="0B42190D">
            <w:pPr>
              <w:rPr>
                <w:rFonts w:ascii="Arial"/>
                <w:sz w:val="21"/>
              </w:rPr>
            </w:pPr>
          </w:p>
          <w:p w14:paraId="04B7AF9D">
            <w:pPr>
              <w:rPr>
                <w:rFonts w:ascii="Arial"/>
                <w:sz w:val="21"/>
              </w:rPr>
            </w:pPr>
          </w:p>
          <w:p w14:paraId="2BB80EDB">
            <w:pPr>
              <w:pStyle w:val="7"/>
              <w:spacing w:before="78" w:line="220" w:lineRule="auto"/>
              <w:ind w:left="452"/>
            </w:pPr>
            <w:r>
              <w:rPr>
                <w:spacing w:val="-14"/>
              </w:rPr>
              <w:t>安全员</w:t>
            </w:r>
          </w:p>
        </w:tc>
        <w:tc>
          <w:tcPr>
            <w:tcW w:w="7272" w:type="dxa"/>
            <w:tcBorders>
              <w:right w:val="single" w:color="000000" w:sz="4" w:space="0"/>
            </w:tcBorders>
            <w:vAlign w:val="top"/>
          </w:tcPr>
          <w:p w14:paraId="147C0295">
            <w:pPr>
              <w:pStyle w:val="7"/>
              <w:spacing w:before="93" w:line="216" w:lineRule="auto"/>
              <w:ind w:left="67"/>
            </w:pPr>
            <w:r>
              <w:rPr>
                <w:spacing w:val="-23"/>
              </w:rPr>
              <w:t>贯彻执行施工参加施工扬尘控制检查的法规和标准，配合有关部门对工人进</w:t>
            </w:r>
          </w:p>
          <w:p w14:paraId="0EF0E2AA">
            <w:pPr>
              <w:pStyle w:val="7"/>
              <w:spacing w:before="187" w:line="216" w:lineRule="auto"/>
              <w:jc w:val="right"/>
            </w:pPr>
            <w:r>
              <w:rPr>
                <w:spacing w:val="-28"/>
              </w:rPr>
              <w:t>行教育，协助领导进行施工检查和宣传教育</w:t>
            </w:r>
            <w:r>
              <w:rPr>
                <w:spacing w:val="-29"/>
              </w:rPr>
              <w:t>，经常到施工扬尘控制现场检查，</w:t>
            </w:r>
          </w:p>
          <w:p w14:paraId="228247A8">
            <w:pPr>
              <w:pStyle w:val="7"/>
              <w:spacing w:before="187" w:line="217" w:lineRule="auto"/>
              <w:ind w:left="703"/>
            </w:pPr>
            <w:r>
              <w:rPr>
                <w:spacing w:val="-21"/>
              </w:rPr>
              <w:t>发现有违反法规、标准的，及时向有关部门</w:t>
            </w:r>
            <w:r>
              <w:rPr>
                <w:spacing w:val="-22"/>
              </w:rPr>
              <w:t>和人员提出处理。</w:t>
            </w:r>
          </w:p>
        </w:tc>
      </w:tr>
      <w:tr w14:paraId="370919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4" w:hRule="atLeast"/>
        </w:trPr>
        <w:tc>
          <w:tcPr>
            <w:tcW w:w="1522" w:type="dxa"/>
            <w:tcBorders>
              <w:left w:val="single" w:color="000000" w:sz="4" w:space="0"/>
            </w:tcBorders>
            <w:vAlign w:val="top"/>
          </w:tcPr>
          <w:p w14:paraId="0C5AF10E">
            <w:pPr>
              <w:pStyle w:val="7"/>
              <w:spacing w:before="99" w:line="217" w:lineRule="auto"/>
              <w:ind w:left="234"/>
            </w:pPr>
            <w:r>
              <w:rPr>
                <w:spacing w:val="-17"/>
              </w:rPr>
              <w:t>保卫负责人</w:t>
            </w:r>
          </w:p>
        </w:tc>
        <w:tc>
          <w:tcPr>
            <w:tcW w:w="7272" w:type="dxa"/>
            <w:tcBorders>
              <w:right w:val="single" w:color="000000" w:sz="4" w:space="0"/>
            </w:tcBorders>
            <w:vAlign w:val="top"/>
          </w:tcPr>
          <w:p w14:paraId="26B81B9B">
            <w:pPr>
              <w:pStyle w:val="7"/>
              <w:spacing w:before="100" w:line="216" w:lineRule="auto"/>
              <w:ind w:left="1241"/>
            </w:pPr>
            <w:r>
              <w:rPr>
                <w:spacing w:val="-21"/>
              </w:rPr>
              <w:t>搞好施工区域的环境卫生及施工扬尘控制工作，。</w:t>
            </w:r>
          </w:p>
        </w:tc>
      </w:tr>
      <w:tr w14:paraId="74C1D7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2" w:hRule="atLeast"/>
        </w:trPr>
        <w:tc>
          <w:tcPr>
            <w:tcW w:w="1522" w:type="dxa"/>
            <w:tcBorders>
              <w:left w:val="single" w:color="1C456A" w:sz="4" w:space="0"/>
              <w:bottom w:val="single" w:color="1C456A" w:sz="4" w:space="0"/>
            </w:tcBorders>
            <w:vAlign w:val="top"/>
          </w:tcPr>
          <w:p w14:paraId="63075AFF">
            <w:pPr>
              <w:pStyle w:val="7"/>
              <w:spacing w:before="101" w:line="360" w:lineRule="auto"/>
              <w:ind w:left="450" w:right="295" w:hanging="106"/>
            </w:pPr>
            <w:r>
              <w:rPr>
                <w:spacing w:val="-22"/>
              </w:rPr>
              <w:t>专业队长</w:t>
            </w:r>
            <w:r>
              <w:rPr>
                <w:spacing w:val="-14"/>
              </w:rPr>
              <w:t>班组长</w:t>
            </w:r>
          </w:p>
        </w:tc>
        <w:tc>
          <w:tcPr>
            <w:tcW w:w="7272" w:type="dxa"/>
            <w:tcBorders>
              <w:bottom w:val="single" w:color="5B9BD5" w:sz="4" w:space="0"/>
              <w:right w:val="single" w:color="5B9BD5" w:sz="4" w:space="0"/>
            </w:tcBorders>
            <w:vAlign w:val="top"/>
          </w:tcPr>
          <w:p w14:paraId="29A64F03">
            <w:pPr>
              <w:pStyle w:val="7"/>
              <w:spacing w:before="102" w:line="358" w:lineRule="auto"/>
              <w:ind w:left="260" w:right="45" w:hanging="192"/>
            </w:pPr>
            <w:r>
              <w:rPr>
                <w:spacing w:val="-23"/>
              </w:rPr>
              <w:t>根据法规、标准、技术交底，随时检查施工中施</w:t>
            </w:r>
            <w:r>
              <w:rPr>
                <w:spacing w:val="-24"/>
              </w:rPr>
              <w:t>工扬尘控制，发现隐患马上</w:t>
            </w:r>
            <w:r>
              <w:rPr>
                <w:spacing w:val="-21"/>
              </w:rPr>
              <w:t>解决，有了问题及时向安全员、工长汇报，并参与施工</w:t>
            </w:r>
            <w:r>
              <w:rPr>
                <w:spacing w:val="-22"/>
              </w:rPr>
              <w:t>扬尘控制处理。</w:t>
            </w:r>
          </w:p>
        </w:tc>
      </w:tr>
    </w:tbl>
    <w:p w14:paraId="40E3AFFC">
      <w:pPr>
        <w:pStyle w:val="2"/>
        <w:spacing w:before="113" w:line="217" w:lineRule="auto"/>
        <w:ind w:left="1890"/>
        <w:rPr>
          <w:sz w:val="24"/>
          <w:szCs w:val="24"/>
        </w:rPr>
      </w:pPr>
      <w:r>
        <w:rPr>
          <w:spacing w:val="-18"/>
          <w:sz w:val="24"/>
          <w:szCs w:val="24"/>
        </w:rPr>
        <w:t>3.3、施工扬尘控制组织制度</w:t>
      </w:r>
    </w:p>
    <w:p w14:paraId="4EB507A3">
      <w:pPr>
        <w:pStyle w:val="2"/>
        <w:spacing w:before="118" w:line="217" w:lineRule="auto"/>
        <w:ind w:left="1890"/>
        <w:rPr>
          <w:sz w:val="24"/>
          <w:szCs w:val="24"/>
        </w:rPr>
      </w:pPr>
      <w:r>
        <w:rPr>
          <w:spacing w:val="-18"/>
          <w:sz w:val="24"/>
          <w:szCs w:val="24"/>
        </w:rPr>
        <w:t>3.3.1工地施工扬尘控制例会制度：</w:t>
      </w:r>
    </w:p>
    <w:p w14:paraId="1464BECF">
      <w:pPr>
        <w:pStyle w:val="2"/>
        <w:spacing w:before="117" w:line="307" w:lineRule="auto"/>
        <w:ind w:left="1457" w:right="1409" w:firstLine="443"/>
        <w:rPr>
          <w:sz w:val="24"/>
          <w:szCs w:val="24"/>
        </w:rPr>
      </w:pPr>
      <w:r>
        <w:rPr>
          <w:spacing w:val="-20"/>
          <w:sz w:val="24"/>
          <w:szCs w:val="24"/>
        </w:rPr>
        <w:t>会议内容：检查总结上周的扬尘控制工作，安排下周的扬尘控制工作计划，贯彻落实扬尘</w:t>
      </w:r>
      <w:r>
        <w:rPr>
          <w:spacing w:val="-21"/>
          <w:sz w:val="24"/>
          <w:szCs w:val="24"/>
        </w:rPr>
        <w:t>控制工作以“以防为主”的方针。</w:t>
      </w:r>
    </w:p>
    <w:p w14:paraId="229897D9">
      <w:pPr>
        <w:pStyle w:val="2"/>
        <w:spacing w:before="2" w:line="216" w:lineRule="auto"/>
        <w:ind w:left="1890"/>
        <w:rPr>
          <w:sz w:val="24"/>
          <w:szCs w:val="24"/>
        </w:rPr>
      </w:pPr>
      <w:r>
        <w:rPr>
          <w:spacing w:val="-17"/>
          <w:sz w:val="24"/>
          <w:szCs w:val="24"/>
        </w:rPr>
        <w:t>3.3.2施工现场定期检查制度：</w:t>
      </w:r>
    </w:p>
    <w:p w14:paraId="1B93C0E6">
      <w:pPr>
        <w:pStyle w:val="2"/>
        <w:spacing w:before="121" w:line="306" w:lineRule="auto"/>
        <w:ind w:left="1462" w:right="1353" w:firstLine="432"/>
        <w:rPr>
          <w:sz w:val="24"/>
          <w:szCs w:val="24"/>
        </w:rPr>
      </w:pPr>
      <w:r>
        <w:rPr>
          <w:spacing w:val="-24"/>
          <w:sz w:val="24"/>
          <w:szCs w:val="24"/>
        </w:rPr>
        <w:t>采取集中或分散的方式有针对性地进行扬尘控制检查，对检查出的问题采取措施加以解决，</w:t>
      </w:r>
      <w:r>
        <w:rPr>
          <w:spacing w:val="-22"/>
          <w:sz w:val="24"/>
          <w:szCs w:val="24"/>
        </w:rPr>
        <w:t>消除施工过程中存在的扬尘隐患。</w:t>
      </w:r>
    </w:p>
    <w:p w14:paraId="314EF1D9">
      <w:pPr>
        <w:pStyle w:val="2"/>
        <w:spacing w:before="2" w:line="217" w:lineRule="auto"/>
        <w:ind w:left="1890"/>
        <w:rPr>
          <w:sz w:val="24"/>
          <w:szCs w:val="24"/>
        </w:rPr>
      </w:pPr>
      <w:r>
        <w:rPr>
          <w:spacing w:val="-17"/>
          <w:sz w:val="24"/>
          <w:szCs w:val="24"/>
        </w:rPr>
        <w:t>3.3.3执行工人入场教育制度：</w:t>
      </w:r>
    </w:p>
    <w:p w14:paraId="76A91B34">
      <w:pPr>
        <w:pStyle w:val="2"/>
        <w:spacing w:before="119" w:line="307" w:lineRule="auto"/>
        <w:ind w:left="1471" w:right="1354" w:firstLine="423"/>
        <w:rPr>
          <w:sz w:val="24"/>
          <w:szCs w:val="24"/>
        </w:rPr>
      </w:pPr>
      <w:r>
        <w:rPr>
          <w:spacing w:val="-24"/>
          <w:sz w:val="24"/>
          <w:szCs w:val="24"/>
        </w:rPr>
        <w:t>对进场工人进行安全教育，加强和提高工人的施工扬尘控制意识，宣布施工扬尘控制纪律，</w:t>
      </w:r>
      <w:r>
        <w:rPr>
          <w:spacing w:val="-22"/>
          <w:sz w:val="24"/>
          <w:szCs w:val="24"/>
        </w:rPr>
        <w:t>宣布扬尘控制工作奖罚条款，各工种班组长，负责管理该班组的扬尘控制工作。</w:t>
      </w:r>
    </w:p>
    <w:p w14:paraId="6C01E014">
      <w:pPr>
        <w:pStyle w:val="2"/>
        <w:spacing w:before="2" w:line="217" w:lineRule="auto"/>
        <w:ind w:left="1894"/>
        <w:rPr>
          <w:sz w:val="24"/>
          <w:szCs w:val="24"/>
        </w:rPr>
      </w:pPr>
      <w:r>
        <w:rPr>
          <w:spacing w:val="-18"/>
          <w:sz w:val="24"/>
          <w:szCs w:val="24"/>
        </w:rPr>
        <w:t>扬尘控制要点</w:t>
      </w:r>
    </w:p>
    <w:p w14:paraId="0362C4B3">
      <w:pPr>
        <w:pStyle w:val="2"/>
        <w:spacing w:before="118" w:line="215" w:lineRule="auto"/>
        <w:ind w:left="1884"/>
        <w:rPr>
          <w:sz w:val="24"/>
          <w:szCs w:val="24"/>
        </w:rPr>
      </w:pPr>
      <w:r>
        <w:rPr>
          <w:spacing w:val="-21"/>
          <w:sz w:val="24"/>
          <w:szCs w:val="24"/>
        </w:rPr>
        <w:t>4.1、项目部控制扬尘的管理制度是否健全和落实，关键在于落实。</w:t>
      </w:r>
    </w:p>
    <w:p w14:paraId="3673ED4F">
      <w:pPr>
        <w:pStyle w:val="2"/>
        <w:spacing w:before="120" w:line="217" w:lineRule="auto"/>
        <w:ind w:left="1884"/>
        <w:rPr>
          <w:sz w:val="24"/>
          <w:szCs w:val="24"/>
        </w:rPr>
      </w:pPr>
      <w:r>
        <w:rPr>
          <w:spacing w:val="-20"/>
          <w:sz w:val="24"/>
          <w:szCs w:val="24"/>
        </w:rPr>
        <w:t>4.2、控制扬尘的经费是否落实，是否是专</w:t>
      </w:r>
      <w:r>
        <w:rPr>
          <w:spacing w:val="-21"/>
          <w:sz w:val="24"/>
          <w:szCs w:val="24"/>
        </w:rPr>
        <w:t>款专用，是否及时划拨使用。</w:t>
      </w:r>
    </w:p>
    <w:p w14:paraId="468131C6">
      <w:pPr>
        <w:pStyle w:val="2"/>
        <w:spacing w:before="117" w:line="217" w:lineRule="auto"/>
        <w:ind w:left="1884"/>
        <w:rPr>
          <w:sz w:val="24"/>
          <w:szCs w:val="24"/>
        </w:rPr>
      </w:pPr>
      <w:r>
        <w:rPr>
          <w:spacing w:val="-20"/>
          <w:sz w:val="24"/>
          <w:szCs w:val="24"/>
        </w:rPr>
        <w:t>4.3、工地清扫出的建筑垃圾是否按规范要求进行清运和堆放。</w:t>
      </w:r>
    </w:p>
    <w:p w14:paraId="789EC064">
      <w:pPr>
        <w:pStyle w:val="2"/>
        <w:spacing w:before="120" w:line="215" w:lineRule="auto"/>
        <w:ind w:left="1884"/>
        <w:rPr>
          <w:sz w:val="24"/>
          <w:szCs w:val="24"/>
        </w:rPr>
      </w:pPr>
      <w:r>
        <w:rPr>
          <w:spacing w:val="-21"/>
          <w:sz w:val="24"/>
          <w:szCs w:val="24"/>
        </w:rPr>
        <w:t>4.4、土方进出工地时，是否将车辆的槽帮和车轮冲洗干净，是否做好遮蔽、清洁工作。</w:t>
      </w:r>
    </w:p>
    <w:p w14:paraId="275F43EA">
      <w:pPr>
        <w:pStyle w:val="2"/>
        <w:spacing w:before="3" w:line="308" w:lineRule="auto"/>
        <w:ind w:left="1458" w:right="1413" w:firstLine="426"/>
        <w:rPr>
          <w:sz w:val="24"/>
          <w:szCs w:val="24"/>
        </w:rPr>
      </w:pPr>
      <w:r>
        <w:rPr>
          <w:spacing w:val="-21"/>
          <w:sz w:val="24"/>
          <w:szCs w:val="24"/>
        </w:rPr>
        <w:t>4.5、施工现场内堆放的水泥、</w:t>
      </w:r>
      <w:r>
        <w:fldChar w:fldCharType="begin"/>
      </w:r>
      <w:r>
        <w:instrText xml:space="preserve">HYPERLINK"http://wiki.zhulong.com/baike/detail.asp?t=灰土"</w:instrText>
      </w:r>
      <w:r>
        <w:fldChar w:fldCharType="separate"/>
      </w:r>
      <w:r>
        <w:rPr>
          <w:spacing w:val="-21"/>
          <w:sz w:val="24"/>
          <w:szCs w:val="24"/>
        </w:rPr>
        <w:t>灰土</w:t>
      </w:r>
      <w:r>
        <w:rPr>
          <w:spacing w:val="-21"/>
          <w:sz w:val="24"/>
          <w:szCs w:val="24"/>
        </w:rPr>
        <w:fldChar w:fldCharType="end"/>
      </w:r>
      <w:r>
        <w:rPr>
          <w:spacing w:val="-21"/>
          <w:sz w:val="24"/>
          <w:szCs w:val="24"/>
        </w:rPr>
        <w:t>、砂石等易产生尘</w:t>
      </w:r>
      <w:r>
        <w:rPr>
          <w:spacing w:val="-22"/>
          <w:sz w:val="24"/>
          <w:szCs w:val="24"/>
        </w:rPr>
        <w:t>埃的物料，是否采取围栏、遮盖等防</w:t>
      </w:r>
      <w:r>
        <w:rPr>
          <w:spacing w:val="-16"/>
          <w:sz w:val="24"/>
          <w:szCs w:val="24"/>
        </w:rPr>
        <w:t>尘措施。</w:t>
      </w:r>
    </w:p>
    <w:p w14:paraId="1DC116A0">
      <w:pPr>
        <w:pStyle w:val="2"/>
        <w:spacing w:before="117" w:line="262" w:lineRule="auto"/>
        <w:ind w:left="1459" w:right="1411" w:firstLine="425"/>
        <w:rPr>
          <w:sz w:val="24"/>
          <w:szCs w:val="24"/>
        </w:rPr>
      </w:pPr>
      <w:r>
        <w:rPr>
          <w:spacing w:val="-21"/>
          <w:sz w:val="24"/>
          <w:szCs w:val="24"/>
        </w:rPr>
        <w:t>4.6、工地上易产生粉尘的设备是否安置在相对封闭的操</w:t>
      </w:r>
      <w:r>
        <w:rPr>
          <w:spacing w:val="-22"/>
          <w:sz w:val="24"/>
          <w:szCs w:val="24"/>
        </w:rPr>
        <w:t>作棚内，产生的尘屑、废料等是否及时得到清理。</w:t>
      </w:r>
    </w:p>
    <w:p w14:paraId="545D0201">
      <w:pPr>
        <w:pStyle w:val="2"/>
        <w:spacing w:before="118" w:line="215" w:lineRule="auto"/>
        <w:ind w:left="1884"/>
        <w:rPr>
          <w:sz w:val="24"/>
          <w:szCs w:val="24"/>
        </w:rPr>
      </w:pPr>
      <w:r>
        <w:rPr>
          <w:spacing w:val="-20"/>
          <w:sz w:val="24"/>
          <w:szCs w:val="24"/>
        </w:rPr>
        <w:t>4.7、工地在清扫时，是否有洒水或其它防尘、吸尘措施。</w:t>
      </w:r>
    </w:p>
    <w:p w14:paraId="1F1AD0DE">
      <w:pPr>
        <w:pStyle w:val="2"/>
        <w:spacing w:before="121" w:line="216" w:lineRule="auto"/>
        <w:ind w:left="1892"/>
        <w:rPr>
          <w:sz w:val="24"/>
          <w:szCs w:val="24"/>
        </w:rPr>
      </w:pPr>
      <w:r>
        <w:rPr>
          <w:spacing w:val="-20"/>
          <w:sz w:val="24"/>
          <w:szCs w:val="24"/>
        </w:rPr>
        <w:t>施工现场扬尘控制工作计划</w:t>
      </w:r>
    </w:p>
    <w:p w14:paraId="3B9A6352">
      <w:pPr>
        <w:pStyle w:val="2"/>
        <w:spacing w:before="118" w:line="263" w:lineRule="auto"/>
        <w:ind w:left="1455" w:right="1412" w:firstLine="434"/>
        <w:rPr>
          <w:sz w:val="24"/>
          <w:szCs w:val="24"/>
        </w:rPr>
      </w:pPr>
      <w:r>
        <w:rPr>
          <w:spacing w:val="-19"/>
          <w:sz w:val="24"/>
          <w:szCs w:val="24"/>
        </w:rPr>
        <w:t>5.1.认真学习和贯彻国家、省市及公司的有关扬尘控制的法令、法规和条例，达到市文明施工现场的要求。</w:t>
      </w:r>
    </w:p>
    <w:p w14:paraId="649A61C4">
      <w:pPr>
        <w:pStyle w:val="2"/>
        <w:spacing w:before="118" w:line="261" w:lineRule="auto"/>
        <w:ind w:left="1457" w:right="1412" w:firstLine="433"/>
        <w:rPr>
          <w:sz w:val="24"/>
          <w:szCs w:val="24"/>
        </w:rPr>
      </w:pPr>
      <w:r>
        <w:rPr>
          <w:spacing w:val="-19"/>
          <w:sz w:val="24"/>
          <w:szCs w:val="24"/>
        </w:rPr>
        <w:t>5.2.积极全面开展扬尘控制工作，成立扬尘控制领导小组、扬尘控制自我保障体系和扬尘</w:t>
      </w:r>
      <w:r>
        <w:rPr>
          <w:spacing w:val="-20"/>
          <w:sz w:val="24"/>
          <w:szCs w:val="24"/>
        </w:rPr>
        <w:t>控制信息网络，并保持运行。</w:t>
      </w:r>
    </w:p>
    <w:p w14:paraId="4F721F18">
      <w:pPr>
        <w:spacing w:line="261" w:lineRule="auto"/>
        <w:rPr>
          <w:sz w:val="24"/>
          <w:szCs w:val="24"/>
        </w:rPr>
        <w:sectPr>
          <w:footerReference r:id="rId358" w:type="default"/>
          <w:pgSz w:w="11907" w:h="16839"/>
          <w:pgMar w:top="933" w:right="4" w:bottom="1038" w:left="0" w:header="478" w:footer="357" w:gutter="0"/>
          <w:pgBorders>
            <w:top w:val="none" w:sz="0" w:space="0"/>
            <w:left w:val="none" w:sz="0" w:space="0"/>
            <w:bottom w:val="none" w:sz="0" w:space="0"/>
            <w:right w:val="none" w:sz="0" w:space="0"/>
          </w:pgBorders>
          <w:cols w:space="720" w:num="1"/>
        </w:sectPr>
      </w:pPr>
    </w:p>
    <w:p w14:paraId="2054FA02">
      <w:pPr>
        <w:spacing w:line="271" w:lineRule="auto"/>
        <w:rPr>
          <w:rFonts w:ascii="Arial"/>
          <w:sz w:val="21"/>
        </w:rPr>
      </w:pPr>
    </w:p>
    <w:p w14:paraId="6EE1797E">
      <w:pPr>
        <w:pStyle w:val="2"/>
        <w:spacing w:before="78" w:line="216" w:lineRule="auto"/>
        <w:ind w:left="1890"/>
        <w:rPr>
          <w:sz w:val="24"/>
          <w:szCs w:val="24"/>
        </w:rPr>
      </w:pPr>
      <w:r>
        <w:rPr>
          <w:spacing w:val="-19"/>
          <w:sz w:val="24"/>
          <w:szCs w:val="24"/>
        </w:rPr>
        <w:t>5.3.加强扬尘控制宣传工作，提高全员扬</w:t>
      </w:r>
      <w:r>
        <w:rPr>
          <w:spacing w:val="-20"/>
          <w:sz w:val="24"/>
          <w:szCs w:val="24"/>
        </w:rPr>
        <w:t>尘控制意识。</w:t>
      </w:r>
    </w:p>
    <w:p w14:paraId="1DE0FDF6">
      <w:pPr>
        <w:pStyle w:val="2"/>
        <w:spacing w:before="120" w:line="261" w:lineRule="auto"/>
        <w:ind w:left="1470" w:right="1411" w:firstLine="420"/>
        <w:rPr>
          <w:sz w:val="24"/>
          <w:szCs w:val="24"/>
        </w:rPr>
      </w:pPr>
      <w:r>
        <w:rPr>
          <w:spacing w:val="-19"/>
          <w:sz w:val="24"/>
          <w:szCs w:val="24"/>
        </w:rPr>
        <w:t>5.4.现场采取图片、表扬、评优、奖励等多种形式进行扬尘控制宣传，并将扬尘控制知识</w:t>
      </w:r>
      <w:r>
        <w:rPr>
          <w:spacing w:val="-22"/>
          <w:sz w:val="24"/>
          <w:szCs w:val="24"/>
        </w:rPr>
        <w:t>的普及工作落实到每个施工人员身上。</w:t>
      </w:r>
    </w:p>
    <w:p w14:paraId="52CF4743">
      <w:pPr>
        <w:pStyle w:val="2"/>
        <w:spacing w:before="120" w:line="263" w:lineRule="auto"/>
        <w:ind w:left="1456" w:right="1412" w:firstLine="434"/>
        <w:rPr>
          <w:sz w:val="24"/>
          <w:szCs w:val="24"/>
        </w:rPr>
      </w:pPr>
      <w:r>
        <w:rPr>
          <w:spacing w:val="-19"/>
          <w:sz w:val="24"/>
          <w:szCs w:val="24"/>
        </w:rPr>
        <w:t>5.5.对上岗的施工人员实行扬尘控制达标上岗培训，做到凡是上岗人员均通过扬尘控制知</w:t>
      </w:r>
      <w:r>
        <w:rPr>
          <w:spacing w:val="-20"/>
          <w:sz w:val="24"/>
          <w:szCs w:val="24"/>
        </w:rPr>
        <w:t>识考试。</w:t>
      </w:r>
    </w:p>
    <w:p w14:paraId="444EF7F8">
      <w:pPr>
        <w:pStyle w:val="2"/>
        <w:spacing w:before="114" w:line="263" w:lineRule="auto"/>
        <w:ind w:left="1459" w:right="1411" w:firstLine="431"/>
        <w:rPr>
          <w:sz w:val="24"/>
          <w:szCs w:val="24"/>
        </w:rPr>
      </w:pPr>
      <w:r>
        <w:rPr>
          <w:spacing w:val="-19"/>
          <w:sz w:val="24"/>
          <w:szCs w:val="24"/>
        </w:rPr>
        <w:t>5.6.现场建立扬尘控制义务监督岗位制度，保证及时反馈信息，对扬尘控制做的不周之处</w:t>
      </w:r>
      <w:r>
        <w:rPr>
          <w:spacing w:val="-21"/>
          <w:sz w:val="24"/>
          <w:szCs w:val="24"/>
        </w:rPr>
        <w:t>及时提出整改方案，积极改善扬尘控制措施。</w:t>
      </w:r>
    </w:p>
    <w:p w14:paraId="0B935069">
      <w:pPr>
        <w:pStyle w:val="2"/>
        <w:spacing w:before="118" w:line="216" w:lineRule="auto"/>
        <w:ind w:left="1890"/>
        <w:rPr>
          <w:sz w:val="24"/>
          <w:szCs w:val="24"/>
        </w:rPr>
      </w:pPr>
      <w:r>
        <w:rPr>
          <w:spacing w:val="-20"/>
          <w:sz w:val="24"/>
          <w:szCs w:val="24"/>
        </w:rPr>
        <w:t>5.7.根据现场实际情况组织有关技术人员进行扬尘控制革新发明，并注意及</w:t>
      </w:r>
      <w:r>
        <w:rPr>
          <w:spacing w:val="-21"/>
          <w:sz w:val="24"/>
          <w:szCs w:val="24"/>
        </w:rPr>
        <w:t>时推广。</w:t>
      </w:r>
    </w:p>
    <w:p w14:paraId="02367AD0">
      <w:pPr>
        <w:pStyle w:val="2"/>
        <w:spacing w:before="118" w:line="216" w:lineRule="auto"/>
        <w:ind w:left="1890"/>
        <w:rPr>
          <w:sz w:val="24"/>
          <w:szCs w:val="24"/>
        </w:rPr>
      </w:pPr>
      <w:r>
        <w:rPr>
          <w:spacing w:val="-19"/>
          <w:sz w:val="24"/>
          <w:szCs w:val="24"/>
        </w:rPr>
        <w:t>5.8.进行环境保护噪声检查，发现问题及时解决。</w:t>
      </w:r>
    </w:p>
    <w:p w14:paraId="19D0FAAE">
      <w:pPr>
        <w:pStyle w:val="2"/>
        <w:spacing w:before="120" w:line="216" w:lineRule="auto"/>
        <w:ind w:left="1890"/>
        <w:rPr>
          <w:sz w:val="24"/>
          <w:szCs w:val="24"/>
        </w:rPr>
      </w:pPr>
      <w:r>
        <w:rPr>
          <w:spacing w:val="-20"/>
          <w:sz w:val="24"/>
          <w:szCs w:val="24"/>
        </w:rPr>
        <w:t>5.9.严格按照施工组织设计中环境保护措施开展工作，其针对性和可操作</w:t>
      </w:r>
      <w:r>
        <w:rPr>
          <w:spacing w:val="-21"/>
          <w:sz w:val="24"/>
          <w:szCs w:val="24"/>
        </w:rPr>
        <w:t>性要强。</w:t>
      </w:r>
    </w:p>
    <w:p w14:paraId="1DAE79A7">
      <w:pPr>
        <w:pStyle w:val="2"/>
        <w:spacing w:before="121" w:line="261" w:lineRule="auto"/>
        <w:ind w:left="1456" w:right="1413" w:firstLine="434"/>
        <w:rPr>
          <w:sz w:val="24"/>
          <w:szCs w:val="24"/>
        </w:rPr>
      </w:pPr>
      <w:r>
        <w:rPr>
          <w:spacing w:val="-23"/>
          <w:sz w:val="24"/>
          <w:szCs w:val="24"/>
        </w:rPr>
        <w:t>5.10.项目部采用公司《施工现场环境检测和测量记录表》，</w:t>
      </w:r>
      <w:r>
        <w:rPr>
          <w:spacing w:val="-24"/>
          <w:sz w:val="24"/>
          <w:szCs w:val="24"/>
        </w:rPr>
        <w:t>由扬尘监督员定期或不定期做</w:t>
      </w:r>
      <w:r>
        <w:rPr>
          <w:spacing w:val="-20"/>
          <w:sz w:val="24"/>
          <w:szCs w:val="24"/>
        </w:rPr>
        <w:t>好扬尘污染的监测工作。</w:t>
      </w:r>
    </w:p>
    <w:p w14:paraId="0383E335">
      <w:pPr>
        <w:pStyle w:val="2"/>
        <w:spacing w:before="120" w:line="278" w:lineRule="auto"/>
        <w:ind w:left="1455" w:right="1409" w:firstLine="434"/>
        <w:rPr>
          <w:sz w:val="24"/>
          <w:szCs w:val="24"/>
        </w:rPr>
      </w:pPr>
      <w:r>
        <w:rPr>
          <w:spacing w:val="-21"/>
          <w:sz w:val="24"/>
          <w:szCs w:val="24"/>
        </w:rPr>
        <w:t>5.11.管理目标中扬尘控制达标的具体指标：工地围墙大门封闭，地坪硬化，工棚封闭，建</w:t>
      </w:r>
      <w:r>
        <w:rPr>
          <w:spacing w:val="-20"/>
          <w:sz w:val="24"/>
          <w:szCs w:val="24"/>
        </w:rPr>
        <w:t>筑垃圾每天清运，车辆进出用水冲洗；使用商品砼，生活垃圾袋装化，办公区、生活区洒水清</w:t>
      </w:r>
      <w:r>
        <w:rPr>
          <w:spacing w:val="-18"/>
          <w:sz w:val="24"/>
          <w:szCs w:val="24"/>
        </w:rPr>
        <w:t>扫。</w:t>
      </w:r>
    </w:p>
    <w:p w14:paraId="1E26D71A">
      <w:pPr>
        <w:pStyle w:val="2"/>
        <w:spacing w:before="115" w:line="217" w:lineRule="auto"/>
        <w:ind w:left="1890"/>
        <w:rPr>
          <w:sz w:val="24"/>
          <w:szCs w:val="24"/>
        </w:rPr>
      </w:pPr>
      <w:r>
        <w:pict>
          <v:shape id="_x0000_s3961" o:spid="_x0000_s3961" style="position:absolute;left:0pt;margin-left:309.5pt;margin-top:21.5pt;height:0.75pt;width:2.2pt;z-index:252300288;mso-width-relative:page;mso-height-relative:page;" fillcolor="#1C456A" filled="t" stroked="f" coordsize="44,15" path="m0,14l43,14,43,0,0,0,0,14xe">
            <v:path/>
            <v:fill on="t" focussize="0,0"/>
            <v:stroke on="f"/>
            <v:imagedata o:title=""/>
            <o:lock v:ext="edit"/>
          </v:shape>
        </w:pict>
      </w:r>
      <w:r>
        <w:pict>
          <v:shape id="_x0000_s3962" o:spid="_x0000_s3962" style="position:absolute;left:0pt;margin-left:232.85pt;margin-top:21.5pt;height:0.75pt;width:2.2pt;z-index:252299264;mso-width-relative:page;mso-height-relative:page;" fillcolor="#1C456A" filled="t" stroked="f" coordsize="44,15" path="m0,14l43,14,43,0,0,0,0,14xe">
            <v:path/>
            <v:fill on="t" focussize="0,0"/>
            <v:stroke on="f"/>
            <v:imagedata o:title=""/>
            <o:lock v:ext="edit"/>
          </v:shape>
        </w:pict>
      </w:r>
      <w:r>
        <w:rPr>
          <w:spacing w:val="-15"/>
          <w:sz w:val="24"/>
          <w:szCs w:val="24"/>
        </w:rPr>
        <w:t>5.12.扬尘控制清单</w:t>
      </w:r>
    </w:p>
    <w:p w14:paraId="0C7D355D">
      <w:pPr>
        <w:spacing w:line="48" w:lineRule="auto"/>
        <w:rPr>
          <w:rFonts w:ascii="Arial"/>
          <w:sz w:val="2"/>
        </w:rPr>
      </w:pPr>
    </w:p>
    <w:tbl>
      <w:tblPr>
        <w:tblStyle w:val="6"/>
        <w:tblW w:w="8794" w:type="dxa"/>
        <w:tblInd w:w="155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14"/>
        <w:gridCol w:w="630"/>
        <w:gridCol w:w="2270"/>
        <w:gridCol w:w="1529"/>
        <w:gridCol w:w="1983"/>
        <w:gridCol w:w="1919"/>
        <w:gridCol w:w="249"/>
      </w:tblGrid>
      <w:tr w14:paraId="787B42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58" w:hRule="atLeast"/>
        </w:trPr>
        <w:tc>
          <w:tcPr>
            <w:tcW w:w="844" w:type="dxa"/>
            <w:gridSpan w:val="2"/>
            <w:tcBorders>
              <w:top w:val="single" w:color="000000" w:sz="4" w:space="0"/>
              <w:left w:val="single" w:color="000000" w:sz="4" w:space="0"/>
            </w:tcBorders>
            <w:shd w:val="clear" w:color="auto" w:fill="DEEAF6"/>
            <w:vAlign w:val="top"/>
          </w:tcPr>
          <w:p w14:paraId="6DF2BAB3">
            <w:pPr>
              <w:spacing w:line="4" w:lineRule="exact"/>
              <w:jc w:val="right"/>
            </w:pPr>
            <w:r>
              <w:drawing>
                <wp:inline distT="0" distB="0" distL="0" distR="0">
                  <wp:extent cx="530860" cy="2540"/>
                  <wp:effectExtent l="0" t="0" r="0" b="0"/>
                  <wp:docPr id="1474" name="IM 1474"/>
                  <wp:cNvGraphicFramePr/>
                  <a:graphic xmlns:a="http://schemas.openxmlformats.org/drawingml/2006/main">
                    <a:graphicData uri="http://schemas.openxmlformats.org/drawingml/2006/picture">
                      <pic:pic xmlns:pic="http://schemas.openxmlformats.org/drawingml/2006/picture">
                        <pic:nvPicPr>
                          <pic:cNvPr id="1474" name="IM 1474"/>
                          <pic:cNvPicPr/>
                        </pic:nvPicPr>
                        <pic:blipFill>
                          <a:blip r:embed="rId686"/>
                          <a:stretch>
                            <a:fillRect/>
                          </a:stretch>
                        </pic:blipFill>
                        <pic:spPr>
                          <a:xfrm>
                            <a:off x="0" y="0"/>
                            <a:ext cx="531177" cy="2794"/>
                          </a:xfrm>
                          <a:prstGeom prst="rect">
                            <a:avLst/>
                          </a:prstGeom>
                        </pic:spPr>
                      </pic:pic>
                    </a:graphicData>
                  </a:graphic>
                </wp:inline>
              </w:drawing>
            </w:r>
          </w:p>
          <w:p w14:paraId="428063D7">
            <w:pPr>
              <w:spacing w:line="14" w:lineRule="exact"/>
              <w:jc w:val="right"/>
            </w:pPr>
            <w:r>
              <w:drawing>
                <wp:inline distT="0" distB="0" distL="0" distR="0">
                  <wp:extent cx="6985" cy="8890"/>
                  <wp:effectExtent l="0" t="0" r="0" b="0"/>
                  <wp:docPr id="1476" name="IM 1476"/>
                  <wp:cNvGraphicFramePr/>
                  <a:graphic xmlns:a="http://schemas.openxmlformats.org/drawingml/2006/main">
                    <a:graphicData uri="http://schemas.openxmlformats.org/drawingml/2006/picture">
                      <pic:pic xmlns:pic="http://schemas.openxmlformats.org/drawingml/2006/picture">
                        <pic:nvPicPr>
                          <pic:cNvPr id="1476" name="IM 1476"/>
                          <pic:cNvPicPr/>
                        </pic:nvPicPr>
                        <pic:blipFill>
                          <a:blip r:embed="rId687"/>
                          <a:stretch>
                            <a:fillRect/>
                          </a:stretch>
                        </pic:blipFill>
                        <pic:spPr>
                          <a:xfrm>
                            <a:off x="0" y="0"/>
                            <a:ext cx="7226" cy="9143"/>
                          </a:xfrm>
                          <a:prstGeom prst="rect">
                            <a:avLst/>
                          </a:prstGeom>
                        </pic:spPr>
                      </pic:pic>
                    </a:graphicData>
                  </a:graphic>
                </wp:inline>
              </w:drawing>
            </w:r>
          </w:p>
          <w:p w14:paraId="05B036D5">
            <w:pPr>
              <w:spacing w:line="14" w:lineRule="exact"/>
              <w:jc w:val="right"/>
            </w:pPr>
            <w:r>
              <w:drawing>
                <wp:inline distT="0" distB="0" distL="0" distR="0">
                  <wp:extent cx="6985" cy="8890"/>
                  <wp:effectExtent l="0" t="0" r="0" b="0"/>
                  <wp:docPr id="1478" name="IM 1478"/>
                  <wp:cNvGraphicFramePr/>
                  <a:graphic xmlns:a="http://schemas.openxmlformats.org/drawingml/2006/main">
                    <a:graphicData uri="http://schemas.openxmlformats.org/drawingml/2006/picture">
                      <pic:pic xmlns:pic="http://schemas.openxmlformats.org/drawingml/2006/picture">
                        <pic:nvPicPr>
                          <pic:cNvPr id="1478" name="IM 1478"/>
                          <pic:cNvPicPr/>
                        </pic:nvPicPr>
                        <pic:blipFill>
                          <a:blip r:embed="rId688"/>
                          <a:stretch>
                            <a:fillRect/>
                          </a:stretch>
                        </pic:blipFill>
                        <pic:spPr>
                          <a:xfrm>
                            <a:off x="0" y="0"/>
                            <a:ext cx="7226" cy="9144"/>
                          </a:xfrm>
                          <a:prstGeom prst="rect">
                            <a:avLst/>
                          </a:prstGeom>
                        </pic:spPr>
                      </pic:pic>
                    </a:graphicData>
                  </a:graphic>
                </wp:inline>
              </w:drawing>
            </w:r>
          </w:p>
          <w:p w14:paraId="764D8D98">
            <w:pPr>
              <w:spacing w:line="249" w:lineRule="auto"/>
              <w:rPr>
                <w:rFonts w:ascii="Arial"/>
                <w:sz w:val="21"/>
              </w:rPr>
            </w:pPr>
          </w:p>
          <w:p w14:paraId="46D6BE3B">
            <w:pPr>
              <w:pStyle w:val="7"/>
              <w:spacing w:before="78" w:line="218" w:lineRule="auto"/>
              <w:ind w:left="217"/>
            </w:pPr>
            <w:r>
              <w:rPr>
                <w:b/>
                <w:bCs/>
                <w:spacing w:val="-12"/>
              </w:rPr>
              <w:t>序号</w:t>
            </w:r>
          </w:p>
        </w:tc>
        <w:tc>
          <w:tcPr>
            <w:tcW w:w="2270" w:type="dxa"/>
            <w:tcBorders>
              <w:top w:val="single" w:color="000000" w:sz="4" w:space="0"/>
            </w:tcBorders>
            <w:shd w:val="clear" w:color="auto" w:fill="DEEAF6"/>
            <w:vAlign w:val="top"/>
          </w:tcPr>
          <w:p w14:paraId="109CA5CE">
            <w:pPr>
              <w:spacing w:line="282" w:lineRule="auto"/>
              <w:rPr>
                <w:rFonts w:ascii="Arial"/>
                <w:sz w:val="21"/>
              </w:rPr>
            </w:pPr>
          </w:p>
          <w:p w14:paraId="74F76A9C">
            <w:pPr>
              <w:pStyle w:val="7"/>
              <w:spacing w:before="78" w:line="216" w:lineRule="auto"/>
              <w:ind w:left="704"/>
            </w:pPr>
            <w:r>
              <w:rPr>
                <w:b/>
                <w:bCs/>
                <w:spacing w:val="-19"/>
              </w:rPr>
              <w:t>作业活动</w:t>
            </w:r>
          </w:p>
        </w:tc>
        <w:tc>
          <w:tcPr>
            <w:tcW w:w="1529" w:type="dxa"/>
            <w:tcBorders>
              <w:top w:val="single" w:color="000000" w:sz="4" w:space="0"/>
            </w:tcBorders>
            <w:shd w:val="clear" w:color="auto" w:fill="DEEAF6"/>
            <w:vAlign w:val="top"/>
          </w:tcPr>
          <w:p w14:paraId="510366F6">
            <w:pPr>
              <w:spacing w:line="93" w:lineRule="exact"/>
            </w:pPr>
            <w:r>
              <w:rPr>
                <w:position w:val="-1"/>
              </w:rPr>
              <w:pict>
                <v:group id="_x0000_s3963" o:spid="_x0000_s3963" o:spt="203" style="height:5.2pt;width:76.7pt;" coordsize="1533,103">
                  <o:lock v:ext="edit"/>
                  <v:shape id="_x0000_s3964" o:spid="_x0000_s3964" style="position:absolute;left:0;top:0;height:15;width:44;" fillcolor="#5B9BD5" filled="t" stroked="f" coordsize="44,15" path="m0,14l43,14,43,0,0,0,0,14xe">
                    <v:path/>
                    <v:fill on="t" focussize="0,0"/>
                    <v:stroke on="f"/>
                    <v:imagedata o:title=""/>
                    <o:lock v:ext="edit"/>
                  </v:shape>
                  <v:shape id="_x0000_s3965" o:spid="_x0000_s3965" style="position:absolute;left:0;top:14;height:15;width:44;" fillcolor="#20507B" filled="t" stroked="f" coordsize="44,15" path="m0,14l43,14,43,0,0,0,0,14xe">
                    <v:path/>
                    <v:fill on="t" focussize="0,0"/>
                    <v:stroke on="f"/>
                    <v:imagedata o:title=""/>
                    <o:lock v:ext="edit"/>
                  </v:shape>
                  <v:shape id="_x0000_s3966" o:spid="_x0000_s3966" style="position:absolute;left:43;top:43;height:60;width:1491;" fillcolor="#DEEAF6" filled="t" stroked="f" coordsize="1491,60" path="m0,60l1490,60,1490,0,0,0,0,60xe">
                    <v:path/>
                    <v:fill on="t" focussize="0,0"/>
                    <v:stroke on="f"/>
                    <v:imagedata o:title=""/>
                    <o:lock v:ext="edit"/>
                  </v:shape>
                  <w10:wrap type="none"/>
                  <w10:anchorlock/>
                </v:group>
              </w:pict>
            </w:r>
          </w:p>
          <w:p w14:paraId="058AB680">
            <w:pPr>
              <w:pStyle w:val="7"/>
              <w:spacing w:before="269" w:line="218" w:lineRule="auto"/>
              <w:ind w:left="120"/>
            </w:pPr>
            <w:r>
              <w:rPr>
                <w:b/>
                <w:bCs/>
                <w:spacing w:val="-21"/>
              </w:rPr>
              <w:t>重大环境因素</w:t>
            </w:r>
          </w:p>
        </w:tc>
        <w:tc>
          <w:tcPr>
            <w:tcW w:w="1983" w:type="dxa"/>
            <w:tcBorders>
              <w:top w:val="single" w:color="000000" w:sz="4" w:space="0"/>
            </w:tcBorders>
            <w:shd w:val="clear" w:color="auto" w:fill="DEEAF6"/>
            <w:vAlign w:val="top"/>
          </w:tcPr>
          <w:p w14:paraId="56142B04">
            <w:pPr>
              <w:spacing w:line="4" w:lineRule="exact"/>
            </w:pPr>
            <w:r>
              <w:drawing>
                <wp:inline distT="0" distB="0" distL="0" distR="0">
                  <wp:extent cx="20320" cy="2540"/>
                  <wp:effectExtent l="0" t="0" r="0" b="0"/>
                  <wp:docPr id="1480" name="IM 1480"/>
                  <wp:cNvGraphicFramePr/>
                  <a:graphic xmlns:a="http://schemas.openxmlformats.org/drawingml/2006/main">
                    <a:graphicData uri="http://schemas.openxmlformats.org/drawingml/2006/picture">
                      <pic:pic xmlns:pic="http://schemas.openxmlformats.org/drawingml/2006/picture">
                        <pic:nvPicPr>
                          <pic:cNvPr id="1480" name="IM 1480"/>
                          <pic:cNvPicPr/>
                        </pic:nvPicPr>
                        <pic:blipFill>
                          <a:blip r:embed="rId689"/>
                          <a:stretch>
                            <a:fillRect/>
                          </a:stretch>
                        </pic:blipFill>
                        <pic:spPr>
                          <a:xfrm>
                            <a:off x="0" y="0"/>
                            <a:ext cx="20587" cy="2794"/>
                          </a:xfrm>
                          <a:prstGeom prst="rect">
                            <a:avLst/>
                          </a:prstGeom>
                        </pic:spPr>
                      </pic:pic>
                    </a:graphicData>
                  </a:graphic>
                </wp:inline>
              </w:drawing>
            </w:r>
          </w:p>
          <w:p w14:paraId="04A93F1E">
            <w:pPr>
              <w:spacing w:line="14" w:lineRule="exact"/>
            </w:pPr>
            <w:r>
              <w:drawing>
                <wp:inline distT="0" distB="0" distL="0" distR="0">
                  <wp:extent cx="20320" cy="8890"/>
                  <wp:effectExtent l="0" t="0" r="0" b="0"/>
                  <wp:docPr id="1482" name="IM 1482"/>
                  <wp:cNvGraphicFramePr/>
                  <a:graphic xmlns:a="http://schemas.openxmlformats.org/drawingml/2006/main">
                    <a:graphicData uri="http://schemas.openxmlformats.org/drawingml/2006/picture">
                      <pic:pic xmlns:pic="http://schemas.openxmlformats.org/drawingml/2006/picture">
                        <pic:nvPicPr>
                          <pic:cNvPr id="1482" name="IM 1482"/>
                          <pic:cNvPicPr/>
                        </pic:nvPicPr>
                        <pic:blipFill>
                          <a:blip r:embed="rId690"/>
                          <a:stretch>
                            <a:fillRect/>
                          </a:stretch>
                        </pic:blipFill>
                        <pic:spPr>
                          <a:xfrm>
                            <a:off x="0" y="0"/>
                            <a:ext cx="20587" cy="9144"/>
                          </a:xfrm>
                          <a:prstGeom prst="rect">
                            <a:avLst/>
                          </a:prstGeom>
                        </pic:spPr>
                      </pic:pic>
                    </a:graphicData>
                  </a:graphic>
                </wp:inline>
              </w:drawing>
            </w:r>
          </w:p>
          <w:p w14:paraId="7CD27DC1">
            <w:pPr>
              <w:spacing w:line="264" w:lineRule="auto"/>
              <w:rPr>
                <w:rFonts w:ascii="Arial"/>
                <w:sz w:val="21"/>
              </w:rPr>
            </w:pPr>
          </w:p>
          <w:p w14:paraId="2399ED77">
            <w:pPr>
              <w:pStyle w:val="7"/>
              <w:spacing w:before="78" w:line="217" w:lineRule="auto"/>
              <w:ind w:left="131"/>
            </w:pPr>
            <w:r>
              <w:rPr>
                <w:b/>
                <w:bCs/>
                <w:spacing w:val="-21"/>
              </w:rPr>
              <w:t>可能导致环境影响</w:t>
            </w:r>
          </w:p>
        </w:tc>
        <w:tc>
          <w:tcPr>
            <w:tcW w:w="1919" w:type="dxa"/>
            <w:tcBorders>
              <w:top w:val="single" w:color="5B9BD5" w:sz="4" w:space="0"/>
              <w:right w:val="nil"/>
            </w:tcBorders>
            <w:shd w:val="clear" w:color="auto" w:fill="DEEAF6"/>
            <w:vAlign w:val="top"/>
          </w:tcPr>
          <w:p w14:paraId="3B0B0408">
            <w:pPr>
              <w:spacing w:line="282" w:lineRule="auto"/>
              <w:rPr>
                <w:rFonts w:ascii="Arial"/>
                <w:sz w:val="21"/>
              </w:rPr>
            </w:pPr>
          </w:p>
          <w:p w14:paraId="29C126C9">
            <w:pPr>
              <w:pStyle w:val="7"/>
              <w:spacing w:before="78" w:line="217" w:lineRule="auto"/>
              <w:ind w:left="654"/>
            </w:pPr>
            <w:r>
              <w:rPr>
                <w:b/>
                <w:bCs/>
                <w:spacing w:val="-18"/>
              </w:rPr>
              <w:t>控制措施</w:t>
            </w:r>
          </w:p>
        </w:tc>
        <w:tc>
          <w:tcPr>
            <w:tcW w:w="249" w:type="dxa"/>
            <w:tcBorders>
              <w:top w:val="single" w:color="5B9BD5" w:sz="4" w:space="0"/>
              <w:left w:val="nil"/>
              <w:right w:val="single" w:color="5B9BD5" w:sz="4" w:space="0"/>
            </w:tcBorders>
            <w:vAlign w:val="top"/>
          </w:tcPr>
          <w:p w14:paraId="1E85F72E">
            <w:pPr>
              <w:rPr>
                <w:rFonts w:ascii="Arial"/>
                <w:sz w:val="21"/>
              </w:rPr>
            </w:pPr>
            <w:r>
              <w:pict>
                <v:shape id="_x0000_s3967" o:spid="_x0000_s3967" style="position:absolute;left:0pt;margin-left:10.6pt;margin-top:0pt;height:0.75pt;width:2.2pt;mso-position-horizontal-relative:page;mso-position-vertical-relative:page;z-index:252303360;mso-width-relative:page;mso-height-relative:page;" fillcolor="#5B9BD5" filled="t" stroked="f" coordsize="44,15" path="m0,14l43,14,43,0,0,0,0,14xe">
                  <v:path/>
                  <v:fill on="t" focussize="0,0"/>
                  <v:stroke on="f"/>
                  <v:imagedata o:title=""/>
                  <o:lock v:ext="edit"/>
                </v:shape>
              </w:pict>
            </w:r>
          </w:p>
        </w:tc>
      </w:tr>
      <w:tr w14:paraId="4670CA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58" w:hRule="atLeast"/>
        </w:trPr>
        <w:tc>
          <w:tcPr>
            <w:tcW w:w="844" w:type="dxa"/>
            <w:gridSpan w:val="2"/>
            <w:tcBorders>
              <w:left w:val="single" w:color="000000" w:sz="4" w:space="0"/>
            </w:tcBorders>
            <w:vAlign w:val="top"/>
          </w:tcPr>
          <w:p w14:paraId="279540BD">
            <w:pPr>
              <w:spacing w:line="278" w:lineRule="auto"/>
              <w:rPr>
                <w:rFonts w:ascii="Arial"/>
                <w:sz w:val="21"/>
              </w:rPr>
            </w:pPr>
          </w:p>
          <w:p w14:paraId="3CB49B33">
            <w:pPr>
              <w:pStyle w:val="7"/>
              <w:spacing w:before="78" w:line="238" w:lineRule="auto"/>
              <w:ind w:left="392"/>
            </w:pPr>
            <w:r>
              <w:t>1</w:t>
            </w:r>
          </w:p>
        </w:tc>
        <w:tc>
          <w:tcPr>
            <w:tcW w:w="2270" w:type="dxa"/>
            <w:vAlign w:val="top"/>
          </w:tcPr>
          <w:p w14:paraId="7C13CEB6">
            <w:pPr>
              <w:spacing w:line="278" w:lineRule="auto"/>
              <w:rPr>
                <w:rFonts w:ascii="Arial"/>
                <w:sz w:val="21"/>
              </w:rPr>
            </w:pPr>
          </w:p>
          <w:p w14:paraId="156BDD48">
            <w:pPr>
              <w:pStyle w:val="7"/>
              <w:spacing w:before="78" w:line="218" w:lineRule="auto"/>
              <w:ind w:left="703"/>
            </w:pPr>
            <w:r>
              <w:rPr>
                <w:spacing w:val="-15"/>
              </w:rPr>
              <w:t>道路清扫</w:t>
            </w:r>
          </w:p>
        </w:tc>
        <w:tc>
          <w:tcPr>
            <w:tcW w:w="1529" w:type="dxa"/>
            <w:vAlign w:val="top"/>
          </w:tcPr>
          <w:p w14:paraId="52A7C8FE">
            <w:pPr>
              <w:spacing w:line="278" w:lineRule="auto"/>
              <w:rPr>
                <w:rFonts w:ascii="Arial"/>
                <w:sz w:val="21"/>
              </w:rPr>
            </w:pPr>
          </w:p>
          <w:p w14:paraId="06090DC6">
            <w:pPr>
              <w:pStyle w:val="7"/>
              <w:spacing w:before="78" w:line="218" w:lineRule="auto"/>
              <w:ind w:left="335"/>
            </w:pPr>
            <w:r>
              <w:rPr>
                <w:spacing w:val="-15"/>
              </w:rPr>
              <w:t>扬尘污染</w:t>
            </w:r>
          </w:p>
        </w:tc>
        <w:tc>
          <w:tcPr>
            <w:tcW w:w="1983" w:type="dxa"/>
            <w:vAlign w:val="top"/>
          </w:tcPr>
          <w:p w14:paraId="7BDC5B99">
            <w:pPr>
              <w:pStyle w:val="7"/>
              <w:spacing w:before="122" w:line="218" w:lineRule="auto"/>
              <w:ind w:left="351"/>
            </w:pPr>
            <w:r>
              <w:rPr>
                <w:spacing w:val="-18"/>
              </w:rPr>
              <w:t>影响市容环境</w:t>
            </w:r>
          </w:p>
          <w:p w14:paraId="7C1980DE">
            <w:pPr>
              <w:pStyle w:val="7"/>
              <w:spacing w:before="184" w:line="218" w:lineRule="auto"/>
              <w:ind w:left="351"/>
            </w:pPr>
            <w:r>
              <w:rPr>
                <w:spacing w:val="-18"/>
              </w:rPr>
              <w:t>影响职工健康</w:t>
            </w:r>
          </w:p>
        </w:tc>
        <w:tc>
          <w:tcPr>
            <w:tcW w:w="2168" w:type="dxa"/>
            <w:gridSpan w:val="2"/>
            <w:tcBorders>
              <w:right w:val="single" w:color="000000" w:sz="4" w:space="0"/>
            </w:tcBorders>
            <w:vAlign w:val="top"/>
          </w:tcPr>
          <w:p w14:paraId="52977C64">
            <w:pPr>
              <w:spacing w:line="278" w:lineRule="auto"/>
              <w:rPr>
                <w:rFonts w:ascii="Arial"/>
                <w:sz w:val="21"/>
              </w:rPr>
            </w:pPr>
          </w:p>
          <w:p w14:paraId="68A9F9E8">
            <w:pPr>
              <w:pStyle w:val="7"/>
              <w:spacing w:before="78" w:line="217" w:lineRule="auto"/>
              <w:ind w:left="437"/>
            </w:pPr>
            <w:r>
              <w:rPr>
                <w:spacing w:val="-18"/>
              </w:rPr>
              <w:t>制定专项方案</w:t>
            </w:r>
          </w:p>
        </w:tc>
      </w:tr>
      <w:tr w14:paraId="65AA84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58" w:hRule="atLeast"/>
        </w:trPr>
        <w:tc>
          <w:tcPr>
            <w:tcW w:w="844" w:type="dxa"/>
            <w:gridSpan w:val="2"/>
            <w:tcBorders>
              <w:left w:val="single" w:color="000000" w:sz="4" w:space="0"/>
            </w:tcBorders>
            <w:vAlign w:val="top"/>
          </w:tcPr>
          <w:p w14:paraId="2F93D7D5">
            <w:pPr>
              <w:spacing w:line="271" w:lineRule="auto"/>
              <w:rPr>
                <w:rFonts w:ascii="Arial"/>
                <w:sz w:val="21"/>
              </w:rPr>
            </w:pPr>
          </w:p>
          <w:p w14:paraId="1DF51B02">
            <w:pPr>
              <w:pStyle w:val="7"/>
              <w:spacing w:before="78" w:line="238" w:lineRule="auto"/>
              <w:ind w:left="378"/>
            </w:pPr>
            <w:r>
              <w:t>2</w:t>
            </w:r>
          </w:p>
        </w:tc>
        <w:tc>
          <w:tcPr>
            <w:tcW w:w="2270" w:type="dxa"/>
            <w:vAlign w:val="top"/>
          </w:tcPr>
          <w:p w14:paraId="151BF37F">
            <w:pPr>
              <w:spacing w:line="271" w:lineRule="auto"/>
              <w:rPr>
                <w:rFonts w:ascii="Arial"/>
                <w:sz w:val="21"/>
              </w:rPr>
            </w:pPr>
          </w:p>
          <w:p w14:paraId="1BF48888">
            <w:pPr>
              <w:pStyle w:val="7"/>
              <w:spacing w:before="78" w:line="216" w:lineRule="auto"/>
              <w:ind w:left="701"/>
            </w:pPr>
            <w:r>
              <w:rPr>
                <w:spacing w:val="-15"/>
              </w:rPr>
              <w:t>爆破作业</w:t>
            </w:r>
          </w:p>
        </w:tc>
        <w:tc>
          <w:tcPr>
            <w:tcW w:w="1529" w:type="dxa"/>
            <w:vAlign w:val="top"/>
          </w:tcPr>
          <w:p w14:paraId="1B2B5385">
            <w:pPr>
              <w:spacing w:line="271" w:lineRule="auto"/>
              <w:rPr>
                <w:rFonts w:ascii="Arial"/>
                <w:sz w:val="21"/>
              </w:rPr>
            </w:pPr>
          </w:p>
          <w:p w14:paraId="286CD6AD">
            <w:pPr>
              <w:pStyle w:val="7"/>
              <w:spacing w:before="78" w:line="218" w:lineRule="auto"/>
              <w:ind w:left="335"/>
            </w:pPr>
            <w:r>
              <w:rPr>
                <w:spacing w:val="-15"/>
              </w:rPr>
              <w:t>扬尘污染</w:t>
            </w:r>
          </w:p>
        </w:tc>
        <w:tc>
          <w:tcPr>
            <w:tcW w:w="1983" w:type="dxa"/>
            <w:vAlign w:val="top"/>
          </w:tcPr>
          <w:p w14:paraId="1FD434DB">
            <w:pPr>
              <w:pStyle w:val="7"/>
              <w:spacing w:before="118" w:line="218" w:lineRule="auto"/>
              <w:ind w:left="351"/>
            </w:pPr>
            <w:r>
              <w:rPr>
                <w:spacing w:val="-18"/>
              </w:rPr>
              <w:t>影响市容环境</w:t>
            </w:r>
          </w:p>
          <w:p w14:paraId="0670C725">
            <w:pPr>
              <w:pStyle w:val="7"/>
              <w:spacing w:before="184" w:line="218" w:lineRule="auto"/>
              <w:ind w:left="351"/>
            </w:pPr>
            <w:r>
              <w:rPr>
                <w:spacing w:val="-18"/>
              </w:rPr>
              <w:t>影响职工健康</w:t>
            </w:r>
          </w:p>
        </w:tc>
        <w:tc>
          <w:tcPr>
            <w:tcW w:w="2168" w:type="dxa"/>
            <w:gridSpan w:val="2"/>
            <w:tcBorders>
              <w:right w:val="single" w:color="000000" w:sz="4" w:space="0"/>
            </w:tcBorders>
            <w:vAlign w:val="top"/>
          </w:tcPr>
          <w:p w14:paraId="6E4D2617">
            <w:pPr>
              <w:spacing w:line="271" w:lineRule="auto"/>
              <w:rPr>
                <w:rFonts w:ascii="Arial"/>
                <w:sz w:val="21"/>
              </w:rPr>
            </w:pPr>
          </w:p>
          <w:p w14:paraId="3CC0F56D">
            <w:pPr>
              <w:pStyle w:val="7"/>
              <w:spacing w:before="78" w:line="217" w:lineRule="auto"/>
              <w:ind w:left="437"/>
            </w:pPr>
            <w:r>
              <w:rPr>
                <w:spacing w:val="-18"/>
              </w:rPr>
              <w:t>制定专项方案</w:t>
            </w:r>
          </w:p>
        </w:tc>
      </w:tr>
      <w:tr w14:paraId="592232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58" w:hRule="atLeast"/>
        </w:trPr>
        <w:tc>
          <w:tcPr>
            <w:tcW w:w="844" w:type="dxa"/>
            <w:gridSpan w:val="2"/>
            <w:tcBorders>
              <w:left w:val="single" w:color="000000" w:sz="4" w:space="0"/>
            </w:tcBorders>
            <w:vAlign w:val="top"/>
          </w:tcPr>
          <w:p w14:paraId="17DC61F1">
            <w:pPr>
              <w:spacing w:line="266" w:lineRule="auto"/>
              <w:rPr>
                <w:rFonts w:ascii="Arial"/>
                <w:sz w:val="21"/>
              </w:rPr>
            </w:pPr>
          </w:p>
          <w:p w14:paraId="2F55C78F">
            <w:pPr>
              <w:pStyle w:val="7"/>
              <w:spacing w:before="78" w:line="237" w:lineRule="auto"/>
              <w:ind w:left="380"/>
            </w:pPr>
            <w:r>
              <w:t>3</w:t>
            </w:r>
          </w:p>
        </w:tc>
        <w:tc>
          <w:tcPr>
            <w:tcW w:w="2270" w:type="dxa"/>
            <w:vAlign w:val="top"/>
          </w:tcPr>
          <w:p w14:paraId="1D38674D">
            <w:pPr>
              <w:spacing w:line="266" w:lineRule="auto"/>
              <w:rPr>
                <w:rFonts w:ascii="Arial"/>
                <w:sz w:val="21"/>
              </w:rPr>
            </w:pPr>
          </w:p>
          <w:p w14:paraId="69558A7F">
            <w:pPr>
              <w:pStyle w:val="7"/>
              <w:spacing w:before="78" w:line="216" w:lineRule="auto"/>
              <w:ind w:left="382"/>
            </w:pPr>
            <w:r>
              <w:rPr>
                <w:spacing w:val="-19"/>
              </w:rPr>
              <w:t>弃土、材料运输</w:t>
            </w:r>
          </w:p>
        </w:tc>
        <w:tc>
          <w:tcPr>
            <w:tcW w:w="1529" w:type="dxa"/>
            <w:vAlign w:val="top"/>
          </w:tcPr>
          <w:p w14:paraId="652162E6">
            <w:pPr>
              <w:spacing w:line="266" w:lineRule="auto"/>
              <w:rPr>
                <w:rFonts w:ascii="Arial"/>
                <w:sz w:val="21"/>
              </w:rPr>
            </w:pPr>
          </w:p>
          <w:p w14:paraId="57AE4AD3">
            <w:pPr>
              <w:pStyle w:val="7"/>
              <w:spacing w:before="78" w:line="218" w:lineRule="auto"/>
              <w:ind w:left="335"/>
            </w:pPr>
            <w:r>
              <w:rPr>
                <w:spacing w:val="-15"/>
              </w:rPr>
              <w:t>扬尘污染</w:t>
            </w:r>
          </w:p>
        </w:tc>
        <w:tc>
          <w:tcPr>
            <w:tcW w:w="1983" w:type="dxa"/>
            <w:vAlign w:val="top"/>
          </w:tcPr>
          <w:p w14:paraId="0A3BE06A">
            <w:pPr>
              <w:pStyle w:val="7"/>
              <w:spacing w:before="113" w:line="218" w:lineRule="auto"/>
              <w:ind w:left="351"/>
            </w:pPr>
            <w:r>
              <w:rPr>
                <w:spacing w:val="-18"/>
              </w:rPr>
              <w:t>影响市容环境</w:t>
            </w:r>
          </w:p>
          <w:p w14:paraId="79B68F3A">
            <w:pPr>
              <w:pStyle w:val="7"/>
              <w:spacing w:before="182" w:line="218" w:lineRule="auto"/>
              <w:ind w:left="351"/>
            </w:pPr>
            <w:r>
              <w:rPr>
                <w:spacing w:val="-18"/>
              </w:rPr>
              <w:t>影响职工健康</w:t>
            </w:r>
          </w:p>
        </w:tc>
        <w:tc>
          <w:tcPr>
            <w:tcW w:w="2168" w:type="dxa"/>
            <w:gridSpan w:val="2"/>
            <w:tcBorders>
              <w:right w:val="single" w:color="000000" w:sz="4" w:space="0"/>
            </w:tcBorders>
            <w:vAlign w:val="top"/>
          </w:tcPr>
          <w:p w14:paraId="595AB8ED">
            <w:pPr>
              <w:spacing w:line="267" w:lineRule="auto"/>
              <w:rPr>
                <w:rFonts w:ascii="Arial"/>
                <w:sz w:val="21"/>
              </w:rPr>
            </w:pPr>
          </w:p>
          <w:p w14:paraId="64137F13">
            <w:pPr>
              <w:pStyle w:val="7"/>
              <w:spacing w:before="78" w:line="217" w:lineRule="auto"/>
              <w:ind w:left="437"/>
            </w:pPr>
            <w:r>
              <w:rPr>
                <w:spacing w:val="-18"/>
              </w:rPr>
              <w:t>制定专项方案</w:t>
            </w:r>
          </w:p>
        </w:tc>
      </w:tr>
      <w:tr w14:paraId="3658FB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7" w:hRule="atLeast"/>
        </w:trPr>
        <w:tc>
          <w:tcPr>
            <w:tcW w:w="214" w:type="dxa"/>
            <w:tcBorders>
              <w:left w:val="single" w:color="1C456A" w:sz="4" w:space="0"/>
              <w:bottom w:val="single" w:color="1C456A" w:sz="4" w:space="0"/>
              <w:right w:val="nil"/>
            </w:tcBorders>
            <w:vAlign w:val="top"/>
          </w:tcPr>
          <w:p w14:paraId="23E0C095">
            <w:pPr>
              <w:rPr>
                <w:rFonts w:ascii="Arial"/>
                <w:sz w:val="21"/>
              </w:rPr>
            </w:pPr>
            <w:r>
              <w:pict>
                <v:shape id="_x0000_s3968" o:spid="_x0000_s3968" style="position:absolute;left:0pt;margin-left:-0.25pt;margin-top:54.9pt;height:0.75pt;width:2.2pt;mso-position-horizontal-relative:page;mso-position-vertical-relative:page;z-index:252302336;mso-width-relative:page;mso-height-relative:page;" fillcolor="#5B9BD5" filled="t" stroked="f" coordsize="44,15" path="m0,14l43,14,43,0,0,0,0,14xe">
                  <v:path/>
                  <v:fill on="t" focussize="0,0"/>
                  <v:stroke on="f"/>
                  <v:imagedata o:title=""/>
                  <o:lock v:ext="edit"/>
                </v:shape>
              </w:pict>
            </w:r>
          </w:p>
        </w:tc>
        <w:tc>
          <w:tcPr>
            <w:tcW w:w="630" w:type="dxa"/>
            <w:tcBorders>
              <w:left w:val="nil"/>
              <w:bottom w:val="single" w:color="1C456A" w:sz="4" w:space="0"/>
            </w:tcBorders>
            <w:vAlign w:val="top"/>
          </w:tcPr>
          <w:p w14:paraId="00291334">
            <w:pPr>
              <w:spacing w:line="262" w:lineRule="auto"/>
              <w:rPr>
                <w:rFonts w:ascii="Arial"/>
                <w:sz w:val="21"/>
              </w:rPr>
            </w:pPr>
          </w:p>
          <w:p w14:paraId="1AF13634">
            <w:pPr>
              <w:pStyle w:val="7"/>
              <w:spacing w:before="78" w:line="238" w:lineRule="auto"/>
              <w:ind w:left="165"/>
            </w:pPr>
            <w:r>
              <w:t>4</w:t>
            </w:r>
          </w:p>
        </w:tc>
        <w:tc>
          <w:tcPr>
            <w:tcW w:w="2270" w:type="dxa"/>
            <w:tcBorders>
              <w:bottom w:val="single" w:color="000000" w:sz="4" w:space="0"/>
            </w:tcBorders>
            <w:vAlign w:val="top"/>
          </w:tcPr>
          <w:p w14:paraId="1C2E98FC">
            <w:pPr>
              <w:spacing w:line="262" w:lineRule="auto"/>
              <w:rPr>
                <w:rFonts w:ascii="Arial"/>
                <w:sz w:val="21"/>
              </w:rPr>
            </w:pPr>
          </w:p>
          <w:p w14:paraId="1120F7AC">
            <w:pPr>
              <w:pStyle w:val="7"/>
              <w:spacing w:before="78" w:line="216" w:lineRule="auto"/>
              <w:ind w:left="593"/>
            </w:pPr>
            <w:r>
              <w:rPr>
                <w:spacing w:val="-17"/>
              </w:rPr>
              <w:t>挖填土作业</w:t>
            </w:r>
          </w:p>
        </w:tc>
        <w:tc>
          <w:tcPr>
            <w:tcW w:w="1529" w:type="dxa"/>
            <w:tcBorders>
              <w:bottom w:val="single" w:color="000000" w:sz="4" w:space="0"/>
            </w:tcBorders>
            <w:vAlign w:val="top"/>
          </w:tcPr>
          <w:p w14:paraId="64649BC7">
            <w:pPr>
              <w:spacing w:line="262" w:lineRule="auto"/>
              <w:rPr>
                <w:rFonts w:ascii="Arial"/>
                <w:sz w:val="21"/>
              </w:rPr>
            </w:pPr>
          </w:p>
          <w:p w14:paraId="5AA7B3F8">
            <w:pPr>
              <w:pStyle w:val="7"/>
              <w:spacing w:before="78" w:line="218" w:lineRule="auto"/>
              <w:ind w:left="335"/>
            </w:pPr>
            <w:r>
              <w:rPr>
                <w:spacing w:val="-15"/>
              </w:rPr>
              <w:t>扬尘污染</w:t>
            </w:r>
          </w:p>
        </w:tc>
        <w:tc>
          <w:tcPr>
            <w:tcW w:w="1983" w:type="dxa"/>
            <w:tcBorders>
              <w:bottom w:val="single" w:color="000000" w:sz="4" w:space="0"/>
            </w:tcBorders>
            <w:vAlign w:val="top"/>
          </w:tcPr>
          <w:p w14:paraId="40307A1E">
            <w:pPr>
              <w:pStyle w:val="7"/>
              <w:spacing w:before="106" w:line="218" w:lineRule="auto"/>
              <w:ind w:left="351"/>
            </w:pPr>
            <w:r>
              <w:rPr>
                <w:spacing w:val="-18"/>
              </w:rPr>
              <w:t>影响市容环境</w:t>
            </w:r>
          </w:p>
          <w:p w14:paraId="0E3A57A7">
            <w:pPr>
              <w:pStyle w:val="7"/>
              <w:spacing w:before="185" w:line="218" w:lineRule="auto"/>
              <w:ind w:left="351"/>
            </w:pPr>
            <w:r>
              <w:rPr>
                <w:spacing w:val="-18"/>
              </w:rPr>
              <w:t>影响职工健康</w:t>
            </w:r>
          </w:p>
        </w:tc>
        <w:tc>
          <w:tcPr>
            <w:tcW w:w="2168" w:type="dxa"/>
            <w:gridSpan w:val="2"/>
            <w:tcBorders>
              <w:bottom w:val="single" w:color="5B9BD5" w:sz="4" w:space="0"/>
              <w:right w:val="single" w:color="5B9BD5" w:sz="4" w:space="0"/>
            </w:tcBorders>
            <w:vAlign w:val="top"/>
          </w:tcPr>
          <w:p w14:paraId="5963C783">
            <w:pPr>
              <w:spacing w:line="262" w:lineRule="auto"/>
              <w:rPr>
                <w:rFonts w:ascii="Arial"/>
                <w:sz w:val="21"/>
              </w:rPr>
            </w:pPr>
            <w:r>
              <w:pict>
                <v:shape id="_x0000_s3969" o:spid="_x0000_s3969" style="position:absolute;left:0pt;margin-left:106.55pt;margin-top:54.9pt;height:0.75pt;width:2.2pt;mso-position-horizontal-relative:page;mso-position-vertical-relative:page;z-index:252301312;mso-width-relative:page;mso-height-relative:page;" fillcolor="#5B9BD5" filled="t" stroked="f" coordsize="44,15" path="m0,14l43,14,43,0,0,0,0,14xe">
                  <v:path/>
                  <v:fill on="t" focussize="0,0"/>
                  <v:stroke on="f"/>
                  <v:imagedata o:title=""/>
                  <o:lock v:ext="edit"/>
                </v:shape>
              </w:pict>
            </w:r>
          </w:p>
          <w:p w14:paraId="35588922">
            <w:pPr>
              <w:pStyle w:val="7"/>
              <w:spacing w:before="78" w:line="217" w:lineRule="auto"/>
              <w:ind w:left="437"/>
            </w:pPr>
            <w:r>
              <w:rPr>
                <w:spacing w:val="-18"/>
              </w:rPr>
              <w:t>制定专项方案</w:t>
            </w:r>
          </w:p>
        </w:tc>
      </w:tr>
    </w:tbl>
    <w:p w14:paraId="1922BF52">
      <w:pPr>
        <w:pStyle w:val="2"/>
        <w:spacing w:before="115" w:line="218" w:lineRule="auto"/>
        <w:ind w:left="1892"/>
        <w:rPr>
          <w:sz w:val="24"/>
          <w:szCs w:val="24"/>
        </w:rPr>
      </w:pPr>
      <w:r>
        <w:rPr>
          <w:spacing w:val="-20"/>
          <w:sz w:val="24"/>
          <w:szCs w:val="24"/>
        </w:rPr>
        <w:t>施工场地的扬尘治理措施</w:t>
      </w:r>
    </w:p>
    <w:p w14:paraId="68FADECC">
      <w:pPr>
        <w:pStyle w:val="2"/>
        <w:spacing w:before="115" w:line="216" w:lineRule="auto"/>
        <w:ind w:left="1903"/>
        <w:rPr>
          <w:sz w:val="24"/>
          <w:szCs w:val="24"/>
        </w:rPr>
      </w:pPr>
      <w:r>
        <w:rPr>
          <w:spacing w:val="-20"/>
          <w:sz w:val="24"/>
          <w:szCs w:val="24"/>
        </w:rPr>
        <w:t>1严格实施强制性规定</w:t>
      </w:r>
    </w:p>
    <w:p w14:paraId="184217B9">
      <w:pPr>
        <w:pStyle w:val="2"/>
        <w:spacing w:before="121" w:line="307" w:lineRule="auto"/>
        <w:ind w:left="1469" w:right="1409" w:firstLine="425"/>
        <w:rPr>
          <w:sz w:val="24"/>
          <w:szCs w:val="24"/>
        </w:rPr>
      </w:pPr>
      <w:r>
        <w:rPr>
          <w:spacing w:val="-20"/>
          <w:sz w:val="24"/>
          <w:szCs w:val="24"/>
        </w:rPr>
        <w:t>对施工扬尘污染，实行标本兼治，严格实施封闭施工、硬地坪施工、烟尘控制、运输车辆</w:t>
      </w:r>
      <w:r>
        <w:rPr>
          <w:spacing w:val="-21"/>
          <w:sz w:val="24"/>
          <w:szCs w:val="24"/>
        </w:rPr>
        <w:t>管理强制性规定。</w:t>
      </w:r>
    </w:p>
    <w:p w14:paraId="1445AC70">
      <w:pPr>
        <w:pStyle w:val="2"/>
        <w:spacing w:line="217" w:lineRule="auto"/>
        <w:ind w:left="1903"/>
        <w:rPr>
          <w:sz w:val="24"/>
          <w:szCs w:val="24"/>
        </w:rPr>
      </w:pPr>
      <w:r>
        <w:rPr>
          <w:spacing w:val="-18"/>
          <w:sz w:val="24"/>
          <w:szCs w:val="24"/>
        </w:rPr>
        <w:t>1.1、全封闭施工规定</w:t>
      </w:r>
    </w:p>
    <w:p w14:paraId="0B27AFBE">
      <w:pPr>
        <w:pStyle w:val="2"/>
        <w:spacing w:before="119" w:line="215" w:lineRule="auto"/>
        <w:ind w:left="1900"/>
        <w:rPr>
          <w:sz w:val="24"/>
          <w:szCs w:val="24"/>
        </w:rPr>
      </w:pPr>
      <w:r>
        <w:rPr>
          <w:spacing w:val="-21"/>
          <w:sz w:val="24"/>
          <w:szCs w:val="24"/>
        </w:rPr>
        <w:t>办公区外采用彩钢围档全封闭施工，围档高度3米。围档坚固、稳定、整洁、美观、规范</w:t>
      </w:r>
    </w:p>
    <w:p w14:paraId="611D8F94">
      <w:pPr>
        <w:spacing w:line="215" w:lineRule="auto"/>
        <w:rPr>
          <w:sz w:val="24"/>
          <w:szCs w:val="24"/>
        </w:rPr>
        <w:sectPr>
          <w:footerReference r:id="rId359" w:type="default"/>
          <w:pgSz w:w="11907" w:h="16839"/>
          <w:pgMar w:top="933" w:right="4" w:bottom="1038" w:left="0" w:header="478" w:footer="357" w:gutter="0"/>
          <w:pgBorders>
            <w:top w:val="none" w:sz="0" w:space="0"/>
            <w:left w:val="none" w:sz="0" w:space="0"/>
            <w:bottom w:val="none" w:sz="0" w:space="0"/>
            <w:right w:val="none" w:sz="0" w:space="0"/>
          </w:pgBorders>
          <w:cols w:space="720" w:num="1"/>
        </w:sectPr>
      </w:pPr>
    </w:p>
    <w:p w14:paraId="1516F8AB">
      <w:pPr>
        <w:spacing w:line="271" w:lineRule="auto"/>
        <w:rPr>
          <w:rFonts w:ascii="Arial"/>
          <w:sz w:val="21"/>
        </w:rPr>
      </w:pPr>
    </w:p>
    <w:p w14:paraId="728AA916">
      <w:pPr>
        <w:pStyle w:val="2"/>
        <w:spacing w:before="78" w:line="216" w:lineRule="auto"/>
        <w:ind w:left="1460"/>
        <w:rPr>
          <w:sz w:val="24"/>
          <w:szCs w:val="24"/>
        </w:rPr>
      </w:pPr>
      <w:r>
        <w:rPr>
          <w:spacing w:val="-21"/>
          <w:sz w:val="24"/>
          <w:szCs w:val="24"/>
        </w:rPr>
        <w:t>成线，沿工地四周连续设置并要进行彩画美化，做到定</w:t>
      </w:r>
      <w:r>
        <w:rPr>
          <w:spacing w:val="-22"/>
          <w:sz w:val="24"/>
          <w:szCs w:val="24"/>
        </w:rPr>
        <w:t>期粉刷保证美观。</w:t>
      </w:r>
    </w:p>
    <w:p w14:paraId="1E8D1AAC">
      <w:pPr>
        <w:pStyle w:val="2"/>
        <w:spacing w:before="121" w:line="307" w:lineRule="auto"/>
        <w:ind w:left="1461" w:right="1411" w:firstLine="433"/>
        <w:rPr>
          <w:sz w:val="24"/>
          <w:szCs w:val="24"/>
        </w:rPr>
      </w:pPr>
      <w:r>
        <w:rPr>
          <w:spacing w:val="-20"/>
          <w:sz w:val="24"/>
          <w:szCs w:val="24"/>
        </w:rPr>
        <w:t>严格按照城乡建委和城管局关于印发《建筑工地围挡设置标准》的通知（合城管[2016]7号）要求，建筑工地施工围挡应按照标准化设置。具体如下：</w:t>
      </w:r>
    </w:p>
    <w:p w14:paraId="1913D478">
      <w:pPr>
        <w:pStyle w:val="2"/>
        <w:spacing w:line="215" w:lineRule="auto"/>
        <w:ind w:left="1893"/>
        <w:rPr>
          <w:sz w:val="24"/>
          <w:szCs w:val="24"/>
        </w:rPr>
      </w:pPr>
      <w:r>
        <w:rPr>
          <w:spacing w:val="-21"/>
          <w:sz w:val="24"/>
          <w:szCs w:val="24"/>
        </w:rPr>
        <w:t>（一）施工围挡应沿工地四周连续、封闭设置，要求稳定、</w:t>
      </w:r>
      <w:r>
        <w:rPr>
          <w:spacing w:val="-22"/>
          <w:sz w:val="24"/>
          <w:szCs w:val="24"/>
        </w:rPr>
        <w:t>牢固、整洁、美观。</w:t>
      </w:r>
    </w:p>
    <w:p w14:paraId="25376871">
      <w:pPr>
        <w:pStyle w:val="2"/>
        <w:spacing w:before="120" w:line="262" w:lineRule="auto"/>
        <w:ind w:left="1468" w:right="1412" w:firstLine="424"/>
        <w:rPr>
          <w:sz w:val="24"/>
          <w:szCs w:val="24"/>
        </w:rPr>
      </w:pPr>
      <w:r>
        <w:rPr>
          <w:spacing w:val="-21"/>
          <w:sz w:val="24"/>
          <w:szCs w:val="24"/>
        </w:rPr>
        <w:t>（二）所有施工围挡应建成实体，原则上高度不低于3米（</w:t>
      </w:r>
      <w:r>
        <w:rPr>
          <w:spacing w:val="-22"/>
          <w:sz w:val="24"/>
          <w:szCs w:val="24"/>
        </w:rPr>
        <w:t>非市政道路两侧或绿化遮挡严</w:t>
      </w:r>
      <w:r>
        <w:rPr>
          <w:spacing w:val="-19"/>
          <w:sz w:val="24"/>
          <w:szCs w:val="24"/>
        </w:rPr>
        <w:t>密处可降低高度，但不得低于2.8米）。</w:t>
      </w:r>
    </w:p>
    <w:p w14:paraId="6AFA90A8">
      <w:pPr>
        <w:pStyle w:val="2"/>
        <w:spacing w:before="118" w:line="262" w:lineRule="auto"/>
        <w:ind w:left="1460" w:right="1409" w:firstLine="432"/>
        <w:rPr>
          <w:sz w:val="24"/>
          <w:szCs w:val="24"/>
        </w:rPr>
      </w:pPr>
      <w:r>
        <w:rPr>
          <w:spacing w:val="-20"/>
          <w:sz w:val="24"/>
          <w:szCs w:val="24"/>
        </w:rPr>
        <w:t>（三）围挡应使用金属板材等硬质材料，达到抗风、抗雨雪等户外安全标准。严禁使用彩</w:t>
      </w:r>
      <w:r>
        <w:rPr>
          <w:spacing w:val="-21"/>
          <w:sz w:val="24"/>
          <w:szCs w:val="24"/>
        </w:rPr>
        <w:t>色编织布、竹笆或安全网等易变形材料。</w:t>
      </w:r>
    </w:p>
    <w:p w14:paraId="6E8A2B9C">
      <w:pPr>
        <w:pStyle w:val="2"/>
        <w:spacing w:before="118" w:line="263" w:lineRule="auto"/>
        <w:ind w:left="1472" w:right="1411" w:firstLine="420"/>
        <w:rPr>
          <w:sz w:val="24"/>
          <w:szCs w:val="24"/>
        </w:rPr>
      </w:pPr>
      <w:r>
        <w:rPr>
          <w:spacing w:val="-19"/>
          <w:sz w:val="24"/>
          <w:szCs w:val="24"/>
        </w:rPr>
        <w:t>（四）紧邻道路（街道）路面、铺装、草坪处设置施工围挡时，底部</w:t>
      </w:r>
      <w:r>
        <w:rPr>
          <w:spacing w:val="-20"/>
          <w:sz w:val="24"/>
          <w:szCs w:val="24"/>
        </w:rPr>
        <w:t>应施工0.3m-0.5m的</w:t>
      </w:r>
      <w:r>
        <w:rPr>
          <w:spacing w:val="-22"/>
          <w:sz w:val="24"/>
          <w:szCs w:val="24"/>
        </w:rPr>
        <w:t>防外溢基础，不得有积水、泥浆外漏现象。</w:t>
      </w:r>
    </w:p>
    <w:p w14:paraId="1C5B6976">
      <w:pPr>
        <w:pStyle w:val="2"/>
        <w:spacing w:before="118" w:line="215" w:lineRule="auto"/>
        <w:ind w:left="1893"/>
        <w:rPr>
          <w:sz w:val="24"/>
          <w:szCs w:val="24"/>
        </w:rPr>
      </w:pPr>
      <w:r>
        <w:rPr>
          <w:spacing w:val="-21"/>
          <w:sz w:val="24"/>
          <w:szCs w:val="24"/>
        </w:rPr>
        <w:t>（五）市政工程围挡应按要求在顶部设置警示灯，底部设置警</w:t>
      </w:r>
      <w:r>
        <w:rPr>
          <w:spacing w:val="-22"/>
          <w:sz w:val="24"/>
          <w:szCs w:val="24"/>
        </w:rPr>
        <w:t>示标识。</w:t>
      </w:r>
    </w:p>
    <w:p w14:paraId="0C17CBF7">
      <w:pPr>
        <w:pStyle w:val="2"/>
        <w:spacing w:before="120" w:line="262" w:lineRule="auto"/>
        <w:ind w:left="1457" w:right="1412" w:firstLine="435"/>
        <w:rPr>
          <w:sz w:val="24"/>
          <w:szCs w:val="24"/>
        </w:rPr>
      </w:pPr>
      <w:r>
        <w:rPr>
          <w:spacing w:val="-21"/>
          <w:sz w:val="24"/>
          <w:szCs w:val="24"/>
        </w:rPr>
        <w:t>（六）施工围挡应按要求安装喷雾系统，喷淋头间距不大</w:t>
      </w:r>
      <w:r>
        <w:rPr>
          <w:spacing w:val="-22"/>
          <w:sz w:val="24"/>
          <w:szCs w:val="24"/>
        </w:rPr>
        <w:t>于3米，且喷雾系统安装在围挡</w:t>
      </w:r>
      <w:r>
        <w:rPr>
          <w:spacing w:val="-21"/>
          <w:sz w:val="24"/>
          <w:szCs w:val="24"/>
        </w:rPr>
        <w:t>顶端内侧，向内喷洒。政府投资项目及重点地段社会投资</w:t>
      </w:r>
      <w:r>
        <w:rPr>
          <w:spacing w:val="-22"/>
          <w:sz w:val="24"/>
          <w:szCs w:val="24"/>
        </w:rPr>
        <w:t>项目应实行环境监测联动联网管理。</w:t>
      </w:r>
    </w:p>
    <w:p w14:paraId="20BFEAAD">
      <w:pPr>
        <w:pStyle w:val="2"/>
        <w:spacing w:before="120" w:line="262" w:lineRule="auto"/>
        <w:ind w:left="1457" w:right="1409" w:firstLine="435"/>
        <w:rPr>
          <w:sz w:val="24"/>
          <w:szCs w:val="24"/>
        </w:rPr>
      </w:pPr>
      <w:r>
        <w:rPr>
          <w:spacing w:val="-20"/>
          <w:sz w:val="24"/>
          <w:szCs w:val="24"/>
        </w:rPr>
        <w:t>（七）施工围挡外侧为城市道路或街区时，外部空间应与城市道路、街区保持同等品质绿</w:t>
      </w:r>
      <w:r>
        <w:rPr>
          <w:spacing w:val="-21"/>
          <w:sz w:val="24"/>
          <w:szCs w:val="24"/>
        </w:rPr>
        <w:t>化（铺装</w:t>
      </w:r>
      <w:r>
        <w:rPr>
          <w:spacing w:val="-20"/>
          <w:sz w:val="24"/>
          <w:szCs w:val="24"/>
        </w:rPr>
        <w:t>），</w:t>
      </w:r>
      <w:r>
        <w:rPr>
          <w:spacing w:val="-21"/>
          <w:sz w:val="24"/>
          <w:szCs w:val="24"/>
        </w:rPr>
        <w:t>不得破坏道路、街面整体空间效果。</w:t>
      </w:r>
    </w:p>
    <w:p w14:paraId="0B4FBC1C">
      <w:pPr>
        <w:pStyle w:val="2"/>
        <w:spacing w:before="119" w:line="262" w:lineRule="auto"/>
        <w:ind w:left="1461" w:right="1448" w:firstLine="432"/>
        <w:rPr>
          <w:sz w:val="24"/>
          <w:szCs w:val="24"/>
        </w:rPr>
      </w:pPr>
      <w:r>
        <w:rPr>
          <w:spacing w:val="-21"/>
          <w:sz w:val="24"/>
          <w:szCs w:val="24"/>
        </w:rPr>
        <w:t>（八）紧邻市政道路施工围挡外侧立面应喷绘彩色宣传内容，包含安全施工、文明创建、公益广告等，要求图文准确、规范，效果简洁、</w:t>
      </w:r>
      <w:r>
        <w:rPr>
          <w:spacing w:val="-22"/>
          <w:sz w:val="24"/>
          <w:szCs w:val="24"/>
        </w:rPr>
        <w:t>大方。</w:t>
      </w:r>
    </w:p>
    <w:p w14:paraId="1652189D">
      <w:pPr>
        <w:pStyle w:val="2"/>
        <w:spacing w:before="117" w:line="218" w:lineRule="auto"/>
        <w:ind w:left="1888"/>
        <w:rPr>
          <w:sz w:val="24"/>
          <w:szCs w:val="24"/>
        </w:rPr>
      </w:pPr>
      <w:r>
        <w:rPr>
          <w:spacing w:val="-19"/>
          <w:sz w:val="24"/>
          <w:szCs w:val="24"/>
        </w:rPr>
        <w:t>2、场地坪硬化、绿化、亮化</w:t>
      </w:r>
    </w:p>
    <w:p w14:paraId="5DDC7AC0">
      <w:pPr>
        <w:pStyle w:val="2"/>
        <w:spacing w:before="117" w:line="216" w:lineRule="auto"/>
        <w:ind w:left="1903"/>
        <w:rPr>
          <w:sz w:val="24"/>
          <w:szCs w:val="24"/>
        </w:rPr>
      </w:pPr>
      <w:r>
        <w:rPr>
          <w:spacing w:val="-21"/>
          <w:sz w:val="24"/>
          <w:szCs w:val="24"/>
        </w:rPr>
        <w:t>1）办公区临时道路、材料堆放区进行规范化硬化。</w:t>
      </w:r>
    </w:p>
    <w:p w14:paraId="707CBEC4">
      <w:pPr>
        <w:pStyle w:val="2"/>
        <w:spacing w:before="119" w:line="278" w:lineRule="auto"/>
        <w:ind w:left="1456" w:right="1409" w:firstLine="432"/>
        <w:rPr>
          <w:sz w:val="24"/>
          <w:szCs w:val="24"/>
        </w:rPr>
      </w:pPr>
      <w:r>
        <w:rPr>
          <w:spacing w:val="-21"/>
          <w:sz w:val="24"/>
          <w:szCs w:val="24"/>
        </w:rPr>
        <w:t>2）施工现场主干道形成环形道路，道路宽度≥3.5m；对不能形成环形道路的，要求设有不小于12m×12m的回车坪，回车坪地面做法同道路，</w:t>
      </w:r>
      <w:r>
        <w:rPr>
          <w:spacing w:val="-22"/>
          <w:sz w:val="24"/>
          <w:szCs w:val="24"/>
        </w:rPr>
        <w:t>且保持经常畅通，不准放构件、材料，道路</w:t>
      </w:r>
      <w:r>
        <w:rPr>
          <w:spacing w:val="-20"/>
          <w:sz w:val="24"/>
          <w:szCs w:val="24"/>
        </w:rPr>
        <w:t>应平整坚实，无大面积积水。</w:t>
      </w:r>
    </w:p>
    <w:p w14:paraId="5FD8D312">
      <w:pPr>
        <w:pStyle w:val="2"/>
        <w:spacing w:before="117" w:line="218" w:lineRule="auto"/>
        <w:ind w:left="1894"/>
        <w:rPr>
          <w:sz w:val="24"/>
          <w:szCs w:val="24"/>
        </w:rPr>
      </w:pPr>
      <w:r>
        <w:rPr>
          <w:spacing w:val="-19"/>
          <w:sz w:val="24"/>
          <w:szCs w:val="24"/>
        </w:rPr>
        <w:t>道路横坡坡度为2%，两边设雨水口或排水沟，道路上不得积水。</w:t>
      </w:r>
    </w:p>
    <w:p w14:paraId="19D1098A">
      <w:pPr>
        <w:pStyle w:val="2"/>
        <w:spacing w:before="116" w:line="217" w:lineRule="auto"/>
        <w:ind w:left="1906"/>
        <w:rPr>
          <w:sz w:val="24"/>
          <w:szCs w:val="24"/>
        </w:rPr>
      </w:pPr>
      <w:r>
        <w:rPr>
          <w:spacing w:val="-19"/>
          <w:sz w:val="24"/>
          <w:szCs w:val="24"/>
        </w:rPr>
        <w:t>素土分层夯实，分层厚度不大于300mm，淤泥等土质差的部位要求换填级配砂石。</w:t>
      </w:r>
    </w:p>
    <w:p w14:paraId="39F1028F">
      <w:pPr>
        <w:pStyle w:val="2"/>
        <w:spacing w:before="118" w:line="215" w:lineRule="auto"/>
        <w:ind w:left="1890"/>
        <w:rPr>
          <w:sz w:val="24"/>
          <w:szCs w:val="24"/>
        </w:rPr>
      </w:pPr>
      <w:r>
        <w:rPr>
          <w:spacing w:val="-20"/>
          <w:sz w:val="24"/>
          <w:szCs w:val="24"/>
        </w:rPr>
        <w:t>有条件的项目设置停车坪。</w:t>
      </w:r>
    </w:p>
    <w:p w14:paraId="04DE9D4B">
      <w:pPr>
        <w:pStyle w:val="2"/>
        <w:spacing w:before="122" w:line="214" w:lineRule="auto"/>
        <w:ind w:left="1886"/>
        <w:rPr>
          <w:sz w:val="24"/>
          <w:szCs w:val="24"/>
        </w:rPr>
      </w:pPr>
      <w:r>
        <w:rPr>
          <w:spacing w:val="-12"/>
          <w:sz w:val="24"/>
          <w:szCs w:val="24"/>
        </w:rPr>
        <w:t>a.停车场回转半径R不小于6m。</w:t>
      </w:r>
    </w:p>
    <w:p w14:paraId="0F76C370">
      <w:pPr>
        <w:pStyle w:val="2"/>
        <w:spacing w:before="120" w:line="215" w:lineRule="auto"/>
        <w:ind w:left="1882"/>
        <w:rPr>
          <w:sz w:val="24"/>
          <w:szCs w:val="24"/>
        </w:rPr>
      </w:pPr>
      <w:r>
        <w:rPr>
          <w:spacing w:val="-17"/>
          <w:sz w:val="24"/>
          <w:szCs w:val="24"/>
        </w:rPr>
        <w:t>b.停车场地面采用预制砖块铺设或100厚C15素混凝土</w:t>
      </w:r>
      <w:r>
        <w:rPr>
          <w:spacing w:val="-18"/>
          <w:sz w:val="24"/>
          <w:szCs w:val="24"/>
        </w:rPr>
        <w:t>浇筑。</w:t>
      </w:r>
    </w:p>
    <w:p w14:paraId="07931AB3">
      <w:pPr>
        <w:pStyle w:val="2"/>
        <w:spacing w:before="121" w:line="215" w:lineRule="auto"/>
        <w:ind w:left="1890"/>
        <w:rPr>
          <w:sz w:val="24"/>
          <w:szCs w:val="24"/>
        </w:rPr>
      </w:pPr>
      <w:r>
        <w:rPr>
          <w:spacing w:val="-19"/>
          <w:sz w:val="24"/>
          <w:szCs w:val="24"/>
        </w:rPr>
        <w:t>c.停车场内形成1%有组织排水到道路，流</w:t>
      </w:r>
      <w:r>
        <w:rPr>
          <w:spacing w:val="-20"/>
          <w:sz w:val="24"/>
          <w:szCs w:val="24"/>
        </w:rPr>
        <w:t>向雨水口。</w:t>
      </w:r>
    </w:p>
    <w:p w14:paraId="61526D82">
      <w:pPr>
        <w:pStyle w:val="2"/>
        <w:spacing w:before="122" w:line="215" w:lineRule="auto"/>
        <w:ind w:left="1890"/>
        <w:rPr>
          <w:sz w:val="24"/>
          <w:szCs w:val="24"/>
        </w:rPr>
      </w:pPr>
      <w:r>
        <w:rPr>
          <w:spacing w:val="-20"/>
          <w:sz w:val="24"/>
          <w:szCs w:val="24"/>
        </w:rPr>
        <w:t>d.停车场四周种植四季青、映山红、草皮等。</w:t>
      </w:r>
    </w:p>
    <w:p w14:paraId="6FEC5C2B">
      <w:pPr>
        <w:pStyle w:val="2"/>
        <w:spacing w:before="119" w:line="308" w:lineRule="auto"/>
        <w:ind w:left="1461" w:right="1409" w:firstLine="431"/>
        <w:rPr>
          <w:sz w:val="24"/>
          <w:szCs w:val="24"/>
        </w:rPr>
      </w:pPr>
      <w:r>
        <w:rPr>
          <w:spacing w:val="-21"/>
          <w:sz w:val="24"/>
          <w:szCs w:val="24"/>
        </w:rPr>
        <w:t>施工现场应视具体情况进行绿化，绿化率不小于5%，项目部根据各区域分公司的当地</w:t>
      </w:r>
      <w:r>
        <w:rPr>
          <w:spacing w:val="-22"/>
          <w:sz w:val="24"/>
          <w:szCs w:val="24"/>
        </w:rPr>
        <w:t>气侯</w:t>
      </w:r>
      <w:r>
        <w:rPr>
          <w:spacing w:val="-21"/>
          <w:sz w:val="24"/>
          <w:szCs w:val="24"/>
        </w:rPr>
        <w:t>实际条件种植低成本、易成活花木。</w:t>
      </w:r>
    </w:p>
    <w:p w14:paraId="100C9A32">
      <w:pPr>
        <w:pStyle w:val="2"/>
        <w:spacing w:line="215" w:lineRule="auto"/>
        <w:ind w:left="1891"/>
        <w:rPr>
          <w:sz w:val="24"/>
          <w:szCs w:val="24"/>
        </w:rPr>
      </w:pPr>
      <w:r>
        <w:rPr>
          <w:spacing w:val="-21"/>
          <w:sz w:val="24"/>
          <w:szCs w:val="24"/>
        </w:rPr>
        <w:t>e工地出入口设置车辆冲洗、排水沉淀设施。</w:t>
      </w:r>
    </w:p>
    <w:p w14:paraId="6573CD22">
      <w:pPr>
        <w:pStyle w:val="2"/>
        <w:spacing w:before="120" w:line="217" w:lineRule="auto"/>
        <w:ind w:left="1890"/>
        <w:rPr>
          <w:sz w:val="24"/>
          <w:szCs w:val="24"/>
        </w:rPr>
      </w:pPr>
      <w:r>
        <w:rPr>
          <w:spacing w:val="-18"/>
          <w:sz w:val="24"/>
          <w:szCs w:val="24"/>
        </w:rPr>
        <w:t>3）、烟尘控制规定</w:t>
      </w:r>
    </w:p>
    <w:p w14:paraId="60475BE8">
      <w:pPr>
        <w:pStyle w:val="2"/>
        <w:spacing w:before="118" w:line="307" w:lineRule="auto"/>
        <w:ind w:left="1456" w:right="1337" w:firstLine="438"/>
        <w:rPr>
          <w:sz w:val="24"/>
          <w:szCs w:val="24"/>
        </w:rPr>
      </w:pPr>
      <w:r>
        <w:rPr>
          <w:spacing w:val="-20"/>
          <w:sz w:val="24"/>
          <w:szCs w:val="24"/>
        </w:rPr>
        <w:t>严禁在施工现场排放有毒烟尘和气体，不得在施工现场洗石灰、熬煎沥青，工地生活燃料应符合扬尘控制有关要求。建筑工程完工后必须及时清理现场和平整场地，消除各种尘源。不</w:t>
      </w:r>
      <w:r>
        <w:rPr>
          <w:spacing w:val="-23"/>
          <w:sz w:val="24"/>
          <w:szCs w:val="24"/>
        </w:rPr>
        <w:t>得从高处向下流放污水、倾倒建筑垃圾。禁止在道路和人行道上堆放或转运易扬</w:t>
      </w:r>
      <w:r>
        <w:rPr>
          <w:spacing w:val="-24"/>
          <w:sz w:val="24"/>
          <w:szCs w:val="24"/>
        </w:rPr>
        <w:t>尘的建筑材料。</w:t>
      </w:r>
    </w:p>
    <w:p w14:paraId="25A3C63B">
      <w:pPr>
        <w:spacing w:line="307" w:lineRule="auto"/>
        <w:rPr>
          <w:sz w:val="24"/>
          <w:szCs w:val="24"/>
        </w:rPr>
        <w:sectPr>
          <w:footerReference r:id="rId360" w:type="default"/>
          <w:pgSz w:w="11907" w:h="16839"/>
          <w:pgMar w:top="933" w:right="4" w:bottom="1038" w:left="0" w:header="478" w:footer="357" w:gutter="0"/>
          <w:pgBorders>
            <w:top w:val="none" w:sz="0" w:space="0"/>
            <w:left w:val="none" w:sz="0" w:space="0"/>
            <w:bottom w:val="none" w:sz="0" w:space="0"/>
            <w:right w:val="none" w:sz="0" w:space="0"/>
          </w:pgBorders>
          <w:cols w:space="720" w:num="1"/>
        </w:sectPr>
      </w:pPr>
    </w:p>
    <w:p w14:paraId="2728C786">
      <w:pPr>
        <w:spacing w:line="271" w:lineRule="auto"/>
        <w:rPr>
          <w:rFonts w:ascii="Arial"/>
          <w:sz w:val="21"/>
        </w:rPr>
      </w:pPr>
    </w:p>
    <w:p w14:paraId="6CEEA223">
      <w:pPr>
        <w:pStyle w:val="2"/>
        <w:spacing w:before="78" w:line="215" w:lineRule="auto"/>
        <w:ind w:left="1884"/>
        <w:rPr>
          <w:sz w:val="24"/>
          <w:szCs w:val="24"/>
        </w:rPr>
      </w:pPr>
      <w:r>
        <w:rPr>
          <w:spacing w:val="-18"/>
          <w:sz w:val="24"/>
          <w:szCs w:val="24"/>
        </w:rPr>
        <w:t>4）、运输车辆管理规定</w:t>
      </w:r>
    </w:p>
    <w:p w14:paraId="2D64AD84">
      <w:pPr>
        <w:pStyle w:val="2"/>
        <w:spacing w:before="121" w:line="215" w:lineRule="auto"/>
        <w:ind w:left="1895"/>
        <w:rPr>
          <w:sz w:val="24"/>
          <w:szCs w:val="24"/>
        </w:rPr>
      </w:pPr>
      <w:r>
        <w:rPr>
          <w:spacing w:val="-21"/>
          <w:sz w:val="24"/>
          <w:szCs w:val="24"/>
        </w:rPr>
        <w:t>运载渣土的车辆，必须符合市政环卫部门的有关要求并</w:t>
      </w:r>
      <w:r>
        <w:rPr>
          <w:spacing w:val="-22"/>
          <w:sz w:val="24"/>
          <w:szCs w:val="24"/>
        </w:rPr>
        <w:t>经市政环卫部门批准。</w:t>
      </w:r>
    </w:p>
    <w:p w14:paraId="4B84CEC8">
      <w:pPr>
        <w:pStyle w:val="2"/>
        <w:spacing w:before="118" w:line="308" w:lineRule="auto"/>
        <w:ind w:left="1457" w:right="1409" w:firstLine="437"/>
        <w:rPr>
          <w:sz w:val="24"/>
          <w:szCs w:val="24"/>
        </w:rPr>
      </w:pPr>
      <w:r>
        <w:rPr>
          <w:spacing w:val="-20"/>
          <w:sz w:val="24"/>
          <w:szCs w:val="24"/>
        </w:rPr>
        <w:t>对进出施工现场运输车辆实施登记卡和标志牌制度。所有运输车辆每次进出施工现场，必须由施工单位在登记卡上做好记录，登记卡由施工单位保留。登记卡内容包括进出建筑工地的时间、车辆牌号、车辆所属单位、运输货物以及是否符合文明运输的要求等。驶出建筑工地的运输车辆，施工单位必须提供标志牌，标明驶出的建筑工地名称和联系电话，标志牌应放在挡</w:t>
      </w:r>
      <w:r>
        <w:rPr>
          <w:spacing w:val="-18"/>
          <w:sz w:val="24"/>
          <w:szCs w:val="24"/>
        </w:rPr>
        <w:t>风玻璃位置。</w:t>
      </w:r>
    </w:p>
    <w:p w14:paraId="024604D6">
      <w:pPr>
        <w:pStyle w:val="2"/>
        <w:spacing w:line="307" w:lineRule="auto"/>
        <w:ind w:left="1462" w:right="1411" w:firstLine="432"/>
        <w:rPr>
          <w:sz w:val="24"/>
          <w:szCs w:val="24"/>
        </w:rPr>
      </w:pPr>
      <w:r>
        <w:rPr>
          <w:spacing w:val="-20"/>
          <w:sz w:val="24"/>
          <w:szCs w:val="24"/>
        </w:rPr>
        <w:t>驶入建筑工地的运输车辆，必须车身整洁，装载车箱完好，不得污染道路环境。否则，施</w:t>
      </w:r>
      <w:r>
        <w:rPr>
          <w:spacing w:val="-21"/>
          <w:sz w:val="24"/>
          <w:szCs w:val="24"/>
        </w:rPr>
        <w:t>工单位应不允许其驶入工地。</w:t>
      </w:r>
    </w:p>
    <w:p w14:paraId="41006670">
      <w:pPr>
        <w:pStyle w:val="2"/>
        <w:spacing w:line="308" w:lineRule="auto"/>
        <w:ind w:left="1456" w:right="1342" w:firstLine="438"/>
        <w:jc w:val="both"/>
        <w:rPr>
          <w:sz w:val="24"/>
          <w:szCs w:val="24"/>
        </w:rPr>
      </w:pPr>
      <w:r>
        <w:rPr>
          <w:spacing w:val="-23"/>
          <w:sz w:val="24"/>
          <w:szCs w:val="24"/>
        </w:rPr>
        <w:t>驶出建筑工地的运输车辆，必须冲洗干净，严禁带泥</w:t>
      </w:r>
      <w:r>
        <w:rPr>
          <w:spacing w:val="-24"/>
          <w:sz w:val="24"/>
          <w:szCs w:val="24"/>
        </w:rPr>
        <w:t>上路，严禁超载；运送各种建筑材料、</w:t>
      </w:r>
      <w:r>
        <w:rPr>
          <w:spacing w:val="-20"/>
          <w:sz w:val="24"/>
          <w:szCs w:val="24"/>
        </w:rPr>
        <w:t>建筑垃圾、渣土的车辆必须应有遮盖和防护措施，防止建筑材料、建筑垃圾和尘土飞扬、洒落</w:t>
      </w:r>
      <w:r>
        <w:rPr>
          <w:spacing w:val="-21"/>
          <w:sz w:val="24"/>
          <w:szCs w:val="24"/>
        </w:rPr>
        <w:t>和流溢。否则，施工单位不允许其驶出工地。</w:t>
      </w:r>
    </w:p>
    <w:p w14:paraId="5B0A85E6">
      <w:pPr>
        <w:pStyle w:val="2"/>
        <w:spacing w:line="217" w:lineRule="auto"/>
        <w:ind w:left="1890"/>
        <w:rPr>
          <w:sz w:val="24"/>
          <w:szCs w:val="24"/>
        </w:rPr>
      </w:pPr>
      <w:r>
        <w:rPr>
          <w:spacing w:val="-20"/>
          <w:sz w:val="24"/>
          <w:szCs w:val="24"/>
        </w:rPr>
        <w:t>3工地施工扬尘控制措施</w:t>
      </w:r>
    </w:p>
    <w:p w14:paraId="629C6789">
      <w:pPr>
        <w:pStyle w:val="2"/>
        <w:spacing w:before="119" w:line="263" w:lineRule="auto"/>
        <w:ind w:left="1468" w:right="1411" w:firstLine="421"/>
        <w:rPr>
          <w:sz w:val="24"/>
          <w:szCs w:val="24"/>
        </w:rPr>
      </w:pPr>
      <w:r>
        <w:rPr>
          <w:spacing w:val="-21"/>
          <w:sz w:val="24"/>
          <w:szCs w:val="24"/>
        </w:rPr>
        <w:t>3.1、水泥和其它易飞扬的细颗粒散体材料</w:t>
      </w:r>
      <w:r>
        <w:rPr>
          <w:spacing w:val="-22"/>
          <w:sz w:val="24"/>
          <w:szCs w:val="24"/>
        </w:rPr>
        <w:t>尽量安排在库内存放，露天存放则用苫布封盖严</w:t>
      </w:r>
      <w:r>
        <w:rPr>
          <w:spacing w:val="-21"/>
          <w:sz w:val="24"/>
          <w:szCs w:val="24"/>
        </w:rPr>
        <w:t>密。</w:t>
      </w:r>
    </w:p>
    <w:p w14:paraId="14C3313C">
      <w:pPr>
        <w:pStyle w:val="2"/>
        <w:spacing w:before="113" w:line="278" w:lineRule="auto"/>
        <w:ind w:left="1457" w:right="1411" w:firstLine="433"/>
        <w:rPr>
          <w:sz w:val="24"/>
          <w:szCs w:val="24"/>
        </w:rPr>
      </w:pPr>
      <w:r>
        <w:rPr>
          <w:spacing w:val="-21"/>
          <w:sz w:val="24"/>
          <w:szCs w:val="24"/>
        </w:rPr>
        <w:t>3.2、施工现场临时道路，在易产生扬尘的</w:t>
      </w:r>
      <w:r>
        <w:rPr>
          <w:spacing w:val="-22"/>
          <w:sz w:val="24"/>
          <w:szCs w:val="24"/>
        </w:rPr>
        <w:t>季节要洒水降尘；由于其它原因而未做到的硬化</w:t>
      </w:r>
      <w:r>
        <w:rPr>
          <w:spacing w:val="-20"/>
          <w:sz w:val="24"/>
          <w:szCs w:val="24"/>
        </w:rPr>
        <w:t>部位要进行规划，种植花草，以美化环境、陶冶情操；现场存土均采用绿色密目网覆盖，减少灰尘对周围环境的影响。</w:t>
      </w:r>
    </w:p>
    <w:p w14:paraId="2940661F">
      <w:pPr>
        <w:pStyle w:val="2"/>
        <w:spacing w:before="118" w:line="263" w:lineRule="auto"/>
        <w:ind w:left="1479" w:right="1411" w:firstLine="410"/>
        <w:rPr>
          <w:sz w:val="24"/>
          <w:szCs w:val="24"/>
        </w:rPr>
      </w:pPr>
      <w:r>
        <w:rPr>
          <w:spacing w:val="-21"/>
          <w:sz w:val="24"/>
          <w:szCs w:val="24"/>
        </w:rPr>
        <w:t>3.3、混凝土采用商品砼、搅拌站（砂浆搅</w:t>
      </w:r>
      <w:r>
        <w:rPr>
          <w:spacing w:val="-22"/>
          <w:sz w:val="24"/>
          <w:szCs w:val="24"/>
        </w:rPr>
        <w:t>拌机）、水泥库和混凝土泵机等处均设防尘棚封</w:t>
      </w:r>
      <w:r>
        <w:rPr>
          <w:spacing w:val="-24"/>
          <w:sz w:val="24"/>
          <w:szCs w:val="24"/>
        </w:rPr>
        <w:t>闭，周围场区经常洒水清扫，减少粉尘污染。</w:t>
      </w:r>
    </w:p>
    <w:p w14:paraId="1F372AC3">
      <w:pPr>
        <w:pStyle w:val="2"/>
        <w:spacing w:before="116" w:line="278" w:lineRule="auto"/>
        <w:ind w:left="1458" w:right="1414" w:firstLine="432"/>
        <w:rPr>
          <w:sz w:val="24"/>
          <w:szCs w:val="24"/>
        </w:rPr>
      </w:pPr>
      <w:r>
        <w:rPr>
          <w:spacing w:val="-22"/>
          <w:sz w:val="24"/>
          <w:szCs w:val="24"/>
        </w:rPr>
        <w:t>3.4、现场出入口处设洗车台、施工车辆离开工地进行清扫，冲洗干净，并对装载水泥、土</w:t>
      </w:r>
      <w:r>
        <w:rPr>
          <w:spacing w:val="-20"/>
          <w:sz w:val="24"/>
          <w:szCs w:val="24"/>
        </w:rPr>
        <w:t>方、渣土等散料运输时，采用遮盖防护措施，以保持良好车容并保证所载物固定牢靠，避免在</w:t>
      </w:r>
      <w:r>
        <w:rPr>
          <w:spacing w:val="-22"/>
          <w:sz w:val="24"/>
          <w:szCs w:val="24"/>
        </w:rPr>
        <w:t>运输途中飘散，防止粉尘对空气的污染。对污染的市政道路随时清扫。</w:t>
      </w:r>
    </w:p>
    <w:p w14:paraId="17DE127C">
      <w:pPr>
        <w:pStyle w:val="2"/>
        <w:spacing w:before="116" w:line="263" w:lineRule="auto"/>
        <w:ind w:left="1460" w:right="1354" w:firstLine="430"/>
        <w:rPr>
          <w:sz w:val="24"/>
          <w:szCs w:val="24"/>
        </w:rPr>
      </w:pPr>
      <w:r>
        <w:rPr>
          <w:spacing w:val="-25"/>
          <w:sz w:val="24"/>
          <w:szCs w:val="24"/>
        </w:rPr>
        <w:t>3.5、施工生产、生活垃圾采用封闭垃圾箱固定堆放，并及时</w:t>
      </w:r>
      <w:r>
        <w:rPr>
          <w:spacing w:val="-26"/>
          <w:sz w:val="24"/>
          <w:szCs w:val="24"/>
        </w:rPr>
        <w:t>清运。建筑内清理施工垃圾时，</w:t>
      </w:r>
      <w:r>
        <w:rPr>
          <w:spacing w:val="-21"/>
          <w:sz w:val="24"/>
          <w:szCs w:val="24"/>
        </w:rPr>
        <w:t>宜采用容器吊装，严禁抛洒，施工垃圾及时清运，适</w:t>
      </w:r>
      <w:r>
        <w:rPr>
          <w:spacing w:val="-22"/>
          <w:sz w:val="24"/>
          <w:szCs w:val="24"/>
        </w:rPr>
        <w:t>量洒水，减少扬尘。</w:t>
      </w:r>
    </w:p>
    <w:p w14:paraId="1C3A0332">
      <w:pPr>
        <w:pStyle w:val="2"/>
        <w:spacing w:before="117" w:line="217" w:lineRule="auto"/>
        <w:ind w:left="1890"/>
        <w:rPr>
          <w:sz w:val="24"/>
          <w:szCs w:val="24"/>
        </w:rPr>
      </w:pPr>
      <w:r>
        <w:rPr>
          <w:spacing w:val="-20"/>
          <w:sz w:val="24"/>
          <w:szCs w:val="24"/>
        </w:rPr>
        <w:t>3.6、控制烟尘污染，本工程生活饮用热水采用电开水器及</w:t>
      </w:r>
      <w:r>
        <w:rPr>
          <w:spacing w:val="-21"/>
          <w:sz w:val="24"/>
          <w:szCs w:val="24"/>
        </w:rPr>
        <w:t>扬尘控制型燃气炉。</w:t>
      </w:r>
    </w:p>
    <w:p w14:paraId="327CEB26">
      <w:pPr>
        <w:pStyle w:val="2"/>
        <w:spacing w:before="117" w:line="215" w:lineRule="auto"/>
        <w:ind w:left="1890"/>
        <w:rPr>
          <w:sz w:val="24"/>
          <w:szCs w:val="24"/>
        </w:rPr>
      </w:pPr>
      <w:r>
        <w:rPr>
          <w:spacing w:val="-20"/>
          <w:sz w:val="24"/>
          <w:szCs w:val="24"/>
        </w:rPr>
        <w:t>3.7、禁止在施工现场焚烧有毒、有害和有烟尘及恶臭气味的物质。</w:t>
      </w:r>
    </w:p>
    <w:p w14:paraId="08BF9A12">
      <w:pPr>
        <w:pStyle w:val="2"/>
        <w:spacing w:before="121" w:line="215" w:lineRule="auto"/>
        <w:ind w:left="1890"/>
        <w:rPr>
          <w:sz w:val="24"/>
          <w:szCs w:val="24"/>
        </w:rPr>
      </w:pPr>
      <w:r>
        <w:rPr>
          <w:spacing w:val="-20"/>
          <w:sz w:val="24"/>
          <w:szCs w:val="24"/>
        </w:rPr>
        <w:t>3.8、各类机动车辆完善排放系统，减少尾气排放，减少扬尘污染。</w:t>
      </w:r>
    </w:p>
    <w:p w14:paraId="239B709F">
      <w:pPr>
        <w:pStyle w:val="2"/>
        <w:spacing w:before="122" w:line="260" w:lineRule="auto"/>
        <w:ind w:left="1479" w:right="1428" w:firstLine="410"/>
        <w:rPr>
          <w:sz w:val="24"/>
          <w:szCs w:val="24"/>
        </w:rPr>
      </w:pPr>
      <w:r>
        <w:rPr>
          <w:spacing w:val="-22"/>
          <w:sz w:val="24"/>
          <w:szCs w:val="24"/>
        </w:rPr>
        <w:t>3.9、生产的垃圾及时运出场外；装运物应预先浇水湿润，进行湿式作业，垃圾出场采用封闭式灰斗或用彩条布覆盖，外运菜用密闭翻斗车运输。</w:t>
      </w:r>
    </w:p>
    <w:p w14:paraId="16AE637E">
      <w:pPr>
        <w:pStyle w:val="2"/>
        <w:spacing w:before="124" w:line="262" w:lineRule="auto"/>
        <w:ind w:left="1458" w:right="1411" w:firstLine="432"/>
        <w:rPr>
          <w:sz w:val="24"/>
          <w:szCs w:val="24"/>
        </w:rPr>
      </w:pPr>
      <w:r>
        <w:rPr>
          <w:spacing w:val="-19"/>
          <w:sz w:val="24"/>
          <w:szCs w:val="24"/>
        </w:rPr>
        <w:t>3.10、在现场设专职保洁员，对场内道路适量洒水，减少扬尘，对施工扬尘洒水及卫生进</w:t>
      </w:r>
      <w:r>
        <w:rPr>
          <w:spacing w:val="-21"/>
          <w:sz w:val="24"/>
          <w:szCs w:val="24"/>
        </w:rPr>
        <w:t>行管理，保持良好的现场环境。</w:t>
      </w:r>
    </w:p>
    <w:p w14:paraId="2E8BB49A">
      <w:pPr>
        <w:pStyle w:val="2"/>
        <w:spacing w:before="117" w:line="216" w:lineRule="auto"/>
        <w:ind w:left="1890"/>
        <w:rPr>
          <w:sz w:val="24"/>
          <w:szCs w:val="24"/>
        </w:rPr>
      </w:pPr>
      <w:r>
        <w:rPr>
          <w:spacing w:val="-19"/>
          <w:sz w:val="24"/>
          <w:szCs w:val="24"/>
        </w:rPr>
        <w:t>3.11、材料堆放需覆盖，定期不间断检查。</w:t>
      </w:r>
    </w:p>
    <w:p w14:paraId="2F646B99">
      <w:pPr>
        <w:pStyle w:val="2"/>
        <w:spacing w:before="119" w:line="217" w:lineRule="auto"/>
        <w:ind w:left="1892"/>
        <w:rPr>
          <w:sz w:val="24"/>
          <w:szCs w:val="24"/>
        </w:rPr>
      </w:pPr>
      <w:r>
        <w:rPr>
          <w:spacing w:val="-20"/>
          <w:sz w:val="24"/>
          <w:szCs w:val="24"/>
        </w:rPr>
        <w:t>施工现场环保及减少扬尘措施</w:t>
      </w:r>
    </w:p>
    <w:p w14:paraId="544E55ED">
      <w:pPr>
        <w:pStyle w:val="2"/>
        <w:spacing w:before="119" w:line="308" w:lineRule="auto"/>
        <w:ind w:left="1456" w:right="1411" w:firstLine="447"/>
        <w:rPr>
          <w:sz w:val="24"/>
          <w:szCs w:val="24"/>
        </w:rPr>
      </w:pPr>
      <w:r>
        <w:rPr>
          <w:spacing w:val="-25"/>
          <w:sz w:val="24"/>
          <w:szCs w:val="24"/>
        </w:rPr>
        <w:t>1、贯彻落实政府《城市扬尘污染防治管理暂行规定》，巩固城市环境综合整治成果，加强</w:t>
      </w:r>
      <w:r>
        <w:rPr>
          <w:spacing w:val="-21"/>
          <w:sz w:val="24"/>
          <w:szCs w:val="24"/>
        </w:rPr>
        <w:t>建设工地规范化、标准化管理，进一步提升公司形象和建筑业形象，加强建设工地环境管理，</w:t>
      </w:r>
    </w:p>
    <w:p w14:paraId="46BB8E80">
      <w:pPr>
        <w:spacing w:line="308" w:lineRule="auto"/>
        <w:rPr>
          <w:sz w:val="24"/>
          <w:szCs w:val="24"/>
        </w:rPr>
        <w:sectPr>
          <w:footerReference r:id="rId361" w:type="default"/>
          <w:pgSz w:w="11907" w:h="16839"/>
          <w:pgMar w:top="933" w:right="4" w:bottom="1038" w:left="0" w:header="478" w:footer="357" w:gutter="0"/>
          <w:pgBorders>
            <w:top w:val="none" w:sz="0" w:space="0"/>
            <w:left w:val="none" w:sz="0" w:space="0"/>
            <w:bottom w:val="none" w:sz="0" w:space="0"/>
            <w:right w:val="none" w:sz="0" w:space="0"/>
          </w:pgBorders>
          <w:cols w:space="720" w:num="1"/>
        </w:sectPr>
      </w:pPr>
    </w:p>
    <w:p w14:paraId="1562C360">
      <w:pPr>
        <w:spacing w:line="272" w:lineRule="auto"/>
        <w:rPr>
          <w:rFonts w:ascii="Arial"/>
          <w:sz w:val="21"/>
        </w:rPr>
      </w:pPr>
    </w:p>
    <w:p w14:paraId="7F8242B5">
      <w:pPr>
        <w:pStyle w:val="2"/>
        <w:spacing w:before="78" w:line="217" w:lineRule="auto"/>
        <w:ind w:left="1458"/>
        <w:rPr>
          <w:sz w:val="24"/>
          <w:szCs w:val="24"/>
        </w:rPr>
      </w:pPr>
      <w:r>
        <w:rPr>
          <w:spacing w:val="-22"/>
          <w:sz w:val="24"/>
          <w:szCs w:val="24"/>
        </w:rPr>
        <w:t>严格控制施工扬尘。</w:t>
      </w:r>
    </w:p>
    <w:p w14:paraId="3F8CDD25">
      <w:pPr>
        <w:pStyle w:val="2"/>
        <w:spacing w:before="118" w:line="218" w:lineRule="auto"/>
        <w:ind w:left="1888"/>
        <w:rPr>
          <w:sz w:val="24"/>
          <w:szCs w:val="24"/>
        </w:rPr>
      </w:pPr>
      <w:r>
        <w:rPr>
          <w:spacing w:val="-19"/>
          <w:sz w:val="24"/>
          <w:szCs w:val="24"/>
        </w:rPr>
        <w:t>2、外部环境</w:t>
      </w:r>
    </w:p>
    <w:p w14:paraId="2AC241AE">
      <w:pPr>
        <w:pStyle w:val="2"/>
        <w:spacing w:before="116" w:line="262" w:lineRule="auto"/>
        <w:ind w:left="1457" w:right="1412" w:firstLine="470"/>
        <w:rPr>
          <w:sz w:val="24"/>
          <w:szCs w:val="24"/>
        </w:rPr>
      </w:pPr>
      <w:r>
        <w:rPr>
          <w:spacing w:val="-22"/>
          <w:sz w:val="24"/>
          <w:szCs w:val="24"/>
        </w:rPr>
        <w:t>(1)、打围作业，封闭式施工，落实“净化、绿化</w:t>
      </w:r>
      <w:r>
        <w:rPr>
          <w:spacing w:val="-23"/>
          <w:sz w:val="24"/>
          <w:szCs w:val="24"/>
        </w:rPr>
        <w:t>、亮化”创建措施，做到内部标准化，外</w:t>
      </w:r>
      <w:r>
        <w:rPr>
          <w:spacing w:val="-22"/>
          <w:sz w:val="24"/>
          <w:szCs w:val="24"/>
        </w:rPr>
        <w:t>部景观化，露土采用安全网遮盖或种植草坪。</w:t>
      </w:r>
    </w:p>
    <w:p w14:paraId="6D8F8E27">
      <w:pPr>
        <w:pStyle w:val="2"/>
        <w:spacing w:before="118" w:line="261" w:lineRule="auto"/>
        <w:ind w:left="1462" w:right="1412" w:firstLine="465"/>
        <w:rPr>
          <w:sz w:val="24"/>
          <w:szCs w:val="24"/>
        </w:rPr>
      </w:pPr>
      <w:r>
        <w:rPr>
          <w:spacing w:val="-22"/>
          <w:sz w:val="24"/>
          <w:szCs w:val="24"/>
        </w:rPr>
        <w:t>(2)进出口地坪必须进行混凝土硬化处理，设专人</w:t>
      </w:r>
      <w:r>
        <w:rPr>
          <w:spacing w:val="-23"/>
          <w:sz w:val="24"/>
          <w:szCs w:val="24"/>
        </w:rPr>
        <w:t>清理，在每个施工车辆出入口，设置喷水</w:t>
      </w:r>
      <w:r>
        <w:rPr>
          <w:spacing w:val="-21"/>
          <w:sz w:val="24"/>
          <w:szCs w:val="24"/>
        </w:rPr>
        <w:t>洗车处，严禁携带扬尘及泥土出场。</w:t>
      </w:r>
    </w:p>
    <w:p w14:paraId="65D0C349">
      <w:pPr>
        <w:pStyle w:val="2"/>
        <w:spacing w:before="121" w:line="218" w:lineRule="auto"/>
        <w:ind w:left="1890"/>
        <w:rPr>
          <w:sz w:val="24"/>
          <w:szCs w:val="24"/>
        </w:rPr>
      </w:pPr>
      <w:r>
        <w:rPr>
          <w:spacing w:val="-18"/>
          <w:sz w:val="24"/>
          <w:szCs w:val="24"/>
        </w:rPr>
        <w:t>3、内部环境</w:t>
      </w:r>
    </w:p>
    <w:p w14:paraId="403975A4">
      <w:pPr>
        <w:pStyle w:val="2"/>
        <w:spacing w:before="117" w:line="218" w:lineRule="auto"/>
        <w:ind w:left="1927"/>
        <w:rPr>
          <w:sz w:val="24"/>
          <w:szCs w:val="24"/>
        </w:rPr>
      </w:pPr>
      <w:r>
        <w:rPr>
          <w:spacing w:val="-21"/>
          <w:sz w:val="24"/>
          <w:szCs w:val="24"/>
        </w:rPr>
        <w:t>(1)主要通道硬化处理，场地必须平整，夯实施工道路。</w:t>
      </w:r>
    </w:p>
    <w:p w14:paraId="49216E6A">
      <w:pPr>
        <w:pStyle w:val="2"/>
        <w:spacing w:before="114" w:line="216" w:lineRule="auto"/>
        <w:ind w:left="1927"/>
        <w:rPr>
          <w:sz w:val="24"/>
          <w:szCs w:val="24"/>
        </w:rPr>
      </w:pPr>
      <w:r>
        <w:rPr>
          <w:spacing w:val="-21"/>
          <w:sz w:val="24"/>
          <w:szCs w:val="24"/>
        </w:rPr>
        <w:t>(2)材料堆码整齐，易扬尘材料以彩条布覆盖。</w:t>
      </w:r>
    </w:p>
    <w:p w14:paraId="77182976">
      <w:pPr>
        <w:pStyle w:val="2"/>
        <w:spacing w:before="121" w:line="217" w:lineRule="auto"/>
        <w:ind w:left="1927"/>
        <w:rPr>
          <w:sz w:val="24"/>
          <w:szCs w:val="24"/>
        </w:rPr>
      </w:pPr>
      <w:r>
        <w:rPr>
          <w:spacing w:val="-21"/>
          <w:sz w:val="24"/>
          <w:szCs w:val="24"/>
        </w:rPr>
        <w:t>(3)施工区内无乱搭乱建，干净整齐。</w:t>
      </w:r>
    </w:p>
    <w:p w14:paraId="45A9B12B">
      <w:pPr>
        <w:pStyle w:val="2"/>
        <w:spacing w:before="119" w:line="218" w:lineRule="auto"/>
        <w:ind w:left="1884"/>
        <w:rPr>
          <w:sz w:val="24"/>
          <w:szCs w:val="24"/>
        </w:rPr>
      </w:pPr>
      <w:r>
        <w:rPr>
          <w:spacing w:val="-17"/>
          <w:sz w:val="24"/>
          <w:szCs w:val="24"/>
        </w:rPr>
        <w:t>4、治理扬尘措施</w:t>
      </w:r>
    </w:p>
    <w:p w14:paraId="740BB442">
      <w:pPr>
        <w:pStyle w:val="2"/>
        <w:spacing w:before="114" w:line="217" w:lineRule="auto"/>
        <w:ind w:left="1927"/>
        <w:rPr>
          <w:sz w:val="24"/>
          <w:szCs w:val="24"/>
        </w:rPr>
      </w:pPr>
      <w:r>
        <w:rPr>
          <w:spacing w:val="-20"/>
          <w:sz w:val="24"/>
          <w:szCs w:val="24"/>
        </w:rPr>
        <w:t>(1)严禁燃烧废物</w:t>
      </w:r>
    </w:p>
    <w:p w14:paraId="106504B5">
      <w:pPr>
        <w:pStyle w:val="2"/>
        <w:spacing w:before="119" w:line="216" w:lineRule="auto"/>
        <w:ind w:left="1927"/>
        <w:rPr>
          <w:sz w:val="24"/>
          <w:szCs w:val="24"/>
        </w:rPr>
      </w:pPr>
      <w:r>
        <w:rPr>
          <w:spacing w:val="-21"/>
          <w:sz w:val="24"/>
          <w:szCs w:val="24"/>
        </w:rPr>
        <w:t>(2)严禁高空抛撒垃圾，防止尘土飞扬，清扫必须湿法</w:t>
      </w:r>
      <w:r>
        <w:rPr>
          <w:spacing w:val="-22"/>
          <w:sz w:val="24"/>
          <w:szCs w:val="24"/>
        </w:rPr>
        <w:t>作业。</w:t>
      </w:r>
    </w:p>
    <w:p w14:paraId="08704D89">
      <w:pPr>
        <w:pStyle w:val="2"/>
        <w:spacing w:before="121" w:line="215" w:lineRule="auto"/>
        <w:ind w:left="1927"/>
        <w:rPr>
          <w:sz w:val="24"/>
          <w:szCs w:val="24"/>
        </w:rPr>
      </w:pPr>
      <w:r>
        <w:rPr>
          <w:spacing w:val="-21"/>
          <w:sz w:val="24"/>
          <w:szCs w:val="24"/>
        </w:rPr>
        <w:t>(3)车辆、机械出工地必须除泥除尘，严禁将泥土、灰</w:t>
      </w:r>
      <w:r>
        <w:rPr>
          <w:spacing w:val="-22"/>
          <w:sz w:val="24"/>
          <w:szCs w:val="24"/>
        </w:rPr>
        <w:t>尘带出工地。</w:t>
      </w:r>
    </w:p>
    <w:p w14:paraId="6E85D8FE">
      <w:pPr>
        <w:pStyle w:val="2"/>
        <w:spacing w:before="118" w:line="216" w:lineRule="auto"/>
        <w:ind w:left="1927"/>
        <w:rPr>
          <w:sz w:val="24"/>
          <w:szCs w:val="24"/>
        </w:rPr>
      </w:pPr>
      <w:r>
        <w:rPr>
          <w:spacing w:val="-21"/>
          <w:sz w:val="24"/>
          <w:szCs w:val="24"/>
        </w:rPr>
        <w:t>(4)运输土方等材料须封盖严密，严禁撒漏。</w:t>
      </w:r>
    </w:p>
    <w:p w14:paraId="33E194B8">
      <w:pPr>
        <w:pStyle w:val="2"/>
        <w:spacing w:before="121" w:line="215" w:lineRule="auto"/>
        <w:ind w:left="1927"/>
        <w:rPr>
          <w:sz w:val="24"/>
          <w:szCs w:val="24"/>
        </w:rPr>
      </w:pPr>
      <w:r>
        <w:rPr>
          <w:spacing w:val="-21"/>
          <w:sz w:val="24"/>
          <w:szCs w:val="24"/>
        </w:rPr>
        <w:t>(5)管道土方堆放集中，存放时间过长要覆盖，短时</w:t>
      </w:r>
      <w:r>
        <w:rPr>
          <w:spacing w:val="-22"/>
          <w:sz w:val="24"/>
          <w:szCs w:val="24"/>
        </w:rPr>
        <w:t>存放采取洒水降尘，设专人负责。</w:t>
      </w:r>
    </w:p>
    <w:p w14:paraId="598DAD50">
      <w:pPr>
        <w:pStyle w:val="2"/>
        <w:spacing w:before="121" w:line="219" w:lineRule="auto"/>
        <w:ind w:left="1927"/>
        <w:rPr>
          <w:sz w:val="24"/>
          <w:szCs w:val="24"/>
        </w:rPr>
      </w:pPr>
      <w:r>
        <w:rPr>
          <w:spacing w:val="-22"/>
          <w:sz w:val="24"/>
          <w:szCs w:val="24"/>
        </w:rPr>
        <w:t>(6)当五级以上刮风天气，停止施工。</w:t>
      </w:r>
    </w:p>
    <w:p w14:paraId="14935CD4">
      <w:pPr>
        <w:pStyle w:val="2"/>
        <w:spacing w:before="113" w:line="217" w:lineRule="auto"/>
        <w:ind w:left="1892"/>
        <w:rPr>
          <w:sz w:val="24"/>
          <w:szCs w:val="24"/>
        </w:rPr>
      </w:pPr>
      <w:r>
        <w:rPr>
          <w:spacing w:val="-20"/>
          <w:sz w:val="24"/>
          <w:szCs w:val="24"/>
        </w:rPr>
        <w:t>施工现场环境保护措施</w:t>
      </w:r>
    </w:p>
    <w:p w14:paraId="2199BF2F">
      <w:pPr>
        <w:pStyle w:val="2"/>
        <w:spacing w:before="118" w:line="308" w:lineRule="auto"/>
        <w:ind w:left="1455" w:right="1353" w:firstLine="446"/>
        <w:rPr>
          <w:sz w:val="24"/>
          <w:szCs w:val="24"/>
        </w:rPr>
      </w:pPr>
      <w:r>
        <w:rPr>
          <w:spacing w:val="-20"/>
          <w:sz w:val="24"/>
          <w:szCs w:val="24"/>
        </w:rPr>
        <w:t>为体现环保施工的新理念，营造良好的施工环境，展示公司施工现场的新风貌，我公司将</w:t>
      </w:r>
      <w:r>
        <w:rPr>
          <w:spacing w:val="-23"/>
          <w:sz w:val="24"/>
          <w:szCs w:val="24"/>
        </w:rPr>
        <w:t>切实承担起总包职责，加强对土建及各专业</w:t>
      </w:r>
      <w:r>
        <w:rPr>
          <w:spacing w:val="-24"/>
          <w:sz w:val="24"/>
          <w:szCs w:val="24"/>
        </w:rPr>
        <w:t>分包方文明施工的管理，采取有力的环境保护措施，</w:t>
      </w:r>
      <w:r>
        <w:rPr>
          <w:spacing w:val="-21"/>
          <w:sz w:val="24"/>
          <w:szCs w:val="24"/>
        </w:rPr>
        <w:t>将施工对周围环境的影响降低到最低程度，创建绿色环保工</w:t>
      </w:r>
      <w:r>
        <w:rPr>
          <w:spacing w:val="-22"/>
          <w:sz w:val="24"/>
          <w:szCs w:val="24"/>
        </w:rPr>
        <w:t>地。</w:t>
      </w:r>
    </w:p>
    <w:p w14:paraId="170B9ECD">
      <w:pPr>
        <w:pStyle w:val="2"/>
        <w:spacing w:line="218" w:lineRule="auto"/>
        <w:ind w:left="1903"/>
        <w:rPr>
          <w:sz w:val="24"/>
          <w:szCs w:val="24"/>
        </w:rPr>
      </w:pPr>
      <w:r>
        <w:rPr>
          <w:spacing w:val="-20"/>
          <w:sz w:val="24"/>
          <w:szCs w:val="24"/>
        </w:rPr>
        <w:t>1、本工程环境管理目标</w:t>
      </w:r>
    </w:p>
    <w:p w14:paraId="1676A933">
      <w:pPr>
        <w:pStyle w:val="2"/>
        <w:spacing w:before="114" w:line="308" w:lineRule="auto"/>
        <w:ind w:left="1456" w:right="1410" w:firstLine="445"/>
        <w:rPr>
          <w:sz w:val="24"/>
          <w:szCs w:val="24"/>
        </w:rPr>
      </w:pPr>
      <w:r>
        <w:rPr>
          <w:spacing w:val="-20"/>
          <w:sz w:val="24"/>
          <w:szCs w:val="24"/>
        </w:rPr>
        <w:t>我公司充分响应“绿色”的理念，环境保护是生态平衡的保证，是我国重要国策，为了减少或避免施工对环境的破坏，采用必要的措施。本工程的环境保护根据建设单位的招标文件、当地环境保护主管部门提出的环境要求，结合周围实际情况，确定本工程施工过程中应予以充分重视的环境因素，以及极端气象条件可能对周围环境产生重大影响的环境因素，执行“以防</w:t>
      </w:r>
      <w:r>
        <w:rPr>
          <w:spacing w:val="-18"/>
          <w:sz w:val="24"/>
          <w:szCs w:val="24"/>
        </w:rPr>
        <w:t>为主、防治结合”的方针。严格按照《GB/T24000-ISO14001环境管理系</w:t>
      </w:r>
      <w:r>
        <w:rPr>
          <w:spacing w:val="-19"/>
          <w:sz w:val="24"/>
          <w:szCs w:val="24"/>
        </w:rPr>
        <w:t>列标准》执行，降低能</w:t>
      </w:r>
      <w:r>
        <w:rPr>
          <w:spacing w:val="-20"/>
          <w:sz w:val="24"/>
          <w:szCs w:val="24"/>
        </w:rPr>
        <w:t>源消耗，最大限度地保持环境的可持续发展，杜绝生产、生活中产生的各类污染源外泄，防止</w:t>
      </w:r>
      <w:r>
        <w:rPr>
          <w:spacing w:val="-21"/>
          <w:sz w:val="24"/>
          <w:szCs w:val="24"/>
        </w:rPr>
        <w:t>或消除造成对环境的破坏和对社会的不良影响，保证职工的身</w:t>
      </w:r>
      <w:r>
        <w:rPr>
          <w:spacing w:val="-22"/>
          <w:sz w:val="24"/>
          <w:szCs w:val="24"/>
        </w:rPr>
        <w:t>体健康。</w:t>
      </w:r>
    </w:p>
    <w:p w14:paraId="28E8AB47">
      <w:pPr>
        <w:pStyle w:val="2"/>
        <w:spacing w:before="3" w:line="307" w:lineRule="auto"/>
        <w:ind w:left="1455" w:right="1410" w:firstLine="446"/>
        <w:jc w:val="both"/>
        <w:rPr>
          <w:sz w:val="24"/>
          <w:szCs w:val="24"/>
        </w:rPr>
      </w:pPr>
      <w:r>
        <w:rPr>
          <w:spacing w:val="-20"/>
          <w:sz w:val="24"/>
          <w:szCs w:val="24"/>
        </w:rPr>
        <w:t>我司将做好治理污染的预防措施，要求预防为主的观念，并贯穿于企业的全过程，采用防</w:t>
      </w:r>
      <w:r>
        <w:rPr>
          <w:spacing w:val="-21"/>
          <w:sz w:val="24"/>
          <w:szCs w:val="24"/>
        </w:rPr>
        <w:t>止、减少或控制污染的各个过程、管理、材料或产品。严格遵循ISO14000标准规定的要求，使环境管理贯穿到企业各个环节的控制。</w:t>
      </w:r>
    </w:p>
    <w:p w14:paraId="64973A9D">
      <w:pPr>
        <w:pStyle w:val="2"/>
        <w:spacing w:line="216" w:lineRule="auto"/>
        <w:ind w:left="1892"/>
        <w:rPr>
          <w:sz w:val="24"/>
          <w:szCs w:val="24"/>
        </w:rPr>
      </w:pPr>
      <w:r>
        <w:rPr>
          <w:spacing w:val="-21"/>
          <w:sz w:val="24"/>
          <w:szCs w:val="24"/>
        </w:rPr>
        <w:t>针对施工现场重大环境因素清单内容，确定本项目的环境</w:t>
      </w:r>
      <w:r>
        <w:rPr>
          <w:spacing w:val="-22"/>
          <w:sz w:val="24"/>
          <w:szCs w:val="24"/>
        </w:rPr>
        <w:t>目标和指标如下：</w:t>
      </w:r>
    </w:p>
    <w:p w14:paraId="35DEC8D9">
      <w:pPr>
        <w:pStyle w:val="2"/>
        <w:spacing w:before="120" w:line="218" w:lineRule="auto"/>
        <w:ind w:left="1903"/>
        <w:rPr>
          <w:sz w:val="24"/>
          <w:szCs w:val="24"/>
        </w:rPr>
      </w:pPr>
      <w:r>
        <w:rPr>
          <w:spacing w:val="-16"/>
          <w:sz w:val="24"/>
          <w:szCs w:val="24"/>
        </w:rPr>
        <w:t>1.1环境目标</w:t>
      </w:r>
    </w:p>
    <w:p w14:paraId="387CBFD5">
      <w:pPr>
        <w:pStyle w:val="2"/>
        <w:spacing w:before="117" w:line="217" w:lineRule="auto"/>
        <w:ind w:left="1903"/>
        <w:rPr>
          <w:sz w:val="24"/>
          <w:szCs w:val="24"/>
        </w:rPr>
      </w:pPr>
      <w:r>
        <w:rPr>
          <w:spacing w:val="-20"/>
          <w:sz w:val="24"/>
          <w:szCs w:val="24"/>
        </w:rPr>
        <w:t>1.1.1废气：废气排放符合国家废水排放达标。</w:t>
      </w:r>
    </w:p>
    <w:p w14:paraId="329753F6">
      <w:pPr>
        <w:pStyle w:val="2"/>
        <w:spacing w:before="116" w:line="217" w:lineRule="auto"/>
        <w:ind w:left="1903"/>
        <w:rPr>
          <w:sz w:val="24"/>
          <w:szCs w:val="24"/>
        </w:rPr>
      </w:pPr>
      <w:r>
        <w:rPr>
          <w:spacing w:val="-20"/>
          <w:sz w:val="24"/>
          <w:szCs w:val="24"/>
        </w:rPr>
        <w:t>1.1.2废水：废水排放符合国家废水排放达标。</w:t>
      </w:r>
    </w:p>
    <w:p w14:paraId="6F4BC413">
      <w:pPr>
        <w:spacing w:line="217" w:lineRule="auto"/>
        <w:rPr>
          <w:sz w:val="24"/>
          <w:szCs w:val="24"/>
        </w:rPr>
        <w:sectPr>
          <w:footerReference r:id="rId362" w:type="default"/>
          <w:pgSz w:w="11907" w:h="16839"/>
          <w:pgMar w:top="933" w:right="4" w:bottom="1038" w:left="0" w:header="478" w:footer="357" w:gutter="0"/>
          <w:pgBorders>
            <w:top w:val="none" w:sz="0" w:space="0"/>
            <w:left w:val="none" w:sz="0" w:space="0"/>
            <w:bottom w:val="none" w:sz="0" w:space="0"/>
            <w:right w:val="none" w:sz="0" w:space="0"/>
          </w:pgBorders>
          <w:cols w:space="720" w:num="1"/>
        </w:sectPr>
      </w:pPr>
    </w:p>
    <w:p w14:paraId="200CC5D6">
      <w:pPr>
        <w:spacing w:line="271" w:lineRule="auto"/>
        <w:rPr>
          <w:rFonts w:ascii="Arial"/>
          <w:sz w:val="21"/>
        </w:rPr>
      </w:pPr>
    </w:p>
    <w:p w14:paraId="5EC3225A">
      <w:pPr>
        <w:pStyle w:val="2"/>
        <w:spacing w:before="78" w:line="218" w:lineRule="auto"/>
        <w:ind w:left="1903"/>
        <w:rPr>
          <w:sz w:val="24"/>
          <w:szCs w:val="24"/>
        </w:rPr>
      </w:pPr>
      <w:r>
        <w:rPr>
          <w:spacing w:val="-20"/>
          <w:sz w:val="24"/>
          <w:szCs w:val="24"/>
        </w:rPr>
        <w:t>1.1.3噪声：现场噪声排放达到规定标准。</w:t>
      </w:r>
    </w:p>
    <w:p w14:paraId="4C903DA8">
      <w:pPr>
        <w:pStyle w:val="2"/>
        <w:spacing w:before="117" w:line="219" w:lineRule="auto"/>
        <w:ind w:left="1903"/>
        <w:rPr>
          <w:sz w:val="24"/>
          <w:szCs w:val="24"/>
        </w:rPr>
      </w:pPr>
      <w:r>
        <w:rPr>
          <w:spacing w:val="-20"/>
          <w:sz w:val="24"/>
          <w:szCs w:val="24"/>
        </w:rPr>
        <w:t>1.1.4扬尘：现场无扬尘、运输时无飞土。</w:t>
      </w:r>
    </w:p>
    <w:p w14:paraId="735DAAAD">
      <w:pPr>
        <w:pStyle w:val="2"/>
        <w:spacing w:before="113" w:line="217" w:lineRule="auto"/>
        <w:ind w:left="1903"/>
        <w:rPr>
          <w:sz w:val="24"/>
          <w:szCs w:val="24"/>
        </w:rPr>
      </w:pPr>
      <w:r>
        <w:rPr>
          <w:spacing w:val="-20"/>
          <w:sz w:val="24"/>
          <w:szCs w:val="24"/>
        </w:rPr>
        <w:t>1.1.5废弃物：符合环保要求。</w:t>
      </w:r>
    </w:p>
    <w:p w14:paraId="22EC5CFB">
      <w:pPr>
        <w:pStyle w:val="2"/>
        <w:spacing w:before="119" w:line="218" w:lineRule="auto"/>
        <w:ind w:left="1903"/>
        <w:rPr>
          <w:sz w:val="24"/>
          <w:szCs w:val="24"/>
        </w:rPr>
      </w:pPr>
      <w:r>
        <w:rPr>
          <w:spacing w:val="-19"/>
          <w:sz w:val="24"/>
          <w:szCs w:val="24"/>
        </w:rPr>
        <w:t>1.1.6光污染：施工现场夜间无光污染。</w:t>
      </w:r>
    </w:p>
    <w:p w14:paraId="649709D6">
      <w:pPr>
        <w:pStyle w:val="2"/>
        <w:spacing w:before="117" w:line="217" w:lineRule="auto"/>
        <w:ind w:left="1903"/>
        <w:rPr>
          <w:sz w:val="24"/>
          <w:szCs w:val="24"/>
        </w:rPr>
      </w:pPr>
      <w:r>
        <w:rPr>
          <w:spacing w:val="-18"/>
          <w:sz w:val="24"/>
          <w:szCs w:val="24"/>
        </w:rPr>
        <w:t>1.2环境目标分析</w:t>
      </w:r>
    </w:p>
    <w:p w14:paraId="37636516">
      <w:pPr>
        <w:pStyle w:val="2"/>
        <w:spacing w:before="117" w:line="308" w:lineRule="auto"/>
        <w:ind w:left="1469" w:right="1409" w:firstLine="424"/>
        <w:rPr>
          <w:sz w:val="24"/>
          <w:szCs w:val="24"/>
        </w:rPr>
      </w:pPr>
      <w:r>
        <w:rPr>
          <w:spacing w:val="-20"/>
          <w:sz w:val="24"/>
          <w:szCs w:val="24"/>
        </w:rPr>
        <w:t>本工程施工贯穿土方、基础、管道安装、道路全过程，所以针对本工程各个施工阶段的特</w:t>
      </w:r>
      <w:r>
        <w:rPr>
          <w:spacing w:val="-24"/>
          <w:sz w:val="24"/>
          <w:szCs w:val="24"/>
        </w:rPr>
        <w:t>点，经分析有以下需控制和保护的几个方面：</w:t>
      </w:r>
    </w:p>
    <w:p w14:paraId="549C494F">
      <w:pPr>
        <w:pStyle w:val="2"/>
        <w:spacing w:line="215" w:lineRule="auto"/>
        <w:ind w:left="1903"/>
        <w:rPr>
          <w:sz w:val="24"/>
          <w:szCs w:val="24"/>
        </w:rPr>
      </w:pPr>
      <w:r>
        <w:rPr>
          <w:spacing w:val="-21"/>
          <w:sz w:val="24"/>
          <w:szCs w:val="24"/>
        </w:rPr>
        <w:t>1.2.1土方、基础对于大气污染的控制，主要是在防烟尘、粉尘方面（如水泥干粉等</w:t>
      </w:r>
      <w:r>
        <w:rPr>
          <w:spacing w:val="-5"/>
          <w:sz w:val="24"/>
          <w:szCs w:val="24"/>
        </w:rPr>
        <w:t>）；</w:t>
      </w:r>
    </w:p>
    <w:p w14:paraId="09911BDE">
      <w:pPr>
        <w:pStyle w:val="2"/>
        <w:spacing w:before="120" w:line="262" w:lineRule="auto"/>
        <w:ind w:left="1456" w:right="1411" w:firstLine="447"/>
        <w:rPr>
          <w:sz w:val="24"/>
          <w:szCs w:val="24"/>
        </w:rPr>
      </w:pPr>
      <w:r>
        <w:rPr>
          <w:spacing w:val="-23"/>
          <w:sz w:val="24"/>
          <w:szCs w:val="24"/>
        </w:rPr>
        <w:t>1.2.2作为本工程环保内容中的重要方面，治理工程施工中的扬尘污染是防治沙尘暴的重要</w:t>
      </w:r>
      <w:r>
        <w:rPr>
          <w:spacing w:val="-21"/>
          <w:sz w:val="24"/>
          <w:szCs w:val="24"/>
        </w:rPr>
        <w:t>措施，注意天气预报，采用安全绿网覆盖，确保环境不受影</w:t>
      </w:r>
      <w:r>
        <w:rPr>
          <w:spacing w:val="-22"/>
          <w:sz w:val="24"/>
          <w:szCs w:val="24"/>
        </w:rPr>
        <w:t>响。</w:t>
      </w:r>
    </w:p>
    <w:p w14:paraId="0F179E47">
      <w:pPr>
        <w:pStyle w:val="2"/>
        <w:spacing w:before="120" w:line="215" w:lineRule="auto"/>
        <w:ind w:left="1903"/>
        <w:rPr>
          <w:sz w:val="24"/>
          <w:szCs w:val="24"/>
        </w:rPr>
      </w:pPr>
      <w:r>
        <w:rPr>
          <w:spacing w:val="-21"/>
          <w:sz w:val="24"/>
          <w:szCs w:val="24"/>
        </w:rPr>
        <w:t>1.2.3对于水污染的控制，主要是在防止生活污水和生产污水的方面；</w:t>
      </w:r>
    </w:p>
    <w:p w14:paraId="7E66912F">
      <w:pPr>
        <w:pStyle w:val="2"/>
        <w:spacing w:before="119" w:line="263" w:lineRule="auto"/>
        <w:ind w:left="1460" w:right="1411" w:firstLine="443"/>
        <w:rPr>
          <w:sz w:val="24"/>
          <w:szCs w:val="24"/>
        </w:rPr>
      </w:pPr>
      <w:r>
        <w:rPr>
          <w:spacing w:val="-23"/>
          <w:sz w:val="24"/>
          <w:szCs w:val="24"/>
        </w:rPr>
        <w:t>1.2.4基础、道路对于固体废物的控制，主要是在城建渣土和商业固体废物（如建材的外包装等）的方面；</w:t>
      </w:r>
    </w:p>
    <w:p w14:paraId="480899EF">
      <w:pPr>
        <w:pStyle w:val="2"/>
        <w:spacing w:before="118" w:line="262" w:lineRule="auto"/>
        <w:ind w:left="1454" w:right="1409" w:firstLine="448"/>
        <w:rPr>
          <w:sz w:val="24"/>
          <w:szCs w:val="24"/>
        </w:rPr>
      </w:pPr>
      <w:r>
        <w:rPr>
          <w:spacing w:val="-23"/>
          <w:sz w:val="24"/>
          <w:szCs w:val="24"/>
        </w:rPr>
        <w:t>1.2.5基础、管道安装、路面等对于噪音的控制，主要是在对挖土机械、地面机械运作、混</w:t>
      </w:r>
      <w:r>
        <w:rPr>
          <w:spacing w:val="-21"/>
          <w:sz w:val="24"/>
          <w:szCs w:val="24"/>
        </w:rPr>
        <w:t>凝土施工振捣等各类施工噪音的方面；</w:t>
      </w:r>
    </w:p>
    <w:p w14:paraId="0C248A80">
      <w:pPr>
        <w:pStyle w:val="2"/>
        <w:spacing w:before="118" w:line="215" w:lineRule="auto"/>
        <w:ind w:left="1903"/>
        <w:rPr>
          <w:sz w:val="24"/>
          <w:szCs w:val="24"/>
        </w:rPr>
      </w:pPr>
      <w:r>
        <w:rPr>
          <w:spacing w:val="-20"/>
          <w:sz w:val="24"/>
          <w:szCs w:val="24"/>
        </w:rPr>
        <w:t>1.2.6对于其它方面环境污染的控制，主要是在材料的选用上。</w:t>
      </w:r>
    </w:p>
    <w:p w14:paraId="2F8AC0AE">
      <w:pPr>
        <w:pStyle w:val="2"/>
        <w:spacing w:before="120" w:line="217" w:lineRule="auto"/>
        <w:ind w:left="1893"/>
        <w:rPr>
          <w:sz w:val="24"/>
          <w:szCs w:val="24"/>
        </w:rPr>
      </w:pPr>
      <w:r>
        <w:rPr>
          <w:spacing w:val="-20"/>
          <w:sz w:val="24"/>
          <w:szCs w:val="24"/>
        </w:rPr>
        <w:t>（二）环境意识培训保证措施</w:t>
      </w:r>
    </w:p>
    <w:p w14:paraId="5A415FFF">
      <w:pPr>
        <w:pStyle w:val="2"/>
        <w:spacing w:before="117" w:line="219" w:lineRule="auto"/>
        <w:ind w:left="1903"/>
        <w:rPr>
          <w:sz w:val="24"/>
          <w:szCs w:val="24"/>
        </w:rPr>
      </w:pPr>
      <w:r>
        <w:rPr>
          <w:spacing w:val="-16"/>
          <w:sz w:val="24"/>
          <w:szCs w:val="24"/>
        </w:rPr>
        <w:t>1.培训方向</w:t>
      </w:r>
    </w:p>
    <w:p w14:paraId="66946912">
      <w:pPr>
        <w:pStyle w:val="2"/>
        <w:spacing w:before="115" w:line="308" w:lineRule="auto"/>
        <w:ind w:left="1459" w:right="1409" w:firstLine="440"/>
        <w:rPr>
          <w:sz w:val="24"/>
          <w:szCs w:val="24"/>
        </w:rPr>
      </w:pPr>
      <w:r>
        <w:rPr>
          <w:spacing w:val="-20"/>
          <w:sz w:val="24"/>
          <w:szCs w:val="24"/>
        </w:rPr>
        <w:t>主要是提高项目部全体人员的环境意识，提高主管人员的工作技能，明确其工作质量对环</w:t>
      </w:r>
      <w:r>
        <w:rPr>
          <w:spacing w:val="-21"/>
          <w:sz w:val="24"/>
          <w:szCs w:val="24"/>
        </w:rPr>
        <w:t>境可能造成的所有影响，并提高各级管理人员环境</w:t>
      </w:r>
      <w:r>
        <w:rPr>
          <w:spacing w:val="-22"/>
          <w:sz w:val="24"/>
          <w:szCs w:val="24"/>
        </w:rPr>
        <w:t>管理能力。</w:t>
      </w:r>
    </w:p>
    <w:p w14:paraId="28AB655E">
      <w:pPr>
        <w:pStyle w:val="2"/>
        <w:spacing w:line="218" w:lineRule="auto"/>
        <w:ind w:left="1888"/>
        <w:rPr>
          <w:sz w:val="24"/>
          <w:szCs w:val="24"/>
        </w:rPr>
      </w:pPr>
      <w:r>
        <w:rPr>
          <w:spacing w:val="-14"/>
          <w:sz w:val="24"/>
          <w:szCs w:val="24"/>
        </w:rPr>
        <w:t>2.培训内容</w:t>
      </w:r>
    </w:p>
    <w:p w14:paraId="6C4C305A">
      <w:pPr>
        <w:pStyle w:val="2"/>
        <w:spacing w:before="116" w:line="308" w:lineRule="auto"/>
        <w:ind w:left="1456" w:right="1409" w:firstLine="438"/>
        <w:rPr>
          <w:sz w:val="24"/>
          <w:szCs w:val="24"/>
        </w:rPr>
      </w:pPr>
      <w:r>
        <w:rPr>
          <w:spacing w:val="-20"/>
          <w:sz w:val="24"/>
          <w:szCs w:val="24"/>
        </w:rPr>
        <w:t>对全体员工进行环境方针、环境目标、环境意识和培训岗位职责的培训；对各级管理人员进行各种法律、法规、行政法规、环境管理手册、程序文件、管理方案、运行标准和其它要求和培训；对环境管理体系内审员进行相关的环境管理体系审核培训；对监测人员进行监测方法和实验操作培训，并在适当进行实习，增强操作能力；对关键岗位人员进行相关程序文件和作</w:t>
      </w:r>
      <w:r>
        <w:rPr>
          <w:spacing w:val="-19"/>
          <w:sz w:val="24"/>
          <w:szCs w:val="24"/>
        </w:rPr>
        <w:t>业指导书的培训，包括应急准备与响应要求的作用和职责(如对库房保管</w:t>
      </w:r>
      <w:r>
        <w:rPr>
          <w:spacing w:val="-20"/>
          <w:sz w:val="24"/>
          <w:szCs w:val="24"/>
        </w:rPr>
        <w:t>员的培训)；对材料采购人员进行材料环保要求培训；对劳务供方人员进行环境要求的培训。对新员工进行环境意识的培训；其它与环境有关培训。</w:t>
      </w:r>
    </w:p>
    <w:p w14:paraId="700D88B5">
      <w:pPr>
        <w:pStyle w:val="2"/>
        <w:spacing w:line="218" w:lineRule="auto"/>
        <w:ind w:left="1890"/>
        <w:rPr>
          <w:sz w:val="24"/>
          <w:szCs w:val="24"/>
        </w:rPr>
      </w:pPr>
      <w:r>
        <w:rPr>
          <w:spacing w:val="-14"/>
          <w:sz w:val="24"/>
          <w:szCs w:val="24"/>
        </w:rPr>
        <w:t>3.培训计划</w:t>
      </w:r>
    </w:p>
    <w:p w14:paraId="201F5926">
      <w:pPr>
        <w:pStyle w:val="2"/>
        <w:spacing w:before="115" w:line="215" w:lineRule="auto"/>
        <w:ind w:left="1901"/>
        <w:rPr>
          <w:sz w:val="24"/>
          <w:szCs w:val="24"/>
        </w:rPr>
      </w:pPr>
      <w:r>
        <w:rPr>
          <w:spacing w:val="-22"/>
          <w:sz w:val="24"/>
          <w:szCs w:val="24"/>
        </w:rPr>
        <w:t>我公司将在开工前制定本工程的培训计划，并组织安排人员进行培训；并形成书面文档。</w:t>
      </w:r>
    </w:p>
    <w:p w14:paraId="23F7A45D">
      <w:pPr>
        <w:pStyle w:val="2"/>
        <w:spacing w:before="121" w:line="217" w:lineRule="auto"/>
        <w:ind w:left="1893"/>
        <w:rPr>
          <w:sz w:val="24"/>
          <w:szCs w:val="24"/>
        </w:rPr>
      </w:pPr>
      <w:r>
        <w:rPr>
          <w:spacing w:val="-20"/>
          <w:sz w:val="24"/>
          <w:szCs w:val="24"/>
        </w:rPr>
        <w:t>（三）环境保证体系及保证措施</w:t>
      </w:r>
    </w:p>
    <w:p w14:paraId="2077718C">
      <w:pPr>
        <w:pStyle w:val="2"/>
        <w:spacing w:before="119" w:line="218" w:lineRule="auto"/>
        <w:ind w:left="1903"/>
        <w:rPr>
          <w:sz w:val="24"/>
          <w:szCs w:val="24"/>
        </w:rPr>
      </w:pPr>
      <w:r>
        <w:rPr>
          <w:spacing w:val="-20"/>
          <w:sz w:val="24"/>
          <w:szCs w:val="24"/>
        </w:rPr>
        <w:t>1、扬尘污染的防治措施</w:t>
      </w:r>
    </w:p>
    <w:p w14:paraId="2F337EDB">
      <w:pPr>
        <w:pStyle w:val="2"/>
        <w:spacing w:before="114" w:line="308" w:lineRule="auto"/>
        <w:ind w:left="1457" w:right="1414" w:firstLine="437"/>
        <w:rPr>
          <w:sz w:val="24"/>
          <w:szCs w:val="24"/>
        </w:rPr>
      </w:pPr>
      <w:r>
        <w:rPr>
          <w:spacing w:val="-20"/>
          <w:sz w:val="24"/>
          <w:szCs w:val="24"/>
        </w:rPr>
        <w:t>产生城市尘污染一个重要因素是当地的扬尘，即由城市建筑施工、裸露地面、地面尘土、渣土堆等方面的尘土在风力和机动车跑动中形成的扬尘。因此在本工程施工过程中，必须采取</w:t>
      </w:r>
      <w:r>
        <w:rPr>
          <w:spacing w:val="-21"/>
          <w:sz w:val="24"/>
          <w:szCs w:val="24"/>
        </w:rPr>
        <w:t>得力措施，管住因人为造成的建筑施工、裸露地面等产生的</w:t>
      </w:r>
      <w:r>
        <w:rPr>
          <w:spacing w:val="-22"/>
          <w:sz w:val="24"/>
          <w:szCs w:val="24"/>
        </w:rPr>
        <w:t>扬尘污染。</w:t>
      </w:r>
    </w:p>
    <w:p w14:paraId="32F5DDFF">
      <w:pPr>
        <w:pStyle w:val="2"/>
        <w:spacing w:line="215" w:lineRule="auto"/>
        <w:ind w:left="1893"/>
        <w:rPr>
          <w:sz w:val="24"/>
          <w:szCs w:val="24"/>
        </w:rPr>
      </w:pPr>
      <w:r>
        <w:rPr>
          <w:spacing w:val="-20"/>
          <w:sz w:val="24"/>
          <w:szCs w:val="24"/>
        </w:rPr>
        <w:t>（1）加强对建筑施工工地和建材运输车辆的管理。现场设置不低于2.5米高的围墙，同时</w:t>
      </w:r>
    </w:p>
    <w:p w14:paraId="02F9A75F">
      <w:pPr>
        <w:spacing w:line="215" w:lineRule="auto"/>
        <w:rPr>
          <w:sz w:val="24"/>
          <w:szCs w:val="24"/>
        </w:rPr>
        <w:sectPr>
          <w:footerReference r:id="rId363" w:type="default"/>
          <w:pgSz w:w="11907" w:h="16839"/>
          <w:pgMar w:top="933" w:right="4" w:bottom="1038" w:left="0" w:header="478" w:footer="357" w:gutter="0"/>
          <w:pgBorders>
            <w:top w:val="none" w:sz="0" w:space="0"/>
            <w:left w:val="none" w:sz="0" w:space="0"/>
            <w:bottom w:val="none" w:sz="0" w:space="0"/>
            <w:right w:val="none" w:sz="0" w:space="0"/>
          </w:pgBorders>
          <w:cols w:space="720" w:num="1"/>
        </w:sectPr>
      </w:pPr>
    </w:p>
    <w:p w14:paraId="4B20DEC2">
      <w:pPr>
        <w:spacing w:line="270" w:lineRule="auto"/>
        <w:rPr>
          <w:rFonts w:ascii="Arial"/>
          <w:sz w:val="21"/>
        </w:rPr>
      </w:pPr>
    </w:p>
    <w:p w14:paraId="6F115C2D">
      <w:pPr>
        <w:pStyle w:val="2"/>
        <w:spacing w:before="78" w:line="308" w:lineRule="auto"/>
        <w:ind w:left="1457" w:right="1414"/>
        <w:jc w:val="both"/>
        <w:rPr>
          <w:sz w:val="24"/>
          <w:szCs w:val="24"/>
        </w:rPr>
      </w:pPr>
      <w:r>
        <w:rPr>
          <w:spacing w:val="-20"/>
          <w:sz w:val="24"/>
          <w:szCs w:val="24"/>
        </w:rPr>
        <w:t>对工地内可能散发粉尘的堆料等必须采取覆盖或撒水等防护措施，运输粉状物料的车辆必须密封等。基础结构施工前，对现场道路进行硬化处理，临时未硬化的用草垫铺路；材料、模板存</w:t>
      </w:r>
      <w:r>
        <w:rPr>
          <w:spacing w:val="-21"/>
          <w:sz w:val="24"/>
          <w:szCs w:val="24"/>
        </w:rPr>
        <w:t>放区平整夯实，局部场地进行绿化美化，最大限度减少裸露</w:t>
      </w:r>
      <w:r>
        <w:rPr>
          <w:spacing w:val="-22"/>
          <w:sz w:val="24"/>
          <w:szCs w:val="24"/>
        </w:rPr>
        <w:t>地面，力争做到“黄土不露天”。</w:t>
      </w:r>
    </w:p>
    <w:p w14:paraId="733B975F">
      <w:pPr>
        <w:pStyle w:val="2"/>
        <w:spacing w:before="4" w:line="289" w:lineRule="auto"/>
        <w:ind w:left="1455" w:right="1351" w:firstLine="437"/>
        <w:rPr>
          <w:sz w:val="24"/>
          <w:szCs w:val="24"/>
        </w:rPr>
      </w:pPr>
      <w:r>
        <w:rPr>
          <w:spacing w:val="-26"/>
          <w:sz w:val="24"/>
          <w:szCs w:val="24"/>
        </w:rPr>
        <w:t>（2）工地内每天施工完毕后，成立专职的场容清洁队，配备专用清洁设备，每日洒水保洁，</w:t>
      </w:r>
      <w:r>
        <w:rPr>
          <w:spacing w:val="-19"/>
          <w:sz w:val="24"/>
          <w:szCs w:val="24"/>
        </w:rPr>
        <w:t>对运送至现场或由现场运走的运载物进行喷水洒水或进行覆盖，每天</w:t>
      </w:r>
      <w:r>
        <w:rPr>
          <w:spacing w:val="-20"/>
          <w:sz w:val="24"/>
          <w:szCs w:val="24"/>
        </w:rPr>
        <w:t>定时清洁工地附近通道。做到旱季注重道路洒水养护，降低粉尘对环境的污染，雨季做好沟渠疏通，防止对道路造成污染。施工现场出入口设置冲洗设施，采用车辆清洗水回用处理装置，清洁每一辆离开工地的车辆，以免污染市内环境。</w:t>
      </w:r>
    </w:p>
    <w:p w14:paraId="6F71F896">
      <w:pPr>
        <w:pStyle w:val="2"/>
        <w:spacing w:before="112" w:line="293" w:lineRule="auto"/>
        <w:ind w:left="1456" w:right="1343" w:firstLine="436"/>
        <w:rPr>
          <w:sz w:val="24"/>
          <w:szCs w:val="24"/>
        </w:rPr>
      </w:pPr>
      <w:r>
        <w:rPr>
          <w:spacing w:val="-26"/>
          <w:sz w:val="24"/>
          <w:szCs w:val="24"/>
        </w:rPr>
        <w:t>（3）工地出口处还要设置冲洗设备，以确保车辆不带泥土驶出工地；拆迁工地要随时拆迁、</w:t>
      </w:r>
      <w:r>
        <w:rPr>
          <w:spacing w:val="-20"/>
          <w:sz w:val="24"/>
          <w:szCs w:val="24"/>
        </w:rPr>
        <w:t>随时清运垃圾，散装水泥、砂、石等散状物料的运输采用密闭式运输车，根据现场平面布置图装卸散状物料，并采取降尘措施；现场内土方、砂、石等散状料用密目安全网满铺覆盖，水泥入库存放；建筑物内的施工垃圾清运采用封闭式容器吊运，设密闭式垃圾站，垃圾分类存放并</w:t>
      </w:r>
      <w:r>
        <w:rPr>
          <w:spacing w:val="-19"/>
          <w:sz w:val="24"/>
          <w:szCs w:val="24"/>
        </w:rPr>
        <w:t>及时清运消纳(其中渣土必须在三日内清运)，运输车辆出施工现场前要将车轮</w:t>
      </w:r>
      <w:r>
        <w:rPr>
          <w:spacing w:val="-20"/>
          <w:sz w:val="24"/>
          <w:szCs w:val="24"/>
        </w:rPr>
        <w:t>、槽帮、混凝土</w:t>
      </w:r>
      <w:r>
        <w:rPr>
          <w:spacing w:val="-21"/>
          <w:sz w:val="24"/>
          <w:szCs w:val="24"/>
        </w:rPr>
        <w:t>罐车下料斗等冲洗干净；做好对司机的宣传工作，并签订</w:t>
      </w:r>
      <w:r>
        <w:rPr>
          <w:spacing w:val="-22"/>
          <w:sz w:val="24"/>
          <w:szCs w:val="24"/>
        </w:rPr>
        <w:t>防止遗洒责任书。</w:t>
      </w:r>
    </w:p>
    <w:p w14:paraId="5BEABA72">
      <w:pPr>
        <w:pStyle w:val="2"/>
        <w:spacing w:before="118" w:line="262" w:lineRule="auto"/>
        <w:ind w:left="1459" w:right="1412" w:firstLine="433"/>
        <w:rPr>
          <w:sz w:val="24"/>
          <w:szCs w:val="24"/>
        </w:rPr>
      </w:pPr>
      <w:r>
        <w:rPr>
          <w:spacing w:val="-22"/>
          <w:sz w:val="24"/>
          <w:szCs w:val="24"/>
        </w:rPr>
        <w:t>（4）遇有四级风力以上天气不得进行土方工程施工；与区市容部门签订包保责</w:t>
      </w:r>
      <w:r>
        <w:rPr>
          <w:spacing w:val="-23"/>
          <w:sz w:val="24"/>
          <w:szCs w:val="24"/>
        </w:rPr>
        <w:t>任书，请市</w:t>
      </w:r>
      <w:r>
        <w:rPr>
          <w:spacing w:val="-20"/>
          <w:sz w:val="24"/>
          <w:szCs w:val="24"/>
        </w:rPr>
        <w:t>容环卫部门给予监督检查。</w:t>
      </w:r>
    </w:p>
    <w:p w14:paraId="0B657C2F">
      <w:pPr>
        <w:pStyle w:val="2"/>
        <w:spacing w:before="120" w:line="219" w:lineRule="auto"/>
        <w:ind w:left="1893"/>
        <w:rPr>
          <w:sz w:val="24"/>
          <w:szCs w:val="24"/>
        </w:rPr>
      </w:pPr>
      <w:r>
        <w:rPr>
          <w:spacing w:val="-20"/>
          <w:sz w:val="24"/>
          <w:szCs w:val="24"/>
        </w:rPr>
        <w:t>（5）对进出场道路，不乱挖乱弃。</w:t>
      </w:r>
    </w:p>
    <w:p w14:paraId="5DAA4D64">
      <w:pPr>
        <w:pStyle w:val="2"/>
        <w:spacing w:before="114" w:line="218" w:lineRule="auto"/>
        <w:ind w:left="1893"/>
        <w:rPr>
          <w:sz w:val="24"/>
          <w:szCs w:val="24"/>
        </w:rPr>
      </w:pPr>
      <w:r>
        <w:rPr>
          <w:spacing w:val="-21"/>
          <w:sz w:val="24"/>
          <w:szCs w:val="24"/>
        </w:rPr>
        <w:t>（6）采用商品砂浆，防止砂浆搅拌时的烟尘、粉尘污染。</w:t>
      </w:r>
    </w:p>
    <w:p w14:paraId="5453DF9D">
      <w:pPr>
        <w:pStyle w:val="2"/>
        <w:spacing w:before="118" w:line="215" w:lineRule="auto"/>
        <w:ind w:left="1888"/>
        <w:rPr>
          <w:sz w:val="24"/>
          <w:szCs w:val="24"/>
        </w:rPr>
      </w:pPr>
      <w:r>
        <w:rPr>
          <w:spacing w:val="-18"/>
          <w:sz w:val="24"/>
          <w:szCs w:val="24"/>
        </w:rPr>
        <w:t>2、汽车废气的控制</w:t>
      </w:r>
    </w:p>
    <w:p w14:paraId="42DBA9E3">
      <w:pPr>
        <w:pStyle w:val="2"/>
        <w:spacing w:before="122" w:line="306" w:lineRule="auto"/>
        <w:ind w:left="1453" w:right="1409" w:firstLine="441"/>
        <w:rPr>
          <w:sz w:val="24"/>
          <w:szCs w:val="24"/>
        </w:rPr>
      </w:pPr>
      <w:r>
        <w:rPr>
          <w:spacing w:val="-20"/>
          <w:sz w:val="24"/>
          <w:szCs w:val="24"/>
        </w:rPr>
        <w:t>减少使用污染排放高的各类车辆，施工机械、车辆要进行日常维护、维修及年检，使尾气</w:t>
      </w:r>
      <w:r>
        <w:rPr>
          <w:spacing w:val="-21"/>
          <w:sz w:val="24"/>
          <w:szCs w:val="24"/>
        </w:rPr>
        <w:t>排放符合环保要求；要求员工选用方便的公共交通工具，短距离步</w:t>
      </w:r>
      <w:r>
        <w:rPr>
          <w:spacing w:val="-22"/>
          <w:sz w:val="24"/>
          <w:szCs w:val="24"/>
        </w:rPr>
        <w:t>行或骑自行车。</w:t>
      </w:r>
    </w:p>
    <w:p w14:paraId="09320E80">
      <w:pPr>
        <w:pStyle w:val="2"/>
        <w:spacing w:before="3" w:line="218" w:lineRule="auto"/>
        <w:ind w:left="1890"/>
        <w:rPr>
          <w:sz w:val="24"/>
          <w:szCs w:val="24"/>
        </w:rPr>
      </w:pPr>
      <w:r>
        <w:rPr>
          <w:spacing w:val="-18"/>
          <w:sz w:val="24"/>
          <w:szCs w:val="24"/>
        </w:rPr>
        <w:t>3、水污染的防治措施</w:t>
      </w:r>
    </w:p>
    <w:p w14:paraId="060505DD">
      <w:pPr>
        <w:pStyle w:val="2"/>
        <w:spacing w:before="118" w:line="217" w:lineRule="auto"/>
        <w:ind w:left="1890"/>
        <w:rPr>
          <w:sz w:val="24"/>
          <w:szCs w:val="24"/>
        </w:rPr>
      </w:pPr>
      <w:r>
        <w:rPr>
          <w:spacing w:val="-18"/>
          <w:sz w:val="24"/>
          <w:szCs w:val="24"/>
        </w:rPr>
        <w:t>3.1施工现场污水控制措施</w:t>
      </w:r>
    </w:p>
    <w:p w14:paraId="31685143">
      <w:pPr>
        <w:pStyle w:val="2"/>
        <w:spacing w:before="116" w:line="263" w:lineRule="auto"/>
        <w:ind w:left="1458" w:right="1412" w:firstLine="434"/>
        <w:rPr>
          <w:sz w:val="24"/>
          <w:szCs w:val="24"/>
        </w:rPr>
      </w:pPr>
      <w:r>
        <w:rPr>
          <w:spacing w:val="-22"/>
          <w:sz w:val="24"/>
          <w:szCs w:val="24"/>
        </w:rPr>
        <w:t>（1）混凝土固定泵及运输车辆清洗处设沉降池，废水经二次沉淀后循环使用、</w:t>
      </w:r>
      <w:r>
        <w:rPr>
          <w:spacing w:val="-23"/>
          <w:sz w:val="24"/>
          <w:szCs w:val="24"/>
        </w:rPr>
        <w:t>用于洒水降</w:t>
      </w:r>
      <w:r>
        <w:rPr>
          <w:spacing w:val="-20"/>
          <w:sz w:val="24"/>
          <w:szCs w:val="24"/>
        </w:rPr>
        <w:t>尘或排入市政污水管道。</w:t>
      </w:r>
    </w:p>
    <w:p w14:paraId="4ED13DC6">
      <w:pPr>
        <w:pStyle w:val="2"/>
        <w:spacing w:before="118" w:line="261" w:lineRule="auto"/>
        <w:ind w:left="1462" w:right="1412" w:firstLine="431"/>
        <w:rPr>
          <w:sz w:val="24"/>
          <w:szCs w:val="24"/>
        </w:rPr>
      </w:pPr>
      <w:r>
        <w:rPr>
          <w:spacing w:val="-22"/>
          <w:sz w:val="24"/>
          <w:szCs w:val="24"/>
        </w:rPr>
        <w:t>（2）施工期间的施工排水系统的建立与日常维护，雨季和汛期的强排水措施须</w:t>
      </w:r>
      <w:r>
        <w:rPr>
          <w:spacing w:val="-23"/>
          <w:sz w:val="24"/>
          <w:szCs w:val="24"/>
        </w:rPr>
        <w:t>经过沉淀后</w:t>
      </w:r>
      <w:r>
        <w:rPr>
          <w:spacing w:val="-21"/>
          <w:sz w:val="24"/>
          <w:szCs w:val="24"/>
        </w:rPr>
        <w:t>方可排入就近市政雨水窨井内，并制定措施方案（包括设置</w:t>
      </w:r>
      <w:r>
        <w:rPr>
          <w:spacing w:val="-22"/>
          <w:sz w:val="24"/>
          <w:szCs w:val="24"/>
        </w:rPr>
        <w:t>沉淀池</w:t>
      </w:r>
      <w:r>
        <w:rPr>
          <w:spacing w:val="-25"/>
          <w:sz w:val="24"/>
          <w:szCs w:val="24"/>
        </w:rPr>
        <w:t>），</w:t>
      </w:r>
      <w:r>
        <w:rPr>
          <w:spacing w:val="-22"/>
          <w:sz w:val="24"/>
          <w:szCs w:val="24"/>
        </w:rPr>
        <w:t>确保排水通畅。</w:t>
      </w:r>
    </w:p>
    <w:p w14:paraId="48939AF5">
      <w:pPr>
        <w:pStyle w:val="2"/>
        <w:spacing w:before="117" w:line="290" w:lineRule="auto"/>
        <w:ind w:left="1455" w:right="1409" w:firstLine="437"/>
        <w:rPr>
          <w:sz w:val="24"/>
          <w:szCs w:val="24"/>
        </w:rPr>
      </w:pPr>
      <w:r>
        <w:rPr>
          <w:spacing w:val="-22"/>
          <w:sz w:val="24"/>
          <w:szCs w:val="24"/>
        </w:rPr>
        <w:t>（3）施工现场按标准设置排水沟，排水沟在场区边界处设置沉淀池，施工污水、雨水</w:t>
      </w:r>
      <w:r>
        <w:rPr>
          <w:spacing w:val="-23"/>
          <w:sz w:val="24"/>
          <w:szCs w:val="24"/>
        </w:rPr>
        <w:t>通过</w:t>
      </w:r>
      <w:r>
        <w:rPr>
          <w:spacing w:val="-20"/>
          <w:sz w:val="24"/>
          <w:szCs w:val="24"/>
        </w:rPr>
        <w:t>沉淀后用于洒水降尘或排入市政管道，设专人负责，保证施工区排水沟的畅通，施工区域无积水，保证施工区道路畅通，随时使用截砂器、集泥器或沉降池使现场排水的明渠和沟渠没有污泥、泥土等；泥浆、废水、污水等在未处理或未达标前，不得流入或排入市政排水管网；定期</w:t>
      </w:r>
      <w:r>
        <w:rPr>
          <w:spacing w:val="-21"/>
          <w:sz w:val="24"/>
          <w:szCs w:val="24"/>
        </w:rPr>
        <w:t>检查污水排放情况，不得超过市规定的排放标准。</w:t>
      </w:r>
    </w:p>
    <w:p w14:paraId="1AA56DBA">
      <w:pPr>
        <w:pStyle w:val="2"/>
        <w:spacing w:before="118" w:line="217" w:lineRule="auto"/>
        <w:ind w:left="1890"/>
        <w:rPr>
          <w:sz w:val="24"/>
          <w:szCs w:val="24"/>
        </w:rPr>
      </w:pPr>
      <w:r>
        <w:rPr>
          <w:spacing w:val="-19"/>
          <w:sz w:val="24"/>
          <w:szCs w:val="24"/>
        </w:rPr>
        <w:t>3.2生活污水控制措施</w:t>
      </w:r>
    </w:p>
    <w:p w14:paraId="3D69A133">
      <w:pPr>
        <w:pStyle w:val="2"/>
        <w:spacing w:before="117" w:line="308" w:lineRule="auto"/>
        <w:ind w:left="1458" w:right="1409" w:firstLine="435"/>
        <w:rPr>
          <w:sz w:val="24"/>
          <w:szCs w:val="24"/>
        </w:rPr>
      </w:pPr>
      <w:r>
        <w:rPr>
          <w:spacing w:val="-20"/>
          <w:sz w:val="24"/>
          <w:szCs w:val="24"/>
        </w:rPr>
        <w:t>本工程生活区设置在现场，因此现场生活污水主要是卫生间的污水污染，我们将安排专职</w:t>
      </w:r>
      <w:r>
        <w:rPr>
          <w:spacing w:val="-22"/>
          <w:sz w:val="24"/>
          <w:szCs w:val="24"/>
        </w:rPr>
        <w:t>清洁工，建立“文明清洁岗”制度，保证施工区的清洁工作，采用生态厕所,污水排人化</w:t>
      </w:r>
      <w:r>
        <w:rPr>
          <w:spacing w:val="-23"/>
          <w:sz w:val="24"/>
          <w:szCs w:val="24"/>
        </w:rPr>
        <w:t>粪池，</w:t>
      </w:r>
      <w:r>
        <w:rPr>
          <w:spacing w:val="-21"/>
          <w:sz w:val="24"/>
          <w:szCs w:val="24"/>
        </w:rPr>
        <w:t>浴室淋浴设施，保持清洁，排水畅通，有专人管理，并委</w:t>
      </w:r>
      <w:r>
        <w:rPr>
          <w:spacing w:val="-22"/>
          <w:sz w:val="24"/>
          <w:szCs w:val="24"/>
        </w:rPr>
        <w:t>托环卫部门及时清运粪便。</w:t>
      </w:r>
    </w:p>
    <w:p w14:paraId="6D70F9DE">
      <w:pPr>
        <w:spacing w:line="308" w:lineRule="auto"/>
        <w:rPr>
          <w:sz w:val="24"/>
          <w:szCs w:val="24"/>
        </w:rPr>
        <w:sectPr>
          <w:footerReference r:id="rId364" w:type="default"/>
          <w:pgSz w:w="11907" w:h="16839"/>
          <w:pgMar w:top="933" w:right="4" w:bottom="1038" w:left="0" w:header="478" w:footer="357" w:gutter="0"/>
          <w:pgBorders>
            <w:top w:val="none" w:sz="0" w:space="0"/>
            <w:left w:val="none" w:sz="0" w:space="0"/>
            <w:bottom w:val="none" w:sz="0" w:space="0"/>
            <w:right w:val="none" w:sz="0" w:space="0"/>
          </w:pgBorders>
          <w:cols w:space="720" w:num="1"/>
        </w:sectPr>
      </w:pPr>
    </w:p>
    <w:p w14:paraId="08032F6F">
      <w:pPr>
        <w:spacing w:line="272" w:lineRule="auto"/>
        <w:rPr>
          <w:rFonts w:ascii="Arial"/>
          <w:sz w:val="21"/>
        </w:rPr>
      </w:pPr>
    </w:p>
    <w:p w14:paraId="107EFE7B">
      <w:pPr>
        <w:pStyle w:val="2"/>
        <w:spacing w:before="78" w:line="217" w:lineRule="auto"/>
        <w:ind w:left="1890"/>
        <w:rPr>
          <w:sz w:val="24"/>
          <w:szCs w:val="24"/>
        </w:rPr>
      </w:pPr>
      <w:r>
        <w:rPr>
          <w:spacing w:val="-18"/>
          <w:sz w:val="24"/>
          <w:szCs w:val="24"/>
        </w:rPr>
        <w:t>3.3试验室污水控制措施</w:t>
      </w:r>
    </w:p>
    <w:p w14:paraId="744C0647">
      <w:pPr>
        <w:pStyle w:val="2"/>
        <w:spacing w:before="119" w:line="306" w:lineRule="auto"/>
        <w:ind w:left="1461" w:right="1410" w:firstLine="433"/>
        <w:rPr>
          <w:sz w:val="24"/>
          <w:szCs w:val="24"/>
        </w:rPr>
      </w:pPr>
      <w:r>
        <w:rPr>
          <w:spacing w:val="-20"/>
          <w:sz w:val="24"/>
          <w:szCs w:val="24"/>
        </w:rPr>
        <w:t>检验试验后的废水必须经中和检测后才能准进入排水管道；含有毒有害及重金属的废水先</w:t>
      </w:r>
      <w:r>
        <w:rPr>
          <w:spacing w:val="-22"/>
          <w:sz w:val="24"/>
          <w:szCs w:val="24"/>
        </w:rPr>
        <w:t>单独存放后,作为危险固废物收集处置。</w:t>
      </w:r>
    </w:p>
    <w:p w14:paraId="4262EB65">
      <w:pPr>
        <w:pStyle w:val="2"/>
        <w:spacing w:before="2" w:line="217" w:lineRule="auto"/>
        <w:ind w:left="1884"/>
        <w:rPr>
          <w:sz w:val="24"/>
          <w:szCs w:val="24"/>
        </w:rPr>
      </w:pPr>
      <w:r>
        <w:rPr>
          <w:spacing w:val="-18"/>
          <w:sz w:val="24"/>
          <w:szCs w:val="24"/>
        </w:rPr>
        <w:t>4、固体废物的防治措施</w:t>
      </w:r>
    </w:p>
    <w:p w14:paraId="5FCB733F">
      <w:pPr>
        <w:pStyle w:val="2"/>
        <w:spacing w:before="118" w:line="263" w:lineRule="auto"/>
        <w:ind w:left="1457" w:right="1411" w:firstLine="435"/>
        <w:rPr>
          <w:sz w:val="24"/>
          <w:szCs w:val="24"/>
        </w:rPr>
      </w:pPr>
      <w:r>
        <w:rPr>
          <w:spacing w:val="-22"/>
          <w:sz w:val="24"/>
          <w:szCs w:val="24"/>
        </w:rPr>
        <w:t>（1）加强施工管理，实行文明施工，对环境有污染的城建渣土和商业固体废物</w:t>
      </w:r>
      <w:r>
        <w:rPr>
          <w:spacing w:val="-23"/>
          <w:sz w:val="24"/>
          <w:szCs w:val="24"/>
        </w:rPr>
        <w:t>，必须经过</w:t>
      </w:r>
      <w:r>
        <w:rPr>
          <w:spacing w:val="-21"/>
          <w:sz w:val="24"/>
          <w:szCs w:val="24"/>
        </w:rPr>
        <w:t>处理后方可外运。</w:t>
      </w:r>
    </w:p>
    <w:p w14:paraId="5F34390D">
      <w:pPr>
        <w:pStyle w:val="2"/>
        <w:spacing w:before="116" w:line="262" w:lineRule="auto"/>
        <w:ind w:left="1470" w:right="1411" w:firstLine="422"/>
        <w:rPr>
          <w:sz w:val="24"/>
          <w:szCs w:val="24"/>
        </w:rPr>
      </w:pPr>
      <w:r>
        <w:rPr>
          <w:spacing w:val="-22"/>
          <w:sz w:val="24"/>
          <w:szCs w:val="24"/>
        </w:rPr>
        <w:t>（2）在工程进行期间，经常性地清除现场一切垃圾（包括各专业分包人、独立</w:t>
      </w:r>
      <w:r>
        <w:rPr>
          <w:spacing w:val="-23"/>
          <w:sz w:val="24"/>
          <w:szCs w:val="24"/>
        </w:rPr>
        <w:t>工程承包人</w:t>
      </w:r>
      <w:r>
        <w:rPr>
          <w:spacing w:val="-22"/>
          <w:sz w:val="24"/>
          <w:szCs w:val="24"/>
        </w:rPr>
        <w:t>的垃圾）、不用的支撑、板条箱、多余物料等，使通道不被阻碍和方便检查所有工程。</w:t>
      </w:r>
    </w:p>
    <w:p w14:paraId="6A767B52">
      <w:pPr>
        <w:pStyle w:val="2"/>
        <w:spacing w:before="118" w:line="262" w:lineRule="auto"/>
        <w:ind w:left="1463" w:right="1410" w:firstLine="430"/>
        <w:rPr>
          <w:sz w:val="24"/>
          <w:szCs w:val="24"/>
        </w:rPr>
      </w:pPr>
      <w:r>
        <w:rPr>
          <w:spacing w:val="-22"/>
          <w:sz w:val="24"/>
          <w:szCs w:val="24"/>
        </w:rPr>
        <w:t>（3）固体废弃物分类收集，根据本工程实际情况，分为危险废弃物和一般废弃物，</w:t>
      </w:r>
      <w:r>
        <w:rPr>
          <w:spacing w:val="-23"/>
          <w:sz w:val="24"/>
          <w:szCs w:val="24"/>
        </w:rPr>
        <w:t>一般废</w:t>
      </w:r>
      <w:r>
        <w:rPr>
          <w:spacing w:val="-21"/>
          <w:sz w:val="24"/>
          <w:szCs w:val="24"/>
        </w:rPr>
        <w:t>弃物又分为可回收和不可回收。</w:t>
      </w:r>
    </w:p>
    <w:p w14:paraId="2AB1415E">
      <w:pPr>
        <w:pStyle w:val="2"/>
        <w:spacing w:before="119" w:line="262" w:lineRule="auto"/>
        <w:ind w:left="1457" w:right="1410" w:firstLine="435"/>
        <w:rPr>
          <w:sz w:val="24"/>
          <w:szCs w:val="24"/>
        </w:rPr>
      </w:pPr>
      <w:r>
        <w:rPr>
          <w:spacing w:val="-19"/>
          <w:sz w:val="24"/>
          <w:szCs w:val="24"/>
        </w:rPr>
        <w:t>（4）危险废弃物控制措施：必须封闭存放,并标识出有害固体废弃物。危险固体废</w:t>
      </w:r>
      <w:r>
        <w:rPr>
          <w:spacing w:val="-20"/>
          <w:sz w:val="24"/>
          <w:szCs w:val="24"/>
        </w:rPr>
        <w:t>弃物收</w:t>
      </w:r>
      <w:r>
        <w:rPr>
          <w:spacing w:val="-21"/>
          <w:sz w:val="24"/>
          <w:szCs w:val="24"/>
        </w:rPr>
        <w:t>集到一定数量后,专职环保员要联系环保局指定的处理单位进行处理。</w:t>
      </w:r>
    </w:p>
    <w:p w14:paraId="3D918DCF">
      <w:pPr>
        <w:pStyle w:val="2"/>
        <w:spacing w:before="120" w:line="262" w:lineRule="auto"/>
        <w:ind w:left="1457" w:right="1428" w:firstLine="435"/>
        <w:rPr>
          <w:sz w:val="24"/>
          <w:szCs w:val="24"/>
        </w:rPr>
      </w:pPr>
      <w:r>
        <w:rPr>
          <w:spacing w:val="-22"/>
          <w:sz w:val="24"/>
          <w:szCs w:val="24"/>
        </w:rPr>
        <w:t>（5）废渣（液）的临时贮存，应根据排出</w:t>
      </w:r>
      <w:r>
        <w:rPr>
          <w:spacing w:val="-23"/>
          <w:sz w:val="24"/>
          <w:szCs w:val="24"/>
        </w:rPr>
        <w:t>量运输方式、处理能力等情况，妥善设置堆场、</w:t>
      </w:r>
      <w:r>
        <w:rPr>
          <w:spacing w:val="-21"/>
          <w:sz w:val="24"/>
          <w:szCs w:val="24"/>
        </w:rPr>
        <w:t>贮罐等缓冲设施，不得任意堆放。</w:t>
      </w:r>
    </w:p>
    <w:p w14:paraId="6FFAA7AC">
      <w:pPr>
        <w:pStyle w:val="2"/>
        <w:spacing w:before="117" w:line="215" w:lineRule="auto"/>
        <w:ind w:left="1893"/>
        <w:rPr>
          <w:sz w:val="24"/>
          <w:szCs w:val="24"/>
        </w:rPr>
      </w:pPr>
      <w:r>
        <w:rPr>
          <w:spacing w:val="-21"/>
          <w:sz w:val="24"/>
          <w:szCs w:val="24"/>
        </w:rPr>
        <w:t>（6）选用的产品采用易回收利用、易处理或者在</w:t>
      </w:r>
      <w:r>
        <w:rPr>
          <w:spacing w:val="-22"/>
          <w:sz w:val="24"/>
          <w:szCs w:val="24"/>
        </w:rPr>
        <w:t>环境中易消纳的包装物。</w:t>
      </w:r>
    </w:p>
    <w:p w14:paraId="045FDECC">
      <w:pPr>
        <w:pStyle w:val="2"/>
        <w:spacing w:before="121" w:line="216" w:lineRule="auto"/>
        <w:ind w:left="1893"/>
        <w:rPr>
          <w:sz w:val="24"/>
          <w:szCs w:val="24"/>
        </w:rPr>
      </w:pPr>
      <w:r>
        <w:rPr>
          <w:spacing w:val="-21"/>
          <w:sz w:val="24"/>
          <w:szCs w:val="24"/>
        </w:rPr>
        <w:t>（7）工程竣工后，认真清理沿线杂物，拆除临建，并将上述垃圾弃至指定地点。</w:t>
      </w:r>
    </w:p>
    <w:p w14:paraId="4154A268">
      <w:pPr>
        <w:pStyle w:val="2"/>
        <w:spacing w:before="120" w:line="218" w:lineRule="auto"/>
        <w:ind w:left="1890"/>
        <w:rPr>
          <w:sz w:val="24"/>
          <w:szCs w:val="24"/>
        </w:rPr>
      </w:pPr>
      <w:r>
        <w:rPr>
          <w:spacing w:val="-18"/>
          <w:sz w:val="24"/>
          <w:szCs w:val="24"/>
        </w:rPr>
        <w:t>5、噪音的防治措施</w:t>
      </w:r>
    </w:p>
    <w:p w14:paraId="00DE0572">
      <w:pPr>
        <w:pStyle w:val="2"/>
        <w:spacing w:before="115" w:line="217" w:lineRule="auto"/>
        <w:ind w:left="1890"/>
        <w:rPr>
          <w:sz w:val="24"/>
          <w:szCs w:val="24"/>
        </w:rPr>
      </w:pPr>
      <w:r>
        <w:rPr>
          <w:spacing w:val="-18"/>
          <w:sz w:val="24"/>
          <w:szCs w:val="24"/>
        </w:rPr>
        <w:t>5.1机械设备噪声控制措施</w:t>
      </w:r>
    </w:p>
    <w:p w14:paraId="1AF60CEE">
      <w:pPr>
        <w:pStyle w:val="2"/>
        <w:spacing w:before="118" w:line="308" w:lineRule="auto"/>
        <w:ind w:left="1456" w:right="1410" w:firstLine="438"/>
        <w:rPr>
          <w:sz w:val="24"/>
          <w:szCs w:val="24"/>
        </w:rPr>
      </w:pPr>
      <w:r>
        <w:rPr>
          <w:spacing w:val="-20"/>
          <w:sz w:val="24"/>
          <w:szCs w:val="24"/>
        </w:rPr>
        <w:t>采取合理安排施工现场、封闭、降噪围帘、限时等措施，减轻噪声对周围环境的影响；进</w:t>
      </w:r>
      <w:r>
        <w:rPr>
          <w:spacing w:val="-25"/>
          <w:sz w:val="24"/>
          <w:szCs w:val="24"/>
        </w:rPr>
        <w:t>入现场的挖土机、汽车不准鸣笛，夜间用灯光控制信号，现场大门处基槽坡道入口处，设置“不</w:t>
      </w:r>
      <w:r>
        <w:rPr>
          <w:spacing w:val="-20"/>
          <w:sz w:val="24"/>
          <w:szCs w:val="24"/>
        </w:rPr>
        <w:t>准鸣笛”的明显标志。</w:t>
      </w:r>
    </w:p>
    <w:p w14:paraId="5AAD66EE">
      <w:pPr>
        <w:pStyle w:val="2"/>
        <w:spacing w:before="4" w:line="307" w:lineRule="auto"/>
        <w:ind w:left="1456" w:right="1316" w:firstLine="436"/>
        <w:jc w:val="both"/>
        <w:rPr>
          <w:sz w:val="24"/>
          <w:szCs w:val="24"/>
        </w:rPr>
      </w:pPr>
      <w:r>
        <w:rPr>
          <w:spacing w:val="-23"/>
          <w:sz w:val="24"/>
          <w:szCs w:val="24"/>
        </w:rPr>
        <w:t>加强设备维护保养，执行我司《机械设备管理试行办法》、《机械设备维护保养暂行规定》</w:t>
      </w:r>
      <w:r>
        <w:rPr>
          <w:spacing w:val="-22"/>
          <w:sz w:val="24"/>
          <w:szCs w:val="24"/>
        </w:rPr>
        <w:t>和《施工机械运行、维修保养中有关环保的规定》；现场大型空压机、电锯、</w:t>
      </w:r>
      <w:r>
        <w:rPr>
          <w:spacing w:val="-23"/>
          <w:sz w:val="24"/>
          <w:szCs w:val="24"/>
        </w:rPr>
        <w:t>电刨、混凝土固</w:t>
      </w:r>
      <w:r>
        <w:rPr>
          <w:spacing w:val="-20"/>
          <w:sz w:val="24"/>
          <w:szCs w:val="24"/>
        </w:rPr>
        <w:t>定泵等强噪声设备在封闭作业棚里操作，风动钻机要装消声器，发电机组要隔离，尽可能安置在远离邻近建筑物的地方；对无法封闭的小型机械（具</w:t>
      </w:r>
      <w:r>
        <w:rPr>
          <w:spacing w:val="-16"/>
          <w:sz w:val="24"/>
          <w:szCs w:val="24"/>
        </w:rPr>
        <w:t>），</w:t>
      </w:r>
      <w:r>
        <w:rPr>
          <w:spacing w:val="-20"/>
          <w:sz w:val="24"/>
          <w:szCs w:val="24"/>
        </w:rPr>
        <w:t>选用低噪声、环保型的设备，如使用环保型低噪声振捣棒等。</w:t>
      </w:r>
    </w:p>
    <w:p w14:paraId="29183723">
      <w:pPr>
        <w:pStyle w:val="2"/>
        <w:spacing w:before="5" w:line="307" w:lineRule="auto"/>
        <w:ind w:left="1455" w:right="1410" w:firstLine="436"/>
        <w:jc w:val="both"/>
        <w:rPr>
          <w:sz w:val="24"/>
          <w:szCs w:val="24"/>
        </w:rPr>
      </w:pPr>
      <w:r>
        <w:rPr>
          <w:spacing w:val="-20"/>
          <w:sz w:val="24"/>
          <w:szCs w:val="24"/>
        </w:rPr>
        <w:t>施工全过程使用预拌混凝土；合理安排施工时间，避免在夜间、凌晨、午休时间进行强噪声施工，因生产工艺上要求必须连续作业或者特殊需要，确需在22时至次日6时期</w:t>
      </w:r>
      <w:r>
        <w:rPr>
          <w:spacing w:val="-21"/>
          <w:sz w:val="24"/>
          <w:szCs w:val="24"/>
        </w:rPr>
        <w:t>间进行施工</w:t>
      </w:r>
      <w:r>
        <w:rPr>
          <w:spacing w:val="-20"/>
          <w:sz w:val="24"/>
          <w:szCs w:val="24"/>
        </w:rPr>
        <w:t>的，应当在施工前到当地建设行政主管部门提出申请，经批准后办理夜间施工证方可进行夜间</w:t>
      </w:r>
      <w:r>
        <w:rPr>
          <w:spacing w:val="-22"/>
          <w:sz w:val="24"/>
          <w:szCs w:val="24"/>
        </w:rPr>
        <w:t>施工，遇有中高考期间严禁夜间施工。</w:t>
      </w:r>
    </w:p>
    <w:p w14:paraId="60FD82EA">
      <w:pPr>
        <w:pStyle w:val="2"/>
        <w:spacing w:before="1" w:line="307" w:lineRule="auto"/>
        <w:ind w:left="1461" w:right="1410" w:firstLine="440"/>
        <w:jc w:val="both"/>
        <w:rPr>
          <w:sz w:val="24"/>
          <w:szCs w:val="24"/>
        </w:rPr>
      </w:pPr>
      <w:r>
        <w:rPr>
          <w:spacing w:val="-20"/>
          <w:sz w:val="24"/>
          <w:szCs w:val="24"/>
        </w:rPr>
        <w:t>为保证工程进度，及时同建设单位以及作业活动所在地的区、县环境保护部门进行协商或通过与建设单位协商订立协议，采取双方均能接受的变通性防噪声措施后，采取双方均能接受</w:t>
      </w:r>
      <w:r>
        <w:rPr>
          <w:spacing w:val="-21"/>
          <w:sz w:val="24"/>
          <w:szCs w:val="24"/>
        </w:rPr>
        <w:t>的变通性防噪声措施，并在办理相关审批手续和</w:t>
      </w:r>
      <w:r>
        <w:rPr>
          <w:spacing w:val="-22"/>
          <w:sz w:val="24"/>
          <w:szCs w:val="24"/>
        </w:rPr>
        <w:t>调整后遵照其有关单位执行。</w:t>
      </w:r>
    </w:p>
    <w:p w14:paraId="00DF133D">
      <w:pPr>
        <w:pStyle w:val="2"/>
        <w:spacing w:before="2" w:line="217" w:lineRule="auto"/>
        <w:ind w:left="1890"/>
        <w:rPr>
          <w:sz w:val="24"/>
          <w:szCs w:val="24"/>
        </w:rPr>
      </w:pPr>
      <w:r>
        <w:rPr>
          <w:spacing w:val="-18"/>
          <w:sz w:val="24"/>
          <w:szCs w:val="24"/>
        </w:rPr>
        <w:t>5.2人为噪声控制措施</w:t>
      </w:r>
    </w:p>
    <w:p w14:paraId="6904A708">
      <w:pPr>
        <w:pStyle w:val="2"/>
        <w:spacing w:before="119" w:line="306" w:lineRule="auto"/>
        <w:ind w:left="1460" w:right="1411" w:firstLine="433"/>
        <w:rPr>
          <w:sz w:val="24"/>
          <w:szCs w:val="24"/>
        </w:rPr>
      </w:pPr>
      <w:r>
        <w:rPr>
          <w:spacing w:val="-17"/>
          <w:sz w:val="24"/>
          <w:szCs w:val="24"/>
        </w:rPr>
        <w:t>根据环境保证标准白天必须控制在60分贝A以下；早晚必须控制在</w:t>
      </w:r>
      <w:r>
        <w:rPr>
          <w:spacing w:val="-18"/>
          <w:sz w:val="24"/>
          <w:szCs w:val="24"/>
        </w:rPr>
        <w:t>55分贝A以下；深夜</w:t>
      </w:r>
      <w:r>
        <w:rPr>
          <w:spacing w:val="-20"/>
          <w:sz w:val="24"/>
          <w:szCs w:val="24"/>
        </w:rPr>
        <w:t>必须控制在55分贝A以下。为控制施工噪音影响在校师生的工作、生活及休息，我单位</w:t>
      </w:r>
      <w:r>
        <w:rPr>
          <w:spacing w:val="-21"/>
          <w:sz w:val="24"/>
          <w:szCs w:val="24"/>
        </w:rPr>
        <w:t>决定在</w:t>
      </w:r>
    </w:p>
    <w:p w14:paraId="70EDEC71">
      <w:pPr>
        <w:spacing w:line="306" w:lineRule="auto"/>
        <w:rPr>
          <w:sz w:val="24"/>
          <w:szCs w:val="24"/>
        </w:rPr>
        <w:sectPr>
          <w:footerReference r:id="rId365" w:type="default"/>
          <w:pgSz w:w="11907" w:h="16839"/>
          <w:pgMar w:top="933" w:right="4" w:bottom="1038" w:left="0" w:header="478" w:footer="357" w:gutter="0"/>
          <w:pgBorders>
            <w:top w:val="none" w:sz="0" w:space="0"/>
            <w:left w:val="none" w:sz="0" w:space="0"/>
            <w:bottom w:val="none" w:sz="0" w:space="0"/>
            <w:right w:val="none" w:sz="0" w:space="0"/>
          </w:pgBorders>
          <w:cols w:space="720" w:num="1"/>
        </w:sectPr>
      </w:pPr>
    </w:p>
    <w:p w14:paraId="0C949F76">
      <w:pPr>
        <w:spacing w:line="269" w:lineRule="auto"/>
        <w:rPr>
          <w:rFonts w:ascii="Arial"/>
          <w:sz w:val="21"/>
        </w:rPr>
      </w:pPr>
    </w:p>
    <w:p w14:paraId="30FDBDCE">
      <w:pPr>
        <w:pStyle w:val="2"/>
        <w:spacing w:before="78" w:line="308" w:lineRule="auto"/>
        <w:ind w:left="1455" w:right="1357" w:firstLine="1"/>
        <w:jc w:val="both"/>
        <w:rPr>
          <w:sz w:val="24"/>
          <w:szCs w:val="24"/>
        </w:rPr>
      </w:pPr>
      <w:r>
        <w:rPr>
          <w:spacing w:val="-20"/>
          <w:sz w:val="24"/>
          <w:szCs w:val="24"/>
        </w:rPr>
        <w:t>脚手架外侧挂设具有遮光、隔音、防尘作用的卡普隆板。承担夜间材料运输的车辆，进入施工</w:t>
      </w:r>
      <w:r>
        <w:rPr>
          <w:spacing w:val="-24"/>
          <w:sz w:val="24"/>
          <w:szCs w:val="24"/>
        </w:rPr>
        <w:t>现场严禁鸣笛；装卸模板等材料要轻拿轻放，严禁抛掷。提倡文明施工，加强人为噪声的控制；</w:t>
      </w:r>
      <w:r>
        <w:rPr>
          <w:spacing w:val="-20"/>
          <w:sz w:val="24"/>
          <w:szCs w:val="24"/>
        </w:rPr>
        <w:t>尽量减少人为的大声喧哗，增强全体施工人员的防噪声扰民的自觉意识。强噪音设备作业的遮挡：对施工现场内的强噪音机械实行封闭式作业，即对电锯、电刨、砂轮机等采用砌块搭设硬</w:t>
      </w:r>
      <w:r>
        <w:rPr>
          <w:spacing w:val="-22"/>
          <w:sz w:val="24"/>
          <w:szCs w:val="24"/>
        </w:rPr>
        <w:t>质隔音屋顶的施工棚，对混凝土输送泵采用防火草帘、密目网搭设隔音棚，以减少噪声扩散。</w:t>
      </w:r>
    </w:p>
    <w:p w14:paraId="35A3E427">
      <w:pPr>
        <w:pStyle w:val="2"/>
        <w:spacing w:line="218" w:lineRule="auto"/>
        <w:ind w:left="1887"/>
        <w:rPr>
          <w:sz w:val="24"/>
          <w:szCs w:val="24"/>
        </w:rPr>
      </w:pPr>
      <w:r>
        <w:rPr>
          <w:spacing w:val="-20"/>
          <w:sz w:val="24"/>
          <w:szCs w:val="24"/>
        </w:rPr>
        <w:t>6、防止施工现场夜间光污染和电磁污染</w:t>
      </w:r>
    </w:p>
    <w:p w14:paraId="50417B2A">
      <w:pPr>
        <w:pStyle w:val="2"/>
        <w:spacing w:before="116" w:line="308" w:lineRule="auto"/>
        <w:ind w:left="1453" w:right="1414" w:firstLine="438"/>
        <w:rPr>
          <w:sz w:val="24"/>
          <w:szCs w:val="24"/>
        </w:rPr>
      </w:pPr>
      <w:r>
        <w:rPr>
          <w:spacing w:val="-20"/>
          <w:sz w:val="24"/>
          <w:szCs w:val="24"/>
        </w:rPr>
        <w:t>现场照明灯具配备定向式可拆除灯罩，使用前应调整照射角，避免光污染；电焊施工时，采用围挡遮住射向场外一侧的弧光。电磁辐射和放射性环境符合国家标准；焊接时必须使用镶有特制防护眼镜片的面罩，焊工必须穿好工作服，戴好防护手套和鞋盖，工作服面料要用反射</w:t>
      </w:r>
      <w:r>
        <w:rPr>
          <w:spacing w:val="-19"/>
          <w:sz w:val="24"/>
          <w:szCs w:val="24"/>
        </w:rPr>
        <w:t>系数大的纺织品制作。</w:t>
      </w:r>
    </w:p>
    <w:p w14:paraId="7289E4B0">
      <w:pPr>
        <w:pStyle w:val="2"/>
        <w:spacing w:line="216" w:lineRule="auto"/>
        <w:ind w:left="1893"/>
        <w:rPr>
          <w:sz w:val="24"/>
          <w:szCs w:val="24"/>
        </w:rPr>
      </w:pPr>
      <w:r>
        <w:rPr>
          <w:spacing w:val="-20"/>
          <w:sz w:val="24"/>
          <w:szCs w:val="24"/>
        </w:rPr>
        <w:t>（四）环境管理监督检查及监测</w:t>
      </w:r>
    </w:p>
    <w:p w14:paraId="7EC53527">
      <w:pPr>
        <w:pStyle w:val="2"/>
        <w:spacing w:before="118" w:line="262" w:lineRule="auto"/>
        <w:ind w:left="1459" w:right="1412" w:firstLine="444"/>
        <w:rPr>
          <w:sz w:val="24"/>
          <w:szCs w:val="24"/>
        </w:rPr>
      </w:pPr>
      <w:r>
        <w:rPr>
          <w:spacing w:val="-22"/>
          <w:sz w:val="24"/>
          <w:szCs w:val="24"/>
        </w:rPr>
        <w:t>1、项目部成立文明施工或环境管理领导小组,实行分片负责制,把现场施工区、办公区的环</w:t>
      </w:r>
      <w:r>
        <w:rPr>
          <w:spacing w:val="-21"/>
          <w:sz w:val="24"/>
          <w:szCs w:val="24"/>
        </w:rPr>
        <w:t>境管理职责落实到具体人员，并每月一次对职责落实</w:t>
      </w:r>
      <w:r>
        <w:rPr>
          <w:spacing w:val="-22"/>
          <w:sz w:val="24"/>
          <w:szCs w:val="24"/>
        </w:rPr>
        <w:t>情况进行检查。</w:t>
      </w:r>
    </w:p>
    <w:p w14:paraId="0012ADE8">
      <w:pPr>
        <w:pStyle w:val="2"/>
        <w:spacing w:before="118" w:line="262" w:lineRule="auto"/>
        <w:ind w:left="1466" w:right="1412" w:firstLine="421"/>
        <w:rPr>
          <w:sz w:val="24"/>
          <w:szCs w:val="24"/>
        </w:rPr>
      </w:pPr>
      <w:r>
        <w:rPr>
          <w:spacing w:val="-22"/>
          <w:sz w:val="24"/>
          <w:szCs w:val="24"/>
        </w:rPr>
        <w:t>2、施工现场的环境监测由技术负责人组织实施，指定专职安全员负责。监测的对象为场界噪音、废水排放、粉尘及有害气体排放等；每月委托环保局监测进行一次监测。</w:t>
      </w:r>
    </w:p>
    <w:p w14:paraId="74727AA7">
      <w:pPr>
        <w:pStyle w:val="2"/>
        <w:spacing w:before="119" w:line="218" w:lineRule="auto"/>
        <w:ind w:left="1890"/>
        <w:rPr>
          <w:sz w:val="24"/>
          <w:szCs w:val="24"/>
        </w:rPr>
      </w:pPr>
      <w:r>
        <w:rPr>
          <w:spacing w:val="-18"/>
          <w:sz w:val="24"/>
          <w:szCs w:val="24"/>
        </w:rPr>
        <w:t>3、环境监督</w:t>
      </w:r>
    </w:p>
    <w:p w14:paraId="70628977">
      <w:pPr>
        <w:pStyle w:val="2"/>
        <w:spacing w:before="117" w:line="216" w:lineRule="auto"/>
        <w:ind w:left="1894"/>
        <w:rPr>
          <w:sz w:val="24"/>
          <w:szCs w:val="24"/>
        </w:rPr>
      </w:pPr>
      <w:r>
        <w:rPr>
          <w:spacing w:val="-22"/>
          <w:sz w:val="24"/>
          <w:szCs w:val="24"/>
        </w:rPr>
        <w:t>项目部每月进行一次运行控制的检查和监督，作好记录。</w:t>
      </w:r>
    </w:p>
    <w:p w14:paraId="2E850CDC">
      <w:pPr>
        <w:pStyle w:val="2"/>
        <w:spacing w:before="118" w:line="216" w:lineRule="auto"/>
        <w:ind w:left="1895"/>
        <w:rPr>
          <w:sz w:val="24"/>
          <w:szCs w:val="24"/>
        </w:rPr>
      </w:pPr>
      <w:r>
        <w:rPr>
          <w:spacing w:val="-21"/>
          <w:sz w:val="24"/>
          <w:szCs w:val="24"/>
        </w:rPr>
        <w:t>对检查中发现的问题及时纠正，确保各项活动符合环境法</w:t>
      </w:r>
      <w:r>
        <w:rPr>
          <w:spacing w:val="-22"/>
          <w:sz w:val="24"/>
          <w:szCs w:val="24"/>
        </w:rPr>
        <w:t>律法规要求。</w:t>
      </w:r>
    </w:p>
    <w:p w14:paraId="1189A9FA">
      <w:pPr>
        <w:pStyle w:val="2"/>
        <w:spacing w:before="119" w:line="217" w:lineRule="auto"/>
        <w:ind w:left="1892"/>
        <w:rPr>
          <w:sz w:val="24"/>
          <w:szCs w:val="24"/>
        </w:rPr>
      </w:pPr>
      <w:r>
        <w:rPr>
          <w:spacing w:val="-19"/>
          <w:sz w:val="24"/>
          <w:szCs w:val="24"/>
        </w:rPr>
        <w:t>施工现场的环保措施</w:t>
      </w:r>
    </w:p>
    <w:p w14:paraId="478B6470">
      <w:pPr>
        <w:pStyle w:val="2"/>
        <w:spacing w:before="117" w:line="308" w:lineRule="auto"/>
        <w:ind w:left="1456" w:right="1356" w:firstLine="445"/>
        <w:rPr>
          <w:sz w:val="24"/>
          <w:szCs w:val="24"/>
        </w:rPr>
      </w:pPr>
      <w:r>
        <w:rPr>
          <w:spacing w:val="-19"/>
          <w:sz w:val="24"/>
          <w:szCs w:val="24"/>
        </w:rPr>
        <w:t>为维护合同段工程原来的地貌地形。我单位在施工中尽量最大限</w:t>
      </w:r>
      <w:r>
        <w:rPr>
          <w:spacing w:val="-20"/>
          <w:sz w:val="24"/>
          <w:szCs w:val="24"/>
        </w:rPr>
        <w:t>度保持原来的生态环境，在施工中，采取多种形式进行环保宣传教育活动，不断提高职工环保意识，经常组织学习，按</w:t>
      </w:r>
      <w:r>
        <w:rPr>
          <w:spacing w:val="-24"/>
          <w:sz w:val="24"/>
          <w:szCs w:val="24"/>
        </w:rPr>
        <w:t>照国家及地方环保法规制定强制性措施，确实抓好环保工作。为保护生态环境，防止水土流失，</w:t>
      </w:r>
      <w:r>
        <w:rPr>
          <w:spacing w:val="-20"/>
          <w:sz w:val="24"/>
          <w:szCs w:val="24"/>
        </w:rPr>
        <w:t>环境保护工作在施工时应做到全面规划，合理布局，化害为利，创造清洁适宜的生活和劳动环境，为此制定如下措施：</w:t>
      </w:r>
    </w:p>
    <w:p w14:paraId="7E0FA0C9">
      <w:pPr>
        <w:pStyle w:val="2"/>
        <w:spacing w:before="1" w:line="215" w:lineRule="auto"/>
        <w:ind w:left="1903"/>
        <w:rPr>
          <w:sz w:val="24"/>
          <w:szCs w:val="24"/>
        </w:rPr>
      </w:pPr>
      <w:r>
        <w:rPr>
          <w:spacing w:val="-20"/>
          <w:sz w:val="24"/>
          <w:szCs w:val="24"/>
        </w:rPr>
        <w:t>1、现场布置</w:t>
      </w:r>
    </w:p>
    <w:p w14:paraId="33589A64">
      <w:pPr>
        <w:pStyle w:val="2"/>
        <w:spacing w:before="120" w:line="307" w:lineRule="auto"/>
        <w:ind w:left="1456" w:right="1411" w:firstLine="447"/>
        <w:rPr>
          <w:sz w:val="24"/>
          <w:szCs w:val="24"/>
        </w:rPr>
      </w:pPr>
      <w:r>
        <w:rPr>
          <w:spacing w:val="-22"/>
          <w:sz w:val="24"/>
          <w:szCs w:val="24"/>
        </w:rPr>
        <w:t>1.1、根据场地实际情况合理地进行布置，设施设备按现场布置图规定设置存放，并随施工</w:t>
      </w:r>
      <w:r>
        <w:rPr>
          <w:spacing w:val="-21"/>
          <w:sz w:val="24"/>
          <w:szCs w:val="24"/>
        </w:rPr>
        <w:t>基础、下部、上部等不同阶段进行场地布置和调整，最大</w:t>
      </w:r>
      <w:r>
        <w:rPr>
          <w:spacing w:val="-22"/>
          <w:sz w:val="24"/>
          <w:szCs w:val="24"/>
        </w:rPr>
        <w:t>限度地减少土地占用。</w:t>
      </w:r>
    </w:p>
    <w:p w14:paraId="493BA3EF">
      <w:pPr>
        <w:pStyle w:val="2"/>
        <w:spacing w:before="2" w:line="218" w:lineRule="auto"/>
        <w:ind w:left="1888"/>
        <w:rPr>
          <w:sz w:val="24"/>
          <w:szCs w:val="24"/>
        </w:rPr>
      </w:pPr>
      <w:r>
        <w:rPr>
          <w:spacing w:val="-18"/>
          <w:sz w:val="24"/>
          <w:szCs w:val="24"/>
        </w:rPr>
        <w:t>2、降低环境污染措施</w:t>
      </w:r>
    </w:p>
    <w:p w14:paraId="3365E173">
      <w:pPr>
        <w:pStyle w:val="2"/>
        <w:spacing w:before="113" w:line="308" w:lineRule="auto"/>
        <w:ind w:left="1457" w:right="1412" w:firstLine="431"/>
        <w:jc w:val="both"/>
        <w:rPr>
          <w:sz w:val="24"/>
          <w:szCs w:val="24"/>
        </w:rPr>
      </w:pPr>
      <w:r>
        <w:rPr>
          <w:spacing w:val="-21"/>
          <w:sz w:val="24"/>
          <w:szCs w:val="24"/>
        </w:rPr>
        <w:t>2.1、场地废料、土石弃方处理，应按设计要求</w:t>
      </w:r>
      <w:r>
        <w:rPr>
          <w:spacing w:val="-22"/>
          <w:sz w:val="24"/>
          <w:szCs w:val="24"/>
        </w:rPr>
        <w:t>，按监理工程师指定地点处理，防止水土流</w:t>
      </w:r>
      <w:r>
        <w:rPr>
          <w:spacing w:val="-20"/>
          <w:sz w:val="24"/>
          <w:szCs w:val="24"/>
        </w:rPr>
        <w:t>失，尽量减少对周围绿化的影响和破坏。施工废水、生活污水不得污染水源、耕地、农田、灌溉渠道，采用渗井或其它措施处理，工地垃圾及时运到指定地点。清洗集料，机具或含有油污的操作用水，采用过滤的方法或沉淀池处理，使生态环境受损降到最低程序。对于未做到硬化地面的部位，定期压实地面、洒水和其它抑尘措施，使不出现明显的降尘，减少粉尘对周围环境的污染。禁止在施工现场焚烧有毒、有害物质，装卸有粉尘的材料时，须洒水湿润或在仓库</w:t>
      </w:r>
      <w:r>
        <w:rPr>
          <w:spacing w:val="-21"/>
          <w:sz w:val="24"/>
          <w:szCs w:val="24"/>
        </w:rPr>
        <w:t>内进行。禁止向建筑外抛掷垃圾。</w:t>
      </w:r>
    </w:p>
    <w:p w14:paraId="2E8A7010">
      <w:pPr>
        <w:pStyle w:val="2"/>
        <w:spacing w:line="218" w:lineRule="auto"/>
        <w:ind w:left="1890"/>
        <w:rPr>
          <w:sz w:val="24"/>
          <w:szCs w:val="24"/>
        </w:rPr>
      </w:pPr>
      <w:r>
        <w:rPr>
          <w:spacing w:val="-17"/>
          <w:sz w:val="24"/>
          <w:szCs w:val="24"/>
        </w:rPr>
        <w:t>3、减少噪音措施</w:t>
      </w:r>
    </w:p>
    <w:p w14:paraId="6DE25803">
      <w:pPr>
        <w:spacing w:line="218" w:lineRule="auto"/>
        <w:rPr>
          <w:sz w:val="24"/>
          <w:szCs w:val="24"/>
        </w:rPr>
        <w:sectPr>
          <w:footerReference r:id="rId366" w:type="default"/>
          <w:pgSz w:w="11907" w:h="16839"/>
          <w:pgMar w:top="933" w:right="4" w:bottom="1038" w:left="0" w:header="478" w:footer="357" w:gutter="0"/>
          <w:pgBorders>
            <w:top w:val="none" w:sz="0" w:space="0"/>
            <w:left w:val="none" w:sz="0" w:space="0"/>
            <w:bottom w:val="none" w:sz="0" w:space="0"/>
            <w:right w:val="none" w:sz="0" w:space="0"/>
          </w:pgBorders>
          <w:cols w:space="720" w:num="1"/>
        </w:sectPr>
      </w:pPr>
    </w:p>
    <w:p w14:paraId="69498DBE">
      <w:pPr>
        <w:spacing w:line="270" w:lineRule="auto"/>
        <w:rPr>
          <w:rFonts w:ascii="Arial"/>
          <w:sz w:val="21"/>
        </w:rPr>
      </w:pPr>
    </w:p>
    <w:p w14:paraId="0D89F4BD">
      <w:pPr>
        <w:pStyle w:val="2"/>
        <w:spacing w:before="78" w:line="308" w:lineRule="auto"/>
        <w:ind w:left="1460" w:right="1411" w:firstLine="430"/>
        <w:jc w:val="both"/>
        <w:rPr>
          <w:sz w:val="24"/>
          <w:szCs w:val="24"/>
        </w:rPr>
      </w:pPr>
      <w:r>
        <w:rPr>
          <w:spacing w:val="-21"/>
          <w:sz w:val="24"/>
          <w:szCs w:val="24"/>
        </w:rPr>
        <w:t>3.1、采用低噪音的施工工艺和方法施工。</w:t>
      </w:r>
      <w:r>
        <w:rPr>
          <w:spacing w:val="-22"/>
          <w:sz w:val="24"/>
          <w:szCs w:val="24"/>
        </w:rPr>
        <w:t>生活区禁止中午和夜间进行产生噪音的建筑施工</w:t>
      </w:r>
      <w:r>
        <w:rPr>
          <w:spacing w:val="-20"/>
          <w:sz w:val="24"/>
          <w:szCs w:val="24"/>
        </w:rPr>
        <w:t>作业。使用机械设备的工艺操作，要尽量减少噪音、废气等的污染，建筑施工场地的噪音应符</w:t>
      </w:r>
      <w:r>
        <w:rPr>
          <w:spacing w:val="-19"/>
          <w:sz w:val="24"/>
          <w:szCs w:val="24"/>
        </w:rPr>
        <w:t>合《建筑施工场界噪声》（GB12523-2009）的规定，并应遵守当地有关部门施工的规定。</w:t>
      </w:r>
    </w:p>
    <w:p w14:paraId="3D32A3FE">
      <w:pPr>
        <w:pStyle w:val="2"/>
        <w:spacing w:before="1" w:line="216" w:lineRule="auto"/>
        <w:ind w:left="1884"/>
        <w:rPr>
          <w:sz w:val="24"/>
          <w:szCs w:val="24"/>
        </w:rPr>
      </w:pPr>
      <w:r>
        <w:rPr>
          <w:spacing w:val="-18"/>
          <w:sz w:val="24"/>
          <w:szCs w:val="24"/>
        </w:rPr>
        <w:t>4、切实贯彻环保法规</w:t>
      </w:r>
    </w:p>
    <w:p w14:paraId="45550CF4">
      <w:pPr>
        <w:pStyle w:val="2"/>
        <w:spacing w:before="119" w:line="307" w:lineRule="auto"/>
        <w:ind w:left="1461" w:right="1353" w:firstLine="423"/>
        <w:rPr>
          <w:sz w:val="24"/>
          <w:szCs w:val="24"/>
        </w:rPr>
      </w:pPr>
      <w:r>
        <w:rPr>
          <w:spacing w:val="-25"/>
          <w:sz w:val="24"/>
          <w:szCs w:val="24"/>
        </w:rPr>
        <w:t>4.1、严格执行国家及地方政府颁布的有关环境保护，水土保持的法规、方</w:t>
      </w:r>
      <w:r>
        <w:rPr>
          <w:spacing w:val="-26"/>
          <w:sz w:val="24"/>
          <w:szCs w:val="24"/>
        </w:rPr>
        <w:t>针、政策和法令，</w:t>
      </w:r>
      <w:r>
        <w:rPr>
          <w:spacing w:val="-21"/>
          <w:sz w:val="24"/>
          <w:szCs w:val="24"/>
        </w:rPr>
        <w:t>结合设计文件和工程，及时提报有关环保设计，按</w:t>
      </w:r>
      <w:r>
        <w:rPr>
          <w:spacing w:val="-22"/>
          <w:sz w:val="24"/>
          <w:szCs w:val="24"/>
        </w:rPr>
        <w:t>批准的文件组织实施。</w:t>
      </w:r>
    </w:p>
    <w:p w14:paraId="56D472D9">
      <w:pPr>
        <w:pStyle w:val="2"/>
        <w:spacing w:line="216" w:lineRule="auto"/>
        <w:ind w:left="1890"/>
        <w:rPr>
          <w:sz w:val="24"/>
          <w:szCs w:val="24"/>
        </w:rPr>
      </w:pPr>
      <w:r>
        <w:rPr>
          <w:spacing w:val="-17"/>
          <w:sz w:val="24"/>
          <w:szCs w:val="24"/>
        </w:rPr>
        <w:t>5、重视环保工作</w:t>
      </w:r>
    </w:p>
    <w:p w14:paraId="73C5C098">
      <w:pPr>
        <w:pStyle w:val="2"/>
        <w:spacing w:before="118" w:line="308" w:lineRule="auto"/>
        <w:ind w:left="1458" w:right="1414" w:firstLine="432"/>
        <w:rPr>
          <w:sz w:val="24"/>
          <w:szCs w:val="24"/>
        </w:rPr>
      </w:pPr>
      <w:r>
        <w:rPr>
          <w:spacing w:val="-22"/>
          <w:sz w:val="24"/>
          <w:szCs w:val="24"/>
        </w:rPr>
        <w:t>5.1、编制实施性施工组织设计时，把施工生产和环保工作作为一项内容并认真贯彻执行。</w:t>
      </w:r>
      <w:r>
        <w:rPr>
          <w:spacing w:val="-20"/>
          <w:sz w:val="24"/>
          <w:szCs w:val="24"/>
        </w:rPr>
        <w:t>严格遵守业主的环境保护政策，为了确保环境得到保护，不管任何时候都接受监理工程师、业</w:t>
      </w:r>
      <w:r>
        <w:rPr>
          <w:spacing w:val="-21"/>
          <w:sz w:val="24"/>
          <w:szCs w:val="24"/>
        </w:rPr>
        <w:t>主的环保人员及政府有关环保机构的工作人员的检查</w:t>
      </w:r>
      <w:r>
        <w:rPr>
          <w:spacing w:val="-22"/>
          <w:sz w:val="24"/>
          <w:szCs w:val="24"/>
        </w:rPr>
        <w:t>，认真按照监理工程师的指令去办。</w:t>
      </w:r>
    </w:p>
    <w:p w14:paraId="7D101975">
      <w:pPr>
        <w:pStyle w:val="2"/>
        <w:spacing w:line="220" w:lineRule="auto"/>
        <w:ind w:left="1887"/>
        <w:rPr>
          <w:sz w:val="24"/>
          <w:szCs w:val="24"/>
        </w:rPr>
      </w:pPr>
      <w:r>
        <w:rPr>
          <w:spacing w:val="-18"/>
          <w:sz w:val="24"/>
          <w:szCs w:val="24"/>
        </w:rPr>
        <w:t>6、对废土、废石的处理</w:t>
      </w:r>
    </w:p>
    <w:p w14:paraId="1F46FA1C">
      <w:pPr>
        <w:pStyle w:val="2"/>
        <w:spacing w:before="113" w:line="216" w:lineRule="auto"/>
        <w:ind w:left="1887"/>
        <w:rPr>
          <w:sz w:val="24"/>
          <w:szCs w:val="24"/>
        </w:rPr>
      </w:pPr>
      <w:r>
        <w:rPr>
          <w:spacing w:val="-20"/>
          <w:sz w:val="24"/>
          <w:szCs w:val="24"/>
        </w:rPr>
        <w:t>6.1、不能利用的废土应与监理工程师和地方政府协商，寻找适</w:t>
      </w:r>
      <w:r>
        <w:rPr>
          <w:spacing w:val="-21"/>
          <w:sz w:val="24"/>
          <w:szCs w:val="24"/>
        </w:rPr>
        <w:t>当地点作填埋处理。</w:t>
      </w:r>
    </w:p>
    <w:p w14:paraId="200DC697">
      <w:pPr>
        <w:pStyle w:val="2"/>
        <w:spacing w:before="120" w:line="216" w:lineRule="auto"/>
        <w:ind w:left="1891"/>
        <w:rPr>
          <w:sz w:val="24"/>
          <w:szCs w:val="24"/>
        </w:rPr>
      </w:pPr>
      <w:r>
        <w:rPr>
          <w:spacing w:val="-20"/>
          <w:sz w:val="24"/>
          <w:szCs w:val="24"/>
        </w:rPr>
        <w:t>7、加强施工生产的环境保护工作</w:t>
      </w:r>
    </w:p>
    <w:p w14:paraId="068F8AE4">
      <w:pPr>
        <w:pStyle w:val="2"/>
        <w:spacing w:before="119" w:line="277" w:lineRule="auto"/>
        <w:ind w:left="1455" w:right="1353" w:firstLine="435"/>
        <w:rPr>
          <w:sz w:val="24"/>
          <w:szCs w:val="24"/>
        </w:rPr>
      </w:pPr>
      <w:r>
        <w:rPr>
          <w:spacing w:val="-25"/>
          <w:sz w:val="24"/>
          <w:szCs w:val="24"/>
        </w:rPr>
        <w:t>7.1、采用有效措施，消除施工污染。施工废水、生活废水</w:t>
      </w:r>
      <w:r>
        <w:rPr>
          <w:spacing w:val="-26"/>
          <w:sz w:val="24"/>
          <w:szCs w:val="24"/>
        </w:rPr>
        <w:t>采用沉淀池、化粪池等方式处理，</w:t>
      </w:r>
      <w:r>
        <w:rPr>
          <w:spacing w:val="-20"/>
          <w:sz w:val="24"/>
          <w:szCs w:val="24"/>
        </w:rPr>
        <w:t>清洗集料或含有油污的废水采用集油池等方式处理，不得污染水源及耕地。施工便道要经常洒水，防止车辆通过时尘土飞扬。</w:t>
      </w:r>
    </w:p>
    <w:p w14:paraId="1742239A">
      <w:pPr>
        <w:pStyle w:val="2"/>
        <w:spacing w:before="121" w:line="261" w:lineRule="auto"/>
        <w:ind w:left="1462" w:right="1414" w:firstLine="429"/>
        <w:rPr>
          <w:sz w:val="24"/>
          <w:szCs w:val="24"/>
        </w:rPr>
      </w:pPr>
      <w:r>
        <w:rPr>
          <w:spacing w:val="-22"/>
          <w:sz w:val="24"/>
          <w:szCs w:val="24"/>
        </w:rPr>
        <w:t>7.2、强化环保管理，健全环保管理机制，定期进行环保检查，及时处理违章事宜，并与地</w:t>
      </w:r>
      <w:r>
        <w:rPr>
          <w:spacing w:val="-21"/>
          <w:sz w:val="24"/>
          <w:szCs w:val="24"/>
        </w:rPr>
        <w:t>方政府的环保部门建立工作联系，接受社会及</w:t>
      </w:r>
      <w:r>
        <w:rPr>
          <w:spacing w:val="-22"/>
          <w:sz w:val="24"/>
          <w:szCs w:val="24"/>
        </w:rPr>
        <w:t>有关部门的监督。</w:t>
      </w:r>
    </w:p>
    <w:p w14:paraId="505B10F8">
      <w:pPr>
        <w:pStyle w:val="2"/>
        <w:spacing w:before="119" w:line="263" w:lineRule="auto"/>
        <w:ind w:left="1456" w:right="1413" w:firstLine="435"/>
        <w:rPr>
          <w:sz w:val="24"/>
          <w:szCs w:val="24"/>
        </w:rPr>
      </w:pPr>
      <w:r>
        <w:rPr>
          <w:spacing w:val="-22"/>
          <w:sz w:val="24"/>
          <w:szCs w:val="24"/>
        </w:rPr>
        <w:t>7.3、加强环保教育，宣传有关环保政策、知识，强化职工的环保意识，使保护环境成为参</w:t>
      </w:r>
      <w:r>
        <w:rPr>
          <w:spacing w:val="-19"/>
          <w:sz w:val="24"/>
          <w:szCs w:val="24"/>
        </w:rPr>
        <w:t>建职工的自觉行为。</w:t>
      </w:r>
    </w:p>
    <w:p w14:paraId="5856110F">
      <w:pPr>
        <w:pStyle w:val="2"/>
        <w:spacing w:before="117" w:line="217" w:lineRule="auto"/>
        <w:ind w:left="1886"/>
        <w:rPr>
          <w:sz w:val="24"/>
          <w:szCs w:val="24"/>
        </w:rPr>
      </w:pPr>
      <w:r>
        <w:rPr>
          <w:spacing w:val="-18"/>
          <w:sz w:val="24"/>
          <w:szCs w:val="24"/>
        </w:rPr>
        <w:t>8、保护生态</w:t>
      </w:r>
    </w:p>
    <w:p w14:paraId="1BCED7C5">
      <w:pPr>
        <w:pStyle w:val="2"/>
        <w:spacing w:before="120" w:line="262" w:lineRule="auto"/>
        <w:ind w:left="1467" w:right="1410" w:firstLine="419"/>
        <w:rPr>
          <w:sz w:val="24"/>
          <w:szCs w:val="24"/>
        </w:rPr>
      </w:pPr>
      <w:r>
        <w:rPr>
          <w:spacing w:val="-21"/>
          <w:sz w:val="24"/>
          <w:szCs w:val="24"/>
        </w:rPr>
        <w:t>8.1、施工中注意保护自然和生态，水资源的开发，要持</w:t>
      </w:r>
      <w:r>
        <w:rPr>
          <w:spacing w:val="-22"/>
          <w:sz w:val="24"/>
          <w:szCs w:val="24"/>
        </w:rPr>
        <w:t>许可证并报有关管理部门备案。不随便拆堵设施，保护好河渠，不污染水源，不乱砍乱伐。</w:t>
      </w:r>
    </w:p>
    <w:p w14:paraId="3AB80F6F">
      <w:pPr>
        <w:spacing w:line="45" w:lineRule="auto"/>
        <w:rPr>
          <w:rFonts w:ascii="Arial"/>
          <w:sz w:val="2"/>
        </w:rPr>
      </w:pPr>
    </w:p>
    <w:tbl>
      <w:tblPr>
        <w:tblStyle w:val="6"/>
        <w:tblW w:w="8549" w:type="dxa"/>
        <w:tblInd w:w="167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4"/>
        <w:gridCol w:w="8465"/>
      </w:tblGrid>
      <w:tr w14:paraId="652B9C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8" w:hRule="atLeast"/>
        </w:trPr>
        <w:tc>
          <w:tcPr>
            <w:tcW w:w="84" w:type="dxa"/>
            <w:tcBorders>
              <w:top w:val="single" w:color="5B9BD5" w:sz="4" w:space="0"/>
              <w:left w:val="single" w:color="5B9BD5" w:sz="4" w:space="0"/>
              <w:right w:val="nil"/>
            </w:tcBorders>
            <w:vAlign w:val="top"/>
          </w:tcPr>
          <w:p w14:paraId="0CF3EBC8">
            <w:pPr>
              <w:rPr>
                <w:rFonts w:ascii="Arial"/>
                <w:sz w:val="21"/>
              </w:rPr>
            </w:pPr>
            <w:r>
              <w:pict>
                <v:shape id="_x0000_s3970" o:spid="_x0000_s3970" style="position:absolute;left:0pt;margin-left:-0.25pt;margin-top:0pt;height:0.75pt;width:2.2pt;mso-position-horizontal-relative:page;mso-position-vertical-relative:page;z-index:252305408;mso-width-relative:page;mso-height-relative:page;" fillcolor="#5B9BD5" filled="t" stroked="f" coordsize="44,15" path="m0,14l43,14,43,0,0,0,0,14xe">
                  <v:path/>
                  <v:fill on="t" focussize="0,0"/>
                  <v:stroke on="f"/>
                  <v:imagedata o:title=""/>
                  <o:lock v:ext="edit"/>
                </v:shape>
              </w:pict>
            </w:r>
          </w:p>
        </w:tc>
        <w:tc>
          <w:tcPr>
            <w:tcW w:w="8465" w:type="dxa"/>
            <w:tcBorders>
              <w:top w:val="single" w:color="5B9BD5" w:sz="4" w:space="0"/>
              <w:left w:val="nil"/>
              <w:right w:val="single" w:color="5B9BD5" w:sz="4" w:space="0"/>
            </w:tcBorders>
            <w:shd w:val="clear" w:color="auto" w:fill="DEEAF6"/>
            <w:vAlign w:val="top"/>
          </w:tcPr>
          <w:p w14:paraId="3A483C36">
            <w:pPr>
              <w:pStyle w:val="7"/>
              <w:spacing w:before="127" w:line="215" w:lineRule="auto"/>
              <w:ind w:left="3223"/>
            </w:pPr>
            <w:r>
              <w:rPr>
                <w:b/>
                <w:bCs/>
                <w:spacing w:val="-22"/>
              </w:rPr>
              <w:t>土方运输采用环保车</w:t>
            </w:r>
          </w:p>
        </w:tc>
      </w:tr>
      <w:tr w14:paraId="7F18F9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01" w:hRule="atLeast"/>
        </w:trPr>
        <w:tc>
          <w:tcPr>
            <w:tcW w:w="8549" w:type="dxa"/>
            <w:gridSpan w:val="2"/>
            <w:tcBorders>
              <w:left w:val="single" w:color="000000" w:sz="4" w:space="0"/>
              <w:right w:val="single" w:color="000000" w:sz="4" w:space="0"/>
            </w:tcBorders>
            <w:vAlign w:val="top"/>
          </w:tcPr>
          <w:p w14:paraId="68FC85C6">
            <w:pPr>
              <w:spacing w:before="87" w:line="3007" w:lineRule="exact"/>
              <w:ind w:firstLine="116"/>
            </w:pPr>
            <w:r>
              <w:rPr>
                <w:position w:val="-60"/>
              </w:rPr>
              <w:drawing>
                <wp:inline distT="0" distB="0" distL="0" distR="0">
                  <wp:extent cx="5271770" cy="1909445"/>
                  <wp:effectExtent l="0" t="0" r="0" b="0"/>
                  <wp:docPr id="1500" name="IM 1500"/>
                  <wp:cNvGraphicFramePr/>
                  <a:graphic xmlns:a="http://schemas.openxmlformats.org/drawingml/2006/main">
                    <a:graphicData uri="http://schemas.openxmlformats.org/drawingml/2006/picture">
                      <pic:pic xmlns:pic="http://schemas.openxmlformats.org/drawingml/2006/picture">
                        <pic:nvPicPr>
                          <pic:cNvPr id="1500" name="IM 1500"/>
                          <pic:cNvPicPr/>
                        </pic:nvPicPr>
                        <pic:blipFill>
                          <a:blip r:embed="rId691"/>
                          <a:stretch>
                            <a:fillRect/>
                          </a:stretch>
                        </pic:blipFill>
                        <pic:spPr>
                          <a:xfrm>
                            <a:off x="0" y="0"/>
                            <a:ext cx="5271770" cy="1909445"/>
                          </a:xfrm>
                          <a:prstGeom prst="rect">
                            <a:avLst/>
                          </a:prstGeom>
                        </pic:spPr>
                      </pic:pic>
                    </a:graphicData>
                  </a:graphic>
                </wp:inline>
              </w:drawing>
            </w:r>
          </w:p>
        </w:tc>
      </w:tr>
      <w:tr w14:paraId="4DFEC9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8549" w:type="dxa"/>
            <w:gridSpan w:val="2"/>
            <w:tcBorders>
              <w:left w:val="single" w:color="1C456A" w:sz="4" w:space="0"/>
              <w:bottom w:val="single" w:color="1C456A" w:sz="4" w:space="0"/>
              <w:right w:val="single" w:color="1C456A" w:sz="4" w:space="0"/>
            </w:tcBorders>
            <w:vAlign w:val="top"/>
          </w:tcPr>
          <w:p w14:paraId="728AE97D">
            <w:pPr>
              <w:pStyle w:val="7"/>
              <w:spacing w:before="107" w:line="215" w:lineRule="auto"/>
              <w:ind w:left="3854"/>
            </w:pPr>
            <w:r>
              <w:pict>
                <v:shape id="_x0000_s3971" o:spid="_x0000_s3971" style="position:absolute;left:0pt;margin-left:-0.25pt;margin-top:31.5pt;height:0.75pt;width:2.2pt;mso-position-horizontal-relative:page;mso-position-vertical-relative:page;z-index:252304384;mso-width-relative:page;mso-height-relative:page;" fillcolor="#5B9BD5" filled="t" stroked="f" coordsize="44,15" path="m0,14l43,14,43,0,0,0,0,14xe">
                  <v:path/>
                  <v:fill on="t" focussize="0,0"/>
                  <v:stroke on="f"/>
                  <v:imagedata o:title=""/>
                  <o:lock v:ext="edit"/>
                </v:shape>
              </w:pict>
            </w:r>
            <w:r>
              <w:rPr>
                <w:spacing w:val="-17"/>
              </w:rPr>
              <w:t>车辆冲洗</w:t>
            </w:r>
          </w:p>
        </w:tc>
      </w:tr>
    </w:tbl>
    <w:p w14:paraId="391958B8">
      <w:pPr>
        <w:rPr>
          <w:rFonts w:ascii="Arial"/>
          <w:sz w:val="21"/>
        </w:rPr>
      </w:pPr>
    </w:p>
    <w:p w14:paraId="734D9C03">
      <w:pPr>
        <w:rPr>
          <w:rFonts w:ascii="Arial" w:hAnsi="Arial" w:eastAsia="Arial" w:cs="Arial"/>
          <w:sz w:val="21"/>
          <w:szCs w:val="21"/>
        </w:rPr>
        <w:sectPr>
          <w:footerReference r:id="rId367" w:type="default"/>
          <w:pgSz w:w="11907" w:h="16839"/>
          <w:pgMar w:top="933" w:right="4" w:bottom="1038" w:left="0" w:header="478" w:footer="357" w:gutter="0"/>
          <w:pgBorders>
            <w:top w:val="none" w:sz="0" w:space="0"/>
            <w:left w:val="none" w:sz="0" w:space="0"/>
            <w:bottom w:val="none" w:sz="0" w:space="0"/>
            <w:right w:val="none" w:sz="0" w:space="0"/>
          </w:pgBorders>
          <w:cols w:space="720" w:num="1"/>
        </w:sectPr>
      </w:pPr>
    </w:p>
    <w:p w14:paraId="5F60337A">
      <w:pPr>
        <w:spacing w:line="235" w:lineRule="exact"/>
      </w:pPr>
    </w:p>
    <w:tbl>
      <w:tblPr>
        <w:tblStyle w:val="6"/>
        <w:tblW w:w="8549" w:type="dxa"/>
        <w:tblInd w:w="167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549"/>
      </w:tblGrid>
      <w:tr w14:paraId="74ADFF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866" w:hRule="atLeast"/>
        </w:trPr>
        <w:tc>
          <w:tcPr>
            <w:tcW w:w="8549" w:type="dxa"/>
            <w:tcBorders>
              <w:top w:val="single" w:color="5B9BD5" w:sz="4" w:space="0"/>
              <w:left w:val="single" w:color="5B9BD5" w:sz="4" w:space="0"/>
              <w:right w:val="single" w:color="5B9BD5" w:sz="4" w:space="0"/>
            </w:tcBorders>
            <w:vAlign w:val="top"/>
          </w:tcPr>
          <w:p w14:paraId="217C5672">
            <w:pPr>
              <w:spacing w:before="93" w:line="3559" w:lineRule="exact"/>
              <w:ind w:firstLine="121"/>
            </w:pPr>
            <w:r>
              <w:rPr>
                <w:position w:val="-71"/>
              </w:rPr>
              <w:drawing>
                <wp:inline distT="0" distB="0" distL="0" distR="0">
                  <wp:extent cx="5265420" cy="2259965"/>
                  <wp:effectExtent l="0" t="0" r="0" b="0"/>
                  <wp:docPr id="1504" name="IM 1504"/>
                  <wp:cNvGraphicFramePr/>
                  <a:graphic xmlns:a="http://schemas.openxmlformats.org/drawingml/2006/main">
                    <a:graphicData uri="http://schemas.openxmlformats.org/drawingml/2006/picture">
                      <pic:pic xmlns:pic="http://schemas.openxmlformats.org/drawingml/2006/picture">
                        <pic:nvPicPr>
                          <pic:cNvPr id="1504" name="IM 1504"/>
                          <pic:cNvPicPr/>
                        </pic:nvPicPr>
                        <pic:blipFill>
                          <a:blip r:embed="rId692"/>
                          <a:stretch>
                            <a:fillRect/>
                          </a:stretch>
                        </pic:blipFill>
                        <pic:spPr>
                          <a:xfrm>
                            <a:off x="0" y="0"/>
                            <a:ext cx="5265420" cy="2259965"/>
                          </a:xfrm>
                          <a:prstGeom prst="rect">
                            <a:avLst/>
                          </a:prstGeom>
                        </pic:spPr>
                      </pic:pic>
                    </a:graphicData>
                  </a:graphic>
                </wp:inline>
              </w:drawing>
            </w:r>
          </w:p>
        </w:tc>
      </w:tr>
      <w:tr w14:paraId="107623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85" w:hRule="atLeast"/>
        </w:trPr>
        <w:tc>
          <w:tcPr>
            <w:tcW w:w="8549" w:type="dxa"/>
            <w:tcBorders>
              <w:left w:val="single" w:color="000000" w:sz="4" w:space="0"/>
              <w:right w:val="single" w:color="000000" w:sz="4" w:space="0"/>
            </w:tcBorders>
            <w:vAlign w:val="top"/>
          </w:tcPr>
          <w:p w14:paraId="5ABA0007">
            <w:pPr>
              <w:pStyle w:val="7"/>
              <w:spacing w:before="96" w:line="217" w:lineRule="auto"/>
              <w:ind w:left="3848"/>
            </w:pPr>
            <w:r>
              <w:rPr>
                <w:spacing w:val="-15"/>
              </w:rPr>
              <w:t>裸土覆盖</w:t>
            </w:r>
          </w:p>
        </w:tc>
      </w:tr>
      <w:tr w14:paraId="74A283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713" w:hRule="atLeast"/>
        </w:trPr>
        <w:tc>
          <w:tcPr>
            <w:tcW w:w="8549" w:type="dxa"/>
            <w:tcBorders>
              <w:left w:val="single" w:color="1C456A" w:sz="4" w:space="0"/>
              <w:bottom w:val="nil"/>
              <w:right w:val="single" w:color="1C456A" w:sz="4" w:space="0"/>
            </w:tcBorders>
            <w:vAlign w:val="top"/>
          </w:tcPr>
          <w:p w14:paraId="7A84E1B9">
            <w:pPr>
              <w:spacing w:before="60" w:line="3642" w:lineRule="exact"/>
              <w:ind w:firstLine="162"/>
            </w:pPr>
            <w:r>
              <w:rPr>
                <w:position w:val="-72"/>
              </w:rPr>
              <w:drawing>
                <wp:inline distT="0" distB="0" distL="0" distR="0">
                  <wp:extent cx="5214620" cy="2312670"/>
                  <wp:effectExtent l="0" t="0" r="0" b="0"/>
                  <wp:docPr id="1506" name="IM 1506"/>
                  <wp:cNvGraphicFramePr/>
                  <a:graphic xmlns:a="http://schemas.openxmlformats.org/drawingml/2006/main">
                    <a:graphicData uri="http://schemas.openxmlformats.org/drawingml/2006/picture">
                      <pic:pic xmlns:pic="http://schemas.openxmlformats.org/drawingml/2006/picture">
                        <pic:nvPicPr>
                          <pic:cNvPr id="1506" name="IM 1506"/>
                          <pic:cNvPicPr/>
                        </pic:nvPicPr>
                        <pic:blipFill>
                          <a:blip r:embed="rId693"/>
                          <a:stretch>
                            <a:fillRect/>
                          </a:stretch>
                        </pic:blipFill>
                        <pic:spPr>
                          <a:xfrm>
                            <a:off x="0" y="0"/>
                            <a:ext cx="5214620" cy="2313177"/>
                          </a:xfrm>
                          <a:prstGeom prst="rect">
                            <a:avLst/>
                          </a:prstGeom>
                        </pic:spPr>
                      </pic:pic>
                    </a:graphicData>
                  </a:graphic>
                </wp:inline>
              </w:drawing>
            </w:r>
          </w:p>
        </w:tc>
      </w:tr>
      <w:tr w14:paraId="38363E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0" w:hRule="atLeast"/>
        </w:trPr>
        <w:tc>
          <w:tcPr>
            <w:tcW w:w="8549" w:type="dxa"/>
            <w:tcBorders>
              <w:top w:val="nil"/>
              <w:left w:val="single" w:color="1C456A" w:sz="4" w:space="0"/>
              <w:right w:val="single" w:color="5B9BD5" w:sz="4" w:space="0"/>
            </w:tcBorders>
            <w:vAlign w:val="top"/>
          </w:tcPr>
          <w:p w14:paraId="515F3D22">
            <w:pPr>
              <w:spacing w:line="210" w:lineRule="exact"/>
              <w:rPr>
                <w:rFonts w:ascii="Arial"/>
                <w:sz w:val="18"/>
              </w:rPr>
            </w:pPr>
          </w:p>
        </w:tc>
      </w:tr>
      <w:tr w14:paraId="601806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85" w:hRule="atLeast"/>
        </w:trPr>
        <w:tc>
          <w:tcPr>
            <w:tcW w:w="8549" w:type="dxa"/>
            <w:tcBorders>
              <w:left w:val="single" w:color="000000" w:sz="4" w:space="0"/>
              <w:right w:val="single" w:color="000000" w:sz="4" w:space="0"/>
            </w:tcBorders>
            <w:vAlign w:val="top"/>
          </w:tcPr>
          <w:p w14:paraId="5C4CEC65">
            <w:pPr>
              <w:pStyle w:val="7"/>
              <w:spacing w:before="100" w:line="218" w:lineRule="auto"/>
              <w:ind w:left="3848"/>
            </w:pPr>
            <w:r>
              <w:rPr>
                <w:spacing w:val="-15"/>
              </w:rPr>
              <w:t>洒水抑尘</w:t>
            </w:r>
          </w:p>
        </w:tc>
      </w:tr>
      <w:tr w14:paraId="59D0A3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6" w:hRule="atLeast"/>
        </w:trPr>
        <w:tc>
          <w:tcPr>
            <w:tcW w:w="8549" w:type="dxa"/>
            <w:tcBorders>
              <w:bottom w:val="nil"/>
            </w:tcBorders>
            <w:vAlign w:val="top"/>
          </w:tcPr>
          <w:p w14:paraId="5849A442">
            <w:pPr>
              <w:spacing w:line="45" w:lineRule="exact"/>
              <w:rPr>
                <w:rFonts w:ascii="Arial"/>
                <w:sz w:val="4"/>
              </w:rPr>
            </w:pPr>
          </w:p>
        </w:tc>
      </w:tr>
      <w:tr w14:paraId="1C3D42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6" w:hRule="atLeast"/>
        </w:trPr>
        <w:tc>
          <w:tcPr>
            <w:tcW w:w="8549" w:type="dxa"/>
            <w:tcBorders>
              <w:top w:val="nil"/>
              <w:left w:val="single" w:color="1C456A" w:sz="4" w:space="0"/>
              <w:bottom w:val="nil"/>
              <w:right w:val="single" w:color="1C456A" w:sz="4" w:space="0"/>
            </w:tcBorders>
            <w:vAlign w:val="top"/>
          </w:tcPr>
          <w:p w14:paraId="071215AA">
            <w:pPr>
              <w:spacing w:before="7" w:line="3198" w:lineRule="exact"/>
              <w:ind w:firstLine="157"/>
            </w:pPr>
            <w:r>
              <w:rPr>
                <w:position w:val="-63"/>
              </w:rPr>
              <w:drawing>
                <wp:inline distT="0" distB="0" distL="0" distR="0">
                  <wp:extent cx="5219700" cy="2030730"/>
                  <wp:effectExtent l="0" t="0" r="0" b="0"/>
                  <wp:docPr id="1508" name="IM 1508"/>
                  <wp:cNvGraphicFramePr/>
                  <a:graphic xmlns:a="http://schemas.openxmlformats.org/drawingml/2006/main">
                    <a:graphicData uri="http://schemas.openxmlformats.org/drawingml/2006/picture">
                      <pic:pic xmlns:pic="http://schemas.openxmlformats.org/drawingml/2006/picture">
                        <pic:nvPicPr>
                          <pic:cNvPr id="1508" name="IM 1508"/>
                          <pic:cNvPicPr/>
                        </pic:nvPicPr>
                        <pic:blipFill>
                          <a:blip r:embed="rId694"/>
                          <a:stretch>
                            <a:fillRect/>
                          </a:stretch>
                        </pic:blipFill>
                        <pic:spPr>
                          <a:xfrm>
                            <a:off x="0" y="0"/>
                            <a:ext cx="5219700" cy="2031237"/>
                          </a:xfrm>
                          <a:prstGeom prst="rect">
                            <a:avLst/>
                          </a:prstGeom>
                        </pic:spPr>
                      </pic:pic>
                    </a:graphicData>
                  </a:graphic>
                </wp:inline>
              </w:drawing>
            </w:r>
          </w:p>
        </w:tc>
      </w:tr>
      <w:tr w14:paraId="2F80C7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0" w:hRule="atLeast"/>
        </w:trPr>
        <w:tc>
          <w:tcPr>
            <w:tcW w:w="8549" w:type="dxa"/>
            <w:tcBorders>
              <w:top w:val="nil"/>
              <w:left w:val="single" w:color="1C456A" w:sz="4" w:space="0"/>
              <w:right w:val="single" w:color="5B9BD5" w:sz="4" w:space="0"/>
            </w:tcBorders>
            <w:vAlign w:val="top"/>
          </w:tcPr>
          <w:p w14:paraId="3DC0F560">
            <w:pPr>
              <w:spacing w:line="210" w:lineRule="exact"/>
              <w:rPr>
                <w:rFonts w:ascii="Arial"/>
                <w:sz w:val="18"/>
              </w:rPr>
            </w:pPr>
          </w:p>
        </w:tc>
      </w:tr>
      <w:tr w14:paraId="6FB3FA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6" w:hRule="atLeast"/>
        </w:trPr>
        <w:tc>
          <w:tcPr>
            <w:tcW w:w="8549" w:type="dxa"/>
            <w:tcBorders>
              <w:left w:val="single" w:color="1C456A" w:sz="4" w:space="0"/>
              <w:bottom w:val="single" w:color="1C456A" w:sz="4" w:space="0"/>
              <w:right w:val="single" w:color="1C456A" w:sz="4" w:space="0"/>
            </w:tcBorders>
            <w:vAlign w:val="top"/>
          </w:tcPr>
          <w:p w14:paraId="47928A16">
            <w:pPr>
              <w:pStyle w:val="7"/>
              <w:spacing w:before="103" w:line="218" w:lineRule="auto"/>
              <w:ind w:left="3847"/>
            </w:pPr>
            <w:r>
              <w:pict>
                <v:shape id="_x0000_s3972" o:spid="_x0000_s3972" style="position:absolute;left:0pt;margin-left:-0.25pt;margin-top:31.35pt;height:0.75pt;width:2.2pt;mso-position-horizontal-relative:page;mso-position-vertical-relative:page;z-index:252306432;mso-width-relative:page;mso-height-relative:page;" fillcolor="#5B9BD5" filled="t" stroked="f" coordsize="44,15" path="m0,14l43,14,43,0,0,0,0,14xe">
                  <v:path/>
                  <v:fill on="t" focussize="0,0"/>
                  <v:stroke on="f"/>
                  <v:imagedata o:title=""/>
                  <o:lock v:ext="edit"/>
                </v:shape>
              </w:pict>
            </w:r>
            <w:r>
              <w:rPr>
                <w:spacing w:val="-15"/>
              </w:rPr>
              <w:t>路面清扫</w:t>
            </w:r>
          </w:p>
        </w:tc>
      </w:tr>
    </w:tbl>
    <w:p w14:paraId="09FC71BF">
      <w:pPr>
        <w:rPr>
          <w:rFonts w:ascii="Arial"/>
          <w:sz w:val="21"/>
        </w:rPr>
      </w:pPr>
    </w:p>
    <w:p w14:paraId="362F6571">
      <w:pPr>
        <w:rPr>
          <w:rFonts w:ascii="Arial" w:hAnsi="Arial" w:eastAsia="Arial" w:cs="Arial"/>
          <w:sz w:val="21"/>
          <w:szCs w:val="21"/>
        </w:rPr>
        <w:sectPr>
          <w:footerReference r:id="rId368" w:type="default"/>
          <w:pgSz w:w="11907" w:h="16839"/>
          <w:pgMar w:top="933" w:right="4" w:bottom="1038" w:left="0" w:header="478" w:footer="357" w:gutter="0"/>
          <w:pgBorders>
            <w:top w:val="none" w:sz="0" w:space="0"/>
            <w:left w:val="none" w:sz="0" w:space="0"/>
            <w:bottom w:val="none" w:sz="0" w:space="0"/>
            <w:right w:val="none" w:sz="0" w:space="0"/>
          </w:pgBorders>
          <w:cols w:space="720" w:num="1"/>
        </w:sectPr>
      </w:pPr>
    </w:p>
    <w:p w14:paraId="6E85E418">
      <w:pPr>
        <w:spacing w:line="235" w:lineRule="exact"/>
      </w:pPr>
    </w:p>
    <w:tbl>
      <w:tblPr>
        <w:tblStyle w:val="6"/>
        <w:tblW w:w="8549" w:type="dxa"/>
        <w:tblInd w:w="1678" w:type="dxa"/>
        <w:tblBorders>
          <w:top w:val="single" w:color="1C456A" w:sz="4" w:space="0"/>
          <w:left w:val="single" w:color="1C456A" w:sz="4" w:space="0"/>
          <w:bottom w:val="single" w:color="1C456A" w:sz="4" w:space="0"/>
          <w:right w:val="single" w:color="1C456A" w:sz="4" w:space="0"/>
          <w:insideH w:val="none" w:color="auto" w:sz="0" w:space="0"/>
          <w:insideV w:val="none" w:color="auto" w:sz="0" w:space="0"/>
        </w:tblBorders>
        <w:tblLayout w:type="fixed"/>
        <w:tblCellMar>
          <w:top w:w="0" w:type="dxa"/>
          <w:left w:w="0" w:type="dxa"/>
          <w:bottom w:w="0" w:type="dxa"/>
          <w:right w:w="0" w:type="dxa"/>
        </w:tblCellMar>
      </w:tblPr>
      <w:tblGrid>
        <w:gridCol w:w="8549"/>
      </w:tblGrid>
      <w:tr w14:paraId="153BC801">
        <w:tblPrEx>
          <w:tblBorders>
            <w:top w:val="single" w:color="1C456A" w:sz="4" w:space="0"/>
            <w:left w:val="single" w:color="1C456A" w:sz="4" w:space="0"/>
            <w:bottom w:val="single" w:color="1C456A" w:sz="4" w:space="0"/>
            <w:right w:val="single" w:color="1C456A" w:sz="4" w:space="0"/>
            <w:insideH w:val="none" w:color="auto" w:sz="0" w:space="0"/>
            <w:insideV w:val="none" w:color="auto" w:sz="0" w:space="0"/>
          </w:tblBorders>
        </w:tblPrEx>
        <w:trPr>
          <w:trHeight w:val="4072" w:hRule="atLeast"/>
        </w:trPr>
        <w:tc>
          <w:tcPr>
            <w:tcW w:w="8549" w:type="dxa"/>
            <w:vAlign w:val="top"/>
          </w:tcPr>
          <w:p w14:paraId="6A9B2629">
            <w:pPr>
              <w:spacing w:before="93" w:line="3730" w:lineRule="exact"/>
              <w:ind w:firstLine="118"/>
            </w:pPr>
            <w:r>
              <w:rPr>
                <w:position w:val="-74"/>
              </w:rPr>
              <w:drawing>
                <wp:inline distT="0" distB="0" distL="0" distR="0">
                  <wp:extent cx="5270500" cy="2368550"/>
                  <wp:effectExtent l="0" t="0" r="0" b="0"/>
                  <wp:docPr id="1512" name="IM 1512"/>
                  <wp:cNvGraphicFramePr/>
                  <a:graphic xmlns:a="http://schemas.openxmlformats.org/drawingml/2006/main">
                    <a:graphicData uri="http://schemas.openxmlformats.org/drawingml/2006/picture">
                      <pic:pic xmlns:pic="http://schemas.openxmlformats.org/drawingml/2006/picture">
                        <pic:nvPicPr>
                          <pic:cNvPr id="1512" name="IM 1512"/>
                          <pic:cNvPicPr/>
                        </pic:nvPicPr>
                        <pic:blipFill>
                          <a:blip r:embed="rId695"/>
                          <a:stretch>
                            <a:fillRect/>
                          </a:stretch>
                        </pic:blipFill>
                        <pic:spPr>
                          <a:xfrm>
                            <a:off x="0" y="0"/>
                            <a:ext cx="5270500" cy="2368550"/>
                          </a:xfrm>
                          <a:prstGeom prst="rect">
                            <a:avLst/>
                          </a:prstGeom>
                        </pic:spPr>
                      </pic:pic>
                    </a:graphicData>
                  </a:graphic>
                </wp:inline>
              </w:drawing>
            </w:r>
          </w:p>
        </w:tc>
      </w:tr>
    </w:tbl>
    <w:p w14:paraId="7DBC048D">
      <w:pPr>
        <w:pStyle w:val="2"/>
        <w:spacing w:before="61" w:line="216" w:lineRule="auto"/>
        <w:ind w:left="4171"/>
        <w:outlineLvl w:val="1"/>
        <w:rPr>
          <w:sz w:val="30"/>
          <w:szCs w:val="30"/>
        </w:rPr>
      </w:pPr>
      <w:bookmarkStart w:id="253" w:name="bookmark244"/>
      <w:bookmarkEnd w:id="253"/>
      <w:bookmarkStart w:id="254" w:name="bookmark243"/>
      <w:bookmarkEnd w:id="254"/>
      <w:r>
        <w:rPr>
          <w:b/>
          <w:bCs/>
          <w:color w:val="0070C0"/>
          <w:spacing w:val="-24"/>
          <w:sz w:val="30"/>
          <w:szCs w:val="30"/>
        </w:rPr>
        <w:t>第九节、季节性施工专项方案</w:t>
      </w:r>
    </w:p>
    <w:p w14:paraId="36F3C892">
      <w:pPr>
        <w:pStyle w:val="2"/>
        <w:spacing w:before="66" w:line="218" w:lineRule="auto"/>
        <w:ind w:left="1981"/>
        <w:outlineLvl w:val="2"/>
        <w:rPr>
          <w:sz w:val="28"/>
          <w:szCs w:val="28"/>
        </w:rPr>
      </w:pPr>
      <w:bookmarkStart w:id="255" w:name="bookmark312"/>
      <w:bookmarkEnd w:id="255"/>
      <w:r>
        <w:rPr>
          <w:b/>
          <w:bCs/>
          <w:spacing w:val="-22"/>
          <w:sz w:val="28"/>
          <w:szCs w:val="28"/>
        </w:rPr>
        <w:t>一、重点、难点分析</w:t>
      </w:r>
    </w:p>
    <w:p w14:paraId="7EBE1FDB">
      <w:pPr>
        <w:pStyle w:val="2"/>
        <w:spacing w:before="104" w:line="299" w:lineRule="auto"/>
        <w:ind w:left="1457" w:right="1344" w:firstLine="436"/>
        <w:jc w:val="both"/>
        <w:rPr>
          <w:sz w:val="24"/>
          <w:szCs w:val="24"/>
        </w:rPr>
      </w:pPr>
      <w:r>
        <w:rPr>
          <w:spacing w:val="-20"/>
          <w:sz w:val="24"/>
          <w:szCs w:val="24"/>
        </w:rPr>
        <w:t>纵观本工程的进度计划，本工程施工将受到雨季和冬季的影响，因此，为保证本工程的施</w:t>
      </w:r>
      <w:r>
        <w:rPr>
          <w:spacing w:val="-23"/>
          <w:sz w:val="24"/>
          <w:szCs w:val="24"/>
        </w:rPr>
        <w:t>工质量，确保本工程顺利进展，必须重视雨季和冬季施工问</w:t>
      </w:r>
      <w:r>
        <w:rPr>
          <w:spacing w:val="-24"/>
          <w:sz w:val="24"/>
          <w:szCs w:val="24"/>
        </w:rPr>
        <w:t>题，故做好季节性施工是本工程重、</w:t>
      </w:r>
      <w:r>
        <w:rPr>
          <w:spacing w:val="-21"/>
          <w:sz w:val="24"/>
          <w:szCs w:val="24"/>
        </w:rPr>
        <w:t>难点。</w:t>
      </w:r>
    </w:p>
    <w:p w14:paraId="521AB34B">
      <w:pPr>
        <w:pStyle w:val="2"/>
        <w:spacing w:line="217" w:lineRule="auto"/>
        <w:ind w:left="1986"/>
        <w:outlineLvl w:val="2"/>
        <w:rPr>
          <w:sz w:val="28"/>
          <w:szCs w:val="28"/>
        </w:rPr>
      </w:pPr>
      <w:bookmarkStart w:id="256" w:name="bookmark245"/>
      <w:bookmarkEnd w:id="256"/>
      <w:r>
        <w:rPr>
          <w:b/>
          <w:bCs/>
          <w:spacing w:val="-22"/>
          <w:sz w:val="28"/>
          <w:szCs w:val="28"/>
        </w:rPr>
        <w:t>二、对应保障措施</w:t>
      </w:r>
    </w:p>
    <w:p w14:paraId="37284F03">
      <w:pPr>
        <w:pStyle w:val="2"/>
        <w:spacing w:before="105" w:line="308" w:lineRule="auto"/>
        <w:ind w:left="1460" w:right="1409" w:firstLine="433"/>
        <w:rPr>
          <w:sz w:val="24"/>
          <w:szCs w:val="24"/>
        </w:rPr>
      </w:pPr>
      <w:r>
        <w:rPr>
          <w:spacing w:val="-20"/>
          <w:sz w:val="24"/>
          <w:szCs w:val="24"/>
        </w:rPr>
        <w:t>根据我司多年施工经验，同时结合地区气候特性，特编制《季节性（高温</w:t>
      </w:r>
      <w:r>
        <w:rPr>
          <w:spacing w:val="-21"/>
          <w:sz w:val="24"/>
          <w:szCs w:val="24"/>
        </w:rPr>
        <w:t>季节、冬季、雨季）施工措施及方案》以指导本工程</w:t>
      </w:r>
      <w:r>
        <w:rPr>
          <w:spacing w:val="-22"/>
          <w:sz w:val="24"/>
          <w:szCs w:val="24"/>
        </w:rPr>
        <w:t>施工。</w:t>
      </w:r>
    </w:p>
    <w:p w14:paraId="38C1383C">
      <w:pPr>
        <w:pStyle w:val="2"/>
        <w:spacing w:line="215" w:lineRule="auto"/>
        <w:ind w:left="1888"/>
        <w:rPr>
          <w:sz w:val="24"/>
          <w:szCs w:val="24"/>
        </w:rPr>
      </w:pPr>
      <w:r>
        <w:rPr>
          <w:spacing w:val="-13"/>
          <w:sz w:val="24"/>
          <w:szCs w:val="24"/>
        </w:rPr>
        <w:t>2.1项目所在地季节性概况</w:t>
      </w:r>
    </w:p>
    <w:p w14:paraId="6A3EFB23">
      <w:pPr>
        <w:pStyle w:val="2"/>
        <w:spacing w:before="117" w:line="308" w:lineRule="auto"/>
        <w:ind w:left="1455" w:right="1353" w:firstLine="444"/>
        <w:rPr>
          <w:sz w:val="24"/>
          <w:szCs w:val="24"/>
        </w:rPr>
      </w:pPr>
      <w:r>
        <w:rPr>
          <w:rFonts w:hint="eastAsia"/>
          <w:spacing w:val="-20"/>
          <w:sz w:val="24"/>
          <w:szCs w:val="24"/>
          <w:lang w:val="en-US" w:eastAsia="zh-CN"/>
        </w:rPr>
        <w:t>本项目</w:t>
      </w:r>
      <w:r>
        <w:rPr>
          <w:spacing w:val="-20"/>
          <w:sz w:val="24"/>
          <w:szCs w:val="24"/>
        </w:rPr>
        <w:t>属亚热带湿润季风气候。气候特点是：光照充足，雨量充沛，四季分明。年</w:t>
      </w:r>
      <w:r>
        <w:rPr>
          <w:spacing w:val="-18"/>
          <w:sz w:val="24"/>
          <w:szCs w:val="24"/>
        </w:rPr>
        <w:t>平均气温15～16℃,年平均最高气温：20℃；年平均最低气温：12℃,历史最高气温：40℃出</w:t>
      </w:r>
      <w:r>
        <w:rPr>
          <w:spacing w:val="-21"/>
          <w:sz w:val="24"/>
          <w:szCs w:val="24"/>
        </w:rPr>
        <w:t>现在1978年；历史最高气温：-13℃出</w:t>
      </w:r>
      <w:r>
        <w:rPr>
          <w:spacing w:val="-22"/>
          <w:sz w:val="24"/>
          <w:szCs w:val="24"/>
        </w:rPr>
        <w:t>现在1969年，日照时数2000小时左右。最热为7～8月，</w:t>
      </w:r>
      <w:r>
        <w:rPr>
          <w:spacing w:val="-19"/>
          <w:sz w:val="24"/>
          <w:szCs w:val="24"/>
        </w:rPr>
        <w:t>平均气温超过28℃,极端最高气温接近40℃；最冷为1月，月平均气温仅3℃,曾出现过-10℃</w:t>
      </w:r>
      <w:r>
        <w:rPr>
          <w:spacing w:val="-18"/>
          <w:sz w:val="24"/>
          <w:szCs w:val="24"/>
        </w:rPr>
        <w:t>的极端最低气温。降雨充沛，年降雨量1198.1毫</w:t>
      </w:r>
      <w:r>
        <w:rPr>
          <w:spacing w:val="-19"/>
          <w:sz w:val="24"/>
          <w:szCs w:val="24"/>
        </w:rPr>
        <w:t>米，但年内降水分布不均，主要集中在春</w:t>
      </w:r>
      <w:r>
        <w:rPr>
          <w:spacing w:val="-17"/>
          <w:sz w:val="24"/>
          <w:szCs w:val="24"/>
        </w:rPr>
        <w:t>季、梅雨季节和初冬。无霜期每年达219～24</w:t>
      </w:r>
      <w:r>
        <w:rPr>
          <w:spacing w:val="-18"/>
          <w:sz w:val="24"/>
          <w:szCs w:val="24"/>
        </w:rPr>
        <w:t>0天。</w:t>
      </w:r>
    </w:p>
    <w:p w14:paraId="6062756B">
      <w:pPr>
        <w:pStyle w:val="2"/>
        <w:spacing w:before="2" w:line="290" w:lineRule="auto"/>
        <w:ind w:left="1455" w:right="1409" w:firstLine="446"/>
        <w:jc w:val="both"/>
        <w:rPr>
          <w:sz w:val="24"/>
          <w:szCs w:val="24"/>
        </w:rPr>
      </w:pPr>
      <w:r>
        <w:rPr>
          <w:spacing w:val="-20"/>
          <w:sz w:val="24"/>
          <w:szCs w:val="24"/>
        </w:rPr>
        <w:t>气候总的特点是：冬季偏北风为主，受北方大陆冷空气侵袭，干燥寒冷；夏季以东南风为主导风，受海洋季风的影响，炎热湿润；其中春夏之交的“梅雨”天气是江南地区特有的气候特征，天气闷热、多雨、湿气较大。夏末秋初台风次数较多，狂风暴雨相结合时，往往带来较大降水，具有较大的破坏性。因此编制季节施工方案，提前规避季节性施工带来的不利影响，</w:t>
      </w:r>
      <w:r>
        <w:rPr>
          <w:spacing w:val="-21"/>
          <w:sz w:val="24"/>
          <w:szCs w:val="24"/>
        </w:rPr>
        <w:t>确保施工质量、人员安全和财产安全，有着重要的意义。</w:t>
      </w:r>
    </w:p>
    <w:tbl>
      <w:tblPr>
        <w:tblStyle w:val="6"/>
        <w:tblW w:w="9383" w:type="dxa"/>
        <w:tblInd w:w="1262" w:type="dxa"/>
        <w:tblBorders>
          <w:top w:val="single" w:color="1C456A" w:sz="4" w:space="0"/>
          <w:left w:val="single" w:color="1C456A" w:sz="4" w:space="0"/>
          <w:bottom w:val="single" w:color="1C456A" w:sz="4" w:space="0"/>
          <w:right w:val="single" w:color="1C456A" w:sz="4" w:space="0"/>
          <w:insideH w:val="single" w:color="1C456A" w:sz="4" w:space="0"/>
          <w:insideV w:val="single" w:color="1C456A" w:sz="4" w:space="0"/>
        </w:tblBorders>
        <w:shd w:val="clear" w:color="auto" w:fill="DEEAF6"/>
        <w:tblLayout w:type="fixed"/>
        <w:tblCellMar>
          <w:top w:w="0" w:type="dxa"/>
          <w:left w:w="0" w:type="dxa"/>
          <w:bottom w:w="0" w:type="dxa"/>
          <w:right w:w="0" w:type="dxa"/>
        </w:tblCellMar>
      </w:tblPr>
      <w:tblGrid>
        <w:gridCol w:w="7517"/>
        <w:gridCol w:w="1866"/>
      </w:tblGrid>
      <w:tr w14:paraId="2B7EE3B7">
        <w:tblPrEx>
          <w:tblBorders>
            <w:top w:val="single" w:color="1C456A" w:sz="4" w:space="0"/>
            <w:left w:val="single" w:color="1C456A" w:sz="4" w:space="0"/>
            <w:bottom w:val="single" w:color="1C456A" w:sz="4" w:space="0"/>
            <w:right w:val="single" w:color="1C456A" w:sz="4" w:space="0"/>
            <w:insideH w:val="single" w:color="1C456A" w:sz="4" w:space="0"/>
            <w:insideV w:val="single" w:color="1C456A" w:sz="4" w:space="0"/>
          </w:tblBorders>
          <w:shd w:val="clear" w:color="auto" w:fill="DEEAF6"/>
          <w:tblCellMar>
            <w:top w:w="0" w:type="dxa"/>
            <w:left w:w="0" w:type="dxa"/>
            <w:bottom w:w="0" w:type="dxa"/>
            <w:right w:w="0" w:type="dxa"/>
          </w:tblCellMar>
        </w:tblPrEx>
        <w:trPr>
          <w:trHeight w:val="649" w:hRule="atLeast"/>
        </w:trPr>
        <w:tc>
          <w:tcPr>
            <w:tcW w:w="7517" w:type="dxa"/>
            <w:tcBorders>
              <w:right w:val="nil"/>
            </w:tcBorders>
            <w:shd w:val="clear" w:color="auto" w:fill="DEEAF6"/>
            <w:vAlign w:val="top"/>
          </w:tcPr>
          <w:p w14:paraId="7AA71C98">
            <w:pPr>
              <w:pStyle w:val="7"/>
              <w:spacing w:before="127" w:line="218" w:lineRule="auto"/>
              <w:ind w:left="3723"/>
            </w:pPr>
            <w:r>
              <w:rPr>
                <w:b/>
                <w:bCs/>
                <w:spacing w:val="-22"/>
              </w:rPr>
              <w:t>全年温度曲线图</w:t>
            </w:r>
          </w:p>
        </w:tc>
        <w:tc>
          <w:tcPr>
            <w:tcW w:w="1866" w:type="dxa"/>
            <w:tcBorders>
              <w:left w:val="nil"/>
            </w:tcBorders>
            <w:shd w:val="clear" w:color="auto" w:fill="DEEAF6"/>
            <w:vAlign w:val="top"/>
          </w:tcPr>
          <w:p w14:paraId="6267F634">
            <w:pPr>
              <w:rPr>
                <w:rFonts w:ascii="Arial"/>
                <w:sz w:val="21"/>
              </w:rPr>
            </w:pPr>
            <w:r>
              <w:pict>
                <v:shape id="_x0000_s3973" o:spid="_x0000_s3973" style="position:absolute;left:0pt;margin-left:91.4pt;margin-top:0pt;height:0.75pt;width:2.2pt;mso-position-horizontal-relative:page;mso-position-vertical-relative:page;z-index:252307456;mso-width-relative:page;mso-height-relative:page;" fillcolor="#5B9BD5" filled="t" stroked="f" coordsize="44,15" path="m0,14l43,14,43,0,0,0,0,14xe">
                  <v:path/>
                  <v:fill on="t" focussize="0,0"/>
                  <v:stroke on="f"/>
                  <v:imagedata o:title=""/>
                  <o:lock v:ext="edit"/>
                </v:shape>
              </w:pict>
            </w:r>
            <w:r>
              <w:pict>
                <v:shape id="_x0000_s3974" o:spid="_x0000_s3974" style="position:absolute;left:0pt;margin-left:91.4pt;margin-top:32.75pt;height:0.75pt;width:2.2pt;mso-position-horizontal-relative:page;mso-position-vertical-relative:page;z-index:252308480;mso-width-relative:page;mso-height-relative:page;" fillcolor="#5B9BD5" filled="t" stroked="f" coordsize="44,15" path="m0,14l43,14,43,0,0,0,0,14xe">
                  <v:path/>
                  <v:fill on="t" focussize="0,0"/>
                  <v:stroke on="f"/>
                  <v:imagedata o:title=""/>
                  <o:lock v:ext="edit"/>
                </v:shape>
              </w:pict>
            </w:r>
          </w:p>
        </w:tc>
      </w:tr>
    </w:tbl>
    <w:p w14:paraId="674535D3">
      <w:pPr>
        <w:rPr>
          <w:rFonts w:ascii="Arial"/>
          <w:sz w:val="21"/>
        </w:rPr>
      </w:pPr>
    </w:p>
    <w:p w14:paraId="7074A4AB">
      <w:pPr>
        <w:rPr>
          <w:rFonts w:ascii="Arial" w:hAnsi="Arial" w:eastAsia="Arial" w:cs="Arial"/>
          <w:sz w:val="21"/>
          <w:szCs w:val="21"/>
        </w:rPr>
        <w:sectPr>
          <w:footerReference r:id="rId369" w:type="default"/>
          <w:pgSz w:w="11907" w:h="16839"/>
          <w:pgMar w:top="933" w:right="4" w:bottom="1038" w:left="0" w:header="478" w:footer="357" w:gutter="0"/>
          <w:pgBorders>
            <w:top w:val="none" w:sz="0" w:space="0"/>
            <w:left w:val="none" w:sz="0" w:space="0"/>
            <w:bottom w:val="none" w:sz="0" w:space="0"/>
            <w:right w:val="none" w:sz="0" w:space="0"/>
          </w:pgBorders>
          <w:cols w:space="720" w:num="1"/>
        </w:sectPr>
      </w:pPr>
    </w:p>
    <w:p w14:paraId="57CC808D">
      <w:pPr>
        <w:spacing w:line="235" w:lineRule="exact"/>
      </w:pPr>
    </w:p>
    <w:tbl>
      <w:tblPr>
        <w:tblStyle w:val="6"/>
        <w:tblW w:w="9383" w:type="dxa"/>
        <w:tblInd w:w="1262" w:type="dxa"/>
        <w:tblBorders>
          <w:top w:val="single" w:color="1C456A" w:sz="4" w:space="0"/>
          <w:left w:val="single" w:color="1C456A" w:sz="4" w:space="0"/>
          <w:bottom w:val="single" w:color="1C456A" w:sz="4" w:space="0"/>
          <w:right w:val="single" w:color="1C456A" w:sz="4" w:space="0"/>
          <w:insideH w:val="none" w:color="auto" w:sz="0" w:space="0"/>
          <w:insideV w:val="none" w:color="auto" w:sz="0" w:space="0"/>
        </w:tblBorders>
        <w:tblLayout w:type="fixed"/>
        <w:tblCellMar>
          <w:top w:w="0" w:type="dxa"/>
          <w:left w:w="0" w:type="dxa"/>
          <w:bottom w:w="0" w:type="dxa"/>
          <w:right w:w="0" w:type="dxa"/>
        </w:tblCellMar>
      </w:tblPr>
      <w:tblGrid>
        <w:gridCol w:w="9383"/>
      </w:tblGrid>
      <w:tr w14:paraId="1B76ADC2">
        <w:tblPrEx>
          <w:tblBorders>
            <w:top w:val="single" w:color="1C456A" w:sz="4" w:space="0"/>
            <w:left w:val="single" w:color="1C456A" w:sz="4" w:space="0"/>
            <w:bottom w:val="single" w:color="1C456A" w:sz="4" w:space="0"/>
            <w:right w:val="single" w:color="1C456A" w:sz="4" w:space="0"/>
            <w:insideH w:val="none" w:color="auto" w:sz="0" w:space="0"/>
            <w:insideV w:val="none" w:color="auto" w:sz="0" w:space="0"/>
          </w:tblBorders>
          <w:tblCellMar>
            <w:top w:w="0" w:type="dxa"/>
            <w:left w:w="0" w:type="dxa"/>
            <w:bottom w:w="0" w:type="dxa"/>
            <w:right w:w="0" w:type="dxa"/>
          </w:tblCellMar>
        </w:tblPrEx>
        <w:trPr>
          <w:trHeight w:val="3304" w:hRule="atLeast"/>
        </w:trPr>
        <w:tc>
          <w:tcPr>
            <w:tcW w:w="9383" w:type="dxa"/>
            <w:vAlign w:val="top"/>
          </w:tcPr>
          <w:p w14:paraId="4A49410F">
            <w:pPr>
              <w:spacing w:before="93" w:line="2964" w:lineRule="exact"/>
              <w:ind w:firstLine="532"/>
            </w:pPr>
            <w:r>
              <w:rPr>
                <w:position w:val="-59"/>
              </w:rPr>
              <w:drawing>
                <wp:inline distT="0" distB="0" distL="0" distR="0">
                  <wp:extent cx="5273675" cy="1882140"/>
                  <wp:effectExtent l="0" t="0" r="0" b="0"/>
                  <wp:docPr id="1516" name="IM 1516"/>
                  <wp:cNvGraphicFramePr/>
                  <a:graphic xmlns:a="http://schemas.openxmlformats.org/drawingml/2006/main">
                    <a:graphicData uri="http://schemas.openxmlformats.org/drawingml/2006/picture">
                      <pic:pic xmlns:pic="http://schemas.openxmlformats.org/drawingml/2006/picture">
                        <pic:nvPicPr>
                          <pic:cNvPr id="1516" name="IM 1516"/>
                          <pic:cNvPicPr/>
                        </pic:nvPicPr>
                        <pic:blipFill>
                          <a:blip r:embed="rId696"/>
                          <a:stretch>
                            <a:fillRect/>
                          </a:stretch>
                        </pic:blipFill>
                        <pic:spPr>
                          <a:xfrm>
                            <a:off x="0" y="0"/>
                            <a:ext cx="5274309" cy="1882140"/>
                          </a:xfrm>
                          <a:prstGeom prst="rect">
                            <a:avLst/>
                          </a:prstGeom>
                        </pic:spPr>
                      </pic:pic>
                    </a:graphicData>
                  </a:graphic>
                </wp:inline>
              </w:drawing>
            </w:r>
          </w:p>
        </w:tc>
      </w:tr>
    </w:tbl>
    <w:p w14:paraId="5646ED66">
      <w:pPr>
        <w:pStyle w:val="2"/>
        <w:spacing w:before="112" w:line="216" w:lineRule="auto"/>
        <w:ind w:left="1888"/>
        <w:rPr>
          <w:sz w:val="24"/>
          <w:szCs w:val="24"/>
        </w:rPr>
      </w:pPr>
      <w:r>
        <w:rPr>
          <w:spacing w:val="-19"/>
          <w:sz w:val="24"/>
          <w:szCs w:val="24"/>
        </w:rPr>
        <w:t>2.2季节性施工的标识及应对措施</w:t>
      </w:r>
    </w:p>
    <w:p w14:paraId="26A8826C">
      <w:pPr>
        <w:pStyle w:val="2"/>
        <w:spacing w:before="121" w:line="278" w:lineRule="auto"/>
        <w:ind w:left="1463" w:right="1415" w:firstLine="431"/>
        <w:rPr>
          <w:sz w:val="24"/>
          <w:szCs w:val="24"/>
        </w:rPr>
      </w:pPr>
      <w:r>
        <w:rPr>
          <w:spacing w:val="-20"/>
          <w:sz w:val="24"/>
          <w:szCs w:val="24"/>
        </w:rPr>
        <w:t>本工程在施工过程中将遭遇雨季、冬季、夏季等恶劣天气，为此，针对地区各季节中的特殊天气情况，制定本工程特殊天气下的施工措施。项目安全管理人员需要熟悉各种天气标</w:t>
      </w:r>
      <w:r>
        <w:rPr>
          <w:spacing w:val="-21"/>
          <w:sz w:val="24"/>
          <w:szCs w:val="24"/>
        </w:rPr>
        <w:t>志，以便应对各种自然灾害。</w:t>
      </w:r>
    </w:p>
    <w:tbl>
      <w:tblPr>
        <w:tblStyle w:val="6"/>
        <w:tblW w:w="9673" w:type="dxa"/>
        <w:tblInd w:w="1116"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19"/>
        <w:gridCol w:w="641"/>
        <w:gridCol w:w="750"/>
        <w:gridCol w:w="1363"/>
        <w:gridCol w:w="1055"/>
        <w:gridCol w:w="5645"/>
      </w:tblGrid>
      <w:tr w14:paraId="0AA572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0" w:hRule="atLeast"/>
        </w:trPr>
        <w:tc>
          <w:tcPr>
            <w:tcW w:w="860" w:type="dxa"/>
            <w:gridSpan w:val="2"/>
            <w:tcBorders>
              <w:top w:val="single" w:color="000000" w:sz="4" w:space="0"/>
              <w:left w:val="single" w:color="000000" w:sz="4" w:space="0"/>
            </w:tcBorders>
            <w:shd w:val="clear" w:color="auto" w:fill="DEEAF6"/>
            <w:vAlign w:val="top"/>
          </w:tcPr>
          <w:p w14:paraId="0C7B9926">
            <w:pPr>
              <w:pStyle w:val="7"/>
              <w:spacing w:before="129" w:line="218" w:lineRule="auto"/>
              <w:ind w:left="227"/>
            </w:pPr>
            <w:r>
              <w:rPr>
                <w:b/>
                <w:bCs/>
                <w:spacing w:val="-11"/>
              </w:rPr>
              <w:t>序号</w:t>
            </w:r>
          </w:p>
        </w:tc>
        <w:tc>
          <w:tcPr>
            <w:tcW w:w="750" w:type="dxa"/>
            <w:tcBorders>
              <w:top w:val="single" w:color="000000" w:sz="4" w:space="0"/>
            </w:tcBorders>
            <w:shd w:val="clear" w:color="auto" w:fill="DEEAF6"/>
            <w:vAlign w:val="top"/>
          </w:tcPr>
          <w:p w14:paraId="3CDC3C6C">
            <w:pPr>
              <w:pStyle w:val="7"/>
              <w:spacing w:before="129" w:line="219" w:lineRule="auto"/>
              <w:ind w:left="166"/>
            </w:pPr>
            <w:r>
              <w:rPr>
                <w:b/>
                <w:bCs/>
                <w:spacing w:val="-13"/>
              </w:rPr>
              <w:t>类别</w:t>
            </w:r>
          </w:p>
        </w:tc>
        <w:tc>
          <w:tcPr>
            <w:tcW w:w="1363" w:type="dxa"/>
            <w:tcBorders>
              <w:top w:val="single" w:color="000000" w:sz="4" w:space="0"/>
            </w:tcBorders>
            <w:shd w:val="clear" w:color="auto" w:fill="DEEAF6"/>
            <w:vAlign w:val="top"/>
          </w:tcPr>
          <w:p w14:paraId="002961BF">
            <w:pPr>
              <w:pStyle w:val="7"/>
              <w:spacing w:before="129" w:line="218" w:lineRule="auto"/>
              <w:ind w:left="254"/>
            </w:pPr>
            <w:r>
              <w:rPr>
                <w:b/>
                <w:bCs/>
                <w:spacing w:val="-18"/>
              </w:rPr>
              <w:t>天气标示</w:t>
            </w:r>
          </w:p>
        </w:tc>
        <w:tc>
          <w:tcPr>
            <w:tcW w:w="1055" w:type="dxa"/>
            <w:tcBorders>
              <w:top w:val="single" w:color="000000" w:sz="4" w:space="0"/>
            </w:tcBorders>
            <w:shd w:val="clear" w:color="auto" w:fill="DEEAF6"/>
            <w:vAlign w:val="top"/>
          </w:tcPr>
          <w:p w14:paraId="73DD48A4">
            <w:pPr>
              <w:pStyle w:val="7"/>
              <w:spacing w:before="129" w:line="219" w:lineRule="auto"/>
              <w:ind w:left="324"/>
            </w:pPr>
            <w:r>
              <w:rPr>
                <w:b/>
                <w:bCs/>
                <w:spacing w:val="-13"/>
              </w:rPr>
              <w:t>级别</w:t>
            </w:r>
          </w:p>
        </w:tc>
        <w:tc>
          <w:tcPr>
            <w:tcW w:w="5645" w:type="dxa"/>
            <w:tcBorders>
              <w:top w:val="single" w:color="5B9BD5" w:sz="4" w:space="0"/>
              <w:right w:val="single" w:color="5B9BD5" w:sz="4" w:space="0"/>
            </w:tcBorders>
            <w:shd w:val="clear" w:color="auto" w:fill="DEEAF6"/>
            <w:vAlign w:val="top"/>
          </w:tcPr>
          <w:p w14:paraId="527DE47D">
            <w:pPr>
              <w:pStyle w:val="7"/>
              <w:spacing w:before="128" w:line="220" w:lineRule="auto"/>
              <w:ind w:left="2612"/>
            </w:pPr>
            <w:r>
              <w:rPr>
                <w:b/>
                <w:bCs/>
                <w:spacing w:val="-13"/>
              </w:rPr>
              <w:t>含义</w:t>
            </w:r>
          </w:p>
        </w:tc>
      </w:tr>
      <w:tr w14:paraId="72F076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26" w:hRule="atLeast"/>
        </w:trPr>
        <w:tc>
          <w:tcPr>
            <w:tcW w:w="860" w:type="dxa"/>
            <w:gridSpan w:val="2"/>
            <w:tcBorders>
              <w:left w:val="single" w:color="000000" w:sz="4" w:space="0"/>
            </w:tcBorders>
            <w:vAlign w:val="top"/>
          </w:tcPr>
          <w:p w14:paraId="2A06ADE0">
            <w:pPr>
              <w:spacing w:line="386" w:lineRule="auto"/>
              <w:rPr>
                <w:rFonts w:ascii="Arial"/>
                <w:sz w:val="21"/>
              </w:rPr>
            </w:pPr>
          </w:p>
          <w:p w14:paraId="4AD6398F">
            <w:pPr>
              <w:pStyle w:val="7"/>
              <w:spacing w:before="78" w:line="238" w:lineRule="auto"/>
              <w:ind w:left="400"/>
            </w:pPr>
            <w:r>
              <w:t>1</w:t>
            </w:r>
          </w:p>
        </w:tc>
        <w:tc>
          <w:tcPr>
            <w:tcW w:w="750" w:type="dxa"/>
            <w:vMerge w:val="restart"/>
            <w:tcBorders>
              <w:bottom w:val="nil"/>
            </w:tcBorders>
            <w:vAlign w:val="top"/>
          </w:tcPr>
          <w:p w14:paraId="096D4C8B">
            <w:pPr>
              <w:spacing w:line="262" w:lineRule="auto"/>
              <w:rPr>
                <w:rFonts w:ascii="Arial"/>
                <w:sz w:val="21"/>
              </w:rPr>
            </w:pPr>
          </w:p>
          <w:p w14:paraId="4C82AE49">
            <w:pPr>
              <w:spacing w:line="262" w:lineRule="auto"/>
              <w:rPr>
                <w:rFonts w:ascii="Arial"/>
                <w:sz w:val="21"/>
              </w:rPr>
            </w:pPr>
          </w:p>
          <w:p w14:paraId="5ECEC4AC">
            <w:pPr>
              <w:spacing w:line="262" w:lineRule="auto"/>
              <w:rPr>
                <w:rFonts w:ascii="Arial"/>
                <w:sz w:val="21"/>
              </w:rPr>
            </w:pPr>
          </w:p>
          <w:p w14:paraId="71CED86E">
            <w:pPr>
              <w:spacing w:line="262" w:lineRule="auto"/>
              <w:rPr>
                <w:rFonts w:ascii="Arial"/>
                <w:sz w:val="21"/>
              </w:rPr>
            </w:pPr>
          </w:p>
          <w:p w14:paraId="4B314FC3">
            <w:pPr>
              <w:spacing w:line="262" w:lineRule="auto"/>
              <w:rPr>
                <w:rFonts w:ascii="Arial"/>
                <w:sz w:val="21"/>
              </w:rPr>
            </w:pPr>
          </w:p>
          <w:p w14:paraId="153BC868">
            <w:pPr>
              <w:spacing w:line="262" w:lineRule="auto"/>
              <w:rPr>
                <w:rFonts w:ascii="Arial"/>
                <w:sz w:val="21"/>
              </w:rPr>
            </w:pPr>
          </w:p>
          <w:p w14:paraId="79DA29DB">
            <w:pPr>
              <w:spacing w:line="262" w:lineRule="auto"/>
              <w:rPr>
                <w:rFonts w:ascii="Arial"/>
                <w:sz w:val="21"/>
              </w:rPr>
            </w:pPr>
          </w:p>
          <w:p w14:paraId="7BB9A396">
            <w:pPr>
              <w:spacing w:line="263" w:lineRule="auto"/>
              <w:rPr>
                <w:rFonts w:ascii="Arial"/>
                <w:sz w:val="21"/>
              </w:rPr>
            </w:pPr>
          </w:p>
          <w:p w14:paraId="005BFC22">
            <w:pPr>
              <w:pStyle w:val="7"/>
              <w:spacing w:before="78" w:line="218" w:lineRule="auto"/>
              <w:ind w:left="164"/>
            </w:pPr>
            <w:r>
              <w:rPr>
                <w:spacing w:val="-10"/>
              </w:rPr>
              <w:t>暴雨</w:t>
            </w:r>
          </w:p>
          <w:p w14:paraId="42B40CD9">
            <w:pPr>
              <w:pStyle w:val="7"/>
              <w:spacing w:before="184" w:line="220" w:lineRule="auto"/>
              <w:ind w:left="164"/>
            </w:pPr>
            <w:r>
              <w:rPr>
                <w:spacing w:val="-10"/>
              </w:rPr>
              <w:t>天气</w:t>
            </w:r>
          </w:p>
        </w:tc>
        <w:tc>
          <w:tcPr>
            <w:tcW w:w="1363" w:type="dxa"/>
            <w:vAlign w:val="top"/>
          </w:tcPr>
          <w:p w14:paraId="44FFA107">
            <w:pPr>
              <w:spacing w:before="57" w:line="1053" w:lineRule="exact"/>
              <w:ind w:firstLine="74"/>
            </w:pPr>
            <w:r>
              <w:rPr>
                <w:position w:val="-21"/>
              </w:rPr>
              <w:drawing>
                <wp:inline distT="0" distB="0" distL="0" distR="0">
                  <wp:extent cx="765175" cy="668020"/>
                  <wp:effectExtent l="0" t="0" r="0" b="0"/>
                  <wp:docPr id="1518" name="IM 1518"/>
                  <wp:cNvGraphicFramePr/>
                  <a:graphic xmlns:a="http://schemas.openxmlformats.org/drawingml/2006/main">
                    <a:graphicData uri="http://schemas.openxmlformats.org/drawingml/2006/picture">
                      <pic:pic xmlns:pic="http://schemas.openxmlformats.org/drawingml/2006/picture">
                        <pic:nvPicPr>
                          <pic:cNvPr id="1518" name="IM 1518"/>
                          <pic:cNvPicPr/>
                        </pic:nvPicPr>
                        <pic:blipFill>
                          <a:blip r:embed="rId697"/>
                          <a:stretch>
                            <a:fillRect/>
                          </a:stretch>
                        </pic:blipFill>
                        <pic:spPr>
                          <a:xfrm>
                            <a:off x="0" y="0"/>
                            <a:ext cx="765175" cy="668654"/>
                          </a:xfrm>
                          <a:prstGeom prst="rect">
                            <a:avLst/>
                          </a:prstGeom>
                        </pic:spPr>
                      </pic:pic>
                    </a:graphicData>
                  </a:graphic>
                </wp:inline>
              </w:drawing>
            </w:r>
          </w:p>
        </w:tc>
        <w:tc>
          <w:tcPr>
            <w:tcW w:w="1055" w:type="dxa"/>
            <w:vAlign w:val="top"/>
          </w:tcPr>
          <w:p w14:paraId="5619C5EC">
            <w:pPr>
              <w:pStyle w:val="7"/>
              <w:spacing w:before="231" w:line="218" w:lineRule="auto"/>
              <w:ind w:left="214"/>
            </w:pPr>
            <w:r>
              <w:rPr>
                <w:spacing w:val="-14"/>
              </w:rPr>
              <w:t>暴雨蓝</w:t>
            </w:r>
          </w:p>
          <w:p w14:paraId="26D0AF5A">
            <w:pPr>
              <w:pStyle w:val="7"/>
              <w:spacing w:before="184" w:line="219" w:lineRule="auto"/>
              <w:ind w:left="217"/>
            </w:pPr>
            <w:r>
              <w:rPr>
                <w:spacing w:val="-14"/>
              </w:rPr>
              <w:t>色预警</w:t>
            </w:r>
          </w:p>
        </w:tc>
        <w:tc>
          <w:tcPr>
            <w:tcW w:w="5645" w:type="dxa"/>
            <w:tcBorders>
              <w:right w:val="single" w:color="000000" w:sz="4" w:space="0"/>
            </w:tcBorders>
            <w:vAlign w:val="top"/>
          </w:tcPr>
          <w:p w14:paraId="1DB00686">
            <w:pPr>
              <w:pStyle w:val="7"/>
              <w:spacing w:before="232" w:line="217" w:lineRule="auto"/>
              <w:ind w:left="86"/>
            </w:pPr>
            <w:r>
              <w:rPr>
                <w:spacing w:val="-16"/>
              </w:rPr>
              <w:t>12小时内降雨量将达50毫米以上，或者已达50毫</w:t>
            </w:r>
            <w:r>
              <w:rPr>
                <w:spacing w:val="-17"/>
              </w:rPr>
              <w:t>米以上</w:t>
            </w:r>
          </w:p>
          <w:p w14:paraId="7446C44D">
            <w:pPr>
              <w:pStyle w:val="7"/>
              <w:spacing w:before="185" w:line="217" w:lineRule="auto"/>
              <w:ind w:left="1960"/>
            </w:pPr>
            <w:r>
              <w:rPr>
                <w:spacing w:val="-22"/>
              </w:rPr>
              <w:t>且降雨可能持续。</w:t>
            </w:r>
          </w:p>
        </w:tc>
      </w:tr>
      <w:tr w14:paraId="5A136E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85" w:hRule="atLeast"/>
        </w:trPr>
        <w:tc>
          <w:tcPr>
            <w:tcW w:w="860" w:type="dxa"/>
            <w:gridSpan w:val="2"/>
            <w:tcBorders>
              <w:left w:val="single" w:color="000000" w:sz="4" w:space="0"/>
            </w:tcBorders>
            <w:vAlign w:val="top"/>
          </w:tcPr>
          <w:p w14:paraId="0B34CA20">
            <w:pPr>
              <w:spacing w:line="366" w:lineRule="auto"/>
              <w:rPr>
                <w:rFonts w:ascii="Arial"/>
                <w:sz w:val="21"/>
              </w:rPr>
            </w:pPr>
          </w:p>
          <w:p w14:paraId="6A12CE16">
            <w:pPr>
              <w:pStyle w:val="7"/>
              <w:spacing w:before="78" w:line="238" w:lineRule="auto"/>
              <w:ind w:left="385"/>
            </w:pPr>
            <w:r>
              <w:t>2</w:t>
            </w:r>
          </w:p>
        </w:tc>
        <w:tc>
          <w:tcPr>
            <w:tcW w:w="750" w:type="dxa"/>
            <w:vMerge w:val="continue"/>
            <w:tcBorders>
              <w:top w:val="nil"/>
              <w:bottom w:val="nil"/>
            </w:tcBorders>
            <w:vAlign w:val="top"/>
          </w:tcPr>
          <w:p w14:paraId="61332490">
            <w:pPr>
              <w:rPr>
                <w:rFonts w:ascii="Arial"/>
                <w:sz w:val="21"/>
              </w:rPr>
            </w:pPr>
          </w:p>
        </w:tc>
        <w:tc>
          <w:tcPr>
            <w:tcW w:w="1363" w:type="dxa"/>
            <w:vAlign w:val="top"/>
          </w:tcPr>
          <w:p w14:paraId="67A97FE6">
            <w:pPr>
              <w:spacing w:before="58" w:line="1010" w:lineRule="exact"/>
              <w:ind w:firstLine="74"/>
            </w:pPr>
            <w:r>
              <w:rPr>
                <w:position w:val="-20"/>
              </w:rPr>
              <w:drawing>
                <wp:inline distT="0" distB="0" distL="0" distR="0">
                  <wp:extent cx="765175" cy="641350"/>
                  <wp:effectExtent l="0" t="0" r="0" b="0"/>
                  <wp:docPr id="1520" name="IM 1520"/>
                  <wp:cNvGraphicFramePr/>
                  <a:graphic xmlns:a="http://schemas.openxmlformats.org/drawingml/2006/main">
                    <a:graphicData uri="http://schemas.openxmlformats.org/drawingml/2006/picture">
                      <pic:pic xmlns:pic="http://schemas.openxmlformats.org/drawingml/2006/picture">
                        <pic:nvPicPr>
                          <pic:cNvPr id="1520" name="IM 1520"/>
                          <pic:cNvPicPr/>
                        </pic:nvPicPr>
                        <pic:blipFill>
                          <a:blip r:embed="rId698"/>
                          <a:stretch>
                            <a:fillRect/>
                          </a:stretch>
                        </pic:blipFill>
                        <pic:spPr>
                          <a:xfrm>
                            <a:off x="0" y="0"/>
                            <a:ext cx="765175" cy="641350"/>
                          </a:xfrm>
                          <a:prstGeom prst="rect">
                            <a:avLst/>
                          </a:prstGeom>
                        </pic:spPr>
                      </pic:pic>
                    </a:graphicData>
                  </a:graphic>
                </wp:inline>
              </w:drawing>
            </w:r>
          </w:p>
        </w:tc>
        <w:tc>
          <w:tcPr>
            <w:tcW w:w="1055" w:type="dxa"/>
            <w:vAlign w:val="top"/>
          </w:tcPr>
          <w:p w14:paraId="4B5832D8">
            <w:pPr>
              <w:pStyle w:val="7"/>
              <w:spacing w:before="213" w:line="218" w:lineRule="auto"/>
              <w:ind w:left="214"/>
            </w:pPr>
            <w:r>
              <w:rPr>
                <w:spacing w:val="-14"/>
              </w:rPr>
              <w:t>暴雨黄</w:t>
            </w:r>
          </w:p>
          <w:p w14:paraId="403E21F9">
            <w:pPr>
              <w:pStyle w:val="7"/>
              <w:spacing w:before="182" w:line="219" w:lineRule="auto"/>
              <w:ind w:left="217"/>
            </w:pPr>
            <w:r>
              <w:rPr>
                <w:spacing w:val="-14"/>
              </w:rPr>
              <w:t>色预警</w:t>
            </w:r>
          </w:p>
        </w:tc>
        <w:tc>
          <w:tcPr>
            <w:tcW w:w="5645" w:type="dxa"/>
            <w:tcBorders>
              <w:right w:val="single" w:color="000000" w:sz="4" w:space="0"/>
            </w:tcBorders>
            <w:vAlign w:val="top"/>
          </w:tcPr>
          <w:p w14:paraId="55B9BC52">
            <w:pPr>
              <w:pStyle w:val="7"/>
              <w:spacing w:before="213" w:line="217" w:lineRule="auto"/>
              <w:ind w:left="67"/>
            </w:pPr>
            <w:r>
              <w:rPr>
                <w:spacing w:val="-20"/>
              </w:rPr>
              <w:t>6小时降雨量将达50mm以上，或者已达50mm以上且降雨可</w:t>
            </w:r>
          </w:p>
          <w:p w14:paraId="0FC57C89">
            <w:pPr>
              <w:pStyle w:val="7"/>
              <w:spacing w:before="183" w:line="217" w:lineRule="auto"/>
              <w:ind w:left="2408"/>
            </w:pPr>
            <w:r>
              <w:rPr>
                <w:spacing w:val="-19"/>
              </w:rPr>
              <w:t>能持续。</w:t>
            </w:r>
          </w:p>
        </w:tc>
      </w:tr>
      <w:tr w14:paraId="0029AD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82" w:hRule="atLeast"/>
        </w:trPr>
        <w:tc>
          <w:tcPr>
            <w:tcW w:w="860" w:type="dxa"/>
            <w:gridSpan w:val="2"/>
            <w:tcBorders>
              <w:left w:val="single" w:color="000000" w:sz="4" w:space="0"/>
            </w:tcBorders>
            <w:vAlign w:val="top"/>
          </w:tcPr>
          <w:p w14:paraId="6158AE3E">
            <w:pPr>
              <w:spacing w:line="364" w:lineRule="auto"/>
              <w:rPr>
                <w:rFonts w:ascii="Arial"/>
                <w:sz w:val="21"/>
              </w:rPr>
            </w:pPr>
          </w:p>
          <w:p w14:paraId="62593D9D">
            <w:pPr>
              <w:pStyle w:val="7"/>
              <w:spacing w:before="78" w:line="237" w:lineRule="auto"/>
              <w:ind w:left="387"/>
            </w:pPr>
            <w:r>
              <w:t>3</w:t>
            </w:r>
          </w:p>
        </w:tc>
        <w:tc>
          <w:tcPr>
            <w:tcW w:w="750" w:type="dxa"/>
            <w:vMerge w:val="continue"/>
            <w:tcBorders>
              <w:top w:val="nil"/>
              <w:bottom w:val="nil"/>
            </w:tcBorders>
            <w:vAlign w:val="top"/>
          </w:tcPr>
          <w:p w14:paraId="73B1752C">
            <w:pPr>
              <w:rPr>
                <w:rFonts w:ascii="Arial"/>
                <w:sz w:val="21"/>
              </w:rPr>
            </w:pPr>
          </w:p>
        </w:tc>
        <w:tc>
          <w:tcPr>
            <w:tcW w:w="1363" w:type="dxa"/>
            <w:vAlign w:val="top"/>
          </w:tcPr>
          <w:p w14:paraId="039B716B">
            <w:pPr>
              <w:spacing w:before="59" w:line="1010" w:lineRule="exact"/>
              <w:ind w:firstLine="74"/>
            </w:pPr>
            <w:r>
              <w:rPr>
                <w:position w:val="-20"/>
              </w:rPr>
              <w:drawing>
                <wp:inline distT="0" distB="0" distL="0" distR="0">
                  <wp:extent cx="765175" cy="641350"/>
                  <wp:effectExtent l="0" t="0" r="0" b="0"/>
                  <wp:docPr id="1522" name="IM 1522"/>
                  <wp:cNvGraphicFramePr/>
                  <a:graphic xmlns:a="http://schemas.openxmlformats.org/drawingml/2006/main">
                    <a:graphicData uri="http://schemas.openxmlformats.org/drawingml/2006/picture">
                      <pic:pic xmlns:pic="http://schemas.openxmlformats.org/drawingml/2006/picture">
                        <pic:nvPicPr>
                          <pic:cNvPr id="1522" name="IM 1522"/>
                          <pic:cNvPicPr/>
                        </pic:nvPicPr>
                        <pic:blipFill>
                          <a:blip r:embed="rId699"/>
                          <a:stretch>
                            <a:fillRect/>
                          </a:stretch>
                        </pic:blipFill>
                        <pic:spPr>
                          <a:xfrm>
                            <a:off x="0" y="0"/>
                            <a:ext cx="765175" cy="641350"/>
                          </a:xfrm>
                          <a:prstGeom prst="rect">
                            <a:avLst/>
                          </a:prstGeom>
                        </pic:spPr>
                      </pic:pic>
                    </a:graphicData>
                  </a:graphic>
                </wp:inline>
              </w:drawing>
            </w:r>
          </w:p>
        </w:tc>
        <w:tc>
          <w:tcPr>
            <w:tcW w:w="1055" w:type="dxa"/>
            <w:vAlign w:val="top"/>
          </w:tcPr>
          <w:p w14:paraId="600261D9">
            <w:pPr>
              <w:pStyle w:val="7"/>
              <w:spacing w:before="212" w:line="218" w:lineRule="auto"/>
              <w:ind w:left="214"/>
            </w:pPr>
            <w:r>
              <w:rPr>
                <w:spacing w:val="-14"/>
              </w:rPr>
              <w:t>暴雨橙</w:t>
            </w:r>
          </w:p>
          <w:p w14:paraId="47A56F90">
            <w:pPr>
              <w:pStyle w:val="7"/>
              <w:spacing w:before="181" w:line="219" w:lineRule="auto"/>
              <w:ind w:left="217"/>
            </w:pPr>
            <w:r>
              <w:rPr>
                <w:spacing w:val="-14"/>
              </w:rPr>
              <w:t>色预警</w:t>
            </w:r>
          </w:p>
        </w:tc>
        <w:tc>
          <w:tcPr>
            <w:tcW w:w="5645" w:type="dxa"/>
            <w:tcBorders>
              <w:right w:val="single" w:color="000000" w:sz="4" w:space="0"/>
            </w:tcBorders>
            <w:vAlign w:val="top"/>
          </w:tcPr>
          <w:p w14:paraId="6BF6F4C9">
            <w:pPr>
              <w:pStyle w:val="7"/>
              <w:spacing w:before="213" w:line="217" w:lineRule="auto"/>
              <w:ind w:left="70"/>
            </w:pPr>
            <w:r>
              <w:rPr>
                <w:spacing w:val="-20"/>
              </w:rPr>
              <w:t>3小时降雨量将50mm以上，或者已达50mm以上且降雨可能</w:t>
            </w:r>
          </w:p>
          <w:p w14:paraId="3D6E64B9">
            <w:pPr>
              <w:pStyle w:val="7"/>
              <w:spacing w:before="183" w:line="218" w:lineRule="auto"/>
              <w:ind w:left="2504"/>
            </w:pPr>
            <w:r>
              <w:rPr>
                <w:spacing w:val="-14"/>
              </w:rPr>
              <w:t>持续。</w:t>
            </w:r>
          </w:p>
        </w:tc>
      </w:tr>
      <w:tr w14:paraId="1D423A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26" w:hRule="atLeast"/>
        </w:trPr>
        <w:tc>
          <w:tcPr>
            <w:tcW w:w="860" w:type="dxa"/>
            <w:gridSpan w:val="2"/>
            <w:tcBorders>
              <w:left w:val="single" w:color="000000" w:sz="4" w:space="0"/>
            </w:tcBorders>
            <w:vAlign w:val="top"/>
          </w:tcPr>
          <w:p w14:paraId="6617CB8C">
            <w:pPr>
              <w:spacing w:line="391" w:lineRule="auto"/>
              <w:rPr>
                <w:rFonts w:ascii="Arial"/>
                <w:sz w:val="21"/>
              </w:rPr>
            </w:pPr>
          </w:p>
          <w:p w14:paraId="45BBD17D">
            <w:pPr>
              <w:pStyle w:val="7"/>
              <w:spacing w:before="78" w:line="238" w:lineRule="auto"/>
              <w:ind w:left="381"/>
            </w:pPr>
            <w:r>
              <w:t>4</w:t>
            </w:r>
          </w:p>
        </w:tc>
        <w:tc>
          <w:tcPr>
            <w:tcW w:w="750" w:type="dxa"/>
            <w:vMerge w:val="continue"/>
            <w:tcBorders>
              <w:top w:val="nil"/>
            </w:tcBorders>
            <w:vAlign w:val="top"/>
          </w:tcPr>
          <w:p w14:paraId="1C168E10">
            <w:pPr>
              <w:rPr>
                <w:rFonts w:ascii="Arial"/>
                <w:sz w:val="21"/>
              </w:rPr>
            </w:pPr>
          </w:p>
        </w:tc>
        <w:tc>
          <w:tcPr>
            <w:tcW w:w="1363" w:type="dxa"/>
            <w:vAlign w:val="top"/>
          </w:tcPr>
          <w:p w14:paraId="4BAF2724">
            <w:pPr>
              <w:spacing w:before="61" w:line="1053" w:lineRule="exact"/>
              <w:ind w:firstLine="74"/>
            </w:pPr>
            <w:r>
              <w:rPr>
                <w:position w:val="-21"/>
              </w:rPr>
              <w:drawing>
                <wp:inline distT="0" distB="0" distL="0" distR="0">
                  <wp:extent cx="765175" cy="668655"/>
                  <wp:effectExtent l="0" t="0" r="0" b="0"/>
                  <wp:docPr id="1524" name="IM 1524"/>
                  <wp:cNvGraphicFramePr/>
                  <a:graphic xmlns:a="http://schemas.openxmlformats.org/drawingml/2006/main">
                    <a:graphicData uri="http://schemas.openxmlformats.org/drawingml/2006/picture">
                      <pic:pic xmlns:pic="http://schemas.openxmlformats.org/drawingml/2006/picture">
                        <pic:nvPicPr>
                          <pic:cNvPr id="1524" name="IM 1524"/>
                          <pic:cNvPicPr/>
                        </pic:nvPicPr>
                        <pic:blipFill>
                          <a:blip r:embed="rId700"/>
                          <a:stretch>
                            <a:fillRect/>
                          </a:stretch>
                        </pic:blipFill>
                        <pic:spPr>
                          <a:xfrm>
                            <a:off x="0" y="0"/>
                            <a:ext cx="765175" cy="668655"/>
                          </a:xfrm>
                          <a:prstGeom prst="rect">
                            <a:avLst/>
                          </a:prstGeom>
                        </pic:spPr>
                      </pic:pic>
                    </a:graphicData>
                  </a:graphic>
                </wp:inline>
              </w:drawing>
            </w:r>
          </w:p>
        </w:tc>
        <w:tc>
          <w:tcPr>
            <w:tcW w:w="1055" w:type="dxa"/>
            <w:vAlign w:val="top"/>
          </w:tcPr>
          <w:p w14:paraId="48520696">
            <w:pPr>
              <w:pStyle w:val="7"/>
              <w:spacing w:before="236" w:line="218" w:lineRule="auto"/>
              <w:ind w:left="214"/>
            </w:pPr>
            <w:r>
              <w:rPr>
                <w:spacing w:val="-13"/>
              </w:rPr>
              <w:t>暴雨红</w:t>
            </w:r>
          </w:p>
          <w:p w14:paraId="505C36F4">
            <w:pPr>
              <w:pStyle w:val="7"/>
              <w:spacing w:before="184" w:line="219" w:lineRule="auto"/>
              <w:ind w:left="217"/>
            </w:pPr>
            <w:r>
              <w:rPr>
                <w:spacing w:val="-14"/>
              </w:rPr>
              <w:t>色预警</w:t>
            </w:r>
          </w:p>
        </w:tc>
        <w:tc>
          <w:tcPr>
            <w:tcW w:w="5645" w:type="dxa"/>
            <w:tcBorders>
              <w:right w:val="single" w:color="000000" w:sz="4" w:space="0"/>
            </w:tcBorders>
            <w:vAlign w:val="top"/>
          </w:tcPr>
          <w:p w14:paraId="4DCACCA3">
            <w:pPr>
              <w:pStyle w:val="7"/>
              <w:spacing w:before="236" w:line="217" w:lineRule="auto"/>
              <w:ind w:left="70"/>
            </w:pPr>
            <w:r>
              <w:rPr>
                <w:spacing w:val="-21"/>
              </w:rPr>
              <w:t>3小时降雨量将达100mm以上，或者已达100mm以上且降雨</w:t>
            </w:r>
          </w:p>
          <w:p w14:paraId="2CF17450">
            <w:pPr>
              <w:pStyle w:val="7"/>
              <w:spacing w:before="185" w:line="217" w:lineRule="auto"/>
              <w:ind w:left="2287"/>
            </w:pPr>
            <w:r>
              <w:rPr>
                <w:spacing w:val="-18"/>
              </w:rPr>
              <w:t>可能持续。</w:t>
            </w:r>
          </w:p>
        </w:tc>
      </w:tr>
      <w:tr w14:paraId="6ED7B2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20" w:hRule="atLeast"/>
        </w:trPr>
        <w:tc>
          <w:tcPr>
            <w:tcW w:w="860" w:type="dxa"/>
            <w:gridSpan w:val="2"/>
            <w:tcBorders>
              <w:left w:val="single" w:color="000000" w:sz="4" w:space="0"/>
            </w:tcBorders>
            <w:vAlign w:val="top"/>
          </w:tcPr>
          <w:p w14:paraId="5493758F">
            <w:pPr>
              <w:spacing w:line="243" w:lineRule="auto"/>
              <w:rPr>
                <w:rFonts w:ascii="Arial"/>
                <w:sz w:val="21"/>
              </w:rPr>
            </w:pPr>
          </w:p>
          <w:p w14:paraId="025A1070">
            <w:pPr>
              <w:spacing w:line="244" w:lineRule="auto"/>
              <w:rPr>
                <w:rFonts w:ascii="Arial"/>
                <w:sz w:val="21"/>
              </w:rPr>
            </w:pPr>
          </w:p>
          <w:p w14:paraId="6FEF22C3">
            <w:pPr>
              <w:pStyle w:val="7"/>
              <w:spacing w:before="78" w:line="237" w:lineRule="auto"/>
              <w:ind w:left="387"/>
            </w:pPr>
            <w:r>
              <w:t>5</w:t>
            </w:r>
          </w:p>
        </w:tc>
        <w:tc>
          <w:tcPr>
            <w:tcW w:w="750" w:type="dxa"/>
            <w:vMerge w:val="restart"/>
            <w:tcBorders>
              <w:bottom w:val="nil"/>
            </w:tcBorders>
            <w:vAlign w:val="top"/>
          </w:tcPr>
          <w:p w14:paraId="5FC41F48">
            <w:pPr>
              <w:spacing w:line="252" w:lineRule="auto"/>
              <w:rPr>
                <w:rFonts w:ascii="Arial"/>
                <w:sz w:val="21"/>
              </w:rPr>
            </w:pPr>
          </w:p>
          <w:p w14:paraId="2664236E">
            <w:pPr>
              <w:spacing w:line="253" w:lineRule="auto"/>
              <w:rPr>
                <w:rFonts w:ascii="Arial"/>
                <w:sz w:val="21"/>
              </w:rPr>
            </w:pPr>
          </w:p>
          <w:p w14:paraId="0E27A4D7">
            <w:pPr>
              <w:spacing w:line="253" w:lineRule="auto"/>
              <w:rPr>
                <w:rFonts w:ascii="Arial"/>
                <w:sz w:val="21"/>
              </w:rPr>
            </w:pPr>
          </w:p>
          <w:p w14:paraId="531F74D0">
            <w:pPr>
              <w:spacing w:line="253" w:lineRule="auto"/>
              <w:rPr>
                <w:rFonts w:ascii="Arial"/>
                <w:sz w:val="21"/>
              </w:rPr>
            </w:pPr>
          </w:p>
          <w:p w14:paraId="26B9861F">
            <w:pPr>
              <w:pStyle w:val="7"/>
              <w:spacing w:before="78" w:line="220" w:lineRule="auto"/>
              <w:ind w:left="166"/>
            </w:pPr>
            <w:r>
              <w:rPr>
                <w:spacing w:val="-11"/>
              </w:rPr>
              <w:t>大风</w:t>
            </w:r>
          </w:p>
          <w:p w14:paraId="6C923377">
            <w:pPr>
              <w:pStyle w:val="7"/>
              <w:spacing w:before="182" w:line="220" w:lineRule="auto"/>
              <w:ind w:left="164"/>
            </w:pPr>
            <w:r>
              <w:rPr>
                <w:spacing w:val="-10"/>
              </w:rPr>
              <w:t>天气</w:t>
            </w:r>
          </w:p>
        </w:tc>
        <w:tc>
          <w:tcPr>
            <w:tcW w:w="1363" w:type="dxa"/>
            <w:vAlign w:val="top"/>
          </w:tcPr>
          <w:p w14:paraId="73E2DB92">
            <w:pPr>
              <w:spacing w:before="158" w:line="1053" w:lineRule="exact"/>
              <w:ind w:firstLine="74"/>
            </w:pPr>
            <w:r>
              <w:rPr>
                <w:position w:val="-21"/>
              </w:rPr>
              <w:drawing>
                <wp:inline distT="0" distB="0" distL="0" distR="0">
                  <wp:extent cx="765175" cy="668020"/>
                  <wp:effectExtent l="0" t="0" r="0" b="0"/>
                  <wp:docPr id="1526" name="IM 1526"/>
                  <wp:cNvGraphicFramePr/>
                  <a:graphic xmlns:a="http://schemas.openxmlformats.org/drawingml/2006/main">
                    <a:graphicData uri="http://schemas.openxmlformats.org/drawingml/2006/picture">
                      <pic:pic xmlns:pic="http://schemas.openxmlformats.org/drawingml/2006/picture">
                        <pic:nvPicPr>
                          <pic:cNvPr id="1526" name="IM 1526"/>
                          <pic:cNvPicPr/>
                        </pic:nvPicPr>
                        <pic:blipFill>
                          <a:blip r:embed="rId701"/>
                          <a:stretch>
                            <a:fillRect/>
                          </a:stretch>
                        </pic:blipFill>
                        <pic:spPr>
                          <a:xfrm>
                            <a:off x="0" y="0"/>
                            <a:ext cx="765175" cy="668654"/>
                          </a:xfrm>
                          <a:prstGeom prst="rect">
                            <a:avLst/>
                          </a:prstGeom>
                        </pic:spPr>
                      </pic:pic>
                    </a:graphicData>
                  </a:graphic>
                </wp:inline>
              </w:drawing>
            </w:r>
          </w:p>
        </w:tc>
        <w:tc>
          <w:tcPr>
            <w:tcW w:w="1055" w:type="dxa"/>
            <w:vAlign w:val="top"/>
          </w:tcPr>
          <w:p w14:paraId="0363EF46">
            <w:pPr>
              <w:spacing w:line="255" w:lineRule="auto"/>
              <w:rPr>
                <w:rFonts w:ascii="Arial"/>
                <w:sz w:val="21"/>
              </w:rPr>
            </w:pPr>
          </w:p>
          <w:p w14:paraId="2C328849">
            <w:pPr>
              <w:pStyle w:val="7"/>
              <w:spacing w:before="78" w:line="220" w:lineRule="auto"/>
              <w:ind w:left="216"/>
            </w:pPr>
            <w:r>
              <w:rPr>
                <w:spacing w:val="-14"/>
              </w:rPr>
              <w:t>大风蓝</w:t>
            </w:r>
          </w:p>
          <w:p w14:paraId="239424B3">
            <w:pPr>
              <w:pStyle w:val="7"/>
              <w:spacing w:before="179" w:line="219" w:lineRule="auto"/>
              <w:ind w:left="217"/>
            </w:pPr>
            <w:r>
              <w:rPr>
                <w:spacing w:val="-14"/>
              </w:rPr>
              <w:t>色预警</w:t>
            </w:r>
          </w:p>
        </w:tc>
        <w:tc>
          <w:tcPr>
            <w:tcW w:w="5645" w:type="dxa"/>
            <w:tcBorders>
              <w:right w:val="single" w:color="000000" w:sz="4" w:space="0"/>
            </w:tcBorders>
            <w:vAlign w:val="top"/>
          </w:tcPr>
          <w:p w14:paraId="2B0B7AC6">
            <w:pPr>
              <w:pStyle w:val="7"/>
              <w:spacing w:before="99" w:line="217" w:lineRule="auto"/>
              <w:ind w:left="68"/>
            </w:pPr>
            <w:r>
              <w:rPr>
                <w:spacing w:val="-22"/>
              </w:rPr>
              <w:t>24小时内可能受大风影响,平均风力可达6级以上，或者阵</w:t>
            </w:r>
          </w:p>
          <w:p w14:paraId="0B9F273D">
            <w:pPr>
              <w:pStyle w:val="7"/>
              <w:spacing w:before="187" w:line="218" w:lineRule="auto"/>
              <w:ind w:left="106"/>
            </w:pPr>
            <w:r>
              <w:rPr>
                <w:spacing w:val="-17"/>
              </w:rPr>
              <w:t>风7级以上；或者已经受大风影响,平均风力为6～7级，</w:t>
            </w:r>
          </w:p>
          <w:p w14:paraId="4DEB5F06">
            <w:pPr>
              <w:pStyle w:val="7"/>
              <w:spacing w:before="181" w:line="216" w:lineRule="auto"/>
              <w:ind w:left="1361"/>
            </w:pPr>
            <w:r>
              <w:rPr>
                <w:spacing w:val="-16"/>
              </w:rPr>
              <w:t>或者阵风7～8级并可能持续。</w:t>
            </w:r>
          </w:p>
        </w:tc>
      </w:tr>
      <w:tr w14:paraId="4254F4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58" w:hRule="atLeast"/>
        </w:trPr>
        <w:tc>
          <w:tcPr>
            <w:tcW w:w="219" w:type="dxa"/>
            <w:tcBorders>
              <w:left w:val="single" w:color="1C456A" w:sz="4" w:space="0"/>
              <w:bottom w:val="single" w:color="1C456A" w:sz="4" w:space="0"/>
              <w:right w:val="nil"/>
            </w:tcBorders>
            <w:vAlign w:val="top"/>
          </w:tcPr>
          <w:p w14:paraId="374F9639">
            <w:pPr>
              <w:rPr>
                <w:rFonts w:ascii="Arial"/>
                <w:sz w:val="21"/>
              </w:rPr>
            </w:pPr>
            <w:r>
              <w:pict>
                <v:shape id="_x0000_s3975" o:spid="_x0000_s3975" style="position:absolute;left:0pt;margin-left:-0.25pt;margin-top:77.9pt;height:0.75pt;width:2.2pt;mso-position-horizontal-relative:page;mso-position-vertical-relative:page;z-index:252310528;mso-width-relative:page;mso-height-relative:page;" fillcolor="#5B9BD5" filled="t" stroked="f" coordsize="44,15" path="m0,14l43,14,43,0,0,0,0,14xe">
                  <v:path/>
                  <v:fill on="t" focussize="0,0"/>
                  <v:stroke on="f"/>
                  <v:imagedata o:title=""/>
                  <o:lock v:ext="edit"/>
                </v:shape>
              </w:pict>
            </w:r>
          </w:p>
        </w:tc>
        <w:tc>
          <w:tcPr>
            <w:tcW w:w="641" w:type="dxa"/>
            <w:tcBorders>
              <w:left w:val="nil"/>
              <w:bottom w:val="single" w:color="1C456A" w:sz="4" w:space="0"/>
            </w:tcBorders>
            <w:vAlign w:val="top"/>
          </w:tcPr>
          <w:p w14:paraId="69148507">
            <w:pPr>
              <w:spacing w:line="243" w:lineRule="auto"/>
              <w:rPr>
                <w:rFonts w:ascii="Arial"/>
                <w:sz w:val="21"/>
              </w:rPr>
            </w:pPr>
          </w:p>
          <w:p w14:paraId="6EC9792C">
            <w:pPr>
              <w:spacing w:line="243" w:lineRule="auto"/>
              <w:rPr>
                <w:rFonts w:ascii="Arial"/>
                <w:sz w:val="21"/>
              </w:rPr>
            </w:pPr>
          </w:p>
          <w:p w14:paraId="542150E0">
            <w:pPr>
              <w:pStyle w:val="7"/>
              <w:spacing w:before="78" w:line="237" w:lineRule="auto"/>
              <w:ind w:left="170"/>
            </w:pPr>
            <w:r>
              <w:t>6</w:t>
            </w:r>
          </w:p>
        </w:tc>
        <w:tc>
          <w:tcPr>
            <w:tcW w:w="750" w:type="dxa"/>
            <w:vMerge w:val="continue"/>
            <w:tcBorders>
              <w:top w:val="nil"/>
              <w:bottom w:val="single" w:color="000000" w:sz="4" w:space="0"/>
            </w:tcBorders>
            <w:vAlign w:val="top"/>
          </w:tcPr>
          <w:p w14:paraId="288071D5">
            <w:pPr>
              <w:rPr>
                <w:rFonts w:ascii="Arial"/>
                <w:sz w:val="21"/>
              </w:rPr>
            </w:pPr>
          </w:p>
        </w:tc>
        <w:tc>
          <w:tcPr>
            <w:tcW w:w="1363" w:type="dxa"/>
            <w:tcBorders>
              <w:bottom w:val="single" w:color="000000" w:sz="4" w:space="0"/>
            </w:tcBorders>
            <w:vAlign w:val="top"/>
          </w:tcPr>
          <w:p w14:paraId="50C3AAD3">
            <w:pPr>
              <w:spacing w:before="181" w:line="1010" w:lineRule="exact"/>
              <w:ind w:firstLine="74"/>
            </w:pPr>
            <w:r>
              <w:rPr>
                <w:position w:val="-20"/>
              </w:rPr>
              <w:drawing>
                <wp:inline distT="0" distB="0" distL="0" distR="0">
                  <wp:extent cx="765175" cy="640715"/>
                  <wp:effectExtent l="0" t="0" r="0" b="0"/>
                  <wp:docPr id="1528" name="IM 1528"/>
                  <wp:cNvGraphicFramePr/>
                  <a:graphic xmlns:a="http://schemas.openxmlformats.org/drawingml/2006/main">
                    <a:graphicData uri="http://schemas.openxmlformats.org/drawingml/2006/picture">
                      <pic:pic xmlns:pic="http://schemas.openxmlformats.org/drawingml/2006/picture">
                        <pic:nvPicPr>
                          <pic:cNvPr id="1528" name="IM 1528"/>
                          <pic:cNvPicPr/>
                        </pic:nvPicPr>
                        <pic:blipFill>
                          <a:blip r:embed="rId702"/>
                          <a:stretch>
                            <a:fillRect/>
                          </a:stretch>
                        </pic:blipFill>
                        <pic:spPr>
                          <a:xfrm>
                            <a:off x="0" y="0"/>
                            <a:ext cx="765175" cy="641349"/>
                          </a:xfrm>
                          <a:prstGeom prst="rect">
                            <a:avLst/>
                          </a:prstGeom>
                        </pic:spPr>
                      </pic:pic>
                    </a:graphicData>
                  </a:graphic>
                </wp:inline>
              </w:drawing>
            </w:r>
          </w:p>
        </w:tc>
        <w:tc>
          <w:tcPr>
            <w:tcW w:w="1055" w:type="dxa"/>
            <w:tcBorders>
              <w:bottom w:val="single" w:color="000000" w:sz="4" w:space="0"/>
            </w:tcBorders>
            <w:vAlign w:val="top"/>
          </w:tcPr>
          <w:p w14:paraId="5E89619E">
            <w:pPr>
              <w:spacing w:line="254" w:lineRule="auto"/>
              <w:rPr>
                <w:rFonts w:ascii="Arial"/>
                <w:sz w:val="21"/>
              </w:rPr>
            </w:pPr>
          </w:p>
          <w:p w14:paraId="67FD5730">
            <w:pPr>
              <w:pStyle w:val="7"/>
              <w:spacing w:before="78" w:line="220" w:lineRule="auto"/>
              <w:ind w:left="216"/>
            </w:pPr>
            <w:r>
              <w:rPr>
                <w:spacing w:val="-14"/>
              </w:rPr>
              <w:t>大风黄</w:t>
            </w:r>
          </w:p>
          <w:p w14:paraId="39F8EB7B">
            <w:pPr>
              <w:pStyle w:val="7"/>
              <w:spacing w:before="179" w:line="219" w:lineRule="auto"/>
              <w:ind w:left="217"/>
            </w:pPr>
            <w:r>
              <w:rPr>
                <w:spacing w:val="-14"/>
              </w:rPr>
              <w:t>色预警</w:t>
            </w:r>
          </w:p>
        </w:tc>
        <w:tc>
          <w:tcPr>
            <w:tcW w:w="5645" w:type="dxa"/>
            <w:tcBorders>
              <w:bottom w:val="single" w:color="5B9BD5" w:sz="4" w:space="0"/>
              <w:right w:val="single" w:color="5B9BD5" w:sz="4" w:space="0"/>
            </w:tcBorders>
            <w:vAlign w:val="top"/>
          </w:tcPr>
          <w:p w14:paraId="4837DC9F">
            <w:pPr>
              <w:pStyle w:val="7"/>
              <w:spacing w:before="101" w:line="217" w:lineRule="auto"/>
              <w:ind w:left="83"/>
            </w:pPr>
            <w:r>
              <w:pict>
                <v:shape id="_x0000_s3976" o:spid="_x0000_s3976" style="position:absolute;left:0pt;margin-left:280.4pt;margin-top:77.9pt;height:0.75pt;width:2.2pt;mso-position-horizontal-relative:page;mso-position-vertical-relative:page;z-index:252309504;mso-width-relative:page;mso-height-relative:page;" fillcolor="#5B9BD5" filled="t" stroked="f" coordsize="44,15" path="m0,14l43,14,43,0,0,0,0,14xe">
                  <v:path/>
                  <v:fill on="t" focussize="0,0"/>
                  <v:stroke on="f"/>
                  <v:imagedata o:title=""/>
                  <o:lock v:ext="edit"/>
                </v:shape>
              </w:pict>
            </w:r>
            <w:r>
              <w:rPr>
                <w:spacing w:val="-22"/>
              </w:rPr>
              <w:t>12小时内可能受大风影响,平均风力可达8级以上，或者阵</w:t>
            </w:r>
          </w:p>
          <w:p w14:paraId="21802B9D">
            <w:pPr>
              <w:pStyle w:val="7"/>
              <w:spacing w:before="184" w:line="218" w:lineRule="auto"/>
              <w:ind w:left="106"/>
            </w:pPr>
            <w:r>
              <w:rPr>
                <w:spacing w:val="-17"/>
              </w:rPr>
              <w:t>风9级以上；或者已经受大风影响,平均风力为8～9级，</w:t>
            </w:r>
          </w:p>
          <w:p w14:paraId="71FF5C83">
            <w:pPr>
              <w:pStyle w:val="7"/>
              <w:spacing w:before="184" w:line="216" w:lineRule="auto"/>
              <w:ind w:left="1306"/>
            </w:pPr>
            <w:r>
              <w:rPr>
                <w:spacing w:val="-16"/>
              </w:rPr>
              <w:t>或者阵风9～10级并可能持续。</w:t>
            </w:r>
          </w:p>
        </w:tc>
      </w:tr>
    </w:tbl>
    <w:p w14:paraId="63793A7F">
      <w:pPr>
        <w:rPr>
          <w:rFonts w:ascii="Arial"/>
          <w:sz w:val="21"/>
        </w:rPr>
      </w:pPr>
    </w:p>
    <w:p w14:paraId="3F3E7302">
      <w:pPr>
        <w:rPr>
          <w:rFonts w:ascii="Arial" w:hAnsi="Arial" w:eastAsia="Arial" w:cs="Arial"/>
          <w:sz w:val="21"/>
          <w:szCs w:val="21"/>
        </w:rPr>
        <w:sectPr>
          <w:footerReference r:id="rId370" w:type="default"/>
          <w:pgSz w:w="11907" w:h="16839"/>
          <w:pgMar w:top="933" w:right="4" w:bottom="1038" w:left="0" w:header="478" w:footer="357" w:gutter="0"/>
          <w:pgBorders>
            <w:top w:val="none" w:sz="0" w:space="0"/>
            <w:left w:val="none" w:sz="0" w:space="0"/>
            <w:bottom w:val="none" w:sz="0" w:space="0"/>
            <w:right w:val="none" w:sz="0" w:space="0"/>
          </w:pgBorders>
          <w:cols w:space="720" w:num="1"/>
        </w:sectPr>
      </w:pPr>
    </w:p>
    <w:p w14:paraId="6E650ECA">
      <w:pPr>
        <w:spacing w:line="235" w:lineRule="exact"/>
      </w:pPr>
    </w:p>
    <w:tbl>
      <w:tblPr>
        <w:tblStyle w:val="6"/>
        <w:tblW w:w="9673" w:type="dxa"/>
        <w:tblInd w:w="1116"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99"/>
        <w:gridCol w:w="657"/>
        <w:gridCol w:w="753"/>
        <w:gridCol w:w="1365"/>
        <w:gridCol w:w="1057"/>
        <w:gridCol w:w="5642"/>
      </w:tblGrid>
      <w:tr w14:paraId="2EAFCD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54" w:hRule="atLeast"/>
        </w:trPr>
        <w:tc>
          <w:tcPr>
            <w:tcW w:w="856" w:type="dxa"/>
            <w:gridSpan w:val="2"/>
            <w:tcBorders>
              <w:top w:val="single" w:color="000000" w:sz="4" w:space="0"/>
              <w:left w:val="single" w:color="000000" w:sz="4" w:space="0"/>
            </w:tcBorders>
            <w:vAlign w:val="top"/>
          </w:tcPr>
          <w:p w14:paraId="5ACA4474">
            <w:pPr>
              <w:spacing w:line="257" w:lineRule="auto"/>
              <w:rPr>
                <w:rFonts w:ascii="Arial"/>
                <w:sz w:val="21"/>
              </w:rPr>
            </w:pPr>
          </w:p>
          <w:p w14:paraId="29204F12">
            <w:pPr>
              <w:spacing w:line="257" w:lineRule="auto"/>
              <w:rPr>
                <w:rFonts w:ascii="Arial"/>
                <w:sz w:val="21"/>
              </w:rPr>
            </w:pPr>
          </w:p>
          <w:p w14:paraId="088ABD20">
            <w:pPr>
              <w:pStyle w:val="7"/>
              <w:spacing w:before="78" w:line="237" w:lineRule="auto"/>
              <w:ind w:left="388"/>
            </w:pPr>
            <w:r>
              <w:t>7</w:t>
            </w:r>
          </w:p>
        </w:tc>
        <w:tc>
          <w:tcPr>
            <w:tcW w:w="753" w:type="dxa"/>
            <w:vMerge w:val="restart"/>
            <w:tcBorders>
              <w:top w:val="single" w:color="000000" w:sz="4" w:space="0"/>
              <w:bottom w:val="nil"/>
            </w:tcBorders>
            <w:vAlign w:val="top"/>
          </w:tcPr>
          <w:p w14:paraId="790BC8AF">
            <w:pPr>
              <w:rPr>
                <w:rFonts w:ascii="Arial"/>
                <w:sz w:val="21"/>
              </w:rPr>
            </w:pPr>
          </w:p>
        </w:tc>
        <w:tc>
          <w:tcPr>
            <w:tcW w:w="1365" w:type="dxa"/>
            <w:tcBorders>
              <w:top w:val="single" w:color="000000" w:sz="4" w:space="0"/>
            </w:tcBorders>
            <w:vAlign w:val="top"/>
          </w:tcPr>
          <w:p w14:paraId="3FAAF94C">
            <w:pPr>
              <w:spacing w:before="211" w:line="1010" w:lineRule="exact"/>
              <w:ind w:firstLine="75"/>
            </w:pPr>
            <w:r>
              <w:rPr>
                <w:position w:val="-20"/>
              </w:rPr>
              <w:drawing>
                <wp:inline distT="0" distB="0" distL="0" distR="0">
                  <wp:extent cx="765175" cy="641350"/>
                  <wp:effectExtent l="0" t="0" r="0" b="0"/>
                  <wp:docPr id="1532" name="IM 1532"/>
                  <wp:cNvGraphicFramePr/>
                  <a:graphic xmlns:a="http://schemas.openxmlformats.org/drawingml/2006/main">
                    <a:graphicData uri="http://schemas.openxmlformats.org/drawingml/2006/picture">
                      <pic:pic xmlns:pic="http://schemas.openxmlformats.org/drawingml/2006/picture">
                        <pic:nvPicPr>
                          <pic:cNvPr id="1532" name="IM 1532"/>
                          <pic:cNvPicPr/>
                        </pic:nvPicPr>
                        <pic:blipFill>
                          <a:blip r:embed="rId703"/>
                          <a:stretch>
                            <a:fillRect/>
                          </a:stretch>
                        </pic:blipFill>
                        <pic:spPr>
                          <a:xfrm>
                            <a:off x="0" y="0"/>
                            <a:ext cx="765175" cy="641350"/>
                          </a:xfrm>
                          <a:prstGeom prst="rect">
                            <a:avLst/>
                          </a:prstGeom>
                        </pic:spPr>
                      </pic:pic>
                    </a:graphicData>
                  </a:graphic>
                </wp:inline>
              </w:drawing>
            </w:r>
          </w:p>
        </w:tc>
        <w:tc>
          <w:tcPr>
            <w:tcW w:w="1057" w:type="dxa"/>
            <w:tcBorders>
              <w:top w:val="single" w:color="000000" w:sz="4" w:space="0"/>
            </w:tcBorders>
            <w:vAlign w:val="top"/>
          </w:tcPr>
          <w:p w14:paraId="6E07A7B9">
            <w:pPr>
              <w:spacing w:line="282" w:lineRule="auto"/>
              <w:rPr>
                <w:rFonts w:ascii="Arial"/>
                <w:sz w:val="21"/>
              </w:rPr>
            </w:pPr>
          </w:p>
          <w:p w14:paraId="453D8008">
            <w:pPr>
              <w:pStyle w:val="7"/>
              <w:spacing w:before="78" w:line="219" w:lineRule="auto"/>
              <w:ind w:left="215"/>
            </w:pPr>
            <w:r>
              <w:rPr>
                <w:spacing w:val="-14"/>
              </w:rPr>
              <w:t>大风橙</w:t>
            </w:r>
          </w:p>
          <w:p w14:paraId="27936F4A">
            <w:pPr>
              <w:pStyle w:val="7"/>
              <w:spacing w:before="183" w:line="219" w:lineRule="auto"/>
              <w:ind w:left="216"/>
            </w:pPr>
            <w:r>
              <w:rPr>
                <w:spacing w:val="-14"/>
              </w:rPr>
              <w:t>色预警</w:t>
            </w:r>
          </w:p>
        </w:tc>
        <w:tc>
          <w:tcPr>
            <w:tcW w:w="5642" w:type="dxa"/>
            <w:tcBorders>
              <w:top w:val="single" w:color="5B9BD5" w:sz="4" w:space="0"/>
              <w:right w:val="single" w:color="5B9BD5" w:sz="4" w:space="0"/>
            </w:tcBorders>
            <w:vAlign w:val="top"/>
          </w:tcPr>
          <w:p w14:paraId="500F85C2">
            <w:pPr>
              <w:pStyle w:val="7"/>
              <w:spacing w:before="128" w:line="217" w:lineRule="auto"/>
              <w:ind w:left="64"/>
            </w:pPr>
            <w:r>
              <w:rPr>
                <w:spacing w:val="-24"/>
              </w:rPr>
              <w:t>6小时内可能受大风影响,平均风力可达10级以上，或阵风</w:t>
            </w:r>
          </w:p>
          <w:p w14:paraId="5988B44F">
            <w:pPr>
              <w:pStyle w:val="7"/>
              <w:spacing w:before="184" w:line="288" w:lineRule="auto"/>
              <w:ind w:left="1358" w:right="99" w:hanging="1275"/>
            </w:pPr>
            <w:r>
              <w:rPr>
                <w:spacing w:val="-18"/>
              </w:rPr>
              <w:t>11级以上；或者已经受大风影响,平均风力为10～11级，</w:t>
            </w:r>
            <w:r>
              <w:rPr>
                <w:spacing w:val="-20"/>
              </w:rPr>
              <w:t>或阵风11～12级并可能持续。</w:t>
            </w:r>
          </w:p>
        </w:tc>
      </w:tr>
      <w:tr w14:paraId="0E5912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83" w:hRule="atLeast"/>
        </w:trPr>
        <w:tc>
          <w:tcPr>
            <w:tcW w:w="856" w:type="dxa"/>
            <w:gridSpan w:val="2"/>
            <w:tcBorders>
              <w:left w:val="single" w:color="000000" w:sz="4" w:space="0"/>
            </w:tcBorders>
            <w:vAlign w:val="top"/>
          </w:tcPr>
          <w:p w14:paraId="1E110BD9">
            <w:pPr>
              <w:spacing w:line="364" w:lineRule="auto"/>
              <w:rPr>
                <w:rFonts w:ascii="Arial"/>
                <w:sz w:val="21"/>
              </w:rPr>
            </w:pPr>
          </w:p>
          <w:p w14:paraId="142A9430">
            <w:pPr>
              <w:pStyle w:val="7"/>
              <w:spacing w:before="78" w:line="237" w:lineRule="auto"/>
              <w:ind w:left="383"/>
            </w:pPr>
            <w:r>
              <w:t>8</w:t>
            </w:r>
          </w:p>
        </w:tc>
        <w:tc>
          <w:tcPr>
            <w:tcW w:w="753" w:type="dxa"/>
            <w:vMerge w:val="continue"/>
            <w:tcBorders>
              <w:top w:val="nil"/>
            </w:tcBorders>
            <w:vAlign w:val="top"/>
          </w:tcPr>
          <w:p w14:paraId="71685F75">
            <w:pPr>
              <w:rPr>
                <w:rFonts w:ascii="Arial"/>
                <w:sz w:val="21"/>
              </w:rPr>
            </w:pPr>
          </w:p>
        </w:tc>
        <w:tc>
          <w:tcPr>
            <w:tcW w:w="1365" w:type="dxa"/>
            <w:vAlign w:val="top"/>
          </w:tcPr>
          <w:p w14:paraId="1F372B2D">
            <w:pPr>
              <w:spacing w:before="58" w:line="1010" w:lineRule="exact"/>
              <w:ind w:firstLine="75"/>
            </w:pPr>
            <w:r>
              <w:rPr>
                <w:position w:val="-20"/>
              </w:rPr>
              <w:drawing>
                <wp:inline distT="0" distB="0" distL="0" distR="0">
                  <wp:extent cx="765175" cy="641350"/>
                  <wp:effectExtent l="0" t="0" r="0" b="0"/>
                  <wp:docPr id="1534" name="IM 1534"/>
                  <wp:cNvGraphicFramePr/>
                  <a:graphic xmlns:a="http://schemas.openxmlformats.org/drawingml/2006/main">
                    <a:graphicData uri="http://schemas.openxmlformats.org/drawingml/2006/picture">
                      <pic:pic xmlns:pic="http://schemas.openxmlformats.org/drawingml/2006/picture">
                        <pic:nvPicPr>
                          <pic:cNvPr id="1534" name="IM 1534"/>
                          <pic:cNvPicPr/>
                        </pic:nvPicPr>
                        <pic:blipFill>
                          <a:blip r:embed="rId704"/>
                          <a:stretch>
                            <a:fillRect/>
                          </a:stretch>
                        </pic:blipFill>
                        <pic:spPr>
                          <a:xfrm>
                            <a:off x="0" y="0"/>
                            <a:ext cx="765175" cy="641350"/>
                          </a:xfrm>
                          <a:prstGeom prst="rect">
                            <a:avLst/>
                          </a:prstGeom>
                        </pic:spPr>
                      </pic:pic>
                    </a:graphicData>
                  </a:graphic>
                </wp:inline>
              </w:drawing>
            </w:r>
          </w:p>
        </w:tc>
        <w:tc>
          <w:tcPr>
            <w:tcW w:w="1057" w:type="dxa"/>
            <w:vAlign w:val="top"/>
          </w:tcPr>
          <w:p w14:paraId="299ABA66">
            <w:pPr>
              <w:pStyle w:val="7"/>
              <w:spacing w:before="209" w:line="220" w:lineRule="auto"/>
              <w:ind w:left="215"/>
            </w:pPr>
            <w:r>
              <w:rPr>
                <w:spacing w:val="-14"/>
              </w:rPr>
              <w:t>大风红</w:t>
            </w:r>
          </w:p>
          <w:p w14:paraId="5DD63D0B">
            <w:pPr>
              <w:pStyle w:val="7"/>
              <w:spacing w:before="182" w:line="219" w:lineRule="auto"/>
              <w:ind w:left="216"/>
            </w:pPr>
            <w:r>
              <w:rPr>
                <w:spacing w:val="-14"/>
              </w:rPr>
              <w:t>色预警</w:t>
            </w:r>
          </w:p>
        </w:tc>
        <w:tc>
          <w:tcPr>
            <w:tcW w:w="5642" w:type="dxa"/>
            <w:tcBorders>
              <w:right w:val="single" w:color="000000" w:sz="4" w:space="0"/>
            </w:tcBorders>
            <w:vAlign w:val="top"/>
          </w:tcPr>
          <w:p w14:paraId="6EFEADB7">
            <w:pPr>
              <w:pStyle w:val="7"/>
              <w:spacing w:before="209" w:line="217" w:lineRule="auto"/>
              <w:ind w:left="67"/>
            </w:pPr>
            <w:r>
              <w:rPr>
                <w:spacing w:val="-18"/>
              </w:rPr>
              <w:t>6小时内可能或已受大风影响，平均风力12级以上，或阵</w:t>
            </w:r>
          </w:p>
          <w:p w14:paraId="64FCB9E8">
            <w:pPr>
              <w:pStyle w:val="7"/>
              <w:spacing w:before="186" w:line="216" w:lineRule="auto"/>
              <w:ind w:left="1575"/>
            </w:pPr>
            <w:r>
              <w:rPr>
                <w:spacing w:val="-20"/>
              </w:rPr>
              <w:t>风13级以上并可能持续。</w:t>
            </w:r>
          </w:p>
        </w:tc>
      </w:tr>
      <w:tr w14:paraId="19792C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85" w:hRule="atLeast"/>
        </w:trPr>
        <w:tc>
          <w:tcPr>
            <w:tcW w:w="856" w:type="dxa"/>
            <w:gridSpan w:val="2"/>
            <w:tcBorders>
              <w:left w:val="single" w:color="000000" w:sz="4" w:space="0"/>
            </w:tcBorders>
            <w:vAlign w:val="top"/>
          </w:tcPr>
          <w:p w14:paraId="3EB819F7">
            <w:pPr>
              <w:spacing w:line="365" w:lineRule="auto"/>
              <w:rPr>
                <w:rFonts w:ascii="Arial"/>
                <w:sz w:val="21"/>
              </w:rPr>
            </w:pPr>
          </w:p>
          <w:p w14:paraId="482051D4">
            <w:pPr>
              <w:pStyle w:val="7"/>
              <w:spacing w:before="78" w:line="237" w:lineRule="auto"/>
              <w:ind w:left="383"/>
            </w:pPr>
            <w:r>
              <w:t>9</w:t>
            </w:r>
          </w:p>
        </w:tc>
        <w:tc>
          <w:tcPr>
            <w:tcW w:w="753" w:type="dxa"/>
            <w:vMerge w:val="restart"/>
            <w:tcBorders>
              <w:bottom w:val="nil"/>
            </w:tcBorders>
            <w:vAlign w:val="top"/>
          </w:tcPr>
          <w:p w14:paraId="4D72A184">
            <w:pPr>
              <w:spacing w:line="285" w:lineRule="auto"/>
              <w:rPr>
                <w:rFonts w:ascii="Arial"/>
                <w:sz w:val="21"/>
              </w:rPr>
            </w:pPr>
          </w:p>
          <w:p w14:paraId="3833E1EB">
            <w:pPr>
              <w:spacing w:line="285" w:lineRule="auto"/>
              <w:rPr>
                <w:rFonts w:ascii="Arial"/>
                <w:sz w:val="21"/>
              </w:rPr>
            </w:pPr>
          </w:p>
          <w:p w14:paraId="4A65F93E">
            <w:pPr>
              <w:spacing w:line="286" w:lineRule="auto"/>
              <w:rPr>
                <w:rFonts w:ascii="Arial"/>
                <w:sz w:val="21"/>
              </w:rPr>
            </w:pPr>
          </w:p>
          <w:p w14:paraId="7F03C476">
            <w:pPr>
              <w:spacing w:line="286" w:lineRule="auto"/>
              <w:rPr>
                <w:rFonts w:ascii="Arial"/>
                <w:sz w:val="21"/>
              </w:rPr>
            </w:pPr>
          </w:p>
          <w:p w14:paraId="14FEBA03">
            <w:pPr>
              <w:spacing w:line="286" w:lineRule="auto"/>
              <w:rPr>
                <w:rFonts w:ascii="Arial"/>
                <w:sz w:val="21"/>
              </w:rPr>
            </w:pPr>
          </w:p>
          <w:p w14:paraId="232DBA62">
            <w:pPr>
              <w:pStyle w:val="7"/>
              <w:spacing w:before="78" w:line="220" w:lineRule="auto"/>
              <w:ind w:left="175"/>
            </w:pPr>
            <w:r>
              <w:rPr>
                <w:spacing w:val="-12"/>
              </w:rPr>
              <w:t>高温</w:t>
            </w:r>
          </w:p>
          <w:p w14:paraId="61E28936">
            <w:pPr>
              <w:pStyle w:val="7"/>
              <w:spacing w:before="179" w:line="220" w:lineRule="auto"/>
              <w:ind w:left="168"/>
            </w:pPr>
            <w:r>
              <w:rPr>
                <w:spacing w:val="-10"/>
              </w:rPr>
              <w:t>天气</w:t>
            </w:r>
          </w:p>
        </w:tc>
        <w:tc>
          <w:tcPr>
            <w:tcW w:w="1365" w:type="dxa"/>
            <w:vAlign w:val="top"/>
          </w:tcPr>
          <w:p w14:paraId="4FD1F0E6">
            <w:pPr>
              <w:spacing w:before="59" w:line="1010" w:lineRule="exact"/>
              <w:ind w:firstLine="75"/>
            </w:pPr>
            <w:r>
              <w:rPr>
                <w:position w:val="-20"/>
              </w:rPr>
              <w:drawing>
                <wp:inline distT="0" distB="0" distL="0" distR="0">
                  <wp:extent cx="765175" cy="641350"/>
                  <wp:effectExtent l="0" t="0" r="0" b="0"/>
                  <wp:docPr id="1536" name="IM 1536"/>
                  <wp:cNvGraphicFramePr/>
                  <a:graphic xmlns:a="http://schemas.openxmlformats.org/drawingml/2006/main">
                    <a:graphicData uri="http://schemas.openxmlformats.org/drawingml/2006/picture">
                      <pic:pic xmlns:pic="http://schemas.openxmlformats.org/drawingml/2006/picture">
                        <pic:nvPicPr>
                          <pic:cNvPr id="1536" name="IM 1536"/>
                          <pic:cNvPicPr/>
                        </pic:nvPicPr>
                        <pic:blipFill>
                          <a:blip r:embed="rId705"/>
                          <a:stretch>
                            <a:fillRect/>
                          </a:stretch>
                        </pic:blipFill>
                        <pic:spPr>
                          <a:xfrm>
                            <a:off x="0" y="0"/>
                            <a:ext cx="765175" cy="641350"/>
                          </a:xfrm>
                          <a:prstGeom prst="rect">
                            <a:avLst/>
                          </a:prstGeom>
                        </pic:spPr>
                      </pic:pic>
                    </a:graphicData>
                  </a:graphic>
                </wp:inline>
              </w:drawing>
            </w:r>
          </w:p>
        </w:tc>
        <w:tc>
          <w:tcPr>
            <w:tcW w:w="1057" w:type="dxa"/>
            <w:vAlign w:val="top"/>
          </w:tcPr>
          <w:p w14:paraId="4CE0C794">
            <w:pPr>
              <w:pStyle w:val="7"/>
              <w:spacing w:before="212" w:line="220" w:lineRule="auto"/>
              <w:ind w:left="220"/>
            </w:pPr>
            <w:r>
              <w:rPr>
                <w:spacing w:val="-15"/>
              </w:rPr>
              <w:t>高温黄</w:t>
            </w:r>
          </w:p>
          <w:p w14:paraId="2A1FB688">
            <w:pPr>
              <w:pStyle w:val="7"/>
              <w:spacing w:before="179" w:line="219" w:lineRule="auto"/>
              <w:ind w:left="216"/>
            </w:pPr>
            <w:r>
              <w:rPr>
                <w:spacing w:val="-14"/>
              </w:rPr>
              <w:t>色预警</w:t>
            </w:r>
          </w:p>
        </w:tc>
        <w:tc>
          <w:tcPr>
            <w:tcW w:w="5642" w:type="dxa"/>
            <w:tcBorders>
              <w:right w:val="single" w:color="000000" w:sz="4" w:space="0"/>
            </w:tcBorders>
            <w:vAlign w:val="top"/>
          </w:tcPr>
          <w:p w14:paraId="52BE30B2">
            <w:pPr>
              <w:spacing w:line="366" w:lineRule="auto"/>
              <w:rPr>
                <w:rFonts w:ascii="Arial"/>
                <w:sz w:val="21"/>
              </w:rPr>
            </w:pPr>
          </w:p>
          <w:p w14:paraId="0B96B715">
            <w:pPr>
              <w:pStyle w:val="7"/>
              <w:spacing w:before="78" w:line="215" w:lineRule="auto"/>
              <w:ind w:left="1055"/>
            </w:pPr>
            <w:r>
              <w:rPr>
                <w:spacing w:val="-16"/>
              </w:rPr>
              <w:t>连续三天日最高气温将在35℃以上。</w:t>
            </w:r>
          </w:p>
        </w:tc>
      </w:tr>
      <w:tr w14:paraId="1AA6A4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62" w:hRule="atLeast"/>
        </w:trPr>
        <w:tc>
          <w:tcPr>
            <w:tcW w:w="856" w:type="dxa"/>
            <w:gridSpan w:val="2"/>
            <w:tcBorders>
              <w:left w:val="single" w:color="000000" w:sz="4" w:space="0"/>
            </w:tcBorders>
            <w:vAlign w:val="top"/>
          </w:tcPr>
          <w:p w14:paraId="3C6D99A1">
            <w:pPr>
              <w:spacing w:line="355" w:lineRule="auto"/>
              <w:rPr>
                <w:rFonts w:ascii="Arial"/>
                <w:sz w:val="21"/>
              </w:rPr>
            </w:pPr>
          </w:p>
          <w:p w14:paraId="52847BCD">
            <w:pPr>
              <w:pStyle w:val="7"/>
              <w:spacing w:before="78" w:line="237" w:lineRule="auto"/>
              <w:ind w:left="345"/>
            </w:pPr>
            <w:r>
              <w:rPr>
                <w:spacing w:val="-10"/>
              </w:rPr>
              <w:t>10</w:t>
            </w:r>
          </w:p>
        </w:tc>
        <w:tc>
          <w:tcPr>
            <w:tcW w:w="753" w:type="dxa"/>
            <w:vMerge w:val="continue"/>
            <w:tcBorders>
              <w:top w:val="nil"/>
              <w:bottom w:val="nil"/>
            </w:tcBorders>
            <w:vAlign w:val="top"/>
          </w:tcPr>
          <w:p w14:paraId="35AC91D1">
            <w:pPr>
              <w:rPr>
                <w:rFonts w:ascii="Arial"/>
                <w:sz w:val="21"/>
              </w:rPr>
            </w:pPr>
          </w:p>
        </w:tc>
        <w:tc>
          <w:tcPr>
            <w:tcW w:w="1365" w:type="dxa"/>
            <w:vAlign w:val="top"/>
          </w:tcPr>
          <w:p w14:paraId="5ED07E53">
            <w:pPr>
              <w:spacing w:before="60" w:line="989" w:lineRule="exact"/>
              <w:ind w:firstLine="75"/>
            </w:pPr>
            <w:r>
              <w:rPr>
                <w:position w:val="-19"/>
              </w:rPr>
              <w:drawing>
                <wp:inline distT="0" distB="0" distL="0" distR="0">
                  <wp:extent cx="765175" cy="628015"/>
                  <wp:effectExtent l="0" t="0" r="0" b="0"/>
                  <wp:docPr id="1538" name="IM 1538"/>
                  <wp:cNvGraphicFramePr/>
                  <a:graphic xmlns:a="http://schemas.openxmlformats.org/drawingml/2006/main">
                    <a:graphicData uri="http://schemas.openxmlformats.org/drawingml/2006/picture">
                      <pic:pic xmlns:pic="http://schemas.openxmlformats.org/drawingml/2006/picture">
                        <pic:nvPicPr>
                          <pic:cNvPr id="1538" name="IM 1538"/>
                          <pic:cNvPicPr/>
                        </pic:nvPicPr>
                        <pic:blipFill>
                          <a:blip r:embed="rId706"/>
                          <a:stretch>
                            <a:fillRect/>
                          </a:stretch>
                        </pic:blipFill>
                        <pic:spPr>
                          <a:xfrm>
                            <a:off x="0" y="0"/>
                            <a:ext cx="765175" cy="628015"/>
                          </a:xfrm>
                          <a:prstGeom prst="rect">
                            <a:avLst/>
                          </a:prstGeom>
                        </pic:spPr>
                      </pic:pic>
                    </a:graphicData>
                  </a:graphic>
                </wp:inline>
              </w:drawing>
            </w:r>
          </w:p>
        </w:tc>
        <w:tc>
          <w:tcPr>
            <w:tcW w:w="1057" w:type="dxa"/>
            <w:vAlign w:val="top"/>
          </w:tcPr>
          <w:p w14:paraId="6F0E54D8">
            <w:pPr>
              <w:pStyle w:val="7"/>
              <w:spacing w:before="202" w:line="219" w:lineRule="auto"/>
              <w:ind w:left="220"/>
            </w:pPr>
            <w:r>
              <w:rPr>
                <w:spacing w:val="-16"/>
              </w:rPr>
              <w:t>高温橙</w:t>
            </w:r>
          </w:p>
          <w:p w14:paraId="0D8D7716">
            <w:pPr>
              <w:pStyle w:val="7"/>
              <w:spacing w:before="180" w:line="219" w:lineRule="auto"/>
              <w:ind w:left="216"/>
            </w:pPr>
            <w:r>
              <w:rPr>
                <w:spacing w:val="-14"/>
              </w:rPr>
              <w:t>色预警</w:t>
            </w:r>
          </w:p>
        </w:tc>
        <w:tc>
          <w:tcPr>
            <w:tcW w:w="5642" w:type="dxa"/>
            <w:tcBorders>
              <w:right w:val="single" w:color="000000" w:sz="4" w:space="0"/>
            </w:tcBorders>
            <w:vAlign w:val="top"/>
          </w:tcPr>
          <w:p w14:paraId="5ACAFD42">
            <w:pPr>
              <w:spacing w:line="356" w:lineRule="auto"/>
              <w:rPr>
                <w:rFonts w:ascii="Arial"/>
                <w:sz w:val="21"/>
              </w:rPr>
            </w:pPr>
          </w:p>
          <w:p w14:paraId="3E8394D2">
            <w:pPr>
              <w:pStyle w:val="7"/>
              <w:spacing w:before="78" w:line="217" w:lineRule="auto"/>
              <w:ind w:left="912"/>
            </w:pPr>
            <w:r>
              <w:rPr>
                <w:spacing w:val="-17"/>
              </w:rPr>
              <w:t>24小时内最高气温将要升至37℃以上。</w:t>
            </w:r>
          </w:p>
        </w:tc>
      </w:tr>
      <w:tr w14:paraId="7A1546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28" w:hRule="atLeast"/>
        </w:trPr>
        <w:tc>
          <w:tcPr>
            <w:tcW w:w="856" w:type="dxa"/>
            <w:gridSpan w:val="2"/>
            <w:tcBorders>
              <w:left w:val="single" w:color="000000" w:sz="4" w:space="0"/>
            </w:tcBorders>
            <w:vAlign w:val="top"/>
          </w:tcPr>
          <w:p w14:paraId="370BF060">
            <w:pPr>
              <w:spacing w:line="389" w:lineRule="auto"/>
              <w:rPr>
                <w:rFonts w:ascii="Arial"/>
                <w:sz w:val="21"/>
              </w:rPr>
            </w:pPr>
          </w:p>
          <w:p w14:paraId="32D6F580">
            <w:pPr>
              <w:pStyle w:val="7"/>
              <w:spacing w:before="78" w:line="238" w:lineRule="auto"/>
              <w:ind w:left="345"/>
            </w:pPr>
            <w:r>
              <w:rPr>
                <w:spacing w:val="-10"/>
              </w:rPr>
              <w:t>11</w:t>
            </w:r>
          </w:p>
        </w:tc>
        <w:tc>
          <w:tcPr>
            <w:tcW w:w="753" w:type="dxa"/>
            <w:vMerge w:val="continue"/>
            <w:tcBorders>
              <w:top w:val="nil"/>
            </w:tcBorders>
            <w:vAlign w:val="top"/>
          </w:tcPr>
          <w:p w14:paraId="03A656D4">
            <w:pPr>
              <w:rPr>
                <w:rFonts w:ascii="Arial"/>
                <w:sz w:val="21"/>
              </w:rPr>
            </w:pPr>
          </w:p>
        </w:tc>
        <w:tc>
          <w:tcPr>
            <w:tcW w:w="1365" w:type="dxa"/>
            <w:vAlign w:val="top"/>
          </w:tcPr>
          <w:p w14:paraId="7D523944">
            <w:pPr>
              <w:spacing w:before="60" w:line="1054" w:lineRule="exact"/>
              <w:ind w:firstLine="75"/>
            </w:pPr>
            <w:r>
              <w:rPr>
                <w:position w:val="-21"/>
              </w:rPr>
              <w:drawing>
                <wp:inline distT="0" distB="0" distL="0" distR="0">
                  <wp:extent cx="765175" cy="669290"/>
                  <wp:effectExtent l="0" t="0" r="0" b="0"/>
                  <wp:docPr id="1540" name="IM 1540"/>
                  <wp:cNvGraphicFramePr/>
                  <a:graphic xmlns:a="http://schemas.openxmlformats.org/drawingml/2006/main">
                    <a:graphicData uri="http://schemas.openxmlformats.org/drawingml/2006/picture">
                      <pic:pic xmlns:pic="http://schemas.openxmlformats.org/drawingml/2006/picture">
                        <pic:nvPicPr>
                          <pic:cNvPr id="1540" name="IM 1540"/>
                          <pic:cNvPicPr/>
                        </pic:nvPicPr>
                        <pic:blipFill>
                          <a:blip r:embed="rId707"/>
                          <a:stretch>
                            <a:fillRect/>
                          </a:stretch>
                        </pic:blipFill>
                        <pic:spPr>
                          <a:xfrm>
                            <a:off x="0" y="0"/>
                            <a:ext cx="765175" cy="669290"/>
                          </a:xfrm>
                          <a:prstGeom prst="rect">
                            <a:avLst/>
                          </a:prstGeom>
                        </pic:spPr>
                      </pic:pic>
                    </a:graphicData>
                  </a:graphic>
                </wp:inline>
              </w:drawing>
            </w:r>
          </w:p>
        </w:tc>
        <w:tc>
          <w:tcPr>
            <w:tcW w:w="1057" w:type="dxa"/>
            <w:vAlign w:val="top"/>
          </w:tcPr>
          <w:p w14:paraId="14A02209">
            <w:pPr>
              <w:pStyle w:val="7"/>
              <w:spacing w:before="234" w:line="220" w:lineRule="auto"/>
              <w:ind w:left="220"/>
            </w:pPr>
            <w:r>
              <w:rPr>
                <w:spacing w:val="-15"/>
              </w:rPr>
              <w:t>高温红</w:t>
            </w:r>
          </w:p>
          <w:p w14:paraId="3FAE456B">
            <w:pPr>
              <w:pStyle w:val="7"/>
              <w:spacing w:before="181" w:line="219" w:lineRule="auto"/>
              <w:ind w:left="216"/>
            </w:pPr>
            <w:r>
              <w:rPr>
                <w:spacing w:val="-14"/>
              </w:rPr>
              <w:t>色预警</w:t>
            </w:r>
          </w:p>
        </w:tc>
        <w:tc>
          <w:tcPr>
            <w:tcW w:w="5642" w:type="dxa"/>
            <w:tcBorders>
              <w:right w:val="single" w:color="000000" w:sz="4" w:space="0"/>
            </w:tcBorders>
            <w:vAlign w:val="top"/>
          </w:tcPr>
          <w:p w14:paraId="7DBA81A1">
            <w:pPr>
              <w:spacing w:line="389" w:lineRule="auto"/>
              <w:rPr>
                <w:rFonts w:ascii="Arial"/>
                <w:sz w:val="21"/>
              </w:rPr>
            </w:pPr>
          </w:p>
          <w:p w14:paraId="6F8E9853">
            <w:pPr>
              <w:pStyle w:val="7"/>
              <w:spacing w:before="78" w:line="217" w:lineRule="auto"/>
              <w:ind w:left="912"/>
            </w:pPr>
            <w:r>
              <w:rPr>
                <w:spacing w:val="-17"/>
              </w:rPr>
              <w:t>24小时内最高气温将要升到40℃以上。</w:t>
            </w:r>
          </w:p>
        </w:tc>
      </w:tr>
      <w:tr w14:paraId="1C79C4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83" w:hRule="atLeast"/>
        </w:trPr>
        <w:tc>
          <w:tcPr>
            <w:tcW w:w="856" w:type="dxa"/>
            <w:gridSpan w:val="2"/>
            <w:tcBorders>
              <w:left w:val="single" w:color="000000" w:sz="4" w:space="0"/>
            </w:tcBorders>
            <w:vAlign w:val="top"/>
          </w:tcPr>
          <w:p w14:paraId="2FD3FF8E">
            <w:pPr>
              <w:spacing w:line="367" w:lineRule="auto"/>
              <w:rPr>
                <w:rFonts w:ascii="Arial"/>
                <w:sz w:val="21"/>
              </w:rPr>
            </w:pPr>
          </w:p>
          <w:p w14:paraId="140904F1">
            <w:pPr>
              <w:pStyle w:val="7"/>
              <w:spacing w:before="78" w:line="238" w:lineRule="auto"/>
              <w:ind w:left="345"/>
            </w:pPr>
            <w:r>
              <w:rPr>
                <w:spacing w:val="-10"/>
              </w:rPr>
              <w:t>12</w:t>
            </w:r>
          </w:p>
        </w:tc>
        <w:tc>
          <w:tcPr>
            <w:tcW w:w="753" w:type="dxa"/>
            <w:vMerge w:val="restart"/>
            <w:tcBorders>
              <w:bottom w:val="nil"/>
            </w:tcBorders>
            <w:vAlign w:val="top"/>
          </w:tcPr>
          <w:p w14:paraId="1FBA506E">
            <w:pPr>
              <w:spacing w:line="283" w:lineRule="auto"/>
              <w:rPr>
                <w:rFonts w:ascii="Arial"/>
                <w:sz w:val="21"/>
              </w:rPr>
            </w:pPr>
          </w:p>
          <w:p w14:paraId="295B701E">
            <w:pPr>
              <w:spacing w:line="283" w:lineRule="auto"/>
              <w:rPr>
                <w:rFonts w:ascii="Arial"/>
                <w:sz w:val="21"/>
              </w:rPr>
            </w:pPr>
          </w:p>
          <w:p w14:paraId="341C8BCA">
            <w:pPr>
              <w:spacing w:line="283" w:lineRule="auto"/>
              <w:rPr>
                <w:rFonts w:ascii="Arial"/>
                <w:sz w:val="21"/>
              </w:rPr>
            </w:pPr>
          </w:p>
          <w:p w14:paraId="642853A0">
            <w:pPr>
              <w:spacing w:line="283" w:lineRule="auto"/>
              <w:rPr>
                <w:rFonts w:ascii="Arial"/>
                <w:sz w:val="21"/>
              </w:rPr>
            </w:pPr>
          </w:p>
          <w:p w14:paraId="1BCE6DEA">
            <w:pPr>
              <w:spacing w:line="284" w:lineRule="auto"/>
              <w:rPr>
                <w:rFonts w:ascii="Arial"/>
                <w:sz w:val="21"/>
              </w:rPr>
            </w:pPr>
          </w:p>
          <w:p w14:paraId="7738D7D2">
            <w:pPr>
              <w:pStyle w:val="7"/>
              <w:spacing w:before="78" w:line="219" w:lineRule="auto"/>
              <w:ind w:left="170"/>
            </w:pPr>
            <w:r>
              <w:rPr>
                <w:spacing w:val="-11"/>
              </w:rPr>
              <w:t>大雾</w:t>
            </w:r>
          </w:p>
          <w:p w14:paraId="3BFE7A3C">
            <w:pPr>
              <w:pStyle w:val="7"/>
              <w:spacing w:before="183" w:line="220" w:lineRule="auto"/>
              <w:ind w:left="168"/>
            </w:pPr>
            <w:r>
              <w:rPr>
                <w:spacing w:val="-10"/>
              </w:rPr>
              <w:t>天气</w:t>
            </w:r>
          </w:p>
        </w:tc>
        <w:tc>
          <w:tcPr>
            <w:tcW w:w="1365" w:type="dxa"/>
            <w:vAlign w:val="top"/>
          </w:tcPr>
          <w:p w14:paraId="5FF74ACD">
            <w:pPr>
              <w:spacing w:before="59" w:line="1011" w:lineRule="exact"/>
              <w:ind w:firstLine="75"/>
            </w:pPr>
            <w:r>
              <w:rPr>
                <w:position w:val="-20"/>
              </w:rPr>
              <w:drawing>
                <wp:inline distT="0" distB="0" distL="0" distR="0">
                  <wp:extent cx="765175" cy="641350"/>
                  <wp:effectExtent l="0" t="0" r="0" b="0"/>
                  <wp:docPr id="1542" name="IM 1542"/>
                  <wp:cNvGraphicFramePr/>
                  <a:graphic xmlns:a="http://schemas.openxmlformats.org/drawingml/2006/main">
                    <a:graphicData uri="http://schemas.openxmlformats.org/drawingml/2006/picture">
                      <pic:pic xmlns:pic="http://schemas.openxmlformats.org/drawingml/2006/picture">
                        <pic:nvPicPr>
                          <pic:cNvPr id="1542" name="IM 1542"/>
                          <pic:cNvPicPr/>
                        </pic:nvPicPr>
                        <pic:blipFill>
                          <a:blip r:embed="rId708"/>
                          <a:stretch>
                            <a:fillRect/>
                          </a:stretch>
                        </pic:blipFill>
                        <pic:spPr>
                          <a:xfrm>
                            <a:off x="0" y="0"/>
                            <a:ext cx="765175" cy="641984"/>
                          </a:xfrm>
                          <a:prstGeom prst="rect">
                            <a:avLst/>
                          </a:prstGeom>
                        </pic:spPr>
                      </pic:pic>
                    </a:graphicData>
                  </a:graphic>
                </wp:inline>
              </w:drawing>
            </w:r>
          </w:p>
        </w:tc>
        <w:tc>
          <w:tcPr>
            <w:tcW w:w="1057" w:type="dxa"/>
            <w:vAlign w:val="top"/>
          </w:tcPr>
          <w:p w14:paraId="2F12A386">
            <w:pPr>
              <w:pStyle w:val="7"/>
              <w:spacing w:before="213" w:line="219" w:lineRule="auto"/>
              <w:ind w:left="215"/>
            </w:pPr>
            <w:r>
              <w:rPr>
                <w:spacing w:val="-14"/>
              </w:rPr>
              <w:t>大雾黄</w:t>
            </w:r>
          </w:p>
          <w:p w14:paraId="75643D2E">
            <w:pPr>
              <w:pStyle w:val="7"/>
              <w:spacing w:before="180" w:line="219" w:lineRule="auto"/>
              <w:ind w:left="216"/>
            </w:pPr>
            <w:r>
              <w:rPr>
                <w:spacing w:val="-14"/>
              </w:rPr>
              <w:t>色预警</w:t>
            </w:r>
          </w:p>
        </w:tc>
        <w:tc>
          <w:tcPr>
            <w:tcW w:w="5642" w:type="dxa"/>
            <w:tcBorders>
              <w:right w:val="single" w:color="000000" w:sz="4" w:space="0"/>
            </w:tcBorders>
            <w:vAlign w:val="top"/>
          </w:tcPr>
          <w:p w14:paraId="70B6C4ED">
            <w:pPr>
              <w:pStyle w:val="7"/>
              <w:spacing w:before="214" w:line="217" w:lineRule="auto"/>
              <w:ind w:left="80"/>
            </w:pPr>
            <w:r>
              <w:rPr>
                <w:spacing w:val="-22"/>
              </w:rPr>
              <w:t>12小时内可能出现能见度小于500m的雾，或者已经出现能</w:t>
            </w:r>
          </w:p>
          <w:p w14:paraId="3A246C12">
            <w:pPr>
              <w:pStyle w:val="7"/>
              <w:spacing w:before="182" w:line="216" w:lineRule="auto"/>
              <w:ind w:left="566"/>
            </w:pPr>
            <w:r>
              <w:rPr>
                <w:spacing w:val="-15"/>
              </w:rPr>
              <w:t>见度小于500m、大于等于200m的雾并将持续。</w:t>
            </w:r>
          </w:p>
        </w:tc>
      </w:tr>
      <w:tr w14:paraId="6CB0C1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83" w:hRule="atLeast"/>
        </w:trPr>
        <w:tc>
          <w:tcPr>
            <w:tcW w:w="856" w:type="dxa"/>
            <w:gridSpan w:val="2"/>
            <w:tcBorders>
              <w:left w:val="single" w:color="000000" w:sz="4" w:space="0"/>
            </w:tcBorders>
            <w:vAlign w:val="top"/>
          </w:tcPr>
          <w:p w14:paraId="4C3041F6">
            <w:pPr>
              <w:spacing w:line="367" w:lineRule="auto"/>
              <w:rPr>
                <w:rFonts w:ascii="Arial"/>
                <w:sz w:val="21"/>
              </w:rPr>
            </w:pPr>
          </w:p>
          <w:p w14:paraId="7254764C">
            <w:pPr>
              <w:pStyle w:val="7"/>
              <w:spacing w:before="78" w:line="237" w:lineRule="auto"/>
              <w:ind w:left="345"/>
            </w:pPr>
            <w:r>
              <w:rPr>
                <w:spacing w:val="-10"/>
              </w:rPr>
              <w:t>13</w:t>
            </w:r>
          </w:p>
        </w:tc>
        <w:tc>
          <w:tcPr>
            <w:tcW w:w="753" w:type="dxa"/>
            <w:vMerge w:val="continue"/>
            <w:tcBorders>
              <w:top w:val="nil"/>
              <w:bottom w:val="nil"/>
            </w:tcBorders>
            <w:vAlign w:val="top"/>
          </w:tcPr>
          <w:p w14:paraId="7EEA9B45">
            <w:pPr>
              <w:rPr>
                <w:rFonts w:ascii="Arial"/>
                <w:sz w:val="21"/>
              </w:rPr>
            </w:pPr>
          </w:p>
        </w:tc>
        <w:tc>
          <w:tcPr>
            <w:tcW w:w="1365" w:type="dxa"/>
            <w:vAlign w:val="top"/>
          </w:tcPr>
          <w:p w14:paraId="6DB35442">
            <w:pPr>
              <w:spacing w:before="62" w:line="1011" w:lineRule="exact"/>
              <w:ind w:firstLine="75"/>
            </w:pPr>
            <w:r>
              <w:rPr>
                <w:position w:val="-20"/>
              </w:rPr>
              <w:drawing>
                <wp:inline distT="0" distB="0" distL="0" distR="0">
                  <wp:extent cx="765175" cy="641350"/>
                  <wp:effectExtent l="0" t="0" r="0" b="0"/>
                  <wp:docPr id="1544" name="IM 1544"/>
                  <wp:cNvGraphicFramePr/>
                  <a:graphic xmlns:a="http://schemas.openxmlformats.org/drawingml/2006/main">
                    <a:graphicData uri="http://schemas.openxmlformats.org/drawingml/2006/picture">
                      <pic:pic xmlns:pic="http://schemas.openxmlformats.org/drawingml/2006/picture">
                        <pic:nvPicPr>
                          <pic:cNvPr id="1544" name="IM 1544"/>
                          <pic:cNvPicPr/>
                        </pic:nvPicPr>
                        <pic:blipFill>
                          <a:blip r:embed="rId709"/>
                          <a:stretch>
                            <a:fillRect/>
                          </a:stretch>
                        </pic:blipFill>
                        <pic:spPr>
                          <a:xfrm>
                            <a:off x="0" y="0"/>
                            <a:ext cx="765175" cy="641984"/>
                          </a:xfrm>
                          <a:prstGeom prst="rect">
                            <a:avLst/>
                          </a:prstGeom>
                        </pic:spPr>
                      </pic:pic>
                    </a:graphicData>
                  </a:graphic>
                </wp:inline>
              </w:drawing>
            </w:r>
          </w:p>
        </w:tc>
        <w:tc>
          <w:tcPr>
            <w:tcW w:w="1057" w:type="dxa"/>
            <w:vAlign w:val="top"/>
          </w:tcPr>
          <w:p w14:paraId="3117F5B4">
            <w:pPr>
              <w:pStyle w:val="7"/>
              <w:spacing w:before="215" w:line="219" w:lineRule="auto"/>
              <w:ind w:left="215"/>
            </w:pPr>
            <w:r>
              <w:rPr>
                <w:spacing w:val="-14"/>
              </w:rPr>
              <w:t>大雾橙</w:t>
            </w:r>
          </w:p>
          <w:p w14:paraId="6F8B79CD">
            <w:pPr>
              <w:pStyle w:val="7"/>
              <w:spacing w:before="183" w:line="219" w:lineRule="auto"/>
              <w:ind w:left="216"/>
            </w:pPr>
            <w:r>
              <w:rPr>
                <w:spacing w:val="-14"/>
              </w:rPr>
              <w:t>色预警</w:t>
            </w:r>
          </w:p>
        </w:tc>
        <w:tc>
          <w:tcPr>
            <w:tcW w:w="5642" w:type="dxa"/>
            <w:tcBorders>
              <w:right w:val="single" w:color="000000" w:sz="4" w:space="0"/>
            </w:tcBorders>
            <w:vAlign w:val="top"/>
          </w:tcPr>
          <w:p w14:paraId="5096E1BC">
            <w:pPr>
              <w:pStyle w:val="7"/>
              <w:spacing w:before="215" w:line="217" w:lineRule="auto"/>
              <w:ind w:left="67"/>
            </w:pPr>
            <w:r>
              <w:rPr>
                <w:spacing w:val="-18"/>
              </w:rPr>
              <w:t>6小时内可能出现能见度小于200m的雾，或者已经出现能</w:t>
            </w:r>
          </w:p>
          <w:p w14:paraId="6AD16E9E">
            <w:pPr>
              <w:pStyle w:val="7"/>
              <w:spacing w:before="185" w:line="216" w:lineRule="auto"/>
              <w:ind w:left="621"/>
            </w:pPr>
            <w:r>
              <w:rPr>
                <w:spacing w:val="-14"/>
              </w:rPr>
              <w:t>见度小于200m、大于等于50m的雾并将持续。</w:t>
            </w:r>
          </w:p>
        </w:tc>
      </w:tr>
      <w:tr w14:paraId="4F2A91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83" w:hRule="atLeast"/>
        </w:trPr>
        <w:tc>
          <w:tcPr>
            <w:tcW w:w="856" w:type="dxa"/>
            <w:gridSpan w:val="2"/>
            <w:tcBorders>
              <w:left w:val="single" w:color="000000" w:sz="4" w:space="0"/>
            </w:tcBorders>
            <w:vAlign w:val="top"/>
          </w:tcPr>
          <w:p w14:paraId="724F751C">
            <w:pPr>
              <w:spacing w:line="371" w:lineRule="auto"/>
              <w:rPr>
                <w:rFonts w:ascii="Arial"/>
                <w:sz w:val="21"/>
              </w:rPr>
            </w:pPr>
          </w:p>
          <w:p w14:paraId="60F29CEB">
            <w:pPr>
              <w:pStyle w:val="7"/>
              <w:spacing w:before="78" w:line="238" w:lineRule="auto"/>
              <w:ind w:left="345"/>
            </w:pPr>
            <w:r>
              <w:rPr>
                <w:spacing w:val="-14"/>
              </w:rPr>
              <w:t>14</w:t>
            </w:r>
          </w:p>
        </w:tc>
        <w:tc>
          <w:tcPr>
            <w:tcW w:w="753" w:type="dxa"/>
            <w:vMerge w:val="continue"/>
            <w:tcBorders>
              <w:top w:val="nil"/>
            </w:tcBorders>
            <w:vAlign w:val="top"/>
          </w:tcPr>
          <w:p w14:paraId="1BA14935">
            <w:pPr>
              <w:rPr>
                <w:rFonts w:ascii="Arial"/>
                <w:sz w:val="21"/>
              </w:rPr>
            </w:pPr>
          </w:p>
        </w:tc>
        <w:tc>
          <w:tcPr>
            <w:tcW w:w="1365" w:type="dxa"/>
            <w:vAlign w:val="top"/>
          </w:tcPr>
          <w:p w14:paraId="0AD467A9">
            <w:pPr>
              <w:spacing w:before="63" w:line="1011" w:lineRule="exact"/>
              <w:ind w:firstLine="75"/>
            </w:pPr>
            <w:r>
              <w:rPr>
                <w:position w:val="-20"/>
              </w:rPr>
              <w:drawing>
                <wp:inline distT="0" distB="0" distL="0" distR="0">
                  <wp:extent cx="765175" cy="641350"/>
                  <wp:effectExtent l="0" t="0" r="0" b="0"/>
                  <wp:docPr id="1546" name="IM 1546"/>
                  <wp:cNvGraphicFramePr/>
                  <a:graphic xmlns:a="http://schemas.openxmlformats.org/drawingml/2006/main">
                    <a:graphicData uri="http://schemas.openxmlformats.org/drawingml/2006/picture">
                      <pic:pic xmlns:pic="http://schemas.openxmlformats.org/drawingml/2006/picture">
                        <pic:nvPicPr>
                          <pic:cNvPr id="1546" name="IM 1546"/>
                          <pic:cNvPicPr/>
                        </pic:nvPicPr>
                        <pic:blipFill>
                          <a:blip r:embed="rId710"/>
                          <a:stretch>
                            <a:fillRect/>
                          </a:stretch>
                        </pic:blipFill>
                        <pic:spPr>
                          <a:xfrm>
                            <a:off x="0" y="0"/>
                            <a:ext cx="765175" cy="641984"/>
                          </a:xfrm>
                          <a:prstGeom prst="rect">
                            <a:avLst/>
                          </a:prstGeom>
                        </pic:spPr>
                      </pic:pic>
                    </a:graphicData>
                  </a:graphic>
                </wp:inline>
              </w:drawing>
            </w:r>
          </w:p>
        </w:tc>
        <w:tc>
          <w:tcPr>
            <w:tcW w:w="1057" w:type="dxa"/>
            <w:vAlign w:val="top"/>
          </w:tcPr>
          <w:p w14:paraId="5F8416DA">
            <w:pPr>
              <w:pStyle w:val="7"/>
              <w:spacing w:before="215" w:line="219" w:lineRule="auto"/>
              <w:ind w:left="215"/>
            </w:pPr>
            <w:r>
              <w:rPr>
                <w:spacing w:val="-14"/>
              </w:rPr>
              <w:t>大雾红</w:t>
            </w:r>
          </w:p>
          <w:p w14:paraId="485135CC">
            <w:pPr>
              <w:pStyle w:val="7"/>
              <w:spacing w:before="183" w:line="219" w:lineRule="auto"/>
              <w:ind w:left="216"/>
            </w:pPr>
            <w:r>
              <w:rPr>
                <w:spacing w:val="-14"/>
              </w:rPr>
              <w:t>色预警</w:t>
            </w:r>
          </w:p>
        </w:tc>
        <w:tc>
          <w:tcPr>
            <w:tcW w:w="5642" w:type="dxa"/>
            <w:tcBorders>
              <w:right w:val="single" w:color="000000" w:sz="4" w:space="0"/>
            </w:tcBorders>
            <w:vAlign w:val="top"/>
          </w:tcPr>
          <w:p w14:paraId="07066576">
            <w:pPr>
              <w:pStyle w:val="7"/>
              <w:spacing w:before="216" w:line="217" w:lineRule="auto"/>
              <w:ind w:left="65"/>
            </w:pPr>
            <w:r>
              <w:rPr>
                <w:spacing w:val="-22"/>
              </w:rPr>
              <w:t>2小时内可能出现能见度小于50m的雾，或者已经出现能见</w:t>
            </w:r>
          </w:p>
          <w:p w14:paraId="46881F5A">
            <w:pPr>
              <w:pStyle w:val="7"/>
              <w:spacing w:before="185" w:line="216" w:lineRule="auto"/>
              <w:ind w:left="1517"/>
            </w:pPr>
            <w:r>
              <w:rPr>
                <w:spacing w:val="-15"/>
              </w:rPr>
              <w:t>度小于50m的雾并将持续。</w:t>
            </w:r>
          </w:p>
        </w:tc>
      </w:tr>
      <w:tr w14:paraId="6C59E6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29" w:hRule="atLeast"/>
        </w:trPr>
        <w:tc>
          <w:tcPr>
            <w:tcW w:w="856" w:type="dxa"/>
            <w:gridSpan w:val="2"/>
            <w:tcBorders>
              <w:left w:val="single" w:color="000000" w:sz="4" w:space="0"/>
            </w:tcBorders>
            <w:vAlign w:val="top"/>
          </w:tcPr>
          <w:p w14:paraId="12FCFFA4">
            <w:pPr>
              <w:spacing w:line="393" w:lineRule="auto"/>
              <w:rPr>
                <w:rFonts w:ascii="Arial"/>
                <w:sz w:val="21"/>
              </w:rPr>
            </w:pPr>
          </w:p>
          <w:p w14:paraId="2D7956DD">
            <w:pPr>
              <w:pStyle w:val="7"/>
              <w:spacing w:before="78" w:line="237" w:lineRule="auto"/>
              <w:ind w:left="345"/>
            </w:pPr>
            <w:r>
              <w:rPr>
                <w:spacing w:val="-10"/>
              </w:rPr>
              <w:t>15</w:t>
            </w:r>
          </w:p>
        </w:tc>
        <w:tc>
          <w:tcPr>
            <w:tcW w:w="753" w:type="dxa"/>
            <w:vMerge w:val="restart"/>
            <w:tcBorders>
              <w:bottom w:val="nil"/>
            </w:tcBorders>
            <w:vAlign w:val="top"/>
          </w:tcPr>
          <w:p w14:paraId="54C69211">
            <w:pPr>
              <w:spacing w:line="274" w:lineRule="auto"/>
              <w:rPr>
                <w:rFonts w:ascii="Arial"/>
                <w:sz w:val="21"/>
              </w:rPr>
            </w:pPr>
          </w:p>
          <w:p w14:paraId="351CF3E8">
            <w:pPr>
              <w:spacing w:line="274" w:lineRule="auto"/>
              <w:rPr>
                <w:rFonts w:ascii="Arial"/>
                <w:sz w:val="21"/>
              </w:rPr>
            </w:pPr>
          </w:p>
          <w:p w14:paraId="1E45FF2E">
            <w:pPr>
              <w:spacing w:line="275" w:lineRule="auto"/>
              <w:rPr>
                <w:rFonts w:ascii="Arial"/>
                <w:sz w:val="21"/>
              </w:rPr>
            </w:pPr>
          </w:p>
          <w:p w14:paraId="2673716A">
            <w:pPr>
              <w:pStyle w:val="7"/>
              <w:spacing w:before="78" w:line="219" w:lineRule="auto"/>
              <w:ind w:left="181"/>
            </w:pPr>
            <w:r>
              <w:rPr>
                <w:spacing w:val="-13"/>
              </w:rPr>
              <w:t>雷电</w:t>
            </w:r>
          </w:p>
          <w:p w14:paraId="208D93B6">
            <w:pPr>
              <w:pStyle w:val="7"/>
              <w:spacing w:before="183" w:line="220" w:lineRule="auto"/>
              <w:ind w:left="168"/>
            </w:pPr>
            <w:r>
              <w:rPr>
                <w:spacing w:val="-10"/>
              </w:rPr>
              <w:t>天气</w:t>
            </w:r>
          </w:p>
        </w:tc>
        <w:tc>
          <w:tcPr>
            <w:tcW w:w="1365" w:type="dxa"/>
            <w:vAlign w:val="top"/>
          </w:tcPr>
          <w:p w14:paraId="372BC190">
            <w:pPr>
              <w:spacing w:before="64" w:line="1054" w:lineRule="exact"/>
              <w:ind w:firstLine="75"/>
            </w:pPr>
            <w:r>
              <w:rPr>
                <w:position w:val="-21"/>
              </w:rPr>
              <w:drawing>
                <wp:inline distT="0" distB="0" distL="0" distR="0">
                  <wp:extent cx="765175" cy="668655"/>
                  <wp:effectExtent l="0" t="0" r="0" b="0"/>
                  <wp:docPr id="1548" name="IM 1548"/>
                  <wp:cNvGraphicFramePr/>
                  <a:graphic xmlns:a="http://schemas.openxmlformats.org/drawingml/2006/main">
                    <a:graphicData uri="http://schemas.openxmlformats.org/drawingml/2006/picture">
                      <pic:pic xmlns:pic="http://schemas.openxmlformats.org/drawingml/2006/picture">
                        <pic:nvPicPr>
                          <pic:cNvPr id="1548" name="IM 1548"/>
                          <pic:cNvPicPr/>
                        </pic:nvPicPr>
                        <pic:blipFill>
                          <a:blip r:embed="rId711"/>
                          <a:stretch>
                            <a:fillRect/>
                          </a:stretch>
                        </pic:blipFill>
                        <pic:spPr>
                          <a:xfrm>
                            <a:off x="0" y="0"/>
                            <a:ext cx="765175" cy="669289"/>
                          </a:xfrm>
                          <a:prstGeom prst="rect">
                            <a:avLst/>
                          </a:prstGeom>
                        </pic:spPr>
                      </pic:pic>
                    </a:graphicData>
                  </a:graphic>
                </wp:inline>
              </w:drawing>
            </w:r>
          </w:p>
        </w:tc>
        <w:tc>
          <w:tcPr>
            <w:tcW w:w="1057" w:type="dxa"/>
            <w:vAlign w:val="top"/>
          </w:tcPr>
          <w:p w14:paraId="190FD6B4">
            <w:pPr>
              <w:pStyle w:val="7"/>
              <w:spacing w:before="240" w:line="219" w:lineRule="auto"/>
              <w:ind w:left="226"/>
            </w:pPr>
            <w:r>
              <w:rPr>
                <w:spacing w:val="-17"/>
              </w:rPr>
              <w:t>雷电黄</w:t>
            </w:r>
          </w:p>
          <w:p w14:paraId="366D5255">
            <w:pPr>
              <w:pStyle w:val="7"/>
              <w:spacing w:before="181" w:line="219" w:lineRule="auto"/>
              <w:ind w:left="216"/>
            </w:pPr>
            <w:r>
              <w:rPr>
                <w:spacing w:val="-14"/>
              </w:rPr>
              <w:t>色预警</w:t>
            </w:r>
          </w:p>
        </w:tc>
        <w:tc>
          <w:tcPr>
            <w:tcW w:w="5642" w:type="dxa"/>
            <w:tcBorders>
              <w:right w:val="single" w:color="000000" w:sz="4" w:space="0"/>
            </w:tcBorders>
            <w:vAlign w:val="top"/>
          </w:tcPr>
          <w:p w14:paraId="5BA297AF">
            <w:pPr>
              <w:spacing w:line="393" w:lineRule="auto"/>
              <w:rPr>
                <w:rFonts w:ascii="Arial"/>
                <w:sz w:val="21"/>
              </w:rPr>
            </w:pPr>
          </w:p>
          <w:p w14:paraId="60FDE381">
            <w:pPr>
              <w:pStyle w:val="7"/>
              <w:spacing w:before="78" w:line="217" w:lineRule="auto"/>
              <w:ind w:left="122"/>
            </w:pPr>
            <w:r>
              <w:rPr>
                <w:spacing w:val="-21"/>
              </w:rPr>
              <w:t>6小时内可能发生雷电活动，可能会造成雷电灾害事故。</w:t>
            </w:r>
          </w:p>
        </w:tc>
      </w:tr>
      <w:tr w14:paraId="0DCFF7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6" w:hRule="atLeast"/>
        </w:trPr>
        <w:tc>
          <w:tcPr>
            <w:tcW w:w="199" w:type="dxa"/>
            <w:tcBorders>
              <w:left w:val="single" w:color="1C456A" w:sz="4" w:space="0"/>
              <w:bottom w:val="single" w:color="1C456A" w:sz="4" w:space="0"/>
              <w:right w:val="nil"/>
            </w:tcBorders>
            <w:vAlign w:val="top"/>
          </w:tcPr>
          <w:p w14:paraId="7BAE9A33">
            <w:pPr>
              <w:rPr>
                <w:rFonts w:ascii="Arial"/>
                <w:sz w:val="21"/>
              </w:rPr>
            </w:pPr>
            <w:r>
              <w:pict>
                <v:shape id="_x0000_s3977" o:spid="_x0000_s3977" style="position:absolute;left:0pt;margin-left:-0.25pt;margin-top:68.35pt;height:0.75pt;width:2.2pt;mso-position-horizontal-relative:page;mso-position-vertical-relative:page;z-index:252312576;mso-width-relative:page;mso-height-relative:page;" fillcolor="#5B9BD5" filled="t" stroked="f" coordsize="44,15" path="m0,14l43,14,43,0,0,0,0,14xe">
                  <v:path/>
                  <v:fill on="t" focussize="0,0"/>
                  <v:stroke on="f"/>
                  <v:imagedata o:title=""/>
                  <o:lock v:ext="edit"/>
                </v:shape>
              </w:pict>
            </w:r>
          </w:p>
        </w:tc>
        <w:tc>
          <w:tcPr>
            <w:tcW w:w="657" w:type="dxa"/>
            <w:tcBorders>
              <w:left w:val="nil"/>
              <w:bottom w:val="single" w:color="1C456A" w:sz="4" w:space="0"/>
            </w:tcBorders>
            <w:vAlign w:val="top"/>
          </w:tcPr>
          <w:p w14:paraId="14A200E2">
            <w:pPr>
              <w:spacing w:line="391" w:lineRule="auto"/>
              <w:rPr>
                <w:rFonts w:ascii="Arial"/>
                <w:sz w:val="21"/>
              </w:rPr>
            </w:pPr>
          </w:p>
          <w:p w14:paraId="1EF6EDCF">
            <w:pPr>
              <w:pStyle w:val="7"/>
              <w:spacing w:before="78" w:line="237" w:lineRule="auto"/>
              <w:ind w:left="151"/>
            </w:pPr>
            <w:r>
              <w:rPr>
                <w:spacing w:val="-14"/>
              </w:rPr>
              <w:t>16</w:t>
            </w:r>
          </w:p>
        </w:tc>
        <w:tc>
          <w:tcPr>
            <w:tcW w:w="753" w:type="dxa"/>
            <w:vMerge w:val="continue"/>
            <w:tcBorders>
              <w:top w:val="nil"/>
              <w:bottom w:val="single" w:color="000000" w:sz="4" w:space="0"/>
            </w:tcBorders>
            <w:vAlign w:val="top"/>
          </w:tcPr>
          <w:p w14:paraId="7311D1BF">
            <w:pPr>
              <w:rPr>
                <w:rFonts w:ascii="Arial"/>
                <w:sz w:val="21"/>
              </w:rPr>
            </w:pPr>
          </w:p>
        </w:tc>
        <w:tc>
          <w:tcPr>
            <w:tcW w:w="1365" w:type="dxa"/>
            <w:tcBorders>
              <w:bottom w:val="single" w:color="000000" w:sz="4" w:space="0"/>
            </w:tcBorders>
            <w:vAlign w:val="top"/>
          </w:tcPr>
          <w:p w14:paraId="7AEF0C8A">
            <w:pPr>
              <w:spacing w:before="64" w:line="1054" w:lineRule="exact"/>
              <w:ind w:firstLine="75"/>
            </w:pPr>
            <w:r>
              <w:rPr>
                <w:position w:val="-21"/>
              </w:rPr>
              <w:drawing>
                <wp:inline distT="0" distB="0" distL="0" distR="0">
                  <wp:extent cx="765175" cy="668655"/>
                  <wp:effectExtent l="0" t="0" r="0" b="0"/>
                  <wp:docPr id="1550" name="IM 1550"/>
                  <wp:cNvGraphicFramePr/>
                  <a:graphic xmlns:a="http://schemas.openxmlformats.org/drawingml/2006/main">
                    <a:graphicData uri="http://schemas.openxmlformats.org/drawingml/2006/picture">
                      <pic:pic xmlns:pic="http://schemas.openxmlformats.org/drawingml/2006/picture">
                        <pic:nvPicPr>
                          <pic:cNvPr id="1550" name="IM 1550"/>
                          <pic:cNvPicPr/>
                        </pic:nvPicPr>
                        <pic:blipFill>
                          <a:blip r:embed="rId712"/>
                          <a:stretch>
                            <a:fillRect/>
                          </a:stretch>
                        </pic:blipFill>
                        <pic:spPr>
                          <a:xfrm>
                            <a:off x="0" y="0"/>
                            <a:ext cx="765175" cy="669289"/>
                          </a:xfrm>
                          <a:prstGeom prst="rect">
                            <a:avLst/>
                          </a:prstGeom>
                        </pic:spPr>
                      </pic:pic>
                    </a:graphicData>
                  </a:graphic>
                </wp:inline>
              </w:drawing>
            </w:r>
          </w:p>
        </w:tc>
        <w:tc>
          <w:tcPr>
            <w:tcW w:w="1057" w:type="dxa"/>
            <w:tcBorders>
              <w:bottom w:val="single" w:color="000000" w:sz="4" w:space="0"/>
            </w:tcBorders>
            <w:vAlign w:val="top"/>
          </w:tcPr>
          <w:p w14:paraId="026E1789">
            <w:pPr>
              <w:pStyle w:val="7"/>
              <w:spacing w:before="239" w:line="219" w:lineRule="auto"/>
              <w:ind w:left="226"/>
            </w:pPr>
            <w:r>
              <w:rPr>
                <w:spacing w:val="-17"/>
              </w:rPr>
              <w:t>雷电橙</w:t>
            </w:r>
          </w:p>
          <w:p w14:paraId="344081E0">
            <w:pPr>
              <w:pStyle w:val="7"/>
              <w:spacing w:before="180" w:line="219" w:lineRule="auto"/>
              <w:ind w:left="216"/>
            </w:pPr>
            <w:r>
              <w:rPr>
                <w:spacing w:val="-14"/>
              </w:rPr>
              <w:t>色预警</w:t>
            </w:r>
          </w:p>
        </w:tc>
        <w:tc>
          <w:tcPr>
            <w:tcW w:w="5642" w:type="dxa"/>
            <w:tcBorders>
              <w:bottom w:val="single" w:color="5B9BD5" w:sz="4" w:space="0"/>
              <w:right w:val="single" w:color="5B9BD5" w:sz="4" w:space="0"/>
            </w:tcBorders>
            <w:vAlign w:val="top"/>
          </w:tcPr>
          <w:p w14:paraId="6E7F21B6">
            <w:pPr>
              <w:pStyle w:val="7"/>
              <w:spacing w:before="240" w:line="358" w:lineRule="auto"/>
              <w:ind w:left="103" w:right="45" w:hanging="38"/>
            </w:pPr>
            <w:r>
              <w:pict>
                <v:shape id="_x0000_s3978" o:spid="_x0000_s3978" style="position:absolute;left:0pt;margin-left:280.25pt;margin-top:68.35pt;height:0.75pt;width:2.2pt;mso-position-horizontal-relative:page;mso-position-vertical-relative:page;z-index:252311552;mso-width-relative:page;mso-height-relative:page;" fillcolor="#5B9BD5" filled="t" stroked="f" coordsize="44,15" path="m0,14l43,14,43,0,0,0,0,14xe">
                  <v:path/>
                  <v:fill on="t" focussize="0,0"/>
                  <v:stroke on="f"/>
                  <v:imagedata o:title=""/>
                  <o:lock v:ext="edit"/>
                </v:shape>
              </w:pict>
            </w:r>
            <w:r>
              <w:rPr>
                <w:spacing w:val="-25"/>
              </w:rPr>
              <w:t>2小时内发生雷电活动的可能性很大，或者</w:t>
            </w:r>
            <w:r>
              <w:rPr>
                <w:spacing w:val="-26"/>
              </w:rPr>
              <w:t>已经受雷电活动</w:t>
            </w:r>
            <w:r>
              <w:rPr>
                <w:spacing w:val="-22"/>
              </w:rPr>
              <w:t>影响，且可能持续，出现雷电灾害事故的可能性比较大。</w:t>
            </w:r>
          </w:p>
        </w:tc>
      </w:tr>
    </w:tbl>
    <w:p w14:paraId="71965F39">
      <w:pPr>
        <w:rPr>
          <w:rFonts w:ascii="Arial"/>
          <w:sz w:val="21"/>
        </w:rPr>
      </w:pPr>
    </w:p>
    <w:p w14:paraId="7999C103">
      <w:pPr>
        <w:rPr>
          <w:rFonts w:ascii="Arial" w:hAnsi="Arial" w:eastAsia="Arial" w:cs="Arial"/>
          <w:sz w:val="21"/>
          <w:szCs w:val="21"/>
        </w:rPr>
        <w:sectPr>
          <w:footerReference r:id="rId371" w:type="default"/>
          <w:pgSz w:w="11907" w:h="16839"/>
          <w:pgMar w:top="933" w:right="4" w:bottom="1038" w:left="0" w:header="478" w:footer="357" w:gutter="0"/>
          <w:pgBorders>
            <w:top w:val="none" w:sz="0" w:space="0"/>
            <w:left w:val="none" w:sz="0" w:space="0"/>
            <w:bottom w:val="none" w:sz="0" w:space="0"/>
            <w:right w:val="none" w:sz="0" w:space="0"/>
          </w:pgBorders>
          <w:cols w:space="720" w:num="1"/>
        </w:sectPr>
      </w:pPr>
    </w:p>
    <w:p w14:paraId="654AC4CD">
      <w:pPr>
        <w:spacing w:line="235" w:lineRule="exact"/>
      </w:pPr>
    </w:p>
    <w:tbl>
      <w:tblPr>
        <w:tblStyle w:val="6"/>
        <w:tblW w:w="9673" w:type="dxa"/>
        <w:tblInd w:w="1116"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56"/>
        <w:gridCol w:w="753"/>
        <w:gridCol w:w="1365"/>
        <w:gridCol w:w="1057"/>
        <w:gridCol w:w="5642"/>
      </w:tblGrid>
      <w:tr w14:paraId="7E85F2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54" w:hRule="atLeast"/>
        </w:trPr>
        <w:tc>
          <w:tcPr>
            <w:tcW w:w="856" w:type="dxa"/>
            <w:tcBorders>
              <w:top w:val="single" w:color="000000" w:sz="4" w:space="0"/>
              <w:left w:val="single" w:color="000000" w:sz="4" w:space="0"/>
            </w:tcBorders>
            <w:vAlign w:val="top"/>
          </w:tcPr>
          <w:p w14:paraId="333DA089">
            <w:pPr>
              <w:spacing w:line="257" w:lineRule="auto"/>
              <w:rPr>
                <w:rFonts w:ascii="Arial"/>
                <w:sz w:val="21"/>
              </w:rPr>
            </w:pPr>
          </w:p>
          <w:p w14:paraId="4F153C16">
            <w:pPr>
              <w:spacing w:line="257" w:lineRule="auto"/>
              <w:rPr>
                <w:rFonts w:ascii="Arial"/>
                <w:sz w:val="21"/>
              </w:rPr>
            </w:pPr>
          </w:p>
          <w:p w14:paraId="742760B2">
            <w:pPr>
              <w:pStyle w:val="7"/>
              <w:spacing w:before="78" w:line="237" w:lineRule="auto"/>
              <w:ind w:left="345"/>
            </w:pPr>
            <w:r>
              <w:rPr>
                <w:spacing w:val="-10"/>
              </w:rPr>
              <w:t>17</w:t>
            </w:r>
          </w:p>
        </w:tc>
        <w:tc>
          <w:tcPr>
            <w:tcW w:w="753" w:type="dxa"/>
            <w:tcBorders>
              <w:top w:val="single" w:color="000000" w:sz="4" w:space="0"/>
            </w:tcBorders>
            <w:vAlign w:val="top"/>
          </w:tcPr>
          <w:p w14:paraId="03727498">
            <w:pPr>
              <w:rPr>
                <w:rFonts w:ascii="Arial"/>
                <w:sz w:val="21"/>
              </w:rPr>
            </w:pPr>
          </w:p>
        </w:tc>
        <w:tc>
          <w:tcPr>
            <w:tcW w:w="1365" w:type="dxa"/>
            <w:tcBorders>
              <w:top w:val="single" w:color="000000" w:sz="4" w:space="0"/>
            </w:tcBorders>
            <w:vAlign w:val="top"/>
          </w:tcPr>
          <w:p w14:paraId="3AFB7AC2">
            <w:pPr>
              <w:spacing w:before="211" w:line="1010" w:lineRule="exact"/>
              <w:ind w:firstLine="75"/>
            </w:pPr>
            <w:r>
              <w:rPr>
                <w:position w:val="-20"/>
              </w:rPr>
              <w:drawing>
                <wp:inline distT="0" distB="0" distL="0" distR="0">
                  <wp:extent cx="765175" cy="641350"/>
                  <wp:effectExtent l="0" t="0" r="0" b="0"/>
                  <wp:docPr id="1554" name="IM 1554"/>
                  <wp:cNvGraphicFramePr/>
                  <a:graphic xmlns:a="http://schemas.openxmlformats.org/drawingml/2006/main">
                    <a:graphicData uri="http://schemas.openxmlformats.org/drawingml/2006/picture">
                      <pic:pic xmlns:pic="http://schemas.openxmlformats.org/drawingml/2006/picture">
                        <pic:nvPicPr>
                          <pic:cNvPr id="1554" name="IM 1554"/>
                          <pic:cNvPicPr/>
                        </pic:nvPicPr>
                        <pic:blipFill>
                          <a:blip r:embed="rId713"/>
                          <a:stretch>
                            <a:fillRect/>
                          </a:stretch>
                        </pic:blipFill>
                        <pic:spPr>
                          <a:xfrm>
                            <a:off x="0" y="0"/>
                            <a:ext cx="765175" cy="641350"/>
                          </a:xfrm>
                          <a:prstGeom prst="rect">
                            <a:avLst/>
                          </a:prstGeom>
                        </pic:spPr>
                      </pic:pic>
                    </a:graphicData>
                  </a:graphic>
                </wp:inline>
              </w:drawing>
            </w:r>
          </w:p>
        </w:tc>
        <w:tc>
          <w:tcPr>
            <w:tcW w:w="1057" w:type="dxa"/>
            <w:tcBorders>
              <w:top w:val="single" w:color="000000" w:sz="4" w:space="0"/>
            </w:tcBorders>
            <w:vAlign w:val="top"/>
          </w:tcPr>
          <w:p w14:paraId="001C10D1">
            <w:pPr>
              <w:spacing w:line="282" w:lineRule="auto"/>
              <w:rPr>
                <w:rFonts w:ascii="Arial"/>
                <w:sz w:val="21"/>
              </w:rPr>
            </w:pPr>
          </w:p>
          <w:p w14:paraId="0051F447">
            <w:pPr>
              <w:pStyle w:val="7"/>
              <w:spacing w:before="78" w:line="219" w:lineRule="auto"/>
              <w:ind w:left="226"/>
            </w:pPr>
            <w:r>
              <w:rPr>
                <w:spacing w:val="-17"/>
              </w:rPr>
              <w:t>雷电红</w:t>
            </w:r>
          </w:p>
          <w:p w14:paraId="3C1E7874">
            <w:pPr>
              <w:pStyle w:val="7"/>
              <w:spacing w:before="183" w:line="219" w:lineRule="auto"/>
              <w:ind w:left="216"/>
            </w:pPr>
            <w:r>
              <w:rPr>
                <w:spacing w:val="-14"/>
              </w:rPr>
              <w:t>色预警</w:t>
            </w:r>
          </w:p>
        </w:tc>
        <w:tc>
          <w:tcPr>
            <w:tcW w:w="5642" w:type="dxa"/>
            <w:tcBorders>
              <w:top w:val="single" w:color="5B9BD5" w:sz="4" w:space="0"/>
              <w:right w:val="single" w:color="5B9BD5" w:sz="4" w:space="0"/>
            </w:tcBorders>
            <w:vAlign w:val="top"/>
          </w:tcPr>
          <w:p w14:paraId="6C7F4505">
            <w:pPr>
              <w:pStyle w:val="7"/>
              <w:spacing w:before="129" w:line="216" w:lineRule="auto"/>
              <w:ind w:left="65"/>
            </w:pPr>
            <w:r>
              <w:rPr>
                <w:spacing w:val="-25"/>
              </w:rPr>
              <w:t>2小时内发生雷电活动的可能性非常大，或者已经有强烈的</w:t>
            </w:r>
          </w:p>
          <w:p w14:paraId="54FB4239">
            <w:pPr>
              <w:pStyle w:val="7"/>
              <w:spacing w:before="185" w:line="216" w:lineRule="auto"/>
              <w:ind w:left="114"/>
            </w:pPr>
            <w:r>
              <w:rPr>
                <w:spacing w:val="-22"/>
              </w:rPr>
              <w:t>雷电活动发生，且可能持续，出现雷电灾害事故的可能性</w:t>
            </w:r>
          </w:p>
          <w:p w14:paraId="0510E63E">
            <w:pPr>
              <w:pStyle w:val="7"/>
              <w:spacing w:before="187" w:line="218" w:lineRule="auto"/>
              <w:ind w:left="2399"/>
            </w:pPr>
            <w:r>
              <w:rPr>
                <w:spacing w:val="-17"/>
              </w:rPr>
              <w:t>非常大。</w:t>
            </w:r>
          </w:p>
        </w:tc>
      </w:tr>
      <w:tr w14:paraId="2E0E80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18" w:hRule="atLeast"/>
        </w:trPr>
        <w:tc>
          <w:tcPr>
            <w:tcW w:w="856" w:type="dxa"/>
            <w:tcBorders>
              <w:left w:val="single" w:color="000000" w:sz="4" w:space="0"/>
            </w:tcBorders>
            <w:vAlign w:val="top"/>
          </w:tcPr>
          <w:p w14:paraId="165A4F4C">
            <w:pPr>
              <w:rPr>
                <w:rFonts w:ascii="Arial"/>
                <w:sz w:val="21"/>
              </w:rPr>
            </w:pPr>
          </w:p>
          <w:p w14:paraId="52056A7E">
            <w:pPr>
              <w:spacing w:line="241" w:lineRule="auto"/>
              <w:rPr>
                <w:rFonts w:ascii="Arial"/>
                <w:sz w:val="21"/>
              </w:rPr>
            </w:pPr>
          </w:p>
          <w:p w14:paraId="146AE5B1">
            <w:pPr>
              <w:pStyle w:val="7"/>
              <w:spacing w:before="78" w:line="237" w:lineRule="auto"/>
              <w:ind w:left="345"/>
            </w:pPr>
            <w:r>
              <w:rPr>
                <w:spacing w:val="-10"/>
              </w:rPr>
              <w:t>18</w:t>
            </w:r>
          </w:p>
        </w:tc>
        <w:tc>
          <w:tcPr>
            <w:tcW w:w="753" w:type="dxa"/>
            <w:vMerge w:val="restart"/>
            <w:tcBorders>
              <w:bottom w:val="nil"/>
            </w:tcBorders>
            <w:vAlign w:val="top"/>
          </w:tcPr>
          <w:p w14:paraId="1312A40B">
            <w:pPr>
              <w:spacing w:line="250" w:lineRule="auto"/>
              <w:rPr>
                <w:rFonts w:ascii="Arial"/>
                <w:sz w:val="21"/>
              </w:rPr>
            </w:pPr>
          </w:p>
          <w:p w14:paraId="1B9C273E">
            <w:pPr>
              <w:spacing w:line="250" w:lineRule="auto"/>
              <w:rPr>
                <w:rFonts w:ascii="Arial"/>
                <w:sz w:val="21"/>
              </w:rPr>
            </w:pPr>
          </w:p>
          <w:p w14:paraId="4007D2D8">
            <w:pPr>
              <w:spacing w:line="250" w:lineRule="auto"/>
              <w:rPr>
                <w:rFonts w:ascii="Arial"/>
                <w:sz w:val="21"/>
              </w:rPr>
            </w:pPr>
          </w:p>
          <w:p w14:paraId="48A86651">
            <w:pPr>
              <w:spacing w:line="250" w:lineRule="auto"/>
              <w:rPr>
                <w:rFonts w:ascii="Arial"/>
                <w:sz w:val="21"/>
              </w:rPr>
            </w:pPr>
          </w:p>
          <w:p w14:paraId="6E8ECB96">
            <w:pPr>
              <w:spacing w:line="250" w:lineRule="auto"/>
              <w:rPr>
                <w:rFonts w:ascii="Arial"/>
                <w:sz w:val="21"/>
              </w:rPr>
            </w:pPr>
          </w:p>
          <w:p w14:paraId="129AF390">
            <w:pPr>
              <w:spacing w:line="250" w:lineRule="auto"/>
              <w:rPr>
                <w:rFonts w:ascii="Arial"/>
                <w:sz w:val="21"/>
              </w:rPr>
            </w:pPr>
          </w:p>
          <w:p w14:paraId="3F5030D2">
            <w:pPr>
              <w:spacing w:line="250" w:lineRule="auto"/>
              <w:rPr>
                <w:rFonts w:ascii="Arial"/>
                <w:sz w:val="21"/>
              </w:rPr>
            </w:pPr>
          </w:p>
          <w:p w14:paraId="5C7C1FAE">
            <w:pPr>
              <w:spacing w:line="250" w:lineRule="auto"/>
              <w:rPr>
                <w:rFonts w:ascii="Arial"/>
                <w:sz w:val="21"/>
              </w:rPr>
            </w:pPr>
          </w:p>
          <w:p w14:paraId="5FDCDDC5">
            <w:pPr>
              <w:spacing w:line="251" w:lineRule="auto"/>
              <w:rPr>
                <w:rFonts w:ascii="Arial"/>
                <w:sz w:val="21"/>
              </w:rPr>
            </w:pPr>
          </w:p>
          <w:p w14:paraId="179329C9">
            <w:pPr>
              <w:spacing w:line="251" w:lineRule="auto"/>
              <w:rPr>
                <w:rFonts w:ascii="Arial"/>
                <w:sz w:val="21"/>
              </w:rPr>
            </w:pPr>
          </w:p>
          <w:p w14:paraId="17FF1233">
            <w:pPr>
              <w:spacing w:line="251" w:lineRule="auto"/>
              <w:rPr>
                <w:rFonts w:ascii="Arial"/>
                <w:sz w:val="21"/>
              </w:rPr>
            </w:pPr>
          </w:p>
          <w:p w14:paraId="5A4D2227">
            <w:pPr>
              <w:pStyle w:val="7"/>
              <w:spacing w:before="78" w:line="218" w:lineRule="auto"/>
              <w:ind w:left="167"/>
            </w:pPr>
            <w:r>
              <w:rPr>
                <w:spacing w:val="-10"/>
              </w:rPr>
              <w:t>寒潮</w:t>
            </w:r>
          </w:p>
        </w:tc>
        <w:tc>
          <w:tcPr>
            <w:tcW w:w="1365" w:type="dxa"/>
            <w:vAlign w:val="top"/>
          </w:tcPr>
          <w:p w14:paraId="1112572B">
            <w:pPr>
              <w:spacing w:before="154" w:line="1054" w:lineRule="exact"/>
              <w:ind w:firstLine="75"/>
            </w:pPr>
            <w:r>
              <w:rPr>
                <w:position w:val="-21"/>
              </w:rPr>
              <w:drawing>
                <wp:inline distT="0" distB="0" distL="0" distR="0">
                  <wp:extent cx="765175" cy="669290"/>
                  <wp:effectExtent l="0" t="0" r="0" b="0"/>
                  <wp:docPr id="1556" name="IM 1556"/>
                  <wp:cNvGraphicFramePr/>
                  <a:graphic xmlns:a="http://schemas.openxmlformats.org/drawingml/2006/main">
                    <a:graphicData uri="http://schemas.openxmlformats.org/drawingml/2006/picture">
                      <pic:pic xmlns:pic="http://schemas.openxmlformats.org/drawingml/2006/picture">
                        <pic:nvPicPr>
                          <pic:cNvPr id="1556" name="IM 1556"/>
                          <pic:cNvPicPr/>
                        </pic:nvPicPr>
                        <pic:blipFill>
                          <a:blip r:embed="rId714"/>
                          <a:stretch>
                            <a:fillRect/>
                          </a:stretch>
                        </pic:blipFill>
                        <pic:spPr>
                          <a:xfrm>
                            <a:off x="0" y="0"/>
                            <a:ext cx="765175" cy="669290"/>
                          </a:xfrm>
                          <a:prstGeom prst="rect">
                            <a:avLst/>
                          </a:prstGeom>
                        </pic:spPr>
                      </pic:pic>
                    </a:graphicData>
                  </a:graphic>
                </wp:inline>
              </w:drawing>
            </w:r>
          </w:p>
        </w:tc>
        <w:tc>
          <w:tcPr>
            <w:tcW w:w="1057" w:type="dxa"/>
            <w:vAlign w:val="top"/>
          </w:tcPr>
          <w:p w14:paraId="5950B6EF">
            <w:pPr>
              <w:spacing w:line="248" w:lineRule="auto"/>
              <w:rPr>
                <w:rFonts w:ascii="Arial"/>
                <w:sz w:val="21"/>
              </w:rPr>
            </w:pPr>
          </w:p>
          <w:p w14:paraId="5995CA05">
            <w:pPr>
              <w:pStyle w:val="7"/>
              <w:spacing w:before="78" w:line="218" w:lineRule="auto"/>
              <w:ind w:left="212"/>
            </w:pPr>
            <w:r>
              <w:rPr>
                <w:spacing w:val="-13"/>
              </w:rPr>
              <w:t>寒潮蓝</w:t>
            </w:r>
          </w:p>
          <w:p w14:paraId="6D027350">
            <w:pPr>
              <w:pStyle w:val="7"/>
              <w:spacing w:before="184" w:line="219" w:lineRule="auto"/>
              <w:ind w:left="216"/>
            </w:pPr>
            <w:r>
              <w:rPr>
                <w:spacing w:val="-14"/>
              </w:rPr>
              <w:t>色预警</w:t>
            </w:r>
          </w:p>
        </w:tc>
        <w:tc>
          <w:tcPr>
            <w:tcW w:w="5642" w:type="dxa"/>
            <w:tcBorders>
              <w:right w:val="single" w:color="000000" w:sz="4" w:space="0"/>
            </w:tcBorders>
            <w:vAlign w:val="top"/>
          </w:tcPr>
          <w:p w14:paraId="03FEC4D6">
            <w:pPr>
              <w:pStyle w:val="7"/>
              <w:spacing w:before="95" w:line="359" w:lineRule="auto"/>
              <w:ind w:left="61" w:firstLine="28"/>
              <w:jc w:val="both"/>
            </w:pPr>
            <w:r>
              <w:rPr>
                <w:spacing w:val="-20"/>
              </w:rPr>
              <w:t>48小时内最低气温将要下降8℃以上，最低气温小于等于</w:t>
            </w:r>
            <w:r>
              <w:rPr>
                <w:spacing w:val="-22"/>
              </w:rPr>
              <w:t>4℃,陆地平均风力可达5级以上；或者已经下降8℃以上，</w:t>
            </w:r>
            <w:r>
              <w:rPr>
                <w:spacing w:val="-23"/>
              </w:rPr>
              <w:t>最低气温小于等于4℃,平均风力达5级以上，并可能持续。</w:t>
            </w:r>
          </w:p>
        </w:tc>
      </w:tr>
      <w:tr w14:paraId="729D92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21" w:hRule="atLeast"/>
        </w:trPr>
        <w:tc>
          <w:tcPr>
            <w:tcW w:w="856" w:type="dxa"/>
            <w:tcBorders>
              <w:left w:val="single" w:color="000000" w:sz="4" w:space="0"/>
            </w:tcBorders>
            <w:vAlign w:val="top"/>
          </w:tcPr>
          <w:p w14:paraId="4E92904F">
            <w:pPr>
              <w:spacing w:line="241" w:lineRule="auto"/>
              <w:rPr>
                <w:rFonts w:ascii="Arial"/>
                <w:sz w:val="21"/>
              </w:rPr>
            </w:pPr>
          </w:p>
          <w:p w14:paraId="327A4DF4">
            <w:pPr>
              <w:spacing w:line="241" w:lineRule="auto"/>
              <w:rPr>
                <w:rFonts w:ascii="Arial"/>
                <w:sz w:val="21"/>
              </w:rPr>
            </w:pPr>
          </w:p>
          <w:p w14:paraId="245C9EDB">
            <w:pPr>
              <w:pStyle w:val="7"/>
              <w:spacing w:before="78" w:line="237" w:lineRule="auto"/>
              <w:ind w:left="345"/>
            </w:pPr>
            <w:r>
              <w:rPr>
                <w:spacing w:val="-10"/>
              </w:rPr>
              <w:t>19</w:t>
            </w:r>
          </w:p>
        </w:tc>
        <w:tc>
          <w:tcPr>
            <w:tcW w:w="753" w:type="dxa"/>
            <w:vMerge w:val="continue"/>
            <w:tcBorders>
              <w:top w:val="nil"/>
              <w:bottom w:val="nil"/>
            </w:tcBorders>
            <w:vAlign w:val="top"/>
          </w:tcPr>
          <w:p w14:paraId="63793582">
            <w:pPr>
              <w:rPr>
                <w:rFonts w:ascii="Arial"/>
                <w:sz w:val="21"/>
              </w:rPr>
            </w:pPr>
          </w:p>
        </w:tc>
        <w:tc>
          <w:tcPr>
            <w:tcW w:w="1365" w:type="dxa"/>
            <w:vAlign w:val="top"/>
          </w:tcPr>
          <w:p w14:paraId="14A96DFE">
            <w:pPr>
              <w:spacing w:before="155" w:line="1054" w:lineRule="exact"/>
              <w:ind w:firstLine="75"/>
            </w:pPr>
            <w:r>
              <w:rPr>
                <w:position w:val="-21"/>
              </w:rPr>
              <w:drawing>
                <wp:inline distT="0" distB="0" distL="0" distR="0">
                  <wp:extent cx="765175" cy="669290"/>
                  <wp:effectExtent l="0" t="0" r="0" b="0"/>
                  <wp:docPr id="1558" name="IM 1558"/>
                  <wp:cNvGraphicFramePr/>
                  <a:graphic xmlns:a="http://schemas.openxmlformats.org/drawingml/2006/main">
                    <a:graphicData uri="http://schemas.openxmlformats.org/drawingml/2006/picture">
                      <pic:pic xmlns:pic="http://schemas.openxmlformats.org/drawingml/2006/picture">
                        <pic:nvPicPr>
                          <pic:cNvPr id="1558" name="IM 1558"/>
                          <pic:cNvPicPr/>
                        </pic:nvPicPr>
                        <pic:blipFill>
                          <a:blip r:embed="rId715"/>
                          <a:stretch>
                            <a:fillRect/>
                          </a:stretch>
                        </pic:blipFill>
                        <pic:spPr>
                          <a:xfrm>
                            <a:off x="0" y="0"/>
                            <a:ext cx="765175" cy="669290"/>
                          </a:xfrm>
                          <a:prstGeom prst="rect">
                            <a:avLst/>
                          </a:prstGeom>
                        </pic:spPr>
                      </pic:pic>
                    </a:graphicData>
                  </a:graphic>
                </wp:inline>
              </w:drawing>
            </w:r>
          </w:p>
        </w:tc>
        <w:tc>
          <w:tcPr>
            <w:tcW w:w="1057" w:type="dxa"/>
            <w:vAlign w:val="top"/>
          </w:tcPr>
          <w:p w14:paraId="76564709">
            <w:pPr>
              <w:spacing w:line="251" w:lineRule="auto"/>
              <w:rPr>
                <w:rFonts w:ascii="Arial"/>
                <w:sz w:val="21"/>
              </w:rPr>
            </w:pPr>
          </w:p>
          <w:p w14:paraId="341E78BD">
            <w:pPr>
              <w:pStyle w:val="7"/>
              <w:spacing w:before="78" w:line="218" w:lineRule="auto"/>
              <w:ind w:left="212"/>
            </w:pPr>
            <w:r>
              <w:rPr>
                <w:spacing w:val="-13"/>
              </w:rPr>
              <w:t>寒潮黄</w:t>
            </w:r>
          </w:p>
          <w:p w14:paraId="55F692B0">
            <w:pPr>
              <w:pStyle w:val="7"/>
              <w:spacing w:before="181" w:line="219" w:lineRule="auto"/>
              <w:ind w:left="216"/>
            </w:pPr>
            <w:r>
              <w:rPr>
                <w:spacing w:val="-14"/>
              </w:rPr>
              <w:t>色预警</w:t>
            </w:r>
          </w:p>
        </w:tc>
        <w:tc>
          <w:tcPr>
            <w:tcW w:w="5642" w:type="dxa"/>
            <w:tcBorders>
              <w:right w:val="single" w:color="000000" w:sz="4" w:space="0"/>
            </w:tcBorders>
            <w:vAlign w:val="top"/>
          </w:tcPr>
          <w:p w14:paraId="27DD0C99">
            <w:pPr>
              <w:pStyle w:val="7"/>
              <w:spacing w:before="97" w:line="359" w:lineRule="auto"/>
              <w:ind w:left="61" w:firstLine="3"/>
              <w:jc w:val="both"/>
            </w:pPr>
            <w:r>
              <w:rPr>
                <w:spacing w:val="-23"/>
              </w:rPr>
              <w:t>24小时内最低气温将要下降10℃以上，最低气温</w:t>
            </w:r>
            <w:r>
              <w:rPr>
                <w:spacing w:val="-24"/>
              </w:rPr>
              <w:t>小于等于4℃,陆地平均风力可达6级以上；或者已经下降10℃以上，</w:t>
            </w:r>
            <w:r>
              <w:rPr>
                <w:spacing w:val="-23"/>
              </w:rPr>
              <w:t>最低气温小于等于4℃,平均风力达6级以上，并可能持续。</w:t>
            </w:r>
          </w:p>
        </w:tc>
      </w:tr>
      <w:tr w14:paraId="1B4A37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18" w:hRule="atLeast"/>
        </w:trPr>
        <w:tc>
          <w:tcPr>
            <w:tcW w:w="856" w:type="dxa"/>
            <w:tcBorders>
              <w:left w:val="single" w:color="000000" w:sz="4" w:space="0"/>
            </w:tcBorders>
            <w:vAlign w:val="top"/>
          </w:tcPr>
          <w:p w14:paraId="2CA30000">
            <w:pPr>
              <w:rPr>
                <w:rFonts w:ascii="Arial"/>
                <w:sz w:val="21"/>
              </w:rPr>
            </w:pPr>
          </w:p>
          <w:p w14:paraId="18A7D46F">
            <w:pPr>
              <w:spacing w:line="241" w:lineRule="auto"/>
              <w:rPr>
                <w:rFonts w:ascii="Arial"/>
                <w:sz w:val="21"/>
              </w:rPr>
            </w:pPr>
          </w:p>
          <w:p w14:paraId="40C056DF">
            <w:pPr>
              <w:pStyle w:val="7"/>
              <w:spacing w:before="78" w:line="237" w:lineRule="auto"/>
              <w:ind w:left="330"/>
            </w:pPr>
            <w:r>
              <w:rPr>
                <w:spacing w:val="-6"/>
              </w:rPr>
              <w:t>20</w:t>
            </w:r>
          </w:p>
        </w:tc>
        <w:tc>
          <w:tcPr>
            <w:tcW w:w="753" w:type="dxa"/>
            <w:vMerge w:val="continue"/>
            <w:tcBorders>
              <w:top w:val="nil"/>
              <w:bottom w:val="nil"/>
            </w:tcBorders>
            <w:vAlign w:val="top"/>
          </w:tcPr>
          <w:p w14:paraId="03328F63">
            <w:pPr>
              <w:rPr>
                <w:rFonts w:ascii="Arial"/>
                <w:sz w:val="21"/>
              </w:rPr>
            </w:pPr>
          </w:p>
        </w:tc>
        <w:tc>
          <w:tcPr>
            <w:tcW w:w="1365" w:type="dxa"/>
            <w:vAlign w:val="top"/>
          </w:tcPr>
          <w:p w14:paraId="01F267C3">
            <w:pPr>
              <w:spacing w:before="177" w:line="1010" w:lineRule="exact"/>
              <w:ind w:firstLine="75"/>
            </w:pPr>
            <w:r>
              <w:rPr>
                <w:position w:val="-20"/>
              </w:rPr>
              <w:drawing>
                <wp:inline distT="0" distB="0" distL="0" distR="0">
                  <wp:extent cx="765175" cy="640715"/>
                  <wp:effectExtent l="0" t="0" r="0" b="0"/>
                  <wp:docPr id="1560" name="IM 1560"/>
                  <wp:cNvGraphicFramePr/>
                  <a:graphic xmlns:a="http://schemas.openxmlformats.org/drawingml/2006/main">
                    <a:graphicData uri="http://schemas.openxmlformats.org/drawingml/2006/picture">
                      <pic:pic xmlns:pic="http://schemas.openxmlformats.org/drawingml/2006/picture">
                        <pic:nvPicPr>
                          <pic:cNvPr id="1560" name="IM 1560"/>
                          <pic:cNvPicPr/>
                        </pic:nvPicPr>
                        <pic:blipFill>
                          <a:blip r:embed="rId716"/>
                          <a:stretch>
                            <a:fillRect/>
                          </a:stretch>
                        </pic:blipFill>
                        <pic:spPr>
                          <a:xfrm>
                            <a:off x="0" y="0"/>
                            <a:ext cx="765175" cy="641349"/>
                          </a:xfrm>
                          <a:prstGeom prst="rect">
                            <a:avLst/>
                          </a:prstGeom>
                        </pic:spPr>
                      </pic:pic>
                    </a:graphicData>
                  </a:graphic>
                </wp:inline>
              </w:drawing>
            </w:r>
          </w:p>
        </w:tc>
        <w:tc>
          <w:tcPr>
            <w:tcW w:w="1057" w:type="dxa"/>
            <w:vAlign w:val="top"/>
          </w:tcPr>
          <w:p w14:paraId="00F45109">
            <w:pPr>
              <w:spacing w:line="250" w:lineRule="auto"/>
              <w:rPr>
                <w:rFonts w:ascii="Arial"/>
                <w:sz w:val="21"/>
              </w:rPr>
            </w:pPr>
          </w:p>
          <w:p w14:paraId="7064242F">
            <w:pPr>
              <w:pStyle w:val="7"/>
              <w:spacing w:before="78" w:line="218" w:lineRule="auto"/>
              <w:ind w:left="212"/>
            </w:pPr>
            <w:r>
              <w:rPr>
                <w:spacing w:val="-13"/>
              </w:rPr>
              <w:t>寒潮橙</w:t>
            </w:r>
          </w:p>
          <w:p w14:paraId="3335C44B">
            <w:pPr>
              <w:pStyle w:val="7"/>
              <w:spacing w:before="181" w:line="219" w:lineRule="auto"/>
              <w:ind w:left="216"/>
            </w:pPr>
            <w:r>
              <w:rPr>
                <w:spacing w:val="-14"/>
              </w:rPr>
              <w:t>色预警</w:t>
            </w:r>
          </w:p>
        </w:tc>
        <w:tc>
          <w:tcPr>
            <w:tcW w:w="5642" w:type="dxa"/>
            <w:tcBorders>
              <w:right w:val="single" w:color="000000" w:sz="4" w:space="0"/>
            </w:tcBorders>
            <w:vAlign w:val="top"/>
          </w:tcPr>
          <w:p w14:paraId="2F451300">
            <w:pPr>
              <w:pStyle w:val="7"/>
              <w:spacing w:before="97" w:line="359" w:lineRule="auto"/>
              <w:ind w:left="64"/>
              <w:jc w:val="both"/>
            </w:pPr>
            <w:r>
              <w:rPr>
                <w:spacing w:val="-23"/>
              </w:rPr>
              <w:t>24小时内最低气温将要下降12℃以上，最低气温小</w:t>
            </w:r>
            <w:r>
              <w:rPr>
                <w:spacing w:val="-24"/>
              </w:rPr>
              <w:t>于等于</w:t>
            </w:r>
            <w:r>
              <w:rPr>
                <w:spacing w:val="-22"/>
              </w:rPr>
              <w:t>0℃,陆地平均风力可达6级以上；或者已经下降12℃以上，</w:t>
            </w:r>
            <w:r>
              <w:rPr>
                <w:spacing w:val="-23"/>
              </w:rPr>
              <w:t>最低气温小于等于0℃,平均风力达6级以上，并可能持续。</w:t>
            </w:r>
          </w:p>
        </w:tc>
      </w:tr>
      <w:tr w14:paraId="1E4140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18" w:hRule="atLeast"/>
        </w:trPr>
        <w:tc>
          <w:tcPr>
            <w:tcW w:w="856" w:type="dxa"/>
            <w:tcBorders>
              <w:left w:val="single" w:color="000000" w:sz="4" w:space="0"/>
            </w:tcBorders>
            <w:vAlign w:val="top"/>
          </w:tcPr>
          <w:p w14:paraId="06AA66C0">
            <w:pPr>
              <w:spacing w:line="241" w:lineRule="auto"/>
              <w:rPr>
                <w:rFonts w:ascii="Arial"/>
                <w:sz w:val="21"/>
              </w:rPr>
            </w:pPr>
          </w:p>
          <w:p w14:paraId="1C06F1E3">
            <w:pPr>
              <w:spacing w:line="241" w:lineRule="auto"/>
              <w:rPr>
                <w:rFonts w:ascii="Arial"/>
                <w:sz w:val="21"/>
              </w:rPr>
            </w:pPr>
          </w:p>
          <w:p w14:paraId="74DE6326">
            <w:pPr>
              <w:pStyle w:val="7"/>
              <w:spacing w:before="78" w:line="238" w:lineRule="auto"/>
              <w:ind w:left="330"/>
            </w:pPr>
            <w:r>
              <w:rPr>
                <w:spacing w:val="-6"/>
              </w:rPr>
              <w:t>21</w:t>
            </w:r>
          </w:p>
        </w:tc>
        <w:tc>
          <w:tcPr>
            <w:tcW w:w="753" w:type="dxa"/>
            <w:vMerge w:val="continue"/>
            <w:tcBorders>
              <w:top w:val="nil"/>
            </w:tcBorders>
            <w:vAlign w:val="top"/>
          </w:tcPr>
          <w:p w14:paraId="3614E4ED">
            <w:pPr>
              <w:rPr>
                <w:rFonts w:ascii="Arial"/>
                <w:sz w:val="21"/>
              </w:rPr>
            </w:pPr>
          </w:p>
        </w:tc>
        <w:tc>
          <w:tcPr>
            <w:tcW w:w="1365" w:type="dxa"/>
            <w:vAlign w:val="top"/>
          </w:tcPr>
          <w:p w14:paraId="2E4710FD">
            <w:pPr>
              <w:spacing w:before="178" w:line="1010" w:lineRule="exact"/>
              <w:ind w:firstLine="75"/>
            </w:pPr>
            <w:r>
              <w:rPr>
                <w:position w:val="-20"/>
              </w:rPr>
              <w:drawing>
                <wp:inline distT="0" distB="0" distL="0" distR="0">
                  <wp:extent cx="765175" cy="641350"/>
                  <wp:effectExtent l="0" t="0" r="0" b="0"/>
                  <wp:docPr id="1562" name="IM 1562"/>
                  <wp:cNvGraphicFramePr/>
                  <a:graphic xmlns:a="http://schemas.openxmlformats.org/drawingml/2006/main">
                    <a:graphicData uri="http://schemas.openxmlformats.org/drawingml/2006/picture">
                      <pic:pic xmlns:pic="http://schemas.openxmlformats.org/drawingml/2006/picture">
                        <pic:nvPicPr>
                          <pic:cNvPr id="1562" name="IM 1562"/>
                          <pic:cNvPicPr/>
                        </pic:nvPicPr>
                        <pic:blipFill>
                          <a:blip r:embed="rId717"/>
                          <a:stretch>
                            <a:fillRect/>
                          </a:stretch>
                        </pic:blipFill>
                        <pic:spPr>
                          <a:xfrm>
                            <a:off x="0" y="0"/>
                            <a:ext cx="765175" cy="641350"/>
                          </a:xfrm>
                          <a:prstGeom prst="rect">
                            <a:avLst/>
                          </a:prstGeom>
                        </pic:spPr>
                      </pic:pic>
                    </a:graphicData>
                  </a:graphic>
                </wp:inline>
              </w:drawing>
            </w:r>
          </w:p>
        </w:tc>
        <w:tc>
          <w:tcPr>
            <w:tcW w:w="1057" w:type="dxa"/>
            <w:vAlign w:val="top"/>
          </w:tcPr>
          <w:p w14:paraId="22EB25F5">
            <w:pPr>
              <w:spacing w:line="251" w:lineRule="auto"/>
              <w:rPr>
                <w:rFonts w:ascii="Arial"/>
                <w:sz w:val="21"/>
              </w:rPr>
            </w:pPr>
          </w:p>
          <w:p w14:paraId="157CA4C4">
            <w:pPr>
              <w:pStyle w:val="7"/>
              <w:spacing w:before="78" w:line="218" w:lineRule="auto"/>
              <w:ind w:left="212"/>
            </w:pPr>
            <w:r>
              <w:rPr>
                <w:spacing w:val="-13"/>
              </w:rPr>
              <w:t>寒潮红</w:t>
            </w:r>
          </w:p>
          <w:p w14:paraId="04748283">
            <w:pPr>
              <w:pStyle w:val="7"/>
              <w:spacing w:before="184" w:line="219" w:lineRule="auto"/>
              <w:ind w:left="216"/>
            </w:pPr>
            <w:r>
              <w:rPr>
                <w:spacing w:val="-14"/>
              </w:rPr>
              <w:t>色预警</w:t>
            </w:r>
          </w:p>
        </w:tc>
        <w:tc>
          <w:tcPr>
            <w:tcW w:w="5642" w:type="dxa"/>
            <w:tcBorders>
              <w:right w:val="single" w:color="000000" w:sz="4" w:space="0"/>
            </w:tcBorders>
            <w:vAlign w:val="top"/>
          </w:tcPr>
          <w:p w14:paraId="21B836BD">
            <w:pPr>
              <w:pStyle w:val="7"/>
              <w:spacing w:before="98" w:line="359" w:lineRule="auto"/>
              <w:ind w:left="64"/>
              <w:jc w:val="both"/>
            </w:pPr>
            <w:r>
              <w:rPr>
                <w:spacing w:val="-23"/>
              </w:rPr>
              <w:t>24小时内最低气温将要下降16℃以上，最低气温小</w:t>
            </w:r>
            <w:r>
              <w:rPr>
                <w:spacing w:val="-24"/>
              </w:rPr>
              <w:t>于等于0℃,陆地平均风力可达6级以上；或者已经下降16</w:t>
            </w:r>
            <w:r>
              <w:rPr>
                <w:spacing w:val="-25"/>
              </w:rPr>
              <w:t>℃以上，</w:t>
            </w:r>
            <w:r>
              <w:rPr>
                <w:spacing w:val="-23"/>
              </w:rPr>
              <w:t>最低气温小于等于0℃,平均风力达6级以上，并可能持续。</w:t>
            </w:r>
          </w:p>
        </w:tc>
      </w:tr>
      <w:tr w14:paraId="563797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85" w:hRule="atLeast"/>
        </w:trPr>
        <w:tc>
          <w:tcPr>
            <w:tcW w:w="856" w:type="dxa"/>
            <w:tcBorders>
              <w:left w:val="single" w:color="000000" w:sz="4" w:space="0"/>
            </w:tcBorders>
            <w:vAlign w:val="top"/>
          </w:tcPr>
          <w:p w14:paraId="73747DF7">
            <w:pPr>
              <w:spacing w:line="369" w:lineRule="auto"/>
              <w:rPr>
                <w:rFonts w:ascii="Arial"/>
                <w:sz w:val="21"/>
              </w:rPr>
            </w:pPr>
          </w:p>
          <w:p w14:paraId="5A90A676">
            <w:pPr>
              <w:pStyle w:val="7"/>
              <w:spacing w:before="78" w:line="238" w:lineRule="auto"/>
              <w:ind w:left="330"/>
            </w:pPr>
            <w:r>
              <w:rPr>
                <w:spacing w:val="-6"/>
              </w:rPr>
              <w:t>22</w:t>
            </w:r>
          </w:p>
        </w:tc>
        <w:tc>
          <w:tcPr>
            <w:tcW w:w="753" w:type="dxa"/>
            <w:vMerge w:val="restart"/>
            <w:tcBorders>
              <w:bottom w:val="nil"/>
            </w:tcBorders>
            <w:vAlign w:val="top"/>
          </w:tcPr>
          <w:p w14:paraId="47166449">
            <w:pPr>
              <w:spacing w:line="257" w:lineRule="auto"/>
              <w:rPr>
                <w:rFonts w:ascii="Arial"/>
                <w:sz w:val="21"/>
              </w:rPr>
            </w:pPr>
            <w:r>
              <w:pict>
                <v:shape id="_x0000_s3979" o:spid="_x0000_s3979" style="position:absolute;left:0pt;margin-left:1.8pt;margin-top:258.05pt;height:0.75pt;width:35.55pt;mso-position-horizontal-relative:page;mso-position-vertical-relative:page;z-index:252315648;mso-width-relative:page;mso-height-relative:page;" fillcolor="#1C456A" filled="t" stroked="f" coordsize="710,15" path="m0,14l710,14,710,0,0,0,0,14xe">
                  <v:path/>
                  <v:fill on="t" focussize="0,0"/>
                  <v:stroke on="f"/>
                  <v:imagedata o:title=""/>
                  <o:lock v:ext="edit"/>
                </v:shape>
              </w:pict>
            </w:r>
          </w:p>
          <w:p w14:paraId="707E67FE">
            <w:pPr>
              <w:spacing w:line="257" w:lineRule="auto"/>
              <w:rPr>
                <w:rFonts w:ascii="Arial"/>
                <w:sz w:val="21"/>
              </w:rPr>
            </w:pPr>
          </w:p>
          <w:p w14:paraId="7FE960A3">
            <w:pPr>
              <w:spacing w:line="257" w:lineRule="auto"/>
              <w:rPr>
                <w:rFonts w:ascii="Arial"/>
                <w:sz w:val="21"/>
              </w:rPr>
            </w:pPr>
          </w:p>
          <w:p w14:paraId="23603C8A">
            <w:pPr>
              <w:spacing w:line="257" w:lineRule="auto"/>
              <w:rPr>
                <w:rFonts w:ascii="Arial"/>
                <w:sz w:val="21"/>
              </w:rPr>
            </w:pPr>
          </w:p>
          <w:p w14:paraId="1C4D351A">
            <w:pPr>
              <w:spacing w:line="257" w:lineRule="auto"/>
              <w:rPr>
                <w:rFonts w:ascii="Arial"/>
                <w:sz w:val="21"/>
              </w:rPr>
            </w:pPr>
          </w:p>
          <w:p w14:paraId="5DDBBED2">
            <w:pPr>
              <w:spacing w:line="257" w:lineRule="auto"/>
              <w:rPr>
                <w:rFonts w:ascii="Arial"/>
                <w:sz w:val="21"/>
              </w:rPr>
            </w:pPr>
          </w:p>
          <w:p w14:paraId="3594E953">
            <w:pPr>
              <w:spacing w:line="257" w:lineRule="auto"/>
              <w:rPr>
                <w:rFonts w:ascii="Arial"/>
                <w:sz w:val="21"/>
              </w:rPr>
            </w:pPr>
          </w:p>
          <w:p w14:paraId="1A1A01F9">
            <w:pPr>
              <w:spacing w:line="258" w:lineRule="auto"/>
              <w:rPr>
                <w:rFonts w:ascii="Arial"/>
                <w:sz w:val="21"/>
              </w:rPr>
            </w:pPr>
          </w:p>
          <w:p w14:paraId="27C7D1F3">
            <w:pPr>
              <w:pStyle w:val="7"/>
              <w:spacing w:before="78" w:line="217" w:lineRule="auto"/>
              <w:ind w:left="190"/>
            </w:pPr>
            <w:r>
              <w:rPr>
                <w:spacing w:val="-15"/>
              </w:rPr>
              <w:t>台风</w:t>
            </w:r>
          </w:p>
          <w:p w14:paraId="61F21C10">
            <w:pPr>
              <w:pStyle w:val="7"/>
              <w:spacing w:before="186" w:line="220" w:lineRule="auto"/>
              <w:ind w:left="168"/>
            </w:pPr>
            <w:r>
              <w:rPr>
                <w:spacing w:val="-10"/>
              </w:rPr>
              <w:t>天气</w:t>
            </w:r>
          </w:p>
        </w:tc>
        <w:tc>
          <w:tcPr>
            <w:tcW w:w="1365" w:type="dxa"/>
            <w:vAlign w:val="top"/>
          </w:tcPr>
          <w:p w14:paraId="18F4D441">
            <w:pPr>
              <w:spacing w:before="61" w:line="1011" w:lineRule="exact"/>
              <w:ind w:firstLine="75"/>
            </w:pPr>
            <w:r>
              <w:rPr>
                <w:position w:val="-20"/>
              </w:rPr>
              <w:drawing>
                <wp:inline distT="0" distB="0" distL="0" distR="0">
                  <wp:extent cx="765175" cy="641350"/>
                  <wp:effectExtent l="0" t="0" r="0" b="0"/>
                  <wp:docPr id="1564" name="IM 1564"/>
                  <wp:cNvGraphicFramePr/>
                  <a:graphic xmlns:a="http://schemas.openxmlformats.org/drawingml/2006/main">
                    <a:graphicData uri="http://schemas.openxmlformats.org/drawingml/2006/picture">
                      <pic:pic xmlns:pic="http://schemas.openxmlformats.org/drawingml/2006/picture">
                        <pic:nvPicPr>
                          <pic:cNvPr id="1564" name="IM 1564"/>
                          <pic:cNvPicPr/>
                        </pic:nvPicPr>
                        <pic:blipFill>
                          <a:blip r:embed="rId718"/>
                          <a:stretch>
                            <a:fillRect/>
                          </a:stretch>
                        </pic:blipFill>
                        <pic:spPr>
                          <a:xfrm>
                            <a:off x="0" y="0"/>
                            <a:ext cx="765175" cy="641984"/>
                          </a:xfrm>
                          <a:prstGeom prst="rect">
                            <a:avLst/>
                          </a:prstGeom>
                        </pic:spPr>
                      </pic:pic>
                    </a:graphicData>
                  </a:graphic>
                </wp:inline>
              </w:drawing>
            </w:r>
          </w:p>
        </w:tc>
        <w:tc>
          <w:tcPr>
            <w:tcW w:w="1057" w:type="dxa"/>
            <w:vAlign w:val="top"/>
          </w:tcPr>
          <w:p w14:paraId="4E4898FE">
            <w:pPr>
              <w:pStyle w:val="7"/>
              <w:spacing w:before="213" w:line="217" w:lineRule="auto"/>
              <w:ind w:left="235"/>
            </w:pPr>
            <w:r>
              <w:rPr>
                <w:spacing w:val="-19"/>
              </w:rPr>
              <w:t>台风蓝</w:t>
            </w:r>
          </w:p>
          <w:p w14:paraId="00C12848">
            <w:pPr>
              <w:pStyle w:val="7"/>
              <w:spacing w:before="186" w:line="219" w:lineRule="auto"/>
              <w:ind w:left="216"/>
            </w:pPr>
            <w:r>
              <w:rPr>
                <w:spacing w:val="-14"/>
              </w:rPr>
              <w:t>色预警</w:t>
            </w:r>
          </w:p>
        </w:tc>
        <w:tc>
          <w:tcPr>
            <w:tcW w:w="5642" w:type="dxa"/>
            <w:tcBorders>
              <w:right w:val="single" w:color="000000" w:sz="4" w:space="0"/>
            </w:tcBorders>
            <w:vAlign w:val="top"/>
          </w:tcPr>
          <w:p w14:paraId="25E36DAD">
            <w:pPr>
              <w:pStyle w:val="7"/>
              <w:spacing w:before="215" w:line="360" w:lineRule="auto"/>
              <w:ind w:left="209" w:right="75" w:hanging="107"/>
            </w:pPr>
            <w:r>
              <w:rPr>
                <w:spacing w:val="-19"/>
              </w:rPr>
              <w:t>示24小时内可能或者已经受热带气旋影响,沿海或者陆地</w:t>
            </w:r>
            <w:r>
              <w:rPr>
                <w:spacing w:val="-17"/>
              </w:rPr>
              <w:t>平均风力达6级以上，或者阵风8级以上并可能持续。</w:t>
            </w:r>
          </w:p>
        </w:tc>
      </w:tr>
      <w:tr w14:paraId="554148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83" w:hRule="atLeast"/>
        </w:trPr>
        <w:tc>
          <w:tcPr>
            <w:tcW w:w="856" w:type="dxa"/>
            <w:tcBorders>
              <w:left w:val="single" w:color="000000" w:sz="4" w:space="0"/>
            </w:tcBorders>
            <w:vAlign w:val="top"/>
          </w:tcPr>
          <w:p w14:paraId="164676C3">
            <w:pPr>
              <w:spacing w:line="367" w:lineRule="auto"/>
              <w:rPr>
                <w:rFonts w:ascii="Arial"/>
                <w:sz w:val="21"/>
              </w:rPr>
            </w:pPr>
          </w:p>
          <w:p w14:paraId="7E617115">
            <w:pPr>
              <w:pStyle w:val="7"/>
              <w:spacing w:before="78" w:line="237" w:lineRule="auto"/>
              <w:ind w:left="330"/>
            </w:pPr>
            <w:r>
              <w:rPr>
                <w:spacing w:val="-6"/>
              </w:rPr>
              <w:t>23</w:t>
            </w:r>
          </w:p>
        </w:tc>
        <w:tc>
          <w:tcPr>
            <w:tcW w:w="753" w:type="dxa"/>
            <w:vMerge w:val="continue"/>
            <w:tcBorders>
              <w:top w:val="nil"/>
              <w:bottom w:val="nil"/>
            </w:tcBorders>
            <w:vAlign w:val="top"/>
          </w:tcPr>
          <w:p w14:paraId="47341C5E">
            <w:pPr>
              <w:rPr>
                <w:rFonts w:ascii="Arial"/>
                <w:sz w:val="21"/>
              </w:rPr>
            </w:pPr>
          </w:p>
        </w:tc>
        <w:tc>
          <w:tcPr>
            <w:tcW w:w="1365" w:type="dxa"/>
            <w:vAlign w:val="top"/>
          </w:tcPr>
          <w:p w14:paraId="1F3A6D86">
            <w:pPr>
              <w:spacing w:before="60" w:line="1011" w:lineRule="exact"/>
              <w:ind w:firstLine="75"/>
            </w:pPr>
            <w:r>
              <w:rPr>
                <w:position w:val="-20"/>
              </w:rPr>
              <w:drawing>
                <wp:inline distT="0" distB="0" distL="0" distR="0">
                  <wp:extent cx="765175" cy="641350"/>
                  <wp:effectExtent l="0" t="0" r="0" b="0"/>
                  <wp:docPr id="1566" name="IM 1566"/>
                  <wp:cNvGraphicFramePr/>
                  <a:graphic xmlns:a="http://schemas.openxmlformats.org/drawingml/2006/main">
                    <a:graphicData uri="http://schemas.openxmlformats.org/drawingml/2006/picture">
                      <pic:pic xmlns:pic="http://schemas.openxmlformats.org/drawingml/2006/picture">
                        <pic:nvPicPr>
                          <pic:cNvPr id="1566" name="IM 1566"/>
                          <pic:cNvPicPr/>
                        </pic:nvPicPr>
                        <pic:blipFill>
                          <a:blip r:embed="rId719"/>
                          <a:stretch>
                            <a:fillRect/>
                          </a:stretch>
                        </pic:blipFill>
                        <pic:spPr>
                          <a:xfrm>
                            <a:off x="0" y="0"/>
                            <a:ext cx="765175" cy="641984"/>
                          </a:xfrm>
                          <a:prstGeom prst="rect">
                            <a:avLst/>
                          </a:prstGeom>
                        </pic:spPr>
                      </pic:pic>
                    </a:graphicData>
                  </a:graphic>
                </wp:inline>
              </w:drawing>
            </w:r>
          </w:p>
        </w:tc>
        <w:tc>
          <w:tcPr>
            <w:tcW w:w="1057" w:type="dxa"/>
            <w:vAlign w:val="top"/>
          </w:tcPr>
          <w:p w14:paraId="587E296A">
            <w:pPr>
              <w:pStyle w:val="7"/>
              <w:spacing w:before="215" w:line="217" w:lineRule="auto"/>
              <w:ind w:left="235"/>
            </w:pPr>
            <w:r>
              <w:rPr>
                <w:spacing w:val="-19"/>
              </w:rPr>
              <w:t>台风黄</w:t>
            </w:r>
          </w:p>
          <w:p w14:paraId="08CE1294">
            <w:pPr>
              <w:pStyle w:val="7"/>
              <w:spacing w:before="183" w:line="219" w:lineRule="auto"/>
              <w:ind w:left="216"/>
            </w:pPr>
            <w:r>
              <w:rPr>
                <w:spacing w:val="-14"/>
              </w:rPr>
              <w:t>色预警</w:t>
            </w:r>
          </w:p>
        </w:tc>
        <w:tc>
          <w:tcPr>
            <w:tcW w:w="5642" w:type="dxa"/>
            <w:tcBorders>
              <w:right w:val="single" w:color="000000" w:sz="4" w:space="0"/>
            </w:tcBorders>
            <w:vAlign w:val="top"/>
          </w:tcPr>
          <w:p w14:paraId="514E99FA">
            <w:pPr>
              <w:pStyle w:val="7"/>
              <w:spacing w:before="216" w:line="358" w:lineRule="auto"/>
              <w:ind w:left="264" w:right="102" w:hanging="141"/>
            </w:pPr>
            <w:r>
              <w:rPr>
                <w:spacing w:val="-21"/>
              </w:rPr>
              <w:t>24小时内可能或者已经受热带气旋影响,沿海或者陆地平</w:t>
            </w:r>
            <w:r>
              <w:rPr>
                <w:spacing w:val="-19"/>
              </w:rPr>
              <w:t>均风力达8级以上，或者阵风10级以上并可能持续。</w:t>
            </w:r>
          </w:p>
        </w:tc>
      </w:tr>
      <w:tr w14:paraId="1362D8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83" w:hRule="atLeast"/>
        </w:trPr>
        <w:tc>
          <w:tcPr>
            <w:tcW w:w="856" w:type="dxa"/>
            <w:tcBorders>
              <w:left w:val="single" w:color="000000" w:sz="4" w:space="0"/>
            </w:tcBorders>
            <w:vAlign w:val="top"/>
          </w:tcPr>
          <w:p w14:paraId="2F9241C6">
            <w:pPr>
              <w:spacing w:line="369" w:lineRule="auto"/>
              <w:rPr>
                <w:rFonts w:ascii="Arial"/>
                <w:sz w:val="21"/>
              </w:rPr>
            </w:pPr>
          </w:p>
          <w:p w14:paraId="5E91BECA">
            <w:pPr>
              <w:pStyle w:val="7"/>
              <w:spacing w:before="78" w:line="238" w:lineRule="auto"/>
              <w:ind w:left="330"/>
            </w:pPr>
            <w:r>
              <w:rPr>
                <w:spacing w:val="-6"/>
              </w:rPr>
              <w:t>24</w:t>
            </w:r>
          </w:p>
        </w:tc>
        <w:tc>
          <w:tcPr>
            <w:tcW w:w="753" w:type="dxa"/>
            <w:vMerge w:val="continue"/>
            <w:tcBorders>
              <w:top w:val="nil"/>
              <w:bottom w:val="nil"/>
            </w:tcBorders>
            <w:vAlign w:val="top"/>
          </w:tcPr>
          <w:p w14:paraId="2CEB7A38">
            <w:pPr>
              <w:rPr>
                <w:rFonts w:ascii="Arial"/>
                <w:sz w:val="21"/>
              </w:rPr>
            </w:pPr>
          </w:p>
        </w:tc>
        <w:tc>
          <w:tcPr>
            <w:tcW w:w="1365" w:type="dxa"/>
            <w:vAlign w:val="top"/>
          </w:tcPr>
          <w:p w14:paraId="51B59556">
            <w:pPr>
              <w:spacing w:before="63" w:line="1011" w:lineRule="exact"/>
              <w:ind w:firstLine="75"/>
            </w:pPr>
            <w:r>
              <w:rPr>
                <w:position w:val="-20"/>
              </w:rPr>
              <w:drawing>
                <wp:inline distT="0" distB="0" distL="0" distR="0">
                  <wp:extent cx="765175" cy="641985"/>
                  <wp:effectExtent l="0" t="0" r="0" b="0"/>
                  <wp:docPr id="1568" name="IM 1568"/>
                  <wp:cNvGraphicFramePr/>
                  <a:graphic xmlns:a="http://schemas.openxmlformats.org/drawingml/2006/main">
                    <a:graphicData uri="http://schemas.openxmlformats.org/drawingml/2006/picture">
                      <pic:pic xmlns:pic="http://schemas.openxmlformats.org/drawingml/2006/picture">
                        <pic:nvPicPr>
                          <pic:cNvPr id="1568" name="IM 1568"/>
                          <pic:cNvPicPr/>
                        </pic:nvPicPr>
                        <pic:blipFill>
                          <a:blip r:embed="rId720"/>
                          <a:stretch>
                            <a:fillRect/>
                          </a:stretch>
                        </pic:blipFill>
                        <pic:spPr>
                          <a:xfrm>
                            <a:off x="0" y="0"/>
                            <a:ext cx="765175" cy="641985"/>
                          </a:xfrm>
                          <a:prstGeom prst="rect">
                            <a:avLst/>
                          </a:prstGeom>
                        </pic:spPr>
                      </pic:pic>
                    </a:graphicData>
                  </a:graphic>
                </wp:inline>
              </w:drawing>
            </w:r>
          </w:p>
        </w:tc>
        <w:tc>
          <w:tcPr>
            <w:tcW w:w="1057" w:type="dxa"/>
            <w:vAlign w:val="top"/>
          </w:tcPr>
          <w:p w14:paraId="51C93BD4">
            <w:pPr>
              <w:pStyle w:val="7"/>
              <w:spacing w:before="215" w:line="217" w:lineRule="auto"/>
              <w:ind w:left="235"/>
            </w:pPr>
            <w:r>
              <w:rPr>
                <w:spacing w:val="-19"/>
              </w:rPr>
              <w:t>台风橙</w:t>
            </w:r>
          </w:p>
          <w:p w14:paraId="665C0DBC">
            <w:pPr>
              <w:pStyle w:val="7"/>
              <w:spacing w:before="186" w:line="219" w:lineRule="auto"/>
              <w:ind w:left="216"/>
            </w:pPr>
            <w:r>
              <w:rPr>
                <w:spacing w:val="-14"/>
              </w:rPr>
              <w:t>色预警</w:t>
            </w:r>
          </w:p>
        </w:tc>
        <w:tc>
          <w:tcPr>
            <w:tcW w:w="5642" w:type="dxa"/>
            <w:tcBorders>
              <w:right w:val="single" w:color="000000" w:sz="4" w:space="0"/>
            </w:tcBorders>
            <w:vAlign w:val="top"/>
          </w:tcPr>
          <w:p w14:paraId="5B5B6038">
            <w:pPr>
              <w:pStyle w:val="7"/>
              <w:spacing w:before="217" w:line="360" w:lineRule="auto"/>
              <w:ind w:left="209" w:right="102" w:hanging="71"/>
            </w:pPr>
            <w:r>
              <w:rPr>
                <w:spacing w:val="-21"/>
              </w:rPr>
              <w:t>12小时内可能或者已经受热带气旋影响,沿海或者陆地平均风力达10级以上，或者阵风12级以上并</w:t>
            </w:r>
            <w:r>
              <w:rPr>
                <w:spacing w:val="-22"/>
              </w:rPr>
              <w:t>可能持续。</w:t>
            </w:r>
          </w:p>
        </w:tc>
      </w:tr>
      <w:tr w14:paraId="3E0194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23" w:hRule="atLeast"/>
        </w:trPr>
        <w:tc>
          <w:tcPr>
            <w:tcW w:w="856" w:type="dxa"/>
            <w:tcBorders>
              <w:left w:val="single" w:color="000000" w:sz="4" w:space="0"/>
              <w:bottom w:val="single" w:color="000000" w:sz="4" w:space="0"/>
            </w:tcBorders>
            <w:vAlign w:val="top"/>
          </w:tcPr>
          <w:p w14:paraId="3CC4E651">
            <w:pPr>
              <w:spacing w:line="372" w:lineRule="auto"/>
              <w:rPr>
                <w:rFonts w:ascii="Arial"/>
                <w:sz w:val="21"/>
              </w:rPr>
            </w:pPr>
          </w:p>
          <w:p w14:paraId="24DCB515">
            <w:pPr>
              <w:pStyle w:val="7"/>
              <w:spacing w:before="78" w:line="237" w:lineRule="auto"/>
              <w:ind w:left="330"/>
            </w:pPr>
            <w:r>
              <w:rPr>
                <w:spacing w:val="-6"/>
              </w:rPr>
              <w:t>25</w:t>
            </w:r>
          </w:p>
          <w:p w14:paraId="6682A2DF">
            <w:pPr>
              <w:spacing w:line="263" w:lineRule="auto"/>
              <w:rPr>
                <w:rFonts w:ascii="Arial"/>
                <w:sz w:val="21"/>
              </w:rPr>
            </w:pPr>
          </w:p>
          <w:p w14:paraId="4D51C7EC">
            <w:pPr>
              <w:spacing w:line="263" w:lineRule="auto"/>
              <w:rPr>
                <w:rFonts w:ascii="Arial"/>
                <w:sz w:val="21"/>
              </w:rPr>
            </w:pPr>
          </w:p>
          <w:p w14:paraId="50CAF3C5">
            <w:pPr>
              <w:spacing w:line="22" w:lineRule="exact"/>
            </w:pPr>
            <w:r>
              <w:rPr>
                <w:position w:val="-2"/>
              </w:rPr>
              <w:pict>
                <v:group id="_x0000_s3980" o:spid="_x0000_s3980" o:spt="203" style="height:2.2pt;width:42.65pt;" coordsize="853,44">
                  <o:lock v:ext="edit"/>
                  <v:shape id="_x0000_s3981" o:spid="_x0000_s3981" style="position:absolute;left:0;top:28;height:15;width:44;" fillcolor="#5B9BD5" filled="t" stroked="f" coordsize="44,15" path="m0,14l43,14,43,0,0,0,0,14xe">
                    <v:path/>
                    <v:fill on="t" focussize="0,0"/>
                    <v:stroke on="f"/>
                    <v:imagedata o:title=""/>
                    <o:lock v:ext="edit"/>
                  </v:shape>
                  <v:shape id="_x0000_s3982" o:spid="_x0000_s3982" style="position:absolute;left:43;top:0;height:15;width:810;" fillcolor="#1C456A" filled="t" stroked="f" coordsize="810,15" path="m0,14l809,14,809,0,0,0,0,14xe">
                    <v:path/>
                    <v:fill on="t" focussize="0,0"/>
                    <v:stroke on="f"/>
                    <v:imagedata o:title=""/>
                    <o:lock v:ext="edit"/>
                  </v:shape>
                  <w10:wrap type="none"/>
                  <w10:anchorlock/>
                </v:group>
              </w:pict>
            </w:r>
          </w:p>
        </w:tc>
        <w:tc>
          <w:tcPr>
            <w:tcW w:w="753" w:type="dxa"/>
            <w:vMerge w:val="continue"/>
            <w:tcBorders>
              <w:top w:val="nil"/>
              <w:bottom w:val="single" w:color="000000" w:sz="4" w:space="0"/>
            </w:tcBorders>
            <w:vAlign w:val="top"/>
          </w:tcPr>
          <w:p w14:paraId="250C1E96">
            <w:pPr>
              <w:rPr>
                <w:rFonts w:ascii="Arial"/>
                <w:sz w:val="21"/>
              </w:rPr>
            </w:pPr>
          </w:p>
        </w:tc>
        <w:tc>
          <w:tcPr>
            <w:tcW w:w="1365" w:type="dxa"/>
            <w:tcBorders>
              <w:bottom w:val="single" w:color="000000" w:sz="4" w:space="0"/>
            </w:tcBorders>
            <w:vAlign w:val="top"/>
          </w:tcPr>
          <w:p w14:paraId="30145056">
            <w:pPr>
              <w:spacing w:before="64" w:line="1011" w:lineRule="exact"/>
              <w:ind w:firstLine="75"/>
            </w:pPr>
            <w:r>
              <w:pict>
                <v:shape id="_x0000_s3983" o:spid="_x0000_s3983" style="position:absolute;left:0pt;margin-left:1.8pt;margin-top:64.75pt;height:0.75pt;width:66.15pt;mso-position-horizontal-relative:page;mso-position-vertical-relative:page;z-index:252313600;mso-width-relative:page;mso-height-relative:page;" fillcolor="#1C456A" filled="t" stroked="f" coordsize="1323,15" path="m0,14l1322,14,1322,0,0,0,0,14xe">
                  <v:path/>
                  <v:fill on="t" focussize="0,0"/>
                  <v:stroke on="f"/>
                  <v:imagedata o:title=""/>
                  <o:lock v:ext="edit"/>
                </v:shape>
              </w:pict>
            </w:r>
            <w:r>
              <w:rPr>
                <w:position w:val="-20"/>
              </w:rPr>
              <w:drawing>
                <wp:inline distT="0" distB="0" distL="0" distR="0">
                  <wp:extent cx="765175" cy="641985"/>
                  <wp:effectExtent l="0" t="0" r="0" b="0"/>
                  <wp:docPr id="1570" name="IM 1570"/>
                  <wp:cNvGraphicFramePr/>
                  <a:graphic xmlns:a="http://schemas.openxmlformats.org/drawingml/2006/main">
                    <a:graphicData uri="http://schemas.openxmlformats.org/drawingml/2006/picture">
                      <pic:pic xmlns:pic="http://schemas.openxmlformats.org/drawingml/2006/picture">
                        <pic:nvPicPr>
                          <pic:cNvPr id="1570" name="IM 1570"/>
                          <pic:cNvPicPr/>
                        </pic:nvPicPr>
                        <pic:blipFill>
                          <a:blip r:embed="rId721"/>
                          <a:stretch>
                            <a:fillRect/>
                          </a:stretch>
                        </pic:blipFill>
                        <pic:spPr>
                          <a:xfrm>
                            <a:off x="0" y="0"/>
                            <a:ext cx="765175" cy="641985"/>
                          </a:xfrm>
                          <a:prstGeom prst="rect">
                            <a:avLst/>
                          </a:prstGeom>
                        </pic:spPr>
                      </pic:pic>
                    </a:graphicData>
                  </a:graphic>
                </wp:inline>
              </w:drawing>
            </w:r>
          </w:p>
        </w:tc>
        <w:tc>
          <w:tcPr>
            <w:tcW w:w="1057" w:type="dxa"/>
            <w:tcBorders>
              <w:bottom w:val="single" w:color="000000" w:sz="4" w:space="0"/>
            </w:tcBorders>
            <w:vAlign w:val="top"/>
          </w:tcPr>
          <w:p w14:paraId="12831C61">
            <w:pPr>
              <w:pStyle w:val="7"/>
              <w:spacing w:before="217" w:line="217" w:lineRule="auto"/>
              <w:ind w:left="235"/>
            </w:pPr>
            <w:r>
              <w:pict>
                <v:shape id="_x0000_s3984" o:spid="_x0000_s3984" style="position:absolute;left:0pt;margin-left:1.85pt;margin-top:64.75pt;height:0.75pt;width:50.8pt;mso-position-horizontal-relative:page;mso-position-vertical-relative:page;z-index:252314624;mso-width-relative:page;mso-height-relative:page;" fillcolor="#1C456A" filled="t" stroked="f" coordsize="1015,15" path="m0,14l1015,14,1015,0,0,0,0,14xe">
                  <v:path/>
                  <v:fill on="t" focussize="0,0"/>
                  <v:stroke on="f"/>
                  <v:imagedata o:title=""/>
                  <o:lock v:ext="edit"/>
                </v:shape>
              </w:pict>
            </w:r>
            <w:r>
              <w:rPr>
                <w:spacing w:val="-19"/>
              </w:rPr>
              <w:t>台风红</w:t>
            </w:r>
          </w:p>
          <w:p w14:paraId="44B5F637">
            <w:pPr>
              <w:pStyle w:val="7"/>
              <w:spacing w:before="186" w:line="219" w:lineRule="auto"/>
              <w:ind w:left="216"/>
            </w:pPr>
            <w:r>
              <w:rPr>
                <w:spacing w:val="-14"/>
              </w:rPr>
              <w:t>色预警</w:t>
            </w:r>
          </w:p>
        </w:tc>
        <w:tc>
          <w:tcPr>
            <w:tcW w:w="5642" w:type="dxa"/>
            <w:tcBorders>
              <w:bottom w:val="single" w:color="5B9BD5" w:sz="4" w:space="0"/>
              <w:right w:val="single" w:color="5B9BD5" w:sz="4" w:space="0"/>
            </w:tcBorders>
            <w:vAlign w:val="top"/>
          </w:tcPr>
          <w:p w14:paraId="1BFC8928">
            <w:pPr>
              <w:pStyle w:val="7"/>
              <w:spacing w:before="218" w:line="360" w:lineRule="auto"/>
              <w:ind w:left="210" w:right="44" w:hanging="146"/>
            </w:pPr>
            <w:r>
              <w:rPr>
                <w:spacing w:val="-25"/>
              </w:rPr>
              <w:t>6小时内可能或者已经受热带气旋影响，沿海或</w:t>
            </w:r>
            <w:r>
              <w:rPr>
                <w:spacing w:val="-26"/>
              </w:rPr>
              <w:t>者陆地平均</w:t>
            </w:r>
            <w:r>
              <w:rPr>
                <w:spacing w:val="-21"/>
              </w:rPr>
              <w:t>风力达12级以上，或者阵风达14级以上并可能持续。</w:t>
            </w:r>
          </w:p>
          <w:p w14:paraId="1FA89BA3">
            <w:pPr>
              <w:spacing w:before="135" w:line="23" w:lineRule="exact"/>
              <w:ind w:firstLine="35"/>
            </w:pPr>
            <w:r>
              <w:rPr>
                <w:position w:val="-2"/>
              </w:rPr>
              <w:pict>
                <v:group id="_x0000_s3985" o:spid="_x0000_s3985" o:spt="203" style="height:2.2pt;width:280.5pt;" coordsize="5610,44">
                  <o:lock v:ext="edit"/>
                  <v:shape id="_x0000_s3986" o:spid="_x0000_s3986" style="position:absolute;left:0;top:0;height:15;width:5567;" fillcolor="#1C456A" filled="t" stroked="f" coordsize="5567,15" path="m0,14l5566,14,5566,0,0,0,0,14xe">
                    <v:path/>
                    <v:fill on="t" focussize="0,0"/>
                    <v:stroke on="f"/>
                    <v:imagedata o:title=""/>
                    <o:lock v:ext="edit"/>
                  </v:shape>
                  <v:shape id="_x0000_s3987" o:spid="_x0000_s3987" style="position:absolute;left:5566;top:28;height:15;width:44;" fillcolor="#5B9BD5" filled="t" stroked="f" coordsize="44,15" path="m0,14l43,14,43,0,0,0,0,14xe">
                    <v:path/>
                    <v:fill on="t" focussize="0,0"/>
                    <v:stroke on="f"/>
                    <v:imagedata o:title=""/>
                    <o:lock v:ext="edit"/>
                  </v:shape>
                  <w10:wrap type="none"/>
                  <w10:anchorlock/>
                </v:group>
              </w:pict>
            </w:r>
          </w:p>
        </w:tc>
      </w:tr>
    </w:tbl>
    <w:p w14:paraId="5A669146">
      <w:pPr>
        <w:pStyle w:val="2"/>
        <w:spacing w:before="114" w:line="217" w:lineRule="auto"/>
        <w:ind w:left="1888"/>
        <w:rPr>
          <w:sz w:val="24"/>
          <w:szCs w:val="24"/>
        </w:rPr>
      </w:pPr>
      <w:r>
        <w:rPr>
          <w:spacing w:val="-18"/>
          <w:sz w:val="24"/>
          <w:szCs w:val="24"/>
        </w:rPr>
        <w:t>2.3雨季施工方案及保障措施</w:t>
      </w:r>
    </w:p>
    <w:p w14:paraId="76674E3D">
      <w:pPr>
        <w:pStyle w:val="2"/>
        <w:spacing w:before="119" w:line="218" w:lineRule="auto"/>
        <w:ind w:left="1893"/>
        <w:rPr>
          <w:sz w:val="24"/>
          <w:szCs w:val="24"/>
        </w:rPr>
      </w:pPr>
      <w:r>
        <w:rPr>
          <w:spacing w:val="-18"/>
          <w:sz w:val="24"/>
          <w:szCs w:val="24"/>
        </w:rPr>
        <w:t>雨季施工概述</w:t>
      </w:r>
    </w:p>
    <w:p w14:paraId="7765A214">
      <w:pPr>
        <w:pStyle w:val="2"/>
        <w:spacing w:before="115" w:line="215" w:lineRule="auto"/>
        <w:ind w:left="1899"/>
        <w:rPr>
          <w:sz w:val="24"/>
          <w:szCs w:val="24"/>
        </w:rPr>
      </w:pPr>
      <w:r>
        <w:rPr>
          <w:rFonts w:hint="eastAsia"/>
          <w:spacing w:val="-20"/>
          <w:sz w:val="24"/>
          <w:szCs w:val="24"/>
          <w:lang w:val="en-US" w:eastAsia="zh-CN"/>
        </w:rPr>
        <w:t>城市</w:t>
      </w:r>
      <w:r>
        <w:rPr>
          <w:spacing w:val="-20"/>
          <w:sz w:val="24"/>
          <w:szCs w:val="24"/>
        </w:rPr>
        <w:t>降水主要集中在夏季，冬季降水较少，平均全年降水总量为1198.1mm。7</w:t>
      </w:r>
    </w:p>
    <w:p w14:paraId="48F68ADE">
      <w:pPr>
        <w:spacing w:line="215" w:lineRule="auto"/>
        <w:rPr>
          <w:sz w:val="24"/>
          <w:szCs w:val="24"/>
        </w:rPr>
        <w:sectPr>
          <w:footerReference r:id="rId372" w:type="default"/>
          <w:pgSz w:w="11907" w:h="16839"/>
          <w:pgMar w:top="933" w:right="4" w:bottom="1038" w:left="0" w:header="478" w:footer="357" w:gutter="0"/>
          <w:pgBorders>
            <w:top w:val="none" w:sz="0" w:space="0"/>
            <w:left w:val="none" w:sz="0" w:space="0"/>
            <w:bottom w:val="none" w:sz="0" w:space="0"/>
            <w:right w:val="none" w:sz="0" w:space="0"/>
          </w:pgBorders>
          <w:cols w:space="720" w:num="1"/>
        </w:sectPr>
      </w:pPr>
    </w:p>
    <w:p w14:paraId="6389B5AE">
      <w:pPr>
        <w:spacing w:line="270" w:lineRule="auto"/>
        <w:rPr>
          <w:rFonts w:ascii="Arial"/>
          <w:sz w:val="21"/>
        </w:rPr>
      </w:pPr>
    </w:p>
    <w:p w14:paraId="0826407A">
      <w:pPr>
        <w:pStyle w:val="2"/>
        <w:spacing w:before="78" w:line="308" w:lineRule="auto"/>
        <w:ind w:left="1459" w:right="1463" w:firstLine="8"/>
        <w:rPr>
          <w:sz w:val="24"/>
          <w:szCs w:val="24"/>
        </w:rPr>
      </w:pPr>
      <w:r>
        <w:rPr>
          <w:spacing w:val="-21"/>
          <w:sz w:val="24"/>
          <w:szCs w:val="24"/>
        </w:rPr>
        <w:t>月份的降水量最多，12月份的降水量最少，雨季集中在6~8月。本工程</w:t>
      </w:r>
      <w:r>
        <w:rPr>
          <w:spacing w:val="-22"/>
          <w:sz w:val="24"/>
          <w:szCs w:val="24"/>
        </w:rPr>
        <w:t>雨季主要施工内容有：</w:t>
      </w:r>
      <w:r>
        <w:rPr>
          <w:spacing w:val="-21"/>
          <w:sz w:val="24"/>
          <w:szCs w:val="24"/>
        </w:rPr>
        <w:t>土方工程、基坑支护工程、管道施工、道路工程、</w:t>
      </w:r>
      <w:r>
        <w:rPr>
          <w:spacing w:val="-22"/>
          <w:sz w:val="24"/>
          <w:szCs w:val="24"/>
        </w:rPr>
        <w:t>铺装工程、绿化施工等。</w:t>
      </w:r>
    </w:p>
    <w:p w14:paraId="11985026">
      <w:pPr>
        <w:pStyle w:val="2"/>
        <w:spacing w:line="218" w:lineRule="auto"/>
        <w:ind w:left="1893"/>
        <w:rPr>
          <w:sz w:val="24"/>
          <w:szCs w:val="24"/>
        </w:rPr>
      </w:pPr>
      <w:r>
        <w:rPr>
          <w:spacing w:val="-20"/>
          <w:sz w:val="24"/>
          <w:szCs w:val="24"/>
        </w:rPr>
        <w:t>雨季施工组织和技术准备</w:t>
      </w:r>
    </w:p>
    <w:p w14:paraId="230E3D83">
      <w:pPr>
        <w:spacing w:line="19" w:lineRule="auto"/>
        <w:rPr>
          <w:rFonts w:ascii="Arial"/>
          <w:sz w:val="2"/>
        </w:rPr>
      </w:pPr>
    </w:p>
    <w:tbl>
      <w:tblPr>
        <w:tblStyle w:val="6"/>
        <w:tblW w:w="9673" w:type="dxa"/>
        <w:tblInd w:w="1116"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12"/>
        <w:gridCol w:w="8361"/>
      </w:tblGrid>
      <w:tr w14:paraId="5FE2BB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89" w:hRule="atLeast"/>
        </w:trPr>
        <w:tc>
          <w:tcPr>
            <w:tcW w:w="1312" w:type="dxa"/>
            <w:tcBorders>
              <w:top w:val="single" w:color="000000" w:sz="4" w:space="0"/>
              <w:left w:val="single" w:color="000000" w:sz="4" w:space="0"/>
            </w:tcBorders>
            <w:shd w:val="clear" w:color="auto" w:fill="DEEAF6"/>
            <w:vAlign w:val="top"/>
          </w:tcPr>
          <w:p w14:paraId="06822250">
            <w:pPr>
              <w:pStyle w:val="7"/>
              <w:spacing w:before="129" w:line="218" w:lineRule="auto"/>
              <w:ind w:left="237"/>
            </w:pPr>
            <w:r>
              <w:rPr>
                <w:b/>
                <w:bCs/>
                <w:spacing w:val="-19"/>
              </w:rPr>
              <w:t>准备项目</w:t>
            </w:r>
          </w:p>
        </w:tc>
        <w:tc>
          <w:tcPr>
            <w:tcW w:w="8361" w:type="dxa"/>
            <w:tcBorders>
              <w:top w:val="single" w:color="5B9BD5" w:sz="4" w:space="0"/>
              <w:right w:val="single" w:color="5B9BD5" w:sz="4" w:space="0"/>
            </w:tcBorders>
            <w:shd w:val="clear" w:color="auto" w:fill="DEEAF6"/>
            <w:vAlign w:val="top"/>
          </w:tcPr>
          <w:p w14:paraId="73501075">
            <w:pPr>
              <w:pStyle w:val="7"/>
              <w:spacing w:before="129" w:line="218" w:lineRule="auto"/>
              <w:ind w:left="3747"/>
            </w:pPr>
            <w:r>
              <w:rPr>
                <w:b/>
                <w:bCs/>
                <w:spacing w:val="-19"/>
              </w:rPr>
              <w:t>准备内容</w:t>
            </w:r>
          </w:p>
        </w:tc>
      </w:tr>
      <w:tr w14:paraId="2A1E17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57" w:hRule="atLeast"/>
        </w:trPr>
        <w:tc>
          <w:tcPr>
            <w:tcW w:w="1312" w:type="dxa"/>
            <w:vMerge w:val="restart"/>
            <w:tcBorders>
              <w:left w:val="single" w:color="000000" w:sz="4" w:space="0"/>
              <w:bottom w:val="nil"/>
            </w:tcBorders>
            <w:vAlign w:val="top"/>
          </w:tcPr>
          <w:p w14:paraId="1EDA84F0">
            <w:pPr>
              <w:spacing w:line="265" w:lineRule="auto"/>
              <w:rPr>
                <w:rFonts w:ascii="Arial"/>
                <w:sz w:val="21"/>
              </w:rPr>
            </w:pPr>
          </w:p>
          <w:p w14:paraId="150D10A3">
            <w:pPr>
              <w:spacing w:line="265" w:lineRule="auto"/>
              <w:rPr>
                <w:rFonts w:ascii="Arial"/>
                <w:sz w:val="21"/>
              </w:rPr>
            </w:pPr>
          </w:p>
          <w:p w14:paraId="0B3FA847">
            <w:pPr>
              <w:spacing w:line="265" w:lineRule="auto"/>
              <w:rPr>
                <w:rFonts w:ascii="Arial"/>
                <w:sz w:val="21"/>
              </w:rPr>
            </w:pPr>
          </w:p>
          <w:p w14:paraId="49FC9A7A">
            <w:pPr>
              <w:spacing w:line="265" w:lineRule="auto"/>
              <w:rPr>
                <w:rFonts w:ascii="Arial"/>
                <w:sz w:val="21"/>
              </w:rPr>
            </w:pPr>
          </w:p>
          <w:p w14:paraId="04EA0AC5">
            <w:pPr>
              <w:spacing w:line="265" w:lineRule="auto"/>
              <w:rPr>
                <w:rFonts w:ascii="Arial"/>
                <w:sz w:val="21"/>
              </w:rPr>
            </w:pPr>
          </w:p>
          <w:p w14:paraId="0AB1466D">
            <w:pPr>
              <w:spacing w:line="265" w:lineRule="auto"/>
              <w:rPr>
                <w:rFonts w:ascii="Arial"/>
                <w:sz w:val="21"/>
              </w:rPr>
            </w:pPr>
          </w:p>
          <w:p w14:paraId="7A117B4C">
            <w:pPr>
              <w:spacing w:line="265" w:lineRule="auto"/>
              <w:rPr>
                <w:rFonts w:ascii="Arial"/>
                <w:sz w:val="21"/>
              </w:rPr>
            </w:pPr>
          </w:p>
          <w:p w14:paraId="735EF6EB">
            <w:pPr>
              <w:pStyle w:val="7"/>
              <w:spacing w:before="78" w:line="218" w:lineRule="auto"/>
              <w:ind w:left="237"/>
            </w:pPr>
            <w:r>
              <w:rPr>
                <w:spacing w:val="-15"/>
              </w:rPr>
              <w:t>组织准备</w:t>
            </w:r>
          </w:p>
        </w:tc>
        <w:tc>
          <w:tcPr>
            <w:tcW w:w="8361" w:type="dxa"/>
            <w:tcBorders>
              <w:right w:val="single" w:color="000000" w:sz="4" w:space="0"/>
            </w:tcBorders>
            <w:vAlign w:val="top"/>
          </w:tcPr>
          <w:p w14:paraId="15808375">
            <w:pPr>
              <w:pStyle w:val="7"/>
              <w:spacing w:before="125" w:line="216" w:lineRule="auto"/>
              <w:ind w:left="68"/>
            </w:pPr>
            <w:r>
              <w:rPr>
                <w:spacing w:val="-23"/>
              </w:rPr>
              <w:t>成立以总承包项目经理为第一责任人的领导小组。方案、措施，料具供应、应急抢险等</w:t>
            </w:r>
          </w:p>
          <w:p w14:paraId="189F3B5F">
            <w:pPr>
              <w:pStyle w:val="7"/>
              <w:spacing w:before="184" w:line="216" w:lineRule="auto"/>
              <w:ind w:left="2331"/>
            </w:pPr>
            <w:r>
              <w:rPr>
                <w:spacing w:val="-21"/>
              </w:rPr>
              <w:t>具体职责落实到部门，并明确责任人。</w:t>
            </w:r>
          </w:p>
        </w:tc>
      </w:tr>
      <w:tr w14:paraId="080387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7" w:hRule="atLeast"/>
        </w:trPr>
        <w:tc>
          <w:tcPr>
            <w:tcW w:w="1312" w:type="dxa"/>
            <w:vMerge w:val="continue"/>
            <w:tcBorders>
              <w:top w:val="nil"/>
              <w:left w:val="single" w:color="000000" w:sz="4" w:space="0"/>
              <w:bottom w:val="nil"/>
            </w:tcBorders>
            <w:vAlign w:val="top"/>
          </w:tcPr>
          <w:p w14:paraId="6C28D496">
            <w:pPr>
              <w:rPr>
                <w:rFonts w:ascii="Arial"/>
                <w:sz w:val="21"/>
              </w:rPr>
            </w:pPr>
          </w:p>
        </w:tc>
        <w:tc>
          <w:tcPr>
            <w:tcW w:w="8361" w:type="dxa"/>
            <w:tcBorders>
              <w:right w:val="single" w:color="000000" w:sz="4" w:space="0"/>
            </w:tcBorders>
            <w:vAlign w:val="top"/>
          </w:tcPr>
          <w:p w14:paraId="4B680B7C">
            <w:pPr>
              <w:pStyle w:val="7"/>
              <w:spacing w:before="121" w:line="217" w:lineRule="auto"/>
              <w:jc w:val="right"/>
            </w:pPr>
            <w:r>
              <w:rPr>
                <w:spacing w:val="-27"/>
              </w:rPr>
              <w:t>雨季施工主要以预防为主，采取防雨措施及</w:t>
            </w:r>
            <w:r>
              <w:rPr>
                <w:spacing w:val="-28"/>
              </w:rPr>
              <w:t>加强排水手段，确保雨季时生产的正常进行。</w:t>
            </w:r>
          </w:p>
        </w:tc>
      </w:tr>
      <w:tr w14:paraId="2D298C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24" w:hRule="atLeast"/>
        </w:trPr>
        <w:tc>
          <w:tcPr>
            <w:tcW w:w="1312" w:type="dxa"/>
            <w:vMerge w:val="continue"/>
            <w:tcBorders>
              <w:top w:val="nil"/>
              <w:left w:val="single" w:color="000000" w:sz="4" w:space="0"/>
              <w:bottom w:val="nil"/>
            </w:tcBorders>
            <w:vAlign w:val="top"/>
          </w:tcPr>
          <w:p w14:paraId="6B94BDE2">
            <w:pPr>
              <w:rPr>
                <w:rFonts w:ascii="Arial"/>
                <w:sz w:val="21"/>
              </w:rPr>
            </w:pPr>
          </w:p>
        </w:tc>
        <w:tc>
          <w:tcPr>
            <w:tcW w:w="8361" w:type="dxa"/>
            <w:tcBorders>
              <w:right w:val="single" w:color="000000" w:sz="4" w:space="0"/>
            </w:tcBorders>
            <w:vAlign w:val="top"/>
          </w:tcPr>
          <w:p w14:paraId="232101F8">
            <w:pPr>
              <w:pStyle w:val="7"/>
              <w:spacing w:before="120" w:line="216" w:lineRule="auto"/>
              <w:ind w:left="64"/>
            </w:pPr>
            <w:r>
              <w:rPr>
                <w:spacing w:val="-23"/>
              </w:rPr>
              <w:t>做好施工人员的雨季施工培训工作，组织相关人员进行施工现场的准备工作，并进行一</w:t>
            </w:r>
          </w:p>
          <w:p w14:paraId="42711E98">
            <w:pPr>
              <w:pStyle w:val="7"/>
              <w:spacing w:before="185" w:line="216" w:lineRule="auto"/>
              <w:ind w:left="64"/>
            </w:pPr>
            <w:r>
              <w:rPr>
                <w:spacing w:val="-23"/>
              </w:rPr>
              <w:t>次全面的施工现场的检查，包括检查脚手架、临时设施、临时用水管道，临时用电，机</w:t>
            </w:r>
          </w:p>
          <w:p w14:paraId="2D717E0D">
            <w:pPr>
              <w:pStyle w:val="7"/>
              <w:spacing w:before="187" w:line="216" w:lineRule="auto"/>
              <w:ind w:left="3201"/>
            </w:pPr>
            <w:r>
              <w:rPr>
                <w:spacing w:val="-20"/>
              </w:rPr>
              <w:t>械设备等各项工作。</w:t>
            </w:r>
          </w:p>
        </w:tc>
      </w:tr>
      <w:tr w14:paraId="08A4FD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57" w:hRule="atLeast"/>
        </w:trPr>
        <w:tc>
          <w:tcPr>
            <w:tcW w:w="1312" w:type="dxa"/>
            <w:vMerge w:val="continue"/>
            <w:tcBorders>
              <w:top w:val="nil"/>
              <w:left w:val="single" w:color="000000" w:sz="4" w:space="0"/>
            </w:tcBorders>
            <w:vAlign w:val="top"/>
          </w:tcPr>
          <w:p w14:paraId="779D3411">
            <w:pPr>
              <w:rPr>
                <w:rFonts w:ascii="Arial"/>
                <w:sz w:val="21"/>
              </w:rPr>
            </w:pPr>
          </w:p>
        </w:tc>
        <w:tc>
          <w:tcPr>
            <w:tcW w:w="8361" w:type="dxa"/>
            <w:tcBorders>
              <w:right w:val="single" w:color="000000" w:sz="4" w:space="0"/>
            </w:tcBorders>
            <w:vAlign w:val="top"/>
          </w:tcPr>
          <w:p w14:paraId="1D927E81">
            <w:pPr>
              <w:pStyle w:val="7"/>
              <w:spacing w:before="116" w:line="217" w:lineRule="auto"/>
              <w:ind w:left="64"/>
            </w:pPr>
            <w:r>
              <w:rPr>
                <w:spacing w:val="-23"/>
              </w:rPr>
              <w:t>加强雨季施工的信息反馈，对容易发生问题的要采取防范措施，设法排除隐患，同时合</w:t>
            </w:r>
          </w:p>
          <w:p w14:paraId="0694FDA9">
            <w:pPr>
              <w:pStyle w:val="7"/>
              <w:spacing w:before="185" w:line="216" w:lineRule="auto"/>
              <w:ind w:left="3312"/>
            </w:pPr>
            <w:r>
              <w:rPr>
                <w:spacing w:val="-19"/>
              </w:rPr>
              <w:t>理安排日常工作。</w:t>
            </w:r>
          </w:p>
        </w:tc>
      </w:tr>
      <w:tr w14:paraId="7E5AD1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57" w:hRule="atLeast"/>
        </w:trPr>
        <w:tc>
          <w:tcPr>
            <w:tcW w:w="1312" w:type="dxa"/>
            <w:vMerge w:val="restart"/>
            <w:tcBorders>
              <w:left w:val="single" w:color="1C456A" w:sz="4" w:space="0"/>
              <w:bottom w:val="nil"/>
            </w:tcBorders>
            <w:vAlign w:val="top"/>
          </w:tcPr>
          <w:p w14:paraId="4576355D">
            <w:pPr>
              <w:spacing w:line="256" w:lineRule="auto"/>
              <w:rPr>
                <w:rFonts w:ascii="Arial"/>
                <w:sz w:val="21"/>
              </w:rPr>
            </w:pPr>
            <w:r>
              <w:pict>
                <v:shape id="_x0000_s3988" o:spid="_x0000_s3988" style="position:absolute;left:0pt;margin-left:-0.2pt;margin-top:131.4pt;height:0.75pt;width:2.2pt;mso-position-horizontal-relative:page;mso-position-vertical-relative:page;z-index:252321792;mso-width-relative:page;mso-height-relative:page;" fillcolor="#5B9BD5" filled="t" stroked="f" coordsize="44,15" path="m0,14l43,14,43,0,0,0,0,14xe">
                  <v:path/>
                  <v:fill on="t" focussize="0,0"/>
                  <v:stroke on="f"/>
                  <v:imagedata o:title=""/>
                  <o:lock v:ext="edit"/>
                </v:shape>
              </w:pict>
            </w:r>
          </w:p>
          <w:p w14:paraId="1C8EC2FD">
            <w:pPr>
              <w:spacing w:line="256" w:lineRule="auto"/>
              <w:rPr>
                <w:rFonts w:ascii="Arial"/>
                <w:sz w:val="21"/>
              </w:rPr>
            </w:pPr>
          </w:p>
          <w:p w14:paraId="77E949E2">
            <w:pPr>
              <w:spacing w:line="256" w:lineRule="auto"/>
              <w:rPr>
                <w:rFonts w:ascii="Arial"/>
                <w:sz w:val="21"/>
              </w:rPr>
            </w:pPr>
          </w:p>
          <w:p w14:paraId="2F637912">
            <w:pPr>
              <w:spacing w:line="256" w:lineRule="auto"/>
              <w:rPr>
                <w:rFonts w:ascii="Arial"/>
                <w:sz w:val="21"/>
              </w:rPr>
            </w:pPr>
          </w:p>
          <w:p w14:paraId="5AE7246B">
            <w:pPr>
              <w:pStyle w:val="7"/>
              <w:spacing w:before="78" w:line="218" w:lineRule="auto"/>
              <w:ind w:left="237"/>
            </w:pPr>
            <w:r>
              <w:rPr>
                <w:spacing w:val="-15"/>
              </w:rPr>
              <w:t>技术准备</w:t>
            </w:r>
          </w:p>
        </w:tc>
        <w:tc>
          <w:tcPr>
            <w:tcW w:w="8361" w:type="dxa"/>
            <w:tcBorders>
              <w:right w:val="single" w:color="000000" w:sz="4" w:space="0"/>
            </w:tcBorders>
            <w:vAlign w:val="top"/>
          </w:tcPr>
          <w:p w14:paraId="12FE2CCB">
            <w:pPr>
              <w:pStyle w:val="7"/>
              <w:spacing w:before="112" w:line="215" w:lineRule="auto"/>
              <w:ind w:left="93"/>
            </w:pPr>
            <w:r>
              <w:rPr>
                <w:spacing w:val="-20"/>
              </w:rPr>
              <w:t>雨季施工方案编制：我单位将在进入雨期15</w:t>
            </w:r>
            <w:r>
              <w:rPr>
                <w:spacing w:val="-21"/>
              </w:rPr>
              <w:t>日前，编制并审批完成该工程更为详细的</w:t>
            </w:r>
          </w:p>
          <w:p w14:paraId="0A1421F3">
            <w:pPr>
              <w:pStyle w:val="7"/>
              <w:spacing w:before="185" w:line="219" w:lineRule="auto"/>
              <w:ind w:left="3418"/>
            </w:pPr>
            <w:r>
              <w:rPr>
                <w:spacing w:val="-19"/>
              </w:rPr>
              <w:t>雨季施工方案。</w:t>
            </w:r>
          </w:p>
        </w:tc>
      </w:tr>
      <w:tr w14:paraId="5F99B8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65" w:hRule="atLeast"/>
        </w:trPr>
        <w:tc>
          <w:tcPr>
            <w:tcW w:w="1312" w:type="dxa"/>
            <w:vMerge w:val="continue"/>
            <w:tcBorders>
              <w:top w:val="nil"/>
              <w:left w:val="single" w:color="1C456A" w:sz="4" w:space="0"/>
              <w:bottom w:val="single" w:color="1C456A" w:sz="4" w:space="0"/>
            </w:tcBorders>
            <w:vAlign w:val="top"/>
          </w:tcPr>
          <w:p w14:paraId="7409BE09">
            <w:pPr>
              <w:rPr>
                <w:rFonts w:ascii="Arial"/>
                <w:sz w:val="21"/>
              </w:rPr>
            </w:pPr>
          </w:p>
        </w:tc>
        <w:tc>
          <w:tcPr>
            <w:tcW w:w="8361" w:type="dxa"/>
            <w:tcBorders>
              <w:bottom w:val="single" w:color="5B9BD5" w:sz="4" w:space="0"/>
              <w:right w:val="single" w:color="5B9BD5" w:sz="4" w:space="0"/>
            </w:tcBorders>
            <w:vAlign w:val="top"/>
          </w:tcPr>
          <w:p w14:paraId="200C0706">
            <w:pPr>
              <w:pStyle w:val="7"/>
              <w:spacing w:before="108" w:line="217" w:lineRule="auto"/>
              <w:ind w:left="65"/>
            </w:pPr>
            <w:r>
              <w:pict>
                <v:shape id="_x0000_s3989" o:spid="_x0000_s3989" style="position:absolute;left:0pt;margin-left:416.2pt;margin-top:78.3pt;height:0.75pt;width:2.2pt;mso-position-horizontal-relative:page;mso-position-vertical-relative:page;z-index:252320768;mso-width-relative:page;mso-height-relative:page;" fillcolor="#5B9BD5" filled="t" stroked="f" coordsize="44,15" path="m0,14l43,14,43,0,0,0,0,14xe">
                  <v:path/>
                  <v:fill on="t" focussize="0,0"/>
                  <v:stroke on="f"/>
                  <v:imagedata o:title=""/>
                  <o:lock v:ext="edit"/>
                </v:shape>
              </w:pict>
            </w:r>
            <w:r>
              <w:rPr>
                <w:spacing w:val="-23"/>
              </w:rPr>
              <w:t>技术交底：我单位将严格执行技术交底制度。将雨季各项技术要求，从管理人员到分包</w:t>
            </w:r>
          </w:p>
          <w:p w14:paraId="5F9D964C">
            <w:pPr>
              <w:pStyle w:val="7"/>
              <w:spacing w:before="184" w:line="216" w:lineRule="auto"/>
              <w:ind w:left="67"/>
            </w:pPr>
            <w:r>
              <w:rPr>
                <w:spacing w:val="-24"/>
              </w:rPr>
              <w:t>及工人进行层层分级技术交底。交底内容主要为针对性的具体施工工艺、操作要点、质</w:t>
            </w:r>
          </w:p>
          <w:p w14:paraId="418A5965">
            <w:pPr>
              <w:pStyle w:val="7"/>
              <w:spacing w:before="186" w:line="217" w:lineRule="auto"/>
              <w:ind w:left="2769"/>
            </w:pPr>
            <w:r>
              <w:rPr>
                <w:spacing w:val="-21"/>
              </w:rPr>
              <w:t>量、安全、环保要求等内容。</w:t>
            </w:r>
          </w:p>
        </w:tc>
      </w:tr>
    </w:tbl>
    <w:p w14:paraId="3928E8E2">
      <w:pPr>
        <w:pStyle w:val="2"/>
        <w:spacing w:before="113" w:line="218" w:lineRule="auto"/>
        <w:ind w:left="1893"/>
        <w:rPr>
          <w:sz w:val="24"/>
          <w:szCs w:val="24"/>
        </w:rPr>
      </w:pPr>
      <w:r>
        <w:rPr>
          <w:spacing w:val="-19"/>
          <w:sz w:val="24"/>
          <w:szCs w:val="24"/>
        </w:rPr>
        <w:t>雨季施工现场准备</w:t>
      </w:r>
    </w:p>
    <w:p w14:paraId="530371C4">
      <w:pPr>
        <w:spacing w:line="19" w:lineRule="auto"/>
        <w:rPr>
          <w:rFonts w:ascii="Arial"/>
          <w:sz w:val="2"/>
        </w:rPr>
      </w:pPr>
    </w:p>
    <w:tbl>
      <w:tblPr>
        <w:tblStyle w:val="6"/>
        <w:tblW w:w="9673" w:type="dxa"/>
        <w:tblInd w:w="1116"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467"/>
        <w:gridCol w:w="8134"/>
        <w:gridCol w:w="72"/>
      </w:tblGrid>
      <w:tr w14:paraId="7AFB31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0" w:hRule="atLeast"/>
        </w:trPr>
        <w:tc>
          <w:tcPr>
            <w:tcW w:w="1467" w:type="dxa"/>
            <w:tcBorders>
              <w:top w:val="single" w:color="000000" w:sz="4" w:space="0"/>
              <w:left w:val="single" w:color="000000" w:sz="4" w:space="0"/>
            </w:tcBorders>
            <w:shd w:val="clear" w:color="auto" w:fill="DEEAF6"/>
            <w:vAlign w:val="top"/>
          </w:tcPr>
          <w:p w14:paraId="4AECDE97">
            <w:pPr>
              <w:spacing w:before="33" w:line="60" w:lineRule="exact"/>
              <w:ind w:firstLine="33"/>
            </w:pPr>
            <w:r>
              <w:pict>
                <v:shape id="_x0000_s3990" o:spid="_x0000_s3990" style="position:absolute;left:0pt;margin-left:-0.2pt;margin-top:0pt;height:0.75pt;width:2.2pt;mso-position-horizontal-relative:page;mso-position-vertical-relative:page;z-index:252317696;mso-width-relative:page;mso-height-relative:page;" fillcolor="#5B9BD5" filled="t" stroked="f" coordsize="44,15" path="m0,14l43,14,43,0,0,0,0,14xe">
                  <v:path/>
                  <v:fill on="t" focussize="0,0"/>
                  <v:stroke on="f"/>
                  <v:imagedata o:title=""/>
                  <o:lock v:ext="edit"/>
                </v:shape>
              </w:pict>
            </w:r>
            <w:r>
              <w:rPr>
                <w:position w:val="-1"/>
              </w:rPr>
              <w:pict>
                <v:shape id="_x0000_s3991" o:spid="_x0000_s3991" style="height:3pt;width:70.85pt;" fillcolor="#DEEAF6" filled="t" stroked="f" coordsize="1416,60" path="m0,60l1416,60,1416,0,0,0,0,60xe">
                  <v:path/>
                  <v:fill on="t" focussize="0,0"/>
                  <v:stroke on="f"/>
                  <v:imagedata o:title=""/>
                  <o:lock v:ext="edit"/>
                  <w10:wrap type="none"/>
                  <w10:anchorlock/>
                </v:shape>
              </w:pict>
            </w:r>
          </w:p>
          <w:p w14:paraId="4282EB01">
            <w:pPr>
              <w:pStyle w:val="7"/>
              <w:spacing w:before="36" w:line="218" w:lineRule="auto"/>
              <w:ind w:left="313"/>
            </w:pPr>
            <w:r>
              <w:rPr>
                <w:b/>
                <w:bCs/>
                <w:spacing w:val="-18"/>
              </w:rPr>
              <w:t>准备项目</w:t>
            </w:r>
          </w:p>
          <w:p w14:paraId="4884FAA0">
            <w:pPr>
              <w:spacing w:before="145" w:line="52" w:lineRule="exact"/>
              <w:ind w:firstLine="11"/>
            </w:pPr>
            <w:r>
              <w:rPr>
                <w:position w:val="-1"/>
              </w:rPr>
              <w:pict>
                <v:shape id="_x0000_s3992" o:spid="_x0000_s3992" style="height:2.9pt;width:72.15pt;" fillcolor="#DEEAF6" filled="t" stroked="f" coordsize="1443,58" path="m0,57l1442,57,1442,0,0,0,0,57xe">
                  <v:path/>
                  <v:fill on="t" focussize="0,0"/>
                  <v:stroke on="f"/>
                  <v:imagedata o:title=""/>
                  <o:lock v:ext="edit"/>
                  <w10:wrap type="none"/>
                  <w10:anchorlock/>
                </v:shape>
              </w:pict>
            </w:r>
          </w:p>
        </w:tc>
        <w:tc>
          <w:tcPr>
            <w:tcW w:w="8134" w:type="dxa"/>
            <w:tcBorders>
              <w:top w:val="single" w:color="5B9BD5" w:sz="4" w:space="0"/>
              <w:right w:val="nil"/>
            </w:tcBorders>
            <w:shd w:val="clear" w:color="auto" w:fill="DEEAF6"/>
            <w:vAlign w:val="top"/>
          </w:tcPr>
          <w:p w14:paraId="66694C70">
            <w:pPr>
              <w:pStyle w:val="7"/>
              <w:spacing w:before="129" w:line="218" w:lineRule="auto"/>
              <w:ind w:left="3669"/>
            </w:pPr>
            <w:r>
              <w:rPr>
                <w:b/>
                <w:bCs/>
                <w:spacing w:val="-18"/>
              </w:rPr>
              <w:t>准备内容</w:t>
            </w:r>
          </w:p>
        </w:tc>
        <w:tc>
          <w:tcPr>
            <w:tcW w:w="72" w:type="dxa"/>
            <w:tcBorders>
              <w:top w:val="single" w:color="5B9BD5" w:sz="4" w:space="0"/>
              <w:left w:val="nil"/>
              <w:right w:val="single" w:color="5B9BD5" w:sz="4" w:space="0"/>
            </w:tcBorders>
            <w:vAlign w:val="top"/>
          </w:tcPr>
          <w:p w14:paraId="0B0278AB">
            <w:pPr>
              <w:rPr>
                <w:rFonts w:ascii="Arial"/>
                <w:sz w:val="21"/>
              </w:rPr>
            </w:pPr>
            <w:r>
              <w:pict>
                <v:shape id="_x0000_s3993" o:spid="_x0000_s3993" style="position:absolute;left:0pt;margin-left:1.75pt;margin-top:0pt;height:0.75pt;width:2.2pt;mso-position-horizontal-relative:page;mso-position-vertical-relative:page;z-index:252316672;mso-width-relative:page;mso-height-relative:page;" fillcolor="#5B9BD5" filled="t" stroked="f" coordsize="44,15" path="m0,14l43,14,43,0,0,0,0,14xe">
                  <v:path/>
                  <v:fill on="t" focussize="0,0"/>
                  <v:stroke on="f"/>
                  <v:imagedata o:title=""/>
                  <o:lock v:ext="edit"/>
                </v:shape>
              </w:pict>
            </w:r>
          </w:p>
        </w:tc>
      </w:tr>
      <w:tr w14:paraId="32A03E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4" w:hRule="atLeast"/>
        </w:trPr>
        <w:tc>
          <w:tcPr>
            <w:tcW w:w="1467" w:type="dxa"/>
            <w:tcBorders>
              <w:left w:val="single" w:color="000000" w:sz="4" w:space="0"/>
            </w:tcBorders>
            <w:vAlign w:val="top"/>
          </w:tcPr>
          <w:p w14:paraId="1741FD45">
            <w:pPr>
              <w:pStyle w:val="7"/>
              <w:spacing w:before="94" w:line="216" w:lineRule="auto"/>
              <w:ind w:left="314"/>
            </w:pPr>
            <w:r>
              <w:rPr>
                <w:spacing w:val="-15"/>
              </w:rPr>
              <w:t>道路检修</w:t>
            </w:r>
          </w:p>
        </w:tc>
        <w:tc>
          <w:tcPr>
            <w:tcW w:w="8206" w:type="dxa"/>
            <w:gridSpan w:val="2"/>
            <w:tcBorders>
              <w:right w:val="single" w:color="000000" w:sz="4" w:space="0"/>
            </w:tcBorders>
            <w:vAlign w:val="top"/>
          </w:tcPr>
          <w:p w14:paraId="1E06B39F">
            <w:pPr>
              <w:pStyle w:val="7"/>
              <w:spacing w:before="94" w:line="216" w:lineRule="auto"/>
              <w:ind w:left="398"/>
            </w:pPr>
            <w:r>
              <w:rPr>
                <w:spacing w:val="-21"/>
              </w:rPr>
              <w:t>对施工现场的道路，雨季之前要进行全面检查并及时修</w:t>
            </w:r>
            <w:r>
              <w:rPr>
                <w:spacing w:val="-22"/>
              </w:rPr>
              <w:t>整，保证道路无积水。</w:t>
            </w:r>
          </w:p>
        </w:tc>
      </w:tr>
      <w:tr w14:paraId="1EA574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19" w:hRule="atLeast"/>
        </w:trPr>
        <w:tc>
          <w:tcPr>
            <w:tcW w:w="1467" w:type="dxa"/>
            <w:tcBorders>
              <w:left w:val="single" w:color="000000" w:sz="4" w:space="0"/>
            </w:tcBorders>
            <w:vAlign w:val="top"/>
          </w:tcPr>
          <w:p w14:paraId="3675684F">
            <w:pPr>
              <w:spacing w:line="241" w:lineRule="auto"/>
              <w:rPr>
                <w:rFonts w:ascii="Arial"/>
                <w:sz w:val="21"/>
              </w:rPr>
            </w:pPr>
          </w:p>
          <w:p w14:paraId="65C33E80">
            <w:pPr>
              <w:spacing w:line="242" w:lineRule="auto"/>
              <w:rPr>
                <w:rFonts w:ascii="Arial"/>
                <w:sz w:val="21"/>
              </w:rPr>
            </w:pPr>
          </w:p>
          <w:p w14:paraId="63A346BB">
            <w:pPr>
              <w:pStyle w:val="7"/>
              <w:spacing w:before="78" w:line="218" w:lineRule="auto"/>
              <w:ind w:left="200"/>
            </w:pPr>
            <w:r>
              <w:rPr>
                <w:spacing w:val="-16"/>
              </w:rPr>
              <w:t>排水沟设置</w:t>
            </w:r>
          </w:p>
        </w:tc>
        <w:tc>
          <w:tcPr>
            <w:tcW w:w="8206" w:type="dxa"/>
            <w:gridSpan w:val="2"/>
            <w:tcBorders>
              <w:right w:val="single" w:color="000000" w:sz="4" w:space="0"/>
            </w:tcBorders>
            <w:vAlign w:val="top"/>
          </w:tcPr>
          <w:p w14:paraId="56859582">
            <w:pPr>
              <w:pStyle w:val="7"/>
              <w:spacing w:before="96" w:line="214" w:lineRule="auto"/>
              <w:jc w:val="right"/>
            </w:pPr>
            <w:r>
              <w:rPr>
                <w:spacing w:val="-26"/>
              </w:rPr>
              <w:t>在道路远离基坑一侧设排水沟，排水沟在转角处设置集水坑，经沉淀后流入雨水井内。</w:t>
            </w:r>
          </w:p>
          <w:p w14:paraId="4A01AA0D">
            <w:pPr>
              <w:pStyle w:val="7"/>
              <w:spacing w:before="189" w:line="215" w:lineRule="auto"/>
              <w:ind w:left="67"/>
            </w:pPr>
            <w:r>
              <w:rPr>
                <w:spacing w:val="-21"/>
              </w:rPr>
              <w:t>排水沟在雨季期间要经常维护，保持通畅，场地内部要作好有组织</w:t>
            </w:r>
            <w:r>
              <w:rPr>
                <w:spacing w:val="-22"/>
              </w:rPr>
              <w:t>排水，以防场区内</w:t>
            </w:r>
          </w:p>
          <w:p w14:paraId="221D7214">
            <w:pPr>
              <w:pStyle w:val="7"/>
              <w:spacing w:before="186" w:line="218" w:lineRule="auto"/>
              <w:ind w:left="3118"/>
            </w:pPr>
            <w:r>
              <w:rPr>
                <w:spacing w:val="-19"/>
              </w:rPr>
              <w:t>有积水而影响施工。</w:t>
            </w:r>
          </w:p>
        </w:tc>
      </w:tr>
      <w:tr w14:paraId="28443C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48" w:hRule="atLeast"/>
        </w:trPr>
        <w:tc>
          <w:tcPr>
            <w:tcW w:w="1467" w:type="dxa"/>
            <w:tcBorders>
              <w:left w:val="single" w:color="000000" w:sz="4" w:space="0"/>
            </w:tcBorders>
            <w:vAlign w:val="top"/>
          </w:tcPr>
          <w:p w14:paraId="4BD0A044">
            <w:pPr>
              <w:pStyle w:val="7"/>
              <w:spacing w:before="98" w:line="219" w:lineRule="auto"/>
              <w:ind w:left="93"/>
            </w:pPr>
            <w:r>
              <w:rPr>
                <w:spacing w:val="-18"/>
              </w:rPr>
              <w:t>现场临建房屋</w:t>
            </w:r>
          </w:p>
          <w:p w14:paraId="19B1B97E">
            <w:pPr>
              <w:pStyle w:val="7"/>
              <w:spacing w:before="181" w:line="216" w:lineRule="auto"/>
              <w:ind w:left="531"/>
            </w:pPr>
            <w:r>
              <w:rPr>
                <w:spacing w:val="-10"/>
              </w:rPr>
              <w:t>检修</w:t>
            </w:r>
          </w:p>
        </w:tc>
        <w:tc>
          <w:tcPr>
            <w:tcW w:w="8206" w:type="dxa"/>
            <w:gridSpan w:val="2"/>
            <w:tcBorders>
              <w:right w:val="single" w:color="000000" w:sz="4" w:space="0"/>
            </w:tcBorders>
            <w:vAlign w:val="top"/>
          </w:tcPr>
          <w:p w14:paraId="108DF2BD">
            <w:pPr>
              <w:pStyle w:val="7"/>
              <w:spacing w:before="99" w:line="217" w:lineRule="auto"/>
              <w:ind w:left="70"/>
            </w:pPr>
            <w:r>
              <w:rPr>
                <w:spacing w:val="-21"/>
              </w:rPr>
              <w:t>雨季来临之前，项目防汛领导小组应对现场的临时钢筋棚、木工</w:t>
            </w:r>
            <w:r>
              <w:rPr>
                <w:spacing w:val="-22"/>
              </w:rPr>
              <w:t>棚、库房及办公室等</w:t>
            </w:r>
          </w:p>
          <w:p w14:paraId="08035CBD">
            <w:pPr>
              <w:pStyle w:val="7"/>
              <w:spacing w:before="183" w:line="215" w:lineRule="auto"/>
              <w:ind w:left="401"/>
            </w:pPr>
            <w:r>
              <w:rPr>
                <w:spacing w:val="-22"/>
              </w:rPr>
              <w:t>房屋进行检查，检查是否存在漏雨、失稳、雷击等隐患，并且及时进行整改。</w:t>
            </w:r>
          </w:p>
        </w:tc>
      </w:tr>
      <w:tr w14:paraId="40CDAE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2" w:hRule="atLeast"/>
        </w:trPr>
        <w:tc>
          <w:tcPr>
            <w:tcW w:w="1467" w:type="dxa"/>
            <w:tcBorders>
              <w:left w:val="single" w:color="1C456A" w:sz="4" w:space="0"/>
              <w:bottom w:val="single" w:color="1C456A" w:sz="4" w:space="0"/>
            </w:tcBorders>
            <w:vAlign w:val="top"/>
          </w:tcPr>
          <w:p w14:paraId="0864B8C2">
            <w:pPr>
              <w:spacing w:line="257" w:lineRule="auto"/>
              <w:rPr>
                <w:rFonts w:ascii="Arial"/>
                <w:sz w:val="21"/>
              </w:rPr>
            </w:pPr>
            <w:r>
              <w:pict>
                <v:shape id="_x0000_s3994" o:spid="_x0000_s3994" style="position:absolute;left:0pt;margin-left:-0.2pt;margin-top:54.65pt;height:0.75pt;width:2.2pt;mso-position-horizontal-relative:page;mso-position-vertical-relative:page;z-index:252319744;mso-width-relative:page;mso-height-relative:page;" fillcolor="#5B9BD5" filled="t" stroked="f" coordsize="44,15" path="m0,14l43,14,43,0,0,0,0,14xe">
                  <v:path/>
                  <v:fill on="t" focussize="0,0"/>
                  <v:stroke on="f"/>
                  <v:imagedata o:title=""/>
                  <o:lock v:ext="edit"/>
                </v:shape>
              </w:pict>
            </w:r>
          </w:p>
          <w:p w14:paraId="0191C3C1">
            <w:pPr>
              <w:pStyle w:val="7"/>
              <w:spacing w:before="78" w:line="219" w:lineRule="auto"/>
              <w:ind w:left="92"/>
            </w:pPr>
            <w:r>
              <w:rPr>
                <w:spacing w:val="-18"/>
              </w:rPr>
              <w:t>洞口处理措施</w:t>
            </w:r>
          </w:p>
        </w:tc>
        <w:tc>
          <w:tcPr>
            <w:tcW w:w="8206" w:type="dxa"/>
            <w:gridSpan w:val="2"/>
            <w:tcBorders>
              <w:bottom w:val="single" w:color="5B9BD5" w:sz="4" w:space="0"/>
              <w:right w:val="single" w:color="5B9BD5" w:sz="4" w:space="0"/>
            </w:tcBorders>
            <w:vAlign w:val="top"/>
          </w:tcPr>
          <w:p w14:paraId="49727D65">
            <w:pPr>
              <w:pStyle w:val="7"/>
              <w:spacing w:before="102" w:line="215" w:lineRule="auto"/>
              <w:jc w:val="right"/>
            </w:pPr>
            <w:r>
              <w:pict>
                <v:shape id="_x0000_s3995" o:spid="_x0000_s3995" style="position:absolute;left:0pt;margin-left:408.45pt;margin-top:54.65pt;height:0.75pt;width:2.2pt;mso-position-horizontal-relative:page;mso-position-vertical-relative:page;z-index:252318720;mso-width-relative:page;mso-height-relative:page;" fillcolor="#5B9BD5" filled="t" stroked="f" coordsize="44,15" path="m0,14l43,14,43,0,0,0,0,14xe">
                  <v:path/>
                  <v:fill on="t" focussize="0,0"/>
                  <v:stroke on="f"/>
                  <v:imagedata o:title=""/>
                  <o:lock v:ext="edit"/>
                </v:shape>
              </w:pict>
            </w:r>
            <w:r>
              <w:rPr>
                <w:spacing w:val="-26"/>
              </w:rPr>
              <w:t>雨季来临之前，应安排人员将后浇带、顶板预留洞口及时封闭。在下雨前，将楼梯口、</w:t>
            </w:r>
          </w:p>
          <w:p w14:paraId="6D9711E9">
            <w:pPr>
              <w:pStyle w:val="7"/>
              <w:spacing w:before="187" w:line="219" w:lineRule="auto"/>
              <w:ind w:left="2576"/>
            </w:pPr>
            <w:r>
              <w:rPr>
                <w:spacing w:val="-20"/>
              </w:rPr>
              <w:t>基坑口临时覆盖以防雨水进入。</w:t>
            </w:r>
          </w:p>
        </w:tc>
      </w:tr>
    </w:tbl>
    <w:p w14:paraId="06991527">
      <w:pPr>
        <w:rPr>
          <w:rFonts w:ascii="Arial"/>
          <w:sz w:val="21"/>
        </w:rPr>
      </w:pPr>
    </w:p>
    <w:p w14:paraId="282D97EB">
      <w:pPr>
        <w:rPr>
          <w:rFonts w:ascii="Arial" w:hAnsi="Arial" w:eastAsia="Arial" w:cs="Arial"/>
          <w:sz w:val="21"/>
          <w:szCs w:val="21"/>
        </w:rPr>
        <w:sectPr>
          <w:footerReference r:id="rId373" w:type="default"/>
          <w:pgSz w:w="11907" w:h="16839"/>
          <w:pgMar w:top="933" w:right="4" w:bottom="1038" w:left="0" w:header="478" w:footer="357" w:gutter="0"/>
          <w:pgBorders>
            <w:top w:val="none" w:sz="0" w:space="0"/>
            <w:left w:val="none" w:sz="0" w:space="0"/>
            <w:bottom w:val="none" w:sz="0" w:space="0"/>
            <w:right w:val="none" w:sz="0" w:space="0"/>
          </w:pgBorders>
          <w:cols w:space="720" w:num="1"/>
        </w:sectPr>
      </w:pPr>
    </w:p>
    <w:p w14:paraId="66DE2315">
      <w:pPr>
        <w:spacing w:line="235" w:lineRule="exact"/>
      </w:pPr>
    </w:p>
    <w:tbl>
      <w:tblPr>
        <w:tblStyle w:val="6"/>
        <w:tblW w:w="9673" w:type="dxa"/>
        <w:tblInd w:w="1116"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3"/>
        <w:gridCol w:w="1389"/>
        <w:gridCol w:w="8211"/>
      </w:tblGrid>
      <w:tr w14:paraId="24FA1D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89" w:hRule="atLeast"/>
        </w:trPr>
        <w:tc>
          <w:tcPr>
            <w:tcW w:w="1462" w:type="dxa"/>
            <w:gridSpan w:val="2"/>
            <w:vMerge w:val="restart"/>
            <w:tcBorders>
              <w:top w:val="single" w:color="000000" w:sz="4" w:space="0"/>
              <w:left w:val="single" w:color="000000" w:sz="4" w:space="0"/>
              <w:bottom w:val="nil"/>
            </w:tcBorders>
            <w:vAlign w:val="top"/>
          </w:tcPr>
          <w:p w14:paraId="2FFBBBEB">
            <w:pPr>
              <w:spacing w:line="288" w:lineRule="auto"/>
              <w:rPr>
                <w:rFonts w:ascii="Arial"/>
                <w:sz w:val="21"/>
              </w:rPr>
            </w:pPr>
          </w:p>
          <w:p w14:paraId="075DF567">
            <w:pPr>
              <w:spacing w:line="288" w:lineRule="auto"/>
              <w:rPr>
                <w:rFonts w:ascii="Arial"/>
                <w:sz w:val="21"/>
              </w:rPr>
            </w:pPr>
          </w:p>
          <w:p w14:paraId="19AE9110">
            <w:pPr>
              <w:pStyle w:val="7"/>
              <w:spacing w:before="78" w:line="360" w:lineRule="auto"/>
              <w:ind w:left="316" w:right="45" w:hanging="215"/>
            </w:pPr>
            <w:r>
              <w:rPr>
                <w:spacing w:val="-23"/>
              </w:rPr>
              <w:t>垂直运输机具</w:t>
            </w:r>
            <w:r>
              <w:rPr>
                <w:spacing w:val="-16"/>
              </w:rPr>
              <w:t>及脚手架</w:t>
            </w:r>
          </w:p>
        </w:tc>
        <w:tc>
          <w:tcPr>
            <w:tcW w:w="8211" w:type="dxa"/>
            <w:tcBorders>
              <w:top w:val="single" w:color="5B9BD5" w:sz="4" w:space="0"/>
              <w:right w:val="single" w:color="5B9BD5" w:sz="4" w:space="0"/>
            </w:tcBorders>
            <w:vAlign w:val="top"/>
          </w:tcPr>
          <w:p w14:paraId="5D0639C7">
            <w:pPr>
              <w:pStyle w:val="7"/>
              <w:spacing w:before="129" w:line="216" w:lineRule="auto"/>
              <w:ind w:left="76"/>
            </w:pPr>
            <w:r>
              <w:rPr>
                <w:spacing w:val="-21"/>
              </w:rPr>
              <w:t>脚手架立杆底脚必须设置垫木，并加设扫地杆，同时保证排水</w:t>
            </w:r>
            <w:r>
              <w:rPr>
                <w:spacing w:val="-22"/>
              </w:rPr>
              <w:t>良好，避免积水浸泡。</w:t>
            </w:r>
          </w:p>
          <w:p w14:paraId="1ACB40EF">
            <w:pPr>
              <w:pStyle w:val="7"/>
              <w:spacing w:before="184" w:line="217" w:lineRule="auto"/>
              <w:ind w:left="2801"/>
            </w:pPr>
            <w:r>
              <w:rPr>
                <w:spacing w:val="-20"/>
              </w:rPr>
              <w:t>所有人行马道设置防滑条。</w:t>
            </w:r>
          </w:p>
        </w:tc>
      </w:tr>
      <w:tr w14:paraId="495C34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50" w:hRule="atLeast"/>
        </w:trPr>
        <w:tc>
          <w:tcPr>
            <w:tcW w:w="1462" w:type="dxa"/>
            <w:gridSpan w:val="2"/>
            <w:vMerge w:val="continue"/>
            <w:tcBorders>
              <w:top w:val="nil"/>
              <w:left w:val="single" w:color="000000" w:sz="4" w:space="0"/>
            </w:tcBorders>
            <w:vAlign w:val="top"/>
          </w:tcPr>
          <w:p w14:paraId="60C91D56">
            <w:pPr>
              <w:rPr>
                <w:rFonts w:ascii="Arial"/>
                <w:sz w:val="21"/>
              </w:rPr>
            </w:pPr>
          </w:p>
        </w:tc>
        <w:tc>
          <w:tcPr>
            <w:tcW w:w="8211" w:type="dxa"/>
            <w:tcBorders>
              <w:right w:val="single" w:color="000000" w:sz="4" w:space="0"/>
            </w:tcBorders>
            <w:vAlign w:val="top"/>
          </w:tcPr>
          <w:p w14:paraId="7B672E25">
            <w:pPr>
              <w:pStyle w:val="7"/>
              <w:spacing w:before="91" w:line="216" w:lineRule="auto"/>
              <w:ind w:left="75"/>
            </w:pPr>
            <w:r>
              <w:rPr>
                <w:spacing w:val="-21"/>
              </w:rPr>
              <w:t>雨季到来之前、脚手架要安设防雷保护装置，施工现场内所有</w:t>
            </w:r>
            <w:r>
              <w:rPr>
                <w:spacing w:val="-22"/>
              </w:rPr>
              <w:t>防雷装置的冲击接地电</w:t>
            </w:r>
          </w:p>
          <w:p w14:paraId="286F294E">
            <w:pPr>
              <w:pStyle w:val="7"/>
              <w:spacing w:before="187" w:line="217" w:lineRule="auto"/>
              <w:ind w:left="3226"/>
            </w:pPr>
            <w:r>
              <w:rPr>
                <w:spacing w:val="-15"/>
              </w:rPr>
              <w:t>阻不得大于30Ω。</w:t>
            </w:r>
          </w:p>
        </w:tc>
      </w:tr>
      <w:tr w14:paraId="3BA4DD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53" w:hRule="atLeast"/>
        </w:trPr>
        <w:tc>
          <w:tcPr>
            <w:tcW w:w="1462" w:type="dxa"/>
            <w:gridSpan w:val="2"/>
            <w:vMerge w:val="restart"/>
            <w:tcBorders>
              <w:left w:val="single" w:color="000000" w:sz="4" w:space="0"/>
              <w:bottom w:val="nil"/>
            </w:tcBorders>
            <w:vAlign w:val="top"/>
          </w:tcPr>
          <w:p w14:paraId="5F4B0DA7">
            <w:pPr>
              <w:spacing w:line="255" w:lineRule="auto"/>
              <w:rPr>
                <w:rFonts w:ascii="Arial"/>
                <w:sz w:val="21"/>
              </w:rPr>
            </w:pPr>
          </w:p>
          <w:p w14:paraId="5E836D36">
            <w:pPr>
              <w:spacing w:line="256" w:lineRule="auto"/>
              <w:rPr>
                <w:rFonts w:ascii="Arial"/>
                <w:sz w:val="21"/>
              </w:rPr>
            </w:pPr>
          </w:p>
          <w:p w14:paraId="211163CE">
            <w:pPr>
              <w:spacing w:line="256" w:lineRule="auto"/>
              <w:rPr>
                <w:rFonts w:ascii="Arial"/>
                <w:sz w:val="21"/>
              </w:rPr>
            </w:pPr>
          </w:p>
          <w:p w14:paraId="472D6E63">
            <w:pPr>
              <w:spacing w:line="256" w:lineRule="auto"/>
              <w:rPr>
                <w:rFonts w:ascii="Arial"/>
                <w:sz w:val="21"/>
              </w:rPr>
            </w:pPr>
          </w:p>
          <w:p w14:paraId="52D95C91">
            <w:pPr>
              <w:spacing w:line="256" w:lineRule="auto"/>
              <w:rPr>
                <w:rFonts w:ascii="Arial"/>
                <w:sz w:val="21"/>
              </w:rPr>
            </w:pPr>
          </w:p>
          <w:p w14:paraId="195BDB5E">
            <w:pPr>
              <w:spacing w:line="256" w:lineRule="auto"/>
              <w:rPr>
                <w:rFonts w:ascii="Arial"/>
                <w:sz w:val="21"/>
              </w:rPr>
            </w:pPr>
          </w:p>
          <w:p w14:paraId="4258308A">
            <w:pPr>
              <w:spacing w:line="256" w:lineRule="auto"/>
              <w:rPr>
                <w:rFonts w:ascii="Arial"/>
                <w:sz w:val="21"/>
              </w:rPr>
            </w:pPr>
          </w:p>
          <w:p w14:paraId="61A22EAA">
            <w:pPr>
              <w:spacing w:line="256" w:lineRule="auto"/>
              <w:rPr>
                <w:rFonts w:ascii="Arial"/>
                <w:sz w:val="21"/>
              </w:rPr>
            </w:pPr>
          </w:p>
          <w:p w14:paraId="399C957E">
            <w:pPr>
              <w:spacing w:line="256" w:lineRule="auto"/>
              <w:rPr>
                <w:rFonts w:ascii="Arial"/>
                <w:sz w:val="21"/>
              </w:rPr>
            </w:pPr>
          </w:p>
          <w:p w14:paraId="3DFC160A">
            <w:pPr>
              <w:spacing w:line="256" w:lineRule="auto"/>
              <w:rPr>
                <w:rFonts w:ascii="Arial"/>
                <w:sz w:val="21"/>
              </w:rPr>
            </w:pPr>
          </w:p>
          <w:p w14:paraId="2D62AB1B">
            <w:pPr>
              <w:spacing w:line="256" w:lineRule="auto"/>
              <w:rPr>
                <w:rFonts w:ascii="Arial"/>
                <w:sz w:val="21"/>
              </w:rPr>
            </w:pPr>
          </w:p>
          <w:p w14:paraId="74322039">
            <w:pPr>
              <w:pStyle w:val="7"/>
              <w:spacing w:before="78" w:line="218" w:lineRule="auto"/>
              <w:ind w:left="121"/>
            </w:pPr>
            <w:r>
              <w:rPr>
                <w:spacing w:val="-26"/>
              </w:rPr>
              <w:t>电动机具、设</w:t>
            </w:r>
          </w:p>
          <w:p w14:paraId="113BE079">
            <w:pPr>
              <w:pStyle w:val="7"/>
              <w:spacing w:before="184" w:line="219" w:lineRule="auto"/>
              <w:ind w:left="96"/>
            </w:pPr>
            <w:r>
              <w:rPr>
                <w:spacing w:val="-18"/>
              </w:rPr>
              <w:t>备及临时电路</w:t>
            </w:r>
          </w:p>
        </w:tc>
        <w:tc>
          <w:tcPr>
            <w:tcW w:w="8211" w:type="dxa"/>
            <w:tcBorders>
              <w:right w:val="single" w:color="000000" w:sz="4" w:space="0"/>
            </w:tcBorders>
            <w:vAlign w:val="top"/>
          </w:tcPr>
          <w:p w14:paraId="1B0770D9">
            <w:pPr>
              <w:pStyle w:val="7"/>
              <w:spacing w:before="94" w:line="217" w:lineRule="auto"/>
              <w:ind w:left="76"/>
            </w:pPr>
            <w:r>
              <w:rPr>
                <w:spacing w:val="-21"/>
              </w:rPr>
              <w:t>组织有关人员对施工现场内所使用的电气设备、照明设备、电</w:t>
            </w:r>
            <w:r>
              <w:rPr>
                <w:spacing w:val="-22"/>
              </w:rPr>
              <w:t>动工具、电源线开关箱</w:t>
            </w:r>
          </w:p>
          <w:p w14:paraId="01C0C730">
            <w:pPr>
              <w:pStyle w:val="7"/>
              <w:spacing w:before="186" w:line="216" w:lineRule="auto"/>
              <w:ind w:left="2482"/>
            </w:pPr>
            <w:r>
              <w:rPr>
                <w:spacing w:val="-21"/>
              </w:rPr>
              <w:t>等进行认真检查，确保安全可靠。</w:t>
            </w:r>
          </w:p>
        </w:tc>
      </w:tr>
      <w:tr w14:paraId="47E88F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18" w:hRule="atLeast"/>
        </w:trPr>
        <w:tc>
          <w:tcPr>
            <w:tcW w:w="1462" w:type="dxa"/>
            <w:gridSpan w:val="2"/>
            <w:vMerge w:val="continue"/>
            <w:tcBorders>
              <w:top w:val="nil"/>
              <w:left w:val="single" w:color="000000" w:sz="4" w:space="0"/>
              <w:bottom w:val="nil"/>
            </w:tcBorders>
            <w:vAlign w:val="top"/>
          </w:tcPr>
          <w:p w14:paraId="387EC293">
            <w:pPr>
              <w:rPr>
                <w:rFonts w:ascii="Arial"/>
                <w:sz w:val="21"/>
              </w:rPr>
            </w:pPr>
          </w:p>
        </w:tc>
        <w:tc>
          <w:tcPr>
            <w:tcW w:w="8211" w:type="dxa"/>
            <w:tcBorders>
              <w:right w:val="single" w:color="000000" w:sz="4" w:space="0"/>
            </w:tcBorders>
            <w:vAlign w:val="top"/>
          </w:tcPr>
          <w:p w14:paraId="42059CF9">
            <w:pPr>
              <w:pStyle w:val="7"/>
              <w:spacing w:before="95" w:line="216" w:lineRule="auto"/>
              <w:jc w:val="right"/>
            </w:pPr>
            <w:r>
              <w:rPr>
                <w:spacing w:val="-26"/>
              </w:rPr>
              <w:t>对现场的机电设备、临时线路进行检查，发现倾斜、变形、下沉、漏雨、漏电等现象，</w:t>
            </w:r>
          </w:p>
          <w:p w14:paraId="7AF06919">
            <w:pPr>
              <w:pStyle w:val="7"/>
              <w:spacing w:before="184" w:line="216" w:lineRule="auto"/>
              <w:jc w:val="right"/>
            </w:pPr>
            <w:r>
              <w:rPr>
                <w:spacing w:val="-26"/>
              </w:rPr>
              <w:t>应及时修理加固，排除危险源。对高空作业措施要逐一进行检查，发现有松动、变形、</w:t>
            </w:r>
          </w:p>
          <w:p w14:paraId="73138C1A">
            <w:pPr>
              <w:pStyle w:val="7"/>
              <w:spacing w:before="188" w:line="218" w:lineRule="auto"/>
              <w:ind w:left="2692"/>
            </w:pPr>
            <w:r>
              <w:rPr>
                <w:spacing w:val="-20"/>
              </w:rPr>
              <w:t>损坏等现象要立即修理完善。</w:t>
            </w:r>
          </w:p>
        </w:tc>
      </w:tr>
      <w:tr w14:paraId="2EA524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7" w:hRule="atLeast"/>
        </w:trPr>
        <w:tc>
          <w:tcPr>
            <w:tcW w:w="1462" w:type="dxa"/>
            <w:gridSpan w:val="2"/>
            <w:vMerge w:val="continue"/>
            <w:tcBorders>
              <w:top w:val="nil"/>
              <w:left w:val="single" w:color="000000" w:sz="4" w:space="0"/>
              <w:bottom w:val="nil"/>
            </w:tcBorders>
            <w:vAlign w:val="top"/>
          </w:tcPr>
          <w:p w14:paraId="3111E14A">
            <w:pPr>
              <w:rPr>
                <w:rFonts w:ascii="Arial"/>
                <w:sz w:val="21"/>
              </w:rPr>
            </w:pPr>
          </w:p>
        </w:tc>
        <w:tc>
          <w:tcPr>
            <w:tcW w:w="8211" w:type="dxa"/>
            <w:tcBorders>
              <w:right w:val="single" w:color="000000" w:sz="4" w:space="0"/>
            </w:tcBorders>
            <w:vAlign w:val="top"/>
          </w:tcPr>
          <w:p w14:paraId="311151C0">
            <w:pPr>
              <w:pStyle w:val="7"/>
              <w:spacing w:before="97" w:line="216" w:lineRule="auto"/>
              <w:ind w:left="1060"/>
            </w:pPr>
            <w:r>
              <w:rPr>
                <w:spacing w:val="-21"/>
              </w:rPr>
              <w:t>敷设于潮湿场所的电线管路、管口，管子连接处应作</w:t>
            </w:r>
            <w:r>
              <w:rPr>
                <w:spacing w:val="-22"/>
              </w:rPr>
              <w:t>密封处理。</w:t>
            </w:r>
          </w:p>
        </w:tc>
      </w:tr>
      <w:tr w14:paraId="5706C0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50" w:hRule="atLeast"/>
        </w:trPr>
        <w:tc>
          <w:tcPr>
            <w:tcW w:w="1462" w:type="dxa"/>
            <w:gridSpan w:val="2"/>
            <w:vMerge w:val="continue"/>
            <w:tcBorders>
              <w:top w:val="nil"/>
              <w:left w:val="single" w:color="000000" w:sz="4" w:space="0"/>
              <w:bottom w:val="nil"/>
            </w:tcBorders>
            <w:vAlign w:val="top"/>
          </w:tcPr>
          <w:p w14:paraId="64B60AA5">
            <w:pPr>
              <w:rPr>
                <w:rFonts w:ascii="Arial"/>
                <w:sz w:val="21"/>
              </w:rPr>
            </w:pPr>
          </w:p>
        </w:tc>
        <w:tc>
          <w:tcPr>
            <w:tcW w:w="8211" w:type="dxa"/>
            <w:tcBorders>
              <w:right w:val="single" w:color="000000" w:sz="4" w:space="0"/>
            </w:tcBorders>
            <w:vAlign w:val="top"/>
          </w:tcPr>
          <w:p w14:paraId="437C7C70">
            <w:pPr>
              <w:pStyle w:val="7"/>
              <w:spacing w:before="95" w:line="215" w:lineRule="auto"/>
              <w:ind w:left="74"/>
            </w:pPr>
            <w:r>
              <w:rPr>
                <w:spacing w:val="-21"/>
              </w:rPr>
              <w:t>施工机具要有防雨罩或置于屋棚内，电气设备的电源线要悬挂</w:t>
            </w:r>
            <w:r>
              <w:rPr>
                <w:spacing w:val="-22"/>
              </w:rPr>
              <w:t>在上，不准拖拉在地，</w:t>
            </w:r>
          </w:p>
          <w:p w14:paraId="7CF85B47">
            <w:pPr>
              <w:pStyle w:val="7"/>
              <w:spacing w:before="187" w:line="217" w:lineRule="auto"/>
              <w:ind w:left="3023"/>
            </w:pPr>
            <w:r>
              <w:rPr>
                <w:spacing w:val="-20"/>
              </w:rPr>
              <w:t>下班后勿忘切断电源。</w:t>
            </w:r>
          </w:p>
        </w:tc>
      </w:tr>
      <w:tr w14:paraId="6EED3D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53" w:hRule="atLeast"/>
        </w:trPr>
        <w:tc>
          <w:tcPr>
            <w:tcW w:w="1462" w:type="dxa"/>
            <w:gridSpan w:val="2"/>
            <w:vMerge w:val="continue"/>
            <w:tcBorders>
              <w:top w:val="nil"/>
              <w:left w:val="single" w:color="000000" w:sz="4" w:space="0"/>
            </w:tcBorders>
            <w:vAlign w:val="top"/>
          </w:tcPr>
          <w:p w14:paraId="22B09503">
            <w:pPr>
              <w:rPr>
                <w:rFonts w:ascii="Arial"/>
                <w:sz w:val="21"/>
              </w:rPr>
            </w:pPr>
          </w:p>
        </w:tc>
        <w:tc>
          <w:tcPr>
            <w:tcW w:w="8211" w:type="dxa"/>
            <w:tcBorders>
              <w:right w:val="single" w:color="000000" w:sz="4" w:space="0"/>
            </w:tcBorders>
            <w:vAlign w:val="top"/>
          </w:tcPr>
          <w:p w14:paraId="46B829DD">
            <w:pPr>
              <w:pStyle w:val="7"/>
              <w:spacing w:before="98" w:line="216" w:lineRule="auto"/>
              <w:ind w:left="76"/>
            </w:pPr>
            <w:r>
              <w:rPr>
                <w:spacing w:val="-21"/>
              </w:rPr>
              <w:t>凡露天使用的电气设备，应有良好的防雨性能或有妥善的防</w:t>
            </w:r>
            <w:r>
              <w:rPr>
                <w:spacing w:val="-22"/>
              </w:rPr>
              <w:t>雨措施。施工机具要统一</w:t>
            </w:r>
          </w:p>
          <w:p w14:paraId="513CEE53">
            <w:pPr>
              <w:pStyle w:val="7"/>
              <w:spacing w:before="187" w:line="216" w:lineRule="auto"/>
              <w:ind w:left="74"/>
            </w:pPr>
            <w:r>
              <w:rPr>
                <w:spacing w:val="-21"/>
              </w:rPr>
              <w:t>规划放置，搭设必要的防雨棚，防雨罩。露天堆放的材料及设备</w:t>
            </w:r>
            <w:r>
              <w:rPr>
                <w:spacing w:val="-22"/>
              </w:rPr>
              <w:t>要垫离地面一定的高</w:t>
            </w:r>
          </w:p>
          <w:p w14:paraId="43AA1CB2">
            <w:pPr>
              <w:pStyle w:val="7"/>
              <w:spacing w:before="184" w:line="216" w:lineRule="auto"/>
              <w:ind w:left="68"/>
            </w:pPr>
            <w:r>
              <w:rPr>
                <w:spacing w:val="-21"/>
              </w:rPr>
              <w:t>度（约30cm以上</w:t>
            </w:r>
            <w:r>
              <w:rPr>
                <w:spacing w:val="-36"/>
              </w:rPr>
              <w:t>），</w:t>
            </w:r>
            <w:r>
              <w:rPr>
                <w:spacing w:val="-21"/>
              </w:rPr>
              <w:t>防潮设备要有塑料布覆盖，防止日晒雨</w:t>
            </w:r>
            <w:r>
              <w:rPr>
                <w:spacing w:val="-22"/>
              </w:rPr>
              <w:t>淋。对特别怕潮湿的机电</w:t>
            </w:r>
          </w:p>
          <w:p w14:paraId="31C1DC97">
            <w:pPr>
              <w:pStyle w:val="7"/>
              <w:spacing w:before="187" w:line="215" w:lineRule="auto"/>
              <w:ind w:left="74"/>
            </w:pPr>
            <w:r>
              <w:rPr>
                <w:spacing w:val="-21"/>
              </w:rPr>
              <w:t>设备、材料要搬到干燥的室内保存或采取特别防护手段。在材料</w:t>
            </w:r>
            <w:r>
              <w:rPr>
                <w:spacing w:val="-22"/>
              </w:rPr>
              <w:t>、设备等仓库及堆放</w:t>
            </w:r>
          </w:p>
          <w:p w14:paraId="7BD87C7B">
            <w:pPr>
              <w:pStyle w:val="7"/>
              <w:spacing w:before="186" w:line="217" w:lineRule="auto"/>
              <w:ind w:left="2801"/>
            </w:pPr>
            <w:r>
              <w:rPr>
                <w:spacing w:val="-22"/>
              </w:rPr>
              <w:t>场地周围要保持排水通畅。</w:t>
            </w:r>
          </w:p>
        </w:tc>
      </w:tr>
      <w:tr w14:paraId="4C62C8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5" w:hRule="atLeast"/>
        </w:trPr>
        <w:tc>
          <w:tcPr>
            <w:tcW w:w="1462" w:type="dxa"/>
            <w:gridSpan w:val="2"/>
            <w:tcBorders>
              <w:left w:val="single" w:color="000000" w:sz="4" w:space="0"/>
            </w:tcBorders>
            <w:vAlign w:val="top"/>
          </w:tcPr>
          <w:p w14:paraId="2C64ECDE">
            <w:pPr>
              <w:pStyle w:val="7"/>
              <w:spacing w:before="98" w:line="219" w:lineRule="auto"/>
              <w:ind w:left="313"/>
            </w:pPr>
            <w:r>
              <w:rPr>
                <w:spacing w:val="-15"/>
              </w:rPr>
              <w:t>避雷装置</w:t>
            </w:r>
          </w:p>
        </w:tc>
        <w:tc>
          <w:tcPr>
            <w:tcW w:w="8211" w:type="dxa"/>
            <w:tcBorders>
              <w:right w:val="single" w:color="000000" w:sz="4" w:space="0"/>
            </w:tcBorders>
            <w:vAlign w:val="top"/>
          </w:tcPr>
          <w:p w14:paraId="1C7164C6">
            <w:pPr>
              <w:pStyle w:val="7"/>
              <w:spacing w:before="98" w:line="216" w:lineRule="auto"/>
              <w:ind w:left="75"/>
            </w:pPr>
            <w:r>
              <w:rPr>
                <w:spacing w:val="-22"/>
              </w:rPr>
              <w:t>雨季前要对避雷装置进行一次全面的检查。遇雷雨天禁止使用高大设备，以防雷击。</w:t>
            </w:r>
          </w:p>
        </w:tc>
      </w:tr>
      <w:tr w14:paraId="08DCDC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24" w:hRule="atLeast"/>
        </w:trPr>
        <w:tc>
          <w:tcPr>
            <w:tcW w:w="73" w:type="dxa"/>
            <w:tcBorders>
              <w:left w:val="single" w:color="1C456A" w:sz="4" w:space="0"/>
              <w:bottom w:val="single" w:color="1C456A" w:sz="4" w:space="0"/>
              <w:right w:val="nil"/>
            </w:tcBorders>
            <w:vAlign w:val="top"/>
          </w:tcPr>
          <w:p w14:paraId="1E7FF918">
            <w:pPr>
              <w:rPr>
                <w:rFonts w:ascii="Arial"/>
                <w:sz w:val="21"/>
              </w:rPr>
            </w:pPr>
            <w:r>
              <w:pict>
                <v:shape id="_x0000_s3996" o:spid="_x0000_s3996" style="position:absolute;left:0pt;margin-left:-0.25pt;margin-top:101.2pt;height:0.75pt;width:2.2pt;mso-position-horizontal-relative:page;mso-position-vertical-relative:page;z-index:252328960;mso-width-relative:page;mso-height-relative:page;" fillcolor="#5B9BD5" filled="t" stroked="f" coordsize="44,15" path="m0,14l43,14,43,0,0,0,0,14xe">
                  <v:path/>
                  <v:fill on="t" focussize="0,0"/>
                  <v:stroke on="f"/>
                  <v:imagedata o:title=""/>
                  <o:lock v:ext="edit"/>
                </v:shape>
              </w:pict>
            </w:r>
          </w:p>
        </w:tc>
        <w:tc>
          <w:tcPr>
            <w:tcW w:w="1389" w:type="dxa"/>
            <w:tcBorders>
              <w:left w:val="nil"/>
              <w:bottom w:val="single" w:color="1C456A" w:sz="4" w:space="0"/>
            </w:tcBorders>
            <w:vAlign w:val="top"/>
          </w:tcPr>
          <w:p w14:paraId="4536760B">
            <w:pPr>
              <w:spacing w:line="243" w:lineRule="auto"/>
              <w:rPr>
                <w:rFonts w:ascii="Arial"/>
                <w:sz w:val="21"/>
              </w:rPr>
            </w:pPr>
          </w:p>
          <w:p w14:paraId="67077A43">
            <w:pPr>
              <w:spacing w:line="243" w:lineRule="auto"/>
              <w:rPr>
                <w:rFonts w:ascii="Arial"/>
                <w:sz w:val="21"/>
              </w:rPr>
            </w:pPr>
          </w:p>
          <w:p w14:paraId="712E8220">
            <w:pPr>
              <w:pStyle w:val="7"/>
              <w:spacing w:before="78" w:line="215" w:lineRule="auto"/>
              <w:ind w:left="25"/>
            </w:pPr>
            <w:r>
              <w:rPr>
                <w:spacing w:val="-18"/>
              </w:rPr>
              <w:t>材料储存及保</w:t>
            </w:r>
          </w:p>
          <w:p w14:paraId="0A3090F0">
            <w:pPr>
              <w:pStyle w:val="7"/>
              <w:spacing w:before="187" w:line="220" w:lineRule="auto"/>
              <w:ind w:left="585"/>
            </w:pPr>
            <w:r>
              <w:t>管</w:t>
            </w:r>
          </w:p>
        </w:tc>
        <w:tc>
          <w:tcPr>
            <w:tcW w:w="8211" w:type="dxa"/>
            <w:tcBorders>
              <w:bottom w:val="single" w:color="5B9BD5" w:sz="4" w:space="0"/>
              <w:right w:val="single" w:color="5B9BD5" w:sz="4" w:space="0"/>
            </w:tcBorders>
            <w:vAlign w:val="top"/>
          </w:tcPr>
          <w:p w14:paraId="7160DAD6">
            <w:pPr>
              <w:pStyle w:val="7"/>
              <w:spacing w:before="102" w:line="215" w:lineRule="auto"/>
              <w:ind w:left="76"/>
            </w:pPr>
            <w:r>
              <w:pict>
                <v:shape id="_x0000_s3997" o:spid="_x0000_s3997" style="position:absolute;left:0pt;margin-left:408.7pt;margin-top:101.2pt;height:0.75pt;width:2.2pt;mso-position-horizontal-relative:page;mso-position-vertical-relative:page;z-index:252327936;mso-width-relative:page;mso-height-relative:page;" fillcolor="#5B9BD5" filled="t" stroked="f" coordsize="44,15" path="m0,14l43,14,43,0,0,0,0,14xe">
                  <v:path/>
                  <v:fill on="t" focussize="0,0"/>
                  <v:stroke on="f"/>
                  <v:imagedata o:title=""/>
                  <o:lock v:ext="edit"/>
                </v:shape>
              </w:pict>
            </w:r>
            <w:r>
              <w:rPr>
                <w:spacing w:val="-21"/>
              </w:rPr>
              <w:t>各种材质及其配件等，应在能够切实防止风吹雨淋日晒的干燥</w:t>
            </w:r>
            <w:r>
              <w:rPr>
                <w:spacing w:val="-22"/>
              </w:rPr>
              <w:t>场所存放。雨期施工期</w:t>
            </w:r>
          </w:p>
          <w:p w14:paraId="144F4B0B">
            <w:pPr>
              <w:pStyle w:val="7"/>
              <w:spacing w:before="186" w:line="215" w:lineRule="auto"/>
              <w:ind w:left="98"/>
            </w:pPr>
            <w:r>
              <w:rPr>
                <w:spacing w:val="-22"/>
              </w:rPr>
              <w:t>间宜水平放置，底层应搁置在调平的垫木上。垫木应沿边框和中格部位妥帖</w:t>
            </w:r>
            <w:r>
              <w:rPr>
                <w:spacing w:val="-23"/>
              </w:rPr>
              <w:t>布置，距</w:t>
            </w:r>
          </w:p>
          <w:p w14:paraId="275B85B0">
            <w:pPr>
              <w:pStyle w:val="7"/>
              <w:spacing w:before="188" w:line="215" w:lineRule="auto"/>
              <w:ind w:left="69"/>
            </w:pPr>
            <w:r>
              <w:rPr>
                <w:spacing w:val="-20"/>
              </w:rPr>
              <w:t>地不小于40cm，防止受潮和变形。叠放高度不宜超过1.8m。</w:t>
            </w:r>
            <w:r>
              <w:rPr>
                <w:spacing w:val="-21"/>
              </w:rPr>
              <w:t>采用靠架存放时，必须确</w:t>
            </w:r>
          </w:p>
          <w:p w14:paraId="5B5F74A5">
            <w:pPr>
              <w:pStyle w:val="7"/>
              <w:spacing w:before="185" w:line="217" w:lineRule="auto"/>
              <w:ind w:left="3564"/>
            </w:pPr>
            <w:r>
              <w:rPr>
                <w:spacing w:val="-17"/>
              </w:rPr>
              <w:t>保不变形。</w:t>
            </w:r>
          </w:p>
        </w:tc>
      </w:tr>
    </w:tbl>
    <w:p w14:paraId="2F7E44A9">
      <w:pPr>
        <w:pStyle w:val="2"/>
        <w:spacing w:before="115" w:line="218" w:lineRule="auto"/>
        <w:ind w:left="1893"/>
        <w:rPr>
          <w:sz w:val="24"/>
          <w:szCs w:val="24"/>
        </w:rPr>
      </w:pPr>
      <w:r>
        <w:rPr>
          <w:spacing w:val="-19"/>
          <w:sz w:val="24"/>
          <w:szCs w:val="24"/>
        </w:rPr>
        <w:t>雨季施工技术措施</w:t>
      </w:r>
    </w:p>
    <w:p w14:paraId="48C5BA4E">
      <w:pPr>
        <w:spacing w:line="19" w:lineRule="auto"/>
        <w:rPr>
          <w:rFonts w:ascii="Arial"/>
          <w:sz w:val="2"/>
        </w:rPr>
      </w:pPr>
    </w:p>
    <w:tbl>
      <w:tblPr>
        <w:tblStyle w:val="6"/>
        <w:tblW w:w="9673" w:type="dxa"/>
        <w:tblInd w:w="1116"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82"/>
        <w:gridCol w:w="1291"/>
        <w:gridCol w:w="8134"/>
        <w:gridCol w:w="66"/>
      </w:tblGrid>
      <w:tr w14:paraId="1F994F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94" w:hRule="atLeast"/>
        </w:trPr>
        <w:tc>
          <w:tcPr>
            <w:tcW w:w="182" w:type="dxa"/>
            <w:tcBorders>
              <w:top w:val="single" w:color="000000" w:sz="4" w:space="0"/>
              <w:left w:val="single" w:color="000000" w:sz="4" w:space="0"/>
              <w:right w:val="nil"/>
            </w:tcBorders>
            <w:vAlign w:val="top"/>
          </w:tcPr>
          <w:p w14:paraId="0E52B6A7">
            <w:pPr>
              <w:rPr>
                <w:rFonts w:ascii="Arial"/>
                <w:sz w:val="21"/>
              </w:rPr>
            </w:pPr>
            <w:r>
              <w:pict>
                <v:shape id="_x0000_s3998" o:spid="_x0000_s3998" style="position:absolute;left:0pt;margin-left:-0.25pt;margin-top:0.05pt;height:0.75pt;width:2.2pt;mso-position-horizontal-relative:page;mso-position-vertical-relative:page;z-index:252325888;mso-width-relative:page;mso-height-relative:page;" fillcolor="#5B9BD5" filled="t" stroked="f" coordsize="44,15" path="m0,14l43,14,43,0,0,0,0,14xe">
                  <v:path/>
                  <v:fill on="t" focussize="0,0"/>
                  <v:stroke on="f"/>
                  <v:imagedata o:title=""/>
                  <o:lock v:ext="edit"/>
                </v:shape>
              </w:pict>
            </w:r>
          </w:p>
        </w:tc>
        <w:tc>
          <w:tcPr>
            <w:tcW w:w="1291" w:type="dxa"/>
            <w:tcBorders>
              <w:top w:val="single" w:color="000000" w:sz="4" w:space="0"/>
              <w:left w:val="nil"/>
            </w:tcBorders>
            <w:vAlign w:val="top"/>
          </w:tcPr>
          <w:p w14:paraId="2D31979D">
            <w:pPr>
              <w:pStyle w:val="7"/>
              <w:spacing w:before="127" w:line="218" w:lineRule="auto"/>
              <w:ind w:left="139"/>
            </w:pPr>
            <w:r>
              <mc:AlternateContent>
                <mc:Choice Requires="wps">
                  <w:drawing>
                    <wp:anchor distT="0" distB="0" distL="0" distR="0" simplePos="0" relativeHeight="252322816" behindDoc="1" locked="0" layoutInCell="1" allowOverlap="1">
                      <wp:simplePos x="0" y="0"/>
                      <wp:positionH relativeFrom="column">
                        <wp:posOffset>-90805</wp:posOffset>
                      </wp:positionH>
                      <wp:positionV relativeFrom="paragraph">
                        <wp:posOffset>20955</wp:posOffset>
                      </wp:positionV>
                      <wp:extent cx="899795" cy="370840"/>
                      <wp:effectExtent l="0" t="0" r="0" b="0"/>
                      <wp:wrapNone/>
                      <wp:docPr id="1576" name="Rect 1576"/>
                      <wp:cNvGraphicFramePr/>
                      <a:graphic xmlns:a="http://schemas.openxmlformats.org/drawingml/2006/main">
                        <a:graphicData uri="http://schemas.microsoft.com/office/word/2010/wordprocessingShape">
                          <wps:wsp>
                            <wps:cNvSpPr/>
                            <wps:spPr>
                              <a:xfrm>
                                <a:off x="-91313" y="21145"/>
                                <a:ext cx="899794" cy="370840"/>
                              </a:xfrm>
                              <a:prstGeom prst="rect">
                                <a:avLst/>
                              </a:prstGeom>
                              <a:solidFill>
                                <a:srgbClr val="DEEAF6"/>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1576" o:spid="_x0000_s1026" o:spt="1" style="position:absolute;left:0pt;margin-left:-7.15pt;margin-top:1.65pt;height:29.2pt;width:70.85pt;z-index:-250993664;mso-width-relative:page;mso-height-relative:page;" fillcolor="#DEEAF6" filled="t" stroked="f" coordsize="21600,21600" o:gfxdata="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KK8vWNgAAAAIAQAADwAAAAAAAAABACAAAAAiAAAAZHJzL2Rvd25y&#10;ZXYueG1sUEsBAhQAFAAAAAgAh07iQGCaYkE3AgAAcAQAAA4AAAAAAAAAAQAgAAAAJwEAAGRycy9l&#10;Mm9Eb2MueG1sUEsFBgAAAAAGAAYAWQEAANAFAAAAAA==&#10;">
                      <v:fill on="t" focussize="0,0"/>
                      <v:stroke on="f" weight="0pt"/>
                      <v:imagedata o:title=""/>
                      <o:lock v:ext="edit" aspectratio="f"/>
                      <v:textbox inset="0mm,0mm,0mm,0mm"/>
                    </v:rect>
                  </w:pict>
                </mc:Fallback>
              </mc:AlternateContent>
            </w:r>
            <w:r>
              <w:rPr>
                <w:b/>
                <w:bCs/>
                <w:spacing w:val="-19"/>
              </w:rPr>
              <w:t>工程内容</w:t>
            </w:r>
          </w:p>
        </w:tc>
        <w:tc>
          <w:tcPr>
            <w:tcW w:w="8134" w:type="dxa"/>
            <w:tcBorders>
              <w:top w:val="single" w:color="5B9BD5" w:sz="4" w:space="0"/>
              <w:right w:val="nil"/>
            </w:tcBorders>
            <w:shd w:val="clear" w:color="auto" w:fill="DEEAF6"/>
            <w:vAlign w:val="top"/>
          </w:tcPr>
          <w:p w14:paraId="2B2AB10B">
            <w:pPr>
              <w:pStyle w:val="7"/>
              <w:spacing w:before="127" w:line="218" w:lineRule="auto"/>
              <w:ind w:left="3224"/>
            </w:pPr>
            <w:r>
              <w:rPr>
                <w:b/>
                <w:bCs/>
                <w:spacing w:val="-21"/>
              </w:rPr>
              <w:t>具体雨季施工措施</w:t>
            </w:r>
          </w:p>
        </w:tc>
        <w:tc>
          <w:tcPr>
            <w:tcW w:w="66" w:type="dxa"/>
            <w:tcBorders>
              <w:top w:val="single" w:color="5B9BD5" w:sz="4" w:space="0"/>
              <w:left w:val="nil"/>
              <w:right w:val="single" w:color="5B9BD5" w:sz="4" w:space="0"/>
            </w:tcBorders>
            <w:vAlign w:val="top"/>
          </w:tcPr>
          <w:p w14:paraId="77693111">
            <w:pPr>
              <w:rPr>
                <w:rFonts w:ascii="Arial"/>
                <w:sz w:val="21"/>
              </w:rPr>
            </w:pPr>
            <w:r>
              <w:pict>
                <v:shape id="_x0000_s3999" o:spid="_x0000_s3999" style="position:absolute;left:0pt;margin-left:1.45pt;margin-top:0.05pt;height:0.75pt;width:2.2pt;mso-position-horizontal-relative:page;mso-position-vertical-relative:page;z-index:252326912;mso-width-relative:page;mso-height-relative:page;" fillcolor="#5B9BD5" filled="t" stroked="f" coordsize="44,15" path="m0,14l43,14,43,0,0,0,0,14xe">
                  <v:path/>
                  <v:fill on="t" focussize="0,0"/>
                  <v:stroke on="f"/>
                  <v:imagedata o:title=""/>
                  <o:lock v:ext="edit"/>
                </v:shape>
              </w:pict>
            </w:r>
          </w:p>
        </w:tc>
      </w:tr>
      <w:tr w14:paraId="6F24B7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76" w:hRule="atLeast"/>
        </w:trPr>
        <w:tc>
          <w:tcPr>
            <w:tcW w:w="1473" w:type="dxa"/>
            <w:gridSpan w:val="2"/>
            <w:tcBorders>
              <w:left w:val="single" w:color="1C456A" w:sz="4" w:space="0"/>
              <w:bottom w:val="single" w:color="1C456A" w:sz="4" w:space="0"/>
            </w:tcBorders>
            <w:vAlign w:val="top"/>
          </w:tcPr>
          <w:p w14:paraId="5C2E8ECD">
            <w:pPr>
              <w:spacing w:line="252" w:lineRule="auto"/>
              <w:rPr>
                <w:rFonts w:ascii="Arial"/>
                <w:sz w:val="21"/>
              </w:rPr>
            </w:pPr>
            <w:r>
              <w:pict>
                <v:shape id="_x0000_s4000" o:spid="_x0000_s4000" style="position:absolute;left:0pt;margin-left:-0.2pt;margin-top:78.85pt;height:0.75pt;width:2.2pt;mso-position-horizontal-relative:page;mso-position-vertical-relative:page;z-index:252324864;mso-width-relative:page;mso-height-relative:page;" fillcolor="#5B9BD5" filled="t" stroked="f" coordsize="44,15" path="m0,14l43,14,43,0,0,0,0,14xe">
                  <v:path/>
                  <v:fill on="t" focussize="0,0"/>
                  <v:stroke on="f"/>
                  <v:imagedata o:title=""/>
                  <o:lock v:ext="edit"/>
                </v:shape>
              </w:pict>
            </w:r>
          </w:p>
          <w:p w14:paraId="549065D5">
            <w:pPr>
              <w:spacing w:line="253" w:lineRule="auto"/>
              <w:rPr>
                <w:rFonts w:ascii="Arial"/>
                <w:sz w:val="21"/>
              </w:rPr>
            </w:pPr>
          </w:p>
          <w:p w14:paraId="08CCA429">
            <w:pPr>
              <w:pStyle w:val="7"/>
              <w:spacing w:before="78" w:line="219" w:lineRule="auto"/>
              <w:ind w:left="312"/>
            </w:pPr>
            <w:r>
              <w:rPr>
                <w:spacing w:val="-15"/>
              </w:rPr>
              <w:t>钢筋工程</w:t>
            </w:r>
          </w:p>
        </w:tc>
        <w:tc>
          <w:tcPr>
            <w:tcW w:w="8200" w:type="dxa"/>
            <w:gridSpan w:val="2"/>
            <w:tcBorders>
              <w:bottom w:val="single" w:color="5B9BD5" w:sz="4" w:space="0"/>
              <w:right w:val="single" w:color="5B9BD5" w:sz="4" w:space="0"/>
            </w:tcBorders>
            <w:vAlign w:val="top"/>
          </w:tcPr>
          <w:p w14:paraId="300A7EAC">
            <w:pPr>
              <w:pStyle w:val="7"/>
              <w:spacing w:before="121" w:line="215" w:lineRule="auto"/>
              <w:ind w:left="63"/>
            </w:pPr>
            <w:r>
              <w:pict>
                <v:shape id="_x0000_s4001" o:spid="_x0000_s4001" style="position:absolute;left:0pt;margin-left:408.15pt;margin-top:78.85pt;height:0.75pt;width:2.2pt;mso-position-horizontal-relative:page;mso-position-vertical-relative:page;z-index:252323840;mso-width-relative:page;mso-height-relative:page;" fillcolor="#5B9BD5" filled="t" stroked="f" coordsize="44,15" path="m0,14l43,14,43,0,0,0,0,14xe">
                  <v:path/>
                  <v:fill on="t" focussize="0,0"/>
                  <v:stroke on="f"/>
                  <v:imagedata o:title=""/>
                  <o:lock v:ext="edit"/>
                </v:shape>
              </w:pict>
            </w:r>
            <w:r>
              <w:rPr>
                <w:spacing w:val="-21"/>
              </w:rPr>
              <w:t>钢筋堆放场地要设置在地势比较高的位置，而且排水设施齐备。</w:t>
            </w:r>
            <w:r>
              <w:rPr>
                <w:spacing w:val="-22"/>
              </w:rPr>
              <w:t>下雨前对钢筋原材及</w:t>
            </w:r>
          </w:p>
          <w:p w14:paraId="5F65BF8C">
            <w:pPr>
              <w:pStyle w:val="7"/>
              <w:spacing w:before="186" w:line="215" w:lineRule="auto"/>
              <w:ind w:left="65"/>
            </w:pPr>
            <w:r>
              <w:rPr>
                <w:spacing w:val="-21"/>
              </w:rPr>
              <w:t>半成品进行遮盖，防止雨淋锈蚀。生有浮锈的，在绑扎前先用</w:t>
            </w:r>
            <w:r>
              <w:rPr>
                <w:spacing w:val="-22"/>
              </w:rPr>
              <w:t>钢丝刷进行除锈，质检</w:t>
            </w:r>
          </w:p>
          <w:p w14:paraId="6B67C230">
            <w:pPr>
              <w:pStyle w:val="7"/>
              <w:spacing w:before="188" w:line="216" w:lineRule="auto"/>
              <w:ind w:left="2808"/>
            </w:pPr>
            <w:r>
              <w:rPr>
                <w:spacing w:val="-22"/>
              </w:rPr>
              <w:t>员检验合格后，方可使用。</w:t>
            </w:r>
          </w:p>
        </w:tc>
      </w:tr>
    </w:tbl>
    <w:p w14:paraId="2020A48C">
      <w:pPr>
        <w:rPr>
          <w:rFonts w:ascii="Arial"/>
          <w:sz w:val="21"/>
        </w:rPr>
      </w:pPr>
    </w:p>
    <w:p w14:paraId="45CE4044">
      <w:pPr>
        <w:rPr>
          <w:rFonts w:ascii="Arial" w:hAnsi="Arial" w:eastAsia="Arial" w:cs="Arial"/>
          <w:sz w:val="21"/>
          <w:szCs w:val="21"/>
        </w:rPr>
        <w:sectPr>
          <w:footerReference r:id="rId374" w:type="default"/>
          <w:pgSz w:w="11907" w:h="16839"/>
          <w:pgMar w:top="933" w:right="4" w:bottom="1038" w:left="0" w:header="478" w:footer="357" w:gutter="0"/>
          <w:pgBorders>
            <w:top w:val="none" w:sz="0" w:space="0"/>
            <w:left w:val="none" w:sz="0" w:space="0"/>
            <w:bottom w:val="none" w:sz="0" w:space="0"/>
            <w:right w:val="none" w:sz="0" w:space="0"/>
          </w:pgBorders>
          <w:cols w:space="720" w:num="1"/>
        </w:sectPr>
      </w:pPr>
    </w:p>
    <w:p w14:paraId="7E560F5C">
      <w:pPr>
        <w:spacing w:line="235" w:lineRule="exact"/>
      </w:pPr>
    </w:p>
    <w:tbl>
      <w:tblPr>
        <w:tblStyle w:val="6"/>
        <w:tblW w:w="9673" w:type="dxa"/>
        <w:tblInd w:w="1116"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463"/>
        <w:gridCol w:w="8210"/>
      </w:tblGrid>
      <w:tr w14:paraId="44DBF7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54" w:hRule="atLeast"/>
        </w:trPr>
        <w:tc>
          <w:tcPr>
            <w:tcW w:w="1463" w:type="dxa"/>
            <w:vMerge w:val="restart"/>
            <w:tcBorders>
              <w:top w:val="single" w:color="000000" w:sz="4" w:space="0"/>
              <w:left w:val="single" w:color="000000" w:sz="4" w:space="0"/>
              <w:bottom w:val="nil"/>
            </w:tcBorders>
            <w:vAlign w:val="top"/>
          </w:tcPr>
          <w:p w14:paraId="7D67C91E">
            <w:pPr>
              <w:rPr>
                <w:rFonts w:ascii="Arial"/>
                <w:sz w:val="21"/>
              </w:rPr>
            </w:pPr>
          </w:p>
        </w:tc>
        <w:tc>
          <w:tcPr>
            <w:tcW w:w="8210" w:type="dxa"/>
            <w:tcBorders>
              <w:top w:val="single" w:color="5B9BD5" w:sz="4" w:space="0"/>
              <w:right w:val="single" w:color="5B9BD5" w:sz="4" w:space="0"/>
            </w:tcBorders>
            <w:vAlign w:val="top"/>
          </w:tcPr>
          <w:p w14:paraId="16AF5051">
            <w:pPr>
              <w:pStyle w:val="7"/>
              <w:spacing w:before="129" w:line="215" w:lineRule="auto"/>
              <w:ind w:left="73"/>
            </w:pPr>
            <w:r>
              <w:rPr>
                <w:spacing w:val="-21"/>
              </w:rPr>
              <w:t>钢筋加工区应搭设钢筋棚，加工出的成品应垫高存放，不得直接</w:t>
            </w:r>
            <w:r>
              <w:rPr>
                <w:spacing w:val="-22"/>
              </w:rPr>
              <w:t>放在地上，以防雨天</w:t>
            </w:r>
          </w:p>
          <w:p w14:paraId="4A434D33">
            <w:pPr>
              <w:pStyle w:val="7"/>
              <w:spacing w:before="186" w:line="215" w:lineRule="auto"/>
              <w:ind w:left="73"/>
            </w:pPr>
            <w:r>
              <w:rPr>
                <w:spacing w:val="-21"/>
              </w:rPr>
              <w:t>泥土污染。闪光对焊钢筋应在钢筋棚内进行，不得在室外对焊以防</w:t>
            </w:r>
            <w:r>
              <w:rPr>
                <w:spacing w:val="-22"/>
              </w:rPr>
              <w:t>雨淋。尤其是刚对</w:t>
            </w:r>
          </w:p>
          <w:p w14:paraId="73D05D04">
            <w:pPr>
              <w:pStyle w:val="7"/>
              <w:spacing w:before="188" w:line="215" w:lineRule="auto"/>
              <w:ind w:left="292"/>
            </w:pPr>
            <w:r>
              <w:rPr>
                <w:spacing w:val="-22"/>
              </w:rPr>
              <w:t>焊出的钢筋，绝对禁止放在雨中或水中冷却，大风雨天气对焊钢筋应终止进行。</w:t>
            </w:r>
          </w:p>
        </w:tc>
      </w:tr>
      <w:tr w14:paraId="4E66C5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19" w:hRule="atLeast"/>
        </w:trPr>
        <w:tc>
          <w:tcPr>
            <w:tcW w:w="1463" w:type="dxa"/>
            <w:vMerge w:val="continue"/>
            <w:tcBorders>
              <w:top w:val="nil"/>
              <w:left w:val="single" w:color="000000" w:sz="4" w:space="0"/>
              <w:bottom w:val="nil"/>
            </w:tcBorders>
            <w:vAlign w:val="top"/>
          </w:tcPr>
          <w:p w14:paraId="40D75E39">
            <w:pPr>
              <w:rPr>
                <w:rFonts w:ascii="Arial"/>
                <w:sz w:val="21"/>
              </w:rPr>
            </w:pPr>
          </w:p>
        </w:tc>
        <w:tc>
          <w:tcPr>
            <w:tcW w:w="8210" w:type="dxa"/>
            <w:tcBorders>
              <w:right w:val="single" w:color="000000" w:sz="4" w:space="0"/>
            </w:tcBorders>
            <w:vAlign w:val="top"/>
          </w:tcPr>
          <w:p w14:paraId="0933E9B3">
            <w:pPr>
              <w:pStyle w:val="7"/>
              <w:spacing w:before="95" w:line="215" w:lineRule="auto"/>
              <w:ind w:left="73"/>
            </w:pPr>
            <w:r>
              <w:rPr>
                <w:spacing w:val="-21"/>
              </w:rPr>
              <w:t>现场焊接钢筋，应选在无风雨天气进行，刚焊出的钢筋也应禁</w:t>
            </w:r>
            <w:r>
              <w:rPr>
                <w:spacing w:val="-22"/>
              </w:rPr>
              <w:t>止雨淋，以防止改变钢</w:t>
            </w:r>
          </w:p>
          <w:p w14:paraId="6DD29DA9">
            <w:pPr>
              <w:pStyle w:val="7"/>
              <w:spacing w:before="188" w:line="216" w:lineRule="auto"/>
              <w:ind w:left="77"/>
            </w:pPr>
            <w:r>
              <w:rPr>
                <w:spacing w:val="-21"/>
              </w:rPr>
              <w:t>筋受力性能。焊接钢筋应避开阴雨天气，否则应用石棉</w:t>
            </w:r>
            <w:r>
              <w:rPr>
                <w:spacing w:val="-22"/>
              </w:rPr>
              <w:t>瓦遮挡，避开雨水直淋钢筋焊</w:t>
            </w:r>
          </w:p>
          <w:p w14:paraId="2F6B3196">
            <w:pPr>
              <w:pStyle w:val="7"/>
              <w:spacing w:before="185" w:line="215" w:lineRule="auto"/>
              <w:ind w:left="95"/>
            </w:pPr>
            <w:r>
              <w:rPr>
                <w:spacing w:val="-22"/>
              </w:rPr>
              <w:t>区。在绑扎钢筋中，有时遇到阴雨天气，一般情况不影响施工，但工人在上下班或搬</w:t>
            </w:r>
          </w:p>
          <w:p w14:paraId="4D5ACAAD">
            <w:pPr>
              <w:pStyle w:val="7"/>
              <w:spacing w:before="188" w:line="218" w:lineRule="auto"/>
              <w:ind w:left="76"/>
            </w:pPr>
            <w:r>
              <w:rPr>
                <w:spacing w:val="-22"/>
              </w:rPr>
              <w:t>运钢筋时，鞋上沾的泥土易污染钢筋网片，应采取以下措施：一是钢筋上的泥土，应</w:t>
            </w:r>
          </w:p>
          <w:p w14:paraId="76B9A52A">
            <w:pPr>
              <w:pStyle w:val="7"/>
              <w:spacing w:before="182" w:line="215" w:lineRule="auto"/>
              <w:ind w:left="74"/>
            </w:pPr>
            <w:r>
              <w:rPr>
                <w:spacing w:val="-21"/>
              </w:rPr>
              <w:t>用钢丝刷，配合自来水冲洗干净，二是工人在进入钢筋绑扎</w:t>
            </w:r>
            <w:r>
              <w:rPr>
                <w:spacing w:val="-22"/>
              </w:rPr>
              <w:t>区前清理干净鞋底或干净</w:t>
            </w:r>
          </w:p>
          <w:p w14:paraId="186F27E6">
            <w:pPr>
              <w:pStyle w:val="7"/>
              <w:spacing w:before="188" w:line="217" w:lineRule="auto"/>
              <w:ind w:left="3358"/>
            </w:pPr>
            <w:r>
              <w:rPr>
                <w:spacing w:val="-21"/>
              </w:rPr>
              <w:t>的鞋进行施工。</w:t>
            </w:r>
          </w:p>
        </w:tc>
      </w:tr>
      <w:tr w14:paraId="2F8AB2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52" w:hRule="atLeast"/>
        </w:trPr>
        <w:tc>
          <w:tcPr>
            <w:tcW w:w="1463" w:type="dxa"/>
            <w:vMerge w:val="continue"/>
            <w:tcBorders>
              <w:top w:val="nil"/>
              <w:left w:val="single" w:color="000000" w:sz="4" w:space="0"/>
              <w:bottom w:val="nil"/>
            </w:tcBorders>
            <w:vAlign w:val="top"/>
          </w:tcPr>
          <w:p w14:paraId="7A55B2FD">
            <w:pPr>
              <w:rPr>
                <w:rFonts w:ascii="Arial"/>
                <w:sz w:val="21"/>
              </w:rPr>
            </w:pPr>
          </w:p>
        </w:tc>
        <w:tc>
          <w:tcPr>
            <w:tcW w:w="8210" w:type="dxa"/>
            <w:tcBorders>
              <w:right w:val="single" w:color="000000" w:sz="4" w:space="0"/>
            </w:tcBorders>
            <w:vAlign w:val="top"/>
          </w:tcPr>
          <w:p w14:paraId="59EE8BFE">
            <w:pPr>
              <w:pStyle w:val="7"/>
              <w:spacing w:before="97" w:line="218" w:lineRule="auto"/>
              <w:jc w:val="right"/>
            </w:pPr>
            <w:r>
              <w:rPr>
                <w:spacing w:val="-26"/>
              </w:rPr>
              <w:t>墙体钢筋绑扎完成后及时浇灌混凝土，若因连续多天下雨，造成已绑扎的钢筋生锈的，</w:t>
            </w:r>
          </w:p>
          <w:p w14:paraId="47B7884D">
            <w:pPr>
              <w:pStyle w:val="7"/>
              <w:spacing w:before="182" w:line="215" w:lineRule="auto"/>
              <w:ind w:left="2148"/>
            </w:pPr>
            <w:r>
              <w:rPr>
                <w:spacing w:val="-21"/>
              </w:rPr>
              <w:t>在浇筑混凝土前，先用钢丝刷进行除锈。</w:t>
            </w:r>
          </w:p>
        </w:tc>
      </w:tr>
      <w:tr w14:paraId="275177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50" w:hRule="atLeast"/>
        </w:trPr>
        <w:tc>
          <w:tcPr>
            <w:tcW w:w="1463" w:type="dxa"/>
            <w:vMerge w:val="continue"/>
            <w:tcBorders>
              <w:top w:val="nil"/>
              <w:left w:val="single" w:color="000000" w:sz="4" w:space="0"/>
            </w:tcBorders>
            <w:vAlign w:val="top"/>
          </w:tcPr>
          <w:p w14:paraId="149B8E2A">
            <w:pPr>
              <w:rPr>
                <w:rFonts w:ascii="Arial"/>
                <w:sz w:val="21"/>
              </w:rPr>
            </w:pPr>
          </w:p>
        </w:tc>
        <w:tc>
          <w:tcPr>
            <w:tcW w:w="8210" w:type="dxa"/>
            <w:tcBorders>
              <w:right w:val="single" w:color="000000" w:sz="4" w:space="0"/>
            </w:tcBorders>
            <w:vAlign w:val="top"/>
          </w:tcPr>
          <w:p w14:paraId="318347DB">
            <w:pPr>
              <w:pStyle w:val="7"/>
              <w:spacing w:before="98" w:line="218" w:lineRule="auto"/>
              <w:ind w:left="74"/>
            </w:pPr>
            <w:r>
              <w:rPr>
                <w:spacing w:val="-21"/>
              </w:rPr>
              <w:t>若遇到顶板钢筋绑完后下雨时，雨停后则必须清除钢筋生锈</w:t>
            </w:r>
            <w:r>
              <w:rPr>
                <w:spacing w:val="-22"/>
              </w:rPr>
              <w:t>所造成的模板污染，以免</w:t>
            </w:r>
          </w:p>
          <w:p w14:paraId="6D819688">
            <w:pPr>
              <w:pStyle w:val="7"/>
              <w:spacing w:before="182" w:line="215" w:lineRule="auto"/>
              <w:ind w:left="1602"/>
            </w:pPr>
            <w:r>
              <w:rPr>
                <w:spacing w:val="-22"/>
              </w:rPr>
              <w:t>顶板混凝土成型后造成在板底沿钢筋方向铁锈污染。</w:t>
            </w:r>
          </w:p>
        </w:tc>
      </w:tr>
      <w:tr w14:paraId="269F2A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53" w:hRule="atLeast"/>
        </w:trPr>
        <w:tc>
          <w:tcPr>
            <w:tcW w:w="1463" w:type="dxa"/>
            <w:vMerge w:val="restart"/>
            <w:tcBorders>
              <w:left w:val="single" w:color="000000" w:sz="4" w:space="0"/>
              <w:bottom w:val="nil"/>
            </w:tcBorders>
            <w:vAlign w:val="top"/>
          </w:tcPr>
          <w:p w14:paraId="72E9AF41">
            <w:pPr>
              <w:spacing w:line="257" w:lineRule="auto"/>
              <w:rPr>
                <w:rFonts w:ascii="Arial"/>
                <w:sz w:val="21"/>
              </w:rPr>
            </w:pPr>
          </w:p>
          <w:p w14:paraId="6D46AED1">
            <w:pPr>
              <w:spacing w:line="258" w:lineRule="auto"/>
              <w:rPr>
                <w:rFonts w:ascii="Arial"/>
                <w:sz w:val="21"/>
              </w:rPr>
            </w:pPr>
          </w:p>
          <w:p w14:paraId="25BED2BB">
            <w:pPr>
              <w:spacing w:line="258" w:lineRule="auto"/>
              <w:rPr>
                <w:rFonts w:ascii="Arial"/>
                <w:sz w:val="21"/>
              </w:rPr>
            </w:pPr>
          </w:p>
          <w:p w14:paraId="41EFEFA8">
            <w:pPr>
              <w:spacing w:line="258" w:lineRule="auto"/>
              <w:rPr>
                <w:rFonts w:ascii="Arial"/>
                <w:sz w:val="21"/>
              </w:rPr>
            </w:pPr>
          </w:p>
          <w:p w14:paraId="0A78B152">
            <w:pPr>
              <w:spacing w:line="258" w:lineRule="auto"/>
              <w:rPr>
                <w:rFonts w:ascii="Arial"/>
                <w:sz w:val="21"/>
              </w:rPr>
            </w:pPr>
          </w:p>
          <w:p w14:paraId="54F46212">
            <w:pPr>
              <w:spacing w:line="258" w:lineRule="auto"/>
              <w:rPr>
                <w:rFonts w:ascii="Arial"/>
                <w:sz w:val="21"/>
              </w:rPr>
            </w:pPr>
          </w:p>
          <w:p w14:paraId="74AFA2C8">
            <w:pPr>
              <w:spacing w:line="258" w:lineRule="auto"/>
              <w:rPr>
                <w:rFonts w:ascii="Arial"/>
                <w:sz w:val="21"/>
              </w:rPr>
            </w:pPr>
          </w:p>
          <w:p w14:paraId="0D3280C9">
            <w:pPr>
              <w:spacing w:line="258" w:lineRule="auto"/>
              <w:rPr>
                <w:rFonts w:ascii="Arial"/>
                <w:sz w:val="21"/>
              </w:rPr>
            </w:pPr>
          </w:p>
          <w:p w14:paraId="2612A289">
            <w:pPr>
              <w:pStyle w:val="7"/>
              <w:spacing w:before="78" w:line="218" w:lineRule="auto"/>
              <w:ind w:left="312"/>
            </w:pPr>
            <w:r>
              <w:rPr>
                <w:spacing w:val="-15"/>
              </w:rPr>
              <w:t>模板工程</w:t>
            </w:r>
          </w:p>
        </w:tc>
        <w:tc>
          <w:tcPr>
            <w:tcW w:w="8210" w:type="dxa"/>
            <w:tcBorders>
              <w:right w:val="single" w:color="000000" w:sz="4" w:space="0"/>
            </w:tcBorders>
            <w:vAlign w:val="top"/>
          </w:tcPr>
          <w:p w14:paraId="39115897">
            <w:pPr>
              <w:pStyle w:val="7"/>
              <w:spacing w:before="98" w:line="217" w:lineRule="auto"/>
              <w:ind w:left="66"/>
            </w:pPr>
            <w:r>
              <w:rPr>
                <w:spacing w:val="-22"/>
              </w:rPr>
              <w:t>模板堆放区的地面应进行混凝土硬化。模板底部垫好100×100mm方木，严禁模板直接</w:t>
            </w:r>
          </w:p>
          <w:p w14:paraId="4D9570DA">
            <w:pPr>
              <w:pStyle w:val="7"/>
              <w:spacing w:before="186" w:line="219" w:lineRule="auto"/>
              <w:ind w:left="3463"/>
            </w:pPr>
            <w:r>
              <w:rPr>
                <w:spacing w:val="-23"/>
              </w:rPr>
              <w:t>与地面接触。</w:t>
            </w:r>
          </w:p>
        </w:tc>
      </w:tr>
      <w:tr w14:paraId="394AFA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18" w:hRule="atLeast"/>
        </w:trPr>
        <w:tc>
          <w:tcPr>
            <w:tcW w:w="1463" w:type="dxa"/>
            <w:vMerge w:val="continue"/>
            <w:tcBorders>
              <w:top w:val="nil"/>
              <w:left w:val="single" w:color="000000" w:sz="4" w:space="0"/>
              <w:bottom w:val="nil"/>
            </w:tcBorders>
            <w:vAlign w:val="top"/>
          </w:tcPr>
          <w:p w14:paraId="54997E09">
            <w:pPr>
              <w:rPr>
                <w:rFonts w:ascii="Arial"/>
                <w:sz w:val="21"/>
              </w:rPr>
            </w:pPr>
          </w:p>
        </w:tc>
        <w:tc>
          <w:tcPr>
            <w:tcW w:w="8210" w:type="dxa"/>
            <w:tcBorders>
              <w:right w:val="single" w:color="000000" w:sz="4" w:space="0"/>
            </w:tcBorders>
            <w:vAlign w:val="top"/>
          </w:tcPr>
          <w:p w14:paraId="11F92370">
            <w:pPr>
              <w:pStyle w:val="7"/>
              <w:spacing w:before="100" w:line="216" w:lineRule="auto"/>
              <w:jc w:val="right"/>
            </w:pPr>
            <w:r>
              <w:rPr>
                <w:spacing w:val="-26"/>
              </w:rPr>
              <w:t>雨天模板刷完隔离剂后未拼装的，边刷边及时用塑料布加以覆盖，模板进入施工部位，</w:t>
            </w:r>
          </w:p>
          <w:p w14:paraId="1135100D">
            <w:pPr>
              <w:pStyle w:val="7"/>
              <w:spacing w:before="187" w:line="216" w:lineRule="auto"/>
              <w:ind w:left="75"/>
            </w:pPr>
            <w:r>
              <w:rPr>
                <w:spacing w:val="-21"/>
              </w:rPr>
              <w:t>但未浇筑混凝土的，根据天气预报，下雨前用塑料布将模</w:t>
            </w:r>
            <w:r>
              <w:rPr>
                <w:spacing w:val="-22"/>
              </w:rPr>
              <w:t>板上口加以覆盖，防止隔离</w:t>
            </w:r>
          </w:p>
          <w:p w14:paraId="0A39972F">
            <w:pPr>
              <w:pStyle w:val="7"/>
              <w:spacing w:before="185" w:line="218" w:lineRule="auto"/>
              <w:ind w:left="2580"/>
            </w:pPr>
            <w:r>
              <w:rPr>
                <w:spacing w:val="-20"/>
              </w:rPr>
              <w:t>剂被雨水冲掉及墙内钢筋锈蚀。</w:t>
            </w:r>
          </w:p>
        </w:tc>
      </w:tr>
      <w:tr w14:paraId="09E125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53" w:hRule="atLeast"/>
        </w:trPr>
        <w:tc>
          <w:tcPr>
            <w:tcW w:w="1463" w:type="dxa"/>
            <w:vMerge w:val="continue"/>
            <w:tcBorders>
              <w:top w:val="nil"/>
              <w:left w:val="single" w:color="000000" w:sz="4" w:space="0"/>
              <w:bottom w:val="nil"/>
            </w:tcBorders>
            <w:vAlign w:val="top"/>
          </w:tcPr>
          <w:p w14:paraId="48AAE555">
            <w:pPr>
              <w:rPr>
                <w:rFonts w:ascii="Arial"/>
                <w:sz w:val="21"/>
              </w:rPr>
            </w:pPr>
          </w:p>
        </w:tc>
        <w:tc>
          <w:tcPr>
            <w:tcW w:w="8210" w:type="dxa"/>
            <w:tcBorders>
              <w:right w:val="single" w:color="000000" w:sz="4" w:space="0"/>
            </w:tcBorders>
            <w:vAlign w:val="top"/>
          </w:tcPr>
          <w:p w14:paraId="09EF9DD4">
            <w:pPr>
              <w:pStyle w:val="7"/>
              <w:spacing w:before="101" w:line="215" w:lineRule="auto"/>
              <w:ind w:left="74"/>
            </w:pPr>
            <w:r>
              <w:rPr>
                <w:spacing w:val="-21"/>
              </w:rPr>
              <w:t>雨后墙体模板预检时，检查模内是否存有积水，如有积水应及时</w:t>
            </w:r>
            <w:r>
              <w:rPr>
                <w:spacing w:val="-22"/>
              </w:rPr>
              <w:t>清除，如遇雨天合墙</w:t>
            </w:r>
          </w:p>
          <w:p w14:paraId="5878246C">
            <w:pPr>
              <w:pStyle w:val="7"/>
              <w:spacing w:before="188" w:line="215" w:lineRule="auto"/>
              <w:ind w:left="1384"/>
            </w:pPr>
            <w:r>
              <w:rPr>
                <w:spacing w:val="-21"/>
              </w:rPr>
              <w:t>体模板，则在模板下口留设出水口，混凝土浇筑前封闭。</w:t>
            </w:r>
          </w:p>
        </w:tc>
      </w:tr>
      <w:tr w14:paraId="6317F6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53" w:hRule="atLeast"/>
        </w:trPr>
        <w:tc>
          <w:tcPr>
            <w:tcW w:w="1463" w:type="dxa"/>
            <w:vMerge w:val="continue"/>
            <w:tcBorders>
              <w:top w:val="nil"/>
              <w:left w:val="single" w:color="000000" w:sz="4" w:space="0"/>
              <w:bottom w:val="single" w:color="000000" w:sz="4" w:space="0"/>
            </w:tcBorders>
            <w:vAlign w:val="top"/>
          </w:tcPr>
          <w:p w14:paraId="5E79DF2A">
            <w:pPr>
              <w:rPr>
                <w:rFonts w:ascii="Arial"/>
                <w:sz w:val="21"/>
              </w:rPr>
            </w:pPr>
          </w:p>
        </w:tc>
        <w:tc>
          <w:tcPr>
            <w:tcW w:w="8210" w:type="dxa"/>
            <w:tcBorders>
              <w:bottom w:val="single" w:color="000000" w:sz="4" w:space="0"/>
              <w:right w:val="single" w:color="000000" w:sz="4" w:space="0"/>
            </w:tcBorders>
            <w:vAlign w:val="top"/>
          </w:tcPr>
          <w:p w14:paraId="24DF2C74">
            <w:pPr>
              <w:pStyle w:val="7"/>
              <w:spacing w:before="101" w:line="216" w:lineRule="auto"/>
              <w:ind w:left="80"/>
            </w:pPr>
            <w:r>
              <w:rPr>
                <w:spacing w:val="-21"/>
              </w:rPr>
              <w:t>方木、模板露天堆放时，选择地势较高地方，下</w:t>
            </w:r>
            <w:r>
              <w:rPr>
                <w:spacing w:val="-22"/>
              </w:rPr>
              <w:t>部用方木垫平码放整齐。如遇下雨，</w:t>
            </w:r>
          </w:p>
          <w:p w14:paraId="1B241320">
            <w:pPr>
              <w:pStyle w:val="7"/>
              <w:spacing w:before="187" w:line="216" w:lineRule="auto"/>
              <w:ind w:left="2256"/>
            </w:pPr>
            <w:r>
              <w:rPr>
                <w:spacing w:val="-21"/>
              </w:rPr>
              <w:t>上面覆盖塑料布，防止雨淋受潮变形。</w:t>
            </w:r>
          </w:p>
        </w:tc>
      </w:tr>
      <w:tr w14:paraId="144149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48" w:hRule="atLeast"/>
        </w:trPr>
        <w:tc>
          <w:tcPr>
            <w:tcW w:w="1463" w:type="dxa"/>
            <w:vMerge w:val="restart"/>
            <w:tcBorders>
              <w:top w:val="single" w:color="000000" w:sz="4" w:space="0"/>
              <w:left w:val="single" w:color="000000" w:sz="4" w:space="0"/>
              <w:bottom w:val="nil"/>
            </w:tcBorders>
            <w:vAlign w:val="top"/>
          </w:tcPr>
          <w:p w14:paraId="6DBB70FF">
            <w:pPr>
              <w:spacing w:line="258" w:lineRule="auto"/>
              <w:rPr>
                <w:rFonts w:ascii="Arial"/>
                <w:sz w:val="21"/>
              </w:rPr>
            </w:pPr>
          </w:p>
          <w:p w14:paraId="59D6DF05">
            <w:pPr>
              <w:spacing w:line="258" w:lineRule="auto"/>
              <w:rPr>
                <w:rFonts w:ascii="Arial"/>
                <w:sz w:val="21"/>
              </w:rPr>
            </w:pPr>
          </w:p>
          <w:p w14:paraId="6DFDF2B0">
            <w:pPr>
              <w:spacing w:line="259" w:lineRule="auto"/>
              <w:rPr>
                <w:rFonts w:ascii="Arial"/>
                <w:sz w:val="21"/>
              </w:rPr>
            </w:pPr>
          </w:p>
          <w:p w14:paraId="273AA7BB">
            <w:pPr>
              <w:pStyle w:val="7"/>
              <w:spacing w:before="78" w:line="219" w:lineRule="auto"/>
              <w:ind w:left="312"/>
            </w:pPr>
            <w:r>
              <w:rPr>
                <w:spacing w:val="-15"/>
              </w:rPr>
              <w:t>砌筑工程</w:t>
            </w:r>
          </w:p>
        </w:tc>
        <w:tc>
          <w:tcPr>
            <w:tcW w:w="8210" w:type="dxa"/>
            <w:tcBorders>
              <w:top w:val="single" w:color="000000" w:sz="4" w:space="0"/>
              <w:right w:val="single" w:color="000000" w:sz="4" w:space="0"/>
            </w:tcBorders>
            <w:vAlign w:val="top"/>
          </w:tcPr>
          <w:p w14:paraId="0EF5101B">
            <w:pPr>
              <w:pStyle w:val="7"/>
              <w:spacing w:before="97" w:line="216" w:lineRule="auto"/>
              <w:ind w:left="79"/>
            </w:pPr>
            <w:r>
              <w:rPr>
                <w:spacing w:val="-21"/>
              </w:rPr>
              <w:t>下雨时要将砌块用塑料布覆盖，防止砌块被雨水淋得</w:t>
            </w:r>
            <w:r>
              <w:rPr>
                <w:spacing w:val="-22"/>
              </w:rPr>
              <w:t>太湿或被雨水浸泡，含水量较多</w:t>
            </w:r>
          </w:p>
          <w:p w14:paraId="22B4DC2F">
            <w:pPr>
              <w:pStyle w:val="7"/>
              <w:spacing w:before="185" w:line="217" w:lineRule="auto"/>
              <w:ind w:left="2813"/>
            </w:pPr>
            <w:r>
              <w:rPr>
                <w:spacing w:val="-23"/>
              </w:rPr>
              <w:t>的砌块要晾干后才能使用。</w:t>
            </w:r>
          </w:p>
        </w:tc>
      </w:tr>
      <w:tr w14:paraId="623555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50" w:hRule="atLeast"/>
        </w:trPr>
        <w:tc>
          <w:tcPr>
            <w:tcW w:w="1463" w:type="dxa"/>
            <w:vMerge w:val="continue"/>
            <w:tcBorders>
              <w:top w:val="nil"/>
              <w:left w:val="single" w:color="000000" w:sz="4" w:space="0"/>
            </w:tcBorders>
            <w:vAlign w:val="top"/>
          </w:tcPr>
          <w:p w14:paraId="61701BF5">
            <w:pPr>
              <w:rPr>
                <w:rFonts w:ascii="Arial"/>
                <w:sz w:val="21"/>
              </w:rPr>
            </w:pPr>
          </w:p>
        </w:tc>
        <w:tc>
          <w:tcPr>
            <w:tcW w:w="8210" w:type="dxa"/>
            <w:tcBorders>
              <w:right w:val="single" w:color="000000" w:sz="4" w:space="0"/>
            </w:tcBorders>
            <w:vAlign w:val="top"/>
          </w:tcPr>
          <w:p w14:paraId="7834DCC7">
            <w:pPr>
              <w:pStyle w:val="7"/>
              <w:spacing w:before="102" w:line="216" w:lineRule="auto"/>
              <w:ind w:left="73"/>
            </w:pPr>
            <w:r>
              <w:rPr>
                <w:spacing w:val="-21"/>
              </w:rPr>
              <w:t>砌筑时如果出现浆水顺墙面流淌，说明砌块的含水率达到饱和，</w:t>
            </w:r>
            <w:r>
              <w:rPr>
                <w:spacing w:val="-22"/>
              </w:rPr>
              <w:t>则应选择干砖和湿砖</w:t>
            </w:r>
          </w:p>
          <w:p w14:paraId="721F4425">
            <w:pPr>
              <w:pStyle w:val="7"/>
              <w:spacing w:before="185" w:line="217" w:lineRule="auto"/>
              <w:ind w:left="2365"/>
            </w:pPr>
            <w:r>
              <w:rPr>
                <w:spacing w:val="-21"/>
              </w:rPr>
              <w:t>搭配砌筑，或使用稠度较小的砂浆。</w:t>
            </w:r>
          </w:p>
        </w:tc>
      </w:tr>
      <w:tr w14:paraId="11263E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6" w:hRule="atLeast"/>
        </w:trPr>
        <w:tc>
          <w:tcPr>
            <w:tcW w:w="1463" w:type="dxa"/>
            <w:tcBorders>
              <w:left w:val="single" w:color="1C456A" w:sz="4" w:space="0"/>
              <w:bottom w:val="single" w:color="1C456A" w:sz="4" w:space="0"/>
            </w:tcBorders>
            <w:vAlign w:val="top"/>
          </w:tcPr>
          <w:p w14:paraId="3B4D0380">
            <w:pPr>
              <w:pStyle w:val="7"/>
              <w:spacing w:before="103" w:line="216" w:lineRule="auto"/>
              <w:ind w:left="204"/>
            </w:pPr>
            <w:r>
              <w:pict>
                <v:shape id="_x0000_s4002" o:spid="_x0000_s4002" style="position:absolute;left:0pt;margin-left:-0.2pt;margin-top:31.35pt;height:0.75pt;width:2.2pt;mso-position-horizontal-relative:page;mso-position-vertical-relative:page;z-index:252331008;mso-width-relative:page;mso-height-relative:page;" fillcolor="#5B9BD5" filled="t" stroked="f" coordsize="44,15" path="m0,14l43,14,43,0,0,0,0,14xe">
                  <v:path/>
                  <v:fill on="t" focussize="0,0"/>
                  <v:stroke on="f"/>
                  <v:imagedata o:title=""/>
                  <o:lock v:ext="edit"/>
                </v:shape>
              </w:pict>
            </w:r>
            <w:r>
              <w:rPr>
                <w:spacing w:val="-17"/>
              </w:rPr>
              <w:t>脚手架工程</w:t>
            </w:r>
          </w:p>
        </w:tc>
        <w:tc>
          <w:tcPr>
            <w:tcW w:w="8210" w:type="dxa"/>
            <w:tcBorders>
              <w:bottom w:val="single" w:color="5B9BD5" w:sz="4" w:space="0"/>
              <w:right w:val="single" w:color="5B9BD5" w:sz="4" w:space="0"/>
            </w:tcBorders>
            <w:vAlign w:val="top"/>
          </w:tcPr>
          <w:p w14:paraId="56A2E837">
            <w:pPr>
              <w:pStyle w:val="7"/>
              <w:spacing w:before="103" w:line="216" w:lineRule="auto"/>
              <w:ind w:left="74"/>
            </w:pPr>
            <w:r>
              <w:pict>
                <v:shape id="_x0000_s4003" o:spid="_x0000_s4003" style="position:absolute;left:0pt;margin-left:408.65pt;margin-top:31.35pt;height:0.75pt;width:2.2pt;mso-position-horizontal-relative:page;mso-position-vertical-relative:page;z-index:252329984;mso-width-relative:page;mso-height-relative:page;" fillcolor="#5B9BD5" filled="t" stroked="f" coordsize="44,15" path="m0,14l43,14,43,0,0,0,0,14xe">
                  <v:path/>
                  <v:fill on="t" focussize="0,0"/>
                  <v:stroke on="f"/>
                  <v:imagedata o:title=""/>
                  <o:lock v:ext="edit"/>
                </v:shape>
              </w:pict>
            </w:r>
            <w:r>
              <w:rPr>
                <w:spacing w:val="-21"/>
              </w:rPr>
              <w:t>雨天停止脚手架的搭设施工，雨季施工期间要特别注意架子搭</w:t>
            </w:r>
            <w:r>
              <w:rPr>
                <w:spacing w:val="-22"/>
              </w:rPr>
              <w:t>设的质量和安全要求，</w:t>
            </w:r>
          </w:p>
        </w:tc>
      </w:tr>
    </w:tbl>
    <w:p w14:paraId="12E4944A">
      <w:pPr>
        <w:rPr>
          <w:rFonts w:ascii="Arial"/>
          <w:sz w:val="21"/>
        </w:rPr>
      </w:pPr>
    </w:p>
    <w:p w14:paraId="47388880">
      <w:pPr>
        <w:rPr>
          <w:rFonts w:ascii="Arial" w:hAnsi="Arial" w:eastAsia="Arial" w:cs="Arial"/>
          <w:sz w:val="21"/>
          <w:szCs w:val="21"/>
        </w:rPr>
        <w:sectPr>
          <w:footerReference r:id="rId375" w:type="default"/>
          <w:pgSz w:w="11907" w:h="16839"/>
          <w:pgMar w:top="933" w:right="4" w:bottom="1038" w:left="0" w:header="478" w:footer="357" w:gutter="0"/>
          <w:pgBorders>
            <w:top w:val="none" w:sz="0" w:space="0"/>
            <w:left w:val="none" w:sz="0" w:space="0"/>
            <w:bottom w:val="none" w:sz="0" w:space="0"/>
            <w:right w:val="none" w:sz="0" w:space="0"/>
          </w:pgBorders>
          <w:cols w:space="720" w:num="1"/>
        </w:sectPr>
      </w:pPr>
    </w:p>
    <w:p w14:paraId="360BD3E9">
      <w:pPr>
        <w:spacing w:line="235" w:lineRule="exact"/>
      </w:pPr>
    </w:p>
    <w:tbl>
      <w:tblPr>
        <w:tblStyle w:val="6"/>
        <w:tblW w:w="9673" w:type="dxa"/>
        <w:tblInd w:w="1116"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463"/>
        <w:gridCol w:w="8210"/>
      </w:tblGrid>
      <w:tr w14:paraId="0F5BE1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1089" w:hRule="atLeast"/>
        </w:trPr>
        <w:tc>
          <w:tcPr>
            <w:tcW w:w="1463" w:type="dxa"/>
            <w:tcBorders>
              <w:top w:val="single" w:color="000000" w:sz="4" w:space="0"/>
              <w:left w:val="single" w:color="000000" w:sz="4" w:space="0"/>
            </w:tcBorders>
            <w:vAlign w:val="top"/>
          </w:tcPr>
          <w:p w14:paraId="1C21B868">
            <w:pPr>
              <w:rPr>
                <w:rFonts w:ascii="Arial"/>
                <w:sz w:val="21"/>
              </w:rPr>
            </w:pPr>
          </w:p>
        </w:tc>
        <w:tc>
          <w:tcPr>
            <w:tcW w:w="8210" w:type="dxa"/>
            <w:tcBorders>
              <w:top w:val="single" w:color="5B9BD5" w:sz="4" w:space="0"/>
              <w:right w:val="single" w:color="5B9BD5" w:sz="4" w:space="0"/>
            </w:tcBorders>
            <w:vAlign w:val="top"/>
          </w:tcPr>
          <w:p w14:paraId="2A48E4D4">
            <w:pPr>
              <w:pStyle w:val="7"/>
              <w:spacing w:before="129" w:line="216" w:lineRule="auto"/>
              <w:ind w:left="74"/>
            </w:pPr>
            <w:r>
              <w:rPr>
                <w:spacing w:val="-21"/>
              </w:rPr>
              <w:t>应经常经常进行检查，发现问题及时整改。暴雨后</w:t>
            </w:r>
            <w:r>
              <w:rPr>
                <w:spacing w:val="-22"/>
              </w:rPr>
              <w:t>要及时检查脚手架的安全情况，如</w:t>
            </w:r>
          </w:p>
          <w:p w14:paraId="4304BAFE">
            <w:pPr>
              <w:pStyle w:val="7"/>
              <w:spacing w:before="185" w:line="217" w:lineRule="auto"/>
              <w:ind w:left="3122"/>
            </w:pPr>
            <w:r>
              <w:rPr>
                <w:spacing w:val="-19"/>
              </w:rPr>
              <w:t>有问题，及时纠正。</w:t>
            </w:r>
          </w:p>
        </w:tc>
      </w:tr>
      <w:tr w14:paraId="219D62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18" w:hRule="atLeast"/>
        </w:trPr>
        <w:tc>
          <w:tcPr>
            <w:tcW w:w="1463" w:type="dxa"/>
            <w:tcBorders>
              <w:left w:val="single" w:color="000000" w:sz="4" w:space="0"/>
            </w:tcBorders>
            <w:vAlign w:val="top"/>
          </w:tcPr>
          <w:p w14:paraId="2BAAAA09">
            <w:pPr>
              <w:spacing w:line="478" w:lineRule="auto"/>
              <w:rPr>
                <w:rFonts w:ascii="Arial"/>
                <w:sz w:val="21"/>
              </w:rPr>
            </w:pPr>
          </w:p>
          <w:p w14:paraId="0912AD5B">
            <w:pPr>
              <w:pStyle w:val="7"/>
              <w:spacing w:before="78" w:line="219" w:lineRule="auto"/>
              <w:ind w:left="326"/>
            </w:pPr>
            <w:r>
              <w:rPr>
                <w:spacing w:val="-19"/>
              </w:rPr>
              <w:t>管道工程</w:t>
            </w:r>
          </w:p>
        </w:tc>
        <w:tc>
          <w:tcPr>
            <w:tcW w:w="8210" w:type="dxa"/>
            <w:tcBorders>
              <w:right w:val="single" w:color="000000" w:sz="4" w:space="0"/>
            </w:tcBorders>
            <w:vAlign w:val="top"/>
          </w:tcPr>
          <w:p w14:paraId="2C8B2003">
            <w:pPr>
              <w:pStyle w:val="7"/>
              <w:spacing w:before="92" w:line="215" w:lineRule="auto"/>
              <w:ind w:left="77"/>
            </w:pPr>
            <w:r>
              <w:rPr>
                <w:spacing w:val="-21"/>
              </w:rPr>
              <w:t>及时掌握天气情况，注意屋面材料的存放防潮，严禁在雨</w:t>
            </w:r>
            <w:r>
              <w:rPr>
                <w:spacing w:val="-22"/>
              </w:rPr>
              <w:t>中进行防水作业，同时注意</w:t>
            </w:r>
          </w:p>
          <w:p w14:paraId="41FC8ACA">
            <w:pPr>
              <w:pStyle w:val="7"/>
              <w:spacing w:before="187" w:line="217" w:lineRule="auto"/>
              <w:ind w:left="74"/>
            </w:pPr>
            <w:r>
              <w:rPr>
                <w:spacing w:val="-21"/>
              </w:rPr>
              <w:t>流水段的划分，分小段，多流水，保证突然降雨有准备时间。</w:t>
            </w:r>
            <w:r>
              <w:rPr>
                <w:spacing w:val="-22"/>
              </w:rPr>
              <w:t>屋面及时安装雨落管，</w:t>
            </w:r>
          </w:p>
          <w:p w14:paraId="0047F996">
            <w:pPr>
              <w:pStyle w:val="7"/>
              <w:spacing w:before="185" w:line="217" w:lineRule="auto"/>
              <w:ind w:left="402"/>
            </w:pPr>
            <w:r>
              <w:rPr>
                <w:spacing w:val="-21"/>
              </w:rPr>
              <w:t>预防雨水对外立面的冲刷。按规定进行防水施工，防水</w:t>
            </w:r>
            <w:r>
              <w:rPr>
                <w:spacing w:val="-22"/>
              </w:rPr>
              <w:t>基层严格控制含水率。</w:t>
            </w:r>
          </w:p>
        </w:tc>
      </w:tr>
      <w:tr w14:paraId="26416C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18" w:hRule="atLeast"/>
        </w:trPr>
        <w:tc>
          <w:tcPr>
            <w:tcW w:w="1463" w:type="dxa"/>
            <w:vMerge w:val="restart"/>
            <w:tcBorders>
              <w:left w:val="single" w:color="000000" w:sz="4" w:space="0"/>
              <w:bottom w:val="nil"/>
            </w:tcBorders>
            <w:vAlign w:val="top"/>
          </w:tcPr>
          <w:p w14:paraId="3E6704FC">
            <w:pPr>
              <w:spacing w:line="258" w:lineRule="auto"/>
              <w:rPr>
                <w:rFonts w:ascii="Arial"/>
                <w:sz w:val="21"/>
              </w:rPr>
            </w:pPr>
          </w:p>
          <w:p w14:paraId="25E5713E">
            <w:pPr>
              <w:spacing w:line="258" w:lineRule="auto"/>
              <w:rPr>
                <w:rFonts w:ascii="Arial"/>
                <w:sz w:val="21"/>
              </w:rPr>
            </w:pPr>
          </w:p>
          <w:p w14:paraId="4D61BFF3">
            <w:pPr>
              <w:spacing w:line="258" w:lineRule="auto"/>
              <w:rPr>
                <w:rFonts w:ascii="Arial"/>
                <w:sz w:val="21"/>
              </w:rPr>
            </w:pPr>
          </w:p>
          <w:p w14:paraId="5BD7CCC3">
            <w:pPr>
              <w:spacing w:line="258" w:lineRule="auto"/>
              <w:rPr>
                <w:rFonts w:ascii="Arial"/>
                <w:sz w:val="21"/>
              </w:rPr>
            </w:pPr>
          </w:p>
          <w:p w14:paraId="13B76267">
            <w:pPr>
              <w:spacing w:line="258" w:lineRule="auto"/>
              <w:rPr>
                <w:rFonts w:ascii="Arial"/>
                <w:sz w:val="21"/>
              </w:rPr>
            </w:pPr>
          </w:p>
          <w:p w14:paraId="2F2F60BF">
            <w:pPr>
              <w:spacing w:line="258" w:lineRule="auto"/>
              <w:rPr>
                <w:rFonts w:ascii="Arial"/>
                <w:sz w:val="21"/>
              </w:rPr>
            </w:pPr>
          </w:p>
          <w:p w14:paraId="53D073A6">
            <w:pPr>
              <w:spacing w:line="259" w:lineRule="auto"/>
              <w:rPr>
                <w:rFonts w:ascii="Arial"/>
                <w:sz w:val="21"/>
              </w:rPr>
            </w:pPr>
          </w:p>
          <w:p w14:paraId="1EEB642C">
            <w:pPr>
              <w:spacing w:line="259" w:lineRule="auto"/>
              <w:rPr>
                <w:rFonts w:ascii="Arial"/>
                <w:sz w:val="21"/>
              </w:rPr>
            </w:pPr>
          </w:p>
          <w:p w14:paraId="467D94E3">
            <w:pPr>
              <w:spacing w:line="259" w:lineRule="auto"/>
              <w:rPr>
                <w:rFonts w:ascii="Arial"/>
                <w:sz w:val="21"/>
              </w:rPr>
            </w:pPr>
          </w:p>
          <w:p w14:paraId="0C52EC45">
            <w:pPr>
              <w:spacing w:line="259" w:lineRule="auto"/>
              <w:rPr>
                <w:rFonts w:ascii="Arial"/>
                <w:sz w:val="21"/>
              </w:rPr>
            </w:pPr>
          </w:p>
          <w:p w14:paraId="049D0AAA">
            <w:pPr>
              <w:pStyle w:val="7"/>
              <w:spacing w:before="78" w:line="219" w:lineRule="auto"/>
              <w:ind w:left="314"/>
            </w:pPr>
            <w:r>
              <w:rPr>
                <w:spacing w:val="-15"/>
              </w:rPr>
              <w:t>道路工程</w:t>
            </w:r>
          </w:p>
        </w:tc>
        <w:tc>
          <w:tcPr>
            <w:tcW w:w="8210" w:type="dxa"/>
            <w:tcBorders>
              <w:right w:val="single" w:color="000000" w:sz="4" w:space="0"/>
            </w:tcBorders>
            <w:vAlign w:val="top"/>
          </w:tcPr>
          <w:p w14:paraId="0914C788">
            <w:pPr>
              <w:pStyle w:val="7"/>
              <w:spacing w:before="95" w:line="215" w:lineRule="auto"/>
              <w:ind w:left="1164"/>
            </w:pPr>
            <w:r>
              <w:rPr>
                <w:spacing w:val="-21"/>
              </w:rPr>
              <w:t>低温施工的路堤必须在冻结前处理完毕，处理方法除满足路基</w:t>
            </w:r>
          </w:p>
          <w:p w14:paraId="00B5CC3D">
            <w:pPr>
              <w:pStyle w:val="7"/>
              <w:spacing w:before="185" w:line="218" w:lineRule="auto"/>
              <w:ind w:left="841"/>
            </w:pPr>
            <w:r>
              <w:rPr>
                <w:spacing w:val="-21"/>
              </w:rPr>
              <w:t>一般施工规定外，还要清理干净冰雪、疏干积水、坑洼</w:t>
            </w:r>
            <w:r>
              <w:rPr>
                <w:spacing w:val="-22"/>
              </w:rPr>
              <w:t>处用与地基同</w:t>
            </w:r>
          </w:p>
          <w:p w14:paraId="7B1ED615">
            <w:pPr>
              <w:pStyle w:val="7"/>
              <w:spacing w:before="184" w:line="218" w:lineRule="auto"/>
              <w:ind w:left="1278"/>
            </w:pPr>
            <w:r>
              <w:rPr>
                <w:spacing w:val="-21"/>
              </w:rPr>
              <w:t>类型的未冻土填平压实。处理好的地基随即覆盖以防冻</w:t>
            </w:r>
            <w:r>
              <w:rPr>
                <w:spacing w:val="-22"/>
              </w:rPr>
              <w:t>结。</w:t>
            </w:r>
          </w:p>
        </w:tc>
      </w:tr>
      <w:tr w14:paraId="5841B8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5" w:hRule="atLeast"/>
        </w:trPr>
        <w:tc>
          <w:tcPr>
            <w:tcW w:w="1463" w:type="dxa"/>
            <w:vMerge w:val="continue"/>
            <w:tcBorders>
              <w:top w:val="nil"/>
              <w:left w:val="single" w:color="000000" w:sz="4" w:space="0"/>
              <w:bottom w:val="nil"/>
            </w:tcBorders>
            <w:vAlign w:val="top"/>
          </w:tcPr>
          <w:p w14:paraId="2A2121C5">
            <w:pPr>
              <w:rPr>
                <w:rFonts w:ascii="Arial"/>
                <w:sz w:val="21"/>
              </w:rPr>
            </w:pPr>
          </w:p>
        </w:tc>
        <w:tc>
          <w:tcPr>
            <w:tcW w:w="8210" w:type="dxa"/>
            <w:tcBorders>
              <w:right w:val="single" w:color="000000" w:sz="4" w:space="0"/>
            </w:tcBorders>
            <w:vAlign w:val="top"/>
          </w:tcPr>
          <w:p w14:paraId="04D533FB">
            <w:pPr>
              <w:pStyle w:val="7"/>
              <w:spacing w:before="96" w:line="216" w:lineRule="auto"/>
              <w:ind w:left="1603"/>
            </w:pPr>
            <w:r>
              <w:rPr>
                <w:spacing w:val="-19"/>
              </w:rPr>
              <w:t>填料要求：低温填筑路堤用料，一般采用A类填料。</w:t>
            </w:r>
          </w:p>
        </w:tc>
      </w:tr>
      <w:tr w14:paraId="61773E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86" w:hRule="atLeast"/>
        </w:trPr>
        <w:tc>
          <w:tcPr>
            <w:tcW w:w="1463" w:type="dxa"/>
            <w:vMerge w:val="continue"/>
            <w:tcBorders>
              <w:top w:val="nil"/>
              <w:left w:val="single" w:color="000000" w:sz="4" w:space="0"/>
              <w:bottom w:val="nil"/>
            </w:tcBorders>
            <w:vAlign w:val="top"/>
          </w:tcPr>
          <w:p w14:paraId="48137B52">
            <w:pPr>
              <w:rPr>
                <w:rFonts w:ascii="Arial"/>
                <w:sz w:val="21"/>
              </w:rPr>
            </w:pPr>
          </w:p>
        </w:tc>
        <w:tc>
          <w:tcPr>
            <w:tcW w:w="8210" w:type="dxa"/>
            <w:tcBorders>
              <w:right w:val="single" w:color="000000" w:sz="4" w:space="0"/>
            </w:tcBorders>
            <w:vAlign w:val="top"/>
          </w:tcPr>
          <w:p w14:paraId="57A11B31">
            <w:pPr>
              <w:pStyle w:val="7"/>
              <w:spacing w:before="96" w:line="217" w:lineRule="auto"/>
              <w:ind w:left="1166"/>
            </w:pPr>
            <w:r>
              <w:rPr>
                <w:spacing w:val="-21"/>
              </w:rPr>
              <w:t>填筑压实：填土厚度；冬季路基施工按横断面全宽分</w:t>
            </w:r>
            <w:r>
              <w:rPr>
                <w:spacing w:val="-22"/>
              </w:rPr>
              <w:t>层平铺，</w:t>
            </w:r>
          </w:p>
          <w:p w14:paraId="1DC59EE9">
            <w:pPr>
              <w:pStyle w:val="7"/>
              <w:spacing w:before="186" w:line="216" w:lineRule="auto"/>
              <w:ind w:left="975"/>
            </w:pPr>
            <w:r>
              <w:rPr>
                <w:spacing w:val="-18"/>
              </w:rPr>
              <w:t>分层填筑厚度按正常温度施工的厚度减薄20—25%，并不得铺成斜</w:t>
            </w:r>
          </w:p>
          <w:p w14:paraId="1B3B773A">
            <w:pPr>
              <w:pStyle w:val="7"/>
              <w:spacing w:before="184" w:line="217" w:lineRule="auto"/>
              <w:ind w:left="921"/>
            </w:pPr>
            <w:r>
              <w:rPr>
                <w:spacing w:val="-18"/>
              </w:rPr>
              <w:t>层，已铺土层未压实前不中断施工；路堤填筑每侧超宽填1</w:t>
            </w:r>
            <w:r>
              <w:rPr>
                <w:spacing w:val="-19"/>
              </w:rPr>
              <w:t>0—50cm</w:t>
            </w:r>
          </w:p>
          <w:p w14:paraId="45B3B946">
            <w:pPr>
              <w:pStyle w:val="7"/>
              <w:spacing w:before="186" w:line="216" w:lineRule="auto"/>
              <w:ind w:left="1278"/>
            </w:pPr>
            <w:r>
              <w:rPr>
                <w:spacing w:val="-21"/>
              </w:rPr>
              <w:t>并压实，待冬期过后修整边坡时削去多余部分并夯拍密</w:t>
            </w:r>
            <w:r>
              <w:rPr>
                <w:spacing w:val="-22"/>
              </w:rPr>
              <w:t>实。</w:t>
            </w:r>
          </w:p>
        </w:tc>
      </w:tr>
      <w:tr w14:paraId="514DA5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5" w:hRule="atLeast"/>
        </w:trPr>
        <w:tc>
          <w:tcPr>
            <w:tcW w:w="1463" w:type="dxa"/>
            <w:vMerge w:val="continue"/>
            <w:tcBorders>
              <w:top w:val="nil"/>
              <w:left w:val="single" w:color="000000" w:sz="4" w:space="0"/>
              <w:bottom w:val="nil"/>
            </w:tcBorders>
            <w:vAlign w:val="top"/>
          </w:tcPr>
          <w:p w14:paraId="79E41D4D">
            <w:pPr>
              <w:rPr>
                <w:rFonts w:ascii="Arial"/>
                <w:sz w:val="21"/>
              </w:rPr>
            </w:pPr>
          </w:p>
        </w:tc>
        <w:tc>
          <w:tcPr>
            <w:tcW w:w="8210" w:type="dxa"/>
            <w:tcBorders>
              <w:right w:val="single" w:color="000000" w:sz="4" w:space="0"/>
            </w:tcBorders>
            <w:vAlign w:val="top"/>
          </w:tcPr>
          <w:p w14:paraId="7FBE7D37">
            <w:pPr>
              <w:pStyle w:val="7"/>
              <w:spacing w:before="98" w:line="215" w:lineRule="auto"/>
              <w:ind w:left="1385"/>
            </w:pPr>
            <w:r>
              <w:rPr>
                <w:spacing w:val="-21"/>
              </w:rPr>
              <w:t>冬季施工的路基坡面及边坡整修工作在来年解冻后进行。</w:t>
            </w:r>
          </w:p>
        </w:tc>
      </w:tr>
      <w:tr w14:paraId="70802A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53" w:hRule="atLeast"/>
        </w:trPr>
        <w:tc>
          <w:tcPr>
            <w:tcW w:w="1463" w:type="dxa"/>
            <w:vMerge w:val="continue"/>
            <w:tcBorders>
              <w:top w:val="nil"/>
              <w:left w:val="single" w:color="000000" w:sz="4" w:space="0"/>
            </w:tcBorders>
            <w:vAlign w:val="top"/>
          </w:tcPr>
          <w:p w14:paraId="0EDEEF4C">
            <w:pPr>
              <w:rPr>
                <w:rFonts w:ascii="Arial"/>
                <w:sz w:val="21"/>
              </w:rPr>
            </w:pPr>
          </w:p>
        </w:tc>
        <w:tc>
          <w:tcPr>
            <w:tcW w:w="8210" w:type="dxa"/>
            <w:tcBorders>
              <w:right w:val="single" w:color="000000" w:sz="4" w:space="0"/>
            </w:tcBorders>
            <w:vAlign w:val="top"/>
          </w:tcPr>
          <w:p w14:paraId="6933E0F1">
            <w:pPr>
              <w:pStyle w:val="7"/>
              <w:spacing w:before="99" w:line="217" w:lineRule="auto"/>
              <w:ind w:left="1166"/>
            </w:pPr>
            <w:r>
              <w:rPr>
                <w:spacing w:val="-21"/>
              </w:rPr>
              <w:t>填筑路堤要随挖、随运、随填、随压实，已铺土层未</w:t>
            </w:r>
            <w:r>
              <w:rPr>
                <w:spacing w:val="-22"/>
              </w:rPr>
              <w:t>压实前，</w:t>
            </w:r>
          </w:p>
          <w:p w14:paraId="36371BFC">
            <w:pPr>
              <w:pStyle w:val="7"/>
              <w:spacing w:before="186" w:line="214" w:lineRule="auto"/>
              <w:ind w:left="843"/>
            </w:pPr>
            <w:r>
              <w:rPr>
                <w:spacing w:val="-21"/>
              </w:rPr>
              <w:t>不得中断施工。保证挖、运、填、压的周转时间</w:t>
            </w:r>
            <w:r>
              <w:rPr>
                <w:spacing w:val="-22"/>
              </w:rPr>
              <w:t>小于土的冻结时间。</w:t>
            </w:r>
          </w:p>
        </w:tc>
      </w:tr>
      <w:tr w14:paraId="501C73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5" w:hRule="atLeast"/>
        </w:trPr>
        <w:tc>
          <w:tcPr>
            <w:tcW w:w="1463" w:type="dxa"/>
            <w:vMerge w:val="restart"/>
            <w:tcBorders>
              <w:left w:val="single" w:color="000000" w:sz="4" w:space="0"/>
              <w:bottom w:val="nil"/>
            </w:tcBorders>
            <w:vAlign w:val="top"/>
          </w:tcPr>
          <w:p w14:paraId="147D483F">
            <w:pPr>
              <w:spacing w:line="273" w:lineRule="auto"/>
              <w:rPr>
                <w:rFonts w:ascii="Arial"/>
                <w:sz w:val="21"/>
              </w:rPr>
            </w:pPr>
          </w:p>
          <w:p w14:paraId="62242459">
            <w:pPr>
              <w:spacing w:line="273" w:lineRule="auto"/>
              <w:rPr>
                <w:rFonts w:ascii="Arial"/>
                <w:sz w:val="21"/>
              </w:rPr>
            </w:pPr>
          </w:p>
          <w:p w14:paraId="625049AD">
            <w:pPr>
              <w:spacing w:line="273" w:lineRule="auto"/>
              <w:rPr>
                <w:rFonts w:ascii="Arial"/>
                <w:sz w:val="21"/>
              </w:rPr>
            </w:pPr>
          </w:p>
          <w:p w14:paraId="7CECC109">
            <w:pPr>
              <w:spacing w:line="273" w:lineRule="auto"/>
              <w:rPr>
                <w:rFonts w:ascii="Arial"/>
                <w:sz w:val="21"/>
              </w:rPr>
            </w:pPr>
          </w:p>
          <w:p w14:paraId="25C3915F">
            <w:pPr>
              <w:spacing w:line="274" w:lineRule="auto"/>
              <w:rPr>
                <w:rFonts w:ascii="Arial"/>
                <w:sz w:val="21"/>
              </w:rPr>
            </w:pPr>
          </w:p>
          <w:p w14:paraId="0C3D7D25">
            <w:pPr>
              <w:pStyle w:val="7"/>
              <w:spacing w:before="78" w:line="219" w:lineRule="auto"/>
              <w:ind w:left="104"/>
            </w:pPr>
            <w:r>
              <w:rPr>
                <w:spacing w:val="-20"/>
              </w:rPr>
              <w:t>附属安装工程</w:t>
            </w:r>
          </w:p>
        </w:tc>
        <w:tc>
          <w:tcPr>
            <w:tcW w:w="8210" w:type="dxa"/>
            <w:tcBorders>
              <w:right w:val="single" w:color="000000" w:sz="4" w:space="0"/>
            </w:tcBorders>
            <w:vAlign w:val="top"/>
          </w:tcPr>
          <w:p w14:paraId="5F0EA3F6">
            <w:pPr>
              <w:pStyle w:val="7"/>
              <w:spacing w:before="99" w:line="216" w:lineRule="auto"/>
              <w:ind w:left="1056"/>
            </w:pPr>
            <w:r>
              <w:rPr>
                <w:spacing w:val="-21"/>
              </w:rPr>
              <w:t>雨季施工期间需将易受潮的材料堆放至室内或用防雨材料覆盖。</w:t>
            </w:r>
          </w:p>
        </w:tc>
      </w:tr>
      <w:tr w14:paraId="47F0C7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53" w:hRule="atLeast"/>
        </w:trPr>
        <w:tc>
          <w:tcPr>
            <w:tcW w:w="1463" w:type="dxa"/>
            <w:vMerge w:val="continue"/>
            <w:tcBorders>
              <w:top w:val="nil"/>
              <w:left w:val="single" w:color="000000" w:sz="4" w:space="0"/>
              <w:bottom w:val="nil"/>
            </w:tcBorders>
            <w:vAlign w:val="top"/>
          </w:tcPr>
          <w:p w14:paraId="7734BE06">
            <w:pPr>
              <w:rPr>
                <w:rFonts w:ascii="Arial"/>
                <w:sz w:val="21"/>
              </w:rPr>
            </w:pPr>
          </w:p>
        </w:tc>
        <w:tc>
          <w:tcPr>
            <w:tcW w:w="8210" w:type="dxa"/>
            <w:tcBorders>
              <w:right w:val="single" w:color="000000" w:sz="4" w:space="0"/>
            </w:tcBorders>
            <w:vAlign w:val="top"/>
          </w:tcPr>
          <w:p w14:paraId="638A91FA">
            <w:pPr>
              <w:pStyle w:val="7"/>
              <w:spacing w:before="99" w:line="216" w:lineRule="auto"/>
              <w:ind w:left="73"/>
            </w:pPr>
            <w:r>
              <w:rPr>
                <w:spacing w:val="-21"/>
              </w:rPr>
              <w:t>硅酮密封胶、结构胶、粘结剂等材料施工应按照使用要求监测环</w:t>
            </w:r>
            <w:r>
              <w:rPr>
                <w:spacing w:val="-22"/>
              </w:rPr>
              <w:t>境温度和空气相对湿</w:t>
            </w:r>
          </w:p>
          <w:p w14:paraId="12866E93">
            <w:pPr>
              <w:pStyle w:val="7"/>
              <w:spacing w:before="187" w:line="217" w:lineRule="auto"/>
              <w:ind w:left="1275"/>
            </w:pPr>
            <w:r>
              <w:rPr>
                <w:spacing w:val="-21"/>
              </w:rPr>
              <w:t>度，空气相对湿度过高时应考虑合理的工序技术间歇时间。</w:t>
            </w:r>
          </w:p>
        </w:tc>
      </w:tr>
      <w:tr w14:paraId="0B19FE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5" w:hRule="atLeast"/>
        </w:trPr>
        <w:tc>
          <w:tcPr>
            <w:tcW w:w="1463" w:type="dxa"/>
            <w:vMerge w:val="continue"/>
            <w:tcBorders>
              <w:top w:val="nil"/>
              <w:left w:val="single" w:color="000000" w:sz="4" w:space="0"/>
              <w:bottom w:val="nil"/>
            </w:tcBorders>
            <w:vAlign w:val="top"/>
          </w:tcPr>
          <w:p w14:paraId="4F1832C8">
            <w:pPr>
              <w:rPr>
                <w:rFonts w:ascii="Arial"/>
                <w:sz w:val="21"/>
              </w:rPr>
            </w:pPr>
          </w:p>
        </w:tc>
        <w:tc>
          <w:tcPr>
            <w:tcW w:w="8210" w:type="dxa"/>
            <w:tcBorders>
              <w:right w:val="single" w:color="000000" w:sz="4" w:space="0"/>
            </w:tcBorders>
            <w:vAlign w:val="top"/>
          </w:tcPr>
          <w:p w14:paraId="66ECB910">
            <w:pPr>
              <w:pStyle w:val="7"/>
              <w:spacing w:before="100" w:line="215" w:lineRule="auto"/>
              <w:ind w:left="1499"/>
            </w:pPr>
            <w:r>
              <w:rPr>
                <w:spacing w:val="-22"/>
              </w:rPr>
              <w:t>为保证油漆成型质量，不宜在雨天进行油漆工程施工。</w:t>
            </w:r>
          </w:p>
        </w:tc>
      </w:tr>
      <w:tr w14:paraId="0DB25A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53" w:hRule="atLeast"/>
        </w:trPr>
        <w:tc>
          <w:tcPr>
            <w:tcW w:w="1463" w:type="dxa"/>
            <w:vMerge w:val="continue"/>
            <w:tcBorders>
              <w:top w:val="nil"/>
              <w:left w:val="single" w:color="000000" w:sz="4" w:space="0"/>
            </w:tcBorders>
            <w:vAlign w:val="top"/>
          </w:tcPr>
          <w:p w14:paraId="3960E669">
            <w:pPr>
              <w:rPr>
                <w:rFonts w:ascii="Arial"/>
                <w:sz w:val="21"/>
              </w:rPr>
            </w:pPr>
          </w:p>
        </w:tc>
        <w:tc>
          <w:tcPr>
            <w:tcW w:w="8210" w:type="dxa"/>
            <w:tcBorders>
              <w:right w:val="single" w:color="000000" w:sz="4" w:space="0"/>
            </w:tcBorders>
            <w:vAlign w:val="top"/>
          </w:tcPr>
          <w:p w14:paraId="2DFFDC45">
            <w:pPr>
              <w:pStyle w:val="7"/>
              <w:spacing w:before="100" w:line="216" w:lineRule="auto"/>
              <w:ind w:left="74"/>
            </w:pPr>
            <w:r>
              <w:rPr>
                <w:spacing w:val="-21"/>
              </w:rPr>
              <w:t>雨天施工采取防滑措施，加强对安全带、安全网的检查，彻底</w:t>
            </w:r>
            <w:r>
              <w:rPr>
                <w:spacing w:val="-22"/>
              </w:rPr>
              <w:t>杜绝事故隐患，确保人</w:t>
            </w:r>
          </w:p>
          <w:p w14:paraId="4C9ABEE5">
            <w:pPr>
              <w:pStyle w:val="7"/>
              <w:spacing w:before="187" w:line="220" w:lineRule="auto"/>
              <w:ind w:left="3672"/>
            </w:pPr>
            <w:r>
              <w:rPr>
                <w:spacing w:val="-15"/>
              </w:rPr>
              <w:t>身安全。</w:t>
            </w:r>
          </w:p>
        </w:tc>
      </w:tr>
      <w:tr w14:paraId="5A42AE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18" w:hRule="atLeast"/>
        </w:trPr>
        <w:tc>
          <w:tcPr>
            <w:tcW w:w="1463" w:type="dxa"/>
            <w:vMerge w:val="restart"/>
            <w:tcBorders>
              <w:left w:val="single" w:color="1C456A" w:sz="4" w:space="0"/>
              <w:bottom w:val="nil"/>
            </w:tcBorders>
            <w:vAlign w:val="top"/>
          </w:tcPr>
          <w:p w14:paraId="06065C7F">
            <w:pPr>
              <w:spacing w:line="253" w:lineRule="auto"/>
              <w:rPr>
                <w:rFonts w:ascii="Arial"/>
                <w:sz w:val="21"/>
              </w:rPr>
            </w:pPr>
            <w:r>
              <w:pict>
                <v:shape id="_x0000_s4004" o:spid="_x0000_s4004" style="position:absolute;left:0pt;margin-left:-0.2pt;margin-top:130.8pt;height:0.75pt;width:2.2pt;mso-position-horizontal-relative:page;mso-position-vertical-relative:page;z-index:252332032;mso-width-relative:page;mso-height-relative:page;" fillcolor="#5B9BD5" filled="t" stroked="f" coordsize="44,15" path="m0,14l43,14,43,0,0,0,0,14xe">
                  <v:path/>
                  <v:fill on="t" focussize="0,0"/>
                  <v:stroke on="f"/>
                  <v:imagedata o:title=""/>
                  <o:lock v:ext="edit"/>
                </v:shape>
              </w:pict>
            </w:r>
          </w:p>
          <w:p w14:paraId="22221299">
            <w:pPr>
              <w:spacing w:line="253" w:lineRule="auto"/>
              <w:rPr>
                <w:rFonts w:ascii="Arial"/>
                <w:sz w:val="21"/>
              </w:rPr>
            </w:pPr>
          </w:p>
          <w:p w14:paraId="13F42307">
            <w:pPr>
              <w:spacing w:line="253" w:lineRule="auto"/>
              <w:rPr>
                <w:rFonts w:ascii="Arial"/>
                <w:sz w:val="21"/>
              </w:rPr>
            </w:pPr>
          </w:p>
          <w:p w14:paraId="2B83070D">
            <w:pPr>
              <w:spacing w:line="254" w:lineRule="auto"/>
              <w:rPr>
                <w:rFonts w:ascii="Arial"/>
                <w:sz w:val="21"/>
              </w:rPr>
            </w:pPr>
          </w:p>
          <w:p w14:paraId="06A13D17">
            <w:pPr>
              <w:pStyle w:val="7"/>
              <w:spacing w:before="78" w:line="218" w:lineRule="auto"/>
              <w:ind w:left="317"/>
            </w:pPr>
            <w:r>
              <w:rPr>
                <w:spacing w:val="-16"/>
              </w:rPr>
              <w:t>绿化工程</w:t>
            </w:r>
          </w:p>
        </w:tc>
        <w:tc>
          <w:tcPr>
            <w:tcW w:w="8210" w:type="dxa"/>
            <w:tcBorders>
              <w:right w:val="single" w:color="000000" w:sz="4" w:space="0"/>
            </w:tcBorders>
            <w:vAlign w:val="top"/>
          </w:tcPr>
          <w:p w14:paraId="2EEC5965">
            <w:pPr>
              <w:pStyle w:val="7"/>
              <w:spacing w:before="101" w:line="216" w:lineRule="auto"/>
              <w:ind w:left="76"/>
            </w:pPr>
            <w:r>
              <w:rPr>
                <w:spacing w:val="-20"/>
              </w:rPr>
              <w:t>对胸径大于5cm的乔木，种植后用三根杆子撑住，以免风大树倒。</w:t>
            </w:r>
            <w:r>
              <w:rPr>
                <w:spacing w:val="-21"/>
              </w:rPr>
              <w:t>对于越冬性差、成</w:t>
            </w:r>
          </w:p>
          <w:p w14:paraId="10F547A8">
            <w:pPr>
              <w:pStyle w:val="7"/>
              <w:spacing w:before="185" w:line="217" w:lineRule="auto"/>
              <w:ind w:left="81"/>
            </w:pPr>
            <w:r>
              <w:rPr>
                <w:spacing w:val="-21"/>
              </w:rPr>
              <w:t>活率低的树，除了用草绳缠住树干，避免强光晒</w:t>
            </w:r>
            <w:r>
              <w:rPr>
                <w:spacing w:val="-22"/>
              </w:rPr>
              <w:t>伤树皮，减少水分蒸发外，还要用地</w:t>
            </w:r>
          </w:p>
          <w:p w14:paraId="020CA951">
            <w:pPr>
              <w:pStyle w:val="7"/>
              <w:spacing w:before="184" w:line="217" w:lineRule="auto"/>
              <w:ind w:left="2910"/>
            </w:pPr>
            <w:r>
              <w:rPr>
                <w:spacing w:val="-20"/>
              </w:rPr>
              <w:t>膜缠绕，为了保持温度。</w:t>
            </w:r>
          </w:p>
        </w:tc>
      </w:tr>
      <w:tr w14:paraId="35B6F9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3" w:hRule="atLeast"/>
        </w:trPr>
        <w:tc>
          <w:tcPr>
            <w:tcW w:w="1463" w:type="dxa"/>
            <w:vMerge w:val="continue"/>
            <w:tcBorders>
              <w:top w:val="nil"/>
              <w:left w:val="single" w:color="1C456A" w:sz="4" w:space="0"/>
              <w:bottom w:val="single" w:color="1C456A" w:sz="4" w:space="0"/>
            </w:tcBorders>
            <w:vAlign w:val="top"/>
          </w:tcPr>
          <w:p w14:paraId="76A82D6B">
            <w:pPr>
              <w:rPr>
                <w:rFonts w:ascii="Arial"/>
                <w:sz w:val="21"/>
              </w:rPr>
            </w:pPr>
          </w:p>
        </w:tc>
        <w:tc>
          <w:tcPr>
            <w:tcW w:w="8210" w:type="dxa"/>
            <w:tcBorders>
              <w:bottom w:val="single" w:color="5B9BD5" w:sz="4" w:space="0"/>
              <w:right w:val="single" w:color="5B9BD5" w:sz="4" w:space="0"/>
            </w:tcBorders>
            <w:vAlign w:val="top"/>
          </w:tcPr>
          <w:p w14:paraId="630B3F9C">
            <w:pPr>
              <w:pStyle w:val="7"/>
              <w:spacing w:before="102" w:line="217" w:lineRule="auto"/>
              <w:ind w:left="83"/>
            </w:pPr>
            <w:r>
              <w:pict>
                <v:shape id="_x0000_s4005" o:spid="_x0000_s4005" style="position:absolute;left:0pt;margin-left:408.65pt;margin-top:54.65pt;height:0.75pt;width:2.2pt;mso-position-horizontal-relative:page;mso-position-vertical-relative:page;z-index:252333056;mso-width-relative:page;mso-height-relative:page;" fillcolor="#5B9BD5" filled="t" stroked="f" coordsize="44,15" path="m0,14l43,14,43,0,0,0,0,14xe">
                  <v:path/>
                  <v:fill on="t" focussize="0,0"/>
                  <v:stroke on="f"/>
                  <v:imagedata o:title=""/>
                  <o:lock v:ext="edit"/>
                </v:shape>
              </w:pict>
            </w:r>
            <w:r>
              <w:rPr>
                <w:spacing w:val="-22"/>
              </w:rPr>
              <w:t>为了提供根系生长的适宜温度，防止根系冻伤，种植完后的树木根基用农膜覆盖、密</w:t>
            </w:r>
          </w:p>
          <w:p w14:paraId="50680F5F">
            <w:pPr>
              <w:pStyle w:val="7"/>
              <w:spacing w:before="186" w:line="215" w:lineRule="auto"/>
              <w:ind w:left="2714"/>
            </w:pPr>
            <w:r>
              <w:rPr>
                <w:spacing w:val="-22"/>
              </w:rPr>
              <w:t>闭，以确保根部温度的稳定。</w:t>
            </w:r>
          </w:p>
        </w:tc>
      </w:tr>
    </w:tbl>
    <w:p w14:paraId="371BC820">
      <w:pPr>
        <w:rPr>
          <w:rFonts w:ascii="Arial"/>
          <w:sz w:val="21"/>
        </w:rPr>
      </w:pPr>
    </w:p>
    <w:p w14:paraId="278415F0">
      <w:pPr>
        <w:rPr>
          <w:rFonts w:ascii="Arial" w:hAnsi="Arial" w:eastAsia="Arial" w:cs="Arial"/>
          <w:sz w:val="21"/>
          <w:szCs w:val="21"/>
        </w:rPr>
        <w:sectPr>
          <w:footerReference r:id="rId376" w:type="default"/>
          <w:pgSz w:w="11907" w:h="16839"/>
          <w:pgMar w:top="933" w:right="4" w:bottom="1038" w:left="0" w:header="478" w:footer="357" w:gutter="0"/>
          <w:pgBorders>
            <w:top w:val="none" w:sz="0" w:space="0"/>
            <w:left w:val="none" w:sz="0" w:space="0"/>
            <w:bottom w:val="none" w:sz="0" w:space="0"/>
            <w:right w:val="none" w:sz="0" w:space="0"/>
          </w:pgBorders>
          <w:cols w:space="720" w:num="1"/>
        </w:sectPr>
      </w:pPr>
    </w:p>
    <w:p w14:paraId="58A7DAD1">
      <w:pPr>
        <w:spacing w:line="235" w:lineRule="exact"/>
      </w:pPr>
    </w:p>
    <w:tbl>
      <w:tblPr>
        <w:tblStyle w:val="6"/>
        <w:tblW w:w="9673" w:type="dxa"/>
        <w:tblInd w:w="1116"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463"/>
        <w:gridCol w:w="8210"/>
      </w:tblGrid>
      <w:tr w14:paraId="79938B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19" w:hRule="atLeast"/>
        </w:trPr>
        <w:tc>
          <w:tcPr>
            <w:tcW w:w="1463" w:type="dxa"/>
            <w:vMerge w:val="restart"/>
            <w:tcBorders>
              <w:top w:val="single" w:color="1C456A" w:sz="4" w:space="0"/>
              <w:left w:val="single" w:color="1C456A" w:sz="4" w:space="0"/>
              <w:bottom w:val="nil"/>
            </w:tcBorders>
            <w:vAlign w:val="top"/>
          </w:tcPr>
          <w:p w14:paraId="684DB199">
            <w:pPr>
              <w:rPr>
                <w:rFonts w:ascii="Arial"/>
                <w:sz w:val="21"/>
              </w:rPr>
            </w:pPr>
          </w:p>
        </w:tc>
        <w:tc>
          <w:tcPr>
            <w:tcW w:w="8210" w:type="dxa"/>
            <w:tcBorders>
              <w:top w:val="single" w:color="5B9BD5" w:sz="4" w:space="0"/>
              <w:right w:val="single" w:color="5B9BD5" w:sz="4" w:space="0"/>
            </w:tcBorders>
            <w:vAlign w:val="top"/>
          </w:tcPr>
          <w:p w14:paraId="354EFDFA">
            <w:pPr>
              <w:pStyle w:val="7"/>
              <w:spacing w:before="129" w:line="216" w:lineRule="auto"/>
              <w:ind w:left="72"/>
            </w:pPr>
            <w:r>
              <w:rPr>
                <w:spacing w:val="-23"/>
              </w:rPr>
              <w:t>栽后将回填土踏实，浇一次透水，7至10日内浇透水三次，以后进入正</w:t>
            </w:r>
            <w:r>
              <w:rPr>
                <w:spacing w:val="-24"/>
              </w:rPr>
              <w:t>常管护。通过</w:t>
            </w:r>
          </w:p>
          <w:p w14:paraId="2975E64B">
            <w:pPr>
              <w:pStyle w:val="7"/>
              <w:spacing w:before="185" w:line="215" w:lineRule="auto"/>
              <w:ind w:left="70"/>
            </w:pPr>
            <w:r>
              <w:rPr>
                <w:spacing w:val="-22"/>
              </w:rPr>
              <w:t>土壤湿度确定浇水量，取树坑30厘米以下土样，用手握成团，向地上扔去，如果</w:t>
            </w:r>
            <w:r>
              <w:rPr>
                <w:spacing w:val="-23"/>
              </w:rPr>
              <w:t>散开</w:t>
            </w:r>
          </w:p>
          <w:p w14:paraId="661973BB">
            <w:pPr>
              <w:pStyle w:val="7"/>
              <w:spacing w:before="188" w:line="218" w:lineRule="auto"/>
              <w:ind w:left="74"/>
            </w:pPr>
            <w:r>
              <w:rPr>
                <w:spacing w:val="-19"/>
              </w:rPr>
              <w:t>就该浇水了。土球扔下仅有裂纹，就等3至5日后再验土壤</w:t>
            </w:r>
            <w:r>
              <w:rPr>
                <w:spacing w:val="-20"/>
              </w:rPr>
              <w:t>湿度，确定浇水。要做到</w:t>
            </w:r>
          </w:p>
          <w:p w14:paraId="0DD1EEE0">
            <w:pPr>
              <w:pStyle w:val="7"/>
              <w:spacing w:before="181" w:line="219" w:lineRule="auto"/>
              <w:ind w:left="2474"/>
            </w:pPr>
            <w:r>
              <w:rPr>
                <w:spacing w:val="-21"/>
              </w:rPr>
              <w:t>勤验土，多记录，适时适量浇水。</w:t>
            </w:r>
          </w:p>
        </w:tc>
      </w:tr>
      <w:tr w14:paraId="461A0F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88" w:hRule="atLeast"/>
        </w:trPr>
        <w:tc>
          <w:tcPr>
            <w:tcW w:w="1463" w:type="dxa"/>
            <w:vMerge w:val="continue"/>
            <w:tcBorders>
              <w:top w:val="nil"/>
              <w:left w:val="single" w:color="1C456A" w:sz="4" w:space="0"/>
              <w:bottom w:val="single" w:color="1C456A" w:sz="4" w:space="0"/>
            </w:tcBorders>
            <w:vAlign w:val="top"/>
          </w:tcPr>
          <w:p w14:paraId="5A82E83C">
            <w:pPr>
              <w:rPr>
                <w:rFonts w:ascii="Arial"/>
                <w:sz w:val="21"/>
              </w:rPr>
            </w:pPr>
          </w:p>
        </w:tc>
        <w:tc>
          <w:tcPr>
            <w:tcW w:w="8210" w:type="dxa"/>
            <w:tcBorders>
              <w:bottom w:val="single" w:color="5B9BD5" w:sz="4" w:space="0"/>
              <w:right w:val="single" w:color="5B9BD5" w:sz="4" w:space="0"/>
            </w:tcBorders>
            <w:vAlign w:val="top"/>
          </w:tcPr>
          <w:p w14:paraId="74E43429">
            <w:pPr>
              <w:pStyle w:val="7"/>
              <w:spacing w:before="97" w:line="216" w:lineRule="auto"/>
              <w:ind w:left="79"/>
            </w:pPr>
            <w:r>
              <w:rPr>
                <w:spacing w:val="-21"/>
              </w:rPr>
              <w:t>栽植前按标准挖好树穴，坑底施入适量基肥，并</w:t>
            </w:r>
            <w:r>
              <w:rPr>
                <w:spacing w:val="-22"/>
              </w:rPr>
              <w:t>使用生根粉。植树时不能栽得太深，</w:t>
            </w:r>
          </w:p>
          <w:p w14:paraId="7BD12BA2">
            <w:pPr>
              <w:pStyle w:val="7"/>
              <w:spacing w:before="184" w:line="216" w:lineRule="auto"/>
              <w:jc w:val="right"/>
            </w:pPr>
            <w:r>
              <w:rPr>
                <w:spacing w:val="-26"/>
              </w:rPr>
              <w:t>容易积水，且透光透气性差，对其生长不利，所以合理控制高度。回填土要保证质量，</w:t>
            </w:r>
          </w:p>
          <w:p w14:paraId="74C4D99C">
            <w:pPr>
              <w:pStyle w:val="7"/>
              <w:spacing w:before="186" w:line="217" w:lineRule="auto"/>
              <w:jc w:val="right"/>
            </w:pPr>
            <w:r>
              <w:rPr>
                <w:spacing w:val="-20"/>
              </w:rPr>
              <w:t>以确保新根的生长。树坑的规格的计算方法为:长、宽的尺寸为土球直径加30-40cm。</w:t>
            </w:r>
          </w:p>
          <w:p w14:paraId="633ED9F1">
            <w:pPr>
              <w:pStyle w:val="7"/>
              <w:spacing w:before="183" w:line="217" w:lineRule="auto"/>
              <w:ind w:left="66"/>
            </w:pPr>
            <w:r>
              <w:rPr>
                <w:spacing w:val="-18"/>
              </w:rPr>
              <w:t>挖坑深度为土球高度增加30-35cm，其中坑底回填种植土的厚度至少为20cm,上部覆盖</w:t>
            </w:r>
          </w:p>
          <w:p w14:paraId="74578E5E">
            <w:pPr>
              <w:pStyle w:val="7"/>
              <w:spacing w:before="187" w:line="217" w:lineRule="auto"/>
              <w:ind w:left="3203"/>
            </w:pPr>
            <w:r>
              <w:rPr>
                <w:spacing w:val="-15"/>
              </w:rPr>
              <w:t>8-10cm的种植土。</w:t>
            </w:r>
          </w:p>
        </w:tc>
      </w:tr>
    </w:tbl>
    <w:p w14:paraId="3398646C">
      <w:pPr>
        <w:pStyle w:val="2"/>
        <w:spacing w:before="112" w:line="217" w:lineRule="auto"/>
        <w:ind w:left="1888"/>
        <w:rPr>
          <w:sz w:val="24"/>
          <w:szCs w:val="24"/>
        </w:rPr>
      </w:pPr>
      <w:r>
        <w:rPr>
          <w:spacing w:val="-19"/>
          <w:sz w:val="24"/>
          <w:szCs w:val="24"/>
        </w:rPr>
        <w:t>2.4夏季施工方案及保障措施</w:t>
      </w:r>
    </w:p>
    <w:p w14:paraId="5E4C4D28">
      <w:pPr>
        <w:pStyle w:val="2"/>
        <w:spacing w:before="119" w:line="218" w:lineRule="auto"/>
        <w:ind w:left="1898"/>
        <w:rPr>
          <w:sz w:val="24"/>
          <w:szCs w:val="24"/>
        </w:rPr>
      </w:pPr>
      <w:r>
        <w:rPr>
          <w:spacing w:val="-19"/>
          <w:sz w:val="24"/>
          <w:szCs w:val="24"/>
        </w:rPr>
        <w:t>夏季施工概述</w:t>
      </w:r>
    </w:p>
    <w:p w14:paraId="212139F6">
      <w:pPr>
        <w:pStyle w:val="2"/>
        <w:spacing w:before="118" w:line="307" w:lineRule="auto"/>
        <w:ind w:left="1456" w:right="1415" w:firstLine="443"/>
        <w:rPr>
          <w:sz w:val="24"/>
          <w:szCs w:val="24"/>
        </w:rPr>
      </w:pPr>
      <w:r>
        <w:rPr>
          <w:spacing w:val="-20"/>
          <w:sz w:val="24"/>
          <w:szCs w:val="24"/>
        </w:rPr>
        <w:t>每年夏季高温时段集中在7～8月份，平均温度在27~35℃左右。在高温气</w:t>
      </w:r>
      <w:r>
        <w:rPr>
          <w:spacing w:val="-21"/>
          <w:sz w:val="24"/>
          <w:szCs w:val="24"/>
        </w:rPr>
        <w:t>候阶段，</w:t>
      </w:r>
      <w:r>
        <w:rPr>
          <w:spacing w:val="-20"/>
          <w:sz w:val="24"/>
          <w:szCs w:val="24"/>
        </w:rPr>
        <w:t>尽量避免在午间施工，合理组织施工、安排作息时间。夏季施工作业时间尽量向两端压缩，避开中午的高温，气温超过38℃时，停止室外作业，在室内作业时应有通风降温措施。</w:t>
      </w:r>
    </w:p>
    <w:p w14:paraId="61B76F96">
      <w:pPr>
        <w:pStyle w:val="2"/>
        <w:spacing w:before="2" w:line="307" w:lineRule="auto"/>
        <w:ind w:left="1460" w:right="1340" w:firstLine="433"/>
        <w:rPr>
          <w:sz w:val="24"/>
          <w:szCs w:val="24"/>
        </w:rPr>
      </w:pPr>
      <w:r>
        <w:rPr>
          <w:spacing w:val="-23"/>
          <w:sz w:val="24"/>
          <w:szCs w:val="24"/>
        </w:rPr>
        <w:t>本工程夏季主要施工内容有：土方工程、基坑支护工程、管</w:t>
      </w:r>
      <w:r>
        <w:rPr>
          <w:spacing w:val="-24"/>
          <w:sz w:val="24"/>
          <w:szCs w:val="24"/>
        </w:rPr>
        <w:t>道施工、道路破复、铺装破复、</w:t>
      </w:r>
      <w:r>
        <w:rPr>
          <w:spacing w:val="-22"/>
          <w:sz w:val="24"/>
          <w:szCs w:val="24"/>
        </w:rPr>
        <w:t>绿化施工等。</w:t>
      </w:r>
    </w:p>
    <w:p w14:paraId="4324D0DB">
      <w:pPr>
        <w:pStyle w:val="2"/>
        <w:spacing w:before="4" w:line="307" w:lineRule="auto"/>
        <w:ind w:left="1454" w:right="1409" w:firstLine="444"/>
        <w:jc w:val="both"/>
        <w:rPr>
          <w:sz w:val="24"/>
          <w:szCs w:val="24"/>
        </w:rPr>
      </w:pPr>
      <w:r>
        <w:rPr>
          <w:spacing w:val="-20"/>
          <w:sz w:val="24"/>
          <w:szCs w:val="24"/>
        </w:rPr>
        <w:t>夏节施工以安全生产为主题，以“防暑降温”为重点，抓好安全生产，确保工程质量。在</w:t>
      </w:r>
      <w:r>
        <w:rPr>
          <w:spacing w:val="-19"/>
          <w:sz w:val="24"/>
          <w:szCs w:val="24"/>
        </w:rPr>
        <w:t>夏季，日夜温差大，中午在日光照射下室外地面温度可达40℃左右，夜间温度在20～30℃。混</w:t>
      </w:r>
      <w:r>
        <w:rPr>
          <w:spacing w:val="-21"/>
          <w:sz w:val="24"/>
          <w:szCs w:val="24"/>
        </w:rPr>
        <w:t>凝土浇筑后，水泥水化热促使混凝土内部温度急剧上升，混凝土内部温度可达60℃以上，</w:t>
      </w:r>
      <w:r>
        <w:rPr>
          <w:spacing w:val="-22"/>
          <w:sz w:val="24"/>
          <w:szCs w:val="24"/>
        </w:rPr>
        <w:t>乃至</w:t>
      </w:r>
      <w:r>
        <w:rPr>
          <w:spacing w:val="-20"/>
          <w:sz w:val="24"/>
          <w:szCs w:val="24"/>
        </w:rPr>
        <w:t>更高。因此，在夏季浇筑混凝土，由于温度过高，易产生表面干缩裂缝。随气候转变，气温日</w:t>
      </w:r>
      <w:r>
        <w:rPr>
          <w:spacing w:val="-21"/>
          <w:sz w:val="24"/>
          <w:szCs w:val="24"/>
        </w:rPr>
        <w:t>渐下降，混凝土内部热量不易散发，造成混凝土内外温度梯度</w:t>
      </w:r>
      <w:r>
        <w:rPr>
          <w:spacing w:val="-22"/>
          <w:sz w:val="24"/>
          <w:szCs w:val="24"/>
        </w:rPr>
        <w:t>大，混凝土极易产生裂缝。</w:t>
      </w:r>
    </w:p>
    <w:p w14:paraId="41053EF2">
      <w:pPr>
        <w:pStyle w:val="2"/>
        <w:spacing w:before="1" w:line="218" w:lineRule="auto"/>
        <w:ind w:left="1898"/>
        <w:rPr>
          <w:sz w:val="24"/>
          <w:szCs w:val="24"/>
        </w:rPr>
      </w:pPr>
      <w:r>
        <w:rPr>
          <w:spacing w:val="-20"/>
          <w:sz w:val="24"/>
          <w:szCs w:val="24"/>
        </w:rPr>
        <w:t>夏季施工组织措施</w:t>
      </w:r>
    </w:p>
    <w:p w14:paraId="2533DA34">
      <w:pPr>
        <w:spacing w:line="17" w:lineRule="auto"/>
        <w:rPr>
          <w:rFonts w:ascii="Arial"/>
          <w:sz w:val="2"/>
        </w:rPr>
      </w:pPr>
    </w:p>
    <w:tbl>
      <w:tblPr>
        <w:tblStyle w:val="6"/>
        <w:tblW w:w="9673" w:type="dxa"/>
        <w:tblInd w:w="1116"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15"/>
        <w:gridCol w:w="8292"/>
        <w:gridCol w:w="66"/>
      </w:tblGrid>
      <w:tr w14:paraId="1953BB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1" w:hRule="atLeast"/>
        </w:trPr>
        <w:tc>
          <w:tcPr>
            <w:tcW w:w="1315" w:type="dxa"/>
            <w:tcBorders>
              <w:top w:val="single" w:color="000000" w:sz="4" w:space="0"/>
              <w:left w:val="single" w:color="000000" w:sz="4" w:space="0"/>
            </w:tcBorders>
            <w:shd w:val="clear" w:color="auto" w:fill="DEEAF6"/>
            <w:vAlign w:val="top"/>
          </w:tcPr>
          <w:p w14:paraId="00CADBC9">
            <w:pPr>
              <w:spacing w:line="93" w:lineRule="exact"/>
            </w:pPr>
            <w:r>
              <w:rPr>
                <w:position w:val="-1"/>
              </w:rPr>
              <w:pict>
                <v:group id="_x0000_s4006" o:spid="_x0000_s4006" o:spt="203" style="height:5.2pt;width:67.5pt;" coordsize="1350,103">
                  <o:lock v:ext="edit"/>
                  <v:shape id="_x0000_s4007" o:spid="_x0000_s4007" style="position:absolute;left:0;top:0;height:15;width:44;" fillcolor="#5B9BD5" filled="t" stroked="f" coordsize="44,15" path="m0,14l43,14,43,0,0,0,0,14xe">
                    <v:path/>
                    <v:fill on="t" focussize="0,0"/>
                    <v:stroke on="f"/>
                    <v:imagedata o:title=""/>
                    <o:lock v:ext="edit"/>
                  </v:shape>
                  <v:shape id="_x0000_s4008" o:spid="_x0000_s4008" style="position:absolute;left:43;top:43;height:60;width:1263;" fillcolor="#DEEAF6" filled="t" stroked="f" coordsize="1263,60" path="m0,60l1262,60,1262,0,0,0,0,60xe">
                    <v:path/>
                    <v:fill on="t" focussize="0,0"/>
                    <v:stroke on="f"/>
                    <v:imagedata o:title=""/>
                    <o:lock v:ext="edit"/>
                  </v:shape>
                  <v:shape id="_x0000_s4009" o:spid="_x0000_s4009" style="position:absolute;left:1306;top:0;height:15;width:44;" fillcolor="#5B9BD5" filled="t" stroked="f" coordsize="44,15" path="m0,14l43,14,43,0,0,0,0,14xe">
                    <v:path/>
                    <v:fill on="t" focussize="0,0"/>
                    <v:stroke on="f"/>
                    <v:imagedata o:title=""/>
                    <o:lock v:ext="edit"/>
                  </v:shape>
                  <v:shape id="_x0000_s4010" o:spid="_x0000_s4010" style="position:absolute;left:1306;top:14;height:15;width:44;" fillcolor="#20507B" filled="t" stroked="f" coordsize="44,15" path="m0,14l43,14,43,0,0,0,0,14xe">
                    <v:path/>
                    <v:fill on="t" focussize="0,0"/>
                    <v:stroke on="f"/>
                    <v:imagedata o:title=""/>
                    <o:lock v:ext="edit"/>
                  </v:shape>
                  <v:shape id="_x0000_s4011" o:spid="_x0000_s4011" style="position:absolute;left:1306;top:28;height:15;width:44;" fillcolor="#1C456A" filled="t" stroked="f" coordsize="44,15" path="m0,14l43,14,43,0,0,0,0,14xe">
                    <v:path/>
                    <v:fill on="t" focussize="0,0"/>
                    <v:stroke on="f"/>
                    <v:imagedata o:title=""/>
                    <o:lock v:ext="edit"/>
                  </v:shape>
                  <w10:wrap type="none"/>
                  <w10:anchorlock/>
                </v:group>
              </w:pict>
            </w:r>
          </w:p>
          <w:p w14:paraId="06195EB8">
            <w:pPr>
              <w:pStyle w:val="7"/>
              <w:spacing w:before="35" w:line="217" w:lineRule="auto"/>
              <w:ind w:left="234"/>
            </w:pPr>
            <w:r>
              <w:rPr>
                <w:b/>
                <w:bCs/>
                <w:spacing w:val="-18"/>
              </w:rPr>
              <w:t>措施名称</w:t>
            </w:r>
          </w:p>
        </w:tc>
        <w:tc>
          <w:tcPr>
            <w:tcW w:w="8292" w:type="dxa"/>
            <w:tcBorders>
              <w:top w:val="single" w:color="5B9BD5" w:sz="4" w:space="0"/>
              <w:right w:val="nil"/>
            </w:tcBorders>
            <w:shd w:val="clear" w:color="auto" w:fill="DEEAF6"/>
            <w:vAlign w:val="top"/>
          </w:tcPr>
          <w:p w14:paraId="0543DE31">
            <w:pPr>
              <w:pStyle w:val="7"/>
              <w:spacing w:before="129" w:line="218" w:lineRule="auto"/>
              <w:ind w:left="3526"/>
            </w:pPr>
            <w:r>
              <w:rPr>
                <w:b/>
                <w:bCs/>
                <w:spacing w:val="-21"/>
              </w:rPr>
              <w:t>具体施工措施</w:t>
            </w:r>
          </w:p>
        </w:tc>
        <w:tc>
          <w:tcPr>
            <w:tcW w:w="66" w:type="dxa"/>
            <w:tcBorders>
              <w:top w:val="single" w:color="5B9BD5" w:sz="4" w:space="0"/>
              <w:left w:val="nil"/>
              <w:right w:val="single" w:color="5B9BD5" w:sz="4" w:space="0"/>
            </w:tcBorders>
            <w:vAlign w:val="top"/>
          </w:tcPr>
          <w:p w14:paraId="4A2B585C">
            <w:pPr>
              <w:rPr>
                <w:rFonts w:ascii="Arial"/>
                <w:sz w:val="21"/>
              </w:rPr>
            </w:pPr>
            <w:r>
              <w:pict>
                <v:shape id="_x0000_s4012" o:spid="_x0000_s4012" style="position:absolute;left:0pt;margin-left:1.45pt;margin-top:0pt;height:0.75pt;width:2.2pt;mso-position-horizontal-relative:page;mso-position-vertical-relative:page;z-index:252336128;mso-width-relative:page;mso-height-relative:page;" fillcolor="#5B9BD5" filled="t" stroked="f" coordsize="44,15" path="m0,14l43,14,43,0,0,0,0,14xe">
                  <v:path/>
                  <v:fill on="t" focussize="0,0"/>
                  <v:stroke on="f"/>
                  <v:imagedata o:title=""/>
                  <o:lock v:ext="edit"/>
                </v:shape>
              </w:pict>
            </w:r>
          </w:p>
        </w:tc>
      </w:tr>
      <w:tr w14:paraId="712A1F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60" w:hRule="atLeast"/>
        </w:trPr>
        <w:tc>
          <w:tcPr>
            <w:tcW w:w="1315" w:type="dxa"/>
            <w:vMerge w:val="restart"/>
            <w:tcBorders>
              <w:left w:val="single" w:color="1C456A" w:sz="4" w:space="0"/>
              <w:bottom w:val="nil"/>
            </w:tcBorders>
            <w:vAlign w:val="top"/>
          </w:tcPr>
          <w:p w14:paraId="515B931F">
            <w:pPr>
              <w:spacing w:line="265" w:lineRule="auto"/>
              <w:rPr>
                <w:rFonts w:ascii="Arial"/>
                <w:sz w:val="21"/>
              </w:rPr>
            </w:pPr>
            <w:r>
              <w:pict>
                <v:shape id="_x0000_s4013" o:spid="_x0000_s4013" style="position:absolute;left:0pt;margin-left:-0.2pt;margin-top:161.5pt;height:0.75pt;width:2.2pt;mso-position-horizontal-relative:page;mso-position-vertical-relative:page;z-index:252335104;mso-width-relative:page;mso-height-relative:page;" fillcolor="#5B9BD5" filled="t" stroked="f" coordsize="44,15" path="m0,14l43,14,43,0,0,0,0,14xe">
                  <v:path/>
                  <v:fill on="t" focussize="0,0"/>
                  <v:stroke on="f"/>
                  <v:imagedata o:title=""/>
                  <o:lock v:ext="edit"/>
                </v:shape>
              </w:pict>
            </w:r>
          </w:p>
          <w:p w14:paraId="5E43B727">
            <w:pPr>
              <w:spacing w:line="266" w:lineRule="auto"/>
              <w:rPr>
                <w:rFonts w:ascii="Arial"/>
                <w:sz w:val="21"/>
              </w:rPr>
            </w:pPr>
          </w:p>
          <w:p w14:paraId="1C27DE05">
            <w:pPr>
              <w:spacing w:line="266" w:lineRule="auto"/>
              <w:rPr>
                <w:rFonts w:ascii="Arial"/>
                <w:sz w:val="21"/>
              </w:rPr>
            </w:pPr>
          </w:p>
          <w:p w14:paraId="1590BB30">
            <w:pPr>
              <w:spacing w:line="266" w:lineRule="auto"/>
              <w:rPr>
                <w:rFonts w:ascii="Arial"/>
                <w:sz w:val="21"/>
              </w:rPr>
            </w:pPr>
          </w:p>
          <w:p w14:paraId="46D8FCEE">
            <w:pPr>
              <w:spacing w:line="266" w:lineRule="auto"/>
              <w:rPr>
                <w:rFonts w:ascii="Arial"/>
                <w:sz w:val="21"/>
              </w:rPr>
            </w:pPr>
          </w:p>
          <w:p w14:paraId="3394F814">
            <w:pPr>
              <w:pStyle w:val="7"/>
              <w:spacing w:before="78" w:line="219" w:lineRule="auto"/>
              <w:ind w:left="237"/>
            </w:pPr>
            <w:r>
              <w:rPr>
                <w:spacing w:val="-15"/>
              </w:rPr>
              <w:t>组织措施</w:t>
            </w:r>
          </w:p>
        </w:tc>
        <w:tc>
          <w:tcPr>
            <w:tcW w:w="8358" w:type="dxa"/>
            <w:gridSpan w:val="2"/>
            <w:tcBorders>
              <w:right w:val="single" w:color="000000" w:sz="4" w:space="0"/>
            </w:tcBorders>
            <w:vAlign w:val="top"/>
          </w:tcPr>
          <w:p w14:paraId="3D4E8968">
            <w:pPr>
              <w:pStyle w:val="7"/>
              <w:spacing w:before="124" w:line="217" w:lineRule="auto"/>
              <w:ind w:left="65"/>
            </w:pPr>
            <w:r>
              <w:rPr>
                <w:spacing w:val="-23"/>
              </w:rPr>
              <w:t>成立高温季节现场施工领导小组，由项目经理担任组长。负责本工程的高温施工及相应</w:t>
            </w:r>
          </w:p>
          <w:p w14:paraId="017BE378">
            <w:pPr>
              <w:pStyle w:val="7"/>
              <w:spacing w:before="185" w:line="218" w:lineRule="auto"/>
              <w:ind w:left="3210"/>
            </w:pPr>
            <w:r>
              <w:rPr>
                <w:spacing w:val="-21"/>
              </w:rPr>
              <w:t>的技术措施的实施。</w:t>
            </w:r>
          </w:p>
        </w:tc>
      </w:tr>
      <w:tr w14:paraId="52DEB8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60" w:hRule="atLeast"/>
        </w:trPr>
        <w:tc>
          <w:tcPr>
            <w:tcW w:w="1315" w:type="dxa"/>
            <w:vMerge w:val="continue"/>
            <w:tcBorders>
              <w:top w:val="nil"/>
              <w:left w:val="single" w:color="1C456A" w:sz="4" w:space="0"/>
              <w:bottom w:val="nil"/>
            </w:tcBorders>
            <w:vAlign w:val="top"/>
          </w:tcPr>
          <w:p w14:paraId="31476931">
            <w:pPr>
              <w:rPr>
                <w:rFonts w:ascii="Arial"/>
                <w:sz w:val="21"/>
              </w:rPr>
            </w:pPr>
          </w:p>
        </w:tc>
        <w:tc>
          <w:tcPr>
            <w:tcW w:w="8358" w:type="dxa"/>
            <w:gridSpan w:val="2"/>
            <w:tcBorders>
              <w:right w:val="single" w:color="000000" w:sz="4" w:space="0"/>
            </w:tcBorders>
            <w:vAlign w:val="top"/>
          </w:tcPr>
          <w:p w14:paraId="23AEC5E0">
            <w:pPr>
              <w:pStyle w:val="7"/>
              <w:spacing w:before="117" w:line="216" w:lineRule="auto"/>
              <w:ind w:left="62"/>
            </w:pPr>
            <w:r>
              <w:rPr>
                <w:spacing w:val="-23"/>
              </w:rPr>
              <w:t>组织编制合理的高温施工方案，方案要求确保质量、进度，并要求经济合理。方案确定</w:t>
            </w:r>
          </w:p>
          <w:p w14:paraId="286E676D">
            <w:pPr>
              <w:pStyle w:val="7"/>
              <w:spacing w:before="184" w:line="217" w:lineRule="auto"/>
              <w:ind w:left="2109"/>
            </w:pPr>
            <w:r>
              <w:rPr>
                <w:spacing w:val="-22"/>
              </w:rPr>
              <w:t>后，进行各级交底，确保方案的切实实施。</w:t>
            </w:r>
          </w:p>
        </w:tc>
      </w:tr>
      <w:tr w14:paraId="7CBA1D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9" w:hRule="atLeast"/>
        </w:trPr>
        <w:tc>
          <w:tcPr>
            <w:tcW w:w="1315" w:type="dxa"/>
            <w:vMerge w:val="continue"/>
            <w:tcBorders>
              <w:top w:val="nil"/>
              <w:left w:val="single" w:color="1C456A" w:sz="4" w:space="0"/>
              <w:bottom w:val="single" w:color="1C456A" w:sz="4" w:space="0"/>
            </w:tcBorders>
            <w:vAlign w:val="top"/>
          </w:tcPr>
          <w:p w14:paraId="4F9A7ACD">
            <w:pPr>
              <w:rPr>
                <w:rFonts w:ascii="Arial"/>
                <w:sz w:val="21"/>
              </w:rPr>
            </w:pPr>
          </w:p>
        </w:tc>
        <w:tc>
          <w:tcPr>
            <w:tcW w:w="8358" w:type="dxa"/>
            <w:gridSpan w:val="2"/>
            <w:tcBorders>
              <w:bottom w:val="single" w:color="5B9BD5" w:sz="4" w:space="0"/>
              <w:right w:val="single" w:color="5B9BD5" w:sz="4" w:space="0"/>
            </w:tcBorders>
            <w:vAlign w:val="top"/>
          </w:tcPr>
          <w:p w14:paraId="7EB20788">
            <w:pPr>
              <w:pStyle w:val="7"/>
              <w:spacing w:before="110" w:line="217" w:lineRule="auto"/>
              <w:ind w:left="69"/>
            </w:pPr>
            <w:r>
              <w:pict>
                <v:shape id="_x0000_s4014" o:spid="_x0000_s4014" style="position:absolute;left:0pt;margin-left:416.05pt;margin-top:55pt;height:0.75pt;width:2.2pt;mso-position-horizontal-relative:page;mso-position-vertical-relative:page;z-index:252334080;mso-width-relative:page;mso-height-relative:page;" fillcolor="#5B9BD5" filled="t" stroked="f" coordsize="44,15" path="m0,14l43,14,43,0,0,0,0,14xe">
                  <v:path/>
                  <v:fill on="t" focussize="0,0"/>
                  <v:stroke on="f"/>
                  <v:imagedata o:title=""/>
                  <o:lock v:ext="edit"/>
                </v:shape>
              </w:pict>
            </w:r>
            <w:r>
              <w:rPr>
                <w:spacing w:val="-23"/>
              </w:rPr>
              <w:t>高温季节施工期间，必须坚持领导值班，及时协调各种矛盾，解决问题；保证高温季节</w:t>
            </w:r>
          </w:p>
          <w:p w14:paraId="7FFE39CC">
            <w:pPr>
              <w:pStyle w:val="7"/>
              <w:spacing w:before="183" w:line="216" w:lineRule="auto"/>
              <w:ind w:left="2324"/>
            </w:pPr>
            <w:r>
              <w:rPr>
                <w:spacing w:val="-21"/>
              </w:rPr>
              <w:t>施工的连续性及人员安全和设备完好。</w:t>
            </w:r>
          </w:p>
        </w:tc>
      </w:tr>
    </w:tbl>
    <w:p w14:paraId="2D7C6EF6">
      <w:pPr>
        <w:pStyle w:val="2"/>
        <w:spacing w:before="114" w:line="217" w:lineRule="auto"/>
        <w:ind w:left="1900"/>
        <w:rPr>
          <w:sz w:val="24"/>
          <w:szCs w:val="24"/>
        </w:rPr>
      </w:pPr>
      <w:r>
        <w:rPr>
          <w:spacing w:val="-20"/>
          <w:sz w:val="24"/>
          <w:szCs w:val="24"/>
        </w:rPr>
        <w:t>高温施工物资准备</w:t>
      </w:r>
    </w:p>
    <w:p w14:paraId="0F372F30">
      <w:pPr>
        <w:spacing w:line="217" w:lineRule="auto"/>
        <w:rPr>
          <w:sz w:val="24"/>
          <w:szCs w:val="24"/>
        </w:rPr>
        <w:sectPr>
          <w:footerReference r:id="rId377" w:type="default"/>
          <w:pgSz w:w="11907" w:h="16839"/>
          <w:pgMar w:top="933" w:right="4" w:bottom="1038" w:left="0" w:header="478" w:footer="357" w:gutter="0"/>
          <w:pgBorders>
            <w:top w:val="none" w:sz="0" w:space="0"/>
            <w:left w:val="none" w:sz="0" w:space="0"/>
            <w:bottom w:val="none" w:sz="0" w:space="0"/>
            <w:right w:val="none" w:sz="0" w:space="0"/>
          </w:pgBorders>
          <w:cols w:space="720" w:num="1"/>
        </w:sectPr>
      </w:pPr>
    </w:p>
    <w:p w14:paraId="216E50E9">
      <w:pPr>
        <w:spacing w:line="235" w:lineRule="exact"/>
      </w:pPr>
    </w:p>
    <w:tbl>
      <w:tblPr>
        <w:tblStyle w:val="6"/>
        <w:tblW w:w="9673" w:type="dxa"/>
        <w:tblInd w:w="1116"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20"/>
        <w:gridCol w:w="8353"/>
      </w:tblGrid>
      <w:tr w14:paraId="4537BC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4" w:hRule="atLeast"/>
        </w:trPr>
        <w:tc>
          <w:tcPr>
            <w:tcW w:w="1320" w:type="dxa"/>
            <w:tcBorders>
              <w:top w:val="single" w:color="000000" w:sz="4" w:space="0"/>
              <w:left w:val="single" w:color="000000" w:sz="4" w:space="0"/>
            </w:tcBorders>
            <w:shd w:val="clear" w:color="auto" w:fill="DEEAF6"/>
            <w:vAlign w:val="top"/>
          </w:tcPr>
          <w:p w14:paraId="67F77CD3">
            <w:pPr>
              <w:pStyle w:val="7"/>
              <w:spacing w:before="128" w:line="217" w:lineRule="auto"/>
              <w:ind w:left="236"/>
            </w:pPr>
            <w:r>
              <w:rPr>
                <w:b/>
                <w:bCs/>
                <w:spacing w:val="-18"/>
              </w:rPr>
              <w:t>措施名称</w:t>
            </w:r>
          </w:p>
        </w:tc>
        <w:tc>
          <w:tcPr>
            <w:tcW w:w="8353" w:type="dxa"/>
            <w:tcBorders>
              <w:top w:val="single" w:color="5B9BD5" w:sz="4" w:space="0"/>
              <w:right w:val="single" w:color="5B9BD5" w:sz="4" w:space="0"/>
            </w:tcBorders>
            <w:shd w:val="clear" w:color="auto" w:fill="DEEAF6"/>
            <w:vAlign w:val="top"/>
          </w:tcPr>
          <w:p w14:paraId="51578B17">
            <w:pPr>
              <w:pStyle w:val="7"/>
              <w:spacing w:before="129" w:line="218" w:lineRule="auto"/>
              <w:ind w:left="3523"/>
            </w:pPr>
            <w:r>
              <w:rPr>
                <w:b/>
                <w:bCs/>
                <w:spacing w:val="-21"/>
              </w:rPr>
              <w:t>具体施工措施</w:t>
            </w:r>
          </w:p>
        </w:tc>
      </w:tr>
      <w:tr w14:paraId="5117CF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1" w:hRule="atLeast"/>
        </w:trPr>
        <w:tc>
          <w:tcPr>
            <w:tcW w:w="1320" w:type="dxa"/>
            <w:vMerge w:val="restart"/>
            <w:tcBorders>
              <w:left w:val="single" w:color="1C456A" w:sz="4" w:space="0"/>
              <w:bottom w:val="nil"/>
            </w:tcBorders>
            <w:vAlign w:val="top"/>
          </w:tcPr>
          <w:p w14:paraId="3CD07EE4">
            <w:pPr>
              <w:spacing w:line="283" w:lineRule="auto"/>
              <w:rPr>
                <w:rFonts w:ascii="Arial"/>
                <w:sz w:val="21"/>
              </w:rPr>
            </w:pPr>
          </w:p>
          <w:p w14:paraId="3A514F6D">
            <w:pPr>
              <w:spacing w:line="284" w:lineRule="auto"/>
              <w:rPr>
                <w:rFonts w:ascii="Arial"/>
                <w:sz w:val="21"/>
              </w:rPr>
            </w:pPr>
          </w:p>
          <w:p w14:paraId="678DCA85">
            <w:pPr>
              <w:pStyle w:val="7"/>
              <w:spacing w:before="78" w:line="217" w:lineRule="auto"/>
              <w:ind w:left="240"/>
            </w:pPr>
            <w:r>
              <w:rPr>
                <w:spacing w:val="-15"/>
              </w:rPr>
              <w:t>物资准备</w:t>
            </w:r>
          </w:p>
        </w:tc>
        <w:tc>
          <w:tcPr>
            <w:tcW w:w="8353" w:type="dxa"/>
            <w:tcBorders>
              <w:right w:val="single" w:color="000000" w:sz="4" w:space="0"/>
            </w:tcBorders>
            <w:vAlign w:val="top"/>
          </w:tcPr>
          <w:p w14:paraId="7E078565">
            <w:pPr>
              <w:pStyle w:val="7"/>
              <w:spacing w:before="120" w:line="217" w:lineRule="auto"/>
              <w:ind w:left="1890"/>
            </w:pPr>
            <w:r>
              <w:rPr>
                <w:spacing w:val="-21"/>
              </w:rPr>
              <w:t>提前做好充分的施工人员防暑降温物质的准备。</w:t>
            </w:r>
          </w:p>
        </w:tc>
      </w:tr>
      <w:tr w14:paraId="19BFDA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06" w:hRule="atLeast"/>
        </w:trPr>
        <w:tc>
          <w:tcPr>
            <w:tcW w:w="1320" w:type="dxa"/>
            <w:vMerge w:val="continue"/>
            <w:tcBorders>
              <w:top w:val="nil"/>
              <w:left w:val="single" w:color="1C456A" w:sz="4" w:space="0"/>
              <w:bottom w:val="single" w:color="1C456A" w:sz="4" w:space="0"/>
            </w:tcBorders>
            <w:vAlign w:val="top"/>
          </w:tcPr>
          <w:p w14:paraId="0BCC4A74">
            <w:pPr>
              <w:rPr>
                <w:rFonts w:ascii="Arial"/>
                <w:sz w:val="21"/>
              </w:rPr>
            </w:pPr>
          </w:p>
        </w:tc>
        <w:tc>
          <w:tcPr>
            <w:tcW w:w="8353" w:type="dxa"/>
            <w:tcBorders>
              <w:bottom w:val="single" w:color="5B9BD5" w:sz="4" w:space="0"/>
              <w:right w:val="single" w:color="5B9BD5" w:sz="4" w:space="0"/>
            </w:tcBorders>
            <w:vAlign w:val="top"/>
          </w:tcPr>
          <w:p w14:paraId="1130CBCD">
            <w:pPr>
              <w:pStyle w:val="7"/>
              <w:spacing w:before="115" w:line="217" w:lineRule="auto"/>
              <w:ind w:left="63"/>
            </w:pPr>
            <w:r>
              <w:rPr>
                <w:spacing w:val="-23"/>
              </w:rPr>
              <w:t>提前做好充分的高温季节所需的物质准备；如劳防用品、遮阳设备、急救药品等，同时</w:t>
            </w:r>
          </w:p>
          <w:p w14:paraId="65DB9809">
            <w:pPr>
              <w:pStyle w:val="7"/>
              <w:spacing w:before="186" w:line="216" w:lineRule="auto"/>
              <w:ind w:left="3201"/>
            </w:pPr>
            <w:r>
              <w:rPr>
                <w:spacing w:val="-22"/>
              </w:rPr>
              <w:t>定期供应防暑饮料。</w:t>
            </w:r>
          </w:p>
        </w:tc>
      </w:tr>
    </w:tbl>
    <w:p w14:paraId="6749C028">
      <w:pPr>
        <w:pStyle w:val="2"/>
        <w:spacing w:before="113" w:line="218" w:lineRule="auto"/>
        <w:ind w:left="1898"/>
        <w:rPr>
          <w:sz w:val="24"/>
          <w:szCs w:val="24"/>
        </w:rPr>
      </w:pPr>
      <w:r>
        <w:rPr>
          <w:spacing w:val="-20"/>
          <w:sz w:val="24"/>
          <w:szCs w:val="24"/>
        </w:rPr>
        <w:t>夏季施工技术措施</w:t>
      </w:r>
    </w:p>
    <w:p w14:paraId="0B7F47B0">
      <w:pPr>
        <w:spacing w:line="19" w:lineRule="auto"/>
        <w:rPr>
          <w:rFonts w:ascii="Arial"/>
          <w:sz w:val="2"/>
        </w:rPr>
      </w:pPr>
    </w:p>
    <w:tbl>
      <w:tblPr>
        <w:tblStyle w:val="6"/>
        <w:tblW w:w="9673" w:type="dxa"/>
        <w:tblInd w:w="1116"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14"/>
        <w:gridCol w:w="1001"/>
        <w:gridCol w:w="8358"/>
      </w:tblGrid>
      <w:tr w14:paraId="1CB797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9" w:hRule="atLeast"/>
        </w:trPr>
        <w:tc>
          <w:tcPr>
            <w:tcW w:w="1315" w:type="dxa"/>
            <w:gridSpan w:val="2"/>
            <w:tcBorders>
              <w:top w:val="single" w:color="000000" w:sz="4" w:space="0"/>
              <w:left w:val="single" w:color="000000" w:sz="4" w:space="0"/>
            </w:tcBorders>
            <w:shd w:val="clear" w:color="auto" w:fill="DEEAF6"/>
            <w:vAlign w:val="top"/>
          </w:tcPr>
          <w:p w14:paraId="7EAE8CD0">
            <w:pPr>
              <w:pStyle w:val="7"/>
              <w:spacing w:before="129" w:line="218" w:lineRule="auto"/>
              <w:ind w:left="455"/>
            </w:pPr>
            <w:r>
              <w:rPr>
                <w:b/>
                <w:bCs/>
                <w:spacing w:val="-12"/>
              </w:rPr>
              <w:t>序号</w:t>
            </w:r>
          </w:p>
        </w:tc>
        <w:tc>
          <w:tcPr>
            <w:tcW w:w="8358" w:type="dxa"/>
            <w:tcBorders>
              <w:top w:val="single" w:color="5B9BD5" w:sz="4" w:space="0"/>
              <w:right w:val="single" w:color="5B9BD5" w:sz="4" w:space="0"/>
            </w:tcBorders>
            <w:shd w:val="clear" w:color="auto" w:fill="DEEAF6"/>
            <w:vAlign w:val="top"/>
          </w:tcPr>
          <w:p w14:paraId="4C068957">
            <w:pPr>
              <w:pStyle w:val="7"/>
              <w:spacing w:before="129" w:line="218" w:lineRule="auto"/>
              <w:ind w:left="3528"/>
            </w:pPr>
            <w:r>
              <w:rPr>
                <w:b/>
                <w:bCs/>
                <w:spacing w:val="-20"/>
              </w:rPr>
              <w:t>具体施工措施</w:t>
            </w:r>
          </w:p>
        </w:tc>
      </w:tr>
      <w:tr w14:paraId="341A6B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7" w:hRule="atLeast"/>
        </w:trPr>
        <w:tc>
          <w:tcPr>
            <w:tcW w:w="1315" w:type="dxa"/>
            <w:gridSpan w:val="2"/>
            <w:tcBorders>
              <w:left w:val="single" w:color="000000" w:sz="4" w:space="0"/>
            </w:tcBorders>
            <w:vAlign w:val="top"/>
          </w:tcPr>
          <w:p w14:paraId="74720DF9">
            <w:pPr>
              <w:pStyle w:val="7"/>
              <w:spacing w:before="126" w:line="238" w:lineRule="auto"/>
              <w:ind w:left="631"/>
            </w:pPr>
            <w:r>
              <w:t>1</w:t>
            </w:r>
          </w:p>
        </w:tc>
        <w:tc>
          <w:tcPr>
            <w:tcW w:w="8358" w:type="dxa"/>
            <w:tcBorders>
              <w:right w:val="single" w:color="000000" w:sz="4" w:space="0"/>
            </w:tcBorders>
            <w:vAlign w:val="top"/>
          </w:tcPr>
          <w:p w14:paraId="768339F2">
            <w:pPr>
              <w:pStyle w:val="7"/>
              <w:spacing w:before="126" w:line="215" w:lineRule="auto"/>
              <w:ind w:left="478"/>
            </w:pPr>
            <w:r>
              <w:rPr>
                <w:spacing w:val="-21"/>
              </w:rPr>
              <w:t>在进行高温施工前，对测量工作、计量工作、现场安排统</w:t>
            </w:r>
            <w:r>
              <w:rPr>
                <w:spacing w:val="-22"/>
              </w:rPr>
              <w:t>一部署，落实到人。</w:t>
            </w:r>
          </w:p>
        </w:tc>
      </w:tr>
      <w:tr w14:paraId="4C8349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0" w:hRule="atLeast"/>
        </w:trPr>
        <w:tc>
          <w:tcPr>
            <w:tcW w:w="1315" w:type="dxa"/>
            <w:gridSpan w:val="2"/>
            <w:tcBorders>
              <w:left w:val="single" w:color="000000" w:sz="4" w:space="0"/>
            </w:tcBorders>
            <w:vAlign w:val="top"/>
          </w:tcPr>
          <w:p w14:paraId="16EED17A">
            <w:pPr>
              <w:pStyle w:val="7"/>
              <w:spacing w:before="125" w:line="238" w:lineRule="auto"/>
              <w:ind w:left="616"/>
            </w:pPr>
            <w:r>
              <w:t>2</w:t>
            </w:r>
          </w:p>
        </w:tc>
        <w:tc>
          <w:tcPr>
            <w:tcW w:w="8358" w:type="dxa"/>
            <w:tcBorders>
              <w:right w:val="single" w:color="000000" w:sz="4" w:space="0"/>
            </w:tcBorders>
            <w:vAlign w:val="top"/>
          </w:tcPr>
          <w:p w14:paraId="637B7EE5">
            <w:pPr>
              <w:pStyle w:val="7"/>
              <w:spacing w:before="124" w:line="216" w:lineRule="auto"/>
              <w:ind w:left="2001"/>
            </w:pPr>
            <w:r>
              <w:rPr>
                <w:spacing w:val="-21"/>
              </w:rPr>
              <w:t>做好办公区、生活区的防暑降温、防潮工作。</w:t>
            </w:r>
          </w:p>
        </w:tc>
      </w:tr>
      <w:tr w14:paraId="528DE1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54" w:hRule="atLeast"/>
        </w:trPr>
        <w:tc>
          <w:tcPr>
            <w:tcW w:w="1315" w:type="dxa"/>
            <w:gridSpan w:val="2"/>
            <w:tcBorders>
              <w:left w:val="single" w:color="000000" w:sz="4" w:space="0"/>
            </w:tcBorders>
            <w:vAlign w:val="top"/>
          </w:tcPr>
          <w:p w14:paraId="3CD45032">
            <w:pPr>
              <w:spacing w:line="275" w:lineRule="auto"/>
              <w:rPr>
                <w:rFonts w:ascii="Arial"/>
                <w:sz w:val="21"/>
              </w:rPr>
            </w:pPr>
          </w:p>
          <w:p w14:paraId="10FABA81">
            <w:pPr>
              <w:pStyle w:val="7"/>
              <w:spacing w:before="78" w:line="237" w:lineRule="auto"/>
              <w:ind w:left="618"/>
            </w:pPr>
            <w:r>
              <w:t>3</w:t>
            </w:r>
          </w:p>
        </w:tc>
        <w:tc>
          <w:tcPr>
            <w:tcW w:w="8358" w:type="dxa"/>
            <w:tcBorders>
              <w:right w:val="single" w:color="000000" w:sz="4" w:space="0"/>
            </w:tcBorders>
            <w:vAlign w:val="top"/>
          </w:tcPr>
          <w:p w14:paraId="3D1DC062">
            <w:pPr>
              <w:pStyle w:val="7"/>
              <w:spacing w:before="120" w:line="214" w:lineRule="auto"/>
              <w:ind w:left="66"/>
            </w:pPr>
            <w:r>
              <w:rPr>
                <w:spacing w:val="-23"/>
              </w:rPr>
              <w:t>做好临时设施的完善工作，尽快完成施工现场的工棚、周转材料存放场和库房等临时设</w:t>
            </w:r>
          </w:p>
          <w:p w14:paraId="4AEDF937">
            <w:pPr>
              <w:pStyle w:val="7"/>
              <w:spacing w:before="189" w:line="216" w:lineRule="auto"/>
              <w:ind w:left="3200"/>
            </w:pPr>
            <w:r>
              <w:rPr>
                <w:spacing w:val="-19"/>
              </w:rPr>
              <w:t>施的围挡封闭工作。</w:t>
            </w:r>
          </w:p>
        </w:tc>
      </w:tr>
      <w:tr w14:paraId="74197D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9" w:hRule="atLeast"/>
        </w:trPr>
        <w:tc>
          <w:tcPr>
            <w:tcW w:w="1315" w:type="dxa"/>
            <w:gridSpan w:val="2"/>
            <w:tcBorders>
              <w:left w:val="single" w:color="000000" w:sz="4" w:space="0"/>
            </w:tcBorders>
            <w:vAlign w:val="top"/>
          </w:tcPr>
          <w:p w14:paraId="76DF18EA">
            <w:pPr>
              <w:pStyle w:val="7"/>
              <w:spacing w:before="119" w:line="238" w:lineRule="auto"/>
              <w:ind w:left="612"/>
            </w:pPr>
            <w:r>
              <w:t>4</w:t>
            </w:r>
          </w:p>
        </w:tc>
        <w:tc>
          <w:tcPr>
            <w:tcW w:w="8358" w:type="dxa"/>
            <w:tcBorders>
              <w:right w:val="single" w:color="000000" w:sz="4" w:space="0"/>
            </w:tcBorders>
            <w:vAlign w:val="top"/>
          </w:tcPr>
          <w:p w14:paraId="1E4E5FBC">
            <w:pPr>
              <w:pStyle w:val="7"/>
              <w:spacing w:before="119" w:line="216" w:lineRule="auto"/>
              <w:ind w:left="811"/>
            </w:pPr>
            <w:r>
              <w:rPr>
                <w:spacing w:val="-22"/>
              </w:rPr>
              <w:t>高温季节施工操作人员穿戴较少，高空操作时更应该强调安全</w:t>
            </w:r>
            <w:r>
              <w:rPr>
                <w:spacing w:val="-23"/>
              </w:rPr>
              <w:t>带佩带。</w:t>
            </w:r>
          </w:p>
        </w:tc>
      </w:tr>
      <w:tr w14:paraId="411160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7" w:hRule="atLeast"/>
        </w:trPr>
        <w:tc>
          <w:tcPr>
            <w:tcW w:w="1315" w:type="dxa"/>
            <w:gridSpan w:val="2"/>
            <w:tcBorders>
              <w:left w:val="single" w:color="000000" w:sz="4" w:space="0"/>
            </w:tcBorders>
            <w:vAlign w:val="top"/>
          </w:tcPr>
          <w:p w14:paraId="4B1A103D">
            <w:pPr>
              <w:pStyle w:val="7"/>
              <w:spacing w:before="115" w:line="237" w:lineRule="auto"/>
              <w:ind w:left="618"/>
            </w:pPr>
            <w:r>
              <w:t>5</w:t>
            </w:r>
          </w:p>
        </w:tc>
        <w:tc>
          <w:tcPr>
            <w:tcW w:w="8358" w:type="dxa"/>
            <w:tcBorders>
              <w:right w:val="single" w:color="000000" w:sz="4" w:space="0"/>
            </w:tcBorders>
            <w:vAlign w:val="top"/>
          </w:tcPr>
          <w:p w14:paraId="015C7507">
            <w:pPr>
              <w:pStyle w:val="7"/>
              <w:spacing w:before="116" w:line="215" w:lineRule="auto"/>
              <w:ind w:left="592"/>
            </w:pPr>
            <w:r>
              <w:rPr>
                <w:spacing w:val="-22"/>
              </w:rPr>
              <w:t>高空施工时可在适当的区域设置简易遮阳设备，以供高空人员的施工休息。</w:t>
            </w:r>
          </w:p>
        </w:tc>
      </w:tr>
      <w:tr w14:paraId="011E06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7" w:hRule="atLeast"/>
        </w:trPr>
        <w:tc>
          <w:tcPr>
            <w:tcW w:w="1315" w:type="dxa"/>
            <w:gridSpan w:val="2"/>
            <w:tcBorders>
              <w:left w:val="single" w:color="000000" w:sz="4" w:space="0"/>
            </w:tcBorders>
            <w:vAlign w:val="top"/>
          </w:tcPr>
          <w:p w14:paraId="3D304F11">
            <w:pPr>
              <w:pStyle w:val="7"/>
              <w:spacing w:before="116" w:line="237" w:lineRule="auto"/>
              <w:ind w:left="615"/>
            </w:pPr>
            <w:r>
              <w:t>6</w:t>
            </w:r>
          </w:p>
        </w:tc>
        <w:tc>
          <w:tcPr>
            <w:tcW w:w="8358" w:type="dxa"/>
            <w:tcBorders>
              <w:right w:val="single" w:color="000000" w:sz="4" w:space="0"/>
            </w:tcBorders>
            <w:vAlign w:val="top"/>
          </w:tcPr>
          <w:p w14:paraId="6BC81BE9">
            <w:pPr>
              <w:pStyle w:val="7"/>
              <w:spacing w:before="117" w:line="217" w:lineRule="auto"/>
              <w:ind w:left="2007"/>
            </w:pPr>
            <w:r>
              <w:rPr>
                <w:spacing w:val="-21"/>
              </w:rPr>
              <w:t>工地室内、有条件的尽可能多装些降温设备。</w:t>
            </w:r>
          </w:p>
        </w:tc>
      </w:tr>
      <w:tr w14:paraId="3B7144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7" w:hRule="atLeast"/>
        </w:trPr>
        <w:tc>
          <w:tcPr>
            <w:tcW w:w="1315" w:type="dxa"/>
            <w:gridSpan w:val="2"/>
            <w:tcBorders>
              <w:left w:val="single" w:color="000000" w:sz="4" w:space="0"/>
            </w:tcBorders>
            <w:vAlign w:val="top"/>
          </w:tcPr>
          <w:p w14:paraId="1230E521">
            <w:pPr>
              <w:pStyle w:val="7"/>
              <w:spacing w:before="115" w:line="237" w:lineRule="auto"/>
              <w:ind w:left="619"/>
            </w:pPr>
            <w:r>
              <w:t>7</w:t>
            </w:r>
          </w:p>
        </w:tc>
        <w:tc>
          <w:tcPr>
            <w:tcW w:w="8358" w:type="dxa"/>
            <w:tcBorders>
              <w:right w:val="single" w:color="000000" w:sz="4" w:space="0"/>
            </w:tcBorders>
            <w:vAlign w:val="top"/>
          </w:tcPr>
          <w:p w14:paraId="0107920B">
            <w:pPr>
              <w:pStyle w:val="7"/>
              <w:spacing w:before="115" w:line="216" w:lineRule="auto"/>
              <w:ind w:left="1470"/>
            </w:pPr>
            <w:r>
              <w:rPr>
                <w:spacing w:val="-23"/>
              </w:rPr>
              <w:t>生活区配备充足饮用水，降温饮料和设置遮阳降温凉棚。</w:t>
            </w:r>
          </w:p>
        </w:tc>
      </w:tr>
      <w:tr w14:paraId="06C308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7" w:hRule="atLeast"/>
        </w:trPr>
        <w:tc>
          <w:tcPr>
            <w:tcW w:w="1315" w:type="dxa"/>
            <w:gridSpan w:val="2"/>
            <w:tcBorders>
              <w:left w:val="single" w:color="000000" w:sz="4" w:space="0"/>
            </w:tcBorders>
            <w:vAlign w:val="top"/>
          </w:tcPr>
          <w:p w14:paraId="15C96F8C">
            <w:pPr>
              <w:pStyle w:val="7"/>
              <w:spacing w:before="113" w:line="237" w:lineRule="auto"/>
              <w:ind w:left="614"/>
            </w:pPr>
            <w:r>
              <w:t>8</w:t>
            </w:r>
          </w:p>
        </w:tc>
        <w:tc>
          <w:tcPr>
            <w:tcW w:w="8358" w:type="dxa"/>
            <w:tcBorders>
              <w:right w:val="single" w:color="000000" w:sz="4" w:space="0"/>
            </w:tcBorders>
            <w:vAlign w:val="top"/>
          </w:tcPr>
          <w:p w14:paraId="4B0D8796">
            <w:pPr>
              <w:pStyle w:val="7"/>
              <w:spacing w:before="113" w:line="216" w:lineRule="auto"/>
              <w:ind w:left="2226"/>
            </w:pPr>
            <w:r>
              <w:rPr>
                <w:spacing w:val="-21"/>
              </w:rPr>
              <w:t>合理安排作业时间，错开日照强烈时段。</w:t>
            </w:r>
          </w:p>
        </w:tc>
      </w:tr>
      <w:tr w14:paraId="2C1283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0" w:hRule="atLeast"/>
        </w:trPr>
        <w:tc>
          <w:tcPr>
            <w:tcW w:w="1315" w:type="dxa"/>
            <w:gridSpan w:val="2"/>
            <w:tcBorders>
              <w:left w:val="single" w:color="000000" w:sz="4" w:space="0"/>
            </w:tcBorders>
            <w:vAlign w:val="top"/>
          </w:tcPr>
          <w:p w14:paraId="6255B3D7">
            <w:pPr>
              <w:pStyle w:val="7"/>
              <w:spacing w:before="112" w:line="237" w:lineRule="auto"/>
              <w:ind w:left="614"/>
            </w:pPr>
            <w:r>
              <w:t>9</w:t>
            </w:r>
          </w:p>
        </w:tc>
        <w:tc>
          <w:tcPr>
            <w:tcW w:w="8358" w:type="dxa"/>
            <w:tcBorders>
              <w:right w:val="single" w:color="000000" w:sz="4" w:space="0"/>
            </w:tcBorders>
            <w:vAlign w:val="top"/>
          </w:tcPr>
          <w:p w14:paraId="4E0CC9F5">
            <w:pPr>
              <w:pStyle w:val="7"/>
              <w:spacing w:before="112" w:line="216" w:lineRule="auto"/>
              <w:ind w:left="2329"/>
            </w:pPr>
            <w:r>
              <w:rPr>
                <w:spacing w:val="-21"/>
              </w:rPr>
              <w:t>施工作业面设置防暑降温茶水、药品。</w:t>
            </w:r>
          </w:p>
        </w:tc>
      </w:tr>
      <w:tr w14:paraId="78DDA2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7" w:hRule="atLeast"/>
        </w:trPr>
        <w:tc>
          <w:tcPr>
            <w:tcW w:w="1315" w:type="dxa"/>
            <w:gridSpan w:val="2"/>
            <w:tcBorders>
              <w:left w:val="single" w:color="000000" w:sz="4" w:space="0"/>
            </w:tcBorders>
            <w:vAlign w:val="top"/>
          </w:tcPr>
          <w:p w14:paraId="46515380">
            <w:pPr>
              <w:pStyle w:val="7"/>
              <w:spacing w:before="107" w:line="237" w:lineRule="auto"/>
              <w:ind w:left="575"/>
            </w:pPr>
            <w:r>
              <w:rPr>
                <w:spacing w:val="-10"/>
              </w:rPr>
              <w:t>10</w:t>
            </w:r>
          </w:p>
        </w:tc>
        <w:tc>
          <w:tcPr>
            <w:tcW w:w="8358" w:type="dxa"/>
            <w:tcBorders>
              <w:right w:val="single" w:color="000000" w:sz="4" w:space="0"/>
            </w:tcBorders>
            <w:vAlign w:val="top"/>
          </w:tcPr>
          <w:p w14:paraId="48A0E63A">
            <w:pPr>
              <w:pStyle w:val="7"/>
              <w:spacing w:before="107" w:line="218" w:lineRule="auto"/>
              <w:ind w:left="2437"/>
            </w:pPr>
            <w:r>
              <w:rPr>
                <w:spacing w:val="-21"/>
              </w:rPr>
              <w:t>现场设医务室，及时救治中暑职工。</w:t>
            </w:r>
          </w:p>
        </w:tc>
      </w:tr>
      <w:tr w14:paraId="7D60B0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7" w:hRule="atLeast"/>
        </w:trPr>
        <w:tc>
          <w:tcPr>
            <w:tcW w:w="1315" w:type="dxa"/>
            <w:gridSpan w:val="2"/>
            <w:tcBorders>
              <w:left w:val="single" w:color="000000" w:sz="4" w:space="0"/>
            </w:tcBorders>
            <w:vAlign w:val="top"/>
          </w:tcPr>
          <w:p w14:paraId="050970F9">
            <w:pPr>
              <w:pStyle w:val="7"/>
              <w:spacing w:before="108" w:line="238" w:lineRule="auto"/>
              <w:ind w:left="575"/>
            </w:pPr>
            <w:r>
              <w:rPr>
                <w:spacing w:val="-10"/>
              </w:rPr>
              <w:t>11</w:t>
            </w:r>
          </w:p>
        </w:tc>
        <w:tc>
          <w:tcPr>
            <w:tcW w:w="8358" w:type="dxa"/>
            <w:tcBorders>
              <w:right w:val="single" w:color="000000" w:sz="4" w:space="0"/>
            </w:tcBorders>
            <w:vAlign w:val="top"/>
          </w:tcPr>
          <w:p w14:paraId="589BEBEF">
            <w:pPr>
              <w:pStyle w:val="7"/>
              <w:spacing w:before="108" w:line="218" w:lineRule="auto"/>
              <w:ind w:left="1683"/>
            </w:pPr>
            <w:r>
              <w:rPr>
                <w:spacing w:val="-22"/>
              </w:rPr>
              <w:t>商品混凝土运输和输送要考虑混凝土坍落度的损失。</w:t>
            </w:r>
          </w:p>
        </w:tc>
      </w:tr>
      <w:tr w14:paraId="240455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5" w:hRule="atLeast"/>
        </w:trPr>
        <w:tc>
          <w:tcPr>
            <w:tcW w:w="314" w:type="dxa"/>
            <w:tcBorders>
              <w:left w:val="single" w:color="1C456A" w:sz="4" w:space="0"/>
              <w:bottom w:val="single" w:color="1C456A" w:sz="4" w:space="0"/>
              <w:right w:val="nil"/>
            </w:tcBorders>
            <w:vAlign w:val="top"/>
          </w:tcPr>
          <w:p w14:paraId="0F7F2B87">
            <w:pPr>
              <w:rPr>
                <w:rFonts w:ascii="Arial"/>
                <w:sz w:val="21"/>
              </w:rPr>
            </w:pPr>
            <w:r>
              <w:pict>
                <v:shape id="_x0000_s4015" o:spid="_x0000_s4015" style="position:absolute;left:0pt;margin-left:-0.25pt;margin-top:54.8pt;height:0.75pt;width:2.2pt;mso-position-horizontal-relative:page;mso-position-vertical-relative:page;z-index:252341248;mso-width-relative:page;mso-height-relative:page;" fillcolor="#5B9BD5" filled="t" stroked="f" coordsize="44,15" path="m0,14l43,14,43,0,0,0,0,14xe">
                  <v:path/>
                  <v:fill on="t" focussize="0,0"/>
                  <v:stroke on="f"/>
                  <v:imagedata o:title=""/>
                  <o:lock v:ext="edit"/>
                </v:shape>
              </w:pict>
            </w:r>
          </w:p>
        </w:tc>
        <w:tc>
          <w:tcPr>
            <w:tcW w:w="1001" w:type="dxa"/>
            <w:tcBorders>
              <w:left w:val="nil"/>
              <w:bottom w:val="single" w:color="1C456A" w:sz="4" w:space="0"/>
            </w:tcBorders>
            <w:vAlign w:val="top"/>
          </w:tcPr>
          <w:p w14:paraId="634D8168">
            <w:pPr>
              <w:spacing w:line="260" w:lineRule="auto"/>
              <w:rPr>
                <w:rFonts w:ascii="Arial"/>
                <w:sz w:val="21"/>
              </w:rPr>
            </w:pPr>
          </w:p>
          <w:p w14:paraId="6A94578C">
            <w:pPr>
              <w:pStyle w:val="7"/>
              <w:spacing w:before="78" w:line="238" w:lineRule="auto"/>
              <w:ind w:left="266"/>
            </w:pPr>
            <w:r>
              <w:rPr>
                <w:spacing w:val="-10"/>
              </w:rPr>
              <w:t>12</w:t>
            </w:r>
          </w:p>
        </w:tc>
        <w:tc>
          <w:tcPr>
            <w:tcW w:w="8358" w:type="dxa"/>
            <w:tcBorders>
              <w:bottom w:val="single" w:color="5B9BD5" w:sz="4" w:space="0"/>
              <w:right w:val="single" w:color="5B9BD5" w:sz="4" w:space="0"/>
            </w:tcBorders>
            <w:vAlign w:val="top"/>
          </w:tcPr>
          <w:p w14:paraId="18303316">
            <w:pPr>
              <w:pStyle w:val="7"/>
              <w:spacing w:before="106" w:line="216" w:lineRule="auto"/>
              <w:ind w:left="70"/>
            </w:pPr>
            <w:r>
              <w:pict>
                <v:shape id="_x0000_s4016" o:spid="_x0000_s4016" style="position:absolute;left:0pt;margin-left:416.05pt;margin-top:54.8pt;height:0.75pt;width:2.2pt;mso-position-horizontal-relative:page;mso-position-vertical-relative:page;z-index:252342272;mso-width-relative:page;mso-height-relative:page;" fillcolor="#5B9BD5" filled="t" stroked="f" coordsize="44,15" path="m0,14l43,14,43,0,0,0,0,14xe">
                  <v:path/>
                  <v:fill on="t" focussize="0,0"/>
                  <v:stroke on="f"/>
                  <v:imagedata o:title=""/>
                  <o:lock v:ext="edit"/>
                </v:shape>
              </w:pict>
            </w:r>
            <w:r>
              <w:rPr>
                <w:spacing w:val="-23"/>
              </w:rPr>
              <w:t>混凝土浇筑后，应及时浇水覆盖养护，对后浇带、施工缝等应蓄水养护，减少混凝土因</w:t>
            </w:r>
          </w:p>
          <w:p w14:paraId="45FCEEC6">
            <w:pPr>
              <w:pStyle w:val="7"/>
              <w:spacing w:before="184" w:line="219" w:lineRule="auto"/>
              <w:ind w:left="3313"/>
            </w:pPr>
            <w:r>
              <w:rPr>
                <w:spacing w:val="-23"/>
              </w:rPr>
              <w:t>失水产生的裂纹。</w:t>
            </w:r>
          </w:p>
        </w:tc>
      </w:tr>
    </w:tbl>
    <w:p w14:paraId="4DAC6270">
      <w:pPr>
        <w:pStyle w:val="2"/>
        <w:spacing w:before="115" w:line="217" w:lineRule="auto"/>
        <w:ind w:left="1898"/>
        <w:rPr>
          <w:sz w:val="24"/>
          <w:szCs w:val="24"/>
        </w:rPr>
      </w:pPr>
      <w:r>
        <w:rPr>
          <w:spacing w:val="-20"/>
          <w:sz w:val="24"/>
          <w:szCs w:val="24"/>
        </w:rPr>
        <w:t>夏季施工控制要点</w:t>
      </w:r>
    </w:p>
    <w:p w14:paraId="7B267748">
      <w:pPr>
        <w:spacing w:line="29" w:lineRule="auto"/>
        <w:rPr>
          <w:rFonts w:ascii="Arial"/>
          <w:sz w:val="2"/>
        </w:rPr>
      </w:pPr>
    </w:p>
    <w:tbl>
      <w:tblPr>
        <w:tblStyle w:val="6"/>
        <w:tblW w:w="9673" w:type="dxa"/>
        <w:tblInd w:w="1116"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535"/>
        <w:gridCol w:w="8074"/>
        <w:gridCol w:w="64"/>
      </w:tblGrid>
      <w:tr w14:paraId="79C4B6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4" w:hRule="atLeast"/>
        </w:trPr>
        <w:tc>
          <w:tcPr>
            <w:tcW w:w="1535" w:type="dxa"/>
            <w:tcBorders>
              <w:top w:val="single" w:color="000000" w:sz="4" w:space="0"/>
              <w:left w:val="single" w:color="000000" w:sz="4" w:space="0"/>
            </w:tcBorders>
            <w:shd w:val="clear" w:color="auto" w:fill="DEEAF6"/>
            <w:vAlign w:val="top"/>
          </w:tcPr>
          <w:p w14:paraId="5AA3280B">
            <w:pPr>
              <w:spacing w:line="33" w:lineRule="exact"/>
              <w:ind w:firstLine="1514"/>
            </w:pPr>
            <w:r>
              <w:pict>
                <v:shape id="_x0000_s4017" o:spid="_x0000_s4017" style="position:absolute;left:0pt;margin-left:-0.2pt;margin-top:0pt;height:0.75pt;width:2.2pt;mso-position-horizontal-relative:page;mso-position-vertical-relative:page;z-index:252339200;mso-width-relative:page;mso-height-relative:page;" fillcolor="#5B9BD5" filled="t" stroked="f" coordsize="44,15" path="m0,14l43,14,43,0,0,0,0,14xe">
                  <v:path/>
                  <v:fill on="t" focussize="0,0"/>
                  <v:stroke on="f"/>
                  <v:imagedata o:title=""/>
                  <o:lock v:ext="edit"/>
                </v:shape>
              </w:pict>
            </w:r>
            <w:r>
              <w:pict>
                <v:group id="_x0000_s4018" o:spid="_x0000_s4018" o:spt="203" style="height:2.2pt;width:2.2pt;" coordsize="44,44">
                  <o:lock v:ext="edit"/>
                  <v:shape id="_x0000_s4019" o:spid="_x0000_s4019" style="position:absolute;left:0;top:0;height:15;width:44;" fillcolor="#5B9BD5" filled="t" stroked="f" coordsize="44,15" path="m0,14l43,14,43,0,0,0,0,14xe">
                    <v:path/>
                    <v:fill on="t" focussize="0,0"/>
                    <v:stroke on="f"/>
                    <v:imagedata o:title=""/>
                    <o:lock v:ext="edit"/>
                  </v:shape>
                  <v:shape id="_x0000_s4020" o:spid="_x0000_s4020" style="position:absolute;left:0;top:14;height:15;width:44;" fillcolor="#20507B" filled="t" stroked="f" coordsize="44,15" path="m0,14l43,14,43,0,0,0,0,14xe">
                    <v:path/>
                    <v:fill on="t" focussize="0,0"/>
                    <v:stroke on="f"/>
                    <v:imagedata o:title=""/>
                    <o:lock v:ext="edit"/>
                  </v:shape>
                  <v:shape id="_x0000_s4021" o:spid="_x0000_s4021" style="position:absolute;left:0;top:28;height:15;width:44;" fillcolor="#1C456A" filled="t" stroked="f" coordsize="44,15" path="m0,14l43,14,43,0,0,0,0,14xe">
                    <v:path/>
                    <v:fill on="t" focussize="0,0"/>
                    <v:stroke on="f"/>
                    <v:imagedata o:title=""/>
                    <o:lock v:ext="edit"/>
                  </v:shape>
                  <w10:wrap type="none"/>
                  <w10:anchorlock/>
                </v:group>
              </w:pict>
            </w:r>
          </w:p>
          <w:p w14:paraId="0FB444BC">
            <w:pPr>
              <w:pStyle w:val="7"/>
              <w:spacing w:before="95" w:line="220" w:lineRule="auto"/>
              <w:ind w:left="564"/>
            </w:pPr>
            <w:r>
              <w:rPr>
                <w:b/>
                <w:bCs/>
                <w:spacing w:val="-13"/>
              </w:rPr>
              <w:t>项目</w:t>
            </w:r>
          </w:p>
        </w:tc>
        <w:tc>
          <w:tcPr>
            <w:tcW w:w="8074" w:type="dxa"/>
            <w:tcBorders>
              <w:top w:val="single" w:color="5B9BD5" w:sz="4" w:space="0"/>
              <w:right w:val="nil"/>
            </w:tcBorders>
            <w:shd w:val="clear" w:color="auto" w:fill="DEEAF6"/>
            <w:vAlign w:val="top"/>
          </w:tcPr>
          <w:p w14:paraId="49E8AECE">
            <w:pPr>
              <w:pStyle w:val="7"/>
              <w:spacing w:before="129" w:line="217" w:lineRule="auto"/>
              <w:ind w:left="3630"/>
            </w:pPr>
            <w:r>
              <w:rPr>
                <w:b/>
                <w:bCs/>
                <w:spacing w:val="-18"/>
              </w:rPr>
              <w:t>控制要点</w:t>
            </w:r>
          </w:p>
        </w:tc>
        <w:tc>
          <w:tcPr>
            <w:tcW w:w="64" w:type="dxa"/>
            <w:tcBorders>
              <w:top w:val="single" w:color="5B9BD5" w:sz="4" w:space="0"/>
              <w:left w:val="nil"/>
              <w:right w:val="single" w:color="5B9BD5" w:sz="4" w:space="0"/>
            </w:tcBorders>
            <w:vAlign w:val="top"/>
          </w:tcPr>
          <w:p w14:paraId="4B1C956E">
            <w:pPr>
              <w:rPr>
                <w:rFonts w:ascii="Arial"/>
                <w:sz w:val="21"/>
              </w:rPr>
            </w:pPr>
            <w:r>
              <w:pict>
                <v:shape id="_x0000_s4022" o:spid="_x0000_s4022" style="position:absolute;left:0pt;margin-left:1.35pt;margin-top:0pt;height:0.75pt;width:2.2pt;mso-position-horizontal-relative:page;mso-position-vertical-relative:page;z-index:252337152;mso-width-relative:page;mso-height-relative:page;" fillcolor="#5B9BD5" filled="t" stroked="f" coordsize="44,15" path="m0,14l43,14,43,0,0,0,0,14xe">
                  <v:path/>
                  <v:fill on="t" focussize="0,0"/>
                  <v:stroke on="f"/>
                  <v:imagedata o:title=""/>
                  <o:lock v:ext="edit"/>
                </v:shape>
              </w:pict>
            </w:r>
          </w:p>
        </w:tc>
      </w:tr>
      <w:tr w14:paraId="4C07F9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1064" w:hRule="atLeast"/>
        </w:trPr>
        <w:tc>
          <w:tcPr>
            <w:tcW w:w="1535" w:type="dxa"/>
            <w:vMerge w:val="restart"/>
            <w:tcBorders>
              <w:left w:val="single" w:color="1C456A" w:sz="4" w:space="0"/>
              <w:bottom w:val="nil"/>
            </w:tcBorders>
            <w:vAlign w:val="top"/>
          </w:tcPr>
          <w:p w14:paraId="630F4DF3">
            <w:pPr>
              <w:spacing w:line="283" w:lineRule="auto"/>
              <w:rPr>
                <w:rFonts w:ascii="Arial"/>
                <w:sz w:val="21"/>
              </w:rPr>
            </w:pPr>
            <w:r>
              <w:pict>
                <v:shape id="_x0000_s4023" o:spid="_x0000_s4023" style="position:absolute;left:0pt;margin-left:-0.2pt;margin-top:85.1pt;height:0.75pt;width:2.2pt;mso-position-horizontal-relative:page;mso-position-vertical-relative:page;z-index:252338176;mso-width-relative:page;mso-height-relative:page;" fillcolor="#5B9BD5" filled="t" stroked="f" coordsize="44,15" path="m0,14l43,14,43,0,0,0,0,14xe">
                  <v:path/>
                  <v:fill on="t" focussize="0,0"/>
                  <v:stroke on="f"/>
                  <v:imagedata o:title=""/>
                  <o:lock v:ext="edit"/>
                </v:shape>
              </w:pict>
            </w:r>
          </w:p>
          <w:p w14:paraId="3C2B383B">
            <w:pPr>
              <w:spacing w:line="284" w:lineRule="auto"/>
              <w:rPr>
                <w:rFonts w:ascii="Arial"/>
                <w:sz w:val="21"/>
              </w:rPr>
            </w:pPr>
          </w:p>
          <w:p w14:paraId="6E87377F">
            <w:pPr>
              <w:pStyle w:val="7"/>
              <w:spacing w:before="78" w:line="219" w:lineRule="auto"/>
              <w:ind w:left="240"/>
            </w:pPr>
            <w:r>
              <w:rPr>
                <w:spacing w:val="-18"/>
              </w:rPr>
              <w:t>混凝土工程</w:t>
            </w:r>
          </w:p>
        </w:tc>
        <w:tc>
          <w:tcPr>
            <w:tcW w:w="8138" w:type="dxa"/>
            <w:gridSpan w:val="2"/>
            <w:tcBorders>
              <w:right w:val="single" w:color="000000" w:sz="4" w:space="0"/>
            </w:tcBorders>
            <w:vAlign w:val="top"/>
          </w:tcPr>
          <w:p w14:paraId="4826D249">
            <w:pPr>
              <w:pStyle w:val="7"/>
              <w:spacing w:before="120" w:line="216" w:lineRule="auto"/>
              <w:ind w:left="67"/>
            </w:pPr>
            <w:r>
              <w:rPr>
                <w:spacing w:val="-23"/>
              </w:rPr>
              <w:t>重点控制混凝土的裂缝，选择收缩率小的泵送剂、合理减少水泥用量、加强振捣、拆</w:t>
            </w:r>
          </w:p>
          <w:p w14:paraId="0DA2A23F">
            <w:pPr>
              <w:pStyle w:val="7"/>
              <w:spacing w:before="184" w:line="219" w:lineRule="auto"/>
              <w:ind w:left="3194"/>
            </w:pPr>
            <w:r>
              <w:rPr>
                <w:spacing w:val="-19"/>
              </w:rPr>
              <w:t>模时间适当延长。</w:t>
            </w:r>
          </w:p>
        </w:tc>
      </w:tr>
      <w:tr w14:paraId="61F779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32" w:hRule="atLeast"/>
        </w:trPr>
        <w:tc>
          <w:tcPr>
            <w:tcW w:w="1535" w:type="dxa"/>
            <w:vMerge w:val="continue"/>
            <w:tcBorders>
              <w:top w:val="nil"/>
              <w:left w:val="single" w:color="1C456A" w:sz="4" w:space="0"/>
              <w:bottom w:val="single" w:color="1C456A" w:sz="4" w:space="0"/>
            </w:tcBorders>
            <w:vAlign w:val="top"/>
          </w:tcPr>
          <w:p w14:paraId="64A2CAE3">
            <w:pPr>
              <w:rPr>
                <w:rFonts w:ascii="Arial"/>
                <w:sz w:val="21"/>
              </w:rPr>
            </w:pPr>
          </w:p>
        </w:tc>
        <w:tc>
          <w:tcPr>
            <w:tcW w:w="8138" w:type="dxa"/>
            <w:gridSpan w:val="2"/>
            <w:tcBorders>
              <w:bottom w:val="single" w:color="5B9BD5" w:sz="4" w:space="0"/>
              <w:right w:val="single" w:color="5B9BD5" w:sz="4" w:space="0"/>
            </w:tcBorders>
            <w:vAlign w:val="top"/>
          </w:tcPr>
          <w:p w14:paraId="4698CF12">
            <w:pPr>
              <w:pStyle w:val="7"/>
              <w:spacing w:before="108" w:line="215" w:lineRule="auto"/>
              <w:ind w:left="149"/>
            </w:pPr>
            <w:r>
              <w:pict>
                <v:shape id="_x0000_s4024" o:spid="_x0000_s4024" style="position:absolute;left:0pt;margin-left:405.05pt;margin-top:31.65pt;height:0.75pt;width:2.2pt;mso-position-horizontal-relative:page;mso-position-vertical-relative:page;z-index:252340224;mso-width-relative:page;mso-height-relative:page;" fillcolor="#5B9BD5" filled="t" stroked="f" coordsize="44,15" path="m0,14l43,14,43,0,0,0,0,14xe">
                  <v:path/>
                  <v:fill on="t" focussize="0,0"/>
                  <v:stroke on="f"/>
                  <v:imagedata o:title=""/>
                  <o:lock v:ext="edit"/>
                </v:shape>
              </w:pict>
            </w:r>
            <w:r>
              <w:rPr>
                <w:spacing w:val="-21"/>
              </w:rPr>
              <w:t>夏季混凝土罐车罐体进行保湿降温，在罐车上包</w:t>
            </w:r>
            <w:r>
              <w:rPr>
                <w:spacing w:val="-22"/>
              </w:rPr>
              <w:t>裹麻袋等保湿效果比较好的材料。</w:t>
            </w:r>
          </w:p>
        </w:tc>
      </w:tr>
    </w:tbl>
    <w:p w14:paraId="205816AC">
      <w:pPr>
        <w:rPr>
          <w:rFonts w:ascii="Arial"/>
          <w:sz w:val="21"/>
        </w:rPr>
      </w:pPr>
    </w:p>
    <w:p w14:paraId="76DC9ADF">
      <w:pPr>
        <w:rPr>
          <w:rFonts w:ascii="Arial" w:hAnsi="Arial" w:eastAsia="Arial" w:cs="Arial"/>
          <w:sz w:val="21"/>
          <w:szCs w:val="21"/>
        </w:rPr>
        <w:sectPr>
          <w:footerReference r:id="rId378" w:type="default"/>
          <w:pgSz w:w="11907" w:h="16839"/>
          <w:pgMar w:top="933" w:right="4" w:bottom="1038" w:left="0" w:header="478" w:footer="357" w:gutter="0"/>
          <w:pgBorders>
            <w:top w:val="none" w:sz="0" w:space="0"/>
            <w:left w:val="none" w:sz="0" w:space="0"/>
            <w:bottom w:val="none" w:sz="0" w:space="0"/>
            <w:right w:val="none" w:sz="0" w:space="0"/>
          </w:pgBorders>
          <w:cols w:space="720" w:num="1"/>
        </w:sectPr>
      </w:pPr>
    </w:p>
    <w:p w14:paraId="20B5D60C">
      <w:pPr>
        <w:spacing w:line="235" w:lineRule="exact"/>
      </w:pPr>
    </w:p>
    <w:tbl>
      <w:tblPr>
        <w:tblStyle w:val="6"/>
        <w:tblW w:w="9673" w:type="dxa"/>
        <w:tblInd w:w="1116"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527"/>
        <w:gridCol w:w="8146"/>
      </w:tblGrid>
      <w:tr w14:paraId="16CF71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1089" w:hRule="atLeast"/>
        </w:trPr>
        <w:tc>
          <w:tcPr>
            <w:tcW w:w="1527" w:type="dxa"/>
            <w:vMerge w:val="restart"/>
            <w:tcBorders>
              <w:top w:val="single" w:color="000000" w:sz="4" w:space="0"/>
              <w:left w:val="single" w:color="000000" w:sz="4" w:space="0"/>
              <w:bottom w:val="nil"/>
            </w:tcBorders>
            <w:vAlign w:val="top"/>
          </w:tcPr>
          <w:p w14:paraId="7ADDC486">
            <w:pPr>
              <w:rPr>
                <w:rFonts w:ascii="Arial"/>
                <w:sz w:val="21"/>
              </w:rPr>
            </w:pPr>
          </w:p>
        </w:tc>
        <w:tc>
          <w:tcPr>
            <w:tcW w:w="8146" w:type="dxa"/>
            <w:tcBorders>
              <w:top w:val="single" w:color="5B9BD5" w:sz="4" w:space="0"/>
              <w:right w:val="single" w:color="5B9BD5" w:sz="4" w:space="0"/>
            </w:tcBorders>
            <w:vAlign w:val="top"/>
          </w:tcPr>
          <w:p w14:paraId="6800B03D">
            <w:pPr>
              <w:pStyle w:val="7"/>
              <w:spacing w:before="129" w:line="216" w:lineRule="auto"/>
              <w:ind w:left="68"/>
            </w:pPr>
            <w:r>
              <w:rPr>
                <w:spacing w:val="-23"/>
              </w:rPr>
              <w:t>拆模后及时包裹双层塑料薄膜进行保湿养护。墙拆模后安排专人喷水养护，保证混凝</w:t>
            </w:r>
          </w:p>
          <w:p w14:paraId="1D77A321">
            <w:pPr>
              <w:pStyle w:val="7"/>
              <w:spacing w:before="185" w:line="218" w:lineRule="auto"/>
              <w:ind w:left="3206"/>
            </w:pPr>
            <w:r>
              <w:rPr>
                <w:spacing w:val="-19"/>
              </w:rPr>
              <w:t>土处于湿润状态。</w:t>
            </w:r>
          </w:p>
        </w:tc>
      </w:tr>
      <w:tr w14:paraId="3A94EE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5" w:hRule="atLeast"/>
        </w:trPr>
        <w:tc>
          <w:tcPr>
            <w:tcW w:w="1527" w:type="dxa"/>
            <w:vMerge w:val="continue"/>
            <w:tcBorders>
              <w:top w:val="nil"/>
              <w:left w:val="single" w:color="000000" w:sz="4" w:space="0"/>
              <w:bottom w:val="nil"/>
            </w:tcBorders>
            <w:vAlign w:val="top"/>
          </w:tcPr>
          <w:p w14:paraId="45170AD5">
            <w:pPr>
              <w:rPr>
                <w:rFonts w:ascii="Arial"/>
                <w:sz w:val="21"/>
              </w:rPr>
            </w:pPr>
          </w:p>
        </w:tc>
        <w:tc>
          <w:tcPr>
            <w:tcW w:w="8146" w:type="dxa"/>
            <w:tcBorders>
              <w:right w:val="single" w:color="000000" w:sz="4" w:space="0"/>
            </w:tcBorders>
            <w:vAlign w:val="top"/>
          </w:tcPr>
          <w:p w14:paraId="2DBFDB1B">
            <w:pPr>
              <w:pStyle w:val="7"/>
              <w:spacing w:before="91" w:line="216" w:lineRule="auto"/>
              <w:ind w:left="2004"/>
            </w:pPr>
            <w:r>
              <w:rPr>
                <w:spacing w:val="-21"/>
              </w:rPr>
              <w:t>水平板结构采用塑料薄膜覆盖并浇水养护。</w:t>
            </w:r>
          </w:p>
        </w:tc>
      </w:tr>
      <w:tr w14:paraId="09B02C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5" w:hRule="atLeast"/>
        </w:trPr>
        <w:tc>
          <w:tcPr>
            <w:tcW w:w="1527" w:type="dxa"/>
            <w:vMerge w:val="continue"/>
            <w:tcBorders>
              <w:top w:val="nil"/>
              <w:left w:val="single" w:color="000000" w:sz="4" w:space="0"/>
            </w:tcBorders>
            <w:vAlign w:val="top"/>
          </w:tcPr>
          <w:p w14:paraId="3EE14E76">
            <w:pPr>
              <w:rPr>
                <w:rFonts w:ascii="Arial"/>
                <w:sz w:val="21"/>
              </w:rPr>
            </w:pPr>
          </w:p>
        </w:tc>
        <w:tc>
          <w:tcPr>
            <w:tcW w:w="8146" w:type="dxa"/>
            <w:tcBorders>
              <w:right w:val="single" w:color="000000" w:sz="4" w:space="0"/>
            </w:tcBorders>
            <w:vAlign w:val="top"/>
          </w:tcPr>
          <w:p w14:paraId="17FFC3F4">
            <w:pPr>
              <w:pStyle w:val="7"/>
              <w:spacing w:before="94" w:line="218" w:lineRule="auto"/>
              <w:ind w:left="755"/>
            </w:pPr>
            <w:r>
              <w:rPr>
                <w:spacing w:val="-19"/>
              </w:rPr>
              <w:t>混凝土的入模温度不高于35℃,大体积混凝土入模温度不高于30℃。</w:t>
            </w:r>
          </w:p>
        </w:tc>
      </w:tr>
      <w:tr w14:paraId="57FCCE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85" w:hRule="atLeast"/>
        </w:trPr>
        <w:tc>
          <w:tcPr>
            <w:tcW w:w="1527" w:type="dxa"/>
            <w:vMerge w:val="restart"/>
            <w:tcBorders>
              <w:left w:val="single" w:color="000000" w:sz="4" w:space="0"/>
              <w:bottom w:val="nil"/>
            </w:tcBorders>
            <w:vAlign w:val="top"/>
          </w:tcPr>
          <w:p w14:paraId="5E25BF58">
            <w:pPr>
              <w:spacing w:line="301" w:lineRule="auto"/>
              <w:rPr>
                <w:rFonts w:ascii="Arial"/>
                <w:sz w:val="21"/>
              </w:rPr>
            </w:pPr>
          </w:p>
          <w:p w14:paraId="3C59C004">
            <w:pPr>
              <w:spacing w:line="302" w:lineRule="auto"/>
              <w:rPr>
                <w:rFonts w:ascii="Arial"/>
                <w:sz w:val="21"/>
              </w:rPr>
            </w:pPr>
          </w:p>
          <w:p w14:paraId="0392FEDC">
            <w:pPr>
              <w:pStyle w:val="7"/>
              <w:spacing w:before="78" w:line="218" w:lineRule="auto"/>
              <w:ind w:left="343"/>
            </w:pPr>
            <w:r>
              <w:rPr>
                <w:spacing w:val="-15"/>
              </w:rPr>
              <w:t>砌体工程</w:t>
            </w:r>
          </w:p>
        </w:tc>
        <w:tc>
          <w:tcPr>
            <w:tcW w:w="8146" w:type="dxa"/>
            <w:tcBorders>
              <w:right w:val="single" w:color="000000" w:sz="4" w:space="0"/>
            </w:tcBorders>
            <w:vAlign w:val="top"/>
          </w:tcPr>
          <w:p w14:paraId="0F88106C">
            <w:pPr>
              <w:pStyle w:val="7"/>
              <w:spacing w:before="95" w:line="215" w:lineRule="auto"/>
              <w:ind w:left="1186"/>
            </w:pPr>
            <w:r>
              <w:rPr>
                <w:spacing w:val="-19"/>
              </w:rPr>
              <w:t>砌体要充分湿润，砌筑砂浆稠度稍加大，控制在90mm左右。</w:t>
            </w:r>
          </w:p>
        </w:tc>
      </w:tr>
      <w:tr w14:paraId="6B1444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5" w:hRule="atLeast"/>
        </w:trPr>
        <w:tc>
          <w:tcPr>
            <w:tcW w:w="1527" w:type="dxa"/>
            <w:vMerge w:val="continue"/>
            <w:tcBorders>
              <w:top w:val="nil"/>
              <w:left w:val="single" w:color="000000" w:sz="4" w:space="0"/>
              <w:bottom w:val="nil"/>
            </w:tcBorders>
            <w:vAlign w:val="top"/>
          </w:tcPr>
          <w:p w14:paraId="64CF8272">
            <w:pPr>
              <w:rPr>
                <w:rFonts w:ascii="Arial"/>
                <w:sz w:val="21"/>
              </w:rPr>
            </w:pPr>
          </w:p>
        </w:tc>
        <w:tc>
          <w:tcPr>
            <w:tcW w:w="8146" w:type="dxa"/>
            <w:tcBorders>
              <w:right w:val="single" w:color="000000" w:sz="4" w:space="0"/>
            </w:tcBorders>
            <w:vAlign w:val="top"/>
          </w:tcPr>
          <w:p w14:paraId="2C4B10FE">
            <w:pPr>
              <w:pStyle w:val="7"/>
              <w:spacing w:before="94" w:line="217" w:lineRule="auto"/>
              <w:ind w:left="916"/>
            </w:pPr>
            <w:r>
              <w:rPr>
                <w:spacing w:val="-22"/>
              </w:rPr>
              <w:t>根据实际需要控制砂浆的拌制量，严禁使用已失水或凝结的砂浆。</w:t>
            </w:r>
          </w:p>
        </w:tc>
      </w:tr>
      <w:tr w14:paraId="149FEA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7" w:hRule="atLeast"/>
        </w:trPr>
        <w:tc>
          <w:tcPr>
            <w:tcW w:w="1527" w:type="dxa"/>
            <w:vMerge w:val="continue"/>
            <w:tcBorders>
              <w:top w:val="nil"/>
              <w:left w:val="single" w:color="000000" w:sz="4" w:space="0"/>
            </w:tcBorders>
            <w:vAlign w:val="top"/>
          </w:tcPr>
          <w:p w14:paraId="6E1C0A1F">
            <w:pPr>
              <w:rPr>
                <w:rFonts w:ascii="Arial"/>
                <w:sz w:val="21"/>
              </w:rPr>
            </w:pPr>
          </w:p>
        </w:tc>
        <w:tc>
          <w:tcPr>
            <w:tcW w:w="8146" w:type="dxa"/>
            <w:tcBorders>
              <w:right w:val="single" w:color="000000" w:sz="4" w:space="0"/>
            </w:tcBorders>
            <w:vAlign w:val="top"/>
          </w:tcPr>
          <w:p w14:paraId="421A3FAD">
            <w:pPr>
              <w:pStyle w:val="7"/>
              <w:spacing w:before="95" w:line="217" w:lineRule="auto"/>
              <w:ind w:left="1682"/>
            </w:pPr>
            <w:r>
              <w:rPr>
                <w:spacing w:val="-21"/>
              </w:rPr>
              <w:t>派专人分片管理，及时对砌筑完的墙体浇水养护。</w:t>
            </w:r>
          </w:p>
        </w:tc>
      </w:tr>
      <w:tr w14:paraId="48AA2C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83" w:hRule="atLeast"/>
        </w:trPr>
        <w:tc>
          <w:tcPr>
            <w:tcW w:w="1527" w:type="dxa"/>
            <w:vMerge w:val="restart"/>
            <w:tcBorders>
              <w:left w:val="single" w:color="000000" w:sz="4" w:space="0"/>
              <w:bottom w:val="nil"/>
            </w:tcBorders>
            <w:vAlign w:val="top"/>
          </w:tcPr>
          <w:p w14:paraId="3146F7FA">
            <w:pPr>
              <w:spacing w:line="247" w:lineRule="auto"/>
              <w:rPr>
                <w:rFonts w:ascii="Arial"/>
                <w:sz w:val="21"/>
              </w:rPr>
            </w:pPr>
          </w:p>
          <w:p w14:paraId="441D72EE">
            <w:pPr>
              <w:spacing w:line="247" w:lineRule="auto"/>
              <w:rPr>
                <w:rFonts w:ascii="Arial"/>
                <w:sz w:val="21"/>
              </w:rPr>
            </w:pPr>
          </w:p>
          <w:p w14:paraId="307CC97F">
            <w:pPr>
              <w:spacing w:line="248" w:lineRule="auto"/>
              <w:rPr>
                <w:rFonts w:ascii="Arial"/>
                <w:sz w:val="21"/>
              </w:rPr>
            </w:pPr>
          </w:p>
          <w:p w14:paraId="37329183">
            <w:pPr>
              <w:spacing w:line="248" w:lineRule="auto"/>
              <w:rPr>
                <w:rFonts w:ascii="Arial"/>
                <w:sz w:val="21"/>
              </w:rPr>
            </w:pPr>
          </w:p>
          <w:p w14:paraId="6A364466">
            <w:pPr>
              <w:spacing w:line="248" w:lineRule="auto"/>
              <w:rPr>
                <w:rFonts w:ascii="Arial"/>
                <w:sz w:val="21"/>
              </w:rPr>
            </w:pPr>
          </w:p>
          <w:p w14:paraId="3F481691">
            <w:pPr>
              <w:spacing w:line="248" w:lineRule="auto"/>
              <w:rPr>
                <w:rFonts w:ascii="Arial"/>
                <w:sz w:val="21"/>
              </w:rPr>
            </w:pPr>
          </w:p>
          <w:p w14:paraId="6757C90D">
            <w:pPr>
              <w:spacing w:line="248" w:lineRule="auto"/>
              <w:rPr>
                <w:rFonts w:ascii="Arial"/>
                <w:sz w:val="21"/>
              </w:rPr>
            </w:pPr>
          </w:p>
          <w:p w14:paraId="5BD7DC21">
            <w:pPr>
              <w:spacing w:line="248" w:lineRule="auto"/>
              <w:rPr>
                <w:rFonts w:ascii="Arial"/>
                <w:sz w:val="21"/>
              </w:rPr>
            </w:pPr>
          </w:p>
          <w:p w14:paraId="1D9F4D65">
            <w:pPr>
              <w:spacing w:line="248" w:lineRule="auto"/>
              <w:rPr>
                <w:rFonts w:ascii="Arial"/>
                <w:sz w:val="21"/>
              </w:rPr>
            </w:pPr>
          </w:p>
          <w:p w14:paraId="1F4F1AEF">
            <w:pPr>
              <w:pStyle w:val="7"/>
              <w:spacing w:before="78" w:line="219" w:lineRule="auto"/>
              <w:ind w:left="357"/>
            </w:pPr>
            <w:r>
              <w:rPr>
                <w:spacing w:val="-19"/>
              </w:rPr>
              <w:t>管道工程</w:t>
            </w:r>
          </w:p>
        </w:tc>
        <w:tc>
          <w:tcPr>
            <w:tcW w:w="8146" w:type="dxa"/>
            <w:tcBorders>
              <w:right w:val="single" w:color="000000" w:sz="4" w:space="0"/>
            </w:tcBorders>
            <w:vAlign w:val="top"/>
          </w:tcPr>
          <w:p w14:paraId="6AC32E59">
            <w:pPr>
              <w:pStyle w:val="7"/>
              <w:spacing w:before="95" w:line="215" w:lineRule="auto"/>
              <w:jc w:val="right"/>
            </w:pPr>
            <w:r>
              <w:rPr>
                <w:spacing w:val="-25"/>
              </w:rPr>
              <w:t>为了预防气温突然下降，使工程遭受冻害，在冬期施工前后10天内，注意天气变化，</w:t>
            </w:r>
          </w:p>
          <w:p w14:paraId="796C00A5">
            <w:pPr>
              <w:pStyle w:val="7"/>
              <w:spacing w:before="188" w:line="216" w:lineRule="auto"/>
              <w:ind w:left="97"/>
            </w:pPr>
            <w:r>
              <w:rPr>
                <w:spacing w:val="-17"/>
              </w:rPr>
              <w:t>各工程队工程试验人员应做好每日6:00，14:00，21:00的测温记录，并注意收集气</w:t>
            </w:r>
          </w:p>
          <w:p w14:paraId="36414664">
            <w:pPr>
              <w:pStyle w:val="7"/>
              <w:spacing w:before="187" w:line="216" w:lineRule="auto"/>
              <w:ind w:left="72"/>
            </w:pPr>
            <w:r>
              <w:rPr>
                <w:spacing w:val="-23"/>
              </w:rPr>
              <w:t>象部门的有关气象资料，对各施工工点及作业队及时通报天气变化情况，以便及时采</w:t>
            </w:r>
          </w:p>
          <w:p w14:paraId="6A04D862">
            <w:pPr>
              <w:pStyle w:val="7"/>
              <w:spacing w:before="185" w:line="218" w:lineRule="auto"/>
              <w:ind w:left="3422"/>
            </w:pPr>
            <w:r>
              <w:rPr>
                <w:spacing w:val="-18"/>
              </w:rPr>
              <w:t>取防冻措施。</w:t>
            </w:r>
          </w:p>
        </w:tc>
      </w:tr>
      <w:tr w14:paraId="770187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52" w:hRule="atLeast"/>
        </w:trPr>
        <w:tc>
          <w:tcPr>
            <w:tcW w:w="1527" w:type="dxa"/>
            <w:vMerge w:val="continue"/>
            <w:tcBorders>
              <w:top w:val="nil"/>
              <w:left w:val="single" w:color="000000" w:sz="4" w:space="0"/>
              <w:bottom w:val="nil"/>
            </w:tcBorders>
            <w:vAlign w:val="top"/>
          </w:tcPr>
          <w:p w14:paraId="60B57E79">
            <w:pPr>
              <w:rPr>
                <w:rFonts w:ascii="Arial"/>
                <w:sz w:val="21"/>
              </w:rPr>
            </w:pPr>
          </w:p>
        </w:tc>
        <w:tc>
          <w:tcPr>
            <w:tcW w:w="8146" w:type="dxa"/>
            <w:tcBorders>
              <w:right w:val="single" w:color="000000" w:sz="4" w:space="0"/>
            </w:tcBorders>
            <w:vAlign w:val="top"/>
          </w:tcPr>
          <w:p w14:paraId="3EECE149">
            <w:pPr>
              <w:pStyle w:val="7"/>
              <w:spacing w:before="99" w:line="215" w:lineRule="auto"/>
              <w:ind w:left="68"/>
            </w:pPr>
            <w:r>
              <w:rPr>
                <w:spacing w:val="-23"/>
              </w:rPr>
              <w:t>避免在中午高温时进行防水施工。防水涂膜或卷材施工后，须经干燥、变硬后方可上</w:t>
            </w:r>
          </w:p>
          <w:p w14:paraId="518E8371">
            <w:pPr>
              <w:pStyle w:val="7"/>
              <w:spacing w:before="187" w:line="217" w:lineRule="auto"/>
              <w:ind w:left="482"/>
            </w:pPr>
            <w:r>
              <w:rPr>
                <w:spacing w:val="-21"/>
              </w:rPr>
              <w:t>人；遇有天气炎热的情况下如不能有效保护防水涂</w:t>
            </w:r>
            <w:r>
              <w:rPr>
                <w:spacing w:val="-22"/>
              </w:rPr>
              <w:t>膜或卷材时应停止施工。</w:t>
            </w:r>
          </w:p>
        </w:tc>
      </w:tr>
      <w:tr w14:paraId="31FE28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85" w:hRule="atLeast"/>
        </w:trPr>
        <w:tc>
          <w:tcPr>
            <w:tcW w:w="1527" w:type="dxa"/>
            <w:vMerge w:val="continue"/>
            <w:tcBorders>
              <w:top w:val="nil"/>
              <w:left w:val="single" w:color="000000" w:sz="4" w:space="0"/>
            </w:tcBorders>
            <w:vAlign w:val="top"/>
          </w:tcPr>
          <w:p w14:paraId="72C2A2A5">
            <w:pPr>
              <w:rPr>
                <w:rFonts w:ascii="Arial"/>
                <w:sz w:val="21"/>
              </w:rPr>
            </w:pPr>
          </w:p>
        </w:tc>
        <w:tc>
          <w:tcPr>
            <w:tcW w:w="8146" w:type="dxa"/>
            <w:tcBorders>
              <w:right w:val="single" w:color="000000" w:sz="4" w:space="0"/>
            </w:tcBorders>
            <w:vAlign w:val="top"/>
          </w:tcPr>
          <w:p w14:paraId="43AB346C">
            <w:pPr>
              <w:pStyle w:val="7"/>
              <w:spacing w:before="102" w:line="359" w:lineRule="auto"/>
              <w:ind w:left="70" w:firstLine="11"/>
            </w:pPr>
            <w:r>
              <w:rPr>
                <w:spacing w:val="-21"/>
              </w:rPr>
              <w:t>管道两侧和管顶以上500mm范围内胸腔夯实，应</w:t>
            </w:r>
            <w:r>
              <w:rPr>
                <w:spacing w:val="-22"/>
              </w:rPr>
              <w:t>采用轻型压实机具，管道两侧压实面</w:t>
            </w:r>
            <w:r>
              <w:rPr>
                <w:spacing w:val="-19"/>
              </w:rPr>
              <w:t>的高差不应超过300mm；分段回填压实时，相邻段的接茬应呈台阶形，且不得漏夯；</w:t>
            </w:r>
            <w:r>
              <w:rPr>
                <w:spacing w:val="-23"/>
              </w:rPr>
              <w:t>采用轻型压实设备时，应夯夯相连，采用压路机时，碾压的重</w:t>
            </w:r>
            <w:r>
              <w:rPr>
                <w:spacing w:val="-24"/>
              </w:rPr>
              <w:t>叠宽度不得小于200mm；</w:t>
            </w:r>
          </w:p>
          <w:p w14:paraId="23F2FECC">
            <w:pPr>
              <w:pStyle w:val="7"/>
              <w:spacing w:line="216" w:lineRule="auto"/>
              <w:ind w:left="506"/>
            </w:pPr>
            <w:r>
              <w:rPr>
                <w:spacing w:val="-18"/>
              </w:rPr>
              <w:t>采用压路机、振动压路机等压实机械压实时</w:t>
            </w:r>
            <w:r>
              <w:rPr>
                <w:spacing w:val="-19"/>
              </w:rPr>
              <w:t>，其行驶速度不得超过2km/h。</w:t>
            </w:r>
          </w:p>
        </w:tc>
      </w:tr>
      <w:tr w14:paraId="6F1E8C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52" w:hRule="atLeast"/>
        </w:trPr>
        <w:tc>
          <w:tcPr>
            <w:tcW w:w="1527" w:type="dxa"/>
            <w:vMerge w:val="restart"/>
            <w:tcBorders>
              <w:left w:val="single" w:color="1C456A" w:sz="4" w:space="0"/>
              <w:bottom w:val="nil"/>
            </w:tcBorders>
            <w:vAlign w:val="top"/>
          </w:tcPr>
          <w:p w14:paraId="7A1C4D76">
            <w:pPr>
              <w:spacing w:line="274" w:lineRule="auto"/>
              <w:rPr>
                <w:rFonts w:ascii="Arial"/>
                <w:sz w:val="21"/>
              </w:rPr>
            </w:pPr>
            <w:r>
              <w:pict>
                <v:shape id="_x0000_s4025" o:spid="_x0000_s4025" style="position:absolute;left:0pt;margin-left:-0.2pt;margin-top:84.2pt;height:0.75pt;width:2.2pt;mso-position-horizontal-relative:page;mso-position-vertical-relative:page;z-index:252346368;mso-width-relative:page;mso-height-relative:page;" fillcolor="#5B9BD5" filled="t" stroked="f" coordsize="44,15" path="m0,14l43,14,43,0,0,0,0,14xe">
                  <v:path/>
                  <v:fill on="t" focussize="0,0"/>
                  <v:stroke on="f"/>
                  <v:imagedata o:title=""/>
                  <o:lock v:ext="edit"/>
                </v:shape>
              </w:pict>
            </w:r>
          </w:p>
          <w:p w14:paraId="1FED5E44">
            <w:pPr>
              <w:spacing w:line="274" w:lineRule="auto"/>
              <w:rPr>
                <w:rFonts w:ascii="Arial"/>
                <w:sz w:val="21"/>
              </w:rPr>
            </w:pPr>
          </w:p>
          <w:p w14:paraId="4F3151CD">
            <w:pPr>
              <w:pStyle w:val="7"/>
              <w:spacing w:before="78" w:line="219" w:lineRule="auto"/>
              <w:ind w:left="343"/>
            </w:pPr>
            <w:r>
              <w:rPr>
                <w:spacing w:val="-15"/>
              </w:rPr>
              <w:t>铺装工程</w:t>
            </w:r>
          </w:p>
        </w:tc>
        <w:tc>
          <w:tcPr>
            <w:tcW w:w="8146" w:type="dxa"/>
            <w:tcBorders>
              <w:right w:val="single" w:color="000000" w:sz="4" w:space="0"/>
            </w:tcBorders>
            <w:vAlign w:val="top"/>
          </w:tcPr>
          <w:p w14:paraId="7C54015C">
            <w:pPr>
              <w:pStyle w:val="7"/>
              <w:spacing w:before="102" w:line="216" w:lineRule="auto"/>
              <w:ind w:left="1135"/>
            </w:pPr>
            <w:r>
              <w:rPr>
                <w:spacing w:val="-21"/>
              </w:rPr>
              <w:t>采用干硬性砂浆，砂浆随伴随铺，随时调整缝隙，且铺</w:t>
            </w:r>
            <w:r>
              <w:rPr>
                <w:spacing w:val="-22"/>
              </w:rPr>
              <w:t>一段、</w:t>
            </w:r>
          </w:p>
          <w:p w14:paraId="5DB3D57E">
            <w:pPr>
              <w:pStyle w:val="7"/>
              <w:spacing w:before="184" w:line="216" w:lineRule="auto"/>
              <w:ind w:left="2007"/>
            </w:pPr>
            <w:r>
              <w:rPr>
                <w:spacing w:val="-22"/>
              </w:rPr>
              <w:t>检查一段，合格立刻覆盖塑料薄膜和草帘。</w:t>
            </w:r>
          </w:p>
        </w:tc>
      </w:tr>
      <w:tr w14:paraId="4120A0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6" w:hRule="atLeast"/>
        </w:trPr>
        <w:tc>
          <w:tcPr>
            <w:tcW w:w="1527" w:type="dxa"/>
            <w:vMerge w:val="continue"/>
            <w:tcBorders>
              <w:top w:val="nil"/>
              <w:left w:val="single" w:color="1C456A" w:sz="4" w:space="0"/>
              <w:bottom w:val="single" w:color="1C456A" w:sz="4" w:space="0"/>
            </w:tcBorders>
            <w:vAlign w:val="top"/>
          </w:tcPr>
          <w:p w14:paraId="2002E482">
            <w:pPr>
              <w:rPr>
                <w:rFonts w:ascii="Arial"/>
                <w:sz w:val="21"/>
              </w:rPr>
            </w:pPr>
          </w:p>
        </w:tc>
        <w:tc>
          <w:tcPr>
            <w:tcW w:w="8146" w:type="dxa"/>
            <w:tcBorders>
              <w:bottom w:val="single" w:color="5B9BD5" w:sz="4" w:space="0"/>
              <w:right w:val="single" w:color="5B9BD5" w:sz="4" w:space="0"/>
            </w:tcBorders>
            <w:vAlign w:val="top"/>
          </w:tcPr>
          <w:p w14:paraId="5C815E19">
            <w:pPr>
              <w:pStyle w:val="7"/>
              <w:spacing w:before="104" w:line="215" w:lineRule="auto"/>
              <w:ind w:left="1245"/>
            </w:pPr>
            <w:r>
              <w:pict>
                <v:shape id="_x0000_s4026" o:spid="_x0000_s4026" style="position:absolute;left:0pt;margin-left:405.45pt;margin-top:31.35pt;height:0.75pt;width:2.2pt;mso-position-horizontal-relative:page;mso-position-vertical-relative:page;z-index:252347392;mso-width-relative:page;mso-height-relative:page;" fillcolor="#5B9BD5" filled="t" stroked="f" coordsize="44,15" path="m0,14l43,14,43,0,0,0,0,14xe">
                  <v:path/>
                  <v:fill on="t" focussize="0,0"/>
                  <v:stroke on="f"/>
                  <v:imagedata o:title=""/>
                  <o:lock v:ext="edit"/>
                </v:shape>
              </w:pict>
            </w:r>
            <w:r>
              <w:rPr>
                <w:spacing w:val="-22"/>
              </w:rPr>
              <w:t>覆盖无砂混凝土的塑料薄膜和草帘，在铺砖时，随揭随铺。</w:t>
            </w:r>
          </w:p>
        </w:tc>
      </w:tr>
    </w:tbl>
    <w:p w14:paraId="5CFFB374">
      <w:pPr>
        <w:pStyle w:val="2"/>
        <w:spacing w:before="112" w:line="217" w:lineRule="auto"/>
        <w:ind w:left="1888"/>
        <w:rPr>
          <w:sz w:val="24"/>
          <w:szCs w:val="24"/>
        </w:rPr>
      </w:pPr>
      <w:r>
        <w:rPr>
          <w:spacing w:val="-18"/>
          <w:sz w:val="24"/>
          <w:szCs w:val="24"/>
        </w:rPr>
        <w:t>2.5冬季施工方案及保障措施</w:t>
      </w:r>
    </w:p>
    <w:p w14:paraId="1600337C">
      <w:pPr>
        <w:pStyle w:val="2"/>
        <w:spacing w:before="119" w:line="218" w:lineRule="auto"/>
        <w:ind w:left="1895"/>
        <w:rPr>
          <w:sz w:val="24"/>
          <w:szCs w:val="24"/>
        </w:rPr>
      </w:pPr>
      <w:r>
        <w:rPr>
          <w:spacing w:val="-18"/>
          <w:sz w:val="24"/>
          <w:szCs w:val="24"/>
        </w:rPr>
        <w:t>冬季施工概述</w:t>
      </w:r>
    </w:p>
    <w:p w14:paraId="33596C3B">
      <w:pPr>
        <w:pStyle w:val="2"/>
        <w:spacing w:before="117" w:line="263" w:lineRule="auto"/>
        <w:ind w:left="1894" w:right="1533"/>
        <w:rPr>
          <w:sz w:val="24"/>
          <w:szCs w:val="24"/>
        </w:rPr>
      </w:pPr>
      <w:r>
        <w:rPr>
          <w:spacing w:val="-23"/>
          <w:sz w:val="24"/>
          <w:szCs w:val="24"/>
        </w:rPr>
        <w:t>根据本工程进度计划安排，本工程不涉及冬季施工，以下格式仅体现招标文件的完整性。</w:t>
      </w:r>
      <w:r>
        <w:rPr>
          <w:spacing w:val="-18"/>
          <w:sz w:val="24"/>
          <w:szCs w:val="24"/>
        </w:rPr>
        <w:t>冬季施工准备</w:t>
      </w:r>
    </w:p>
    <w:tbl>
      <w:tblPr>
        <w:tblStyle w:val="6"/>
        <w:tblW w:w="9673" w:type="dxa"/>
        <w:tblInd w:w="1116"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548"/>
        <w:gridCol w:w="8064"/>
        <w:gridCol w:w="61"/>
      </w:tblGrid>
      <w:tr w14:paraId="4202B0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96" w:hRule="atLeast"/>
        </w:trPr>
        <w:tc>
          <w:tcPr>
            <w:tcW w:w="1548" w:type="dxa"/>
            <w:tcBorders>
              <w:top w:val="single" w:color="000000" w:sz="4" w:space="0"/>
              <w:left w:val="single" w:color="000000" w:sz="4" w:space="0"/>
            </w:tcBorders>
            <w:shd w:val="clear" w:color="auto" w:fill="DEEAF6"/>
            <w:vAlign w:val="top"/>
          </w:tcPr>
          <w:p w14:paraId="2D88ED93">
            <w:pPr>
              <w:spacing w:line="93" w:lineRule="exact"/>
            </w:pPr>
            <w:r>
              <w:rPr>
                <w:position w:val="-1"/>
              </w:rPr>
              <w:pict>
                <v:group id="_x0000_s4027" o:spid="_x0000_s4027" o:spt="203" style="height:5.2pt;width:78.9pt;" coordsize="1578,103">
                  <o:lock v:ext="edit"/>
                  <v:shape id="_x0000_s4028" o:spid="_x0000_s4028" style="position:absolute;left:0;top:0;height:15;width:44;" fillcolor="#5B9BD5" filled="t" stroked="f" coordsize="44,15" path="m0,14l43,14,43,0,0,0,0,14xe">
                    <v:path/>
                    <v:fill on="t" focussize="0,0"/>
                    <v:stroke on="f"/>
                    <v:imagedata o:title=""/>
                    <o:lock v:ext="edit"/>
                  </v:shape>
                  <v:shape id="_x0000_s4029" o:spid="_x0000_s4029" style="position:absolute;left:43;top:43;height:60;width:1491;" fillcolor="#DEEAF6" filled="t" stroked="f" coordsize="1491,60" path="m0,60l1490,60,1490,0,0,0,0,60xe">
                    <v:path/>
                    <v:fill on="t" focussize="0,0"/>
                    <v:stroke on="f"/>
                    <v:imagedata o:title=""/>
                    <o:lock v:ext="edit"/>
                  </v:shape>
                  <v:shape id="_x0000_s4030" o:spid="_x0000_s4030" style="position:absolute;left:1533;top:0;height:15;width:44;" fillcolor="#5B9BD5" filled="t" stroked="f" coordsize="44,15" path="m0,14l43,14,43,0,0,0,0,14xe">
                    <v:path/>
                    <v:fill on="t" focussize="0,0"/>
                    <v:stroke on="f"/>
                    <v:imagedata o:title=""/>
                    <o:lock v:ext="edit"/>
                  </v:shape>
                  <v:shape id="_x0000_s4031" o:spid="_x0000_s4031" style="position:absolute;left:1533;top:14;height:15;width:44;" fillcolor="#20507B" filled="t" stroked="f" coordsize="44,15" path="m0,14l43,14,43,0,0,0,0,14xe">
                    <v:path/>
                    <v:fill on="t" focussize="0,0"/>
                    <v:stroke on="f"/>
                    <v:imagedata o:title=""/>
                    <o:lock v:ext="edit"/>
                  </v:shape>
                  <v:shape id="_x0000_s4032" o:spid="_x0000_s4032" style="position:absolute;left:1533;top:28;height:15;width:44;" fillcolor="#1C456A" filled="t" stroked="f" coordsize="44,15" path="m0,14l43,14,43,0,0,0,0,14xe">
                    <v:path/>
                    <v:fill on="t" focussize="0,0"/>
                    <v:stroke on="f"/>
                    <v:imagedata o:title=""/>
                    <o:lock v:ext="edit"/>
                  </v:shape>
                  <w10:wrap type="none"/>
                  <w10:anchorlock/>
                </v:group>
              </w:pict>
            </w:r>
          </w:p>
          <w:p w14:paraId="4E09A472">
            <w:pPr>
              <w:pStyle w:val="7"/>
              <w:spacing w:before="35" w:line="220" w:lineRule="auto"/>
              <w:ind w:left="568"/>
            </w:pPr>
            <w:r>
              <w:rPr>
                <w:b/>
                <w:bCs/>
                <w:spacing w:val="-13"/>
              </w:rPr>
              <w:t>项目</w:t>
            </w:r>
          </w:p>
        </w:tc>
        <w:tc>
          <w:tcPr>
            <w:tcW w:w="8064" w:type="dxa"/>
            <w:tcBorders>
              <w:top w:val="single" w:color="5B9BD5" w:sz="4" w:space="0"/>
              <w:right w:val="nil"/>
            </w:tcBorders>
            <w:shd w:val="clear" w:color="auto" w:fill="DEEAF6"/>
            <w:vAlign w:val="top"/>
          </w:tcPr>
          <w:p w14:paraId="4D4A4907">
            <w:pPr>
              <w:pStyle w:val="7"/>
              <w:spacing w:before="129" w:line="218" w:lineRule="auto"/>
              <w:ind w:left="3405"/>
            </w:pPr>
            <w:r>
              <w:rPr>
                <w:b/>
                <w:bCs/>
                <w:spacing w:val="-20"/>
              </w:rPr>
              <w:t>具体施工措施</w:t>
            </w:r>
          </w:p>
        </w:tc>
        <w:tc>
          <w:tcPr>
            <w:tcW w:w="61" w:type="dxa"/>
            <w:tcBorders>
              <w:top w:val="single" w:color="5B9BD5" w:sz="4" w:space="0"/>
              <w:left w:val="nil"/>
              <w:right w:val="single" w:color="5B9BD5" w:sz="4" w:space="0"/>
            </w:tcBorders>
            <w:vAlign w:val="top"/>
          </w:tcPr>
          <w:p w14:paraId="3339266E">
            <w:pPr>
              <w:rPr>
                <w:rFonts w:ascii="Arial"/>
                <w:sz w:val="21"/>
              </w:rPr>
            </w:pPr>
            <w:r>
              <w:pict>
                <v:shape id="_x0000_s4033" o:spid="_x0000_s4033" style="position:absolute;left:0pt;margin-left:1.2pt;margin-top:0pt;height:0.75pt;width:2.2pt;mso-position-horizontal-relative:page;mso-position-vertical-relative:page;z-index:252344320;mso-width-relative:page;mso-height-relative:page;" fillcolor="#5B9BD5" filled="t" stroked="f" coordsize="44,15" path="m0,14l43,14,43,0,0,0,0,14xe">
                  <v:path/>
                  <v:fill on="t" focussize="0,0"/>
                  <v:stroke on="f"/>
                  <v:imagedata o:title=""/>
                  <o:lock v:ext="edit"/>
                </v:shape>
              </w:pict>
            </w:r>
          </w:p>
        </w:tc>
      </w:tr>
      <w:tr w14:paraId="256EDB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09" w:hRule="atLeast"/>
        </w:trPr>
        <w:tc>
          <w:tcPr>
            <w:tcW w:w="1548" w:type="dxa"/>
            <w:tcBorders>
              <w:left w:val="single" w:color="1C456A" w:sz="4" w:space="0"/>
              <w:bottom w:val="single" w:color="1C456A" w:sz="4" w:space="0"/>
            </w:tcBorders>
            <w:vAlign w:val="top"/>
          </w:tcPr>
          <w:p w14:paraId="24483DDF">
            <w:pPr>
              <w:spacing w:line="272" w:lineRule="auto"/>
              <w:rPr>
                <w:rFonts w:ascii="Arial"/>
                <w:sz w:val="21"/>
              </w:rPr>
            </w:pPr>
            <w:r>
              <w:pict>
                <v:shape id="_x0000_s4034" o:spid="_x0000_s4034" style="position:absolute;left:0pt;margin-left:-0.2pt;margin-top:55.45pt;height:0.75pt;width:2.2pt;mso-position-horizontal-relative:page;mso-position-vertical-relative:page;z-index:252345344;mso-width-relative:page;mso-height-relative:page;" fillcolor="#5B9BD5" filled="t" stroked="f" coordsize="44,15" path="m0,14l43,14,43,0,0,0,0,14xe">
                  <v:path/>
                  <v:fill on="t" focussize="0,0"/>
                  <v:stroke on="f"/>
                  <v:imagedata o:title=""/>
                  <o:lock v:ext="edit"/>
                </v:shape>
              </w:pict>
            </w:r>
          </w:p>
          <w:p w14:paraId="7754D1DC">
            <w:pPr>
              <w:pStyle w:val="7"/>
              <w:spacing w:before="78" w:line="218" w:lineRule="auto"/>
              <w:ind w:left="350"/>
            </w:pPr>
            <w:r>
              <w:rPr>
                <w:spacing w:val="-15"/>
              </w:rPr>
              <w:t>组织准备</w:t>
            </w:r>
          </w:p>
        </w:tc>
        <w:tc>
          <w:tcPr>
            <w:tcW w:w="8125" w:type="dxa"/>
            <w:gridSpan w:val="2"/>
            <w:tcBorders>
              <w:bottom w:val="single" w:color="5B9BD5" w:sz="4" w:space="0"/>
              <w:right w:val="single" w:color="5B9BD5" w:sz="4" w:space="0"/>
            </w:tcBorders>
            <w:vAlign w:val="top"/>
          </w:tcPr>
          <w:p w14:paraId="2BFC0E76">
            <w:pPr>
              <w:pStyle w:val="7"/>
              <w:spacing w:before="119" w:line="358" w:lineRule="auto"/>
              <w:ind w:left="66" w:right="47" w:hanging="1"/>
            </w:pPr>
            <w:r>
              <w:pict>
                <v:shape id="_x0000_s4035" o:spid="_x0000_s4035" style="position:absolute;left:0pt;margin-left:404.4pt;margin-top:55.45pt;height:0.75pt;width:2.2pt;mso-position-horizontal-relative:page;mso-position-vertical-relative:page;z-index:252343296;mso-width-relative:page;mso-height-relative:page;" fillcolor="#5B9BD5" filled="t" stroked="f" coordsize="44,15" path="m0,14l43,14,43,0,0,0,0,14xe">
                  <v:path/>
                  <v:fill on="t" focussize="0,0"/>
                  <v:stroke on="f"/>
                  <v:imagedata o:title=""/>
                  <o:lock v:ext="edit"/>
                </v:shape>
              </w:pict>
            </w:r>
            <w:r>
              <w:rPr>
                <w:spacing w:val="-24"/>
              </w:rPr>
              <w:t>我单位将成立由总承包项目经理、项目生产副经理、项目总工程师、质量总监、安全总监组成的冬季施工领导小组，指挥协调冬季施工的各项工作，并对冬季施工期间的</w:t>
            </w:r>
          </w:p>
        </w:tc>
      </w:tr>
    </w:tbl>
    <w:p w14:paraId="070B3CDD">
      <w:pPr>
        <w:rPr>
          <w:rFonts w:ascii="Arial"/>
          <w:sz w:val="21"/>
        </w:rPr>
      </w:pPr>
    </w:p>
    <w:p w14:paraId="7CB2BF67">
      <w:pPr>
        <w:rPr>
          <w:rFonts w:ascii="Arial" w:hAnsi="Arial" w:eastAsia="Arial" w:cs="Arial"/>
          <w:sz w:val="21"/>
          <w:szCs w:val="21"/>
        </w:rPr>
        <w:sectPr>
          <w:footerReference r:id="rId379" w:type="default"/>
          <w:pgSz w:w="11907" w:h="16839"/>
          <w:pgMar w:top="933" w:right="4" w:bottom="1038" w:left="0" w:header="478" w:footer="357" w:gutter="0"/>
          <w:pgBorders>
            <w:top w:val="none" w:sz="0" w:space="0"/>
            <w:left w:val="none" w:sz="0" w:space="0"/>
            <w:bottom w:val="none" w:sz="0" w:space="0"/>
            <w:right w:val="none" w:sz="0" w:space="0"/>
          </w:pgBorders>
          <w:cols w:space="720" w:num="1"/>
        </w:sectPr>
      </w:pPr>
    </w:p>
    <w:p w14:paraId="3C95C9BC">
      <w:pPr>
        <w:spacing w:line="235" w:lineRule="exact"/>
      </w:pPr>
    </w:p>
    <w:tbl>
      <w:tblPr>
        <w:tblStyle w:val="6"/>
        <w:tblW w:w="9673" w:type="dxa"/>
        <w:tblInd w:w="1116"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80"/>
        <w:gridCol w:w="757"/>
        <w:gridCol w:w="8136"/>
      </w:tblGrid>
      <w:tr w14:paraId="4159EF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1" w:hRule="atLeast"/>
        </w:trPr>
        <w:tc>
          <w:tcPr>
            <w:tcW w:w="1537" w:type="dxa"/>
            <w:gridSpan w:val="2"/>
            <w:vMerge w:val="restart"/>
            <w:tcBorders>
              <w:top w:val="single" w:color="000000" w:sz="4" w:space="0"/>
              <w:left w:val="single" w:color="000000" w:sz="4" w:space="0"/>
              <w:bottom w:val="nil"/>
            </w:tcBorders>
            <w:vAlign w:val="top"/>
          </w:tcPr>
          <w:p w14:paraId="7BEB9BE5">
            <w:pPr>
              <w:rPr>
                <w:rFonts w:ascii="Arial"/>
                <w:sz w:val="21"/>
              </w:rPr>
            </w:pPr>
          </w:p>
        </w:tc>
        <w:tc>
          <w:tcPr>
            <w:tcW w:w="8136" w:type="dxa"/>
            <w:tcBorders>
              <w:top w:val="single" w:color="5B9BD5" w:sz="4" w:space="0"/>
              <w:right w:val="single" w:color="5B9BD5" w:sz="4" w:space="0"/>
            </w:tcBorders>
            <w:vAlign w:val="top"/>
          </w:tcPr>
          <w:p w14:paraId="188C3D49">
            <w:pPr>
              <w:pStyle w:val="7"/>
              <w:spacing w:before="129" w:line="219" w:lineRule="auto"/>
              <w:ind w:left="2877"/>
            </w:pPr>
            <w:r>
              <w:rPr>
                <w:spacing w:val="-21"/>
              </w:rPr>
              <w:t>质量、进度、安全负责。</w:t>
            </w:r>
          </w:p>
        </w:tc>
      </w:tr>
      <w:tr w14:paraId="0D9827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86" w:hRule="atLeast"/>
        </w:trPr>
        <w:tc>
          <w:tcPr>
            <w:tcW w:w="1537" w:type="dxa"/>
            <w:gridSpan w:val="2"/>
            <w:vMerge w:val="continue"/>
            <w:tcBorders>
              <w:top w:val="nil"/>
              <w:left w:val="single" w:color="000000" w:sz="4" w:space="0"/>
            </w:tcBorders>
            <w:vAlign w:val="top"/>
          </w:tcPr>
          <w:p w14:paraId="7BAB3372">
            <w:pPr>
              <w:rPr>
                <w:rFonts w:ascii="Arial"/>
                <w:sz w:val="21"/>
              </w:rPr>
            </w:pPr>
          </w:p>
        </w:tc>
        <w:tc>
          <w:tcPr>
            <w:tcW w:w="8136" w:type="dxa"/>
            <w:tcBorders>
              <w:right w:val="single" w:color="000000" w:sz="4" w:space="0"/>
            </w:tcBorders>
            <w:vAlign w:val="top"/>
          </w:tcPr>
          <w:p w14:paraId="61D8C617">
            <w:pPr>
              <w:pStyle w:val="7"/>
              <w:spacing w:before="94" w:line="216" w:lineRule="auto"/>
              <w:ind w:left="69"/>
            </w:pPr>
            <w:r>
              <w:rPr>
                <w:spacing w:val="-23"/>
              </w:rPr>
              <w:t>冬季施工领导小组将提前召开冬季施工专题会议，对冬季施工的各项工作做出统一部</w:t>
            </w:r>
          </w:p>
          <w:p w14:paraId="3D4EE1A7">
            <w:pPr>
              <w:pStyle w:val="7"/>
              <w:spacing w:before="184" w:line="216" w:lineRule="auto"/>
              <w:ind w:left="3089"/>
            </w:pPr>
            <w:r>
              <w:rPr>
                <w:spacing w:val="-19"/>
              </w:rPr>
              <w:t>署并进行责任分工。</w:t>
            </w:r>
          </w:p>
          <w:p w14:paraId="2E73C145">
            <w:pPr>
              <w:pStyle w:val="7"/>
              <w:spacing w:before="187" w:line="215" w:lineRule="auto"/>
              <w:ind w:left="94"/>
            </w:pPr>
            <w:r>
              <w:rPr>
                <w:spacing w:val="-21"/>
              </w:rPr>
              <w:t>安排好冬季测温人员，在进入规定冬季施工前15天开始进行大气测温，掌握</w:t>
            </w:r>
            <w:r>
              <w:rPr>
                <w:spacing w:val="-22"/>
              </w:rPr>
              <w:t>每日气</w:t>
            </w:r>
          </w:p>
          <w:p w14:paraId="3075C19C">
            <w:pPr>
              <w:pStyle w:val="7"/>
              <w:spacing w:before="188" w:line="216" w:lineRule="auto"/>
              <w:ind w:left="1676"/>
            </w:pPr>
            <w:r>
              <w:rPr>
                <w:spacing w:val="-21"/>
              </w:rPr>
              <w:t>温状况并及时收集气象预报情况，防止寒流突袭。</w:t>
            </w:r>
          </w:p>
        </w:tc>
      </w:tr>
      <w:tr w14:paraId="061CC1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86" w:hRule="atLeast"/>
        </w:trPr>
        <w:tc>
          <w:tcPr>
            <w:tcW w:w="780" w:type="dxa"/>
            <w:vMerge w:val="restart"/>
            <w:tcBorders>
              <w:left w:val="single" w:color="000000" w:sz="4" w:space="0"/>
              <w:bottom w:val="nil"/>
            </w:tcBorders>
            <w:vAlign w:val="top"/>
          </w:tcPr>
          <w:p w14:paraId="68D9C339">
            <w:pPr>
              <w:spacing w:line="251" w:lineRule="auto"/>
              <w:rPr>
                <w:rFonts w:ascii="Arial"/>
                <w:sz w:val="21"/>
              </w:rPr>
            </w:pPr>
          </w:p>
          <w:p w14:paraId="5AC1AE5A">
            <w:pPr>
              <w:spacing w:line="251" w:lineRule="auto"/>
              <w:rPr>
                <w:rFonts w:ascii="Arial"/>
                <w:sz w:val="21"/>
              </w:rPr>
            </w:pPr>
          </w:p>
          <w:p w14:paraId="622A384E">
            <w:pPr>
              <w:spacing w:line="251" w:lineRule="auto"/>
              <w:rPr>
                <w:rFonts w:ascii="Arial"/>
                <w:sz w:val="21"/>
              </w:rPr>
            </w:pPr>
          </w:p>
          <w:p w14:paraId="4D3C8C92">
            <w:pPr>
              <w:spacing w:line="251" w:lineRule="auto"/>
              <w:rPr>
                <w:rFonts w:ascii="Arial"/>
                <w:sz w:val="21"/>
              </w:rPr>
            </w:pPr>
          </w:p>
          <w:p w14:paraId="64420FE1">
            <w:pPr>
              <w:spacing w:line="251" w:lineRule="auto"/>
              <w:rPr>
                <w:rFonts w:ascii="Arial"/>
                <w:sz w:val="21"/>
              </w:rPr>
            </w:pPr>
          </w:p>
          <w:p w14:paraId="717D6754">
            <w:pPr>
              <w:spacing w:line="251" w:lineRule="auto"/>
              <w:rPr>
                <w:rFonts w:ascii="Arial"/>
                <w:sz w:val="21"/>
              </w:rPr>
            </w:pPr>
          </w:p>
          <w:p w14:paraId="31E99BA8">
            <w:pPr>
              <w:spacing w:line="251" w:lineRule="auto"/>
              <w:rPr>
                <w:rFonts w:ascii="Arial"/>
                <w:sz w:val="21"/>
              </w:rPr>
            </w:pPr>
          </w:p>
          <w:p w14:paraId="52AA04C9">
            <w:pPr>
              <w:spacing w:line="251" w:lineRule="auto"/>
              <w:rPr>
                <w:rFonts w:ascii="Arial"/>
                <w:sz w:val="21"/>
              </w:rPr>
            </w:pPr>
          </w:p>
          <w:p w14:paraId="326F1002">
            <w:pPr>
              <w:spacing w:line="251" w:lineRule="auto"/>
              <w:rPr>
                <w:rFonts w:ascii="Arial"/>
                <w:sz w:val="21"/>
              </w:rPr>
            </w:pPr>
          </w:p>
          <w:p w14:paraId="319326C2">
            <w:pPr>
              <w:spacing w:line="251" w:lineRule="auto"/>
              <w:rPr>
                <w:rFonts w:ascii="Arial"/>
                <w:sz w:val="21"/>
              </w:rPr>
            </w:pPr>
          </w:p>
          <w:p w14:paraId="24DB88BC">
            <w:pPr>
              <w:spacing w:line="251" w:lineRule="auto"/>
              <w:rPr>
                <w:rFonts w:ascii="Arial"/>
                <w:sz w:val="21"/>
              </w:rPr>
            </w:pPr>
          </w:p>
          <w:p w14:paraId="33B73397">
            <w:pPr>
              <w:spacing w:line="251" w:lineRule="auto"/>
              <w:rPr>
                <w:rFonts w:ascii="Arial"/>
                <w:sz w:val="21"/>
              </w:rPr>
            </w:pPr>
          </w:p>
          <w:p w14:paraId="18597AD6">
            <w:pPr>
              <w:spacing w:line="251" w:lineRule="auto"/>
              <w:rPr>
                <w:rFonts w:ascii="Arial"/>
                <w:sz w:val="21"/>
              </w:rPr>
            </w:pPr>
          </w:p>
          <w:p w14:paraId="458A0DD7">
            <w:pPr>
              <w:spacing w:line="252" w:lineRule="auto"/>
              <w:rPr>
                <w:rFonts w:ascii="Arial"/>
                <w:sz w:val="21"/>
              </w:rPr>
            </w:pPr>
          </w:p>
          <w:p w14:paraId="09733AEC">
            <w:pPr>
              <w:spacing w:line="252" w:lineRule="auto"/>
              <w:rPr>
                <w:rFonts w:ascii="Arial"/>
                <w:sz w:val="21"/>
              </w:rPr>
            </w:pPr>
          </w:p>
          <w:p w14:paraId="2CEAD462">
            <w:pPr>
              <w:spacing w:line="252" w:lineRule="auto"/>
              <w:rPr>
                <w:rFonts w:ascii="Arial"/>
                <w:sz w:val="21"/>
              </w:rPr>
            </w:pPr>
          </w:p>
          <w:p w14:paraId="080F42E2">
            <w:pPr>
              <w:spacing w:line="252" w:lineRule="auto"/>
              <w:rPr>
                <w:rFonts w:ascii="Arial"/>
                <w:sz w:val="21"/>
              </w:rPr>
            </w:pPr>
          </w:p>
          <w:p w14:paraId="6C26E51A">
            <w:pPr>
              <w:spacing w:line="252" w:lineRule="auto"/>
              <w:rPr>
                <w:rFonts w:ascii="Arial"/>
                <w:sz w:val="21"/>
              </w:rPr>
            </w:pPr>
          </w:p>
          <w:p w14:paraId="2E7C9B91">
            <w:pPr>
              <w:spacing w:line="252" w:lineRule="auto"/>
              <w:rPr>
                <w:rFonts w:ascii="Arial"/>
                <w:sz w:val="21"/>
              </w:rPr>
            </w:pPr>
          </w:p>
          <w:p w14:paraId="0374CC4D">
            <w:pPr>
              <w:spacing w:line="252" w:lineRule="auto"/>
              <w:rPr>
                <w:rFonts w:ascii="Arial"/>
                <w:sz w:val="21"/>
              </w:rPr>
            </w:pPr>
          </w:p>
          <w:p w14:paraId="2A185E7D">
            <w:pPr>
              <w:pStyle w:val="7"/>
              <w:spacing w:before="78" w:line="218" w:lineRule="auto"/>
              <w:ind w:left="189"/>
            </w:pPr>
            <w:r>
              <w:rPr>
                <w:spacing w:val="-10"/>
              </w:rPr>
              <w:t>技术</w:t>
            </w:r>
          </w:p>
          <w:p w14:paraId="13506DBB">
            <w:pPr>
              <w:pStyle w:val="7"/>
              <w:spacing w:before="184" w:line="218" w:lineRule="auto"/>
              <w:ind w:left="191"/>
            </w:pPr>
            <w:r>
              <w:rPr>
                <w:spacing w:val="-11"/>
              </w:rPr>
              <w:t>准备</w:t>
            </w:r>
          </w:p>
        </w:tc>
        <w:tc>
          <w:tcPr>
            <w:tcW w:w="757" w:type="dxa"/>
            <w:vAlign w:val="top"/>
          </w:tcPr>
          <w:p w14:paraId="28F822C3">
            <w:pPr>
              <w:spacing w:line="479" w:lineRule="auto"/>
              <w:rPr>
                <w:rFonts w:ascii="Arial"/>
                <w:sz w:val="21"/>
              </w:rPr>
            </w:pPr>
          </w:p>
          <w:p w14:paraId="0BCA5326">
            <w:pPr>
              <w:pStyle w:val="7"/>
              <w:spacing w:before="78" w:line="219" w:lineRule="auto"/>
              <w:ind w:left="175"/>
            </w:pPr>
            <w:r>
              <w:rPr>
                <w:spacing w:val="-11"/>
              </w:rPr>
              <w:t>方案</w:t>
            </w:r>
          </w:p>
          <w:p w14:paraId="2F3C7A35">
            <w:pPr>
              <w:pStyle w:val="7"/>
              <w:spacing w:before="184" w:line="217" w:lineRule="auto"/>
              <w:ind w:left="171"/>
            </w:pPr>
            <w:r>
              <w:rPr>
                <w:spacing w:val="-10"/>
              </w:rPr>
              <w:t>编制</w:t>
            </w:r>
          </w:p>
        </w:tc>
        <w:tc>
          <w:tcPr>
            <w:tcW w:w="8136" w:type="dxa"/>
            <w:tcBorders>
              <w:right w:val="single" w:color="000000" w:sz="4" w:space="0"/>
            </w:tcBorders>
            <w:vAlign w:val="top"/>
          </w:tcPr>
          <w:p w14:paraId="3A3933D5">
            <w:pPr>
              <w:pStyle w:val="7"/>
              <w:spacing w:before="95" w:line="215" w:lineRule="auto"/>
              <w:ind w:left="93"/>
            </w:pPr>
            <w:r>
              <w:rPr>
                <w:spacing w:val="-20"/>
              </w:rPr>
              <w:t>编制时间：我单位将在冬季施工前15日内，</w:t>
            </w:r>
            <w:r>
              <w:rPr>
                <w:spacing w:val="-21"/>
              </w:rPr>
              <w:t>编制并审批完成该工程更为详细的冬季</w:t>
            </w:r>
          </w:p>
          <w:p w14:paraId="283A29FA">
            <w:pPr>
              <w:pStyle w:val="7"/>
              <w:spacing w:before="185" w:line="219" w:lineRule="auto"/>
              <w:ind w:left="3526"/>
            </w:pPr>
            <w:r>
              <w:rPr>
                <w:spacing w:val="-17"/>
              </w:rPr>
              <w:t>施工方案。</w:t>
            </w:r>
          </w:p>
          <w:p w14:paraId="48FDDEFC">
            <w:pPr>
              <w:pStyle w:val="7"/>
              <w:spacing w:before="183" w:line="217" w:lineRule="auto"/>
              <w:ind w:left="69"/>
            </w:pPr>
            <w:r>
              <w:rPr>
                <w:spacing w:val="-23"/>
              </w:rPr>
              <w:t>编制原则：方案将根据具体施工图、实际工程进度及施工状况编制完成，提出切实可</w:t>
            </w:r>
          </w:p>
          <w:p w14:paraId="53496F48">
            <w:pPr>
              <w:pStyle w:val="7"/>
              <w:spacing w:before="184" w:line="217" w:lineRule="auto"/>
              <w:ind w:left="1783"/>
            </w:pPr>
            <w:r>
              <w:rPr>
                <w:spacing w:val="-22"/>
              </w:rPr>
              <w:t>行的保温措施及各分项工程冬季施工技术措施。</w:t>
            </w:r>
          </w:p>
        </w:tc>
      </w:tr>
      <w:tr w14:paraId="776AE5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83" w:hRule="atLeast"/>
        </w:trPr>
        <w:tc>
          <w:tcPr>
            <w:tcW w:w="780" w:type="dxa"/>
            <w:vMerge w:val="continue"/>
            <w:tcBorders>
              <w:top w:val="nil"/>
              <w:left w:val="single" w:color="000000" w:sz="4" w:space="0"/>
              <w:bottom w:val="nil"/>
            </w:tcBorders>
            <w:vAlign w:val="top"/>
          </w:tcPr>
          <w:p w14:paraId="11E43014">
            <w:pPr>
              <w:rPr>
                <w:rFonts w:ascii="Arial"/>
                <w:sz w:val="21"/>
              </w:rPr>
            </w:pPr>
          </w:p>
        </w:tc>
        <w:tc>
          <w:tcPr>
            <w:tcW w:w="757" w:type="dxa"/>
            <w:vMerge w:val="restart"/>
            <w:tcBorders>
              <w:bottom w:val="nil"/>
            </w:tcBorders>
            <w:vAlign w:val="top"/>
          </w:tcPr>
          <w:p w14:paraId="33627751">
            <w:pPr>
              <w:spacing w:line="251" w:lineRule="auto"/>
              <w:rPr>
                <w:rFonts w:ascii="Arial"/>
                <w:sz w:val="21"/>
              </w:rPr>
            </w:pPr>
          </w:p>
          <w:p w14:paraId="4858D606">
            <w:pPr>
              <w:spacing w:line="251" w:lineRule="auto"/>
              <w:rPr>
                <w:rFonts w:ascii="Arial"/>
                <w:sz w:val="21"/>
              </w:rPr>
            </w:pPr>
          </w:p>
          <w:p w14:paraId="0ABF1ED2">
            <w:pPr>
              <w:spacing w:line="252" w:lineRule="auto"/>
              <w:rPr>
                <w:rFonts w:ascii="Arial"/>
                <w:sz w:val="21"/>
              </w:rPr>
            </w:pPr>
          </w:p>
          <w:p w14:paraId="59405EF9">
            <w:pPr>
              <w:spacing w:line="252" w:lineRule="auto"/>
              <w:rPr>
                <w:rFonts w:ascii="Arial"/>
                <w:sz w:val="21"/>
              </w:rPr>
            </w:pPr>
          </w:p>
          <w:p w14:paraId="6F3FEEA8">
            <w:pPr>
              <w:pStyle w:val="7"/>
              <w:spacing w:before="78" w:line="220" w:lineRule="auto"/>
              <w:ind w:left="175"/>
            </w:pPr>
            <w:r>
              <w:rPr>
                <w:spacing w:val="-11"/>
              </w:rPr>
              <w:t>方法</w:t>
            </w:r>
          </w:p>
          <w:p w14:paraId="1E7B069E">
            <w:pPr>
              <w:pStyle w:val="7"/>
              <w:spacing w:before="181" w:line="216" w:lineRule="auto"/>
              <w:ind w:left="172"/>
            </w:pPr>
            <w:r>
              <w:rPr>
                <w:spacing w:val="-11"/>
              </w:rPr>
              <w:t>选择</w:t>
            </w:r>
          </w:p>
        </w:tc>
        <w:tc>
          <w:tcPr>
            <w:tcW w:w="8136" w:type="dxa"/>
            <w:tcBorders>
              <w:right w:val="single" w:color="000000" w:sz="4" w:space="0"/>
            </w:tcBorders>
            <w:vAlign w:val="top"/>
          </w:tcPr>
          <w:p w14:paraId="56692D14">
            <w:pPr>
              <w:pStyle w:val="7"/>
              <w:spacing w:before="96" w:line="216" w:lineRule="auto"/>
              <w:ind w:left="69"/>
            </w:pPr>
            <w:r>
              <w:rPr>
                <w:spacing w:val="-23"/>
              </w:rPr>
              <w:t>冬季施工方法选择：混凝土结构施工采用综合蓄热法施工。要求商品混凝土生产厂家</w:t>
            </w:r>
          </w:p>
          <w:p w14:paraId="53EF92CD">
            <w:pPr>
              <w:pStyle w:val="7"/>
              <w:spacing w:before="184" w:line="216" w:lineRule="auto"/>
              <w:ind w:left="68"/>
            </w:pPr>
            <w:r>
              <w:rPr>
                <w:spacing w:val="-22"/>
              </w:rPr>
              <w:t>根据不同气温阶段选择不同适用范围的外加剂（防冻剂、早强剂</w:t>
            </w:r>
            <w:r>
              <w:rPr>
                <w:spacing w:val="-38"/>
              </w:rPr>
              <w:t>），</w:t>
            </w:r>
            <w:r>
              <w:rPr>
                <w:spacing w:val="-22"/>
              </w:rPr>
              <w:t>做好外加剂的复</w:t>
            </w:r>
          </w:p>
          <w:p w14:paraId="59E48CC5">
            <w:pPr>
              <w:pStyle w:val="7"/>
              <w:spacing w:before="187" w:line="216" w:lineRule="auto"/>
              <w:ind w:left="65"/>
            </w:pPr>
            <w:r>
              <w:rPr>
                <w:spacing w:val="-23"/>
              </w:rPr>
              <w:t>试工作、做好原材料的储备工作，做好运输中的覆盖保温工作，确保混凝土的出罐温</w:t>
            </w:r>
          </w:p>
          <w:p w14:paraId="64B61254">
            <w:pPr>
              <w:pStyle w:val="7"/>
              <w:spacing w:before="184" w:line="216" w:lineRule="auto"/>
              <w:ind w:left="583"/>
            </w:pPr>
            <w:r>
              <w:rPr>
                <w:spacing w:val="-21"/>
              </w:rPr>
              <w:t>度、入模温度符合要求，施工中做好挡风、覆盖、测温、试块试</w:t>
            </w:r>
            <w:r>
              <w:rPr>
                <w:spacing w:val="-22"/>
              </w:rPr>
              <w:t>压工作。</w:t>
            </w:r>
          </w:p>
        </w:tc>
      </w:tr>
      <w:tr w14:paraId="777AF8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53" w:hRule="atLeast"/>
        </w:trPr>
        <w:tc>
          <w:tcPr>
            <w:tcW w:w="780" w:type="dxa"/>
            <w:vMerge w:val="continue"/>
            <w:tcBorders>
              <w:top w:val="nil"/>
              <w:left w:val="single" w:color="000000" w:sz="4" w:space="0"/>
              <w:bottom w:val="nil"/>
            </w:tcBorders>
            <w:vAlign w:val="top"/>
          </w:tcPr>
          <w:p w14:paraId="729CE282">
            <w:pPr>
              <w:rPr>
                <w:rFonts w:ascii="Arial"/>
                <w:sz w:val="21"/>
              </w:rPr>
            </w:pPr>
          </w:p>
        </w:tc>
        <w:tc>
          <w:tcPr>
            <w:tcW w:w="757" w:type="dxa"/>
            <w:vMerge w:val="continue"/>
            <w:tcBorders>
              <w:top w:val="nil"/>
            </w:tcBorders>
            <w:vAlign w:val="top"/>
          </w:tcPr>
          <w:p w14:paraId="2E79A1C0">
            <w:pPr>
              <w:rPr>
                <w:rFonts w:ascii="Arial"/>
                <w:sz w:val="21"/>
              </w:rPr>
            </w:pPr>
          </w:p>
        </w:tc>
        <w:tc>
          <w:tcPr>
            <w:tcW w:w="8136" w:type="dxa"/>
            <w:tcBorders>
              <w:right w:val="single" w:color="000000" w:sz="4" w:space="0"/>
            </w:tcBorders>
            <w:vAlign w:val="top"/>
          </w:tcPr>
          <w:p w14:paraId="7709AE3C">
            <w:pPr>
              <w:pStyle w:val="7"/>
              <w:spacing w:before="99" w:line="360" w:lineRule="auto"/>
              <w:ind w:left="151" w:right="47" w:hanging="71"/>
            </w:pPr>
            <w:r>
              <w:rPr>
                <w:spacing w:val="-24"/>
              </w:rPr>
              <w:t>管道工程施工方法选择：在管道的施工方法选择上，采用“先低后高、先主后次”施</w:t>
            </w:r>
            <w:r>
              <w:rPr>
                <w:spacing w:val="-21"/>
              </w:rPr>
              <w:t>工。砂采用优质中粗砂，部分管道作业采用吊机等</w:t>
            </w:r>
            <w:r>
              <w:rPr>
                <w:spacing w:val="-22"/>
              </w:rPr>
              <w:t>进行临时起吊以保证工程质量。</w:t>
            </w:r>
          </w:p>
        </w:tc>
      </w:tr>
      <w:tr w14:paraId="335453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86" w:hRule="atLeast"/>
        </w:trPr>
        <w:tc>
          <w:tcPr>
            <w:tcW w:w="780" w:type="dxa"/>
            <w:vMerge w:val="continue"/>
            <w:tcBorders>
              <w:top w:val="nil"/>
              <w:left w:val="single" w:color="000000" w:sz="4" w:space="0"/>
              <w:bottom w:val="nil"/>
            </w:tcBorders>
            <w:vAlign w:val="top"/>
          </w:tcPr>
          <w:p w14:paraId="10C78149">
            <w:pPr>
              <w:rPr>
                <w:rFonts w:ascii="Arial"/>
                <w:sz w:val="21"/>
              </w:rPr>
            </w:pPr>
          </w:p>
        </w:tc>
        <w:tc>
          <w:tcPr>
            <w:tcW w:w="757" w:type="dxa"/>
            <w:vAlign w:val="top"/>
          </w:tcPr>
          <w:p w14:paraId="016D06E5">
            <w:pPr>
              <w:spacing w:line="252" w:lineRule="auto"/>
              <w:rPr>
                <w:rFonts w:ascii="Arial"/>
                <w:sz w:val="21"/>
              </w:rPr>
            </w:pPr>
          </w:p>
          <w:p w14:paraId="01A98245">
            <w:pPr>
              <w:pStyle w:val="7"/>
              <w:spacing w:before="78" w:line="219" w:lineRule="auto"/>
              <w:ind w:left="172"/>
            </w:pPr>
            <w:r>
              <w:rPr>
                <w:spacing w:val="-11"/>
              </w:rPr>
              <w:t>外加</w:t>
            </w:r>
          </w:p>
          <w:p w14:paraId="40DB913E">
            <w:pPr>
              <w:pStyle w:val="7"/>
              <w:spacing w:before="184" w:line="358" w:lineRule="auto"/>
              <w:ind w:left="277" w:right="139" w:hanging="108"/>
            </w:pPr>
            <w:r>
              <w:rPr>
                <w:spacing w:val="-19"/>
              </w:rPr>
              <w:t>剂选</w:t>
            </w:r>
            <w:r>
              <w:t>择</w:t>
            </w:r>
          </w:p>
        </w:tc>
        <w:tc>
          <w:tcPr>
            <w:tcW w:w="8136" w:type="dxa"/>
            <w:tcBorders>
              <w:right w:val="single" w:color="000000" w:sz="4" w:space="0"/>
            </w:tcBorders>
            <w:vAlign w:val="top"/>
          </w:tcPr>
          <w:p w14:paraId="28AE4E12">
            <w:pPr>
              <w:pStyle w:val="7"/>
              <w:spacing w:before="98" w:line="217" w:lineRule="auto"/>
              <w:ind w:left="76"/>
            </w:pPr>
            <w:r>
              <w:rPr>
                <w:spacing w:val="-23"/>
              </w:rPr>
              <w:t>为保证工程质量，本工程将选用无氨、无盐、无碱或低碱类外加剂，本工程冬季</w:t>
            </w:r>
            <w:r>
              <w:rPr>
                <w:spacing w:val="-24"/>
              </w:rPr>
              <w:t>施工</w:t>
            </w:r>
          </w:p>
          <w:p w14:paraId="37CA5D3D">
            <w:pPr>
              <w:pStyle w:val="7"/>
              <w:spacing w:before="186" w:line="216" w:lineRule="auto"/>
              <w:ind w:left="70"/>
            </w:pPr>
            <w:r>
              <w:rPr>
                <w:spacing w:val="-23"/>
              </w:rPr>
              <w:t>外加剂将选用防冻剂、早强剂、泵送剂及其他一些改善混凝土性能的外加剂。凡是本</w:t>
            </w:r>
          </w:p>
          <w:p w14:paraId="30732A0D">
            <w:pPr>
              <w:pStyle w:val="7"/>
              <w:spacing w:before="184" w:line="216" w:lineRule="auto"/>
              <w:ind w:left="73"/>
            </w:pPr>
            <w:r>
              <w:rPr>
                <w:spacing w:val="-23"/>
              </w:rPr>
              <w:t>工程所用外加剂均要有合格证，经设计同意，进场后复试合格并报监理审批后方准使</w:t>
            </w:r>
          </w:p>
          <w:p w14:paraId="78ADE4EA">
            <w:pPr>
              <w:pStyle w:val="7"/>
              <w:spacing w:before="186" w:line="220" w:lineRule="auto"/>
              <w:ind w:left="3853"/>
            </w:pPr>
            <w:r>
              <w:rPr>
                <w:spacing w:val="-18"/>
              </w:rPr>
              <w:t>用。</w:t>
            </w:r>
          </w:p>
        </w:tc>
      </w:tr>
      <w:tr w14:paraId="639DF7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18" w:hRule="atLeast"/>
        </w:trPr>
        <w:tc>
          <w:tcPr>
            <w:tcW w:w="780" w:type="dxa"/>
            <w:vMerge w:val="continue"/>
            <w:tcBorders>
              <w:top w:val="nil"/>
              <w:left w:val="single" w:color="000000" w:sz="4" w:space="0"/>
              <w:bottom w:val="nil"/>
            </w:tcBorders>
            <w:vAlign w:val="top"/>
          </w:tcPr>
          <w:p w14:paraId="520B3FDA">
            <w:pPr>
              <w:rPr>
                <w:rFonts w:ascii="Arial"/>
                <w:sz w:val="21"/>
              </w:rPr>
            </w:pPr>
          </w:p>
        </w:tc>
        <w:tc>
          <w:tcPr>
            <w:tcW w:w="757" w:type="dxa"/>
            <w:vMerge w:val="restart"/>
            <w:tcBorders>
              <w:bottom w:val="nil"/>
            </w:tcBorders>
            <w:vAlign w:val="top"/>
          </w:tcPr>
          <w:p w14:paraId="1C61A467">
            <w:pPr>
              <w:spacing w:line="261" w:lineRule="auto"/>
              <w:rPr>
                <w:rFonts w:ascii="Arial"/>
                <w:sz w:val="21"/>
              </w:rPr>
            </w:pPr>
          </w:p>
          <w:p w14:paraId="636390D0">
            <w:pPr>
              <w:spacing w:line="261" w:lineRule="auto"/>
              <w:rPr>
                <w:rFonts w:ascii="Arial"/>
                <w:sz w:val="21"/>
              </w:rPr>
            </w:pPr>
          </w:p>
          <w:p w14:paraId="274620CC">
            <w:pPr>
              <w:spacing w:line="261" w:lineRule="auto"/>
              <w:rPr>
                <w:rFonts w:ascii="Arial"/>
                <w:sz w:val="21"/>
              </w:rPr>
            </w:pPr>
          </w:p>
          <w:p w14:paraId="1DCAC4B1">
            <w:pPr>
              <w:spacing w:line="261" w:lineRule="auto"/>
              <w:rPr>
                <w:rFonts w:ascii="Arial"/>
                <w:sz w:val="21"/>
              </w:rPr>
            </w:pPr>
          </w:p>
          <w:p w14:paraId="43784C5E">
            <w:pPr>
              <w:spacing w:line="261" w:lineRule="auto"/>
              <w:rPr>
                <w:rFonts w:ascii="Arial"/>
                <w:sz w:val="21"/>
              </w:rPr>
            </w:pPr>
          </w:p>
          <w:p w14:paraId="69BFCF22">
            <w:pPr>
              <w:pStyle w:val="7"/>
              <w:spacing w:before="78" w:line="220" w:lineRule="auto"/>
              <w:ind w:left="168"/>
            </w:pPr>
            <w:r>
              <w:rPr>
                <w:spacing w:val="-10"/>
              </w:rPr>
              <w:t>施工</w:t>
            </w:r>
          </w:p>
          <w:p w14:paraId="097EB944">
            <w:pPr>
              <w:pStyle w:val="7"/>
              <w:spacing w:before="180" w:line="220" w:lineRule="auto"/>
              <w:ind w:left="173"/>
            </w:pPr>
            <w:r>
              <w:rPr>
                <w:spacing w:val="-11"/>
              </w:rPr>
              <w:t>人员</w:t>
            </w:r>
          </w:p>
          <w:p w14:paraId="59A8ADA7">
            <w:pPr>
              <w:pStyle w:val="7"/>
              <w:spacing w:before="181" w:line="219" w:lineRule="auto"/>
              <w:ind w:left="170"/>
            </w:pPr>
            <w:r>
              <w:rPr>
                <w:spacing w:val="-10"/>
              </w:rPr>
              <w:t>培训</w:t>
            </w:r>
          </w:p>
        </w:tc>
        <w:tc>
          <w:tcPr>
            <w:tcW w:w="8136" w:type="dxa"/>
            <w:tcBorders>
              <w:right w:val="single" w:color="000000" w:sz="4" w:space="0"/>
            </w:tcBorders>
            <w:vAlign w:val="top"/>
          </w:tcPr>
          <w:p w14:paraId="0329A7AD">
            <w:pPr>
              <w:pStyle w:val="7"/>
              <w:spacing w:before="100" w:line="215" w:lineRule="auto"/>
              <w:ind w:left="67"/>
            </w:pPr>
            <w:r>
              <w:rPr>
                <w:spacing w:val="-23"/>
              </w:rPr>
              <w:t>施工管理人员的培训：通过培训、了解本年度的冬季施工任务、特点，在组织生产过</w:t>
            </w:r>
          </w:p>
          <w:p w14:paraId="58DACAA9">
            <w:pPr>
              <w:pStyle w:val="7"/>
              <w:spacing w:before="185" w:line="216" w:lineRule="auto"/>
              <w:ind w:left="69"/>
            </w:pPr>
            <w:r>
              <w:rPr>
                <w:spacing w:val="-23"/>
              </w:rPr>
              <w:t>程中能够统筹安排劳力，适时做好冬期施工准备工作，使生产从常温顺利进入冬期施</w:t>
            </w:r>
          </w:p>
          <w:p w14:paraId="08BF988B">
            <w:pPr>
              <w:pStyle w:val="7"/>
              <w:spacing w:before="223" w:line="184" w:lineRule="auto"/>
              <w:ind w:left="3859"/>
            </w:pPr>
            <w:r>
              <w:rPr>
                <w:spacing w:val="-19"/>
              </w:rPr>
              <w:t>工。</w:t>
            </w:r>
          </w:p>
        </w:tc>
      </w:tr>
      <w:tr w14:paraId="0578E7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18" w:hRule="atLeast"/>
        </w:trPr>
        <w:tc>
          <w:tcPr>
            <w:tcW w:w="780" w:type="dxa"/>
            <w:vMerge w:val="continue"/>
            <w:tcBorders>
              <w:top w:val="nil"/>
              <w:left w:val="single" w:color="000000" w:sz="4" w:space="0"/>
              <w:bottom w:val="nil"/>
            </w:tcBorders>
            <w:vAlign w:val="top"/>
          </w:tcPr>
          <w:p w14:paraId="791D26F5">
            <w:pPr>
              <w:rPr>
                <w:rFonts w:ascii="Arial"/>
                <w:sz w:val="21"/>
              </w:rPr>
            </w:pPr>
          </w:p>
        </w:tc>
        <w:tc>
          <w:tcPr>
            <w:tcW w:w="757" w:type="dxa"/>
            <w:vMerge w:val="continue"/>
            <w:tcBorders>
              <w:top w:val="nil"/>
              <w:bottom w:val="nil"/>
            </w:tcBorders>
            <w:vAlign w:val="top"/>
          </w:tcPr>
          <w:p w14:paraId="31BDC991">
            <w:pPr>
              <w:rPr>
                <w:rFonts w:ascii="Arial"/>
                <w:sz w:val="21"/>
              </w:rPr>
            </w:pPr>
          </w:p>
        </w:tc>
        <w:tc>
          <w:tcPr>
            <w:tcW w:w="8136" w:type="dxa"/>
            <w:tcBorders>
              <w:right w:val="single" w:color="000000" w:sz="4" w:space="0"/>
            </w:tcBorders>
            <w:vAlign w:val="top"/>
          </w:tcPr>
          <w:p w14:paraId="0ADD7415">
            <w:pPr>
              <w:pStyle w:val="7"/>
              <w:spacing w:before="101" w:line="217" w:lineRule="auto"/>
              <w:ind w:left="67"/>
            </w:pPr>
            <w:r>
              <w:rPr>
                <w:spacing w:val="-23"/>
              </w:rPr>
              <w:t>特殊工种培训：本工程冬季施工项目所配备的特殊工种有焊工、测量工、试验工、机</w:t>
            </w:r>
          </w:p>
          <w:p w14:paraId="5CAD50DF">
            <w:pPr>
              <w:pStyle w:val="7"/>
              <w:spacing w:before="186" w:line="215" w:lineRule="auto"/>
              <w:ind w:left="94"/>
            </w:pPr>
            <w:r>
              <w:rPr>
                <w:spacing w:val="-24"/>
              </w:rPr>
              <w:t>电安装工等，在进入冬季施工前对这些工种进行有针对性的培训，特殊工种经培训考</w:t>
            </w:r>
          </w:p>
          <w:p w14:paraId="574DB99E">
            <w:pPr>
              <w:pStyle w:val="7"/>
              <w:spacing w:before="185" w:line="218" w:lineRule="auto"/>
              <w:ind w:left="3087"/>
            </w:pPr>
            <w:r>
              <w:rPr>
                <w:spacing w:val="-19"/>
              </w:rPr>
              <w:t>试合格后方准上岗。</w:t>
            </w:r>
          </w:p>
        </w:tc>
      </w:tr>
      <w:tr w14:paraId="3B8A9A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52" w:hRule="atLeast"/>
        </w:trPr>
        <w:tc>
          <w:tcPr>
            <w:tcW w:w="780" w:type="dxa"/>
            <w:vMerge w:val="continue"/>
            <w:tcBorders>
              <w:top w:val="nil"/>
              <w:left w:val="single" w:color="000000" w:sz="4" w:space="0"/>
            </w:tcBorders>
            <w:vAlign w:val="top"/>
          </w:tcPr>
          <w:p w14:paraId="3D910EBC">
            <w:pPr>
              <w:rPr>
                <w:rFonts w:ascii="Arial"/>
                <w:sz w:val="21"/>
              </w:rPr>
            </w:pPr>
          </w:p>
        </w:tc>
        <w:tc>
          <w:tcPr>
            <w:tcW w:w="757" w:type="dxa"/>
            <w:vMerge w:val="continue"/>
            <w:tcBorders>
              <w:top w:val="nil"/>
            </w:tcBorders>
            <w:vAlign w:val="top"/>
          </w:tcPr>
          <w:p w14:paraId="39990066">
            <w:pPr>
              <w:rPr>
                <w:rFonts w:ascii="Arial"/>
                <w:sz w:val="21"/>
              </w:rPr>
            </w:pPr>
          </w:p>
        </w:tc>
        <w:tc>
          <w:tcPr>
            <w:tcW w:w="8136" w:type="dxa"/>
            <w:tcBorders>
              <w:right w:val="single" w:color="000000" w:sz="4" w:space="0"/>
            </w:tcBorders>
            <w:vAlign w:val="top"/>
          </w:tcPr>
          <w:p w14:paraId="74F04714">
            <w:pPr>
              <w:pStyle w:val="7"/>
              <w:spacing w:before="102" w:line="217" w:lineRule="auto"/>
              <w:ind w:left="67"/>
            </w:pPr>
            <w:r>
              <w:rPr>
                <w:spacing w:val="-23"/>
              </w:rPr>
              <w:t>测温人员的培训：测温人员的培训主要通过学习各种测温的方法，明确测温的意义和</w:t>
            </w:r>
          </w:p>
          <w:p w14:paraId="26304F40">
            <w:pPr>
              <w:pStyle w:val="7"/>
              <w:spacing w:before="186" w:line="216" w:lineRule="auto"/>
              <w:ind w:left="1889"/>
            </w:pPr>
            <w:r>
              <w:rPr>
                <w:spacing w:val="-22"/>
              </w:rPr>
              <w:t>测温数据的重要性，提高测温人员的责任心。</w:t>
            </w:r>
          </w:p>
        </w:tc>
      </w:tr>
      <w:tr w14:paraId="46403D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6" w:hRule="atLeast"/>
        </w:trPr>
        <w:tc>
          <w:tcPr>
            <w:tcW w:w="1537" w:type="dxa"/>
            <w:gridSpan w:val="2"/>
            <w:tcBorders>
              <w:left w:val="single" w:color="1C456A" w:sz="4" w:space="0"/>
              <w:bottom w:val="single" w:color="1C456A" w:sz="4" w:space="0"/>
            </w:tcBorders>
            <w:vAlign w:val="top"/>
          </w:tcPr>
          <w:p w14:paraId="7BA0FE88">
            <w:pPr>
              <w:pStyle w:val="7"/>
              <w:spacing w:before="103" w:line="217" w:lineRule="auto"/>
              <w:ind w:left="350"/>
            </w:pPr>
            <w:r>
              <w:pict>
                <v:shape id="_x0000_s4036" o:spid="_x0000_s4036" style="position:absolute;left:0pt;margin-left:-0.2pt;margin-top:31.35pt;height:0.75pt;width:2.2pt;mso-position-horizontal-relative:page;mso-position-vertical-relative:page;z-index:252349440;mso-width-relative:page;mso-height-relative:page;" fillcolor="#5B9BD5" filled="t" stroked="f" coordsize="44,15" path="m0,14l43,14,43,0,0,0,0,14xe">
                  <v:path/>
                  <v:fill on="t" focussize="0,0"/>
                  <v:stroke on="f"/>
                  <v:imagedata o:title=""/>
                  <o:lock v:ext="edit"/>
                </v:shape>
              </w:pict>
            </w:r>
            <w:r>
              <w:rPr>
                <w:spacing w:val="-15"/>
              </w:rPr>
              <w:t>物资准备</w:t>
            </w:r>
          </w:p>
        </w:tc>
        <w:tc>
          <w:tcPr>
            <w:tcW w:w="8136" w:type="dxa"/>
            <w:tcBorders>
              <w:bottom w:val="single" w:color="5B9BD5" w:sz="4" w:space="0"/>
              <w:right w:val="single" w:color="5B9BD5" w:sz="4" w:space="0"/>
            </w:tcBorders>
            <w:vAlign w:val="top"/>
          </w:tcPr>
          <w:p w14:paraId="3C69A572">
            <w:pPr>
              <w:pStyle w:val="7"/>
              <w:spacing w:before="104" w:line="216" w:lineRule="auto"/>
              <w:ind w:left="2654"/>
            </w:pPr>
            <w:r>
              <w:pict>
                <v:shape id="_x0000_s4037" o:spid="_x0000_s4037" style="position:absolute;left:0pt;margin-left:404.95pt;margin-top:31.35pt;height:0.75pt;width:2.2pt;mso-position-horizontal-relative:page;mso-position-vertical-relative:page;z-index:252348416;mso-width-relative:page;mso-height-relative:page;" fillcolor="#5B9BD5" filled="t" stroked="f" coordsize="44,15" path="m0,14l43,14,43,0,0,0,0,14xe">
                  <v:path/>
                  <v:fill on="t" focussize="0,0"/>
                  <v:stroke on="f"/>
                  <v:imagedata o:title=""/>
                  <o:lock v:ext="edit"/>
                </v:shape>
              </w:pict>
            </w:r>
            <w:r>
              <w:rPr>
                <w:spacing w:val="-20"/>
              </w:rPr>
              <w:t>保温材料及测温仪器的选择。</w:t>
            </w:r>
          </w:p>
        </w:tc>
      </w:tr>
    </w:tbl>
    <w:p w14:paraId="47060D49">
      <w:pPr>
        <w:spacing w:line="226" w:lineRule="exact"/>
        <w:rPr>
          <w:rFonts w:ascii="Arial"/>
          <w:sz w:val="19"/>
        </w:rPr>
      </w:pPr>
    </w:p>
    <w:p w14:paraId="2BF11696">
      <w:pPr>
        <w:spacing w:line="226" w:lineRule="exact"/>
        <w:rPr>
          <w:rFonts w:ascii="Arial" w:hAnsi="Arial" w:eastAsia="Arial" w:cs="Arial"/>
          <w:sz w:val="19"/>
          <w:szCs w:val="19"/>
        </w:rPr>
        <w:sectPr>
          <w:footerReference r:id="rId380" w:type="default"/>
          <w:pgSz w:w="11907" w:h="16839"/>
          <w:pgMar w:top="933" w:right="4" w:bottom="1038" w:left="0" w:header="478" w:footer="357" w:gutter="0"/>
          <w:pgBorders>
            <w:top w:val="none" w:sz="0" w:space="0"/>
            <w:left w:val="none" w:sz="0" w:space="0"/>
            <w:bottom w:val="none" w:sz="0" w:space="0"/>
            <w:right w:val="none" w:sz="0" w:space="0"/>
          </w:pgBorders>
          <w:cols w:space="720" w:num="1"/>
        </w:sectPr>
      </w:pPr>
    </w:p>
    <w:p w14:paraId="07A541A3">
      <w:pPr>
        <w:spacing w:line="271" w:lineRule="auto"/>
        <w:rPr>
          <w:rFonts w:ascii="Arial"/>
          <w:sz w:val="21"/>
        </w:rPr>
      </w:pPr>
    </w:p>
    <w:p w14:paraId="397AA2D0">
      <w:pPr>
        <w:pStyle w:val="2"/>
        <w:spacing w:before="78" w:line="219" w:lineRule="auto"/>
        <w:ind w:left="1895"/>
        <w:rPr>
          <w:sz w:val="24"/>
          <w:szCs w:val="24"/>
        </w:rPr>
      </w:pPr>
      <w:r>
        <w:rPr>
          <w:spacing w:val="-18"/>
          <w:sz w:val="24"/>
          <w:szCs w:val="24"/>
        </w:rPr>
        <w:t>冬季施工措施</w:t>
      </w:r>
    </w:p>
    <w:tbl>
      <w:tblPr>
        <w:tblStyle w:val="6"/>
        <w:tblW w:w="9673" w:type="dxa"/>
        <w:tblInd w:w="1116"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534"/>
        <w:gridCol w:w="8139"/>
      </w:tblGrid>
      <w:tr w14:paraId="4C75EE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9" w:hRule="atLeast"/>
        </w:trPr>
        <w:tc>
          <w:tcPr>
            <w:tcW w:w="1534" w:type="dxa"/>
            <w:tcBorders>
              <w:top w:val="single" w:color="000000" w:sz="4" w:space="0"/>
              <w:left w:val="single" w:color="000000" w:sz="4" w:space="0"/>
            </w:tcBorders>
            <w:shd w:val="clear" w:color="auto" w:fill="DEEAF6"/>
            <w:vAlign w:val="top"/>
          </w:tcPr>
          <w:p w14:paraId="79F9EA84">
            <w:pPr>
              <w:pStyle w:val="7"/>
              <w:spacing w:before="126" w:line="220" w:lineRule="auto"/>
              <w:ind w:left="566"/>
            </w:pPr>
            <w:r>
              <w:rPr>
                <w:b/>
                <w:bCs/>
                <w:spacing w:val="-13"/>
              </w:rPr>
              <w:t>项目</w:t>
            </w:r>
          </w:p>
        </w:tc>
        <w:tc>
          <w:tcPr>
            <w:tcW w:w="8139" w:type="dxa"/>
            <w:tcBorders>
              <w:top w:val="single" w:color="5B9BD5" w:sz="4" w:space="0"/>
              <w:right w:val="single" w:color="5B9BD5" w:sz="4" w:space="0"/>
            </w:tcBorders>
            <w:shd w:val="clear" w:color="auto" w:fill="DEEAF6"/>
            <w:vAlign w:val="top"/>
          </w:tcPr>
          <w:p w14:paraId="744C2EFD">
            <w:pPr>
              <w:pStyle w:val="7"/>
              <w:spacing w:before="127" w:line="218" w:lineRule="auto"/>
              <w:ind w:left="3417"/>
            </w:pPr>
            <w:r>
              <w:rPr>
                <w:b/>
                <w:bCs/>
                <w:spacing w:val="-20"/>
              </w:rPr>
              <w:t>具体施工措施</w:t>
            </w:r>
          </w:p>
        </w:tc>
      </w:tr>
      <w:tr w14:paraId="26EB2C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7" w:hRule="atLeast"/>
        </w:trPr>
        <w:tc>
          <w:tcPr>
            <w:tcW w:w="1534" w:type="dxa"/>
            <w:vMerge w:val="restart"/>
            <w:tcBorders>
              <w:left w:val="single" w:color="000000" w:sz="4" w:space="0"/>
              <w:bottom w:val="nil"/>
            </w:tcBorders>
            <w:vAlign w:val="top"/>
          </w:tcPr>
          <w:p w14:paraId="198BE777">
            <w:pPr>
              <w:spacing w:line="244" w:lineRule="auto"/>
              <w:rPr>
                <w:rFonts w:ascii="Arial"/>
                <w:sz w:val="21"/>
              </w:rPr>
            </w:pPr>
          </w:p>
          <w:p w14:paraId="79D4F82C">
            <w:pPr>
              <w:spacing w:line="244" w:lineRule="auto"/>
              <w:rPr>
                <w:rFonts w:ascii="Arial"/>
                <w:sz w:val="21"/>
              </w:rPr>
            </w:pPr>
          </w:p>
          <w:p w14:paraId="54365218">
            <w:pPr>
              <w:spacing w:line="244" w:lineRule="auto"/>
              <w:rPr>
                <w:rFonts w:ascii="Arial"/>
                <w:sz w:val="21"/>
              </w:rPr>
            </w:pPr>
          </w:p>
          <w:p w14:paraId="53852948">
            <w:pPr>
              <w:spacing w:line="244" w:lineRule="auto"/>
              <w:rPr>
                <w:rFonts w:ascii="Arial"/>
                <w:sz w:val="21"/>
              </w:rPr>
            </w:pPr>
          </w:p>
          <w:p w14:paraId="548BC387">
            <w:pPr>
              <w:spacing w:line="245" w:lineRule="auto"/>
              <w:rPr>
                <w:rFonts w:ascii="Arial"/>
                <w:sz w:val="21"/>
              </w:rPr>
            </w:pPr>
          </w:p>
          <w:p w14:paraId="53DB3BA6">
            <w:pPr>
              <w:pStyle w:val="7"/>
              <w:spacing w:before="78" w:line="218" w:lineRule="auto"/>
              <w:ind w:left="346"/>
            </w:pPr>
            <w:r>
              <w:rPr>
                <w:spacing w:val="-15"/>
              </w:rPr>
              <w:t>施工准备</w:t>
            </w:r>
          </w:p>
        </w:tc>
        <w:tc>
          <w:tcPr>
            <w:tcW w:w="8139" w:type="dxa"/>
            <w:tcBorders>
              <w:right w:val="single" w:color="000000" w:sz="4" w:space="0"/>
            </w:tcBorders>
            <w:vAlign w:val="top"/>
          </w:tcPr>
          <w:p w14:paraId="503F9924">
            <w:pPr>
              <w:pStyle w:val="7"/>
              <w:spacing w:before="125" w:line="219" w:lineRule="auto"/>
              <w:ind w:left="2553"/>
            </w:pPr>
            <w:r>
              <w:rPr>
                <w:spacing w:val="-22"/>
              </w:rPr>
              <w:t>办公室、食堂熟食间安置空调。</w:t>
            </w:r>
          </w:p>
        </w:tc>
      </w:tr>
      <w:tr w14:paraId="587D76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6" w:hRule="atLeast"/>
        </w:trPr>
        <w:tc>
          <w:tcPr>
            <w:tcW w:w="1534" w:type="dxa"/>
            <w:vMerge w:val="continue"/>
            <w:tcBorders>
              <w:top w:val="nil"/>
              <w:left w:val="single" w:color="000000" w:sz="4" w:space="0"/>
              <w:bottom w:val="nil"/>
            </w:tcBorders>
            <w:vAlign w:val="top"/>
          </w:tcPr>
          <w:p w14:paraId="319ECCB3">
            <w:pPr>
              <w:rPr>
                <w:rFonts w:ascii="Arial"/>
                <w:sz w:val="21"/>
              </w:rPr>
            </w:pPr>
          </w:p>
        </w:tc>
        <w:tc>
          <w:tcPr>
            <w:tcW w:w="8139" w:type="dxa"/>
            <w:tcBorders>
              <w:right w:val="single" w:color="000000" w:sz="4" w:space="0"/>
            </w:tcBorders>
            <w:vAlign w:val="top"/>
          </w:tcPr>
          <w:p w14:paraId="07E79590">
            <w:pPr>
              <w:pStyle w:val="7"/>
              <w:spacing w:before="124" w:line="216" w:lineRule="auto"/>
              <w:ind w:left="1142"/>
            </w:pPr>
            <w:r>
              <w:rPr>
                <w:spacing w:val="-22"/>
              </w:rPr>
              <w:t>管理及作业人员冬期配备棉手套、劳保靴、耳罩等保暖物品。</w:t>
            </w:r>
          </w:p>
        </w:tc>
      </w:tr>
      <w:tr w14:paraId="09B60B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7" w:hRule="atLeast"/>
        </w:trPr>
        <w:tc>
          <w:tcPr>
            <w:tcW w:w="1534" w:type="dxa"/>
            <w:vMerge w:val="continue"/>
            <w:tcBorders>
              <w:top w:val="nil"/>
              <w:left w:val="single" w:color="000000" w:sz="4" w:space="0"/>
              <w:bottom w:val="nil"/>
            </w:tcBorders>
            <w:vAlign w:val="top"/>
          </w:tcPr>
          <w:p w14:paraId="283EFB31">
            <w:pPr>
              <w:rPr>
                <w:rFonts w:ascii="Arial"/>
                <w:sz w:val="21"/>
              </w:rPr>
            </w:pPr>
          </w:p>
        </w:tc>
        <w:tc>
          <w:tcPr>
            <w:tcW w:w="8139" w:type="dxa"/>
            <w:tcBorders>
              <w:right w:val="single" w:color="000000" w:sz="4" w:space="0"/>
            </w:tcBorders>
            <w:vAlign w:val="top"/>
          </w:tcPr>
          <w:p w14:paraId="6A3CE1E2">
            <w:pPr>
              <w:pStyle w:val="7"/>
              <w:spacing w:before="123" w:line="217" w:lineRule="auto"/>
              <w:ind w:left="2559"/>
            </w:pPr>
            <w:r>
              <w:rPr>
                <w:spacing w:val="-22"/>
              </w:rPr>
              <w:t>生活区及现场配备保温茶水桶。</w:t>
            </w:r>
          </w:p>
        </w:tc>
      </w:tr>
      <w:tr w14:paraId="002ED6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9" w:hRule="atLeast"/>
        </w:trPr>
        <w:tc>
          <w:tcPr>
            <w:tcW w:w="1534" w:type="dxa"/>
            <w:vMerge w:val="continue"/>
            <w:tcBorders>
              <w:top w:val="nil"/>
              <w:left w:val="single" w:color="000000" w:sz="4" w:space="0"/>
              <w:bottom w:val="nil"/>
            </w:tcBorders>
            <w:vAlign w:val="top"/>
          </w:tcPr>
          <w:p w14:paraId="2875B356">
            <w:pPr>
              <w:rPr>
                <w:rFonts w:ascii="Arial"/>
                <w:sz w:val="21"/>
              </w:rPr>
            </w:pPr>
          </w:p>
        </w:tc>
        <w:tc>
          <w:tcPr>
            <w:tcW w:w="8139" w:type="dxa"/>
            <w:tcBorders>
              <w:right w:val="single" w:color="000000" w:sz="4" w:space="0"/>
            </w:tcBorders>
            <w:vAlign w:val="top"/>
          </w:tcPr>
          <w:p w14:paraId="408A5996">
            <w:pPr>
              <w:pStyle w:val="7"/>
              <w:spacing w:before="122" w:line="214" w:lineRule="auto"/>
              <w:ind w:left="1345"/>
            </w:pPr>
            <w:r>
              <w:rPr>
                <w:spacing w:val="-21"/>
              </w:rPr>
              <w:t>食堂配备保温桶盛饭菜，确保就餐人员能吃到热的饭菜。</w:t>
            </w:r>
          </w:p>
        </w:tc>
      </w:tr>
      <w:tr w14:paraId="6953D0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7" w:hRule="atLeast"/>
        </w:trPr>
        <w:tc>
          <w:tcPr>
            <w:tcW w:w="1534" w:type="dxa"/>
            <w:vMerge w:val="continue"/>
            <w:tcBorders>
              <w:top w:val="nil"/>
              <w:left w:val="single" w:color="000000" w:sz="4" w:space="0"/>
            </w:tcBorders>
            <w:vAlign w:val="top"/>
          </w:tcPr>
          <w:p w14:paraId="28583D5A">
            <w:pPr>
              <w:rPr>
                <w:rFonts w:ascii="Arial"/>
                <w:sz w:val="21"/>
              </w:rPr>
            </w:pPr>
          </w:p>
        </w:tc>
        <w:tc>
          <w:tcPr>
            <w:tcW w:w="8139" w:type="dxa"/>
            <w:tcBorders>
              <w:right w:val="single" w:color="000000" w:sz="4" w:space="0"/>
            </w:tcBorders>
            <w:vAlign w:val="top"/>
          </w:tcPr>
          <w:p w14:paraId="2C270719">
            <w:pPr>
              <w:pStyle w:val="7"/>
              <w:spacing w:before="118" w:line="216" w:lineRule="auto"/>
              <w:ind w:left="2455"/>
            </w:pPr>
            <w:r>
              <w:rPr>
                <w:spacing w:val="-22"/>
              </w:rPr>
              <w:t>室内作业时用棚布封闭周边洞口。</w:t>
            </w:r>
          </w:p>
        </w:tc>
      </w:tr>
      <w:tr w14:paraId="21EBB6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7" w:hRule="atLeast"/>
        </w:trPr>
        <w:tc>
          <w:tcPr>
            <w:tcW w:w="1534" w:type="dxa"/>
            <w:vMerge w:val="restart"/>
            <w:tcBorders>
              <w:left w:val="single" w:color="000000" w:sz="4" w:space="0"/>
              <w:bottom w:val="nil"/>
            </w:tcBorders>
            <w:vAlign w:val="top"/>
          </w:tcPr>
          <w:p w14:paraId="303FA96E">
            <w:pPr>
              <w:spacing w:line="286" w:lineRule="auto"/>
              <w:rPr>
                <w:rFonts w:ascii="Arial"/>
                <w:sz w:val="21"/>
              </w:rPr>
            </w:pPr>
          </w:p>
          <w:p w14:paraId="565618C1">
            <w:pPr>
              <w:spacing w:line="286" w:lineRule="auto"/>
              <w:rPr>
                <w:rFonts w:ascii="Arial"/>
                <w:sz w:val="21"/>
              </w:rPr>
            </w:pPr>
          </w:p>
          <w:p w14:paraId="73D14120">
            <w:pPr>
              <w:spacing w:line="287" w:lineRule="auto"/>
              <w:rPr>
                <w:rFonts w:ascii="Arial"/>
                <w:sz w:val="21"/>
              </w:rPr>
            </w:pPr>
          </w:p>
          <w:p w14:paraId="7076242A">
            <w:pPr>
              <w:pStyle w:val="7"/>
              <w:spacing w:before="78" w:line="219" w:lineRule="auto"/>
              <w:ind w:left="360"/>
            </w:pPr>
            <w:r>
              <w:rPr>
                <w:spacing w:val="-19"/>
              </w:rPr>
              <w:t>管道工程</w:t>
            </w:r>
          </w:p>
        </w:tc>
        <w:tc>
          <w:tcPr>
            <w:tcW w:w="8139" w:type="dxa"/>
            <w:tcBorders>
              <w:right w:val="single" w:color="000000" w:sz="4" w:space="0"/>
            </w:tcBorders>
            <w:vAlign w:val="top"/>
          </w:tcPr>
          <w:p w14:paraId="1BD5E307">
            <w:pPr>
              <w:pStyle w:val="7"/>
              <w:spacing w:before="119" w:line="217" w:lineRule="auto"/>
              <w:ind w:left="1510"/>
            </w:pPr>
            <w:r>
              <w:rPr>
                <w:spacing w:val="-21"/>
              </w:rPr>
              <w:t>沟槽开挖时，采用机械开挖为主,人工开挖为辅的方法</w:t>
            </w:r>
          </w:p>
        </w:tc>
      </w:tr>
      <w:tr w14:paraId="66499C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6" w:hRule="atLeast"/>
        </w:trPr>
        <w:tc>
          <w:tcPr>
            <w:tcW w:w="1534" w:type="dxa"/>
            <w:vMerge w:val="continue"/>
            <w:tcBorders>
              <w:top w:val="nil"/>
              <w:left w:val="single" w:color="000000" w:sz="4" w:space="0"/>
              <w:bottom w:val="nil"/>
            </w:tcBorders>
            <w:vAlign w:val="top"/>
          </w:tcPr>
          <w:p w14:paraId="2ABA8C26">
            <w:pPr>
              <w:rPr>
                <w:rFonts w:ascii="Arial"/>
                <w:sz w:val="21"/>
              </w:rPr>
            </w:pPr>
          </w:p>
        </w:tc>
        <w:tc>
          <w:tcPr>
            <w:tcW w:w="8139" w:type="dxa"/>
            <w:tcBorders>
              <w:right w:val="single" w:color="000000" w:sz="4" w:space="0"/>
            </w:tcBorders>
            <w:vAlign w:val="top"/>
          </w:tcPr>
          <w:p w14:paraId="73001CF6">
            <w:pPr>
              <w:pStyle w:val="7"/>
              <w:spacing w:before="118" w:line="215" w:lineRule="auto"/>
              <w:ind w:left="1903"/>
            </w:pPr>
            <w:r>
              <w:rPr>
                <w:spacing w:val="-22"/>
              </w:rPr>
              <w:t>管道在吊装、运输过程应小心轻放，保护成品</w:t>
            </w:r>
          </w:p>
        </w:tc>
      </w:tr>
      <w:tr w14:paraId="14D11B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55" w:hRule="atLeast"/>
        </w:trPr>
        <w:tc>
          <w:tcPr>
            <w:tcW w:w="1534" w:type="dxa"/>
            <w:vMerge w:val="continue"/>
            <w:tcBorders>
              <w:top w:val="nil"/>
              <w:left w:val="single" w:color="000000" w:sz="4" w:space="0"/>
            </w:tcBorders>
            <w:vAlign w:val="top"/>
          </w:tcPr>
          <w:p w14:paraId="07615B02">
            <w:pPr>
              <w:rPr>
                <w:rFonts w:ascii="Arial"/>
                <w:sz w:val="21"/>
              </w:rPr>
            </w:pPr>
          </w:p>
        </w:tc>
        <w:tc>
          <w:tcPr>
            <w:tcW w:w="8139" w:type="dxa"/>
            <w:tcBorders>
              <w:right w:val="single" w:color="000000" w:sz="4" w:space="0"/>
            </w:tcBorders>
            <w:vAlign w:val="top"/>
          </w:tcPr>
          <w:p w14:paraId="28BF6CDD">
            <w:pPr>
              <w:pStyle w:val="7"/>
              <w:spacing w:before="117" w:line="217" w:lineRule="auto"/>
              <w:ind w:left="79"/>
            </w:pPr>
            <w:r>
              <w:rPr>
                <w:spacing w:val="-23"/>
              </w:rPr>
              <w:t>管沟填土施工必须同步进行，严禁单侧回填，两侧填土填筑高差，不应超过一个土层</w:t>
            </w:r>
          </w:p>
          <w:p w14:paraId="637CB0C3">
            <w:pPr>
              <w:pStyle w:val="7"/>
              <w:spacing w:before="186" w:line="219" w:lineRule="auto"/>
              <w:ind w:left="3857"/>
            </w:pPr>
            <w:r>
              <w:rPr>
                <w:spacing w:val="-11"/>
              </w:rPr>
              <w:t>厚度</w:t>
            </w:r>
          </w:p>
        </w:tc>
      </w:tr>
      <w:tr w14:paraId="0E9438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22" w:hRule="atLeast"/>
        </w:trPr>
        <w:tc>
          <w:tcPr>
            <w:tcW w:w="1534" w:type="dxa"/>
            <w:vMerge w:val="restart"/>
            <w:tcBorders>
              <w:left w:val="single" w:color="1C456A" w:sz="4" w:space="0"/>
              <w:bottom w:val="nil"/>
            </w:tcBorders>
            <w:vAlign w:val="top"/>
          </w:tcPr>
          <w:p w14:paraId="7AE071FC">
            <w:pPr>
              <w:spacing w:line="255" w:lineRule="auto"/>
              <w:rPr>
                <w:rFonts w:ascii="Arial"/>
                <w:sz w:val="21"/>
              </w:rPr>
            </w:pPr>
            <w:r>
              <w:pict>
                <v:shape id="_x0000_s4038" o:spid="_x0000_s4038" style="position:absolute;left:0pt;margin-left:-0.2pt;margin-top:336.95pt;height:0.75pt;width:2.2pt;mso-position-horizontal-relative:page;mso-position-vertical-relative:page;z-index:252351488;mso-width-relative:page;mso-height-relative:page;" fillcolor="#5B9BD5" filled="t" stroked="f" coordsize="44,15" path="m0,14l43,14,43,0,0,0,0,14xe">
                  <v:path/>
                  <v:fill on="t" focussize="0,0"/>
                  <v:stroke on="f"/>
                  <v:imagedata o:title=""/>
                  <o:lock v:ext="edit"/>
                </v:shape>
              </w:pict>
            </w:r>
          </w:p>
          <w:p w14:paraId="7C946051">
            <w:pPr>
              <w:spacing w:line="255" w:lineRule="auto"/>
              <w:rPr>
                <w:rFonts w:ascii="Arial"/>
                <w:sz w:val="21"/>
              </w:rPr>
            </w:pPr>
          </w:p>
          <w:p w14:paraId="0D4CF28E">
            <w:pPr>
              <w:spacing w:line="255" w:lineRule="auto"/>
              <w:rPr>
                <w:rFonts w:ascii="Arial"/>
                <w:sz w:val="21"/>
              </w:rPr>
            </w:pPr>
          </w:p>
          <w:p w14:paraId="502D54E2">
            <w:pPr>
              <w:spacing w:line="255" w:lineRule="auto"/>
              <w:rPr>
                <w:rFonts w:ascii="Arial"/>
                <w:sz w:val="21"/>
              </w:rPr>
            </w:pPr>
          </w:p>
          <w:p w14:paraId="20F08E5F">
            <w:pPr>
              <w:spacing w:line="255" w:lineRule="auto"/>
              <w:rPr>
                <w:rFonts w:ascii="Arial"/>
                <w:sz w:val="21"/>
              </w:rPr>
            </w:pPr>
          </w:p>
          <w:p w14:paraId="30596DBB">
            <w:pPr>
              <w:spacing w:line="256" w:lineRule="auto"/>
              <w:rPr>
                <w:rFonts w:ascii="Arial"/>
                <w:sz w:val="21"/>
              </w:rPr>
            </w:pPr>
          </w:p>
          <w:p w14:paraId="26D9A9C2">
            <w:pPr>
              <w:spacing w:line="256" w:lineRule="auto"/>
              <w:rPr>
                <w:rFonts w:ascii="Arial"/>
                <w:sz w:val="21"/>
              </w:rPr>
            </w:pPr>
          </w:p>
          <w:p w14:paraId="299BBCCA">
            <w:pPr>
              <w:spacing w:line="256" w:lineRule="auto"/>
              <w:rPr>
                <w:rFonts w:ascii="Arial"/>
                <w:sz w:val="21"/>
              </w:rPr>
            </w:pPr>
          </w:p>
          <w:p w14:paraId="2592DA2E">
            <w:pPr>
              <w:spacing w:line="256" w:lineRule="auto"/>
              <w:rPr>
                <w:rFonts w:ascii="Arial"/>
                <w:sz w:val="21"/>
              </w:rPr>
            </w:pPr>
          </w:p>
          <w:p w14:paraId="73731B5A">
            <w:pPr>
              <w:spacing w:line="256" w:lineRule="auto"/>
              <w:rPr>
                <w:rFonts w:ascii="Arial"/>
                <w:sz w:val="21"/>
              </w:rPr>
            </w:pPr>
          </w:p>
          <w:p w14:paraId="41EB27F5">
            <w:pPr>
              <w:spacing w:line="256" w:lineRule="auto"/>
              <w:rPr>
                <w:rFonts w:ascii="Arial"/>
                <w:sz w:val="21"/>
              </w:rPr>
            </w:pPr>
          </w:p>
          <w:p w14:paraId="725E957F">
            <w:pPr>
              <w:spacing w:line="256" w:lineRule="auto"/>
              <w:rPr>
                <w:rFonts w:ascii="Arial"/>
                <w:sz w:val="21"/>
              </w:rPr>
            </w:pPr>
          </w:p>
          <w:p w14:paraId="6791F955">
            <w:pPr>
              <w:pStyle w:val="7"/>
              <w:spacing w:before="78" w:line="219" w:lineRule="auto"/>
              <w:ind w:left="348"/>
            </w:pPr>
            <w:r>
              <w:rPr>
                <w:spacing w:val="-16"/>
              </w:rPr>
              <w:t>道路工程</w:t>
            </w:r>
          </w:p>
        </w:tc>
        <w:tc>
          <w:tcPr>
            <w:tcW w:w="8139" w:type="dxa"/>
            <w:tcBorders>
              <w:right w:val="single" w:color="000000" w:sz="4" w:space="0"/>
            </w:tcBorders>
            <w:vAlign w:val="top"/>
          </w:tcPr>
          <w:p w14:paraId="43BAF7EA">
            <w:pPr>
              <w:pStyle w:val="7"/>
              <w:spacing w:before="116" w:line="216" w:lineRule="auto"/>
              <w:ind w:left="65"/>
            </w:pPr>
            <w:r>
              <w:rPr>
                <w:spacing w:val="-23"/>
              </w:rPr>
              <w:t>入冬前组织相关人员进行一次全面检查，作好施工现场的过冬准备工作，包括临时设</w:t>
            </w:r>
          </w:p>
          <w:p w14:paraId="07DC7DC6">
            <w:pPr>
              <w:pStyle w:val="7"/>
              <w:spacing w:before="184" w:line="216" w:lineRule="auto"/>
              <w:ind w:left="65"/>
            </w:pPr>
            <w:r>
              <w:rPr>
                <w:spacing w:val="-23"/>
              </w:rPr>
              <w:t>施、机械设备及保温等项工作，及时地对打过压，灌过水的各类管道及附件的易积水</w:t>
            </w:r>
          </w:p>
          <w:p w14:paraId="303E3F13">
            <w:pPr>
              <w:pStyle w:val="7"/>
              <w:spacing w:before="187" w:line="216" w:lineRule="auto"/>
              <w:ind w:left="1565"/>
            </w:pPr>
            <w:r>
              <w:rPr>
                <w:spacing w:val="-21"/>
              </w:rPr>
              <w:t>处做详细检查，彻底放净积水，防止冻坏事故发生。</w:t>
            </w:r>
          </w:p>
        </w:tc>
      </w:tr>
      <w:tr w14:paraId="674F35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55" w:hRule="atLeast"/>
        </w:trPr>
        <w:tc>
          <w:tcPr>
            <w:tcW w:w="1534" w:type="dxa"/>
            <w:vMerge w:val="continue"/>
            <w:tcBorders>
              <w:top w:val="nil"/>
              <w:left w:val="single" w:color="1C456A" w:sz="4" w:space="0"/>
              <w:bottom w:val="nil"/>
            </w:tcBorders>
            <w:vAlign w:val="top"/>
          </w:tcPr>
          <w:p w14:paraId="4A9854D2">
            <w:pPr>
              <w:rPr>
                <w:rFonts w:ascii="Arial"/>
                <w:sz w:val="21"/>
              </w:rPr>
            </w:pPr>
          </w:p>
        </w:tc>
        <w:tc>
          <w:tcPr>
            <w:tcW w:w="8139" w:type="dxa"/>
            <w:tcBorders>
              <w:right w:val="single" w:color="000000" w:sz="4" w:space="0"/>
            </w:tcBorders>
            <w:vAlign w:val="top"/>
          </w:tcPr>
          <w:p w14:paraId="6D71F47F">
            <w:pPr>
              <w:pStyle w:val="7"/>
              <w:spacing w:before="113" w:line="216" w:lineRule="auto"/>
              <w:ind w:left="67"/>
            </w:pPr>
            <w:r>
              <w:rPr>
                <w:spacing w:val="-23"/>
              </w:rPr>
              <w:t>冬季施工要做好水管的防冻保温工作，结合冬季施工情况，做好安全技术交底，作业</w:t>
            </w:r>
          </w:p>
          <w:p w14:paraId="53BA5AC4">
            <w:pPr>
              <w:pStyle w:val="7"/>
              <w:spacing w:before="187" w:line="217" w:lineRule="auto"/>
              <w:ind w:left="2768"/>
            </w:pPr>
            <w:r>
              <w:rPr>
                <w:spacing w:val="-21"/>
              </w:rPr>
              <w:t>面要配备足够的消防器材。</w:t>
            </w:r>
          </w:p>
        </w:tc>
      </w:tr>
      <w:tr w14:paraId="4F159A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22" w:hRule="atLeast"/>
        </w:trPr>
        <w:tc>
          <w:tcPr>
            <w:tcW w:w="1534" w:type="dxa"/>
            <w:vMerge w:val="continue"/>
            <w:tcBorders>
              <w:top w:val="nil"/>
              <w:left w:val="single" w:color="1C456A" w:sz="4" w:space="0"/>
              <w:bottom w:val="nil"/>
            </w:tcBorders>
            <w:vAlign w:val="top"/>
          </w:tcPr>
          <w:p w14:paraId="1CE848E7">
            <w:pPr>
              <w:rPr>
                <w:rFonts w:ascii="Arial"/>
                <w:sz w:val="21"/>
              </w:rPr>
            </w:pPr>
          </w:p>
        </w:tc>
        <w:tc>
          <w:tcPr>
            <w:tcW w:w="8139" w:type="dxa"/>
            <w:tcBorders>
              <w:right w:val="single" w:color="000000" w:sz="4" w:space="0"/>
            </w:tcBorders>
            <w:vAlign w:val="top"/>
          </w:tcPr>
          <w:p w14:paraId="41952484">
            <w:pPr>
              <w:pStyle w:val="7"/>
              <w:spacing w:before="112" w:line="215" w:lineRule="auto"/>
              <w:ind w:right="3"/>
              <w:jc w:val="right"/>
            </w:pPr>
            <w:r>
              <w:rPr>
                <w:spacing w:val="-21"/>
              </w:rPr>
              <w:t>冬季管道焊接时应尽量安排在气温0℃以上进行，环境温度低于-10℃时不得施焊</w:t>
            </w:r>
            <w:r>
              <w:rPr>
                <w:spacing w:val="-22"/>
              </w:rPr>
              <w:t>；当</w:t>
            </w:r>
          </w:p>
          <w:p w14:paraId="47FAB1EF">
            <w:pPr>
              <w:pStyle w:val="7"/>
              <w:spacing w:before="185" w:line="217" w:lineRule="auto"/>
              <w:ind w:left="65"/>
            </w:pPr>
            <w:r>
              <w:rPr>
                <w:spacing w:val="-22"/>
              </w:rPr>
              <w:t>环境温度低于-5℃条件下进行焊接时，除遵守常温焊接的有关规定外，应调</w:t>
            </w:r>
            <w:r>
              <w:rPr>
                <w:spacing w:val="-23"/>
              </w:rPr>
              <w:t>整焊接工</w:t>
            </w:r>
          </w:p>
          <w:p w14:paraId="032BE2E5">
            <w:pPr>
              <w:pStyle w:val="7"/>
              <w:spacing w:before="186" w:line="217" w:lineRule="auto"/>
              <w:ind w:left="481"/>
            </w:pPr>
            <w:r>
              <w:rPr>
                <w:spacing w:val="-22"/>
              </w:rPr>
              <w:t>艺参数，适当加大焊接电流，减缓焊接速度，使焊缝和热影响区缓慢冷却。</w:t>
            </w:r>
          </w:p>
        </w:tc>
      </w:tr>
      <w:tr w14:paraId="44400C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56" w:hRule="atLeast"/>
        </w:trPr>
        <w:tc>
          <w:tcPr>
            <w:tcW w:w="1534" w:type="dxa"/>
            <w:vMerge w:val="continue"/>
            <w:tcBorders>
              <w:top w:val="nil"/>
              <w:left w:val="single" w:color="1C456A" w:sz="4" w:space="0"/>
              <w:bottom w:val="nil"/>
            </w:tcBorders>
            <w:vAlign w:val="top"/>
          </w:tcPr>
          <w:p w14:paraId="788C9880">
            <w:pPr>
              <w:rPr>
                <w:rFonts w:ascii="Arial"/>
                <w:sz w:val="21"/>
              </w:rPr>
            </w:pPr>
          </w:p>
        </w:tc>
        <w:tc>
          <w:tcPr>
            <w:tcW w:w="8139" w:type="dxa"/>
            <w:tcBorders>
              <w:right w:val="single" w:color="000000" w:sz="4" w:space="0"/>
            </w:tcBorders>
            <w:vAlign w:val="top"/>
          </w:tcPr>
          <w:p w14:paraId="5EDAD2F9">
            <w:pPr>
              <w:pStyle w:val="7"/>
              <w:spacing w:before="109" w:line="215" w:lineRule="auto"/>
              <w:ind w:left="67"/>
            </w:pPr>
            <w:r>
              <w:rPr>
                <w:spacing w:val="-23"/>
              </w:rPr>
              <w:t>在空间不大或有条件的作业环境中，如果作业时间较长，应采取封闭门窗洞口或可靠</w:t>
            </w:r>
          </w:p>
          <w:p w14:paraId="5F18A48D">
            <w:pPr>
              <w:pStyle w:val="7"/>
              <w:spacing w:before="187" w:line="217" w:lineRule="auto"/>
              <w:ind w:left="2463"/>
            </w:pPr>
            <w:r>
              <w:rPr>
                <w:spacing w:val="-18"/>
              </w:rPr>
              <w:t>加温方法保持环境温度大于5℃。</w:t>
            </w:r>
          </w:p>
        </w:tc>
      </w:tr>
      <w:tr w14:paraId="29AAE7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63" w:hRule="atLeast"/>
        </w:trPr>
        <w:tc>
          <w:tcPr>
            <w:tcW w:w="1534" w:type="dxa"/>
            <w:vMerge w:val="continue"/>
            <w:tcBorders>
              <w:top w:val="nil"/>
              <w:left w:val="single" w:color="1C456A" w:sz="4" w:space="0"/>
              <w:bottom w:val="single" w:color="1C456A" w:sz="4" w:space="0"/>
            </w:tcBorders>
            <w:vAlign w:val="top"/>
          </w:tcPr>
          <w:p w14:paraId="0AC9172C">
            <w:pPr>
              <w:rPr>
                <w:rFonts w:ascii="Arial"/>
                <w:sz w:val="21"/>
              </w:rPr>
            </w:pPr>
          </w:p>
        </w:tc>
        <w:tc>
          <w:tcPr>
            <w:tcW w:w="8139" w:type="dxa"/>
            <w:tcBorders>
              <w:bottom w:val="single" w:color="5B9BD5" w:sz="4" w:space="0"/>
              <w:right w:val="single" w:color="5B9BD5" w:sz="4" w:space="0"/>
            </w:tcBorders>
            <w:vAlign w:val="top"/>
          </w:tcPr>
          <w:p w14:paraId="625177B0">
            <w:pPr>
              <w:pStyle w:val="7"/>
              <w:spacing w:before="107" w:line="215" w:lineRule="auto"/>
              <w:ind w:left="79"/>
            </w:pPr>
            <w:r>
              <w:pict>
                <v:shape id="_x0000_s4039" o:spid="_x0000_s4039" style="position:absolute;left:0pt;margin-left:405.1pt;margin-top:78.2pt;height:0.75pt;width:2.2pt;mso-position-horizontal-relative:page;mso-position-vertical-relative:page;z-index:252350464;mso-width-relative:page;mso-height-relative:page;" fillcolor="#5B9BD5" filled="t" stroked="f" coordsize="44,15" path="m0,14l43,14,43,0,0,0,0,14xe">
                  <v:path/>
                  <v:fill on="t" focussize="0,0"/>
                  <v:stroke on="f"/>
                  <v:imagedata o:title=""/>
                  <o:lock v:ext="edit"/>
                </v:shape>
              </w:pict>
            </w:r>
            <w:r>
              <w:rPr>
                <w:spacing w:val="-20"/>
              </w:rPr>
              <w:t>管道试压，应在环境温度大于5℃时方可进行，试压前根据系统特点和现场情况编制</w:t>
            </w:r>
          </w:p>
          <w:p w14:paraId="657DA75F">
            <w:pPr>
              <w:pStyle w:val="7"/>
              <w:spacing w:before="185" w:line="216" w:lineRule="auto"/>
              <w:ind w:left="75"/>
            </w:pPr>
            <w:r>
              <w:rPr>
                <w:spacing w:val="-23"/>
              </w:rPr>
              <w:t>系统试压方案，并报请审批后方可进行。试压后要采取可靠措施将余水放净，防止管</w:t>
            </w:r>
          </w:p>
          <w:p w14:paraId="75D214A4">
            <w:pPr>
              <w:pStyle w:val="7"/>
              <w:spacing w:before="186" w:line="220" w:lineRule="auto"/>
              <w:ind w:left="3636"/>
            </w:pPr>
            <w:r>
              <w:rPr>
                <w:spacing w:val="-15"/>
              </w:rPr>
              <w:t>道冻裂。</w:t>
            </w:r>
          </w:p>
        </w:tc>
      </w:tr>
    </w:tbl>
    <w:p w14:paraId="084D4AD7">
      <w:pPr>
        <w:pStyle w:val="2"/>
        <w:spacing w:before="114" w:line="217" w:lineRule="auto"/>
        <w:ind w:left="1895"/>
        <w:rPr>
          <w:sz w:val="24"/>
          <w:szCs w:val="24"/>
        </w:rPr>
      </w:pPr>
      <w:r>
        <w:rPr>
          <w:spacing w:val="-19"/>
          <w:sz w:val="24"/>
          <w:szCs w:val="24"/>
        </w:rPr>
        <w:t>冬季消防保证措施</w:t>
      </w:r>
    </w:p>
    <w:p w14:paraId="409E5514">
      <w:pPr>
        <w:pStyle w:val="2"/>
        <w:spacing w:before="115" w:line="309" w:lineRule="auto"/>
        <w:ind w:left="1457" w:right="1410" w:firstLine="466"/>
        <w:rPr>
          <w:sz w:val="24"/>
          <w:szCs w:val="24"/>
        </w:rPr>
      </w:pPr>
      <w:r>
        <w:rPr>
          <w:spacing w:val="-20"/>
          <w:sz w:val="24"/>
          <w:szCs w:val="24"/>
        </w:rPr>
        <w:t>由于冬期施工过程中使用大量保温覆盖材料，大部分材料</w:t>
      </w:r>
      <w:r>
        <w:rPr>
          <w:spacing w:val="-21"/>
          <w:sz w:val="24"/>
          <w:szCs w:val="24"/>
        </w:rPr>
        <w:t>对防火要求较高，并且冬季是易燃材料失火常发季节。所以本方案特制定如下防火措施：</w:t>
      </w:r>
    </w:p>
    <w:p w14:paraId="721185D8">
      <w:pPr>
        <w:spacing w:line="309" w:lineRule="auto"/>
        <w:rPr>
          <w:sz w:val="24"/>
          <w:szCs w:val="24"/>
        </w:rPr>
        <w:sectPr>
          <w:footerReference r:id="rId381" w:type="default"/>
          <w:pgSz w:w="11907" w:h="16839"/>
          <w:pgMar w:top="933" w:right="4" w:bottom="1038" w:left="0" w:header="478" w:footer="357" w:gutter="0"/>
          <w:pgBorders>
            <w:top w:val="none" w:sz="0" w:space="0"/>
            <w:left w:val="none" w:sz="0" w:space="0"/>
            <w:bottom w:val="none" w:sz="0" w:space="0"/>
            <w:right w:val="none" w:sz="0" w:space="0"/>
          </w:pgBorders>
          <w:cols w:space="720" w:num="1"/>
        </w:sectPr>
      </w:pPr>
    </w:p>
    <w:p w14:paraId="73DE81CF">
      <w:pPr>
        <w:spacing w:line="235" w:lineRule="exact"/>
      </w:pPr>
    </w:p>
    <w:tbl>
      <w:tblPr>
        <w:tblStyle w:val="6"/>
        <w:tblW w:w="9673" w:type="dxa"/>
        <w:tblInd w:w="1116"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82"/>
        <w:gridCol w:w="1197"/>
        <w:gridCol w:w="7694"/>
      </w:tblGrid>
      <w:tr w14:paraId="4974F7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6" w:hRule="atLeast"/>
        </w:trPr>
        <w:tc>
          <w:tcPr>
            <w:tcW w:w="782" w:type="dxa"/>
            <w:tcBorders>
              <w:top w:val="single" w:color="000000" w:sz="4" w:space="0"/>
              <w:left w:val="single" w:color="000000" w:sz="4" w:space="0"/>
            </w:tcBorders>
            <w:shd w:val="clear" w:color="auto" w:fill="DEEAF6"/>
            <w:vAlign w:val="top"/>
          </w:tcPr>
          <w:p w14:paraId="2277D7F1">
            <w:pPr>
              <w:pStyle w:val="7"/>
              <w:spacing w:before="129" w:line="218" w:lineRule="auto"/>
              <w:ind w:left="186"/>
            </w:pPr>
            <w:r>
              <w:rPr>
                <w:b/>
                <w:bCs/>
                <w:spacing w:val="-12"/>
              </w:rPr>
              <w:t>序号</w:t>
            </w:r>
          </w:p>
        </w:tc>
        <w:tc>
          <w:tcPr>
            <w:tcW w:w="1197" w:type="dxa"/>
            <w:tcBorders>
              <w:top w:val="single" w:color="000000" w:sz="4" w:space="0"/>
            </w:tcBorders>
            <w:shd w:val="clear" w:color="auto" w:fill="DEEAF6"/>
            <w:vAlign w:val="top"/>
          </w:tcPr>
          <w:p w14:paraId="4CC30927">
            <w:pPr>
              <w:pStyle w:val="7"/>
              <w:spacing w:before="129" w:line="218" w:lineRule="auto"/>
              <w:ind w:left="415"/>
            </w:pPr>
            <w:r>
              <w:rPr>
                <w:b/>
                <w:bCs/>
                <w:spacing w:val="-20"/>
              </w:rPr>
              <w:t>内容</w:t>
            </w:r>
          </w:p>
        </w:tc>
        <w:tc>
          <w:tcPr>
            <w:tcW w:w="7694" w:type="dxa"/>
            <w:tcBorders>
              <w:top w:val="single" w:color="5B9BD5" w:sz="4" w:space="0"/>
              <w:right w:val="single" w:color="5B9BD5" w:sz="4" w:space="0"/>
            </w:tcBorders>
            <w:shd w:val="clear" w:color="auto" w:fill="DEEAF6"/>
            <w:vAlign w:val="top"/>
          </w:tcPr>
          <w:p w14:paraId="092E0D50">
            <w:pPr>
              <w:pStyle w:val="7"/>
              <w:spacing w:before="128" w:line="217" w:lineRule="auto"/>
              <w:ind w:left="3198"/>
            </w:pPr>
            <w:r>
              <w:rPr>
                <w:b/>
                <w:bCs/>
                <w:spacing w:val="-21"/>
              </w:rPr>
              <w:t>消防保证措施</w:t>
            </w:r>
          </w:p>
        </w:tc>
      </w:tr>
      <w:tr w14:paraId="4E6BD8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66" w:hRule="atLeast"/>
        </w:trPr>
        <w:tc>
          <w:tcPr>
            <w:tcW w:w="782" w:type="dxa"/>
            <w:tcBorders>
              <w:top w:val="single" w:color="DEEAF6" w:sz="22" w:space="0"/>
              <w:left w:val="single" w:color="000000" w:sz="4" w:space="0"/>
            </w:tcBorders>
            <w:vAlign w:val="top"/>
          </w:tcPr>
          <w:p w14:paraId="38ABD723">
            <w:pPr>
              <w:spacing w:line="349" w:lineRule="auto"/>
              <w:rPr>
                <w:rFonts w:ascii="Arial"/>
                <w:sz w:val="21"/>
              </w:rPr>
            </w:pPr>
          </w:p>
          <w:p w14:paraId="4E57FAEB">
            <w:pPr>
              <w:spacing w:line="349" w:lineRule="auto"/>
              <w:rPr>
                <w:rFonts w:ascii="Arial"/>
                <w:sz w:val="21"/>
              </w:rPr>
            </w:pPr>
          </w:p>
          <w:p w14:paraId="6B1A36B3">
            <w:pPr>
              <w:pStyle w:val="7"/>
              <w:spacing w:before="78" w:line="238" w:lineRule="auto"/>
              <w:ind w:left="359"/>
            </w:pPr>
            <w:r>
              <w:t>1</w:t>
            </w:r>
          </w:p>
        </w:tc>
        <w:tc>
          <w:tcPr>
            <w:tcW w:w="1197" w:type="dxa"/>
            <w:tcBorders>
              <w:top w:val="single" w:color="DEEAF6" w:sz="22" w:space="0"/>
            </w:tcBorders>
            <w:vAlign w:val="top"/>
          </w:tcPr>
          <w:p w14:paraId="77D9B713">
            <w:pPr>
              <w:spacing w:line="464" w:lineRule="auto"/>
              <w:rPr>
                <w:rFonts w:ascii="Arial"/>
                <w:sz w:val="21"/>
              </w:rPr>
            </w:pPr>
          </w:p>
          <w:p w14:paraId="585E4EF1">
            <w:pPr>
              <w:pStyle w:val="7"/>
              <w:spacing w:before="78" w:line="217" w:lineRule="auto"/>
              <w:ind w:left="283"/>
            </w:pPr>
            <w:r>
              <w:rPr>
                <w:spacing w:val="-15"/>
              </w:rPr>
              <w:t>消防设</w:t>
            </w:r>
          </w:p>
          <w:p w14:paraId="1C6D5798">
            <w:pPr>
              <w:pStyle w:val="7"/>
              <w:spacing w:before="185" w:line="218" w:lineRule="auto"/>
              <w:ind w:left="279"/>
            </w:pPr>
            <w:r>
              <w:rPr>
                <w:spacing w:val="-14"/>
              </w:rPr>
              <w:t>备准备</w:t>
            </w:r>
          </w:p>
        </w:tc>
        <w:tc>
          <w:tcPr>
            <w:tcW w:w="7694" w:type="dxa"/>
            <w:tcBorders>
              <w:top w:val="single" w:color="DEEAF6" w:sz="22" w:space="0"/>
              <w:right w:val="single" w:color="000000" w:sz="4" w:space="0"/>
            </w:tcBorders>
            <w:vAlign w:val="top"/>
          </w:tcPr>
          <w:p w14:paraId="6E46DB2C">
            <w:pPr>
              <w:pStyle w:val="7"/>
              <w:spacing w:before="78" w:line="217" w:lineRule="auto"/>
              <w:ind w:left="66"/>
            </w:pPr>
            <w:r>
              <w:rPr>
                <w:spacing w:val="-23"/>
              </w:rPr>
              <w:t>施工现场配有临时消防系统。水泵房设专人值班。水箱用双层保温被包裹，</w:t>
            </w:r>
            <w:r>
              <w:rPr>
                <w:spacing w:val="-24"/>
              </w:rPr>
              <w:t>随时</w:t>
            </w:r>
          </w:p>
          <w:p w14:paraId="542E2FCE">
            <w:pPr>
              <w:pStyle w:val="7"/>
              <w:spacing w:before="183" w:line="216" w:lineRule="auto"/>
              <w:ind w:left="1670"/>
            </w:pPr>
            <w:r>
              <w:rPr>
                <w:spacing w:val="-23"/>
              </w:rPr>
              <w:t>检查防止消防设施受冻，保证可以随时使用；</w:t>
            </w:r>
          </w:p>
          <w:p w14:paraId="12B33BCE">
            <w:pPr>
              <w:pStyle w:val="7"/>
              <w:spacing w:before="187" w:line="216" w:lineRule="auto"/>
              <w:ind w:left="73"/>
            </w:pPr>
            <w:r>
              <w:rPr>
                <w:spacing w:val="-23"/>
              </w:rPr>
              <w:t>工具房，库房设一组消防器材，易燃材料隔离放置，其附近</w:t>
            </w:r>
            <w:r>
              <w:rPr>
                <w:spacing w:val="-24"/>
              </w:rPr>
              <w:t>严禁烟火，设专人值</w:t>
            </w:r>
          </w:p>
          <w:p w14:paraId="6A03EADA">
            <w:pPr>
              <w:pStyle w:val="7"/>
              <w:spacing w:before="187" w:line="218" w:lineRule="auto"/>
              <w:ind w:left="1998"/>
            </w:pPr>
            <w:r>
              <w:rPr>
                <w:spacing w:val="-21"/>
              </w:rPr>
              <w:t>班；现场配备足够数量的干粉灭火器。</w:t>
            </w:r>
          </w:p>
        </w:tc>
      </w:tr>
      <w:tr w14:paraId="6192BF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22" w:hRule="atLeast"/>
        </w:trPr>
        <w:tc>
          <w:tcPr>
            <w:tcW w:w="782" w:type="dxa"/>
            <w:tcBorders>
              <w:left w:val="single" w:color="1C456A" w:sz="4" w:space="0"/>
              <w:bottom w:val="single" w:color="1C456A" w:sz="4" w:space="0"/>
            </w:tcBorders>
            <w:vAlign w:val="top"/>
          </w:tcPr>
          <w:p w14:paraId="2FE7CF04">
            <w:pPr>
              <w:spacing w:line="359" w:lineRule="auto"/>
              <w:rPr>
                <w:rFonts w:ascii="Arial"/>
                <w:sz w:val="21"/>
              </w:rPr>
            </w:pPr>
          </w:p>
          <w:p w14:paraId="2501A65C">
            <w:pPr>
              <w:spacing w:line="359" w:lineRule="auto"/>
              <w:rPr>
                <w:rFonts w:ascii="Arial"/>
                <w:sz w:val="21"/>
              </w:rPr>
            </w:pPr>
          </w:p>
          <w:p w14:paraId="182E2886">
            <w:pPr>
              <w:pStyle w:val="7"/>
              <w:spacing w:before="78" w:line="238" w:lineRule="auto"/>
              <w:ind w:left="344"/>
            </w:pPr>
            <w:r>
              <w:t>2</w:t>
            </w:r>
          </w:p>
        </w:tc>
        <w:tc>
          <w:tcPr>
            <w:tcW w:w="1197" w:type="dxa"/>
            <w:tcBorders>
              <w:bottom w:val="single" w:color="000000" w:sz="4" w:space="0"/>
            </w:tcBorders>
            <w:vAlign w:val="top"/>
          </w:tcPr>
          <w:p w14:paraId="49CF72BA">
            <w:pPr>
              <w:spacing w:line="242" w:lineRule="auto"/>
              <w:rPr>
                <w:rFonts w:ascii="Arial"/>
                <w:sz w:val="21"/>
              </w:rPr>
            </w:pPr>
          </w:p>
          <w:p w14:paraId="3B502991">
            <w:pPr>
              <w:spacing w:line="243" w:lineRule="auto"/>
              <w:rPr>
                <w:rFonts w:ascii="Arial"/>
                <w:sz w:val="21"/>
              </w:rPr>
            </w:pPr>
          </w:p>
          <w:p w14:paraId="5D7B8671">
            <w:pPr>
              <w:pStyle w:val="7"/>
              <w:spacing w:before="78" w:line="217" w:lineRule="auto"/>
              <w:ind w:left="283"/>
            </w:pPr>
            <w:r>
              <w:rPr>
                <w:spacing w:val="-15"/>
              </w:rPr>
              <w:t>消防组</w:t>
            </w:r>
          </w:p>
          <w:p w14:paraId="5625B3E8">
            <w:pPr>
              <w:pStyle w:val="7"/>
              <w:spacing w:before="185" w:line="218" w:lineRule="auto"/>
              <w:ind w:left="281"/>
            </w:pPr>
            <w:r>
              <w:rPr>
                <w:spacing w:val="-14"/>
              </w:rPr>
              <w:t>织机构</w:t>
            </w:r>
          </w:p>
        </w:tc>
        <w:tc>
          <w:tcPr>
            <w:tcW w:w="7694" w:type="dxa"/>
            <w:tcBorders>
              <w:bottom w:val="single" w:color="5B9BD5" w:sz="4" w:space="0"/>
              <w:right w:val="single" w:color="5B9BD5" w:sz="4" w:space="0"/>
            </w:tcBorders>
            <w:vAlign w:val="top"/>
          </w:tcPr>
          <w:p w14:paraId="6CF41A8C">
            <w:pPr>
              <w:pStyle w:val="7"/>
              <w:spacing w:before="100" w:line="215" w:lineRule="auto"/>
              <w:ind w:left="66"/>
            </w:pPr>
            <w:r>
              <w:rPr>
                <w:spacing w:val="-23"/>
              </w:rPr>
              <w:t>现场成立三个义务消防队，轮值值班，保证随时到达出事地点，每队均分为</w:t>
            </w:r>
            <w:r>
              <w:rPr>
                <w:spacing w:val="-24"/>
              </w:rPr>
              <w:t>扑救</w:t>
            </w:r>
          </w:p>
          <w:p w14:paraId="5A766437">
            <w:pPr>
              <w:pStyle w:val="7"/>
              <w:spacing w:before="185" w:line="217" w:lineRule="auto"/>
              <w:ind w:left="2106"/>
            </w:pPr>
            <w:r>
              <w:rPr>
                <w:spacing w:val="-22"/>
              </w:rPr>
              <w:t>组、报警组、保护现场维持秩序组；</w:t>
            </w:r>
          </w:p>
          <w:p w14:paraId="4BDC2410">
            <w:pPr>
              <w:pStyle w:val="7"/>
              <w:spacing w:before="186" w:line="216" w:lineRule="auto"/>
              <w:ind w:left="1015"/>
            </w:pPr>
            <w:r>
              <w:rPr>
                <w:spacing w:val="-21"/>
              </w:rPr>
              <w:t>现场管理：按《现场管理制度》和《材料管理办法》执行；</w:t>
            </w:r>
          </w:p>
          <w:p w14:paraId="7F969316">
            <w:pPr>
              <w:pStyle w:val="7"/>
              <w:spacing w:before="185" w:line="215" w:lineRule="auto"/>
              <w:ind w:left="306"/>
            </w:pPr>
            <w:r>
              <w:rPr>
                <w:spacing w:val="-20"/>
              </w:rPr>
              <w:t>施工现场24小时有主管领导轮流值班，有紧急情况由值班领导统一指挥。</w:t>
            </w:r>
          </w:p>
        </w:tc>
      </w:tr>
    </w:tbl>
    <w:p w14:paraId="743322A4">
      <w:pPr>
        <w:pStyle w:val="2"/>
        <w:spacing w:before="64" w:line="217" w:lineRule="auto"/>
        <w:ind w:left="3753"/>
        <w:outlineLvl w:val="1"/>
        <w:rPr>
          <w:sz w:val="30"/>
          <w:szCs w:val="30"/>
        </w:rPr>
      </w:pPr>
      <w:bookmarkStart w:id="257" w:name="bookmark246"/>
      <w:bookmarkEnd w:id="257"/>
      <w:r>
        <w:rPr>
          <w:b/>
          <w:bCs/>
          <w:color w:val="0070C0"/>
          <w:spacing w:val="-24"/>
          <w:sz w:val="30"/>
          <w:szCs w:val="30"/>
        </w:rPr>
        <w:t>第十节、管道焊接重难点及应对措施</w:t>
      </w:r>
    </w:p>
    <w:p w14:paraId="357E3A0C">
      <w:pPr>
        <w:pStyle w:val="2"/>
        <w:spacing w:before="63" w:line="218" w:lineRule="auto"/>
        <w:ind w:left="1981"/>
        <w:outlineLvl w:val="2"/>
        <w:rPr>
          <w:sz w:val="28"/>
          <w:szCs w:val="28"/>
        </w:rPr>
      </w:pPr>
      <w:bookmarkStart w:id="258" w:name="bookmark247"/>
      <w:bookmarkEnd w:id="258"/>
      <w:r>
        <w:rPr>
          <w:b/>
          <w:bCs/>
          <w:spacing w:val="-21"/>
          <w:sz w:val="28"/>
          <w:szCs w:val="28"/>
        </w:rPr>
        <w:t>一、重难点分析</w:t>
      </w:r>
    </w:p>
    <w:p w14:paraId="57B68D94">
      <w:pPr>
        <w:pStyle w:val="2"/>
        <w:spacing w:before="102" w:line="264" w:lineRule="auto"/>
        <w:ind w:left="1469" w:right="1409" w:firstLine="424"/>
        <w:rPr>
          <w:sz w:val="24"/>
          <w:szCs w:val="24"/>
        </w:rPr>
      </w:pPr>
      <w:r>
        <w:rPr>
          <w:spacing w:val="-20"/>
          <w:sz w:val="24"/>
          <w:szCs w:val="24"/>
        </w:rPr>
        <w:t>本工程焊接主要包括沿线钢管敷设及低压碳钢焊接法兰，焊接质量直接影响工程质量，故</w:t>
      </w:r>
      <w:r>
        <w:rPr>
          <w:spacing w:val="-21"/>
          <w:sz w:val="24"/>
          <w:szCs w:val="24"/>
        </w:rPr>
        <w:t>管道焊接拟作为本工程的重难点。</w:t>
      </w:r>
    </w:p>
    <w:tbl>
      <w:tblPr>
        <w:tblStyle w:val="6"/>
        <w:tblW w:w="8549" w:type="dxa"/>
        <w:tblInd w:w="1678" w:type="dxa"/>
        <w:tblBorders>
          <w:top w:val="single" w:color="5B9BD5" w:sz="4" w:space="0"/>
          <w:left w:val="single" w:color="5B9BD5" w:sz="4" w:space="0"/>
          <w:bottom w:val="single" w:color="5B9BD5" w:sz="4" w:space="0"/>
          <w:right w:val="single" w:color="5B9BD5" w:sz="4" w:space="0"/>
          <w:insideH w:val="single" w:color="5B9BD5" w:sz="4" w:space="0"/>
          <w:insideV w:val="single" w:color="5B9BD5" w:sz="4" w:space="0"/>
        </w:tblBorders>
        <w:tblLayout w:type="fixed"/>
        <w:tblCellMar>
          <w:top w:w="0" w:type="dxa"/>
          <w:left w:w="0" w:type="dxa"/>
          <w:bottom w:w="0" w:type="dxa"/>
          <w:right w:w="0" w:type="dxa"/>
        </w:tblCellMar>
      </w:tblPr>
      <w:tblGrid>
        <w:gridCol w:w="319"/>
        <w:gridCol w:w="8230"/>
      </w:tblGrid>
      <w:tr w14:paraId="26EC6587">
        <w:tblPrEx>
          <w:tblBorders>
            <w:top w:val="single" w:color="5B9BD5" w:sz="4" w:space="0"/>
            <w:left w:val="single" w:color="5B9BD5" w:sz="4" w:space="0"/>
            <w:bottom w:val="single" w:color="5B9BD5" w:sz="4" w:space="0"/>
            <w:right w:val="single" w:color="5B9BD5" w:sz="4" w:space="0"/>
            <w:insideH w:val="single" w:color="5B9BD5" w:sz="4" w:space="0"/>
            <w:insideV w:val="single" w:color="5B9BD5" w:sz="4" w:space="0"/>
          </w:tblBorders>
          <w:tblCellMar>
            <w:top w:w="0" w:type="dxa"/>
            <w:left w:w="0" w:type="dxa"/>
            <w:bottom w:w="0" w:type="dxa"/>
            <w:right w:w="0" w:type="dxa"/>
          </w:tblCellMar>
        </w:tblPrEx>
        <w:trPr>
          <w:trHeight w:val="620" w:hRule="atLeast"/>
        </w:trPr>
        <w:tc>
          <w:tcPr>
            <w:tcW w:w="319" w:type="dxa"/>
            <w:tcBorders>
              <w:bottom w:val="single" w:color="000000" w:sz="2" w:space="0"/>
              <w:right w:val="nil"/>
            </w:tcBorders>
            <w:shd w:val="clear" w:color="auto" w:fill="DEEAF6"/>
            <w:vAlign w:val="top"/>
          </w:tcPr>
          <w:p w14:paraId="473D74D3">
            <w:pPr>
              <w:rPr>
                <w:rFonts w:ascii="Arial"/>
                <w:sz w:val="21"/>
              </w:rPr>
            </w:pPr>
            <w:r>
              <w:pict>
                <v:shape id="_x0000_s4040" o:spid="_x0000_s4040" style="position:absolute;left:0pt;margin-left:-0.25pt;margin-top:0pt;height:0.75pt;width:2.2pt;mso-position-horizontal-relative:page;mso-position-vertical-relative:page;z-index:252353536;mso-width-relative:page;mso-height-relative:page;" fillcolor="#5B9BD5" filled="t" stroked="f" coordsize="44,15" path="m0,14l43,14,43,0,0,0,0,14xe">
                  <v:path/>
                  <v:fill on="t" focussize="0,0"/>
                  <v:stroke on="f"/>
                  <v:imagedata o:title=""/>
                  <o:lock v:ext="edit"/>
                </v:shape>
              </w:pict>
            </w:r>
          </w:p>
        </w:tc>
        <w:tc>
          <w:tcPr>
            <w:tcW w:w="8230" w:type="dxa"/>
            <w:tcBorders>
              <w:left w:val="nil"/>
              <w:bottom w:val="single" w:color="000000" w:sz="2" w:space="0"/>
            </w:tcBorders>
            <w:shd w:val="clear" w:color="auto" w:fill="DEEAF6"/>
            <w:vAlign w:val="top"/>
          </w:tcPr>
          <w:p w14:paraId="4F0106A8">
            <w:pPr>
              <w:pStyle w:val="7"/>
              <w:spacing w:before="129" w:line="218" w:lineRule="auto"/>
              <w:ind w:left="3424"/>
            </w:pPr>
            <w:r>
              <w:rPr>
                <w:b/>
                <w:bCs/>
                <w:spacing w:val="-19"/>
              </w:rPr>
              <w:t>焊接示例图</w:t>
            </w:r>
          </w:p>
        </w:tc>
      </w:tr>
      <w:tr w14:paraId="38AA152F">
        <w:tblPrEx>
          <w:tblBorders>
            <w:top w:val="single" w:color="5B9BD5" w:sz="4" w:space="0"/>
            <w:left w:val="single" w:color="5B9BD5" w:sz="4" w:space="0"/>
            <w:bottom w:val="single" w:color="5B9BD5" w:sz="4" w:space="0"/>
            <w:right w:val="single" w:color="5B9BD5" w:sz="4" w:space="0"/>
            <w:insideH w:val="single" w:color="5B9BD5" w:sz="4" w:space="0"/>
            <w:insideV w:val="single" w:color="5B9BD5" w:sz="4" w:space="0"/>
          </w:tblBorders>
          <w:tblCellMar>
            <w:top w:w="0" w:type="dxa"/>
            <w:left w:w="0" w:type="dxa"/>
            <w:bottom w:w="0" w:type="dxa"/>
            <w:right w:w="0" w:type="dxa"/>
          </w:tblCellMar>
        </w:tblPrEx>
        <w:trPr>
          <w:trHeight w:val="5120" w:hRule="atLeast"/>
        </w:trPr>
        <w:tc>
          <w:tcPr>
            <w:tcW w:w="8549" w:type="dxa"/>
            <w:gridSpan w:val="2"/>
            <w:tcBorders>
              <w:top w:val="single" w:color="000000" w:sz="2" w:space="0"/>
              <w:left w:val="single" w:color="1C456A" w:sz="4" w:space="0"/>
              <w:bottom w:val="single" w:color="1C456A" w:sz="4" w:space="0"/>
              <w:right w:val="single" w:color="1C456A" w:sz="4" w:space="0"/>
            </w:tcBorders>
            <w:vAlign w:val="top"/>
          </w:tcPr>
          <w:p w14:paraId="7B01A218">
            <w:pPr>
              <w:spacing w:before="57" w:line="4814" w:lineRule="exact"/>
              <w:ind w:firstLine="586"/>
            </w:pPr>
            <w:r>
              <w:pict>
                <v:shape id="_x0000_s4041" o:spid="_x0000_s4041" style="position:absolute;left:0pt;margin-left:-0.25pt;margin-top:256.05pt;height:0.75pt;width:2.2pt;mso-position-horizontal-relative:page;mso-position-vertical-relative:page;z-index:252352512;mso-width-relative:page;mso-height-relative:page;" fillcolor="#5B9BD5" filled="t" stroked="f" coordsize="44,15" path="m0,14l43,14,43,0,0,0,0,14xe">
                  <v:path/>
                  <v:fill on="t" focussize="0,0"/>
                  <v:stroke on="f"/>
                  <v:imagedata o:title=""/>
                  <o:lock v:ext="edit"/>
                </v:shape>
              </w:pict>
            </w:r>
            <w:r>
              <w:rPr>
                <w:position w:val="-96"/>
              </w:rPr>
              <w:drawing>
                <wp:inline distT="0" distB="0" distL="0" distR="0">
                  <wp:extent cx="4676140" cy="3056255"/>
                  <wp:effectExtent l="0" t="0" r="0" b="0"/>
                  <wp:docPr id="1594" name="IM 1594"/>
                  <wp:cNvGraphicFramePr/>
                  <a:graphic xmlns:a="http://schemas.openxmlformats.org/drawingml/2006/main">
                    <a:graphicData uri="http://schemas.openxmlformats.org/drawingml/2006/picture">
                      <pic:pic xmlns:pic="http://schemas.openxmlformats.org/drawingml/2006/picture">
                        <pic:nvPicPr>
                          <pic:cNvPr id="1594" name="IM 1594"/>
                          <pic:cNvPicPr/>
                        </pic:nvPicPr>
                        <pic:blipFill>
                          <a:blip r:embed="rId722"/>
                          <a:stretch>
                            <a:fillRect/>
                          </a:stretch>
                        </pic:blipFill>
                        <pic:spPr>
                          <a:xfrm>
                            <a:off x="0" y="0"/>
                            <a:ext cx="4676140" cy="3056889"/>
                          </a:xfrm>
                          <a:prstGeom prst="rect">
                            <a:avLst/>
                          </a:prstGeom>
                        </pic:spPr>
                      </pic:pic>
                    </a:graphicData>
                  </a:graphic>
                </wp:inline>
              </w:drawing>
            </w:r>
          </w:p>
        </w:tc>
      </w:tr>
    </w:tbl>
    <w:p w14:paraId="755D0530">
      <w:pPr>
        <w:pStyle w:val="2"/>
        <w:spacing w:before="81" w:line="217" w:lineRule="auto"/>
        <w:ind w:left="1986"/>
        <w:outlineLvl w:val="2"/>
        <w:rPr>
          <w:sz w:val="28"/>
          <w:szCs w:val="28"/>
        </w:rPr>
      </w:pPr>
      <w:bookmarkStart w:id="259" w:name="bookmark248"/>
      <w:bookmarkEnd w:id="259"/>
      <w:r>
        <w:rPr>
          <w:b/>
          <w:bCs/>
          <w:spacing w:val="-22"/>
          <w:sz w:val="28"/>
          <w:szCs w:val="28"/>
        </w:rPr>
        <w:t>二、对应保证措施</w:t>
      </w:r>
    </w:p>
    <w:p w14:paraId="018E9C8D">
      <w:pPr>
        <w:pStyle w:val="2"/>
        <w:spacing w:before="104" w:line="218" w:lineRule="auto"/>
        <w:ind w:left="1903"/>
        <w:rPr>
          <w:sz w:val="24"/>
          <w:szCs w:val="24"/>
        </w:rPr>
      </w:pPr>
      <w:r>
        <w:rPr>
          <w:spacing w:val="-20"/>
          <w:sz w:val="24"/>
          <w:szCs w:val="24"/>
        </w:rPr>
        <w:t>1、管道焊接常见质量问题及预防</w:t>
      </w:r>
    </w:p>
    <w:p w14:paraId="028D4118">
      <w:pPr>
        <w:pStyle w:val="2"/>
        <w:spacing w:before="118" w:line="218" w:lineRule="auto"/>
        <w:ind w:left="1888"/>
        <w:rPr>
          <w:sz w:val="24"/>
          <w:szCs w:val="24"/>
        </w:rPr>
      </w:pPr>
      <w:r>
        <w:rPr>
          <w:spacing w:val="-18"/>
          <w:sz w:val="24"/>
          <w:szCs w:val="24"/>
        </w:rPr>
        <w:t>2.1焊接裂纹原因及预防</w:t>
      </w:r>
    </w:p>
    <w:p w14:paraId="4D3F278E">
      <w:pPr>
        <w:pStyle w:val="2"/>
        <w:spacing w:before="117" w:line="218" w:lineRule="auto"/>
        <w:ind w:left="1888"/>
        <w:rPr>
          <w:sz w:val="24"/>
          <w:szCs w:val="24"/>
        </w:rPr>
      </w:pPr>
      <w:r>
        <w:rPr>
          <w:spacing w:val="-18"/>
          <w:sz w:val="24"/>
          <w:szCs w:val="24"/>
        </w:rPr>
        <w:t>2.1.1焊接中局部变形原因及预防</w:t>
      </w:r>
    </w:p>
    <w:p w14:paraId="2137D6FD">
      <w:pPr>
        <w:spacing w:line="218" w:lineRule="auto"/>
        <w:rPr>
          <w:sz w:val="24"/>
          <w:szCs w:val="24"/>
        </w:rPr>
        <w:sectPr>
          <w:footerReference r:id="rId382" w:type="default"/>
          <w:pgSz w:w="11907" w:h="16839"/>
          <w:pgMar w:top="933" w:right="4" w:bottom="1038" w:left="0" w:header="478" w:footer="357" w:gutter="0"/>
          <w:pgBorders>
            <w:top w:val="none" w:sz="0" w:space="0"/>
            <w:left w:val="none" w:sz="0" w:space="0"/>
            <w:bottom w:val="none" w:sz="0" w:space="0"/>
            <w:right w:val="none" w:sz="0" w:space="0"/>
          </w:pgBorders>
          <w:cols w:space="720" w:num="1"/>
        </w:sectPr>
      </w:pPr>
    </w:p>
    <w:p w14:paraId="0E6A971A">
      <w:pPr>
        <w:spacing w:line="235" w:lineRule="exact"/>
      </w:pPr>
    </w:p>
    <w:tbl>
      <w:tblPr>
        <w:tblStyle w:val="6"/>
        <w:tblW w:w="8859" w:type="dxa"/>
        <w:tblInd w:w="152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27"/>
        <w:gridCol w:w="665"/>
        <w:gridCol w:w="1423"/>
        <w:gridCol w:w="6544"/>
      </w:tblGrid>
      <w:tr w14:paraId="4B7023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8" w:hRule="atLeast"/>
        </w:trPr>
        <w:tc>
          <w:tcPr>
            <w:tcW w:w="892" w:type="dxa"/>
            <w:gridSpan w:val="2"/>
            <w:tcBorders>
              <w:top w:val="single" w:color="000000" w:sz="4" w:space="0"/>
              <w:left w:val="single" w:color="000000" w:sz="4" w:space="0"/>
            </w:tcBorders>
            <w:shd w:val="clear" w:color="auto" w:fill="DEEAF6"/>
            <w:vAlign w:val="top"/>
          </w:tcPr>
          <w:p w14:paraId="2EB81241">
            <w:pPr>
              <w:pStyle w:val="7"/>
              <w:spacing w:before="237" w:line="218" w:lineRule="auto"/>
              <w:ind w:left="241"/>
            </w:pPr>
            <w:r>
              <w:rPr>
                <w:b/>
                <w:bCs/>
                <w:spacing w:val="-12"/>
              </w:rPr>
              <w:t>序号</w:t>
            </w:r>
          </w:p>
        </w:tc>
        <w:tc>
          <w:tcPr>
            <w:tcW w:w="1423" w:type="dxa"/>
            <w:tcBorders>
              <w:top w:val="single" w:color="000000" w:sz="4" w:space="0"/>
            </w:tcBorders>
            <w:shd w:val="clear" w:color="auto" w:fill="DEEAF6"/>
            <w:vAlign w:val="top"/>
          </w:tcPr>
          <w:p w14:paraId="77876E81">
            <w:pPr>
              <w:pStyle w:val="7"/>
              <w:spacing w:before="237" w:line="218" w:lineRule="auto"/>
              <w:ind w:left="522"/>
            </w:pPr>
            <w:r>
              <w:rPr>
                <w:b/>
                <w:bCs/>
                <w:spacing w:val="-18"/>
              </w:rPr>
              <w:t>问题</w:t>
            </w:r>
          </w:p>
        </w:tc>
        <w:tc>
          <w:tcPr>
            <w:tcW w:w="6544" w:type="dxa"/>
            <w:tcBorders>
              <w:top w:val="single" w:color="5B9BD5" w:sz="4" w:space="0"/>
              <w:right w:val="single" w:color="5B9BD5" w:sz="4" w:space="0"/>
            </w:tcBorders>
            <w:shd w:val="clear" w:color="auto" w:fill="DEEAF6"/>
            <w:vAlign w:val="top"/>
          </w:tcPr>
          <w:p w14:paraId="55BB9107">
            <w:pPr>
              <w:pStyle w:val="7"/>
              <w:spacing w:before="237" w:line="219" w:lineRule="auto"/>
              <w:ind w:left="2837"/>
            </w:pPr>
            <w:r>
              <w:rPr>
                <w:b/>
                <w:bCs/>
                <w:spacing w:val="-18"/>
              </w:rPr>
              <w:t>应对措施</w:t>
            </w:r>
          </w:p>
        </w:tc>
      </w:tr>
      <w:tr w14:paraId="78BB49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407" w:hRule="atLeast"/>
        </w:trPr>
        <w:tc>
          <w:tcPr>
            <w:tcW w:w="892" w:type="dxa"/>
            <w:gridSpan w:val="2"/>
            <w:tcBorders>
              <w:left w:val="single" w:color="000000" w:sz="4" w:space="0"/>
            </w:tcBorders>
            <w:vAlign w:val="top"/>
          </w:tcPr>
          <w:p w14:paraId="2A435CE9">
            <w:pPr>
              <w:spacing w:line="245" w:lineRule="auto"/>
              <w:rPr>
                <w:rFonts w:ascii="Arial"/>
                <w:sz w:val="21"/>
              </w:rPr>
            </w:pPr>
          </w:p>
          <w:p w14:paraId="5C9CEE46">
            <w:pPr>
              <w:spacing w:line="246" w:lineRule="auto"/>
              <w:rPr>
                <w:rFonts w:ascii="Arial"/>
                <w:sz w:val="21"/>
              </w:rPr>
            </w:pPr>
          </w:p>
          <w:p w14:paraId="337E69B0">
            <w:pPr>
              <w:spacing w:line="246" w:lineRule="auto"/>
              <w:rPr>
                <w:rFonts w:ascii="Arial"/>
                <w:sz w:val="21"/>
              </w:rPr>
            </w:pPr>
          </w:p>
          <w:p w14:paraId="2A4483D4">
            <w:pPr>
              <w:spacing w:line="246" w:lineRule="auto"/>
              <w:rPr>
                <w:rFonts w:ascii="Arial"/>
                <w:sz w:val="21"/>
              </w:rPr>
            </w:pPr>
          </w:p>
          <w:p w14:paraId="3B0F70CF">
            <w:pPr>
              <w:spacing w:line="246" w:lineRule="auto"/>
              <w:rPr>
                <w:rFonts w:ascii="Arial"/>
                <w:sz w:val="21"/>
              </w:rPr>
            </w:pPr>
          </w:p>
          <w:p w14:paraId="32793CFB">
            <w:pPr>
              <w:spacing w:line="246" w:lineRule="auto"/>
              <w:rPr>
                <w:rFonts w:ascii="Arial"/>
                <w:sz w:val="21"/>
              </w:rPr>
            </w:pPr>
          </w:p>
          <w:p w14:paraId="7074D705">
            <w:pPr>
              <w:spacing w:line="246" w:lineRule="auto"/>
              <w:rPr>
                <w:rFonts w:ascii="Arial"/>
                <w:sz w:val="21"/>
              </w:rPr>
            </w:pPr>
          </w:p>
          <w:p w14:paraId="61B7DBE7">
            <w:pPr>
              <w:spacing w:line="246" w:lineRule="auto"/>
              <w:rPr>
                <w:rFonts w:ascii="Arial"/>
                <w:sz w:val="21"/>
              </w:rPr>
            </w:pPr>
          </w:p>
          <w:p w14:paraId="75FD3768">
            <w:pPr>
              <w:spacing w:line="246" w:lineRule="auto"/>
              <w:rPr>
                <w:rFonts w:ascii="Arial"/>
                <w:sz w:val="21"/>
              </w:rPr>
            </w:pPr>
          </w:p>
          <w:p w14:paraId="775EB8EF">
            <w:pPr>
              <w:spacing w:line="246" w:lineRule="auto"/>
              <w:rPr>
                <w:rFonts w:ascii="Arial"/>
                <w:sz w:val="21"/>
              </w:rPr>
            </w:pPr>
          </w:p>
          <w:p w14:paraId="78294470">
            <w:pPr>
              <w:spacing w:line="246" w:lineRule="auto"/>
              <w:rPr>
                <w:rFonts w:ascii="Arial"/>
                <w:sz w:val="21"/>
              </w:rPr>
            </w:pPr>
          </w:p>
          <w:p w14:paraId="5A4C10D3">
            <w:pPr>
              <w:spacing w:line="246" w:lineRule="auto"/>
              <w:rPr>
                <w:rFonts w:ascii="Arial"/>
                <w:sz w:val="21"/>
              </w:rPr>
            </w:pPr>
          </w:p>
          <w:p w14:paraId="17B37AA4">
            <w:pPr>
              <w:spacing w:line="246" w:lineRule="auto"/>
              <w:rPr>
                <w:rFonts w:ascii="Arial"/>
                <w:sz w:val="21"/>
              </w:rPr>
            </w:pPr>
          </w:p>
          <w:p w14:paraId="710190C8">
            <w:pPr>
              <w:spacing w:line="246" w:lineRule="auto"/>
              <w:rPr>
                <w:rFonts w:ascii="Arial"/>
                <w:sz w:val="21"/>
              </w:rPr>
            </w:pPr>
          </w:p>
          <w:p w14:paraId="5AD20EAE">
            <w:pPr>
              <w:spacing w:line="246" w:lineRule="auto"/>
              <w:rPr>
                <w:rFonts w:ascii="Arial"/>
                <w:sz w:val="21"/>
              </w:rPr>
            </w:pPr>
          </w:p>
          <w:p w14:paraId="59BD2EDC">
            <w:pPr>
              <w:spacing w:line="246" w:lineRule="auto"/>
              <w:rPr>
                <w:rFonts w:ascii="Arial"/>
                <w:sz w:val="21"/>
              </w:rPr>
            </w:pPr>
          </w:p>
          <w:p w14:paraId="7790D62F">
            <w:pPr>
              <w:spacing w:line="246" w:lineRule="auto"/>
              <w:rPr>
                <w:rFonts w:ascii="Arial"/>
                <w:sz w:val="21"/>
              </w:rPr>
            </w:pPr>
          </w:p>
          <w:p w14:paraId="23DA05C4">
            <w:pPr>
              <w:spacing w:line="246" w:lineRule="auto"/>
              <w:rPr>
                <w:rFonts w:ascii="Arial"/>
                <w:sz w:val="21"/>
              </w:rPr>
            </w:pPr>
          </w:p>
          <w:p w14:paraId="5DBF0F2B">
            <w:pPr>
              <w:spacing w:line="246" w:lineRule="auto"/>
              <w:rPr>
                <w:rFonts w:ascii="Arial"/>
                <w:sz w:val="21"/>
              </w:rPr>
            </w:pPr>
          </w:p>
          <w:p w14:paraId="36FB9189">
            <w:pPr>
              <w:spacing w:line="246" w:lineRule="auto"/>
              <w:rPr>
                <w:rFonts w:ascii="Arial"/>
                <w:sz w:val="21"/>
              </w:rPr>
            </w:pPr>
          </w:p>
          <w:p w14:paraId="055F995B">
            <w:pPr>
              <w:pStyle w:val="7"/>
              <w:spacing w:before="78" w:line="238" w:lineRule="auto"/>
              <w:ind w:left="416"/>
            </w:pPr>
            <w:r>
              <w:t>1</w:t>
            </w:r>
          </w:p>
        </w:tc>
        <w:tc>
          <w:tcPr>
            <w:tcW w:w="1423" w:type="dxa"/>
            <w:vAlign w:val="top"/>
          </w:tcPr>
          <w:p w14:paraId="555E2C57">
            <w:pPr>
              <w:spacing w:line="245" w:lineRule="auto"/>
              <w:rPr>
                <w:rFonts w:ascii="Arial"/>
                <w:sz w:val="21"/>
              </w:rPr>
            </w:pPr>
          </w:p>
          <w:p w14:paraId="0468BEFC">
            <w:pPr>
              <w:spacing w:line="245" w:lineRule="auto"/>
              <w:rPr>
                <w:rFonts w:ascii="Arial"/>
                <w:sz w:val="21"/>
              </w:rPr>
            </w:pPr>
          </w:p>
          <w:p w14:paraId="5D6E9B0E">
            <w:pPr>
              <w:spacing w:line="246" w:lineRule="auto"/>
              <w:rPr>
                <w:rFonts w:ascii="Arial"/>
                <w:sz w:val="21"/>
              </w:rPr>
            </w:pPr>
          </w:p>
          <w:p w14:paraId="67343C9D">
            <w:pPr>
              <w:spacing w:line="246" w:lineRule="auto"/>
              <w:rPr>
                <w:rFonts w:ascii="Arial"/>
                <w:sz w:val="21"/>
              </w:rPr>
            </w:pPr>
          </w:p>
          <w:p w14:paraId="39C9EE51">
            <w:pPr>
              <w:spacing w:line="246" w:lineRule="auto"/>
              <w:rPr>
                <w:rFonts w:ascii="Arial"/>
                <w:sz w:val="21"/>
              </w:rPr>
            </w:pPr>
          </w:p>
          <w:p w14:paraId="6BA76E13">
            <w:pPr>
              <w:spacing w:line="246" w:lineRule="auto"/>
              <w:rPr>
                <w:rFonts w:ascii="Arial"/>
                <w:sz w:val="21"/>
              </w:rPr>
            </w:pPr>
          </w:p>
          <w:p w14:paraId="096D3CFB">
            <w:pPr>
              <w:spacing w:line="246" w:lineRule="auto"/>
              <w:rPr>
                <w:rFonts w:ascii="Arial"/>
                <w:sz w:val="21"/>
              </w:rPr>
            </w:pPr>
          </w:p>
          <w:p w14:paraId="553CB17D">
            <w:pPr>
              <w:spacing w:line="246" w:lineRule="auto"/>
              <w:rPr>
                <w:rFonts w:ascii="Arial"/>
                <w:sz w:val="21"/>
              </w:rPr>
            </w:pPr>
          </w:p>
          <w:p w14:paraId="5AF4463B">
            <w:pPr>
              <w:spacing w:line="246" w:lineRule="auto"/>
              <w:rPr>
                <w:rFonts w:ascii="Arial"/>
                <w:sz w:val="21"/>
              </w:rPr>
            </w:pPr>
          </w:p>
          <w:p w14:paraId="0F09187B">
            <w:pPr>
              <w:spacing w:line="246" w:lineRule="auto"/>
              <w:rPr>
                <w:rFonts w:ascii="Arial"/>
                <w:sz w:val="21"/>
              </w:rPr>
            </w:pPr>
          </w:p>
          <w:p w14:paraId="04DBF4D5">
            <w:pPr>
              <w:spacing w:line="246" w:lineRule="auto"/>
              <w:rPr>
                <w:rFonts w:ascii="Arial"/>
                <w:sz w:val="21"/>
              </w:rPr>
            </w:pPr>
          </w:p>
          <w:p w14:paraId="3BADD4E7">
            <w:pPr>
              <w:spacing w:line="246" w:lineRule="auto"/>
              <w:rPr>
                <w:rFonts w:ascii="Arial"/>
                <w:sz w:val="21"/>
              </w:rPr>
            </w:pPr>
          </w:p>
          <w:p w14:paraId="7D9086AA">
            <w:pPr>
              <w:spacing w:line="246" w:lineRule="auto"/>
              <w:rPr>
                <w:rFonts w:ascii="Arial"/>
                <w:sz w:val="21"/>
              </w:rPr>
            </w:pPr>
          </w:p>
          <w:p w14:paraId="1CD46E6B">
            <w:pPr>
              <w:spacing w:line="246" w:lineRule="auto"/>
              <w:rPr>
                <w:rFonts w:ascii="Arial"/>
                <w:sz w:val="21"/>
              </w:rPr>
            </w:pPr>
          </w:p>
          <w:p w14:paraId="2D270088">
            <w:pPr>
              <w:spacing w:line="246" w:lineRule="auto"/>
              <w:rPr>
                <w:rFonts w:ascii="Arial"/>
                <w:sz w:val="21"/>
              </w:rPr>
            </w:pPr>
          </w:p>
          <w:p w14:paraId="5044D8B4">
            <w:pPr>
              <w:spacing w:line="246" w:lineRule="auto"/>
              <w:rPr>
                <w:rFonts w:ascii="Arial"/>
                <w:sz w:val="21"/>
              </w:rPr>
            </w:pPr>
          </w:p>
          <w:p w14:paraId="150FDEF9">
            <w:pPr>
              <w:spacing w:line="246" w:lineRule="auto"/>
              <w:rPr>
                <w:rFonts w:ascii="Arial"/>
                <w:sz w:val="21"/>
              </w:rPr>
            </w:pPr>
          </w:p>
          <w:p w14:paraId="038E6B5E">
            <w:pPr>
              <w:spacing w:line="246" w:lineRule="auto"/>
              <w:rPr>
                <w:rFonts w:ascii="Arial"/>
                <w:sz w:val="21"/>
              </w:rPr>
            </w:pPr>
          </w:p>
          <w:p w14:paraId="499D6262">
            <w:pPr>
              <w:spacing w:line="246" w:lineRule="auto"/>
              <w:rPr>
                <w:rFonts w:ascii="Arial"/>
                <w:sz w:val="21"/>
              </w:rPr>
            </w:pPr>
          </w:p>
          <w:p w14:paraId="298B1820">
            <w:pPr>
              <w:spacing w:line="246" w:lineRule="auto"/>
              <w:rPr>
                <w:rFonts w:ascii="Arial"/>
                <w:sz w:val="21"/>
              </w:rPr>
            </w:pPr>
          </w:p>
          <w:p w14:paraId="77BFC72A">
            <w:pPr>
              <w:pStyle w:val="7"/>
              <w:spacing w:before="78" w:line="219" w:lineRule="auto"/>
              <w:ind w:left="393"/>
            </w:pPr>
            <w:r>
              <w:rPr>
                <w:spacing w:val="-14"/>
              </w:rPr>
              <w:t>热裂纹</w:t>
            </w:r>
          </w:p>
        </w:tc>
        <w:tc>
          <w:tcPr>
            <w:tcW w:w="6544" w:type="dxa"/>
            <w:tcBorders>
              <w:right w:val="single" w:color="000000" w:sz="4" w:space="0"/>
            </w:tcBorders>
            <w:vAlign w:val="top"/>
          </w:tcPr>
          <w:p w14:paraId="7152E4F2">
            <w:pPr>
              <w:pStyle w:val="7"/>
              <w:spacing w:before="122" w:line="217" w:lineRule="auto"/>
              <w:ind w:left="115"/>
            </w:pPr>
            <w:r>
              <w:rPr>
                <w:spacing w:val="-21"/>
              </w:rPr>
              <w:t>热裂纹是指高温下所产生的裂纹，又称高温裂纹或结</w:t>
            </w:r>
            <w:r>
              <w:rPr>
                <w:spacing w:val="-22"/>
              </w:rPr>
              <w:t>晶裂纹，通常</w:t>
            </w:r>
          </w:p>
          <w:p w14:paraId="323E08DC">
            <w:pPr>
              <w:pStyle w:val="7"/>
              <w:spacing w:before="186" w:line="215" w:lineRule="auto"/>
              <w:ind w:left="114"/>
            </w:pPr>
            <w:r>
              <w:rPr>
                <w:spacing w:val="-21"/>
              </w:rPr>
              <w:t>产生在焊缝内部，有时也可能出现在热影响区，表现形</w:t>
            </w:r>
            <w:r>
              <w:rPr>
                <w:spacing w:val="-22"/>
              </w:rPr>
              <w:t>式有：纵向</w:t>
            </w:r>
          </w:p>
          <w:p w14:paraId="42FA8716">
            <w:pPr>
              <w:pStyle w:val="7"/>
              <w:spacing w:before="185" w:line="217" w:lineRule="auto"/>
              <w:ind w:left="114"/>
            </w:pPr>
            <w:r>
              <w:rPr>
                <w:spacing w:val="-21"/>
              </w:rPr>
              <w:t>裂纹、横向裂纹、根部裂纹、弧坑裂纹和热影响区裂纹</w:t>
            </w:r>
            <w:r>
              <w:rPr>
                <w:spacing w:val="-22"/>
              </w:rPr>
              <w:t>。其产生原</w:t>
            </w:r>
          </w:p>
          <w:p w14:paraId="7E4D4EE8">
            <w:pPr>
              <w:pStyle w:val="7"/>
              <w:spacing w:before="186" w:line="215" w:lineRule="auto"/>
              <w:ind w:left="137"/>
            </w:pPr>
            <w:r>
              <w:rPr>
                <w:spacing w:val="-22"/>
              </w:rPr>
              <w:t>因是由于焊接熔池在结晶过程中存在着偏析现象，低熔点共晶和杂</w:t>
            </w:r>
          </w:p>
          <w:p w14:paraId="53254CF7">
            <w:pPr>
              <w:pStyle w:val="7"/>
              <w:spacing w:before="188" w:line="215" w:lineRule="auto"/>
              <w:ind w:left="118"/>
            </w:pPr>
            <w:r>
              <w:rPr>
                <w:spacing w:val="-21"/>
              </w:rPr>
              <w:t>质在结晶过程中以液态间层形式存在从而形成偏</w:t>
            </w:r>
            <w:r>
              <w:rPr>
                <w:spacing w:val="-22"/>
              </w:rPr>
              <w:t>析，凝固以后强度</w:t>
            </w:r>
          </w:p>
          <w:p w14:paraId="1618A21E">
            <w:pPr>
              <w:pStyle w:val="7"/>
              <w:spacing w:before="187" w:line="217" w:lineRule="auto"/>
              <w:ind w:left="120"/>
            </w:pPr>
            <w:r>
              <w:rPr>
                <w:spacing w:val="-21"/>
              </w:rPr>
              <w:t>也较低，当焊接应力足够大时，就会将液态</w:t>
            </w:r>
            <w:r>
              <w:rPr>
                <w:spacing w:val="-22"/>
              </w:rPr>
              <w:t>间层或刚凝固不久的固</w:t>
            </w:r>
          </w:p>
          <w:p w14:paraId="7C621F03">
            <w:pPr>
              <w:pStyle w:val="7"/>
              <w:spacing w:before="185" w:line="215" w:lineRule="auto"/>
              <w:ind w:left="122"/>
            </w:pPr>
            <w:r>
              <w:rPr>
                <w:spacing w:val="-22"/>
              </w:rPr>
              <w:t>态金属拉开形成裂纹。此外，如果母材的晶界上也存在有低熔点共</w:t>
            </w:r>
          </w:p>
          <w:p w14:paraId="206A8CF9">
            <w:pPr>
              <w:pStyle w:val="7"/>
              <w:spacing w:before="187" w:line="218" w:lineRule="auto"/>
              <w:ind w:left="132"/>
            </w:pPr>
            <w:r>
              <w:rPr>
                <w:spacing w:val="-22"/>
              </w:rPr>
              <w:t>晶和杂质，当焊接拉应力足够大时，也会被拉开。总之，热裂纹的</w:t>
            </w:r>
          </w:p>
          <w:p w14:paraId="61C6645A">
            <w:pPr>
              <w:pStyle w:val="7"/>
              <w:spacing w:before="184" w:line="216" w:lineRule="auto"/>
              <w:ind w:left="114"/>
            </w:pPr>
            <w:r>
              <w:rPr>
                <w:spacing w:val="-21"/>
              </w:rPr>
              <w:t>产生是冶金因素和力学因素共同作用的结果。针</w:t>
            </w:r>
            <w:r>
              <w:rPr>
                <w:spacing w:val="-22"/>
              </w:rPr>
              <w:t>对其产生原因，其</w:t>
            </w:r>
          </w:p>
          <w:p w14:paraId="602EFBC9">
            <w:pPr>
              <w:pStyle w:val="7"/>
              <w:spacing w:before="185" w:line="218" w:lineRule="auto"/>
              <w:ind w:left="2512"/>
            </w:pPr>
            <w:r>
              <w:rPr>
                <w:spacing w:val="-19"/>
              </w:rPr>
              <w:t>预防措施如下：</w:t>
            </w:r>
          </w:p>
          <w:p w14:paraId="71395CB0">
            <w:pPr>
              <w:pStyle w:val="7"/>
              <w:spacing w:before="185" w:line="216" w:lineRule="auto"/>
              <w:ind w:right="3"/>
              <w:jc w:val="right"/>
            </w:pPr>
            <w:r>
              <w:rPr>
                <w:spacing w:val="-21"/>
              </w:rPr>
              <w:t>（1）限制母材及焊接材料（包括焊条、焊丝、焊剂和保护气体）中</w:t>
            </w:r>
          </w:p>
          <w:p w14:paraId="37DEB588">
            <w:pPr>
              <w:pStyle w:val="7"/>
              <w:spacing w:before="184" w:line="217" w:lineRule="auto"/>
              <w:ind w:left="120"/>
            </w:pPr>
            <w:r>
              <w:rPr>
                <w:spacing w:val="-22"/>
              </w:rPr>
              <w:t>易偏析元素和有害杂质的含量，特别应控制硫、磷的含量和降低含</w:t>
            </w:r>
          </w:p>
          <w:p w14:paraId="1071CCAF">
            <w:pPr>
              <w:pStyle w:val="7"/>
              <w:spacing w:before="186" w:line="217" w:lineRule="auto"/>
              <w:ind w:left="86"/>
            </w:pPr>
            <w:r>
              <w:rPr>
                <w:spacing w:val="-17"/>
              </w:rPr>
              <w:t>碳，一般用于焊接的钢材中硫的含量不应大于</w:t>
            </w:r>
            <w:r>
              <w:rPr>
                <w:spacing w:val="-18"/>
              </w:rPr>
              <w:t>0.045%，磷的含量不</w:t>
            </w:r>
          </w:p>
          <w:p w14:paraId="623EB81B">
            <w:pPr>
              <w:pStyle w:val="7"/>
              <w:spacing w:before="184" w:line="216" w:lineRule="auto"/>
              <w:ind w:left="86"/>
            </w:pPr>
            <w:r>
              <w:rPr>
                <w:spacing w:val="-17"/>
              </w:rPr>
              <w:t>应大于0.055%；另外钢材含碳量越离，</w:t>
            </w:r>
            <w:r>
              <w:rPr>
                <w:spacing w:val="-18"/>
              </w:rPr>
              <w:t>焊接性能越差，一般焊缝中</w:t>
            </w:r>
          </w:p>
          <w:p w14:paraId="707A9EE2">
            <w:pPr>
              <w:pStyle w:val="7"/>
              <w:spacing w:before="187" w:line="215" w:lineRule="auto"/>
              <w:ind w:left="86"/>
            </w:pPr>
            <w:r>
              <w:rPr>
                <w:spacing w:val="-18"/>
              </w:rPr>
              <w:t>碳的含量控制在0.10%以下时，热裂纹敏感性可大大降低。（2）调</w:t>
            </w:r>
          </w:p>
          <w:p w14:paraId="317E37E2">
            <w:pPr>
              <w:pStyle w:val="7"/>
              <w:spacing w:before="186" w:line="217" w:lineRule="auto"/>
              <w:ind w:left="113"/>
            </w:pPr>
            <w:r>
              <w:rPr>
                <w:spacing w:val="-21"/>
              </w:rPr>
              <w:t>整焊缝金属的化学成分，改善焊缝组织，细化焊缝品粒，以提高其</w:t>
            </w:r>
          </w:p>
          <w:p w14:paraId="3683C42D">
            <w:pPr>
              <w:pStyle w:val="7"/>
              <w:spacing w:before="187" w:line="216" w:lineRule="auto"/>
              <w:ind w:left="78"/>
            </w:pPr>
            <w:r>
              <w:rPr>
                <w:spacing w:val="-22"/>
              </w:rPr>
              <w:t>塑性，减少或分散偏析程度，控制低熔点共品的有害影响。（</w:t>
            </w:r>
            <w:r>
              <w:rPr>
                <w:spacing w:val="-23"/>
              </w:rPr>
              <w:t>3）采</w:t>
            </w:r>
          </w:p>
          <w:p w14:paraId="0A84D30D">
            <w:pPr>
              <w:pStyle w:val="7"/>
              <w:spacing w:before="184" w:line="216" w:lineRule="auto"/>
              <w:ind w:left="113"/>
            </w:pPr>
            <w:r>
              <w:rPr>
                <w:spacing w:val="-21"/>
              </w:rPr>
              <w:t>用碱性焊条或焊剂，以降低焊缝中的杂质含摄，改善结晶</w:t>
            </w:r>
            <w:r>
              <w:rPr>
                <w:spacing w:val="-22"/>
              </w:rPr>
              <w:t>时的偏析</w:t>
            </w:r>
          </w:p>
          <w:p w14:paraId="78846372">
            <w:pPr>
              <w:pStyle w:val="7"/>
              <w:spacing w:before="188" w:line="218" w:lineRule="auto"/>
              <w:ind w:left="69"/>
            </w:pPr>
            <w:r>
              <w:rPr>
                <w:spacing w:val="-22"/>
              </w:rPr>
              <w:t>程度。（4）适当提高焊缝的形状系数，采用多层多道焊接方法，避</w:t>
            </w:r>
          </w:p>
          <w:p w14:paraId="7C11FCDE">
            <w:pPr>
              <w:pStyle w:val="7"/>
              <w:spacing w:before="185" w:line="217" w:lineRule="auto"/>
              <w:ind w:left="76"/>
            </w:pPr>
            <w:r>
              <w:rPr>
                <w:spacing w:val="-22"/>
              </w:rPr>
              <w:t>免中心线偏析，可防止中心线裂纹。（5）采用合理的焊接顺序和方</w:t>
            </w:r>
          </w:p>
          <w:p w14:paraId="4D45AA45">
            <w:pPr>
              <w:pStyle w:val="7"/>
              <w:spacing w:before="183" w:line="217" w:lineRule="auto"/>
              <w:ind w:left="144"/>
            </w:pPr>
            <w:r>
              <w:rPr>
                <w:spacing w:val="-22"/>
              </w:rPr>
              <w:t>向，采用较小的焊接线能超，整体预热和锤击法，收弧</w:t>
            </w:r>
            <w:r>
              <w:rPr>
                <w:spacing w:val="-23"/>
              </w:rPr>
              <w:t>时填满弧坑</w:t>
            </w:r>
          </w:p>
          <w:p w14:paraId="498BCD08">
            <w:pPr>
              <w:pStyle w:val="7"/>
              <w:spacing w:before="185" w:line="219" w:lineRule="auto"/>
              <w:ind w:left="2630"/>
            </w:pPr>
            <w:r>
              <w:rPr>
                <w:spacing w:val="-19"/>
              </w:rPr>
              <w:t>等工艺措施。</w:t>
            </w:r>
          </w:p>
        </w:tc>
      </w:tr>
      <w:tr w14:paraId="5BDB20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64" w:hRule="atLeast"/>
        </w:trPr>
        <w:tc>
          <w:tcPr>
            <w:tcW w:w="227" w:type="dxa"/>
            <w:tcBorders>
              <w:left w:val="single" w:color="1C456A" w:sz="4" w:space="0"/>
              <w:bottom w:val="single" w:color="1C456A" w:sz="4" w:space="0"/>
              <w:right w:val="nil"/>
            </w:tcBorders>
            <w:vAlign w:val="top"/>
          </w:tcPr>
          <w:p w14:paraId="29725E46">
            <w:pPr>
              <w:rPr>
                <w:rFonts w:ascii="Arial"/>
                <w:sz w:val="21"/>
              </w:rPr>
            </w:pPr>
            <w:r>
              <w:pict>
                <v:shape id="_x0000_s4042" o:spid="_x0000_s4042" style="position:absolute;left:0pt;margin-left:-0.25pt;margin-top:148.25pt;height:0.75pt;width:2.2pt;mso-position-horizontal-relative:page;mso-position-vertical-relative:page;z-index:252355584;mso-width-relative:page;mso-height-relative:page;" fillcolor="#5B9BD5" filled="t" stroked="f" coordsize="44,15" path="m0,14l43,14,43,0,0,0,0,14xe">
                  <v:path/>
                  <v:fill on="t" focussize="0,0"/>
                  <v:stroke on="f"/>
                  <v:imagedata o:title=""/>
                  <o:lock v:ext="edit"/>
                </v:shape>
              </w:pict>
            </w:r>
          </w:p>
        </w:tc>
        <w:tc>
          <w:tcPr>
            <w:tcW w:w="665" w:type="dxa"/>
            <w:tcBorders>
              <w:left w:val="nil"/>
              <w:bottom w:val="single" w:color="1C456A" w:sz="4" w:space="0"/>
            </w:tcBorders>
            <w:vAlign w:val="top"/>
          </w:tcPr>
          <w:p w14:paraId="3D02C56E">
            <w:pPr>
              <w:spacing w:line="297" w:lineRule="auto"/>
              <w:rPr>
                <w:rFonts w:ascii="Arial"/>
                <w:sz w:val="21"/>
              </w:rPr>
            </w:pPr>
          </w:p>
          <w:p w14:paraId="3FE42A25">
            <w:pPr>
              <w:spacing w:line="298" w:lineRule="auto"/>
              <w:rPr>
                <w:rFonts w:ascii="Arial"/>
                <w:sz w:val="21"/>
              </w:rPr>
            </w:pPr>
          </w:p>
          <w:p w14:paraId="1CBFB89F">
            <w:pPr>
              <w:spacing w:line="298" w:lineRule="auto"/>
              <w:rPr>
                <w:rFonts w:ascii="Arial"/>
                <w:sz w:val="21"/>
              </w:rPr>
            </w:pPr>
          </w:p>
          <w:p w14:paraId="53F10467">
            <w:pPr>
              <w:spacing w:line="298" w:lineRule="auto"/>
              <w:rPr>
                <w:rFonts w:ascii="Arial"/>
                <w:sz w:val="21"/>
              </w:rPr>
            </w:pPr>
          </w:p>
          <w:p w14:paraId="7A56DE8D">
            <w:pPr>
              <w:pStyle w:val="7"/>
              <w:spacing w:before="78" w:line="238" w:lineRule="auto"/>
              <w:ind w:left="180"/>
            </w:pPr>
            <w:r>
              <w:t>2</w:t>
            </w:r>
          </w:p>
        </w:tc>
        <w:tc>
          <w:tcPr>
            <w:tcW w:w="1423" w:type="dxa"/>
            <w:tcBorders>
              <w:bottom w:val="single" w:color="000000" w:sz="4" w:space="0"/>
            </w:tcBorders>
            <w:vAlign w:val="top"/>
          </w:tcPr>
          <w:p w14:paraId="29DAD2B5">
            <w:pPr>
              <w:spacing w:line="297" w:lineRule="auto"/>
              <w:rPr>
                <w:rFonts w:ascii="Arial"/>
                <w:sz w:val="21"/>
              </w:rPr>
            </w:pPr>
          </w:p>
          <w:p w14:paraId="32018617">
            <w:pPr>
              <w:spacing w:line="297" w:lineRule="auto"/>
              <w:rPr>
                <w:rFonts w:ascii="Arial"/>
                <w:sz w:val="21"/>
              </w:rPr>
            </w:pPr>
          </w:p>
          <w:p w14:paraId="3D4FD27D">
            <w:pPr>
              <w:spacing w:line="298" w:lineRule="auto"/>
              <w:rPr>
                <w:rFonts w:ascii="Arial"/>
                <w:sz w:val="21"/>
              </w:rPr>
            </w:pPr>
          </w:p>
          <w:p w14:paraId="1D377EBF">
            <w:pPr>
              <w:spacing w:line="298" w:lineRule="auto"/>
              <w:rPr>
                <w:rFonts w:ascii="Arial"/>
                <w:sz w:val="21"/>
              </w:rPr>
            </w:pPr>
          </w:p>
          <w:p w14:paraId="79D10FC6">
            <w:pPr>
              <w:pStyle w:val="7"/>
              <w:spacing w:before="78" w:line="220" w:lineRule="auto"/>
              <w:ind w:left="393"/>
            </w:pPr>
            <w:r>
              <w:rPr>
                <w:spacing w:val="-14"/>
              </w:rPr>
              <w:t>冷裂纹</w:t>
            </w:r>
          </w:p>
        </w:tc>
        <w:tc>
          <w:tcPr>
            <w:tcW w:w="6544" w:type="dxa"/>
            <w:tcBorders>
              <w:bottom w:val="single" w:color="5B9BD5" w:sz="4" w:space="0"/>
              <w:right w:val="single" w:color="5B9BD5" w:sz="4" w:space="0"/>
            </w:tcBorders>
            <w:vAlign w:val="top"/>
          </w:tcPr>
          <w:p w14:paraId="15C51CFF">
            <w:pPr>
              <w:pStyle w:val="7"/>
              <w:spacing w:before="108" w:line="359" w:lineRule="auto"/>
              <w:ind w:left="64" w:right="47" w:firstLine="161"/>
            </w:pPr>
            <w:r>
              <w:pict>
                <v:shape id="_x0000_s4043" o:spid="_x0000_s4043" style="position:absolute;left:0pt;margin-left:325.35pt;margin-top:148.25pt;height:0.75pt;width:2.2pt;mso-position-horizontal-relative:page;mso-position-vertical-relative:page;z-index:252354560;mso-width-relative:page;mso-height-relative:page;" fillcolor="#5B9BD5" filled="t" stroked="f" coordsize="44,15" path="m0,14l43,14,43,0,0,0,0,14xe">
                  <v:path/>
                  <v:fill on="t" focussize="0,0"/>
                  <v:stroke on="f"/>
                  <v:imagedata o:title=""/>
                  <o:lock v:ext="edit"/>
                </v:shape>
              </w:pict>
            </w:r>
            <w:r>
              <w:rPr>
                <w:spacing w:val="-22"/>
              </w:rPr>
              <w:t>冷裂纹是焊缝在冷却过程中温度降到马氏体转变温度范围内造成</w:t>
            </w:r>
            <w:r>
              <w:rPr>
                <w:spacing w:val="-20"/>
              </w:rPr>
              <w:t>的，既可能在焊接后立即出现，也可能较长时间才发生</w:t>
            </w:r>
            <w:r>
              <w:rPr>
                <w:spacing w:val="-21"/>
              </w:rPr>
              <w:t>。基本条件</w:t>
            </w:r>
            <w:r>
              <w:rPr>
                <w:spacing w:val="-22"/>
              </w:rPr>
              <w:t>有3：焊接接头形成淬硬组织、扩散氢的存在和浓集、存在较大焊接</w:t>
            </w:r>
          </w:p>
          <w:p w14:paraId="010F5FFC">
            <w:pPr>
              <w:pStyle w:val="7"/>
              <w:spacing w:line="218" w:lineRule="auto"/>
              <w:ind w:left="1857"/>
            </w:pPr>
            <w:r>
              <w:rPr>
                <w:spacing w:val="-20"/>
              </w:rPr>
              <w:t>拉伸应力。主要预防措施有：</w:t>
            </w:r>
          </w:p>
          <w:p w14:paraId="487CBB4E">
            <w:pPr>
              <w:pStyle w:val="7"/>
              <w:spacing w:before="184" w:line="359" w:lineRule="auto"/>
              <w:ind w:left="68" w:hanging="1"/>
            </w:pPr>
            <w:r>
              <w:rPr>
                <w:spacing w:val="-22"/>
              </w:rPr>
              <w:t>（1）选择合理的焊接规范和线能，改善焊缝及热影响区组织状态，</w:t>
            </w:r>
            <w:r>
              <w:rPr>
                <w:spacing w:val="-25"/>
              </w:rPr>
              <w:t>如焊前预热、控制层问温度、焊后缓冷或后热等以加快氢分子逸出。</w:t>
            </w:r>
          </w:p>
        </w:tc>
      </w:tr>
    </w:tbl>
    <w:p w14:paraId="6A1FA0A0">
      <w:pPr>
        <w:rPr>
          <w:rFonts w:ascii="Arial"/>
          <w:sz w:val="21"/>
        </w:rPr>
      </w:pPr>
    </w:p>
    <w:p w14:paraId="38A3693A">
      <w:pPr>
        <w:rPr>
          <w:rFonts w:ascii="Arial" w:hAnsi="Arial" w:eastAsia="Arial" w:cs="Arial"/>
          <w:sz w:val="21"/>
          <w:szCs w:val="21"/>
        </w:rPr>
        <w:sectPr>
          <w:footerReference r:id="rId383" w:type="default"/>
          <w:pgSz w:w="11907" w:h="16839"/>
          <w:pgMar w:top="933" w:right="4" w:bottom="1038" w:left="0" w:header="478" w:footer="357" w:gutter="0"/>
          <w:pgBorders>
            <w:top w:val="none" w:sz="0" w:space="0"/>
            <w:left w:val="none" w:sz="0" w:space="0"/>
            <w:bottom w:val="none" w:sz="0" w:space="0"/>
            <w:right w:val="none" w:sz="0" w:space="0"/>
          </w:pgBorders>
          <w:cols w:space="720" w:num="1"/>
        </w:sectPr>
      </w:pPr>
    </w:p>
    <w:p w14:paraId="1A8080C4">
      <w:pPr>
        <w:spacing w:line="235" w:lineRule="exact"/>
      </w:pPr>
    </w:p>
    <w:tbl>
      <w:tblPr>
        <w:tblStyle w:val="6"/>
        <w:tblW w:w="8859" w:type="dxa"/>
        <w:tblInd w:w="1524" w:type="dxa"/>
        <w:tblBorders>
          <w:top w:val="single" w:color="5B9BD5" w:sz="4" w:space="0"/>
          <w:left w:val="single" w:color="5B9BD5" w:sz="4" w:space="0"/>
          <w:bottom w:val="single" w:color="5B9BD5" w:sz="4" w:space="0"/>
          <w:right w:val="single" w:color="5B9BD5" w:sz="4" w:space="0"/>
          <w:insideH w:val="single" w:color="5B9BD5" w:sz="4" w:space="0"/>
          <w:insideV w:val="single" w:color="5B9BD5" w:sz="4" w:space="0"/>
        </w:tblBorders>
        <w:tblLayout w:type="fixed"/>
        <w:tblCellMar>
          <w:top w:w="0" w:type="dxa"/>
          <w:left w:w="0" w:type="dxa"/>
          <w:bottom w:w="0" w:type="dxa"/>
          <w:right w:w="0" w:type="dxa"/>
        </w:tblCellMar>
      </w:tblPr>
      <w:tblGrid>
        <w:gridCol w:w="884"/>
        <w:gridCol w:w="1429"/>
        <w:gridCol w:w="6546"/>
      </w:tblGrid>
      <w:tr w14:paraId="43FB80B6">
        <w:tblPrEx>
          <w:tblBorders>
            <w:top w:val="single" w:color="5B9BD5" w:sz="4" w:space="0"/>
            <w:left w:val="single" w:color="5B9BD5" w:sz="4" w:space="0"/>
            <w:bottom w:val="single" w:color="5B9BD5" w:sz="4" w:space="0"/>
            <w:right w:val="single" w:color="5B9BD5" w:sz="4" w:space="0"/>
            <w:insideH w:val="single" w:color="5B9BD5" w:sz="4" w:space="0"/>
            <w:insideV w:val="single" w:color="5B9BD5" w:sz="4" w:space="0"/>
          </w:tblBorders>
          <w:tblCellMar>
            <w:top w:w="0" w:type="dxa"/>
            <w:left w:w="0" w:type="dxa"/>
            <w:bottom w:w="0" w:type="dxa"/>
            <w:right w:w="0" w:type="dxa"/>
          </w:tblCellMar>
        </w:tblPrEx>
        <w:trPr>
          <w:trHeight w:val="3921" w:hRule="atLeast"/>
        </w:trPr>
        <w:tc>
          <w:tcPr>
            <w:tcW w:w="884" w:type="dxa"/>
            <w:tcBorders>
              <w:top w:val="single" w:color="1C456A" w:sz="4" w:space="0"/>
              <w:left w:val="single" w:color="1C456A" w:sz="4" w:space="0"/>
              <w:bottom w:val="single" w:color="1C456A" w:sz="4" w:space="0"/>
              <w:right w:val="single" w:color="000000" w:sz="2" w:space="0"/>
            </w:tcBorders>
            <w:vAlign w:val="top"/>
          </w:tcPr>
          <w:p w14:paraId="43C09113">
            <w:pPr>
              <w:rPr>
                <w:rFonts w:ascii="Arial"/>
                <w:sz w:val="21"/>
              </w:rPr>
            </w:pPr>
          </w:p>
        </w:tc>
        <w:tc>
          <w:tcPr>
            <w:tcW w:w="1429" w:type="dxa"/>
            <w:tcBorders>
              <w:left w:val="single" w:color="000000" w:sz="2" w:space="0"/>
              <w:right w:val="single" w:color="000000" w:sz="2" w:space="0"/>
            </w:tcBorders>
            <w:vAlign w:val="top"/>
          </w:tcPr>
          <w:p w14:paraId="1D669D23">
            <w:pPr>
              <w:rPr>
                <w:rFonts w:ascii="Arial"/>
                <w:sz w:val="21"/>
              </w:rPr>
            </w:pPr>
          </w:p>
        </w:tc>
        <w:tc>
          <w:tcPr>
            <w:tcW w:w="6546" w:type="dxa"/>
            <w:tcBorders>
              <w:left w:val="single" w:color="000000" w:sz="2" w:space="0"/>
            </w:tcBorders>
            <w:vAlign w:val="top"/>
          </w:tcPr>
          <w:p w14:paraId="0AB593EC">
            <w:pPr>
              <w:pStyle w:val="7"/>
              <w:spacing w:before="129" w:line="216" w:lineRule="auto"/>
              <w:ind w:left="115"/>
            </w:pPr>
            <w:r>
              <w:rPr>
                <w:spacing w:val="-21"/>
              </w:rPr>
              <w:t>（2）采用碱性焊条或焊剂，以降低焊缝中的扩散氧含量。（3）焊</w:t>
            </w:r>
          </w:p>
          <w:p w14:paraId="5D040904">
            <w:pPr>
              <w:pStyle w:val="7"/>
              <w:spacing w:before="185" w:line="215" w:lineRule="auto"/>
              <w:jc w:val="right"/>
            </w:pPr>
            <w:r>
              <w:rPr>
                <w:spacing w:val="-20"/>
              </w:rPr>
              <w:t>条和焊剂在使用前严格按照规烘干（低氢焊条300℃-350℃保温1h；</w:t>
            </w:r>
          </w:p>
          <w:p w14:paraId="421144FA">
            <w:pPr>
              <w:pStyle w:val="7"/>
              <w:spacing w:before="188" w:line="216" w:lineRule="auto"/>
              <w:ind w:left="115"/>
            </w:pPr>
            <w:r>
              <w:rPr>
                <w:spacing w:val="-15"/>
              </w:rPr>
              <w:t>酸性焊条100℃-l50℃保温1h；焊剂200℃</w:t>
            </w:r>
            <w:r>
              <w:rPr>
                <w:spacing w:val="-16"/>
              </w:rPr>
              <w:t>-250℃保温2h</w:t>
            </w:r>
            <w:r>
              <w:rPr>
                <w:spacing w:val="-15"/>
              </w:rPr>
              <w:t>），</w:t>
            </w:r>
            <w:r>
              <w:rPr>
                <w:spacing w:val="-16"/>
              </w:rPr>
              <w:t>认真</w:t>
            </w:r>
          </w:p>
          <w:p w14:paraId="2B7CD63E">
            <w:pPr>
              <w:pStyle w:val="7"/>
              <w:spacing w:before="184" w:line="217" w:lineRule="auto"/>
              <w:jc w:val="right"/>
            </w:pPr>
            <w:r>
              <w:rPr>
                <w:spacing w:val="-28"/>
              </w:rPr>
              <w:t>清理坡口和焊丝，去除油污、水分和锈斑等脏物，减少氢来源。（4）</w:t>
            </w:r>
          </w:p>
          <w:p w14:paraId="0337F163">
            <w:pPr>
              <w:pStyle w:val="7"/>
              <w:spacing w:before="185" w:line="217" w:lineRule="auto"/>
              <w:ind w:left="115"/>
            </w:pPr>
            <w:r>
              <w:rPr>
                <w:spacing w:val="-21"/>
              </w:rPr>
              <w:t>焊后及时热处理：进行退火处理，消除内应力，使淬火组</w:t>
            </w:r>
            <w:r>
              <w:rPr>
                <w:spacing w:val="-22"/>
              </w:rPr>
              <w:t>织回火，</w:t>
            </w:r>
          </w:p>
          <w:p w14:paraId="0DB95ABD">
            <w:pPr>
              <w:pStyle w:val="7"/>
              <w:spacing w:before="184" w:line="216" w:lineRule="auto"/>
              <w:ind w:left="82"/>
            </w:pPr>
            <w:r>
              <w:rPr>
                <w:spacing w:val="-22"/>
              </w:rPr>
              <w:t>改善其韧性；进行消氢处理，使氢从焊接接头中充分逸出。</w:t>
            </w:r>
            <w:r>
              <w:rPr>
                <w:spacing w:val="-23"/>
              </w:rPr>
              <w:t>（5）提</w:t>
            </w:r>
          </w:p>
          <w:p w14:paraId="42C55761">
            <w:pPr>
              <w:pStyle w:val="7"/>
              <w:spacing w:before="187" w:line="217" w:lineRule="auto"/>
              <w:ind w:left="77"/>
            </w:pPr>
            <w:r>
              <w:rPr>
                <w:spacing w:val="-22"/>
              </w:rPr>
              <w:t>高钢材质量，减少钢材中层状夹杂物。（6）可降低焊接应力各工艺</w:t>
            </w:r>
          </w:p>
          <w:p w14:paraId="22C2573B">
            <w:pPr>
              <w:pStyle w:val="7"/>
              <w:spacing w:before="183" w:line="219" w:lineRule="auto"/>
              <w:ind w:left="2949"/>
            </w:pPr>
            <w:r>
              <w:rPr>
                <w:spacing w:val="-21"/>
              </w:rPr>
              <w:t>措施。</w:t>
            </w:r>
          </w:p>
        </w:tc>
      </w:tr>
    </w:tbl>
    <w:p w14:paraId="08D73B62">
      <w:pPr>
        <w:pStyle w:val="2"/>
        <w:spacing w:before="113" w:line="218" w:lineRule="auto"/>
        <w:ind w:left="1888"/>
        <w:rPr>
          <w:sz w:val="24"/>
          <w:szCs w:val="24"/>
        </w:rPr>
      </w:pPr>
      <w:r>
        <w:rPr>
          <w:spacing w:val="-18"/>
          <w:sz w:val="24"/>
          <w:szCs w:val="24"/>
        </w:rPr>
        <w:t>2.1.2焊接中局部变形原因及预防</w:t>
      </w:r>
    </w:p>
    <w:p w14:paraId="157893A3">
      <w:pPr>
        <w:spacing w:line="19" w:lineRule="auto"/>
        <w:rPr>
          <w:rFonts w:ascii="Arial"/>
          <w:sz w:val="2"/>
        </w:rPr>
      </w:pPr>
    </w:p>
    <w:tbl>
      <w:tblPr>
        <w:tblStyle w:val="6"/>
        <w:tblW w:w="8859" w:type="dxa"/>
        <w:tblInd w:w="152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27"/>
        <w:gridCol w:w="665"/>
        <w:gridCol w:w="1423"/>
        <w:gridCol w:w="6544"/>
      </w:tblGrid>
      <w:tr w14:paraId="3C785C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56" w:hRule="atLeast"/>
        </w:trPr>
        <w:tc>
          <w:tcPr>
            <w:tcW w:w="892" w:type="dxa"/>
            <w:gridSpan w:val="2"/>
            <w:tcBorders>
              <w:top w:val="single" w:color="000000" w:sz="4" w:space="0"/>
              <w:left w:val="single" w:color="000000" w:sz="4" w:space="0"/>
            </w:tcBorders>
            <w:shd w:val="clear" w:color="auto" w:fill="DEEAF6"/>
            <w:vAlign w:val="top"/>
          </w:tcPr>
          <w:p w14:paraId="403A5CDA">
            <w:pPr>
              <w:spacing w:line="282" w:lineRule="auto"/>
              <w:rPr>
                <w:rFonts w:ascii="Arial"/>
                <w:sz w:val="21"/>
              </w:rPr>
            </w:pPr>
          </w:p>
          <w:p w14:paraId="387C1DEF">
            <w:pPr>
              <w:pStyle w:val="7"/>
              <w:spacing w:before="78" w:line="218" w:lineRule="auto"/>
              <w:ind w:left="241"/>
            </w:pPr>
            <w:r>
              <w:rPr>
                <w:b/>
                <w:bCs/>
                <w:spacing w:val="-12"/>
              </w:rPr>
              <w:t>序号</w:t>
            </w:r>
          </w:p>
        </w:tc>
        <w:tc>
          <w:tcPr>
            <w:tcW w:w="1423" w:type="dxa"/>
            <w:tcBorders>
              <w:top w:val="single" w:color="000000" w:sz="4" w:space="0"/>
            </w:tcBorders>
            <w:shd w:val="clear" w:color="auto" w:fill="DEEAF6"/>
            <w:vAlign w:val="top"/>
          </w:tcPr>
          <w:p w14:paraId="18BB8C93">
            <w:pPr>
              <w:spacing w:line="282" w:lineRule="auto"/>
              <w:rPr>
                <w:rFonts w:ascii="Arial"/>
                <w:sz w:val="21"/>
              </w:rPr>
            </w:pPr>
          </w:p>
          <w:p w14:paraId="73AA2671">
            <w:pPr>
              <w:pStyle w:val="7"/>
              <w:spacing w:before="78" w:line="218" w:lineRule="auto"/>
              <w:ind w:left="522"/>
            </w:pPr>
            <w:r>
              <w:rPr>
                <w:b/>
                <w:bCs/>
                <w:spacing w:val="-23"/>
              </w:rPr>
              <w:t>问题</w:t>
            </w:r>
          </w:p>
        </w:tc>
        <w:tc>
          <w:tcPr>
            <w:tcW w:w="6544" w:type="dxa"/>
            <w:tcBorders>
              <w:top w:val="single" w:color="5B9BD5" w:sz="4" w:space="0"/>
              <w:right w:val="single" w:color="5B9BD5" w:sz="4" w:space="0"/>
            </w:tcBorders>
            <w:shd w:val="clear" w:color="auto" w:fill="DEEAF6"/>
            <w:vAlign w:val="top"/>
          </w:tcPr>
          <w:p w14:paraId="56F95439">
            <w:pPr>
              <w:pStyle w:val="7"/>
              <w:spacing w:before="129" w:line="219" w:lineRule="auto"/>
              <w:ind w:left="2837"/>
            </w:pPr>
            <w:r>
              <w:rPr>
                <w:b/>
                <w:bCs/>
                <w:spacing w:val="-18"/>
              </w:rPr>
              <w:t>应对措施</w:t>
            </w:r>
          </w:p>
        </w:tc>
      </w:tr>
      <w:tr w14:paraId="310645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97" w:hRule="atLeast"/>
        </w:trPr>
        <w:tc>
          <w:tcPr>
            <w:tcW w:w="892" w:type="dxa"/>
            <w:gridSpan w:val="2"/>
            <w:tcBorders>
              <w:left w:val="single" w:color="000000" w:sz="4" w:space="0"/>
            </w:tcBorders>
            <w:vAlign w:val="top"/>
          </w:tcPr>
          <w:p w14:paraId="68696DDD">
            <w:pPr>
              <w:spacing w:line="287" w:lineRule="auto"/>
              <w:rPr>
                <w:rFonts w:ascii="Arial"/>
                <w:sz w:val="21"/>
              </w:rPr>
            </w:pPr>
          </w:p>
          <w:p w14:paraId="7F153FF5">
            <w:pPr>
              <w:spacing w:line="288" w:lineRule="auto"/>
              <w:rPr>
                <w:rFonts w:ascii="Arial"/>
                <w:sz w:val="21"/>
              </w:rPr>
            </w:pPr>
          </w:p>
          <w:p w14:paraId="0BB8909A">
            <w:pPr>
              <w:spacing w:line="288" w:lineRule="auto"/>
              <w:rPr>
                <w:rFonts w:ascii="Arial"/>
                <w:sz w:val="21"/>
              </w:rPr>
            </w:pPr>
          </w:p>
          <w:p w14:paraId="3C09C1FB">
            <w:pPr>
              <w:spacing w:line="288" w:lineRule="auto"/>
              <w:rPr>
                <w:rFonts w:ascii="Arial"/>
                <w:sz w:val="21"/>
              </w:rPr>
            </w:pPr>
          </w:p>
          <w:p w14:paraId="4D7E1ACB">
            <w:pPr>
              <w:spacing w:line="288" w:lineRule="auto"/>
              <w:rPr>
                <w:rFonts w:ascii="Arial"/>
                <w:sz w:val="21"/>
              </w:rPr>
            </w:pPr>
          </w:p>
          <w:p w14:paraId="4270969C">
            <w:pPr>
              <w:pStyle w:val="7"/>
              <w:spacing w:before="78" w:line="238" w:lineRule="auto"/>
              <w:ind w:left="416"/>
            </w:pPr>
            <w:r>
              <w:t>1</w:t>
            </w:r>
          </w:p>
        </w:tc>
        <w:tc>
          <w:tcPr>
            <w:tcW w:w="1423" w:type="dxa"/>
            <w:vAlign w:val="top"/>
          </w:tcPr>
          <w:p w14:paraId="4DCD7BC2">
            <w:pPr>
              <w:spacing w:line="287" w:lineRule="auto"/>
              <w:rPr>
                <w:rFonts w:ascii="Arial"/>
                <w:sz w:val="21"/>
              </w:rPr>
            </w:pPr>
          </w:p>
          <w:p w14:paraId="063BB307">
            <w:pPr>
              <w:spacing w:line="287" w:lineRule="auto"/>
              <w:rPr>
                <w:rFonts w:ascii="Arial"/>
                <w:sz w:val="21"/>
              </w:rPr>
            </w:pPr>
          </w:p>
          <w:p w14:paraId="45A7C006">
            <w:pPr>
              <w:spacing w:line="288" w:lineRule="auto"/>
              <w:rPr>
                <w:rFonts w:ascii="Arial"/>
                <w:sz w:val="21"/>
              </w:rPr>
            </w:pPr>
          </w:p>
          <w:p w14:paraId="05E2F858">
            <w:pPr>
              <w:spacing w:line="288" w:lineRule="auto"/>
              <w:rPr>
                <w:rFonts w:ascii="Arial"/>
                <w:sz w:val="21"/>
              </w:rPr>
            </w:pPr>
          </w:p>
          <w:p w14:paraId="7FFD446E">
            <w:pPr>
              <w:spacing w:line="288" w:lineRule="auto"/>
              <w:rPr>
                <w:rFonts w:ascii="Arial"/>
                <w:sz w:val="21"/>
              </w:rPr>
            </w:pPr>
          </w:p>
          <w:p w14:paraId="46DCA4E8">
            <w:pPr>
              <w:pStyle w:val="7"/>
              <w:spacing w:before="78" w:line="219" w:lineRule="auto"/>
              <w:ind w:left="284"/>
            </w:pPr>
            <w:r>
              <w:rPr>
                <w:spacing w:val="-16"/>
              </w:rPr>
              <w:t>产生原因</w:t>
            </w:r>
          </w:p>
        </w:tc>
        <w:tc>
          <w:tcPr>
            <w:tcW w:w="6544" w:type="dxa"/>
            <w:tcBorders>
              <w:right w:val="single" w:color="000000" w:sz="4" w:space="0"/>
            </w:tcBorders>
            <w:vAlign w:val="top"/>
          </w:tcPr>
          <w:p w14:paraId="63395E80">
            <w:pPr>
              <w:pStyle w:val="7"/>
              <w:spacing w:before="124" w:line="359" w:lineRule="auto"/>
              <w:ind w:left="67"/>
              <w:jc w:val="both"/>
            </w:pPr>
            <w:r>
              <w:rPr>
                <w:spacing w:val="-23"/>
              </w:rPr>
              <w:t>（1）钢结构加工件的刚性较小或者不够均匀，焊后的收缩、变性不完全一样。（2）钢结构加工件从其自身来说焊缝布置的不均匀，这</w:t>
            </w:r>
            <w:r>
              <w:rPr>
                <w:spacing w:val="-25"/>
              </w:rPr>
              <w:t>就会造成收缩也不均，在一些焊缝多的地方收缩大、变形也就越大。</w:t>
            </w:r>
          </w:p>
          <w:p w14:paraId="6299B451">
            <w:pPr>
              <w:pStyle w:val="7"/>
              <w:spacing w:before="1" w:line="216" w:lineRule="auto"/>
              <w:ind w:left="67"/>
            </w:pPr>
            <w:r>
              <w:rPr>
                <w:spacing w:val="-22"/>
              </w:rPr>
              <w:t>（3）加工人员不正确的操作，没有对称分段、分层、间断施焊，焊</w:t>
            </w:r>
          </w:p>
          <w:p w14:paraId="3CFBEF5A">
            <w:pPr>
              <w:pStyle w:val="7"/>
              <w:spacing w:before="187" w:line="217" w:lineRule="auto"/>
              <w:ind w:left="114"/>
            </w:pPr>
            <w:r>
              <w:rPr>
                <w:spacing w:val="-21"/>
              </w:rPr>
              <w:t>接电流、方向、速度不尽相同，造成了钢结构加工件的变</w:t>
            </w:r>
            <w:r>
              <w:rPr>
                <w:spacing w:val="-22"/>
              </w:rPr>
              <w:t>形不完全</w:t>
            </w:r>
          </w:p>
          <w:p w14:paraId="4B243ECF">
            <w:pPr>
              <w:pStyle w:val="7"/>
              <w:spacing w:before="183" w:line="215" w:lineRule="auto"/>
              <w:ind w:left="114"/>
            </w:pPr>
            <w:r>
              <w:rPr>
                <w:spacing w:val="-21"/>
              </w:rPr>
              <w:t>相同。（4）焊接时造成焊接应力过分集中，过量变形。（5）在进</w:t>
            </w:r>
          </w:p>
          <w:p w14:paraId="49B0E870">
            <w:pPr>
              <w:pStyle w:val="7"/>
              <w:spacing w:before="188" w:line="217" w:lineRule="auto"/>
              <w:ind w:left="551"/>
            </w:pPr>
            <w:r>
              <w:rPr>
                <w:spacing w:val="-21"/>
              </w:rPr>
              <w:t>行焊接时，钢结构放置不平，应力集中释放时造成变形。</w:t>
            </w:r>
          </w:p>
        </w:tc>
      </w:tr>
      <w:tr w14:paraId="1897C8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07" w:hRule="atLeast"/>
        </w:trPr>
        <w:tc>
          <w:tcPr>
            <w:tcW w:w="227" w:type="dxa"/>
            <w:tcBorders>
              <w:left w:val="single" w:color="1C456A" w:sz="4" w:space="0"/>
              <w:bottom w:val="single" w:color="1C456A" w:sz="4" w:space="0"/>
              <w:right w:val="nil"/>
            </w:tcBorders>
            <w:vAlign w:val="top"/>
          </w:tcPr>
          <w:p w14:paraId="6BA18893">
            <w:pPr>
              <w:rPr>
                <w:rFonts w:ascii="Arial"/>
                <w:sz w:val="21"/>
              </w:rPr>
            </w:pPr>
            <w:r>
              <w:pict>
                <v:shape id="_x0000_s4044" o:spid="_x0000_s4044" style="position:absolute;left:0pt;margin-left:-0.25pt;margin-top:265.4pt;height:0.75pt;width:2.2pt;mso-position-horizontal-relative:page;mso-position-vertical-relative:page;z-index:252356608;mso-width-relative:page;mso-height-relative:page;" fillcolor="#5B9BD5" filled="t" stroked="f" coordsize="44,15" path="m0,14l43,14,43,0,0,0,0,14xe">
                  <v:path/>
                  <v:fill on="t" focussize="0,0"/>
                  <v:stroke on="f"/>
                  <v:imagedata o:title=""/>
                  <o:lock v:ext="edit"/>
                </v:shape>
              </w:pict>
            </w:r>
          </w:p>
        </w:tc>
        <w:tc>
          <w:tcPr>
            <w:tcW w:w="665" w:type="dxa"/>
            <w:tcBorders>
              <w:left w:val="nil"/>
              <w:bottom w:val="single" w:color="1C456A" w:sz="4" w:space="0"/>
            </w:tcBorders>
            <w:vAlign w:val="top"/>
          </w:tcPr>
          <w:p w14:paraId="061A977B">
            <w:pPr>
              <w:spacing w:line="261" w:lineRule="auto"/>
              <w:rPr>
                <w:rFonts w:ascii="Arial"/>
                <w:sz w:val="21"/>
              </w:rPr>
            </w:pPr>
          </w:p>
          <w:p w14:paraId="343EC291">
            <w:pPr>
              <w:spacing w:line="262" w:lineRule="auto"/>
              <w:rPr>
                <w:rFonts w:ascii="Arial"/>
                <w:sz w:val="21"/>
              </w:rPr>
            </w:pPr>
          </w:p>
          <w:p w14:paraId="4BE5DCE4">
            <w:pPr>
              <w:spacing w:line="262" w:lineRule="auto"/>
              <w:rPr>
                <w:rFonts w:ascii="Arial"/>
                <w:sz w:val="21"/>
              </w:rPr>
            </w:pPr>
          </w:p>
          <w:p w14:paraId="10DA1548">
            <w:pPr>
              <w:spacing w:line="262" w:lineRule="auto"/>
              <w:rPr>
                <w:rFonts w:ascii="Arial"/>
                <w:sz w:val="21"/>
              </w:rPr>
            </w:pPr>
          </w:p>
          <w:p w14:paraId="433EA85C">
            <w:pPr>
              <w:spacing w:line="262" w:lineRule="auto"/>
              <w:rPr>
                <w:rFonts w:ascii="Arial"/>
                <w:sz w:val="21"/>
              </w:rPr>
            </w:pPr>
          </w:p>
          <w:p w14:paraId="791417A5">
            <w:pPr>
              <w:spacing w:line="262" w:lineRule="auto"/>
              <w:rPr>
                <w:rFonts w:ascii="Arial"/>
                <w:sz w:val="21"/>
              </w:rPr>
            </w:pPr>
          </w:p>
          <w:p w14:paraId="4E41B442">
            <w:pPr>
              <w:spacing w:line="262" w:lineRule="auto"/>
              <w:rPr>
                <w:rFonts w:ascii="Arial"/>
                <w:sz w:val="21"/>
              </w:rPr>
            </w:pPr>
          </w:p>
          <w:p w14:paraId="155162A0">
            <w:pPr>
              <w:spacing w:line="262" w:lineRule="auto"/>
              <w:rPr>
                <w:rFonts w:ascii="Arial"/>
                <w:sz w:val="21"/>
              </w:rPr>
            </w:pPr>
          </w:p>
          <w:p w14:paraId="63E651AD">
            <w:pPr>
              <w:spacing w:line="262" w:lineRule="auto"/>
              <w:rPr>
                <w:rFonts w:ascii="Arial"/>
                <w:sz w:val="21"/>
              </w:rPr>
            </w:pPr>
          </w:p>
          <w:p w14:paraId="23CB681B">
            <w:pPr>
              <w:pStyle w:val="7"/>
              <w:spacing w:before="78" w:line="238" w:lineRule="auto"/>
              <w:ind w:left="180"/>
            </w:pPr>
            <w:r>
              <w:t>2</w:t>
            </w:r>
          </w:p>
        </w:tc>
        <w:tc>
          <w:tcPr>
            <w:tcW w:w="1423" w:type="dxa"/>
            <w:tcBorders>
              <w:bottom w:val="single" w:color="000000" w:sz="4" w:space="0"/>
            </w:tcBorders>
            <w:vAlign w:val="top"/>
          </w:tcPr>
          <w:p w14:paraId="2033E24A">
            <w:pPr>
              <w:spacing w:line="261" w:lineRule="auto"/>
              <w:rPr>
                <w:rFonts w:ascii="Arial"/>
                <w:sz w:val="21"/>
              </w:rPr>
            </w:pPr>
          </w:p>
          <w:p w14:paraId="6D6D6E92">
            <w:pPr>
              <w:spacing w:line="262" w:lineRule="auto"/>
              <w:rPr>
                <w:rFonts w:ascii="Arial"/>
                <w:sz w:val="21"/>
              </w:rPr>
            </w:pPr>
          </w:p>
          <w:p w14:paraId="41266ACD">
            <w:pPr>
              <w:spacing w:line="262" w:lineRule="auto"/>
              <w:rPr>
                <w:rFonts w:ascii="Arial"/>
                <w:sz w:val="21"/>
              </w:rPr>
            </w:pPr>
          </w:p>
          <w:p w14:paraId="29D84496">
            <w:pPr>
              <w:spacing w:line="262" w:lineRule="auto"/>
              <w:rPr>
                <w:rFonts w:ascii="Arial"/>
                <w:sz w:val="21"/>
              </w:rPr>
            </w:pPr>
          </w:p>
          <w:p w14:paraId="78288082">
            <w:pPr>
              <w:spacing w:line="262" w:lineRule="auto"/>
              <w:rPr>
                <w:rFonts w:ascii="Arial"/>
                <w:sz w:val="21"/>
              </w:rPr>
            </w:pPr>
          </w:p>
          <w:p w14:paraId="0603EFDD">
            <w:pPr>
              <w:spacing w:line="262" w:lineRule="auto"/>
              <w:rPr>
                <w:rFonts w:ascii="Arial"/>
                <w:sz w:val="21"/>
              </w:rPr>
            </w:pPr>
          </w:p>
          <w:p w14:paraId="0C9BF077">
            <w:pPr>
              <w:spacing w:line="262" w:lineRule="auto"/>
              <w:rPr>
                <w:rFonts w:ascii="Arial"/>
                <w:sz w:val="21"/>
              </w:rPr>
            </w:pPr>
          </w:p>
          <w:p w14:paraId="4CB924BE">
            <w:pPr>
              <w:spacing w:line="262" w:lineRule="auto"/>
              <w:rPr>
                <w:rFonts w:ascii="Arial"/>
                <w:sz w:val="21"/>
              </w:rPr>
            </w:pPr>
          </w:p>
          <w:p w14:paraId="4A1F29E2">
            <w:pPr>
              <w:spacing w:line="262" w:lineRule="auto"/>
              <w:rPr>
                <w:rFonts w:ascii="Arial"/>
                <w:sz w:val="21"/>
              </w:rPr>
            </w:pPr>
          </w:p>
          <w:p w14:paraId="0814D77C">
            <w:pPr>
              <w:pStyle w:val="7"/>
              <w:spacing w:before="78" w:line="219" w:lineRule="auto"/>
              <w:ind w:left="284"/>
            </w:pPr>
            <w:r>
              <w:rPr>
                <w:spacing w:val="-16"/>
              </w:rPr>
              <w:t>预防措施</w:t>
            </w:r>
          </w:p>
        </w:tc>
        <w:tc>
          <w:tcPr>
            <w:tcW w:w="6544" w:type="dxa"/>
            <w:tcBorders>
              <w:bottom w:val="single" w:color="5B9BD5" w:sz="4" w:space="0"/>
              <w:right w:val="single" w:color="5B9BD5" w:sz="4" w:space="0"/>
            </w:tcBorders>
            <w:vAlign w:val="top"/>
          </w:tcPr>
          <w:p w14:paraId="220983F8">
            <w:pPr>
              <w:pStyle w:val="7"/>
              <w:spacing w:before="117" w:line="359" w:lineRule="auto"/>
              <w:ind w:left="67"/>
              <w:jc w:val="both"/>
            </w:pPr>
            <w:r>
              <w:rPr>
                <w:spacing w:val="-24"/>
              </w:rPr>
              <w:t>（1）在进行设计时，尽量让钢结构工件的各部分焊缝和刚度能均匀</w:t>
            </w:r>
            <w:r>
              <w:rPr>
                <w:spacing w:val="-28"/>
              </w:rPr>
              <w:t>布置，焊缝对称设置，减少密集和交叉焊缝。（2）焊接顺序要合理，</w:t>
            </w:r>
            <w:r>
              <w:rPr>
                <w:spacing w:val="-22"/>
              </w:rPr>
              <w:t>减少变形。先焊主焊缝再焊次焊缝，先收缩量大焊缝后收缩量小焊</w:t>
            </w:r>
            <w:r>
              <w:rPr>
                <w:spacing w:val="-24"/>
              </w:rPr>
              <w:t>缝，先对称焊缝后非对称焊缝，先对接焊缝后角焊缝。（3）如果刚</w:t>
            </w:r>
            <w:r>
              <w:rPr>
                <w:spacing w:val="-22"/>
              </w:rPr>
              <w:t>结构工件尺寸大、焊缝多，则可以采取分层、分段、间断的方式进</w:t>
            </w:r>
            <w:r>
              <w:rPr>
                <w:spacing w:val="-24"/>
              </w:rPr>
              <w:t>行焊接，速度、电流和方向要控制一致。（4）较长焊缝在手工焊接</w:t>
            </w:r>
            <w:r>
              <w:rPr>
                <w:spacing w:val="-22"/>
              </w:rPr>
              <w:t>时，需分段、间断焊接，由钢结构工件中间向两头退焊，焊接人员</w:t>
            </w:r>
            <w:r>
              <w:rPr>
                <w:spacing w:val="-24"/>
              </w:rPr>
              <w:t>对称分散布置，避免热量过分集中造成变形。（5）大型钢结构工件</w:t>
            </w:r>
            <w:r>
              <w:rPr>
                <w:spacing w:val="-22"/>
              </w:rPr>
              <w:t>如果形状不对称，需要把小部件组焊矫正完变形后，再装配焊接减</w:t>
            </w:r>
            <w:r>
              <w:rPr>
                <w:spacing w:val="-24"/>
              </w:rPr>
              <w:t>少整体形变。（6）焊接时工件需不停翻动，让变形互相抵消。（7）</w:t>
            </w:r>
            <w:r>
              <w:rPr>
                <w:spacing w:val="-19"/>
              </w:rPr>
              <w:t>焊后易角变形零部件，可以在焊前作预变形处理，如钢板v形坡口</w:t>
            </w:r>
          </w:p>
        </w:tc>
      </w:tr>
    </w:tbl>
    <w:p w14:paraId="435AE988">
      <w:pPr>
        <w:rPr>
          <w:rFonts w:ascii="Arial"/>
          <w:sz w:val="21"/>
        </w:rPr>
      </w:pPr>
    </w:p>
    <w:p w14:paraId="11E2EB94">
      <w:pPr>
        <w:rPr>
          <w:rFonts w:ascii="Arial" w:hAnsi="Arial" w:eastAsia="Arial" w:cs="Arial"/>
          <w:sz w:val="21"/>
          <w:szCs w:val="21"/>
        </w:rPr>
        <w:sectPr>
          <w:footerReference r:id="rId384" w:type="default"/>
          <w:pgSz w:w="11907" w:h="16839"/>
          <w:pgMar w:top="933" w:right="4" w:bottom="1038" w:left="0" w:header="478" w:footer="357" w:gutter="0"/>
          <w:pgBorders>
            <w:top w:val="none" w:sz="0" w:space="0"/>
            <w:left w:val="none" w:sz="0" w:space="0"/>
            <w:bottom w:val="none" w:sz="0" w:space="0"/>
            <w:right w:val="none" w:sz="0" w:space="0"/>
          </w:pgBorders>
          <w:cols w:space="720" w:num="1"/>
        </w:sectPr>
      </w:pPr>
    </w:p>
    <w:p w14:paraId="3F115C44">
      <w:pPr>
        <w:spacing w:line="235" w:lineRule="exact"/>
      </w:pPr>
    </w:p>
    <w:tbl>
      <w:tblPr>
        <w:tblStyle w:val="6"/>
        <w:tblW w:w="8859" w:type="dxa"/>
        <w:tblInd w:w="1524" w:type="dxa"/>
        <w:tblBorders>
          <w:top w:val="single" w:color="5B9BD5" w:sz="4" w:space="0"/>
          <w:left w:val="single" w:color="5B9BD5" w:sz="4" w:space="0"/>
          <w:bottom w:val="single" w:color="5B9BD5" w:sz="4" w:space="0"/>
          <w:right w:val="single" w:color="5B9BD5" w:sz="4" w:space="0"/>
          <w:insideH w:val="single" w:color="5B9BD5" w:sz="4" w:space="0"/>
          <w:insideV w:val="single" w:color="5B9BD5" w:sz="4" w:space="0"/>
        </w:tblBorders>
        <w:tblLayout w:type="fixed"/>
        <w:tblCellMar>
          <w:top w:w="0" w:type="dxa"/>
          <w:left w:w="0" w:type="dxa"/>
          <w:bottom w:w="0" w:type="dxa"/>
          <w:right w:w="0" w:type="dxa"/>
        </w:tblCellMar>
      </w:tblPr>
      <w:tblGrid>
        <w:gridCol w:w="884"/>
        <w:gridCol w:w="1429"/>
        <w:gridCol w:w="6546"/>
      </w:tblGrid>
      <w:tr w14:paraId="71CC2165">
        <w:tblPrEx>
          <w:tblBorders>
            <w:top w:val="single" w:color="5B9BD5" w:sz="4" w:space="0"/>
            <w:left w:val="single" w:color="5B9BD5" w:sz="4" w:space="0"/>
            <w:bottom w:val="single" w:color="5B9BD5" w:sz="4" w:space="0"/>
            <w:right w:val="single" w:color="5B9BD5" w:sz="4" w:space="0"/>
            <w:insideH w:val="single" w:color="5B9BD5" w:sz="4" w:space="0"/>
            <w:insideV w:val="single" w:color="5B9BD5" w:sz="4" w:space="0"/>
          </w:tblBorders>
          <w:tblCellMar>
            <w:top w:w="0" w:type="dxa"/>
            <w:left w:w="0" w:type="dxa"/>
            <w:bottom w:w="0" w:type="dxa"/>
            <w:right w:w="0" w:type="dxa"/>
          </w:tblCellMar>
        </w:tblPrEx>
        <w:trPr>
          <w:trHeight w:val="1117" w:hRule="atLeast"/>
        </w:trPr>
        <w:tc>
          <w:tcPr>
            <w:tcW w:w="884" w:type="dxa"/>
            <w:tcBorders>
              <w:top w:val="single" w:color="1C456A" w:sz="4" w:space="0"/>
              <w:left w:val="single" w:color="1C456A" w:sz="4" w:space="0"/>
              <w:bottom w:val="single" w:color="1C456A" w:sz="4" w:space="0"/>
              <w:right w:val="single" w:color="000000" w:sz="2" w:space="0"/>
            </w:tcBorders>
            <w:vAlign w:val="top"/>
          </w:tcPr>
          <w:p w14:paraId="2079BC41">
            <w:pPr>
              <w:rPr>
                <w:rFonts w:ascii="Arial"/>
                <w:sz w:val="21"/>
              </w:rPr>
            </w:pPr>
          </w:p>
        </w:tc>
        <w:tc>
          <w:tcPr>
            <w:tcW w:w="1429" w:type="dxa"/>
            <w:tcBorders>
              <w:left w:val="single" w:color="000000" w:sz="2" w:space="0"/>
              <w:right w:val="single" w:color="000000" w:sz="2" w:space="0"/>
            </w:tcBorders>
            <w:vAlign w:val="top"/>
          </w:tcPr>
          <w:p w14:paraId="1C846FAA">
            <w:pPr>
              <w:rPr>
                <w:rFonts w:ascii="Arial"/>
                <w:sz w:val="21"/>
              </w:rPr>
            </w:pPr>
          </w:p>
        </w:tc>
        <w:tc>
          <w:tcPr>
            <w:tcW w:w="6546" w:type="dxa"/>
            <w:tcBorders>
              <w:left w:val="single" w:color="000000" w:sz="2" w:space="0"/>
            </w:tcBorders>
            <w:vAlign w:val="top"/>
          </w:tcPr>
          <w:p w14:paraId="091C651E">
            <w:pPr>
              <w:pStyle w:val="7"/>
              <w:spacing w:before="129" w:line="217" w:lineRule="auto"/>
              <w:ind w:left="71"/>
            </w:pPr>
            <w:r>
              <w:rPr>
                <w:spacing w:val="-21"/>
              </w:rPr>
              <w:t>对接，焊前将接口垫高可使焊后变平。（8）外焊</w:t>
            </w:r>
            <w:r>
              <w:rPr>
                <w:spacing w:val="-22"/>
              </w:rPr>
              <w:t>加固件，以此来增</w:t>
            </w:r>
          </w:p>
          <w:p w14:paraId="6797A727">
            <w:pPr>
              <w:pStyle w:val="7"/>
              <w:spacing w:before="183" w:line="215" w:lineRule="auto"/>
              <w:ind w:left="554"/>
            </w:pPr>
            <w:r>
              <w:rPr>
                <w:spacing w:val="-21"/>
              </w:rPr>
              <w:t>大工件刚性，限制焊接变形，加固件应在收缩应力反</w:t>
            </w:r>
            <w:r>
              <w:rPr>
                <w:spacing w:val="-22"/>
              </w:rPr>
              <w:t>面。</w:t>
            </w:r>
          </w:p>
        </w:tc>
      </w:tr>
    </w:tbl>
    <w:p w14:paraId="265687D4">
      <w:pPr>
        <w:pStyle w:val="2"/>
        <w:spacing w:before="115" w:line="217" w:lineRule="auto"/>
        <w:ind w:left="1888"/>
        <w:rPr>
          <w:sz w:val="24"/>
          <w:szCs w:val="24"/>
        </w:rPr>
      </w:pPr>
      <w:r>
        <w:rPr>
          <w:spacing w:val="-17"/>
          <w:sz w:val="24"/>
          <w:szCs w:val="24"/>
        </w:rPr>
        <w:t>2.1.3其他焊接缺陷的控制措施</w:t>
      </w:r>
    </w:p>
    <w:p w14:paraId="4F97410D">
      <w:pPr>
        <w:pStyle w:val="2"/>
        <w:spacing w:before="118" w:line="218" w:lineRule="auto"/>
        <w:ind w:left="1903"/>
        <w:rPr>
          <w:sz w:val="24"/>
          <w:szCs w:val="24"/>
        </w:rPr>
      </w:pPr>
      <w:r>
        <w:rPr>
          <w:spacing w:val="-21"/>
          <w:sz w:val="24"/>
          <w:szCs w:val="24"/>
        </w:rPr>
        <w:t>1）焊缝尺寸不合要求的预防措施及处理方法</w:t>
      </w:r>
    </w:p>
    <w:p w14:paraId="212BE911">
      <w:pPr>
        <w:pStyle w:val="2"/>
        <w:spacing w:before="113" w:line="308" w:lineRule="auto"/>
        <w:ind w:left="1456" w:right="1357" w:firstLine="439"/>
        <w:rPr>
          <w:sz w:val="24"/>
          <w:szCs w:val="24"/>
        </w:rPr>
      </w:pPr>
      <w:r>
        <w:rPr>
          <w:spacing w:val="-20"/>
          <w:sz w:val="24"/>
          <w:szCs w:val="24"/>
        </w:rPr>
        <w:t>选择合适的坡口形式和角度以及装配间隙，对于大型和重要坡口最好采用机械加工；合理</w:t>
      </w:r>
      <w:r>
        <w:rPr>
          <w:spacing w:val="-24"/>
          <w:sz w:val="24"/>
          <w:szCs w:val="24"/>
        </w:rPr>
        <w:t>选择工艺参数；根据装配间隙的变化，随时调整运条角度和速度。焊缝尺寸过小的焊缝应补焊，</w:t>
      </w:r>
      <w:r>
        <w:rPr>
          <w:spacing w:val="-20"/>
          <w:sz w:val="24"/>
          <w:szCs w:val="24"/>
        </w:rPr>
        <w:t>焊缝尺寸过小的焊缝应磨掉。</w:t>
      </w:r>
    </w:p>
    <w:p w14:paraId="2125E5FA">
      <w:pPr>
        <w:pStyle w:val="2"/>
        <w:spacing w:before="1" w:line="218" w:lineRule="auto"/>
        <w:ind w:left="1888"/>
        <w:rPr>
          <w:sz w:val="24"/>
          <w:szCs w:val="24"/>
        </w:rPr>
      </w:pPr>
      <w:r>
        <w:rPr>
          <w:spacing w:val="-19"/>
          <w:sz w:val="24"/>
          <w:szCs w:val="24"/>
        </w:rPr>
        <w:t>2）裂纹的预防措施及处理方法</w:t>
      </w:r>
    </w:p>
    <w:p w14:paraId="38B14127">
      <w:pPr>
        <w:pStyle w:val="2"/>
        <w:spacing w:before="116" w:line="308" w:lineRule="auto"/>
        <w:ind w:left="1457" w:right="1409" w:firstLine="443"/>
        <w:rPr>
          <w:sz w:val="24"/>
          <w:szCs w:val="24"/>
        </w:rPr>
      </w:pPr>
      <w:r>
        <w:rPr>
          <w:spacing w:val="-20"/>
          <w:sz w:val="24"/>
          <w:szCs w:val="24"/>
        </w:rPr>
        <w:t>首先要限制母材及焊接材料中有害杂质的含量，特别是硫、磷含量要严格控制，一般硫的</w:t>
      </w:r>
      <w:r>
        <w:rPr>
          <w:spacing w:val="-17"/>
          <w:sz w:val="24"/>
          <w:szCs w:val="24"/>
        </w:rPr>
        <w:t>含量小于0.045%，磷的含量低于0.055%；其次要调整焊缝金属的化学</w:t>
      </w:r>
      <w:r>
        <w:rPr>
          <w:spacing w:val="-18"/>
          <w:sz w:val="24"/>
          <w:szCs w:val="24"/>
        </w:rPr>
        <w:t>成分；最后焊条和焊剂在</w:t>
      </w:r>
      <w:r>
        <w:rPr>
          <w:spacing w:val="-21"/>
          <w:sz w:val="24"/>
          <w:szCs w:val="24"/>
        </w:rPr>
        <w:t>使用前要严格按照规定的要求进行烘干，还要认真焊丝上</w:t>
      </w:r>
      <w:r>
        <w:rPr>
          <w:spacing w:val="-22"/>
          <w:sz w:val="24"/>
          <w:szCs w:val="24"/>
        </w:rPr>
        <w:t>的油污和水分等。</w:t>
      </w:r>
    </w:p>
    <w:p w14:paraId="495932AC">
      <w:pPr>
        <w:pStyle w:val="2"/>
        <w:spacing w:line="218" w:lineRule="auto"/>
        <w:ind w:left="1890"/>
        <w:rPr>
          <w:sz w:val="24"/>
          <w:szCs w:val="24"/>
        </w:rPr>
      </w:pPr>
      <w:r>
        <w:rPr>
          <w:spacing w:val="-19"/>
          <w:sz w:val="24"/>
          <w:szCs w:val="24"/>
        </w:rPr>
        <w:t>3）焊瘤的预防措施及处理方法</w:t>
      </w:r>
    </w:p>
    <w:p w14:paraId="3F6BF75E">
      <w:pPr>
        <w:pStyle w:val="2"/>
        <w:spacing w:before="118" w:line="307" w:lineRule="auto"/>
        <w:ind w:left="1459" w:right="1410" w:firstLine="433"/>
        <w:rPr>
          <w:sz w:val="24"/>
          <w:szCs w:val="24"/>
        </w:rPr>
      </w:pPr>
      <w:r>
        <w:rPr>
          <w:spacing w:val="-20"/>
          <w:sz w:val="24"/>
          <w:szCs w:val="24"/>
        </w:rPr>
        <w:t>尽量采用短弧焊接（弧长≤焊条直径</w:t>
      </w:r>
      <w:r>
        <w:rPr>
          <w:spacing w:val="-12"/>
          <w:sz w:val="24"/>
          <w:szCs w:val="24"/>
        </w:rPr>
        <w:t>）；</w:t>
      </w:r>
      <w:r>
        <w:rPr>
          <w:spacing w:val="-20"/>
          <w:sz w:val="24"/>
          <w:szCs w:val="24"/>
        </w:rPr>
        <w:t>选用合适的焊接电流，适当加快焊接速度使熔池</w:t>
      </w:r>
      <w:r>
        <w:rPr>
          <w:spacing w:val="-21"/>
          <w:sz w:val="24"/>
          <w:szCs w:val="24"/>
        </w:rPr>
        <w:t>温度不至过高；保持正确的运条角度；根据不同焊接</w:t>
      </w:r>
      <w:r>
        <w:rPr>
          <w:spacing w:val="-22"/>
          <w:sz w:val="24"/>
          <w:szCs w:val="24"/>
        </w:rPr>
        <w:t>部位严格控制熔池大小。</w:t>
      </w:r>
    </w:p>
    <w:p w14:paraId="5B643CF6">
      <w:pPr>
        <w:pStyle w:val="2"/>
        <w:spacing w:before="1" w:line="218" w:lineRule="auto"/>
        <w:ind w:left="1884"/>
        <w:rPr>
          <w:sz w:val="24"/>
          <w:szCs w:val="24"/>
        </w:rPr>
      </w:pPr>
      <w:r>
        <w:rPr>
          <w:spacing w:val="-20"/>
          <w:sz w:val="24"/>
          <w:szCs w:val="24"/>
        </w:rPr>
        <w:t>4）未焊透的的预防措施及处理方法</w:t>
      </w:r>
    </w:p>
    <w:p w14:paraId="3BF927E9">
      <w:pPr>
        <w:pStyle w:val="2"/>
        <w:spacing w:before="116" w:line="307" w:lineRule="auto"/>
        <w:ind w:left="1467" w:right="1411" w:firstLine="426"/>
        <w:rPr>
          <w:sz w:val="24"/>
          <w:szCs w:val="24"/>
        </w:rPr>
      </w:pPr>
      <w:r>
        <w:rPr>
          <w:spacing w:val="-20"/>
          <w:sz w:val="24"/>
          <w:szCs w:val="24"/>
        </w:rPr>
        <w:t>使用较大电流焊接是防止未焊透缺陷的基本方法；角焊缝时，用交流代替直流可防止磁偏</w:t>
      </w:r>
      <w:r>
        <w:rPr>
          <w:spacing w:val="-22"/>
          <w:sz w:val="24"/>
          <w:szCs w:val="24"/>
        </w:rPr>
        <w:t>吹；合理设计坡口并保持坡口清洁、用短弧焊等措施可以有</w:t>
      </w:r>
      <w:r>
        <w:rPr>
          <w:spacing w:val="-23"/>
          <w:sz w:val="24"/>
          <w:szCs w:val="24"/>
        </w:rPr>
        <w:t>效防止未焊透的产生。</w:t>
      </w:r>
    </w:p>
    <w:p w14:paraId="66D88D8B">
      <w:pPr>
        <w:spacing w:line="307" w:lineRule="auto"/>
        <w:rPr>
          <w:sz w:val="24"/>
          <w:szCs w:val="24"/>
        </w:rPr>
        <w:sectPr>
          <w:footerReference r:id="rId385" w:type="default"/>
          <w:pgSz w:w="11907" w:h="16839"/>
          <w:pgMar w:top="933" w:right="4" w:bottom="1038" w:left="0" w:header="478" w:footer="357" w:gutter="0"/>
          <w:pgBorders>
            <w:top w:val="none" w:sz="0" w:space="0"/>
            <w:left w:val="none" w:sz="0" w:space="0"/>
            <w:bottom w:val="none" w:sz="0" w:space="0"/>
            <w:right w:val="none" w:sz="0" w:space="0"/>
          </w:pgBorders>
          <w:cols w:space="720" w:num="1"/>
        </w:sectPr>
      </w:pPr>
    </w:p>
    <w:p w14:paraId="6CBAAC36">
      <w:pPr>
        <w:pStyle w:val="2"/>
        <w:spacing w:before="283" w:line="222" w:lineRule="auto"/>
        <w:ind w:left="3143"/>
        <w:outlineLvl w:val="0"/>
        <w:rPr>
          <w:sz w:val="31"/>
          <w:szCs w:val="31"/>
        </w:rPr>
      </w:pPr>
      <w:bookmarkStart w:id="260" w:name="bookmark249"/>
      <w:bookmarkEnd w:id="260"/>
      <w:r>
        <w:rPr>
          <w:b/>
          <w:bCs/>
          <w:color w:val="7030A0"/>
          <w:spacing w:val="-15"/>
          <w:sz w:val="31"/>
          <w:szCs w:val="31"/>
        </w:rPr>
        <w:t>第九章、拟投入的主要施工机械、设备计划</w:t>
      </w:r>
    </w:p>
    <w:p w14:paraId="1C2A2D49">
      <w:pPr>
        <w:pStyle w:val="2"/>
        <w:spacing w:before="95" w:line="307" w:lineRule="auto"/>
        <w:ind w:left="1457" w:right="1409" w:firstLine="466"/>
        <w:rPr>
          <w:sz w:val="24"/>
          <w:szCs w:val="24"/>
        </w:rPr>
      </w:pPr>
      <w:r>
        <w:rPr>
          <w:spacing w:val="-20"/>
          <w:sz w:val="24"/>
          <w:szCs w:val="24"/>
        </w:rPr>
        <w:t>由于工程工期长，工程所需材料的及时投入是本工程按时完</w:t>
      </w:r>
      <w:r>
        <w:rPr>
          <w:spacing w:val="-21"/>
          <w:sz w:val="24"/>
          <w:szCs w:val="24"/>
        </w:rPr>
        <w:t>工的关键。本工程施工过程中所需用材料的投入主要根据工程施工进度及施工需求不同分</w:t>
      </w:r>
      <w:r>
        <w:rPr>
          <w:spacing w:val="-22"/>
          <w:sz w:val="24"/>
          <w:szCs w:val="24"/>
        </w:rPr>
        <w:t>批进场投入。</w:t>
      </w:r>
    </w:p>
    <w:p w14:paraId="43188098">
      <w:pPr>
        <w:pStyle w:val="2"/>
        <w:spacing w:before="3" w:line="294" w:lineRule="auto"/>
        <w:ind w:left="1457" w:right="1426" w:firstLine="444"/>
        <w:jc w:val="both"/>
        <w:rPr>
          <w:sz w:val="24"/>
          <w:szCs w:val="24"/>
        </w:rPr>
      </w:pPr>
      <w:r>
        <w:rPr>
          <w:spacing w:val="-20"/>
          <w:sz w:val="24"/>
          <w:szCs w:val="24"/>
        </w:rPr>
        <w:t>我司将根据钢筋翻样单、各层砼方量、木工翻样图、管材等，及时提供</w:t>
      </w:r>
      <w:r>
        <w:rPr>
          <w:spacing w:val="-21"/>
          <w:sz w:val="24"/>
          <w:szCs w:val="24"/>
        </w:rPr>
        <w:t>钢筋、水泥、模板</w:t>
      </w:r>
      <w:r>
        <w:rPr>
          <w:spacing w:val="-20"/>
          <w:sz w:val="24"/>
          <w:szCs w:val="24"/>
        </w:rPr>
        <w:t>等材料用量报送甲方、监理，并进行由我司组织的采购工作，同时及时组织前期的周转</w:t>
      </w:r>
      <w:r>
        <w:rPr>
          <w:spacing w:val="-21"/>
          <w:sz w:val="24"/>
          <w:szCs w:val="24"/>
        </w:rPr>
        <w:t>材料进</w:t>
      </w:r>
      <w:r>
        <w:rPr>
          <w:spacing w:val="-20"/>
          <w:sz w:val="24"/>
          <w:szCs w:val="24"/>
        </w:rPr>
        <w:t>场，以确保顺利施工。</w:t>
      </w:r>
    </w:p>
    <w:p w14:paraId="7DB57193">
      <w:pPr>
        <w:pStyle w:val="2"/>
        <w:spacing w:line="217" w:lineRule="auto"/>
        <w:ind w:left="4171"/>
        <w:outlineLvl w:val="1"/>
        <w:rPr>
          <w:sz w:val="30"/>
          <w:szCs w:val="30"/>
        </w:rPr>
      </w:pPr>
      <w:bookmarkStart w:id="261" w:name="bookmark250"/>
      <w:bookmarkEnd w:id="261"/>
      <w:r>
        <w:rPr>
          <w:b/>
          <w:bCs/>
          <w:color w:val="0070C0"/>
          <w:spacing w:val="-24"/>
          <w:sz w:val="30"/>
          <w:szCs w:val="30"/>
        </w:rPr>
        <w:t>第一节、主要施设备进场计划</w:t>
      </w:r>
    </w:p>
    <w:p w14:paraId="4DE7F727">
      <w:pPr>
        <w:pStyle w:val="2"/>
        <w:spacing w:before="98" w:line="308" w:lineRule="auto"/>
        <w:ind w:left="1458" w:right="1410" w:firstLine="434"/>
        <w:jc w:val="both"/>
        <w:rPr>
          <w:sz w:val="24"/>
          <w:szCs w:val="24"/>
        </w:rPr>
      </w:pPr>
      <w:r>
        <w:rPr>
          <w:spacing w:val="-20"/>
          <w:sz w:val="24"/>
          <w:szCs w:val="24"/>
        </w:rPr>
        <w:t>机械设备供应计划是机械管理的重要环节，合理的供应计划是保证施工生产顺利进行的保障。其相应的设备、规格、数量便显得非常关键，为确保本工程按施工工期顺利完成，必须配备足够的施工机械设备。</w:t>
      </w:r>
    </w:p>
    <w:p w14:paraId="73405E51">
      <w:pPr>
        <w:pStyle w:val="2"/>
        <w:spacing w:line="216" w:lineRule="auto"/>
        <w:ind w:left="1903"/>
        <w:rPr>
          <w:sz w:val="24"/>
          <w:szCs w:val="24"/>
        </w:rPr>
      </w:pPr>
      <w:r>
        <w:rPr>
          <w:spacing w:val="-21"/>
          <w:sz w:val="24"/>
          <w:szCs w:val="24"/>
        </w:rPr>
        <w:t>1、技术先进性与机械设备适用性及设备维护制度</w:t>
      </w:r>
    </w:p>
    <w:p w14:paraId="5B68A37C">
      <w:pPr>
        <w:pStyle w:val="2"/>
        <w:spacing w:before="117" w:line="308" w:lineRule="auto"/>
        <w:ind w:left="1461" w:right="1410" w:firstLine="437"/>
        <w:rPr>
          <w:sz w:val="24"/>
          <w:szCs w:val="24"/>
        </w:rPr>
      </w:pPr>
      <w:r>
        <w:rPr>
          <w:spacing w:val="-20"/>
          <w:sz w:val="24"/>
          <w:szCs w:val="24"/>
        </w:rPr>
        <w:t>工程质量的好坏、进度的保证很大程度与施工机械的先进性有关。对于本工程的施工，我公司将结合实际情况和各工种、工序的需要，合理地配备先进的机械设备及挑选专业水平较高的技术操作人员，最大限度地体现技术的先进性和机械设备的适用性，充分满足施工工艺的需</w:t>
      </w:r>
      <w:r>
        <w:rPr>
          <w:spacing w:val="-22"/>
          <w:sz w:val="24"/>
          <w:szCs w:val="24"/>
        </w:rPr>
        <w:t>要，从而来保证工程质量和装饰效果。</w:t>
      </w:r>
    </w:p>
    <w:p w14:paraId="5857D41A">
      <w:pPr>
        <w:pStyle w:val="2"/>
        <w:spacing w:line="215" w:lineRule="auto"/>
        <w:ind w:left="1888"/>
        <w:rPr>
          <w:sz w:val="24"/>
          <w:szCs w:val="24"/>
        </w:rPr>
      </w:pPr>
      <w:r>
        <w:rPr>
          <w:spacing w:val="-22"/>
          <w:sz w:val="24"/>
          <w:szCs w:val="24"/>
        </w:rPr>
        <w:t>2、我公司在本工程的施工中，配备机械设备时，将遵循以下原则：</w:t>
      </w:r>
    </w:p>
    <w:p w14:paraId="578B6EF7">
      <w:pPr>
        <w:pStyle w:val="2"/>
        <w:spacing w:before="122" w:line="262" w:lineRule="auto"/>
        <w:ind w:left="1459" w:right="1412" w:firstLine="433"/>
        <w:rPr>
          <w:sz w:val="24"/>
          <w:szCs w:val="24"/>
        </w:rPr>
      </w:pPr>
      <w:r>
        <w:rPr>
          <w:spacing w:val="-22"/>
          <w:sz w:val="24"/>
          <w:szCs w:val="24"/>
        </w:rPr>
        <w:t>（1）贯彻机械化、半机械化和改良机具相结合的方针，重点配备大、中、小型</w:t>
      </w:r>
      <w:r>
        <w:rPr>
          <w:spacing w:val="-23"/>
          <w:sz w:val="24"/>
          <w:szCs w:val="24"/>
        </w:rPr>
        <w:t>机械和手持</w:t>
      </w:r>
      <w:r>
        <w:rPr>
          <w:spacing w:val="-18"/>
          <w:sz w:val="24"/>
          <w:szCs w:val="24"/>
        </w:rPr>
        <w:t>动力机具。</w:t>
      </w:r>
    </w:p>
    <w:p w14:paraId="65671BF5">
      <w:pPr>
        <w:pStyle w:val="2"/>
        <w:spacing w:before="117" w:line="217" w:lineRule="auto"/>
        <w:ind w:left="1893"/>
        <w:rPr>
          <w:sz w:val="24"/>
          <w:szCs w:val="24"/>
        </w:rPr>
      </w:pPr>
      <w:r>
        <w:rPr>
          <w:spacing w:val="-21"/>
          <w:sz w:val="24"/>
          <w:szCs w:val="24"/>
        </w:rPr>
        <w:t>（2）充分发挥现场所有机械设备的能力，根据具体变化的需要，合理调整装备结构。</w:t>
      </w:r>
    </w:p>
    <w:p w14:paraId="32A4711E">
      <w:pPr>
        <w:pStyle w:val="2"/>
        <w:spacing w:before="118" w:line="262" w:lineRule="auto"/>
        <w:ind w:left="1470" w:right="1410" w:firstLine="422"/>
        <w:rPr>
          <w:sz w:val="24"/>
          <w:szCs w:val="24"/>
        </w:rPr>
      </w:pPr>
      <w:r>
        <w:rPr>
          <w:spacing w:val="-22"/>
          <w:sz w:val="24"/>
          <w:szCs w:val="24"/>
        </w:rPr>
        <w:t>（3）优先配备本工程施工中必须的、保证质量与进度的、代替劳动强度大的、作业</w:t>
      </w:r>
      <w:r>
        <w:rPr>
          <w:spacing w:val="-23"/>
          <w:sz w:val="24"/>
          <w:szCs w:val="24"/>
        </w:rPr>
        <w:t>条件差</w:t>
      </w:r>
      <w:r>
        <w:rPr>
          <w:spacing w:val="-21"/>
          <w:sz w:val="24"/>
          <w:szCs w:val="24"/>
        </w:rPr>
        <w:t>的配套的机械设备。</w:t>
      </w:r>
    </w:p>
    <w:p w14:paraId="06688CCE">
      <w:pPr>
        <w:pStyle w:val="2"/>
        <w:spacing w:before="121" w:line="262" w:lineRule="auto"/>
        <w:ind w:left="1460" w:right="1440" w:firstLine="432"/>
        <w:rPr>
          <w:sz w:val="24"/>
          <w:szCs w:val="24"/>
        </w:rPr>
      </w:pPr>
      <w:r>
        <w:rPr>
          <w:spacing w:val="-23"/>
          <w:sz w:val="24"/>
          <w:szCs w:val="24"/>
        </w:rPr>
        <w:t>（4）按本工程体系、专业施工和工程实物量等多层次结构进行配备，并注意不同的要求，</w:t>
      </w:r>
      <w:r>
        <w:rPr>
          <w:spacing w:val="-21"/>
          <w:sz w:val="24"/>
          <w:szCs w:val="24"/>
        </w:rPr>
        <w:t>配备不同类型、不财标准的机械设备，以保证质量</w:t>
      </w:r>
      <w:r>
        <w:rPr>
          <w:spacing w:val="-22"/>
          <w:sz w:val="24"/>
          <w:szCs w:val="24"/>
        </w:rPr>
        <w:t>为原则，努力降低施工成本。</w:t>
      </w:r>
    </w:p>
    <w:p w14:paraId="08B5D160">
      <w:pPr>
        <w:pStyle w:val="2"/>
        <w:spacing w:before="116" w:line="216" w:lineRule="auto"/>
        <w:ind w:left="1893"/>
        <w:rPr>
          <w:sz w:val="24"/>
          <w:szCs w:val="24"/>
        </w:rPr>
      </w:pPr>
      <w:r>
        <w:rPr>
          <w:spacing w:val="-21"/>
          <w:sz w:val="24"/>
          <w:szCs w:val="24"/>
        </w:rPr>
        <w:t>（5）配备相应的检修班组、维修人员，定期对设备进行检修。</w:t>
      </w:r>
    </w:p>
    <w:p w14:paraId="0D5319DA">
      <w:pPr>
        <w:pStyle w:val="2"/>
        <w:spacing w:before="121" w:line="215" w:lineRule="auto"/>
        <w:ind w:left="1893"/>
        <w:rPr>
          <w:sz w:val="24"/>
          <w:szCs w:val="24"/>
        </w:rPr>
      </w:pPr>
      <w:r>
        <w:rPr>
          <w:spacing w:val="-22"/>
          <w:sz w:val="24"/>
          <w:szCs w:val="24"/>
        </w:rPr>
        <w:t>（6）另外，在配备机械设备时，我公司综合考虑了以下因素：</w:t>
      </w:r>
    </w:p>
    <w:p w14:paraId="3CC6CF49">
      <w:pPr>
        <w:pStyle w:val="2"/>
        <w:spacing w:before="121" w:line="216" w:lineRule="auto"/>
        <w:ind w:left="1903"/>
        <w:rPr>
          <w:sz w:val="24"/>
          <w:szCs w:val="24"/>
        </w:rPr>
      </w:pPr>
      <w:r>
        <w:rPr>
          <w:spacing w:val="-21"/>
          <w:sz w:val="24"/>
          <w:szCs w:val="24"/>
        </w:rPr>
        <w:t>1）技术先进性。机械设备技术性能优越、生产率高。</w:t>
      </w:r>
    </w:p>
    <w:p w14:paraId="37F3A5A2">
      <w:pPr>
        <w:pStyle w:val="2"/>
        <w:spacing w:before="117" w:line="215" w:lineRule="auto"/>
        <w:ind w:left="1888"/>
        <w:rPr>
          <w:sz w:val="24"/>
          <w:szCs w:val="24"/>
        </w:rPr>
      </w:pPr>
      <w:r>
        <w:rPr>
          <w:spacing w:val="-24"/>
          <w:sz w:val="24"/>
          <w:szCs w:val="24"/>
        </w:rPr>
        <w:t>2）使用可靠性。机械设备在使用过程中能稳</w:t>
      </w:r>
      <w:r>
        <w:rPr>
          <w:spacing w:val="-25"/>
          <w:sz w:val="24"/>
          <w:szCs w:val="24"/>
        </w:rPr>
        <w:t>定地保持其应有的技术性能，安全可靠的运行。</w:t>
      </w:r>
    </w:p>
    <w:p w14:paraId="06C363D4">
      <w:pPr>
        <w:pStyle w:val="2"/>
        <w:spacing w:before="121" w:line="216" w:lineRule="auto"/>
        <w:ind w:left="1890"/>
        <w:rPr>
          <w:sz w:val="24"/>
          <w:szCs w:val="24"/>
        </w:rPr>
      </w:pPr>
      <w:r>
        <w:rPr>
          <w:spacing w:val="-21"/>
          <w:sz w:val="24"/>
          <w:szCs w:val="24"/>
        </w:rPr>
        <w:t>3）便于维修性。机械设备要便于检查、维护和修理。</w:t>
      </w:r>
    </w:p>
    <w:p w14:paraId="79D79FEE">
      <w:pPr>
        <w:pStyle w:val="2"/>
        <w:spacing w:before="121" w:line="215" w:lineRule="auto"/>
        <w:ind w:left="1884"/>
        <w:rPr>
          <w:sz w:val="24"/>
          <w:szCs w:val="24"/>
        </w:rPr>
      </w:pPr>
      <w:r>
        <w:rPr>
          <w:spacing w:val="-21"/>
          <w:sz w:val="24"/>
          <w:szCs w:val="24"/>
        </w:rPr>
        <w:t>4）运行安全性。机械设备在使用过程中具对施工安全的保障性能。</w:t>
      </w:r>
    </w:p>
    <w:p w14:paraId="72C217E8">
      <w:pPr>
        <w:pStyle w:val="2"/>
        <w:spacing w:before="119" w:line="215" w:lineRule="auto"/>
        <w:ind w:left="1890"/>
        <w:rPr>
          <w:sz w:val="24"/>
          <w:szCs w:val="24"/>
        </w:rPr>
      </w:pPr>
      <w:r>
        <w:rPr>
          <w:spacing w:val="-21"/>
          <w:sz w:val="24"/>
          <w:szCs w:val="24"/>
        </w:rPr>
        <w:t>5）经济实惠性。机械设备在满足技术要求和生产要求的基</w:t>
      </w:r>
      <w:r>
        <w:rPr>
          <w:spacing w:val="-22"/>
          <w:sz w:val="24"/>
          <w:szCs w:val="24"/>
        </w:rPr>
        <w:t>础上，达到最低费用。</w:t>
      </w:r>
    </w:p>
    <w:p w14:paraId="57E2BC7B">
      <w:pPr>
        <w:pStyle w:val="2"/>
        <w:spacing w:before="121" w:line="216" w:lineRule="auto"/>
        <w:ind w:left="1887"/>
        <w:rPr>
          <w:sz w:val="24"/>
          <w:szCs w:val="24"/>
        </w:rPr>
      </w:pPr>
      <w:r>
        <w:rPr>
          <w:spacing w:val="-21"/>
          <w:sz w:val="24"/>
          <w:szCs w:val="24"/>
        </w:rPr>
        <w:t>6）适应性。机械设备能适应不同工作条件，并具有一定多用的性能。</w:t>
      </w:r>
    </w:p>
    <w:p w14:paraId="63E7BB01">
      <w:pPr>
        <w:pStyle w:val="2"/>
        <w:spacing w:before="120" w:line="216" w:lineRule="auto"/>
        <w:ind w:left="1891"/>
        <w:rPr>
          <w:sz w:val="24"/>
          <w:szCs w:val="24"/>
        </w:rPr>
      </w:pPr>
      <w:r>
        <w:rPr>
          <w:spacing w:val="-21"/>
          <w:sz w:val="24"/>
          <w:szCs w:val="24"/>
        </w:rPr>
        <w:t>7）其它方面：成套性、节能性、环保性、灵活性等。</w:t>
      </w:r>
    </w:p>
    <w:p w14:paraId="6FF6340D">
      <w:pPr>
        <w:pStyle w:val="2"/>
        <w:spacing w:before="66" w:line="217" w:lineRule="auto"/>
        <w:ind w:left="4032"/>
        <w:outlineLvl w:val="1"/>
        <w:rPr>
          <w:sz w:val="30"/>
          <w:szCs w:val="30"/>
        </w:rPr>
      </w:pPr>
      <w:bookmarkStart w:id="262" w:name="bookmark251"/>
      <w:bookmarkEnd w:id="262"/>
      <w:r>
        <w:rPr>
          <w:b/>
          <w:bCs/>
          <w:color w:val="0070C0"/>
          <w:spacing w:val="-24"/>
          <w:sz w:val="30"/>
          <w:szCs w:val="30"/>
        </w:rPr>
        <w:t>第二节、主要设维护及保养措施</w:t>
      </w:r>
    </w:p>
    <w:p w14:paraId="484CE473">
      <w:pPr>
        <w:pStyle w:val="2"/>
        <w:spacing w:before="66" w:line="216" w:lineRule="auto"/>
        <w:ind w:left="1981"/>
        <w:outlineLvl w:val="2"/>
        <w:rPr>
          <w:sz w:val="28"/>
          <w:szCs w:val="28"/>
        </w:rPr>
      </w:pPr>
      <w:bookmarkStart w:id="263" w:name="bookmark252"/>
      <w:bookmarkEnd w:id="263"/>
      <w:r>
        <w:rPr>
          <w:b/>
          <w:bCs/>
          <w:spacing w:val="-23"/>
          <w:sz w:val="28"/>
          <w:szCs w:val="28"/>
        </w:rPr>
        <w:t>一、主要设备的安全技术操作规程</w:t>
      </w:r>
    </w:p>
    <w:p w14:paraId="69661BEB">
      <w:pPr>
        <w:spacing w:line="216" w:lineRule="auto"/>
        <w:rPr>
          <w:sz w:val="28"/>
          <w:szCs w:val="28"/>
        </w:rPr>
        <w:sectPr>
          <w:footerReference r:id="rId386" w:type="default"/>
          <w:pgSz w:w="11907" w:h="16839"/>
          <w:pgMar w:top="933" w:right="4" w:bottom="1038" w:left="0" w:header="478" w:footer="357" w:gutter="0"/>
          <w:pgBorders>
            <w:top w:val="none" w:sz="0" w:space="0"/>
            <w:left w:val="none" w:sz="0" w:space="0"/>
            <w:bottom w:val="none" w:sz="0" w:space="0"/>
            <w:right w:val="none" w:sz="0" w:space="0"/>
          </w:pgBorders>
          <w:cols w:space="720" w:num="1"/>
        </w:sectPr>
      </w:pPr>
    </w:p>
    <w:p w14:paraId="0EB75876">
      <w:pPr>
        <w:spacing w:line="235" w:lineRule="exact"/>
      </w:pPr>
    </w:p>
    <w:tbl>
      <w:tblPr>
        <w:tblStyle w:val="6"/>
        <w:tblW w:w="8549" w:type="dxa"/>
        <w:tblInd w:w="167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549"/>
      </w:tblGrid>
      <w:tr w14:paraId="74489E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63" w:hRule="atLeast"/>
        </w:trPr>
        <w:tc>
          <w:tcPr>
            <w:tcW w:w="8549" w:type="dxa"/>
            <w:tcBorders>
              <w:top w:val="single" w:color="5B9BD5" w:sz="4" w:space="0"/>
              <w:left w:val="single" w:color="5B9BD5" w:sz="4" w:space="0"/>
              <w:right w:val="single" w:color="5B9BD5" w:sz="4" w:space="0"/>
            </w:tcBorders>
            <w:shd w:val="clear" w:color="auto" w:fill="DEEAF6"/>
            <w:vAlign w:val="top"/>
          </w:tcPr>
          <w:p w14:paraId="49193C55">
            <w:pPr>
              <w:spacing w:before="93" w:line="4457" w:lineRule="exact"/>
              <w:ind w:firstLine="114"/>
            </w:pPr>
            <w:r>
              <w:pict>
                <v:group id="_x0000_s4045" o:spid="_x0000_s4045" o:spt="203" style="position:absolute;left:0pt;margin-left:0.85pt;margin-top:2.15pt;height:236.5pt;width:425.85pt;mso-position-horizontal-relative:page;mso-position-vertical-relative:page;z-index:252358656;mso-width-relative:page;mso-height-relative:page;" coordsize="8517,4730">
                  <o:lock v:ext="edit"/>
                  <v:shape id="_x0000_s4046" o:spid="_x0000_s4046" style="position:absolute;left:21;top:0;height:60;width:8474;" fillcolor="#DEEAF6" filled="t" stroked="f" coordsize="8474,60" path="m0,60l8473,60,8473,0,0,0,0,60xe">
                    <v:path/>
                    <v:fill on="t" focussize="0,0"/>
                    <v:stroke on="f"/>
                    <v:imagedata o:title=""/>
                    <o:lock v:ext="edit"/>
                  </v:shape>
                  <v:shape id="_x0000_s4047" o:spid="_x0000_s4047" style="position:absolute;left:0;top:4671;height:58;width:8517;" fillcolor="#DEEAF6" filled="t" stroked="f" coordsize="8517,58" path="m0,57l8516,57,8516,0,0,0,0,57xe">
                    <v:path/>
                    <v:fill on="t" focussize="0,0"/>
                    <v:stroke on="f"/>
                    <v:imagedata o:title=""/>
                    <o:lock v:ext="edit"/>
                  </v:shape>
                </v:group>
              </w:pict>
            </w:r>
            <w:r>
              <w:rPr>
                <w:position w:val="-89"/>
              </w:rPr>
              <w:drawing>
                <wp:inline distT="0" distB="0" distL="0" distR="0">
                  <wp:extent cx="5273675" cy="2830195"/>
                  <wp:effectExtent l="0" t="0" r="0" b="0"/>
                  <wp:docPr id="1606" name="IM 1606"/>
                  <wp:cNvGraphicFramePr/>
                  <a:graphic xmlns:a="http://schemas.openxmlformats.org/drawingml/2006/main">
                    <a:graphicData uri="http://schemas.openxmlformats.org/drawingml/2006/picture">
                      <pic:pic xmlns:pic="http://schemas.openxmlformats.org/drawingml/2006/picture">
                        <pic:nvPicPr>
                          <pic:cNvPr id="1606" name="IM 1606"/>
                          <pic:cNvPicPr/>
                        </pic:nvPicPr>
                        <pic:blipFill>
                          <a:blip r:embed="rId723"/>
                          <a:stretch>
                            <a:fillRect/>
                          </a:stretch>
                        </pic:blipFill>
                        <pic:spPr>
                          <a:xfrm>
                            <a:off x="0" y="0"/>
                            <a:ext cx="5274309" cy="2830195"/>
                          </a:xfrm>
                          <a:prstGeom prst="rect">
                            <a:avLst/>
                          </a:prstGeom>
                        </pic:spPr>
                      </pic:pic>
                    </a:graphicData>
                  </a:graphic>
                </wp:inline>
              </w:drawing>
            </w:r>
          </w:p>
        </w:tc>
      </w:tr>
      <w:tr w14:paraId="03485B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5" w:hRule="atLeast"/>
        </w:trPr>
        <w:tc>
          <w:tcPr>
            <w:tcW w:w="8549" w:type="dxa"/>
            <w:tcBorders>
              <w:left w:val="single" w:color="000000" w:sz="4" w:space="0"/>
              <w:right w:val="single" w:color="000000" w:sz="4" w:space="0"/>
            </w:tcBorders>
            <w:vAlign w:val="top"/>
          </w:tcPr>
          <w:p w14:paraId="3626A52C">
            <w:pPr>
              <w:pStyle w:val="7"/>
              <w:spacing w:before="97" w:line="217" w:lineRule="auto"/>
              <w:ind w:left="3198"/>
            </w:pPr>
            <w:r>
              <w:rPr>
                <w:spacing w:val="-20"/>
              </w:rPr>
              <w:t>土方施工部分施工机械</w:t>
            </w:r>
          </w:p>
        </w:tc>
      </w:tr>
      <w:tr w14:paraId="7125AB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79" w:hRule="atLeast"/>
        </w:trPr>
        <w:tc>
          <w:tcPr>
            <w:tcW w:w="8549" w:type="dxa"/>
            <w:tcBorders>
              <w:left w:val="single" w:color="000000" w:sz="4" w:space="0"/>
              <w:right w:val="single" w:color="000000" w:sz="4" w:space="0"/>
            </w:tcBorders>
            <w:vAlign w:val="top"/>
          </w:tcPr>
          <w:p w14:paraId="52182F79">
            <w:pPr>
              <w:spacing w:before="61" w:line="5709" w:lineRule="exact"/>
              <w:ind w:firstLine="190"/>
            </w:pPr>
            <w:r>
              <w:rPr>
                <w:position w:val="-114"/>
              </w:rPr>
              <w:drawing>
                <wp:inline distT="0" distB="0" distL="0" distR="0">
                  <wp:extent cx="5176520" cy="3625215"/>
                  <wp:effectExtent l="0" t="0" r="0" b="0"/>
                  <wp:docPr id="1608" name="IM 1608"/>
                  <wp:cNvGraphicFramePr/>
                  <a:graphic xmlns:a="http://schemas.openxmlformats.org/drawingml/2006/main">
                    <a:graphicData uri="http://schemas.openxmlformats.org/drawingml/2006/picture">
                      <pic:pic xmlns:pic="http://schemas.openxmlformats.org/drawingml/2006/picture">
                        <pic:nvPicPr>
                          <pic:cNvPr id="1608" name="IM 1608"/>
                          <pic:cNvPicPr/>
                        </pic:nvPicPr>
                        <pic:blipFill>
                          <a:blip r:embed="rId724"/>
                          <a:stretch>
                            <a:fillRect/>
                          </a:stretch>
                        </pic:blipFill>
                        <pic:spPr>
                          <a:xfrm>
                            <a:off x="0" y="0"/>
                            <a:ext cx="5177154" cy="3625215"/>
                          </a:xfrm>
                          <a:prstGeom prst="rect">
                            <a:avLst/>
                          </a:prstGeom>
                        </pic:spPr>
                      </pic:pic>
                    </a:graphicData>
                  </a:graphic>
                </wp:inline>
              </w:drawing>
            </w:r>
          </w:p>
        </w:tc>
      </w:tr>
      <w:tr w14:paraId="4A1E60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25" w:hRule="atLeast"/>
        </w:trPr>
        <w:tc>
          <w:tcPr>
            <w:tcW w:w="8549" w:type="dxa"/>
            <w:tcBorders>
              <w:left w:val="single" w:color="1C456A" w:sz="4" w:space="0"/>
              <w:bottom w:val="single" w:color="1C456A" w:sz="4" w:space="0"/>
              <w:right w:val="single" w:color="1C456A" w:sz="4" w:space="0"/>
            </w:tcBorders>
            <w:vAlign w:val="top"/>
          </w:tcPr>
          <w:p w14:paraId="09E6875A">
            <w:pPr>
              <w:pStyle w:val="7"/>
              <w:spacing w:before="102" w:line="217" w:lineRule="auto"/>
              <w:ind w:left="3199"/>
            </w:pPr>
            <w:r>
              <w:pict>
                <v:shape id="_x0000_s4048" o:spid="_x0000_s4048" style="position:absolute;left:0pt;margin-left:-0.25pt;margin-top:31.3pt;height:0.75pt;width:2.2pt;mso-position-horizontal-relative:page;mso-position-vertical-relative:page;z-index:252357632;mso-width-relative:page;mso-height-relative:page;" fillcolor="#5B9BD5" filled="t" stroked="f" coordsize="44,15" path="m0,14l43,14,43,0,0,0,0,14xe">
                  <v:path/>
                  <v:fill on="t" focussize="0,0"/>
                  <v:stroke on="f"/>
                  <v:imagedata o:title=""/>
                  <o:lock v:ext="edit"/>
                </v:shape>
              </w:pict>
            </w:r>
            <w:r>
              <w:rPr>
                <w:spacing w:val="-20"/>
              </w:rPr>
              <w:t>沥青路面施工部分机械</w:t>
            </w:r>
          </w:p>
        </w:tc>
      </w:tr>
    </w:tbl>
    <w:p w14:paraId="54C67549">
      <w:pPr>
        <w:rPr>
          <w:rFonts w:ascii="Arial"/>
          <w:sz w:val="21"/>
        </w:rPr>
      </w:pPr>
    </w:p>
    <w:p w14:paraId="71F9FDBF">
      <w:pPr>
        <w:rPr>
          <w:rFonts w:ascii="Arial" w:hAnsi="Arial" w:eastAsia="Arial" w:cs="Arial"/>
          <w:sz w:val="21"/>
          <w:szCs w:val="21"/>
        </w:rPr>
        <w:sectPr>
          <w:footerReference r:id="rId387" w:type="default"/>
          <w:pgSz w:w="11907" w:h="16839"/>
          <w:pgMar w:top="933" w:right="4" w:bottom="1038" w:left="0" w:header="478" w:footer="357" w:gutter="0"/>
          <w:pgBorders>
            <w:top w:val="none" w:sz="0" w:space="0"/>
            <w:left w:val="none" w:sz="0" w:space="0"/>
            <w:bottom w:val="none" w:sz="0" w:space="0"/>
            <w:right w:val="none" w:sz="0" w:space="0"/>
          </w:pgBorders>
          <w:cols w:space="720" w:num="1"/>
        </w:sectPr>
      </w:pPr>
    </w:p>
    <w:p w14:paraId="6F7DF426">
      <w:pPr>
        <w:spacing w:line="235" w:lineRule="exact"/>
      </w:pPr>
    </w:p>
    <w:tbl>
      <w:tblPr>
        <w:tblStyle w:val="6"/>
        <w:tblW w:w="8549" w:type="dxa"/>
        <w:tblInd w:w="167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549"/>
      </w:tblGrid>
      <w:tr w14:paraId="571A07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582" w:hRule="atLeast"/>
        </w:trPr>
        <w:tc>
          <w:tcPr>
            <w:tcW w:w="8549" w:type="dxa"/>
            <w:tcBorders>
              <w:top w:val="single" w:color="5B9BD5" w:sz="4" w:space="0"/>
              <w:left w:val="single" w:color="5B9BD5" w:sz="4" w:space="0"/>
              <w:right w:val="single" w:color="5B9BD5" w:sz="4" w:space="0"/>
            </w:tcBorders>
            <w:vAlign w:val="top"/>
          </w:tcPr>
          <w:p w14:paraId="14280B26">
            <w:pPr>
              <w:spacing w:before="93" w:line="6276" w:lineRule="exact"/>
              <w:ind w:firstLine="116"/>
            </w:pPr>
            <w:r>
              <w:rPr>
                <w:position w:val="-125"/>
              </w:rPr>
              <w:drawing>
                <wp:inline distT="0" distB="0" distL="0" distR="0">
                  <wp:extent cx="5271770" cy="3984625"/>
                  <wp:effectExtent l="0" t="0" r="0" b="0"/>
                  <wp:docPr id="1612" name="IM 1612"/>
                  <wp:cNvGraphicFramePr/>
                  <a:graphic xmlns:a="http://schemas.openxmlformats.org/drawingml/2006/main">
                    <a:graphicData uri="http://schemas.openxmlformats.org/drawingml/2006/picture">
                      <pic:pic xmlns:pic="http://schemas.openxmlformats.org/drawingml/2006/picture">
                        <pic:nvPicPr>
                          <pic:cNvPr id="1612" name="IM 1612"/>
                          <pic:cNvPicPr/>
                        </pic:nvPicPr>
                        <pic:blipFill>
                          <a:blip r:embed="rId725"/>
                          <a:stretch>
                            <a:fillRect/>
                          </a:stretch>
                        </pic:blipFill>
                        <pic:spPr>
                          <a:xfrm>
                            <a:off x="0" y="0"/>
                            <a:ext cx="5271770" cy="3985259"/>
                          </a:xfrm>
                          <a:prstGeom prst="rect">
                            <a:avLst/>
                          </a:prstGeom>
                        </pic:spPr>
                      </pic:pic>
                    </a:graphicData>
                  </a:graphic>
                </wp:inline>
              </w:drawing>
            </w:r>
          </w:p>
        </w:tc>
      </w:tr>
      <w:tr w14:paraId="1C0512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85" w:hRule="atLeast"/>
        </w:trPr>
        <w:tc>
          <w:tcPr>
            <w:tcW w:w="8549" w:type="dxa"/>
            <w:tcBorders>
              <w:left w:val="single" w:color="000000" w:sz="4" w:space="0"/>
              <w:right w:val="single" w:color="000000" w:sz="4" w:space="0"/>
            </w:tcBorders>
            <w:vAlign w:val="top"/>
          </w:tcPr>
          <w:p w14:paraId="7DAE67DA">
            <w:pPr>
              <w:pStyle w:val="7"/>
              <w:spacing w:before="100" w:line="218" w:lineRule="auto"/>
              <w:ind w:left="3956"/>
            </w:pPr>
            <w:r>
              <w:rPr>
                <w:spacing w:val="-13"/>
              </w:rPr>
              <w:t>切缝机</w:t>
            </w:r>
          </w:p>
        </w:tc>
      </w:tr>
      <w:tr w14:paraId="43CA5A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25" w:hRule="atLeast"/>
        </w:trPr>
        <w:tc>
          <w:tcPr>
            <w:tcW w:w="8549" w:type="dxa"/>
            <w:tcBorders>
              <w:left w:val="single" w:color="000000" w:sz="4" w:space="0"/>
              <w:right w:val="single" w:color="000000" w:sz="4" w:space="0"/>
            </w:tcBorders>
            <w:vAlign w:val="top"/>
          </w:tcPr>
          <w:p w14:paraId="60EB8292">
            <w:pPr>
              <w:spacing w:before="63" w:line="3255" w:lineRule="exact"/>
              <w:ind w:firstLine="286"/>
            </w:pPr>
            <w:r>
              <w:rPr>
                <w:position w:val="-65"/>
              </w:rPr>
              <w:drawing>
                <wp:inline distT="0" distB="0" distL="0" distR="0">
                  <wp:extent cx="5057140" cy="2066925"/>
                  <wp:effectExtent l="0" t="0" r="0" b="0"/>
                  <wp:docPr id="1614" name="IM 1614"/>
                  <wp:cNvGraphicFramePr/>
                  <a:graphic xmlns:a="http://schemas.openxmlformats.org/drawingml/2006/main">
                    <a:graphicData uri="http://schemas.openxmlformats.org/drawingml/2006/picture">
                      <pic:pic xmlns:pic="http://schemas.openxmlformats.org/drawingml/2006/picture">
                        <pic:nvPicPr>
                          <pic:cNvPr id="1614" name="IM 1614"/>
                          <pic:cNvPicPr/>
                        </pic:nvPicPr>
                        <pic:blipFill>
                          <a:blip r:embed="rId726"/>
                          <a:stretch>
                            <a:fillRect/>
                          </a:stretch>
                        </pic:blipFill>
                        <pic:spPr>
                          <a:xfrm>
                            <a:off x="0" y="0"/>
                            <a:ext cx="5057140" cy="2066925"/>
                          </a:xfrm>
                          <a:prstGeom prst="rect">
                            <a:avLst/>
                          </a:prstGeom>
                        </pic:spPr>
                      </pic:pic>
                    </a:graphicData>
                  </a:graphic>
                </wp:inline>
              </w:drawing>
            </w:r>
          </w:p>
        </w:tc>
      </w:tr>
      <w:tr w14:paraId="64767F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26" w:hRule="atLeast"/>
        </w:trPr>
        <w:tc>
          <w:tcPr>
            <w:tcW w:w="8549" w:type="dxa"/>
            <w:tcBorders>
              <w:left w:val="single" w:color="1C456A" w:sz="4" w:space="0"/>
              <w:bottom w:val="single" w:color="1C456A" w:sz="4" w:space="0"/>
              <w:right w:val="single" w:color="1C456A" w:sz="4" w:space="0"/>
            </w:tcBorders>
            <w:vAlign w:val="top"/>
          </w:tcPr>
          <w:p w14:paraId="6D573465">
            <w:pPr>
              <w:pStyle w:val="7"/>
              <w:spacing w:before="103" w:line="217" w:lineRule="auto"/>
              <w:ind w:left="3643"/>
            </w:pPr>
            <w:r>
              <w:pict>
                <v:shape id="_x0000_s4049" o:spid="_x0000_s4049" style="position:absolute;left:0pt;margin-left:-0.25pt;margin-top:31.35pt;height:0.75pt;width:2.2pt;mso-position-horizontal-relative:page;mso-position-vertical-relative:page;z-index:252359680;mso-width-relative:page;mso-height-relative:page;" fillcolor="#5B9BD5" filled="t" stroked="f" coordsize="44,15" path="m0,14l43,14,43,0,0,0,0,14xe">
                  <v:path/>
                  <v:fill on="t" focussize="0,0"/>
                  <v:stroke on="f"/>
                  <v:imagedata o:title=""/>
                  <o:lock v:ext="edit"/>
                </v:shape>
              </w:pict>
            </w:r>
            <w:r>
              <w:rPr>
                <w:spacing w:val="-20"/>
              </w:rPr>
              <w:t>管道施工机械</w:t>
            </w:r>
          </w:p>
        </w:tc>
      </w:tr>
    </w:tbl>
    <w:p w14:paraId="4B33B816">
      <w:pPr>
        <w:rPr>
          <w:rFonts w:ascii="Arial"/>
          <w:sz w:val="21"/>
        </w:rPr>
      </w:pPr>
    </w:p>
    <w:p w14:paraId="31CE1842">
      <w:pPr>
        <w:rPr>
          <w:rFonts w:ascii="Arial" w:hAnsi="Arial" w:eastAsia="Arial" w:cs="Arial"/>
          <w:sz w:val="21"/>
          <w:szCs w:val="21"/>
        </w:rPr>
        <w:sectPr>
          <w:footerReference r:id="rId388" w:type="default"/>
          <w:pgSz w:w="11907" w:h="16839"/>
          <w:pgMar w:top="933" w:right="4" w:bottom="1038" w:left="0" w:header="478" w:footer="357" w:gutter="0"/>
          <w:pgBorders>
            <w:top w:val="none" w:sz="0" w:space="0"/>
            <w:left w:val="none" w:sz="0" w:space="0"/>
            <w:bottom w:val="none" w:sz="0" w:space="0"/>
            <w:right w:val="none" w:sz="0" w:space="0"/>
          </w:pgBorders>
          <w:cols w:space="720" w:num="1"/>
        </w:sectPr>
      </w:pPr>
    </w:p>
    <w:p w14:paraId="63C44D07">
      <w:pPr>
        <w:spacing w:line="235" w:lineRule="exact"/>
      </w:pPr>
    </w:p>
    <w:tbl>
      <w:tblPr>
        <w:tblStyle w:val="6"/>
        <w:tblW w:w="8549" w:type="dxa"/>
        <w:tblInd w:w="1678" w:type="dxa"/>
        <w:tblBorders>
          <w:top w:val="single" w:color="5B9BD5" w:sz="4" w:space="0"/>
          <w:left w:val="single" w:color="5B9BD5" w:sz="4" w:space="0"/>
          <w:bottom w:val="single" w:color="5B9BD5" w:sz="4" w:space="0"/>
          <w:right w:val="single" w:color="5B9BD5" w:sz="4" w:space="0"/>
          <w:insideH w:val="single" w:color="5B9BD5" w:sz="4" w:space="0"/>
          <w:insideV w:val="single" w:color="5B9BD5" w:sz="4" w:space="0"/>
        </w:tblBorders>
        <w:tblLayout w:type="fixed"/>
        <w:tblCellMar>
          <w:top w:w="0" w:type="dxa"/>
          <w:left w:w="0" w:type="dxa"/>
          <w:bottom w:w="0" w:type="dxa"/>
          <w:right w:w="0" w:type="dxa"/>
        </w:tblCellMar>
      </w:tblPr>
      <w:tblGrid>
        <w:gridCol w:w="8549"/>
      </w:tblGrid>
      <w:tr w14:paraId="26F513F5">
        <w:tblPrEx>
          <w:tblBorders>
            <w:top w:val="single" w:color="5B9BD5" w:sz="4" w:space="0"/>
            <w:left w:val="single" w:color="5B9BD5" w:sz="4" w:space="0"/>
            <w:bottom w:val="single" w:color="5B9BD5" w:sz="4" w:space="0"/>
            <w:right w:val="single" w:color="5B9BD5" w:sz="4" w:space="0"/>
            <w:insideH w:val="single" w:color="5B9BD5" w:sz="4" w:space="0"/>
            <w:insideV w:val="single" w:color="5B9BD5" w:sz="4" w:space="0"/>
          </w:tblBorders>
          <w:tblCellMar>
            <w:top w:w="0" w:type="dxa"/>
            <w:left w:w="0" w:type="dxa"/>
            <w:bottom w:w="0" w:type="dxa"/>
            <w:right w:w="0" w:type="dxa"/>
          </w:tblCellMar>
        </w:tblPrEx>
        <w:trPr>
          <w:trHeight w:val="6157" w:hRule="atLeast"/>
        </w:trPr>
        <w:tc>
          <w:tcPr>
            <w:tcW w:w="8549" w:type="dxa"/>
            <w:tcBorders>
              <w:bottom w:val="single" w:color="000000" w:sz="2" w:space="0"/>
            </w:tcBorders>
            <w:vAlign w:val="top"/>
          </w:tcPr>
          <w:p w14:paraId="74F942F5">
            <w:pPr>
              <w:spacing w:before="93" w:line="5856" w:lineRule="exact"/>
              <w:ind w:firstLine="116"/>
            </w:pPr>
            <w:r>
              <w:rPr>
                <w:position w:val="-117"/>
              </w:rPr>
              <w:drawing>
                <wp:inline distT="0" distB="0" distL="0" distR="0">
                  <wp:extent cx="5271770" cy="3717925"/>
                  <wp:effectExtent l="0" t="0" r="0" b="0"/>
                  <wp:docPr id="1618" name="IM 1618"/>
                  <wp:cNvGraphicFramePr/>
                  <a:graphic xmlns:a="http://schemas.openxmlformats.org/drawingml/2006/main">
                    <a:graphicData uri="http://schemas.openxmlformats.org/drawingml/2006/picture">
                      <pic:pic xmlns:pic="http://schemas.openxmlformats.org/drawingml/2006/picture">
                        <pic:nvPicPr>
                          <pic:cNvPr id="1618" name="IM 1618"/>
                          <pic:cNvPicPr/>
                        </pic:nvPicPr>
                        <pic:blipFill>
                          <a:blip r:embed="rId727"/>
                          <a:stretch>
                            <a:fillRect/>
                          </a:stretch>
                        </pic:blipFill>
                        <pic:spPr>
                          <a:xfrm>
                            <a:off x="0" y="0"/>
                            <a:ext cx="5271770" cy="3718559"/>
                          </a:xfrm>
                          <a:prstGeom prst="rect">
                            <a:avLst/>
                          </a:prstGeom>
                        </pic:spPr>
                      </pic:pic>
                    </a:graphicData>
                  </a:graphic>
                </wp:inline>
              </w:drawing>
            </w:r>
          </w:p>
        </w:tc>
      </w:tr>
      <w:tr w14:paraId="05387297">
        <w:tblPrEx>
          <w:tblBorders>
            <w:top w:val="single" w:color="5B9BD5" w:sz="4" w:space="0"/>
            <w:left w:val="single" w:color="5B9BD5" w:sz="4" w:space="0"/>
            <w:bottom w:val="single" w:color="5B9BD5" w:sz="4" w:space="0"/>
            <w:right w:val="single" w:color="5B9BD5" w:sz="4" w:space="0"/>
            <w:insideH w:val="single" w:color="5B9BD5" w:sz="4" w:space="0"/>
            <w:insideV w:val="single" w:color="5B9BD5" w:sz="4" w:space="0"/>
          </w:tblBorders>
          <w:tblCellMar>
            <w:top w:w="0" w:type="dxa"/>
            <w:left w:w="0" w:type="dxa"/>
            <w:bottom w:w="0" w:type="dxa"/>
            <w:right w:w="0" w:type="dxa"/>
          </w:tblCellMar>
        </w:tblPrEx>
        <w:trPr>
          <w:trHeight w:val="625" w:hRule="atLeast"/>
        </w:trPr>
        <w:tc>
          <w:tcPr>
            <w:tcW w:w="8549" w:type="dxa"/>
            <w:tcBorders>
              <w:top w:val="single" w:color="000000" w:sz="2" w:space="0"/>
              <w:left w:val="single" w:color="1C456A" w:sz="4" w:space="0"/>
              <w:bottom w:val="single" w:color="1C456A" w:sz="4" w:space="0"/>
              <w:right w:val="single" w:color="1C456A" w:sz="4" w:space="0"/>
            </w:tcBorders>
            <w:vAlign w:val="top"/>
          </w:tcPr>
          <w:p w14:paraId="410FFE8F">
            <w:pPr>
              <w:pStyle w:val="7"/>
              <w:spacing w:before="102" w:line="218" w:lineRule="auto"/>
              <w:ind w:left="3643"/>
            </w:pPr>
            <w:r>
              <w:pict>
                <v:shape id="_x0000_s4050" o:spid="_x0000_s4050" style="position:absolute;left:0pt;margin-left:-0.25pt;margin-top:31.3pt;height:0.75pt;width:2.2pt;mso-position-horizontal-relative:page;mso-position-vertical-relative:page;z-index:252360704;mso-width-relative:page;mso-height-relative:page;" fillcolor="#5B9BD5" filled="t" stroked="f" coordsize="44,15" path="m0,14l43,14,43,0,0,0,0,14xe">
                  <v:path/>
                  <v:fill on="t" focussize="0,0"/>
                  <v:stroke on="f"/>
                  <v:imagedata o:title=""/>
                  <o:lock v:ext="edit"/>
                </v:shape>
              </w:pict>
            </w:r>
            <w:r>
              <w:rPr>
                <w:spacing w:val="-20"/>
              </w:rPr>
              <w:t>管道焊接设备</w:t>
            </w:r>
          </w:p>
        </w:tc>
      </w:tr>
    </w:tbl>
    <w:p w14:paraId="1C485157">
      <w:pPr>
        <w:pStyle w:val="2"/>
        <w:spacing w:before="115" w:line="218" w:lineRule="auto"/>
        <w:ind w:left="1903"/>
        <w:rPr>
          <w:sz w:val="24"/>
          <w:szCs w:val="24"/>
        </w:rPr>
      </w:pPr>
      <w:r>
        <w:rPr>
          <w:spacing w:val="-18"/>
          <w:sz w:val="24"/>
          <w:szCs w:val="24"/>
        </w:rPr>
        <w:t>1、挖掘机</w:t>
      </w:r>
    </w:p>
    <w:p w14:paraId="3D8E8C4A">
      <w:pPr>
        <w:pStyle w:val="2"/>
        <w:spacing w:before="118" w:line="261" w:lineRule="auto"/>
        <w:ind w:left="1463" w:right="1412" w:firstLine="439"/>
        <w:rPr>
          <w:sz w:val="24"/>
          <w:szCs w:val="24"/>
        </w:rPr>
      </w:pPr>
      <w:r>
        <w:rPr>
          <w:spacing w:val="-22"/>
          <w:sz w:val="24"/>
          <w:szCs w:val="24"/>
        </w:rPr>
        <w:t>1.1、挖掘机作业时应处于水平位置，使行走机构处于制动状态，履带前缘距工作面边缘应</w:t>
      </w:r>
      <w:r>
        <w:rPr>
          <w:spacing w:val="-21"/>
          <w:sz w:val="24"/>
          <w:szCs w:val="24"/>
        </w:rPr>
        <w:t>至少保持1～1.5米的安全距离，作业区内不得有无关人员和障碍物。</w:t>
      </w:r>
    </w:p>
    <w:p w14:paraId="433C0895">
      <w:pPr>
        <w:pStyle w:val="2"/>
        <w:spacing w:before="119" w:line="262" w:lineRule="auto"/>
        <w:ind w:left="1455" w:right="1411" w:firstLine="447"/>
        <w:rPr>
          <w:sz w:val="24"/>
          <w:szCs w:val="24"/>
        </w:rPr>
      </w:pPr>
      <w:r>
        <w:rPr>
          <w:spacing w:val="-22"/>
          <w:sz w:val="24"/>
          <w:szCs w:val="24"/>
        </w:rPr>
        <w:t>1.2、往汽车上卸土时，挖掘机应等汽车停稳后方可向车厢回转卸下，铲斗不得从驾驶室顶</w:t>
      </w:r>
      <w:r>
        <w:rPr>
          <w:spacing w:val="-21"/>
          <w:sz w:val="24"/>
          <w:szCs w:val="24"/>
        </w:rPr>
        <w:t>越过，在汽车未停稳或铲斗必须越过驾驶室而司机未离开前不</w:t>
      </w:r>
      <w:r>
        <w:rPr>
          <w:spacing w:val="-22"/>
          <w:sz w:val="24"/>
          <w:szCs w:val="24"/>
        </w:rPr>
        <w:t>得装车。</w:t>
      </w:r>
    </w:p>
    <w:p w14:paraId="43525AB0">
      <w:pPr>
        <w:pStyle w:val="2"/>
        <w:spacing w:before="118" w:line="263" w:lineRule="auto"/>
        <w:ind w:left="1457" w:right="1411" w:firstLine="446"/>
        <w:rPr>
          <w:sz w:val="24"/>
          <w:szCs w:val="24"/>
        </w:rPr>
      </w:pPr>
      <w:r>
        <w:rPr>
          <w:spacing w:val="-22"/>
          <w:sz w:val="24"/>
          <w:szCs w:val="24"/>
        </w:rPr>
        <w:t>1.3、作业或行走时，严禁靠近架空输电线路，操作人员离开驾驶室时，不论时间长短必须</w:t>
      </w:r>
      <w:r>
        <w:rPr>
          <w:spacing w:val="-18"/>
          <w:sz w:val="24"/>
          <w:szCs w:val="24"/>
        </w:rPr>
        <w:t>将铲斗落地。</w:t>
      </w:r>
    </w:p>
    <w:p w14:paraId="379DC0D0">
      <w:pPr>
        <w:pStyle w:val="2"/>
        <w:spacing w:before="117" w:line="261" w:lineRule="auto"/>
        <w:ind w:left="1456" w:right="1411" w:firstLine="447"/>
        <w:rPr>
          <w:sz w:val="24"/>
          <w:szCs w:val="24"/>
        </w:rPr>
      </w:pPr>
      <w:r>
        <w:rPr>
          <w:spacing w:val="-20"/>
          <w:sz w:val="24"/>
          <w:szCs w:val="24"/>
        </w:rPr>
        <w:t>1.4、挖掘机行走时，主动轮应在后，臂杆与履</w:t>
      </w:r>
      <w:r>
        <w:rPr>
          <w:spacing w:val="-21"/>
          <w:sz w:val="24"/>
          <w:szCs w:val="24"/>
        </w:rPr>
        <w:t>带平行，制动住回转机构，铲斗离地1米左右，上下坡道时不得超过允许最大坡度，下坡用慢速行驶，严</w:t>
      </w:r>
      <w:r>
        <w:rPr>
          <w:spacing w:val="-22"/>
          <w:sz w:val="24"/>
          <w:szCs w:val="24"/>
        </w:rPr>
        <w:t>禁在坡道上变速和空挡滑行。</w:t>
      </w:r>
    </w:p>
    <w:p w14:paraId="17BEA71B">
      <w:pPr>
        <w:pStyle w:val="2"/>
        <w:spacing w:before="122" w:line="215" w:lineRule="auto"/>
        <w:ind w:left="1903"/>
        <w:rPr>
          <w:sz w:val="24"/>
          <w:szCs w:val="24"/>
        </w:rPr>
      </w:pPr>
      <w:r>
        <w:rPr>
          <w:spacing w:val="-21"/>
          <w:sz w:val="24"/>
          <w:szCs w:val="24"/>
        </w:rPr>
        <w:t>1.5、作业后，应将挖掘机停放在坚实、平坦、安全的地方，将铲斗落地。</w:t>
      </w:r>
    </w:p>
    <w:p w14:paraId="5DCFC337">
      <w:pPr>
        <w:pStyle w:val="2"/>
        <w:spacing w:before="121" w:line="216" w:lineRule="auto"/>
        <w:ind w:left="1888"/>
        <w:rPr>
          <w:sz w:val="24"/>
          <w:szCs w:val="24"/>
        </w:rPr>
      </w:pPr>
      <w:r>
        <w:rPr>
          <w:spacing w:val="-20"/>
          <w:sz w:val="24"/>
          <w:szCs w:val="24"/>
        </w:rPr>
        <w:t>2、混凝土振动器安全技术操作规程</w:t>
      </w:r>
    </w:p>
    <w:p w14:paraId="01F0FF2F">
      <w:pPr>
        <w:pStyle w:val="2"/>
        <w:spacing w:before="119" w:line="214" w:lineRule="auto"/>
        <w:ind w:left="1894"/>
        <w:rPr>
          <w:sz w:val="24"/>
          <w:szCs w:val="24"/>
        </w:rPr>
      </w:pPr>
      <w:r>
        <w:rPr>
          <w:spacing w:val="-21"/>
          <w:sz w:val="24"/>
          <w:szCs w:val="24"/>
        </w:rPr>
        <w:t>使用前检查各部应连接牢固，旋转方向要正确。</w:t>
      </w:r>
    </w:p>
    <w:p w14:paraId="2701D565">
      <w:pPr>
        <w:pStyle w:val="2"/>
        <w:spacing w:before="123" w:line="307" w:lineRule="auto"/>
        <w:ind w:left="1460" w:right="1410" w:firstLine="432"/>
        <w:rPr>
          <w:sz w:val="24"/>
          <w:szCs w:val="24"/>
        </w:rPr>
      </w:pPr>
      <w:r>
        <w:rPr>
          <w:spacing w:val="-20"/>
          <w:sz w:val="24"/>
          <w:szCs w:val="24"/>
        </w:rPr>
        <w:t>振捣器不得放在初凝的混凝土，地板、脚手架、道路和干硬的地面上进行试振，如检修或</w:t>
      </w:r>
      <w:r>
        <w:rPr>
          <w:spacing w:val="-21"/>
          <w:sz w:val="24"/>
          <w:szCs w:val="24"/>
        </w:rPr>
        <w:t>作业间断时，应切断电源。</w:t>
      </w:r>
    </w:p>
    <w:p w14:paraId="0C3C468E">
      <w:pPr>
        <w:pStyle w:val="2"/>
        <w:spacing w:line="308" w:lineRule="auto"/>
        <w:ind w:left="1456" w:right="1411" w:firstLine="436"/>
        <w:rPr>
          <w:sz w:val="24"/>
          <w:szCs w:val="24"/>
        </w:rPr>
      </w:pPr>
      <w:r>
        <w:rPr>
          <w:spacing w:val="-20"/>
          <w:sz w:val="24"/>
          <w:szCs w:val="24"/>
        </w:rPr>
        <w:t>插入式振捣器转轴的弯曲半径不得少于50</w:t>
      </w:r>
      <w:r>
        <w:rPr>
          <w:spacing w:val="-21"/>
          <w:sz w:val="24"/>
          <w:szCs w:val="24"/>
        </w:rPr>
        <w:t>cm，并不得多于两个弯，操作时振动棒应自然垂直地沉入混凝土内，不得用力硬插，斜推或被钢筋夹住捧头</w:t>
      </w:r>
      <w:r>
        <w:rPr>
          <w:spacing w:val="-22"/>
          <w:sz w:val="24"/>
          <w:szCs w:val="24"/>
        </w:rPr>
        <w:t>，也不得全部插入混凝土中。</w:t>
      </w:r>
    </w:p>
    <w:p w14:paraId="4122DC8B">
      <w:pPr>
        <w:pStyle w:val="2"/>
        <w:spacing w:before="1" w:line="215" w:lineRule="auto"/>
        <w:ind w:left="1892"/>
        <w:rPr>
          <w:sz w:val="24"/>
          <w:szCs w:val="24"/>
        </w:rPr>
      </w:pPr>
      <w:r>
        <w:rPr>
          <w:spacing w:val="-22"/>
          <w:sz w:val="24"/>
          <w:szCs w:val="24"/>
        </w:rPr>
        <w:t>振捣器应保持清洁，不得有混凝土粘结在电动机外壳上妨碍散热。</w:t>
      </w:r>
    </w:p>
    <w:p w14:paraId="0A855D45">
      <w:pPr>
        <w:pStyle w:val="2"/>
        <w:spacing w:before="119" w:line="214" w:lineRule="auto"/>
        <w:ind w:left="1896"/>
        <w:rPr>
          <w:sz w:val="24"/>
          <w:szCs w:val="24"/>
        </w:rPr>
      </w:pPr>
      <w:r>
        <w:rPr>
          <w:spacing w:val="-21"/>
          <w:sz w:val="24"/>
          <w:szCs w:val="24"/>
        </w:rPr>
        <w:t>作业转移时，电动机的导线应保持有足够的长度和松</w:t>
      </w:r>
      <w:r>
        <w:rPr>
          <w:spacing w:val="-22"/>
          <w:sz w:val="24"/>
          <w:szCs w:val="24"/>
        </w:rPr>
        <w:t>度，严禁用电源线拖拉振捣器。</w:t>
      </w:r>
    </w:p>
    <w:p w14:paraId="3E316402">
      <w:pPr>
        <w:pStyle w:val="2"/>
        <w:spacing w:before="122" w:line="214" w:lineRule="auto"/>
        <w:ind w:left="1893"/>
        <w:rPr>
          <w:sz w:val="24"/>
          <w:szCs w:val="24"/>
        </w:rPr>
      </w:pPr>
      <w:r>
        <w:rPr>
          <w:spacing w:val="-21"/>
          <w:sz w:val="24"/>
          <w:szCs w:val="24"/>
        </w:rPr>
        <w:t>用绳拉平板振捣器时，拉绳应干燥绝缘，移动或转向时不得用</w:t>
      </w:r>
      <w:r>
        <w:rPr>
          <w:spacing w:val="-22"/>
          <w:sz w:val="24"/>
          <w:szCs w:val="24"/>
        </w:rPr>
        <w:t>脚踢电动机</w:t>
      </w:r>
    </w:p>
    <w:p w14:paraId="453E85A0">
      <w:pPr>
        <w:spacing w:line="214" w:lineRule="auto"/>
        <w:rPr>
          <w:sz w:val="24"/>
          <w:szCs w:val="24"/>
        </w:rPr>
        <w:sectPr>
          <w:footerReference r:id="rId389" w:type="default"/>
          <w:pgSz w:w="11907" w:h="16839"/>
          <w:pgMar w:top="933" w:right="4" w:bottom="1038" w:left="0" w:header="478" w:footer="357" w:gutter="0"/>
          <w:pgBorders>
            <w:top w:val="none" w:sz="0" w:space="0"/>
            <w:left w:val="none" w:sz="0" w:space="0"/>
            <w:bottom w:val="none" w:sz="0" w:space="0"/>
            <w:right w:val="none" w:sz="0" w:space="0"/>
          </w:pgBorders>
          <w:cols w:space="720" w:num="1"/>
        </w:sectPr>
      </w:pPr>
    </w:p>
    <w:p w14:paraId="79C48D18">
      <w:pPr>
        <w:spacing w:line="271" w:lineRule="auto"/>
        <w:rPr>
          <w:rFonts w:ascii="Arial"/>
          <w:sz w:val="21"/>
        </w:rPr>
      </w:pPr>
    </w:p>
    <w:p w14:paraId="1A8BCA6A">
      <w:pPr>
        <w:pStyle w:val="2"/>
        <w:spacing w:before="78" w:line="215" w:lineRule="auto"/>
        <w:ind w:left="1892"/>
        <w:rPr>
          <w:sz w:val="24"/>
          <w:szCs w:val="24"/>
        </w:rPr>
      </w:pPr>
      <w:r>
        <w:rPr>
          <w:spacing w:val="-22"/>
          <w:sz w:val="24"/>
          <w:szCs w:val="24"/>
        </w:rPr>
        <w:t>振捣器与平板应保持紧固，电源线必须固定在平板上，电器开关应装在手把上。</w:t>
      </w:r>
    </w:p>
    <w:p w14:paraId="54B786F7">
      <w:pPr>
        <w:pStyle w:val="2"/>
        <w:spacing w:before="121" w:line="215" w:lineRule="auto"/>
        <w:ind w:left="1895"/>
        <w:rPr>
          <w:sz w:val="24"/>
          <w:szCs w:val="24"/>
        </w:rPr>
      </w:pPr>
      <w:r>
        <w:rPr>
          <w:spacing w:val="-21"/>
          <w:sz w:val="24"/>
          <w:szCs w:val="24"/>
        </w:rPr>
        <w:t>在一个构件上同时使用几台附着式振捣器工作时，所有</w:t>
      </w:r>
      <w:r>
        <w:rPr>
          <w:spacing w:val="-22"/>
          <w:sz w:val="24"/>
          <w:szCs w:val="24"/>
        </w:rPr>
        <w:t>振捣器的频率必须相同。</w:t>
      </w:r>
    </w:p>
    <w:p w14:paraId="171B550B">
      <w:pPr>
        <w:pStyle w:val="2"/>
        <w:spacing w:before="118" w:line="216" w:lineRule="auto"/>
        <w:ind w:left="1893"/>
        <w:rPr>
          <w:sz w:val="24"/>
          <w:szCs w:val="24"/>
        </w:rPr>
      </w:pPr>
      <w:r>
        <w:rPr>
          <w:spacing w:val="-21"/>
          <w:sz w:val="24"/>
          <w:szCs w:val="24"/>
        </w:rPr>
        <w:t>操作人员必须穿戴绝缘胶鞋和绝缘手套。</w:t>
      </w:r>
    </w:p>
    <w:p w14:paraId="73D64A8C">
      <w:pPr>
        <w:pStyle w:val="2"/>
        <w:spacing w:before="120" w:line="215" w:lineRule="auto"/>
        <w:ind w:left="1896"/>
        <w:rPr>
          <w:sz w:val="24"/>
          <w:szCs w:val="24"/>
        </w:rPr>
      </w:pPr>
      <w:r>
        <w:rPr>
          <w:spacing w:val="-21"/>
          <w:sz w:val="24"/>
          <w:szCs w:val="24"/>
        </w:rPr>
        <w:t>作业后，必须做好清洗，保养工作，振捣器要放在干燥</w:t>
      </w:r>
      <w:r>
        <w:rPr>
          <w:spacing w:val="-22"/>
          <w:sz w:val="24"/>
          <w:szCs w:val="24"/>
        </w:rPr>
        <w:t>处。</w:t>
      </w:r>
    </w:p>
    <w:p w14:paraId="21B6750B">
      <w:pPr>
        <w:pStyle w:val="2"/>
        <w:spacing w:before="121" w:line="216" w:lineRule="auto"/>
        <w:ind w:left="1890"/>
        <w:rPr>
          <w:sz w:val="24"/>
          <w:szCs w:val="24"/>
        </w:rPr>
      </w:pPr>
      <w:r>
        <w:rPr>
          <w:spacing w:val="-19"/>
          <w:sz w:val="24"/>
          <w:szCs w:val="24"/>
        </w:rPr>
        <w:t>3、电焊机安全技术操作规程</w:t>
      </w:r>
    </w:p>
    <w:p w14:paraId="3F6536B9">
      <w:pPr>
        <w:pStyle w:val="2"/>
        <w:spacing w:before="118" w:line="308" w:lineRule="auto"/>
        <w:ind w:left="1463" w:right="1426" w:firstLine="456"/>
        <w:rPr>
          <w:sz w:val="24"/>
          <w:szCs w:val="24"/>
        </w:rPr>
      </w:pPr>
      <w:r>
        <w:rPr>
          <w:spacing w:val="-21"/>
          <w:sz w:val="24"/>
          <w:szCs w:val="24"/>
        </w:rPr>
        <w:t>电焊工必须受过专门训练，熟习电焊机设备的构造和性能，了解各种焊接方法，并经考试</w:t>
      </w:r>
      <w:r>
        <w:rPr>
          <w:spacing w:val="-22"/>
          <w:sz w:val="24"/>
          <w:szCs w:val="24"/>
        </w:rPr>
        <w:t>合格，方能单独进行工作。</w:t>
      </w:r>
    </w:p>
    <w:p w14:paraId="7E23CEB1">
      <w:pPr>
        <w:pStyle w:val="2"/>
        <w:spacing w:before="3" w:line="307" w:lineRule="auto"/>
        <w:ind w:left="1482" w:right="1411" w:firstLine="436"/>
        <w:jc w:val="both"/>
        <w:rPr>
          <w:sz w:val="24"/>
          <w:szCs w:val="24"/>
        </w:rPr>
      </w:pPr>
      <w:r>
        <w:rPr>
          <w:spacing w:val="-20"/>
          <w:sz w:val="24"/>
          <w:szCs w:val="24"/>
        </w:rPr>
        <w:t>电焊机必须具备接线图表，工作说明书，电焊机应放在干燥的地</w:t>
      </w:r>
      <w:r>
        <w:rPr>
          <w:spacing w:val="-21"/>
          <w:sz w:val="24"/>
          <w:szCs w:val="24"/>
        </w:rPr>
        <w:t>方，其电源线（从闸门到</w:t>
      </w:r>
      <w:r>
        <w:rPr>
          <w:spacing w:val="-22"/>
          <w:sz w:val="24"/>
          <w:szCs w:val="24"/>
        </w:rPr>
        <w:t>电焊机）不宜超过5米，如超过时，应采取相应的安全措施，所有电线（包括软线）必须绝缘</w:t>
      </w:r>
      <w:r>
        <w:rPr>
          <w:spacing w:val="-23"/>
          <w:sz w:val="24"/>
          <w:szCs w:val="24"/>
        </w:rPr>
        <w:t>良好，如有脱皮应用胶布包好，电源开关要设外罩，电焊机壳要接地。</w:t>
      </w:r>
    </w:p>
    <w:p w14:paraId="4F0C32C9">
      <w:pPr>
        <w:pStyle w:val="2"/>
        <w:spacing w:before="1" w:line="216" w:lineRule="auto"/>
        <w:ind w:left="1901"/>
        <w:rPr>
          <w:sz w:val="24"/>
          <w:szCs w:val="24"/>
        </w:rPr>
      </w:pPr>
      <w:r>
        <w:rPr>
          <w:spacing w:val="-21"/>
          <w:sz w:val="24"/>
          <w:szCs w:val="24"/>
        </w:rPr>
        <w:t>每天上班前必须先检查电焊机及电源线路。</w:t>
      </w:r>
    </w:p>
    <w:p w14:paraId="0B0C491D">
      <w:pPr>
        <w:pStyle w:val="2"/>
        <w:spacing w:before="82" w:line="217" w:lineRule="auto"/>
        <w:ind w:left="1986"/>
        <w:outlineLvl w:val="2"/>
        <w:rPr>
          <w:sz w:val="28"/>
          <w:szCs w:val="28"/>
        </w:rPr>
      </w:pPr>
      <w:bookmarkStart w:id="264" w:name="bookmark253"/>
      <w:bookmarkEnd w:id="264"/>
      <w:r>
        <w:rPr>
          <w:b/>
          <w:bCs/>
          <w:spacing w:val="-23"/>
          <w:sz w:val="28"/>
          <w:szCs w:val="28"/>
        </w:rPr>
        <w:t>二、机械设备保养修理制度</w:t>
      </w:r>
    </w:p>
    <w:p w14:paraId="6334B3D8">
      <w:pPr>
        <w:pStyle w:val="2"/>
        <w:spacing w:before="107" w:line="262" w:lineRule="auto"/>
        <w:ind w:left="1456" w:right="1409" w:firstLine="447"/>
        <w:rPr>
          <w:sz w:val="24"/>
          <w:szCs w:val="24"/>
        </w:rPr>
      </w:pPr>
      <w:r>
        <w:rPr>
          <w:spacing w:val="-22"/>
          <w:sz w:val="24"/>
          <w:szCs w:val="24"/>
        </w:rPr>
        <w:t>1.1、坚持做好机械设备的“例保”修理工作。操作人员在开机前、使用中、停机后，必须</w:t>
      </w:r>
      <w:r>
        <w:rPr>
          <w:spacing w:val="-21"/>
          <w:sz w:val="24"/>
          <w:szCs w:val="24"/>
        </w:rPr>
        <w:t>按规定的项目和要求，对机械设备进行检查和保养修理。</w:t>
      </w:r>
    </w:p>
    <w:p w14:paraId="33600C9C">
      <w:pPr>
        <w:pStyle w:val="2"/>
        <w:spacing w:before="119" w:line="262" w:lineRule="auto"/>
        <w:ind w:left="1456" w:right="1412" w:firstLine="447"/>
        <w:rPr>
          <w:sz w:val="24"/>
          <w:szCs w:val="24"/>
        </w:rPr>
      </w:pPr>
      <w:r>
        <w:rPr>
          <w:spacing w:val="-22"/>
          <w:sz w:val="24"/>
          <w:szCs w:val="24"/>
        </w:rPr>
        <w:t>1.2、执行强制保养（修理</w:t>
      </w:r>
      <w:r>
        <w:rPr>
          <w:spacing w:val="-19"/>
          <w:sz w:val="24"/>
          <w:szCs w:val="24"/>
        </w:rPr>
        <w:t>），</w:t>
      </w:r>
      <w:r>
        <w:rPr>
          <w:spacing w:val="-22"/>
          <w:sz w:val="24"/>
          <w:szCs w:val="24"/>
        </w:rPr>
        <w:t>强制保养应根据机械设备运转公里或小时，定项、定级、定期、定标准、定停厂保修日，安排计划由专业人员进行保养修理。</w:t>
      </w:r>
    </w:p>
    <w:p w14:paraId="405E635B">
      <w:pPr>
        <w:pStyle w:val="2"/>
        <w:spacing w:before="118" w:line="262" w:lineRule="auto"/>
        <w:ind w:left="1458" w:right="1428" w:firstLine="445"/>
        <w:rPr>
          <w:sz w:val="24"/>
          <w:szCs w:val="24"/>
        </w:rPr>
      </w:pPr>
      <w:r>
        <w:rPr>
          <w:spacing w:val="-22"/>
          <w:sz w:val="24"/>
          <w:szCs w:val="24"/>
        </w:rPr>
        <w:t>1.3、坚持对送修机械鉴定，机械故障后随时进行的检修；大中修是按</w:t>
      </w:r>
      <w:r>
        <w:rPr>
          <w:spacing w:val="-23"/>
          <w:sz w:val="24"/>
          <w:szCs w:val="24"/>
        </w:rPr>
        <w:t>机械运转公里或小时</w:t>
      </w:r>
      <w:r>
        <w:rPr>
          <w:spacing w:val="-20"/>
          <w:sz w:val="24"/>
          <w:szCs w:val="24"/>
        </w:rPr>
        <w:t>周期进行的计划修理。</w:t>
      </w:r>
    </w:p>
    <w:p w14:paraId="33D656D9">
      <w:pPr>
        <w:pStyle w:val="2"/>
        <w:spacing w:before="120" w:line="262" w:lineRule="auto"/>
        <w:ind w:left="1460" w:right="1440" w:firstLine="443"/>
        <w:rPr>
          <w:sz w:val="24"/>
          <w:szCs w:val="24"/>
        </w:rPr>
      </w:pPr>
      <w:r>
        <w:rPr>
          <w:spacing w:val="-22"/>
          <w:sz w:val="24"/>
          <w:szCs w:val="24"/>
        </w:rPr>
        <w:t>1.4、严格保修质量，保修质量对机械能否</w:t>
      </w:r>
      <w:r>
        <w:rPr>
          <w:spacing w:val="-23"/>
          <w:sz w:val="24"/>
          <w:szCs w:val="24"/>
        </w:rPr>
        <w:t>达到保修周期和延长大修周期是很重要的因素，</w:t>
      </w:r>
      <w:r>
        <w:rPr>
          <w:spacing w:val="-21"/>
          <w:sz w:val="24"/>
          <w:szCs w:val="24"/>
        </w:rPr>
        <w:t>一定要严格检查制度，按照保修质量标准进行检</w:t>
      </w:r>
      <w:r>
        <w:rPr>
          <w:spacing w:val="-22"/>
          <w:sz w:val="24"/>
          <w:szCs w:val="24"/>
        </w:rPr>
        <w:t>查验收，合格后才能出厂。</w:t>
      </w:r>
    </w:p>
    <w:p w14:paraId="404D934A">
      <w:pPr>
        <w:pStyle w:val="2"/>
        <w:spacing w:before="119" w:line="261" w:lineRule="auto"/>
        <w:ind w:left="1458" w:right="1434" w:firstLine="445"/>
        <w:rPr>
          <w:sz w:val="24"/>
          <w:szCs w:val="24"/>
        </w:rPr>
      </w:pPr>
      <w:r>
        <w:rPr>
          <w:spacing w:val="-22"/>
          <w:sz w:val="24"/>
          <w:szCs w:val="24"/>
        </w:rPr>
        <w:t>1.5、遵守磨合期规定，防止机件早期磨损，延长机械</w:t>
      </w:r>
      <w:r>
        <w:rPr>
          <w:spacing w:val="-23"/>
          <w:sz w:val="24"/>
          <w:szCs w:val="24"/>
        </w:rPr>
        <w:t>使用寿命和修理周期，确保机械正常</w:t>
      </w:r>
      <w:r>
        <w:rPr>
          <w:spacing w:val="-21"/>
          <w:sz w:val="24"/>
          <w:szCs w:val="24"/>
        </w:rPr>
        <w:t>运转。</w:t>
      </w:r>
    </w:p>
    <w:p w14:paraId="77F2E316">
      <w:pPr>
        <w:pStyle w:val="2"/>
        <w:spacing w:before="87" w:line="217" w:lineRule="auto"/>
        <w:ind w:left="1985"/>
        <w:outlineLvl w:val="2"/>
        <w:rPr>
          <w:sz w:val="28"/>
          <w:szCs w:val="28"/>
        </w:rPr>
      </w:pPr>
      <w:bookmarkStart w:id="265" w:name="bookmark254"/>
      <w:bookmarkEnd w:id="265"/>
      <w:r>
        <w:rPr>
          <w:b/>
          <w:bCs/>
          <w:spacing w:val="-23"/>
          <w:sz w:val="28"/>
          <w:szCs w:val="28"/>
        </w:rPr>
        <w:t>三、机械设备使用制度</w:t>
      </w:r>
    </w:p>
    <w:p w14:paraId="2FD90C6E">
      <w:pPr>
        <w:pStyle w:val="2"/>
        <w:spacing w:before="105" w:line="263" w:lineRule="auto"/>
        <w:ind w:left="1457" w:right="1412" w:firstLine="446"/>
        <w:rPr>
          <w:sz w:val="24"/>
          <w:szCs w:val="24"/>
        </w:rPr>
      </w:pPr>
      <w:r>
        <w:rPr>
          <w:spacing w:val="-22"/>
          <w:sz w:val="24"/>
          <w:szCs w:val="24"/>
        </w:rPr>
        <w:t>1.1、机械设备应按其技术性能的要求正确使用，缺少安全装置或安全装置已失效的机械不</w:t>
      </w:r>
      <w:r>
        <w:rPr>
          <w:spacing w:val="-15"/>
          <w:sz w:val="24"/>
          <w:szCs w:val="24"/>
        </w:rPr>
        <w:t>得使用。</w:t>
      </w:r>
    </w:p>
    <w:p w14:paraId="1B1B8F50">
      <w:pPr>
        <w:pStyle w:val="2"/>
        <w:spacing w:before="116" w:line="262" w:lineRule="auto"/>
        <w:ind w:left="1457" w:right="1410" w:firstLine="446"/>
        <w:rPr>
          <w:sz w:val="24"/>
          <w:szCs w:val="24"/>
        </w:rPr>
      </w:pPr>
      <w:r>
        <w:rPr>
          <w:spacing w:val="-22"/>
          <w:sz w:val="24"/>
          <w:szCs w:val="24"/>
        </w:rPr>
        <w:t>1.2、严禁折除机械上的自动控制机构，力距限位器等安全装置，安全信号装置，其调试和</w:t>
      </w:r>
      <w:r>
        <w:rPr>
          <w:spacing w:val="-21"/>
          <w:sz w:val="24"/>
          <w:szCs w:val="24"/>
        </w:rPr>
        <w:t>故障排除由专业人员负责进行。</w:t>
      </w:r>
    </w:p>
    <w:p w14:paraId="036E66EC">
      <w:pPr>
        <w:pStyle w:val="2"/>
        <w:spacing w:before="118" w:line="262" w:lineRule="auto"/>
        <w:ind w:left="1453" w:right="1411" w:firstLine="449"/>
        <w:rPr>
          <w:sz w:val="24"/>
          <w:szCs w:val="24"/>
        </w:rPr>
      </w:pPr>
      <w:r>
        <w:rPr>
          <w:spacing w:val="-22"/>
          <w:sz w:val="24"/>
          <w:szCs w:val="24"/>
        </w:rPr>
        <w:t>1.3、新购或经过改装，拆后重新安装的机械设备，必须按原厂说明书的要求和《机械技术</w:t>
      </w:r>
      <w:r>
        <w:rPr>
          <w:spacing w:val="-21"/>
          <w:sz w:val="24"/>
          <w:szCs w:val="24"/>
        </w:rPr>
        <w:t>试验规程》之规定进行测试和试运转。</w:t>
      </w:r>
    </w:p>
    <w:p w14:paraId="2F68A490">
      <w:pPr>
        <w:pStyle w:val="2"/>
        <w:spacing w:before="119" w:line="217" w:lineRule="auto"/>
        <w:ind w:left="1903"/>
        <w:rPr>
          <w:sz w:val="24"/>
          <w:szCs w:val="24"/>
        </w:rPr>
      </w:pPr>
      <w:r>
        <w:rPr>
          <w:spacing w:val="-22"/>
          <w:sz w:val="24"/>
          <w:szCs w:val="24"/>
        </w:rPr>
        <w:t>1.4、机械设备的冬季使用，应执行《机械冬季使用的有关规</w:t>
      </w:r>
      <w:r>
        <w:rPr>
          <w:spacing w:val="-23"/>
          <w:sz w:val="24"/>
          <w:szCs w:val="24"/>
        </w:rPr>
        <w:t>定》。</w:t>
      </w:r>
    </w:p>
    <w:p w14:paraId="6207BD45">
      <w:pPr>
        <w:pStyle w:val="2"/>
        <w:spacing w:before="120" w:line="214" w:lineRule="auto"/>
        <w:ind w:left="1903"/>
        <w:rPr>
          <w:sz w:val="24"/>
          <w:szCs w:val="24"/>
        </w:rPr>
      </w:pPr>
      <w:r>
        <w:rPr>
          <w:spacing w:val="-21"/>
          <w:sz w:val="24"/>
          <w:szCs w:val="24"/>
        </w:rPr>
        <w:t>1.5、处在运行和运转中的机械严禁对其进行维修，保养或调整等作业。</w:t>
      </w:r>
    </w:p>
    <w:p w14:paraId="181C1246">
      <w:pPr>
        <w:pStyle w:val="2"/>
        <w:spacing w:before="122" w:line="263" w:lineRule="auto"/>
        <w:ind w:left="1456" w:right="1409" w:firstLine="447"/>
        <w:rPr>
          <w:sz w:val="24"/>
          <w:szCs w:val="24"/>
        </w:rPr>
      </w:pPr>
      <w:r>
        <w:rPr>
          <w:spacing w:val="-22"/>
          <w:sz w:val="24"/>
          <w:szCs w:val="24"/>
        </w:rPr>
        <w:t>1.6、机械设备应按时进行保养，当发现漏保，失修或超载带病运转等情况时，应停止其使</w:t>
      </w:r>
      <w:r>
        <w:rPr>
          <w:spacing w:val="-18"/>
          <w:sz w:val="24"/>
          <w:szCs w:val="24"/>
        </w:rPr>
        <w:t>用。</w:t>
      </w:r>
    </w:p>
    <w:p w14:paraId="31BC28D2">
      <w:pPr>
        <w:pStyle w:val="2"/>
        <w:spacing w:before="115" w:line="262" w:lineRule="auto"/>
        <w:ind w:left="1460" w:right="1428" w:firstLine="443"/>
        <w:rPr>
          <w:sz w:val="24"/>
          <w:szCs w:val="24"/>
        </w:rPr>
      </w:pPr>
      <w:r>
        <w:rPr>
          <w:spacing w:val="-22"/>
          <w:sz w:val="24"/>
          <w:szCs w:val="24"/>
        </w:rPr>
        <w:t>1.7、机械设备的操作人员必须身体健康，并经过专业培训考试合格，</w:t>
      </w:r>
      <w:r>
        <w:rPr>
          <w:spacing w:val="-23"/>
          <w:sz w:val="24"/>
          <w:szCs w:val="24"/>
        </w:rPr>
        <w:t>取得岗操作证书后方</w:t>
      </w:r>
      <w:r>
        <w:rPr>
          <w:spacing w:val="-21"/>
          <w:sz w:val="24"/>
          <w:szCs w:val="24"/>
        </w:rPr>
        <w:t>可上岗操作，非持证人员不得操作。</w:t>
      </w:r>
    </w:p>
    <w:p w14:paraId="33AC0847">
      <w:pPr>
        <w:pStyle w:val="2"/>
        <w:spacing w:before="118" w:line="216" w:lineRule="auto"/>
        <w:ind w:left="1903"/>
        <w:rPr>
          <w:sz w:val="24"/>
          <w:szCs w:val="24"/>
        </w:rPr>
      </w:pPr>
      <w:r>
        <w:rPr>
          <w:spacing w:val="-21"/>
          <w:sz w:val="24"/>
          <w:szCs w:val="24"/>
        </w:rPr>
        <w:t>1.8、公司各管理人员和操作人员应严格遵守贯彻本制度，必须憝知并严格执行以上制度。</w:t>
      </w:r>
    </w:p>
    <w:p w14:paraId="437FB912">
      <w:pPr>
        <w:spacing w:line="216" w:lineRule="auto"/>
        <w:rPr>
          <w:sz w:val="24"/>
          <w:szCs w:val="24"/>
        </w:rPr>
        <w:sectPr>
          <w:footerReference r:id="rId390" w:type="default"/>
          <w:pgSz w:w="11907" w:h="16839"/>
          <w:pgMar w:top="933" w:right="4" w:bottom="1038" w:left="0" w:header="478" w:footer="357" w:gutter="0"/>
          <w:pgBorders>
            <w:top w:val="none" w:sz="0" w:space="0"/>
            <w:left w:val="none" w:sz="0" w:space="0"/>
            <w:bottom w:val="none" w:sz="0" w:space="0"/>
            <w:right w:val="none" w:sz="0" w:space="0"/>
          </w:pgBorders>
          <w:cols w:space="720" w:num="1"/>
        </w:sectPr>
      </w:pPr>
    </w:p>
    <w:p w14:paraId="5CF2DDAB">
      <w:pPr>
        <w:pStyle w:val="2"/>
        <w:spacing w:before="299" w:line="217" w:lineRule="auto"/>
        <w:ind w:left="4310"/>
        <w:outlineLvl w:val="1"/>
        <w:rPr>
          <w:sz w:val="30"/>
          <w:szCs w:val="30"/>
        </w:rPr>
      </w:pPr>
      <w:bookmarkStart w:id="266" w:name="bookmark256"/>
      <w:bookmarkEnd w:id="266"/>
      <w:bookmarkStart w:id="267" w:name="bookmark255"/>
      <w:bookmarkEnd w:id="267"/>
      <w:r>
        <w:rPr>
          <w:b/>
          <w:bCs/>
          <w:color w:val="0070C0"/>
          <w:spacing w:val="-24"/>
          <w:sz w:val="30"/>
          <w:szCs w:val="30"/>
        </w:rPr>
        <w:t>第三节、机械设备配置计划</w:t>
      </w:r>
    </w:p>
    <w:p w14:paraId="14AB8435">
      <w:pPr>
        <w:pStyle w:val="2"/>
        <w:spacing w:before="66" w:line="211" w:lineRule="auto"/>
        <w:ind w:left="1981"/>
        <w:outlineLvl w:val="2"/>
        <w:rPr>
          <w:sz w:val="28"/>
          <w:szCs w:val="28"/>
        </w:rPr>
      </w:pPr>
      <w:bookmarkStart w:id="268" w:name="bookmark313"/>
      <w:bookmarkEnd w:id="268"/>
      <w:r>
        <w:rPr>
          <w:b/>
          <w:bCs/>
          <w:spacing w:val="-23"/>
          <w:sz w:val="28"/>
          <w:szCs w:val="28"/>
        </w:rPr>
        <w:t>一、主要施工机械设备投入计划</w:t>
      </w:r>
    </w:p>
    <w:tbl>
      <w:tblPr>
        <w:tblStyle w:val="6"/>
        <w:tblW w:w="8917" w:type="dxa"/>
        <w:tblInd w:w="149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24"/>
        <w:gridCol w:w="653"/>
        <w:gridCol w:w="1697"/>
        <w:gridCol w:w="4627"/>
        <w:gridCol w:w="1716"/>
      </w:tblGrid>
      <w:tr w14:paraId="4D6BB8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85" w:hRule="atLeast"/>
        </w:trPr>
        <w:tc>
          <w:tcPr>
            <w:tcW w:w="877" w:type="dxa"/>
            <w:gridSpan w:val="2"/>
            <w:tcBorders>
              <w:top w:val="single" w:color="000000" w:sz="4" w:space="0"/>
              <w:left w:val="single" w:color="000000" w:sz="4" w:space="0"/>
            </w:tcBorders>
            <w:shd w:val="clear" w:color="auto" w:fill="DEEAF6"/>
            <w:vAlign w:val="top"/>
          </w:tcPr>
          <w:p w14:paraId="7519D73C">
            <w:pPr>
              <w:spacing w:line="380" w:lineRule="auto"/>
              <w:rPr>
                <w:rFonts w:ascii="Arial"/>
                <w:sz w:val="21"/>
              </w:rPr>
            </w:pPr>
          </w:p>
          <w:p w14:paraId="013B84E2">
            <w:pPr>
              <w:pStyle w:val="7"/>
              <w:spacing w:before="78" w:line="218" w:lineRule="auto"/>
              <w:ind w:left="231"/>
            </w:pPr>
            <w:r>
              <w:rPr>
                <w:b/>
                <w:bCs/>
                <w:spacing w:val="-12"/>
              </w:rPr>
              <w:t>序号</w:t>
            </w:r>
          </w:p>
        </w:tc>
        <w:tc>
          <w:tcPr>
            <w:tcW w:w="1697" w:type="dxa"/>
            <w:tcBorders>
              <w:top w:val="single" w:color="000000" w:sz="4" w:space="0"/>
            </w:tcBorders>
            <w:shd w:val="clear" w:color="auto" w:fill="DEEAF6"/>
            <w:vAlign w:val="top"/>
          </w:tcPr>
          <w:p w14:paraId="0BFB1313">
            <w:pPr>
              <w:spacing w:line="379" w:lineRule="auto"/>
              <w:rPr>
                <w:rFonts w:ascii="Arial"/>
                <w:sz w:val="21"/>
              </w:rPr>
            </w:pPr>
          </w:p>
          <w:p w14:paraId="413FB986">
            <w:pPr>
              <w:pStyle w:val="7"/>
              <w:spacing w:before="78" w:line="217" w:lineRule="auto"/>
              <w:ind w:left="196"/>
            </w:pPr>
            <w:r>
              <w:rPr>
                <w:b/>
                <w:bCs/>
                <w:spacing w:val="-20"/>
              </w:rPr>
              <w:t>施工机械设备</w:t>
            </w:r>
          </w:p>
        </w:tc>
        <w:tc>
          <w:tcPr>
            <w:tcW w:w="4627" w:type="dxa"/>
            <w:tcBorders>
              <w:top w:val="single" w:color="000000" w:sz="4" w:space="0"/>
            </w:tcBorders>
            <w:shd w:val="clear" w:color="auto" w:fill="DEEAF6"/>
            <w:vAlign w:val="top"/>
          </w:tcPr>
          <w:p w14:paraId="0B2AFB9C">
            <w:pPr>
              <w:spacing w:line="380" w:lineRule="auto"/>
              <w:rPr>
                <w:rFonts w:ascii="Arial"/>
                <w:sz w:val="21"/>
              </w:rPr>
            </w:pPr>
          </w:p>
          <w:p w14:paraId="7CAB6351">
            <w:pPr>
              <w:pStyle w:val="7"/>
              <w:spacing w:before="78" w:line="219" w:lineRule="auto"/>
              <w:ind w:left="1785"/>
            </w:pPr>
            <w:r>
              <w:rPr>
                <w:b/>
                <w:bCs/>
                <w:spacing w:val="-21"/>
              </w:rPr>
              <w:t>型号示意图</w:t>
            </w:r>
          </w:p>
        </w:tc>
        <w:tc>
          <w:tcPr>
            <w:tcW w:w="1716" w:type="dxa"/>
            <w:tcBorders>
              <w:top w:val="single" w:color="5B9BD5" w:sz="4" w:space="0"/>
              <w:right w:val="single" w:color="5B9BD5" w:sz="4" w:space="0"/>
            </w:tcBorders>
            <w:shd w:val="clear" w:color="auto" w:fill="DEEAF6"/>
            <w:vAlign w:val="top"/>
          </w:tcPr>
          <w:p w14:paraId="1800092B">
            <w:pPr>
              <w:spacing w:line="380" w:lineRule="auto"/>
              <w:rPr>
                <w:rFonts w:ascii="Arial"/>
                <w:sz w:val="21"/>
              </w:rPr>
            </w:pPr>
          </w:p>
          <w:p w14:paraId="04147C90">
            <w:pPr>
              <w:pStyle w:val="7"/>
              <w:spacing w:before="78" w:line="219" w:lineRule="auto"/>
              <w:ind w:left="425"/>
            </w:pPr>
            <w:r>
              <w:rPr>
                <w:b/>
                <w:bCs/>
                <w:spacing w:val="-18"/>
              </w:rPr>
              <w:t>进场时间</w:t>
            </w:r>
          </w:p>
        </w:tc>
      </w:tr>
      <w:tr w14:paraId="16F98F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21" w:hRule="atLeast"/>
        </w:trPr>
        <w:tc>
          <w:tcPr>
            <w:tcW w:w="877" w:type="dxa"/>
            <w:gridSpan w:val="2"/>
            <w:tcBorders>
              <w:left w:val="single" w:color="000000" w:sz="4" w:space="0"/>
            </w:tcBorders>
            <w:vAlign w:val="top"/>
          </w:tcPr>
          <w:p w14:paraId="7E5A844B">
            <w:pPr>
              <w:spacing w:line="265" w:lineRule="auto"/>
              <w:rPr>
                <w:rFonts w:ascii="Arial"/>
                <w:sz w:val="21"/>
              </w:rPr>
            </w:pPr>
          </w:p>
          <w:p w14:paraId="08BD8E5A">
            <w:pPr>
              <w:spacing w:line="265" w:lineRule="auto"/>
              <w:rPr>
                <w:rFonts w:ascii="Arial"/>
                <w:sz w:val="21"/>
              </w:rPr>
            </w:pPr>
          </w:p>
          <w:p w14:paraId="46DAC154">
            <w:pPr>
              <w:spacing w:line="266" w:lineRule="auto"/>
              <w:rPr>
                <w:rFonts w:ascii="Arial"/>
                <w:sz w:val="21"/>
              </w:rPr>
            </w:pPr>
          </w:p>
          <w:p w14:paraId="6A1AB8FE">
            <w:pPr>
              <w:spacing w:line="266" w:lineRule="auto"/>
              <w:rPr>
                <w:rFonts w:ascii="Arial"/>
                <w:sz w:val="21"/>
              </w:rPr>
            </w:pPr>
          </w:p>
          <w:p w14:paraId="08A7A4D1">
            <w:pPr>
              <w:spacing w:line="266" w:lineRule="auto"/>
              <w:rPr>
                <w:rFonts w:ascii="Arial"/>
                <w:sz w:val="21"/>
              </w:rPr>
            </w:pPr>
          </w:p>
          <w:p w14:paraId="4A6A4047">
            <w:pPr>
              <w:pStyle w:val="7"/>
              <w:spacing w:before="78" w:line="238" w:lineRule="auto"/>
              <w:ind w:left="407"/>
            </w:pPr>
            <w:r>
              <w:t>1</w:t>
            </w:r>
          </w:p>
        </w:tc>
        <w:tc>
          <w:tcPr>
            <w:tcW w:w="1697" w:type="dxa"/>
            <w:vAlign w:val="top"/>
          </w:tcPr>
          <w:p w14:paraId="4BBFE441">
            <w:pPr>
              <w:spacing w:line="265" w:lineRule="auto"/>
              <w:rPr>
                <w:rFonts w:ascii="Arial"/>
                <w:sz w:val="21"/>
              </w:rPr>
            </w:pPr>
          </w:p>
          <w:p w14:paraId="65472AC7">
            <w:pPr>
              <w:spacing w:line="265" w:lineRule="auto"/>
              <w:rPr>
                <w:rFonts w:ascii="Arial"/>
                <w:sz w:val="21"/>
              </w:rPr>
            </w:pPr>
          </w:p>
          <w:p w14:paraId="0E886A45">
            <w:pPr>
              <w:spacing w:line="266" w:lineRule="auto"/>
              <w:rPr>
                <w:rFonts w:ascii="Arial"/>
                <w:sz w:val="21"/>
              </w:rPr>
            </w:pPr>
          </w:p>
          <w:p w14:paraId="71127706">
            <w:pPr>
              <w:spacing w:line="266" w:lineRule="auto"/>
              <w:rPr>
                <w:rFonts w:ascii="Arial"/>
                <w:sz w:val="21"/>
              </w:rPr>
            </w:pPr>
          </w:p>
          <w:p w14:paraId="24F30349">
            <w:pPr>
              <w:spacing w:line="266" w:lineRule="auto"/>
              <w:rPr>
                <w:rFonts w:ascii="Arial"/>
                <w:sz w:val="21"/>
              </w:rPr>
            </w:pPr>
          </w:p>
          <w:p w14:paraId="33A6C009">
            <w:pPr>
              <w:pStyle w:val="7"/>
              <w:spacing w:before="78" w:line="218" w:lineRule="auto"/>
              <w:ind w:left="524"/>
            </w:pPr>
            <w:r>
              <w:rPr>
                <w:spacing w:val="-13"/>
              </w:rPr>
              <w:t>挖掘机</w:t>
            </w:r>
          </w:p>
        </w:tc>
        <w:tc>
          <w:tcPr>
            <w:tcW w:w="4627" w:type="dxa"/>
            <w:vAlign w:val="top"/>
          </w:tcPr>
          <w:p w14:paraId="2931F812">
            <w:pPr>
              <w:spacing w:before="58" w:line="2947" w:lineRule="exact"/>
              <w:ind w:firstLine="228"/>
            </w:pPr>
            <w:r>
              <w:rPr>
                <w:position w:val="-58"/>
              </w:rPr>
              <w:drawing>
                <wp:inline distT="0" distB="0" distL="0" distR="0">
                  <wp:extent cx="2633980" cy="1871345"/>
                  <wp:effectExtent l="0" t="0" r="0" b="0"/>
                  <wp:docPr id="1624" name="IM 1624"/>
                  <wp:cNvGraphicFramePr/>
                  <a:graphic xmlns:a="http://schemas.openxmlformats.org/drawingml/2006/main">
                    <a:graphicData uri="http://schemas.openxmlformats.org/drawingml/2006/picture">
                      <pic:pic xmlns:pic="http://schemas.openxmlformats.org/drawingml/2006/picture">
                        <pic:nvPicPr>
                          <pic:cNvPr id="1624" name="IM 1624"/>
                          <pic:cNvPicPr/>
                        </pic:nvPicPr>
                        <pic:blipFill>
                          <a:blip r:embed="rId728"/>
                          <a:stretch>
                            <a:fillRect/>
                          </a:stretch>
                        </pic:blipFill>
                        <pic:spPr>
                          <a:xfrm>
                            <a:off x="0" y="0"/>
                            <a:ext cx="2634614" cy="1871345"/>
                          </a:xfrm>
                          <a:prstGeom prst="rect">
                            <a:avLst/>
                          </a:prstGeom>
                        </pic:spPr>
                      </pic:pic>
                    </a:graphicData>
                  </a:graphic>
                </wp:inline>
              </w:drawing>
            </w:r>
          </w:p>
        </w:tc>
        <w:tc>
          <w:tcPr>
            <w:tcW w:w="1716" w:type="dxa"/>
            <w:tcBorders>
              <w:right w:val="single" w:color="000000" w:sz="4" w:space="0"/>
            </w:tcBorders>
            <w:vAlign w:val="top"/>
          </w:tcPr>
          <w:p w14:paraId="57DEBA73">
            <w:pPr>
              <w:spacing w:line="265" w:lineRule="auto"/>
              <w:rPr>
                <w:rFonts w:ascii="Arial"/>
                <w:sz w:val="21"/>
              </w:rPr>
            </w:pPr>
          </w:p>
          <w:p w14:paraId="1A36FB52">
            <w:pPr>
              <w:spacing w:line="265" w:lineRule="auto"/>
              <w:rPr>
                <w:rFonts w:ascii="Arial"/>
                <w:sz w:val="21"/>
              </w:rPr>
            </w:pPr>
          </w:p>
          <w:p w14:paraId="6C0261EB">
            <w:pPr>
              <w:spacing w:line="266" w:lineRule="auto"/>
              <w:rPr>
                <w:rFonts w:ascii="Arial"/>
                <w:sz w:val="21"/>
              </w:rPr>
            </w:pPr>
          </w:p>
          <w:p w14:paraId="59EB93AC">
            <w:pPr>
              <w:spacing w:line="266" w:lineRule="auto"/>
              <w:rPr>
                <w:rFonts w:ascii="Arial"/>
                <w:sz w:val="21"/>
              </w:rPr>
            </w:pPr>
          </w:p>
          <w:p w14:paraId="44949AB3">
            <w:pPr>
              <w:spacing w:line="266" w:lineRule="auto"/>
              <w:rPr>
                <w:rFonts w:ascii="Arial"/>
                <w:sz w:val="21"/>
              </w:rPr>
            </w:pPr>
          </w:p>
          <w:p w14:paraId="43074D0F">
            <w:pPr>
              <w:pStyle w:val="7"/>
              <w:spacing w:before="78" w:line="218" w:lineRule="auto"/>
              <w:ind w:left="285"/>
            </w:pPr>
            <w:r>
              <w:rPr>
                <w:spacing w:val="-6"/>
              </w:rPr>
              <w:t>2022年6月</w:t>
            </w:r>
          </w:p>
        </w:tc>
      </w:tr>
      <w:tr w14:paraId="65430D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8" w:hRule="atLeast"/>
        </w:trPr>
        <w:tc>
          <w:tcPr>
            <w:tcW w:w="877" w:type="dxa"/>
            <w:gridSpan w:val="2"/>
            <w:tcBorders>
              <w:left w:val="single" w:color="000000" w:sz="4" w:space="0"/>
            </w:tcBorders>
            <w:vAlign w:val="top"/>
          </w:tcPr>
          <w:p w14:paraId="2C21781B">
            <w:pPr>
              <w:spacing w:line="244" w:lineRule="auto"/>
              <w:rPr>
                <w:rFonts w:ascii="Arial"/>
                <w:sz w:val="21"/>
              </w:rPr>
            </w:pPr>
          </w:p>
          <w:p w14:paraId="63FBCA5D">
            <w:pPr>
              <w:spacing w:line="245" w:lineRule="auto"/>
              <w:rPr>
                <w:rFonts w:ascii="Arial"/>
                <w:sz w:val="21"/>
              </w:rPr>
            </w:pPr>
          </w:p>
          <w:p w14:paraId="23193477">
            <w:pPr>
              <w:spacing w:line="245" w:lineRule="auto"/>
              <w:rPr>
                <w:rFonts w:ascii="Arial"/>
                <w:sz w:val="21"/>
              </w:rPr>
            </w:pPr>
          </w:p>
          <w:p w14:paraId="24C24507">
            <w:pPr>
              <w:spacing w:line="245" w:lineRule="auto"/>
              <w:rPr>
                <w:rFonts w:ascii="Arial"/>
                <w:sz w:val="21"/>
              </w:rPr>
            </w:pPr>
          </w:p>
          <w:p w14:paraId="39F2FCEC">
            <w:pPr>
              <w:spacing w:line="245" w:lineRule="auto"/>
              <w:rPr>
                <w:rFonts w:ascii="Arial"/>
                <w:sz w:val="21"/>
              </w:rPr>
            </w:pPr>
          </w:p>
          <w:p w14:paraId="56FF30A4">
            <w:pPr>
              <w:spacing w:line="245" w:lineRule="auto"/>
              <w:rPr>
                <w:rFonts w:ascii="Arial"/>
                <w:sz w:val="21"/>
              </w:rPr>
            </w:pPr>
          </w:p>
          <w:p w14:paraId="515BF6A4">
            <w:pPr>
              <w:pStyle w:val="7"/>
              <w:spacing w:before="78" w:line="238" w:lineRule="auto"/>
              <w:ind w:left="392"/>
            </w:pPr>
            <w:r>
              <w:t>2</w:t>
            </w:r>
          </w:p>
        </w:tc>
        <w:tc>
          <w:tcPr>
            <w:tcW w:w="1697" w:type="dxa"/>
            <w:vAlign w:val="top"/>
          </w:tcPr>
          <w:p w14:paraId="4CCB4A4B">
            <w:pPr>
              <w:spacing w:line="244" w:lineRule="auto"/>
              <w:rPr>
                <w:rFonts w:ascii="Arial"/>
                <w:sz w:val="21"/>
              </w:rPr>
            </w:pPr>
          </w:p>
          <w:p w14:paraId="7A71B1B9">
            <w:pPr>
              <w:spacing w:line="245" w:lineRule="auto"/>
              <w:rPr>
                <w:rFonts w:ascii="Arial"/>
                <w:sz w:val="21"/>
              </w:rPr>
            </w:pPr>
          </w:p>
          <w:p w14:paraId="080B6D77">
            <w:pPr>
              <w:spacing w:line="245" w:lineRule="auto"/>
              <w:rPr>
                <w:rFonts w:ascii="Arial"/>
                <w:sz w:val="21"/>
              </w:rPr>
            </w:pPr>
          </w:p>
          <w:p w14:paraId="5DE15967">
            <w:pPr>
              <w:spacing w:line="245" w:lineRule="auto"/>
              <w:rPr>
                <w:rFonts w:ascii="Arial"/>
                <w:sz w:val="21"/>
              </w:rPr>
            </w:pPr>
          </w:p>
          <w:p w14:paraId="02D02D28">
            <w:pPr>
              <w:spacing w:line="245" w:lineRule="auto"/>
              <w:rPr>
                <w:rFonts w:ascii="Arial"/>
                <w:sz w:val="21"/>
              </w:rPr>
            </w:pPr>
          </w:p>
          <w:p w14:paraId="289D0222">
            <w:pPr>
              <w:spacing w:line="245" w:lineRule="auto"/>
              <w:rPr>
                <w:rFonts w:ascii="Arial"/>
                <w:sz w:val="21"/>
              </w:rPr>
            </w:pPr>
          </w:p>
          <w:p w14:paraId="173895FE">
            <w:pPr>
              <w:pStyle w:val="7"/>
              <w:spacing w:before="78" w:line="218" w:lineRule="auto"/>
              <w:ind w:left="526"/>
            </w:pPr>
            <w:r>
              <w:rPr>
                <w:spacing w:val="-14"/>
              </w:rPr>
              <w:t>铲运机</w:t>
            </w:r>
          </w:p>
        </w:tc>
        <w:tc>
          <w:tcPr>
            <w:tcW w:w="4627" w:type="dxa"/>
            <w:vAlign w:val="top"/>
          </w:tcPr>
          <w:p w14:paraId="6B62DF24">
            <w:pPr>
              <w:spacing w:before="60" w:line="3228" w:lineRule="exact"/>
              <w:ind w:firstLine="379"/>
            </w:pPr>
            <w:r>
              <w:rPr>
                <w:position w:val="-64"/>
              </w:rPr>
              <w:drawing>
                <wp:inline distT="0" distB="0" distL="0" distR="0">
                  <wp:extent cx="2444750" cy="2049145"/>
                  <wp:effectExtent l="0" t="0" r="0" b="0"/>
                  <wp:docPr id="1626" name="IM 1626"/>
                  <wp:cNvGraphicFramePr/>
                  <a:graphic xmlns:a="http://schemas.openxmlformats.org/drawingml/2006/main">
                    <a:graphicData uri="http://schemas.openxmlformats.org/drawingml/2006/picture">
                      <pic:pic xmlns:pic="http://schemas.openxmlformats.org/drawingml/2006/picture">
                        <pic:nvPicPr>
                          <pic:cNvPr id="1626" name="IM 1626"/>
                          <pic:cNvPicPr/>
                        </pic:nvPicPr>
                        <pic:blipFill>
                          <a:blip r:embed="rId729"/>
                          <a:stretch>
                            <a:fillRect/>
                          </a:stretch>
                        </pic:blipFill>
                        <pic:spPr>
                          <a:xfrm>
                            <a:off x="0" y="0"/>
                            <a:ext cx="2444750" cy="2049779"/>
                          </a:xfrm>
                          <a:prstGeom prst="rect">
                            <a:avLst/>
                          </a:prstGeom>
                        </pic:spPr>
                      </pic:pic>
                    </a:graphicData>
                  </a:graphic>
                </wp:inline>
              </w:drawing>
            </w:r>
          </w:p>
        </w:tc>
        <w:tc>
          <w:tcPr>
            <w:tcW w:w="1716" w:type="dxa"/>
            <w:tcBorders>
              <w:right w:val="single" w:color="000000" w:sz="4" w:space="0"/>
            </w:tcBorders>
            <w:vAlign w:val="top"/>
          </w:tcPr>
          <w:p w14:paraId="7DC803F4">
            <w:pPr>
              <w:spacing w:line="244" w:lineRule="auto"/>
              <w:rPr>
                <w:rFonts w:ascii="Arial"/>
                <w:sz w:val="21"/>
              </w:rPr>
            </w:pPr>
          </w:p>
          <w:p w14:paraId="1302958E">
            <w:pPr>
              <w:spacing w:line="245" w:lineRule="auto"/>
              <w:rPr>
                <w:rFonts w:ascii="Arial"/>
                <w:sz w:val="21"/>
              </w:rPr>
            </w:pPr>
          </w:p>
          <w:p w14:paraId="4005F0A1">
            <w:pPr>
              <w:spacing w:line="245" w:lineRule="auto"/>
              <w:rPr>
                <w:rFonts w:ascii="Arial"/>
                <w:sz w:val="21"/>
              </w:rPr>
            </w:pPr>
          </w:p>
          <w:p w14:paraId="0D3AF533">
            <w:pPr>
              <w:spacing w:line="245" w:lineRule="auto"/>
              <w:rPr>
                <w:rFonts w:ascii="Arial"/>
                <w:sz w:val="21"/>
              </w:rPr>
            </w:pPr>
          </w:p>
          <w:p w14:paraId="536A64F4">
            <w:pPr>
              <w:spacing w:line="245" w:lineRule="auto"/>
              <w:rPr>
                <w:rFonts w:ascii="Arial"/>
                <w:sz w:val="21"/>
              </w:rPr>
            </w:pPr>
          </w:p>
          <w:p w14:paraId="7F00A9DF">
            <w:pPr>
              <w:spacing w:line="245" w:lineRule="auto"/>
              <w:rPr>
                <w:rFonts w:ascii="Arial"/>
                <w:sz w:val="21"/>
              </w:rPr>
            </w:pPr>
          </w:p>
          <w:p w14:paraId="6DFEEA6C">
            <w:pPr>
              <w:pStyle w:val="7"/>
              <w:spacing w:before="78" w:line="218" w:lineRule="auto"/>
              <w:ind w:left="285"/>
            </w:pPr>
            <w:r>
              <w:rPr>
                <w:spacing w:val="-6"/>
              </w:rPr>
              <w:t>2022年6月</w:t>
            </w:r>
          </w:p>
        </w:tc>
      </w:tr>
      <w:tr w14:paraId="5177DA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23" w:hRule="atLeast"/>
        </w:trPr>
        <w:tc>
          <w:tcPr>
            <w:tcW w:w="224" w:type="dxa"/>
            <w:tcBorders>
              <w:left w:val="single" w:color="1C456A" w:sz="4" w:space="0"/>
              <w:bottom w:val="single" w:color="1C456A" w:sz="4" w:space="0"/>
              <w:right w:val="nil"/>
            </w:tcBorders>
            <w:vAlign w:val="top"/>
          </w:tcPr>
          <w:p w14:paraId="35CC4AC4">
            <w:pPr>
              <w:rPr>
                <w:rFonts w:ascii="Arial"/>
                <w:sz w:val="21"/>
              </w:rPr>
            </w:pPr>
            <w:r>
              <w:pict>
                <v:shape id="_x0000_s4051" o:spid="_x0000_s4051" style="position:absolute;left:0pt;margin-left:-0.25pt;margin-top:161.2pt;height:0.75pt;width:2.2pt;mso-position-horizontal-relative:page;mso-position-vertical-relative:page;z-index:252362752;mso-width-relative:page;mso-height-relative:page;" fillcolor="#5B9BD5" filled="t" stroked="f" coordsize="44,15" path="m0,14l43,14,43,0,0,0,0,14xe">
                  <v:path/>
                  <v:fill on="t" focussize="0,0"/>
                  <v:stroke on="f"/>
                  <v:imagedata o:title=""/>
                  <o:lock v:ext="edit"/>
                </v:shape>
              </w:pict>
            </w:r>
          </w:p>
        </w:tc>
        <w:tc>
          <w:tcPr>
            <w:tcW w:w="653" w:type="dxa"/>
            <w:tcBorders>
              <w:left w:val="nil"/>
              <w:bottom w:val="single" w:color="1C456A" w:sz="4" w:space="0"/>
            </w:tcBorders>
            <w:vAlign w:val="top"/>
          </w:tcPr>
          <w:p w14:paraId="05DC734F">
            <w:pPr>
              <w:spacing w:line="263" w:lineRule="auto"/>
              <w:rPr>
                <w:rFonts w:ascii="Arial"/>
                <w:sz w:val="21"/>
              </w:rPr>
            </w:pPr>
          </w:p>
          <w:p w14:paraId="33725794">
            <w:pPr>
              <w:spacing w:line="263" w:lineRule="auto"/>
              <w:rPr>
                <w:rFonts w:ascii="Arial"/>
                <w:sz w:val="21"/>
              </w:rPr>
            </w:pPr>
          </w:p>
          <w:p w14:paraId="43A91A8E">
            <w:pPr>
              <w:spacing w:line="263" w:lineRule="auto"/>
              <w:rPr>
                <w:rFonts w:ascii="Arial"/>
                <w:sz w:val="21"/>
              </w:rPr>
            </w:pPr>
          </w:p>
          <w:p w14:paraId="52EFB095">
            <w:pPr>
              <w:spacing w:line="263" w:lineRule="auto"/>
              <w:rPr>
                <w:rFonts w:ascii="Arial"/>
                <w:sz w:val="21"/>
              </w:rPr>
            </w:pPr>
          </w:p>
          <w:p w14:paraId="678846DF">
            <w:pPr>
              <w:spacing w:line="263" w:lineRule="auto"/>
              <w:rPr>
                <w:rFonts w:ascii="Arial"/>
                <w:sz w:val="21"/>
              </w:rPr>
            </w:pPr>
          </w:p>
          <w:p w14:paraId="3EE36AE7">
            <w:pPr>
              <w:pStyle w:val="7"/>
              <w:spacing w:before="78" w:line="237" w:lineRule="auto"/>
              <w:ind w:left="175"/>
            </w:pPr>
            <w:r>
              <w:t>3</w:t>
            </w:r>
          </w:p>
        </w:tc>
        <w:tc>
          <w:tcPr>
            <w:tcW w:w="1697" w:type="dxa"/>
            <w:tcBorders>
              <w:bottom w:val="single" w:color="000000" w:sz="4" w:space="0"/>
            </w:tcBorders>
            <w:vAlign w:val="top"/>
          </w:tcPr>
          <w:p w14:paraId="202978AA">
            <w:pPr>
              <w:spacing w:line="263" w:lineRule="auto"/>
              <w:rPr>
                <w:rFonts w:ascii="Arial"/>
                <w:sz w:val="21"/>
              </w:rPr>
            </w:pPr>
          </w:p>
          <w:p w14:paraId="3122EABC">
            <w:pPr>
              <w:spacing w:line="263" w:lineRule="auto"/>
              <w:rPr>
                <w:rFonts w:ascii="Arial"/>
                <w:sz w:val="21"/>
              </w:rPr>
            </w:pPr>
          </w:p>
          <w:p w14:paraId="1126405C">
            <w:pPr>
              <w:spacing w:line="263" w:lineRule="auto"/>
              <w:rPr>
                <w:rFonts w:ascii="Arial"/>
                <w:sz w:val="21"/>
              </w:rPr>
            </w:pPr>
          </w:p>
          <w:p w14:paraId="0E5B4F4D">
            <w:pPr>
              <w:spacing w:line="263" w:lineRule="auto"/>
              <w:rPr>
                <w:rFonts w:ascii="Arial"/>
                <w:sz w:val="21"/>
              </w:rPr>
            </w:pPr>
          </w:p>
          <w:p w14:paraId="34F9B6B4">
            <w:pPr>
              <w:spacing w:line="263" w:lineRule="auto"/>
              <w:rPr>
                <w:rFonts w:ascii="Arial"/>
                <w:sz w:val="21"/>
              </w:rPr>
            </w:pPr>
          </w:p>
          <w:p w14:paraId="4FB1013D">
            <w:pPr>
              <w:pStyle w:val="7"/>
              <w:spacing w:before="78" w:line="215" w:lineRule="auto"/>
              <w:ind w:left="462"/>
            </w:pPr>
            <w:r>
              <w:rPr>
                <w:spacing w:val="-27"/>
              </w:rPr>
              <w:t>自卸汽车</w:t>
            </w:r>
          </w:p>
        </w:tc>
        <w:tc>
          <w:tcPr>
            <w:tcW w:w="4627" w:type="dxa"/>
            <w:tcBorders>
              <w:bottom w:val="single" w:color="000000" w:sz="4" w:space="0"/>
            </w:tcBorders>
            <w:vAlign w:val="top"/>
          </w:tcPr>
          <w:p w14:paraId="18112634">
            <w:pPr>
              <w:spacing w:before="63" w:line="2911" w:lineRule="exact"/>
              <w:ind w:firstLine="221"/>
            </w:pPr>
            <w:r>
              <w:rPr>
                <w:position w:val="-58"/>
              </w:rPr>
              <w:drawing>
                <wp:inline distT="0" distB="0" distL="0" distR="0">
                  <wp:extent cx="2643505" cy="1848485"/>
                  <wp:effectExtent l="0" t="0" r="0" b="0"/>
                  <wp:docPr id="1628" name="IM 1628"/>
                  <wp:cNvGraphicFramePr/>
                  <a:graphic xmlns:a="http://schemas.openxmlformats.org/drawingml/2006/main">
                    <a:graphicData uri="http://schemas.openxmlformats.org/drawingml/2006/picture">
                      <pic:pic xmlns:pic="http://schemas.openxmlformats.org/drawingml/2006/picture">
                        <pic:nvPicPr>
                          <pic:cNvPr id="1628" name="IM 1628"/>
                          <pic:cNvPicPr/>
                        </pic:nvPicPr>
                        <pic:blipFill>
                          <a:blip r:embed="rId730"/>
                          <a:stretch>
                            <a:fillRect/>
                          </a:stretch>
                        </pic:blipFill>
                        <pic:spPr>
                          <a:xfrm>
                            <a:off x="0" y="0"/>
                            <a:ext cx="2644139" cy="1848485"/>
                          </a:xfrm>
                          <a:prstGeom prst="rect">
                            <a:avLst/>
                          </a:prstGeom>
                        </pic:spPr>
                      </pic:pic>
                    </a:graphicData>
                  </a:graphic>
                </wp:inline>
              </w:drawing>
            </w:r>
          </w:p>
        </w:tc>
        <w:tc>
          <w:tcPr>
            <w:tcW w:w="1716" w:type="dxa"/>
            <w:tcBorders>
              <w:bottom w:val="single" w:color="5B9BD5" w:sz="4" w:space="0"/>
              <w:right w:val="single" w:color="5B9BD5" w:sz="4" w:space="0"/>
            </w:tcBorders>
            <w:vAlign w:val="top"/>
          </w:tcPr>
          <w:p w14:paraId="49111636">
            <w:pPr>
              <w:spacing w:line="263" w:lineRule="auto"/>
              <w:rPr>
                <w:rFonts w:ascii="Arial"/>
                <w:sz w:val="21"/>
              </w:rPr>
            </w:pPr>
            <w:r>
              <w:pict>
                <v:shape id="_x0000_s4052" o:spid="_x0000_s4052" style="position:absolute;left:0pt;margin-left:83.9pt;margin-top:161.2pt;height:0.75pt;width:2.2pt;mso-position-horizontal-relative:page;mso-position-vertical-relative:page;z-index:252361728;mso-width-relative:page;mso-height-relative:page;" fillcolor="#5B9BD5" filled="t" stroked="f" coordsize="44,15" path="m0,14l43,14,43,0,0,0,0,14xe">
                  <v:path/>
                  <v:fill on="t" focussize="0,0"/>
                  <v:stroke on="f"/>
                  <v:imagedata o:title=""/>
                  <o:lock v:ext="edit"/>
                </v:shape>
              </w:pict>
            </w:r>
          </w:p>
          <w:p w14:paraId="21E42CBF">
            <w:pPr>
              <w:spacing w:line="263" w:lineRule="auto"/>
              <w:rPr>
                <w:rFonts w:ascii="Arial"/>
                <w:sz w:val="21"/>
              </w:rPr>
            </w:pPr>
          </w:p>
          <w:p w14:paraId="50443298">
            <w:pPr>
              <w:spacing w:line="263" w:lineRule="auto"/>
              <w:rPr>
                <w:rFonts w:ascii="Arial"/>
                <w:sz w:val="21"/>
              </w:rPr>
            </w:pPr>
          </w:p>
          <w:p w14:paraId="56CFA4AF">
            <w:pPr>
              <w:spacing w:line="263" w:lineRule="auto"/>
              <w:rPr>
                <w:rFonts w:ascii="Arial"/>
                <w:sz w:val="21"/>
              </w:rPr>
            </w:pPr>
          </w:p>
          <w:p w14:paraId="180F87CD">
            <w:pPr>
              <w:spacing w:line="263" w:lineRule="auto"/>
              <w:rPr>
                <w:rFonts w:ascii="Arial"/>
                <w:sz w:val="21"/>
              </w:rPr>
            </w:pPr>
          </w:p>
          <w:p w14:paraId="2068DC20">
            <w:pPr>
              <w:pStyle w:val="7"/>
              <w:spacing w:before="78" w:line="218" w:lineRule="auto"/>
              <w:ind w:left="285"/>
            </w:pPr>
            <w:r>
              <w:rPr>
                <w:spacing w:val="-6"/>
              </w:rPr>
              <w:t>2022年6月</w:t>
            </w:r>
          </w:p>
        </w:tc>
      </w:tr>
    </w:tbl>
    <w:p w14:paraId="4D9548DA">
      <w:pPr>
        <w:rPr>
          <w:rFonts w:ascii="Arial"/>
          <w:sz w:val="21"/>
        </w:rPr>
      </w:pPr>
    </w:p>
    <w:p w14:paraId="10C77C98">
      <w:pPr>
        <w:rPr>
          <w:rFonts w:ascii="Arial" w:hAnsi="Arial" w:eastAsia="Arial" w:cs="Arial"/>
          <w:sz w:val="21"/>
          <w:szCs w:val="21"/>
        </w:rPr>
        <w:sectPr>
          <w:footerReference r:id="rId391" w:type="default"/>
          <w:pgSz w:w="11907" w:h="16839"/>
          <w:pgMar w:top="933" w:right="4" w:bottom="1038" w:left="0" w:header="478" w:footer="357" w:gutter="0"/>
          <w:pgBorders>
            <w:top w:val="none" w:sz="0" w:space="0"/>
            <w:left w:val="none" w:sz="0" w:space="0"/>
            <w:bottom w:val="none" w:sz="0" w:space="0"/>
            <w:right w:val="none" w:sz="0" w:space="0"/>
          </w:pgBorders>
          <w:cols w:space="720" w:num="1"/>
        </w:sectPr>
      </w:pPr>
    </w:p>
    <w:p w14:paraId="18B56259">
      <w:pPr>
        <w:spacing w:line="235" w:lineRule="exact"/>
      </w:pPr>
    </w:p>
    <w:tbl>
      <w:tblPr>
        <w:tblStyle w:val="6"/>
        <w:tblW w:w="8917" w:type="dxa"/>
        <w:tblInd w:w="149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24"/>
        <w:gridCol w:w="646"/>
        <w:gridCol w:w="1700"/>
        <w:gridCol w:w="4627"/>
        <w:gridCol w:w="1720"/>
      </w:tblGrid>
      <w:tr w14:paraId="670BBB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68" w:hRule="atLeast"/>
        </w:trPr>
        <w:tc>
          <w:tcPr>
            <w:tcW w:w="870" w:type="dxa"/>
            <w:gridSpan w:val="2"/>
            <w:tcBorders>
              <w:top w:val="single" w:color="000000" w:sz="4" w:space="0"/>
              <w:left w:val="single" w:color="000000" w:sz="4" w:space="0"/>
            </w:tcBorders>
            <w:vAlign w:val="top"/>
          </w:tcPr>
          <w:p w14:paraId="599DA3BA">
            <w:pPr>
              <w:spacing w:line="244" w:lineRule="auto"/>
              <w:rPr>
                <w:rFonts w:ascii="Arial"/>
                <w:sz w:val="21"/>
              </w:rPr>
            </w:pPr>
          </w:p>
          <w:p w14:paraId="29E8EA02">
            <w:pPr>
              <w:spacing w:line="244" w:lineRule="auto"/>
              <w:rPr>
                <w:rFonts w:ascii="Arial"/>
                <w:sz w:val="21"/>
              </w:rPr>
            </w:pPr>
          </w:p>
          <w:p w14:paraId="3835E5F3">
            <w:pPr>
              <w:spacing w:line="244" w:lineRule="auto"/>
              <w:rPr>
                <w:rFonts w:ascii="Arial"/>
                <w:sz w:val="21"/>
              </w:rPr>
            </w:pPr>
          </w:p>
          <w:p w14:paraId="0524A8BC">
            <w:pPr>
              <w:spacing w:line="244" w:lineRule="auto"/>
              <w:rPr>
                <w:rFonts w:ascii="Arial"/>
                <w:sz w:val="21"/>
              </w:rPr>
            </w:pPr>
          </w:p>
          <w:p w14:paraId="15E1851A">
            <w:pPr>
              <w:spacing w:line="245" w:lineRule="auto"/>
              <w:rPr>
                <w:rFonts w:ascii="Arial"/>
                <w:sz w:val="21"/>
              </w:rPr>
            </w:pPr>
          </w:p>
          <w:p w14:paraId="185DB69E">
            <w:pPr>
              <w:spacing w:line="245" w:lineRule="auto"/>
              <w:rPr>
                <w:rFonts w:ascii="Arial"/>
                <w:sz w:val="21"/>
              </w:rPr>
            </w:pPr>
          </w:p>
          <w:p w14:paraId="43D48A8D">
            <w:pPr>
              <w:pStyle w:val="7"/>
              <w:spacing w:before="78" w:line="238" w:lineRule="auto"/>
              <w:ind w:left="388"/>
            </w:pPr>
            <w:r>
              <w:t>4</w:t>
            </w:r>
          </w:p>
        </w:tc>
        <w:tc>
          <w:tcPr>
            <w:tcW w:w="1700" w:type="dxa"/>
            <w:tcBorders>
              <w:top w:val="single" w:color="000000" w:sz="4" w:space="0"/>
            </w:tcBorders>
            <w:vAlign w:val="top"/>
          </w:tcPr>
          <w:p w14:paraId="16C53D1A">
            <w:pPr>
              <w:spacing w:line="244" w:lineRule="auto"/>
              <w:rPr>
                <w:rFonts w:ascii="Arial"/>
                <w:sz w:val="21"/>
              </w:rPr>
            </w:pPr>
          </w:p>
          <w:p w14:paraId="5E47F2A3">
            <w:pPr>
              <w:spacing w:line="244" w:lineRule="auto"/>
              <w:rPr>
                <w:rFonts w:ascii="Arial"/>
                <w:sz w:val="21"/>
              </w:rPr>
            </w:pPr>
          </w:p>
          <w:p w14:paraId="25599316">
            <w:pPr>
              <w:spacing w:line="244" w:lineRule="auto"/>
              <w:rPr>
                <w:rFonts w:ascii="Arial"/>
                <w:sz w:val="21"/>
              </w:rPr>
            </w:pPr>
          </w:p>
          <w:p w14:paraId="38A5F5F2">
            <w:pPr>
              <w:spacing w:line="244" w:lineRule="auto"/>
              <w:rPr>
                <w:rFonts w:ascii="Arial"/>
                <w:sz w:val="21"/>
              </w:rPr>
            </w:pPr>
          </w:p>
          <w:p w14:paraId="2BA3480D">
            <w:pPr>
              <w:spacing w:line="245" w:lineRule="auto"/>
              <w:rPr>
                <w:rFonts w:ascii="Arial"/>
                <w:sz w:val="21"/>
              </w:rPr>
            </w:pPr>
          </w:p>
          <w:p w14:paraId="45EBC0D4">
            <w:pPr>
              <w:spacing w:line="245" w:lineRule="auto"/>
              <w:rPr>
                <w:rFonts w:ascii="Arial"/>
                <w:sz w:val="21"/>
              </w:rPr>
            </w:pPr>
          </w:p>
          <w:p w14:paraId="693A8CE6">
            <w:pPr>
              <w:pStyle w:val="7"/>
              <w:spacing w:before="78" w:line="215" w:lineRule="auto"/>
              <w:ind w:left="318"/>
            </w:pPr>
            <w:r>
              <w:rPr>
                <w:spacing w:val="-18"/>
              </w:rPr>
              <w:t>汽车起重机</w:t>
            </w:r>
          </w:p>
        </w:tc>
        <w:tc>
          <w:tcPr>
            <w:tcW w:w="4627" w:type="dxa"/>
            <w:tcBorders>
              <w:top w:val="single" w:color="000000" w:sz="4" w:space="0"/>
            </w:tcBorders>
            <w:vAlign w:val="top"/>
          </w:tcPr>
          <w:p w14:paraId="45449E6D">
            <w:pPr>
              <w:spacing w:before="93" w:line="3161" w:lineRule="exact"/>
              <w:ind w:firstLine="100"/>
            </w:pPr>
            <w:r>
              <w:rPr>
                <w:position w:val="-63"/>
              </w:rPr>
              <w:drawing>
                <wp:inline distT="0" distB="0" distL="0" distR="0">
                  <wp:extent cx="2804160" cy="2006600"/>
                  <wp:effectExtent l="0" t="0" r="0" b="0"/>
                  <wp:docPr id="1632" name="IM 1632"/>
                  <wp:cNvGraphicFramePr/>
                  <a:graphic xmlns:a="http://schemas.openxmlformats.org/drawingml/2006/main">
                    <a:graphicData uri="http://schemas.openxmlformats.org/drawingml/2006/picture">
                      <pic:pic xmlns:pic="http://schemas.openxmlformats.org/drawingml/2006/picture">
                        <pic:nvPicPr>
                          <pic:cNvPr id="1632" name="IM 1632"/>
                          <pic:cNvPicPr/>
                        </pic:nvPicPr>
                        <pic:blipFill>
                          <a:blip r:embed="rId731"/>
                          <a:stretch>
                            <a:fillRect/>
                          </a:stretch>
                        </pic:blipFill>
                        <pic:spPr>
                          <a:xfrm>
                            <a:off x="0" y="0"/>
                            <a:ext cx="2804160" cy="2007234"/>
                          </a:xfrm>
                          <a:prstGeom prst="rect">
                            <a:avLst/>
                          </a:prstGeom>
                        </pic:spPr>
                      </pic:pic>
                    </a:graphicData>
                  </a:graphic>
                </wp:inline>
              </w:drawing>
            </w:r>
          </w:p>
        </w:tc>
        <w:tc>
          <w:tcPr>
            <w:tcW w:w="1720" w:type="dxa"/>
            <w:tcBorders>
              <w:top w:val="single" w:color="5B9BD5" w:sz="4" w:space="0"/>
              <w:right w:val="single" w:color="5B9BD5" w:sz="4" w:space="0"/>
            </w:tcBorders>
            <w:vAlign w:val="top"/>
          </w:tcPr>
          <w:p w14:paraId="4AAD23DD">
            <w:pPr>
              <w:spacing w:line="244" w:lineRule="auto"/>
              <w:rPr>
                <w:rFonts w:ascii="Arial"/>
                <w:sz w:val="21"/>
              </w:rPr>
            </w:pPr>
          </w:p>
          <w:p w14:paraId="59DD7117">
            <w:pPr>
              <w:spacing w:line="244" w:lineRule="auto"/>
              <w:rPr>
                <w:rFonts w:ascii="Arial"/>
                <w:sz w:val="21"/>
              </w:rPr>
            </w:pPr>
          </w:p>
          <w:p w14:paraId="05D1D235">
            <w:pPr>
              <w:spacing w:line="244" w:lineRule="auto"/>
              <w:rPr>
                <w:rFonts w:ascii="Arial"/>
                <w:sz w:val="21"/>
              </w:rPr>
            </w:pPr>
          </w:p>
          <w:p w14:paraId="3A38D542">
            <w:pPr>
              <w:spacing w:line="244" w:lineRule="auto"/>
              <w:rPr>
                <w:rFonts w:ascii="Arial"/>
                <w:sz w:val="21"/>
              </w:rPr>
            </w:pPr>
          </w:p>
          <w:p w14:paraId="2EE53562">
            <w:pPr>
              <w:spacing w:line="245" w:lineRule="auto"/>
              <w:rPr>
                <w:rFonts w:ascii="Arial"/>
                <w:sz w:val="21"/>
              </w:rPr>
            </w:pPr>
          </w:p>
          <w:p w14:paraId="7DA8724F">
            <w:pPr>
              <w:spacing w:line="245" w:lineRule="auto"/>
              <w:rPr>
                <w:rFonts w:ascii="Arial"/>
                <w:sz w:val="21"/>
              </w:rPr>
            </w:pPr>
          </w:p>
          <w:p w14:paraId="24241541">
            <w:pPr>
              <w:pStyle w:val="7"/>
              <w:spacing w:before="78" w:line="218" w:lineRule="auto"/>
              <w:ind w:left="289"/>
            </w:pPr>
            <w:r>
              <w:rPr>
                <w:spacing w:val="-6"/>
              </w:rPr>
              <w:t>2022年6月</w:t>
            </w:r>
          </w:p>
        </w:tc>
      </w:tr>
      <w:tr w14:paraId="3FC4C6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86" w:hRule="atLeast"/>
        </w:trPr>
        <w:tc>
          <w:tcPr>
            <w:tcW w:w="870" w:type="dxa"/>
            <w:gridSpan w:val="2"/>
            <w:tcBorders>
              <w:left w:val="single" w:color="000000" w:sz="4" w:space="0"/>
            </w:tcBorders>
            <w:vAlign w:val="top"/>
          </w:tcPr>
          <w:p w14:paraId="0D29B318">
            <w:pPr>
              <w:spacing w:line="251" w:lineRule="auto"/>
              <w:rPr>
                <w:rFonts w:ascii="Arial"/>
                <w:sz w:val="21"/>
              </w:rPr>
            </w:pPr>
          </w:p>
          <w:p w14:paraId="071DB09E">
            <w:pPr>
              <w:spacing w:line="251" w:lineRule="auto"/>
              <w:rPr>
                <w:rFonts w:ascii="Arial"/>
                <w:sz w:val="21"/>
              </w:rPr>
            </w:pPr>
          </w:p>
          <w:p w14:paraId="1858BE91">
            <w:pPr>
              <w:spacing w:line="251" w:lineRule="auto"/>
              <w:rPr>
                <w:rFonts w:ascii="Arial"/>
                <w:sz w:val="21"/>
              </w:rPr>
            </w:pPr>
          </w:p>
          <w:p w14:paraId="7C9D5C54">
            <w:pPr>
              <w:spacing w:line="252" w:lineRule="auto"/>
              <w:rPr>
                <w:rFonts w:ascii="Arial"/>
                <w:sz w:val="21"/>
              </w:rPr>
            </w:pPr>
          </w:p>
          <w:p w14:paraId="18F3950D">
            <w:pPr>
              <w:spacing w:line="252" w:lineRule="auto"/>
              <w:rPr>
                <w:rFonts w:ascii="Arial"/>
                <w:sz w:val="21"/>
              </w:rPr>
            </w:pPr>
          </w:p>
          <w:p w14:paraId="5A9BA69A">
            <w:pPr>
              <w:spacing w:line="252" w:lineRule="auto"/>
              <w:rPr>
                <w:rFonts w:ascii="Arial"/>
                <w:sz w:val="21"/>
              </w:rPr>
            </w:pPr>
          </w:p>
          <w:p w14:paraId="70D8B64B">
            <w:pPr>
              <w:pStyle w:val="7"/>
              <w:spacing w:before="78" w:line="237" w:lineRule="auto"/>
              <w:ind w:left="394"/>
            </w:pPr>
            <w:r>
              <w:t>5</w:t>
            </w:r>
          </w:p>
        </w:tc>
        <w:tc>
          <w:tcPr>
            <w:tcW w:w="1700" w:type="dxa"/>
            <w:vAlign w:val="top"/>
          </w:tcPr>
          <w:p w14:paraId="2FBC7B72">
            <w:pPr>
              <w:spacing w:line="251" w:lineRule="auto"/>
              <w:rPr>
                <w:rFonts w:ascii="Arial"/>
                <w:sz w:val="21"/>
              </w:rPr>
            </w:pPr>
          </w:p>
          <w:p w14:paraId="08B87BB9">
            <w:pPr>
              <w:spacing w:line="251" w:lineRule="auto"/>
              <w:rPr>
                <w:rFonts w:ascii="Arial"/>
                <w:sz w:val="21"/>
              </w:rPr>
            </w:pPr>
          </w:p>
          <w:p w14:paraId="5EF081FF">
            <w:pPr>
              <w:spacing w:line="251" w:lineRule="auto"/>
              <w:rPr>
                <w:rFonts w:ascii="Arial"/>
                <w:sz w:val="21"/>
              </w:rPr>
            </w:pPr>
          </w:p>
          <w:p w14:paraId="6A91466A">
            <w:pPr>
              <w:spacing w:line="252" w:lineRule="auto"/>
              <w:rPr>
                <w:rFonts w:ascii="Arial"/>
                <w:sz w:val="21"/>
              </w:rPr>
            </w:pPr>
          </w:p>
          <w:p w14:paraId="2F82AA91">
            <w:pPr>
              <w:spacing w:line="252" w:lineRule="auto"/>
              <w:rPr>
                <w:rFonts w:ascii="Arial"/>
                <w:sz w:val="21"/>
              </w:rPr>
            </w:pPr>
          </w:p>
          <w:p w14:paraId="6A421293">
            <w:pPr>
              <w:spacing w:line="252" w:lineRule="auto"/>
              <w:rPr>
                <w:rFonts w:ascii="Arial"/>
                <w:sz w:val="21"/>
              </w:rPr>
            </w:pPr>
          </w:p>
          <w:p w14:paraId="75B255B0">
            <w:pPr>
              <w:pStyle w:val="7"/>
              <w:spacing w:before="78" w:line="218" w:lineRule="auto"/>
              <w:ind w:left="312"/>
            </w:pPr>
            <w:r>
              <w:rPr>
                <w:spacing w:val="-17"/>
              </w:rPr>
              <w:t>蛙式打夯机</w:t>
            </w:r>
          </w:p>
        </w:tc>
        <w:tc>
          <w:tcPr>
            <w:tcW w:w="4627" w:type="dxa"/>
            <w:vAlign w:val="top"/>
          </w:tcPr>
          <w:p w14:paraId="3115DB50">
            <w:pPr>
              <w:spacing w:before="59" w:line="3315" w:lineRule="exact"/>
              <w:ind w:firstLine="249"/>
            </w:pPr>
            <w:r>
              <w:rPr>
                <w:position w:val="-66"/>
              </w:rPr>
              <w:drawing>
                <wp:inline distT="0" distB="0" distL="0" distR="0">
                  <wp:extent cx="2613660" cy="2105025"/>
                  <wp:effectExtent l="0" t="0" r="0" b="0"/>
                  <wp:docPr id="1634" name="IM 1634"/>
                  <wp:cNvGraphicFramePr/>
                  <a:graphic xmlns:a="http://schemas.openxmlformats.org/drawingml/2006/main">
                    <a:graphicData uri="http://schemas.openxmlformats.org/drawingml/2006/picture">
                      <pic:pic xmlns:pic="http://schemas.openxmlformats.org/drawingml/2006/picture">
                        <pic:nvPicPr>
                          <pic:cNvPr id="1634" name="IM 1634"/>
                          <pic:cNvPicPr/>
                        </pic:nvPicPr>
                        <pic:blipFill>
                          <a:blip r:embed="rId732"/>
                          <a:stretch>
                            <a:fillRect/>
                          </a:stretch>
                        </pic:blipFill>
                        <pic:spPr>
                          <a:xfrm>
                            <a:off x="0" y="0"/>
                            <a:ext cx="2613660" cy="2105025"/>
                          </a:xfrm>
                          <a:prstGeom prst="rect">
                            <a:avLst/>
                          </a:prstGeom>
                        </pic:spPr>
                      </pic:pic>
                    </a:graphicData>
                  </a:graphic>
                </wp:inline>
              </w:drawing>
            </w:r>
          </w:p>
        </w:tc>
        <w:tc>
          <w:tcPr>
            <w:tcW w:w="1720" w:type="dxa"/>
            <w:tcBorders>
              <w:right w:val="single" w:color="000000" w:sz="4" w:space="0"/>
            </w:tcBorders>
            <w:vAlign w:val="top"/>
          </w:tcPr>
          <w:p w14:paraId="701C27A0">
            <w:pPr>
              <w:spacing w:line="251" w:lineRule="auto"/>
              <w:rPr>
                <w:rFonts w:ascii="Arial"/>
                <w:sz w:val="21"/>
              </w:rPr>
            </w:pPr>
          </w:p>
          <w:p w14:paraId="5EB94F40">
            <w:pPr>
              <w:spacing w:line="251" w:lineRule="auto"/>
              <w:rPr>
                <w:rFonts w:ascii="Arial"/>
                <w:sz w:val="21"/>
              </w:rPr>
            </w:pPr>
          </w:p>
          <w:p w14:paraId="33D36D3A">
            <w:pPr>
              <w:spacing w:line="251" w:lineRule="auto"/>
              <w:rPr>
                <w:rFonts w:ascii="Arial"/>
                <w:sz w:val="21"/>
              </w:rPr>
            </w:pPr>
          </w:p>
          <w:p w14:paraId="1ACF9B86">
            <w:pPr>
              <w:spacing w:line="252" w:lineRule="auto"/>
              <w:rPr>
                <w:rFonts w:ascii="Arial"/>
                <w:sz w:val="21"/>
              </w:rPr>
            </w:pPr>
          </w:p>
          <w:p w14:paraId="37056329">
            <w:pPr>
              <w:spacing w:line="252" w:lineRule="auto"/>
              <w:rPr>
                <w:rFonts w:ascii="Arial"/>
                <w:sz w:val="21"/>
              </w:rPr>
            </w:pPr>
          </w:p>
          <w:p w14:paraId="5F550373">
            <w:pPr>
              <w:spacing w:line="252" w:lineRule="auto"/>
              <w:rPr>
                <w:rFonts w:ascii="Arial"/>
                <w:sz w:val="21"/>
              </w:rPr>
            </w:pPr>
          </w:p>
          <w:p w14:paraId="0AC7EBAB">
            <w:pPr>
              <w:pStyle w:val="7"/>
              <w:spacing w:before="78" w:line="218" w:lineRule="auto"/>
              <w:ind w:left="289"/>
            </w:pPr>
            <w:r>
              <w:rPr>
                <w:spacing w:val="-6"/>
              </w:rPr>
              <w:t>2022年6月</w:t>
            </w:r>
          </w:p>
        </w:tc>
      </w:tr>
      <w:tr w14:paraId="33C98F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04" w:hRule="atLeast"/>
        </w:trPr>
        <w:tc>
          <w:tcPr>
            <w:tcW w:w="870" w:type="dxa"/>
            <w:gridSpan w:val="2"/>
            <w:tcBorders>
              <w:left w:val="single" w:color="000000" w:sz="4" w:space="0"/>
            </w:tcBorders>
            <w:vAlign w:val="top"/>
          </w:tcPr>
          <w:p w14:paraId="6EA252EE">
            <w:pPr>
              <w:spacing w:line="253" w:lineRule="auto"/>
              <w:rPr>
                <w:rFonts w:ascii="Arial"/>
                <w:sz w:val="21"/>
              </w:rPr>
            </w:pPr>
          </w:p>
          <w:p w14:paraId="1F8DAC47">
            <w:pPr>
              <w:spacing w:line="254" w:lineRule="auto"/>
              <w:rPr>
                <w:rFonts w:ascii="Arial"/>
                <w:sz w:val="21"/>
              </w:rPr>
            </w:pPr>
          </w:p>
          <w:p w14:paraId="793A2C8E">
            <w:pPr>
              <w:spacing w:line="254" w:lineRule="auto"/>
              <w:rPr>
                <w:rFonts w:ascii="Arial"/>
                <w:sz w:val="21"/>
              </w:rPr>
            </w:pPr>
          </w:p>
          <w:p w14:paraId="337381C3">
            <w:pPr>
              <w:spacing w:line="254" w:lineRule="auto"/>
              <w:rPr>
                <w:rFonts w:ascii="Arial"/>
                <w:sz w:val="21"/>
              </w:rPr>
            </w:pPr>
          </w:p>
          <w:p w14:paraId="7C89843E">
            <w:pPr>
              <w:spacing w:line="254" w:lineRule="auto"/>
              <w:rPr>
                <w:rFonts w:ascii="Arial"/>
                <w:sz w:val="21"/>
              </w:rPr>
            </w:pPr>
          </w:p>
          <w:p w14:paraId="09373FEE">
            <w:pPr>
              <w:spacing w:line="254" w:lineRule="auto"/>
              <w:rPr>
                <w:rFonts w:ascii="Arial"/>
                <w:sz w:val="21"/>
              </w:rPr>
            </w:pPr>
          </w:p>
          <w:p w14:paraId="6F4E60DE">
            <w:pPr>
              <w:pStyle w:val="7"/>
              <w:spacing w:before="78" w:line="237" w:lineRule="auto"/>
              <w:ind w:left="391"/>
            </w:pPr>
            <w:r>
              <w:t>6</w:t>
            </w:r>
          </w:p>
        </w:tc>
        <w:tc>
          <w:tcPr>
            <w:tcW w:w="1700" w:type="dxa"/>
            <w:vAlign w:val="top"/>
          </w:tcPr>
          <w:p w14:paraId="4CE1D56B">
            <w:pPr>
              <w:spacing w:line="253" w:lineRule="auto"/>
              <w:rPr>
                <w:rFonts w:ascii="Arial"/>
                <w:sz w:val="21"/>
              </w:rPr>
            </w:pPr>
          </w:p>
          <w:p w14:paraId="5DA872FC">
            <w:pPr>
              <w:spacing w:line="254" w:lineRule="auto"/>
              <w:rPr>
                <w:rFonts w:ascii="Arial"/>
                <w:sz w:val="21"/>
              </w:rPr>
            </w:pPr>
          </w:p>
          <w:p w14:paraId="698AACED">
            <w:pPr>
              <w:spacing w:line="254" w:lineRule="auto"/>
              <w:rPr>
                <w:rFonts w:ascii="Arial"/>
                <w:sz w:val="21"/>
              </w:rPr>
            </w:pPr>
          </w:p>
          <w:p w14:paraId="03F71A5D">
            <w:pPr>
              <w:spacing w:line="254" w:lineRule="auto"/>
              <w:rPr>
                <w:rFonts w:ascii="Arial"/>
                <w:sz w:val="21"/>
              </w:rPr>
            </w:pPr>
          </w:p>
          <w:p w14:paraId="04200523">
            <w:pPr>
              <w:spacing w:line="254" w:lineRule="auto"/>
              <w:rPr>
                <w:rFonts w:ascii="Arial"/>
                <w:sz w:val="21"/>
              </w:rPr>
            </w:pPr>
          </w:p>
          <w:p w14:paraId="2AF5345E">
            <w:pPr>
              <w:spacing w:line="254" w:lineRule="auto"/>
              <w:rPr>
                <w:rFonts w:ascii="Arial"/>
                <w:sz w:val="21"/>
              </w:rPr>
            </w:pPr>
          </w:p>
          <w:p w14:paraId="6B3939B3">
            <w:pPr>
              <w:pStyle w:val="7"/>
              <w:spacing w:before="78" w:line="218" w:lineRule="auto"/>
              <w:ind w:left="532"/>
            </w:pPr>
            <w:r>
              <w:rPr>
                <w:spacing w:val="-14"/>
              </w:rPr>
              <w:t>压路机</w:t>
            </w:r>
          </w:p>
        </w:tc>
        <w:tc>
          <w:tcPr>
            <w:tcW w:w="4627" w:type="dxa"/>
            <w:vAlign w:val="top"/>
          </w:tcPr>
          <w:p w14:paraId="42507550">
            <w:pPr>
              <w:spacing w:before="61" w:line="3331" w:lineRule="exact"/>
              <w:ind w:firstLine="155"/>
            </w:pPr>
            <w:r>
              <w:rPr>
                <w:position w:val="-66"/>
              </w:rPr>
              <w:drawing>
                <wp:inline distT="0" distB="0" distL="0" distR="0">
                  <wp:extent cx="2732405" cy="2115185"/>
                  <wp:effectExtent l="0" t="0" r="0" b="0"/>
                  <wp:docPr id="1636" name="IM 1636"/>
                  <wp:cNvGraphicFramePr/>
                  <a:graphic xmlns:a="http://schemas.openxmlformats.org/drawingml/2006/main">
                    <a:graphicData uri="http://schemas.openxmlformats.org/drawingml/2006/picture">
                      <pic:pic xmlns:pic="http://schemas.openxmlformats.org/drawingml/2006/picture">
                        <pic:nvPicPr>
                          <pic:cNvPr id="1636" name="IM 1636"/>
                          <pic:cNvPicPr/>
                        </pic:nvPicPr>
                        <pic:blipFill>
                          <a:blip r:embed="rId733"/>
                          <a:stretch>
                            <a:fillRect/>
                          </a:stretch>
                        </pic:blipFill>
                        <pic:spPr>
                          <a:xfrm>
                            <a:off x="0" y="0"/>
                            <a:ext cx="2732405" cy="2115185"/>
                          </a:xfrm>
                          <a:prstGeom prst="rect">
                            <a:avLst/>
                          </a:prstGeom>
                        </pic:spPr>
                      </pic:pic>
                    </a:graphicData>
                  </a:graphic>
                </wp:inline>
              </w:drawing>
            </w:r>
          </w:p>
        </w:tc>
        <w:tc>
          <w:tcPr>
            <w:tcW w:w="1720" w:type="dxa"/>
            <w:tcBorders>
              <w:right w:val="single" w:color="000000" w:sz="4" w:space="0"/>
            </w:tcBorders>
            <w:vAlign w:val="top"/>
          </w:tcPr>
          <w:p w14:paraId="0311BC0E">
            <w:pPr>
              <w:spacing w:line="253" w:lineRule="auto"/>
              <w:rPr>
                <w:rFonts w:ascii="Arial"/>
                <w:sz w:val="21"/>
              </w:rPr>
            </w:pPr>
          </w:p>
          <w:p w14:paraId="68D181BA">
            <w:pPr>
              <w:spacing w:line="254" w:lineRule="auto"/>
              <w:rPr>
                <w:rFonts w:ascii="Arial"/>
                <w:sz w:val="21"/>
              </w:rPr>
            </w:pPr>
          </w:p>
          <w:p w14:paraId="45946E26">
            <w:pPr>
              <w:spacing w:line="254" w:lineRule="auto"/>
              <w:rPr>
                <w:rFonts w:ascii="Arial"/>
                <w:sz w:val="21"/>
              </w:rPr>
            </w:pPr>
          </w:p>
          <w:p w14:paraId="57FDE1FC">
            <w:pPr>
              <w:spacing w:line="254" w:lineRule="auto"/>
              <w:rPr>
                <w:rFonts w:ascii="Arial"/>
                <w:sz w:val="21"/>
              </w:rPr>
            </w:pPr>
          </w:p>
          <w:p w14:paraId="11B004FE">
            <w:pPr>
              <w:spacing w:line="254" w:lineRule="auto"/>
              <w:rPr>
                <w:rFonts w:ascii="Arial"/>
                <w:sz w:val="21"/>
              </w:rPr>
            </w:pPr>
          </w:p>
          <w:p w14:paraId="6DEBB83F">
            <w:pPr>
              <w:spacing w:line="254" w:lineRule="auto"/>
              <w:rPr>
                <w:rFonts w:ascii="Arial"/>
                <w:sz w:val="21"/>
              </w:rPr>
            </w:pPr>
          </w:p>
          <w:p w14:paraId="1BCC2DEE">
            <w:pPr>
              <w:pStyle w:val="7"/>
              <w:spacing w:before="78" w:line="218" w:lineRule="auto"/>
              <w:ind w:left="289"/>
            </w:pPr>
            <w:r>
              <w:rPr>
                <w:spacing w:val="-6"/>
              </w:rPr>
              <w:t>2022年6月</w:t>
            </w:r>
          </w:p>
        </w:tc>
      </w:tr>
      <w:tr w14:paraId="3806A8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44" w:hRule="atLeast"/>
        </w:trPr>
        <w:tc>
          <w:tcPr>
            <w:tcW w:w="224" w:type="dxa"/>
            <w:tcBorders>
              <w:left w:val="single" w:color="1C456A" w:sz="4" w:space="0"/>
              <w:bottom w:val="single" w:color="1C456A" w:sz="4" w:space="0"/>
              <w:right w:val="nil"/>
            </w:tcBorders>
            <w:vAlign w:val="top"/>
          </w:tcPr>
          <w:p w14:paraId="301B041A">
            <w:pPr>
              <w:rPr>
                <w:rFonts w:ascii="Arial"/>
                <w:sz w:val="21"/>
              </w:rPr>
            </w:pPr>
            <w:r>
              <w:pict>
                <v:shape id="_x0000_s4053" o:spid="_x0000_s4053" style="position:absolute;left:0pt;margin-left:-0.25pt;margin-top:157.25pt;height:0.75pt;width:2.2pt;mso-position-horizontal-relative:page;mso-position-vertical-relative:page;z-index:252364800;mso-width-relative:page;mso-height-relative:page;" fillcolor="#5B9BD5" filled="t" stroked="f" coordsize="44,15" path="m0,14l43,14,43,0,0,0,0,14xe">
                  <v:path/>
                  <v:fill on="t" focussize="0,0"/>
                  <v:stroke on="f"/>
                  <v:imagedata o:title=""/>
                  <o:lock v:ext="edit"/>
                </v:shape>
              </w:pict>
            </w:r>
          </w:p>
        </w:tc>
        <w:tc>
          <w:tcPr>
            <w:tcW w:w="646" w:type="dxa"/>
            <w:tcBorders>
              <w:left w:val="nil"/>
              <w:bottom w:val="single" w:color="1C456A" w:sz="4" w:space="0"/>
            </w:tcBorders>
            <w:vAlign w:val="top"/>
          </w:tcPr>
          <w:p w14:paraId="10DC47D6">
            <w:pPr>
              <w:spacing w:line="255" w:lineRule="auto"/>
              <w:rPr>
                <w:rFonts w:ascii="Arial"/>
                <w:sz w:val="21"/>
              </w:rPr>
            </w:pPr>
          </w:p>
          <w:p w14:paraId="28176EDD">
            <w:pPr>
              <w:spacing w:line="255" w:lineRule="auto"/>
              <w:rPr>
                <w:rFonts w:ascii="Arial"/>
                <w:sz w:val="21"/>
              </w:rPr>
            </w:pPr>
          </w:p>
          <w:p w14:paraId="0016A98B">
            <w:pPr>
              <w:spacing w:line="255" w:lineRule="auto"/>
              <w:rPr>
                <w:rFonts w:ascii="Arial"/>
                <w:sz w:val="21"/>
              </w:rPr>
            </w:pPr>
          </w:p>
          <w:p w14:paraId="4E34845D">
            <w:pPr>
              <w:spacing w:line="255" w:lineRule="auto"/>
              <w:rPr>
                <w:rFonts w:ascii="Arial"/>
                <w:sz w:val="21"/>
              </w:rPr>
            </w:pPr>
          </w:p>
          <w:p w14:paraId="5D584224">
            <w:pPr>
              <w:spacing w:line="256" w:lineRule="auto"/>
              <w:rPr>
                <w:rFonts w:ascii="Arial"/>
                <w:sz w:val="21"/>
              </w:rPr>
            </w:pPr>
          </w:p>
          <w:p w14:paraId="32C4AC6C">
            <w:pPr>
              <w:pStyle w:val="7"/>
              <w:spacing w:before="78" w:line="237" w:lineRule="auto"/>
              <w:ind w:left="176"/>
            </w:pPr>
            <w:r>
              <w:t>7</w:t>
            </w:r>
          </w:p>
        </w:tc>
        <w:tc>
          <w:tcPr>
            <w:tcW w:w="1700" w:type="dxa"/>
            <w:tcBorders>
              <w:bottom w:val="single" w:color="000000" w:sz="4" w:space="0"/>
            </w:tcBorders>
            <w:vAlign w:val="top"/>
          </w:tcPr>
          <w:p w14:paraId="0DCB3557">
            <w:pPr>
              <w:spacing w:line="255" w:lineRule="auto"/>
              <w:rPr>
                <w:rFonts w:ascii="Arial"/>
                <w:sz w:val="21"/>
              </w:rPr>
            </w:pPr>
          </w:p>
          <w:p w14:paraId="207399E1">
            <w:pPr>
              <w:spacing w:line="255" w:lineRule="auto"/>
              <w:rPr>
                <w:rFonts w:ascii="Arial"/>
                <w:sz w:val="21"/>
              </w:rPr>
            </w:pPr>
          </w:p>
          <w:p w14:paraId="042EEDED">
            <w:pPr>
              <w:spacing w:line="255" w:lineRule="auto"/>
              <w:rPr>
                <w:rFonts w:ascii="Arial"/>
                <w:sz w:val="21"/>
              </w:rPr>
            </w:pPr>
          </w:p>
          <w:p w14:paraId="48343434">
            <w:pPr>
              <w:spacing w:line="255" w:lineRule="auto"/>
              <w:rPr>
                <w:rFonts w:ascii="Arial"/>
                <w:sz w:val="21"/>
              </w:rPr>
            </w:pPr>
          </w:p>
          <w:p w14:paraId="74492006">
            <w:pPr>
              <w:spacing w:line="256" w:lineRule="auto"/>
              <w:rPr>
                <w:rFonts w:ascii="Arial"/>
                <w:sz w:val="21"/>
              </w:rPr>
            </w:pPr>
          </w:p>
          <w:p w14:paraId="5A3FF650">
            <w:pPr>
              <w:pStyle w:val="7"/>
              <w:spacing w:before="78" w:line="218" w:lineRule="auto"/>
              <w:ind w:left="318"/>
            </w:pPr>
            <w:r>
              <w:rPr>
                <w:spacing w:val="-18"/>
              </w:rPr>
              <w:t>沥青摊铺机</w:t>
            </w:r>
          </w:p>
        </w:tc>
        <w:tc>
          <w:tcPr>
            <w:tcW w:w="4627" w:type="dxa"/>
            <w:tcBorders>
              <w:bottom w:val="single" w:color="000000" w:sz="4" w:space="0"/>
            </w:tcBorders>
            <w:vAlign w:val="top"/>
          </w:tcPr>
          <w:p w14:paraId="249BB235">
            <w:pPr>
              <w:spacing w:before="64" w:line="2832" w:lineRule="exact"/>
              <w:ind w:firstLine="395"/>
            </w:pPr>
            <w:r>
              <w:rPr>
                <w:position w:val="-56"/>
              </w:rPr>
              <w:drawing>
                <wp:inline distT="0" distB="0" distL="0" distR="0">
                  <wp:extent cx="2429510" cy="1798320"/>
                  <wp:effectExtent l="0" t="0" r="0" b="0"/>
                  <wp:docPr id="1638" name="IM 1638"/>
                  <wp:cNvGraphicFramePr/>
                  <a:graphic xmlns:a="http://schemas.openxmlformats.org/drawingml/2006/main">
                    <a:graphicData uri="http://schemas.openxmlformats.org/drawingml/2006/picture">
                      <pic:pic xmlns:pic="http://schemas.openxmlformats.org/drawingml/2006/picture">
                        <pic:nvPicPr>
                          <pic:cNvPr id="1638" name="IM 1638"/>
                          <pic:cNvPicPr/>
                        </pic:nvPicPr>
                        <pic:blipFill>
                          <a:blip r:embed="rId734"/>
                          <a:stretch>
                            <a:fillRect/>
                          </a:stretch>
                        </pic:blipFill>
                        <pic:spPr>
                          <a:xfrm>
                            <a:off x="0" y="0"/>
                            <a:ext cx="2429510" cy="1798320"/>
                          </a:xfrm>
                          <a:prstGeom prst="rect">
                            <a:avLst/>
                          </a:prstGeom>
                        </pic:spPr>
                      </pic:pic>
                    </a:graphicData>
                  </a:graphic>
                </wp:inline>
              </w:drawing>
            </w:r>
          </w:p>
        </w:tc>
        <w:tc>
          <w:tcPr>
            <w:tcW w:w="1720" w:type="dxa"/>
            <w:tcBorders>
              <w:bottom w:val="single" w:color="5B9BD5" w:sz="4" w:space="0"/>
              <w:right w:val="single" w:color="5B9BD5" w:sz="4" w:space="0"/>
            </w:tcBorders>
            <w:vAlign w:val="top"/>
          </w:tcPr>
          <w:p w14:paraId="210A1730">
            <w:pPr>
              <w:spacing w:line="255" w:lineRule="auto"/>
              <w:rPr>
                <w:rFonts w:ascii="Arial"/>
                <w:sz w:val="21"/>
              </w:rPr>
            </w:pPr>
            <w:r>
              <w:pict>
                <v:shape id="_x0000_s4054" o:spid="_x0000_s4054" style="position:absolute;left:0pt;margin-left:84.1pt;margin-top:157.25pt;height:0.75pt;width:2.2pt;mso-position-horizontal-relative:page;mso-position-vertical-relative:page;z-index:252363776;mso-width-relative:page;mso-height-relative:page;" fillcolor="#5B9BD5" filled="t" stroked="f" coordsize="44,15" path="m0,14l43,14,43,0,0,0,0,14xe">
                  <v:path/>
                  <v:fill on="t" focussize="0,0"/>
                  <v:stroke on="f"/>
                  <v:imagedata o:title=""/>
                  <o:lock v:ext="edit"/>
                </v:shape>
              </w:pict>
            </w:r>
          </w:p>
          <w:p w14:paraId="34CEB2A8">
            <w:pPr>
              <w:spacing w:line="255" w:lineRule="auto"/>
              <w:rPr>
                <w:rFonts w:ascii="Arial"/>
                <w:sz w:val="21"/>
              </w:rPr>
            </w:pPr>
          </w:p>
          <w:p w14:paraId="320BAA4D">
            <w:pPr>
              <w:spacing w:line="255" w:lineRule="auto"/>
              <w:rPr>
                <w:rFonts w:ascii="Arial"/>
                <w:sz w:val="21"/>
              </w:rPr>
            </w:pPr>
          </w:p>
          <w:p w14:paraId="1C4695A7">
            <w:pPr>
              <w:spacing w:line="255" w:lineRule="auto"/>
              <w:rPr>
                <w:rFonts w:ascii="Arial"/>
                <w:sz w:val="21"/>
              </w:rPr>
            </w:pPr>
          </w:p>
          <w:p w14:paraId="0C4E9B83">
            <w:pPr>
              <w:spacing w:line="256" w:lineRule="auto"/>
              <w:rPr>
                <w:rFonts w:ascii="Arial"/>
                <w:sz w:val="21"/>
              </w:rPr>
            </w:pPr>
          </w:p>
          <w:p w14:paraId="4D5F7D8F">
            <w:pPr>
              <w:pStyle w:val="7"/>
              <w:spacing w:before="78" w:line="218" w:lineRule="auto"/>
              <w:ind w:left="289"/>
            </w:pPr>
            <w:r>
              <w:rPr>
                <w:spacing w:val="-6"/>
              </w:rPr>
              <w:t>2022年6月</w:t>
            </w:r>
          </w:p>
        </w:tc>
      </w:tr>
    </w:tbl>
    <w:p w14:paraId="1F7A67E7">
      <w:pPr>
        <w:rPr>
          <w:rFonts w:ascii="Arial"/>
          <w:sz w:val="21"/>
        </w:rPr>
      </w:pPr>
    </w:p>
    <w:p w14:paraId="46AFB915">
      <w:pPr>
        <w:rPr>
          <w:rFonts w:ascii="Arial" w:hAnsi="Arial" w:eastAsia="Arial" w:cs="Arial"/>
          <w:sz w:val="21"/>
          <w:szCs w:val="21"/>
        </w:rPr>
        <w:sectPr>
          <w:footerReference r:id="rId392" w:type="default"/>
          <w:pgSz w:w="11907" w:h="16839"/>
          <w:pgMar w:top="933" w:right="4" w:bottom="1038" w:left="0" w:header="478" w:footer="357" w:gutter="0"/>
          <w:pgBorders>
            <w:top w:val="none" w:sz="0" w:space="0"/>
            <w:left w:val="none" w:sz="0" w:space="0"/>
            <w:bottom w:val="none" w:sz="0" w:space="0"/>
            <w:right w:val="none" w:sz="0" w:space="0"/>
          </w:pgBorders>
          <w:cols w:space="720" w:num="1"/>
        </w:sectPr>
      </w:pPr>
    </w:p>
    <w:p w14:paraId="0DCB964B">
      <w:pPr>
        <w:spacing w:line="235" w:lineRule="exact"/>
      </w:pPr>
    </w:p>
    <w:tbl>
      <w:tblPr>
        <w:tblStyle w:val="6"/>
        <w:tblW w:w="8917" w:type="dxa"/>
        <w:tblInd w:w="1495" w:type="dxa"/>
        <w:tblBorders>
          <w:top w:val="single" w:color="5B9BD5" w:sz="4" w:space="0"/>
          <w:left w:val="single" w:color="5B9BD5" w:sz="4" w:space="0"/>
          <w:bottom w:val="single" w:color="5B9BD5" w:sz="4" w:space="0"/>
          <w:right w:val="single" w:color="5B9BD5" w:sz="4" w:space="0"/>
          <w:insideH w:val="single" w:color="5B9BD5" w:sz="4" w:space="0"/>
          <w:insideV w:val="single" w:color="5B9BD5" w:sz="4" w:space="0"/>
        </w:tblBorders>
        <w:tblLayout w:type="fixed"/>
        <w:tblCellMar>
          <w:top w:w="0" w:type="dxa"/>
          <w:left w:w="0" w:type="dxa"/>
          <w:bottom w:w="0" w:type="dxa"/>
          <w:right w:w="0" w:type="dxa"/>
        </w:tblCellMar>
      </w:tblPr>
      <w:tblGrid>
        <w:gridCol w:w="870"/>
        <w:gridCol w:w="1700"/>
        <w:gridCol w:w="4627"/>
        <w:gridCol w:w="1720"/>
      </w:tblGrid>
      <w:tr w14:paraId="3C201CFF">
        <w:tblPrEx>
          <w:tblBorders>
            <w:top w:val="single" w:color="5B9BD5" w:sz="4" w:space="0"/>
            <w:left w:val="single" w:color="5B9BD5" w:sz="4" w:space="0"/>
            <w:bottom w:val="single" w:color="5B9BD5" w:sz="4" w:space="0"/>
            <w:right w:val="single" w:color="5B9BD5" w:sz="4" w:space="0"/>
            <w:insideH w:val="single" w:color="5B9BD5" w:sz="4" w:space="0"/>
            <w:insideV w:val="single" w:color="5B9BD5" w:sz="4" w:space="0"/>
          </w:tblBorders>
          <w:tblCellMar>
            <w:top w:w="0" w:type="dxa"/>
            <w:left w:w="0" w:type="dxa"/>
            <w:bottom w:w="0" w:type="dxa"/>
            <w:right w:w="0" w:type="dxa"/>
          </w:tblCellMar>
        </w:tblPrEx>
        <w:trPr>
          <w:trHeight w:val="4065" w:hRule="atLeast"/>
        </w:trPr>
        <w:tc>
          <w:tcPr>
            <w:tcW w:w="870" w:type="dxa"/>
            <w:tcBorders>
              <w:top w:val="single" w:color="1C456A" w:sz="4" w:space="0"/>
              <w:left w:val="single" w:color="1C456A" w:sz="4" w:space="0"/>
              <w:bottom w:val="single" w:color="1C456A" w:sz="4" w:space="0"/>
              <w:right w:val="single" w:color="000000" w:sz="2" w:space="0"/>
            </w:tcBorders>
            <w:vAlign w:val="top"/>
          </w:tcPr>
          <w:p w14:paraId="5DD439A7">
            <w:pPr>
              <w:spacing w:line="249" w:lineRule="auto"/>
              <w:rPr>
                <w:rFonts w:ascii="Arial"/>
                <w:sz w:val="21"/>
              </w:rPr>
            </w:pPr>
          </w:p>
          <w:p w14:paraId="7E744C5F">
            <w:pPr>
              <w:spacing w:line="249" w:lineRule="auto"/>
              <w:rPr>
                <w:rFonts w:ascii="Arial"/>
                <w:sz w:val="21"/>
              </w:rPr>
            </w:pPr>
          </w:p>
          <w:p w14:paraId="6B2AC7B0">
            <w:pPr>
              <w:spacing w:line="249" w:lineRule="auto"/>
              <w:rPr>
                <w:rFonts w:ascii="Arial"/>
                <w:sz w:val="21"/>
              </w:rPr>
            </w:pPr>
          </w:p>
          <w:p w14:paraId="7C64EA4E">
            <w:pPr>
              <w:spacing w:line="250" w:lineRule="auto"/>
              <w:rPr>
                <w:rFonts w:ascii="Arial"/>
                <w:sz w:val="21"/>
              </w:rPr>
            </w:pPr>
          </w:p>
          <w:p w14:paraId="0690CE10">
            <w:pPr>
              <w:spacing w:line="250" w:lineRule="auto"/>
              <w:rPr>
                <w:rFonts w:ascii="Arial"/>
                <w:sz w:val="21"/>
              </w:rPr>
            </w:pPr>
          </w:p>
          <w:p w14:paraId="44B675F7">
            <w:pPr>
              <w:spacing w:line="250" w:lineRule="auto"/>
              <w:rPr>
                <w:rFonts w:ascii="Arial"/>
                <w:sz w:val="21"/>
              </w:rPr>
            </w:pPr>
          </w:p>
          <w:p w14:paraId="43B374F4">
            <w:pPr>
              <w:spacing w:line="250" w:lineRule="auto"/>
              <w:rPr>
                <w:rFonts w:ascii="Arial"/>
                <w:sz w:val="21"/>
              </w:rPr>
            </w:pPr>
          </w:p>
          <w:p w14:paraId="7EE04D79">
            <w:pPr>
              <w:pStyle w:val="7"/>
              <w:spacing w:before="78" w:line="237" w:lineRule="auto"/>
              <w:ind w:left="390"/>
            </w:pPr>
            <w:r>
              <w:t>8</w:t>
            </w:r>
          </w:p>
        </w:tc>
        <w:tc>
          <w:tcPr>
            <w:tcW w:w="1700" w:type="dxa"/>
            <w:tcBorders>
              <w:left w:val="single" w:color="000000" w:sz="2" w:space="0"/>
              <w:right w:val="single" w:color="000000" w:sz="2" w:space="0"/>
            </w:tcBorders>
            <w:vAlign w:val="top"/>
          </w:tcPr>
          <w:p w14:paraId="510E7C60">
            <w:pPr>
              <w:spacing w:line="249" w:lineRule="auto"/>
              <w:rPr>
                <w:rFonts w:ascii="Arial"/>
                <w:sz w:val="21"/>
              </w:rPr>
            </w:pPr>
          </w:p>
          <w:p w14:paraId="2A53E714">
            <w:pPr>
              <w:spacing w:line="249" w:lineRule="auto"/>
              <w:rPr>
                <w:rFonts w:ascii="Arial"/>
                <w:sz w:val="21"/>
              </w:rPr>
            </w:pPr>
          </w:p>
          <w:p w14:paraId="5AB4964F">
            <w:pPr>
              <w:spacing w:line="249" w:lineRule="auto"/>
              <w:rPr>
                <w:rFonts w:ascii="Arial"/>
                <w:sz w:val="21"/>
              </w:rPr>
            </w:pPr>
          </w:p>
          <w:p w14:paraId="19228BD5">
            <w:pPr>
              <w:spacing w:line="250" w:lineRule="auto"/>
              <w:rPr>
                <w:rFonts w:ascii="Arial"/>
                <w:sz w:val="21"/>
              </w:rPr>
            </w:pPr>
          </w:p>
          <w:p w14:paraId="69F35DA3">
            <w:pPr>
              <w:spacing w:line="250" w:lineRule="auto"/>
              <w:rPr>
                <w:rFonts w:ascii="Arial"/>
                <w:sz w:val="21"/>
              </w:rPr>
            </w:pPr>
          </w:p>
          <w:p w14:paraId="41555079">
            <w:pPr>
              <w:spacing w:line="250" w:lineRule="auto"/>
              <w:rPr>
                <w:rFonts w:ascii="Arial"/>
                <w:sz w:val="21"/>
              </w:rPr>
            </w:pPr>
          </w:p>
          <w:p w14:paraId="11DD36D4">
            <w:pPr>
              <w:spacing w:line="250" w:lineRule="auto"/>
              <w:rPr>
                <w:rFonts w:ascii="Arial"/>
                <w:sz w:val="21"/>
              </w:rPr>
            </w:pPr>
          </w:p>
          <w:p w14:paraId="65FEFD2B">
            <w:pPr>
              <w:pStyle w:val="7"/>
              <w:spacing w:before="78" w:line="218" w:lineRule="auto"/>
              <w:ind w:left="424"/>
            </w:pPr>
            <w:r>
              <w:rPr>
                <w:spacing w:val="-15"/>
              </w:rPr>
              <w:t>焊接设备</w:t>
            </w:r>
          </w:p>
        </w:tc>
        <w:tc>
          <w:tcPr>
            <w:tcW w:w="4627" w:type="dxa"/>
            <w:tcBorders>
              <w:left w:val="single" w:color="000000" w:sz="2" w:space="0"/>
              <w:right w:val="single" w:color="000000" w:sz="2" w:space="0"/>
            </w:tcBorders>
            <w:vAlign w:val="top"/>
          </w:tcPr>
          <w:p w14:paraId="717E82A0">
            <w:pPr>
              <w:spacing w:before="93" w:line="3725" w:lineRule="exact"/>
              <w:ind w:firstLine="102"/>
            </w:pPr>
            <w:r>
              <w:rPr>
                <w:position w:val="-74"/>
              </w:rPr>
              <w:drawing>
                <wp:inline distT="0" distB="0" distL="0" distR="0">
                  <wp:extent cx="2799080" cy="2365375"/>
                  <wp:effectExtent l="0" t="0" r="0" b="0"/>
                  <wp:docPr id="1642" name="IM 1642"/>
                  <wp:cNvGraphicFramePr/>
                  <a:graphic xmlns:a="http://schemas.openxmlformats.org/drawingml/2006/main">
                    <a:graphicData uri="http://schemas.openxmlformats.org/drawingml/2006/picture">
                      <pic:pic xmlns:pic="http://schemas.openxmlformats.org/drawingml/2006/picture">
                        <pic:nvPicPr>
                          <pic:cNvPr id="1642" name="IM 1642"/>
                          <pic:cNvPicPr/>
                        </pic:nvPicPr>
                        <pic:blipFill>
                          <a:blip r:embed="rId735"/>
                          <a:stretch>
                            <a:fillRect/>
                          </a:stretch>
                        </pic:blipFill>
                        <pic:spPr>
                          <a:xfrm>
                            <a:off x="0" y="0"/>
                            <a:ext cx="2799714" cy="2365375"/>
                          </a:xfrm>
                          <a:prstGeom prst="rect">
                            <a:avLst/>
                          </a:prstGeom>
                        </pic:spPr>
                      </pic:pic>
                    </a:graphicData>
                  </a:graphic>
                </wp:inline>
              </w:drawing>
            </w:r>
          </w:p>
        </w:tc>
        <w:tc>
          <w:tcPr>
            <w:tcW w:w="1720" w:type="dxa"/>
            <w:tcBorders>
              <w:left w:val="single" w:color="000000" w:sz="2" w:space="0"/>
            </w:tcBorders>
            <w:vAlign w:val="top"/>
          </w:tcPr>
          <w:p w14:paraId="73AC9647">
            <w:pPr>
              <w:spacing w:line="249" w:lineRule="auto"/>
              <w:rPr>
                <w:rFonts w:ascii="Arial"/>
                <w:sz w:val="21"/>
              </w:rPr>
            </w:pPr>
          </w:p>
          <w:p w14:paraId="4D626697">
            <w:pPr>
              <w:spacing w:line="249" w:lineRule="auto"/>
              <w:rPr>
                <w:rFonts w:ascii="Arial"/>
                <w:sz w:val="21"/>
              </w:rPr>
            </w:pPr>
          </w:p>
          <w:p w14:paraId="1CABF4ED">
            <w:pPr>
              <w:spacing w:line="249" w:lineRule="auto"/>
              <w:rPr>
                <w:rFonts w:ascii="Arial"/>
                <w:sz w:val="21"/>
              </w:rPr>
            </w:pPr>
          </w:p>
          <w:p w14:paraId="7A5479F9">
            <w:pPr>
              <w:spacing w:line="250" w:lineRule="auto"/>
              <w:rPr>
                <w:rFonts w:ascii="Arial"/>
                <w:sz w:val="21"/>
              </w:rPr>
            </w:pPr>
          </w:p>
          <w:p w14:paraId="18D8FCFA">
            <w:pPr>
              <w:spacing w:line="250" w:lineRule="auto"/>
              <w:rPr>
                <w:rFonts w:ascii="Arial"/>
                <w:sz w:val="21"/>
              </w:rPr>
            </w:pPr>
          </w:p>
          <w:p w14:paraId="15D80CF1">
            <w:pPr>
              <w:spacing w:line="250" w:lineRule="auto"/>
              <w:rPr>
                <w:rFonts w:ascii="Arial"/>
                <w:sz w:val="21"/>
              </w:rPr>
            </w:pPr>
          </w:p>
          <w:p w14:paraId="31623D45">
            <w:pPr>
              <w:spacing w:line="250" w:lineRule="auto"/>
              <w:rPr>
                <w:rFonts w:ascii="Arial"/>
                <w:sz w:val="21"/>
              </w:rPr>
            </w:pPr>
          </w:p>
          <w:p w14:paraId="4034B49F">
            <w:pPr>
              <w:pStyle w:val="7"/>
              <w:spacing w:before="78" w:line="218" w:lineRule="auto"/>
              <w:ind w:left="289"/>
            </w:pPr>
            <w:r>
              <w:rPr>
                <w:spacing w:val="-6"/>
              </w:rPr>
              <w:t>2022年6月</w:t>
            </w:r>
          </w:p>
        </w:tc>
      </w:tr>
    </w:tbl>
    <w:p w14:paraId="74565557">
      <w:pPr>
        <w:pStyle w:val="2"/>
        <w:spacing w:before="113" w:line="215" w:lineRule="auto"/>
        <w:ind w:left="1895"/>
        <w:rPr>
          <w:sz w:val="24"/>
          <w:szCs w:val="24"/>
        </w:rPr>
      </w:pPr>
      <w:r>
        <w:rPr>
          <w:spacing w:val="-21"/>
          <w:sz w:val="24"/>
          <w:szCs w:val="24"/>
        </w:rPr>
        <w:t>土方施工机械：挖土采用反铲挖掘机，运土采用土方</w:t>
      </w:r>
      <w:r>
        <w:rPr>
          <w:spacing w:val="-22"/>
          <w:sz w:val="24"/>
          <w:szCs w:val="24"/>
        </w:rPr>
        <w:t>运输车。</w:t>
      </w:r>
    </w:p>
    <w:p w14:paraId="1B32C8C2">
      <w:pPr>
        <w:pStyle w:val="2"/>
        <w:spacing w:before="121" w:line="218" w:lineRule="auto"/>
        <w:ind w:left="1896"/>
        <w:rPr>
          <w:sz w:val="24"/>
          <w:szCs w:val="24"/>
        </w:rPr>
      </w:pPr>
      <w:r>
        <w:rPr>
          <w:spacing w:val="-21"/>
          <w:sz w:val="24"/>
          <w:szCs w:val="24"/>
        </w:rPr>
        <w:t>混凝土、砂浆搅采用预拌砂浆：本工程用商品混凝</w:t>
      </w:r>
      <w:r>
        <w:rPr>
          <w:spacing w:val="-22"/>
          <w:sz w:val="24"/>
          <w:szCs w:val="24"/>
        </w:rPr>
        <w:t>土。</w:t>
      </w:r>
    </w:p>
    <w:p w14:paraId="10596972">
      <w:pPr>
        <w:pStyle w:val="2"/>
        <w:spacing w:before="117" w:line="307" w:lineRule="auto"/>
        <w:ind w:left="1893" w:right="3494" w:hanging="1"/>
        <w:rPr>
          <w:sz w:val="24"/>
          <w:szCs w:val="24"/>
        </w:rPr>
      </w:pPr>
      <w:r>
        <w:rPr>
          <w:spacing w:val="-23"/>
          <w:sz w:val="24"/>
          <w:szCs w:val="24"/>
        </w:rPr>
        <w:t>钢筋加工机械主要为电焊机、切割机、钢筋调直机、钢筋弯曲机等。</w:t>
      </w:r>
      <w:r>
        <w:rPr>
          <w:spacing w:val="-22"/>
          <w:sz w:val="24"/>
          <w:szCs w:val="24"/>
        </w:rPr>
        <w:t>根据相关试验、测量需要，配备经纬仪、水准仪等仪器。</w:t>
      </w:r>
    </w:p>
    <w:p w14:paraId="503BD970">
      <w:pPr>
        <w:pStyle w:val="2"/>
        <w:spacing w:line="217" w:lineRule="auto"/>
        <w:ind w:left="1893"/>
        <w:rPr>
          <w:sz w:val="24"/>
          <w:szCs w:val="24"/>
        </w:rPr>
      </w:pPr>
      <w:r>
        <w:rPr>
          <w:spacing w:val="-21"/>
          <w:sz w:val="24"/>
          <w:szCs w:val="24"/>
        </w:rPr>
        <w:t>机械配置计划表附后。</w:t>
      </w:r>
    </w:p>
    <w:p w14:paraId="28407CC7">
      <w:pPr>
        <w:spacing w:line="45" w:lineRule="auto"/>
        <w:rPr>
          <w:rFonts w:ascii="Arial"/>
          <w:sz w:val="2"/>
        </w:rPr>
      </w:pPr>
    </w:p>
    <w:tbl>
      <w:tblPr>
        <w:tblStyle w:val="6"/>
        <w:tblW w:w="9839" w:type="dxa"/>
        <w:tblInd w:w="103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79"/>
        <w:gridCol w:w="596"/>
        <w:gridCol w:w="1657"/>
        <w:gridCol w:w="1560"/>
        <w:gridCol w:w="650"/>
        <w:gridCol w:w="792"/>
        <w:gridCol w:w="794"/>
        <w:gridCol w:w="790"/>
        <w:gridCol w:w="794"/>
        <w:gridCol w:w="1300"/>
        <w:gridCol w:w="727"/>
      </w:tblGrid>
      <w:tr w14:paraId="02F9E7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86" w:hRule="atLeast"/>
        </w:trPr>
        <w:tc>
          <w:tcPr>
            <w:tcW w:w="775" w:type="dxa"/>
            <w:gridSpan w:val="2"/>
            <w:tcBorders>
              <w:top w:val="single" w:color="000000" w:sz="4" w:space="0"/>
              <w:left w:val="single" w:color="000000" w:sz="4" w:space="0"/>
            </w:tcBorders>
            <w:shd w:val="clear" w:color="auto" w:fill="DEEAF6"/>
            <w:vAlign w:val="top"/>
          </w:tcPr>
          <w:p w14:paraId="38D765FC">
            <w:pPr>
              <w:spacing w:before="33" w:line="60" w:lineRule="exact"/>
              <w:ind w:firstLine="33"/>
            </w:pPr>
            <w:r>
              <w:pict>
                <v:shape id="_x0000_s4055" o:spid="_x0000_s4055" style="position:absolute;left:0pt;margin-left:-0.2pt;margin-top:0pt;height:0.75pt;width:2.2pt;mso-position-horizontal-relative:page;mso-position-vertical-relative:page;z-index:252369920;mso-width-relative:page;mso-height-relative:page;" fillcolor="#5B9BD5" filled="t" stroked="f" coordsize="44,15" path="m0,14l43,14,43,0,0,0,0,14xe">
                  <v:path/>
                  <v:fill on="t" focussize="0,0"/>
                  <v:stroke on="f"/>
                  <v:imagedata o:title=""/>
                  <o:lock v:ext="edit"/>
                </v:shape>
              </w:pict>
            </w:r>
            <w:r>
              <w:rPr>
                <w:position w:val="-1"/>
              </w:rPr>
              <w:pict>
                <v:shape id="_x0000_s4056" o:spid="_x0000_s4056" style="height:3pt;width:36.3pt;" fillcolor="#DEEAF6" filled="t" stroked="f" coordsize="725,60" path="m0,60l725,60,725,0,0,0,0,60xe">
                  <v:path/>
                  <v:fill on="t" focussize="0,0"/>
                  <v:stroke on="f"/>
                  <v:imagedata o:title=""/>
                  <o:lock v:ext="edit"/>
                  <w10:wrap type="none"/>
                  <w10:anchorlock/>
                </v:shape>
              </w:pict>
            </w:r>
          </w:p>
          <w:p w14:paraId="435A48BC">
            <w:pPr>
              <w:pStyle w:val="7"/>
              <w:spacing w:before="269" w:line="218" w:lineRule="auto"/>
              <w:ind w:left="185"/>
            </w:pPr>
            <w:r>
              <w:rPr>
                <w:b/>
                <w:bCs/>
                <w:spacing w:val="-12"/>
              </w:rPr>
              <w:t>序号</w:t>
            </w:r>
          </w:p>
          <w:p w14:paraId="45DF60ED">
            <w:pPr>
              <w:spacing w:line="376" w:lineRule="auto"/>
              <w:rPr>
                <w:rFonts w:ascii="Arial"/>
                <w:sz w:val="21"/>
              </w:rPr>
            </w:pPr>
          </w:p>
          <w:p w14:paraId="6ED756CE">
            <w:pPr>
              <w:spacing w:line="51" w:lineRule="exact"/>
              <w:ind w:firstLine="11"/>
            </w:pPr>
            <w:r>
              <w:rPr>
                <w:position w:val="-1"/>
              </w:rPr>
              <w:pict>
                <v:shape id="_x0000_s4057" o:spid="_x0000_s4057" style="height:2.9pt;width:37.6pt;" fillcolor="#DEEAF6" filled="t" stroked="f" coordsize="751,58" path="m0,57l751,57,751,0,0,0,0,57xe">
                  <v:path/>
                  <v:fill on="t" focussize="0,0"/>
                  <v:stroke on="f"/>
                  <v:imagedata o:title=""/>
                  <o:lock v:ext="edit"/>
                  <w10:wrap type="none"/>
                  <w10:anchorlock/>
                </v:shape>
              </w:pict>
            </w:r>
          </w:p>
        </w:tc>
        <w:tc>
          <w:tcPr>
            <w:tcW w:w="1657" w:type="dxa"/>
            <w:tcBorders>
              <w:top w:val="single" w:color="000000" w:sz="4" w:space="0"/>
            </w:tcBorders>
            <w:shd w:val="clear" w:color="auto" w:fill="DEEAF6"/>
            <w:vAlign w:val="top"/>
          </w:tcPr>
          <w:p w14:paraId="16EF7EFA">
            <w:pPr>
              <w:spacing w:line="282" w:lineRule="auto"/>
              <w:rPr>
                <w:rFonts w:ascii="Arial"/>
                <w:sz w:val="21"/>
              </w:rPr>
            </w:pPr>
          </w:p>
          <w:p w14:paraId="59A3EF79">
            <w:pPr>
              <w:pStyle w:val="7"/>
              <w:spacing w:before="78" w:line="217" w:lineRule="auto"/>
              <w:ind w:left="397"/>
            </w:pPr>
            <w:r>
              <w:rPr>
                <w:b/>
                <w:bCs/>
                <w:spacing w:val="-18"/>
              </w:rPr>
              <w:t>设备名称</w:t>
            </w:r>
          </w:p>
        </w:tc>
        <w:tc>
          <w:tcPr>
            <w:tcW w:w="1560" w:type="dxa"/>
            <w:tcBorders>
              <w:top w:val="single" w:color="000000" w:sz="4" w:space="0"/>
            </w:tcBorders>
            <w:shd w:val="clear" w:color="auto" w:fill="DEEAF6"/>
            <w:vAlign w:val="top"/>
          </w:tcPr>
          <w:p w14:paraId="2F7EDA09">
            <w:pPr>
              <w:pStyle w:val="7"/>
              <w:spacing w:before="128" w:line="220" w:lineRule="auto"/>
              <w:ind w:left="581"/>
            </w:pPr>
            <w:r>
              <w:rPr>
                <w:b/>
                <w:bCs/>
                <w:spacing w:val="-15"/>
              </w:rPr>
              <w:t>型号</w:t>
            </w:r>
          </w:p>
          <w:p w14:paraId="06E29053">
            <w:pPr>
              <w:pStyle w:val="7"/>
              <w:spacing w:before="180" w:line="218" w:lineRule="auto"/>
              <w:ind w:left="569"/>
            </w:pPr>
            <w:r>
              <w:rPr>
                <w:b/>
                <w:bCs/>
                <w:spacing w:val="-12"/>
              </w:rPr>
              <w:t>规格</w:t>
            </w:r>
          </w:p>
        </w:tc>
        <w:tc>
          <w:tcPr>
            <w:tcW w:w="650" w:type="dxa"/>
            <w:tcBorders>
              <w:top w:val="single" w:color="000000" w:sz="4" w:space="0"/>
            </w:tcBorders>
            <w:shd w:val="clear" w:color="auto" w:fill="DEEAF6"/>
            <w:vAlign w:val="top"/>
          </w:tcPr>
          <w:p w14:paraId="60ADEF9A">
            <w:pPr>
              <w:spacing w:line="93" w:lineRule="exact"/>
              <w:ind w:firstLine="31"/>
            </w:pPr>
            <w:r>
              <w:rPr>
                <w:position w:val="-1"/>
              </w:rPr>
              <w:pict>
                <v:group id="_x0000_s4058" o:spid="_x0000_s4058" o:spt="203" style="height:5.2pt;width:32.55pt;" coordsize="650,103">
                  <o:lock v:ext="edit"/>
                  <v:shape id="_x0000_s4059" o:spid="_x0000_s4059" style="position:absolute;left:0;top:43;height:60;width:607;" fillcolor="#DEEAF6" filled="t" stroked="f" coordsize="607,60" path="m0,60l607,60,607,0,0,0,0,60xe">
                    <v:path/>
                    <v:fill on="t" focussize="0,0"/>
                    <v:stroke on="f"/>
                    <v:imagedata o:title=""/>
                    <o:lock v:ext="edit"/>
                  </v:shape>
                  <v:shape id="_x0000_s4060" o:spid="_x0000_s4060" style="position:absolute;left:607;top:0;height:15;width:44;" fillcolor="#5B9BD5" filled="t" stroked="f" coordsize="44,15" path="m0,14l43,14,43,0,0,0,0,14xe">
                    <v:path/>
                    <v:fill on="t" focussize="0,0"/>
                    <v:stroke on="f"/>
                    <v:imagedata o:title=""/>
                    <o:lock v:ext="edit"/>
                  </v:shape>
                  <v:shape id="_x0000_s4061" o:spid="_x0000_s4061" style="position:absolute;left:607;top:14;height:15;width:44;" fillcolor="#20507B" filled="t" stroked="f" coordsize="44,15" path="m0,14l43,14,43,0,0,0,0,14xe">
                    <v:path/>
                    <v:fill on="t" focussize="0,0"/>
                    <v:stroke on="f"/>
                    <v:imagedata o:title=""/>
                    <o:lock v:ext="edit"/>
                  </v:shape>
                  <v:shape id="_x0000_s4062" o:spid="_x0000_s4062" style="position:absolute;left:607;top:28;height:15;width:44;" fillcolor="#1C456A" filled="t" stroked="f" coordsize="44,15" path="m0,14l43,14,43,0,0,0,0,14xe">
                    <v:path/>
                    <v:fill on="t" focussize="0,0"/>
                    <v:stroke on="f"/>
                    <v:imagedata o:title=""/>
                    <o:lock v:ext="edit"/>
                  </v:shape>
                  <w10:wrap type="none"/>
                  <w10:anchorlock/>
                </v:group>
              </w:pict>
            </w:r>
          </w:p>
          <w:p w14:paraId="22CC3AA1">
            <w:pPr>
              <w:pStyle w:val="7"/>
              <w:spacing w:before="268" w:line="219" w:lineRule="auto"/>
              <w:ind w:left="113"/>
            </w:pPr>
            <w:r>
              <w:rPr>
                <w:b/>
                <w:bCs/>
                <w:spacing w:val="-12"/>
              </w:rPr>
              <w:t>数量</w:t>
            </w:r>
          </w:p>
          <w:p w14:paraId="6D625268">
            <w:pPr>
              <w:spacing w:line="375" w:lineRule="auto"/>
              <w:rPr>
                <w:rFonts w:ascii="Arial"/>
                <w:sz w:val="21"/>
              </w:rPr>
            </w:pPr>
          </w:p>
          <w:p w14:paraId="77766657">
            <w:pPr>
              <w:spacing w:line="52" w:lineRule="exact"/>
            </w:pPr>
            <w:r>
              <w:rPr>
                <w:position w:val="-1"/>
              </w:rPr>
              <w:pict>
                <v:shape id="_x0000_s4063" o:spid="_x0000_s4063" style="height:2.9pt;width:32.55pt;" fillcolor="#DEEAF6" filled="t" stroked="f" coordsize="650,58" path="m0,57l650,57,650,0,0,0,0,57xe">
                  <v:path/>
                  <v:fill on="t" focussize="0,0"/>
                  <v:stroke on="f"/>
                  <v:imagedata o:title=""/>
                  <o:lock v:ext="edit"/>
                  <w10:wrap type="none"/>
                  <w10:anchorlock/>
                </v:shape>
              </w:pict>
            </w:r>
          </w:p>
        </w:tc>
        <w:tc>
          <w:tcPr>
            <w:tcW w:w="792" w:type="dxa"/>
            <w:tcBorders>
              <w:top w:val="single" w:color="000000" w:sz="4" w:space="0"/>
            </w:tcBorders>
            <w:shd w:val="clear" w:color="auto" w:fill="DEEAF6"/>
            <w:vAlign w:val="top"/>
          </w:tcPr>
          <w:p w14:paraId="0C46BC4C">
            <w:pPr>
              <w:pStyle w:val="7"/>
              <w:spacing w:before="129" w:line="219" w:lineRule="auto"/>
              <w:ind w:left="213"/>
            </w:pPr>
            <w:r>
              <w:rPr>
                <w:b/>
                <w:bCs/>
                <w:spacing w:val="-19"/>
              </w:rPr>
              <w:t>国别</w:t>
            </w:r>
          </w:p>
          <w:p w14:paraId="76FB3AD9">
            <w:pPr>
              <w:pStyle w:val="7"/>
              <w:spacing w:before="180" w:line="220" w:lineRule="auto"/>
              <w:ind w:left="188"/>
            </w:pPr>
            <w:r>
              <w:rPr>
                <w:b/>
                <w:bCs/>
                <w:spacing w:val="-13"/>
              </w:rPr>
              <w:t>产地</w:t>
            </w:r>
          </w:p>
        </w:tc>
        <w:tc>
          <w:tcPr>
            <w:tcW w:w="794" w:type="dxa"/>
            <w:tcBorders>
              <w:top w:val="single" w:color="000000" w:sz="4" w:space="0"/>
            </w:tcBorders>
            <w:shd w:val="clear" w:color="auto" w:fill="DEEAF6"/>
            <w:vAlign w:val="top"/>
          </w:tcPr>
          <w:p w14:paraId="7FD9D13B">
            <w:pPr>
              <w:spacing w:line="93" w:lineRule="exact"/>
              <w:ind w:firstLine="34"/>
            </w:pPr>
            <w:r>
              <w:rPr>
                <w:position w:val="-1"/>
              </w:rPr>
              <w:pict>
                <v:group id="_x0000_s4064" o:spid="_x0000_s4064" o:spt="203" style="height:5.2pt;width:39.75pt;" coordsize="795,103">
                  <o:lock v:ext="edit"/>
                  <v:shape id="_x0000_s4065" o:spid="_x0000_s4065" style="position:absolute;left:0;top:43;height:60;width:751;" fillcolor="#DEEAF6" filled="t" stroked="f" coordsize="751,60" path="m0,60l751,60,751,0,0,0,0,60xe">
                    <v:path/>
                    <v:fill on="t" focussize="0,0"/>
                    <v:stroke on="f"/>
                    <v:imagedata o:title=""/>
                    <o:lock v:ext="edit"/>
                  </v:shape>
                  <v:shape id="_x0000_s4066" o:spid="_x0000_s4066" style="position:absolute;left:751;top:0;height:15;width:44;" fillcolor="#5B9BD5" filled="t" stroked="f" coordsize="44,15" path="m0,14l43,14,43,0,0,0,0,14xe">
                    <v:path/>
                    <v:fill on="t" focussize="0,0"/>
                    <v:stroke on="f"/>
                    <v:imagedata o:title=""/>
                    <o:lock v:ext="edit"/>
                  </v:shape>
                  <v:shape id="_x0000_s4067" o:spid="_x0000_s4067" style="position:absolute;left:751;top:14;height:15;width:44;" fillcolor="#20507B" filled="t" stroked="f" coordsize="44,15" path="m0,14l43,14,43,0,0,0,0,14xe">
                    <v:path/>
                    <v:fill on="t" focussize="0,0"/>
                    <v:stroke on="f"/>
                    <v:imagedata o:title=""/>
                    <o:lock v:ext="edit"/>
                  </v:shape>
                  <v:shape id="_x0000_s4068" o:spid="_x0000_s4068" style="position:absolute;left:751;top:28;height:15;width:44;" fillcolor="#1C456A" filled="t" stroked="f" coordsize="44,15" path="m0,14l43,14,43,0,0,0,0,14xe">
                    <v:path/>
                    <v:fill on="t" focussize="0,0"/>
                    <v:stroke on="f"/>
                    <v:imagedata o:title=""/>
                    <o:lock v:ext="edit"/>
                  </v:shape>
                  <w10:wrap type="none"/>
                  <w10:anchorlock/>
                </v:group>
              </w:pict>
            </w:r>
          </w:p>
          <w:p w14:paraId="4CFEB876">
            <w:pPr>
              <w:pStyle w:val="7"/>
              <w:spacing w:before="36" w:line="217" w:lineRule="auto"/>
              <w:ind w:left="190"/>
            </w:pPr>
            <w:r>
              <w:rPr>
                <w:b/>
                <w:bCs/>
                <w:spacing w:val="-13"/>
              </w:rPr>
              <w:t>制造</w:t>
            </w:r>
          </w:p>
          <w:p w14:paraId="49BED112">
            <w:pPr>
              <w:pStyle w:val="7"/>
              <w:spacing w:before="183" w:line="218" w:lineRule="auto"/>
              <w:ind w:left="194"/>
            </w:pPr>
            <w:r>
              <w:rPr>
                <w:b/>
                <w:bCs/>
                <w:spacing w:val="-14"/>
              </w:rPr>
              <w:t>年份</w:t>
            </w:r>
          </w:p>
          <w:p w14:paraId="212A8480">
            <w:pPr>
              <w:spacing w:before="145" w:line="52" w:lineRule="exact"/>
            </w:pPr>
            <w:r>
              <w:rPr>
                <w:position w:val="-1"/>
              </w:rPr>
              <w:pict>
                <v:shape id="_x0000_s4069" o:spid="_x0000_s4069" style="height:2.9pt;width:39.75pt;" fillcolor="#DEEAF6" filled="t" stroked="f" coordsize="795,58" path="m0,57l794,57,794,0,0,0,0,57xe">
                  <v:path/>
                  <v:fill on="t" focussize="0,0"/>
                  <v:stroke on="f"/>
                  <v:imagedata o:title=""/>
                  <o:lock v:ext="edit"/>
                  <w10:wrap type="none"/>
                  <w10:anchorlock/>
                </v:shape>
              </w:pict>
            </w:r>
          </w:p>
        </w:tc>
        <w:tc>
          <w:tcPr>
            <w:tcW w:w="790" w:type="dxa"/>
            <w:tcBorders>
              <w:top w:val="single" w:color="000000" w:sz="4" w:space="0"/>
            </w:tcBorders>
            <w:shd w:val="clear" w:color="auto" w:fill="DEEAF6"/>
            <w:vAlign w:val="top"/>
          </w:tcPr>
          <w:p w14:paraId="09F21F38">
            <w:pPr>
              <w:pStyle w:val="7"/>
              <w:spacing w:before="129" w:line="360" w:lineRule="auto"/>
              <w:ind w:left="84" w:right="47" w:hanging="8"/>
            </w:pPr>
            <w:r>
              <w:rPr>
                <w:b/>
                <w:bCs/>
                <w:spacing w:val="-22"/>
              </w:rPr>
              <w:t>额定功率（KW</w:t>
            </w:r>
          </w:p>
        </w:tc>
        <w:tc>
          <w:tcPr>
            <w:tcW w:w="794" w:type="dxa"/>
            <w:tcBorders>
              <w:top w:val="single" w:color="000000" w:sz="4" w:space="0"/>
            </w:tcBorders>
            <w:shd w:val="clear" w:color="auto" w:fill="DEEAF6"/>
            <w:vAlign w:val="top"/>
          </w:tcPr>
          <w:p w14:paraId="3F18DD3C">
            <w:pPr>
              <w:spacing w:line="93" w:lineRule="exact"/>
              <w:ind w:firstLine="36"/>
            </w:pPr>
            <w:r>
              <w:rPr>
                <w:position w:val="-1"/>
              </w:rPr>
              <w:pict>
                <v:group id="_x0000_s4070" o:spid="_x0000_s4070" o:spt="203" style="height:5.2pt;width:39.75pt;" coordsize="795,103">
                  <o:lock v:ext="edit"/>
                  <v:shape id="_x0000_s4071" o:spid="_x0000_s4071" style="position:absolute;left:0;top:43;height:60;width:751;" fillcolor="#DEEAF6" filled="t" stroked="f" coordsize="751,60" path="m0,60l751,60,751,0,0,0,0,60xe">
                    <v:path/>
                    <v:fill on="t" focussize="0,0"/>
                    <v:stroke on="f"/>
                    <v:imagedata o:title=""/>
                    <o:lock v:ext="edit"/>
                  </v:shape>
                  <v:shape id="_x0000_s4072" o:spid="_x0000_s4072" style="position:absolute;left:751;top:0;height:15;width:44;" fillcolor="#5B9BD5" filled="t" stroked="f" coordsize="44,15" path="m0,14l43,14,43,0,0,0,0,14xe">
                    <v:path/>
                    <v:fill on="t" focussize="0,0"/>
                    <v:stroke on="f"/>
                    <v:imagedata o:title=""/>
                    <o:lock v:ext="edit"/>
                  </v:shape>
                  <v:shape id="_x0000_s4074" o:spid="_x0000_s4074" style="position:absolute;left:751;top:14;height:15;width:44;" fillcolor="#20507B" filled="t" stroked="f" coordsize="44,15" path="m0,14l43,14,43,0,0,0,0,14xe">
                    <v:path/>
                    <v:fill on="t" focussize="0,0"/>
                    <v:stroke on="f"/>
                    <v:imagedata o:title=""/>
                    <o:lock v:ext="edit"/>
                  </v:shape>
                  <v:shape id="_x0000_s4076" o:spid="_x0000_s4076" style="position:absolute;left:751;top:28;height:15;width:44;" fillcolor="#1C456A" filled="t" stroked="f" coordsize="44,15" path="m0,14l43,14,43,0,0,0,0,14xe">
                    <v:path/>
                    <v:fill on="t" focussize="0,0"/>
                    <v:stroke on="f"/>
                    <v:imagedata o:title=""/>
                    <o:lock v:ext="edit"/>
                  </v:shape>
                  <w10:wrap type="none"/>
                  <w10:anchorlock/>
                </v:group>
              </w:pict>
            </w:r>
          </w:p>
          <w:p w14:paraId="3846ABF6">
            <w:pPr>
              <w:pStyle w:val="7"/>
              <w:spacing w:before="35" w:line="220" w:lineRule="auto"/>
              <w:ind w:left="205"/>
            </w:pPr>
            <w:r>
              <w:rPr>
                <w:b/>
                <w:bCs/>
                <w:spacing w:val="-16"/>
              </w:rPr>
              <w:t>生产</w:t>
            </w:r>
          </w:p>
          <w:p w14:paraId="2FFB86B5">
            <w:pPr>
              <w:pStyle w:val="7"/>
              <w:spacing w:before="180" w:line="217" w:lineRule="auto"/>
              <w:ind w:left="205"/>
            </w:pPr>
            <w:r>
              <w:rPr>
                <w:b/>
                <w:bCs/>
                <w:spacing w:val="-16"/>
              </w:rPr>
              <w:t>能力</w:t>
            </w:r>
          </w:p>
          <w:p w14:paraId="474786DF">
            <w:pPr>
              <w:spacing w:before="146" w:line="52" w:lineRule="exact"/>
            </w:pPr>
            <w:r>
              <w:rPr>
                <w:position w:val="-1"/>
              </w:rPr>
              <w:pict>
                <v:shape id="_x0000_s4078" o:spid="_x0000_s4078" style="height:2.9pt;width:39.75pt;" fillcolor="#DEEAF6" filled="t" stroked="f" coordsize="795,58" path="m0,57l794,57,794,0,0,0,0,57xe">
                  <v:path/>
                  <v:fill on="t" focussize="0,0"/>
                  <v:stroke on="f"/>
                  <v:imagedata o:title=""/>
                  <o:lock v:ext="edit"/>
                  <w10:wrap type="none"/>
                  <w10:anchorlock/>
                </v:shape>
              </w:pict>
            </w:r>
          </w:p>
        </w:tc>
        <w:tc>
          <w:tcPr>
            <w:tcW w:w="1300" w:type="dxa"/>
            <w:tcBorders>
              <w:top w:val="single" w:color="000000" w:sz="4" w:space="0"/>
            </w:tcBorders>
            <w:shd w:val="clear" w:color="auto" w:fill="DEEAF6"/>
            <w:vAlign w:val="top"/>
          </w:tcPr>
          <w:p w14:paraId="7CB00D6F">
            <w:pPr>
              <w:pStyle w:val="7"/>
              <w:spacing w:before="129" w:line="359" w:lineRule="auto"/>
              <w:ind w:left="447" w:right="186" w:hanging="219"/>
            </w:pPr>
            <w:r>
              <w:rPr>
                <w:b/>
                <w:bCs/>
                <w:spacing w:val="-23"/>
              </w:rPr>
              <w:t>用于施工</w:t>
            </w:r>
            <w:r>
              <w:rPr>
                <w:b/>
                <w:bCs/>
                <w:spacing w:val="-13"/>
              </w:rPr>
              <w:t>部位</w:t>
            </w:r>
          </w:p>
        </w:tc>
        <w:tc>
          <w:tcPr>
            <w:tcW w:w="727" w:type="dxa"/>
            <w:tcBorders>
              <w:top w:val="single" w:color="5B9BD5" w:sz="4" w:space="0"/>
              <w:right w:val="single" w:color="5B9BD5" w:sz="4" w:space="0"/>
            </w:tcBorders>
            <w:shd w:val="clear" w:color="auto" w:fill="DEEAF6"/>
            <w:vAlign w:val="top"/>
          </w:tcPr>
          <w:p w14:paraId="6832CCD0">
            <w:pPr>
              <w:spacing w:line="4" w:lineRule="exact"/>
              <w:jc w:val="right"/>
            </w:pPr>
            <w:r>
              <w:drawing>
                <wp:inline distT="0" distB="0" distL="0" distR="0">
                  <wp:extent cx="456565" cy="2540"/>
                  <wp:effectExtent l="0" t="0" r="0" b="0"/>
                  <wp:docPr id="1644" name="IM 1644"/>
                  <wp:cNvGraphicFramePr/>
                  <a:graphic xmlns:a="http://schemas.openxmlformats.org/drawingml/2006/main">
                    <a:graphicData uri="http://schemas.openxmlformats.org/drawingml/2006/picture">
                      <pic:pic xmlns:pic="http://schemas.openxmlformats.org/drawingml/2006/picture">
                        <pic:nvPicPr>
                          <pic:cNvPr id="1644" name="IM 1644"/>
                          <pic:cNvPicPr/>
                        </pic:nvPicPr>
                        <pic:blipFill>
                          <a:blip r:embed="rId736"/>
                          <a:stretch>
                            <a:fillRect/>
                          </a:stretch>
                        </pic:blipFill>
                        <pic:spPr>
                          <a:xfrm>
                            <a:off x="0" y="0"/>
                            <a:ext cx="456882" cy="2794"/>
                          </a:xfrm>
                          <a:prstGeom prst="rect">
                            <a:avLst/>
                          </a:prstGeom>
                        </pic:spPr>
                      </pic:pic>
                    </a:graphicData>
                  </a:graphic>
                </wp:inline>
              </w:drawing>
            </w:r>
          </w:p>
          <w:p w14:paraId="60AADFAD">
            <w:pPr>
              <w:spacing w:line="14" w:lineRule="exact"/>
            </w:pPr>
            <w:r>
              <w:drawing>
                <wp:inline distT="0" distB="0" distL="0" distR="0">
                  <wp:extent cx="25400" cy="8890"/>
                  <wp:effectExtent l="0" t="0" r="0" b="0"/>
                  <wp:docPr id="1646" name="IM 1646"/>
                  <wp:cNvGraphicFramePr/>
                  <a:graphic xmlns:a="http://schemas.openxmlformats.org/drawingml/2006/main">
                    <a:graphicData uri="http://schemas.openxmlformats.org/drawingml/2006/picture">
                      <pic:pic xmlns:pic="http://schemas.openxmlformats.org/drawingml/2006/picture">
                        <pic:nvPicPr>
                          <pic:cNvPr id="1646" name="IM 1646"/>
                          <pic:cNvPicPr/>
                        </pic:nvPicPr>
                        <pic:blipFill>
                          <a:blip r:embed="rId737"/>
                          <a:stretch>
                            <a:fillRect/>
                          </a:stretch>
                        </pic:blipFill>
                        <pic:spPr>
                          <a:xfrm>
                            <a:off x="0" y="0"/>
                            <a:ext cx="25970" cy="9144"/>
                          </a:xfrm>
                          <a:prstGeom prst="rect">
                            <a:avLst/>
                          </a:prstGeom>
                        </pic:spPr>
                      </pic:pic>
                    </a:graphicData>
                  </a:graphic>
                </wp:inline>
              </w:drawing>
            </w:r>
          </w:p>
          <w:p w14:paraId="22061518">
            <w:pPr>
              <w:spacing w:line="14" w:lineRule="exact"/>
            </w:pPr>
            <w:r>
              <w:drawing>
                <wp:inline distT="0" distB="0" distL="0" distR="0">
                  <wp:extent cx="25400" cy="8890"/>
                  <wp:effectExtent l="0" t="0" r="0" b="0"/>
                  <wp:docPr id="1648" name="IM 1648"/>
                  <wp:cNvGraphicFramePr/>
                  <a:graphic xmlns:a="http://schemas.openxmlformats.org/drawingml/2006/main">
                    <a:graphicData uri="http://schemas.openxmlformats.org/drawingml/2006/picture">
                      <pic:pic xmlns:pic="http://schemas.openxmlformats.org/drawingml/2006/picture">
                        <pic:nvPicPr>
                          <pic:cNvPr id="1648" name="IM 1648"/>
                          <pic:cNvPicPr/>
                        </pic:nvPicPr>
                        <pic:blipFill>
                          <a:blip r:embed="rId738"/>
                          <a:stretch>
                            <a:fillRect/>
                          </a:stretch>
                        </pic:blipFill>
                        <pic:spPr>
                          <a:xfrm>
                            <a:off x="0" y="0"/>
                            <a:ext cx="25970" cy="9144"/>
                          </a:xfrm>
                          <a:prstGeom prst="rect">
                            <a:avLst/>
                          </a:prstGeom>
                        </pic:spPr>
                      </pic:pic>
                    </a:graphicData>
                  </a:graphic>
                </wp:inline>
              </w:drawing>
            </w:r>
          </w:p>
          <w:p w14:paraId="7C41C07B">
            <w:pPr>
              <w:spacing w:line="249" w:lineRule="auto"/>
              <w:rPr>
                <w:rFonts w:ascii="Arial"/>
                <w:sz w:val="21"/>
              </w:rPr>
            </w:pPr>
          </w:p>
          <w:p w14:paraId="3623DE8B">
            <w:pPr>
              <w:pStyle w:val="7"/>
              <w:spacing w:before="78" w:line="220" w:lineRule="auto"/>
              <w:ind w:left="154"/>
            </w:pPr>
            <w:r>
              <w:rPr>
                <w:b/>
                <w:bCs/>
                <w:spacing w:val="-13"/>
              </w:rPr>
              <w:t>备注</w:t>
            </w:r>
          </w:p>
        </w:tc>
      </w:tr>
      <w:tr w14:paraId="58594B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6" w:hRule="atLeast"/>
        </w:trPr>
        <w:tc>
          <w:tcPr>
            <w:tcW w:w="775" w:type="dxa"/>
            <w:gridSpan w:val="2"/>
            <w:tcBorders>
              <w:left w:val="single" w:color="000000" w:sz="4" w:space="0"/>
            </w:tcBorders>
            <w:vAlign w:val="top"/>
          </w:tcPr>
          <w:p w14:paraId="608B97BD">
            <w:pPr>
              <w:pStyle w:val="7"/>
              <w:spacing w:before="145" w:line="238" w:lineRule="auto"/>
              <w:ind w:left="359"/>
            </w:pPr>
            <w:r>
              <w:t>1</w:t>
            </w:r>
          </w:p>
        </w:tc>
        <w:tc>
          <w:tcPr>
            <w:tcW w:w="1657" w:type="dxa"/>
            <w:vAlign w:val="top"/>
          </w:tcPr>
          <w:p w14:paraId="08FA8DC7">
            <w:pPr>
              <w:pStyle w:val="7"/>
              <w:spacing w:before="144" w:line="218" w:lineRule="auto"/>
              <w:ind w:left="290"/>
            </w:pPr>
            <w:r>
              <w:rPr>
                <w:spacing w:val="-17"/>
              </w:rPr>
              <w:t>反铲挖掘机</w:t>
            </w:r>
          </w:p>
        </w:tc>
        <w:tc>
          <w:tcPr>
            <w:tcW w:w="1560" w:type="dxa"/>
            <w:vAlign w:val="top"/>
          </w:tcPr>
          <w:p w14:paraId="42C1AB2E">
            <w:pPr>
              <w:pStyle w:val="7"/>
              <w:spacing w:before="187" w:line="179" w:lineRule="auto"/>
              <w:ind w:left="449"/>
            </w:pPr>
            <w:r>
              <w:rPr>
                <w:spacing w:val="-9"/>
              </w:rPr>
              <w:t>XE150D</w:t>
            </w:r>
          </w:p>
        </w:tc>
        <w:tc>
          <w:tcPr>
            <w:tcW w:w="650" w:type="dxa"/>
            <w:vAlign w:val="top"/>
          </w:tcPr>
          <w:p w14:paraId="7D1DFC8C">
            <w:pPr>
              <w:pStyle w:val="7"/>
              <w:spacing w:before="144" w:line="237" w:lineRule="auto"/>
              <w:ind w:left="232"/>
            </w:pPr>
            <w:r>
              <w:rPr>
                <w:spacing w:val="-10"/>
              </w:rPr>
              <w:t>10</w:t>
            </w:r>
          </w:p>
        </w:tc>
        <w:tc>
          <w:tcPr>
            <w:tcW w:w="792" w:type="dxa"/>
            <w:vAlign w:val="top"/>
          </w:tcPr>
          <w:p w14:paraId="0261060D">
            <w:pPr>
              <w:pStyle w:val="7"/>
              <w:spacing w:before="145" w:line="220" w:lineRule="auto"/>
              <w:ind w:left="208"/>
            </w:pPr>
            <w:r>
              <w:rPr>
                <w:spacing w:val="-15"/>
              </w:rPr>
              <w:t>山东</w:t>
            </w:r>
          </w:p>
        </w:tc>
        <w:tc>
          <w:tcPr>
            <w:tcW w:w="794" w:type="dxa"/>
            <w:vAlign w:val="top"/>
          </w:tcPr>
          <w:p w14:paraId="14E0692F">
            <w:pPr>
              <w:pStyle w:val="7"/>
              <w:spacing w:before="145" w:line="237" w:lineRule="auto"/>
              <w:ind w:left="186" w:leftChars="0"/>
            </w:pPr>
            <w:r>
              <w:rPr>
                <w:spacing w:val="-9"/>
              </w:rPr>
              <w:t>202</w:t>
            </w:r>
            <w:r>
              <w:rPr>
                <w:rFonts w:hint="eastAsia"/>
                <w:spacing w:val="-9"/>
                <w:lang w:val="en-US" w:eastAsia="zh-CN"/>
              </w:rPr>
              <w:t>1</w:t>
            </w:r>
          </w:p>
        </w:tc>
        <w:tc>
          <w:tcPr>
            <w:tcW w:w="790" w:type="dxa"/>
            <w:vAlign w:val="top"/>
          </w:tcPr>
          <w:p w14:paraId="4821C49C">
            <w:pPr>
              <w:pStyle w:val="7"/>
              <w:spacing w:before="144" w:line="222" w:lineRule="auto"/>
              <w:ind w:left="344"/>
            </w:pPr>
            <w:r>
              <w:t>/</w:t>
            </w:r>
          </w:p>
        </w:tc>
        <w:tc>
          <w:tcPr>
            <w:tcW w:w="794" w:type="dxa"/>
            <w:vAlign w:val="top"/>
          </w:tcPr>
          <w:p w14:paraId="0E2829E2">
            <w:pPr>
              <w:pStyle w:val="7"/>
              <w:spacing w:before="144" w:line="236" w:lineRule="auto"/>
              <w:ind w:left="149"/>
            </w:pPr>
            <w:r>
              <w:rPr>
                <w:spacing w:val="-12"/>
              </w:rPr>
              <w:t>1.1m3</w:t>
            </w:r>
          </w:p>
        </w:tc>
        <w:tc>
          <w:tcPr>
            <w:tcW w:w="1300" w:type="dxa"/>
            <w:vAlign w:val="top"/>
          </w:tcPr>
          <w:p w14:paraId="6A9EE223">
            <w:pPr>
              <w:pStyle w:val="7"/>
              <w:spacing w:before="144" w:line="218" w:lineRule="auto"/>
              <w:ind w:left="231"/>
            </w:pPr>
            <w:r>
              <w:rPr>
                <w:spacing w:val="-15"/>
              </w:rPr>
              <w:t>基础开挖</w:t>
            </w:r>
          </w:p>
        </w:tc>
        <w:tc>
          <w:tcPr>
            <w:tcW w:w="727" w:type="dxa"/>
            <w:vMerge w:val="restart"/>
            <w:tcBorders>
              <w:bottom w:val="nil"/>
              <w:right w:val="single" w:color="5B9BD5" w:sz="4" w:space="0"/>
            </w:tcBorders>
            <w:vAlign w:val="top"/>
          </w:tcPr>
          <w:p w14:paraId="0BB83B7E">
            <w:pPr>
              <w:spacing w:line="58" w:lineRule="exact"/>
              <w:ind w:firstLine="686"/>
            </w:pPr>
            <w:r>
              <w:pict>
                <v:group id="_x0000_s4080" o:spid="_x0000_s4080" o:spt="203" style="position:absolute;left:0pt;margin-left:34.45pt;margin-top:138.05pt;height:3.4pt;width:1.45pt;mso-position-horizontal-relative:page;mso-position-vertical-relative:page;z-index:252367872;mso-width-relative:page;mso-height-relative:page;" coordsize="29,68">
                  <o:lock v:ext="edit"/>
                  <v:shape id="_x0000_s4082" o:spid="_x0000_s4082" style="position:absolute;left:14;top:0;height:68;width:15;" fillcolor="#20507B" filled="t" stroked="f" coordsize="15,68" path="m0,67l14,67,14,0,0,0,0,67xe">
                    <v:path/>
                    <v:fill on="t" focussize="0,0"/>
                    <v:stroke on="f"/>
                    <v:imagedata o:title=""/>
                    <o:lock v:ext="edit"/>
                  </v:shape>
                  <v:shape id="_x0000_s4084" o:spid="_x0000_s4084" style="position:absolute;left:0;top:0;height:68;width:15;" fillcolor="#1C456A" filled="t" stroked="f" coordsize="15,68" path="m0,67l14,67,14,0,0,0,0,67xe">
                    <v:path/>
                    <v:fill on="t" focussize="0,0"/>
                    <v:stroke on="f"/>
                    <v:imagedata o:title=""/>
                    <o:lock v:ext="edit"/>
                  </v:shape>
                </v:group>
              </w:pict>
            </w:r>
            <w:r>
              <w:pict>
                <v:group id="_x0000_s4086" o:spid="_x0000_s4086" o:spt="203" style="position:absolute;left:0pt;margin-left:34.45pt;margin-top:172.6pt;height:3.4pt;width:1.45pt;mso-position-horizontal-relative:page;mso-position-vertical-relative:page;z-index:252365824;mso-width-relative:page;mso-height-relative:page;" coordsize="29,68">
                  <o:lock v:ext="edit"/>
                  <v:shape id="_x0000_s4088" o:spid="_x0000_s4088" style="position:absolute;left:14;top:0;height:68;width:15;" fillcolor="#20507B" filled="t" stroked="f" coordsize="15,68" path="m0,67l14,67,14,0,0,0,0,67xe">
                    <v:path/>
                    <v:fill on="t" focussize="0,0"/>
                    <v:stroke on="f"/>
                    <v:imagedata o:title=""/>
                    <o:lock v:ext="edit"/>
                  </v:shape>
                  <v:shape id="_x0000_s4090" o:spid="_x0000_s4090" style="position:absolute;left:0;top:0;height:68;width:15;" fillcolor="#1C456A" filled="t" stroked="f" coordsize="15,68" path="m0,67l14,67,14,0,0,0,0,67xe">
                    <v:path/>
                    <v:fill on="t" focussize="0,0"/>
                    <v:stroke on="f"/>
                    <v:imagedata o:title=""/>
                    <o:lock v:ext="edit"/>
                  </v:shape>
                </v:group>
              </w:pict>
            </w:r>
            <w:r>
              <w:pict>
                <v:group id="_x0000_s4092" o:spid="_x0000_s4092" o:spt="203" style="position:absolute;left:0pt;margin-left:34.45pt;margin-top:207.2pt;height:3.4pt;width:1.45pt;mso-position-horizontal-relative:page;mso-position-vertical-relative:page;z-index:252366848;mso-width-relative:page;mso-height-relative:page;" coordsize="29,68">
                  <o:lock v:ext="edit"/>
                  <v:shape id="_x0000_s4094" o:spid="_x0000_s4094" style="position:absolute;left:14;top:0;height:68;width:15;" fillcolor="#20507B" filled="t" stroked="f" coordsize="15,68" path="m0,67l14,67,14,0,0,0,0,67xe">
                    <v:path/>
                    <v:fill on="t" focussize="0,0"/>
                    <v:stroke on="f"/>
                    <v:imagedata o:title=""/>
                    <o:lock v:ext="edit"/>
                  </v:shape>
                  <v:shape id="_x0000_s4095" o:spid="_x0000_s4095" style="position:absolute;left:0;top:0;height:68;width:15;" fillcolor="#1C456A" filled="t" stroked="f" coordsize="15,68" path="m0,67l14,67,14,0,0,0,0,67xe">
                    <v:path/>
                    <v:fill on="t" focussize="0,0"/>
                    <v:stroke on="f"/>
                    <v:imagedata o:title=""/>
                    <o:lock v:ext="edit"/>
                  </v:shape>
                </v:group>
              </w:pict>
            </w:r>
            <w:r>
              <w:rPr>
                <w:position w:val="-1"/>
              </w:rPr>
              <w:pict>
                <v:group id="_x0000_s4096" o:spid="_x0000_s4096" o:spt="203" style="height:3.4pt;width:1.45pt;" coordsize="29,68">
                  <o:lock v:ext="edit"/>
                  <v:shape id="_x0000_s4100" o:spid="_x0000_s4100" style="position:absolute;left:14;top:0;height:68;width:15;" fillcolor="#20507B" filled="t" stroked="f" coordsize="15,68" path="m0,67l14,67,14,0,0,0,0,67xe">
                    <v:path/>
                    <v:fill on="t" focussize="0,0"/>
                    <v:stroke on="f"/>
                    <v:imagedata o:title=""/>
                    <o:lock v:ext="edit"/>
                  </v:shape>
                  <v:shape id="_x0000_s4102" o:spid="_x0000_s4102" style="position:absolute;left:0;top:0;height:68;width:15;" fillcolor="#1C456A" filled="t" stroked="f" coordsize="15,68" path="m0,67l14,67,14,0,0,0,0,67xe">
                    <v:path/>
                    <v:fill on="t" focussize="0,0"/>
                    <v:stroke on="f"/>
                    <v:imagedata o:title=""/>
                    <o:lock v:ext="edit"/>
                  </v:shape>
                  <w10:wrap type="none"/>
                  <w10:anchorlock/>
                </v:group>
              </w:pict>
            </w:r>
          </w:p>
          <w:p w14:paraId="73CEB09E">
            <w:pPr>
              <w:spacing w:line="310" w:lineRule="auto"/>
              <w:rPr>
                <w:rFonts w:ascii="Arial"/>
                <w:sz w:val="21"/>
              </w:rPr>
            </w:pPr>
          </w:p>
          <w:p w14:paraId="5A290700">
            <w:pPr>
              <w:spacing w:line="310" w:lineRule="auto"/>
              <w:rPr>
                <w:rFonts w:ascii="Arial"/>
                <w:sz w:val="21"/>
              </w:rPr>
            </w:pPr>
          </w:p>
          <w:p w14:paraId="3BBA0401">
            <w:pPr>
              <w:spacing w:line="67" w:lineRule="exact"/>
              <w:ind w:firstLine="686"/>
            </w:pPr>
            <w:r>
              <w:rPr>
                <w:position w:val="-1"/>
              </w:rPr>
              <w:pict>
                <v:group id="_x0000_s4104" o:spid="_x0000_s4104" o:spt="203" style="height:3.4pt;width:1.45pt;" coordsize="29,68">
                  <o:lock v:ext="edit"/>
                  <v:shape id="_x0000_s4106" o:spid="_x0000_s4106" style="position:absolute;left:14;top:0;height:68;width:15;" fillcolor="#20507B" filled="t" stroked="f" coordsize="15,68" path="m0,67l14,67,14,0,0,0,0,67xe">
                    <v:path/>
                    <v:fill on="t" focussize="0,0"/>
                    <v:stroke on="f"/>
                    <v:imagedata o:title=""/>
                    <o:lock v:ext="edit"/>
                  </v:shape>
                  <v:shape id="_x0000_s4108" o:spid="_x0000_s4108" style="position:absolute;left:0;top:0;height:68;width:15;" fillcolor="#1C456A" filled="t" stroked="f" coordsize="15,68" path="m0,67l14,67,14,0,0,0,0,67xe">
                    <v:path/>
                    <v:fill on="t" focussize="0,0"/>
                    <v:stroke on="f"/>
                    <v:imagedata o:title=""/>
                    <o:lock v:ext="edit"/>
                  </v:shape>
                  <w10:wrap type="none"/>
                  <w10:anchorlock/>
                </v:group>
              </w:pict>
            </w:r>
          </w:p>
          <w:p w14:paraId="37B3CBBE">
            <w:pPr>
              <w:spacing w:line="310" w:lineRule="auto"/>
              <w:rPr>
                <w:rFonts w:ascii="Arial"/>
                <w:sz w:val="21"/>
              </w:rPr>
            </w:pPr>
          </w:p>
          <w:p w14:paraId="067208F6">
            <w:pPr>
              <w:spacing w:line="310" w:lineRule="auto"/>
              <w:rPr>
                <w:rFonts w:ascii="Arial"/>
                <w:sz w:val="21"/>
              </w:rPr>
            </w:pPr>
          </w:p>
          <w:p w14:paraId="1C50AED6">
            <w:pPr>
              <w:spacing w:line="67" w:lineRule="exact"/>
              <w:ind w:firstLine="686"/>
            </w:pPr>
            <w:r>
              <w:rPr>
                <w:position w:val="-1"/>
              </w:rPr>
              <w:pict>
                <v:group id="_x0000_s4110" o:spid="_x0000_s4110" o:spt="203" style="height:3.4pt;width:1.45pt;" coordsize="29,68">
                  <o:lock v:ext="edit"/>
                  <v:shape id="_x0000_s4112" o:spid="_x0000_s4112" style="position:absolute;left:14;top:0;height:68;width:15;" fillcolor="#20507B" filled="t" stroked="f" coordsize="15,68" path="m0,67l14,67,14,0,0,0,0,67xe">
                    <v:path/>
                    <v:fill on="t" focussize="0,0"/>
                    <v:stroke on="f"/>
                    <v:imagedata o:title=""/>
                    <o:lock v:ext="edit"/>
                  </v:shape>
                  <v:shape id="_x0000_s4114" o:spid="_x0000_s4114" style="position:absolute;left:0;top:0;height:68;width:15;" fillcolor="#1C456A" filled="t" stroked="f" coordsize="15,68" path="m0,67l14,67,14,0,0,0,0,67xe">
                    <v:path/>
                    <v:fill on="t" focussize="0,0"/>
                    <v:stroke on="f"/>
                    <v:imagedata o:title=""/>
                    <o:lock v:ext="edit"/>
                  </v:shape>
                  <w10:wrap type="none"/>
                  <w10:anchorlock/>
                </v:group>
              </w:pict>
            </w:r>
          </w:p>
          <w:p w14:paraId="5AB61667">
            <w:pPr>
              <w:spacing w:line="310" w:lineRule="auto"/>
              <w:rPr>
                <w:rFonts w:ascii="Arial"/>
                <w:sz w:val="21"/>
              </w:rPr>
            </w:pPr>
          </w:p>
          <w:p w14:paraId="31D02EF3">
            <w:pPr>
              <w:spacing w:line="310" w:lineRule="auto"/>
              <w:rPr>
                <w:rFonts w:ascii="Arial"/>
                <w:sz w:val="21"/>
              </w:rPr>
            </w:pPr>
          </w:p>
          <w:p w14:paraId="59B393AA">
            <w:pPr>
              <w:spacing w:line="67" w:lineRule="exact"/>
              <w:ind w:firstLine="686"/>
            </w:pPr>
            <w:r>
              <w:rPr>
                <w:position w:val="-1"/>
              </w:rPr>
              <w:pict>
                <v:group id="_x0000_s4116" o:spid="_x0000_s4116" o:spt="203" style="height:3.4pt;width:1.45pt;" coordsize="29,68">
                  <o:lock v:ext="edit"/>
                  <v:shape id="_x0000_s4118" o:spid="_x0000_s4118" style="position:absolute;left:14;top:0;height:68;width:15;" fillcolor="#20507B" filled="t" stroked="f" coordsize="15,68" path="m0,67l14,67,14,0,0,0,0,67xe">
                    <v:path/>
                    <v:fill on="t" focussize="0,0"/>
                    <v:stroke on="f"/>
                    <v:imagedata o:title=""/>
                    <o:lock v:ext="edit"/>
                  </v:shape>
                  <v:shape id="_x0000_s4120" o:spid="_x0000_s4120" style="position:absolute;left:0;top:0;height:68;width:15;" fillcolor="#1C456A" filled="t" stroked="f" coordsize="15,68" path="m0,67l14,67,14,0,0,0,0,67xe">
                    <v:path/>
                    <v:fill on="t" focussize="0,0"/>
                    <v:stroke on="f"/>
                    <v:imagedata o:title=""/>
                    <o:lock v:ext="edit"/>
                  </v:shape>
                  <w10:wrap type="none"/>
                  <w10:anchorlock/>
                </v:group>
              </w:pict>
            </w:r>
          </w:p>
          <w:p w14:paraId="070D7033">
            <w:pPr>
              <w:spacing w:line="340" w:lineRule="auto"/>
              <w:rPr>
                <w:rFonts w:ascii="Arial"/>
                <w:sz w:val="21"/>
              </w:rPr>
            </w:pPr>
          </w:p>
          <w:p w14:paraId="605A1F6C">
            <w:pPr>
              <w:pStyle w:val="7"/>
              <w:spacing w:before="78" w:line="218" w:lineRule="auto"/>
              <w:ind w:left="152"/>
            </w:pPr>
            <w:r>
              <w:rPr>
                <w:spacing w:val="-8"/>
              </w:rPr>
              <w:t>开工</w:t>
            </w:r>
          </w:p>
          <w:p w14:paraId="22D1FF54">
            <w:pPr>
              <w:pStyle w:val="7"/>
              <w:spacing w:before="184" w:line="217" w:lineRule="auto"/>
              <w:ind w:left="182"/>
            </w:pPr>
            <w:r>
              <w:rPr>
                <w:spacing w:val="12"/>
              </w:rPr>
              <w:t>前3</w:t>
            </w:r>
          </w:p>
          <w:p w14:paraId="72D3603F">
            <w:pPr>
              <w:pStyle w:val="7"/>
              <w:spacing w:before="187" w:line="360" w:lineRule="auto"/>
              <w:ind w:left="261" w:right="124" w:hanging="108"/>
            </w:pPr>
            <w:r>
              <w:rPr>
                <w:spacing w:val="-20"/>
              </w:rPr>
              <w:t>天进</w:t>
            </w:r>
            <w:r>
              <w:t>场</w:t>
            </w:r>
          </w:p>
          <w:p w14:paraId="03BAB331">
            <w:pPr>
              <w:spacing w:line="400" w:lineRule="auto"/>
              <w:rPr>
                <w:rFonts w:ascii="Arial"/>
                <w:sz w:val="21"/>
              </w:rPr>
            </w:pPr>
          </w:p>
          <w:p w14:paraId="0EEA897D">
            <w:pPr>
              <w:spacing w:line="67" w:lineRule="exact"/>
              <w:ind w:firstLine="686"/>
            </w:pPr>
            <w:r>
              <w:rPr>
                <w:position w:val="-1"/>
              </w:rPr>
              <w:pict>
                <v:group id="_x0000_s4122" o:spid="_x0000_s4122" o:spt="203" style="height:3.4pt;width:1.45pt;" coordsize="29,68">
                  <o:lock v:ext="edit"/>
                  <v:shape id="_x0000_s4124" o:spid="_x0000_s4124" style="position:absolute;left:14;top:0;height:68;width:15;" fillcolor="#20507B" filled="t" stroked="f" coordsize="15,68" path="m0,67l14,67,14,0,0,0,0,67xe">
                    <v:path/>
                    <v:fill on="t" focussize="0,0"/>
                    <v:stroke on="f"/>
                    <v:imagedata o:title=""/>
                    <o:lock v:ext="edit"/>
                  </v:shape>
                  <v:shape id="_x0000_s4126" o:spid="_x0000_s4126" style="position:absolute;left:0;top:0;height:68;width:15;" fillcolor="#1C456A" filled="t" stroked="f" coordsize="15,68" path="m0,67l14,67,14,0,0,0,0,67xe">
                    <v:path/>
                    <v:fill on="t" focussize="0,0"/>
                    <v:stroke on="f"/>
                    <v:imagedata o:title=""/>
                    <o:lock v:ext="edit"/>
                  </v:shape>
                  <w10:wrap type="none"/>
                  <w10:anchorlock/>
                </v:group>
              </w:pict>
            </w:r>
          </w:p>
          <w:p w14:paraId="5FEF9E55">
            <w:pPr>
              <w:spacing w:line="310" w:lineRule="auto"/>
              <w:rPr>
                <w:rFonts w:ascii="Arial"/>
                <w:sz w:val="21"/>
              </w:rPr>
            </w:pPr>
          </w:p>
          <w:p w14:paraId="12FF19D6">
            <w:pPr>
              <w:spacing w:line="310" w:lineRule="auto"/>
              <w:rPr>
                <w:rFonts w:ascii="Arial"/>
                <w:sz w:val="21"/>
              </w:rPr>
            </w:pPr>
          </w:p>
          <w:p w14:paraId="694F5945">
            <w:pPr>
              <w:spacing w:line="68" w:lineRule="exact"/>
              <w:ind w:firstLine="686"/>
            </w:pPr>
            <w:r>
              <w:rPr>
                <w:position w:val="-1"/>
              </w:rPr>
              <w:pict>
                <v:group id="_x0000_s4128" o:spid="_x0000_s4128" o:spt="203" style="height:3.4pt;width:1.45pt;" coordsize="29,68">
                  <o:lock v:ext="edit"/>
                  <v:shape id="_x0000_s4130" o:spid="_x0000_s4130" style="position:absolute;left:14;top:0;height:68;width:15;" fillcolor="#20507B" filled="t" stroked="f" coordsize="15,68" path="m0,67l14,67,14,0,0,0,0,67xe">
                    <v:path/>
                    <v:fill on="t" focussize="0,0"/>
                    <v:stroke on="f"/>
                    <v:imagedata o:title=""/>
                    <o:lock v:ext="edit"/>
                  </v:shape>
                  <v:shape id="_x0000_s4132" o:spid="_x0000_s4132" style="position:absolute;left:0;top:0;height:68;width:15;" fillcolor="#1C456A" filled="t" stroked="f" coordsize="15,68" path="m0,67l14,67,14,0,0,0,0,67xe">
                    <v:path/>
                    <v:fill on="t" focussize="0,0"/>
                    <v:stroke on="f"/>
                    <v:imagedata o:title=""/>
                    <o:lock v:ext="edit"/>
                  </v:shape>
                  <w10:wrap type="none"/>
                  <w10:anchorlock/>
                </v:group>
              </w:pict>
            </w:r>
          </w:p>
          <w:p w14:paraId="21BADC7A">
            <w:pPr>
              <w:spacing w:line="310" w:lineRule="auto"/>
              <w:rPr>
                <w:rFonts w:ascii="Arial"/>
                <w:sz w:val="21"/>
              </w:rPr>
            </w:pPr>
          </w:p>
          <w:p w14:paraId="19533220">
            <w:pPr>
              <w:spacing w:line="310" w:lineRule="auto"/>
              <w:rPr>
                <w:rFonts w:ascii="Arial"/>
                <w:sz w:val="21"/>
              </w:rPr>
            </w:pPr>
          </w:p>
          <w:p w14:paraId="42900500">
            <w:pPr>
              <w:spacing w:line="67" w:lineRule="exact"/>
              <w:ind w:firstLine="686"/>
            </w:pPr>
            <w:r>
              <w:rPr>
                <w:position w:val="-1"/>
              </w:rPr>
              <w:pict>
                <v:group id="_x0000_s4134" o:spid="_x0000_s4134" o:spt="203" style="height:3.4pt;width:1.45pt;" coordsize="29,68">
                  <o:lock v:ext="edit"/>
                  <v:shape id="_x0000_s4136" o:spid="_x0000_s4136" style="position:absolute;left:14;top:0;height:68;width:15;" fillcolor="#20507B" filled="t" stroked="f" coordsize="15,68" path="m0,67l14,67,14,0,0,0,0,67xe">
                    <v:path/>
                    <v:fill on="t" focussize="0,0"/>
                    <v:stroke on="f"/>
                    <v:imagedata o:title=""/>
                    <o:lock v:ext="edit"/>
                  </v:shape>
                  <v:shape id="_x0000_s4138" o:spid="_x0000_s4138" style="position:absolute;left:0;top:0;height:68;width:15;" fillcolor="#1C456A" filled="t" stroked="f" coordsize="15,68" path="m0,67l14,67,14,0,0,0,0,67xe">
                    <v:path/>
                    <v:fill on="t" focussize="0,0"/>
                    <v:stroke on="f"/>
                    <v:imagedata o:title=""/>
                    <o:lock v:ext="edit"/>
                  </v:shape>
                  <w10:wrap type="none"/>
                  <w10:anchorlock/>
                </v:group>
              </w:pict>
            </w:r>
          </w:p>
          <w:p w14:paraId="0210099A">
            <w:pPr>
              <w:spacing w:line="310" w:lineRule="auto"/>
              <w:rPr>
                <w:rFonts w:ascii="Arial"/>
                <w:sz w:val="21"/>
              </w:rPr>
            </w:pPr>
          </w:p>
          <w:p w14:paraId="4DAACA91">
            <w:pPr>
              <w:spacing w:line="310" w:lineRule="auto"/>
              <w:rPr>
                <w:rFonts w:ascii="Arial"/>
                <w:sz w:val="21"/>
              </w:rPr>
            </w:pPr>
          </w:p>
          <w:p w14:paraId="26CC599C">
            <w:pPr>
              <w:spacing w:line="23" w:lineRule="exact"/>
              <w:ind w:firstLine="686"/>
            </w:pPr>
            <w:r>
              <w:rPr>
                <w:position w:val="-2"/>
              </w:rPr>
              <w:pict>
                <v:group id="_x0000_s4140" o:spid="_x0000_s4140" o:spt="203" style="height:2.2pt;width:2.2pt;" coordsize="44,44">
                  <o:lock v:ext="edit"/>
                  <v:shape id="_x0000_s4142" o:spid="_x0000_s4142" style="position:absolute;left:0;top:28;height:15;width:44;" fillcolor="#5B9BD5" filled="t" stroked="f" coordsize="44,15" path="m0,14l43,14,43,0,0,0,0,14xe">
                    <v:path/>
                    <v:fill on="t" focussize="0,0"/>
                    <v:stroke on="f"/>
                    <v:imagedata o:title=""/>
                    <o:lock v:ext="edit"/>
                  </v:shape>
                  <v:shape id="_x0000_s4144" o:spid="_x0000_s4144" style="position:absolute;left:14;top:0;height:29;width:15;" fillcolor="#20507B" filled="t" stroked="f" coordsize="15,29" path="m0,28l14,28,14,0,0,0,0,28xe">
                    <v:path/>
                    <v:fill on="t" focussize="0,0"/>
                    <v:stroke on="f"/>
                    <v:imagedata o:title=""/>
                    <o:lock v:ext="edit"/>
                  </v:shape>
                  <w10:wrap type="none"/>
                  <w10:anchorlock/>
                </v:group>
              </w:pict>
            </w:r>
          </w:p>
        </w:tc>
      </w:tr>
      <w:tr w14:paraId="366478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5" w:hRule="atLeast"/>
        </w:trPr>
        <w:tc>
          <w:tcPr>
            <w:tcW w:w="775" w:type="dxa"/>
            <w:gridSpan w:val="2"/>
            <w:tcBorders>
              <w:left w:val="single" w:color="000000" w:sz="4" w:space="0"/>
            </w:tcBorders>
            <w:vAlign w:val="top"/>
          </w:tcPr>
          <w:p w14:paraId="74B2338B">
            <w:pPr>
              <w:pStyle w:val="7"/>
              <w:spacing w:before="145" w:line="238" w:lineRule="auto"/>
              <w:ind w:left="344"/>
            </w:pPr>
            <w:r>
              <w:t>2</w:t>
            </w:r>
          </w:p>
        </w:tc>
        <w:tc>
          <w:tcPr>
            <w:tcW w:w="1657" w:type="dxa"/>
            <w:vAlign w:val="top"/>
          </w:tcPr>
          <w:p w14:paraId="21272CB6">
            <w:pPr>
              <w:pStyle w:val="7"/>
              <w:spacing w:before="145" w:line="215" w:lineRule="auto"/>
              <w:ind w:left="445"/>
            </w:pPr>
            <w:r>
              <w:rPr>
                <w:spacing w:val="-27"/>
              </w:rPr>
              <w:t>自卸汽车</w:t>
            </w:r>
          </w:p>
        </w:tc>
        <w:tc>
          <w:tcPr>
            <w:tcW w:w="1560" w:type="dxa"/>
            <w:vAlign w:val="top"/>
          </w:tcPr>
          <w:p w14:paraId="1950122A">
            <w:pPr>
              <w:pStyle w:val="7"/>
              <w:spacing w:before="145" w:line="237" w:lineRule="auto"/>
              <w:ind w:left="417"/>
            </w:pPr>
            <w:r>
              <w:rPr>
                <w:spacing w:val="-14"/>
              </w:rPr>
              <w:t>15～20t</w:t>
            </w:r>
          </w:p>
        </w:tc>
        <w:tc>
          <w:tcPr>
            <w:tcW w:w="650" w:type="dxa"/>
            <w:vAlign w:val="top"/>
          </w:tcPr>
          <w:p w14:paraId="50578C8D">
            <w:pPr>
              <w:pStyle w:val="7"/>
              <w:spacing w:before="145" w:line="237" w:lineRule="auto"/>
              <w:ind w:left="217"/>
            </w:pPr>
            <w:r>
              <w:rPr>
                <w:spacing w:val="-6"/>
              </w:rPr>
              <w:t>25</w:t>
            </w:r>
          </w:p>
        </w:tc>
        <w:tc>
          <w:tcPr>
            <w:tcW w:w="792" w:type="dxa"/>
            <w:vAlign w:val="top"/>
          </w:tcPr>
          <w:p w14:paraId="490B2EBA">
            <w:pPr>
              <w:pStyle w:val="7"/>
              <w:spacing w:before="145" w:line="220" w:lineRule="auto"/>
              <w:ind w:left="188"/>
            </w:pPr>
            <w:r>
              <w:rPr>
                <w:spacing w:val="-10"/>
              </w:rPr>
              <w:t>上海</w:t>
            </w:r>
          </w:p>
        </w:tc>
        <w:tc>
          <w:tcPr>
            <w:tcW w:w="794" w:type="dxa"/>
            <w:vAlign w:val="top"/>
          </w:tcPr>
          <w:p w14:paraId="2F3E75DF">
            <w:pPr>
              <w:pStyle w:val="7"/>
              <w:spacing w:before="146" w:line="237" w:lineRule="auto"/>
              <w:ind w:left="186" w:leftChars="0"/>
            </w:pPr>
            <w:r>
              <w:rPr>
                <w:spacing w:val="-9"/>
              </w:rPr>
              <w:t>2022</w:t>
            </w:r>
          </w:p>
        </w:tc>
        <w:tc>
          <w:tcPr>
            <w:tcW w:w="790" w:type="dxa"/>
            <w:vAlign w:val="top"/>
          </w:tcPr>
          <w:p w14:paraId="15EEAD62">
            <w:pPr>
              <w:pStyle w:val="7"/>
              <w:spacing w:before="145" w:line="222" w:lineRule="auto"/>
              <w:ind w:left="344"/>
            </w:pPr>
            <w:r>
              <w:t>/</w:t>
            </w:r>
          </w:p>
        </w:tc>
        <w:tc>
          <w:tcPr>
            <w:tcW w:w="794" w:type="dxa"/>
            <w:vAlign w:val="top"/>
          </w:tcPr>
          <w:p w14:paraId="218CEB89">
            <w:pPr>
              <w:pStyle w:val="7"/>
              <w:spacing w:before="145" w:line="219" w:lineRule="auto"/>
              <w:ind w:left="227"/>
            </w:pPr>
            <w:r>
              <w:rPr>
                <w:spacing w:val="-19"/>
              </w:rPr>
              <w:t>良好</w:t>
            </w:r>
          </w:p>
        </w:tc>
        <w:tc>
          <w:tcPr>
            <w:tcW w:w="1300" w:type="dxa"/>
            <w:vAlign w:val="top"/>
          </w:tcPr>
          <w:p w14:paraId="4ECCBD16">
            <w:pPr>
              <w:pStyle w:val="7"/>
              <w:spacing w:before="145" w:line="218" w:lineRule="auto"/>
              <w:ind w:left="231"/>
            </w:pPr>
            <w:r>
              <w:rPr>
                <w:spacing w:val="-15"/>
              </w:rPr>
              <w:t>基础开挖</w:t>
            </w:r>
          </w:p>
        </w:tc>
        <w:tc>
          <w:tcPr>
            <w:tcW w:w="727" w:type="dxa"/>
            <w:vMerge w:val="continue"/>
            <w:tcBorders>
              <w:top w:val="nil"/>
              <w:bottom w:val="nil"/>
              <w:right w:val="single" w:color="5B9BD5" w:sz="4" w:space="0"/>
            </w:tcBorders>
            <w:vAlign w:val="top"/>
          </w:tcPr>
          <w:p w14:paraId="0F06AD8B">
            <w:pPr>
              <w:rPr>
                <w:rFonts w:ascii="Arial"/>
                <w:sz w:val="21"/>
              </w:rPr>
            </w:pPr>
          </w:p>
        </w:tc>
      </w:tr>
      <w:tr w14:paraId="4DAAB8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5" w:hRule="atLeast"/>
        </w:trPr>
        <w:tc>
          <w:tcPr>
            <w:tcW w:w="775" w:type="dxa"/>
            <w:gridSpan w:val="2"/>
            <w:tcBorders>
              <w:left w:val="single" w:color="000000" w:sz="4" w:space="0"/>
            </w:tcBorders>
            <w:vAlign w:val="top"/>
          </w:tcPr>
          <w:p w14:paraId="2336919B">
            <w:pPr>
              <w:pStyle w:val="7"/>
              <w:spacing w:before="146" w:line="237" w:lineRule="auto"/>
              <w:ind w:left="346"/>
            </w:pPr>
            <w:r>
              <w:t>3</w:t>
            </w:r>
          </w:p>
        </w:tc>
        <w:tc>
          <w:tcPr>
            <w:tcW w:w="1657" w:type="dxa"/>
            <w:vAlign w:val="top"/>
          </w:tcPr>
          <w:p w14:paraId="0CF43EAE">
            <w:pPr>
              <w:pStyle w:val="7"/>
              <w:spacing w:before="146" w:line="218" w:lineRule="auto"/>
              <w:ind w:left="511"/>
            </w:pPr>
            <w:r>
              <w:rPr>
                <w:spacing w:val="-14"/>
              </w:rPr>
              <w:t>装载机</w:t>
            </w:r>
          </w:p>
        </w:tc>
        <w:tc>
          <w:tcPr>
            <w:tcW w:w="1560" w:type="dxa"/>
            <w:vAlign w:val="top"/>
          </w:tcPr>
          <w:p w14:paraId="1D5CCE92">
            <w:pPr>
              <w:pStyle w:val="7"/>
              <w:spacing w:before="190" w:line="178" w:lineRule="auto"/>
              <w:ind w:left="450"/>
            </w:pPr>
            <w:r>
              <w:rPr>
                <w:spacing w:val="-9"/>
              </w:rPr>
              <w:t>LW500E</w:t>
            </w:r>
          </w:p>
        </w:tc>
        <w:tc>
          <w:tcPr>
            <w:tcW w:w="650" w:type="dxa"/>
            <w:vAlign w:val="top"/>
          </w:tcPr>
          <w:p w14:paraId="0B1C80F9">
            <w:pPr>
              <w:pStyle w:val="7"/>
              <w:spacing w:before="146" w:line="238" w:lineRule="auto"/>
              <w:ind w:left="272"/>
            </w:pPr>
            <w:r>
              <w:t>2</w:t>
            </w:r>
          </w:p>
        </w:tc>
        <w:tc>
          <w:tcPr>
            <w:tcW w:w="792" w:type="dxa"/>
            <w:vAlign w:val="top"/>
          </w:tcPr>
          <w:p w14:paraId="214BEDCE">
            <w:pPr>
              <w:pStyle w:val="7"/>
              <w:spacing w:before="146" w:line="218" w:lineRule="auto"/>
              <w:ind w:left="188"/>
            </w:pPr>
            <w:r>
              <w:rPr>
                <w:spacing w:val="-10"/>
              </w:rPr>
              <w:t>浙江</w:t>
            </w:r>
          </w:p>
        </w:tc>
        <w:tc>
          <w:tcPr>
            <w:tcW w:w="794" w:type="dxa"/>
            <w:vAlign w:val="top"/>
          </w:tcPr>
          <w:p w14:paraId="2F54CDE5">
            <w:pPr>
              <w:pStyle w:val="7"/>
              <w:spacing w:before="145" w:line="237" w:lineRule="auto"/>
              <w:ind w:left="186" w:leftChars="0"/>
            </w:pPr>
            <w:r>
              <w:rPr>
                <w:spacing w:val="-9"/>
              </w:rPr>
              <w:t>202</w:t>
            </w:r>
            <w:r>
              <w:rPr>
                <w:rFonts w:hint="eastAsia"/>
                <w:spacing w:val="-9"/>
                <w:lang w:val="en-US" w:eastAsia="zh-CN"/>
              </w:rPr>
              <w:t>1</w:t>
            </w:r>
          </w:p>
        </w:tc>
        <w:tc>
          <w:tcPr>
            <w:tcW w:w="790" w:type="dxa"/>
            <w:vAlign w:val="top"/>
          </w:tcPr>
          <w:p w14:paraId="034F3A5F">
            <w:pPr>
              <w:pStyle w:val="7"/>
              <w:spacing w:before="146" w:line="222" w:lineRule="auto"/>
              <w:ind w:left="344"/>
            </w:pPr>
            <w:r>
              <w:t>/</w:t>
            </w:r>
          </w:p>
        </w:tc>
        <w:tc>
          <w:tcPr>
            <w:tcW w:w="794" w:type="dxa"/>
            <w:vAlign w:val="top"/>
          </w:tcPr>
          <w:p w14:paraId="5804CB5C">
            <w:pPr>
              <w:pStyle w:val="7"/>
              <w:spacing w:before="146" w:line="236" w:lineRule="auto"/>
              <w:ind w:left="134"/>
            </w:pPr>
            <w:r>
              <w:rPr>
                <w:spacing w:val="-9"/>
              </w:rPr>
              <w:t>2.9m3</w:t>
            </w:r>
          </w:p>
        </w:tc>
        <w:tc>
          <w:tcPr>
            <w:tcW w:w="1300" w:type="dxa"/>
            <w:vAlign w:val="top"/>
          </w:tcPr>
          <w:p w14:paraId="0E9EBE67">
            <w:pPr>
              <w:pStyle w:val="7"/>
              <w:spacing w:before="146" w:line="218" w:lineRule="auto"/>
              <w:ind w:left="231"/>
            </w:pPr>
            <w:r>
              <w:rPr>
                <w:spacing w:val="-15"/>
              </w:rPr>
              <w:t>基础开挖</w:t>
            </w:r>
          </w:p>
        </w:tc>
        <w:tc>
          <w:tcPr>
            <w:tcW w:w="727" w:type="dxa"/>
            <w:vMerge w:val="continue"/>
            <w:tcBorders>
              <w:top w:val="nil"/>
              <w:bottom w:val="nil"/>
              <w:right w:val="single" w:color="5B9BD5" w:sz="4" w:space="0"/>
            </w:tcBorders>
            <w:vAlign w:val="top"/>
          </w:tcPr>
          <w:p w14:paraId="0E4EE3C3">
            <w:pPr>
              <w:rPr>
                <w:rFonts w:ascii="Arial"/>
                <w:sz w:val="21"/>
              </w:rPr>
            </w:pPr>
          </w:p>
        </w:tc>
      </w:tr>
      <w:tr w14:paraId="0D9B61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5" w:hRule="atLeast"/>
        </w:trPr>
        <w:tc>
          <w:tcPr>
            <w:tcW w:w="775" w:type="dxa"/>
            <w:gridSpan w:val="2"/>
            <w:tcBorders>
              <w:left w:val="single" w:color="000000" w:sz="4" w:space="0"/>
            </w:tcBorders>
            <w:vAlign w:val="top"/>
          </w:tcPr>
          <w:p w14:paraId="534CF92C">
            <w:pPr>
              <w:pStyle w:val="7"/>
              <w:spacing w:before="148" w:line="238" w:lineRule="auto"/>
              <w:ind w:left="341"/>
            </w:pPr>
            <w:r>
              <w:t>4</w:t>
            </w:r>
          </w:p>
        </w:tc>
        <w:tc>
          <w:tcPr>
            <w:tcW w:w="1657" w:type="dxa"/>
            <w:vAlign w:val="top"/>
          </w:tcPr>
          <w:p w14:paraId="51766CCD">
            <w:pPr>
              <w:pStyle w:val="7"/>
              <w:spacing w:before="148" w:line="215" w:lineRule="auto"/>
              <w:ind w:left="297"/>
            </w:pPr>
            <w:r>
              <w:rPr>
                <w:spacing w:val="-19"/>
              </w:rPr>
              <w:t>高空作业车</w:t>
            </w:r>
          </w:p>
        </w:tc>
        <w:tc>
          <w:tcPr>
            <w:tcW w:w="1560" w:type="dxa"/>
            <w:vAlign w:val="top"/>
          </w:tcPr>
          <w:p w14:paraId="00518D3B">
            <w:pPr>
              <w:pStyle w:val="7"/>
              <w:spacing w:before="147" w:line="218" w:lineRule="auto"/>
              <w:ind w:left="357"/>
            </w:pPr>
            <w:r>
              <w:rPr>
                <w:spacing w:val="-17"/>
              </w:rPr>
              <w:t>蓝牌支臂</w:t>
            </w:r>
          </w:p>
        </w:tc>
        <w:tc>
          <w:tcPr>
            <w:tcW w:w="650" w:type="dxa"/>
            <w:vAlign w:val="top"/>
          </w:tcPr>
          <w:p w14:paraId="0B1520C1">
            <w:pPr>
              <w:pStyle w:val="7"/>
              <w:spacing w:before="148" w:line="238" w:lineRule="auto"/>
              <w:ind w:left="272"/>
            </w:pPr>
            <w:r>
              <w:t>2</w:t>
            </w:r>
          </w:p>
        </w:tc>
        <w:tc>
          <w:tcPr>
            <w:tcW w:w="792" w:type="dxa"/>
            <w:vAlign w:val="top"/>
          </w:tcPr>
          <w:p w14:paraId="10AFEA23">
            <w:pPr>
              <w:pStyle w:val="7"/>
              <w:spacing w:before="147" w:line="219" w:lineRule="auto"/>
              <w:ind w:left="197"/>
            </w:pPr>
            <w:r>
              <w:rPr>
                <w:spacing w:val="-13"/>
              </w:rPr>
              <w:t>南京</w:t>
            </w:r>
          </w:p>
        </w:tc>
        <w:tc>
          <w:tcPr>
            <w:tcW w:w="794" w:type="dxa"/>
            <w:vAlign w:val="top"/>
          </w:tcPr>
          <w:p w14:paraId="783B4939">
            <w:pPr>
              <w:pStyle w:val="7"/>
              <w:spacing w:before="146" w:line="237" w:lineRule="auto"/>
              <w:ind w:left="186" w:leftChars="0"/>
            </w:pPr>
            <w:r>
              <w:rPr>
                <w:spacing w:val="-9"/>
              </w:rPr>
              <w:t>2022</w:t>
            </w:r>
          </w:p>
        </w:tc>
        <w:tc>
          <w:tcPr>
            <w:tcW w:w="790" w:type="dxa"/>
            <w:vAlign w:val="top"/>
          </w:tcPr>
          <w:p w14:paraId="201A1422">
            <w:pPr>
              <w:pStyle w:val="7"/>
              <w:spacing w:before="147" w:line="222" w:lineRule="auto"/>
              <w:ind w:left="344"/>
            </w:pPr>
            <w:r>
              <w:t>/</w:t>
            </w:r>
          </w:p>
        </w:tc>
        <w:tc>
          <w:tcPr>
            <w:tcW w:w="794" w:type="dxa"/>
            <w:vAlign w:val="top"/>
          </w:tcPr>
          <w:p w14:paraId="347D2F62">
            <w:pPr>
              <w:pStyle w:val="7"/>
              <w:spacing w:before="147" w:line="237" w:lineRule="auto"/>
              <w:ind w:left="242"/>
            </w:pPr>
            <w:r>
              <w:rPr>
                <w:spacing w:val="-8"/>
              </w:rPr>
              <w:t>20m</w:t>
            </w:r>
          </w:p>
        </w:tc>
        <w:tc>
          <w:tcPr>
            <w:tcW w:w="1300" w:type="dxa"/>
            <w:vAlign w:val="top"/>
          </w:tcPr>
          <w:p w14:paraId="40D8A517">
            <w:pPr>
              <w:pStyle w:val="7"/>
              <w:spacing w:before="147" w:line="216" w:lineRule="auto"/>
              <w:ind w:left="238"/>
            </w:pPr>
            <w:r>
              <w:rPr>
                <w:spacing w:val="-17"/>
              </w:rPr>
              <w:t>高处作业</w:t>
            </w:r>
          </w:p>
        </w:tc>
        <w:tc>
          <w:tcPr>
            <w:tcW w:w="727" w:type="dxa"/>
            <w:vMerge w:val="continue"/>
            <w:tcBorders>
              <w:top w:val="nil"/>
              <w:bottom w:val="nil"/>
              <w:right w:val="single" w:color="5B9BD5" w:sz="4" w:space="0"/>
            </w:tcBorders>
            <w:vAlign w:val="top"/>
          </w:tcPr>
          <w:p w14:paraId="5C223EA1">
            <w:pPr>
              <w:rPr>
                <w:rFonts w:ascii="Arial"/>
                <w:sz w:val="21"/>
              </w:rPr>
            </w:pPr>
          </w:p>
        </w:tc>
      </w:tr>
      <w:tr w14:paraId="53A13B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5" w:hRule="atLeast"/>
        </w:trPr>
        <w:tc>
          <w:tcPr>
            <w:tcW w:w="775" w:type="dxa"/>
            <w:gridSpan w:val="2"/>
            <w:tcBorders>
              <w:left w:val="single" w:color="000000" w:sz="4" w:space="0"/>
            </w:tcBorders>
            <w:vAlign w:val="top"/>
          </w:tcPr>
          <w:p w14:paraId="1CB646C5">
            <w:pPr>
              <w:pStyle w:val="7"/>
              <w:spacing w:before="146" w:line="237" w:lineRule="auto"/>
              <w:ind w:left="346"/>
            </w:pPr>
            <w:r>
              <w:t>5</w:t>
            </w:r>
          </w:p>
        </w:tc>
        <w:tc>
          <w:tcPr>
            <w:tcW w:w="1657" w:type="dxa"/>
            <w:vAlign w:val="top"/>
          </w:tcPr>
          <w:p w14:paraId="7D9DF625">
            <w:pPr>
              <w:pStyle w:val="7"/>
              <w:spacing w:before="146" w:line="215" w:lineRule="auto"/>
              <w:ind w:left="297"/>
            </w:pPr>
            <w:r>
              <w:rPr>
                <w:spacing w:val="-19"/>
              </w:rPr>
              <w:t>高空作业车</w:t>
            </w:r>
          </w:p>
        </w:tc>
        <w:tc>
          <w:tcPr>
            <w:tcW w:w="1560" w:type="dxa"/>
            <w:vAlign w:val="top"/>
          </w:tcPr>
          <w:p w14:paraId="32D5F3AB">
            <w:pPr>
              <w:pStyle w:val="7"/>
              <w:spacing w:before="146" w:line="218" w:lineRule="auto"/>
              <w:ind w:left="572"/>
            </w:pPr>
            <w:r>
              <w:rPr>
                <w:spacing w:val="-10"/>
              </w:rPr>
              <w:t>解放</w:t>
            </w:r>
          </w:p>
        </w:tc>
        <w:tc>
          <w:tcPr>
            <w:tcW w:w="650" w:type="dxa"/>
            <w:vAlign w:val="top"/>
          </w:tcPr>
          <w:p w14:paraId="3B53DE81">
            <w:pPr>
              <w:pStyle w:val="7"/>
              <w:spacing w:before="146" w:line="238" w:lineRule="auto"/>
              <w:ind w:left="272"/>
            </w:pPr>
            <w:r>
              <w:t>2</w:t>
            </w:r>
          </w:p>
        </w:tc>
        <w:tc>
          <w:tcPr>
            <w:tcW w:w="792" w:type="dxa"/>
            <w:vAlign w:val="top"/>
          </w:tcPr>
          <w:p w14:paraId="01CF3113">
            <w:pPr>
              <w:pStyle w:val="7"/>
              <w:spacing w:before="146" w:line="219" w:lineRule="auto"/>
              <w:ind w:left="197"/>
            </w:pPr>
            <w:r>
              <w:rPr>
                <w:spacing w:val="-14"/>
              </w:rPr>
              <w:t>南京</w:t>
            </w:r>
          </w:p>
        </w:tc>
        <w:tc>
          <w:tcPr>
            <w:tcW w:w="794" w:type="dxa"/>
            <w:vAlign w:val="top"/>
          </w:tcPr>
          <w:p w14:paraId="0101E6EA">
            <w:pPr>
              <w:pStyle w:val="7"/>
              <w:spacing w:before="145" w:line="237" w:lineRule="auto"/>
              <w:ind w:left="186" w:leftChars="0"/>
            </w:pPr>
            <w:r>
              <w:rPr>
                <w:spacing w:val="-9"/>
              </w:rPr>
              <w:t>202</w:t>
            </w:r>
            <w:r>
              <w:rPr>
                <w:rFonts w:hint="eastAsia"/>
                <w:spacing w:val="-9"/>
                <w:lang w:val="en-US" w:eastAsia="zh-CN"/>
              </w:rPr>
              <w:t>1</w:t>
            </w:r>
          </w:p>
        </w:tc>
        <w:tc>
          <w:tcPr>
            <w:tcW w:w="790" w:type="dxa"/>
            <w:vAlign w:val="top"/>
          </w:tcPr>
          <w:p w14:paraId="6833BF0F">
            <w:pPr>
              <w:pStyle w:val="7"/>
              <w:spacing w:before="146" w:line="222" w:lineRule="auto"/>
              <w:ind w:left="344"/>
            </w:pPr>
            <w:r>
              <w:t>/</w:t>
            </w:r>
          </w:p>
        </w:tc>
        <w:tc>
          <w:tcPr>
            <w:tcW w:w="794" w:type="dxa"/>
            <w:vAlign w:val="top"/>
          </w:tcPr>
          <w:p w14:paraId="25310914">
            <w:pPr>
              <w:pStyle w:val="7"/>
              <w:spacing w:before="146" w:line="237" w:lineRule="auto"/>
              <w:ind w:left="257"/>
            </w:pPr>
            <w:r>
              <w:rPr>
                <w:spacing w:val="-13"/>
              </w:rPr>
              <w:t>13m</w:t>
            </w:r>
          </w:p>
        </w:tc>
        <w:tc>
          <w:tcPr>
            <w:tcW w:w="1300" w:type="dxa"/>
            <w:vAlign w:val="top"/>
          </w:tcPr>
          <w:p w14:paraId="23AC450A">
            <w:pPr>
              <w:pStyle w:val="7"/>
              <w:spacing w:before="146" w:line="216" w:lineRule="auto"/>
              <w:ind w:left="238"/>
            </w:pPr>
            <w:r>
              <w:rPr>
                <w:spacing w:val="-17"/>
              </w:rPr>
              <w:t>高处作业</w:t>
            </w:r>
          </w:p>
        </w:tc>
        <w:tc>
          <w:tcPr>
            <w:tcW w:w="727" w:type="dxa"/>
            <w:vMerge w:val="continue"/>
            <w:tcBorders>
              <w:top w:val="nil"/>
              <w:bottom w:val="nil"/>
              <w:right w:val="single" w:color="5B9BD5" w:sz="4" w:space="0"/>
            </w:tcBorders>
            <w:vAlign w:val="top"/>
          </w:tcPr>
          <w:p w14:paraId="7548286F">
            <w:pPr>
              <w:rPr>
                <w:rFonts w:ascii="Arial"/>
                <w:sz w:val="21"/>
              </w:rPr>
            </w:pPr>
          </w:p>
        </w:tc>
      </w:tr>
      <w:tr w14:paraId="3563D5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6" w:hRule="atLeast"/>
        </w:trPr>
        <w:tc>
          <w:tcPr>
            <w:tcW w:w="775" w:type="dxa"/>
            <w:gridSpan w:val="2"/>
            <w:tcBorders>
              <w:left w:val="single" w:color="000000" w:sz="4" w:space="0"/>
            </w:tcBorders>
            <w:vAlign w:val="top"/>
          </w:tcPr>
          <w:p w14:paraId="5774663F">
            <w:pPr>
              <w:pStyle w:val="7"/>
              <w:spacing w:before="147" w:line="237" w:lineRule="auto"/>
              <w:ind w:left="343"/>
            </w:pPr>
            <w:r>
              <w:t>6</w:t>
            </w:r>
          </w:p>
        </w:tc>
        <w:tc>
          <w:tcPr>
            <w:tcW w:w="1657" w:type="dxa"/>
            <w:vAlign w:val="top"/>
          </w:tcPr>
          <w:p w14:paraId="29B0476D">
            <w:pPr>
              <w:pStyle w:val="7"/>
              <w:spacing w:before="147" w:line="219" w:lineRule="auto"/>
              <w:ind w:left="185"/>
            </w:pPr>
            <w:r>
              <w:rPr>
                <w:spacing w:val="-19"/>
              </w:rPr>
              <w:t>混凝土输送泵</w:t>
            </w:r>
          </w:p>
        </w:tc>
        <w:tc>
          <w:tcPr>
            <w:tcW w:w="1560" w:type="dxa"/>
            <w:vAlign w:val="top"/>
          </w:tcPr>
          <w:p w14:paraId="6681BCA0">
            <w:pPr>
              <w:pStyle w:val="7"/>
              <w:spacing w:before="147" w:line="237" w:lineRule="auto"/>
              <w:ind w:left="446"/>
            </w:pPr>
            <w:r>
              <w:rPr>
                <w:spacing w:val="-8"/>
              </w:rPr>
              <w:t>HBT-80</w:t>
            </w:r>
          </w:p>
        </w:tc>
        <w:tc>
          <w:tcPr>
            <w:tcW w:w="650" w:type="dxa"/>
            <w:vAlign w:val="top"/>
          </w:tcPr>
          <w:p w14:paraId="7071D68B">
            <w:pPr>
              <w:pStyle w:val="7"/>
              <w:spacing w:before="148" w:line="238" w:lineRule="auto"/>
              <w:ind w:left="272"/>
            </w:pPr>
            <w:r>
              <w:t>2</w:t>
            </w:r>
          </w:p>
        </w:tc>
        <w:tc>
          <w:tcPr>
            <w:tcW w:w="792" w:type="dxa"/>
            <w:vAlign w:val="top"/>
          </w:tcPr>
          <w:p w14:paraId="055C0028">
            <w:pPr>
              <w:pStyle w:val="7"/>
              <w:spacing w:before="147" w:line="218" w:lineRule="auto"/>
              <w:ind w:left="185"/>
            </w:pPr>
            <w:r>
              <w:rPr>
                <w:spacing w:val="-10"/>
              </w:rPr>
              <w:t>杭州</w:t>
            </w:r>
          </w:p>
        </w:tc>
        <w:tc>
          <w:tcPr>
            <w:tcW w:w="794" w:type="dxa"/>
            <w:vAlign w:val="top"/>
          </w:tcPr>
          <w:p w14:paraId="13C00616">
            <w:pPr>
              <w:pStyle w:val="7"/>
              <w:spacing w:before="146" w:line="237" w:lineRule="auto"/>
              <w:ind w:left="186" w:leftChars="0"/>
            </w:pPr>
            <w:r>
              <w:rPr>
                <w:spacing w:val="-9"/>
              </w:rPr>
              <w:t>2022</w:t>
            </w:r>
          </w:p>
        </w:tc>
        <w:tc>
          <w:tcPr>
            <w:tcW w:w="790" w:type="dxa"/>
            <w:vAlign w:val="top"/>
          </w:tcPr>
          <w:p w14:paraId="2368BD53">
            <w:pPr>
              <w:pStyle w:val="7"/>
              <w:spacing w:before="147" w:line="237" w:lineRule="auto"/>
              <w:ind w:left="252"/>
            </w:pPr>
            <w:r>
              <w:rPr>
                <w:spacing w:val="-12"/>
              </w:rPr>
              <w:t>110</w:t>
            </w:r>
          </w:p>
        </w:tc>
        <w:tc>
          <w:tcPr>
            <w:tcW w:w="794" w:type="dxa"/>
            <w:vAlign w:val="top"/>
          </w:tcPr>
          <w:p w14:paraId="6DFDEDDF">
            <w:pPr>
              <w:pStyle w:val="7"/>
              <w:spacing w:before="147" w:line="222" w:lineRule="auto"/>
              <w:ind w:left="77"/>
            </w:pPr>
            <w:r>
              <w:rPr>
                <w:spacing w:val="-10"/>
              </w:rPr>
              <w:t>80m3/h</w:t>
            </w:r>
          </w:p>
        </w:tc>
        <w:tc>
          <w:tcPr>
            <w:tcW w:w="1300" w:type="dxa"/>
            <w:vAlign w:val="top"/>
          </w:tcPr>
          <w:p w14:paraId="40227982">
            <w:pPr>
              <w:pStyle w:val="7"/>
              <w:spacing w:before="147" w:line="219" w:lineRule="auto"/>
              <w:ind w:left="124"/>
            </w:pPr>
            <w:r>
              <w:rPr>
                <w:spacing w:val="-18"/>
              </w:rPr>
              <w:t>混凝土浇筑</w:t>
            </w:r>
          </w:p>
        </w:tc>
        <w:tc>
          <w:tcPr>
            <w:tcW w:w="727" w:type="dxa"/>
            <w:vMerge w:val="continue"/>
            <w:tcBorders>
              <w:top w:val="nil"/>
              <w:bottom w:val="nil"/>
              <w:right w:val="single" w:color="5B9BD5" w:sz="4" w:space="0"/>
            </w:tcBorders>
            <w:vAlign w:val="top"/>
          </w:tcPr>
          <w:p w14:paraId="71AFB924">
            <w:pPr>
              <w:rPr>
                <w:rFonts w:ascii="Arial"/>
                <w:sz w:val="21"/>
              </w:rPr>
            </w:pPr>
          </w:p>
        </w:tc>
      </w:tr>
      <w:tr w14:paraId="4391FC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83" w:hRule="atLeast"/>
        </w:trPr>
        <w:tc>
          <w:tcPr>
            <w:tcW w:w="775" w:type="dxa"/>
            <w:gridSpan w:val="2"/>
            <w:tcBorders>
              <w:left w:val="single" w:color="000000" w:sz="4" w:space="0"/>
            </w:tcBorders>
            <w:vAlign w:val="top"/>
          </w:tcPr>
          <w:p w14:paraId="3031F751">
            <w:pPr>
              <w:pStyle w:val="7"/>
              <w:spacing w:before="148" w:line="237" w:lineRule="auto"/>
              <w:ind w:left="347"/>
            </w:pPr>
            <w:r>
              <w:t>7</w:t>
            </w:r>
          </w:p>
        </w:tc>
        <w:tc>
          <w:tcPr>
            <w:tcW w:w="1657" w:type="dxa"/>
            <w:vAlign w:val="top"/>
          </w:tcPr>
          <w:p w14:paraId="1CDF036F">
            <w:pPr>
              <w:pStyle w:val="7"/>
              <w:spacing w:before="148" w:line="215" w:lineRule="auto"/>
              <w:ind w:left="511"/>
            </w:pPr>
            <w:r>
              <w:rPr>
                <w:spacing w:val="-14"/>
              </w:rPr>
              <w:t>汽车吊</w:t>
            </w:r>
          </w:p>
        </w:tc>
        <w:tc>
          <w:tcPr>
            <w:tcW w:w="1560" w:type="dxa"/>
            <w:vAlign w:val="top"/>
          </w:tcPr>
          <w:p w14:paraId="4C62ED96">
            <w:pPr>
              <w:pStyle w:val="7"/>
              <w:spacing w:before="148" w:line="237" w:lineRule="auto"/>
              <w:ind w:left="126"/>
            </w:pPr>
            <w:r>
              <w:rPr>
                <w:spacing w:val="-11"/>
              </w:rPr>
              <w:t>SY5368THB-45</w:t>
            </w:r>
          </w:p>
        </w:tc>
        <w:tc>
          <w:tcPr>
            <w:tcW w:w="650" w:type="dxa"/>
            <w:vAlign w:val="top"/>
          </w:tcPr>
          <w:p w14:paraId="64764B98">
            <w:pPr>
              <w:pStyle w:val="7"/>
              <w:spacing w:before="148" w:line="237" w:lineRule="auto"/>
              <w:ind w:left="274"/>
            </w:pPr>
            <w:r>
              <w:t>5</w:t>
            </w:r>
          </w:p>
        </w:tc>
        <w:tc>
          <w:tcPr>
            <w:tcW w:w="792" w:type="dxa"/>
            <w:vAlign w:val="top"/>
          </w:tcPr>
          <w:p w14:paraId="76DB9949">
            <w:pPr>
              <w:pStyle w:val="7"/>
              <w:spacing w:before="148" w:line="218" w:lineRule="auto"/>
              <w:ind w:left="187"/>
            </w:pPr>
            <w:r>
              <w:rPr>
                <w:spacing w:val="-10"/>
              </w:rPr>
              <w:t>天津</w:t>
            </w:r>
          </w:p>
        </w:tc>
        <w:tc>
          <w:tcPr>
            <w:tcW w:w="794" w:type="dxa"/>
            <w:vAlign w:val="top"/>
          </w:tcPr>
          <w:p w14:paraId="68F210AC">
            <w:pPr>
              <w:pStyle w:val="7"/>
              <w:spacing w:before="145" w:line="237" w:lineRule="auto"/>
              <w:ind w:left="186" w:leftChars="0"/>
            </w:pPr>
            <w:r>
              <w:rPr>
                <w:spacing w:val="-9"/>
              </w:rPr>
              <w:t>202</w:t>
            </w:r>
            <w:r>
              <w:rPr>
                <w:rFonts w:hint="eastAsia"/>
                <w:spacing w:val="-9"/>
                <w:lang w:val="en-US" w:eastAsia="zh-CN"/>
              </w:rPr>
              <w:t>1</w:t>
            </w:r>
          </w:p>
        </w:tc>
        <w:tc>
          <w:tcPr>
            <w:tcW w:w="790" w:type="dxa"/>
            <w:vAlign w:val="top"/>
          </w:tcPr>
          <w:p w14:paraId="3D2269C6">
            <w:pPr>
              <w:pStyle w:val="7"/>
              <w:spacing w:before="148" w:line="222" w:lineRule="auto"/>
              <w:ind w:left="344"/>
            </w:pPr>
            <w:r>
              <w:t>/</w:t>
            </w:r>
          </w:p>
        </w:tc>
        <w:tc>
          <w:tcPr>
            <w:tcW w:w="794" w:type="dxa"/>
            <w:vAlign w:val="top"/>
          </w:tcPr>
          <w:p w14:paraId="606951A9">
            <w:pPr>
              <w:pStyle w:val="7"/>
              <w:spacing w:before="148" w:line="219" w:lineRule="auto"/>
              <w:ind w:left="227"/>
            </w:pPr>
            <w:r>
              <w:rPr>
                <w:spacing w:val="-19"/>
              </w:rPr>
              <w:t>良好</w:t>
            </w:r>
          </w:p>
        </w:tc>
        <w:tc>
          <w:tcPr>
            <w:tcW w:w="1300" w:type="dxa"/>
            <w:vAlign w:val="top"/>
          </w:tcPr>
          <w:p w14:paraId="24BEDBBE">
            <w:pPr>
              <w:pStyle w:val="7"/>
              <w:spacing w:before="148" w:line="218" w:lineRule="auto"/>
              <w:ind w:left="232"/>
            </w:pPr>
            <w:r>
              <w:rPr>
                <w:spacing w:val="-15"/>
              </w:rPr>
              <w:t>起重吊装</w:t>
            </w:r>
          </w:p>
        </w:tc>
        <w:tc>
          <w:tcPr>
            <w:tcW w:w="727" w:type="dxa"/>
            <w:vMerge w:val="continue"/>
            <w:tcBorders>
              <w:top w:val="nil"/>
              <w:bottom w:val="nil"/>
              <w:right w:val="single" w:color="5B9BD5" w:sz="4" w:space="0"/>
            </w:tcBorders>
            <w:vAlign w:val="top"/>
          </w:tcPr>
          <w:p w14:paraId="326CAB7E">
            <w:pPr>
              <w:rPr>
                <w:rFonts w:ascii="Arial"/>
                <w:sz w:val="21"/>
              </w:rPr>
            </w:pPr>
          </w:p>
        </w:tc>
      </w:tr>
      <w:tr w14:paraId="351C95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5" w:hRule="atLeast"/>
        </w:trPr>
        <w:tc>
          <w:tcPr>
            <w:tcW w:w="775" w:type="dxa"/>
            <w:gridSpan w:val="2"/>
            <w:tcBorders>
              <w:left w:val="single" w:color="000000" w:sz="4" w:space="0"/>
            </w:tcBorders>
            <w:vAlign w:val="top"/>
          </w:tcPr>
          <w:p w14:paraId="59BE25BD">
            <w:pPr>
              <w:pStyle w:val="7"/>
              <w:spacing w:before="151" w:line="237" w:lineRule="auto"/>
              <w:ind w:left="343"/>
            </w:pPr>
            <w:r>
              <w:t>8</w:t>
            </w:r>
          </w:p>
        </w:tc>
        <w:tc>
          <w:tcPr>
            <w:tcW w:w="1657" w:type="dxa"/>
            <w:vAlign w:val="top"/>
          </w:tcPr>
          <w:p w14:paraId="5A8C9771">
            <w:pPr>
              <w:pStyle w:val="7"/>
              <w:spacing w:before="151" w:line="216" w:lineRule="auto"/>
              <w:ind w:left="294"/>
            </w:pPr>
            <w:r>
              <w:rPr>
                <w:spacing w:val="-18"/>
              </w:rPr>
              <w:t>履带式吊机</w:t>
            </w:r>
          </w:p>
        </w:tc>
        <w:tc>
          <w:tcPr>
            <w:tcW w:w="1560" w:type="dxa"/>
            <w:vAlign w:val="top"/>
          </w:tcPr>
          <w:p w14:paraId="3CC523E3">
            <w:pPr>
              <w:pStyle w:val="7"/>
              <w:spacing w:before="196" w:line="178" w:lineRule="auto"/>
              <w:ind w:left="505"/>
            </w:pPr>
            <w:r>
              <w:rPr>
                <w:spacing w:val="-9"/>
              </w:rPr>
              <w:t>QUY50</w:t>
            </w:r>
          </w:p>
        </w:tc>
        <w:tc>
          <w:tcPr>
            <w:tcW w:w="650" w:type="dxa"/>
            <w:vAlign w:val="top"/>
          </w:tcPr>
          <w:p w14:paraId="767E12CF">
            <w:pPr>
              <w:pStyle w:val="7"/>
              <w:spacing w:before="151" w:line="237" w:lineRule="auto"/>
              <w:ind w:left="274"/>
            </w:pPr>
            <w:r>
              <w:t>5</w:t>
            </w:r>
          </w:p>
        </w:tc>
        <w:tc>
          <w:tcPr>
            <w:tcW w:w="792" w:type="dxa"/>
            <w:vAlign w:val="top"/>
          </w:tcPr>
          <w:p w14:paraId="77F8B909">
            <w:pPr>
              <w:pStyle w:val="7"/>
              <w:spacing w:before="151" w:line="218" w:lineRule="auto"/>
              <w:ind w:left="188"/>
            </w:pPr>
            <w:r>
              <w:rPr>
                <w:spacing w:val="-9"/>
              </w:rPr>
              <w:t>浙江</w:t>
            </w:r>
          </w:p>
        </w:tc>
        <w:tc>
          <w:tcPr>
            <w:tcW w:w="794" w:type="dxa"/>
            <w:vAlign w:val="top"/>
          </w:tcPr>
          <w:p w14:paraId="6CB0B7CE">
            <w:pPr>
              <w:pStyle w:val="7"/>
              <w:spacing w:before="146" w:line="237" w:lineRule="auto"/>
              <w:ind w:left="186" w:leftChars="0"/>
            </w:pPr>
            <w:r>
              <w:rPr>
                <w:spacing w:val="-9"/>
              </w:rPr>
              <w:t>2022</w:t>
            </w:r>
          </w:p>
        </w:tc>
        <w:tc>
          <w:tcPr>
            <w:tcW w:w="790" w:type="dxa"/>
            <w:vAlign w:val="top"/>
          </w:tcPr>
          <w:p w14:paraId="29579F16">
            <w:pPr>
              <w:pStyle w:val="7"/>
              <w:spacing w:before="151" w:line="237" w:lineRule="auto"/>
              <w:ind w:left="252"/>
            </w:pPr>
            <w:r>
              <w:rPr>
                <w:spacing w:val="-12"/>
              </w:rPr>
              <w:t>115</w:t>
            </w:r>
          </w:p>
        </w:tc>
        <w:tc>
          <w:tcPr>
            <w:tcW w:w="794" w:type="dxa"/>
            <w:vAlign w:val="top"/>
          </w:tcPr>
          <w:p w14:paraId="645E5EDD">
            <w:pPr>
              <w:pStyle w:val="7"/>
              <w:spacing w:before="196" w:line="178" w:lineRule="auto"/>
              <w:ind w:left="244"/>
            </w:pPr>
            <w:r>
              <w:rPr>
                <w:spacing w:val="-9"/>
              </w:rPr>
              <w:t>50T</w:t>
            </w:r>
          </w:p>
        </w:tc>
        <w:tc>
          <w:tcPr>
            <w:tcW w:w="1300" w:type="dxa"/>
            <w:vAlign w:val="top"/>
          </w:tcPr>
          <w:p w14:paraId="520528A7">
            <w:pPr>
              <w:pStyle w:val="7"/>
              <w:spacing w:before="151" w:line="218" w:lineRule="auto"/>
              <w:ind w:left="232"/>
            </w:pPr>
            <w:r>
              <w:rPr>
                <w:spacing w:val="-15"/>
              </w:rPr>
              <w:t>起重吊装</w:t>
            </w:r>
          </w:p>
        </w:tc>
        <w:tc>
          <w:tcPr>
            <w:tcW w:w="727" w:type="dxa"/>
            <w:vMerge w:val="continue"/>
            <w:tcBorders>
              <w:top w:val="nil"/>
              <w:bottom w:val="nil"/>
              <w:right w:val="single" w:color="5B9BD5" w:sz="4" w:space="0"/>
            </w:tcBorders>
            <w:vAlign w:val="top"/>
          </w:tcPr>
          <w:p w14:paraId="4C18DD25">
            <w:pPr>
              <w:rPr>
                <w:rFonts w:ascii="Arial"/>
                <w:sz w:val="21"/>
              </w:rPr>
            </w:pPr>
          </w:p>
        </w:tc>
      </w:tr>
      <w:tr w14:paraId="62C000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5" w:hRule="atLeast"/>
        </w:trPr>
        <w:tc>
          <w:tcPr>
            <w:tcW w:w="775" w:type="dxa"/>
            <w:gridSpan w:val="2"/>
            <w:tcBorders>
              <w:left w:val="single" w:color="000000" w:sz="4" w:space="0"/>
            </w:tcBorders>
            <w:vAlign w:val="top"/>
          </w:tcPr>
          <w:p w14:paraId="7D8A3EA5">
            <w:pPr>
              <w:pStyle w:val="7"/>
              <w:spacing w:before="152" w:line="237" w:lineRule="auto"/>
              <w:ind w:left="343"/>
            </w:pPr>
            <w:r>
              <w:t>9</w:t>
            </w:r>
          </w:p>
        </w:tc>
        <w:tc>
          <w:tcPr>
            <w:tcW w:w="1657" w:type="dxa"/>
            <w:vAlign w:val="top"/>
          </w:tcPr>
          <w:p w14:paraId="71C4C254">
            <w:pPr>
              <w:pStyle w:val="7"/>
              <w:spacing w:before="153" w:line="215" w:lineRule="auto"/>
              <w:ind w:left="511"/>
            </w:pPr>
            <w:r>
              <w:rPr>
                <w:spacing w:val="-14"/>
              </w:rPr>
              <w:t>汽车吊</w:t>
            </w:r>
          </w:p>
        </w:tc>
        <w:tc>
          <w:tcPr>
            <w:tcW w:w="1560" w:type="dxa"/>
            <w:vAlign w:val="top"/>
          </w:tcPr>
          <w:p w14:paraId="7F04AEE8">
            <w:pPr>
              <w:pStyle w:val="7"/>
              <w:spacing w:before="197" w:line="178" w:lineRule="auto"/>
              <w:ind w:left="620"/>
            </w:pPr>
            <w:r>
              <w:rPr>
                <w:spacing w:val="-8"/>
              </w:rPr>
              <w:t>25T</w:t>
            </w:r>
          </w:p>
        </w:tc>
        <w:tc>
          <w:tcPr>
            <w:tcW w:w="650" w:type="dxa"/>
            <w:vAlign w:val="top"/>
          </w:tcPr>
          <w:p w14:paraId="0761216C">
            <w:pPr>
              <w:pStyle w:val="7"/>
              <w:spacing w:before="153" w:line="238" w:lineRule="auto"/>
              <w:ind w:left="272"/>
            </w:pPr>
            <w:r>
              <w:t>2</w:t>
            </w:r>
          </w:p>
        </w:tc>
        <w:tc>
          <w:tcPr>
            <w:tcW w:w="792" w:type="dxa"/>
            <w:vAlign w:val="top"/>
          </w:tcPr>
          <w:p w14:paraId="7F3EFF44">
            <w:pPr>
              <w:pStyle w:val="7"/>
              <w:spacing w:before="153" w:line="218" w:lineRule="auto"/>
              <w:ind w:left="188"/>
            </w:pPr>
            <w:r>
              <w:rPr>
                <w:spacing w:val="-10"/>
              </w:rPr>
              <w:t>浙江</w:t>
            </w:r>
          </w:p>
        </w:tc>
        <w:tc>
          <w:tcPr>
            <w:tcW w:w="794" w:type="dxa"/>
            <w:vAlign w:val="top"/>
          </w:tcPr>
          <w:p w14:paraId="41202560">
            <w:pPr>
              <w:pStyle w:val="7"/>
              <w:spacing w:before="145" w:line="237" w:lineRule="auto"/>
              <w:ind w:left="186" w:leftChars="0"/>
            </w:pPr>
            <w:r>
              <w:rPr>
                <w:spacing w:val="-9"/>
              </w:rPr>
              <w:t>202</w:t>
            </w:r>
            <w:r>
              <w:rPr>
                <w:rFonts w:hint="eastAsia"/>
                <w:spacing w:val="-9"/>
                <w:lang w:val="en-US" w:eastAsia="zh-CN"/>
              </w:rPr>
              <w:t>1</w:t>
            </w:r>
          </w:p>
        </w:tc>
        <w:tc>
          <w:tcPr>
            <w:tcW w:w="790" w:type="dxa"/>
            <w:vAlign w:val="top"/>
          </w:tcPr>
          <w:p w14:paraId="69216387">
            <w:pPr>
              <w:pStyle w:val="7"/>
              <w:spacing w:before="152" w:line="222" w:lineRule="auto"/>
              <w:ind w:left="344"/>
            </w:pPr>
            <w:r>
              <w:t>/</w:t>
            </w:r>
          </w:p>
        </w:tc>
        <w:tc>
          <w:tcPr>
            <w:tcW w:w="794" w:type="dxa"/>
            <w:vAlign w:val="top"/>
          </w:tcPr>
          <w:p w14:paraId="5309F344">
            <w:pPr>
              <w:pStyle w:val="7"/>
              <w:spacing w:before="197" w:line="178" w:lineRule="auto"/>
              <w:ind w:left="242"/>
            </w:pPr>
            <w:r>
              <w:rPr>
                <w:spacing w:val="-8"/>
              </w:rPr>
              <w:t>25T</w:t>
            </w:r>
          </w:p>
        </w:tc>
        <w:tc>
          <w:tcPr>
            <w:tcW w:w="1300" w:type="dxa"/>
            <w:vAlign w:val="top"/>
          </w:tcPr>
          <w:p w14:paraId="1C1DDCB6">
            <w:pPr>
              <w:pStyle w:val="7"/>
              <w:spacing w:before="153" w:line="218" w:lineRule="auto"/>
              <w:ind w:left="232"/>
            </w:pPr>
            <w:r>
              <w:rPr>
                <w:spacing w:val="-15"/>
              </w:rPr>
              <w:t>起重吊装</w:t>
            </w:r>
          </w:p>
        </w:tc>
        <w:tc>
          <w:tcPr>
            <w:tcW w:w="727" w:type="dxa"/>
            <w:vMerge w:val="continue"/>
            <w:tcBorders>
              <w:top w:val="nil"/>
              <w:bottom w:val="nil"/>
              <w:right w:val="single" w:color="5B9BD5" w:sz="4" w:space="0"/>
            </w:tcBorders>
            <w:vAlign w:val="top"/>
          </w:tcPr>
          <w:p w14:paraId="1AA5CB2F">
            <w:pPr>
              <w:rPr>
                <w:rFonts w:ascii="Arial"/>
                <w:sz w:val="21"/>
              </w:rPr>
            </w:pPr>
          </w:p>
        </w:tc>
      </w:tr>
      <w:tr w14:paraId="49869F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4" w:hRule="atLeast"/>
        </w:trPr>
        <w:tc>
          <w:tcPr>
            <w:tcW w:w="179" w:type="dxa"/>
            <w:tcBorders>
              <w:left w:val="single" w:color="1C456A" w:sz="4" w:space="0"/>
              <w:bottom w:val="single" w:color="1C456A" w:sz="4" w:space="0"/>
              <w:right w:val="nil"/>
            </w:tcBorders>
            <w:vAlign w:val="top"/>
          </w:tcPr>
          <w:p w14:paraId="71D4CACA">
            <w:pPr>
              <w:rPr>
                <w:rFonts w:ascii="Arial"/>
                <w:sz w:val="21"/>
              </w:rPr>
            </w:pPr>
            <w:r>
              <w:pict>
                <v:shape id="_x0000_s4146" o:spid="_x0000_s4146" style="position:absolute;left:0pt;margin-left:-0.25pt;margin-top:36.25pt;height:0.75pt;width:2.2pt;mso-position-horizontal-relative:page;mso-position-vertical-relative:page;z-index:252368896;mso-width-relative:page;mso-height-relative:page;" fillcolor="#5B9BD5" filled="t" stroked="f" coordsize="44,15" path="m0,14l43,14,43,0,0,0,0,14xe">
                  <v:path/>
                  <v:fill on="t" focussize="0,0"/>
                  <v:stroke on="f"/>
                  <v:imagedata o:title=""/>
                  <o:lock v:ext="edit"/>
                </v:shape>
              </w:pict>
            </w:r>
          </w:p>
        </w:tc>
        <w:tc>
          <w:tcPr>
            <w:tcW w:w="596" w:type="dxa"/>
            <w:tcBorders>
              <w:left w:val="nil"/>
              <w:bottom w:val="single" w:color="1C456A" w:sz="4" w:space="0"/>
            </w:tcBorders>
            <w:vAlign w:val="top"/>
          </w:tcPr>
          <w:p w14:paraId="76CEA1B4">
            <w:pPr>
              <w:pStyle w:val="7"/>
              <w:spacing w:before="151" w:line="237" w:lineRule="auto"/>
              <w:ind w:left="130"/>
            </w:pPr>
            <w:r>
              <w:rPr>
                <w:spacing w:val="-10"/>
              </w:rPr>
              <w:t>10</w:t>
            </w:r>
          </w:p>
        </w:tc>
        <w:tc>
          <w:tcPr>
            <w:tcW w:w="1657" w:type="dxa"/>
            <w:tcBorders>
              <w:bottom w:val="single" w:color="000000" w:sz="4" w:space="0"/>
            </w:tcBorders>
            <w:vAlign w:val="top"/>
          </w:tcPr>
          <w:p w14:paraId="37D0B11B">
            <w:pPr>
              <w:pStyle w:val="7"/>
              <w:spacing w:before="151" w:line="218" w:lineRule="auto"/>
              <w:ind w:left="289"/>
            </w:pPr>
            <w:r>
              <w:rPr>
                <w:spacing w:val="-17"/>
              </w:rPr>
              <w:t>钢筋弯曲机</w:t>
            </w:r>
          </w:p>
        </w:tc>
        <w:tc>
          <w:tcPr>
            <w:tcW w:w="1560" w:type="dxa"/>
            <w:tcBorders>
              <w:bottom w:val="single" w:color="000000" w:sz="4" w:space="0"/>
            </w:tcBorders>
            <w:vAlign w:val="top"/>
          </w:tcPr>
          <w:p w14:paraId="4FD93BBD">
            <w:pPr>
              <w:pStyle w:val="7"/>
              <w:spacing w:before="151" w:line="237" w:lineRule="auto"/>
              <w:ind w:left="341"/>
            </w:pPr>
            <w:r>
              <w:rPr>
                <w:spacing w:val="-10"/>
              </w:rPr>
              <w:t>GTJB7-40</w:t>
            </w:r>
          </w:p>
        </w:tc>
        <w:tc>
          <w:tcPr>
            <w:tcW w:w="650" w:type="dxa"/>
            <w:tcBorders>
              <w:bottom w:val="single" w:color="000000" w:sz="4" w:space="0"/>
            </w:tcBorders>
            <w:vAlign w:val="top"/>
          </w:tcPr>
          <w:p w14:paraId="0E5474EA">
            <w:pPr>
              <w:pStyle w:val="7"/>
              <w:spacing w:before="152" w:line="238" w:lineRule="auto"/>
              <w:ind w:left="272"/>
            </w:pPr>
            <w:r>
              <w:t>2</w:t>
            </w:r>
          </w:p>
        </w:tc>
        <w:tc>
          <w:tcPr>
            <w:tcW w:w="792" w:type="dxa"/>
            <w:tcBorders>
              <w:bottom w:val="single" w:color="000000" w:sz="4" w:space="0"/>
            </w:tcBorders>
            <w:vAlign w:val="top"/>
          </w:tcPr>
          <w:p w14:paraId="6421A522">
            <w:pPr>
              <w:pStyle w:val="7"/>
              <w:spacing w:before="151" w:line="219" w:lineRule="auto"/>
              <w:ind w:left="193"/>
            </w:pPr>
            <w:r>
              <w:rPr>
                <w:spacing w:val="-12"/>
              </w:rPr>
              <w:t>河南</w:t>
            </w:r>
          </w:p>
        </w:tc>
        <w:tc>
          <w:tcPr>
            <w:tcW w:w="794" w:type="dxa"/>
            <w:tcBorders>
              <w:bottom w:val="single" w:color="000000" w:sz="4" w:space="0"/>
            </w:tcBorders>
            <w:vAlign w:val="top"/>
          </w:tcPr>
          <w:p w14:paraId="68133CBC">
            <w:pPr>
              <w:pStyle w:val="7"/>
              <w:spacing w:before="146" w:line="237" w:lineRule="auto"/>
              <w:ind w:left="186" w:leftChars="0"/>
            </w:pPr>
            <w:r>
              <w:rPr>
                <w:spacing w:val="-9"/>
              </w:rPr>
              <w:t>2022</w:t>
            </w:r>
          </w:p>
        </w:tc>
        <w:tc>
          <w:tcPr>
            <w:tcW w:w="790" w:type="dxa"/>
            <w:tcBorders>
              <w:bottom w:val="single" w:color="000000" w:sz="4" w:space="0"/>
            </w:tcBorders>
            <w:vAlign w:val="top"/>
          </w:tcPr>
          <w:p w14:paraId="5E22DAB0">
            <w:pPr>
              <w:pStyle w:val="7"/>
              <w:spacing w:before="151" w:line="237" w:lineRule="auto"/>
              <w:ind w:left="350"/>
            </w:pPr>
            <w:r>
              <w:t>3</w:t>
            </w:r>
          </w:p>
        </w:tc>
        <w:tc>
          <w:tcPr>
            <w:tcW w:w="794" w:type="dxa"/>
            <w:tcBorders>
              <w:bottom w:val="single" w:color="000000" w:sz="4" w:space="0"/>
            </w:tcBorders>
            <w:vAlign w:val="top"/>
          </w:tcPr>
          <w:p w14:paraId="3FDFAA79">
            <w:pPr>
              <w:pStyle w:val="7"/>
              <w:spacing w:before="151" w:line="219" w:lineRule="auto"/>
              <w:ind w:left="227"/>
            </w:pPr>
            <w:r>
              <w:rPr>
                <w:spacing w:val="-19"/>
              </w:rPr>
              <w:t>良好</w:t>
            </w:r>
          </w:p>
        </w:tc>
        <w:tc>
          <w:tcPr>
            <w:tcW w:w="1300" w:type="dxa"/>
            <w:tcBorders>
              <w:bottom w:val="single" w:color="000000" w:sz="4" w:space="0"/>
            </w:tcBorders>
            <w:vAlign w:val="top"/>
          </w:tcPr>
          <w:p w14:paraId="1BE8CDB8">
            <w:pPr>
              <w:pStyle w:val="7"/>
              <w:spacing w:before="151" w:line="219" w:lineRule="auto"/>
              <w:ind w:left="230"/>
            </w:pPr>
            <w:r>
              <w:rPr>
                <w:spacing w:val="-15"/>
              </w:rPr>
              <w:t>钢筋加工</w:t>
            </w:r>
          </w:p>
        </w:tc>
        <w:tc>
          <w:tcPr>
            <w:tcW w:w="727" w:type="dxa"/>
            <w:vMerge w:val="continue"/>
            <w:tcBorders>
              <w:top w:val="nil"/>
              <w:bottom w:val="single" w:color="5B9BD5" w:sz="4" w:space="0"/>
              <w:right w:val="single" w:color="5B9BD5" w:sz="4" w:space="0"/>
            </w:tcBorders>
            <w:vAlign w:val="top"/>
          </w:tcPr>
          <w:p w14:paraId="4EF762D6">
            <w:pPr>
              <w:rPr>
                <w:rFonts w:ascii="Arial"/>
                <w:sz w:val="21"/>
              </w:rPr>
            </w:pPr>
          </w:p>
        </w:tc>
      </w:tr>
    </w:tbl>
    <w:p w14:paraId="294803AF">
      <w:pPr>
        <w:rPr>
          <w:rFonts w:ascii="Arial"/>
          <w:sz w:val="21"/>
        </w:rPr>
      </w:pPr>
    </w:p>
    <w:p w14:paraId="65F6BC53">
      <w:pPr>
        <w:rPr>
          <w:rFonts w:ascii="Arial" w:hAnsi="Arial" w:eastAsia="Arial" w:cs="Arial"/>
          <w:sz w:val="21"/>
          <w:szCs w:val="21"/>
        </w:rPr>
        <w:sectPr>
          <w:footerReference r:id="rId393" w:type="default"/>
          <w:pgSz w:w="11907" w:h="16839"/>
          <w:pgMar w:top="933" w:right="4" w:bottom="1038" w:left="0" w:header="478" w:footer="357" w:gutter="0"/>
          <w:pgBorders>
            <w:top w:val="none" w:sz="0" w:space="0"/>
            <w:left w:val="none" w:sz="0" w:space="0"/>
            <w:bottom w:val="none" w:sz="0" w:space="0"/>
            <w:right w:val="none" w:sz="0" w:space="0"/>
          </w:pgBorders>
          <w:cols w:space="720" w:num="1"/>
        </w:sectPr>
      </w:pPr>
    </w:p>
    <w:p w14:paraId="7E92B3BC">
      <w:pPr>
        <w:spacing w:line="235" w:lineRule="exact"/>
      </w:pPr>
    </w:p>
    <w:tbl>
      <w:tblPr>
        <w:tblStyle w:val="6"/>
        <w:tblW w:w="9839" w:type="dxa"/>
        <w:tblInd w:w="103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72"/>
        <w:gridCol w:w="600"/>
        <w:gridCol w:w="1657"/>
        <w:gridCol w:w="1559"/>
        <w:gridCol w:w="650"/>
        <w:gridCol w:w="794"/>
        <w:gridCol w:w="794"/>
        <w:gridCol w:w="791"/>
        <w:gridCol w:w="794"/>
        <w:gridCol w:w="1302"/>
        <w:gridCol w:w="726"/>
      </w:tblGrid>
      <w:tr w14:paraId="5A3E48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2" w:hRule="atLeast"/>
        </w:trPr>
        <w:tc>
          <w:tcPr>
            <w:tcW w:w="772" w:type="dxa"/>
            <w:gridSpan w:val="2"/>
            <w:tcBorders>
              <w:top w:val="single" w:color="000000" w:sz="4" w:space="0"/>
              <w:left w:val="single" w:color="000000" w:sz="4" w:space="0"/>
            </w:tcBorders>
            <w:vAlign w:val="top"/>
          </w:tcPr>
          <w:p w14:paraId="5B725FED">
            <w:pPr>
              <w:pStyle w:val="7"/>
              <w:spacing w:before="180" w:line="238" w:lineRule="auto"/>
              <w:ind w:left="304"/>
            </w:pPr>
            <w:r>
              <w:rPr>
                <w:spacing w:val="-10"/>
              </w:rPr>
              <w:t>11</w:t>
            </w:r>
          </w:p>
        </w:tc>
        <w:tc>
          <w:tcPr>
            <w:tcW w:w="1657" w:type="dxa"/>
            <w:tcBorders>
              <w:top w:val="single" w:color="000000" w:sz="4" w:space="0"/>
            </w:tcBorders>
            <w:vAlign w:val="top"/>
          </w:tcPr>
          <w:p w14:paraId="32A6F5BE">
            <w:pPr>
              <w:pStyle w:val="7"/>
              <w:spacing w:before="179" w:line="217" w:lineRule="auto"/>
              <w:ind w:left="292"/>
            </w:pPr>
            <w:r>
              <w:rPr>
                <w:spacing w:val="-17"/>
              </w:rPr>
              <w:t>钢筋切断机</w:t>
            </w:r>
          </w:p>
        </w:tc>
        <w:tc>
          <w:tcPr>
            <w:tcW w:w="1559" w:type="dxa"/>
            <w:tcBorders>
              <w:top w:val="single" w:color="000000" w:sz="4" w:space="0"/>
            </w:tcBorders>
            <w:vAlign w:val="top"/>
          </w:tcPr>
          <w:p w14:paraId="2A748483">
            <w:pPr>
              <w:pStyle w:val="7"/>
              <w:spacing w:before="224" w:line="178" w:lineRule="auto"/>
              <w:ind w:left="452"/>
            </w:pPr>
            <w:r>
              <w:rPr>
                <w:spacing w:val="-9"/>
              </w:rPr>
              <w:t>GQ40-B</w:t>
            </w:r>
          </w:p>
        </w:tc>
        <w:tc>
          <w:tcPr>
            <w:tcW w:w="650" w:type="dxa"/>
            <w:tcBorders>
              <w:top w:val="single" w:color="000000" w:sz="4" w:space="0"/>
            </w:tcBorders>
            <w:vAlign w:val="top"/>
          </w:tcPr>
          <w:p w14:paraId="76378673">
            <w:pPr>
              <w:pStyle w:val="7"/>
              <w:spacing w:before="180" w:line="238" w:lineRule="auto"/>
              <w:ind w:left="276"/>
            </w:pPr>
            <w:r>
              <w:t>2</w:t>
            </w:r>
          </w:p>
        </w:tc>
        <w:tc>
          <w:tcPr>
            <w:tcW w:w="794" w:type="dxa"/>
            <w:tcBorders>
              <w:top w:val="single" w:color="000000" w:sz="4" w:space="0"/>
            </w:tcBorders>
            <w:vAlign w:val="top"/>
          </w:tcPr>
          <w:p w14:paraId="006E8D00">
            <w:pPr>
              <w:pStyle w:val="7"/>
              <w:spacing w:before="179" w:line="219" w:lineRule="auto"/>
              <w:ind w:left="197"/>
            </w:pPr>
            <w:r>
              <w:rPr>
                <w:spacing w:val="-12"/>
              </w:rPr>
              <w:t>河南</w:t>
            </w:r>
          </w:p>
        </w:tc>
        <w:tc>
          <w:tcPr>
            <w:tcW w:w="794" w:type="dxa"/>
            <w:tcBorders>
              <w:top w:val="single" w:color="000000" w:sz="4" w:space="0"/>
            </w:tcBorders>
            <w:vAlign w:val="top"/>
          </w:tcPr>
          <w:p w14:paraId="07CB0509">
            <w:pPr>
              <w:pStyle w:val="7"/>
              <w:spacing w:before="145" w:line="237" w:lineRule="auto"/>
              <w:ind w:left="186" w:leftChars="0"/>
            </w:pPr>
            <w:r>
              <w:rPr>
                <w:spacing w:val="-9"/>
              </w:rPr>
              <w:t>202</w:t>
            </w:r>
            <w:r>
              <w:rPr>
                <w:rFonts w:hint="eastAsia"/>
                <w:spacing w:val="-9"/>
                <w:lang w:val="en-US" w:eastAsia="zh-CN"/>
              </w:rPr>
              <w:t>1</w:t>
            </w:r>
          </w:p>
        </w:tc>
        <w:tc>
          <w:tcPr>
            <w:tcW w:w="791" w:type="dxa"/>
            <w:tcBorders>
              <w:top w:val="single" w:color="000000" w:sz="4" w:space="0"/>
            </w:tcBorders>
            <w:vAlign w:val="top"/>
          </w:tcPr>
          <w:p w14:paraId="631B8BE3">
            <w:pPr>
              <w:pStyle w:val="7"/>
              <w:spacing w:before="179" w:line="237" w:lineRule="auto"/>
              <w:ind w:left="353"/>
            </w:pPr>
            <w:r>
              <w:t>7</w:t>
            </w:r>
          </w:p>
        </w:tc>
        <w:tc>
          <w:tcPr>
            <w:tcW w:w="794" w:type="dxa"/>
            <w:tcBorders>
              <w:top w:val="single" w:color="000000" w:sz="4" w:space="0"/>
            </w:tcBorders>
            <w:vAlign w:val="top"/>
          </w:tcPr>
          <w:p w14:paraId="2BD81B85">
            <w:pPr>
              <w:pStyle w:val="7"/>
              <w:spacing w:before="179" w:line="219" w:lineRule="auto"/>
              <w:ind w:left="228"/>
            </w:pPr>
            <w:r>
              <w:rPr>
                <w:spacing w:val="-19"/>
              </w:rPr>
              <w:t>良好</w:t>
            </w:r>
          </w:p>
        </w:tc>
        <w:tc>
          <w:tcPr>
            <w:tcW w:w="1302" w:type="dxa"/>
            <w:tcBorders>
              <w:top w:val="single" w:color="000000" w:sz="4" w:space="0"/>
            </w:tcBorders>
            <w:vAlign w:val="top"/>
          </w:tcPr>
          <w:p w14:paraId="68D1BDE6">
            <w:pPr>
              <w:pStyle w:val="7"/>
              <w:spacing w:before="179" w:line="219" w:lineRule="auto"/>
              <w:ind w:left="231"/>
            </w:pPr>
            <w:r>
              <w:rPr>
                <w:spacing w:val="-15"/>
              </w:rPr>
              <w:t>钢筋加工</w:t>
            </w:r>
          </w:p>
        </w:tc>
        <w:tc>
          <w:tcPr>
            <w:tcW w:w="726" w:type="dxa"/>
            <w:vMerge w:val="restart"/>
            <w:tcBorders>
              <w:top w:val="single" w:color="5B9BD5" w:sz="4" w:space="0"/>
              <w:bottom w:val="nil"/>
              <w:right w:val="single" w:color="5B9BD5" w:sz="4" w:space="0"/>
            </w:tcBorders>
            <w:vAlign w:val="top"/>
          </w:tcPr>
          <w:p w14:paraId="54B7BAB1">
            <w:pPr>
              <w:spacing w:line="356" w:lineRule="auto"/>
              <w:rPr>
                <w:rFonts w:ascii="Arial"/>
                <w:sz w:val="21"/>
              </w:rPr>
            </w:pPr>
            <w:r>
              <w:pict>
                <v:shape id="_x0000_s4148" o:spid="_x0000_s4148" style="position:absolute;left:0pt;margin-left:34.4pt;margin-top:712.15pt;height:0.75pt;width:2.2pt;mso-position-horizontal-relative:page;mso-position-vertical-relative:page;z-index:252371968;mso-width-relative:page;mso-height-relative:page;" fillcolor="#5B9BD5" filled="t" stroked="f" coordsize="44,15" path="m0,14l43,14,43,0,0,0,0,14xe">
                  <v:path/>
                  <v:fill on="t" focussize="0,0"/>
                  <v:stroke on="f"/>
                  <v:imagedata o:title=""/>
                  <o:lock v:ext="edit"/>
                </v:shape>
              </w:pict>
            </w:r>
          </w:p>
          <w:p w14:paraId="6D3BF6D9">
            <w:pPr>
              <w:spacing w:line="357" w:lineRule="auto"/>
              <w:rPr>
                <w:rFonts w:ascii="Arial"/>
                <w:sz w:val="21"/>
              </w:rPr>
            </w:pPr>
          </w:p>
          <w:p w14:paraId="04DEBE25">
            <w:pPr>
              <w:spacing w:line="67" w:lineRule="exact"/>
              <w:ind w:firstLine="685"/>
            </w:pPr>
            <w:r>
              <w:rPr>
                <w:position w:val="-1"/>
              </w:rPr>
              <w:pict>
                <v:group id="_x0000_s4150" o:spid="_x0000_s4150" o:spt="203" style="height:3.4pt;width:1.45pt;" coordsize="29,68">
                  <o:lock v:ext="edit"/>
                  <v:shape id="_x0000_s4152" o:spid="_x0000_s4152" style="position:absolute;left:14;top:0;height:68;width:15;" fillcolor="#20507B" filled="t" stroked="f" coordsize="15,68" path="m0,67l14,67,14,0,0,0,0,67xe">
                    <v:path/>
                    <v:fill on="t" focussize="0,0"/>
                    <v:stroke on="f"/>
                    <v:imagedata o:title=""/>
                    <o:lock v:ext="edit"/>
                  </v:shape>
                  <v:shape id="_x0000_s4154" o:spid="_x0000_s4154" style="position:absolute;left:0;top:0;height:68;width:15;" fillcolor="#1C456A" filled="t" stroked="f" coordsize="15,68" path="m0,67l14,67,14,0,0,0,0,67xe">
                    <v:path/>
                    <v:fill on="t" focussize="0,0"/>
                    <v:stroke on="f"/>
                    <v:imagedata o:title=""/>
                    <o:lock v:ext="edit"/>
                  </v:shape>
                  <w10:wrap type="none"/>
                  <w10:anchorlock/>
                </v:group>
              </w:pict>
            </w:r>
          </w:p>
          <w:p w14:paraId="029B3C2B">
            <w:pPr>
              <w:spacing w:line="308" w:lineRule="auto"/>
              <w:rPr>
                <w:rFonts w:ascii="Arial"/>
                <w:sz w:val="21"/>
              </w:rPr>
            </w:pPr>
          </w:p>
          <w:p w14:paraId="7A573853">
            <w:pPr>
              <w:spacing w:line="309" w:lineRule="auto"/>
              <w:rPr>
                <w:rFonts w:ascii="Arial"/>
                <w:sz w:val="21"/>
              </w:rPr>
            </w:pPr>
          </w:p>
          <w:p w14:paraId="6D795552">
            <w:pPr>
              <w:spacing w:line="67" w:lineRule="exact"/>
              <w:ind w:firstLine="685"/>
            </w:pPr>
            <w:r>
              <w:rPr>
                <w:position w:val="-1"/>
              </w:rPr>
              <w:pict>
                <v:group id="_x0000_s4156" o:spid="_x0000_s4156" o:spt="203" style="height:3.4pt;width:1.45pt;" coordsize="29,68">
                  <o:lock v:ext="edit"/>
                  <v:shape id="_x0000_s4158" o:spid="_x0000_s4158" style="position:absolute;left:14;top:0;height:68;width:15;" fillcolor="#20507B" filled="t" stroked="f" coordsize="15,68" path="m0,67l14,67,14,0,0,0,0,67xe">
                    <v:path/>
                    <v:fill on="t" focussize="0,0"/>
                    <v:stroke on="f"/>
                    <v:imagedata o:title=""/>
                    <o:lock v:ext="edit"/>
                  </v:shape>
                  <v:shape id="_x0000_s4160" o:spid="_x0000_s4160" style="position:absolute;left:0;top:0;height:68;width:15;" fillcolor="#1C456A" filled="t" stroked="f" coordsize="15,68" path="m0,67l14,67,14,0,0,0,0,67xe">
                    <v:path/>
                    <v:fill on="t" focussize="0,0"/>
                    <v:stroke on="f"/>
                    <v:imagedata o:title=""/>
                    <o:lock v:ext="edit"/>
                  </v:shape>
                  <w10:wrap type="none"/>
                  <w10:anchorlock/>
                </v:group>
              </w:pict>
            </w:r>
          </w:p>
          <w:p w14:paraId="50EDF8B7">
            <w:pPr>
              <w:spacing w:line="310" w:lineRule="auto"/>
              <w:rPr>
                <w:rFonts w:ascii="Arial"/>
                <w:sz w:val="21"/>
              </w:rPr>
            </w:pPr>
          </w:p>
          <w:p w14:paraId="33DC9024">
            <w:pPr>
              <w:spacing w:line="310" w:lineRule="auto"/>
              <w:rPr>
                <w:rFonts w:ascii="Arial"/>
                <w:sz w:val="21"/>
              </w:rPr>
            </w:pPr>
          </w:p>
          <w:p w14:paraId="5AE9C9BE">
            <w:pPr>
              <w:spacing w:line="67" w:lineRule="exact"/>
              <w:ind w:firstLine="685"/>
            </w:pPr>
            <w:r>
              <w:rPr>
                <w:position w:val="-1"/>
              </w:rPr>
              <w:pict>
                <v:group id="_x0000_s4162" o:spid="_x0000_s4162" o:spt="203" style="height:3.4pt;width:1.45pt;" coordsize="29,68">
                  <o:lock v:ext="edit"/>
                  <v:shape id="_x0000_s4164" o:spid="_x0000_s4164" style="position:absolute;left:14;top:0;height:68;width:15;" fillcolor="#20507B" filled="t" stroked="f" coordsize="15,68" path="m0,67l14,67,14,0,0,0,0,67xe">
                    <v:path/>
                    <v:fill on="t" focussize="0,0"/>
                    <v:stroke on="f"/>
                    <v:imagedata o:title=""/>
                    <o:lock v:ext="edit"/>
                  </v:shape>
                  <v:shape id="_x0000_s4166" o:spid="_x0000_s4166" style="position:absolute;left:0;top:0;height:68;width:15;" fillcolor="#1C456A" filled="t" stroked="f" coordsize="15,68" path="m0,67l14,67,14,0,0,0,0,67xe">
                    <v:path/>
                    <v:fill on="t" focussize="0,0"/>
                    <v:stroke on="f"/>
                    <v:imagedata o:title=""/>
                    <o:lock v:ext="edit"/>
                  </v:shape>
                  <w10:wrap type="none"/>
                  <w10:anchorlock/>
                </v:group>
              </w:pict>
            </w:r>
          </w:p>
          <w:p w14:paraId="6C89FE56">
            <w:pPr>
              <w:spacing w:line="310" w:lineRule="auto"/>
              <w:rPr>
                <w:rFonts w:ascii="Arial"/>
                <w:sz w:val="21"/>
              </w:rPr>
            </w:pPr>
          </w:p>
          <w:p w14:paraId="353039E0">
            <w:pPr>
              <w:spacing w:line="310" w:lineRule="auto"/>
              <w:rPr>
                <w:rFonts w:ascii="Arial"/>
                <w:sz w:val="21"/>
              </w:rPr>
            </w:pPr>
          </w:p>
          <w:p w14:paraId="6028E458">
            <w:pPr>
              <w:spacing w:line="67" w:lineRule="exact"/>
              <w:ind w:firstLine="685"/>
            </w:pPr>
            <w:r>
              <w:rPr>
                <w:position w:val="-1"/>
              </w:rPr>
              <w:pict>
                <v:group id="_x0000_s4168" o:spid="_x0000_s4168" o:spt="203" style="height:3.4pt;width:1.45pt;" coordsize="29,68">
                  <o:lock v:ext="edit"/>
                  <v:shape id="_x0000_s4170" o:spid="_x0000_s4170" style="position:absolute;left:14;top:0;height:68;width:15;" fillcolor="#20507B" filled="t" stroked="f" coordsize="15,68" path="m0,67l14,67,14,0,0,0,0,67xe">
                    <v:path/>
                    <v:fill on="t" focussize="0,0"/>
                    <v:stroke on="f"/>
                    <v:imagedata o:title=""/>
                    <o:lock v:ext="edit"/>
                  </v:shape>
                  <v:shape id="_x0000_s4172" o:spid="_x0000_s4172" style="position:absolute;left:0;top:0;height:68;width:15;" fillcolor="#1C456A" filled="t" stroked="f" coordsize="15,68" path="m0,67l14,67,14,0,0,0,0,67xe">
                    <v:path/>
                    <v:fill on="t" focussize="0,0"/>
                    <v:stroke on="f"/>
                    <v:imagedata o:title=""/>
                    <o:lock v:ext="edit"/>
                  </v:shape>
                  <w10:wrap type="none"/>
                  <w10:anchorlock/>
                </v:group>
              </w:pict>
            </w:r>
          </w:p>
          <w:p w14:paraId="77EEA52B">
            <w:pPr>
              <w:spacing w:line="310" w:lineRule="auto"/>
              <w:rPr>
                <w:rFonts w:ascii="Arial"/>
                <w:sz w:val="21"/>
              </w:rPr>
            </w:pPr>
          </w:p>
          <w:p w14:paraId="140D3D8A">
            <w:pPr>
              <w:spacing w:line="310" w:lineRule="auto"/>
              <w:rPr>
                <w:rFonts w:ascii="Arial"/>
                <w:sz w:val="21"/>
              </w:rPr>
            </w:pPr>
          </w:p>
          <w:p w14:paraId="09234C44">
            <w:pPr>
              <w:spacing w:line="67" w:lineRule="exact"/>
              <w:ind w:firstLine="685"/>
            </w:pPr>
            <w:r>
              <w:rPr>
                <w:position w:val="-1"/>
              </w:rPr>
              <w:pict>
                <v:group id="_x0000_s4174" o:spid="_x0000_s4174" o:spt="203" style="height:3.4pt;width:1.45pt;" coordsize="29,68">
                  <o:lock v:ext="edit"/>
                  <v:shape id="_x0000_s4176" o:spid="_x0000_s4176" style="position:absolute;left:14;top:0;height:68;width:15;" fillcolor="#20507B" filled="t" stroked="f" coordsize="15,68" path="m0,67l14,67,14,0,0,0,0,67xe">
                    <v:path/>
                    <v:fill on="t" focussize="0,0"/>
                    <v:stroke on="f"/>
                    <v:imagedata o:title=""/>
                    <o:lock v:ext="edit"/>
                  </v:shape>
                  <v:shape id="_x0000_s4178" o:spid="_x0000_s4178" style="position:absolute;left:0;top:0;height:68;width:15;" fillcolor="#1C456A" filled="t" stroked="f" coordsize="15,68" path="m0,67l14,67,14,0,0,0,0,67xe">
                    <v:path/>
                    <v:fill on="t" focussize="0,0"/>
                    <v:stroke on="f"/>
                    <v:imagedata o:title=""/>
                    <o:lock v:ext="edit"/>
                  </v:shape>
                  <w10:wrap type="none"/>
                  <w10:anchorlock/>
                </v:group>
              </w:pict>
            </w:r>
          </w:p>
          <w:p w14:paraId="79C90239">
            <w:pPr>
              <w:spacing w:line="310" w:lineRule="auto"/>
              <w:rPr>
                <w:rFonts w:ascii="Arial"/>
                <w:sz w:val="21"/>
              </w:rPr>
            </w:pPr>
          </w:p>
          <w:p w14:paraId="474785C2">
            <w:pPr>
              <w:spacing w:line="310" w:lineRule="auto"/>
              <w:rPr>
                <w:rFonts w:ascii="Arial"/>
                <w:sz w:val="21"/>
              </w:rPr>
            </w:pPr>
          </w:p>
          <w:p w14:paraId="5C86481F">
            <w:pPr>
              <w:spacing w:before="1" w:line="67" w:lineRule="exact"/>
              <w:ind w:firstLine="685"/>
            </w:pPr>
            <w:r>
              <w:rPr>
                <w:position w:val="-1"/>
              </w:rPr>
              <w:pict>
                <v:group id="_x0000_s4180" o:spid="_x0000_s4180" o:spt="203" style="height:3.4pt;width:1.45pt;" coordsize="29,68">
                  <o:lock v:ext="edit"/>
                  <v:shape id="_x0000_s4182" o:spid="_x0000_s4182" style="position:absolute;left:14;top:0;height:68;width:15;" fillcolor="#20507B" filled="t" stroked="f" coordsize="15,68" path="m0,67l14,67,14,0,0,0,0,67xe">
                    <v:path/>
                    <v:fill on="t" focussize="0,0"/>
                    <v:stroke on="f"/>
                    <v:imagedata o:title=""/>
                    <o:lock v:ext="edit"/>
                  </v:shape>
                  <v:shape id="_x0000_s4184" o:spid="_x0000_s4184" style="position:absolute;left:0;top:0;height:68;width:15;" fillcolor="#1C456A" filled="t" stroked="f" coordsize="15,68" path="m0,67l14,67,14,0,0,0,0,67xe">
                    <v:path/>
                    <v:fill on="t" focussize="0,0"/>
                    <v:stroke on="f"/>
                    <v:imagedata o:title=""/>
                    <o:lock v:ext="edit"/>
                  </v:shape>
                  <w10:wrap type="none"/>
                  <w10:anchorlock/>
                </v:group>
              </w:pict>
            </w:r>
          </w:p>
          <w:p w14:paraId="363ED839">
            <w:pPr>
              <w:spacing w:line="308" w:lineRule="auto"/>
              <w:rPr>
                <w:rFonts w:ascii="Arial"/>
                <w:sz w:val="21"/>
              </w:rPr>
            </w:pPr>
          </w:p>
          <w:p w14:paraId="4F9CE900">
            <w:pPr>
              <w:spacing w:line="309" w:lineRule="auto"/>
              <w:rPr>
                <w:rFonts w:ascii="Arial"/>
                <w:sz w:val="21"/>
              </w:rPr>
            </w:pPr>
          </w:p>
          <w:p w14:paraId="7BEEC516">
            <w:pPr>
              <w:spacing w:before="1" w:line="67" w:lineRule="exact"/>
              <w:ind w:firstLine="685"/>
            </w:pPr>
            <w:r>
              <w:rPr>
                <w:position w:val="-1"/>
              </w:rPr>
              <w:pict>
                <v:group id="_x0000_s4186" o:spid="_x0000_s4186" o:spt="203" style="height:3.4pt;width:1.45pt;" coordsize="29,68">
                  <o:lock v:ext="edit"/>
                  <v:shape id="_x0000_s4188" o:spid="_x0000_s4188" style="position:absolute;left:14;top:0;height:68;width:15;" fillcolor="#20507B" filled="t" stroked="f" coordsize="15,68" path="m0,67l14,67,14,0,0,0,0,67xe">
                    <v:path/>
                    <v:fill on="t" focussize="0,0"/>
                    <v:stroke on="f"/>
                    <v:imagedata o:title=""/>
                    <o:lock v:ext="edit"/>
                  </v:shape>
                  <v:shape id="_x0000_s4190" o:spid="_x0000_s4190" style="position:absolute;left:0;top:0;height:68;width:15;" fillcolor="#1C456A" filled="t" stroked="f" coordsize="15,68" path="m0,67l14,67,14,0,0,0,0,67xe">
                    <v:path/>
                    <v:fill on="t" focussize="0,0"/>
                    <v:stroke on="f"/>
                    <v:imagedata o:title=""/>
                    <o:lock v:ext="edit"/>
                  </v:shape>
                  <w10:wrap type="none"/>
                  <w10:anchorlock/>
                </v:group>
              </w:pict>
            </w:r>
          </w:p>
          <w:p w14:paraId="6B2501C4">
            <w:pPr>
              <w:spacing w:line="310" w:lineRule="auto"/>
              <w:rPr>
                <w:rFonts w:ascii="Arial"/>
                <w:sz w:val="21"/>
              </w:rPr>
            </w:pPr>
          </w:p>
          <w:p w14:paraId="1A23F2B4">
            <w:pPr>
              <w:spacing w:line="310" w:lineRule="auto"/>
              <w:rPr>
                <w:rFonts w:ascii="Arial"/>
                <w:sz w:val="21"/>
              </w:rPr>
            </w:pPr>
          </w:p>
          <w:p w14:paraId="792713AE">
            <w:pPr>
              <w:spacing w:line="67" w:lineRule="exact"/>
              <w:ind w:firstLine="685"/>
            </w:pPr>
            <w:r>
              <w:rPr>
                <w:position w:val="-1"/>
              </w:rPr>
              <w:pict>
                <v:group id="_x0000_s4192" o:spid="_x0000_s4192" o:spt="203" style="height:3.4pt;width:1.45pt;" coordsize="29,68">
                  <o:lock v:ext="edit"/>
                  <v:shape id="_x0000_s4194" o:spid="_x0000_s4194" style="position:absolute;left:14;top:0;height:68;width:15;" fillcolor="#20507B" filled="t" stroked="f" coordsize="15,68" path="m0,67l14,67,14,0,0,0,0,67xe">
                    <v:path/>
                    <v:fill on="t" focussize="0,0"/>
                    <v:stroke on="f"/>
                    <v:imagedata o:title=""/>
                    <o:lock v:ext="edit"/>
                  </v:shape>
                  <v:shape id="_x0000_s4196" o:spid="_x0000_s4196" style="position:absolute;left:0;top:0;height:68;width:15;" fillcolor="#1C456A" filled="t" stroked="f" coordsize="15,68" path="m0,67l14,67,14,0,0,0,0,67xe">
                    <v:path/>
                    <v:fill on="t" focussize="0,0"/>
                    <v:stroke on="f"/>
                    <v:imagedata o:title=""/>
                    <o:lock v:ext="edit"/>
                  </v:shape>
                  <w10:wrap type="none"/>
                  <w10:anchorlock/>
                </v:group>
              </w:pict>
            </w:r>
          </w:p>
          <w:p w14:paraId="50CD5E76">
            <w:pPr>
              <w:spacing w:line="308" w:lineRule="auto"/>
              <w:rPr>
                <w:rFonts w:ascii="Arial"/>
                <w:sz w:val="21"/>
              </w:rPr>
            </w:pPr>
          </w:p>
          <w:p w14:paraId="66C54A4C">
            <w:pPr>
              <w:spacing w:line="309" w:lineRule="auto"/>
              <w:rPr>
                <w:rFonts w:ascii="Arial"/>
                <w:sz w:val="21"/>
              </w:rPr>
            </w:pPr>
          </w:p>
          <w:p w14:paraId="34236D1F">
            <w:pPr>
              <w:spacing w:before="1" w:line="67" w:lineRule="exact"/>
              <w:ind w:firstLine="685"/>
            </w:pPr>
            <w:r>
              <w:rPr>
                <w:position w:val="-1"/>
              </w:rPr>
              <w:pict>
                <v:group id="_x0000_s4198" o:spid="_x0000_s4198" o:spt="203" style="height:3.4pt;width:1.45pt;" coordsize="29,68">
                  <o:lock v:ext="edit"/>
                  <v:shape id="_x0000_s4200" o:spid="_x0000_s4200" style="position:absolute;left:14;top:0;height:68;width:15;" fillcolor="#20507B" filled="t" stroked="f" coordsize="15,68" path="m0,67l14,67,14,0,0,0,0,67xe">
                    <v:path/>
                    <v:fill on="t" focussize="0,0"/>
                    <v:stroke on="f"/>
                    <v:imagedata o:title=""/>
                    <o:lock v:ext="edit"/>
                  </v:shape>
                  <v:shape id="_x0000_s4202" o:spid="_x0000_s4202" style="position:absolute;left:0;top:0;height:68;width:15;" fillcolor="#1C456A" filled="t" stroked="f" coordsize="15,68" path="m0,67l14,67,14,0,0,0,0,67xe">
                    <v:path/>
                    <v:fill on="t" focussize="0,0"/>
                    <v:stroke on="f"/>
                    <v:imagedata o:title=""/>
                    <o:lock v:ext="edit"/>
                  </v:shape>
                  <w10:wrap type="none"/>
                  <w10:anchorlock/>
                </v:group>
              </w:pict>
            </w:r>
          </w:p>
          <w:p w14:paraId="1F5C80E1">
            <w:pPr>
              <w:spacing w:line="308" w:lineRule="auto"/>
              <w:rPr>
                <w:rFonts w:ascii="Arial"/>
                <w:sz w:val="21"/>
              </w:rPr>
            </w:pPr>
          </w:p>
          <w:p w14:paraId="60B8BD65">
            <w:pPr>
              <w:spacing w:line="309" w:lineRule="auto"/>
              <w:rPr>
                <w:rFonts w:ascii="Arial"/>
                <w:sz w:val="21"/>
              </w:rPr>
            </w:pPr>
          </w:p>
          <w:p w14:paraId="757417D9">
            <w:pPr>
              <w:spacing w:before="1" w:line="67" w:lineRule="exact"/>
              <w:ind w:firstLine="685"/>
            </w:pPr>
            <w:r>
              <w:rPr>
                <w:position w:val="-1"/>
              </w:rPr>
              <w:pict>
                <v:group id="_x0000_s4204" o:spid="_x0000_s4204" o:spt="203" style="height:3.4pt;width:1.45pt;" coordsize="29,68">
                  <o:lock v:ext="edit"/>
                  <v:shape id="_x0000_s4206" o:spid="_x0000_s4206" style="position:absolute;left:14;top:0;height:68;width:15;" fillcolor="#20507B" filled="t" stroked="f" coordsize="15,68" path="m0,67l14,67,14,0,0,0,0,67xe">
                    <v:path/>
                    <v:fill on="t" focussize="0,0"/>
                    <v:stroke on="f"/>
                    <v:imagedata o:title=""/>
                    <o:lock v:ext="edit"/>
                  </v:shape>
                  <v:shape id="_x0000_s4208" o:spid="_x0000_s4208" style="position:absolute;left:0;top:0;height:68;width:15;" fillcolor="#1C456A" filled="t" stroked="f" coordsize="15,68" path="m0,67l14,67,14,0,0,0,0,67xe">
                    <v:path/>
                    <v:fill on="t" focussize="0,0"/>
                    <v:stroke on="f"/>
                    <v:imagedata o:title=""/>
                    <o:lock v:ext="edit"/>
                  </v:shape>
                  <w10:wrap type="none"/>
                  <w10:anchorlock/>
                </v:group>
              </w:pict>
            </w:r>
          </w:p>
          <w:p w14:paraId="553F43DD">
            <w:pPr>
              <w:spacing w:line="310" w:lineRule="auto"/>
              <w:rPr>
                <w:rFonts w:ascii="Arial"/>
                <w:sz w:val="21"/>
              </w:rPr>
            </w:pPr>
          </w:p>
          <w:p w14:paraId="2C5E8609">
            <w:pPr>
              <w:spacing w:line="310" w:lineRule="auto"/>
              <w:rPr>
                <w:rFonts w:ascii="Arial"/>
                <w:sz w:val="21"/>
              </w:rPr>
            </w:pPr>
          </w:p>
          <w:p w14:paraId="5B5E504D">
            <w:pPr>
              <w:spacing w:before="1" w:line="67" w:lineRule="exact"/>
              <w:ind w:firstLine="685"/>
            </w:pPr>
            <w:r>
              <w:rPr>
                <w:position w:val="-1"/>
              </w:rPr>
              <w:pict>
                <v:group id="_x0000_s4210" o:spid="_x0000_s4210" o:spt="203" style="height:3.4pt;width:1.45pt;" coordsize="29,68">
                  <o:lock v:ext="edit"/>
                  <v:shape id="_x0000_s4212" o:spid="_x0000_s4212" style="position:absolute;left:14;top:0;height:68;width:15;" fillcolor="#20507B" filled="t" stroked="f" coordsize="15,68" path="m0,67l14,67,14,0,0,0,0,67xe">
                    <v:path/>
                    <v:fill on="t" focussize="0,0"/>
                    <v:stroke on="f"/>
                    <v:imagedata o:title=""/>
                    <o:lock v:ext="edit"/>
                  </v:shape>
                  <v:shape id="_x0000_s4214" o:spid="_x0000_s4214" style="position:absolute;left:0;top:0;height:68;width:15;" fillcolor="#1C456A" filled="t" stroked="f" coordsize="15,68" path="m0,67l14,67,14,0,0,0,0,67xe">
                    <v:path/>
                    <v:fill on="t" focussize="0,0"/>
                    <v:stroke on="f"/>
                    <v:imagedata o:title=""/>
                    <o:lock v:ext="edit"/>
                  </v:shape>
                  <w10:wrap type="none"/>
                  <w10:anchorlock/>
                </v:group>
              </w:pict>
            </w:r>
          </w:p>
          <w:p w14:paraId="2E5C29A0">
            <w:pPr>
              <w:spacing w:line="310" w:lineRule="auto"/>
              <w:rPr>
                <w:rFonts w:ascii="Arial"/>
                <w:sz w:val="21"/>
              </w:rPr>
            </w:pPr>
          </w:p>
          <w:p w14:paraId="694D06CD">
            <w:pPr>
              <w:spacing w:line="310" w:lineRule="auto"/>
              <w:rPr>
                <w:rFonts w:ascii="Arial"/>
                <w:sz w:val="21"/>
              </w:rPr>
            </w:pPr>
          </w:p>
          <w:p w14:paraId="7C7537A7">
            <w:pPr>
              <w:spacing w:line="68" w:lineRule="exact"/>
              <w:ind w:firstLine="685"/>
            </w:pPr>
            <w:r>
              <w:rPr>
                <w:position w:val="-1"/>
              </w:rPr>
              <w:pict>
                <v:group id="_x0000_s4216" o:spid="_x0000_s4216" o:spt="203" style="height:3.4pt;width:1.45pt;" coordsize="29,68">
                  <o:lock v:ext="edit"/>
                  <v:shape id="_x0000_s4218" o:spid="_x0000_s4218" style="position:absolute;left:14;top:0;height:68;width:15;" fillcolor="#20507B" filled="t" stroked="f" coordsize="15,68" path="m0,67l14,67,14,0,0,0,0,67xe">
                    <v:path/>
                    <v:fill on="t" focussize="0,0"/>
                    <v:stroke on="f"/>
                    <v:imagedata o:title=""/>
                    <o:lock v:ext="edit"/>
                  </v:shape>
                  <v:shape id="_x0000_s4220" o:spid="_x0000_s4220" style="position:absolute;left:0;top:0;height:68;width:15;" fillcolor="#1C456A" filled="t" stroked="f" coordsize="15,68" path="m0,67l14,67,14,0,0,0,0,67xe">
                    <v:path/>
                    <v:fill on="t" focussize="0,0"/>
                    <v:stroke on="f"/>
                    <v:imagedata o:title=""/>
                    <o:lock v:ext="edit"/>
                  </v:shape>
                  <w10:wrap type="none"/>
                  <w10:anchorlock/>
                </v:group>
              </w:pict>
            </w:r>
          </w:p>
          <w:p w14:paraId="704E5665">
            <w:pPr>
              <w:spacing w:line="308" w:lineRule="auto"/>
              <w:rPr>
                <w:rFonts w:ascii="Arial"/>
                <w:sz w:val="21"/>
              </w:rPr>
            </w:pPr>
          </w:p>
          <w:p w14:paraId="67D65B09">
            <w:pPr>
              <w:spacing w:line="309" w:lineRule="auto"/>
              <w:rPr>
                <w:rFonts w:ascii="Arial"/>
                <w:sz w:val="21"/>
              </w:rPr>
            </w:pPr>
          </w:p>
          <w:p w14:paraId="5198F9EE">
            <w:pPr>
              <w:spacing w:line="68" w:lineRule="exact"/>
              <w:ind w:firstLine="685"/>
            </w:pPr>
            <w:r>
              <w:rPr>
                <w:position w:val="-1"/>
              </w:rPr>
              <w:pict>
                <v:group id="_x0000_s4222" o:spid="_x0000_s4222" o:spt="203" style="height:3.4pt;width:1.45pt;" coordsize="29,68">
                  <o:lock v:ext="edit"/>
                  <v:shape id="_x0000_s4224" o:spid="_x0000_s4224" style="position:absolute;left:14;top:0;height:68;width:15;" fillcolor="#20507B" filled="t" stroked="f" coordsize="15,68" path="m0,67l14,67,14,0,0,0,0,67xe">
                    <v:path/>
                    <v:fill on="t" focussize="0,0"/>
                    <v:stroke on="f"/>
                    <v:imagedata o:title=""/>
                    <o:lock v:ext="edit"/>
                  </v:shape>
                  <v:shape id="_x0000_s4226" o:spid="_x0000_s4226" style="position:absolute;left:0;top:0;height:68;width:15;" fillcolor="#1C456A" filled="t" stroked="f" coordsize="15,68" path="m0,67l14,67,14,0,0,0,0,67xe">
                    <v:path/>
                    <v:fill on="t" focussize="0,0"/>
                    <v:stroke on="f"/>
                    <v:imagedata o:title=""/>
                    <o:lock v:ext="edit"/>
                  </v:shape>
                  <w10:wrap type="none"/>
                  <w10:anchorlock/>
                </v:group>
              </w:pict>
            </w:r>
          </w:p>
          <w:p w14:paraId="4D44A019">
            <w:pPr>
              <w:spacing w:line="310" w:lineRule="auto"/>
              <w:rPr>
                <w:rFonts w:ascii="Arial"/>
                <w:sz w:val="21"/>
              </w:rPr>
            </w:pPr>
          </w:p>
          <w:p w14:paraId="74663551">
            <w:pPr>
              <w:spacing w:line="310" w:lineRule="auto"/>
              <w:rPr>
                <w:rFonts w:ascii="Arial"/>
                <w:sz w:val="21"/>
              </w:rPr>
            </w:pPr>
          </w:p>
          <w:p w14:paraId="2392E4D4">
            <w:pPr>
              <w:spacing w:line="67" w:lineRule="exact"/>
              <w:ind w:firstLine="685"/>
            </w:pPr>
            <w:r>
              <w:rPr>
                <w:position w:val="-1"/>
              </w:rPr>
              <w:pict>
                <v:group id="_x0000_s4228" o:spid="_x0000_s4228" o:spt="203" style="height:3.4pt;width:1.45pt;" coordsize="29,68">
                  <o:lock v:ext="edit"/>
                  <v:shape id="_x0000_s4230" o:spid="_x0000_s4230" style="position:absolute;left:14;top:0;height:68;width:15;" fillcolor="#20507B" filled="t" stroked="f" coordsize="15,68" path="m0,67l14,67,14,0,0,0,0,67xe">
                    <v:path/>
                    <v:fill on="t" focussize="0,0"/>
                    <v:stroke on="f"/>
                    <v:imagedata o:title=""/>
                    <o:lock v:ext="edit"/>
                  </v:shape>
                  <v:shape id="_x0000_s4232" o:spid="_x0000_s4232" style="position:absolute;left:0;top:0;height:68;width:15;" fillcolor="#1C456A" filled="t" stroked="f" coordsize="15,68" path="m0,67l14,67,14,0,0,0,0,67xe">
                    <v:path/>
                    <v:fill on="t" focussize="0,0"/>
                    <v:stroke on="f"/>
                    <v:imagedata o:title=""/>
                    <o:lock v:ext="edit"/>
                  </v:shape>
                  <w10:wrap type="none"/>
                  <w10:anchorlock/>
                </v:group>
              </w:pict>
            </w:r>
          </w:p>
          <w:p w14:paraId="4BD6439B">
            <w:pPr>
              <w:spacing w:line="310" w:lineRule="auto"/>
              <w:rPr>
                <w:rFonts w:ascii="Arial"/>
                <w:sz w:val="21"/>
              </w:rPr>
            </w:pPr>
          </w:p>
          <w:p w14:paraId="798DF297">
            <w:pPr>
              <w:spacing w:line="310" w:lineRule="auto"/>
              <w:rPr>
                <w:rFonts w:ascii="Arial"/>
                <w:sz w:val="21"/>
              </w:rPr>
            </w:pPr>
          </w:p>
          <w:p w14:paraId="260A1DF9">
            <w:pPr>
              <w:spacing w:line="67" w:lineRule="exact"/>
              <w:ind w:firstLine="685"/>
            </w:pPr>
            <w:r>
              <w:rPr>
                <w:position w:val="-1"/>
              </w:rPr>
              <w:pict>
                <v:group id="_x0000_s4234" o:spid="_x0000_s4234" o:spt="203" style="height:3.4pt;width:1.45pt;" coordsize="29,68">
                  <o:lock v:ext="edit"/>
                  <v:shape id="_x0000_s4236" o:spid="_x0000_s4236" style="position:absolute;left:14;top:0;height:68;width:15;" fillcolor="#20507B" filled="t" stroked="f" coordsize="15,68" path="m0,67l14,67,14,0,0,0,0,67xe">
                    <v:path/>
                    <v:fill on="t" focussize="0,0"/>
                    <v:stroke on="f"/>
                    <v:imagedata o:title=""/>
                    <o:lock v:ext="edit"/>
                  </v:shape>
                  <v:shape id="_x0000_s4238" o:spid="_x0000_s4238" style="position:absolute;left:0;top:0;height:68;width:15;" fillcolor="#1C456A" filled="t" stroked="f" coordsize="15,68" path="m0,67l14,67,14,0,0,0,0,67xe">
                    <v:path/>
                    <v:fill on="t" focussize="0,0"/>
                    <v:stroke on="f"/>
                    <v:imagedata o:title=""/>
                    <o:lock v:ext="edit"/>
                  </v:shape>
                  <w10:wrap type="none"/>
                  <w10:anchorlock/>
                </v:group>
              </w:pict>
            </w:r>
          </w:p>
          <w:p w14:paraId="7838875A">
            <w:pPr>
              <w:spacing w:line="310" w:lineRule="auto"/>
              <w:rPr>
                <w:rFonts w:ascii="Arial"/>
                <w:sz w:val="21"/>
              </w:rPr>
            </w:pPr>
          </w:p>
          <w:p w14:paraId="38D60560">
            <w:pPr>
              <w:spacing w:line="310" w:lineRule="auto"/>
              <w:rPr>
                <w:rFonts w:ascii="Arial"/>
                <w:sz w:val="21"/>
              </w:rPr>
            </w:pPr>
          </w:p>
          <w:p w14:paraId="4F705879">
            <w:pPr>
              <w:spacing w:line="68" w:lineRule="exact"/>
              <w:ind w:firstLine="685"/>
            </w:pPr>
            <w:r>
              <w:rPr>
                <w:position w:val="-1"/>
              </w:rPr>
              <w:pict>
                <v:group id="_x0000_s4240" o:spid="_x0000_s4240" o:spt="203" style="height:3.4pt;width:1.45pt;" coordsize="29,68">
                  <o:lock v:ext="edit"/>
                  <v:shape id="_x0000_s4242" o:spid="_x0000_s4242" style="position:absolute;left:14;top:0;height:68;width:15;" fillcolor="#20507B" filled="t" stroked="f" coordsize="15,68" path="m0,67l14,67,14,0,0,0,0,67xe">
                    <v:path/>
                    <v:fill on="t" focussize="0,0"/>
                    <v:stroke on="f"/>
                    <v:imagedata o:title=""/>
                    <o:lock v:ext="edit"/>
                  </v:shape>
                  <v:shape id="_x0000_s4244" o:spid="_x0000_s4244" style="position:absolute;left:0;top:0;height:68;width:15;" fillcolor="#1C456A" filled="t" stroked="f" coordsize="15,68" path="m0,67l14,67,14,0,0,0,0,67xe">
                    <v:path/>
                    <v:fill on="t" focussize="0,0"/>
                    <v:stroke on="f"/>
                    <v:imagedata o:title=""/>
                    <o:lock v:ext="edit"/>
                  </v:shape>
                  <w10:wrap type="none"/>
                  <w10:anchorlock/>
                </v:group>
              </w:pict>
            </w:r>
          </w:p>
          <w:p w14:paraId="229D1F4D">
            <w:pPr>
              <w:spacing w:line="310" w:lineRule="auto"/>
              <w:rPr>
                <w:rFonts w:ascii="Arial"/>
                <w:sz w:val="21"/>
              </w:rPr>
            </w:pPr>
          </w:p>
          <w:p w14:paraId="04144470">
            <w:pPr>
              <w:spacing w:line="310" w:lineRule="auto"/>
              <w:rPr>
                <w:rFonts w:ascii="Arial"/>
                <w:sz w:val="21"/>
              </w:rPr>
            </w:pPr>
          </w:p>
          <w:p w14:paraId="499DC274">
            <w:pPr>
              <w:spacing w:line="68" w:lineRule="exact"/>
              <w:ind w:firstLine="685"/>
            </w:pPr>
            <w:r>
              <w:rPr>
                <w:position w:val="-1"/>
              </w:rPr>
              <w:pict>
                <v:group id="_x0000_s4246" o:spid="_x0000_s4246" o:spt="203" style="height:3.4pt;width:1.45pt;" coordsize="29,68">
                  <o:lock v:ext="edit"/>
                  <v:shape id="_x0000_s4248" o:spid="_x0000_s4248" style="position:absolute;left:14;top:0;height:68;width:15;" fillcolor="#20507B" filled="t" stroked="f" coordsize="15,68" path="m0,67l14,67,14,0,0,0,0,67xe">
                    <v:path/>
                    <v:fill on="t" focussize="0,0"/>
                    <v:stroke on="f"/>
                    <v:imagedata o:title=""/>
                    <o:lock v:ext="edit"/>
                  </v:shape>
                  <v:shape id="_x0000_s4250" o:spid="_x0000_s4250" style="position:absolute;left:0;top:0;height:68;width:15;" fillcolor="#1C456A" filled="t" stroked="f" coordsize="15,68" path="m0,67l14,67,14,0,0,0,0,67xe">
                    <v:path/>
                    <v:fill on="t" focussize="0,0"/>
                    <v:stroke on="f"/>
                    <v:imagedata o:title=""/>
                    <o:lock v:ext="edit"/>
                  </v:shape>
                  <w10:wrap type="none"/>
                  <w10:anchorlock/>
                </v:group>
              </w:pict>
            </w:r>
          </w:p>
          <w:p w14:paraId="1D11560F">
            <w:pPr>
              <w:spacing w:line="308" w:lineRule="auto"/>
              <w:rPr>
                <w:rFonts w:ascii="Arial"/>
                <w:sz w:val="21"/>
              </w:rPr>
            </w:pPr>
          </w:p>
          <w:p w14:paraId="745DA153">
            <w:pPr>
              <w:spacing w:line="309" w:lineRule="auto"/>
              <w:rPr>
                <w:rFonts w:ascii="Arial"/>
                <w:sz w:val="21"/>
              </w:rPr>
            </w:pPr>
          </w:p>
          <w:p w14:paraId="4EB35377">
            <w:pPr>
              <w:spacing w:line="68" w:lineRule="exact"/>
              <w:ind w:firstLine="685"/>
            </w:pPr>
            <w:r>
              <w:rPr>
                <w:position w:val="-1"/>
              </w:rPr>
              <w:pict>
                <v:group id="_x0000_s4252" o:spid="_x0000_s4252" o:spt="203" style="height:3.4pt;width:1.45pt;" coordsize="29,68">
                  <o:lock v:ext="edit"/>
                  <v:shape id="_x0000_s4254" o:spid="_x0000_s4254" style="position:absolute;left:14;top:0;height:68;width:15;" fillcolor="#20507B" filled="t" stroked="f" coordsize="15,68" path="m0,67l14,67,14,0,0,0,0,67xe">
                    <v:path/>
                    <v:fill on="t" focussize="0,0"/>
                    <v:stroke on="f"/>
                    <v:imagedata o:title=""/>
                    <o:lock v:ext="edit"/>
                  </v:shape>
                  <v:shape id="_x0000_s4256" o:spid="_x0000_s4256" style="position:absolute;left:0;top:0;height:68;width:15;" fillcolor="#1C456A" filled="t" stroked="f" coordsize="15,68" path="m0,67l14,67,14,0,0,0,0,67xe">
                    <v:path/>
                    <v:fill on="t" focussize="0,0"/>
                    <v:stroke on="f"/>
                    <v:imagedata o:title=""/>
                    <o:lock v:ext="edit"/>
                  </v:shape>
                  <w10:wrap type="none"/>
                  <w10:anchorlock/>
                </v:group>
              </w:pict>
            </w:r>
          </w:p>
          <w:p w14:paraId="6E20103E">
            <w:pPr>
              <w:spacing w:line="246" w:lineRule="auto"/>
              <w:rPr>
                <w:rFonts w:ascii="Arial"/>
                <w:sz w:val="21"/>
              </w:rPr>
            </w:pPr>
          </w:p>
          <w:p w14:paraId="5DFA413A">
            <w:pPr>
              <w:spacing w:line="246" w:lineRule="auto"/>
              <w:rPr>
                <w:rFonts w:ascii="Arial"/>
                <w:sz w:val="21"/>
              </w:rPr>
            </w:pPr>
          </w:p>
          <w:p w14:paraId="0F304733">
            <w:pPr>
              <w:spacing w:line="246" w:lineRule="auto"/>
              <w:rPr>
                <w:rFonts w:ascii="Arial"/>
                <w:sz w:val="21"/>
              </w:rPr>
            </w:pPr>
          </w:p>
          <w:p w14:paraId="151F0181">
            <w:pPr>
              <w:spacing w:line="247" w:lineRule="auto"/>
              <w:rPr>
                <w:rFonts w:ascii="Arial"/>
                <w:sz w:val="21"/>
              </w:rPr>
            </w:pPr>
          </w:p>
          <w:p w14:paraId="71E05BD9">
            <w:pPr>
              <w:spacing w:line="67" w:lineRule="exact"/>
              <w:ind w:firstLine="685"/>
            </w:pPr>
            <w:r>
              <w:rPr>
                <w:position w:val="-1"/>
              </w:rPr>
              <w:pict>
                <v:group id="_x0000_s4258" o:spid="_x0000_s4258" o:spt="203" style="height:3.4pt;width:1.45pt;" coordsize="29,68">
                  <o:lock v:ext="edit"/>
                  <v:shape id="_x0000_s4260" o:spid="_x0000_s4260" style="position:absolute;left:14;top:0;height:68;width:15;" fillcolor="#20507B" filled="t" stroked="f" coordsize="15,68" path="m0,67l14,67,14,0,0,0,0,67xe">
                    <v:path/>
                    <v:fill on="t" focussize="0,0"/>
                    <v:stroke on="f"/>
                    <v:imagedata o:title=""/>
                    <o:lock v:ext="edit"/>
                  </v:shape>
                  <v:shape id="_x0000_s4262" o:spid="_x0000_s4262" style="position:absolute;left:0;top:0;height:68;width:15;" fillcolor="#1C456A" filled="t" stroked="f" coordsize="15,68" path="m0,67l14,67,14,0,0,0,0,67xe">
                    <v:path/>
                    <v:fill on="t" focussize="0,0"/>
                    <v:stroke on="f"/>
                    <v:imagedata o:title=""/>
                    <o:lock v:ext="edit"/>
                  </v:shape>
                  <w10:wrap type="none"/>
                  <w10:anchorlock/>
                </v:group>
              </w:pict>
            </w:r>
          </w:p>
        </w:tc>
      </w:tr>
      <w:tr w14:paraId="5EB084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3" w:hRule="atLeast"/>
        </w:trPr>
        <w:tc>
          <w:tcPr>
            <w:tcW w:w="772" w:type="dxa"/>
            <w:gridSpan w:val="2"/>
            <w:tcBorders>
              <w:left w:val="single" w:color="000000" w:sz="4" w:space="0"/>
            </w:tcBorders>
            <w:vAlign w:val="top"/>
          </w:tcPr>
          <w:p w14:paraId="6F0EC519">
            <w:pPr>
              <w:pStyle w:val="7"/>
              <w:spacing w:before="142" w:line="238" w:lineRule="auto"/>
              <w:ind w:left="304"/>
            </w:pPr>
            <w:r>
              <w:rPr>
                <w:spacing w:val="-10"/>
              </w:rPr>
              <w:t>12</w:t>
            </w:r>
          </w:p>
        </w:tc>
        <w:tc>
          <w:tcPr>
            <w:tcW w:w="1657" w:type="dxa"/>
            <w:vAlign w:val="top"/>
          </w:tcPr>
          <w:p w14:paraId="5BC181E1">
            <w:pPr>
              <w:pStyle w:val="7"/>
              <w:spacing w:before="142" w:line="218" w:lineRule="auto"/>
              <w:ind w:left="292"/>
            </w:pPr>
            <w:r>
              <w:rPr>
                <w:spacing w:val="-17"/>
              </w:rPr>
              <w:t>钢筋调直机</w:t>
            </w:r>
          </w:p>
        </w:tc>
        <w:tc>
          <w:tcPr>
            <w:tcW w:w="1559" w:type="dxa"/>
            <w:vAlign w:val="top"/>
          </w:tcPr>
          <w:p w14:paraId="4AB7B70A">
            <w:pPr>
              <w:pStyle w:val="7"/>
              <w:spacing w:before="141" w:line="222" w:lineRule="auto"/>
              <w:ind w:left="344"/>
            </w:pPr>
            <w:r>
              <w:rPr>
                <w:spacing w:val="-10"/>
              </w:rPr>
              <w:t>GJ4-4/14</w:t>
            </w:r>
          </w:p>
        </w:tc>
        <w:tc>
          <w:tcPr>
            <w:tcW w:w="650" w:type="dxa"/>
            <w:vAlign w:val="top"/>
          </w:tcPr>
          <w:p w14:paraId="2DEB04C4">
            <w:pPr>
              <w:pStyle w:val="7"/>
              <w:spacing w:before="142" w:line="238" w:lineRule="auto"/>
              <w:ind w:left="276"/>
            </w:pPr>
            <w:r>
              <w:t>2</w:t>
            </w:r>
          </w:p>
        </w:tc>
        <w:tc>
          <w:tcPr>
            <w:tcW w:w="794" w:type="dxa"/>
            <w:vAlign w:val="top"/>
          </w:tcPr>
          <w:p w14:paraId="06BDB9EB">
            <w:pPr>
              <w:pStyle w:val="7"/>
              <w:spacing w:before="141" w:line="219" w:lineRule="auto"/>
              <w:ind w:left="197"/>
            </w:pPr>
            <w:r>
              <w:rPr>
                <w:spacing w:val="-12"/>
              </w:rPr>
              <w:t>河南</w:t>
            </w:r>
          </w:p>
        </w:tc>
        <w:tc>
          <w:tcPr>
            <w:tcW w:w="794" w:type="dxa"/>
            <w:vAlign w:val="top"/>
          </w:tcPr>
          <w:p w14:paraId="0E8EF066">
            <w:pPr>
              <w:pStyle w:val="7"/>
              <w:spacing w:before="146" w:line="237" w:lineRule="auto"/>
              <w:ind w:left="186" w:leftChars="0"/>
            </w:pPr>
            <w:r>
              <w:rPr>
                <w:spacing w:val="-9"/>
              </w:rPr>
              <w:t>2022</w:t>
            </w:r>
          </w:p>
        </w:tc>
        <w:tc>
          <w:tcPr>
            <w:tcW w:w="791" w:type="dxa"/>
            <w:vAlign w:val="top"/>
          </w:tcPr>
          <w:p w14:paraId="6CB56385">
            <w:pPr>
              <w:pStyle w:val="7"/>
              <w:spacing w:before="142" w:line="236" w:lineRule="auto"/>
              <w:ind w:left="242"/>
            </w:pPr>
            <w:r>
              <w:rPr>
                <w:spacing w:val="-9"/>
              </w:rPr>
              <w:t>7.5</w:t>
            </w:r>
          </w:p>
        </w:tc>
        <w:tc>
          <w:tcPr>
            <w:tcW w:w="794" w:type="dxa"/>
            <w:vAlign w:val="top"/>
          </w:tcPr>
          <w:p w14:paraId="0B8B8363">
            <w:pPr>
              <w:pStyle w:val="7"/>
              <w:spacing w:before="141" w:line="219" w:lineRule="auto"/>
              <w:ind w:left="228"/>
            </w:pPr>
            <w:r>
              <w:rPr>
                <w:spacing w:val="-19"/>
              </w:rPr>
              <w:t>良好</w:t>
            </w:r>
          </w:p>
        </w:tc>
        <w:tc>
          <w:tcPr>
            <w:tcW w:w="1302" w:type="dxa"/>
            <w:vAlign w:val="top"/>
          </w:tcPr>
          <w:p w14:paraId="67B462DA">
            <w:pPr>
              <w:pStyle w:val="7"/>
              <w:spacing w:before="141" w:line="219" w:lineRule="auto"/>
              <w:ind w:left="231"/>
            </w:pPr>
            <w:r>
              <w:rPr>
                <w:spacing w:val="-15"/>
              </w:rPr>
              <w:t>钢筋调直</w:t>
            </w:r>
          </w:p>
        </w:tc>
        <w:tc>
          <w:tcPr>
            <w:tcW w:w="726" w:type="dxa"/>
            <w:vMerge w:val="continue"/>
            <w:tcBorders>
              <w:top w:val="nil"/>
              <w:bottom w:val="nil"/>
              <w:right w:val="single" w:color="5B9BD5" w:sz="4" w:space="0"/>
            </w:tcBorders>
            <w:vAlign w:val="top"/>
          </w:tcPr>
          <w:p w14:paraId="75E6312B">
            <w:pPr>
              <w:rPr>
                <w:rFonts w:ascii="Arial"/>
                <w:sz w:val="21"/>
              </w:rPr>
            </w:pPr>
          </w:p>
        </w:tc>
      </w:tr>
      <w:tr w14:paraId="4D84C5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6" w:hRule="atLeast"/>
        </w:trPr>
        <w:tc>
          <w:tcPr>
            <w:tcW w:w="772" w:type="dxa"/>
            <w:gridSpan w:val="2"/>
            <w:tcBorders>
              <w:left w:val="single" w:color="000000" w:sz="4" w:space="0"/>
            </w:tcBorders>
            <w:vAlign w:val="top"/>
          </w:tcPr>
          <w:p w14:paraId="09CB2350">
            <w:pPr>
              <w:pStyle w:val="7"/>
              <w:spacing w:before="145" w:line="237" w:lineRule="auto"/>
              <w:ind w:left="304"/>
            </w:pPr>
            <w:r>
              <w:rPr>
                <w:spacing w:val="-10"/>
              </w:rPr>
              <w:t>13</w:t>
            </w:r>
          </w:p>
        </w:tc>
        <w:tc>
          <w:tcPr>
            <w:tcW w:w="1657" w:type="dxa"/>
            <w:vAlign w:val="top"/>
          </w:tcPr>
          <w:p w14:paraId="7AF02378">
            <w:pPr>
              <w:pStyle w:val="7"/>
              <w:spacing w:before="145" w:line="218" w:lineRule="auto"/>
              <w:ind w:left="537"/>
            </w:pPr>
            <w:r>
              <w:rPr>
                <w:spacing w:val="-19"/>
              </w:rPr>
              <w:t>电焊机</w:t>
            </w:r>
          </w:p>
        </w:tc>
        <w:tc>
          <w:tcPr>
            <w:tcW w:w="1559" w:type="dxa"/>
            <w:vAlign w:val="top"/>
          </w:tcPr>
          <w:p w14:paraId="22C0A10E">
            <w:pPr>
              <w:pStyle w:val="7"/>
              <w:spacing w:before="189" w:line="178" w:lineRule="auto"/>
              <w:ind w:left="504"/>
            </w:pPr>
            <w:r>
              <w:rPr>
                <w:spacing w:val="-8"/>
              </w:rPr>
              <w:t>BX300</w:t>
            </w:r>
          </w:p>
        </w:tc>
        <w:tc>
          <w:tcPr>
            <w:tcW w:w="650" w:type="dxa"/>
            <w:vAlign w:val="top"/>
          </w:tcPr>
          <w:p w14:paraId="6A3BF562">
            <w:pPr>
              <w:pStyle w:val="7"/>
              <w:spacing w:before="145" w:line="238" w:lineRule="auto"/>
              <w:ind w:left="272"/>
            </w:pPr>
            <w:r>
              <w:t>4</w:t>
            </w:r>
          </w:p>
        </w:tc>
        <w:tc>
          <w:tcPr>
            <w:tcW w:w="794" w:type="dxa"/>
            <w:vAlign w:val="top"/>
          </w:tcPr>
          <w:p w14:paraId="0DD2E347">
            <w:pPr>
              <w:pStyle w:val="7"/>
              <w:spacing w:before="144" w:line="219" w:lineRule="auto"/>
              <w:ind w:left="197"/>
            </w:pPr>
            <w:r>
              <w:rPr>
                <w:spacing w:val="-12"/>
              </w:rPr>
              <w:t>河南</w:t>
            </w:r>
          </w:p>
        </w:tc>
        <w:tc>
          <w:tcPr>
            <w:tcW w:w="794" w:type="dxa"/>
            <w:vAlign w:val="top"/>
          </w:tcPr>
          <w:p w14:paraId="63F53636">
            <w:pPr>
              <w:pStyle w:val="7"/>
              <w:spacing w:before="145" w:line="237" w:lineRule="auto"/>
              <w:ind w:left="186" w:leftChars="0"/>
            </w:pPr>
            <w:r>
              <w:rPr>
                <w:spacing w:val="-9"/>
              </w:rPr>
              <w:t>202</w:t>
            </w:r>
            <w:r>
              <w:rPr>
                <w:rFonts w:hint="eastAsia"/>
                <w:spacing w:val="-9"/>
                <w:lang w:val="en-US" w:eastAsia="zh-CN"/>
              </w:rPr>
              <w:t>1</w:t>
            </w:r>
          </w:p>
        </w:tc>
        <w:tc>
          <w:tcPr>
            <w:tcW w:w="791" w:type="dxa"/>
            <w:vAlign w:val="top"/>
          </w:tcPr>
          <w:p w14:paraId="46383929">
            <w:pPr>
              <w:pStyle w:val="7"/>
              <w:spacing w:before="145" w:line="238" w:lineRule="auto"/>
              <w:ind w:left="295"/>
            </w:pPr>
            <w:r>
              <w:rPr>
                <w:spacing w:val="-6"/>
              </w:rPr>
              <w:t>22</w:t>
            </w:r>
          </w:p>
        </w:tc>
        <w:tc>
          <w:tcPr>
            <w:tcW w:w="794" w:type="dxa"/>
            <w:vAlign w:val="top"/>
          </w:tcPr>
          <w:p w14:paraId="404316C6">
            <w:pPr>
              <w:pStyle w:val="7"/>
              <w:spacing w:before="144" w:line="219" w:lineRule="auto"/>
              <w:ind w:left="228"/>
            </w:pPr>
            <w:r>
              <w:rPr>
                <w:spacing w:val="-19"/>
              </w:rPr>
              <w:t>良好</w:t>
            </w:r>
          </w:p>
        </w:tc>
        <w:tc>
          <w:tcPr>
            <w:tcW w:w="1302" w:type="dxa"/>
            <w:vAlign w:val="top"/>
          </w:tcPr>
          <w:p w14:paraId="2FD8FEFC">
            <w:pPr>
              <w:pStyle w:val="7"/>
              <w:spacing w:before="144" w:line="219" w:lineRule="auto"/>
              <w:ind w:left="231"/>
            </w:pPr>
            <w:r>
              <w:rPr>
                <w:spacing w:val="-15"/>
              </w:rPr>
              <w:t>钢筋连接</w:t>
            </w:r>
          </w:p>
        </w:tc>
        <w:tc>
          <w:tcPr>
            <w:tcW w:w="726" w:type="dxa"/>
            <w:vMerge w:val="continue"/>
            <w:tcBorders>
              <w:top w:val="nil"/>
              <w:bottom w:val="nil"/>
              <w:right w:val="single" w:color="5B9BD5" w:sz="4" w:space="0"/>
            </w:tcBorders>
            <w:vAlign w:val="top"/>
          </w:tcPr>
          <w:p w14:paraId="12221EF9">
            <w:pPr>
              <w:rPr>
                <w:rFonts w:ascii="Arial"/>
                <w:sz w:val="21"/>
              </w:rPr>
            </w:pPr>
          </w:p>
        </w:tc>
      </w:tr>
      <w:tr w14:paraId="472CE1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6" w:hRule="atLeast"/>
        </w:trPr>
        <w:tc>
          <w:tcPr>
            <w:tcW w:w="772" w:type="dxa"/>
            <w:gridSpan w:val="2"/>
            <w:tcBorders>
              <w:left w:val="single" w:color="000000" w:sz="4" w:space="0"/>
            </w:tcBorders>
            <w:vAlign w:val="top"/>
          </w:tcPr>
          <w:p w14:paraId="443163D1">
            <w:pPr>
              <w:pStyle w:val="7"/>
              <w:spacing w:before="145" w:line="238" w:lineRule="auto"/>
              <w:ind w:left="304"/>
            </w:pPr>
            <w:r>
              <w:rPr>
                <w:spacing w:val="-10"/>
              </w:rPr>
              <w:t>14</w:t>
            </w:r>
          </w:p>
        </w:tc>
        <w:tc>
          <w:tcPr>
            <w:tcW w:w="1657" w:type="dxa"/>
            <w:vAlign w:val="top"/>
          </w:tcPr>
          <w:p w14:paraId="56C3D304">
            <w:pPr>
              <w:pStyle w:val="7"/>
              <w:spacing w:before="145" w:line="218" w:lineRule="auto"/>
              <w:ind w:left="79"/>
            </w:pPr>
            <w:r>
              <w:rPr>
                <w:spacing w:val="-19"/>
              </w:rPr>
              <w:t>氧气、乙炔设备</w:t>
            </w:r>
          </w:p>
        </w:tc>
        <w:tc>
          <w:tcPr>
            <w:tcW w:w="1559" w:type="dxa"/>
            <w:vAlign w:val="top"/>
          </w:tcPr>
          <w:p w14:paraId="510196F3">
            <w:pPr>
              <w:pStyle w:val="7"/>
              <w:spacing w:before="145" w:line="237" w:lineRule="auto"/>
              <w:ind w:left="396"/>
            </w:pPr>
            <w:r>
              <w:rPr>
                <w:spacing w:val="-9"/>
              </w:rPr>
              <w:t>UN1-100</w:t>
            </w:r>
          </w:p>
        </w:tc>
        <w:tc>
          <w:tcPr>
            <w:tcW w:w="650" w:type="dxa"/>
            <w:vAlign w:val="top"/>
          </w:tcPr>
          <w:p w14:paraId="4F2D2E1F">
            <w:pPr>
              <w:pStyle w:val="7"/>
              <w:spacing w:before="145" w:line="237" w:lineRule="auto"/>
              <w:ind w:left="278"/>
            </w:pPr>
            <w:r>
              <w:t>3</w:t>
            </w:r>
          </w:p>
        </w:tc>
        <w:tc>
          <w:tcPr>
            <w:tcW w:w="794" w:type="dxa"/>
            <w:vAlign w:val="top"/>
          </w:tcPr>
          <w:p w14:paraId="2FF4E3EA">
            <w:pPr>
              <w:pStyle w:val="7"/>
              <w:spacing w:before="145" w:line="218" w:lineRule="auto"/>
              <w:ind w:left="191"/>
            </w:pPr>
            <w:r>
              <w:rPr>
                <w:spacing w:val="-10"/>
              </w:rPr>
              <w:t>天津</w:t>
            </w:r>
          </w:p>
        </w:tc>
        <w:tc>
          <w:tcPr>
            <w:tcW w:w="794" w:type="dxa"/>
            <w:vAlign w:val="top"/>
          </w:tcPr>
          <w:p w14:paraId="06F135A6">
            <w:pPr>
              <w:pStyle w:val="7"/>
              <w:spacing w:before="146" w:line="237" w:lineRule="auto"/>
              <w:ind w:left="186" w:leftChars="0"/>
            </w:pPr>
            <w:r>
              <w:rPr>
                <w:spacing w:val="-9"/>
              </w:rPr>
              <w:t>2022</w:t>
            </w:r>
          </w:p>
        </w:tc>
        <w:tc>
          <w:tcPr>
            <w:tcW w:w="791" w:type="dxa"/>
            <w:vAlign w:val="top"/>
          </w:tcPr>
          <w:p w14:paraId="5C4057B5">
            <w:pPr>
              <w:pStyle w:val="7"/>
              <w:spacing w:before="145" w:line="237" w:lineRule="auto"/>
              <w:ind w:left="254"/>
            </w:pPr>
            <w:r>
              <w:rPr>
                <w:spacing w:val="-12"/>
              </w:rPr>
              <w:t>100</w:t>
            </w:r>
          </w:p>
        </w:tc>
        <w:tc>
          <w:tcPr>
            <w:tcW w:w="794" w:type="dxa"/>
            <w:vAlign w:val="top"/>
          </w:tcPr>
          <w:p w14:paraId="5B3BB661">
            <w:pPr>
              <w:pStyle w:val="7"/>
              <w:spacing w:before="145" w:line="219" w:lineRule="auto"/>
              <w:ind w:left="228"/>
            </w:pPr>
            <w:r>
              <w:rPr>
                <w:spacing w:val="-19"/>
              </w:rPr>
              <w:t>良好</w:t>
            </w:r>
          </w:p>
        </w:tc>
        <w:tc>
          <w:tcPr>
            <w:tcW w:w="1302" w:type="dxa"/>
            <w:vAlign w:val="top"/>
          </w:tcPr>
          <w:p w14:paraId="26D2BBDF">
            <w:pPr>
              <w:pStyle w:val="7"/>
              <w:spacing w:before="145" w:line="218" w:lineRule="auto"/>
              <w:ind w:left="245"/>
            </w:pPr>
            <w:r>
              <w:rPr>
                <w:spacing w:val="-19"/>
              </w:rPr>
              <w:t>管道焊接</w:t>
            </w:r>
          </w:p>
        </w:tc>
        <w:tc>
          <w:tcPr>
            <w:tcW w:w="726" w:type="dxa"/>
            <w:vMerge w:val="continue"/>
            <w:tcBorders>
              <w:top w:val="nil"/>
              <w:bottom w:val="nil"/>
              <w:right w:val="single" w:color="5B9BD5" w:sz="4" w:space="0"/>
            </w:tcBorders>
            <w:vAlign w:val="top"/>
          </w:tcPr>
          <w:p w14:paraId="5016F268">
            <w:pPr>
              <w:rPr>
                <w:rFonts w:ascii="Arial"/>
                <w:sz w:val="21"/>
              </w:rPr>
            </w:pPr>
          </w:p>
        </w:tc>
      </w:tr>
      <w:tr w14:paraId="7A1219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6" w:hRule="atLeast"/>
        </w:trPr>
        <w:tc>
          <w:tcPr>
            <w:tcW w:w="772" w:type="dxa"/>
            <w:gridSpan w:val="2"/>
            <w:tcBorders>
              <w:left w:val="single" w:color="000000" w:sz="4" w:space="0"/>
            </w:tcBorders>
            <w:vAlign w:val="top"/>
          </w:tcPr>
          <w:p w14:paraId="24ABCD6C">
            <w:pPr>
              <w:pStyle w:val="7"/>
              <w:spacing w:before="145" w:line="237" w:lineRule="auto"/>
              <w:ind w:left="304"/>
            </w:pPr>
            <w:r>
              <w:rPr>
                <w:spacing w:val="-10"/>
              </w:rPr>
              <w:t>15</w:t>
            </w:r>
          </w:p>
        </w:tc>
        <w:tc>
          <w:tcPr>
            <w:tcW w:w="1657" w:type="dxa"/>
            <w:vAlign w:val="top"/>
          </w:tcPr>
          <w:p w14:paraId="66A226C5">
            <w:pPr>
              <w:pStyle w:val="7"/>
              <w:spacing w:before="145" w:line="218" w:lineRule="auto"/>
              <w:ind w:left="511"/>
            </w:pPr>
            <w:r>
              <w:rPr>
                <w:spacing w:val="-14"/>
              </w:rPr>
              <w:t>压刨机</w:t>
            </w:r>
          </w:p>
        </w:tc>
        <w:tc>
          <w:tcPr>
            <w:tcW w:w="1559" w:type="dxa"/>
            <w:vAlign w:val="top"/>
          </w:tcPr>
          <w:p w14:paraId="494F4120">
            <w:pPr>
              <w:pStyle w:val="7"/>
              <w:spacing w:before="188" w:line="179" w:lineRule="auto"/>
              <w:ind w:left="503"/>
            </w:pPr>
            <w:r>
              <w:rPr>
                <w:spacing w:val="-7"/>
              </w:rPr>
              <w:t>MY100</w:t>
            </w:r>
          </w:p>
        </w:tc>
        <w:tc>
          <w:tcPr>
            <w:tcW w:w="650" w:type="dxa"/>
            <w:vAlign w:val="top"/>
          </w:tcPr>
          <w:p w14:paraId="65EF451E">
            <w:pPr>
              <w:pStyle w:val="7"/>
              <w:spacing w:before="145" w:line="238" w:lineRule="auto"/>
              <w:ind w:left="276"/>
            </w:pPr>
            <w:r>
              <w:t>2</w:t>
            </w:r>
          </w:p>
        </w:tc>
        <w:tc>
          <w:tcPr>
            <w:tcW w:w="794" w:type="dxa"/>
            <w:vAlign w:val="top"/>
          </w:tcPr>
          <w:p w14:paraId="29ABA862">
            <w:pPr>
              <w:pStyle w:val="7"/>
              <w:spacing w:before="145" w:line="220" w:lineRule="auto"/>
              <w:ind w:left="212"/>
            </w:pPr>
            <w:r>
              <w:rPr>
                <w:spacing w:val="-19"/>
              </w:rPr>
              <w:t>山东</w:t>
            </w:r>
          </w:p>
        </w:tc>
        <w:tc>
          <w:tcPr>
            <w:tcW w:w="794" w:type="dxa"/>
            <w:vAlign w:val="top"/>
          </w:tcPr>
          <w:p w14:paraId="4933C1B1">
            <w:pPr>
              <w:pStyle w:val="7"/>
              <w:spacing w:before="145" w:line="237" w:lineRule="auto"/>
              <w:ind w:left="186" w:leftChars="0"/>
            </w:pPr>
            <w:r>
              <w:rPr>
                <w:spacing w:val="-9"/>
              </w:rPr>
              <w:t>202</w:t>
            </w:r>
            <w:r>
              <w:rPr>
                <w:rFonts w:hint="eastAsia"/>
                <w:spacing w:val="-9"/>
                <w:lang w:val="en-US" w:eastAsia="zh-CN"/>
              </w:rPr>
              <w:t>1</w:t>
            </w:r>
          </w:p>
        </w:tc>
        <w:tc>
          <w:tcPr>
            <w:tcW w:w="791" w:type="dxa"/>
            <w:vAlign w:val="top"/>
          </w:tcPr>
          <w:p w14:paraId="249A143F">
            <w:pPr>
              <w:pStyle w:val="7"/>
              <w:spacing w:before="145" w:line="238" w:lineRule="auto"/>
              <w:ind w:left="346"/>
            </w:pPr>
            <w:r>
              <w:t>4</w:t>
            </w:r>
          </w:p>
        </w:tc>
        <w:tc>
          <w:tcPr>
            <w:tcW w:w="794" w:type="dxa"/>
            <w:vAlign w:val="top"/>
          </w:tcPr>
          <w:p w14:paraId="7D72E99C">
            <w:pPr>
              <w:pStyle w:val="7"/>
              <w:spacing w:before="145" w:line="219" w:lineRule="auto"/>
              <w:ind w:left="228"/>
            </w:pPr>
            <w:r>
              <w:rPr>
                <w:spacing w:val="-19"/>
              </w:rPr>
              <w:t>良好</w:t>
            </w:r>
          </w:p>
        </w:tc>
        <w:tc>
          <w:tcPr>
            <w:tcW w:w="1302" w:type="dxa"/>
            <w:vAlign w:val="top"/>
          </w:tcPr>
          <w:p w14:paraId="40753302">
            <w:pPr>
              <w:pStyle w:val="7"/>
              <w:spacing w:before="145" w:line="218" w:lineRule="auto"/>
              <w:ind w:left="231"/>
            </w:pPr>
            <w:r>
              <w:rPr>
                <w:spacing w:val="-15"/>
              </w:rPr>
              <w:t>模板加工</w:t>
            </w:r>
          </w:p>
        </w:tc>
        <w:tc>
          <w:tcPr>
            <w:tcW w:w="726" w:type="dxa"/>
            <w:vMerge w:val="continue"/>
            <w:tcBorders>
              <w:top w:val="nil"/>
              <w:bottom w:val="nil"/>
              <w:right w:val="single" w:color="5B9BD5" w:sz="4" w:space="0"/>
            </w:tcBorders>
            <w:vAlign w:val="top"/>
          </w:tcPr>
          <w:p w14:paraId="28D6F566">
            <w:pPr>
              <w:rPr>
                <w:rFonts w:ascii="Arial"/>
                <w:sz w:val="21"/>
              </w:rPr>
            </w:pPr>
          </w:p>
        </w:tc>
      </w:tr>
      <w:tr w14:paraId="169F89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6" w:hRule="atLeast"/>
        </w:trPr>
        <w:tc>
          <w:tcPr>
            <w:tcW w:w="772" w:type="dxa"/>
            <w:gridSpan w:val="2"/>
            <w:tcBorders>
              <w:left w:val="single" w:color="000000" w:sz="4" w:space="0"/>
            </w:tcBorders>
            <w:vAlign w:val="top"/>
          </w:tcPr>
          <w:p w14:paraId="70385343">
            <w:pPr>
              <w:pStyle w:val="7"/>
              <w:spacing w:before="145" w:line="237" w:lineRule="auto"/>
              <w:ind w:left="304"/>
            </w:pPr>
            <w:r>
              <w:rPr>
                <w:spacing w:val="-10"/>
              </w:rPr>
              <w:t>16</w:t>
            </w:r>
          </w:p>
        </w:tc>
        <w:tc>
          <w:tcPr>
            <w:tcW w:w="1657" w:type="dxa"/>
            <w:vAlign w:val="top"/>
          </w:tcPr>
          <w:p w14:paraId="14C19ABE">
            <w:pPr>
              <w:pStyle w:val="7"/>
              <w:spacing w:before="145" w:line="219" w:lineRule="auto"/>
              <w:ind w:left="533"/>
            </w:pPr>
            <w:r>
              <w:rPr>
                <w:spacing w:val="-20"/>
              </w:rPr>
              <w:t>圆盘锯</w:t>
            </w:r>
          </w:p>
        </w:tc>
        <w:tc>
          <w:tcPr>
            <w:tcW w:w="1559" w:type="dxa"/>
            <w:vAlign w:val="top"/>
          </w:tcPr>
          <w:p w14:paraId="0981C800">
            <w:pPr>
              <w:pStyle w:val="7"/>
              <w:spacing w:before="188" w:line="179" w:lineRule="auto"/>
              <w:ind w:left="503"/>
            </w:pPr>
            <w:r>
              <w:rPr>
                <w:spacing w:val="-7"/>
              </w:rPr>
              <w:t>MJ105</w:t>
            </w:r>
          </w:p>
        </w:tc>
        <w:tc>
          <w:tcPr>
            <w:tcW w:w="650" w:type="dxa"/>
            <w:vAlign w:val="top"/>
          </w:tcPr>
          <w:p w14:paraId="223B19EC">
            <w:pPr>
              <w:pStyle w:val="7"/>
              <w:spacing w:before="146" w:line="238" w:lineRule="auto"/>
              <w:ind w:left="276"/>
            </w:pPr>
            <w:r>
              <w:t>2</w:t>
            </w:r>
          </w:p>
        </w:tc>
        <w:tc>
          <w:tcPr>
            <w:tcW w:w="794" w:type="dxa"/>
            <w:vAlign w:val="top"/>
          </w:tcPr>
          <w:p w14:paraId="72F6BA63">
            <w:pPr>
              <w:pStyle w:val="7"/>
              <w:spacing w:before="145" w:line="217" w:lineRule="auto"/>
              <w:ind w:left="213"/>
            </w:pPr>
            <w:r>
              <w:rPr>
                <w:spacing w:val="-15"/>
              </w:rPr>
              <w:t>台州</w:t>
            </w:r>
          </w:p>
        </w:tc>
        <w:tc>
          <w:tcPr>
            <w:tcW w:w="794" w:type="dxa"/>
            <w:vAlign w:val="top"/>
          </w:tcPr>
          <w:p w14:paraId="5771C21E">
            <w:pPr>
              <w:pStyle w:val="7"/>
              <w:spacing w:before="146" w:line="237" w:lineRule="auto"/>
              <w:ind w:left="186" w:leftChars="0"/>
            </w:pPr>
            <w:r>
              <w:rPr>
                <w:spacing w:val="-9"/>
              </w:rPr>
              <w:t>2022</w:t>
            </w:r>
          </w:p>
        </w:tc>
        <w:tc>
          <w:tcPr>
            <w:tcW w:w="791" w:type="dxa"/>
            <w:vAlign w:val="top"/>
          </w:tcPr>
          <w:p w14:paraId="4A62DFD7">
            <w:pPr>
              <w:pStyle w:val="7"/>
              <w:spacing w:before="146" w:line="238" w:lineRule="auto"/>
              <w:ind w:left="346"/>
            </w:pPr>
            <w:r>
              <w:t>4</w:t>
            </w:r>
          </w:p>
        </w:tc>
        <w:tc>
          <w:tcPr>
            <w:tcW w:w="794" w:type="dxa"/>
            <w:vAlign w:val="top"/>
          </w:tcPr>
          <w:p w14:paraId="2667B4A5">
            <w:pPr>
              <w:pStyle w:val="7"/>
              <w:spacing w:before="145" w:line="219" w:lineRule="auto"/>
              <w:ind w:left="228"/>
            </w:pPr>
            <w:r>
              <w:rPr>
                <w:spacing w:val="-19"/>
              </w:rPr>
              <w:t>良好</w:t>
            </w:r>
          </w:p>
        </w:tc>
        <w:tc>
          <w:tcPr>
            <w:tcW w:w="1302" w:type="dxa"/>
            <w:vAlign w:val="top"/>
          </w:tcPr>
          <w:p w14:paraId="486A10E7">
            <w:pPr>
              <w:pStyle w:val="7"/>
              <w:spacing w:before="145" w:line="218" w:lineRule="auto"/>
              <w:ind w:left="231"/>
            </w:pPr>
            <w:r>
              <w:rPr>
                <w:spacing w:val="-15"/>
              </w:rPr>
              <w:t>模板加工</w:t>
            </w:r>
          </w:p>
        </w:tc>
        <w:tc>
          <w:tcPr>
            <w:tcW w:w="726" w:type="dxa"/>
            <w:vMerge w:val="continue"/>
            <w:tcBorders>
              <w:top w:val="nil"/>
              <w:bottom w:val="nil"/>
              <w:right w:val="single" w:color="5B9BD5" w:sz="4" w:space="0"/>
            </w:tcBorders>
            <w:vAlign w:val="top"/>
          </w:tcPr>
          <w:p w14:paraId="6DAC9BC7">
            <w:pPr>
              <w:rPr>
                <w:rFonts w:ascii="Arial"/>
                <w:sz w:val="21"/>
              </w:rPr>
            </w:pPr>
          </w:p>
        </w:tc>
      </w:tr>
      <w:tr w14:paraId="1DE375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3" w:hRule="atLeast"/>
        </w:trPr>
        <w:tc>
          <w:tcPr>
            <w:tcW w:w="772" w:type="dxa"/>
            <w:gridSpan w:val="2"/>
            <w:tcBorders>
              <w:left w:val="single" w:color="000000" w:sz="4" w:space="0"/>
            </w:tcBorders>
            <w:vAlign w:val="top"/>
          </w:tcPr>
          <w:p w14:paraId="6E5C5CD0">
            <w:pPr>
              <w:pStyle w:val="7"/>
              <w:spacing w:before="144" w:line="237" w:lineRule="auto"/>
              <w:ind w:left="304"/>
            </w:pPr>
            <w:r>
              <w:rPr>
                <w:spacing w:val="-10"/>
              </w:rPr>
              <w:t>17</w:t>
            </w:r>
          </w:p>
        </w:tc>
        <w:tc>
          <w:tcPr>
            <w:tcW w:w="1657" w:type="dxa"/>
            <w:vAlign w:val="top"/>
          </w:tcPr>
          <w:p w14:paraId="44A86947">
            <w:pPr>
              <w:pStyle w:val="7"/>
              <w:spacing w:before="143" w:line="219" w:lineRule="auto"/>
              <w:ind w:left="406"/>
            </w:pPr>
            <w:r>
              <w:rPr>
                <w:spacing w:val="-16"/>
              </w:rPr>
              <w:t>手提电锯</w:t>
            </w:r>
          </w:p>
        </w:tc>
        <w:tc>
          <w:tcPr>
            <w:tcW w:w="1559" w:type="dxa"/>
            <w:vAlign w:val="top"/>
          </w:tcPr>
          <w:p w14:paraId="17F4071A">
            <w:pPr>
              <w:pStyle w:val="7"/>
              <w:spacing w:before="188" w:line="178" w:lineRule="auto"/>
              <w:ind w:left="558"/>
            </w:pPr>
            <w:r>
              <w:rPr>
                <w:spacing w:val="-7"/>
              </w:rPr>
              <w:t>MJ50</w:t>
            </w:r>
          </w:p>
        </w:tc>
        <w:tc>
          <w:tcPr>
            <w:tcW w:w="650" w:type="dxa"/>
            <w:vAlign w:val="top"/>
          </w:tcPr>
          <w:p w14:paraId="52A0E691">
            <w:pPr>
              <w:pStyle w:val="7"/>
              <w:spacing w:before="144" w:line="238" w:lineRule="auto"/>
              <w:ind w:left="276"/>
            </w:pPr>
            <w:r>
              <w:t>2</w:t>
            </w:r>
          </w:p>
        </w:tc>
        <w:tc>
          <w:tcPr>
            <w:tcW w:w="794" w:type="dxa"/>
            <w:vAlign w:val="top"/>
          </w:tcPr>
          <w:p w14:paraId="65A571E8">
            <w:pPr>
              <w:pStyle w:val="7"/>
              <w:spacing w:before="143" w:line="217" w:lineRule="auto"/>
              <w:ind w:left="213"/>
            </w:pPr>
            <w:r>
              <w:rPr>
                <w:spacing w:val="-15"/>
              </w:rPr>
              <w:t>台州</w:t>
            </w:r>
          </w:p>
        </w:tc>
        <w:tc>
          <w:tcPr>
            <w:tcW w:w="794" w:type="dxa"/>
            <w:vAlign w:val="top"/>
          </w:tcPr>
          <w:p w14:paraId="78119A13">
            <w:pPr>
              <w:pStyle w:val="7"/>
              <w:spacing w:before="145" w:line="237" w:lineRule="auto"/>
              <w:ind w:left="186" w:leftChars="0"/>
            </w:pPr>
            <w:r>
              <w:rPr>
                <w:spacing w:val="-9"/>
              </w:rPr>
              <w:t>202</w:t>
            </w:r>
            <w:r>
              <w:rPr>
                <w:rFonts w:hint="eastAsia"/>
                <w:spacing w:val="-9"/>
                <w:lang w:val="en-US" w:eastAsia="zh-CN"/>
              </w:rPr>
              <w:t>1</w:t>
            </w:r>
          </w:p>
        </w:tc>
        <w:tc>
          <w:tcPr>
            <w:tcW w:w="791" w:type="dxa"/>
            <w:vAlign w:val="top"/>
          </w:tcPr>
          <w:p w14:paraId="0AD695BA">
            <w:pPr>
              <w:pStyle w:val="7"/>
              <w:spacing w:before="144" w:line="236" w:lineRule="auto"/>
              <w:ind w:left="254"/>
            </w:pPr>
            <w:r>
              <w:rPr>
                <w:spacing w:val="-12"/>
              </w:rPr>
              <w:t>1.1</w:t>
            </w:r>
          </w:p>
        </w:tc>
        <w:tc>
          <w:tcPr>
            <w:tcW w:w="794" w:type="dxa"/>
            <w:vAlign w:val="top"/>
          </w:tcPr>
          <w:p w14:paraId="4913DFA6">
            <w:pPr>
              <w:pStyle w:val="7"/>
              <w:spacing w:before="143" w:line="219" w:lineRule="auto"/>
              <w:ind w:left="228"/>
            </w:pPr>
            <w:r>
              <w:rPr>
                <w:spacing w:val="-19"/>
              </w:rPr>
              <w:t>良好</w:t>
            </w:r>
          </w:p>
        </w:tc>
        <w:tc>
          <w:tcPr>
            <w:tcW w:w="1302" w:type="dxa"/>
            <w:vAlign w:val="top"/>
          </w:tcPr>
          <w:p w14:paraId="214FB7FE">
            <w:pPr>
              <w:pStyle w:val="7"/>
              <w:spacing w:before="144" w:line="218" w:lineRule="auto"/>
              <w:ind w:left="231"/>
            </w:pPr>
            <w:r>
              <w:rPr>
                <w:spacing w:val="-15"/>
              </w:rPr>
              <w:t>模板加工</w:t>
            </w:r>
          </w:p>
        </w:tc>
        <w:tc>
          <w:tcPr>
            <w:tcW w:w="726" w:type="dxa"/>
            <w:vMerge w:val="continue"/>
            <w:tcBorders>
              <w:top w:val="nil"/>
              <w:bottom w:val="nil"/>
              <w:right w:val="single" w:color="5B9BD5" w:sz="4" w:space="0"/>
            </w:tcBorders>
            <w:vAlign w:val="top"/>
          </w:tcPr>
          <w:p w14:paraId="0F730EB5">
            <w:pPr>
              <w:rPr>
                <w:rFonts w:ascii="Arial"/>
                <w:sz w:val="21"/>
              </w:rPr>
            </w:pPr>
          </w:p>
        </w:tc>
      </w:tr>
      <w:tr w14:paraId="52D4B0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6" w:hRule="atLeast"/>
        </w:trPr>
        <w:tc>
          <w:tcPr>
            <w:tcW w:w="772" w:type="dxa"/>
            <w:gridSpan w:val="2"/>
            <w:tcBorders>
              <w:left w:val="single" w:color="000000" w:sz="4" w:space="0"/>
            </w:tcBorders>
            <w:vAlign w:val="top"/>
          </w:tcPr>
          <w:p w14:paraId="22884ED6">
            <w:pPr>
              <w:pStyle w:val="7"/>
              <w:spacing w:before="147" w:line="237" w:lineRule="auto"/>
              <w:ind w:left="304"/>
            </w:pPr>
            <w:r>
              <w:rPr>
                <w:spacing w:val="-10"/>
              </w:rPr>
              <w:t>18</w:t>
            </w:r>
          </w:p>
        </w:tc>
        <w:tc>
          <w:tcPr>
            <w:tcW w:w="1657" w:type="dxa"/>
            <w:vAlign w:val="top"/>
          </w:tcPr>
          <w:p w14:paraId="0A4126D4">
            <w:pPr>
              <w:pStyle w:val="7"/>
              <w:spacing w:before="147" w:line="219" w:lineRule="auto"/>
              <w:ind w:left="514"/>
            </w:pPr>
            <w:r>
              <w:rPr>
                <w:spacing w:val="-14"/>
              </w:rPr>
              <w:t>潜水泵</w:t>
            </w:r>
          </w:p>
        </w:tc>
        <w:tc>
          <w:tcPr>
            <w:tcW w:w="1559" w:type="dxa"/>
            <w:vAlign w:val="top"/>
          </w:tcPr>
          <w:p w14:paraId="53A458BD">
            <w:pPr>
              <w:pStyle w:val="7"/>
              <w:spacing w:before="147" w:line="237" w:lineRule="auto"/>
              <w:ind w:left="398"/>
            </w:pPr>
            <w:r>
              <w:rPr>
                <w:spacing w:val="-9"/>
              </w:rPr>
              <w:t>PX10-34</w:t>
            </w:r>
          </w:p>
        </w:tc>
        <w:tc>
          <w:tcPr>
            <w:tcW w:w="650" w:type="dxa"/>
            <w:vAlign w:val="top"/>
          </w:tcPr>
          <w:p w14:paraId="0B7FFEAA">
            <w:pPr>
              <w:pStyle w:val="7"/>
              <w:spacing w:before="147" w:line="237" w:lineRule="auto"/>
              <w:ind w:left="236"/>
            </w:pPr>
            <w:r>
              <w:rPr>
                <w:spacing w:val="-10"/>
              </w:rPr>
              <w:t>10</w:t>
            </w:r>
          </w:p>
        </w:tc>
        <w:tc>
          <w:tcPr>
            <w:tcW w:w="794" w:type="dxa"/>
            <w:vAlign w:val="top"/>
          </w:tcPr>
          <w:p w14:paraId="0C8AAC34">
            <w:pPr>
              <w:pStyle w:val="7"/>
              <w:spacing w:before="147" w:line="218" w:lineRule="auto"/>
              <w:ind w:left="189"/>
            </w:pPr>
            <w:r>
              <w:rPr>
                <w:spacing w:val="-10"/>
              </w:rPr>
              <w:t>杭州</w:t>
            </w:r>
          </w:p>
        </w:tc>
        <w:tc>
          <w:tcPr>
            <w:tcW w:w="794" w:type="dxa"/>
            <w:vAlign w:val="top"/>
          </w:tcPr>
          <w:p w14:paraId="67987DFD">
            <w:pPr>
              <w:pStyle w:val="7"/>
              <w:spacing w:before="146" w:line="237" w:lineRule="auto"/>
              <w:ind w:left="186" w:leftChars="0"/>
            </w:pPr>
            <w:r>
              <w:rPr>
                <w:spacing w:val="-9"/>
              </w:rPr>
              <w:t>2022</w:t>
            </w:r>
          </w:p>
        </w:tc>
        <w:tc>
          <w:tcPr>
            <w:tcW w:w="791" w:type="dxa"/>
            <w:vAlign w:val="top"/>
          </w:tcPr>
          <w:p w14:paraId="1182C08C">
            <w:pPr>
              <w:pStyle w:val="7"/>
              <w:spacing w:before="147" w:line="237" w:lineRule="auto"/>
              <w:ind w:left="310"/>
            </w:pPr>
            <w:r>
              <w:rPr>
                <w:spacing w:val="-10"/>
              </w:rPr>
              <w:t>15</w:t>
            </w:r>
          </w:p>
        </w:tc>
        <w:tc>
          <w:tcPr>
            <w:tcW w:w="794" w:type="dxa"/>
            <w:vAlign w:val="top"/>
          </w:tcPr>
          <w:p w14:paraId="1ED32CEE">
            <w:pPr>
              <w:pStyle w:val="7"/>
              <w:spacing w:before="147" w:line="219" w:lineRule="auto"/>
              <w:ind w:left="228"/>
            </w:pPr>
            <w:r>
              <w:rPr>
                <w:spacing w:val="-19"/>
              </w:rPr>
              <w:t>良好</w:t>
            </w:r>
          </w:p>
        </w:tc>
        <w:tc>
          <w:tcPr>
            <w:tcW w:w="1302" w:type="dxa"/>
            <w:vAlign w:val="top"/>
          </w:tcPr>
          <w:p w14:paraId="05DC7FC8">
            <w:pPr>
              <w:pStyle w:val="7"/>
              <w:spacing w:before="147" w:line="219" w:lineRule="auto"/>
              <w:ind w:left="447"/>
            </w:pPr>
            <w:r>
              <w:rPr>
                <w:spacing w:val="-10"/>
              </w:rPr>
              <w:t>抽水</w:t>
            </w:r>
          </w:p>
        </w:tc>
        <w:tc>
          <w:tcPr>
            <w:tcW w:w="726" w:type="dxa"/>
            <w:vMerge w:val="continue"/>
            <w:tcBorders>
              <w:top w:val="nil"/>
              <w:bottom w:val="nil"/>
              <w:right w:val="single" w:color="5B9BD5" w:sz="4" w:space="0"/>
            </w:tcBorders>
            <w:vAlign w:val="top"/>
          </w:tcPr>
          <w:p w14:paraId="3D3237D4">
            <w:pPr>
              <w:rPr>
                <w:rFonts w:ascii="Arial"/>
                <w:sz w:val="21"/>
              </w:rPr>
            </w:pPr>
          </w:p>
        </w:tc>
      </w:tr>
      <w:tr w14:paraId="630B83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3" w:hRule="atLeast"/>
        </w:trPr>
        <w:tc>
          <w:tcPr>
            <w:tcW w:w="772" w:type="dxa"/>
            <w:gridSpan w:val="2"/>
            <w:tcBorders>
              <w:left w:val="single" w:color="000000" w:sz="4" w:space="0"/>
            </w:tcBorders>
            <w:vAlign w:val="top"/>
          </w:tcPr>
          <w:p w14:paraId="3520E656">
            <w:pPr>
              <w:pStyle w:val="7"/>
              <w:spacing w:before="147" w:line="237" w:lineRule="auto"/>
              <w:ind w:left="304"/>
            </w:pPr>
            <w:r>
              <w:rPr>
                <w:spacing w:val="-14"/>
              </w:rPr>
              <w:t>19</w:t>
            </w:r>
          </w:p>
        </w:tc>
        <w:tc>
          <w:tcPr>
            <w:tcW w:w="1657" w:type="dxa"/>
            <w:vAlign w:val="top"/>
          </w:tcPr>
          <w:p w14:paraId="72BB7FA9">
            <w:pPr>
              <w:pStyle w:val="7"/>
              <w:spacing w:before="147" w:line="218" w:lineRule="auto"/>
              <w:ind w:left="524"/>
            </w:pPr>
            <w:r>
              <w:rPr>
                <w:spacing w:val="-17"/>
              </w:rPr>
              <w:t>空压机</w:t>
            </w:r>
          </w:p>
        </w:tc>
        <w:tc>
          <w:tcPr>
            <w:tcW w:w="1559" w:type="dxa"/>
            <w:vAlign w:val="top"/>
          </w:tcPr>
          <w:p w14:paraId="40913FF1">
            <w:pPr>
              <w:pStyle w:val="7"/>
              <w:spacing w:before="147" w:line="237" w:lineRule="auto"/>
              <w:ind w:left="621"/>
            </w:pPr>
            <w:r>
              <w:rPr>
                <w:spacing w:val="-8"/>
              </w:rPr>
              <w:t>9m3</w:t>
            </w:r>
          </w:p>
        </w:tc>
        <w:tc>
          <w:tcPr>
            <w:tcW w:w="650" w:type="dxa"/>
            <w:vAlign w:val="top"/>
          </w:tcPr>
          <w:p w14:paraId="228BFA4E">
            <w:pPr>
              <w:pStyle w:val="7"/>
              <w:spacing w:before="147" w:line="238" w:lineRule="auto"/>
              <w:ind w:left="272"/>
            </w:pPr>
            <w:r>
              <w:t>4</w:t>
            </w:r>
          </w:p>
        </w:tc>
        <w:tc>
          <w:tcPr>
            <w:tcW w:w="794" w:type="dxa"/>
            <w:vAlign w:val="top"/>
          </w:tcPr>
          <w:p w14:paraId="6378C794">
            <w:pPr>
              <w:pStyle w:val="7"/>
              <w:spacing w:before="147" w:line="220" w:lineRule="auto"/>
              <w:ind w:left="212"/>
            </w:pPr>
            <w:r>
              <w:rPr>
                <w:spacing w:val="-15"/>
              </w:rPr>
              <w:t>山东</w:t>
            </w:r>
          </w:p>
        </w:tc>
        <w:tc>
          <w:tcPr>
            <w:tcW w:w="794" w:type="dxa"/>
            <w:vAlign w:val="top"/>
          </w:tcPr>
          <w:p w14:paraId="2FDF143C">
            <w:pPr>
              <w:pStyle w:val="7"/>
              <w:spacing w:before="145" w:line="237" w:lineRule="auto"/>
              <w:ind w:left="186" w:leftChars="0"/>
            </w:pPr>
            <w:r>
              <w:rPr>
                <w:spacing w:val="-9"/>
              </w:rPr>
              <w:t>202</w:t>
            </w:r>
            <w:r>
              <w:rPr>
                <w:rFonts w:hint="eastAsia"/>
                <w:spacing w:val="-9"/>
                <w:lang w:val="en-US" w:eastAsia="zh-CN"/>
              </w:rPr>
              <w:t>1</w:t>
            </w:r>
          </w:p>
        </w:tc>
        <w:tc>
          <w:tcPr>
            <w:tcW w:w="791" w:type="dxa"/>
            <w:vAlign w:val="top"/>
          </w:tcPr>
          <w:p w14:paraId="5F0FE8AB">
            <w:pPr>
              <w:pStyle w:val="7"/>
              <w:spacing w:before="147" w:line="236" w:lineRule="auto"/>
              <w:ind w:left="184"/>
            </w:pPr>
            <w:r>
              <w:rPr>
                <w:spacing w:val="-9"/>
              </w:rPr>
              <w:t>22.3</w:t>
            </w:r>
          </w:p>
        </w:tc>
        <w:tc>
          <w:tcPr>
            <w:tcW w:w="794" w:type="dxa"/>
            <w:vAlign w:val="top"/>
          </w:tcPr>
          <w:p w14:paraId="4F67C970">
            <w:pPr>
              <w:pStyle w:val="7"/>
              <w:spacing w:before="147" w:line="219" w:lineRule="auto"/>
              <w:ind w:left="228"/>
            </w:pPr>
            <w:r>
              <w:rPr>
                <w:spacing w:val="-19"/>
              </w:rPr>
              <w:t>良好</w:t>
            </w:r>
          </w:p>
        </w:tc>
        <w:tc>
          <w:tcPr>
            <w:tcW w:w="1302" w:type="dxa"/>
            <w:vAlign w:val="top"/>
          </w:tcPr>
          <w:p w14:paraId="200C92B5">
            <w:pPr>
              <w:pStyle w:val="7"/>
              <w:spacing w:before="147" w:line="220" w:lineRule="auto"/>
              <w:ind w:left="245"/>
            </w:pPr>
            <w:r>
              <w:rPr>
                <w:spacing w:val="-19"/>
              </w:rPr>
              <w:t>管道试验</w:t>
            </w:r>
          </w:p>
        </w:tc>
        <w:tc>
          <w:tcPr>
            <w:tcW w:w="726" w:type="dxa"/>
            <w:vMerge w:val="continue"/>
            <w:tcBorders>
              <w:top w:val="nil"/>
              <w:bottom w:val="nil"/>
              <w:right w:val="single" w:color="5B9BD5" w:sz="4" w:space="0"/>
            </w:tcBorders>
            <w:vAlign w:val="top"/>
          </w:tcPr>
          <w:p w14:paraId="6FFE2541">
            <w:pPr>
              <w:rPr>
                <w:rFonts w:ascii="Arial"/>
                <w:sz w:val="21"/>
              </w:rPr>
            </w:pPr>
          </w:p>
        </w:tc>
      </w:tr>
      <w:tr w14:paraId="75E072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3" w:hRule="atLeast"/>
        </w:trPr>
        <w:tc>
          <w:tcPr>
            <w:tcW w:w="772" w:type="dxa"/>
            <w:gridSpan w:val="2"/>
            <w:tcBorders>
              <w:left w:val="single" w:color="000000" w:sz="4" w:space="0"/>
            </w:tcBorders>
            <w:vAlign w:val="top"/>
          </w:tcPr>
          <w:p w14:paraId="2FEFE1B4">
            <w:pPr>
              <w:pStyle w:val="7"/>
              <w:spacing w:before="145" w:line="237" w:lineRule="auto"/>
              <w:ind w:left="289"/>
            </w:pPr>
            <w:r>
              <w:rPr>
                <w:spacing w:val="-6"/>
              </w:rPr>
              <w:t>20</w:t>
            </w:r>
          </w:p>
        </w:tc>
        <w:tc>
          <w:tcPr>
            <w:tcW w:w="1657" w:type="dxa"/>
            <w:vAlign w:val="top"/>
          </w:tcPr>
          <w:p w14:paraId="501AEAE2">
            <w:pPr>
              <w:pStyle w:val="7"/>
              <w:spacing w:before="146" w:line="218" w:lineRule="auto"/>
              <w:ind w:left="291"/>
            </w:pPr>
            <w:r>
              <w:rPr>
                <w:spacing w:val="-17"/>
              </w:rPr>
              <w:t>蛙式打夯机</w:t>
            </w:r>
          </w:p>
        </w:tc>
        <w:tc>
          <w:tcPr>
            <w:tcW w:w="1559" w:type="dxa"/>
            <w:vAlign w:val="top"/>
          </w:tcPr>
          <w:p w14:paraId="4220FF1F">
            <w:pPr>
              <w:pStyle w:val="7"/>
              <w:spacing w:before="145" w:line="237" w:lineRule="auto"/>
              <w:ind w:left="449"/>
            </w:pPr>
            <w:r>
              <w:rPr>
                <w:spacing w:val="-9"/>
              </w:rPr>
              <w:t>HZ-400</w:t>
            </w:r>
          </w:p>
        </w:tc>
        <w:tc>
          <w:tcPr>
            <w:tcW w:w="650" w:type="dxa"/>
            <w:vAlign w:val="top"/>
          </w:tcPr>
          <w:p w14:paraId="3C91E073">
            <w:pPr>
              <w:pStyle w:val="7"/>
              <w:spacing w:before="145" w:line="237" w:lineRule="auto"/>
              <w:ind w:left="236"/>
            </w:pPr>
            <w:r>
              <w:rPr>
                <w:spacing w:val="-14"/>
              </w:rPr>
              <w:t>10</w:t>
            </w:r>
          </w:p>
        </w:tc>
        <w:tc>
          <w:tcPr>
            <w:tcW w:w="794" w:type="dxa"/>
            <w:vAlign w:val="top"/>
          </w:tcPr>
          <w:p w14:paraId="628AB936">
            <w:pPr>
              <w:pStyle w:val="7"/>
              <w:spacing w:before="146" w:line="220" w:lineRule="auto"/>
              <w:ind w:left="192"/>
            </w:pPr>
            <w:r>
              <w:rPr>
                <w:spacing w:val="-10"/>
              </w:rPr>
              <w:t>上海</w:t>
            </w:r>
          </w:p>
        </w:tc>
        <w:tc>
          <w:tcPr>
            <w:tcW w:w="794" w:type="dxa"/>
            <w:vAlign w:val="top"/>
          </w:tcPr>
          <w:p w14:paraId="68C2092D">
            <w:pPr>
              <w:pStyle w:val="7"/>
              <w:spacing w:before="146" w:line="237" w:lineRule="auto"/>
              <w:ind w:left="186" w:leftChars="0"/>
            </w:pPr>
            <w:r>
              <w:rPr>
                <w:spacing w:val="-9"/>
              </w:rPr>
              <w:t>2022</w:t>
            </w:r>
          </w:p>
        </w:tc>
        <w:tc>
          <w:tcPr>
            <w:tcW w:w="791" w:type="dxa"/>
            <w:vAlign w:val="top"/>
          </w:tcPr>
          <w:p w14:paraId="51A53619">
            <w:pPr>
              <w:pStyle w:val="7"/>
              <w:spacing w:before="145" w:line="237" w:lineRule="auto"/>
              <w:ind w:left="352"/>
            </w:pPr>
            <w:r>
              <w:t>3</w:t>
            </w:r>
          </w:p>
        </w:tc>
        <w:tc>
          <w:tcPr>
            <w:tcW w:w="794" w:type="dxa"/>
            <w:vAlign w:val="top"/>
          </w:tcPr>
          <w:p w14:paraId="3B5F5BB1">
            <w:pPr>
              <w:pStyle w:val="7"/>
              <w:spacing w:before="145" w:line="219" w:lineRule="auto"/>
              <w:ind w:left="228"/>
            </w:pPr>
            <w:r>
              <w:rPr>
                <w:spacing w:val="-19"/>
              </w:rPr>
              <w:t>良好</w:t>
            </w:r>
          </w:p>
        </w:tc>
        <w:tc>
          <w:tcPr>
            <w:tcW w:w="1302" w:type="dxa"/>
            <w:vAlign w:val="top"/>
          </w:tcPr>
          <w:p w14:paraId="53801EDF">
            <w:pPr>
              <w:pStyle w:val="7"/>
              <w:spacing w:before="146" w:line="218" w:lineRule="auto"/>
              <w:ind w:left="448"/>
            </w:pPr>
            <w:r>
              <w:rPr>
                <w:spacing w:val="-10"/>
              </w:rPr>
              <w:t>压实</w:t>
            </w:r>
          </w:p>
        </w:tc>
        <w:tc>
          <w:tcPr>
            <w:tcW w:w="726" w:type="dxa"/>
            <w:vMerge w:val="continue"/>
            <w:tcBorders>
              <w:top w:val="nil"/>
              <w:bottom w:val="nil"/>
              <w:right w:val="single" w:color="5B9BD5" w:sz="4" w:space="0"/>
            </w:tcBorders>
            <w:vAlign w:val="top"/>
          </w:tcPr>
          <w:p w14:paraId="192ED4FC">
            <w:pPr>
              <w:rPr>
                <w:rFonts w:ascii="Arial"/>
                <w:sz w:val="21"/>
              </w:rPr>
            </w:pPr>
          </w:p>
        </w:tc>
      </w:tr>
      <w:tr w14:paraId="419361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6" w:hRule="atLeast"/>
        </w:trPr>
        <w:tc>
          <w:tcPr>
            <w:tcW w:w="772" w:type="dxa"/>
            <w:gridSpan w:val="2"/>
            <w:tcBorders>
              <w:left w:val="single" w:color="000000" w:sz="4" w:space="0"/>
            </w:tcBorders>
            <w:vAlign w:val="top"/>
          </w:tcPr>
          <w:p w14:paraId="2CB6AAA2">
            <w:pPr>
              <w:pStyle w:val="7"/>
              <w:spacing w:before="147" w:line="238" w:lineRule="auto"/>
              <w:ind w:left="289"/>
            </w:pPr>
            <w:r>
              <w:rPr>
                <w:spacing w:val="-6"/>
              </w:rPr>
              <w:t>21</w:t>
            </w:r>
          </w:p>
        </w:tc>
        <w:tc>
          <w:tcPr>
            <w:tcW w:w="1657" w:type="dxa"/>
            <w:vAlign w:val="top"/>
          </w:tcPr>
          <w:p w14:paraId="0AED46D6">
            <w:pPr>
              <w:pStyle w:val="7"/>
              <w:spacing w:before="146" w:line="216" w:lineRule="auto"/>
              <w:ind w:left="293"/>
            </w:pPr>
            <w:r>
              <w:rPr>
                <w:spacing w:val="-17"/>
              </w:rPr>
              <w:t>柴油发电机</w:t>
            </w:r>
          </w:p>
        </w:tc>
        <w:tc>
          <w:tcPr>
            <w:tcW w:w="1559" w:type="dxa"/>
            <w:vAlign w:val="top"/>
          </w:tcPr>
          <w:p w14:paraId="4BC3A6FC">
            <w:pPr>
              <w:pStyle w:val="7"/>
              <w:spacing w:before="146" w:line="237" w:lineRule="auto"/>
              <w:ind w:left="407"/>
            </w:pPr>
            <w:r>
              <w:rPr>
                <w:spacing w:val="-10"/>
              </w:rPr>
              <w:t>350KWGF</w:t>
            </w:r>
          </w:p>
        </w:tc>
        <w:tc>
          <w:tcPr>
            <w:tcW w:w="650" w:type="dxa"/>
            <w:vAlign w:val="top"/>
          </w:tcPr>
          <w:p w14:paraId="4EC3180B">
            <w:pPr>
              <w:pStyle w:val="7"/>
              <w:spacing w:before="146" w:line="237" w:lineRule="auto"/>
              <w:ind w:left="278"/>
            </w:pPr>
            <w:r>
              <w:t>3</w:t>
            </w:r>
          </w:p>
        </w:tc>
        <w:tc>
          <w:tcPr>
            <w:tcW w:w="794" w:type="dxa"/>
            <w:vAlign w:val="top"/>
          </w:tcPr>
          <w:p w14:paraId="23A6D7E9">
            <w:pPr>
              <w:pStyle w:val="7"/>
              <w:spacing w:before="146" w:line="218" w:lineRule="auto"/>
              <w:ind w:left="197"/>
            </w:pPr>
            <w:r>
              <w:rPr>
                <w:spacing w:val="-12"/>
              </w:rPr>
              <w:t>北京</w:t>
            </w:r>
          </w:p>
        </w:tc>
        <w:tc>
          <w:tcPr>
            <w:tcW w:w="794" w:type="dxa"/>
            <w:vAlign w:val="top"/>
          </w:tcPr>
          <w:p w14:paraId="21F50F6C">
            <w:pPr>
              <w:pStyle w:val="7"/>
              <w:spacing w:before="145" w:line="237" w:lineRule="auto"/>
              <w:ind w:left="186" w:leftChars="0"/>
            </w:pPr>
            <w:r>
              <w:rPr>
                <w:spacing w:val="-9"/>
              </w:rPr>
              <w:t>202</w:t>
            </w:r>
            <w:r>
              <w:rPr>
                <w:rFonts w:hint="eastAsia"/>
                <w:spacing w:val="-9"/>
                <w:lang w:val="en-US" w:eastAsia="zh-CN"/>
              </w:rPr>
              <w:t>1</w:t>
            </w:r>
          </w:p>
        </w:tc>
        <w:tc>
          <w:tcPr>
            <w:tcW w:w="791" w:type="dxa"/>
            <w:vAlign w:val="top"/>
          </w:tcPr>
          <w:p w14:paraId="76D785BC">
            <w:pPr>
              <w:pStyle w:val="7"/>
              <w:spacing w:before="146" w:line="237" w:lineRule="auto"/>
              <w:ind w:left="241"/>
            </w:pPr>
            <w:r>
              <w:rPr>
                <w:spacing w:val="-9"/>
              </w:rPr>
              <w:t>350</w:t>
            </w:r>
          </w:p>
        </w:tc>
        <w:tc>
          <w:tcPr>
            <w:tcW w:w="794" w:type="dxa"/>
            <w:vAlign w:val="top"/>
          </w:tcPr>
          <w:p w14:paraId="14B4A8BE">
            <w:pPr>
              <w:pStyle w:val="7"/>
              <w:spacing w:before="146" w:line="219" w:lineRule="auto"/>
              <w:ind w:left="228"/>
            </w:pPr>
            <w:r>
              <w:rPr>
                <w:spacing w:val="-19"/>
              </w:rPr>
              <w:t>良好</w:t>
            </w:r>
          </w:p>
        </w:tc>
        <w:tc>
          <w:tcPr>
            <w:tcW w:w="1302" w:type="dxa"/>
            <w:vAlign w:val="top"/>
          </w:tcPr>
          <w:p w14:paraId="504209EE">
            <w:pPr>
              <w:pStyle w:val="7"/>
              <w:spacing w:before="146" w:line="220" w:lineRule="auto"/>
              <w:ind w:left="238"/>
            </w:pPr>
            <w:r>
              <w:rPr>
                <w:spacing w:val="-17"/>
              </w:rPr>
              <w:t>发电应急</w:t>
            </w:r>
          </w:p>
        </w:tc>
        <w:tc>
          <w:tcPr>
            <w:tcW w:w="726" w:type="dxa"/>
            <w:vMerge w:val="continue"/>
            <w:tcBorders>
              <w:top w:val="nil"/>
              <w:bottom w:val="nil"/>
              <w:right w:val="single" w:color="5B9BD5" w:sz="4" w:space="0"/>
            </w:tcBorders>
            <w:vAlign w:val="top"/>
          </w:tcPr>
          <w:p w14:paraId="169B4890">
            <w:pPr>
              <w:rPr>
                <w:rFonts w:ascii="Arial"/>
                <w:sz w:val="21"/>
              </w:rPr>
            </w:pPr>
          </w:p>
        </w:tc>
      </w:tr>
      <w:tr w14:paraId="55A362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6" w:hRule="atLeast"/>
        </w:trPr>
        <w:tc>
          <w:tcPr>
            <w:tcW w:w="772" w:type="dxa"/>
            <w:gridSpan w:val="2"/>
            <w:tcBorders>
              <w:left w:val="single" w:color="000000" w:sz="4" w:space="0"/>
            </w:tcBorders>
            <w:vAlign w:val="top"/>
          </w:tcPr>
          <w:p w14:paraId="3A57FBDA">
            <w:pPr>
              <w:pStyle w:val="7"/>
              <w:spacing w:before="147" w:line="238" w:lineRule="auto"/>
              <w:ind w:left="289"/>
            </w:pPr>
            <w:r>
              <w:rPr>
                <w:spacing w:val="-6"/>
              </w:rPr>
              <w:t>22</w:t>
            </w:r>
          </w:p>
        </w:tc>
        <w:tc>
          <w:tcPr>
            <w:tcW w:w="1657" w:type="dxa"/>
            <w:vAlign w:val="top"/>
          </w:tcPr>
          <w:p w14:paraId="64CAB967">
            <w:pPr>
              <w:pStyle w:val="7"/>
              <w:spacing w:before="147" w:line="219" w:lineRule="auto"/>
              <w:ind w:left="410"/>
            </w:pPr>
            <w:r>
              <w:rPr>
                <w:spacing w:val="-17"/>
              </w:rPr>
              <w:t>高压水泵</w:t>
            </w:r>
          </w:p>
        </w:tc>
        <w:tc>
          <w:tcPr>
            <w:tcW w:w="1559" w:type="dxa"/>
            <w:vAlign w:val="top"/>
          </w:tcPr>
          <w:p w14:paraId="4CECB387">
            <w:pPr>
              <w:pStyle w:val="7"/>
              <w:spacing w:before="147" w:line="237" w:lineRule="auto"/>
              <w:ind w:left="398"/>
            </w:pPr>
            <w:r>
              <w:rPr>
                <w:spacing w:val="-9"/>
              </w:rPr>
              <w:t>YBZSZ-2</w:t>
            </w:r>
          </w:p>
        </w:tc>
        <w:tc>
          <w:tcPr>
            <w:tcW w:w="650" w:type="dxa"/>
            <w:vAlign w:val="top"/>
          </w:tcPr>
          <w:p w14:paraId="6EEEF897">
            <w:pPr>
              <w:pStyle w:val="7"/>
              <w:spacing w:before="147" w:line="237" w:lineRule="auto"/>
              <w:ind w:left="236"/>
            </w:pPr>
            <w:r>
              <w:rPr>
                <w:spacing w:val="-10"/>
              </w:rPr>
              <w:t>10</w:t>
            </w:r>
          </w:p>
        </w:tc>
        <w:tc>
          <w:tcPr>
            <w:tcW w:w="794" w:type="dxa"/>
            <w:vAlign w:val="top"/>
          </w:tcPr>
          <w:p w14:paraId="020FD7C2">
            <w:pPr>
              <w:pStyle w:val="7"/>
              <w:spacing w:before="147" w:line="218" w:lineRule="auto"/>
              <w:ind w:left="191"/>
            </w:pPr>
            <w:r>
              <w:rPr>
                <w:spacing w:val="-10"/>
              </w:rPr>
              <w:t>天津</w:t>
            </w:r>
          </w:p>
        </w:tc>
        <w:tc>
          <w:tcPr>
            <w:tcW w:w="794" w:type="dxa"/>
            <w:vAlign w:val="top"/>
          </w:tcPr>
          <w:p w14:paraId="28BE20BE">
            <w:pPr>
              <w:pStyle w:val="7"/>
              <w:spacing w:before="146" w:line="237" w:lineRule="auto"/>
              <w:ind w:left="186" w:leftChars="0"/>
            </w:pPr>
            <w:r>
              <w:rPr>
                <w:spacing w:val="-9"/>
              </w:rPr>
              <w:t>2022</w:t>
            </w:r>
          </w:p>
        </w:tc>
        <w:tc>
          <w:tcPr>
            <w:tcW w:w="791" w:type="dxa"/>
            <w:vAlign w:val="top"/>
          </w:tcPr>
          <w:p w14:paraId="34EED8FA">
            <w:pPr>
              <w:pStyle w:val="7"/>
              <w:spacing w:before="147" w:line="237" w:lineRule="auto"/>
              <w:ind w:left="199"/>
            </w:pPr>
            <w:r>
              <w:rPr>
                <w:spacing w:val="-13"/>
              </w:rPr>
              <w:t>150m</w:t>
            </w:r>
          </w:p>
        </w:tc>
        <w:tc>
          <w:tcPr>
            <w:tcW w:w="794" w:type="dxa"/>
            <w:vAlign w:val="top"/>
          </w:tcPr>
          <w:p w14:paraId="1EF1879F">
            <w:pPr>
              <w:pStyle w:val="7"/>
              <w:spacing w:before="147" w:line="219" w:lineRule="auto"/>
              <w:ind w:left="228"/>
            </w:pPr>
            <w:r>
              <w:rPr>
                <w:spacing w:val="-19"/>
              </w:rPr>
              <w:t>良好</w:t>
            </w:r>
          </w:p>
        </w:tc>
        <w:tc>
          <w:tcPr>
            <w:tcW w:w="1302" w:type="dxa"/>
            <w:vAlign w:val="top"/>
          </w:tcPr>
          <w:p w14:paraId="69DCBCE7">
            <w:pPr>
              <w:pStyle w:val="7"/>
              <w:spacing w:before="147" w:line="219" w:lineRule="auto"/>
              <w:ind w:left="231"/>
            </w:pPr>
            <w:r>
              <w:rPr>
                <w:spacing w:val="-15"/>
              </w:rPr>
              <w:t>施工用水</w:t>
            </w:r>
          </w:p>
        </w:tc>
        <w:tc>
          <w:tcPr>
            <w:tcW w:w="726" w:type="dxa"/>
            <w:vMerge w:val="continue"/>
            <w:tcBorders>
              <w:top w:val="nil"/>
              <w:bottom w:val="nil"/>
              <w:right w:val="single" w:color="5B9BD5" w:sz="4" w:space="0"/>
            </w:tcBorders>
            <w:vAlign w:val="top"/>
          </w:tcPr>
          <w:p w14:paraId="55C2AA66">
            <w:pPr>
              <w:rPr>
                <w:rFonts w:ascii="Arial"/>
                <w:sz w:val="21"/>
              </w:rPr>
            </w:pPr>
          </w:p>
        </w:tc>
      </w:tr>
      <w:tr w14:paraId="3F5B6A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3" w:hRule="atLeast"/>
        </w:trPr>
        <w:tc>
          <w:tcPr>
            <w:tcW w:w="772" w:type="dxa"/>
            <w:gridSpan w:val="2"/>
            <w:tcBorders>
              <w:left w:val="single" w:color="000000" w:sz="4" w:space="0"/>
            </w:tcBorders>
            <w:vAlign w:val="top"/>
          </w:tcPr>
          <w:p w14:paraId="1B7AE2ED">
            <w:pPr>
              <w:pStyle w:val="7"/>
              <w:spacing w:before="147" w:line="237" w:lineRule="auto"/>
              <w:ind w:left="289"/>
            </w:pPr>
            <w:r>
              <w:rPr>
                <w:spacing w:val="-6"/>
              </w:rPr>
              <w:t>23</w:t>
            </w:r>
          </w:p>
        </w:tc>
        <w:tc>
          <w:tcPr>
            <w:tcW w:w="1657" w:type="dxa"/>
            <w:vAlign w:val="top"/>
          </w:tcPr>
          <w:p w14:paraId="459215AA">
            <w:pPr>
              <w:pStyle w:val="7"/>
              <w:spacing w:before="147" w:line="218" w:lineRule="auto"/>
              <w:ind w:left="298"/>
            </w:pPr>
            <w:r>
              <w:rPr>
                <w:spacing w:val="-18"/>
              </w:rPr>
              <w:t>交流电焊机</w:t>
            </w:r>
          </w:p>
        </w:tc>
        <w:tc>
          <w:tcPr>
            <w:tcW w:w="1559" w:type="dxa"/>
            <w:vAlign w:val="top"/>
          </w:tcPr>
          <w:p w14:paraId="09738F89">
            <w:pPr>
              <w:pStyle w:val="7"/>
              <w:spacing w:before="147" w:line="237" w:lineRule="auto"/>
              <w:ind w:left="395"/>
            </w:pPr>
            <w:r>
              <w:rPr>
                <w:spacing w:val="-9"/>
              </w:rPr>
              <w:t>AX500-7</w:t>
            </w:r>
          </w:p>
        </w:tc>
        <w:tc>
          <w:tcPr>
            <w:tcW w:w="650" w:type="dxa"/>
            <w:vAlign w:val="top"/>
          </w:tcPr>
          <w:p w14:paraId="37446C25">
            <w:pPr>
              <w:pStyle w:val="7"/>
              <w:spacing w:before="147" w:line="237" w:lineRule="auto"/>
              <w:ind w:left="278"/>
            </w:pPr>
            <w:r>
              <w:t>5</w:t>
            </w:r>
          </w:p>
        </w:tc>
        <w:tc>
          <w:tcPr>
            <w:tcW w:w="794" w:type="dxa"/>
            <w:vAlign w:val="top"/>
          </w:tcPr>
          <w:p w14:paraId="24A17DAF">
            <w:pPr>
              <w:pStyle w:val="7"/>
              <w:spacing w:before="147" w:line="218" w:lineRule="auto"/>
              <w:ind w:left="201"/>
            </w:pPr>
            <w:r>
              <w:rPr>
                <w:spacing w:val="-13"/>
              </w:rPr>
              <w:t>宁波</w:t>
            </w:r>
          </w:p>
        </w:tc>
        <w:tc>
          <w:tcPr>
            <w:tcW w:w="794" w:type="dxa"/>
            <w:vAlign w:val="top"/>
          </w:tcPr>
          <w:p w14:paraId="4E525E6D">
            <w:pPr>
              <w:pStyle w:val="7"/>
              <w:spacing w:before="145" w:line="237" w:lineRule="auto"/>
              <w:ind w:left="186" w:leftChars="0"/>
            </w:pPr>
            <w:r>
              <w:rPr>
                <w:spacing w:val="-9"/>
              </w:rPr>
              <w:t>202</w:t>
            </w:r>
            <w:r>
              <w:rPr>
                <w:rFonts w:hint="eastAsia"/>
                <w:spacing w:val="-9"/>
                <w:lang w:val="en-US" w:eastAsia="zh-CN"/>
              </w:rPr>
              <w:t>1</w:t>
            </w:r>
          </w:p>
        </w:tc>
        <w:tc>
          <w:tcPr>
            <w:tcW w:w="791" w:type="dxa"/>
            <w:vAlign w:val="top"/>
          </w:tcPr>
          <w:p w14:paraId="22C26F8D">
            <w:pPr>
              <w:pStyle w:val="7"/>
              <w:spacing w:before="147" w:line="237" w:lineRule="auto"/>
              <w:ind w:left="295"/>
            </w:pPr>
            <w:r>
              <w:rPr>
                <w:spacing w:val="-6"/>
              </w:rPr>
              <w:t>26</w:t>
            </w:r>
          </w:p>
        </w:tc>
        <w:tc>
          <w:tcPr>
            <w:tcW w:w="794" w:type="dxa"/>
            <w:vAlign w:val="top"/>
          </w:tcPr>
          <w:p w14:paraId="591D4BC4">
            <w:pPr>
              <w:pStyle w:val="7"/>
              <w:spacing w:before="147" w:line="219" w:lineRule="auto"/>
              <w:ind w:left="228"/>
            </w:pPr>
            <w:r>
              <w:rPr>
                <w:spacing w:val="-19"/>
              </w:rPr>
              <w:t>良好</w:t>
            </w:r>
          </w:p>
        </w:tc>
        <w:tc>
          <w:tcPr>
            <w:tcW w:w="1302" w:type="dxa"/>
            <w:vAlign w:val="top"/>
          </w:tcPr>
          <w:p w14:paraId="59ACA37F">
            <w:pPr>
              <w:pStyle w:val="7"/>
              <w:spacing w:before="147" w:line="218" w:lineRule="auto"/>
              <w:ind w:left="245"/>
            </w:pPr>
            <w:r>
              <w:rPr>
                <w:spacing w:val="-19"/>
              </w:rPr>
              <w:t>管道焊接</w:t>
            </w:r>
          </w:p>
        </w:tc>
        <w:tc>
          <w:tcPr>
            <w:tcW w:w="726" w:type="dxa"/>
            <w:vMerge w:val="continue"/>
            <w:tcBorders>
              <w:top w:val="nil"/>
              <w:bottom w:val="nil"/>
              <w:right w:val="single" w:color="5B9BD5" w:sz="4" w:space="0"/>
            </w:tcBorders>
            <w:vAlign w:val="top"/>
          </w:tcPr>
          <w:p w14:paraId="43981E35">
            <w:pPr>
              <w:rPr>
                <w:rFonts w:ascii="Arial"/>
                <w:sz w:val="21"/>
              </w:rPr>
            </w:pPr>
          </w:p>
        </w:tc>
      </w:tr>
      <w:tr w14:paraId="19D6D0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6" w:hRule="atLeast"/>
        </w:trPr>
        <w:tc>
          <w:tcPr>
            <w:tcW w:w="772" w:type="dxa"/>
            <w:gridSpan w:val="2"/>
            <w:tcBorders>
              <w:left w:val="single" w:color="000000" w:sz="4" w:space="0"/>
            </w:tcBorders>
            <w:vAlign w:val="top"/>
          </w:tcPr>
          <w:p w14:paraId="448EF1F9">
            <w:pPr>
              <w:pStyle w:val="7"/>
              <w:spacing w:before="151" w:line="238" w:lineRule="auto"/>
              <w:ind w:left="289"/>
            </w:pPr>
            <w:r>
              <w:rPr>
                <w:spacing w:val="-6"/>
              </w:rPr>
              <w:t>24</w:t>
            </w:r>
          </w:p>
        </w:tc>
        <w:tc>
          <w:tcPr>
            <w:tcW w:w="1657" w:type="dxa"/>
            <w:vAlign w:val="top"/>
          </w:tcPr>
          <w:p w14:paraId="47C503C9">
            <w:pPr>
              <w:pStyle w:val="7"/>
              <w:spacing w:before="151" w:line="215" w:lineRule="auto"/>
              <w:ind w:left="292"/>
            </w:pPr>
            <w:r>
              <w:rPr>
                <w:spacing w:val="-17"/>
              </w:rPr>
              <w:t>砂轮切割机</w:t>
            </w:r>
          </w:p>
        </w:tc>
        <w:tc>
          <w:tcPr>
            <w:tcW w:w="1559" w:type="dxa"/>
            <w:vAlign w:val="top"/>
          </w:tcPr>
          <w:p w14:paraId="29758F72">
            <w:pPr>
              <w:pStyle w:val="7"/>
              <w:spacing w:before="151" w:line="225" w:lineRule="auto"/>
              <w:ind w:left="483"/>
            </w:pPr>
            <w:r>
              <w:rPr>
                <w:spacing w:val="-8"/>
              </w:rPr>
              <w:t>400型</w:t>
            </w:r>
          </w:p>
        </w:tc>
        <w:tc>
          <w:tcPr>
            <w:tcW w:w="650" w:type="dxa"/>
            <w:vAlign w:val="top"/>
          </w:tcPr>
          <w:p w14:paraId="746B161D">
            <w:pPr>
              <w:pStyle w:val="7"/>
              <w:spacing w:before="150" w:line="237" w:lineRule="auto"/>
              <w:ind w:left="278"/>
            </w:pPr>
            <w:r>
              <w:t>5</w:t>
            </w:r>
          </w:p>
        </w:tc>
        <w:tc>
          <w:tcPr>
            <w:tcW w:w="794" w:type="dxa"/>
            <w:vAlign w:val="top"/>
          </w:tcPr>
          <w:p w14:paraId="19F4D1E4">
            <w:pPr>
              <w:pStyle w:val="7"/>
              <w:spacing w:before="150" w:line="218" w:lineRule="auto"/>
              <w:ind w:left="218"/>
            </w:pPr>
            <w:r>
              <w:rPr>
                <w:spacing w:val="-17"/>
              </w:rPr>
              <w:t>四川</w:t>
            </w:r>
          </w:p>
        </w:tc>
        <w:tc>
          <w:tcPr>
            <w:tcW w:w="794" w:type="dxa"/>
            <w:vAlign w:val="top"/>
          </w:tcPr>
          <w:p w14:paraId="60D142C0">
            <w:pPr>
              <w:pStyle w:val="7"/>
              <w:spacing w:before="146" w:line="237" w:lineRule="auto"/>
              <w:ind w:left="186" w:leftChars="0"/>
            </w:pPr>
            <w:r>
              <w:rPr>
                <w:spacing w:val="-9"/>
              </w:rPr>
              <w:t>2022</w:t>
            </w:r>
          </w:p>
        </w:tc>
        <w:tc>
          <w:tcPr>
            <w:tcW w:w="791" w:type="dxa"/>
            <w:vAlign w:val="top"/>
          </w:tcPr>
          <w:p w14:paraId="732DE31A">
            <w:pPr>
              <w:pStyle w:val="7"/>
              <w:spacing w:before="150" w:line="236" w:lineRule="auto"/>
              <w:ind w:left="239"/>
            </w:pPr>
            <w:r>
              <w:rPr>
                <w:spacing w:val="-8"/>
              </w:rPr>
              <w:t>0.5</w:t>
            </w:r>
          </w:p>
        </w:tc>
        <w:tc>
          <w:tcPr>
            <w:tcW w:w="794" w:type="dxa"/>
            <w:vAlign w:val="top"/>
          </w:tcPr>
          <w:p w14:paraId="5A6D352B">
            <w:pPr>
              <w:pStyle w:val="7"/>
              <w:spacing w:before="150" w:line="219" w:lineRule="auto"/>
              <w:ind w:left="228"/>
            </w:pPr>
            <w:r>
              <w:rPr>
                <w:spacing w:val="-26"/>
              </w:rPr>
              <w:t>良好</w:t>
            </w:r>
          </w:p>
        </w:tc>
        <w:tc>
          <w:tcPr>
            <w:tcW w:w="1302" w:type="dxa"/>
            <w:vAlign w:val="top"/>
          </w:tcPr>
          <w:p w14:paraId="25331525">
            <w:pPr>
              <w:pStyle w:val="7"/>
              <w:spacing w:before="150" w:line="218" w:lineRule="auto"/>
              <w:ind w:left="245"/>
            </w:pPr>
            <w:r>
              <w:rPr>
                <w:spacing w:val="-19"/>
              </w:rPr>
              <w:t>管道切割</w:t>
            </w:r>
          </w:p>
        </w:tc>
        <w:tc>
          <w:tcPr>
            <w:tcW w:w="726" w:type="dxa"/>
            <w:vMerge w:val="continue"/>
            <w:tcBorders>
              <w:top w:val="nil"/>
              <w:bottom w:val="nil"/>
              <w:right w:val="single" w:color="5B9BD5" w:sz="4" w:space="0"/>
            </w:tcBorders>
            <w:vAlign w:val="top"/>
          </w:tcPr>
          <w:p w14:paraId="25D85088">
            <w:pPr>
              <w:rPr>
                <w:rFonts w:ascii="Arial"/>
                <w:sz w:val="21"/>
              </w:rPr>
            </w:pPr>
          </w:p>
        </w:tc>
      </w:tr>
      <w:tr w14:paraId="4DD46F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6" w:hRule="atLeast"/>
        </w:trPr>
        <w:tc>
          <w:tcPr>
            <w:tcW w:w="772" w:type="dxa"/>
            <w:gridSpan w:val="2"/>
            <w:tcBorders>
              <w:left w:val="single" w:color="000000" w:sz="4" w:space="0"/>
            </w:tcBorders>
            <w:vAlign w:val="top"/>
          </w:tcPr>
          <w:p w14:paraId="2B692E99">
            <w:pPr>
              <w:pStyle w:val="7"/>
              <w:spacing w:before="150" w:line="237" w:lineRule="auto"/>
              <w:ind w:left="289"/>
            </w:pPr>
            <w:r>
              <w:rPr>
                <w:spacing w:val="-6"/>
              </w:rPr>
              <w:t>25</w:t>
            </w:r>
          </w:p>
        </w:tc>
        <w:tc>
          <w:tcPr>
            <w:tcW w:w="1657" w:type="dxa"/>
            <w:vAlign w:val="top"/>
          </w:tcPr>
          <w:p w14:paraId="082DC681">
            <w:pPr>
              <w:pStyle w:val="7"/>
              <w:spacing w:before="151" w:line="218" w:lineRule="auto"/>
              <w:ind w:left="510"/>
            </w:pPr>
            <w:r>
              <w:rPr>
                <w:spacing w:val="-13"/>
              </w:rPr>
              <w:t>抛光机</w:t>
            </w:r>
          </w:p>
        </w:tc>
        <w:tc>
          <w:tcPr>
            <w:tcW w:w="1559" w:type="dxa"/>
            <w:vAlign w:val="top"/>
          </w:tcPr>
          <w:p w14:paraId="6FF5CE74">
            <w:pPr>
              <w:pStyle w:val="7"/>
              <w:spacing w:before="150" w:line="237" w:lineRule="auto"/>
              <w:ind w:left="395"/>
            </w:pPr>
            <w:r>
              <w:rPr>
                <w:spacing w:val="-9"/>
              </w:rPr>
              <w:t>MD-3215</w:t>
            </w:r>
          </w:p>
        </w:tc>
        <w:tc>
          <w:tcPr>
            <w:tcW w:w="650" w:type="dxa"/>
            <w:vAlign w:val="top"/>
          </w:tcPr>
          <w:p w14:paraId="1066BCC1">
            <w:pPr>
              <w:pStyle w:val="7"/>
              <w:spacing w:before="150" w:line="237" w:lineRule="auto"/>
              <w:ind w:left="278"/>
            </w:pPr>
            <w:r>
              <w:t>5</w:t>
            </w:r>
          </w:p>
        </w:tc>
        <w:tc>
          <w:tcPr>
            <w:tcW w:w="794" w:type="dxa"/>
            <w:vAlign w:val="top"/>
          </w:tcPr>
          <w:p w14:paraId="1B17DAC6">
            <w:pPr>
              <w:pStyle w:val="7"/>
              <w:spacing w:before="151" w:line="218" w:lineRule="auto"/>
              <w:ind w:left="189"/>
            </w:pPr>
            <w:r>
              <w:rPr>
                <w:spacing w:val="-10"/>
              </w:rPr>
              <w:t>徐州</w:t>
            </w:r>
          </w:p>
        </w:tc>
        <w:tc>
          <w:tcPr>
            <w:tcW w:w="794" w:type="dxa"/>
            <w:vAlign w:val="top"/>
          </w:tcPr>
          <w:p w14:paraId="6AF28F6D">
            <w:pPr>
              <w:pStyle w:val="7"/>
              <w:spacing w:before="145" w:line="237" w:lineRule="auto"/>
              <w:ind w:left="186" w:leftChars="0"/>
            </w:pPr>
            <w:r>
              <w:rPr>
                <w:spacing w:val="-9"/>
              </w:rPr>
              <w:t>202</w:t>
            </w:r>
            <w:r>
              <w:rPr>
                <w:rFonts w:hint="eastAsia"/>
                <w:spacing w:val="-9"/>
                <w:lang w:val="en-US" w:eastAsia="zh-CN"/>
              </w:rPr>
              <w:t>1</w:t>
            </w:r>
          </w:p>
        </w:tc>
        <w:tc>
          <w:tcPr>
            <w:tcW w:w="791" w:type="dxa"/>
            <w:vAlign w:val="top"/>
          </w:tcPr>
          <w:p w14:paraId="7E5DDCEC">
            <w:pPr>
              <w:pStyle w:val="7"/>
              <w:spacing w:before="151" w:line="236" w:lineRule="auto"/>
              <w:ind w:left="239"/>
            </w:pPr>
            <w:r>
              <w:rPr>
                <w:spacing w:val="-8"/>
              </w:rPr>
              <w:t>0.5</w:t>
            </w:r>
          </w:p>
        </w:tc>
        <w:tc>
          <w:tcPr>
            <w:tcW w:w="794" w:type="dxa"/>
            <w:vAlign w:val="top"/>
          </w:tcPr>
          <w:p w14:paraId="6363EEB9">
            <w:pPr>
              <w:pStyle w:val="7"/>
              <w:spacing w:before="150" w:line="219" w:lineRule="auto"/>
              <w:ind w:left="228"/>
            </w:pPr>
            <w:r>
              <w:rPr>
                <w:spacing w:val="-26"/>
              </w:rPr>
              <w:t>良好</w:t>
            </w:r>
          </w:p>
        </w:tc>
        <w:tc>
          <w:tcPr>
            <w:tcW w:w="1302" w:type="dxa"/>
            <w:vAlign w:val="top"/>
          </w:tcPr>
          <w:p w14:paraId="352F983A">
            <w:pPr>
              <w:pStyle w:val="7"/>
              <w:spacing w:before="150" w:line="219" w:lineRule="auto"/>
              <w:ind w:left="245"/>
            </w:pPr>
            <w:r>
              <w:rPr>
                <w:spacing w:val="-19"/>
              </w:rPr>
              <w:t>管道打磨</w:t>
            </w:r>
          </w:p>
        </w:tc>
        <w:tc>
          <w:tcPr>
            <w:tcW w:w="726" w:type="dxa"/>
            <w:vMerge w:val="continue"/>
            <w:tcBorders>
              <w:top w:val="nil"/>
              <w:bottom w:val="nil"/>
              <w:right w:val="single" w:color="5B9BD5" w:sz="4" w:space="0"/>
            </w:tcBorders>
            <w:vAlign w:val="top"/>
          </w:tcPr>
          <w:p w14:paraId="54CEA9EE">
            <w:pPr>
              <w:rPr>
                <w:rFonts w:ascii="Arial"/>
                <w:sz w:val="21"/>
              </w:rPr>
            </w:pPr>
          </w:p>
        </w:tc>
      </w:tr>
      <w:tr w14:paraId="4FA249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6" w:hRule="atLeast"/>
        </w:trPr>
        <w:tc>
          <w:tcPr>
            <w:tcW w:w="772" w:type="dxa"/>
            <w:gridSpan w:val="2"/>
            <w:tcBorders>
              <w:left w:val="single" w:color="000000" w:sz="4" w:space="0"/>
            </w:tcBorders>
            <w:vAlign w:val="top"/>
          </w:tcPr>
          <w:p w14:paraId="7F120161">
            <w:pPr>
              <w:pStyle w:val="7"/>
              <w:spacing w:before="151" w:line="237" w:lineRule="auto"/>
              <w:ind w:left="289"/>
            </w:pPr>
            <w:r>
              <w:rPr>
                <w:spacing w:val="-6"/>
              </w:rPr>
              <w:t>26</w:t>
            </w:r>
          </w:p>
        </w:tc>
        <w:tc>
          <w:tcPr>
            <w:tcW w:w="1657" w:type="dxa"/>
            <w:vAlign w:val="top"/>
          </w:tcPr>
          <w:p w14:paraId="0313C7AD">
            <w:pPr>
              <w:pStyle w:val="7"/>
              <w:spacing w:before="151" w:line="218" w:lineRule="auto"/>
              <w:ind w:left="511"/>
            </w:pPr>
            <w:r>
              <w:rPr>
                <w:spacing w:val="-14"/>
              </w:rPr>
              <w:t>套丝机</w:t>
            </w:r>
          </w:p>
        </w:tc>
        <w:tc>
          <w:tcPr>
            <w:tcW w:w="1559" w:type="dxa"/>
            <w:vAlign w:val="top"/>
          </w:tcPr>
          <w:p w14:paraId="2515BE29">
            <w:pPr>
              <w:pStyle w:val="7"/>
              <w:spacing w:before="194" w:line="179" w:lineRule="auto"/>
              <w:ind w:left="511"/>
            </w:pPr>
            <w:r>
              <w:rPr>
                <w:spacing w:val="-9"/>
              </w:rPr>
              <w:t>S8139</w:t>
            </w:r>
          </w:p>
        </w:tc>
        <w:tc>
          <w:tcPr>
            <w:tcW w:w="650" w:type="dxa"/>
            <w:vAlign w:val="top"/>
          </w:tcPr>
          <w:p w14:paraId="32D93BF0">
            <w:pPr>
              <w:pStyle w:val="7"/>
              <w:spacing w:before="151" w:line="237" w:lineRule="auto"/>
              <w:ind w:left="236"/>
            </w:pPr>
            <w:r>
              <w:rPr>
                <w:spacing w:val="-10"/>
              </w:rPr>
              <w:t>10</w:t>
            </w:r>
          </w:p>
        </w:tc>
        <w:tc>
          <w:tcPr>
            <w:tcW w:w="794" w:type="dxa"/>
            <w:vAlign w:val="top"/>
          </w:tcPr>
          <w:p w14:paraId="54892B55">
            <w:pPr>
              <w:pStyle w:val="7"/>
              <w:spacing w:before="151" w:line="218" w:lineRule="auto"/>
              <w:ind w:left="189"/>
            </w:pPr>
            <w:r>
              <w:rPr>
                <w:spacing w:val="-10"/>
              </w:rPr>
              <w:t>徐州</w:t>
            </w:r>
          </w:p>
        </w:tc>
        <w:tc>
          <w:tcPr>
            <w:tcW w:w="794" w:type="dxa"/>
            <w:vAlign w:val="top"/>
          </w:tcPr>
          <w:p w14:paraId="2981264D">
            <w:pPr>
              <w:pStyle w:val="7"/>
              <w:spacing w:before="146" w:line="237" w:lineRule="auto"/>
              <w:ind w:left="186" w:leftChars="0"/>
            </w:pPr>
            <w:r>
              <w:rPr>
                <w:spacing w:val="-9"/>
              </w:rPr>
              <w:t>2022</w:t>
            </w:r>
          </w:p>
        </w:tc>
        <w:tc>
          <w:tcPr>
            <w:tcW w:w="791" w:type="dxa"/>
            <w:vAlign w:val="top"/>
          </w:tcPr>
          <w:p w14:paraId="5C72C254">
            <w:pPr>
              <w:pStyle w:val="7"/>
              <w:spacing w:before="151" w:line="238" w:lineRule="auto"/>
              <w:ind w:left="350"/>
            </w:pPr>
            <w:r>
              <w:t>2</w:t>
            </w:r>
          </w:p>
        </w:tc>
        <w:tc>
          <w:tcPr>
            <w:tcW w:w="794" w:type="dxa"/>
            <w:vAlign w:val="top"/>
          </w:tcPr>
          <w:p w14:paraId="4978D4A6">
            <w:pPr>
              <w:pStyle w:val="7"/>
              <w:spacing w:before="150" w:line="219" w:lineRule="auto"/>
              <w:ind w:left="228"/>
            </w:pPr>
            <w:r>
              <w:rPr>
                <w:spacing w:val="-19"/>
              </w:rPr>
              <w:t>良好</w:t>
            </w:r>
          </w:p>
        </w:tc>
        <w:tc>
          <w:tcPr>
            <w:tcW w:w="1302" w:type="dxa"/>
            <w:vAlign w:val="top"/>
          </w:tcPr>
          <w:p w14:paraId="40842844">
            <w:pPr>
              <w:pStyle w:val="7"/>
              <w:spacing w:before="150" w:line="220" w:lineRule="auto"/>
              <w:ind w:left="245"/>
            </w:pPr>
            <w:r>
              <w:rPr>
                <w:spacing w:val="-19"/>
              </w:rPr>
              <w:t>管道套丝</w:t>
            </w:r>
          </w:p>
        </w:tc>
        <w:tc>
          <w:tcPr>
            <w:tcW w:w="726" w:type="dxa"/>
            <w:vMerge w:val="continue"/>
            <w:tcBorders>
              <w:top w:val="nil"/>
              <w:bottom w:val="nil"/>
              <w:right w:val="single" w:color="5B9BD5" w:sz="4" w:space="0"/>
            </w:tcBorders>
            <w:vAlign w:val="top"/>
          </w:tcPr>
          <w:p w14:paraId="49630A82">
            <w:pPr>
              <w:rPr>
                <w:rFonts w:ascii="Arial"/>
                <w:sz w:val="21"/>
              </w:rPr>
            </w:pPr>
          </w:p>
        </w:tc>
      </w:tr>
      <w:tr w14:paraId="7FB35D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6" w:hRule="atLeast"/>
        </w:trPr>
        <w:tc>
          <w:tcPr>
            <w:tcW w:w="772" w:type="dxa"/>
            <w:gridSpan w:val="2"/>
            <w:tcBorders>
              <w:left w:val="single" w:color="000000" w:sz="4" w:space="0"/>
            </w:tcBorders>
            <w:vAlign w:val="top"/>
          </w:tcPr>
          <w:p w14:paraId="3B5DD71B">
            <w:pPr>
              <w:pStyle w:val="7"/>
              <w:spacing w:before="151" w:line="237" w:lineRule="auto"/>
              <w:ind w:left="289"/>
            </w:pPr>
            <w:r>
              <w:rPr>
                <w:spacing w:val="-6"/>
              </w:rPr>
              <w:t>27</w:t>
            </w:r>
          </w:p>
        </w:tc>
        <w:tc>
          <w:tcPr>
            <w:tcW w:w="1657" w:type="dxa"/>
            <w:vAlign w:val="top"/>
          </w:tcPr>
          <w:p w14:paraId="614BACF6">
            <w:pPr>
              <w:pStyle w:val="7"/>
              <w:spacing w:before="152" w:line="218" w:lineRule="auto"/>
              <w:ind w:left="293"/>
            </w:pPr>
            <w:r>
              <w:rPr>
                <w:spacing w:val="-17"/>
              </w:rPr>
              <w:t>液压弯管器</w:t>
            </w:r>
          </w:p>
        </w:tc>
        <w:tc>
          <w:tcPr>
            <w:tcW w:w="1559" w:type="dxa"/>
            <w:vAlign w:val="top"/>
          </w:tcPr>
          <w:p w14:paraId="2948F648">
            <w:pPr>
              <w:pStyle w:val="7"/>
              <w:spacing w:before="152" w:line="236" w:lineRule="auto"/>
              <w:ind w:left="286"/>
            </w:pPr>
            <w:r>
              <w:rPr>
                <w:spacing w:val="-10"/>
              </w:rPr>
              <w:t>DB4-1.5-2</w:t>
            </w:r>
          </w:p>
        </w:tc>
        <w:tc>
          <w:tcPr>
            <w:tcW w:w="650" w:type="dxa"/>
            <w:vAlign w:val="top"/>
          </w:tcPr>
          <w:p w14:paraId="4885B7C8">
            <w:pPr>
              <w:pStyle w:val="7"/>
              <w:spacing w:before="151" w:line="237" w:lineRule="auto"/>
              <w:ind w:left="278"/>
            </w:pPr>
            <w:r>
              <w:t>5</w:t>
            </w:r>
          </w:p>
        </w:tc>
        <w:tc>
          <w:tcPr>
            <w:tcW w:w="794" w:type="dxa"/>
            <w:vAlign w:val="top"/>
          </w:tcPr>
          <w:p w14:paraId="161391B0">
            <w:pPr>
              <w:pStyle w:val="7"/>
              <w:spacing w:before="151" w:line="220" w:lineRule="auto"/>
              <w:ind w:left="196"/>
            </w:pPr>
            <w:r>
              <w:rPr>
                <w:spacing w:val="-11"/>
              </w:rPr>
              <w:t>江苏</w:t>
            </w:r>
          </w:p>
        </w:tc>
        <w:tc>
          <w:tcPr>
            <w:tcW w:w="794" w:type="dxa"/>
            <w:vAlign w:val="top"/>
          </w:tcPr>
          <w:p w14:paraId="355D1EA2">
            <w:pPr>
              <w:pStyle w:val="7"/>
              <w:spacing w:before="145" w:line="237" w:lineRule="auto"/>
              <w:ind w:left="186" w:leftChars="0"/>
            </w:pPr>
            <w:r>
              <w:rPr>
                <w:spacing w:val="-9"/>
              </w:rPr>
              <w:t>202</w:t>
            </w:r>
            <w:r>
              <w:rPr>
                <w:rFonts w:hint="eastAsia"/>
                <w:spacing w:val="-9"/>
                <w:lang w:val="en-US" w:eastAsia="zh-CN"/>
              </w:rPr>
              <w:t>1</w:t>
            </w:r>
          </w:p>
        </w:tc>
        <w:tc>
          <w:tcPr>
            <w:tcW w:w="791" w:type="dxa"/>
            <w:vAlign w:val="top"/>
          </w:tcPr>
          <w:p w14:paraId="3ADD4E25">
            <w:pPr>
              <w:rPr>
                <w:rFonts w:ascii="Arial"/>
                <w:sz w:val="21"/>
              </w:rPr>
            </w:pPr>
          </w:p>
        </w:tc>
        <w:tc>
          <w:tcPr>
            <w:tcW w:w="794" w:type="dxa"/>
            <w:vAlign w:val="top"/>
          </w:tcPr>
          <w:p w14:paraId="351DD457">
            <w:pPr>
              <w:pStyle w:val="7"/>
              <w:spacing w:before="151" w:line="219" w:lineRule="auto"/>
              <w:ind w:left="228"/>
            </w:pPr>
            <w:r>
              <w:rPr>
                <w:spacing w:val="-19"/>
              </w:rPr>
              <w:t>良好</w:t>
            </w:r>
          </w:p>
        </w:tc>
        <w:tc>
          <w:tcPr>
            <w:tcW w:w="1302" w:type="dxa"/>
            <w:vAlign w:val="top"/>
          </w:tcPr>
          <w:p w14:paraId="34897EBF">
            <w:pPr>
              <w:pStyle w:val="7"/>
              <w:spacing w:before="151" w:line="220" w:lineRule="auto"/>
              <w:ind w:left="451"/>
            </w:pPr>
            <w:r>
              <w:rPr>
                <w:spacing w:val="-11"/>
              </w:rPr>
              <w:t>配管</w:t>
            </w:r>
          </w:p>
        </w:tc>
        <w:tc>
          <w:tcPr>
            <w:tcW w:w="726" w:type="dxa"/>
            <w:vMerge w:val="continue"/>
            <w:tcBorders>
              <w:top w:val="nil"/>
              <w:bottom w:val="nil"/>
              <w:right w:val="single" w:color="5B9BD5" w:sz="4" w:space="0"/>
            </w:tcBorders>
            <w:vAlign w:val="top"/>
          </w:tcPr>
          <w:p w14:paraId="2433D949">
            <w:pPr>
              <w:rPr>
                <w:rFonts w:ascii="Arial"/>
                <w:sz w:val="21"/>
              </w:rPr>
            </w:pPr>
          </w:p>
        </w:tc>
      </w:tr>
      <w:tr w14:paraId="30F8E7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3" w:hRule="atLeast"/>
        </w:trPr>
        <w:tc>
          <w:tcPr>
            <w:tcW w:w="772" w:type="dxa"/>
            <w:gridSpan w:val="2"/>
            <w:tcBorders>
              <w:left w:val="single" w:color="000000" w:sz="4" w:space="0"/>
            </w:tcBorders>
            <w:vAlign w:val="top"/>
          </w:tcPr>
          <w:p w14:paraId="00A913F6">
            <w:pPr>
              <w:pStyle w:val="7"/>
              <w:spacing w:before="149" w:line="237" w:lineRule="auto"/>
              <w:ind w:left="289"/>
            </w:pPr>
            <w:r>
              <w:rPr>
                <w:spacing w:val="-6"/>
              </w:rPr>
              <w:t>28</w:t>
            </w:r>
          </w:p>
        </w:tc>
        <w:tc>
          <w:tcPr>
            <w:tcW w:w="1657" w:type="dxa"/>
            <w:vAlign w:val="top"/>
          </w:tcPr>
          <w:p w14:paraId="5457DBE8">
            <w:pPr>
              <w:pStyle w:val="7"/>
              <w:spacing w:before="149" w:line="219" w:lineRule="auto"/>
              <w:ind w:left="319"/>
            </w:pPr>
            <w:r>
              <w:rPr>
                <w:spacing w:val="-22"/>
              </w:rPr>
              <w:t>电动试压泵</w:t>
            </w:r>
          </w:p>
        </w:tc>
        <w:tc>
          <w:tcPr>
            <w:tcW w:w="1559" w:type="dxa"/>
            <w:vAlign w:val="top"/>
          </w:tcPr>
          <w:p w14:paraId="2DB9183F">
            <w:pPr>
              <w:pStyle w:val="7"/>
              <w:spacing w:before="149" w:line="222" w:lineRule="auto"/>
              <w:ind w:left="346"/>
            </w:pPr>
            <w:r>
              <w:rPr>
                <w:spacing w:val="-10"/>
              </w:rPr>
              <w:t>4D-SY/35</w:t>
            </w:r>
          </w:p>
        </w:tc>
        <w:tc>
          <w:tcPr>
            <w:tcW w:w="650" w:type="dxa"/>
            <w:vAlign w:val="top"/>
          </w:tcPr>
          <w:p w14:paraId="0073E5BD">
            <w:pPr>
              <w:pStyle w:val="7"/>
              <w:spacing w:before="150" w:line="238" w:lineRule="auto"/>
              <w:ind w:left="236"/>
            </w:pPr>
            <w:r>
              <w:rPr>
                <w:spacing w:val="-10"/>
              </w:rPr>
              <w:t>12</w:t>
            </w:r>
          </w:p>
        </w:tc>
        <w:tc>
          <w:tcPr>
            <w:tcW w:w="794" w:type="dxa"/>
            <w:vAlign w:val="top"/>
          </w:tcPr>
          <w:p w14:paraId="1188FC16">
            <w:pPr>
              <w:pStyle w:val="7"/>
              <w:spacing w:before="149" w:line="218" w:lineRule="auto"/>
              <w:ind w:left="193"/>
            </w:pPr>
            <w:r>
              <w:rPr>
                <w:spacing w:val="-11"/>
              </w:rPr>
              <w:t>安徽</w:t>
            </w:r>
          </w:p>
        </w:tc>
        <w:tc>
          <w:tcPr>
            <w:tcW w:w="794" w:type="dxa"/>
            <w:vAlign w:val="top"/>
          </w:tcPr>
          <w:p w14:paraId="73CCC262">
            <w:pPr>
              <w:pStyle w:val="7"/>
              <w:spacing w:before="146" w:line="237" w:lineRule="auto"/>
              <w:ind w:left="186" w:leftChars="0"/>
            </w:pPr>
            <w:r>
              <w:rPr>
                <w:spacing w:val="-9"/>
              </w:rPr>
              <w:t>2022</w:t>
            </w:r>
          </w:p>
        </w:tc>
        <w:tc>
          <w:tcPr>
            <w:tcW w:w="791" w:type="dxa"/>
            <w:vAlign w:val="top"/>
          </w:tcPr>
          <w:p w14:paraId="2F4B58CA">
            <w:pPr>
              <w:pStyle w:val="7"/>
              <w:spacing w:before="150" w:line="238" w:lineRule="auto"/>
              <w:ind w:left="350"/>
            </w:pPr>
            <w:r>
              <w:t>2</w:t>
            </w:r>
          </w:p>
        </w:tc>
        <w:tc>
          <w:tcPr>
            <w:tcW w:w="794" w:type="dxa"/>
            <w:vAlign w:val="top"/>
          </w:tcPr>
          <w:p w14:paraId="716C1195">
            <w:pPr>
              <w:pStyle w:val="7"/>
              <w:spacing w:before="149" w:line="219" w:lineRule="auto"/>
              <w:ind w:left="228"/>
            </w:pPr>
            <w:r>
              <w:rPr>
                <w:spacing w:val="-19"/>
              </w:rPr>
              <w:t>良好</w:t>
            </w:r>
          </w:p>
        </w:tc>
        <w:tc>
          <w:tcPr>
            <w:tcW w:w="1302" w:type="dxa"/>
            <w:vAlign w:val="top"/>
          </w:tcPr>
          <w:p w14:paraId="4472F30C">
            <w:pPr>
              <w:pStyle w:val="7"/>
              <w:spacing w:before="149" w:line="220" w:lineRule="auto"/>
              <w:ind w:left="245"/>
            </w:pPr>
            <w:r>
              <w:rPr>
                <w:spacing w:val="-19"/>
              </w:rPr>
              <w:t>管道试压</w:t>
            </w:r>
          </w:p>
        </w:tc>
        <w:tc>
          <w:tcPr>
            <w:tcW w:w="726" w:type="dxa"/>
            <w:vMerge w:val="continue"/>
            <w:tcBorders>
              <w:top w:val="nil"/>
              <w:bottom w:val="nil"/>
              <w:right w:val="single" w:color="5B9BD5" w:sz="4" w:space="0"/>
            </w:tcBorders>
            <w:vAlign w:val="top"/>
          </w:tcPr>
          <w:p w14:paraId="243826D7">
            <w:pPr>
              <w:rPr>
                <w:rFonts w:ascii="Arial"/>
                <w:sz w:val="21"/>
              </w:rPr>
            </w:pPr>
          </w:p>
        </w:tc>
      </w:tr>
      <w:tr w14:paraId="616E0C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1052" w:hRule="atLeast"/>
        </w:trPr>
        <w:tc>
          <w:tcPr>
            <w:tcW w:w="772" w:type="dxa"/>
            <w:gridSpan w:val="2"/>
            <w:tcBorders>
              <w:left w:val="single" w:color="000000" w:sz="4" w:space="0"/>
            </w:tcBorders>
            <w:vAlign w:val="top"/>
          </w:tcPr>
          <w:p w14:paraId="0A077697">
            <w:pPr>
              <w:spacing w:line="255" w:lineRule="auto"/>
              <w:rPr>
                <w:rFonts w:ascii="Arial"/>
                <w:sz w:val="21"/>
              </w:rPr>
            </w:pPr>
          </w:p>
          <w:p w14:paraId="4CA04BC8">
            <w:pPr>
              <w:pStyle w:val="7"/>
              <w:spacing w:before="78" w:line="237" w:lineRule="auto"/>
              <w:ind w:left="289"/>
            </w:pPr>
            <w:r>
              <w:rPr>
                <w:spacing w:val="-6"/>
              </w:rPr>
              <w:t>29</w:t>
            </w:r>
          </w:p>
        </w:tc>
        <w:tc>
          <w:tcPr>
            <w:tcW w:w="1657" w:type="dxa"/>
            <w:vAlign w:val="top"/>
          </w:tcPr>
          <w:p w14:paraId="7021DAF6">
            <w:pPr>
              <w:pStyle w:val="7"/>
              <w:spacing w:before="102" w:line="361" w:lineRule="auto"/>
              <w:ind w:left="620" w:right="45" w:hanging="543"/>
            </w:pPr>
            <w:r>
              <w:rPr>
                <w:spacing w:val="-22"/>
              </w:rPr>
              <w:t>无油高压空气压</w:t>
            </w:r>
            <w:r>
              <w:rPr>
                <w:spacing w:val="-10"/>
              </w:rPr>
              <w:t>缩机</w:t>
            </w:r>
          </w:p>
        </w:tc>
        <w:tc>
          <w:tcPr>
            <w:tcW w:w="1559" w:type="dxa"/>
            <w:vAlign w:val="top"/>
          </w:tcPr>
          <w:p w14:paraId="16643744">
            <w:pPr>
              <w:rPr>
                <w:rFonts w:ascii="Arial"/>
                <w:sz w:val="21"/>
              </w:rPr>
            </w:pPr>
          </w:p>
        </w:tc>
        <w:tc>
          <w:tcPr>
            <w:tcW w:w="650" w:type="dxa"/>
            <w:vAlign w:val="top"/>
          </w:tcPr>
          <w:p w14:paraId="4066C1BB">
            <w:pPr>
              <w:spacing w:line="255" w:lineRule="auto"/>
              <w:rPr>
                <w:rFonts w:ascii="Arial"/>
                <w:sz w:val="21"/>
              </w:rPr>
            </w:pPr>
          </w:p>
          <w:p w14:paraId="333461CC">
            <w:pPr>
              <w:pStyle w:val="7"/>
              <w:spacing w:before="78" w:line="237" w:lineRule="auto"/>
              <w:ind w:left="278"/>
            </w:pPr>
            <w:r>
              <w:t>5</w:t>
            </w:r>
          </w:p>
        </w:tc>
        <w:tc>
          <w:tcPr>
            <w:tcW w:w="794" w:type="dxa"/>
            <w:vAlign w:val="top"/>
          </w:tcPr>
          <w:p w14:paraId="73608E8D">
            <w:pPr>
              <w:spacing w:line="255" w:lineRule="auto"/>
              <w:rPr>
                <w:rFonts w:ascii="Arial"/>
                <w:sz w:val="21"/>
              </w:rPr>
            </w:pPr>
          </w:p>
          <w:p w14:paraId="0073A2A1">
            <w:pPr>
              <w:pStyle w:val="7"/>
              <w:spacing w:before="78" w:line="218" w:lineRule="auto"/>
              <w:ind w:left="221"/>
            </w:pPr>
            <w:r>
              <w:rPr>
                <w:spacing w:val="-18"/>
              </w:rPr>
              <w:t>中国</w:t>
            </w:r>
          </w:p>
        </w:tc>
        <w:tc>
          <w:tcPr>
            <w:tcW w:w="794" w:type="dxa"/>
            <w:vAlign w:val="top"/>
          </w:tcPr>
          <w:p w14:paraId="6EF9945D">
            <w:pPr>
              <w:pStyle w:val="7"/>
              <w:spacing w:before="145" w:line="237" w:lineRule="auto"/>
              <w:ind w:left="186" w:leftChars="0"/>
            </w:pPr>
            <w:r>
              <w:rPr>
                <w:spacing w:val="-9"/>
              </w:rPr>
              <w:t>202</w:t>
            </w:r>
            <w:r>
              <w:rPr>
                <w:rFonts w:hint="eastAsia"/>
                <w:spacing w:val="-9"/>
                <w:lang w:val="en-US" w:eastAsia="zh-CN"/>
              </w:rPr>
              <w:t>1</w:t>
            </w:r>
          </w:p>
        </w:tc>
        <w:tc>
          <w:tcPr>
            <w:tcW w:w="791" w:type="dxa"/>
            <w:vAlign w:val="top"/>
          </w:tcPr>
          <w:p w14:paraId="1457FDFE">
            <w:pPr>
              <w:rPr>
                <w:rFonts w:ascii="Arial"/>
                <w:sz w:val="21"/>
              </w:rPr>
            </w:pPr>
          </w:p>
        </w:tc>
        <w:tc>
          <w:tcPr>
            <w:tcW w:w="794" w:type="dxa"/>
            <w:vAlign w:val="top"/>
          </w:tcPr>
          <w:p w14:paraId="36CB472E">
            <w:pPr>
              <w:spacing w:line="255" w:lineRule="auto"/>
              <w:rPr>
                <w:rFonts w:ascii="Arial"/>
                <w:sz w:val="21"/>
              </w:rPr>
            </w:pPr>
          </w:p>
          <w:p w14:paraId="3E537CEE">
            <w:pPr>
              <w:pStyle w:val="7"/>
              <w:spacing w:before="78" w:line="219" w:lineRule="auto"/>
              <w:ind w:left="228"/>
            </w:pPr>
            <w:r>
              <w:rPr>
                <w:spacing w:val="-19"/>
              </w:rPr>
              <w:t>良好</w:t>
            </w:r>
          </w:p>
        </w:tc>
        <w:tc>
          <w:tcPr>
            <w:tcW w:w="1302" w:type="dxa"/>
            <w:vAlign w:val="top"/>
          </w:tcPr>
          <w:p w14:paraId="20D42419">
            <w:pPr>
              <w:spacing w:line="255" w:lineRule="auto"/>
              <w:rPr>
                <w:rFonts w:ascii="Arial"/>
                <w:sz w:val="21"/>
              </w:rPr>
            </w:pPr>
          </w:p>
          <w:p w14:paraId="033FF783">
            <w:pPr>
              <w:pStyle w:val="7"/>
              <w:spacing w:before="78" w:line="218" w:lineRule="auto"/>
              <w:ind w:left="229"/>
            </w:pPr>
            <w:r>
              <w:rPr>
                <w:spacing w:val="-15"/>
              </w:rPr>
              <w:t>排水工程</w:t>
            </w:r>
          </w:p>
        </w:tc>
        <w:tc>
          <w:tcPr>
            <w:tcW w:w="726" w:type="dxa"/>
            <w:vMerge w:val="continue"/>
            <w:tcBorders>
              <w:top w:val="nil"/>
              <w:bottom w:val="nil"/>
              <w:right w:val="single" w:color="5B9BD5" w:sz="4" w:space="0"/>
            </w:tcBorders>
            <w:vAlign w:val="top"/>
          </w:tcPr>
          <w:p w14:paraId="332E12B3">
            <w:pPr>
              <w:rPr>
                <w:rFonts w:ascii="Arial"/>
                <w:sz w:val="21"/>
              </w:rPr>
            </w:pPr>
          </w:p>
        </w:tc>
      </w:tr>
      <w:tr w14:paraId="75DDDA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4" w:hRule="atLeast"/>
        </w:trPr>
        <w:tc>
          <w:tcPr>
            <w:tcW w:w="172" w:type="dxa"/>
            <w:tcBorders>
              <w:left w:val="single" w:color="1C456A" w:sz="4" w:space="0"/>
              <w:bottom w:val="single" w:color="1C456A" w:sz="4" w:space="0"/>
              <w:right w:val="nil"/>
            </w:tcBorders>
            <w:vAlign w:val="top"/>
          </w:tcPr>
          <w:p w14:paraId="646E5AE2">
            <w:pPr>
              <w:rPr>
                <w:rFonts w:ascii="Arial"/>
                <w:sz w:val="21"/>
              </w:rPr>
            </w:pPr>
            <w:r>
              <w:pict>
                <v:shape id="_x0000_s4264" o:spid="_x0000_s4264" style="position:absolute;left:0pt;margin-left:-0.25pt;margin-top:36.25pt;height:0.75pt;width:2.2pt;mso-position-horizontal-relative:page;mso-position-vertical-relative:page;z-index:252370944;mso-width-relative:page;mso-height-relative:page;" fillcolor="#5B9BD5" filled="t" stroked="f" coordsize="44,15" path="m0,14l43,14,43,0,0,0,0,14xe">
                  <v:path/>
                  <v:fill on="t" focussize="0,0"/>
                  <v:stroke on="f"/>
                  <v:imagedata o:title=""/>
                  <o:lock v:ext="edit"/>
                </v:shape>
              </w:pict>
            </w:r>
          </w:p>
        </w:tc>
        <w:tc>
          <w:tcPr>
            <w:tcW w:w="600" w:type="dxa"/>
            <w:tcBorders>
              <w:left w:val="nil"/>
              <w:bottom w:val="single" w:color="1C456A" w:sz="4" w:space="0"/>
            </w:tcBorders>
            <w:vAlign w:val="top"/>
          </w:tcPr>
          <w:p w14:paraId="40EA2AFC">
            <w:pPr>
              <w:pStyle w:val="7"/>
              <w:spacing w:before="154" w:line="237" w:lineRule="auto"/>
              <w:ind w:left="124"/>
            </w:pPr>
            <w:r>
              <w:rPr>
                <w:spacing w:val="-7"/>
              </w:rPr>
              <w:t>30</w:t>
            </w:r>
          </w:p>
        </w:tc>
        <w:tc>
          <w:tcPr>
            <w:tcW w:w="1657" w:type="dxa"/>
            <w:tcBorders>
              <w:bottom w:val="single" w:color="000000" w:sz="4" w:space="0"/>
            </w:tcBorders>
            <w:vAlign w:val="top"/>
          </w:tcPr>
          <w:p w14:paraId="7E654143">
            <w:pPr>
              <w:pStyle w:val="7"/>
              <w:spacing w:before="153" w:line="217" w:lineRule="auto"/>
              <w:ind w:left="641"/>
            </w:pPr>
            <w:r>
              <w:rPr>
                <w:spacing w:val="-15"/>
              </w:rPr>
              <w:t>台钻</w:t>
            </w:r>
          </w:p>
        </w:tc>
        <w:tc>
          <w:tcPr>
            <w:tcW w:w="1559" w:type="dxa"/>
            <w:tcBorders>
              <w:bottom w:val="single" w:color="000000" w:sz="4" w:space="0"/>
            </w:tcBorders>
            <w:vAlign w:val="top"/>
          </w:tcPr>
          <w:p w14:paraId="26F9C659">
            <w:pPr>
              <w:pStyle w:val="7"/>
              <w:spacing w:before="198" w:line="178" w:lineRule="auto"/>
              <w:ind w:left="452"/>
            </w:pPr>
            <w:r>
              <w:rPr>
                <w:spacing w:val="-9"/>
              </w:rPr>
              <w:t>EQ3025</w:t>
            </w:r>
          </w:p>
        </w:tc>
        <w:tc>
          <w:tcPr>
            <w:tcW w:w="650" w:type="dxa"/>
            <w:tcBorders>
              <w:bottom w:val="single" w:color="000000" w:sz="4" w:space="0"/>
            </w:tcBorders>
            <w:vAlign w:val="top"/>
          </w:tcPr>
          <w:p w14:paraId="43BB041C">
            <w:pPr>
              <w:pStyle w:val="7"/>
              <w:spacing w:before="154" w:line="237" w:lineRule="auto"/>
              <w:ind w:left="274"/>
            </w:pPr>
            <w:r>
              <w:t>8</w:t>
            </w:r>
          </w:p>
        </w:tc>
        <w:tc>
          <w:tcPr>
            <w:tcW w:w="794" w:type="dxa"/>
            <w:tcBorders>
              <w:bottom w:val="single" w:color="000000" w:sz="4" w:space="0"/>
            </w:tcBorders>
            <w:vAlign w:val="top"/>
          </w:tcPr>
          <w:p w14:paraId="6CDC12D4">
            <w:pPr>
              <w:pStyle w:val="7"/>
              <w:spacing w:before="153" w:line="220" w:lineRule="auto"/>
              <w:ind w:left="193"/>
            </w:pPr>
            <w:r>
              <w:rPr>
                <w:spacing w:val="-11"/>
              </w:rPr>
              <w:t>西安</w:t>
            </w:r>
          </w:p>
        </w:tc>
        <w:tc>
          <w:tcPr>
            <w:tcW w:w="794" w:type="dxa"/>
            <w:tcBorders>
              <w:bottom w:val="single" w:color="000000" w:sz="4" w:space="0"/>
            </w:tcBorders>
            <w:vAlign w:val="top"/>
          </w:tcPr>
          <w:p w14:paraId="104ECA90">
            <w:pPr>
              <w:pStyle w:val="7"/>
              <w:spacing w:before="146" w:line="237" w:lineRule="auto"/>
              <w:ind w:left="186" w:leftChars="0"/>
            </w:pPr>
            <w:r>
              <w:rPr>
                <w:spacing w:val="-9"/>
              </w:rPr>
              <w:t>2022</w:t>
            </w:r>
          </w:p>
        </w:tc>
        <w:tc>
          <w:tcPr>
            <w:tcW w:w="791" w:type="dxa"/>
            <w:tcBorders>
              <w:bottom w:val="single" w:color="000000" w:sz="4" w:space="0"/>
            </w:tcBorders>
            <w:vAlign w:val="top"/>
          </w:tcPr>
          <w:p w14:paraId="7A3C6AD7">
            <w:pPr>
              <w:pStyle w:val="7"/>
              <w:spacing w:before="154" w:line="236" w:lineRule="auto"/>
              <w:ind w:left="239"/>
            </w:pPr>
            <w:r>
              <w:rPr>
                <w:spacing w:val="-8"/>
              </w:rPr>
              <w:t>0.5</w:t>
            </w:r>
          </w:p>
        </w:tc>
        <w:tc>
          <w:tcPr>
            <w:tcW w:w="794" w:type="dxa"/>
            <w:tcBorders>
              <w:bottom w:val="single" w:color="000000" w:sz="4" w:space="0"/>
            </w:tcBorders>
            <w:vAlign w:val="top"/>
          </w:tcPr>
          <w:p w14:paraId="4CBF6197">
            <w:pPr>
              <w:pStyle w:val="7"/>
              <w:spacing w:before="154" w:line="219" w:lineRule="auto"/>
              <w:ind w:left="228"/>
            </w:pPr>
            <w:r>
              <w:rPr>
                <w:spacing w:val="-19"/>
              </w:rPr>
              <w:t>良好</w:t>
            </w:r>
          </w:p>
        </w:tc>
        <w:tc>
          <w:tcPr>
            <w:tcW w:w="1302" w:type="dxa"/>
            <w:tcBorders>
              <w:bottom w:val="single" w:color="000000" w:sz="4" w:space="0"/>
            </w:tcBorders>
            <w:vAlign w:val="top"/>
          </w:tcPr>
          <w:p w14:paraId="494E678A">
            <w:pPr>
              <w:pStyle w:val="7"/>
              <w:spacing w:before="154" w:line="216" w:lineRule="auto"/>
              <w:ind w:left="232"/>
            </w:pPr>
            <w:r>
              <w:rPr>
                <w:spacing w:val="-15"/>
              </w:rPr>
              <w:t>支架制作</w:t>
            </w:r>
          </w:p>
        </w:tc>
        <w:tc>
          <w:tcPr>
            <w:tcW w:w="726" w:type="dxa"/>
            <w:vMerge w:val="continue"/>
            <w:tcBorders>
              <w:top w:val="nil"/>
              <w:bottom w:val="single" w:color="5B9BD5" w:sz="4" w:space="0"/>
              <w:right w:val="single" w:color="5B9BD5" w:sz="4" w:space="0"/>
            </w:tcBorders>
            <w:vAlign w:val="top"/>
          </w:tcPr>
          <w:p w14:paraId="0AD11CD1">
            <w:pPr>
              <w:rPr>
                <w:rFonts w:ascii="Arial"/>
                <w:sz w:val="21"/>
              </w:rPr>
            </w:pPr>
          </w:p>
        </w:tc>
      </w:tr>
    </w:tbl>
    <w:p w14:paraId="38DD233D">
      <w:pPr>
        <w:rPr>
          <w:rFonts w:ascii="Arial"/>
          <w:sz w:val="21"/>
        </w:rPr>
      </w:pPr>
    </w:p>
    <w:p w14:paraId="5A80C86B">
      <w:pPr>
        <w:rPr>
          <w:rFonts w:ascii="Arial" w:hAnsi="Arial" w:eastAsia="Arial" w:cs="Arial"/>
          <w:sz w:val="21"/>
          <w:szCs w:val="21"/>
        </w:rPr>
        <w:sectPr>
          <w:footerReference r:id="rId394" w:type="default"/>
          <w:pgSz w:w="11907" w:h="16839"/>
          <w:pgMar w:top="933" w:right="4" w:bottom="1038" w:left="0" w:header="478" w:footer="357" w:gutter="0"/>
          <w:pgBorders>
            <w:top w:val="none" w:sz="0" w:space="0"/>
            <w:left w:val="none" w:sz="0" w:space="0"/>
            <w:bottom w:val="none" w:sz="0" w:space="0"/>
            <w:right w:val="none" w:sz="0" w:space="0"/>
          </w:pgBorders>
          <w:cols w:space="720" w:num="1"/>
        </w:sectPr>
      </w:pPr>
    </w:p>
    <w:p w14:paraId="42E28F23">
      <w:pPr>
        <w:spacing w:line="235" w:lineRule="exact"/>
      </w:pPr>
    </w:p>
    <w:tbl>
      <w:tblPr>
        <w:tblStyle w:val="6"/>
        <w:tblW w:w="9839" w:type="dxa"/>
        <w:tblInd w:w="103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69"/>
        <w:gridCol w:w="603"/>
        <w:gridCol w:w="1657"/>
        <w:gridCol w:w="1559"/>
        <w:gridCol w:w="650"/>
        <w:gridCol w:w="794"/>
        <w:gridCol w:w="794"/>
        <w:gridCol w:w="791"/>
        <w:gridCol w:w="794"/>
        <w:gridCol w:w="1302"/>
        <w:gridCol w:w="726"/>
      </w:tblGrid>
      <w:tr w14:paraId="70B07A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2" w:hRule="atLeast"/>
        </w:trPr>
        <w:tc>
          <w:tcPr>
            <w:tcW w:w="772" w:type="dxa"/>
            <w:gridSpan w:val="2"/>
            <w:tcBorders>
              <w:top w:val="single" w:color="000000" w:sz="4" w:space="0"/>
              <w:left w:val="single" w:color="000000" w:sz="4" w:space="0"/>
            </w:tcBorders>
            <w:vAlign w:val="top"/>
          </w:tcPr>
          <w:p w14:paraId="056B3BAF">
            <w:pPr>
              <w:pStyle w:val="7"/>
              <w:spacing w:before="179" w:line="237" w:lineRule="auto"/>
              <w:ind w:left="291"/>
            </w:pPr>
            <w:r>
              <w:rPr>
                <w:spacing w:val="-7"/>
              </w:rPr>
              <w:t>31</w:t>
            </w:r>
          </w:p>
        </w:tc>
        <w:tc>
          <w:tcPr>
            <w:tcW w:w="1657" w:type="dxa"/>
            <w:tcBorders>
              <w:top w:val="single" w:color="000000" w:sz="4" w:space="0"/>
              <w:left w:val="nil"/>
              <w:right w:val="nil"/>
            </w:tcBorders>
            <w:vAlign w:val="top"/>
          </w:tcPr>
          <w:p w14:paraId="52557EA6">
            <w:pPr>
              <w:pStyle w:val="7"/>
              <w:spacing w:before="179" w:line="218" w:lineRule="auto"/>
              <w:ind w:left="304"/>
            </w:pPr>
            <w:r>
              <w:rPr>
                <w:spacing w:val="-19"/>
              </w:rPr>
              <w:t>型材切割机</w:t>
            </w:r>
          </w:p>
        </w:tc>
        <w:tc>
          <w:tcPr>
            <w:tcW w:w="1559" w:type="dxa"/>
            <w:tcBorders>
              <w:top w:val="single" w:color="000000" w:sz="4" w:space="0"/>
              <w:left w:val="nil"/>
              <w:right w:val="nil"/>
            </w:tcBorders>
            <w:vAlign w:val="top"/>
          </w:tcPr>
          <w:p w14:paraId="51680465">
            <w:pPr>
              <w:pStyle w:val="7"/>
              <w:spacing w:before="179" w:line="237" w:lineRule="auto"/>
              <w:ind w:left="180"/>
            </w:pPr>
            <w:r>
              <w:rPr>
                <w:spacing w:val="-10"/>
              </w:rPr>
              <w:t>HDA1304-355</w:t>
            </w:r>
          </w:p>
        </w:tc>
        <w:tc>
          <w:tcPr>
            <w:tcW w:w="650" w:type="dxa"/>
            <w:tcBorders>
              <w:top w:val="single" w:color="000000" w:sz="4" w:space="0"/>
              <w:left w:val="nil"/>
              <w:right w:val="nil"/>
            </w:tcBorders>
            <w:vAlign w:val="top"/>
          </w:tcPr>
          <w:p w14:paraId="317A3C4F">
            <w:pPr>
              <w:pStyle w:val="7"/>
              <w:spacing w:before="179" w:line="237" w:lineRule="auto"/>
              <w:ind w:left="238"/>
            </w:pPr>
            <w:r>
              <w:rPr>
                <w:spacing w:val="-10"/>
              </w:rPr>
              <w:t>15</w:t>
            </w:r>
          </w:p>
        </w:tc>
        <w:tc>
          <w:tcPr>
            <w:tcW w:w="794" w:type="dxa"/>
            <w:tcBorders>
              <w:top w:val="single" w:color="000000" w:sz="4" w:space="0"/>
              <w:left w:val="nil"/>
              <w:right w:val="nil"/>
            </w:tcBorders>
            <w:vAlign w:val="top"/>
          </w:tcPr>
          <w:p w14:paraId="323BF059">
            <w:pPr>
              <w:pStyle w:val="7"/>
              <w:spacing w:before="179" w:line="220" w:lineRule="auto"/>
              <w:ind w:left="195"/>
            </w:pPr>
            <w:r>
              <w:rPr>
                <w:spacing w:val="-11"/>
              </w:rPr>
              <w:t>西安</w:t>
            </w:r>
          </w:p>
        </w:tc>
        <w:tc>
          <w:tcPr>
            <w:tcW w:w="794" w:type="dxa"/>
            <w:tcBorders>
              <w:top w:val="single" w:color="000000" w:sz="4" w:space="0"/>
              <w:left w:val="nil"/>
              <w:right w:val="nil"/>
            </w:tcBorders>
            <w:vAlign w:val="top"/>
          </w:tcPr>
          <w:p w14:paraId="6C0B7BA5">
            <w:pPr>
              <w:pStyle w:val="7"/>
              <w:spacing w:before="145" w:line="237" w:lineRule="auto"/>
              <w:ind w:left="186" w:leftChars="0"/>
            </w:pPr>
            <w:r>
              <w:rPr>
                <w:spacing w:val="-9"/>
              </w:rPr>
              <w:t>202</w:t>
            </w:r>
            <w:r>
              <w:rPr>
                <w:rFonts w:hint="eastAsia"/>
                <w:spacing w:val="-9"/>
                <w:lang w:val="en-US" w:eastAsia="zh-CN"/>
              </w:rPr>
              <w:t>1</w:t>
            </w:r>
          </w:p>
        </w:tc>
        <w:tc>
          <w:tcPr>
            <w:tcW w:w="791" w:type="dxa"/>
            <w:tcBorders>
              <w:top w:val="single" w:color="000000" w:sz="4" w:space="0"/>
              <w:left w:val="nil"/>
              <w:right w:val="nil"/>
            </w:tcBorders>
            <w:vAlign w:val="top"/>
          </w:tcPr>
          <w:p w14:paraId="7B5B1F20">
            <w:pPr>
              <w:pStyle w:val="7"/>
              <w:spacing w:before="179" w:line="236" w:lineRule="auto"/>
              <w:ind w:left="241"/>
            </w:pPr>
            <w:r>
              <w:rPr>
                <w:spacing w:val="-8"/>
              </w:rPr>
              <w:t>0.5</w:t>
            </w:r>
          </w:p>
        </w:tc>
        <w:tc>
          <w:tcPr>
            <w:tcW w:w="794" w:type="dxa"/>
            <w:tcBorders>
              <w:top w:val="single" w:color="000000" w:sz="4" w:space="0"/>
              <w:left w:val="nil"/>
              <w:right w:val="nil"/>
            </w:tcBorders>
            <w:vAlign w:val="top"/>
          </w:tcPr>
          <w:p w14:paraId="694376EA">
            <w:pPr>
              <w:pStyle w:val="7"/>
              <w:spacing w:before="179" w:line="219" w:lineRule="auto"/>
              <w:ind w:left="230"/>
            </w:pPr>
            <w:r>
              <w:rPr>
                <w:spacing w:val="-19"/>
              </w:rPr>
              <w:t>良好</w:t>
            </w:r>
          </w:p>
        </w:tc>
        <w:tc>
          <w:tcPr>
            <w:tcW w:w="1302" w:type="dxa"/>
            <w:tcBorders>
              <w:top w:val="single" w:color="000000" w:sz="4" w:space="0"/>
              <w:left w:val="nil"/>
              <w:right w:val="nil"/>
            </w:tcBorders>
            <w:vAlign w:val="top"/>
          </w:tcPr>
          <w:p w14:paraId="28F89982">
            <w:pPr>
              <w:pStyle w:val="7"/>
              <w:spacing w:before="179" w:line="216" w:lineRule="auto"/>
              <w:ind w:left="234"/>
            </w:pPr>
            <w:r>
              <w:rPr>
                <w:spacing w:val="-15"/>
              </w:rPr>
              <w:t>支架制作</w:t>
            </w:r>
          </w:p>
        </w:tc>
        <w:tc>
          <w:tcPr>
            <w:tcW w:w="726" w:type="dxa"/>
            <w:vMerge w:val="restart"/>
            <w:tcBorders>
              <w:top w:val="single" w:color="5B9BD5" w:sz="4" w:space="0"/>
              <w:bottom w:val="nil"/>
              <w:right w:val="single" w:color="5B9BD5" w:sz="4" w:space="0"/>
            </w:tcBorders>
            <w:vAlign w:val="top"/>
          </w:tcPr>
          <w:p w14:paraId="189AA68D">
            <w:pPr>
              <w:spacing w:line="356" w:lineRule="auto"/>
              <w:rPr>
                <w:rFonts w:ascii="Arial"/>
                <w:sz w:val="21"/>
              </w:rPr>
            </w:pPr>
          </w:p>
          <w:p w14:paraId="1CA921FC">
            <w:pPr>
              <w:spacing w:line="357" w:lineRule="auto"/>
              <w:rPr>
                <w:rFonts w:ascii="Arial"/>
                <w:sz w:val="21"/>
              </w:rPr>
            </w:pPr>
          </w:p>
          <w:p w14:paraId="401268E4">
            <w:pPr>
              <w:spacing w:line="67" w:lineRule="exact"/>
              <w:ind w:firstLine="685"/>
            </w:pPr>
            <w:r>
              <w:rPr>
                <w:position w:val="-1"/>
              </w:rPr>
              <w:pict>
                <v:group id="_x0000_s4266" o:spid="_x0000_s4266" o:spt="203" style="height:3.4pt;width:1.45pt;" coordsize="29,68">
                  <o:lock v:ext="edit"/>
                  <v:shape id="_x0000_s4268" o:spid="_x0000_s4268" style="position:absolute;left:14;top:0;height:68;width:15;" fillcolor="#20507B" filled="t" stroked="f" coordsize="15,68" path="m0,67l14,67,14,0,0,0,0,67xe">
                    <v:path/>
                    <v:fill on="t" focussize="0,0"/>
                    <v:stroke on="f"/>
                    <v:imagedata o:title=""/>
                    <o:lock v:ext="edit"/>
                  </v:shape>
                  <v:shape id="_x0000_s4270" o:spid="_x0000_s4270" style="position:absolute;left:0;top:0;height:68;width:15;" fillcolor="#1C456A" filled="t" stroked="f" coordsize="15,68" path="m0,67l14,67,14,0,0,0,0,67xe">
                    <v:path/>
                    <v:fill on="t" focussize="0,0"/>
                    <v:stroke on="f"/>
                    <v:imagedata o:title=""/>
                    <o:lock v:ext="edit"/>
                  </v:shape>
                  <w10:wrap type="none"/>
                  <w10:anchorlock/>
                </v:group>
              </w:pict>
            </w:r>
          </w:p>
          <w:p w14:paraId="034A73F6">
            <w:pPr>
              <w:spacing w:line="308" w:lineRule="auto"/>
              <w:rPr>
                <w:rFonts w:ascii="Arial"/>
                <w:sz w:val="21"/>
              </w:rPr>
            </w:pPr>
          </w:p>
          <w:p w14:paraId="762C5D81">
            <w:pPr>
              <w:spacing w:line="309" w:lineRule="auto"/>
              <w:rPr>
                <w:rFonts w:ascii="Arial"/>
                <w:sz w:val="21"/>
              </w:rPr>
            </w:pPr>
          </w:p>
          <w:p w14:paraId="07E0FD35">
            <w:pPr>
              <w:spacing w:line="67" w:lineRule="exact"/>
              <w:ind w:firstLine="685"/>
            </w:pPr>
            <w:r>
              <w:rPr>
                <w:position w:val="-1"/>
              </w:rPr>
              <w:pict>
                <v:group id="_x0000_s4272" o:spid="_x0000_s4272" o:spt="203" style="height:3.4pt;width:1.45pt;" coordsize="29,68">
                  <o:lock v:ext="edit"/>
                  <v:shape id="_x0000_s4274" o:spid="_x0000_s4274" style="position:absolute;left:14;top:0;height:68;width:15;" fillcolor="#20507B" filled="t" stroked="f" coordsize="15,68" path="m0,67l14,67,14,0,0,0,0,67xe">
                    <v:path/>
                    <v:fill on="t" focussize="0,0"/>
                    <v:stroke on="f"/>
                    <v:imagedata o:title=""/>
                    <o:lock v:ext="edit"/>
                  </v:shape>
                  <v:shape id="_x0000_s4276" o:spid="_x0000_s4276" style="position:absolute;left:0;top:0;height:68;width:15;" fillcolor="#1C456A" filled="t" stroked="f" coordsize="15,68" path="m0,67l14,67,14,0,0,0,0,67xe">
                    <v:path/>
                    <v:fill on="t" focussize="0,0"/>
                    <v:stroke on="f"/>
                    <v:imagedata o:title=""/>
                    <o:lock v:ext="edit"/>
                  </v:shape>
                  <w10:wrap type="none"/>
                  <w10:anchorlock/>
                </v:group>
              </w:pict>
            </w:r>
          </w:p>
          <w:p w14:paraId="33AF8E65">
            <w:pPr>
              <w:spacing w:line="310" w:lineRule="auto"/>
              <w:rPr>
                <w:rFonts w:ascii="Arial"/>
                <w:sz w:val="21"/>
              </w:rPr>
            </w:pPr>
          </w:p>
          <w:p w14:paraId="7E32BE8B">
            <w:pPr>
              <w:spacing w:line="310" w:lineRule="auto"/>
              <w:rPr>
                <w:rFonts w:ascii="Arial"/>
                <w:sz w:val="21"/>
              </w:rPr>
            </w:pPr>
          </w:p>
          <w:p w14:paraId="62951C0B">
            <w:pPr>
              <w:spacing w:line="67" w:lineRule="exact"/>
              <w:ind w:firstLine="685"/>
            </w:pPr>
            <w:r>
              <w:rPr>
                <w:position w:val="-1"/>
              </w:rPr>
              <w:pict>
                <v:group id="_x0000_s4278" o:spid="_x0000_s4278" o:spt="203" style="height:3.4pt;width:1.45pt;" coordsize="29,68">
                  <o:lock v:ext="edit"/>
                  <v:shape id="_x0000_s4280" o:spid="_x0000_s4280" style="position:absolute;left:14;top:0;height:68;width:15;" fillcolor="#20507B" filled="t" stroked="f" coordsize="15,68" path="m0,67l14,67,14,0,0,0,0,67xe">
                    <v:path/>
                    <v:fill on="t" focussize="0,0"/>
                    <v:stroke on="f"/>
                    <v:imagedata o:title=""/>
                    <o:lock v:ext="edit"/>
                  </v:shape>
                  <v:shape id="_x0000_s4282" o:spid="_x0000_s4282" style="position:absolute;left:0;top:0;height:68;width:15;" fillcolor="#1C456A" filled="t" stroked="f" coordsize="15,68" path="m0,67l14,67,14,0,0,0,0,67xe">
                    <v:path/>
                    <v:fill on="t" focussize="0,0"/>
                    <v:stroke on="f"/>
                    <v:imagedata o:title=""/>
                    <o:lock v:ext="edit"/>
                  </v:shape>
                  <w10:wrap type="none"/>
                  <w10:anchorlock/>
                </v:group>
              </w:pict>
            </w:r>
          </w:p>
          <w:p w14:paraId="5C37DDE0">
            <w:pPr>
              <w:spacing w:line="308" w:lineRule="auto"/>
              <w:rPr>
                <w:rFonts w:ascii="Arial"/>
                <w:sz w:val="21"/>
              </w:rPr>
            </w:pPr>
          </w:p>
          <w:p w14:paraId="27975B5F">
            <w:pPr>
              <w:spacing w:line="309" w:lineRule="auto"/>
              <w:rPr>
                <w:rFonts w:ascii="Arial"/>
                <w:sz w:val="21"/>
              </w:rPr>
            </w:pPr>
          </w:p>
          <w:p w14:paraId="3427EEAD">
            <w:pPr>
              <w:spacing w:line="67" w:lineRule="exact"/>
              <w:ind w:firstLine="685"/>
            </w:pPr>
            <w:r>
              <w:rPr>
                <w:position w:val="-1"/>
              </w:rPr>
              <w:pict>
                <v:group id="_x0000_s4284" o:spid="_x0000_s4284" o:spt="203" style="height:3.4pt;width:1.45pt;" coordsize="29,68">
                  <o:lock v:ext="edit"/>
                  <v:shape id="_x0000_s4286" o:spid="_x0000_s4286" style="position:absolute;left:14;top:0;height:68;width:15;" fillcolor="#20507B" filled="t" stroked="f" coordsize="15,68" path="m0,67l14,67,14,0,0,0,0,67xe">
                    <v:path/>
                    <v:fill on="t" focussize="0,0"/>
                    <v:stroke on="f"/>
                    <v:imagedata o:title=""/>
                    <o:lock v:ext="edit"/>
                  </v:shape>
                  <v:shape id="_x0000_s4288" o:spid="_x0000_s4288" style="position:absolute;left:0;top:0;height:68;width:15;" fillcolor="#1C456A" filled="t" stroked="f" coordsize="15,68" path="m0,67l14,67,14,0,0,0,0,67xe">
                    <v:path/>
                    <v:fill on="t" focussize="0,0"/>
                    <v:stroke on="f"/>
                    <v:imagedata o:title=""/>
                    <o:lock v:ext="edit"/>
                  </v:shape>
                  <w10:wrap type="none"/>
                  <w10:anchorlock/>
                </v:group>
              </w:pict>
            </w:r>
          </w:p>
          <w:p w14:paraId="1B0C5D19">
            <w:pPr>
              <w:spacing w:line="310" w:lineRule="auto"/>
              <w:rPr>
                <w:rFonts w:ascii="Arial"/>
                <w:sz w:val="21"/>
              </w:rPr>
            </w:pPr>
          </w:p>
          <w:p w14:paraId="099BE3F2">
            <w:pPr>
              <w:spacing w:line="310" w:lineRule="auto"/>
              <w:rPr>
                <w:rFonts w:ascii="Arial"/>
                <w:sz w:val="21"/>
              </w:rPr>
            </w:pPr>
          </w:p>
          <w:p w14:paraId="1057D419">
            <w:pPr>
              <w:spacing w:line="68" w:lineRule="exact"/>
              <w:ind w:firstLine="685"/>
            </w:pPr>
            <w:r>
              <w:rPr>
                <w:position w:val="-1"/>
              </w:rPr>
              <w:pict>
                <v:group id="_x0000_s4290" o:spid="_x0000_s4290" o:spt="203" style="height:3.4pt;width:1.45pt;" coordsize="29,68">
                  <o:lock v:ext="edit"/>
                  <v:shape id="_x0000_s4292" o:spid="_x0000_s4292" style="position:absolute;left:14;top:0;height:68;width:15;" fillcolor="#20507B" filled="t" stroked="f" coordsize="15,68" path="m0,67l14,67,14,0,0,0,0,67xe">
                    <v:path/>
                    <v:fill on="t" focussize="0,0"/>
                    <v:stroke on="f"/>
                    <v:imagedata o:title=""/>
                    <o:lock v:ext="edit"/>
                  </v:shape>
                  <v:shape id="_x0000_s4294" o:spid="_x0000_s4294" style="position:absolute;left:0;top:0;height:68;width:15;" fillcolor="#1C456A" filled="t" stroked="f" coordsize="15,68" path="m0,67l14,67,14,0,0,0,0,67xe">
                    <v:path/>
                    <v:fill on="t" focussize="0,0"/>
                    <v:stroke on="f"/>
                    <v:imagedata o:title=""/>
                    <o:lock v:ext="edit"/>
                  </v:shape>
                  <w10:wrap type="none"/>
                  <w10:anchorlock/>
                </v:group>
              </w:pict>
            </w:r>
          </w:p>
          <w:p w14:paraId="7C28D7F8">
            <w:pPr>
              <w:spacing w:line="308" w:lineRule="auto"/>
              <w:rPr>
                <w:rFonts w:ascii="Arial"/>
                <w:sz w:val="21"/>
              </w:rPr>
            </w:pPr>
          </w:p>
          <w:p w14:paraId="52A26B61">
            <w:pPr>
              <w:spacing w:line="309" w:lineRule="auto"/>
              <w:rPr>
                <w:rFonts w:ascii="Arial"/>
                <w:sz w:val="21"/>
              </w:rPr>
            </w:pPr>
          </w:p>
          <w:p w14:paraId="39E529FA">
            <w:pPr>
              <w:spacing w:before="1" w:line="67" w:lineRule="exact"/>
              <w:ind w:firstLine="685"/>
            </w:pPr>
            <w:r>
              <w:rPr>
                <w:position w:val="-1"/>
              </w:rPr>
              <w:pict>
                <v:group id="_x0000_s4296" o:spid="_x0000_s4296" o:spt="203" style="height:3.4pt;width:1.45pt;" coordsize="29,68">
                  <o:lock v:ext="edit"/>
                  <v:shape id="_x0000_s4298" o:spid="_x0000_s4298" style="position:absolute;left:14;top:0;height:68;width:15;" fillcolor="#20507B" filled="t" stroked="f" coordsize="15,68" path="m0,67l14,67,14,0,0,0,0,67xe">
                    <v:path/>
                    <v:fill on="t" focussize="0,0"/>
                    <v:stroke on="f"/>
                    <v:imagedata o:title=""/>
                    <o:lock v:ext="edit"/>
                  </v:shape>
                  <v:shape id="_x0000_s4300" o:spid="_x0000_s4300" style="position:absolute;left:0;top:0;height:68;width:15;" fillcolor="#1C456A" filled="t" stroked="f" coordsize="15,68" path="m0,67l14,67,14,0,0,0,0,67xe">
                    <v:path/>
                    <v:fill on="t" focussize="0,0"/>
                    <v:stroke on="f"/>
                    <v:imagedata o:title=""/>
                    <o:lock v:ext="edit"/>
                  </v:shape>
                  <w10:wrap type="none"/>
                  <w10:anchorlock/>
                </v:group>
              </w:pict>
            </w:r>
          </w:p>
          <w:p w14:paraId="466BBC50">
            <w:pPr>
              <w:spacing w:line="310" w:lineRule="auto"/>
              <w:rPr>
                <w:rFonts w:ascii="Arial"/>
                <w:sz w:val="21"/>
              </w:rPr>
            </w:pPr>
          </w:p>
          <w:p w14:paraId="25DDB046">
            <w:pPr>
              <w:spacing w:line="310" w:lineRule="auto"/>
              <w:rPr>
                <w:rFonts w:ascii="Arial"/>
                <w:sz w:val="21"/>
              </w:rPr>
            </w:pPr>
          </w:p>
          <w:p w14:paraId="6C4C13B1">
            <w:pPr>
              <w:spacing w:line="68" w:lineRule="exact"/>
              <w:ind w:firstLine="685"/>
            </w:pPr>
            <w:r>
              <w:rPr>
                <w:position w:val="-1"/>
              </w:rPr>
              <w:pict>
                <v:group id="_x0000_s4302" o:spid="_x0000_s4302" o:spt="203" style="height:3.4pt;width:1.45pt;" coordsize="29,68">
                  <o:lock v:ext="edit"/>
                  <v:shape id="_x0000_s4304" o:spid="_x0000_s4304" style="position:absolute;left:14;top:0;height:68;width:15;" fillcolor="#20507B" filled="t" stroked="f" coordsize="15,68" path="m0,67l14,67,14,0,0,0,0,67xe">
                    <v:path/>
                    <v:fill on="t" focussize="0,0"/>
                    <v:stroke on="f"/>
                    <v:imagedata o:title=""/>
                    <o:lock v:ext="edit"/>
                  </v:shape>
                  <v:shape id="_x0000_s4306" o:spid="_x0000_s4306" style="position:absolute;left:0;top:0;height:68;width:15;" fillcolor="#1C456A" filled="t" stroked="f" coordsize="15,68" path="m0,67l14,67,14,0,0,0,0,67xe">
                    <v:path/>
                    <v:fill on="t" focussize="0,0"/>
                    <v:stroke on="f"/>
                    <v:imagedata o:title=""/>
                    <o:lock v:ext="edit"/>
                  </v:shape>
                  <w10:wrap type="none"/>
                  <w10:anchorlock/>
                </v:group>
              </w:pict>
            </w:r>
          </w:p>
          <w:p w14:paraId="39E7B2D0">
            <w:pPr>
              <w:spacing w:line="308" w:lineRule="auto"/>
              <w:rPr>
                <w:rFonts w:ascii="Arial"/>
                <w:sz w:val="21"/>
              </w:rPr>
            </w:pPr>
          </w:p>
          <w:p w14:paraId="2ECE056A">
            <w:pPr>
              <w:spacing w:line="309" w:lineRule="auto"/>
              <w:rPr>
                <w:rFonts w:ascii="Arial"/>
                <w:sz w:val="21"/>
              </w:rPr>
            </w:pPr>
          </w:p>
          <w:p w14:paraId="31868569">
            <w:pPr>
              <w:spacing w:line="68" w:lineRule="exact"/>
              <w:ind w:firstLine="685"/>
            </w:pPr>
            <w:r>
              <w:rPr>
                <w:position w:val="-1"/>
              </w:rPr>
              <w:pict>
                <v:group id="_x0000_s4308" o:spid="_x0000_s4308" o:spt="203" style="height:3.4pt;width:1.45pt;" coordsize="29,68">
                  <o:lock v:ext="edit"/>
                  <v:shape id="_x0000_s4310" o:spid="_x0000_s4310" style="position:absolute;left:14;top:0;height:68;width:15;" fillcolor="#20507B" filled="t" stroked="f" coordsize="15,68" path="m0,67l14,67,14,0,0,0,0,67xe">
                    <v:path/>
                    <v:fill on="t" focussize="0,0"/>
                    <v:stroke on="f"/>
                    <v:imagedata o:title=""/>
                    <o:lock v:ext="edit"/>
                  </v:shape>
                  <v:shape id="_x0000_s4312" o:spid="_x0000_s4312" style="position:absolute;left:0;top:0;height:68;width:15;" fillcolor="#1C456A" filled="t" stroked="f" coordsize="15,68" path="m0,67l14,67,14,0,0,0,0,67xe">
                    <v:path/>
                    <v:fill on="t" focussize="0,0"/>
                    <v:stroke on="f"/>
                    <v:imagedata o:title=""/>
                    <o:lock v:ext="edit"/>
                  </v:shape>
                  <w10:wrap type="none"/>
                  <w10:anchorlock/>
                </v:group>
              </w:pict>
            </w:r>
          </w:p>
          <w:p w14:paraId="7C67D98B">
            <w:pPr>
              <w:spacing w:line="310" w:lineRule="auto"/>
              <w:rPr>
                <w:rFonts w:ascii="Arial"/>
                <w:sz w:val="21"/>
              </w:rPr>
            </w:pPr>
          </w:p>
          <w:p w14:paraId="67C5F20B">
            <w:pPr>
              <w:spacing w:line="310" w:lineRule="auto"/>
              <w:rPr>
                <w:rFonts w:ascii="Arial"/>
                <w:sz w:val="21"/>
              </w:rPr>
            </w:pPr>
          </w:p>
          <w:p w14:paraId="76A1E7D1">
            <w:pPr>
              <w:spacing w:line="67" w:lineRule="exact"/>
              <w:ind w:firstLine="685"/>
            </w:pPr>
            <w:r>
              <w:rPr>
                <w:position w:val="-1"/>
              </w:rPr>
              <w:pict>
                <v:group id="_x0000_s4314" o:spid="_x0000_s4314" o:spt="203" style="height:3.4pt;width:1.45pt;" coordsize="29,68">
                  <o:lock v:ext="edit"/>
                  <v:shape id="_x0000_s4316" o:spid="_x0000_s4316" style="position:absolute;left:14;top:0;height:68;width:15;" fillcolor="#20507B" filled="t" stroked="f" coordsize="15,68" path="m0,67l14,67,14,0,0,0,0,67xe">
                    <v:path/>
                    <v:fill on="t" focussize="0,0"/>
                    <v:stroke on="f"/>
                    <v:imagedata o:title=""/>
                    <o:lock v:ext="edit"/>
                  </v:shape>
                  <v:shape id="_x0000_s4318" o:spid="_x0000_s4318" style="position:absolute;left:0;top:0;height:68;width:15;" fillcolor="#1C456A" filled="t" stroked="f" coordsize="15,68" path="m0,67l14,67,14,0,0,0,0,67xe">
                    <v:path/>
                    <v:fill on="t" focussize="0,0"/>
                    <v:stroke on="f"/>
                    <v:imagedata o:title=""/>
                    <o:lock v:ext="edit"/>
                  </v:shape>
                  <w10:wrap type="none"/>
                  <w10:anchorlock/>
                </v:group>
              </w:pict>
            </w:r>
          </w:p>
          <w:p w14:paraId="382B1949">
            <w:pPr>
              <w:spacing w:line="308" w:lineRule="auto"/>
              <w:rPr>
                <w:rFonts w:ascii="Arial"/>
                <w:sz w:val="21"/>
              </w:rPr>
            </w:pPr>
          </w:p>
          <w:p w14:paraId="14C43ADF">
            <w:pPr>
              <w:spacing w:line="309" w:lineRule="auto"/>
              <w:rPr>
                <w:rFonts w:ascii="Arial"/>
                <w:sz w:val="21"/>
              </w:rPr>
            </w:pPr>
          </w:p>
          <w:p w14:paraId="46FF9AB5">
            <w:pPr>
              <w:spacing w:before="1" w:line="67" w:lineRule="exact"/>
              <w:ind w:firstLine="685"/>
            </w:pPr>
            <w:r>
              <w:rPr>
                <w:position w:val="-1"/>
              </w:rPr>
              <w:pict>
                <v:group id="_x0000_s4320" o:spid="_x0000_s4320" o:spt="203" style="height:3.4pt;width:1.45pt;" coordsize="29,68">
                  <o:lock v:ext="edit"/>
                  <v:shape id="_x0000_s4322" o:spid="_x0000_s4322" style="position:absolute;left:14;top:0;height:68;width:15;" fillcolor="#20507B" filled="t" stroked="f" coordsize="15,68" path="m0,67l14,67,14,0,0,0,0,67xe">
                    <v:path/>
                    <v:fill on="t" focussize="0,0"/>
                    <v:stroke on="f"/>
                    <v:imagedata o:title=""/>
                    <o:lock v:ext="edit"/>
                  </v:shape>
                  <v:shape id="_x0000_s4324" o:spid="_x0000_s4324" style="position:absolute;left:0;top:0;height:68;width:15;" fillcolor="#1C456A" filled="t" stroked="f" coordsize="15,68" path="m0,67l14,67,14,0,0,0,0,67xe">
                    <v:path/>
                    <v:fill on="t" focussize="0,0"/>
                    <v:stroke on="f"/>
                    <v:imagedata o:title=""/>
                    <o:lock v:ext="edit"/>
                  </v:shape>
                  <w10:wrap type="none"/>
                  <w10:anchorlock/>
                </v:group>
              </w:pict>
            </w:r>
          </w:p>
          <w:p w14:paraId="562F2DF6">
            <w:pPr>
              <w:spacing w:line="310" w:lineRule="auto"/>
              <w:rPr>
                <w:rFonts w:ascii="Arial"/>
                <w:sz w:val="21"/>
              </w:rPr>
            </w:pPr>
          </w:p>
          <w:p w14:paraId="70F009C3">
            <w:pPr>
              <w:spacing w:line="310" w:lineRule="auto"/>
              <w:rPr>
                <w:rFonts w:ascii="Arial"/>
                <w:sz w:val="21"/>
              </w:rPr>
            </w:pPr>
          </w:p>
          <w:p w14:paraId="3B55B5A1">
            <w:pPr>
              <w:spacing w:line="67" w:lineRule="exact"/>
              <w:ind w:firstLine="685"/>
            </w:pPr>
            <w:r>
              <w:rPr>
                <w:position w:val="-1"/>
              </w:rPr>
              <w:pict>
                <v:group id="_x0000_s4326" o:spid="_x0000_s4326" o:spt="203" style="height:3.4pt;width:1.45pt;" coordsize="29,68">
                  <o:lock v:ext="edit"/>
                  <v:shape id="_x0000_s4328" o:spid="_x0000_s4328" style="position:absolute;left:14;top:0;height:68;width:15;" fillcolor="#20507B" filled="t" stroked="f" coordsize="15,68" path="m0,67l14,67,14,0,0,0,0,67xe">
                    <v:path/>
                    <v:fill on="t" focussize="0,0"/>
                    <v:stroke on="f"/>
                    <v:imagedata o:title=""/>
                    <o:lock v:ext="edit"/>
                  </v:shape>
                  <v:shape id="_x0000_s4330" o:spid="_x0000_s4330" style="position:absolute;left:0;top:0;height:68;width:15;" fillcolor="#1C456A" filled="t" stroked="f" coordsize="15,68" path="m0,67l14,67,14,0,0,0,0,67xe">
                    <v:path/>
                    <v:fill on="t" focussize="0,0"/>
                    <v:stroke on="f"/>
                    <v:imagedata o:title=""/>
                    <o:lock v:ext="edit"/>
                  </v:shape>
                  <w10:wrap type="none"/>
                  <w10:anchorlock/>
                </v:group>
              </w:pict>
            </w:r>
          </w:p>
          <w:p w14:paraId="7258F195">
            <w:pPr>
              <w:spacing w:line="309" w:lineRule="auto"/>
              <w:rPr>
                <w:rFonts w:ascii="Arial"/>
                <w:sz w:val="21"/>
              </w:rPr>
            </w:pPr>
          </w:p>
          <w:p w14:paraId="4CDF7664">
            <w:pPr>
              <w:spacing w:line="309" w:lineRule="auto"/>
              <w:rPr>
                <w:rFonts w:ascii="Arial"/>
                <w:sz w:val="21"/>
              </w:rPr>
            </w:pPr>
          </w:p>
          <w:p w14:paraId="470A9FD2">
            <w:pPr>
              <w:spacing w:before="1" w:line="67" w:lineRule="exact"/>
              <w:ind w:firstLine="685"/>
            </w:pPr>
            <w:r>
              <w:rPr>
                <w:position w:val="-1"/>
              </w:rPr>
              <w:pict>
                <v:group id="_x0000_s4332" o:spid="_x0000_s4332" o:spt="203" style="height:3.4pt;width:1.45pt;" coordsize="29,68">
                  <o:lock v:ext="edit"/>
                  <v:shape id="_x0000_s4334" o:spid="_x0000_s4334" style="position:absolute;left:14;top:0;height:68;width:15;" fillcolor="#20507B" filled="t" stroked="f" coordsize="15,68" path="m0,67l14,67,14,0,0,0,0,67xe">
                    <v:path/>
                    <v:fill on="t" focussize="0,0"/>
                    <v:stroke on="f"/>
                    <v:imagedata o:title=""/>
                    <o:lock v:ext="edit"/>
                  </v:shape>
                  <v:shape id="_x0000_s4336" o:spid="_x0000_s4336" style="position:absolute;left:0;top:0;height:68;width:15;" fillcolor="#1C456A" filled="t" stroked="f" coordsize="15,68" path="m0,67l14,67,14,0,0,0,0,67xe">
                    <v:path/>
                    <v:fill on="t" focussize="0,0"/>
                    <v:stroke on="f"/>
                    <v:imagedata o:title=""/>
                    <o:lock v:ext="edit"/>
                  </v:shape>
                  <w10:wrap type="none"/>
                  <w10:anchorlock/>
                </v:group>
              </w:pict>
            </w:r>
          </w:p>
          <w:p w14:paraId="1C24B9F5">
            <w:pPr>
              <w:spacing w:line="310" w:lineRule="auto"/>
              <w:rPr>
                <w:rFonts w:ascii="Arial"/>
                <w:sz w:val="21"/>
              </w:rPr>
            </w:pPr>
          </w:p>
          <w:p w14:paraId="1980CB34">
            <w:pPr>
              <w:spacing w:line="310" w:lineRule="auto"/>
              <w:rPr>
                <w:rFonts w:ascii="Arial"/>
                <w:sz w:val="21"/>
              </w:rPr>
            </w:pPr>
          </w:p>
          <w:p w14:paraId="420775A4">
            <w:pPr>
              <w:spacing w:line="67" w:lineRule="exact"/>
              <w:ind w:firstLine="685"/>
            </w:pPr>
            <w:r>
              <w:rPr>
                <w:position w:val="-1"/>
              </w:rPr>
              <w:pict>
                <v:group id="_x0000_s4338" o:spid="_x0000_s4338" o:spt="203" style="height:3.4pt;width:1.45pt;" coordsize="29,68">
                  <o:lock v:ext="edit"/>
                  <v:shape id="_x0000_s4340" o:spid="_x0000_s4340" style="position:absolute;left:14;top:0;height:68;width:15;" fillcolor="#20507B" filled="t" stroked="f" coordsize="15,68" path="m0,67l14,67,14,0,0,0,0,67xe">
                    <v:path/>
                    <v:fill on="t" focussize="0,0"/>
                    <v:stroke on="f"/>
                    <v:imagedata o:title=""/>
                    <o:lock v:ext="edit"/>
                  </v:shape>
                  <v:shape id="_x0000_s4342" o:spid="_x0000_s4342" style="position:absolute;left:0;top:0;height:68;width:15;" fillcolor="#1C456A" filled="t" stroked="f" coordsize="15,68" path="m0,67l14,67,14,0,0,0,0,67xe">
                    <v:path/>
                    <v:fill on="t" focussize="0,0"/>
                    <v:stroke on="f"/>
                    <v:imagedata o:title=""/>
                    <o:lock v:ext="edit"/>
                  </v:shape>
                  <w10:wrap type="none"/>
                  <w10:anchorlock/>
                </v:group>
              </w:pict>
            </w:r>
          </w:p>
          <w:p w14:paraId="182C7D03">
            <w:pPr>
              <w:spacing w:line="310" w:lineRule="auto"/>
              <w:rPr>
                <w:rFonts w:ascii="Arial"/>
                <w:sz w:val="21"/>
              </w:rPr>
            </w:pPr>
          </w:p>
          <w:p w14:paraId="38777DDD">
            <w:pPr>
              <w:spacing w:line="310" w:lineRule="auto"/>
              <w:rPr>
                <w:rFonts w:ascii="Arial"/>
                <w:sz w:val="21"/>
              </w:rPr>
            </w:pPr>
          </w:p>
          <w:p w14:paraId="711E2338">
            <w:pPr>
              <w:spacing w:line="24" w:lineRule="exact"/>
              <w:ind w:firstLine="685"/>
            </w:pPr>
            <w:r>
              <w:rPr>
                <w:position w:val="-2"/>
              </w:rPr>
              <w:pict>
                <v:group id="_x0000_s4344" o:spid="_x0000_s4344" o:spt="203" style="height:2.2pt;width:2.2pt;" coordsize="44,44">
                  <o:lock v:ext="edit"/>
                  <v:shape id="_x0000_s4346" o:spid="_x0000_s4346" style="position:absolute;left:0;top:28;height:15;width:44;" fillcolor="#5B9BD5" filled="t" stroked="f" coordsize="44,15" path="m0,14l43,14,43,0,0,0,0,14xe">
                    <v:path/>
                    <v:fill on="t" focussize="0,0"/>
                    <v:stroke on="f"/>
                    <v:imagedata o:title=""/>
                    <o:lock v:ext="edit"/>
                  </v:shape>
                  <v:shape id="_x0000_s4348" o:spid="_x0000_s4348" style="position:absolute;left:14;top:0;height:29;width:15;" fillcolor="#20507B" filled="t" stroked="f" coordsize="15,29" path="m0,28l14,28,14,0,0,0,0,28xe">
                    <v:path/>
                    <v:fill on="t" focussize="0,0"/>
                    <v:stroke on="f"/>
                    <v:imagedata o:title=""/>
                    <o:lock v:ext="edit"/>
                  </v:shape>
                  <w10:wrap type="none"/>
                  <w10:anchorlock/>
                </v:group>
              </w:pict>
            </w:r>
          </w:p>
        </w:tc>
      </w:tr>
      <w:tr w14:paraId="71117C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3" w:hRule="atLeast"/>
        </w:trPr>
        <w:tc>
          <w:tcPr>
            <w:tcW w:w="772" w:type="dxa"/>
            <w:gridSpan w:val="2"/>
            <w:tcBorders>
              <w:left w:val="single" w:color="000000" w:sz="4" w:space="0"/>
            </w:tcBorders>
            <w:vAlign w:val="top"/>
          </w:tcPr>
          <w:p w14:paraId="2241341F">
            <w:pPr>
              <w:pStyle w:val="7"/>
              <w:spacing w:before="141" w:line="237" w:lineRule="auto"/>
              <w:ind w:left="291"/>
            </w:pPr>
            <w:r>
              <w:rPr>
                <w:spacing w:val="-7"/>
              </w:rPr>
              <w:t>32</w:t>
            </w:r>
          </w:p>
        </w:tc>
        <w:tc>
          <w:tcPr>
            <w:tcW w:w="1657" w:type="dxa"/>
            <w:vAlign w:val="top"/>
          </w:tcPr>
          <w:p w14:paraId="22062BBA">
            <w:pPr>
              <w:pStyle w:val="7"/>
              <w:spacing w:before="142" w:line="218" w:lineRule="auto"/>
              <w:ind w:left="514"/>
            </w:pPr>
            <w:r>
              <w:rPr>
                <w:spacing w:val="-14"/>
              </w:rPr>
              <w:t>热熔器</w:t>
            </w:r>
          </w:p>
        </w:tc>
        <w:tc>
          <w:tcPr>
            <w:tcW w:w="1559" w:type="dxa"/>
            <w:vAlign w:val="top"/>
          </w:tcPr>
          <w:p w14:paraId="034280DD">
            <w:pPr>
              <w:pStyle w:val="7"/>
              <w:spacing w:before="141" w:line="237" w:lineRule="auto"/>
              <w:ind w:left="399"/>
            </w:pPr>
            <w:r>
              <w:rPr>
                <w:spacing w:val="-9"/>
              </w:rPr>
              <w:t>GF20-63</w:t>
            </w:r>
          </w:p>
        </w:tc>
        <w:tc>
          <w:tcPr>
            <w:tcW w:w="650" w:type="dxa"/>
            <w:vAlign w:val="top"/>
          </w:tcPr>
          <w:p w14:paraId="3B789488">
            <w:pPr>
              <w:pStyle w:val="7"/>
              <w:spacing w:before="141" w:line="237" w:lineRule="auto"/>
              <w:ind w:left="274"/>
            </w:pPr>
            <w:r>
              <w:t>8</w:t>
            </w:r>
          </w:p>
        </w:tc>
        <w:tc>
          <w:tcPr>
            <w:tcW w:w="794" w:type="dxa"/>
            <w:vAlign w:val="top"/>
          </w:tcPr>
          <w:p w14:paraId="56175F25">
            <w:pPr>
              <w:pStyle w:val="7"/>
              <w:spacing w:before="141" w:line="220" w:lineRule="auto"/>
              <w:ind w:left="193"/>
            </w:pPr>
            <w:r>
              <w:rPr>
                <w:spacing w:val="-11"/>
              </w:rPr>
              <w:t>西安</w:t>
            </w:r>
          </w:p>
        </w:tc>
        <w:tc>
          <w:tcPr>
            <w:tcW w:w="794" w:type="dxa"/>
            <w:vAlign w:val="top"/>
          </w:tcPr>
          <w:p w14:paraId="5ECDA397">
            <w:pPr>
              <w:pStyle w:val="7"/>
              <w:spacing w:before="146" w:line="237" w:lineRule="auto"/>
              <w:ind w:left="186" w:leftChars="0"/>
            </w:pPr>
            <w:r>
              <w:rPr>
                <w:spacing w:val="-9"/>
              </w:rPr>
              <w:t>2022</w:t>
            </w:r>
          </w:p>
        </w:tc>
        <w:tc>
          <w:tcPr>
            <w:tcW w:w="791" w:type="dxa"/>
            <w:vAlign w:val="top"/>
          </w:tcPr>
          <w:p w14:paraId="32E346BA">
            <w:pPr>
              <w:pStyle w:val="7"/>
              <w:spacing w:before="142" w:line="236" w:lineRule="auto"/>
              <w:ind w:left="239"/>
            </w:pPr>
            <w:r>
              <w:rPr>
                <w:spacing w:val="-8"/>
              </w:rPr>
              <w:t>0.2</w:t>
            </w:r>
          </w:p>
        </w:tc>
        <w:tc>
          <w:tcPr>
            <w:tcW w:w="794" w:type="dxa"/>
            <w:vAlign w:val="top"/>
          </w:tcPr>
          <w:p w14:paraId="3DA39B8B">
            <w:pPr>
              <w:pStyle w:val="7"/>
              <w:spacing w:before="141" w:line="219" w:lineRule="auto"/>
              <w:ind w:left="228"/>
            </w:pPr>
            <w:r>
              <w:rPr>
                <w:spacing w:val="-19"/>
              </w:rPr>
              <w:t>良好</w:t>
            </w:r>
          </w:p>
        </w:tc>
        <w:tc>
          <w:tcPr>
            <w:tcW w:w="1302" w:type="dxa"/>
            <w:vAlign w:val="top"/>
          </w:tcPr>
          <w:p w14:paraId="35BF0DA6">
            <w:pPr>
              <w:pStyle w:val="7"/>
              <w:spacing w:before="141" w:line="220" w:lineRule="auto"/>
              <w:ind w:left="245"/>
            </w:pPr>
            <w:r>
              <w:rPr>
                <w:spacing w:val="-19"/>
              </w:rPr>
              <w:t>管道施工</w:t>
            </w:r>
          </w:p>
        </w:tc>
        <w:tc>
          <w:tcPr>
            <w:tcW w:w="726" w:type="dxa"/>
            <w:vMerge w:val="continue"/>
            <w:tcBorders>
              <w:top w:val="nil"/>
              <w:bottom w:val="nil"/>
              <w:right w:val="single" w:color="5B9BD5" w:sz="4" w:space="0"/>
            </w:tcBorders>
            <w:vAlign w:val="top"/>
          </w:tcPr>
          <w:p w14:paraId="76179640">
            <w:pPr>
              <w:rPr>
                <w:rFonts w:ascii="Arial"/>
                <w:sz w:val="21"/>
              </w:rPr>
            </w:pPr>
          </w:p>
        </w:tc>
      </w:tr>
      <w:tr w14:paraId="2BE9C4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5" w:hRule="atLeast"/>
        </w:trPr>
        <w:tc>
          <w:tcPr>
            <w:tcW w:w="772" w:type="dxa"/>
            <w:gridSpan w:val="2"/>
            <w:tcBorders>
              <w:left w:val="single" w:color="000000" w:sz="4" w:space="0"/>
            </w:tcBorders>
            <w:vAlign w:val="top"/>
          </w:tcPr>
          <w:p w14:paraId="11EFF2A7">
            <w:pPr>
              <w:pStyle w:val="7"/>
              <w:spacing w:before="145" w:line="237" w:lineRule="auto"/>
              <w:ind w:left="291"/>
            </w:pPr>
            <w:r>
              <w:rPr>
                <w:spacing w:val="-7"/>
              </w:rPr>
              <w:t>33</w:t>
            </w:r>
          </w:p>
        </w:tc>
        <w:tc>
          <w:tcPr>
            <w:tcW w:w="1657" w:type="dxa"/>
            <w:vAlign w:val="top"/>
          </w:tcPr>
          <w:p w14:paraId="33B5048E">
            <w:pPr>
              <w:pStyle w:val="7"/>
              <w:spacing w:before="145" w:line="218" w:lineRule="auto"/>
              <w:ind w:left="292"/>
            </w:pPr>
            <w:r>
              <w:rPr>
                <w:spacing w:val="-17"/>
              </w:rPr>
              <w:t>振动压路机</w:t>
            </w:r>
          </w:p>
        </w:tc>
        <w:tc>
          <w:tcPr>
            <w:tcW w:w="1559" w:type="dxa"/>
            <w:vAlign w:val="top"/>
          </w:tcPr>
          <w:p w14:paraId="74025B6E">
            <w:pPr>
              <w:pStyle w:val="7"/>
              <w:spacing w:before="144" w:line="222" w:lineRule="auto"/>
              <w:ind w:left="458"/>
            </w:pPr>
            <w:r>
              <w:rPr>
                <w:spacing w:val="-10"/>
              </w:rPr>
              <w:t>2Y8/10</w:t>
            </w:r>
          </w:p>
        </w:tc>
        <w:tc>
          <w:tcPr>
            <w:tcW w:w="650" w:type="dxa"/>
            <w:vAlign w:val="top"/>
          </w:tcPr>
          <w:p w14:paraId="148857C9">
            <w:pPr>
              <w:pStyle w:val="7"/>
              <w:spacing w:before="145" w:line="238" w:lineRule="auto"/>
              <w:ind w:left="276"/>
            </w:pPr>
            <w:r>
              <w:t>2</w:t>
            </w:r>
          </w:p>
        </w:tc>
        <w:tc>
          <w:tcPr>
            <w:tcW w:w="794" w:type="dxa"/>
            <w:vAlign w:val="top"/>
          </w:tcPr>
          <w:p w14:paraId="1E4DF9FF">
            <w:pPr>
              <w:pStyle w:val="7"/>
              <w:spacing w:before="145" w:line="218" w:lineRule="auto"/>
              <w:ind w:left="221"/>
            </w:pPr>
            <w:r>
              <w:rPr>
                <w:spacing w:val="-24"/>
              </w:rPr>
              <w:t>中国</w:t>
            </w:r>
          </w:p>
        </w:tc>
        <w:tc>
          <w:tcPr>
            <w:tcW w:w="794" w:type="dxa"/>
            <w:vAlign w:val="top"/>
          </w:tcPr>
          <w:p w14:paraId="10008B4D">
            <w:pPr>
              <w:pStyle w:val="7"/>
              <w:spacing w:before="145" w:line="237" w:lineRule="auto"/>
              <w:ind w:left="186" w:leftChars="0"/>
            </w:pPr>
            <w:r>
              <w:rPr>
                <w:spacing w:val="-9"/>
              </w:rPr>
              <w:t>202</w:t>
            </w:r>
            <w:r>
              <w:rPr>
                <w:rFonts w:hint="eastAsia"/>
                <w:spacing w:val="-9"/>
                <w:lang w:val="en-US" w:eastAsia="zh-CN"/>
              </w:rPr>
              <w:t>1</w:t>
            </w:r>
          </w:p>
        </w:tc>
        <w:tc>
          <w:tcPr>
            <w:tcW w:w="791" w:type="dxa"/>
            <w:vAlign w:val="top"/>
          </w:tcPr>
          <w:p w14:paraId="79961372">
            <w:pPr>
              <w:pStyle w:val="7"/>
              <w:spacing w:before="188" w:line="179" w:lineRule="auto"/>
              <w:ind w:left="146"/>
            </w:pPr>
            <w:r>
              <w:rPr>
                <w:spacing w:val="-12"/>
              </w:rPr>
              <w:t>150KW</w:t>
            </w:r>
          </w:p>
        </w:tc>
        <w:tc>
          <w:tcPr>
            <w:tcW w:w="794" w:type="dxa"/>
            <w:vAlign w:val="top"/>
          </w:tcPr>
          <w:p w14:paraId="2DB32A94">
            <w:pPr>
              <w:pStyle w:val="7"/>
              <w:spacing w:before="144" w:line="219" w:lineRule="auto"/>
              <w:ind w:left="228"/>
            </w:pPr>
            <w:r>
              <w:rPr>
                <w:spacing w:val="-19"/>
              </w:rPr>
              <w:t>良好</w:t>
            </w:r>
          </w:p>
        </w:tc>
        <w:tc>
          <w:tcPr>
            <w:tcW w:w="1302" w:type="dxa"/>
            <w:vAlign w:val="top"/>
          </w:tcPr>
          <w:p w14:paraId="712E76BC">
            <w:pPr>
              <w:pStyle w:val="7"/>
              <w:spacing w:before="144" w:line="219" w:lineRule="auto"/>
              <w:ind w:left="230"/>
            </w:pPr>
            <w:r>
              <w:rPr>
                <w:spacing w:val="-15"/>
              </w:rPr>
              <w:t>路基碾压</w:t>
            </w:r>
          </w:p>
        </w:tc>
        <w:tc>
          <w:tcPr>
            <w:tcW w:w="726" w:type="dxa"/>
            <w:vMerge w:val="continue"/>
            <w:tcBorders>
              <w:top w:val="nil"/>
              <w:bottom w:val="nil"/>
              <w:right w:val="single" w:color="5B9BD5" w:sz="4" w:space="0"/>
            </w:tcBorders>
            <w:vAlign w:val="top"/>
          </w:tcPr>
          <w:p w14:paraId="3B06A393">
            <w:pPr>
              <w:rPr>
                <w:rFonts w:ascii="Arial"/>
                <w:sz w:val="21"/>
              </w:rPr>
            </w:pPr>
          </w:p>
        </w:tc>
      </w:tr>
      <w:tr w14:paraId="00FEEC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3" w:hRule="atLeast"/>
        </w:trPr>
        <w:tc>
          <w:tcPr>
            <w:tcW w:w="772" w:type="dxa"/>
            <w:gridSpan w:val="2"/>
            <w:tcBorders>
              <w:left w:val="single" w:color="000000" w:sz="4" w:space="0"/>
            </w:tcBorders>
            <w:vAlign w:val="top"/>
          </w:tcPr>
          <w:p w14:paraId="1C3996AF">
            <w:pPr>
              <w:pStyle w:val="7"/>
              <w:spacing w:before="143" w:line="237" w:lineRule="auto"/>
              <w:ind w:left="291"/>
            </w:pPr>
            <w:r>
              <w:rPr>
                <w:spacing w:val="-7"/>
              </w:rPr>
              <w:t>34</w:t>
            </w:r>
          </w:p>
        </w:tc>
        <w:tc>
          <w:tcPr>
            <w:tcW w:w="1657" w:type="dxa"/>
            <w:vAlign w:val="top"/>
          </w:tcPr>
          <w:p w14:paraId="1EECF8D7">
            <w:pPr>
              <w:pStyle w:val="7"/>
              <w:spacing w:before="144" w:line="215" w:lineRule="auto"/>
              <w:ind w:left="298"/>
            </w:pPr>
            <w:r>
              <w:rPr>
                <w:spacing w:val="-18"/>
              </w:rPr>
              <w:t>光轮压路机</w:t>
            </w:r>
          </w:p>
        </w:tc>
        <w:tc>
          <w:tcPr>
            <w:tcW w:w="1559" w:type="dxa"/>
            <w:vAlign w:val="top"/>
          </w:tcPr>
          <w:p w14:paraId="4B0EA949">
            <w:pPr>
              <w:pStyle w:val="7"/>
              <w:spacing w:before="143" w:line="237" w:lineRule="auto"/>
              <w:ind w:left="398"/>
            </w:pPr>
            <w:r>
              <w:rPr>
                <w:spacing w:val="-9"/>
              </w:rPr>
              <w:t>YZ18J-3</w:t>
            </w:r>
          </w:p>
        </w:tc>
        <w:tc>
          <w:tcPr>
            <w:tcW w:w="650" w:type="dxa"/>
            <w:vAlign w:val="top"/>
          </w:tcPr>
          <w:p w14:paraId="47FAFA87">
            <w:pPr>
              <w:pStyle w:val="7"/>
              <w:spacing w:before="144" w:line="238" w:lineRule="auto"/>
              <w:ind w:left="276"/>
            </w:pPr>
            <w:r>
              <w:t>2</w:t>
            </w:r>
          </w:p>
        </w:tc>
        <w:tc>
          <w:tcPr>
            <w:tcW w:w="794" w:type="dxa"/>
            <w:vAlign w:val="top"/>
          </w:tcPr>
          <w:p w14:paraId="5871D7FB">
            <w:pPr>
              <w:pStyle w:val="7"/>
              <w:spacing w:before="144" w:line="218" w:lineRule="auto"/>
              <w:ind w:left="221"/>
            </w:pPr>
            <w:r>
              <w:rPr>
                <w:spacing w:val="-18"/>
              </w:rPr>
              <w:t>中国</w:t>
            </w:r>
          </w:p>
        </w:tc>
        <w:tc>
          <w:tcPr>
            <w:tcW w:w="794" w:type="dxa"/>
            <w:vAlign w:val="top"/>
          </w:tcPr>
          <w:p w14:paraId="16FB4D34">
            <w:pPr>
              <w:pStyle w:val="7"/>
              <w:spacing w:before="146" w:line="237" w:lineRule="auto"/>
              <w:ind w:left="186" w:leftChars="0"/>
            </w:pPr>
            <w:r>
              <w:rPr>
                <w:spacing w:val="-9"/>
              </w:rPr>
              <w:t>2022</w:t>
            </w:r>
          </w:p>
        </w:tc>
        <w:tc>
          <w:tcPr>
            <w:tcW w:w="791" w:type="dxa"/>
            <w:vAlign w:val="top"/>
          </w:tcPr>
          <w:p w14:paraId="0925B036">
            <w:pPr>
              <w:pStyle w:val="7"/>
              <w:spacing w:before="187" w:line="179" w:lineRule="auto"/>
              <w:ind w:left="199"/>
            </w:pPr>
            <w:r>
              <w:rPr>
                <w:spacing w:val="-13"/>
              </w:rPr>
              <w:t>150K</w:t>
            </w:r>
          </w:p>
        </w:tc>
        <w:tc>
          <w:tcPr>
            <w:tcW w:w="794" w:type="dxa"/>
            <w:vAlign w:val="top"/>
          </w:tcPr>
          <w:p w14:paraId="1AB5FF21">
            <w:pPr>
              <w:pStyle w:val="7"/>
              <w:spacing w:before="143" w:line="219" w:lineRule="auto"/>
              <w:ind w:left="228"/>
            </w:pPr>
            <w:r>
              <w:rPr>
                <w:spacing w:val="-19"/>
              </w:rPr>
              <w:t>良好</w:t>
            </w:r>
          </w:p>
        </w:tc>
        <w:tc>
          <w:tcPr>
            <w:tcW w:w="1302" w:type="dxa"/>
            <w:vAlign w:val="top"/>
          </w:tcPr>
          <w:p w14:paraId="532736F4">
            <w:pPr>
              <w:pStyle w:val="7"/>
              <w:spacing w:before="143" w:line="219" w:lineRule="auto"/>
              <w:ind w:left="230"/>
            </w:pPr>
            <w:r>
              <w:rPr>
                <w:spacing w:val="-15"/>
              </w:rPr>
              <w:t>路基碾压</w:t>
            </w:r>
          </w:p>
        </w:tc>
        <w:tc>
          <w:tcPr>
            <w:tcW w:w="726" w:type="dxa"/>
            <w:vMerge w:val="continue"/>
            <w:tcBorders>
              <w:top w:val="nil"/>
              <w:bottom w:val="nil"/>
              <w:right w:val="single" w:color="5B9BD5" w:sz="4" w:space="0"/>
            </w:tcBorders>
            <w:vAlign w:val="top"/>
          </w:tcPr>
          <w:p w14:paraId="7D8A810F">
            <w:pPr>
              <w:rPr>
                <w:rFonts w:ascii="Arial"/>
                <w:sz w:val="21"/>
              </w:rPr>
            </w:pPr>
          </w:p>
        </w:tc>
      </w:tr>
      <w:tr w14:paraId="314005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5" w:hRule="atLeast"/>
        </w:trPr>
        <w:tc>
          <w:tcPr>
            <w:tcW w:w="772" w:type="dxa"/>
            <w:gridSpan w:val="2"/>
            <w:tcBorders>
              <w:left w:val="single" w:color="000000" w:sz="4" w:space="0"/>
            </w:tcBorders>
            <w:vAlign w:val="top"/>
          </w:tcPr>
          <w:p w14:paraId="213A52BD">
            <w:pPr>
              <w:pStyle w:val="7"/>
              <w:spacing w:before="147" w:line="237" w:lineRule="auto"/>
              <w:ind w:left="291"/>
            </w:pPr>
            <w:r>
              <w:rPr>
                <w:spacing w:val="-7"/>
              </w:rPr>
              <w:t>35</w:t>
            </w:r>
          </w:p>
        </w:tc>
        <w:tc>
          <w:tcPr>
            <w:tcW w:w="1657" w:type="dxa"/>
            <w:vAlign w:val="top"/>
          </w:tcPr>
          <w:p w14:paraId="5BCA9BB5">
            <w:pPr>
              <w:pStyle w:val="7"/>
              <w:spacing w:before="147" w:line="215" w:lineRule="auto"/>
              <w:ind w:left="293"/>
            </w:pPr>
            <w:r>
              <w:rPr>
                <w:spacing w:val="-17"/>
              </w:rPr>
              <w:t>胶轮压路机</w:t>
            </w:r>
          </w:p>
        </w:tc>
        <w:tc>
          <w:tcPr>
            <w:tcW w:w="1559" w:type="dxa"/>
            <w:vAlign w:val="top"/>
          </w:tcPr>
          <w:p w14:paraId="75E1930B">
            <w:pPr>
              <w:pStyle w:val="7"/>
              <w:spacing w:before="147" w:line="237" w:lineRule="auto"/>
              <w:ind w:left="398"/>
            </w:pPr>
            <w:r>
              <w:rPr>
                <w:spacing w:val="-9"/>
              </w:rPr>
              <w:t>YZ18J-3</w:t>
            </w:r>
          </w:p>
        </w:tc>
        <w:tc>
          <w:tcPr>
            <w:tcW w:w="650" w:type="dxa"/>
            <w:vAlign w:val="top"/>
          </w:tcPr>
          <w:p w14:paraId="3C14A945">
            <w:pPr>
              <w:pStyle w:val="7"/>
              <w:spacing w:before="147" w:line="238" w:lineRule="auto"/>
              <w:ind w:left="276"/>
            </w:pPr>
            <w:r>
              <w:t>2</w:t>
            </w:r>
          </w:p>
        </w:tc>
        <w:tc>
          <w:tcPr>
            <w:tcW w:w="794" w:type="dxa"/>
            <w:vAlign w:val="top"/>
          </w:tcPr>
          <w:p w14:paraId="27B0F627">
            <w:pPr>
              <w:pStyle w:val="7"/>
              <w:spacing w:before="147" w:line="218" w:lineRule="auto"/>
              <w:ind w:left="221"/>
            </w:pPr>
            <w:r>
              <w:rPr>
                <w:spacing w:val="-24"/>
              </w:rPr>
              <w:t>中国</w:t>
            </w:r>
          </w:p>
        </w:tc>
        <w:tc>
          <w:tcPr>
            <w:tcW w:w="794" w:type="dxa"/>
            <w:vAlign w:val="top"/>
          </w:tcPr>
          <w:p w14:paraId="72D5BB65">
            <w:pPr>
              <w:pStyle w:val="7"/>
              <w:spacing w:before="145" w:line="237" w:lineRule="auto"/>
              <w:ind w:left="186" w:leftChars="0"/>
            </w:pPr>
            <w:r>
              <w:rPr>
                <w:spacing w:val="-9"/>
              </w:rPr>
              <w:t>202</w:t>
            </w:r>
            <w:r>
              <w:rPr>
                <w:rFonts w:hint="eastAsia"/>
                <w:spacing w:val="-9"/>
                <w:lang w:val="en-US" w:eastAsia="zh-CN"/>
              </w:rPr>
              <w:t>1</w:t>
            </w:r>
          </w:p>
        </w:tc>
        <w:tc>
          <w:tcPr>
            <w:tcW w:w="791" w:type="dxa"/>
            <w:vAlign w:val="top"/>
          </w:tcPr>
          <w:p w14:paraId="407CA9E0">
            <w:pPr>
              <w:pStyle w:val="7"/>
              <w:spacing w:before="190" w:line="179" w:lineRule="auto"/>
              <w:ind w:left="199"/>
            </w:pPr>
            <w:r>
              <w:rPr>
                <w:spacing w:val="-13"/>
              </w:rPr>
              <w:t>150K</w:t>
            </w:r>
          </w:p>
        </w:tc>
        <w:tc>
          <w:tcPr>
            <w:tcW w:w="794" w:type="dxa"/>
            <w:vAlign w:val="top"/>
          </w:tcPr>
          <w:p w14:paraId="1FF3F86E">
            <w:pPr>
              <w:pStyle w:val="7"/>
              <w:spacing w:before="146" w:line="219" w:lineRule="auto"/>
              <w:ind w:left="228"/>
            </w:pPr>
            <w:r>
              <w:rPr>
                <w:spacing w:val="-19"/>
              </w:rPr>
              <w:t>良好</w:t>
            </w:r>
          </w:p>
        </w:tc>
        <w:tc>
          <w:tcPr>
            <w:tcW w:w="1302" w:type="dxa"/>
            <w:vAlign w:val="top"/>
          </w:tcPr>
          <w:p w14:paraId="20AB48E7">
            <w:pPr>
              <w:pStyle w:val="7"/>
              <w:spacing w:before="146" w:line="219" w:lineRule="auto"/>
              <w:ind w:left="230"/>
            </w:pPr>
            <w:r>
              <w:rPr>
                <w:spacing w:val="-15"/>
              </w:rPr>
              <w:t>路面碾压</w:t>
            </w:r>
          </w:p>
        </w:tc>
        <w:tc>
          <w:tcPr>
            <w:tcW w:w="726" w:type="dxa"/>
            <w:vMerge w:val="continue"/>
            <w:tcBorders>
              <w:top w:val="nil"/>
              <w:bottom w:val="nil"/>
              <w:right w:val="single" w:color="5B9BD5" w:sz="4" w:space="0"/>
            </w:tcBorders>
            <w:vAlign w:val="top"/>
          </w:tcPr>
          <w:p w14:paraId="0321B380">
            <w:pPr>
              <w:rPr>
                <w:rFonts w:ascii="Arial"/>
                <w:sz w:val="21"/>
              </w:rPr>
            </w:pPr>
          </w:p>
        </w:tc>
      </w:tr>
      <w:tr w14:paraId="01329C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3" w:hRule="atLeast"/>
        </w:trPr>
        <w:tc>
          <w:tcPr>
            <w:tcW w:w="772" w:type="dxa"/>
            <w:gridSpan w:val="2"/>
            <w:tcBorders>
              <w:left w:val="single" w:color="000000" w:sz="4" w:space="0"/>
              <w:bottom w:val="single" w:color="000000" w:sz="4" w:space="0"/>
            </w:tcBorders>
            <w:vAlign w:val="top"/>
          </w:tcPr>
          <w:p w14:paraId="674FA404">
            <w:pPr>
              <w:pStyle w:val="7"/>
              <w:spacing w:before="145" w:line="237" w:lineRule="auto"/>
              <w:ind w:left="291"/>
            </w:pPr>
            <w:r>
              <w:rPr>
                <w:spacing w:val="-7"/>
              </w:rPr>
              <w:t>36</w:t>
            </w:r>
          </w:p>
        </w:tc>
        <w:tc>
          <w:tcPr>
            <w:tcW w:w="1657" w:type="dxa"/>
            <w:tcBorders>
              <w:bottom w:val="single" w:color="000000" w:sz="4" w:space="0"/>
            </w:tcBorders>
            <w:vAlign w:val="top"/>
          </w:tcPr>
          <w:p w14:paraId="121F809D">
            <w:pPr>
              <w:pStyle w:val="7"/>
              <w:spacing w:before="146" w:line="218" w:lineRule="auto"/>
              <w:ind w:left="296"/>
            </w:pPr>
            <w:r>
              <w:rPr>
                <w:spacing w:val="-18"/>
              </w:rPr>
              <w:t>沥青摊铺机</w:t>
            </w:r>
          </w:p>
        </w:tc>
        <w:tc>
          <w:tcPr>
            <w:tcW w:w="1559" w:type="dxa"/>
            <w:tcBorders>
              <w:bottom w:val="single" w:color="000000" w:sz="4" w:space="0"/>
            </w:tcBorders>
            <w:vAlign w:val="top"/>
          </w:tcPr>
          <w:p w14:paraId="5540FEF5">
            <w:pPr>
              <w:pStyle w:val="7"/>
              <w:spacing w:before="189" w:line="179" w:lineRule="auto"/>
              <w:ind w:left="292"/>
            </w:pPr>
            <w:r>
              <w:rPr>
                <w:spacing w:val="-10"/>
              </w:rPr>
              <w:t>SUPER1900</w:t>
            </w:r>
          </w:p>
        </w:tc>
        <w:tc>
          <w:tcPr>
            <w:tcW w:w="650" w:type="dxa"/>
            <w:tcBorders>
              <w:bottom w:val="single" w:color="000000" w:sz="4" w:space="0"/>
            </w:tcBorders>
            <w:vAlign w:val="top"/>
          </w:tcPr>
          <w:p w14:paraId="7EB2A8C0">
            <w:pPr>
              <w:pStyle w:val="7"/>
              <w:spacing w:before="146" w:line="238" w:lineRule="auto"/>
              <w:ind w:left="276"/>
            </w:pPr>
            <w:r>
              <w:t>2</w:t>
            </w:r>
          </w:p>
        </w:tc>
        <w:tc>
          <w:tcPr>
            <w:tcW w:w="794" w:type="dxa"/>
            <w:tcBorders>
              <w:bottom w:val="single" w:color="000000" w:sz="4" w:space="0"/>
            </w:tcBorders>
            <w:vAlign w:val="top"/>
          </w:tcPr>
          <w:p w14:paraId="4E353789">
            <w:pPr>
              <w:pStyle w:val="7"/>
              <w:spacing w:before="145" w:line="220" w:lineRule="auto"/>
              <w:ind w:left="217"/>
            </w:pPr>
            <w:r>
              <w:rPr>
                <w:spacing w:val="-17"/>
              </w:rPr>
              <w:t>国产</w:t>
            </w:r>
          </w:p>
        </w:tc>
        <w:tc>
          <w:tcPr>
            <w:tcW w:w="794" w:type="dxa"/>
            <w:tcBorders>
              <w:bottom w:val="single" w:color="000000" w:sz="4" w:space="0"/>
            </w:tcBorders>
            <w:vAlign w:val="top"/>
          </w:tcPr>
          <w:p w14:paraId="7CBB3084">
            <w:pPr>
              <w:pStyle w:val="7"/>
              <w:spacing w:before="146" w:line="237" w:lineRule="auto"/>
              <w:ind w:left="186" w:leftChars="0"/>
            </w:pPr>
            <w:r>
              <w:rPr>
                <w:spacing w:val="-9"/>
              </w:rPr>
              <w:t>2022</w:t>
            </w:r>
          </w:p>
        </w:tc>
        <w:tc>
          <w:tcPr>
            <w:tcW w:w="791" w:type="dxa"/>
            <w:tcBorders>
              <w:bottom w:val="single" w:color="000000" w:sz="4" w:space="0"/>
            </w:tcBorders>
            <w:vAlign w:val="top"/>
          </w:tcPr>
          <w:p w14:paraId="66FF8752">
            <w:pPr>
              <w:rPr>
                <w:rFonts w:ascii="Arial"/>
                <w:sz w:val="21"/>
              </w:rPr>
            </w:pPr>
          </w:p>
        </w:tc>
        <w:tc>
          <w:tcPr>
            <w:tcW w:w="794" w:type="dxa"/>
            <w:tcBorders>
              <w:bottom w:val="single" w:color="000000" w:sz="4" w:space="0"/>
            </w:tcBorders>
            <w:vAlign w:val="top"/>
          </w:tcPr>
          <w:p w14:paraId="156A72B5">
            <w:pPr>
              <w:pStyle w:val="7"/>
              <w:spacing w:before="145" w:line="237" w:lineRule="auto"/>
              <w:ind w:left="296"/>
            </w:pPr>
            <w:r>
              <w:rPr>
                <w:spacing w:val="-6"/>
              </w:rPr>
              <w:t>9m</w:t>
            </w:r>
          </w:p>
        </w:tc>
        <w:tc>
          <w:tcPr>
            <w:tcW w:w="1302" w:type="dxa"/>
            <w:tcBorders>
              <w:bottom w:val="single" w:color="000000" w:sz="4" w:space="0"/>
            </w:tcBorders>
            <w:vAlign w:val="top"/>
          </w:tcPr>
          <w:p w14:paraId="1C76A05E">
            <w:pPr>
              <w:pStyle w:val="7"/>
              <w:spacing w:before="145" w:line="219" w:lineRule="auto"/>
              <w:ind w:left="449"/>
            </w:pPr>
            <w:r>
              <w:rPr>
                <w:spacing w:val="-10"/>
              </w:rPr>
              <w:t>道路</w:t>
            </w:r>
          </w:p>
        </w:tc>
        <w:tc>
          <w:tcPr>
            <w:tcW w:w="726" w:type="dxa"/>
            <w:vMerge w:val="continue"/>
            <w:tcBorders>
              <w:top w:val="nil"/>
              <w:bottom w:val="nil"/>
              <w:right w:val="single" w:color="5B9BD5" w:sz="4" w:space="0"/>
            </w:tcBorders>
            <w:vAlign w:val="top"/>
          </w:tcPr>
          <w:p w14:paraId="6296FDAC">
            <w:pPr>
              <w:rPr>
                <w:rFonts w:ascii="Arial"/>
                <w:sz w:val="21"/>
              </w:rPr>
            </w:pPr>
          </w:p>
        </w:tc>
      </w:tr>
      <w:tr w14:paraId="619B23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1" w:hRule="atLeast"/>
        </w:trPr>
        <w:tc>
          <w:tcPr>
            <w:tcW w:w="772" w:type="dxa"/>
            <w:gridSpan w:val="2"/>
            <w:tcBorders>
              <w:top w:val="single" w:color="000000" w:sz="4" w:space="0"/>
              <w:left w:val="single" w:color="000000" w:sz="4" w:space="0"/>
            </w:tcBorders>
            <w:vAlign w:val="top"/>
          </w:tcPr>
          <w:p w14:paraId="0E7172C3">
            <w:pPr>
              <w:pStyle w:val="7"/>
              <w:spacing w:before="144" w:line="237" w:lineRule="auto"/>
              <w:ind w:left="291"/>
            </w:pPr>
            <w:r>
              <w:rPr>
                <w:spacing w:val="-7"/>
              </w:rPr>
              <w:t>37</w:t>
            </w:r>
          </w:p>
        </w:tc>
        <w:tc>
          <w:tcPr>
            <w:tcW w:w="1657" w:type="dxa"/>
            <w:tcBorders>
              <w:top w:val="single" w:color="000000" w:sz="4" w:space="0"/>
            </w:tcBorders>
            <w:vAlign w:val="top"/>
          </w:tcPr>
          <w:p w14:paraId="1FDA11E7">
            <w:pPr>
              <w:pStyle w:val="7"/>
              <w:spacing w:before="145" w:line="215" w:lineRule="auto"/>
              <w:ind w:left="296"/>
            </w:pPr>
            <w:r>
              <w:rPr>
                <w:spacing w:val="-18"/>
              </w:rPr>
              <w:t>沥青洒布车</w:t>
            </w:r>
          </w:p>
        </w:tc>
        <w:tc>
          <w:tcPr>
            <w:tcW w:w="1559" w:type="dxa"/>
            <w:tcBorders>
              <w:top w:val="single" w:color="000000" w:sz="4" w:space="0"/>
            </w:tcBorders>
            <w:vAlign w:val="top"/>
          </w:tcPr>
          <w:p w14:paraId="1710CE36">
            <w:pPr>
              <w:pStyle w:val="7"/>
              <w:spacing w:before="187" w:line="179" w:lineRule="auto"/>
              <w:ind w:left="345"/>
            </w:pPr>
            <w:r>
              <w:rPr>
                <w:spacing w:val="-10"/>
              </w:rPr>
              <w:t>CZL513GL</w:t>
            </w:r>
          </w:p>
        </w:tc>
        <w:tc>
          <w:tcPr>
            <w:tcW w:w="650" w:type="dxa"/>
            <w:tcBorders>
              <w:top w:val="single" w:color="000000" w:sz="4" w:space="0"/>
            </w:tcBorders>
            <w:vAlign w:val="top"/>
          </w:tcPr>
          <w:p w14:paraId="64F0F4AD">
            <w:pPr>
              <w:pStyle w:val="7"/>
              <w:spacing w:before="145" w:line="238" w:lineRule="auto"/>
              <w:ind w:left="276"/>
            </w:pPr>
            <w:r>
              <w:t>2</w:t>
            </w:r>
          </w:p>
        </w:tc>
        <w:tc>
          <w:tcPr>
            <w:tcW w:w="794" w:type="dxa"/>
            <w:tcBorders>
              <w:top w:val="single" w:color="000000" w:sz="4" w:space="0"/>
            </w:tcBorders>
            <w:vAlign w:val="top"/>
          </w:tcPr>
          <w:p w14:paraId="381D02CA">
            <w:pPr>
              <w:pStyle w:val="7"/>
              <w:spacing w:before="144" w:line="220" w:lineRule="auto"/>
              <w:ind w:left="217"/>
            </w:pPr>
            <w:r>
              <w:rPr>
                <w:spacing w:val="-17"/>
              </w:rPr>
              <w:t>国产</w:t>
            </w:r>
          </w:p>
        </w:tc>
        <w:tc>
          <w:tcPr>
            <w:tcW w:w="794" w:type="dxa"/>
            <w:tcBorders>
              <w:top w:val="single" w:color="000000" w:sz="4" w:space="0"/>
            </w:tcBorders>
            <w:vAlign w:val="top"/>
          </w:tcPr>
          <w:p w14:paraId="752008EF">
            <w:pPr>
              <w:pStyle w:val="7"/>
              <w:spacing w:before="145" w:line="237" w:lineRule="auto"/>
              <w:ind w:left="186" w:leftChars="0"/>
            </w:pPr>
            <w:r>
              <w:rPr>
                <w:spacing w:val="-9"/>
              </w:rPr>
              <w:t>202</w:t>
            </w:r>
            <w:r>
              <w:rPr>
                <w:rFonts w:hint="eastAsia"/>
                <w:spacing w:val="-9"/>
                <w:lang w:val="en-US" w:eastAsia="zh-CN"/>
              </w:rPr>
              <w:t>1</w:t>
            </w:r>
          </w:p>
        </w:tc>
        <w:tc>
          <w:tcPr>
            <w:tcW w:w="791" w:type="dxa"/>
            <w:tcBorders>
              <w:top w:val="single" w:color="000000" w:sz="4" w:space="0"/>
            </w:tcBorders>
            <w:vAlign w:val="top"/>
          </w:tcPr>
          <w:p w14:paraId="52072C38">
            <w:pPr>
              <w:rPr>
                <w:rFonts w:ascii="Arial"/>
                <w:sz w:val="21"/>
              </w:rPr>
            </w:pPr>
          </w:p>
        </w:tc>
        <w:tc>
          <w:tcPr>
            <w:tcW w:w="794" w:type="dxa"/>
            <w:tcBorders>
              <w:top w:val="single" w:color="000000" w:sz="4" w:space="0"/>
            </w:tcBorders>
            <w:vAlign w:val="top"/>
          </w:tcPr>
          <w:p w14:paraId="02EFE161">
            <w:pPr>
              <w:rPr>
                <w:rFonts w:ascii="Arial"/>
                <w:sz w:val="21"/>
              </w:rPr>
            </w:pPr>
          </w:p>
        </w:tc>
        <w:tc>
          <w:tcPr>
            <w:tcW w:w="1302" w:type="dxa"/>
            <w:tcBorders>
              <w:top w:val="single" w:color="000000" w:sz="4" w:space="0"/>
            </w:tcBorders>
            <w:vAlign w:val="top"/>
          </w:tcPr>
          <w:p w14:paraId="5B8F518B">
            <w:pPr>
              <w:pStyle w:val="7"/>
              <w:spacing w:before="144" w:line="219" w:lineRule="auto"/>
              <w:ind w:left="449"/>
            </w:pPr>
            <w:r>
              <w:rPr>
                <w:spacing w:val="-10"/>
              </w:rPr>
              <w:t>道路</w:t>
            </w:r>
          </w:p>
        </w:tc>
        <w:tc>
          <w:tcPr>
            <w:tcW w:w="726" w:type="dxa"/>
            <w:vMerge w:val="continue"/>
            <w:tcBorders>
              <w:top w:val="nil"/>
              <w:bottom w:val="nil"/>
              <w:right w:val="single" w:color="5B9BD5" w:sz="4" w:space="0"/>
            </w:tcBorders>
            <w:vAlign w:val="top"/>
          </w:tcPr>
          <w:p w14:paraId="2208AF46">
            <w:pPr>
              <w:rPr>
                <w:rFonts w:ascii="Arial"/>
                <w:sz w:val="21"/>
              </w:rPr>
            </w:pPr>
          </w:p>
        </w:tc>
      </w:tr>
      <w:tr w14:paraId="5FBA8D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3" w:hRule="atLeast"/>
        </w:trPr>
        <w:tc>
          <w:tcPr>
            <w:tcW w:w="772" w:type="dxa"/>
            <w:gridSpan w:val="2"/>
            <w:tcBorders>
              <w:left w:val="single" w:color="000000" w:sz="4" w:space="0"/>
            </w:tcBorders>
            <w:vAlign w:val="top"/>
          </w:tcPr>
          <w:p w14:paraId="45A3618A">
            <w:pPr>
              <w:pStyle w:val="7"/>
              <w:spacing w:before="147" w:line="237" w:lineRule="auto"/>
              <w:ind w:left="291"/>
            </w:pPr>
            <w:r>
              <w:rPr>
                <w:spacing w:val="-7"/>
              </w:rPr>
              <w:t>38</w:t>
            </w:r>
          </w:p>
        </w:tc>
        <w:tc>
          <w:tcPr>
            <w:tcW w:w="1657" w:type="dxa"/>
            <w:vAlign w:val="top"/>
          </w:tcPr>
          <w:p w14:paraId="5CEA39B0">
            <w:pPr>
              <w:pStyle w:val="7"/>
              <w:spacing w:before="147" w:line="216" w:lineRule="auto"/>
              <w:ind w:left="294"/>
            </w:pPr>
            <w:r>
              <w:rPr>
                <w:spacing w:val="-17"/>
              </w:rPr>
              <w:t>轴流通风机</w:t>
            </w:r>
          </w:p>
        </w:tc>
        <w:tc>
          <w:tcPr>
            <w:tcW w:w="1559" w:type="dxa"/>
            <w:vAlign w:val="top"/>
          </w:tcPr>
          <w:p w14:paraId="5116AD5F">
            <w:pPr>
              <w:pStyle w:val="7"/>
              <w:spacing w:before="147" w:line="236" w:lineRule="auto"/>
              <w:ind w:left="513"/>
            </w:pPr>
            <w:r>
              <w:rPr>
                <w:spacing w:val="-9"/>
              </w:rPr>
              <w:t>2.2kw</w:t>
            </w:r>
          </w:p>
        </w:tc>
        <w:tc>
          <w:tcPr>
            <w:tcW w:w="650" w:type="dxa"/>
            <w:vAlign w:val="top"/>
          </w:tcPr>
          <w:p w14:paraId="42C6BB6F">
            <w:pPr>
              <w:pStyle w:val="7"/>
              <w:spacing w:before="147" w:line="237" w:lineRule="auto"/>
              <w:ind w:left="278"/>
            </w:pPr>
            <w:r>
              <w:t>5</w:t>
            </w:r>
          </w:p>
        </w:tc>
        <w:tc>
          <w:tcPr>
            <w:tcW w:w="794" w:type="dxa"/>
            <w:vAlign w:val="top"/>
          </w:tcPr>
          <w:p w14:paraId="07093C56">
            <w:pPr>
              <w:pStyle w:val="7"/>
              <w:spacing w:before="147" w:line="218" w:lineRule="auto"/>
              <w:ind w:left="221"/>
            </w:pPr>
            <w:r>
              <w:rPr>
                <w:spacing w:val="-18"/>
              </w:rPr>
              <w:t>中国</w:t>
            </w:r>
          </w:p>
        </w:tc>
        <w:tc>
          <w:tcPr>
            <w:tcW w:w="794" w:type="dxa"/>
            <w:vAlign w:val="top"/>
          </w:tcPr>
          <w:p w14:paraId="439791B9">
            <w:pPr>
              <w:pStyle w:val="7"/>
              <w:spacing w:before="146" w:line="237" w:lineRule="auto"/>
              <w:ind w:left="186" w:leftChars="0"/>
            </w:pPr>
            <w:r>
              <w:rPr>
                <w:spacing w:val="-9"/>
              </w:rPr>
              <w:t>2022</w:t>
            </w:r>
          </w:p>
        </w:tc>
        <w:tc>
          <w:tcPr>
            <w:tcW w:w="791" w:type="dxa"/>
            <w:vAlign w:val="top"/>
          </w:tcPr>
          <w:p w14:paraId="67AF9C93">
            <w:pPr>
              <w:rPr>
                <w:rFonts w:ascii="Arial"/>
                <w:sz w:val="21"/>
              </w:rPr>
            </w:pPr>
          </w:p>
        </w:tc>
        <w:tc>
          <w:tcPr>
            <w:tcW w:w="794" w:type="dxa"/>
            <w:vAlign w:val="top"/>
          </w:tcPr>
          <w:p w14:paraId="33F4173A">
            <w:pPr>
              <w:pStyle w:val="7"/>
              <w:spacing w:before="147" w:line="219" w:lineRule="auto"/>
              <w:ind w:left="228"/>
            </w:pPr>
            <w:r>
              <w:rPr>
                <w:spacing w:val="-19"/>
              </w:rPr>
              <w:t>良好</w:t>
            </w:r>
          </w:p>
        </w:tc>
        <w:tc>
          <w:tcPr>
            <w:tcW w:w="1302" w:type="dxa"/>
            <w:vAlign w:val="top"/>
          </w:tcPr>
          <w:p w14:paraId="56F5FCAE">
            <w:pPr>
              <w:pStyle w:val="7"/>
              <w:spacing w:before="147" w:line="219" w:lineRule="auto"/>
              <w:ind w:left="245"/>
            </w:pPr>
            <w:r>
              <w:rPr>
                <w:spacing w:val="-19"/>
              </w:rPr>
              <w:t>管道工程</w:t>
            </w:r>
          </w:p>
        </w:tc>
        <w:tc>
          <w:tcPr>
            <w:tcW w:w="726" w:type="dxa"/>
            <w:vMerge w:val="continue"/>
            <w:tcBorders>
              <w:top w:val="nil"/>
              <w:bottom w:val="nil"/>
              <w:right w:val="single" w:color="5B9BD5" w:sz="4" w:space="0"/>
            </w:tcBorders>
            <w:vAlign w:val="top"/>
          </w:tcPr>
          <w:p w14:paraId="623B115B">
            <w:pPr>
              <w:rPr>
                <w:rFonts w:ascii="Arial"/>
                <w:sz w:val="21"/>
              </w:rPr>
            </w:pPr>
          </w:p>
        </w:tc>
      </w:tr>
      <w:tr w14:paraId="2C2210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5" w:hRule="atLeast"/>
        </w:trPr>
        <w:tc>
          <w:tcPr>
            <w:tcW w:w="772" w:type="dxa"/>
            <w:gridSpan w:val="2"/>
            <w:tcBorders>
              <w:left w:val="single" w:color="000000" w:sz="4" w:space="0"/>
            </w:tcBorders>
            <w:vAlign w:val="top"/>
          </w:tcPr>
          <w:p w14:paraId="3A55648D">
            <w:pPr>
              <w:pStyle w:val="7"/>
              <w:spacing w:before="150" w:line="237" w:lineRule="auto"/>
              <w:ind w:left="291"/>
            </w:pPr>
            <w:r>
              <w:rPr>
                <w:spacing w:val="-7"/>
              </w:rPr>
              <w:t>39</w:t>
            </w:r>
          </w:p>
        </w:tc>
        <w:tc>
          <w:tcPr>
            <w:tcW w:w="1657" w:type="dxa"/>
            <w:vAlign w:val="top"/>
          </w:tcPr>
          <w:p w14:paraId="40A6C284">
            <w:pPr>
              <w:pStyle w:val="7"/>
              <w:spacing w:before="150" w:line="218" w:lineRule="auto"/>
              <w:ind w:left="434"/>
            </w:pPr>
            <w:r>
              <w:rPr>
                <w:spacing w:val="-23"/>
              </w:rPr>
              <w:t>中风压机</w:t>
            </w:r>
          </w:p>
        </w:tc>
        <w:tc>
          <w:tcPr>
            <w:tcW w:w="1559" w:type="dxa"/>
            <w:vAlign w:val="top"/>
          </w:tcPr>
          <w:p w14:paraId="222DBE01">
            <w:pPr>
              <w:pStyle w:val="7"/>
              <w:spacing w:before="150" w:line="236" w:lineRule="auto"/>
              <w:ind w:left="513"/>
            </w:pPr>
            <w:r>
              <w:rPr>
                <w:spacing w:val="-10"/>
              </w:rPr>
              <w:t>2.2kw</w:t>
            </w:r>
          </w:p>
        </w:tc>
        <w:tc>
          <w:tcPr>
            <w:tcW w:w="650" w:type="dxa"/>
            <w:vAlign w:val="top"/>
          </w:tcPr>
          <w:p w14:paraId="2FA18686">
            <w:pPr>
              <w:pStyle w:val="7"/>
              <w:spacing w:before="150" w:line="237" w:lineRule="auto"/>
              <w:ind w:left="275"/>
            </w:pPr>
            <w:r>
              <w:t>6</w:t>
            </w:r>
          </w:p>
        </w:tc>
        <w:tc>
          <w:tcPr>
            <w:tcW w:w="794" w:type="dxa"/>
            <w:vAlign w:val="top"/>
          </w:tcPr>
          <w:p w14:paraId="7B744617">
            <w:pPr>
              <w:pStyle w:val="7"/>
              <w:spacing w:before="150" w:line="218" w:lineRule="auto"/>
              <w:ind w:left="221"/>
            </w:pPr>
            <w:r>
              <w:rPr>
                <w:spacing w:val="-18"/>
              </w:rPr>
              <w:t>中国</w:t>
            </w:r>
          </w:p>
        </w:tc>
        <w:tc>
          <w:tcPr>
            <w:tcW w:w="794" w:type="dxa"/>
            <w:vAlign w:val="top"/>
          </w:tcPr>
          <w:p w14:paraId="1995D7B6">
            <w:pPr>
              <w:pStyle w:val="7"/>
              <w:spacing w:before="145" w:line="237" w:lineRule="auto"/>
              <w:ind w:left="186" w:leftChars="0"/>
            </w:pPr>
            <w:r>
              <w:rPr>
                <w:spacing w:val="-9"/>
              </w:rPr>
              <w:t>202</w:t>
            </w:r>
            <w:r>
              <w:rPr>
                <w:rFonts w:hint="eastAsia"/>
                <w:spacing w:val="-9"/>
                <w:lang w:val="en-US" w:eastAsia="zh-CN"/>
              </w:rPr>
              <w:t>1</w:t>
            </w:r>
          </w:p>
        </w:tc>
        <w:tc>
          <w:tcPr>
            <w:tcW w:w="791" w:type="dxa"/>
            <w:vAlign w:val="top"/>
          </w:tcPr>
          <w:p w14:paraId="7F9A5776">
            <w:pPr>
              <w:rPr>
                <w:rFonts w:ascii="Arial"/>
                <w:sz w:val="21"/>
              </w:rPr>
            </w:pPr>
          </w:p>
        </w:tc>
        <w:tc>
          <w:tcPr>
            <w:tcW w:w="794" w:type="dxa"/>
            <w:vAlign w:val="top"/>
          </w:tcPr>
          <w:p w14:paraId="0A13B12C">
            <w:pPr>
              <w:pStyle w:val="7"/>
              <w:spacing w:before="150" w:line="219" w:lineRule="auto"/>
              <w:ind w:left="228"/>
            </w:pPr>
            <w:r>
              <w:rPr>
                <w:spacing w:val="-19"/>
              </w:rPr>
              <w:t>良好</w:t>
            </w:r>
          </w:p>
        </w:tc>
        <w:tc>
          <w:tcPr>
            <w:tcW w:w="1302" w:type="dxa"/>
            <w:vAlign w:val="top"/>
          </w:tcPr>
          <w:p w14:paraId="6A6EA527">
            <w:pPr>
              <w:pStyle w:val="7"/>
              <w:spacing w:before="150" w:line="219" w:lineRule="auto"/>
              <w:ind w:left="245"/>
            </w:pPr>
            <w:r>
              <w:rPr>
                <w:spacing w:val="-19"/>
              </w:rPr>
              <w:t>管道工程</w:t>
            </w:r>
          </w:p>
        </w:tc>
        <w:tc>
          <w:tcPr>
            <w:tcW w:w="726" w:type="dxa"/>
            <w:vMerge w:val="continue"/>
            <w:tcBorders>
              <w:top w:val="nil"/>
              <w:bottom w:val="nil"/>
              <w:right w:val="single" w:color="5B9BD5" w:sz="4" w:space="0"/>
            </w:tcBorders>
            <w:vAlign w:val="top"/>
          </w:tcPr>
          <w:p w14:paraId="1DBA867F">
            <w:pPr>
              <w:rPr>
                <w:rFonts w:ascii="Arial"/>
                <w:sz w:val="21"/>
              </w:rPr>
            </w:pPr>
          </w:p>
        </w:tc>
      </w:tr>
      <w:tr w14:paraId="38734F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3" w:hRule="atLeast"/>
        </w:trPr>
        <w:tc>
          <w:tcPr>
            <w:tcW w:w="772" w:type="dxa"/>
            <w:gridSpan w:val="2"/>
            <w:tcBorders>
              <w:left w:val="single" w:color="000000" w:sz="4" w:space="0"/>
            </w:tcBorders>
            <w:vAlign w:val="top"/>
          </w:tcPr>
          <w:p w14:paraId="43942E3E">
            <w:pPr>
              <w:pStyle w:val="7"/>
              <w:spacing w:before="149" w:line="237" w:lineRule="auto"/>
              <w:ind w:left="285"/>
            </w:pPr>
            <w:r>
              <w:rPr>
                <w:spacing w:val="-4"/>
              </w:rPr>
              <w:t>40</w:t>
            </w:r>
          </w:p>
        </w:tc>
        <w:tc>
          <w:tcPr>
            <w:tcW w:w="1657" w:type="dxa"/>
            <w:vAlign w:val="top"/>
          </w:tcPr>
          <w:p w14:paraId="5A5271EC">
            <w:pPr>
              <w:pStyle w:val="7"/>
              <w:spacing w:before="149" w:line="218" w:lineRule="auto"/>
              <w:ind w:left="514"/>
            </w:pPr>
            <w:r>
              <w:rPr>
                <w:spacing w:val="-14"/>
              </w:rPr>
              <w:t>绿篱机</w:t>
            </w:r>
          </w:p>
        </w:tc>
        <w:tc>
          <w:tcPr>
            <w:tcW w:w="1559" w:type="dxa"/>
            <w:vAlign w:val="top"/>
          </w:tcPr>
          <w:p w14:paraId="4B906357">
            <w:pPr>
              <w:pStyle w:val="7"/>
              <w:spacing w:before="193" w:line="178" w:lineRule="auto"/>
              <w:ind w:left="504"/>
            </w:pPr>
            <w:r>
              <w:rPr>
                <w:spacing w:val="-8"/>
              </w:rPr>
              <w:t>HT750</w:t>
            </w:r>
          </w:p>
        </w:tc>
        <w:tc>
          <w:tcPr>
            <w:tcW w:w="650" w:type="dxa"/>
            <w:vAlign w:val="top"/>
          </w:tcPr>
          <w:p w14:paraId="76E36B45">
            <w:pPr>
              <w:pStyle w:val="7"/>
              <w:spacing w:before="149" w:line="237" w:lineRule="auto"/>
              <w:ind w:left="236"/>
            </w:pPr>
            <w:r>
              <w:rPr>
                <w:spacing w:val="-10"/>
              </w:rPr>
              <w:t>10</w:t>
            </w:r>
          </w:p>
        </w:tc>
        <w:tc>
          <w:tcPr>
            <w:tcW w:w="794" w:type="dxa"/>
            <w:vAlign w:val="top"/>
          </w:tcPr>
          <w:p w14:paraId="37831884">
            <w:pPr>
              <w:pStyle w:val="7"/>
              <w:spacing w:before="149" w:line="220" w:lineRule="auto"/>
              <w:ind w:left="217"/>
            </w:pPr>
            <w:r>
              <w:rPr>
                <w:spacing w:val="-22"/>
              </w:rPr>
              <w:t>国产</w:t>
            </w:r>
          </w:p>
        </w:tc>
        <w:tc>
          <w:tcPr>
            <w:tcW w:w="794" w:type="dxa"/>
            <w:vAlign w:val="top"/>
          </w:tcPr>
          <w:p w14:paraId="76768769">
            <w:pPr>
              <w:pStyle w:val="7"/>
              <w:spacing w:before="146" w:line="237" w:lineRule="auto"/>
              <w:ind w:left="186" w:leftChars="0"/>
            </w:pPr>
            <w:r>
              <w:rPr>
                <w:spacing w:val="-9"/>
              </w:rPr>
              <w:t>2022</w:t>
            </w:r>
          </w:p>
        </w:tc>
        <w:tc>
          <w:tcPr>
            <w:tcW w:w="791" w:type="dxa"/>
            <w:vAlign w:val="top"/>
          </w:tcPr>
          <w:p w14:paraId="2AC0F7E2">
            <w:pPr>
              <w:rPr>
                <w:rFonts w:ascii="Arial"/>
                <w:sz w:val="21"/>
              </w:rPr>
            </w:pPr>
          </w:p>
        </w:tc>
        <w:tc>
          <w:tcPr>
            <w:tcW w:w="794" w:type="dxa"/>
            <w:vAlign w:val="top"/>
          </w:tcPr>
          <w:p w14:paraId="3D1E457E">
            <w:pPr>
              <w:rPr>
                <w:rFonts w:ascii="Arial"/>
                <w:sz w:val="21"/>
              </w:rPr>
            </w:pPr>
          </w:p>
        </w:tc>
        <w:tc>
          <w:tcPr>
            <w:tcW w:w="1302" w:type="dxa"/>
            <w:vAlign w:val="top"/>
          </w:tcPr>
          <w:p w14:paraId="4DABB15D">
            <w:pPr>
              <w:pStyle w:val="7"/>
              <w:spacing w:before="149" w:line="218" w:lineRule="auto"/>
              <w:ind w:left="451"/>
            </w:pPr>
            <w:r>
              <w:rPr>
                <w:spacing w:val="-11"/>
              </w:rPr>
              <w:t>绿化</w:t>
            </w:r>
          </w:p>
        </w:tc>
        <w:tc>
          <w:tcPr>
            <w:tcW w:w="726" w:type="dxa"/>
            <w:vMerge w:val="continue"/>
            <w:tcBorders>
              <w:top w:val="nil"/>
              <w:bottom w:val="nil"/>
              <w:right w:val="single" w:color="5B9BD5" w:sz="4" w:space="0"/>
            </w:tcBorders>
            <w:vAlign w:val="top"/>
          </w:tcPr>
          <w:p w14:paraId="5AFAA3CC">
            <w:pPr>
              <w:rPr>
                <w:rFonts w:ascii="Arial"/>
                <w:sz w:val="21"/>
              </w:rPr>
            </w:pPr>
          </w:p>
        </w:tc>
      </w:tr>
      <w:tr w14:paraId="732502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6" w:hRule="atLeast"/>
        </w:trPr>
        <w:tc>
          <w:tcPr>
            <w:tcW w:w="772" w:type="dxa"/>
            <w:gridSpan w:val="2"/>
            <w:tcBorders>
              <w:left w:val="single" w:color="000000" w:sz="4" w:space="0"/>
            </w:tcBorders>
            <w:vAlign w:val="top"/>
          </w:tcPr>
          <w:p w14:paraId="5656B529">
            <w:pPr>
              <w:pStyle w:val="7"/>
              <w:spacing w:before="153" w:line="238" w:lineRule="auto"/>
              <w:ind w:left="285"/>
            </w:pPr>
            <w:r>
              <w:rPr>
                <w:spacing w:val="-4"/>
              </w:rPr>
              <w:t>41</w:t>
            </w:r>
          </w:p>
        </w:tc>
        <w:tc>
          <w:tcPr>
            <w:tcW w:w="1657" w:type="dxa"/>
            <w:vAlign w:val="top"/>
          </w:tcPr>
          <w:p w14:paraId="3E07B93E">
            <w:pPr>
              <w:pStyle w:val="7"/>
              <w:spacing w:before="152" w:line="218" w:lineRule="auto"/>
              <w:ind w:left="522"/>
            </w:pPr>
            <w:r>
              <w:rPr>
                <w:spacing w:val="-16"/>
              </w:rPr>
              <w:t>喷药机</w:t>
            </w:r>
          </w:p>
        </w:tc>
        <w:tc>
          <w:tcPr>
            <w:tcW w:w="1559" w:type="dxa"/>
            <w:vAlign w:val="top"/>
          </w:tcPr>
          <w:p w14:paraId="09AC4A17">
            <w:pPr>
              <w:pStyle w:val="7"/>
              <w:spacing w:before="194" w:line="180" w:lineRule="auto"/>
              <w:ind w:left="339"/>
            </w:pPr>
            <w:r>
              <w:rPr>
                <w:spacing w:val="-9"/>
              </w:rPr>
              <w:t>WL-45ASB</w:t>
            </w:r>
          </w:p>
        </w:tc>
        <w:tc>
          <w:tcPr>
            <w:tcW w:w="650" w:type="dxa"/>
            <w:vAlign w:val="top"/>
          </w:tcPr>
          <w:p w14:paraId="0ECCC24A">
            <w:pPr>
              <w:pStyle w:val="7"/>
              <w:spacing w:before="152" w:line="237" w:lineRule="auto"/>
              <w:ind w:left="236"/>
            </w:pPr>
            <w:r>
              <w:rPr>
                <w:spacing w:val="-10"/>
              </w:rPr>
              <w:t>10</w:t>
            </w:r>
          </w:p>
        </w:tc>
        <w:tc>
          <w:tcPr>
            <w:tcW w:w="794" w:type="dxa"/>
            <w:vAlign w:val="top"/>
          </w:tcPr>
          <w:p w14:paraId="3799F887">
            <w:pPr>
              <w:pStyle w:val="7"/>
              <w:spacing w:before="152" w:line="220" w:lineRule="auto"/>
              <w:ind w:left="217"/>
            </w:pPr>
            <w:r>
              <w:rPr>
                <w:spacing w:val="-17"/>
              </w:rPr>
              <w:t>国产</w:t>
            </w:r>
          </w:p>
        </w:tc>
        <w:tc>
          <w:tcPr>
            <w:tcW w:w="794" w:type="dxa"/>
            <w:vAlign w:val="top"/>
          </w:tcPr>
          <w:p w14:paraId="0551DF56">
            <w:pPr>
              <w:pStyle w:val="7"/>
              <w:spacing w:before="145" w:line="237" w:lineRule="auto"/>
              <w:ind w:left="186" w:leftChars="0"/>
              <w:rPr>
                <w:rFonts w:ascii="Arial"/>
                <w:sz w:val="21"/>
              </w:rPr>
            </w:pPr>
            <w:r>
              <w:rPr>
                <w:spacing w:val="-9"/>
              </w:rPr>
              <w:t>202</w:t>
            </w:r>
            <w:r>
              <w:rPr>
                <w:rFonts w:hint="eastAsia"/>
                <w:spacing w:val="-9"/>
                <w:lang w:val="en-US" w:eastAsia="zh-CN"/>
              </w:rPr>
              <w:t>1</w:t>
            </w:r>
          </w:p>
        </w:tc>
        <w:tc>
          <w:tcPr>
            <w:tcW w:w="791" w:type="dxa"/>
            <w:vAlign w:val="top"/>
          </w:tcPr>
          <w:p w14:paraId="1C528EDA">
            <w:pPr>
              <w:pStyle w:val="7"/>
              <w:spacing w:before="152" w:line="237" w:lineRule="auto"/>
              <w:ind w:left="352"/>
            </w:pPr>
            <w:r>
              <w:t>5</w:t>
            </w:r>
          </w:p>
        </w:tc>
        <w:tc>
          <w:tcPr>
            <w:tcW w:w="794" w:type="dxa"/>
            <w:vAlign w:val="top"/>
          </w:tcPr>
          <w:p w14:paraId="75C80379">
            <w:pPr>
              <w:rPr>
                <w:rFonts w:ascii="Arial"/>
                <w:sz w:val="21"/>
              </w:rPr>
            </w:pPr>
          </w:p>
        </w:tc>
        <w:tc>
          <w:tcPr>
            <w:tcW w:w="1302" w:type="dxa"/>
            <w:vAlign w:val="top"/>
          </w:tcPr>
          <w:p w14:paraId="16307AAA">
            <w:pPr>
              <w:pStyle w:val="7"/>
              <w:spacing w:before="152" w:line="217" w:lineRule="auto"/>
              <w:ind w:left="448"/>
            </w:pPr>
            <w:r>
              <w:rPr>
                <w:spacing w:val="-10"/>
              </w:rPr>
              <w:t>养护</w:t>
            </w:r>
          </w:p>
        </w:tc>
        <w:tc>
          <w:tcPr>
            <w:tcW w:w="726" w:type="dxa"/>
            <w:vMerge w:val="continue"/>
            <w:tcBorders>
              <w:top w:val="nil"/>
              <w:bottom w:val="nil"/>
              <w:right w:val="single" w:color="5B9BD5" w:sz="4" w:space="0"/>
            </w:tcBorders>
            <w:vAlign w:val="top"/>
          </w:tcPr>
          <w:p w14:paraId="0A56081A">
            <w:pPr>
              <w:rPr>
                <w:rFonts w:ascii="Arial"/>
                <w:sz w:val="21"/>
              </w:rPr>
            </w:pPr>
          </w:p>
        </w:tc>
      </w:tr>
      <w:tr w14:paraId="3A02F1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4" w:hRule="atLeast"/>
        </w:trPr>
        <w:tc>
          <w:tcPr>
            <w:tcW w:w="772" w:type="dxa"/>
            <w:gridSpan w:val="2"/>
            <w:tcBorders>
              <w:left w:val="single" w:color="000000" w:sz="4" w:space="0"/>
            </w:tcBorders>
            <w:vAlign w:val="top"/>
          </w:tcPr>
          <w:p w14:paraId="77C81A31">
            <w:pPr>
              <w:pStyle w:val="7"/>
              <w:spacing w:before="151" w:line="238" w:lineRule="auto"/>
              <w:ind w:left="285"/>
            </w:pPr>
            <w:r>
              <w:rPr>
                <w:spacing w:val="-4"/>
              </w:rPr>
              <w:t>42</w:t>
            </w:r>
          </w:p>
        </w:tc>
        <w:tc>
          <w:tcPr>
            <w:tcW w:w="1657" w:type="dxa"/>
            <w:vAlign w:val="top"/>
          </w:tcPr>
          <w:p w14:paraId="47DBCBD1">
            <w:pPr>
              <w:pStyle w:val="7"/>
              <w:spacing w:before="151" w:line="218" w:lineRule="auto"/>
              <w:ind w:left="184"/>
            </w:pPr>
            <w:r>
              <w:rPr>
                <w:spacing w:val="-18"/>
              </w:rPr>
              <w:t>钢板桩打桩机</w:t>
            </w:r>
          </w:p>
        </w:tc>
        <w:tc>
          <w:tcPr>
            <w:tcW w:w="1559" w:type="dxa"/>
            <w:vAlign w:val="top"/>
          </w:tcPr>
          <w:p w14:paraId="2811A952">
            <w:pPr>
              <w:pStyle w:val="7"/>
              <w:spacing w:before="150" w:line="237" w:lineRule="auto"/>
              <w:ind w:left="568"/>
            </w:pPr>
            <w:r>
              <w:rPr>
                <w:spacing w:val="-9"/>
              </w:rPr>
              <w:t>2400</w:t>
            </w:r>
          </w:p>
        </w:tc>
        <w:tc>
          <w:tcPr>
            <w:tcW w:w="650" w:type="dxa"/>
            <w:vAlign w:val="top"/>
          </w:tcPr>
          <w:p w14:paraId="6D6FA69E">
            <w:pPr>
              <w:pStyle w:val="7"/>
              <w:spacing w:before="150" w:line="237" w:lineRule="auto"/>
              <w:ind w:left="278"/>
            </w:pPr>
            <w:r>
              <w:t>3</w:t>
            </w:r>
          </w:p>
        </w:tc>
        <w:tc>
          <w:tcPr>
            <w:tcW w:w="794" w:type="dxa"/>
            <w:vAlign w:val="top"/>
          </w:tcPr>
          <w:p w14:paraId="7F7122BA">
            <w:pPr>
              <w:pStyle w:val="7"/>
              <w:spacing w:before="150" w:line="220" w:lineRule="auto"/>
              <w:ind w:left="217"/>
            </w:pPr>
            <w:r>
              <w:rPr>
                <w:spacing w:val="-17"/>
              </w:rPr>
              <w:t>国产</w:t>
            </w:r>
          </w:p>
        </w:tc>
        <w:tc>
          <w:tcPr>
            <w:tcW w:w="794" w:type="dxa"/>
            <w:vAlign w:val="top"/>
          </w:tcPr>
          <w:p w14:paraId="5544C06D">
            <w:pPr>
              <w:pStyle w:val="7"/>
              <w:spacing w:before="146" w:line="237" w:lineRule="auto"/>
              <w:ind w:left="186" w:leftChars="0"/>
            </w:pPr>
            <w:r>
              <w:rPr>
                <w:spacing w:val="-9"/>
              </w:rPr>
              <w:t>2022</w:t>
            </w:r>
          </w:p>
        </w:tc>
        <w:tc>
          <w:tcPr>
            <w:tcW w:w="791" w:type="dxa"/>
            <w:vAlign w:val="top"/>
          </w:tcPr>
          <w:p w14:paraId="483B4488">
            <w:pPr>
              <w:rPr>
                <w:rFonts w:ascii="Arial"/>
                <w:sz w:val="21"/>
              </w:rPr>
            </w:pPr>
          </w:p>
        </w:tc>
        <w:tc>
          <w:tcPr>
            <w:tcW w:w="794" w:type="dxa"/>
            <w:vAlign w:val="top"/>
          </w:tcPr>
          <w:p w14:paraId="04290919">
            <w:pPr>
              <w:pStyle w:val="7"/>
              <w:spacing w:before="151" w:line="238" w:lineRule="auto"/>
              <w:ind w:left="258"/>
            </w:pPr>
            <w:r>
              <w:rPr>
                <w:spacing w:val="-13"/>
              </w:rPr>
              <w:t>12m</w:t>
            </w:r>
          </w:p>
        </w:tc>
        <w:tc>
          <w:tcPr>
            <w:tcW w:w="1302" w:type="dxa"/>
            <w:vAlign w:val="top"/>
          </w:tcPr>
          <w:p w14:paraId="399F39A1">
            <w:pPr>
              <w:pStyle w:val="7"/>
              <w:spacing w:before="151" w:line="218" w:lineRule="auto"/>
              <w:ind w:left="232"/>
            </w:pPr>
            <w:r>
              <w:rPr>
                <w:spacing w:val="-15"/>
              </w:rPr>
              <w:t>基坑支护</w:t>
            </w:r>
          </w:p>
        </w:tc>
        <w:tc>
          <w:tcPr>
            <w:tcW w:w="726" w:type="dxa"/>
            <w:vMerge w:val="continue"/>
            <w:tcBorders>
              <w:top w:val="nil"/>
              <w:bottom w:val="nil"/>
              <w:right w:val="single" w:color="5B9BD5" w:sz="4" w:space="0"/>
            </w:tcBorders>
            <w:vAlign w:val="top"/>
          </w:tcPr>
          <w:p w14:paraId="2B5B1EF0">
            <w:pPr>
              <w:rPr>
                <w:rFonts w:ascii="Arial"/>
                <w:sz w:val="21"/>
              </w:rPr>
            </w:pPr>
          </w:p>
        </w:tc>
      </w:tr>
      <w:tr w14:paraId="1A5563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6" w:hRule="atLeast"/>
        </w:trPr>
        <w:tc>
          <w:tcPr>
            <w:tcW w:w="772" w:type="dxa"/>
            <w:gridSpan w:val="2"/>
            <w:tcBorders>
              <w:left w:val="single" w:color="000000" w:sz="4" w:space="0"/>
            </w:tcBorders>
            <w:vAlign w:val="top"/>
          </w:tcPr>
          <w:p w14:paraId="3033E72C">
            <w:pPr>
              <w:pStyle w:val="7"/>
              <w:spacing w:before="153" w:line="237" w:lineRule="auto"/>
              <w:ind w:left="285"/>
            </w:pPr>
            <w:r>
              <w:rPr>
                <w:spacing w:val="-5"/>
              </w:rPr>
              <w:t>43</w:t>
            </w:r>
          </w:p>
        </w:tc>
        <w:tc>
          <w:tcPr>
            <w:tcW w:w="1657" w:type="dxa"/>
            <w:vAlign w:val="top"/>
          </w:tcPr>
          <w:p w14:paraId="096CDD5D">
            <w:pPr>
              <w:pStyle w:val="7"/>
              <w:spacing w:before="153" w:line="217" w:lineRule="auto"/>
              <w:ind w:left="510"/>
            </w:pPr>
            <w:r>
              <w:rPr>
                <w:spacing w:val="-13"/>
              </w:rPr>
              <w:t>摄像头</w:t>
            </w:r>
          </w:p>
        </w:tc>
        <w:tc>
          <w:tcPr>
            <w:tcW w:w="1559" w:type="dxa"/>
            <w:vAlign w:val="top"/>
          </w:tcPr>
          <w:p w14:paraId="123F085E">
            <w:pPr>
              <w:rPr>
                <w:rFonts w:ascii="Arial"/>
                <w:sz w:val="21"/>
              </w:rPr>
            </w:pPr>
          </w:p>
        </w:tc>
        <w:tc>
          <w:tcPr>
            <w:tcW w:w="650" w:type="dxa"/>
            <w:vAlign w:val="top"/>
          </w:tcPr>
          <w:p w14:paraId="5EEBA0B3">
            <w:pPr>
              <w:pStyle w:val="7"/>
              <w:spacing w:before="153" w:line="237" w:lineRule="auto"/>
              <w:ind w:left="236"/>
            </w:pPr>
            <w:r>
              <w:rPr>
                <w:spacing w:val="-10"/>
              </w:rPr>
              <w:t>15</w:t>
            </w:r>
          </w:p>
        </w:tc>
        <w:tc>
          <w:tcPr>
            <w:tcW w:w="794" w:type="dxa"/>
            <w:vAlign w:val="top"/>
          </w:tcPr>
          <w:p w14:paraId="7E8CAA9F">
            <w:pPr>
              <w:pStyle w:val="7"/>
              <w:spacing w:before="152" w:line="220" w:lineRule="auto"/>
              <w:ind w:left="217"/>
            </w:pPr>
            <w:r>
              <w:rPr>
                <w:spacing w:val="-17"/>
              </w:rPr>
              <w:t>国产</w:t>
            </w:r>
          </w:p>
        </w:tc>
        <w:tc>
          <w:tcPr>
            <w:tcW w:w="794" w:type="dxa"/>
            <w:vAlign w:val="top"/>
          </w:tcPr>
          <w:p w14:paraId="46EA84FD">
            <w:pPr>
              <w:pStyle w:val="7"/>
              <w:spacing w:before="145" w:line="237" w:lineRule="auto"/>
              <w:ind w:left="186" w:leftChars="0"/>
            </w:pPr>
            <w:r>
              <w:rPr>
                <w:spacing w:val="-9"/>
              </w:rPr>
              <w:t>202</w:t>
            </w:r>
            <w:r>
              <w:rPr>
                <w:rFonts w:hint="eastAsia"/>
                <w:spacing w:val="-9"/>
                <w:lang w:val="en-US" w:eastAsia="zh-CN"/>
              </w:rPr>
              <w:t>1</w:t>
            </w:r>
          </w:p>
        </w:tc>
        <w:tc>
          <w:tcPr>
            <w:tcW w:w="791" w:type="dxa"/>
            <w:vAlign w:val="top"/>
          </w:tcPr>
          <w:p w14:paraId="70312A1A">
            <w:pPr>
              <w:rPr>
                <w:rFonts w:ascii="Arial"/>
                <w:sz w:val="21"/>
              </w:rPr>
            </w:pPr>
          </w:p>
        </w:tc>
        <w:tc>
          <w:tcPr>
            <w:tcW w:w="794" w:type="dxa"/>
            <w:vAlign w:val="top"/>
          </w:tcPr>
          <w:p w14:paraId="7588D64D">
            <w:pPr>
              <w:rPr>
                <w:rFonts w:ascii="Arial"/>
                <w:sz w:val="21"/>
              </w:rPr>
            </w:pPr>
          </w:p>
        </w:tc>
        <w:tc>
          <w:tcPr>
            <w:tcW w:w="1302" w:type="dxa"/>
            <w:vAlign w:val="top"/>
          </w:tcPr>
          <w:p w14:paraId="18CB31F4">
            <w:pPr>
              <w:pStyle w:val="7"/>
              <w:spacing w:before="152" w:line="219" w:lineRule="auto"/>
              <w:ind w:left="454"/>
            </w:pPr>
            <w:r>
              <w:rPr>
                <w:spacing w:val="-12"/>
              </w:rPr>
              <w:t>监控</w:t>
            </w:r>
          </w:p>
        </w:tc>
        <w:tc>
          <w:tcPr>
            <w:tcW w:w="726" w:type="dxa"/>
            <w:vMerge w:val="continue"/>
            <w:tcBorders>
              <w:top w:val="nil"/>
              <w:bottom w:val="nil"/>
              <w:right w:val="single" w:color="5B9BD5" w:sz="4" w:space="0"/>
            </w:tcBorders>
            <w:vAlign w:val="top"/>
          </w:tcPr>
          <w:p w14:paraId="770C3B83">
            <w:pPr>
              <w:rPr>
                <w:rFonts w:ascii="Arial"/>
                <w:sz w:val="21"/>
              </w:rPr>
            </w:pPr>
          </w:p>
        </w:tc>
      </w:tr>
      <w:tr w14:paraId="492034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4" w:hRule="atLeast"/>
        </w:trPr>
        <w:tc>
          <w:tcPr>
            <w:tcW w:w="169" w:type="dxa"/>
            <w:tcBorders>
              <w:left w:val="single" w:color="1C456A" w:sz="4" w:space="0"/>
              <w:bottom w:val="single" w:color="1C456A" w:sz="4" w:space="0"/>
              <w:right w:val="nil"/>
            </w:tcBorders>
            <w:vAlign w:val="top"/>
          </w:tcPr>
          <w:p w14:paraId="3F49C213">
            <w:pPr>
              <w:rPr>
                <w:rFonts w:ascii="Arial"/>
                <w:sz w:val="21"/>
              </w:rPr>
            </w:pPr>
            <w:r>
              <w:pict>
                <v:shape id="_x0000_s4350" o:spid="_x0000_s4350" style="position:absolute;left:0pt;margin-left:-0.25pt;margin-top:36.2pt;height:0.75pt;width:2.2pt;mso-position-horizontal-relative:page;mso-position-vertical-relative:page;z-index:252376064;mso-width-relative:page;mso-height-relative:page;" fillcolor="#5B9BD5" filled="t" stroked="f" coordsize="44,15" path="m0,14l43,14,43,0,0,0,0,14xe">
                  <v:path/>
                  <v:fill on="t" focussize="0,0"/>
                  <v:stroke on="f"/>
                  <v:imagedata o:title=""/>
                  <o:lock v:ext="edit"/>
                </v:shape>
              </w:pict>
            </w:r>
          </w:p>
        </w:tc>
        <w:tc>
          <w:tcPr>
            <w:tcW w:w="603" w:type="dxa"/>
            <w:tcBorders>
              <w:left w:val="nil"/>
              <w:bottom w:val="single" w:color="1C456A" w:sz="4" w:space="0"/>
            </w:tcBorders>
            <w:vAlign w:val="top"/>
          </w:tcPr>
          <w:p w14:paraId="01B3B16E">
            <w:pPr>
              <w:pStyle w:val="7"/>
              <w:spacing w:before="151" w:line="238" w:lineRule="auto"/>
              <w:ind w:left="121"/>
            </w:pPr>
            <w:r>
              <w:rPr>
                <w:spacing w:val="-5"/>
              </w:rPr>
              <w:t>44</w:t>
            </w:r>
          </w:p>
        </w:tc>
        <w:tc>
          <w:tcPr>
            <w:tcW w:w="1657" w:type="dxa"/>
            <w:tcBorders>
              <w:bottom w:val="single" w:color="000000" w:sz="4" w:space="0"/>
            </w:tcBorders>
            <w:vAlign w:val="top"/>
          </w:tcPr>
          <w:p w14:paraId="012F188B">
            <w:pPr>
              <w:pStyle w:val="7"/>
              <w:spacing w:before="151" w:line="217" w:lineRule="auto"/>
              <w:ind w:left="414"/>
            </w:pPr>
            <w:r>
              <w:rPr>
                <w:spacing w:val="-18"/>
              </w:rPr>
              <w:t>喷淋系统</w:t>
            </w:r>
          </w:p>
        </w:tc>
        <w:tc>
          <w:tcPr>
            <w:tcW w:w="1559" w:type="dxa"/>
            <w:tcBorders>
              <w:bottom w:val="single" w:color="000000" w:sz="4" w:space="0"/>
            </w:tcBorders>
            <w:vAlign w:val="top"/>
          </w:tcPr>
          <w:p w14:paraId="507B1DF3">
            <w:pPr>
              <w:rPr>
                <w:rFonts w:ascii="Arial"/>
                <w:sz w:val="21"/>
              </w:rPr>
            </w:pPr>
          </w:p>
        </w:tc>
        <w:tc>
          <w:tcPr>
            <w:tcW w:w="650" w:type="dxa"/>
            <w:tcBorders>
              <w:bottom w:val="single" w:color="000000" w:sz="4" w:space="0"/>
            </w:tcBorders>
            <w:vAlign w:val="top"/>
          </w:tcPr>
          <w:p w14:paraId="44670BD8">
            <w:pPr>
              <w:pStyle w:val="7"/>
              <w:spacing w:before="150" w:line="237" w:lineRule="auto"/>
              <w:ind w:left="236"/>
            </w:pPr>
            <w:r>
              <w:rPr>
                <w:spacing w:val="-10"/>
              </w:rPr>
              <w:t>10</w:t>
            </w:r>
          </w:p>
        </w:tc>
        <w:tc>
          <w:tcPr>
            <w:tcW w:w="794" w:type="dxa"/>
            <w:tcBorders>
              <w:bottom w:val="single" w:color="000000" w:sz="4" w:space="0"/>
            </w:tcBorders>
            <w:vAlign w:val="top"/>
          </w:tcPr>
          <w:p w14:paraId="6EFF5BD4">
            <w:pPr>
              <w:pStyle w:val="7"/>
              <w:spacing w:before="150" w:line="220" w:lineRule="auto"/>
              <w:ind w:left="217"/>
            </w:pPr>
            <w:r>
              <w:rPr>
                <w:spacing w:val="-17"/>
              </w:rPr>
              <w:t>国产</w:t>
            </w:r>
          </w:p>
        </w:tc>
        <w:tc>
          <w:tcPr>
            <w:tcW w:w="794" w:type="dxa"/>
            <w:tcBorders>
              <w:bottom w:val="single" w:color="000000" w:sz="4" w:space="0"/>
            </w:tcBorders>
            <w:vAlign w:val="top"/>
          </w:tcPr>
          <w:p w14:paraId="238E30CA">
            <w:pPr>
              <w:pStyle w:val="7"/>
              <w:spacing w:before="146" w:line="237" w:lineRule="auto"/>
              <w:ind w:left="186" w:leftChars="0"/>
            </w:pPr>
            <w:r>
              <w:rPr>
                <w:spacing w:val="-9"/>
              </w:rPr>
              <w:t>2022</w:t>
            </w:r>
          </w:p>
        </w:tc>
        <w:tc>
          <w:tcPr>
            <w:tcW w:w="791" w:type="dxa"/>
            <w:tcBorders>
              <w:bottom w:val="single" w:color="000000" w:sz="4" w:space="0"/>
            </w:tcBorders>
            <w:vAlign w:val="top"/>
          </w:tcPr>
          <w:p w14:paraId="4DFD8D49">
            <w:pPr>
              <w:rPr>
                <w:rFonts w:ascii="Arial"/>
                <w:sz w:val="21"/>
              </w:rPr>
            </w:pPr>
          </w:p>
        </w:tc>
        <w:tc>
          <w:tcPr>
            <w:tcW w:w="794" w:type="dxa"/>
            <w:tcBorders>
              <w:bottom w:val="single" w:color="000000" w:sz="4" w:space="0"/>
            </w:tcBorders>
            <w:vAlign w:val="top"/>
          </w:tcPr>
          <w:p w14:paraId="1B14BC39">
            <w:pPr>
              <w:rPr>
                <w:rFonts w:ascii="Arial"/>
                <w:sz w:val="21"/>
              </w:rPr>
            </w:pPr>
          </w:p>
        </w:tc>
        <w:tc>
          <w:tcPr>
            <w:tcW w:w="1302" w:type="dxa"/>
            <w:tcBorders>
              <w:bottom w:val="single" w:color="000000" w:sz="4" w:space="0"/>
            </w:tcBorders>
            <w:vAlign w:val="top"/>
          </w:tcPr>
          <w:p w14:paraId="1A9968AE">
            <w:pPr>
              <w:pStyle w:val="7"/>
              <w:spacing w:before="151" w:line="220" w:lineRule="auto"/>
              <w:ind w:left="464"/>
            </w:pPr>
            <w:r>
              <w:rPr>
                <w:spacing w:val="-14"/>
              </w:rPr>
              <w:t>防尘</w:t>
            </w:r>
          </w:p>
        </w:tc>
        <w:tc>
          <w:tcPr>
            <w:tcW w:w="726" w:type="dxa"/>
            <w:vMerge w:val="continue"/>
            <w:tcBorders>
              <w:top w:val="nil"/>
              <w:bottom w:val="single" w:color="5B9BD5" w:sz="4" w:space="0"/>
              <w:right w:val="single" w:color="5B9BD5" w:sz="4" w:space="0"/>
            </w:tcBorders>
            <w:vAlign w:val="top"/>
          </w:tcPr>
          <w:p w14:paraId="435357A5">
            <w:pPr>
              <w:rPr>
                <w:rFonts w:ascii="Arial"/>
                <w:sz w:val="21"/>
              </w:rPr>
            </w:pPr>
          </w:p>
        </w:tc>
      </w:tr>
    </w:tbl>
    <w:p w14:paraId="32DD8034">
      <w:pPr>
        <w:pStyle w:val="2"/>
        <w:spacing w:before="115" w:line="216" w:lineRule="auto"/>
        <w:ind w:left="1890"/>
        <w:rPr>
          <w:sz w:val="24"/>
          <w:szCs w:val="24"/>
        </w:rPr>
      </w:pPr>
      <w:r>
        <w:pict>
          <v:shape id="_x0000_s4352" o:spid="_x0000_s4352" style="position:absolute;left:0pt;margin-left:415.5pt;margin-top:21.45pt;height:0.75pt;width:2.2pt;z-index:252372992;mso-width-relative:page;mso-height-relative:page;" fillcolor="#1C456A" filled="t" stroked="f" coordsize="44,15" path="m0,14l43,14,43,0,0,0,0,14xe">
            <v:path/>
            <v:fill on="t" focussize="0,0"/>
            <v:stroke on="f"/>
            <v:imagedata o:title=""/>
            <o:lock v:ext="edit"/>
          </v:shape>
        </w:pict>
      </w:r>
      <w:r>
        <w:rPr>
          <w:spacing w:val="-20"/>
          <w:sz w:val="24"/>
          <w:szCs w:val="24"/>
        </w:rPr>
        <w:t>试验、检测仪器设备计划表附后</w:t>
      </w:r>
    </w:p>
    <w:p w14:paraId="3C584DA7">
      <w:pPr>
        <w:spacing w:line="48" w:lineRule="auto"/>
        <w:rPr>
          <w:rFonts w:ascii="Arial"/>
          <w:sz w:val="2"/>
        </w:rPr>
      </w:pPr>
    </w:p>
    <w:tbl>
      <w:tblPr>
        <w:tblStyle w:val="6"/>
        <w:tblW w:w="9572" w:type="dxa"/>
        <w:tblInd w:w="1166"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10"/>
        <w:gridCol w:w="1462"/>
        <w:gridCol w:w="1676"/>
        <w:gridCol w:w="682"/>
        <w:gridCol w:w="887"/>
        <w:gridCol w:w="924"/>
        <w:gridCol w:w="910"/>
        <w:gridCol w:w="1271"/>
        <w:gridCol w:w="1150"/>
      </w:tblGrid>
      <w:tr w14:paraId="695B95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1396" w:hRule="atLeast"/>
        </w:trPr>
        <w:tc>
          <w:tcPr>
            <w:tcW w:w="610" w:type="dxa"/>
            <w:tcBorders>
              <w:top w:val="single" w:color="000000" w:sz="4" w:space="0"/>
              <w:left w:val="single" w:color="000000" w:sz="4" w:space="0"/>
            </w:tcBorders>
            <w:shd w:val="clear" w:color="auto" w:fill="DEEAF6"/>
            <w:vAlign w:val="top"/>
          </w:tcPr>
          <w:p w14:paraId="13BB1CF6">
            <w:pPr>
              <w:spacing w:line="93" w:lineRule="exact"/>
            </w:pPr>
            <w:r>
              <w:rPr>
                <w:position w:val="-1"/>
              </w:rPr>
              <w:pict>
                <v:group id="_x0000_s4354" o:spid="_x0000_s4354" o:spt="203" style="height:5.2pt;width:32.2pt;" coordsize="644,103">
                  <o:lock v:ext="edit"/>
                  <v:shape id="_x0000_s4356" o:spid="_x0000_s4356" style="position:absolute;left:0;top:0;height:15;width:44;" fillcolor="#5B9BD5" filled="t" stroked="f" coordsize="44,15" path="m0,14l43,14,43,0,0,0,0,14xe">
                    <v:path/>
                    <v:fill on="t" focussize="0,0"/>
                    <v:stroke on="f"/>
                    <v:imagedata o:title=""/>
                    <o:lock v:ext="edit"/>
                  </v:shape>
                  <v:shape id="_x0000_s4358" o:spid="_x0000_s4358" style="position:absolute;left:43;top:43;height:60;width:557;" fillcolor="#DEEAF6" filled="t" stroked="f" coordsize="557,60" path="m0,60l557,60,557,0,0,0,0,60xe">
                    <v:path/>
                    <v:fill on="t" focussize="0,0"/>
                    <v:stroke on="f"/>
                    <v:imagedata o:title=""/>
                    <o:lock v:ext="edit"/>
                  </v:shape>
                  <v:shape id="_x0000_s4360" o:spid="_x0000_s4360" style="position:absolute;left:600;top:0;height:15;width:44;" fillcolor="#5B9BD5" filled="t" stroked="f" coordsize="44,15" path="m0,14l43,14,43,0,0,0,0,14xe">
                    <v:path/>
                    <v:fill on="t" focussize="0,0"/>
                    <v:stroke on="f"/>
                    <v:imagedata o:title=""/>
                    <o:lock v:ext="edit"/>
                  </v:shape>
                  <v:shape id="_x0000_s4362" o:spid="_x0000_s4362" style="position:absolute;left:600;top:14;height:15;width:44;" fillcolor="#20507B" filled="t" stroked="f" coordsize="44,15" path="m0,14l43,14,43,0,0,0,0,14xe">
                    <v:path/>
                    <v:fill on="t" focussize="0,0"/>
                    <v:stroke on="f"/>
                    <v:imagedata o:title=""/>
                    <o:lock v:ext="edit"/>
                  </v:shape>
                  <v:shape id="_x0000_s4364" o:spid="_x0000_s4364" style="position:absolute;left:600;top:28;height:15;width:44;" fillcolor="#1C456A" filled="t" stroked="f" coordsize="44,15" path="m0,14l43,14,43,0,0,0,0,14xe">
                    <v:path/>
                    <v:fill on="t" focussize="0,0"/>
                    <v:stroke on="f"/>
                    <v:imagedata o:title=""/>
                    <o:lock v:ext="edit"/>
                  </v:shape>
                  <w10:wrap type="none"/>
                  <w10:anchorlock/>
                </v:group>
              </w:pict>
            </w:r>
          </w:p>
          <w:p w14:paraId="6A441955">
            <w:pPr>
              <w:spacing w:line="342" w:lineRule="auto"/>
              <w:rPr>
                <w:rFonts w:ascii="Arial"/>
                <w:sz w:val="21"/>
              </w:rPr>
            </w:pPr>
          </w:p>
          <w:p w14:paraId="746816B1">
            <w:pPr>
              <w:pStyle w:val="7"/>
              <w:spacing w:before="78" w:line="218" w:lineRule="auto"/>
              <w:ind w:left="99"/>
            </w:pPr>
            <w:r>
              <w:rPr>
                <w:b/>
                <w:bCs/>
                <w:spacing w:val="-12"/>
              </w:rPr>
              <w:t>序号</w:t>
            </w:r>
          </w:p>
        </w:tc>
        <w:tc>
          <w:tcPr>
            <w:tcW w:w="1462" w:type="dxa"/>
            <w:tcBorders>
              <w:top w:val="single" w:color="000000" w:sz="4" w:space="0"/>
            </w:tcBorders>
            <w:shd w:val="clear" w:color="auto" w:fill="DEEAF6"/>
            <w:vAlign w:val="top"/>
          </w:tcPr>
          <w:p w14:paraId="7D4803C7">
            <w:pPr>
              <w:spacing w:line="434" w:lineRule="auto"/>
              <w:rPr>
                <w:rFonts w:ascii="Arial"/>
                <w:sz w:val="21"/>
              </w:rPr>
            </w:pPr>
          </w:p>
          <w:p w14:paraId="2DC8A3FE">
            <w:pPr>
              <w:pStyle w:val="7"/>
              <w:spacing w:before="78" w:line="217" w:lineRule="auto"/>
              <w:ind w:left="81"/>
            </w:pPr>
            <w:r>
              <w:rPr>
                <w:b/>
                <w:bCs/>
                <w:spacing w:val="-20"/>
              </w:rPr>
              <w:t>仪器设备名称</w:t>
            </w:r>
          </w:p>
        </w:tc>
        <w:tc>
          <w:tcPr>
            <w:tcW w:w="1676" w:type="dxa"/>
            <w:tcBorders>
              <w:top w:val="single" w:color="000000" w:sz="4" w:space="0"/>
            </w:tcBorders>
            <w:shd w:val="clear" w:color="auto" w:fill="DEEAF6"/>
            <w:vAlign w:val="top"/>
          </w:tcPr>
          <w:p w14:paraId="7A24F837">
            <w:pPr>
              <w:spacing w:line="435" w:lineRule="auto"/>
              <w:rPr>
                <w:rFonts w:ascii="Arial"/>
                <w:sz w:val="21"/>
              </w:rPr>
            </w:pPr>
          </w:p>
          <w:p w14:paraId="3941E5AB">
            <w:pPr>
              <w:pStyle w:val="7"/>
              <w:spacing w:before="78" w:line="218" w:lineRule="auto"/>
              <w:ind w:left="405"/>
            </w:pPr>
            <w:r>
              <w:rPr>
                <w:b/>
                <w:bCs/>
                <w:spacing w:val="-17"/>
              </w:rPr>
              <w:t>规格型号</w:t>
            </w:r>
          </w:p>
        </w:tc>
        <w:tc>
          <w:tcPr>
            <w:tcW w:w="682" w:type="dxa"/>
            <w:tcBorders>
              <w:top w:val="single" w:color="000000" w:sz="4" w:space="0"/>
            </w:tcBorders>
            <w:shd w:val="clear" w:color="auto" w:fill="DEEAF6"/>
            <w:vAlign w:val="top"/>
          </w:tcPr>
          <w:p w14:paraId="7FF4926F">
            <w:pPr>
              <w:spacing w:line="33" w:lineRule="exact"/>
              <w:ind w:firstLine="668"/>
            </w:pPr>
            <w:r>
              <w:pict>
                <v:group id="_x0000_s4366" o:spid="_x0000_s4366" o:spt="203" style="height:2.2pt;width:2.2pt;" coordsize="44,44">
                  <o:lock v:ext="edit"/>
                  <v:shape id="_x0000_s4368" o:spid="_x0000_s4368" style="position:absolute;left:0;top:0;height:15;width:44;" fillcolor="#5B9BD5" filled="t" stroked="f" coordsize="44,15" path="m0,14l43,14,43,0,0,0,0,14xe">
                    <v:path/>
                    <v:fill on="t" focussize="0,0"/>
                    <v:stroke on="f"/>
                    <v:imagedata o:title=""/>
                    <o:lock v:ext="edit"/>
                  </v:shape>
                  <v:shape id="_x0000_s4370" o:spid="_x0000_s4370" style="position:absolute;left:0;top:14;height:15;width:44;" fillcolor="#20507B" filled="t" stroked="f" coordsize="44,15" path="m0,14l43,14,43,0,0,0,0,14xe">
                    <v:path/>
                    <v:fill on="t" focussize="0,0"/>
                    <v:stroke on="f"/>
                    <v:imagedata o:title=""/>
                    <o:lock v:ext="edit"/>
                  </v:shape>
                  <v:shape id="_x0000_s4372" o:spid="_x0000_s4372" style="position:absolute;left:0;top:28;height:15;width:44;" fillcolor="#1C456A" filled="t" stroked="f" coordsize="44,15" path="m0,14l43,14,43,0,0,0,0,14xe">
                    <v:path/>
                    <v:fill on="t" focussize="0,0"/>
                    <v:stroke on="f"/>
                    <v:imagedata o:title=""/>
                    <o:lock v:ext="edit"/>
                  </v:shape>
                  <w10:wrap type="none"/>
                  <w10:anchorlock/>
                </v:group>
              </w:pict>
            </w:r>
          </w:p>
          <w:p w14:paraId="734C4F26">
            <w:pPr>
              <w:spacing w:line="401" w:lineRule="auto"/>
              <w:rPr>
                <w:rFonts w:ascii="Arial"/>
                <w:sz w:val="21"/>
              </w:rPr>
            </w:pPr>
          </w:p>
          <w:p w14:paraId="2FCA95C8">
            <w:pPr>
              <w:pStyle w:val="7"/>
              <w:spacing w:before="78" w:line="219" w:lineRule="auto"/>
              <w:ind w:left="127"/>
            </w:pPr>
            <w:r>
              <w:rPr>
                <w:b/>
                <w:bCs/>
                <w:spacing w:val="-12"/>
              </w:rPr>
              <w:t>数量</w:t>
            </w:r>
          </w:p>
        </w:tc>
        <w:tc>
          <w:tcPr>
            <w:tcW w:w="887" w:type="dxa"/>
            <w:tcBorders>
              <w:top w:val="single" w:color="000000" w:sz="4" w:space="0"/>
            </w:tcBorders>
            <w:shd w:val="clear" w:color="auto" w:fill="DEEAF6"/>
            <w:vAlign w:val="top"/>
          </w:tcPr>
          <w:p w14:paraId="19593842">
            <w:pPr>
              <w:pStyle w:val="7"/>
              <w:spacing w:before="283" w:line="366" w:lineRule="auto"/>
              <w:ind w:left="343" w:right="96" w:hanging="191"/>
            </w:pPr>
            <w:r>
              <w:rPr>
                <w:b/>
                <w:bCs/>
                <w:spacing w:val="-32"/>
              </w:rPr>
              <w:t>国别产</w:t>
            </w:r>
            <w:r>
              <w:rPr>
                <w:b/>
                <w:bCs/>
                <w:spacing w:val="-3"/>
              </w:rPr>
              <w:t>地</w:t>
            </w:r>
          </w:p>
        </w:tc>
        <w:tc>
          <w:tcPr>
            <w:tcW w:w="924" w:type="dxa"/>
            <w:tcBorders>
              <w:top w:val="single" w:color="000000" w:sz="4" w:space="0"/>
            </w:tcBorders>
            <w:shd w:val="clear" w:color="auto" w:fill="DEEAF6"/>
            <w:vAlign w:val="top"/>
          </w:tcPr>
          <w:p w14:paraId="49B9634F">
            <w:pPr>
              <w:spacing w:line="33" w:lineRule="exact"/>
              <w:ind w:firstLine="914"/>
            </w:pPr>
            <w:r>
              <w:pict>
                <v:group id="_x0000_s4374" o:spid="_x0000_s4374" o:spt="203" style="height:2.2pt;width:2.2pt;" coordsize="44,44">
                  <o:lock v:ext="edit"/>
                  <v:shape id="_x0000_s4376" o:spid="_x0000_s4376" style="position:absolute;left:0;top:0;height:15;width:44;" fillcolor="#5B9BD5" filled="t" stroked="f" coordsize="44,15" path="m0,14l43,14,43,0,0,0,0,14xe">
                    <v:path/>
                    <v:fill on="t" focussize="0,0"/>
                    <v:stroke on="f"/>
                    <v:imagedata o:title=""/>
                    <o:lock v:ext="edit"/>
                  </v:shape>
                  <v:shape id="_x0000_s4378" o:spid="_x0000_s4378" style="position:absolute;left:0;top:14;height:15;width:44;" fillcolor="#20507B" filled="t" stroked="f" coordsize="44,15" path="m0,14l43,14,43,0,0,0,0,14xe">
                    <v:path/>
                    <v:fill on="t" focussize="0,0"/>
                    <v:stroke on="f"/>
                    <v:imagedata o:title=""/>
                    <o:lock v:ext="edit"/>
                  </v:shape>
                  <v:shape id="_x0000_s4380" o:spid="_x0000_s4380" style="position:absolute;left:0;top:28;height:15;width:44;" fillcolor="#1C456A" filled="t" stroked="f" coordsize="44,15" path="m0,14l43,14,43,0,0,0,0,14xe">
                    <v:path/>
                    <v:fill on="t" focussize="0,0"/>
                    <v:stroke on="f"/>
                    <v:imagedata o:title=""/>
                    <o:lock v:ext="edit"/>
                  </v:shape>
                  <w10:wrap type="none"/>
                  <w10:anchorlock/>
                </v:group>
              </w:pict>
            </w:r>
          </w:p>
          <w:p w14:paraId="13CFA363">
            <w:pPr>
              <w:pStyle w:val="7"/>
              <w:spacing w:before="250" w:line="361" w:lineRule="auto"/>
              <w:ind w:left="363" w:right="114" w:hanging="219"/>
            </w:pPr>
            <w:r>
              <w:rPr>
                <w:b/>
                <w:bCs/>
                <w:spacing w:val="-23"/>
              </w:rPr>
              <w:t>制造年</w:t>
            </w:r>
            <w:r>
              <w:rPr>
                <w:b/>
                <w:bCs/>
                <w:spacing w:val="-3"/>
              </w:rPr>
              <w:t>份</w:t>
            </w:r>
          </w:p>
        </w:tc>
        <w:tc>
          <w:tcPr>
            <w:tcW w:w="910" w:type="dxa"/>
            <w:tcBorders>
              <w:top w:val="single" w:color="000000" w:sz="4" w:space="0"/>
            </w:tcBorders>
            <w:shd w:val="clear" w:color="auto" w:fill="DEEAF6"/>
            <w:vAlign w:val="top"/>
          </w:tcPr>
          <w:p w14:paraId="00FEB6E3">
            <w:pPr>
              <w:pStyle w:val="7"/>
              <w:spacing w:before="283" w:line="218" w:lineRule="auto"/>
              <w:ind w:left="166"/>
            </w:pPr>
            <w:r>
              <w:rPr>
                <w:b/>
                <w:bCs/>
                <w:spacing w:val="-26"/>
              </w:rPr>
              <w:t>已使用</w:t>
            </w:r>
          </w:p>
          <w:p w14:paraId="3079F7CB">
            <w:pPr>
              <w:pStyle w:val="7"/>
              <w:spacing w:before="184" w:line="217" w:lineRule="auto"/>
              <w:ind w:left="158"/>
            </w:pPr>
            <w:r>
              <w:rPr>
                <w:b/>
                <w:bCs/>
                <w:spacing w:val="-23"/>
              </w:rPr>
              <w:t>台时数</w:t>
            </w:r>
          </w:p>
        </w:tc>
        <w:tc>
          <w:tcPr>
            <w:tcW w:w="1271" w:type="dxa"/>
            <w:tcBorders>
              <w:top w:val="single" w:color="000000" w:sz="4" w:space="0"/>
            </w:tcBorders>
            <w:shd w:val="clear" w:color="auto" w:fill="DEEAF6"/>
            <w:vAlign w:val="top"/>
          </w:tcPr>
          <w:p w14:paraId="321BBB09">
            <w:pPr>
              <w:spacing w:line="18" w:lineRule="exact"/>
            </w:pPr>
            <w:r>
              <w:pict>
                <v:group id="_x0000_s4382" o:spid="_x0000_s4382" o:spt="203" style="height:1.45pt;width:2.2pt;" coordsize="44,29">
                  <o:lock v:ext="edit"/>
                  <v:shape id="_x0000_s4384" o:spid="_x0000_s4384" style="position:absolute;left:0;top:0;height:15;width:44;" fillcolor="#5B9BD5" filled="t" stroked="f" coordsize="44,15" path="m0,14l43,14,43,0,0,0,0,14xe">
                    <v:path/>
                    <v:fill on="t" focussize="0,0"/>
                    <v:stroke on="f"/>
                    <v:imagedata o:title=""/>
                    <o:lock v:ext="edit"/>
                  </v:shape>
                  <v:shape id="_x0000_s4386" o:spid="_x0000_s4386" style="position:absolute;left:0;top:14;height:15;width:44;" fillcolor="#20507B" filled="t" stroked="f" coordsize="44,15" path="m0,14l43,14,43,0,0,0,0,14xe">
                    <v:path/>
                    <v:fill on="t" focussize="0,0"/>
                    <v:stroke on="f"/>
                    <v:imagedata o:title=""/>
                    <o:lock v:ext="edit"/>
                  </v:shape>
                  <w10:wrap type="none"/>
                  <w10:anchorlock/>
                </v:group>
              </w:pict>
            </w:r>
          </w:p>
          <w:p w14:paraId="1BB4A90A">
            <w:pPr>
              <w:spacing w:line="415" w:lineRule="auto"/>
              <w:rPr>
                <w:rFonts w:ascii="Arial"/>
                <w:sz w:val="21"/>
              </w:rPr>
            </w:pPr>
          </w:p>
          <w:p w14:paraId="61B914AE">
            <w:pPr>
              <w:pStyle w:val="7"/>
              <w:spacing w:before="78" w:line="220" w:lineRule="auto"/>
              <w:ind w:left="329"/>
            </w:pPr>
            <w:r>
              <w:rPr>
                <w:b/>
                <w:bCs/>
                <w:spacing w:val="-11"/>
              </w:rPr>
              <w:t>用途</w:t>
            </w:r>
          </w:p>
        </w:tc>
        <w:tc>
          <w:tcPr>
            <w:tcW w:w="1150" w:type="dxa"/>
            <w:tcBorders>
              <w:top w:val="single" w:color="5B9BD5" w:sz="4" w:space="0"/>
              <w:right w:val="single" w:color="5B9BD5" w:sz="4" w:space="0"/>
            </w:tcBorders>
            <w:shd w:val="clear" w:color="auto" w:fill="DEEAF6"/>
            <w:vAlign w:val="top"/>
          </w:tcPr>
          <w:p w14:paraId="7DF55A5D">
            <w:pPr>
              <w:spacing w:before="33" w:line="60" w:lineRule="exact"/>
              <w:ind w:firstLine="37"/>
            </w:pPr>
            <w:r>
              <w:pict>
                <v:shape id="_x0000_s4388" o:spid="_x0000_s4388" style="position:absolute;left:0pt;margin-left:55.65pt;margin-top:0pt;height:0.75pt;width:2.2pt;mso-position-horizontal-relative:page;mso-position-vertical-relative:page;z-index:252375040;mso-width-relative:page;mso-height-relative:page;" fillcolor="#5B9BD5" filled="t" stroked="f" coordsize="44,15" path="m0,14l43,14,43,0,0,0,0,14xe">
                  <v:path/>
                  <v:fill on="t" focussize="0,0"/>
                  <v:stroke on="f"/>
                  <v:imagedata o:title=""/>
                  <o:lock v:ext="edit"/>
                </v:shape>
              </w:pict>
            </w:r>
            <w:r>
              <w:rPr>
                <w:position w:val="-1"/>
              </w:rPr>
              <w:pict>
                <v:shape id="_x0000_s4390" o:spid="_x0000_s4390" style="height:3pt;width:53.65pt;" fillcolor="#DEEAF6" filled="t" stroked="f" coordsize="1073,60" path="m0,60l1072,60,1072,0,0,0,0,60xe">
                  <v:path/>
                  <v:fill on="t" focussize="0,0"/>
                  <v:stroke on="f"/>
                  <v:imagedata o:title=""/>
                  <o:lock v:ext="edit"/>
                  <w10:wrap type="none"/>
                  <w10:anchorlock/>
                </v:shape>
              </w:pict>
            </w:r>
          </w:p>
          <w:p w14:paraId="32D2732E">
            <w:pPr>
              <w:spacing w:line="342" w:lineRule="auto"/>
              <w:rPr>
                <w:rFonts w:ascii="Arial"/>
                <w:sz w:val="21"/>
              </w:rPr>
            </w:pPr>
          </w:p>
          <w:p w14:paraId="554E810C">
            <w:pPr>
              <w:pStyle w:val="7"/>
              <w:spacing w:before="78" w:line="220" w:lineRule="auto"/>
              <w:ind w:left="364"/>
            </w:pPr>
            <w:r>
              <w:rPr>
                <w:b/>
                <w:bCs/>
                <w:spacing w:val="-13"/>
              </w:rPr>
              <w:t>备注</w:t>
            </w:r>
          </w:p>
          <w:p w14:paraId="07FCB0F2">
            <w:pPr>
              <w:spacing w:line="265" w:lineRule="auto"/>
              <w:rPr>
                <w:rFonts w:ascii="Arial"/>
                <w:sz w:val="21"/>
              </w:rPr>
            </w:pPr>
          </w:p>
          <w:p w14:paraId="0391C6EC">
            <w:pPr>
              <w:spacing w:line="266" w:lineRule="auto"/>
              <w:rPr>
                <w:rFonts w:ascii="Arial"/>
                <w:sz w:val="21"/>
              </w:rPr>
            </w:pPr>
          </w:p>
          <w:p w14:paraId="52D12894">
            <w:pPr>
              <w:spacing w:line="49" w:lineRule="exact"/>
            </w:pPr>
            <w:r>
              <w:rPr>
                <w:position w:val="-1"/>
              </w:rPr>
              <w:pict>
                <v:shape id="_x0000_s4392" o:spid="_x0000_s4392" style="height:2.9pt;width:56.65pt;" fillcolor="#DEEAF6" filled="t" stroked="f" coordsize="1133,58" path="m0,57l1132,57,1132,0,0,0,0,57xe">
                  <v:path/>
                  <v:fill on="t" focussize="0,0"/>
                  <v:stroke on="f"/>
                  <v:imagedata o:title=""/>
                  <o:lock v:ext="edit"/>
                  <w10:wrap type="none"/>
                  <w10:anchorlock/>
                </v:shape>
              </w:pict>
            </w:r>
          </w:p>
        </w:tc>
      </w:tr>
      <w:tr w14:paraId="5D75FD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4" w:hRule="atLeast"/>
        </w:trPr>
        <w:tc>
          <w:tcPr>
            <w:tcW w:w="610" w:type="dxa"/>
            <w:tcBorders>
              <w:left w:val="single" w:color="000000" w:sz="4" w:space="0"/>
            </w:tcBorders>
            <w:vAlign w:val="top"/>
          </w:tcPr>
          <w:p w14:paraId="7CCA11D1">
            <w:pPr>
              <w:pStyle w:val="7"/>
              <w:spacing w:before="145" w:line="238" w:lineRule="auto"/>
              <w:ind w:left="275"/>
            </w:pPr>
            <w:r>
              <w:t>1</w:t>
            </w:r>
          </w:p>
        </w:tc>
        <w:tc>
          <w:tcPr>
            <w:tcW w:w="1462" w:type="dxa"/>
            <w:vAlign w:val="top"/>
          </w:tcPr>
          <w:p w14:paraId="7B8DF7B9">
            <w:pPr>
              <w:pStyle w:val="7"/>
              <w:spacing w:before="144" w:line="217" w:lineRule="auto"/>
              <w:ind w:left="409"/>
            </w:pPr>
            <w:r>
              <w:rPr>
                <w:spacing w:val="-13"/>
              </w:rPr>
              <w:t>经纬仪</w:t>
            </w:r>
          </w:p>
        </w:tc>
        <w:tc>
          <w:tcPr>
            <w:tcW w:w="1676" w:type="dxa"/>
            <w:vAlign w:val="top"/>
          </w:tcPr>
          <w:p w14:paraId="7B759535">
            <w:pPr>
              <w:pStyle w:val="7"/>
              <w:spacing w:before="145" w:line="238" w:lineRule="auto"/>
              <w:ind w:left="568"/>
            </w:pPr>
            <w:r>
              <w:rPr>
                <w:spacing w:val="-10"/>
              </w:rPr>
              <w:t>J2-JD</w:t>
            </w:r>
          </w:p>
        </w:tc>
        <w:tc>
          <w:tcPr>
            <w:tcW w:w="682" w:type="dxa"/>
            <w:vAlign w:val="top"/>
          </w:tcPr>
          <w:p w14:paraId="2B8ABC2A">
            <w:pPr>
              <w:pStyle w:val="7"/>
              <w:spacing w:before="144" w:line="237" w:lineRule="auto"/>
              <w:ind w:left="290"/>
            </w:pPr>
            <w:r>
              <w:t>5</w:t>
            </w:r>
          </w:p>
        </w:tc>
        <w:tc>
          <w:tcPr>
            <w:tcW w:w="887" w:type="dxa"/>
            <w:vAlign w:val="top"/>
          </w:tcPr>
          <w:p w14:paraId="5B740E8B">
            <w:pPr>
              <w:pStyle w:val="7"/>
              <w:spacing w:before="145" w:line="218" w:lineRule="auto"/>
              <w:ind w:left="242"/>
            </w:pPr>
            <w:r>
              <w:rPr>
                <w:spacing w:val="-12"/>
              </w:rPr>
              <w:t>苏州</w:t>
            </w:r>
          </w:p>
        </w:tc>
        <w:tc>
          <w:tcPr>
            <w:tcW w:w="924" w:type="dxa"/>
            <w:vAlign w:val="top"/>
          </w:tcPr>
          <w:p w14:paraId="3D4F2D64">
            <w:pPr>
              <w:pStyle w:val="7"/>
              <w:spacing w:before="145" w:line="237" w:lineRule="auto"/>
              <w:ind w:left="186" w:leftChars="0"/>
            </w:pPr>
            <w:r>
              <w:rPr>
                <w:spacing w:val="-9"/>
              </w:rPr>
              <w:t>202</w:t>
            </w:r>
            <w:r>
              <w:rPr>
                <w:rFonts w:hint="eastAsia"/>
                <w:spacing w:val="-9"/>
                <w:lang w:val="en-US" w:eastAsia="zh-CN"/>
              </w:rPr>
              <w:t>1</w:t>
            </w:r>
          </w:p>
        </w:tc>
        <w:tc>
          <w:tcPr>
            <w:tcW w:w="910" w:type="dxa"/>
            <w:vAlign w:val="top"/>
          </w:tcPr>
          <w:p w14:paraId="6A2CA5B3">
            <w:pPr>
              <w:pStyle w:val="7"/>
              <w:spacing w:before="144" w:line="237" w:lineRule="auto"/>
              <w:ind w:left="351"/>
            </w:pPr>
            <w:r>
              <w:rPr>
                <w:spacing w:val="-7"/>
              </w:rPr>
              <w:t>50</w:t>
            </w:r>
          </w:p>
        </w:tc>
        <w:tc>
          <w:tcPr>
            <w:tcW w:w="1271" w:type="dxa"/>
            <w:vAlign w:val="top"/>
          </w:tcPr>
          <w:p w14:paraId="44EFC479">
            <w:pPr>
              <w:pStyle w:val="7"/>
              <w:spacing w:before="144" w:line="219" w:lineRule="auto"/>
              <w:ind w:left="212"/>
            </w:pPr>
            <w:r>
              <w:rPr>
                <w:spacing w:val="-15"/>
              </w:rPr>
              <w:t>测量放线</w:t>
            </w:r>
          </w:p>
        </w:tc>
        <w:tc>
          <w:tcPr>
            <w:tcW w:w="1150" w:type="dxa"/>
            <w:vMerge w:val="restart"/>
            <w:tcBorders>
              <w:bottom w:val="nil"/>
              <w:right w:val="single" w:color="5B9BD5" w:sz="4" w:space="0"/>
            </w:tcBorders>
            <w:vAlign w:val="top"/>
          </w:tcPr>
          <w:p w14:paraId="196CBB85">
            <w:pPr>
              <w:spacing w:line="297" w:lineRule="auto"/>
              <w:rPr>
                <w:rFonts w:ascii="Arial"/>
                <w:sz w:val="21"/>
              </w:rPr>
            </w:pPr>
            <w:r>
              <w:pict>
                <v:shape id="_x0000_s4394" o:spid="_x0000_s4394" style="position:absolute;left:0pt;margin-left:55.65pt;margin-top:142.35pt;height:0.75pt;width:2.2pt;mso-position-horizontal-relative:page;mso-position-vertical-relative:page;z-index:252374016;mso-width-relative:page;mso-height-relative:page;" fillcolor="#5B9BD5" filled="t" stroked="f" coordsize="44,15" path="m0,14l43,14,43,0,0,0,0,14xe">
                  <v:path/>
                  <v:fill on="t" focussize="0,0"/>
                  <v:stroke on="f"/>
                  <v:imagedata o:title=""/>
                  <o:lock v:ext="edit"/>
                </v:shape>
              </w:pict>
            </w:r>
          </w:p>
          <w:p w14:paraId="52B7E753">
            <w:pPr>
              <w:spacing w:line="298" w:lineRule="auto"/>
              <w:rPr>
                <w:rFonts w:ascii="Arial"/>
                <w:sz w:val="21"/>
              </w:rPr>
            </w:pPr>
          </w:p>
          <w:p w14:paraId="7A718345">
            <w:pPr>
              <w:spacing w:line="298" w:lineRule="auto"/>
              <w:rPr>
                <w:rFonts w:ascii="Arial"/>
                <w:sz w:val="21"/>
              </w:rPr>
            </w:pPr>
          </w:p>
          <w:p w14:paraId="600A7895">
            <w:pPr>
              <w:pStyle w:val="7"/>
              <w:spacing w:before="78" w:line="360" w:lineRule="auto"/>
              <w:ind w:left="255" w:right="157" w:hanging="82"/>
            </w:pPr>
            <w:r>
              <w:rPr>
                <w:spacing w:val="-7"/>
              </w:rPr>
              <w:t>开工前3</w:t>
            </w:r>
            <w:r>
              <w:rPr>
                <w:spacing w:val="-14"/>
              </w:rPr>
              <w:t>天进场</w:t>
            </w:r>
          </w:p>
        </w:tc>
      </w:tr>
      <w:tr w14:paraId="5C6E2C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5" w:hRule="atLeast"/>
        </w:trPr>
        <w:tc>
          <w:tcPr>
            <w:tcW w:w="610" w:type="dxa"/>
            <w:tcBorders>
              <w:left w:val="single" w:color="000000" w:sz="4" w:space="0"/>
            </w:tcBorders>
            <w:vAlign w:val="top"/>
          </w:tcPr>
          <w:p w14:paraId="1B6843BE">
            <w:pPr>
              <w:pStyle w:val="7"/>
              <w:spacing w:before="147" w:line="238" w:lineRule="auto"/>
              <w:ind w:left="260"/>
            </w:pPr>
            <w:r>
              <w:t>2</w:t>
            </w:r>
          </w:p>
        </w:tc>
        <w:tc>
          <w:tcPr>
            <w:tcW w:w="1462" w:type="dxa"/>
            <w:vAlign w:val="top"/>
          </w:tcPr>
          <w:p w14:paraId="2E917F7C">
            <w:pPr>
              <w:pStyle w:val="7"/>
              <w:spacing w:before="147" w:line="218" w:lineRule="auto"/>
              <w:ind w:left="414"/>
            </w:pPr>
            <w:r>
              <w:rPr>
                <w:spacing w:val="-15"/>
              </w:rPr>
              <w:t>全站仪</w:t>
            </w:r>
          </w:p>
        </w:tc>
        <w:tc>
          <w:tcPr>
            <w:tcW w:w="1676" w:type="dxa"/>
            <w:vAlign w:val="top"/>
          </w:tcPr>
          <w:p w14:paraId="4DFCB6C0">
            <w:pPr>
              <w:rPr>
                <w:rFonts w:ascii="Arial"/>
                <w:sz w:val="21"/>
              </w:rPr>
            </w:pPr>
          </w:p>
        </w:tc>
        <w:tc>
          <w:tcPr>
            <w:tcW w:w="682" w:type="dxa"/>
            <w:vAlign w:val="top"/>
          </w:tcPr>
          <w:p w14:paraId="1A869396">
            <w:pPr>
              <w:pStyle w:val="7"/>
              <w:spacing w:before="147" w:line="237" w:lineRule="auto"/>
              <w:ind w:left="290"/>
            </w:pPr>
            <w:r>
              <w:t>5</w:t>
            </w:r>
          </w:p>
        </w:tc>
        <w:tc>
          <w:tcPr>
            <w:tcW w:w="887" w:type="dxa"/>
            <w:vAlign w:val="top"/>
          </w:tcPr>
          <w:p w14:paraId="194C5DDB">
            <w:pPr>
              <w:pStyle w:val="7"/>
              <w:spacing w:before="147" w:line="218" w:lineRule="auto"/>
              <w:ind w:left="242"/>
            </w:pPr>
            <w:r>
              <w:rPr>
                <w:spacing w:val="-12"/>
              </w:rPr>
              <w:t>苏州</w:t>
            </w:r>
          </w:p>
        </w:tc>
        <w:tc>
          <w:tcPr>
            <w:tcW w:w="924" w:type="dxa"/>
            <w:vAlign w:val="top"/>
          </w:tcPr>
          <w:p w14:paraId="564E603D">
            <w:pPr>
              <w:pStyle w:val="7"/>
              <w:spacing w:before="146" w:line="237" w:lineRule="auto"/>
              <w:ind w:left="186" w:leftChars="0"/>
            </w:pPr>
            <w:r>
              <w:rPr>
                <w:spacing w:val="-9"/>
              </w:rPr>
              <w:t>2022</w:t>
            </w:r>
          </w:p>
        </w:tc>
        <w:tc>
          <w:tcPr>
            <w:tcW w:w="910" w:type="dxa"/>
            <w:vAlign w:val="top"/>
          </w:tcPr>
          <w:p w14:paraId="40F779ED">
            <w:pPr>
              <w:pStyle w:val="7"/>
              <w:spacing w:before="147" w:line="237" w:lineRule="auto"/>
              <w:ind w:left="311"/>
            </w:pPr>
            <w:r>
              <w:rPr>
                <w:spacing w:val="-12"/>
              </w:rPr>
              <w:t>120</w:t>
            </w:r>
          </w:p>
        </w:tc>
        <w:tc>
          <w:tcPr>
            <w:tcW w:w="1271" w:type="dxa"/>
            <w:vAlign w:val="top"/>
          </w:tcPr>
          <w:p w14:paraId="37E52271">
            <w:pPr>
              <w:pStyle w:val="7"/>
              <w:spacing w:before="147" w:line="217" w:lineRule="auto"/>
              <w:ind w:left="217"/>
            </w:pPr>
            <w:r>
              <w:rPr>
                <w:spacing w:val="-16"/>
              </w:rPr>
              <w:t>定位测量</w:t>
            </w:r>
          </w:p>
        </w:tc>
        <w:tc>
          <w:tcPr>
            <w:tcW w:w="1150" w:type="dxa"/>
            <w:vMerge w:val="continue"/>
            <w:tcBorders>
              <w:top w:val="nil"/>
              <w:bottom w:val="nil"/>
              <w:right w:val="single" w:color="5B9BD5" w:sz="4" w:space="0"/>
            </w:tcBorders>
            <w:vAlign w:val="top"/>
          </w:tcPr>
          <w:p w14:paraId="60A120C4">
            <w:pPr>
              <w:rPr>
                <w:rFonts w:ascii="Arial"/>
                <w:sz w:val="21"/>
              </w:rPr>
            </w:pPr>
          </w:p>
        </w:tc>
      </w:tr>
      <w:tr w14:paraId="7244AE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2" w:hRule="atLeast"/>
        </w:trPr>
        <w:tc>
          <w:tcPr>
            <w:tcW w:w="610" w:type="dxa"/>
            <w:tcBorders>
              <w:left w:val="single" w:color="000000" w:sz="4" w:space="0"/>
            </w:tcBorders>
            <w:vAlign w:val="top"/>
          </w:tcPr>
          <w:p w14:paraId="3BA9993E">
            <w:pPr>
              <w:pStyle w:val="7"/>
              <w:spacing w:before="148" w:line="237" w:lineRule="auto"/>
              <w:ind w:left="262"/>
            </w:pPr>
            <w:r>
              <w:t>3</w:t>
            </w:r>
          </w:p>
        </w:tc>
        <w:tc>
          <w:tcPr>
            <w:tcW w:w="1462" w:type="dxa"/>
            <w:vAlign w:val="top"/>
          </w:tcPr>
          <w:p w14:paraId="74BD6BC5">
            <w:pPr>
              <w:pStyle w:val="7"/>
              <w:spacing w:before="148" w:line="218" w:lineRule="auto"/>
              <w:ind w:left="408"/>
            </w:pPr>
            <w:r>
              <w:rPr>
                <w:spacing w:val="-13"/>
              </w:rPr>
              <w:t>水准仪</w:t>
            </w:r>
          </w:p>
        </w:tc>
        <w:tc>
          <w:tcPr>
            <w:tcW w:w="1676" w:type="dxa"/>
            <w:vAlign w:val="top"/>
          </w:tcPr>
          <w:p w14:paraId="308C68CB">
            <w:pPr>
              <w:pStyle w:val="7"/>
              <w:spacing w:before="148" w:line="237" w:lineRule="auto"/>
              <w:ind w:left="670"/>
            </w:pPr>
            <w:r>
              <w:rPr>
                <w:spacing w:val="-6"/>
              </w:rPr>
              <w:t>DS3</w:t>
            </w:r>
          </w:p>
        </w:tc>
        <w:tc>
          <w:tcPr>
            <w:tcW w:w="682" w:type="dxa"/>
            <w:vAlign w:val="top"/>
          </w:tcPr>
          <w:p w14:paraId="2F48756E">
            <w:pPr>
              <w:pStyle w:val="7"/>
              <w:spacing w:before="148" w:line="237" w:lineRule="auto"/>
              <w:ind w:left="248"/>
            </w:pPr>
            <w:r>
              <w:rPr>
                <w:spacing w:val="-10"/>
              </w:rPr>
              <w:t>10</w:t>
            </w:r>
          </w:p>
        </w:tc>
        <w:tc>
          <w:tcPr>
            <w:tcW w:w="887" w:type="dxa"/>
            <w:vAlign w:val="top"/>
          </w:tcPr>
          <w:p w14:paraId="239060BF">
            <w:pPr>
              <w:pStyle w:val="7"/>
              <w:spacing w:before="148" w:line="218" w:lineRule="auto"/>
              <w:ind w:left="242"/>
            </w:pPr>
            <w:r>
              <w:rPr>
                <w:spacing w:val="-12"/>
              </w:rPr>
              <w:t>苏州</w:t>
            </w:r>
          </w:p>
        </w:tc>
        <w:tc>
          <w:tcPr>
            <w:tcW w:w="924" w:type="dxa"/>
            <w:vAlign w:val="top"/>
          </w:tcPr>
          <w:p w14:paraId="28354CA7">
            <w:pPr>
              <w:pStyle w:val="7"/>
              <w:spacing w:before="145" w:line="237" w:lineRule="auto"/>
              <w:ind w:left="186" w:leftChars="0"/>
            </w:pPr>
            <w:r>
              <w:rPr>
                <w:spacing w:val="-9"/>
              </w:rPr>
              <w:t>202</w:t>
            </w:r>
            <w:r>
              <w:rPr>
                <w:rFonts w:hint="eastAsia"/>
                <w:spacing w:val="-9"/>
                <w:lang w:val="en-US" w:eastAsia="zh-CN"/>
              </w:rPr>
              <w:t>1</w:t>
            </w:r>
          </w:p>
        </w:tc>
        <w:tc>
          <w:tcPr>
            <w:tcW w:w="910" w:type="dxa"/>
            <w:vAlign w:val="top"/>
          </w:tcPr>
          <w:p w14:paraId="3CFEA969">
            <w:pPr>
              <w:pStyle w:val="7"/>
              <w:spacing w:before="148" w:line="237" w:lineRule="auto"/>
              <w:ind w:left="351"/>
            </w:pPr>
            <w:r>
              <w:rPr>
                <w:spacing w:val="-7"/>
              </w:rPr>
              <w:t>30</w:t>
            </w:r>
          </w:p>
        </w:tc>
        <w:tc>
          <w:tcPr>
            <w:tcW w:w="1271" w:type="dxa"/>
            <w:vAlign w:val="top"/>
          </w:tcPr>
          <w:p w14:paraId="017526A6">
            <w:pPr>
              <w:pStyle w:val="7"/>
              <w:spacing w:before="148" w:line="218" w:lineRule="auto"/>
              <w:ind w:left="211"/>
            </w:pPr>
            <w:r>
              <w:rPr>
                <w:spacing w:val="-15"/>
              </w:rPr>
              <w:t>水准测量</w:t>
            </w:r>
          </w:p>
        </w:tc>
        <w:tc>
          <w:tcPr>
            <w:tcW w:w="1150" w:type="dxa"/>
            <w:vMerge w:val="continue"/>
            <w:tcBorders>
              <w:top w:val="nil"/>
              <w:bottom w:val="nil"/>
              <w:right w:val="single" w:color="5B9BD5" w:sz="4" w:space="0"/>
            </w:tcBorders>
            <w:vAlign w:val="top"/>
          </w:tcPr>
          <w:p w14:paraId="4EA20070">
            <w:pPr>
              <w:rPr>
                <w:rFonts w:ascii="Arial"/>
                <w:sz w:val="21"/>
              </w:rPr>
            </w:pPr>
          </w:p>
        </w:tc>
      </w:tr>
      <w:tr w14:paraId="2B6F90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0" w:hRule="atLeast"/>
        </w:trPr>
        <w:tc>
          <w:tcPr>
            <w:tcW w:w="610" w:type="dxa"/>
            <w:tcBorders>
              <w:left w:val="single" w:color="1C456A" w:sz="4" w:space="0"/>
              <w:bottom w:val="single" w:color="1C456A" w:sz="4" w:space="0"/>
            </w:tcBorders>
            <w:vAlign w:val="top"/>
          </w:tcPr>
          <w:p w14:paraId="535ABE1C">
            <w:pPr>
              <w:pStyle w:val="7"/>
              <w:spacing w:before="181" w:line="238" w:lineRule="auto"/>
              <w:ind w:left="257"/>
            </w:pPr>
            <w:r>
              <w:t>4</w:t>
            </w:r>
          </w:p>
        </w:tc>
        <w:tc>
          <w:tcPr>
            <w:tcW w:w="1462" w:type="dxa"/>
            <w:tcBorders>
              <w:bottom w:val="single" w:color="000000" w:sz="4" w:space="0"/>
            </w:tcBorders>
            <w:vAlign w:val="top"/>
          </w:tcPr>
          <w:p w14:paraId="377B5724">
            <w:pPr>
              <w:pStyle w:val="7"/>
              <w:spacing w:before="181" w:line="218" w:lineRule="auto"/>
              <w:ind w:left="86"/>
            </w:pPr>
            <w:r>
              <w:rPr>
                <w:spacing w:val="-19"/>
              </w:rPr>
              <w:t>激光垂准仪器</w:t>
            </w:r>
          </w:p>
        </w:tc>
        <w:tc>
          <w:tcPr>
            <w:tcW w:w="1676" w:type="dxa"/>
            <w:tcBorders>
              <w:bottom w:val="single" w:color="000000" w:sz="4" w:space="0"/>
            </w:tcBorders>
            <w:vAlign w:val="top"/>
          </w:tcPr>
          <w:p w14:paraId="3BC3CC59">
            <w:pPr>
              <w:pStyle w:val="7"/>
              <w:spacing w:before="225" w:line="178" w:lineRule="auto"/>
              <w:ind w:left="615"/>
            </w:pPr>
            <w:r>
              <w:rPr>
                <w:spacing w:val="-7"/>
              </w:rPr>
              <w:t>DZJ2</w:t>
            </w:r>
          </w:p>
        </w:tc>
        <w:tc>
          <w:tcPr>
            <w:tcW w:w="682" w:type="dxa"/>
            <w:tcBorders>
              <w:bottom w:val="single" w:color="000000" w:sz="4" w:space="0"/>
            </w:tcBorders>
            <w:vAlign w:val="top"/>
          </w:tcPr>
          <w:p w14:paraId="528C17F6">
            <w:pPr>
              <w:pStyle w:val="7"/>
              <w:spacing w:before="181" w:line="237" w:lineRule="auto"/>
              <w:ind w:left="290"/>
            </w:pPr>
            <w:r>
              <w:t>5</w:t>
            </w:r>
          </w:p>
        </w:tc>
        <w:tc>
          <w:tcPr>
            <w:tcW w:w="887" w:type="dxa"/>
            <w:tcBorders>
              <w:bottom w:val="single" w:color="000000" w:sz="4" w:space="0"/>
            </w:tcBorders>
            <w:vAlign w:val="top"/>
          </w:tcPr>
          <w:p w14:paraId="105E9E53">
            <w:pPr>
              <w:pStyle w:val="7"/>
              <w:spacing w:before="181" w:line="218" w:lineRule="auto"/>
              <w:ind w:left="242"/>
            </w:pPr>
            <w:r>
              <w:rPr>
                <w:spacing w:val="-12"/>
              </w:rPr>
              <w:t>苏州</w:t>
            </w:r>
          </w:p>
        </w:tc>
        <w:tc>
          <w:tcPr>
            <w:tcW w:w="924" w:type="dxa"/>
            <w:tcBorders>
              <w:bottom w:val="single" w:color="000000" w:sz="4" w:space="0"/>
            </w:tcBorders>
            <w:vAlign w:val="top"/>
          </w:tcPr>
          <w:p w14:paraId="3D43F89D">
            <w:pPr>
              <w:pStyle w:val="7"/>
              <w:spacing w:before="146" w:line="237" w:lineRule="auto"/>
              <w:ind w:left="186" w:leftChars="0"/>
            </w:pPr>
            <w:r>
              <w:rPr>
                <w:spacing w:val="-9"/>
              </w:rPr>
              <w:t>2022</w:t>
            </w:r>
          </w:p>
        </w:tc>
        <w:tc>
          <w:tcPr>
            <w:tcW w:w="910" w:type="dxa"/>
            <w:tcBorders>
              <w:bottom w:val="single" w:color="000000" w:sz="4" w:space="0"/>
            </w:tcBorders>
            <w:vAlign w:val="top"/>
          </w:tcPr>
          <w:p w14:paraId="7D9BB017">
            <w:pPr>
              <w:pStyle w:val="7"/>
              <w:spacing w:before="181" w:line="237" w:lineRule="auto"/>
              <w:ind w:left="351"/>
            </w:pPr>
            <w:r>
              <w:rPr>
                <w:spacing w:val="-7"/>
              </w:rPr>
              <w:t>50</w:t>
            </w:r>
          </w:p>
        </w:tc>
        <w:tc>
          <w:tcPr>
            <w:tcW w:w="1271" w:type="dxa"/>
            <w:tcBorders>
              <w:bottom w:val="single" w:color="000000" w:sz="4" w:space="0"/>
            </w:tcBorders>
            <w:vAlign w:val="top"/>
          </w:tcPr>
          <w:p w14:paraId="23766047">
            <w:pPr>
              <w:pStyle w:val="7"/>
              <w:spacing w:before="181" w:line="218" w:lineRule="auto"/>
              <w:ind w:left="219"/>
            </w:pPr>
            <w:r>
              <w:rPr>
                <w:spacing w:val="-17"/>
              </w:rPr>
              <w:t>垂直引测</w:t>
            </w:r>
          </w:p>
        </w:tc>
        <w:tc>
          <w:tcPr>
            <w:tcW w:w="1150" w:type="dxa"/>
            <w:vMerge w:val="continue"/>
            <w:tcBorders>
              <w:top w:val="nil"/>
              <w:bottom w:val="single" w:color="5B9BD5" w:sz="4" w:space="0"/>
              <w:right w:val="single" w:color="5B9BD5" w:sz="4" w:space="0"/>
            </w:tcBorders>
            <w:vAlign w:val="top"/>
          </w:tcPr>
          <w:p w14:paraId="52A67711">
            <w:pPr>
              <w:rPr>
                <w:rFonts w:ascii="Arial"/>
                <w:sz w:val="21"/>
              </w:rPr>
            </w:pPr>
          </w:p>
        </w:tc>
      </w:tr>
    </w:tbl>
    <w:p w14:paraId="0EDE83E2">
      <w:pPr>
        <w:spacing w:line="209" w:lineRule="exact"/>
        <w:rPr>
          <w:rFonts w:ascii="Arial"/>
          <w:sz w:val="18"/>
        </w:rPr>
      </w:pPr>
    </w:p>
    <w:p w14:paraId="49191EC5">
      <w:pPr>
        <w:spacing w:line="209" w:lineRule="exact"/>
        <w:rPr>
          <w:rFonts w:ascii="Arial" w:hAnsi="Arial" w:eastAsia="Arial" w:cs="Arial"/>
          <w:sz w:val="18"/>
          <w:szCs w:val="18"/>
        </w:rPr>
        <w:sectPr>
          <w:footerReference r:id="rId395" w:type="default"/>
          <w:pgSz w:w="11907" w:h="16839"/>
          <w:pgMar w:top="933" w:right="4" w:bottom="1038" w:left="0" w:header="478" w:footer="357" w:gutter="0"/>
          <w:pgBorders>
            <w:top w:val="none" w:sz="0" w:space="0"/>
            <w:left w:val="none" w:sz="0" w:space="0"/>
            <w:bottom w:val="none" w:sz="0" w:space="0"/>
            <w:right w:val="none" w:sz="0" w:space="0"/>
          </w:pgBorders>
          <w:cols w:space="720" w:num="1"/>
        </w:sectPr>
      </w:pPr>
    </w:p>
    <w:p w14:paraId="2BA864E3">
      <w:pPr>
        <w:spacing w:line="235" w:lineRule="exact"/>
      </w:pPr>
    </w:p>
    <w:tbl>
      <w:tblPr>
        <w:tblStyle w:val="6"/>
        <w:tblW w:w="9572" w:type="dxa"/>
        <w:tblInd w:w="1166"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04"/>
        <w:gridCol w:w="1465"/>
        <w:gridCol w:w="1674"/>
        <w:gridCol w:w="681"/>
        <w:gridCol w:w="890"/>
        <w:gridCol w:w="923"/>
        <w:gridCol w:w="908"/>
        <w:gridCol w:w="1274"/>
        <w:gridCol w:w="1153"/>
      </w:tblGrid>
      <w:tr w14:paraId="4188AB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2" w:hRule="atLeast"/>
        </w:trPr>
        <w:tc>
          <w:tcPr>
            <w:tcW w:w="604" w:type="dxa"/>
            <w:tcBorders>
              <w:top w:val="single" w:color="000000" w:sz="4" w:space="0"/>
              <w:left w:val="single" w:color="000000" w:sz="4" w:space="0"/>
            </w:tcBorders>
            <w:vAlign w:val="top"/>
          </w:tcPr>
          <w:p w14:paraId="7751FA3B">
            <w:pPr>
              <w:pStyle w:val="7"/>
              <w:spacing w:before="179" w:line="237" w:lineRule="auto"/>
              <w:ind w:left="262"/>
            </w:pPr>
            <w:r>
              <w:t>5</w:t>
            </w:r>
          </w:p>
        </w:tc>
        <w:tc>
          <w:tcPr>
            <w:tcW w:w="1465" w:type="dxa"/>
            <w:tcBorders>
              <w:top w:val="single" w:color="000000" w:sz="4" w:space="0"/>
            </w:tcBorders>
            <w:vAlign w:val="top"/>
          </w:tcPr>
          <w:p w14:paraId="5D9F217B">
            <w:pPr>
              <w:pStyle w:val="7"/>
              <w:spacing w:before="179" w:line="216" w:lineRule="auto"/>
              <w:ind w:left="204"/>
            </w:pPr>
            <w:r>
              <w:rPr>
                <w:spacing w:val="-18"/>
              </w:rPr>
              <w:t>质量检测器</w:t>
            </w:r>
          </w:p>
        </w:tc>
        <w:tc>
          <w:tcPr>
            <w:tcW w:w="1674" w:type="dxa"/>
            <w:tcBorders>
              <w:top w:val="single" w:color="000000" w:sz="4" w:space="0"/>
            </w:tcBorders>
            <w:vAlign w:val="top"/>
          </w:tcPr>
          <w:p w14:paraId="124B1A13">
            <w:pPr>
              <w:rPr>
                <w:rFonts w:ascii="Arial"/>
                <w:sz w:val="21"/>
              </w:rPr>
            </w:pPr>
          </w:p>
        </w:tc>
        <w:tc>
          <w:tcPr>
            <w:tcW w:w="681" w:type="dxa"/>
            <w:tcBorders>
              <w:top w:val="single" w:color="000000" w:sz="4" w:space="0"/>
            </w:tcBorders>
            <w:vAlign w:val="top"/>
          </w:tcPr>
          <w:p w14:paraId="0DB8CA8B">
            <w:pPr>
              <w:pStyle w:val="7"/>
              <w:spacing w:before="180" w:line="238" w:lineRule="auto"/>
              <w:ind w:left="293"/>
            </w:pPr>
            <w:r>
              <w:t>2</w:t>
            </w:r>
          </w:p>
        </w:tc>
        <w:tc>
          <w:tcPr>
            <w:tcW w:w="890" w:type="dxa"/>
            <w:tcBorders>
              <w:top w:val="single" w:color="000000" w:sz="4" w:space="0"/>
            </w:tcBorders>
            <w:vAlign w:val="top"/>
          </w:tcPr>
          <w:p w14:paraId="378BADB4">
            <w:pPr>
              <w:pStyle w:val="7"/>
              <w:spacing w:before="179" w:line="218" w:lineRule="auto"/>
              <w:ind w:left="248"/>
            </w:pPr>
            <w:r>
              <w:rPr>
                <w:spacing w:val="-12"/>
              </w:rPr>
              <w:t>苏州</w:t>
            </w:r>
          </w:p>
        </w:tc>
        <w:tc>
          <w:tcPr>
            <w:tcW w:w="923" w:type="dxa"/>
            <w:tcBorders>
              <w:top w:val="single" w:color="000000" w:sz="4" w:space="0"/>
            </w:tcBorders>
            <w:vAlign w:val="top"/>
          </w:tcPr>
          <w:p w14:paraId="6794CBDC">
            <w:pPr>
              <w:pStyle w:val="7"/>
              <w:spacing w:before="145" w:line="237" w:lineRule="auto"/>
              <w:ind w:left="186" w:leftChars="0"/>
            </w:pPr>
            <w:r>
              <w:rPr>
                <w:spacing w:val="-9"/>
              </w:rPr>
              <w:t>202</w:t>
            </w:r>
            <w:r>
              <w:rPr>
                <w:rFonts w:hint="eastAsia"/>
                <w:spacing w:val="-9"/>
                <w:lang w:val="en-US" w:eastAsia="zh-CN"/>
              </w:rPr>
              <w:t>1</w:t>
            </w:r>
          </w:p>
        </w:tc>
        <w:tc>
          <w:tcPr>
            <w:tcW w:w="908" w:type="dxa"/>
            <w:tcBorders>
              <w:top w:val="single" w:color="000000" w:sz="4" w:space="0"/>
            </w:tcBorders>
            <w:vAlign w:val="top"/>
          </w:tcPr>
          <w:p w14:paraId="62C72A40">
            <w:pPr>
              <w:pStyle w:val="7"/>
              <w:spacing w:before="179" w:line="237" w:lineRule="auto"/>
              <w:ind w:left="353"/>
            </w:pPr>
            <w:r>
              <w:rPr>
                <w:spacing w:val="-6"/>
              </w:rPr>
              <w:t>20</w:t>
            </w:r>
          </w:p>
        </w:tc>
        <w:tc>
          <w:tcPr>
            <w:tcW w:w="1274" w:type="dxa"/>
            <w:tcBorders>
              <w:top w:val="single" w:color="000000" w:sz="4" w:space="0"/>
            </w:tcBorders>
            <w:vAlign w:val="top"/>
          </w:tcPr>
          <w:p w14:paraId="0E261C7D">
            <w:pPr>
              <w:pStyle w:val="7"/>
              <w:spacing w:before="179" w:line="216" w:lineRule="auto"/>
              <w:ind w:left="224"/>
            </w:pPr>
            <w:r>
              <w:rPr>
                <w:spacing w:val="-17"/>
              </w:rPr>
              <w:t>质量检测</w:t>
            </w:r>
          </w:p>
        </w:tc>
        <w:tc>
          <w:tcPr>
            <w:tcW w:w="1153" w:type="dxa"/>
            <w:vMerge w:val="restart"/>
            <w:tcBorders>
              <w:top w:val="single" w:color="5B9BD5" w:sz="4" w:space="0"/>
              <w:bottom w:val="nil"/>
              <w:right w:val="single" w:color="5B9BD5" w:sz="4" w:space="0"/>
            </w:tcBorders>
            <w:vAlign w:val="top"/>
          </w:tcPr>
          <w:p w14:paraId="3451C890">
            <w:pPr>
              <w:rPr>
                <w:rFonts w:ascii="Arial"/>
                <w:sz w:val="21"/>
              </w:rPr>
            </w:pPr>
            <w:r>
              <w:pict>
                <v:rect id="_x0000_s4396" o:spid="_x0000_s4396" o:spt="1" style="position:absolute;left:0pt;margin-left:55.8pt;margin-top:688.25pt;height:0.75pt;width:2.2pt;mso-position-horizontal-relative:page;mso-position-vertical-relative:page;z-index:252377088;mso-width-relative:page;mso-height-relative:page;" fillcolor="#5B9BD5" filled="t" stroked="f" coordsize="21600,21600">
                  <v:path/>
                  <v:fill on="t" focussize="0,0"/>
                  <v:stroke on="f"/>
                  <v:imagedata o:title=""/>
                  <o:lock v:ext="edit"/>
                </v:rect>
              </w:pict>
            </w:r>
          </w:p>
        </w:tc>
      </w:tr>
      <w:tr w14:paraId="612A19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6" w:hRule="atLeast"/>
        </w:trPr>
        <w:tc>
          <w:tcPr>
            <w:tcW w:w="604" w:type="dxa"/>
            <w:tcBorders>
              <w:left w:val="single" w:color="000000" w:sz="4" w:space="0"/>
            </w:tcBorders>
            <w:vAlign w:val="top"/>
          </w:tcPr>
          <w:p w14:paraId="7AAEA6BA">
            <w:pPr>
              <w:pStyle w:val="7"/>
              <w:spacing w:before="144" w:line="237" w:lineRule="auto"/>
              <w:ind w:left="259"/>
            </w:pPr>
            <w:r>
              <w:t>6</w:t>
            </w:r>
          </w:p>
        </w:tc>
        <w:tc>
          <w:tcPr>
            <w:tcW w:w="1465" w:type="dxa"/>
            <w:vAlign w:val="top"/>
          </w:tcPr>
          <w:p w14:paraId="2B1E67E8">
            <w:pPr>
              <w:pStyle w:val="7"/>
              <w:spacing w:before="144" w:line="218" w:lineRule="auto"/>
              <w:ind w:left="306"/>
            </w:pPr>
            <w:r>
              <w:rPr>
                <w:spacing w:val="-15"/>
              </w:rPr>
              <w:t>水准标尺</w:t>
            </w:r>
          </w:p>
        </w:tc>
        <w:tc>
          <w:tcPr>
            <w:tcW w:w="1674" w:type="dxa"/>
            <w:vAlign w:val="top"/>
          </w:tcPr>
          <w:p w14:paraId="608D4184">
            <w:pPr>
              <w:pStyle w:val="7"/>
              <w:spacing w:before="144" w:line="237" w:lineRule="auto"/>
              <w:ind w:left="736"/>
            </w:pPr>
            <w:r>
              <w:rPr>
                <w:spacing w:val="-7"/>
              </w:rPr>
              <w:t>5m</w:t>
            </w:r>
          </w:p>
        </w:tc>
        <w:tc>
          <w:tcPr>
            <w:tcW w:w="681" w:type="dxa"/>
            <w:vAlign w:val="top"/>
          </w:tcPr>
          <w:p w14:paraId="2722CD4D">
            <w:pPr>
              <w:pStyle w:val="7"/>
              <w:spacing w:before="144" w:line="238" w:lineRule="auto"/>
              <w:ind w:left="293"/>
            </w:pPr>
            <w:r>
              <w:t>2</w:t>
            </w:r>
          </w:p>
        </w:tc>
        <w:tc>
          <w:tcPr>
            <w:tcW w:w="890" w:type="dxa"/>
            <w:vAlign w:val="top"/>
          </w:tcPr>
          <w:p w14:paraId="1AA220FB">
            <w:pPr>
              <w:pStyle w:val="7"/>
              <w:spacing w:before="144" w:line="218" w:lineRule="auto"/>
              <w:ind w:left="248"/>
            </w:pPr>
            <w:r>
              <w:rPr>
                <w:spacing w:val="-12"/>
              </w:rPr>
              <w:t>苏州</w:t>
            </w:r>
          </w:p>
        </w:tc>
        <w:tc>
          <w:tcPr>
            <w:tcW w:w="923" w:type="dxa"/>
            <w:vAlign w:val="top"/>
          </w:tcPr>
          <w:p w14:paraId="28956001">
            <w:pPr>
              <w:pStyle w:val="7"/>
              <w:spacing w:before="146" w:line="237" w:lineRule="auto"/>
              <w:ind w:left="186" w:leftChars="0"/>
            </w:pPr>
            <w:r>
              <w:rPr>
                <w:spacing w:val="-9"/>
              </w:rPr>
              <w:t>2022</w:t>
            </w:r>
          </w:p>
        </w:tc>
        <w:tc>
          <w:tcPr>
            <w:tcW w:w="908" w:type="dxa"/>
            <w:vAlign w:val="top"/>
          </w:tcPr>
          <w:p w14:paraId="405D9552">
            <w:pPr>
              <w:pStyle w:val="7"/>
              <w:spacing w:before="144" w:line="237" w:lineRule="auto"/>
              <w:ind w:left="353"/>
            </w:pPr>
            <w:r>
              <w:rPr>
                <w:spacing w:val="-6"/>
              </w:rPr>
              <w:t>20</w:t>
            </w:r>
          </w:p>
        </w:tc>
        <w:tc>
          <w:tcPr>
            <w:tcW w:w="1274" w:type="dxa"/>
            <w:vAlign w:val="top"/>
          </w:tcPr>
          <w:p w14:paraId="0C89758A">
            <w:pPr>
              <w:pStyle w:val="7"/>
              <w:spacing w:before="144" w:line="218" w:lineRule="auto"/>
              <w:ind w:left="217"/>
            </w:pPr>
            <w:r>
              <w:rPr>
                <w:spacing w:val="-15"/>
              </w:rPr>
              <w:t>水准测量</w:t>
            </w:r>
          </w:p>
        </w:tc>
        <w:tc>
          <w:tcPr>
            <w:tcW w:w="1153" w:type="dxa"/>
            <w:vMerge w:val="continue"/>
            <w:tcBorders>
              <w:top w:val="nil"/>
              <w:bottom w:val="nil"/>
              <w:right w:val="single" w:color="5B9BD5" w:sz="4" w:space="0"/>
            </w:tcBorders>
            <w:vAlign w:val="top"/>
          </w:tcPr>
          <w:p w14:paraId="425A78BA">
            <w:pPr>
              <w:rPr>
                <w:rFonts w:ascii="Arial"/>
                <w:sz w:val="21"/>
              </w:rPr>
            </w:pPr>
          </w:p>
        </w:tc>
      </w:tr>
      <w:tr w14:paraId="1BA3E2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83" w:hRule="atLeast"/>
        </w:trPr>
        <w:tc>
          <w:tcPr>
            <w:tcW w:w="604" w:type="dxa"/>
            <w:tcBorders>
              <w:left w:val="single" w:color="000000" w:sz="4" w:space="0"/>
            </w:tcBorders>
            <w:vAlign w:val="top"/>
          </w:tcPr>
          <w:p w14:paraId="16F0CBB2">
            <w:pPr>
              <w:pStyle w:val="7"/>
              <w:spacing w:before="142" w:line="237" w:lineRule="auto"/>
              <w:ind w:left="263"/>
            </w:pPr>
            <w:r>
              <w:t>7</w:t>
            </w:r>
          </w:p>
        </w:tc>
        <w:tc>
          <w:tcPr>
            <w:tcW w:w="1465" w:type="dxa"/>
            <w:vAlign w:val="top"/>
          </w:tcPr>
          <w:p w14:paraId="156F2C8E">
            <w:pPr>
              <w:pStyle w:val="7"/>
              <w:spacing w:before="141" w:line="219" w:lineRule="auto"/>
              <w:ind w:left="414"/>
            </w:pPr>
            <w:r>
              <w:rPr>
                <w:spacing w:val="-13"/>
              </w:rPr>
              <w:t>钢卷尺</w:t>
            </w:r>
          </w:p>
        </w:tc>
        <w:tc>
          <w:tcPr>
            <w:tcW w:w="1674" w:type="dxa"/>
            <w:vAlign w:val="top"/>
          </w:tcPr>
          <w:p w14:paraId="131DCAF8">
            <w:pPr>
              <w:pStyle w:val="7"/>
              <w:spacing w:before="142" w:line="237" w:lineRule="auto"/>
              <w:ind w:left="641"/>
            </w:pPr>
            <w:r>
              <w:rPr>
                <w:spacing w:val="-13"/>
              </w:rPr>
              <w:t>100m</w:t>
            </w:r>
          </w:p>
        </w:tc>
        <w:tc>
          <w:tcPr>
            <w:tcW w:w="681" w:type="dxa"/>
            <w:vAlign w:val="top"/>
          </w:tcPr>
          <w:p w14:paraId="2A1F540B">
            <w:pPr>
              <w:pStyle w:val="7"/>
              <w:spacing w:before="142" w:line="238" w:lineRule="auto"/>
              <w:ind w:left="293"/>
            </w:pPr>
            <w:r>
              <w:t>2</w:t>
            </w:r>
          </w:p>
        </w:tc>
        <w:tc>
          <w:tcPr>
            <w:tcW w:w="890" w:type="dxa"/>
            <w:vAlign w:val="top"/>
          </w:tcPr>
          <w:p w14:paraId="7FAF4532">
            <w:pPr>
              <w:pStyle w:val="7"/>
              <w:spacing w:before="142" w:line="218" w:lineRule="auto"/>
              <w:ind w:left="248"/>
            </w:pPr>
            <w:r>
              <w:rPr>
                <w:spacing w:val="-12"/>
              </w:rPr>
              <w:t>北京</w:t>
            </w:r>
          </w:p>
        </w:tc>
        <w:tc>
          <w:tcPr>
            <w:tcW w:w="923" w:type="dxa"/>
            <w:vAlign w:val="top"/>
          </w:tcPr>
          <w:p w14:paraId="0759B707">
            <w:pPr>
              <w:pStyle w:val="7"/>
              <w:spacing w:before="145" w:line="237" w:lineRule="auto"/>
              <w:ind w:left="186" w:leftChars="0"/>
            </w:pPr>
            <w:r>
              <w:rPr>
                <w:spacing w:val="-9"/>
              </w:rPr>
              <w:t>202</w:t>
            </w:r>
            <w:r>
              <w:rPr>
                <w:rFonts w:hint="eastAsia"/>
                <w:spacing w:val="-9"/>
                <w:lang w:val="en-US" w:eastAsia="zh-CN"/>
              </w:rPr>
              <w:t>1</w:t>
            </w:r>
          </w:p>
        </w:tc>
        <w:tc>
          <w:tcPr>
            <w:tcW w:w="908" w:type="dxa"/>
            <w:vAlign w:val="top"/>
          </w:tcPr>
          <w:p w14:paraId="2833A1D2">
            <w:pPr>
              <w:pStyle w:val="7"/>
              <w:spacing w:before="142" w:line="237" w:lineRule="auto"/>
              <w:ind w:left="353"/>
            </w:pPr>
            <w:r>
              <w:rPr>
                <w:spacing w:val="-6"/>
              </w:rPr>
              <w:t>25</w:t>
            </w:r>
          </w:p>
        </w:tc>
        <w:tc>
          <w:tcPr>
            <w:tcW w:w="1274" w:type="dxa"/>
            <w:vAlign w:val="top"/>
          </w:tcPr>
          <w:p w14:paraId="04ECA95A">
            <w:pPr>
              <w:pStyle w:val="7"/>
              <w:spacing w:before="142" w:line="215" w:lineRule="auto"/>
              <w:ind w:left="217"/>
            </w:pPr>
            <w:r>
              <w:rPr>
                <w:spacing w:val="-15"/>
              </w:rPr>
              <w:t>施工放样</w:t>
            </w:r>
          </w:p>
        </w:tc>
        <w:tc>
          <w:tcPr>
            <w:tcW w:w="1153" w:type="dxa"/>
            <w:vMerge w:val="continue"/>
            <w:tcBorders>
              <w:top w:val="nil"/>
              <w:bottom w:val="nil"/>
              <w:right w:val="single" w:color="5B9BD5" w:sz="4" w:space="0"/>
            </w:tcBorders>
            <w:vAlign w:val="top"/>
          </w:tcPr>
          <w:p w14:paraId="00ED23C3">
            <w:pPr>
              <w:rPr>
                <w:rFonts w:ascii="Arial"/>
                <w:sz w:val="21"/>
              </w:rPr>
            </w:pPr>
          </w:p>
        </w:tc>
      </w:tr>
      <w:tr w14:paraId="538637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86" w:hRule="atLeast"/>
        </w:trPr>
        <w:tc>
          <w:tcPr>
            <w:tcW w:w="604" w:type="dxa"/>
            <w:tcBorders>
              <w:left w:val="single" w:color="000000" w:sz="4" w:space="0"/>
            </w:tcBorders>
            <w:vAlign w:val="top"/>
          </w:tcPr>
          <w:p w14:paraId="45163F71">
            <w:pPr>
              <w:pStyle w:val="7"/>
              <w:spacing w:before="145" w:line="237" w:lineRule="auto"/>
              <w:ind w:left="259"/>
            </w:pPr>
            <w:r>
              <w:t>8</w:t>
            </w:r>
          </w:p>
        </w:tc>
        <w:tc>
          <w:tcPr>
            <w:tcW w:w="1465" w:type="dxa"/>
            <w:vAlign w:val="top"/>
          </w:tcPr>
          <w:p w14:paraId="6EDEF13D">
            <w:pPr>
              <w:pStyle w:val="7"/>
              <w:spacing w:before="145" w:line="219" w:lineRule="auto"/>
              <w:ind w:left="414"/>
            </w:pPr>
            <w:r>
              <w:rPr>
                <w:spacing w:val="-13"/>
              </w:rPr>
              <w:t>钢卷尺</w:t>
            </w:r>
          </w:p>
        </w:tc>
        <w:tc>
          <w:tcPr>
            <w:tcW w:w="1674" w:type="dxa"/>
            <w:vAlign w:val="top"/>
          </w:tcPr>
          <w:p w14:paraId="4EE50325">
            <w:pPr>
              <w:pStyle w:val="7"/>
              <w:spacing w:before="145" w:line="237" w:lineRule="auto"/>
              <w:ind w:left="736"/>
            </w:pPr>
            <w:r>
              <w:rPr>
                <w:spacing w:val="-7"/>
              </w:rPr>
              <w:t>5m</w:t>
            </w:r>
          </w:p>
        </w:tc>
        <w:tc>
          <w:tcPr>
            <w:tcW w:w="681" w:type="dxa"/>
            <w:vAlign w:val="top"/>
          </w:tcPr>
          <w:p w14:paraId="3598A61C">
            <w:pPr>
              <w:pStyle w:val="7"/>
              <w:spacing w:before="145" w:line="237" w:lineRule="auto"/>
              <w:ind w:left="253"/>
            </w:pPr>
            <w:r>
              <w:rPr>
                <w:spacing w:val="-10"/>
              </w:rPr>
              <w:t>10</w:t>
            </w:r>
          </w:p>
        </w:tc>
        <w:tc>
          <w:tcPr>
            <w:tcW w:w="890" w:type="dxa"/>
            <w:vAlign w:val="top"/>
          </w:tcPr>
          <w:p w14:paraId="25087C84">
            <w:pPr>
              <w:pStyle w:val="7"/>
              <w:spacing w:before="145" w:line="218" w:lineRule="auto"/>
              <w:ind w:left="248"/>
            </w:pPr>
            <w:r>
              <w:rPr>
                <w:spacing w:val="-12"/>
              </w:rPr>
              <w:t>北京</w:t>
            </w:r>
          </w:p>
        </w:tc>
        <w:tc>
          <w:tcPr>
            <w:tcW w:w="923" w:type="dxa"/>
            <w:vAlign w:val="top"/>
          </w:tcPr>
          <w:p w14:paraId="4789C921">
            <w:pPr>
              <w:pStyle w:val="7"/>
              <w:spacing w:before="146" w:line="237" w:lineRule="auto"/>
              <w:ind w:left="186" w:leftChars="0"/>
            </w:pPr>
            <w:r>
              <w:rPr>
                <w:spacing w:val="-9"/>
              </w:rPr>
              <w:t>2022</w:t>
            </w:r>
          </w:p>
        </w:tc>
        <w:tc>
          <w:tcPr>
            <w:tcW w:w="908" w:type="dxa"/>
            <w:vAlign w:val="top"/>
          </w:tcPr>
          <w:p w14:paraId="4EC1EE3A">
            <w:pPr>
              <w:pStyle w:val="7"/>
              <w:spacing w:before="145" w:line="238" w:lineRule="auto"/>
              <w:ind w:left="353"/>
            </w:pPr>
            <w:r>
              <w:rPr>
                <w:spacing w:val="-6"/>
              </w:rPr>
              <w:t>21</w:t>
            </w:r>
          </w:p>
        </w:tc>
        <w:tc>
          <w:tcPr>
            <w:tcW w:w="1274" w:type="dxa"/>
            <w:vAlign w:val="top"/>
          </w:tcPr>
          <w:p w14:paraId="5BC304F1">
            <w:pPr>
              <w:pStyle w:val="7"/>
              <w:spacing w:before="145" w:line="215" w:lineRule="auto"/>
              <w:ind w:left="217"/>
            </w:pPr>
            <w:r>
              <w:rPr>
                <w:spacing w:val="-15"/>
              </w:rPr>
              <w:t>施工放样</w:t>
            </w:r>
          </w:p>
        </w:tc>
        <w:tc>
          <w:tcPr>
            <w:tcW w:w="1153" w:type="dxa"/>
            <w:vMerge w:val="continue"/>
            <w:tcBorders>
              <w:top w:val="nil"/>
              <w:bottom w:val="nil"/>
              <w:right w:val="single" w:color="5B9BD5" w:sz="4" w:space="0"/>
            </w:tcBorders>
            <w:vAlign w:val="top"/>
          </w:tcPr>
          <w:p w14:paraId="0C6A5EAE">
            <w:pPr>
              <w:rPr>
                <w:rFonts w:ascii="Arial"/>
                <w:sz w:val="21"/>
              </w:rPr>
            </w:pPr>
          </w:p>
        </w:tc>
      </w:tr>
      <w:tr w14:paraId="6D84C2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6" w:hRule="atLeast"/>
        </w:trPr>
        <w:tc>
          <w:tcPr>
            <w:tcW w:w="604" w:type="dxa"/>
            <w:tcBorders>
              <w:left w:val="single" w:color="000000" w:sz="4" w:space="0"/>
            </w:tcBorders>
            <w:vAlign w:val="top"/>
          </w:tcPr>
          <w:p w14:paraId="13548283">
            <w:pPr>
              <w:pStyle w:val="7"/>
              <w:spacing w:before="145" w:line="237" w:lineRule="auto"/>
              <w:ind w:left="259"/>
            </w:pPr>
            <w:r>
              <w:t>9</w:t>
            </w:r>
          </w:p>
        </w:tc>
        <w:tc>
          <w:tcPr>
            <w:tcW w:w="1465" w:type="dxa"/>
            <w:vAlign w:val="top"/>
          </w:tcPr>
          <w:p w14:paraId="7706376B">
            <w:pPr>
              <w:pStyle w:val="7"/>
              <w:spacing w:before="145" w:line="218" w:lineRule="auto"/>
              <w:ind w:left="310"/>
            </w:pPr>
            <w:r>
              <w:rPr>
                <w:spacing w:val="-16"/>
              </w:rPr>
              <w:t>游标卡尺</w:t>
            </w:r>
          </w:p>
        </w:tc>
        <w:tc>
          <w:tcPr>
            <w:tcW w:w="1674" w:type="dxa"/>
            <w:vAlign w:val="top"/>
          </w:tcPr>
          <w:p w14:paraId="26BE417F">
            <w:pPr>
              <w:pStyle w:val="7"/>
              <w:spacing w:before="145" w:line="237" w:lineRule="auto"/>
              <w:ind w:left="641"/>
            </w:pPr>
            <w:r>
              <w:rPr>
                <w:spacing w:val="-13"/>
              </w:rPr>
              <w:t>125m</w:t>
            </w:r>
          </w:p>
        </w:tc>
        <w:tc>
          <w:tcPr>
            <w:tcW w:w="681" w:type="dxa"/>
            <w:vAlign w:val="top"/>
          </w:tcPr>
          <w:p w14:paraId="7CAE5680">
            <w:pPr>
              <w:pStyle w:val="7"/>
              <w:spacing w:before="145" w:line="237" w:lineRule="auto"/>
              <w:ind w:left="295"/>
            </w:pPr>
            <w:r>
              <w:t>5</w:t>
            </w:r>
          </w:p>
        </w:tc>
        <w:tc>
          <w:tcPr>
            <w:tcW w:w="890" w:type="dxa"/>
            <w:vAlign w:val="top"/>
          </w:tcPr>
          <w:p w14:paraId="6BC746D9">
            <w:pPr>
              <w:pStyle w:val="7"/>
              <w:spacing w:before="145" w:line="218" w:lineRule="auto"/>
              <w:ind w:left="248"/>
            </w:pPr>
            <w:r>
              <w:rPr>
                <w:spacing w:val="-12"/>
              </w:rPr>
              <w:t>北京</w:t>
            </w:r>
          </w:p>
        </w:tc>
        <w:tc>
          <w:tcPr>
            <w:tcW w:w="923" w:type="dxa"/>
            <w:vAlign w:val="top"/>
          </w:tcPr>
          <w:p w14:paraId="26DD6F68">
            <w:pPr>
              <w:pStyle w:val="7"/>
              <w:spacing w:before="145" w:line="237" w:lineRule="auto"/>
              <w:ind w:left="186" w:leftChars="0"/>
            </w:pPr>
            <w:r>
              <w:rPr>
                <w:spacing w:val="-9"/>
              </w:rPr>
              <w:t>202</w:t>
            </w:r>
            <w:r>
              <w:rPr>
                <w:rFonts w:hint="eastAsia"/>
                <w:spacing w:val="-9"/>
                <w:lang w:val="en-US" w:eastAsia="zh-CN"/>
              </w:rPr>
              <w:t>1</w:t>
            </w:r>
          </w:p>
        </w:tc>
        <w:tc>
          <w:tcPr>
            <w:tcW w:w="908" w:type="dxa"/>
            <w:vAlign w:val="top"/>
          </w:tcPr>
          <w:p w14:paraId="69DA6E71">
            <w:pPr>
              <w:pStyle w:val="7"/>
              <w:spacing w:before="145" w:line="237" w:lineRule="auto"/>
              <w:ind w:left="353"/>
            </w:pPr>
            <w:r>
              <w:rPr>
                <w:spacing w:val="-6"/>
              </w:rPr>
              <w:t>26</w:t>
            </w:r>
          </w:p>
        </w:tc>
        <w:tc>
          <w:tcPr>
            <w:tcW w:w="1274" w:type="dxa"/>
            <w:vAlign w:val="top"/>
          </w:tcPr>
          <w:p w14:paraId="4EBF6BF0">
            <w:pPr>
              <w:pStyle w:val="7"/>
              <w:spacing w:before="145" w:line="216" w:lineRule="auto"/>
              <w:ind w:left="224"/>
            </w:pPr>
            <w:r>
              <w:rPr>
                <w:spacing w:val="-17"/>
              </w:rPr>
              <w:t>质量检测</w:t>
            </w:r>
          </w:p>
        </w:tc>
        <w:tc>
          <w:tcPr>
            <w:tcW w:w="1153" w:type="dxa"/>
            <w:vMerge w:val="continue"/>
            <w:tcBorders>
              <w:top w:val="nil"/>
              <w:bottom w:val="nil"/>
              <w:right w:val="single" w:color="5B9BD5" w:sz="4" w:space="0"/>
            </w:tcBorders>
            <w:vAlign w:val="top"/>
          </w:tcPr>
          <w:p w14:paraId="6EA01958">
            <w:pPr>
              <w:rPr>
                <w:rFonts w:ascii="Arial"/>
                <w:sz w:val="21"/>
              </w:rPr>
            </w:pPr>
          </w:p>
        </w:tc>
      </w:tr>
      <w:tr w14:paraId="4D59CD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86" w:hRule="atLeast"/>
        </w:trPr>
        <w:tc>
          <w:tcPr>
            <w:tcW w:w="604" w:type="dxa"/>
            <w:tcBorders>
              <w:left w:val="single" w:color="000000" w:sz="4" w:space="0"/>
            </w:tcBorders>
            <w:vAlign w:val="top"/>
          </w:tcPr>
          <w:p w14:paraId="47D508CF">
            <w:pPr>
              <w:pStyle w:val="7"/>
              <w:spacing w:before="143" w:line="237" w:lineRule="auto"/>
              <w:ind w:left="220"/>
            </w:pPr>
            <w:r>
              <w:rPr>
                <w:spacing w:val="-10"/>
              </w:rPr>
              <w:t>10</w:t>
            </w:r>
          </w:p>
        </w:tc>
        <w:tc>
          <w:tcPr>
            <w:tcW w:w="1465" w:type="dxa"/>
            <w:vAlign w:val="top"/>
          </w:tcPr>
          <w:p w14:paraId="61EFA2C2">
            <w:pPr>
              <w:pStyle w:val="7"/>
              <w:spacing w:before="142" w:line="217" w:lineRule="auto"/>
              <w:ind w:left="548"/>
            </w:pPr>
            <w:r>
              <w:rPr>
                <w:spacing w:val="-15"/>
              </w:rPr>
              <w:t>台秤</w:t>
            </w:r>
          </w:p>
        </w:tc>
        <w:tc>
          <w:tcPr>
            <w:tcW w:w="1674" w:type="dxa"/>
            <w:vAlign w:val="top"/>
          </w:tcPr>
          <w:p w14:paraId="6FF6A533">
            <w:pPr>
              <w:pStyle w:val="7"/>
              <w:spacing w:before="143" w:line="237" w:lineRule="auto"/>
              <w:ind w:left="463"/>
            </w:pPr>
            <w:r>
              <w:rPr>
                <w:spacing w:val="-10"/>
              </w:rPr>
              <w:t>JGJ-500</w:t>
            </w:r>
          </w:p>
        </w:tc>
        <w:tc>
          <w:tcPr>
            <w:tcW w:w="681" w:type="dxa"/>
            <w:vAlign w:val="top"/>
          </w:tcPr>
          <w:p w14:paraId="4B3A69FF">
            <w:pPr>
              <w:pStyle w:val="7"/>
              <w:spacing w:before="143" w:line="237" w:lineRule="auto"/>
              <w:ind w:left="253"/>
            </w:pPr>
            <w:r>
              <w:rPr>
                <w:spacing w:val="-10"/>
              </w:rPr>
              <w:t>10</w:t>
            </w:r>
          </w:p>
        </w:tc>
        <w:tc>
          <w:tcPr>
            <w:tcW w:w="890" w:type="dxa"/>
            <w:vAlign w:val="top"/>
          </w:tcPr>
          <w:p w14:paraId="534303C7">
            <w:pPr>
              <w:pStyle w:val="7"/>
              <w:spacing w:before="142" w:line="217" w:lineRule="auto"/>
              <w:ind w:left="263"/>
            </w:pPr>
            <w:r>
              <w:rPr>
                <w:spacing w:val="-15"/>
              </w:rPr>
              <w:t>台州</w:t>
            </w:r>
          </w:p>
        </w:tc>
        <w:tc>
          <w:tcPr>
            <w:tcW w:w="923" w:type="dxa"/>
            <w:vAlign w:val="top"/>
          </w:tcPr>
          <w:p w14:paraId="608180F6">
            <w:pPr>
              <w:pStyle w:val="7"/>
              <w:spacing w:before="146" w:line="237" w:lineRule="auto"/>
              <w:ind w:left="186" w:leftChars="0"/>
            </w:pPr>
            <w:r>
              <w:rPr>
                <w:spacing w:val="-9"/>
              </w:rPr>
              <w:t>2022</w:t>
            </w:r>
          </w:p>
        </w:tc>
        <w:tc>
          <w:tcPr>
            <w:tcW w:w="908" w:type="dxa"/>
            <w:vAlign w:val="top"/>
          </w:tcPr>
          <w:p w14:paraId="43808C6B">
            <w:pPr>
              <w:pStyle w:val="7"/>
              <w:spacing w:before="143" w:line="238" w:lineRule="auto"/>
              <w:ind w:left="353"/>
            </w:pPr>
            <w:r>
              <w:rPr>
                <w:spacing w:val="-6"/>
              </w:rPr>
              <w:t>22</w:t>
            </w:r>
          </w:p>
        </w:tc>
        <w:tc>
          <w:tcPr>
            <w:tcW w:w="1274" w:type="dxa"/>
            <w:vAlign w:val="top"/>
          </w:tcPr>
          <w:p w14:paraId="3190D615">
            <w:pPr>
              <w:pStyle w:val="7"/>
              <w:spacing w:before="142" w:line="217" w:lineRule="auto"/>
              <w:ind w:left="436"/>
            </w:pPr>
            <w:r>
              <w:rPr>
                <w:spacing w:val="-10"/>
              </w:rPr>
              <w:t>称重</w:t>
            </w:r>
          </w:p>
        </w:tc>
        <w:tc>
          <w:tcPr>
            <w:tcW w:w="1153" w:type="dxa"/>
            <w:vMerge w:val="continue"/>
            <w:tcBorders>
              <w:top w:val="nil"/>
              <w:bottom w:val="nil"/>
              <w:right w:val="single" w:color="5B9BD5" w:sz="4" w:space="0"/>
            </w:tcBorders>
            <w:vAlign w:val="top"/>
          </w:tcPr>
          <w:p w14:paraId="3B8D60B2">
            <w:pPr>
              <w:rPr>
                <w:rFonts w:ascii="Arial"/>
                <w:sz w:val="21"/>
              </w:rPr>
            </w:pPr>
          </w:p>
        </w:tc>
      </w:tr>
      <w:tr w14:paraId="66B73E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3" w:hRule="atLeast"/>
        </w:trPr>
        <w:tc>
          <w:tcPr>
            <w:tcW w:w="604" w:type="dxa"/>
            <w:tcBorders>
              <w:left w:val="single" w:color="000000" w:sz="4" w:space="0"/>
            </w:tcBorders>
            <w:vAlign w:val="top"/>
          </w:tcPr>
          <w:p w14:paraId="471B7807">
            <w:pPr>
              <w:pStyle w:val="7"/>
              <w:spacing w:before="144" w:line="238" w:lineRule="auto"/>
              <w:ind w:left="220"/>
            </w:pPr>
            <w:r>
              <w:rPr>
                <w:spacing w:val="-10"/>
              </w:rPr>
              <w:t>11</w:t>
            </w:r>
          </w:p>
        </w:tc>
        <w:tc>
          <w:tcPr>
            <w:tcW w:w="1465" w:type="dxa"/>
            <w:vAlign w:val="top"/>
          </w:tcPr>
          <w:p w14:paraId="2188D26C">
            <w:pPr>
              <w:pStyle w:val="7"/>
              <w:spacing w:before="143" w:line="219" w:lineRule="auto"/>
              <w:ind w:left="414"/>
            </w:pPr>
            <w:r>
              <w:rPr>
                <w:spacing w:val="-13"/>
              </w:rPr>
              <w:t>水平尺</w:t>
            </w:r>
          </w:p>
        </w:tc>
        <w:tc>
          <w:tcPr>
            <w:tcW w:w="1674" w:type="dxa"/>
            <w:vAlign w:val="top"/>
          </w:tcPr>
          <w:p w14:paraId="2DC93DB3">
            <w:pPr>
              <w:pStyle w:val="7"/>
              <w:spacing w:before="144" w:line="237" w:lineRule="auto"/>
              <w:ind w:left="572"/>
            </w:pPr>
            <w:r>
              <w:rPr>
                <w:spacing w:val="-10"/>
              </w:rPr>
              <w:t>500mm</w:t>
            </w:r>
          </w:p>
        </w:tc>
        <w:tc>
          <w:tcPr>
            <w:tcW w:w="681" w:type="dxa"/>
            <w:vAlign w:val="top"/>
          </w:tcPr>
          <w:p w14:paraId="575232CC">
            <w:pPr>
              <w:pStyle w:val="7"/>
              <w:spacing w:before="144" w:line="237" w:lineRule="auto"/>
              <w:ind w:left="253"/>
            </w:pPr>
            <w:r>
              <w:rPr>
                <w:spacing w:val="-14"/>
              </w:rPr>
              <w:t>15</w:t>
            </w:r>
          </w:p>
        </w:tc>
        <w:tc>
          <w:tcPr>
            <w:tcW w:w="890" w:type="dxa"/>
            <w:vAlign w:val="top"/>
          </w:tcPr>
          <w:p w14:paraId="5E7A123E">
            <w:pPr>
              <w:pStyle w:val="7"/>
              <w:spacing w:before="144" w:line="218" w:lineRule="auto"/>
              <w:ind w:left="244"/>
            </w:pPr>
            <w:r>
              <w:rPr>
                <w:spacing w:val="-11"/>
              </w:rPr>
              <w:t>安徽</w:t>
            </w:r>
          </w:p>
        </w:tc>
        <w:tc>
          <w:tcPr>
            <w:tcW w:w="923" w:type="dxa"/>
            <w:vAlign w:val="top"/>
          </w:tcPr>
          <w:p w14:paraId="2FA7529F">
            <w:pPr>
              <w:pStyle w:val="7"/>
              <w:spacing w:before="145" w:line="237" w:lineRule="auto"/>
              <w:ind w:left="186" w:leftChars="0"/>
            </w:pPr>
            <w:r>
              <w:rPr>
                <w:spacing w:val="-9"/>
              </w:rPr>
              <w:t>202</w:t>
            </w:r>
            <w:r>
              <w:rPr>
                <w:rFonts w:hint="eastAsia"/>
                <w:spacing w:val="-9"/>
                <w:lang w:val="en-US" w:eastAsia="zh-CN"/>
              </w:rPr>
              <w:t>1</w:t>
            </w:r>
          </w:p>
        </w:tc>
        <w:tc>
          <w:tcPr>
            <w:tcW w:w="908" w:type="dxa"/>
            <w:vAlign w:val="top"/>
          </w:tcPr>
          <w:p w14:paraId="645547B8">
            <w:pPr>
              <w:pStyle w:val="7"/>
              <w:spacing w:before="144" w:line="237" w:lineRule="auto"/>
              <w:ind w:left="353"/>
            </w:pPr>
            <w:r>
              <w:rPr>
                <w:spacing w:val="-6"/>
              </w:rPr>
              <w:t>25</w:t>
            </w:r>
          </w:p>
        </w:tc>
        <w:tc>
          <w:tcPr>
            <w:tcW w:w="1274" w:type="dxa"/>
            <w:vAlign w:val="top"/>
          </w:tcPr>
          <w:p w14:paraId="17906BC7">
            <w:pPr>
              <w:pStyle w:val="7"/>
              <w:spacing w:before="143" w:line="219" w:lineRule="auto"/>
              <w:ind w:left="217"/>
            </w:pPr>
            <w:r>
              <w:rPr>
                <w:spacing w:val="-15"/>
              </w:rPr>
              <w:t>水平测量</w:t>
            </w:r>
          </w:p>
        </w:tc>
        <w:tc>
          <w:tcPr>
            <w:tcW w:w="1153" w:type="dxa"/>
            <w:vMerge w:val="continue"/>
            <w:tcBorders>
              <w:top w:val="nil"/>
              <w:bottom w:val="nil"/>
              <w:right w:val="single" w:color="5B9BD5" w:sz="4" w:space="0"/>
            </w:tcBorders>
            <w:vAlign w:val="top"/>
          </w:tcPr>
          <w:p w14:paraId="12614BF2">
            <w:pPr>
              <w:rPr>
                <w:rFonts w:ascii="Arial"/>
                <w:sz w:val="21"/>
              </w:rPr>
            </w:pPr>
          </w:p>
        </w:tc>
      </w:tr>
      <w:tr w14:paraId="49A89E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52" w:hRule="atLeast"/>
        </w:trPr>
        <w:tc>
          <w:tcPr>
            <w:tcW w:w="604" w:type="dxa"/>
            <w:tcBorders>
              <w:left w:val="single" w:color="000000" w:sz="4" w:space="0"/>
            </w:tcBorders>
            <w:vAlign w:val="top"/>
          </w:tcPr>
          <w:p w14:paraId="64E0383F">
            <w:pPr>
              <w:spacing w:line="253" w:lineRule="auto"/>
              <w:rPr>
                <w:rFonts w:ascii="Arial"/>
                <w:sz w:val="21"/>
              </w:rPr>
            </w:pPr>
          </w:p>
          <w:p w14:paraId="5D86E62D">
            <w:pPr>
              <w:pStyle w:val="7"/>
              <w:spacing w:before="78" w:line="238" w:lineRule="auto"/>
              <w:ind w:left="220"/>
            </w:pPr>
            <w:r>
              <w:rPr>
                <w:spacing w:val="-10"/>
              </w:rPr>
              <w:t>12</w:t>
            </w:r>
          </w:p>
        </w:tc>
        <w:tc>
          <w:tcPr>
            <w:tcW w:w="1465" w:type="dxa"/>
            <w:vAlign w:val="top"/>
          </w:tcPr>
          <w:p w14:paraId="38C67C8E">
            <w:pPr>
              <w:spacing w:line="252" w:lineRule="auto"/>
              <w:rPr>
                <w:rFonts w:ascii="Arial"/>
                <w:sz w:val="21"/>
              </w:rPr>
            </w:pPr>
          </w:p>
          <w:p w14:paraId="1B9995F4">
            <w:pPr>
              <w:pStyle w:val="7"/>
              <w:spacing w:before="78" w:line="218" w:lineRule="auto"/>
              <w:ind w:left="309"/>
            </w:pPr>
            <w:r>
              <w:rPr>
                <w:spacing w:val="-16"/>
              </w:rPr>
              <w:t>坍落度筒</w:t>
            </w:r>
          </w:p>
        </w:tc>
        <w:tc>
          <w:tcPr>
            <w:tcW w:w="1674" w:type="dxa"/>
            <w:vAlign w:val="top"/>
          </w:tcPr>
          <w:p w14:paraId="23DF9AFC">
            <w:pPr>
              <w:rPr>
                <w:rFonts w:ascii="Arial"/>
                <w:sz w:val="21"/>
              </w:rPr>
            </w:pPr>
          </w:p>
        </w:tc>
        <w:tc>
          <w:tcPr>
            <w:tcW w:w="681" w:type="dxa"/>
            <w:vAlign w:val="top"/>
          </w:tcPr>
          <w:p w14:paraId="45D4748A">
            <w:pPr>
              <w:spacing w:line="252" w:lineRule="auto"/>
              <w:rPr>
                <w:rFonts w:ascii="Arial"/>
                <w:sz w:val="21"/>
              </w:rPr>
            </w:pPr>
          </w:p>
          <w:p w14:paraId="061EFD68">
            <w:pPr>
              <w:pStyle w:val="7"/>
              <w:spacing w:before="78" w:line="237" w:lineRule="auto"/>
              <w:ind w:left="295"/>
            </w:pPr>
            <w:r>
              <w:t>5</w:t>
            </w:r>
          </w:p>
        </w:tc>
        <w:tc>
          <w:tcPr>
            <w:tcW w:w="890" w:type="dxa"/>
            <w:vAlign w:val="top"/>
          </w:tcPr>
          <w:p w14:paraId="4022B428">
            <w:pPr>
              <w:spacing w:line="252" w:lineRule="auto"/>
              <w:rPr>
                <w:rFonts w:ascii="Arial"/>
                <w:sz w:val="21"/>
              </w:rPr>
            </w:pPr>
          </w:p>
          <w:p w14:paraId="6B7652D3">
            <w:pPr>
              <w:pStyle w:val="7"/>
              <w:spacing w:before="78" w:line="218" w:lineRule="auto"/>
              <w:ind w:left="244"/>
            </w:pPr>
            <w:r>
              <w:rPr>
                <w:spacing w:val="-11"/>
              </w:rPr>
              <w:t>安徽</w:t>
            </w:r>
          </w:p>
        </w:tc>
        <w:tc>
          <w:tcPr>
            <w:tcW w:w="923" w:type="dxa"/>
            <w:vAlign w:val="top"/>
          </w:tcPr>
          <w:p w14:paraId="58BCE88E">
            <w:pPr>
              <w:pStyle w:val="7"/>
              <w:spacing w:before="146" w:line="237" w:lineRule="auto"/>
              <w:ind w:left="186" w:leftChars="0"/>
            </w:pPr>
            <w:r>
              <w:rPr>
                <w:spacing w:val="-9"/>
              </w:rPr>
              <w:t>2022</w:t>
            </w:r>
          </w:p>
        </w:tc>
        <w:tc>
          <w:tcPr>
            <w:tcW w:w="908" w:type="dxa"/>
            <w:vAlign w:val="top"/>
          </w:tcPr>
          <w:p w14:paraId="08F261FE">
            <w:pPr>
              <w:spacing w:line="253" w:lineRule="auto"/>
              <w:rPr>
                <w:rFonts w:ascii="Arial"/>
                <w:sz w:val="21"/>
              </w:rPr>
            </w:pPr>
          </w:p>
          <w:p w14:paraId="77CFC8BE">
            <w:pPr>
              <w:pStyle w:val="7"/>
              <w:spacing w:before="78" w:line="238" w:lineRule="auto"/>
              <w:ind w:left="353"/>
            </w:pPr>
            <w:r>
              <w:rPr>
                <w:spacing w:val="-6"/>
              </w:rPr>
              <w:t>24</w:t>
            </w:r>
          </w:p>
        </w:tc>
        <w:tc>
          <w:tcPr>
            <w:tcW w:w="1274" w:type="dxa"/>
            <w:vAlign w:val="top"/>
          </w:tcPr>
          <w:p w14:paraId="1C9C677C">
            <w:pPr>
              <w:pStyle w:val="7"/>
              <w:spacing w:before="96" w:line="216" w:lineRule="auto"/>
              <w:ind w:left="222"/>
            </w:pPr>
            <w:r>
              <w:rPr>
                <w:spacing w:val="-16"/>
              </w:rPr>
              <w:t>混凝土检</w:t>
            </w:r>
          </w:p>
          <w:p w14:paraId="2C37FF49">
            <w:pPr>
              <w:pStyle w:val="7"/>
              <w:spacing w:before="186" w:line="225" w:lineRule="auto"/>
              <w:ind w:left="547"/>
            </w:pPr>
            <w:r>
              <w:t>查</w:t>
            </w:r>
          </w:p>
        </w:tc>
        <w:tc>
          <w:tcPr>
            <w:tcW w:w="1153" w:type="dxa"/>
            <w:vMerge w:val="continue"/>
            <w:tcBorders>
              <w:top w:val="nil"/>
              <w:bottom w:val="nil"/>
              <w:right w:val="single" w:color="5B9BD5" w:sz="4" w:space="0"/>
            </w:tcBorders>
            <w:vAlign w:val="top"/>
          </w:tcPr>
          <w:p w14:paraId="127A5BC1">
            <w:pPr>
              <w:rPr>
                <w:rFonts w:ascii="Arial"/>
                <w:sz w:val="21"/>
              </w:rPr>
            </w:pPr>
          </w:p>
        </w:tc>
      </w:tr>
      <w:tr w14:paraId="5F4A86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741" w:hRule="atLeast"/>
        </w:trPr>
        <w:tc>
          <w:tcPr>
            <w:tcW w:w="604" w:type="dxa"/>
            <w:tcBorders>
              <w:left w:val="single" w:color="000000" w:sz="4" w:space="0"/>
            </w:tcBorders>
            <w:vAlign w:val="top"/>
          </w:tcPr>
          <w:p w14:paraId="16DD70F7">
            <w:pPr>
              <w:pStyle w:val="7"/>
              <w:spacing w:before="175" w:line="237" w:lineRule="auto"/>
              <w:ind w:left="220"/>
            </w:pPr>
            <w:r>
              <w:rPr>
                <w:spacing w:val="-10"/>
              </w:rPr>
              <w:t>13</w:t>
            </w:r>
          </w:p>
        </w:tc>
        <w:tc>
          <w:tcPr>
            <w:tcW w:w="1465" w:type="dxa"/>
            <w:vAlign w:val="top"/>
          </w:tcPr>
          <w:p w14:paraId="362FF035">
            <w:pPr>
              <w:pStyle w:val="7"/>
              <w:spacing w:before="175" w:line="217" w:lineRule="auto"/>
              <w:ind w:left="94"/>
            </w:pPr>
            <w:r>
              <w:rPr>
                <w:spacing w:val="-19"/>
              </w:rPr>
              <w:t>互感器校验仪</w:t>
            </w:r>
          </w:p>
        </w:tc>
        <w:tc>
          <w:tcPr>
            <w:tcW w:w="1674" w:type="dxa"/>
            <w:vAlign w:val="top"/>
          </w:tcPr>
          <w:p w14:paraId="1E53172A">
            <w:pPr>
              <w:pStyle w:val="7"/>
              <w:spacing w:before="218" w:line="179" w:lineRule="auto"/>
              <w:ind w:left="617"/>
            </w:pPr>
            <w:r>
              <w:rPr>
                <w:spacing w:val="-7"/>
              </w:rPr>
              <w:t>HE11</w:t>
            </w:r>
          </w:p>
        </w:tc>
        <w:tc>
          <w:tcPr>
            <w:tcW w:w="681" w:type="dxa"/>
            <w:vAlign w:val="top"/>
          </w:tcPr>
          <w:p w14:paraId="53F1A7CC">
            <w:pPr>
              <w:pStyle w:val="7"/>
              <w:spacing w:before="175" w:line="237" w:lineRule="auto"/>
              <w:ind w:left="295"/>
            </w:pPr>
            <w:r>
              <w:t>5</w:t>
            </w:r>
          </w:p>
        </w:tc>
        <w:tc>
          <w:tcPr>
            <w:tcW w:w="890" w:type="dxa"/>
            <w:vAlign w:val="top"/>
          </w:tcPr>
          <w:p w14:paraId="55F0AA79">
            <w:pPr>
              <w:pStyle w:val="7"/>
              <w:spacing w:before="175" w:line="220" w:lineRule="auto"/>
              <w:ind w:left="243"/>
            </w:pPr>
            <w:r>
              <w:rPr>
                <w:spacing w:val="-10"/>
              </w:rPr>
              <w:t>上海</w:t>
            </w:r>
          </w:p>
        </w:tc>
        <w:tc>
          <w:tcPr>
            <w:tcW w:w="923" w:type="dxa"/>
            <w:vAlign w:val="top"/>
          </w:tcPr>
          <w:p w14:paraId="61FD9271">
            <w:pPr>
              <w:pStyle w:val="7"/>
              <w:spacing w:before="145" w:line="237" w:lineRule="auto"/>
              <w:ind w:left="186" w:leftChars="0"/>
            </w:pPr>
            <w:r>
              <w:rPr>
                <w:spacing w:val="-9"/>
              </w:rPr>
              <w:t>202</w:t>
            </w:r>
            <w:r>
              <w:rPr>
                <w:rFonts w:hint="eastAsia"/>
                <w:spacing w:val="-9"/>
                <w:lang w:val="en-US" w:eastAsia="zh-CN"/>
              </w:rPr>
              <w:t>1</w:t>
            </w:r>
          </w:p>
        </w:tc>
        <w:tc>
          <w:tcPr>
            <w:tcW w:w="908" w:type="dxa"/>
            <w:vAlign w:val="top"/>
          </w:tcPr>
          <w:p w14:paraId="1E6BBDBB">
            <w:pPr>
              <w:pStyle w:val="7"/>
              <w:spacing w:before="175" w:line="237" w:lineRule="auto"/>
              <w:ind w:left="368"/>
            </w:pPr>
            <w:r>
              <w:rPr>
                <w:spacing w:val="-10"/>
              </w:rPr>
              <w:t>10</w:t>
            </w:r>
          </w:p>
        </w:tc>
        <w:tc>
          <w:tcPr>
            <w:tcW w:w="1274" w:type="dxa"/>
            <w:vAlign w:val="top"/>
          </w:tcPr>
          <w:p w14:paraId="5803211A">
            <w:pPr>
              <w:pStyle w:val="7"/>
              <w:spacing w:before="175" w:line="216" w:lineRule="auto"/>
              <w:ind w:left="217"/>
            </w:pPr>
            <w:r>
              <w:rPr>
                <w:spacing w:val="-15"/>
              </w:rPr>
              <w:t>施工检测</w:t>
            </w:r>
          </w:p>
        </w:tc>
        <w:tc>
          <w:tcPr>
            <w:tcW w:w="1153" w:type="dxa"/>
            <w:vMerge w:val="continue"/>
            <w:tcBorders>
              <w:top w:val="nil"/>
              <w:bottom w:val="nil"/>
              <w:right w:val="single" w:color="5B9BD5" w:sz="4" w:space="0"/>
            </w:tcBorders>
            <w:vAlign w:val="top"/>
          </w:tcPr>
          <w:p w14:paraId="2EDE6B97">
            <w:pPr>
              <w:rPr>
                <w:rFonts w:ascii="Arial"/>
                <w:sz w:val="21"/>
              </w:rPr>
            </w:pPr>
          </w:p>
        </w:tc>
      </w:tr>
      <w:tr w14:paraId="470CA0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53" w:hRule="atLeast"/>
        </w:trPr>
        <w:tc>
          <w:tcPr>
            <w:tcW w:w="604" w:type="dxa"/>
            <w:tcBorders>
              <w:left w:val="single" w:color="000000" w:sz="4" w:space="0"/>
              <w:bottom w:val="single" w:color="000000" w:sz="4" w:space="0"/>
            </w:tcBorders>
            <w:vAlign w:val="top"/>
          </w:tcPr>
          <w:p w14:paraId="5719DF7B">
            <w:pPr>
              <w:spacing w:line="252" w:lineRule="auto"/>
              <w:rPr>
                <w:rFonts w:ascii="Arial"/>
                <w:sz w:val="21"/>
              </w:rPr>
            </w:pPr>
          </w:p>
          <w:p w14:paraId="488CD6CD">
            <w:pPr>
              <w:pStyle w:val="7"/>
              <w:spacing w:before="78" w:line="238" w:lineRule="auto"/>
              <w:ind w:left="220"/>
            </w:pPr>
            <w:r>
              <w:rPr>
                <w:spacing w:val="-10"/>
              </w:rPr>
              <w:t>14</w:t>
            </w:r>
          </w:p>
        </w:tc>
        <w:tc>
          <w:tcPr>
            <w:tcW w:w="1465" w:type="dxa"/>
            <w:tcBorders>
              <w:bottom w:val="single" w:color="000000" w:sz="4" w:space="0"/>
            </w:tcBorders>
            <w:vAlign w:val="top"/>
          </w:tcPr>
          <w:p w14:paraId="69548200">
            <w:pPr>
              <w:pStyle w:val="7"/>
              <w:spacing w:before="98" w:line="218" w:lineRule="auto"/>
              <w:ind w:left="88"/>
            </w:pPr>
            <w:r>
              <w:rPr>
                <w:spacing w:val="-18"/>
              </w:rPr>
              <w:t>标准电压互感</w:t>
            </w:r>
          </w:p>
          <w:p w14:paraId="144FD0C3">
            <w:pPr>
              <w:pStyle w:val="7"/>
              <w:spacing w:before="182" w:line="220" w:lineRule="auto"/>
              <w:ind w:left="632"/>
            </w:pPr>
            <w:r>
              <w:t>器</w:t>
            </w:r>
          </w:p>
        </w:tc>
        <w:tc>
          <w:tcPr>
            <w:tcW w:w="1674" w:type="dxa"/>
            <w:tcBorders>
              <w:bottom w:val="single" w:color="000000" w:sz="4" w:space="0"/>
            </w:tcBorders>
            <w:vAlign w:val="top"/>
          </w:tcPr>
          <w:p w14:paraId="091EF5C2">
            <w:pPr>
              <w:spacing w:line="296" w:lineRule="auto"/>
              <w:rPr>
                <w:rFonts w:ascii="Arial"/>
                <w:sz w:val="21"/>
              </w:rPr>
            </w:pPr>
          </w:p>
          <w:p w14:paraId="2D640AAE">
            <w:pPr>
              <w:pStyle w:val="7"/>
              <w:spacing w:before="78" w:line="178" w:lineRule="auto"/>
              <w:ind w:left="672"/>
            </w:pPr>
            <w:r>
              <w:rPr>
                <w:spacing w:val="-5"/>
              </w:rPr>
              <w:t>HIS</w:t>
            </w:r>
          </w:p>
        </w:tc>
        <w:tc>
          <w:tcPr>
            <w:tcW w:w="681" w:type="dxa"/>
            <w:tcBorders>
              <w:bottom w:val="single" w:color="000000" w:sz="4" w:space="0"/>
            </w:tcBorders>
            <w:vAlign w:val="top"/>
          </w:tcPr>
          <w:p w14:paraId="23A4CD93">
            <w:pPr>
              <w:spacing w:line="251" w:lineRule="auto"/>
              <w:rPr>
                <w:rFonts w:ascii="Arial"/>
                <w:sz w:val="21"/>
              </w:rPr>
            </w:pPr>
          </w:p>
          <w:p w14:paraId="07506D2C">
            <w:pPr>
              <w:pStyle w:val="7"/>
              <w:spacing w:before="78" w:line="237" w:lineRule="auto"/>
              <w:ind w:left="295"/>
            </w:pPr>
            <w:r>
              <w:t>5</w:t>
            </w:r>
          </w:p>
        </w:tc>
        <w:tc>
          <w:tcPr>
            <w:tcW w:w="890" w:type="dxa"/>
            <w:tcBorders>
              <w:bottom w:val="single" w:color="000000" w:sz="4" w:space="0"/>
            </w:tcBorders>
            <w:vAlign w:val="top"/>
          </w:tcPr>
          <w:p w14:paraId="0AE44722">
            <w:pPr>
              <w:spacing w:line="252" w:lineRule="auto"/>
              <w:rPr>
                <w:rFonts w:ascii="Arial"/>
                <w:sz w:val="21"/>
              </w:rPr>
            </w:pPr>
          </w:p>
          <w:p w14:paraId="31420D18">
            <w:pPr>
              <w:pStyle w:val="7"/>
              <w:spacing w:before="78" w:line="220" w:lineRule="auto"/>
              <w:ind w:left="243"/>
            </w:pPr>
            <w:r>
              <w:rPr>
                <w:spacing w:val="-10"/>
              </w:rPr>
              <w:t>上海</w:t>
            </w:r>
          </w:p>
        </w:tc>
        <w:tc>
          <w:tcPr>
            <w:tcW w:w="923" w:type="dxa"/>
            <w:tcBorders>
              <w:bottom w:val="single" w:color="000000" w:sz="4" w:space="0"/>
            </w:tcBorders>
            <w:vAlign w:val="top"/>
          </w:tcPr>
          <w:p w14:paraId="6E2F7806">
            <w:pPr>
              <w:pStyle w:val="7"/>
              <w:spacing w:before="146" w:line="237" w:lineRule="auto"/>
              <w:ind w:left="186" w:leftChars="0"/>
            </w:pPr>
            <w:r>
              <w:rPr>
                <w:spacing w:val="-9"/>
              </w:rPr>
              <w:t>2022</w:t>
            </w:r>
          </w:p>
        </w:tc>
        <w:tc>
          <w:tcPr>
            <w:tcW w:w="908" w:type="dxa"/>
            <w:tcBorders>
              <w:bottom w:val="single" w:color="000000" w:sz="4" w:space="0"/>
            </w:tcBorders>
            <w:vAlign w:val="top"/>
          </w:tcPr>
          <w:p w14:paraId="5697EC6F">
            <w:pPr>
              <w:spacing w:line="251" w:lineRule="auto"/>
              <w:rPr>
                <w:rFonts w:ascii="Arial"/>
                <w:sz w:val="21"/>
              </w:rPr>
            </w:pPr>
          </w:p>
          <w:p w14:paraId="77E242A6">
            <w:pPr>
              <w:pStyle w:val="7"/>
              <w:spacing w:before="78" w:line="237" w:lineRule="auto"/>
              <w:ind w:left="368"/>
            </w:pPr>
            <w:r>
              <w:rPr>
                <w:spacing w:val="-10"/>
              </w:rPr>
              <w:t>15</w:t>
            </w:r>
          </w:p>
        </w:tc>
        <w:tc>
          <w:tcPr>
            <w:tcW w:w="1274" w:type="dxa"/>
            <w:tcBorders>
              <w:bottom w:val="single" w:color="000000" w:sz="4" w:space="0"/>
            </w:tcBorders>
            <w:vAlign w:val="top"/>
          </w:tcPr>
          <w:p w14:paraId="19B6DE56">
            <w:pPr>
              <w:spacing w:line="251" w:lineRule="auto"/>
              <w:rPr>
                <w:rFonts w:ascii="Arial"/>
                <w:sz w:val="21"/>
              </w:rPr>
            </w:pPr>
          </w:p>
          <w:p w14:paraId="2A5C8BC9">
            <w:pPr>
              <w:pStyle w:val="7"/>
              <w:spacing w:before="78" w:line="216" w:lineRule="auto"/>
              <w:ind w:left="217"/>
            </w:pPr>
            <w:r>
              <w:rPr>
                <w:spacing w:val="-15"/>
              </w:rPr>
              <w:t>施工检测</w:t>
            </w:r>
          </w:p>
        </w:tc>
        <w:tc>
          <w:tcPr>
            <w:tcW w:w="1153" w:type="dxa"/>
            <w:vMerge w:val="continue"/>
            <w:tcBorders>
              <w:top w:val="nil"/>
              <w:bottom w:val="nil"/>
              <w:right w:val="single" w:color="5B9BD5" w:sz="4" w:space="0"/>
            </w:tcBorders>
            <w:vAlign w:val="top"/>
          </w:tcPr>
          <w:p w14:paraId="184FF8C0">
            <w:pPr>
              <w:rPr>
                <w:rFonts w:ascii="Arial"/>
                <w:sz w:val="21"/>
              </w:rPr>
            </w:pPr>
          </w:p>
        </w:tc>
      </w:tr>
      <w:tr w14:paraId="0CBC86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736" w:hRule="atLeast"/>
        </w:trPr>
        <w:tc>
          <w:tcPr>
            <w:tcW w:w="604" w:type="dxa"/>
            <w:tcBorders>
              <w:top w:val="single" w:color="000000" w:sz="4" w:space="0"/>
              <w:left w:val="single" w:color="000000" w:sz="4" w:space="0"/>
            </w:tcBorders>
            <w:vAlign w:val="top"/>
          </w:tcPr>
          <w:p w14:paraId="71EC6F8C">
            <w:pPr>
              <w:pStyle w:val="7"/>
              <w:spacing w:before="171" w:line="237" w:lineRule="auto"/>
              <w:ind w:left="220"/>
            </w:pPr>
            <w:r>
              <w:rPr>
                <w:spacing w:val="-10"/>
              </w:rPr>
              <w:t>15</w:t>
            </w:r>
          </w:p>
        </w:tc>
        <w:tc>
          <w:tcPr>
            <w:tcW w:w="1465" w:type="dxa"/>
            <w:tcBorders>
              <w:top w:val="single" w:color="000000" w:sz="4" w:space="0"/>
            </w:tcBorders>
            <w:vAlign w:val="top"/>
          </w:tcPr>
          <w:p w14:paraId="7088A0D9">
            <w:pPr>
              <w:pStyle w:val="7"/>
              <w:spacing w:before="171" w:line="218" w:lineRule="auto"/>
              <w:ind w:left="88"/>
            </w:pPr>
            <w:r>
              <w:rPr>
                <w:spacing w:val="-18"/>
              </w:rPr>
              <w:t>直流双臂电桥</w:t>
            </w:r>
          </w:p>
        </w:tc>
        <w:tc>
          <w:tcPr>
            <w:tcW w:w="1674" w:type="dxa"/>
            <w:tcBorders>
              <w:top w:val="single" w:color="000000" w:sz="4" w:space="0"/>
            </w:tcBorders>
            <w:vAlign w:val="top"/>
          </w:tcPr>
          <w:p w14:paraId="16863671">
            <w:pPr>
              <w:pStyle w:val="7"/>
              <w:spacing w:before="215" w:line="178" w:lineRule="auto"/>
              <w:ind w:left="621"/>
            </w:pPr>
            <w:r>
              <w:rPr>
                <w:spacing w:val="-8"/>
              </w:rPr>
              <w:t>QJ44</w:t>
            </w:r>
          </w:p>
        </w:tc>
        <w:tc>
          <w:tcPr>
            <w:tcW w:w="681" w:type="dxa"/>
            <w:tcBorders>
              <w:top w:val="single" w:color="000000" w:sz="4" w:space="0"/>
            </w:tcBorders>
            <w:vAlign w:val="top"/>
          </w:tcPr>
          <w:p w14:paraId="030ADD8C">
            <w:pPr>
              <w:pStyle w:val="7"/>
              <w:spacing w:before="171" w:line="237" w:lineRule="auto"/>
              <w:ind w:left="295"/>
            </w:pPr>
            <w:r>
              <w:t>5</w:t>
            </w:r>
          </w:p>
        </w:tc>
        <w:tc>
          <w:tcPr>
            <w:tcW w:w="890" w:type="dxa"/>
            <w:tcBorders>
              <w:top w:val="single" w:color="000000" w:sz="4" w:space="0"/>
            </w:tcBorders>
            <w:vAlign w:val="top"/>
          </w:tcPr>
          <w:p w14:paraId="29062FC6">
            <w:pPr>
              <w:pStyle w:val="7"/>
              <w:spacing w:before="171" w:line="220" w:lineRule="auto"/>
              <w:ind w:left="243"/>
            </w:pPr>
            <w:r>
              <w:rPr>
                <w:spacing w:val="-10"/>
              </w:rPr>
              <w:t>上海</w:t>
            </w:r>
          </w:p>
        </w:tc>
        <w:tc>
          <w:tcPr>
            <w:tcW w:w="923" w:type="dxa"/>
            <w:tcBorders>
              <w:top w:val="single" w:color="000000" w:sz="4" w:space="0"/>
            </w:tcBorders>
            <w:vAlign w:val="top"/>
          </w:tcPr>
          <w:p w14:paraId="489C30E6">
            <w:pPr>
              <w:pStyle w:val="7"/>
              <w:spacing w:before="145" w:line="237" w:lineRule="auto"/>
              <w:ind w:left="186" w:leftChars="0"/>
            </w:pPr>
            <w:r>
              <w:rPr>
                <w:spacing w:val="-9"/>
              </w:rPr>
              <w:t>202</w:t>
            </w:r>
            <w:r>
              <w:rPr>
                <w:rFonts w:hint="eastAsia"/>
                <w:spacing w:val="-9"/>
                <w:lang w:val="en-US" w:eastAsia="zh-CN"/>
              </w:rPr>
              <w:t>1</w:t>
            </w:r>
          </w:p>
        </w:tc>
        <w:tc>
          <w:tcPr>
            <w:tcW w:w="908" w:type="dxa"/>
            <w:tcBorders>
              <w:top w:val="single" w:color="000000" w:sz="4" w:space="0"/>
            </w:tcBorders>
            <w:vAlign w:val="top"/>
          </w:tcPr>
          <w:p w14:paraId="0FB2F55C">
            <w:pPr>
              <w:pStyle w:val="7"/>
              <w:spacing w:before="171" w:line="237" w:lineRule="auto"/>
              <w:ind w:left="368"/>
            </w:pPr>
            <w:r>
              <w:rPr>
                <w:spacing w:val="-10"/>
              </w:rPr>
              <w:t>10</w:t>
            </w:r>
          </w:p>
        </w:tc>
        <w:tc>
          <w:tcPr>
            <w:tcW w:w="1274" w:type="dxa"/>
            <w:tcBorders>
              <w:top w:val="single" w:color="000000" w:sz="4" w:space="0"/>
            </w:tcBorders>
            <w:vAlign w:val="top"/>
          </w:tcPr>
          <w:p w14:paraId="67A88167">
            <w:pPr>
              <w:pStyle w:val="7"/>
              <w:spacing w:before="171" w:line="216" w:lineRule="auto"/>
              <w:ind w:left="217"/>
            </w:pPr>
            <w:r>
              <w:rPr>
                <w:spacing w:val="-15"/>
              </w:rPr>
              <w:t>施工检测</w:t>
            </w:r>
          </w:p>
        </w:tc>
        <w:tc>
          <w:tcPr>
            <w:tcW w:w="1153" w:type="dxa"/>
            <w:vMerge w:val="continue"/>
            <w:tcBorders>
              <w:top w:val="nil"/>
              <w:bottom w:val="nil"/>
              <w:right w:val="single" w:color="5B9BD5" w:sz="4" w:space="0"/>
            </w:tcBorders>
            <w:vAlign w:val="top"/>
          </w:tcPr>
          <w:p w14:paraId="033028B4">
            <w:pPr>
              <w:rPr>
                <w:rFonts w:ascii="Arial"/>
                <w:sz w:val="21"/>
              </w:rPr>
            </w:pPr>
          </w:p>
        </w:tc>
      </w:tr>
      <w:tr w14:paraId="093CFF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50" w:hRule="atLeast"/>
        </w:trPr>
        <w:tc>
          <w:tcPr>
            <w:tcW w:w="604" w:type="dxa"/>
            <w:tcBorders>
              <w:left w:val="single" w:color="000000" w:sz="4" w:space="0"/>
            </w:tcBorders>
            <w:vAlign w:val="top"/>
          </w:tcPr>
          <w:p w14:paraId="2A598C57">
            <w:pPr>
              <w:spacing w:line="253" w:lineRule="auto"/>
              <w:rPr>
                <w:rFonts w:ascii="Arial"/>
                <w:sz w:val="21"/>
              </w:rPr>
            </w:pPr>
          </w:p>
          <w:p w14:paraId="28B705D4">
            <w:pPr>
              <w:pStyle w:val="7"/>
              <w:spacing w:before="78" w:line="237" w:lineRule="auto"/>
              <w:ind w:left="220"/>
            </w:pPr>
            <w:r>
              <w:rPr>
                <w:spacing w:val="-10"/>
              </w:rPr>
              <w:t>16</w:t>
            </w:r>
          </w:p>
        </w:tc>
        <w:tc>
          <w:tcPr>
            <w:tcW w:w="1465" w:type="dxa"/>
            <w:vAlign w:val="top"/>
          </w:tcPr>
          <w:p w14:paraId="1EE2E3E5">
            <w:pPr>
              <w:spacing w:line="253" w:lineRule="auto"/>
              <w:rPr>
                <w:rFonts w:ascii="Arial"/>
                <w:sz w:val="21"/>
              </w:rPr>
            </w:pPr>
          </w:p>
          <w:p w14:paraId="6C2C69BE">
            <w:pPr>
              <w:pStyle w:val="7"/>
              <w:spacing w:before="78" w:line="217" w:lineRule="auto"/>
              <w:ind w:left="200"/>
            </w:pPr>
            <w:r>
              <w:rPr>
                <w:spacing w:val="-17"/>
              </w:rPr>
              <w:t>接地电阻表</w:t>
            </w:r>
          </w:p>
        </w:tc>
        <w:tc>
          <w:tcPr>
            <w:tcW w:w="1674" w:type="dxa"/>
            <w:vAlign w:val="top"/>
          </w:tcPr>
          <w:p w14:paraId="3B4D104F">
            <w:pPr>
              <w:pStyle w:val="7"/>
              <w:spacing w:before="97" w:line="220" w:lineRule="auto"/>
              <w:ind w:left="132"/>
            </w:pPr>
            <w:r>
              <w:rPr>
                <w:spacing w:val="-10"/>
              </w:rPr>
              <w:t>ZC-7(2500v)、</w:t>
            </w:r>
          </w:p>
          <w:p w14:paraId="15B5B9F2">
            <w:pPr>
              <w:pStyle w:val="7"/>
              <w:spacing w:before="182" w:line="236" w:lineRule="auto"/>
              <w:ind w:left="622"/>
            </w:pPr>
            <w:r>
              <w:rPr>
                <w:spacing w:val="-8"/>
              </w:rPr>
              <w:t>ZC-8</w:t>
            </w:r>
          </w:p>
        </w:tc>
        <w:tc>
          <w:tcPr>
            <w:tcW w:w="681" w:type="dxa"/>
            <w:vAlign w:val="top"/>
          </w:tcPr>
          <w:p w14:paraId="2F2CB206">
            <w:pPr>
              <w:spacing w:line="253" w:lineRule="auto"/>
              <w:rPr>
                <w:rFonts w:ascii="Arial"/>
                <w:sz w:val="21"/>
              </w:rPr>
            </w:pPr>
          </w:p>
          <w:p w14:paraId="5DEFB02C">
            <w:pPr>
              <w:pStyle w:val="7"/>
              <w:spacing w:before="78" w:line="237" w:lineRule="auto"/>
              <w:ind w:left="295"/>
            </w:pPr>
            <w:r>
              <w:t>5</w:t>
            </w:r>
          </w:p>
        </w:tc>
        <w:tc>
          <w:tcPr>
            <w:tcW w:w="890" w:type="dxa"/>
            <w:vAlign w:val="top"/>
          </w:tcPr>
          <w:p w14:paraId="2CF7F95F">
            <w:pPr>
              <w:spacing w:line="253" w:lineRule="auto"/>
              <w:rPr>
                <w:rFonts w:ascii="Arial"/>
                <w:sz w:val="21"/>
              </w:rPr>
            </w:pPr>
          </w:p>
          <w:p w14:paraId="7B433CFB">
            <w:pPr>
              <w:pStyle w:val="7"/>
              <w:spacing w:before="78" w:line="220" w:lineRule="auto"/>
              <w:ind w:left="243"/>
            </w:pPr>
            <w:r>
              <w:rPr>
                <w:spacing w:val="-10"/>
              </w:rPr>
              <w:t>上海</w:t>
            </w:r>
          </w:p>
        </w:tc>
        <w:tc>
          <w:tcPr>
            <w:tcW w:w="923" w:type="dxa"/>
            <w:vAlign w:val="top"/>
          </w:tcPr>
          <w:p w14:paraId="27BF37E7">
            <w:pPr>
              <w:pStyle w:val="7"/>
              <w:spacing w:before="146" w:line="237" w:lineRule="auto"/>
              <w:ind w:left="186" w:leftChars="0"/>
            </w:pPr>
            <w:r>
              <w:rPr>
                <w:spacing w:val="-9"/>
              </w:rPr>
              <w:t>2022</w:t>
            </w:r>
          </w:p>
        </w:tc>
        <w:tc>
          <w:tcPr>
            <w:tcW w:w="908" w:type="dxa"/>
            <w:vAlign w:val="top"/>
          </w:tcPr>
          <w:p w14:paraId="5F5CC865">
            <w:pPr>
              <w:spacing w:line="253" w:lineRule="auto"/>
              <w:rPr>
                <w:rFonts w:ascii="Arial"/>
                <w:sz w:val="21"/>
              </w:rPr>
            </w:pPr>
          </w:p>
          <w:p w14:paraId="3549BC19">
            <w:pPr>
              <w:pStyle w:val="7"/>
              <w:spacing w:before="78" w:line="237" w:lineRule="auto"/>
              <w:ind w:left="368"/>
            </w:pPr>
            <w:r>
              <w:rPr>
                <w:spacing w:val="-10"/>
              </w:rPr>
              <w:t>10</w:t>
            </w:r>
          </w:p>
        </w:tc>
        <w:tc>
          <w:tcPr>
            <w:tcW w:w="1274" w:type="dxa"/>
            <w:vAlign w:val="top"/>
          </w:tcPr>
          <w:p w14:paraId="1193E3D8">
            <w:pPr>
              <w:spacing w:line="253" w:lineRule="auto"/>
              <w:rPr>
                <w:rFonts w:ascii="Arial"/>
                <w:sz w:val="21"/>
              </w:rPr>
            </w:pPr>
          </w:p>
          <w:p w14:paraId="266CC5E7">
            <w:pPr>
              <w:pStyle w:val="7"/>
              <w:spacing w:before="78" w:line="216" w:lineRule="auto"/>
              <w:ind w:left="217"/>
            </w:pPr>
            <w:r>
              <w:rPr>
                <w:spacing w:val="-15"/>
              </w:rPr>
              <w:t>施工检测</w:t>
            </w:r>
          </w:p>
        </w:tc>
        <w:tc>
          <w:tcPr>
            <w:tcW w:w="1153" w:type="dxa"/>
            <w:vMerge w:val="continue"/>
            <w:tcBorders>
              <w:top w:val="nil"/>
              <w:bottom w:val="nil"/>
              <w:right w:val="single" w:color="5B9BD5" w:sz="4" w:space="0"/>
            </w:tcBorders>
            <w:vAlign w:val="top"/>
          </w:tcPr>
          <w:p w14:paraId="21506605">
            <w:pPr>
              <w:rPr>
                <w:rFonts w:ascii="Arial"/>
                <w:sz w:val="21"/>
              </w:rPr>
            </w:pPr>
          </w:p>
        </w:tc>
      </w:tr>
      <w:tr w14:paraId="49F166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86" w:hRule="atLeast"/>
        </w:trPr>
        <w:tc>
          <w:tcPr>
            <w:tcW w:w="604" w:type="dxa"/>
            <w:tcBorders>
              <w:left w:val="single" w:color="000000" w:sz="4" w:space="0"/>
            </w:tcBorders>
            <w:vAlign w:val="top"/>
          </w:tcPr>
          <w:p w14:paraId="29EC631B">
            <w:pPr>
              <w:pStyle w:val="7"/>
              <w:spacing w:before="151" w:line="237" w:lineRule="auto"/>
              <w:ind w:left="220"/>
            </w:pPr>
            <w:r>
              <w:rPr>
                <w:spacing w:val="-10"/>
              </w:rPr>
              <w:t>17</w:t>
            </w:r>
          </w:p>
        </w:tc>
        <w:tc>
          <w:tcPr>
            <w:tcW w:w="1465" w:type="dxa"/>
            <w:vAlign w:val="top"/>
          </w:tcPr>
          <w:p w14:paraId="7053BB64">
            <w:pPr>
              <w:pStyle w:val="7"/>
              <w:spacing w:before="151" w:line="219" w:lineRule="auto"/>
              <w:ind w:left="420"/>
            </w:pPr>
            <w:r>
              <w:rPr>
                <w:spacing w:val="-15"/>
              </w:rPr>
              <w:t>兆欧表</w:t>
            </w:r>
          </w:p>
        </w:tc>
        <w:tc>
          <w:tcPr>
            <w:tcW w:w="1674" w:type="dxa"/>
            <w:vAlign w:val="top"/>
          </w:tcPr>
          <w:p w14:paraId="5359CAD4">
            <w:pPr>
              <w:pStyle w:val="7"/>
              <w:spacing w:before="194" w:line="179" w:lineRule="auto"/>
              <w:ind w:left="696"/>
            </w:pPr>
            <w:r>
              <w:rPr>
                <w:spacing w:val="-12"/>
              </w:rPr>
              <w:t>1KV</w:t>
            </w:r>
          </w:p>
        </w:tc>
        <w:tc>
          <w:tcPr>
            <w:tcW w:w="681" w:type="dxa"/>
            <w:vAlign w:val="top"/>
          </w:tcPr>
          <w:p w14:paraId="16B3F9FB">
            <w:pPr>
              <w:pStyle w:val="7"/>
              <w:spacing w:before="151" w:line="237" w:lineRule="auto"/>
              <w:ind w:left="295"/>
            </w:pPr>
            <w:r>
              <w:t>5</w:t>
            </w:r>
          </w:p>
        </w:tc>
        <w:tc>
          <w:tcPr>
            <w:tcW w:w="890" w:type="dxa"/>
            <w:vAlign w:val="top"/>
          </w:tcPr>
          <w:p w14:paraId="061A39A7">
            <w:pPr>
              <w:pStyle w:val="7"/>
              <w:spacing w:before="150" w:line="220" w:lineRule="auto"/>
              <w:ind w:left="244"/>
            </w:pPr>
            <w:r>
              <w:rPr>
                <w:spacing w:val="-11"/>
              </w:rPr>
              <w:t>西安</w:t>
            </w:r>
          </w:p>
        </w:tc>
        <w:tc>
          <w:tcPr>
            <w:tcW w:w="923" w:type="dxa"/>
            <w:vAlign w:val="top"/>
          </w:tcPr>
          <w:p w14:paraId="18FA15F2">
            <w:pPr>
              <w:pStyle w:val="7"/>
              <w:spacing w:before="145" w:line="237" w:lineRule="auto"/>
              <w:ind w:left="186" w:leftChars="0"/>
            </w:pPr>
            <w:r>
              <w:rPr>
                <w:spacing w:val="-9"/>
              </w:rPr>
              <w:t>202</w:t>
            </w:r>
            <w:r>
              <w:rPr>
                <w:rFonts w:hint="eastAsia"/>
                <w:spacing w:val="-9"/>
                <w:lang w:val="en-US" w:eastAsia="zh-CN"/>
              </w:rPr>
              <w:t>1</w:t>
            </w:r>
          </w:p>
        </w:tc>
        <w:tc>
          <w:tcPr>
            <w:tcW w:w="908" w:type="dxa"/>
            <w:vAlign w:val="top"/>
          </w:tcPr>
          <w:p w14:paraId="6233C1A4">
            <w:pPr>
              <w:pStyle w:val="7"/>
              <w:spacing w:before="151" w:line="237" w:lineRule="auto"/>
              <w:ind w:left="368"/>
            </w:pPr>
            <w:r>
              <w:rPr>
                <w:spacing w:val="-10"/>
              </w:rPr>
              <w:t>10</w:t>
            </w:r>
          </w:p>
        </w:tc>
        <w:tc>
          <w:tcPr>
            <w:tcW w:w="1274" w:type="dxa"/>
            <w:vAlign w:val="top"/>
          </w:tcPr>
          <w:p w14:paraId="5796FEFB">
            <w:pPr>
              <w:pStyle w:val="7"/>
              <w:spacing w:before="151" w:line="216" w:lineRule="auto"/>
              <w:ind w:left="217"/>
            </w:pPr>
            <w:r>
              <w:rPr>
                <w:spacing w:val="-15"/>
              </w:rPr>
              <w:t>施工检测</w:t>
            </w:r>
          </w:p>
        </w:tc>
        <w:tc>
          <w:tcPr>
            <w:tcW w:w="1153" w:type="dxa"/>
            <w:vMerge w:val="continue"/>
            <w:tcBorders>
              <w:top w:val="nil"/>
              <w:bottom w:val="nil"/>
              <w:right w:val="single" w:color="5B9BD5" w:sz="4" w:space="0"/>
            </w:tcBorders>
            <w:vAlign w:val="top"/>
          </w:tcPr>
          <w:p w14:paraId="53B009EE">
            <w:pPr>
              <w:rPr>
                <w:rFonts w:ascii="Arial"/>
                <w:sz w:val="21"/>
              </w:rPr>
            </w:pPr>
          </w:p>
        </w:tc>
      </w:tr>
      <w:tr w14:paraId="56282A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6" w:hRule="atLeast"/>
        </w:trPr>
        <w:tc>
          <w:tcPr>
            <w:tcW w:w="604" w:type="dxa"/>
            <w:tcBorders>
              <w:left w:val="single" w:color="000000" w:sz="4" w:space="0"/>
            </w:tcBorders>
            <w:vAlign w:val="top"/>
          </w:tcPr>
          <w:p w14:paraId="669F06DD">
            <w:pPr>
              <w:pStyle w:val="7"/>
              <w:spacing w:before="151" w:line="237" w:lineRule="auto"/>
              <w:ind w:left="220"/>
            </w:pPr>
            <w:r>
              <w:rPr>
                <w:spacing w:val="-10"/>
              </w:rPr>
              <w:t>18</w:t>
            </w:r>
          </w:p>
        </w:tc>
        <w:tc>
          <w:tcPr>
            <w:tcW w:w="1465" w:type="dxa"/>
            <w:vAlign w:val="top"/>
          </w:tcPr>
          <w:p w14:paraId="7DAB788B">
            <w:pPr>
              <w:pStyle w:val="7"/>
              <w:spacing w:before="151" w:line="219" w:lineRule="auto"/>
              <w:ind w:left="420"/>
            </w:pPr>
            <w:r>
              <w:rPr>
                <w:spacing w:val="-15"/>
              </w:rPr>
              <w:t>兆欧表</w:t>
            </w:r>
          </w:p>
        </w:tc>
        <w:tc>
          <w:tcPr>
            <w:tcW w:w="1674" w:type="dxa"/>
            <w:vAlign w:val="top"/>
          </w:tcPr>
          <w:p w14:paraId="3691FEC6">
            <w:pPr>
              <w:pStyle w:val="7"/>
              <w:spacing w:before="195" w:line="178" w:lineRule="auto"/>
              <w:ind w:left="628"/>
            </w:pPr>
            <w:r>
              <w:rPr>
                <w:spacing w:val="-10"/>
              </w:rPr>
              <w:t>500V</w:t>
            </w:r>
          </w:p>
        </w:tc>
        <w:tc>
          <w:tcPr>
            <w:tcW w:w="681" w:type="dxa"/>
            <w:vAlign w:val="top"/>
          </w:tcPr>
          <w:p w14:paraId="504B059A">
            <w:pPr>
              <w:pStyle w:val="7"/>
              <w:spacing w:before="151" w:line="237" w:lineRule="auto"/>
              <w:ind w:left="295"/>
            </w:pPr>
            <w:r>
              <w:t>5</w:t>
            </w:r>
          </w:p>
        </w:tc>
        <w:tc>
          <w:tcPr>
            <w:tcW w:w="890" w:type="dxa"/>
            <w:vAlign w:val="top"/>
          </w:tcPr>
          <w:p w14:paraId="5494D345">
            <w:pPr>
              <w:pStyle w:val="7"/>
              <w:spacing w:before="151" w:line="220" w:lineRule="auto"/>
              <w:ind w:left="244"/>
            </w:pPr>
            <w:r>
              <w:rPr>
                <w:spacing w:val="-11"/>
              </w:rPr>
              <w:t>西安</w:t>
            </w:r>
          </w:p>
        </w:tc>
        <w:tc>
          <w:tcPr>
            <w:tcW w:w="923" w:type="dxa"/>
            <w:vAlign w:val="top"/>
          </w:tcPr>
          <w:p w14:paraId="2257C68E">
            <w:pPr>
              <w:pStyle w:val="7"/>
              <w:spacing w:before="146" w:line="237" w:lineRule="auto"/>
              <w:ind w:left="186" w:leftChars="0"/>
            </w:pPr>
            <w:r>
              <w:rPr>
                <w:spacing w:val="-9"/>
              </w:rPr>
              <w:t>2022</w:t>
            </w:r>
          </w:p>
        </w:tc>
        <w:tc>
          <w:tcPr>
            <w:tcW w:w="908" w:type="dxa"/>
            <w:vAlign w:val="top"/>
          </w:tcPr>
          <w:p w14:paraId="3D106A55">
            <w:pPr>
              <w:pStyle w:val="7"/>
              <w:spacing w:before="151" w:line="237" w:lineRule="auto"/>
              <w:ind w:left="353"/>
            </w:pPr>
            <w:r>
              <w:rPr>
                <w:spacing w:val="-6"/>
              </w:rPr>
              <w:t>20</w:t>
            </w:r>
          </w:p>
        </w:tc>
        <w:tc>
          <w:tcPr>
            <w:tcW w:w="1274" w:type="dxa"/>
            <w:vAlign w:val="top"/>
          </w:tcPr>
          <w:p w14:paraId="57B4F563">
            <w:pPr>
              <w:pStyle w:val="7"/>
              <w:spacing w:before="151" w:line="216" w:lineRule="auto"/>
              <w:ind w:left="217"/>
            </w:pPr>
            <w:r>
              <w:rPr>
                <w:spacing w:val="-15"/>
              </w:rPr>
              <w:t>施工检测</w:t>
            </w:r>
          </w:p>
        </w:tc>
        <w:tc>
          <w:tcPr>
            <w:tcW w:w="1153" w:type="dxa"/>
            <w:vMerge w:val="continue"/>
            <w:tcBorders>
              <w:top w:val="nil"/>
              <w:bottom w:val="nil"/>
              <w:right w:val="single" w:color="5B9BD5" w:sz="4" w:space="0"/>
            </w:tcBorders>
            <w:vAlign w:val="top"/>
          </w:tcPr>
          <w:p w14:paraId="745435F0">
            <w:pPr>
              <w:rPr>
                <w:rFonts w:ascii="Arial"/>
                <w:sz w:val="21"/>
              </w:rPr>
            </w:pPr>
          </w:p>
        </w:tc>
      </w:tr>
      <w:tr w14:paraId="12518A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6" w:hRule="atLeast"/>
        </w:trPr>
        <w:tc>
          <w:tcPr>
            <w:tcW w:w="604" w:type="dxa"/>
            <w:tcBorders>
              <w:left w:val="single" w:color="000000" w:sz="4" w:space="0"/>
            </w:tcBorders>
            <w:vAlign w:val="top"/>
          </w:tcPr>
          <w:p w14:paraId="185ACD0F">
            <w:pPr>
              <w:pStyle w:val="7"/>
              <w:spacing w:before="151" w:line="237" w:lineRule="auto"/>
              <w:ind w:left="220"/>
            </w:pPr>
            <w:r>
              <w:rPr>
                <w:spacing w:val="-10"/>
              </w:rPr>
              <w:t>19</w:t>
            </w:r>
          </w:p>
        </w:tc>
        <w:tc>
          <w:tcPr>
            <w:tcW w:w="1465" w:type="dxa"/>
            <w:vAlign w:val="top"/>
          </w:tcPr>
          <w:p w14:paraId="54CA059E">
            <w:pPr>
              <w:pStyle w:val="7"/>
              <w:spacing w:before="151" w:line="220" w:lineRule="auto"/>
              <w:ind w:left="417"/>
            </w:pPr>
            <w:r>
              <w:rPr>
                <w:spacing w:val="-14"/>
              </w:rPr>
              <w:t>万用表</w:t>
            </w:r>
          </w:p>
        </w:tc>
        <w:tc>
          <w:tcPr>
            <w:tcW w:w="1674" w:type="dxa"/>
            <w:vAlign w:val="top"/>
          </w:tcPr>
          <w:p w14:paraId="011E2665">
            <w:pPr>
              <w:rPr>
                <w:rFonts w:ascii="Arial"/>
                <w:sz w:val="21"/>
              </w:rPr>
            </w:pPr>
          </w:p>
        </w:tc>
        <w:tc>
          <w:tcPr>
            <w:tcW w:w="681" w:type="dxa"/>
            <w:vAlign w:val="top"/>
          </w:tcPr>
          <w:p w14:paraId="197B3529">
            <w:pPr>
              <w:pStyle w:val="7"/>
              <w:spacing w:before="151" w:line="237" w:lineRule="auto"/>
              <w:ind w:left="295"/>
            </w:pPr>
            <w:r>
              <w:t>5</w:t>
            </w:r>
          </w:p>
        </w:tc>
        <w:tc>
          <w:tcPr>
            <w:tcW w:w="890" w:type="dxa"/>
            <w:vAlign w:val="top"/>
          </w:tcPr>
          <w:p w14:paraId="4BDFFF03">
            <w:pPr>
              <w:pStyle w:val="7"/>
              <w:spacing w:before="151" w:line="219" w:lineRule="auto"/>
              <w:ind w:left="252"/>
            </w:pPr>
            <w:r>
              <w:rPr>
                <w:spacing w:val="-13"/>
              </w:rPr>
              <w:t>南京</w:t>
            </w:r>
          </w:p>
        </w:tc>
        <w:tc>
          <w:tcPr>
            <w:tcW w:w="923" w:type="dxa"/>
            <w:vAlign w:val="top"/>
          </w:tcPr>
          <w:p w14:paraId="598D795A">
            <w:pPr>
              <w:pStyle w:val="7"/>
              <w:spacing w:before="145" w:line="237" w:lineRule="auto"/>
              <w:ind w:left="186" w:leftChars="0"/>
            </w:pPr>
            <w:r>
              <w:rPr>
                <w:spacing w:val="-9"/>
              </w:rPr>
              <w:t>202</w:t>
            </w:r>
            <w:r>
              <w:rPr>
                <w:rFonts w:hint="eastAsia"/>
                <w:spacing w:val="-9"/>
                <w:lang w:val="en-US" w:eastAsia="zh-CN"/>
              </w:rPr>
              <w:t>1</w:t>
            </w:r>
          </w:p>
        </w:tc>
        <w:tc>
          <w:tcPr>
            <w:tcW w:w="908" w:type="dxa"/>
            <w:vAlign w:val="top"/>
          </w:tcPr>
          <w:p w14:paraId="2161DD2C">
            <w:pPr>
              <w:pStyle w:val="7"/>
              <w:spacing w:before="151" w:line="237" w:lineRule="auto"/>
              <w:ind w:left="368"/>
            </w:pPr>
            <w:r>
              <w:rPr>
                <w:spacing w:val="-10"/>
              </w:rPr>
              <w:t>15</w:t>
            </w:r>
          </w:p>
        </w:tc>
        <w:tc>
          <w:tcPr>
            <w:tcW w:w="1274" w:type="dxa"/>
            <w:vAlign w:val="top"/>
          </w:tcPr>
          <w:p w14:paraId="3D60B800">
            <w:pPr>
              <w:pStyle w:val="7"/>
              <w:spacing w:before="151" w:line="216" w:lineRule="auto"/>
              <w:ind w:left="217"/>
            </w:pPr>
            <w:r>
              <w:rPr>
                <w:spacing w:val="-15"/>
              </w:rPr>
              <w:t>施工检测</w:t>
            </w:r>
          </w:p>
        </w:tc>
        <w:tc>
          <w:tcPr>
            <w:tcW w:w="1153" w:type="dxa"/>
            <w:vMerge w:val="continue"/>
            <w:tcBorders>
              <w:top w:val="nil"/>
              <w:bottom w:val="nil"/>
              <w:right w:val="single" w:color="5B9BD5" w:sz="4" w:space="0"/>
            </w:tcBorders>
            <w:vAlign w:val="top"/>
          </w:tcPr>
          <w:p w14:paraId="54CDE220">
            <w:pPr>
              <w:rPr>
                <w:rFonts w:ascii="Arial"/>
                <w:sz w:val="21"/>
              </w:rPr>
            </w:pPr>
          </w:p>
        </w:tc>
      </w:tr>
      <w:tr w14:paraId="21EEA3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83" w:hRule="atLeast"/>
        </w:trPr>
        <w:tc>
          <w:tcPr>
            <w:tcW w:w="604" w:type="dxa"/>
            <w:tcBorders>
              <w:left w:val="single" w:color="000000" w:sz="4" w:space="0"/>
            </w:tcBorders>
            <w:vAlign w:val="top"/>
          </w:tcPr>
          <w:p w14:paraId="30C2EAA5">
            <w:pPr>
              <w:pStyle w:val="7"/>
              <w:spacing w:before="150" w:line="237" w:lineRule="auto"/>
              <w:ind w:left="205"/>
            </w:pPr>
            <w:r>
              <w:rPr>
                <w:spacing w:val="-6"/>
              </w:rPr>
              <w:t>20</w:t>
            </w:r>
          </w:p>
        </w:tc>
        <w:tc>
          <w:tcPr>
            <w:tcW w:w="1465" w:type="dxa"/>
            <w:vAlign w:val="top"/>
          </w:tcPr>
          <w:p w14:paraId="6ED2EE0F">
            <w:pPr>
              <w:pStyle w:val="7"/>
              <w:spacing w:before="150" w:line="217" w:lineRule="auto"/>
              <w:ind w:left="414"/>
            </w:pPr>
            <w:r>
              <w:rPr>
                <w:spacing w:val="-13"/>
              </w:rPr>
              <w:t>核相器</w:t>
            </w:r>
          </w:p>
        </w:tc>
        <w:tc>
          <w:tcPr>
            <w:tcW w:w="1674" w:type="dxa"/>
            <w:vAlign w:val="top"/>
          </w:tcPr>
          <w:p w14:paraId="49CB74BD">
            <w:pPr>
              <w:pStyle w:val="7"/>
              <w:spacing w:before="149" w:line="222" w:lineRule="auto"/>
              <w:ind w:left="399"/>
            </w:pPr>
            <w:r>
              <w:rPr>
                <w:spacing w:val="-9"/>
              </w:rPr>
              <w:t>DZ-10/35</w:t>
            </w:r>
          </w:p>
        </w:tc>
        <w:tc>
          <w:tcPr>
            <w:tcW w:w="681" w:type="dxa"/>
            <w:vAlign w:val="top"/>
          </w:tcPr>
          <w:p w14:paraId="1B462034">
            <w:pPr>
              <w:pStyle w:val="7"/>
              <w:spacing w:before="150" w:line="237" w:lineRule="auto"/>
              <w:ind w:left="295"/>
            </w:pPr>
            <w:r>
              <w:t>5</w:t>
            </w:r>
          </w:p>
        </w:tc>
        <w:tc>
          <w:tcPr>
            <w:tcW w:w="890" w:type="dxa"/>
            <w:vAlign w:val="top"/>
          </w:tcPr>
          <w:p w14:paraId="32052912">
            <w:pPr>
              <w:pStyle w:val="7"/>
              <w:spacing w:before="149" w:line="219" w:lineRule="auto"/>
              <w:ind w:left="252"/>
            </w:pPr>
            <w:r>
              <w:rPr>
                <w:spacing w:val="-13"/>
              </w:rPr>
              <w:t>南京</w:t>
            </w:r>
          </w:p>
        </w:tc>
        <w:tc>
          <w:tcPr>
            <w:tcW w:w="923" w:type="dxa"/>
            <w:vAlign w:val="top"/>
          </w:tcPr>
          <w:p w14:paraId="47C4B17B">
            <w:pPr>
              <w:pStyle w:val="7"/>
              <w:spacing w:before="146" w:line="237" w:lineRule="auto"/>
              <w:ind w:left="186" w:leftChars="0"/>
            </w:pPr>
            <w:r>
              <w:rPr>
                <w:spacing w:val="-9"/>
              </w:rPr>
              <w:t>2022</w:t>
            </w:r>
          </w:p>
        </w:tc>
        <w:tc>
          <w:tcPr>
            <w:tcW w:w="908" w:type="dxa"/>
            <w:vAlign w:val="top"/>
          </w:tcPr>
          <w:p w14:paraId="55B2EC9E">
            <w:pPr>
              <w:pStyle w:val="7"/>
              <w:spacing w:before="150" w:line="237" w:lineRule="auto"/>
              <w:ind w:left="368"/>
            </w:pPr>
            <w:r>
              <w:rPr>
                <w:spacing w:val="-10"/>
              </w:rPr>
              <w:t>10</w:t>
            </w:r>
          </w:p>
        </w:tc>
        <w:tc>
          <w:tcPr>
            <w:tcW w:w="1274" w:type="dxa"/>
            <w:vAlign w:val="top"/>
          </w:tcPr>
          <w:p w14:paraId="3B775AA3">
            <w:pPr>
              <w:pStyle w:val="7"/>
              <w:spacing w:before="150" w:line="216" w:lineRule="auto"/>
              <w:ind w:left="217"/>
            </w:pPr>
            <w:r>
              <w:rPr>
                <w:spacing w:val="-15"/>
              </w:rPr>
              <w:t>施工检测</w:t>
            </w:r>
          </w:p>
        </w:tc>
        <w:tc>
          <w:tcPr>
            <w:tcW w:w="1153" w:type="dxa"/>
            <w:vMerge w:val="continue"/>
            <w:tcBorders>
              <w:top w:val="nil"/>
              <w:bottom w:val="nil"/>
              <w:right w:val="single" w:color="5B9BD5" w:sz="4" w:space="0"/>
            </w:tcBorders>
            <w:vAlign w:val="top"/>
          </w:tcPr>
          <w:p w14:paraId="1FA3681B">
            <w:pPr>
              <w:rPr>
                <w:rFonts w:ascii="Arial"/>
                <w:sz w:val="21"/>
              </w:rPr>
            </w:pPr>
          </w:p>
        </w:tc>
      </w:tr>
      <w:tr w14:paraId="1826B9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1" w:hRule="atLeast"/>
        </w:trPr>
        <w:tc>
          <w:tcPr>
            <w:tcW w:w="604" w:type="dxa"/>
            <w:tcBorders>
              <w:left w:val="single" w:color="000000" w:sz="4" w:space="0"/>
            </w:tcBorders>
            <w:vAlign w:val="top"/>
          </w:tcPr>
          <w:p w14:paraId="209D713A">
            <w:pPr>
              <w:pStyle w:val="7"/>
              <w:spacing w:before="180" w:line="238" w:lineRule="auto"/>
              <w:ind w:left="205"/>
            </w:pPr>
            <w:r>
              <w:rPr>
                <w:spacing w:val="-6"/>
              </w:rPr>
              <w:t>21</w:t>
            </w:r>
          </w:p>
        </w:tc>
        <w:tc>
          <w:tcPr>
            <w:tcW w:w="1465" w:type="dxa"/>
            <w:vAlign w:val="top"/>
          </w:tcPr>
          <w:p w14:paraId="41FB19D7">
            <w:pPr>
              <w:pStyle w:val="7"/>
              <w:spacing w:before="179" w:line="220" w:lineRule="auto"/>
              <w:ind w:left="94"/>
            </w:pPr>
            <w:r>
              <w:rPr>
                <w:spacing w:val="-19"/>
              </w:rPr>
              <w:t>交直流电流表</w:t>
            </w:r>
          </w:p>
        </w:tc>
        <w:tc>
          <w:tcPr>
            <w:tcW w:w="1674" w:type="dxa"/>
            <w:vAlign w:val="top"/>
          </w:tcPr>
          <w:p w14:paraId="45D9CDC3">
            <w:pPr>
              <w:pStyle w:val="7"/>
              <w:spacing w:before="179" w:line="237" w:lineRule="auto"/>
              <w:ind w:left="563"/>
            </w:pPr>
            <w:r>
              <w:rPr>
                <w:spacing w:val="-8"/>
              </w:rPr>
              <w:t>D26-A</w:t>
            </w:r>
          </w:p>
        </w:tc>
        <w:tc>
          <w:tcPr>
            <w:tcW w:w="681" w:type="dxa"/>
            <w:vAlign w:val="top"/>
          </w:tcPr>
          <w:p w14:paraId="2CB087C6">
            <w:pPr>
              <w:pStyle w:val="7"/>
              <w:spacing w:before="179" w:line="237" w:lineRule="auto"/>
              <w:ind w:left="295"/>
            </w:pPr>
            <w:r>
              <w:t>5</w:t>
            </w:r>
          </w:p>
        </w:tc>
        <w:tc>
          <w:tcPr>
            <w:tcW w:w="890" w:type="dxa"/>
            <w:vAlign w:val="top"/>
          </w:tcPr>
          <w:p w14:paraId="17D84129">
            <w:pPr>
              <w:pStyle w:val="7"/>
              <w:spacing w:before="179" w:line="219" w:lineRule="auto"/>
              <w:ind w:left="252"/>
            </w:pPr>
            <w:r>
              <w:rPr>
                <w:spacing w:val="-13"/>
              </w:rPr>
              <w:t>南京</w:t>
            </w:r>
          </w:p>
        </w:tc>
        <w:tc>
          <w:tcPr>
            <w:tcW w:w="923" w:type="dxa"/>
            <w:vAlign w:val="top"/>
          </w:tcPr>
          <w:p w14:paraId="4576B57C">
            <w:pPr>
              <w:pStyle w:val="7"/>
              <w:spacing w:before="145" w:line="237" w:lineRule="auto"/>
              <w:ind w:left="186" w:leftChars="0"/>
            </w:pPr>
            <w:r>
              <w:rPr>
                <w:spacing w:val="-9"/>
              </w:rPr>
              <w:t>202</w:t>
            </w:r>
            <w:r>
              <w:rPr>
                <w:rFonts w:hint="eastAsia"/>
                <w:spacing w:val="-9"/>
                <w:lang w:val="en-US" w:eastAsia="zh-CN"/>
              </w:rPr>
              <w:t>1</w:t>
            </w:r>
          </w:p>
        </w:tc>
        <w:tc>
          <w:tcPr>
            <w:tcW w:w="908" w:type="dxa"/>
            <w:vAlign w:val="top"/>
          </w:tcPr>
          <w:p w14:paraId="59E0E431">
            <w:pPr>
              <w:pStyle w:val="7"/>
              <w:spacing w:before="179" w:line="237" w:lineRule="auto"/>
              <w:ind w:left="368"/>
            </w:pPr>
            <w:r>
              <w:rPr>
                <w:spacing w:val="-10"/>
              </w:rPr>
              <w:t>10</w:t>
            </w:r>
          </w:p>
        </w:tc>
        <w:tc>
          <w:tcPr>
            <w:tcW w:w="1274" w:type="dxa"/>
            <w:vAlign w:val="top"/>
          </w:tcPr>
          <w:p w14:paraId="01C1EB24">
            <w:pPr>
              <w:pStyle w:val="7"/>
              <w:spacing w:before="179" w:line="216" w:lineRule="auto"/>
              <w:ind w:left="217"/>
            </w:pPr>
            <w:r>
              <w:rPr>
                <w:spacing w:val="-15"/>
              </w:rPr>
              <w:t>施工检测</w:t>
            </w:r>
          </w:p>
        </w:tc>
        <w:tc>
          <w:tcPr>
            <w:tcW w:w="1153" w:type="dxa"/>
            <w:vMerge w:val="continue"/>
            <w:tcBorders>
              <w:top w:val="nil"/>
              <w:bottom w:val="nil"/>
              <w:right w:val="single" w:color="5B9BD5" w:sz="4" w:space="0"/>
            </w:tcBorders>
            <w:vAlign w:val="top"/>
          </w:tcPr>
          <w:p w14:paraId="5B81A16F">
            <w:pPr>
              <w:rPr>
                <w:rFonts w:ascii="Arial"/>
                <w:sz w:val="21"/>
              </w:rPr>
            </w:pPr>
          </w:p>
        </w:tc>
      </w:tr>
      <w:tr w14:paraId="49D853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724" w:hRule="atLeast"/>
        </w:trPr>
        <w:tc>
          <w:tcPr>
            <w:tcW w:w="604" w:type="dxa"/>
            <w:tcBorders>
              <w:left w:val="single" w:color="1C456A" w:sz="4" w:space="0"/>
              <w:bottom w:val="single" w:color="1C456A" w:sz="4" w:space="0"/>
            </w:tcBorders>
            <w:vAlign w:val="top"/>
          </w:tcPr>
          <w:p w14:paraId="07D0C86A">
            <w:pPr>
              <w:pStyle w:val="7"/>
              <w:spacing w:before="154" w:line="238" w:lineRule="auto"/>
              <w:ind w:left="205"/>
            </w:pPr>
            <w:r>
              <w:rPr>
                <w:spacing w:val="-6"/>
              </w:rPr>
              <w:t>22</w:t>
            </w:r>
          </w:p>
        </w:tc>
        <w:tc>
          <w:tcPr>
            <w:tcW w:w="1465" w:type="dxa"/>
            <w:tcBorders>
              <w:bottom w:val="single" w:color="000000" w:sz="4" w:space="0"/>
            </w:tcBorders>
            <w:vAlign w:val="top"/>
          </w:tcPr>
          <w:p w14:paraId="6CB3C918">
            <w:pPr>
              <w:pStyle w:val="7"/>
              <w:spacing w:before="153" w:line="218" w:lineRule="auto"/>
              <w:ind w:left="310"/>
            </w:pPr>
            <w:r>
              <w:rPr>
                <w:spacing w:val="-16"/>
              </w:rPr>
              <w:t>游标卡尺</w:t>
            </w:r>
          </w:p>
        </w:tc>
        <w:tc>
          <w:tcPr>
            <w:tcW w:w="1674" w:type="dxa"/>
            <w:tcBorders>
              <w:bottom w:val="single" w:color="000000" w:sz="4" w:space="0"/>
            </w:tcBorders>
            <w:vAlign w:val="top"/>
          </w:tcPr>
          <w:p w14:paraId="35525B29">
            <w:pPr>
              <w:pStyle w:val="7"/>
              <w:spacing w:before="153" w:line="237" w:lineRule="auto"/>
              <w:ind w:left="406"/>
            </w:pPr>
            <w:r>
              <w:rPr>
                <w:spacing w:val="-11"/>
              </w:rPr>
              <w:t>0～300mm</w:t>
            </w:r>
          </w:p>
        </w:tc>
        <w:tc>
          <w:tcPr>
            <w:tcW w:w="681" w:type="dxa"/>
            <w:tcBorders>
              <w:bottom w:val="single" w:color="000000" w:sz="4" w:space="0"/>
            </w:tcBorders>
            <w:vAlign w:val="top"/>
          </w:tcPr>
          <w:p w14:paraId="4D3A3C70">
            <w:pPr>
              <w:pStyle w:val="7"/>
              <w:spacing w:before="153" w:line="237" w:lineRule="auto"/>
              <w:ind w:left="253"/>
            </w:pPr>
            <w:r>
              <w:rPr>
                <w:spacing w:val="-10"/>
              </w:rPr>
              <w:t>15</w:t>
            </w:r>
          </w:p>
        </w:tc>
        <w:tc>
          <w:tcPr>
            <w:tcW w:w="890" w:type="dxa"/>
            <w:tcBorders>
              <w:bottom w:val="single" w:color="000000" w:sz="4" w:space="0"/>
            </w:tcBorders>
            <w:vAlign w:val="top"/>
          </w:tcPr>
          <w:p w14:paraId="348653D9">
            <w:pPr>
              <w:pStyle w:val="7"/>
              <w:spacing w:before="153" w:line="220" w:lineRule="auto"/>
              <w:ind w:left="244"/>
            </w:pPr>
            <w:r>
              <w:rPr>
                <w:spacing w:val="-11"/>
              </w:rPr>
              <w:t>西安</w:t>
            </w:r>
          </w:p>
        </w:tc>
        <w:tc>
          <w:tcPr>
            <w:tcW w:w="923" w:type="dxa"/>
            <w:tcBorders>
              <w:bottom w:val="single" w:color="000000" w:sz="4" w:space="0"/>
            </w:tcBorders>
            <w:vAlign w:val="top"/>
          </w:tcPr>
          <w:p w14:paraId="47D98539">
            <w:pPr>
              <w:pStyle w:val="7"/>
              <w:spacing w:before="146" w:line="237" w:lineRule="auto"/>
              <w:ind w:left="186" w:leftChars="0"/>
            </w:pPr>
            <w:r>
              <w:rPr>
                <w:spacing w:val="-9"/>
              </w:rPr>
              <w:t>2022</w:t>
            </w:r>
          </w:p>
        </w:tc>
        <w:tc>
          <w:tcPr>
            <w:tcW w:w="908" w:type="dxa"/>
            <w:tcBorders>
              <w:bottom w:val="single" w:color="000000" w:sz="4" w:space="0"/>
            </w:tcBorders>
            <w:vAlign w:val="top"/>
          </w:tcPr>
          <w:p w14:paraId="787CCBDD">
            <w:pPr>
              <w:pStyle w:val="7"/>
              <w:spacing w:before="153" w:line="237" w:lineRule="auto"/>
              <w:ind w:left="368"/>
            </w:pPr>
            <w:r>
              <w:rPr>
                <w:spacing w:val="-10"/>
              </w:rPr>
              <w:t>10</w:t>
            </w:r>
          </w:p>
        </w:tc>
        <w:tc>
          <w:tcPr>
            <w:tcW w:w="1274" w:type="dxa"/>
            <w:tcBorders>
              <w:bottom w:val="single" w:color="000000" w:sz="4" w:space="0"/>
            </w:tcBorders>
            <w:vAlign w:val="top"/>
          </w:tcPr>
          <w:p w14:paraId="5B18A427">
            <w:pPr>
              <w:pStyle w:val="7"/>
              <w:spacing w:before="153" w:line="216" w:lineRule="auto"/>
              <w:ind w:left="217"/>
            </w:pPr>
            <w:r>
              <w:rPr>
                <w:spacing w:val="-15"/>
              </w:rPr>
              <w:t>施工检测</w:t>
            </w:r>
          </w:p>
        </w:tc>
        <w:tc>
          <w:tcPr>
            <w:tcW w:w="1153" w:type="dxa"/>
            <w:vMerge w:val="continue"/>
            <w:tcBorders>
              <w:top w:val="nil"/>
              <w:bottom w:val="single" w:color="5B9BD5" w:sz="4" w:space="0"/>
              <w:right w:val="single" w:color="5B9BD5" w:sz="4" w:space="0"/>
            </w:tcBorders>
            <w:vAlign w:val="top"/>
          </w:tcPr>
          <w:p w14:paraId="020147A8">
            <w:pPr>
              <w:rPr>
                <w:rFonts w:ascii="Arial"/>
                <w:sz w:val="21"/>
              </w:rPr>
            </w:pPr>
          </w:p>
        </w:tc>
      </w:tr>
    </w:tbl>
    <w:p w14:paraId="30882C70">
      <w:pPr>
        <w:rPr>
          <w:rFonts w:ascii="Arial"/>
          <w:sz w:val="21"/>
        </w:rPr>
      </w:pPr>
    </w:p>
    <w:p w14:paraId="6399FD9F">
      <w:pPr>
        <w:rPr>
          <w:rFonts w:ascii="Arial" w:hAnsi="Arial" w:eastAsia="Arial" w:cs="Arial"/>
          <w:sz w:val="21"/>
          <w:szCs w:val="21"/>
        </w:rPr>
        <w:sectPr>
          <w:footerReference r:id="rId396" w:type="default"/>
          <w:pgSz w:w="11907" w:h="16839"/>
          <w:pgMar w:top="933" w:right="4" w:bottom="1038" w:left="0" w:header="478" w:footer="357" w:gutter="0"/>
          <w:pgBorders>
            <w:top w:val="none" w:sz="0" w:space="0"/>
            <w:left w:val="none" w:sz="0" w:space="0"/>
            <w:bottom w:val="none" w:sz="0" w:space="0"/>
            <w:right w:val="none" w:sz="0" w:space="0"/>
          </w:pgBorders>
          <w:cols w:space="720" w:num="1"/>
        </w:sectPr>
      </w:pPr>
    </w:p>
    <w:p w14:paraId="1D28AE22">
      <w:pPr>
        <w:spacing w:line="235" w:lineRule="exact"/>
      </w:pPr>
    </w:p>
    <w:tbl>
      <w:tblPr>
        <w:tblStyle w:val="6"/>
        <w:tblW w:w="9572" w:type="dxa"/>
        <w:tblInd w:w="1166"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04"/>
        <w:gridCol w:w="1465"/>
        <w:gridCol w:w="1674"/>
        <w:gridCol w:w="681"/>
        <w:gridCol w:w="890"/>
        <w:gridCol w:w="923"/>
        <w:gridCol w:w="908"/>
        <w:gridCol w:w="1274"/>
        <w:gridCol w:w="1153"/>
      </w:tblGrid>
      <w:tr w14:paraId="2DBF50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1" w:hRule="atLeast"/>
        </w:trPr>
        <w:tc>
          <w:tcPr>
            <w:tcW w:w="604" w:type="dxa"/>
            <w:tcBorders>
              <w:top w:val="single" w:color="000000" w:sz="4" w:space="0"/>
              <w:left w:val="single" w:color="000000" w:sz="4" w:space="0"/>
            </w:tcBorders>
            <w:vAlign w:val="top"/>
          </w:tcPr>
          <w:p w14:paraId="52A058D5">
            <w:pPr>
              <w:pStyle w:val="7"/>
              <w:spacing w:before="179" w:line="237" w:lineRule="auto"/>
              <w:ind w:left="205"/>
            </w:pPr>
            <w:r>
              <w:rPr>
                <w:spacing w:val="-6"/>
              </w:rPr>
              <w:t>23</w:t>
            </w:r>
          </w:p>
        </w:tc>
        <w:tc>
          <w:tcPr>
            <w:tcW w:w="1465" w:type="dxa"/>
            <w:tcBorders>
              <w:top w:val="single" w:color="000000" w:sz="4" w:space="0"/>
              <w:left w:val="nil"/>
              <w:right w:val="nil"/>
            </w:tcBorders>
            <w:vAlign w:val="top"/>
          </w:tcPr>
          <w:p w14:paraId="0F0D5736">
            <w:pPr>
              <w:pStyle w:val="7"/>
              <w:spacing w:before="179" w:line="216" w:lineRule="auto"/>
              <w:ind w:left="199"/>
            </w:pPr>
            <w:r>
              <w:rPr>
                <w:spacing w:val="-17"/>
              </w:rPr>
              <w:t>焊接检验尺</w:t>
            </w:r>
          </w:p>
        </w:tc>
        <w:tc>
          <w:tcPr>
            <w:tcW w:w="1674" w:type="dxa"/>
            <w:tcBorders>
              <w:top w:val="single" w:color="000000" w:sz="4" w:space="0"/>
              <w:left w:val="nil"/>
              <w:right w:val="nil"/>
            </w:tcBorders>
            <w:vAlign w:val="top"/>
          </w:tcPr>
          <w:p w14:paraId="1BEB46C8">
            <w:pPr>
              <w:pStyle w:val="7"/>
              <w:spacing w:before="179" w:line="237" w:lineRule="auto"/>
              <w:ind w:left="207"/>
            </w:pPr>
            <w:r>
              <w:rPr>
                <w:spacing w:val="-11"/>
              </w:rPr>
              <w:t>65°30mm</w:t>
            </w:r>
          </w:p>
        </w:tc>
        <w:tc>
          <w:tcPr>
            <w:tcW w:w="681" w:type="dxa"/>
            <w:tcBorders>
              <w:top w:val="single" w:color="000000" w:sz="4" w:space="0"/>
              <w:left w:val="nil"/>
              <w:right w:val="nil"/>
            </w:tcBorders>
            <w:vAlign w:val="top"/>
          </w:tcPr>
          <w:p w14:paraId="048BC897">
            <w:pPr>
              <w:pStyle w:val="7"/>
              <w:spacing w:before="179" w:line="237" w:lineRule="auto"/>
              <w:ind w:left="255"/>
            </w:pPr>
            <w:r>
              <w:rPr>
                <w:spacing w:val="-10"/>
              </w:rPr>
              <w:t>15</w:t>
            </w:r>
          </w:p>
        </w:tc>
        <w:tc>
          <w:tcPr>
            <w:tcW w:w="890" w:type="dxa"/>
            <w:tcBorders>
              <w:top w:val="single" w:color="000000" w:sz="4" w:space="0"/>
              <w:left w:val="nil"/>
              <w:right w:val="nil"/>
            </w:tcBorders>
            <w:vAlign w:val="top"/>
          </w:tcPr>
          <w:p w14:paraId="0CB7B186">
            <w:pPr>
              <w:pStyle w:val="7"/>
              <w:spacing w:before="179" w:line="220" w:lineRule="auto"/>
              <w:ind w:left="246"/>
            </w:pPr>
            <w:r>
              <w:rPr>
                <w:spacing w:val="-11"/>
              </w:rPr>
              <w:t>西安</w:t>
            </w:r>
          </w:p>
        </w:tc>
        <w:tc>
          <w:tcPr>
            <w:tcW w:w="923" w:type="dxa"/>
            <w:tcBorders>
              <w:top w:val="single" w:color="000000" w:sz="4" w:space="0"/>
              <w:left w:val="nil"/>
              <w:right w:val="nil"/>
            </w:tcBorders>
            <w:vAlign w:val="top"/>
          </w:tcPr>
          <w:p w14:paraId="4C38678E">
            <w:pPr>
              <w:pStyle w:val="7"/>
              <w:spacing w:before="145" w:line="237" w:lineRule="auto"/>
              <w:ind w:left="186" w:leftChars="0"/>
            </w:pPr>
            <w:r>
              <w:rPr>
                <w:spacing w:val="-9"/>
              </w:rPr>
              <w:t>202</w:t>
            </w:r>
            <w:r>
              <w:rPr>
                <w:rFonts w:hint="eastAsia"/>
                <w:spacing w:val="-9"/>
                <w:lang w:val="en-US" w:eastAsia="zh-CN"/>
              </w:rPr>
              <w:t>1</w:t>
            </w:r>
          </w:p>
        </w:tc>
        <w:tc>
          <w:tcPr>
            <w:tcW w:w="908" w:type="dxa"/>
            <w:tcBorders>
              <w:top w:val="single" w:color="000000" w:sz="4" w:space="0"/>
              <w:left w:val="nil"/>
              <w:right w:val="nil"/>
            </w:tcBorders>
            <w:vAlign w:val="top"/>
          </w:tcPr>
          <w:p w14:paraId="4D4534DE">
            <w:pPr>
              <w:pStyle w:val="7"/>
              <w:spacing w:before="179" w:line="237" w:lineRule="auto"/>
              <w:ind w:left="356"/>
            </w:pPr>
            <w:r>
              <w:rPr>
                <w:spacing w:val="-6"/>
              </w:rPr>
              <w:t>20</w:t>
            </w:r>
          </w:p>
        </w:tc>
        <w:tc>
          <w:tcPr>
            <w:tcW w:w="1274" w:type="dxa"/>
            <w:tcBorders>
              <w:top w:val="single" w:color="000000" w:sz="4" w:space="0"/>
              <w:left w:val="nil"/>
              <w:right w:val="nil"/>
            </w:tcBorders>
            <w:vAlign w:val="top"/>
          </w:tcPr>
          <w:p w14:paraId="331080ED">
            <w:pPr>
              <w:pStyle w:val="7"/>
              <w:spacing w:before="179" w:line="216" w:lineRule="auto"/>
              <w:ind w:left="220"/>
            </w:pPr>
            <w:r>
              <w:rPr>
                <w:spacing w:val="-15"/>
              </w:rPr>
              <w:t>施工检测</w:t>
            </w:r>
          </w:p>
        </w:tc>
        <w:tc>
          <w:tcPr>
            <w:tcW w:w="1153" w:type="dxa"/>
            <w:vMerge w:val="restart"/>
            <w:tcBorders>
              <w:top w:val="single" w:color="5B9BD5" w:sz="4" w:space="0"/>
              <w:bottom w:val="nil"/>
              <w:right w:val="single" w:color="5B9BD5" w:sz="4" w:space="0"/>
            </w:tcBorders>
            <w:vAlign w:val="top"/>
          </w:tcPr>
          <w:p w14:paraId="0AE136B1">
            <w:pPr>
              <w:rPr>
                <w:rFonts w:ascii="Arial"/>
                <w:sz w:val="21"/>
              </w:rPr>
            </w:pPr>
          </w:p>
        </w:tc>
      </w:tr>
      <w:tr w14:paraId="2CCC2F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50" w:hRule="atLeast"/>
        </w:trPr>
        <w:tc>
          <w:tcPr>
            <w:tcW w:w="604" w:type="dxa"/>
            <w:tcBorders>
              <w:left w:val="single" w:color="000000" w:sz="4" w:space="0"/>
            </w:tcBorders>
            <w:vAlign w:val="top"/>
          </w:tcPr>
          <w:p w14:paraId="30C3AA8F">
            <w:pPr>
              <w:spacing w:line="248" w:lineRule="auto"/>
              <w:rPr>
                <w:rFonts w:ascii="Arial"/>
                <w:sz w:val="21"/>
              </w:rPr>
            </w:pPr>
          </w:p>
          <w:p w14:paraId="31CC2B55">
            <w:pPr>
              <w:pStyle w:val="7"/>
              <w:spacing w:before="78" w:line="238" w:lineRule="auto"/>
              <w:ind w:left="205"/>
            </w:pPr>
            <w:r>
              <w:rPr>
                <w:spacing w:val="-6"/>
              </w:rPr>
              <w:t>24</w:t>
            </w:r>
          </w:p>
        </w:tc>
        <w:tc>
          <w:tcPr>
            <w:tcW w:w="1465" w:type="dxa"/>
            <w:vAlign w:val="top"/>
          </w:tcPr>
          <w:p w14:paraId="3687CEA0">
            <w:pPr>
              <w:spacing w:line="247" w:lineRule="auto"/>
              <w:rPr>
                <w:rFonts w:ascii="Arial"/>
                <w:sz w:val="21"/>
              </w:rPr>
            </w:pPr>
          </w:p>
          <w:p w14:paraId="2140F46F">
            <w:pPr>
              <w:pStyle w:val="7"/>
              <w:spacing w:before="78" w:line="220" w:lineRule="auto"/>
              <w:ind w:left="415"/>
            </w:pPr>
            <w:r>
              <w:rPr>
                <w:spacing w:val="-14"/>
              </w:rPr>
              <w:t>压力表</w:t>
            </w:r>
          </w:p>
        </w:tc>
        <w:tc>
          <w:tcPr>
            <w:tcW w:w="1674" w:type="dxa"/>
            <w:vAlign w:val="top"/>
          </w:tcPr>
          <w:p w14:paraId="59865477">
            <w:pPr>
              <w:pStyle w:val="7"/>
              <w:spacing w:before="94" w:line="220" w:lineRule="auto"/>
              <w:ind w:left="366"/>
            </w:pPr>
            <w:r>
              <w:rPr>
                <w:spacing w:val="8"/>
              </w:rPr>
              <w:t>1.5级0~</w:t>
            </w:r>
          </w:p>
          <w:p w14:paraId="618956F9">
            <w:pPr>
              <w:pStyle w:val="7"/>
              <w:spacing w:before="180" w:line="236" w:lineRule="auto"/>
              <w:ind w:left="530"/>
            </w:pPr>
            <w:r>
              <w:rPr>
                <w:spacing w:val="-12"/>
              </w:rPr>
              <w:t>1.6MPa</w:t>
            </w:r>
          </w:p>
        </w:tc>
        <w:tc>
          <w:tcPr>
            <w:tcW w:w="681" w:type="dxa"/>
            <w:vAlign w:val="top"/>
          </w:tcPr>
          <w:p w14:paraId="057C68FF">
            <w:pPr>
              <w:spacing w:line="248" w:lineRule="auto"/>
              <w:rPr>
                <w:rFonts w:ascii="Arial"/>
                <w:sz w:val="21"/>
              </w:rPr>
            </w:pPr>
          </w:p>
          <w:p w14:paraId="72ED8835">
            <w:pPr>
              <w:pStyle w:val="7"/>
              <w:spacing w:before="78" w:line="237" w:lineRule="auto"/>
              <w:ind w:left="295"/>
            </w:pPr>
            <w:r>
              <w:t>5</w:t>
            </w:r>
          </w:p>
        </w:tc>
        <w:tc>
          <w:tcPr>
            <w:tcW w:w="890" w:type="dxa"/>
            <w:vAlign w:val="top"/>
          </w:tcPr>
          <w:p w14:paraId="4C70167D">
            <w:pPr>
              <w:spacing w:line="247" w:lineRule="auto"/>
              <w:rPr>
                <w:rFonts w:ascii="Arial"/>
                <w:sz w:val="21"/>
              </w:rPr>
            </w:pPr>
          </w:p>
          <w:p w14:paraId="3177A9FD">
            <w:pPr>
              <w:pStyle w:val="7"/>
              <w:spacing w:before="78" w:line="220" w:lineRule="auto"/>
              <w:ind w:left="244"/>
            </w:pPr>
            <w:r>
              <w:rPr>
                <w:spacing w:val="-11"/>
              </w:rPr>
              <w:t>西安</w:t>
            </w:r>
          </w:p>
        </w:tc>
        <w:tc>
          <w:tcPr>
            <w:tcW w:w="923" w:type="dxa"/>
            <w:vAlign w:val="top"/>
          </w:tcPr>
          <w:p w14:paraId="269C7020">
            <w:pPr>
              <w:pStyle w:val="7"/>
              <w:spacing w:before="146" w:line="237" w:lineRule="auto"/>
              <w:ind w:left="186" w:leftChars="0"/>
            </w:pPr>
            <w:r>
              <w:rPr>
                <w:spacing w:val="-9"/>
              </w:rPr>
              <w:t>2022</w:t>
            </w:r>
          </w:p>
        </w:tc>
        <w:tc>
          <w:tcPr>
            <w:tcW w:w="908" w:type="dxa"/>
            <w:vAlign w:val="top"/>
          </w:tcPr>
          <w:p w14:paraId="7F43681C">
            <w:pPr>
              <w:spacing w:line="248" w:lineRule="auto"/>
              <w:rPr>
                <w:rFonts w:ascii="Arial"/>
                <w:sz w:val="21"/>
              </w:rPr>
            </w:pPr>
          </w:p>
          <w:p w14:paraId="6319EB0A">
            <w:pPr>
              <w:pStyle w:val="7"/>
              <w:spacing w:before="78" w:line="237" w:lineRule="auto"/>
              <w:ind w:left="353"/>
            </w:pPr>
            <w:r>
              <w:rPr>
                <w:spacing w:val="-6"/>
              </w:rPr>
              <w:t>20</w:t>
            </w:r>
          </w:p>
        </w:tc>
        <w:tc>
          <w:tcPr>
            <w:tcW w:w="1274" w:type="dxa"/>
            <w:vAlign w:val="top"/>
          </w:tcPr>
          <w:p w14:paraId="7FB164E2">
            <w:pPr>
              <w:spacing w:line="248" w:lineRule="auto"/>
              <w:rPr>
                <w:rFonts w:ascii="Arial"/>
                <w:sz w:val="21"/>
              </w:rPr>
            </w:pPr>
          </w:p>
          <w:p w14:paraId="7562997C">
            <w:pPr>
              <w:pStyle w:val="7"/>
              <w:spacing w:before="78" w:line="216" w:lineRule="auto"/>
              <w:ind w:left="217"/>
            </w:pPr>
            <w:r>
              <w:rPr>
                <w:spacing w:val="-15"/>
              </w:rPr>
              <w:t>施工检测</w:t>
            </w:r>
          </w:p>
        </w:tc>
        <w:tc>
          <w:tcPr>
            <w:tcW w:w="1153" w:type="dxa"/>
            <w:vMerge w:val="continue"/>
            <w:tcBorders>
              <w:top w:val="nil"/>
              <w:bottom w:val="nil"/>
              <w:right w:val="single" w:color="5B9BD5" w:sz="4" w:space="0"/>
            </w:tcBorders>
            <w:vAlign w:val="top"/>
          </w:tcPr>
          <w:p w14:paraId="411ECB13">
            <w:pPr>
              <w:rPr>
                <w:rFonts w:ascii="Arial"/>
                <w:sz w:val="21"/>
              </w:rPr>
            </w:pPr>
          </w:p>
        </w:tc>
      </w:tr>
      <w:tr w14:paraId="034693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5" w:hRule="atLeast"/>
        </w:trPr>
        <w:tc>
          <w:tcPr>
            <w:tcW w:w="604" w:type="dxa"/>
            <w:tcBorders>
              <w:left w:val="single" w:color="000000" w:sz="4" w:space="0"/>
            </w:tcBorders>
            <w:vAlign w:val="top"/>
          </w:tcPr>
          <w:p w14:paraId="6D73F55A">
            <w:pPr>
              <w:pStyle w:val="7"/>
              <w:spacing w:before="146" w:line="237" w:lineRule="auto"/>
              <w:ind w:left="205"/>
            </w:pPr>
            <w:r>
              <w:rPr>
                <w:spacing w:val="-6"/>
              </w:rPr>
              <w:t>25</w:t>
            </w:r>
          </w:p>
        </w:tc>
        <w:tc>
          <w:tcPr>
            <w:tcW w:w="1465" w:type="dxa"/>
            <w:vAlign w:val="top"/>
          </w:tcPr>
          <w:p w14:paraId="07744868">
            <w:pPr>
              <w:pStyle w:val="7"/>
              <w:spacing w:before="145" w:line="220" w:lineRule="auto"/>
              <w:ind w:left="307"/>
            </w:pPr>
            <w:r>
              <w:rPr>
                <w:spacing w:val="-15"/>
              </w:rPr>
              <w:t>磁力线坠</w:t>
            </w:r>
          </w:p>
        </w:tc>
        <w:tc>
          <w:tcPr>
            <w:tcW w:w="1674" w:type="dxa"/>
            <w:vAlign w:val="top"/>
          </w:tcPr>
          <w:p w14:paraId="182E2F61">
            <w:pPr>
              <w:pStyle w:val="7"/>
              <w:spacing w:before="146" w:line="211" w:lineRule="auto"/>
              <w:ind w:left="626"/>
            </w:pPr>
            <w:r>
              <w:rPr>
                <w:spacing w:val="-9"/>
              </w:rPr>
              <w:t>200g</w:t>
            </w:r>
          </w:p>
        </w:tc>
        <w:tc>
          <w:tcPr>
            <w:tcW w:w="681" w:type="dxa"/>
            <w:vAlign w:val="top"/>
          </w:tcPr>
          <w:p w14:paraId="5778373E">
            <w:pPr>
              <w:pStyle w:val="7"/>
              <w:spacing w:before="146" w:line="237" w:lineRule="auto"/>
              <w:ind w:left="238"/>
            </w:pPr>
            <w:r>
              <w:rPr>
                <w:spacing w:val="-6"/>
              </w:rPr>
              <w:t>20</w:t>
            </w:r>
          </w:p>
        </w:tc>
        <w:tc>
          <w:tcPr>
            <w:tcW w:w="890" w:type="dxa"/>
            <w:vAlign w:val="top"/>
          </w:tcPr>
          <w:p w14:paraId="434AA68C">
            <w:pPr>
              <w:pStyle w:val="7"/>
              <w:spacing w:before="145" w:line="220" w:lineRule="auto"/>
              <w:ind w:left="244"/>
            </w:pPr>
            <w:r>
              <w:rPr>
                <w:spacing w:val="-11"/>
              </w:rPr>
              <w:t>西安</w:t>
            </w:r>
          </w:p>
        </w:tc>
        <w:tc>
          <w:tcPr>
            <w:tcW w:w="923" w:type="dxa"/>
            <w:vAlign w:val="top"/>
          </w:tcPr>
          <w:p w14:paraId="0C3828BF">
            <w:pPr>
              <w:pStyle w:val="7"/>
              <w:spacing w:before="145" w:line="237" w:lineRule="auto"/>
              <w:ind w:left="186" w:leftChars="0"/>
            </w:pPr>
            <w:r>
              <w:rPr>
                <w:spacing w:val="-9"/>
              </w:rPr>
              <w:t>202</w:t>
            </w:r>
            <w:r>
              <w:rPr>
                <w:rFonts w:hint="eastAsia"/>
                <w:spacing w:val="-9"/>
                <w:lang w:val="en-US" w:eastAsia="zh-CN"/>
              </w:rPr>
              <w:t>1</w:t>
            </w:r>
          </w:p>
        </w:tc>
        <w:tc>
          <w:tcPr>
            <w:tcW w:w="908" w:type="dxa"/>
            <w:vAlign w:val="top"/>
          </w:tcPr>
          <w:p w14:paraId="21683134">
            <w:pPr>
              <w:pStyle w:val="7"/>
              <w:spacing w:before="146" w:line="237" w:lineRule="auto"/>
              <w:ind w:left="353"/>
            </w:pPr>
            <w:r>
              <w:rPr>
                <w:spacing w:val="-6"/>
              </w:rPr>
              <w:t>20</w:t>
            </w:r>
          </w:p>
        </w:tc>
        <w:tc>
          <w:tcPr>
            <w:tcW w:w="1274" w:type="dxa"/>
            <w:vAlign w:val="top"/>
          </w:tcPr>
          <w:p w14:paraId="029AD69E">
            <w:pPr>
              <w:pStyle w:val="7"/>
              <w:spacing w:before="146" w:line="216" w:lineRule="auto"/>
              <w:ind w:left="217"/>
            </w:pPr>
            <w:r>
              <w:rPr>
                <w:spacing w:val="-15"/>
              </w:rPr>
              <w:t>施工检测</w:t>
            </w:r>
          </w:p>
        </w:tc>
        <w:tc>
          <w:tcPr>
            <w:tcW w:w="1153" w:type="dxa"/>
            <w:vMerge w:val="continue"/>
            <w:tcBorders>
              <w:top w:val="nil"/>
              <w:bottom w:val="nil"/>
              <w:right w:val="single" w:color="5B9BD5" w:sz="4" w:space="0"/>
            </w:tcBorders>
            <w:vAlign w:val="top"/>
          </w:tcPr>
          <w:p w14:paraId="35ED1277">
            <w:pPr>
              <w:rPr>
                <w:rFonts w:ascii="Arial"/>
                <w:sz w:val="21"/>
              </w:rPr>
            </w:pPr>
          </w:p>
        </w:tc>
      </w:tr>
      <w:tr w14:paraId="10606C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5" w:hRule="atLeast"/>
        </w:trPr>
        <w:tc>
          <w:tcPr>
            <w:tcW w:w="604" w:type="dxa"/>
            <w:tcBorders>
              <w:left w:val="single" w:color="000000" w:sz="4" w:space="0"/>
            </w:tcBorders>
            <w:vAlign w:val="top"/>
          </w:tcPr>
          <w:p w14:paraId="109F8F6D">
            <w:pPr>
              <w:pStyle w:val="7"/>
              <w:spacing w:before="147" w:line="237" w:lineRule="auto"/>
              <w:ind w:left="205"/>
            </w:pPr>
            <w:r>
              <w:rPr>
                <w:spacing w:val="-6"/>
              </w:rPr>
              <w:t>26</w:t>
            </w:r>
          </w:p>
        </w:tc>
        <w:tc>
          <w:tcPr>
            <w:tcW w:w="1465" w:type="dxa"/>
            <w:vAlign w:val="top"/>
          </w:tcPr>
          <w:p w14:paraId="0137DC35">
            <w:pPr>
              <w:pStyle w:val="7"/>
              <w:spacing w:before="147" w:line="218" w:lineRule="auto"/>
              <w:ind w:left="202"/>
            </w:pPr>
            <w:r>
              <w:rPr>
                <w:spacing w:val="-18"/>
              </w:rPr>
              <w:t>热电风速仪</w:t>
            </w:r>
          </w:p>
        </w:tc>
        <w:tc>
          <w:tcPr>
            <w:tcW w:w="1674" w:type="dxa"/>
            <w:vAlign w:val="top"/>
          </w:tcPr>
          <w:p w14:paraId="768083CF">
            <w:pPr>
              <w:pStyle w:val="7"/>
              <w:spacing w:before="147" w:line="222" w:lineRule="auto"/>
              <w:ind w:left="566"/>
            </w:pPr>
            <w:r>
              <w:rPr>
                <w:spacing w:val="-9"/>
              </w:rPr>
              <w:t>QDF-2</w:t>
            </w:r>
          </w:p>
        </w:tc>
        <w:tc>
          <w:tcPr>
            <w:tcW w:w="681" w:type="dxa"/>
            <w:vAlign w:val="top"/>
          </w:tcPr>
          <w:p w14:paraId="42CA9563">
            <w:pPr>
              <w:pStyle w:val="7"/>
              <w:spacing w:before="147" w:line="237" w:lineRule="auto"/>
              <w:ind w:left="295"/>
            </w:pPr>
            <w:r>
              <w:t>5</w:t>
            </w:r>
          </w:p>
        </w:tc>
        <w:tc>
          <w:tcPr>
            <w:tcW w:w="890" w:type="dxa"/>
            <w:vAlign w:val="top"/>
          </w:tcPr>
          <w:p w14:paraId="1B0F675D">
            <w:pPr>
              <w:pStyle w:val="7"/>
              <w:spacing w:before="147" w:line="219" w:lineRule="auto"/>
              <w:ind w:left="252"/>
            </w:pPr>
            <w:r>
              <w:rPr>
                <w:spacing w:val="-13"/>
              </w:rPr>
              <w:t>南京</w:t>
            </w:r>
          </w:p>
        </w:tc>
        <w:tc>
          <w:tcPr>
            <w:tcW w:w="923" w:type="dxa"/>
            <w:vAlign w:val="top"/>
          </w:tcPr>
          <w:p w14:paraId="77F54D79">
            <w:pPr>
              <w:pStyle w:val="7"/>
              <w:spacing w:before="146" w:line="237" w:lineRule="auto"/>
              <w:ind w:left="186" w:leftChars="0"/>
            </w:pPr>
            <w:r>
              <w:rPr>
                <w:spacing w:val="-9"/>
              </w:rPr>
              <w:t>2022</w:t>
            </w:r>
          </w:p>
        </w:tc>
        <w:tc>
          <w:tcPr>
            <w:tcW w:w="908" w:type="dxa"/>
            <w:vAlign w:val="top"/>
          </w:tcPr>
          <w:p w14:paraId="40B40EA4">
            <w:pPr>
              <w:pStyle w:val="7"/>
              <w:spacing w:before="147" w:line="237" w:lineRule="auto"/>
              <w:ind w:left="368"/>
            </w:pPr>
            <w:r>
              <w:rPr>
                <w:spacing w:val="-10"/>
              </w:rPr>
              <w:t>10</w:t>
            </w:r>
          </w:p>
        </w:tc>
        <w:tc>
          <w:tcPr>
            <w:tcW w:w="1274" w:type="dxa"/>
            <w:vAlign w:val="top"/>
          </w:tcPr>
          <w:p w14:paraId="51E08385">
            <w:pPr>
              <w:pStyle w:val="7"/>
              <w:spacing w:before="147" w:line="216" w:lineRule="auto"/>
              <w:ind w:left="217"/>
            </w:pPr>
            <w:r>
              <w:rPr>
                <w:spacing w:val="-15"/>
              </w:rPr>
              <w:t>施工检测</w:t>
            </w:r>
          </w:p>
        </w:tc>
        <w:tc>
          <w:tcPr>
            <w:tcW w:w="1153" w:type="dxa"/>
            <w:vMerge w:val="continue"/>
            <w:tcBorders>
              <w:top w:val="nil"/>
              <w:bottom w:val="nil"/>
              <w:right w:val="single" w:color="5B9BD5" w:sz="4" w:space="0"/>
            </w:tcBorders>
            <w:vAlign w:val="top"/>
          </w:tcPr>
          <w:p w14:paraId="0B745004">
            <w:pPr>
              <w:rPr>
                <w:rFonts w:ascii="Arial"/>
                <w:sz w:val="21"/>
              </w:rPr>
            </w:pPr>
          </w:p>
        </w:tc>
      </w:tr>
      <w:tr w14:paraId="7F8102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5" w:hRule="atLeast"/>
        </w:trPr>
        <w:tc>
          <w:tcPr>
            <w:tcW w:w="604" w:type="dxa"/>
            <w:tcBorders>
              <w:left w:val="single" w:color="000000" w:sz="4" w:space="0"/>
            </w:tcBorders>
            <w:vAlign w:val="top"/>
          </w:tcPr>
          <w:p w14:paraId="13A25EE3">
            <w:pPr>
              <w:pStyle w:val="7"/>
              <w:spacing w:before="148" w:line="237" w:lineRule="auto"/>
              <w:ind w:left="205"/>
            </w:pPr>
            <w:r>
              <w:rPr>
                <w:spacing w:val="-6"/>
              </w:rPr>
              <w:t>27</w:t>
            </w:r>
          </w:p>
        </w:tc>
        <w:tc>
          <w:tcPr>
            <w:tcW w:w="1465" w:type="dxa"/>
            <w:vAlign w:val="top"/>
          </w:tcPr>
          <w:p w14:paraId="57EB696D">
            <w:pPr>
              <w:pStyle w:val="7"/>
              <w:spacing w:before="148" w:line="218" w:lineRule="auto"/>
              <w:ind w:left="414"/>
            </w:pPr>
            <w:r>
              <w:rPr>
                <w:spacing w:val="-13"/>
              </w:rPr>
              <w:t>声级计</w:t>
            </w:r>
          </w:p>
        </w:tc>
        <w:tc>
          <w:tcPr>
            <w:tcW w:w="1674" w:type="dxa"/>
            <w:vAlign w:val="top"/>
          </w:tcPr>
          <w:p w14:paraId="21276234">
            <w:pPr>
              <w:pStyle w:val="7"/>
              <w:spacing w:before="191" w:line="179" w:lineRule="auto"/>
              <w:ind w:left="615"/>
            </w:pPr>
            <w:r>
              <w:rPr>
                <w:spacing w:val="-7"/>
              </w:rPr>
              <w:t>N010</w:t>
            </w:r>
          </w:p>
        </w:tc>
        <w:tc>
          <w:tcPr>
            <w:tcW w:w="681" w:type="dxa"/>
            <w:vAlign w:val="top"/>
          </w:tcPr>
          <w:p w14:paraId="6495B980">
            <w:pPr>
              <w:pStyle w:val="7"/>
              <w:spacing w:before="148" w:line="237" w:lineRule="auto"/>
              <w:ind w:left="295"/>
            </w:pPr>
            <w:r>
              <w:t>5</w:t>
            </w:r>
          </w:p>
        </w:tc>
        <w:tc>
          <w:tcPr>
            <w:tcW w:w="890" w:type="dxa"/>
            <w:vAlign w:val="top"/>
          </w:tcPr>
          <w:p w14:paraId="13133036">
            <w:pPr>
              <w:pStyle w:val="7"/>
              <w:spacing w:before="148" w:line="219" w:lineRule="auto"/>
              <w:ind w:left="252"/>
            </w:pPr>
            <w:r>
              <w:rPr>
                <w:spacing w:val="-13"/>
              </w:rPr>
              <w:t>南京</w:t>
            </w:r>
          </w:p>
        </w:tc>
        <w:tc>
          <w:tcPr>
            <w:tcW w:w="923" w:type="dxa"/>
            <w:vAlign w:val="top"/>
          </w:tcPr>
          <w:p w14:paraId="0661883F">
            <w:pPr>
              <w:pStyle w:val="7"/>
              <w:spacing w:before="145" w:line="237" w:lineRule="auto"/>
              <w:ind w:left="186" w:leftChars="0"/>
            </w:pPr>
            <w:r>
              <w:rPr>
                <w:spacing w:val="-9"/>
              </w:rPr>
              <w:t>202</w:t>
            </w:r>
            <w:r>
              <w:rPr>
                <w:rFonts w:hint="eastAsia"/>
                <w:spacing w:val="-9"/>
                <w:lang w:val="en-US" w:eastAsia="zh-CN"/>
              </w:rPr>
              <w:t>1</w:t>
            </w:r>
          </w:p>
        </w:tc>
        <w:tc>
          <w:tcPr>
            <w:tcW w:w="908" w:type="dxa"/>
            <w:vAlign w:val="top"/>
          </w:tcPr>
          <w:p w14:paraId="29567B22">
            <w:pPr>
              <w:pStyle w:val="7"/>
              <w:spacing w:before="148" w:line="237" w:lineRule="auto"/>
              <w:ind w:left="353"/>
            </w:pPr>
            <w:r>
              <w:rPr>
                <w:spacing w:val="-6"/>
              </w:rPr>
              <w:t>20</w:t>
            </w:r>
          </w:p>
        </w:tc>
        <w:tc>
          <w:tcPr>
            <w:tcW w:w="1274" w:type="dxa"/>
            <w:vAlign w:val="top"/>
          </w:tcPr>
          <w:p w14:paraId="77ECDB15">
            <w:pPr>
              <w:pStyle w:val="7"/>
              <w:spacing w:before="148" w:line="216" w:lineRule="auto"/>
              <w:ind w:left="217"/>
            </w:pPr>
            <w:r>
              <w:rPr>
                <w:spacing w:val="-15"/>
              </w:rPr>
              <w:t>施工检测</w:t>
            </w:r>
          </w:p>
        </w:tc>
        <w:tc>
          <w:tcPr>
            <w:tcW w:w="1153" w:type="dxa"/>
            <w:vMerge w:val="continue"/>
            <w:tcBorders>
              <w:top w:val="nil"/>
              <w:bottom w:val="nil"/>
              <w:right w:val="single" w:color="5B9BD5" w:sz="4" w:space="0"/>
            </w:tcBorders>
            <w:vAlign w:val="top"/>
          </w:tcPr>
          <w:p w14:paraId="7C555EB4">
            <w:pPr>
              <w:rPr>
                <w:rFonts w:ascii="Arial"/>
                <w:sz w:val="21"/>
              </w:rPr>
            </w:pPr>
          </w:p>
        </w:tc>
      </w:tr>
      <w:tr w14:paraId="5C0720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53" w:hRule="atLeast"/>
        </w:trPr>
        <w:tc>
          <w:tcPr>
            <w:tcW w:w="604" w:type="dxa"/>
            <w:tcBorders>
              <w:left w:val="single" w:color="000000" w:sz="4" w:space="0"/>
            </w:tcBorders>
            <w:vAlign w:val="top"/>
          </w:tcPr>
          <w:p w14:paraId="0EF05410">
            <w:pPr>
              <w:spacing w:line="253" w:lineRule="auto"/>
              <w:rPr>
                <w:rFonts w:ascii="Arial"/>
                <w:sz w:val="21"/>
              </w:rPr>
            </w:pPr>
          </w:p>
          <w:p w14:paraId="166C6699">
            <w:pPr>
              <w:pStyle w:val="7"/>
              <w:spacing w:before="78" w:line="237" w:lineRule="auto"/>
              <w:ind w:left="205"/>
            </w:pPr>
            <w:r>
              <w:rPr>
                <w:spacing w:val="-6"/>
              </w:rPr>
              <w:t>28</w:t>
            </w:r>
          </w:p>
        </w:tc>
        <w:tc>
          <w:tcPr>
            <w:tcW w:w="1465" w:type="dxa"/>
            <w:vAlign w:val="top"/>
          </w:tcPr>
          <w:p w14:paraId="431C493B">
            <w:pPr>
              <w:pStyle w:val="7"/>
              <w:spacing w:before="99" w:line="219" w:lineRule="auto"/>
              <w:ind w:left="102"/>
            </w:pPr>
            <w:r>
              <w:rPr>
                <w:spacing w:val="-20"/>
              </w:rPr>
              <w:t>多点数字温度</w:t>
            </w:r>
          </w:p>
          <w:p w14:paraId="33C560C7">
            <w:pPr>
              <w:pStyle w:val="7"/>
              <w:spacing w:before="181" w:line="218" w:lineRule="auto"/>
              <w:ind w:left="633"/>
            </w:pPr>
            <w:r>
              <w:t>计</w:t>
            </w:r>
          </w:p>
        </w:tc>
        <w:tc>
          <w:tcPr>
            <w:tcW w:w="1674" w:type="dxa"/>
            <w:vAlign w:val="top"/>
          </w:tcPr>
          <w:p w14:paraId="230C8BE4">
            <w:pPr>
              <w:spacing w:line="253" w:lineRule="auto"/>
              <w:rPr>
                <w:rFonts w:ascii="Arial"/>
                <w:sz w:val="21"/>
              </w:rPr>
            </w:pPr>
          </w:p>
          <w:p w14:paraId="12BD35FC">
            <w:pPr>
              <w:pStyle w:val="7"/>
              <w:spacing w:before="78" w:line="237" w:lineRule="auto"/>
              <w:ind w:left="504"/>
            </w:pPr>
            <w:r>
              <w:rPr>
                <w:spacing w:val="-8"/>
              </w:rPr>
              <w:t>WMS-05</w:t>
            </w:r>
          </w:p>
        </w:tc>
        <w:tc>
          <w:tcPr>
            <w:tcW w:w="681" w:type="dxa"/>
            <w:vAlign w:val="top"/>
          </w:tcPr>
          <w:p w14:paraId="432AE502">
            <w:pPr>
              <w:spacing w:line="253" w:lineRule="auto"/>
              <w:rPr>
                <w:rFonts w:ascii="Arial"/>
                <w:sz w:val="21"/>
              </w:rPr>
            </w:pPr>
          </w:p>
          <w:p w14:paraId="4B5770F5">
            <w:pPr>
              <w:pStyle w:val="7"/>
              <w:spacing w:before="78" w:line="237" w:lineRule="auto"/>
              <w:ind w:left="253"/>
            </w:pPr>
            <w:r>
              <w:rPr>
                <w:spacing w:val="-10"/>
              </w:rPr>
              <w:t>15</w:t>
            </w:r>
          </w:p>
        </w:tc>
        <w:tc>
          <w:tcPr>
            <w:tcW w:w="890" w:type="dxa"/>
            <w:vAlign w:val="top"/>
          </w:tcPr>
          <w:p w14:paraId="73FC1CBD">
            <w:pPr>
              <w:spacing w:line="253" w:lineRule="auto"/>
              <w:rPr>
                <w:rFonts w:ascii="Arial"/>
                <w:sz w:val="21"/>
              </w:rPr>
            </w:pPr>
          </w:p>
          <w:p w14:paraId="2059E05C">
            <w:pPr>
              <w:pStyle w:val="7"/>
              <w:spacing w:before="78" w:line="219" w:lineRule="auto"/>
              <w:ind w:left="252"/>
            </w:pPr>
            <w:r>
              <w:rPr>
                <w:spacing w:val="-13"/>
              </w:rPr>
              <w:t>南京</w:t>
            </w:r>
          </w:p>
        </w:tc>
        <w:tc>
          <w:tcPr>
            <w:tcW w:w="923" w:type="dxa"/>
            <w:vAlign w:val="top"/>
          </w:tcPr>
          <w:p w14:paraId="2734D1C6">
            <w:pPr>
              <w:pStyle w:val="7"/>
              <w:spacing w:before="146" w:line="237" w:lineRule="auto"/>
              <w:ind w:left="186" w:leftChars="0"/>
            </w:pPr>
            <w:r>
              <w:rPr>
                <w:spacing w:val="-9"/>
              </w:rPr>
              <w:t>2022</w:t>
            </w:r>
          </w:p>
        </w:tc>
        <w:tc>
          <w:tcPr>
            <w:tcW w:w="908" w:type="dxa"/>
            <w:vAlign w:val="top"/>
          </w:tcPr>
          <w:p w14:paraId="5F62397D">
            <w:pPr>
              <w:spacing w:line="253" w:lineRule="auto"/>
              <w:rPr>
                <w:rFonts w:ascii="Arial"/>
                <w:sz w:val="21"/>
              </w:rPr>
            </w:pPr>
          </w:p>
          <w:p w14:paraId="40B1684A">
            <w:pPr>
              <w:pStyle w:val="7"/>
              <w:spacing w:before="78" w:line="237" w:lineRule="auto"/>
              <w:ind w:left="353"/>
            </w:pPr>
            <w:r>
              <w:rPr>
                <w:spacing w:val="-6"/>
              </w:rPr>
              <w:t>20</w:t>
            </w:r>
          </w:p>
        </w:tc>
        <w:tc>
          <w:tcPr>
            <w:tcW w:w="1274" w:type="dxa"/>
            <w:vAlign w:val="top"/>
          </w:tcPr>
          <w:p w14:paraId="3BE71FB5">
            <w:pPr>
              <w:spacing w:line="253" w:lineRule="auto"/>
              <w:rPr>
                <w:rFonts w:ascii="Arial"/>
                <w:sz w:val="21"/>
              </w:rPr>
            </w:pPr>
          </w:p>
          <w:p w14:paraId="6E8B07C6">
            <w:pPr>
              <w:pStyle w:val="7"/>
              <w:spacing w:before="78" w:line="216" w:lineRule="auto"/>
              <w:ind w:left="217"/>
            </w:pPr>
            <w:r>
              <w:rPr>
                <w:spacing w:val="-15"/>
              </w:rPr>
              <w:t>施工检测</w:t>
            </w:r>
          </w:p>
        </w:tc>
        <w:tc>
          <w:tcPr>
            <w:tcW w:w="1153" w:type="dxa"/>
            <w:vMerge w:val="continue"/>
            <w:tcBorders>
              <w:top w:val="nil"/>
              <w:bottom w:val="nil"/>
              <w:right w:val="single" w:color="5B9BD5" w:sz="4" w:space="0"/>
            </w:tcBorders>
            <w:vAlign w:val="top"/>
          </w:tcPr>
          <w:p w14:paraId="73E265EE">
            <w:pPr>
              <w:rPr>
                <w:rFonts w:ascii="Arial"/>
                <w:sz w:val="21"/>
              </w:rPr>
            </w:pPr>
          </w:p>
        </w:tc>
      </w:tr>
      <w:tr w14:paraId="5E0639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8" w:hRule="atLeast"/>
        </w:trPr>
        <w:tc>
          <w:tcPr>
            <w:tcW w:w="604" w:type="dxa"/>
            <w:tcBorders>
              <w:left w:val="single" w:color="000000" w:sz="4" w:space="0"/>
            </w:tcBorders>
            <w:vAlign w:val="top"/>
          </w:tcPr>
          <w:p w14:paraId="086531BD">
            <w:pPr>
              <w:pStyle w:val="7"/>
              <w:spacing w:before="177" w:line="237" w:lineRule="auto"/>
              <w:ind w:left="205"/>
            </w:pPr>
            <w:r>
              <w:rPr>
                <w:spacing w:val="-6"/>
              </w:rPr>
              <w:t>29</w:t>
            </w:r>
          </w:p>
        </w:tc>
        <w:tc>
          <w:tcPr>
            <w:tcW w:w="1465" w:type="dxa"/>
            <w:vAlign w:val="top"/>
          </w:tcPr>
          <w:p w14:paraId="58444B88">
            <w:pPr>
              <w:pStyle w:val="7"/>
              <w:spacing w:before="177" w:line="218" w:lineRule="auto"/>
              <w:ind w:left="88"/>
            </w:pPr>
            <w:r>
              <w:rPr>
                <w:spacing w:val="-18"/>
              </w:rPr>
              <w:t>倾斜式微压计</w:t>
            </w:r>
          </w:p>
        </w:tc>
        <w:tc>
          <w:tcPr>
            <w:tcW w:w="1674" w:type="dxa"/>
            <w:vAlign w:val="top"/>
          </w:tcPr>
          <w:p w14:paraId="19C18BB6">
            <w:pPr>
              <w:pStyle w:val="7"/>
              <w:spacing w:before="221" w:line="178" w:lineRule="auto"/>
              <w:ind w:left="400"/>
            </w:pPr>
            <w:r>
              <w:rPr>
                <w:spacing w:val="-9"/>
              </w:rPr>
              <w:t>YYT-200B</w:t>
            </w:r>
          </w:p>
        </w:tc>
        <w:tc>
          <w:tcPr>
            <w:tcW w:w="681" w:type="dxa"/>
            <w:vAlign w:val="top"/>
          </w:tcPr>
          <w:p w14:paraId="206AA2EE">
            <w:pPr>
              <w:pStyle w:val="7"/>
              <w:spacing w:before="177" w:line="237" w:lineRule="auto"/>
              <w:ind w:left="295"/>
            </w:pPr>
            <w:r>
              <w:t>5</w:t>
            </w:r>
          </w:p>
        </w:tc>
        <w:tc>
          <w:tcPr>
            <w:tcW w:w="890" w:type="dxa"/>
            <w:vAlign w:val="top"/>
          </w:tcPr>
          <w:p w14:paraId="685C122C">
            <w:pPr>
              <w:pStyle w:val="7"/>
              <w:spacing w:before="177" w:line="219" w:lineRule="auto"/>
              <w:ind w:left="252"/>
            </w:pPr>
            <w:r>
              <w:rPr>
                <w:spacing w:val="-13"/>
              </w:rPr>
              <w:t>南京</w:t>
            </w:r>
          </w:p>
        </w:tc>
        <w:tc>
          <w:tcPr>
            <w:tcW w:w="923" w:type="dxa"/>
            <w:vAlign w:val="top"/>
          </w:tcPr>
          <w:p w14:paraId="7CB4B819">
            <w:pPr>
              <w:pStyle w:val="7"/>
              <w:spacing w:before="145" w:line="237" w:lineRule="auto"/>
              <w:ind w:left="186" w:leftChars="0"/>
            </w:pPr>
            <w:r>
              <w:rPr>
                <w:spacing w:val="-9"/>
              </w:rPr>
              <w:t>202</w:t>
            </w:r>
            <w:r>
              <w:rPr>
                <w:rFonts w:hint="eastAsia"/>
                <w:spacing w:val="-9"/>
                <w:lang w:val="en-US" w:eastAsia="zh-CN"/>
              </w:rPr>
              <w:t>1</w:t>
            </w:r>
          </w:p>
        </w:tc>
        <w:tc>
          <w:tcPr>
            <w:tcW w:w="908" w:type="dxa"/>
            <w:vAlign w:val="top"/>
          </w:tcPr>
          <w:p w14:paraId="6DBE1500">
            <w:pPr>
              <w:pStyle w:val="7"/>
              <w:spacing w:before="177" w:line="237" w:lineRule="auto"/>
              <w:ind w:left="353"/>
            </w:pPr>
            <w:r>
              <w:rPr>
                <w:spacing w:val="-6"/>
              </w:rPr>
              <w:t>20</w:t>
            </w:r>
          </w:p>
        </w:tc>
        <w:tc>
          <w:tcPr>
            <w:tcW w:w="1274" w:type="dxa"/>
            <w:vAlign w:val="top"/>
          </w:tcPr>
          <w:p w14:paraId="7F0812A3">
            <w:pPr>
              <w:pStyle w:val="7"/>
              <w:spacing w:before="177" w:line="216" w:lineRule="auto"/>
              <w:ind w:left="217"/>
            </w:pPr>
            <w:r>
              <w:rPr>
                <w:spacing w:val="-15"/>
              </w:rPr>
              <w:t>施工检测</w:t>
            </w:r>
          </w:p>
        </w:tc>
        <w:tc>
          <w:tcPr>
            <w:tcW w:w="1153" w:type="dxa"/>
            <w:vMerge w:val="continue"/>
            <w:tcBorders>
              <w:top w:val="nil"/>
              <w:bottom w:val="nil"/>
              <w:right w:val="single" w:color="5B9BD5" w:sz="4" w:space="0"/>
            </w:tcBorders>
            <w:vAlign w:val="top"/>
          </w:tcPr>
          <w:p w14:paraId="054975D9">
            <w:pPr>
              <w:rPr>
                <w:rFonts w:ascii="Arial"/>
                <w:sz w:val="21"/>
              </w:rPr>
            </w:pPr>
          </w:p>
        </w:tc>
      </w:tr>
      <w:tr w14:paraId="719294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3" w:hRule="atLeast"/>
        </w:trPr>
        <w:tc>
          <w:tcPr>
            <w:tcW w:w="604" w:type="dxa"/>
            <w:tcBorders>
              <w:left w:val="single" w:color="000000" w:sz="4" w:space="0"/>
            </w:tcBorders>
            <w:vAlign w:val="top"/>
          </w:tcPr>
          <w:p w14:paraId="36614220">
            <w:pPr>
              <w:pStyle w:val="7"/>
              <w:spacing w:before="151" w:line="237" w:lineRule="auto"/>
              <w:ind w:left="207"/>
            </w:pPr>
            <w:r>
              <w:rPr>
                <w:spacing w:val="-7"/>
              </w:rPr>
              <w:t>30</w:t>
            </w:r>
          </w:p>
        </w:tc>
        <w:tc>
          <w:tcPr>
            <w:tcW w:w="1465" w:type="dxa"/>
            <w:vAlign w:val="top"/>
          </w:tcPr>
          <w:p w14:paraId="4B0F21A4">
            <w:pPr>
              <w:pStyle w:val="7"/>
              <w:spacing w:before="152" w:line="214" w:lineRule="auto"/>
              <w:ind w:left="418"/>
            </w:pPr>
            <w:r>
              <w:rPr>
                <w:spacing w:val="-14"/>
              </w:rPr>
              <w:t>转速仪</w:t>
            </w:r>
          </w:p>
        </w:tc>
        <w:tc>
          <w:tcPr>
            <w:tcW w:w="1674" w:type="dxa"/>
            <w:vAlign w:val="top"/>
          </w:tcPr>
          <w:p w14:paraId="65EA096B">
            <w:pPr>
              <w:pStyle w:val="7"/>
              <w:spacing w:before="151" w:line="237" w:lineRule="auto"/>
              <w:ind w:left="566"/>
            </w:pPr>
            <w:r>
              <w:rPr>
                <w:spacing w:val="-9"/>
              </w:rPr>
              <w:t>L2-30</w:t>
            </w:r>
          </w:p>
        </w:tc>
        <w:tc>
          <w:tcPr>
            <w:tcW w:w="681" w:type="dxa"/>
            <w:vAlign w:val="top"/>
          </w:tcPr>
          <w:p w14:paraId="624E5E5C">
            <w:pPr>
              <w:pStyle w:val="7"/>
              <w:spacing w:before="151" w:line="237" w:lineRule="auto"/>
              <w:ind w:left="295"/>
            </w:pPr>
            <w:r>
              <w:t>5</w:t>
            </w:r>
          </w:p>
        </w:tc>
        <w:tc>
          <w:tcPr>
            <w:tcW w:w="890" w:type="dxa"/>
            <w:vAlign w:val="top"/>
          </w:tcPr>
          <w:p w14:paraId="0D069277">
            <w:pPr>
              <w:pStyle w:val="7"/>
              <w:spacing w:before="151" w:line="219" w:lineRule="auto"/>
              <w:ind w:left="252"/>
            </w:pPr>
            <w:r>
              <w:rPr>
                <w:spacing w:val="-13"/>
              </w:rPr>
              <w:t>南京</w:t>
            </w:r>
          </w:p>
        </w:tc>
        <w:tc>
          <w:tcPr>
            <w:tcW w:w="923" w:type="dxa"/>
            <w:vAlign w:val="top"/>
          </w:tcPr>
          <w:p w14:paraId="45CB4609">
            <w:pPr>
              <w:pStyle w:val="7"/>
              <w:spacing w:before="146" w:line="237" w:lineRule="auto"/>
              <w:ind w:left="186" w:leftChars="0"/>
            </w:pPr>
            <w:r>
              <w:rPr>
                <w:spacing w:val="-9"/>
              </w:rPr>
              <w:t>2022</w:t>
            </w:r>
          </w:p>
        </w:tc>
        <w:tc>
          <w:tcPr>
            <w:tcW w:w="908" w:type="dxa"/>
            <w:vAlign w:val="top"/>
          </w:tcPr>
          <w:p w14:paraId="547ED224">
            <w:pPr>
              <w:pStyle w:val="7"/>
              <w:spacing w:before="151" w:line="237" w:lineRule="auto"/>
              <w:ind w:left="353"/>
            </w:pPr>
            <w:r>
              <w:rPr>
                <w:spacing w:val="-6"/>
              </w:rPr>
              <w:t>20</w:t>
            </w:r>
          </w:p>
        </w:tc>
        <w:tc>
          <w:tcPr>
            <w:tcW w:w="1274" w:type="dxa"/>
            <w:vAlign w:val="top"/>
          </w:tcPr>
          <w:p w14:paraId="051B6BA2">
            <w:pPr>
              <w:pStyle w:val="7"/>
              <w:spacing w:before="151" w:line="216" w:lineRule="auto"/>
              <w:ind w:left="217"/>
            </w:pPr>
            <w:r>
              <w:rPr>
                <w:spacing w:val="-15"/>
              </w:rPr>
              <w:t>施工检测</w:t>
            </w:r>
          </w:p>
        </w:tc>
        <w:tc>
          <w:tcPr>
            <w:tcW w:w="1153" w:type="dxa"/>
            <w:vMerge w:val="continue"/>
            <w:tcBorders>
              <w:top w:val="nil"/>
              <w:right w:val="single" w:color="5B9BD5" w:sz="4" w:space="0"/>
            </w:tcBorders>
            <w:vAlign w:val="top"/>
          </w:tcPr>
          <w:p w14:paraId="3A022437">
            <w:pPr>
              <w:rPr>
                <w:rFonts w:ascii="Arial"/>
                <w:sz w:val="21"/>
              </w:rPr>
            </w:pPr>
          </w:p>
        </w:tc>
      </w:tr>
      <w:tr w14:paraId="4BAC75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5" w:hRule="atLeast"/>
        </w:trPr>
        <w:tc>
          <w:tcPr>
            <w:tcW w:w="604" w:type="dxa"/>
            <w:tcBorders>
              <w:left w:val="single" w:color="000000" w:sz="4" w:space="0"/>
            </w:tcBorders>
            <w:vAlign w:val="top"/>
          </w:tcPr>
          <w:p w14:paraId="3AF88826">
            <w:pPr>
              <w:pStyle w:val="7"/>
              <w:spacing w:before="152" w:line="237" w:lineRule="auto"/>
              <w:ind w:left="207"/>
            </w:pPr>
            <w:r>
              <w:rPr>
                <w:spacing w:val="-7"/>
              </w:rPr>
              <w:t>31</w:t>
            </w:r>
          </w:p>
        </w:tc>
        <w:tc>
          <w:tcPr>
            <w:tcW w:w="1465" w:type="dxa"/>
            <w:vAlign w:val="top"/>
          </w:tcPr>
          <w:p w14:paraId="34112A6C">
            <w:pPr>
              <w:pStyle w:val="7"/>
              <w:spacing w:before="152" w:line="220" w:lineRule="auto"/>
              <w:ind w:left="415"/>
            </w:pPr>
            <w:r>
              <w:rPr>
                <w:spacing w:val="-13"/>
              </w:rPr>
              <w:t>压力盒</w:t>
            </w:r>
          </w:p>
        </w:tc>
        <w:tc>
          <w:tcPr>
            <w:tcW w:w="1674" w:type="dxa"/>
            <w:vAlign w:val="top"/>
          </w:tcPr>
          <w:p w14:paraId="733D8225">
            <w:pPr>
              <w:pStyle w:val="7"/>
              <w:spacing w:before="152" w:line="219" w:lineRule="auto"/>
              <w:ind w:left="520"/>
            </w:pPr>
            <w:r>
              <w:rPr>
                <w:spacing w:val="-14"/>
              </w:rPr>
              <w:t>液压式</w:t>
            </w:r>
          </w:p>
        </w:tc>
        <w:tc>
          <w:tcPr>
            <w:tcW w:w="681" w:type="dxa"/>
            <w:vAlign w:val="top"/>
          </w:tcPr>
          <w:p w14:paraId="5A3290D3">
            <w:pPr>
              <w:pStyle w:val="7"/>
              <w:spacing w:before="153" w:line="238" w:lineRule="auto"/>
              <w:ind w:left="293"/>
            </w:pPr>
            <w:r>
              <w:t>2</w:t>
            </w:r>
          </w:p>
        </w:tc>
        <w:tc>
          <w:tcPr>
            <w:tcW w:w="890" w:type="dxa"/>
            <w:vAlign w:val="top"/>
          </w:tcPr>
          <w:p w14:paraId="1A6A6E53">
            <w:pPr>
              <w:pStyle w:val="7"/>
              <w:spacing w:before="153" w:line="220" w:lineRule="auto"/>
              <w:ind w:left="262"/>
            </w:pPr>
            <w:r>
              <w:rPr>
                <w:spacing w:val="-15"/>
              </w:rPr>
              <w:t>山东</w:t>
            </w:r>
          </w:p>
        </w:tc>
        <w:tc>
          <w:tcPr>
            <w:tcW w:w="923" w:type="dxa"/>
            <w:vAlign w:val="top"/>
          </w:tcPr>
          <w:p w14:paraId="7FC16BEE">
            <w:pPr>
              <w:pStyle w:val="7"/>
              <w:spacing w:before="145" w:line="237" w:lineRule="auto"/>
              <w:ind w:left="186" w:leftChars="0"/>
            </w:pPr>
            <w:r>
              <w:rPr>
                <w:spacing w:val="-9"/>
              </w:rPr>
              <w:t>202</w:t>
            </w:r>
            <w:r>
              <w:rPr>
                <w:rFonts w:hint="eastAsia"/>
                <w:spacing w:val="-9"/>
                <w:lang w:val="en-US" w:eastAsia="zh-CN"/>
              </w:rPr>
              <w:t>1</w:t>
            </w:r>
          </w:p>
        </w:tc>
        <w:tc>
          <w:tcPr>
            <w:tcW w:w="908" w:type="dxa"/>
            <w:vAlign w:val="top"/>
          </w:tcPr>
          <w:p w14:paraId="4D5B9BDD">
            <w:pPr>
              <w:pStyle w:val="7"/>
              <w:spacing w:before="152" w:line="237" w:lineRule="auto"/>
              <w:ind w:left="368"/>
            </w:pPr>
            <w:r>
              <w:rPr>
                <w:spacing w:val="-10"/>
              </w:rPr>
              <w:t>10</w:t>
            </w:r>
          </w:p>
        </w:tc>
        <w:tc>
          <w:tcPr>
            <w:tcW w:w="1274" w:type="dxa"/>
            <w:vAlign w:val="top"/>
          </w:tcPr>
          <w:p w14:paraId="7A1CF44D">
            <w:pPr>
              <w:pStyle w:val="7"/>
              <w:spacing w:before="152" w:line="222" w:lineRule="auto"/>
              <w:ind w:left="434"/>
            </w:pPr>
            <w:r>
              <w:rPr>
                <w:spacing w:val="-9"/>
              </w:rPr>
              <w:t>试验</w:t>
            </w:r>
          </w:p>
        </w:tc>
        <w:tc>
          <w:tcPr>
            <w:tcW w:w="1153" w:type="dxa"/>
            <w:tcBorders>
              <w:right w:val="single" w:color="000000" w:sz="4" w:space="0"/>
            </w:tcBorders>
            <w:vAlign w:val="top"/>
          </w:tcPr>
          <w:p w14:paraId="4627D721">
            <w:pPr>
              <w:rPr>
                <w:rFonts w:ascii="Arial"/>
                <w:sz w:val="21"/>
              </w:rPr>
            </w:pPr>
          </w:p>
        </w:tc>
      </w:tr>
      <w:tr w14:paraId="29529E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4" w:hRule="atLeast"/>
        </w:trPr>
        <w:tc>
          <w:tcPr>
            <w:tcW w:w="604" w:type="dxa"/>
            <w:tcBorders>
              <w:left w:val="single" w:color="1C456A" w:sz="4" w:space="0"/>
              <w:bottom w:val="single" w:color="1C456A" w:sz="4" w:space="0"/>
            </w:tcBorders>
            <w:vAlign w:val="top"/>
          </w:tcPr>
          <w:p w14:paraId="055E2380">
            <w:pPr>
              <w:pStyle w:val="7"/>
              <w:spacing w:before="153" w:line="237" w:lineRule="auto"/>
              <w:ind w:left="207"/>
            </w:pPr>
            <w:r>
              <w:rPr>
                <w:spacing w:val="-7"/>
              </w:rPr>
              <w:t>32</w:t>
            </w:r>
          </w:p>
        </w:tc>
        <w:tc>
          <w:tcPr>
            <w:tcW w:w="1465" w:type="dxa"/>
            <w:tcBorders>
              <w:bottom w:val="single" w:color="000000" w:sz="4" w:space="0"/>
            </w:tcBorders>
            <w:vAlign w:val="top"/>
          </w:tcPr>
          <w:p w14:paraId="0E270379">
            <w:pPr>
              <w:pStyle w:val="7"/>
              <w:spacing w:before="154" w:line="218" w:lineRule="auto"/>
              <w:ind w:left="415"/>
            </w:pPr>
            <w:r>
              <w:rPr>
                <w:spacing w:val="-14"/>
              </w:rPr>
              <w:t>应力计</w:t>
            </w:r>
          </w:p>
        </w:tc>
        <w:tc>
          <w:tcPr>
            <w:tcW w:w="1674" w:type="dxa"/>
            <w:tcBorders>
              <w:bottom w:val="single" w:color="000000" w:sz="4" w:space="0"/>
            </w:tcBorders>
            <w:vAlign w:val="top"/>
          </w:tcPr>
          <w:p w14:paraId="6A31F231">
            <w:pPr>
              <w:pStyle w:val="7"/>
              <w:spacing w:before="154" w:line="236" w:lineRule="auto"/>
              <w:ind w:left="454"/>
            </w:pPr>
            <w:r>
              <w:rPr>
                <w:spacing w:val="-9"/>
              </w:rPr>
              <w:t>DYC-10B</w:t>
            </w:r>
          </w:p>
        </w:tc>
        <w:tc>
          <w:tcPr>
            <w:tcW w:w="681" w:type="dxa"/>
            <w:tcBorders>
              <w:bottom w:val="single" w:color="000000" w:sz="4" w:space="0"/>
            </w:tcBorders>
            <w:vAlign w:val="top"/>
          </w:tcPr>
          <w:p w14:paraId="5FBB5159">
            <w:pPr>
              <w:pStyle w:val="7"/>
              <w:spacing w:before="154" w:line="238" w:lineRule="auto"/>
              <w:ind w:left="293"/>
            </w:pPr>
            <w:r>
              <w:t>2</w:t>
            </w:r>
          </w:p>
        </w:tc>
        <w:tc>
          <w:tcPr>
            <w:tcW w:w="890" w:type="dxa"/>
            <w:tcBorders>
              <w:bottom w:val="single" w:color="000000" w:sz="4" w:space="0"/>
            </w:tcBorders>
            <w:vAlign w:val="top"/>
          </w:tcPr>
          <w:p w14:paraId="0CCE61A2">
            <w:pPr>
              <w:pStyle w:val="7"/>
              <w:spacing w:before="154" w:line="220" w:lineRule="auto"/>
              <w:ind w:left="262"/>
            </w:pPr>
            <w:r>
              <w:rPr>
                <w:spacing w:val="-15"/>
              </w:rPr>
              <w:t>山东</w:t>
            </w:r>
          </w:p>
        </w:tc>
        <w:tc>
          <w:tcPr>
            <w:tcW w:w="923" w:type="dxa"/>
            <w:tcBorders>
              <w:bottom w:val="single" w:color="000000" w:sz="4" w:space="0"/>
            </w:tcBorders>
            <w:vAlign w:val="top"/>
          </w:tcPr>
          <w:p w14:paraId="5E2E5B41">
            <w:pPr>
              <w:pStyle w:val="7"/>
              <w:spacing w:before="146" w:line="237" w:lineRule="auto"/>
              <w:ind w:left="186" w:leftChars="0"/>
            </w:pPr>
            <w:r>
              <w:rPr>
                <w:spacing w:val="-9"/>
              </w:rPr>
              <w:t>2022</w:t>
            </w:r>
          </w:p>
        </w:tc>
        <w:tc>
          <w:tcPr>
            <w:tcW w:w="908" w:type="dxa"/>
            <w:tcBorders>
              <w:bottom w:val="single" w:color="000000" w:sz="4" w:space="0"/>
            </w:tcBorders>
            <w:vAlign w:val="top"/>
          </w:tcPr>
          <w:p w14:paraId="5517B90A">
            <w:pPr>
              <w:pStyle w:val="7"/>
              <w:spacing w:before="153" w:line="237" w:lineRule="auto"/>
              <w:ind w:left="368"/>
            </w:pPr>
            <w:r>
              <w:rPr>
                <w:spacing w:val="-10"/>
              </w:rPr>
              <w:t>10</w:t>
            </w:r>
          </w:p>
        </w:tc>
        <w:tc>
          <w:tcPr>
            <w:tcW w:w="1274" w:type="dxa"/>
            <w:tcBorders>
              <w:bottom w:val="single" w:color="000000" w:sz="4" w:space="0"/>
            </w:tcBorders>
            <w:vAlign w:val="top"/>
          </w:tcPr>
          <w:p w14:paraId="4A851C0D">
            <w:pPr>
              <w:pStyle w:val="7"/>
              <w:spacing w:before="153" w:line="222" w:lineRule="auto"/>
              <w:ind w:left="434"/>
            </w:pPr>
            <w:r>
              <w:rPr>
                <w:spacing w:val="-9"/>
              </w:rPr>
              <w:t>试验</w:t>
            </w:r>
          </w:p>
        </w:tc>
        <w:tc>
          <w:tcPr>
            <w:tcW w:w="1153" w:type="dxa"/>
            <w:tcBorders>
              <w:bottom w:val="single" w:color="1C456A" w:sz="4" w:space="0"/>
              <w:right w:val="single" w:color="1C456A" w:sz="4" w:space="0"/>
            </w:tcBorders>
            <w:vAlign w:val="top"/>
          </w:tcPr>
          <w:p w14:paraId="33AABC9B">
            <w:pPr>
              <w:rPr>
                <w:rFonts w:ascii="Arial"/>
                <w:sz w:val="21"/>
              </w:rPr>
            </w:pPr>
            <w:r>
              <w:pict>
                <v:shape id="_x0000_s4398" o:spid="_x0000_s4398" style="position:absolute;left:0pt;margin-left:55.8pt;margin-top:36.25pt;height:0.75pt;width:2.2pt;mso-position-horizontal-relative:page;mso-position-vertical-relative:page;z-index:252378112;mso-width-relative:page;mso-height-relative:page;" fillcolor="#5B9BD5" filled="t" stroked="f" coordsize="44,15" path="m0,14l43,14,43,0,0,0,0,14xe">
                  <v:path/>
                  <v:fill on="t" focussize="0,0"/>
                  <v:stroke on="f"/>
                  <v:imagedata o:title=""/>
                  <o:lock v:ext="edit"/>
                </v:shape>
              </w:pict>
            </w:r>
          </w:p>
        </w:tc>
      </w:tr>
    </w:tbl>
    <w:p w14:paraId="46907B41">
      <w:pPr>
        <w:pStyle w:val="2"/>
        <w:spacing w:before="81" w:line="216" w:lineRule="auto"/>
        <w:ind w:left="1986"/>
        <w:outlineLvl w:val="2"/>
        <w:rPr>
          <w:sz w:val="28"/>
          <w:szCs w:val="28"/>
        </w:rPr>
      </w:pPr>
      <w:bookmarkStart w:id="269" w:name="bookmark257"/>
      <w:bookmarkEnd w:id="269"/>
      <w:r>
        <w:rPr>
          <w:b/>
          <w:bCs/>
          <w:spacing w:val="-23"/>
          <w:sz w:val="28"/>
          <w:szCs w:val="28"/>
        </w:rPr>
        <w:t>二、主模板机械选择与配备</w:t>
      </w:r>
    </w:p>
    <w:p w14:paraId="42AADEE9">
      <w:pPr>
        <w:pStyle w:val="2"/>
        <w:spacing w:before="108" w:line="261" w:lineRule="auto"/>
        <w:ind w:left="1455" w:right="1411" w:firstLine="432"/>
        <w:rPr>
          <w:sz w:val="24"/>
          <w:szCs w:val="24"/>
        </w:rPr>
      </w:pPr>
      <w:r>
        <w:rPr>
          <w:spacing w:val="-21"/>
          <w:sz w:val="24"/>
          <w:szCs w:val="24"/>
        </w:rPr>
        <w:t>2.1、本工程所采用的钢筋机械配备数量，详见</w:t>
      </w:r>
      <w:r>
        <w:rPr>
          <w:spacing w:val="-22"/>
          <w:sz w:val="24"/>
          <w:szCs w:val="24"/>
        </w:rPr>
        <w:t>拟投入本标段的主要施工设备表和拟配备本</w:t>
      </w:r>
      <w:r>
        <w:rPr>
          <w:spacing w:val="-20"/>
          <w:sz w:val="24"/>
          <w:szCs w:val="24"/>
        </w:rPr>
        <w:t>标段的试验和检验仪器设备表。</w:t>
      </w:r>
    </w:p>
    <w:p w14:paraId="1E045E28">
      <w:pPr>
        <w:pStyle w:val="2"/>
        <w:spacing w:before="120" w:line="262" w:lineRule="auto"/>
        <w:ind w:left="1455" w:right="1412" w:firstLine="432"/>
        <w:rPr>
          <w:sz w:val="24"/>
          <w:szCs w:val="24"/>
        </w:rPr>
      </w:pPr>
      <w:r>
        <w:rPr>
          <w:spacing w:val="-21"/>
          <w:sz w:val="24"/>
          <w:szCs w:val="24"/>
        </w:rPr>
        <w:t>2.2、模板加工设备选型及数量，详见拟投入</w:t>
      </w:r>
      <w:r>
        <w:rPr>
          <w:spacing w:val="-22"/>
          <w:sz w:val="24"/>
          <w:szCs w:val="24"/>
        </w:rPr>
        <w:t>本标段的主要施工设备表和拟配备本标段的试</w:t>
      </w:r>
      <w:r>
        <w:rPr>
          <w:spacing w:val="-20"/>
          <w:sz w:val="24"/>
          <w:szCs w:val="24"/>
        </w:rPr>
        <w:t>验和检验仪器设备表。</w:t>
      </w:r>
    </w:p>
    <w:p w14:paraId="31E563D5">
      <w:pPr>
        <w:pStyle w:val="2"/>
        <w:spacing w:before="118" w:line="263" w:lineRule="auto"/>
        <w:ind w:left="1455" w:right="1411" w:firstLine="432"/>
        <w:rPr>
          <w:sz w:val="24"/>
          <w:szCs w:val="24"/>
        </w:rPr>
      </w:pPr>
      <w:r>
        <w:rPr>
          <w:spacing w:val="-21"/>
          <w:sz w:val="24"/>
          <w:szCs w:val="24"/>
        </w:rPr>
        <w:t>2.3、检测设备投入计划，详见拟投入本标段的</w:t>
      </w:r>
      <w:r>
        <w:rPr>
          <w:spacing w:val="-22"/>
          <w:sz w:val="24"/>
          <w:szCs w:val="24"/>
        </w:rPr>
        <w:t>主要施工设备表和拟配备本标段的试验和检</w:t>
      </w:r>
      <w:r>
        <w:rPr>
          <w:spacing w:val="-18"/>
          <w:sz w:val="24"/>
          <w:szCs w:val="24"/>
        </w:rPr>
        <w:t>验仪器设备表。</w:t>
      </w:r>
    </w:p>
    <w:p w14:paraId="21969AC1">
      <w:pPr>
        <w:pStyle w:val="2"/>
        <w:spacing w:before="82" w:line="217" w:lineRule="auto"/>
        <w:ind w:left="1985"/>
        <w:outlineLvl w:val="2"/>
        <w:rPr>
          <w:sz w:val="28"/>
          <w:szCs w:val="28"/>
        </w:rPr>
      </w:pPr>
      <w:bookmarkStart w:id="270" w:name="bookmark258"/>
      <w:bookmarkEnd w:id="270"/>
      <w:r>
        <w:rPr>
          <w:b/>
          <w:bCs/>
          <w:spacing w:val="-23"/>
          <w:sz w:val="28"/>
          <w:szCs w:val="28"/>
        </w:rPr>
        <w:t>三、主要施工机械设备投入的保证措施</w:t>
      </w:r>
    </w:p>
    <w:p w14:paraId="7C2EDB24">
      <w:pPr>
        <w:pStyle w:val="2"/>
        <w:spacing w:before="103" w:line="285" w:lineRule="auto"/>
        <w:ind w:left="1458" w:right="1410" w:firstLine="432"/>
        <w:rPr>
          <w:sz w:val="24"/>
          <w:szCs w:val="24"/>
        </w:rPr>
      </w:pPr>
      <w:r>
        <w:rPr>
          <w:spacing w:val="-21"/>
          <w:sz w:val="24"/>
          <w:szCs w:val="24"/>
        </w:rPr>
        <w:t>3.1、机械设备进场前检验：会同项目设备工长</w:t>
      </w:r>
      <w:r>
        <w:rPr>
          <w:spacing w:val="-22"/>
          <w:sz w:val="24"/>
          <w:szCs w:val="24"/>
        </w:rPr>
        <w:t>组织相关人员对其进行检查、验收。检查机</w:t>
      </w:r>
      <w:r>
        <w:rPr>
          <w:spacing w:val="-20"/>
          <w:sz w:val="24"/>
          <w:szCs w:val="24"/>
        </w:rPr>
        <w:t>械的完善情况，外部结构装置的装配质量，连接部位的紧固与可靠程度，润滑部位、液压系统的油质油量，电气系统的完整性等项内容，并填写《机械设备进场验收记</w:t>
      </w:r>
      <w:r>
        <w:rPr>
          <w:spacing w:val="-21"/>
          <w:sz w:val="24"/>
          <w:szCs w:val="24"/>
        </w:rPr>
        <w:t>录》。在安装前，对</w:t>
      </w:r>
      <w:r>
        <w:rPr>
          <w:spacing w:val="-22"/>
          <w:sz w:val="24"/>
          <w:szCs w:val="24"/>
        </w:rPr>
        <w:t>大型特殊设备如顶管等应有安装方案，并经负责人审批。</w:t>
      </w:r>
    </w:p>
    <w:p w14:paraId="27F1A6EF">
      <w:pPr>
        <w:pStyle w:val="2"/>
        <w:spacing w:before="121" w:line="262" w:lineRule="auto"/>
        <w:ind w:left="1453" w:right="1435" w:firstLine="436"/>
        <w:rPr>
          <w:sz w:val="24"/>
          <w:szCs w:val="24"/>
        </w:rPr>
      </w:pPr>
      <w:r>
        <w:rPr>
          <w:spacing w:val="-22"/>
          <w:sz w:val="24"/>
          <w:szCs w:val="24"/>
        </w:rPr>
        <w:t>3.2、设备验收设备安装完毕后，由项目、安装单位进行验收，并按照建委的验收</w:t>
      </w:r>
      <w:r>
        <w:rPr>
          <w:spacing w:val="-23"/>
          <w:sz w:val="24"/>
          <w:szCs w:val="24"/>
        </w:rPr>
        <w:t>表格填写</w:t>
      </w:r>
      <w:r>
        <w:rPr>
          <w:spacing w:val="-21"/>
          <w:sz w:val="24"/>
          <w:szCs w:val="24"/>
        </w:rPr>
        <w:t>记录，合格后，原件交项目设备工程师、复印件交物资工程师进行备</w:t>
      </w:r>
      <w:r>
        <w:rPr>
          <w:spacing w:val="-22"/>
          <w:sz w:val="24"/>
          <w:szCs w:val="24"/>
        </w:rPr>
        <w:t>案。</w:t>
      </w:r>
    </w:p>
    <w:p w14:paraId="10C76E4E">
      <w:pPr>
        <w:pStyle w:val="2"/>
        <w:spacing w:before="116" w:line="217" w:lineRule="auto"/>
        <w:ind w:left="1890"/>
        <w:rPr>
          <w:sz w:val="24"/>
          <w:szCs w:val="24"/>
        </w:rPr>
      </w:pPr>
      <w:r>
        <w:rPr>
          <w:spacing w:val="-17"/>
          <w:sz w:val="24"/>
          <w:szCs w:val="24"/>
        </w:rPr>
        <w:t>3.3、机械设备日常管理</w:t>
      </w:r>
    </w:p>
    <w:p w14:paraId="503DAF49">
      <w:pPr>
        <w:pStyle w:val="2"/>
        <w:spacing w:before="120" w:line="216" w:lineRule="auto"/>
        <w:ind w:left="1890"/>
        <w:rPr>
          <w:sz w:val="24"/>
          <w:szCs w:val="24"/>
        </w:rPr>
      </w:pPr>
      <w:r>
        <w:rPr>
          <w:spacing w:val="-20"/>
          <w:sz w:val="24"/>
          <w:szCs w:val="24"/>
        </w:rPr>
        <w:t>3.3.1、机械设备台帐：机械设备经安装调试</w:t>
      </w:r>
      <w:r>
        <w:rPr>
          <w:spacing w:val="-21"/>
          <w:sz w:val="24"/>
          <w:szCs w:val="24"/>
        </w:rPr>
        <w:t>完毕，确认合格并投入使用后，由项目经理部</w:t>
      </w:r>
    </w:p>
    <w:p w14:paraId="05EA8A39">
      <w:pPr>
        <w:spacing w:line="216" w:lineRule="auto"/>
        <w:rPr>
          <w:sz w:val="24"/>
          <w:szCs w:val="24"/>
        </w:rPr>
        <w:sectPr>
          <w:footerReference r:id="rId397" w:type="default"/>
          <w:pgSz w:w="11907" w:h="16839"/>
          <w:pgMar w:top="933" w:right="4" w:bottom="1038" w:left="0" w:header="478" w:footer="357" w:gutter="0"/>
          <w:pgBorders>
            <w:top w:val="none" w:sz="0" w:space="0"/>
            <w:left w:val="none" w:sz="0" w:space="0"/>
            <w:bottom w:val="none" w:sz="0" w:space="0"/>
            <w:right w:val="none" w:sz="0" w:space="0"/>
          </w:pgBorders>
          <w:cols w:space="720" w:num="1"/>
        </w:sectPr>
      </w:pPr>
    </w:p>
    <w:p w14:paraId="34234A84">
      <w:pPr>
        <w:spacing w:line="271" w:lineRule="auto"/>
        <w:rPr>
          <w:rFonts w:ascii="Arial"/>
          <w:sz w:val="21"/>
        </w:rPr>
      </w:pPr>
    </w:p>
    <w:p w14:paraId="3838CB21">
      <w:pPr>
        <w:pStyle w:val="2"/>
        <w:spacing w:before="78" w:line="217" w:lineRule="auto"/>
        <w:ind w:left="1455"/>
        <w:rPr>
          <w:sz w:val="24"/>
          <w:szCs w:val="24"/>
        </w:rPr>
      </w:pPr>
      <w:r>
        <w:rPr>
          <w:spacing w:val="-21"/>
          <w:sz w:val="24"/>
          <w:szCs w:val="24"/>
        </w:rPr>
        <w:t>设备工长登记进入项目机械设备台帐备案。</w:t>
      </w:r>
    </w:p>
    <w:p w14:paraId="70DFADA3">
      <w:pPr>
        <w:pStyle w:val="2"/>
        <w:spacing w:before="119" w:line="262" w:lineRule="auto"/>
        <w:ind w:left="1470" w:right="1270" w:firstLine="420"/>
        <w:rPr>
          <w:sz w:val="24"/>
          <w:szCs w:val="24"/>
        </w:rPr>
      </w:pPr>
      <w:r>
        <w:rPr>
          <w:spacing w:val="-18"/>
          <w:sz w:val="24"/>
          <w:szCs w:val="24"/>
        </w:rPr>
        <w:t>3.3.2、“三定”制度：由项目设备工长负责贯彻落实机械设备的“定人、定机、定岗位”</w:t>
      </w:r>
      <w:r>
        <w:rPr>
          <w:spacing w:val="-21"/>
          <w:sz w:val="24"/>
          <w:szCs w:val="24"/>
        </w:rPr>
        <w:t>的“三定”制度。</w:t>
      </w:r>
    </w:p>
    <w:p w14:paraId="0A002597">
      <w:pPr>
        <w:pStyle w:val="2"/>
        <w:spacing w:before="118" w:line="262" w:lineRule="auto"/>
        <w:ind w:left="1472" w:right="1411" w:firstLine="418"/>
        <w:rPr>
          <w:sz w:val="24"/>
          <w:szCs w:val="24"/>
        </w:rPr>
      </w:pPr>
      <w:r>
        <w:rPr>
          <w:spacing w:val="-18"/>
          <w:sz w:val="24"/>
          <w:szCs w:val="24"/>
        </w:rPr>
        <w:t>3.3.3、安全技术交底制度：机械设备操作人员实施操作之前，由项目设备工</w:t>
      </w:r>
      <w:r>
        <w:rPr>
          <w:spacing w:val="-19"/>
          <w:sz w:val="24"/>
          <w:szCs w:val="24"/>
        </w:rPr>
        <w:t>长/安全工程</w:t>
      </w:r>
      <w:r>
        <w:rPr>
          <w:spacing w:val="-23"/>
          <w:sz w:val="24"/>
          <w:szCs w:val="24"/>
        </w:rPr>
        <w:t>师对机械设备操作人员进安全技术交底。</w:t>
      </w:r>
    </w:p>
    <w:p w14:paraId="6F5C82E6">
      <w:pPr>
        <w:pStyle w:val="2"/>
        <w:spacing w:before="117" w:line="262" w:lineRule="auto"/>
        <w:ind w:left="1456" w:right="1428" w:firstLine="434"/>
        <w:rPr>
          <w:sz w:val="24"/>
          <w:szCs w:val="24"/>
        </w:rPr>
      </w:pPr>
      <w:r>
        <w:rPr>
          <w:spacing w:val="-21"/>
          <w:sz w:val="24"/>
          <w:szCs w:val="24"/>
        </w:rPr>
        <w:t>3.3.4、定期检查、保养制度：由项目设备工长负责组</w:t>
      </w:r>
      <w:r>
        <w:rPr>
          <w:spacing w:val="-22"/>
          <w:sz w:val="24"/>
          <w:szCs w:val="24"/>
        </w:rPr>
        <w:t>织相关人员对施工设备进行定期检查（包括周检和月检）和保养并做好记录。</w:t>
      </w:r>
    </w:p>
    <w:p w14:paraId="0035AFC4">
      <w:pPr>
        <w:pStyle w:val="2"/>
        <w:spacing w:before="119" w:line="217" w:lineRule="auto"/>
        <w:ind w:left="1890"/>
        <w:rPr>
          <w:sz w:val="24"/>
          <w:szCs w:val="24"/>
        </w:rPr>
      </w:pPr>
      <w:r>
        <w:rPr>
          <w:spacing w:val="-18"/>
          <w:sz w:val="24"/>
          <w:szCs w:val="24"/>
        </w:rPr>
        <w:t>3.4、机械设备的使用管理</w:t>
      </w:r>
    </w:p>
    <w:p w14:paraId="203FFADA">
      <w:pPr>
        <w:pStyle w:val="2"/>
        <w:spacing w:before="116" w:line="217" w:lineRule="auto"/>
        <w:ind w:left="1890"/>
        <w:rPr>
          <w:sz w:val="24"/>
          <w:szCs w:val="24"/>
        </w:rPr>
      </w:pPr>
      <w:r>
        <w:rPr>
          <w:spacing w:val="-19"/>
          <w:sz w:val="24"/>
          <w:szCs w:val="24"/>
        </w:rPr>
        <w:t>3.4.1、机械设备的使用管理由项目设备工长负责。</w:t>
      </w:r>
    </w:p>
    <w:p w14:paraId="1D91CA85">
      <w:pPr>
        <w:pStyle w:val="2"/>
        <w:spacing w:before="119" w:line="263" w:lineRule="auto"/>
        <w:ind w:left="1457" w:right="1412" w:firstLine="433"/>
        <w:rPr>
          <w:sz w:val="24"/>
          <w:szCs w:val="24"/>
        </w:rPr>
      </w:pPr>
      <w:r>
        <w:rPr>
          <w:spacing w:val="-21"/>
          <w:sz w:val="24"/>
          <w:szCs w:val="24"/>
        </w:rPr>
        <w:t>3.4.2、在机械设备投入使用前，项目设备工长应熟悉机械设备性能并掌握机械设备的合理</w:t>
      </w:r>
      <w:r>
        <w:rPr>
          <w:spacing w:val="-22"/>
          <w:sz w:val="24"/>
          <w:szCs w:val="24"/>
        </w:rPr>
        <w:t>使用的要点，保证安全使用。</w:t>
      </w:r>
    </w:p>
    <w:p w14:paraId="3F08B827">
      <w:pPr>
        <w:pStyle w:val="2"/>
        <w:spacing w:before="118" w:line="261" w:lineRule="auto"/>
        <w:ind w:left="1455" w:right="1412" w:firstLine="434"/>
        <w:rPr>
          <w:sz w:val="24"/>
          <w:szCs w:val="24"/>
        </w:rPr>
      </w:pPr>
      <w:r>
        <w:rPr>
          <w:spacing w:val="-21"/>
          <w:sz w:val="24"/>
          <w:szCs w:val="24"/>
        </w:rPr>
        <w:t>3.4.3、严格按照规定的性能要求使用机械设备，要求操作者遵守操作规程，既不允许机械</w:t>
      </w:r>
      <w:r>
        <w:rPr>
          <w:spacing w:val="-22"/>
          <w:sz w:val="24"/>
          <w:szCs w:val="24"/>
        </w:rPr>
        <w:t>设备超负荷使用，也不允许长期处于低负荷下使用和运转。</w:t>
      </w:r>
    </w:p>
    <w:p w14:paraId="6499F05D">
      <w:pPr>
        <w:pStyle w:val="2"/>
        <w:spacing w:before="121" w:line="217" w:lineRule="auto"/>
        <w:ind w:left="1890"/>
        <w:rPr>
          <w:sz w:val="24"/>
          <w:szCs w:val="24"/>
        </w:rPr>
      </w:pPr>
      <w:r>
        <w:rPr>
          <w:spacing w:val="-20"/>
          <w:sz w:val="24"/>
          <w:szCs w:val="24"/>
        </w:rPr>
        <w:t>3.4.4、经过防噪处理后机械设备的噪音必须符合环保要求；液压系统无泄露现象。</w:t>
      </w:r>
    </w:p>
    <w:p w14:paraId="5B7CE457">
      <w:pPr>
        <w:pStyle w:val="2"/>
        <w:spacing w:before="116" w:line="217" w:lineRule="auto"/>
        <w:ind w:left="1890"/>
        <w:rPr>
          <w:sz w:val="24"/>
          <w:szCs w:val="24"/>
        </w:rPr>
      </w:pPr>
      <w:r>
        <w:rPr>
          <w:spacing w:val="-20"/>
          <w:sz w:val="24"/>
          <w:szCs w:val="24"/>
        </w:rPr>
        <w:t>3.4.5、机械设备使用的燃油和润滑油必须符合规定，电压等级必须符合铭牌规定。</w:t>
      </w:r>
    </w:p>
    <w:p w14:paraId="0735A439">
      <w:pPr>
        <w:pStyle w:val="2"/>
        <w:spacing w:before="119" w:line="217" w:lineRule="auto"/>
        <w:ind w:left="1890"/>
        <w:rPr>
          <w:sz w:val="24"/>
          <w:szCs w:val="24"/>
        </w:rPr>
      </w:pPr>
      <w:r>
        <w:rPr>
          <w:spacing w:val="-20"/>
          <w:sz w:val="24"/>
          <w:szCs w:val="24"/>
        </w:rPr>
        <w:t>3.4.6、不允许任意拆卸固定配置的附属设备及零部件或任意变</w:t>
      </w:r>
      <w:r>
        <w:rPr>
          <w:spacing w:val="-21"/>
          <w:sz w:val="24"/>
          <w:szCs w:val="24"/>
        </w:rPr>
        <w:t>更机械设备的结构。</w:t>
      </w:r>
    </w:p>
    <w:p w14:paraId="4B8B542F">
      <w:pPr>
        <w:pStyle w:val="2"/>
        <w:spacing w:before="119" w:line="217" w:lineRule="auto"/>
        <w:ind w:left="1890"/>
        <w:rPr>
          <w:sz w:val="24"/>
          <w:szCs w:val="24"/>
        </w:rPr>
      </w:pPr>
      <w:r>
        <w:rPr>
          <w:spacing w:val="-17"/>
          <w:sz w:val="24"/>
          <w:szCs w:val="24"/>
        </w:rPr>
        <w:t>3.5、机具设备维修保养</w:t>
      </w:r>
    </w:p>
    <w:p w14:paraId="1647C86D">
      <w:pPr>
        <w:pStyle w:val="2"/>
        <w:spacing w:before="117" w:line="262" w:lineRule="auto"/>
        <w:ind w:left="1460" w:right="1412" w:firstLine="430"/>
        <w:rPr>
          <w:sz w:val="24"/>
          <w:szCs w:val="24"/>
        </w:rPr>
      </w:pPr>
      <w:r>
        <w:rPr>
          <w:spacing w:val="-21"/>
          <w:sz w:val="24"/>
          <w:szCs w:val="24"/>
        </w:rPr>
        <w:t>3.5.1、机械工程师在每月月初编制机械设备维修保养计划，由设备工长负责组织、监督专人实施并做好设备的保养检查记录。</w:t>
      </w:r>
    </w:p>
    <w:p w14:paraId="0C56052D">
      <w:pPr>
        <w:pStyle w:val="2"/>
        <w:spacing w:before="121" w:line="261" w:lineRule="auto"/>
        <w:ind w:left="1455" w:right="1412" w:firstLine="434"/>
        <w:rPr>
          <w:sz w:val="24"/>
          <w:szCs w:val="24"/>
        </w:rPr>
      </w:pPr>
      <w:r>
        <w:rPr>
          <w:spacing w:val="-21"/>
          <w:sz w:val="24"/>
          <w:szCs w:val="24"/>
        </w:rPr>
        <w:t>3.5.2、对分包商提供设备由分包商编制月度维修保养计划并交至生产设备现场管理部处存档，由设备工长督促实施并做好记录。</w:t>
      </w:r>
    </w:p>
    <w:p w14:paraId="337BAD73">
      <w:pPr>
        <w:pStyle w:val="2"/>
        <w:spacing w:before="119" w:line="262" w:lineRule="auto"/>
        <w:ind w:left="1455" w:right="1412" w:firstLine="434"/>
        <w:rPr>
          <w:sz w:val="24"/>
          <w:szCs w:val="24"/>
        </w:rPr>
      </w:pPr>
      <w:r>
        <w:rPr>
          <w:spacing w:val="-21"/>
          <w:sz w:val="24"/>
          <w:szCs w:val="24"/>
        </w:rPr>
        <w:t>3.5.3、机械设备的修理由设备工长督促设备供应商的专业人员进行，并填写《机械设备维</w:t>
      </w:r>
      <w:r>
        <w:rPr>
          <w:spacing w:val="-19"/>
          <w:sz w:val="24"/>
          <w:szCs w:val="24"/>
        </w:rPr>
        <w:t>修记录》存档备查。</w:t>
      </w:r>
    </w:p>
    <w:p w14:paraId="74557687">
      <w:pPr>
        <w:pStyle w:val="2"/>
        <w:spacing w:before="120" w:line="261" w:lineRule="auto"/>
        <w:ind w:left="1470" w:right="1411" w:firstLine="420"/>
        <w:rPr>
          <w:sz w:val="24"/>
          <w:szCs w:val="24"/>
        </w:rPr>
      </w:pPr>
      <w:r>
        <w:rPr>
          <w:spacing w:val="-21"/>
          <w:sz w:val="24"/>
          <w:szCs w:val="24"/>
        </w:rPr>
        <w:t>3.5.4、严格遵守维护保养制度，根据情况每天或每月留出必要的保养时间，保证机械设备</w:t>
      </w:r>
      <w:r>
        <w:rPr>
          <w:spacing w:val="-20"/>
          <w:sz w:val="24"/>
          <w:szCs w:val="24"/>
        </w:rPr>
        <w:t>的正常运转。</w:t>
      </w:r>
    </w:p>
    <w:p w14:paraId="65B283AB">
      <w:pPr>
        <w:pStyle w:val="2"/>
        <w:spacing w:before="121" w:line="262" w:lineRule="auto"/>
        <w:ind w:left="1456" w:right="1412" w:firstLine="434"/>
        <w:rPr>
          <w:sz w:val="24"/>
          <w:szCs w:val="24"/>
        </w:rPr>
      </w:pPr>
      <w:r>
        <w:rPr>
          <w:spacing w:val="-21"/>
          <w:sz w:val="24"/>
          <w:szCs w:val="24"/>
        </w:rPr>
        <w:t>3.5.5、由于机械设备发生故障造成事故时，设备工长应认真填写施工设备事故报告单，报告物资及设备部经理，认真、及时处理。</w:t>
      </w:r>
    </w:p>
    <w:p w14:paraId="69F0DB60">
      <w:pPr>
        <w:spacing w:line="262" w:lineRule="auto"/>
        <w:rPr>
          <w:sz w:val="24"/>
          <w:szCs w:val="24"/>
        </w:rPr>
        <w:sectPr>
          <w:footerReference r:id="rId398" w:type="default"/>
          <w:pgSz w:w="11907" w:h="16839"/>
          <w:pgMar w:top="933" w:right="4" w:bottom="1038" w:left="0" w:header="478" w:footer="357" w:gutter="0"/>
          <w:pgBorders>
            <w:top w:val="none" w:sz="0" w:space="0"/>
            <w:left w:val="none" w:sz="0" w:space="0"/>
            <w:bottom w:val="none" w:sz="0" w:space="0"/>
            <w:right w:val="none" w:sz="0" w:space="0"/>
          </w:pgBorders>
          <w:cols w:space="720" w:num="1"/>
        </w:sectPr>
      </w:pPr>
    </w:p>
    <w:p w14:paraId="7FF26225">
      <w:pPr>
        <w:pStyle w:val="2"/>
        <w:spacing w:before="282" w:line="224" w:lineRule="auto"/>
        <w:ind w:left="4341"/>
        <w:outlineLvl w:val="0"/>
        <w:rPr>
          <w:sz w:val="31"/>
          <w:szCs w:val="31"/>
        </w:rPr>
      </w:pPr>
      <w:bookmarkStart w:id="271" w:name="bookmark259"/>
      <w:bookmarkEnd w:id="271"/>
      <w:r>
        <w:rPr>
          <w:b/>
          <w:bCs/>
          <w:color w:val="7030A0"/>
          <w:spacing w:val="-15"/>
          <w:sz w:val="31"/>
          <w:szCs w:val="31"/>
        </w:rPr>
        <w:t>第十章、劳动力安排计划</w:t>
      </w:r>
    </w:p>
    <w:p w14:paraId="76B94159">
      <w:pPr>
        <w:pStyle w:val="2"/>
        <w:spacing w:before="94" w:line="301" w:lineRule="auto"/>
        <w:ind w:left="1456" w:right="1410" w:firstLine="445"/>
        <w:jc w:val="both"/>
        <w:rPr>
          <w:sz w:val="24"/>
          <w:szCs w:val="24"/>
        </w:rPr>
      </w:pPr>
      <w:r>
        <w:rPr>
          <w:spacing w:val="-20"/>
          <w:sz w:val="24"/>
          <w:szCs w:val="24"/>
        </w:rPr>
        <w:t>我公司具有丰富的施工经验，不论在机械装备上、管理上、协作控制能力上都有很大的优势。并且，我公司拥有高素质的项目施工管理人员，在人员组织上更有广泛的选择性。在组建本工程项目管理班子时，公司将选派曾施工过类似本工程结构形式的并具有丰富施工经验的项目管理班子，参加本工程的施工管理。在项目部配置人员上将配齐所有的职能部门人员，确保整个工程在施工全过程的连续性，从而实现全面管理，全面控制和全面协调。为创造工程的高</w:t>
      </w:r>
      <w:r>
        <w:rPr>
          <w:spacing w:val="-21"/>
          <w:sz w:val="24"/>
          <w:szCs w:val="24"/>
        </w:rPr>
        <w:t>质量高速度提供条件。</w:t>
      </w:r>
    </w:p>
    <w:p w14:paraId="703BF507">
      <w:pPr>
        <w:pStyle w:val="2"/>
        <w:spacing w:line="217" w:lineRule="auto"/>
        <w:ind w:left="4032"/>
        <w:outlineLvl w:val="1"/>
        <w:rPr>
          <w:sz w:val="30"/>
          <w:szCs w:val="30"/>
        </w:rPr>
      </w:pPr>
      <w:bookmarkStart w:id="272" w:name="bookmark260"/>
      <w:bookmarkEnd w:id="272"/>
      <w:r>
        <w:rPr>
          <w:b/>
          <w:bCs/>
          <w:color w:val="0070C0"/>
          <w:spacing w:val="-24"/>
          <w:sz w:val="30"/>
          <w:szCs w:val="30"/>
        </w:rPr>
        <w:t>第一节、工程项目劳务人员组织</w:t>
      </w:r>
    </w:p>
    <w:p w14:paraId="049D41DD">
      <w:pPr>
        <w:pStyle w:val="2"/>
        <w:spacing w:before="96" w:line="308" w:lineRule="auto"/>
        <w:ind w:left="1457" w:right="1338" w:firstLine="435"/>
        <w:jc w:val="both"/>
        <w:rPr>
          <w:sz w:val="24"/>
          <w:szCs w:val="24"/>
        </w:rPr>
      </w:pPr>
      <w:r>
        <w:rPr>
          <w:spacing w:val="-23"/>
          <w:sz w:val="24"/>
          <w:szCs w:val="24"/>
        </w:rPr>
        <w:t>施工操作人员是工程施工的直接操作者，也是工程质量、进度、安</w:t>
      </w:r>
      <w:r>
        <w:rPr>
          <w:spacing w:val="-24"/>
          <w:sz w:val="24"/>
          <w:szCs w:val="24"/>
        </w:rPr>
        <w:t>全和施工的直接保证者。</w:t>
      </w:r>
      <w:r>
        <w:rPr>
          <w:spacing w:val="-23"/>
          <w:sz w:val="24"/>
          <w:szCs w:val="24"/>
        </w:rPr>
        <w:t>为确保工程顺利进行施工，在本工程劳动力组织时，我公司将安排具有良</w:t>
      </w:r>
      <w:r>
        <w:rPr>
          <w:spacing w:val="-24"/>
          <w:sz w:val="24"/>
          <w:szCs w:val="24"/>
        </w:rPr>
        <w:t>好的体质、安全意识、</w:t>
      </w:r>
      <w:r>
        <w:rPr>
          <w:spacing w:val="-20"/>
          <w:sz w:val="24"/>
          <w:szCs w:val="24"/>
        </w:rPr>
        <w:t>技术素质较高的，且有深厚工程施工经验的操作工人进场施工，施工人员进场前，统一经过公司培训，考核后上岗。</w:t>
      </w:r>
    </w:p>
    <w:p w14:paraId="0AFEBA93">
      <w:pPr>
        <w:pStyle w:val="2"/>
        <w:spacing w:line="216" w:lineRule="auto"/>
        <w:ind w:left="1894"/>
        <w:rPr>
          <w:sz w:val="24"/>
          <w:szCs w:val="24"/>
        </w:rPr>
      </w:pPr>
      <w:r>
        <w:rPr>
          <w:spacing w:val="-22"/>
          <w:sz w:val="24"/>
          <w:szCs w:val="24"/>
        </w:rPr>
        <w:t>项目施工人员按三类进行组织：</w:t>
      </w:r>
    </w:p>
    <w:p w14:paraId="545741F8">
      <w:pPr>
        <w:pStyle w:val="2"/>
        <w:spacing w:before="120" w:line="277" w:lineRule="auto"/>
        <w:ind w:left="1455" w:right="1415" w:firstLine="447"/>
        <w:rPr>
          <w:sz w:val="24"/>
          <w:szCs w:val="24"/>
        </w:rPr>
      </w:pPr>
      <w:r>
        <w:rPr>
          <w:spacing w:val="-22"/>
          <w:sz w:val="24"/>
          <w:szCs w:val="24"/>
        </w:rPr>
        <w:t>1、专业性强的技术工种类：根据工程施工进度要</w:t>
      </w:r>
      <w:r>
        <w:rPr>
          <w:spacing w:val="-23"/>
          <w:sz w:val="24"/>
          <w:szCs w:val="24"/>
        </w:rPr>
        <w:t>求，确保工程正常施工，主要包括机械维</w:t>
      </w:r>
      <w:r>
        <w:rPr>
          <w:spacing w:val="-20"/>
          <w:sz w:val="24"/>
          <w:szCs w:val="24"/>
        </w:rPr>
        <w:t>修、机械操作、架子工、现场电工、电焊工、气焊工、施工现场内机动车司机等工种，这类工</w:t>
      </w:r>
      <w:r>
        <w:rPr>
          <w:spacing w:val="-21"/>
          <w:sz w:val="24"/>
          <w:szCs w:val="24"/>
        </w:rPr>
        <w:t>种人员均经过我公司培训中心定期培训、考核后，持有相应上岗</w:t>
      </w:r>
      <w:r>
        <w:rPr>
          <w:spacing w:val="-22"/>
          <w:sz w:val="24"/>
          <w:szCs w:val="24"/>
        </w:rPr>
        <w:t>证上岗。</w:t>
      </w:r>
    </w:p>
    <w:p w14:paraId="3FCD0720">
      <w:pPr>
        <w:pStyle w:val="2"/>
        <w:spacing w:before="118" w:line="262" w:lineRule="auto"/>
        <w:ind w:left="1492" w:right="1410" w:firstLine="396"/>
        <w:rPr>
          <w:sz w:val="24"/>
          <w:szCs w:val="24"/>
        </w:rPr>
      </w:pPr>
      <w:r>
        <w:rPr>
          <w:spacing w:val="-22"/>
          <w:sz w:val="24"/>
          <w:szCs w:val="24"/>
        </w:rPr>
        <w:t>2、普通技术工种类：这类工种有：木工、钢筋工、混凝土工、泥工、粉刷工等，公司将派</w:t>
      </w:r>
      <w:r>
        <w:rPr>
          <w:spacing w:val="-23"/>
          <w:sz w:val="24"/>
          <w:szCs w:val="24"/>
        </w:rPr>
        <w:t>曾施工过类似工程的人员，根据施工需要，安排人员进场。</w:t>
      </w:r>
    </w:p>
    <w:p w14:paraId="306661EC">
      <w:pPr>
        <w:pStyle w:val="2"/>
        <w:spacing w:before="117" w:line="290" w:lineRule="auto"/>
        <w:ind w:left="1458" w:right="1412" w:firstLine="432"/>
        <w:rPr>
          <w:sz w:val="24"/>
          <w:szCs w:val="24"/>
        </w:rPr>
      </w:pPr>
      <w:r>
        <w:rPr>
          <w:spacing w:val="-22"/>
          <w:sz w:val="24"/>
          <w:szCs w:val="24"/>
        </w:rPr>
        <w:t>3、非技术性普通工种类：这类工种是我公司长期施工的配属工人，具有熟练的操作</w:t>
      </w:r>
      <w:r>
        <w:rPr>
          <w:spacing w:val="-23"/>
          <w:sz w:val="24"/>
          <w:szCs w:val="24"/>
        </w:rPr>
        <w:t>技术和</w:t>
      </w:r>
      <w:r>
        <w:rPr>
          <w:spacing w:val="-20"/>
          <w:sz w:val="24"/>
          <w:szCs w:val="24"/>
        </w:rPr>
        <w:t>质量安全素质。本工程劳动力组织由公司项目管理部根据项目部的月度劳动力计划，在公司内进行调配，确保项目部对各种劳动力的需要，确保施工进度计划的完成，劳动力配备根据工程进度进行调整、补充。根据各阶段施工需要，劳动力分次投入，且始终处于动态控制中，各施</w:t>
      </w:r>
      <w:r>
        <w:rPr>
          <w:spacing w:val="-24"/>
          <w:sz w:val="24"/>
          <w:szCs w:val="24"/>
        </w:rPr>
        <w:t>工阶段劳动力投入情况详见《劳动力计划表》。</w:t>
      </w:r>
    </w:p>
    <w:p w14:paraId="072CE24F">
      <w:pPr>
        <w:pStyle w:val="2"/>
        <w:spacing w:before="65" w:line="217" w:lineRule="auto"/>
        <w:ind w:left="3753"/>
        <w:outlineLvl w:val="1"/>
        <w:rPr>
          <w:sz w:val="30"/>
          <w:szCs w:val="30"/>
        </w:rPr>
      </w:pPr>
      <w:bookmarkStart w:id="273" w:name="bookmark261"/>
      <w:bookmarkEnd w:id="273"/>
      <w:r>
        <w:rPr>
          <w:b/>
          <w:bCs/>
          <w:color w:val="0070C0"/>
          <w:spacing w:val="-24"/>
          <w:sz w:val="30"/>
          <w:szCs w:val="30"/>
        </w:rPr>
        <w:t>第二节、劳动力的组织管理保证措施</w:t>
      </w:r>
    </w:p>
    <w:p w14:paraId="1464E7C7">
      <w:pPr>
        <w:pStyle w:val="2"/>
        <w:spacing w:before="101" w:line="307" w:lineRule="auto"/>
        <w:ind w:left="1468" w:right="1409" w:firstLine="425"/>
        <w:rPr>
          <w:spacing w:val="-22"/>
          <w:sz w:val="24"/>
          <w:szCs w:val="24"/>
        </w:rPr>
      </w:pPr>
      <w:r>
        <w:rPr>
          <w:spacing w:val="-20"/>
          <w:sz w:val="24"/>
          <w:szCs w:val="24"/>
        </w:rPr>
        <w:t>项目部人员进场应即对总体工程量进行复核，再按照进度计划要求和现场情况作出详细的</w:t>
      </w:r>
      <w:r>
        <w:rPr>
          <w:spacing w:val="-22"/>
          <w:sz w:val="24"/>
          <w:szCs w:val="24"/>
        </w:rPr>
        <w:t>劳动力进场计划报送公司劳资部门。</w:t>
      </w:r>
    </w:p>
    <w:p w14:paraId="5FF8E158">
      <w:pPr>
        <w:pStyle w:val="2"/>
        <w:spacing w:before="101" w:line="307" w:lineRule="auto"/>
        <w:ind w:left="1468" w:right="1409" w:firstLine="425"/>
        <w:rPr>
          <w:rFonts w:hint="eastAsia"/>
          <w:spacing w:val="-22"/>
          <w:sz w:val="24"/>
          <w:szCs w:val="24"/>
        </w:rPr>
      </w:pPr>
      <w:r>
        <w:rPr>
          <w:rFonts w:hint="eastAsia"/>
          <w:spacing w:val="-22"/>
          <w:sz w:val="24"/>
          <w:szCs w:val="24"/>
        </w:rPr>
        <w:t>实施办法</w:t>
      </w:r>
    </w:p>
    <w:p w14:paraId="65D17ACA">
      <w:pPr>
        <w:pStyle w:val="2"/>
        <w:spacing w:before="101" w:line="307" w:lineRule="auto"/>
        <w:ind w:left="1468" w:right="1409" w:firstLine="425"/>
        <w:rPr>
          <w:rFonts w:hint="eastAsia"/>
          <w:spacing w:val="-22"/>
          <w:sz w:val="24"/>
          <w:szCs w:val="24"/>
        </w:rPr>
      </w:pPr>
      <w:r>
        <w:rPr>
          <w:rFonts w:hint="eastAsia"/>
          <w:spacing w:val="-22"/>
          <w:sz w:val="24"/>
          <w:szCs w:val="24"/>
        </w:rPr>
        <w:t>1、建立工资支付监控制度，全面监控和重点监控相结合，列为重点监控对象的，要定期向劳动保障部门报送工资支付情况。</w:t>
      </w:r>
    </w:p>
    <w:p w14:paraId="6E1AFC70">
      <w:pPr>
        <w:pStyle w:val="2"/>
        <w:spacing w:before="101" w:line="307" w:lineRule="auto"/>
        <w:ind w:left="1468" w:right="1409" w:firstLine="425"/>
        <w:rPr>
          <w:rFonts w:hint="eastAsia"/>
          <w:spacing w:val="-22"/>
          <w:sz w:val="24"/>
          <w:szCs w:val="24"/>
        </w:rPr>
      </w:pPr>
      <w:r>
        <w:rPr>
          <w:rFonts w:hint="eastAsia"/>
          <w:spacing w:val="-22"/>
          <w:sz w:val="24"/>
          <w:szCs w:val="24"/>
        </w:rPr>
        <w:t>2、推行工资保证金制度，施工单位缴纳一定数额的工资保证金，；以保证农民工工资不因单位资金状况而被拖欠。</w:t>
      </w:r>
    </w:p>
    <w:p w14:paraId="1E688DE7">
      <w:pPr>
        <w:pStyle w:val="2"/>
        <w:spacing w:before="101" w:line="307" w:lineRule="auto"/>
        <w:ind w:left="1468" w:right="1409" w:firstLine="425"/>
        <w:rPr>
          <w:rFonts w:hint="eastAsia"/>
          <w:spacing w:val="-22"/>
          <w:sz w:val="24"/>
          <w:szCs w:val="24"/>
        </w:rPr>
      </w:pPr>
      <w:r>
        <w:rPr>
          <w:rFonts w:hint="eastAsia"/>
          <w:spacing w:val="-22"/>
          <w:sz w:val="24"/>
          <w:szCs w:val="24"/>
        </w:rPr>
        <w:t>3、推行施工单位劳动保障诚信制度，建立健全施工单位用工和工资支付行为信息网络，完善监控手段。</w:t>
      </w:r>
    </w:p>
    <w:p w14:paraId="31CFDB2E">
      <w:pPr>
        <w:pStyle w:val="2"/>
        <w:spacing w:before="101" w:line="307" w:lineRule="auto"/>
        <w:ind w:left="1468" w:right="1409" w:firstLine="425"/>
        <w:rPr>
          <w:rFonts w:hint="eastAsia"/>
          <w:spacing w:val="-22"/>
          <w:sz w:val="24"/>
          <w:szCs w:val="24"/>
        </w:rPr>
      </w:pPr>
      <w:r>
        <w:rPr>
          <w:rFonts w:hint="eastAsia"/>
          <w:spacing w:val="-22"/>
          <w:sz w:val="24"/>
          <w:szCs w:val="24"/>
        </w:rPr>
        <w:t>4、推行施工现场门禁系统，民工上下班刷卡制度，动态监管各民工个体工时情况，以保证民工工资核算真实性、准确性。</w:t>
      </w:r>
    </w:p>
    <w:p w14:paraId="5B5F21AC">
      <w:pPr>
        <w:pStyle w:val="2"/>
        <w:spacing w:before="101" w:line="307" w:lineRule="auto"/>
        <w:ind w:left="1468" w:right="1409" w:firstLine="425"/>
        <w:rPr>
          <w:rFonts w:hint="eastAsia"/>
          <w:spacing w:val="-22"/>
          <w:sz w:val="24"/>
          <w:szCs w:val="24"/>
        </w:rPr>
      </w:pPr>
      <w:r>
        <w:rPr>
          <w:rFonts w:hint="eastAsia"/>
          <w:spacing w:val="-22"/>
          <w:sz w:val="24"/>
          <w:szCs w:val="24"/>
        </w:rPr>
        <w:t>5、全面推进劳动合同制度实施行动计划，用人单位招用农民工都必须依法订立书面劳动合同，建立权利义务明确、规范的劳动关系。</w:t>
      </w:r>
    </w:p>
    <w:p w14:paraId="14DFAB80">
      <w:pPr>
        <w:pStyle w:val="2"/>
        <w:spacing w:before="101" w:line="307" w:lineRule="auto"/>
        <w:ind w:left="1468" w:right="1409" w:firstLine="425"/>
        <w:rPr>
          <w:rFonts w:hint="eastAsia"/>
          <w:spacing w:val="-22"/>
          <w:sz w:val="24"/>
          <w:szCs w:val="24"/>
        </w:rPr>
      </w:pPr>
      <w:r>
        <w:rPr>
          <w:rFonts w:hint="eastAsia"/>
          <w:spacing w:val="-22"/>
          <w:sz w:val="24"/>
          <w:szCs w:val="24"/>
        </w:rPr>
        <w:t>农民工工资发放监管措施</w:t>
      </w:r>
    </w:p>
    <w:p w14:paraId="2935658D">
      <w:pPr>
        <w:pStyle w:val="2"/>
        <w:spacing w:before="101" w:line="307" w:lineRule="auto"/>
        <w:ind w:left="1468" w:right="1409" w:firstLine="425"/>
        <w:rPr>
          <w:rFonts w:hint="eastAsia"/>
          <w:spacing w:val="-22"/>
          <w:sz w:val="24"/>
          <w:szCs w:val="24"/>
        </w:rPr>
      </w:pPr>
      <w:r>
        <w:rPr>
          <w:rFonts w:hint="eastAsia"/>
          <w:spacing w:val="-22"/>
          <w:sz w:val="24"/>
          <w:szCs w:val="24"/>
        </w:rPr>
        <w:t>1、项目部成立农民工工资发放领导小组，负责本项目农民工工资管理的监督、宣传、协调和查处工作。领导小组下设办公室，配备相应的专项监管人员，负责项目农民工工资管理的日常工作。</w:t>
      </w:r>
    </w:p>
    <w:p w14:paraId="32A19BFC">
      <w:pPr>
        <w:pStyle w:val="2"/>
        <w:spacing w:before="101" w:line="307" w:lineRule="auto"/>
        <w:ind w:left="1468" w:right="1409" w:firstLine="425"/>
        <w:rPr>
          <w:rFonts w:hint="eastAsia"/>
          <w:spacing w:val="-22"/>
          <w:sz w:val="24"/>
          <w:szCs w:val="24"/>
        </w:rPr>
      </w:pPr>
      <w:r>
        <w:rPr>
          <w:rFonts w:hint="eastAsia"/>
          <w:spacing w:val="-22"/>
          <w:sz w:val="24"/>
          <w:szCs w:val="24"/>
        </w:rPr>
        <w:t>2、各项目部的工程部经理担任该领导小组组长，工程部经理为第一责任人。由内业资料员负责收集、整理农民工工资管理合同、管理制度、工资发放资料。</w:t>
      </w:r>
    </w:p>
    <w:p w14:paraId="4AC842C9">
      <w:pPr>
        <w:pStyle w:val="2"/>
        <w:spacing w:before="101" w:line="307" w:lineRule="auto"/>
        <w:ind w:left="1468" w:right="1409" w:firstLine="425"/>
        <w:rPr>
          <w:rFonts w:hint="eastAsia"/>
          <w:spacing w:val="-22"/>
          <w:sz w:val="24"/>
          <w:szCs w:val="24"/>
        </w:rPr>
      </w:pPr>
      <w:r>
        <w:rPr>
          <w:rFonts w:hint="eastAsia"/>
          <w:spacing w:val="-22"/>
          <w:sz w:val="24"/>
          <w:szCs w:val="24"/>
        </w:rPr>
        <w:t>3、民工进场后，项目部安排相关人员做好安全教育工作，同时做好民工相关信息登记，建立录用的农民工用工花名册；并提取身份证复印件及照片、办理进出场门禁卡，以便用于民工上下班打卡。如实记录民工姓名、身份证号码、用工天数、支付单位、支付时间、支付对象、支付数额等情况。</w:t>
      </w:r>
    </w:p>
    <w:p w14:paraId="4DDC5E8B">
      <w:pPr>
        <w:pStyle w:val="2"/>
        <w:spacing w:before="101" w:line="307" w:lineRule="auto"/>
        <w:ind w:left="1468" w:right="1409" w:firstLine="425"/>
        <w:rPr>
          <w:rFonts w:hint="eastAsia"/>
          <w:spacing w:val="-22"/>
          <w:sz w:val="24"/>
          <w:szCs w:val="24"/>
        </w:rPr>
      </w:pPr>
      <w:r>
        <w:rPr>
          <w:rFonts w:hint="eastAsia"/>
          <w:spacing w:val="-22"/>
          <w:sz w:val="24"/>
          <w:szCs w:val="24"/>
        </w:rPr>
        <w:t>5、根据合同各施工单位根据实际已完工程量提交已完成节点工程进度款申请报告，项目部及时针对各施工单位已完工程量、考勤信息及施工合同支付比例审核各施工单位工程进度款，并最终确定支付金额。</w:t>
      </w:r>
    </w:p>
    <w:p w14:paraId="46906DB5">
      <w:pPr>
        <w:pStyle w:val="2"/>
        <w:spacing w:before="101" w:line="307" w:lineRule="auto"/>
        <w:ind w:left="1468" w:right="1409" w:firstLine="425"/>
        <w:rPr>
          <w:rFonts w:hint="eastAsia"/>
          <w:spacing w:val="-22"/>
          <w:sz w:val="24"/>
          <w:szCs w:val="24"/>
        </w:rPr>
      </w:pPr>
      <w:r>
        <w:rPr>
          <w:rFonts w:hint="eastAsia"/>
          <w:spacing w:val="-22"/>
          <w:sz w:val="24"/>
          <w:szCs w:val="24"/>
        </w:rPr>
        <w:t>6、各施工单位根据项目部各节点支付金额及民工出勤情况，编制民工工资支付清单，并上交项目部农民工工资发放领导小组审核。</w:t>
      </w:r>
    </w:p>
    <w:p w14:paraId="3C9C3B08">
      <w:pPr>
        <w:pStyle w:val="2"/>
        <w:spacing w:before="101" w:line="307" w:lineRule="auto"/>
        <w:ind w:left="1468" w:right="1409" w:firstLine="425"/>
        <w:rPr>
          <w:rFonts w:hint="eastAsia"/>
          <w:spacing w:val="-22"/>
          <w:sz w:val="24"/>
          <w:szCs w:val="24"/>
        </w:rPr>
      </w:pPr>
      <w:r>
        <w:rPr>
          <w:rFonts w:hint="eastAsia"/>
          <w:spacing w:val="-22"/>
          <w:sz w:val="24"/>
          <w:szCs w:val="24"/>
        </w:rPr>
        <w:t>7、公司财务将工程款发放至各施工单位，各施工单位和农民工工资发放领导小组相结合根据民工工资支付清单及时支付各节点民工工资，且应将民工工资直接发放给民工本人，严禁发放给班组长或其他不具备主体资格的组织或个人。</w:t>
      </w:r>
    </w:p>
    <w:p w14:paraId="4150DF40">
      <w:pPr>
        <w:pStyle w:val="2"/>
        <w:spacing w:before="101" w:line="307" w:lineRule="auto"/>
        <w:ind w:left="1468" w:right="1409" w:firstLine="425"/>
        <w:rPr>
          <w:rFonts w:hint="eastAsia"/>
          <w:spacing w:val="-22"/>
          <w:sz w:val="24"/>
          <w:szCs w:val="24"/>
        </w:rPr>
      </w:pPr>
      <w:r>
        <w:rPr>
          <w:rFonts w:hint="eastAsia"/>
          <w:spacing w:val="-22"/>
          <w:sz w:val="24"/>
          <w:szCs w:val="24"/>
        </w:rPr>
        <w:t>8、各项目部应定期自检，本公司采用不定期抽查。一旦发现拖欠苗头，要及时采取措施加以解决，避免事态扩大。对于出现拖欠、克扣及农民工工资发放数额不实等情况的项目，由公司研究限期整改和通报批评，同时针对实际情况对项目部处一定罚款。</w:t>
      </w:r>
    </w:p>
    <w:p w14:paraId="7BE07BA3">
      <w:pPr>
        <w:pStyle w:val="2"/>
        <w:spacing w:before="101" w:line="307" w:lineRule="auto"/>
        <w:ind w:left="1468" w:right="1409" w:firstLine="425"/>
        <w:rPr>
          <w:rFonts w:hint="eastAsia"/>
          <w:spacing w:val="-22"/>
          <w:sz w:val="24"/>
          <w:szCs w:val="24"/>
        </w:rPr>
      </w:pPr>
      <w:r>
        <w:rPr>
          <w:rFonts w:hint="eastAsia"/>
          <w:spacing w:val="-22"/>
          <w:sz w:val="24"/>
          <w:szCs w:val="24"/>
        </w:rPr>
        <w:t>9、工程结束或民工退场，各施工单位在3日内完成民工工资结算工作，确定支付时间、支付方式，并上报项目部农民工工资发放领导小组。对已完工程，项目部在规定时间内完成该项工程结算工作，项目部根据劳务施工合同支付比例，支付时间；确定支付金额，且应先保证该工程民工工资足额发放。10、各项目部农民工工资发放领导小组同时负责处理拖欠民工工资投诉工作，制定应急预案，及时处理突发事件，让事态从源头上进行遏制。</w:t>
      </w:r>
    </w:p>
    <w:p w14:paraId="0AEE3F07">
      <w:pPr>
        <w:pStyle w:val="2"/>
        <w:spacing w:before="101" w:line="307" w:lineRule="auto"/>
        <w:ind w:left="1468" w:right="1409" w:firstLine="425"/>
        <w:rPr>
          <w:rFonts w:hint="eastAsia"/>
          <w:spacing w:val="-22"/>
          <w:sz w:val="24"/>
          <w:szCs w:val="24"/>
        </w:rPr>
      </w:pPr>
      <w:r>
        <w:rPr>
          <w:rFonts w:hint="eastAsia"/>
          <w:spacing w:val="-22"/>
          <w:sz w:val="24"/>
          <w:szCs w:val="24"/>
        </w:rPr>
        <w:t>11、施工现场必须设置《民工工资维权告知牌》项目部必须于开工前将《民工工资维权告知牌》设置在“五牌一图”处，如有损坏应及时更换。</w:t>
      </w:r>
    </w:p>
    <w:p w14:paraId="68D2F049">
      <w:pPr>
        <w:pStyle w:val="2"/>
        <w:spacing w:before="101" w:line="307" w:lineRule="auto"/>
        <w:ind w:left="1468" w:right="1409" w:firstLine="425"/>
        <w:rPr>
          <w:rFonts w:hint="eastAsia"/>
          <w:spacing w:val="-22"/>
          <w:sz w:val="24"/>
          <w:szCs w:val="24"/>
        </w:rPr>
      </w:pPr>
      <w:r>
        <w:rPr>
          <w:rFonts w:hint="eastAsia"/>
          <w:spacing w:val="-22"/>
          <w:sz w:val="24"/>
          <w:szCs w:val="24"/>
        </w:rPr>
        <w:t>12、拖欠民工工资投诉的处理</w:t>
      </w:r>
    </w:p>
    <w:p w14:paraId="2CE942CE">
      <w:pPr>
        <w:pStyle w:val="2"/>
        <w:spacing w:before="101" w:line="307" w:lineRule="auto"/>
        <w:ind w:left="1468" w:right="1409" w:firstLine="425"/>
        <w:rPr>
          <w:rFonts w:hint="eastAsia"/>
          <w:spacing w:val="-22"/>
          <w:sz w:val="24"/>
          <w:szCs w:val="24"/>
        </w:rPr>
      </w:pPr>
      <w:r>
        <w:rPr>
          <w:rFonts w:hint="eastAsia"/>
          <w:spacing w:val="-22"/>
          <w:sz w:val="24"/>
          <w:szCs w:val="24"/>
        </w:rPr>
        <w:t>12.1项目部应高度重视拖欠民工工资投诉，对有拖欠民工工资</w:t>
      </w:r>
    </w:p>
    <w:p w14:paraId="6C2851D9">
      <w:pPr>
        <w:pStyle w:val="2"/>
        <w:spacing w:before="101" w:line="307" w:lineRule="auto"/>
        <w:ind w:left="1468" w:right="1409" w:firstLine="425"/>
        <w:rPr>
          <w:rFonts w:hint="eastAsia"/>
          <w:spacing w:val="-22"/>
          <w:sz w:val="24"/>
          <w:szCs w:val="24"/>
        </w:rPr>
      </w:pPr>
      <w:r>
        <w:rPr>
          <w:rFonts w:hint="eastAsia"/>
          <w:spacing w:val="-22"/>
          <w:sz w:val="24"/>
          <w:szCs w:val="24"/>
        </w:rPr>
        <w:t>的工程项目，必须采取措施，及时给予解决，避免民工到有关部门投诉。</w:t>
      </w:r>
    </w:p>
    <w:p w14:paraId="628E1139">
      <w:pPr>
        <w:pStyle w:val="2"/>
        <w:spacing w:before="101" w:line="307" w:lineRule="auto"/>
        <w:ind w:left="1468" w:right="1409" w:firstLine="425"/>
        <w:rPr>
          <w:rFonts w:hint="eastAsia"/>
          <w:spacing w:val="-22"/>
          <w:sz w:val="24"/>
          <w:szCs w:val="24"/>
        </w:rPr>
      </w:pPr>
      <w:r>
        <w:rPr>
          <w:rFonts w:hint="eastAsia"/>
          <w:spacing w:val="-22"/>
          <w:sz w:val="24"/>
          <w:szCs w:val="24"/>
        </w:rPr>
        <w:t>12.2各施工单位未按合同约定与建设工程各班组结清工程款，致使建设工程承包企业拖欠民工工资的，由工程施工单位业先行垫付民工被拖欠的民工工资，先行垫付的工资数额以未结清的工程款为限。</w:t>
      </w:r>
    </w:p>
    <w:p w14:paraId="2FA56F59">
      <w:pPr>
        <w:pStyle w:val="2"/>
        <w:spacing w:before="101" w:line="307" w:lineRule="auto"/>
        <w:ind w:left="1468" w:right="1409" w:firstLine="425"/>
        <w:rPr>
          <w:rFonts w:hint="eastAsia"/>
          <w:spacing w:val="-22"/>
          <w:sz w:val="24"/>
          <w:szCs w:val="24"/>
        </w:rPr>
      </w:pPr>
      <w:r>
        <w:rPr>
          <w:rFonts w:hint="eastAsia"/>
          <w:spacing w:val="-22"/>
          <w:sz w:val="24"/>
          <w:szCs w:val="24"/>
        </w:rPr>
        <w:t>12.3各施工单位负责人把民工工资发放给班组长等不具备主体资格的组织或个人，导致拖欠民工工资的，由各施工单位负责人解决所拖欠的民工工资。</w:t>
      </w:r>
    </w:p>
    <w:p w14:paraId="2E71A57B">
      <w:pPr>
        <w:pStyle w:val="2"/>
        <w:spacing w:before="101" w:line="307" w:lineRule="auto"/>
        <w:ind w:left="1468" w:right="1409" w:firstLine="425"/>
        <w:rPr>
          <w:rFonts w:hint="eastAsia"/>
          <w:spacing w:val="-22"/>
          <w:sz w:val="24"/>
          <w:szCs w:val="24"/>
        </w:rPr>
      </w:pPr>
      <w:r>
        <w:rPr>
          <w:rFonts w:hint="eastAsia"/>
          <w:spacing w:val="-22"/>
          <w:sz w:val="24"/>
          <w:szCs w:val="24"/>
        </w:rPr>
        <w:t>12.4若有民工投诉拖欠工资问题，项目部农民工工资发放领导小组接到相关部门通知后，应立即派农民工工资发放领导小组人员及各施工单位负责人到指定地点处理处理拖欠民工工资。已结清工账的，当场确定清欠期限、清欠方式等；未结清工账的，当场确定结清工账的期限、清欠期限、清欠方式等。</w:t>
      </w:r>
    </w:p>
    <w:p w14:paraId="22619E83">
      <w:pPr>
        <w:pStyle w:val="2"/>
        <w:spacing w:before="101" w:line="307" w:lineRule="auto"/>
        <w:ind w:left="1468" w:right="1409" w:firstLine="425"/>
        <w:rPr>
          <w:rFonts w:hint="eastAsia"/>
          <w:spacing w:val="-22"/>
          <w:sz w:val="24"/>
          <w:szCs w:val="24"/>
        </w:rPr>
      </w:pPr>
      <w:r>
        <w:rPr>
          <w:rFonts w:hint="eastAsia"/>
          <w:spacing w:val="-22"/>
          <w:sz w:val="24"/>
          <w:szCs w:val="24"/>
        </w:rPr>
        <w:t>农民工考勤管理办法</w:t>
      </w:r>
    </w:p>
    <w:p w14:paraId="10B402A9">
      <w:pPr>
        <w:pStyle w:val="2"/>
        <w:spacing w:before="101" w:line="307" w:lineRule="auto"/>
        <w:ind w:left="1468" w:right="1409" w:firstLine="425"/>
        <w:rPr>
          <w:rFonts w:hint="eastAsia"/>
          <w:spacing w:val="-22"/>
          <w:sz w:val="24"/>
          <w:szCs w:val="24"/>
        </w:rPr>
      </w:pPr>
      <w:r>
        <w:rPr>
          <w:rFonts w:hint="eastAsia"/>
          <w:spacing w:val="-22"/>
          <w:sz w:val="24"/>
          <w:szCs w:val="24"/>
        </w:rPr>
        <w:t>1、项目部必须在施工现场建立农民工专用通道,安装考勤门禁系统,并设立专人监督使用及维护。施工队辖下农民工进出施工现场必须通过该通道,不得从其他通道或以其他方式进出施工现场。施工必须认可项目部所安装的门禁考勤系统,以及由该系统记录生成的农民工考勤信息,施工队辖下农民工上工下工必须在专用通道处通过考勤系统记录相关信息。如发现施工队及辖下农民工有损害、毁坏考勤门禁系统设备的情形,施工队必须赔偿相关一切损失,工程款将不结算,并将追究施工队的法律责任。</w:t>
      </w:r>
    </w:p>
    <w:p w14:paraId="310CF1E7">
      <w:pPr>
        <w:pStyle w:val="2"/>
        <w:spacing w:before="101" w:line="307" w:lineRule="auto"/>
        <w:ind w:left="1468" w:right="1409" w:firstLine="425"/>
        <w:rPr>
          <w:rFonts w:hint="eastAsia"/>
          <w:spacing w:val="-22"/>
          <w:sz w:val="24"/>
          <w:szCs w:val="24"/>
        </w:rPr>
      </w:pPr>
      <w:r>
        <w:rPr>
          <w:rFonts w:hint="eastAsia"/>
          <w:spacing w:val="-22"/>
          <w:sz w:val="24"/>
          <w:szCs w:val="24"/>
        </w:rPr>
        <w:t>2、施工队辖下的农民工在进场前必须到项目部办理个人考勤卡,在系统内录入个人详细信息,之后方可持卡进入施工现场。每张考勤卡外皮必须注明该卡登记持有人相关信息,并贴有持卡人一寸免冠照片一张。每张考勤卡施工队应向项目部交纳50元押金,持卡人必须妥</w:t>
      </w:r>
    </w:p>
    <w:p w14:paraId="273B64FF">
      <w:pPr>
        <w:pStyle w:val="2"/>
        <w:spacing w:before="101" w:line="307" w:lineRule="auto"/>
        <w:ind w:left="1468" w:right="1409" w:firstLine="425"/>
        <w:rPr>
          <w:rFonts w:hint="eastAsia"/>
          <w:spacing w:val="-22"/>
          <w:sz w:val="24"/>
          <w:szCs w:val="24"/>
        </w:rPr>
      </w:pPr>
      <w:r>
        <w:rPr>
          <w:rFonts w:hint="eastAsia"/>
          <w:spacing w:val="-22"/>
          <w:sz w:val="24"/>
          <w:szCs w:val="24"/>
        </w:rPr>
        <w:t>善保管本人考勤卡,若出现丢失、损坏考勤卡的情况,应及时到项目部补办考勤卡,补办每张考勤卡必须交费20元。若未及时补办考勤卡,则该卡登记的农民工无考勤记录期间的劳务费不予结算。每个农民工在离职时必须上交本人考勤卡,若无法上交考勤卡或上交的考勤卡与本人信息不符,则在工程结算时不予结算该农民工所有劳务费。</w:t>
      </w:r>
    </w:p>
    <w:p w14:paraId="261DFE8B">
      <w:pPr>
        <w:pStyle w:val="2"/>
        <w:spacing w:before="101" w:line="307" w:lineRule="auto"/>
        <w:ind w:left="1468" w:right="1409" w:firstLine="425"/>
        <w:rPr>
          <w:rFonts w:hint="eastAsia"/>
          <w:spacing w:val="-22"/>
          <w:sz w:val="24"/>
          <w:szCs w:val="24"/>
        </w:rPr>
      </w:pPr>
      <w:r>
        <w:rPr>
          <w:rFonts w:hint="eastAsia"/>
          <w:spacing w:val="-22"/>
          <w:sz w:val="24"/>
          <w:szCs w:val="24"/>
        </w:rPr>
        <w:t>3、项目部必须专门设农民工考勤管理人员,主要负责:监督农民工考勤打卡工作,整理每日农民工考勤记录表存档备查,每月向项目经理及公司相关部门提供当月农民工考勤记录档案。农民工考勤记录档案每页必须加盖施工队公章予以确认。</w:t>
      </w:r>
    </w:p>
    <w:p w14:paraId="751691CE">
      <w:pPr>
        <w:pStyle w:val="2"/>
        <w:spacing w:before="101" w:line="307" w:lineRule="auto"/>
        <w:ind w:left="1468" w:right="1409" w:firstLine="425"/>
        <w:rPr>
          <w:rFonts w:hint="eastAsia"/>
          <w:spacing w:val="-22"/>
          <w:sz w:val="24"/>
          <w:szCs w:val="24"/>
        </w:rPr>
      </w:pPr>
      <w:r>
        <w:rPr>
          <w:rFonts w:hint="eastAsia"/>
          <w:spacing w:val="-22"/>
          <w:sz w:val="24"/>
          <w:szCs w:val="24"/>
        </w:rPr>
        <w:t>4、施工队必须专门设农民工考勤管理人员,与项目部农民工考勤管理人员共同完成农民工考勤管理工作,协调处理相关事宜。</w:t>
      </w:r>
    </w:p>
    <w:p w14:paraId="0C256A81">
      <w:pPr>
        <w:pStyle w:val="2"/>
        <w:spacing w:before="101" w:line="307" w:lineRule="auto"/>
        <w:ind w:left="1468" w:right="1409" w:firstLine="425"/>
        <w:rPr>
          <w:rFonts w:hint="eastAsia"/>
          <w:spacing w:val="-22"/>
          <w:sz w:val="24"/>
          <w:szCs w:val="24"/>
        </w:rPr>
      </w:pPr>
      <w:r>
        <w:rPr>
          <w:rFonts w:hint="eastAsia"/>
          <w:spacing w:val="-22"/>
          <w:sz w:val="24"/>
          <w:szCs w:val="24"/>
        </w:rPr>
        <w:t>5、项目部与施工队必须建立农民工考勤档案,农民工考勤记录工</w:t>
      </w:r>
    </w:p>
    <w:p w14:paraId="542F995C">
      <w:pPr>
        <w:pStyle w:val="2"/>
        <w:spacing w:before="101" w:line="307" w:lineRule="auto"/>
        <w:ind w:left="1468" w:right="1409" w:firstLine="425"/>
        <w:rPr>
          <w:rFonts w:hint="eastAsia"/>
          <w:spacing w:val="-22"/>
          <w:sz w:val="24"/>
          <w:szCs w:val="24"/>
        </w:rPr>
      </w:pPr>
      <w:r>
        <w:rPr>
          <w:rFonts w:hint="eastAsia"/>
          <w:spacing w:val="-22"/>
          <w:sz w:val="24"/>
          <w:szCs w:val="24"/>
        </w:rPr>
        <w:t>作必须每天如实记录相关信息并导出结合每日考勤备忘录整理后录入农民工考勤档案,并由当天执行监督工作的双方考勤管理人员共同签字确认。双方必须建立每日考勤备忘录,以记录当日考勤记录工作发生的各项情况,由双方考勤管理人员共同签字确认。工程结算时,农民工考勤档案将作为结算依据。</w:t>
      </w:r>
    </w:p>
    <w:p w14:paraId="023C8077">
      <w:pPr>
        <w:pStyle w:val="2"/>
        <w:spacing w:before="101" w:line="307" w:lineRule="auto"/>
        <w:ind w:left="1468" w:right="1409" w:firstLine="425"/>
        <w:rPr>
          <w:rFonts w:hint="eastAsia"/>
          <w:spacing w:val="-22"/>
          <w:sz w:val="24"/>
          <w:szCs w:val="24"/>
        </w:rPr>
      </w:pPr>
      <w:r>
        <w:rPr>
          <w:rFonts w:hint="eastAsia"/>
          <w:spacing w:val="-22"/>
          <w:sz w:val="24"/>
          <w:szCs w:val="24"/>
        </w:rPr>
        <w:t>6、若出现农民工丢失、损坏、忘带或持非本人考勤卡等情况,导致无法正常由考勤机记录的情形,必须在当日考勤备忘录上注明详细情况,由双方考勤管理人员共同签字确认,并上报项目部负责人。未经项目部考勤管理人员确认允许,丢失、损坏、忘带或持非本人考勤卡的农民工不得进入施工现场,若违反此规定项目部将视具体情况对施工队处以100-500元人民币的罚金,并且该农民工当日劳务费不子结算。若发现未经允许,从其他通道或者以其他方式在施工期间进出施工现场的农民工,施工队必须以书面形式向项目部汇报具体情况,如有违反规定的情形,则项目部将视具体情况对施工队处以100-500元人民币的罚金,并且该农民工当日劳务费不予结算。</w:t>
      </w:r>
    </w:p>
    <w:p w14:paraId="58508874">
      <w:pPr>
        <w:pStyle w:val="2"/>
        <w:spacing w:before="101" w:line="307" w:lineRule="auto"/>
        <w:ind w:left="1468" w:right="1409" w:firstLine="425"/>
        <w:rPr>
          <w:rFonts w:hint="eastAsia"/>
          <w:spacing w:val="-22"/>
          <w:sz w:val="24"/>
          <w:szCs w:val="24"/>
        </w:rPr>
      </w:pPr>
      <w:r>
        <w:rPr>
          <w:rFonts w:hint="eastAsia"/>
          <w:spacing w:val="-22"/>
          <w:sz w:val="24"/>
          <w:szCs w:val="24"/>
        </w:rPr>
        <w:t>7、农民工专用通道必须设立门卫,门卫应负责看护考勤门禁系统不受损害,并监督农民工进出施工现场情况。农民工在施工时间段内若需离开施工现场,必须在门卫处登记,写明姓名、班、离开时间、离开原因,返回时必须登记返回时间并签字确认。若发现无正当原因长时间离开施工现场的,门卫应向项目管理人员汇报,查证后当日不予记录考勤。</w:t>
      </w:r>
    </w:p>
    <w:p w14:paraId="748CE04A">
      <w:pPr>
        <w:pStyle w:val="2"/>
        <w:spacing w:before="101" w:line="307" w:lineRule="auto"/>
        <w:ind w:left="1468" w:right="1409" w:firstLine="425"/>
        <w:rPr>
          <w:rFonts w:hint="eastAsia"/>
          <w:spacing w:val="-22"/>
          <w:sz w:val="24"/>
          <w:szCs w:val="24"/>
        </w:rPr>
      </w:pPr>
      <w:r>
        <w:rPr>
          <w:rFonts w:hint="eastAsia"/>
          <w:spacing w:val="-22"/>
          <w:sz w:val="24"/>
          <w:szCs w:val="24"/>
        </w:rPr>
        <w:t>8、施工时间段内,项目部农民工考勤管理人员应不定时巡查现场,项目管理人员(包括工长、安全员等)协助项目部农民工考勤管理员监督农民工工作情况,对相关班组出勤情况填写实际出勤记录交付考勤管理人员,如发现虚报出勤、消极怠工等情形,应向项目经理如实汇报,根据具体情况可采取不予记录该农民工当日考勤等手段加以管理。</w:t>
      </w:r>
    </w:p>
    <w:p w14:paraId="6D42364B">
      <w:pPr>
        <w:pStyle w:val="2"/>
        <w:spacing w:before="101" w:line="307" w:lineRule="auto"/>
        <w:ind w:left="1468" w:right="1409" w:firstLine="425"/>
        <w:rPr>
          <w:rFonts w:hint="eastAsia"/>
          <w:spacing w:val="-22"/>
          <w:sz w:val="24"/>
          <w:szCs w:val="24"/>
        </w:rPr>
      </w:pPr>
      <w:r>
        <w:rPr>
          <w:rFonts w:hint="eastAsia"/>
          <w:spacing w:val="-22"/>
          <w:sz w:val="24"/>
          <w:szCs w:val="24"/>
        </w:rPr>
        <w:t>9、农民工考勤档案一式三份,公司管理部门、项目部、施工队各执一份,每页必须有施工队盖章确认。</w:t>
      </w:r>
    </w:p>
    <w:p w14:paraId="05D3B543">
      <w:pPr>
        <w:pStyle w:val="2"/>
        <w:spacing w:before="101" w:line="307" w:lineRule="auto"/>
        <w:ind w:left="1468" w:right="1409" w:firstLine="425"/>
        <w:rPr>
          <w:rFonts w:hint="eastAsia"/>
          <w:spacing w:val="-22"/>
          <w:sz w:val="24"/>
          <w:szCs w:val="24"/>
        </w:rPr>
      </w:pPr>
      <w:r>
        <w:rPr>
          <w:rFonts w:hint="eastAsia"/>
          <w:spacing w:val="-22"/>
          <w:sz w:val="24"/>
          <w:szCs w:val="24"/>
        </w:rPr>
        <w:t>10、施工队在签定劳务施工合同时必须以书面文件形式承诺认可本农民工考勤管理制度。</w:t>
      </w:r>
    </w:p>
    <w:p w14:paraId="30424A3A">
      <w:pPr>
        <w:pStyle w:val="2"/>
        <w:spacing w:before="101" w:line="307" w:lineRule="auto"/>
        <w:ind w:left="1468" w:right="1409" w:firstLine="425"/>
        <w:rPr>
          <w:rFonts w:hint="eastAsia"/>
          <w:spacing w:val="-22"/>
          <w:sz w:val="24"/>
          <w:szCs w:val="24"/>
        </w:rPr>
      </w:pPr>
      <w:r>
        <w:rPr>
          <w:rFonts w:hint="eastAsia"/>
          <w:spacing w:val="-22"/>
          <w:sz w:val="24"/>
          <w:szCs w:val="24"/>
        </w:rPr>
        <w:t>农民工工资支付应急预案</w:t>
      </w:r>
    </w:p>
    <w:p w14:paraId="5D027F70">
      <w:pPr>
        <w:pStyle w:val="2"/>
        <w:spacing w:before="101" w:line="307" w:lineRule="auto"/>
        <w:ind w:left="1468" w:right="1409" w:firstLine="425"/>
        <w:rPr>
          <w:rFonts w:hint="eastAsia"/>
          <w:spacing w:val="-22"/>
          <w:sz w:val="24"/>
          <w:szCs w:val="24"/>
        </w:rPr>
      </w:pPr>
      <w:r>
        <w:rPr>
          <w:rFonts w:hint="eastAsia"/>
          <w:spacing w:val="-22"/>
          <w:sz w:val="24"/>
          <w:szCs w:val="24"/>
        </w:rPr>
        <w:t>坚持以项目部为主，实行项目经理负责制。坚持预防为主，预防结合，在项目经理领导下，各有关部门“快速反应、赶赴现场，协调配合、控制局面、安善处理”，做到早发现、早报告、早控制、早解决，防止矛盾微化和事态扩大，尽快恢复生产、生活和社会秩序，减少或避免经济损失和不良影响，确保社会稳定。</w:t>
      </w:r>
    </w:p>
    <w:p w14:paraId="417F5A3E">
      <w:pPr>
        <w:pStyle w:val="2"/>
        <w:spacing w:before="101" w:line="307" w:lineRule="auto"/>
        <w:ind w:left="1468" w:right="1409" w:firstLine="425"/>
        <w:rPr>
          <w:rFonts w:hint="eastAsia"/>
          <w:spacing w:val="-22"/>
          <w:sz w:val="24"/>
          <w:szCs w:val="24"/>
        </w:rPr>
      </w:pPr>
      <w:r>
        <w:rPr>
          <w:rFonts w:hint="eastAsia"/>
          <w:spacing w:val="-22"/>
          <w:sz w:val="24"/>
          <w:szCs w:val="24"/>
        </w:rPr>
        <w:t>适用范围</w:t>
      </w:r>
    </w:p>
    <w:p w14:paraId="36FB975D">
      <w:pPr>
        <w:pStyle w:val="2"/>
        <w:spacing w:before="101" w:line="307" w:lineRule="auto"/>
        <w:ind w:left="1468" w:right="1409" w:firstLine="425"/>
        <w:rPr>
          <w:rFonts w:hint="eastAsia"/>
          <w:spacing w:val="-22"/>
          <w:sz w:val="24"/>
          <w:szCs w:val="24"/>
        </w:rPr>
      </w:pPr>
      <w:r>
        <w:rPr>
          <w:rFonts w:hint="eastAsia"/>
          <w:spacing w:val="-22"/>
          <w:sz w:val="24"/>
          <w:szCs w:val="24"/>
        </w:rPr>
        <w:t>项目区域内因用人单位拖欠克扣农民工工资引发的突发事件的应急响应，包括:</w:t>
      </w:r>
    </w:p>
    <w:p w14:paraId="54932321">
      <w:pPr>
        <w:pStyle w:val="2"/>
        <w:spacing w:before="101" w:line="307" w:lineRule="auto"/>
        <w:ind w:left="1468" w:right="1409" w:firstLine="425"/>
        <w:rPr>
          <w:rFonts w:hint="eastAsia"/>
          <w:spacing w:val="-22"/>
          <w:sz w:val="24"/>
          <w:szCs w:val="24"/>
        </w:rPr>
      </w:pPr>
      <w:r>
        <w:rPr>
          <w:rFonts w:hint="eastAsia"/>
          <w:spacing w:val="-22"/>
          <w:sz w:val="24"/>
          <w:szCs w:val="24"/>
        </w:rPr>
        <w:t>1.罢工、停工、息工事件；</w:t>
      </w:r>
    </w:p>
    <w:p w14:paraId="57A7CDC2">
      <w:pPr>
        <w:pStyle w:val="2"/>
        <w:spacing w:before="101" w:line="307" w:lineRule="auto"/>
        <w:ind w:left="1468" w:right="1409" w:firstLine="425"/>
        <w:rPr>
          <w:rFonts w:hint="eastAsia"/>
          <w:spacing w:val="-22"/>
          <w:sz w:val="24"/>
          <w:szCs w:val="24"/>
        </w:rPr>
      </w:pPr>
      <w:r>
        <w:rPr>
          <w:rFonts w:hint="eastAsia"/>
          <w:spacing w:val="-22"/>
          <w:sz w:val="24"/>
          <w:szCs w:val="24"/>
        </w:rPr>
        <w:t>2.围堵项目部办公室、场区交通要道事件；</w:t>
      </w:r>
    </w:p>
    <w:p w14:paraId="7F3E6054">
      <w:pPr>
        <w:pStyle w:val="2"/>
        <w:spacing w:before="101" w:line="307" w:lineRule="auto"/>
        <w:ind w:left="1468" w:right="1409" w:firstLine="425"/>
        <w:rPr>
          <w:spacing w:val="-22"/>
          <w:sz w:val="24"/>
          <w:szCs w:val="24"/>
        </w:rPr>
      </w:pPr>
      <w:r>
        <w:rPr>
          <w:rFonts w:hint="eastAsia"/>
          <w:spacing w:val="-22"/>
          <w:sz w:val="24"/>
          <w:szCs w:val="24"/>
        </w:rPr>
        <w:t>3.群殴、致人重伤或死亡事件；</w:t>
      </w:r>
    </w:p>
    <w:p w14:paraId="3C9E309C">
      <w:pPr>
        <w:pStyle w:val="2"/>
        <w:spacing w:before="1" w:line="217" w:lineRule="auto"/>
        <w:ind w:left="1905"/>
        <w:rPr>
          <w:sz w:val="24"/>
          <w:szCs w:val="24"/>
        </w:rPr>
      </w:pPr>
      <w:r>
        <w:rPr>
          <w:spacing w:val="-22"/>
          <w:sz w:val="24"/>
          <w:szCs w:val="24"/>
        </w:rPr>
        <w:t>劳资部门依托公司的劳动力资源优势，抽调考核合格的施工班组，按时段要求</w:t>
      </w:r>
      <w:r>
        <w:rPr>
          <w:spacing w:val="-23"/>
          <w:sz w:val="24"/>
          <w:szCs w:val="24"/>
        </w:rPr>
        <w:t>分批进现场。</w:t>
      </w:r>
    </w:p>
    <w:p w14:paraId="39A43ABF">
      <w:pPr>
        <w:pStyle w:val="2"/>
        <w:spacing w:before="117" w:line="308" w:lineRule="auto"/>
        <w:ind w:left="1463" w:right="1409" w:firstLine="432"/>
        <w:rPr>
          <w:sz w:val="24"/>
          <w:szCs w:val="24"/>
        </w:rPr>
      </w:pPr>
      <w:r>
        <w:rPr>
          <w:spacing w:val="-20"/>
          <w:sz w:val="24"/>
          <w:szCs w:val="24"/>
        </w:rPr>
        <w:t>选择性的借鉴当地施工队伍施工技术，并重点考核，以促进班组工艺上的学习交流和技术</w:t>
      </w:r>
      <w:r>
        <w:rPr>
          <w:spacing w:val="-22"/>
          <w:sz w:val="24"/>
          <w:szCs w:val="24"/>
        </w:rPr>
        <w:t>竞争。</w:t>
      </w:r>
    </w:p>
    <w:p w14:paraId="49DC912A">
      <w:pPr>
        <w:pStyle w:val="2"/>
        <w:spacing w:line="308" w:lineRule="auto"/>
        <w:ind w:left="1460" w:right="1411" w:firstLine="434"/>
        <w:rPr>
          <w:sz w:val="24"/>
          <w:szCs w:val="24"/>
        </w:rPr>
      </w:pPr>
      <w:r>
        <w:rPr>
          <w:spacing w:val="-20"/>
          <w:sz w:val="24"/>
          <w:szCs w:val="24"/>
        </w:rPr>
        <w:t>对已进场的队伍实施动态管理，不允许其擅自扩充和随意抽调，以确保施工队伍的素质和</w:t>
      </w:r>
      <w:r>
        <w:rPr>
          <w:spacing w:val="-19"/>
          <w:sz w:val="24"/>
          <w:szCs w:val="24"/>
        </w:rPr>
        <w:t>人员相对稳定。</w:t>
      </w:r>
    </w:p>
    <w:p w14:paraId="7A1D5721">
      <w:pPr>
        <w:pStyle w:val="2"/>
        <w:spacing w:line="216" w:lineRule="auto"/>
        <w:ind w:left="1892"/>
        <w:rPr>
          <w:sz w:val="24"/>
          <w:szCs w:val="24"/>
        </w:rPr>
      </w:pPr>
      <w:r>
        <w:rPr>
          <w:spacing w:val="-21"/>
          <w:sz w:val="24"/>
          <w:szCs w:val="24"/>
        </w:rPr>
        <w:t>现场管理人员应对现场作业情况有充分的预计，及时调整计</w:t>
      </w:r>
      <w:r>
        <w:rPr>
          <w:spacing w:val="-22"/>
          <w:sz w:val="24"/>
          <w:szCs w:val="24"/>
        </w:rPr>
        <w:t>划。</w:t>
      </w:r>
    </w:p>
    <w:p w14:paraId="15C34999">
      <w:pPr>
        <w:pStyle w:val="2"/>
        <w:spacing w:before="119" w:line="308" w:lineRule="auto"/>
        <w:ind w:left="1463" w:right="1409" w:firstLine="431"/>
        <w:rPr>
          <w:sz w:val="24"/>
          <w:szCs w:val="24"/>
        </w:rPr>
      </w:pPr>
      <w:r>
        <w:rPr>
          <w:spacing w:val="-20"/>
          <w:sz w:val="24"/>
          <w:szCs w:val="24"/>
        </w:rPr>
        <w:t>根据现场情况作好各施工区内的劳动力数量、工种调配工作，以便集中力量对重要部位和</w:t>
      </w:r>
      <w:r>
        <w:rPr>
          <w:spacing w:val="-21"/>
          <w:sz w:val="24"/>
          <w:szCs w:val="24"/>
        </w:rPr>
        <w:t>主控工序进行施工，满足进度需求。</w:t>
      </w:r>
    </w:p>
    <w:p w14:paraId="1A124378">
      <w:pPr>
        <w:pStyle w:val="2"/>
        <w:spacing w:before="2" w:line="306" w:lineRule="auto"/>
        <w:ind w:left="1455" w:right="1410" w:firstLine="439"/>
        <w:rPr>
          <w:sz w:val="24"/>
          <w:szCs w:val="24"/>
        </w:rPr>
      </w:pPr>
      <w:r>
        <w:rPr>
          <w:spacing w:val="-20"/>
          <w:sz w:val="24"/>
          <w:szCs w:val="24"/>
        </w:rPr>
        <w:t>对成品、半成品构件、等需要工厂作业的材料尽量安排到工厂进行半成品加工，公司工人</w:t>
      </w:r>
      <w:r>
        <w:rPr>
          <w:spacing w:val="-22"/>
          <w:sz w:val="24"/>
          <w:szCs w:val="24"/>
        </w:rPr>
        <w:t>现场安装，以节省现场作业量。</w:t>
      </w:r>
    </w:p>
    <w:p w14:paraId="4AD6C1EE">
      <w:pPr>
        <w:spacing w:line="306" w:lineRule="auto"/>
        <w:rPr>
          <w:sz w:val="24"/>
          <w:szCs w:val="24"/>
        </w:rPr>
      </w:pPr>
    </w:p>
    <w:p w14:paraId="70DBFFBF">
      <w:pPr>
        <w:spacing w:line="271" w:lineRule="auto"/>
        <w:rPr>
          <w:rFonts w:ascii="Arial"/>
          <w:sz w:val="21"/>
        </w:rPr>
      </w:pPr>
    </w:p>
    <w:p w14:paraId="6A2C029D">
      <w:pPr>
        <w:pStyle w:val="2"/>
        <w:spacing w:before="78" w:line="216" w:lineRule="auto"/>
        <w:ind w:left="1896"/>
        <w:rPr>
          <w:sz w:val="24"/>
          <w:szCs w:val="24"/>
        </w:rPr>
      </w:pPr>
      <w:r>
        <w:rPr>
          <w:spacing w:val="-21"/>
          <w:sz w:val="24"/>
          <w:szCs w:val="24"/>
        </w:rPr>
        <w:t>必要时安排加班作业，同时作好安全及后勤保障工</w:t>
      </w:r>
      <w:r>
        <w:rPr>
          <w:spacing w:val="-22"/>
          <w:sz w:val="24"/>
          <w:szCs w:val="24"/>
        </w:rPr>
        <w:t>作。</w:t>
      </w:r>
    </w:p>
    <w:p w14:paraId="7AE9802D">
      <w:pPr>
        <w:pStyle w:val="2"/>
        <w:spacing w:before="68" w:line="217" w:lineRule="auto"/>
        <w:ind w:left="3892"/>
        <w:outlineLvl w:val="1"/>
        <w:rPr>
          <w:sz w:val="30"/>
          <w:szCs w:val="30"/>
        </w:rPr>
      </w:pPr>
      <w:bookmarkStart w:id="274" w:name="bookmark262"/>
      <w:bookmarkEnd w:id="274"/>
      <w:r>
        <w:rPr>
          <w:b/>
          <w:bCs/>
          <w:color w:val="0070C0"/>
          <w:spacing w:val="-24"/>
          <w:sz w:val="30"/>
          <w:szCs w:val="30"/>
        </w:rPr>
        <w:t>第三节、劳动力投入计划保证措施</w:t>
      </w:r>
    </w:p>
    <w:p w14:paraId="057849BE">
      <w:pPr>
        <w:pStyle w:val="2"/>
        <w:spacing w:before="62" w:line="219" w:lineRule="auto"/>
        <w:ind w:left="1981"/>
        <w:outlineLvl w:val="2"/>
        <w:rPr>
          <w:sz w:val="28"/>
          <w:szCs w:val="28"/>
        </w:rPr>
      </w:pPr>
      <w:bookmarkStart w:id="275" w:name="bookmark263"/>
      <w:bookmarkEnd w:id="275"/>
      <w:r>
        <w:rPr>
          <w:b/>
          <w:bCs/>
          <w:spacing w:val="-22"/>
          <w:sz w:val="28"/>
          <w:szCs w:val="28"/>
        </w:rPr>
        <w:t>一、劳动力投入计划</w:t>
      </w:r>
    </w:p>
    <w:p w14:paraId="33C5F1C7">
      <w:pPr>
        <w:pStyle w:val="2"/>
        <w:spacing w:before="102" w:line="308" w:lineRule="auto"/>
        <w:ind w:left="1456" w:right="1412" w:firstLine="447"/>
        <w:jc w:val="both"/>
        <w:rPr>
          <w:sz w:val="24"/>
          <w:szCs w:val="24"/>
        </w:rPr>
      </w:pPr>
      <w:r>
        <w:rPr>
          <w:spacing w:val="-22"/>
          <w:sz w:val="24"/>
          <w:szCs w:val="24"/>
        </w:rPr>
        <w:t>1.1、施工劳务层是在施工过程中的实际操作人员，是施工质量、进度、安全、文明施工的</w:t>
      </w:r>
      <w:r>
        <w:rPr>
          <w:spacing w:val="-20"/>
          <w:sz w:val="24"/>
          <w:szCs w:val="24"/>
        </w:rPr>
        <w:t>最直接的保证者。为了保证工程优质、安全、快速地完成施工生产任务，我单位在选择劳务层操作人员时的原则为：</w:t>
      </w:r>
    </w:p>
    <w:p w14:paraId="216DCC89">
      <w:pPr>
        <w:pStyle w:val="2"/>
        <w:spacing w:line="218" w:lineRule="auto"/>
        <w:ind w:left="1903"/>
        <w:rPr>
          <w:sz w:val="24"/>
          <w:szCs w:val="24"/>
        </w:rPr>
      </w:pPr>
      <w:r>
        <w:rPr>
          <w:spacing w:val="-19"/>
          <w:sz w:val="24"/>
          <w:szCs w:val="24"/>
        </w:rPr>
        <w:t>1.1.1、具有良好的质量、安全意识；</w:t>
      </w:r>
    </w:p>
    <w:p w14:paraId="05907A12">
      <w:pPr>
        <w:pStyle w:val="2"/>
        <w:spacing w:before="118" w:line="217" w:lineRule="auto"/>
        <w:ind w:left="1903"/>
        <w:rPr>
          <w:sz w:val="24"/>
          <w:szCs w:val="24"/>
        </w:rPr>
      </w:pPr>
      <w:r>
        <w:rPr>
          <w:spacing w:val="-18"/>
          <w:sz w:val="24"/>
          <w:szCs w:val="24"/>
        </w:rPr>
        <w:t>1.1.2、具有较高的技术等级水平；</w:t>
      </w:r>
    </w:p>
    <w:p w14:paraId="22CE8B97">
      <w:pPr>
        <w:pStyle w:val="2"/>
        <w:spacing w:before="124" w:line="301" w:lineRule="auto"/>
        <w:ind w:left="1455" w:right="1342" w:firstLine="447"/>
        <w:rPr>
          <w:sz w:val="24"/>
          <w:szCs w:val="24"/>
        </w:rPr>
      </w:pPr>
      <w:r>
        <w:rPr>
          <w:spacing w:val="-25"/>
          <w:sz w:val="24"/>
          <w:szCs w:val="24"/>
        </w:rPr>
        <w:t>1.1.3、具有类似于本工程施工经验的人员。我单位从事施工生产多年，有大量的人员稳定、</w:t>
      </w:r>
      <w:r>
        <w:rPr>
          <w:spacing w:val="-20"/>
          <w:sz w:val="24"/>
          <w:szCs w:val="24"/>
        </w:rPr>
        <w:t>技术素质高的施工队伍和管理人员，以及实力雄厚的专业队伍和供应商，能够有效快速地组织劳动力资源进场，在接到业主进场通知后，施工管理人员将及时就位，而施工操作人员将根据</w:t>
      </w:r>
      <w:r>
        <w:rPr>
          <w:spacing w:val="-23"/>
          <w:sz w:val="24"/>
          <w:szCs w:val="24"/>
        </w:rPr>
        <w:t>现场需要分批按时进场，并在项目内部备足各类专业的施工操作人员。</w:t>
      </w:r>
      <w:r>
        <w:rPr>
          <w:spacing w:val="-24"/>
          <w:sz w:val="24"/>
          <w:szCs w:val="24"/>
        </w:rPr>
        <w:t>劳务层的划分为三大类：</w:t>
      </w:r>
      <w:r>
        <w:rPr>
          <w:spacing w:val="-19"/>
          <w:sz w:val="24"/>
          <w:szCs w:val="24"/>
        </w:rPr>
        <w:t>第一类为专业化强的技术工种，其中包括机操工、机修工、维修电工</w:t>
      </w:r>
      <w:r>
        <w:rPr>
          <w:spacing w:val="-20"/>
          <w:sz w:val="24"/>
          <w:szCs w:val="24"/>
        </w:rPr>
        <w:t>、焊工、管道安装工等，这些人员均为我单位曾经参与过类似工程的施工，具有丰富的经验，持有相应之上岗操作证的</w:t>
      </w:r>
      <w:r>
        <w:rPr>
          <w:spacing w:val="-19"/>
          <w:sz w:val="24"/>
          <w:szCs w:val="24"/>
        </w:rPr>
        <w:t>人员。第二类为普通技术工种，包括木工、钢筋工、混凝土工、瓦</w:t>
      </w:r>
      <w:r>
        <w:rPr>
          <w:spacing w:val="-20"/>
          <w:sz w:val="24"/>
          <w:szCs w:val="24"/>
        </w:rPr>
        <w:t>工、粉刷工、电工、管工、通风工等，并以施工过类似工程的施工人员为主进行组建。第三类为非技术工种，此类人员的来源为长期与我单位合作的成建制施工劳务队伍，进场人员具有一定的素质。劳务层组织由人力资源部根据项目每月提供的劳动力计划，在全单位进行平衡调配，同时保证进场人员的各项</w:t>
      </w:r>
      <w:r>
        <w:rPr>
          <w:spacing w:val="-23"/>
          <w:sz w:val="24"/>
          <w:szCs w:val="24"/>
        </w:rPr>
        <w:t>素质达到项目要求，并以不影响施工为最基本原则。根据图纸工程量测</w:t>
      </w:r>
      <w:r>
        <w:rPr>
          <w:spacing w:val="-24"/>
          <w:sz w:val="24"/>
          <w:szCs w:val="24"/>
        </w:rPr>
        <w:t>算，根据施工计划安排，</w:t>
      </w:r>
      <w:r>
        <w:rPr>
          <w:spacing w:val="-20"/>
          <w:sz w:val="24"/>
          <w:szCs w:val="24"/>
        </w:rPr>
        <w:t>同时考虑现场环境、技术间歇、天气等各种因素，并根据以往工程施工经验和工程进度安排情况，高峰期我单位及时投入劳动力。本工程承建范围内的劳动力需求计划详见主要《劳动力计</w:t>
      </w:r>
      <w:r>
        <w:rPr>
          <w:spacing w:val="-29"/>
          <w:sz w:val="24"/>
          <w:szCs w:val="24"/>
        </w:rPr>
        <w:t>划表》。</w:t>
      </w:r>
    </w:p>
    <w:p w14:paraId="143EE668">
      <w:pPr>
        <w:pStyle w:val="2"/>
        <w:spacing w:before="81" w:line="217" w:lineRule="auto"/>
        <w:ind w:left="1986"/>
        <w:outlineLvl w:val="2"/>
        <w:rPr>
          <w:sz w:val="28"/>
          <w:szCs w:val="28"/>
        </w:rPr>
      </w:pPr>
      <w:bookmarkStart w:id="276" w:name="bookmark264"/>
      <w:bookmarkEnd w:id="276"/>
      <w:r>
        <w:rPr>
          <w:b/>
          <w:bCs/>
          <w:spacing w:val="-23"/>
          <w:sz w:val="28"/>
          <w:szCs w:val="28"/>
        </w:rPr>
        <w:t>二、劳动力组织投入保证措施</w:t>
      </w:r>
    </w:p>
    <w:p w14:paraId="69268047">
      <w:pPr>
        <w:pStyle w:val="2"/>
        <w:spacing w:before="105" w:line="308" w:lineRule="auto"/>
        <w:ind w:left="1455" w:right="1410" w:firstLine="436"/>
        <w:rPr>
          <w:sz w:val="24"/>
          <w:szCs w:val="24"/>
        </w:rPr>
      </w:pPr>
      <w:r>
        <w:rPr>
          <w:spacing w:val="-20"/>
          <w:sz w:val="24"/>
          <w:szCs w:val="24"/>
        </w:rPr>
        <w:t>施工中人的因素是关键。无论从管理层到劳务层，人的素质的好坏直接影响到工程质量目</w:t>
      </w:r>
      <w:r>
        <w:rPr>
          <w:spacing w:val="-22"/>
          <w:sz w:val="24"/>
          <w:szCs w:val="24"/>
        </w:rPr>
        <w:t>标的实现。根据项目的情况，我们拟采取以下保证措施。</w:t>
      </w:r>
    </w:p>
    <w:p w14:paraId="198E7593">
      <w:pPr>
        <w:pStyle w:val="2"/>
        <w:spacing w:before="2" w:line="261" w:lineRule="auto"/>
        <w:ind w:left="1458" w:right="1412" w:firstLine="430"/>
        <w:rPr>
          <w:sz w:val="24"/>
          <w:szCs w:val="24"/>
        </w:rPr>
      </w:pPr>
      <w:r>
        <w:rPr>
          <w:spacing w:val="-21"/>
          <w:sz w:val="24"/>
          <w:szCs w:val="24"/>
        </w:rPr>
        <w:t>2.1、为了保证进场工人做到人尽其才提高劳</w:t>
      </w:r>
      <w:r>
        <w:rPr>
          <w:spacing w:val="-22"/>
          <w:sz w:val="24"/>
          <w:szCs w:val="24"/>
        </w:rPr>
        <w:t>动生产力，在劳动力管理上，我们采取区域管</w:t>
      </w:r>
      <w:r>
        <w:rPr>
          <w:spacing w:val="-21"/>
          <w:sz w:val="24"/>
          <w:szCs w:val="24"/>
        </w:rPr>
        <w:t>理与综合管理相结合，岗前、岗中、岗后三位管理相结</w:t>
      </w:r>
      <w:r>
        <w:rPr>
          <w:spacing w:val="-22"/>
          <w:sz w:val="24"/>
          <w:szCs w:val="24"/>
        </w:rPr>
        <w:t>合的原则。</w:t>
      </w:r>
    </w:p>
    <w:p w14:paraId="2773EBBF">
      <w:pPr>
        <w:pStyle w:val="2"/>
        <w:spacing w:before="118" w:line="263" w:lineRule="auto"/>
        <w:ind w:left="1457" w:right="1411" w:firstLine="431"/>
        <w:rPr>
          <w:sz w:val="24"/>
          <w:szCs w:val="24"/>
        </w:rPr>
      </w:pPr>
      <w:r>
        <w:rPr>
          <w:spacing w:val="-21"/>
          <w:sz w:val="24"/>
          <w:szCs w:val="24"/>
        </w:rPr>
        <w:t>2.2、做好宣传工作，使全体施工人员牢固树立</w:t>
      </w:r>
      <w:r>
        <w:rPr>
          <w:spacing w:val="-22"/>
          <w:sz w:val="24"/>
          <w:szCs w:val="24"/>
        </w:rPr>
        <w:t>起“百年大计，质量第一”的质量意识，确保工程质量创优目标的实现。</w:t>
      </w:r>
    </w:p>
    <w:p w14:paraId="1B091426">
      <w:pPr>
        <w:pStyle w:val="2"/>
        <w:spacing w:before="117" w:line="218" w:lineRule="auto"/>
        <w:ind w:left="1888"/>
        <w:rPr>
          <w:sz w:val="24"/>
          <w:szCs w:val="24"/>
        </w:rPr>
      </w:pPr>
      <w:r>
        <w:rPr>
          <w:spacing w:val="-20"/>
          <w:sz w:val="24"/>
          <w:szCs w:val="24"/>
        </w:rPr>
        <w:t>2.3、选派优秀的工程管理人员和施工技术人员组成</w:t>
      </w:r>
      <w:r>
        <w:rPr>
          <w:spacing w:val="-21"/>
          <w:sz w:val="24"/>
          <w:szCs w:val="24"/>
        </w:rPr>
        <w:t>项目管理班子，实施和管理本工程。</w:t>
      </w:r>
    </w:p>
    <w:p w14:paraId="25541B03">
      <w:pPr>
        <w:pStyle w:val="2"/>
        <w:spacing w:before="117" w:line="216" w:lineRule="auto"/>
        <w:ind w:left="1888"/>
        <w:rPr>
          <w:sz w:val="24"/>
          <w:szCs w:val="24"/>
        </w:rPr>
      </w:pPr>
      <w:r>
        <w:rPr>
          <w:spacing w:val="-20"/>
          <w:sz w:val="24"/>
          <w:szCs w:val="24"/>
        </w:rPr>
        <w:t>2.4、选派技术精良的专业施工班组，配备先进的施工机具和</w:t>
      </w:r>
      <w:r>
        <w:rPr>
          <w:spacing w:val="-21"/>
          <w:sz w:val="24"/>
          <w:szCs w:val="24"/>
        </w:rPr>
        <w:t>检测设备，进场施工。</w:t>
      </w:r>
    </w:p>
    <w:p w14:paraId="2E457851">
      <w:pPr>
        <w:pStyle w:val="2"/>
        <w:spacing w:before="120" w:line="261" w:lineRule="auto"/>
        <w:ind w:left="1457" w:right="1354" w:firstLine="431"/>
        <w:rPr>
          <w:sz w:val="24"/>
          <w:szCs w:val="24"/>
        </w:rPr>
      </w:pPr>
      <w:r>
        <w:rPr>
          <w:spacing w:val="-25"/>
          <w:sz w:val="24"/>
          <w:szCs w:val="24"/>
        </w:rPr>
        <w:t>2.5、建立完善的质量负责制，使每位参与本项目施工的人员都明</w:t>
      </w:r>
      <w:r>
        <w:rPr>
          <w:spacing w:val="-26"/>
          <w:sz w:val="24"/>
          <w:szCs w:val="24"/>
        </w:rPr>
        <w:t>确自己的质量目标和责任，</w:t>
      </w:r>
      <w:r>
        <w:rPr>
          <w:spacing w:val="-19"/>
          <w:sz w:val="24"/>
          <w:szCs w:val="24"/>
        </w:rPr>
        <w:t>使工作有的放矢。</w:t>
      </w:r>
    </w:p>
    <w:p w14:paraId="53FD6431">
      <w:pPr>
        <w:pStyle w:val="2"/>
        <w:spacing w:before="119" w:line="264" w:lineRule="auto"/>
        <w:ind w:left="1458" w:right="1412" w:firstLine="430"/>
        <w:rPr>
          <w:sz w:val="24"/>
          <w:szCs w:val="24"/>
        </w:rPr>
      </w:pPr>
      <w:r>
        <w:rPr>
          <w:spacing w:val="-21"/>
          <w:sz w:val="24"/>
          <w:szCs w:val="24"/>
        </w:rPr>
        <w:t>2.6、进场前，对工人进行各种必要的培训，</w:t>
      </w:r>
      <w:r>
        <w:rPr>
          <w:spacing w:val="-22"/>
          <w:sz w:val="24"/>
          <w:szCs w:val="24"/>
        </w:rPr>
        <w:t>特殊、关键的岗位必须持有效的上岗证书才能</w:t>
      </w:r>
      <w:r>
        <w:rPr>
          <w:spacing w:val="-21"/>
          <w:sz w:val="24"/>
          <w:szCs w:val="24"/>
        </w:rPr>
        <w:t>上岗。</w:t>
      </w:r>
    </w:p>
    <w:p w14:paraId="698F5B33">
      <w:pPr>
        <w:pStyle w:val="2"/>
        <w:spacing w:before="114" w:line="217" w:lineRule="auto"/>
        <w:ind w:left="1888"/>
        <w:rPr>
          <w:sz w:val="24"/>
          <w:szCs w:val="24"/>
        </w:rPr>
      </w:pPr>
      <w:r>
        <w:rPr>
          <w:spacing w:val="-20"/>
          <w:sz w:val="24"/>
          <w:szCs w:val="24"/>
        </w:rPr>
        <w:t>2.7、对施工班组进行优化组合，竞争上岗，使工人保持高</w:t>
      </w:r>
      <w:r>
        <w:rPr>
          <w:spacing w:val="-21"/>
          <w:sz w:val="24"/>
          <w:szCs w:val="24"/>
        </w:rPr>
        <w:t>度的责任心和上进心。</w:t>
      </w:r>
    </w:p>
    <w:p w14:paraId="50A156C3">
      <w:pPr>
        <w:pStyle w:val="2"/>
        <w:spacing w:before="78" w:line="264" w:lineRule="auto"/>
        <w:ind w:left="1464" w:right="1411" w:firstLine="423"/>
        <w:rPr>
          <w:sz w:val="24"/>
          <w:szCs w:val="24"/>
        </w:rPr>
      </w:pPr>
      <w:r>
        <w:rPr>
          <w:spacing w:val="-21"/>
          <w:sz w:val="24"/>
          <w:szCs w:val="24"/>
        </w:rPr>
        <w:t>2.8、认真做好班前交底，让工人了解施工方法</w:t>
      </w:r>
      <w:r>
        <w:rPr>
          <w:spacing w:val="-22"/>
          <w:sz w:val="24"/>
          <w:szCs w:val="24"/>
        </w:rPr>
        <w:t>、质量标准、安全注意事项、文明施工要求</w:t>
      </w:r>
      <w:r>
        <w:rPr>
          <w:spacing w:val="-20"/>
          <w:sz w:val="24"/>
          <w:szCs w:val="24"/>
        </w:rPr>
        <w:t>等。</w:t>
      </w:r>
    </w:p>
    <w:p w14:paraId="18E73409">
      <w:pPr>
        <w:pStyle w:val="2"/>
        <w:spacing w:before="112" w:line="263" w:lineRule="auto"/>
        <w:ind w:left="1457" w:right="1411" w:firstLine="431"/>
        <w:rPr>
          <w:sz w:val="24"/>
          <w:szCs w:val="24"/>
        </w:rPr>
      </w:pPr>
      <w:r>
        <w:rPr>
          <w:spacing w:val="-21"/>
          <w:sz w:val="24"/>
          <w:szCs w:val="24"/>
        </w:rPr>
        <w:t>2.9、按劳动力定额组织生产，同时结合实际情</w:t>
      </w:r>
      <w:r>
        <w:rPr>
          <w:spacing w:val="-22"/>
          <w:sz w:val="24"/>
          <w:szCs w:val="24"/>
        </w:rPr>
        <w:t>况对现场人员进行劳动定员，使工人岗位明</w:t>
      </w:r>
      <w:r>
        <w:rPr>
          <w:spacing w:val="-21"/>
          <w:sz w:val="24"/>
          <w:szCs w:val="24"/>
        </w:rPr>
        <w:t>确，职责明确，防止人浮于事、发生窝工等消极现象。</w:t>
      </w:r>
    </w:p>
    <w:p w14:paraId="2CC18826">
      <w:pPr>
        <w:pStyle w:val="2"/>
        <w:spacing w:before="117" w:line="217" w:lineRule="auto"/>
        <w:ind w:left="1888"/>
        <w:rPr>
          <w:sz w:val="24"/>
          <w:szCs w:val="24"/>
        </w:rPr>
      </w:pPr>
      <w:r>
        <w:rPr>
          <w:spacing w:val="-20"/>
          <w:sz w:val="24"/>
          <w:szCs w:val="24"/>
        </w:rPr>
        <w:t>2.10、推行经济承包责任制，使员工的劳动与效</w:t>
      </w:r>
      <w:r>
        <w:rPr>
          <w:spacing w:val="-21"/>
          <w:sz w:val="24"/>
          <w:szCs w:val="24"/>
        </w:rPr>
        <w:t>益挂钩。</w:t>
      </w:r>
    </w:p>
    <w:p w14:paraId="3535666B">
      <w:pPr>
        <w:pStyle w:val="2"/>
        <w:spacing w:before="118" w:line="262" w:lineRule="auto"/>
        <w:ind w:left="1462" w:right="1412" w:firstLine="426"/>
        <w:rPr>
          <w:sz w:val="24"/>
          <w:szCs w:val="24"/>
        </w:rPr>
      </w:pPr>
      <w:r>
        <w:rPr>
          <w:spacing w:val="-18"/>
          <w:sz w:val="24"/>
          <w:szCs w:val="24"/>
        </w:rPr>
        <w:t>2.11、加强劳动纪律管理，施工过程中</w:t>
      </w:r>
      <w:r>
        <w:rPr>
          <w:spacing w:val="-19"/>
          <w:sz w:val="24"/>
          <w:szCs w:val="24"/>
        </w:rPr>
        <w:t>如有违纪屡教不改者、工作不称职者将撤职并调离</w:t>
      </w:r>
      <w:r>
        <w:rPr>
          <w:spacing w:val="-21"/>
          <w:sz w:val="24"/>
          <w:szCs w:val="24"/>
        </w:rPr>
        <w:t>工地，立即组织同等级技工进场，进行人员补</w:t>
      </w:r>
      <w:r>
        <w:rPr>
          <w:spacing w:val="-22"/>
          <w:sz w:val="24"/>
          <w:szCs w:val="24"/>
        </w:rPr>
        <w:t>充。</w:t>
      </w:r>
    </w:p>
    <w:p w14:paraId="4CB4FC2C">
      <w:pPr>
        <w:pStyle w:val="2"/>
        <w:spacing w:before="119" w:line="216" w:lineRule="auto"/>
        <w:ind w:left="1888"/>
        <w:rPr>
          <w:sz w:val="24"/>
          <w:szCs w:val="24"/>
        </w:rPr>
      </w:pPr>
      <w:r>
        <w:rPr>
          <w:spacing w:val="-20"/>
          <w:sz w:val="24"/>
          <w:szCs w:val="24"/>
        </w:rPr>
        <w:t>2.12、建立激励机制，奖罚分明，及时兑现，充分调动工人的积极性。</w:t>
      </w:r>
    </w:p>
    <w:p w14:paraId="126ECB4F">
      <w:pPr>
        <w:pStyle w:val="2"/>
        <w:spacing w:before="119" w:line="277" w:lineRule="auto"/>
        <w:ind w:left="1456" w:right="1412" w:firstLine="432"/>
        <w:rPr>
          <w:sz w:val="24"/>
          <w:szCs w:val="24"/>
        </w:rPr>
      </w:pPr>
      <w:r>
        <w:rPr>
          <w:spacing w:val="-18"/>
          <w:sz w:val="24"/>
          <w:szCs w:val="24"/>
        </w:rPr>
        <w:t>2.13、本工程施工工期紧张，在重要节</w:t>
      </w:r>
      <w:r>
        <w:rPr>
          <w:spacing w:val="-19"/>
          <w:sz w:val="24"/>
          <w:szCs w:val="24"/>
        </w:rPr>
        <w:t>假日、春节等情况下，要提前采取有针对性的预防</w:t>
      </w:r>
      <w:r>
        <w:rPr>
          <w:spacing w:val="-20"/>
          <w:sz w:val="24"/>
          <w:szCs w:val="24"/>
        </w:rPr>
        <w:t>措施，与各班组签订春节期间坚持施工承诺书，严格遵守劳动法关于节假日加班的规定并适当</w:t>
      </w:r>
      <w:r>
        <w:rPr>
          <w:spacing w:val="-21"/>
          <w:sz w:val="24"/>
          <w:szCs w:val="24"/>
        </w:rPr>
        <w:t>给予一定的奖励，保证劳动力稳定，使工人在春节期间和重</w:t>
      </w:r>
      <w:r>
        <w:rPr>
          <w:spacing w:val="-22"/>
          <w:sz w:val="24"/>
          <w:szCs w:val="24"/>
        </w:rPr>
        <w:t>要节假日正常上班。</w:t>
      </w:r>
    </w:p>
    <w:p w14:paraId="6AF3A325">
      <w:pPr>
        <w:pStyle w:val="2"/>
        <w:spacing w:before="119" w:line="263" w:lineRule="auto"/>
        <w:ind w:left="1455" w:right="1411" w:firstLine="432"/>
        <w:rPr>
          <w:sz w:val="24"/>
          <w:szCs w:val="24"/>
        </w:rPr>
      </w:pPr>
      <w:r>
        <w:rPr>
          <w:spacing w:val="-18"/>
          <w:sz w:val="24"/>
          <w:szCs w:val="24"/>
        </w:rPr>
        <w:t>2.14、施工中，根据业主的具体要求调</w:t>
      </w:r>
      <w:r>
        <w:rPr>
          <w:spacing w:val="-19"/>
          <w:sz w:val="24"/>
          <w:szCs w:val="24"/>
        </w:rPr>
        <w:t>配劳动力进场及施工时间的安排，完全可达到加班</w:t>
      </w:r>
      <w:r>
        <w:rPr>
          <w:spacing w:val="-18"/>
          <w:sz w:val="24"/>
          <w:szCs w:val="24"/>
        </w:rPr>
        <w:t>施工的要求。</w:t>
      </w:r>
    </w:p>
    <w:p w14:paraId="346F3476">
      <w:pPr>
        <w:pStyle w:val="2"/>
        <w:spacing w:before="117" w:line="277" w:lineRule="auto"/>
        <w:ind w:left="1455" w:right="1411" w:firstLine="432"/>
        <w:rPr>
          <w:sz w:val="24"/>
          <w:szCs w:val="24"/>
        </w:rPr>
      </w:pPr>
      <w:r>
        <w:rPr>
          <w:spacing w:val="-18"/>
          <w:sz w:val="24"/>
          <w:szCs w:val="24"/>
        </w:rPr>
        <w:t>2.15、做好职工的后勤保障工作，尤其</w:t>
      </w:r>
      <w:r>
        <w:rPr>
          <w:spacing w:val="-19"/>
          <w:sz w:val="24"/>
          <w:szCs w:val="24"/>
        </w:rPr>
        <w:t>在大批人员进场之后，责成有关职能部门的有关人</w:t>
      </w:r>
      <w:r>
        <w:rPr>
          <w:spacing w:val="-20"/>
          <w:sz w:val="24"/>
          <w:szCs w:val="24"/>
        </w:rPr>
        <w:t>员做好后勤工作的安排，主要解决职工的衣、食、住、行等问题。确保职工无后顾之忧，安心</w:t>
      </w:r>
      <w:r>
        <w:rPr>
          <w:spacing w:val="-17"/>
          <w:sz w:val="24"/>
          <w:szCs w:val="24"/>
        </w:rPr>
        <w:t>现场工作。</w:t>
      </w:r>
    </w:p>
    <w:p w14:paraId="008CF0FA">
      <w:pPr>
        <w:pStyle w:val="2"/>
        <w:spacing w:before="121" w:line="262" w:lineRule="auto"/>
        <w:ind w:left="1457" w:right="1353" w:firstLine="431"/>
        <w:rPr>
          <w:sz w:val="24"/>
          <w:szCs w:val="24"/>
        </w:rPr>
      </w:pPr>
      <w:r>
        <w:rPr>
          <w:spacing w:val="-22"/>
          <w:sz w:val="24"/>
          <w:szCs w:val="24"/>
        </w:rPr>
        <w:t>2.16、在本工程范围内根据施工进度的需要对各个</w:t>
      </w:r>
      <w:r>
        <w:rPr>
          <w:spacing w:val="-23"/>
          <w:sz w:val="24"/>
          <w:szCs w:val="24"/>
        </w:rPr>
        <w:t>施工队进行必要的调节，实行动态管理，</w:t>
      </w:r>
      <w:r>
        <w:rPr>
          <w:spacing w:val="-21"/>
          <w:sz w:val="24"/>
          <w:szCs w:val="24"/>
        </w:rPr>
        <w:t>使之合理流动，达到最佳劳动效率。</w:t>
      </w:r>
    </w:p>
    <w:p w14:paraId="61FF2C57">
      <w:pPr>
        <w:pStyle w:val="2"/>
        <w:spacing w:before="118" w:line="262" w:lineRule="auto"/>
        <w:ind w:left="1464" w:right="1461" w:firstLine="423"/>
        <w:rPr>
          <w:sz w:val="24"/>
          <w:szCs w:val="24"/>
        </w:rPr>
      </w:pPr>
      <w:r>
        <w:rPr>
          <w:spacing w:val="-20"/>
          <w:sz w:val="24"/>
          <w:szCs w:val="24"/>
        </w:rPr>
        <w:t>2.17、准备充足的资金，及时支付各专业队伍的劳务费用，保证不拖欠施工人员的工资，</w:t>
      </w:r>
      <w:r>
        <w:rPr>
          <w:spacing w:val="-21"/>
          <w:sz w:val="24"/>
          <w:szCs w:val="24"/>
        </w:rPr>
        <w:t>为施工作业人员的充足准备提供保证。</w:t>
      </w:r>
    </w:p>
    <w:p w14:paraId="65E7BC74">
      <w:pPr>
        <w:pStyle w:val="2"/>
        <w:spacing w:before="119" w:line="262" w:lineRule="auto"/>
        <w:ind w:left="1455" w:right="1412" w:firstLine="432"/>
        <w:rPr>
          <w:sz w:val="24"/>
          <w:szCs w:val="24"/>
        </w:rPr>
      </w:pPr>
      <w:r>
        <w:rPr>
          <w:spacing w:val="-18"/>
          <w:sz w:val="24"/>
          <w:szCs w:val="24"/>
        </w:rPr>
        <w:t>2.18、为了保证劳动力及时到位，我单</w:t>
      </w:r>
      <w:r>
        <w:rPr>
          <w:spacing w:val="-19"/>
          <w:sz w:val="24"/>
          <w:szCs w:val="24"/>
        </w:rPr>
        <w:t>位将成立针对本工程，成立专门的人力资源管理机</w:t>
      </w:r>
      <w:r>
        <w:rPr>
          <w:spacing w:val="-21"/>
          <w:sz w:val="24"/>
          <w:szCs w:val="24"/>
        </w:rPr>
        <w:t>构，指派专门的人员对本工程劳动力进行调配管理。</w:t>
      </w:r>
    </w:p>
    <w:p w14:paraId="119F71A2">
      <w:pPr>
        <w:pStyle w:val="2"/>
        <w:spacing w:before="118" w:line="262" w:lineRule="auto"/>
        <w:ind w:left="1461" w:right="1411" w:firstLine="427"/>
        <w:rPr>
          <w:rFonts w:hint="eastAsia"/>
          <w:spacing w:val="-18"/>
          <w:sz w:val="24"/>
          <w:szCs w:val="24"/>
        </w:rPr>
      </w:pPr>
      <w:r>
        <w:rPr>
          <w:rFonts w:hint="eastAsia"/>
          <w:spacing w:val="-18"/>
          <w:sz w:val="24"/>
          <w:szCs w:val="24"/>
        </w:rPr>
        <w:t>按照“谁承包、谁负责”的原则，工区长对其所管辖的工程范围内的农民工工资发放工作负全面责任，项目经理为最终负责人。</w:t>
      </w:r>
    </w:p>
    <w:p w14:paraId="3F7BF901">
      <w:pPr>
        <w:pStyle w:val="2"/>
        <w:spacing w:before="118" w:line="262" w:lineRule="auto"/>
        <w:ind w:left="1461" w:right="1411" w:firstLine="427"/>
        <w:rPr>
          <w:rFonts w:hint="eastAsia"/>
          <w:spacing w:val="-18"/>
          <w:sz w:val="24"/>
          <w:szCs w:val="24"/>
        </w:rPr>
      </w:pPr>
      <w:r>
        <w:rPr>
          <w:rFonts w:hint="eastAsia"/>
          <w:spacing w:val="-18"/>
          <w:sz w:val="24"/>
          <w:szCs w:val="24"/>
        </w:rPr>
        <w:t>项目经理部认真把好工区结算关，加强责任成本管理，严格分解、明确责任，杜绝劳务协作队伍、工区拖欠农民工工资情况的出现。</w:t>
      </w:r>
    </w:p>
    <w:p w14:paraId="0476C3EE">
      <w:pPr>
        <w:pStyle w:val="2"/>
        <w:spacing w:before="118" w:line="262" w:lineRule="auto"/>
        <w:ind w:left="1461" w:right="1411" w:firstLine="427"/>
        <w:rPr>
          <w:rFonts w:hint="eastAsia"/>
          <w:spacing w:val="-18"/>
          <w:sz w:val="24"/>
          <w:szCs w:val="24"/>
        </w:rPr>
      </w:pPr>
      <w:r>
        <w:rPr>
          <w:rFonts w:hint="eastAsia"/>
          <w:spacing w:val="-18"/>
          <w:sz w:val="24"/>
          <w:szCs w:val="24"/>
        </w:rPr>
        <w:t>项目经理部资金无论如何紧张，必须首先保证各工区农民工的工资支付，并督促劳务协作队伍按时发放农民工工资。</w:t>
      </w:r>
    </w:p>
    <w:p w14:paraId="11EC062D">
      <w:pPr>
        <w:pStyle w:val="2"/>
        <w:spacing w:before="118" w:line="262" w:lineRule="auto"/>
        <w:ind w:left="1461" w:right="1411" w:firstLine="427"/>
        <w:rPr>
          <w:rFonts w:hint="eastAsia"/>
          <w:spacing w:val="-18"/>
          <w:sz w:val="24"/>
          <w:szCs w:val="24"/>
        </w:rPr>
      </w:pPr>
      <w:r>
        <w:rPr>
          <w:rFonts w:hint="eastAsia"/>
          <w:spacing w:val="-18"/>
          <w:sz w:val="24"/>
          <w:szCs w:val="24"/>
        </w:rPr>
        <w:t>为妥善处理劳务协作队伍的劳资纠纷，项目经理部聘请当地的乡镇村领导为廉政监督员，确保民工工资兑现支付，保证工程的顺利进行。</w:t>
      </w:r>
    </w:p>
    <w:p w14:paraId="3A793A11">
      <w:pPr>
        <w:pStyle w:val="2"/>
        <w:spacing w:before="118" w:line="262" w:lineRule="auto"/>
        <w:ind w:left="1461" w:right="1411" w:firstLine="427"/>
        <w:rPr>
          <w:rFonts w:hint="eastAsia"/>
          <w:spacing w:val="-18"/>
          <w:sz w:val="24"/>
          <w:szCs w:val="24"/>
        </w:rPr>
      </w:pPr>
      <w:r>
        <w:rPr>
          <w:rFonts w:hint="eastAsia"/>
          <w:spacing w:val="-18"/>
          <w:sz w:val="24"/>
          <w:szCs w:val="24"/>
        </w:rPr>
        <w:t>监督和责任制度。建设行政主管部门及劳动行政主管部门将对劳动用工五项管理制度落实。项目部必须确保农民工工资发放至每个民工手中，严禁以包代管，杜绝由包工头带领现象发生。各施工工地如未按劳动用工上述管理制度执行，发生农民工投诉上访现象，建设行政主管部门将对项目经理及施工企业记入不良行为记录，情节严重的将记入黑名单，并取消工程所有创优及创标化资格。劳动行政部门将给予劳动保障诚信评价一票否决，情况特别严重的给予媒体曝光，上报省劳动保障黑名单，并按有关法律法规给予行政处罚。</w:t>
      </w:r>
    </w:p>
    <w:p w14:paraId="612843AF">
      <w:pPr>
        <w:pStyle w:val="2"/>
        <w:spacing w:before="118" w:line="262" w:lineRule="auto"/>
        <w:ind w:left="1461" w:right="1411" w:firstLine="427"/>
        <w:rPr>
          <w:rFonts w:hint="eastAsia"/>
          <w:spacing w:val="-18"/>
          <w:sz w:val="24"/>
          <w:szCs w:val="24"/>
        </w:rPr>
      </w:pPr>
      <w:r>
        <w:rPr>
          <w:rFonts w:hint="eastAsia"/>
          <w:spacing w:val="-18"/>
          <w:sz w:val="24"/>
          <w:szCs w:val="24"/>
        </w:rPr>
        <w:t>项目经理部下属劳务协作队伍、工区等不得克扣和拖欠农民工工资，加强监督，发现有以下情况的，对协作队伍、工区长进行经济处罚，情节严重的，将进行清场处理上报公司劳资部挂名。</w:t>
      </w:r>
    </w:p>
    <w:p w14:paraId="0DDC00A3">
      <w:pPr>
        <w:pStyle w:val="2"/>
        <w:spacing w:before="118" w:line="262" w:lineRule="auto"/>
        <w:ind w:left="1461" w:right="1411" w:firstLine="427"/>
        <w:rPr>
          <w:rFonts w:hint="eastAsia"/>
          <w:spacing w:val="-18"/>
          <w:sz w:val="24"/>
          <w:szCs w:val="24"/>
        </w:rPr>
      </w:pPr>
      <w:r>
        <w:rPr>
          <w:rFonts w:hint="eastAsia"/>
          <w:spacing w:val="-18"/>
          <w:sz w:val="24"/>
          <w:szCs w:val="24"/>
        </w:rPr>
        <w:t>劳务协作队伍若出现恶意拖欠农民工工资的情况，经查实，项目部将从其工程结算款中扣除相应金额，直接支付拖欠民工工资，施工协作队伍负责人签字认可，并进行一定的经济处罚，情节严重的，将进行清场处理上报公司劳资部挂名，上报总监办、项目办挂名。</w:t>
      </w:r>
    </w:p>
    <w:p w14:paraId="1CF3D09E">
      <w:pPr>
        <w:pStyle w:val="2"/>
        <w:spacing w:before="118" w:line="262" w:lineRule="auto"/>
        <w:ind w:left="1461" w:right="1411" w:firstLine="427"/>
        <w:rPr>
          <w:rFonts w:hint="eastAsia"/>
          <w:spacing w:val="-18"/>
          <w:sz w:val="24"/>
          <w:szCs w:val="24"/>
        </w:rPr>
      </w:pPr>
      <w:r>
        <w:rPr>
          <w:rFonts w:hint="eastAsia"/>
          <w:spacing w:val="-18"/>
          <w:sz w:val="24"/>
          <w:szCs w:val="24"/>
        </w:rPr>
        <w:t>实施方法</w:t>
      </w:r>
    </w:p>
    <w:p w14:paraId="3A33C443">
      <w:pPr>
        <w:pStyle w:val="2"/>
        <w:spacing w:before="118" w:line="262" w:lineRule="auto"/>
        <w:ind w:left="1461" w:right="1411" w:firstLine="427"/>
        <w:rPr>
          <w:rFonts w:hint="eastAsia"/>
          <w:spacing w:val="-18"/>
          <w:sz w:val="24"/>
          <w:szCs w:val="24"/>
        </w:rPr>
      </w:pPr>
      <w:r>
        <w:rPr>
          <w:rFonts w:hint="eastAsia"/>
          <w:spacing w:val="-18"/>
          <w:sz w:val="24"/>
          <w:szCs w:val="24"/>
        </w:rPr>
        <w:t>准则为规范务工人员工资支付行为，预防和解决拖欠或扣克务工人员工资问题，有效维护广大务工人员的合法权益，促进企业的健康持续发展，根据《中华人民共和国劳动法》、《农民工工资支付管理暂行办法》等有关法律法规以及劳动保障部、建设部，《关于切实解决企业拖欠民工工资问题的通知》和各级政府与主管部门的有关规定，特制定本制度。</w:t>
      </w:r>
    </w:p>
    <w:p w14:paraId="5B16CAC6">
      <w:pPr>
        <w:pStyle w:val="2"/>
        <w:spacing w:before="118" w:line="262" w:lineRule="auto"/>
        <w:ind w:left="1461" w:right="1411" w:firstLine="427"/>
        <w:rPr>
          <w:rFonts w:hint="eastAsia"/>
          <w:spacing w:val="-18"/>
          <w:sz w:val="24"/>
          <w:szCs w:val="24"/>
        </w:rPr>
      </w:pPr>
      <w:r>
        <w:rPr>
          <w:rFonts w:hint="eastAsia"/>
          <w:spacing w:val="-18"/>
          <w:sz w:val="24"/>
          <w:szCs w:val="24"/>
        </w:rPr>
        <w:t>劳动合同的签订项目部在招用民工时，可通过劳务公司的途径，依法与民工签订劳动合同。劳动合同中要明确规定劳动合同期限、工作内容、劳动保护和劳动条件、劳动报酬以及违反劳动合同的责任等内容。其中有关劳动报酬的条款，应明确工资支付标准、支付项目、支付形式、支付时间等内容。</w:t>
      </w:r>
    </w:p>
    <w:p w14:paraId="4D30CC38">
      <w:pPr>
        <w:pStyle w:val="2"/>
        <w:spacing w:before="118" w:line="262" w:lineRule="auto"/>
        <w:ind w:left="1461" w:right="1411" w:firstLine="427"/>
        <w:rPr>
          <w:rFonts w:hint="eastAsia"/>
          <w:spacing w:val="-18"/>
          <w:sz w:val="24"/>
          <w:szCs w:val="24"/>
        </w:rPr>
      </w:pPr>
      <w:r>
        <w:rPr>
          <w:rFonts w:hint="eastAsia"/>
          <w:spacing w:val="-18"/>
          <w:sz w:val="24"/>
          <w:szCs w:val="24"/>
        </w:rPr>
        <w:t>加强对民工工资支付的监控</w:t>
      </w:r>
    </w:p>
    <w:p w14:paraId="750A749B">
      <w:pPr>
        <w:pStyle w:val="2"/>
        <w:spacing w:before="118" w:line="262" w:lineRule="auto"/>
        <w:ind w:left="1461" w:right="1411" w:firstLine="427"/>
        <w:rPr>
          <w:rFonts w:hint="eastAsia"/>
          <w:spacing w:val="-18"/>
          <w:sz w:val="24"/>
          <w:szCs w:val="24"/>
        </w:rPr>
      </w:pPr>
      <w:r>
        <w:rPr>
          <w:rFonts w:hint="eastAsia"/>
          <w:spacing w:val="-18"/>
          <w:sz w:val="24"/>
          <w:szCs w:val="24"/>
        </w:rPr>
        <w:t>项目部应制定内部民工工资支付管理办法，应根据签订的集体合同或劳动合同约定的日期按月支付工资，应将工资直接发放给民工本人，严禁发放给班组长或其他不具备主体资格的组织或个人。项目部应建立民工记工考勤卡，编制民工工资支付清单，如实记录民工姓名、身份证号码、用工天数、支付单位、支付时间、支付对象、支付数额等情况，并保存二年以上备查。项目部可采用银行存折发放工资，或派专人到工地监督每个月民工工资的发放。一旦出现拖欠苗头，要及时采取措施加以解决，避免事态扩大。</w:t>
      </w:r>
    </w:p>
    <w:p w14:paraId="0B637DE3">
      <w:pPr>
        <w:pStyle w:val="2"/>
        <w:spacing w:before="118" w:line="262" w:lineRule="auto"/>
        <w:ind w:left="1461" w:right="1411" w:firstLine="427"/>
        <w:rPr>
          <w:rFonts w:hint="eastAsia"/>
          <w:spacing w:val="-18"/>
          <w:sz w:val="24"/>
          <w:szCs w:val="24"/>
        </w:rPr>
      </w:pPr>
      <w:r>
        <w:rPr>
          <w:rFonts w:hint="eastAsia"/>
          <w:spacing w:val="-18"/>
          <w:sz w:val="24"/>
          <w:szCs w:val="24"/>
        </w:rPr>
        <w:t>各项目部要落实专人负责处理拖欠民工工资投诉工作，成立民工工资应急小组，制定应急预案，及时处理突发事件，让事态从源头上进行遏制。</w:t>
      </w:r>
    </w:p>
    <w:p w14:paraId="5E4D2B37">
      <w:pPr>
        <w:pStyle w:val="2"/>
        <w:spacing w:before="118" w:line="262" w:lineRule="auto"/>
        <w:ind w:left="1461" w:right="1411" w:firstLine="427"/>
        <w:rPr>
          <w:rFonts w:hint="eastAsia"/>
          <w:spacing w:val="-18"/>
          <w:sz w:val="24"/>
          <w:szCs w:val="24"/>
        </w:rPr>
      </w:pPr>
      <w:r>
        <w:rPr>
          <w:rFonts w:hint="eastAsia"/>
          <w:spacing w:val="-18"/>
          <w:sz w:val="24"/>
          <w:szCs w:val="24"/>
        </w:rPr>
        <w:t>施工现场必须设置《民工工资维权告知牌》项目部必须于开工前将《民工工资维权告知牌》设置在“八图二牌”处，如有损坏应及时更换。</w:t>
      </w:r>
    </w:p>
    <w:p w14:paraId="3E0F1C1A">
      <w:pPr>
        <w:pStyle w:val="2"/>
        <w:spacing w:before="118" w:line="262" w:lineRule="auto"/>
        <w:ind w:left="1461" w:right="1411" w:firstLine="427"/>
        <w:rPr>
          <w:rFonts w:hint="eastAsia"/>
          <w:spacing w:val="-18"/>
          <w:sz w:val="24"/>
          <w:szCs w:val="24"/>
        </w:rPr>
      </w:pPr>
      <w:r>
        <w:rPr>
          <w:rFonts w:hint="eastAsia"/>
          <w:spacing w:val="-18"/>
          <w:sz w:val="24"/>
          <w:szCs w:val="24"/>
        </w:rPr>
        <w:t>拖欠民工工资投诉的处理</w:t>
      </w:r>
    </w:p>
    <w:p w14:paraId="46EC4275">
      <w:pPr>
        <w:pStyle w:val="2"/>
        <w:spacing w:before="118" w:line="262" w:lineRule="auto"/>
        <w:ind w:left="1461" w:right="1411" w:firstLine="427"/>
        <w:rPr>
          <w:rFonts w:hint="eastAsia"/>
          <w:spacing w:val="-18"/>
          <w:sz w:val="24"/>
          <w:szCs w:val="24"/>
        </w:rPr>
      </w:pPr>
      <w:r>
        <w:rPr>
          <w:rFonts w:hint="eastAsia"/>
          <w:spacing w:val="-18"/>
          <w:sz w:val="24"/>
          <w:szCs w:val="24"/>
        </w:rPr>
        <w:t>项目部应高度重视拖欠民工工资投诉，对有拖欠民工工资的工程项目，必须采取措施，及时给予解决，避免民工到有关部门投诉。</w:t>
      </w:r>
    </w:p>
    <w:p w14:paraId="17A3F878">
      <w:pPr>
        <w:pStyle w:val="2"/>
        <w:spacing w:before="118" w:line="262" w:lineRule="auto"/>
        <w:ind w:left="1461" w:right="1411" w:firstLine="427"/>
        <w:rPr>
          <w:rFonts w:hint="eastAsia"/>
          <w:spacing w:val="-18"/>
          <w:sz w:val="24"/>
          <w:szCs w:val="24"/>
        </w:rPr>
      </w:pPr>
      <w:r>
        <w:rPr>
          <w:rFonts w:hint="eastAsia"/>
          <w:spacing w:val="-18"/>
          <w:sz w:val="24"/>
          <w:szCs w:val="24"/>
        </w:rPr>
        <w:t>业主或工程总承包企业未按合同约定与建设工程承包企业结清工程款，致使建设工程承包企业拖欠民工工资的，由业主或工程总承包企业先行垫付民工被拖欠的民工工资，先行垫付的工资数额以未结清的工程款为限。</w:t>
      </w:r>
    </w:p>
    <w:p w14:paraId="59426736">
      <w:pPr>
        <w:pStyle w:val="2"/>
        <w:spacing w:before="118" w:line="262" w:lineRule="auto"/>
        <w:ind w:left="1461" w:right="1411" w:firstLine="427"/>
        <w:rPr>
          <w:rFonts w:hint="eastAsia"/>
          <w:spacing w:val="-18"/>
          <w:sz w:val="24"/>
          <w:szCs w:val="24"/>
        </w:rPr>
      </w:pPr>
      <w:r>
        <w:rPr>
          <w:rFonts w:hint="eastAsia"/>
          <w:spacing w:val="-18"/>
          <w:sz w:val="24"/>
          <w:szCs w:val="24"/>
        </w:rPr>
        <w:t>项目经理把民工工资发放给班组长等不具备主体资格的组织或个人，导致拖欠民工工资的，由项目部负责解决所拖欠的民工工资。</w:t>
      </w:r>
    </w:p>
    <w:p w14:paraId="1E461350">
      <w:pPr>
        <w:pStyle w:val="2"/>
        <w:spacing w:before="118" w:line="262" w:lineRule="auto"/>
        <w:ind w:left="1461" w:right="1411" w:firstLine="427"/>
        <w:rPr>
          <w:spacing w:val="-18"/>
          <w:sz w:val="24"/>
          <w:szCs w:val="24"/>
        </w:rPr>
      </w:pPr>
      <w:r>
        <w:rPr>
          <w:rFonts w:hint="eastAsia"/>
          <w:spacing w:val="-18"/>
          <w:sz w:val="24"/>
          <w:szCs w:val="24"/>
        </w:rPr>
        <w:t>若有民工投诉拖欠工资问题，项目部接到相关部门通知后，应立即派项目部处理拖欠民工工资的负责人及项目经理到指定地点处理。已结清工账的，当场确定清欠期限、清欠方式等；未结清工账的，当场确定结清工账的期限、清欠期限、清欠方式等。</w:t>
      </w:r>
    </w:p>
    <w:p w14:paraId="118B5FC9">
      <w:pPr>
        <w:pStyle w:val="2"/>
        <w:spacing w:before="118" w:line="262" w:lineRule="auto"/>
        <w:ind w:left="1461" w:right="1411" w:firstLine="427"/>
        <w:rPr>
          <w:spacing w:val="-18"/>
          <w:sz w:val="24"/>
          <w:szCs w:val="24"/>
        </w:rPr>
      </w:pPr>
    </w:p>
    <w:p w14:paraId="5B460FC6">
      <w:pPr>
        <w:pStyle w:val="2"/>
        <w:spacing w:before="118" w:line="262" w:lineRule="auto"/>
        <w:ind w:left="1461" w:right="1411" w:firstLine="427"/>
        <w:rPr>
          <w:rFonts w:hint="eastAsia" w:eastAsia="仿宋"/>
          <w:b/>
          <w:bCs/>
          <w:color w:val="0070C0"/>
          <w:spacing w:val="-24"/>
          <w:sz w:val="30"/>
          <w:szCs w:val="30"/>
          <w:lang w:val="en-US" w:eastAsia="zh-CN"/>
        </w:rPr>
      </w:pPr>
      <w:r>
        <w:rPr>
          <w:spacing w:val="-18"/>
          <w:sz w:val="24"/>
          <w:szCs w:val="24"/>
        </w:rPr>
        <w:t>2.19、根据本标段施工数量、施工进度</w:t>
      </w:r>
      <w:r>
        <w:rPr>
          <w:spacing w:val="-19"/>
          <w:sz w:val="24"/>
          <w:szCs w:val="24"/>
        </w:rPr>
        <w:t>安排，合理安排和调整劳动力，按照每周、月计划</w:t>
      </w:r>
      <w:r>
        <w:rPr>
          <w:spacing w:val="-21"/>
          <w:sz w:val="24"/>
          <w:szCs w:val="24"/>
        </w:rPr>
        <w:t>完成工程数量，逐月做出劳动力使用计划，保</w:t>
      </w:r>
      <w:r>
        <w:rPr>
          <w:spacing w:val="-22"/>
          <w:sz w:val="24"/>
          <w:szCs w:val="24"/>
        </w:rPr>
        <w:t>证劳动力充足。</w:t>
      </w:r>
      <w:bookmarkStart w:id="277" w:name="bookmark265"/>
      <w:bookmarkEnd w:id="277"/>
    </w:p>
    <w:p w14:paraId="027193D1">
      <w:pPr>
        <w:pStyle w:val="2"/>
        <w:spacing w:before="68" w:line="217" w:lineRule="auto"/>
        <w:ind w:left="4032"/>
        <w:outlineLvl w:val="1"/>
        <w:rPr>
          <w:sz w:val="30"/>
          <w:szCs w:val="30"/>
        </w:rPr>
      </w:pPr>
      <w:r>
        <w:rPr>
          <w:b/>
          <w:bCs/>
          <w:color w:val="0070C0"/>
          <w:spacing w:val="-24"/>
          <w:sz w:val="30"/>
          <w:szCs w:val="30"/>
        </w:rPr>
        <w:t>第四节、对工人素质的控制措施</w:t>
      </w:r>
    </w:p>
    <w:p w14:paraId="5114CA52">
      <w:pPr>
        <w:pStyle w:val="2"/>
        <w:spacing w:before="100" w:line="262" w:lineRule="auto"/>
        <w:ind w:left="1460" w:right="1409" w:firstLine="432"/>
        <w:rPr>
          <w:spacing w:val="-22"/>
          <w:sz w:val="24"/>
          <w:szCs w:val="24"/>
        </w:rPr>
      </w:pPr>
      <w:r>
        <w:rPr>
          <w:spacing w:val="-22"/>
          <w:sz w:val="24"/>
          <w:szCs w:val="24"/>
        </w:rPr>
        <w:t>（1）我们自选要选用专业施工人员，利用专业施工队，以最熟练、最直接的方法做到最佳效果。</w:t>
      </w:r>
    </w:p>
    <w:p w14:paraId="4A68BF3E">
      <w:pPr>
        <w:pStyle w:val="2"/>
        <w:spacing w:before="100" w:line="262" w:lineRule="auto"/>
        <w:ind w:left="1460" w:right="1409" w:firstLine="432"/>
        <w:rPr>
          <w:spacing w:val="-22"/>
          <w:sz w:val="24"/>
          <w:szCs w:val="24"/>
        </w:rPr>
      </w:pPr>
      <w:r>
        <w:rPr>
          <w:spacing w:val="-22"/>
          <w:sz w:val="24"/>
          <w:szCs w:val="24"/>
        </w:rPr>
        <w:t>（2）以合理的工价，严格的达标管理，制订奖罚办法，按工种单价提取一定的奖金额给达到工种优秀标准的工人。</w:t>
      </w:r>
    </w:p>
    <w:p w14:paraId="30837BD6">
      <w:pPr>
        <w:pStyle w:val="2"/>
        <w:spacing w:before="100" w:line="262" w:lineRule="auto"/>
        <w:ind w:left="1460" w:right="1409" w:firstLine="432"/>
        <w:rPr>
          <w:spacing w:val="-22"/>
          <w:sz w:val="24"/>
          <w:szCs w:val="24"/>
        </w:rPr>
      </w:pPr>
      <w:r>
        <w:rPr>
          <w:spacing w:val="-22"/>
          <w:sz w:val="24"/>
          <w:szCs w:val="24"/>
        </w:rPr>
        <w:t>（3）工衣、工鞋、床上用品、蚊帐等均统一免费提供，工人外衣统一由专人负责机洗，提高工人各项福利。</w:t>
      </w:r>
    </w:p>
    <w:p w14:paraId="73E41D9C">
      <w:pPr>
        <w:pStyle w:val="2"/>
        <w:spacing w:before="100" w:line="262" w:lineRule="auto"/>
        <w:ind w:left="1460" w:right="1409" w:firstLine="432"/>
        <w:rPr>
          <w:spacing w:val="-22"/>
          <w:sz w:val="24"/>
          <w:szCs w:val="24"/>
        </w:rPr>
      </w:pPr>
      <w:r>
        <w:rPr>
          <w:spacing w:val="-22"/>
          <w:sz w:val="24"/>
          <w:szCs w:val="24"/>
        </w:rPr>
        <w:t>（4）提供数量充足、性能完备的施工机具给予工人发挥技术水平的最大空间。</w:t>
      </w:r>
    </w:p>
    <w:p w14:paraId="5E6467AA">
      <w:pPr>
        <w:pStyle w:val="2"/>
        <w:spacing w:before="100" w:line="262" w:lineRule="auto"/>
        <w:ind w:left="1460" w:right="1409" w:firstLine="432"/>
        <w:rPr>
          <w:spacing w:val="-22"/>
          <w:sz w:val="24"/>
          <w:szCs w:val="24"/>
        </w:rPr>
      </w:pPr>
      <w:r>
        <w:rPr>
          <w:spacing w:val="-22"/>
          <w:sz w:val="24"/>
          <w:szCs w:val="24"/>
        </w:rPr>
        <w:t>（5）对进场的施工人员进行严格的资格审查。</w:t>
      </w:r>
    </w:p>
    <w:p w14:paraId="493BE3E4">
      <w:pPr>
        <w:pStyle w:val="2"/>
        <w:spacing w:before="100" w:line="262" w:lineRule="auto"/>
        <w:ind w:left="1460" w:right="1409" w:firstLine="432"/>
        <w:rPr>
          <w:rFonts w:hint="eastAsia"/>
          <w:spacing w:val="-22"/>
          <w:sz w:val="24"/>
          <w:szCs w:val="24"/>
        </w:rPr>
      </w:pPr>
      <w:r>
        <w:rPr>
          <w:rFonts w:hint="eastAsia"/>
          <w:spacing w:val="-22"/>
          <w:sz w:val="24"/>
          <w:szCs w:val="24"/>
        </w:rPr>
        <w:t>建立联合工会，工会的作用是为职工群众说话办事。联合工会将进一步加强我单位和作业层之间的沟通联系，及时为困难职工群体办实事，帮助他们排忧解难。</w:t>
      </w:r>
    </w:p>
    <w:p w14:paraId="5962AD2B">
      <w:pPr>
        <w:pStyle w:val="2"/>
        <w:spacing w:before="100" w:line="262" w:lineRule="auto"/>
        <w:ind w:left="1460" w:right="1409" w:firstLine="432"/>
        <w:rPr>
          <w:rFonts w:hint="eastAsia"/>
          <w:spacing w:val="-22"/>
          <w:sz w:val="24"/>
          <w:szCs w:val="24"/>
        </w:rPr>
      </w:pPr>
      <w:r>
        <w:rPr>
          <w:rFonts w:hint="eastAsia"/>
          <w:spacing w:val="-22"/>
          <w:sz w:val="24"/>
          <w:szCs w:val="24"/>
        </w:rPr>
        <w:t>执行8小时工作制，需进行夜间加班时，提前做好组织、安排，发放加班工资，并安排夜餐。</w:t>
      </w:r>
    </w:p>
    <w:p w14:paraId="42151625">
      <w:pPr>
        <w:pStyle w:val="2"/>
        <w:spacing w:before="100" w:line="262" w:lineRule="auto"/>
        <w:ind w:left="1460" w:right="1409" w:firstLine="432"/>
        <w:rPr>
          <w:rFonts w:hint="eastAsia"/>
          <w:spacing w:val="-22"/>
          <w:sz w:val="24"/>
          <w:szCs w:val="24"/>
        </w:rPr>
      </w:pPr>
      <w:r>
        <w:rPr>
          <w:rFonts w:hint="eastAsia"/>
          <w:spacing w:val="-22"/>
          <w:sz w:val="24"/>
          <w:szCs w:val="24"/>
        </w:rPr>
        <w:t>支持和推动贯彻落实社会保障政策，联合工会将加强对劳务的监督管理，定期检查工人工资的发放状况。</w:t>
      </w:r>
    </w:p>
    <w:p w14:paraId="66B01BCC">
      <w:pPr>
        <w:pStyle w:val="2"/>
        <w:spacing w:before="100" w:line="262" w:lineRule="auto"/>
        <w:ind w:left="1460" w:right="1409" w:firstLine="432"/>
        <w:rPr>
          <w:rFonts w:hint="eastAsia"/>
          <w:spacing w:val="-22"/>
          <w:sz w:val="24"/>
          <w:szCs w:val="24"/>
        </w:rPr>
      </w:pPr>
      <w:r>
        <w:rPr>
          <w:rFonts w:hint="eastAsia"/>
          <w:spacing w:val="-22"/>
          <w:sz w:val="24"/>
          <w:szCs w:val="24"/>
        </w:rPr>
        <w:t>在工人的安全健康方面，坚持“安全第一、预防为主、群防群治、依法监督”的原则，联合工会将开展多种形式的安全生产监督检查活动，积极推动劳动安全卫生监督检查体系的建立健全，确保工人的劳动安全。</w:t>
      </w:r>
    </w:p>
    <w:p w14:paraId="51C08F21">
      <w:pPr>
        <w:pStyle w:val="2"/>
        <w:spacing w:before="100" w:line="262" w:lineRule="auto"/>
        <w:ind w:left="1460" w:right="1409" w:firstLine="432"/>
        <w:rPr>
          <w:rFonts w:hint="eastAsia"/>
          <w:spacing w:val="-22"/>
          <w:sz w:val="24"/>
          <w:szCs w:val="24"/>
        </w:rPr>
      </w:pPr>
      <w:r>
        <w:rPr>
          <w:rFonts w:hint="eastAsia"/>
          <w:spacing w:val="-22"/>
          <w:sz w:val="24"/>
          <w:szCs w:val="24"/>
        </w:rPr>
        <w:t>联合工会成立后要加强组织建设工作。让部分思想先进，能够代表大多数工人想法的职工加入工会组织，出现不能解决或解决起来困难的问题时，及时在联合工会内部反应。</w:t>
      </w:r>
    </w:p>
    <w:p w14:paraId="39BCABB0">
      <w:pPr>
        <w:pStyle w:val="2"/>
        <w:spacing w:before="100" w:line="262" w:lineRule="auto"/>
        <w:ind w:left="1460" w:right="1409" w:firstLine="432"/>
        <w:rPr>
          <w:rFonts w:hint="eastAsia"/>
          <w:spacing w:val="-22"/>
          <w:sz w:val="24"/>
          <w:szCs w:val="24"/>
        </w:rPr>
      </w:pPr>
      <w:r>
        <w:rPr>
          <w:rFonts w:hint="eastAsia"/>
          <w:spacing w:val="-22"/>
          <w:sz w:val="24"/>
          <w:szCs w:val="24"/>
        </w:rPr>
        <w:t>联合工会的成立扩大原有单一工会的工作范围，凡是涉及工人切身利益的事情，工会就有责任有义务代表工人出面解决。包括拖欠工资、出现工伤事故、劳动保护等，以保护工人的合法权益。</w:t>
      </w:r>
    </w:p>
    <w:p w14:paraId="365087EC">
      <w:pPr>
        <w:pStyle w:val="2"/>
        <w:spacing w:before="100" w:line="262" w:lineRule="auto"/>
        <w:ind w:left="1460" w:right="1409" w:firstLine="432"/>
        <w:rPr>
          <w:rFonts w:hint="eastAsia"/>
          <w:spacing w:val="-22"/>
          <w:sz w:val="24"/>
          <w:szCs w:val="24"/>
        </w:rPr>
      </w:pPr>
      <w:r>
        <w:rPr>
          <w:rFonts w:hint="eastAsia"/>
          <w:spacing w:val="-22"/>
          <w:sz w:val="24"/>
          <w:szCs w:val="24"/>
        </w:rPr>
        <w:t>通过联合工会组织，积极组织开展学习法律法规活动，教育工人懂得依法维权。</w:t>
      </w:r>
    </w:p>
    <w:p w14:paraId="32B725E4">
      <w:pPr>
        <w:pStyle w:val="2"/>
        <w:spacing w:before="100" w:line="262" w:lineRule="auto"/>
        <w:ind w:left="1460" w:right="1409" w:firstLine="432"/>
        <w:rPr>
          <w:rFonts w:hint="eastAsia"/>
          <w:spacing w:val="-22"/>
          <w:sz w:val="24"/>
          <w:szCs w:val="24"/>
        </w:rPr>
      </w:pPr>
      <w:r>
        <w:rPr>
          <w:rFonts w:hint="eastAsia"/>
          <w:spacing w:val="-22"/>
          <w:sz w:val="24"/>
          <w:szCs w:val="24"/>
        </w:rPr>
        <w:t>提供数量充足、性能完备的施工机具给予工人发挥技术水平的最大空间。</w:t>
      </w:r>
    </w:p>
    <w:p w14:paraId="7D87FE05">
      <w:pPr>
        <w:pStyle w:val="2"/>
        <w:spacing w:before="100" w:line="262" w:lineRule="auto"/>
        <w:ind w:left="1460" w:right="1409" w:firstLine="432"/>
        <w:rPr>
          <w:spacing w:val="-22"/>
          <w:sz w:val="24"/>
          <w:szCs w:val="24"/>
        </w:rPr>
      </w:pPr>
      <w:r>
        <w:rPr>
          <w:rFonts w:hint="eastAsia"/>
          <w:spacing w:val="-22"/>
          <w:sz w:val="24"/>
          <w:szCs w:val="24"/>
        </w:rPr>
        <w:t>对进场的施工人员进行严格的资格审查。</w:t>
      </w:r>
    </w:p>
    <w:p w14:paraId="2CFFA1EF">
      <w:pPr>
        <w:pStyle w:val="2"/>
        <w:spacing w:before="68" w:line="217" w:lineRule="auto"/>
        <w:ind w:left="4171"/>
        <w:outlineLvl w:val="1"/>
        <w:rPr>
          <w:sz w:val="30"/>
          <w:szCs w:val="30"/>
        </w:rPr>
      </w:pPr>
      <w:bookmarkStart w:id="278" w:name="bookmark266"/>
      <w:bookmarkEnd w:id="278"/>
      <w:r>
        <w:rPr>
          <w:b/>
          <w:bCs/>
          <w:color w:val="0070C0"/>
          <w:spacing w:val="-24"/>
          <w:sz w:val="30"/>
          <w:szCs w:val="30"/>
        </w:rPr>
        <w:t>第五节、劳动力现场管理办法</w:t>
      </w:r>
    </w:p>
    <w:p w14:paraId="3C3C280F">
      <w:pPr>
        <w:pStyle w:val="2"/>
        <w:spacing w:before="101" w:line="307" w:lineRule="auto"/>
        <w:ind w:left="1462" w:right="1410" w:firstLine="439"/>
        <w:rPr>
          <w:sz w:val="24"/>
          <w:szCs w:val="24"/>
        </w:rPr>
      </w:pPr>
      <w:r>
        <w:rPr>
          <w:spacing w:val="-20"/>
          <w:sz w:val="24"/>
          <w:szCs w:val="24"/>
        </w:rPr>
        <w:t>为建立健全和完善劳务分包制度、规范劳务用工管理，维护施工现场秩序，建设文明、安</w:t>
      </w:r>
      <w:r>
        <w:rPr>
          <w:spacing w:val="-21"/>
          <w:sz w:val="24"/>
          <w:szCs w:val="24"/>
        </w:rPr>
        <w:t>全、和谐的工地环境，特制定本劳动力现场管</w:t>
      </w:r>
      <w:r>
        <w:rPr>
          <w:spacing w:val="-22"/>
          <w:sz w:val="24"/>
          <w:szCs w:val="24"/>
        </w:rPr>
        <w:t>理办法。</w:t>
      </w:r>
    </w:p>
    <w:p w14:paraId="42C0B8D0">
      <w:pPr>
        <w:pStyle w:val="2"/>
        <w:spacing w:before="316" w:line="218" w:lineRule="auto"/>
        <w:ind w:left="1981"/>
        <w:outlineLvl w:val="2"/>
        <w:rPr>
          <w:sz w:val="28"/>
          <w:szCs w:val="28"/>
        </w:rPr>
      </w:pPr>
      <w:bookmarkStart w:id="279" w:name="bookmark267"/>
      <w:bookmarkEnd w:id="279"/>
      <w:r>
        <w:rPr>
          <w:b/>
          <w:bCs/>
          <w:spacing w:val="-22"/>
          <w:sz w:val="28"/>
          <w:szCs w:val="28"/>
        </w:rPr>
        <w:t>一、进场阶段的管理</w:t>
      </w:r>
    </w:p>
    <w:p w14:paraId="0F086419">
      <w:pPr>
        <w:pStyle w:val="2"/>
        <w:spacing w:before="107" w:line="289" w:lineRule="auto"/>
        <w:ind w:left="1456" w:right="1351" w:firstLine="436"/>
        <w:rPr>
          <w:sz w:val="24"/>
          <w:szCs w:val="24"/>
        </w:rPr>
      </w:pPr>
      <w:r>
        <w:rPr>
          <w:spacing w:val="-22"/>
          <w:sz w:val="24"/>
          <w:szCs w:val="24"/>
        </w:rPr>
        <w:t>（1）劳务人员情况登记表及暂住证办理。被选择好的劳务队伍，由劳务分包单</w:t>
      </w:r>
      <w:r>
        <w:rPr>
          <w:spacing w:val="-23"/>
          <w:sz w:val="24"/>
          <w:szCs w:val="24"/>
        </w:rPr>
        <w:t>位负责人或</w:t>
      </w:r>
      <w:r>
        <w:rPr>
          <w:spacing w:val="-20"/>
          <w:sz w:val="24"/>
          <w:szCs w:val="24"/>
        </w:rPr>
        <w:t>班组长组织对每一位劳务人员进行身份等登记（包括身份证号码、常住地址等）、并填写表格</w:t>
      </w:r>
      <w:r>
        <w:rPr>
          <w:spacing w:val="-27"/>
          <w:sz w:val="24"/>
          <w:szCs w:val="24"/>
        </w:rPr>
        <w:t>（每人一份）。登记劳务人员基本情况（现工种、该工种工龄、有无犯罪违法史、家庭人员等</w:t>
      </w:r>
      <w:r>
        <w:rPr>
          <w:spacing w:val="-60"/>
          <w:sz w:val="24"/>
          <w:szCs w:val="24"/>
        </w:rPr>
        <w:t>），</w:t>
      </w:r>
      <w:r>
        <w:rPr>
          <w:spacing w:val="-20"/>
          <w:sz w:val="24"/>
          <w:szCs w:val="24"/>
        </w:rPr>
        <w:t>将相关登记资料、填写成劳务人员花名册交项目部；项目部认为有必要时，可以通过派出所等</w:t>
      </w:r>
      <w:r>
        <w:rPr>
          <w:spacing w:val="-21"/>
          <w:sz w:val="24"/>
          <w:szCs w:val="24"/>
        </w:rPr>
        <w:t>机构进行身份确认；由劳务分包单位负责人或班组长给其劳</w:t>
      </w:r>
      <w:r>
        <w:rPr>
          <w:spacing w:val="-22"/>
          <w:sz w:val="24"/>
          <w:szCs w:val="24"/>
        </w:rPr>
        <w:t>务人员办理暂住证。</w:t>
      </w:r>
    </w:p>
    <w:p w14:paraId="4854FD79">
      <w:pPr>
        <w:pStyle w:val="2"/>
        <w:spacing w:before="119" w:line="263" w:lineRule="auto"/>
        <w:ind w:left="1458" w:right="1434" w:firstLine="434"/>
        <w:rPr>
          <w:sz w:val="24"/>
          <w:szCs w:val="24"/>
        </w:rPr>
      </w:pPr>
      <w:r>
        <w:rPr>
          <w:spacing w:val="-23"/>
          <w:sz w:val="24"/>
          <w:szCs w:val="24"/>
        </w:rPr>
        <w:t>（2）三级安全教育。对进场的各工种劳务人员进行岗前三级安全教育，由项目部安全员主</w:t>
      </w:r>
      <w:r>
        <w:rPr>
          <w:spacing w:val="-21"/>
          <w:sz w:val="24"/>
          <w:szCs w:val="24"/>
        </w:rPr>
        <w:t>持、劳务分包负责人或班组长协助组织，其教育内容包括：</w:t>
      </w:r>
    </w:p>
    <w:p w14:paraId="59F781CC">
      <w:pPr>
        <w:pStyle w:val="2"/>
        <w:spacing w:before="116" w:line="262" w:lineRule="auto"/>
        <w:ind w:left="1463" w:right="1422" w:firstLine="439"/>
        <w:rPr>
          <w:sz w:val="24"/>
          <w:szCs w:val="24"/>
        </w:rPr>
      </w:pPr>
      <w:r>
        <w:rPr>
          <w:spacing w:val="-23"/>
          <w:sz w:val="24"/>
          <w:szCs w:val="24"/>
        </w:rPr>
        <w:t>1）介绍本班组本工种的特点、范围、作业环境、设备状况，安全保护设施及操作知识等。</w:t>
      </w:r>
      <w:r>
        <w:rPr>
          <w:spacing w:val="-22"/>
          <w:sz w:val="24"/>
          <w:szCs w:val="24"/>
        </w:rPr>
        <w:t>重点介绍可能发生伤害事故的各种危险因素和危险部位，可用一些典型事故实例去剖析讲解。</w:t>
      </w:r>
    </w:p>
    <w:p w14:paraId="71EAC090">
      <w:pPr>
        <w:pStyle w:val="2"/>
        <w:spacing w:before="120" w:line="261" w:lineRule="auto"/>
        <w:ind w:left="1454" w:right="1412" w:firstLine="433"/>
        <w:rPr>
          <w:sz w:val="24"/>
          <w:szCs w:val="24"/>
        </w:rPr>
      </w:pPr>
      <w:r>
        <w:rPr>
          <w:spacing w:val="-22"/>
          <w:sz w:val="24"/>
          <w:szCs w:val="24"/>
        </w:rPr>
        <w:t>2）讲解本工种安全操作规程和岗位责任及有关安全注意事项，使劳务人员真正从思想上重视安全生产，要求劳务人员自觉遵守安全操作规范，做到不违章作业。</w:t>
      </w:r>
    </w:p>
    <w:p w14:paraId="77A00EA9">
      <w:pPr>
        <w:pStyle w:val="2"/>
        <w:spacing w:before="120" w:line="262" w:lineRule="auto"/>
        <w:ind w:left="1458" w:right="1430" w:firstLine="432"/>
        <w:rPr>
          <w:sz w:val="24"/>
          <w:szCs w:val="24"/>
        </w:rPr>
      </w:pPr>
      <w:r>
        <w:rPr>
          <w:spacing w:val="-22"/>
          <w:sz w:val="24"/>
          <w:szCs w:val="24"/>
        </w:rPr>
        <w:t>3）教育劳务人员处理事故隐患或发生了事故</w:t>
      </w:r>
      <w:r>
        <w:rPr>
          <w:spacing w:val="-23"/>
          <w:sz w:val="24"/>
          <w:szCs w:val="24"/>
        </w:rPr>
        <w:t>应对机制，其应对机制为及时报告班组长、领</w:t>
      </w:r>
      <w:r>
        <w:rPr>
          <w:spacing w:val="-21"/>
          <w:sz w:val="24"/>
          <w:szCs w:val="24"/>
        </w:rPr>
        <w:t>导或有关人员，并学会如何紧急处理险情。</w:t>
      </w:r>
    </w:p>
    <w:p w14:paraId="2113DA6F">
      <w:pPr>
        <w:pStyle w:val="2"/>
        <w:spacing w:before="117" w:line="217" w:lineRule="auto"/>
        <w:ind w:left="1884"/>
        <w:rPr>
          <w:sz w:val="24"/>
          <w:szCs w:val="24"/>
        </w:rPr>
      </w:pPr>
      <w:r>
        <w:rPr>
          <w:spacing w:val="-21"/>
          <w:sz w:val="24"/>
          <w:szCs w:val="24"/>
        </w:rPr>
        <w:t>4）讲解正确使用劳动保护用品及其保管方法和文明生产的要求。</w:t>
      </w:r>
    </w:p>
    <w:p w14:paraId="3DB5B34D">
      <w:pPr>
        <w:pStyle w:val="2"/>
        <w:spacing w:before="120" w:line="307" w:lineRule="auto"/>
        <w:ind w:left="1460" w:right="1410" w:firstLine="433"/>
        <w:rPr>
          <w:sz w:val="24"/>
          <w:szCs w:val="24"/>
        </w:rPr>
      </w:pPr>
      <w:r>
        <w:rPr>
          <w:spacing w:val="-20"/>
          <w:sz w:val="24"/>
          <w:szCs w:val="24"/>
        </w:rPr>
        <w:t>培训教育结束后，由项目部或劳务分包负责人、班组长对劳务人员进行考核，经考核合格人员方可上岗作业。</w:t>
      </w:r>
    </w:p>
    <w:p w14:paraId="5BED1C6A">
      <w:pPr>
        <w:pStyle w:val="2"/>
        <w:spacing w:before="6" w:line="307" w:lineRule="auto"/>
        <w:ind w:left="1458" w:right="1345" w:firstLine="432"/>
        <w:jc w:val="both"/>
        <w:rPr>
          <w:sz w:val="24"/>
          <w:szCs w:val="24"/>
        </w:rPr>
      </w:pPr>
      <w:r>
        <w:rPr>
          <w:spacing w:val="-22"/>
          <w:sz w:val="24"/>
          <w:szCs w:val="24"/>
        </w:rPr>
        <w:t>5）班组安全教育的重点是岗位安全基础教育，主要由班组长和安全员负责教育。安</w:t>
      </w:r>
      <w:r>
        <w:rPr>
          <w:spacing w:val="-23"/>
          <w:sz w:val="24"/>
          <w:szCs w:val="24"/>
        </w:rPr>
        <w:t>全操作</w:t>
      </w:r>
      <w:r>
        <w:rPr>
          <w:spacing w:val="-20"/>
          <w:sz w:val="24"/>
          <w:szCs w:val="24"/>
        </w:rPr>
        <w:t>法和岗位技能教育可由安全员、培训员或包教师傅传授。劳务人员只有经过三级安全教育并经逐级考核全部合格后，方可上岗。三级安全教育成绩应填入职工安全教育卡，存档备查。对于</w:t>
      </w:r>
      <w:r>
        <w:rPr>
          <w:spacing w:val="-23"/>
          <w:sz w:val="24"/>
          <w:szCs w:val="24"/>
        </w:rPr>
        <w:t>三级安全教育第一次考核不合格者，可进行再次补考，</w:t>
      </w:r>
      <w:r>
        <w:rPr>
          <w:spacing w:val="-24"/>
          <w:sz w:val="24"/>
          <w:szCs w:val="24"/>
        </w:rPr>
        <w:t>第二次仍不通过者，对该人员进行批评、</w:t>
      </w:r>
      <w:r>
        <w:rPr>
          <w:spacing w:val="-20"/>
          <w:sz w:val="24"/>
          <w:szCs w:val="24"/>
        </w:rPr>
        <w:t>检讨、罚款、开除等处罚，由班组长、安全员、培训员或包教师傅再次传授现场安全三级教育</w:t>
      </w:r>
      <w:r>
        <w:rPr>
          <w:spacing w:val="-21"/>
          <w:sz w:val="24"/>
          <w:szCs w:val="24"/>
        </w:rPr>
        <w:t>后进行考核，不通过者严禁上岗。</w:t>
      </w:r>
    </w:p>
    <w:p w14:paraId="23C95797">
      <w:pPr>
        <w:pStyle w:val="2"/>
        <w:spacing w:before="2" w:line="303" w:lineRule="auto"/>
        <w:ind w:left="1456" w:right="1339" w:firstLine="436"/>
        <w:rPr>
          <w:sz w:val="24"/>
          <w:szCs w:val="24"/>
        </w:rPr>
      </w:pPr>
      <w:r>
        <w:rPr>
          <w:spacing w:val="-26"/>
          <w:sz w:val="24"/>
          <w:szCs w:val="24"/>
        </w:rPr>
        <w:t>（3）生活区管理。由项目部负责在进场阶段完成对劳务人员相关生活硬件（住宿棚、餐厅、</w:t>
      </w:r>
      <w:r>
        <w:rPr>
          <w:spacing w:val="-19"/>
          <w:sz w:val="24"/>
          <w:szCs w:val="24"/>
        </w:rPr>
        <w:t>卫生间等）及配套设施的建设（床、餐具、简易家具等</w:t>
      </w:r>
      <w:r>
        <w:rPr>
          <w:spacing w:val="-14"/>
          <w:sz w:val="24"/>
          <w:szCs w:val="24"/>
        </w:rPr>
        <w:t>），</w:t>
      </w:r>
      <w:r>
        <w:rPr>
          <w:spacing w:val="-19"/>
          <w:sz w:val="24"/>
          <w:szCs w:val="24"/>
        </w:rPr>
        <w:t>并对其进行登记，制定财产目录；</w:t>
      </w:r>
      <w:r>
        <w:rPr>
          <w:spacing w:val="-20"/>
          <w:sz w:val="24"/>
          <w:szCs w:val="24"/>
        </w:rPr>
        <w:t>制定生活各方面的具体制度（如住宿制度、作息时间制度、用电用水制度、环境卫生制度、赔偿制度等</w:t>
      </w:r>
      <w:r>
        <w:rPr>
          <w:spacing w:val="-7"/>
          <w:sz w:val="24"/>
          <w:szCs w:val="24"/>
        </w:rPr>
        <w:t>），</w:t>
      </w:r>
      <w:r>
        <w:rPr>
          <w:spacing w:val="-20"/>
          <w:sz w:val="24"/>
          <w:szCs w:val="24"/>
        </w:rPr>
        <w:t>由后勤管理人员进行管理，并对生活区</w:t>
      </w:r>
      <w:r>
        <w:rPr>
          <w:spacing w:val="-21"/>
          <w:sz w:val="24"/>
          <w:szCs w:val="24"/>
        </w:rPr>
        <w:t>安全、卫生等情况进行考核，在后勤管理</w:t>
      </w:r>
      <w:r>
        <w:rPr>
          <w:spacing w:val="-20"/>
          <w:sz w:val="24"/>
          <w:szCs w:val="24"/>
        </w:rPr>
        <w:t>人员或班组长告之的情况下仍不遵守的，将视行为的性质及后果进行相关的处罚（如罚款、检</w:t>
      </w:r>
      <w:r>
        <w:rPr>
          <w:spacing w:val="-17"/>
          <w:sz w:val="24"/>
          <w:szCs w:val="24"/>
        </w:rPr>
        <w:t>讨、开除等）。</w:t>
      </w:r>
    </w:p>
    <w:p w14:paraId="061122CC">
      <w:pPr>
        <w:pStyle w:val="2"/>
        <w:spacing w:before="1" w:line="217" w:lineRule="auto"/>
        <w:ind w:left="1986"/>
        <w:outlineLvl w:val="2"/>
        <w:rPr>
          <w:sz w:val="28"/>
          <w:szCs w:val="28"/>
        </w:rPr>
      </w:pPr>
      <w:bookmarkStart w:id="280" w:name="bookmark268"/>
      <w:bookmarkEnd w:id="280"/>
      <w:r>
        <w:rPr>
          <w:b/>
          <w:bCs/>
          <w:spacing w:val="-23"/>
          <w:sz w:val="28"/>
          <w:szCs w:val="28"/>
        </w:rPr>
        <w:t>二、施工阶段的管理</w:t>
      </w:r>
    </w:p>
    <w:p w14:paraId="7EEBE532">
      <w:pPr>
        <w:pStyle w:val="2"/>
        <w:spacing w:before="104" w:line="308" w:lineRule="auto"/>
        <w:ind w:left="1468" w:right="1412" w:firstLine="424"/>
        <w:jc w:val="both"/>
        <w:rPr>
          <w:sz w:val="24"/>
          <w:szCs w:val="24"/>
        </w:rPr>
      </w:pPr>
      <w:r>
        <w:rPr>
          <w:spacing w:val="-22"/>
          <w:sz w:val="24"/>
          <w:szCs w:val="24"/>
        </w:rPr>
        <w:t>（1）出勤考核。先由各班组长向劳务人员介绍本工地的作息时间，然后依据作</w:t>
      </w:r>
      <w:r>
        <w:rPr>
          <w:spacing w:val="-23"/>
          <w:sz w:val="24"/>
          <w:szCs w:val="24"/>
        </w:rPr>
        <w:t>息时间对其</w:t>
      </w:r>
      <w:r>
        <w:rPr>
          <w:spacing w:val="-20"/>
          <w:sz w:val="24"/>
          <w:szCs w:val="24"/>
        </w:rPr>
        <w:t>劳务人员进行考勤。由各班组长每天向项目部提供劳务人员上班人数。各班组长及劳务分</w:t>
      </w:r>
      <w:r>
        <w:rPr>
          <w:spacing w:val="-21"/>
          <w:sz w:val="24"/>
          <w:szCs w:val="24"/>
        </w:rPr>
        <w:t>包人</w:t>
      </w:r>
      <w:r>
        <w:rPr>
          <w:spacing w:val="-22"/>
          <w:sz w:val="24"/>
          <w:szCs w:val="24"/>
        </w:rPr>
        <w:t>出勤情况由项目部进行出勤考核；劳务人员如需外出（如病假、事</w:t>
      </w:r>
      <w:r>
        <w:rPr>
          <w:spacing w:val="-23"/>
          <w:sz w:val="24"/>
          <w:szCs w:val="24"/>
        </w:rPr>
        <w:t>假及其他外出原因</w:t>
      </w:r>
      <w:r>
        <w:rPr>
          <w:spacing w:val="-6"/>
          <w:sz w:val="24"/>
          <w:szCs w:val="24"/>
        </w:rPr>
        <w:t>），</w:t>
      </w:r>
    </w:p>
    <w:p w14:paraId="7ED8889A">
      <w:pPr>
        <w:pStyle w:val="2"/>
        <w:spacing w:line="218" w:lineRule="auto"/>
        <w:ind w:left="1895"/>
        <w:rPr>
          <w:sz w:val="24"/>
          <w:szCs w:val="24"/>
        </w:rPr>
      </w:pPr>
      <w:r>
        <w:rPr>
          <w:spacing w:val="-17"/>
          <w:sz w:val="24"/>
          <w:szCs w:val="24"/>
        </w:rPr>
        <w:t>其程序为：</w:t>
      </w:r>
    </w:p>
    <w:p w14:paraId="5CF0DA77">
      <w:pPr>
        <w:pStyle w:val="2"/>
        <w:spacing w:before="117" w:line="216" w:lineRule="auto"/>
        <w:ind w:left="1903"/>
        <w:rPr>
          <w:sz w:val="24"/>
          <w:szCs w:val="24"/>
        </w:rPr>
      </w:pPr>
      <w:r>
        <w:rPr>
          <w:spacing w:val="-19"/>
          <w:sz w:val="24"/>
          <w:szCs w:val="24"/>
        </w:rPr>
        <w:t>1）向班组长请假。</w:t>
      </w:r>
    </w:p>
    <w:p w14:paraId="06733A2C">
      <w:pPr>
        <w:pStyle w:val="2"/>
        <w:spacing w:before="118" w:line="219" w:lineRule="auto"/>
        <w:ind w:left="1888"/>
        <w:rPr>
          <w:sz w:val="24"/>
          <w:szCs w:val="24"/>
        </w:rPr>
      </w:pPr>
      <w:r>
        <w:rPr>
          <w:spacing w:val="-21"/>
          <w:sz w:val="24"/>
          <w:szCs w:val="24"/>
        </w:rPr>
        <w:t>2）由班组长出具书面证明。</w:t>
      </w:r>
    </w:p>
    <w:p w14:paraId="3EE72F3A">
      <w:pPr>
        <w:pStyle w:val="2"/>
        <w:spacing w:before="78" w:line="217" w:lineRule="auto"/>
        <w:ind w:left="1890"/>
        <w:rPr>
          <w:sz w:val="24"/>
          <w:szCs w:val="24"/>
        </w:rPr>
      </w:pPr>
      <w:r>
        <w:rPr>
          <w:spacing w:val="-20"/>
          <w:sz w:val="24"/>
          <w:szCs w:val="24"/>
        </w:rPr>
        <w:t>3）出门时将书面证明交给门卫。</w:t>
      </w:r>
    </w:p>
    <w:p w14:paraId="22F41B37">
      <w:pPr>
        <w:pStyle w:val="2"/>
        <w:spacing w:before="118" w:line="216" w:lineRule="auto"/>
        <w:ind w:left="1884"/>
        <w:rPr>
          <w:sz w:val="24"/>
          <w:szCs w:val="24"/>
        </w:rPr>
      </w:pPr>
      <w:r>
        <w:rPr>
          <w:spacing w:val="-21"/>
          <w:sz w:val="24"/>
          <w:szCs w:val="24"/>
        </w:rPr>
        <w:t>4）回到工地时，由门卫记录回来时间。各班组长如需外出，向项目部请假，程序亦同。</w:t>
      </w:r>
    </w:p>
    <w:p w14:paraId="606CE313">
      <w:pPr>
        <w:pStyle w:val="2"/>
        <w:spacing w:before="116" w:line="285" w:lineRule="auto"/>
        <w:ind w:left="1455" w:right="1413" w:firstLine="437"/>
        <w:rPr>
          <w:sz w:val="24"/>
          <w:szCs w:val="24"/>
        </w:rPr>
      </w:pPr>
      <w:r>
        <w:rPr>
          <w:spacing w:val="-22"/>
          <w:sz w:val="24"/>
          <w:szCs w:val="24"/>
        </w:rPr>
        <w:t>（2）门卫制度。劳务人员上、下班有佩带胸卡或其他统一标志的，应佩带胸</w:t>
      </w:r>
      <w:r>
        <w:rPr>
          <w:spacing w:val="-23"/>
          <w:sz w:val="24"/>
          <w:szCs w:val="24"/>
        </w:rPr>
        <w:t>卡或其他统一</w:t>
      </w:r>
      <w:r>
        <w:rPr>
          <w:spacing w:val="-20"/>
          <w:sz w:val="24"/>
          <w:szCs w:val="24"/>
        </w:rPr>
        <w:t>标志进入，如发现无佩带标志，应在门卫室进行登记后方可进入，下班亦同。如需外出，应在门卫室办理登记手续（写明姓名、工种、外出时间、事由等）。下班时如门卫正进行统一检查的，劳务人员应积极配合检查。</w:t>
      </w:r>
    </w:p>
    <w:p w14:paraId="2F95A3DC">
      <w:pPr>
        <w:pStyle w:val="2"/>
        <w:spacing w:before="121" w:line="285" w:lineRule="auto"/>
        <w:ind w:left="1457" w:right="1356" w:firstLine="435"/>
        <w:rPr>
          <w:sz w:val="24"/>
          <w:szCs w:val="24"/>
        </w:rPr>
      </w:pPr>
      <w:r>
        <w:rPr>
          <w:spacing w:val="-21"/>
          <w:sz w:val="24"/>
          <w:szCs w:val="24"/>
        </w:rPr>
        <w:t>（3）项目部设置专职劳务管理人员（一般由安全员兼任）。由于劳务管理存在管理困</w:t>
      </w:r>
      <w:r>
        <w:rPr>
          <w:spacing w:val="-22"/>
          <w:sz w:val="24"/>
          <w:szCs w:val="24"/>
        </w:rPr>
        <w:t>难、</w:t>
      </w:r>
      <w:r>
        <w:rPr>
          <w:spacing w:val="-24"/>
          <w:sz w:val="24"/>
          <w:szCs w:val="24"/>
        </w:rPr>
        <w:t>劳务人员流动频率大、突发事件多等特点，所以在施工过程中，为有效的管理和协调劳务队伍，</w:t>
      </w:r>
      <w:r>
        <w:rPr>
          <w:spacing w:val="-20"/>
          <w:sz w:val="24"/>
          <w:szCs w:val="24"/>
        </w:rPr>
        <w:t>项目部设置专职劳务管理人员（可兼</w:t>
      </w:r>
      <w:r>
        <w:rPr>
          <w:spacing w:val="-16"/>
          <w:sz w:val="24"/>
          <w:szCs w:val="24"/>
        </w:rPr>
        <w:t>），</w:t>
      </w:r>
      <w:r>
        <w:rPr>
          <w:spacing w:val="-20"/>
          <w:sz w:val="24"/>
          <w:szCs w:val="24"/>
        </w:rPr>
        <w:t>项目部其他管理人员及劳务分包人、班组长应积极配</w:t>
      </w:r>
      <w:r>
        <w:rPr>
          <w:spacing w:val="-21"/>
          <w:sz w:val="24"/>
          <w:szCs w:val="24"/>
        </w:rPr>
        <w:t>合劳务管理人员管理劳务队伍。</w:t>
      </w:r>
    </w:p>
    <w:p w14:paraId="49D6DCDE">
      <w:pPr>
        <w:pStyle w:val="2"/>
        <w:spacing w:before="118" w:line="218" w:lineRule="auto"/>
        <w:ind w:left="1893"/>
        <w:rPr>
          <w:sz w:val="24"/>
          <w:szCs w:val="24"/>
        </w:rPr>
      </w:pPr>
      <w:r>
        <w:rPr>
          <w:spacing w:val="-20"/>
          <w:sz w:val="24"/>
          <w:szCs w:val="24"/>
        </w:rPr>
        <w:t>（4）项目部设置专职质量、安全管理人员。</w:t>
      </w:r>
    </w:p>
    <w:p w14:paraId="63EB39DC">
      <w:pPr>
        <w:pStyle w:val="2"/>
        <w:spacing w:before="115" w:line="262" w:lineRule="auto"/>
        <w:ind w:left="1473" w:right="1414" w:firstLine="430"/>
        <w:rPr>
          <w:sz w:val="24"/>
          <w:szCs w:val="24"/>
        </w:rPr>
      </w:pPr>
      <w:r>
        <w:rPr>
          <w:spacing w:val="-22"/>
          <w:sz w:val="24"/>
          <w:szCs w:val="24"/>
        </w:rPr>
        <w:t>1）专职质量、安全管理人员对施工阶段的质量、安</w:t>
      </w:r>
      <w:r>
        <w:rPr>
          <w:spacing w:val="-23"/>
          <w:sz w:val="24"/>
          <w:szCs w:val="24"/>
        </w:rPr>
        <w:t>全因素跟踪观察，对易发质量、安全的</w:t>
      </w:r>
      <w:r>
        <w:rPr>
          <w:spacing w:val="-22"/>
          <w:sz w:val="24"/>
          <w:szCs w:val="24"/>
        </w:rPr>
        <w:t>阶段作为重点控制对象。</w:t>
      </w:r>
    </w:p>
    <w:p w14:paraId="111F61C3">
      <w:pPr>
        <w:pStyle w:val="2"/>
        <w:spacing w:before="119" w:line="216" w:lineRule="auto"/>
        <w:ind w:left="1888"/>
        <w:rPr>
          <w:sz w:val="24"/>
          <w:szCs w:val="24"/>
        </w:rPr>
      </w:pPr>
      <w:r>
        <w:rPr>
          <w:spacing w:val="-21"/>
          <w:sz w:val="24"/>
          <w:szCs w:val="24"/>
        </w:rPr>
        <w:t>2）对各班组长进行质量、安全技术交底，并同时做好相关的书面工作。</w:t>
      </w:r>
    </w:p>
    <w:p w14:paraId="3A41DBF6">
      <w:pPr>
        <w:pStyle w:val="2"/>
        <w:spacing w:before="117" w:line="217" w:lineRule="auto"/>
        <w:ind w:left="1893"/>
        <w:rPr>
          <w:sz w:val="24"/>
          <w:szCs w:val="24"/>
        </w:rPr>
      </w:pPr>
      <w:r>
        <w:rPr>
          <w:spacing w:val="-21"/>
          <w:sz w:val="24"/>
          <w:szCs w:val="24"/>
        </w:rPr>
        <w:t>（5）班组设置质量、安全管理人员。管理人员（班组长）应履行以下义务：</w:t>
      </w:r>
    </w:p>
    <w:p w14:paraId="3A1C8A50">
      <w:pPr>
        <w:pStyle w:val="2"/>
        <w:spacing w:before="120" w:line="262" w:lineRule="auto"/>
        <w:ind w:left="1456" w:right="1353" w:firstLine="447"/>
        <w:rPr>
          <w:sz w:val="24"/>
          <w:szCs w:val="24"/>
        </w:rPr>
      </w:pPr>
      <w:r>
        <w:rPr>
          <w:spacing w:val="-25"/>
          <w:sz w:val="24"/>
          <w:szCs w:val="24"/>
        </w:rPr>
        <w:t>1）应及时了解劳务人员的各种情况（身体和心里</w:t>
      </w:r>
      <w:r>
        <w:rPr>
          <w:spacing w:val="-46"/>
          <w:sz w:val="24"/>
          <w:szCs w:val="24"/>
        </w:rPr>
        <w:t>），</w:t>
      </w:r>
      <w:r>
        <w:rPr>
          <w:spacing w:val="-25"/>
          <w:sz w:val="24"/>
          <w:szCs w:val="24"/>
        </w:rPr>
        <w:t>当劳务人员有</w:t>
      </w:r>
      <w:r>
        <w:rPr>
          <w:spacing w:val="-26"/>
          <w:sz w:val="24"/>
          <w:szCs w:val="24"/>
        </w:rPr>
        <w:t>影响安全作业的情况时，</w:t>
      </w:r>
      <w:r>
        <w:rPr>
          <w:spacing w:val="-20"/>
          <w:sz w:val="24"/>
          <w:szCs w:val="24"/>
        </w:rPr>
        <w:t>应予以制止上岗（如劳务人员带病上岗等）。</w:t>
      </w:r>
    </w:p>
    <w:p w14:paraId="6F162258">
      <w:pPr>
        <w:pStyle w:val="2"/>
        <w:spacing w:before="118" w:line="262" w:lineRule="auto"/>
        <w:ind w:left="1458" w:right="1438" w:firstLine="430"/>
        <w:rPr>
          <w:sz w:val="24"/>
          <w:szCs w:val="24"/>
        </w:rPr>
      </w:pPr>
      <w:r>
        <w:rPr>
          <w:spacing w:val="-23"/>
          <w:sz w:val="24"/>
          <w:szCs w:val="24"/>
        </w:rPr>
        <w:t>2）管理人员（班组长）应及时反馈现场质量、安全情况。当劳务人员违章违规作业时，管</w:t>
      </w:r>
      <w:r>
        <w:rPr>
          <w:spacing w:val="-21"/>
          <w:sz w:val="24"/>
          <w:szCs w:val="24"/>
        </w:rPr>
        <w:t>理人员（班组长）应及时制止，并同时报项目部。</w:t>
      </w:r>
    </w:p>
    <w:p w14:paraId="367A1619">
      <w:pPr>
        <w:pStyle w:val="2"/>
        <w:spacing w:before="120" w:line="261" w:lineRule="auto"/>
        <w:ind w:left="1475" w:right="1411" w:firstLine="415"/>
        <w:rPr>
          <w:sz w:val="24"/>
          <w:szCs w:val="24"/>
        </w:rPr>
      </w:pPr>
      <w:r>
        <w:rPr>
          <w:spacing w:val="-22"/>
          <w:sz w:val="24"/>
          <w:szCs w:val="24"/>
        </w:rPr>
        <w:t>3）管理人员（班组长）应把项目部的质量、安全交底内容及时反馈给劳务人员，向劳</w:t>
      </w:r>
      <w:r>
        <w:rPr>
          <w:spacing w:val="-23"/>
          <w:sz w:val="24"/>
          <w:szCs w:val="24"/>
        </w:rPr>
        <w:t>务人</w:t>
      </w:r>
      <w:r>
        <w:rPr>
          <w:spacing w:val="-22"/>
          <w:sz w:val="24"/>
          <w:szCs w:val="24"/>
        </w:rPr>
        <w:t>员详细解读工种及现场质量、安全情况，并在劳务人员理解的基础上，方可让其上岗。</w:t>
      </w:r>
    </w:p>
    <w:p w14:paraId="0A6F3725">
      <w:pPr>
        <w:pStyle w:val="2"/>
        <w:spacing w:before="122" w:line="307" w:lineRule="auto"/>
        <w:ind w:left="1463" w:right="1412" w:firstLine="430"/>
        <w:rPr>
          <w:sz w:val="24"/>
          <w:szCs w:val="24"/>
        </w:rPr>
      </w:pPr>
      <w:r>
        <w:rPr>
          <w:spacing w:val="-22"/>
          <w:sz w:val="24"/>
          <w:szCs w:val="24"/>
        </w:rPr>
        <w:t>（6）现场安全教育。现场安全教育除进场阶段的安全教育内容外，还需进行以</w:t>
      </w:r>
      <w:r>
        <w:rPr>
          <w:spacing w:val="-23"/>
          <w:sz w:val="24"/>
          <w:szCs w:val="24"/>
        </w:rPr>
        <w:t>下内容的教</w:t>
      </w:r>
      <w:r>
        <w:rPr>
          <w:spacing w:val="-17"/>
          <w:sz w:val="24"/>
          <w:szCs w:val="24"/>
        </w:rPr>
        <w:t>育培训：</w:t>
      </w:r>
    </w:p>
    <w:p w14:paraId="3E8E0023">
      <w:pPr>
        <w:pStyle w:val="2"/>
        <w:spacing w:before="1" w:line="263" w:lineRule="auto"/>
        <w:ind w:left="1457" w:right="1409" w:firstLine="446"/>
        <w:rPr>
          <w:sz w:val="24"/>
          <w:szCs w:val="24"/>
        </w:rPr>
      </w:pPr>
      <w:r>
        <w:rPr>
          <w:spacing w:val="-22"/>
          <w:sz w:val="24"/>
          <w:szCs w:val="24"/>
        </w:rPr>
        <w:t>1）讲解本工种使用的机械设备、工器具的性能，防护装置的</w:t>
      </w:r>
      <w:r>
        <w:rPr>
          <w:spacing w:val="-23"/>
          <w:sz w:val="24"/>
          <w:szCs w:val="24"/>
        </w:rPr>
        <w:t>作用和使用方法；爱护和正确</w:t>
      </w:r>
      <w:r>
        <w:rPr>
          <w:spacing w:val="-20"/>
          <w:sz w:val="24"/>
          <w:szCs w:val="24"/>
        </w:rPr>
        <w:t>使用机器设备、工具等。</w:t>
      </w:r>
    </w:p>
    <w:p w14:paraId="7C65A0B2">
      <w:pPr>
        <w:pStyle w:val="2"/>
        <w:spacing w:before="117" w:line="216" w:lineRule="auto"/>
        <w:ind w:left="1888"/>
        <w:rPr>
          <w:sz w:val="24"/>
          <w:szCs w:val="24"/>
        </w:rPr>
      </w:pPr>
      <w:r>
        <w:rPr>
          <w:spacing w:val="-21"/>
          <w:sz w:val="24"/>
          <w:szCs w:val="24"/>
        </w:rPr>
        <w:t>2）介绍班组安全活动内容及作业场所的安全检</w:t>
      </w:r>
      <w:r>
        <w:rPr>
          <w:spacing w:val="-22"/>
          <w:sz w:val="24"/>
          <w:szCs w:val="24"/>
        </w:rPr>
        <w:t>查和交接班制度。</w:t>
      </w:r>
    </w:p>
    <w:p w14:paraId="2EB0C3E2">
      <w:pPr>
        <w:pStyle w:val="2"/>
        <w:spacing w:before="114" w:line="293" w:lineRule="auto"/>
        <w:ind w:left="1459" w:right="1414" w:firstLine="431"/>
        <w:rPr>
          <w:sz w:val="24"/>
          <w:szCs w:val="24"/>
        </w:rPr>
      </w:pPr>
      <w:r>
        <w:rPr>
          <w:spacing w:val="-22"/>
          <w:sz w:val="24"/>
          <w:szCs w:val="24"/>
        </w:rPr>
        <w:t>3）实际安全操作示范，重点讲解安全操作要领，边示范，边讲解，说明注意事项</w:t>
      </w:r>
      <w:r>
        <w:rPr>
          <w:spacing w:val="-23"/>
          <w:sz w:val="24"/>
          <w:szCs w:val="24"/>
        </w:rPr>
        <w:t>，并讲述</w:t>
      </w:r>
      <w:r>
        <w:rPr>
          <w:spacing w:val="-20"/>
          <w:sz w:val="24"/>
          <w:szCs w:val="24"/>
        </w:rPr>
        <w:t>哪些操作是危险的、是违反操作规范的，使劳务人员懂得违章将会造成的严重后果。在现场施工期间，根据工程进展情况，由项目部安全员、劳务管理人员、班主长及劳务分包负责人定期或不定期的对劳务人员进行复训安全教育，并进行相关考核，对考核优秀人员进行一定的物质奖励，对考核不合格人员按规定进行处罚（批评、检讨、罚款、开除</w:t>
      </w:r>
      <w:r>
        <w:rPr>
          <w:spacing w:val="-17"/>
          <w:sz w:val="24"/>
          <w:szCs w:val="24"/>
        </w:rPr>
        <w:t>），</w:t>
      </w:r>
      <w:r>
        <w:rPr>
          <w:spacing w:val="-20"/>
          <w:sz w:val="24"/>
          <w:szCs w:val="24"/>
        </w:rPr>
        <w:t>考核成绩应填入职工安全教育卡，存档备查。</w:t>
      </w:r>
    </w:p>
    <w:p w14:paraId="72A11E19">
      <w:pPr>
        <w:pStyle w:val="2"/>
        <w:spacing w:before="119" w:line="308" w:lineRule="auto"/>
        <w:ind w:left="1456" w:right="1409" w:firstLine="436"/>
        <w:rPr>
          <w:sz w:val="24"/>
          <w:szCs w:val="24"/>
        </w:rPr>
      </w:pPr>
      <w:r>
        <w:rPr>
          <w:spacing w:val="-22"/>
          <w:sz w:val="24"/>
          <w:szCs w:val="24"/>
        </w:rPr>
        <w:t>（7）设备仪器、材料、工具领用制度。为优化设备仪器、材料、工具的利用率，防止</w:t>
      </w:r>
      <w:r>
        <w:rPr>
          <w:spacing w:val="-23"/>
          <w:sz w:val="24"/>
          <w:szCs w:val="24"/>
        </w:rPr>
        <w:t>财产</w:t>
      </w:r>
      <w:r>
        <w:rPr>
          <w:spacing w:val="-21"/>
          <w:sz w:val="24"/>
          <w:szCs w:val="24"/>
        </w:rPr>
        <w:t>损失，现场材料员要规范领用制度，以表格方式具体操作，具体</w:t>
      </w:r>
      <w:r>
        <w:rPr>
          <w:spacing w:val="-22"/>
          <w:sz w:val="24"/>
          <w:szCs w:val="24"/>
        </w:rPr>
        <w:t>程序为：</w:t>
      </w:r>
    </w:p>
    <w:p w14:paraId="3CDF3B0E">
      <w:pPr>
        <w:pStyle w:val="2"/>
        <w:spacing w:before="1" w:line="306" w:lineRule="auto"/>
        <w:ind w:left="1455" w:right="1430" w:firstLine="447"/>
        <w:rPr>
          <w:sz w:val="24"/>
          <w:szCs w:val="24"/>
        </w:rPr>
      </w:pPr>
      <w:r>
        <w:rPr>
          <w:spacing w:val="-23"/>
          <w:sz w:val="24"/>
          <w:szCs w:val="24"/>
        </w:rPr>
        <w:t>1）现场人员需要领用设备仪器、材料、工具的，先在材料员处填写表格（写明材料名称、</w:t>
      </w:r>
      <w:r>
        <w:rPr>
          <w:spacing w:val="-21"/>
          <w:sz w:val="24"/>
          <w:szCs w:val="24"/>
        </w:rPr>
        <w:t>数量、领用时间，领用人、领用人所在班组或工种、领用人联系方式）。</w:t>
      </w:r>
    </w:p>
    <w:p w14:paraId="3397EFB2">
      <w:pPr>
        <w:pStyle w:val="2"/>
        <w:spacing w:before="78" w:line="215" w:lineRule="auto"/>
        <w:ind w:left="1888"/>
        <w:rPr>
          <w:sz w:val="24"/>
          <w:szCs w:val="24"/>
        </w:rPr>
      </w:pPr>
      <w:r>
        <w:rPr>
          <w:spacing w:val="-21"/>
          <w:sz w:val="24"/>
          <w:szCs w:val="24"/>
        </w:rPr>
        <w:t>2）材料员按领用表格发放材料或监督领用人领取材料，其表格</w:t>
      </w:r>
      <w:r>
        <w:rPr>
          <w:spacing w:val="-22"/>
          <w:sz w:val="24"/>
          <w:szCs w:val="24"/>
        </w:rPr>
        <w:t>存放于材料员处。</w:t>
      </w:r>
    </w:p>
    <w:p w14:paraId="75B13EF7">
      <w:pPr>
        <w:pStyle w:val="2"/>
        <w:spacing w:before="121" w:line="262" w:lineRule="auto"/>
        <w:ind w:left="1459" w:right="1429" w:firstLine="431"/>
        <w:rPr>
          <w:sz w:val="24"/>
          <w:szCs w:val="24"/>
        </w:rPr>
      </w:pPr>
      <w:r>
        <w:rPr>
          <w:spacing w:val="-28"/>
          <w:sz w:val="24"/>
          <w:szCs w:val="24"/>
        </w:rPr>
        <w:t>3）材料员于每天下班前查看领取表格中是否还有尚不归还的，如有，则催促领用人归还（提</w:t>
      </w:r>
      <w:r>
        <w:rPr>
          <w:spacing w:val="-21"/>
          <w:sz w:val="24"/>
          <w:szCs w:val="24"/>
        </w:rPr>
        <w:t>前说明情况需超过当天归还的除外</w:t>
      </w:r>
      <w:r>
        <w:rPr>
          <w:spacing w:val="-25"/>
          <w:sz w:val="24"/>
          <w:szCs w:val="24"/>
        </w:rPr>
        <w:t>）；</w:t>
      </w:r>
      <w:r>
        <w:rPr>
          <w:spacing w:val="-21"/>
          <w:sz w:val="24"/>
          <w:szCs w:val="24"/>
        </w:rPr>
        <w:t>领用人拒不归还或损坏、丢</w:t>
      </w:r>
      <w:r>
        <w:rPr>
          <w:spacing w:val="-22"/>
          <w:sz w:val="24"/>
          <w:szCs w:val="24"/>
        </w:rPr>
        <w:t>失的按购买价赔偿。</w:t>
      </w:r>
    </w:p>
    <w:p w14:paraId="1687B8A5">
      <w:pPr>
        <w:pStyle w:val="2"/>
        <w:spacing w:before="119" w:line="302" w:lineRule="auto"/>
        <w:ind w:left="1457" w:right="1411" w:firstLine="435"/>
        <w:jc w:val="both"/>
        <w:rPr>
          <w:spacing w:val="-20"/>
          <w:sz w:val="24"/>
          <w:szCs w:val="24"/>
        </w:rPr>
      </w:pPr>
      <w:r>
        <w:rPr>
          <w:spacing w:val="-22"/>
          <w:sz w:val="24"/>
          <w:szCs w:val="24"/>
        </w:rPr>
        <w:t>（8）劳务工资发放。为保护劳务人员的工资能及时领取，保障劳务人员的合法</w:t>
      </w:r>
      <w:r>
        <w:rPr>
          <w:spacing w:val="-23"/>
          <w:sz w:val="24"/>
          <w:szCs w:val="24"/>
        </w:rPr>
        <w:t>权益，项目</w:t>
      </w:r>
      <w:r>
        <w:rPr>
          <w:spacing w:val="-20"/>
          <w:sz w:val="24"/>
          <w:szCs w:val="24"/>
        </w:rPr>
        <w:t>部根据劳务合同及国家、当地法律法规的规定，由劳务人员委托专人领取劳务费用，委托必须采取书面形式，由委托人员亲笔签名或盖章方有效。项目部采取不定期的访问劳务人员工资发放情况，若出现拖欠和不发民工工资的情况，项目部有权直接扣除劳务分包人的劳务费，用来补发拖欠的民工工资。</w:t>
      </w:r>
    </w:p>
    <w:p w14:paraId="779BC75B">
      <w:pPr>
        <w:pStyle w:val="2"/>
        <w:spacing w:before="119" w:line="302" w:lineRule="auto"/>
        <w:ind w:left="1457" w:right="1411" w:firstLine="435"/>
        <w:jc w:val="both"/>
        <w:rPr>
          <w:rFonts w:hint="eastAsia"/>
          <w:spacing w:val="-20"/>
          <w:sz w:val="24"/>
          <w:szCs w:val="24"/>
        </w:rPr>
      </w:pPr>
      <w:r>
        <w:rPr>
          <w:rFonts w:hint="eastAsia"/>
          <w:spacing w:val="-20"/>
          <w:sz w:val="24"/>
          <w:szCs w:val="24"/>
        </w:rPr>
        <w:t>发现拖欠农民工工资现象--施工项目部领导层进行处理--上报公司办公室--根据其严重程度，确定是否动用分公司级“农民工工资预留款”--拖欠农民工工资发放后，妥善解决后续问题--总公司、分公司、施工项目部组成联合调查小组，开展时间调查与后续处理工作。</w:t>
      </w:r>
    </w:p>
    <w:p w14:paraId="1EB040E1">
      <w:pPr>
        <w:pStyle w:val="2"/>
        <w:spacing w:before="119" w:line="302" w:lineRule="auto"/>
        <w:ind w:left="1457" w:right="1411" w:firstLine="435"/>
        <w:jc w:val="both"/>
        <w:rPr>
          <w:rFonts w:hint="eastAsia"/>
          <w:spacing w:val="-20"/>
          <w:sz w:val="24"/>
          <w:szCs w:val="24"/>
        </w:rPr>
      </w:pPr>
      <w:r>
        <w:rPr>
          <w:rFonts w:hint="eastAsia"/>
          <w:spacing w:val="-20"/>
          <w:sz w:val="24"/>
          <w:szCs w:val="24"/>
        </w:rPr>
        <w:t>（四）农民工工资支付</w:t>
      </w:r>
    </w:p>
    <w:p w14:paraId="06016F16">
      <w:pPr>
        <w:pStyle w:val="2"/>
        <w:spacing w:before="119" w:line="302" w:lineRule="auto"/>
        <w:ind w:left="1457" w:right="1411" w:firstLine="435"/>
        <w:jc w:val="both"/>
        <w:rPr>
          <w:rFonts w:hint="eastAsia"/>
          <w:spacing w:val="-20"/>
          <w:sz w:val="24"/>
          <w:szCs w:val="24"/>
        </w:rPr>
      </w:pPr>
      <w:r>
        <w:rPr>
          <w:rFonts w:hint="eastAsia"/>
          <w:spacing w:val="-20"/>
          <w:sz w:val="24"/>
          <w:szCs w:val="24"/>
        </w:rPr>
        <w:t>1、项目部的农民工工资支付监控领导小组负责项目部农民工工资支付事件应急的全面领导工作。</w:t>
      </w:r>
    </w:p>
    <w:p w14:paraId="16F3FEDC">
      <w:pPr>
        <w:pStyle w:val="2"/>
        <w:spacing w:before="119" w:line="302" w:lineRule="auto"/>
        <w:ind w:left="1457" w:right="1411" w:firstLine="435"/>
        <w:jc w:val="both"/>
        <w:rPr>
          <w:rFonts w:hint="eastAsia"/>
          <w:spacing w:val="-20"/>
          <w:sz w:val="24"/>
          <w:szCs w:val="24"/>
        </w:rPr>
      </w:pPr>
      <w:r>
        <w:rPr>
          <w:rFonts w:hint="eastAsia"/>
          <w:spacing w:val="-20"/>
          <w:sz w:val="24"/>
          <w:szCs w:val="24"/>
        </w:rPr>
        <w:t>2、项目部的农民工工资支付领导小组在平时检查和监控工作中若发现施工队负责人不按时支付其施工队的农民工工资的问题，立即责令其负责人限期支付其施工队的农民工的工资。</w:t>
      </w:r>
    </w:p>
    <w:p w14:paraId="545DDFBD">
      <w:pPr>
        <w:pStyle w:val="2"/>
        <w:spacing w:before="119" w:line="302" w:lineRule="auto"/>
        <w:ind w:left="1457" w:right="1411" w:firstLine="435"/>
        <w:jc w:val="both"/>
        <w:rPr>
          <w:rFonts w:hint="eastAsia"/>
          <w:spacing w:val="-20"/>
          <w:sz w:val="24"/>
          <w:szCs w:val="24"/>
        </w:rPr>
      </w:pPr>
      <w:r>
        <w:rPr>
          <w:rFonts w:hint="eastAsia"/>
          <w:spacing w:val="-20"/>
          <w:sz w:val="24"/>
          <w:szCs w:val="24"/>
        </w:rPr>
        <w:t>3、施工队负责人若在项目部下达的限期内仍未支付其施工队农民工的工资，项目部则立即将此情况上报公司，申请扣除其施工队的工费提前支付其施工队农民工的工资，并给予其施工队相应的经济处罚。</w:t>
      </w:r>
    </w:p>
    <w:p w14:paraId="28008C89">
      <w:pPr>
        <w:pStyle w:val="2"/>
        <w:spacing w:before="119" w:line="302" w:lineRule="auto"/>
        <w:ind w:left="1457" w:right="1411" w:firstLine="435"/>
        <w:jc w:val="both"/>
        <w:rPr>
          <w:rFonts w:hint="eastAsia"/>
          <w:spacing w:val="-20"/>
          <w:sz w:val="24"/>
          <w:szCs w:val="24"/>
        </w:rPr>
      </w:pPr>
      <w:r>
        <w:rPr>
          <w:rFonts w:hint="eastAsia"/>
          <w:spacing w:val="-20"/>
          <w:sz w:val="24"/>
          <w:szCs w:val="24"/>
        </w:rPr>
        <w:t>4、对施工队的农民工因未及时领到工资而突发的集体闹事和上访事件，项目部的领导小组立即采取有效措施，并努力进行说服教育工作，以积极诚恳的态度和务实的工作作风感化其农民工，并积极采取相应的措施为其农民工解决实际问题。对拖欠农民工工资的劳务队伍项目部在当月工程款拨付中应扣除农民工工资,将扣除的工程款直接发放给农民工.</w:t>
      </w:r>
    </w:p>
    <w:p w14:paraId="7B9C06BF">
      <w:pPr>
        <w:pStyle w:val="2"/>
        <w:spacing w:before="119" w:line="302" w:lineRule="auto"/>
        <w:ind w:left="1457" w:right="1411" w:firstLine="435"/>
        <w:jc w:val="both"/>
        <w:rPr>
          <w:rFonts w:hint="eastAsia"/>
          <w:spacing w:val="-20"/>
          <w:sz w:val="24"/>
          <w:szCs w:val="24"/>
        </w:rPr>
      </w:pPr>
      <w:r>
        <w:rPr>
          <w:rFonts w:hint="eastAsia"/>
          <w:spacing w:val="-20"/>
          <w:sz w:val="24"/>
          <w:szCs w:val="24"/>
        </w:rPr>
        <w:t>5、项目部农民工支付监控领导小组的办公室平时认真对待施工队的农民工反映的各种切身利益的问题，并及时汇总后向领导小组反映，项目部领导小组立即采取相关的措施，将农民工的各种矛盾解决在突发事件之前。</w:t>
      </w:r>
    </w:p>
    <w:p w14:paraId="62376BBD">
      <w:pPr>
        <w:pStyle w:val="2"/>
        <w:spacing w:before="119" w:line="302" w:lineRule="auto"/>
        <w:ind w:left="1457" w:right="1411" w:firstLine="435"/>
        <w:jc w:val="both"/>
        <w:rPr>
          <w:rFonts w:hint="eastAsia"/>
          <w:spacing w:val="-20"/>
          <w:sz w:val="24"/>
          <w:szCs w:val="24"/>
        </w:rPr>
      </w:pPr>
      <w:r>
        <w:rPr>
          <w:rFonts w:hint="eastAsia"/>
          <w:spacing w:val="-20"/>
          <w:sz w:val="24"/>
          <w:szCs w:val="24"/>
        </w:rPr>
        <w:t>6、为了确保施工队的农民工因工资而突发上访事件的发生，项目部农民工工资支付监控领导小组责令其施工队负责人实行在其开户银行预存工资保证金制度，项目部领导小组不定时对其预存的情况进行检查，切实作到防患于未然。</w:t>
      </w:r>
    </w:p>
    <w:p w14:paraId="0050DC6B">
      <w:pPr>
        <w:pStyle w:val="2"/>
        <w:spacing w:before="119" w:line="302" w:lineRule="auto"/>
        <w:ind w:left="1457" w:right="1411" w:firstLine="435"/>
        <w:jc w:val="both"/>
        <w:rPr>
          <w:spacing w:val="-20"/>
          <w:sz w:val="24"/>
          <w:szCs w:val="24"/>
        </w:rPr>
      </w:pPr>
      <w:r>
        <w:rPr>
          <w:rFonts w:hint="eastAsia"/>
          <w:spacing w:val="-20"/>
          <w:sz w:val="24"/>
          <w:szCs w:val="24"/>
        </w:rPr>
        <w:t>（五）农民工工资保证措施</w:t>
      </w:r>
    </w:p>
    <w:tbl>
      <w:tblPr>
        <w:tblStyle w:val="3"/>
        <w:tblW w:w="831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8311"/>
      </w:tblGrid>
      <w:tr w14:paraId="6E05B8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0" w:type="auto"/>
            <w:tcBorders>
              <w:tl2br w:val="nil"/>
              <w:tr2bl w:val="nil"/>
            </w:tcBorders>
            <w:shd w:val="clear" w:color="auto" w:fill="auto"/>
            <w:vAlign w:val="top"/>
          </w:tcPr>
          <w:p w14:paraId="013DB59E">
            <w:pPr>
              <w:pStyle w:val="9"/>
              <w:bidi w:val="0"/>
            </w:pPr>
            <w:r>
              <w:t>一）严格执行国家劳动和社会保障部关于保障农民工</w:t>
            </w:r>
          </w:p>
          <w:p w14:paraId="5EF4B764">
            <w:pPr>
              <w:pStyle w:val="9"/>
              <w:bidi w:val="0"/>
            </w:pPr>
            <w:r>
              <w:t>工资支付的四项基本措施</w:t>
            </w:r>
          </w:p>
        </w:tc>
      </w:tr>
      <w:tr w14:paraId="5708A5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354" w:hRule="atLeast"/>
          <w:jc w:val="center"/>
        </w:trPr>
        <w:tc>
          <w:tcPr>
            <w:tcW w:w="0" w:type="auto"/>
            <w:tcBorders>
              <w:tl2br w:val="nil"/>
              <w:tr2bl w:val="nil"/>
            </w:tcBorders>
            <w:shd w:val="clear" w:color="auto" w:fill="auto"/>
            <w:vAlign w:val="top"/>
          </w:tcPr>
          <w:p w14:paraId="01868121">
            <w:pPr>
              <w:pStyle w:val="9"/>
              <w:bidi w:val="0"/>
            </w:pPr>
            <w:r>
              <w:t>1、是建立工资支付监控制度，全面监控和重点监控相结合，列为重点监控对象的，要定期向劳动保障部门报送工资支付情况；建立施工单位工资支付信息网络，完善监控手段。</w:t>
            </w:r>
          </w:p>
          <w:p w14:paraId="04B3A72B">
            <w:pPr>
              <w:pStyle w:val="9"/>
              <w:bidi w:val="0"/>
            </w:pPr>
            <w:r>
              <w:t>2、是推行工资保证金制度，施工单位缴纳一定数额的工资保证金，以保证农民工工资不因单位资金状况而被拖欠。</w:t>
            </w:r>
          </w:p>
          <w:p w14:paraId="63958DFB">
            <w:pPr>
              <w:pStyle w:val="9"/>
              <w:bidi w:val="0"/>
            </w:pPr>
            <w:r>
              <w:t>3、是推行企业劳动保障诚信制度，规范施工单位用工和工资支付行为</w:t>
            </w:r>
          </w:p>
          <w:p w14:paraId="0CD9A197">
            <w:pPr>
              <w:pStyle w:val="9"/>
              <w:bidi w:val="0"/>
            </w:pPr>
            <w:r>
              <w:t>4、推进劳动合同制度实施行动计划，用人单位招用农民工都依法订立书面劳动合同，建立权利义务明确、规范的劳动关系。</w:t>
            </w:r>
          </w:p>
        </w:tc>
      </w:tr>
      <w:tr w14:paraId="4B3774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3" w:hRule="atLeast"/>
          <w:jc w:val="center"/>
        </w:trPr>
        <w:tc>
          <w:tcPr>
            <w:tcW w:w="0" w:type="auto"/>
            <w:tcBorders>
              <w:tl2br w:val="nil"/>
              <w:tr2bl w:val="nil"/>
            </w:tcBorders>
            <w:shd w:val="clear" w:color="auto" w:fill="auto"/>
            <w:vAlign w:val="top"/>
          </w:tcPr>
          <w:p w14:paraId="6298795C">
            <w:pPr>
              <w:pStyle w:val="9"/>
              <w:bidi w:val="0"/>
            </w:pPr>
            <w:r>
              <w:t>二）为了保证民工工资，我公司做了多项保证措施。</w:t>
            </w:r>
          </w:p>
        </w:tc>
      </w:tr>
      <w:tr w14:paraId="510B82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8" w:hRule="atLeast"/>
          <w:jc w:val="center"/>
        </w:trPr>
        <w:tc>
          <w:tcPr>
            <w:tcW w:w="0" w:type="auto"/>
            <w:tcBorders>
              <w:tl2br w:val="nil"/>
              <w:tr2bl w:val="nil"/>
            </w:tcBorders>
            <w:shd w:val="clear" w:color="auto" w:fill="auto"/>
            <w:vAlign w:val="top"/>
          </w:tcPr>
          <w:p w14:paraId="539AE277">
            <w:pPr>
              <w:pStyle w:val="9"/>
              <w:bidi w:val="0"/>
            </w:pPr>
            <w:r>
              <w:t>1、我公司各有关部门积极采取措施，保证农民工工资及时发放、让农民工劳有所得，也促进了施工企业的发展。</w:t>
            </w:r>
          </w:p>
          <w:p w14:paraId="5D2C3976">
            <w:pPr>
              <w:pStyle w:val="9"/>
              <w:bidi w:val="0"/>
            </w:pPr>
            <w:r>
              <w:t>2、民工有意见或事情可以到公司找相关单位，并且为其大力解决难题</w:t>
            </w:r>
          </w:p>
          <w:p w14:paraId="47315837">
            <w:pPr>
              <w:pStyle w:val="9"/>
              <w:bidi w:val="0"/>
            </w:pPr>
            <w:r>
              <w:t>3、在劳动保障行政部门与建设行政主管部门管理下，我公司与民工签订了劳动合同，保证民工及时拿到自己的辛苦钱，也保证了工程建设的顺利进展。</w:t>
            </w:r>
          </w:p>
          <w:p w14:paraId="7DAF1EE0">
            <w:pPr>
              <w:pStyle w:val="9"/>
              <w:bidi w:val="0"/>
            </w:pPr>
            <w:r>
              <w:t>4、保证按月发放工资，要求施工单位每月准时发放民工工资。</w:t>
            </w:r>
          </w:p>
        </w:tc>
      </w:tr>
      <w:tr w14:paraId="49535F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2" w:hRule="atLeast"/>
          <w:jc w:val="center"/>
        </w:trPr>
        <w:tc>
          <w:tcPr>
            <w:tcW w:w="0" w:type="auto"/>
            <w:tcBorders>
              <w:tl2br w:val="nil"/>
              <w:tr2bl w:val="nil"/>
            </w:tcBorders>
            <w:shd w:val="clear" w:color="auto" w:fill="auto"/>
            <w:vAlign w:val="top"/>
          </w:tcPr>
          <w:p w14:paraId="3FA93278">
            <w:pPr>
              <w:pStyle w:val="9"/>
              <w:bidi w:val="0"/>
            </w:pPr>
            <w:r>
              <w:t>三）不拖欠农民工工资的承诺书</w:t>
            </w:r>
          </w:p>
        </w:tc>
      </w:tr>
      <w:tr w14:paraId="52A4CB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73" w:hRule="atLeast"/>
          <w:jc w:val="center"/>
        </w:trPr>
        <w:tc>
          <w:tcPr>
            <w:tcW w:w="0" w:type="auto"/>
            <w:tcBorders>
              <w:tl2br w:val="nil"/>
              <w:tr2bl w:val="nil"/>
            </w:tcBorders>
            <w:shd w:val="clear" w:color="auto" w:fill="auto"/>
            <w:vAlign w:val="top"/>
          </w:tcPr>
          <w:p w14:paraId="51F47228">
            <w:pPr>
              <w:pStyle w:val="9"/>
              <w:bidi w:val="0"/>
            </w:pPr>
            <w:r>
              <w:t>为认真贯彻落实各上级主管部门关于切实解决建设领域拖欠工程款的民工工资问题的要求，我公司承诺：决不出现拖欠民工工资。</w:t>
            </w:r>
          </w:p>
          <w:p w14:paraId="60F966A8">
            <w:pPr>
              <w:pStyle w:val="9"/>
              <w:bidi w:val="0"/>
            </w:pPr>
            <w:r>
              <w:t>具体措施为：</w:t>
            </w:r>
          </w:p>
          <w:p w14:paraId="720AA939">
            <w:pPr>
              <w:pStyle w:val="9"/>
              <w:bidi w:val="0"/>
            </w:pPr>
            <w:r>
              <w:t>1、项目部与所有民工签订劳动合同。</w:t>
            </w:r>
          </w:p>
          <w:p w14:paraId="35FC149C">
            <w:pPr>
              <w:pStyle w:val="9"/>
              <w:bidi w:val="0"/>
            </w:pPr>
            <w:r>
              <w:t>2、开设专门帐户，由公司财务派专人专管，保证工程款的专款专用。</w:t>
            </w:r>
          </w:p>
          <w:p w14:paraId="483624EC">
            <w:pPr>
              <w:pStyle w:val="9"/>
              <w:bidi w:val="0"/>
            </w:pPr>
            <w:r>
              <w:t>3、根据工程进度计划，项目部制订出民工工资支付计划表。</w:t>
            </w:r>
          </w:p>
          <w:p w14:paraId="1206464E">
            <w:pPr>
              <w:pStyle w:val="9"/>
              <w:bidi w:val="0"/>
            </w:pPr>
            <w:r>
              <w:t>4、将民工工资的支付情况纳入项目经理部的各项考核指标中进行统一考核。</w:t>
            </w:r>
          </w:p>
          <w:p w14:paraId="121BF837">
            <w:pPr>
              <w:pStyle w:val="9"/>
              <w:bidi w:val="0"/>
            </w:pPr>
            <w:r>
              <w:t>5、严格按行政主管部门规定，足额发放农民工工资如果发生农民工工资拖欠现象，无条件接受上级主管部门处罚。</w:t>
            </w:r>
          </w:p>
        </w:tc>
      </w:tr>
    </w:tbl>
    <w:p w14:paraId="385ACFF9">
      <w:pPr>
        <w:pStyle w:val="2"/>
        <w:spacing w:before="119" w:line="302" w:lineRule="auto"/>
        <w:ind w:left="1457" w:right="1411" w:firstLine="435"/>
        <w:jc w:val="both"/>
        <w:rPr>
          <w:rFonts w:hint="eastAsia"/>
          <w:spacing w:val="-20"/>
          <w:sz w:val="24"/>
          <w:szCs w:val="24"/>
        </w:rPr>
      </w:pPr>
      <w:r>
        <w:rPr>
          <w:rFonts w:hint="eastAsia"/>
          <w:spacing w:val="-20"/>
          <w:sz w:val="24"/>
          <w:szCs w:val="24"/>
        </w:rPr>
        <w:t>（1）项目部成立农民工工资发放领导小组，负责本项目农民工工资管理的监督、宣传、协调和查处工作。领导小组下设办公室，配备相应的专项监管人员，负责项目农民工工资管理的日常工作。</w:t>
      </w:r>
    </w:p>
    <w:p w14:paraId="63AD054F">
      <w:pPr>
        <w:pStyle w:val="2"/>
        <w:spacing w:before="119" w:line="302" w:lineRule="auto"/>
        <w:ind w:left="1457" w:right="1411" w:firstLine="435"/>
        <w:jc w:val="both"/>
        <w:rPr>
          <w:rFonts w:hint="eastAsia"/>
          <w:spacing w:val="-20"/>
          <w:sz w:val="24"/>
          <w:szCs w:val="24"/>
        </w:rPr>
      </w:pPr>
      <w:r>
        <w:rPr>
          <w:rFonts w:hint="eastAsia"/>
          <w:spacing w:val="-20"/>
          <w:sz w:val="24"/>
          <w:szCs w:val="24"/>
        </w:rPr>
        <w:t>（2）各项目部的工程部经理担任该领导小组组长，工程部经理为第一责任人。由内业资料员负责收集、整理农民工工资管理合同、管理制度、工资发放资料。</w:t>
      </w:r>
    </w:p>
    <w:p w14:paraId="76AC6DD1">
      <w:pPr>
        <w:pStyle w:val="2"/>
        <w:spacing w:before="119" w:line="302" w:lineRule="auto"/>
        <w:ind w:left="1457" w:right="1411" w:firstLine="435"/>
        <w:jc w:val="both"/>
        <w:rPr>
          <w:spacing w:val="-20"/>
          <w:sz w:val="24"/>
          <w:szCs w:val="24"/>
        </w:rPr>
      </w:pPr>
      <w:r>
        <w:rPr>
          <w:rFonts w:hint="eastAsia"/>
          <w:spacing w:val="-20"/>
          <w:sz w:val="24"/>
          <w:szCs w:val="24"/>
        </w:rPr>
        <w:t>（3）民工进场后，项目部安排相关人员做好安全教育工作，同时做好民工相关信息登记，建立录用的农民工用工花名册；并提取身份证复印件及照片、办理进出场门禁卡，以便用于民工上下班打卡。</w:t>
      </w:r>
    </w:p>
    <w:p w14:paraId="729AD090">
      <w:pPr>
        <w:pStyle w:val="2"/>
        <w:spacing w:before="1" w:line="217" w:lineRule="auto"/>
        <w:ind w:left="1985"/>
        <w:outlineLvl w:val="2"/>
        <w:rPr>
          <w:sz w:val="28"/>
          <w:szCs w:val="28"/>
        </w:rPr>
      </w:pPr>
      <w:bookmarkStart w:id="281" w:name="bookmark269"/>
      <w:bookmarkEnd w:id="281"/>
      <w:r>
        <w:rPr>
          <w:b/>
          <w:bCs/>
          <w:spacing w:val="-22"/>
          <w:sz w:val="28"/>
          <w:szCs w:val="28"/>
        </w:rPr>
        <w:t>三、撤离阶段的管理</w:t>
      </w:r>
    </w:p>
    <w:p w14:paraId="03F07907">
      <w:pPr>
        <w:pStyle w:val="2"/>
        <w:spacing w:before="105" w:line="218" w:lineRule="auto"/>
        <w:ind w:left="1893"/>
        <w:rPr>
          <w:sz w:val="24"/>
          <w:szCs w:val="24"/>
        </w:rPr>
      </w:pPr>
      <w:r>
        <w:rPr>
          <w:spacing w:val="-19"/>
          <w:sz w:val="24"/>
          <w:szCs w:val="24"/>
        </w:rPr>
        <w:t>（1）人员及时撤离。</w:t>
      </w:r>
    </w:p>
    <w:p w14:paraId="575855DD">
      <w:pPr>
        <w:pStyle w:val="2"/>
        <w:spacing w:before="117" w:line="277" w:lineRule="auto"/>
        <w:ind w:left="1456" w:right="1412" w:firstLine="447"/>
        <w:rPr>
          <w:sz w:val="24"/>
          <w:szCs w:val="24"/>
        </w:rPr>
      </w:pPr>
      <w:r>
        <w:rPr>
          <w:spacing w:val="-22"/>
          <w:sz w:val="24"/>
          <w:szCs w:val="24"/>
        </w:rPr>
        <w:t>1）撤离前通知。施工现场进入结尾阶段时，项目部施</w:t>
      </w:r>
      <w:r>
        <w:rPr>
          <w:spacing w:val="-23"/>
          <w:sz w:val="24"/>
          <w:szCs w:val="24"/>
        </w:rPr>
        <w:t>工人员、专职劳务管理人员或劳务分</w:t>
      </w:r>
      <w:r>
        <w:rPr>
          <w:spacing w:val="-21"/>
          <w:sz w:val="24"/>
          <w:szCs w:val="24"/>
        </w:rPr>
        <w:t>包人、各班组长根据工程进展于撤离前2—3天通知劳务人员做好撤离准备，劳务人员也应自觉</w:t>
      </w:r>
      <w:r>
        <w:rPr>
          <w:spacing w:val="-19"/>
          <w:sz w:val="24"/>
          <w:szCs w:val="24"/>
        </w:rPr>
        <w:t>做好相应准备工作。</w:t>
      </w:r>
    </w:p>
    <w:p w14:paraId="7E403F66">
      <w:pPr>
        <w:pStyle w:val="2"/>
        <w:spacing w:before="119" w:line="278" w:lineRule="auto"/>
        <w:ind w:left="1458" w:right="1412" w:firstLine="430"/>
        <w:rPr>
          <w:sz w:val="24"/>
          <w:szCs w:val="24"/>
        </w:rPr>
      </w:pPr>
      <w:r>
        <w:rPr>
          <w:spacing w:val="-22"/>
          <w:sz w:val="24"/>
          <w:szCs w:val="24"/>
        </w:rPr>
        <w:t>2）正式撤离。由专职劳务管理人员、劳务分包人、各班组长根据各工种的劳务人员花名册</w:t>
      </w:r>
      <w:r>
        <w:rPr>
          <w:spacing w:val="-20"/>
          <w:sz w:val="24"/>
          <w:szCs w:val="24"/>
        </w:rPr>
        <w:t>进行点名，落实的每一人。由专职劳务管理人员对工地现场及生活区进行检查，确认全部撤离</w:t>
      </w:r>
      <w:r>
        <w:rPr>
          <w:spacing w:val="-19"/>
          <w:sz w:val="24"/>
          <w:szCs w:val="24"/>
        </w:rPr>
        <w:t>情况（应留守人员除外）。</w:t>
      </w:r>
    </w:p>
    <w:p w14:paraId="443FE7A0">
      <w:pPr>
        <w:pStyle w:val="2"/>
        <w:spacing w:before="117" w:line="216" w:lineRule="auto"/>
        <w:ind w:left="1893"/>
        <w:rPr>
          <w:sz w:val="24"/>
          <w:szCs w:val="24"/>
        </w:rPr>
      </w:pPr>
      <w:r>
        <w:rPr>
          <w:spacing w:val="-20"/>
          <w:sz w:val="24"/>
          <w:szCs w:val="24"/>
        </w:rPr>
        <w:t>（2）设施材料保护。</w:t>
      </w:r>
    </w:p>
    <w:p w14:paraId="4032A049">
      <w:pPr>
        <w:pStyle w:val="2"/>
        <w:spacing w:before="117" w:line="263" w:lineRule="auto"/>
        <w:ind w:left="1463" w:right="1353" w:firstLine="440"/>
        <w:rPr>
          <w:sz w:val="24"/>
          <w:szCs w:val="24"/>
        </w:rPr>
      </w:pPr>
      <w:r>
        <w:rPr>
          <w:spacing w:val="-26"/>
          <w:sz w:val="24"/>
          <w:szCs w:val="24"/>
        </w:rPr>
        <w:t>1）生活区设施保护。由后勤管理人员协同门卫对生活区的设备设施</w:t>
      </w:r>
      <w:r>
        <w:rPr>
          <w:spacing w:val="-27"/>
          <w:sz w:val="24"/>
          <w:szCs w:val="24"/>
        </w:rPr>
        <w:t>按照财产目录逐一核对，</w:t>
      </w:r>
      <w:r>
        <w:rPr>
          <w:spacing w:val="-21"/>
          <w:sz w:val="24"/>
          <w:szCs w:val="24"/>
        </w:rPr>
        <w:t>发现财产有损坏需要赔偿的，能确定责任人</w:t>
      </w:r>
      <w:r>
        <w:rPr>
          <w:spacing w:val="-22"/>
          <w:sz w:val="24"/>
          <w:szCs w:val="24"/>
        </w:rPr>
        <w:t>的，由责任人赔偿；</w:t>
      </w:r>
    </w:p>
    <w:p w14:paraId="6EAB4FAF">
      <w:pPr>
        <w:pStyle w:val="2"/>
        <w:spacing w:before="118" w:line="285" w:lineRule="auto"/>
        <w:ind w:left="1458" w:right="1411" w:firstLine="430"/>
        <w:rPr>
          <w:sz w:val="24"/>
          <w:szCs w:val="24"/>
        </w:rPr>
      </w:pPr>
      <w:r>
        <w:rPr>
          <w:spacing w:val="-22"/>
          <w:sz w:val="24"/>
          <w:szCs w:val="24"/>
        </w:rPr>
        <w:t>2）现场材料、机械设备的保护。由材料员协同门卫对现场生产区的材料、机械设备按照财</w:t>
      </w:r>
      <w:r>
        <w:rPr>
          <w:spacing w:val="-20"/>
          <w:sz w:val="24"/>
          <w:szCs w:val="24"/>
        </w:rPr>
        <w:t>产目录逐一核对，发现财产有损坏需要赔偿的，能确定责任人的，由责任人赔偿；如需要门卫进行检查的，劳务人员应积极配合检查，专职劳务管理人员或劳务分包人、各班组长应做好劳务人员的思想工作。</w:t>
      </w:r>
    </w:p>
    <w:p w14:paraId="60C515B0">
      <w:pPr>
        <w:pStyle w:val="2"/>
        <w:spacing w:before="117" w:line="218" w:lineRule="auto"/>
        <w:ind w:left="1921"/>
        <w:rPr>
          <w:sz w:val="24"/>
          <w:szCs w:val="24"/>
        </w:rPr>
      </w:pPr>
      <w:r>
        <w:rPr>
          <w:spacing w:val="-23"/>
          <w:sz w:val="24"/>
          <w:szCs w:val="24"/>
        </w:rPr>
        <w:t>四、劳动力计划表</w:t>
      </w:r>
    </w:p>
    <w:p w14:paraId="1A52F9E6">
      <w:pPr>
        <w:pStyle w:val="2"/>
        <w:spacing w:before="117" w:line="217" w:lineRule="auto"/>
        <w:ind w:left="9617"/>
        <w:rPr>
          <w:sz w:val="24"/>
          <w:szCs w:val="24"/>
        </w:rPr>
      </w:pPr>
      <w:r>
        <w:rPr>
          <w:spacing w:val="-18"/>
          <w:sz w:val="24"/>
          <w:szCs w:val="24"/>
        </w:rPr>
        <w:t>单位：人</w:t>
      </w:r>
    </w:p>
    <w:p w14:paraId="176B8124">
      <w:pPr>
        <w:spacing w:line="47" w:lineRule="auto"/>
        <w:rPr>
          <w:rFonts w:ascii="Arial"/>
          <w:sz w:val="2"/>
        </w:rPr>
      </w:pPr>
    </w:p>
    <w:tbl>
      <w:tblPr>
        <w:tblStyle w:val="6"/>
        <w:tblW w:w="8753" w:type="dxa"/>
        <w:tblInd w:w="157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64"/>
        <w:gridCol w:w="776"/>
        <w:gridCol w:w="2462"/>
        <w:gridCol w:w="1744"/>
        <w:gridCol w:w="1741"/>
        <w:gridCol w:w="1766"/>
      </w:tblGrid>
      <w:tr w14:paraId="096D54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3" w:hRule="atLeast"/>
        </w:trPr>
        <w:tc>
          <w:tcPr>
            <w:tcW w:w="1040" w:type="dxa"/>
            <w:gridSpan w:val="2"/>
            <w:vMerge w:val="restart"/>
            <w:tcBorders>
              <w:top w:val="single" w:color="000000" w:sz="4" w:space="0"/>
              <w:left w:val="single" w:color="000000" w:sz="4" w:space="0"/>
              <w:bottom w:val="nil"/>
            </w:tcBorders>
            <w:shd w:val="clear" w:color="auto" w:fill="DEEAF6"/>
            <w:vAlign w:val="top"/>
          </w:tcPr>
          <w:p w14:paraId="192ED4DE">
            <w:pPr>
              <w:spacing w:line="93" w:lineRule="exact"/>
            </w:pPr>
            <w:r>
              <w:rPr>
                <w:position w:val="-1"/>
              </w:rPr>
              <w:pict>
                <v:group id="_x0000_s4400" o:spid="_x0000_s4400" o:spt="203" style="height:5.2pt;width:53.55pt;" coordsize="1070,103">
                  <o:lock v:ext="edit"/>
                  <v:shape id="_x0000_s4402" o:spid="_x0000_s4402" style="position:absolute;left:0;top:0;height:15;width:44;" fillcolor="#5B9BD5" filled="t" stroked="f" coordsize="44,15" path="m0,14l43,14,43,0,0,0,0,14xe">
                    <v:path/>
                    <v:fill on="t" focussize="0,0"/>
                    <v:stroke on="f"/>
                    <v:imagedata o:title=""/>
                    <o:lock v:ext="edit"/>
                  </v:shape>
                  <v:shape id="_x0000_s4404" o:spid="_x0000_s4404" style="position:absolute;left:43;top:43;height:60;width:984;" fillcolor="#DEEAF6" filled="t" stroked="f" coordsize="984,60" path="m0,60l983,60,983,0,0,0,0,60xe">
                    <v:path/>
                    <v:fill on="t" focussize="0,0"/>
                    <v:stroke on="f"/>
                    <v:imagedata o:title=""/>
                    <o:lock v:ext="edit"/>
                  </v:shape>
                  <v:shape id="_x0000_s4406" o:spid="_x0000_s4406" style="position:absolute;left:1027;top:0;height:15;width:44;" fillcolor="#5B9BD5" filled="t" stroked="f" coordsize="44,15" path="m0,14l43,14,43,0,0,0,0,14xe">
                    <v:path/>
                    <v:fill on="t" focussize="0,0"/>
                    <v:stroke on="f"/>
                    <v:imagedata o:title=""/>
                    <o:lock v:ext="edit"/>
                  </v:shape>
                  <v:shape id="_x0000_s4408" o:spid="_x0000_s4408" style="position:absolute;left:1027;top:14;height:15;width:44;" fillcolor="#20507B" filled="t" stroked="f" coordsize="44,15" path="m0,14l43,14,43,0,0,0,0,14xe">
                    <v:path/>
                    <v:fill on="t" focussize="0,0"/>
                    <v:stroke on="f"/>
                    <v:imagedata o:title=""/>
                    <o:lock v:ext="edit"/>
                  </v:shape>
                  <v:shape id="_x0000_s4410" o:spid="_x0000_s4410" style="position:absolute;left:1027;top:28;height:15;width:44;" fillcolor="#1C456A" filled="t" stroked="f" coordsize="44,15" path="m0,14l43,14,43,0,0,0,0,14xe">
                    <v:path/>
                    <v:fill on="t" focussize="0,0"/>
                    <v:stroke on="f"/>
                    <v:imagedata o:title=""/>
                    <o:lock v:ext="edit"/>
                  </v:shape>
                  <w10:wrap type="none"/>
                  <w10:anchorlock/>
                </v:group>
              </w:pict>
            </w:r>
          </w:p>
          <w:p w14:paraId="1E3B5E3D">
            <w:pPr>
              <w:spacing w:line="378" w:lineRule="auto"/>
              <w:rPr>
                <w:rFonts w:ascii="Arial"/>
                <w:sz w:val="21"/>
              </w:rPr>
            </w:pPr>
          </w:p>
          <w:p w14:paraId="0F494663">
            <w:pPr>
              <w:pStyle w:val="7"/>
              <w:spacing w:before="78" w:line="218" w:lineRule="auto"/>
              <w:ind w:left="313"/>
            </w:pPr>
            <w:r>
              <w:rPr>
                <w:b/>
                <w:bCs/>
                <w:spacing w:val="-12"/>
              </w:rPr>
              <w:t>序号</w:t>
            </w:r>
          </w:p>
        </w:tc>
        <w:tc>
          <w:tcPr>
            <w:tcW w:w="2462" w:type="dxa"/>
            <w:vMerge w:val="restart"/>
            <w:tcBorders>
              <w:top w:val="single" w:color="000000" w:sz="4" w:space="0"/>
              <w:bottom w:val="nil"/>
            </w:tcBorders>
            <w:shd w:val="clear" w:color="auto" w:fill="DEEAF6"/>
            <w:vAlign w:val="top"/>
          </w:tcPr>
          <w:p w14:paraId="61BECC94">
            <w:pPr>
              <w:spacing w:line="470" w:lineRule="auto"/>
              <w:rPr>
                <w:rFonts w:ascii="Arial"/>
                <w:sz w:val="21"/>
              </w:rPr>
            </w:pPr>
          </w:p>
          <w:p w14:paraId="604FD36F">
            <w:pPr>
              <w:pStyle w:val="7"/>
              <w:spacing w:before="78" w:line="217" w:lineRule="auto"/>
              <w:ind w:left="1021"/>
            </w:pPr>
            <w:r>
              <w:rPr>
                <w:b/>
                <w:bCs/>
                <w:spacing w:val="-14"/>
              </w:rPr>
              <w:t>工种</w:t>
            </w:r>
          </w:p>
        </w:tc>
        <w:tc>
          <w:tcPr>
            <w:tcW w:w="5251" w:type="dxa"/>
            <w:gridSpan w:val="3"/>
            <w:tcBorders>
              <w:top w:val="single" w:color="5B9BD5" w:sz="4" w:space="0"/>
              <w:right w:val="single" w:color="5B9BD5" w:sz="4" w:space="0"/>
            </w:tcBorders>
            <w:shd w:val="clear" w:color="auto" w:fill="DEEAF6"/>
            <w:vAlign w:val="top"/>
          </w:tcPr>
          <w:p w14:paraId="12F2EAB8">
            <w:pPr>
              <w:pStyle w:val="7"/>
              <w:spacing w:before="175" w:line="217" w:lineRule="auto"/>
              <w:ind w:left="1095"/>
            </w:pPr>
            <w:r>
              <w:rPr>
                <w:b/>
                <w:bCs/>
                <w:spacing w:val="-22"/>
              </w:rPr>
              <w:t>按工程施工阶段投入劳动力情况</w:t>
            </w:r>
          </w:p>
        </w:tc>
      </w:tr>
      <w:tr w14:paraId="5D171E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5" w:hRule="atLeast"/>
        </w:trPr>
        <w:tc>
          <w:tcPr>
            <w:tcW w:w="1040" w:type="dxa"/>
            <w:gridSpan w:val="2"/>
            <w:vMerge w:val="continue"/>
            <w:tcBorders>
              <w:top w:val="nil"/>
              <w:left w:val="single" w:color="000000" w:sz="4" w:space="0"/>
            </w:tcBorders>
            <w:vAlign w:val="top"/>
          </w:tcPr>
          <w:p w14:paraId="7D5DDA8F">
            <w:pPr>
              <w:rPr>
                <w:rFonts w:ascii="Arial"/>
                <w:sz w:val="21"/>
              </w:rPr>
            </w:pPr>
          </w:p>
        </w:tc>
        <w:tc>
          <w:tcPr>
            <w:tcW w:w="2462" w:type="dxa"/>
            <w:vMerge w:val="continue"/>
            <w:tcBorders>
              <w:top w:val="nil"/>
            </w:tcBorders>
            <w:vAlign w:val="top"/>
          </w:tcPr>
          <w:p w14:paraId="6780C0F5">
            <w:pPr>
              <w:rPr>
                <w:rFonts w:ascii="Arial"/>
                <w:sz w:val="21"/>
              </w:rPr>
            </w:pPr>
          </w:p>
        </w:tc>
        <w:tc>
          <w:tcPr>
            <w:tcW w:w="1744" w:type="dxa"/>
            <w:vAlign w:val="top"/>
          </w:tcPr>
          <w:p w14:paraId="4106BB25">
            <w:pPr>
              <w:pStyle w:val="7"/>
              <w:spacing w:before="175" w:line="217" w:lineRule="auto"/>
              <w:ind w:left="228"/>
            </w:pPr>
            <w:r>
              <w:rPr>
                <w:spacing w:val="-18"/>
              </w:rPr>
              <w:t>施工准备阶段</w:t>
            </w:r>
          </w:p>
        </w:tc>
        <w:tc>
          <w:tcPr>
            <w:tcW w:w="1741" w:type="dxa"/>
            <w:vAlign w:val="top"/>
          </w:tcPr>
          <w:p w14:paraId="6CB955B5">
            <w:pPr>
              <w:pStyle w:val="7"/>
              <w:spacing w:before="175" w:line="217" w:lineRule="auto"/>
              <w:ind w:left="445"/>
            </w:pPr>
            <w:r>
              <w:rPr>
                <w:spacing w:val="-15"/>
              </w:rPr>
              <w:t>施工阶段</w:t>
            </w:r>
          </w:p>
        </w:tc>
        <w:tc>
          <w:tcPr>
            <w:tcW w:w="1766" w:type="dxa"/>
            <w:tcBorders>
              <w:right w:val="single" w:color="000000" w:sz="4" w:space="0"/>
            </w:tcBorders>
            <w:vAlign w:val="top"/>
          </w:tcPr>
          <w:p w14:paraId="00FD2807">
            <w:pPr>
              <w:pStyle w:val="7"/>
              <w:spacing w:before="175" w:line="217" w:lineRule="auto"/>
              <w:ind w:left="233"/>
            </w:pPr>
            <w:r>
              <w:rPr>
                <w:spacing w:val="-18"/>
              </w:rPr>
              <w:t>施工扫尾阶段</w:t>
            </w:r>
          </w:p>
        </w:tc>
      </w:tr>
      <w:tr w14:paraId="10CE03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10" w:hRule="atLeast"/>
        </w:trPr>
        <w:tc>
          <w:tcPr>
            <w:tcW w:w="1040" w:type="dxa"/>
            <w:gridSpan w:val="2"/>
            <w:tcBorders>
              <w:left w:val="single" w:color="000000" w:sz="4" w:space="0"/>
            </w:tcBorders>
            <w:vAlign w:val="top"/>
          </w:tcPr>
          <w:p w14:paraId="47F73F60">
            <w:pPr>
              <w:pStyle w:val="7"/>
              <w:spacing w:before="260" w:line="238" w:lineRule="auto"/>
              <w:ind w:left="488"/>
            </w:pPr>
            <w:r>
              <w:t>1</w:t>
            </w:r>
          </w:p>
        </w:tc>
        <w:tc>
          <w:tcPr>
            <w:tcW w:w="2462" w:type="dxa"/>
            <w:vAlign w:val="top"/>
          </w:tcPr>
          <w:p w14:paraId="3FC6FAD9">
            <w:pPr>
              <w:pStyle w:val="7"/>
              <w:spacing w:before="259" w:line="220" w:lineRule="auto"/>
              <w:ind w:left="812"/>
            </w:pPr>
            <w:r>
              <w:rPr>
                <w:spacing w:val="-19"/>
              </w:rPr>
              <w:t>管理人员</w:t>
            </w:r>
          </w:p>
        </w:tc>
        <w:tc>
          <w:tcPr>
            <w:tcW w:w="1744" w:type="dxa"/>
            <w:vAlign w:val="top"/>
          </w:tcPr>
          <w:p w14:paraId="5A6031FE">
            <w:pPr>
              <w:pStyle w:val="7"/>
              <w:spacing w:before="260" w:line="237" w:lineRule="auto"/>
              <w:ind w:left="784"/>
            </w:pPr>
            <w:r>
              <w:rPr>
                <w:spacing w:val="-10"/>
              </w:rPr>
              <w:t>10</w:t>
            </w:r>
          </w:p>
        </w:tc>
        <w:tc>
          <w:tcPr>
            <w:tcW w:w="1741" w:type="dxa"/>
            <w:vAlign w:val="top"/>
          </w:tcPr>
          <w:p w14:paraId="01A0E09A">
            <w:pPr>
              <w:pStyle w:val="7"/>
              <w:spacing w:before="260" w:line="238" w:lineRule="auto"/>
              <w:ind w:left="783"/>
            </w:pPr>
            <w:r>
              <w:rPr>
                <w:spacing w:val="-14"/>
              </w:rPr>
              <w:t>14</w:t>
            </w:r>
          </w:p>
        </w:tc>
        <w:tc>
          <w:tcPr>
            <w:tcW w:w="1766" w:type="dxa"/>
            <w:tcBorders>
              <w:right w:val="single" w:color="000000" w:sz="4" w:space="0"/>
            </w:tcBorders>
            <w:vAlign w:val="top"/>
          </w:tcPr>
          <w:p w14:paraId="762C70E3">
            <w:pPr>
              <w:pStyle w:val="7"/>
              <w:spacing w:before="260" w:line="237" w:lineRule="auto"/>
              <w:ind w:left="789"/>
            </w:pPr>
            <w:r>
              <w:rPr>
                <w:spacing w:val="-10"/>
              </w:rPr>
              <w:t>10</w:t>
            </w:r>
          </w:p>
        </w:tc>
      </w:tr>
      <w:tr w14:paraId="20B979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12" w:hRule="atLeast"/>
        </w:trPr>
        <w:tc>
          <w:tcPr>
            <w:tcW w:w="1040" w:type="dxa"/>
            <w:gridSpan w:val="2"/>
            <w:tcBorders>
              <w:left w:val="single" w:color="000000" w:sz="4" w:space="0"/>
            </w:tcBorders>
            <w:vAlign w:val="top"/>
          </w:tcPr>
          <w:p w14:paraId="6C846D98">
            <w:pPr>
              <w:pStyle w:val="7"/>
              <w:spacing w:before="262" w:line="238" w:lineRule="auto"/>
              <w:ind w:left="474"/>
            </w:pPr>
            <w:r>
              <w:t>2</w:t>
            </w:r>
          </w:p>
        </w:tc>
        <w:tc>
          <w:tcPr>
            <w:tcW w:w="2462" w:type="dxa"/>
            <w:vAlign w:val="top"/>
          </w:tcPr>
          <w:p w14:paraId="420C9BD3">
            <w:pPr>
              <w:pStyle w:val="7"/>
              <w:spacing w:before="261" w:line="217" w:lineRule="auto"/>
              <w:ind w:left="907"/>
            </w:pPr>
            <w:r>
              <w:rPr>
                <w:spacing w:val="-14"/>
              </w:rPr>
              <w:t>机械工</w:t>
            </w:r>
          </w:p>
        </w:tc>
        <w:tc>
          <w:tcPr>
            <w:tcW w:w="1744" w:type="dxa"/>
            <w:vAlign w:val="top"/>
          </w:tcPr>
          <w:p w14:paraId="5986ED36">
            <w:pPr>
              <w:pStyle w:val="7"/>
              <w:spacing w:before="262" w:line="237" w:lineRule="auto"/>
              <w:ind w:left="784"/>
            </w:pPr>
            <w:r>
              <w:rPr>
                <w:spacing w:val="-10"/>
              </w:rPr>
              <w:t>10</w:t>
            </w:r>
          </w:p>
        </w:tc>
        <w:tc>
          <w:tcPr>
            <w:tcW w:w="1741" w:type="dxa"/>
            <w:vAlign w:val="top"/>
          </w:tcPr>
          <w:p w14:paraId="0679B2B1">
            <w:pPr>
              <w:pStyle w:val="7"/>
              <w:spacing w:before="262" w:line="237" w:lineRule="auto"/>
              <w:ind w:left="768"/>
            </w:pPr>
            <w:r>
              <w:rPr>
                <w:spacing w:val="-6"/>
              </w:rPr>
              <w:t>20</w:t>
            </w:r>
          </w:p>
        </w:tc>
        <w:tc>
          <w:tcPr>
            <w:tcW w:w="1766" w:type="dxa"/>
            <w:tcBorders>
              <w:right w:val="single" w:color="000000" w:sz="4" w:space="0"/>
            </w:tcBorders>
            <w:vAlign w:val="top"/>
          </w:tcPr>
          <w:p w14:paraId="014ACDD5">
            <w:pPr>
              <w:pStyle w:val="7"/>
              <w:spacing w:before="262" w:line="237" w:lineRule="auto"/>
              <w:ind w:left="789"/>
            </w:pPr>
            <w:r>
              <w:rPr>
                <w:spacing w:val="-10"/>
              </w:rPr>
              <w:t>10</w:t>
            </w:r>
          </w:p>
        </w:tc>
      </w:tr>
      <w:tr w14:paraId="5BBB78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50" w:hRule="atLeast"/>
        </w:trPr>
        <w:tc>
          <w:tcPr>
            <w:tcW w:w="264" w:type="dxa"/>
            <w:tcBorders>
              <w:left w:val="single" w:color="1C456A" w:sz="4" w:space="0"/>
              <w:bottom w:val="single" w:color="1C456A" w:sz="4" w:space="0"/>
              <w:right w:val="nil"/>
            </w:tcBorders>
            <w:vAlign w:val="top"/>
          </w:tcPr>
          <w:p w14:paraId="6DFFD772">
            <w:pPr>
              <w:rPr>
                <w:rFonts w:ascii="Arial"/>
                <w:sz w:val="21"/>
              </w:rPr>
            </w:pPr>
            <w:r>
              <w:pict>
                <v:shape id="_x0000_s4412" o:spid="_x0000_s4412" style="position:absolute;left:0pt;margin-left:-0.25pt;margin-top:47.5pt;height:0.75pt;width:2.2pt;mso-position-horizontal-relative:page;mso-position-vertical-relative:page;z-index:252379136;mso-width-relative:page;mso-height-relative:page;" fillcolor="#5B9BD5" filled="t" stroked="f" coordsize="44,15" path="m0,14l43,14,43,0,0,0,0,14xe">
                  <v:path/>
                  <v:fill on="t" focussize="0,0"/>
                  <v:stroke on="f"/>
                  <v:imagedata o:title=""/>
                  <o:lock v:ext="edit"/>
                </v:shape>
              </w:pict>
            </w:r>
          </w:p>
        </w:tc>
        <w:tc>
          <w:tcPr>
            <w:tcW w:w="776" w:type="dxa"/>
            <w:tcBorders>
              <w:left w:val="nil"/>
              <w:bottom w:val="single" w:color="1C456A" w:sz="4" w:space="0"/>
            </w:tcBorders>
            <w:vAlign w:val="top"/>
          </w:tcPr>
          <w:p w14:paraId="66758AD3">
            <w:pPr>
              <w:pStyle w:val="7"/>
              <w:spacing w:before="264" w:line="237" w:lineRule="auto"/>
              <w:ind w:left="216"/>
            </w:pPr>
            <w:r>
              <w:t>3</w:t>
            </w:r>
          </w:p>
        </w:tc>
        <w:tc>
          <w:tcPr>
            <w:tcW w:w="2462" w:type="dxa"/>
            <w:tcBorders>
              <w:bottom w:val="single" w:color="000000" w:sz="4" w:space="0"/>
            </w:tcBorders>
            <w:vAlign w:val="top"/>
          </w:tcPr>
          <w:p w14:paraId="1DBA7220">
            <w:pPr>
              <w:pStyle w:val="7"/>
              <w:spacing w:before="264" w:line="217" w:lineRule="auto"/>
              <w:ind w:left="1015"/>
            </w:pPr>
            <w:r>
              <w:rPr>
                <w:spacing w:val="-10"/>
              </w:rPr>
              <w:t>木工</w:t>
            </w:r>
          </w:p>
        </w:tc>
        <w:tc>
          <w:tcPr>
            <w:tcW w:w="1744" w:type="dxa"/>
            <w:tcBorders>
              <w:bottom w:val="single" w:color="000000" w:sz="4" w:space="0"/>
            </w:tcBorders>
            <w:vAlign w:val="top"/>
          </w:tcPr>
          <w:p w14:paraId="72950A3B">
            <w:pPr>
              <w:pStyle w:val="7"/>
              <w:spacing w:before="264" w:line="237" w:lineRule="auto"/>
              <w:ind w:left="826"/>
            </w:pPr>
            <w:r>
              <w:t>5</w:t>
            </w:r>
          </w:p>
        </w:tc>
        <w:tc>
          <w:tcPr>
            <w:tcW w:w="1741" w:type="dxa"/>
            <w:tcBorders>
              <w:bottom w:val="single" w:color="000000" w:sz="4" w:space="0"/>
            </w:tcBorders>
            <w:vAlign w:val="top"/>
          </w:tcPr>
          <w:p w14:paraId="635BDAE5">
            <w:pPr>
              <w:pStyle w:val="7"/>
              <w:spacing w:before="264" w:line="237" w:lineRule="auto"/>
              <w:ind w:left="783"/>
            </w:pPr>
            <w:r>
              <w:rPr>
                <w:spacing w:val="-14"/>
              </w:rPr>
              <w:t>10</w:t>
            </w:r>
          </w:p>
        </w:tc>
        <w:tc>
          <w:tcPr>
            <w:tcW w:w="1766" w:type="dxa"/>
            <w:tcBorders>
              <w:bottom w:val="single" w:color="5B9BD5" w:sz="4" w:space="0"/>
              <w:right w:val="single" w:color="5B9BD5" w:sz="4" w:space="0"/>
            </w:tcBorders>
            <w:vAlign w:val="top"/>
          </w:tcPr>
          <w:p w14:paraId="4EDB901D">
            <w:pPr>
              <w:pStyle w:val="7"/>
              <w:spacing w:before="264" w:line="238" w:lineRule="auto"/>
              <w:ind w:left="830"/>
            </w:pPr>
            <w:r>
              <w:t>2</w:t>
            </w:r>
          </w:p>
        </w:tc>
      </w:tr>
    </w:tbl>
    <w:p w14:paraId="7499B993">
      <w:pPr>
        <w:rPr>
          <w:rFonts w:ascii="Arial"/>
          <w:sz w:val="21"/>
        </w:rPr>
      </w:pPr>
    </w:p>
    <w:p w14:paraId="69128122">
      <w:pPr>
        <w:spacing w:line="235" w:lineRule="exact"/>
      </w:pPr>
    </w:p>
    <w:tbl>
      <w:tblPr>
        <w:tblStyle w:val="6"/>
        <w:tblW w:w="8753" w:type="dxa"/>
        <w:tblInd w:w="157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43"/>
        <w:gridCol w:w="787"/>
        <w:gridCol w:w="2470"/>
        <w:gridCol w:w="1743"/>
        <w:gridCol w:w="1740"/>
        <w:gridCol w:w="1770"/>
      </w:tblGrid>
      <w:tr w14:paraId="7246F1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7" w:hRule="atLeast"/>
        </w:trPr>
        <w:tc>
          <w:tcPr>
            <w:tcW w:w="1030" w:type="dxa"/>
            <w:gridSpan w:val="2"/>
            <w:tcBorders>
              <w:top w:val="single" w:color="000000" w:sz="4" w:space="0"/>
              <w:left w:val="single" w:color="000000" w:sz="4" w:space="0"/>
            </w:tcBorders>
            <w:vAlign w:val="top"/>
          </w:tcPr>
          <w:p w14:paraId="72E7B0E0">
            <w:pPr>
              <w:pStyle w:val="7"/>
              <w:spacing w:before="292" w:line="238" w:lineRule="auto"/>
              <w:ind w:left="470"/>
            </w:pPr>
            <w:r>
              <w:t>4</w:t>
            </w:r>
          </w:p>
        </w:tc>
        <w:tc>
          <w:tcPr>
            <w:tcW w:w="2470" w:type="dxa"/>
            <w:tcBorders>
              <w:top w:val="single" w:color="000000" w:sz="4" w:space="0"/>
            </w:tcBorders>
            <w:vAlign w:val="top"/>
          </w:tcPr>
          <w:p w14:paraId="337B713D">
            <w:pPr>
              <w:pStyle w:val="7"/>
              <w:spacing w:before="292" w:line="218" w:lineRule="auto"/>
              <w:ind w:left="262"/>
            </w:pPr>
            <w:r>
              <w:rPr>
                <w:spacing w:val="-19"/>
              </w:rPr>
              <w:t>砼浇筑、沥青摊铺工</w:t>
            </w:r>
          </w:p>
        </w:tc>
        <w:tc>
          <w:tcPr>
            <w:tcW w:w="1743" w:type="dxa"/>
            <w:tcBorders>
              <w:top w:val="single" w:color="000000" w:sz="4" w:space="0"/>
            </w:tcBorders>
            <w:vAlign w:val="top"/>
          </w:tcPr>
          <w:p w14:paraId="6BA6B897">
            <w:pPr>
              <w:pStyle w:val="7"/>
              <w:spacing w:before="292" w:line="238" w:lineRule="auto"/>
              <w:ind w:left="826"/>
            </w:pPr>
            <w:r>
              <w:t>2</w:t>
            </w:r>
          </w:p>
        </w:tc>
        <w:tc>
          <w:tcPr>
            <w:tcW w:w="1740" w:type="dxa"/>
            <w:tcBorders>
              <w:top w:val="single" w:color="000000" w:sz="4" w:space="0"/>
            </w:tcBorders>
            <w:vAlign w:val="top"/>
          </w:tcPr>
          <w:p w14:paraId="285D0660">
            <w:pPr>
              <w:pStyle w:val="7"/>
              <w:spacing w:before="292" w:line="237" w:lineRule="auto"/>
              <w:ind w:left="771"/>
            </w:pPr>
            <w:r>
              <w:rPr>
                <w:spacing w:val="-6"/>
              </w:rPr>
              <w:t>20</w:t>
            </w:r>
          </w:p>
        </w:tc>
        <w:tc>
          <w:tcPr>
            <w:tcW w:w="1770" w:type="dxa"/>
            <w:tcBorders>
              <w:top w:val="single" w:color="5B9BD5" w:sz="4" w:space="0"/>
              <w:right w:val="single" w:color="5B9BD5" w:sz="4" w:space="0"/>
            </w:tcBorders>
            <w:vAlign w:val="top"/>
          </w:tcPr>
          <w:p w14:paraId="656D8E19">
            <w:pPr>
              <w:pStyle w:val="7"/>
              <w:spacing w:before="292" w:line="237" w:lineRule="auto"/>
              <w:ind w:left="836"/>
            </w:pPr>
            <w:r>
              <w:t>5</w:t>
            </w:r>
          </w:p>
        </w:tc>
      </w:tr>
      <w:tr w14:paraId="2E437A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13" w:hRule="atLeast"/>
        </w:trPr>
        <w:tc>
          <w:tcPr>
            <w:tcW w:w="1030" w:type="dxa"/>
            <w:gridSpan w:val="2"/>
            <w:tcBorders>
              <w:left w:val="single" w:color="000000" w:sz="4" w:space="0"/>
            </w:tcBorders>
            <w:vAlign w:val="top"/>
          </w:tcPr>
          <w:p w14:paraId="0E821D21">
            <w:pPr>
              <w:pStyle w:val="7"/>
              <w:spacing w:before="257" w:line="237" w:lineRule="auto"/>
              <w:ind w:left="475"/>
            </w:pPr>
            <w:r>
              <w:t>5</w:t>
            </w:r>
          </w:p>
        </w:tc>
        <w:tc>
          <w:tcPr>
            <w:tcW w:w="2470" w:type="dxa"/>
            <w:vAlign w:val="top"/>
          </w:tcPr>
          <w:p w14:paraId="6C457D0E">
            <w:pPr>
              <w:pStyle w:val="7"/>
              <w:spacing w:before="257" w:line="219" w:lineRule="auto"/>
              <w:ind w:left="808"/>
            </w:pPr>
            <w:r>
              <w:rPr>
                <w:spacing w:val="-15"/>
              </w:rPr>
              <w:t>水、电工</w:t>
            </w:r>
          </w:p>
        </w:tc>
        <w:tc>
          <w:tcPr>
            <w:tcW w:w="1743" w:type="dxa"/>
            <w:vAlign w:val="top"/>
          </w:tcPr>
          <w:p w14:paraId="62FA9687">
            <w:pPr>
              <w:pStyle w:val="7"/>
              <w:spacing w:before="257" w:line="237" w:lineRule="auto"/>
              <w:ind w:left="828"/>
            </w:pPr>
            <w:r>
              <w:t>5</w:t>
            </w:r>
          </w:p>
        </w:tc>
        <w:tc>
          <w:tcPr>
            <w:tcW w:w="1740" w:type="dxa"/>
            <w:vAlign w:val="top"/>
          </w:tcPr>
          <w:p w14:paraId="13111C2D">
            <w:pPr>
              <w:pStyle w:val="7"/>
              <w:spacing w:before="257" w:line="237" w:lineRule="auto"/>
              <w:ind w:left="786"/>
            </w:pPr>
            <w:r>
              <w:rPr>
                <w:spacing w:val="-10"/>
              </w:rPr>
              <w:t>10</w:t>
            </w:r>
          </w:p>
        </w:tc>
        <w:tc>
          <w:tcPr>
            <w:tcW w:w="1770" w:type="dxa"/>
            <w:tcBorders>
              <w:right w:val="single" w:color="000000" w:sz="4" w:space="0"/>
            </w:tcBorders>
            <w:vAlign w:val="top"/>
          </w:tcPr>
          <w:p w14:paraId="6ED64394">
            <w:pPr>
              <w:pStyle w:val="7"/>
              <w:spacing w:before="257" w:line="237" w:lineRule="auto"/>
              <w:ind w:left="836"/>
            </w:pPr>
            <w:r>
              <w:t>5</w:t>
            </w:r>
          </w:p>
        </w:tc>
      </w:tr>
      <w:tr w14:paraId="6A1387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11" w:hRule="atLeast"/>
        </w:trPr>
        <w:tc>
          <w:tcPr>
            <w:tcW w:w="1030" w:type="dxa"/>
            <w:gridSpan w:val="2"/>
            <w:tcBorders>
              <w:left w:val="single" w:color="000000" w:sz="4" w:space="0"/>
            </w:tcBorders>
            <w:vAlign w:val="top"/>
          </w:tcPr>
          <w:p w14:paraId="6E836D93">
            <w:pPr>
              <w:pStyle w:val="7"/>
              <w:spacing w:before="258" w:line="237" w:lineRule="auto"/>
              <w:ind w:left="473"/>
            </w:pPr>
            <w:r>
              <w:t>6</w:t>
            </w:r>
          </w:p>
        </w:tc>
        <w:tc>
          <w:tcPr>
            <w:tcW w:w="2470" w:type="dxa"/>
            <w:vAlign w:val="top"/>
          </w:tcPr>
          <w:p w14:paraId="55F63840">
            <w:pPr>
              <w:pStyle w:val="7"/>
              <w:spacing w:before="259" w:line="218" w:lineRule="auto"/>
              <w:ind w:left="943"/>
            </w:pPr>
            <w:r>
              <w:rPr>
                <w:spacing w:val="-22"/>
              </w:rPr>
              <w:t>电焊工</w:t>
            </w:r>
          </w:p>
        </w:tc>
        <w:tc>
          <w:tcPr>
            <w:tcW w:w="1743" w:type="dxa"/>
            <w:vAlign w:val="top"/>
          </w:tcPr>
          <w:p w14:paraId="3C9A8CE2">
            <w:pPr>
              <w:pStyle w:val="7"/>
              <w:spacing w:before="258" w:line="237" w:lineRule="auto"/>
              <w:ind w:left="828"/>
            </w:pPr>
            <w:r>
              <w:t>5</w:t>
            </w:r>
          </w:p>
        </w:tc>
        <w:tc>
          <w:tcPr>
            <w:tcW w:w="1740" w:type="dxa"/>
            <w:vAlign w:val="top"/>
          </w:tcPr>
          <w:p w14:paraId="1B84987C">
            <w:pPr>
              <w:pStyle w:val="7"/>
              <w:spacing w:before="258" w:line="237" w:lineRule="auto"/>
              <w:ind w:left="786"/>
            </w:pPr>
            <w:r>
              <w:rPr>
                <w:spacing w:val="-10"/>
              </w:rPr>
              <w:t>10</w:t>
            </w:r>
          </w:p>
        </w:tc>
        <w:tc>
          <w:tcPr>
            <w:tcW w:w="1770" w:type="dxa"/>
            <w:tcBorders>
              <w:right w:val="single" w:color="000000" w:sz="4" w:space="0"/>
            </w:tcBorders>
            <w:vAlign w:val="top"/>
          </w:tcPr>
          <w:p w14:paraId="03D497C5">
            <w:pPr>
              <w:pStyle w:val="7"/>
              <w:spacing w:before="258" w:line="237" w:lineRule="auto"/>
              <w:ind w:left="836"/>
            </w:pPr>
            <w:r>
              <w:t>5</w:t>
            </w:r>
          </w:p>
        </w:tc>
      </w:tr>
      <w:tr w14:paraId="486D6C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13" w:hRule="atLeast"/>
        </w:trPr>
        <w:tc>
          <w:tcPr>
            <w:tcW w:w="1030" w:type="dxa"/>
            <w:gridSpan w:val="2"/>
            <w:tcBorders>
              <w:left w:val="single" w:color="000000" w:sz="4" w:space="0"/>
            </w:tcBorders>
            <w:vAlign w:val="top"/>
          </w:tcPr>
          <w:p w14:paraId="1C8F7DA5">
            <w:pPr>
              <w:pStyle w:val="7"/>
              <w:spacing w:before="259" w:line="237" w:lineRule="auto"/>
              <w:ind w:left="476"/>
            </w:pPr>
            <w:r>
              <w:t>7</w:t>
            </w:r>
          </w:p>
        </w:tc>
        <w:tc>
          <w:tcPr>
            <w:tcW w:w="2470" w:type="dxa"/>
            <w:vAlign w:val="top"/>
          </w:tcPr>
          <w:p w14:paraId="60FD6B93">
            <w:pPr>
              <w:pStyle w:val="7"/>
              <w:spacing w:before="259" w:line="219" w:lineRule="auto"/>
              <w:ind w:left="916"/>
            </w:pPr>
            <w:r>
              <w:rPr>
                <w:spacing w:val="-13"/>
              </w:rPr>
              <w:t>钢筋工</w:t>
            </w:r>
          </w:p>
        </w:tc>
        <w:tc>
          <w:tcPr>
            <w:tcW w:w="1743" w:type="dxa"/>
            <w:vAlign w:val="top"/>
          </w:tcPr>
          <w:p w14:paraId="74C68A9D">
            <w:pPr>
              <w:pStyle w:val="7"/>
              <w:spacing w:before="259" w:line="237" w:lineRule="auto"/>
              <w:ind w:left="828"/>
            </w:pPr>
            <w:r>
              <w:t>5</w:t>
            </w:r>
          </w:p>
        </w:tc>
        <w:tc>
          <w:tcPr>
            <w:tcW w:w="1740" w:type="dxa"/>
            <w:vAlign w:val="top"/>
          </w:tcPr>
          <w:p w14:paraId="25B730D8">
            <w:pPr>
              <w:pStyle w:val="7"/>
              <w:spacing w:before="259" w:line="237" w:lineRule="auto"/>
              <w:ind w:left="786"/>
            </w:pPr>
            <w:r>
              <w:rPr>
                <w:spacing w:val="-14"/>
              </w:rPr>
              <w:t>10</w:t>
            </w:r>
          </w:p>
        </w:tc>
        <w:tc>
          <w:tcPr>
            <w:tcW w:w="1770" w:type="dxa"/>
            <w:tcBorders>
              <w:right w:val="single" w:color="000000" w:sz="4" w:space="0"/>
            </w:tcBorders>
            <w:vAlign w:val="top"/>
          </w:tcPr>
          <w:p w14:paraId="56800760">
            <w:pPr>
              <w:pStyle w:val="7"/>
              <w:spacing w:before="259" w:line="237" w:lineRule="auto"/>
              <w:ind w:left="836"/>
            </w:pPr>
            <w:r>
              <w:t>5</w:t>
            </w:r>
          </w:p>
        </w:tc>
      </w:tr>
      <w:tr w14:paraId="057E79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12" w:hRule="atLeast"/>
        </w:trPr>
        <w:tc>
          <w:tcPr>
            <w:tcW w:w="1030" w:type="dxa"/>
            <w:gridSpan w:val="2"/>
            <w:tcBorders>
              <w:left w:val="single" w:color="000000" w:sz="4" w:space="0"/>
            </w:tcBorders>
            <w:vAlign w:val="top"/>
          </w:tcPr>
          <w:p w14:paraId="3B40A555">
            <w:pPr>
              <w:pStyle w:val="7"/>
              <w:spacing w:before="261" w:line="237" w:lineRule="auto"/>
              <w:ind w:left="472"/>
            </w:pPr>
            <w:r>
              <w:t>8</w:t>
            </w:r>
          </w:p>
        </w:tc>
        <w:tc>
          <w:tcPr>
            <w:tcW w:w="2470" w:type="dxa"/>
            <w:vAlign w:val="top"/>
          </w:tcPr>
          <w:p w14:paraId="1C0444BF">
            <w:pPr>
              <w:pStyle w:val="7"/>
              <w:spacing w:before="261" w:line="216" w:lineRule="auto"/>
              <w:ind w:left="592"/>
            </w:pPr>
            <w:r>
              <w:rPr>
                <w:spacing w:val="-18"/>
              </w:rPr>
              <w:t>检查井砌筑工</w:t>
            </w:r>
          </w:p>
        </w:tc>
        <w:tc>
          <w:tcPr>
            <w:tcW w:w="1743" w:type="dxa"/>
            <w:vAlign w:val="top"/>
          </w:tcPr>
          <w:p w14:paraId="1B8353F6">
            <w:pPr>
              <w:pStyle w:val="7"/>
              <w:spacing w:before="261" w:line="237" w:lineRule="auto"/>
              <w:ind w:left="786"/>
            </w:pPr>
            <w:r>
              <w:rPr>
                <w:spacing w:val="-10"/>
              </w:rPr>
              <w:t>10</w:t>
            </w:r>
          </w:p>
        </w:tc>
        <w:tc>
          <w:tcPr>
            <w:tcW w:w="1740" w:type="dxa"/>
            <w:vAlign w:val="top"/>
          </w:tcPr>
          <w:p w14:paraId="0B6B3B99">
            <w:pPr>
              <w:pStyle w:val="7"/>
              <w:spacing w:before="261" w:line="237" w:lineRule="auto"/>
              <w:ind w:left="773"/>
            </w:pPr>
            <w:r>
              <w:rPr>
                <w:spacing w:val="-7"/>
              </w:rPr>
              <w:t>30</w:t>
            </w:r>
          </w:p>
        </w:tc>
        <w:tc>
          <w:tcPr>
            <w:tcW w:w="1770" w:type="dxa"/>
            <w:tcBorders>
              <w:right w:val="single" w:color="000000" w:sz="4" w:space="0"/>
            </w:tcBorders>
            <w:vAlign w:val="top"/>
          </w:tcPr>
          <w:p w14:paraId="2085E5DD">
            <w:pPr>
              <w:pStyle w:val="7"/>
              <w:spacing w:before="261" w:line="237" w:lineRule="auto"/>
              <w:ind w:left="779"/>
            </w:pPr>
            <w:r>
              <w:rPr>
                <w:spacing w:val="-6"/>
              </w:rPr>
              <w:t>20</w:t>
            </w:r>
          </w:p>
        </w:tc>
      </w:tr>
      <w:tr w14:paraId="425359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13" w:hRule="atLeast"/>
        </w:trPr>
        <w:tc>
          <w:tcPr>
            <w:tcW w:w="1030" w:type="dxa"/>
            <w:gridSpan w:val="2"/>
            <w:tcBorders>
              <w:left w:val="single" w:color="000000" w:sz="4" w:space="0"/>
            </w:tcBorders>
            <w:vAlign w:val="top"/>
          </w:tcPr>
          <w:p w14:paraId="216BA507">
            <w:pPr>
              <w:pStyle w:val="7"/>
              <w:spacing w:before="261" w:line="237" w:lineRule="auto"/>
              <w:ind w:left="472"/>
            </w:pPr>
            <w:r>
              <w:t>9</w:t>
            </w:r>
          </w:p>
        </w:tc>
        <w:tc>
          <w:tcPr>
            <w:tcW w:w="2470" w:type="dxa"/>
            <w:vAlign w:val="top"/>
          </w:tcPr>
          <w:p w14:paraId="142200E6">
            <w:pPr>
              <w:pStyle w:val="7"/>
              <w:spacing w:before="261" w:line="218" w:lineRule="auto"/>
              <w:ind w:left="951"/>
            </w:pPr>
            <w:r>
              <w:rPr>
                <w:spacing w:val="-21"/>
              </w:rPr>
              <w:t>吊装工</w:t>
            </w:r>
          </w:p>
        </w:tc>
        <w:tc>
          <w:tcPr>
            <w:tcW w:w="1743" w:type="dxa"/>
            <w:vAlign w:val="top"/>
          </w:tcPr>
          <w:p w14:paraId="76EF2EDB">
            <w:pPr>
              <w:pStyle w:val="7"/>
              <w:spacing w:before="261" w:line="237" w:lineRule="auto"/>
              <w:ind w:left="786"/>
            </w:pPr>
            <w:r>
              <w:rPr>
                <w:spacing w:val="-14"/>
              </w:rPr>
              <w:t>10</w:t>
            </w:r>
          </w:p>
        </w:tc>
        <w:tc>
          <w:tcPr>
            <w:tcW w:w="1740" w:type="dxa"/>
            <w:vAlign w:val="top"/>
          </w:tcPr>
          <w:p w14:paraId="64738C39">
            <w:pPr>
              <w:pStyle w:val="7"/>
              <w:spacing w:before="261" w:line="237" w:lineRule="auto"/>
              <w:ind w:left="771"/>
            </w:pPr>
            <w:r>
              <w:rPr>
                <w:spacing w:val="-6"/>
              </w:rPr>
              <w:t>20</w:t>
            </w:r>
          </w:p>
        </w:tc>
        <w:tc>
          <w:tcPr>
            <w:tcW w:w="1770" w:type="dxa"/>
            <w:tcBorders>
              <w:right w:val="single" w:color="000000" w:sz="4" w:space="0"/>
            </w:tcBorders>
            <w:vAlign w:val="top"/>
          </w:tcPr>
          <w:p w14:paraId="28FBE0F2">
            <w:pPr>
              <w:pStyle w:val="7"/>
              <w:spacing w:before="261" w:line="237" w:lineRule="auto"/>
              <w:ind w:left="836"/>
            </w:pPr>
            <w:r>
              <w:t>5</w:t>
            </w:r>
          </w:p>
        </w:tc>
      </w:tr>
      <w:tr w14:paraId="300767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11" w:hRule="atLeast"/>
        </w:trPr>
        <w:tc>
          <w:tcPr>
            <w:tcW w:w="1030" w:type="dxa"/>
            <w:gridSpan w:val="2"/>
            <w:tcBorders>
              <w:left w:val="single" w:color="000000" w:sz="4" w:space="0"/>
            </w:tcBorders>
            <w:vAlign w:val="top"/>
          </w:tcPr>
          <w:p w14:paraId="0116D329">
            <w:pPr>
              <w:pStyle w:val="7"/>
              <w:spacing w:before="262" w:line="237" w:lineRule="auto"/>
              <w:ind w:left="433"/>
            </w:pPr>
            <w:r>
              <w:rPr>
                <w:spacing w:val="-14"/>
              </w:rPr>
              <w:t>10</w:t>
            </w:r>
          </w:p>
        </w:tc>
        <w:tc>
          <w:tcPr>
            <w:tcW w:w="2470" w:type="dxa"/>
            <w:vAlign w:val="top"/>
          </w:tcPr>
          <w:p w14:paraId="18C37632">
            <w:pPr>
              <w:pStyle w:val="7"/>
              <w:spacing w:before="262" w:line="218" w:lineRule="auto"/>
              <w:ind w:left="712"/>
            </w:pPr>
            <w:r>
              <w:rPr>
                <w:spacing w:val="-20"/>
              </w:rPr>
              <w:t>管道焊接工</w:t>
            </w:r>
          </w:p>
        </w:tc>
        <w:tc>
          <w:tcPr>
            <w:tcW w:w="1743" w:type="dxa"/>
            <w:vAlign w:val="top"/>
          </w:tcPr>
          <w:p w14:paraId="3B6562C8">
            <w:pPr>
              <w:pStyle w:val="7"/>
              <w:spacing w:before="262" w:line="237" w:lineRule="auto"/>
              <w:ind w:left="786"/>
            </w:pPr>
            <w:r>
              <w:rPr>
                <w:spacing w:val="-14"/>
              </w:rPr>
              <w:t>10</w:t>
            </w:r>
          </w:p>
        </w:tc>
        <w:tc>
          <w:tcPr>
            <w:tcW w:w="1740" w:type="dxa"/>
            <w:vAlign w:val="top"/>
          </w:tcPr>
          <w:p w14:paraId="3F1197BA">
            <w:pPr>
              <w:pStyle w:val="7"/>
              <w:spacing w:before="262" w:line="237" w:lineRule="auto"/>
              <w:ind w:left="771"/>
            </w:pPr>
            <w:r>
              <w:rPr>
                <w:spacing w:val="-6"/>
              </w:rPr>
              <w:t>20</w:t>
            </w:r>
          </w:p>
        </w:tc>
        <w:tc>
          <w:tcPr>
            <w:tcW w:w="1770" w:type="dxa"/>
            <w:tcBorders>
              <w:right w:val="single" w:color="000000" w:sz="4" w:space="0"/>
            </w:tcBorders>
            <w:vAlign w:val="top"/>
          </w:tcPr>
          <w:p w14:paraId="542DE010">
            <w:pPr>
              <w:pStyle w:val="7"/>
              <w:spacing w:before="262" w:line="237" w:lineRule="auto"/>
              <w:ind w:left="836"/>
            </w:pPr>
            <w:r>
              <w:t>5</w:t>
            </w:r>
          </w:p>
        </w:tc>
      </w:tr>
      <w:tr w14:paraId="418212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13" w:hRule="atLeast"/>
        </w:trPr>
        <w:tc>
          <w:tcPr>
            <w:tcW w:w="1030" w:type="dxa"/>
            <w:gridSpan w:val="2"/>
            <w:tcBorders>
              <w:left w:val="single" w:color="000000" w:sz="4" w:space="0"/>
            </w:tcBorders>
            <w:vAlign w:val="top"/>
          </w:tcPr>
          <w:p w14:paraId="4B5F4D97">
            <w:pPr>
              <w:pStyle w:val="7"/>
              <w:spacing w:before="263" w:line="238" w:lineRule="auto"/>
              <w:ind w:left="433"/>
            </w:pPr>
            <w:r>
              <w:rPr>
                <w:spacing w:val="-10"/>
              </w:rPr>
              <w:t>11</w:t>
            </w:r>
          </w:p>
        </w:tc>
        <w:tc>
          <w:tcPr>
            <w:tcW w:w="2470" w:type="dxa"/>
            <w:vAlign w:val="top"/>
          </w:tcPr>
          <w:p w14:paraId="206882F6">
            <w:pPr>
              <w:pStyle w:val="7"/>
              <w:spacing w:before="263" w:line="216" w:lineRule="auto"/>
              <w:ind w:left="703"/>
            </w:pPr>
            <w:r>
              <w:rPr>
                <w:spacing w:val="-18"/>
              </w:rPr>
              <w:t>登高作业工</w:t>
            </w:r>
          </w:p>
        </w:tc>
        <w:tc>
          <w:tcPr>
            <w:tcW w:w="1743" w:type="dxa"/>
            <w:vAlign w:val="top"/>
          </w:tcPr>
          <w:p w14:paraId="69D9F242">
            <w:pPr>
              <w:pStyle w:val="7"/>
              <w:spacing w:before="263" w:line="238" w:lineRule="auto"/>
              <w:ind w:left="826"/>
            </w:pPr>
            <w:r>
              <w:t>2</w:t>
            </w:r>
          </w:p>
        </w:tc>
        <w:tc>
          <w:tcPr>
            <w:tcW w:w="1740" w:type="dxa"/>
            <w:vAlign w:val="top"/>
          </w:tcPr>
          <w:p w14:paraId="7F5F14D8">
            <w:pPr>
              <w:pStyle w:val="7"/>
              <w:spacing w:before="263" w:line="237" w:lineRule="auto"/>
              <w:ind w:left="828"/>
            </w:pPr>
            <w:r>
              <w:t>5</w:t>
            </w:r>
          </w:p>
        </w:tc>
        <w:tc>
          <w:tcPr>
            <w:tcW w:w="1770" w:type="dxa"/>
            <w:tcBorders>
              <w:right w:val="single" w:color="000000" w:sz="4" w:space="0"/>
            </w:tcBorders>
            <w:vAlign w:val="top"/>
          </w:tcPr>
          <w:p w14:paraId="684D06FE">
            <w:pPr>
              <w:pStyle w:val="7"/>
              <w:spacing w:before="263" w:line="238" w:lineRule="auto"/>
              <w:ind w:left="834"/>
            </w:pPr>
            <w:r>
              <w:t>2</w:t>
            </w:r>
          </w:p>
        </w:tc>
      </w:tr>
      <w:tr w14:paraId="72E31F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12" w:hRule="atLeast"/>
        </w:trPr>
        <w:tc>
          <w:tcPr>
            <w:tcW w:w="1030" w:type="dxa"/>
            <w:gridSpan w:val="2"/>
            <w:tcBorders>
              <w:left w:val="single" w:color="000000" w:sz="4" w:space="0"/>
            </w:tcBorders>
            <w:vAlign w:val="top"/>
          </w:tcPr>
          <w:p w14:paraId="36E9D21C">
            <w:pPr>
              <w:pStyle w:val="7"/>
              <w:spacing w:before="265" w:line="238" w:lineRule="auto"/>
              <w:ind w:left="433"/>
            </w:pPr>
            <w:r>
              <w:rPr>
                <w:spacing w:val="-10"/>
              </w:rPr>
              <w:t>12</w:t>
            </w:r>
          </w:p>
        </w:tc>
        <w:tc>
          <w:tcPr>
            <w:tcW w:w="2470" w:type="dxa"/>
            <w:vAlign w:val="top"/>
          </w:tcPr>
          <w:p w14:paraId="398D75C8">
            <w:pPr>
              <w:pStyle w:val="7"/>
              <w:spacing w:before="264" w:line="221" w:lineRule="auto"/>
              <w:ind w:left="1034"/>
            </w:pPr>
            <w:r>
              <w:rPr>
                <w:spacing w:val="-12"/>
              </w:rPr>
              <w:t>瓦工</w:t>
            </w:r>
          </w:p>
        </w:tc>
        <w:tc>
          <w:tcPr>
            <w:tcW w:w="1743" w:type="dxa"/>
            <w:vAlign w:val="top"/>
          </w:tcPr>
          <w:p w14:paraId="1EA89310">
            <w:pPr>
              <w:pStyle w:val="7"/>
              <w:spacing w:before="264" w:line="237" w:lineRule="auto"/>
              <w:ind w:left="786"/>
            </w:pPr>
            <w:r>
              <w:rPr>
                <w:spacing w:val="-10"/>
              </w:rPr>
              <w:t>10</w:t>
            </w:r>
          </w:p>
        </w:tc>
        <w:tc>
          <w:tcPr>
            <w:tcW w:w="1740" w:type="dxa"/>
            <w:vAlign w:val="top"/>
          </w:tcPr>
          <w:p w14:paraId="65D56756">
            <w:pPr>
              <w:pStyle w:val="7"/>
              <w:spacing w:before="264" w:line="237" w:lineRule="auto"/>
              <w:ind w:left="786"/>
            </w:pPr>
            <w:r>
              <w:rPr>
                <w:spacing w:val="-10"/>
              </w:rPr>
              <w:t>15</w:t>
            </w:r>
          </w:p>
        </w:tc>
        <w:tc>
          <w:tcPr>
            <w:tcW w:w="1770" w:type="dxa"/>
            <w:tcBorders>
              <w:right w:val="single" w:color="000000" w:sz="4" w:space="0"/>
            </w:tcBorders>
            <w:vAlign w:val="top"/>
          </w:tcPr>
          <w:p w14:paraId="28247BC1">
            <w:pPr>
              <w:pStyle w:val="7"/>
              <w:spacing w:before="264" w:line="237" w:lineRule="auto"/>
              <w:ind w:left="836"/>
            </w:pPr>
            <w:r>
              <w:t>5</w:t>
            </w:r>
          </w:p>
        </w:tc>
      </w:tr>
      <w:tr w14:paraId="17482B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14" w:hRule="atLeast"/>
        </w:trPr>
        <w:tc>
          <w:tcPr>
            <w:tcW w:w="1030" w:type="dxa"/>
            <w:gridSpan w:val="2"/>
            <w:tcBorders>
              <w:left w:val="single" w:color="000000" w:sz="4" w:space="0"/>
            </w:tcBorders>
            <w:vAlign w:val="top"/>
          </w:tcPr>
          <w:p w14:paraId="36A47002">
            <w:pPr>
              <w:pStyle w:val="7"/>
              <w:spacing w:before="264" w:line="237" w:lineRule="auto"/>
              <w:ind w:left="433"/>
            </w:pPr>
            <w:r>
              <w:rPr>
                <w:spacing w:val="-10"/>
              </w:rPr>
              <w:t>13</w:t>
            </w:r>
          </w:p>
        </w:tc>
        <w:tc>
          <w:tcPr>
            <w:tcW w:w="2470" w:type="dxa"/>
            <w:vAlign w:val="top"/>
          </w:tcPr>
          <w:p w14:paraId="7BD848EF">
            <w:pPr>
              <w:pStyle w:val="7"/>
              <w:spacing w:before="264" w:line="219" w:lineRule="auto"/>
              <w:ind w:left="916"/>
            </w:pPr>
            <w:r>
              <w:rPr>
                <w:spacing w:val="-13"/>
              </w:rPr>
              <w:t>铺装工</w:t>
            </w:r>
          </w:p>
        </w:tc>
        <w:tc>
          <w:tcPr>
            <w:tcW w:w="1743" w:type="dxa"/>
            <w:vAlign w:val="top"/>
          </w:tcPr>
          <w:p w14:paraId="0CB44D2B">
            <w:pPr>
              <w:pStyle w:val="7"/>
              <w:spacing w:before="264" w:line="237" w:lineRule="auto"/>
              <w:ind w:left="828"/>
            </w:pPr>
            <w:r>
              <w:t>5</w:t>
            </w:r>
          </w:p>
        </w:tc>
        <w:tc>
          <w:tcPr>
            <w:tcW w:w="1740" w:type="dxa"/>
            <w:vAlign w:val="top"/>
          </w:tcPr>
          <w:p w14:paraId="7E0BC995">
            <w:pPr>
              <w:pStyle w:val="7"/>
              <w:spacing w:before="264" w:line="237" w:lineRule="auto"/>
              <w:ind w:left="786"/>
            </w:pPr>
            <w:r>
              <w:rPr>
                <w:spacing w:val="-10"/>
              </w:rPr>
              <w:t>15</w:t>
            </w:r>
          </w:p>
        </w:tc>
        <w:tc>
          <w:tcPr>
            <w:tcW w:w="1770" w:type="dxa"/>
            <w:tcBorders>
              <w:right w:val="single" w:color="000000" w:sz="4" w:space="0"/>
            </w:tcBorders>
            <w:vAlign w:val="top"/>
          </w:tcPr>
          <w:p w14:paraId="676C140F">
            <w:pPr>
              <w:pStyle w:val="7"/>
              <w:spacing w:before="264" w:line="237" w:lineRule="auto"/>
              <w:ind w:left="793"/>
            </w:pPr>
            <w:r>
              <w:rPr>
                <w:spacing w:val="-10"/>
              </w:rPr>
              <w:t>15</w:t>
            </w:r>
          </w:p>
        </w:tc>
      </w:tr>
      <w:tr w14:paraId="71543B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11" w:hRule="atLeast"/>
        </w:trPr>
        <w:tc>
          <w:tcPr>
            <w:tcW w:w="1030" w:type="dxa"/>
            <w:gridSpan w:val="2"/>
            <w:tcBorders>
              <w:left w:val="single" w:color="000000" w:sz="4" w:space="0"/>
            </w:tcBorders>
            <w:vAlign w:val="top"/>
          </w:tcPr>
          <w:p w14:paraId="2B5DA26B">
            <w:pPr>
              <w:pStyle w:val="7"/>
              <w:spacing w:before="265" w:line="238" w:lineRule="auto"/>
              <w:ind w:left="433"/>
            </w:pPr>
            <w:r>
              <w:rPr>
                <w:spacing w:val="-14"/>
              </w:rPr>
              <w:t>14</w:t>
            </w:r>
          </w:p>
        </w:tc>
        <w:tc>
          <w:tcPr>
            <w:tcW w:w="2470" w:type="dxa"/>
            <w:vAlign w:val="top"/>
          </w:tcPr>
          <w:p w14:paraId="35DA7A50">
            <w:pPr>
              <w:pStyle w:val="7"/>
              <w:spacing w:before="265" w:line="218" w:lineRule="auto"/>
              <w:ind w:left="921"/>
            </w:pPr>
            <w:r>
              <w:rPr>
                <w:spacing w:val="-14"/>
              </w:rPr>
              <w:t>绿化工</w:t>
            </w:r>
          </w:p>
        </w:tc>
        <w:tc>
          <w:tcPr>
            <w:tcW w:w="1743" w:type="dxa"/>
            <w:vAlign w:val="top"/>
          </w:tcPr>
          <w:p w14:paraId="097C3052">
            <w:pPr>
              <w:pStyle w:val="7"/>
              <w:spacing w:before="264" w:line="237" w:lineRule="auto"/>
              <w:ind w:left="825"/>
            </w:pPr>
            <w:r>
              <w:t>0</w:t>
            </w:r>
          </w:p>
        </w:tc>
        <w:tc>
          <w:tcPr>
            <w:tcW w:w="1740" w:type="dxa"/>
            <w:vAlign w:val="top"/>
          </w:tcPr>
          <w:p w14:paraId="0D669877">
            <w:pPr>
              <w:pStyle w:val="7"/>
              <w:spacing w:before="264" w:line="237" w:lineRule="auto"/>
              <w:ind w:left="786"/>
            </w:pPr>
            <w:r>
              <w:rPr>
                <w:spacing w:val="-10"/>
              </w:rPr>
              <w:t>10</w:t>
            </w:r>
          </w:p>
        </w:tc>
        <w:tc>
          <w:tcPr>
            <w:tcW w:w="1770" w:type="dxa"/>
            <w:tcBorders>
              <w:right w:val="single" w:color="000000" w:sz="4" w:space="0"/>
            </w:tcBorders>
            <w:vAlign w:val="top"/>
          </w:tcPr>
          <w:p w14:paraId="20FEA5D2">
            <w:pPr>
              <w:pStyle w:val="7"/>
              <w:spacing w:before="264" w:line="237" w:lineRule="auto"/>
              <w:ind w:left="793"/>
            </w:pPr>
            <w:r>
              <w:rPr>
                <w:spacing w:val="-10"/>
              </w:rPr>
              <w:t>15</w:t>
            </w:r>
          </w:p>
        </w:tc>
      </w:tr>
      <w:tr w14:paraId="515382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14" w:hRule="atLeast"/>
        </w:trPr>
        <w:tc>
          <w:tcPr>
            <w:tcW w:w="1030" w:type="dxa"/>
            <w:gridSpan w:val="2"/>
            <w:tcBorders>
              <w:left w:val="single" w:color="000000" w:sz="4" w:space="0"/>
            </w:tcBorders>
            <w:vAlign w:val="top"/>
          </w:tcPr>
          <w:p w14:paraId="072EB7CD">
            <w:pPr>
              <w:pStyle w:val="7"/>
              <w:spacing w:before="265" w:line="237" w:lineRule="auto"/>
              <w:ind w:left="433"/>
            </w:pPr>
            <w:r>
              <w:rPr>
                <w:spacing w:val="-10"/>
              </w:rPr>
              <w:t>15</w:t>
            </w:r>
          </w:p>
        </w:tc>
        <w:tc>
          <w:tcPr>
            <w:tcW w:w="2470" w:type="dxa"/>
            <w:vAlign w:val="top"/>
          </w:tcPr>
          <w:p w14:paraId="6C9C1B7D">
            <w:pPr>
              <w:pStyle w:val="7"/>
              <w:spacing w:before="265" w:line="217" w:lineRule="auto"/>
              <w:ind w:left="916"/>
            </w:pPr>
            <w:r>
              <w:rPr>
                <w:spacing w:val="-13"/>
              </w:rPr>
              <w:t>特种工</w:t>
            </w:r>
          </w:p>
        </w:tc>
        <w:tc>
          <w:tcPr>
            <w:tcW w:w="1743" w:type="dxa"/>
            <w:vAlign w:val="top"/>
          </w:tcPr>
          <w:p w14:paraId="4A962124">
            <w:pPr>
              <w:pStyle w:val="7"/>
              <w:spacing w:before="265" w:line="237" w:lineRule="auto"/>
              <w:ind w:left="828"/>
            </w:pPr>
            <w:r>
              <w:t>5</w:t>
            </w:r>
          </w:p>
        </w:tc>
        <w:tc>
          <w:tcPr>
            <w:tcW w:w="1740" w:type="dxa"/>
            <w:vAlign w:val="top"/>
          </w:tcPr>
          <w:p w14:paraId="200590C5">
            <w:pPr>
              <w:pStyle w:val="7"/>
              <w:spacing w:before="265" w:line="237" w:lineRule="auto"/>
              <w:ind w:left="828"/>
            </w:pPr>
            <w:r>
              <w:t>5</w:t>
            </w:r>
          </w:p>
        </w:tc>
        <w:tc>
          <w:tcPr>
            <w:tcW w:w="1770" w:type="dxa"/>
            <w:tcBorders>
              <w:right w:val="single" w:color="000000" w:sz="4" w:space="0"/>
            </w:tcBorders>
            <w:vAlign w:val="top"/>
          </w:tcPr>
          <w:p w14:paraId="3683D1AA">
            <w:pPr>
              <w:pStyle w:val="7"/>
              <w:spacing w:before="266" w:line="238" w:lineRule="auto"/>
              <w:ind w:left="834"/>
            </w:pPr>
            <w:r>
              <w:t>2</w:t>
            </w:r>
          </w:p>
        </w:tc>
      </w:tr>
      <w:tr w14:paraId="6E354F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12" w:hRule="atLeast"/>
        </w:trPr>
        <w:tc>
          <w:tcPr>
            <w:tcW w:w="1030" w:type="dxa"/>
            <w:gridSpan w:val="2"/>
            <w:tcBorders>
              <w:left w:val="single" w:color="000000" w:sz="4" w:space="0"/>
            </w:tcBorders>
            <w:vAlign w:val="top"/>
          </w:tcPr>
          <w:p w14:paraId="2AEEC6CE">
            <w:pPr>
              <w:pStyle w:val="7"/>
              <w:spacing w:before="266" w:line="237" w:lineRule="auto"/>
              <w:ind w:left="433"/>
            </w:pPr>
            <w:r>
              <w:rPr>
                <w:spacing w:val="-14"/>
              </w:rPr>
              <w:t>16</w:t>
            </w:r>
          </w:p>
        </w:tc>
        <w:tc>
          <w:tcPr>
            <w:tcW w:w="2470" w:type="dxa"/>
            <w:vAlign w:val="top"/>
          </w:tcPr>
          <w:p w14:paraId="25C70A1B">
            <w:pPr>
              <w:pStyle w:val="7"/>
              <w:spacing w:before="266" w:line="221" w:lineRule="auto"/>
              <w:ind w:left="1028"/>
            </w:pPr>
            <w:r>
              <w:rPr>
                <w:spacing w:val="-11"/>
              </w:rPr>
              <w:t>普工</w:t>
            </w:r>
          </w:p>
        </w:tc>
        <w:tc>
          <w:tcPr>
            <w:tcW w:w="1743" w:type="dxa"/>
            <w:vAlign w:val="top"/>
          </w:tcPr>
          <w:p w14:paraId="541FFB07">
            <w:pPr>
              <w:pStyle w:val="7"/>
              <w:spacing w:before="266" w:line="237" w:lineRule="auto"/>
              <w:ind w:left="771"/>
            </w:pPr>
            <w:r>
              <w:rPr>
                <w:spacing w:val="-6"/>
              </w:rPr>
              <w:t>20</w:t>
            </w:r>
          </w:p>
        </w:tc>
        <w:tc>
          <w:tcPr>
            <w:tcW w:w="1740" w:type="dxa"/>
            <w:vAlign w:val="top"/>
          </w:tcPr>
          <w:p w14:paraId="5E59EE21">
            <w:pPr>
              <w:pStyle w:val="7"/>
              <w:spacing w:before="266" w:line="237" w:lineRule="auto"/>
              <w:ind w:left="767"/>
            </w:pPr>
            <w:r>
              <w:rPr>
                <w:spacing w:val="-5"/>
              </w:rPr>
              <w:t>40</w:t>
            </w:r>
          </w:p>
        </w:tc>
        <w:tc>
          <w:tcPr>
            <w:tcW w:w="1770" w:type="dxa"/>
            <w:tcBorders>
              <w:right w:val="single" w:color="000000" w:sz="4" w:space="0"/>
            </w:tcBorders>
            <w:vAlign w:val="top"/>
          </w:tcPr>
          <w:p w14:paraId="0C43A5F4">
            <w:pPr>
              <w:pStyle w:val="7"/>
              <w:spacing w:before="266" w:line="237" w:lineRule="auto"/>
              <w:ind w:left="779"/>
            </w:pPr>
            <w:r>
              <w:rPr>
                <w:spacing w:val="-6"/>
              </w:rPr>
              <w:t>20</w:t>
            </w:r>
          </w:p>
        </w:tc>
      </w:tr>
      <w:tr w14:paraId="47A4A4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54" w:hRule="atLeast"/>
        </w:trPr>
        <w:tc>
          <w:tcPr>
            <w:tcW w:w="243" w:type="dxa"/>
            <w:tcBorders>
              <w:left w:val="single" w:color="1C456A" w:sz="4" w:space="0"/>
              <w:bottom w:val="single" w:color="1C456A" w:sz="4" w:space="0"/>
              <w:right w:val="nil"/>
            </w:tcBorders>
            <w:vAlign w:val="top"/>
          </w:tcPr>
          <w:p w14:paraId="19DC2ECA">
            <w:pPr>
              <w:rPr>
                <w:rFonts w:ascii="Arial"/>
                <w:sz w:val="21"/>
              </w:rPr>
            </w:pPr>
            <w:r>
              <w:pict>
                <v:shape id="_x0000_s4414" o:spid="_x0000_s4414" style="position:absolute;left:0pt;margin-left:-0.25pt;margin-top:47.75pt;height:0.75pt;width:2.2pt;mso-position-horizontal-relative:page;mso-position-vertical-relative:page;z-index:252380160;mso-width-relative:page;mso-height-relative:page;" fillcolor="#5B9BD5" filled="t" stroked="f" coordsize="44,15" path="m0,14l43,14,43,0,0,0,0,14xe">
                  <v:path/>
                  <v:fill on="t" focussize="0,0"/>
                  <v:stroke on="f"/>
                  <v:imagedata o:title=""/>
                  <o:lock v:ext="edit"/>
                </v:shape>
              </w:pict>
            </w:r>
          </w:p>
        </w:tc>
        <w:tc>
          <w:tcPr>
            <w:tcW w:w="787" w:type="dxa"/>
            <w:tcBorders>
              <w:left w:val="nil"/>
              <w:bottom w:val="single" w:color="1C456A" w:sz="4" w:space="0"/>
            </w:tcBorders>
            <w:vAlign w:val="top"/>
          </w:tcPr>
          <w:p w14:paraId="02B41385">
            <w:pPr>
              <w:pStyle w:val="7"/>
              <w:spacing w:before="266" w:line="237" w:lineRule="auto"/>
              <w:ind w:left="195"/>
            </w:pPr>
            <w:r>
              <w:rPr>
                <w:spacing w:val="-14"/>
              </w:rPr>
              <w:t>17</w:t>
            </w:r>
          </w:p>
        </w:tc>
        <w:tc>
          <w:tcPr>
            <w:tcW w:w="2470" w:type="dxa"/>
            <w:tcBorders>
              <w:bottom w:val="single" w:color="000000" w:sz="4" w:space="0"/>
            </w:tcBorders>
            <w:vAlign w:val="top"/>
          </w:tcPr>
          <w:p w14:paraId="1E2FECFE">
            <w:pPr>
              <w:pStyle w:val="7"/>
              <w:spacing w:before="266" w:line="218" w:lineRule="auto"/>
              <w:ind w:left="1032"/>
            </w:pPr>
            <w:r>
              <w:rPr>
                <w:spacing w:val="-12"/>
              </w:rPr>
              <w:t>合计</w:t>
            </w:r>
          </w:p>
        </w:tc>
        <w:tc>
          <w:tcPr>
            <w:tcW w:w="1743" w:type="dxa"/>
            <w:tcBorders>
              <w:bottom w:val="single" w:color="000000" w:sz="4" w:space="0"/>
            </w:tcBorders>
            <w:vAlign w:val="top"/>
          </w:tcPr>
          <w:p w14:paraId="033C7C5D">
            <w:pPr>
              <w:pStyle w:val="7"/>
              <w:spacing w:before="266" w:line="238" w:lineRule="auto"/>
              <w:ind w:left="731"/>
            </w:pPr>
            <w:r>
              <w:rPr>
                <w:spacing w:val="-12"/>
              </w:rPr>
              <w:t>114</w:t>
            </w:r>
          </w:p>
        </w:tc>
        <w:tc>
          <w:tcPr>
            <w:tcW w:w="1740" w:type="dxa"/>
            <w:tcBorders>
              <w:bottom w:val="single" w:color="000000" w:sz="4" w:space="0"/>
            </w:tcBorders>
            <w:vAlign w:val="top"/>
          </w:tcPr>
          <w:p w14:paraId="69278454">
            <w:pPr>
              <w:pStyle w:val="7"/>
              <w:spacing w:before="266" w:line="237" w:lineRule="auto"/>
              <w:ind w:left="716"/>
            </w:pPr>
            <w:r>
              <w:rPr>
                <w:spacing w:val="-8"/>
              </w:rPr>
              <w:t>254</w:t>
            </w:r>
          </w:p>
        </w:tc>
        <w:tc>
          <w:tcPr>
            <w:tcW w:w="1770" w:type="dxa"/>
            <w:tcBorders>
              <w:bottom w:val="single" w:color="5B9BD5" w:sz="4" w:space="0"/>
              <w:right w:val="single" w:color="5B9BD5" w:sz="4" w:space="0"/>
            </w:tcBorders>
            <w:vAlign w:val="top"/>
          </w:tcPr>
          <w:p w14:paraId="599F6FED">
            <w:pPr>
              <w:pStyle w:val="7"/>
              <w:spacing w:before="266" w:line="237" w:lineRule="auto"/>
              <w:ind w:left="738"/>
            </w:pPr>
            <w:r>
              <w:rPr>
                <w:spacing w:val="-12"/>
              </w:rPr>
              <w:t>131</w:t>
            </w:r>
          </w:p>
        </w:tc>
      </w:tr>
    </w:tbl>
    <w:p w14:paraId="0F3BB240">
      <w:pPr>
        <w:rPr>
          <w:rFonts w:ascii="Arial"/>
          <w:sz w:val="21"/>
        </w:rPr>
      </w:pPr>
    </w:p>
    <w:p w14:paraId="3CA9E959">
      <w:pPr>
        <w:rPr>
          <w:rFonts w:ascii="Arial" w:hAnsi="Arial" w:eastAsia="Arial" w:cs="Arial"/>
          <w:sz w:val="21"/>
          <w:szCs w:val="21"/>
        </w:rPr>
      </w:pPr>
    </w:p>
    <w:p w14:paraId="45095C7B">
      <w:pPr>
        <w:rPr>
          <w:rFonts w:ascii="Arial" w:hAnsi="Arial" w:eastAsia="Arial" w:cs="Arial"/>
          <w:sz w:val="21"/>
          <w:szCs w:val="21"/>
        </w:rPr>
      </w:pPr>
    </w:p>
    <w:p w14:paraId="08D2BCEA">
      <w:pPr>
        <w:rPr>
          <w:rFonts w:ascii="Arial" w:hAnsi="Arial" w:eastAsia="Arial" w:cs="Arial"/>
          <w:sz w:val="21"/>
          <w:szCs w:val="21"/>
        </w:rPr>
      </w:pPr>
    </w:p>
    <w:p w14:paraId="2B684A42">
      <w:pPr>
        <w:rPr>
          <w:rFonts w:ascii="Arial" w:hAnsi="Arial" w:eastAsia="Arial" w:cs="Arial"/>
          <w:sz w:val="21"/>
          <w:szCs w:val="21"/>
        </w:rPr>
        <w:sectPr>
          <w:footerReference r:id="rId399" w:type="default"/>
          <w:pgSz w:w="11907" w:h="16839"/>
          <w:pgMar w:top="933" w:right="4" w:bottom="1038" w:left="0" w:header="478" w:footer="357" w:gutter="0"/>
          <w:pgBorders>
            <w:top w:val="none" w:sz="0" w:space="0"/>
            <w:left w:val="none" w:sz="0" w:space="0"/>
            <w:bottom w:val="none" w:sz="0" w:space="0"/>
            <w:right w:val="none" w:sz="0" w:space="0"/>
          </w:pgBorders>
          <w:cols w:space="720" w:num="1"/>
        </w:sectPr>
      </w:pPr>
    </w:p>
    <w:p w14:paraId="5BF60714">
      <w:pPr>
        <w:pStyle w:val="2"/>
        <w:spacing w:before="283" w:line="221" w:lineRule="auto"/>
        <w:ind w:left="4043"/>
        <w:outlineLvl w:val="0"/>
        <w:rPr>
          <w:sz w:val="31"/>
          <w:szCs w:val="31"/>
        </w:rPr>
      </w:pPr>
      <w:bookmarkStart w:id="282" w:name="bookmark272"/>
      <w:bookmarkEnd w:id="282"/>
      <w:bookmarkStart w:id="283" w:name="bookmark270"/>
      <w:bookmarkEnd w:id="283"/>
      <w:bookmarkStart w:id="284" w:name="bookmark271"/>
      <w:bookmarkEnd w:id="284"/>
      <w:r>
        <w:rPr>
          <w:b/>
          <w:bCs/>
          <w:color w:val="7030A0"/>
          <w:spacing w:val="-15"/>
          <w:sz w:val="31"/>
          <w:szCs w:val="31"/>
        </w:rPr>
        <w:t>第十一章、施工总平面布置图</w:t>
      </w:r>
    </w:p>
    <w:p w14:paraId="7DA0581F">
      <w:pPr>
        <w:pStyle w:val="2"/>
        <w:spacing w:before="46" w:line="217" w:lineRule="auto"/>
        <w:ind w:left="4591"/>
        <w:outlineLvl w:val="1"/>
        <w:rPr>
          <w:sz w:val="30"/>
          <w:szCs w:val="30"/>
        </w:rPr>
      </w:pPr>
      <w:bookmarkStart w:id="285" w:name="bookmark314"/>
      <w:bookmarkEnd w:id="285"/>
      <w:r>
        <w:rPr>
          <w:b/>
          <w:bCs/>
          <w:color w:val="0070C0"/>
          <w:spacing w:val="-24"/>
          <w:sz w:val="30"/>
          <w:szCs w:val="30"/>
        </w:rPr>
        <w:t>第一节、施工总体筹划</w:t>
      </w:r>
    </w:p>
    <w:p w14:paraId="281FE077">
      <w:pPr>
        <w:pStyle w:val="2"/>
        <w:spacing w:before="61" w:line="219" w:lineRule="auto"/>
        <w:ind w:left="1981"/>
        <w:outlineLvl w:val="2"/>
        <w:rPr>
          <w:sz w:val="28"/>
          <w:szCs w:val="28"/>
        </w:rPr>
      </w:pPr>
      <w:bookmarkStart w:id="286" w:name="bookmark315"/>
      <w:bookmarkEnd w:id="286"/>
      <w:r>
        <w:rPr>
          <w:b/>
          <w:bCs/>
          <w:spacing w:val="-22"/>
          <w:sz w:val="28"/>
          <w:szCs w:val="28"/>
        </w:rPr>
        <w:t>一、踏勘本工程现场特点</w:t>
      </w:r>
    </w:p>
    <w:p w14:paraId="2A514E20">
      <w:pPr>
        <w:pStyle w:val="2"/>
        <w:spacing w:before="104" w:line="218" w:lineRule="auto"/>
        <w:ind w:left="1896"/>
        <w:rPr>
          <w:sz w:val="24"/>
          <w:szCs w:val="24"/>
        </w:rPr>
      </w:pPr>
      <w:r>
        <w:rPr>
          <w:spacing w:val="-20"/>
          <w:sz w:val="24"/>
          <w:szCs w:val="24"/>
        </w:rPr>
        <w:t>一、施工现场情况：</w:t>
      </w:r>
    </w:p>
    <w:p w14:paraId="05CFB4F6">
      <w:pPr>
        <w:pStyle w:val="2"/>
        <w:spacing w:before="116" w:line="217" w:lineRule="auto"/>
        <w:ind w:left="1894"/>
        <w:rPr>
          <w:sz w:val="24"/>
          <w:szCs w:val="24"/>
        </w:rPr>
      </w:pPr>
      <w:r>
        <w:rPr>
          <w:spacing w:val="-21"/>
          <w:sz w:val="24"/>
          <w:szCs w:val="24"/>
        </w:rPr>
        <w:t>本单位已组建项目建设团队，由本项目项目经理牵头对本项目</w:t>
      </w:r>
      <w:r>
        <w:rPr>
          <w:spacing w:val="-22"/>
          <w:sz w:val="24"/>
          <w:szCs w:val="24"/>
        </w:rPr>
        <w:t>的拟建现场进行踏勘。</w:t>
      </w:r>
    </w:p>
    <w:p w14:paraId="220D1FE8">
      <w:pPr>
        <w:pStyle w:val="2"/>
        <w:spacing w:before="113" w:line="299" w:lineRule="auto"/>
        <w:ind w:left="1456" w:right="1353" w:firstLine="447"/>
        <w:rPr>
          <w:sz w:val="24"/>
          <w:szCs w:val="24"/>
        </w:rPr>
      </w:pPr>
      <w:r>
        <w:rPr>
          <w:spacing w:val="-22"/>
          <w:sz w:val="24"/>
          <w:szCs w:val="24"/>
        </w:rPr>
        <w:t>1、由GPS卫星定位图显示可明显看到施工区域情况，对此</w:t>
      </w:r>
      <w:r>
        <w:rPr>
          <w:spacing w:val="-23"/>
          <w:sz w:val="24"/>
          <w:szCs w:val="24"/>
        </w:rPr>
        <w:t>我单位将根据现场踏勘情况及航</w:t>
      </w:r>
      <w:r>
        <w:rPr>
          <w:spacing w:val="-20"/>
          <w:sz w:val="24"/>
          <w:szCs w:val="24"/>
        </w:rPr>
        <w:t>拍周围环境情况进行现场的布置与规划并严格实行防尘降噪措施，实行绿色施工。本工程的环</w:t>
      </w:r>
      <w:r>
        <w:rPr>
          <w:spacing w:val="-23"/>
          <w:sz w:val="24"/>
          <w:szCs w:val="24"/>
        </w:rPr>
        <w:t>境保护根据建设单位的招标文件、当地环</w:t>
      </w:r>
      <w:r>
        <w:rPr>
          <w:spacing w:val="-24"/>
          <w:sz w:val="24"/>
          <w:szCs w:val="24"/>
        </w:rPr>
        <w:t>境保护主管部门提出的环境要求，结合周围实际情况，</w:t>
      </w:r>
      <w:r>
        <w:rPr>
          <w:spacing w:val="-20"/>
          <w:sz w:val="24"/>
          <w:szCs w:val="24"/>
        </w:rPr>
        <w:t>确定本工程施工过程中应予以充分重视的环境因素，以及极端气象条件可能对周围环境产生重</w:t>
      </w:r>
      <w:r>
        <w:rPr>
          <w:spacing w:val="-18"/>
          <w:sz w:val="24"/>
          <w:szCs w:val="24"/>
        </w:rPr>
        <w:t>大影响的环境因素，执行“以防为主、防治结合”的方针。严格按照《GB/T2400</w:t>
      </w:r>
      <w:r>
        <w:rPr>
          <w:spacing w:val="-19"/>
          <w:sz w:val="24"/>
          <w:szCs w:val="24"/>
        </w:rPr>
        <w:t>0-ISO14001环</w:t>
      </w:r>
      <w:r>
        <w:rPr>
          <w:spacing w:val="-20"/>
          <w:sz w:val="24"/>
          <w:szCs w:val="24"/>
        </w:rPr>
        <w:t>境管理系列标准》执行，降低能源消耗，最大限度地保持环境的可持续发展，杜绝生产、生活中产生的各类污染源外泄，防止或消除造成对环境的破坏和对社会的不良影响，保证职工的身</w:t>
      </w:r>
      <w:r>
        <w:rPr>
          <w:spacing w:val="-19"/>
          <w:sz w:val="24"/>
          <w:szCs w:val="24"/>
        </w:rPr>
        <w:t>体健康。我公司将做好治理污染的预防措施，要求预防为主的观念</w:t>
      </w:r>
      <w:r>
        <w:rPr>
          <w:spacing w:val="-20"/>
          <w:sz w:val="24"/>
          <w:szCs w:val="24"/>
        </w:rPr>
        <w:t>，并贯穿于企业的全过程，采用防止、减少或控制污染的各个过程、管理</w:t>
      </w:r>
      <w:r>
        <w:rPr>
          <w:spacing w:val="-21"/>
          <w:sz w:val="24"/>
          <w:szCs w:val="24"/>
        </w:rPr>
        <w:t>、材料或产品。严格遵循ISO14000标准规定的要</w:t>
      </w:r>
      <w:r>
        <w:rPr>
          <w:spacing w:val="-22"/>
          <w:sz w:val="24"/>
          <w:szCs w:val="24"/>
        </w:rPr>
        <w:t>求，使环境管理贯穿到企业各个环节的控制。</w:t>
      </w:r>
    </w:p>
    <w:p w14:paraId="145F1039">
      <w:pPr>
        <w:pStyle w:val="2"/>
        <w:spacing w:before="119" w:line="262" w:lineRule="auto"/>
        <w:ind w:left="1455" w:right="1411" w:firstLine="432"/>
        <w:rPr>
          <w:sz w:val="24"/>
          <w:szCs w:val="24"/>
        </w:rPr>
      </w:pPr>
      <w:r>
        <w:rPr>
          <w:spacing w:val="-22"/>
          <w:sz w:val="24"/>
          <w:szCs w:val="24"/>
        </w:rPr>
        <w:t>2、我司如有幸中标后，我单位将全力配合有关单位做好现场的施工管理及现场环境卫生保</w:t>
      </w:r>
      <w:r>
        <w:rPr>
          <w:spacing w:val="-15"/>
          <w:sz w:val="24"/>
          <w:szCs w:val="24"/>
        </w:rPr>
        <w:t>护工作。</w:t>
      </w:r>
    </w:p>
    <w:p w14:paraId="2406B764">
      <w:pPr>
        <w:pStyle w:val="2"/>
        <w:spacing w:before="83" w:line="211" w:lineRule="auto"/>
        <w:ind w:left="1986"/>
        <w:outlineLvl w:val="2"/>
        <w:rPr>
          <w:sz w:val="28"/>
          <w:szCs w:val="28"/>
        </w:rPr>
      </w:pPr>
      <w:bookmarkStart w:id="287" w:name="bookmark273"/>
      <w:bookmarkEnd w:id="287"/>
      <w:r>
        <w:rPr>
          <w:b/>
          <w:bCs/>
          <w:spacing w:val="-22"/>
          <w:sz w:val="28"/>
          <w:szCs w:val="28"/>
        </w:rPr>
        <w:t>二、项目基本情况</w:t>
      </w:r>
    </w:p>
    <w:tbl>
      <w:tblPr>
        <w:tblStyle w:val="6"/>
        <w:tblW w:w="9968" w:type="dxa"/>
        <w:tblInd w:w="969"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578"/>
        <w:gridCol w:w="4"/>
        <w:gridCol w:w="6382"/>
        <w:gridCol w:w="1284"/>
        <w:gridCol w:w="720"/>
      </w:tblGrid>
      <w:tr w14:paraId="71454B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1" w:hRule="atLeast"/>
        </w:trPr>
        <w:tc>
          <w:tcPr>
            <w:tcW w:w="1582" w:type="dxa"/>
            <w:gridSpan w:val="2"/>
            <w:tcBorders>
              <w:top w:val="single" w:color="000000" w:sz="4" w:space="0"/>
              <w:left w:val="single" w:color="000000" w:sz="4" w:space="0"/>
            </w:tcBorders>
            <w:shd w:val="clear" w:color="auto" w:fill="DEEAF6"/>
            <w:vAlign w:val="top"/>
          </w:tcPr>
          <w:p w14:paraId="6BD996F3">
            <w:pPr>
              <w:spacing w:line="33" w:lineRule="exact"/>
              <w:ind w:firstLine="1564"/>
            </w:pPr>
            <w:r>
              <w:pict>
                <v:shape id="_x0000_s4416" o:spid="_x0000_s4416" style="position:absolute;left:0pt;margin-left:-0.2pt;margin-top:0pt;height:0.75pt;width:2.2pt;mso-position-horizontal-relative:page;mso-position-vertical-relative:page;z-index:252382208;mso-width-relative:page;mso-height-relative:page;" fillcolor="#5B9BD5" filled="t" stroked="f" coordsize="44,15" path="m0,14l43,14,43,0,0,0,0,14xe">
                  <v:path/>
                  <v:fill on="t" focussize="0,0"/>
                  <v:stroke on="f"/>
                  <v:imagedata o:title=""/>
                  <o:lock v:ext="edit"/>
                </v:shape>
              </w:pict>
            </w:r>
            <w:r>
              <w:pict>
                <v:group id="_x0000_s4418" o:spid="_x0000_s4418" o:spt="203" style="height:2.2pt;width:2.2pt;" coordsize="44,44">
                  <o:lock v:ext="edit"/>
                  <v:shape id="_x0000_s4420" o:spid="_x0000_s4420" style="position:absolute;left:0;top:0;height:15;width:44;" fillcolor="#5B9BD5" filled="t" stroked="f" coordsize="44,15" path="m0,14l43,14,43,0,0,0,0,14xe">
                    <v:path/>
                    <v:fill on="t" focussize="0,0"/>
                    <v:stroke on="f"/>
                    <v:imagedata o:title=""/>
                    <o:lock v:ext="edit"/>
                  </v:shape>
                  <v:shape id="_x0000_s4422" o:spid="_x0000_s4422" style="position:absolute;left:0;top:14;height:15;width:44;" fillcolor="#20507B" filled="t" stroked="f" coordsize="44,15" path="m0,14l43,14,43,0,0,0,0,14xe">
                    <v:path/>
                    <v:fill on="t" focussize="0,0"/>
                    <v:stroke on="f"/>
                    <v:imagedata o:title=""/>
                    <o:lock v:ext="edit"/>
                  </v:shape>
                  <v:shape id="_x0000_s4424" o:spid="_x0000_s4424" style="position:absolute;left:0;top:28;height:15;width:44;" fillcolor="#1C456A" filled="t" stroked="f" coordsize="44,15" path="m0,14l43,14,43,0,0,0,0,14xe">
                    <v:path/>
                    <v:fill on="t" focussize="0,0"/>
                    <v:stroke on="f"/>
                    <v:imagedata o:title=""/>
                    <o:lock v:ext="edit"/>
                  </v:shape>
                  <w10:wrap type="none"/>
                  <w10:anchorlock/>
                </v:group>
              </w:pict>
            </w:r>
          </w:p>
          <w:p w14:paraId="41DDDE2A">
            <w:pPr>
              <w:pStyle w:val="7"/>
              <w:spacing w:before="95" w:line="217" w:lineRule="auto"/>
              <w:ind w:left="369"/>
            </w:pPr>
            <w:r>
              <w:rPr>
                <w:b/>
                <w:bCs/>
                <w:spacing w:val="-18"/>
              </w:rPr>
              <w:t>项目名称</w:t>
            </w:r>
          </w:p>
        </w:tc>
        <w:tc>
          <w:tcPr>
            <w:tcW w:w="7666" w:type="dxa"/>
            <w:gridSpan w:val="2"/>
            <w:tcBorders>
              <w:top w:val="single" w:color="5B9BD5" w:sz="4" w:space="0"/>
              <w:right w:val="nil"/>
            </w:tcBorders>
            <w:shd w:val="clear" w:color="auto" w:fill="DEEAF6"/>
            <w:vAlign w:val="top"/>
          </w:tcPr>
          <w:p w14:paraId="47F7E66E">
            <w:pPr>
              <w:pStyle w:val="7"/>
              <w:spacing w:before="129" w:line="218" w:lineRule="auto"/>
              <w:ind w:left="1388"/>
              <w:rPr>
                <w:rFonts w:hint="eastAsia" w:eastAsia="仿宋"/>
                <w:lang w:eastAsia="zh-CN"/>
              </w:rPr>
            </w:pPr>
            <w:r>
              <w:rPr>
                <w:rFonts w:hint="eastAsia"/>
                <w:b/>
                <w:bCs/>
                <w:spacing w:val="-20"/>
                <w:lang w:eastAsia="zh-CN"/>
              </w:rPr>
              <w:t>某路供水管道工程施工</w:t>
            </w:r>
          </w:p>
        </w:tc>
        <w:tc>
          <w:tcPr>
            <w:tcW w:w="720" w:type="dxa"/>
            <w:tcBorders>
              <w:top w:val="single" w:color="5B9BD5" w:sz="4" w:space="0"/>
              <w:left w:val="nil"/>
              <w:right w:val="single" w:color="5B9BD5" w:sz="4" w:space="0"/>
            </w:tcBorders>
            <w:shd w:val="clear" w:color="auto" w:fill="DEEAF6"/>
            <w:vAlign w:val="top"/>
          </w:tcPr>
          <w:p w14:paraId="6DD10D0B">
            <w:pPr>
              <w:rPr>
                <w:rFonts w:ascii="Arial"/>
                <w:sz w:val="21"/>
              </w:rPr>
            </w:pPr>
            <w:r>
              <w:pict>
                <v:shape id="_x0000_s4426" o:spid="_x0000_s4426" style="position:absolute;left:0pt;margin-left:34.15pt;margin-top:0pt;height:0.75pt;width:2.2pt;mso-position-horizontal-relative:page;mso-position-vertical-relative:page;z-index:252381184;mso-width-relative:page;mso-height-relative:page;" fillcolor="#5B9BD5" filled="t" stroked="f" coordsize="44,15" path="m0,14l43,14,43,0,0,0,0,14xe">
                  <v:path/>
                  <v:fill on="t" focussize="0,0"/>
                  <v:stroke on="f"/>
                  <v:imagedata o:title=""/>
                  <o:lock v:ext="edit"/>
                </v:shape>
              </w:pict>
            </w:r>
          </w:p>
        </w:tc>
      </w:tr>
      <w:tr w14:paraId="5546E6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54" w:hRule="atLeast"/>
        </w:trPr>
        <w:tc>
          <w:tcPr>
            <w:tcW w:w="1578" w:type="dxa"/>
            <w:tcBorders>
              <w:top w:val="single" w:color="000000" w:sz="4" w:space="0"/>
              <w:left w:val="single" w:color="000000" w:sz="4" w:space="0"/>
            </w:tcBorders>
            <w:vAlign w:val="top"/>
          </w:tcPr>
          <w:p w14:paraId="02EBEB86">
            <w:pPr>
              <w:spacing w:line="257" w:lineRule="auto"/>
              <w:rPr>
                <w:rFonts w:ascii="Arial"/>
                <w:sz w:val="21"/>
              </w:rPr>
            </w:pPr>
          </w:p>
          <w:p w14:paraId="65C20A8C">
            <w:pPr>
              <w:spacing w:line="257" w:lineRule="auto"/>
              <w:rPr>
                <w:rFonts w:ascii="Arial"/>
                <w:sz w:val="21"/>
              </w:rPr>
            </w:pPr>
          </w:p>
          <w:p w14:paraId="2C3A24B0">
            <w:pPr>
              <w:pStyle w:val="7"/>
              <w:spacing w:before="78" w:line="218" w:lineRule="auto"/>
              <w:ind w:left="158"/>
            </w:pPr>
            <w:r>
              <w:rPr>
                <w:spacing w:val="-19"/>
              </w:rPr>
              <w:t>合同计划工期</w:t>
            </w:r>
          </w:p>
        </w:tc>
        <w:tc>
          <w:tcPr>
            <w:tcW w:w="8390" w:type="dxa"/>
            <w:gridSpan w:val="4"/>
            <w:tcBorders>
              <w:top w:val="single" w:color="5B9BD5" w:sz="4" w:space="0"/>
              <w:right w:val="single" w:color="5B9BD5" w:sz="4" w:space="0"/>
            </w:tcBorders>
            <w:vAlign w:val="top"/>
          </w:tcPr>
          <w:p w14:paraId="77664C89">
            <w:pPr>
              <w:pStyle w:val="2"/>
              <w:spacing w:before="118" w:line="308" w:lineRule="auto"/>
              <w:ind w:right="1447"/>
              <w:rPr>
                <w:rFonts w:hint="eastAsia"/>
                <w:spacing w:val="-21"/>
                <w:sz w:val="24"/>
                <w:szCs w:val="24"/>
              </w:rPr>
            </w:pPr>
            <w:r>
              <w:rPr>
                <w:rFonts w:hint="eastAsia"/>
                <w:spacing w:val="-21"/>
                <w:sz w:val="24"/>
                <w:szCs w:val="24"/>
              </w:rPr>
              <w:t>计划工期：540 日历天</w:t>
            </w:r>
          </w:p>
          <w:p w14:paraId="36E93B47">
            <w:pPr>
              <w:pStyle w:val="2"/>
              <w:spacing w:before="118" w:line="308" w:lineRule="auto"/>
              <w:ind w:right="1447"/>
              <w:rPr>
                <w:rFonts w:hint="eastAsia"/>
                <w:spacing w:val="-21"/>
                <w:sz w:val="24"/>
                <w:szCs w:val="24"/>
              </w:rPr>
            </w:pPr>
            <w:r>
              <w:rPr>
                <w:rFonts w:hint="eastAsia"/>
                <w:spacing w:val="-21"/>
                <w:sz w:val="24"/>
                <w:szCs w:val="24"/>
              </w:rPr>
              <w:t>计划开工日期：2022 年 6 月 5 日（具体开工日期以开工通知为准）</w:t>
            </w:r>
          </w:p>
          <w:p w14:paraId="4D5C40E8">
            <w:pPr>
              <w:pStyle w:val="2"/>
              <w:spacing w:before="118" w:line="308" w:lineRule="auto"/>
              <w:ind w:right="1447"/>
              <w:rPr>
                <w:rFonts w:hint="eastAsia"/>
                <w:spacing w:val="-21"/>
                <w:sz w:val="24"/>
                <w:szCs w:val="24"/>
              </w:rPr>
            </w:pPr>
            <w:r>
              <w:rPr>
                <w:rFonts w:hint="eastAsia"/>
                <w:spacing w:val="-21"/>
                <w:sz w:val="24"/>
                <w:szCs w:val="24"/>
              </w:rPr>
              <w:t>计划竣工日期：2023 年 11 月 26 日</w:t>
            </w:r>
          </w:p>
          <w:p w14:paraId="0FCD7F6E">
            <w:pPr>
              <w:pStyle w:val="2"/>
              <w:spacing w:before="118" w:line="308" w:lineRule="auto"/>
              <w:ind w:right="1447"/>
            </w:pPr>
            <w:r>
              <w:rPr>
                <w:rFonts w:hint="eastAsia"/>
                <w:spacing w:val="-21"/>
                <w:sz w:val="24"/>
                <w:szCs w:val="24"/>
              </w:rPr>
              <w:t>除上述总工期外，发包人还要求以下区段工期： /</w:t>
            </w:r>
          </w:p>
        </w:tc>
      </w:tr>
      <w:tr w14:paraId="466601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19" w:hRule="atLeast"/>
        </w:trPr>
        <w:tc>
          <w:tcPr>
            <w:tcW w:w="1578" w:type="dxa"/>
            <w:tcBorders>
              <w:left w:val="single" w:color="000000" w:sz="4" w:space="0"/>
            </w:tcBorders>
            <w:vAlign w:val="top"/>
          </w:tcPr>
          <w:p w14:paraId="4BCE48D8">
            <w:pPr>
              <w:spacing w:line="293" w:lineRule="auto"/>
              <w:rPr>
                <w:rFonts w:ascii="Arial"/>
                <w:sz w:val="21"/>
              </w:rPr>
            </w:pPr>
          </w:p>
          <w:p w14:paraId="10B663A2">
            <w:pPr>
              <w:spacing w:line="294" w:lineRule="auto"/>
              <w:rPr>
                <w:rFonts w:ascii="Arial"/>
                <w:sz w:val="21"/>
              </w:rPr>
            </w:pPr>
          </w:p>
          <w:p w14:paraId="1F265238">
            <w:pPr>
              <w:spacing w:line="294" w:lineRule="auto"/>
              <w:rPr>
                <w:rFonts w:ascii="Arial"/>
                <w:sz w:val="21"/>
              </w:rPr>
            </w:pPr>
          </w:p>
          <w:p w14:paraId="091277EC">
            <w:pPr>
              <w:spacing w:line="294" w:lineRule="auto"/>
              <w:rPr>
                <w:rFonts w:ascii="Arial"/>
                <w:sz w:val="21"/>
              </w:rPr>
            </w:pPr>
          </w:p>
          <w:p w14:paraId="37305A11">
            <w:pPr>
              <w:pStyle w:val="7"/>
              <w:spacing w:before="78" w:line="219" w:lineRule="auto"/>
              <w:ind w:left="371"/>
            </w:pPr>
            <w:r>
              <w:rPr>
                <w:spacing w:val="-15"/>
              </w:rPr>
              <w:t>建设规模</w:t>
            </w:r>
          </w:p>
        </w:tc>
        <w:tc>
          <w:tcPr>
            <w:tcW w:w="8390" w:type="dxa"/>
            <w:gridSpan w:val="4"/>
            <w:tcBorders>
              <w:right w:val="single" w:color="000000" w:sz="4" w:space="0"/>
            </w:tcBorders>
            <w:vAlign w:val="top"/>
          </w:tcPr>
          <w:p w14:paraId="1FFFE8F1">
            <w:pPr>
              <w:spacing w:line="58" w:lineRule="exact"/>
              <w:ind w:right="3"/>
              <w:jc w:val="right"/>
            </w:pPr>
            <w:r>
              <w:rPr>
                <w:position w:val="-1"/>
              </w:rPr>
              <w:drawing>
                <wp:inline distT="0" distB="0" distL="0" distR="0">
                  <wp:extent cx="17780" cy="36830"/>
                  <wp:effectExtent l="0" t="0" r="0" b="0"/>
                  <wp:docPr id="1680" name="IM 1680"/>
                  <wp:cNvGraphicFramePr/>
                  <a:graphic xmlns:a="http://schemas.openxmlformats.org/drawingml/2006/main">
                    <a:graphicData uri="http://schemas.openxmlformats.org/drawingml/2006/picture">
                      <pic:pic xmlns:pic="http://schemas.openxmlformats.org/drawingml/2006/picture">
                        <pic:nvPicPr>
                          <pic:cNvPr id="1680" name="IM 1680"/>
                          <pic:cNvPicPr/>
                        </pic:nvPicPr>
                        <pic:blipFill>
                          <a:blip r:embed="rId739"/>
                          <a:stretch>
                            <a:fillRect/>
                          </a:stretch>
                        </pic:blipFill>
                        <pic:spPr>
                          <a:xfrm>
                            <a:off x="0" y="0"/>
                            <a:ext cx="18287" cy="37210"/>
                          </a:xfrm>
                          <a:prstGeom prst="rect">
                            <a:avLst/>
                          </a:prstGeom>
                        </pic:spPr>
                      </pic:pic>
                    </a:graphicData>
                  </a:graphic>
                </wp:inline>
              </w:drawing>
            </w:r>
          </w:p>
          <w:p w14:paraId="1600E72B">
            <w:pPr>
              <w:pStyle w:val="7"/>
              <w:spacing w:before="36" w:line="218" w:lineRule="auto"/>
              <w:ind w:left="82"/>
            </w:pPr>
            <w:r>
              <w:rPr>
                <w:spacing w:val="-18"/>
              </w:rPr>
              <w:t>本项目分为一个标段，其中本标段工程包括</w:t>
            </w:r>
            <w:r>
              <w:rPr>
                <w:spacing w:val="-19"/>
              </w:rPr>
              <w:t>供</w:t>
            </w:r>
          </w:p>
          <w:p w14:paraId="4AD9FA8A">
            <w:pPr>
              <w:pStyle w:val="7"/>
              <w:spacing w:before="184" w:line="217" w:lineRule="auto"/>
              <w:ind w:left="491"/>
            </w:pPr>
            <w:r>
              <w:rPr>
                <w:spacing w:val="-21"/>
              </w:rPr>
              <w:t>水管道工程施工。除特殊说明外，图纸设计范围内的所有内容</w:t>
            </w:r>
            <w:r>
              <w:rPr>
                <w:spacing w:val="-22"/>
              </w:rPr>
              <w:t>，均按图计入。</w:t>
            </w:r>
          </w:p>
          <w:p w14:paraId="21818E6F">
            <w:pPr>
              <w:pStyle w:val="7"/>
              <w:spacing w:before="183" w:line="217" w:lineRule="auto"/>
              <w:ind w:left="68"/>
            </w:pPr>
            <w:r>
              <w:rPr>
                <w:spacing w:val="-22"/>
              </w:rPr>
              <w:t>本项目位于</w:t>
            </w:r>
            <w:r>
              <w:rPr>
                <w:rFonts w:hint="eastAsia"/>
                <w:spacing w:val="-22"/>
                <w:lang w:eastAsia="zh-CN"/>
              </w:rPr>
              <w:t>某路</w:t>
            </w:r>
            <w:r>
              <w:rPr>
                <w:spacing w:val="-22"/>
              </w:rPr>
              <w:t>，主要</w:t>
            </w:r>
            <w:r>
              <w:rPr>
                <w:spacing w:val="-23"/>
              </w:rPr>
              <w:t>施工内容为：供水管道敷设及配套阀门、井</w:t>
            </w:r>
          </w:p>
          <w:p w14:paraId="7A7594B9">
            <w:pPr>
              <w:pStyle w:val="7"/>
              <w:spacing w:before="185" w:line="216" w:lineRule="auto"/>
              <w:ind w:left="128"/>
            </w:pPr>
            <w:r>
              <w:rPr>
                <w:spacing w:val="-19"/>
              </w:rPr>
              <w:t>室构筑物、部分现状道路破除恢复及土石方工程等。其中球墨铸铁管DN10</w:t>
            </w:r>
            <w:r>
              <w:rPr>
                <w:spacing w:val="-20"/>
              </w:rPr>
              <w:t>00管道敷设</w:t>
            </w:r>
          </w:p>
          <w:p w14:paraId="2C8CE18C">
            <w:pPr>
              <w:pStyle w:val="7"/>
              <w:spacing w:before="185" w:line="219" w:lineRule="auto"/>
              <w:jc w:val="right"/>
            </w:pPr>
            <w:r>
              <w:rPr>
                <w:spacing w:val="-14"/>
              </w:rPr>
              <w:t>约0.6km，球墨铸铁管管道敷设约1.6km，球墨铸铁管DN300管道敷设约0.7km，</w:t>
            </w:r>
          </w:p>
          <w:p w14:paraId="62B7BDE8">
            <w:pPr>
              <w:pStyle w:val="7"/>
              <w:spacing w:before="184" w:line="216" w:lineRule="auto"/>
              <w:ind w:left="1204"/>
            </w:pPr>
            <w:r>
              <w:rPr>
                <w:spacing w:val="-16"/>
              </w:rPr>
              <w:t>混凝土阀门井266座，沥青混凝土路面破</w:t>
            </w:r>
            <w:r>
              <w:rPr>
                <w:spacing w:val="-17"/>
              </w:rPr>
              <w:t>除恢复2100平方米。</w:t>
            </w:r>
          </w:p>
        </w:tc>
      </w:tr>
      <w:tr w14:paraId="2419E2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5" w:hRule="atLeast"/>
        </w:trPr>
        <w:tc>
          <w:tcPr>
            <w:tcW w:w="1578" w:type="dxa"/>
            <w:tcBorders>
              <w:left w:val="single" w:color="000000" w:sz="4" w:space="0"/>
            </w:tcBorders>
            <w:vAlign w:val="top"/>
          </w:tcPr>
          <w:p w14:paraId="58B6DCEE">
            <w:pPr>
              <w:pStyle w:val="7"/>
              <w:spacing w:before="97" w:line="218" w:lineRule="auto"/>
              <w:ind w:left="376"/>
            </w:pPr>
            <w:r>
              <w:rPr>
                <w:spacing w:val="-17"/>
              </w:rPr>
              <w:t>质量标准</w:t>
            </w:r>
          </w:p>
        </w:tc>
        <w:tc>
          <w:tcPr>
            <w:tcW w:w="6386" w:type="dxa"/>
            <w:gridSpan w:val="2"/>
            <w:tcBorders>
              <w:right w:val="nil"/>
            </w:tcBorders>
            <w:vAlign w:val="top"/>
          </w:tcPr>
          <w:p w14:paraId="0118B2A2">
            <w:pPr>
              <w:pStyle w:val="7"/>
              <w:spacing w:before="97" w:line="218" w:lineRule="auto"/>
              <w:ind w:left="3987"/>
            </w:pPr>
            <w:r>
              <w:rPr>
                <w:spacing w:val="-12"/>
              </w:rPr>
              <w:t>合格</w:t>
            </w:r>
          </w:p>
        </w:tc>
        <w:tc>
          <w:tcPr>
            <w:tcW w:w="2004" w:type="dxa"/>
            <w:gridSpan w:val="2"/>
            <w:tcBorders>
              <w:left w:val="nil"/>
              <w:right w:val="single" w:color="000000" w:sz="4" w:space="0"/>
            </w:tcBorders>
            <w:vAlign w:val="top"/>
          </w:tcPr>
          <w:p w14:paraId="0612FBA9">
            <w:pPr>
              <w:spacing w:line="60" w:lineRule="exact"/>
              <w:ind w:firstLine="1966"/>
            </w:pPr>
            <w:r>
              <w:rPr>
                <w:position w:val="-1"/>
              </w:rPr>
              <w:pict>
                <v:group id="_x0000_s4456" o:spid="_x0000_s4456" o:spt="203" style="height:3.4pt;width:1.45pt;" coordsize="29,68">
                  <o:lock v:ext="edit"/>
                  <v:shape id="_x0000_s4458" o:spid="_x0000_s4458" style="position:absolute;left:14;top:0;height:68;width:15;" fillcolor="#20507B" filled="t" stroked="f" coordsize="15,68" path="m0,67l14,67,14,0,0,0,0,67xe">
                    <v:path/>
                    <v:fill on="t" focussize="0,0"/>
                    <v:stroke on="f"/>
                    <v:imagedata o:title=""/>
                    <o:lock v:ext="edit"/>
                  </v:shape>
                  <v:shape id="_x0000_s4460" o:spid="_x0000_s4460" style="position:absolute;left:0;top:0;height:68;width:15;" fillcolor="#1C456A" filled="t" stroked="f" coordsize="15,68" path="m0,67l14,67,14,0,0,0,0,67xe">
                    <v:path/>
                    <v:fill on="t" focussize="0,0"/>
                    <v:stroke on="f"/>
                    <v:imagedata o:title=""/>
                    <o:lock v:ext="edit"/>
                  </v:shape>
                  <w10:wrap type="none"/>
                  <w10:anchorlock/>
                </v:group>
              </w:pict>
            </w:r>
          </w:p>
        </w:tc>
      </w:tr>
      <w:tr w14:paraId="64A52E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7" w:hRule="atLeast"/>
        </w:trPr>
        <w:tc>
          <w:tcPr>
            <w:tcW w:w="1578" w:type="dxa"/>
            <w:tcBorders>
              <w:left w:val="single" w:color="000000" w:sz="4" w:space="0"/>
            </w:tcBorders>
            <w:vAlign w:val="top"/>
          </w:tcPr>
          <w:p w14:paraId="1B66ADC0">
            <w:pPr>
              <w:spacing w:line="257" w:lineRule="auto"/>
              <w:rPr>
                <w:rFonts w:ascii="Arial"/>
                <w:sz w:val="21"/>
              </w:rPr>
            </w:pPr>
          </w:p>
          <w:p w14:paraId="4F5B7EC2">
            <w:pPr>
              <w:spacing w:line="257" w:lineRule="auto"/>
              <w:rPr>
                <w:rFonts w:ascii="Arial"/>
                <w:sz w:val="21"/>
              </w:rPr>
            </w:pPr>
          </w:p>
          <w:p w14:paraId="33CD5733">
            <w:pPr>
              <w:spacing w:line="257" w:lineRule="auto"/>
              <w:rPr>
                <w:rFonts w:ascii="Arial"/>
                <w:sz w:val="21"/>
              </w:rPr>
            </w:pPr>
          </w:p>
          <w:p w14:paraId="4E6AACE2">
            <w:pPr>
              <w:spacing w:line="257" w:lineRule="auto"/>
              <w:rPr>
                <w:rFonts w:ascii="Arial"/>
                <w:sz w:val="21"/>
              </w:rPr>
            </w:pPr>
          </w:p>
          <w:p w14:paraId="3CB6F5AD">
            <w:pPr>
              <w:spacing w:line="257" w:lineRule="auto"/>
              <w:rPr>
                <w:rFonts w:ascii="Arial"/>
                <w:sz w:val="21"/>
              </w:rPr>
            </w:pPr>
          </w:p>
          <w:p w14:paraId="1902E33F">
            <w:pPr>
              <w:spacing w:line="257" w:lineRule="auto"/>
              <w:rPr>
                <w:rFonts w:ascii="Arial"/>
                <w:sz w:val="21"/>
              </w:rPr>
            </w:pPr>
          </w:p>
          <w:p w14:paraId="4BEF2091">
            <w:pPr>
              <w:spacing w:line="257" w:lineRule="auto"/>
              <w:rPr>
                <w:rFonts w:ascii="Arial"/>
                <w:sz w:val="21"/>
              </w:rPr>
            </w:pPr>
          </w:p>
          <w:p w14:paraId="20F9496C">
            <w:pPr>
              <w:spacing w:line="257" w:lineRule="auto"/>
              <w:rPr>
                <w:rFonts w:ascii="Arial"/>
                <w:sz w:val="21"/>
              </w:rPr>
            </w:pPr>
          </w:p>
          <w:p w14:paraId="15BA5841">
            <w:pPr>
              <w:spacing w:line="258" w:lineRule="auto"/>
              <w:rPr>
                <w:rFonts w:ascii="Arial"/>
                <w:sz w:val="21"/>
              </w:rPr>
            </w:pPr>
          </w:p>
          <w:p w14:paraId="3FF818BB">
            <w:pPr>
              <w:spacing w:line="258" w:lineRule="auto"/>
              <w:rPr>
                <w:rFonts w:ascii="Arial"/>
                <w:sz w:val="21"/>
              </w:rPr>
            </w:pPr>
          </w:p>
          <w:p w14:paraId="724A87B2">
            <w:pPr>
              <w:pStyle w:val="7"/>
              <w:spacing w:before="78" w:line="218" w:lineRule="auto"/>
              <w:ind w:left="155"/>
            </w:pPr>
            <w:r>
              <w:rPr>
                <w:spacing w:val="-18"/>
              </w:rPr>
              <w:t>安全文明要求</w:t>
            </w:r>
          </w:p>
        </w:tc>
        <w:tc>
          <w:tcPr>
            <w:tcW w:w="8390" w:type="dxa"/>
            <w:gridSpan w:val="4"/>
            <w:tcBorders>
              <w:right w:val="single" w:color="000000" w:sz="4" w:space="0"/>
            </w:tcBorders>
            <w:vAlign w:val="top"/>
          </w:tcPr>
          <w:p w14:paraId="3EC4484C">
            <w:pPr>
              <w:spacing w:line="61" w:lineRule="exact"/>
              <w:ind w:right="3"/>
              <w:jc w:val="right"/>
            </w:pPr>
            <w:r>
              <w:rPr>
                <w:position w:val="-1"/>
              </w:rPr>
              <w:drawing>
                <wp:inline distT="0" distB="0" distL="0" distR="0">
                  <wp:extent cx="17780" cy="38735"/>
                  <wp:effectExtent l="0" t="0" r="0" b="0"/>
                  <wp:docPr id="1682" name="IM 1682"/>
                  <wp:cNvGraphicFramePr/>
                  <a:graphic xmlns:a="http://schemas.openxmlformats.org/drawingml/2006/main">
                    <a:graphicData uri="http://schemas.openxmlformats.org/drawingml/2006/picture">
                      <pic:pic xmlns:pic="http://schemas.openxmlformats.org/drawingml/2006/picture">
                        <pic:nvPicPr>
                          <pic:cNvPr id="1682" name="IM 1682"/>
                          <pic:cNvPicPr/>
                        </pic:nvPicPr>
                        <pic:blipFill>
                          <a:blip r:embed="rId476"/>
                          <a:stretch>
                            <a:fillRect/>
                          </a:stretch>
                        </pic:blipFill>
                        <pic:spPr>
                          <a:xfrm>
                            <a:off x="0" y="0"/>
                            <a:ext cx="18287" cy="38861"/>
                          </a:xfrm>
                          <a:prstGeom prst="rect">
                            <a:avLst/>
                          </a:prstGeom>
                        </pic:spPr>
                      </pic:pic>
                    </a:graphicData>
                  </a:graphic>
                </wp:inline>
              </w:drawing>
            </w:r>
          </w:p>
          <w:p w14:paraId="4595B925">
            <w:pPr>
              <w:pStyle w:val="7"/>
              <w:spacing w:before="35" w:line="217" w:lineRule="auto"/>
              <w:ind w:left="121"/>
            </w:pPr>
            <w:r>
              <w:rPr>
                <w:spacing w:val="-19"/>
              </w:rPr>
              <w:t>1、本项目必须严格执行国务院393号令《建设工</w:t>
            </w:r>
            <w:r>
              <w:rPr>
                <w:spacing w:val="-20"/>
              </w:rPr>
              <w:t>程安全生产管理条例》。必须严格执</w:t>
            </w:r>
          </w:p>
          <w:p w14:paraId="63BC2839">
            <w:pPr>
              <w:pStyle w:val="7"/>
              <w:spacing w:before="186" w:line="216" w:lineRule="auto"/>
              <w:ind w:left="69"/>
            </w:pPr>
            <w:r>
              <w:rPr>
                <w:spacing w:val="-22"/>
              </w:rPr>
              <w:t>行《创建文明城市责任考评办法（试行）》、《建设系统创文明城市工作</w:t>
            </w:r>
          </w:p>
          <w:p w14:paraId="04964672">
            <w:pPr>
              <w:pStyle w:val="7"/>
              <w:spacing w:before="184" w:line="217" w:lineRule="auto"/>
              <w:ind w:left="1587"/>
            </w:pPr>
            <w:r>
              <w:rPr>
                <w:spacing w:val="-25"/>
              </w:rPr>
              <w:t>实施细则》，确保符合创建文明卫生城市要</w:t>
            </w:r>
            <w:r>
              <w:rPr>
                <w:spacing w:val="-26"/>
              </w:rPr>
              <w:t>求。</w:t>
            </w:r>
          </w:p>
          <w:p w14:paraId="4F6FB23B">
            <w:pPr>
              <w:pStyle w:val="7"/>
              <w:spacing w:before="185" w:line="217" w:lineRule="auto"/>
              <w:ind w:left="106"/>
            </w:pPr>
            <w:r>
              <w:rPr>
                <w:spacing w:val="-21"/>
              </w:rPr>
              <w:t>2、必须严格执行国家及现行相关文件规定，工程施工中，承包人要建立专职安</w:t>
            </w:r>
          </w:p>
          <w:p w14:paraId="57A209B8">
            <w:pPr>
              <w:pStyle w:val="7"/>
              <w:spacing w:before="184" w:line="216" w:lineRule="auto"/>
              <w:jc w:val="right"/>
            </w:pPr>
            <w:r>
              <w:rPr>
                <w:spacing w:val="-27"/>
              </w:rPr>
              <w:t>全文明施工领导机构，由专人负责工地文明施工和安全施工的安排、指导、监督等工作。</w:t>
            </w:r>
          </w:p>
          <w:p w14:paraId="4B443F0E">
            <w:pPr>
              <w:pStyle w:val="7"/>
              <w:spacing w:before="187" w:line="215" w:lineRule="auto"/>
              <w:ind w:left="66"/>
            </w:pPr>
            <w:r>
              <w:rPr>
                <w:spacing w:val="-22"/>
              </w:rPr>
              <w:t>施工期间施工现场及在周边沿线道路上洒落的各种渣土等材料必须及时清运。确保符合</w:t>
            </w:r>
          </w:p>
          <w:p w14:paraId="3CC21C0A">
            <w:pPr>
              <w:pStyle w:val="7"/>
              <w:spacing w:before="187" w:line="218" w:lineRule="auto"/>
              <w:ind w:left="2678"/>
            </w:pPr>
            <w:r>
              <w:rPr>
                <w:spacing w:val="-21"/>
              </w:rPr>
              <w:t>创建文明卫生城市要求。</w:t>
            </w:r>
          </w:p>
          <w:p w14:paraId="7D974F08">
            <w:pPr>
              <w:pStyle w:val="7"/>
              <w:spacing w:before="184" w:line="217" w:lineRule="auto"/>
              <w:ind w:left="1851"/>
            </w:pPr>
            <w:r>
              <w:rPr>
                <w:spacing w:val="-21"/>
              </w:rPr>
              <w:t>3、必须确保安全文明施工，国家现行相关规定。</w:t>
            </w:r>
          </w:p>
          <w:p w14:paraId="352BBBC6">
            <w:pPr>
              <w:pStyle w:val="7"/>
              <w:spacing w:before="183" w:line="217" w:lineRule="auto"/>
              <w:ind w:left="318"/>
            </w:pPr>
            <w:r>
              <w:rPr>
                <w:spacing w:val="-21"/>
              </w:rPr>
              <w:t>4、严格按照市建设工程扬尘污染防治暂行规定文件规定落实扬尘污染防治措施。</w:t>
            </w:r>
          </w:p>
          <w:p w14:paraId="02CD7D5E">
            <w:pPr>
              <w:pStyle w:val="7"/>
              <w:spacing w:before="187" w:line="288" w:lineRule="auto"/>
              <w:ind w:left="1287" w:right="90" w:hanging="1179"/>
            </w:pPr>
            <w:r>
              <w:rPr>
                <w:spacing w:val="-22"/>
              </w:rPr>
              <w:t>5、文明施工：在整治过程中，做好施工便道、安全围挡、扬尘防治等措施，同步和居</w:t>
            </w:r>
            <w:r>
              <w:rPr>
                <w:spacing w:val="-23"/>
              </w:rPr>
              <w:t>民做好施工中的沟通协调，避免噪音、扬尘等扰民投诉发生。</w:t>
            </w:r>
          </w:p>
          <w:p w14:paraId="67787426">
            <w:pPr>
              <w:pStyle w:val="7"/>
              <w:spacing w:before="184" w:line="216" w:lineRule="auto"/>
              <w:ind w:left="402"/>
            </w:pPr>
            <w:r>
              <w:rPr>
                <w:spacing w:val="-20"/>
              </w:rPr>
              <w:t>6、严格执行《2018年安徽省大气污染防治重点工作任务》六个百分百的要求。</w:t>
            </w:r>
          </w:p>
        </w:tc>
      </w:tr>
      <w:tr w14:paraId="4FEF43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5" w:hRule="atLeast"/>
        </w:trPr>
        <w:tc>
          <w:tcPr>
            <w:tcW w:w="1578" w:type="dxa"/>
            <w:tcBorders>
              <w:left w:val="single" w:color="000000" w:sz="4" w:space="0"/>
            </w:tcBorders>
            <w:vAlign w:val="top"/>
          </w:tcPr>
          <w:p w14:paraId="41BCF974">
            <w:pPr>
              <w:pStyle w:val="7"/>
              <w:spacing w:before="102" w:line="217" w:lineRule="auto"/>
              <w:ind w:left="383"/>
            </w:pPr>
            <w:r>
              <w:rPr>
                <w:spacing w:val="-18"/>
              </w:rPr>
              <w:t>资金来源</w:t>
            </w:r>
          </w:p>
        </w:tc>
        <w:tc>
          <w:tcPr>
            <w:tcW w:w="6386" w:type="dxa"/>
            <w:gridSpan w:val="2"/>
            <w:tcBorders>
              <w:right w:val="nil"/>
            </w:tcBorders>
            <w:vAlign w:val="top"/>
          </w:tcPr>
          <w:p w14:paraId="1B1BF470">
            <w:pPr>
              <w:pStyle w:val="7"/>
              <w:spacing w:before="101" w:line="219" w:lineRule="auto"/>
              <w:ind w:left="3764"/>
            </w:pPr>
            <w:r>
              <w:rPr>
                <w:spacing w:val="-16"/>
              </w:rPr>
              <w:t>财政拨款</w:t>
            </w:r>
          </w:p>
        </w:tc>
        <w:tc>
          <w:tcPr>
            <w:tcW w:w="2004" w:type="dxa"/>
            <w:gridSpan w:val="2"/>
            <w:tcBorders>
              <w:left w:val="nil"/>
              <w:right w:val="single" w:color="000000" w:sz="4" w:space="0"/>
            </w:tcBorders>
            <w:vAlign w:val="top"/>
          </w:tcPr>
          <w:p w14:paraId="29093725">
            <w:pPr>
              <w:spacing w:line="65" w:lineRule="exact"/>
              <w:ind w:firstLine="1966"/>
            </w:pPr>
            <w:r>
              <w:rPr>
                <w:position w:val="-1"/>
              </w:rPr>
              <w:pict>
                <v:group id="_x0000_s4462" o:spid="_x0000_s4462" o:spt="203" style="height:3.4pt;width:1.45pt;" coordsize="29,68">
                  <o:lock v:ext="edit"/>
                  <v:shape id="_x0000_s4464" o:spid="_x0000_s4464" style="position:absolute;left:14;top:0;height:68;width:15;" fillcolor="#20507B" filled="t" stroked="f" coordsize="15,68" path="m0,67l14,67,14,0,0,0,0,67xe">
                    <v:path/>
                    <v:fill on="t" focussize="0,0"/>
                    <v:stroke on="f"/>
                    <v:imagedata o:title=""/>
                    <o:lock v:ext="edit"/>
                  </v:shape>
                  <v:shape id="_x0000_s4466" o:spid="_x0000_s4466" style="position:absolute;left:0;top:0;height:68;width:15;" fillcolor="#1C456A" filled="t" stroked="f" coordsize="15,68" path="m0,67l14,67,14,0,0,0,0,67xe">
                    <v:path/>
                    <v:fill on="t" focussize="0,0"/>
                    <v:stroke on="f"/>
                    <v:imagedata o:title=""/>
                    <o:lock v:ext="edit"/>
                  </v:shape>
                  <w10:wrap type="none"/>
                  <w10:anchorlock/>
                </v:group>
              </w:pict>
            </w:r>
          </w:p>
        </w:tc>
      </w:tr>
      <w:tr w14:paraId="674678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25" w:hRule="atLeast"/>
        </w:trPr>
        <w:tc>
          <w:tcPr>
            <w:tcW w:w="1578" w:type="dxa"/>
            <w:tcBorders>
              <w:left w:val="single" w:color="1C456A" w:sz="4" w:space="0"/>
              <w:bottom w:val="single" w:color="1C456A" w:sz="4" w:space="0"/>
            </w:tcBorders>
            <w:vAlign w:val="top"/>
          </w:tcPr>
          <w:p w14:paraId="2BFCC87F">
            <w:pPr>
              <w:pStyle w:val="7"/>
              <w:spacing w:before="103" w:line="216" w:lineRule="auto"/>
              <w:ind w:left="269"/>
            </w:pPr>
            <w:r>
              <w:pict>
                <v:shape id="_x0000_s4468" o:spid="_x0000_s4468" style="position:absolute;left:0pt;margin-left:-0.2pt;margin-top:31.3pt;height:0.75pt;width:2.2pt;mso-position-horizontal-relative:page;mso-position-vertical-relative:page;z-index:252384256;mso-width-relative:page;mso-height-relative:page;" fillcolor="#5B9BD5" filled="t" stroked="f" coordsize="44,15" path="m0,14l43,14,43,0,0,0,0,14xe">
                  <v:path/>
                  <v:fill on="t" focussize="0,0"/>
                  <v:stroke on="f"/>
                  <v:imagedata o:title=""/>
                  <o:lock v:ext="edit"/>
                </v:shape>
              </w:pict>
            </w:r>
            <w:r>
              <w:rPr>
                <w:spacing w:val="-18"/>
              </w:rPr>
              <w:t>合同估算价</w:t>
            </w:r>
          </w:p>
        </w:tc>
        <w:tc>
          <w:tcPr>
            <w:tcW w:w="6386" w:type="dxa"/>
            <w:gridSpan w:val="2"/>
            <w:tcBorders>
              <w:bottom w:val="single" w:color="5B9BD5" w:sz="4" w:space="0"/>
              <w:right w:val="nil"/>
            </w:tcBorders>
            <w:vAlign w:val="top"/>
          </w:tcPr>
          <w:p w14:paraId="4A007569">
            <w:pPr>
              <w:pStyle w:val="7"/>
              <w:spacing w:before="102" w:line="222" w:lineRule="auto"/>
              <w:ind w:left="3570"/>
            </w:pPr>
            <w:r>
              <w:rPr>
                <w:spacing w:val="-12"/>
              </w:rPr>
              <w:t>7118.64万元</w:t>
            </w:r>
          </w:p>
        </w:tc>
        <w:tc>
          <w:tcPr>
            <w:tcW w:w="2004" w:type="dxa"/>
            <w:gridSpan w:val="2"/>
            <w:tcBorders>
              <w:left w:val="nil"/>
              <w:bottom w:val="single" w:color="5B9BD5" w:sz="4" w:space="0"/>
              <w:right w:val="single" w:color="5B9BD5" w:sz="4" w:space="0"/>
            </w:tcBorders>
            <w:vAlign w:val="top"/>
          </w:tcPr>
          <w:p w14:paraId="7DA948ED">
            <w:pPr>
              <w:spacing w:line="66" w:lineRule="exact"/>
              <w:ind w:firstLine="1966"/>
            </w:pPr>
            <w:r>
              <w:pict>
                <v:shape id="_x0000_s4470" o:spid="_x0000_s4470" style="position:absolute;left:0pt;margin-left:98.35pt;margin-top:31.3pt;height:0.75pt;width:2.2pt;mso-position-horizontal-relative:page;mso-position-vertical-relative:page;z-index:252383232;mso-width-relative:page;mso-height-relative:page;" fillcolor="#5B9BD5" filled="t" stroked="f" coordsize="44,15" path="m0,14l43,14,43,0,0,0,0,14xe">
                  <v:path/>
                  <v:fill on="t" focussize="0,0"/>
                  <v:stroke on="f"/>
                  <v:imagedata o:title=""/>
                  <o:lock v:ext="edit"/>
                </v:shape>
              </w:pict>
            </w:r>
            <w:r>
              <w:rPr>
                <w:position w:val="-1"/>
              </w:rPr>
              <w:pict>
                <v:group id="_x0000_s4472" o:spid="_x0000_s4472" o:spt="203" style="height:3.4pt;width:1.45pt;" coordsize="29,68">
                  <o:lock v:ext="edit"/>
                  <v:shape id="_x0000_s4474" o:spid="_x0000_s4474" style="position:absolute;left:14;top:0;height:68;width:15;" fillcolor="#20507B" filled="t" stroked="f" coordsize="15,68" path="m0,67l14,67,14,0,0,0,0,67xe">
                    <v:path/>
                    <v:fill on="t" focussize="0,0"/>
                    <v:stroke on="f"/>
                    <v:imagedata o:title=""/>
                    <o:lock v:ext="edit"/>
                  </v:shape>
                  <v:shape id="_x0000_s4476" o:spid="_x0000_s4476" style="position:absolute;left:0;top:0;height:68;width:15;" fillcolor="#1C456A" filled="t" stroked="f" coordsize="15,68" path="m0,67l14,67,14,0,0,0,0,67xe">
                    <v:path/>
                    <v:fill on="t" focussize="0,0"/>
                    <v:stroke on="f"/>
                    <v:imagedata o:title=""/>
                    <o:lock v:ext="edit"/>
                  </v:shape>
                  <w10:wrap type="none"/>
                  <w10:anchorlock/>
                </v:group>
              </w:pict>
            </w:r>
          </w:p>
        </w:tc>
      </w:tr>
    </w:tbl>
    <w:p w14:paraId="7055D041">
      <w:pPr>
        <w:rPr>
          <w:rFonts w:ascii="Arial"/>
          <w:sz w:val="21"/>
        </w:rPr>
      </w:pPr>
    </w:p>
    <w:p w14:paraId="5F56184A">
      <w:pPr>
        <w:rPr>
          <w:rFonts w:ascii="Arial" w:hAnsi="Arial" w:eastAsia="Arial" w:cs="Arial"/>
          <w:sz w:val="21"/>
          <w:szCs w:val="21"/>
        </w:rPr>
        <w:sectPr>
          <w:footerReference r:id="rId400" w:type="default"/>
          <w:pgSz w:w="11907" w:h="16839"/>
          <w:pgMar w:top="933" w:right="4" w:bottom="1038" w:left="0" w:header="478" w:footer="357" w:gutter="0"/>
          <w:pgBorders>
            <w:top w:val="none" w:sz="0" w:space="0"/>
            <w:left w:val="none" w:sz="0" w:space="0"/>
            <w:bottom w:val="none" w:sz="0" w:space="0"/>
            <w:right w:val="none" w:sz="0" w:space="0"/>
          </w:pgBorders>
          <w:cols w:space="720" w:num="1"/>
        </w:sectPr>
      </w:pPr>
    </w:p>
    <w:p w14:paraId="05AAA2C1">
      <w:pPr>
        <w:spacing w:line="235" w:lineRule="exact"/>
      </w:pPr>
    </w:p>
    <w:tbl>
      <w:tblPr>
        <w:tblStyle w:val="6"/>
        <w:tblW w:w="9968" w:type="dxa"/>
        <w:tblInd w:w="969"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5"/>
        <w:gridCol w:w="1472"/>
        <w:gridCol w:w="8391"/>
      </w:tblGrid>
      <w:tr w14:paraId="13D886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05" w:hRule="atLeast"/>
        </w:trPr>
        <w:tc>
          <w:tcPr>
            <w:tcW w:w="1577" w:type="dxa"/>
            <w:gridSpan w:val="2"/>
            <w:tcBorders>
              <w:top w:val="single" w:color="000000" w:sz="4" w:space="0"/>
              <w:left w:val="single" w:color="000000" w:sz="4" w:space="0"/>
            </w:tcBorders>
            <w:vAlign w:val="top"/>
          </w:tcPr>
          <w:p w14:paraId="4D92C3E8">
            <w:pPr>
              <w:spacing w:line="242" w:lineRule="auto"/>
              <w:rPr>
                <w:rFonts w:ascii="Arial"/>
                <w:sz w:val="21"/>
              </w:rPr>
            </w:pPr>
          </w:p>
          <w:p w14:paraId="4AFCC818">
            <w:pPr>
              <w:spacing w:line="242" w:lineRule="auto"/>
              <w:rPr>
                <w:rFonts w:ascii="Arial"/>
                <w:sz w:val="21"/>
              </w:rPr>
            </w:pPr>
          </w:p>
          <w:p w14:paraId="7BDF4075">
            <w:pPr>
              <w:spacing w:line="242" w:lineRule="auto"/>
              <w:rPr>
                <w:rFonts w:ascii="Arial"/>
                <w:sz w:val="21"/>
              </w:rPr>
            </w:pPr>
          </w:p>
          <w:p w14:paraId="0A128846">
            <w:pPr>
              <w:spacing w:line="242" w:lineRule="auto"/>
              <w:rPr>
                <w:rFonts w:ascii="Arial"/>
                <w:sz w:val="21"/>
              </w:rPr>
            </w:pPr>
          </w:p>
          <w:p w14:paraId="53C56B1A">
            <w:pPr>
              <w:spacing w:line="242" w:lineRule="auto"/>
              <w:rPr>
                <w:rFonts w:ascii="Arial"/>
                <w:sz w:val="21"/>
              </w:rPr>
            </w:pPr>
          </w:p>
          <w:p w14:paraId="7C003E0A">
            <w:pPr>
              <w:spacing w:line="242" w:lineRule="auto"/>
              <w:rPr>
                <w:rFonts w:ascii="Arial"/>
                <w:sz w:val="21"/>
              </w:rPr>
            </w:pPr>
          </w:p>
          <w:p w14:paraId="52F5B3AC">
            <w:pPr>
              <w:spacing w:line="242" w:lineRule="auto"/>
              <w:rPr>
                <w:rFonts w:ascii="Arial"/>
                <w:sz w:val="21"/>
              </w:rPr>
            </w:pPr>
          </w:p>
          <w:p w14:paraId="2C197302">
            <w:pPr>
              <w:spacing w:line="242" w:lineRule="auto"/>
              <w:rPr>
                <w:rFonts w:ascii="Arial"/>
                <w:sz w:val="21"/>
              </w:rPr>
            </w:pPr>
          </w:p>
          <w:p w14:paraId="6CD8E4B3">
            <w:pPr>
              <w:spacing w:line="242" w:lineRule="auto"/>
              <w:rPr>
                <w:rFonts w:ascii="Arial"/>
                <w:sz w:val="21"/>
              </w:rPr>
            </w:pPr>
          </w:p>
          <w:p w14:paraId="1A96123F">
            <w:pPr>
              <w:spacing w:line="242" w:lineRule="auto"/>
              <w:rPr>
                <w:rFonts w:ascii="Arial"/>
                <w:sz w:val="21"/>
              </w:rPr>
            </w:pPr>
          </w:p>
          <w:p w14:paraId="1E253618">
            <w:pPr>
              <w:spacing w:line="242" w:lineRule="auto"/>
              <w:rPr>
                <w:rFonts w:ascii="Arial"/>
                <w:sz w:val="21"/>
              </w:rPr>
            </w:pPr>
          </w:p>
          <w:p w14:paraId="3EA85F44">
            <w:pPr>
              <w:spacing w:line="242" w:lineRule="auto"/>
              <w:rPr>
                <w:rFonts w:ascii="Arial"/>
                <w:sz w:val="21"/>
              </w:rPr>
            </w:pPr>
          </w:p>
          <w:p w14:paraId="452A8E54">
            <w:pPr>
              <w:spacing w:line="243" w:lineRule="auto"/>
              <w:rPr>
                <w:rFonts w:ascii="Arial"/>
                <w:sz w:val="21"/>
              </w:rPr>
            </w:pPr>
          </w:p>
          <w:p w14:paraId="3B666BDB">
            <w:pPr>
              <w:spacing w:line="243" w:lineRule="auto"/>
              <w:rPr>
                <w:rFonts w:ascii="Arial"/>
                <w:sz w:val="21"/>
              </w:rPr>
            </w:pPr>
          </w:p>
          <w:p w14:paraId="29BB93B5">
            <w:pPr>
              <w:pStyle w:val="7"/>
              <w:spacing w:before="78" w:line="219" w:lineRule="auto"/>
              <w:ind w:left="151"/>
            </w:pPr>
            <w:r>
              <w:rPr>
                <w:spacing w:val="-18"/>
              </w:rPr>
              <w:t>施工工艺流程</w:t>
            </w:r>
          </w:p>
          <w:p w14:paraId="197A2DA9">
            <w:pPr>
              <w:pStyle w:val="7"/>
              <w:spacing w:before="180" w:line="219" w:lineRule="auto"/>
              <w:ind w:left="721"/>
            </w:pPr>
            <w:r>
              <w:t>图</w:t>
            </w:r>
          </w:p>
        </w:tc>
        <w:tc>
          <w:tcPr>
            <w:tcW w:w="8391" w:type="dxa"/>
            <w:tcBorders>
              <w:top w:val="single" w:color="5B9BD5" w:sz="4" w:space="0"/>
              <w:right w:val="single" w:color="5B9BD5" w:sz="4" w:space="0"/>
            </w:tcBorders>
            <w:vAlign w:val="top"/>
          </w:tcPr>
          <w:p w14:paraId="468D16BE">
            <w:pPr>
              <w:spacing w:before="93" w:line="7498" w:lineRule="exact"/>
              <w:ind w:firstLine="102"/>
            </w:pPr>
            <w:r>
              <w:rPr>
                <w:position w:val="-149"/>
              </w:rPr>
              <w:drawing>
                <wp:inline distT="0" distB="0" distL="0" distR="0">
                  <wp:extent cx="5179695" cy="4013835"/>
                  <wp:effectExtent l="0" t="0" r="1905" b="5715"/>
                  <wp:docPr id="1686" name="IM 1686"/>
                  <wp:cNvGraphicFramePr/>
                  <a:graphic xmlns:a="http://schemas.openxmlformats.org/drawingml/2006/main">
                    <a:graphicData uri="http://schemas.openxmlformats.org/drawingml/2006/picture">
                      <pic:pic xmlns:pic="http://schemas.openxmlformats.org/drawingml/2006/picture">
                        <pic:nvPicPr>
                          <pic:cNvPr id="1686" name="IM 1686"/>
                          <pic:cNvPicPr/>
                        </pic:nvPicPr>
                        <pic:blipFill>
                          <a:blip r:embed="rId485"/>
                          <a:srcRect t="15686"/>
                          <a:stretch>
                            <a:fillRect/>
                          </a:stretch>
                        </pic:blipFill>
                        <pic:spPr>
                          <a:xfrm>
                            <a:off x="0" y="0"/>
                            <a:ext cx="5180329" cy="4013835"/>
                          </a:xfrm>
                          <a:prstGeom prst="rect">
                            <a:avLst/>
                          </a:prstGeom>
                        </pic:spPr>
                      </pic:pic>
                    </a:graphicData>
                  </a:graphic>
                </wp:inline>
              </w:drawing>
            </w:r>
          </w:p>
        </w:tc>
      </w:tr>
      <w:tr w14:paraId="599E6B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5" w:hRule="atLeast"/>
        </w:trPr>
        <w:tc>
          <w:tcPr>
            <w:tcW w:w="105" w:type="dxa"/>
            <w:tcBorders>
              <w:left w:val="single" w:color="1C456A" w:sz="4" w:space="0"/>
              <w:bottom w:val="single" w:color="1C456A" w:sz="4" w:space="0"/>
              <w:right w:val="nil"/>
            </w:tcBorders>
            <w:vAlign w:val="top"/>
          </w:tcPr>
          <w:p w14:paraId="0B62DC34">
            <w:pPr>
              <w:rPr>
                <w:rFonts w:ascii="Arial"/>
                <w:sz w:val="21"/>
              </w:rPr>
            </w:pPr>
            <w:r>
              <w:pict>
                <v:shape id="_x0000_s4478" o:spid="_x0000_s4478" style="position:absolute;left:0pt;margin-left:-0.25pt;margin-top:285.75pt;height:0.75pt;width:2.2pt;mso-position-horizontal-relative:page;mso-position-vertical-relative:page;z-index:252386304;mso-width-relative:page;mso-height-relative:page;" fillcolor="#5B9BD5" filled="t" stroked="f" coordsize="44,15" path="m0,14l43,14,43,0,0,0,0,14xe">
                  <v:path/>
                  <v:fill on="t" focussize="0,0"/>
                  <v:stroke on="f"/>
                  <v:imagedata o:title=""/>
                  <o:lock v:ext="edit"/>
                </v:shape>
              </w:pict>
            </w:r>
          </w:p>
        </w:tc>
        <w:tc>
          <w:tcPr>
            <w:tcW w:w="1472" w:type="dxa"/>
            <w:tcBorders>
              <w:left w:val="nil"/>
              <w:bottom w:val="single" w:color="1C456A" w:sz="4" w:space="0"/>
            </w:tcBorders>
            <w:vAlign w:val="top"/>
          </w:tcPr>
          <w:p w14:paraId="0B1C3A6A">
            <w:pPr>
              <w:spacing w:line="257" w:lineRule="auto"/>
              <w:rPr>
                <w:rFonts w:ascii="Arial"/>
                <w:sz w:val="21"/>
              </w:rPr>
            </w:pPr>
          </w:p>
          <w:p w14:paraId="5918529D">
            <w:pPr>
              <w:spacing w:line="257" w:lineRule="auto"/>
              <w:rPr>
                <w:rFonts w:ascii="Arial"/>
                <w:sz w:val="21"/>
              </w:rPr>
            </w:pPr>
          </w:p>
          <w:p w14:paraId="3B4D8E40">
            <w:pPr>
              <w:spacing w:line="257" w:lineRule="auto"/>
              <w:rPr>
                <w:rFonts w:ascii="Arial"/>
                <w:sz w:val="21"/>
              </w:rPr>
            </w:pPr>
          </w:p>
          <w:p w14:paraId="52D87BED">
            <w:pPr>
              <w:spacing w:line="257" w:lineRule="auto"/>
              <w:rPr>
                <w:rFonts w:ascii="Arial"/>
                <w:sz w:val="21"/>
              </w:rPr>
            </w:pPr>
          </w:p>
          <w:p w14:paraId="6FDA5F35">
            <w:pPr>
              <w:spacing w:line="258" w:lineRule="auto"/>
              <w:rPr>
                <w:rFonts w:ascii="Arial"/>
                <w:sz w:val="21"/>
              </w:rPr>
            </w:pPr>
          </w:p>
          <w:p w14:paraId="1568BE6F">
            <w:pPr>
              <w:spacing w:line="258" w:lineRule="auto"/>
              <w:rPr>
                <w:rFonts w:ascii="Arial"/>
                <w:sz w:val="21"/>
              </w:rPr>
            </w:pPr>
          </w:p>
          <w:p w14:paraId="6980740A">
            <w:pPr>
              <w:spacing w:line="258" w:lineRule="auto"/>
              <w:rPr>
                <w:rFonts w:ascii="Arial"/>
                <w:sz w:val="21"/>
              </w:rPr>
            </w:pPr>
          </w:p>
          <w:p w14:paraId="6AB0C100">
            <w:pPr>
              <w:spacing w:line="258" w:lineRule="auto"/>
              <w:rPr>
                <w:rFonts w:ascii="Arial"/>
                <w:sz w:val="21"/>
              </w:rPr>
            </w:pPr>
          </w:p>
          <w:p w14:paraId="194F1EC5">
            <w:pPr>
              <w:spacing w:line="258" w:lineRule="auto"/>
              <w:rPr>
                <w:rFonts w:ascii="Arial"/>
                <w:sz w:val="21"/>
              </w:rPr>
            </w:pPr>
          </w:p>
          <w:p w14:paraId="1B6EE4FF">
            <w:pPr>
              <w:pStyle w:val="7"/>
              <w:spacing w:before="78" w:line="215" w:lineRule="auto"/>
              <w:ind w:left="58"/>
            </w:pPr>
            <w:r>
              <w:rPr>
                <w:spacing w:val="-19"/>
              </w:rPr>
              <w:t>车行道沟槽回</w:t>
            </w:r>
          </w:p>
          <w:p w14:paraId="6008E44E">
            <w:pPr>
              <w:pStyle w:val="7"/>
              <w:spacing w:before="187" w:line="219" w:lineRule="auto"/>
              <w:ind w:left="599"/>
            </w:pPr>
            <w:r>
              <w:t>填</w:t>
            </w:r>
          </w:p>
        </w:tc>
        <w:tc>
          <w:tcPr>
            <w:tcW w:w="8391" w:type="dxa"/>
            <w:tcBorders>
              <w:bottom w:val="single" w:color="5B9BD5" w:sz="4" w:space="0"/>
              <w:right w:val="single" w:color="5B9BD5" w:sz="4" w:space="0"/>
            </w:tcBorders>
            <w:vAlign w:val="top"/>
          </w:tcPr>
          <w:p w14:paraId="267C2B80">
            <w:pPr>
              <w:spacing w:line="62" w:lineRule="exact"/>
              <w:ind w:firstLine="8351"/>
            </w:pPr>
            <w:r>
              <w:pict>
                <v:shape id="_x0000_s4480" o:spid="_x0000_s4480" style="position:absolute;left:0pt;margin-left:417.7pt;margin-top:285.75pt;height:0.75pt;width:2.2pt;mso-position-horizontal-relative:page;mso-position-vertical-relative:page;z-index:252385280;mso-width-relative:page;mso-height-relative:page;" fillcolor="#5B9BD5" filled="t" stroked="f" coordsize="44,15" path="m0,14l43,14,43,0,0,0,0,14xe">
                  <v:path/>
                  <v:fill on="t" focussize="0,0"/>
                  <v:stroke on="f"/>
                  <v:imagedata o:title=""/>
                  <o:lock v:ext="edit"/>
                </v:shape>
              </w:pict>
            </w:r>
            <w:r>
              <w:rPr>
                <w:position w:val="-1"/>
              </w:rPr>
              <w:pict>
                <v:group id="_x0000_s4482" o:spid="_x0000_s4482" o:spt="203" style="height:3.4pt;width:1.45pt;" coordsize="29,68">
                  <o:lock v:ext="edit"/>
                  <v:shape id="_x0000_s4484" o:spid="_x0000_s4484" style="position:absolute;left:14;top:0;height:68;width:15;" fillcolor="#20507B" filled="t" stroked="f" coordsize="15,68" path="m0,67l14,67,14,0,0,0,0,67xe">
                    <v:path/>
                    <v:fill on="t" focussize="0,0"/>
                    <v:stroke on="f"/>
                    <v:imagedata o:title=""/>
                    <o:lock v:ext="edit"/>
                  </v:shape>
                  <v:shape id="_x0000_s4486" o:spid="_x0000_s4486" style="position:absolute;left:0;top:0;height:68;width:15;" fillcolor="#1C456A" filled="t" stroked="f" coordsize="15,68" path="m0,67l14,67,14,0,0,0,0,67xe">
                    <v:path/>
                    <v:fill on="t" focussize="0,0"/>
                    <v:stroke on="f"/>
                    <v:imagedata o:title=""/>
                    <o:lock v:ext="edit"/>
                  </v:shape>
                  <w10:wrap type="none"/>
                  <w10:anchorlock/>
                </v:group>
              </w:pict>
            </w:r>
          </w:p>
          <w:p w14:paraId="13C96A4C">
            <w:pPr>
              <w:spacing w:line="5404" w:lineRule="exact"/>
              <w:ind w:firstLine="90"/>
            </w:pPr>
            <w:r>
              <w:rPr>
                <w:position w:val="-108"/>
              </w:rPr>
              <w:drawing>
                <wp:inline distT="0" distB="0" distL="0" distR="0">
                  <wp:extent cx="5194935" cy="3431540"/>
                  <wp:effectExtent l="0" t="0" r="0" b="0"/>
                  <wp:docPr id="1688" name="IM 1688"/>
                  <wp:cNvGraphicFramePr/>
                  <a:graphic xmlns:a="http://schemas.openxmlformats.org/drawingml/2006/main">
                    <a:graphicData uri="http://schemas.openxmlformats.org/drawingml/2006/picture">
                      <pic:pic xmlns:pic="http://schemas.openxmlformats.org/drawingml/2006/picture">
                        <pic:nvPicPr>
                          <pic:cNvPr id="1688" name="IM 1688"/>
                          <pic:cNvPicPr/>
                        </pic:nvPicPr>
                        <pic:blipFill>
                          <a:blip r:embed="rId450"/>
                          <a:stretch>
                            <a:fillRect/>
                          </a:stretch>
                        </pic:blipFill>
                        <pic:spPr>
                          <a:xfrm>
                            <a:off x="0" y="0"/>
                            <a:ext cx="5195569" cy="3431603"/>
                          </a:xfrm>
                          <a:prstGeom prst="rect">
                            <a:avLst/>
                          </a:prstGeom>
                        </pic:spPr>
                      </pic:pic>
                    </a:graphicData>
                  </a:graphic>
                </wp:inline>
              </w:drawing>
            </w:r>
          </w:p>
        </w:tc>
      </w:tr>
    </w:tbl>
    <w:p w14:paraId="53FD3CF8">
      <w:pPr>
        <w:rPr>
          <w:rFonts w:ascii="Arial"/>
          <w:sz w:val="21"/>
        </w:rPr>
      </w:pPr>
    </w:p>
    <w:p w14:paraId="62FA1EBD">
      <w:pPr>
        <w:rPr>
          <w:rFonts w:ascii="Arial" w:hAnsi="Arial" w:eastAsia="Arial" w:cs="Arial"/>
          <w:sz w:val="21"/>
          <w:szCs w:val="21"/>
        </w:rPr>
        <w:sectPr>
          <w:footerReference r:id="rId401" w:type="default"/>
          <w:pgSz w:w="11907" w:h="16839"/>
          <w:pgMar w:top="933" w:right="4" w:bottom="1038" w:left="0" w:header="478" w:footer="357" w:gutter="0"/>
          <w:pgBorders>
            <w:top w:val="none" w:sz="0" w:space="0"/>
            <w:left w:val="none" w:sz="0" w:space="0"/>
            <w:bottom w:val="none" w:sz="0" w:space="0"/>
            <w:right w:val="none" w:sz="0" w:space="0"/>
          </w:pgBorders>
          <w:cols w:space="720" w:num="1"/>
        </w:sectPr>
      </w:pPr>
    </w:p>
    <w:p w14:paraId="4D9EB052">
      <w:pPr>
        <w:spacing w:line="235" w:lineRule="exact"/>
      </w:pPr>
    </w:p>
    <w:tbl>
      <w:tblPr>
        <w:tblStyle w:val="6"/>
        <w:tblW w:w="9968" w:type="dxa"/>
        <w:tblInd w:w="969"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578"/>
        <w:gridCol w:w="6493"/>
        <w:gridCol w:w="1897"/>
      </w:tblGrid>
      <w:tr w14:paraId="0CA807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22" w:hRule="atLeast"/>
        </w:trPr>
        <w:tc>
          <w:tcPr>
            <w:tcW w:w="1578" w:type="dxa"/>
            <w:tcBorders>
              <w:top w:val="single" w:color="000000" w:sz="4" w:space="0"/>
              <w:left w:val="single" w:color="000000" w:sz="4" w:space="0"/>
            </w:tcBorders>
            <w:vAlign w:val="top"/>
          </w:tcPr>
          <w:p w14:paraId="5F48ED6A">
            <w:pPr>
              <w:spacing w:line="256" w:lineRule="auto"/>
              <w:rPr>
                <w:rFonts w:ascii="Arial"/>
                <w:sz w:val="21"/>
              </w:rPr>
            </w:pPr>
          </w:p>
          <w:p w14:paraId="09DA814E">
            <w:pPr>
              <w:spacing w:line="256" w:lineRule="auto"/>
              <w:rPr>
                <w:rFonts w:ascii="Arial"/>
                <w:sz w:val="21"/>
              </w:rPr>
            </w:pPr>
          </w:p>
          <w:p w14:paraId="2289E2D3">
            <w:pPr>
              <w:spacing w:line="256" w:lineRule="auto"/>
              <w:rPr>
                <w:rFonts w:ascii="Arial"/>
                <w:sz w:val="21"/>
              </w:rPr>
            </w:pPr>
          </w:p>
          <w:p w14:paraId="4CC1E673">
            <w:pPr>
              <w:spacing w:line="256" w:lineRule="auto"/>
              <w:rPr>
                <w:rFonts w:ascii="Arial"/>
                <w:sz w:val="21"/>
              </w:rPr>
            </w:pPr>
          </w:p>
          <w:p w14:paraId="4947F59A">
            <w:pPr>
              <w:spacing w:line="256" w:lineRule="auto"/>
              <w:rPr>
                <w:rFonts w:ascii="Arial"/>
                <w:sz w:val="21"/>
              </w:rPr>
            </w:pPr>
          </w:p>
          <w:p w14:paraId="30833FD5">
            <w:pPr>
              <w:spacing w:line="256" w:lineRule="auto"/>
              <w:rPr>
                <w:rFonts w:ascii="Arial"/>
                <w:sz w:val="21"/>
              </w:rPr>
            </w:pPr>
          </w:p>
          <w:p w14:paraId="28349BB4">
            <w:pPr>
              <w:spacing w:line="257" w:lineRule="auto"/>
              <w:rPr>
                <w:rFonts w:ascii="Arial"/>
                <w:sz w:val="21"/>
              </w:rPr>
            </w:pPr>
          </w:p>
          <w:p w14:paraId="7F65C571">
            <w:pPr>
              <w:spacing w:line="257" w:lineRule="auto"/>
              <w:rPr>
                <w:rFonts w:ascii="Arial"/>
                <w:sz w:val="21"/>
              </w:rPr>
            </w:pPr>
          </w:p>
          <w:p w14:paraId="1C07569C">
            <w:pPr>
              <w:spacing w:line="257" w:lineRule="auto"/>
              <w:rPr>
                <w:rFonts w:ascii="Arial"/>
                <w:sz w:val="21"/>
              </w:rPr>
            </w:pPr>
          </w:p>
          <w:p w14:paraId="47E189EE">
            <w:pPr>
              <w:pStyle w:val="7"/>
              <w:spacing w:before="78" w:line="217" w:lineRule="auto"/>
              <w:ind w:left="156"/>
            </w:pPr>
            <w:r>
              <w:rPr>
                <w:spacing w:val="-19"/>
              </w:rPr>
              <w:t>人行道沟槽回</w:t>
            </w:r>
          </w:p>
          <w:p w14:paraId="2F52FE65">
            <w:pPr>
              <w:pStyle w:val="7"/>
              <w:spacing w:before="186" w:line="219" w:lineRule="auto"/>
              <w:ind w:left="699"/>
            </w:pPr>
            <w:r>
              <w:t>填</w:t>
            </w:r>
          </w:p>
        </w:tc>
        <w:tc>
          <w:tcPr>
            <w:tcW w:w="8390" w:type="dxa"/>
            <w:gridSpan w:val="2"/>
            <w:tcBorders>
              <w:top w:val="single" w:color="5B9BD5" w:sz="4" w:space="0"/>
              <w:right w:val="single" w:color="5B9BD5" w:sz="4" w:space="0"/>
            </w:tcBorders>
            <w:vAlign w:val="top"/>
          </w:tcPr>
          <w:p w14:paraId="192003F4">
            <w:pPr>
              <w:spacing w:before="93" w:line="5321" w:lineRule="exact"/>
              <w:ind w:firstLine="60"/>
            </w:pPr>
            <w:r>
              <w:rPr>
                <w:position w:val="-106"/>
              </w:rPr>
              <w:drawing>
                <wp:inline distT="0" distB="0" distL="0" distR="0">
                  <wp:extent cx="5233670" cy="3378200"/>
                  <wp:effectExtent l="0" t="0" r="0" b="0"/>
                  <wp:docPr id="1692" name="IM 1692"/>
                  <wp:cNvGraphicFramePr/>
                  <a:graphic xmlns:a="http://schemas.openxmlformats.org/drawingml/2006/main">
                    <a:graphicData uri="http://schemas.openxmlformats.org/drawingml/2006/picture">
                      <pic:pic xmlns:pic="http://schemas.openxmlformats.org/drawingml/2006/picture">
                        <pic:nvPicPr>
                          <pic:cNvPr id="1692" name="IM 1692"/>
                          <pic:cNvPicPr/>
                        </pic:nvPicPr>
                        <pic:blipFill>
                          <a:blip r:embed="rId451"/>
                          <a:stretch>
                            <a:fillRect/>
                          </a:stretch>
                        </pic:blipFill>
                        <pic:spPr>
                          <a:xfrm>
                            <a:off x="0" y="0"/>
                            <a:ext cx="5233670" cy="3378834"/>
                          </a:xfrm>
                          <a:prstGeom prst="rect">
                            <a:avLst/>
                          </a:prstGeom>
                        </pic:spPr>
                      </pic:pic>
                    </a:graphicData>
                  </a:graphic>
                </wp:inline>
              </w:drawing>
            </w:r>
          </w:p>
        </w:tc>
      </w:tr>
      <w:tr w14:paraId="63EFE6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5" w:hRule="atLeast"/>
        </w:trPr>
        <w:tc>
          <w:tcPr>
            <w:tcW w:w="1578" w:type="dxa"/>
            <w:tcBorders>
              <w:left w:val="single" w:color="1C456A" w:sz="4" w:space="0"/>
              <w:bottom w:val="single" w:color="1C456A" w:sz="4" w:space="0"/>
            </w:tcBorders>
            <w:vAlign w:val="top"/>
          </w:tcPr>
          <w:p w14:paraId="59E50727">
            <w:pPr>
              <w:pStyle w:val="7"/>
              <w:spacing w:before="102" w:line="219" w:lineRule="auto"/>
              <w:ind w:left="372"/>
            </w:pPr>
            <w:r>
              <w:pict>
                <v:shape id="_x0000_s4488" o:spid="_x0000_s4488" style="position:absolute;left:0pt;margin-left:-0.2pt;margin-top:31.25pt;height:0.75pt;width:2.2pt;mso-position-horizontal-relative:page;mso-position-vertical-relative:page;z-index:252391424;mso-width-relative:page;mso-height-relative:page;" fillcolor="#5B9BD5" filled="t" stroked="f" coordsize="44,15" path="m0,14l43,14,43,0,0,0,0,14xe">
                  <v:path/>
                  <v:fill on="t" focussize="0,0"/>
                  <v:stroke on="f"/>
                  <v:imagedata o:title=""/>
                  <o:lock v:ext="edit"/>
                </v:shape>
              </w:pict>
            </w:r>
            <w:r>
              <w:rPr>
                <w:spacing w:val="-15"/>
              </w:rPr>
              <w:t>项目类别</w:t>
            </w:r>
          </w:p>
        </w:tc>
        <w:tc>
          <w:tcPr>
            <w:tcW w:w="6493" w:type="dxa"/>
            <w:tcBorders>
              <w:bottom w:val="single" w:color="5B9BD5" w:sz="4" w:space="0"/>
              <w:right w:val="nil"/>
            </w:tcBorders>
            <w:vAlign w:val="top"/>
          </w:tcPr>
          <w:p w14:paraId="4E370BA4">
            <w:pPr>
              <w:pStyle w:val="7"/>
              <w:spacing w:before="102" w:line="219" w:lineRule="auto"/>
              <w:ind w:left="3767"/>
            </w:pPr>
            <w:r>
              <w:rPr>
                <w:spacing w:val="-17"/>
              </w:rPr>
              <w:t>工程施工</w:t>
            </w:r>
          </w:p>
        </w:tc>
        <w:tc>
          <w:tcPr>
            <w:tcW w:w="1897" w:type="dxa"/>
            <w:tcBorders>
              <w:left w:val="nil"/>
              <w:bottom w:val="single" w:color="5B9BD5" w:sz="4" w:space="0"/>
              <w:right w:val="single" w:color="5B9BD5" w:sz="4" w:space="0"/>
            </w:tcBorders>
            <w:vAlign w:val="top"/>
          </w:tcPr>
          <w:p w14:paraId="333E5B51">
            <w:pPr>
              <w:spacing w:line="66" w:lineRule="exact"/>
              <w:ind w:firstLine="1859"/>
            </w:pPr>
            <w:r>
              <w:pict>
                <v:shape id="_x0000_s4490" o:spid="_x0000_s4490" style="position:absolute;left:0pt;margin-left:93pt;margin-top:31.25pt;height:0.75pt;width:2.2pt;mso-position-horizontal-relative:page;mso-position-vertical-relative:page;z-index:252392448;mso-width-relative:page;mso-height-relative:page;" fillcolor="#5B9BD5" filled="t" stroked="f" coordsize="44,15" path="m0,14l43,14,43,0,0,0,0,14xe">
                  <v:path/>
                  <v:fill on="t" focussize="0,0"/>
                  <v:stroke on="f"/>
                  <v:imagedata o:title=""/>
                  <o:lock v:ext="edit"/>
                </v:shape>
              </w:pict>
            </w:r>
            <w:r>
              <w:rPr>
                <w:position w:val="-1"/>
              </w:rPr>
              <w:pict>
                <v:group id="_x0000_s4492" o:spid="_x0000_s4492" o:spt="203" style="height:3.4pt;width:1.45pt;" coordsize="29,68">
                  <o:lock v:ext="edit"/>
                  <v:shape id="_x0000_s4494" o:spid="_x0000_s4494" style="position:absolute;left:14;top:0;height:68;width:15;" fillcolor="#20507B" filled="t" stroked="f" coordsize="15,68" path="m0,67l14,67,14,0,0,0,0,67xe">
                    <v:path/>
                    <v:fill on="t" focussize="0,0"/>
                    <v:stroke on="f"/>
                    <v:imagedata o:title=""/>
                    <o:lock v:ext="edit"/>
                  </v:shape>
                  <v:shape id="_x0000_s4496" o:spid="_x0000_s4496" style="position:absolute;left:0;top:0;height:68;width:15;" fillcolor="#1C456A" filled="t" stroked="f" coordsize="15,68" path="m0,67l14,67,14,0,0,0,0,67xe">
                    <v:path/>
                    <v:fill on="t" focussize="0,0"/>
                    <v:stroke on="f"/>
                    <v:imagedata o:title=""/>
                    <o:lock v:ext="edit"/>
                  </v:shape>
                  <w10:wrap type="none"/>
                  <w10:anchorlock/>
                </v:group>
              </w:pict>
            </w:r>
          </w:p>
        </w:tc>
      </w:tr>
    </w:tbl>
    <w:p w14:paraId="276BD13E">
      <w:pPr>
        <w:pStyle w:val="2"/>
        <w:spacing w:before="80" w:line="211" w:lineRule="auto"/>
        <w:ind w:left="1985"/>
        <w:outlineLvl w:val="2"/>
        <w:rPr>
          <w:sz w:val="28"/>
          <w:szCs w:val="28"/>
        </w:rPr>
      </w:pPr>
      <w:bookmarkStart w:id="288" w:name="bookmark274"/>
      <w:bookmarkEnd w:id="288"/>
      <w:r>
        <w:rPr>
          <w:b/>
          <w:bCs/>
          <w:spacing w:val="-22"/>
          <w:sz w:val="28"/>
          <w:szCs w:val="28"/>
        </w:rPr>
        <w:t>三、现场环境特征</w:t>
      </w:r>
    </w:p>
    <w:tbl>
      <w:tblPr>
        <w:tblStyle w:val="6"/>
        <w:tblW w:w="9759" w:type="dxa"/>
        <w:tblInd w:w="107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606"/>
        <w:gridCol w:w="8086"/>
        <w:gridCol w:w="67"/>
      </w:tblGrid>
      <w:tr w14:paraId="358EBE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7" w:hRule="atLeast"/>
        </w:trPr>
        <w:tc>
          <w:tcPr>
            <w:tcW w:w="1606" w:type="dxa"/>
            <w:tcBorders>
              <w:top w:val="single" w:color="000000" w:sz="4" w:space="0"/>
              <w:left w:val="single" w:color="000000" w:sz="4" w:space="0"/>
            </w:tcBorders>
            <w:shd w:val="clear" w:color="auto" w:fill="DEEAF6"/>
            <w:vAlign w:val="top"/>
          </w:tcPr>
          <w:p w14:paraId="0C29AA00">
            <w:pPr>
              <w:spacing w:before="33" w:line="60" w:lineRule="exact"/>
              <w:ind w:firstLine="33"/>
            </w:pPr>
            <w:r>
              <w:pict>
                <v:shape id="_x0000_s4498" o:spid="_x0000_s4498" style="position:absolute;left:0pt;margin-left:-0.2pt;margin-top:0pt;height:0.75pt;width:2.2pt;mso-position-horizontal-relative:page;mso-position-vertical-relative:page;z-index:252389376;mso-width-relative:page;mso-height-relative:page;" fillcolor="#5B9BD5" filled="t" stroked="f" coordsize="44,15" path="m0,14l43,14,43,0,0,0,0,14xe">
                  <v:path/>
                  <v:fill on="t" focussize="0,0"/>
                  <v:stroke on="f"/>
                  <v:imagedata o:title=""/>
                  <o:lock v:ext="edit"/>
                </v:shape>
              </w:pict>
            </w:r>
            <w:r>
              <w:rPr>
                <w:position w:val="-1"/>
              </w:rPr>
              <w:pict>
                <v:shape id="_x0000_s4500" o:spid="_x0000_s4500" style="height:3pt;width:77.8pt;" fillcolor="#DEEAF6" filled="t" stroked="f" coordsize="1556,60" path="m0,60l1555,60,1555,0,0,0,0,60xe">
                  <v:path/>
                  <v:fill on="t" focussize="0,0"/>
                  <v:stroke on="f"/>
                  <v:imagedata o:title=""/>
                  <o:lock v:ext="edit"/>
                  <w10:wrap type="none"/>
                  <w10:anchorlock/>
                </v:shape>
              </w:pict>
            </w:r>
          </w:p>
          <w:p w14:paraId="00EEF7CB">
            <w:pPr>
              <w:pStyle w:val="7"/>
              <w:spacing w:before="33" w:line="220" w:lineRule="auto"/>
              <w:ind w:left="602"/>
            </w:pPr>
            <w:r>
              <w:rPr>
                <w:b/>
                <w:bCs/>
                <w:spacing w:val="-13"/>
              </w:rPr>
              <w:t>项目</w:t>
            </w:r>
          </w:p>
        </w:tc>
        <w:tc>
          <w:tcPr>
            <w:tcW w:w="8086" w:type="dxa"/>
            <w:tcBorders>
              <w:top w:val="single" w:color="5B9BD5" w:sz="4" w:space="0"/>
              <w:right w:val="nil"/>
            </w:tcBorders>
            <w:shd w:val="clear" w:color="auto" w:fill="DEEAF6"/>
            <w:vAlign w:val="top"/>
          </w:tcPr>
          <w:p w14:paraId="579C449F">
            <w:pPr>
              <w:pStyle w:val="7"/>
              <w:spacing w:before="126" w:line="220" w:lineRule="auto"/>
              <w:ind w:left="3858"/>
            </w:pPr>
            <w:r>
              <w:rPr>
                <w:b/>
                <w:bCs/>
                <w:spacing w:val="-12"/>
              </w:rPr>
              <w:t>特点</w:t>
            </w:r>
          </w:p>
        </w:tc>
        <w:tc>
          <w:tcPr>
            <w:tcW w:w="67" w:type="dxa"/>
            <w:tcBorders>
              <w:top w:val="single" w:color="5B9BD5" w:sz="4" w:space="0"/>
              <w:left w:val="nil"/>
              <w:right w:val="single" w:color="5B9BD5" w:sz="4" w:space="0"/>
            </w:tcBorders>
            <w:vAlign w:val="top"/>
          </w:tcPr>
          <w:p w14:paraId="65077373">
            <w:pPr>
              <w:rPr>
                <w:rFonts w:ascii="Arial"/>
                <w:sz w:val="21"/>
              </w:rPr>
            </w:pPr>
            <w:r>
              <w:pict>
                <v:shape id="_x0000_s4502" o:spid="_x0000_s4502" style="position:absolute;left:0pt;margin-left:1.5pt;margin-top:0pt;height:0.75pt;width:2.2pt;mso-position-horizontal-relative:page;mso-position-vertical-relative:page;z-index:252390400;mso-width-relative:page;mso-height-relative:page;" fillcolor="#5B9BD5" filled="t" stroked="f" coordsize="44,15" path="m0,14l43,14,43,0,0,0,0,14xe">
                  <v:path/>
                  <v:fill on="t" focussize="0,0"/>
                  <v:stroke on="f"/>
                  <v:imagedata o:title=""/>
                  <o:lock v:ext="edit"/>
                </v:shape>
              </w:pict>
            </w:r>
          </w:p>
        </w:tc>
      </w:tr>
      <w:tr w14:paraId="35C279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57" w:hRule="atLeast"/>
        </w:trPr>
        <w:tc>
          <w:tcPr>
            <w:tcW w:w="1606" w:type="dxa"/>
            <w:tcBorders>
              <w:left w:val="single" w:color="000000" w:sz="4" w:space="0"/>
            </w:tcBorders>
            <w:vAlign w:val="top"/>
          </w:tcPr>
          <w:p w14:paraId="2E9B5D5D">
            <w:pPr>
              <w:spacing w:line="281" w:lineRule="auto"/>
              <w:rPr>
                <w:rFonts w:ascii="Arial"/>
                <w:sz w:val="21"/>
              </w:rPr>
            </w:pPr>
          </w:p>
          <w:p w14:paraId="7EDC5163">
            <w:pPr>
              <w:pStyle w:val="7"/>
              <w:spacing w:before="78" w:line="219" w:lineRule="auto"/>
              <w:ind w:left="388"/>
            </w:pPr>
            <w:r>
              <w:rPr>
                <w:spacing w:val="-17"/>
              </w:rPr>
              <w:t>工程地质</w:t>
            </w:r>
          </w:p>
        </w:tc>
        <w:tc>
          <w:tcPr>
            <w:tcW w:w="8153" w:type="dxa"/>
            <w:gridSpan w:val="2"/>
            <w:tcBorders>
              <w:right w:val="single" w:color="000000" w:sz="4" w:space="0"/>
            </w:tcBorders>
            <w:vAlign w:val="top"/>
          </w:tcPr>
          <w:p w14:paraId="17DC4FDB">
            <w:pPr>
              <w:pStyle w:val="7"/>
              <w:spacing w:before="124" w:line="217" w:lineRule="auto"/>
              <w:ind w:left="64"/>
            </w:pPr>
            <w:r>
              <w:rPr>
                <w:spacing w:val="-22"/>
              </w:rPr>
              <w:t>场地未整平，总体呈波状起伏。拟建场地属于江淮波状平原地</w:t>
            </w:r>
            <w:r>
              <w:rPr>
                <w:spacing w:val="-23"/>
              </w:rPr>
              <w:t>貌单元，微地貌属河漫</w:t>
            </w:r>
          </w:p>
          <w:p w14:paraId="26DCEF84">
            <w:pPr>
              <w:pStyle w:val="7"/>
              <w:spacing w:before="187" w:line="217" w:lineRule="auto"/>
              <w:ind w:left="3534"/>
            </w:pPr>
            <w:r>
              <w:rPr>
                <w:spacing w:val="-17"/>
              </w:rPr>
              <w:t>滩及阶地。</w:t>
            </w:r>
          </w:p>
        </w:tc>
      </w:tr>
      <w:tr w14:paraId="798D34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67" w:hRule="atLeast"/>
        </w:trPr>
        <w:tc>
          <w:tcPr>
            <w:tcW w:w="1606" w:type="dxa"/>
            <w:tcBorders>
              <w:left w:val="single" w:color="000000" w:sz="4" w:space="0"/>
            </w:tcBorders>
            <w:vAlign w:val="top"/>
          </w:tcPr>
          <w:p w14:paraId="0B0E8E01">
            <w:pPr>
              <w:spacing w:line="278" w:lineRule="auto"/>
              <w:rPr>
                <w:rFonts w:ascii="Arial"/>
                <w:sz w:val="21"/>
              </w:rPr>
            </w:pPr>
          </w:p>
          <w:p w14:paraId="73AE5597">
            <w:pPr>
              <w:spacing w:line="278" w:lineRule="auto"/>
              <w:rPr>
                <w:rFonts w:ascii="Arial"/>
                <w:sz w:val="21"/>
              </w:rPr>
            </w:pPr>
          </w:p>
          <w:p w14:paraId="797B6EE0">
            <w:pPr>
              <w:spacing w:line="278" w:lineRule="auto"/>
              <w:rPr>
                <w:rFonts w:ascii="Arial"/>
                <w:sz w:val="21"/>
              </w:rPr>
            </w:pPr>
          </w:p>
          <w:p w14:paraId="34F6EC80">
            <w:pPr>
              <w:spacing w:line="278" w:lineRule="auto"/>
              <w:rPr>
                <w:rFonts w:ascii="Arial"/>
                <w:sz w:val="21"/>
              </w:rPr>
            </w:pPr>
          </w:p>
          <w:p w14:paraId="6124C93F">
            <w:pPr>
              <w:spacing w:line="278" w:lineRule="auto"/>
              <w:rPr>
                <w:rFonts w:ascii="Arial"/>
                <w:sz w:val="21"/>
              </w:rPr>
            </w:pPr>
          </w:p>
          <w:p w14:paraId="02827CC4">
            <w:pPr>
              <w:spacing w:line="278" w:lineRule="auto"/>
              <w:rPr>
                <w:rFonts w:ascii="Arial"/>
                <w:sz w:val="21"/>
              </w:rPr>
            </w:pPr>
          </w:p>
          <w:p w14:paraId="1A74F139">
            <w:pPr>
              <w:pStyle w:val="7"/>
              <w:spacing w:before="78" w:line="218" w:lineRule="auto"/>
              <w:ind w:left="392"/>
            </w:pPr>
            <w:r>
              <w:rPr>
                <w:spacing w:val="-18"/>
              </w:rPr>
              <w:t>气象条件</w:t>
            </w:r>
          </w:p>
        </w:tc>
        <w:tc>
          <w:tcPr>
            <w:tcW w:w="8153" w:type="dxa"/>
            <w:gridSpan w:val="2"/>
            <w:tcBorders>
              <w:right w:val="single" w:color="000000" w:sz="4" w:space="0"/>
            </w:tcBorders>
            <w:vAlign w:val="top"/>
          </w:tcPr>
          <w:p w14:paraId="1A035542">
            <w:pPr>
              <w:pStyle w:val="7"/>
              <w:spacing w:before="122" w:line="216" w:lineRule="auto"/>
              <w:ind w:left="109"/>
            </w:pPr>
            <w:r>
              <w:rPr>
                <w:spacing w:val="-21"/>
              </w:rPr>
              <w:t>1、</w:t>
            </w:r>
            <w:r>
              <w:rPr>
                <w:rFonts w:hint="eastAsia"/>
                <w:spacing w:val="-21"/>
                <w:lang w:val="en-US" w:eastAsia="zh-CN"/>
              </w:rPr>
              <w:t>本项目</w:t>
            </w:r>
            <w:r>
              <w:rPr>
                <w:spacing w:val="-21"/>
              </w:rPr>
              <w:t>地处中纬度地带，位于江淮之间，属亚热带湿润性季风气</w:t>
            </w:r>
            <w:r>
              <w:rPr>
                <w:spacing w:val="-22"/>
              </w:rPr>
              <w:t>候，具有季风明</w:t>
            </w:r>
          </w:p>
          <w:p w14:paraId="73D9D61A">
            <w:pPr>
              <w:pStyle w:val="7"/>
              <w:spacing w:before="186" w:line="217" w:lineRule="auto"/>
              <w:ind w:left="71"/>
            </w:pPr>
            <w:r>
              <w:rPr>
                <w:spacing w:val="-22"/>
              </w:rPr>
              <w:t>显、雨量充沛、霜期短、日照长的特点。全年盛</w:t>
            </w:r>
            <w:r>
              <w:rPr>
                <w:spacing w:val="-23"/>
              </w:rPr>
              <w:t>行风向以东北偏东南为主，年平均气</w:t>
            </w:r>
          </w:p>
          <w:p w14:paraId="2BEE0F81">
            <w:pPr>
              <w:pStyle w:val="7"/>
              <w:spacing w:before="184" w:line="218" w:lineRule="auto"/>
              <w:ind w:left="66"/>
            </w:pPr>
            <w:r>
              <w:rPr>
                <w:spacing w:val="-17"/>
              </w:rPr>
              <w:t>温15.7度，一年中以1月气温最低（平均2.4°C左右</w:t>
            </w:r>
            <w:r>
              <w:rPr>
                <w:spacing w:val="-34"/>
              </w:rPr>
              <w:t>），</w:t>
            </w:r>
            <w:r>
              <w:rPr>
                <w:spacing w:val="-17"/>
              </w:rPr>
              <w:t>7月气温最高（平均34°</w:t>
            </w:r>
          </w:p>
          <w:p w14:paraId="11D809BA">
            <w:pPr>
              <w:pStyle w:val="7"/>
              <w:spacing w:before="184" w:line="218" w:lineRule="auto"/>
              <w:ind w:left="1098"/>
            </w:pPr>
            <w:r>
              <w:rPr>
                <w:spacing w:val="-15"/>
              </w:rPr>
              <w:t>C左右），年均日照时数2163.3小时，平均无霜期为227天。</w:t>
            </w:r>
          </w:p>
          <w:p w14:paraId="41B5EB64">
            <w:pPr>
              <w:pStyle w:val="7"/>
              <w:spacing w:before="182" w:line="312" w:lineRule="auto"/>
              <w:ind w:left="75" w:right="5" w:firstLine="16"/>
            </w:pPr>
            <w:r>
              <w:rPr>
                <w:spacing w:val="-19"/>
              </w:rPr>
              <w:t>2、本区雨量充沛，雨水夏季最多，春秋次之，冬季最少，年平均降雨约990毫米，</w:t>
            </w:r>
            <w:r>
              <w:rPr>
                <w:spacing w:val="-20"/>
              </w:rPr>
              <w:t>降水多集中在5～8月，降水量约占全年总降水量的60</w:t>
            </w:r>
            <w:r>
              <w:rPr>
                <w:spacing w:val="-12"/>
              </w:rPr>
              <w:t>％，</w:t>
            </w:r>
            <w:r>
              <w:rPr>
                <w:spacing w:val="-20"/>
              </w:rPr>
              <w:t>每年11～12月降水最少；</w:t>
            </w:r>
            <w:r>
              <w:rPr>
                <w:spacing w:val="-14"/>
              </w:rPr>
              <w:t>年平均蒸发量1760毫米，6～8月蒸发最强，12～2月蒸发最弱。年相对湿度76~</w:t>
            </w:r>
          </w:p>
          <w:p w14:paraId="4B64A44C">
            <w:pPr>
              <w:pStyle w:val="7"/>
              <w:spacing w:before="185" w:line="232" w:lineRule="auto"/>
              <w:ind w:left="3641"/>
            </w:pPr>
            <w:r>
              <w:rPr>
                <w:spacing w:val="-14"/>
              </w:rPr>
              <w:t>79.5％。</w:t>
            </w:r>
          </w:p>
        </w:tc>
      </w:tr>
      <w:tr w14:paraId="5E852F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23" w:hRule="atLeast"/>
        </w:trPr>
        <w:tc>
          <w:tcPr>
            <w:tcW w:w="1606" w:type="dxa"/>
            <w:tcBorders>
              <w:left w:val="single" w:color="000000" w:sz="4" w:space="0"/>
            </w:tcBorders>
            <w:vAlign w:val="top"/>
          </w:tcPr>
          <w:p w14:paraId="0A196E23">
            <w:pPr>
              <w:spacing w:line="248" w:lineRule="auto"/>
              <w:rPr>
                <w:rFonts w:ascii="Arial"/>
                <w:sz w:val="21"/>
              </w:rPr>
            </w:pPr>
          </w:p>
          <w:p w14:paraId="4E9B6E0D">
            <w:pPr>
              <w:spacing w:line="249" w:lineRule="auto"/>
              <w:rPr>
                <w:rFonts w:ascii="Arial"/>
                <w:sz w:val="21"/>
              </w:rPr>
            </w:pPr>
          </w:p>
          <w:p w14:paraId="215FD841">
            <w:pPr>
              <w:pStyle w:val="7"/>
              <w:spacing w:before="78" w:line="218" w:lineRule="auto"/>
              <w:ind w:left="382"/>
            </w:pPr>
            <w:r>
              <w:rPr>
                <w:spacing w:val="-15"/>
              </w:rPr>
              <w:t>水文条件</w:t>
            </w:r>
          </w:p>
        </w:tc>
        <w:tc>
          <w:tcPr>
            <w:tcW w:w="8153" w:type="dxa"/>
            <w:gridSpan w:val="2"/>
            <w:tcBorders>
              <w:right w:val="single" w:color="000000" w:sz="4" w:space="0"/>
            </w:tcBorders>
            <w:vAlign w:val="top"/>
          </w:tcPr>
          <w:p w14:paraId="2E21CBDD">
            <w:pPr>
              <w:pStyle w:val="7"/>
              <w:spacing w:before="109" w:line="360" w:lineRule="auto"/>
              <w:ind w:left="63" w:firstLine="6"/>
              <w:jc w:val="both"/>
            </w:pPr>
            <w:r>
              <w:rPr>
                <w:rFonts w:hint="eastAsia"/>
                <w:spacing w:val="-28"/>
                <w:lang w:val="en-US" w:eastAsia="zh-CN"/>
              </w:rPr>
              <w:t>城市</w:t>
            </w:r>
            <w:r>
              <w:rPr>
                <w:spacing w:val="-28"/>
              </w:rPr>
              <w:t>气候湿润，水系发育分别源于江淮分水岭两侧，或南流注长江，或北流入淮河。</w:t>
            </w:r>
            <w:r>
              <w:rPr>
                <w:spacing w:val="-24"/>
              </w:rPr>
              <w:t>属长江流域的河流主要有南淝河、店埠河、丰乐河、派河等；湖泊主要有巢湖。属淮</w:t>
            </w:r>
            <w:r>
              <w:rPr>
                <w:spacing w:val="-22"/>
              </w:rPr>
              <w:t>河流域水系的河流主要有东淝河、高塘河、庄墓河等；湖泊主要有瓦埠湖、高塘</w:t>
            </w:r>
            <w:r>
              <w:rPr>
                <w:spacing w:val="-23"/>
              </w:rPr>
              <w:t>湖。</w:t>
            </w:r>
          </w:p>
        </w:tc>
      </w:tr>
      <w:tr w14:paraId="6D5DC7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1606" w:type="dxa"/>
            <w:tcBorders>
              <w:left w:val="single" w:color="1C456A" w:sz="4" w:space="0"/>
              <w:bottom w:val="single" w:color="1C456A" w:sz="4" w:space="0"/>
            </w:tcBorders>
            <w:vAlign w:val="top"/>
          </w:tcPr>
          <w:p w14:paraId="060A46A0">
            <w:pPr>
              <w:pStyle w:val="7"/>
              <w:spacing w:before="106" w:line="218" w:lineRule="auto"/>
              <w:ind w:left="392"/>
            </w:pPr>
            <w:r>
              <w:pict>
                <v:shape id="_x0000_s4504" o:spid="_x0000_s4504" style="position:absolute;left:0pt;margin-left:-0.2pt;margin-top:31.45pt;height:0.75pt;width:2.2pt;mso-position-horizontal-relative:page;mso-position-vertical-relative:page;z-index:252388352;mso-width-relative:page;mso-height-relative:page;" fillcolor="#5B9BD5" filled="t" stroked="f" coordsize="44,15" path="m0,14l43,14,43,0,0,0,0,14xe">
                  <v:path/>
                  <v:fill on="t" focussize="0,0"/>
                  <v:stroke on="f"/>
                  <v:imagedata o:title=""/>
                  <o:lock v:ext="edit"/>
                </v:shape>
              </w:pict>
            </w:r>
            <w:r>
              <w:rPr>
                <w:spacing w:val="-18"/>
              </w:rPr>
              <w:t>气温概况</w:t>
            </w:r>
          </w:p>
        </w:tc>
        <w:tc>
          <w:tcPr>
            <w:tcW w:w="8153" w:type="dxa"/>
            <w:gridSpan w:val="2"/>
            <w:tcBorders>
              <w:bottom w:val="single" w:color="5B9BD5" w:sz="4" w:space="0"/>
              <w:right w:val="single" w:color="5B9BD5" w:sz="4" w:space="0"/>
            </w:tcBorders>
            <w:vAlign w:val="top"/>
          </w:tcPr>
          <w:p w14:paraId="22898BC5">
            <w:pPr>
              <w:pStyle w:val="7"/>
              <w:spacing w:before="106" w:line="217" w:lineRule="auto"/>
              <w:jc w:val="right"/>
            </w:pPr>
            <w:r>
              <w:pict>
                <v:shape id="_x0000_s4506" o:spid="_x0000_s4506" style="position:absolute;left:0pt;margin-left:405.8pt;margin-top:31.45pt;height:0.75pt;width:2.2pt;mso-position-horizontal-relative:page;mso-position-vertical-relative:page;z-index:252387328;mso-width-relative:page;mso-height-relative:page;" fillcolor="#5B9BD5" filled="t" stroked="f" coordsize="44,15" path="m0,14l43,14,43,0,0,0,0,14xe">
                  <v:path/>
                  <v:fill on="t" focussize="0,0"/>
                  <v:stroke on="f"/>
                  <v:imagedata o:title=""/>
                  <o:lock v:ext="edit"/>
                </v:shape>
              </w:pict>
            </w:r>
            <w:r>
              <w:rPr>
                <w:spacing w:val="-28"/>
              </w:rPr>
              <w:t>四季分明，气候温和、雨量适中、春温多变、秋高气爽、梅雨显著、夏雨集中</w:t>
            </w:r>
            <w:r>
              <w:rPr>
                <w:spacing w:val="-29"/>
              </w:rPr>
              <w:t>。春天：</w:t>
            </w:r>
          </w:p>
        </w:tc>
      </w:tr>
    </w:tbl>
    <w:p w14:paraId="06FCAC1C">
      <w:pPr>
        <w:rPr>
          <w:rFonts w:ascii="Arial"/>
          <w:sz w:val="21"/>
        </w:rPr>
      </w:pPr>
    </w:p>
    <w:p w14:paraId="5A1C2938">
      <w:pPr>
        <w:rPr>
          <w:rFonts w:ascii="Arial" w:hAnsi="Arial" w:eastAsia="Arial" w:cs="Arial"/>
          <w:sz w:val="21"/>
          <w:szCs w:val="21"/>
        </w:rPr>
        <w:sectPr>
          <w:footerReference r:id="rId402" w:type="default"/>
          <w:pgSz w:w="11907" w:h="16839"/>
          <w:pgMar w:top="933" w:right="4" w:bottom="1038" w:left="0" w:header="478" w:footer="357" w:gutter="0"/>
          <w:pgBorders>
            <w:top w:val="none" w:sz="0" w:space="0"/>
            <w:left w:val="none" w:sz="0" w:space="0"/>
            <w:bottom w:val="none" w:sz="0" w:space="0"/>
            <w:right w:val="none" w:sz="0" w:space="0"/>
          </w:pgBorders>
          <w:cols w:space="720" w:num="1"/>
        </w:sectPr>
      </w:pPr>
    </w:p>
    <w:p w14:paraId="05AFFA0F">
      <w:pPr>
        <w:spacing w:line="235" w:lineRule="exact"/>
      </w:pPr>
    </w:p>
    <w:tbl>
      <w:tblPr>
        <w:tblStyle w:val="6"/>
        <w:tblW w:w="9759" w:type="dxa"/>
        <w:tblInd w:w="107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601"/>
        <w:gridCol w:w="8158"/>
      </w:tblGrid>
      <w:tr w14:paraId="365E7B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51" w:hRule="atLeast"/>
        </w:trPr>
        <w:tc>
          <w:tcPr>
            <w:tcW w:w="1601" w:type="dxa"/>
            <w:tcBorders>
              <w:top w:val="single" w:color="000000" w:sz="4" w:space="0"/>
              <w:left w:val="single" w:color="000000" w:sz="4" w:space="0"/>
            </w:tcBorders>
            <w:vAlign w:val="top"/>
          </w:tcPr>
          <w:p w14:paraId="75D1AE21">
            <w:pPr>
              <w:rPr>
                <w:rFonts w:ascii="Arial"/>
                <w:sz w:val="21"/>
              </w:rPr>
            </w:pPr>
          </w:p>
        </w:tc>
        <w:tc>
          <w:tcPr>
            <w:tcW w:w="8158" w:type="dxa"/>
            <w:tcBorders>
              <w:top w:val="single" w:color="5B9BD5" w:sz="4" w:space="0"/>
              <w:right w:val="single" w:color="5B9BD5" w:sz="4" w:space="0"/>
            </w:tcBorders>
            <w:vAlign w:val="top"/>
          </w:tcPr>
          <w:p w14:paraId="3DA11B57">
            <w:pPr>
              <w:pStyle w:val="7"/>
              <w:spacing w:before="128" w:line="217" w:lineRule="auto"/>
              <w:jc w:val="right"/>
            </w:pPr>
            <w:r>
              <w:rPr>
                <w:spacing w:val="-23"/>
              </w:rPr>
              <w:t>冷暖空气活动频繁，常导致天气时晴时雨，乍暖乍寒，复</w:t>
            </w:r>
            <w:r>
              <w:rPr>
                <w:spacing w:val="-24"/>
              </w:rPr>
              <w:t>杂多变。夏季：季节最长，</w:t>
            </w:r>
          </w:p>
          <w:p w14:paraId="18BB9652">
            <w:pPr>
              <w:pStyle w:val="7"/>
              <w:spacing w:before="184" w:line="215" w:lineRule="auto"/>
              <w:ind w:left="69"/>
            </w:pPr>
            <w:r>
              <w:rPr>
                <w:spacing w:val="-20"/>
              </w:rPr>
              <w:t>天气炎热，雨量集中，降水强度大，雨量主要集中</w:t>
            </w:r>
            <w:r>
              <w:rPr>
                <w:spacing w:val="-21"/>
              </w:rPr>
              <w:t>在5-6月的梅雨季节。秋季：季节</w:t>
            </w:r>
          </w:p>
          <w:p w14:paraId="736868C4">
            <w:pPr>
              <w:pStyle w:val="7"/>
              <w:spacing w:before="188" w:line="217" w:lineRule="auto"/>
              <w:ind w:left="219"/>
            </w:pPr>
            <w:r>
              <w:rPr>
                <w:spacing w:val="-21"/>
              </w:rPr>
              <w:t>最短，气温下降快，晴好天气多。冬季:天气较寒冷，雨雪天气少，晴朗</w:t>
            </w:r>
            <w:r>
              <w:rPr>
                <w:spacing w:val="-22"/>
              </w:rPr>
              <w:t>天气多。</w:t>
            </w:r>
          </w:p>
        </w:tc>
      </w:tr>
      <w:tr w14:paraId="715F08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15" w:hRule="atLeast"/>
        </w:trPr>
        <w:tc>
          <w:tcPr>
            <w:tcW w:w="1601" w:type="dxa"/>
            <w:tcBorders>
              <w:left w:val="single" w:color="000000" w:sz="4" w:space="0"/>
            </w:tcBorders>
            <w:vAlign w:val="top"/>
          </w:tcPr>
          <w:p w14:paraId="69BBC308">
            <w:pPr>
              <w:spacing w:line="242" w:lineRule="auto"/>
              <w:rPr>
                <w:rFonts w:ascii="Arial"/>
                <w:sz w:val="21"/>
              </w:rPr>
            </w:pPr>
          </w:p>
          <w:p w14:paraId="21D74BC9">
            <w:pPr>
              <w:spacing w:line="242" w:lineRule="auto"/>
              <w:rPr>
                <w:rFonts w:ascii="Arial"/>
                <w:sz w:val="21"/>
              </w:rPr>
            </w:pPr>
          </w:p>
          <w:p w14:paraId="4BFA1724">
            <w:pPr>
              <w:pStyle w:val="7"/>
              <w:spacing w:before="78" w:line="218" w:lineRule="auto"/>
              <w:ind w:left="395"/>
            </w:pPr>
            <w:r>
              <w:rPr>
                <w:spacing w:val="-18"/>
              </w:rPr>
              <w:t>降雨情况</w:t>
            </w:r>
          </w:p>
        </w:tc>
        <w:tc>
          <w:tcPr>
            <w:tcW w:w="8158" w:type="dxa"/>
            <w:tcBorders>
              <w:right w:val="single" w:color="000000" w:sz="4" w:space="0"/>
            </w:tcBorders>
            <w:vAlign w:val="top"/>
          </w:tcPr>
          <w:p w14:paraId="3E91DF27">
            <w:pPr>
              <w:pStyle w:val="7"/>
              <w:spacing w:before="98" w:line="215" w:lineRule="auto"/>
              <w:ind w:left="108"/>
            </w:pPr>
            <w:r>
              <w:rPr>
                <w:spacing w:val="-21"/>
              </w:rPr>
              <w:t>降雨充沛，年降雨量1200毫米，但分布不均，主要集中在春季、梅雨季节和初</w:t>
            </w:r>
          </w:p>
          <w:p w14:paraId="0695955C">
            <w:pPr>
              <w:pStyle w:val="7"/>
              <w:spacing w:before="188" w:line="216" w:lineRule="auto"/>
              <w:ind w:left="70"/>
            </w:pPr>
            <w:r>
              <w:rPr>
                <w:spacing w:val="-22"/>
              </w:rPr>
              <w:t>冬。依据往年经验，我单位将做好相应工序布置，</w:t>
            </w:r>
            <w:r>
              <w:rPr>
                <w:spacing w:val="-23"/>
              </w:rPr>
              <w:t>将降雨对工程的影响降到最小，保</w:t>
            </w:r>
          </w:p>
          <w:p w14:paraId="34AAEC89">
            <w:pPr>
              <w:pStyle w:val="7"/>
              <w:spacing w:before="184" w:line="217" w:lineRule="auto"/>
              <w:ind w:left="3210"/>
            </w:pPr>
            <w:r>
              <w:rPr>
                <w:spacing w:val="-22"/>
              </w:rPr>
              <w:t>证施工顺利进行。</w:t>
            </w:r>
          </w:p>
        </w:tc>
      </w:tr>
      <w:tr w14:paraId="0BACCF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4" w:hRule="atLeast"/>
        </w:trPr>
        <w:tc>
          <w:tcPr>
            <w:tcW w:w="1601" w:type="dxa"/>
            <w:tcBorders>
              <w:left w:val="single" w:color="1C456A" w:sz="4" w:space="0"/>
              <w:bottom w:val="single" w:color="1C456A" w:sz="4" w:space="0"/>
            </w:tcBorders>
            <w:vAlign w:val="top"/>
          </w:tcPr>
          <w:p w14:paraId="048A1D1D">
            <w:pPr>
              <w:pStyle w:val="7"/>
              <w:spacing w:before="101" w:line="220" w:lineRule="auto"/>
              <w:ind w:left="602"/>
            </w:pPr>
            <w:r>
              <w:rPr>
                <w:spacing w:val="-10"/>
              </w:rPr>
              <w:t>说明</w:t>
            </w:r>
          </w:p>
        </w:tc>
        <w:tc>
          <w:tcPr>
            <w:tcW w:w="8158" w:type="dxa"/>
            <w:tcBorders>
              <w:bottom w:val="single" w:color="5B9BD5" w:sz="4" w:space="0"/>
              <w:right w:val="single" w:color="5B9BD5" w:sz="4" w:space="0"/>
            </w:tcBorders>
            <w:vAlign w:val="top"/>
          </w:tcPr>
          <w:p w14:paraId="54A96742">
            <w:pPr>
              <w:pStyle w:val="7"/>
              <w:spacing w:before="101" w:line="212" w:lineRule="auto"/>
              <w:ind w:left="1412"/>
            </w:pPr>
            <w:r>
              <w:rPr>
                <w:spacing w:val="-15"/>
              </w:rPr>
              <w:t>数据来源：气象网</w:t>
            </w:r>
            <w:r>
              <w:fldChar w:fldCharType="begin"/>
            </w:r>
            <w:r>
              <w:instrText xml:space="preserve">HYPERLINK"http://www.wuhuqx.gov.cn/"</w:instrText>
            </w:r>
            <w:r>
              <w:fldChar w:fldCharType="separate"/>
            </w:r>
            <w:r>
              <w:rPr>
                <w:spacing w:val="-15"/>
              </w:rPr>
              <w:t>（http://www.hfqx.com.cn/</w:t>
            </w:r>
            <w:r>
              <w:rPr>
                <w:spacing w:val="-15"/>
              </w:rPr>
              <w:fldChar w:fldCharType="end"/>
            </w:r>
            <w:r>
              <w:rPr>
                <w:spacing w:val="-15"/>
              </w:rPr>
              <w:t>）</w:t>
            </w:r>
          </w:p>
        </w:tc>
      </w:tr>
    </w:tbl>
    <w:p w14:paraId="035C7234">
      <w:pPr>
        <w:pStyle w:val="2"/>
        <w:spacing w:before="115" w:line="215" w:lineRule="auto"/>
        <w:ind w:left="1921"/>
        <w:rPr>
          <w:sz w:val="24"/>
          <w:szCs w:val="24"/>
        </w:rPr>
      </w:pPr>
      <w:r>
        <w:rPr>
          <w:spacing w:val="-22"/>
          <w:sz w:val="24"/>
          <w:szCs w:val="24"/>
        </w:rPr>
        <w:t>同时我单位将在施工期间针对大批务工人员</w:t>
      </w:r>
      <w:r>
        <w:rPr>
          <w:spacing w:val="-23"/>
          <w:sz w:val="24"/>
          <w:szCs w:val="24"/>
        </w:rPr>
        <w:t>进入施工区，我单位特制定以下安全管理措施：</w:t>
      </w:r>
    </w:p>
    <w:p w14:paraId="027EEB10">
      <w:pPr>
        <w:pStyle w:val="2"/>
        <w:spacing w:before="121" w:line="218" w:lineRule="auto"/>
        <w:ind w:left="1896"/>
        <w:rPr>
          <w:sz w:val="24"/>
          <w:szCs w:val="24"/>
        </w:rPr>
      </w:pPr>
      <w:r>
        <w:rPr>
          <w:spacing w:val="-21"/>
          <w:sz w:val="24"/>
          <w:szCs w:val="24"/>
        </w:rPr>
        <w:t>一、加强对施工队伍的安全管理。</w:t>
      </w:r>
    </w:p>
    <w:p w14:paraId="6CF04CC4">
      <w:pPr>
        <w:pStyle w:val="2"/>
        <w:spacing w:before="113" w:line="308" w:lineRule="auto"/>
        <w:ind w:left="1457" w:right="1409" w:firstLine="450"/>
        <w:jc w:val="both"/>
        <w:rPr>
          <w:sz w:val="24"/>
          <w:szCs w:val="24"/>
        </w:rPr>
      </w:pPr>
      <w:r>
        <w:rPr>
          <w:spacing w:val="-20"/>
          <w:sz w:val="24"/>
          <w:szCs w:val="24"/>
        </w:rPr>
        <w:t>明确安全责任，履行应尽的基础安全设施建设，包括建立“安全防护隔离网”、设立“警示标志”等。施工企业要加强建筑安全生产管理，防范安全事故，严格遵守《安徽省建筑安全</w:t>
      </w:r>
      <w:r>
        <w:rPr>
          <w:spacing w:val="-26"/>
          <w:sz w:val="24"/>
          <w:szCs w:val="24"/>
        </w:rPr>
        <w:t>生产管理规定》。</w:t>
      </w:r>
    </w:p>
    <w:p w14:paraId="419C824B">
      <w:pPr>
        <w:pStyle w:val="2"/>
        <w:spacing w:before="1" w:line="217" w:lineRule="auto"/>
        <w:ind w:left="1900"/>
        <w:rPr>
          <w:sz w:val="24"/>
          <w:szCs w:val="24"/>
        </w:rPr>
      </w:pPr>
      <w:r>
        <w:rPr>
          <w:spacing w:val="-21"/>
          <w:sz w:val="24"/>
          <w:szCs w:val="24"/>
        </w:rPr>
        <w:t>二、施工场地必须封闭管理。</w:t>
      </w:r>
    </w:p>
    <w:p w14:paraId="3E4FA201">
      <w:pPr>
        <w:pStyle w:val="2"/>
        <w:spacing w:before="119" w:line="307" w:lineRule="auto"/>
        <w:ind w:left="1460" w:right="1410" w:firstLine="433"/>
        <w:rPr>
          <w:sz w:val="24"/>
          <w:szCs w:val="24"/>
        </w:rPr>
      </w:pPr>
      <w:r>
        <w:rPr>
          <w:spacing w:val="-20"/>
          <w:sz w:val="24"/>
          <w:szCs w:val="24"/>
        </w:rPr>
        <w:t>将施工场地区域隔离，所有施工人员须在限定的施工现场活动。施工期间，严格控制外来人员进入工地施工现场。</w:t>
      </w:r>
    </w:p>
    <w:p w14:paraId="3DDA2E59">
      <w:pPr>
        <w:pStyle w:val="2"/>
        <w:spacing w:line="218" w:lineRule="auto"/>
        <w:ind w:left="1899"/>
        <w:rPr>
          <w:sz w:val="24"/>
          <w:szCs w:val="24"/>
        </w:rPr>
      </w:pPr>
      <w:r>
        <w:rPr>
          <w:spacing w:val="-21"/>
          <w:sz w:val="24"/>
          <w:szCs w:val="24"/>
        </w:rPr>
        <w:t>三、对务工人员加强教育和管理。</w:t>
      </w:r>
    </w:p>
    <w:p w14:paraId="2DE98C97">
      <w:pPr>
        <w:pStyle w:val="2"/>
        <w:spacing w:before="116" w:line="308" w:lineRule="auto"/>
        <w:ind w:left="1458" w:right="1410" w:firstLine="435"/>
        <w:rPr>
          <w:sz w:val="24"/>
          <w:szCs w:val="24"/>
        </w:rPr>
      </w:pPr>
      <w:r>
        <w:rPr>
          <w:spacing w:val="-20"/>
          <w:sz w:val="24"/>
          <w:szCs w:val="24"/>
        </w:rPr>
        <w:t>本单位对进场施工的所有务工人员进行安全和文明施工教育，教育他们遵守国家法律，并</w:t>
      </w:r>
      <w:r>
        <w:rPr>
          <w:spacing w:val="-21"/>
          <w:sz w:val="24"/>
          <w:szCs w:val="24"/>
        </w:rPr>
        <w:t>进行严格管理。</w:t>
      </w:r>
    </w:p>
    <w:p w14:paraId="67B5FCF6">
      <w:pPr>
        <w:pStyle w:val="2"/>
        <w:spacing w:before="1" w:line="215" w:lineRule="auto"/>
        <w:ind w:left="1921"/>
        <w:rPr>
          <w:sz w:val="24"/>
          <w:szCs w:val="24"/>
        </w:rPr>
      </w:pPr>
      <w:r>
        <w:rPr>
          <w:spacing w:val="-23"/>
          <w:sz w:val="24"/>
          <w:szCs w:val="24"/>
        </w:rPr>
        <w:t>四、加强施工车辆管理。</w:t>
      </w:r>
    </w:p>
    <w:p w14:paraId="680A6ECC">
      <w:pPr>
        <w:pStyle w:val="2"/>
        <w:spacing w:before="122" w:line="307" w:lineRule="auto"/>
        <w:ind w:left="1457" w:right="1410" w:firstLine="435"/>
        <w:jc w:val="both"/>
        <w:rPr>
          <w:sz w:val="24"/>
          <w:szCs w:val="24"/>
        </w:rPr>
      </w:pPr>
      <w:r>
        <w:rPr>
          <w:spacing w:val="-20"/>
          <w:sz w:val="24"/>
          <w:szCs w:val="24"/>
        </w:rPr>
        <w:t>施工车辆和人员出入，工程运输车辆在规定道路和规定时间通行，在主要路段和交叉路口派出专人进行管理。并及时清扫路面抛洒物，在施工路段安放安全提示牌。施工车辆不得超载</w:t>
      </w:r>
      <w:r>
        <w:rPr>
          <w:spacing w:val="-21"/>
          <w:sz w:val="24"/>
          <w:szCs w:val="24"/>
        </w:rPr>
        <w:t>超速，遵守交通法规保证车辆和行人安全通行。</w:t>
      </w:r>
    </w:p>
    <w:p w14:paraId="187FEC1C">
      <w:pPr>
        <w:pStyle w:val="2"/>
        <w:spacing w:before="1" w:line="219" w:lineRule="auto"/>
        <w:ind w:left="1896"/>
        <w:rPr>
          <w:sz w:val="24"/>
          <w:szCs w:val="24"/>
        </w:rPr>
      </w:pPr>
      <w:r>
        <w:rPr>
          <w:spacing w:val="-21"/>
          <w:sz w:val="24"/>
          <w:szCs w:val="24"/>
        </w:rPr>
        <w:t>五、加强施工现场的安全管理。</w:t>
      </w:r>
    </w:p>
    <w:p w14:paraId="41834389">
      <w:pPr>
        <w:pStyle w:val="2"/>
        <w:spacing w:before="116" w:line="277" w:lineRule="auto"/>
        <w:ind w:left="1459" w:right="1411" w:firstLine="444"/>
        <w:rPr>
          <w:sz w:val="24"/>
          <w:szCs w:val="24"/>
        </w:rPr>
      </w:pPr>
      <w:r>
        <w:rPr>
          <w:spacing w:val="-22"/>
          <w:sz w:val="24"/>
          <w:szCs w:val="24"/>
        </w:rPr>
        <w:t>1、对施工现场用电、用气和用火设备的使用情况定期监</w:t>
      </w:r>
      <w:r>
        <w:rPr>
          <w:spacing w:val="-23"/>
          <w:sz w:val="24"/>
          <w:szCs w:val="24"/>
        </w:rPr>
        <w:t>督检查，所有设备必须符合安全标</w:t>
      </w:r>
      <w:r>
        <w:rPr>
          <w:spacing w:val="-20"/>
          <w:sz w:val="24"/>
          <w:szCs w:val="24"/>
        </w:rPr>
        <w:t>准，并严格按安全规范操作和使用。按照防火规定配置足够数量的消防器材；施工现场要设置</w:t>
      </w:r>
      <w:r>
        <w:rPr>
          <w:spacing w:val="-21"/>
          <w:sz w:val="24"/>
          <w:szCs w:val="24"/>
        </w:rPr>
        <w:t>专兼职安全员，并佩带标志上岗。</w:t>
      </w:r>
    </w:p>
    <w:p w14:paraId="7E24FA7C">
      <w:pPr>
        <w:pStyle w:val="2"/>
        <w:spacing w:before="122" w:line="285" w:lineRule="auto"/>
        <w:ind w:left="1455" w:right="1411" w:firstLine="432"/>
        <w:rPr>
          <w:sz w:val="24"/>
          <w:szCs w:val="24"/>
        </w:rPr>
      </w:pPr>
      <w:r>
        <w:rPr>
          <w:spacing w:val="-22"/>
          <w:sz w:val="24"/>
          <w:szCs w:val="24"/>
        </w:rPr>
        <w:t>2、我单位在施工现场主出入口必须设置自动喷淋系统（顶面、侧面、底面全方位冲洗）设</w:t>
      </w:r>
      <w:r>
        <w:rPr>
          <w:spacing w:val="-20"/>
          <w:sz w:val="24"/>
          <w:szCs w:val="24"/>
        </w:rPr>
        <w:t>置沉淀池对运输车辆清洗，并配置高压水枪，运输车辆应在除泥、冲洗干净后方可驶出作业场所；施工现场污水必须有组织排放，设置沉淀池，泥浆、污水未经沉淀严禁直接排入河道或下水道内，泥浆不得外漏。</w:t>
      </w:r>
    </w:p>
    <w:p w14:paraId="190A167F">
      <w:pPr>
        <w:pStyle w:val="2"/>
        <w:spacing w:before="116" w:line="278" w:lineRule="auto"/>
        <w:ind w:left="1452" w:right="1412" w:firstLine="437"/>
        <w:rPr>
          <w:sz w:val="24"/>
          <w:szCs w:val="24"/>
        </w:rPr>
      </w:pPr>
      <w:r>
        <w:rPr>
          <w:spacing w:val="-22"/>
          <w:sz w:val="24"/>
          <w:szCs w:val="24"/>
        </w:rPr>
        <w:t>3、本工程项目施工期间增设的变压器，本单位将加强对变压器及临时设施的防护，</w:t>
      </w:r>
      <w:r>
        <w:rPr>
          <w:spacing w:val="-23"/>
          <w:sz w:val="24"/>
          <w:szCs w:val="24"/>
        </w:rPr>
        <w:t>保证项</w:t>
      </w:r>
      <w:r>
        <w:rPr>
          <w:spacing w:val="-20"/>
          <w:sz w:val="24"/>
          <w:szCs w:val="24"/>
        </w:rPr>
        <w:t>目安全进行施工，合理安排布局，为项目做好保证工作。施工现场临时用电安全管理必须执行JGJ64—88《施工现场临时用电安全技术规范》。</w:t>
      </w:r>
    </w:p>
    <w:p w14:paraId="49107AEF">
      <w:pPr>
        <w:spacing w:line="278" w:lineRule="auto"/>
        <w:rPr>
          <w:sz w:val="24"/>
          <w:szCs w:val="24"/>
        </w:rPr>
        <w:sectPr>
          <w:footerReference r:id="rId403" w:type="default"/>
          <w:pgSz w:w="11907" w:h="16839"/>
          <w:pgMar w:top="933" w:right="4" w:bottom="1038" w:left="0" w:header="478" w:footer="357" w:gutter="0"/>
          <w:pgBorders>
            <w:top w:val="none" w:sz="0" w:space="0"/>
            <w:left w:val="none" w:sz="0" w:space="0"/>
            <w:bottom w:val="none" w:sz="0" w:space="0"/>
            <w:right w:val="none" w:sz="0" w:space="0"/>
          </w:pgBorders>
          <w:cols w:space="720" w:num="1"/>
        </w:sectPr>
      </w:pPr>
    </w:p>
    <w:p w14:paraId="53A86868">
      <w:pPr>
        <w:spacing w:line="271" w:lineRule="auto"/>
        <w:rPr>
          <w:rFonts w:ascii="Arial"/>
          <w:sz w:val="21"/>
        </w:rPr>
      </w:pPr>
    </w:p>
    <w:p w14:paraId="7880D449">
      <w:pPr>
        <w:pStyle w:val="2"/>
        <w:spacing w:before="78" w:line="218" w:lineRule="auto"/>
        <w:ind w:left="1884"/>
        <w:rPr>
          <w:sz w:val="24"/>
          <w:szCs w:val="24"/>
        </w:rPr>
      </w:pPr>
      <w:r>
        <w:rPr>
          <w:spacing w:val="-20"/>
          <w:sz w:val="24"/>
          <w:szCs w:val="24"/>
        </w:rPr>
        <w:t>4、施工现场临时用电电工必须持证上岗。</w:t>
      </w:r>
    </w:p>
    <w:p w14:paraId="1C9EE381">
      <w:pPr>
        <w:pStyle w:val="2"/>
        <w:spacing w:before="117" w:line="216" w:lineRule="auto"/>
        <w:ind w:left="1890"/>
        <w:rPr>
          <w:sz w:val="24"/>
          <w:szCs w:val="24"/>
        </w:rPr>
      </w:pPr>
      <w:r>
        <w:rPr>
          <w:spacing w:val="-21"/>
          <w:sz w:val="24"/>
          <w:szCs w:val="24"/>
        </w:rPr>
        <w:t>5、施工现场临时用电必须编写“临时用电施工组织设计”，并按其布置。</w:t>
      </w:r>
    </w:p>
    <w:p w14:paraId="5F694145">
      <w:pPr>
        <w:pStyle w:val="2"/>
        <w:spacing w:before="117" w:line="262" w:lineRule="auto"/>
        <w:ind w:left="1463" w:right="1351" w:firstLine="424"/>
        <w:rPr>
          <w:sz w:val="24"/>
          <w:szCs w:val="24"/>
        </w:rPr>
      </w:pPr>
      <w:r>
        <w:rPr>
          <w:spacing w:val="-26"/>
          <w:sz w:val="24"/>
          <w:szCs w:val="24"/>
        </w:rPr>
        <w:t>6、施工现场临时用电必须采用“三相五线制”系统。一、二级配电箱外壳必须设重复接地，</w:t>
      </w:r>
      <w:r>
        <w:rPr>
          <w:spacing w:val="-23"/>
          <w:sz w:val="24"/>
          <w:szCs w:val="24"/>
        </w:rPr>
        <w:t>三级配电箱在比较集中的地方应设重复接地。</w:t>
      </w:r>
    </w:p>
    <w:p w14:paraId="25698850">
      <w:pPr>
        <w:pStyle w:val="2"/>
        <w:spacing w:before="120" w:line="217" w:lineRule="auto"/>
        <w:ind w:left="1891"/>
        <w:rPr>
          <w:sz w:val="24"/>
          <w:szCs w:val="24"/>
        </w:rPr>
      </w:pPr>
      <w:r>
        <w:rPr>
          <w:spacing w:val="-21"/>
          <w:sz w:val="24"/>
          <w:szCs w:val="24"/>
        </w:rPr>
        <w:t>7、机械设备的金属部分必须有接地（零）保护。</w:t>
      </w:r>
    </w:p>
    <w:p w14:paraId="3ABDF22B">
      <w:pPr>
        <w:pStyle w:val="2"/>
        <w:spacing w:before="117" w:line="262" w:lineRule="auto"/>
        <w:ind w:left="1482" w:right="1409" w:firstLine="403"/>
        <w:rPr>
          <w:sz w:val="24"/>
          <w:szCs w:val="24"/>
        </w:rPr>
      </w:pPr>
      <w:r>
        <w:rPr>
          <w:spacing w:val="-22"/>
          <w:sz w:val="24"/>
          <w:szCs w:val="24"/>
        </w:rPr>
        <w:t>8、每台电气设备必须实行“一机、一闸、一漏、一箱”制。开关箱与其所控制的固定式用</w:t>
      </w:r>
      <w:r>
        <w:rPr>
          <w:spacing w:val="-20"/>
          <w:sz w:val="24"/>
          <w:szCs w:val="24"/>
        </w:rPr>
        <w:t>电设备的水平距离不宜超过3米，漏电保护器应</w:t>
      </w:r>
      <w:r>
        <w:rPr>
          <w:spacing w:val="-21"/>
          <w:sz w:val="24"/>
          <w:szCs w:val="24"/>
        </w:rPr>
        <w:t>与所控制的设备容量相匹配。</w:t>
      </w:r>
    </w:p>
    <w:p w14:paraId="5C6D5B10">
      <w:pPr>
        <w:pStyle w:val="2"/>
        <w:spacing w:before="119" w:line="217" w:lineRule="auto"/>
        <w:ind w:left="1886"/>
        <w:rPr>
          <w:sz w:val="24"/>
          <w:szCs w:val="24"/>
        </w:rPr>
      </w:pPr>
      <w:r>
        <w:rPr>
          <w:spacing w:val="-18"/>
          <w:sz w:val="24"/>
          <w:szCs w:val="24"/>
        </w:rPr>
        <w:t>9、开关箱与二级配电箱的距离不得超过30米。</w:t>
      </w:r>
    </w:p>
    <w:p w14:paraId="646DC7DD">
      <w:pPr>
        <w:pStyle w:val="2"/>
        <w:spacing w:before="116" w:line="279" w:lineRule="auto"/>
        <w:ind w:left="1457" w:right="1409" w:firstLine="446"/>
        <w:rPr>
          <w:sz w:val="24"/>
          <w:szCs w:val="24"/>
        </w:rPr>
      </w:pPr>
      <w:r>
        <w:rPr>
          <w:spacing w:val="-19"/>
          <w:sz w:val="24"/>
          <w:szCs w:val="24"/>
        </w:rPr>
        <w:t>10、各级配电箱内应设专用零线和保护零线端子，不得相互</w:t>
      </w:r>
      <w:r>
        <w:rPr>
          <w:spacing w:val="-20"/>
          <w:sz w:val="24"/>
          <w:szCs w:val="24"/>
        </w:rPr>
        <w:t>混接；箱内电气元件应排列整齐、牢固，配线横平竖直、美观，并且绑扎牢固；箱底引出线口应加橡皮绝缘互套，箱门应配</w:t>
      </w:r>
      <w:r>
        <w:rPr>
          <w:spacing w:val="-18"/>
          <w:sz w:val="24"/>
          <w:szCs w:val="24"/>
        </w:rPr>
        <w:t>锁。</w:t>
      </w:r>
    </w:p>
    <w:p w14:paraId="3AFA6AB9">
      <w:pPr>
        <w:pStyle w:val="2"/>
        <w:spacing w:before="113" w:line="216" w:lineRule="auto"/>
        <w:ind w:left="1903"/>
        <w:rPr>
          <w:sz w:val="24"/>
          <w:szCs w:val="24"/>
        </w:rPr>
      </w:pPr>
      <w:r>
        <w:rPr>
          <w:spacing w:val="-19"/>
          <w:sz w:val="24"/>
          <w:szCs w:val="24"/>
        </w:rPr>
        <w:t>11、各级配电箱周围2米以内不得堆放杂物，并且应设防雨措施。</w:t>
      </w:r>
    </w:p>
    <w:p w14:paraId="34CF507D">
      <w:pPr>
        <w:pStyle w:val="2"/>
        <w:spacing w:before="122" w:line="262" w:lineRule="auto"/>
        <w:ind w:left="1456" w:right="1411" w:firstLine="447"/>
        <w:rPr>
          <w:sz w:val="24"/>
          <w:szCs w:val="24"/>
        </w:rPr>
      </w:pPr>
      <w:r>
        <w:rPr>
          <w:spacing w:val="-21"/>
          <w:sz w:val="24"/>
          <w:szCs w:val="24"/>
        </w:rPr>
        <w:t>12、室外照明灯具应采用防水灯具，距地面高度不得低于3米；室内照明灯具距地面</w:t>
      </w:r>
      <w:r>
        <w:rPr>
          <w:spacing w:val="-22"/>
          <w:sz w:val="24"/>
          <w:szCs w:val="24"/>
        </w:rPr>
        <w:t>不得</w:t>
      </w:r>
      <w:r>
        <w:rPr>
          <w:spacing w:val="-18"/>
          <w:sz w:val="24"/>
          <w:szCs w:val="24"/>
        </w:rPr>
        <w:t>低于2.4米；照明灯具的金属外壳必须有保护接零。</w:t>
      </w:r>
    </w:p>
    <w:p w14:paraId="056FECD0">
      <w:pPr>
        <w:pStyle w:val="2"/>
        <w:spacing w:before="118" w:line="262" w:lineRule="auto"/>
        <w:ind w:left="1462" w:right="1334" w:firstLine="441"/>
        <w:rPr>
          <w:sz w:val="24"/>
          <w:szCs w:val="24"/>
        </w:rPr>
      </w:pPr>
      <w:r>
        <w:rPr>
          <w:spacing w:val="-21"/>
          <w:sz w:val="24"/>
          <w:szCs w:val="24"/>
        </w:rPr>
        <w:t>13、手持照明灯具、地下室、金属容器内、潮湿等场所，照明时必须使用36V及以下的安</w:t>
      </w:r>
      <w:r>
        <w:rPr>
          <w:spacing w:val="-26"/>
          <w:sz w:val="24"/>
          <w:szCs w:val="24"/>
        </w:rPr>
        <w:t>全电压。36V变压器严禁使用自耦变压器，必须使</w:t>
      </w:r>
      <w:r>
        <w:rPr>
          <w:spacing w:val="-27"/>
          <w:sz w:val="24"/>
          <w:szCs w:val="24"/>
        </w:rPr>
        <w:t>用双绕组变压器。金属外壳有可靠的保护接零。</w:t>
      </w:r>
    </w:p>
    <w:p w14:paraId="458F8512">
      <w:pPr>
        <w:pStyle w:val="2"/>
        <w:spacing w:before="119" w:line="215" w:lineRule="auto"/>
        <w:ind w:left="1903"/>
        <w:rPr>
          <w:sz w:val="24"/>
          <w:szCs w:val="24"/>
        </w:rPr>
      </w:pPr>
      <w:r>
        <w:rPr>
          <w:spacing w:val="-21"/>
          <w:sz w:val="24"/>
          <w:szCs w:val="24"/>
        </w:rPr>
        <w:t>14、照明电线不能栓在金属脚手架、龙门架等其它金属上，严禁在地面上乱拉、乱</w:t>
      </w:r>
      <w:r>
        <w:rPr>
          <w:spacing w:val="-22"/>
          <w:sz w:val="24"/>
          <w:szCs w:val="24"/>
        </w:rPr>
        <w:t>拖。</w:t>
      </w:r>
    </w:p>
    <w:p w14:paraId="3B74DF88">
      <w:pPr>
        <w:pStyle w:val="2"/>
        <w:spacing w:before="119" w:line="218" w:lineRule="auto"/>
        <w:ind w:left="1903"/>
        <w:rPr>
          <w:sz w:val="24"/>
          <w:szCs w:val="24"/>
        </w:rPr>
      </w:pPr>
      <w:r>
        <w:rPr>
          <w:spacing w:val="-19"/>
          <w:sz w:val="24"/>
          <w:szCs w:val="24"/>
        </w:rPr>
        <w:t>15、架空线路应采用铁横担，瓷瓶水平架设，距地面一般不低于4</w:t>
      </w:r>
      <w:r>
        <w:rPr>
          <w:spacing w:val="-20"/>
          <w:sz w:val="24"/>
          <w:szCs w:val="24"/>
        </w:rPr>
        <w:t>米，过道路不低于6米。</w:t>
      </w:r>
    </w:p>
    <w:p w14:paraId="077F560D">
      <w:pPr>
        <w:pStyle w:val="2"/>
        <w:spacing w:before="117" w:line="218" w:lineRule="auto"/>
        <w:ind w:left="1903"/>
        <w:rPr>
          <w:sz w:val="24"/>
          <w:szCs w:val="24"/>
        </w:rPr>
      </w:pPr>
      <w:r>
        <w:rPr>
          <w:spacing w:val="-21"/>
          <w:sz w:val="24"/>
          <w:szCs w:val="24"/>
        </w:rPr>
        <w:t>16、电缆干线应采用埋地或架空敷设，严禁沿地面明敷设。</w:t>
      </w:r>
    </w:p>
    <w:p w14:paraId="6E397660">
      <w:pPr>
        <w:pStyle w:val="2"/>
        <w:spacing w:before="117" w:line="261" w:lineRule="auto"/>
        <w:ind w:left="1461" w:right="1409" w:firstLine="442"/>
        <w:rPr>
          <w:sz w:val="24"/>
          <w:szCs w:val="24"/>
        </w:rPr>
      </w:pPr>
      <w:r>
        <w:rPr>
          <w:spacing w:val="-19"/>
          <w:sz w:val="24"/>
          <w:szCs w:val="24"/>
        </w:rPr>
        <w:t>17、橡皮电缆应采用埋地穿保护管及沿墙或电杆等敷设，在</w:t>
      </w:r>
      <w:r>
        <w:rPr>
          <w:spacing w:val="-20"/>
          <w:sz w:val="24"/>
          <w:szCs w:val="24"/>
        </w:rPr>
        <w:t>沿墙或电杆敷设时用绝缘子固</w:t>
      </w:r>
      <w:r>
        <w:rPr>
          <w:spacing w:val="-21"/>
          <w:sz w:val="24"/>
          <w:szCs w:val="24"/>
        </w:rPr>
        <w:t>定，在金属构件上敷设时，应与金属构件之间做绝</w:t>
      </w:r>
      <w:r>
        <w:rPr>
          <w:spacing w:val="-22"/>
          <w:sz w:val="24"/>
          <w:szCs w:val="24"/>
        </w:rPr>
        <w:t>缘处理。</w:t>
      </w:r>
    </w:p>
    <w:p w14:paraId="0BBE26D2">
      <w:pPr>
        <w:pStyle w:val="2"/>
        <w:spacing w:before="121" w:line="217" w:lineRule="auto"/>
        <w:ind w:left="1903"/>
        <w:rPr>
          <w:sz w:val="24"/>
          <w:szCs w:val="24"/>
        </w:rPr>
      </w:pPr>
      <w:r>
        <w:rPr>
          <w:spacing w:val="-21"/>
          <w:sz w:val="24"/>
          <w:szCs w:val="24"/>
        </w:rPr>
        <w:t>18、电缆、电线严禁使用金属裸线绑扎固定。</w:t>
      </w:r>
    </w:p>
    <w:p w14:paraId="0B6952A4">
      <w:pPr>
        <w:pStyle w:val="2"/>
        <w:spacing w:before="84" w:line="219" w:lineRule="auto"/>
        <w:ind w:left="2010"/>
        <w:outlineLvl w:val="2"/>
        <w:rPr>
          <w:sz w:val="28"/>
          <w:szCs w:val="28"/>
        </w:rPr>
      </w:pPr>
      <w:bookmarkStart w:id="289" w:name="bookmark275"/>
      <w:bookmarkEnd w:id="289"/>
      <w:r>
        <w:rPr>
          <w:b/>
          <w:bCs/>
          <w:spacing w:val="-25"/>
          <w:sz w:val="28"/>
          <w:szCs w:val="28"/>
        </w:rPr>
        <w:t>四、施工总体安排及流程</w:t>
      </w:r>
    </w:p>
    <w:p w14:paraId="0E063107">
      <w:pPr>
        <w:pStyle w:val="2"/>
        <w:spacing w:before="101" w:line="220" w:lineRule="auto"/>
        <w:ind w:left="1903"/>
        <w:rPr>
          <w:sz w:val="24"/>
          <w:szCs w:val="24"/>
        </w:rPr>
      </w:pPr>
      <w:r>
        <w:rPr>
          <w:spacing w:val="-19"/>
          <w:sz w:val="24"/>
          <w:szCs w:val="24"/>
        </w:rPr>
        <w:t>1、划分施工区域</w:t>
      </w:r>
    </w:p>
    <w:p w14:paraId="79498894">
      <w:pPr>
        <w:pStyle w:val="2"/>
        <w:spacing w:before="116" w:line="307" w:lineRule="auto"/>
        <w:ind w:left="1456" w:right="1409" w:firstLine="437"/>
        <w:rPr>
          <w:sz w:val="24"/>
          <w:szCs w:val="24"/>
        </w:rPr>
      </w:pPr>
      <w:r>
        <w:rPr>
          <w:spacing w:val="-20"/>
          <w:sz w:val="24"/>
          <w:szCs w:val="24"/>
        </w:rPr>
        <w:t>本工程施工区域比较大，施工作业面较广，工期比较紧，因此科学管理，合理安排施工顺</w:t>
      </w:r>
      <w:r>
        <w:rPr>
          <w:spacing w:val="-22"/>
          <w:sz w:val="24"/>
          <w:szCs w:val="24"/>
        </w:rPr>
        <w:t>序，处理好施工搭接，做好材料供应，是加快工程施工进度的关键。</w:t>
      </w:r>
    </w:p>
    <w:p w14:paraId="39CA4C79">
      <w:pPr>
        <w:pStyle w:val="2"/>
        <w:spacing w:before="2" w:line="307" w:lineRule="auto"/>
        <w:ind w:left="1459" w:right="1409" w:firstLine="434"/>
        <w:rPr>
          <w:sz w:val="24"/>
          <w:szCs w:val="24"/>
        </w:rPr>
      </w:pPr>
      <w:r>
        <w:rPr>
          <w:spacing w:val="-20"/>
          <w:sz w:val="24"/>
          <w:szCs w:val="24"/>
        </w:rPr>
        <w:t>各施工区间相互搭接，结构施工时充分考虑时空效应，对各种要素资源配置如劳动力、机</w:t>
      </w:r>
      <w:r>
        <w:rPr>
          <w:spacing w:val="-21"/>
          <w:sz w:val="24"/>
          <w:szCs w:val="24"/>
        </w:rPr>
        <w:t>具、材料、机械设备、周转材料等进行平行配置确</w:t>
      </w:r>
      <w:r>
        <w:rPr>
          <w:spacing w:val="-22"/>
          <w:sz w:val="24"/>
          <w:szCs w:val="24"/>
        </w:rPr>
        <w:t>保结构施工时进行平行的流水施工。</w:t>
      </w:r>
    </w:p>
    <w:p w14:paraId="02D5014C">
      <w:pPr>
        <w:pStyle w:val="2"/>
        <w:spacing w:before="2" w:line="216" w:lineRule="auto"/>
        <w:ind w:left="1888"/>
        <w:rPr>
          <w:sz w:val="24"/>
          <w:szCs w:val="24"/>
        </w:rPr>
      </w:pPr>
      <w:r>
        <w:rPr>
          <w:spacing w:val="-18"/>
          <w:sz w:val="24"/>
          <w:szCs w:val="24"/>
        </w:rPr>
        <w:t>2、施工前期准备工作</w:t>
      </w:r>
    </w:p>
    <w:p w14:paraId="0BFF51F3">
      <w:pPr>
        <w:pStyle w:val="2"/>
        <w:spacing w:before="117" w:line="278" w:lineRule="auto"/>
        <w:ind w:left="1456" w:right="1409" w:firstLine="447"/>
        <w:rPr>
          <w:sz w:val="24"/>
          <w:szCs w:val="24"/>
        </w:rPr>
      </w:pPr>
      <w:r>
        <w:rPr>
          <w:spacing w:val="-22"/>
          <w:sz w:val="24"/>
          <w:szCs w:val="24"/>
        </w:rPr>
        <w:t>1、组织项目管理部成员认真熟悉图纸，做好对基础、主体工</w:t>
      </w:r>
      <w:r>
        <w:rPr>
          <w:spacing w:val="-23"/>
          <w:sz w:val="24"/>
          <w:szCs w:val="24"/>
        </w:rPr>
        <w:t>程图纸的自审和会审工作。在</w:t>
      </w:r>
      <w:r>
        <w:rPr>
          <w:spacing w:val="-20"/>
          <w:sz w:val="24"/>
          <w:szCs w:val="24"/>
        </w:rPr>
        <w:t>图纸会审的基础上，着手进行图纸的翻样工作，以本施工组织设计为大纲，编制材料采购供应计划和详细的专项施工方案。</w:t>
      </w:r>
    </w:p>
    <w:p w14:paraId="0D143F2D">
      <w:pPr>
        <w:pStyle w:val="2"/>
        <w:spacing w:before="117" w:line="262" w:lineRule="auto"/>
        <w:ind w:left="1457" w:right="1440" w:firstLine="431"/>
        <w:rPr>
          <w:sz w:val="24"/>
          <w:szCs w:val="24"/>
        </w:rPr>
      </w:pPr>
      <w:r>
        <w:rPr>
          <w:spacing w:val="-23"/>
          <w:sz w:val="24"/>
          <w:szCs w:val="24"/>
        </w:rPr>
        <w:t>2、根据施工进度计划，落实大宗材料的进货渠道，确定主要大型施工机械的进、退时间，</w:t>
      </w:r>
      <w:r>
        <w:rPr>
          <w:spacing w:val="-20"/>
          <w:sz w:val="24"/>
          <w:szCs w:val="24"/>
        </w:rPr>
        <w:t>组织各作业班组进场。</w:t>
      </w:r>
    </w:p>
    <w:p w14:paraId="174B2D9C">
      <w:pPr>
        <w:pStyle w:val="2"/>
        <w:spacing w:before="119" w:line="261" w:lineRule="auto"/>
        <w:ind w:left="1462" w:right="1410" w:firstLine="428"/>
        <w:rPr>
          <w:sz w:val="24"/>
          <w:szCs w:val="24"/>
        </w:rPr>
      </w:pPr>
      <w:r>
        <w:rPr>
          <w:spacing w:val="-22"/>
          <w:sz w:val="24"/>
          <w:szCs w:val="24"/>
        </w:rPr>
        <w:t>3、根据建设单位提供的坐标点及水准基点进行定位放线，遵循“从整体到局部”的原则建</w:t>
      </w:r>
      <w:r>
        <w:rPr>
          <w:spacing w:val="-20"/>
          <w:sz w:val="24"/>
          <w:szCs w:val="24"/>
        </w:rPr>
        <w:t>立施工平面测量控制网，在现场选择便于观测又较为永久稳固的地点设置若干个水准高程测量</w:t>
      </w:r>
    </w:p>
    <w:p w14:paraId="12093A76">
      <w:pPr>
        <w:spacing w:line="261" w:lineRule="auto"/>
        <w:rPr>
          <w:sz w:val="24"/>
          <w:szCs w:val="24"/>
        </w:rPr>
        <w:sectPr>
          <w:footerReference r:id="rId404" w:type="default"/>
          <w:pgSz w:w="11907" w:h="16839"/>
          <w:pgMar w:top="933" w:right="4" w:bottom="1038" w:left="0" w:header="478" w:footer="357" w:gutter="0"/>
          <w:pgBorders>
            <w:top w:val="none" w:sz="0" w:space="0"/>
            <w:left w:val="none" w:sz="0" w:space="0"/>
            <w:bottom w:val="none" w:sz="0" w:space="0"/>
            <w:right w:val="none" w:sz="0" w:space="0"/>
          </w:pgBorders>
          <w:cols w:space="720" w:num="1"/>
        </w:sectPr>
      </w:pPr>
    </w:p>
    <w:p w14:paraId="1E340A4B">
      <w:pPr>
        <w:spacing w:line="271" w:lineRule="auto"/>
        <w:rPr>
          <w:rFonts w:ascii="Arial"/>
          <w:sz w:val="21"/>
        </w:rPr>
      </w:pPr>
    </w:p>
    <w:p w14:paraId="3863A565">
      <w:pPr>
        <w:pStyle w:val="2"/>
        <w:spacing w:before="78" w:line="216" w:lineRule="auto"/>
        <w:ind w:left="1457"/>
        <w:rPr>
          <w:sz w:val="24"/>
          <w:szCs w:val="24"/>
        </w:rPr>
      </w:pPr>
      <w:r>
        <w:rPr>
          <w:spacing w:val="-21"/>
          <w:sz w:val="24"/>
          <w:szCs w:val="24"/>
        </w:rPr>
        <w:t>控制点，做好轴线控制点和高程控制点的保护工作。</w:t>
      </w:r>
    </w:p>
    <w:p w14:paraId="2E0EB931">
      <w:pPr>
        <w:pStyle w:val="2"/>
        <w:spacing w:before="120" w:line="218" w:lineRule="auto"/>
        <w:ind w:left="1884"/>
        <w:rPr>
          <w:sz w:val="24"/>
          <w:szCs w:val="24"/>
        </w:rPr>
      </w:pPr>
      <w:r>
        <w:rPr>
          <w:spacing w:val="-20"/>
          <w:sz w:val="24"/>
          <w:szCs w:val="24"/>
        </w:rPr>
        <w:t>4、做好现场排水管沟，使地表水尽快排出场外。</w:t>
      </w:r>
    </w:p>
    <w:p w14:paraId="54B82282">
      <w:pPr>
        <w:pStyle w:val="2"/>
        <w:spacing w:before="115" w:line="263" w:lineRule="auto"/>
        <w:ind w:left="1457" w:right="1410" w:firstLine="433"/>
        <w:rPr>
          <w:sz w:val="24"/>
          <w:szCs w:val="24"/>
        </w:rPr>
      </w:pPr>
      <w:r>
        <w:rPr>
          <w:spacing w:val="-22"/>
          <w:sz w:val="24"/>
          <w:szCs w:val="24"/>
        </w:rPr>
        <w:t>5、做好场地供电和给水系统，搭建临设。施工现场应做好临时施工环行道路；材料的堆放</w:t>
      </w:r>
      <w:r>
        <w:rPr>
          <w:spacing w:val="-21"/>
          <w:sz w:val="24"/>
          <w:szCs w:val="24"/>
        </w:rPr>
        <w:t>场地必须平整及硬化。</w:t>
      </w:r>
    </w:p>
    <w:p w14:paraId="6D9FADA3">
      <w:pPr>
        <w:pStyle w:val="2"/>
        <w:spacing w:before="116" w:line="262" w:lineRule="auto"/>
        <w:ind w:left="1456" w:right="1412" w:firstLine="431"/>
        <w:rPr>
          <w:sz w:val="24"/>
          <w:szCs w:val="24"/>
        </w:rPr>
      </w:pPr>
      <w:r>
        <w:rPr>
          <w:spacing w:val="-22"/>
          <w:sz w:val="24"/>
          <w:szCs w:val="24"/>
        </w:rPr>
        <w:t>6、施工机械、设备、周转材料提前进场。进场前对各种机械设备进行检修，建立现场仓库</w:t>
      </w:r>
      <w:r>
        <w:rPr>
          <w:spacing w:val="-21"/>
          <w:sz w:val="24"/>
          <w:szCs w:val="24"/>
        </w:rPr>
        <w:t>机具管理体系，确保机械设备的完好率。</w:t>
      </w:r>
    </w:p>
    <w:p w14:paraId="2A3E33D6">
      <w:pPr>
        <w:pStyle w:val="2"/>
        <w:spacing w:before="119" w:line="217" w:lineRule="auto"/>
        <w:ind w:left="1890"/>
        <w:rPr>
          <w:sz w:val="24"/>
          <w:szCs w:val="24"/>
        </w:rPr>
      </w:pPr>
      <w:r>
        <w:rPr>
          <w:spacing w:val="-19"/>
          <w:sz w:val="24"/>
          <w:szCs w:val="24"/>
        </w:rPr>
        <w:t>3、施工用电、水容量计算</w:t>
      </w:r>
    </w:p>
    <w:p w14:paraId="63F2C438">
      <w:pPr>
        <w:pStyle w:val="2"/>
        <w:spacing w:before="118" w:line="219" w:lineRule="auto"/>
        <w:ind w:left="1903"/>
        <w:rPr>
          <w:sz w:val="24"/>
          <w:szCs w:val="24"/>
        </w:rPr>
      </w:pPr>
      <w:r>
        <w:rPr>
          <w:spacing w:val="-19"/>
          <w:sz w:val="24"/>
          <w:szCs w:val="24"/>
        </w:rPr>
        <w:t>1、施工用电方案</w:t>
      </w:r>
    </w:p>
    <w:p w14:paraId="32D0E6E0">
      <w:pPr>
        <w:pStyle w:val="2"/>
        <w:spacing w:before="114" w:line="217" w:lineRule="auto"/>
        <w:ind w:left="1894"/>
        <w:rPr>
          <w:sz w:val="24"/>
          <w:szCs w:val="24"/>
        </w:rPr>
      </w:pPr>
      <w:r>
        <w:rPr>
          <w:spacing w:val="-21"/>
          <w:sz w:val="24"/>
          <w:szCs w:val="24"/>
        </w:rPr>
        <w:t>本工程以结构施工高峰阶段的用电量为控制</w:t>
      </w:r>
    </w:p>
    <w:p w14:paraId="302BEACE">
      <w:pPr>
        <w:pStyle w:val="2"/>
        <w:spacing w:before="119" w:line="217" w:lineRule="auto"/>
        <w:ind w:left="1893"/>
        <w:rPr>
          <w:sz w:val="24"/>
          <w:szCs w:val="24"/>
        </w:rPr>
      </w:pPr>
      <w:r>
        <w:rPr>
          <w:spacing w:val="-18"/>
          <w:sz w:val="24"/>
          <w:szCs w:val="24"/>
        </w:rPr>
        <w:t>（1）施工高峰期P总、P最大、P平均用电量</w:t>
      </w:r>
      <w:r>
        <w:rPr>
          <w:spacing w:val="-19"/>
          <w:sz w:val="24"/>
          <w:szCs w:val="24"/>
        </w:rPr>
        <w:t>计算</w:t>
      </w:r>
    </w:p>
    <w:p w14:paraId="5203E41A">
      <w:pPr>
        <w:pStyle w:val="2"/>
        <w:spacing w:before="118" w:line="217" w:lineRule="auto"/>
        <w:ind w:left="1893"/>
        <w:rPr>
          <w:sz w:val="24"/>
          <w:szCs w:val="24"/>
        </w:rPr>
      </w:pPr>
      <w:r>
        <w:rPr>
          <w:spacing w:val="-21"/>
          <w:sz w:val="24"/>
          <w:szCs w:val="24"/>
        </w:rPr>
        <w:t>按照以上表格的数据显示进行如下计算：</w:t>
      </w:r>
    </w:p>
    <w:p w14:paraId="43D8DC88">
      <w:pPr>
        <w:pStyle w:val="2"/>
        <w:spacing w:before="117" w:line="218" w:lineRule="auto"/>
        <w:ind w:left="1893"/>
        <w:rPr>
          <w:sz w:val="24"/>
          <w:szCs w:val="24"/>
        </w:rPr>
      </w:pPr>
      <w:r>
        <w:rPr>
          <w:spacing w:val="-18"/>
          <w:sz w:val="24"/>
          <w:szCs w:val="24"/>
        </w:rPr>
        <w:t>整个工程的施工高峰期供电设备总需用量P总</w:t>
      </w:r>
    </w:p>
    <w:p w14:paraId="5FC2369D">
      <w:pPr>
        <w:pStyle w:val="2"/>
        <w:spacing w:before="118" w:line="215" w:lineRule="auto"/>
        <w:ind w:left="1919"/>
        <w:rPr>
          <w:sz w:val="24"/>
          <w:szCs w:val="24"/>
        </w:rPr>
      </w:pPr>
      <w:r>
        <w:rPr>
          <w:spacing w:val="-20"/>
          <w:sz w:val="24"/>
          <w:szCs w:val="24"/>
        </w:rPr>
        <w:t>电动机总功率</w:t>
      </w:r>
      <w:r>
        <w:rPr>
          <w:position w:val="-3"/>
          <w:sz w:val="24"/>
          <w:szCs w:val="24"/>
        </w:rPr>
        <w:drawing>
          <wp:inline distT="0" distB="0" distL="0" distR="0">
            <wp:extent cx="683895" cy="152400"/>
            <wp:effectExtent l="0" t="0" r="0" b="0"/>
            <wp:docPr id="1700" name="IM 1700"/>
            <wp:cNvGraphicFramePr/>
            <a:graphic xmlns:a="http://schemas.openxmlformats.org/drawingml/2006/main">
              <a:graphicData uri="http://schemas.openxmlformats.org/drawingml/2006/picture">
                <pic:pic xmlns:pic="http://schemas.openxmlformats.org/drawingml/2006/picture">
                  <pic:nvPicPr>
                    <pic:cNvPr id="1700" name="IM 1700"/>
                    <pic:cNvPicPr/>
                  </pic:nvPicPr>
                  <pic:blipFill>
                    <a:blip r:embed="rId740"/>
                    <a:stretch>
                      <a:fillRect/>
                    </a:stretch>
                  </pic:blipFill>
                  <pic:spPr>
                    <a:xfrm>
                      <a:off x="0" y="0"/>
                      <a:ext cx="684225" cy="152400"/>
                    </a:xfrm>
                    <a:prstGeom prst="rect">
                      <a:avLst/>
                    </a:prstGeom>
                  </pic:spPr>
                </pic:pic>
              </a:graphicData>
            </a:graphic>
          </wp:inline>
        </w:drawing>
      </w:r>
      <w:r>
        <w:rPr>
          <w:spacing w:val="-20"/>
          <w:sz w:val="24"/>
          <w:szCs w:val="24"/>
        </w:rPr>
        <w:t>（KW）</w:t>
      </w:r>
    </w:p>
    <w:p w14:paraId="0B3720DE">
      <w:pPr>
        <w:pStyle w:val="2"/>
        <w:spacing w:before="121" w:line="215" w:lineRule="auto"/>
        <w:ind w:left="1919"/>
        <w:rPr>
          <w:sz w:val="24"/>
          <w:szCs w:val="24"/>
        </w:rPr>
      </w:pPr>
      <w:r>
        <w:rPr>
          <w:spacing w:val="-20"/>
          <w:sz w:val="24"/>
          <w:szCs w:val="24"/>
        </w:rPr>
        <w:t>电焊机总容量</w:t>
      </w:r>
      <w:r>
        <w:rPr>
          <w:position w:val="-3"/>
          <w:sz w:val="24"/>
          <w:szCs w:val="24"/>
        </w:rPr>
        <w:drawing>
          <wp:inline distT="0" distB="0" distL="0" distR="0">
            <wp:extent cx="545465" cy="152400"/>
            <wp:effectExtent l="0" t="0" r="0" b="0"/>
            <wp:docPr id="1702" name="IM 1702"/>
            <wp:cNvGraphicFramePr/>
            <a:graphic xmlns:a="http://schemas.openxmlformats.org/drawingml/2006/main">
              <a:graphicData uri="http://schemas.openxmlformats.org/drawingml/2006/picture">
                <pic:pic xmlns:pic="http://schemas.openxmlformats.org/drawingml/2006/picture">
                  <pic:nvPicPr>
                    <pic:cNvPr id="1702" name="IM 1702"/>
                    <pic:cNvPicPr/>
                  </pic:nvPicPr>
                  <pic:blipFill>
                    <a:blip r:embed="rId741"/>
                    <a:stretch>
                      <a:fillRect/>
                    </a:stretch>
                  </pic:blipFill>
                  <pic:spPr>
                    <a:xfrm>
                      <a:off x="0" y="0"/>
                      <a:ext cx="545922" cy="152400"/>
                    </a:xfrm>
                    <a:prstGeom prst="rect">
                      <a:avLst/>
                    </a:prstGeom>
                  </pic:spPr>
                </pic:pic>
              </a:graphicData>
            </a:graphic>
          </wp:inline>
        </w:drawing>
      </w:r>
      <w:r>
        <w:rPr>
          <w:spacing w:val="-20"/>
          <w:sz w:val="24"/>
          <w:szCs w:val="24"/>
        </w:rPr>
        <w:t>（KW）</w:t>
      </w:r>
    </w:p>
    <w:p w14:paraId="48037C05">
      <w:pPr>
        <w:pStyle w:val="2"/>
        <w:spacing w:before="119" w:line="308" w:lineRule="auto"/>
        <w:ind w:left="1456" w:right="1423" w:firstLine="437"/>
        <w:rPr>
          <w:sz w:val="24"/>
          <w:szCs w:val="24"/>
        </w:rPr>
      </w:pPr>
      <w:r>
        <w:rPr>
          <w:spacing w:val="-14"/>
          <w:sz w:val="24"/>
          <w:szCs w:val="24"/>
        </w:rPr>
        <w:t>本工程施工高峰期总动力用电容量为：Pa=1.05（0.5×238.5／0.75+0.5×1416）=910.35</w:t>
      </w:r>
      <w:r>
        <w:rPr>
          <w:spacing w:val="-13"/>
          <w:sz w:val="24"/>
          <w:szCs w:val="24"/>
        </w:rPr>
        <w:t>（KW）</w:t>
      </w:r>
    </w:p>
    <w:p w14:paraId="6FFFD354">
      <w:pPr>
        <w:pStyle w:val="2"/>
        <w:spacing w:before="1" w:line="307" w:lineRule="auto"/>
        <w:ind w:left="1462" w:right="1450" w:firstLine="461"/>
        <w:rPr>
          <w:sz w:val="24"/>
          <w:szCs w:val="24"/>
        </w:rPr>
      </w:pPr>
      <w:r>
        <w:rPr>
          <w:spacing w:val="-24"/>
          <w:sz w:val="24"/>
          <w:szCs w:val="24"/>
        </w:rPr>
        <w:t>由于照明用电量所占的比重较动力用电量要少得多，一般为动力用电量的10</w:t>
      </w:r>
      <w:r>
        <w:rPr>
          <w:spacing w:val="-8"/>
          <w:sz w:val="24"/>
          <w:szCs w:val="24"/>
        </w:rPr>
        <w:t>％，</w:t>
      </w:r>
      <w:r>
        <w:rPr>
          <w:spacing w:val="-24"/>
          <w:sz w:val="24"/>
          <w:szCs w:val="24"/>
        </w:rPr>
        <w:t>以</w:t>
      </w:r>
      <w:r>
        <w:rPr>
          <w:spacing w:val="-25"/>
          <w:sz w:val="24"/>
          <w:szCs w:val="24"/>
        </w:rPr>
        <w:t>取室内</w:t>
      </w:r>
      <w:r>
        <w:rPr>
          <w:spacing w:val="-14"/>
          <w:sz w:val="24"/>
          <w:szCs w:val="24"/>
        </w:rPr>
        <w:t>照明用电：Pb=910.35×10％=91.04KW）</w:t>
      </w:r>
    </w:p>
    <w:p w14:paraId="2ED1BBC4">
      <w:pPr>
        <w:pStyle w:val="2"/>
        <w:spacing w:line="218" w:lineRule="auto"/>
        <w:ind w:left="1917"/>
        <w:rPr>
          <w:sz w:val="24"/>
          <w:szCs w:val="24"/>
        </w:rPr>
      </w:pPr>
      <w:r>
        <w:rPr>
          <w:spacing w:val="-16"/>
          <w:sz w:val="24"/>
          <w:szCs w:val="24"/>
        </w:rPr>
        <w:t>因此：整个工程的供电设备总需用量为：P总=Pa+Pb=910.35+910.4=1001.39（K</w:t>
      </w:r>
      <w:r>
        <w:rPr>
          <w:spacing w:val="-17"/>
          <w:sz w:val="24"/>
          <w:szCs w:val="24"/>
        </w:rPr>
        <w:t>W）</w:t>
      </w:r>
    </w:p>
    <w:p w14:paraId="55175349">
      <w:pPr>
        <w:pStyle w:val="2"/>
        <w:spacing w:before="119" w:line="217" w:lineRule="auto"/>
        <w:ind w:left="1893"/>
        <w:rPr>
          <w:sz w:val="24"/>
          <w:szCs w:val="24"/>
        </w:rPr>
      </w:pPr>
      <w:r>
        <w:rPr>
          <w:spacing w:val="-19"/>
          <w:sz w:val="24"/>
          <w:szCs w:val="24"/>
        </w:rPr>
        <w:t>（2）变压器容量计算</w:t>
      </w:r>
    </w:p>
    <w:p w14:paraId="42A15313">
      <w:pPr>
        <w:pStyle w:val="2"/>
        <w:spacing w:before="116" w:line="218" w:lineRule="auto"/>
        <w:ind w:left="1882"/>
        <w:rPr>
          <w:sz w:val="24"/>
          <w:szCs w:val="24"/>
        </w:rPr>
      </w:pPr>
      <w:r>
        <w:rPr>
          <w:spacing w:val="-14"/>
          <w:sz w:val="24"/>
          <w:szCs w:val="24"/>
        </w:rPr>
        <w:t>P变=1.4P最大=1.4×1001.39=1401.</w:t>
      </w:r>
      <w:r>
        <w:rPr>
          <w:spacing w:val="-15"/>
          <w:sz w:val="24"/>
          <w:szCs w:val="24"/>
        </w:rPr>
        <w:t>95kW。用电采取避高峰措施。</w:t>
      </w:r>
    </w:p>
    <w:p w14:paraId="35E45C73">
      <w:pPr>
        <w:pStyle w:val="2"/>
        <w:spacing w:before="117" w:line="216" w:lineRule="auto"/>
        <w:ind w:left="1893"/>
        <w:rPr>
          <w:sz w:val="24"/>
          <w:szCs w:val="24"/>
        </w:rPr>
      </w:pPr>
      <w:r>
        <w:rPr>
          <w:spacing w:val="-19"/>
          <w:sz w:val="24"/>
          <w:szCs w:val="24"/>
        </w:rPr>
        <w:t>（3）配电导线截面选择</w:t>
      </w:r>
    </w:p>
    <w:p w14:paraId="26F43F39">
      <w:pPr>
        <w:pStyle w:val="2"/>
        <w:spacing w:before="121" w:line="271" w:lineRule="auto"/>
        <w:ind w:left="1453" w:right="1424" w:firstLine="431"/>
        <w:rPr>
          <w:sz w:val="24"/>
          <w:szCs w:val="24"/>
        </w:rPr>
      </w:pPr>
      <w:r>
        <w:rPr>
          <w:spacing w:val="-16"/>
          <w:sz w:val="24"/>
          <w:szCs w:val="24"/>
        </w:rPr>
        <w:t>①三相五线制低压线路I线=1000P／1.732×U线×cosθ=1000×0.6×1401.95／1.732×</w:t>
      </w:r>
      <w:r>
        <w:rPr>
          <w:spacing w:val="-11"/>
          <w:sz w:val="24"/>
          <w:szCs w:val="24"/>
        </w:rPr>
        <w:t>380×0.75=1704A</w:t>
      </w:r>
    </w:p>
    <w:p w14:paraId="34AE0E9C">
      <w:pPr>
        <w:pStyle w:val="2"/>
        <w:spacing w:before="76" w:line="232" w:lineRule="auto"/>
        <w:ind w:left="1895"/>
        <w:rPr>
          <w:sz w:val="24"/>
          <w:szCs w:val="24"/>
        </w:rPr>
      </w:pPr>
      <w:r>
        <w:rPr>
          <w:spacing w:val="-15"/>
          <w:sz w:val="24"/>
          <w:szCs w:val="24"/>
        </w:rPr>
        <w:t>选用150mm</w:t>
      </w:r>
      <w:r>
        <w:rPr>
          <w:spacing w:val="-15"/>
          <w:position w:val="11"/>
          <w:sz w:val="12"/>
          <w:szCs w:val="12"/>
        </w:rPr>
        <w:t>2</w:t>
      </w:r>
      <w:r>
        <w:rPr>
          <w:spacing w:val="-15"/>
          <w:sz w:val="24"/>
          <w:szCs w:val="24"/>
        </w:rPr>
        <w:t>TT型铜线</w:t>
      </w:r>
    </w:p>
    <w:p w14:paraId="1916F43B">
      <w:pPr>
        <w:pStyle w:val="2"/>
        <w:spacing w:before="117" w:line="215" w:lineRule="auto"/>
        <w:ind w:left="1884"/>
        <w:rPr>
          <w:sz w:val="24"/>
          <w:szCs w:val="24"/>
        </w:rPr>
      </w:pPr>
      <w:r>
        <w:rPr>
          <w:position w:val="-3"/>
          <w:sz w:val="24"/>
          <w:szCs w:val="24"/>
        </w:rPr>
        <w:drawing>
          <wp:inline distT="0" distB="0" distL="0" distR="0">
            <wp:extent cx="2084705" cy="152400"/>
            <wp:effectExtent l="0" t="0" r="0" b="0"/>
            <wp:docPr id="1704" name="IM 1704"/>
            <wp:cNvGraphicFramePr/>
            <a:graphic xmlns:a="http://schemas.openxmlformats.org/drawingml/2006/main">
              <a:graphicData uri="http://schemas.openxmlformats.org/drawingml/2006/picture">
                <pic:pic xmlns:pic="http://schemas.openxmlformats.org/drawingml/2006/picture">
                  <pic:nvPicPr>
                    <pic:cNvPr id="1704" name="IM 1704"/>
                    <pic:cNvPicPr/>
                  </pic:nvPicPr>
                  <pic:blipFill>
                    <a:blip r:embed="rId742"/>
                    <a:stretch>
                      <a:fillRect/>
                    </a:stretch>
                  </pic:blipFill>
                  <pic:spPr>
                    <a:xfrm>
                      <a:off x="0" y="0"/>
                      <a:ext cx="2085009" cy="152400"/>
                    </a:xfrm>
                    <a:prstGeom prst="rect">
                      <a:avLst/>
                    </a:prstGeom>
                  </pic:spPr>
                </pic:pic>
              </a:graphicData>
            </a:graphic>
          </wp:inline>
        </w:drawing>
      </w:r>
      <w:r>
        <w:rPr>
          <w:spacing w:val="-15"/>
          <w:sz w:val="24"/>
          <w:szCs w:val="24"/>
        </w:rPr>
        <w:t>L／C·S=1704×300／77×240</w:t>
      </w:r>
      <w:r>
        <w:rPr>
          <w:spacing w:val="-16"/>
          <w:sz w:val="24"/>
          <w:szCs w:val="24"/>
        </w:rPr>
        <w:t>=6.6％&lt;7</w:t>
      </w:r>
      <w:r>
        <w:rPr>
          <w:spacing w:val="-18"/>
          <w:sz w:val="24"/>
          <w:szCs w:val="24"/>
        </w:rPr>
        <w:t>％，</w:t>
      </w:r>
      <w:r>
        <w:rPr>
          <w:spacing w:val="-16"/>
          <w:sz w:val="24"/>
          <w:szCs w:val="24"/>
        </w:rPr>
        <w:t>满足要求。</w:t>
      </w:r>
    </w:p>
    <w:p w14:paraId="1A14DEFD">
      <w:pPr>
        <w:pStyle w:val="2"/>
        <w:spacing w:before="118" w:line="217" w:lineRule="auto"/>
        <w:ind w:left="1884"/>
        <w:rPr>
          <w:sz w:val="24"/>
          <w:szCs w:val="24"/>
        </w:rPr>
      </w:pPr>
      <w:r>
        <w:rPr>
          <w:spacing w:val="-19"/>
          <w:sz w:val="24"/>
          <w:szCs w:val="24"/>
        </w:rPr>
        <w:t>③按导线机械强度校核</w:t>
      </w:r>
    </w:p>
    <w:p w14:paraId="67E3ED10">
      <w:pPr>
        <w:pStyle w:val="2"/>
        <w:spacing w:before="102" w:line="230" w:lineRule="auto"/>
        <w:ind w:left="1894"/>
        <w:rPr>
          <w:sz w:val="24"/>
          <w:szCs w:val="24"/>
        </w:rPr>
      </w:pPr>
      <w:r>
        <w:rPr>
          <w:spacing w:val="-18"/>
          <w:sz w:val="24"/>
          <w:szCs w:val="24"/>
        </w:rPr>
        <w:t>根据现场使用情况，铜导线允许最小截面为6m</w:t>
      </w:r>
      <w:r>
        <w:rPr>
          <w:spacing w:val="-19"/>
          <w:sz w:val="24"/>
          <w:szCs w:val="24"/>
        </w:rPr>
        <w:t>m</w:t>
      </w:r>
      <w:r>
        <w:rPr>
          <w:spacing w:val="-19"/>
          <w:position w:val="11"/>
          <w:sz w:val="12"/>
          <w:szCs w:val="12"/>
        </w:rPr>
        <w:t>2</w:t>
      </w:r>
      <w:r>
        <w:rPr>
          <w:spacing w:val="-14"/>
          <w:sz w:val="24"/>
          <w:szCs w:val="24"/>
        </w:rPr>
        <w:t>&lt;150mm</w:t>
      </w:r>
      <w:r>
        <w:rPr>
          <w:spacing w:val="-14"/>
          <w:position w:val="11"/>
          <w:sz w:val="12"/>
          <w:szCs w:val="12"/>
        </w:rPr>
        <w:t>2</w:t>
      </w:r>
      <w:r>
        <w:rPr>
          <w:spacing w:val="-14"/>
          <w:sz w:val="24"/>
          <w:szCs w:val="24"/>
        </w:rPr>
        <w:t>，满足要求。</w:t>
      </w:r>
    </w:p>
    <w:p w14:paraId="0E868730">
      <w:pPr>
        <w:pStyle w:val="2"/>
        <w:spacing w:before="103" w:line="230" w:lineRule="auto"/>
        <w:ind w:left="1895"/>
        <w:rPr>
          <w:sz w:val="24"/>
          <w:szCs w:val="24"/>
        </w:rPr>
      </w:pPr>
      <w:r>
        <w:rPr>
          <w:spacing w:val="-16"/>
          <w:sz w:val="24"/>
          <w:szCs w:val="24"/>
        </w:rPr>
        <w:t>综合上述计算，总线选用TT型150mm</w:t>
      </w:r>
      <w:r>
        <w:rPr>
          <w:spacing w:val="-16"/>
          <w:position w:val="11"/>
          <w:sz w:val="12"/>
          <w:szCs w:val="12"/>
        </w:rPr>
        <w:t>2</w:t>
      </w:r>
      <w:r>
        <w:rPr>
          <w:spacing w:val="-16"/>
          <w:sz w:val="24"/>
          <w:szCs w:val="24"/>
        </w:rPr>
        <w:t>铜线。</w:t>
      </w:r>
    </w:p>
    <w:p w14:paraId="630956A7">
      <w:pPr>
        <w:pStyle w:val="2"/>
        <w:spacing w:before="116" w:line="219" w:lineRule="auto"/>
        <w:ind w:left="1893"/>
        <w:rPr>
          <w:sz w:val="24"/>
          <w:szCs w:val="24"/>
        </w:rPr>
      </w:pPr>
      <w:r>
        <w:rPr>
          <w:spacing w:val="-17"/>
          <w:sz w:val="24"/>
          <w:szCs w:val="24"/>
        </w:rPr>
        <w:t>（4）配电方案</w:t>
      </w:r>
    </w:p>
    <w:p w14:paraId="4C9ABEEB">
      <w:pPr>
        <w:pStyle w:val="2"/>
        <w:spacing w:before="117" w:line="217" w:lineRule="auto"/>
        <w:ind w:left="1885"/>
        <w:rPr>
          <w:sz w:val="24"/>
          <w:szCs w:val="24"/>
        </w:rPr>
      </w:pPr>
      <w:r>
        <w:rPr>
          <w:spacing w:val="-21"/>
          <w:sz w:val="24"/>
          <w:szCs w:val="24"/>
        </w:rPr>
        <w:t>①现场用电由业主提供的变配电间接入，可以满足施工需求。</w:t>
      </w:r>
    </w:p>
    <w:p w14:paraId="4FE15A6C">
      <w:pPr>
        <w:pStyle w:val="2"/>
        <w:spacing w:before="118" w:line="216" w:lineRule="auto"/>
        <w:ind w:left="1884"/>
        <w:rPr>
          <w:sz w:val="24"/>
          <w:szCs w:val="24"/>
        </w:rPr>
      </w:pPr>
      <w:r>
        <w:rPr>
          <w:spacing w:val="-21"/>
          <w:sz w:val="24"/>
          <w:szCs w:val="24"/>
        </w:rPr>
        <w:t>②施工用电线路沿道路架设，具体详见施工场布图。</w:t>
      </w:r>
    </w:p>
    <w:p w14:paraId="6FAA2F8C">
      <w:pPr>
        <w:pStyle w:val="2"/>
        <w:spacing w:before="116" w:line="264" w:lineRule="auto"/>
        <w:ind w:left="1459" w:right="1410" w:firstLine="425"/>
        <w:rPr>
          <w:sz w:val="24"/>
          <w:szCs w:val="24"/>
        </w:rPr>
      </w:pPr>
      <w:r>
        <w:rPr>
          <w:spacing w:val="-19"/>
          <w:sz w:val="24"/>
          <w:szCs w:val="24"/>
        </w:rPr>
        <w:t>③施工生产、生活用电分开。现场设生活用电、机具用电、</w:t>
      </w:r>
      <w:r>
        <w:rPr>
          <w:spacing w:val="-20"/>
          <w:sz w:val="24"/>
          <w:szCs w:val="24"/>
        </w:rPr>
        <w:t>楼层用电、加工车间用电、机</w:t>
      </w:r>
      <w:r>
        <w:rPr>
          <w:spacing w:val="-21"/>
          <w:sz w:val="24"/>
          <w:szCs w:val="24"/>
        </w:rPr>
        <w:t>动用电共五条线路。</w:t>
      </w:r>
    </w:p>
    <w:p w14:paraId="12B3EC3E">
      <w:pPr>
        <w:pStyle w:val="2"/>
        <w:spacing w:before="117" w:line="262" w:lineRule="auto"/>
        <w:ind w:left="1457" w:right="1410" w:firstLine="427"/>
        <w:rPr>
          <w:sz w:val="24"/>
          <w:szCs w:val="24"/>
        </w:rPr>
      </w:pPr>
      <w:r>
        <w:rPr>
          <w:spacing w:val="-19"/>
          <w:sz w:val="24"/>
          <w:szCs w:val="24"/>
        </w:rPr>
        <w:t>④生活用电能满足照明、空调、电脑等需求为标准，并确保</w:t>
      </w:r>
      <w:r>
        <w:rPr>
          <w:spacing w:val="-20"/>
          <w:sz w:val="24"/>
          <w:szCs w:val="24"/>
        </w:rPr>
        <w:t>进产前统一进行线路管理，采取有效的安全防护措施。</w:t>
      </w:r>
    </w:p>
    <w:p w14:paraId="40C73D3E">
      <w:pPr>
        <w:spacing w:line="262" w:lineRule="auto"/>
        <w:rPr>
          <w:sz w:val="24"/>
          <w:szCs w:val="24"/>
        </w:rPr>
        <w:sectPr>
          <w:footerReference r:id="rId405" w:type="default"/>
          <w:pgSz w:w="11907" w:h="16839"/>
          <w:pgMar w:top="933" w:right="4" w:bottom="1038" w:left="0" w:header="478" w:footer="357" w:gutter="0"/>
          <w:pgBorders>
            <w:top w:val="none" w:sz="0" w:space="0"/>
            <w:left w:val="none" w:sz="0" w:space="0"/>
            <w:bottom w:val="none" w:sz="0" w:space="0"/>
            <w:right w:val="none" w:sz="0" w:space="0"/>
          </w:pgBorders>
          <w:cols w:space="720" w:num="1"/>
        </w:sectPr>
      </w:pPr>
    </w:p>
    <w:p w14:paraId="2E3130CA">
      <w:pPr>
        <w:spacing w:line="273" w:lineRule="auto"/>
        <w:rPr>
          <w:rFonts w:ascii="Arial"/>
          <w:sz w:val="21"/>
        </w:rPr>
      </w:pPr>
    </w:p>
    <w:p w14:paraId="12E10562">
      <w:pPr>
        <w:pStyle w:val="2"/>
        <w:spacing w:before="78" w:line="285" w:lineRule="auto"/>
        <w:ind w:left="1456" w:right="1409" w:firstLine="428"/>
        <w:rPr>
          <w:sz w:val="24"/>
          <w:szCs w:val="24"/>
        </w:rPr>
      </w:pPr>
      <w:r>
        <w:rPr>
          <w:spacing w:val="-19"/>
          <w:sz w:val="24"/>
          <w:szCs w:val="24"/>
        </w:rPr>
        <w:t>⑤施工用电采用三相五线制配线。用电主线路使用五芯电缆</w:t>
      </w:r>
      <w:r>
        <w:rPr>
          <w:spacing w:val="-20"/>
          <w:sz w:val="24"/>
          <w:szCs w:val="24"/>
        </w:rPr>
        <w:t>，入地敷设。现场设置安全总</w:t>
      </w:r>
      <w:r>
        <w:rPr>
          <w:spacing w:val="-22"/>
          <w:sz w:val="24"/>
          <w:szCs w:val="24"/>
        </w:rPr>
        <w:t>配电箱一只，按线路接出要求设置分配电箱。另备手提式安全配电箱10只。分</w:t>
      </w:r>
      <w:r>
        <w:rPr>
          <w:spacing w:val="-23"/>
          <w:sz w:val="24"/>
          <w:szCs w:val="24"/>
        </w:rPr>
        <w:t>配电箱、开关箱</w:t>
      </w:r>
      <w:r>
        <w:rPr>
          <w:spacing w:val="-20"/>
          <w:sz w:val="24"/>
          <w:szCs w:val="24"/>
        </w:rPr>
        <w:t>按三级配电两级保护的要求配置。进场后需编制专项用电方案做好防护措施，确保用电安全可</w:t>
      </w:r>
      <w:r>
        <w:rPr>
          <w:spacing w:val="-18"/>
          <w:sz w:val="24"/>
          <w:szCs w:val="24"/>
        </w:rPr>
        <w:t>靠。</w:t>
      </w:r>
    </w:p>
    <w:p w14:paraId="4939B064">
      <w:pPr>
        <w:pStyle w:val="2"/>
        <w:spacing w:before="117" w:line="219" w:lineRule="auto"/>
        <w:ind w:left="1888"/>
        <w:rPr>
          <w:sz w:val="24"/>
          <w:szCs w:val="24"/>
        </w:rPr>
      </w:pPr>
      <w:r>
        <w:rPr>
          <w:spacing w:val="-17"/>
          <w:sz w:val="24"/>
          <w:szCs w:val="24"/>
        </w:rPr>
        <w:t>2、施工用水方案</w:t>
      </w:r>
    </w:p>
    <w:p w14:paraId="3A4FDB94">
      <w:pPr>
        <w:pStyle w:val="2"/>
        <w:spacing w:before="114" w:line="308" w:lineRule="auto"/>
        <w:ind w:left="1457" w:right="1410" w:firstLine="436"/>
        <w:rPr>
          <w:sz w:val="24"/>
          <w:szCs w:val="24"/>
        </w:rPr>
      </w:pPr>
      <w:r>
        <w:rPr>
          <w:spacing w:val="-20"/>
          <w:sz w:val="24"/>
          <w:szCs w:val="24"/>
        </w:rPr>
        <w:t>根据不同阶段的施工要求，敷设施工临时用水管路，管路布置详见施工场布图，水管穿越</w:t>
      </w:r>
      <w:r>
        <w:rPr>
          <w:spacing w:val="-21"/>
          <w:sz w:val="24"/>
          <w:szCs w:val="24"/>
        </w:rPr>
        <w:t>道路时，应有一定的埋置深度，并穿套管保护，冬季施工</w:t>
      </w:r>
      <w:r>
        <w:rPr>
          <w:spacing w:val="-22"/>
          <w:sz w:val="24"/>
          <w:szCs w:val="24"/>
        </w:rPr>
        <w:t>外露水管应做好管道保温工作。</w:t>
      </w:r>
    </w:p>
    <w:p w14:paraId="3A8D1D05">
      <w:pPr>
        <w:pStyle w:val="2"/>
        <w:spacing w:line="217" w:lineRule="auto"/>
        <w:ind w:left="1890"/>
        <w:rPr>
          <w:sz w:val="24"/>
          <w:szCs w:val="24"/>
        </w:rPr>
      </w:pPr>
      <w:r>
        <w:rPr>
          <w:spacing w:val="-19"/>
          <w:sz w:val="24"/>
          <w:szCs w:val="24"/>
        </w:rPr>
        <w:t>3、工程定位、水准点的确定</w:t>
      </w:r>
    </w:p>
    <w:p w14:paraId="34749BB2">
      <w:pPr>
        <w:pStyle w:val="2"/>
        <w:spacing w:before="115" w:line="308" w:lineRule="auto"/>
        <w:ind w:left="1456" w:right="1336" w:firstLine="438"/>
        <w:rPr>
          <w:sz w:val="24"/>
          <w:szCs w:val="24"/>
        </w:rPr>
      </w:pPr>
      <w:r>
        <w:rPr>
          <w:spacing w:val="-20"/>
          <w:sz w:val="24"/>
          <w:szCs w:val="24"/>
        </w:rPr>
        <w:t>对业主提供的高程、坐标基准点，按规定办理交接手续，并做好保护措施，建筑物定位由我公司测绘队实施。针对本工程的施工定位情况，拟采用建筑方格网和建筑极坐标法测定设计</w:t>
      </w:r>
      <w:r>
        <w:rPr>
          <w:spacing w:val="-23"/>
          <w:sz w:val="24"/>
          <w:szCs w:val="24"/>
        </w:rPr>
        <w:t>建筑物，定位后再引测龙门板，配合当地规划部门进行定位记录、复核，复核无误</w:t>
      </w:r>
      <w:r>
        <w:rPr>
          <w:spacing w:val="-24"/>
          <w:sz w:val="24"/>
          <w:szCs w:val="24"/>
        </w:rPr>
        <w:t>后方可开工。</w:t>
      </w:r>
    </w:p>
    <w:p w14:paraId="1A7A09EB">
      <w:pPr>
        <w:pStyle w:val="2"/>
        <w:spacing w:line="218" w:lineRule="auto"/>
        <w:ind w:left="1884"/>
        <w:rPr>
          <w:sz w:val="24"/>
          <w:szCs w:val="24"/>
        </w:rPr>
      </w:pPr>
      <w:r>
        <w:rPr>
          <w:spacing w:val="-19"/>
          <w:sz w:val="24"/>
          <w:szCs w:val="24"/>
        </w:rPr>
        <w:t>4、现场与周围环境的处理</w:t>
      </w:r>
    </w:p>
    <w:p w14:paraId="4C70DCA6">
      <w:pPr>
        <w:pStyle w:val="2"/>
        <w:spacing w:before="116" w:line="299" w:lineRule="auto"/>
        <w:ind w:left="1458" w:right="1409" w:firstLine="435"/>
        <w:rPr>
          <w:sz w:val="24"/>
          <w:szCs w:val="24"/>
        </w:rPr>
      </w:pPr>
      <w:r>
        <w:rPr>
          <w:spacing w:val="-20"/>
          <w:sz w:val="24"/>
          <w:szCs w:val="24"/>
        </w:rPr>
        <w:t>根据工程，总平面布置和现场测量，拟建工程周围的环境情况，我公司将切实履行总包管理职责，施工区域附近受施工影响的建筑物、农居点以及管线事先查明，并考虑可能发生的各</w:t>
      </w:r>
      <w:r>
        <w:rPr>
          <w:spacing w:val="-21"/>
          <w:sz w:val="24"/>
          <w:szCs w:val="24"/>
        </w:rPr>
        <w:t>种问题，若发现问题及时采取措施迅速加以解决，防止</w:t>
      </w:r>
      <w:r>
        <w:rPr>
          <w:spacing w:val="-22"/>
          <w:sz w:val="24"/>
          <w:szCs w:val="24"/>
        </w:rPr>
        <w:t>发生意外。</w:t>
      </w:r>
    </w:p>
    <w:p w14:paraId="4A3FD2B1">
      <w:pPr>
        <w:pStyle w:val="2"/>
        <w:spacing w:line="219" w:lineRule="auto"/>
        <w:ind w:left="1981"/>
        <w:outlineLvl w:val="2"/>
        <w:rPr>
          <w:sz w:val="28"/>
          <w:szCs w:val="28"/>
        </w:rPr>
      </w:pPr>
      <w:bookmarkStart w:id="290" w:name="bookmark276"/>
      <w:bookmarkEnd w:id="290"/>
      <w:r>
        <w:rPr>
          <w:b/>
          <w:bCs/>
          <w:spacing w:val="-22"/>
          <w:sz w:val="28"/>
          <w:szCs w:val="28"/>
        </w:rPr>
        <w:t>五、施工配合措施</w:t>
      </w:r>
    </w:p>
    <w:p w14:paraId="0B8B9643">
      <w:pPr>
        <w:pStyle w:val="2"/>
        <w:spacing w:before="106" w:line="307" w:lineRule="auto"/>
        <w:ind w:left="1457" w:right="1410" w:firstLine="436"/>
        <w:jc w:val="both"/>
        <w:rPr>
          <w:sz w:val="24"/>
          <w:szCs w:val="24"/>
        </w:rPr>
      </w:pPr>
      <w:r>
        <w:rPr>
          <w:spacing w:val="-20"/>
          <w:sz w:val="24"/>
          <w:szCs w:val="24"/>
        </w:rPr>
        <w:t>本工程具有体量大、施工周期长、交叉作业等特点。如何有效地对工程实施管理，如何加强施工过程中的管理与协调，对实现工程的质量、工期、安全、成本目标影响很大，因此我们将建立实惠、科学、高效的管理和协调体系，并将“公正、统一、控制、协调、服务”这一原则贯彻于工程的施工过程中。</w:t>
      </w:r>
    </w:p>
    <w:p w14:paraId="75325CB6">
      <w:pPr>
        <w:pStyle w:val="2"/>
        <w:spacing w:line="218" w:lineRule="auto"/>
        <w:ind w:left="1903"/>
        <w:rPr>
          <w:sz w:val="24"/>
          <w:szCs w:val="24"/>
        </w:rPr>
      </w:pPr>
      <w:r>
        <w:rPr>
          <w:spacing w:val="-19"/>
          <w:sz w:val="24"/>
          <w:szCs w:val="24"/>
        </w:rPr>
        <w:t>1、与业主的协调</w:t>
      </w:r>
    </w:p>
    <w:p w14:paraId="0E592678">
      <w:pPr>
        <w:pStyle w:val="2"/>
        <w:spacing w:before="117" w:line="217" w:lineRule="auto"/>
        <w:ind w:left="1893"/>
        <w:rPr>
          <w:sz w:val="24"/>
          <w:szCs w:val="24"/>
        </w:rPr>
      </w:pPr>
      <w:r>
        <w:rPr>
          <w:spacing w:val="-21"/>
          <w:sz w:val="24"/>
          <w:szCs w:val="24"/>
        </w:rPr>
        <w:t>（1）我们将严格执行业主的决议，绝对服从业主的管理。</w:t>
      </w:r>
    </w:p>
    <w:p w14:paraId="7DBCD18B">
      <w:pPr>
        <w:pStyle w:val="2"/>
        <w:spacing w:before="119" w:line="216" w:lineRule="auto"/>
        <w:ind w:left="1893"/>
        <w:rPr>
          <w:sz w:val="24"/>
          <w:szCs w:val="24"/>
        </w:rPr>
      </w:pPr>
      <w:r>
        <w:rPr>
          <w:spacing w:val="-21"/>
          <w:sz w:val="24"/>
          <w:szCs w:val="24"/>
        </w:rPr>
        <w:t>（2）积极配合业主进行场内的施工准备工作，尽最大可能为业主排忧解难。</w:t>
      </w:r>
    </w:p>
    <w:p w14:paraId="3FCABB84">
      <w:pPr>
        <w:pStyle w:val="2"/>
        <w:spacing w:before="116" w:line="278" w:lineRule="auto"/>
        <w:ind w:left="1456" w:right="1295" w:firstLine="436"/>
        <w:rPr>
          <w:sz w:val="24"/>
          <w:szCs w:val="24"/>
        </w:rPr>
      </w:pPr>
      <w:r>
        <w:rPr>
          <w:spacing w:val="-22"/>
          <w:sz w:val="24"/>
          <w:szCs w:val="24"/>
        </w:rPr>
        <w:t>（3）在熟悉图纸的基础上及时准确地编制工程预算书和施工进度计划，提供甲</w:t>
      </w:r>
      <w:r>
        <w:rPr>
          <w:spacing w:val="-23"/>
          <w:sz w:val="24"/>
          <w:szCs w:val="24"/>
        </w:rPr>
        <w:t>供材料清单</w:t>
      </w:r>
      <w:r>
        <w:rPr>
          <w:spacing w:val="-17"/>
          <w:sz w:val="24"/>
          <w:szCs w:val="24"/>
        </w:rPr>
        <w:t>报送业主，并派出具有丰富经验的采供人员密切协助业主进行材料订购的“三比”、“一算”</w:t>
      </w:r>
      <w:r>
        <w:rPr>
          <w:spacing w:val="-22"/>
          <w:sz w:val="24"/>
          <w:szCs w:val="24"/>
        </w:rPr>
        <w:t>等联系工作，使材料采购过程与工程施工过程的衔接。</w:t>
      </w:r>
    </w:p>
    <w:p w14:paraId="5E6D3B1F">
      <w:pPr>
        <w:pStyle w:val="2"/>
        <w:spacing w:before="117" w:line="216" w:lineRule="auto"/>
        <w:ind w:left="1893"/>
        <w:rPr>
          <w:sz w:val="24"/>
          <w:szCs w:val="24"/>
        </w:rPr>
      </w:pPr>
      <w:r>
        <w:rPr>
          <w:spacing w:val="-21"/>
          <w:sz w:val="24"/>
          <w:szCs w:val="24"/>
        </w:rPr>
        <w:t>（4）密切配合业主进行设备、材料的交接和检验工</w:t>
      </w:r>
      <w:r>
        <w:rPr>
          <w:spacing w:val="-22"/>
          <w:sz w:val="24"/>
          <w:szCs w:val="24"/>
        </w:rPr>
        <w:t>作。</w:t>
      </w:r>
    </w:p>
    <w:p w14:paraId="349AC47E">
      <w:pPr>
        <w:pStyle w:val="2"/>
        <w:spacing w:before="121" w:line="262" w:lineRule="auto"/>
        <w:ind w:left="1456" w:right="1437" w:firstLine="436"/>
        <w:rPr>
          <w:sz w:val="24"/>
          <w:szCs w:val="24"/>
        </w:rPr>
      </w:pPr>
      <w:r>
        <w:rPr>
          <w:spacing w:val="-23"/>
          <w:sz w:val="24"/>
          <w:szCs w:val="24"/>
        </w:rPr>
        <w:t>（5）积极配合业主进行工程修改、方案确定、技术论证，从业主的角度出发，提出材料代</w:t>
      </w:r>
      <w:r>
        <w:rPr>
          <w:spacing w:val="-21"/>
          <w:sz w:val="24"/>
          <w:szCs w:val="24"/>
        </w:rPr>
        <w:t>用建议，并进行合理的经济分析，直到业主满意为止，同时</w:t>
      </w:r>
      <w:r>
        <w:rPr>
          <w:spacing w:val="-22"/>
          <w:sz w:val="24"/>
          <w:szCs w:val="24"/>
        </w:rPr>
        <w:t>绝不借故小修小改拖延工期。</w:t>
      </w:r>
    </w:p>
    <w:p w14:paraId="0A140CD7">
      <w:pPr>
        <w:pStyle w:val="2"/>
        <w:spacing w:before="119" w:line="262" w:lineRule="auto"/>
        <w:ind w:left="1455" w:right="1411" w:firstLine="437"/>
        <w:rPr>
          <w:sz w:val="24"/>
          <w:szCs w:val="24"/>
        </w:rPr>
      </w:pPr>
      <w:r>
        <w:rPr>
          <w:spacing w:val="-22"/>
          <w:sz w:val="24"/>
          <w:szCs w:val="24"/>
        </w:rPr>
        <w:t>（6）如果发生工程进度滞后于计划进度的情况，我们将积极组织新的施工资源</w:t>
      </w:r>
      <w:r>
        <w:rPr>
          <w:spacing w:val="-23"/>
          <w:sz w:val="24"/>
          <w:szCs w:val="24"/>
        </w:rPr>
        <w:t>进场并实行</w:t>
      </w:r>
      <w:r>
        <w:rPr>
          <w:spacing w:val="-22"/>
          <w:sz w:val="24"/>
          <w:szCs w:val="24"/>
        </w:rPr>
        <w:t>加班、加点等赶工措施，确保工程按期竣工。</w:t>
      </w:r>
    </w:p>
    <w:p w14:paraId="7279F816">
      <w:pPr>
        <w:pStyle w:val="2"/>
        <w:spacing w:before="118" w:line="262" w:lineRule="auto"/>
        <w:ind w:left="1461" w:right="1411" w:firstLine="432"/>
        <w:rPr>
          <w:sz w:val="24"/>
          <w:szCs w:val="24"/>
        </w:rPr>
      </w:pPr>
      <w:r>
        <w:rPr>
          <w:spacing w:val="-22"/>
          <w:sz w:val="24"/>
          <w:szCs w:val="24"/>
        </w:rPr>
        <w:t>（7）工程施工中，我们将至始至终站在业主的立场上，切实从使用舒适、操作</w:t>
      </w:r>
      <w:r>
        <w:rPr>
          <w:spacing w:val="-23"/>
          <w:sz w:val="24"/>
          <w:szCs w:val="24"/>
        </w:rPr>
        <w:t>方便、便于</w:t>
      </w:r>
      <w:r>
        <w:rPr>
          <w:spacing w:val="-21"/>
          <w:sz w:val="24"/>
          <w:szCs w:val="24"/>
        </w:rPr>
        <w:t>维修的角度进行施工，为业主提供最好的服务。</w:t>
      </w:r>
    </w:p>
    <w:p w14:paraId="7D452CB0">
      <w:pPr>
        <w:pStyle w:val="2"/>
        <w:spacing w:before="118" w:line="264" w:lineRule="auto"/>
        <w:ind w:left="1458" w:right="1410" w:firstLine="434"/>
        <w:rPr>
          <w:sz w:val="24"/>
          <w:szCs w:val="24"/>
        </w:rPr>
      </w:pPr>
      <w:r>
        <w:rPr>
          <w:spacing w:val="-22"/>
          <w:sz w:val="24"/>
          <w:szCs w:val="24"/>
        </w:rPr>
        <w:t>（8）积极做好文明施工工作，争创文明工地，从施工阶段就树立起标志性的形象，</w:t>
      </w:r>
      <w:r>
        <w:rPr>
          <w:spacing w:val="-23"/>
          <w:sz w:val="24"/>
          <w:szCs w:val="24"/>
        </w:rPr>
        <w:t>为业主</w:t>
      </w:r>
      <w:r>
        <w:rPr>
          <w:spacing w:val="-21"/>
          <w:sz w:val="24"/>
          <w:szCs w:val="24"/>
        </w:rPr>
        <w:t>争光。</w:t>
      </w:r>
    </w:p>
    <w:p w14:paraId="4BDDC5B6">
      <w:pPr>
        <w:pStyle w:val="2"/>
        <w:spacing w:before="114" w:line="217" w:lineRule="auto"/>
        <w:ind w:left="1888"/>
        <w:rPr>
          <w:sz w:val="24"/>
          <w:szCs w:val="24"/>
        </w:rPr>
      </w:pPr>
      <w:r>
        <w:rPr>
          <w:spacing w:val="-19"/>
          <w:sz w:val="24"/>
          <w:szCs w:val="24"/>
        </w:rPr>
        <w:t>2、与设计单位的配合措施</w:t>
      </w:r>
    </w:p>
    <w:p w14:paraId="5BF83F9F">
      <w:pPr>
        <w:spacing w:line="217" w:lineRule="auto"/>
        <w:rPr>
          <w:sz w:val="24"/>
          <w:szCs w:val="24"/>
        </w:rPr>
        <w:sectPr>
          <w:footerReference r:id="rId406" w:type="default"/>
          <w:pgSz w:w="11907" w:h="16839"/>
          <w:pgMar w:top="933" w:right="4" w:bottom="1038" w:left="0" w:header="478" w:footer="357" w:gutter="0"/>
          <w:pgBorders>
            <w:top w:val="none" w:sz="0" w:space="0"/>
            <w:left w:val="none" w:sz="0" w:space="0"/>
            <w:bottom w:val="none" w:sz="0" w:space="0"/>
            <w:right w:val="none" w:sz="0" w:space="0"/>
          </w:pgBorders>
          <w:cols w:space="720" w:num="1"/>
        </w:sectPr>
      </w:pPr>
    </w:p>
    <w:p w14:paraId="0A9847D8">
      <w:pPr>
        <w:spacing w:line="270" w:lineRule="auto"/>
        <w:rPr>
          <w:rFonts w:ascii="Arial"/>
          <w:sz w:val="21"/>
        </w:rPr>
      </w:pPr>
    </w:p>
    <w:p w14:paraId="1988477C">
      <w:pPr>
        <w:pStyle w:val="2"/>
        <w:spacing w:before="78" w:line="308" w:lineRule="auto"/>
        <w:ind w:left="1459" w:right="1459" w:firstLine="433"/>
        <w:rPr>
          <w:sz w:val="24"/>
          <w:szCs w:val="24"/>
        </w:rPr>
      </w:pPr>
      <w:r>
        <w:rPr>
          <w:spacing w:val="-21"/>
          <w:sz w:val="24"/>
          <w:szCs w:val="24"/>
        </w:rPr>
        <w:t>设计对该项目的设计思路、设计依据、设计意图有深刻了解，故搞好与他们的协调工作，及时反馈施工信息，保证施工顺利进行。主要协调措施</w:t>
      </w:r>
      <w:r>
        <w:rPr>
          <w:spacing w:val="-22"/>
          <w:sz w:val="24"/>
          <w:szCs w:val="24"/>
        </w:rPr>
        <w:t>为：</w:t>
      </w:r>
    </w:p>
    <w:p w14:paraId="76A20284">
      <w:pPr>
        <w:pStyle w:val="2"/>
        <w:spacing w:line="218" w:lineRule="auto"/>
        <w:ind w:left="1893"/>
        <w:rPr>
          <w:sz w:val="24"/>
          <w:szCs w:val="24"/>
        </w:rPr>
      </w:pPr>
      <w:r>
        <w:rPr>
          <w:spacing w:val="-21"/>
          <w:sz w:val="24"/>
          <w:szCs w:val="24"/>
        </w:rPr>
        <w:t>（1）定期向设计方介绍施工情况及采用的施工工艺。</w:t>
      </w:r>
    </w:p>
    <w:p w14:paraId="1CB12C7E">
      <w:pPr>
        <w:pStyle w:val="2"/>
        <w:spacing w:before="118" w:line="264" w:lineRule="auto"/>
        <w:ind w:left="1470" w:right="1427" w:firstLine="422"/>
        <w:rPr>
          <w:sz w:val="24"/>
          <w:szCs w:val="24"/>
        </w:rPr>
      </w:pPr>
      <w:r>
        <w:rPr>
          <w:spacing w:val="-22"/>
          <w:sz w:val="24"/>
          <w:szCs w:val="24"/>
        </w:rPr>
        <w:t>（2）在每个分部分项工程施工前提交与设计</w:t>
      </w:r>
      <w:r>
        <w:rPr>
          <w:spacing w:val="-23"/>
          <w:sz w:val="24"/>
          <w:szCs w:val="24"/>
        </w:rPr>
        <w:t>有关的施工方案或作业指导书，并听取设计方</w:t>
      </w:r>
      <w:r>
        <w:rPr>
          <w:spacing w:val="-19"/>
          <w:sz w:val="24"/>
          <w:szCs w:val="24"/>
        </w:rPr>
        <w:t>的意见。</w:t>
      </w:r>
    </w:p>
    <w:p w14:paraId="6B276123">
      <w:pPr>
        <w:pStyle w:val="2"/>
        <w:spacing w:before="112" w:line="263" w:lineRule="auto"/>
        <w:ind w:left="1463" w:right="1411" w:firstLine="429"/>
        <w:rPr>
          <w:sz w:val="24"/>
          <w:szCs w:val="24"/>
        </w:rPr>
      </w:pPr>
      <w:r>
        <w:rPr>
          <w:spacing w:val="-22"/>
          <w:sz w:val="24"/>
          <w:szCs w:val="24"/>
        </w:rPr>
        <w:t>（3）定期交换我们对设计内容的意见，用我们丰富的施工经验来完善细部节点</w:t>
      </w:r>
      <w:r>
        <w:rPr>
          <w:spacing w:val="-23"/>
          <w:sz w:val="24"/>
          <w:szCs w:val="24"/>
        </w:rPr>
        <w:t>设计，以达</w:t>
      </w:r>
      <w:r>
        <w:rPr>
          <w:spacing w:val="-19"/>
          <w:sz w:val="24"/>
          <w:szCs w:val="24"/>
        </w:rPr>
        <w:t>到最佳效果。</w:t>
      </w:r>
    </w:p>
    <w:p w14:paraId="2540B9AC">
      <w:pPr>
        <w:pStyle w:val="2"/>
        <w:spacing w:before="117" w:line="262" w:lineRule="auto"/>
        <w:ind w:left="1465" w:right="1411" w:firstLine="427"/>
        <w:rPr>
          <w:sz w:val="24"/>
          <w:szCs w:val="24"/>
        </w:rPr>
      </w:pPr>
      <w:r>
        <w:rPr>
          <w:spacing w:val="-22"/>
          <w:sz w:val="24"/>
          <w:szCs w:val="24"/>
        </w:rPr>
        <w:t>（4）如遇业主改变使用功能或采用合理化建议需要进行设计变更时，我们将积</w:t>
      </w:r>
      <w:r>
        <w:rPr>
          <w:spacing w:val="-23"/>
          <w:sz w:val="24"/>
          <w:szCs w:val="24"/>
        </w:rPr>
        <w:t>极配合，若</w:t>
      </w:r>
      <w:r>
        <w:rPr>
          <w:spacing w:val="-22"/>
          <w:sz w:val="24"/>
          <w:szCs w:val="24"/>
        </w:rPr>
        <w:t>需部分停工，我们将及时改变施工部署，尽量减少工期损失。</w:t>
      </w:r>
    </w:p>
    <w:p w14:paraId="09991372">
      <w:pPr>
        <w:pStyle w:val="2"/>
        <w:spacing w:before="118" w:line="216" w:lineRule="auto"/>
        <w:ind w:left="1893"/>
        <w:rPr>
          <w:sz w:val="24"/>
          <w:szCs w:val="24"/>
        </w:rPr>
      </w:pPr>
      <w:r>
        <w:rPr>
          <w:spacing w:val="-21"/>
          <w:sz w:val="24"/>
          <w:szCs w:val="24"/>
        </w:rPr>
        <w:t>（5）积极组织各个专业施工队同设计人员认真做好图纸会审工作，完善施工图设计。</w:t>
      </w:r>
    </w:p>
    <w:p w14:paraId="35BEEE7D">
      <w:pPr>
        <w:pStyle w:val="2"/>
        <w:spacing w:before="120" w:line="217" w:lineRule="auto"/>
        <w:ind w:left="1890"/>
        <w:rPr>
          <w:sz w:val="24"/>
          <w:szCs w:val="24"/>
        </w:rPr>
      </w:pPr>
      <w:r>
        <w:rPr>
          <w:spacing w:val="-19"/>
          <w:sz w:val="24"/>
          <w:szCs w:val="24"/>
        </w:rPr>
        <w:t>3、与监理单位的配合措施</w:t>
      </w:r>
    </w:p>
    <w:p w14:paraId="2CB8AC06">
      <w:pPr>
        <w:pStyle w:val="2"/>
        <w:spacing w:before="115" w:line="308" w:lineRule="auto"/>
        <w:ind w:left="1455" w:right="1409" w:firstLine="440"/>
        <w:rPr>
          <w:sz w:val="24"/>
          <w:szCs w:val="24"/>
        </w:rPr>
      </w:pPr>
      <w:r>
        <w:rPr>
          <w:spacing w:val="-20"/>
          <w:sz w:val="24"/>
          <w:szCs w:val="24"/>
        </w:rPr>
        <w:t>正确理解监理的地位和作用，监理既协助业主对工程实施监督，也协助承包商搞好工程建设，有效的监督可减少承包商的失误，确保各项工程管理目标的实现，为此，在本工程中，我</w:t>
      </w:r>
      <w:r>
        <w:rPr>
          <w:spacing w:val="-21"/>
          <w:sz w:val="24"/>
          <w:szCs w:val="24"/>
        </w:rPr>
        <w:t>公司将密切与监理配合，妥善协调，与监理协调配合时，我们</w:t>
      </w:r>
      <w:r>
        <w:rPr>
          <w:spacing w:val="-22"/>
          <w:sz w:val="24"/>
          <w:szCs w:val="24"/>
        </w:rPr>
        <w:t>将遵循“三让”原则。</w:t>
      </w:r>
    </w:p>
    <w:p w14:paraId="69FA289C">
      <w:pPr>
        <w:pStyle w:val="2"/>
        <w:spacing w:line="218" w:lineRule="auto"/>
        <w:ind w:left="1893"/>
        <w:rPr>
          <w:sz w:val="24"/>
          <w:szCs w:val="24"/>
        </w:rPr>
      </w:pPr>
      <w:r>
        <w:rPr>
          <w:spacing w:val="-18"/>
          <w:sz w:val="24"/>
          <w:szCs w:val="24"/>
        </w:rPr>
        <w:t>（1）协调配合原则</w:t>
      </w:r>
    </w:p>
    <w:p w14:paraId="2A8B8A0E">
      <w:pPr>
        <w:pStyle w:val="2"/>
        <w:spacing w:before="117" w:line="215" w:lineRule="auto"/>
        <w:ind w:left="1885"/>
        <w:rPr>
          <w:sz w:val="24"/>
          <w:szCs w:val="24"/>
        </w:rPr>
      </w:pPr>
      <w:r>
        <w:rPr>
          <w:spacing w:val="-21"/>
          <w:sz w:val="24"/>
          <w:szCs w:val="24"/>
        </w:rPr>
        <w:t>①在监理要求高于国家规范标准时，我方意见尊重监理意见。</w:t>
      </w:r>
    </w:p>
    <w:p w14:paraId="1CCF0E3C">
      <w:pPr>
        <w:pStyle w:val="2"/>
        <w:spacing w:before="122" w:line="215" w:lineRule="auto"/>
        <w:ind w:left="1884"/>
        <w:rPr>
          <w:sz w:val="24"/>
          <w:szCs w:val="24"/>
        </w:rPr>
      </w:pPr>
      <w:r>
        <w:rPr>
          <w:spacing w:val="-21"/>
          <w:sz w:val="24"/>
          <w:szCs w:val="24"/>
        </w:rPr>
        <w:t>②在监理要求可改善使用功能时，我方意见尊重监理意见。</w:t>
      </w:r>
    </w:p>
    <w:p w14:paraId="49DD660E">
      <w:pPr>
        <w:pStyle w:val="2"/>
        <w:spacing w:before="118" w:line="215" w:lineRule="auto"/>
        <w:ind w:left="1884"/>
        <w:rPr>
          <w:sz w:val="24"/>
          <w:szCs w:val="24"/>
        </w:rPr>
      </w:pPr>
      <w:r>
        <w:rPr>
          <w:spacing w:val="-21"/>
          <w:sz w:val="24"/>
          <w:szCs w:val="24"/>
        </w:rPr>
        <w:t>③在监理要求与我方要求效果一致但做法不</w:t>
      </w:r>
      <w:r>
        <w:rPr>
          <w:spacing w:val="-22"/>
          <w:sz w:val="24"/>
          <w:szCs w:val="24"/>
        </w:rPr>
        <w:t>同时，我方意见尊重监理意见。</w:t>
      </w:r>
    </w:p>
    <w:p w14:paraId="564D4EBB">
      <w:pPr>
        <w:pStyle w:val="2"/>
        <w:spacing w:before="122" w:line="218" w:lineRule="auto"/>
        <w:ind w:left="1893"/>
        <w:rPr>
          <w:sz w:val="24"/>
          <w:szCs w:val="24"/>
        </w:rPr>
      </w:pPr>
      <w:r>
        <w:rPr>
          <w:spacing w:val="-18"/>
          <w:sz w:val="24"/>
          <w:szCs w:val="24"/>
        </w:rPr>
        <w:t>（2）协调配合措施</w:t>
      </w:r>
    </w:p>
    <w:p w14:paraId="7EE9A162">
      <w:pPr>
        <w:pStyle w:val="2"/>
        <w:spacing w:before="116" w:line="262" w:lineRule="auto"/>
        <w:ind w:left="1470" w:right="1409" w:firstLine="415"/>
        <w:rPr>
          <w:sz w:val="24"/>
          <w:szCs w:val="24"/>
        </w:rPr>
      </w:pPr>
      <w:r>
        <w:rPr>
          <w:spacing w:val="-19"/>
          <w:sz w:val="24"/>
          <w:szCs w:val="24"/>
        </w:rPr>
        <w:t>①积极参加监理工程师主持召开的每周一次生产例会或随</w:t>
      </w:r>
      <w:r>
        <w:rPr>
          <w:spacing w:val="-20"/>
          <w:sz w:val="24"/>
          <w:szCs w:val="24"/>
        </w:rPr>
        <w:t>时召集的其它会议，并保证派出</w:t>
      </w:r>
      <w:r>
        <w:rPr>
          <w:spacing w:val="-22"/>
          <w:sz w:val="24"/>
          <w:szCs w:val="24"/>
        </w:rPr>
        <w:t>能代表项目经理部当场做出决定的高级管理人员出席会议，同时确保有关施工队负责人参加。</w:t>
      </w:r>
    </w:p>
    <w:p w14:paraId="2271440A">
      <w:pPr>
        <w:pStyle w:val="2"/>
        <w:spacing w:before="120" w:line="263" w:lineRule="auto"/>
        <w:ind w:left="1460" w:right="1409" w:firstLine="424"/>
        <w:rPr>
          <w:sz w:val="24"/>
          <w:szCs w:val="24"/>
        </w:rPr>
      </w:pPr>
      <w:r>
        <w:rPr>
          <w:spacing w:val="-19"/>
          <w:sz w:val="24"/>
          <w:szCs w:val="24"/>
        </w:rPr>
        <w:t>②严格按照监理工程师批准的施工规划和施工方案进行施工</w:t>
      </w:r>
      <w:r>
        <w:rPr>
          <w:spacing w:val="-20"/>
          <w:sz w:val="24"/>
          <w:szCs w:val="24"/>
        </w:rPr>
        <w:t>，并随时提交监理工程师认为</w:t>
      </w:r>
      <w:r>
        <w:rPr>
          <w:spacing w:val="-21"/>
          <w:sz w:val="24"/>
          <w:szCs w:val="24"/>
        </w:rPr>
        <w:t>必要的关于施工规划和施工方案的任何说明或文件。</w:t>
      </w:r>
    </w:p>
    <w:p w14:paraId="54A4E063">
      <w:pPr>
        <w:pStyle w:val="2"/>
        <w:spacing w:before="116" w:line="278" w:lineRule="auto"/>
        <w:ind w:left="1456" w:right="1410" w:firstLine="428"/>
        <w:rPr>
          <w:sz w:val="24"/>
          <w:szCs w:val="24"/>
        </w:rPr>
      </w:pPr>
      <w:r>
        <w:rPr>
          <w:spacing w:val="-19"/>
          <w:sz w:val="24"/>
          <w:szCs w:val="24"/>
        </w:rPr>
        <w:t>③按监理工程师同意的格式和详细程度，向监理工程师及时</w:t>
      </w:r>
      <w:r>
        <w:rPr>
          <w:spacing w:val="-20"/>
          <w:sz w:val="24"/>
          <w:szCs w:val="24"/>
        </w:rPr>
        <w:t>提交完整的进度计划，以获得监理工程师的批准。无论监理工程师何时需要，保证随时以书面形式提交一份为保证工程进度</w:t>
      </w:r>
      <w:r>
        <w:rPr>
          <w:spacing w:val="-21"/>
          <w:sz w:val="24"/>
          <w:szCs w:val="24"/>
        </w:rPr>
        <w:t>计划而拟采用的方法和安排的说明，以供监理工程师参考。</w:t>
      </w:r>
    </w:p>
    <w:p w14:paraId="6714CD36">
      <w:pPr>
        <w:pStyle w:val="2"/>
        <w:spacing w:before="116" w:line="278" w:lineRule="auto"/>
        <w:ind w:left="1463" w:right="1410" w:firstLine="421"/>
        <w:rPr>
          <w:sz w:val="24"/>
          <w:szCs w:val="24"/>
        </w:rPr>
      </w:pPr>
      <w:r>
        <w:rPr>
          <w:spacing w:val="-19"/>
          <w:sz w:val="24"/>
          <w:szCs w:val="24"/>
        </w:rPr>
        <w:t>④在任何时候如果监理工程师认为施工进度不符合批准的进</w:t>
      </w:r>
      <w:r>
        <w:rPr>
          <w:spacing w:val="-20"/>
          <w:sz w:val="24"/>
          <w:szCs w:val="24"/>
        </w:rPr>
        <w:t>度计划或不符合竣工期限的要求，则保证在监理工程师的同意下，立即采取必要的措施加快工程进度，以使其符合竣工期限</w:t>
      </w:r>
      <w:r>
        <w:rPr>
          <w:spacing w:val="-17"/>
          <w:sz w:val="24"/>
          <w:szCs w:val="24"/>
        </w:rPr>
        <w:t>的要求。</w:t>
      </w:r>
    </w:p>
    <w:p w14:paraId="701B9315">
      <w:pPr>
        <w:pStyle w:val="2"/>
        <w:spacing w:before="115" w:line="262" w:lineRule="auto"/>
        <w:ind w:left="1457" w:right="1409" w:firstLine="427"/>
        <w:rPr>
          <w:sz w:val="24"/>
          <w:szCs w:val="24"/>
        </w:rPr>
      </w:pPr>
      <w:r>
        <w:rPr>
          <w:spacing w:val="-19"/>
          <w:sz w:val="24"/>
          <w:szCs w:val="24"/>
        </w:rPr>
        <w:t>⑤承包范围内的所有施工过程和施工材料，接受监理工程师</w:t>
      </w:r>
      <w:r>
        <w:rPr>
          <w:spacing w:val="-20"/>
          <w:sz w:val="24"/>
          <w:szCs w:val="24"/>
        </w:rPr>
        <w:t>在任何时候进入现场进行他们</w:t>
      </w:r>
      <w:r>
        <w:rPr>
          <w:spacing w:val="-21"/>
          <w:sz w:val="24"/>
          <w:szCs w:val="24"/>
        </w:rPr>
        <w:t>认为有必要的检查，并提供一切便利。</w:t>
      </w:r>
    </w:p>
    <w:p w14:paraId="299B1455">
      <w:pPr>
        <w:pStyle w:val="2"/>
        <w:spacing w:before="121" w:line="261" w:lineRule="auto"/>
        <w:ind w:left="1455" w:right="1409" w:firstLine="429"/>
        <w:rPr>
          <w:sz w:val="24"/>
          <w:szCs w:val="24"/>
        </w:rPr>
      </w:pPr>
      <w:r>
        <w:rPr>
          <w:spacing w:val="-19"/>
          <w:sz w:val="24"/>
          <w:szCs w:val="24"/>
        </w:rPr>
        <w:t>⑥当监理工程师要求对工程的任何部位进行计量时，我们保</w:t>
      </w:r>
      <w:r>
        <w:rPr>
          <w:spacing w:val="-20"/>
          <w:sz w:val="24"/>
          <w:szCs w:val="24"/>
        </w:rPr>
        <w:t>证立即派出一名合格的代表协</w:t>
      </w:r>
      <w:r>
        <w:rPr>
          <w:spacing w:val="-21"/>
          <w:sz w:val="24"/>
          <w:szCs w:val="24"/>
        </w:rPr>
        <w:t>助监理工程师进行上述审核或计量，并及时提供监理工程师所要</w:t>
      </w:r>
      <w:r>
        <w:rPr>
          <w:spacing w:val="-22"/>
          <w:sz w:val="24"/>
          <w:szCs w:val="24"/>
        </w:rPr>
        <w:t>求的一切详细资料。</w:t>
      </w:r>
    </w:p>
    <w:p w14:paraId="7DFF433C">
      <w:pPr>
        <w:pStyle w:val="2"/>
        <w:spacing w:before="120" w:line="262" w:lineRule="auto"/>
        <w:ind w:left="1458" w:right="1410" w:firstLine="426"/>
        <w:rPr>
          <w:sz w:val="24"/>
          <w:szCs w:val="24"/>
        </w:rPr>
      </w:pPr>
      <w:r>
        <w:rPr>
          <w:spacing w:val="-19"/>
          <w:sz w:val="24"/>
          <w:szCs w:val="24"/>
        </w:rPr>
        <w:t>⑦确保在承包范围内所有施工人员在现场绝对服从监理工程</w:t>
      </w:r>
      <w:r>
        <w:rPr>
          <w:spacing w:val="-20"/>
          <w:sz w:val="24"/>
          <w:szCs w:val="24"/>
        </w:rPr>
        <w:t>师的指挥，接受监理工程师的</w:t>
      </w:r>
      <w:r>
        <w:rPr>
          <w:spacing w:val="-21"/>
          <w:sz w:val="24"/>
          <w:szCs w:val="24"/>
        </w:rPr>
        <w:t>检查监督，并及时答复监理工程师提出的关于施工的任</w:t>
      </w:r>
      <w:r>
        <w:rPr>
          <w:spacing w:val="-22"/>
          <w:sz w:val="24"/>
          <w:szCs w:val="24"/>
        </w:rPr>
        <w:t>何问题。</w:t>
      </w:r>
    </w:p>
    <w:p w14:paraId="237874B5">
      <w:pPr>
        <w:pStyle w:val="2"/>
        <w:spacing w:before="118" w:line="216" w:lineRule="auto"/>
        <w:ind w:left="1884"/>
        <w:rPr>
          <w:sz w:val="24"/>
          <w:szCs w:val="24"/>
        </w:rPr>
      </w:pPr>
      <w:r>
        <w:rPr>
          <w:spacing w:val="-20"/>
          <w:sz w:val="24"/>
          <w:szCs w:val="24"/>
        </w:rPr>
        <w:t>4、与各种材料供应商及社会关系的协调</w:t>
      </w:r>
    </w:p>
    <w:p w14:paraId="486A39F3">
      <w:pPr>
        <w:spacing w:line="216" w:lineRule="auto"/>
        <w:rPr>
          <w:sz w:val="24"/>
          <w:szCs w:val="24"/>
        </w:rPr>
        <w:sectPr>
          <w:footerReference r:id="rId407" w:type="default"/>
          <w:pgSz w:w="11907" w:h="16839"/>
          <w:pgMar w:top="933" w:right="4" w:bottom="1038" w:left="0" w:header="478" w:footer="357" w:gutter="0"/>
          <w:pgBorders>
            <w:top w:val="none" w:sz="0" w:space="0"/>
            <w:left w:val="none" w:sz="0" w:space="0"/>
            <w:bottom w:val="none" w:sz="0" w:space="0"/>
            <w:right w:val="none" w:sz="0" w:space="0"/>
          </w:pgBorders>
          <w:cols w:space="720" w:num="1"/>
        </w:sectPr>
      </w:pPr>
    </w:p>
    <w:p w14:paraId="3414EA2D">
      <w:pPr>
        <w:spacing w:line="270" w:lineRule="auto"/>
        <w:rPr>
          <w:rFonts w:ascii="Arial"/>
          <w:sz w:val="21"/>
        </w:rPr>
      </w:pPr>
    </w:p>
    <w:p w14:paraId="5636B81B">
      <w:pPr>
        <w:pStyle w:val="2"/>
        <w:spacing w:before="78" w:line="308" w:lineRule="auto"/>
        <w:ind w:left="1463" w:right="1410" w:firstLine="460"/>
        <w:jc w:val="both"/>
        <w:rPr>
          <w:sz w:val="24"/>
          <w:szCs w:val="24"/>
        </w:rPr>
      </w:pPr>
      <w:r>
        <w:rPr>
          <w:spacing w:val="-20"/>
          <w:sz w:val="24"/>
          <w:szCs w:val="24"/>
        </w:rPr>
        <w:t>由于工程建设是一种社会性的活动，与社会有着紧密的联</w:t>
      </w:r>
      <w:r>
        <w:rPr>
          <w:spacing w:val="-21"/>
          <w:sz w:val="24"/>
          <w:szCs w:val="24"/>
        </w:rPr>
        <w:t>系，工程施工对社会有一定的影</w:t>
      </w:r>
      <w:r>
        <w:rPr>
          <w:spacing w:val="-20"/>
          <w:sz w:val="24"/>
          <w:szCs w:val="24"/>
        </w:rPr>
        <w:t>响，而社会对施工的影响则更大，这些影响主要表现在：材料供应单位、各级政府部门、社会</w:t>
      </w:r>
      <w:r>
        <w:rPr>
          <w:spacing w:val="-21"/>
          <w:sz w:val="24"/>
          <w:szCs w:val="24"/>
        </w:rPr>
        <w:t>团体、公用事业企业、周围居民及居委会等。</w:t>
      </w:r>
    </w:p>
    <w:p w14:paraId="7647AA16">
      <w:pPr>
        <w:pStyle w:val="2"/>
        <w:spacing w:before="1" w:line="215" w:lineRule="auto"/>
        <w:ind w:left="1893"/>
        <w:rPr>
          <w:sz w:val="24"/>
          <w:szCs w:val="24"/>
        </w:rPr>
      </w:pPr>
      <w:r>
        <w:rPr>
          <w:spacing w:val="-20"/>
          <w:sz w:val="24"/>
          <w:szCs w:val="24"/>
        </w:rPr>
        <w:t>（1）与各种材料供应单位的关系协调</w:t>
      </w:r>
    </w:p>
    <w:p w14:paraId="120714BF">
      <w:pPr>
        <w:pStyle w:val="2"/>
        <w:spacing w:before="119" w:line="307" w:lineRule="auto"/>
        <w:ind w:left="1457" w:right="1410" w:firstLine="435"/>
        <w:rPr>
          <w:sz w:val="24"/>
          <w:szCs w:val="24"/>
        </w:rPr>
      </w:pPr>
      <w:r>
        <w:rPr>
          <w:spacing w:val="-20"/>
          <w:sz w:val="24"/>
          <w:szCs w:val="24"/>
        </w:rPr>
        <w:t>材料供应及时与否将直接影响到施工过程能否顺利进行，因此，必须采取有效措施，以确</w:t>
      </w:r>
      <w:r>
        <w:rPr>
          <w:spacing w:val="-21"/>
          <w:sz w:val="24"/>
          <w:szCs w:val="24"/>
        </w:rPr>
        <w:t>保材料供应及时，满足施工要求。</w:t>
      </w:r>
    </w:p>
    <w:p w14:paraId="51F32D57">
      <w:pPr>
        <w:pStyle w:val="2"/>
        <w:spacing w:before="1" w:line="216" w:lineRule="auto"/>
        <w:ind w:left="1885"/>
        <w:rPr>
          <w:sz w:val="24"/>
          <w:szCs w:val="24"/>
        </w:rPr>
      </w:pPr>
      <w:r>
        <w:rPr>
          <w:spacing w:val="-22"/>
          <w:sz w:val="24"/>
          <w:szCs w:val="24"/>
        </w:rPr>
        <w:t>①选择信誉可靠、实力雄厚的供货商，并进行供货商评价。</w:t>
      </w:r>
    </w:p>
    <w:p w14:paraId="6F747AF8">
      <w:pPr>
        <w:pStyle w:val="2"/>
        <w:spacing w:before="120" w:line="216" w:lineRule="auto"/>
        <w:ind w:left="1884"/>
        <w:rPr>
          <w:sz w:val="24"/>
          <w:szCs w:val="24"/>
        </w:rPr>
      </w:pPr>
      <w:r>
        <w:rPr>
          <w:spacing w:val="-21"/>
          <w:sz w:val="24"/>
          <w:szCs w:val="24"/>
        </w:rPr>
        <w:t>②根据施工进度及时提供各种材料采购计划，对需检验的材料要留足够的检验周期。</w:t>
      </w:r>
    </w:p>
    <w:p w14:paraId="716A392D">
      <w:pPr>
        <w:pStyle w:val="2"/>
        <w:spacing w:before="116" w:line="264" w:lineRule="auto"/>
        <w:ind w:left="1458" w:right="1411" w:firstLine="426"/>
        <w:rPr>
          <w:sz w:val="24"/>
          <w:szCs w:val="24"/>
        </w:rPr>
      </w:pPr>
      <w:r>
        <w:rPr>
          <w:spacing w:val="-21"/>
          <w:sz w:val="24"/>
          <w:szCs w:val="24"/>
        </w:rPr>
        <w:t>③编制物资供应计划进场时间表，所需材料根据表中最迟进场时间提前5天与供</w:t>
      </w:r>
      <w:r>
        <w:rPr>
          <w:spacing w:val="-22"/>
          <w:sz w:val="24"/>
          <w:szCs w:val="24"/>
        </w:rPr>
        <w:t>货商落实</w:t>
      </w:r>
      <w:r>
        <w:rPr>
          <w:spacing w:val="-21"/>
          <w:sz w:val="24"/>
          <w:szCs w:val="24"/>
        </w:rPr>
        <w:t>进场。</w:t>
      </w:r>
    </w:p>
    <w:p w14:paraId="42E326C6">
      <w:pPr>
        <w:pStyle w:val="2"/>
        <w:spacing w:before="117" w:line="216" w:lineRule="auto"/>
        <w:ind w:left="1884"/>
        <w:rPr>
          <w:sz w:val="24"/>
          <w:szCs w:val="24"/>
        </w:rPr>
      </w:pPr>
      <w:r>
        <w:rPr>
          <w:spacing w:val="-21"/>
          <w:sz w:val="24"/>
          <w:szCs w:val="24"/>
        </w:rPr>
        <w:t>④签订完善的合同，根据合同来履行材料的采购任务。</w:t>
      </w:r>
    </w:p>
    <w:p w14:paraId="5CFA5F38">
      <w:pPr>
        <w:pStyle w:val="2"/>
        <w:spacing w:before="117" w:line="216" w:lineRule="auto"/>
        <w:ind w:left="1884"/>
        <w:rPr>
          <w:sz w:val="24"/>
          <w:szCs w:val="24"/>
        </w:rPr>
      </w:pPr>
      <w:r>
        <w:rPr>
          <w:spacing w:val="-21"/>
          <w:sz w:val="24"/>
          <w:szCs w:val="24"/>
        </w:rPr>
        <w:t>⑤制定应急措施，当发生某种材料不能按时到</w:t>
      </w:r>
      <w:r>
        <w:rPr>
          <w:spacing w:val="-22"/>
          <w:sz w:val="24"/>
          <w:szCs w:val="24"/>
        </w:rPr>
        <w:t>场的情况时，应提前制订应急方案。</w:t>
      </w:r>
    </w:p>
    <w:p w14:paraId="62985EA6">
      <w:pPr>
        <w:pStyle w:val="2"/>
        <w:spacing w:before="121" w:line="217" w:lineRule="auto"/>
        <w:ind w:left="1893"/>
        <w:rPr>
          <w:sz w:val="24"/>
          <w:szCs w:val="24"/>
        </w:rPr>
      </w:pPr>
      <w:r>
        <w:rPr>
          <w:spacing w:val="-20"/>
          <w:sz w:val="24"/>
          <w:szCs w:val="24"/>
        </w:rPr>
        <w:t>（2）与政府各部门的关系协调</w:t>
      </w:r>
    </w:p>
    <w:p w14:paraId="7F368429">
      <w:pPr>
        <w:pStyle w:val="2"/>
        <w:spacing w:before="117" w:line="308" w:lineRule="auto"/>
        <w:ind w:left="1453" w:right="1410" w:firstLine="448"/>
        <w:jc w:val="both"/>
        <w:rPr>
          <w:sz w:val="24"/>
          <w:szCs w:val="24"/>
        </w:rPr>
      </w:pPr>
      <w:r>
        <w:rPr>
          <w:spacing w:val="-20"/>
          <w:sz w:val="24"/>
          <w:szCs w:val="24"/>
        </w:rPr>
        <w:t>我们将根据工程的实际情况，明确专人及时与政府有关部门取得联系，以及时得到或获得政府部门的指导、支持和谅解，为工程施工的顺利进行打下良好的基础。有关的政府部门主要</w:t>
      </w:r>
      <w:r>
        <w:rPr>
          <w:spacing w:val="-21"/>
          <w:sz w:val="24"/>
          <w:szCs w:val="24"/>
        </w:rPr>
        <w:t>有：技术监督、建设、市政、公安、消防、卫生、劳动、环保等。</w:t>
      </w:r>
    </w:p>
    <w:p w14:paraId="5A804EF5">
      <w:pPr>
        <w:pStyle w:val="2"/>
        <w:spacing w:line="215" w:lineRule="auto"/>
        <w:ind w:left="1885"/>
        <w:rPr>
          <w:sz w:val="24"/>
          <w:szCs w:val="24"/>
        </w:rPr>
      </w:pPr>
      <w:r>
        <w:rPr>
          <w:spacing w:val="-21"/>
          <w:sz w:val="24"/>
          <w:szCs w:val="24"/>
        </w:rPr>
        <w:t>①在工程开工前，与各部门取得联系，并办理政府各部门规定的手续；</w:t>
      </w:r>
    </w:p>
    <w:p w14:paraId="67C2B869">
      <w:pPr>
        <w:pStyle w:val="2"/>
        <w:spacing w:before="118" w:line="262" w:lineRule="auto"/>
        <w:ind w:left="1473" w:right="1409" w:firstLine="411"/>
        <w:rPr>
          <w:sz w:val="24"/>
          <w:szCs w:val="24"/>
        </w:rPr>
      </w:pPr>
      <w:r>
        <w:rPr>
          <w:spacing w:val="-19"/>
          <w:sz w:val="24"/>
          <w:szCs w:val="24"/>
        </w:rPr>
        <w:t>②严格按《监检实施细则》的要求，认真配合好质量技术监</w:t>
      </w:r>
      <w:r>
        <w:rPr>
          <w:spacing w:val="-20"/>
          <w:sz w:val="24"/>
          <w:szCs w:val="24"/>
        </w:rPr>
        <w:t>督部门监检人员的工作，并及</w:t>
      </w:r>
      <w:r>
        <w:rPr>
          <w:spacing w:val="-21"/>
          <w:sz w:val="24"/>
          <w:szCs w:val="24"/>
        </w:rPr>
        <w:t>时整改存在质量问题。</w:t>
      </w:r>
    </w:p>
    <w:p w14:paraId="2478E6CF">
      <w:pPr>
        <w:pStyle w:val="2"/>
        <w:spacing w:before="122" w:line="217" w:lineRule="auto"/>
        <w:ind w:left="1884"/>
        <w:rPr>
          <w:sz w:val="24"/>
          <w:szCs w:val="24"/>
        </w:rPr>
      </w:pPr>
      <w:r>
        <w:rPr>
          <w:spacing w:val="-21"/>
          <w:sz w:val="24"/>
          <w:szCs w:val="24"/>
        </w:rPr>
        <w:t>③建立定期沟通制度，及时向有关部门汇报施工管理情况，以期获得有力的支持。</w:t>
      </w:r>
    </w:p>
    <w:p w14:paraId="7B06FA80">
      <w:pPr>
        <w:pStyle w:val="2"/>
        <w:spacing w:before="115" w:line="264" w:lineRule="auto"/>
        <w:ind w:left="1462" w:right="1409" w:firstLine="422"/>
        <w:rPr>
          <w:sz w:val="24"/>
          <w:szCs w:val="24"/>
        </w:rPr>
      </w:pPr>
      <w:r>
        <w:rPr>
          <w:spacing w:val="-19"/>
          <w:sz w:val="24"/>
          <w:szCs w:val="24"/>
        </w:rPr>
        <w:t>④积极配合安全监督站对施工现场的检查和考评，并及时整</w:t>
      </w:r>
      <w:r>
        <w:rPr>
          <w:spacing w:val="-20"/>
          <w:sz w:val="24"/>
          <w:szCs w:val="24"/>
        </w:rPr>
        <w:t>改施工中存在的安全隐患，杜</w:t>
      </w:r>
      <w:r>
        <w:rPr>
          <w:spacing w:val="-19"/>
          <w:sz w:val="24"/>
          <w:szCs w:val="24"/>
        </w:rPr>
        <w:t>绝安全事故。</w:t>
      </w:r>
    </w:p>
    <w:p w14:paraId="25FA9B8F">
      <w:pPr>
        <w:pStyle w:val="2"/>
        <w:spacing w:before="116" w:line="216" w:lineRule="auto"/>
        <w:ind w:left="1884"/>
        <w:rPr>
          <w:sz w:val="24"/>
          <w:szCs w:val="24"/>
        </w:rPr>
      </w:pPr>
      <w:r>
        <w:rPr>
          <w:spacing w:val="-21"/>
          <w:sz w:val="24"/>
          <w:szCs w:val="24"/>
        </w:rPr>
        <w:t>⑤协助交通部门维持现场周围的交通，缓解施工带来的交通压力。</w:t>
      </w:r>
    </w:p>
    <w:p w14:paraId="5C1F99E6">
      <w:pPr>
        <w:pStyle w:val="2"/>
        <w:spacing w:before="119" w:line="262" w:lineRule="auto"/>
        <w:ind w:left="1469" w:right="1409" w:firstLine="415"/>
        <w:rPr>
          <w:sz w:val="24"/>
          <w:szCs w:val="24"/>
        </w:rPr>
      </w:pPr>
      <w:r>
        <w:rPr>
          <w:spacing w:val="-19"/>
          <w:sz w:val="24"/>
          <w:szCs w:val="24"/>
        </w:rPr>
        <w:t>⑥建立综合治理小组，对涉及施工现场的治安、环卫、环保</w:t>
      </w:r>
      <w:r>
        <w:rPr>
          <w:spacing w:val="-20"/>
          <w:sz w:val="24"/>
          <w:szCs w:val="24"/>
        </w:rPr>
        <w:t>、消防等问题按有关规定进行</w:t>
      </w:r>
      <w:r>
        <w:rPr>
          <w:spacing w:val="-22"/>
          <w:sz w:val="24"/>
          <w:szCs w:val="24"/>
        </w:rPr>
        <w:t>管理；确保不因上述方面的问题影响工程的顺利进行。</w:t>
      </w:r>
    </w:p>
    <w:p w14:paraId="22AEA09D">
      <w:pPr>
        <w:pStyle w:val="2"/>
        <w:spacing w:before="68" w:line="216" w:lineRule="auto"/>
        <w:ind w:left="4591"/>
        <w:outlineLvl w:val="1"/>
        <w:rPr>
          <w:sz w:val="30"/>
          <w:szCs w:val="30"/>
        </w:rPr>
      </w:pPr>
      <w:bookmarkStart w:id="291" w:name="bookmark277"/>
      <w:bookmarkEnd w:id="291"/>
      <w:r>
        <w:rPr>
          <w:b/>
          <w:bCs/>
          <w:color w:val="0070C0"/>
          <w:spacing w:val="-24"/>
          <w:sz w:val="30"/>
          <w:szCs w:val="30"/>
        </w:rPr>
        <w:t>第二节、施工场地布置</w:t>
      </w:r>
    </w:p>
    <w:p w14:paraId="2F1581C7">
      <w:pPr>
        <w:pStyle w:val="2"/>
        <w:spacing w:before="64" w:line="216" w:lineRule="auto"/>
        <w:ind w:left="1981"/>
        <w:outlineLvl w:val="2"/>
        <w:rPr>
          <w:sz w:val="28"/>
          <w:szCs w:val="28"/>
        </w:rPr>
      </w:pPr>
      <w:bookmarkStart w:id="292" w:name="bookmark278"/>
      <w:bookmarkEnd w:id="292"/>
      <w:r>
        <w:rPr>
          <w:b/>
          <w:bCs/>
          <w:spacing w:val="-22"/>
          <w:sz w:val="28"/>
          <w:szCs w:val="28"/>
        </w:rPr>
        <w:t>一、施工场地布置设计</w:t>
      </w:r>
    </w:p>
    <w:p w14:paraId="0EA83E27">
      <w:pPr>
        <w:pStyle w:val="2"/>
        <w:spacing w:before="108" w:line="216" w:lineRule="auto"/>
        <w:ind w:left="1903"/>
        <w:rPr>
          <w:sz w:val="24"/>
          <w:szCs w:val="24"/>
        </w:rPr>
      </w:pPr>
      <w:r>
        <w:rPr>
          <w:spacing w:val="-20"/>
          <w:sz w:val="24"/>
          <w:szCs w:val="24"/>
        </w:rPr>
        <w:t>1、施工平面布置的原则</w:t>
      </w:r>
    </w:p>
    <w:p w14:paraId="6CAB4BF1">
      <w:pPr>
        <w:pStyle w:val="2"/>
        <w:spacing w:before="120" w:line="219" w:lineRule="auto"/>
        <w:ind w:left="1903"/>
        <w:rPr>
          <w:sz w:val="24"/>
          <w:szCs w:val="24"/>
        </w:rPr>
      </w:pPr>
      <w:r>
        <w:rPr>
          <w:spacing w:val="-19"/>
          <w:sz w:val="24"/>
          <w:szCs w:val="24"/>
        </w:rPr>
        <w:t>1、依据</w:t>
      </w:r>
    </w:p>
    <w:p w14:paraId="4158E050">
      <w:pPr>
        <w:pStyle w:val="2"/>
        <w:spacing w:before="114" w:line="216" w:lineRule="auto"/>
        <w:ind w:left="1892"/>
        <w:rPr>
          <w:sz w:val="24"/>
          <w:szCs w:val="24"/>
        </w:rPr>
      </w:pPr>
      <w:r>
        <w:rPr>
          <w:spacing w:val="-19"/>
          <w:sz w:val="24"/>
          <w:szCs w:val="24"/>
        </w:rPr>
        <w:t>施工总平面布置图</w:t>
      </w:r>
    </w:p>
    <w:p w14:paraId="17FFF957">
      <w:pPr>
        <w:pStyle w:val="2"/>
        <w:spacing w:before="120" w:line="218" w:lineRule="auto"/>
        <w:ind w:left="1892"/>
        <w:rPr>
          <w:sz w:val="24"/>
          <w:szCs w:val="24"/>
        </w:rPr>
      </w:pPr>
      <w:r>
        <w:rPr>
          <w:spacing w:val="-18"/>
          <w:sz w:val="24"/>
          <w:szCs w:val="24"/>
        </w:rPr>
        <w:t>现场踏勘情况</w:t>
      </w:r>
    </w:p>
    <w:p w14:paraId="56A820D8">
      <w:pPr>
        <w:pStyle w:val="2"/>
        <w:spacing w:before="118" w:line="217" w:lineRule="auto"/>
        <w:ind w:left="1893"/>
        <w:rPr>
          <w:sz w:val="24"/>
          <w:szCs w:val="24"/>
        </w:rPr>
      </w:pPr>
      <w:r>
        <w:rPr>
          <w:spacing w:val="-21"/>
          <w:sz w:val="24"/>
          <w:szCs w:val="24"/>
        </w:rPr>
        <w:t>业主提供的用地范围、水电接驳头位置及招标文件</w:t>
      </w:r>
    </w:p>
    <w:p w14:paraId="21AFD72D">
      <w:pPr>
        <w:pStyle w:val="2"/>
        <w:spacing w:before="116" w:line="218" w:lineRule="auto"/>
        <w:ind w:left="1920"/>
        <w:rPr>
          <w:sz w:val="24"/>
          <w:szCs w:val="24"/>
        </w:rPr>
      </w:pPr>
      <w:r>
        <w:rPr>
          <w:spacing w:val="-22"/>
          <w:sz w:val="24"/>
          <w:szCs w:val="24"/>
        </w:rPr>
        <w:t>国家、安徽省、市有关施工规定、规程及安全文明施工标准和规定。</w:t>
      </w:r>
    </w:p>
    <w:p w14:paraId="182232DD">
      <w:pPr>
        <w:pStyle w:val="2"/>
        <w:spacing w:before="117" w:line="219" w:lineRule="auto"/>
        <w:ind w:left="1888"/>
        <w:rPr>
          <w:sz w:val="24"/>
          <w:szCs w:val="24"/>
        </w:rPr>
      </w:pPr>
      <w:r>
        <w:rPr>
          <w:spacing w:val="-18"/>
          <w:sz w:val="24"/>
          <w:szCs w:val="24"/>
        </w:rPr>
        <w:t>2、原则</w:t>
      </w:r>
    </w:p>
    <w:p w14:paraId="093AD869">
      <w:pPr>
        <w:pStyle w:val="2"/>
        <w:spacing w:before="116" w:line="307" w:lineRule="auto"/>
        <w:ind w:left="1461" w:right="1413" w:firstLine="442"/>
        <w:rPr>
          <w:sz w:val="24"/>
          <w:szCs w:val="24"/>
        </w:rPr>
      </w:pPr>
      <w:r>
        <w:rPr>
          <w:spacing w:val="-22"/>
          <w:sz w:val="24"/>
          <w:szCs w:val="24"/>
        </w:rPr>
        <w:t>1）根据工程特点和现场周边环境的特征，充分利用现</w:t>
      </w:r>
      <w:r>
        <w:rPr>
          <w:spacing w:val="-23"/>
          <w:sz w:val="24"/>
          <w:szCs w:val="24"/>
        </w:rPr>
        <w:t>有施工现场的场地和布置，做好总平</w:t>
      </w:r>
      <w:r>
        <w:rPr>
          <w:spacing w:val="-21"/>
          <w:sz w:val="24"/>
          <w:szCs w:val="24"/>
        </w:rPr>
        <w:t>面布置规划，满足生产、文明施工要求。</w:t>
      </w:r>
    </w:p>
    <w:p w14:paraId="7B6A9B8A">
      <w:pPr>
        <w:spacing w:line="307" w:lineRule="auto"/>
        <w:rPr>
          <w:sz w:val="24"/>
          <w:szCs w:val="24"/>
        </w:rPr>
        <w:sectPr>
          <w:footerReference r:id="rId408" w:type="default"/>
          <w:pgSz w:w="11907" w:h="16839"/>
          <w:pgMar w:top="933" w:right="4" w:bottom="1038" w:left="0" w:header="478" w:footer="357" w:gutter="0"/>
          <w:pgBorders>
            <w:top w:val="none" w:sz="0" w:space="0"/>
            <w:left w:val="none" w:sz="0" w:space="0"/>
            <w:bottom w:val="none" w:sz="0" w:space="0"/>
            <w:right w:val="none" w:sz="0" w:space="0"/>
          </w:pgBorders>
          <w:cols w:space="720" w:num="1"/>
        </w:sectPr>
      </w:pPr>
    </w:p>
    <w:p w14:paraId="244875C4">
      <w:pPr>
        <w:spacing w:line="271" w:lineRule="auto"/>
        <w:rPr>
          <w:rFonts w:ascii="Arial"/>
          <w:sz w:val="21"/>
        </w:rPr>
      </w:pPr>
    </w:p>
    <w:p w14:paraId="4EA709AF">
      <w:pPr>
        <w:pStyle w:val="2"/>
        <w:spacing w:before="78" w:line="217" w:lineRule="auto"/>
        <w:ind w:left="1888"/>
        <w:rPr>
          <w:sz w:val="24"/>
          <w:szCs w:val="24"/>
        </w:rPr>
      </w:pPr>
      <w:r>
        <w:rPr>
          <w:spacing w:val="-21"/>
          <w:sz w:val="24"/>
          <w:szCs w:val="24"/>
        </w:rPr>
        <w:t>2）做好现场平面和功能分区，对现有临建及管理进行调整。</w:t>
      </w:r>
    </w:p>
    <w:p w14:paraId="30438E71">
      <w:pPr>
        <w:pStyle w:val="2"/>
        <w:spacing w:before="120" w:line="261" w:lineRule="auto"/>
        <w:ind w:left="1458" w:right="1412" w:firstLine="432"/>
        <w:rPr>
          <w:sz w:val="24"/>
          <w:szCs w:val="24"/>
        </w:rPr>
      </w:pPr>
      <w:r>
        <w:rPr>
          <w:spacing w:val="-22"/>
          <w:sz w:val="24"/>
          <w:szCs w:val="24"/>
        </w:rPr>
        <w:t>3）加强现场平面布置的分阶段调整，科学确定施工区域和场地平面布置，尽量减少</w:t>
      </w:r>
      <w:r>
        <w:rPr>
          <w:spacing w:val="-23"/>
          <w:sz w:val="24"/>
          <w:szCs w:val="24"/>
        </w:rPr>
        <w:t>专业工</w:t>
      </w:r>
      <w:r>
        <w:rPr>
          <w:spacing w:val="-21"/>
          <w:sz w:val="24"/>
          <w:szCs w:val="24"/>
        </w:rPr>
        <w:t>种之间交叉作业提高劳动效率。</w:t>
      </w:r>
    </w:p>
    <w:p w14:paraId="16184186">
      <w:pPr>
        <w:pStyle w:val="2"/>
        <w:spacing w:before="120" w:line="216" w:lineRule="auto"/>
        <w:ind w:left="1884"/>
        <w:rPr>
          <w:sz w:val="24"/>
          <w:szCs w:val="24"/>
        </w:rPr>
      </w:pPr>
      <w:r>
        <w:rPr>
          <w:spacing w:val="-21"/>
          <w:sz w:val="24"/>
          <w:szCs w:val="24"/>
        </w:rPr>
        <w:t>4）加强平面施工的检查及监督整改，保证场内施工道路通畅。</w:t>
      </w:r>
    </w:p>
    <w:p w14:paraId="5324ED2D">
      <w:pPr>
        <w:pStyle w:val="2"/>
        <w:spacing w:before="120" w:line="216" w:lineRule="auto"/>
        <w:ind w:left="1890"/>
        <w:rPr>
          <w:sz w:val="24"/>
          <w:szCs w:val="24"/>
        </w:rPr>
      </w:pPr>
      <w:r>
        <w:rPr>
          <w:spacing w:val="-21"/>
          <w:sz w:val="24"/>
          <w:szCs w:val="24"/>
        </w:rPr>
        <w:t>5）各项施工设施布置要满足方便生产，有利生活，安全防火，环境保护和劳动保护要求。</w:t>
      </w:r>
    </w:p>
    <w:p w14:paraId="2947ED20">
      <w:pPr>
        <w:pStyle w:val="2"/>
        <w:spacing w:before="117" w:line="216" w:lineRule="auto"/>
        <w:ind w:left="1895"/>
        <w:rPr>
          <w:sz w:val="24"/>
          <w:szCs w:val="24"/>
        </w:rPr>
      </w:pPr>
      <w:r>
        <w:rPr>
          <w:spacing w:val="-20"/>
          <w:sz w:val="24"/>
          <w:szCs w:val="24"/>
        </w:rPr>
        <w:t>具体的布置原则如下表：</w:t>
      </w:r>
    </w:p>
    <w:p w14:paraId="0E48FEDB">
      <w:pPr>
        <w:spacing w:line="48" w:lineRule="auto"/>
        <w:rPr>
          <w:rFonts w:ascii="Arial"/>
          <w:sz w:val="2"/>
        </w:rPr>
      </w:pPr>
    </w:p>
    <w:tbl>
      <w:tblPr>
        <w:tblStyle w:val="6"/>
        <w:tblW w:w="9867" w:type="dxa"/>
        <w:tblInd w:w="102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30"/>
        <w:gridCol w:w="668"/>
        <w:gridCol w:w="2081"/>
        <w:gridCol w:w="6888"/>
      </w:tblGrid>
      <w:tr w14:paraId="7E82FE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7" w:hRule="atLeast"/>
        </w:trPr>
        <w:tc>
          <w:tcPr>
            <w:tcW w:w="898" w:type="dxa"/>
            <w:gridSpan w:val="2"/>
            <w:tcBorders>
              <w:top w:val="single" w:color="000000" w:sz="4" w:space="0"/>
              <w:left w:val="single" w:color="000000" w:sz="4" w:space="0"/>
            </w:tcBorders>
            <w:shd w:val="clear" w:color="auto" w:fill="DEEAF6"/>
            <w:vAlign w:val="top"/>
          </w:tcPr>
          <w:p w14:paraId="7590A4C5">
            <w:pPr>
              <w:pStyle w:val="7"/>
              <w:spacing w:before="129" w:line="218" w:lineRule="auto"/>
              <w:ind w:left="243"/>
            </w:pPr>
            <w:r>
              <w:rPr>
                <w:b/>
                <w:bCs/>
                <w:spacing w:val="-12"/>
              </w:rPr>
              <w:t>序号</w:t>
            </w:r>
          </w:p>
        </w:tc>
        <w:tc>
          <w:tcPr>
            <w:tcW w:w="2081" w:type="dxa"/>
            <w:tcBorders>
              <w:top w:val="single" w:color="000000" w:sz="4" w:space="0"/>
            </w:tcBorders>
            <w:shd w:val="clear" w:color="auto" w:fill="DEEAF6"/>
            <w:vAlign w:val="top"/>
          </w:tcPr>
          <w:p w14:paraId="53CB31E2">
            <w:pPr>
              <w:pStyle w:val="7"/>
              <w:spacing w:before="129" w:line="216" w:lineRule="auto"/>
              <w:ind w:left="612"/>
            </w:pPr>
            <w:r>
              <w:rPr>
                <w:b/>
                <w:bCs/>
                <w:spacing w:val="-18"/>
              </w:rPr>
              <w:t>布置内容</w:t>
            </w:r>
          </w:p>
        </w:tc>
        <w:tc>
          <w:tcPr>
            <w:tcW w:w="6888" w:type="dxa"/>
            <w:tcBorders>
              <w:top w:val="single" w:color="5B9BD5" w:sz="4" w:space="0"/>
              <w:right w:val="single" w:color="5B9BD5" w:sz="4" w:space="0"/>
            </w:tcBorders>
            <w:shd w:val="clear" w:color="auto" w:fill="DEEAF6"/>
            <w:vAlign w:val="top"/>
          </w:tcPr>
          <w:p w14:paraId="08BA8D6F">
            <w:pPr>
              <w:pStyle w:val="7"/>
              <w:spacing w:before="129" w:line="219" w:lineRule="auto"/>
              <w:ind w:left="3015"/>
            </w:pPr>
            <w:r>
              <w:rPr>
                <w:b/>
                <w:bCs/>
                <w:spacing w:val="-19"/>
              </w:rPr>
              <w:t>主要原则</w:t>
            </w:r>
          </w:p>
        </w:tc>
      </w:tr>
      <w:tr w14:paraId="531603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69" w:hRule="atLeast"/>
        </w:trPr>
        <w:tc>
          <w:tcPr>
            <w:tcW w:w="898" w:type="dxa"/>
            <w:gridSpan w:val="2"/>
            <w:tcBorders>
              <w:top w:val="single" w:color="DEEAF6" w:sz="22" w:space="0"/>
              <w:left w:val="single" w:color="000000" w:sz="4" w:space="0"/>
            </w:tcBorders>
            <w:vAlign w:val="top"/>
          </w:tcPr>
          <w:p w14:paraId="2C5E6340">
            <w:pPr>
              <w:spacing w:line="348" w:lineRule="auto"/>
              <w:rPr>
                <w:rFonts w:ascii="Arial"/>
                <w:sz w:val="21"/>
              </w:rPr>
            </w:pPr>
          </w:p>
          <w:p w14:paraId="2D5332C9">
            <w:pPr>
              <w:spacing w:line="348" w:lineRule="auto"/>
              <w:rPr>
                <w:rFonts w:ascii="Arial"/>
                <w:sz w:val="21"/>
              </w:rPr>
            </w:pPr>
          </w:p>
          <w:p w14:paraId="69912649">
            <w:pPr>
              <w:pStyle w:val="7"/>
              <w:spacing w:before="78" w:line="238" w:lineRule="auto"/>
              <w:ind w:left="419"/>
            </w:pPr>
            <w:r>
              <w:t>1</w:t>
            </w:r>
          </w:p>
        </w:tc>
        <w:tc>
          <w:tcPr>
            <w:tcW w:w="2081" w:type="dxa"/>
            <w:tcBorders>
              <w:top w:val="single" w:color="DEEAF6" w:sz="22" w:space="0"/>
            </w:tcBorders>
            <w:vAlign w:val="top"/>
          </w:tcPr>
          <w:p w14:paraId="7D5EF318">
            <w:pPr>
              <w:spacing w:line="348" w:lineRule="auto"/>
              <w:rPr>
                <w:rFonts w:ascii="Arial"/>
                <w:sz w:val="21"/>
              </w:rPr>
            </w:pPr>
          </w:p>
          <w:p w14:paraId="514A62A2">
            <w:pPr>
              <w:spacing w:line="348" w:lineRule="auto"/>
              <w:rPr>
                <w:rFonts w:ascii="Arial"/>
                <w:sz w:val="21"/>
              </w:rPr>
            </w:pPr>
          </w:p>
          <w:p w14:paraId="7CDE0E7C">
            <w:pPr>
              <w:pStyle w:val="7"/>
              <w:spacing w:before="78" w:line="219" w:lineRule="auto"/>
              <w:ind w:left="612"/>
            </w:pPr>
            <w:r>
              <w:rPr>
                <w:spacing w:val="-15"/>
              </w:rPr>
              <w:t>现场道路</w:t>
            </w:r>
          </w:p>
        </w:tc>
        <w:tc>
          <w:tcPr>
            <w:tcW w:w="6888" w:type="dxa"/>
            <w:tcBorders>
              <w:top w:val="single" w:color="DEEAF6" w:sz="22" w:space="0"/>
              <w:right w:val="single" w:color="000000" w:sz="4" w:space="0"/>
            </w:tcBorders>
            <w:vAlign w:val="top"/>
          </w:tcPr>
          <w:p w14:paraId="6EEA804E">
            <w:pPr>
              <w:pStyle w:val="7"/>
              <w:spacing w:before="77" w:line="216" w:lineRule="auto"/>
              <w:ind w:left="2313"/>
            </w:pPr>
            <w:r>
              <w:rPr>
                <w:spacing w:val="-20"/>
              </w:rPr>
              <w:t>1、满足现场材料的运输</w:t>
            </w:r>
          </w:p>
          <w:p w14:paraId="4DD00DED">
            <w:pPr>
              <w:pStyle w:val="7"/>
              <w:spacing w:before="185" w:line="215" w:lineRule="auto"/>
              <w:ind w:left="1316"/>
            </w:pPr>
            <w:r>
              <w:rPr>
                <w:spacing w:val="-20"/>
              </w:rPr>
              <w:t>2、满足人员的通行要求，尽量做到人车分流</w:t>
            </w:r>
          </w:p>
          <w:p w14:paraId="1508990D">
            <w:pPr>
              <w:pStyle w:val="7"/>
              <w:spacing w:before="189" w:line="215" w:lineRule="auto"/>
              <w:ind w:left="1210"/>
            </w:pPr>
            <w:r>
              <w:rPr>
                <w:spacing w:val="-20"/>
              </w:rPr>
              <w:t>3、满足现场的消防要求，设置车辆调头加宽带</w:t>
            </w:r>
          </w:p>
          <w:p w14:paraId="0A2820FC">
            <w:pPr>
              <w:pStyle w:val="7"/>
              <w:spacing w:before="188" w:line="215" w:lineRule="auto"/>
              <w:ind w:left="1313"/>
            </w:pPr>
            <w:r>
              <w:rPr>
                <w:spacing w:val="-20"/>
              </w:rPr>
              <w:t>4、道路的设计满足临建大型车辆的运输要求</w:t>
            </w:r>
          </w:p>
        </w:tc>
      </w:tr>
      <w:tr w14:paraId="0D9714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85" w:hRule="atLeast"/>
        </w:trPr>
        <w:tc>
          <w:tcPr>
            <w:tcW w:w="898" w:type="dxa"/>
            <w:gridSpan w:val="2"/>
            <w:tcBorders>
              <w:left w:val="single" w:color="000000" w:sz="4" w:space="0"/>
            </w:tcBorders>
            <w:vAlign w:val="top"/>
          </w:tcPr>
          <w:p w14:paraId="3577EBB1">
            <w:pPr>
              <w:spacing w:line="357" w:lineRule="auto"/>
              <w:rPr>
                <w:rFonts w:ascii="Arial"/>
                <w:sz w:val="21"/>
              </w:rPr>
            </w:pPr>
          </w:p>
          <w:p w14:paraId="78511F96">
            <w:pPr>
              <w:spacing w:line="358" w:lineRule="auto"/>
              <w:rPr>
                <w:rFonts w:ascii="Arial"/>
                <w:sz w:val="21"/>
              </w:rPr>
            </w:pPr>
          </w:p>
          <w:p w14:paraId="1B915A83">
            <w:pPr>
              <w:pStyle w:val="7"/>
              <w:spacing w:before="78" w:line="238" w:lineRule="auto"/>
              <w:ind w:left="404"/>
            </w:pPr>
            <w:r>
              <w:t>2</w:t>
            </w:r>
          </w:p>
        </w:tc>
        <w:tc>
          <w:tcPr>
            <w:tcW w:w="2081" w:type="dxa"/>
            <w:vAlign w:val="top"/>
          </w:tcPr>
          <w:p w14:paraId="1FC674F3">
            <w:pPr>
              <w:spacing w:line="357" w:lineRule="auto"/>
              <w:rPr>
                <w:rFonts w:ascii="Arial"/>
                <w:sz w:val="21"/>
              </w:rPr>
            </w:pPr>
          </w:p>
          <w:p w14:paraId="6653E103">
            <w:pPr>
              <w:spacing w:line="357" w:lineRule="auto"/>
              <w:rPr>
                <w:rFonts w:ascii="Arial"/>
                <w:sz w:val="21"/>
              </w:rPr>
            </w:pPr>
          </w:p>
          <w:p w14:paraId="31353CF6">
            <w:pPr>
              <w:pStyle w:val="7"/>
              <w:spacing w:before="78" w:line="219" w:lineRule="auto"/>
              <w:ind w:left="298"/>
            </w:pPr>
            <w:r>
              <w:rPr>
                <w:spacing w:val="-21"/>
              </w:rPr>
              <w:t>临时用水、用电</w:t>
            </w:r>
          </w:p>
        </w:tc>
        <w:tc>
          <w:tcPr>
            <w:tcW w:w="6888" w:type="dxa"/>
            <w:tcBorders>
              <w:right w:val="single" w:color="000000" w:sz="4" w:space="0"/>
            </w:tcBorders>
            <w:vAlign w:val="top"/>
          </w:tcPr>
          <w:p w14:paraId="2E97F87E">
            <w:pPr>
              <w:pStyle w:val="7"/>
              <w:spacing w:before="96" w:line="216" w:lineRule="auto"/>
              <w:ind w:left="242"/>
            </w:pPr>
            <w:r>
              <w:rPr>
                <w:spacing w:val="-21"/>
              </w:rPr>
              <w:t>1、考虑现场的临时用水、用电布置可以满足现场的用水、用电</w:t>
            </w:r>
            <w:r>
              <w:rPr>
                <w:spacing w:val="-22"/>
              </w:rPr>
              <w:t>要求</w:t>
            </w:r>
          </w:p>
          <w:p w14:paraId="78FEFF01">
            <w:pPr>
              <w:pStyle w:val="7"/>
              <w:spacing w:before="185" w:line="218" w:lineRule="auto"/>
              <w:ind w:left="2298"/>
            </w:pPr>
            <w:r>
              <w:rPr>
                <w:spacing w:val="-19"/>
              </w:rPr>
              <w:t>2、用电、用水线路最短</w:t>
            </w:r>
          </w:p>
          <w:p w14:paraId="16030225">
            <w:pPr>
              <w:pStyle w:val="7"/>
              <w:spacing w:before="184" w:line="219" w:lineRule="auto"/>
              <w:ind w:left="2190"/>
            </w:pPr>
            <w:r>
              <w:rPr>
                <w:spacing w:val="-19"/>
              </w:rPr>
              <w:t>3、用电、用水的线路安全</w:t>
            </w:r>
          </w:p>
          <w:p w14:paraId="4CAA7456">
            <w:pPr>
              <w:pStyle w:val="7"/>
              <w:spacing w:before="181" w:line="217" w:lineRule="auto"/>
              <w:ind w:left="1749"/>
            </w:pPr>
            <w:r>
              <w:rPr>
                <w:spacing w:val="-20"/>
              </w:rPr>
              <w:t>4、用电房、临时用水的接驳口位置</w:t>
            </w:r>
          </w:p>
        </w:tc>
      </w:tr>
      <w:tr w14:paraId="4C3DE7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83" w:hRule="atLeast"/>
        </w:trPr>
        <w:tc>
          <w:tcPr>
            <w:tcW w:w="898" w:type="dxa"/>
            <w:gridSpan w:val="2"/>
            <w:tcBorders>
              <w:left w:val="single" w:color="000000" w:sz="4" w:space="0"/>
            </w:tcBorders>
            <w:vAlign w:val="top"/>
          </w:tcPr>
          <w:p w14:paraId="052F8F83">
            <w:pPr>
              <w:spacing w:line="357" w:lineRule="auto"/>
              <w:rPr>
                <w:rFonts w:ascii="Arial"/>
                <w:sz w:val="21"/>
              </w:rPr>
            </w:pPr>
          </w:p>
          <w:p w14:paraId="65BB3FD2">
            <w:pPr>
              <w:spacing w:line="357" w:lineRule="auto"/>
              <w:rPr>
                <w:rFonts w:ascii="Arial"/>
                <w:sz w:val="21"/>
              </w:rPr>
            </w:pPr>
          </w:p>
          <w:p w14:paraId="7E1D4E7A">
            <w:pPr>
              <w:pStyle w:val="7"/>
              <w:spacing w:before="78" w:line="237" w:lineRule="auto"/>
              <w:ind w:left="406"/>
            </w:pPr>
            <w:r>
              <w:t>3</w:t>
            </w:r>
          </w:p>
        </w:tc>
        <w:tc>
          <w:tcPr>
            <w:tcW w:w="2081" w:type="dxa"/>
            <w:vAlign w:val="top"/>
          </w:tcPr>
          <w:p w14:paraId="45E08821">
            <w:pPr>
              <w:spacing w:line="357" w:lineRule="auto"/>
              <w:rPr>
                <w:rFonts w:ascii="Arial"/>
                <w:sz w:val="21"/>
              </w:rPr>
            </w:pPr>
          </w:p>
          <w:p w14:paraId="768F7811">
            <w:pPr>
              <w:spacing w:line="357" w:lineRule="auto"/>
              <w:rPr>
                <w:rFonts w:ascii="Arial"/>
                <w:sz w:val="21"/>
              </w:rPr>
            </w:pPr>
          </w:p>
          <w:p w14:paraId="0CCF166B">
            <w:pPr>
              <w:pStyle w:val="7"/>
              <w:spacing w:before="78" w:line="220" w:lineRule="auto"/>
              <w:ind w:left="735"/>
            </w:pPr>
            <w:r>
              <w:rPr>
                <w:spacing w:val="-17"/>
              </w:rPr>
              <w:t>生活区</w:t>
            </w:r>
          </w:p>
        </w:tc>
        <w:tc>
          <w:tcPr>
            <w:tcW w:w="6888" w:type="dxa"/>
            <w:tcBorders>
              <w:right w:val="single" w:color="000000" w:sz="4" w:space="0"/>
            </w:tcBorders>
            <w:vAlign w:val="top"/>
          </w:tcPr>
          <w:p w14:paraId="6FC8C5AE">
            <w:pPr>
              <w:pStyle w:val="7"/>
              <w:spacing w:before="98" w:line="218" w:lineRule="auto"/>
              <w:ind w:left="2532"/>
            </w:pPr>
            <w:r>
              <w:rPr>
                <w:spacing w:val="-19"/>
              </w:rPr>
              <w:t>1、现场有临时用地</w:t>
            </w:r>
          </w:p>
          <w:p w14:paraId="5C8377F2">
            <w:pPr>
              <w:pStyle w:val="7"/>
              <w:spacing w:before="182" w:line="218" w:lineRule="auto"/>
              <w:ind w:left="1753"/>
            </w:pPr>
            <w:r>
              <w:rPr>
                <w:spacing w:val="-20"/>
              </w:rPr>
              <w:t>2、生活区与办公区及施工现场分开</w:t>
            </w:r>
          </w:p>
          <w:p w14:paraId="2326D6C7">
            <w:pPr>
              <w:pStyle w:val="7"/>
              <w:spacing w:before="184" w:line="217" w:lineRule="auto"/>
              <w:ind w:left="2300"/>
            </w:pPr>
            <w:r>
              <w:rPr>
                <w:spacing w:val="-19"/>
              </w:rPr>
              <w:t>3、满足人员的居住要求</w:t>
            </w:r>
          </w:p>
          <w:p w14:paraId="5802FC0D">
            <w:pPr>
              <w:pStyle w:val="7"/>
              <w:spacing w:before="183" w:line="217" w:lineRule="auto"/>
              <w:ind w:left="2294"/>
            </w:pPr>
            <w:r>
              <w:rPr>
                <w:spacing w:val="-18"/>
              </w:rPr>
              <w:t>4、生活区满足消防要求</w:t>
            </w:r>
          </w:p>
        </w:tc>
      </w:tr>
      <w:tr w14:paraId="157334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52" w:hRule="atLeast"/>
        </w:trPr>
        <w:tc>
          <w:tcPr>
            <w:tcW w:w="898" w:type="dxa"/>
            <w:gridSpan w:val="2"/>
            <w:tcBorders>
              <w:left w:val="single" w:color="000000" w:sz="4" w:space="0"/>
            </w:tcBorders>
            <w:vAlign w:val="top"/>
          </w:tcPr>
          <w:p w14:paraId="226FDA6C">
            <w:pPr>
              <w:spacing w:line="256" w:lineRule="auto"/>
              <w:rPr>
                <w:rFonts w:ascii="Arial"/>
                <w:sz w:val="21"/>
              </w:rPr>
            </w:pPr>
          </w:p>
          <w:p w14:paraId="0E94157F">
            <w:pPr>
              <w:pStyle w:val="7"/>
              <w:spacing w:before="78" w:line="238" w:lineRule="auto"/>
              <w:ind w:left="401"/>
            </w:pPr>
            <w:r>
              <w:t>4</w:t>
            </w:r>
          </w:p>
        </w:tc>
        <w:tc>
          <w:tcPr>
            <w:tcW w:w="2081" w:type="dxa"/>
            <w:vAlign w:val="top"/>
          </w:tcPr>
          <w:p w14:paraId="6111020A">
            <w:pPr>
              <w:spacing w:line="256" w:lineRule="auto"/>
              <w:rPr>
                <w:rFonts w:ascii="Arial"/>
                <w:sz w:val="21"/>
              </w:rPr>
            </w:pPr>
          </w:p>
          <w:p w14:paraId="1D543591">
            <w:pPr>
              <w:pStyle w:val="7"/>
              <w:spacing w:before="78" w:line="220" w:lineRule="auto"/>
              <w:ind w:left="728"/>
            </w:pPr>
            <w:r>
              <w:rPr>
                <w:spacing w:val="-15"/>
              </w:rPr>
              <w:t>办公区</w:t>
            </w:r>
          </w:p>
        </w:tc>
        <w:tc>
          <w:tcPr>
            <w:tcW w:w="6888" w:type="dxa"/>
            <w:tcBorders>
              <w:right w:val="single" w:color="000000" w:sz="4" w:space="0"/>
            </w:tcBorders>
            <w:vAlign w:val="top"/>
          </w:tcPr>
          <w:p w14:paraId="4935F2F2">
            <w:pPr>
              <w:pStyle w:val="7"/>
              <w:spacing w:before="100" w:line="218" w:lineRule="auto"/>
              <w:ind w:left="2203"/>
            </w:pPr>
            <w:r>
              <w:rPr>
                <w:spacing w:val="-20"/>
              </w:rPr>
              <w:t>1、考虑办公区的场地要求</w:t>
            </w:r>
          </w:p>
          <w:p w14:paraId="0165F076">
            <w:pPr>
              <w:pStyle w:val="7"/>
              <w:spacing w:before="184" w:line="218" w:lineRule="auto"/>
              <w:ind w:left="1535"/>
            </w:pPr>
            <w:r>
              <w:rPr>
                <w:spacing w:val="-20"/>
              </w:rPr>
              <w:t>2、现场管理人员及分包人员的办公要求</w:t>
            </w:r>
          </w:p>
        </w:tc>
      </w:tr>
      <w:tr w14:paraId="4FE385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26" w:hRule="atLeast"/>
        </w:trPr>
        <w:tc>
          <w:tcPr>
            <w:tcW w:w="230" w:type="dxa"/>
            <w:tcBorders>
              <w:left w:val="single" w:color="1C456A" w:sz="4" w:space="0"/>
              <w:bottom w:val="single" w:color="1C456A" w:sz="4" w:space="0"/>
              <w:right w:val="nil"/>
            </w:tcBorders>
            <w:vAlign w:val="top"/>
          </w:tcPr>
          <w:p w14:paraId="3F98B87B">
            <w:pPr>
              <w:rPr>
                <w:rFonts w:ascii="Arial"/>
                <w:sz w:val="21"/>
              </w:rPr>
            </w:pPr>
            <w:r>
              <w:pict>
                <v:shape id="_x0000_s4508" o:spid="_x0000_s4508" style="position:absolute;left:0pt;margin-left:-0.25pt;margin-top:101.35pt;height:0.75pt;width:2.2pt;mso-position-horizontal-relative:page;mso-position-vertical-relative:page;z-index:252393472;mso-width-relative:page;mso-height-relative:page;" fillcolor="#5B9BD5" filled="t" stroked="f" coordsize="44,15" path="m0,14l43,14,43,0,0,0,0,14xe">
                  <v:path/>
                  <v:fill on="t" focussize="0,0"/>
                  <v:stroke on="f"/>
                  <v:imagedata o:title=""/>
                  <o:lock v:ext="edit"/>
                </v:shape>
              </w:pict>
            </w:r>
          </w:p>
        </w:tc>
        <w:tc>
          <w:tcPr>
            <w:tcW w:w="668" w:type="dxa"/>
            <w:tcBorders>
              <w:left w:val="nil"/>
              <w:bottom w:val="single" w:color="1C456A" w:sz="4" w:space="0"/>
            </w:tcBorders>
            <w:vAlign w:val="top"/>
          </w:tcPr>
          <w:p w14:paraId="13233D15">
            <w:pPr>
              <w:spacing w:line="359" w:lineRule="auto"/>
              <w:rPr>
                <w:rFonts w:ascii="Arial"/>
                <w:sz w:val="21"/>
              </w:rPr>
            </w:pPr>
          </w:p>
          <w:p w14:paraId="430AC39D">
            <w:pPr>
              <w:spacing w:line="360" w:lineRule="auto"/>
              <w:rPr>
                <w:rFonts w:ascii="Arial"/>
                <w:sz w:val="21"/>
              </w:rPr>
            </w:pPr>
          </w:p>
          <w:p w14:paraId="3C1F1501">
            <w:pPr>
              <w:pStyle w:val="7"/>
              <w:spacing w:before="78" w:line="237" w:lineRule="auto"/>
              <w:ind w:left="181"/>
            </w:pPr>
            <w:r>
              <w:t>5</w:t>
            </w:r>
          </w:p>
        </w:tc>
        <w:tc>
          <w:tcPr>
            <w:tcW w:w="2081" w:type="dxa"/>
            <w:tcBorders>
              <w:bottom w:val="single" w:color="000000" w:sz="4" w:space="0"/>
            </w:tcBorders>
            <w:vAlign w:val="top"/>
          </w:tcPr>
          <w:p w14:paraId="057C66E6">
            <w:pPr>
              <w:rPr>
                <w:rFonts w:ascii="Arial"/>
                <w:sz w:val="21"/>
              </w:rPr>
            </w:pPr>
          </w:p>
          <w:p w14:paraId="29F12245">
            <w:pPr>
              <w:rPr>
                <w:rFonts w:ascii="Arial"/>
                <w:sz w:val="21"/>
              </w:rPr>
            </w:pPr>
          </w:p>
          <w:p w14:paraId="07E56DE6">
            <w:pPr>
              <w:rPr>
                <w:rFonts w:ascii="Arial"/>
                <w:sz w:val="21"/>
              </w:rPr>
            </w:pPr>
          </w:p>
          <w:p w14:paraId="1881DE3B">
            <w:pPr>
              <w:pStyle w:val="7"/>
              <w:spacing w:before="78" w:line="216" w:lineRule="auto"/>
              <w:ind w:left="612"/>
            </w:pPr>
            <w:r>
              <w:rPr>
                <w:spacing w:val="-15"/>
              </w:rPr>
              <w:t>材料堆场</w:t>
            </w:r>
          </w:p>
        </w:tc>
        <w:tc>
          <w:tcPr>
            <w:tcW w:w="6888" w:type="dxa"/>
            <w:tcBorders>
              <w:bottom w:val="single" w:color="5B9BD5" w:sz="4" w:space="0"/>
              <w:right w:val="single" w:color="5B9BD5" w:sz="4" w:space="0"/>
            </w:tcBorders>
            <w:vAlign w:val="top"/>
          </w:tcPr>
          <w:p w14:paraId="21253828">
            <w:pPr>
              <w:pStyle w:val="7"/>
              <w:spacing w:before="101" w:line="216" w:lineRule="auto"/>
              <w:ind w:left="2313"/>
            </w:pPr>
            <w:r>
              <w:rPr>
                <w:spacing w:val="-20"/>
              </w:rPr>
              <w:t>1、考虑现场地材料运输</w:t>
            </w:r>
          </w:p>
          <w:p w14:paraId="2BC6BC58">
            <w:pPr>
              <w:pStyle w:val="7"/>
              <w:spacing w:before="187" w:line="216" w:lineRule="auto"/>
              <w:ind w:left="2517"/>
            </w:pPr>
            <w:r>
              <w:rPr>
                <w:spacing w:val="-18"/>
              </w:rPr>
              <w:t>2、现场的材料用量</w:t>
            </w:r>
          </w:p>
          <w:p w14:paraId="7B78B3BA">
            <w:pPr>
              <w:pStyle w:val="7"/>
              <w:spacing w:before="184" w:line="216" w:lineRule="auto"/>
              <w:ind w:left="2519"/>
            </w:pPr>
            <w:r>
              <w:rPr>
                <w:spacing w:val="-18"/>
              </w:rPr>
              <w:t>3、考虑材料的吊运</w:t>
            </w:r>
          </w:p>
          <w:p w14:paraId="0FD2F541">
            <w:pPr>
              <w:pStyle w:val="7"/>
              <w:spacing w:before="187" w:line="216" w:lineRule="auto"/>
              <w:ind w:left="1531"/>
            </w:pPr>
            <w:r>
              <w:rPr>
                <w:spacing w:val="-20"/>
              </w:rPr>
              <w:t>4、材料堆场与主体结构之间的安全要求</w:t>
            </w:r>
          </w:p>
        </w:tc>
      </w:tr>
    </w:tbl>
    <w:p w14:paraId="667B3C7A">
      <w:pPr>
        <w:pStyle w:val="2"/>
        <w:spacing w:before="112" w:line="216" w:lineRule="auto"/>
        <w:ind w:left="1888"/>
        <w:rPr>
          <w:sz w:val="24"/>
          <w:szCs w:val="24"/>
        </w:rPr>
      </w:pPr>
      <w:r>
        <w:rPr>
          <w:spacing w:val="-17"/>
          <w:sz w:val="24"/>
          <w:szCs w:val="24"/>
        </w:rPr>
        <w:t>2、总体布置设想</w:t>
      </w:r>
    </w:p>
    <w:p w14:paraId="7BB54653">
      <w:pPr>
        <w:pStyle w:val="2"/>
        <w:spacing w:before="121" w:line="307" w:lineRule="auto"/>
        <w:ind w:left="1461" w:right="1409" w:firstLine="432"/>
        <w:rPr>
          <w:sz w:val="24"/>
          <w:szCs w:val="24"/>
        </w:rPr>
      </w:pPr>
      <w:r>
        <w:rPr>
          <w:spacing w:val="-20"/>
          <w:sz w:val="24"/>
          <w:szCs w:val="24"/>
        </w:rPr>
        <w:t>平面布置力求科学、合理，充分利用有限的场地资源，最大限度的满足施工需要，确保既</w:t>
      </w:r>
      <w:r>
        <w:rPr>
          <w:spacing w:val="-21"/>
          <w:sz w:val="24"/>
          <w:szCs w:val="24"/>
        </w:rPr>
        <w:t>定的质量、工期、安全生产、文明施工四大目标的</w:t>
      </w:r>
      <w:r>
        <w:rPr>
          <w:spacing w:val="-22"/>
          <w:sz w:val="24"/>
          <w:szCs w:val="24"/>
        </w:rPr>
        <w:t>实现。</w:t>
      </w:r>
    </w:p>
    <w:p w14:paraId="35D9EDC0">
      <w:pPr>
        <w:pStyle w:val="2"/>
        <w:spacing w:before="1" w:line="308" w:lineRule="auto"/>
        <w:ind w:left="1459" w:right="1409" w:firstLine="442"/>
        <w:rPr>
          <w:sz w:val="24"/>
          <w:szCs w:val="24"/>
        </w:rPr>
      </w:pPr>
      <w:r>
        <w:rPr>
          <w:spacing w:val="-20"/>
          <w:sz w:val="24"/>
          <w:szCs w:val="24"/>
        </w:rPr>
        <w:t>为了减少各种材料的运中距，避免无效劳动，有效地组织现场的平面及立体交叉作业，最大限度利用空间，确保做到文明施工，施工平面管理工作设有专人负责，划片包干管理，未经</w:t>
      </w:r>
    </w:p>
    <w:p w14:paraId="35C392CD">
      <w:pPr>
        <w:spacing w:line="308" w:lineRule="auto"/>
        <w:rPr>
          <w:sz w:val="24"/>
          <w:szCs w:val="24"/>
        </w:rPr>
        <w:sectPr>
          <w:footerReference r:id="rId409" w:type="default"/>
          <w:pgSz w:w="11907" w:h="16839"/>
          <w:pgMar w:top="933" w:right="4" w:bottom="1038" w:left="0" w:header="478" w:footer="357" w:gutter="0"/>
          <w:pgBorders>
            <w:top w:val="none" w:sz="0" w:space="0"/>
            <w:left w:val="none" w:sz="0" w:space="0"/>
            <w:bottom w:val="none" w:sz="0" w:space="0"/>
            <w:right w:val="none" w:sz="0" w:space="0"/>
          </w:pgBorders>
          <w:cols w:space="720" w:num="1"/>
        </w:sectPr>
      </w:pPr>
    </w:p>
    <w:p w14:paraId="1BD95991">
      <w:pPr>
        <w:spacing w:line="272" w:lineRule="auto"/>
        <w:rPr>
          <w:rFonts w:ascii="Arial"/>
          <w:sz w:val="21"/>
        </w:rPr>
      </w:pPr>
    </w:p>
    <w:p w14:paraId="7B6C38A3">
      <w:pPr>
        <w:pStyle w:val="2"/>
        <w:spacing w:before="78" w:line="307" w:lineRule="auto"/>
        <w:ind w:left="1456" w:right="1414" w:firstLine="5"/>
        <w:jc w:val="both"/>
        <w:rPr>
          <w:sz w:val="24"/>
          <w:szCs w:val="24"/>
        </w:rPr>
      </w:pPr>
      <w:r>
        <w:rPr>
          <w:spacing w:val="-20"/>
          <w:sz w:val="24"/>
          <w:szCs w:val="24"/>
        </w:rPr>
        <w:t>工地负责人同意，任何人不得任意改变。设立现场领导小组。现场领导小组是现场施工生产的指挥中心，办公室内挂有工程进度控制网络图，设备、劳动力调配图，气象统计表及质量控制</w:t>
      </w:r>
      <w:r>
        <w:rPr>
          <w:spacing w:val="-21"/>
          <w:sz w:val="24"/>
          <w:szCs w:val="24"/>
        </w:rPr>
        <w:t>图等。做到现场施工有条有紊，高质量、高速度、高效率地</w:t>
      </w:r>
      <w:r>
        <w:rPr>
          <w:spacing w:val="-22"/>
          <w:sz w:val="24"/>
          <w:szCs w:val="24"/>
        </w:rPr>
        <w:t>运转。</w:t>
      </w:r>
    </w:p>
    <w:p w14:paraId="3EF93B99">
      <w:pPr>
        <w:pStyle w:val="2"/>
        <w:spacing w:before="2" w:line="218" w:lineRule="auto"/>
        <w:ind w:left="1896"/>
        <w:rPr>
          <w:sz w:val="24"/>
          <w:szCs w:val="24"/>
        </w:rPr>
      </w:pPr>
      <w:r>
        <w:rPr>
          <w:spacing w:val="-20"/>
          <w:sz w:val="24"/>
          <w:szCs w:val="24"/>
        </w:rPr>
        <w:t>一、文明施工目标：</w:t>
      </w:r>
    </w:p>
    <w:p w14:paraId="62F883E2">
      <w:pPr>
        <w:pStyle w:val="2"/>
        <w:spacing w:before="116" w:line="217" w:lineRule="auto"/>
        <w:ind w:left="1903"/>
        <w:rPr>
          <w:sz w:val="24"/>
          <w:szCs w:val="24"/>
        </w:rPr>
      </w:pPr>
      <w:r>
        <w:rPr>
          <w:spacing w:val="-27"/>
          <w:sz w:val="24"/>
          <w:szCs w:val="24"/>
        </w:rPr>
        <w:t>1、本工程实行施工现场标准化管理，确保</w:t>
      </w:r>
      <w:r>
        <w:rPr>
          <w:spacing w:val="-28"/>
          <w:sz w:val="24"/>
          <w:szCs w:val="24"/>
        </w:rPr>
        <w:t>市级“建筑施工安全生产标准化示范工地”。</w:t>
      </w:r>
    </w:p>
    <w:p w14:paraId="610A42B3">
      <w:pPr>
        <w:pStyle w:val="2"/>
        <w:spacing w:before="117" w:line="278" w:lineRule="auto"/>
        <w:ind w:left="1455" w:right="1412" w:firstLine="432"/>
        <w:rPr>
          <w:sz w:val="24"/>
          <w:szCs w:val="24"/>
        </w:rPr>
      </w:pPr>
      <w:r>
        <w:rPr>
          <w:spacing w:val="-22"/>
          <w:sz w:val="24"/>
          <w:szCs w:val="24"/>
        </w:rPr>
        <w:t>2、公司每月由“标准化”领导小组组织各部门、各工种负责人对工地进行安全生产、文明</w:t>
      </w:r>
      <w:r>
        <w:rPr>
          <w:spacing w:val="-20"/>
          <w:sz w:val="24"/>
          <w:szCs w:val="24"/>
        </w:rPr>
        <w:t>施工、场容场貌、生活卫生检查、打分评定，以有力的促进项目“标准化”工作，达到文明工</w:t>
      </w:r>
      <w:r>
        <w:rPr>
          <w:spacing w:val="-15"/>
          <w:sz w:val="24"/>
          <w:szCs w:val="24"/>
        </w:rPr>
        <w:t>地要求。</w:t>
      </w:r>
    </w:p>
    <w:p w14:paraId="4CEE6093">
      <w:pPr>
        <w:pStyle w:val="2"/>
        <w:spacing w:before="114" w:line="219" w:lineRule="auto"/>
        <w:ind w:left="1900"/>
        <w:rPr>
          <w:sz w:val="24"/>
          <w:szCs w:val="24"/>
        </w:rPr>
      </w:pPr>
      <w:r>
        <w:rPr>
          <w:spacing w:val="-25"/>
          <w:sz w:val="24"/>
          <w:szCs w:val="24"/>
        </w:rPr>
        <w:t>二、场容场貌：</w:t>
      </w:r>
    </w:p>
    <w:p w14:paraId="1EF1F1EE">
      <w:pPr>
        <w:pStyle w:val="2"/>
        <w:spacing w:before="118" w:line="262" w:lineRule="auto"/>
        <w:ind w:left="1458" w:right="1411" w:firstLine="445"/>
        <w:rPr>
          <w:sz w:val="24"/>
          <w:szCs w:val="24"/>
        </w:rPr>
      </w:pPr>
      <w:r>
        <w:rPr>
          <w:spacing w:val="-22"/>
          <w:sz w:val="24"/>
          <w:szCs w:val="24"/>
        </w:rPr>
        <w:t>1、施工现场布置设施，设备应按场地布置图规定搭设，</w:t>
      </w:r>
      <w:r>
        <w:rPr>
          <w:spacing w:val="-23"/>
          <w:sz w:val="24"/>
          <w:szCs w:val="24"/>
        </w:rPr>
        <w:t>并随施工的不同阶段及时更换场地</w:t>
      </w:r>
      <w:r>
        <w:rPr>
          <w:spacing w:val="-21"/>
          <w:sz w:val="24"/>
          <w:szCs w:val="24"/>
        </w:rPr>
        <w:t>布置图牌和合理调整现场临时布置。</w:t>
      </w:r>
    </w:p>
    <w:p w14:paraId="3F21E105">
      <w:pPr>
        <w:pStyle w:val="2"/>
        <w:spacing w:before="118" w:line="263" w:lineRule="auto"/>
        <w:ind w:left="1459" w:right="1409" w:firstLine="429"/>
        <w:rPr>
          <w:sz w:val="24"/>
          <w:szCs w:val="24"/>
        </w:rPr>
      </w:pPr>
      <w:r>
        <w:rPr>
          <w:spacing w:val="-22"/>
          <w:sz w:val="24"/>
          <w:szCs w:val="24"/>
        </w:rPr>
        <w:t>2、为保证施工现场内道路平坦、畅通，工地的主干道、施工便道及各种通道应作一次性规</w:t>
      </w:r>
      <w:r>
        <w:rPr>
          <w:spacing w:val="-21"/>
          <w:sz w:val="24"/>
          <w:szCs w:val="24"/>
        </w:rPr>
        <w:t>划，场内施工道路须浇筑厚度不小于100mm的混凝土路面，施工</w:t>
      </w:r>
      <w:r>
        <w:rPr>
          <w:spacing w:val="-22"/>
          <w:sz w:val="24"/>
          <w:szCs w:val="24"/>
        </w:rPr>
        <w:t>队工场地均实施硬地法施工。</w:t>
      </w:r>
    </w:p>
    <w:p w14:paraId="2C874006">
      <w:pPr>
        <w:pStyle w:val="2"/>
        <w:spacing w:before="117" w:line="217" w:lineRule="auto"/>
        <w:ind w:left="1890"/>
        <w:rPr>
          <w:sz w:val="24"/>
          <w:szCs w:val="24"/>
        </w:rPr>
      </w:pPr>
      <w:r>
        <w:rPr>
          <w:spacing w:val="-24"/>
          <w:sz w:val="24"/>
          <w:szCs w:val="24"/>
        </w:rPr>
        <w:t>3、建筑物四周浇筑混凝土散水坡，散水坡侧设排水明沟。保持场地平整，不</w:t>
      </w:r>
      <w:r>
        <w:rPr>
          <w:spacing w:val="-25"/>
          <w:sz w:val="24"/>
          <w:szCs w:val="24"/>
        </w:rPr>
        <w:t>积水，无散落。</w:t>
      </w:r>
    </w:p>
    <w:p w14:paraId="1777F102">
      <w:pPr>
        <w:pStyle w:val="2"/>
        <w:spacing w:before="117" w:line="263" w:lineRule="auto"/>
        <w:ind w:left="1455" w:right="1412" w:firstLine="429"/>
        <w:rPr>
          <w:sz w:val="24"/>
          <w:szCs w:val="24"/>
        </w:rPr>
      </w:pPr>
      <w:r>
        <w:rPr>
          <w:spacing w:val="-22"/>
          <w:sz w:val="24"/>
          <w:szCs w:val="24"/>
        </w:rPr>
        <w:t>4、建立场地排水系统，主要道路、施工便道、堆场等一侧须设排水沟，排水沟上设铁栅盖</w:t>
      </w:r>
      <w:r>
        <w:rPr>
          <w:spacing w:val="-18"/>
          <w:sz w:val="24"/>
          <w:szCs w:val="24"/>
        </w:rPr>
        <w:t>板。</w:t>
      </w:r>
    </w:p>
    <w:p w14:paraId="2E1A1A67">
      <w:pPr>
        <w:pStyle w:val="2"/>
        <w:spacing w:before="118" w:line="215" w:lineRule="auto"/>
        <w:ind w:left="1890"/>
        <w:rPr>
          <w:sz w:val="24"/>
          <w:szCs w:val="24"/>
        </w:rPr>
      </w:pPr>
      <w:r>
        <w:rPr>
          <w:spacing w:val="-21"/>
          <w:sz w:val="24"/>
          <w:szCs w:val="24"/>
        </w:rPr>
        <w:t>5、在施工现场，按有关要求，设置“八牌一图”以及安全宣传工作标语和警告牌。</w:t>
      </w:r>
    </w:p>
    <w:p w14:paraId="77B84CF3">
      <w:pPr>
        <w:pStyle w:val="2"/>
        <w:spacing w:before="118" w:line="216" w:lineRule="auto"/>
        <w:ind w:left="1899"/>
        <w:rPr>
          <w:sz w:val="24"/>
          <w:szCs w:val="24"/>
        </w:rPr>
      </w:pPr>
      <w:r>
        <w:rPr>
          <w:spacing w:val="-25"/>
          <w:sz w:val="24"/>
          <w:szCs w:val="24"/>
        </w:rPr>
        <w:t>三、材料堆放：</w:t>
      </w:r>
    </w:p>
    <w:p w14:paraId="6F08ABFF">
      <w:pPr>
        <w:pStyle w:val="2"/>
        <w:spacing w:before="121" w:line="263" w:lineRule="auto"/>
        <w:ind w:left="1462" w:right="1413" w:firstLine="441"/>
        <w:rPr>
          <w:sz w:val="24"/>
          <w:szCs w:val="24"/>
        </w:rPr>
      </w:pPr>
      <w:r>
        <w:rPr>
          <w:spacing w:val="-22"/>
          <w:sz w:val="24"/>
          <w:szCs w:val="24"/>
        </w:rPr>
        <w:t>1、砂石材料分别堆放，底脚随用随清，灰池砌筑符合</w:t>
      </w:r>
      <w:r>
        <w:rPr>
          <w:spacing w:val="-23"/>
          <w:sz w:val="24"/>
          <w:szCs w:val="24"/>
        </w:rPr>
        <w:t>标准，布局合理，安全整洁，做到灰</w:t>
      </w:r>
      <w:r>
        <w:rPr>
          <w:spacing w:val="-22"/>
          <w:sz w:val="24"/>
          <w:szCs w:val="24"/>
        </w:rPr>
        <w:t>不外溢，渣不乱倒。</w:t>
      </w:r>
    </w:p>
    <w:p w14:paraId="3F84D062">
      <w:pPr>
        <w:pStyle w:val="2"/>
        <w:spacing w:before="115" w:line="216" w:lineRule="auto"/>
        <w:ind w:left="1888"/>
        <w:rPr>
          <w:sz w:val="24"/>
          <w:szCs w:val="24"/>
        </w:rPr>
      </w:pPr>
      <w:r>
        <w:rPr>
          <w:spacing w:val="-21"/>
          <w:sz w:val="24"/>
          <w:szCs w:val="24"/>
        </w:rPr>
        <w:t>2、对钢筋、竹芭、扣件、脚手管等材料，运到现场应分类集中堆放，分别插挂标牌。</w:t>
      </w:r>
    </w:p>
    <w:p w14:paraId="7526E2B5">
      <w:pPr>
        <w:pStyle w:val="2"/>
        <w:spacing w:before="120" w:line="218" w:lineRule="auto"/>
        <w:ind w:left="1921"/>
        <w:rPr>
          <w:sz w:val="24"/>
          <w:szCs w:val="24"/>
        </w:rPr>
      </w:pPr>
      <w:r>
        <w:rPr>
          <w:spacing w:val="-23"/>
          <w:sz w:val="24"/>
          <w:szCs w:val="24"/>
        </w:rPr>
        <w:t>四、现场搅拌系统的场容管理：</w:t>
      </w:r>
    </w:p>
    <w:p w14:paraId="57A93828">
      <w:pPr>
        <w:pStyle w:val="2"/>
        <w:spacing w:before="117" w:line="217" w:lineRule="auto"/>
        <w:ind w:left="1894"/>
        <w:rPr>
          <w:sz w:val="24"/>
          <w:szCs w:val="24"/>
        </w:rPr>
      </w:pPr>
      <w:r>
        <w:rPr>
          <w:spacing w:val="-21"/>
          <w:sz w:val="24"/>
          <w:szCs w:val="24"/>
        </w:rPr>
        <w:t>本工程使用商品混凝土，施工现场配备两台搅拌机用于少</w:t>
      </w:r>
      <w:r>
        <w:rPr>
          <w:spacing w:val="-22"/>
          <w:sz w:val="24"/>
          <w:szCs w:val="24"/>
        </w:rPr>
        <w:t>量零星混凝土的搅拌。</w:t>
      </w:r>
    </w:p>
    <w:p w14:paraId="362C6CA6">
      <w:pPr>
        <w:pStyle w:val="2"/>
        <w:spacing w:before="116" w:line="263" w:lineRule="auto"/>
        <w:ind w:left="1455" w:right="1411" w:firstLine="447"/>
        <w:rPr>
          <w:sz w:val="24"/>
          <w:szCs w:val="24"/>
        </w:rPr>
      </w:pPr>
      <w:r>
        <w:rPr>
          <w:spacing w:val="-22"/>
          <w:sz w:val="24"/>
          <w:szCs w:val="24"/>
        </w:rPr>
        <w:t>1、现场搅拌系统应在施工各阶段中合理布局，交通便利</w:t>
      </w:r>
      <w:r>
        <w:rPr>
          <w:spacing w:val="-23"/>
          <w:sz w:val="24"/>
          <w:szCs w:val="24"/>
        </w:rPr>
        <w:t>的布置堆场和仓库等，搅拌机旁应</w:t>
      </w:r>
      <w:r>
        <w:rPr>
          <w:spacing w:val="-21"/>
          <w:sz w:val="24"/>
          <w:szCs w:val="24"/>
        </w:rPr>
        <w:t>设混凝土配合比牌，浇筑时间、部位、强度等级、数量、</w:t>
      </w:r>
      <w:r>
        <w:rPr>
          <w:spacing w:val="-22"/>
          <w:sz w:val="24"/>
          <w:szCs w:val="24"/>
        </w:rPr>
        <w:t>配合比、责任人等应标记清楚。</w:t>
      </w:r>
    </w:p>
    <w:p w14:paraId="001EABA3">
      <w:pPr>
        <w:pStyle w:val="2"/>
        <w:spacing w:before="119" w:line="261" w:lineRule="auto"/>
        <w:ind w:left="1462" w:right="1409" w:firstLine="426"/>
        <w:rPr>
          <w:sz w:val="24"/>
          <w:szCs w:val="24"/>
        </w:rPr>
      </w:pPr>
      <w:r>
        <w:rPr>
          <w:spacing w:val="-22"/>
          <w:sz w:val="24"/>
          <w:szCs w:val="24"/>
        </w:rPr>
        <w:t>2、现场内设1个散装水泥筒，设专人管理。搅拌机旁应设储水池，并于四同设排水沟与深</w:t>
      </w:r>
      <w:r>
        <w:rPr>
          <w:spacing w:val="-21"/>
          <w:sz w:val="24"/>
          <w:szCs w:val="24"/>
        </w:rPr>
        <w:t>沉池。砂石的堆放场地应硬地化，堆放场地四</w:t>
      </w:r>
      <w:r>
        <w:rPr>
          <w:spacing w:val="-22"/>
          <w:sz w:val="24"/>
          <w:szCs w:val="24"/>
        </w:rPr>
        <w:t>周应砌筑挡料墙。</w:t>
      </w:r>
    </w:p>
    <w:p w14:paraId="4FFB9CA4">
      <w:pPr>
        <w:pStyle w:val="2"/>
        <w:spacing w:before="120" w:line="216" w:lineRule="auto"/>
        <w:ind w:left="1890"/>
        <w:rPr>
          <w:sz w:val="24"/>
          <w:szCs w:val="24"/>
        </w:rPr>
      </w:pPr>
      <w:r>
        <w:rPr>
          <w:spacing w:val="-21"/>
          <w:sz w:val="24"/>
          <w:szCs w:val="24"/>
        </w:rPr>
        <w:t>3、各类材料做到分类插挂牌，记载齐全、正确，牌、物、帐三者相符。</w:t>
      </w:r>
    </w:p>
    <w:p w14:paraId="388ECCAD">
      <w:pPr>
        <w:pStyle w:val="2"/>
        <w:spacing w:before="120" w:line="220" w:lineRule="auto"/>
        <w:ind w:left="1896"/>
        <w:rPr>
          <w:sz w:val="24"/>
          <w:szCs w:val="24"/>
        </w:rPr>
      </w:pPr>
      <w:r>
        <w:rPr>
          <w:spacing w:val="-19"/>
          <w:sz w:val="24"/>
          <w:szCs w:val="24"/>
        </w:rPr>
        <w:t>五、生活卫生：</w:t>
      </w:r>
    </w:p>
    <w:p w14:paraId="124F4096">
      <w:pPr>
        <w:pStyle w:val="2"/>
        <w:spacing w:before="113" w:line="217" w:lineRule="auto"/>
        <w:ind w:left="1903"/>
        <w:rPr>
          <w:sz w:val="24"/>
          <w:szCs w:val="24"/>
        </w:rPr>
      </w:pPr>
      <w:r>
        <w:rPr>
          <w:spacing w:val="-21"/>
          <w:sz w:val="24"/>
          <w:szCs w:val="24"/>
        </w:rPr>
        <w:t>1、生活卫生应纳入总体规划，落实卫生专职管理人员和保洁</w:t>
      </w:r>
      <w:r>
        <w:rPr>
          <w:spacing w:val="-22"/>
          <w:sz w:val="24"/>
          <w:szCs w:val="24"/>
        </w:rPr>
        <w:t>人员，落实门前卫生责任制。</w:t>
      </w:r>
    </w:p>
    <w:p w14:paraId="500AAE28">
      <w:pPr>
        <w:pStyle w:val="2"/>
        <w:spacing w:before="120" w:line="262" w:lineRule="auto"/>
        <w:ind w:left="1461" w:right="1411" w:firstLine="427"/>
        <w:rPr>
          <w:sz w:val="24"/>
          <w:szCs w:val="24"/>
        </w:rPr>
      </w:pPr>
      <w:r>
        <w:rPr>
          <w:spacing w:val="-22"/>
          <w:sz w:val="24"/>
          <w:szCs w:val="24"/>
        </w:rPr>
        <w:t>2、食堂卫生符合《食品卫生法》要求，保持整齐清洁，严禁交叉污染。食堂排水应设沉淀池和隔油阴井。工地要有临时保健室或巡回医疗点，定期服务，关心职工健康。</w:t>
      </w:r>
    </w:p>
    <w:p w14:paraId="369D351E">
      <w:pPr>
        <w:pStyle w:val="2"/>
        <w:spacing w:before="116" w:line="263" w:lineRule="auto"/>
        <w:ind w:left="1470" w:right="1410" w:firstLine="420"/>
        <w:rPr>
          <w:sz w:val="24"/>
          <w:szCs w:val="24"/>
        </w:rPr>
      </w:pPr>
      <w:r>
        <w:rPr>
          <w:spacing w:val="-22"/>
          <w:sz w:val="24"/>
          <w:szCs w:val="24"/>
        </w:rPr>
        <w:t>3、工地有男女厕所，各工区中有便溺措施，落实专人管理，保持清洁无害，定期抽粪。卫生垃圾须随时处理，集中加以遮挡。</w:t>
      </w:r>
    </w:p>
    <w:p w14:paraId="5E7C4A5F">
      <w:pPr>
        <w:pStyle w:val="2"/>
        <w:spacing w:before="119" w:line="261" w:lineRule="auto"/>
        <w:ind w:left="1463" w:right="1410" w:firstLine="421"/>
        <w:rPr>
          <w:sz w:val="24"/>
          <w:szCs w:val="24"/>
        </w:rPr>
      </w:pPr>
      <w:r>
        <w:rPr>
          <w:spacing w:val="-22"/>
          <w:sz w:val="24"/>
          <w:szCs w:val="24"/>
        </w:rPr>
        <w:t>4、落实专人负责生活区、施工现场的环境整洁，协调好市容监察部门有关工作。落实专人</w:t>
      </w:r>
      <w:r>
        <w:rPr>
          <w:spacing w:val="-21"/>
          <w:sz w:val="24"/>
          <w:szCs w:val="24"/>
        </w:rPr>
        <w:t>负责各公用部位、各工区、道路的清扫和卫生</w:t>
      </w:r>
      <w:r>
        <w:rPr>
          <w:spacing w:val="-22"/>
          <w:sz w:val="24"/>
          <w:szCs w:val="24"/>
        </w:rPr>
        <w:t>保洁工作。</w:t>
      </w:r>
    </w:p>
    <w:p w14:paraId="38D94666">
      <w:pPr>
        <w:spacing w:line="261" w:lineRule="auto"/>
        <w:rPr>
          <w:sz w:val="24"/>
          <w:szCs w:val="24"/>
        </w:rPr>
        <w:sectPr>
          <w:footerReference r:id="rId410" w:type="default"/>
          <w:pgSz w:w="11907" w:h="16839"/>
          <w:pgMar w:top="933" w:right="4" w:bottom="1038" w:left="0" w:header="478" w:footer="357" w:gutter="0"/>
          <w:pgBorders>
            <w:top w:val="none" w:sz="0" w:space="0"/>
            <w:left w:val="none" w:sz="0" w:space="0"/>
            <w:bottom w:val="none" w:sz="0" w:space="0"/>
            <w:right w:val="none" w:sz="0" w:space="0"/>
          </w:pgBorders>
          <w:cols w:space="720" w:num="1"/>
        </w:sectPr>
      </w:pPr>
    </w:p>
    <w:p w14:paraId="74DA2172">
      <w:pPr>
        <w:spacing w:line="271" w:lineRule="auto"/>
        <w:rPr>
          <w:rFonts w:ascii="Arial"/>
          <w:sz w:val="21"/>
        </w:rPr>
      </w:pPr>
    </w:p>
    <w:p w14:paraId="4256B325">
      <w:pPr>
        <w:pStyle w:val="2"/>
        <w:spacing w:before="78" w:line="218" w:lineRule="auto"/>
        <w:ind w:left="1890"/>
        <w:rPr>
          <w:sz w:val="24"/>
          <w:szCs w:val="24"/>
        </w:rPr>
      </w:pPr>
      <w:r>
        <w:rPr>
          <w:spacing w:val="-20"/>
          <w:sz w:val="24"/>
          <w:szCs w:val="24"/>
        </w:rPr>
        <w:t>5、工地没男女更衣室，有防窃措施。</w:t>
      </w:r>
    </w:p>
    <w:p w14:paraId="7EA108B1">
      <w:pPr>
        <w:pStyle w:val="2"/>
        <w:spacing w:before="117" w:line="219" w:lineRule="auto"/>
        <w:ind w:left="1895"/>
        <w:rPr>
          <w:sz w:val="24"/>
          <w:szCs w:val="24"/>
        </w:rPr>
      </w:pPr>
      <w:r>
        <w:rPr>
          <w:spacing w:val="-23"/>
          <w:sz w:val="24"/>
          <w:szCs w:val="24"/>
        </w:rPr>
        <w:t>六、道路交通：</w:t>
      </w:r>
    </w:p>
    <w:p w14:paraId="43F8EAE4">
      <w:pPr>
        <w:pStyle w:val="2"/>
        <w:spacing w:before="114" w:line="263" w:lineRule="auto"/>
        <w:ind w:left="1457" w:right="1411" w:firstLine="446"/>
        <w:rPr>
          <w:sz w:val="24"/>
          <w:szCs w:val="24"/>
        </w:rPr>
      </w:pPr>
      <w:r>
        <w:rPr>
          <w:spacing w:val="-22"/>
          <w:sz w:val="24"/>
          <w:szCs w:val="24"/>
        </w:rPr>
        <w:t>1、施工车辆场外运输主要通过指定路线进入施工现场，</w:t>
      </w:r>
      <w:r>
        <w:rPr>
          <w:spacing w:val="-23"/>
          <w:sz w:val="24"/>
          <w:szCs w:val="24"/>
        </w:rPr>
        <w:t>工地主出入口设于标段北侧，并采</w:t>
      </w:r>
      <w:r>
        <w:rPr>
          <w:spacing w:val="-21"/>
          <w:sz w:val="24"/>
          <w:szCs w:val="24"/>
        </w:rPr>
        <w:t>取明显的警示措施，以免影响正常交通安全秩序。</w:t>
      </w:r>
    </w:p>
    <w:p w14:paraId="12C85C78">
      <w:pPr>
        <w:pStyle w:val="2"/>
        <w:spacing w:before="116" w:line="277" w:lineRule="auto"/>
        <w:ind w:left="1460" w:right="1357" w:firstLine="428"/>
        <w:rPr>
          <w:sz w:val="24"/>
          <w:szCs w:val="24"/>
        </w:rPr>
      </w:pPr>
      <w:r>
        <w:rPr>
          <w:spacing w:val="-22"/>
          <w:sz w:val="24"/>
          <w:szCs w:val="24"/>
        </w:rPr>
        <w:t>2、确保车辆安全进入工地，特别是各种建筑材料车辆进出场，应做好与有关部门的协调工</w:t>
      </w:r>
      <w:r>
        <w:rPr>
          <w:spacing w:val="-24"/>
          <w:sz w:val="24"/>
          <w:szCs w:val="24"/>
        </w:rPr>
        <w:t>作，并由专人负责，以围护好施工阶段现场与外界的交通秩序，同时车辆运输应尽量服从安排，</w:t>
      </w:r>
      <w:r>
        <w:rPr>
          <w:spacing w:val="-21"/>
          <w:sz w:val="24"/>
          <w:szCs w:val="24"/>
        </w:rPr>
        <w:t>以减少噪音对居民正常工作、生活、学习的影响。</w:t>
      </w:r>
    </w:p>
    <w:p w14:paraId="3DD39BDE">
      <w:pPr>
        <w:pStyle w:val="2"/>
        <w:spacing w:before="120" w:line="215" w:lineRule="auto"/>
        <w:ind w:left="1890"/>
        <w:rPr>
          <w:sz w:val="24"/>
          <w:szCs w:val="24"/>
        </w:rPr>
      </w:pPr>
      <w:r>
        <w:rPr>
          <w:spacing w:val="-21"/>
          <w:sz w:val="24"/>
          <w:szCs w:val="24"/>
        </w:rPr>
        <w:t>3、保证场内外道路的整洁畅通，安排专人负责道路的保洁工作，不允许车辆乱停乱放。</w:t>
      </w:r>
    </w:p>
    <w:p w14:paraId="12BD033E">
      <w:pPr>
        <w:pStyle w:val="2"/>
        <w:spacing w:before="119" w:line="215" w:lineRule="auto"/>
        <w:ind w:left="1884"/>
        <w:rPr>
          <w:sz w:val="24"/>
          <w:szCs w:val="24"/>
        </w:rPr>
      </w:pPr>
      <w:r>
        <w:rPr>
          <w:spacing w:val="-21"/>
          <w:sz w:val="24"/>
          <w:szCs w:val="24"/>
        </w:rPr>
        <w:t>4、车辆运输材料尽量安排避开休息时间，严禁施工车辆鸣笛。</w:t>
      </w:r>
    </w:p>
    <w:p w14:paraId="41AD6916">
      <w:pPr>
        <w:pStyle w:val="2"/>
        <w:spacing w:before="121" w:line="219" w:lineRule="auto"/>
        <w:ind w:left="1890"/>
        <w:rPr>
          <w:sz w:val="24"/>
          <w:szCs w:val="24"/>
        </w:rPr>
      </w:pPr>
      <w:r>
        <w:rPr>
          <w:spacing w:val="-17"/>
          <w:sz w:val="24"/>
          <w:szCs w:val="24"/>
        </w:rPr>
        <w:t>3、施工临时道路</w:t>
      </w:r>
    </w:p>
    <w:p w14:paraId="5412A74C">
      <w:pPr>
        <w:pStyle w:val="2"/>
        <w:spacing w:before="115" w:line="308" w:lineRule="auto"/>
        <w:ind w:left="1455" w:right="1414" w:firstLine="436"/>
        <w:jc w:val="both"/>
        <w:rPr>
          <w:sz w:val="24"/>
          <w:szCs w:val="24"/>
        </w:rPr>
      </w:pPr>
      <w:r>
        <w:rPr>
          <w:spacing w:val="-20"/>
          <w:sz w:val="24"/>
          <w:szCs w:val="24"/>
        </w:rPr>
        <w:t>标准化现场布置，标准化管理硬件设施，按文明工地评比标准进行布置。施工工地防卫设置安全生产宣传牌，在主要施工部位、作业点、危险区主要道口设置安全宣传标语和安全警示</w:t>
      </w:r>
      <w:r>
        <w:rPr>
          <w:spacing w:val="-22"/>
          <w:sz w:val="24"/>
          <w:szCs w:val="24"/>
        </w:rPr>
        <w:t>牌。完全按照省级文明工地的要求布置。</w:t>
      </w:r>
    </w:p>
    <w:p w14:paraId="62EAB33C">
      <w:pPr>
        <w:pStyle w:val="2"/>
        <w:spacing w:before="1" w:line="216" w:lineRule="auto"/>
        <w:ind w:left="1884"/>
        <w:rPr>
          <w:sz w:val="24"/>
          <w:szCs w:val="24"/>
        </w:rPr>
      </w:pPr>
      <w:r>
        <w:rPr>
          <w:spacing w:val="-18"/>
          <w:sz w:val="24"/>
          <w:szCs w:val="24"/>
        </w:rPr>
        <w:t>4、施工及生活用电布置</w:t>
      </w:r>
    </w:p>
    <w:p w14:paraId="070D1F85">
      <w:pPr>
        <w:pStyle w:val="2"/>
        <w:spacing w:before="115" w:line="308" w:lineRule="auto"/>
        <w:ind w:left="1458" w:right="1411" w:firstLine="435"/>
        <w:rPr>
          <w:sz w:val="24"/>
          <w:szCs w:val="24"/>
        </w:rPr>
      </w:pPr>
      <w:r>
        <w:rPr>
          <w:spacing w:val="-20"/>
          <w:sz w:val="24"/>
          <w:szCs w:val="24"/>
        </w:rPr>
        <w:t>本工程临时用电分为施工用电和生活用电，线路敷设采用电缆，从建设单位提供的电源点引各施工用电点。施工现场临时用电线路采用铜塑线穿管地埋设置，动力线路一级送电采用三相五线制，二级送电和现场照明采用三相五线制。在配电房内，各路总出线除负荷外，均设脉</w:t>
      </w:r>
      <w:r>
        <w:rPr>
          <w:spacing w:val="-24"/>
          <w:sz w:val="24"/>
          <w:szCs w:val="24"/>
        </w:rPr>
        <w:t>冲漏电保护器做安全用电保护，二级配电箱内设空气开关及脉冲漏电保护器。凡单机功</w:t>
      </w:r>
      <w:r>
        <w:rPr>
          <w:spacing w:val="-25"/>
          <w:sz w:val="24"/>
          <w:szCs w:val="24"/>
        </w:rPr>
        <w:t>率在30KW</w:t>
      </w:r>
      <w:r>
        <w:rPr>
          <w:spacing w:val="-21"/>
          <w:sz w:val="24"/>
          <w:szCs w:val="24"/>
        </w:rPr>
        <w:t>以上的设备，均由总配电室直接供电，在该设备3米</w:t>
      </w:r>
      <w:r>
        <w:rPr>
          <w:spacing w:val="-22"/>
          <w:sz w:val="24"/>
          <w:szCs w:val="24"/>
        </w:rPr>
        <w:t>以内设独立开关箱。对于移动式手动用电工具，采用临时电缆杆座盘发放，随用随收。</w:t>
      </w:r>
    </w:p>
    <w:p w14:paraId="12C7FE03">
      <w:pPr>
        <w:pStyle w:val="2"/>
        <w:spacing w:before="1" w:line="308" w:lineRule="auto"/>
        <w:ind w:left="1455" w:right="1409" w:firstLine="451"/>
        <w:rPr>
          <w:sz w:val="24"/>
          <w:szCs w:val="24"/>
        </w:rPr>
      </w:pPr>
      <w:r>
        <w:rPr>
          <w:spacing w:val="-20"/>
          <w:sz w:val="24"/>
          <w:szCs w:val="24"/>
        </w:rPr>
        <w:t>生活部分用主要供应办公室、宿舍、食堂、卫生间、部分路灯灯；施工用电部分主要供应</w:t>
      </w:r>
      <w:r>
        <w:rPr>
          <w:spacing w:val="-21"/>
          <w:sz w:val="24"/>
          <w:szCs w:val="24"/>
        </w:rPr>
        <w:t>施工机械、搅拌场等用电。根据作业面相应设置若干配电箱</w:t>
      </w:r>
      <w:r>
        <w:rPr>
          <w:spacing w:val="-22"/>
          <w:sz w:val="24"/>
          <w:szCs w:val="24"/>
        </w:rPr>
        <w:t>，以便于施工用电。</w:t>
      </w:r>
    </w:p>
    <w:p w14:paraId="3B3F8CE4">
      <w:pPr>
        <w:pStyle w:val="2"/>
        <w:spacing w:line="218" w:lineRule="auto"/>
        <w:ind w:left="1890"/>
        <w:rPr>
          <w:sz w:val="24"/>
          <w:szCs w:val="24"/>
        </w:rPr>
      </w:pPr>
      <w:r>
        <w:rPr>
          <w:spacing w:val="-19"/>
          <w:sz w:val="24"/>
          <w:szCs w:val="24"/>
        </w:rPr>
        <w:t>5、施工临时给排水设计</w:t>
      </w:r>
    </w:p>
    <w:p w14:paraId="0136057F">
      <w:pPr>
        <w:pStyle w:val="2"/>
        <w:spacing w:before="116" w:line="308" w:lineRule="auto"/>
        <w:ind w:left="1463" w:right="1409" w:firstLine="444"/>
        <w:rPr>
          <w:sz w:val="24"/>
          <w:szCs w:val="24"/>
        </w:rPr>
      </w:pPr>
      <w:r>
        <w:rPr>
          <w:spacing w:val="-20"/>
          <w:sz w:val="24"/>
          <w:szCs w:val="24"/>
        </w:rPr>
        <w:t>临时用水布置：本工程现场临时用水包括给水和排水两套系统。给水系统又包括生产、生</w:t>
      </w:r>
      <w:r>
        <w:rPr>
          <w:spacing w:val="-21"/>
          <w:sz w:val="24"/>
          <w:szCs w:val="24"/>
        </w:rPr>
        <w:t>活和消防用水。排水系统包括现场排水系统</w:t>
      </w:r>
      <w:r>
        <w:rPr>
          <w:spacing w:val="-22"/>
          <w:sz w:val="24"/>
          <w:szCs w:val="24"/>
        </w:rPr>
        <w:t>和生活排水系统。</w:t>
      </w:r>
    </w:p>
    <w:p w14:paraId="65E0F02E">
      <w:pPr>
        <w:pStyle w:val="2"/>
        <w:spacing w:before="1" w:line="218" w:lineRule="auto"/>
        <w:ind w:left="1896"/>
        <w:rPr>
          <w:sz w:val="24"/>
          <w:szCs w:val="24"/>
        </w:rPr>
      </w:pPr>
      <w:r>
        <w:rPr>
          <w:spacing w:val="-19"/>
          <w:sz w:val="24"/>
          <w:szCs w:val="24"/>
        </w:rPr>
        <w:t>一、给水系统</w:t>
      </w:r>
    </w:p>
    <w:p w14:paraId="1E7D2C1C">
      <w:pPr>
        <w:pStyle w:val="2"/>
        <w:spacing w:before="113" w:line="309" w:lineRule="auto"/>
        <w:ind w:left="1459" w:right="1354" w:firstLine="434"/>
        <w:rPr>
          <w:sz w:val="24"/>
          <w:szCs w:val="24"/>
        </w:rPr>
      </w:pPr>
      <w:r>
        <w:rPr>
          <w:spacing w:val="-24"/>
          <w:sz w:val="24"/>
          <w:szCs w:val="24"/>
        </w:rPr>
        <w:t>本工程临时用水主要包括生活用水、现场施工用水及消防水三个部分，根据施工规范要求，</w:t>
      </w:r>
      <w:r>
        <w:rPr>
          <w:spacing w:val="-21"/>
          <w:sz w:val="24"/>
          <w:szCs w:val="24"/>
        </w:rPr>
        <w:t>并结合现场具体情况，考虑如下布置：</w:t>
      </w:r>
    </w:p>
    <w:p w14:paraId="7412DDE5">
      <w:pPr>
        <w:pStyle w:val="2"/>
        <w:spacing w:before="1" w:line="215" w:lineRule="auto"/>
        <w:ind w:left="1903"/>
        <w:rPr>
          <w:sz w:val="24"/>
          <w:szCs w:val="24"/>
        </w:rPr>
      </w:pPr>
      <w:r>
        <w:rPr>
          <w:spacing w:val="-21"/>
          <w:sz w:val="24"/>
          <w:szCs w:val="24"/>
        </w:rPr>
        <w:t>1、根据生活区和施工区分开的工程特点,生活用水和现场施工用水必须分开布置。</w:t>
      </w:r>
    </w:p>
    <w:p w14:paraId="0068F01C">
      <w:pPr>
        <w:pStyle w:val="2"/>
        <w:spacing w:before="119" w:line="278" w:lineRule="auto"/>
        <w:ind w:left="1457" w:right="1412" w:firstLine="431"/>
        <w:rPr>
          <w:sz w:val="24"/>
          <w:szCs w:val="24"/>
        </w:rPr>
      </w:pPr>
      <w:r>
        <w:rPr>
          <w:spacing w:val="-20"/>
          <w:sz w:val="24"/>
          <w:szCs w:val="24"/>
        </w:rPr>
        <w:t>2、现场施工用水和消防水采用两路供水方式，总给水管采用DN100焊接管从市政给水管网接入（或者由甲方直接提供）。现场平面全部主管道均采用焊接管，局部需经常拆卸的管用丝</w:t>
      </w:r>
      <w:r>
        <w:rPr>
          <w:spacing w:val="-21"/>
          <w:sz w:val="24"/>
          <w:szCs w:val="24"/>
        </w:rPr>
        <w:t>扣或法兰连接；搂层以上管道全部用丝扣或法兰连接。</w:t>
      </w:r>
    </w:p>
    <w:p w14:paraId="77CBDC12">
      <w:pPr>
        <w:pStyle w:val="2"/>
        <w:spacing w:before="116" w:line="277" w:lineRule="auto"/>
        <w:ind w:left="1460" w:right="1411" w:firstLine="430"/>
        <w:rPr>
          <w:sz w:val="24"/>
          <w:szCs w:val="24"/>
        </w:rPr>
      </w:pPr>
      <w:r>
        <w:rPr>
          <w:spacing w:val="-22"/>
          <w:sz w:val="24"/>
          <w:szCs w:val="24"/>
        </w:rPr>
        <w:t>3、各工区内消防与施工用水分两路供应，设置二根竖管供各层施工及消防用水，每层</w:t>
      </w:r>
      <w:r>
        <w:rPr>
          <w:spacing w:val="-23"/>
          <w:sz w:val="24"/>
          <w:szCs w:val="24"/>
        </w:rPr>
        <w:t>设置</w:t>
      </w:r>
      <w:r>
        <w:rPr>
          <w:spacing w:val="-19"/>
          <w:sz w:val="24"/>
          <w:szCs w:val="24"/>
        </w:rPr>
        <w:t>一个施工用水接点；底层设置四只消防栓，二层设置三只消防栓。消防栓采用栓口DN50，栓口</w:t>
      </w:r>
      <w:r>
        <w:rPr>
          <w:spacing w:val="-18"/>
          <w:sz w:val="24"/>
          <w:szCs w:val="24"/>
        </w:rPr>
        <w:t>ф50mm外套丝铝质消火栓，每个消火枪处配备一根25m麻质水龙带。</w:t>
      </w:r>
    </w:p>
    <w:p w14:paraId="32695987">
      <w:pPr>
        <w:pStyle w:val="2"/>
        <w:spacing w:before="119" w:line="217" w:lineRule="auto"/>
        <w:ind w:left="1884"/>
        <w:rPr>
          <w:sz w:val="24"/>
          <w:szCs w:val="24"/>
        </w:rPr>
      </w:pPr>
      <w:r>
        <w:rPr>
          <w:spacing w:val="-19"/>
          <w:sz w:val="24"/>
          <w:szCs w:val="24"/>
        </w:rPr>
        <w:t>4、现场平面内沿主干道铺设、砂浆搅拌、钢筋房及消防供水，采</w:t>
      </w:r>
      <w:r>
        <w:rPr>
          <w:spacing w:val="-20"/>
          <w:sz w:val="24"/>
          <w:szCs w:val="24"/>
        </w:rPr>
        <w:t>用DN100的焊接管；到建</w:t>
      </w:r>
    </w:p>
    <w:p w14:paraId="328FD42D">
      <w:pPr>
        <w:spacing w:line="217" w:lineRule="auto"/>
        <w:rPr>
          <w:sz w:val="24"/>
          <w:szCs w:val="24"/>
        </w:rPr>
        <w:sectPr>
          <w:footerReference r:id="rId411" w:type="default"/>
          <w:pgSz w:w="11907" w:h="16839"/>
          <w:pgMar w:top="933" w:right="4" w:bottom="1038" w:left="0" w:header="478" w:footer="357" w:gutter="0"/>
          <w:pgBorders>
            <w:top w:val="none" w:sz="0" w:space="0"/>
            <w:left w:val="none" w:sz="0" w:space="0"/>
            <w:bottom w:val="none" w:sz="0" w:space="0"/>
            <w:right w:val="none" w:sz="0" w:space="0"/>
          </w:pgBorders>
          <w:cols w:space="720" w:num="1"/>
        </w:sectPr>
      </w:pPr>
    </w:p>
    <w:p w14:paraId="29A980B1">
      <w:pPr>
        <w:spacing w:line="270" w:lineRule="auto"/>
        <w:rPr>
          <w:rFonts w:ascii="Arial"/>
          <w:sz w:val="21"/>
        </w:rPr>
      </w:pPr>
    </w:p>
    <w:p w14:paraId="05D08CD3">
      <w:pPr>
        <w:pStyle w:val="2"/>
        <w:spacing w:before="78" w:line="308" w:lineRule="auto"/>
        <w:ind w:left="1459" w:right="1411"/>
        <w:rPr>
          <w:sz w:val="24"/>
          <w:szCs w:val="24"/>
        </w:rPr>
      </w:pPr>
      <w:r>
        <w:rPr>
          <w:spacing w:val="-18"/>
          <w:sz w:val="24"/>
          <w:szCs w:val="24"/>
        </w:rPr>
        <w:t>筑物边处采用DN50管、消防管采用DN100管，管用丝扣连接而成。地下埋设在—800mm以下防</w:t>
      </w:r>
      <w:r>
        <w:rPr>
          <w:spacing w:val="-22"/>
          <w:sz w:val="24"/>
          <w:szCs w:val="24"/>
        </w:rPr>
        <w:t>冻层内，管道外作防腐处理，地上明管作保温处理。</w:t>
      </w:r>
    </w:p>
    <w:p w14:paraId="00A603B7">
      <w:pPr>
        <w:pStyle w:val="2"/>
        <w:spacing w:before="2" w:line="307" w:lineRule="auto"/>
        <w:ind w:left="1463" w:right="1410" w:firstLine="429"/>
        <w:jc w:val="both"/>
        <w:rPr>
          <w:sz w:val="24"/>
          <w:szCs w:val="24"/>
        </w:rPr>
      </w:pPr>
      <w:r>
        <w:rPr>
          <w:spacing w:val="-20"/>
          <w:sz w:val="24"/>
          <w:szCs w:val="24"/>
        </w:rPr>
        <w:t>从业主指定水源至施工现场，选用DN100给水管，施工现场施工用水和消防用</w:t>
      </w:r>
      <w:r>
        <w:rPr>
          <w:spacing w:val="-21"/>
          <w:sz w:val="24"/>
          <w:szCs w:val="24"/>
        </w:rPr>
        <w:t>水分开，生</w:t>
      </w:r>
      <w:r>
        <w:rPr>
          <w:spacing w:val="-23"/>
          <w:sz w:val="24"/>
          <w:szCs w:val="24"/>
        </w:rPr>
        <w:t>活用水采用ф50，施工用水和消防用水均采用ф100给水管，各工区内水平管采用橡皮软管自立</w:t>
      </w:r>
      <w:r>
        <w:rPr>
          <w:spacing w:val="-22"/>
          <w:sz w:val="24"/>
          <w:szCs w:val="24"/>
        </w:rPr>
        <w:t>管出水阀门处接至施工地点，施工及消防用水采用二级控制，控制器用电缆接至施工层。</w:t>
      </w:r>
    </w:p>
    <w:p w14:paraId="23C27A18">
      <w:pPr>
        <w:pStyle w:val="2"/>
        <w:spacing w:line="218" w:lineRule="auto"/>
        <w:ind w:left="1900"/>
        <w:rPr>
          <w:sz w:val="24"/>
          <w:szCs w:val="24"/>
        </w:rPr>
      </w:pPr>
      <w:r>
        <w:rPr>
          <w:spacing w:val="-19"/>
          <w:sz w:val="24"/>
          <w:szCs w:val="24"/>
        </w:rPr>
        <w:t>二、排水系统</w:t>
      </w:r>
    </w:p>
    <w:p w14:paraId="3CF49100">
      <w:pPr>
        <w:pStyle w:val="2"/>
        <w:spacing w:before="115" w:line="308" w:lineRule="auto"/>
        <w:ind w:left="1456" w:right="1414" w:firstLine="436"/>
        <w:jc w:val="both"/>
        <w:rPr>
          <w:sz w:val="24"/>
          <w:szCs w:val="24"/>
        </w:rPr>
      </w:pPr>
      <w:r>
        <w:rPr>
          <w:spacing w:val="-20"/>
          <w:sz w:val="24"/>
          <w:szCs w:val="24"/>
        </w:rPr>
        <w:t>施工现场的种类排水必须经过处理达标后才能排入城市排水管网。沿路临时设施</w:t>
      </w:r>
      <w:r>
        <w:rPr>
          <w:spacing w:val="-21"/>
          <w:sz w:val="24"/>
          <w:szCs w:val="24"/>
        </w:rPr>
        <w:t>、建筑车</w:t>
      </w:r>
      <w:r>
        <w:rPr>
          <w:spacing w:val="-20"/>
          <w:sz w:val="24"/>
          <w:szCs w:val="24"/>
        </w:rPr>
        <w:t>周及施工道路设置排水明沟，并做好排水坡度，生活污水和和污水经过沉淀处理后将清水排入市政管线。排水沟要定期派人清掏，保持畅通，防止雨期高水位时发生雨水倒灌。生产、生活用水必须经过沉淀，厕所的排污必须经过三级化粪处理，食堂设隔油池；所有污水必须经过检</w:t>
      </w:r>
      <w:r>
        <w:rPr>
          <w:spacing w:val="-21"/>
          <w:sz w:val="24"/>
          <w:szCs w:val="24"/>
        </w:rPr>
        <w:t>测经有关部门同意后排到指定场所。</w:t>
      </w:r>
    </w:p>
    <w:p w14:paraId="061213A3">
      <w:pPr>
        <w:pStyle w:val="2"/>
        <w:spacing w:before="1" w:line="215" w:lineRule="auto"/>
        <w:ind w:left="1887"/>
        <w:rPr>
          <w:sz w:val="24"/>
          <w:szCs w:val="24"/>
        </w:rPr>
      </w:pPr>
      <w:r>
        <w:rPr>
          <w:spacing w:val="-18"/>
          <w:sz w:val="24"/>
          <w:szCs w:val="24"/>
        </w:rPr>
        <w:t>6、施工临时设施布置</w:t>
      </w:r>
    </w:p>
    <w:p w14:paraId="61B9AB77">
      <w:pPr>
        <w:pStyle w:val="2"/>
        <w:spacing w:before="121" w:line="307" w:lineRule="auto"/>
        <w:ind w:left="1457" w:right="1409" w:firstLine="435"/>
        <w:rPr>
          <w:sz w:val="24"/>
          <w:szCs w:val="24"/>
        </w:rPr>
      </w:pPr>
      <w:r>
        <w:rPr>
          <w:spacing w:val="-19"/>
          <w:sz w:val="24"/>
          <w:szCs w:val="24"/>
        </w:rPr>
        <w:t>施工临时设施主要考虑现场办公室、材料仓</w:t>
      </w:r>
      <w:r>
        <w:rPr>
          <w:spacing w:val="-20"/>
          <w:sz w:val="24"/>
          <w:szCs w:val="24"/>
        </w:rPr>
        <w:t>库、工人生活区等，选择红线内合适的理想位</w:t>
      </w:r>
      <w:r>
        <w:rPr>
          <w:spacing w:val="-21"/>
          <w:sz w:val="24"/>
          <w:szCs w:val="24"/>
        </w:rPr>
        <w:t>置用来作为临时材料堆放点或是搭建临时仓库用来存储施</w:t>
      </w:r>
      <w:r>
        <w:rPr>
          <w:spacing w:val="-22"/>
          <w:sz w:val="24"/>
          <w:szCs w:val="24"/>
        </w:rPr>
        <w:t>工材料。</w:t>
      </w:r>
    </w:p>
    <w:p w14:paraId="42D94BF8">
      <w:pPr>
        <w:pStyle w:val="2"/>
        <w:spacing w:before="1" w:line="215" w:lineRule="auto"/>
        <w:ind w:left="1891"/>
        <w:rPr>
          <w:sz w:val="24"/>
          <w:szCs w:val="24"/>
        </w:rPr>
      </w:pPr>
      <w:r>
        <w:rPr>
          <w:spacing w:val="-19"/>
          <w:sz w:val="24"/>
          <w:szCs w:val="24"/>
        </w:rPr>
        <w:t>7、施工平面布置的内容</w:t>
      </w:r>
    </w:p>
    <w:p w14:paraId="16ADCFE5">
      <w:pPr>
        <w:pStyle w:val="2"/>
        <w:spacing w:before="119" w:line="264" w:lineRule="auto"/>
        <w:ind w:left="1457" w:right="1409" w:firstLine="436"/>
        <w:rPr>
          <w:sz w:val="24"/>
          <w:szCs w:val="24"/>
        </w:rPr>
      </w:pPr>
      <w:r>
        <w:rPr>
          <w:spacing w:val="-20"/>
          <w:sz w:val="24"/>
          <w:szCs w:val="24"/>
        </w:rPr>
        <w:t>根据施工平面布置原则，我们经认真分析，确定本工程施工现场平面布置的内容如下表所</w:t>
      </w:r>
      <w:r>
        <w:rPr>
          <w:spacing w:val="-23"/>
          <w:sz w:val="24"/>
          <w:szCs w:val="24"/>
        </w:rPr>
        <w:t>示：</w:t>
      </w:r>
    </w:p>
    <w:tbl>
      <w:tblPr>
        <w:tblStyle w:val="6"/>
        <w:tblW w:w="9171" w:type="dxa"/>
        <w:tblInd w:w="136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71"/>
        <w:gridCol w:w="509"/>
        <w:gridCol w:w="919"/>
        <w:gridCol w:w="1296"/>
        <w:gridCol w:w="5137"/>
        <w:gridCol w:w="95"/>
        <w:gridCol w:w="961"/>
        <w:gridCol w:w="83"/>
      </w:tblGrid>
      <w:tr w14:paraId="1456D0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86" w:hRule="atLeast"/>
        </w:trPr>
        <w:tc>
          <w:tcPr>
            <w:tcW w:w="680" w:type="dxa"/>
            <w:gridSpan w:val="2"/>
            <w:tcBorders>
              <w:top w:val="single" w:color="000000" w:sz="4" w:space="0"/>
              <w:left w:val="single" w:color="000000" w:sz="4" w:space="0"/>
            </w:tcBorders>
            <w:shd w:val="clear" w:color="auto" w:fill="DEEAF6"/>
            <w:vAlign w:val="top"/>
          </w:tcPr>
          <w:p w14:paraId="30079DC9">
            <w:pPr>
              <w:spacing w:line="93" w:lineRule="exact"/>
            </w:pPr>
            <w:r>
              <w:rPr>
                <w:position w:val="-1"/>
              </w:rPr>
              <w:pict>
                <v:group id="_x0000_s4510" o:spid="_x0000_s4510" o:spt="203" style="height:5.2pt;width:35.8pt;" coordsize="715,103">
                  <o:lock v:ext="edit"/>
                  <v:shape id="_x0000_s4512" o:spid="_x0000_s4512" style="position:absolute;left:0;top:0;height:15;width:44;" fillcolor="#5B9BD5" filled="t" stroked="f" coordsize="44,15" path="m0,14l43,14,43,0,0,0,0,14xe">
                    <v:path/>
                    <v:fill on="t" focussize="0,0"/>
                    <v:stroke on="f"/>
                    <v:imagedata o:title=""/>
                    <o:lock v:ext="edit"/>
                  </v:shape>
                  <v:shape id="_x0000_s4514" o:spid="_x0000_s4514" style="position:absolute;left:43;top:43;height:60;width:629;" fillcolor="#DEEAF6" filled="t" stroked="f" coordsize="629,60" path="m0,60l628,60,628,0,0,0,0,60xe">
                    <v:path/>
                    <v:fill on="t" focussize="0,0"/>
                    <v:stroke on="f"/>
                    <v:imagedata o:title=""/>
                    <o:lock v:ext="edit"/>
                  </v:shape>
                  <v:shape id="_x0000_s4516" o:spid="_x0000_s4516" style="position:absolute;left:671;top:0;height:15;width:44;" fillcolor="#5B9BD5" filled="t" stroked="f" coordsize="44,15" path="m0,14l43,14,43,0,0,0,0,14xe">
                    <v:path/>
                    <v:fill on="t" focussize="0,0"/>
                    <v:stroke on="f"/>
                    <v:imagedata o:title=""/>
                    <o:lock v:ext="edit"/>
                  </v:shape>
                  <v:shape id="_x0000_s4518" o:spid="_x0000_s4518" style="position:absolute;left:671;top:14;height:15;width:44;" fillcolor="#20507B" filled="t" stroked="f" coordsize="44,15" path="m0,14l43,14,43,0,0,0,0,14xe">
                    <v:path/>
                    <v:fill on="t" focussize="0,0"/>
                    <v:stroke on="f"/>
                    <v:imagedata o:title=""/>
                    <o:lock v:ext="edit"/>
                  </v:shape>
                  <v:shape id="_x0000_s4520" o:spid="_x0000_s4520" style="position:absolute;left:671;top:28;height:15;width:44;" fillcolor="#1C456A" filled="t" stroked="f" coordsize="44,15" path="m0,14l43,14,43,0,0,0,0,14xe">
                    <v:path/>
                    <v:fill on="t" focussize="0,0"/>
                    <v:stroke on="f"/>
                    <v:imagedata o:title=""/>
                    <o:lock v:ext="edit"/>
                  </v:shape>
                  <w10:wrap type="none"/>
                  <w10:anchorlock/>
                </v:group>
              </w:pict>
            </w:r>
          </w:p>
          <w:p w14:paraId="42F71CB2">
            <w:pPr>
              <w:pStyle w:val="7"/>
              <w:spacing w:before="266" w:line="218" w:lineRule="auto"/>
              <w:ind w:left="135"/>
            </w:pPr>
            <w:r>
              <w:rPr>
                <w:b/>
                <w:bCs/>
                <w:spacing w:val="-12"/>
              </w:rPr>
              <w:t>序号</w:t>
            </w:r>
          </w:p>
          <w:p w14:paraId="27599AA4">
            <w:pPr>
              <w:spacing w:line="379" w:lineRule="auto"/>
              <w:rPr>
                <w:rFonts w:ascii="Arial"/>
                <w:sz w:val="21"/>
              </w:rPr>
            </w:pPr>
          </w:p>
          <w:p w14:paraId="79C8A47F">
            <w:pPr>
              <w:spacing w:line="51" w:lineRule="exact"/>
              <w:ind w:firstLine="11"/>
            </w:pPr>
            <w:r>
              <w:rPr>
                <w:position w:val="-1"/>
              </w:rPr>
              <w:pict>
                <v:shape id="_x0000_s4522" o:spid="_x0000_s4522" style="height:2.9pt;width:32.8pt;" fillcolor="#DEEAF6" filled="t" stroked="f" coordsize="655,58" path="m0,57l655,57,655,0,0,0,0,57xe">
                  <v:path/>
                  <v:fill on="t" focussize="0,0"/>
                  <v:stroke on="f"/>
                  <v:imagedata o:title=""/>
                  <o:lock v:ext="edit"/>
                  <w10:wrap type="none"/>
                  <w10:anchorlock/>
                </v:shape>
              </w:pict>
            </w:r>
          </w:p>
        </w:tc>
        <w:tc>
          <w:tcPr>
            <w:tcW w:w="919" w:type="dxa"/>
            <w:tcBorders>
              <w:top w:val="single" w:color="000000" w:sz="4" w:space="0"/>
            </w:tcBorders>
            <w:shd w:val="clear" w:color="auto" w:fill="DEEAF6"/>
            <w:vAlign w:val="top"/>
          </w:tcPr>
          <w:p w14:paraId="2BE18A07">
            <w:pPr>
              <w:spacing w:line="279" w:lineRule="auto"/>
              <w:rPr>
                <w:rFonts w:ascii="Arial"/>
                <w:sz w:val="21"/>
              </w:rPr>
            </w:pPr>
          </w:p>
          <w:p w14:paraId="01290927">
            <w:pPr>
              <w:pStyle w:val="7"/>
              <w:spacing w:before="78" w:line="220" w:lineRule="auto"/>
              <w:ind w:left="250"/>
            </w:pPr>
            <w:r>
              <w:rPr>
                <w:b/>
                <w:bCs/>
                <w:spacing w:val="-13"/>
              </w:rPr>
              <w:t>分类</w:t>
            </w:r>
          </w:p>
        </w:tc>
        <w:tc>
          <w:tcPr>
            <w:tcW w:w="1296" w:type="dxa"/>
            <w:tcBorders>
              <w:top w:val="single" w:color="000000" w:sz="4" w:space="0"/>
            </w:tcBorders>
            <w:shd w:val="clear" w:color="auto" w:fill="DEEAF6"/>
            <w:vAlign w:val="top"/>
          </w:tcPr>
          <w:p w14:paraId="09256866">
            <w:pPr>
              <w:spacing w:line="93" w:lineRule="exact"/>
              <w:ind w:firstLine="32"/>
            </w:pPr>
            <w:r>
              <w:rPr>
                <w:position w:val="-1"/>
              </w:rPr>
              <w:pict>
                <v:group id="_x0000_s4524" o:spid="_x0000_s4524" o:spt="203" style="height:5.2pt;width:64.85pt;" coordsize="1296,103">
                  <o:lock v:ext="edit"/>
                  <v:shape id="_x0000_s4526" o:spid="_x0000_s4526" style="position:absolute;left:0;top:43;height:60;width:1254;" fillcolor="#DEEAF6" filled="t" stroked="f" coordsize="1254,60" path="m0,60l1253,60,1253,0,0,0,0,60xe">
                    <v:path/>
                    <v:fill on="t" focussize="0,0"/>
                    <v:stroke on="f"/>
                    <v:imagedata o:title=""/>
                    <o:lock v:ext="edit"/>
                  </v:shape>
                  <v:shape id="_x0000_s4528" o:spid="_x0000_s4528" style="position:absolute;left:1253;top:0;height:15;width:44;" fillcolor="#5B9BD5" filled="t" stroked="f" coordsize="44,15" path="m0,14l43,14,43,0,0,0,0,14xe">
                    <v:path/>
                    <v:fill on="t" focussize="0,0"/>
                    <v:stroke on="f"/>
                    <v:imagedata o:title=""/>
                    <o:lock v:ext="edit"/>
                  </v:shape>
                  <v:shape id="_x0000_s4530" o:spid="_x0000_s4530" style="position:absolute;left:1253;top:14;height:15;width:44;" fillcolor="#20507B" filled="t" stroked="f" coordsize="44,15" path="m0,14l43,14,43,0,0,0,0,14xe">
                    <v:path/>
                    <v:fill on="t" focussize="0,0"/>
                    <v:stroke on="f"/>
                    <v:imagedata o:title=""/>
                    <o:lock v:ext="edit"/>
                  </v:shape>
                  <v:shape id="_x0000_s4532" o:spid="_x0000_s4532" style="position:absolute;left:1253;top:28;height:15;width:44;" fillcolor="#1C456A" filled="t" stroked="f" coordsize="44,15" path="m0,14l43,14,43,0,0,0,0,14xe">
                    <v:path/>
                    <v:fill on="t" focussize="0,0"/>
                    <v:stroke on="f"/>
                    <v:imagedata o:title=""/>
                    <o:lock v:ext="edit"/>
                  </v:shape>
                  <w10:wrap type="none"/>
                  <w10:anchorlock/>
                </v:group>
              </w:pict>
            </w:r>
          </w:p>
          <w:p w14:paraId="16FF9EFF">
            <w:pPr>
              <w:pStyle w:val="7"/>
              <w:spacing w:before="266" w:line="220" w:lineRule="auto"/>
              <w:ind w:left="440"/>
            </w:pPr>
            <w:r>
              <w:rPr>
                <w:b/>
                <w:bCs/>
                <w:spacing w:val="-13"/>
              </w:rPr>
              <w:t>分项</w:t>
            </w:r>
          </w:p>
          <w:p w14:paraId="098C2FCD">
            <w:pPr>
              <w:spacing w:line="377" w:lineRule="auto"/>
              <w:rPr>
                <w:rFonts w:ascii="Arial"/>
                <w:sz w:val="21"/>
              </w:rPr>
            </w:pPr>
          </w:p>
          <w:p w14:paraId="1964AC77">
            <w:pPr>
              <w:spacing w:line="51" w:lineRule="exact"/>
            </w:pPr>
            <w:r>
              <w:rPr>
                <w:position w:val="-1"/>
              </w:rPr>
              <w:pict>
                <v:shape id="_x0000_s4534" o:spid="_x0000_s4534" style="height:2.9pt;width:64.85pt;" fillcolor="#DEEAF6" filled="t" stroked="f" coordsize="1296,58" path="m0,57l1296,57,1296,0,0,0,0,57xe">
                  <v:path/>
                  <v:fill on="t" focussize="0,0"/>
                  <v:stroke on="f"/>
                  <v:imagedata o:title=""/>
                  <o:lock v:ext="edit"/>
                  <w10:wrap type="none"/>
                  <w10:anchorlock/>
                </v:shape>
              </w:pict>
            </w:r>
          </w:p>
        </w:tc>
        <w:tc>
          <w:tcPr>
            <w:tcW w:w="5137" w:type="dxa"/>
            <w:tcBorders>
              <w:top w:val="single" w:color="000000" w:sz="4" w:space="0"/>
            </w:tcBorders>
            <w:shd w:val="clear" w:color="auto" w:fill="DEEAF6"/>
            <w:vAlign w:val="top"/>
          </w:tcPr>
          <w:p w14:paraId="078D961D">
            <w:pPr>
              <w:spacing w:line="280" w:lineRule="auto"/>
              <w:rPr>
                <w:rFonts w:ascii="Arial"/>
                <w:sz w:val="21"/>
              </w:rPr>
            </w:pPr>
          </w:p>
          <w:p w14:paraId="62012B0C">
            <w:pPr>
              <w:pStyle w:val="7"/>
              <w:spacing w:before="78" w:line="216" w:lineRule="auto"/>
              <w:ind w:left="1925"/>
            </w:pPr>
            <w:r>
              <w:rPr>
                <w:b/>
                <w:bCs/>
                <w:spacing w:val="-20"/>
              </w:rPr>
              <w:t>规划布置说明</w:t>
            </w:r>
          </w:p>
        </w:tc>
        <w:tc>
          <w:tcPr>
            <w:tcW w:w="95" w:type="dxa"/>
            <w:tcBorders>
              <w:top w:val="single" w:color="5B9BD5" w:sz="4" w:space="0"/>
              <w:right w:val="nil"/>
            </w:tcBorders>
            <w:shd w:val="clear" w:color="auto" w:fill="DEEAF6"/>
            <w:vAlign w:val="top"/>
          </w:tcPr>
          <w:p w14:paraId="63A601B1">
            <w:pPr>
              <w:spacing w:line="18" w:lineRule="exact"/>
            </w:pPr>
            <w:r>
              <w:pict>
                <v:group id="_x0000_s4536" o:spid="_x0000_s4536" o:spt="203" style="height:1.45pt;width:2.2pt;" coordsize="44,29">
                  <o:lock v:ext="edit"/>
                  <v:shape id="_x0000_s4538" o:spid="_x0000_s4538" style="position:absolute;left:0;top:0;height:15;width:44;" fillcolor="#5B9BD5" filled="t" stroked="f" coordsize="44,15" path="m0,14l43,14,43,0,0,0,0,14xe">
                    <v:path/>
                    <v:fill on="t" focussize="0,0"/>
                    <v:stroke on="f"/>
                    <v:imagedata o:title=""/>
                    <o:lock v:ext="edit"/>
                  </v:shape>
                  <v:shape id="_x0000_s4540" o:spid="_x0000_s4540" style="position:absolute;left:0;top:14;height:15;width:44;" fillcolor="#20507B" filled="t" stroked="f" coordsize="44,15" path="m0,14l43,14,43,0,0,0,0,14xe">
                    <v:path/>
                    <v:fill on="t" focussize="0,0"/>
                    <v:stroke on="f"/>
                    <v:imagedata o:title=""/>
                    <o:lock v:ext="edit"/>
                  </v:shape>
                  <w10:wrap type="none"/>
                  <w10:anchorlock/>
                </v:group>
              </w:pict>
            </w:r>
          </w:p>
        </w:tc>
        <w:tc>
          <w:tcPr>
            <w:tcW w:w="961" w:type="dxa"/>
            <w:tcBorders>
              <w:top w:val="single" w:color="5B9BD5" w:sz="4" w:space="0"/>
              <w:left w:val="nil"/>
              <w:right w:val="nil"/>
            </w:tcBorders>
            <w:shd w:val="clear" w:color="auto" w:fill="DEEAF6"/>
            <w:vAlign w:val="top"/>
          </w:tcPr>
          <w:p w14:paraId="71FC14EB">
            <w:pPr>
              <w:pStyle w:val="7"/>
              <w:spacing w:before="126" w:line="219" w:lineRule="auto"/>
              <w:ind w:left="60"/>
            </w:pPr>
            <w:r>
              <w:rPr>
                <w:b/>
                <w:bCs/>
                <w:spacing w:val="-21"/>
              </w:rPr>
              <w:t>管理责任</w:t>
            </w:r>
          </w:p>
          <w:p w14:paraId="56466A97">
            <w:pPr>
              <w:pStyle w:val="7"/>
              <w:spacing w:before="183" w:line="220" w:lineRule="auto"/>
              <w:ind w:left="382"/>
            </w:pPr>
            <w:r>
              <w:rPr>
                <w:b/>
                <w:bCs/>
                <w:spacing w:val="-3"/>
              </w:rPr>
              <w:t>方</w:t>
            </w:r>
          </w:p>
        </w:tc>
        <w:tc>
          <w:tcPr>
            <w:tcW w:w="83" w:type="dxa"/>
            <w:tcBorders>
              <w:top w:val="single" w:color="5B9BD5" w:sz="4" w:space="0"/>
              <w:left w:val="nil"/>
              <w:right w:val="single" w:color="5B9BD5" w:sz="4" w:space="0"/>
            </w:tcBorders>
            <w:vAlign w:val="top"/>
          </w:tcPr>
          <w:p w14:paraId="6B2F4FE2">
            <w:pPr>
              <w:rPr>
                <w:rFonts w:ascii="Arial"/>
                <w:sz w:val="21"/>
              </w:rPr>
            </w:pPr>
            <w:r>
              <w:pict>
                <v:shape id="_x0000_s4542" o:spid="_x0000_s4542" style="position:absolute;left:0pt;margin-left:2.3pt;margin-top:0pt;height:0.75pt;width:2.2pt;mso-position-horizontal-relative:page;mso-position-vertical-relative:page;z-index:252396544;mso-width-relative:page;mso-height-relative:page;" fillcolor="#5B9BD5" filled="t" stroked="f" coordsize="44,15" path="m0,14l43,14,43,0,0,0,0,14xe">
                  <v:path/>
                  <v:fill on="t" focussize="0,0"/>
                  <v:stroke on="f"/>
                  <v:imagedata o:title=""/>
                  <o:lock v:ext="edit"/>
                </v:shape>
              </w:pict>
            </w:r>
          </w:p>
        </w:tc>
      </w:tr>
      <w:tr w14:paraId="2BA62F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52" w:hRule="atLeast"/>
        </w:trPr>
        <w:tc>
          <w:tcPr>
            <w:tcW w:w="680" w:type="dxa"/>
            <w:gridSpan w:val="2"/>
            <w:tcBorders>
              <w:left w:val="single" w:color="000000" w:sz="4" w:space="0"/>
            </w:tcBorders>
            <w:vAlign w:val="top"/>
          </w:tcPr>
          <w:p w14:paraId="7B8666A7">
            <w:pPr>
              <w:spacing w:line="248" w:lineRule="auto"/>
              <w:rPr>
                <w:rFonts w:ascii="Arial"/>
                <w:sz w:val="21"/>
              </w:rPr>
            </w:pPr>
          </w:p>
          <w:p w14:paraId="147E7F00">
            <w:pPr>
              <w:pStyle w:val="7"/>
              <w:spacing w:before="78" w:line="238" w:lineRule="auto"/>
              <w:ind w:left="308"/>
            </w:pPr>
            <w:r>
              <w:t>1</w:t>
            </w:r>
          </w:p>
        </w:tc>
        <w:tc>
          <w:tcPr>
            <w:tcW w:w="919" w:type="dxa"/>
            <w:vMerge w:val="restart"/>
            <w:tcBorders>
              <w:bottom w:val="nil"/>
            </w:tcBorders>
            <w:vAlign w:val="top"/>
          </w:tcPr>
          <w:p w14:paraId="490DF643">
            <w:pPr>
              <w:spacing w:line="251" w:lineRule="auto"/>
              <w:rPr>
                <w:rFonts w:ascii="Arial"/>
                <w:sz w:val="21"/>
              </w:rPr>
            </w:pPr>
          </w:p>
          <w:p w14:paraId="2B66FEC7">
            <w:pPr>
              <w:spacing w:line="251" w:lineRule="auto"/>
              <w:rPr>
                <w:rFonts w:ascii="Arial"/>
                <w:sz w:val="21"/>
              </w:rPr>
            </w:pPr>
          </w:p>
          <w:p w14:paraId="172A3314">
            <w:pPr>
              <w:spacing w:line="252" w:lineRule="auto"/>
              <w:rPr>
                <w:rFonts w:ascii="Arial"/>
                <w:sz w:val="21"/>
              </w:rPr>
            </w:pPr>
          </w:p>
          <w:p w14:paraId="5385A176">
            <w:pPr>
              <w:spacing w:line="252" w:lineRule="auto"/>
              <w:rPr>
                <w:rFonts w:ascii="Arial"/>
                <w:sz w:val="21"/>
              </w:rPr>
            </w:pPr>
          </w:p>
          <w:p w14:paraId="08AACC48">
            <w:pPr>
              <w:spacing w:line="252" w:lineRule="auto"/>
              <w:rPr>
                <w:rFonts w:ascii="Arial"/>
                <w:sz w:val="21"/>
              </w:rPr>
            </w:pPr>
          </w:p>
          <w:p w14:paraId="53DADBEC">
            <w:pPr>
              <w:spacing w:line="252" w:lineRule="auto"/>
              <w:rPr>
                <w:rFonts w:ascii="Arial"/>
                <w:sz w:val="21"/>
              </w:rPr>
            </w:pPr>
          </w:p>
          <w:p w14:paraId="0C09FD59">
            <w:pPr>
              <w:spacing w:line="252" w:lineRule="auto"/>
              <w:rPr>
                <w:rFonts w:ascii="Arial"/>
                <w:sz w:val="21"/>
              </w:rPr>
            </w:pPr>
          </w:p>
          <w:p w14:paraId="730D9A3E">
            <w:pPr>
              <w:pStyle w:val="7"/>
              <w:spacing w:before="78" w:line="359" w:lineRule="auto"/>
              <w:ind w:left="63" w:right="36" w:firstLine="75"/>
            </w:pPr>
            <w:r>
              <w:rPr>
                <w:spacing w:val="-20"/>
              </w:rPr>
              <w:t>施工通</w:t>
            </w:r>
            <w:r>
              <w:rPr>
                <w:spacing w:val="-37"/>
              </w:rPr>
              <w:t>道、出入</w:t>
            </w:r>
          </w:p>
          <w:p w14:paraId="72129EEE">
            <w:pPr>
              <w:pStyle w:val="7"/>
              <w:spacing w:line="362" w:lineRule="auto"/>
              <w:ind w:left="271" w:right="36" w:hanging="166"/>
            </w:pPr>
            <w:r>
              <w:rPr>
                <w:spacing w:val="-48"/>
              </w:rPr>
              <w:t>口、临时</w:t>
            </w:r>
            <w:r>
              <w:rPr>
                <w:spacing w:val="-16"/>
              </w:rPr>
              <w:t>围墙</w:t>
            </w:r>
          </w:p>
        </w:tc>
        <w:tc>
          <w:tcPr>
            <w:tcW w:w="1296" w:type="dxa"/>
            <w:vAlign w:val="top"/>
          </w:tcPr>
          <w:p w14:paraId="4B744BE9">
            <w:pPr>
              <w:spacing w:line="247" w:lineRule="auto"/>
              <w:rPr>
                <w:rFonts w:ascii="Arial"/>
                <w:sz w:val="21"/>
              </w:rPr>
            </w:pPr>
          </w:p>
          <w:p w14:paraId="769BEB07">
            <w:pPr>
              <w:pStyle w:val="7"/>
              <w:spacing w:before="78" w:line="219" w:lineRule="auto"/>
              <w:ind w:left="110"/>
            </w:pPr>
            <w:r>
              <w:rPr>
                <w:spacing w:val="-17"/>
              </w:rPr>
              <w:t>现场出入口</w:t>
            </w:r>
          </w:p>
        </w:tc>
        <w:tc>
          <w:tcPr>
            <w:tcW w:w="5137" w:type="dxa"/>
            <w:vAlign w:val="top"/>
          </w:tcPr>
          <w:p w14:paraId="44201BCE">
            <w:pPr>
              <w:spacing w:line="248" w:lineRule="auto"/>
              <w:rPr>
                <w:rFonts w:ascii="Arial"/>
                <w:sz w:val="21"/>
              </w:rPr>
            </w:pPr>
          </w:p>
          <w:p w14:paraId="32AA9D77">
            <w:pPr>
              <w:pStyle w:val="7"/>
              <w:spacing w:before="78" w:line="215" w:lineRule="auto"/>
              <w:ind w:left="622"/>
            </w:pPr>
            <w:r>
              <w:rPr>
                <w:spacing w:val="-21"/>
              </w:rPr>
              <w:t>在施工区域合适位置进行布置现场出入口</w:t>
            </w:r>
          </w:p>
        </w:tc>
        <w:tc>
          <w:tcPr>
            <w:tcW w:w="1139" w:type="dxa"/>
            <w:gridSpan w:val="3"/>
            <w:tcBorders>
              <w:right w:val="single" w:color="000000" w:sz="4" w:space="0"/>
            </w:tcBorders>
            <w:vAlign w:val="top"/>
          </w:tcPr>
          <w:p w14:paraId="147EEEE1">
            <w:pPr>
              <w:pStyle w:val="7"/>
              <w:spacing w:before="94" w:line="220" w:lineRule="auto"/>
              <w:ind w:left="143"/>
            </w:pPr>
            <w:r>
              <w:rPr>
                <w:spacing w:val="-15"/>
              </w:rPr>
              <w:t>项目经理</w:t>
            </w:r>
          </w:p>
          <w:p w14:paraId="3AF11A61">
            <w:pPr>
              <w:pStyle w:val="7"/>
              <w:spacing w:before="180" w:line="218" w:lineRule="auto"/>
              <w:ind w:left="470"/>
            </w:pPr>
            <w:r>
              <w:t>部</w:t>
            </w:r>
          </w:p>
        </w:tc>
      </w:tr>
      <w:tr w14:paraId="52327C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17" w:hRule="atLeast"/>
        </w:trPr>
        <w:tc>
          <w:tcPr>
            <w:tcW w:w="680" w:type="dxa"/>
            <w:gridSpan w:val="2"/>
            <w:tcBorders>
              <w:left w:val="single" w:color="000000" w:sz="4" w:space="0"/>
            </w:tcBorders>
            <w:vAlign w:val="top"/>
          </w:tcPr>
          <w:p w14:paraId="42962212">
            <w:pPr>
              <w:rPr>
                <w:rFonts w:ascii="Arial"/>
                <w:sz w:val="21"/>
              </w:rPr>
            </w:pPr>
          </w:p>
          <w:p w14:paraId="42F26D51">
            <w:pPr>
              <w:spacing w:line="241" w:lineRule="auto"/>
              <w:rPr>
                <w:rFonts w:ascii="Arial"/>
                <w:sz w:val="21"/>
              </w:rPr>
            </w:pPr>
          </w:p>
          <w:p w14:paraId="64601BE1">
            <w:pPr>
              <w:pStyle w:val="7"/>
              <w:spacing w:before="78" w:line="238" w:lineRule="auto"/>
              <w:ind w:left="294"/>
            </w:pPr>
            <w:r>
              <w:t>2</w:t>
            </w:r>
          </w:p>
        </w:tc>
        <w:tc>
          <w:tcPr>
            <w:tcW w:w="919" w:type="dxa"/>
            <w:vMerge w:val="continue"/>
            <w:tcBorders>
              <w:top w:val="nil"/>
              <w:bottom w:val="nil"/>
            </w:tcBorders>
            <w:vAlign w:val="top"/>
          </w:tcPr>
          <w:p w14:paraId="702E190C">
            <w:pPr>
              <w:rPr>
                <w:rFonts w:ascii="Arial"/>
                <w:sz w:val="21"/>
              </w:rPr>
            </w:pPr>
          </w:p>
        </w:tc>
        <w:tc>
          <w:tcPr>
            <w:tcW w:w="1296" w:type="dxa"/>
            <w:vAlign w:val="top"/>
          </w:tcPr>
          <w:p w14:paraId="6A9AF7EE">
            <w:pPr>
              <w:spacing w:line="249" w:lineRule="auto"/>
              <w:rPr>
                <w:rFonts w:ascii="Arial"/>
                <w:sz w:val="21"/>
              </w:rPr>
            </w:pPr>
          </w:p>
          <w:p w14:paraId="4C52625E">
            <w:pPr>
              <w:pStyle w:val="7"/>
              <w:spacing w:before="78" w:line="219" w:lineRule="auto"/>
              <w:ind w:left="110"/>
            </w:pPr>
            <w:r>
              <w:rPr>
                <w:spacing w:val="-17"/>
              </w:rPr>
              <w:t>现场临时道</w:t>
            </w:r>
          </w:p>
          <w:p w14:paraId="2A8D0B92">
            <w:pPr>
              <w:pStyle w:val="7"/>
              <w:spacing w:before="180" w:line="219" w:lineRule="auto"/>
              <w:ind w:left="545"/>
            </w:pPr>
            <w:r>
              <w:t>路</w:t>
            </w:r>
          </w:p>
        </w:tc>
        <w:tc>
          <w:tcPr>
            <w:tcW w:w="5137" w:type="dxa"/>
            <w:vAlign w:val="top"/>
          </w:tcPr>
          <w:p w14:paraId="0893CA56">
            <w:pPr>
              <w:pStyle w:val="7"/>
              <w:spacing w:before="98" w:line="359" w:lineRule="auto"/>
              <w:ind w:left="70" w:firstLine="4"/>
              <w:jc w:val="both"/>
            </w:pPr>
            <w:r>
              <w:rPr>
                <w:spacing w:val="-24"/>
              </w:rPr>
              <w:t>设置场内临时道路。开设道口及道口位置应做好减速带设置及相关警示标志标牌。可便于施工区域内交通</w:t>
            </w:r>
            <w:r>
              <w:rPr>
                <w:spacing w:val="-29"/>
              </w:rPr>
              <w:t>运输，减少扬尘，符合现场规划整齐，文明卫</w:t>
            </w:r>
            <w:r>
              <w:rPr>
                <w:spacing w:val="-30"/>
              </w:rPr>
              <w:t>生要求。</w:t>
            </w:r>
          </w:p>
        </w:tc>
        <w:tc>
          <w:tcPr>
            <w:tcW w:w="1139" w:type="dxa"/>
            <w:gridSpan w:val="3"/>
            <w:tcBorders>
              <w:right w:val="single" w:color="000000" w:sz="4" w:space="0"/>
            </w:tcBorders>
            <w:vAlign w:val="top"/>
          </w:tcPr>
          <w:p w14:paraId="16792890">
            <w:pPr>
              <w:spacing w:line="248" w:lineRule="auto"/>
              <w:rPr>
                <w:rFonts w:ascii="Arial"/>
                <w:sz w:val="21"/>
              </w:rPr>
            </w:pPr>
          </w:p>
          <w:p w14:paraId="5610AB46">
            <w:pPr>
              <w:pStyle w:val="7"/>
              <w:spacing w:before="78" w:line="220" w:lineRule="auto"/>
              <w:ind w:left="143"/>
            </w:pPr>
            <w:r>
              <w:rPr>
                <w:spacing w:val="-15"/>
              </w:rPr>
              <w:t>项目经理</w:t>
            </w:r>
          </w:p>
          <w:p w14:paraId="51B8EE17">
            <w:pPr>
              <w:pStyle w:val="7"/>
              <w:spacing w:before="180" w:line="218" w:lineRule="auto"/>
              <w:ind w:left="470"/>
            </w:pPr>
            <w:r>
              <w:t>部</w:t>
            </w:r>
          </w:p>
        </w:tc>
      </w:tr>
      <w:tr w14:paraId="22706E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17" w:hRule="atLeast"/>
        </w:trPr>
        <w:tc>
          <w:tcPr>
            <w:tcW w:w="680" w:type="dxa"/>
            <w:gridSpan w:val="2"/>
            <w:tcBorders>
              <w:left w:val="single" w:color="000000" w:sz="4" w:space="0"/>
            </w:tcBorders>
            <w:vAlign w:val="top"/>
          </w:tcPr>
          <w:p w14:paraId="068E7F04">
            <w:pPr>
              <w:spacing w:line="294" w:lineRule="auto"/>
              <w:rPr>
                <w:rFonts w:ascii="Arial"/>
                <w:sz w:val="21"/>
              </w:rPr>
            </w:pPr>
          </w:p>
          <w:p w14:paraId="43F7A985">
            <w:pPr>
              <w:spacing w:line="295" w:lineRule="auto"/>
              <w:rPr>
                <w:rFonts w:ascii="Arial"/>
                <w:sz w:val="21"/>
              </w:rPr>
            </w:pPr>
          </w:p>
          <w:p w14:paraId="26055A31">
            <w:pPr>
              <w:spacing w:line="295" w:lineRule="auto"/>
              <w:rPr>
                <w:rFonts w:ascii="Arial"/>
                <w:sz w:val="21"/>
              </w:rPr>
            </w:pPr>
          </w:p>
          <w:p w14:paraId="4874CAB2">
            <w:pPr>
              <w:spacing w:line="295" w:lineRule="auto"/>
              <w:rPr>
                <w:rFonts w:ascii="Arial"/>
                <w:sz w:val="21"/>
              </w:rPr>
            </w:pPr>
          </w:p>
          <w:p w14:paraId="45484712">
            <w:pPr>
              <w:pStyle w:val="7"/>
              <w:spacing w:before="78" w:line="237" w:lineRule="auto"/>
              <w:ind w:left="296"/>
            </w:pPr>
            <w:r>
              <w:t>3</w:t>
            </w:r>
          </w:p>
        </w:tc>
        <w:tc>
          <w:tcPr>
            <w:tcW w:w="919" w:type="dxa"/>
            <w:vMerge w:val="continue"/>
            <w:tcBorders>
              <w:top w:val="nil"/>
            </w:tcBorders>
            <w:vAlign w:val="top"/>
          </w:tcPr>
          <w:p w14:paraId="3C1B49D3">
            <w:pPr>
              <w:rPr>
                <w:rFonts w:ascii="Arial"/>
                <w:sz w:val="21"/>
              </w:rPr>
            </w:pPr>
          </w:p>
        </w:tc>
        <w:tc>
          <w:tcPr>
            <w:tcW w:w="1296" w:type="dxa"/>
            <w:vAlign w:val="top"/>
          </w:tcPr>
          <w:p w14:paraId="6E3C255A">
            <w:pPr>
              <w:spacing w:line="316" w:lineRule="auto"/>
              <w:rPr>
                <w:rFonts w:ascii="Arial"/>
                <w:sz w:val="21"/>
              </w:rPr>
            </w:pPr>
          </w:p>
          <w:p w14:paraId="182DCF43">
            <w:pPr>
              <w:spacing w:line="316" w:lineRule="auto"/>
              <w:rPr>
                <w:rFonts w:ascii="Arial"/>
                <w:sz w:val="21"/>
              </w:rPr>
            </w:pPr>
          </w:p>
          <w:p w14:paraId="20E14E28">
            <w:pPr>
              <w:spacing w:line="316" w:lineRule="auto"/>
              <w:rPr>
                <w:rFonts w:ascii="Arial"/>
                <w:sz w:val="21"/>
              </w:rPr>
            </w:pPr>
          </w:p>
          <w:p w14:paraId="41A6C5C6">
            <w:pPr>
              <w:pStyle w:val="7"/>
              <w:spacing w:before="78" w:line="219" w:lineRule="auto"/>
              <w:ind w:left="110"/>
            </w:pPr>
            <w:r>
              <w:rPr>
                <w:spacing w:val="-17"/>
              </w:rPr>
              <w:t>施工临时围</w:t>
            </w:r>
          </w:p>
          <w:p w14:paraId="531C6F6A">
            <w:pPr>
              <w:pStyle w:val="7"/>
              <w:spacing w:before="180" w:line="219" w:lineRule="auto"/>
              <w:ind w:left="546"/>
            </w:pPr>
            <w:r>
              <w:t>墙</w:t>
            </w:r>
          </w:p>
        </w:tc>
        <w:tc>
          <w:tcPr>
            <w:tcW w:w="5137" w:type="dxa"/>
            <w:vAlign w:val="top"/>
          </w:tcPr>
          <w:p w14:paraId="381F42F2">
            <w:pPr>
              <w:pStyle w:val="7"/>
              <w:spacing w:before="98" w:line="218" w:lineRule="auto"/>
              <w:ind w:left="102"/>
            </w:pPr>
            <w:r>
              <w:rPr>
                <w:spacing w:val="-21"/>
              </w:rPr>
              <w:t>所有施工工地严格落实标准化围挡（3米高度，外观</w:t>
            </w:r>
          </w:p>
          <w:p w14:paraId="0981EBA9">
            <w:pPr>
              <w:pStyle w:val="7"/>
              <w:spacing w:before="181" w:line="216" w:lineRule="auto"/>
              <w:ind w:left="109"/>
            </w:pPr>
            <w:r>
              <w:rPr>
                <w:spacing w:val="-21"/>
              </w:rPr>
              <w:t>干净整洁）并沿围挡每隔（最大）5米设自动喷</w:t>
            </w:r>
            <w:r>
              <w:rPr>
                <w:spacing w:val="-22"/>
              </w:rPr>
              <w:t>淋降</w:t>
            </w:r>
          </w:p>
          <w:p w14:paraId="3DB3C37E">
            <w:pPr>
              <w:pStyle w:val="7"/>
              <w:spacing w:before="187" w:line="217" w:lineRule="auto"/>
              <w:ind w:left="77"/>
            </w:pPr>
            <w:r>
              <w:rPr>
                <w:spacing w:val="-22"/>
              </w:rPr>
              <w:t>尘系统，落实出入口自动冲洗平台、出入口硬化、工</w:t>
            </w:r>
          </w:p>
          <w:p w14:paraId="0CFB19EE">
            <w:pPr>
              <w:pStyle w:val="7"/>
              <w:spacing w:before="184" w:line="218" w:lineRule="auto"/>
              <w:ind w:left="76"/>
            </w:pPr>
            <w:r>
              <w:rPr>
                <w:spacing w:val="-21"/>
              </w:rPr>
              <w:t>地内临时道路硬化、视频监控及扬尘自动监控系统等</w:t>
            </w:r>
          </w:p>
          <w:p w14:paraId="58595546">
            <w:pPr>
              <w:pStyle w:val="7"/>
              <w:spacing w:before="184" w:line="218" w:lineRule="auto"/>
              <w:ind w:left="1166"/>
            </w:pPr>
            <w:r>
              <w:rPr>
                <w:spacing w:val="-21"/>
              </w:rPr>
              <w:t>各项扬尘污染防治措施，经主</w:t>
            </w:r>
          </w:p>
          <w:p w14:paraId="00A54038">
            <w:pPr>
              <w:pStyle w:val="7"/>
              <w:spacing w:before="183" w:line="217" w:lineRule="auto"/>
              <w:ind w:left="415"/>
            </w:pPr>
            <w:r>
              <w:rPr>
                <w:spacing w:val="-22"/>
              </w:rPr>
              <w:t>管部门验收合格后方可开工（或续工）建设。</w:t>
            </w:r>
          </w:p>
        </w:tc>
        <w:tc>
          <w:tcPr>
            <w:tcW w:w="1139" w:type="dxa"/>
            <w:gridSpan w:val="3"/>
            <w:tcBorders>
              <w:right w:val="single" w:color="000000" w:sz="4" w:space="0"/>
            </w:tcBorders>
            <w:vAlign w:val="top"/>
          </w:tcPr>
          <w:p w14:paraId="1099B062">
            <w:pPr>
              <w:spacing w:line="315" w:lineRule="auto"/>
              <w:rPr>
                <w:rFonts w:ascii="Arial"/>
                <w:sz w:val="21"/>
              </w:rPr>
            </w:pPr>
          </w:p>
          <w:p w14:paraId="43B9243E">
            <w:pPr>
              <w:spacing w:line="316" w:lineRule="auto"/>
              <w:rPr>
                <w:rFonts w:ascii="Arial"/>
                <w:sz w:val="21"/>
              </w:rPr>
            </w:pPr>
          </w:p>
          <w:p w14:paraId="4CF02535">
            <w:pPr>
              <w:spacing w:line="316" w:lineRule="auto"/>
              <w:rPr>
                <w:rFonts w:ascii="Arial"/>
                <w:sz w:val="21"/>
              </w:rPr>
            </w:pPr>
          </w:p>
          <w:p w14:paraId="5E0D6172">
            <w:pPr>
              <w:pStyle w:val="7"/>
              <w:spacing w:before="78" w:line="220" w:lineRule="auto"/>
              <w:ind w:left="143"/>
            </w:pPr>
            <w:r>
              <w:rPr>
                <w:spacing w:val="-15"/>
              </w:rPr>
              <w:t>项目经理</w:t>
            </w:r>
          </w:p>
          <w:p w14:paraId="0A49C853">
            <w:pPr>
              <w:pStyle w:val="7"/>
              <w:spacing w:before="180" w:line="218" w:lineRule="auto"/>
              <w:ind w:left="470"/>
            </w:pPr>
            <w:r>
              <w:t>部</w:t>
            </w:r>
          </w:p>
        </w:tc>
      </w:tr>
      <w:tr w14:paraId="3896CA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4" w:hRule="atLeast"/>
        </w:trPr>
        <w:tc>
          <w:tcPr>
            <w:tcW w:w="171" w:type="dxa"/>
            <w:tcBorders>
              <w:left w:val="single" w:color="1C456A" w:sz="4" w:space="0"/>
              <w:bottom w:val="single" w:color="1C456A" w:sz="4" w:space="0"/>
              <w:right w:val="nil"/>
            </w:tcBorders>
            <w:vAlign w:val="top"/>
          </w:tcPr>
          <w:p w14:paraId="75DABB2A">
            <w:pPr>
              <w:rPr>
                <w:rFonts w:ascii="Arial"/>
                <w:sz w:val="21"/>
              </w:rPr>
            </w:pPr>
            <w:r>
              <w:pict>
                <v:shape id="_x0000_s4544" o:spid="_x0000_s4544" style="position:absolute;left:0pt;margin-left:-0.25pt;margin-top:32.2pt;height:0.75pt;width:2.2pt;mso-position-horizontal-relative:page;mso-position-vertical-relative:page;z-index:252395520;mso-width-relative:page;mso-height-relative:page;" fillcolor="#5B9BD5" filled="t" stroked="f" coordsize="44,15" path="m0,14l43,14,43,0,0,0,0,14xe">
                  <v:path/>
                  <v:fill on="t" focussize="0,0"/>
                  <v:stroke on="f"/>
                  <v:imagedata o:title=""/>
                  <o:lock v:ext="edit"/>
                </v:shape>
              </w:pict>
            </w:r>
          </w:p>
        </w:tc>
        <w:tc>
          <w:tcPr>
            <w:tcW w:w="509" w:type="dxa"/>
            <w:tcBorders>
              <w:left w:val="nil"/>
              <w:bottom w:val="single" w:color="1C456A" w:sz="4" w:space="0"/>
            </w:tcBorders>
            <w:vAlign w:val="top"/>
          </w:tcPr>
          <w:p w14:paraId="0E97B34A">
            <w:pPr>
              <w:pStyle w:val="7"/>
              <w:spacing w:before="112" w:line="238" w:lineRule="auto"/>
              <w:ind w:left="124"/>
            </w:pPr>
            <w:r>
              <w:t>4</w:t>
            </w:r>
          </w:p>
        </w:tc>
        <w:tc>
          <w:tcPr>
            <w:tcW w:w="919" w:type="dxa"/>
            <w:tcBorders>
              <w:bottom w:val="single" w:color="000000" w:sz="4" w:space="0"/>
            </w:tcBorders>
            <w:vAlign w:val="top"/>
          </w:tcPr>
          <w:p w14:paraId="33EB7DC9">
            <w:pPr>
              <w:pStyle w:val="7"/>
              <w:spacing w:before="112" w:line="218" w:lineRule="auto"/>
              <w:ind w:left="138"/>
            </w:pPr>
            <w:r>
              <w:rPr>
                <w:spacing w:val="-13"/>
              </w:rPr>
              <w:t>现场排</w:t>
            </w:r>
          </w:p>
        </w:tc>
        <w:tc>
          <w:tcPr>
            <w:tcW w:w="1296" w:type="dxa"/>
            <w:tcBorders>
              <w:bottom w:val="single" w:color="000000" w:sz="4" w:space="0"/>
            </w:tcBorders>
            <w:vAlign w:val="top"/>
          </w:tcPr>
          <w:p w14:paraId="1053E0AC">
            <w:pPr>
              <w:pStyle w:val="7"/>
              <w:spacing w:before="112" w:line="218" w:lineRule="auto"/>
              <w:ind w:left="125"/>
            </w:pPr>
            <w:r>
              <w:rPr>
                <w:spacing w:val="-20"/>
              </w:rPr>
              <w:t>生产区排水</w:t>
            </w:r>
          </w:p>
        </w:tc>
        <w:tc>
          <w:tcPr>
            <w:tcW w:w="5137" w:type="dxa"/>
            <w:tcBorders>
              <w:bottom w:val="single" w:color="000000" w:sz="4" w:space="0"/>
            </w:tcBorders>
            <w:vAlign w:val="top"/>
          </w:tcPr>
          <w:p w14:paraId="73E6B900">
            <w:pPr>
              <w:pStyle w:val="7"/>
              <w:spacing w:before="112" w:line="218" w:lineRule="auto"/>
              <w:ind w:left="401"/>
            </w:pPr>
            <w:r>
              <w:rPr>
                <w:spacing w:val="-22"/>
              </w:rPr>
              <w:t>雨水，施工废水经沉淀后排入市政雨水管网。</w:t>
            </w:r>
          </w:p>
        </w:tc>
        <w:tc>
          <w:tcPr>
            <w:tcW w:w="1139" w:type="dxa"/>
            <w:gridSpan w:val="3"/>
            <w:tcBorders>
              <w:bottom w:val="single" w:color="5B9BD5" w:sz="4" w:space="0"/>
              <w:right w:val="single" w:color="5B9BD5" w:sz="4" w:space="0"/>
            </w:tcBorders>
            <w:vAlign w:val="top"/>
          </w:tcPr>
          <w:p w14:paraId="0EA91E7E">
            <w:pPr>
              <w:pStyle w:val="7"/>
              <w:spacing w:before="111" w:line="220" w:lineRule="auto"/>
              <w:ind w:left="143"/>
            </w:pPr>
            <w:r>
              <w:pict>
                <v:shape id="_x0000_s4546" o:spid="_x0000_s4546" style="position:absolute;left:0pt;margin-left:55.1pt;margin-top:32.2pt;height:0.75pt;width:2.2pt;mso-position-horizontal-relative:page;mso-position-vertical-relative:page;z-index:252394496;mso-width-relative:page;mso-height-relative:page;" fillcolor="#5B9BD5" filled="t" stroked="f" coordsize="44,15" path="m0,14l43,14,43,0,0,0,0,14xe">
                  <v:path/>
                  <v:fill on="t" focussize="0,0"/>
                  <v:stroke on="f"/>
                  <v:imagedata o:title=""/>
                  <o:lock v:ext="edit"/>
                </v:shape>
              </w:pict>
            </w:r>
            <w:r>
              <w:rPr>
                <w:spacing w:val="-15"/>
              </w:rPr>
              <w:t>项目经理</w:t>
            </w:r>
          </w:p>
        </w:tc>
      </w:tr>
    </w:tbl>
    <w:p w14:paraId="164A4821">
      <w:pPr>
        <w:rPr>
          <w:rFonts w:ascii="Arial"/>
          <w:sz w:val="21"/>
        </w:rPr>
      </w:pPr>
    </w:p>
    <w:p w14:paraId="308661E0">
      <w:pPr>
        <w:rPr>
          <w:rFonts w:ascii="Arial" w:hAnsi="Arial" w:eastAsia="Arial" w:cs="Arial"/>
          <w:sz w:val="21"/>
          <w:szCs w:val="21"/>
        </w:rPr>
        <w:sectPr>
          <w:footerReference r:id="rId412" w:type="default"/>
          <w:pgSz w:w="11907" w:h="16839"/>
          <w:pgMar w:top="933" w:right="4" w:bottom="1038" w:left="0" w:header="478" w:footer="357" w:gutter="0"/>
          <w:pgBorders>
            <w:top w:val="none" w:sz="0" w:space="0"/>
            <w:left w:val="none" w:sz="0" w:space="0"/>
            <w:bottom w:val="none" w:sz="0" w:space="0"/>
            <w:right w:val="none" w:sz="0" w:space="0"/>
          </w:pgBorders>
          <w:cols w:space="720" w:num="1"/>
        </w:sectPr>
      </w:pPr>
    </w:p>
    <w:p w14:paraId="63117961">
      <w:pPr>
        <w:spacing w:line="235" w:lineRule="exact"/>
      </w:pPr>
    </w:p>
    <w:tbl>
      <w:tblPr>
        <w:tblStyle w:val="6"/>
        <w:tblW w:w="9171" w:type="dxa"/>
        <w:tblInd w:w="136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76"/>
        <w:gridCol w:w="923"/>
        <w:gridCol w:w="1295"/>
        <w:gridCol w:w="5138"/>
        <w:gridCol w:w="1139"/>
      </w:tblGrid>
      <w:tr w14:paraId="61AF3F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0" w:hRule="atLeast"/>
        </w:trPr>
        <w:tc>
          <w:tcPr>
            <w:tcW w:w="676" w:type="dxa"/>
            <w:tcBorders>
              <w:top w:val="single" w:color="000000" w:sz="4" w:space="0"/>
              <w:left w:val="single" w:color="000000" w:sz="4" w:space="0"/>
            </w:tcBorders>
            <w:vAlign w:val="top"/>
          </w:tcPr>
          <w:p w14:paraId="64324E8A">
            <w:pPr>
              <w:rPr>
                <w:rFonts w:ascii="Arial"/>
                <w:sz w:val="21"/>
              </w:rPr>
            </w:pPr>
          </w:p>
        </w:tc>
        <w:tc>
          <w:tcPr>
            <w:tcW w:w="923" w:type="dxa"/>
            <w:vMerge w:val="restart"/>
            <w:tcBorders>
              <w:top w:val="single" w:color="000000" w:sz="4" w:space="0"/>
              <w:bottom w:val="nil"/>
            </w:tcBorders>
            <w:vAlign w:val="top"/>
          </w:tcPr>
          <w:p w14:paraId="4ACFA377">
            <w:pPr>
              <w:pStyle w:val="7"/>
              <w:spacing w:before="130" w:line="361" w:lineRule="auto"/>
              <w:ind w:left="365" w:right="113" w:hanging="223"/>
            </w:pPr>
            <w:r>
              <w:rPr>
                <w:spacing w:val="-20"/>
              </w:rPr>
              <w:t>水与排</w:t>
            </w:r>
            <w:r>
              <w:t>污</w:t>
            </w:r>
          </w:p>
        </w:tc>
        <w:tc>
          <w:tcPr>
            <w:tcW w:w="1295" w:type="dxa"/>
            <w:tcBorders>
              <w:top w:val="single" w:color="000000" w:sz="4" w:space="0"/>
            </w:tcBorders>
            <w:vAlign w:val="top"/>
          </w:tcPr>
          <w:p w14:paraId="6DE3B8AB">
            <w:pPr>
              <w:rPr>
                <w:rFonts w:ascii="Arial"/>
                <w:sz w:val="21"/>
              </w:rPr>
            </w:pPr>
          </w:p>
        </w:tc>
        <w:tc>
          <w:tcPr>
            <w:tcW w:w="5138" w:type="dxa"/>
            <w:tcBorders>
              <w:top w:val="single" w:color="000000" w:sz="4" w:space="0"/>
            </w:tcBorders>
            <w:vAlign w:val="top"/>
          </w:tcPr>
          <w:p w14:paraId="29C32EA4">
            <w:pPr>
              <w:rPr>
                <w:rFonts w:ascii="Arial"/>
                <w:sz w:val="21"/>
              </w:rPr>
            </w:pPr>
          </w:p>
        </w:tc>
        <w:tc>
          <w:tcPr>
            <w:tcW w:w="1139" w:type="dxa"/>
            <w:tcBorders>
              <w:top w:val="single" w:color="5B9BD5" w:sz="4" w:space="0"/>
              <w:right w:val="single" w:color="5B9BD5" w:sz="4" w:space="0"/>
            </w:tcBorders>
            <w:vAlign w:val="top"/>
          </w:tcPr>
          <w:p w14:paraId="5AF9454F">
            <w:pPr>
              <w:pStyle w:val="7"/>
              <w:spacing w:before="129" w:line="218" w:lineRule="auto"/>
              <w:ind w:left="470"/>
            </w:pPr>
            <w:r>
              <w:t>部</w:t>
            </w:r>
          </w:p>
        </w:tc>
      </w:tr>
      <w:tr w14:paraId="62EF3F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18" w:hRule="atLeast"/>
        </w:trPr>
        <w:tc>
          <w:tcPr>
            <w:tcW w:w="676" w:type="dxa"/>
            <w:tcBorders>
              <w:left w:val="single" w:color="000000" w:sz="4" w:space="0"/>
            </w:tcBorders>
            <w:vAlign w:val="top"/>
          </w:tcPr>
          <w:p w14:paraId="324914A0">
            <w:pPr>
              <w:spacing w:line="478" w:lineRule="auto"/>
              <w:rPr>
                <w:rFonts w:ascii="Arial"/>
                <w:sz w:val="21"/>
              </w:rPr>
            </w:pPr>
          </w:p>
          <w:p w14:paraId="3A745627">
            <w:pPr>
              <w:pStyle w:val="7"/>
              <w:spacing w:before="78" w:line="237" w:lineRule="auto"/>
              <w:ind w:left="296"/>
            </w:pPr>
            <w:r>
              <w:t>5</w:t>
            </w:r>
          </w:p>
        </w:tc>
        <w:tc>
          <w:tcPr>
            <w:tcW w:w="923" w:type="dxa"/>
            <w:vMerge w:val="continue"/>
            <w:tcBorders>
              <w:top w:val="nil"/>
            </w:tcBorders>
            <w:vAlign w:val="top"/>
          </w:tcPr>
          <w:p w14:paraId="310EC712">
            <w:pPr>
              <w:rPr>
                <w:rFonts w:ascii="Arial"/>
                <w:sz w:val="21"/>
              </w:rPr>
            </w:pPr>
          </w:p>
        </w:tc>
        <w:tc>
          <w:tcPr>
            <w:tcW w:w="1295" w:type="dxa"/>
            <w:vAlign w:val="top"/>
          </w:tcPr>
          <w:p w14:paraId="33963DC1">
            <w:pPr>
              <w:pStyle w:val="7"/>
              <w:spacing w:before="93" w:line="220" w:lineRule="auto"/>
              <w:ind w:left="118"/>
            </w:pPr>
            <w:r>
              <w:rPr>
                <w:spacing w:val="-19"/>
              </w:rPr>
              <w:t>办公、生活</w:t>
            </w:r>
          </w:p>
          <w:p w14:paraId="54690925">
            <w:pPr>
              <w:pStyle w:val="7"/>
              <w:spacing w:before="180" w:line="218" w:lineRule="auto"/>
              <w:ind w:left="131"/>
            </w:pPr>
            <w:r>
              <w:rPr>
                <w:spacing w:val="-21"/>
              </w:rPr>
              <w:t>区排水与排</w:t>
            </w:r>
          </w:p>
          <w:p w14:paraId="3C19892C">
            <w:pPr>
              <w:pStyle w:val="7"/>
              <w:spacing w:before="184" w:line="221" w:lineRule="auto"/>
              <w:ind w:left="552"/>
            </w:pPr>
            <w:r>
              <w:t>污</w:t>
            </w:r>
          </w:p>
        </w:tc>
        <w:tc>
          <w:tcPr>
            <w:tcW w:w="5138" w:type="dxa"/>
            <w:vAlign w:val="top"/>
          </w:tcPr>
          <w:p w14:paraId="3EE98CBE">
            <w:pPr>
              <w:spacing w:line="247" w:lineRule="auto"/>
              <w:rPr>
                <w:rFonts w:ascii="Arial"/>
                <w:sz w:val="21"/>
              </w:rPr>
            </w:pPr>
          </w:p>
          <w:p w14:paraId="51AA8AD8">
            <w:pPr>
              <w:pStyle w:val="7"/>
              <w:spacing w:before="78" w:line="218" w:lineRule="auto"/>
              <w:ind w:left="79"/>
            </w:pPr>
            <w:r>
              <w:rPr>
                <w:spacing w:val="-21"/>
              </w:rPr>
              <w:t>分雨水明沟及食堂、卫生间污水暗沟。污水经化粪池</w:t>
            </w:r>
          </w:p>
          <w:p w14:paraId="69F7F3AF">
            <w:pPr>
              <w:pStyle w:val="7"/>
              <w:spacing w:before="184" w:line="218" w:lineRule="auto"/>
              <w:ind w:left="735"/>
            </w:pPr>
            <w:r>
              <w:rPr>
                <w:spacing w:val="-21"/>
              </w:rPr>
              <w:t>沉淀后，通过管道排入市政污水管网。</w:t>
            </w:r>
          </w:p>
        </w:tc>
        <w:tc>
          <w:tcPr>
            <w:tcW w:w="1139" w:type="dxa"/>
            <w:tcBorders>
              <w:right w:val="single" w:color="000000" w:sz="4" w:space="0"/>
            </w:tcBorders>
            <w:vAlign w:val="top"/>
          </w:tcPr>
          <w:p w14:paraId="58D48357">
            <w:pPr>
              <w:spacing w:line="247" w:lineRule="auto"/>
              <w:rPr>
                <w:rFonts w:ascii="Arial"/>
                <w:sz w:val="21"/>
              </w:rPr>
            </w:pPr>
          </w:p>
          <w:p w14:paraId="75E94FDD">
            <w:pPr>
              <w:pStyle w:val="7"/>
              <w:spacing w:before="78" w:line="220" w:lineRule="auto"/>
              <w:ind w:left="143"/>
            </w:pPr>
            <w:r>
              <w:rPr>
                <w:spacing w:val="-15"/>
              </w:rPr>
              <w:t>项目经理</w:t>
            </w:r>
          </w:p>
          <w:p w14:paraId="6CA07FF3">
            <w:pPr>
              <w:pStyle w:val="7"/>
              <w:spacing w:before="182" w:line="218" w:lineRule="auto"/>
              <w:ind w:left="470"/>
            </w:pPr>
            <w:r>
              <w:t>部</w:t>
            </w:r>
          </w:p>
        </w:tc>
      </w:tr>
      <w:tr w14:paraId="7F22EF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52" w:hRule="atLeast"/>
        </w:trPr>
        <w:tc>
          <w:tcPr>
            <w:tcW w:w="676" w:type="dxa"/>
            <w:tcBorders>
              <w:left w:val="single" w:color="000000" w:sz="4" w:space="0"/>
            </w:tcBorders>
            <w:vAlign w:val="top"/>
          </w:tcPr>
          <w:p w14:paraId="01247866">
            <w:pPr>
              <w:spacing w:line="248" w:lineRule="auto"/>
              <w:rPr>
                <w:rFonts w:ascii="Arial"/>
                <w:sz w:val="21"/>
              </w:rPr>
            </w:pPr>
          </w:p>
          <w:p w14:paraId="1E514130">
            <w:pPr>
              <w:pStyle w:val="7"/>
              <w:spacing w:before="78" w:line="237" w:lineRule="auto"/>
              <w:ind w:left="293"/>
            </w:pPr>
            <w:r>
              <w:t>6</w:t>
            </w:r>
          </w:p>
        </w:tc>
        <w:tc>
          <w:tcPr>
            <w:tcW w:w="923" w:type="dxa"/>
            <w:vMerge w:val="restart"/>
            <w:tcBorders>
              <w:bottom w:val="nil"/>
            </w:tcBorders>
            <w:vAlign w:val="top"/>
          </w:tcPr>
          <w:p w14:paraId="0151549A">
            <w:pPr>
              <w:spacing w:line="272" w:lineRule="auto"/>
              <w:rPr>
                <w:rFonts w:ascii="Arial"/>
                <w:sz w:val="21"/>
              </w:rPr>
            </w:pPr>
          </w:p>
          <w:p w14:paraId="348E5A58">
            <w:pPr>
              <w:spacing w:line="272" w:lineRule="auto"/>
              <w:rPr>
                <w:rFonts w:ascii="Arial"/>
                <w:sz w:val="21"/>
              </w:rPr>
            </w:pPr>
          </w:p>
          <w:p w14:paraId="10B625E8">
            <w:pPr>
              <w:pStyle w:val="7"/>
              <w:spacing w:before="78" w:line="219" w:lineRule="auto"/>
              <w:ind w:left="157"/>
            </w:pPr>
            <w:r>
              <w:rPr>
                <w:spacing w:val="-17"/>
              </w:rPr>
              <w:t>临时用</w:t>
            </w:r>
          </w:p>
          <w:p w14:paraId="65018543">
            <w:pPr>
              <w:pStyle w:val="7"/>
              <w:spacing w:before="180" w:line="219" w:lineRule="auto"/>
              <w:ind w:left="142"/>
            </w:pPr>
            <w:r>
              <w:rPr>
                <w:spacing w:val="-13"/>
              </w:rPr>
              <w:t>水用电</w:t>
            </w:r>
          </w:p>
        </w:tc>
        <w:tc>
          <w:tcPr>
            <w:tcW w:w="1295" w:type="dxa"/>
            <w:vAlign w:val="top"/>
          </w:tcPr>
          <w:p w14:paraId="6F434797">
            <w:pPr>
              <w:pStyle w:val="7"/>
              <w:spacing w:before="95" w:line="216" w:lineRule="auto"/>
              <w:ind w:left="125"/>
            </w:pPr>
            <w:r>
              <w:rPr>
                <w:spacing w:val="-20"/>
              </w:rPr>
              <w:t>临时用水布</w:t>
            </w:r>
          </w:p>
          <w:p w14:paraId="681A5E2B">
            <w:pPr>
              <w:pStyle w:val="7"/>
              <w:spacing w:before="187" w:line="224" w:lineRule="auto"/>
              <w:ind w:left="548"/>
            </w:pPr>
            <w:r>
              <w:t>置</w:t>
            </w:r>
          </w:p>
        </w:tc>
        <w:tc>
          <w:tcPr>
            <w:tcW w:w="5138" w:type="dxa"/>
            <w:vAlign w:val="top"/>
          </w:tcPr>
          <w:p w14:paraId="12F23656">
            <w:pPr>
              <w:pStyle w:val="7"/>
              <w:spacing w:before="95" w:line="216" w:lineRule="auto"/>
              <w:ind w:left="75"/>
            </w:pPr>
            <w:r>
              <w:rPr>
                <w:spacing w:val="-21"/>
              </w:rPr>
              <w:t>水源选择，蓄水池设置，用水量计算，临时给水管网</w:t>
            </w:r>
          </w:p>
          <w:p w14:paraId="24D59154">
            <w:pPr>
              <w:pStyle w:val="7"/>
              <w:spacing w:before="187" w:line="216" w:lineRule="auto"/>
              <w:ind w:left="1931"/>
            </w:pPr>
            <w:r>
              <w:rPr>
                <w:spacing w:val="-18"/>
              </w:rPr>
              <w:t>布置材料选择</w:t>
            </w:r>
          </w:p>
        </w:tc>
        <w:tc>
          <w:tcPr>
            <w:tcW w:w="1139" w:type="dxa"/>
            <w:tcBorders>
              <w:right w:val="single" w:color="000000" w:sz="4" w:space="0"/>
            </w:tcBorders>
            <w:vAlign w:val="top"/>
          </w:tcPr>
          <w:p w14:paraId="68C422A3">
            <w:pPr>
              <w:pStyle w:val="7"/>
              <w:spacing w:before="94" w:line="220" w:lineRule="auto"/>
              <w:ind w:left="143"/>
            </w:pPr>
            <w:r>
              <w:rPr>
                <w:spacing w:val="-15"/>
              </w:rPr>
              <w:t>项目经理</w:t>
            </w:r>
          </w:p>
          <w:p w14:paraId="0835BF10">
            <w:pPr>
              <w:pStyle w:val="7"/>
              <w:spacing w:before="182" w:line="218" w:lineRule="auto"/>
              <w:ind w:left="470"/>
            </w:pPr>
            <w:r>
              <w:t>部</w:t>
            </w:r>
          </w:p>
        </w:tc>
      </w:tr>
      <w:tr w14:paraId="16964B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53" w:hRule="atLeast"/>
        </w:trPr>
        <w:tc>
          <w:tcPr>
            <w:tcW w:w="676" w:type="dxa"/>
            <w:tcBorders>
              <w:left w:val="single" w:color="000000" w:sz="4" w:space="0"/>
            </w:tcBorders>
            <w:vAlign w:val="top"/>
          </w:tcPr>
          <w:p w14:paraId="0C831A07">
            <w:pPr>
              <w:spacing w:line="249" w:lineRule="auto"/>
              <w:rPr>
                <w:rFonts w:ascii="Arial"/>
                <w:sz w:val="21"/>
              </w:rPr>
            </w:pPr>
          </w:p>
          <w:p w14:paraId="224748D2">
            <w:pPr>
              <w:pStyle w:val="7"/>
              <w:spacing w:before="78" w:line="237" w:lineRule="auto"/>
              <w:ind w:left="296"/>
            </w:pPr>
            <w:r>
              <w:t>7</w:t>
            </w:r>
          </w:p>
        </w:tc>
        <w:tc>
          <w:tcPr>
            <w:tcW w:w="923" w:type="dxa"/>
            <w:vMerge w:val="continue"/>
            <w:tcBorders>
              <w:top w:val="nil"/>
            </w:tcBorders>
            <w:vAlign w:val="top"/>
          </w:tcPr>
          <w:p w14:paraId="2B71E3AF">
            <w:pPr>
              <w:rPr>
                <w:rFonts w:ascii="Arial"/>
                <w:sz w:val="21"/>
              </w:rPr>
            </w:pPr>
          </w:p>
        </w:tc>
        <w:tc>
          <w:tcPr>
            <w:tcW w:w="1295" w:type="dxa"/>
            <w:vAlign w:val="top"/>
          </w:tcPr>
          <w:p w14:paraId="0BFD09B5">
            <w:pPr>
              <w:pStyle w:val="7"/>
              <w:spacing w:before="96" w:line="216" w:lineRule="auto"/>
              <w:ind w:left="125"/>
            </w:pPr>
            <w:r>
              <w:rPr>
                <w:spacing w:val="-20"/>
              </w:rPr>
              <w:t>临时用电布</w:t>
            </w:r>
          </w:p>
          <w:p w14:paraId="3CD154EB">
            <w:pPr>
              <w:pStyle w:val="7"/>
              <w:spacing w:before="184" w:line="224" w:lineRule="auto"/>
              <w:ind w:left="548"/>
            </w:pPr>
            <w:r>
              <w:t>置</w:t>
            </w:r>
          </w:p>
        </w:tc>
        <w:tc>
          <w:tcPr>
            <w:tcW w:w="5138" w:type="dxa"/>
            <w:vAlign w:val="top"/>
          </w:tcPr>
          <w:p w14:paraId="2A125DCB">
            <w:pPr>
              <w:spacing w:line="249" w:lineRule="auto"/>
              <w:rPr>
                <w:rFonts w:ascii="Arial"/>
                <w:sz w:val="21"/>
              </w:rPr>
            </w:pPr>
          </w:p>
          <w:p w14:paraId="442DA5AD">
            <w:pPr>
              <w:pStyle w:val="7"/>
              <w:spacing w:before="78" w:line="216" w:lineRule="auto"/>
              <w:ind w:right="15"/>
              <w:jc w:val="right"/>
            </w:pPr>
            <w:r>
              <w:rPr>
                <w:spacing w:val="-22"/>
              </w:rPr>
              <w:t>电源选择，用电量计算，临时用电布置与材料选择。</w:t>
            </w:r>
          </w:p>
        </w:tc>
        <w:tc>
          <w:tcPr>
            <w:tcW w:w="1139" w:type="dxa"/>
            <w:tcBorders>
              <w:right w:val="single" w:color="000000" w:sz="4" w:space="0"/>
            </w:tcBorders>
            <w:vAlign w:val="top"/>
          </w:tcPr>
          <w:p w14:paraId="27EAFA57">
            <w:pPr>
              <w:pStyle w:val="7"/>
              <w:spacing w:before="96" w:line="220" w:lineRule="auto"/>
              <w:ind w:left="143"/>
            </w:pPr>
            <w:r>
              <w:rPr>
                <w:spacing w:val="-15"/>
              </w:rPr>
              <w:t>项目经理</w:t>
            </w:r>
          </w:p>
          <w:p w14:paraId="398F4067">
            <w:pPr>
              <w:pStyle w:val="7"/>
              <w:spacing w:before="180" w:line="218" w:lineRule="auto"/>
              <w:ind w:left="470"/>
            </w:pPr>
            <w:r>
              <w:t>部</w:t>
            </w:r>
          </w:p>
        </w:tc>
      </w:tr>
      <w:tr w14:paraId="46E2C1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18" w:hRule="atLeast"/>
        </w:trPr>
        <w:tc>
          <w:tcPr>
            <w:tcW w:w="676" w:type="dxa"/>
            <w:tcBorders>
              <w:left w:val="single" w:color="000000" w:sz="4" w:space="0"/>
            </w:tcBorders>
            <w:vAlign w:val="top"/>
          </w:tcPr>
          <w:p w14:paraId="2C2E1A5B">
            <w:pPr>
              <w:spacing w:line="241" w:lineRule="auto"/>
              <w:rPr>
                <w:rFonts w:ascii="Arial"/>
                <w:sz w:val="21"/>
              </w:rPr>
            </w:pPr>
          </w:p>
          <w:p w14:paraId="3C33AC74">
            <w:pPr>
              <w:spacing w:line="241" w:lineRule="auto"/>
              <w:rPr>
                <w:rFonts w:ascii="Arial"/>
                <w:sz w:val="21"/>
              </w:rPr>
            </w:pPr>
          </w:p>
          <w:p w14:paraId="6AF9217B">
            <w:pPr>
              <w:pStyle w:val="7"/>
              <w:spacing w:before="78" w:line="237" w:lineRule="auto"/>
              <w:ind w:left="292"/>
            </w:pPr>
            <w:r>
              <w:t>8</w:t>
            </w:r>
          </w:p>
        </w:tc>
        <w:tc>
          <w:tcPr>
            <w:tcW w:w="923" w:type="dxa"/>
            <w:vMerge w:val="restart"/>
            <w:tcBorders>
              <w:bottom w:val="nil"/>
            </w:tcBorders>
            <w:vAlign w:val="top"/>
          </w:tcPr>
          <w:p w14:paraId="731C071B">
            <w:pPr>
              <w:spacing w:line="258" w:lineRule="auto"/>
              <w:rPr>
                <w:rFonts w:ascii="Arial"/>
                <w:sz w:val="21"/>
              </w:rPr>
            </w:pPr>
          </w:p>
          <w:p w14:paraId="3DDA3405">
            <w:pPr>
              <w:spacing w:line="259" w:lineRule="auto"/>
              <w:rPr>
                <w:rFonts w:ascii="Arial"/>
                <w:sz w:val="21"/>
              </w:rPr>
            </w:pPr>
          </w:p>
          <w:p w14:paraId="0CA45B8C">
            <w:pPr>
              <w:spacing w:line="259" w:lineRule="auto"/>
              <w:rPr>
                <w:rFonts w:ascii="Arial"/>
                <w:sz w:val="21"/>
              </w:rPr>
            </w:pPr>
          </w:p>
          <w:p w14:paraId="2CA7398D">
            <w:pPr>
              <w:pStyle w:val="7"/>
              <w:spacing w:before="78" w:line="362" w:lineRule="auto"/>
              <w:ind w:left="360" w:right="113" w:hanging="203"/>
            </w:pPr>
            <w:r>
              <w:rPr>
                <w:spacing w:val="-25"/>
              </w:rPr>
              <w:t>生产设</w:t>
            </w:r>
            <w:r>
              <w:t>施</w:t>
            </w:r>
          </w:p>
        </w:tc>
        <w:tc>
          <w:tcPr>
            <w:tcW w:w="1295" w:type="dxa"/>
            <w:vAlign w:val="top"/>
          </w:tcPr>
          <w:p w14:paraId="1599EB34">
            <w:pPr>
              <w:pStyle w:val="7"/>
              <w:spacing w:before="97" w:line="216" w:lineRule="auto"/>
              <w:ind w:left="110"/>
            </w:pPr>
            <w:r>
              <w:rPr>
                <w:spacing w:val="-17"/>
              </w:rPr>
              <w:t>现场材料加</w:t>
            </w:r>
          </w:p>
          <w:p w14:paraId="059A930C">
            <w:pPr>
              <w:pStyle w:val="7"/>
              <w:spacing w:before="184" w:line="217" w:lineRule="auto"/>
              <w:ind w:left="116"/>
            </w:pPr>
            <w:r>
              <w:rPr>
                <w:spacing w:val="-18"/>
              </w:rPr>
              <w:t>工、堆放场</w:t>
            </w:r>
          </w:p>
          <w:p w14:paraId="1E1A8545">
            <w:pPr>
              <w:pStyle w:val="7"/>
              <w:spacing w:before="186" w:line="227" w:lineRule="auto"/>
              <w:ind w:left="548"/>
            </w:pPr>
            <w:r>
              <w:t>地</w:t>
            </w:r>
          </w:p>
        </w:tc>
        <w:tc>
          <w:tcPr>
            <w:tcW w:w="5138" w:type="dxa"/>
            <w:vAlign w:val="top"/>
          </w:tcPr>
          <w:p w14:paraId="4FF2168F">
            <w:pPr>
              <w:pStyle w:val="7"/>
              <w:spacing w:before="98" w:line="214" w:lineRule="auto"/>
              <w:ind w:left="183"/>
            </w:pPr>
            <w:r>
              <w:rPr>
                <w:spacing w:val="-21"/>
              </w:rPr>
              <w:t>现场依据实际需要设置周转材料堆场和半成品堆场</w:t>
            </w:r>
          </w:p>
          <w:p w14:paraId="1598C75C">
            <w:pPr>
              <w:pStyle w:val="7"/>
              <w:spacing w:before="186" w:line="216" w:lineRule="auto"/>
              <w:ind w:left="77"/>
            </w:pPr>
            <w:r>
              <w:rPr>
                <w:spacing w:val="-21"/>
              </w:rPr>
              <w:t>置。垂直运输机械的布置要有利于材料吊装，做到合</w:t>
            </w:r>
          </w:p>
          <w:p w14:paraId="36BAB76F">
            <w:pPr>
              <w:pStyle w:val="7"/>
              <w:spacing w:before="187" w:line="216" w:lineRule="auto"/>
              <w:ind w:left="1275"/>
            </w:pPr>
            <w:r>
              <w:rPr>
                <w:spacing w:val="-20"/>
              </w:rPr>
              <w:t>理布置，规划、堆放整齐。</w:t>
            </w:r>
          </w:p>
        </w:tc>
        <w:tc>
          <w:tcPr>
            <w:tcW w:w="1139" w:type="dxa"/>
            <w:tcBorders>
              <w:right w:val="single" w:color="000000" w:sz="4" w:space="0"/>
            </w:tcBorders>
            <w:vAlign w:val="top"/>
          </w:tcPr>
          <w:p w14:paraId="2F1523F6">
            <w:pPr>
              <w:spacing w:line="250" w:lineRule="auto"/>
              <w:rPr>
                <w:rFonts w:ascii="Arial"/>
                <w:sz w:val="21"/>
              </w:rPr>
            </w:pPr>
          </w:p>
          <w:p w14:paraId="49896627">
            <w:pPr>
              <w:pStyle w:val="7"/>
              <w:spacing w:before="78" w:line="220" w:lineRule="auto"/>
              <w:ind w:left="143"/>
            </w:pPr>
            <w:r>
              <w:rPr>
                <w:spacing w:val="-15"/>
              </w:rPr>
              <w:t>项目经理</w:t>
            </w:r>
          </w:p>
          <w:p w14:paraId="15A53F3B">
            <w:pPr>
              <w:pStyle w:val="7"/>
              <w:spacing w:before="180" w:line="218" w:lineRule="auto"/>
              <w:ind w:left="470"/>
            </w:pPr>
            <w:r>
              <w:t>部</w:t>
            </w:r>
          </w:p>
        </w:tc>
      </w:tr>
      <w:tr w14:paraId="482D2D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53" w:hRule="atLeast"/>
        </w:trPr>
        <w:tc>
          <w:tcPr>
            <w:tcW w:w="676" w:type="dxa"/>
            <w:tcBorders>
              <w:left w:val="single" w:color="000000" w:sz="4" w:space="0"/>
            </w:tcBorders>
            <w:vAlign w:val="top"/>
          </w:tcPr>
          <w:p w14:paraId="45BD9390">
            <w:pPr>
              <w:spacing w:line="251" w:lineRule="auto"/>
              <w:rPr>
                <w:rFonts w:ascii="Arial"/>
                <w:sz w:val="21"/>
              </w:rPr>
            </w:pPr>
          </w:p>
          <w:p w14:paraId="03311599">
            <w:pPr>
              <w:pStyle w:val="7"/>
              <w:spacing w:before="78" w:line="237" w:lineRule="auto"/>
              <w:ind w:left="253"/>
            </w:pPr>
            <w:r>
              <w:rPr>
                <w:spacing w:val="-10"/>
              </w:rPr>
              <w:t>10</w:t>
            </w:r>
          </w:p>
        </w:tc>
        <w:tc>
          <w:tcPr>
            <w:tcW w:w="923" w:type="dxa"/>
            <w:vMerge w:val="continue"/>
            <w:tcBorders>
              <w:top w:val="nil"/>
            </w:tcBorders>
            <w:vAlign w:val="top"/>
          </w:tcPr>
          <w:p w14:paraId="65AC36B1">
            <w:pPr>
              <w:rPr>
                <w:rFonts w:ascii="Arial"/>
                <w:sz w:val="21"/>
              </w:rPr>
            </w:pPr>
          </w:p>
        </w:tc>
        <w:tc>
          <w:tcPr>
            <w:tcW w:w="1295" w:type="dxa"/>
            <w:vAlign w:val="top"/>
          </w:tcPr>
          <w:p w14:paraId="6DBB92AF">
            <w:pPr>
              <w:pStyle w:val="7"/>
              <w:spacing w:before="98" w:line="216" w:lineRule="auto"/>
              <w:ind w:left="110"/>
            </w:pPr>
            <w:r>
              <w:rPr>
                <w:spacing w:val="-21"/>
              </w:rPr>
              <w:t>料具房、机</w:t>
            </w:r>
          </w:p>
          <w:p w14:paraId="0B4F518A">
            <w:pPr>
              <w:pStyle w:val="7"/>
              <w:spacing w:before="185" w:line="218" w:lineRule="auto"/>
              <w:ind w:left="436"/>
            </w:pPr>
            <w:r>
              <w:rPr>
                <w:spacing w:val="-10"/>
              </w:rPr>
              <w:t>修房</w:t>
            </w:r>
          </w:p>
        </w:tc>
        <w:tc>
          <w:tcPr>
            <w:tcW w:w="5138" w:type="dxa"/>
            <w:vAlign w:val="top"/>
          </w:tcPr>
          <w:p w14:paraId="6BC55E93">
            <w:pPr>
              <w:spacing w:line="251" w:lineRule="auto"/>
              <w:rPr>
                <w:rFonts w:ascii="Arial"/>
                <w:sz w:val="21"/>
              </w:rPr>
            </w:pPr>
          </w:p>
          <w:p w14:paraId="5F16479A">
            <w:pPr>
              <w:pStyle w:val="7"/>
              <w:spacing w:before="78" w:line="216" w:lineRule="auto"/>
              <w:ind w:left="947"/>
            </w:pPr>
            <w:r>
              <w:rPr>
                <w:spacing w:val="-21"/>
              </w:rPr>
              <w:t>用于机修、料具、零星材料堆放。</w:t>
            </w:r>
          </w:p>
        </w:tc>
        <w:tc>
          <w:tcPr>
            <w:tcW w:w="1139" w:type="dxa"/>
            <w:tcBorders>
              <w:right w:val="single" w:color="000000" w:sz="4" w:space="0"/>
            </w:tcBorders>
            <w:vAlign w:val="top"/>
          </w:tcPr>
          <w:p w14:paraId="62D8DE11">
            <w:pPr>
              <w:pStyle w:val="7"/>
              <w:spacing w:before="98" w:line="220" w:lineRule="auto"/>
              <w:ind w:left="143"/>
            </w:pPr>
            <w:r>
              <w:rPr>
                <w:spacing w:val="-15"/>
              </w:rPr>
              <w:t>项目经理</w:t>
            </w:r>
          </w:p>
          <w:p w14:paraId="18665156">
            <w:pPr>
              <w:pStyle w:val="7"/>
              <w:spacing w:before="180" w:line="218" w:lineRule="auto"/>
              <w:ind w:left="470"/>
            </w:pPr>
            <w:r>
              <w:t>部</w:t>
            </w:r>
          </w:p>
        </w:tc>
      </w:tr>
      <w:tr w14:paraId="3E546A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51" w:hRule="atLeast"/>
        </w:trPr>
        <w:tc>
          <w:tcPr>
            <w:tcW w:w="676" w:type="dxa"/>
            <w:tcBorders>
              <w:left w:val="single" w:color="000000" w:sz="4" w:space="0"/>
            </w:tcBorders>
            <w:vAlign w:val="top"/>
          </w:tcPr>
          <w:p w14:paraId="096E5731">
            <w:pPr>
              <w:spacing w:line="252" w:lineRule="auto"/>
              <w:rPr>
                <w:rFonts w:ascii="Arial"/>
                <w:sz w:val="21"/>
              </w:rPr>
            </w:pPr>
          </w:p>
          <w:p w14:paraId="4DFDC9E9">
            <w:pPr>
              <w:pStyle w:val="7"/>
              <w:spacing w:before="78" w:line="238" w:lineRule="auto"/>
              <w:ind w:left="253"/>
            </w:pPr>
            <w:r>
              <w:rPr>
                <w:spacing w:val="-10"/>
              </w:rPr>
              <w:t>12</w:t>
            </w:r>
          </w:p>
        </w:tc>
        <w:tc>
          <w:tcPr>
            <w:tcW w:w="923" w:type="dxa"/>
            <w:vAlign w:val="top"/>
          </w:tcPr>
          <w:p w14:paraId="40E9F076">
            <w:pPr>
              <w:pStyle w:val="7"/>
              <w:spacing w:before="99" w:line="220" w:lineRule="auto"/>
              <w:ind w:left="151"/>
            </w:pPr>
            <w:r>
              <w:rPr>
                <w:spacing w:val="-15"/>
              </w:rPr>
              <w:t>办公生</w:t>
            </w:r>
          </w:p>
          <w:p w14:paraId="450F4A73">
            <w:pPr>
              <w:pStyle w:val="7"/>
              <w:spacing w:before="178" w:line="220" w:lineRule="auto"/>
              <w:ind w:left="150"/>
            </w:pPr>
            <w:r>
              <w:rPr>
                <w:spacing w:val="-15"/>
              </w:rPr>
              <w:t>活设施</w:t>
            </w:r>
          </w:p>
        </w:tc>
        <w:tc>
          <w:tcPr>
            <w:tcW w:w="1295" w:type="dxa"/>
            <w:vAlign w:val="top"/>
          </w:tcPr>
          <w:p w14:paraId="36BC6D31">
            <w:pPr>
              <w:pStyle w:val="7"/>
              <w:spacing w:before="98" w:line="220" w:lineRule="auto"/>
              <w:ind w:left="118"/>
            </w:pPr>
            <w:r>
              <w:rPr>
                <w:spacing w:val="-19"/>
              </w:rPr>
              <w:t>办公生活设</w:t>
            </w:r>
          </w:p>
          <w:p w14:paraId="14EE3618">
            <w:pPr>
              <w:pStyle w:val="7"/>
              <w:spacing w:before="180" w:line="220" w:lineRule="auto"/>
              <w:ind w:left="546"/>
            </w:pPr>
            <w:r>
              <w:t>施</w:t>
            </w:r>
          </w:p>
        </w:tc>
        <w:tc>
          <w:tcPr>
            <w:tcW w:w="5138" w:type="dxa"/>
            <w:vAlign w:val="top"/>
          </w:tcPr>
          <w:p w14:paraId="77F9E323">
            <w:pPr>
              <w:pStyle w:val="7"/>
              <w:spacing w:before="99" w:line="215" w:lineRule="auto"/>
              <w:ind w:left="185"/>
            </w:pPr>
            <w:r>
              <w:rPr>
                <w:spacing w:val="-21"/>
              </w:rPr>
              <w:t>租用附近民房或是在附近空地处搭建办公临时生活</w:t>
            </w:r>
          </w:p>
          <w:p w14:paraId="4A839F76">
            <w:pPr>
              <w:pStyle w:val="7"/>
              <w:spacing w:before="185" w:line="229" w:lineRule="auto"/>
              <w:ind w:left="2384"/>
            </w:pPr>
            <w:r>
              <w:rPr>
                <w:spacing w:val="-23"/>
              </w:rPr>
              <w:t>区。</w:t>
            </w:r>
          </w:p>
        </w:tc>
        <w:tc>
          <w:tcPr>
            <w:tcW w:w="1139" w:type="dxa"/>
            <w:tcBorders>
              <w:right w:val="single" w:color="000000" w:sz="4" w:space="0"/>
            </w:tcBorders>
            <w:vAlign w:val="top"/>
          </w:tcPr>
          <w:p w14:paraId="5A4A5284">
            <w:pPr>
              <w:pStyle w:val="7"/>
              <w:spacing w:before="98" w:line="220" w:lineRule="auto"/>
              <w:ind w:left="143"/>
            </w:pPr>
            <w:r>
              <w:rPr>
                <w:spacing w:val="-15"/>
              </w:rPr>
              <w:t>项目经理</w:t>
            </w:r>
          </w:p>
          <w:p w14:paraId="1EFB3913">
            <w:pPr>
              <w:pStyle w:val="7"/>
              <w:spacing w:before="180" w:line="218" w:lineRule="auto"/>
              <w:ind w:left="470"/>
            </w:pPr>
            <w:r>
              <w:t>部</w:t>
            </w:r>
          </w:p>
        </w:tc>
      </w:tr>
      <w:tr w14:paraId="161D66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53" w:hRule="atLeast"/>
        </w:trPr>
        <w:tc>
          <w:tcPr>
            <w:tcW w:w="676" w:type="dxa"/>
            <w:tcBorders>
              <w:left w:val="single" w:color="000000" w:sz="4" w:space="0"/>
            </w:tcBorders>
            <w:vAlign w:val="top"/>
          </w:tcPr>
          <w:p w14:paraId="28350062">
            <w:pPr>
              <w:spacing w:line="255" w:lineRule="auto"/>
              <w:rPr>
                <w:rFonts w:ascii="Arial"/>
                <w:sz w:val="21"/>
              </w:rPr>
            </w:pPr>
          </w:p>
          <w:p w14:paraId="4819C529">
            <w:pPr>
              <w:pStyle w:val="7"/>
              <w:spacing w:before="78" w:line="238" w:lineRule="auto"/>
              <w:ind w:left="253"/>
            </w:pPr>
            <w:r>
              <w:rPr>
                <w:spacing w:val="-10"/>
              </w:rPr>
              <w:t>14</w:t>
            </w:r>
          </w:p>
        </w:tc>
        <w:tc>
          <w:tcPr>
            <w:tcW w:w="923" w:type="dxa"/>
            <w:vMerge w:val="restart"/>
            <w:tcBorders>
              <w:bottom w:val="nil"/>
            </w:tcBorders>
            <w:vAlign w:val="top"/>
          </w:tcPr>
          <w:p w14:paraId="51123D17">
            <w:pPr>
              <w:spacing w:line="241" w:lineRule="auto"/>
              <w:rPr>
                <w:rFonts w:ascii="Arial"/>
                <w:sz w:val="21"/>
              </w:rPr>
            </w:pPr>
          </w:p>
          <w:p w14:paraId="0072FD30">
            <w:pPr>
              <w:spacing w:line="241" w:lineRule="auto"/>
              <w:rPr>
                <w:rFonts w:ascii="Arial"/>
                <w:sz w:val="21"/>
              </w:rPr>
            </w:pPr>
          </w:p>
          <w:p w14:paraId="2FB4C9F0">
            <w:pPr>
              <w:spacing w:line="242" w:lineRule="auto"/>
              <w:rPr>
                <w:rFonts w:ascii="Arial"/>
                <w:sz w:val="21"/>
              </w:rPr>
            </w:pPr>
          </w:p>
          <w:p w14:paraId="150341C3">
            <w:pPr>
              <w:spacing w:line="242" w:lineRule="auto"/>
              <w:rPr>
                <w:rFonts w:ascii="Arial"/>
                <w:sz w:val="21"/>
              </w:rPr>
            </w:pPr>
          </w:p>
          <w:p w14:paraId="6FC6B9B9">
            <w:pPr>
              <w:spacing w:line="242" w:lineRule="auto"/>
              <w:rPr>
                <w:rFonts w:ascii="Arial"/>
                <w:sz w:val="21"/>
              </w:rPr>
            </w:pPr>
          </w:p>
          <w:p w14:paraId="35D5E322">
            <w:pPr>
              <w:spacing w:line="242" w:lineRule="auto"/>
              <w:rPr>
                <w:rFonts w:ascii="Arial"/>
                <w:sz w:val="21"/>
              </w:rPr>
            </w:pPr>
          </w:p>
          <w:p w14:paraId="19EA04A2">
            <w:pPr>
              <w:spacing w:line="242" w:lineRule="auto"/>
              <w:rPr>
                <w:rFonts w:ascii="Arial"/>
                <w:sz w:val="21"/>
              </w:rPr>
            </w:pPr>
          </w:p>
          <w:p w14:paraId="19A98E72">
            <w:pPr>
              <w:spacing w:line="242" w:lineRule="auto"/>
              <w:rPr>
                <w:rFonts w:ascii="Arial"/>
                <w:sz w:val="21"/>
              </w:rPr>
            </w:pPr>
          </w:p>
          <w:p w14:paraId="03900FBB">
            <w:pPr>
              <w:spacing w:line="242" w:lineRule="auto"/>
              <w:rPr>
                <w:rFonts w:ascii="Arial"/>
                <w:sz w:val="21"/>
              </w:rPr>
            </w:pPr>
          </w:p>
          <w:p w14:paraId="624ACA17">
            <w:pPr>
              <w:spacing w:line="242" w:lineRule="auto"/>
              <w:rPr>
                <w:rFonts w:ascii="Arial"/>
                <w:sz w:val="21"/>
              </w:rPr>
            </w:pPr>
          </w:p>
          <w:p w14:paraId="350D0966">
            <w:pPr>
              <w:pStyle w:val="7"/>
              <w:spacing w:before="78" w:line="220" w:lineRule="auto"/>
              <w:ind w:left="146"/>
            </w:pPr>
            <w:r>
              <w:rPr>
                <w:spacing w:val="-14"/>
              </w:rPr>
              <w:t>安全文</w:t>
            </w:r>
          </w:p>
          <w:p w14:paraId="2FF8808F">
            <w:pPr>
              <w:pStyle w:val="7"/>
              <w:spacing w:before="178" w:line="363" w:lineRule="auto"/>
              <w:ind w:left="250" w:right="113" w:hanging="92"/>
            </w:pPr>
            <w:r>
              <w:rPr>
                <w:spacing w:val="-25"/>
              </w:rPr>
              <w:t>明卫生</w:t>
            </w:r>
            <w:r>
              <w:rPr>
                <w:spacing w:val="-10"/>
              </w:rPr>
              <w:t>设施</w:t>
            </w:r>
          </w:p>
        </w:tc>
        <w:tc>
          <w:tcPr>
            <w:tcW w:w="1295" w:type="dxa"/>
            <w:vAlign w:val="top"/>
          </w:tcPr>
          <w:p w14:paraId="6D63FA76">
            <w:pPr>
              <w:pStyle w:val="7"/>
              <w:spacing w:before="99" w:line="218" w:lineRule="auto"/>
              <w:ind w:left="113"/>
            </w:pPr>
            <w:r>
              <w:rPr>
                <w:spacing w:val="-18"/>
              </w:rPr>
              <w:t>安全防护设</w:t>
            </w:r>
          </w:p>
          <w:p w14:paraId="3BED430D">
            <w:pPr>
              <w:pStyle w:val="7"/>
              <w:spacing w:before="184" w:line="220" w:lineRule="auto"/>
              <w:ind w:left="546"/>
            </w:pPr>
            <w:r>
              <w:t>施</w:t>
            </w:r>
          </w:p>
        </w:tc>
        <w:tc>
          <w:tcPr>
            <w:tcW w:w="5138" w:type="dxa"/>
            <w:vAlign w:val="top"/>
          </w:tcPr>
          <w:p w14:paraId="7B0D67C1">
            <w:pPr>
              <w:pStyle w:val="7"/>
              <w:spacing w:before="99" w:line="215" w:lineRule="auto"/>
              <w:ind w:left="78"/>
            </w:pPr>
            <w:r>
              <w:rPr>
                <w:spacing w:val="-21"/>
              </w:rPr>
              <w:t>在建筑物周边及通道、出入口处设指示、警告标识。</w:t>
            </w:r>
          </w:p>
          <w:p w14:paraId="32D3AA1D">
            <w:pPr>
              <w:pStyle w:val="7"/>
              <w:spacing w:before="188" w:line="218" w:lineRule="auto"/>
              <w:ind w:left="1280"/>
            </w:pPr>
            <w:r>
              <w:rPr>
                <w:spacing w:val="-22"/>
              </w:rPr>
              <w:t>主要交通路口设专人指挥。</w:t>
            </w:r>
          </w:p>
        </w:tc>
        <w:tc>
          <w:tcPr>
            <w:tcW w:w="1139" w:type="dxa"/>
            <w:tcBorders>
              <w:right w:val="single" w:color="000000" w:sz="4" w:space="0"/>
            </w:tcBorders>
            <w:vAlign w:val="top"/>
          </w:tcPr>
          <w:p w14:paraId="1255DC2E">
            <w:pPr>
              <w:pStyle w:val="7"/>
              <w:spacing w:before="99" w:line="220" w:lineRule="auto"/>
              <w:ind w:left="143"/>
            </w:pPr>
            <w:r>
              <w:rPr>
                <w:spacing w:val="-15"/>
              </w:rPr>
              <w:t>项目经理</w:t>
            </w:r>
          </w:p>
          <w:p w14:paraId="08B067BA">
            <w:pPr>
              <w:pStyle w:val="7"/>
              <w:spacing w:before="182" w:line="218" w:lineRule="auto"/>
              <w:ind w:left="470"/>
            </w:pPr>
            <w:r>
              <w:t>部</w:t>
            </w:r>
          </w:p>
        </w:tc>
      </w:tr>
      <w:tr w14:paraId="5E7717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18" w:hRule="atLeast"/>
        </w:trPr>
        <w:tc>
          <w:tcPr>
            <w:tcW w:w="676" w:type="dxa"/>
            <w:tcBorders>
              <w:left w:val="single" w:color="000000" w:sz="4" w:space="0"/>
            </w:tcBorders>
            <w:vAlign w:val="top"/>
          </w:tcPr>
          <w:p w14:paraId="6AB94010">
            <w:pPr>
              <w:spacing w:line="243" w:lineRule="auto"/>
              <w:rPr>
                <w:rFonts w:ascii="Arial"/>
                <w:sz w:val="21"/>
              </w:rPr>
            </w:pPr>
          </w:p>
          <w:p w14:paraId="13B196E9">
            <w:pPr>
              <w:spacing w:line="243" w:lineRule="auto"/>
              <w:rPr>
                <w:rFonts w:ascii="Arial"/>
                <w:sz w:val="21"/>
              </w:rPr>
            </w:pPr>
          </w:p>
          <w:p w14:paraId="5CF7D970">
            <w:pPr>
              <w:pStyle w:val="7"/>
              <w:spacing w:before="78" w:line="237" w:lineRule="auto"/>
              <w:ind w:left="253"/>
            </w:pPr>
            <w:r>
              <w:rPr>
                <w:spacing w:val="-10"/>
              </w:rPr>
              <w:t>15</w:t>
            </w:r>
          </w:p>
        </w:tc>
        <w:tc>
          <w:tcPr>
            <w:tcW w:w="923" w:type="dxa"/>
            <w:vMerge w:val="continue"/>
            <w:tcBorders>
              <w:top w:val="nil"/>
              <w:bottom w:val="nil"/>
            </w:tcBorders>
            <w:vAlign w:val="top"/>
          </w:tcPr>
          <w:p w14:paraId="38A5A9C0">
            <w:pPr>
              <w:rPr>
                <w:rFonts w:ascii="Arial"/>
                <w:sz w:val="21"/>
              </w:rPr>
            </w:pPr>
          </w:p>
        </w:tc>
        <w:tc>
          <w:tcPr>
            <w:tcW w:w="1295" w:type="dxa"/>
            <w:vAlign w:val="top"/>
          </w:tcPr>
          <w:p w14:paraId="6A57054E">
            <w:pPr>
              <w:spacing w:line="243" w:lineRule="auto"/>
              <w:rPr>
                <w:rFonts w:ascii="Arial"/>
                <w:sz w:val="21"/>
              </w:rPr>
            </w:pPr>
          </w:p>
          <w:p w14:paraId="0AD13F90">
            <w:pPr>
              <w:spacing w:line="243" w:lineRule="auto"/>
              <w:rPr>
                <w:rFonts w:ascii="Arial"/>
                <w:sz w:val="21"/>
              </w:rPr>
            </w:pPr>
          </w:p>
          <w:p w14:paraId="364257D4">
            <w:pPr>
              <w:pStyle w:val="7"/>
              <w:spacing w:before="78" w:line="219" w:lineRule="auto"/>
              <w:ind w:left="220"/>
            </w:pPr>
            <w:r>
              <w:rPr>
                <w:spacing w:val="-15"/>
              </w:rPr>
              <w:t>现场卫生</w:t>
            </w:r>
          </w:p>
        </w:tc>
        <w:tc>
          <w:tcPr>
            <w:tcW w:w="5138" w:type="dxa"/>
            <w:vAlign w:val="top"/>
          </w:tcPr>
          <w:p w14:paraId="168702F2">
            <w:pPr>
              <w:pStyle w:val="7"/>
              <w:spacing w:before="99" w:line="216" w:lineRule="auto"/>
              <w:ind w:left="78"/>
            </w:pPr>
            <w:r>
              <w:rPr>
                <w:spacing w:val="-21"/>
              </w:rPr>
              <w:t>采用商品砼，所有材料堆场全封闭硬地化（采用级配</w:t>
            </w:r>
          </w:p>
          <w:p w14:paraId="02B3D465">
            <w:pPr>
              <w:pStyle w:val="7"/>
              <w:spacing w:before="187" w:line="219" w:lineRule="auto"/>
              <w:ind w:left="73"/>
            </w:pPr>
            <w:r>
              <w:rPr>
                <w:spacing w:val="-19"/>
              </w:rPr>
              <w:t>砂石垫层，主要区域浇100厚C15素砼垫层）施工，</w:t>
            </w:r>
          </w:p>
          <w:p w14:paraId="42D9F164">
            <w:pPr>
              <w:pStyle w:val="7"/>
              <w:spacing w:before="181" w:line="215" w:lineRule="auto"/>
              <w:ind w:left="623"/>
            </w:pPr>
            <w:r>
              <w:rPr>
                <w:spacing w:val="-21"/>
              </w:rPr>
              <w:t>其他区域设置草坪绿化，门口设洗车槽。</w:t>
            </w:r>
          </w:p>
        </w:tc>
        <w:tc>
          <w:tcPr>
            <w:tcW w:w="1139" w:type="dxa"/>
            <w:tcBorders>
              <w:right w:val="single" w:color="000000" w:sz="4" w:space="0"/>
            </w:tcBorders>
            <w:vAlign w:val="top"/>
          </w:tcPr>
          <w:p w14:paraId="10D6551E">
            <w:pPr>
              <w:spacing w:line="252" w:lineRule="auto"/>
              <w:rPr>
                <w:rFonts w:ascii="Arial"/>
                <w:sz w:val="21"/>
              </w:rPr>
            </w:pPr>
          </w:p>
          <w:p w14:paraId="41C0720E">
            <w:pPr>
              <w:pStyle w:val="7"/>
              <w:spacing w:before="78" w:line="220" w:lineRule="auto"/>
              <w:ind w:left="143"/>
            </w:pPr>
            <w:r>
              <w:rPr>
                <w:spacing w:val="-15"/>
              </w:rPr>
              <w:t>项目经理</w:t>
            </w:r>
          </w:p>
          <w:p w14:paraId="0A2E6334">
            <w:pPr>
              <w:pStyle w:val="7"/>
              <w:spacing w:before="182" w:line="218" w:lineRule="auto"/>
              <w:ind w:left="470"/>
            </w:pPr>
            <w:r>
              <w:t>部</w:t>
            </w:r>
          </w:p>
        </w:tc>
      </w:tr>
      <w:tr w14:paraId="589B36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53" w:hRule="atLeast"/>
        </w:trPr>
        <w:tc>
          <w:tcPr>
            <w:tcW w:w="676" w:type="dxa"/>
            <w:tcBorders>
              <w:left w:val="single" w:color="000000" w:sz="4" w:space="0"/>
            </w:tcBorders>
            <w:vAlign w:val="top"/>
          </w:tcPr>
          <w:p w14:paraId="2AEFDF70">
            <w:pPr>
              <w:spacing w:line="256" w:lineRule="auto"/>
              <w:rPr>
                <w:rFonts w:ascii="Arial"/>
                <w:sz w:val="21"/>
              </w:rPr>
            </w:pPr>
          </w:p>
          <w:p w14:paraId="3674080C">
            <w:pPr>
              <w:pStyle w:val="7"/>
              <w:spacing w:before="78" w:line="237" w:lineRule="auto"/>
              <w:ind w:left="253"/>
            </w:pPr>
            <w:r>
              <w:rPr>
                <w:spacing w:val="-10"/>
              </w:rPr>
              <w:t>16</w:t>
            </w:r>
          </w:p>
        </w:tc>
        <w:tc>
          <w:tcPr>
            <w:tcW w:w="923" w:type="dxa"/>
            <w:vMerge w:val="continue"/>
            <w:tcBorders>
              <w:top w:val="nil"/>
              <w:bottom w:val="nil"/>
            </w:tcBorders>
            <w:vAlign w:val="top"/>
          </w:tcPr>
          <w:p w14:paraId="76DA4C08">
            <w:pPr>
              <w:rPr>
                <w:rFonts w:ascii="Arial"/>
                <w:sz w:val="21"/>
              </w:rPr>
            </w:pPr>
          </w:p>
        </w:tc>
        <w:tc>
          <w:tcPr>
            <w:tcW w:w="1295" w:type="dxa"/>
            <w:vAlign w:val="top"/>
          </w:tcPr>
          <w:p w14:paraId="7183ACE1">
            <w:pPr>
              <w:spacing w:line="257" w:lineRule="auto"/>
              <w:rPr>
                <w:rFonts w:ascii="Arial"/>
                <w:sz w:val="21"/>
              </w:rPr>
            </w:pPr>
          </w:p>
          <w:p w14:paraId="7B6E204C">
            <w:pPr>
              <w:pStyle w:val="7"/>
              <w:spacing w:before="78" w:line="217" w:lineRule="auto"/>
              <w:ind w:left="440"/>
            </w:pPr>
            <w:r>
              <w:rPr>
                <w:spacing w:val="-11"/>
              </w:rPr>
              <w:t>大门</w:t>
            </w:r>
          </w:p>
        </w:tc>
        <w:tc>
          <w:tcPr>
            <w:tcW w:w="5138" w:type="dxa"/>
            <w:vAlign w:val="top"/>
          </w:tcPr>
          <w:p w14:paraId="66E6DCC7">
            <w:pPr>
              <w:spacing w:line="256" w:lineRule="auto"/>
              <w:rPr>
                <w:rFonts w:ascii="Arial"/>
                <w:sz w:val="21"/>
              </w:rPr>
            </w:pPr>
          </w:p>
          <w:p w14:paraId="7432C2A5">
            <w:pPr>
              <w:pStyle w:val="7"/>
              <w:spacing w:before="78" w:line="215" w:lineRule="auto"/>
              <w:ind w:left="623"/>
            </w:pPr>
            <w:r>
              <w:rPr>
                <w:spacing w:val="-21"/>
              </w:rPr>
              <w:t>在施工区域合适位置进行布置现场出入口</w:t>
            </w:r>
          </w:p>
        </w:tc>
        <w:tc>
          <w:tcPr>
            <w:tcW w:w="1139" w:type="dxa"/>
            <w:tcBorders>
              <w:right w:val="single" w:color="000000" w:sz="4" w:space="0"/>
            </w:tcBorders>
            <w:vAlign w:val="top"/>
          </w:tcPr>
          <w:p w14:paraId="4E443D82">
            <w:pPr>
              <w:pStyle w:val="7"/>
              <w:spacing w:before="100" w:line="220" w:lineRule="auto"/>
              <w:ind w:left="143"/>
            </w:pPr>
            <w:r>
              <w:rPr>
                <w:spacing w:val="-15"/>
              </w:rPr>
              <w:t>项目经理</w:t>
            </w:r>
          </w:p>
          <w:p w14:paraId="2FC08B66">
            <w:pPr>
              <w:pStyle w:val="7"/>
              <w:spacing w:before="182" w:line="218" w:lineRule="auto"/>
              <w:ind w:left="470"/>
            </w:pPr>
            <w:r>
              <w:t>部</w:t>
            </w:r>
          </w:p>
        </w:tc>
      </w:tr>
      <w:tr w14:paraId="4DF2B4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53" w:hRule="atLeast"/>
        </w:trPr>
        <w:tc>
          <w:tcPr>
            <w:tcW w:w="676" w:type="dxa"/>
            <w:tcBorders>
              <w:left w:val="single" w:color="000000" w:sz="4" w:space="0"/>
            </w:tcBorders>
            <w:vAlign w:val="top"/>
          </w:tcPr>
          <w:p w14:paraId="56F5C294">
            <w:pPr>
              <w:spacing w:line="255" w:lineRule="auto"/>
              <w:rPr>
                <w:rFonts w:ascii="Arial"/>
                <w:sz w:val="21"/>
              </w:rPr>
            </w:pPr>
          </w:p>
          <w:p w14:paraId="1F9F73CB">
            <w:pPr>
              <w:pStyle w:val="7"/>
              <w:spacing w:before="78" w:line="237" w:lineRule="auto"/>
              <w:ind w:left="253"/>
            </w:pPr>
            <w:r>
              <w:rPr>
                <w:spacing w:val="-10"/>
              </w:rPr>
              <w:t>17</w:t>
            </w:r>
          </w:p>
        </w:tc>
        <w:tc>
          <w:tcPr>
            <w:tcW w:w="923" w:type="dxa"/>
            <w:vMerge w:val="continue"/>
            <w:tcBorders>
              <w:top w:val="nil"/>
              <w:bottom w:val="nil"/>
            </w:tcBorders>
            <w:vAlign w:val="top"/>
          </w:tcPr>
          <w:p w14:paraId="5E687A2A">
            <w:pPr>
              <w:rPr>
                <w:rFonts w:ascii="Arial"/>
                <w:sz w:val="21"/>
              </w:rPr>
            </w:pPr>
          </w:p>
        </w:tc>
        <w:tc>
          <w:tcPr>
            <w:tcW w:w="1295" w:type="dxa"/>
            <w:vAlign w:val="top"/>
          </w:tcPr>
          <w:p w14:paraId="351C6AE2">
            <w:pPr>
              <w:spacing w:line="255" w:lineRule="auto"/>
              <w:rPr>
                <w:rFonts w:ascii="Arial"/>
                <w:sz w:val="21"/>
              </w:rPr>
            </w:pPr>
          </w:p>
          <w:p w14:paraId="525DE661">
            <w:pPr>
              <w:pStyle w:val="7"/>
              <w:spacing w:before="78" w:line="217" w:lineRule="auto"/>
              <w:ind w:left="352"/>
            </w:pPr>
            <w:r>
              <w:rPr>
                <w:spacing w:val="-21"/>
              </w:rPr>
              <w:t>门卫室</w:t>
            </w:r>
          </w:p>
        </w:tc>
        <w:tc>
          <w:tcPr>
            <w:tcW w:w="5138" w:type="dxa"/>
            <w:vAlign w:val="top"/>
          </w:tcPr>
          <w:p w14:paraId="35A0C61F">
            <w:pPr>
              <w:spacing w:line="255" w:lineRule="auto"/>
              <w:rPr>
                <w:rFonts w:ascii="Arial"/>
                <w:sz w:val="21"/>
              </w:rPr>
            </w:pPr>
          </w:p>
          <w:p w14:paraId="58DA7813">
            <w:pPr>
              <w:pStyle w:val="7"/>
              <w:spacing w:before="78" w:line="215" w:lineRule="auto"/>
              <w:ind w:left="512"/>
            </w:pPr>
            <w:r>
              <w:rPr>
                <w:spacing w:val="-22"/>
              </w:rPr>
              <w:t>在现场大门旁设置门卫室，采用活动板房。</w:t>
            </w:r>
          </w:p>
        </w:tc>
        <w:tc>
          <w:tcPr>
            <w:tcW w:w="1139" w:type="dxa"/>
            <w:tcBorders>
              <w:right w:val="single" w:color="000000" w:sz="4" w:space="0"/>
            </w:tcBorders>
            <w:vAlign w:val="top"/>
          </w:tcPr>
          <w:p w14:paraId="3988508E">
            <w:pPr>
              <w:pStyle w:val="7"/>
              <w:spacing w:before="101" w:line="220" w:lineRule="auto"/>
              <w:ind w:left="143"/>
            </w:pPr>
            <w:r>
              <w:rPr>
                <w:spacing w:val="-15"/>
              </w:rPr>
              <w:t>项目经理</w:t>
            </w:r>
          </w:p>
          <w:p w14:paraId="3C621FCD">
            <w:pPr>
              <w:pStyle w:val="7"/>
              <w:spacing w:before="182" w:line="218" w:lineRule="auto"/>
              <w:ind w:left="470"/>
            </w:pPr>
            <w:r>
              <w:t>部</w:t>
            </w:r>
          </w:p>
        </w:tc>
      </w:tr>
      <w:tr w14:paraId="15E50D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52" w:hRule="atLeast"/>
        </w:trPr>
        <w:tc>
          <w:tcPr>
            <w:tcW w:w="676" w:type="dxa"/>
            <w:tcBorders>
              <w:left w:val="single" w:color="000000" w:sz="4" w:space="0"/>
            </w:tcBorders>
            <w:vAlign w:val="top"/>
          </w:tcPr>
          <w:p w14:paraId="24395896">
            <w:pPr>
              <w:spacing w:line="255" w:lineRule="auto"/>
              <w:rPr>
                <w:rFonts w:ascii="Arial"/>
                <w:sz w:val="21"/>
              </w:rPr>
            </w:pPr>
          </w:p>
          <w:p w14:paraId="5A9D4ABE">
            <w:pPr>
              <w:pStyle w:val="7"/>
              <w:spacing w:before="78" w:line="237" w:lineRule="auto"/>
              <w:ind w:left="253"/>
            </w:pPr>
            <w:r>
              <w:rPr>
                <w:spacing w:val="-10"/>
              </w:rPr>
              <w:t>18</w:t>
            </w:r>
          </w:p>
        </w:tc>
        <w:tc>
          <w:tcPr>
            <w:tcW w:w="923" w:type="dxa"/>
            <w:vMerge w:val="continue"/>
            <w:tcBorders>
              <w:top w:val="nil"/>
              <w:bottom w:val="nil"/>
            </w:tcBorders>
            <w:vAlign w:val="top"/>
          </w:tcPr>
          <w:p w14:paraId="281A0C08">
            <w:pPr>
              <w:rPr>
                <w:rFonts w:ascii="Arial"/>
                <w:sz w:val="21"/>
              </w:rPr>
            </w:pPr>
          </w:p>
        </w:tc>
        <w:tc>
          <w:tcPr>
            <w:tcW w:w="1295" w:type="dxa"/>
            <w:vAlign w:val="top"/>
          </w:tcPr>
          <w:p w14:paraId="7E2627AF">
            <w:pPr>
              <w:spacing w:line="256" w:lineRule="auto"/>
              <w:rPr>
                <w:rFonts w:ascii="Arial"/>
                <w:sz w:val="21"/>
              </w:rPr>
            </w:pPr>
          </w:p>
          <w:p w14:paraId="78755A4E">
            <w:pPr>
              <w:pStyle w:val="7"/>
              <w:spacing w:before="78" w:line="217" w:lineRule="auto"/>
              <w:ind w:left="227"/>
            </w:pPr>
            <w:r>
              <w:rPr>
                <w:spacing w:val="-17"/>
              </w:rPr>
              <w:t>消防设施</w:t>
            </w:r>
          </w:p>
        </w:tc>
        <w:tc>
          <w:tcPr>
            <w:tcW w:w="5138" w:type="dxa"/>
            <w:vAlign w:val="top"/>
          </w:tcPr>
          <w:p w14:paraId="171D5F41">
            <w:pPr>
              <w:spacing w:line="255" w:lineRule="auto"/>
              <w:rPr>
                <w:rFonts w:ascii="Arial"/>
                <w:sz w:val="21"/>
              </w:rPr>
            </w:pPr>
          </w:p>
          <w:p w14:paraId="73B27614">
            <w:pPr>
              <w:pStyle w:val="7"/>
              <w:spacing w:before="78" w:line="219" w:lineRule="auto"/>
              <w:ind w:left="734"/>
            </w:pPr>
            <w:r>
              <w:rPr>
                <w:spacing w:val="-21"/>
              </w:rPr>
              <w:t>于生产、生活区域按规范设置灭火器。</w:t>
            </w:r>
          </w:p>
        </w:tc>
        <w:tc>
          <w:tcPr>
            <w:tcW w:w="1139" w:type="dxa"/>
            <w:tcBorders>
              <w:right w:val="single" w:color="000000" w:sz="4" w:space="0"/>
            </w:tcBorders>
            <w:vAlign w:val="top"/>
          </w:tcPr>
          <w:p w14:paraId="4CC3468E">
            <w:pPr>
              <w:pStyle w:val="7"/>
              <w:spacing w:before="101" w:line="220" w:lineRule="auto"/>
              <w:ind w:left="143"/>
            </w:pPr>
            <w:r>
              <w:rPr>
                <w:spacing w:val="-15"/>
              </w:rPr>
              <w:t>项目经理</w:t>
            </w:r>
          </w:p>
          <w:p w14:paraId="2ECB0E8F">
            <w:pPr>
              <w:pStyle w:val="7"/>
              <w:spacing w:before="180" w:line="218" w:lineRule="auto"/>
              <w:ind w:left="470"/>
            </w:pPr>
            <w:r>
              <w:t>部</w:t>
            </w:r>
          </w:p>
        </w:tc>
      </w:tr>
      <w:tr w14:paraId="7F6A48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6" w:hRule="atLeast"/>
        </w:trPr>
        <w:tc>
          <w:tcPr>
            <w:tcW w:w="676" w:type="dxa"/>
            <w:tcBorders>
              <w:left w:val="single" w:color="1C456A" w:sz="4" w:space="0"/>
              <w:bottom w:val="single" w:color="1C456A" w:sz="4" w:space="0"/>
            </w:tcBorders>
            <w:vAlign w:val="top"/>
          </w:tcPr>
          <w:p w14:paraId="44BDC56F">
            <w:pPr>
              <w:pStyle w:val="7"/>
              <w:spacing w:before="103" w:line="237" w:lineRule="auto"/>
              <w:ind w:left="253"/>
            </w:pPr>
            <w:r>
              <w:rPr>
                <w:spacing w:val="-10"/>
              </w:rPr>
              <w:t>19</w:t>
            </w:r>
          </w:p>
        </w:tc>
        <w:tc>
          <w:tcPr>
            <w:tcW w:w="923" w:type="dxa"/>
            <w:vMerge w:val="continue"/>
            <w:tcBorders>
              <w:top w:val="nil"/>
              <w:bottom w:val="single" w:color="000000" w:sz="4" w:space="0"/>
            </w:tcBorders>
            <w:vAlign w:val="top"/>
          </w:tcPr>
          <w:p w14:paraId="5CC2B109">
            <w:pPr>
              <w:rPr>
                <w:rFonts w:ascii="Arial"/>
                <w:sz w:val="21"/>
              </w:rPr>
            </w:pPr>
          </w:p>
        </w:tc>
        <w:tc>
          <w:tcPr>
            <w:tcW w:w="1295" w:type="dxa"/>
            <w:tcBorders>
              <w:bottom w:val="single" w:color="000000" w:sz="4" w:space="0"/>
            </w:tcBorders>
            <w:vAlign w:val="top"/>
          </w:tcPr>
          <w:p w14:paraId="54C1DCAE">
            <w:pPr>
              <w:pStyle w:val="7"/>
              <w:spacing w:before="103" w:line="218" w:lineRule="auto"/>
              <w:ind w:left="134"/>
            </w:pPr>
            <w:r>
              <w:rPr>
                <w:spacing w:val="-22"/>
              </w:rPr>
              <w:t>图牌、标语</w:t>
            </w:r>
          </w:p>
        </w:tc>
        <w:tc>
          <w:tcPr>
            <w:tcW w:w="5138" w:type="dxa"/>
            <w:tcBorders>
              <w:bottom w:val="single" w:color="000000" w:sz="4" w:space="0"/>
            </w:tcBorders>
            <w:vAlign w:val="top"/>
          </w:tcPr>
          <w:p w14:paraId="0767DE55">
            <w:pPr>
              <w:pStyle w:val="7"/>
              <w:spacing w:before="104" w:line="217" w:lineRule="auto"/>
              <w:ind w:left="626"/>
            </w:pPr>
            <w:r>
              <w:rPr>
                <w:spacing w:val="-21"/>
              </w:rPr>
              <w:t>于办公、生活区域及沿线主要位置设置。</w:t>
            </w:r>
          </w:p>
        </w:tc>
        <w:tc>
          <w:tcPr>
            <w:tcW w:w="1139" w:type="dxa"/>
            <w:tcBorders>
              <w:bottom w:val="single" w:color="5B9BD5" w:sz="4" w:space="0"/>
              <w:right w:val="single" w:color="5B9BD5" w:sz="4" w:space="0"/>
            </w:tcBorders>
            <w:vAlign w:val="top"/>
          </w:tcPr>
          <w:p w14:paraId="4DD356D4">
            <w:pPr>
              <w:pStyle w:val="7"/>
              <w:spacing w:before="103" w:line="220" w:lineRule="auto"/>
              <w:ind w:left="143"/>
            </w:pPr>
            <w:r>
              <w:pict>
                <v:shape id="_x0000_s4548" o:spid="_x0000_s4548" style="position:absolute;left:0pt;margin-left:55.1pt;margin-top:31.3pt;height:0.75pt;width:2.2pt;mso-position-horizontal-relative:page;mso-position-vertical-relative:page;z-index:252397568;mso-width-relative:page;mso-height-relative:page;" fillcolor="#5B9BD5" filled="t" stroked="f" coordsize="44,15" path="m0,14l43,14,43,0,0,0,0,14xe">
                  <v:path/>
                  <v:fill on="t" focussize="0,0"/>
                  <v:stroke on="f"/>
                  <v:imagedata o:title=""/>
                  <o:lock v:ext="edit"/>
                </v:shape>
              </w:pict>
            </w:r>
            <w:r>
              <w:rPr>
                <w:spacing w:val="-15"/>
              </w:rPr>
              <w:t>项目经理</w:t>
            </w:r>
          </w:p>
        </w:tc>
      </w:tr>
    </w:tbl>
    <w:p w14:paraId="17ADF2CD">
      <w:pPr>
        <w:rPr>
          <w:rFonts w:ascii="Arial"/>
          <w:sz w:val="21"/>
        </w:rPr>
      </w:pPr>
    </w:p>
    <w:p w14:paraId="6B3B296F">
      <w:pPr>
        <w:rPr>
          <w:rFonts w:ascii="Arial" w:hAnsi="Arial" w:eastAsia="Arial" w:cs="Arial"/>
          <w:sz w:val="21"/>
          <w:szCs w:val="21"/>
        </w:rPr>
        <w:sectPr>
          <w:footerReference r:id="rId413" w:type="default"/>
          <w:pgSz w:w="11907" w:h="16839"/>
          <w:pgMar w:top="933" w:right="4" w:bottom="1038" w:left="0" w:header="478" w:footer="357" w:gutter="0"/>
          <w:pgBorders>
            <w:top w:val="none" w:sz="0" w:space="0"/>
            <w:left w:val="none" w:sz="0" w:space="0"/>
            <w:bottom w:val="none" w:sz="0" w:space="0"/>
            <w:right w:val="none" w:sz="0" w:space="0"/>
          </w:pgBorders>
          <w:cols w:space="720" w:num="1"/>
        </w:sectPr>
      </w:pPr>
    </w:p>
    <w:p w14:paraId="51F90F3C">
      <w:pPr>
        <w:spacing w:line="235" w:lineRule="exact"/>
      </w:pPr>
    </w:p>
    <w:tbl>
      <w:tblPr>
        <w:tblStyle w:val="6"/>
        <w:tblW w:w="9171" w:type="dxa"/>
        <w:tblInd w:w="136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76"/>
        <w:gridCol w:w="923"/>
        <w:gridCol w:w="1295"/>
        <w:gridCol w:w="5138"/>
        <w:gridCol w:w="1139"/>
      </w:tblGrid>
      <w:tr w14:paraId="7B427A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676" w:type="dxa"/>
            <w:tcBorders>
              <w:top w:val="single" w:color="000000" w:sz="4" w:space="0"/>
              <w:left w:val="single" w:color="000000" w:sz="4" w:space="0"/>
            </w:tcBorders>
            <w:vAlign w:val="top"/>
          </w:tcPr>
          <w:p w14:paraId="4826A051">
            <w:pPr>
              <w:rPr>
                <w:rFonts w:ascii="Arial"/>
                <w:sz w:val="21"/>
              </w:rPr>
            </w:pPr>
          </w:p>
        </w:tc>
        <w:tc>
          <w:tcPr>
            <w:tcW w:w="923" w:type="dxa"/>
            <w:vMerge w:val="restart"/>
            <w:tcBorders>
              <w:top w:val="single" w:color="5B9BD5" w:sz="4" w:space="0"/>
              <w:bottom w:val="nil"/>
            </w:tcBorders>
            <w:vAlign w:val="top"/>
          </w:tcPr>
          <w:p w14:paraId="1A473A78">
            <w:pPr>
              <w:rPr>
                <w:rFonts w:ascii="Arial"/>
                <w:sz w:val="21"/>
              </w:rPr>
            </w:pPr>
          </w:p>
        </w:tc>
        <w:tc>
          <w:tcPr>
            <w:tcW w:w="1295" w:type="dxa"/>
            <w:tcBorders>
              <w:top w:val="single" w:color="000000" w:sz="4" w:space="0"/>
            </w:tcBorders>
            <w:vAlign w:val="top"/>
          </w:tcPr>
          <w:p w14:paraId="7C0F61AA">
            <w:pPr>
              <w:pStyle w:val="7"/>
              <w:spacing w:before="128" w:line="220" w:lineRule="auto"/>
              <w:ind w:left="556"/>
            </w:pPr>
            <w:r>
              <w:t>等</w:t>
            </w:r>
          </w:p>
        </w:tc>
        <w:tc>
          <w:tcPr>
            <w:tcW w:w="5138" w:type="dxa"/>
            <w:tcBorders>
              <w:top w:val="single" w:color="000000" w:sz="4" w:space="0"/>
            </w:tcBorders>
            <w:vAlign w:val="top"/>
          </w:tcPr>
          <w:p w14:paraId="22C103DF">
            <w:pPr>
              <w:rPr>
                <w:rFonts w:ascii="Arial"/>
                <w:sz w:val="21"/>
              </w:rPr>
            </w:pPr>
          </w:p>
        </w:tc>
        <w:tc>
          <w:tcPr>
            <w:tcW w:w="1139" w:type="dxa"/>
            <w:tcBorders>
              <w:top w:val="single" w:color="5B9BD5" w:sz="4" w:space="0"/>
              <w:right w:val="single" w:color="5B9BD5" w:sz="4" w:space="0"/>
            </w:tcBorders>
            <w:vAlign w:val="top"/>
          </w:tcPr>
          <w:p w14:paraId="6F744FB3">
            <w:pPr>
              <w:pStyle w:val="7"/>
              <w:spacing w:before="129" w:line="218" w:lineRule="auto"/>
              <w:ind w:left="470"/>
            </w:pPr>
            <w:r>
              <w:t>部</w:t>
            </w:r>
          </w:p>
        </w:tc>
      </w:tr>
      <w:tr w14:paraId="797A42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87" w:hRule="atLeast"/>
        </w:trPr>
        <w:tc>
          <w:tcPr>
            <w:tcW w:w="676" w:type="dxa"/>
            <w:tcBorders>
              <w:left w:val="single" w:color="1C456A" w:sz="4" w:space="0"/>
              <w:bottom w:val="single" w:color="1C456A" w:sz="4" w:space="0"/>
            </w:tcBorders>
            <w:vAlign w:val="top"/>
          </w:tcPr>
          <w:p w14:paraId="4045A00F">
            <w:pPr>
              <w:spacing w:line="250" w:lineRule="auto"/>
              <w:rPr>
                <w:rFonts w:ascii="Arial"/>
                <w:sz w:val="21"/>
              </w:rPr>
            </w:pPr>
          </w:p>
          <w:p w14:paraId="222A3FEE">
            <w:pPr>
              <w:pStyle w:val="7"/>
              <w:spacing w:before="78" w:line="237" w:lineRule="auto"/>
              <w:ind w:left="238"/>
            </w:pPr>
            <w:r>
              <w:rPr>
                <w:spacing w:val="-6"/>
              </w:rPr>
              <w:t>20</w:t>
            </w:r>
          </w:p>
        </w:tc>
        <w:tc>
          <w:tcPr>
            <w:tcW w:w="923" w:type="dxa"/>
            <w:vMerge w:val="continue"/>
            <w:tcBorders>
              <w:top w:val="nil"/>
              <w:bottom w:val="single" w:color="5B9BD5" w:sz="4" w:space="0"/>
            </w:tcBorders>
            <w:vAlign w:val="top"/>
          </w:tcPr>
          <w:p w14:paraId="72F174F9">
            <w:pPr>
              <w:rPr>
                <w:rFonts w:ascii="Arial"/>
                <w:sz w:val="21"/>
              </w:rPr>
            </w:pPr>
          </w:p>
        </w:tc>
        <w:tc>
          <w:tcPr>
            <w:tcW w:w="1295" w:type="dxa"/>
            <w:tcBorders>
              <w:bottom w:val="single" w:color="000000" w:sz="4" w:space="0"/>
            </w:tcBorders>
            <w:vAlign w:val="top"/>
          </w:tcPr>
          <w:p w14:paraId="0A4E3B70">
            <w:pPr>
              <w:spacing w:line="250" w:lineRule="auto"/>
              <w:rPr>
                <w:rFonts w:ascii="Arial"/>
                <w:sz w:val="21"/>
              </w:rPr>
            </w:pPr>
          </w:p>
          <w:p w14:paraId="467E2C9E">
            <w:pPr>
              <w:pStyle w:val="7"/>
              <w:spacing w:before="78" w:line="218" w:lineRule="auto"/>
              <w:ind w:left="328"/>
            </w:pPr>
            <w:r>
              <w:rPr>
                <w:spacing w:val="-13"/>
              </w:rPr>
              <w:t>广告牌</w:t>
            </w:r>
          </w:p>
        </w:tc>
        <w:tc>
          <w:tcPr>
            <w:tcW w:w="5138" w:type="dxa"/>
            <w:tcBorders>
              <w:bottom w:val="single" w:color="000000" w:sz="4" w:space="0"/>
            </w:tcBorders>
            <w:vAlign w:val="top"/>
          </w:tcPr>
          <w:p w14:paraId="75BA0108">
            <w:pPr>
              <w:spacing w:line="250" w:lineRule="auto"/>
              <w:rPr>
                <w:rFonts w:ascii="Arial"/>
                <w:sz w:val="21"/>
              </w:rPr>
            </w:pPr>
          </w:p>
          <w:p w14:paraId="269E2A87">
            <w:pPr>
              <w:pStyle w:val="7"/>
              <w:spacing w:before="78" w:line="218" w:lineRule="auto"/>
              <w:ind w:left="1600"/>
            </w:pPr>
            <w:r>
              <w:rPr>
                <w:spacing w:val="-19"/>
              </w:rPr>
              <w:t>按照招标人要求设置</w:t>
            </w:r>
          </w:p>
        </w:tc>
        <w:tc>
          <w:tcPr>
            <w:tcW w:w="1139" w:type="dxa"/>
            <w:tcBorders>
              <w:bottom w:val="single" w:color="5B9BD5" w:sz="4" w:space="0"/>
              <w:right w:val="single" w:color="5B9BD5" w:sz="4" w:space="0"/>
            </w:tcBorders>
            <w:vAlign w:val="top"/>
          </w:tcPr>
          <w:p w14:paraId="613D3009">
            <w:pPr>
              <w:pStyle w:val="7"/>
              <w:spacing w:before="96" w:line="220" w:lineRule="auto"/>
              <w:ind w:left="143"/>
            </w:pPr>
            <w:r>
              <w:rPr>
                <w:spacing w:val="-16"/>
              </w:rPr>
              <w:t>项目经理</w:t>
            </w:r>
          </w:p>
          <w:p w14:paraId="28D164C5">
            <w:pPr>
              <w:pStyle w:val="7"/>
              <w:spacing w:before="180" w:line="218" w:lineRule="auto"/>
              <w:ind w:left="470"/>
            </w:pPr>
            <w:r>
              <w:t>部</w:t>
            </w:r>
          </w:p>
        </w:tc>
      </w:tr>
    </w:tbl>
    <w:p w14:paraId="5A6CA07C">
      <w:pPr>
        <w:pStyle w:val="2"/>
        <w:spacing w:before="78" w:line="216" w:lineRule="auto"/>
        <w:ind w:left="1986"/>
        <w:outlineLvl w:val="2"/>
        <w:rPr>
          <w:sz w:val="28"/>
          <w:szCs w:val="28"/>
        </w:rPr>
      </w:pPr>
      <w:bookmarkStart w:id="293" w:name="bookmark279"/>
      <w:bookmarkEnd w:id="293"/>
      <w:r>
        <w:rPr>
          <w:b/>
          <w:bCs/>
          <w:spacing w:val="-23"/>
          <w:sz w:val="28"/>
          <w:szCs w:val="28"/>
        </w:rPr>
        <w:t>二、施工场地布置原则</w:t>
      </w:r>
    </w:p>
    <w:p w14:paraId="03EC7DC8">
      <w:pPr>
        <w:pStyle w:val="2"/>
        <w:spacing w:before="107" w:line="262" w:lineRule="auto"/>
        <w:ind w:left="1470" w:right="1412" w:firstLine="432"/>
        <w:rPr>
          <w:sz w:val="24"/>
          <w:szCs w:val="24"/>
        </w:rPr>
      </w:pPr>
      <w:r>
        <w:rPr>
          <w:spacing w:val="-22"/>
          <w:sz w:val="24"/>
          <w:szCs w:val="24"/>
        </w:rPr>
        <w:t>1、该工程占地面积大，但施工场地比较紧凑，因此在</w:t>
      </w:r>
      <w:r>
        <w:rPr>
          <w:spacing w:val="-23"/>
          <w:sz w:val="24"/>
          <w:szCs w:val="24"/>
        </w:rPr>
        <w:t>总平面布置当中根据不同施工区域的</w:t>
      </w:r>
      <w:r>
        <w:rPr>
          <w:spacing w:val="-22"/>
          <w:sz w:val="24"/>
          <w:szCs w:val="24"/>
        </w:rPr>
        <w:t>生产要求分别布置相应的临设及施工机械，且做到一步到位，减少二次搬运。</w:t>
      </w:r>
    </w:p>
    <w:p w14:paraId="1221ABE3">
      <w:pPr>
        <w:pStyle w:val="2"/>
        <w:spacing w:before="117" w:line="269" w:lineRule="auto"/>
        <w:ind w:left="1476" w:right="1411" w:firstLine="411"/>
        <w:rPr>
          <w:sz w:val="24"/>
          <w:szCs w:val="24"/>
        </w:rPr>
      </w:pPr>
      <w:r>
        <w:rPr>
          <w:spacing w:val="-22"/>
          <w:sz w:val="24"/>
          <w:szCs w:val="24"/>
        </w:rPr>
        <w:t>2、根据现场地形实际情况及达到标化的要求分设施工作业区、生产办公及相对独立的生活</w:t>
      </w:r>
      <w:r>
        <w:rPr>
          <w:spacing w:val="-23"/>
          <w:sz w:val="24"/>
          <w:szCs w:val="24"/>
        </w:rPr>
        <w:t>区。</w:t>
      </w:r>
    </w:p>
    <w:p w14:paraId="7C4E5C29">
      <w:pPr>
        <w:pStyle w:val="2"/>
        <w:spacing w:before="103" w:line="261" w:lineRule="auto"/>
        <w:ind w:left="1458" w:right="1354" w:firstLine="432"/>
        <w:rPr>
          <w:sz w:val="24"/>
          <w:szCs w:val="24"/>
        </w:rPr>
      </w:pPr>
      <w:r>
        <w:rPr>
          <w:spacing w:val="-26"/>
          <w:sz w:val="24"/>
          <w:szCs w:val="24"/>
        </w:rPr>
        <w:t>3、根据项目场地实际情况及总体布局，本工程场地的西南侧空地作为办公区域和生活区域，</w:t>
      </w:r>
      <w:r>
        <w:rPr>
          <w:spacing w:val="-21"/>
          <w:sz w:val="24"/>
          <w:szCs w:val="24"/>
        </w:rPr>
        <w:t>在其他空地上设生产加工车间、材料堆场等设施根据</w:t>
      </w:r>
      <w:r>
        <w:rPr>
          <w:spacing w:val="-22"/>
          <w:sz w:val="24"/>
          <w:szCs w:val="24"/>
        </w:rPr>
        <w:t>各施工区域的要求设置。</w:t>
      </w:r>
    </w:p>
    <w:p w14:paraId="0EA63248">
      <w:pPr>
        <w:pStyle w:val="2"/>
        <w:spacing w:before="120" w:line="277" w:lineRule="auto"/>
        <w:ind w:left="1459" w:right="1335" w:firstLine="425"/>
        <w:rPr>
          <w:sz w:val="24"/>
          <w:szCs w:val="24"/>
        </w:rPr>
      </w:pPr>
      <w:r>
        <w:rPr>
          <w:spacing w:val="-21"/>
          <w:sz w:val="24"/>
          <w:szCs w:val="24"/>
        </w:rPr>
        <w:t>4、在场地入口（即以后的大门位置）砌筑临时大门，在大门口醒目位置设置现场导引图，</w:t>
      </w:r>
      <w:r>
        <w:rPr>
          <w:spacing w:val="-23"/>
          <w:sz w:val="24"/>
          <w:szCs w:val="24"/>
        </w:rPr>
        <w:t>包括安全通道、主要通道、“四口”临边位置、危险处、消防设施放置处、</w:t>
      </w:r>
      <w:r>
        <w:rPr>
          <w:spacing w:val="-24"/>
          <w:sz w:val="24"/>
          <w:szCs w:val="24"/>
        </w:rPr>
        <w:t>安全标识张挂处等。</w:t>
      </w:r>
      <w:r>
        <w:rPr>
          <w:spacing w:val="-21"/>
          <w:sz w:val="24"/>
          <w:szCs w:val="24"/>
        </w:rPr>
        <w:t>大门进出处设冲洗站，净车出场。</w:t>
      </w:r>
    </w:p>
    <w:p w14:paraId="70FEBB52">
      <w:pPr>
        <w:pStyle w:val="2"/>
        <w:spacing w:before="121" w:line="218" w:lineRule="auto"/>
        <w:ind w:left="1890"/>
        <w:rPr>
          <w:sz w:val="24"/>
          <w:szCs w:val="24"/>
        </w:rPr>
      </w:pPr>
      <w:r>
        <w:rPr>
          <w:spacing w:val="-22"/>
          <w:sz w:val="24"/>
          <w:szCs w:val="24"/>
        </w:rPr>
        <w:t>5、沿道路周边设置排水沟，便于场地排水。</w:t>
      </w:r>
    </w:p>
    <w:p w14:paraId="335A72AA">
      <w:pPr>
        <w:pStyle w:val="2"/>
        <w:spacing w:before="117" w:line="215" w:lineRule="auto"/>
        <w:ind w:left="1887"/>
        <w:rPr>
          <w:sz w:val="24"/>
          <w:szCs w:val="24"/>
        </w:rPr>
      </w:pPr>
      <w:r>
        <w:rPr>
          <w:spacing w:val="-21"/>
          <w:sz w:val="24"/>
          <w:szCs w:val="24"/>
        </w:rPr>
        <w:t>6、材料堆场尽可能布置在垂直运输机械附近，砂、砖堆在指定的堆放场且用砖砌隔开。</w:t>
      </w:r>
    </w:p>
    <w:p w14:paraId="769A48C8">
      <w:pPr>
        <w:pStyle w:val="2"/>
        <w:spacing w:before="119" w:line="216" w:lineRule="auto"/>
        <w:ind w:left="1891"/>
        <w:rPr>
          <w:sz w:val="24"/>
          <w:szCs w:val="24"/>
        </w:rPr>
      </w:pPr>
      <w:r>
        <w:rPr>
          <w:spacing w:val="-21"/>
          <w:sz w:val="24"/>
          <w:szCs w:val="24"/>
        </w:rPr>
        <w:t>7、现场设置砂浆机等主要施工机械若干，并划出砂浆的作业区。</w:t>
      </w:r>
    </w:p>
    <w:p w14:paraId="6111F0E5">
      <w:pPr>
        <w:pStyle w:val="2"/>
        <w:spacing w:before="120" w:line="216" w:lineRule="auto"/>
        <w:ind w:left="1886"/>
        <w:rPr>
          <w:sz w:val="24"/>
          <w:szCs w:val="24"/>
        </w:rPr>
      </w:pPr>
      <w:r>
        <w:rPr>
          <w:spacing w:val="-20"/>
          <w:sz w:val="24"/>
          <w:szCs w:val="24"/>
        </w:rPr>
        <w:t>8、生活区按文明标化要求进行合理布置。</w:t>
      </w:r>
    </w:p>
    <w:p w14:paraId="2522A167">
      <w:pPr>
        <w:pStyle w:val="2"/>
        <w:spacing w:before="84" w:line="219" w:lineRule="auto"/>
        <w:ind w:left="1985"/>
        <w:outlineLvl w:val="2"/>
        <w:rPr>
          <w:sz w:val="28"/>
          <w:szCs w:val="28"/>
        </w:rPr>
      </w:pPr>
      <w:bookmarkStart w:id="294" w:name="bookmark280"/>
      <w:bookmarkEnd w:id="294"/>
      <w:r>
        <w:rPr>
          <w:b/>
          <w:bCs/>
          <w:spacing w:val="-23"/>
          <w:sz w:val="28"/>
          <w:szCs w:val="28"/>
        </w:rPr>
        <w:t>三、施工现场已有条件</w:t>
      </w:r>
    </w:p>
    <w:p w14:paraId="440AB93F">
      <w:pPr>
        <w:pStyle w:val="2"/>
        <w:spacing w:before="103" w:line="217" w:lineRule="auto"/>
        <w:ind w:left="1903"/>
        <w:rPr>
          <w:sz w:val="24"/>
          <w:szCs w:val="24"/>
        </w:rPr>
      </w:pPr>
      <w:r>
        <w:rPr>
          <w:spacing w:val="-21"/>
          <w:sz w:val="24"/>
          <w:szCs w:val="24"/>
        </w:rPr>
        <w:t>1、交通条件：本项目周边道路成熟，交通条件良</w:t>
      </w:r>
      <w:r>
        <w:rPr>
          <w:spacing w:val="-22"/>
          <w:sz w:val="24"/>
          <w:szCs w:val="24"/>
        </w:rPr>
        <w:t>好。</w:t>
      </w:r>
    </w:p>
    <w:p w14:paraId="73EC046B">
      <w:pPr>
        <w:pStyle w:val="2"/>
        <w:spacing w:before="118" w:line="219" w:lineRule="auto"/>
        <w:ind w:left="1888"/>
        <w:rPr>
          <w:sz w:val="24"/>
          <w:szCs w:val="24"/>
        </w:rPr>
      </w:pPr>
      <w:r>
        <w:rPr>
          <w:spacing w:val="-18"/>
          <w:sz w:val="24"/>
          <w:szCs w:val="24"/>
        </w:rPr>
        <w:t>2、临时供水</w:t>
      </w:r>
    </w:p>
    <w:p w14:paraId="26D0E325">
      <w:pPr>
        <w:pStyle w:val="2"/>
        <w:spacing w:before="117" w:line="307" w:lineRule="auto"/>
        <w:ind w:left="1455" w:right="1409" w:firstLine="436"/>
        <w:rPr>
          <w:sz w:val="24"/>
          <w:szCs w:val="24"/>
        </w:rPr>
      </w:pPr>
      <w:r>
        <w:rPr>
          <w:spacing w:val="-20"/>
          <w:sz w:val="24"/>
          <w:szCs w:val="24"/>
        </w:rPr>
        <w:t>施工临时用水暂定从现场市政给水口处引入，中标人在施工现场需要设置临时蓄水池，保</w:t>
      </w:r>
      <w:r>
        <w:rPr>
          <w:spacing w:val="-18"/>
          <w:sz w:val="24"/>
          <w:szCs w:val="24"/>
        </w:rPr>
        <w:t>证施工用水量。</w:t>
      </w:r>
    </w:p>
    <w:p w14:paraId="035D254F">
      <w:pPr>
        <w:pStyle w:val="2"/>
        <w:spacing w:before="1" w:line="218" w:lineRule="auto"/>
        <w:ind w:left="1890"/>
        <w:rPr>
          <w:sz w:val="24"/>
          <w:szCs w:val="24"/>
        </w:rPr>
      </w:pPr>
      <w:r>
        <w:rPr>
          <w:spacing w:val="-15"/>
          <w:sz w:val="24"/>
          <w:szCs w:val="24"/>
        </w:rPr>
        <w:t>3、临时供电</w:t>
      </w:r>
    </w:p>
    <w:p w14:paraId="11ABF9E8">
      <w:pPr>
        <w:pStyle w:val="2"/>
        <w:spacing w:before="117" w:line="307" w:lineRule="auto"/>
        <w:ind w:left="1463" w:right="1409" w:firstLine="428"/>
        <w:rPr>
          <w:sz w:val="24"/>
          <w:szCs w:val="24"/>
        </w:rPr>
      </w:pPr>
      <w:r>
        <w:rPr>
          <w:spacing w:val="-19"/>
          <w:sz w:val="24"/>
          <w:szCs w:val="24"/>
        </w:rPr>
        <w:t>施工用电总箱可安装在项目的西侧，由西</w:t>
      </w:r>
      <w:r>
        <w:rPr>
          <w:spacing w:val="-20"/>
          <w:sz w:val="24"/>
          <w:szCs w:val="24"/>
        </w:rPr>
        <w:t>侧处的高压接电处引入至施工场地的有关设备及</w:t>
      </w:r>
      <w:r>
        <w:rPr>
          <w:spacing w:val="-21"/>
          <w:sz w:val="24"/>
          <w:szCs w:val="24"/>
        </w:rPr>
        <w:t>线路、配电箱、电表等。工程临时接电费用由</w:t>
      </w:r>
      <w:r>
        <w:rPr>
          <w:spacing w:val="-22"/>
          <w:sz w:val="24"/>
          <w:szCs w:val="24"/>
        </w:rPr>
        <w:t>中标人承担。</w:t>
      </w:r>
    </w:p>
    <w:p w14:paraId="0C557880">
      <w:pPr>
        <w:pStyle w:val="2"/>
        <w:spacing w:before="1" w:line="218" w:lineRule="auto"/>
        <w:ind w:left="1884"/>
        <w:rPr>
          <w:sz w:val="24"/>
          <w:szCs w:val="24"/>
        </w:rPr>
      </w:pPr>
      <w:r>
        <w:rPr>
          <w:spacing w:val="-17"/>
          <w:sz w:val="24"/>
          <w:szCs w:val="24"/>
        </w:rPr>
        <w:t>4、现场排水、排污</w:t>
      </w:r>
    </w:p>
    <w:p w14:paraId="6D25A74F">
      <w:pPr>
        <w:pStyle w:val="2"/>
        <w:spacing w:before="116" w:line="308" w:lineRule="auto"/>
        <w:ind w:left="1455" w:right="1410" w:firstLine="443"/>
        <w:rPr>
          <w:sz w:val="24"/>
          <w:szCs w:val="24"/>
        </w:rPr>
      </w:pPr>
      <w:r>
        <w:rPr>
          <w:spacing w:val="-20"/>
          <w:sz w:val="24"/>
          <w:szCs w:val="24"/>
        </w:rPr>
        <w:t>工地周边市政排水排污系统，设置临时排水系统排污设施。雨水经二级沉淀后排至市政雨</w:t>
      </w:r>
      <w:r>
        <w:rPr>
          <w:spacing w:val="-21"/>
          <w:sz w:val="24"/>
          <w:szCs w:val="24"/>
        </w:rPr>
        <w:t>水管网。现场生活废水需要排入市政污水管网。</w:t>
      </w:r>
    </w:p>
    <w:p w14:paraId="74EAF6A1">
      <w:pPr>
        <w:pStyle w:val="2"/>
        <w:spacing w:before="1" w:line="218" w:lineRule="auto"/>
        <w:ind w:left="1890"/>
        <w:rPr>
          <w:sz w:val="24"/>
          <w:szCs w:val="24"/>
        </w:rPr>
      </w:pPr>
      <w:r>
        <w:rPr>
          <w:spacing w:val="-17"/>
          <w:sz w:val="24"/>
          <w:szCs w:val="24"/>
        </w:rPr>
        <w:t>5、施工临时设施</w:t>
      </w:r>
    </w:p>
    <w:p w14:paraId="5F08A46F">
      <w:pPr>
        <w:pStyle w:val="2"/>
        <w:spacing w:before="116" w:line="294" w:lineRule="auto"/>
        <w:ind w:left="1457" w:right="1345" w:firstLine="438"/>
        <w:rPr>
          <w:sz w:val="24"/>
          <w:szCs w:val="24"/>
        </w:rPr>
      </w:pPr>
      <w:r>
        <w:rPr>
          <w:spacing w:val="-23"/>
          <w:sz w:val="24"/>
          <w:szCs w:val="24"/>
        </w:rPr>
        <w:t>选择现场合适位置搭设临时项目部，具体详</w:t>
      </w:r>
      <w:r>
        <w:rPr>
          <w:spacing w:val="-24"/>
          <w:sz w:val="24"/>
          <w:szCs w:val="24"/>
        </w:rPr>
        <w:t>见施工总平面图。钢筋加工场、周转材料堆场、</w:t>
      </w:r>
      <w:r>
        <w:rPr>
          <w:spacing w:val="-21"/>
          <w:sz w:val="24"/>
          <w:szCs w:val="24"/>
        </w:rPr>
        <w:t>半成品堆场根据现场平面布置。</w:t>
      </w:r>
    </w:p>
    <w:p w14:paraId="6C745A1A">
      <w:pPr>
        <w:pStyle w:val="2"/>
        <w:spacing w:before="1" w:line="216" w:lineRule="auto"/>
        <w:ind w:left="2010"/>
        <w:outlineLvl w:val="2"/>
        <w:rPr>
          <w:sz w:val="28"/>
          <w:szCs w:val="28"/>
        </w:rPr>
      </w:pPr>
      <w:bookmarkStart w:id="295" w:name="bookmark281"/>
      <w:bookmarkEnd w:id="295"/>
      <w:r>
        <w:rPr>
          <w:b/>
          <w:bCs/>
          <w:spacing w:val="-25"/>
          <w:sz w:val="28"/>
          <w:szCs w:val="28"/>
        </w:rPr>
        <w:t>四、施工场地布置规划</w:t>
      </w:r>
    </w:p>
    <w:p w14:paraId="55594F00">
      <w:pPr>
        <w:pStyle w:val="2"/>
        <w:spacing w:before="107" w:line="216" w:lineRule="auto"/>
        <w:ind w:left="1903"/>
        <w:rPr>
          <w:sz w:val="24"/>
          <w:szCs w:val="24"/>
        </w:rPr>
      </w:pPr>
      <w:r>
        <w:rPr>
          <w:spacing w:val="-19"/>
          <w:sz w:val="24"/>
          <w:szCs w:val="24"/>
        </w:rPr>
        <w:t>1、总体布置原则</w:t>
      </w:r>
    </w:p>
    <w:p w14:paraId="2CD18391">
      <w:pPr>
        <w:pStyle w:val="2"/>
        <w:spacing w:before="118" w:line="217" w:lineRule="auto"/>
        <w:ind w:left="1903"/>
        <w:rPr>
          <w:sz w:val="24"/>
          <w:szCs w:val="24"/>
        </w:rPr>
      </w:pPr>
      <w:r>
        <w:rPr>
          <w:spacing w:val="-21"/>
          <w:sz w:val="24"/>
          <w:szCs w:val="24"/>
        </w:rPr>
        <w:t>1.1、可以既满足工程施工需要、又符合创建文明施工工地为</w:t>
      </w:r>
      <w:r>
        <w:rPr>
          <w:spacing w:val="-22"/>
          <w:sz w:val="24"/>
          <w:szCs w:val="24"/>
        </w:rPr>
        <w:t>前提，按照招标文件要求和集</w:t>
      </w:r>
    </w:p>
    <w:p w14:paraId="6DE4AE73">
      <w:pPr>
        <w:spacing w:line="217" w:lineRule="auto"/>
        <w:rPr>
          <w:sz w:val="24"/>
          <w:szCs w:val="24"/>
        </w:rPr>
        <w:sectPr>
          <w:footerReference r:id="rId414" w:type="default"/>
          <w:pgSz w:w="11907" w:h="16839"/>
          <w:pgMar w:top="933" w:right="4" w:bottom="1038" w:left="0" w:header="478" w:footer="357" w:gutter="0"/>
          <w:pgBorders>
            <w:top w:val="none" w:sz="0" w:space="0"/>
            <w:left w:val="none" w:sz="0" w:space="0"/>
            <w:bottom w:val="none" w:sz="0" w:space="0"/>
            <w:right w:val="none" w:sz="0" w:space="0"/>
          </w:pgBorders>
          <w:cols w:space="720" w:num="1"/>
        </w:sectPr>
      </w:pPr>
    </w:p>
    <w:p w14:paraId="29F04F84">
      <w:pPr>
        <w:spacing w:line="270" w:lineRule="auto"/>
        <w:rPr>
          <w:rFonts w:ascii="Arial"/>
          <w:sz w:val="21"/>
        </w:rPr>
      </w:pPr>
    </w:p>
    <w:p w14:paraId="530C8929">
      <w:pPr>
        <w:pStyle w:val="2"/>
        <w:spacing w:before="78" w:line="308" w:lineRule="auto"/>
        <w:ind w:left="1457" w:right="1415" w:firstLine="24"/>
        <w:jc w:val="both"/>
        <w:rPr>
          <w:sz w:val="24"/>
          <w:szCs w:val="24"/>
        </w:rPr>
      </w:pPr>
      <w:r>
        <w:rPr>
          <w:spacing w:val="-20"/>
          <w:sz w:val="24"/>
          <w:szCs w:val="24"/>
        </w:rPr>
        <w:t>团公司内部施工现场大门、围墙标准进行设计、施工，因</w:t>
      </w:r>
      <w:r>
        <w:rPr>
          <w:spacing w:val="-21"/>
          <w:sz w:val="24"/>
          <w:szCs w:val="24"/>
        </w:rPr>
        <w:t>地制宜、因时制宜、有利施工、方便</w:t>
      </w:r>
      <w:r>
        <w:rPr>
          <w:spacing w:val="-20"/>
          <w:sz w:val="24"/>
          <w:szCs w:val="24"/>
        </w:rPr>
        <w:t>生活、易于管理、安全可靠、经济合理地规划生产生活区、对内对外交通、供电供水、材料堆</w:t>
      </w:r>
      <w:r>
        <w:rPr>
          <w:spacing w:val="-21"/>
          <w:sz w:val="24"/>
          <w:szCs w:val="24"/>
        </w:rPr>
        <w:t>场等。</w:t>
      </w:r>
    </w:p>
    <w:p w14:paraId="5D71B47E">
      <w:pPr>
        <w:pStyle w:val="2"/>
        <w:spacing w:before="1" w:line="215" w:lineRule="auto"/>
        <w:ind w:left="1888"/>
        <w:rPr>
          <w:sz w:val="24"/>
          <w:szCs w:val="24"/>
        </w:rPr>
      </w:pPr>
      <w:r>
        <w:rPr>
          <w:spacing w:val="-18"/>
          <w:sz w:val="24"/>
          <w:szCs w:val="24"/>
        </w:rPr>
        <w:t>2、施工现场布置说明</w:t>
      </w:r>
    </w:p>
    <w:p w14:paraId="7488A9EE">
      <w:pPr>
        <w:pStyle w:val="2"/>
        <w:spacing w:before="118" w:line="308" w:lineRule="auto"/>
        <w:ind w:left="1456" w:right="1336" w:firstLine="432"/>
        <w:jc w:val="both"/>
        <w:rPr>
          <w:sz w:val="24"/>
          <w:szCs w:val="24"/>
        </w:rPr>
      </w:pPr>
      <w:r>
        <w:rPr>
          <w:spacing w:val="-21"/>
          <w:sz w:val="24"/>
          <w:szCs w:val="24"/>
        </w:rPr>
        <w:t>2.1、根据本项目工程的平面布置，并按照发包</w:t>
      </w:r>
      <w:r>
        <w:rPr>
          <w:spacing w:val="-22"/>
          <w:sz w:val="24"/>
          <w:szCs w:val="24"/>
        </w:rPr>
        <w:t>方现场要求布置施工区。施工生产区内布置</w:t>
      </w:r>
      <w:r>
        <w:rPr>
          <w:spacing w:val="-20"/>
          <w:sz w:val="24"/>
          <w:szCs w:val="24"/>
        </w:rPr>
        <w:t>砼（砂浆）拌和系统、仓库、砂石料系统、木工（钢筋）加工点、原材料堆料场等；施工生活</w:t>
      </w:r>
      <w:r>
        <w:rPr>
          <w:spacing w:val="-23"/>
          <w:sz w:val="24"/>
          <w:szCs w:val="24"/>
        </w:rPr>
        <w:t>区内布置集中办公室、会议室、监理（业主）办公和生活用房、试验室、职工生</w:t>
      </w:r>
      <w:r>
        <w:rPr>
          <w:spacing w:val="-24"/>
          <w:sz w:val="24"/>
          <w:szCs w:val="24"/>
        </w:rPr>
        <w:t>活福利用房等。</w:t>
      </w:r>
    </w:p>
    <w:p w14:paraId="2A3218CF">
      <w:pPr>
        <w:pStyle w:val="2"/>
        <w:spacing w:line="216" w:lineRule="auto"/>
        <w:ind w:left="1890"/>
        <w:rPr>
          <w:sz w:val="24"/>
          <w:szCs w:val="24"/>
        </w:rPr>
      </w:pPr>
      <w:r>
        <w:rPr>
          <w:spacing w:val="-19"/>
          <w:sz w:val="24"/>
          <w:szCs w:val="24"/>
        </w:rPr>
        <w:t>3、堆料场、加工厂、仓库布置</w:t>
      </w:r>
    </w:p>
    <w:p w14:paraId="2DFD39A7">
      <w:pPr>
        <w:pStyle w:val="2"/>
        <w:spacing w:before="117" w:line="262" w:lineRule="auto"/>
        <w:ind w:left="1455" w:right="1434" w:firstLine="434"/>
        <w:rPr>
          <w:sz w:val="24"/>
          <w:szCs w:val="24"/>
        </w:rPr>
      </w:pPr>
      <w:r>
        <w:rPr>
          <w:spacing w:val="-22"/>
          <w:sz w:val="24"/>
          <w:szCs w:val="24"/>
        </w:rPr>
        <w:t>3.1、根据本工程永久性建筑物的施工要求修建施工机械修配场所，钢筋加工、模板</w:t>
      </w:r>
      <w:r>
        <w:rPr>
          <w:spacing w:val="-23"/>
          <w:sz w:val="24"/>
          <w:szCs w:val="24"/>
        </w:rPr>
        <w:t>加工等</w:t>
      </w:r>
      <w:r>
        <w:rPr>
          <w:spacing w:val="-21"/>
          <w:sz w:val="24"/>
          <w:szCs w:val="24"/>
        </w:rPr>
        <w:t>加工区，具体布置详见施工现场平面布置图。</w:t>
      </w:r>
    </w:p>
    <w:p w14:paraId="1B3E0B26">
      <w:pPr>
        <w:pStyle w:val="2"/>
        <w:spacing w:before="121" w:line="277" w:lineRule="auto"/>
        <w:ind w:left="1457" w:right="1413" w:firstLine="433"/>
        <w:rPr>
          <w:sz w:val="24"/>
          <w:szCs w:val="24"/>
        </w:rPr>
      </w:pPr>
      <w:r>
        <w:rPr>
          <w:spacing w:val="-22"/>
          <w:sz w:val="24"/>
          <w:szCs w:val="24"/>
        </w:rPr>
        <w:t>3.2、油料等特殊材料应严格遵守国家有关安全规程的规定，执行监理人批准的地点要求进</w:t>
      </w:r>
      <w:r>
        <w:rPr>
          <w:spacing w:val="-20"/>
          <w:sz w:val="24"/>
          <w:szCs w:val="24"/>
        </w:rPr>
        <w:t>行布置和修建。各种露天堆放的砂石骨料、土料、弃渣料及其它材料应按施工总布置规划的场</w:t>
      </w:r>
      <w:r>
        <w:rPr>
          <w:spacing w:val="-21"/>
          <w:sz w:val="24"/>
          <w:szCs w:val="24"/>
        </w:rPr>
        <w:t>地进行布置设计，场地周围及场地内应做防水、排水等保</w:t>
      </w:r>
      <w:r>
        <w:rPr>
          <w:spacing w:val="-22"/>
          <w:sz w:val="24"/>
          <w:szCs w:val="24"/>
        </w:rPr>
        <w:t>护措施。</w:t>
      </w:r>
    </w:p>
    <w:p w14:paraId="577E99C3">
      <w:pPr>
        <w:pStyle w:val="2"/>
        <w:spacing w:before="120" w:line="216" w:lineRule="auto"/>
        <w:ind w:left="1884"/>
        <w:rPr>
          <w:sz w:val="24"/>
          <w:szCs w:val="24"/>
        </w:rPr>
      </w:pPr>
      <w:r>
        <w:rPr>
          <w:spacing w:val="-17"/>
          <w:sz w:val="24"/>
          <w:szCs w:val="24"/>
        </w:rPr>
        <w:t>4、砂石料系统布置</w:t>
      </w:r>
    </w:p>
    <w:p w14:paraId="56508686">
      <w:pPr>
        <w:pStyle w:val="2"/>
        <w:spacing w:before="118" w:line="262" w:lineRule="auto"/>
        <w:ind w:left="1462" w:right="1411" w:firstLine="422"/>
        <w:rPr>
          <w:sz w:val="24"/>
          <w:szCs w:val="24"/>
        </w:rPr>
      </w:pPr>
      <w:r>
        <w:rPr>
          <w:spacing w:val="-21"/>
          <w:sz w:val="24"/>
          <w:szCs w:val="24"/>
        </w:rPr>
        <w:t>4.1、材料来源：黄砂和碎石均就近采购，并满足设计和</w:t>
      </w:r>
      <w:r>
        <w:rPr>
          <w:spacing w:val="-22"/>
          <w:sz w:val="24"/>
          <w:szCs w:val="24"/>
        </w:rPr>
        <w:t>施工规范要求，利用自卸汽车运至</w:t>
      </w:r>
      <w:r>
        <w:rPr>
          <w:spacing w:val="-18"/>
          <w:sz w:val="24"/>
          <w:szCs w:val="24"/>
        </w:rPr>
        <w:t>工地料场。</w:t>
      </w:r>
    </w:p>
    <w:p w14:paraId="4D8B44BE">
      <w:pPr>
        <w:pStyle w:val="2"/>
        <w:spacing w:before="118" w:line="277" w:lineRule="auto"/>
        <w:ind w:left="1458" w:right="1424" w:firstLine="426"/>
        <w:rPr>
          <w:sz w:val="24"/>
          <w:szCs w:val="24"/>
        </w:rPr>
      </w:pPr>
      <w:r>
        <w:rPr>
          <w:spacing w:val="-20"/>
          <w:sz w:val="24"/>
          <w:szCs w:val="24"/>
        </w:rPr>
        <w:t>4.2、场地布置：黄砂料场、碎石料场按实际量设计场地大小；砂石料场结构形</w:t>
      </w:r>
      <w:r>
        <w:rPr>
          <w:spacing w:val="-21"/>
          <w:sz w:val="24"/>
          <w:szCs w:val="24"/>
        </w:rPr>
        <w:t>式为100mm</w:t>
      </w:r>
      <w:r>
        <w:rPr>
          <w:spacing w:val="-18"/>
          <w:sz w:val="24"/>
          <w:szCs w:val="24"/>
        </w:rPr>
        <w:t>厚C15砼地坪，下设100mm厚碎石垫层，并设0.5%排水坡度，坡向设排水沟，确</w:t>
      </w:r>
      <w:r>
        <w:rPr>
          <w:spacing w:val="-19"/>
          <w:sz w:val="24"/>
          <w:szCs w:val="24"/>
        </w:rPr>
        <w:t>保砂石纯净，</w:t>
      </w:r>
      <w:r>
        <w:rPr>
          <w:spacing w:val="-21"/>
          <w:sz w:val="24"/>
          <w:szCs w:val="24"/>
        </w:rPr>
        <w:t>减少含泥量和控制含水量，并在中间砌墙隔开，分仓堆放。</w:t>
      </w:r>
    </w:p>
    <w:p w14:paraId="5C251DB1">
      <w:pPr>
        <w:pStyle w:val="2"/>
        <w:spacing w:before="122" w:line="216" w:lineRule="auto"/>
        <w:ind w:left="1890"/>
        <w:rPr>
          <w:sz w:val="24"/>
          <w:szCs w:val="24"/>
        </w:rPr>
      </w:pPr>
      <w:r>
        <w:rPr>
          <w:spacing w:val="-19"/>
          <w:sz w:val="24"/>
          <w:szCs w:val="24"/>
        </w:rPr>
        <w:t>5、模板及钢筋加工场布置</w:t>
      </w:r>
    </w:p>
    <w:p w14:paraId="2947A74D">
      <w:pPr>
        <w:pStyle w:val="2"/>
        <w:spacing w:before="116" w:line="308" w:lineRule="auto"/>
        <w:ind w:left="1458" w:right="1409" w:firstLine="432"/>
        <w:jc w:val="both"/>
        <w:rPr>
          <w:sz w:val="24"/>
          <w:szCs w:val="24"/>
        </w:rPr>
      </w:pPr>
      <w:r>
        <w:rPr>
          <w:spacing w:val="-21"/>
          <w:sz w:val="24"/>
          <w:szCs w:val="24"/>
        </w:rPr>
        <w:t>5.1、伸缩模板以定型钢模板，现场每个施工点</w:t>
      </w:r>
      <w:r>
        <w:rPr>
          <w:spacing w:val="-22"/>
          <w:sz w:val="24"/>
          <w:szCs w:val="24"/>
        </w:rPr>
        <w:t>设一处，面积以现场为准，木工场占地面积</w:t>
      </w:r>
      <w:r>
        <w:rPr>
          <w:spacing w:val="-20"/>
          <w:sz w:val="24"/>
          <w:szCs w:val="24"/>
        </w:rPr>
        <w:t>以现场为准，布置圆盘锯，其它辅助工具若干。模板制作均统一进行，再运到各施工现场分别</w:t>
      </w:r>
      <w:r>
        <w:rPr>
          <w:spacing w:val="-21"/>
          <w:sz w:val="24"/>
          <w:szCs w:val="24"/>
        </w:rPr>
        <w:t>进行立模。钢筋采用现场加工，配备调直机和切断机。</w:t>
      </w:r>
    </w:p>
    <w:p w14:paraId="2C5A4ACB">
      <w:pPr>
        <w:pStyle w:val="2"/>
        <w:spacing w:before="1" w:line="215" w:lineRule="auto"/>
        <w:ind w:left="1887"/>
        <w:rPr>
          <w:sz w:val="24"/>
          <w:szCs w:val="24"/>
        </w:rPr>
      </w:pPr>
      <w:r>
        <w:rPr>
          <w:spacing w:val="-17"/>
          <w:sz w:val="24"/>
          <w:szCs w:val="24"/>
        </w:rPr>
        <w:t>6、施工用房布置</w:t>
      </w:r>
    </w:p>
    <w:p w14:paraId="224E57D7">
      <w:pPr>
        <w:pStyle w:val="2"/>
        <w:spacing w:before="121" w:line="263" w:lineRule="auto"/>
        <w:ind w:left="1460" w:right="1409" w:firstLine="427"/>
        <w:rPr>
          <w:sz w:val="24"/>
          <w:szCs w:val="24"/>
        </w:rPr>
      </w:pPr>
      <w:r>
        <w:rPr>
          <w:spacing w:val="-21"/>
          <w:sz w:val="24"/>
          <w:szCs w:val="24"/>
        </w:rPr>
        <w:t>6.1、生产用房：生产用房主要包括：机棚、配发电房</w:t>
      </w:r>
      <w:r>
        <w:rPr>
          <w:spacing w:val="-22"/>
          <w:sz w:val="24"/>
          <w:szCs w:val="24"/>
        </w:rPr>
        <w:t>、木工场、水泥库、地磅房、综合仓库、机修间、试验室等，房屋结构型式为砖墙、石棉瓦盖、砼地</w:t>
      </w:r>
      <w:r>
        <w:rPr>
          <w:spacing w:val="-23"/>
          <w:sz w:val="24"/>
          <w:szCs w:val="24"/>
        </w:rPr>
        <w:t>坪。</w:t>
      </w:r>
    </w:p>
    <w:p w14:paraId="750FC6A3">
      <w:pPr>
        <w:pStyle w:val="2"/>
        <w:spacing w:before="114" w:line="264" w:lineRule="auto"/>
        <w:ind w:left="1456" w:right="1342" w:firstLine="431"/>
        <w:rPr>
          <w:sz w:val="24"/>
          <w:szCs w:val="24"/>
        </w:rPr>
      </w:pPr>
      <w:r>
        <w:rPr>
          <w:spacing w:val="-25"/>
          <w:sz w:val="24"/>
          <w:szCs w:val="24"/>
        </w:rPr>
        <w:t>6.2、施工管理用房：办公区采用一层活动房，其中经理室、集中办公室、施工及管理人员、</w:t>
      </w:r>
      <w:r>
        <w:rPr>
          <w:spacing w:val="-20"/>
          <w:sz w:val="24"/>
          <w:szCs w:val="24"/>
        </w:rPr>
        <w:t>业主和监理用房和会议室等。</w:t>
      </w:r>
    </w:p>
    <w:p w14:paraId="4F2EBF58">
      <w:pPr>
        <w:pStyle w:val="2"/>
        <w:spacing w:before="116" w:line="263" w:lineRule="auto"/>
        <w:ind w:left="1457" w:right="1409" w:firstLine="430"/>
        <w:rPr>
          <w:sz w:val="24"/>
          <w:szCs w:val="24"/>
        </w:rPr>
      </w:pPr>
      <w:r>
        <w:rPr>
          <w:spacing w:val="-21"/>
          <w:sz w:val="24"/>
          <w:szCs w:val="24"/>
        </w:rPr>
        <w:t>6.3、生活用房：生活用房采用两层活动房。生活用房</w:t>
      </w:r>
      <w:r>
        <w:rPr>
          <w:spacing w:val="-22"/>
          <w:sz w:val="24"/>
          <w:szCs w:val="24"/>
        </w:rPr>
        <w:t>、职工宿舍、食堂、浴室、厕所、篮</w:t>
      </w:r>
      <w:r>
        <w:rPr>
          <w:spacing w:val="-15"/>
          <w:sz w:val="24"/>
          <w:szCs w:val="24"/>
        </w:rPr>
        <w:t>球场等。</w:t>
      </w:r>
    </w:p>
    <w:p w14:paraId="65EEC7C0">
      <w:pPr>
        <w:pStyle w:val="2"/>
        <w:spacing w:before="116" w:line="216" w:lineRule="auto"/>
        <w:ind w:left="1891"/>
        <w:rPr>
          <w:sz w:val="24"/>
          <w:szCs w:val="24"/>
        </w:rPr>
      </w:pPr>
      <w:r>
        <w:rPr>
          <w:spacing w:val="-18"/>
          <w:sz w:val="24"/>
          <w:szCs w:val="24"/>
        </w:rPr>
        <w:t>7、施工给排水布置</w:t>
      </w:r>
    </w:p>
    <w:p w14:paraId="49675741">
      <w:pPr>
        <w:pStyle w:val="2"/>
        <w:spacing w:before="123" w:line="307" w:lineRule="auto"/>
        <w:ind w:left="1453" w:right="1411" w:firstLine="437"/>
        <w:jc w:val="both"/>
        <w:rPr>
          <w:sz w:val="24"/>
          <w:szCs w:val="24"/>
        </w:rPr>
      </w:pPr>
      <w:r>
        <w:rPr>
          <w:spacing w:val="-21"/>
          <w:sz w:val="24"/>
          <w:szCs w:val="24"/>
        </w:rPr>
        <w:t>7.1、施工期临时性排水：在每项开挖工</w:t>
      </w:r>
      <w:r>
        <w:rPr>
          <w:spacing w:val="-22"/>
          <w:sz w:val="24"/>
          <w:szCs w:val="24"/>
        </w:rPr>
        <w:t>程开始前，都应制定有效的开挖区域内外的临时性</w:t>
      </w:r>
      <w:r>
        <w:rPr>
          <w:spacing w:val="-20"/>
          <w:sz w:val="24"/>
          <w:szCs w:val="24"/>
        </w:rPr>
        <w:t>排水措施，并在向监理人报送的施工措施计划中详细说明临时性排水措施的内容，并提交相关的图纸和资料。在土方开挖过程中，应全面做好临时性地面排水，包括监理人按监理人要求保持必要的地面排水坡度、设置临时坑槽、使用机械排除积水以及开挖排水沟排走雨水和地面积水等。设置临时性排水措施时就注意保护已开挖的永久边坡面及附近建筑物及其基础免受冲刷</w:t>
      </w:r>
    </w:p>
    <w:p w14:paraId="21B05DE8">
      <w:pPr>
        <w:spacing w:line="307" w:lineRule="auto"/>
        <w:rPr>
          <w:sz w:val="24"/>
          <w:szCs w:val="24"/>
        </w:rPr>
        <w:sectPr>
          <w:footerReference r:id="rId415" w:type="default"/>
          <w:pgSz w:w="11907" w:h="16839"/>
          <w:pgMar w:top="933" w:right="4" w:bottom="1038" w:left="0" w:header="478" w:footer="357" w:gutter="0"/>
          <w:pgBorders>
            <w:top w:val="none" w:sz="0" w:space="0"/>
            <w:left w:val="none" w:sz="0" w:space="0"/>
            <w:bottom w:val="none" w:sz="0" w:space="0"/>
            <w:right w:val="none" w:sz="0" w:space="0"/>
          </w:pgBorders>
          <w:cols w:space="720" w:num="1"/>
        </w:sectPr>
      </w:pPr>
    </w:p>
    <w:p w14:paraId="6038C751">
      <w:pPr>
        <w:spacing w:line="271" w:lineRule="auto"/>
        <w:rPr>
          <w:rFonts w:ascii="Arial"/>
          <w:sz w:val="21"/>
        </w:rPr>
      </w:pPr>
    </w:p>
    <w:p w14:paraId="427F1C3B">
      <w:pPr>
        <w:pStyle w:val="2"/>
        <w:spacing w:before="78" w:line="216" w:lineRule="auto"/>
        <w:ind w:left="1457"/>
        <w:rPr>
          <w:sz w:val="24"/>
          <w:szCs w:val="24"/>
        </w:rPr>
      </w:pPr>
      <w:r>
        <w:rPr>
          <w:spacing w:val="-21"/>
          <w:sz w:val="24"/>
          <w:szCs w:val="24"/>
        </w:rPr>
        <w:t>集水坑抽水等措施，阻止场外水流进入场内，并有效排除</w:t>
      </w:r>
      <w:r>
        <w:rPr>
          <w:spacing w:val="-22"/>
          <w:sz w:val="24"/>
          <w:szCs w:val="24"/>
        </w:rPr>
        <w:t>积水。</w:t>
      </w:r>
    </w:p>
    <w:p w14:paraId="2D0732B1">
      <w:pPr>
        <w:pStyle w:val="2"/>
        <w:spacing w:before="116" w:line="296" w:lineRule="auto"/>
        <w:ind w:left="1453" w:right="1358" w:firstLine="437"/>
        <w:rPr>
          <w:sz w:val="24"/>
          <w:szCs w:val="24"/>
        </w:rPr>
      </w:pPr>
      <w:r>
        <w:rPr>
          <w:spacing w:val="-22"/>
          <w:sz w:val="24"/>
          <w:szCs w:val="24"/>
        </w:rPr>
        <w:t>7.2、经常性降排水：场区内经常性排水主要为基槽内渗水，采用潜水泵随时排水；对位于</w:t>
      </w:r>
      <w:r>
        <w:rPr>
          <w:spacing w:val="-20"/>
          <w:sz w:val="24"/>
          <w:szCs w:val="24"/>
        </w:rPr>
        <w:t>地下水位以下的土方进行开挖时，可根据开挖区的工程地质条件采用降低地下水位的措施。并</w:t>
      </w:r>
      <w:r>
        <w:rPr>
          <w:spacing w:val="-24"/>
          <w:sz w:val="24"/>
          <w:szCs w:val="24"/>
        </w:rPr>
        <w:t>编制降低开挖区地下水位的施工技术措施，报监理人批准后实施。其施工技术措施的内容包括：</w:t>
      </w:r>
      <w:r>
        <w:rPr>
          <w:spacing w:val="-20"/>
          <w:sz w:val="24"/>
          <w:szCs w:val="24"/>
        </w:rPr>
        <w:t>排水孔、井布置、抽排水设备配置以及土方开挖措施等。在采用挖掘机、铲运机、推土机等机</w:t>
      </w:r>
      <w:r>
        <w:rPr>
          <w:spacing w:val="-21"/>
          <w:sz w:val="24"/>
          <w:szCs w:val="24"/>
        </w:rPr>
        <w:t>械进行土方开挖时，应保证地下水位降低至最低开挖面0.5m以下。必要时应对周围受降低水位</w:t>
      </w:r>
      <w:r>
        <w:rPr>
          <w:spacing w:val="-20"/>
          <w:sz w:val="24"/>
          <w:szCs w:val="24"/>
        </w:rPr>
        <w:t>影响的地区布设观测点、设置观测仪器进行地下水位和地面沉降观测，并定期将观测记录提交</w:t>
      </w:r>
      <w:r>
        <w:rPr>
          <w:spacing w:val="-19"/>
          <w:sz w:val="24"/>
          <w:szCs w:val="24"/>
        </w:rPr>
        <w:t>监理人。</w:t>
      </w:r>
    </w:p>
    <w:p w14:paraId="65C50D51">
      <w:pPr>
        <w:pStyle w:val="2"/>
        <w:spacing w:before="106" w:line="290" w:lineRule="auto"/>
        <w:ind w:left="1455" w:right="1342" w:firstLine="435"/>
        <w:rPr>
          <w:sz w:val="24"/>
          <w:szCs w:val="24"/>
        </w:rPr>
      </w:pPr>
      <w:r>
        <w:rPr>
          <w:spacing w:val="-21"/>
          <w:sz w:val="24"/>
          <w:szCs w:val="24"/>
        </w:rPr>
        <w:t>7.3、施工给水布置：现场用水主要分为</w:t>
      </w:r>
      <w:r>
        <w:rPr>
          <w:spacing w:val="-22"/>
          <w:sz w:val="24"/>
          <w:szCs w:val="24"/>
        </w:rPr>
        <w:t>两大部分，即施工用水、生活用水。在用水计算时</w:t>
      </w:r>
      <w:r>
        <w:rPr>
          <w:spacing w:val="-19"/>
          <w:sz w:val="24"/>
          <w:szCs w:val="24"/>
        </w:rPr>
        <w:t>还应考虑消防用水。施工用水主要考虑混浇捣混凝土时模板浇水湿</w:t>
      </w:r>
      <w:r>
        <w:rPr>
          <w:spacing w:val="-20"/>
          <w:sz w:val="24"/>
          <w:szCs w:val="24"/>
        </w:rPr>
        <w:t>润和浇水养护用水等方面。水管布置：总水管进入施工区后，沿现场临时施工主干道侧边延伸，然后设D=30mm支路将水引</w:t>
      </w:r>
      <w:r>
        <w:rPr>
          <w:spacing w:val="-23"/>
          <w:sz w:val="24"/>
          <w:szCs w:val="24"/>
        </w:rPr>
        <w:t>向钢筋加工、木工加工区、混凝土搅拌机位、生活区和各作业施工区域</w:t>
      </w:r>
      <w:r>
        <w:rPr>
          <w:spacing w:val="-24"/>
          <w:sz w:val="24"/>
          <w:szCs w:val="24"/>
        </w:rPr>
        <w:t>。在相应各区设置施工、</w:t>
      </w:r>
      <w:r>
        <w:rPr>
          <w:spacing w:val="-21"/>
          <w:sz w:val="24"/>
          <w:szCs w:val="24"/>
        </w:rPr>
        <w:t>生活用水管口。场内供水主干道兼做消防用水供水管线，现场布置</w:t>
      </w:r>
      <w:r>
        <w:rPr>
          <w:spacing w:val="-22"/>
          <w:sz w:val="24"/>
          <w:szCs w:val="24"/>
        </w:rPr>
        <w:t>若干个消防龙头。</w:t>
      </w:r>
    </w:p>
    <w:p w14:paraId="1554FDF2">
      <w:pPr>
        <w:pStyle w:val="2"/>
        <w:spacing w:before="119" w:line="216" w:lineRule="auto"/>
        <w:ind w:left="1886"/>
        <w:rPr>
          <w:sz w:val="24"/>
          <w:szCs w:val="24"/>
        </w:rPr>
      </w:pPr>
      <w:r>
        <w:rPr>
          <w:spacing w:val="-17"/>
          <w:sz w:val="24"/>
          <w:szCs w:val="24"/>
        </w:rPr>
        <w:t>8、现场用电布置</w:t>
      </w:r>
    </w:p>
    <w:p w14:paraId="686879D3">
      <w:pPr>
        <w:pStyle w:val="2"/>
        <w:spacing w:before="116" w:line="278" w:lineRule="auto"/>
        <w:ind w:left="1455" w:right="1342" w:firstLine="431"/>
        <w:rPr>
          <w:sz w:val="24"/>
          <w:szCs w:val="24"/>
        </w:rPr>
      </w:pPr>
      <w:r>
        <w:rPr>
          <w:spacing w:val="-25"/>
          <w:sz w:val="24"/>
          <w:szCs w:val="24"/>
        </w:rPr>
        <w:t>8.1、现场施工用电：本工程用电高峰期将出现于上部结构施工期内，施工用电主要是钢筋、</w:t>
      </w:r>
      <w:r>
        <w:rPr>
          <w:spacing w:val="-20"/>
          <w:sz w:val="24"/>
          <w:szCs w:val="24"/>
        </w:rPr>
        <w:t>模板体系及人员机具的垂直运输和照明等。用电高峰期内用电机具设备详见拟投入本工程的施</w:t>
      </w:r>
      <w:r>
        <w:rPr>
          <w:spacing w:val="-17"/>
          <w:sz w:val="24"/>
          <w:szCs w:val="24"/>
        </w:rPr>
        <w:t>工机械表。</w:t>
      </w:r>
    </w:p>
    <w:p w14:paraId="235724D9">
      <w:pPr>
        <w:pStyle w:val="2"/>
        <w:spacing w:before="113" w:line="297" w:lineRule="auto"/>
        <w:ind w:left="1455" w:right="1336" w:firstLine="431"/>
        <w:rPr>
          <w:sz w:val="24"/>
          <w:szCs w:val="24"/>
        </w:rPr>
      </w:pPr>
      <w:r>
        <w:rPr>
          <w:spacing w:val="-21"/>
          <w:sz w:val="24"/>
          <w:szCs w:val="24"/>
        </w:rPr>
        <w:t>8.2、用电布置：整个施工现场的用电线路布置主</w:t>
      </w:r>
      <w:r>
        <w:rPr>
          <w:spacing w:val="-22"/>
          <w:sz w:val="24"/>
          <w:szCs w:val="24"/>
        </w:rPr>
        <w:t>要分为四大部分，分别为：大型设备的用</w:t>
      </w:r>
      <w:r>
        <w:rPr>
          <w:spacing w:val="-20"/>
          <w:sz w:val="24"/>
          <w:szCs w:val="24"/>
        </w:rPr>
        <w:t>电线路，如汽车吊、砼搅拌机等；加工车间的用电线路，如木工车间、钢筋车间等，结构层面施工用电线路，照明线路。临时用电线路系统根据各种用电设备在施工现场的布置情况，采用</w:t>
      </w:r>
      <w:r>
        <w:rPr>
          <w:spacing w:val="-23"/>
          <w:sz w:val="24"/>
          <w:szCs w:val="24"/>
        </w:rPr>
        <w:t>主干与发射式相结合的配电方式。主线路先沿围墙内侧走，然后通过架空线向各用</w:t>
      </w:r>
      <w:r>
        <w:rPr>
          <w:spacing w:val="-24"/>
          <w:sz w:val="24"/>
          <w:szCs w:val="24"/>
        </w:rPr>
        <w:t>电部分拉通。</w:t>
      </w:r>
      <w:r>
        <w:rPr>
          <w:spacing w:val="-20"/>
          <w:sz w:val="24"/>
          <w:szCs w:val="24"/>
        </w:rPr>
        <w:t>干线电缆沿内管道进设予埋套管，干线电缆穿于管内，各用电部位设一配电箱，干线电缆选用</w:t>
      </w:r>
      <w:r>
        <w:rPr>
          <w:spacing w:val="-18"/>
          <w:sz w:val="24"/>
          <w:szCs w:val="24"/>
        </w:rPr>
        <w:t>截面积为200mm2的BXF型铜芯橡皮</w:t>
      </w:r>
      <w:r>
        <w:rPr>
          <w:spacing w:val="-19"/>
          <w:sz w:val="24"/>
          <w:szCs w:val="24"/>
        </w:rPr>
        <w:t>绝缘电缆；照明线路室内采用塑料护套线，室外采用截面积</w:t>
      </w:r>
      <w:r>
        <w:rPr>
          <w:spacing w:val="-17"/>
          <w:sz w:val="24"/>
          <w:szCs w:val="24"/>
        </w:rPr>
        <w:t>为10mm2的BXF型铜芯橡皮绝缘电缆。用电设备接零保护线采用截面积大于2.5mm2的BVR型铜</w:t>
      </w:r>
      <w:r>
        <w:rPr>
          <w:spacing w:val="-20"/>
          <w:sz w:val="24"/>
          <w:szCs w:val="24"/>
        </w:rPr>
        <w:t>芯聚氯乙烯绝缘软线。</w:t>
      </w:r>
    </w:p>
    <w:p w14:paraId="064D081B">
      <w:pPr>
        <w:pStyle w:val="2"/>
        <w:spacing w:before="117" w:line="216" w:lineRule="auto"/>
        <w:ind w:left="1895"/>
        <w:rPr>
          <w:sz w:val="24"/>
          <w:szCs w:val="24"/>
        </w:rPr>
      </w:pPr>
      <w:r>
        <w:rPr>
          <w:spacing w:val="-20"/>
          <w:sz w:val="24"/>
          <w:szCs w:val="24"/>
        </w:rPr>
        <w:t>具体的布置原则如下表：</w:t>
      </w:r>
    </w:p>
    <w:p w14:paraId="600BAF4F">
      <w:pPr>
        <w:spacing w:line="53" w:lineRule="auto"/>
        <w:rPr>
          <w:rFonts w:ascii="Arial"/>
          <w:sz w:val="2"/>
        </w:rPr>
      </w:pPr>
    </w:p>
    <w:tbl>
      <w:tblPr>
        <w:tblStyle w:val="6"/>
        <w:tblW w:w="8792" w:type="dxa"/>
        <w:tblInd w:w="155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30"/>
        <w:gridCol w:w="671"/>
        <w:gridCol w:w="2084"/>
        <w:gridCol w:w="4540"/>
        <w:gridCol w:w="920"/>
        <w:gridCol w:w="347"/>
      </w:tblGrid>
      <w:tr w14:paraId="184D7E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9" w:hRule="atLeast"/>
        </w:trPr>
        <w:tc>
          <w:tcPr>
            <w:tcW w:w="901" w:type="dxa"/>
            <w:gridSpan w:val="2"/>
            <w:tcBorders>
              <w:top w:val="single" w:color="000000" w:sz="4" w:space="0"/>
              <w:left w:val="single" w:color="000000" w:sz="4" w:space="0"/>
            </w:tcBorders>
            <w:shd w:val="clear" w:color="auto" w:fill="DEEAF6"/>
            <w:vAlign w:val="top"/>
          </w:tcPr>
          <w:p w14:paraId="7DC0AE82">
            <w:pPr>
              <w:spacing w:before="33" w:line="60" w:lineRule="exact"/>
              <w:ind w:firstLine="33"/>
            </w:pPr>
            <w:r>
              <w:pict>
                <v:shape id="_x0000_s4550" o:spid="_x0000_s4550" style="position:absolute;left:0pt;margin-left:-0.2pt;margin-top:0pt;height:0.75pt;width:2.2pt;mso-position-horizontal-relative:page;mso-position-vertical-relative:page;z-index:252401664;mso-width-relative:page;mso-height-relative:page;" fillcolor="#5B9BD5" filled="t" stroked="f" coordsize="44,15" path="m0,14l43,14,43,0,0,0,0,14xe">
                  <v:path/>
                  <v:fill on="t" focussize="0,0"/>
                  <v:stroke on="f"/>
                  <v:imagedata o:title=""/>
                  <o:lock v:ext="edit"/>
                </v:shape>
              </w:pict>
            </w:r>
            <w:r>
              <w:rPr>
                <w:position w:val="-1"/>
              </w:rPr>
              <w:pict>
                <v:shape id="_x0000_s4552" o:spid="_x0000_s4552" style="height:3pt;width:42.4pt;" fillcolor="#DEEAF6" filled="t" stroked="f" coordsize="848,60" path="m0,60l847,60,847,0,0,0,0,60xe">
                  <v:path/>
                  <v:fill on="t" focussize="0,0"/>
                  <v:stroke on="f"/>
                  <v:imagedata o:title=""/>
                  <o:lock v:ext="edit"/>
                  <w10:wrap type="none"/>
                  <w10:anchorlock/>
                </v:shape>
              </w:pict>
            </w:r>
          </w:p>
          <w:p w14:paraId="3E64DB6A">
            <w:pPr>
              <w:pStyle w:val="7"/>
              <w:spacing w:before="33" w:line="218" w:lineRule="auto"/>
              <w:ind w:left="245"/>
            </w:pPr>
            <w:r>
              <w:rPr>
                <w:b/>
                <w:bCs/>
                <w:spacing w:val="-12"/>
              </w:rPr>
              <w:t>序号</w:t>
            </w:r>
          </w:p>
        </w:tc>
        <w:tc>
          <w:tcPr>
            <w:tcW w:w="2084" w:type="dxa"/>
            <w:tcBorders>
              <w:top w:val="single" w:color="000000" w:sz="4" w:space="0"/>
            </w:tcBorders>
            <w:shd w:val="clear" w:color="auto" w:fill="DEEAF6"/>
            <w:vAlign w:val="top"/>
          </w:tcPr>
          <w:p w14:paraId="48C4E9CA">
            <w:pPr>
              <w:spacing w:line="33" w:lineRule="exact"/>
              <w:ind w:firstLine="2068"/>
            </w:pPr>
            <w:r>
              <w:pict>
                <v:group id="_x0000_s4554" o:spid="_x0000_s4554" o:spt="203" style="height:2.2pt;width:2.2pt;" coordsize="44,44">
                  <o:lock v:ext="edit"/>
                  <v:shape id="_x0000_s4556" o:spid="_x0000_s4556" style="position:absolute;left:0;top:0;height:15;width:44;" fillcolor="#5B9BD5" filled="t" stroked="f" coordsize="44,15" path="m0,14l43,14,43,0,0,0,0,14xe">
                    <v:path/>
                    <v:fill on="t" focussize="0,0"/>
                    <v:stroke on="f"/>
                    <v:imagedata o:title=""/>
                    <o:lock v:ext="edit"/>
                  </v:shape>
                  <v:shape id="_x0000_s4558" o:spid="_x0000_s4558" style="position:absolute;left:0;top:14;height:15;width:44;" fillcolor="#20507B" filled="t" stroked="f" coordsize="44,15" path="m0,14l43,14,43,0,0,0,0,14xe">
                    <v:path/>
                    <v:fill on="t" focussize="0,0"/>
                    <v:stroke on="f"/>
                    <v:imagedata o:title=""/>
                    <o:lock v:ext="edit"/>
                  </v:shape>
                  <v:shape id="_x0000_s4560" o:spid="_x0000_s4560" style="position:absolute;left:0;top:28;height:15;width:44;" fillcolor="#1C456A" filled="t" stroked="f" coordsize="44,15" path="m0,14l43,14,43,0,0,0,0,14xe">
                    <v:path/>
                    <v:fill on="t" focussize="0,0"/>
                    <v:stroke on="f"/>
                    <v:imagedata o:title=""/>
                    <o:lock v:ext="edit"/>
                  </v:shape>
                  <w10:wrap type="none"/>
                  <w10:anchorlock/>
                </v:group>
              </w:pict>
            </w:r>
          </w:p>
          <w:p w14:paraId="764A25C4">
            <w:pPr>
              <w:pStyle w:val="7"/>
              <w:spacing w:before="93" w:line="216" w:lineRule="auto"/>
              <w:ind w:left="609"/>
            </w:pPr>
            <w:r>
              <w:rPr>
                <w:b/>
                <w:bCs/>
                <w:spacing w:val="-19"/>
              </w:rPr>
              <w:t>布置内容</w:t>
            </w:r>
          </w:p>
        </w:tc>
        <w:tc>
          <w:tcPr>
            <w:tcW w:w="4540" w:type="dxa"/>
            <w:tcBorders>
              <w:top w:val="single" w:color="5B9BD5" w:sz="4" w:space="0"/>
              <w:right w:val="nil"/>
            </w:tcBorders>
            <w:shd w:val="clear" w:color="auto" w:fill="DEEAF6"/>
            <w:vAlign w:val="top"/>
          </w:tcPr>
          <w:p w14:paraId="764443ED">
            <w:pPr>
              <w:pStyle w:val="7"/>
              <w:spacing w:before="126" w:line="219" w:lineRule="auto"/>
              <w:ind w:left="2471"/>
            </w:pPr>
            <w:r>
              <w:rPr>
                <w:b/>
                <w:bCs/>
                <w:spacing w:val="-19"/>
              </w:rPr>
              <w:t>主要原则</w:t>
            </w:r>
          </w:p>
        </w:tc>
        <w:tc>
          <w:tcPr>
            <w:tcW w:w="1267" w:type="dxa"/>
            <w:gridSpan w:val="2"/>
            <w:tcBorders>
              <w:top w:val="single" w:color="5B9BD5" w:sz="4" w:space="0"/>
              <w:left w:val="nil"/>
              <w:right w:val="single" w:color="5B9BD5" w:sz="4" w:space="0"/>
            </w:tcBorders>
            <w:shd w:val="clear" w:color="auto" w:fill="DEEAF6"/>
            <w:vAlign w:val="top"/>
          </w:tcPr>
          <w:p w14:paraId="0F58168F">
            <w:pPr>
              <w:rPr>
                <w:rFonts w:ascii="Arial"/>
                <w:sz w:val="21"/>
              </w:rPr>
            </w:pPr>
            <w:r>
              <w:pict>
                <v:shape id="_x0000_s4562" o:spid="_x0000_s4562" style="position:absolute;left:0pt;margin-left:61.5pt;margin-top:0pt;height:0.75pt;width:2.2pt;mso-position-horizontal-relative:page;mso-position-vertical-relative:page;z-index:252400640;mso-width-relative:page;mso-height-relative:page;" fillcolor="#5B9BD5" filled="t" stroked="f" coordsize="44,15" path="m0,14l43,14,43,0,0,0,0,14xe">
                  <v:path/>
                  <v:fill on="t" focussize="0,0"/>
                  <v:stroke on="f"/>
                  <v:imagedata o:title=""/>
                  <o:lock v:ext="edit"/>
                </v:shape>
              </w:pict>
            </w:r>
          </w:p>
        </w:tc>
      </w:tr>
      <w:tr w14:paraId="707A0B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00" w:hRule="atLeast"/>
        </w:trPr>
        <w:tc>
          <w:tcPr>
            <w:tcW w:w="901" w:type="dxa"/>
            <w:gridSpan w:val="2"/>
            <w:tcBorders>
              <w:left w:val="single" w:color="000000" w:sz="4" w:space="0"/>
            </w:tcBorders>
            <w:vAlign w:val="top"/>
          </w:tcPr>
          <w:p w14:paraId="648AE259">
            <w:pPr>
              <w:spacing w:line="247" w:lineRule="auto"/>
              <w:rPr>
                <w:rFonts w:ascii="Arial"/>
                <w:sz w:val="21"/>
              </w:rPr>
            </w:pPr>
          </w:p>
          <w:p w14:paraId="5843CE2B">
            <w:pPr>
              <w:spacing w:line="247" w:lineRule="auto"/>
              <w:rPr>
                <w:rFonts w:ascii="Arial"/>
                <w:sz w:val="21"/>
              </w:rPr>
            </w:pPr>
          </w:p>
          <w:p w14:paraId="6A3AEBC3">
            <w:pPr>
              <w:spacing w:line="248" w:lineRule="auto"/>
              <w:rPr>
                <w:rFonts w:ascii="Arial"/>
                <w:sz w:val="21"/>
              </w:rPr>
            </w:pPr>
          </w:p>
          <w:p w14:paraId="4302E94A">
            <w:pPr>
              <w:pStyle w:val="7"/>
              <w:spacing w:before="78" w:line="238" w:lineRule="auto"/>
              <w:ind w:left="421"/>
            </w:pPr>
            <w:r>
              <w:t>1</w:t>
            </w:r>
          </w:p>
        </w:tc>
        <w:tc>
          <w:tcPr>
            <w:tcW w:w="2084" w:type="dxa"/>
            <w:vAlign w:val="top"/>
          </w:tcPr>
          <w:p w14:paraId="5A9C9497">
            <w:pPr>
              <w:spacing w:line="247" w:lineRule="auto"/>
              <w:rPr>
                <w:rFonts w:ascii="Arial"/>
                <w:sz w:val="21"/>
              </w:rPr>
            </w:pPr>
          </w:p>
          <w:p w14:paraId="2D9F7BAA">
            <w:pPr>
              <w:spacing w:line="247" w:lineRule="auto"/>
              <w:rPr>
                <w:rFonts w:ascii="Arial"/>
                <w:sz w:val="21"/>
              </w:rPr>
            </w:pPr>
          </w:p>
          <w:p w14:paraId="484B41D6">
            <w:pPr>
              <w:spacing w:line="248" w:lineRule="auto"/>
              <w:rPr>
                <w:rFonts w:ascii="Arial"/>
                <w:sz w:val="21"/>
              </w:rPr>
            </w:pPr>
          </w:p>
          <w:p w14:paraId="46B3A609">
            <w:pPr>
              <w:pStyle w:val="7"/>
              <w:spacing w:before="78" w:line="219" w:lineRule="auto"/>
              <w:ind w:left="608"/>
            </w:pPr>
            <w:r>
              <w:rPr>
                <w:spacing w:val="-15"/>
              </w:rPr>
              <w:t>现场道路</w:t>
            </w:r>
          </w:p>
        </w:tc>
        <w:tc>
          <w:tcPr>
            <w:tcW w:w="5460" w:type="dxa"/>
            <w:gridSpan w:val="2"/>
            <w:tcBorders>
              <w:right w:val="nil"/>
            </w:tcBorders>
            <w:vAlign w:val="top"/>
          </w:tcPr>
          <w:p w14:paraId="7DE8AED4">
            <w:pPr>
              <w:pStyle w:val="7"/>
              <w:spacing w:before="123" w:line="216" w:lineRule="auto"/>
              <w:ind w:left="1769"/>
            </w:pPr>
            <w:r>
              <w:rPr>
                <w:spacing w:val="-20"/>
              </w:rPr>
              <w:t>1、满足现场材料的运输</w:t>
            </w:r>
          </w:p>
          <w:p w14:paraId="60DA5A81">
            <w:pPr>
              <w:pStyle w:val="7"/>
              <w:spacing w:before="187" w:line="215" w:lineRule="auto"/>
              <w:ind w:left="772"/>
            </w:pPr>
            <w:r>
              <w:rPr>
                <w:spacing w:val="-20"/>
              </w:rPr>
              <w:t>2、满足人员的通行要求，尽量做到人车分流</w:t>
            </w:r>
          </w:p>
          <w:p w14:paraId="056E04F4">
            <w:pPr>
              <w:pStyle w:val="7"/>
              <w:spacing w:before="186" w:line="215" w:lineRule="auto"/>
              <w:ind w:left="666"/>
            </w:pPr>
            <w:r>
              <w:rPr>
                <w:spacing w:val="-20"/>
              </w:rPr>
              <w:t>3、满足现场的消防要求，设置车辆调头加宽带</w:t>
            </w:r>
          </w:p>
          <w:p w14:paraId="42F057B2">
            <w:pPr>
              <w:pStyle w:val="7"/>
              <w:spacing w:before="188" w:line="215" w:lineRule="auto"/>
              <w:ind w:left="769"/>
            </w:pPr>
            <w:r>
              <w:rPr>
                <w:spacing w:val="-20"/>
              </w:rPr>
              <w:t>4、道路的设计满足临建大型车辆的运输要求</w:t>
            </w:r>
          </w:p>
        </w:tc>
        <w:tc>
          <w:tcPr>
            <w:tcW w:w="347" w:type="dxa"/>
            <w:tcBorders>
              <w:left w:val="nil"/>
              <w:right w:val="single" w:color="000000" w:sz="4" w:space="0"/>
            </w:tcBorders>
            <w:vAlign w:val="top"/>
          </w:tcPr>
          <w:p w14:paraId="039E2464">
            <w:pPr>
              <w:rPr>
                <w:rFonts w:ascii="Arial"/>
                <w:sz w:val="21"/>
              </w:rPr>
            </w:pPr>
            <w:r>
              <w:pict>
                <v:shape id="_x0000_s4564" o:spid="_x0000_s4564" style="position:absolute;left:0pt;margin-left:15.5pt;margin-top:1.25pt;height:3.4pt;width:0.75pt;mso-position-horizontal-relative:page;mso-position-vertical-relative:page;z-index:252398592;mso-width-relative:page;mso-height-relative:page;" fillcolor="#1C456A" filled="t" stroked="f" coordsize="15,68" path="m0,67l14,67,14,0,0,0,0,67xe">
                  <v:path/>
                  <v:fill on="t" focussize="0,0"/>
                  <v:stroke on="f"/>
                  <v:imagedata o:title=""/>
                  <o:lock v:ext="edit"/>
                </v:shape>
              </w:pict>
            </w:r>
          </w:p>
        </w:tc>
      </w:tr>
      <w:tr w14:paraId="7386BE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01" w:hRule="atLeast"/>
        </w:trPr>
        <w:tc>
          <w:tcPr>
            <w:tcW w:w="230" w:type="dxa"/>
            <w:tcBorders>
              <w:left w:val="single" w:color="1C456A" w:sz="4" w:space="0"/>
              <w:bottom w:val="single" w:color="1C456A" w:sz="4" w:space="0"/>
              <w:right w:val="nil"/>
            </w:tcBorders>
            <w:vAlign w:val="top"/>
          </w:tcPr>
          <w:p w14:paraId="21FBFCC4">
            <w:pPr>
              <w:rPr>
                <w:rFonts w:ascii="Arial"/>
                <w:sz w:val="21"/>
              </w:rPr>
            </w:pPr>
            <w:r>
              <w:pict>
                <v:shape id="_x0000_s4566" o:spid="_x0000_s4566" style="position:absolute;left:0pt;margin-left:-0.25pt;margin-top:55.1pt;height:0.75pt;width:2.2pt;mso-position-horizontal-relative:page;mso-position-vertical-relative:page;z-index:252399616;mso-width-relative:page;mso-height-relative:page;" fillcolor="#5B9BD5" filled="t" stroked="f" coordsize="44,15" path="m0,14l43,14,43,0,0,0,0,14xe">
                  <v:path/>
                  <v:fill on="t" focussize="0,0"/>
                  <v:stroke on="f"/>
                  <v:imagedata o:title=""/>
                  <o:lock v:ext="edit"/>
                </v:shape>
              </w:pict>
            </w:r>
          </w:p>
        </w:tc>
        <w:tc>
          <w:tcPr>
            <w:tcW w:w="671" w:type="dxa"/>
            <w:tcBorders>
              <w:left w:val="nil"/>
              <w:bottom w:val="single" w:color="1C456A" w:sz="4" w:space="0"/>
            </w:tcBorders>
            <w:vAlign w:val="top"/>
          </w:tcPr>
          <w:p w14:paraId="7709AA81">
            <w:pPr>
              <w:spacing w:line="264" w:lineRule="auto"/>
              <w:rPr>
                <w:rFonts w:ascii="Arial"/>
                <w:sz w:val="21"/>
              </w:rPr>
            </w:pPr>
          </w:p>
          <w:p w14:paraId="46712FE3">
            <w:pPr>
              <w:pStyle w:val="7"/>
              <w:spacing w:before="78" w:line="238" w:lineRule="auto"/>
              <w:ind w:left="181"/>
            </w:pPr>
            <w:r>
              <w:t>2</w:t>
            </w:r>
          </w:p>
        </w:tc>
        <w:tc>
          <w:tcPr>
            <w:tcW w:w="2084" w:type="dxa"/>
            <w:tcBorders>
              <w:bottom w:val="single" w:color="000000" w:sz="4" w:space="0"/>
            </w:tcBorders>
            <w:vAlign w:val="top"/>
          </w:tcPr>
          <w:p w14:paraId="726A5F70">
            <w:pPr>
              <w:spacing w:line="263" w:lineRule="auto"/>
              <w:rPr>
                <w:rFonts w:ascii="Arial"/>
                <w:sz w:val="21"/>
              </w:rPr>
            </w:pPr>
          </w:p>
          <w:p w14:paraId="6D655C8C">
            <w:pPr>
              <w:pStyle w:val="7"/>
              <w:spacing w:before="78" w:line="219" w:lineRule="auto"/>
              <w:ind w:left="295"/>
            </w:pPr>
            <w:r>
              <w:rPr>
                <w:spacing w:val="-21"/>
              </w:rPr>
              <w:t>临时用水、用电</w:t>
            </w:r>
          </w:p>
        </w:tc>
        <w:tc>
          <w:tcPr>
            <w:tcW w:w="5807" w:type="dxa"/>
            <w:gridSpan w:val="3"/>
            <w:tcBorders>
              <w:bottom w:val="single" w:color="5B9BD5" w:sz="4" w:space="0"/>
              <w:right w:val="single" w:color="5B9BD5" w:sz="4" w:space="0"/>
            </w:tcBorders>
            <w:vAlign w:val="top"/>
          </w:tcPr>
          <w:p w14:paraId="4ACBB282">
            <w:pPr>
              <w:spacing w:before="7" w:line="67" w:lineRule="exact"/>
              <w:ind w:left="5766"/>
            </w:pPr>
            <w:r>
              <w:rPr>
                <w:position w:val="-1"/>
              </w:rPr>
              <w:drawing>
                <wp:inline distT="0" distB="0" distL="0" distR="0">
                  <wp:extent cx="8890" cy="42545"/>
                  <wp:effectExtent l="0" t="0" r="0" b="0"/>
                  <wp:docPr id="1728" name="IM 1728"/>
                  <wp:cNvGraphicFramePr/>
                  <a:graphic xmlns:a="http://schemas.openxmlformats.org/drawingml/2006/main">
                    <a:graphicData uri="http://schemas.openxmlformats.org/drawingml/2006/picture">
                      <pic:pic xmlns:pic="http://schemas.openxmlformats.org/drawingml/2006/picture">
                        <pic:nvPicPr>
                          <pic:cNvPr id="1728" name="IM 1728"/>
                          <pic:cNvPicPr/>
                        </pic:nvPicPr>
                        <pic:blipFill>
                          <a:blip r:embed="rId743"/>
                          <a:stretch>
                            <a:fillRect/>
                          </a:stretch>
                        </pic:blipFill>
                        <pic:spPr>
                          <a:xfrm>
                            <a:off x="0" y="0"/>
                            <a:ext cx="9143" cy="42672"/>
                          </a:xfrm>
                          <a:prstGeom prst="rect">
                            <a:avLst/>
                          </a:prstGeom>
                        </pic:spPr>
                      </pic:pic>
                    </a:graphicData>
                  </a:graphic>
                </wp:inline>
              </w:drawing>
            </w:r>
          </w:p>
          <w:p w14:paraId="71882666">
            <w:pPr>
              <w:pStyle w:val="7"/>
              <w:spacing w:before="36" w:line="216" w:lineRule="auto"/>
              <w:ind w:left="72"/>
            </w:pPr>
            <w:r>
              <w:rPr>
                <w:spacing w:val="-27"/>
              </w:rPr>
              <w:t>1、考虑现场的临时用水、用电布置可以满足现场的用水、用</w:t>
            </w:r>
          </w:p>
          <w:p w14:paraId="51F7B045">
            <w:pPr>
              <w:pStyle w:val="7"/>
              <w:spacing w:before="187" w:line="218" w:lineRule="auto"/>
              <w:ind w:left="2601"/>
            </w:pPr>
            <w:r>
              <w:rPr>
                <w:spacing w:val="-19"/>
              </w:rPr>
              <w:t>电要求</w:t>
            </w:r>
          </w:p>
        </w:tc>
      </w:tr>
    </w:tbl>
    <w:p w14:paraId="33842114">
      <w:pPr>
        <w:rPr>
          <w:rFonts w:ascii="Arial"/>
          <w:sz w:val="21"/>
        </w:rPr>
      </w:pPr>
    </w:p>
    <w:p w14:paraId="62D0A41D">
      <w:pPr>
        <w:rPr>
          <w:rFonts w:ascii="Arial" w:hAnsi="Arial" w:eastAsia="Arial" w:cs="Arial"/>
          <w:sz w:val="21"/>
          <w:szCs w:val="21"/>
        </w:rPr>
        <w:sectPr>
          <w:footerReference r:id="rId416" w:type="default"/>
          <w:pgSz w:w="11907" w:h="16839"/>
          <w:pgMar w:top="933" w:right="4" w:bottom="1038" w:left="0" w:header="478" w:footer="357" w:gutter="0"/>
          <w:pgBorders>
            <w:top w:val="none" w:sz="0" w:space="0"/>
            <w:left w:val="none" w:sz="0" w:space="0"/>
            <w:bottom w:val="none" w:sz="0" w:space="0"/>
            <w:right w:val="none" w:sz="0" w:space="0"/>
          </w:pgBorders>
          <w:cols w:space="720" w:num="1"/>
        </w:sectPr>
      </w:pPr>
    </w:p>
    <w:p w14:paraId="5077EBA7">
      <w:pPr>
        <w:spacing w:line="235" w:lineRule="exact"/>
      </w:pPr>
    </w:p>
    <w:tbl>
      <w:tblPr>
        <w:tblStyle w:val="6"/>
        <w:tblW w:w="8792" w:type="dxa"/>
        <w:tblInd w:w="155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31"/>
        <w:gridCol w:w="663"/>
        <w:gridCol w:w="2084"/>
        <w:gridCol w:w="5188"/>
        <w:gridCol w:w="626"/>
      </w:tblGrid>
      <w:tr w14:paraId="190F9A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53" w:hRule="atLeast"/>
        </w:trPr>
        <w:tc>
          <w:tcPr>
            <w:tcW w:w="894" w:type="dxa"/>
            <w:gridSpan w:val="2"/>
            <w:tcBorders>
              <w:top w:val="single" w:color="000000" w:sz="4" w:space="0"/>
              <w:left w:val="single" w:color="000000" w:sz="4" w:space="0"/>
            </w:tcBorders>
            <w:vAlign w:val="top"/>
          </w:tcPr>
          <w:p w14:paraId="5443AC6D">
            <w:pPr>
              <w:rPr>
                <w:rFonts w:ascii="Arial"/>
                <w:sz w:val="21"/>
              </w:rPr>
            </w:pPr>
          </w:p>
        </w:tc>
        <w:tc>
          <w:tcPr>
            <w:tcW w:w="2084" w:type="dxa"/>
            <w:tcBorders>
              <w:top w:val="single" w:color="000000" w:sz="4" w:space="0"/>
            </w:tcBorders>
            <w:vAlign w:val="top"/>
          </w:tcPr>
          <w:p w14:paraId="65D78CF1">
            <w:pPr>
              <w:rPr>
                <w:rFonts w:ascii="Arial"/>
                <w:sz w:val="21"/>
              </w:rPr>
            </w:pPr>
          </w:p>
        </w:tc>
        <w:tc>
          <w:tcPr>
            <w:tcW w:w="5814" w:type="dxa"/>
            <w:gridSpan w:val="2"/>
            <w:tcBorders>
              <w:top w:val="single" w:color="5B9BD5" w:sz="4" w:space="0"/>
              <w:right w:val="single" w:color="5B9BD5" w:sz="4" w:space="0"/>
            </w:tcBorders>
            <w:vAlign w:val="top"/>
          </w:tcPr>
          <w:p w14:paraId="6E618CF6">
            <w:pPr>
              <w:pStyle w:val="7"/>
              <w:spacing w:before="129" w:line="218" w:lineRule="auto"/>
              <w:ind w:left="1761"/>
            </w:pPr>
            <w:r>
              <w:rPr>
                <w:spacing w:val="-19"/>
              </w:rPr>
              <w:t>2、用电、用水线路最短</w:t>
            </w:r>
          </w:p>
          <w:p w14:paraId="215715C6">
            <w:pPr>
              <w:pStyle w:val="7"/>
              <w:spacing w:before="182" w:line="219" w:lineRule="auto"/>
              <w:ind w:left="1653"/>
            </w:pPr>
            <w:r>
              <w:rPr>
                <w:spacing w:val="-19"/>
              </w:rPr>
              <w:t>3、用电、用水的线路安全</w:t>
            </w:r>
          </w:p>
          <w:p w14:paraId="7A956BDC">
            <w:pPr>
              <w:pStyle w:val="7"/>
              <w:spacing w:before="184" w:line="217" w:lineRule="auto"/>
              <w:ind w:left="1212"/>
            </w:pPr>
            <w:r>
              <w:rPr>
                <w:spacing w:val="-20"/>
              </w:rPr>
              <w:t>4、用电房、临时用水的接驳口位置</w:t>
            </w:r>
          </w:p>
        </w:tc>
      </w:tr>
      <w:tr w14:paraId="70CEA4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84" w:hRule="atLeast"/>
        </w:trPr>
        <w:tc>
          <w:tcPr>
            <w:tcW w:w="894" w:type="dxa"/>
            <w:gridSpan w:val="2"/>
            <w:tcBorders>
              <w:left w:val="single" w:color="000000" w:sz="4" w:space="0"/>
            </w:tcBorders>
            <w:vAlign w:val="top"/>
          </w:tcPr>
          <w:p w14:paraId="7D8059D3">
            <w:pPr>
              <w:spacing w:line="357" w:lineRule="auto"/>
              <w:rPr>
                <w:rFonts w:ascii="Arial"/>
                <w:sz w:val="21"/>
              </w:rPr>
            </w:pPr>
          </w:p>
          <w:p w14:paraId="3739D440">
            <w:pPr>
              <w:spacing w:line="357" w:lineRule="auto"/>
              <w:rPr>
                <w:rFonts w:ascii="Arial"/>
                <w:sz w:val="21"/>
              </w:rPr>
            </w:pPr>
          </w:p>
          <w:p w14:paraId="48370829">
            <w:pPr>
              <w:pStyle w:val="7"/>
              <w:spacing w:before="78" w:line="237" w:lineRule="auto"/>
              <w:ind w:left="408"/>
            </w:pPr>
            <w:r>
              <w:t>3</w:t>
            </w:r>
          </w:p>
        </w:tc>
        <w:tc>
          <w:tcPr>
            <w:tcW w:w="2084" w:type="dxa"/>
            <w:vAlign w:val="top"/>
          </w:tcPr>
          <w:p w14:paraId="177111EE">
            <w:pPr>
              <w:spacing w:line="356" w:lineRule="auto"/>
              <w:rPr>
                <w:rFonts w:ascii="Arial"/>
                <w:sz w:val="21"/>
              </w:rPr>
            </w:pPr>
          </w:p>
          <w:p w14:paraId="19813D38">
            <w:pPr>
              <w:spacing w:line="357" w:lineRule="auto"/>
              <w:rPr>
                <w:rFonts w:ascii="Arial"/>
                <w:sz w:val="21"/>
              </w:rPr>
            </w:pPr>
          </w:p>
          <w:p w14:paraId="6B311E4E">
            <w:pPr>
              <w:pStyle w:val="7"/>
              <w:spacing w:before="78" w:line="220" w:lineRule="auto"/>
              <w:ind w:left="738"/>
            </w:pPr>
            <w:r>
              <w:rPr>
                <w:spacing w:val="-17"/>
              </w:rPr>
              <w:t>生活区</w:t>
            </w:r>
          </w:p>
        </w:tc>
        <w:tc>
          <w:tcPr>
            <w:tcW w:w="5188" w:type="dxa"/>
            <w:tcBorders>
              <w:right w:val="nil"/>
            </w:tcBorders>
            <w:vAlign w:val="top"/>
          </w:tcPr>
          <w:p w14:paraId="29CFC179">
            <w:pPr>
              <w:pStyle w:val="7"/>
              <w:spacing w:before="95" w:line="218" w:lineRule="auto"/>
              <w:ind w:left="1995"/>
            </w:pPr>
            <w:r>
              <w:rPr>
                <w:spacing w:val="-19"/>
              </w:rPr>
              <w:t>1、现场有临时用地</w:t>
            </w:r>
          </w:p>
          <w:p w14:paraId="176333C0">
            <w:pPr>
              <w:pStyle w:val="7"/>
              <w:spacing w:before="184" w:line="218" w:lineRule="auto"/>
              <w:ind w:left="1216"/>
            </w:pPr>
            <w:r>
              <w:rPr>
                <w:spacing w:val="-20"/>
              </w:rPr>
              <w:t>2、生活区与办公区及施工现场分开</w:t>
            </w:r>
          </w:p>
          <w:p w14:paraId="0C1C7DC6">
            <w:pPr>
              <w:pStyle w:val="7"/>
              <w:spacing w:before="182" w:line="217" w:lineRule="auto"/>
              <w:ind w:left="1763"/>
            </w:pPr>
            <w:r>
              <w:rPr>
                <w:spacing w:val="-19"/>
              </w:rPr>
              <w:t>3、满足人员的居住要求</w:t>
            </w:r>
          </w:p>
          <w:p w14:paraId="16ED99BB">
            <w:pPr>
              <w:pStyle w:val="7"/>
              <w:spacing w:before="186" w:line="217" w:lineRule="auto"/>
              <w:ind w:left="1757"/>
            </w:pPr>
            <w:r>
              <w:rPr>
                <w:spacing w:val="-18"/>
              </w:rPr>
              <w:t>4、生活区满足消防要求</w:t>
            </w:r>
          </w:p>
        </w:tc>
        <w:tc>
          <w:tcPr>
            <w:tcW w:w="626" w:type="dxa"/>
            <w:tcBorders>
              <w:left w:val="nil"/>
              <w:right w:val="single" w:color="000000" w:sz="4" w:space="0"/>
            </w:tcBorders>
            <w:vAlign w:val="top"/>
          </w:tcPr>
          <w:p w14:paraId="00E4E879">
            <w:pPr>
              <w:rPr>
                <w:rFonts w:ascii="Arial"/>
                <w:sz w:val="21"/>
              </w:rPr>
            </w:pPr>
            <w:r>
              <w:pict>
                <v:shape id="_x0000_s4568" o:spid="_x0000_s4568" style="position:absolute;left:0pt;margin-left:29.45pt;margin-top:-0.1pt;height:3.4pt;width:0.75pt;mso-position-horizontal-relative:page;mso-position-vertical-relative:page;z-index:252402688;mso-width-relative:page;mso-height-relative:page;" fillcolor="#1C456A" filled="t" stroked="f" coordsize="15,68" path="m0,67l14,67,14,0,0,0,0,67xe">
                  <v:path/>
                  <v:fill on="t" focussize="0,0"/>
                  <v:stroke on="f"/>
                  <v:imagedata o:title=""/>
                  <o:lock v:ext="edit"/>
                </v:shape>
              </w:pict>
            </w:r>
          </w:p>
        </w:tc>
      </w:tr>
      <w:tr w14:paraId="163F94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52" w:hRule="atLeast"/>
        </w:trPr>
        <w:tc>
          <w:tcPr>
            <w:tcW w:w="894" w:type="dxa"/>
            <w:gridSpan w:val="2"/>
            <w:tcBorders>
              <w:left w:val="single" w:color="000000" w:sz="4" w:space="0"/>
            </w:tcBorders>
            <w:vAlign w:val="top"/>
          </w:tcPr>
          <w:p w14:paraId="76FF0FC3">
            <w:pPr>
              <w:spacing w:line="252" w:lineRule="auto"/>
              <w:rPr>
                <w:rFonts w:ascii="Arial"/>
                <w:sz w:val="21"/>
              </w:rPr>
            </w:pPr>
          </w:p>
          <w:p w14:paraId="4CF7F01A">
            <w:pPr>
              <w:pStyle w:val="7"/>
              <w:spacing w:before="78" w:line="238" w:lineRule="auto"/>
              <w:ind w:left="403"/>
            </w:pPr>
            <w:r>
              <w:t>4</w:t>
            </w:r>
          </w:p>
        </w:tc>
        <w:tc>
          <w:tcPr>
            <w:tcW w:w="2084" w:type="dxa"/>
            <w:vAlign w:val="top"/>
          </w:tcPr>
          <w:p w14:paraId="14EE3601">
            <w:pPr>
              <w:spacing w:line="252" w:lineRule="auto"/>
              <w:rPr>
                <w:rFonts w:ascii="Arial"/>
                <w:sz w:val="21"/>
              </w:rPr>
            </w:pPr>
          </w:p>
          <w:p w14:paraId="59626F5E">
            <w:pPr>
              <w:pStyle w:val="7"/>
              <w:spacing w:before="78" w:line="220" w:lineRule="auto"/>
              <w:ind w:left="732"/>
            </w:pPr>
            <w:r>
              <w:rPr>
                <w:spacing w:val="-15"/>
              </w:rPr>
              <w:t>办公区</w:t>
            </w:r>
          </w:p>
        </w:tc>
        <w:tc>
          <w:tcPr>
            <w:tcW w:w="5188" w:type="dxa"/>
            <w:tcBorders>
              <w:right w:val="nil"/>
            </w:tcBorders>
            <w:vAlign w:val="top"/>
          </w:tcPr>
          <w:p w14:paraId="726AF8BD">
            <w:pPr>
              <w:pStyle w:val="7"/>
              <w:spacing w:before="98" w:line="218" w:lineRule="auto"/>
              <w:ind w:left="1665"/>
            </w:pPr>
            <w:r>
              <w:rPr>
                <w:spacing w:val="-20"/>
              </w:rPr>
              <w:t>1、考虑办公区的场地要求</w:t>
            </w:r>
          </w:p>
          <w:p w14:paraId="0DB61282">
            <w:pPr>
              <w:pStyle w:val="7"/>
              <w:spacing w:before="182" w:line="218" w:lineRule="auto"/>
              <w:ind w:left="998"/>
            </w:pPr>
            <w:r>
              <w:rPr>
                <w:spacing w:val="-20"/>
              </w:rPr>
              <w:t>2、现场管理人员及分包人员的办公要求</w:t>
            </w:r>
          </w:p>
        </w:tc>
        <w:tc>
          <w:tcPr>
            <w:tcW w:w="626" w:type="dxa"/>
            <w:tcBorders>
              <w:left w:val="nil"/>
              <w:right w:val="single" w:color="000000" w:sz="4" w:space="0"/>
            </w:tcBorders>
            <w:vAlign w:val="top"/>
          </w:tcPr>
          <w:p w14:paraId="16B5D217">
            <w:pPr>
              <w:rPr>
                <w:rFonts w:ascii="Arial"/>
                <w:sz w:val="21"/>
              </w:rPr>
            </w:pPr>
            <w:r>
              <w:pict>
                <v:shape id="_x0000_s4570" o:spid="_x0000_s4570" style="position:absolute;left:0pt;margin-left:29.45pt;margin-top:0.05pt;height:3.4pt;width:0.75pt;mso-position-horizontal-relative:page;mso-position-vertical-relative:page;z-index:252403712;mso-width-relative:page;mso-height-relative:page;" fillcolor="#1C456A" filled="t" stroked="f" coordsize="15,68" path="m0,67l14,67,14,0,0,0,0,67xe">
                  <v:path/>
                  <v:fill on="t" focussize="0,0"/>
                  <v:stroke on="f"/>
                  <v:imagedata o:title=""/>
                  <o:lock v:ext="edit"/>
                </v:shape>
              </w:pict>
            </w:r>
          </w:p>
        </w:tc>
      </w:tr>
      <w:tr w14:paraId="2506BF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22" w:hRule="atLeast"/>
        </w:trPr>
        <w:tc>
          <w:tcPr>
            <w:tcW w:w="231" w:type="dxa"/>
            <w:tcBorders>
              <w:left w:val="single" w:color="1C456A" w:sz="4" w:space="0"/>
              <w:bottom w:val="single" w:color="1C456A" w:sz="4" w:space="0"/>
              <w:right w:val="nil"/>
            </w:tcBorders>
            <w:vAlign w:val="top"/>
          </w:tcPr>
          <w:p w14:paraId="60AF4180">
            <w:pPr>
              <w:rPr>
                <w:rFonts w:ascii="Arial"/>
                <w:sz w:val="21"/>
              </w:rPr>
            </w:pPr>
            <w:r>
              <w:pict>
                <v:shape id="_x0000_s4572" o:spid="_x0000_s4572" style="position:absolute;left:0pt;margin-left:-0.25pt;margin-top:101.15pt;height:0.75pt;width:2.2pt;mso-position-horizontal-relative:page;mso-position-vertical-relative:page;z-index:252406784;mso-width-relative:page;mso-height-relative:page;" fillcolor="#5B9BD5" filled="t" stroked="f" coordsize="44,15" path="m0,14l43,14,43,0,0,0,0,14xe">
                  <v:path/>
                  <v:fill on="t" focussize="0,0"/>
                  <v:stroke on="f"/>
                  <v:imagedata o:title=""/>
                  <o:lock v:ext="edit"/>
                </v:shape>
              </w:pict>
            </w:r>
          </w:p>
        </w:tc>
        <w:tc>
          <w:tcPr>
            <w:tcW w:w="663" w:type="dxa"/>
            <w:tcBorders>
              <w:left w:val="nil"/>
              <w:bottom w:val="single" w:color="1C456A" w:sz="4" w:space="0"/>
            </w:tcBorders>
            <w:vAlign w:val="top"/>
          </w:tcPr>
          <w:p w14:paraId="7A72B21B">
            <w:pPr>
              <w:spacing w:line="358" w:lineRule="auto"/>
              <w:rPr>
                <w:rFonts w:ascii="Arial"/>
                <w:sz w:val="21"/>
              </w:rPr>
            </w:pPr>
          </w:p>
          <w:p w14:paraId="4DD431D4">
            <w:pPr>
              <w:spacing w:line="358" w:lineRule="auto"/>
              <w:rPr>
                <w:rFonts w:ascii="Arial"/>
                <w:sz w:val="21"/>
              </w:rPr>
            </w:pPr>
          </w:p>
          <w:p w14:paraId="110F08FD">
            <w:pPr>
              <w:pStyle w:val="7"/>
              <w:spacing w:before="78" w:line="237" w:lineRule="auto"/>
              <w:ind w:left="182"/>
            </w:pPr>
            <w:r>
              <w:t>5</w:t>
            </w:r>
          </w:p>
        </w:tc>
        <w:tc>
          <w:tcPr>
            <w:tcW w:w="2084" w:type="dxa"/>
            <w:tcBorders>
              <w:bottom w:val="single" w:color="000000" w:sz="4" w:space="0"/>
            </w:tcBorders>
            <w:vAlign w:val="top"/>
          </w:tcPr>
          <w:p w14:paraId="3AAC7D75">
            <w:pPr>
              <w:spacing w:line="358" w:lineRule="auto"/>
              <w:rPr>
                <w:rFonts w:ascii="Arial"/>
                <w:sz w:val="21"/>
              </w:rPr>
            </w:pPr>
          </w:p>
          <w:p w14:paraId="70CB9AEC">
            <w:pPr>
              <w:spacing w:line="358" w:lineRule="auto"/>
              <w:rPr>
                <w:rFonts w:ascii="Arial"/>
                <w:sz w:val="21"/>
              </w:rPr>
            </w:pPr>
          </w:p>
          <w:p w14:paraId="3DE9A244">
            <w:pPr>
              <w:pStyle w:val="7"/>
              <w:spacing w:before="78" w:line="216" w:lineRule="auto"/>
              <w:ind w:left="615"/>
            </w:pPr>
            <w:r>
              <w:rPr>
                <w:spacing w:val="-15"/>
              </w:rPr>
              <w:t>材料堆场</w:t>
            </w:r>
          </w:p>
        </w:tc>
        <w:tc>
          <w:tcPr>
            <w:tcW w:w="5188" w:type="dxa"/>
            <w:tcBorders>
              <w:bottom w:val="single" w:color="5B9BD5" w:sz="4" w:space="0"/>
              <w:right w:val="nil"/>
            </w:tcBorders>
            <w:vAlign w:val="top"/>
          </w:tcPr>
          <w:p w14:paraId="4CDBED27">
            <w:pPr>
              <w:pStyle w:val="7"/>
              <w:spacing w:before="100" w:line="216" w:lineRule="auto"/>
              <w:ind w:left="1776"/>
            </w:pPr>
            <w:r>
              <w:rPr>
                <w:spacing w:val="-20"/>
              </w:rPr>
              <w:t>1、考虑现场地材料运输</w:t>
            </w:r>
          </w:p>
          <w:p w14:paraId="160C18A5">
            <w:pPr>
              <w:pStyle w:val="7"/>
              <w:spacing w:before="184" w:line="216" w:lineRule="auto"/>
              <w:ind w:left="1980"/>
            </w:pPr>
            <w:r>
              <w:rPr>
                <w:spacing w:val="-18"/>
              </w:rPr>
              <w:t>2、现场的材料用量</w:t>
            </w:r>
          </w:p>
          <w:p w14:paraId="3AE840EE">
            <w:pPr>
              <w:pStyle w:val="7"/>
              <w:spacing w:before="187" w:line="216" w:lineRule="auto"/>
              <w:ind w:left="1982"/>
            </w:pPr>
            <w:r>
              <w:rPr>
                <w:spacing w:val="-18"/>
              </w:rPr>
              <w:t>3、考虑材料的吊运</w:t>
            </w:r>
          </w:p>
          <w:p w14:paraId="46A0B44B">
            <w:pPr>
              <w:pStyle w:val="7"/>
              <w:spacing w:before="184" w:line="216" w:lineRule="auto"/>
              <w:ind w:left="994"/>
            </w:pPr>
            <w:r>
              <w:rPr>
                <w:spacing w:val="-20"/>
              </w:rPr>
              <w:t>4、材料堆场与主体结构之间的安全要求</w:t>
            </w:r>
          </w:p>
        </w:tc>
        <w:tc>
          <w:tcPr>
            <w:tcW w:w="626" w:type="dxa"/>
            <w:tcBorders>
              <w:left w:val="nil"/>
              <w:bottom w:val="single" w:color="5B9BD5" w:sz="4" w:space="0"/>
              <w:right w:val="single" w:color="5B9BD5" w:sz="4" w:space="0"/>
            </w:tcBorders>
            <w:vAlign w:val="top"/>
          </w:tcPr>
          <w:p w14:paraId="19F40A34">
            <w:pPr>
              <w:rPr>
                <w:rFonts w:ascii="Arial"/>
                <w:sz w:val="21"/>
              </w:rPr>
            </w:pPr>
            <w:r>
              <w:pict>
                <v:shape id="_x0000_s4574" o:spid="_x0000_s4574" style="position:absolute;left:0pt;margin-left:29.45pt;margin-top:0.15pt;height:3.4pt;width:0.75pt;mso-position-horizontal-relative:page;mso-position-vertical-relative:page;z-index:252404736;mso-width-relative:page;mso-height-relative:page;" fillcolor="#1C456A" filled="t" stroked="f" coordsize="15,68" path="m0,67l14,67,14,0,0,0,0,67xe">
                  <v:path/>
                  <v:fill on="t" focussize="0,0"/>
                  <v:stroke on="f"/>
                  <v:imagedata o:title=""/>
                  <o:lock v:ext="edit"/>
                </v:shape>
              </w:pict>
            </w:r>
            <w:r>
              <w:pict>
                <v:shape id="_x0000_s4576" o:spid="_x0000_s4576" style="position:absolute;left:0pt;margin-left:29.45pt;margin-top:101.15pt;height:0.75pt;width:2.2pt;mso-position-horizontal-relative:page;mso-position-vertical-relative:page;z-index:252405760;mso-width-relative:page;mso-height-relative:page;" fillcolor="#5B9BD5" filled="t" stroked="f" coordsize="44,15" path="m0,14l43,14,43,0,0,0,0,14xe">
                  <v:path/>
                  <v:fill on="t" focussize="0,0"/>
                  <v:stroke on="f"/>
                  <v:imagedata o:title=""/>
                  <o:lock v:ext="edit"/>
                </v:shape>
              </w:pict>
            </w:r>
          </w:p>
        </w:tc>
      </w:tr>
    </w:tbl>
    <w:p w14:paraId="096F1110">
      <w:pPr>
        <w:pStyle w:val="2"/>
        <w:spacing w:before="80" w:line="219" w:lineRule="auto"/>
        <w:ind w:left="1981"/>
        <w:outlineLvl w:val="2"/>
        <w:rPr>
          <w:sz w:val="28"/>
          <w:szCs w:val="28"/>
        </w:rPr>
      </w:pPr>
      <w:bookmarkStart w:id="296" w:name="bookmark282"/>
      <w:bookmarkEnd w:id="296"/>
      <w:r>
        <w:rPr>
          <w:b/>
          <w:bCs/>
          <w:spacing w:val="-22"/>
          <w:sz w:val="28"/>
          <w:szCs w:val="28"/>
        </w:rPr>
        <w:t>五、施工场地管理方案</w:t>
      </w:r>
    </w:p>
    <w:p w14:paraId="6AFEC117">
      <w:pPr>
        <w:pStyle w:val="2"/>
        <w:spacing w:before="102" w:line="219" w:lineRule="auto"/>
        <w:ind w:left="1903"/>
        <w:rPr>
          <w:sz w:val="24"/>
          <w:szCs w:val="24"/>
        </w:rPr>
      </w:pPr>
      <w:r>
        <w:rPr>
          <w:spacing w:val="-19"/>
          <w:sz w:val="24"/>
          <w:szCs w:val="24"/>
        </w:rPr>
        <w:t>1、施工总平面管理</w:t>
      </w:r>
    </w:p>
    <w:p w14:paraId="2DEF9B89">
      <w:pPr>
        <w:pStyle w:val="2"/>
        <w:spacing w:before="115" w:line="308" w:lineRule="auto"/>
        <w:ind w:left="1458" w:right="1409" w:firstLine="465"/>
        <w:rPr>
          <w:sz w:val="24"/>
          <w:szCs w:val="24"/>
        </w:rPr>
      </w:pPr>
      <w:r>
        <w:rPr>
          <w:spacing w:val="-20"/>
          <w:sz w:val="24"/>
          <w:szCs w:val="24"/>
        </w:rPr>
        <w:t>由于该工程工程工期较紧，现场施工人员较多，故除在施工</w:t>
      </w:r>
      <w:r>
        <w:rPr>
          <w:spacing w:val="-21"/>
          <w:sz w:val="24"/>
          <w:szCs w:val="24"/>
        </w:rPr>
        <w:t>总平面布置上要有一个合理的</w:t>
      </w:r>
      <w:r>
        <w:rPr>
          <w:spacing w:val="-22"/>
          <w:sz w:val="24"/>
          <w:szCs w:val="24"/>
        </w:rPr>
        <w:t>布置外，还要严密科学的管理。</w:t>
      </w:r>
    </w:p>
    <w:p w14:paraId="676CFE6E">
      <w:pPr>
        <w:pStyle w:val="2"/>
        <w:spacing w:before="1" w:line="261" w:lineRule="auto"/>
        <w:ind w:left="1458" w:right="1413" w:firstLine="445"/>
        <w:rPr>
          <w:sz w:val="24"/>
          <w:szCs w:val="24"/>
        </w:rPr>
      </w:pPr>
      <w:r>
        <w:rPr>
          <w:spacing w:val="-22"/>
          <w:sz w:val="24"/>
          <w:szCs w:val="24"/>
        </w:rPr>
        <w:t>1.1、建立现场施工总平面管理班子，建立健全管理规章制度，施工平面管理由项目经理负</w:t>
      </w:r>
      <w:r>
        <w:rPr>
          <w:spacing w:val="-21"/>
          <w:sz w:val="24"/>
          <w:szCs w:val="24"/>
        </w:rPr>
        <w:t>责，由工长及材料部门组织实施，按计划分片包干管理。</w:t>
      </w:r>
    </w:p>
    <w:p w14:paraId="25336002">
      <w:pPr>
        <w:pStyle w:val="2"/>
        <w:spacing w:before="119" w:line="217" w:lineRule="auto"/>
        <w:ind w:left="1903"/>
        <w:rPr>
          <w:sz w:val="24"/>
          <w:szCs w:val="24"/>
        </w:rPr>
      </w:pPr>
      <w:r>
        <w:rPr>
          <w:spacing w:val="-21"/>
          <w:sz w:val="24"/>
          <w:szCs w:val="24"/>
        </w:rPr>
        <w:t>1.2、现场临设、道路应有排水明沟，且必须保持道路、排水沟的畅通。</w:t>
      </w:r>
    </w:p>
    <w:p w14:paraId="50BC5DC4">
      <w:pPr>
        <w:pStyle w:val="2"/>
        <w:spacing w:before="119" w:line="217" w:lineRule="auto"/>
        <w:ind w:left="1903"/>
        <w:rPr>
          <w:sz w:val="24"/>
          <w:szCs w:val="24"/>
        </w:rPr>
      </w:pPr>
      <w:r>
        <w:rPr>
          <w:spacing w:val="-21"/>
          <w:sz w:val="24"/>
          <w:szCs w:val="24"/>
        </w:rPr>
        <w:t>1.3、现场主要入口处出入制度、场容管理条例、工程简介、安全管理制度标牌上墙。</w:t>
      </w:r>
    </w:p>
    <w:p w14:paraId="29806B59">
      <w:pPr>
        <w:pStyle w:val="2"/>
        <w:spacing w:before="117" w:line="262" w:lineRule="auto"/>
        <w:ind w:left="1479" w:right="1412" w:firstLine="423"/>
        <w:rPr>
          <w:sz w:val="24"/>
          <w:szCs w:val="24"/>
        </w:rPr>
      </w:pPr>
      <w:r>
        <w:rPr>
          <w:spacing w:val="-22"/>
          <w:sz w:val="24"/>
          <w:szCs w:val="24"/>
        </w:rPr>
        <w:t>1.4、施工设备、材料按施工进度计划分批进场，凡进入现场的设备、材料必须按平面布置图指定的位置堆放整齐，做好标识工作，不得随意拆除。</w:t>
      </w:r>
    </w:p>
    <w:p w14:paraId="7D59F2D9">
      <w:pPr>
        <w:pStyle w:val="2"/>
        <w:spacing w:before="122" w:line="262" w:lineRule="auto"/>
        <w:ind w:left="1462" w:right="1440" w:firstLine="441"/>
        <w:rPr>
          <w:sz w:val="24"/>
          <w:szCs w:val="24"/>
        </w:rPr>
      </w:pPr>
      <w:r>
        <w:rPr>
          <w:spacing w:val="-22"/>
          <w:sz w:val="24"/>
          <w:szCs w:val="24"/>
        </w:rPr>
        <w:t>1.5、施工现场的水准点、轴线控制点、</w:t>
      </w:r>
      <w:r>
        <w:rPr>
          <w:spacing w:val="-23"/>
          <w:sz w:val="24"/>
          <w:szCs w:val="24"/>
        </w:rPr>
        <w:t>埋地电缆、架空电线应有醒目标志，并加以保护，不得损坏或移动。</w:t>
      </w:r>
    </w:p>
    <w:p w14:paraId="6D3DE528">
      <w:pPr>
        <w:pStyle w:val="2"/>
        <w:spacing w:before="117" w:line="216" w:lineRule="auto"/>
        <w:ind w:left="1903"/>
        <w:rPr>
          <w:sz w:val="24"/>
          <w:szCs w:val="24"/>
        </w:rPr>
      </w:pPr>
      <w:r>
        <w:rPr>
          <w:spacing w:val="-20"/>
          <w:sz w:val="24"/>
          <w:szCs w:val="24"/>
        </w:rPr>
        <w:t>1.6、各类作业队伍要遵守统一的平面管理，</w:t>
      </w:r>
      <w:r>
        <w:rPr>
          <w:spacing w:val="-21"/>
          <w:sz w:val="24"/>
          <w:szCs w:val="24"/>
        </w:rPr>
        <w:t>施工忙而不乱。</w:t>
      </w:r>
    </w:p>
    <w:p w14:paraId="6B11EB8F">
      <w:pPr>
        <w:pStyle w:val="2"/>
        <w:spacing w:before="120" w:line="216" w:lineRule="auto"/>
        <w:ind w:left="1903"/>
        <w:rPr>
          <w:sz w:val="24"/>
          <w:szCs w:val="24"/>
        </w:rPr>
      </w:pPr>
      <w:r>
        <w:rPr>
          <w:spacing w:val="-21"/>
          <w:sz w:val="24"/>
          <w:szCs w:val="24"/>
        </w:rPr>
        <w:t>1.7、现场配置门卫，加强现场材料、物资等的保卫工作和维护正常的施工秩序。</w:t>
      </w:r>
    </w:p>
    <w:p w14:paraId="2ADE84A5">
      <w:pPr>
        <w:pStyle w:val="2"/>
        <w:spacing w:before="117" w:line="216" w:lineRule="auto"/>
        <w:ind w:left="1903"/>
        <w:rPr>
          <w:sz w:val="24"/>
          <w:szCs w:val="24"/>
        </w:rPr>
      </w:pPr>
      <w:r>
        <w:rPr>
          <w:spacing w:val="-20"/>
          <w:sz w:val="24"/>
          <w:szCs w:val="24"/>
        </w:rPr>
        <w:t>1.8、现场切实做到工完场清，减少材料浪费</w:t>
      </w:r>
      <w:r>
        <w:rPr>
          <w:spacing w:val="-21"/>
          <w:sz w:val="24"/>
          <w:szCs w:val="24"/>
        </w:rPr>
        <w:t>，并定期检查。</w:t>
      </w:r>
    </w:p>
    <w:p w14:paraId="2E1BC0A2">
      <w:pPr>
        <w:pStyle w:val="2"/>
        <w:spacing w:before="121" w:line="263" w:lineRule="auto"/>
        <w:ind w:left="1459" w:right="1412" w:firstLine="444"/>
        <w:rPr>
          <w:sz w:val="24"/>
          <w:szCs w:val="24"/>
        </w:rPr>
      </w:pPr>
      <w:r>
        <w:rPr>
          <w:spacing w:val="-22"/>
          <w:sz w:val="24"/>
          <w:szCs w:val="24"/>
        </w:rPr>
        <w:t>1.9、现场的施工垃圾要采取及时清理，集中堆放，专人管理，统一搬运，保持现场干净整</w:t>
      </w:r>
      <w:r>
        <w:rPr>
          <w:spacing w:val="-19"/>
          <w:sz w:val="24"/>
          <w:szCs w:val="24"/>
        </w:rPr>
        <w:t>洁。</w:t>
      </w:r>
    </w:p>
    <w:p w14:paraId="2CDCACF5">
      <w:pPr>
        <w:pStyle w:val="2"/>
        <w:spacing w:before="115" w:line="216" w:lineRule="auto"/>
        <w:ind w:left="1903"/>
        <w:rPr>
          <w:sz w:val="24"/>
          <w:szCs w:val="24"/>
        </w:rPr>
      </w:pPr>
      <w:r>
        <w:rPr>
          <w:spacing w:val="-20"/>
          <w:sz w:val="24"/>
          <w:szCs w:val="24"/>
        </w:rPr>
        <w:t>1.10、切实执行我公司制定的《安全文明施工管理</w:t>
      </w:r>
      <w:r>
        <w:rPr>
          <w:spacing w:val="-21"/>
          <w:sz w:val="24"/>
          <w:szCs w:val="24"/>
        </w:rPr>
        <w:t>方法》，定期检查评比。</w:t>
      </w:r>
    </w:p>
    <w:p w14:paraId="5CE1D2E6">
      <w:pPr>
        <w:pStyle w:val="2"/>
        <w:spacing w:before="85" w:line="216" w:lineRule="auto"/>
        <w:ind w:left="1979"/>
        <w:outlineLvl w:val="2"/>
        <w:rPr>
          <w:sz w:val="28"/>
          <w:szCs w:val="28"/>
        </w:rPr>
      </w:pPr>
      <w:bookmarkStart w:id="297" w:name="bookmark283"/>
      <w:bookmarkEnd w:id="297"/>
      <w:r>
        <w:rPr>
          <w:b/>
          <w:bCs/>
          <w:spacing w:val="-22"/>
          <w:sz w:val="28"/>
          <w:szCs w:val="28"/>
        </w:rPr>
        <w:t>六、临时设施的布置</w:t>
      </w:r>
    </w:p>
    <w:p w14:paraId="4BAB46D2">
      <w:pPr>
        <w:spacing w:line="216" w:lineRule="auto"/>
        <w:rPr>
          <w:sz w:val="28"/>
          <w:szCs w:val="28"/>
        </w:rPr>
        <w:sectPr>
          <w:footerReference r:id="rId417" w:type="default"/>
          <w:pgSz w:w="11907" w:h="16839"/>
          <w:pgMar w:top="933" w:right="4" w:bottom="1038" w:left="0" w:header="478" w:footer="357" w:gutter="0"/>
          <w:pgBorders>
            <w:top w:val="none" w:sz="0" w:space="0"/>
            <w:left w:val="none" w:sz="0" w:space="0"/>
            <w:bottom w:val="none" w:sz="0" w:space="0"/>
            <w:right w:val="none" w:sz="0" w:space="0"/>
          </w:pgBorders>
          <w:cols w:space="720" w:num="1"/>
        </w:sectPr>
      </w:pPr>
    </w:p>
    <w:p w14:paraId="4F43A89A">
      <w:pPr>
        <w:spacing w:line="271" w:lineRule="auto"/>
        <w:rPr>
          <w:rFonts w:ascii="Arial"/>
          <w:sz w:val="21"/>
        </w:rPr>
      </w:pPr>
    </w:p>
    <w:p w14:paraId="3B889640">
      <w:pPr>
        <w:pStyle w:val="2"/>
        <w:spacing w:before="78" w:line="218" w:lineRule="auto"/>
        <w:ind w:left="1903"/>
        <w:rPr>
          <w:sz w:val="24"/>
          <w:szCs w:val="24"/>
        </w:rPr>
      </w:pPr>
      <w:r>
        <w:rPr>
          <w:spacing w:val="-20"/>
          <w:sz w:val="24"/>
          <w:szCs w:val="24"/>
        </w:rPr>
        <w:t>1、临时设施总体规划</w:t>
      </w:r>
    </w:p>
    <w:p w14:paraId="7E03A8C7">
      <w:pPr>
        <w:spacing w:line="19" w:lineRule="auto"/>
        <w:rPr>
          <w:rFonts w:ascii="Arial"/>
          <w:sz w:val="2"/>
        </w:rPr>
      </w:pPr>
    </w:p>
    <w:tbl>
      <w:tblPr>
        <w:tblStyle w:val="6"/>
        <w:tblW w:w="8549" w:type="dxa"/>
        <w:tblInd w:w="167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409"/>
        <w:gridCol w:w="1697"/>
        <w:gridCol w:w="5443"/>
      </w:tblGrid>
      <w:tr w14:paraId="5114F7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9" w:hRule="atLeast"/>
        </w:trPr>
        <w:tc>
          <w:tcPr>
            <w:tcW w:w="1409" w:type="dxa"/>
            <w:tcBorders>
              <w:top w:val="single" w:color="000000" w:sz="4" w:space="0"/>
              <w:left w:val="single" w:color="000000" w:sz="4" w:space="0"/>
            </w:tcBorders>
            <w:shd w:val="clear" w:color="auto" w:fill="DEEAF6"/>
            <w:vAlign w:val="top"/>
          </w:tcPr>
          <w:p w14:paraId="3615B69C">
            <w:pPr>
              <w:pStyle w:val="7"/>
              <w:spacing w:before="127" w:line="218" w:lineRule="auto"/>
              <w:ind w:left="500"/>
            </w:pPr>
            <w:r>
              <w:rPr>
                <w:b/>
                <w:bCs/>
                <w:spacing w:val="-12"/>
              </w:rPr>
              <w:t>序号</w:t>
            </w:r>
          </w:p>
        </w:tc>
        <w:tc>
          <w:tcPr>
            <w:tcW w:w="1697" w:type="dxa"/>
            <w:tcBorders>
              <w:top w:val="single" w:color="000000" w:sz="4" w:space="0"/>
            </w:tcBorders>
            <w:shd w:val="clear" w:color="auto" w:fill="DEEAF6"/>
            <w:vAlign w:val="top"/>
          </w:tcPr>
          <w:p w14:paraId="1F217202">
            <w:pPr>
              <w:pStyle w:val="7"/>
              <w:spacing w:before="127" w:line="218" w:lineRule="auto"/>
              <w:ind w:left="636"/>
            </w:pPr>
            <w:r>
              <w:rPr>
                <w:b/>
                <w:bCs/>
                <w:spacing w:val="-12"/>
              </w:rPr>
              <w:t>概况</w:t>
            </w:r>
          </w:p>
        </w:tc>
        <w:tc>
          <w:tcPr>
            <w:tcW w:w="5443" w:type="dxa"/>
            <w:tcBorders>
              <w:top w:val="single" w:color="5B9BD5" w:sz="4" w:space="0"/>
              <w:right w:val="single" w:color="5B9BD5" w:sz="4" w:space="0"/>
            </w:tcBorders>
            <w:shd w:val="clear" w:color="auto" w:fill="DEEAF6"/>
            <w:vAlign w:val="top"/>
          </w:tcPr>
          <w:p w14:paraId="2C5BDEAA">
            <w:pPr>
              <w:pStyle w:val="7"/>
              <w:spacing w:before="127" w:line="218" w:lineRule="auto"/>
              <w:ind w:left="2534"/>
            </w:pPr>
            <w:r>
              <w:rPr>
                <w:b/>
                <w:bCs/>
                <w:spacing w:val="-20"/>
              </w:rPr>
              <w:t>内容</w:t>
            </w:r>
          </w:p>
        </w:tc>
      </w:tr>
      <w:tr w14:paraId="39CD26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95" w:hRule="atLeast"/>
        </w:trPr>
        <w:tc>
          <w:tcPr>
            <w:tcW w:w="1409" w:type="dxa"/>
            <w:tcBorders>
              <w:left w:val="single" w:color="000000" w:sz="4" w:space="0"/>
            </w:tcBorders>
            <w:vAlign w:val="top"/>
          </w:tcPr>
          <w:p w14:paraId="3FC4661D">
            <w:pPr>
              <w:spacing w:line="287" w:lineRule="auto"/>
              <w:rPr>
                <w:rFonts w:ascii="Arial"/>
                <w:sz w:val="21"/>
              </w:rPr>
            </w:pPr>
          </w:p>
          <w:p w14:paraId="6ED502CB">
            <w:pPr>
              <w:spacing w:line="287" w:lineRule="auto"/>
              <w:rPr>
                <w:rFonts w:ascii="Arial"/>
                <w:sz w:val="21"/>
              </w:rPr>
            </w:pPr>
          </w:p>
          <w:p w14:paraId="2D0621AE">
            <w:pPr>
              <w:spacing w:line="288" w:lineRule="auto"/>
              <w:rPr>
                <w:rFonts w:ascii="Arial"/>
                <w:sz w:val="21"/>
              </w:rPr>
            </w:pPr>
          </w:p>
          <w:p w14:paraId="18575A00">
            <w:pPr>
              <w:spacing w:line="288" w:lineRule="auto"/>
              <w:rPr>
                <w:rFonts w:ascii="Arial"/>
                <w:sz w:val="21"/>
              </w:rPr>
            </w:pPr>
          </w:p>
          <w:p w14:paraId="6969540E">
            <w:pPr>
              <w:spacing w:line="288" w:lineRule="auto"/>
              <w:rPr>
                <w:rFonts w:ascii="Arial"/>
                <w:sz w:val="21"/>
              </w:rPr>
            </w:pPr>
          </w:p>
          <w:p w14:paraId="79820295">
            <w:pPr>
              <w:pStyle w:val="7"/>
              <w:spacing w:before="78" w:line="238" w:lineRule="auto"/>
              <w:ind w:left="676"/>
            </w:pPr>
            <w:r>
              <w:t>1</w:t>
            </w:r>
          </w:p>
        </w:tc>
        <w:tc>
          <w:tcPr>
            <w:tcW w:w="1697" w:type="dxa"/>
            <w:vAlign w:val="top"/>
          </w:tcPr>
          <w:p w14:paraId="33D80732">
            <w:pPr>
              <w:spacing w:line="287" w:lineRule="auto"/>
              <w:rPr>
                <w:rFonts w:ascii="Arial"/>
                <w:sz w:val="21"/>
              </w:rPr>
            </w:pPr>
          </w:p>
          <w:p w14:paraId="75ECC65A">
            <w:pPr>
              <w:spacing w:line="287" w:lineRule="auto"/>
              <w:rPr>
                <w:rFonts w:ascii="Arial"/>
                <w:sz w:val="21"/>
              </w:rPr>
            </w:pPr>
          </w:p>
          <w:p w14:paraId="44C253D1">
            <w:pPr>
              <w:spacing w:line="288" w:lineRule="auto"/>
              <w:rPr>
                <w:rFonts w:ascii="Arial"/>
                <w:sz w:val="21"/>
              </w:rPr>
            </w:pPr>
          </w:p>
          <w:p w14:paraId="5A958BA2">
            <w:pPr>
              <w:spacing w:line="288" w:lineRule="auto"/>
              <w:rPr>
                <w:rFonts w:ascii="Arial"/>
                <w:sz w:val="21"/>
              </w:rPr>
            </w:pPr>
          </w:p>
          <w:p w14:paraId="3A7D64AE">
            <w:pPr>
              <w:spacing w:line="288" w:lineRule="auto"/>
              <w:rPr>
                <w:rFonts w:ascii="Arial"/>
                <w:sz w:val="21"/>
              </w:rPr>
            </w:pPr>
          </w:p>
          <w:p w14:paraId="1DDDEF49">
            <w:pPr>
              <w:pStyle w:val="7"/>
              <w:spacing w:before="78" w:line="219" w:lineRule="auto"/>
              <w:ind w:left="311"/>
            </w:pPr>
            <w:r>
              <w:rPr>
                <w:spacing w:val="-17"/>
              </w:rPr>
              <w:t>场地、道路</w:t>
            </w:r>
          </w:p>
        </w:tc>
        <w:tc>
          <w:tcPr>
            <w:tcW w:w="5443" w:type="dxa"/>
            <w:tcBorders>
              <w:right w:val="single" w:color="000000" w:sz="4" w:space="0"/>
            </w:tcBorders>
            <w:vAlign w:val="top"/>
          </w:tcPr>
          <w:p w14:paraId="442F38D0">
            <w:pPr>
              <w:pStyle w:val="7"/>
              <w:spacing w:before="126" w:line="218" w:lineRule="auto"/>
              <w:jc w:val="right"/>
            </w:pPr>
            <w:r>
              <w:rPr>
                <w:spacing w:val="-26"/>
              </w:rPr>
              <w:t>场地的入口处为标化、宣传区域，体现企业的施工形象。</w:t>
            </w:r>
          </w:p>
          <w:p w14:paraId="24362AED">
            <w:pPr>
              <w:pStyle w:val="7"/>
              <w:spacing w:before="181" w:line="216" w:lineRule="auto"/>
              <w:jc w:val="right"/>
            </w:pPr>
            <w:r>
              <w:rPr>
                <w:spacing w:val="-25"/>
              </w:rPr>
              <w:t>施工使用场地内浇筑砼硬地坪，并设置排水</w:t>
            </w:r>
            <w:r>
              <w:rPr>
                <w:spacing w:val="-26"/>
              </w:rPr>
              <w:t>沟、沉淀池，</w:t>
            </w:r>
          </w:p>
          <w:p w14:paraId="4A420990">
            <w:pPr>
              <w:pStyle w:val="7"/>
              <w:spacing w:before="187" w:line="215" w:lineRule="auto"/>
              <w:ind w:left="112"/>
            </w:pPr>
            <w:r>
              <w:rPr>
                <w:spacing w:val="-21"/>
              </w:rPr>
              <w:t>沉淀后的清水可用于冲洗车辆，循环使用，多余</w:t>
            </w:r>
            <w:r>
              <w:rPr>
                <w:spacing w:val="-22"/>
              </w:rPr>
              <w:t>的积水</w:t>
            </w:r>
          </w:p>
          <w:p w14:paraId="1E918266">
            <w:pPr>
              <w:pStyle w:val="7"/>
              <w:spacing w:before="185" w:line="217" w:lineRule="auto"/>
              <w:ind w:left="433"/>
            </w:pPr>
            <w:r>
              <w:rPr>
                <w:spacing w:val="-21"/>
              </w:rPr>
              <w:t>排入就近河道，确保整个施工期间场地不积水。</w:t>
            </w:r>
          </w:p>
          <w:p w14:paraId="5214A36B">
            <w:pPr>
              <w:pStyle w:val="7"/>
              <w:spacing w:before="186" w:line="216" w:lineRule="auto"/>
              <w:ind w:left="216"/>
            </w:pPr>
            <w:r>
              <w:rPr>
                <w:spacing w:val="-21"/>
              </w:rPr>
              <w:t>施工道路根据场区永久性道路的路基作为施工场区便</w:t>
            </w:r>
          </w:p>
          <w:p w14:paraId="745C6C7E">
            <w:pPr>
              <w:pStyle w:val="7"/>
              <w:spacing w:before="185" w:line="218" w:lineRule="auto"/>
              <w:ind w:left="107"/>
            </w:pPr>
            <w:r>
              <w:rPr>
                <w:spacing w:val="-21"/>
              </w:rPr>
              <w:t>道，路边设置排水明沟，排水沟设钢筋盖板，排水沟通</w:t>
            </w:r>
          </w:p>
          <w:p w14:paraId="1D811610">
            <w:pPr>
              <w:pStyle w:val="7"/>
              <w:spacing w:before="184" w:line="219" w:lineRule="auto"/>
              <w:ind w:left="2181"/>
            </w:pPr>
            <w:r>
              <w:rPr>
                <w:spacing w:val="-18"/>
              </w:rPr>
              <w:t>往沉淀池。</w:t>
            </w:r>
          </w:p>
        </w:tc>
      </w:tr>
      <w:tr w14:paraId="794412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58" w:hRule="atLeast"/>
        </w:trPr>
        <w:tc>
          <w:tcPr>
            <w:tcW w:w="1409" w:type="dxa"/>
            <w:tcBorders>
              <w:left w:val="single" w:color="000000" w:sz="4" w:space="0"/>
            </w:tcBorders>
            <w:vAlign w:val="top"/>
          </w:tcPr>
          <w:p w14:paraId="05A1387C">
            <w:pPr>
              <w:spacing w:line="242" w:lineRule="auto"/>
              <w:rPr>
                <w:rFonts w:ascii="Arial"/>
                <w:sz w:val="21"/>
              </w:rPr>
            </w:pPr>
          </w:p>
          <w:p w14:paraId="5FF75D74">
            <w:pPr>
              <w:spacing w:line="242" w:lineRule="auto"/>
              <w:rPr>
                <w:rFonts w:ascii="Arial"/>
                <w:sz w:val="21"/>
              </w:rPr>
            </w:pPr>
          </w:p>
          <w:p w14:paraId="45BE5B97">
            <w:pPr>
              <w:spacing w:line="242" w:lineRule="auto"/>
              <w:rPr>
                <w:rFonts w:ascii="Arial"/>
                <w:sz w:val="21"/>
              </w:rPr>
            </w:pPr>
          </w:p>
          <w:p w14:paraId="3BD2C61E">
            <w:pPr>
              <w:spacing w:line="242" w:lineRule="auto"/>
              <w:rPr>
                <w:rFonts w:ascii="Arial"/>
                <w:sz w:val="21"/>
              </w:rPr>
            </w:pPr>
          </w:p>
          <w:p w14:paraId="69F20401">
            <w:pPr>
              <w:pStyle w:val="7"/>
              <w:spacing w:before="78" w:line="238" w:lineRule="auto"/>
              <w:ind w:left="661"/>
            </w:pPr>
            <w:r>
              <w:t>2</w:t>
            </w:r>
          </w:p>
        </w:tc>
        <w:tc>
          <w:tcPr>
            <w:tcW w:w="1697" w:type="dxa"/>
            <w:vAlign w:val="top"/>
          </w:tcPr>
          <w:p w14:paraId="2935A95A">
            <w:pPr>
              <w:spacing w:line="242" w:lineRule="auto"/>
              <w:rPr>
                <w:rFonts w:ascii="Arial"/>
                <w:sz w:val="21"/>
              </w:rPr>
            </w:pPr>
          </w:p>
          <w:p w14:paraId="2F133FAC">
            <w:pPr>
              <w:spacing w:line="242" w:lineRule="auto"/>
              <w:rPr>
                <w:rFonts w:ascii="Arial"/>
                <w:sz w:val="21"/>
              </w:rPr>
            </w:pPr>
          </w:p>
          <w:p w14:paraId="56E57D26">
            <w:pPr>
              <w:spacing w:line="242" w:lineRule="auto"/>
              <w:rPr>
                <w:rFonts w:ascii="Arial"/>
                <w:sz w:val="21"/>
              </w:rPr>
            </w:pPr>
          </w:p>
          <w:p w14:paraId="5210BB70">
            <w:pPr>
              <w:spacing w:line="242" w:lineRule="auto"/>
              <w:rPr>
                <w:rFonts w:ascii="Arial"/>
                <w:sz w:val="21"/>
              </w:rPr>
            </w:pPr>
          </w:p>
          <w:p w14:paraId="37E872BB">
            <w:pPr>
              <w:pStyle w:val="7"/>
              <w:spacing w:before="78" w:line="217" w:lineRule="auto"/>
              <w:ind w:left="313"/>
            </w:pPr>
            <w:r>
              <w:rPr>
                <w:spacing w:val="-18"/>
              </w:rPr>
              <w:t>大门、围墙</w:t>
            </w:r>
          </w:p>
        </w:tc>
        <w:tc>
          <w:tcPr>
            <w:tcW w:w="5443" w:type="dxa"/>
            <w:tcBorders>
              <w:right w:val="single" w:color="000000" w:sz="4" w:space="0"/>
            </w:tcBorders>
            <w:vAlign w:val="top"/>
          </w:tcPr>
          <w:p w14:paraId="4AA0BBC2">
            <w:pPr>
              <w:pStyle w:val="7"/>
              <w:spacing w:before="118" w:line="215" w:lineRule="auto"/>
              <w:ind w:left="107"/>
            </w:pPr>
            <w:r>
              <w:rPr>
                <w:spacing w:val="-21"/>
              </w:rPr>
              <w:t>根据场地情况，在场地的西侧开设大门，作为主要的人</w:t>
            </w:r>
          </w:p>
          <w:p w14:paraId="0E74016A">
            <w:pPr>
              <w:pStyle w:val="7"/>
              <w:spacing w:before="188" w:line="215" w:lineRule="auto"/>
              <w:ind w:left="125"/>
            </w:pPr>
            <w:r>
              <w:rPr>
                <w:spacing w:val="-22"/>
              </w:rPr>
              <w:t>员、材料、车辆出入口。场地围墙采用临时性围挡，高</w:t>
            </w:r>
          </w:p>
          <w:p w14:paraId="5810E05F">
            <w:pPr>
              <w:pStyle w:val="7"/>
              <w:spacing w:before="185" w:line="217" w:lineRule="auto"/>
              <w:jc w:val="right"/>
            </w:pPr>
            <w:r>
              <w:rPr>
                <w:spacing w:val="-25"/>
              </w:rPr>
              <w:t>不低于3m，设顶灯、标语。大门口设置灯箱、七牌二图，</w:t>
            </w:r>
          </w:p>
          <w:p w14:paraId="50F4EADA">
            <w:pPr>
              <w:pStyle w:val="7"/>
              <w:spacing w:before="186" w:line="218" w:lineRule="auto"/>
              <w:ind w:left="106"/>
            </w:pPr>
            <w:r>
              <w:rPr>
                <w:spacing w:val="-21"/>
              </w:rPr>
              <w:t>标明工程概况、组织体系、安全措施等内容，以扩大工</w:t>
            </w:r>
          </w:p>
          <w:p w14:paraId="5C357058">
            <w:pPr>
              <w:pStyle w:val="7"/>
              <w:spacing w:before="181" w:line="219" w:lineRule="auto"/>
              <w:ind w:left="1527"/>
            </w:pPr>
            <w:r>
              <w:rPr>
                <w:spacing w:val="-20"/>
              </w:rPr>
              <w:t>程影响，接受社会监督。</w:t>
            </w:r>
          </w:p>
        </w:tc>
      </w:tr>
      <w:tr w14:paraId="409CEA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56" w:hRule="atLeast"/>
        </w:trPr>
        <w:tc>
          <w:tcPr>
            <w:tcW w:w="1409" w:type="dxa"/>
            <w:vMerge w:val="restart"/>
            <w:tcBorders>
              <w:left w:val="single" w:color="1C456A" w:sz="4" w:space="0"/>
              <w:bottom w:val="nil"/>
            </w:tcBorders>
            <w:vAlign w:val="top"/>
          </w:tcPr>
          <w:p w14:paraId="13D4135C">
            <w:pPr>
              <w:spacing w:line="258" w:lineRule="auto"/>
              <w:rPr>
                <w:rFonts w:ascii="Arial"/>
                <w:sz w:val="21"/>
              </w:rPr>
            </w:pPr>
          </w:p>
          <w:p w14:paraId="3AF4A72A">
            <w:pPr>
              <w:spacing w:line="258" w:lineRule="auto"/>
              <w:rPr>
                <w:rFonts w:ascii="Arial"/>
                <w:sz w:val="21"/>
              </w:rPr>
            </w:pPr>
          </w:p>
          <w:p w14:paraId="7BB307EF">
            <w:pPr>
              <w:spacing w:line="258" w:lineRule="auto"/>
              <w:rPr>
                <w:rFonts w:ascii="Arial"/>
                <w:sz w:val="21"/>
              </w:rPr>
            </w:pPr>
          </w:p>
          <w:p w14:paraId="1A94BB13">
            <w:pPr>
              <w:spacing w:line="259" w:lineRule="auto"/>
              <w:rPr>
                <w:rFonts w:ascii="Arial"/>
                <w:sz w:val="21"/>
              </w:rPr>
            </w:pPr>
          </w:p>
          <w:p w14:paraId="4239ABB4">
            <w:pPr>
              <w:spacing w:line="259" w:lineRule="auto"/>
              <w:rPr>
                <w:rFonts w:ascii="Arial"/>
                <w:sz w:val="21"/>
              </w:rPr>
            </w:pPr>
          </w:p>
          <w:p w14:paraId="03D86629">
            <w:pPr>
              <w:spacing w:line="259" w:lineRule="auto"/>
              <w:rPr>
                <w:rFonts w:ascii="Arial"/>
                <w:sz w:val="21"/>
              </w:rPr>
            </w:pPr>
          </w:p>
          <w:p w14:paraId="3330D079">
            <w:pPr>
              <w:pStyle w:val="7"/>
              <w:spacing w:before="78" w:line="237" w:lineRule="auto"/>
              <w:ind w:left="663"/>
            </w:pPr>
            <w:r>
              <w:t>3</w:t>
            </w:r>
          </w:p>
        </w:tc>
        <w:tc>
          <w:tcPr>
            <w:tcW w:w="1697" w:type="dxa"/>
            <w:vMerge w:val="restart"/>
            <w:tcBorders>
              <w:bottom w:val="nil"/>
            </w:tcBorders>
            <w:vAlign w:val="top"/>
          </w:tcPr>
          <w:p w14:paraId="38E16496">
            <w:pPr>
              <w:spacing w:line="263" w:lineRule="auto"/>
              <w:rPr>
                <w:rFonts w:ascii="Arial"/>
                <w:sz w:val="21"/>
              </w:rPr>
            </w:pPr>
          </w:p>
          <w:p w14:paraId="2882269F">
            <w:pPr>
              <w:spacing w:line="264" w:lineRule="auto"/>
              <w:rPr>
                <w:rFonts w:ascii="Arial"/>
                <w:sz w:val="21"/>
              </w:rPr>
            </w:pPr>
          </w:p>
          <w:p w14:paraId="5C889AD7">
            <w:pPr>
              <w:spacing w:line="264" w:lineRule="auto"/>
              <w:rPr>
                <w:rFonts w:ascii="Arial"/>
                <w:sz w:val="21"/>
              </w:rPr>
            </w:pPr>
          </w:p>
          <w:p w14:paraId="34062B9B">
            <w:pPr>
              <w:spacing w:line="264" w:lineRule="auto"/>
              <w:rPr>
                <w:rFonts w:ascii="Arial"/>
                <w:sz w:val="21"/>
              </w:rPr>
            </w:pPr>
          </w:p>
          <w:p w14:paraId="5071A5B1">
            <w:pPr>
              <w:spacing w:line="264" w:lineRule="auto"/>
              <w:rPr>
                <w:rFonts w:ascii="Arial"/>
                <w:sz w:val="21"/>
              </w:rPr>
            </w:pPr>
          </w:p>
          <w:p w14:paraId="7399E4D8">
            <w:pPr>
              <w:pStyle w:val="7"/>
              <w:spacing w:before="78" w:line="361" w:lineRule="auto"/>
              <w:ind w:left="665" w:right="67" w:hanging="559"/>
            </w:pPr>
            <w:r>
              <w:rPr>
                <w:spacing w:val="-24"/>
              </w:rPr>
              <w:t>临时设施的建设</w:t>
            </w:r>
            <w:r>
              <w:rPr>
                <w:spacing w:val="-17"/>
              </w:rPr>
              <w:t>内容</w:t>
            </w:r>
          </w:p>
        </w:tc>
        <w:tc>
          <w:tcPr>
            <w:tcW w:w="5443" w:type="dxa"/>
            <w:tcBorders>
              <w:right w:val="single" w:color="000000" w:sz="4" w:space="0"/>
            </w:tcBorders>
            <w:vAlign w:val="top"/>
          </w:tcPr>
          <w:p w14:paraId="71944523">
            <w:pPr>
              <w:pStyle w:val="7"/>
              <w:spacing w:before="112" w:line="218" w:lineRule="auto"/>
              <w:ind w:left="121"/>
            </w:pPr>
            <w:r>
              <w:rPr>
                <w:spacing w:val="-22"/>
              </w:rPr>
              <w:t>生活临时设施：主要有项目部管理人员及职工宿舍、食</w:t>
            </w:r>
          </w:p>
          <w:p w14:paraId="6CF59321">
            <w:pPr>
              <w:pStyle w:val="7"/>
              <w:spacing w:before="184" w:line="217" w:lineRule="auto"/>
              <w:ind w:left="448"/>
            </w:pPr>
            <w:r>
              <w:rPr>
                <w:spacing w:val="-22"/>
              </w:rPr>
              <w:t>堂、厨房、卫生间、浴室、厕所、职工学校等。</w:t>
            </w:r>
          </w:p>
        </w:tc>
      </w:tr>
      <w:tr w14:paraId="5777A7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56" w:hRule="atLeast"/>
        </w:trPr>
        <w:tc>
          <w:tcPr>
            <w:tcW w:w="1409" w:type="dxa"/>
            <w:vMerge w:val="continue"/>
            <w:tcBorders>
              <w:top w:val="nil"/>
              <w:left w:val="single" w:color="1C456A" w:sz="4" w:space="0"/>
              <w:bottom w:val="nil"/>
            </w:tcBorders>
            <w:vAlign w:val="top"/>
          </w:tcPr>
          <w:p w14:paraId="2DD89A8F">
            <w:pPr>
              <w:rPr>
                <w:rFonts w:ascii="Arial"/>
                <w:sz w:val="21"/>
              </w:rPr>
            </w:pPr>
          </w:p>
        </w:tc>
        <w:tc>
          <w:tcPr>
            <w:tcW w:w="1697" w:type="dxa"/>
            <w:vMerge w:val="continue"/>
            <w:tcBorders>
              <w:top w:val="nil"/>
              <w:bottom w:val="nil"/>
            </w:tcBorders>
            <w:vAlign w:val="top"/>
          </w:tcPr>
          <w:p w14:paraId="146B33D2">
            <w:pPr>
              <w:rPr>
                <w:rFonts w:ascii="Arial"/>
                <w:sz w:val="21"/>
              </w:rPr>
            </w:pPr>
          </w:p>
        </w:tc>
        <w:tc>
          <w:tcPr>
            <w:tcW w:w="5443" w:type="dxa"/>
            <w:tcBorders>
              <w:right w:val="single" w:color="000000" w:sz="4" w:space="0"/>
            </w:tcBorders>
            <w:vAlign w:val="top"/>
          </w:tcPr>
          <w:p w14:paraId="578F3291">
            <w:pPr>
              <w:pStyle w:val="7"/>
              <w:spacing w:before="109" w:line="360" w:lineRule="auto"/>
              <w:ind w:left="66" w:firstLine="7"/>
            </w:pPr>
            <w:r>
              <w:rPr>
                <w:spacing w:val="-26"/>
              </w:rPr>
              <w:t>办公临时设施：主要有项目部及施工队管理人员办公室、建设（监理）单位办公室、会议室、试验室、标养室等。</w:t>
            </w:r>
          </w:p>
        </w:tc>
      </w:tr>
      <w:tr w14:paraId="2385E1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64" w:hRule="atLeast"/>
        </w:trPr>
        <w:tc>
          <w:tcPr>
            <w:tcW w:w="1409" w:type="dxa"/>
            <w:vMerge w:val="continue"/>
            <w:tcBorders>
              <w:top w:val="nil"/>
              <w:left w:val="single" w:color="1C456A" w:sz="4" w:space="0"/>
              <w:bottom w:val="single" w:color="1C456A" w:sz="4" w:space="0"/>
            </w:tcBorders>
            <w:vAlign w:val="top"/>
          </w:tcPr>
          <w:p w14:paraId="302AEC32">
            <w:pPr>
              <w:rPr>
                <w:rFonts w:ascii="Arial"/>
                <w:sz w:val="21"/>
              </w:rPr>
            </w:pPr>
          </w:p>
        </w:tc>
        <w:tc>
          <w:tcPr>
            <w:tcW w:w="1697" w:type="dxa"/>
            <w:vMerge w:val="continue"/>
            <w:tcBorders>
              <w:top w:val="nil"/>
              <w:bottom w:val="single" w:color="000000" w:sz="4" w:space="0"/>
            </w:tcBorders>
            <w:vAlign w:val="top"/>
          </w:tcPr>
          <w:p w14:paraId="6CF1099D">
            <w:pPr>
              <w:rPr>
                <w:rFonts w:ascii="Arial"/>
                <w:sz w:val="21"/>
              </w:rPr>
            </w:pPr>
          </w:p>
        </w:tc>
        <w:tc>
          <w:tcPr>
            <w:tcW w:w="5443" w:type="dxa"/>
            <w:tcBorders>
              <w:bottom w:val="single" w:color="20507B" w:sz="4" w:space="0"/>
              <w:right w:val="single" w:color="20507B" w:sz="4" w:space="0"/>
            </w:tcBorders>
            <w:vAlign w:val="top"/>
          </w:tcPr>
          <w:p w14:paraId="494E129B">
            <w:pPr>
              <w:pStyle w:val="7"/>
              <w:spacing w:before="107" w:line="216" w:lineRule="auto"/>
              <w:ind w:left="121"/>
            </w:pPr>
            <w:r>
              <w:rPr>
                <w:spacing w:val="-22"/>
              </w:rPr>
              <w:t>生产临时设施：主要有预制场、钢筋加工制作场（含堆</w:t>
            </w:r>
          </w:p>
          <w:p w14:paraId="4F4870A1">
            <w:pPr>
              <w:pStyle w:val="7"/>
              <w:spacing w:before="185" w:line="214" w:lineRule="auto"/>
              <w:ind w:left="107"/>
            </w:pPr>
            <w:r>
              <w:rPr>
                <w:spacing w:val="-22"/>
              </w:rPr>
              <w:t>场）、木工加工制作场（含堆场）、周转材料堆场、机</w:t>
            </w:r>
          </w:p>
          <w:p w14:paraId="51DEB27F">
            <w:pPr>
              <w:pStyle w:val="7"/>
              <w:spacing w:before="188" w:line="217" w:lineRule="auto"/>
              <w:ind w:left="982"/>
            </w:pPr>
            <w:r>
              <w:rPr>
                <w:spacing w:val="-21"/>
              </w:rPr>
              <w:t>械停放区、储水池、临时堆土场等。</w:t>
            </w:r>
          </w:p>
        </w:tc>
      </w:tr>
    </w:tbl>
    <w:p w14:paraId="7795F39E">
      <w:pPr>
        <w:pStyle w:val="2"/>
        <w:spacing w:before="115" w:line="216" w:lineRule="auto"/>
        <w:ind w:left="1888"/>
        <w:rPr>
          <w:sz w:val="24"/>
          <w:szCs w:val="24"/>
        </w:rPr>
      </w:pPr>
      <w:r>
        <w:rPr>
          <w:spacing w:val="-18"/>
          <w:sz w:val="24"/>
          <w:szCs w:val="24"/>
        </w:rPr>
        <w:t>2、临时设施布置方案</w:t>
      </w:r>
    </w:p>
    <w:p w14:paraId="657C3682">
      <w:pPr>
        <w:pStyle w:val="2"/>
        <w:spacing w:before="117" w:line="216" w:lineRule="auto"/>
        <w:ind w:left="1888"/>
        <w:rPr>
          <w:sz w:val="24"/>
          <w:szCs w:val="24"/>
        </w:rPr>
      </w:pPr>
      <w:r>
        <w:rPr>
          <w:spacing w:val="-18"/>
          <w:sz w:val="24"/>
          <w:szCs w:val="24"/>
        </w:rPr>
        <w:t>2.1项目部办公生活区布置</w:t>
      </w:r>
    </w:p>
    <w:p w14:paraId="0BA44265">
      <w:pPr>
        <w:pStyle w:val="2"/>
        <w:spacing w:before="120" w:line="216" w:lineRule="auto"/>
        <w:ind w:left="1893"/>
        <w:rPr>
          <w:sz w:val="24"/>
          <w:szCs w:val="24"/>
        </w:rPr>
      </w:pPr>
      <w:r>
        <w:rPr>
          <w:spacing w:val="-19"/>
          <w:sz w:val="24"/>
          <w:szCs w:val="24"/>
        </w:rPr>
        <w:t>（1）临时设施布置位置</w:t>
      </w:r>
    </w:p>
    <w:p w14:paraId="0C921B66">
      <w:pPr>
        <w:pStyle w:val="2"/>
        <w:spacing w:before="120" w:line="215" w:lineRule="auto"/>
        <w:ind w:left="1894"/>
        <w:rPr>
          <w:sz w:val="24"/>
          <w:szCs w:val="24"/>
        </w:rPr>
      </w:pPr>
      <w:r>
        <w:rPr>
          <w:spacing w:val="-21"/>
          <w:sz w:val="24"/>
          <w:szCs w:val="24"/>
        </w:rPr>
        <w:t>项目部经理部及办公区拟设在项目规划用地的东区域。</w:t>
      </w:r>
    </w:p>
    <w:p w14:paraId="40998999">
      <w:pPr>
        <w:pStyle w:val="2"/>
        <w:spacing w:before="119" w:line="216" w:lineRule="auto"/>
        <w:ind w:left="1893"/>
        <w:rPr>
          <w:sz w:val="24"/>
          <w:szCs w:val="24"/>
        </w:rPr>
      </w:pPr>
      <w:r>
        <w:rPr>
          <w:spacing w:val="-19"/>
          <w:sz w:val="24"/>
          <w:szCs w:val="24"/>
        </w:rPr>
        <w:t>（2）项目部场内布置内容</w:t>
      </w:r>
    </w:p>
    <w:p w14:paraId="752A7E06">
      <w:pPr>
        <w:pStyle w:val="2"/>
        <w:spacing w:before="118" w:line="308" w:lineRule="auto"/>
        <w:ind w:left="1456" w:right="1342" w:firstLine="437"/>
        <w:rPr>
          <w:sz w:val="24"/>
          <w:szCs w:val="24"/>
        </w:rPr>
      </w:pPr>
      <w:r>
        <w:rPr>
          <w:spacing w:val="-20"/>
          <w:sz w:val="24"/>
          <w:szCs w:val="24"/>
        </w:rPr>
        <w:t>项目部场主要包括：项目经理办公室、项目副经理办公室、项目总工办公室、技术质检部</w:t>
      </w:r>
      <w:r>
        <w:rPr>
          <w:spacing w:val="-23"/>
          <w:sz w:val="24"/>
          <w:szCs w:val="24"/>
        </w:rPr>
        <w:t>办公室、施工管理部办公室、计划财务部办公室、物资设备部办公室</w:t>
      </w:r>
      <w:r>
        <w:rPr>
          <w:spacing w:val="-24"/>
          <w:sz w:val="24"/>
          <w:szCs w:val="24"/>
        </w:rPr>
        <w:t>、安全文明管理部办公室、</w:t>
      </w:r>
      <w:r>
        <w:rPr>
          <w:spacing w:val="-20"/>
          <w:sz w:val="24"/>
          <w:szCs w:val="24"/>
        </w:rPr>
        <w:t>办公室、资料室、会议室、医疗室、试验室、标养室、卫生间、浴室、项目部管理人员餐厅及</w:t>
      </w:r>
      <w:r>
        <w:rPr>
          <w:spacing w:val="-21"/>
          <w:sz w:val="24"/>
          <w:szCs w:val="24"/>
        </w:rPr>
        <w:t>厨房、项目部管理人员宿舍等，业主、监理等办公用房也包括</w:t>
      </w:r>
      <w:r>
        <w:rPr>
          <w:spacing w:val="-22"/>
          <w:sz w:val="24"/>
          <w:szCs w:val="24"/>
        </w:rPr>
        <w:t>在内。</w:t>
      </w:r>
    </w:p>
    <w:p w14:paraId="70FE5FBA">
      <w:pPr>
        <w:spacing w:line="308" w:lineRule="auto"/>
        <w:rPr>
          <w:sz w:val="24"/>
          <w:szCs w:val="24"/>
        </w:rPr>
        <w:sectPr>
          <w:footerReference r:id="rId418" w:type="default"/>
          <w:pgSz w:w="11907" w:h="16839"/>
          <w:pgMar w:top="933" w:right="4" w:bottom="1038" w:left="0" w:header="478" w:footer="357" w:gutter="0"/>
          <w:pgBorders>
            <w:top w:val="none" w:sz="0" w:space="0"/>
            <w:left w:val="none" w:sz="0" w:space="0"/>
            <w:bottom w:val="none" w:sz="0" w:space="0"/>
            <w:right w:val="none" w:sz="0" w:space="0"/>
          </w:pgBorders>
          <w:cols w:space="720" w:num="1"/>
        </w:sectPr>
      </w:pPr>
    </w:p>
    <w:p w14:paraId="254872CF">
      <w:pPr>
        <w:spacing w:line="271" w:lineRule="auto"/>
        <w:rPr>
          <w:rFonts w:ascii="Arial"/>
          <w:sz w:val="21"/>
        </w:rPr>
      </w:pPr>
    </w:p>
    <w:p w14:paraId="6BBA574A">
      <w:pPr>
        <w:pStyle w:val="2"/>
        <w:spacing w:before="78" w:line="216" w:lineRule="auto"/>
        <w:ind w:left="1893"/>
        <w:rPr>
          <w:sz w:val="24"/>
          <w:szCs w:val="24"/>
        </w:rPr>
      </w:pPr>
      <w:r>
        <w:rPr>
          <w:spacing w:val="-19"/>
          <w:sz w:val="24"/>
          <w:szCs w:val="24"/>
        </w:rPr>
        <w:t>（3）职工区场内布置内容</w:t>
      </w:r>
    </w:p>
    <w:p w14:paraId="619F78BB">
      <w:pPr>
        <w:pStyle w:val="2"/>
        <w:spacing w:before="121" w:line="307" w:lineRule="auto"/>
        <w:ind w:left="1478" w:right="1410" w:firstLine="413"/>
        <w:rPr>
          <w:sz w:val="24"/>
          <w:szCs w:val="24"/>
        </w:rPr>
      </w:pPr>
      <w:r>
        <w:rPr>
          <w:spacing w:val="-20"/>
          <w:sz w:val="24"/>
          <w:szCs w:val="24"/>
        </w:rPr>
        <w:t>职工区场内主要包括：职工宿舍、职工食堂及厨房（职工食堂兼作职工学校）、职工卫生</w:t>
      </w:r>
      <w:r>
        <w:rPr>
          <w:spacing w:val="-23"/>
          <w:sz w:val="24"/>
          <w:szCs w:val="24"/>
        </w:rPr>
        <w:t>间、职工浴室、储藏间、盥洗区等。</w:t>
      </w:r>
    </w:p>
    <w:p w14:paraId="2680FAA3">
      <w:pPr>
        <w:pStyle w:val="2"/>
        <w:spacing w:line="219" w:lineRule="auto"/>
        <w:ind w:left="1888"/>
        <w:rPr>
          <w:sz w:val="24"/>
          <w:szCs w:val="24"/>
        </w:rPr>
      </w:pPr>
      <w:r>
        <w:rPr>
          <w:spacing w:val="-16"/>
          <w:sz w:val="24"/>
          <w:szCs w:val="24"/>
        </w:rPr>
        <w:t>2.2生产设施</w:t>
      </w:r>
    </w:p>
    <w:p w14:paraId="7AD22AC9">
      <w:pPr>
        <w:pStyle w:val="2"/>
        <w:spacing w:before="115" w:line="219" w:lineRule="auto"/>
        <w:ind w:left="1893"/>
        <w:rPr>
          <w:sz w:val="24"/>
          <w:szCs w:val="24"/>
        </w:rPr>
      </w:pPr>
      <w:r>
        <w:rPr>
          <w:spacing w:val="-14"/>
          <w:sz w:val="24"/>
          <w:szCs w:val="24"/>
        </w:rPr>
        <w:t>（1）管材</w:t>
      </w:r>
    </w:p>
    <w:p w14:paraId="259D02B3">
      <w:pPr>
        <w:pStyle w:val="2"/>
        <w:spacing w:before="113" w:line="308" w:lineRule="auto"/>
        <w:ind w:left="1458" w:right="1409" w:firstLine="435"/>
        <w:rPr>
          <w:sz w:val="24"/>
          <w:szCs w:val="24"/>
        </w:rPr>
      </w:pPr>
      <w:r>
        <w:rPr>
          <w:spacing w:val="-20"/>
          <w:sz w:val="24"/>
          <w:szCs w:val="24"/>
        </w:rPr>
        <w:t>本工程管材用量较大，且供应持续时间长，管材堆放场拟采取场内多点设置的方法，计划在项目场地围挡内设置一处材料堆放场，占地面积约根据实际需要确定。另根据各区段的施工进度，在其他主要施工区段附近的空地设置临时的钢筋加工场，以减少材料的二次搬运和提高</w:t>
      </w:r>
      <w:r>
        <w:rPr>
          <w:spacing w:val="-17"/>
          <w:sz w:val="24"/>
          <w:szCs w:val="24"/>
        </w:rPr>
        <w:t>工作效率。</w:t>
      </w:r>
    </w:p>
    <w:p w14:paraId="2C59E44E">
      <w:pPr>
        <w:pStyle w:val="2"/>
        <w:spacing w:line="216" w:lineRule="auto"/>
        <w:ind w:left="1893"/>
        <w:rPr>
          <w:sz w:val="24"/>
          <w:szCs w:val="24"/>
        </w:rPr>
      </w:pPr>
      <w:r>
        <w:rPr>
          <w:spacing w:val="-19"/>
          <w:sz w:val="24"/>
          <w:szCs w:val="24"/>
        </w:rPr>
        <w:t>（2）砂石料场及搅拌站</w:t>
      </w:r>
    </w:p>
    <w:p w14:paraId="2A8A2931">
      <w:pPr>
        <w:pStyle w:val="2"/>
        <w:spacing w:before="120" w:line="215" w:lineRule="auto"/>
        <w:ind w:left="1894"/>
        <w:rPr>
          <w:sz w:val="24"/>
          <w:szCs w:val="24"/>
        </w:rPr>
      </w:pPr>
      <w:r>
        <w:rPr>
          <w:spacing w:val="-17"/>
          <w:sz w:val="24"/>
          <w:szCs w:val="24"/>
        </w:rPr>
        <w:t>集中设置在钢筋加工场附近，设置砂石料场以及</w:t>
      </w:r>
      <w:r>
        <w:rPr>
          <w:spacing w:val="-18"/>
          <w:sz w:val="24"/>
          <w:szCs w:val="24"/>
        </w:rPr>
        <w:t>2台25m3/h搅拌机的搅拌站一座。</w:t>
      </w:r>
    </w:p>
    <w:p w14:paraId="0CDFF6B7">
      <w:pPr>
        <w:pStyle w:val="2"/>
        <w:spacing w:before="118" w:line="217" w:lineRule="auto"/>
        <w:ind w:left="1893"/>
        <w:rPr>
          <w:sz w:val="24"/>
          <w:szCs w:val="24"/>
        </w:rPr>
      </w:pPr>
      <w:r>
        <w:rPr>
          <w:spacing w:val="-18"/>
          <w:sz w:val="24"/>
          <w:szCs w:val="24"/>
        </w:rPr>
        <w:t>（3）半成品堆放区</w:t>
      </w:r>
    </w:p>
    <w:p w14:paraId="0292C1D9">
      <w:pPr>
        <w:pStyle w:val="2"/>
        <w:spacing w:before="121" w:line="307" w:lineRule="auto"/>
        <w:ind w:left="1478" w:right="1410" w:firstLine="413"/>
        <w:rPr>
          <w:sz w:val="24"/>
          <w:szCs w:val="24"/>
        </w:rPr>
      </w:pPr>
      <w:r>
        <w:rPr>
          <w:spacing w:val="-20"/>
          <w:sz w:val="24"/>
          <w:szCs w:val="24"/>
        </w:rPr>
        <w:t>钢管、支架、模板、木档等主要周转材料主要集中堆放于木工加工场附近的区域，周转时</w:t>
      </w:r>
      <w:r>
        <w:rPr>
          <w:spacing w:val="-22"/>
          <w:sz w:val="24"/>
          <w:szCs w:val="24"/>
        </w:rPr>
        <w:t>间较短的材料可临时堆放在构建物的施工区域附近（采用彩钢板临时围护封闭）。</w:t>
      </w:r>
    </w:p>
    <w:p w14:paraId="5E495970">
      <w:pPr>
        <w:pStyle w:val="2"/>
        <w:spacing w:before="2" w:line="307" w:lineRule="auto"/>
        <w:ind w:left="1457" w:right="1409" w:firstLine="446"/>
        <w:jc w:val="both"/>
        <w:rPr>
          <w:sz w:val="24"/>
          <w:szCs w:val="24"/>
        </w:rPr>
      </w:pPr>
      <w:r>
        <w:rPr>
          <w:spacing w:val="-20"/>
          <w:sz w:val="24"/>
          <w:szCs w:val="24"/>
        </w:rPr>
        <w:t>总之，对临设工程按场布统一布置，做到安全、经济、合理、整齐划一。并在临设工程中考虑设置一定的绿化、茶水亭、书报亭、宣传栏、黑板报，美化环境，为员工提供文明整齐的</w:t>
      </w:r>
      <w:r>
        <w:rPr>
          <w:spacing w:val="-19"/>
          <w:sz w:val="24"/>
          <w:szCs w:val="24"/>
        </w:rPr>
        <w:t>工作和生活环境。</w:t>
      </w:r>
    </w:p>
    <w:p w14:paraId="20297609">
      <w:pPr>
        <w:pStyle w:val="2"/>
        <w:spacing w:before="3" w:line="294" w:lineRule="auto"/>
        <w:ind w:left="1459" w:right="1409" w:firstLine="433"/>
        <w:rPr>
          <w:sz w:val="24"/>
          <w:szCs w:val="24"/>
        </w:rPr>
      </w:pPr>
      <w:r>
        <w:rPr>
          <w:spacing w:val="-21"/>
          <w:sz w:val="24"/>
          <w:szCs w:val="24"/>
        </w:rPr>
        <w:t>现场实行全封闭管理，设置材料、车辆及人员的主要进出口，保安人员24小时值班，现场安排巡视值班人员，对场容、场貌、场布进行严格管</w:t>
      </w:r>
      <w:r>
        <w:rPr>
          <w:spacing w:val="-22"/>
          <w:sz w:val="24"/>
          <w:szCs w:val="24"/>
        </w:rPr>
        <w:t>理。</w:t>
      </w:r>
    </w:p>
    <w:p w14:paraId="6C30C8C8">
      <w:pPr>
        <w:pStyle w:val="2"/>
        <w:spacing w:before="1" w:line="216" w:lineRule="auto"/>
        <w:ind w:left="1983"/>
        <w:outlineLvl w:val="2"/>
        <w:rPr>
          <w:sz w:val="28"/>
          <w:szCs w:val="28"/>
        </w:rPr>
      </w:pPr>
      <w:bookmarkStart w:id="298" w:name="bookmark284"/>
      <w:bookmarkEnd w:id="298"/>
      <w:r>
        <w:rPr>
          <w:b/>
          <w:bCs/>
          <w:spacing w:val="-22"/>
          <w:sz w:val="28"/>
          <w:szCs w:val="28"/>
        </w:rPr>
        <w:t>七、施工场地布置图</w:t>
      </w:r>
    </w:p>
    <w:p w14:paraId="319C6598">
      <w:pPr>
        <w:pStyle w:val="2"/>
        <w:spacing w:before="105" w:line="216" w:lineRule="auto"/>
        <w:ind w:left="1895"/>
        <w:rPr>
          <w:sz w:val="24"/>
          <w:szCs w:val="24"/>
        </w:rPr>
      </w:pPr>
      <w:r>
        <w:rPr>
          <w:spacing w:val="-21"/>
          <w:sz w:val="24"/>
          <w:szCs w:val="24"/>
        </w:rPr>
        <w:t>具体详见后附施工总平面布置图。</w:t>
      </w:r>
    </w:p>
    <w:p w14:paraId="546609BA">
      <w:pPr>
        <w:spacing w:line="216" w:lineRule="auto"/>
        <w:rPr>
          <w:sz w:val="24"/>
          <w:szCs w:val="24"/>
        </w:rPr>
        <w:sectPr>
          <w:footerReference r:id="rId419" w:type="default"/>
          <w:pgSz w:w="11907" w:h="16839"/>
          <w:pgMar w:top="933" w:right="4" w:bottom="1038" w:left="0" w:header="478" w:footer="357" w:gutter="0"/>
          <w:pgBorders>
            <w:top w:val="none" w:sz="0" w:space="0"/>
            <w:left w:val="none" w:sz="0" w:space="0"/>
            <w:bottom w:val="none" w:sz="0" w:space="0"/>
            <w:right w:val="none" w:sz="0" w:space="0"/>
          </w:pgBorders>
          <w:cols w:space="720" w:num="1"/>
        </w:sectPr>
      </w:pPr>
    </w:p>
    <w:p w14:paraId="7FDF7106">
      <w:pPr>
        <w:spacing w:before="78" w:line="455" w:lineRule="exact"/>
      </w:pPr>
      <w:r>
        <w:drawing>
          <wp:anchor distT="0" distB="0" distL="0" distR="0" simplePos="0" relativeHeight="252407808" behindDoc="0" locked="0" layoutInCell="0" allowOverlap="1">
            <wp:simplePos x="0" y="0"/>
            <wp:positionH relativeFrom="page">
              <wp:posOffset>-3175</wp:posOffset>
            </wp:positionH>
            <wp:positionV relativeFrom="page">
              <wp:posOffset>-3175</wp:posOffset>
            </wp:positionV>
            <wp:extent cx="6350" cy="6350"/>
            <wp:effectExtent l="0" t="0" r="0" b="0"/>
            <wp:wrapNone/>
            <wp:docPr id="1740" name="IM 1740"/>
            <wp:cNvGraphicFramePr/>
            <a:graphic xmlns:a="http://schemas.openxmlformats.org/drawingml/2006/main">
              <a:graphicData uri="http://schemas.openxmlformats.org/drawingml/2006/picture">
                <pic:pic xmlns:pic="http://schemas.openxmlformats.org/drawingml/2006/picture">
                  <pic:nvPicPr>
                    <pic:cNvPr id="1740" name="IM 1740"/>
                    <pic:cNvPicPr/>
                  </pic:nvPicPr>
                  <pic:blipFill>
                    <a:blip r:embed="rId744"/>
                    <a:stretch>
                      <a:fillRect/>
                    </a:stretch>
                  </pic:blipFill>
                  <pic:spPr>
                    <a:xfrm>
                      <a:off x="0" y="0"/>
                      <a:ext cx="6350" cy="6350"/>
                    </a:xfrm>
                    <a:prstGeom prst="rect">
                      <a:avLst/>
                    </a:prstGeom>
                  </pic:spPr>
                </pic:pic>
              </a:graphicData>
            </a:graphic>
          </wp:anchor>
        </w:drawing>
      </w:r>
    </w:p>
    <w:p w14:paraId="24A883DF">
      <w:pPr>
        <w:pStyle w:val="2"/>
        <w:spacing w:before="282" w:line="224" w:lineRule="auto"/>
        <w:ind w:left="4043"/>
        <w:outlineLvl w:val="0"/>
        <w:rPr>
          <w:sz w:val="31"/>
          <w:szCs w:val="31"/>
        </w:rPr>
      </w:pPr>
      <w:bookmarkStart w:id="299" w:name="bookmark286"/>
      <w:bookmarkEnd w:id="299"/>
      <w:bookmarkStart w:id="300" w:name="bookmark285"/>
      <w:bookmarkEnd w:id="300"/>
      <w:r>
        <w:rPr>
          <w:b/>
          <w:bCs/>
          <w:color w:val="7030A0"/>
          <w:spacing w:val="-15"/>
          <w:sz w:val="31"/>
          <w:szCs w:val="31"/>
        </w:rPr>
        <w:t>第十二章、</w:t>
      </w:r>
      <w:r>
        <w:rPr>
          <w:b/>
          <w:bCs/>
          <w:spacing w:val="-15"/>
          <w:sz w:val="31"/>
          <w:szCs w:val="31"/>
        </w:rPr>
        <w:t>危大工程安全管理</w:t>
      </w:r>
    </w:p>
    <w:p w14:paraId="10424C01">
      <w:pPr>
        <w:pStyle w:val="2"/>
        <w:spacing w:before="42" w:line="207" w:lineRule="auto"/>
        <w:ind w:left="4452"/>
        <w:outlineLvl w:val="1"/>
        <w:rPr>
          <w:sz w:val="30"/>
          <w:szCs w:val="30"/>
        </w:rPr>
      </w:pPr>
      <w:bookmarkStart w:id="301" w:name="bookmark316"/>
      <w:bookmarkEnd w:id="301"/>
      <w:r>
        <w:rPr>
          <w:b/>
          <w:bCs/>
          <w:color w:val="0070C0"/>
          <w:spacing w:val="-24"/>
          <w:sz w:val="30"/>
          <w:szCs w:val="30"/>
        </w:rPr>
        <w:t>第一节、危大危险源清单</w:t>
      </w:r>
    </w:p>
    <w:tbl>
      <w:tblPr>
        <w:tblStyle w:val="6"/>
        <w:tblW w:w="9385" w:type="dxa"/>
        <w:tblInd w:w="126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58"/>
        <w:gridCol w:w="1520"/>
        <w:gridCol w:w="7107"/>
      </w:tblGrid>
      <w:tr w14:paraId="3F4244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7" w:hRule="atLeast"/>
        </w:trPr>
        <w:tc>
          <w:tcPr>
            <w:tcW w:w="758" w:type="dxa"/>
            <w:tcBorders>
              <w:top w:val="single" w:color="5B9BD5" w:sz="4" w:space="0"/>
              <w:left w:val="single" w:color="5B9BD5" w:sz="4" w:space="0"/>
            </w:tcBorders>
            <w:shd w:val="clear" w:color="auto" w:fill="DEEAF6"/>
            <w:vAlign w:val="top"/>
          </w:tcPr>
          <w:p w14:paraId="61D6FB80">
            <w:pPr>
              <w:pStyle w:val="7"/>
              <w:spacing w:before="237" w:line="218" w:lineRule="auto"/>
              <w:ind w:left="176"/>
            </w:pPr>
            <w:r>
              <w:rPr>
                <w:b/>
                <w:bCs/>
                <w:spacing w:val="-11"/>
              </w:rPr>
              <w:t>序号</w:t>
            </w:r>
          </w:p>
        </w:tc>
        <w:tc>
          <w:tcPr>
            <w:tcW w:w="1520" w:type="dxa"/>
            <w:tcBorders>
              <w:top w:val="single" w:color="000000" w:sz="4" w:space="0"/>
            </w:tcBorders>
            <w:shd w:val="clear" w:color="auto" w:fill="DEEAF6"/>
            <w:vAlign w:val="top"/>
          </w:tcPr>
          <w:p w14:paraId="78931FAE">
            <w:pPr>
              <w:pStyle w:val="7"/>
              <w:spacing w:before="237" w:line="219" w:lineRule="auto"/>
              <w:ind w:left="552"/>
            </w:pPr>
            <w:r>
              <w:rPr>
                <w:b/>
                <w:bCs/>
                <w:spacing w:val="-13"/>
              </w:rPr>
              <w:t>类别</w:t>
            </w:r>
          </w:p>
        </w:tc>
        <w:tc>
          <w:tcPr>
            <w:tcW w:w="7107" w:type="dxa"/>
            <w:tcBorders>
              <w:top w:val="single" w:color="5B9BD5" w:sz="4" w:space="0"/>
              <w:right w:val="single" w:color="5B9BD5" w:sz="4" w:space="0"/>
            </w:tcBorders>
            <w:shd w:val="clear" w:color="auto" w:fill="DEEAF6"/>
            <w:vAlign w:val="top"/>
          </w:tcPr>
          <w:p w14:paraId="4A652555">
            <w:pPr>
              <w:pStyle w:val="7"/>
              <w:spacing w:before="237" w:line="216" w:lineRule="auto"/>
              <w:ind w:left="2028"/>
            </w:pPr>
            <w:r>
              <w:rPr>
                <w:b/>
                <w:bCs/>
                <w:spacing w:val="-23"/>
              </w:rPr>
              <w:t>危险性较大的分部分项工程范围</w:t>
            </w:r>
          </w:p>
        </w:tc>
      </w:tr>
      <w:tr w14:paraId="62FCD5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758" w:type="dxa"/>
            <w:vMerge w:val="restart"/>
            <w:tcBorders>
              <w:left w:val="single" w:color="000000" w:sz="4" w:space="0"/>
              <w:bottom w:val="nil"/>
            </w:tcBorders>
            <w:vAlign w:val="top"/>
          </w:tcPr>
          <w:p w14:paraId="29B4AB33">
            <w:pPr>
              <w:spacing w:line="244" w:lineRule="auto"/>
              <w:rPr>
                <w:rFonts w:ascii="Arial"/>
                <w:sz w:val="21"/>
              </w:rPr>
            </w:pPr>
          </w:p>
          <w:p w14:paraId="11EBBC16">
            <w:pPr>
              <w:spacing w:line="244" w:lineRule="auto"/>
              <w:rPr>
                <w:rFonts w:ascii="Arial"/>
                <w:sz w:val="21"/>
              </w:rPr>
            </w:pPr>
          </w:p>
          <w:p w14:paraId="7BAA5731">
            <w:pPr>
              <w:spacing w:line="244" w:lineRule="auto"/>
              <w:rPr>
                <w:rFonts w:ascii="Arial"/>
                <w:sz w:val="21"/>
              </w:rPr>
            </w:pPr>
          </w:p>
          <w:p w14:paraId="3571712F">
            <w:pPr>
              <w:spacing w:line="244" w:lineRule="auto"/>
              <w:rPr>
                <w:rFonts w:ascii="Arial"/>
                <w:sz w:val="21"/>
              </w:rPr>
            </w:pPr>
          </w:p>
          <w:p w14:paraId="12B1D836">
            <w:pPr>
              <w:spacing w:line="245" w:lineRule="auto"/>
              <w:rPr>
                <w:rFonts w:ascii="Arial"/>
                <w:sz w:val="21"/>
              </w:rPr>
            </w:pPr>
          </w:p>
          <w:p w14:paraId="148F57A4">
            <w:pPr>
              <w:pStyle w:val="7"/>
              <w:spacing w:before="78" w:line="238" w:lineRule="auto"/>
              <w:ind w:left="350"/>
            </w:pPr>
            <w:r>
              <w:t>1</w:t>
            </w:r>
          </w:p>
        </w:tc>
        <w:tc>
          <w:tcPr>
            <w:tcW w:w="1520" w:type="dxa"/>
            <w:vMerge w:val="restart"/>
            <w:tcBorders>
              <w:bottom w:val="nil"/>
            </w:tcBorders>
            <w:vAlign w:val="top"/>
          </w:tcPr>
          <w:p w14:paraId="4E5C25CD">
            <w:pPr>
              <w:spacing w:line="244" w:lineRule="auto"/>
              <w:rPr>
                <w:rFonts w:ascii="Arial"/>
                <w:sz w:val="21"/>
              </w:rPr>
            </w:pPr>
          </w:p>
          <w:p w14:paraId="26A58719">
            <w:pPr>
              <w:spacing w:line="244" w:lineRule="auto"/>
              <w:rPr>
                <w:rFonts w:ascii="Arial"/>
                <w:sz w:val="21"/>
              </w:rPr>
            </w:pPr>
          </w:p>
          <w:p w14:paraId="3E79E5A9">
            <w:pPr>
              <w:spacing w:line="244" w:lineRule="auto"/>
              <w:rPr>
                <w:rFonts w:ascii="Arial"/>
                <w:sz w:val="21"/>
              </w:rPr>
            </w:pPr>
          </w:p>
          <w:p w14:paraId="725713E0">
            <w:pPr>
              <w:spacing w:line="244" w:lineRule="auto"/>
              <w:rPr>
                <w:rFonts w:ascii="Arial"/>
                <w:sz w:val="21"/>
              </w:rPr>
            </w:pPr>
          </w:p>
          <w:p w14:paraId="36FD2C8C">
            <w:pPr>
              <w:spacing w:line="245" w:lineRule="auto"/>
              <w:rPr>
                <w:rFonts w:ascii="Arial"/>
                <w:sz w:val="21"/>
              </w:rPr>
            </w:pPr>
          </w:p>
          <w:p w14:paraId="78C237CB">
            <w:pPr>
              <w:pStyle w:val="7"/>
              <w:spacing w:before="78" w:line="219" w:lineRule="auto"/>
              <w:ind w:left="333"/>
            </w:pPr>
            <w:r>
              <w:rPr>
                <w:spacing w:val="-16"/>
              </w:rPr>
              <w:t>基坑工程</w:t>
            </w:r>
          </w:p>
        </w:tc>
        <w:tc>
          <w:tcPr>
            <w:tcW w:w="7107" w:type="dxa"/>
            <w:tcBorders>
              <w:right w:val="single" w:color="000000" w:sz="4" w:space="0"/>
            </w:tcBorders>
            <w:vAlign w:val="top"/>
          </w:tcPr>
          <w:p w14:paraId="3AAEE797">
            <w:pPr>
              <w:pStyle w:val="7"/>
              <w:spacing w:before="212" w:line="218" w:lineRule="auto"/>
              <w:ind w:left="340"/>
            </w:pPr>
            <w:r>
              <w:rPr>
                <w:spacing w:val="-18"/>
              </w:rPr>
              <w:t>开挖深度超过3m（含3m）的基坑（槽）支护、降水工程、沉井</w:t>
            </w:r>
            <w:r>
              <w:rPr>
                <w:spacing w:val="-19"/>
              </w:rPr>
              <w:t>工程</w:t>
            </w:r>
          </w:p>
        </w:tc>
      </w:tr>
      <w:tr w14:paraId="0C40F2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55" w:hRule="atLeast"/>
        </w:trPr>
        <w:tc>
          <w:tcPr>
            <w:tcW w:w="758" w:type="dxa"/>
            <w:vMerge w:val="continue"/>
            <w:tcBorders>
              <w:top w:val="nil"/>
              <w:left w:val="single" w:color="000000" w:sz="4" w:space="0"/>
              <w:bottom w:val="nil"/>
            </w:tcBorders>
            <w:vAlign w:val="top"/>
          </w:tcPr>
          <w:p w14:paraId="7FD28907">
            <w:pPr>
              <w:rPr>
                <w:rFonts w:ascii="Arial"/>
                <w:sz w:val="21"/>
              </w:rPr>
            </w:pPr>
          </w:p>
        </w:tc>
        <w:tc>
          <w:tcPr>
            <w:tcW w:w="1520" w:type="dxa"/>
            <w:vMerge w:val="continue"/>
            <w:tcBorders>
              <w:top w:val="nil"/>
              <w:bottom w:val="nil"/>
            </w:tcBorders>
            <w:vAlign w:val="top"/>
          </w:tcPr>
          <w:p w14:paraId="282343BB">
            <w:pPr>
              <w:rPr>
                <w:rFonts w:ascii="Arial"/>
                <w:sz w:val="21"/>
              </w:rPr>
            </w:pPr>
          </w:p>
        </w:tc>
        <w:tc>
          <w:tcPr>
            <w:tcW w:w="7107" w:type="dxa"/>
            <w:tcBorders>
              <w:right w:val="single" w:color="000000" w:sz="4" w:space="0"/>
            </w:tcBorders>
            <w:vAlign w:val="top"/>
          </w:tcPr>
          <w:p w14:paraId="48F0EB49">
            <w:pPr>
              <w:pStyle w:val="7"/>
              <w:spacing w:before="124" w:line="217" w:lineRule="auto"/>
              <w:ind w:left="65"/>
            </w:pPr>
            <w:r>
              <w:rPr>
                <w:spacing w:val="-22"/>
              </w:rPr>
              <w:t>开挖深度虽未超过3m但地质条件和周边环境复杂的基坑（</w:t>
            </w:r>
            <w:r>
              <w:rPr>
                <w:spacing w:val="-23"/>
              </w:rPr>
              <w:t>槽）支护、降水</w:t>
            </w:r>
          </w:p>
          <w:p w14:paraId="3BB1CA8C">
            <w:pPr>
              <w:pStyle w:val="7"/>
              <w:spacing w:before="182" w:line="219" w:lineRule="auto"/>
              <w:ind w:left="3343"/>
            </w:pPr>
            <w:r>
              <w:rPr>
                <w:spacing w:val="-11"/>
              </w:rPr>
              <w:t>工程</w:t>
            </w:r>
          </w:p>
        </w:tc>
      </w:tr>
      <w:tr w14:paraId="44AB46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30" w:hRule="atLeast"/>
        </w:trPr>
        <w:tc>
          <w:tcPr>
            <w:tcW w:w="758" w:type="dxa"/>
            <w:vMerge w:val="continue"/>
            <w:tcBorders>
              <w:top w:val="nil"/>
              <w:left w:val="single" w:color="000000" w:sz="4" w:space="0"/>
            </w:tcBorders>
            <w:vAlign w:val="top"/>
          </w:tcPr>
          <w:p w14:paraId="48C69905">
            <w:pPr>
              <w:rPr>
                <w:rFonts w:ascii="Arial"/>
                <w:sz w:val="21"/>
              </w:rPr>
            </w:pPr>
          </w:p>
        </w:tc>
        <w:tc>
          <w:tcPr>
            <w:tcW w:w="1520" w:type="dxa"/>
            <w:vMerge w:val="continue"/>
            <w:tcBorders>
              <w:top w:val="nil"/>
            </w:tcBorders>
            <w:vAlign w:val="top"/>
          </w:tcPr>
          <w:p w14:paraId="7A1AFE1F">
            <w:pPr>
              <w:rPr>
                <w:rFonts w:ascii="Arial"/>
                <w:sz w:val="21"/>
              </w:rPr>
            </w:pPr>
          </w:p>
        </w:tc>
        <w:tc>
          <w:tcPr>
            <w:tcW w:w="7107" w:type="dxa"/>
            <w:tcBorders>
              <w:right w:val="single" w:color="000000" w:sz="4" w:space="0"/>
            </w:tcBorders>
            <w:vAlign w:val="top"/>
          </w:tcPr>
          <w:p w14:paraId="78E4BF89">
            <w:pPr>
              <w:spacing w:line="314" w:lineRule="auto"/>
              <w:rPr>
                <w:rFonts w:ascii="Arial"/>
                <w:sz w:val="21"/>
              </w:rPr>
            </w:pPr>
          </w:p>
          <w:p w14:paraId="70C2FA9F">
            <w:pPr>
              <w:pStyle w:val="7"/>
              <w:spacing w:before="78" w:line="218" w:lineRule="auto"/>
              <w:ind w:left="884"/>
            </w:pPr>
            <w:r>
              <w:rPr>
                <w:spacing w:val="-18"/>
              </w:rPr>
              <w:t>开挖深度超过3m（含3m）的基坑（槽）的土方开挖工程</w:t>
            </w:r>
          </w:p>
        </w:tc>
      </w:tr>
      <w:tr w14:paraId="5795CE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55" w:hRule="atLeast"/>
        </w:trPr>
        <w:tc>
          <w:tcPr>
            <w:tcW w:w="758" w:type="dxa"/>
            <w:tcBorders>
              <w:left w:val="single" w:color="000000" w:sz="4" w:space="0"/>
            </w:tcBorders>
            <w:vAlign w:val="top"/>
          </w:tcPr>
          <w:p w14:paraId="57C84FF7">
            <w:pPr>
              <w:spacing w:line="274" w:lineRule="auto"/>
              <w:rPr>
                <w:rFonts w:ascii="Arial"/>
                <w:sz w:val="21"/>
              </w:rPr>
            </w:pPr>
          </w:p>
          <w:p w14:paraId="29955E42">
            <w:pPr>
              <w:pStyle w:val="7"/>
              <w:spacing w:before="78" w:line="238" w:lineRule="auto"/>
              <w:ind w:left="335"/>
            </w:pPr>
            <w:r>
              <w:t>2</w:t>
            </w:r>
          </w:p>
        </w:tc>
        <w:tc>
          <w:tcPr>
            <w:tcW w:w="1520" w:type="dxa"/>
            <w:vAlign w:val="top"/>
          </w:tcPr>
          <w:p w14:paraId="4F653528">
            <w:pPr>
              <w:spacing w:line="274" w:lineRule="auto"/>
              <w:rPr>
                <w:rFonts w:ascii="Arial"/>
                <w:sz w:val="21"/>
              </w:rPr>
            </w:pPr>
          </w:p>
          <w:p w14:paraId="5CCD9D23">
            <w:pPr>
              <w:pStyle w:val="7"/>
              <w:spacing w:before="78" w:line="218" w:lineRule="auto"/>
              <w:ind w:left="332"/>
            </w:pPr>
            <w:r>
              <w:rPr>
                <w:spacing w:val="-15"/>
              </w:rPr>
              <w:t>模板工程</w:t>
            </w:r>
          </w:p>
        </w:tc>
        <w:tc>
          <w:tcPr>
            <w:tcW w:w="7107" w:type="dxa"/>
            <w:tcBorders>
              <w:right w:val="single" w:color="000000" w:sz="4" w:space="0"/>
            </w:tcBorders>
            <w:vAlign w:val="top"/>
          </w:tcPr>
          <w:p w14:paraId="14A41272">
            <w:pPr>
              <w:pStyle w:val="7"/>
              <w:spacing w:before="121" w:line="218" w:lineRule="auto"/>
              <w:ind w:left="72"/>
            </w:pPr>
            <w:r>
              <w:rPr>
                <w:spacing w:val="-21"/>
              </w:rPr>
              <w:t>混凝土模板支撑工程：各类工具式模板工程：包括大模</w:t>
            </w:r>
            <w:r>
              <w:rPr>
                <w:spacing w:val="-22"/>
              </w:rPr>
              <w:t>板、滑模、爬模、</w:t>
            </w:r>
          </w:p>
          <w:p w14:paraId="707A18C3">
            <w:pPr>
              <w:pStyle w:val="7"/>
              <w:spacing w:before="184" w:line="219" w:lineRule="auto"/>
              <w:ind w:left="3018"/>
            </w:pPr>
            <w:r>
              <w:rPr>
                <w:spacing w:val="-18"/>
              </w:rPr>
              <w:t>飞模等工程</w:t>
            </w:r>
          </w:p>
        </w:tc>
      </w:tr>
      <w:tr w14:paraId="23E551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55" w:hRule="atLeast"/>
        </w:trPr>
        <w:tc>
          <w:tcPr>
            <w:tcW w:w="758" w:type="dxa"/>
            <w:tcBorders>
              <w:left w:val="single" w:color="000000" w:sz="4" w:space="0"/>
            </w:tcBorders>
            <w:vAlign w:val="top"/>
          </w:tcPr>
          <w:p w14:paraId="00354942">
            <w:pPr>
              <w:spacing w:line="272" w:lineRule="auto"/>
              <w:rPr>
                <w:rFonts w:ascii="Arial"/>
                <w:sz w:val="21"/>
              </w:rPr>
            </w:pPr>
          </w:p>
          <w:p w14:paraId="5081D86F">
            <w:pPr>
              <w:pStyle w:val="7"/>
              <w:spacing w:before="78" w:line="237" w:lineRule="auto"/>
              <w:ind w:left="337"/>
            </w:pPr>
            <w:r>
              <w:t>3</w:t>
            </w:r>
          </w:p>
        </w:tc>
        <w:tc>
          <w:tcPr>
            <w:tcW w:w="1520" w:type="dxa"/>
            <w:vAlign w:val="top"/>
          </w:tcPr>
          <w:p w14:paraId="2F799CEF">
            <w:pPr>
              <w:spacing w:line="272" w:lineRule="auto"/>
              <w:rPr>
                <w:rFonts w:ascii="Arial"/>
                <w:sz w:val="21"/>
              </w:rPr>
            </w:pPr>
          </w:p>
          <w:p w14:paraId="7995C2E5">
            <w:pPr>
              <w:pStyle w:val="7"/>
              <w:spacing w:before="78" w:line="218" w:lineRule="auto"/>
              <w:ind w:left="333"/>
            </w:pPr>
            <w:r>
              <w:rPr>
                <w:spacing w:val="-15"/>
              </w:rPr>
              <w:t>支撑体系</w:t>
            </w:r>
          </w:p>
        </w:tc>
        <w:tc>
          <w:tcPr>
            <w:tcW w:w="7107" w:type="dxa"/>
            <w:tcBorders>
              <w:right w:val="single" w:color="000000" w:sz="4" w:space="0"/>
            </w:tcBorders>
            <w:vAlign w:val="top"/>
          </w:tcPr>
          <w:p w14:paraId="3647C9D9">
            <w:pPr>
              <w:pStyle w:val="7"/>
              <w:spacing w:before="119" w:line="216" w:lineRule="auto"/>
              <w:ind w:left="69"/>
            </w:pPr>
            <w:r>
              <w:rPr>
                <w:spacing w:val="-21"/>
              </w:rPr>
              <w:t>各类模板支撑体系：脚手架、桁架、承重支撑体系：用于钢结</w:t>
            </w:r>
            <w:r>
              <w:rPr>
                <w:spacing w:val="-22"/>
              </w:rPr>
              <w:t>构安装等满</w:t>
            </w:r>
          </w:p>
          <w:p w14:paraId="6FEFC960">
            <w:pPr>
              <w:pStyle w:val="7"/>
              <w:spacing w:before="185" w:line="218" w:lineRule="auto"/>
              <w:ind w:left="2914"/>
            </w:pPr>
            <w:r>
              <w:rPr>
                <w:spacing w:val="-20"/>
              </w:rPr>
              <w:t>堂支撑体系等</w:t>
            </w:r>
          </w:p>
        </w:tc>
      </w:tr>
      <w:tr w14:paraId="09E818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22" w:hRule="atLeast"/>
        </w:trPr>
        <w:tc>
          <w:tcPr>
            <w:tcW w:w="758" w:type="dxa"/>
            <w:tcBorders>
              <w:left w:val="single" w:color="000000" w:sz="4" w:space="0"/>
            </w:tcBorders>
            <w:vAlign w:val="top"/>
          </w:tcPr>
          <w:p w14:paraId="436F7CB4">
            <w:pPr>
              <w:spacing w:line="251" w:lineRule="auto"/>
              <w:rPr>
                <w:rFonts w:ascii="Arial"/>
                <w:sz w:val="21"/>
              </w:rPr>
            </w:pPr>
          </w:p>
          <w:p w14:paraId="388E5618">
            <w:pPr>
              <w:spacing w:line="251" w:lineRule="auto"/>
              <w:rPr>
                <w:rFonts w:ascii="Arial"/>
                <w:sz w:val="21"/>
              </w:rPr>
            </w:pPr>
          </w:p>
          <w:p w14:paraId="3A5AFDD1">
            <w:pPr>
              <w:pStyle w:val="7"/>
              <w:spacing w:before="78" w:line="238" w:lineRule="auto"/>
              <w:ind w:left="331"/>
            </w:pPr>
            <w:r>
              <w:t>4</w:t>
            </w:r>
          </w:p>
        </w:tc>
        <w:tc>
          <w:tcPr>
            <w:tcW w:w="1520" w:type="dxa"/>
            <w:vAlign w:val="top"/>
          </w:tcPr>
          <w:p w14:paraId="0160A6FD">
            <w:pPr>
              <w:pStyle w:val="7"/>
              <w:spacing w:before="118" w:line="218" w:lineRule="auto"/>
              <w:ind w:left="115"/>
            </w:pPr>
            <w:r>
              <w:rPr>
                <w:spacing w:val="-18"/>
              </w:rPr>
              <w:t>起重吊装及起</w:t>
            </w:r>
          </w:p>
          <w:p w14:paraId="09E0438D">
            <w:pPr>
              <w:pStyle w:val="7"/>
              <w:spacing w:before="181" w:line="217" w:lineRule="auto"/>
              <w:ind w:left="122"/>
            </w:pPr>
            <w:r>
              <w:rPr>
                <w:spacing w:val="-19"/>
              </w:rPr>
              <w:t>重机械安装拆</w:t>
            </w:r>
          </w:p>
          <w:p w14:paraId="5A2E81E0">
            <w:pPr>
              <w:pStyle w:val="7"/>
              <w:spacing w:before="186" w:line="219" w:lineRule="auto"/>
              <w:ind w:left="452"/>
            </w:pPr>
            <w:r>
              <w:rPr>
                <w:spacing w:val="-17"/>
              </w:rPr>
              <w:t>除工程</w:t>
            </w:r>
          </w:p>
        </w:tc>
        <w:tc>
          <w:tcPr>
            <w:tcW w:w="7107" w:type="dxa"/>
            <w:tcBorders>
              <w:right w:val="single" w:color="000000" w:sz="4" w:space="0"/>
            </w:tcBorders>
            <w:vAlign w:val="top"/>
          </w:tcPr>
          <w:p w14:paraId="4F46DDFD">
            <w:pPr>
              <w:pStyle w:val="7"/>
              <w:spacing w:before="118" w:line="215" w:lineRule="auto"/>
              <w:ind w:left="67"/>
            </w:pPr>
            <w:r>
              <w:rPr>
                <w:spacing w:val="-24"/>
              </w:rPr>
              <w:t>采用非常规起重设备、方法，且单件起吊重量在10KN及以上的起重吊装工</w:t>
            </w:r>
          </w:p>
          <w:p w14:paraId="37D52F70">
            <w:pPr>
              <w:pStyle w:val="7"/>
              <w:spacing w:before="185" w:line="219" w:lineRule="auto"/>
              <w:ind w:left="3448"/>
            </w:pPr>
            <w:r>
              <w:t>程</w:t>
            </w:r>
          </w:p>
          <w:p w14:paraId="314D5C58">
            <w:pPr>
              <w:pStyle w:val="7"/>
              <w:spacing w:before="183" w:line="217" w:lineRule="auto"/>
              <w:ind w:left="2139"/>
            </w:pPr>
            <w:r>
              <w:rPr>
                <w:spacing w:val="-21"/>
              </w:rPr>
              <w:t>采用起重机械进行安装的工程</w:t>
            </w:r>
          </w:p>
        </w:tc>
      </w:tr>
      <w:tr w14:paraId="23AC98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93" w:hRule="atLeast"/>
        </w:trPr>
        <w:tc>
          <w:tcPr>
            <w:tcW w:w="758" w:type="dxa"/>
            <w:tcBorders>
              <w:left w:val="single" w:color="000000" w:sz="4" w:space="0"/>
            </w:tcBorders>
            <w:vAlign w:val="top"/>
          </w:tcPr>
          <w:p w14:paraId="011977E4">
            <w:pPr>
              <w:spacing w:line="285" w:lineRule="auto"/>
              <w:rPr>
                <w:rFonts w:ascii="Arial"/>
                <w:sz w:val="21"/>
              </w:rPr>
            </w:pPr>
          </w:p>
          <w:p w14:paraId="02E87052">
            <w:pPr>
              <w:spacing w:line="285" w:lineRule="auto"/>
              <w:rPr>
                <w:rFonts w:ascii="Arial"/>
                <w:sz w:val="21"/>
              </w:rPr>
            </w:pPr>
          </w:p>
          <w:p w14:paraId="1B9EAEE6">
            <w:pPr>
              <w:spacing w:line="285" w:lineRule="auto"/>
              <w:rPr>
                <w:rFonts w:ascii="Arial"/>
                <w:sz w:val="21"/>
              </w:rPr>
            </w:pPr>
          </w:p>
          <w:p w14:paraId="186415F6">
            <w:pPr>
              <w:spacing w:line="286" w:lineRule="auto"/>
              <w:rPr>
                <w:rFonts w:ascii="Arial"/>
                <w:sz w:val="21"/>
              </w:rPr>
            </w:pPr>
          </w:p>
          <w:p w14:paraId="450B3C76">
            <w:pPr>
              <w:spacing w:line="286" w:lineRule="auto"/>
              <w:rPr>
                <w:rFonts w:ascii="Arial"/>
                <w:sz w:val="21"/>
              </w:rPr>
            </w:pPr>
          </w:p>
          <w:p w14:paraId="5D2DE763">
            <w:pPr>
              <w:pStyle w:val="7"/>
              <w:spacing w:before="78" w:line="237" w:lineRule="auto"/>
              <w:ind w:left="337"/>
            </w:pPr>
            <w:r>
              <w:t>5</w:t>
            </w:r>
          </w:p>
        </w:tc>
        <w:tc>
          <w:tcPr>
            <w:tcW w:w="1520" w:type="dxa"/>
            <w:vAlign w:val="top"/>
          </w:tcPr>
          <w:p w14:paraId="70C066AC">
            <w:pPr>
              <w:spacing w:line="285" w:lineRule="auto"/>
              <w:rPr>
                <w:rFonts w:ascii="Arial"/>
                <w:sz w:val="21"/>
              </w:rPr>
            </w:pPr>
          </w:p>
          <w:p w14:paraId="11197CBB">
            <w:pPr>
              <w:spacing w:line="285" w:lineRule="auto"/>
              <w:rPr>
                <w:rFonts w:ascii="Arial"/>
                <w:sz w:val="21"/>
              </w:rPr>
            </w:pPr>
          </w:p>
          <w:p w14:paraId="5CB3037C">
            <w:pPr>
              <w:spacing w:line="285" w:lineRule="auto"/>
              <w:rPr>
                <w:rFonts w:ascii="Arial"/>
                <w:sz w:val="21"/>
              </w:rPr>
            </w:pPr>
          </w:p>
          <w:p w14:paraId="3BD0B1F0">
            <w:pPr>
              <w:spacing w:line="286" w:lineRule="auto"/>
              <w:rPr>
                <w:rFonts w:ascii="Arial"/>
                <w:sz w:val="21"/>
              </w:rPr>
            </w:pPr>
          </w:p>
          <w:p w14:paraId="35880CAE">
            <w:pPr>
              <w:spacing w:line="286" w:lineRule="auto"/>
              <w:rPr>
                <w:rFonts w:ascii="Arial"/>
                <w:sz w:val="21"/>
              </w:rPr>
            </w:pPr>
          </w:p>
          <w:p w14:paraId="294BDC1E">
            <w:pPr>
              <w:pStyle w:val="7"/>
              <w:spacing w:before="78" w:line="216" w:lineRule="auto"/>
              <w:ind w:left="223"/>
            </w:pPr>
            <w:r>
              <w:rPr>
                <w:spacing w:val="-17"/>
              </w:rPr>
              <w:t>脚手架工程</w:t>
            </w:r>
          </w:p>
        </w:tc>
        <w:tc>
          <w:tcPr>
            <w:tcW w:w="7107" w:type="dxa"/>
            <w:tcBorders>
              <w:right w:val="single" w:color="000000" w:sz="4" w:space="0"/>
            </w:tcBorders>
            <w:vAlign w:val="top"/>
          </w:tcPr>
          <w:p w14:paraId="7A7915C3">
            <w:pPr>
              <w:pStyle w:val="7"/>
              <w:spacing w:before="115" w:line="217" w:lineRule="auto"/>
              <w:ind w:left="2366"/>
            </w:pPr>
            <w:r>
              <w:rPr>
                <w:spacing w:val="-15"/>
              </w:rPr>
              <w:t>1、搭设高度5m及以上；</w:t>
            </w:r>
          </w:p>
          <w:p w14:paraId="7A1ACDD7">
            <w:pPr>
              <w:pStyle w:val="7"/>
              <w:spacing w:before="183" w:line="217" w:lineRule="auto"/>
              <w:ind w:left="2296"/>
            </w:pPr>
            <w:r>
              <w:rPr>
                <w:spacing w:val="-21"/>
              </w:rPr>
              <w:t>2、搭设跨度10m及以上；</w:t>
            </w:r>
          </w:p>
          <w:p w14:paraId="6AFF677F">
            <w:pPr>
              <w:pStyle w:val="7"/>
              <w:spacing w:before="184" w:line="217" w:lineRule="auto"/>
              <w:ind w:left="1971"/>
            </w:pPr>
            <w:r>
              <w:rPr>
                <w:spacing w:val="-17"/>
              </w:rPr>
              <w:t>3、施工总荷载10kN/m2及以上；</w:t>
            </w:r>
          </w:p>
          <w:p w14:paraId="69ED2492">
            <w:pPr>
              <w:pStyle w:val="7"/>
              <w:spacing w:before="183" w:line="217" w:lineRule="auto"/>
              <w:ind w:left="2021"/>
            </w:pPr>
            <w:r>
              <w:rPr>
                <w:spacing w:val="-19"/>
              </w:rPr>
              <w:t>4、集中线荷载15kN/m及以上；</w:t>
            </w:r>
          </w:p>
          <w:p w14:paraId="7CFED7D6">
            <w:pPr>
              <w:pStyle w:val="7"/>
              <w:spacing w:before="188" w:line="289" w:lineRule="auto"/>
              <w:ind w:left="3447" w:right="47" w:hanging="3384"/>
            </w:pPr>
            <w:r>
              <w:rPr>
                <w:spacing w:val="-25"/>
              </w:rPr>
              <w:t>5、高度大于支撑水平投影宽度且相对独立无联系构件的混凝土模板支撑工</w:t>
            </w:r>
            <w:r>
              <w:t>程</w:t>
            </w:r>
          </w:p>
          <w:p w14:paraId="73AE8011">
            <w:pPr>
              <w:pStyle w:val="7"/>
              <w:spacing w:before="181" w:line="216" w:lineRule="auto"/>
              <w:jc w:val="right"/>
            </w:pPr>
            <w:r>
              <w:rPr>
                <w:spacing w:val="-25"/>
              </w:rPr>
              <w:t>搭设高度24m及以上的落地式钢管脚手架工程（包括采光井电梯井脚手架）</w:t>
            </w:r>
          </w:p>
        </w:tc>
      </w:tr>
      <w:tr w14:paraId="3F230B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55" w:hRule="atLeast"/>
        </w:trPr>
        <w:tc>
          <w:tcPr>
            <w:tcW w:w="758" w:type="dxa"/>
            <w:tcBorders>
              <w:left w:val="single" w:color="000000" w:sz="4" w:space="0"/>
            </w:tcBorders>
            <w:vAlign w:val="top"/>
          </w:tcPr>
          <w:p w14:paraId="0DD18D99">
            <w:pPr>
              <w:spacing w:line="264" w:lineRule="auto"/>
              <w:rPr>
                <w:rFonts w:ascii="Arial"/>
                <w:sz w:val="21"/>
              </w:rPr>
            </w:pPr>
          </w:p>
          <w:p w14:paraId="3889DB76">
            <w:pPr>
              <w:pStyle w:val="7"/>
              <w:spacing w:before="78" w:line="237" w:lineRule="auto"/>
              <w:ind w:left="334"/>
            </w:pPr>
            <w:r>
              <w:t>6</w:t>
            </w:r>
          </w:p>
        </w:tc>
        <w:tc>
          <w:tcPr>
            <w:tcW w:w="1520" w:type="dxa"/>
            <w:vAlign w:val="top"/>
          </w:tcPr>
          <w:p w14:paraId="52F2CF47">
            <w:pPr>
              <w:spacing w:line="264" w:lineRule="auto"/>
              <w:rPr>
                <w:rFonts w:ascii="Arial"/>
                <w:sz w:val="21"/>
              </w:rPr>
            </w:pPr>
          </w:p>
          <w:p w14:paraId="757842B6">
            <w:pPr>
              <w:pStyle w:val="7"/>
              <w:spacing w:before="78" w:line="219" w:lineRule="auto"/>
              <w:ind w:left="333"/>
            </w:pPr>
            <w:r>
              <w:rPr>
                <w:spacing w:val="-15"/>
              </w:rPr>
              <w:t>拆除工程</w:t>
            </w:r>
          </w:p>
        </w:tc>
        <w:tc>
          <w:tcPr>
            <w:tcW w:w="7107" w:type="dxa"/>
            <w:tcBorders>
              <w:right w:val="single" w:color="000000" w:sz="4" w:space="0"/>
            </w:tcBorders>
            <w:vAlign w:val="top"/>
          </w:tcPr>
          <w:p w14:paraId="5105EBD1">
            <w:pPr>
              <w:pStyle w:val="7"/>
              <w:spacing w:before="108" w:line="217" w:lineRule="auto"/>
              <w:ind w:left="69"/>
            </w:pPr>
            <w:r>
              <w:rPr>
                <w:spacing w:val="-21"/>
              </w:rPr>
              <w:t>各类建（构）筑物，管线拆除、内部混凝土道路、人行道拆除</w:t>
            </w:r>
            <w:r>
              <w:rPr>
                <w:spacing w:val="-22"/>
              </w:rPr>
              <w:t>、栏杆栏板</w:t>
            </w:r>
          </w:p>
          <w:p w14:paraId="1518F62B">
            <w:pPr>
              <w:pStyle w:val="7"/>
              <w:spacing w:before="185" w:line="217" w:lineRule="auto"/>
              <w:ind w:left="503"/>
            </w:pPr>
            <w:r>
              <w:rPr>
                <w:spacing w:val="-21"/>
              </w:rPr>
              <w:t>拆除、沥青路面及混凝土路面拆除、钢筋混凝土构筑物拆除</w:t>
            </w:r>
            <w:r>
              <w:rPr>
                <w:spacing w:val="-22"/>
              </w:rPr>
              <w:t>等。</w:t>
            </w:r>
          </w:p>
        </w:tc>
      </w:tr>
      <w:tr w14:paraId="194AD7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63" w:hRule="atLeast"/>
        </w:trPr>
        <w:tc>
          <w:tcPr>
            <w:tcW w:w="758" w:type="dxa"/>
            <w:tcBorders>
              <w:left w:val="single" w:color="000000" w:sz="4" w:space="0"/>
              <w:bottom w:val="single" w:color="000000" w:sz="4" w:space="0"/>
            </w:tcBorders>
            <w:vAlign w:val="top"/>
          </w:tcPr>
          <w:p w14:paraId="3FE18432">
            <w:pPr>
              <w:spacing w:line="247" w:lineRule="auto"/>
              <w:rPr>
                <w:rFonts w:ascii="Arial"/>
                <w:sz w:val="21"/>
              </w:rPr>
            </w:pPr>
          </w:p>
          <w:p w14:paraId="240764DC">
            <w:pPr>
              <w:spacing w:line="247" w:lineRule="auto"/>
              <w:rPr>
                <w:rFonts w:ascii="Arial"/>
                <w:sz w:val="21"/>
              </w:rPr>
            </w:pPr>
          </w:p>
          <w:p w14:paraId="2456E954">
            <w:pPr>
              <w:pStyle w:val="7"/>
              <w:spacing w:before="78" w:line="237" w:lineRule="auto"/>
              <w:ind w:left="338"/>
            </w:pPr>
            <w:r>
              <w:t>7</w:t>
            </w:r>
          </w:p>
        </w:tc>
        <w:tc>
          <w:tcPr>
            <w:tcW w:w="1520" w:type="dxa"/>
            <w:tcBorders>
              <w:bottom w:val="single" w:color="000000" w:sz="4" w:space="0"/>
            </w:tcBorders>
            <w:vAlign w:val="top"/>
          </w:tcPr>
          <w:p w14:paraId="7B808138">
            <w:pPr>
              <w:spacing w:line="247" w:lineRule="auto"/>
              <w:rPr>
                <w:rFonts w:ascii="Arial"/>
                <w:sz w:val="21"/>
              </w:rPr>
            </w:pPr>
          </w:p>
          <w:p w14:paraId="65CE55F3">
            <w:pPr>
              <w:spacing w:line="247" w:lineRule="auto"/>
              <w:rPr>
                <w:rFonts w:ascii="Arial"/>
                <w:sz w:val="21"/>
              </w:rPr>
            </w:pPr>
          </w:p>
          <w:p w14:paraId="1682CDCE">
            <w:pPr>
              <w:pStyle w:val="7"/>
              <w:spacing w:before="78" w:line="216" w:lineRule="auto"/>
              <w:ind w:left="340"/>
            </w:pPr>
            <w:r>
              <w:rPr>
                <w:spacing w:val="-17"/>
              </w:rPr>
              <w:t>高处作业</w:t>
            </w:r>
          </w:p>
        </w:tc>
        <w:tc>
          <w:tcPr>
            <w:tcW w:w="7107" w:type="dxa"/>
            <w:tcBorders>
              <w:bottom w:val="single" w:color="000000" w:sz="4" w:space="0"/>
              <w:right w:val="single" w:color="000000" w:sz="4" w:space="0"/>
            </w:tcBorders>
            <w:vAlign w:val="top"/>
          </w:tcPr>
          <w:p w14:paraId="55AD798D">
            <w:pPr>
              <w:pStyle w:val="7"/>
              <w:spacing w:before="109" w:line="325" w:lineRule="auto"/>
              <w:ind w:left="76" w:right="49" w:firstLine="25"/>
              <w:jc w:val="both"/>
            </w:pPr>
            <w:r>
              <w:rPr>
                <w:spacing w:val="-18"/>
              </w:rPr>
              <w:t>高处作业指凡在坠落高度</w:t>
            </w:r>
            <w:r>
              <w:fldChar w:fldCharType="begin"/>
            </w:r>
            <w:r>
              <w:instrText xml:space="preserve">HYPERLINK"https://baike.baidu.com/item/%E5%9F%BA%E5%87%86%E9%9D%A2/5261730"</w:instrText>
            </w:r>
            <w:r>
              <w:fldChar w:fldCharType="separate"/>
            </w:r>
            <w:r>
              <w:rPr>
                <w:spacing w:val="-18"/>
              </w:rPr>
              <w:t>基准面</w:t>
            </w:r>
            <w:r>
              <w:rPr>
                <w:spacing w:val="-18"/>
              </w:rPr>
              <w:fldChar w:fldCharType="end"/>
            </w:r>
            <w:r>
              <w:rPr>
                <w:spacing w:val="-18"/>
              </w:rPr>
              <w:t>2m以上（含</w:t>
            </w:r>
            <w:r>
              <w:rPr>
                <w:spacing w:val="-19"/>
              </w:rPr>
              <w:t>2m）有可能坠落的高处进行</w:t>
            </w:r>
            <w:r>
              <w:rPr>
                <w:spacing w:val="-22"/>
              </w:rPr>
              <w:t>的作业。建筑施工中的高处作业主要包括</w:t>
            </w:r>
            <w:r>
              <w:fldChar w:fldCharType="begin"/>
            </w:r>
            <w:r>
              <w:instrText xml:space="preserve">HYPERLINK"https://baike.baidu.com/item/%E4%B8%B4%E8%BE%B9/10728454"</w:instrText>
            </w:r>
            <w:r>
              <w:fldChar w:fldCharType="separate"/>
            </w:r>
            <w:r>
              <w:rPr>
                <w:spacing w:val="-22"/>
              </w:rPr>
              <w:t>临边</w:t>
            </w:r>
            <w:r>
              <w:rPr>
                <w:spacing w:val="-22"/>
              </w:rPr>
              <w:fldChar w:fldCharType="end"/>
            </w:r>
            <w:r>
              <w:rPr>
                <w:spacing w:val="-22"/>
              </w:rPr>
              <w:t>、洞口、</w:t>
            </w:r>
            <w:r>
              <w:fldChar w:fldCharType="begin"/>
            </w:r>
            <w:r>
              <w:instrText xml:space="preserve">HYPERLINK"https://baike.baidu.com/item/%E6%94%80%E7%99%BB/1179934"</w:instrText>
            </w:r>
            <w:r>
              <w:fldChar w:fldCharType="separate"/>
            </w:r>
            <w:r>
              <w:rPr>
                <w:spacing w:val="-22"/>
              </w:rPr>
              <w:t>攀登</w:t>
            </w:r>
            <w:r>
              <w:rPr>
                <w:spacing w:val="-22"/>
              </w:rPr>
              <w:fldChar w:fldCharType="end"/>
            </w:r>
            <w:r>
              <w:rPr>
                <w:spacing w:val="-22"/>
              </w:rPr>
              <w:t>、</w:t>
            </w:r>
            <w:r>
              <w:fldChar w:fldCharType="begin"/>
            </w:r>
            <w:r>
              <w:instrText xml:space="preserve">HYPERLINK"https://baike.baidu.com/item/%E6%82%AC%E7%A9%BA/9838580"</w:instrText>
            </w:r>
            <w:r>
              <w:fldChar w:fldCharType="separate"/>
            </w:r>
            <w:r>
              <w:rPr>
                <w:spacing w:val="-22"/>
              </w:rPr>
              <w:t>悬</w:t>
            </w:r>
            <w:r>
              <w:rPr>
                <w:spacing w:val="-23"/>
              </w:rPr>
              <w:t>空</w:t>
            </w:r>
            <w:r>
              <w:rPr>
                <w:spacing w:val="-23"/>
              </w:rPr>
              <w:fldChar w:fldCharType="end"/>
            </w:r>
            <w:r>
              <w:rPr>
                <w:spacing w:val="-23"/>
              </w:rPr>
              <w:t>、</w:t>
            </w:r>
            <w:r>
              <w:fldChar w:fldCharType="begin"/>
            </w:r>
            <w:r>
              <w:instrText xml:space="preserve">HYPERLINK"https://baike.baidu.com/item/%E4%BA%A4%E5%8F%89/36234"</w:instrText>
            </w:r>
            <w:r>
              <w:fldChar w:fldCharType="separate"/>
            </w:r>
            <w:r>
              <w:rPr>
                <w:spacing w:val="-23"/>
              </w:rPr>
              <w:t>交叉</w:t>
            </w:r>
            <w:r>
              <w:rPr>
                <w:spacing w:val="-23"/>
              </w:rPr>
              <w:fldChar w:fldCharType="end"/>
            </w:r>
            <w:r>
              <w:rPr>
                <w:spacing w:val="-22"/>
              </w:rPr>
              <w:t>等五种基本类型，这些类型的高处作业是高处作业伤亡事故可能</w:t>
            </w:r>
            <w:r>
              <w:rPr>
                <w:spacing w:val="-23"/>
              </w:rPr>
              <w:t>发生的主</w:t>
            </w:r>
          </w:p>
        </w:tc>
      </w:tr>
    </w:tbl>
    <w:p w14:paraId="70BFAB92">
      <w:pPr>
        <w:rPr>
          <w:rFonts w:ascii="Arial"/>
          <w:sz w:val="21"/>
        </w:rPr>
      </w:pPr>
    </w:p>
    <w:p w14:paraId="6589C9D6">
      <w:pPr>
        <w:rPr>
          <w:rFonts w:ascii="Arial" w:hAnsi="Arial" w:eastAsia="Arial" w:cs="Arial"/>
          <w:sz w:val="21"/>
          <w:szCs w:val="21"/>
        </w:rPr>
        <w:sectPr>
          <w:headerReference r:id="rId420" w:type="default"/>
          <w:footerReference r:id="rId421" w:type="default"/>
          <w:pgSz w:w="11907" w:h="16839"/>
          <w:pgMar w:top="400" w:right="4" w:bottom="1038" w:left="0" w:header="0" w:footer="225" w:gutter="0"/>
          <w:pgBorders>
            <w:top w:val="none" w:sz="0" w:space="0"/>
            <w:left w:val="none" w:sz="0" w:space="0"/>
            <w:bottom w:val="none" w:sz="0" w:space="0"/>
            <w:right w:val="none" w:sz="0" w:space="0"/>
          </w:pgBorders>
          <w:cols w:space="720" w:num="1"/>
        </w:sectPr>
      </w:pPr>
    </w:p>
    <w:p w14:paraId="1479CF2C">
      <w:pPr>
        <w:spacing w:line="235" w:lineRule="exact"/>
      </w:pPr>
    </w:p>
    <w:tbl>
      <w:tblPr>
        <w:tblStyle w:val="6"/>
        <w:tblW w:w="9385" w:type="dxa"/>
        <w:tblInd w:w="126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55"/>
        <w:gridCol w:w="1522"/>
        <w:gridCol w:w="5531"/>
        <w:gridCol w:w="1577"/>
      </w:tblGrid>
      <w:tr w14:paraId="38CCAE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755" w:type="dxa"/>
            <w:tcBorders>
              <w:top w:val="single" w:color="5B9BD5" w:sz="4" w:space="0"/>
              <w:left w:val="single" w:color="5B9BD5" w:sz="4" w:space="0"/>
            </w:tcBorders>
            <w:vAlign w:val="top"/>
          </w:tcPr>
          <w:p w14:paraId="4FD3EC9D">
            <w:pPr>
              <w:rPr>
                <w:rFonts w:ascii="Arial"/>
                <w:sz w:val="21"/>
              </w:rPr>
            </w:pPr>
          </w:p>
        </w:tc>
        <w:tc>
          <w:tcPr>
            <w:tcW w:w="1522" w:type="dxa"/>
            <w:tcBorders>
              <w:top w:val="single" w:color="000000" w:sz="4" w:space="0"/>
            </w:tcBorders>
            <w:vAlign w:val="top"/>
          </w:tcPr>
          <w:p w14:paraId="673F0BDC">
            <w:pPr>
              <w:rPr>
                <w:rFonts w:ascii="Arial"/>
                <w:sz w:val="21"/>
              </w:rPr>
            </w:pPr>
          </w:p>
        </w:tc>
        <w:tc>
          <w:tcPr>
            <w:tcW w:w="7108" w:type="dxa"/>
            <w:gridSpan w:val="2"/>
            <w:tcBorders>
              <w:top w:val="single" w:color="5B9BD5" w:sz="4" w:space="0"/>
              <w:right w:val="single" w:color="5B9BD5" w:sz="4" w:space="0"/>
            </w:tcBorders>
            <w:vAlign w:val="top"/>
          </w:tcPr>
          <w:p w14:paraId="00DE9505">
            <w:pPr>
              <w:pStyle w:val="7"/>
              <w:spacing w:before="128" w:line="220" w:lineRule="auto"/>
              <w:ind w:left="3125"/>
            </w:pPr>
            <w:r>
              <w:rPr>
                <w:spacing w:val="-16"/>
              </w:rPr>
              <w:t>要地点。</w:t>
            </w:r>
          </w:p>
        </w:tc>
      </w:tr>
      <w:tr w14:paraId="607CB0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2" w:hRule="atLeast"/>
        </w:trPr>
        <w:tc>
          <w:tcPr>
            <w:tcW w:w="755" w:type="dxa"/>
            <w:tcBorders>
              <w:left w:val="single" w:color="000000" w:sz="4" w:space="0"/>
            </w:tcBorders>
            <w:vAlign w:val="top"/>
          </w:tcPr>
          <w:p w14:paraId="6B61C453">
            <w:pPr>
              <w:pStyle w:val="7"/>
              <w:spacing w:before="97" w:line="237" w:lineRule="auto"/>
              <w:ind w:left="333"/>
            </w:pPr>
            <w:r>
              <w:t>8</w:t>
            </w:r>
          </w:p>
        </w:tc>
        <w:tc>
          <w:tcPr>
            <w:tcW w:w="1522" w:type="dxa"/>
            <w:vAlign w:val="top"/>
          </w:tcPr>
          <w:p w14:paraId="7A912521">
            <w:pPr>
              <w:pStyle w:val="7"/>
              <w:spacing w:before="96" w:line="219" w:lineRule="auto"/>
              <w:ind w:left="351"/>
            </w:pPr>
            <w:r>
              <w:rPr>
                <w:spacing w:val="-19"/>
              </w:rPr>
              <w:t>明火施工</w:t>
            </w:r>
          </w:p>
        </w:tc>
        <w:tc>
          <w:tcPr>
            <w:tcW w:w="5531" w:type="dxa"/>
            <w:tcBorders>
              <w:right w:val="nil"/>
            </w:tcBorders>
            <w:vAlign w:val="top"/>
          </w:tcPr>
          <w:p w14:paraId="08D19F53">
            <w:pPr>
              <w:pStyle w:val="7"/>
              <w:spacing w:before="97" w:line="218" w:lineRule="auto"/>
              <w:ind w:left="3147"/>
            </w:pPr>
            <w:r>
              <w:rPr>
                <w:spacing w:val="-22"/>
              </w:rPr>
              <w:t>电焊施工</w:t>
            </w:r>
          </w:p>
        </w:tc>
        <w:tc>
          <w:tcPr>
            <w:tcW w:w="1577" w:type="dxa"/>
            <w:tcBorders>
              <w:left w:val="nil"/>
              <w:right w:val="single" w:color="000000" w:sz="4" w:space="0"/>
            </w:tcBorders>
            <w:vAlign w:val="top"/>
          </w:tcPr>
          <w:p w14:paraId="5C4360DE">
            <w:pPr>
              <w:rPr>
                <w:rFonts w:ascii="Arial"/>
                <w:sz w:val="21"/>
              </w:rPr>
            </w:pPr>
            <w:r>
              <w:pict>
                <v:shape id="_x0000_s4578" o:spid="_x0000_s4578" style="position:absolute;left:0pt;margin-left:77pt;margin-top:-0.05pt;height:3.4pt;width:0.75pt;mso-position-horizontal-relative:page;mso-position-vertical-relative:page;z-index:252408832;mso-width-relative:page;mso-height-relative:page;" fillcolor="#1C456A" filled="t" stroked="f" coordsize="15,68" path="m0,67l14,67,14,0,0,0,0,67xe">
                  <v:path/>
                  <v:fill on="t" focussize="0,0"/>
                  <v:stroke on="f"/>
                  <v:imagedata o:title=""/>
                  <o:lock v:ext="edit"/>
                </v:shape>
              </w:pict>
            </w:r>
          </w:p>
        </w:tc>
      </w:tr>
      <w:tr w14:paraId="739F4B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8" w:hRule="atLeast"/>
        </w:trPr>
        <w:tc>
          <w:tcPr>
            <w:tcW w:w="755" w:type="dxa"/>
            <w:tcBorders>
              <w:left w:val="single" w:color="5B9BD5" w:sz="4" w:space="0"/>
              <w:bottom w:val="single" w:color="5B9BD5" w:sz="4" w:space="0"/>
            </w:tcBorders>
            <w:vAlign w:val="top"/>
          </w:tcPr>
          <w:p w14:paraId="2F896C8E">
            <w:pPr>
              <w:pStyle w:val="7"/>
              <w:spacing w:before="124" w:line="237" w:lineRule="auto"/>
              <w:ind w:left="333"/>
            </w:pPr>
            <w:r>
              <w:t>9</w:t>
            </w:r>
          </w:p>
        </w:tc>
        <w:tc>
          <w:tcPr>
            <w:tcW w:w="1522" w:type="dxa"/>
            <w:tcBorders>
              <w:bottom w:val="single" w:color="000000" w:sz="4" w:space="0"/>
            </w:tcBorders>
            <w:vAlign w:val="top"/>
          </w:tcPr>
          <w:p w14:paraId="0D51C4BB">
            <w:pPr>
              <w:pStyle w:val="7"/>
              <w:spacing w:before="124" w:line="219" w:lineRule="auto"/>
              <w:ind w:left="350"/>
            </w:pPr>
            <w:r>
              <w:rPr>
                <w:spacing w:val="-19"/>
              </w:rPr>
              <w:t>临时用电</w:t>
            </w:r>
          </w:p>
        </w:tc>
        <w:tc>
          <w:tcPr>
            <w:tcW w:w="5531" w:type="dxa"/>
            <w:tcBorders>
              <w:bottom w:val="single" w:color="5B9BD5" w:sz="4" w:space="0"/>
              <w:right w:val="nil"/>
            </w:tcBorders>
            <w:vAlign w:val="top"/>
          </w:tcPr>
          <w:p w14:paraId="4934D2D4">
            <w:pPr>
              <w:pStyle w:val="7"/>
              <w:spacing w:before="124" w:line="219" w:lineRule="auto"/>
              <w:ind w:left="2682"/>
            </w:pPr>
            <w:r>
              <w:rPr>
                <w:spacing w:val="-19"/>
              </w:rPr>
              <w:t>施工现场临时用电</w:t>
            </w:r>
          </w:p>
        </w:tc>
        <w:tc>
          <w:tcPr>
            <w:tcW w:w="1577" w:type="dxa"/>
            <w:tcBorders>
              <w:left w:val="nil"/>
              <w:bottom w:val="single" w:color="5B9BD5" w:sz="4" w:space="0"/>
              <w:right w:val="single" w:color="5B9BD5" w:sz="4" w:space="0"/>
            </w:tcBorders>
            <w:vAlign w:val="top"/>
          </w:tcPr>
          <w:p w14:paraId="6DC9488D">
            <w:pPr>
              <w:rPr>
                <w:rFonts w:ascii="Arial"/>
                <w:sz w:val="21"/>
              </w:rPr>
            </w:pPr>
            <w:r>
              <w:pict>
                <v:shape id="_x0000_s4580" o:spid="_x0000_s4580" style="position:absolute;left:0pt;margin-left:77pt;margin-top:0.15pt;height:3.4pt;width:0.75pt;mso-position-horizontal-relative:page;mso-position-vertical-relative:page;z-index:252409856;mso-width-relative:page;mso-height-relative:page;" fillcolor="#1C456A" filled="t" stroked="f" coordsize="15,68" path="m0,67l14,67,14,0,0,0,0,67xe">
                  <v:path/>
                  <v:fill on="t" focussize="0,0"/>
                  <v:stroke on="f"/>
                  <v:imagedata o:title=""/>
                  <o:lock v:ext="edit"/>
                </v:shape>
              </w:pict>
            </w:r>
          </w:p>
        </w:tc>
      </w:tr>
    </w:tbl>
    <w:p w14:paraId="73ACE6D5">
      <w:pPr>
        <w:pStyle w:val="2"/>
        <w:spacing w:before="64" w:line="217" w:lineRule="auto"/>
        <w:ind w:left="3333"/>
        <w:outlineLvl w:val="1"/>
        <w:rPr>
          <w:sz w:val="30"/>
          <w:szCs w:val="30"/>
        </w:rPr>
      </w:pPr>
      <w:bookmarkStart w:id="302" w:name="bookmark287"/>
      <w:bookmarkEnd w:id="302"/>
      <w:r>
        <w:rPr>
          <w:b/>
          <w:bCs/>
          <w:color w:val="0070C0"/>
          <w:spacing w:val="-24"/>
          <w:sz w:val="30"/>
          <w:szCs w:val="30"/>
        </w:rPr>
        <w:t>第二节、模板工程及支撑体系专项施工方案</w:t>
      </w:r>
    </w:p>
    <w:p w14:paraId="5869F15B">
      <w:pPr>
        <w:pStyle w:val="2"/>
        <w:spacing w:before="98" w:line="285" w:lineRule="auto"/>
        <w:ind w:left="1455" w:right="1412" w:firstLine="447"/>
        <w:rPr>
          <w:sz w:val="24"/>
          <w:szCs w:val="24"/>
        </w:rPr>
      </w:pPr>
      <w:r>
        <w:rPr>
          <w:spacing w:val="-22"/>
          <w:sz w:val="24"/>
          <w:szCs w:val="24"/>
        </w:rPr>
        <w:t>1、各施工、监理单位应加强支撑体系所用材料的检查</w:t>
      </w:r>
      <w:r>
        <w:rPr>
          <w:spacing w:val="-23"/>
          <w:sz w:val="24"/>
          <w:szCs w:val="24"/>
        </w:rPr>
        <w:t>（检测）与验收管理。对用于支撑体</w:t>
      </w:r>
      <w:r>
        <w:rPr>
          <w:spacing w:val="-20"/>
          <w:sz w:val="24"/>
          <w:szCs w:val="24"/>
        </w:rPr>
        <w:t>系的钢管、扣件、碗扣、盘扣、可调托撑、底座等构配件，要做好进场检查验收工作，对检查验收不合格或按有关技术标准进行批次抽样检验、检测不符合标准的材料，一律严禁使用，且</w:t>
      </w:r>
      <w:r>
        <w:rPr>
          <w:spacing w:val="-21"/>
          <w:sz w:val="24"/>
          <w:szCs w:val="24"/>
        </w:rPr>
        <w:t>必须清出现场。</w:t>
      </w:r>
    </w:p>
    <w:p w14:paraId="4D47522A">
      <w:pPr>
        <w:pStyle w:val="2"/>
        <w:spacing w:before="117" w:line="263" w:lineRule="auto"/>
        <w:ind w:left="1460" w:right="1358" w:firstLine="428"/>
        <w:rPr>
          <w:sz w:val="24"/>
          <w:szCs w:val="24"/>
        </w:rPr>
      </w:pPr>
      <w:r>
        <w:rPr>
          <w:spacing w:val="-26"/>
          <w:sz w:val="24"/>
          <w:szCs w:val="24"/>
        </w:rPr>
        <w:t>2、各施工、监理、建设单位应进一步完善施工方案的编制与审批程序。在支撑体系搭设前，</w:t>
      </w:r>
      <w:r>
        <w:rPr>
          <w:spacing w:val="-14"/>
          <w:sz w:val="24"/>
          <w:szCs w:val="24"/>
        </w:rPr>
        <w:t>必须完成专项施工方案的编制、论证（指高大</w:t>
      </w:r>
      <w:r>
        <w:rPr>
          <w:spacing w:val="-15"/>
          <w:sz w:val="24"/>
          <w:szCs w:val="24"/>
        </w:rPr>
        <w:t>模板工程及支撑体系）和审批签字程序。</w:t>
      </w:r>
    </w:p>
    <w:p w14:paraId="0E935A69">
      <w:pPr>
        <w:pStyle w:val="2"/>
        <w:spacing w:before="113" w:line="290" w:lineRule="auto"/>
        <w:ind w:left="1457" w:right="1404" w:firstLine="433"/>
        <w:rPr>
          <w:sz w:val="24"/>
          <w:szCs w:val="24"/>
        </w:rPr>
      </w:pPr>
      <w:r>
        <w:rPr>
          <w:spacing w:val="-23"/>
          <w:sz w:val="24"/>
          <w:szCs w:val="24"/>
        </w:rPr>
        <w:t>3、各施工单位应加强方案的交底、检查与验收。支撑体系搭设前，施工单位项目技术负责</w:t>
      </w:r>
      <w:r>
        <w:rPr>
          <w:spacing w:val="4"/>
          <w:sz w:val="24"/>
          <w:szCs w:val="24"/>
        </w:rPr>
        <w:t>人和施工员应将安全施工的技术要点向施工作业班组、作业人员逐级作出详细说明；</w:t>
      </w:r>
      <w:r>
        <w:rPr>
          <w:spacing w:val="-14"/>
          <w:sz w:val="24"/>
          <w:szCs w:val="24"/>
        </w:rPr>
        <w:t>搭设中，应落实好监护人员，并派专职安全员进行现场监督，及时对搭设现场进行检查</w:t>
      </w:r>
      <w:r>
        <w:rPr>
          <w:spacing w:val="-15"/>
          <w:sz w:val="24"/>
          <w:szCs w:val="24"/>
        </w:rPr>
        <w:t>，并</w:t>
      </w:r>
      <w:r>
        <w:rPr>
          <w:spacing w:val="-25"/>
          <w:sz w:val="24"/>
          <w:szCs w:val="24"/>
        </w:rPr>
        <w:t>督促整改；模板支撑分段搭设完毕投入使用前，应由项目技术负责人组织项目经理、施工员、安</w:t>
      </w:r>
      <w:r>
        <w:rPr>
          <w:spacing w:val="-21"/>
          <w:sz w:val="24"/>
          <w:szCs w:val="24"/>
        </w:rPr>
        <w:t>全员、搭设班组负责人等相关人员进行验收。</w:t>
      </w:r>
    </w:p>
    <w:p w14:paraId="2F711C22">
      <w:pPr>
        <w:pStyle w:val="2"/>
        <w:spacing w:before="118" w:line="285" w:lineRule="auto"/>
        <w:ind w:left="1457" w:right="1412" w:firstLine="427"/>
        <w:rPr>
          <w:sz w:val="24"/>
          <w:szCs w:val="24"/>
        </w:rPr>
      </w:pPr>
      <w:r>
        <w:rPr>
          <w:spacing w:val="-22"/>
          <w:sz w:val="24"/>
          <w:szCs w:val="24"/>
        </w:rPr>
        <w:t>4、强化关键过程安全监理。各监理企业要认真履行安全监理职责</w:t>
      </w:r>
      <w:r>
        <w:rPr>
          <w:spacing w:val="-23"/>
          <w:sz w:val="24"/>
          <w:szCs w:val="24"/>
        </w:rPr>
        <w:t>，审查模板工程及支撑体</w:t>
      </w:r>
      <w:r>
        <w:rPr>
          <w:spacing w:val="-9"/>
          <w:sz w:val="24"/>
          <w:szCs w:val="24"/>
        </w:rPr>
        <w:t>系的安全专项施工方案，并编制专项安全监理实施细则，对危险部位、工序应派员进行旁</w:t>
      </w:r>
      <w:r>
        <w:rPr>
          <w:spacing w:val="-14"/>
          <w:sz w:val="24"/>
          <w:szCs w:val="24"/>
        </w:rPr>
        <w:t>站，并做好旁站记录；认真做好施工过程中的巡视检查，督促施工单位</w:t>
      </w:r>
      <w:r>
        <w:rPr>
          <w:spacing w:val="-15"/>
          <w:sz w:val="24"/>
          <w:szCs w:val="24"/>
        </w:rPr>
        <w:t>严格按照安全专项方</w:t>
      </w:r>
      <w:r>
        <w:rPr>
          <w:spacing w:val="-22"/>
          <w:sz w:val="24"/>
          <w:szCs w:val="24"/>
        </w:rPr>
        <w:t>案和规范组织实施，按程序进行检查和验收。</w:t>
      </w:r>
    </w:p>
    <w:p w14:paraId="6F855B59">
      <w:pPr>
        <w:pStyle w:val="2"/>
        <w:spacing w:before="67" w:line="217" w:lineRule="auto"/>
        <w:ind w:left="3054"/>
        <w:outlineLvl w:val="1"/>
        <w:rPr>
          <w:sz w:val="30"/>
          <w:szCs w:val="30"/>
        </w:rPr>
      </w:pPr>
      <w:bookmarkStart w:id="303" w:name="bookmark288"/>
      <w:bookmarkEnd w:id="303"/>
      <w:r>
        <w:rPr>
          <w:b/>
          <w:bCs/>
          <w:color w:val="0070C0"/>
          <w:spacing w:val="-24"/>
          <w:sz w:val="30"/>
          <w:szCs w:val="30"/>
        </w:rPr>
        <w:t>第三节、起重吊装及安装拆除工程专项施工方案</w:t>
      </w:r>
    </w:p>
    <w:p w14:paraId="7FCC3AF8">
      <w:pPr>
        <w:pStyle w:val="2"/>
        <w:spacing w:before="99" w:line="217" w:lineRule="auto"/>
        <w:ind w:left="1903"/>
        <w:rPr>
          <w:sz w:val="24"/>
          <w:szCs w:val="24"/>
        </w:rPr>
      </w:pPr>
      <w:r>
        <w:rPr>
          <w:spacing w:val="-19"/>
          <w:sz w:val="24"/>
          <w:szCs w:val="24"/>
        </w:rPr>
        <w:t>1、一般控制措施</w:t>
      </w:r>
    </w:p>
    <w:p w14:paraId="32255D94">
      <w:pPr>
        <w:pStyle w:val="2"/>
        <w:spacing w:before="120" w:line="307" w:lineRule="auto"/>
        <w:ind w:left="1456" w:right="1459" w:firstLine="440"/>
        <w:rPr>
          <w:sz w:val="24"/>
          <w:szCs w:val="24"/>
        </w:rPr>
      </w:pPr>
      <w:r>
        <w:rPr>
          <w:spacing w:val="-21"/>
          <w:sz w:val="24"/>
          <w:szCs w:val="24"/>
        </w:rPr>
        <w:t>参加施工的有关技术人员，管理人员，操作人员，包括民技工必须接受入场前安全教育，</w:t>
      </w:r>
      <w:r>
        <w:rPr>
          <w:spacing w:val="-20"/>
          <w:sz w:val="24"/>
          <w:szCs w:val="24"/>
        </w:rPr>
        <w:t>经考试合格后方可上岗。</w:t>
      </w:r>
    </w:p>
    <w:p w14:paraId="4F8090CE">
      <w:pPr>
        <w:pStyle w:val="2"/>
        <w:spacing w:before="1" w:line="215" w:lineRule="auto"/>
        <w:ind w:left="1895"/>
        <w:rPr>
          <w:sz w:val="24"/>
          <w:szCs w:val="24"/>
        </w:rPr>
      </w:pPr>
      <w:r>
        <w:rPr>
          <w:spacing w:val="-21"/>
          <w:sz w:val="24"/>
          <w:szCs w:val="24"/>
        </w:rPr>
        <w:t>进入现场的施工人员必须按规定劳保着装，并佩戴好必</w:t>
      </w:r>
      <w:r>
        <w:rPr>
          <w:spacing w:val="-22"/>
          <w:sz w:val="24"/>
          <w:szCs w:val="24"/>
        </w:rPr>
        <w:t>要的安全防护用品。</w:t>
      </w:r>
    </w:p>
    <w:p w14:paraId="07D1E605">
      <w:pPr>
        <w:pStyle w:val="2"/>
        <w:spacing w:before="120" w:line="216" w:lineRule="auto"/>
        <w:ind w:left="1892"/>
        <w:rPr>
          <w:sz w:val="24"/>
          <w:szCs w:val="24"/>
        </w:rPr>
      </w:pPr>
      <w:r>
        <w:rPr>
          <w:spacing w:val="-21"/>
          <w:sz w:val="24"/>
          <w:szCs w:val="24"/>
        </w:rPr>
        <w:t>特种作业人员必须持证上岗，非特种作业人员不得从事特种作</w:t>
      </w:r>
      <w:r>
        <w:rPr>
          <w:spacing w:val="-22"/>
          <w:sz w:val="24"/>
          <w:szCs w:val="24"/>
        </w:rPr>
        <w:t>业。</w:t>
      </w:r>
    </w:p>
    <w:p w14:paraId="4422577E">
      <w:pPr>
        <w:pStyle w:val="2"/>
        <w:spacing w:before="116" w:line="309" w:lineRule="auto"/>
        <w:ind w:left="1892" w:right="1335"/>
        <w:rPr>
          <w:sz w:val="24"/>
          <w:szCs w:val="24"/>
        </w:rPr>
      </w:pPr>
      <w:r>
        <w:rPr>
          <w:spacing w:val="-23"/>
          <w:sz w:val="24"/>
          <w:szCs w:val="24"/>
        </w:rPr>
        <w:t>开工前项目负责人应组织施工，技术安全人员对现场情况进行检查，符</w:t>
      </w:r>
      <w:r>
        <w:rPr>
          <w:spacing w:val="-24"/>
          <w:sz w:val="24"/>
          <w:szCs w:val="24"/>
        </w:rPr>
        <w:t>合要求后方可开工。</w:t>
      </w:r>
      <w:r>
        <w:rPr>
          <w:spacing w:val="-21"/>
          <w:sz w:val="24"/>
          <w:szCs w:val="24"/>
        </w:rPr>
        <w:t>施工作业前应做好安全技术交底工作，并按要求做好记录。</w:t>
      </w:r>
    </w:p>
    <w:p w14:paraId="5D39C568">
      <w:pPr>
        <w:pStyle w:val="2"/>
        <w:spacing w:before="1" w:line="307" w:lineRule="auto"/>
        <w:ind w:left="1460" w:right="1411" w:firstLine="432"/>
        <w:rPr>
          <w:sz w:val="24"/>
          <w:szCs w:val="24"/>
        </w:rPr>
      </w:pPr>
      <w:r>
        <w:rPr>
          <w:spacing w:val="-20"/>
          <w:sz w:val="24"/>
          <w:szCs w:val="24"/>
        </w:rPr>
        <w:t>现场施工人员应严格遵守安全操作规程和相关安全管理规定，正确使用工器具，服从安全</w:t>
      </w:r>
      <w:r>
        <w:rPr>
          <w:spacing w:val="-19"/>
          <w:sz w:val="24"/>
          <w:szCs w:val="24"/>
        </w:rPr>
        <w:t>人员的管理。</w:t>
      </w:r>
    </w:p>
    <w:p w14:paraId="290BA3DB">
      <w:pPr>
        <w:pStyle w:val="2"/>
        <w:spacing w:before="1" w:line="307" w:lineRule="auto"/>
        <w:ind w:left="1894" w:right="1532" w:firstLine="6"/>
        <w:rPr>
          <w:sz w:val="24"/>
          <w:szCs w:val="24"/>
        </w:rPr>
      </w:pPr>
      <w:r>
        <w:rPr>
          <w:spacing w:val="-23"/>
          <w:sz w:val="24"/>
          <w:szCs w:val="24"/>
        </w:rPr>
        <w:t>高处作业时施工人员必须系好安全带，安全带的固定位置应安全可靠，并尽量高挂低用。</w:t>
      </w:r>
      <w:r>
        <w:rPr>
          <w:spacing w:val="-21"/>
          <w:sz w:val="24"/>
          <w:szCs w:val="24"/>
        </w:rPr>
        <w:t>起重、运输设备操作人员作业前应对设备的安全性能进行检</w:t>
      </w:r>
      <w:r>
        <w:rPr>
          <w:spacing w:val="-22"/>
          <w:sz w:val="24"/>
          <w:szCs w:val="24"/>
        </w:rPr>
        <w:t>查，确保设备安全运行。</w:t>
      </w:r>
    </w:p>
    <w:p w14:paraId="78C11CD2">
      <w:pPr>
        <w:pStyle w:val="2"/>
        <w:spacing w:before="1" w:line="308" w:lineRule="auto"/>
        <w:ind w:left="1462" w:right="1412" w:firstLine="433"/>
        <w:rPr>
          <w:sz w:val="24"/>
          <w:szCs w:val="24"/>
        </w:rPr>
      </w:pPr>
      <w:r>
        <w:rPr>
          <w:spacing w:val="-25"/>
          <w:sz w:val="24"/>
          <w:szCs w:val="24"/>
        </w:rPr>
        <w:t>转运及起重作业前应对起重或捆绑用具及设施进行检查，正确选择和使用</w:t>
      </w:r>
      <w:r>
        <w:rPr>
          <w:spacing w:val="-26"/>
          <w:sz w:val="24"/>
          <w:szCs w:val="24"/>
        </w:rPr>
        <w:t>，并严格执行“十</w:t>
      </w:r>
      <w:r>
        <w:rPr>
          <w:spacing w:val="-21"/>
          <w:sz w:val="24"/>
          <w:szCs w:val="24"/>
        </w:rPr>
        <w:t>不吊”规定，确保其安全性符合要求。</w:t>
      </w:r>
    </w:p>
    <w:p w14:paraId="6E09692B">
      <w:pPr>
        <w:pStyle w:val="2"/>
        <w:spacing w:before="1" w:line="216" w:lineRule="auto"/>
        <w:ind w:left="1895"/>
        <w:rPr>
          <w:sz w:val="24"/>
          <w:szCs w:val="24"/>
        </w:rPr>
      </w:pPr>
      <w:r>
        <w:rPr>
          <w:spacing w:val="-22"/>
          <w:sz w:val="24"/>
          <w:szCs w:val="24"/>
        </w:rPr>
        <w:t>大件吊装必须严格执行吊装方案，统一指挥，协同配合。</w:t>
      </w:r>
    </w:p>
    <w:p w14:paraId="6E7B2ECD">
      <w:pPr>
        <w:spacing w:line="216" w:lineRule="auto"/>
        <w:rPr>
          <w:sz w:val="24"/>
          <w:szCs w:val="24"/>
        </w:rPr>
        <w:sectPr>
          <w:headerReference r:id="rId422" w:type="default"/>
          <w:footerReference r:id="rId423" w:type="default"/>
          <w:pgSz w:w="11907" w:h="16839"/>
          <w:pgMar w:top="933" w:right="4" w:bottom="1038" w:left="0" w:header="478" w:footer="357" w:gutter="0"/>
          <w:pgBorders>
            <w:top w:val="none" w:sz="0" w:space="0"/>
            <w:left w:val="none" w:sz="0" w:space="0"/>
            <w:bottom w:val="none" w:sz="0" w:space="0"/>
            <w:right w:val="none" w:sz="0" w:space="0"/>
          </w:pgBorders>
          <w:cols w:space="720" w:num="1"/>
        </w:sectPr>
      </w:pPr>
    </w:p>
    <w:p w14:paraId="614C8B7B">
      <w:pPr>
        <w:spacing w:line="271" w:lineRule="auto"/>
        <w:rPr>
          <w:rFonts w:ascii="Arial"/>
          <w:sz w:val="21"/>
        </w:rPr>
      </w:pPr>
    </w:p>
    <w:p w14:paraId="5138DE7A">
      <w:pPr>
        <w:pStyle w:val="2"/>
        <w:spacing w:before="78" w:line="216" w:lineRule="auto"/>
        <w:ind w:left="1919"/>
        <w:rPr>
          <w:sz w:val="24"/>
          <w:szCs w:val="24"/>
        </w:rPr>
      </w:pPr>
      <w:r>
        <w:rPr>
          <w:spacing w:val="-22"/>
          <w:sz w:val="24"/>
          <w:szCs w:val="24"/>
        </w:rPr>
        <w:t>电气系统通电调试时，必须有两人同时作业，其中一人监护。</w:t>
      </w:r>
    </w:p>
    <w:p w14:paraId="47EC3C98">
      <w:pPr>
        <w:pStyle w:val="2"/>
        <w:spacing w:before="120" w:line="307" w:lineRule="auto"/>
        <w:ind w:left="1455" w:right="1428" w:firstLine="438"/>
        <w:rPr>
          <w:sz w:val="24"/>
          <w:szCs w:val="24"/>
        </w:rPr>
      </w:pPr>
      <w:r>
        <w:rPr>
          <w:spacing w:val="-20"/>
          <w:sz w:val="24"/>
          <w:szCs w:val="24"/>
        </w:rPr>
        <w:t>起重作业应设专人指挥并佩带袖标，并且指挥明确，信号清楚统一，参加施工的人员</w:t>
      </w:r>
      <w:r>
        <w:rPr>
          <w:spacing w:val="-21"/>
          <w:sz w:val="24"/>
          <w:szCs w:val="24"/>
        </w:rPr>
        <w:t>必须</w:t>
      </w:r>
      <w:r>
        <w:rPr>
          <w:spacing w:val="-20"/>
          <w:sz w:val="24"/>
          <w:szCs w:val="24"/>
        </w:rPr>
        <w:t>服从管理，统一行动。</w:t>
      </w:r>
    </w:p>
    <w:p w14:paraId="64CA1A44">
      <w:pPr>
        <w:pStyle w:val="2"/>
        <w:spacing w:line="216" w:lineRule="auto"/>
        <w:ind w:left="1922"/>
        <w:rPr>
          <w:sz w:val="24"/>
          <w:szCs w:val="24"/>
        </w:rPr>
      </w:pPr>
      <w:r>
        <w:rPr>
          <w:spacing w:val="-21"/>
          <w:sz w:val="24"/>
          <w:szCs w:val="24"/>
        </w:rPr>
        <w:t>安装（拆除）部位应设置安全作业警戒线，并派设安全警戒人员，禁止无关人员进入。</w:t>
      </w:r>
    </w:p>
    <w:p w14:paraId="15455FD6">
      <w:pPr>
        <w:pStyle w:val="2"/>
        <w:spacing w:before="120" w:line="218" w:lineRule="auto"/>
        <w:ind w:left="1892"/>
        <w:rPr>
          <w:sz w:val="24"/>
          <w:szCs w:val="24"/>
        </w:rPr>
      </w:pPr>
      <w:r>
        <w:rPr>
          <w:spacing w:val="-22"/>
          <w:sz w:val="24"/>
          <w:szCs w:val="24"/>
        </w:rPr>
        <w:t>施工现场应悬挂必要的安全标识牌。</w:t>
      </w:r>
    </w:p>
    <w:p w14:paraId="66DB1744">
      <w:pPr>
        <w:pStyle w:val="2"/>
        <w:spacing w:before="115" w:line="217" w:lineRule="auto"/>
        <w:ind w:left="1895"/>
        <w:rPr>
          <w:sz w:val="24"/>
          <w:szCs w:val="24"/>
        </w:rPr>
      </w:pPr>
      <w:r>
        <w:rPr>
          <w:spacing w:val="-21"/>
          <w:sz w:val="24"/>
          <w:szCs w:val="24"/>
        </w:rPr>
        <w:t>安全人员应坚持现场巡视，发现违规必须及时制止和处理。</w:t>
      </w:r>
    </w:p>
    <w:p w14:paraId="1664476B">
      <w:pPr>
        <w:pStyle w:val="2"/>
        <w:spacing w:before="118" w:line="216" w:lineRule="auto"/>
        <w:ind w:left="1895"/>
        <w:rPr>
          <w:sz w:val="24"/>
          <w:szCs w:val="24"/>
        </w:rPr>
      </w:pPr>
      <w:r>
        <w:rPr>
          <w:spacing w:val="-21"/>
          <w:sz w:val="24"/>
          <w:szCs w:val="24"/>
        </w:rPr>
        <w:t>安装（拆除）作业中，遇有六级以上大风和雷、雨、</w:t>
      </w:r>
      <w:r>
        <w:rPr>
          <w:spacing w:val="-22"/>
          <w:sz w:val="24"/>
          <w:szCs w:val="24"/>
        </w:rPr>
        <w:t>雪、大雾时应停止作业。</w:t>
      </w:r>
    </w:p>
    <w:p w14:paraId="5F14825E">
      <w:pPr>
        <w:pStyle w:val="2"/>
        <w:spacing w:before="121" w:line="217" w:lineRule="auto"/>
        <w:ind w:left="1888"/>
        <w:rPr>
          <w:sz w:val="24"/>
          <w:szCs w:val="24"/>
        </w:rPr>
      </w:pPr>
      <w:r>
        <w:rPr>
          <w:spacing w:val="-19"/>
          <w:sz w:val="24"/>
          <w:szCs w:val="24"/>
        </w:rPr>
        <w:t>2、相关控制措施</w:t>
      </w:r>
    </w:p>
    <w:p w14:paraId="2B363494">
      <w:pPr>
        <w:pStyle w:val="2"/>
        <w:spacing w:before="116" w:line="218" w:lineRule="auto"/>
        <w:ind w:left="1909"/>
        <w:rPr>
          <w:sz w:val="24"/>
          <w:szCs w:val="24"/>
        </w:rPr>
      </w:pPr>
      <w:r>
        <w:rPr>
          <w:spacing w:val="-21"/>
          <w:sz w:val="24"/>
          <w:szCs w:val="24"/>
        </w:rPr>
        <w:t>防止起重机事故措施</w:t>
      </w:r>
    </w:p>
    <w:p w14:paraId="72521FE4">
      <w:pPr>
        <w:pStyle w:val="2"/>
        <w:spacing w:before="116" w:line="308" w:lineRule="auto"/>
        <w:ind w:left="1457" w:right="1409" w:firstLine="436"/>
        <w:rPr>
          <w:sz w:val="24"/>
          <w:szCs w:val="24"/>
        </w:rPr>
      </w:pPr>
      <w:r>
        <w:rPr>
          <w:spacing w:val="-20"/>
          <w:sz w:val="24"/>
          <w:szCs w:val="24"/>
        </w:rPr>
        <w:t>起重机的行驶道路必须平坦坚实，松软土层要进行处理。必要时，需铺设木头，起重机不得停置在斜坡上工作。</w:t>
      </w:r>
    </w:p>
    <w:p w14:paraId="757CD4BD">
      <w:pPr>
        <w:pStyle w:val="2"/>
        <w:spacing w:before="3" w:line="307" w:lineRule="auto"/>
        <w:ind w:left="1455" w:right="1409" w:firstLine="437"/>
        <w:jc w:val="both"/>
        <w:rPr>
          <w:sz w:val="24"/>
          <w:szCs w:val="24"/>
        </w:rPr>
      </w:pPr>
      <w:r>
        <w:rPr>
          <w:spacing w:val="-20"/>
          <w:sz w:val="24"/>
          <w:szCs w:val="24"/>
        </w:rPr>
        <w:t>应尽量避免超载吊装。在某些特殊情况下难以避免时，应采取措施，如：在起重机吊杆上拉缆风绳或在其尾部增加平衡重等。起重机增加平衡重后，卸载或空载时，吊杆必须落到水平</w:t>
      </w:r>
      <w:r>
        <w:rPr>
          <w:spacing w:val="-16"/>
          <w:sz w:val="24"/>
          <w:szCs w:val="24"/>
        </w:rPr>
        <w:t>线夹角60°以内，操作时应缓慢进行。</w:t>
      </w:r>
    </w:p>
    <w:p w14:paraId="5C8C72C4">
      <w:pPr>
        <w:pStyle w:val="2"/>
        <w:spacing w:before="2" w:line="307" w:lineRule="auto"/>
        <w:ind w:left="1463" w:right="1416" w:firstLine="435"/>
        <w:jc w:val="both"/>
        <w:rPr>
          <w:sz w:val="24"/>
          <w:szCs w:val="24"/>
        </w:rPr>
      </w:pPr>
      <w:r>
        <w:rPr>
          <w:spacing w:val="-20"/>
          <w:sz w:val="24"/>
          <w:szCs w:val="24"/>
        </w:rPr>
        <w:t>禁止斜吊。所谓斜吊，是指所要起吊的重物不在起重机起重臂顶的正下方，</w:t>
      </w:r>
      <w:r>
        <w:rPr>
          <w:spacing w:val="-21"/>
          <w:sz w:val="24"/>
          <w:szCs w:val="24"/>
        </w:rPr>
        <w:t>因而当将捆绑</w:t>
      </w:r>
      <w:r>
        <w:rPr>
          <w:spacing w:val="-9"/>
          <w:sz w:val="24"/>
          <w:szCs w:val="24"/>
        </w:rPr>
        <w:t>重物的吊索挂上吊钩后，吊钩滑车组不与地面垂直，而与水平线成一个夹角。斜吊还会使</w:t>
      </w:r>
      <w:r>
        <w:rPr>
          <w:spacing w:val="-22"/>
          <w:sz w:val="24"/>
          <w:szCs w:val="24"/>
        </w:rPr>
        <w:t>重物在离开地面后发生快速摆动，可能碰伤人或碰撞其他物体。</w:t>
      </w:r>
    </w:p>
    <w:p w14:paraId="437FCB4D">
      <w:pPr>
        <w:pStyle w:val="2"/>
        <w:spacing w:before="3" w:line="307" w:lineRule="auto"/>
        <w:ind w:left="1455" w:right="1414" w:firstLine="436"/>
        <w:jc w:val="both"/>
        <w:rPr>
          <w:sz w:val="24"/>
          <w:szCs w:val="24"/>
        </w:rPr>
      </w:pPr>
      <w:r>
        <w:rPr>
          <w:spacing w:val="-20"/>
          <w:sz w:val="24"/>
          <w:szCs w:val="24"/>
        </w:rPr>
        <w:t>双机抬吊时，要根据起重机的起重能力进行合理的负荷分配，各单机载荷不得超过其允许</w:t>
      </w:r>
      <w:r>
        <w:rPr>
          <w:spacing w:val="-16"/>
          <w:sz w:val="24"/>
          <w:szCs w:val="24"/>
        </w:rPr>
        <w:t>载荷的80</w:t>
      </w:r>
      <w:r>
        <w:rPr>
          <w:spacing w:val="-25"/>
          <w:sz w:val="24"/>
          <w:szCs w:val="24"/>
        </w:rPr>
        <w:t>％，</w:t>
      </w:r>
      <w:r>
        <w:rPr>
          <w:spacing w:val="-16"/>
          <w:sz w:val="24"/>
          <w:szCs w:val="24"/>
        </w:rPr>
        <w:t>并在操作时要统一指挥，互相密切配合。在整个抬吊过程中，两台起重机的吊</w:t>
      </w:r>
      <w:r>
        <w:rPr>
          <w:spacing w:val="-20"/>
          <w:sz w:val="24"/>
          <w:szCs w:val="24"/>
        </w:rPr>
        <w:t>钩滑车组应基本保持垂直状态。</w:t>
      </w:r>
    </w:p>
    <w:p w14:paraId="42F15B6E">
      <w:pPr>
        <w:pStyle w:val="2"/>
        <w:spacing w:before="2" w:line="215" w:lineRule="auto"/>
        <w:ind w:left="1894"/>
        <w:rPr>
          <w:sz w:val="24"/>
          <w:szCs w:val="24"/>
        </w:rPr>
      </w:pPr>
      <w:r>
        <w:rPr>
          <w:spacing w:val="-21"/>
          <w:sz w:val="24"/>
          <w:szCs w:val="24"/>
        </w:rPr>
        <w:t>绑扎构件的吊索需经过计算，绑扎方法应正确牢靠。所有</w:t>
      </w:r>
      <w:r>
        <w:rPr>
          <w:spacing w:val="-22"/>
          <w:sz w:val="24"/>
          <w:szCs w:val="24"/>
        </w:rPr>
        <w:t>起重工具应定期检查。</w:t>
      </w:r>
    </w:p>
    <w:p w14:paraId="7C08D9F0">
      <w:pPr>
        <w:pStyle w:val="2"/>
        <w:spacing w:before="120" w:line="218" w:lineRule="auto"/>
        <w:ind w:left="1898"/>
        <w:rPr>
          <w:sz w:val="24"/>
          <w:szCs w:val="24"/>
        </w:rPr>
      </w:pPr>
      <w:r>
        <w:rPr>
          <w:spacing w:val="-21"/>
          <w:sz w:val="24"/>
          <w:szCs w:val="24"/>
        </w:rPr>
        <w:t>不吊重量不明的重大构件或设备。</w:t>
      </w:r>
    </w:p>
    <w:p w14:paraId="11A812A6">
      <w:pPr>
        <w:pStyle w:val="2"/>
        <w:spacing w:before="117" w:line="307" w:lineRule="auto"/>
        <w:ind w:left="1456" w:right="1410" w:firstLine="437"/>
        <w:rPr>
          <w:sz w:val="24"/>
          <w:szCs w:val="24"/>
        </w:rPr>
      </w:pPr>
      <w:r>
        <w:rPr>
          <w:spacing w:val="-20"/>
          <w:sz w:val="24"/>
          <w:szCs w:val="24"/>
        </w:rPr>
        <w:t>起重吊装的指挥人员必须持证上岗，作业时应与起重机驾驶员密切配合，执行规定的指挥</w:t>
      </w:r>
      <w:r>
        <w:rPr>
          <w:spacing w:val="-22"/>
          <w:sz w:val="24"/>
          <w:szCs w:val="24"/>
        </w:rPr>
        <w:t>信号。驾驶员应听从指挥，当信号不清或错误时，驾驶员可拒绝执行。</w:t>
      </w:r>
    </w:p>
    <w:p w14:paraId="7637229A">
      <w:pPr>
        <w:pStyle w:val="2"/>
        <w:spacing w:before="2" w:line="307" w:lineRule="auto"/>
        <w:ind w:left="1459" w:right="1353" w:firstLine="435"/>
        <w:rPr>
          <w:sz w:val="24"/>
          <w:szCs w:val="24"/>
        </w:rPr>
      </w:pPr>
      <w:r>
        <w:rPr>
          <w:spacing w:val="-24"/>
          <w:sz w:val="24"/>
          <w:szCs w:val="24"/>
        </w:rPr>
        <w:t>严禁起吊重物长时间悬挂在空中，作业中遇突发故障，应采取措施将重物降落到安全地方，</w:t>
      </w:r>
      <w:r>
        <w:rPr>
          <w:spacing w:val="-21"/>
          <w:sz w:val="24"/>
          <w:szCs w:val="24"/>
        </w:rPr>
        <w:t>并关闭发动机或切断电源后进行检修。</w:t>
      </w:r>
    </w:p>
    <w:p w14:paraId="5DC32D5D">
      <w:pPr>
        <w:pStyle w:val="2"/>
        <w:spacing w:before="1" w:line="308" w:lineRule="auto"/>
        <w:ind w:left="1456" w:right="1410" w:firstLine="437"/>
        <w:rPr>
          <w:sz w:val="24"/>
          <w:szCs w:val="24"/>
        </w:rPr>
      </w:pPr>
      <w:r>
        <w:rPr>
          <w:spacing w:val="-20"/>
          <w:sz w:val="24"/>
          <w:szCs w:val="24"/>
        </w:rPr>
        <w:t>起重机的吊钩和吊环严禁补焊。当吊钩、吊环表面有裂纹、严重磨损或危险断面有永久变</w:t>
      </w:r>
      <w:r>
        <w:rPr>
          <w:spacing w:val="-19"/>
          <w:sz w:val="24"/>
          <w:szCs w:val="24"/>
        </w:rPr>
        <w:t>形时应予更换。</w:t>
      </w:r>
    </w:p>
    <w:p w14:paraId="30DC747B">
      <w:pPr>
        <w:pStyle w:val="2"/>
        <w:spacing w:before="2" w:line="218" w:lineRule="auto"/>
        <w:ind w:left="1909"/>
        <w:rPr>
          <w:sz w:val="24"/>
          <w:szCs w:val="24"/>
        </w:rPr>
      </w:pPr>
      <w:r>
        <w:rPr>
          <w:spacing w:val="-21"/>
          <w:sz w:val="24"/>
          <w:szCs w:val="24"/>
        </w:rPr>
        <w:t>防止高处坠落措施</w:t>
      </w:r>
    </w:p>
    <w:p w14:paraId="2B502788">
      <w:pPr>
        <w:pStyle w:val="2"/>
        <w:spacing w:before="114" w:line="308" w:lineRule="auto"/>
        <w:ind w:left="1456" w:right="1410" w:firstLine="436"/>
        <w:rPr>
          <w:sz w:val="24"/>
          <w:szCs w:val="24"/>
        </w:rPr>
      </w:pPr>
      <w:r>
        <w:rPr>
          <w:spacing w:val="-20"/>
          <w:sz w:val="24"/>
          <w:szCs w:val="24"/>
        </w:rPr>
        <w:t>操作人员在进行高处作业时，必须正确使用安全带。安全带一般应高挂低用，即将安全带</w:t>
      </w:r>
      <w:r>
        <w:rPr>
          <w:spacing w:val="-22"/>
          <w:sz w:val="24"/>
          <w:szCs w:val="24"/>
        </w:rPr>
        <w:t>绳端的钩环挂于高处，而人在低处操作。</w:t>
      </w:r>
    </w:p>
    <w:p w14:paraId="782356BD">
      <w:pPr>
        <w:pStyle w:val="2"/>
        <w:spacing w:before="1" w:line="307" w:lineRule="auto"/>
        <w:ind w:left="1458" w:right="1409" w:firstLine="434"/>
        <w:rPr>
          <w:sz w:val="24"/>
          <w:szCs w:val="24"/>
        </w:rPr>
      </w:pPr>
      <w:r>
        <w:rPr>
          <w:spacing w:val="-20"/>
          <w:sz w:val="24"/>
          <w:szCs w:val="24"/>
        </w:rPr>
        <w:t>雨天和雪天进行高处作业的时候，必须采取可靠的防滑、防寒和防冻措施。作业处和构件</w:t>
      </w:r>
      <w:r>
        <w:rPr>
          <w:spacing w:val="-21"/>
          <w:sz w:val="24"/>
          <w:szCs w:val="24"/>
        </w:rPr>
        <w:t>上有水、冰、霜、雪均应及时清除。</w:t>
      </w:r>
    </w:p>
    <w:p w14:paraId="50F3EDD9">
      <w:pPr>
        <w:pStyle w:val="2"/>
        <w:spacing w:before="1" w:line="307" w:lineRule="auto"/>
        <w:ind w:left="1456" w:right="1335" w:firstLine="439"/>
        <w:rPr>
          <w:sz w:val="24"/>
          <w:szCs w:val="24"/>
        </w:rPr>
      </w:pPr>
      <w:r>
        <w:rPr>
          <w:spacing w:val="-23"/>
          <w:sz w:val="24"/>
          <w:szCs w:val="24"/>
        </w:rPr>
        <w:t>遇有六级以上强风、浓雾等恶劣天气，不得从事露天高处吊装作业</w:t>
      </w:r>
      <w:r>
        <w:rPr>
          <w:spacing w:val="-24"/>
          <w:sz w:val="24"/>
          <w:szCs w:val="24"/>
        </w:rPr>
        <w:t>。暴风雪及台风暴雨后，</w:t>
      </w:r>
      <w:r>
        <w:rPr>
          <w:spacing w:val="-28"/>
          <w:sz w:val="24"/>
          <w:szCs w:val="24"/>
        </w:rPr>
        <w:t>应对高处作业安全设施逐一加以检查，发现有松动、变形、损坏或脱落等现象，</w:t>
      </w:r>
      <w:r>
        <w:rPr>
          <w:spacing w:val="-29"/>
          <w:sz w:val="24"/>
          <w:szCs w:val="24"/>
        </w:rPr>
        <w:t>应立即修理完善。</w:t>
      </w:r>
    </w:p>
    <w:p w14:paraId="3185D2C9">
      <w:pPr>
        <w:pStyle w:val="2"/>
        <w:spacing w:before="1" w:line="215" w:lineRule="auto"/>
        <w:ind w:left="1903"/>
        <w:rPr>
          <w:sz w:val="24"/>
          <w:szCs w:val="24"/>
        </w:rPr>
      </w:pPr>
      <w:r>
        <w:rPr>
          <w:spacing w:val="-22"/>
          <w:sz w:val="24"/>
          <w:szCs w:val="24"/>
        </w:rPr>
        <w:t>第五节、脚手架搭设及拆除施工专项施工方案</w:t>
      </w:r>
    </w:p>
    <w:p w14:paraId="6B48D253">
      <w:pPr>
        <w:spacing w:line="215" w:lineRule="auto"/>
        <w:rPr>
          <w:sz w:val="24"/>
          <w:szCs w:val="24"/>
        </w:rPr>
        <w:sectPr>
          <w:footerReference r:id="rId424" w:type="default"/>
          <w:pgSz w:w="11907" w:h="16839"/>
          <w:pgMar w:top="933" w:right="4" w:bottom="1038" w:left="0" w:header="478" w:footer="357" w:gutter="0"/>
          <w:pgBorders>
            <w:top w:val="none" w:sz="0" w:space="0"/>
            <w:left w:val="none" w:sz="0" w:space="0"/>
            <w:bottom w:val="none" w:sz="0" w:space="0"/>
            <w:right w:val="none" w:sz="0" w:space="0"/>
          </w:pgBorders>
          <w:cols w:space="720" w:num="1"/>
        </w:sectPr>
      </w:pPr>
    </w:p>
    <w:p w14:paraId="422B0541">
      <w:pPr>
        <w:spacing w:line="271" w:lineRule="auto"/>
        <w:rPr>
          <w:rFonts w:ascii="Arial"/>
          <w:sz w:val="21"/>
        </w:rPr>
      </w:pPr>
    </w:p>
    <w:p w14:paraId="7AEFAAB9">
      <w:pPr>
        <w:pStyle w:val="2"/>
        <w:spacing w:before="78" w:line="216" w:lineRule="auto"/>
        <w:ind w:left="1903"/>
        <w:rPr>
          <w:sz w:val="24"/>
          <w:szCs w:val="24"/>
        </w:rPr>
      </w:pPr>
      <w:r>
        <w:rPr>
          <w:spacing w:val="-20"/>
          <w:sz w:val="24"/>
          <w:szCs w:val="24"/>
        </w:rPr>
        <w:t>1、脚手架的搭设作业</w:t>
      </w:r>
    </w:p>
    <w:p w14:paraId="12146E2A">
      <w:pPr>
        <w:pStyle w:val="2"/>
        <w:spacing w:before="120" w:line="217" w:lineRule="auto"/>
        <w:ind w:left="1894"/>
        <w:rPr>
          <w:sz w:val="24"/>
          <w:szCs w:val="24"/>
        </w:rPr>
      </w:pPr>
      <w:r>
        <w:rPr>
          <w:spacing w:val="-21"/>
          <w:sz w:val="24"/>
          <w:szCs w:val="24"/>
        </w:rPr>
        <w:t>搭设场地应平整，立杆下面需垫木垫板。</w:t>
      </w:r>
    </w:p>
    <w:p w14:paraId="6E2BE3B4">
      <w:pPr>
        <w:pStyle w:val="2"/>
        <w:spacing w:before="116" w:line="308" w:lineRule="auto"/>
        <w:ind w:left="1456" w:right="1410" w:firstLine="438"/>
        <w:rPr>
          <w:sz w:val="24"/>
          <w:szCs w:val="24"/>
        </w:rPr>
      </w:pPr>
      <w:r>
        <w:rPr>
          <w:spacing w:val="-20"/>
          <w:sz w:val="24"/>
          <w:szCs w:val="24"/>
        </w:rPr>
        <w:t>在搭设之前，必须对进场的脚手架杆配件进行严格的检查，禁止使用规格和质量不合格的</w:t>
      </w:r>
      <w:r>
        <w:rPr>
          <w:spacing w:val="-15"/>
          <w:sz w:val="24"/>
          <w:szCs w:val="24"/>
        </w:rPr>
        <w:t>杆配件。</w:t>
      </w:r>
    </w:p>
    <w:p w14:paraId="2BB80EB5">
      <w:pPr>
        <w:pStyle w:val="2"/>
        <w:spacing w:line="215" w:lineRule="auto"/>
        <w:ind w:left="1894"/>
        <w:rPr>
          <w:sz w:val="24"/>
          <w:szCs w:val="24"/>
        </w:rPr>
      </w:pPr>
      <w:r>
        <w:rPr>
          <w:spacing w:val="-21"/>
          <w:sz w:val="24"/>
          <w:szCs w:val="24"/>
        </w:rPr>
        <w:t>脚手架的搭设作业，必须在统一指挥下，严格按照以下规定</w:t>
      </w:r>
      <w:r>
        <w:rPr>
          <w:spacing w:val="-22"/>
          <w:sz w:val="24"/>
          <w:szCs w:val="24"/>
        </w:rPr>
        <w:t>程序进行：</w:t>
      </w:r>
    </w:p>
    <w:p w14:paraId="3FBF9AD9">
      <w:pPr>
        <w:pStyle w:val="2"/>
        <w:spacing w:before="119" w:line="217" w:lineRule="auto"/>
        <w:ind w:left="1893"/>
        <w:rPr>
          <w:sz w:val="24"/>
          <w:szCs w:val="24"/>
        </w:rPr>
      </w:pPr>
      <w:r>
        <w:rPr>
          <w:spacing w:val="-21"/>
          <w:sz w:val="24"/>
          <w:szCs w:val="24"/>
        </w:rPr>
        <w:t>按施工设计放线、铺垫板、设置底座或标定立杆位置。</w:t>
      </w:r>
    </w:p>
    <w:p w14:paraId="2A4EACEA">
      <w:pPr>
        <w:pStyle w:val="2"/>
        <w:spacing w:before="119" w:line="307" w:lineRule="auto"/>
        <w:ind w:left="1487" w:right="1410" w:firstLine="407"/>
        <w:rPr>
          <w:sz w:val="24"/>
          <w:szCs w:val="24"/>
        </w:rPr>
      </w:pPr>
      <w:r>
        <w:rPr>
          <w:spacing w:val="-20"/>
          <w:sz w:val="24"/>
          <w:szCs w:val="24"/>
        </w:rPr>
        <w:t>周边脚手架应从一个角部开始并向两边延伸交圈搭设；“一”字形脚手架应从一端开始并</w:t>
      </w:r>
      <w:r>
        <w:rPr>
          <w:spacing w:val="-23"/>
          <w:sz w:val="24"/>
          <w:szCs w:val="24"/>
        </w:rPr>
        <w:t>向另一端延伸搭设。</w:t>
      </w:r>
    </w:p>
    <w:p w14:paraId="44963078">
      <w:pPr>
        <w:pStyle w:val="2"/>
        <w:spacing w:before="2" w:line="308" w:lineRule="auto"/>
        <w:ind w:left="1487" w:right="1409" w:firstLine="444"/>
        <w:rPr>
          <w:sz w:val="24"/>
          <w:szCs w:val="24"/>
        </w:rPr>
      </w:pPr>
      <w:r>
        <w:rPr>
          <w:spacing w:val="-5"/>
          <w:sz w:val="24"/>
          <w:szCs w:val="24"/>
        </w:rPr>
        <w:t>应按定位依次竖起立杆，将立杆与纵、横向扫地杆连接固定，然后装设第l步的纵</w:t>
      </w:r>
      <w:r>
        <w:rPr>
          <w:spacing w:val="-22"/>
          <w:sz w:val="24"/>
          <w:szCs w:val="24"/>
        </w:rPr>
        <w:t>向和横向平杆，随校正立杆垂直之后予以固定，并按此要求继</w:t>
      </w:r>
      <w:r>
        <w:rPr>
          <w:spacing w:val="-23"/>
          <w:sz w:val="24"/>
          <w:szCs w:val="24"/>
        </w:rPr>
        <w:t>续向上搭设。</w:t>
      </w:r>
    </w:p>
    <w:p w14:paraId="01585F05">
      <w:pPr>
        <w:pStyle w:val="2"/>
        <w:spacing w:before="1" w:line="306" w:lineRule="auto"/>
        <w:ind w:left="1458" w:right="1409" w:firstLine="436"/>
        <w:rPr>
          <w:sz w:val="24"/>
          <w:szCs w:val="24"/>
        </w:rPr>
      </w:pPr>
      <w:r>
        <w:rPr>
          <w:spacing w:val="-20"/>
          <w:sz w:val="24"/>
          <w:szCs w:val="24"/>
        </w:rPr>
        <w:t>在设置第一排连墙件前，“—”字形脚手架应设置必要数量的抛撑；以确保构架稳定和架</w:t>
      </w:r>
      <w:r>
        <w:rPr>
          <w:spacing w:val="-18"/>
          <w:sz w:val="24"/>
          <w:szCs w:val="24"/>
        </w:rPr>
        <w:t>上作业人员的安全。边长≥20m的周边脚手架，亦应适量设置抛撑。</w:t>
      </w:r>
    </w:p>
    <w:p w14:paraId="7F0BC8C5">
      <w:pPr>
        <w:pStyle w:val="2"/>
        <w:spacing w:before="3" w:line="217" w:lineRule="auto"/>
        <w:ind w:left="1895"/>
        <w:rPr>
          <w:sz w:val="24"/>
          <w:szCs w:val="24"/>
        </w:rPr>
      </w:pPr>
      <w:r>
        <w:rPr>
          <w:spacing w:val="-22"/>
          <w:sz w:val="24"/>
          <w:szCs w:val="24"/>
        </w:rPr>
        <w:t>剪刀撑、斜杆等整体拉结杆件和连墙件应随搭升的架子一起及时设置。</w:t>
      </w:r>
    </w:p>
    <w:p w14:paraId="3796CCFD">
      <w:pPr>
        <w:pStyle w:val="2"/>
        <w:spacing w:before="119" w:line="307" w:lineRule="auto"/>
        <w:ind w:left="1447" w:right="1373" w:firstLine="477"/>
        <w:rPr>
          <w:sz w:val="24"/>
          <w:szCs w:val="24"/>
        </w:rPr>
      </w:pPr>
      <w:r>
        <w:rPr>
          <w:spacing w:val="-9"/>
          <w:sz w:val="24"/>
          <w:szCs w:val="24"/>
        </w:rPr>
        <w:t>脚手架处于顶层连墙点之上的自由高度不得大于6m。当</w:t>
      </w:r>
      <w:r>
        <w:rPr>
          <w:spacing w:val="-10"/>
          <w:sz w:val="24"/>
          <w:szCs w:val="24"/>
        </w:rPr>
        <w:t>作业层高出其下连墙件3步或</w:t>
      </w:r>
      <w:r>
        <w:rPr>
          <w:spacing w:val="-21"/>
          <w:sz w:val="24"/>
          <w:szCs w:val="24"/>
        </w:rPr>
        <w:t>4m以上、且其上尚无连墙件时，应采取适当的临时撑拉措施。</w:t>
      </w:r>
    </w:p>
    <w:p w14:paraId="2058D010">
      <w:pPr>
        <w:pStyle w:val="2"/>
        <w:spacing w:before="1" w:line="307" w:lineRule="auto"/>
        <w:ind w:left="1473" w:right="1410" w:firstLine="420"/>
        <w:rPr>
          <w:sz w:val="24"/>
          <w:szCs w:val="24"/>
        </w:rPr>
      </w:pPr>
      <w:r>
        <w:rPr>
          <w:spacing w:val="-20"/>
          <w:sz w:val="24"/>
          <w:szCs w:val="24"/>
        </w:rPr>
        <w:t>脚手板或其它作业层板铺板的铺设应符合以下规定：脚手板或其它铺板应铺平铺稳，必要</w:t>
      </w:r>
      <w:r>
        <w:rPr>
          <w:spacing w:val="-21"/>
          <w:sz w:val="24"/>
          <w:szCs w:val="24"/>
        </w:rPr>
        <w:t>时应予绑扎固定。</w:t>
      </w:r>
    </w:p>
    <w:p w14:paraId="128DE02A">
      <w:pPr>
        <w:pStyle w:val="2"/>
        <w:spacing w:line="215" w:lineRule="auto"/>
        <w:ind w:left="1894"/>
        <w:rPr>
          <w:sz w:val="24"/>
          <w:szCs w:val="24"/>
        </w:rPr>
      </w:pPr>
      <w:r>
        <w:rPr>
          <w:spacing w:val="-20"/>
          <w:sz w:val="24"/>
          <w:szCs w:val="24"/>
        </w:rPr>
        <w:t>脚手板采用对接平铺时，在对接处，与其下两侧支承横杆的距离应控制在100～</w:t>
      </w:r>
      <w:r>
        <w:rPr>
          <w:spacing w:val="-21"/>
          <w:sz w:val="24"/>
          <w:szCs w:val="24"/>
        </w:rPr>
        <w:t>200mm间。</w:t>
      </w:r>
    </w:p>
    <w:p w14:paraId="2E4062DC">
      <w:pPr>
        <w:pStyle w:val="2"/>
        <w:spacing w:before="120" w:line="308" w:lineRule="auto"/>
        <w:ind w:left="1455" w:right="1333" w:firstLine="438"/>
        <w:rPr>
          <w:sz w:val="24"/>
          <w:szCs w:val="24"/>
        </w:rPr>
      </w:pPr>
      <w:r>
        <w:rPr>
          <w:spacing w:val="-19"/>
          <w:sz w:val="24"/>
          <w:szCs w:val="24"/>
        </w:rPr>
        <w:t>脚手板采用搭设铺放时，其搭接长度不得小于200mm，且在搭接段的中</w:t>
      </w:r>
      <w:r>
        <w:rPr>
          <w:spacing w:val="-20"/>
          <w:sz w:val="24"/>
          <w:szCs w:val="24"/>
        </w:rPr>
        <w:t>部应设有支承横杆。</w:t>
      </w:r>
      <w:r>
        <w:rPr>
          <w:spacing w:val="-17"/>
          <w:sz w:val="24"/>
          <w:szCs w:val="24"/>
        </w:rPr>
        <w:t>铺板严禁出现端头超出支承横杆250mm以上未作固定的探头板。</w:t>
      </w:r>
    </w:p>
    <w:p w14:paraId="3E0D304E">
      <w:pPr>
        <w:pStyle w:val="2"/>
        <w:spacing w:before="1" w:line="308" w:lineRule="auto"/>
        <w:ind w:left="1468" w:right="1409" w:firstLine="424"/>
        <w:rPr>
          <w:sz w:val="24"/>
          <w:szCs w:val="24"/>
        </w:rPr>
      </w:pPr>
      <w:r>
        <w:rPr>
          <w:spacing w:val="-20"/>
          <w:sz w:val="24"/>
          <w:szCs w:val="24"/>
        </w:rPr>
        <w:t>长脚手板采用纵向铺设时，其下支承横杆的间距不得大于1.0m；纵铺脚手板应在脚手架的</w:t>
      </w:r>
      <w:r>
        <w:rPr>
          <w:spacing w:val="-18"/>
          <w:sz w:val="24"/>
          <w:szCs w:val="24"/>
        </w:rPr>
        <w:t>两端和拐角处支承横杆绑扎固定；沿板长方向每隔1.5～2.0m。</w:t>
      </w:r>
    </w:p>
    <w:p w14:paraId="28B6CBCF">
      <w:pPr>
        <w:pStyle w:val="2"/>
        <w:spacing w:before="1" w:line="307" w:lineRule="auto"/>
        <w:ind w:left="1463" w:right="1409" w:firstLine="432"/>
        <w:rPr>
          <w:sz w:val="24"/>
          <w:szCs w:val="24"/>
        </w:rPr>
      </w:pPr>
      <w:r>
        <w:rPr>
          <w:spacing w:val="-20"/>
          <w:sz w:val="24"/>
          <w:szCs w:val="24"/>
        </w:rPr>
        <w:t>装设连墙件或其它撑拉杆件时，应注意掌握撑拉的松紧程度，避免引起杆件和整架的显著</w:t>
      </w:r>
      <w:r>
        <w:rPr>
          <w:spacing w:val="-22"/>
          <w:sz w:val="24"/>
          <w:szCs w:val="24"/>
        </w:rPr>
        <w:t>变形。</w:t>
      </w:r>
    </w:p>
    <w:p w14:paraId="61185F6E">
      <w:pPr>
        <w:pStyle w:val="2"/>
        <w:spacing w:before="2" w:line="307" w:lineRule="auto"/>
        <w:ind w:left="1455" w:right="1432" w:firstLine="457"/>
        <w:jc w:val="both"/>
        <w:rPr>
          <w:sz w:val="24"/>
          <w:szCs w:val="24"/>
        </w:rPr>
      </w:pPr>
      <w:r>
        <w:rPr>
          <w:spacing w:val="-15"/>
          <w:sz w:val="24"/>
          <w:szCs w:val="24"/>
        </w:rPr>
        <w:t>工人在架上进行搭设作业时，作业面上宜铺设必要数量的脚手板并予临时固定。工人必</w:t>
      </w:r>
      <w:r>
        <w:rPr>
          <w:spacing w:val="-20"/>
          <w:sz w:val="24"/>
          <w:szCs w:val="24"/>
        </w:rPr>
        <w:t>须戴安全帽和佩挂安全带。不得单人进行装设较重杆配件和其它易发生失衡</w:t>
      </w:r>
      <w:r>
        <w:rPr>
          <w:spacing w:val="-21"/>
          <w:sz w:val="24"/>
          <w:szCs w:val="24"/>
        </w:rPr>
        <w:t>、脱手、碰撞、滑</w:t>
      </w:r>
      <w:r>
        <w:rPr>
          <w:spacing w:val="-9"/>
          <w:sz w:val="24"/>
          <w:szCs w:val="24"/>
        </w:rPr>
        <w:t>跌等不安全的作业。</w:t>
      </w:r>
    </w:p>
    <w:p w14:paraId="74101963">
      <w:pPr>
        <w:pStyle w:val="2"/>
        <w:spacing w:before="2" w:line="307" w:lineRule="auto"/>
        <w:ind w:left="1459" w:right="1414" w:firstLine="435"/>
        <w:rPr>
          <w:sz w:val="24"/>
          <w:szCs w:val="24"/>
        </w:rPr>
      </w:pPr>
      <w:r>
        <w:rPr>
          <w:spacing w:val="-18"/>
          <w:sz w:val="24"/>
          <w:szCs w:val="24"/>
        </w:rPr>
        <w:t>在搭设中不得随意改变构架设计、减少杆配件设置和对立杆纵距作</w:t>
      </w:r>
      <w:r>
        <w:rPr>
          <w:spacing w:val="-19"/>
          <w:sz w:val="24"/>
          <w:szCs w:val="24"/>
        </w:rPr>
        <w:t>≥100mm的构架尺寸放</w:t>
      </w:r>
      <w:r>
        <w:rPr>
          <w:spacing w:val="-21"/>
          <w:sz w:val="24"/>
          <w:szCs w:val="24"/>
        </w:rPr>
        <w:t>大。确有实际情况，需要对构架作调整和改变时，应</w:t>
      </w:r>
      <w:r>
        <w:rPr>
          <w:spacing w:val="-22"/>
          <w:sz w:val="24"/>
          <w:szCs w:val="24"/>
        </w:rPr>
        <w:t>提交技术主管人员解决。</w:t>
      </w:r>
    </w:p>
    <w:p w14:paraId="5DD79C6F">
      <w:pPr>
        <w:pStyle w:val="2"/>
        <w:spacing w:before="1" w:line="215" w:lineRule="auto"/>
        <w:ind w:left="1894"/>
        <w:rPr>
          <w:sz w:val="24"/>
          <w:szCs w:val="24"/>
        </w:rPr>
      </w:pPr>
      <w:r>
        <w:rPr>
          <w:spacing w:val="-22"/>
          <w:sz w:val="24"/>
          <w:szCs w:val="24"/>
        </w:rPr>
        <w:t>脚手架的搭设必须整齐美观，突出部分的脚手架必须整齐划一，外架安全网必须清洁整齐。</w:t>
      </w:r>
    </w:p>
    <w:p w14:paraId="52CAA1D8">
      <w:pPr>
        <w:pStyle w:val="2"/>
        <w:spacing w:before="120" w:line="216" w:lineRule="auto"/>
        <w:ind w:left="1888"/>
        <w:rPr>
          <w:sz w:val="24"/>
          <w:szCs w:val="24"/>
        </w:rPr>
      </w:pPr>
      <w:r>
        <w:rPr>
          <w:spacing w:val="-17"/>
          <w:sz w:val="24"/>
          <w:szCs w:val="24"/>
        </w:rPr>
        <w:t>2、脚手架的使用</w:t>
      </w:r>
    </w:p>
    <w:p w14:paraId="07C7C919">
      <w:pPr>
        <w:pStyle w:val="2"/>
        <w:spacing w:before="121" w:line="306" w:lineRule="auto"/>
        <w:ind w:left="1455" w:right="1409" w:firstLine="439"/>
        <w:rPr>
          <w:sz w:val="24"/>
          <w:szCs w:val="24"/>
        </w:rPr>
      </w:pPr>
      <w:r>
        <w:rPr>
          <w:spacing w:val="-20"/>
          <w:sz w:val="24"/>
          <w:szCs w:val="24"/>
        </w:rPr>
        <w:t>在架面上设置的材料应码放整齐稳固，不影响施工操作和人员通行。按通行手推车要求搭</w:t>
      </w:r>
      <w:r>
        <w:rPr>
          <w:spacing w:val="-21"/>
          <w:sz w:val="24"/>
          <w:szCs w:val="24"/>
        </w:rPr>
        <w:t>设的脚手架应确保车道畅通。严禁上架人员在架面上奔跑、退</w:t>
      </w:r>
      <w:r>
        <w:rPr>
          <w:spacing w:val="-22"/>
          <w:sz w:val="24"/>
          <w:szCs w:val="24"/>
        </w:rPr>
        <w:t>行或倒退拉车。</w:t>
      </w:r>
    </w:p>
    <w:p w14:paraId="760D688B">
      <w:pPr>
        <w:pStyle w:val="2"/>
        <w:spacing w:before="4" w:line="307" w:lineRule="auto"/>
        <w:ind w:left="1455" w:right="1409" w:firstLine="441"/>
        <w:rPr>
          <w:sz w:val="24"/>
          <w:szCs w:val="24"/>
        </w:rPr>
      </w:pPr>
      <w:r>
        <w:rPr>
          <w:spacing w:val="-20"/>
          <w:sz w:val="24"/>
          <w:szCs w:val="24"/>
        </w:rPr>
        <w:t>作业人员在架上的最大作业高度应以可进行正常操作为度，禁止在脚手板上加垫器物或单块脚手板以增加操作高度。</w:t>
      </w:r>
    </w:p>
    <w:p w14:paraId="430A0FE7">
      <w:pPr>
        <w:pStyle w:val="2"/>
        <w:spacing w:line="215" w:lineRule="auto"/>
        <w:ind w:left="1895"/>
        <w:rPr>
          <w:sz w:val="24"/>
          <w:szCs w:val="24"/>
        </w:rPr>
      </w:pPr>
      <w:r>
        <w:rPr>
          <w:spacing w:val="-20"/>
          <w:sz w:val="24"/>
          <w:szCs w:val="24"/>
        </w:rPr>
        <w:t>在作业中，禁止随意拆除脚手架的基本构架杆件、整体性杆件、连接紧固件</w:t>
      </w:r>
      <w:r>
        <w:rPr>
          <w:spacing w:val="-21"/>
          <w:sz w:val="24"/>
          <w:szCs w:val="24"/>
        </w:rPr>
        <w:t>和连墙件。确</w:t>
      </w:r>
    </w:p>
    <w:p w14:paraId="15EFB420">
      <w:pPr>
        <w:spacing w:line="215" w:lineRule="auto"/>
        <w:rPr>
          <w:sz w:val="24"/>
          <w:szCs w:val="24"/>
        </w:rPr>
        <w:sectPr>
          <w:footerReference r:id="rId425" w:type="default"/>
          <w:pgSz w:w="11907" w:h="16839"/>
          <w:pgMar w:top="933" w:right="4" w:bottom="1038" w:left="0" w:header="478" w:footer="357" w:gutter="0"/>
          <w:pgBorders>
            <w:top w:val="none" w:sz="0" w:space="0"/>
            <w:left w:val="none" w:sz="0" w:space="0"/>
            <w:bottom w:val="none" w:sz="0" w:space="0"/>
            <w:right w:val="none" w:sz="0" w:space="0"/>
          </w:pgBorders>
          <w:cols w:space="720" w:num="1"/>
        </w:sectPr>
      </w:pPr>
    </w:p>
    <w:p w14:paraId="41AA200D">
      <w:pPr>
        <w:spacing w:line="270" w:lineRule="auto"/>
        <w:rPr>
          <w:rFonts w:ascii="Arial"/>
          <w:sz w:val="21"/>
        </w:rPr>
      </w:pPr>
    </w:p>
    <w:p w14:paraId="7BDB07D2">
      <w:pPr>
        <w:pStyle w:val="2"/>
        <w:spacing w:before="78" w:line="308" w:lineRule="auto"/>
        <w:ind w:left="1461" w:right="1409" w:firstLine="19"/>
        <w:rPr>
          <w:sz w:val="24"/>
          <w:szCs w:val="24"/>
        </w:rPr>
      </w:pPr>
      <w:r>
        <w:rPr>
          <w:spacing w:val="-3"/>
          <w:sz w:val="24"/>
          <w:szCs w:val="24"/>
        </w:rPr>
        <w:t>因操作要求需要临时拆除时，必须经安全主管人员同意，采取相应弥补措施，并在作业</w:t>
      </w:r>
      <w:r>
        <w:rPr>
          <w:spacing w:val="-20"/>
          <w:sz w:val="24"/>
          <w:szCs w:val="24"/>
        </w:rPr>
        <w:t>完毕后，及时予以恢复。</w:t>
      </w:r>
    </w:p>
    <w:p w14:paraId="6AC30AF6">
      <w:pPr>
        <w:pStyle w:val="2"/>
        <w:spacing w:line="308" w:lineRule="auto"/>
        <w:ind w:left="1463" w:right="1410" w:firstLine="435"/>
        <w:rPr>
          <w:sz w:val="24"/>
          <w:szCs w:val="24"/>
        </w:rPr>
      </w:pPr>
      <w:r>
        <w:rPr>
          <w:spacing w:val="-20"/>
          <w:sz w:val="24"/>
          <w:szCs w:val="24"/>
        </w:rPr>
        <w:t>工人在架上作业中，应注意自身安全保护和他人的安全，避免发生碰撞、闪失和落物。严</w:t>
      </w:r>
      <w:r>
        <w:rPr>
          <w:spacing w:val="-21"/>
          <w:sz w:val="24"/>
          <w:szCs w:val="24"/>
        </w:rPr>
        <w:t>禁在架上戏闹和坐在栏杆上等不安全处休息。</w:t>
      </w:r>
    </w:p>
    <w:p w14:paraId="4F9B6C28">
      <w:pPr>
        <w:pStyle w:val="2"/>
        <w:spacing w:line="216" w:lineRule="auto"/>
        <w:ind w:left="1896"/>
        <w:rPr>
          <w:sz w:val="24"/>
          <w:szCs w:val="24"/>
        </w:rPr>
      </w:pPr>
      <w:r>
        <w:rPr>
          <w:spacing w:val="-21"/>
          <w:sz w:val="24"/>
          <w:szCs w:val="24"/>
        </w:rPr>
        <w:t>人员上下脚手架必须走安全防护的出入通(马)道，严禁攀援脚手架上下。</w:t>
      </w:r>
    </w:p>
    <w:p w14:paraId="575A5FBF">
      <w:pPr>
        <w:pStyle w:val="2"/>
        <w:spacing w:before="116" w:line="308" w:lineRule="auto"/>
        <w:ind w:left="1460" w:right="1410" w:firstLine="441"/>
        <w:rPr>
          <w:sz w:val="24"/>
          <w:szCs w:val="24"/>
        </w:rPr>
      </w:pPr>
      <w:r>
        <w:rPr>
          <w:spacing w:val="-20"/>
          <w:sz w:val="24"/>
          <w:szCs w:val="24"/>
        </w:rPr>
        <w:t>每班工人上架作业时，应先行检查有无影响安全作业的问题存在，在排除和解决问题后方可进行作业。在作业中发现有不安全的情况和迹象时，应立即停止作业进行检查，解决以后才</w:t>
      </w:r>
      <w:r>
        <w:rPr>
          <w:spacing w:val="-14"/>
          <w:sz w:val="24"/>
          <w:szCs w:val="24"/>
        </w:rPr>
        <w:t>能恢复正常作业；发现有异常和危险情况时，应立即通</w:t>
      </w:r>
      <w:r>
        <w:rPr>
          <w:spacing w:val="-15"/>
          <w:sz w:val="24"/>
          <w:szCs w:val="24"/>
        </w:rPr>
        <w:t>知所有架上人员撤离。</w:t>
      </w:r>
    </w:p>
    <w:p w14:paraId="1F56DA77">
      <w:pPr>
        <w:pStyle w:val="2"/>
        <w:spacing w:before="3" w:line="307" w:lineRule="auto"/>
        <w:ind w:left="1459" w:right="1414" w:firstLine="471"/>
        <w:jc w:val="both"/>
        <w:rPr>
          <w:sz w:val="24"/>
          <w:szCs w:val="24"/>
        </w:rPr>
      </w:pPr>
      <w:r>
        <w:rPr>
          <w:spacing w:val="-9"/>
          <w:sz w:val="24"/>
          <w:szCs w:val="24"/>
        </w:rPr>
        <w:t>在每步架的作业完成之后，必须将架上剩余材料物品移至上（下）步架或室</w:t>
      </w:r>
      <w:r>
        <w:rPr>
          <w:spacing w:val="-10"/>
          <w:sz w:val="24"/>
          <w:szCs w:val="24"/>
        </w:rPr>
        <w:t>内；每日</w:t>
      </w:r>
      <w:r>
        <w:rPr>
          <w:spacing w:val="-9"/>
          <w:sz w:val="24"/>
          <w:szCs w:val="24"/>
        </w:rPr>
        <w:t>收工前应清理架面，将架面上的材料物品堆放整齐，垃圾清运出去；在作业期间，应及时</w:t>
      </w:r>
      <w:r>
        <w:rPr>
          <w:spacing w:val="-22"/>
          <w:sz w:val="24"/>
          <w:szCs w:val="24"/>
        </w:rPr>
        <w:t>清理落人安全网内的材料和物品。在任何情况下，严禁自架上向下抛掷材料物品和倾倒垃圾。</w:t>
      </w:r>
    </w:p>
    <w:p w14:paraId="3B346EAB">
      <w:pPr>
        <w:pStyle w:val="2"/>
        <w:spacing w:before="1" w:line="215" w:lineRule="auto"/>
        <w:ind w:left="1890"/>
        <w:rPr>
          <w:sz w:val="24"/>
          <w:szCs w:val="24"/>
        </w:rPr>
      </w:pPr>
      <w:r>
        <w:rPr>
          <w:spacing w:val="-17"/>
          <w:sz w:val="24"/>
          <w:szCs w:val="24"/>
        </w:rPr>
        <w:t>3、脚手架的拆除</w:t>
      </w:r>
    </w:p>
    <w:p w14:paraId="45CA7457">
      <w:pPr>
        <w:pStyle w:val="2"/>
        <w:spacing w:before="121" w:line="307" w:lineRule="auto"/>
        <w:ind w:left="1456" w:right="1409" w:firstLine="436"/>
        <w:rPr>
          <w:sz w:val="24"/>
          <w:szCs w:val="24"/>
        </w:rPr>
      </w:pPr>
      <w:r>
        <w:rPr>
          <w:spacing w:val="-19"/>
          <w:sz w:val="24"/>
          <w:szCs w:val="24"/>
        </w:rPr>
        <w:t>拆除前，安全管理部门要向拆除施工人员进行书</w:t>
      </w:r>
      <w:r>
        <w:rPr>
          <w:spacing w:val="-20"/>
          <w:sz w:val="24"/>
          <w:szCs w:val="24"/>
        </w:rPr>
        <w:t>面安全技术交底</w:t>
      </w:r>
      <w:r>
        <w:rPr>
          <w:spacing w:val="-22"/>
          <w:sz w:val="24"/>
          <w:szCs w:val="24"/>
        </w:rPr>
        <w:t>，，</w:t>
      </w:r>
      <w:r>
        <w:rPr>
          <w:spacing w:val="-20"/>
          <w:sz w:val="24"/>
          <w:szCs w:val="24"/>
        </w:rPr>
        <w:t>班组要学习安全技术</w:t>
      </w:r>
      <w:r>
        <w:rPr>
          <w:spacing w:val="-17"/>
          <w:sz w:val="24"/>
          <w:szCs w:val="24"/>
        </w:rPr>
        <w:t>操作规程。</w:t>
      </w:r>
    </w:p>
    <w:p w14:paraId="6C5B8BD6">
      <w:pPr>
        <w:pStyle w:val="2"/>
        <w:spacing w:before="1" w:line="215" w:lineRule="auto"/>
        <w:ind w:left="1893"/>
        <w:rPr>
          <w:sz w:val="24"/>
          <w:szCs w:val="24"/>
        </w:rPr>
      </w:pPr>
      <w:r>
        <w:rPr>
          <w:spacing w:val="-21"/>
          <w:sz w:val="24"/>
          <w:szCs w:val="24"/>
        </w:rPr>
        <w:t>拆除脚手架时，地面设围栏和警戒标志，并派专人看守，严禁</w:t>
      </w:r>
      <w:r>
        <w:rPr>
          <w:spacing w:val="-22"/>
          <w:sz w:val="24"/>
          <w:szCs w:val="24"/>
        </w:rPr>
        <w:t>一切非操作人员入内。</w:t>
      </w:r>
    </w:p>
    <w:p w14:paraId="05039EE3">
      <w:pPr>
        <w:pStyle w:val="2"/>
        <w:spacing w:before="121" w:line="307" w:lineRule="auto"/>
        <w:ind w:left="1457" w:right="1409" w:firstLine="441"/>
        <w:rPr>
          <w:sz w:val="24"/>
          <w:szCs w:val="24"/>
        </w:rPr>
      </w:pPr>
      <w:r>
        <w:rPr>
          <w:spacing w:val="-20"/>
          <w:sz w:val="24"/>
          <w:szCs w:val="24"/>
        </w:rPr>
        <w:t>全面检查脚手架的扣件连接，连墙杆支撑是否牢固、安全。清除脚手架上杂物及地面障碍</w:t>
      </w:r>
      <w:r>
        <w:rPr>
          <w:spacing w:val="-18"/>
          <w:sz w:val="24"/>
          <w:szCs w:val="24"/>
        </w:rPr>
        <w:t>物。</w:t>
      </w:r>
    </w:p>
    <w:p w14:paraId="2E3B696B">
      <w:pPr>
        <w:pStyle w:val="2"/>
        <w:spacing w:line="217" w:lineRule="auto"/>
        <w:ind w:left="1893"/>
        <w:rPr>
          <w:sz w:val="24"/>
          <w:szCs w:val="24"/>
        </w:rPr>
      </w:pPr>
      <w:r>
        <w:rPr>
          <w:spacing w:val="-21"/>
          <w:sz w:val="24"/>
          <w:szCs w:val="24"/>
        </w:rPr>
        <w:t>拆除时，先搭的后拆，后搭的先拆。</w:t>
      </w:r>
    </w:p>
    <w:p w14:paraId="764CF63F">
      <w:pPr>
        <w:pStyle w:val="2"/>
        <w:spacing w:before="117" w:line="308" w:lineRule="auto"/>
        <w:ind w:left="1463" w:right="1421" w:firstLine="430"/>
        <w:rPr>
          <w:sz w:val="24"/>
          <w:szCs w:val="24"/>
        </w:rPr>
      </w:pPr>
      <w:r>
        <w:rPr>
          <w:spacing w:val="-20"/>
          <w:sz w:val="24"/>
          <w:szCs w:val="24"/>
        </w:rPr>
        <w:t>所有连墙杆随脚手架逐层拆除，严禁先将连墙杆整层或数层拆除后再拆脚手架。分段拆除</w:t>
      </w:r>
      <w:r>
        <w:rPr>
          <w:spacing w:val="-16"/>
          <w:sz w:val="24"/>
          <w:szCs w:val="24"/>
        </w:rPr>
        <w:t>高低差不大于2步，如高差大于2步时增设连墙杆加固。</w:t>
      </w:r>
    </w:p>
    <w:p w14:paraId="3418C90C">
      <w:pPr>
        <w:pStyle w:val="2"/>
        <w:spacing w:before="1" w:line="308" w:lineRule="auto"/>
        <w:ind w:left="1456" w:right="1409" w:firstLine="462"/>
        <w:rPr>
          <w:sz w:val="24"/>
          <w:szCs w:val="24"/>
        </w:rPr>
      </w:pPr>
      <w:r>
        <w:rPr>
          <w:spacing w:val="-20"/>
          <w:sz w:val="24"/>
          <w:szCs w:val="24"/>
        </w:rPr>
        <w:t>当脚手架拆至下部最后一根长钢管的高度时，应先在适当位置搭临时抛</w:t>
      </w:r>
      <w:r>
        <w:rPr>
          <w:spacing w:val="-21"/>
          <w:sz w:val="24"/>
          <w:szCs w:val="24"/>
        </w:rPr>
        <w:t>撑加固，后拆连墙</w:t>
      </w:r>
      <w:r>
        <w:rPr>
          <w:spacing w:val="-8"/>
          <w:sz w:val="24"/>
          <w:szCs w:val="24"/>
        </w:rPr>
        <w:t>杆。</w:t>
      </w:r>
    </w:p>
    <w:p w14:paraId="43B15D90">
      <w:pPr>
        <w:pStyle w:val="2"/>
        <w:spacing w:before="1" w:line="215" w:lineRule="auto"/>
        <w:ind w:left="1893"/>
        <w:rPr>
          <w:sz w:val="24"/>
          <w:szCs w:val="24"/>
        </w:rPr>
      </w:pPr>
      <w:r>
        <w:rPr>
          <w:spacing w:val="-21"/>
          <w:sz w:val="24"/>
          <w:szCs w:val="24"/>
        </w:rPr>
        <w:t>拆除架子时，地面要有专人指挥、清料，随拆随运，禁止往</w:t>
      </w:r>
      <w:r>
        <w:rPr>
          <w:spacing w:val="-22"/>
          <w:sz w:val="24"/>
          <w:szCs w:val="24"/>
        </w:rPr>
        <w:t>下乱扔脚手架料具。</w:t>
      </w:r>
    </w:p>
    <w:p w14:paraId="6B18C276">
      <w:pPr>
        <w:pStyle w:val="2"/>
        <w:spacing w:before="118" w:line="216" w:lineRule="auto"/>
        <w:ind w:left="1895"/>
        <w:rPr>
          <w:sz w:val="24"/>
          <w:szCs w:val="24"/>
        </w:rPr>
      </w:pPr>
      <w:r>
        <w:rPr>
          <w:spacing w:val="-21"/>
          <w:sz w:val="24"/>
          <w:szCs w:val="24"/>
        </w:rPr>
        <w:t>六级及六级以上大风和雨天应停止脚手架作业，雨后</w:t>
      </w:r>
      <w:r>
        <w:rPr>
          <w:spacing w:val="-22"/>
          <w:sz w:val="24"/>
          <w:szCs w:val="24"/>
        </w:rPr>
        <w:t>上架操作应注意防滑，并扫除积雪。</w:t>
      </w:r>
    </w:p>
    <w:p w14:paraId="35AA530B">
      <w:pPr>
        <w:pStyle w:val="2"/>
        <w:spacing w:before="69" w:line="217" w:lineRule="auto"/>
        <w:ind w:left="4032"/>
        <w:outlineLvl w:val="1"/>
        <w:rPr>
          <w:sz w:val="30"/>
          <w:szCs w:val="30"/>
        </w:rPr>
      </w:pPr>
      <w:bookmarkStart w:id="304" w:name="bookmark289"/>
      <w:bookmarkEnd w:id="304"/>
      <w:r>
        <w:rPr>
          <w:b/>
          <w:bCs/>
          <w:color w:val="0070C0"/>
          <w:spacing w:val="-24"/>
          <w:sz w:val="30"/>
          <w:szCs w:val="30"/>
        </w:rPr>
        <w:t>第四节、拆除工程专项施工方案</w:t>
      </w:r>
    </w:p>
    <w:p w14:paraId="4BD6365F">
      <w:pPr>
        <w:pStyle w:val="2"/>
        <w:spacing w:before="97" w:line="308" w:lineRule="auto"/>
        <w:ind w:left="1455" w:right="1414" w:firstLine="446"/>
        <w:jc w:val="both"/>
        <w:rPr>
          <w:sz w:val="24"/>
          <w:szCs w:val="24"/>
        </w:rPr>
      </w:pPr>
      <w:r>
        <w:rPr>
          <w:spacing w:val="-20"/>
          <w:sz w:val="24"/>
          <w:szCs w:val="24"/>
        </w:rPr>
        <w:t>包含设计图纸施工范围内的各类附属结构物、建筑物</w:t>
      </w:r>
      <w:r>
        <w:rPr>
          <w:spacing w:val="-21"/>
          <w:sz w:val="24"/>
          <w:szCs w:val="24"/>
        </w:rPr>
        <w:t>及围墙、临时便道、便桥、箱涵、挡</w:t>
      </w:r>
      <w:r>
        <w:rPr>
          <w:spacing w:val="-20"/>
          <w:sz w:val="24"/>
          <w:szCs w:val="24"/>
        </w:rPr>
        <w:t>墙、花池树池等、施工范围内排水管道、管道基础、雨水口、检查井、排水渠、过水涵洞、箱涵、电力工井等拆除及回填、各类型路面、绿化带、侧石、杆线及基础、设备基础、伐树、各</w:t>
      </w:r>
      <w:r>
        <w:rPr>
          <w:spacing w:val="-21"/>
          <w:sz w:val="24"/>
          <w:szCs w:val="24"/>
        </w:rPr>
        <w:t>类树根等及施工范围内不可预见的其他拆除（清单中列明的拆除工程量除外）。</w:t>
      </w:r>
    </w:p>
    <w:p w14:paraId="329703D0">
      <w:pPr>
        <w:pStyle w:val="2"/>
        <w:spacing w:line="217" w:lineRule="auto"/>
        <w:ind w:left="1903"/>
        <w:rPr>
          <w:sz w:val="24"/>
          <w:szCs w:val="24"/>
        </w:rPr>
      </w:pPr>
      <w:r>
        <w:rPr>
          <w:spacing w:val="-21"/>
          <w:sz w:val="24"/>
          <w:szCs w:val="24"/>
        </w:rPr>
        <w:t>1、施工准备：将现场清理干净，测量放出管道中心线和基坑开挖</w:t>
      </w:r>
      <w:r>
        <w:rPr>
          <w:spacing w:val="-22"/>
          <w:sz w:val="24"/>
          <w:szCs w:val="24"/>
        </w:rPr>
        <w:t>边线。</w:t>
      </w:r>
    </w:p>
    <w:p w14:paraId="7AA94E43">
      <w:pPr>
        <w:pStyle w:val="2"/>
        <w:spacing w:before="119" w:line="218" w:lineRule="auto"/>
        <w:ind w:left="1888"/>
        <w:rPr>
          <w:sz w:val="24"/>
          <w:szCs w:val="24"/>
        </w:rPr>
      </w:pPr>
      <w:r>
        <w:rPr>
          <w:spacing w:val="-19"/>
          <w:sz w:val="24"/>
          <w:szCs w:val="24"/>
        </w:rPr>
        <w:t>2、拆除旧路面及基坑开挖</w:t>
      </w:r>
    </w:p>
    <w:p w14:paraId="091C0317">
      <w:pPr>
        <w:pStyle w:val="2"/>
        <w:spacing w:before="82" w:line="219" w:lineRule="auto"/>
        <w:ind w:left="1981"/>
        <w:outlineLvl w:val="2"/>
        <w:rPr>
          <w:sz w:val="28"/>
          <w:szCs w:val="28"/>
        </w:rPr>
      </w:pPr>
      <w:bookmarkStart w:id="305" w:name="bookmark290"/>
      <w:bookmarkEnd w:id="305"/>
      <w:r>
        <w:rPr>
          <w:b/>
          <w:bCs/>
          <w:spacing w:val="-21"/>
          <w:sz w:val="28"/>
          <w:szCs w:val="28"/>
        </w:rPr>
        <w:t>一、施工测量</w:t>
      </w:r>
    </w:p>
    <w:p w14:paraId="0FC17975">
      <w:pPr>
        <w:pStyle w:val="2"/>
        <w:spacing w:before="102" w:line="308" w:lineRule="auto"/>
        <w:ind w:left="1457" w:right="1409" w:firstLine="466"/>
        <w:rPr>
          <w:sz w:val="24"/>
          <w:szCs w:val="24"/>
        </w:rPr>
      </w:pPr>
      <w:r>
        <w:rPr>
          <w:spacing w:val="-20"/>
          <w:sz w:val="24"/>
          <w:szCs w:val="24"/>
        </w:rPr>
        <w:t>由测量人员根据设计图纸放出管线中心线及井位，再根据管</w:t>
      </w:r>
      <w:r>
        <w:rPr>
          <w:spacing w:val="-21"/>
          <w:sz w:val="24"/>
          <w:szCs w:val="24"/>
        </w:rPr>
        <w:t>中线及基坑开挖要求，放出基</w:t>
      </w:r>
      <w:r>
        <w:rPr>
          <w:spacing w:val="-15"/>
          <w:sz w:val="24"/>
          <w:szCs w:val="24"/>
        </w:rPr>
        <w:t>坑边线。</w:t>
      </w:r>
    </w:p>
    <w:p w14:paraId="4FCD103C">
      <w:pPr>
        <w:pStyle w:val="2"/>
        <w:spacing w:line="217" w:lineRule="auto"/>
        <w:ind w:left="1894"/>
        <w:rPr>
          <w:sz w:val="24"/>
          <w:szCs w:val="24"/>
        </w:rPr>
      </w:pPr>
      <w:r>
        <w:rPr>
          <w:spacing w:val="-22"/>
          <w:sz w:val="24"/>
          <w:szCs w:val="24"/>
        </w:rPr>
        <w:t>将施工地段的原地标高复测一次，以确定该施工地段的开挖深度。</w:t>
      </w:r>
    </w:p>
    <w:p w14:paraId="3CDDFBC8">
      <w:pPr>
        <w:pStyle w:val="2"/>
        <w:spacing w:before="116" w:line="215" w:lineRule="auto"/>
        <w:ind w:left="1895"/>
        <w:rPr>
          <w:sz w:val="24"/>
          <w:szCs w:val="24"/>
        </w:rPr>
      </w:pPr>
      <w:r>
        <w:rPr>
          <w:spacing w:val="-19"/>
          <w:sz w:val="24"/>
          <w:szCs w:val="24"/>
        </w:rPr>
        <w:t>在施工过程中，施工人员注意保护测量控制点，如发现测量控制点被破坏，及</w:t>
      </w:r>
      <w:r>
        <w:rPr>
          <w:spacing w:val="-20"/>
          <w:sz w:val="24"/>
          <w:szCs w:val="24"/>
        </w:rPr>
        <w:t>时会知测量</w:t>
      </w:r>
    </w:p>
    <w:p w14:paraId="2C1192F8">
      <w:pPr>
        <w:spacing w:line="215" w:lineRule="auto"/>
        <w:rPr>
          <w:sz w:val="24"/>
          <w:szCs w:val="24"/>
        </w:rPr>
        <w:sectPr>
          <w:footerReference r:id="rId426" w:type="default"/>
          <w:pgSz w:w="11907" w:h="16839"/>
          <w:pgMar w:top="933" w:right="4" w:bottom="1038" w:left="0" w:header="478" w:footer="357" w:gutter="0"/>
          <w:pgBorders>
            <w:top w:val="none" w:sz="0" w:space="0"/>
            <w:left w:val="none" w:sz="0" w:space="0"/>
            <w:bottom w:val="none" w:sz="0" w:space="0"/>
            <w:right w:val="none" w:sz="0" w:space="0"/>
          </w:pgBorders>
          <w:cols w:space="720" w:num="1"/>
        </w:sectPr>
      </w:pPr>
    </w:p>
    <w:p w14:paraId="79104E91">
      <w:pPr>
        <w:spacing w:line="271" w:lineRule="auto"/>
        <w:rPr>
          <w:rFonts w:ascii="Arial"/>
          <w:sz w:val="21"/>
        </w:rPr>
      </w:pPr>
    </w:p>
    <w:p w14:paraId="45801AB5">
      <w:pPr>
        <w:pStyle w:val="2"/>
        <w:spacing w:before="78" w:line="217" w:lineRule="auto"/>
        <w:ind w:left="1460"/>
        <w:rPr>
          <w:sz w:val="24"/>
          <w:szCs w:val="24"/>
        </w:rPr>
      </w:pPr>
      <w:r>
        <w:rPr>
          <w:spacing w:val="-21"/>
          <w:sz w:val="24"/>
          <w:szCs w:val="24"/>
        </w:rPr>
        <w:t>人员补测，以保证测量精度。</w:t>
      </w:r>
    </w:p>
    <w:p w14:paraId="1D9C74FA">
      <w:pPr>
        <w:pStyle w:val="2"/>
        <w:spacing w:before="120" w:line="217" w:lineRule="auto"/>
        <w:ind w:left="1893"/>
        <w:rPr>
          <w:sz w:val="24"/>
          <w:szCs w:val="24"/>
        </w:rPr>
      </w:pPr>
      <w:r>
        <w:rPr>
          <w:spacing w:val="-21"/>
          <w:sz w:val="24"/>
          <w:szCs w:val="24"/>
        </w:rPr>
        <w:t>拆除老路面，均应测定好设计标高，由测量员计算好现有高程与</w:t>
      </w:r>
      <w:r>
        <w:rPr>
          <w:spacing w:val="-22"/>
          <w:sz w:val="24"/>
          <w:szCs w:val="24"/>
        </w:rPr>
        <w:t>设计标高拆除高差。</w:t>
      </w:r>
    </w:p>
    <w:p w14:paraId="7BFFB32C">
      <w:pPr>
        <w:pStyle w:val="2"/>
        <w:spacing w:before="116" w:line="215" w:lineRule="auto"/>
        <w:ind w:left="1894"/>
        <w:rPr>
          <w:sz w:val="24"/>
          <w:szCs w:val="24"/>
        </w:rPr>
      </w:pPr>
      <w:r>
        <w:rPr>
          <w:spacing w:val="-21"/>
          <w:sz w:val="24"/>
          <w:szCs w:val="24"/>
        </w:rPr>
        <w:t>根据计算好的高差应在各桩号上标注好。</w:t>
      </w:r>
    </w:p>
    <w:p w14:paraId="244DE9D5">
      <w:pPr>
        <w:pStyle w:val="2"/>
        <w:spacing w:before="122" w:line="307" w:lineRule="auto"/>
        <w:ind w:left="1459" w:right="1409" w:firstLine="434"/>
        <w:rPr>
          <w:sz w:val="24"/>
          <w:szCs w:val="24"/>
        </w:rPr>
      </w:pPr>
      <w:r>
        <w:rPr>
          <w:spacing w:val="-20"/>
          <w:sz w:val="24"/>
          <w:szCs w:val="24"/>
        </w:rPr>
        <w:t>根据现场情况，组织施工，正常情况下，先用风钻机队老路面实施点对点的打孔成缝，使</w:t>
      </w:r>
      <w:r>
        <w:rPr>
          <w:spacing w:val="-16"/>
          <w:sz w:val="24"/>
          <w:szCs w:val="24"/>
        </w:rPr>
        <w:t>之开裂。</w:t>
      </w:r>
    </w:p>
    <w:p w14:paraId="723E5698">
      <w:pPr>
        <w:pStyle w:val="2"/>
        <w:spacing w:line="215" w:lineRule="auto"/>
        <w:ind w:left="1894"/>
        <w:rPr>
          <w:sz w:val="24"/>
          <w:szCs w:val="24"/>
        </w:rPr>
      </w:pPr>
      <w:r>
        <w:rPr>
          <w:spacing w:val="-21"/>
          <w:sz w:val="24"/>
          <w:szCs w:val="24"/>
        </w:rPr>
        <w:t>组织挖掘机，装载车对拆除后的老路面成块废渣进行集中清</w:t>
      </w:r>
      <w:r>
        <w:rPr>
          <w:spacing w:val="-22"/>
          <w:sz w:val="24"/>
          <w:szCs w:val="24"/>
        </w:rPr>
        <w:t>除，运至指定弃土场。</w:t>
      </w:r>
    </w:p>
    <w:p w14:paraId="4FBB4C51">
      <w:pPr>
        <w:spacing w:line="58" w:lineRule="auto"/>
        <w:rPr>
          <w:rFonts w:ascii="Arial"/>
          <w:sz w:val="2"/>
        </w:rPr>
      </w:pPr>
    </w:p>
    <w:tbl>
      <w:tblPr>
        <w:tblStyle w:val="6"/>
        <w:tblW w:w="8549" w:type="dxa"/>
        <w:tblInd w:w="1678" w:type="dxa"/>
        <w:tblBorders>
          <w:top w:val="single" w:color="1C456A" w:sz="4" w:space="0"/>
          <w:left w:val="single" w:color="1C456A" w:sz="4" w:space="0"/>
          <w:bottom w:val="single" w:color="1C456A" w:sz="4" w:space="0"/>
          <w:right w:val="single" w:color="1C456A" w:sz="4" w:space="0"/>
          <w:insideH w:val="single" w:color="1C456A" w:sz="4" w:space="0"/>
          <w:insideV w:val="single" w:color="1C456A" w:sz="4" w:space="0"/>
        </w:tblBorders>
        <w:tblLayout w:type="fixed"/>
        <w:tblCellMar>
          <w:top w:w="0" w:type="dxa"/>
          <w:left w:w="0" w:type="dxa"/>
          <w:bottom w:w="0" w:type="dxa"/>
          <w:right w:w="0" w:type="dxa"/>
        </w:tblCellMar>
      </w:tblPr>
      <w:tblGrid>
        <w:gridCol w:w="4133"/>
        <w:gridCol w:w="4416"/>
      </w:tblGrid>
      <w:tr w14:paraId="611FB412">
        <w:tblPrEx>
          <w:tblBorders>
            <w:top w:val="single" w:color="1C456A" w:sz="4" w:space="0"/>
            <w:left w:val="single" w:color="1C456A" w:sz="4" w:space="0"/>
            <w:bottom w:val="single" w:color="1C456A" w:sz="4" w:space="0"/>
            <w:right w:val="single" w:color="1C456A" w:sz="4" w:space="0"/>
            <w:insideH w:val="single" w:color="1C456A" w:sz="4" w:space="0"/>
            <w:insideV w:val="single" w:color="1C456A" w:sz="4" w:space="0"/>
          </w:tblBorders>
          <w:tblCellMar>
            <w:top w:w="0" w:type="dxa"/>
            <w:left w:w="0" w:type="dxa"/>
            <w:bottom w:w="0" w:type="dxa"/>
            <w:right w:w="0" w:type="dxa"/>
          </w:tblCellMar>
        </w:tblPrEx>
        <w:trPr>
          <w:trHeight w:val="3220" w:hRule="atLeast"/>
        </w:trPr>
        <w:tc>
          <w:tcPr>
            <w:tcW w:w="4133" w:type="dxa"/>
            <w:tcBorders>
              <w:right w:val="single" w:color="000000" w:sz="2" w:space="0"/>
            </w:tcBorders>
            <w:shd w:val="clear" w:color="auto" w:fill="DEEAF6"/>
            <w:vAlign w:val="top"/>
          </w:tcPr>
          <w:p w14:paraId="2A7D56E3">
            <w:pPr>
              <w:spacing w:before="123" w:line="2815" w:lineRule="exact"/>
              <w:ind w:firstLine="68"/>
            </w:pPr>
            <w:r>
              <w:pict>
                <v:group id="_x0000_s4582" o:spid="_x0000_s4582" o:spt="203" style="position:absolute;left:0pt;margin-left:-0.2pt;margin-top:2.15pt;height:159.9pt;width:205.85pt;mso-position-horizontal-relative:page;mso-position-vertical-relative:page;z-index:252411904;mso-width-relative:page;mso-height-relative:page;" coordsize="4117,3197">
                  <o:lock v:ext="edit"/>
                  <v:group id="_x0000_s4584" o:spid="_x0000_s4584" o:spt="203" style="position:absolute;left:0;top:3094;height:103;width:4117;" coordsize="4117,103">
                    <o:lock v:ext="edit"/>
                    <v:shape id="_x0000_s4586" o:spid="_x0000_s4586" style="position:absolute;left:21;top:0;height:58;width:4095;" fillcolor="#DEEAF6" filled="t" stroked="f" coordsize="4095,58" path="m0,57l4094,57,4094,0,0,0,0,57xe">
                      <v:path/>
                      <v:fill on="t" focussize="0,0"/>
                      <v:stroke on="f"/>
                      <v:imagedata o:title=""/>
                      <o:lock v:ext="edit"/>
                    </v:shape>
                    <v:shape id="_x0000_s4588" o:spid="_x0000_s4588" style="position:absolute;left:0;top:88;height:15;width:44;" fillcolor="#5B9BD5" filled="t" stroked="f" coordsize="44,15" path="m0,14l43,14,43,0,0,0,0,14xe">
                      <v:path/>
                      <v:fill on="t" focussize="0,0"/>
                      <v:stroke on="f"/>
                      <v:imagedata o:title=""/>
                      <o:lock v:ext="edit"/>
                    </v:shape>
                  </v:group>
                  <v:shape id="_x0000_s4590" o:spid="_x0000_s4590" style="position:absolute;left:43;top:0;height:60;width:4068;" fillcolor="#DEEAF6" filled="t" stroked="f" coordsize="4068,60" path="m0,60l4068,60,4068,0,0,0,0,60xe">
                    <v:path/>
                    <v:fill on="t" focussize="0,0"/>
                    <v:stroke on="f"/>
                    <v:imagedata o:title=""/>
                    <o:lock v:ext="edit"/>
                  </v:shape>
                </v:group>
              </w:pict>
            </w:r>
            <w:r>
              <w:rPr>
                <w:position w:val="-56"/>
              </w:rPr>
              <w:drawing>
                <wp:inline distT="0" distB="0" distL="0" distR="0">
                  <wp:extent cx="2532380" cy="1787525"/>
                  <wp:effectExtent l="0" t="0" r="0" b="0"/>
                  <wp:docPr id="1754" name="IM 1754"/>
                  <wp:cNvGraphicFramePr/>
                  <a:graphic xmlns:a="http://schemas.openxmlformats.org/drawingml/2006/main">
                    <a:graphicData uri="http://schemas.openxmlformats.org/drawingml/2006/picture">
                      <pic:pic xmlns:pic="http://schemas.openxmlformats.org/drawingml/2006/picture">
                        <pic:nvPicPr>
                          <pic:cNvPr id="1754" name="IM 1754"/>
                          <pic:cNvPicPr/>
                        </pic:nvPicPr>
                        <pic:blipFill>
                          <a:blip r:embed="rId745"/>
                          <a:stretch>
                            <a:fillRect/>
                          </a:stretch>
                        </pic:blipFill>
                        <pic:spPr>
                          <a:xfrm>
                            <a:off x="0" y="0"/>
                            <a:ext cx="2533014" cy="1787525"/>
                          </a:xfrm>
                          <a:prstGeom prst="rect">
                            <a:avLst/>
                          </a:prstGeom>
                        </pic:spPr>
                      </pic:pic>
                    </a:graphicData>
                  </a:graphic>
                </wp:inline>
              </w:drawing>
            </w:r>
          </w:p>
        </w:tc>
        <w:tc>
          <w:tcPr>
            <w:tcW w:w="4416" w:type="dxa"/>
            <w:tcBorders>
              <w:top w:val="single" w:color="5B9BD5" w:sz="4" w:space="0"/>
              <w:left w:val="single" w:color="000000" w:sz="2" w:space="0"/>
              <w:bottom w:val="single" w:color="5B9BD5" w:sz="4" w:space="0"/>
              <w:right w:val="single" w:color="5B9BD5" w:sz="4" w:space="0"/>
            </w:tcBorders>
            <w:shd w:val="clear" w:color="auto" w:fill="DEEAF6"/>
            <w:vAlign w:val="top"/>
          </w:tcPr>
          <w:p w14:paraId="0FB51E10">
            <w:pPr>
              <w:spacing w:before="92" w:line="2880" w:lineRule="exact"/>
              <w:ind w:firstLine="32"/>
            </w:pPr>
            <w:r>
              <w:pict>
                <v:group id="_x0000_s4592" o:spid="_x0000_s4592" o:spt="203" style="position:absolute;left:0pt;margin-left:-1.05pt;margin-top:2.15pt;height:159.9pt;width:222.2pt;mso-position-horizontal-relative:page;mso-position-vertical-relative:page;z-index:252410880;mso-width-relative:page;mso-height-relative:page;" coordsize="4443,3197">
                  <o:lock v:ext="edit"/>
                  <v:group id="_x0000_s4594" o:spid="_x0000_s4594" o:spt="203" style="position:absolute;left:0;top:3094;height:103;width:4443;" coordsize="4443,103">
                    <o:lock v:ext="edit"/>
                    <v:shape id="_x0000_s4596" o:spid="_x0000_s4596" style="position:absolute;left:0;top:0;height:58;width:4422;" fillcolor="#DEEAF6" filled="t" stroked="f" coordsize="4422,58" path="m0,57l4421,57,4421,0,0,0,0,57xe">
                      <v:path/>
                      <v:fill on="t" focussize="0,0"/>
                      <v:stroke on="f"/>
                      <v:imagedata o:title=""/>
                      <o:lock v:ext="edit"/>
                    </v:shape>
                    <v:shape id="_x0000_s4598" o:spid="_x0000_s4598" style="position:absolute;left:4400;top:88;height:15;width:44;" fillcolor="#5B9BD5" filled="t" stroked="f" coordsize="44,15" path="m0,14l43,14,43,0,0,0,0,14xe">
                      <v:path/>
                      <v:fill on="t" focussize="0,0"/>
                      <v:stroke on="f"/>
                      <v:imagedata o:title=""/>
                      <o:lock v:ext="edit"/>
                    </v:shape>
                  </v:group>
                  <v:shape id="_x0000_s4600" o:spid="_x0000_s4600" style="position:absolute;left:38;top:0;height:60;width:4362;" fillcolor="#DEEAF6" filled="t" stroked="f" coordsize="4362,60" path="m0,60l4361,60,4361,0,0,0,0,60xe">
                    <v:path/>
                    <v:fill on="t" focussize="0,0"/>
                    <v:stroke on="f"/>
                    <v:imagedata o:title=""/>
                    <o:lock v:ext="edit"/>
                  </v:shape>
                </v:group>
              </w:pict>
            </w:r>
            <w:r>
              <w:rPr>
                <w:position w:val="-57"/>
              </w:rPr>
              <w:drawing>
                <wp:inline distT="0" distB="0" distL="0" distR="0">
                  <wp:extent cx="2746375" cy="1828800"/>
                  <wp:effectExtent l="0" t="0" r="0" b="0"/>
                  <wp:docPr id="1756" name="IM 1756"/>
                  <wp:cNvGraphicFramePr/>
                  <a:graphic xmlns:a="http://schemas.openxmlformats.org/drawingml/2006/main">
                    <a:graphicData uri="http://schemas.openxmlformats.org/drawingml/2006/picture">
                      <pic:pic xmlns:pic="http://schemas.openxmlformats.org/drawingml/2006/picture">
                        <pic:nvPicPr>
                          <pic:cNvPr id="1756" name="IM 1756"/>
                          <pic:cNvPicPr/>
                        </pic:nvPicPr>
                        <pic:blipFill>
                          <a:blip r:embed="rId746"/>
                          <a:stretch>
                            <a:fillRect/>
                          </a:stretch>
                        </pic:blipFill>
                        <pic:spPr>
                          <a:xfrm>
                            <a:off x="0" y="0"/>
                            <a:ext cx="2746375" cy="1828800"/>
                          </a:xfrm>
                          <a:prstGeom prst="rect">
                            <a:avLst/>
                          </a:prstGeom>
                        </pic:spPr>
                      </pic:pic>
                    </a:graphicData>
                  </a:graphic>
                </wp:inline>
              </w:drawing>
            </w:r>
          </w:p>
        </w:tc>
      </w:tr>
    </w:tbl>
    <w:p w14:paraId="35C5224A">
      <w:pPr>
        <w:pStyle w:val="2"/>
        <w:spacing w:before="113" w:line="215" w:lineRule="auto"/>
        <w:ind w:left="1895"/>
        <w:rPr>
          <w:sz w:val="24"/>
          <w:szCs w:val="24"/>
        </w:rPr>
      </w:pPr>
      <w:r>
        <w:rPr>
          <w:spacing w:val="-21"/>
          <w:sz w:val="24"/>
          <w:szCs w:val="24"/>
        </w:rPr>
        <w:t>对老路面下能够用于填筑的土石料可取样送检，可用作填</w:t>
      </w:r>
      <w:r>
        <w:rPr>
          <w:spacing w:val="-22"/>
          <w:sz w:val="24"/>
          <w:szCs w:val="24"/>
        </w:rPr>
        <w:t>筑料，运至填方区填筑。</w:t>
      </w:r>
    </w:p>
    <w:p w14:paraId="4A2508EE">
      <w:pPr>
        <w:pStyle w:val="2"/>
        <w:spacing w:before="122" w:line="307" w:lineRule="auto"/>
        <w:ind w:left="1458" w:right="1412" w:firstLine="436"/>
        <w:rPr>
          <w:sz w:val="24"/>
          <w:szCs w:val="24"/>
        </w:rPr>
      </w:pPr>
      <w:r>
        <w:rPr>
          <w:spacing w:val="-21"/>
          <w:sz w:val="24"/>
          <w:szCs w:val="24"/>
        </w:rPr>
        <w:t>对根据设计标高形成的新路基应复测，复测后，对新路基表层30cm内应复松，</w:t>
      </w:r>
      <w:r>
        <w:rPr>
          <w:spacing w:val="-22"/>
          <w:sz w:val="24"/>
          <w:szCs w:val="24"/>
        </w:rPr>
        <w:t>采用路基分</w:t>
      </w:r>
      <w:r>
        <w:rPr>
          <w:spacing w:val="-21"/>
          <w:sz w:val="24"/>
          <w:szCs w:val="24"/>
        </w:rPr>
        <w:t>层填筑的碾压方案进行碾压并调平标高。</w:t>
      </w:r>
    </w:p>
    <w:p w14:paraId="7AFA2850">
      <w:pPr>
        <w:pStyle w:val="2"/>
        <w:spacing w:before="2" w:line="294" w:lineRule="auto"/>
        <w:ind w:left="1458" w:right="1409" w:firstLine="439"/>
        <w:rPr>
          <w:sz w:val="24"/>
          <w:szCs w:val="24"/>
        </w:rPr>
      </w:pPr>
      <w:r>
        <w:rPr>
          <w:spacing w:val="-20"/>
          <w:sz w:val="24"/>
          <w:szCs w:val="24"/>
        </w:rPr>
        <w:t>原道路拆除施工流程：划定拆除部位→路面破裂→挖土机清除路面上的碎裂混凝土进行清</w:t>
      </w:r>
      <w:r>
        <w:rPr>
          <w:spacing w:val="-19"/>
          <w:sz w:val="24"/>
          <w:szCs w:val="24"/>
        </w:rPr>
        <w:t>理→垃圾外运。</w:t>
      </w:r>
    </w:p>
    <w:p w14:paraId="02CFB23E">
      <w:pPr>
        <w:pStyle w:val="2"/>
        <w:spacing w:line="219" w:lineRule="auto"/>
        <w:ind w:left="1986"/>
        <w:outlineLvl w:val="2"/>
        <w:rPr>
          <w:sz w:val="28"/>
          <w:szCs w:val="28"/>
        </w:rPr>
      </w:pPr>
      <w:bookmarkStart w:id="306" w:name="bookmark291"/>
      <w:bookmarkEnd w:id="306"/>
      <w:r>
        <w:rPr>
          <w:b/>
          <w:bCs/>
          <w:spacing w:val="-22"/>
          <w:sz w:val="28"/>
          <w:szCs w:val="28"/>
        </w:rPr>
        <w:t>二、路面拆除</w:t>
      </w:r>
    </w:p>
    <w:p w14:paraId="5F38E036">
      <w:pPr>
        <w:pStyle w:val="2"/>
        <w:spacing w:before="100" w:line="216" w:lineRule="auto"/>
        <w:ind w:left="1903"/>
        <w:rPr>
          <w:sz w:val="24"/>
          <w:szCs w:val="24"/>
        </w:rPr>
      </w:pPr>
      <w:r>
        <w:rPr>
          <w:spacing w:val="-24"/>
          <w:sz w:val="24"/>
          <w:szCs w:val="24"/>
        </w:rPr>
        <w:t>1、施工前的准备工作：</w:t>
      </w:r>
    </w:p>
    <w:p w14:paraId="6549DDB9">
      <w:pPr>
        <w:pStyle w:val="2"/>
        <w:spacing w:before="121" w:line="215" w:lineRule="auto"/>
        <w:ind w:left="1903"/>
        <w:rPr>
          <w:sz w:val="24"/>
          <w:szCs w:val="24"/>
        </w:rPr>
      </w:pPr>
      <w:r>
        <w:rPr>
          <w:spacing w:val="-21"/>
          <w:sz w:val="24"/>
          <w:szCs w:val="24"/>
        </w:rPr>
        <w:t>1.1首先组织现场情况核实，与图纸内容是否一致，并在图纸上编注和说明。</w:t>
      </w:r>
    </w:p>
    <w:p w14:paraId="0E5BC8F8">
      <w:pPr>
        <w:pStyle w:val="2"/>
        <w:spacing w:before="119" w:line="262" w:lineRule="auto"/>
        <w:ind w:left="1455" w:right="1409" w:firstLine="447"/>
        <w:rPr>
          <w:sz w:val="24"/>
          <w:szCs w:val="24"/>
        </w:rPr>
      </w:pPr>
      <w:r>
        <w:rPr>
          <w:spacing w:val="-23"/>
          <w:sz w:val="24"/>
          <w:szCs w:val="24"/>
        </w:rPr>
        <w:t>1.2进行详细的书面技术交底，提供原建筑物的图纸及地质资</w:t>
      </w:r>
      <w:r>
        <w:rPr>
          <w:spacing w:val="-24"/>
          <w:sz w:val="24"/>
          <w:szCs w:val="24"/>
        </w:rPr>
        <w:t>料，切断和封堵通往被拆除区</w:t>
      </w:r>
      <w:r>
        <w:rPr>
          <w:spacing w:val="-22"/>
          <w:sz w:val="24"/>
          <w:szCs w:val="24"/>
        </w:rPr>
        <w:t>域内的一切水、电、通风等线路及各种管道。</w:t>
      </w:r>
    </w:p>
    <w:p w14:paraId="55E8F678">
      <w:pPr>
        <w:pStyle w:val="2"/>
        <w:spacing w:before="118" w:line="297" w:lineRule="auto"/>
        <w:ind w:left="1455" w:right="1388" w:firstLine="447"/>
        <w:rPr>
          <w:sz w:val="24"/>
          <w:szCs w:val="24"/>
        </w:rPr>
      </w:pPr>
      <w:r>
        <w:rPr>
          <w:spacing w:val="-23"/>
          <w:sz w:val="24"/>
          <w:szCs w:val="24"/>
        </w:rPr>
        <w:t>1.3准备拆除所需要的设备及物资，拆除施工开始前技术负责人对拆除区域内的技术交底，</w:t>
      </w:r>
      <w:r>
        <w:rPr>
          <w:spacing w:val="-20"/>
          <w:sz w:val="24"/>
          <w:szCs w:val="24"/>
        </w:rPr>
        <w:t>地上、地下障碍物的书面交底，双方做好记录。组织工长、安全员及施工人员要认真熟悉和掌握施工范围及结构特点，清楚地上、地下障碍物和制订安全措施，要有严格的安全和施工工艺的记录。设专人对拆除周围设置警戒线，并派专人看护阻止非施工人员进入现场，以防安全事故发生。在施工现场，乙方在拆除前准备水车防尘。组织施工有关人员商讨、研究，编制施工组织设计。根据现场情况及工程安排，准备必要机械设备、材料、人员等进场，并提前做好关键路口的安全标记及指挥。拆除施工中必须采取降尘措施，施工现场采取低噪音、低粉尘的施</w:t>
      </w:r>
      <w:r>
        <w:rPr>
          <w:spacing w:val="-15"/>
          <w:sz w:val="24"/>
          <w:szCs w:val="24"/>
        </w:rPr>
        <w:t>工方法。</w:t>
      </w:r>
    </w:p>
    <w:p w14:paraId="04BE99C3">
      <w:pPr>
        <w:pStyle w:val="2"/>
        <w:spacing w:before="113" w:line="218" w:lineRule="auto"/>
        <w:ind w:left="1888"/>
        <w:rPr>
          <w:sz w:val="24"/>
          <w:szCs w:val="24"/>
        </w:rPr>
      </w:pPr>
      <w:r>
        <w:rPr>
          <w:spacing w:val="-18"/>
          <w:sz w:val="24"/>
          <w:szCs w:val="24"/>
        </w:rPr>
        <w:t>2、拆除方法施工顺序</w:t>
      </w:r>
    </w:p>
    <w:p w14:paraId="2EE0B0A1">
      <w:pPr>
        <w:pStyle w:val="2"/>
        <w:spacing w:before="117" w:line="216" w:lineRule="auto"/>
        <w:ind w:left="1888"/>
        <w:rPr>
          <w:sz w:val="24"/>
          <w:szCs w:val="24"/>
        </w:rPr>
      </w:pPr>
      <w:r>
        <w:rPr>
          <w:spacing w:val="-20"/>
          <w:sz w:val="24"/>
          <w:szCs w:val="24"/>
        </w:rPr>
        <w:t>2.1首先检查各层的安全通道情况，各层必</w:t>
      </w:r>
      <w:r>
        <w:rPr>
          <w:spacing w:val="-21"/>
          <w:sz w:val="24"/>
          <w:szCs w:val="24"/>
        </w:rPr>
        <w:t>须保持各通道畅通无阻。</w:t>
      </w:r>
    </w:p>
    <w:p w14:paraId="7DEDB80A">
      <w:pPr>
        <w:pStyle w:val="2"/>
        <w:spacing w:before="120" w:line="216" w:lineRule="auto"/>
        <w:ind w:left="1888"/>
        <w:rPr>
          <w:sz w:val="24"/>
          <w:szCs w:val="24"/>
        </w:rPr>
      </w:pPr>
      <w:r>
        <w:rPr>
          <w:spacing w:val="-22"/>
          <w:sz w:val="24"/>
          <w:szCs w:val="24"/>
        </w:rPr>
        <w:t>2.2作好一些原有设施、重要部位、部件的防护</w:t>
      </w:r>
      <w:r>
        <w:rPr>
          <w:spacing w:val="-23"/>
          <w:sz w:val="24"/>
          <w:szCs w:val="24"/>
        </w:rPr>
        <w:t>保护工作。特别是运送物品的设备要用大芯</w:t>
      </w:r>
    </w:p>
    <w:p w14:paraId="3CE58B3E">
      <w:pPr>
        <w:spacing w:line="216" w:lineRule="auto"/>
        <w:rPr>
          <w:sz w:val="24"/>
          <w:szCs w:val="24"/>
        </w:rPr>
        <w:sectPr>
          <w:footerReference r:id="rId427" w:type="default"/>
          <w:pgSz w:w="11907" w:h="16839"/>
          <w:pgMar w:top="933" w:right="4" w:bottom="1038" w:left="0" w:header="478" w:footer="357" w:gutter="0"/>
          <w:pgBorders>
            <w:top w:val="none" w:sz="0" w:space="0"/>
            <w:left w:val="none" w:sz="0" w:space="0"/>
            <w:bottom w:val="none" w:sz="0" w:space="0"/>
            <w:right w:val="none" w:sz="0" w:space="0"/>
          </w:pgBorders>
          <w:cols w:space="720" w:num="1"/>
        </w:sectPr>
      </w:pPr>
    </w:p>
    <w:p w14:paraId="2FD4579A">
      <w:pPr>
        <w:spacing w:line="271" w:lineRule="auto"/>
        <w:rPr>
          <w:rFonts w:ascii="Arial"/>
          <w:sz w:val="21"/>
        </w:rPr>
      </w:pPr>
    </w:p>
    <w:p w14:paraId="1291673F">
      <w:pPr>
        <w:pStyle w:val="2"/>
        <w:spacing w:before="78" w:line="217" w:lineRule="auto"/>
        <w:ind w:left="1455"/>
        <w:rPr>
          <w:sz w:val="24"/>
          <w:szCs w:val="24"/>
        </w:rPr>
      </w:pPr>
      <w:r>
        <w:rPr>
          <w:spacing w:val="-20"/>
          <w:sz w:val="24"/>
          <w:szCs w:val="24"/>
        </w:rPr>
        <w:t>板做好防护后方能运送货物。</w:t>
      </w:r>
    </w:p>
    <w:p w14:paraId="36B648A4">
      <w:pPr>
        <w:pStyle w:val="2"/>
        <w:spacing w:before="120" w:line="217" w:lineRule="auto"/>
        <w:ind w:left="1888"/>
        <w:rPr>
          <w:sz w:val="24"/>
          <w:szCs w:val="24"/>
        </w:rPr>
      </w:pPr>
      <w:r>
        <w:rPr>
          <w:spacing w:val="-20"/>
          <w:sz w:val="24"/>
          <w:szCs w:val="24"/>
        </w:rPr>
        <w:t>2.3将拆除区域内的易燃易爆品包括废纸、纺织品、木制</w:t>
      </w:r>
      <w:r>
        <w:rPr>
          <w:spacing w:val="-21"/>
          <w:sz w:val="24"/>
          <w:szCs w:val="24"/>
        </w:rPr>
        <w:t>品等集中外运。</w:t>
      </w:r>
    </w:p>
    <w:p w14:paraId="6B684B8B">
      <w:pPr>
        <w:pStyle w:val="2"/>
        <w:spacing w:before="115" w:line="218" w:lineRule="auto"/>
        <w:ind w:left="1888"/>
        <w:rPr>
          <w:sz w:val="24"/>
          <w:szCs w:val="24"/>
        </w:rPr>
      </w:pPr>
      <w:r>
        <w:rPr>
          <w:spacing w:val="-18"/>
          <w:sz w:val="24"/>
          <w:szCs w:val="24"/>
        </w:rPr>
        <w:t>2.4从上往下顺次拆除。</w:t>
      </w:r>
    </w:p>
    <w:p w14:paraId="00446C5D">
      <w:pPr>
        <w:pStyle w:val="2"/>
        <w:spacing w:before="117" w:line="215" w:lineRule="auto"/>
        <w:ind w:left="1888"/>
        <w:rPr>
          <w:sz w:val="24"/>
          <w:szCs w:val="24"/>
        </w:rPr>
      </w:pPr>
      <w:r>
        <w:rPr>
          <w:spacing w:val="-16"/>
          <w:sz w:val="24"/>
          <w:szCs w:val="24"/>
        </w:rPr>
        <w:t>2.5装车外运。</w:t>
      </w:r>
    </w:p>
    <w:p w14:paraId="349C5D9D">
      <w:pPr>
        <w:pStyle w:val="2"/>
        <w:spacing w:before="120" w:line="217" w:lineRule="auto"/>
        <w:ind w:left="1888"/>
        <w:rPr>
          <w:sz w:val="24"/>
          <w:szCs w:val="24"/>
        </w:rPr>
      </w:pPr>
      <w:r>
        <w:rPr>
          <w:spacing w:val="-20"/>
          <w:sz w:val="24"/>
          <w:szCs w:val="24"/>
        </w:rPr>
        <w:t>2.6清理各层遗留物及垃圾等。</w:t>
      </w:r>
    </w:p>
    <w:p w14:paraId="092CD856">
      <w:pPr>
        <w:pStyle w:val="2"/>
        <w:spacing w:before="117" w:line="218" w:lineRule="auto"/>
        <w:ind w:left="1888"/>
        <w:rPr>
          <w:sz w:val="24"/>
          <w:szCs w:val="24"/>
        </w:rPr>
      </w:pPr>
      <w:r>
        <w:rPr>
          <w:spacing w:val="-20"/>
          <w:sz w:val="24"/>
          <w:szCs w:val="24"/>
        </w:rPr>
        <w:t>2.7清理现场、竣工验收。防震、减少噪音措施</w:t>
      </w:r>
    </w:p>
    <w:p w14:paraId="1826C83B">
      <w:pPr>
        <w:pStyle w:val="2"/>
        <w:spacing w:before="117" w:line="217" w:lineRule="auto"/>
        <w:ind w:left="1890"/>
        <w:rPr>
          <w:sz w:val="24"/>
          <w:szCs w:val="24"/>
        </w:rPr>
      </w:pPr>
      <w:r>
        <w:rPr>
          <w:spacing w:val="-19"/>
          <w:sz w:val="24"/>
          <w:szCs w:val="24"/>
        </w:rPr>
        <w:t>3、其他要求</w:t>
      </w:r>
    </w:p>
    <w:p w14:paraId="1D337A15">
      <w:pPr>
        <w:pStyle w:val="2"/>
        <w:spacing w:before="118" w:line="216" w:lineRule="auto"/>
        <w:ind w:left="1890"/>
        <w:rPr>
          <w:sz w:val="24"/>
          <w:szCs w:val="24"/>
        </w:rPr>
      </w:pPr>
      <w:r>
        <w:rPr>
          <w:spacing w:val="-20"/>
          <w:sz w:val="24"/>
          <w:szCs w:val="24"/>
        </w:rPr>
        <w:t>3.1本工程大多采用性能好、噪音低、振动小的机具及设备。</w:t>
      </w:r>
    </w:p>
    <w:p w14:paraId="6F535E9E">
      <w:pPr>
        <w:pStyle w:val="2"/>
        <w:spacing w:before="118" w:line="217" w:lineRule="auto"/>
        <w:ind w:left="1890"/>
        <w:rPr>
          <w:sz w:val="24"/>
          <w:szCs w:val="24"/>
        </w:rPr>
      </w:pPr>
      <w:r>
        <w:rPr>
          <w:spacing w:val="-20"/>
          <w:sz w:val="24"/>
          <w:szCs w:val="24"/>
        </w:rPr>
        <w:t>3.2不破坏任何主体结构及其他保留物。</w:t>
      </w:r>
    </w:p>
    <w:p w14:paraId="3AADA9D5">
      <w:pPr>
        <w:pStyle w:val="2"/>
        <w:spacing w:before="119" w:line="215" w:lineRule="auto"/>
        <w:ind w:left="1890"/>
        <w:rPr>
          <w:sz w:val="24"/>
          <w:szCs w:val="24"/>
        </w:rPr>
      </w:pPr>
      <w:r>
        <w:rPr>
          <w:spacing w:val="-19"/>
          <w:sz w:val="24"/>
          <w:szCs w:val="24"/>
        </w:rPr>
        <w:t>3.3运输车辆在场区及居民区行驶速度控制在5公里/小时内，禁止鸣笛、哄油门。</w:t>
      </w:r>
    </w:p>
    <w:p w14:paraId="2E414987">
      <w:pPr>
        <w:pStyle w:val="2"/>
        <w:spacing w:before="122" w:line="215" w:lineRule="auto"/>
        <w:ind w:left="1890"/>
        <w:rPr>
          <w:sz w:val="24"/>
          <w:szCs w:val="24"/>
        </w:rPr>
      </w:pPr>
      <w:r>
        <w:rPr>
          <w:spacing w:val="-20"/>
          <w:sz w:val="24"/>
          <w:szCs w:val="24"/>
        </w:rPr>
        <w:t>3.4人员在施工其他场所或经过时，禁止大声喧哗。</w:t>
      </w:r>
    </w:p>
    <w:p w14:paraId="60930040">
      <w:pPr>
        <w:pStyle w:val="2"/>
        <w:spacing w:before="118" w:line="217" w:lineRule="auto"/>
        <w:ind w:left="1890"/>
        <w:rPr>
          <w:sz w:val="24"/>
          <w:szCs w:val="24"/>
        </w:rPr>
      </w:pPr>
      <w:r>
        <w:rPr>
          <w:spacing w:val="-18"/>
          <w:sz w:val="24"/>
          <w:szCs w:val="24"/>
        </w:rPr>
        <w:t>3.5装卸物品时轻拿轻放。</w:t>
      </w:r>
    </w:p>
    <w:p w14:paraId="6B6904D6">
      <w:pPr>
        <w:pStyle w:val="2"/>
        <w:spacing w:before="119" w:line="216" w:lineRule="auto"/>
        <w:ind w:left="1890"/>
        <w:rPr>
          <w:sz w:val="24"/>
          <w:szCs w:val="24"/>
        </w:rPr>
      </w:pPr>
      <w:r>
        <w:rPr>
          <w:spacing w:val="-20"/>
          <w:sz w:val="24"/>
          <w:szCs w:val="24"/>
        </w:rPr>
        <w:t>3.6拆除作业时，一律由上而下，逐层拆除。</w:t>
      </w:r>
    </w:p>
    <w:p w14:paraId="5F7BCA80">
      <w:pPr>
        <w:pStyle w:val="2"/>
        <w:spacing w:before="120" w:line="219" w:lineRule="auto"/>
        <w:ind w:left="1884"/>
        <w:rPr>
          <w:sz w:val="24"/>
          <w:szCs w:val="24"/>
        </w:rPr>
      </w:pPr>
      <w:r>
        <w:rPr>
          <w:spacing w:val="-17"/>
          <w:sz w:val="24"/>
          <w:szCs w:val="24"/>
        </w:rPr>
        <w:t>4、路面拆除</w:t>
      </w:r>
    </w:p>
    <w:p w14:paraId="5BFF9914">
      <w:pPr>
        <w:pStyle w:val="2"/>
        <w:spacing w:before="114" w:line="218" w:lineRule="auto"/>
        <w:ind w:left="1884"/>
        <w:rPr>
          <w:sz w:val="24"/>
          <w:szCs w:val="24"/>
        </w:rPr>
      </w:pPr>
      <w:r>
        <w:rPr>
          <w:spacing w:val="-14"/>
          <w:sz w:val="24"/>
          <w:szCs w:val="24"/>
        </w:rPr>
        <w:t>4.1施工准备</w:t>
      </w:r>
    </w:p>
    <w:p w14:paraId="3765CB38">
      <w:pPr>
        <w:pStyle w:val="2"/>
        <w:spacing w:before="116" w:line="308" w:lineRule="auto"/>
        <w:ind w:left="1463" w:right="1415" w:firstLine="434"/>
        <w:rPr>
          <w:sz w:val="24"/>
          <w:szCs w:val="24"/>
        </w:rPr>
      </w:pPr>
      <w:r>
        <w:rPr>
          <w:spacing w:val="-20"/>
          <w:sz w:val="24"/>
          <w:szCs w:val="24"/>
        </w:rPr>
        <w:t>原有路面凿除采用人工配合机械进行作业，大面积作业时，采用挖掘机、推土机、装</w:t>
      </w:r>
      <w:r>
        <w:rPr>
          <w:spacing w:val="-21"/>
          <w:sz w:val="24"/>
          <w:szCs w:val="24"/>
        </w:rPr>
        <w:t>载机</w:t>
      </w:r>
      <w:r>
        <w:rPr>
          <w:spacing w:val="-20"/>
          <w:sz w:val="24"/>
          <w:szCs w:val="24"/>
        </w:rPr>
        <w:t>等机械配合，小面积的采用空压机带动风镐，电钻的设备进行凿除，在凿除破损路面时，应该注意以下几点：</w:t>
      </w:r>
    </w:p>
    <w:p w14:paraId="2E83EFE9">
      <w:pPr>
        <w:pStyle w:val="2"/>
        <w:spacing w:before="1" w:line="215" w:lineRule="auto"/>
        <w:ind w:left="1884"/>
        <w:rPr>
          <w:sz w:val="24"/>
          <w:szCs w:val="24"/>
        </w:rPr>
      </w:pPr>
      <w:r>
        <w:rPr>
          <w:spacing w:val="-20"/>
          <w:sz w:val="24"/>
          <w:szCs w:val="24"/>
        </w:rPr>
        <w:t>4.1.1在凿除前必须经过测量放样，避免盲目的施工，而造成成本增加；</w:t>
      </w:r>
    </w:p>
    <w:p w14:paraId="5A8331AC">
      <w:pPr>
        <w:pStyle w:val="2"/>
        <w:spacing w:before="120" w:line="217" w:lineRule="auto"/>
        <w:ind w:left="1884"/>
        <w:rPr>
          <w:sz w:val="24"/>
          <w:szCs w:val="24"/>
        </w:rPr>
      </w:pPr>
      <w:r>
        <w:rPr>
          <w:spacing w:val="-18"/>
          <w:sz w:val="24"/>
          <w:szCs w:val="24"/>
        </w:rPr>
        <w:t>4.1.2凿除的深度必须符合设计要求；</w:t>
      </w:r>
    </w:p>
    <w:p w14:paraId="3A2616EF">
      <w:pPr>
        <w:pStyle w:val="2"/>
        <w:spacing w:before="118" w:line="215" w:lineRule="auto"/>
        <w:ind w:left="1884"/>
        <w:rPr>
          <w:sz w:val="24"/>
          <w:szCs w:val="24"/>
        </w:rPr>
      </w:pPr>
      <w:r>
        <w:rPr>
          <w:spacing w:val="-19"/>
          <w:sz w:val="24"/>
          <w:szCs w:val="24"/>
        </w:rPr>
        <w:t>4.1.3在施工过程中，必须做好保通措施</w:t>
      </w:r>
      <w:r>
        <w:rPr>
          <w:spacing w:val="-20"/>
          <w:sz w:val="24"/>
          <w:szCs w:val="24"/>
        </w:rPr>
        <w:t>，避免影响车辆的行驶；</w:t>
      </w:r>
    </w:p>
    <w:p w14:paraId="15EFE29A">
      <w:pPr>
        <w:pStyle w:val="2"/>
        <w:spacing w:before="120" w:line="216" w:lineRule="auto"/>
        <w:ind w:left="1884"/>
        <w:rPr>
          <w:sz w:val="24"/>
          <w:szCs w:val="24"/>
        </w:rPr>
      </w:pPr>
      <w:r>
        <w:rPr>
          <w:spacing w:val="-19"/>
          <w:sz w:val="24"/>
          <w:szCs w:val="24"/>
        </w:rPr>
        <w:t>4.1.4做到工地排水畅通，指定专人负责挖沟</w:t>
      </w:r>
      <w:r>
        <w:rPr>
          <w:spacing w:val="-20"/>
          <w:sz w:val="24"/>
          <w:szCs w:val="24"/>
        </w:rPr>
        <w:t>、疏导排水等工作；</w:t>
      </w:r>
    </w:p>
    <w:p w14:paraId="419AA246">
      <w:pPr>
        <w:pStyle w:val="2"/>
        <w:spacing w:before="121" w:line="215" w:lineRule="auto"/>
        <w:ind w:left="1884"/>
        <w:rPr>
          <w:sz w:val="24"/>
          <w:szCs w:val="24"/>
        </w:rPr>
      </w:pPr>
      <w:r>
        <w:rPr>
          <w:spacing w:val="-19"/>
          <w:sz w:val="24"/>
          <w:szCs w:val="24"/>
        </w:rPr>
        <w:t>4.1.5在低洼地段和工程不良地质路基段尽量避开</w:t>
      </w:r>
      <w:r>
        <w:rPr>
          <w:spacing w:val="-20"/>
          <w:sz w:val="24"/>
          <w:szCs w:val="24"/>
        </w:rPr>
        <w:t>雨季施工。</w:t>
      </w:r>
    </w:p>
    <w:p w14:paraId="70AF61F2">
      <w:pPr>
        <w:pStyle w:val="2"/>
        <w:spacing w:before="118" w:line="216" w:lineRule="auto"/>
        <w:ind w:left="1884"/>
        <w:rPr>
          <w:sz w:val="24"/>
          <w:szCs w:val="24"/>
        </w:rPr>
      </w:pPr>
      <w:r>
        <w:rPr>
          <w:spacing w:val="-19"/>
          <w:sz w:val="24"/>
          <w:szCs w:val="24"/>
        </w:rPr>
        <w:t>4.1.6雨季施工时，必须作好气象资料的收集与整理。</w:t>
      </w:r>
    </w:p>
    <w:p w14:paraId="0B23F9D2">
      <w:pPr>
        <w:pStyle w:val="2"/>
        <w:spacing w:before="121" w:line="218" w:lineRule="auto"/>
        <w:ind w:left="1884"/>
        <w:rPr>
          <w:sz w:val="24"/>
          <w:szCs w:val="24"/>
        </w:rPr>
      </w:pPr>
      <w:r>
        <w:rPr>
          <w:spacing w:val="-19"/>
          <w:sz w:val="24"/>
          <w:szCs w:val="24"/>
        </w:rPr>
        <w:t>4.1.7协调安排施工计划，合理调整雨季施工任务量。</w:t>
      </w:r>
    </w:p>
    <w:p w14:paraId="59AA97F9">
      <w:pPr>
        <w:pStyle w:val="2"/>
        <w:spacing w:before="117" w:line="219" w:lineRule="auto"/>
        <w:ind w:left="1884"/>
        <w:rPr>
          <w:sz w:val="24"/>
          <w:szCs w:val="24"/>
        </w:rPr>
      </w:pPr>
      <w:r>
        <w:rPr>
          <w:spacing w:val="-14"/>
          <w:sz w:val="24"/>
          <w:szCs w:val="24"/>
        </w:rPr>
        <w:t>4.2施工测量</w:t>
      </w:r>
    </w:p>
    <w:p w14:paraId="21D2DFE4">
      <w:pPr>
        <w:pStyle w:val="2"/>
        <w:spacing w:before="112" w:line="309" w:lineRule="auto"/>
        <w:ind w:left="1457" w:right="1409" w:firstLine="466"/>
        <w:rPr>
          <w:sz w:val="24"/>
          <w:szCs w:val="24"/>
        </w:rPr>
      </w:pPr>
      <w:r>
        <w:rPr>
          <w:spacing w:val="-20"/>
          <w:sz w:val="24"/>
          <w:szCs w:val="24"/>
        </w:rPr>
        <w:t>由测量人员根据设计图纸放出管线中心线及井位，再根据管</w:t>
      </w:r>
      <w:r>
        <w:rPr>
          <w:spacing w:val="-21"/>
          <w:sz w:val="24"/>
          <w:szCs w:val="24"/>
        </w:rPr>
        <w:t>中线及基坑开挖要求，放出基</w:t>
      </w:r>
      <w:r>
        <w:rPr>
          <w:spacing w:val="-15"/>
          <w:sz w:val="24"/>
          <w:szCs w:val="24"/>
        </w:rPr>
        <w:t>坑边线。</w:t>
      </w:r>
    </w:p>
    <w:p w14:paraId="46379B94">
      <w:pPr>
        <w:pStyle w:val="2"/>
        <w:spacing w:before="1" w:line="217" w:lineRule="auto"/>
        <w:ind w:left="1894"/>
        <w:rPr>
          <w:sz w:val="24"/>
          <w:szCs w:val="24"/>
        </w:rPr>
      </w:pPr>
      <w:r>
        <w:rPr>
          <w:spacing w:val="-21"/>
          <w:sz w:val="24"/>
          <w:szCs w:val="24"/>
        </w:rPr>
        <w:t>将施工地段的原地标高复测一次，以确定该施工地段的开</w:t>
      </w:r>
      <w:r>
        <w:rPr>
          <w:spacing w:val="-22"/>
          <w:sz w:val="24"/>
          <w:szCs w:val="24"/>
        </w:rPr>
        <w:t>挖深度。</w:t>
      </w:r>
    </w:p>
    <w:p w14:paraId="5AB6027A">
      <w:pPr>
        <w:pStyle w:val="2"/>
        <w:spacing w:before="116" w:line="308" w:lineRule="auto"/>
        <w:ind w:left="1475" w:right="1409" w:firstLine="419"/>
        <w:rPr>
          <w:sz w:val="24"/>
          <w:szCs w:val="24"/>
        </w:rPr>
      </w:pPr>
      <w:r>
        <w:rPr>
          <w:spacing w:val="-20"/>
          <w:sz w:val="24"/>
          <w:szCs w:val="24"/>
        </w:rPr>
        <w:t>在施工过程中，施工人注意保护测量控制点，如发现测量控制点被破坏，及时会知测量人</w:t>
      </w:r>
      <w:r>
        <w:rPr>
          <w:spacing w:val="-24"/>
          <w:sz w:val="24"/>
          <w:szCs w:val="24"/>
        </w:rPr>
        <w:t>员补测，以保证测量精度。</w:t>
      </w:r>
    </w:p>
    <w:p w14:paraId="5F14D23B">
      <w:pPr>
        <w:pStyle w:val="2"/>
        <w:spacing w:before="1" w:line="217" w:lineRule="auto"/>
        <w:ind w:left="1893"/>
        <w:rPr>
          <w:sz w:val="24"/>
          <w:szCs w:val="24"/>
        </w:rPr>
      </w:pPr>
      <w:r>
        <w:rPr>
          <w:spacing w:val="-21"/>
          <w:sz w:val="24"/>
          <w:szCs w:val="24"/>
        </w:rPr>
        <w:t>拆除老路面，均应测定好设计标高，由测量员计算好现有高程</w:t>
      </w:r>
      <w:r>
        <w:rPr>
          <w:spacing w:val="-22"/>
          <w:sz w:val="24"/>
          <w:szCs w:val="24"/>
        </w:rPr>
        <w:t>与设计标高拆除高差。</w:t>
      </w:r>
    </w:p>
    <w:p w14:paraId="2F6DB14C">
      <w:pPr>
        <w:pStyle w:val="2"/>
        <w:spacing w:before="116" w:line="215" w:lineRule="auto"/>
        <w:ind w:left="1894"/>
        <w:rPr>
          <w:sz w:val="24"/>
          <w:szCs w:val="24"/>
        </w:rPr>
      </w:pPr>
      <w:r>
        <w:rPr>
          <w:spacing w:val="-22"/>
          <w:sz w:val="24"/>
          <w:szCs w:val="24"/>
        </w:rPr>
        <w:t>根据计算好的高差应在各桩号上标注好。</w:t>
      </w:r>
    </w:p>
    <w:p w14:paraId="74EA2768">
      <w:pPr>
        <w:pStyle w:val="2"/>
        <w:spacing w:before="122" w:line="307" w:lineRule="auto"/>
        <w:ind w:left="1459" w:right="1410" w:firstLine="434"/>
        <w:rPr>
          <w:sz w:val="24"/>
          <w:szCs w:val="24"/>
        </w:rPr>
      </w:pPr>
      <w:r>
        <w:rPr>
          <w:spacing w:val="-20"/>
          <w:sz w:val="24"/>
          <w:szCs w:val="24"/>
        </w:rPr>
        <w:t>根据现场情况，组织施工，正常情况下，先用风钻机队老路面实施点对点的打孔成缝，使</w:t>
      </w:r>
      <w:r>
        <w:rPr>
          <w:spacing w:val="-16"/>
          <w:sz w:val="24"/>
          <w:szCs w:val="24"/>
        </w:rPr>
        <w:t>之开裂。</w:t>
      </w:r>
    </w:p>
    <w:p w14:paraId="51DBEC9B">
      <w:pPr>
        <w:pStyle w:val="2"/>
        <w:spacing w:line="215" w:lineRule="auto"/>
        <w:ind w:left="1894"/>
        <w:rPr>
          <w:sz w:val="24"/>
          <w:szCs w:val="24"/>
        </w:rPr>
      </w:pPr>
      <w:r>
        <w:rPr>
          <w:spacing w:val="-21"/>
          <w:sz w:val="24"/>
          <w:szCs w:val="24"/>
        </w:rPr>
        <w:t>组织挖掘机，装载车对拆除后的老路面成块废渣进行集中清</w:t>
      </w:r>
      <w:r>
        <w:rPr>
          <w:spacing w:val="-22"/>
          <w:sz w:val="24"/>
          <w:szCs w:val="24"/>
        </w:rPr>
        <w:t>除，运至指定弃土场。</w:t>
      </w:r>
    </w:p>
    <w:p w14:paraId="27CEB2E3">
      <w:pPr>
        <w:spacing w:line="215" w:lineRule="auto"/>
        <w:rPr>
          <w:sz w:val="24"/>
          <w:szCs w:val="24"/>
        </w:rPr>
        <w:sectPr>
          <w:footerReference r:id="rId428" w:type="default"/>
          <w:pgSz w:w="11907" w:h="16839"/>
          <w:pgMar w:top="933" w:right="4" w:bottom="1038" w:left="0" w:header="478" w:footer="357" w:gutter="0"/>
          <w:pgBorders>
            <w:top w:val="none" w:sz="0" w:space="0"/>
            <w:left w:val="none" w:sz="0" w:space="0"/>
            <w:bottom w:val="none" w:sz="0" w:space="0"/>
            <w:right w:val="none" w:sz="0" w:space="0"/>
          </w:pgBorders>
          <w:cols w:space="720" w:num="1"/>
        </w:sectPr>
      </w:pPr>
    </w:p>
    <w:p w14:paraId="015D7E7C">
      <w:pPr>
        <w:spacing w:line="271" w:lineRule="auto"/>
        <w:rPr>
          <w:rFonts w:ascii="Arial"/>
          <w:sz w:val="21"/>
        </w:rPr>
      </w:pPr>
    </w:p>
    <w:p w14:paraId="386A62C3">
      <w:pPr>
        <w:pStyle w:val="2"/>
        <w:spacing w:before="78" w:line="215" w:lineRule="auto"/>
        <w:ind w:left="1895"/>
        <w:rPr>
          <w:sz w:val="24"/>
          <w:szCs w:val="24"/>
        </w:rPr>
      </w:pPr>
      <w:r>
        <w:rPr>
          <w:spacing w:val="-21"/>
          <w:sz w:val="24"/>
          <w:szCs w:val="24"/>
        </w:rPr>
        <w:t>对老路面下能够用于填筑的土石料可取样送检，可用作填</w:t>
      </w:r>
      <w:r>
        <w:rPr>
          <w:spacing w:val="-22"/>
          <w:sz w:val="24"/>
          <w:szCs w:val="24"/>
        </w:rPr>
        <w:t>筑料，运至填方区填筑。</w:t>
      </w:r>
    </w:p>
    <w:p w14:paraId="4BB66876">
      <w:pPr>
        <w:pStyle w:val="2"/>
        <w:spacing w:before="120" w:line="307" w:lineRule="auto"/>
        <w:ind w:left="1458" w:right="1412" w:firstLine="436"/>
        <w:rPr>
          <w:sz w:val="24"/>
          <w:szCs w:val="24"/>
        </w:rPr>
      </w:pPr>
      <w:r>
        <w:rPr>
          <w:spacing w:val="-21"/>
          <w:sz w:val="24"/>
          <w:szCs w:val="24"/>
        </w:rPr>
        <w:t>对根据设计标高形成的新路基应复测，复测后，对新路基表层30cm内应复松，</w:t>
      </w:r>
      <w:r>
        <w:rPr>
          <w:spacing w:val="-22"/>
          <w:sz w:val="24"/>
          <w:szCs w:val="24"/>
        </w:rPr>
        <w:t>采用路基分</w:t>
      </w:r>
      <w:r>
        <w:rPr>
          <w:spacing w:val="-21"/>
          <w:sz w:val="24"/>
          <w:szCs w:val="24"/>
        </w:rPr>
        <w:t>层填筑的碾压方案进行碾压并调平标高。</w:t>
      </w:r>
    </w:p>
    <w:p w14:paraId="515C4170">
      <w:pPr>
        <w:pStyle w:val="2"/>
        <w:spacing w:before="2" w:line="307" w:lineRule="auto"/>
        <w:ind w:left="1456" w:right="1409" w:firstLine="436"/>
        <w:rPr>
          <w:sz w:val="24"/>
          <w:szCs w:val="24"/>
        </w:rPr>
      </w:pPr>
      <w:r>
        <w:rPr>
          <w:spacing w:val="-19"/>
          <w:sz w:val="24"/>
          <w:szCs w:val="24"/>
        </w:rPr>
        <w:t>施工工艺流程：把路面大致破裂→推土机</w:t>
      </w:r>
      <w:r>
        <w:rPr>
          <w:spacing w:val="-20"/>
          <w:sz w:val="24"/>
          <w:szCs w:val="24"/>
        </w:rPr>
        <w:t>清除路面上的碎裂混凝土进行清理→垃圾外运→</w:t>
      </w:r>
      <w:r>
        <w:rPr>
          <w:spacing w:val="-22"/>
          <w:sz w:val="24"/>
          <w:szCs w:val="24"/>
        </w:rPr>
        <w:t>拆除旧路（包括水泥砼路面面层、沥青砼和沥青碎石面层、联结层、人行道板面层、道牙）。</w:t>
      </w:r>
    </w:p>
    <w:p w14:paraId="561CDBA2">
      <w:pPr>
        <w:pStyle w:val="2"/>
        <w:spacing w:before="1" w:line="218" w:lineRule="auto"/>
        <w:ind w:left="1884"/>
        <w:rPr>
          <w:sz w:val="24"/>
          <w:szCs w:val="24"/>
        </w:rPr>
      </w:pPr>
      <w:r>
        <w:rPr>
          <w:spacing w:val="-14"/>
          <w:sz w:val="24"/>
          <w:szCs w:val="24"/>
        </w:rPr>
        <w:t>4.3路面拆除</w:t>
      </w:r>
    </w:p>
    <w:p w14:paraId="29412932">
      <w:pPr>
        <w:pStyle w:val="2"/>
        <w:spacing w:before="117" w:line="307" w:lineRule="auto"/>
        <w:ind w:left="1455" w:right="1410" w:firstLine="439"/>
        <w:rPr>
          <w:sz w:val="24"/>
          <w:szCs w:val="24"/>
        </w:rPr>
      </w:pPr>
      <w:r>
        <w:rPr>
          <w:spacing w:val="-20"/>
          <w:sz w:val="24"/>
          <w:szCs w:val="24"/>
        </w:rPr>
        <w:t>采用挖掘机挖除，人工配合整平的方法。挖路槽时，必须采取临时排水设施，以免路槽积</w:t>
      </w:r>
      <w:r>
        <w:rPr>
          <w:spacing w:val="-18"/>
          <w:sz w:val="24"/>
          <w:szCs w:val="24"/>
        </w:rPr>
        <w:t>水，泡软路基。</w:t>
      </w:r>
    </w:p>
    <w:p w14:paraId="0A747E99">
      <w:pPr>
        <w:pStyle w:val="2"/>
        <w:spacing w:before="2" w:line="308" w:lineRule="auto"/>
        <w:ind w:left="1455" w:right="1410" w:firstLine="438"/>
        <w:rPr>
          <w:sz w:val="24"/>
          <w:szCs w:val="24"/>
        </w:rPr>
      </w:pPr>
      <w:r>
        <w:rPr>
          <w:spacing w:val="-20"/>
          <w:sz w:val="24"/>
          <w:szCs w:val="24"/>
        </w:rPr>
        <w:t>根据现场土质情况开挖，挖至基层为止。发生弹簧现象时，采用挖开、凉晒，换土、掺集</w:t>
      </w:r>
      <w:r>
        <w:rPr>
          <w:spacing w:val="-17"/>
          <w:sz w:val="24"/>
          <w:szCs w:val="24"/>
        </w:rPr>
        <w:t>料等措施。</w:t>
      </w:r>
    </w:p>
    <w:p w14:paraId="0265277F">
      <w:pPr>
        <w:pStyle w:val="2"/>
        <w:spacing w:line="218" w:lineRule="auto"/>
        <w:ind w:left="1892"/>
        <w:rPr>
          <w:sz w:val="24"/>
          <w:szCs w:val="24"/>
        </w:rPr>
      </w:pPr>
      <w:r>
        <w:rPr>
          <w:spacing w:val="-21"/>
          <w:sz w:val="24"/>
          <w:szCs w:val="24"/>
        </w:rPr>
        <w:t>挖出的路渣采用边挖边运出的方法。施工场地周围设置围挡。</w:t>
      </w:r>
    </w:p>
    <w:p w14:paraId="5F83BF32">
      <w:pPr>
        <w:pStyle w:val="2"/>
        <w:spacing w:before="114" w:line="285" w:lineRule="auto"/>
        <w:ind w:left="1455" w:right="1353" w:firstLine="429"/>
        <w:rPr>
          <w:sz w:val="24"/>
          <w:szCs w:val="24"/>
        </w:rPr>
      </w:pPr>
      <w:r>
        <w:rPr>
          <w:spacing w:val="-23"/>
          <w:sz w:val="24"/>
          <w:szCs w:val="24"/>
        </w:rPr>
        <w:t>4.4碾压：机械挖好路槽，并经人工整平后，要立即碾压，碾压时，以达到最大压实度，碾</w:t>
      </w:r>
      <w:r>
        <w:rPr>
          <w:spacing w:val="-21"/>
          <w:sz w:val="24"/>
          <w:szCs w:val="24"/>
        </w:rPr>
        <w:t>压要由轻到重，先用12～15吨的压路机初压几遍后,再用30吨振动压路机压实.。纵坡的路段，</w:t>
      </w:r>
      <w:r>
        <w:rPr>
          <w:spacing w:val="-20"/>
          <w:sz w:val="24"/>
          <w:szCs w:val="24"/>
        </w:rPr>
        <w:t>自坡低处压向高处，由慢到快，碾压前后行间，必须重迭压路机轮宽一半，使路槽全宽范围内</w:t>
      </w:r>
      <w:r>
        <w:rPr>
          <w:spacing w:val="-22"/>
          <w:sz w:val="24"/>
          <w:szCs w:val="24"/>
        </w:rPr>
        <w:t>碾压均匀密实。压路机碾压不到的地方，要用电动夯夯实，打夯时，前后左右均应重迭一半。</w:t>
      </w:r>
    </w:p>
    <w:p w14:paraId="471EFE8A">
      <w:pPr>
        <w:pStyle w:val="2"/>
        <w:spacing w:before="120" w:line="215" w:lineRule="auto"/>
        <w:ind w:left="1884"/>
        <w:rPr>
          <w:sz w:val="24"/>
          <w:szCs w:val="24"/>
        </w:rPr>
      </w:pPr>
      <w:r>
        <w:rPr>
          <w:spacing w:val="-20"/>
          <w:sz w:val="24"/>
          <w:szCs w:val="24"/>
        </w:rPr>
        <w:t>4.5压好的路槽，断面要同路拱一致，表面平整，没有波</w:t>
      </w:r>
      <w:r>
        <w:rPr>
          <w:spacing w:val="-21"/>
          <w:sz w:val="24"/>
          <w:szCs w:val="24"/>
        </w:rPr>
        <w:t>状起伏以及显著轮迹。</w:t>
      </w:r>
    </w:p>
    <w:p w14:paraId="3AFD511F">
      <w:pPr>
        <w:pStyle w:val="2"/>
        <w:spacing w:before="121" w:line="216" w:lineRule="auto"/>
        <w:ind w:left="1884"/>
        <w:rPr>
          <w:sz w:val="24"/>
          <w:szCs w:val="24"/>
        </w:rPr>
      </w:pPr>
      <w:r>
        <w:rPr>
          <w:spacing w:val="-21"/>
          <w:sz w:val="24"/>
          <w:szCs w:val="24"/>
        </w:rPr>
        <w:t>4.6检验压实度达到要求后，报检工地监理工程师检验批准，进行下道工序。</w:t>
      </w:r>
    </w:p>
    <w:p w14:paraId="1DE3CE10">
      <w:pPr>
        <w:pStyle w:val="2"/>
        <w:spacing w:before="117" w:line="217" w:lineRule="auto"/>
        <w:ind w:left="1890"/>
        <w:rPr>
          <w:sz w:val="24"/>
          <w:szCs w:val="24"/>
        </w:rPr>
      </w:pPr>
      <w:r>
        <w:rPr>
          <w:spacing w:val="-18"/>
          <w:sz w:val="24"/>
          <w:szCs w:val="24"/>
        </w:rPr>
        <w:t>5、人行道铺装拆除</w:t>
      </w:r>
    </w:p>
    <w:p w14:paraId="1E571F18">
      <w:pPr>
        <w:pStyle w:val="2"/>
        <w:spacing w:before="118" w:line="217" w:lineRule="auto"/>
        <w:ind w:left="1890"/>
        <w:rPr>
          <w:sz w:val="24"/>
          <w:szCs w:val="24"/>
        </w:rPr>
      </w:pPr>
      <w:r>
        <w:rPr>
          <w:spacing w:val="-17"/>
          <w:sz w:val="24"/>
          <w:szCs w:val="24"/>
        </w:rPr>
        <w:t>5.1人行道破除施工</w:t>
      </w:r>
    </w:p>
    <w:p w14:paraId="7A0AFF8D">
      <w:pPr>
        <w:pStyle w:val="2"/>
        <w:spacing w:before="120" w:line="218" w:lineRule="auto"/>
        <w:ind w:left="1903"/>
        <w:rPr>
          <w:sz w:val="24"/>
          <w:szCs w:val="24"/>
        </w:rPr>
      </w:pPr>
      <w:r>
        <w:rPr>
          <w:spacing w:val="-18"/>
          <w:sz w:val="24"/>
          <w:szCs w:val="24"/>
        </w:rPr>
        <w:t>1、施工准备：</w:t>
      </w:r>
    </w:p>
    <w:p w14:paraId="1D8EF05B">
      <w:pPr>
        <w:pStyle w:val="2"/>
        <w:spacing w:before="114" w:line="264" w:lineRule="auto"/>
        <w:ind w:left="1457" w:right="1411" w:firstLine="435"/>
        <w:rPr>
          <w:sz w:val="24"/>
          <w:szCs w:val="24"/>
        </w:rPr>
      </w:pPr>
      <w:r>
        <w:rPr>
          <w:spacing w:val="-22"/>
          <w:sz w:val="24"/>
          <w:szCs w:val="24"/>
        </w:rPr>
        <w:t>（1）人员准备组织强有力的有多年从事混凝土铺装层拆除拆除施工经验的作业</w:t>
      </w:r>
      <w:r>
        <w:rPr>
          <w:spacing w:val="-23"/>
          <w:sz w:val="24"/>
          <w:szCs w:val="24"/>
        </w:rPr>
        <w:t>队伍及时进</w:t>
      </w:r>
      <w:r>
        <w:rPr>
          <w:spacing w:val="-18"/>
          <w:sz w:val="24"/>
          <w:szCs w:val="24"/>
        </w:rPr>
        <w:t>场。</w:t>
      </w:r>
    </w:p>
    <w:p w14:paraId="2B7AF269">
      <w:pPr>
        <w:pStyle w:val="2"/>
        <w:spacing w:before="116" w:line="217" w:lineRule="auto"/>
        <w:ind w:left="1893"/>
        <w:rPr>
          <w:sz w:val="24"/>
          <w:szCs w:val="24"/>
        </w:rPr>
      </w:pPr>
      <w:r>
        <w:rPr>
          <w:spacing w:val="-22"/>
          <w:sz w:val="24"/>
          <w:szCs w:val="24"/>
        </w:rPr>
        <w:t>（2）机械设备凿岩机、发电机、空压机等。</w:t>
      </w:r>
    </w:p>
    <w:p w14:paraId="02B1375E">
      <w:pPr>
        <w:pStyle w:val="2"/>
        <w:spacing w:before="117" w:line="218" w:lineRule="auto"/>
        <w:ind w:left="1893"/>
        <w:rPr>
          <w:sz w:val="24"/>
          <w:szCs w:val="24"/>
        </w:rPr>
      </w:pPr>
      <w:r>
        <w:rPr>
          <w:spacing w:val="-18"/>
          <w:sz w:val="24"/>
          <w:szCs w:val="24"/>
        </w:rPr>
        <w:t>（3）技术准备：</w:t>
      </w:r>
    </w:p>
    <w:p w14:paraId="648D2C98">
      <w:pPr>
        <w:pStyle w:val="2"/>
        <w:spacing w:before="117" w:line="216" w:lineRule="auto"/>
        <w:ind w:left="1903"/>
        <w:rPr>
          <w:sz w:val="24"/>
          <w:szCs w:val="24"/>
        </w:rPr>
      </w:pPr>
      <w:r>
        <w:rPr>
          <w:spacing w:val="-21"/>
          <w:sz w:val="24"/>
          <w:szCs w:val="24"/>
        </w:rPr>
        <w:t>1）根据工程施工需要准备相应的技术资料，如施工图纸、施工</w:t>
      </w:r>
      <w:r>
        <w:rPr>
          <w:spacing w:val="-22"/>
          <w:sz w:val="24"/>
          <w:szCs w:val="24"/>
        </w:rPr>
        <w:t>规范等。</w:t>
      </w:r>
    </w:p>
    <w:p w14:paraId="3B738F9A">
      <w:pPr>
        <w:pStyle w:val="2"/>
        <w:spacing w:before="120" w:line="217" w:lineRule="auto"/>
        <w:ind w:left="1888"/>
        <w:rPr>
          <w:sz w:val="24"/>
          <w:szCs w:val="24"/>
        </w:rPr>
      </w:pPr>
      <w:r>
        <w:rPr>
          <w:spacing w:val="-21"/>
          <w:sz w:val="24"/>
          <w:szCs w:val="24"/>
        </w:rPr>
        <w:t>2）提前对施工人员讲解施工技术，组织学习相关技术要求及</w:t>
      </w:r>
      <w:r>
        <w:rPr>
          <w:spacing w:val="-22"/>
          <w:sz w:val="24"/>
          <w:szCs w:val="24"/>
        </w:rPr>
        <w:t>施工注意事项等。</w:t>
      </w:r>
    </w:p>
    <w:p w14:paraId="0F0CBACA">
      <w:pPr>
        <w:pStyle w:val="2"/>
        <w:spacing w:before="116" w:line="216" w:lineRule="auto"/>
        <w:ind w:left="1890"/>
        <w:rPr>
          <w:sz w:val="24"/>
          <w:szCs w:val="24"/>
        </w:rPr>
      </w:pPr>
      <w:r>
        <w:rPr>
          <w:spacing w:val="-21"/>
          <w:sz w:val="24"/>
          <w:szCs w:val="24"/>
        </w:rPr>
        <w:t>3）根据需要准备好相应的技术资料和各种记录表格。</w:t>
      </w:r>
    </w:p>
    <w:p w14:paraId="3E9B7125">
      <w:pPr>
        <w:pStyle w:val="2"/>
        <w:spacing w:before="120" w:line="217" w:lineRule="auto"/>
        <w:ind w:left="1884"/>
        <w:rPr>
          <w:sz w:val="24"/>
          <w:szCs w:val="24"/>
        </w:rPr>
      </w:pPr>
      <w:r>
        <w:rPr>
          <w:spacing w:val="-21"/>
          <w:sz w:val="24"/>
          <w:szCs w:val="24"/>
        </w:rPr>
        <w:t>4）拆除施工前首先进行原有绿化铺装层的相对高程测量。</w:t>
      </w:r>
    </w:p>
    <w:p w14:paraId="21EB23F1">
      <w:pPr>
        <w:pStyle w:val="2"/>
        <w:spacing w:before="121" w:line="307" w:lineRule="auto"/>
        <w:ind w:left="1456" w:right="1409" w:firstLine="436"/>
        <w:rPr>
          <w:sz w:val="24"/>
          <w:szCs w:val="24"/>
        </w:rPr>
      </w:pPr>
      <w:r>
        <w:rPr>
          <w:spacing w:val="-19"/>
          <w:sz w:val="24"/>
          <w:szCs w:val="24"/>
        </w:rPr>
        <w:t>（4）材料准备:根据施工实际进度情况，确定材料进场的数量和时间，保证不耽误工</w:t>
      </w:r>
      <w:r>
        <w:rPr>
          <w:spacing w:val="-20"/>
          <w:sz w:val="24"/>
          <w:szCs w:val="24"/>
        </w:rPr>
        <w:t>程进度为原则。</w:t>
      </w:r>
    </w:p>
    <w:p w14:paraId="5C14D6D6">
      <w:pPr>
        <w:pStyle w:val="2"/>
        <w:spacing w:line="218" w:lineRule="auto"/>
        <w:ind w:left="1888"/>
        <w:rPr>
          <w:sz w:val="24"/>
          <w:szCs w:val="24"/>
        </w:rPr>
      </w:pPr>
      <w:r>
        <w:rPr>
          <w:spacing w:val="-18"/>
          <w:sz w:val="24"/>
          <w:szCs w:val="24"/>
        </w:rPr>
        <w:t>2、施工部署</w:t>
      </w:r>
    </w:p>
    <w:p w14:paraId="08D6CF76">
      <w:pPr>
        <w:pStyle w:val="2"/>
        <w:spacing w:before="116" w:line="307" w:lineRule="auto"/>
        <w:ind w:left="1456" w:right="1410" w:firstLine="437"/>
        <w:rPr>
          <w:sz w:val="24"/>
          <w:szCs w:val="24"/>
        </w:rPr>
      </w:pPr>
      <w:r>
        <w:rPr>
          <w:spacing w:val="-20"/>
          <w:sz w:val="24"/>
          <w:szCs w:val="24"/>
        </w:rPr>
        <w:t>本次加固改造工程工期要求紧，施工任务重，根据业主和工程进度计划要求，拆除施工的</w:t>
      </w:r>
      <w:r>
        <w:rPr>
          <w:spacing w:val="-19"/>
          <w:sz w:val="24"/>
          <w:szCs w:val="24"/>
        </w:rPr>
        <w:t>机械设备不得少于1台/套，12小时不间断施工</w:t>
      </w:r>
      <w:r>
        <w:rPr>
          <w:spacing w:val="-20"/>
          <w:sz w:val="24"/>
          <w:szCs w:val="24"/>
        </w:rPr>
        <w:t>，并适时增减施工人员数量。</w:t>
      </w:r>
    </w:p>
    <w:p w14:paraId="2679DF06">
      <w:pPr>
        <w:pStyle w:val="2"/>
        <w:spacing w:before="2" w:line="220" w:lineRule="auto"/>
        <w:ind w:left="1890"/>
        <w:rPr>
          <w:sz w:val="24"/>
          <w:szCs w:val="24"/>
        </w:rPr>
      </w:pPr>
      <w:r>
        <w:rPr>
          <w:spacing w:val="-19"/>
          <w:sz w:val="24"/>
          <w:szCs w:val="24"/>
        </w:rPr>
        <w:t>3、施工工艺</w:t>
      </w:r>
    </w:p>
    <w:p w14:paraId="55C36F4B">
      <w:pPr>
        <w:pStyle w:val="2"/>
        <w:spacing w:before="115" w:line="308" w:lineRule="auto"/>
        <w:ind w:left="1461" w:right="1409" w:firstLine="432"/>
        <w:rPr>
          <w:sz w:val="24"/>
          <w:szCs w:val="24"/>
        </w:rPr>
      </w:pPr>
      <w:r>
        <w:rPr>
          <w:spacing w:val="-20"/>
          <w:sz w:val="24"/>
          <w:szCs w:val="24"/>
        </w:rPr>
        <w:t>拆除施工工艺流程：施工准备→施工放样→机械设备就位→原有草木移植→拆除原有铺装</w:t>
      </w:r>
      <w:r>
        <w:rPr>
          <w:spacing w:val="-21"/>
          <w:sz w:val="24"/>
          <w:szCs w:val="24"/>
        </w:rPr>
        <w:t>面、路牙石、扶手→铺装混凝土层拆除→垃圾、土方</w:t>
      </w:r>
      <w:r>
        <w:rPr>
          <w:spacing w:val="-22"/>
          <w:sz w:val="24"/>
          <w:szCs w:val="24"/>
        </w:rPr>
        <w:t>外运→原地面处理。</w:t>
      </w:r>
    </w:p>
    <w:p w14:paraId="4B6D4026">
      <w:pPr>
        <w:spacing w:line="308" w:lineRule="auto"/>
        <w:rPr>
          <w:sz w:val="24"/>
          <w:szCs w:val="24"/>
        </w:rPr>
        <w:sectPr>
          <w:footerReference r:id="rId429" w:type="default"/>
          <w:pgSz w:w="11907" w:h="16839"/>
          <w:pgMar w:top="933" w:right="4" w:bottom="1038" w:left="0" w:header="478" w:footer="357" w:gutter="0"/>
          <w:pgBorders>
            <w:top w:val="none" w:sz="0" w:space="0"/>
            <w:left w:val="none" w:sz="0" w:space="0"/>
            <w:bottom w:val="none" w:sz="0" w:space="0"/>
            <w:right w:val="none" w:sz="0" w:space="0"/>
          </w:pgBorders>
          <w:cols w:space="720" w:num="1"/>
        </w:sectPr>
      </w:pPr>
    </w:p>
    <w:p w14:paraId="7971336C">
      <w:pPr>
        <w:spacing w:line="270" w:lineRule="auto"/>
        <w:rPr>
          <w:rFonts w:ascii="Arial"/>
          <w:sz w:val="21"/>
        </w:rPr>
      </w:pPr>
    </w:p>
    <w:p w14:paraId="2017E0E0">
      <w:pPr>
        <w:pStyle w:val="2"/>
        <w:spacing w:before="78" w:line="278" w:lineRule="auto"/>
        <w:ind w:left="1459" w:right="1353" w:firstLine="433"/>
        <w:rPr>
          <w:sz w:val="24"/>
          <w:szCs w:val="24"/>
        </w:rPr>
      </w:pPr>
      <w:r>
        <w:rPr>
          <w:spacing w:val="-25"/>
          <w:sz w:val="24"/>
          <w:szCs w:val="24"/>
        </w:rPr>
        <w:t>（1）混凝土铺装层的凿除工作采用风镐拆除。为提高工作效率，配备发电设备及</w:t>
      </w:r>
      <w:r>
        <w:rPr>
          <w:spacing w:val="-26"/>
          <w:sz w:val="24"/>
          <w:szCs w:val="24"/>
        </w:rPr>
        <w:t>2台风镐，</w:t>
      </w:r>
      <w:r>
        <w:rPr>
          <w:spacing w:val="-20"/>
          <w:sz w:val="24"/>
          <w:szCs w:val="24"/>
        </w:rPr>
        <w:t>分区分块进行。同时，坚持不间断施工。倒轮流施工制度，做到人停设备不能停。设备坏了有</w:t>
      </w:r>
      <w:r>
        <w:rPr>
          <w:spacing w:val="-21"/>
          <w:sz w:val="24"/>
          <w:szCs w:val="24"/>
        </w:rPr>
        <w:t>人修。</w:t>
      </w:r>
    </w:p>
    <w:p w14:paraId="7C4D271E">
      <w:pPr>
        <w:pStyle w:val="2"/>
        <w:spacing w:before="116" w:line="217" w:lineRule="auto"/>
        <w:ind w:left="1893"/>
        <w:rPr>
          <w:sz w:val="24"/>
          <w:szCs w:val="24"/>
        </w:rPr>
      </w:pPr>
      <w:r>
        <w:rPr>
          <w:spacing w:val="-21"/>
          <w:sz w:val="24"/>
          <w:szCs w:val="24"/>
        </w:rPr>
        <w:t>（2）所拆除下来的混凝土块及时运出施工现场，保持施工现场整洁。</w:t>
      </w:r>
    </w:p>
    <w:p w14:paraId="614EEF2E">
      <w:pPr>
        <w:pStyle w:val="2"/>
        <w:spacing w:before="117" w:line="262" w:lineRule="auto"/>
        <w:ind w:left="1455" w:right="1412" w:firstLine="437"/>
        <w:rPr>
          <w:sz w:val="24"/>
          <w:szCs w:val="24"/>
        </w:rPr>
      </w:pPr>
      <w:r>
        <w:rPr>
          <w:spacing w:val="-22"/>
          <w:sz w:val="24"/>
          <w:szCs w:val="24"/>
        </w:rPr>
        <w:t>（3）对于在施工过程中造成的质量缺陷应经得监理工程师或业主代表同意后，</w:t>
      </w:r>
      <w:r>
        <w:rPr>
          <w:spacing w:val="-23"/>
          <w:sz w:val="24"/>
          <w:szCs w:val="24"/>
        </w:rPr>
        <w:t>采用相应措</w:t>
      </w:r>
      <w:r>
        <w:rPr>
          <w:spacing w:val="-18"/>
          <w:sz w:val="24"/>
          <w:szCs w:val="24"/>
        </w:rPr>
        <w:t>施进行修补。</w:t>
      </w:r>
    </w:p>
    <w:p w14:paraId="05817332">
      <w:pPr>
        <w:spacing w:line="42" w:lineRule="auto"/>
        <w:rPr>
          <w:rFonts w:ascii="Arial"/>
          <w:sz w:val="2"/>
        </w:rPr>
      </w:pPr>
    </w:p>
    <w:tbl>
      <w:tblPr>
        <w:tblStyle w:val="6"/>
        <w:tblW w:w="8549" w:type="dxa"/>
        <w:tblInd w:w="1678" w:type="dxa"/>
        <w:tblBorders>
          <w:top w:val="single" w:color="5B9BD5" w:sz="4" w:space="0"/>
          <w:left w:val="single" w:color="5B9BD5" w:sz="4" w:space="0"/>
          <w:bottom w:val="single" w:color="5B9BD5" w:sz="4" w:space="0"/>
          <w:right w:val="single" w:color="5B9BD5" w:sz="4" w:space="0"/>
          <w:insideH w:val="single" w:color="5B9BD5" w:sz="4" w:space="0"/>
          <w:insideV w:val="single" w:color="5B9BD5" w:sz="4" w:space="0"/>
        </w:tblBorders>
        <w:tblLayout w:type="fixed"/>
        <w:tblCellMar>
          <w:top w:w="0" w:type="dxa"/>
          <w:left w:w="0" w:type="dxa"/>
          <w:bottom w:w="0" w:type="dxa"/>
          <w:right w:w="0" w:type="dxa"/>
        </w:tblCellMar>
      </w:tblPr>
      <w:tblGrid>
        <w:gridCol w:w="8549"/>
      </w:tblGrid>
      <w:tr w14:paraId="5CB1A33B">
        <w:tblPrEx>
          <w:tblBorders>
            <w:top w:val="single" w:color="5B9BD5" w:sz="4" w:space="0"/>
            <w:left w:val="single" w:color="5B9BD5" w:sz="4" w:space="0"/>
            <w:bottom w:val="single" w:color="5B9BD5" w:sz="4" w:space="0"/>
            <w:right w:val="single" w:color="5B9BD5" w:sz="4" w:space="0"/>
            <w:insideH w:val="single" w:color="5B9BD5" w:sz="4" w:space="0"/>
            <w:insideV w:val="single" w:color="5B9BD5" w:sz="4" w:space="0"/>
          </w:tblBorders>
          <w:tblCellMar>
            <w:top w:w="0" w:type="dxa"/>
            <w:left w:w="0" w:type="dxa"/>
            <w:bottom w:w="0" w:type="dxa"/>
            <w:right w:w="0" w:type="dxa"/>
          </w:tblCellMar>
        </w:tblPrEx>
        <w:trPr>
          <w:trHeight w:val="619" w:hRule="atLeast"/>
        </w:trPr>
        <w:tc>
          <w:tcPr>
            <w:tcW w:w="8549" w:type="dxa"/>
            <w:tcBorders>
              <w:bottom w:val="single" w:color="000000" w:sz="2" w:space="0"/>
            </w:tcBorders>
            <w:shd w:val="clear" w:color="auto" w:fill="DEEAF6"/>
            <w:vAlign w:val="top"/>
          </w:tcPr>
          <w:p w14:paraId="6D842B12">
            <w:pPr>
              <w:pStyle w:val="7"/>
              <w:spacing w:before="129" w:line="219" w:lineRule="auto"/>
              <w:ind w:left="3845"/>
            </w:pPr>
            <w:r>
              <w:rPr>
                <w:b/>
                <w:bCs/>
                <w:spacing w:val="-18"/>
              </w:rPr>
              <w:t>铺装拆除</w:t>
            </w:r>
          </w:p>
        </w:tc>
      </w:tr>
      <w:tr w14:paraId="1656F134">
        <w:tblPrEx>
          <w:tblBorders>
            <w:top w:val="single" w:color="5B9BD5" w:sz="4" w:space="0"/>
            <w:left w:val="single" w:color="5B9BD5" w:sz="4" w:space="0"/>
            <w:bottom w:val="single" w:color="5B9BD5" w:sz="4" w:space="0"/>
            <w:right w:val="single" w:color="5B9BD5" w:sz="4" w:space="0"/>
            <w:insideH w:val="single" w:color="5B9BD5" w:sz="4" w:space="0"/>
            <w:insideV w:val="single" w:color="5B9BD5" w:sz="4" w:space="0"/>
          </w:tblBorders>
          <w:tblCellMar>
            <w:top w:w="0" w:type="dxa"/>
            <w:left w:w="0" w:type="dxa"/>
            <w:bottom w:w="0" w:type="dxa"/>
            <w:right w:w="0" w:type="dxa"/>
          </w:tblCellMar>
        </w:tblPrEx>
        <w:trPr>
          <w:trHeight w:val="3930" w:hRule="atLeast"/>
        </w:trPr>
        <w:tc>
          <w:tcPr>
            <w:tcW w:w="8549" w:type="dxa"/>
            <w:tcBorders>
              <w:top w:val="single" w:color="000000" w:sz="2" w:space="0"/>
              <w:left w:val="single" w:color="1C456A" w:sz="4" w:space="0"/>
              <w:bottom w:val="single" w:color="1C456A" w:sz="4" w:space="0"/>
              <w:right w:val="single" w:color="1C456A" w:sz="4" w:space="0"/>
            </w:tcBorders>
            <w:vAlign w:val="top"/>
          </w:tcPr>
          <w:p w14:paraId="6DBD070C">
            <w:pPr>
              <w:spacing w:before="41" w:line="3878" w:lineRule="exact"/>
            </w:pPr>
            <w:r>
              <w:rPr>
                <w:position w:val="-79"/>
              </w:rPr>
              <w:pict>
                <v:group id="_x0000_s4602" o:spid="_x0000_s4602" o:spt="203" style="height:195pt;width:376.1pt;" coordsize="7522,3900">
                  <o:lock v:ext="edit"/>
                  <v:shape id="_x0000_s4604" o:spid="_x0000_s4604" o:spt="75" type="#_x0000_t75" style="position:absolute;left:1048;top:17;height:3625;width:6457;" filled="f" stroked="f" coordsize="21600,21600">
                    <v:path/>
                    <v:fill on="f" focussize="0,0"/>
                    <v:stroke on="f"/>
                    <v:imagedata r:id="rId747" o:title=""/>
                    <o:lock v:ext="edit" aspectratio="t"/>
                  </v:shape>
                  <v:shape id="_x0000_s4606" o:spid="_x0000_s4606" o:spt="202" type="#_x0000_t202" style="position:absolute;left:1011;top:-20;height:3696;width:6530;" filled="f" stroked="f" coordsize="21600,21600">
                    <v:path/>
                    <v:fill on="f" focussize="0,0"/>
                    <v:stroke on="f"/>
                    <v:imagedata o:title=""/>
                    <o:lock v:ext="edit" aspectratio="f"/>
                    <v:textbox inset="0mm,0mm,0mm,0mm">
                      <w:txbxContent>
                        <w:p w14:paraId="52DF6F5E">
                          <w:pPr>
                            <w:spacing w:line="20" w:lineRule="exact"/>
                          </w:pPr>
                        </w:p>
                        <w:tbl>
                          <w:tblPr>
                            <w:tblStyle w:val="6"/>
                            <w:tblW w:w="6474" w:type="dxa"/>
                            <w:tblInd w:w="27" w:type="dxa"/>
                            <w:tblBorders>
                              <w:top w:val="single" w:color="0070C0" w:sz="6" w:space="0"/>
                              <w:left w:val="single" w:color="0070C0" w:sz="6" w:space="0"/>
                              <w:bottom w:val="single" w:color="0070C0" w:sz="6" w:space="0"/>
                              <w:right w:val="single" w:color="0070C0" w:sz="6" w:space="0"/>
                              <w:insideH w:val="none" w:color="auto" w:sz="0" w:space="0"/>
                              <w:insideV w:val="none" w:color="auto" w:sz="0" w:space="0"/>
                            </w:tblBorders>
                            <w:tblLayout w:type="fixed"/>
                            <w:tblCellMar>
                              <w:top w:w="0" w:type="dxa"/>
                              <w:left w:w="0" w:type="dxa"/>
                              <w:bottom w:w="0" w:type="dxa"/>
                              <w:right w:w="0" w:type="dxa"/>
                            </w:tblCellMar>
                          </w:tblPr>
                          <w:tblGrid>
                            <w:gridCol w:w="6474"/>
                          </w:tblGrid>
                          <w:tr w14:paraId="269BFC8E">
                            <w:tblPrEx>
                              <w:tblBorders>
                                <w:top w:val="single" w:color="0070C0" w:sz="6" w:space="0"/>
                                <w:left w:val="single" w:color="0070C0" w:sz="6" w:space="0"/>
                                <w:bottom w:val="single" w:color="0070C0" w:sz="6" w:space="0"/>
                                <w:right w:val="single" w:color="0070C0" w:sz="6" w:space="0"/>
                                <w:insideH w:val="none" w:color="auto" w:sz="0" w:space="0"/>
                                <w:insideV w:val="none" w:color="auto" w:sz="0" w:space="0"/>
                              </w:tblBorders>
                              <w:tblCellMar>
                                <w:top w:w="0" w:type="dxa"/>
                                <w:left w:w="0" w:type="dxa"/>
                                <w:bottom w:w="0" w:type="dxa"/>
                                <w:right w:w="0" w:type="dxa"/>
                              </w:tblCellMar>
                            </w:tblPrEx>
                            <w:trPr>
                              <w:trHeight w:val="3625" w:hRule="atLeast"/>
                            </w:trPr>
                            <w:tc>
                              <w:tcPr>
                                <w:tcW w:w="6474" w:type="dxa"/>
                                <w:vAlign w:val="top"/>
                              </w:tcPr>
                              <w:p w14:paraId="57AF8C03">
                                <w:pPr>
                                  <w:rPr>
                                    <w:rFonts w:ascii="Arial"/>
                                    <w:sz w:val="21"/>
                                  </w:rPr>
                                </w:pPr>
                              </w:p>
                            </w:tc>
                          </w:tr>
                        </w:tbl>
                        <w:p w14:paraId="731F9A5A">
                          <w:pPr>
                            <w:rPr>
                              <w:rFonts w:ascii="Arial"/>
                              <w:sz w:val="21"/>
                            </w:rPr>
                          </w:pPr>
                        </w:p>
                      </w:txbxContent>
                    </v:textbox>
                  </v:shape>
                  <v:shape id="_x0000_s4608" o:spid="_x0000_s4608" style="position:absolute;left:0;top:3884;height:15;width:44;" fillcolor="#5B9BD5" filled="t" stroked="f" coordsize="44,15" path="m0,14l43,14,43,0,0,0,0,14xe">
                    <v:path/>
                    <v:fill on="t" focussize="0,0"/>
                    <v:stroke on="f"/>
                    <v:imagedata o:title=""/>
                    <o:lock v:ext="edit"/>
                  </v:shape>
                  <w10:wrap type="none"/>
                  <w10:anchorlock/>
                </v:group>
              </w:pict>
            </w:r>
          </w:p>
        </w:tc>
      </w:tr>
    </w:tbl>
    <w:p w14:paraId="4932CAF1">
      <w:pPr>
        <w:pStyle w:val="2"/>
        <w:spacing w:before="115" w:line="219" w:lineRule="auto"/>
        <w:ind w:left="1884"/>
        <w:rPr>
          <w:sz w:val="24"/>
          <w:szCs w:val="24"/>
        </w:rPr>
      </w:pPr>
      <w:r>
        <w:rPr>
          <w:spacing w:val="-18"/>
          <w:sz w:val="24"/>
          <w:szCs w:val="24"/>
        </w:rPr>
        <w:t>4、一般规定与注意事项</w:t>
      </w:r>
    </w:p>
    <w:p w14:paraId="754C147E">
      <w:pPr>
        <w:pStyle w:val="2"/>
        <w:spacing w:before="117" w:line="261" w:lineRule="auto"/>
        <w:ind w:left="1458" w:right="1414" w:firstLine="434"/>
        <w:rPr>
          <w:sz w:val="24"/>
          <w:szCs w:val="24"/>
        </w:rPr>
      </w:pPr>
      <w:r>
        <w:rPr>
          <w:spacing w:val="-22"/>
          <w:sz w:val="24"/>
          <w:szCs w:val="24"/>
        </w:rPr>
        <w:t>（1）进入施工现场的人员，必须穿戴安全帽、防护镜、安全鞋。如施工确</w:t>
      </w:r>
      <w:r>
        <w:rPr>
          <w:spacing w:val="-23"/>
          <w:sz w:val="24"/>
          <w:szCs w:val="24"/>
        </w:rPr>
        <w:t>有困难时，必须</w:t>
      </w:r>
      <w:r>
        <w:rPr>
          <w:spacing w:val="-21"/>
          <w:sz w:val="24"/>
          <w:szCs w:val="24"/>
        </w:rPr>
        <w:t>采取切实、有效、确保安全的其他防护措施，不得冒险</w:t>
      </w:r>
      <w:r>
        <w:rPr>
          <w:spacing w:val="-22"/>
          <w:sz w:val="24"/>
          <w:szCs w:val="24"/>
        </w:rPr>
        <w:t>作业。</w:t>
      </w:r>
    </w:p>
    <w:p w14:paraId="613CE8D9">
      <w:pPr>
        <w:pStyle w:val="2"/>
        <w:spacing w:before="121" w:line="277" w:lineRule="auto"/>
        <w:ind w:left="1455" w:right="1422" w:firstLine="437"/>
        <w:rPr>
          <w:sz w:val="24"/>
          <w:szCs w:val="24"/>
        </w:rPr>
      </w:pPr>
      <w:r>
        <w:rPr>
          <w:spacing w:val="-22"/>
          <w:sz w:val="24"/>
          <w:szCs w:val="24"/>
        </w:rPr>
        <w:t>（2）拆除施工作业时严禁向湖中抛掷，拆卸各种材料</w:t>
      </w:r>
      <w:r>
        <w:rPr>
          <w:spacing w:val="-23"/>
          <w:sz w:val="24"/>
          <w:szCs w:val="24"/>
        </w:rPr>
        <w:t>应及时清理，分别堆放在指定场所。</w:t>
      </w:r>
      <w:r>
        <w:rPr>
          <w:spacing w:val="-20"/>
          <w:sz w:val="24"/>
          <w:szCs w:val="24"/>
        </w:rPr>
        <w:t>施工现场应做到材料堆放整齐，周围通道、沟管保持畅通，场内无积水。及时清运建筑垃圾，</w:t>
      </w:r>
      <w:r>
        <w:rPr>
          <w:spacing w:val="-21"/>
          <w:sz w:val="24"/>
          <w:szCs w:val="24"/>
        </w:rPr>
        <w:t>人工拆除主要扬尘环节应有控制措施，安排专人定时洒水保持</w:t>
      </w:r>
      <w:r>
        <w:rPr>
          <w:spacing w:val="-22"/>
          <w:sz w:val="24"/>
          <w:szCs w:val="24"/>
        </w:rPr>
        <w:t>潮湿。</w:t>
      </w:r>
    </w:p>
    <w:p w14:paraId="190A1124">
      <w:pPr>
        <w:pStyle w:val="2"/>
        <w:spacing w:before="119" w:line="215" w:lineRule="auto"/>
        <w:ind w:left="1893"/>
        <w:rPr>
          <w:sz w:val="24"/>
          <w:szCs w:val="24"/>
        </w:rPr>
      </w:pPr>
      <w:r>
        <w:rPr>
          <w:spacing w:val="-21"/>
          <w:sz w:val="24"/>
          <w:szCs w:val="24"/>
        </w:rPr>
        <w:t>（3）遇有风力在六级以上、雷暴雨等恶劣气候影</w:t>
      </w:r>
      <w:r>
        <w:rPr>
          <w:spacing w:val="-22"/>
          <w:sz w:val="24"/>
          <w:szCs w:val="24"/>
        </w:rPr>
        <w:t>响施工安全时，禁止进行露天拆除作业。</w:t>
      </w:r>
    </w:p>
    <w:p w14:paraId="69086880">
      <w:pPr>
        <w:pStyle w:val="2"/>
        <w:spacing w:before="120" w:line="262" w:lineRule="auto"/>
        <w:ind w:left="1473" w:right="1412" w:firstLine="419"/>
        <w:rPr>
          <w:sz w:val="24"/>
          <w:szCs w:val="24"/>
        </w:rPr>
      </w:pPr>
      <w:r>
        <w:rPr>
          <w:spacing w:val="-22"/>
          <w:sz w:val="24"/>
          <w:szCs w:val="24"/>
        </w:rPr>
        <w:t>（4）当日拆除施工结束后，所有机械设备应停放在远离被拆除建筑的地方。施</w:t>
      </w:r>
      <w:r>
        <w:rPr>
          <w:spacing w:val="-23"/>
          <w:sz w:val="24"/>
          <w:szCs w:val="24"/>
        </w:rPr>
        <w:t>工期间的临</w:t>
      </w:r>
      <w:r>
        <w:rPr>
          <w:spacing w:val="-22"/>
          <w:sz w:val="24"/>
          <w:szCs w:val="24"/>
        </w:rPr>
        <w:t>时设施，应与被拆除建筑保持一定的安全距离。</w:t>
      </w:r>
    </w:p>
    <w:p w14:paraId="2DE545F7">
      <w:pPr>
        <w:pStyle w:val="2"/>
        <w:spacing w:before="119" w:line="262" w:lineRule="auto"/>
        <w:ind w:left="1463" w:right="1411" w:firstLine="430"/>
        <w:rPr>
          <w:sz w:val="24"/>
          <w:szCs w:val="24"/>
        </w:rPr>
      </w:pPr>
      <w:r>
        <w:rPr>
          <w:spacing w:val="-22"/>
          <w:sz w:val="24"/>
          <w:szCs w:val="24"/>
        </w:rPr>
        <w:t>（5）拆除工程施工现场的安全管理应由施工单位负责。从业人员应办理相关手</w:t>
      </w:r>
      <w:r>
        <w:rPr>
          <w:spacing w:val="-23"/>
          <w:sz w:val="24"/>
          <w:szCs w:val="24"/>
        </w:rPr>
        <w:t>续，签订劳</w:t>
      </w:r>
      <w:r>
        <w:rPr>
          <w:spacing w:val="-21"/>
          <w:sz w:val="24"/>
          <w:szCs w:val="24"/>
        </w:rPr>
        <w:t>务合同，进行安全培训，考试合格后，方可</w:t>
      </w:r>
      <w:r>
        <w:rPr>
          <w:spacing w:val="-22"/>
          <w:sz w:val="24"/>
          <w:szCs w:val="24"/>
        </w:rPr>
        <w:t>上岗作业。特种人员必须持有效证件上岗作业。</w:t>
      </w:r>
    </w:p>
    <w:p w14:paraId="1ADE764F">
      <w:pPr>
        <w:pStyle w:val="2"/>
        <w:spacing w:before="122" w:line="289" w:lineRule="auto"/>
        <w:ind w:left="1452" w:right="1336" w:firstLine="440"/>
        <w:rPr>
          <w:sz w:val="24"/>
          <w:szCs w:val="24"/>
        </w:rPr>
      </w:pPr>
      <w:r>
        <w:rPr>
          <w:spacing w:val="-5"/>
          <w:sz w:val="24"/>
          <w:szCs w:val="24"/>
        </w:rPr>
        <w:t>（6）施工现场临时用电必须按照国家现行标准《施工现场临时用电安全技术规范》</w:t>
      </w:r>
      <w:r>
        <w:rPr>
          <w:spacing w:val="-20"/>
          <w:sz w:val="24"/>
          <w:szCs w:val="24"/>
        </w:rPr>
        <w:t>JGJ46-2005的有关规定执行。夜间施工必须有足够照明。电动机械和电动工具必须装设漏电保护器，其保护零线的电气连接应符合要求，电源采用三相五线制，设专用接地线。从配电房到</w:t>
      </w:r>
      <w:r>
        <w:rPr>
          <w:spacing w:val="-23"/>
          <w:sz w:val="24"/>
          <w:szCs w:val="24"/>
        </w:rPr>
        <w:t>现场的主线一律采用质量合格的电缆，并要正确架设。严格做到“一机一闸一漏电保护装</w:t>
      </w:r>
      <w:r>
        <w:rPr>
          <w:spacing w:val="-24"/>
          <w:sz w:val="24"/>
          <w:szCs w:val="24"/>
        </w:rPr>
        <w:t>置”。</w:t>
      </w:r>
      <w:r>
        <w:rPr>
          <w:spacing w:val="-21"/>
          <w:sz w:val="24"/>
          <w:szCs w:val="24"/>
        </w:rPr>
        <w:t>一切电气设备必须有良好的接地装置。使用小型手持电动工具时均使</w:t>
      </w:r>
      <w:r>
        <w:rPr>
          <w:spacing w:val="-22"/>
          <w:sz w:val="24"/>
          <w:szCs w:val="24"/>
        </w:rPr>
        <w:t>用带漏电保护的闸箱。</w:t>
      </w:r>
    </w:p>
    <w:p w14:paraId="7F51E0FD">
      <w:pPr>
        <w:pStyle w:val="2"/>
        <w:spacing w:before="120" w:line="215" w:lineRule="auto"/>
        <w:ind w:left="1893"/>
        <w:rPr>
          <w:sz w:val="24"/>
          <w:szCs w:val="24"/>
        </w:rPr>
      </w:pPr>
      <w:r>
        <w:rPr>
          <w:spacing w:val="-21"/>
          <w:sz w:val="24"/>
          <w:szCs w:val="24"/>
        </w:rPr>
        <w:t>（7）机械车辆不得带“病”作业，每次要检查绳索及各部件牢固情况。</w:t>
      </w:r>
    </w:p>
    <w:p w14:paraId="36A93F5D">
      <w:pPr>
        <w:pStyle w:val="2"/>
        <w:spacing w:before="119" w:line="215" w:lineRule="auto"/>
        <w:ind w:left="1893"/>
        <w:rPr>
          <w:sz w:val="24"/>
          <w:szCs w:val="24"/>
        </w:rPr>
      </w:pPr>
      <w:r>
        <w:rPr>
          <w:spacing w:val="-22"/>
          <w:sz w:val="24"/>
          <w:szCs w:val="24"/>
        </w:rPr>
        <w:t>（8）在高空作业时，检查下部结构情况是否稳固，分段作业要观察结构连接情况，不得立</w:t>
      </w:r>
    </w:p>
    <w:p w14:paraId="22C7497E">
      <w:pPr>
        <w:spacing w:line="215" w:lineRule="auto"/>
        <w:rPr>
          <w:sz w:val="24"/>
          <w:szCs w:val="24"/>
        </w:rPr>
        <w:sectPr>
          <w:footerReference r:id="rId430" w:type="default"/>
          <w:pgSz w:w="11907" w:h="16839"/>
          <w:pgMar w:top="933" w:right="4" w:bottom="1038" w:left="0" w:header="478" w:footer="357" w:gutter="0"/>
          <w:pgBorders>
            <w:top w:val="none" w:sz="0" w:space="0"/>
            <w:left w:val="none" w:sz="0" w:space="0"/>
            <w:bottom w:val="none" w:sz="0" w:space="0"/>
            <w:right w:val="none" w:sz="0" w:space="0"/>
          </w:pgBorders>
          <w:cols w:space="720" w:num="1"/>
        </w:sectPr>
      </w:pPr>
    </w:p>
    <w:p w14:paraId="7831E706">
      <w:pPr>
        <w:spacing w:line="271" w:lineRule="auto"/>
        <w:rPr>
          <w:rFonts w:ascii="Arial"/>
          <w:sz w:val="21"/>
        </w:rPr>
      </w:pPr>
    </w:p>
    <w:p w14:paraId="6A0A8E09">
      <w:pPr>
        <w:pStyle w:val="2"/>
        <w:spacing w:before="78" w:line="216" w:lineRule="auto"/>
        <w:ind w:left="1457"/>
        <w:rPr>
          <w:sz w:val="24"/>
          <w:szCs w:val="24"/>
        </w:rPr>
      </w:pPr>
      <w:r>
        <w:rPr>
          <w:spacing w:val="-15"/>
          <w:sz w:val="24"/>
          <w:szCs w:val="24"/>
        </w:rPr>
        <w:t>体作业。</w:t>
      </w:r>
    </w:p>
    <w:p w14:paraId="0C08676E">
      <w:pPr>
        <w:pStyle w:val="2"/>
        <w:spacing w:before="119" w:line="263" w:lineRule="auto"/>
        <w:ind w:left="1462" w:right="1409" w:firstLine="431"/>
        <w:rPr>
          <w:sz w:val="24"/>
          <w:szCs w:val="24"/>
        </w:rPr>
      </w:pPr>
      <w:r>
        <w:rPr>
          <w:spacing w:val="-22"/>
          <w:sz w:val="24"/>
          <w:szCs w:val="24"/>
        </w:rPr>
        <w:t>（9）拆除前要检查被拆除室内外情况，做到有边必有栏，有孔必有盖，有施工项目必</w:t>
      </w:r>
      <w:r>
        <w:rPr>
          <w:spacing w:val="-23"/>
          <w:sz w:val="24"/>
          <w:szCs w:val="24"/>
        </w:rPr>
        <w:t>有安</w:t>
      </w:r>
      <w:r>
        <w:rPr>
          <w:spacing w:val="-17"/>
          <w:sz w:val="24"/>
          <w:szCs w:val="24"/>
        </w:rPr>
        <w:t>全措施。</w:t>
      </w:r>
    </w:p>
    <w:p w14:paraId="3C492BB7">
      <w:pPr>
        <w:pStyle w:val="2"/>
        <w:spacing w:before="115" w:line="217" w:lineRule="auto"/>
        <w:ind w:left="1893"/>
        <w:rPr>
          <w:sz w:val="24"/>
          <w:szCs w:val="24"/>
        </w:rPr>
      </w:pPr>
      <w:r>
        <w:rPr>
          <w:spacing w:val="-21"/>
          <w:sz w:val="24"/>
          <w:szCs w:val="24"/>
        </w:rPr>
        <w:t>（10）要设置门卫；场内设置保安人员经常巡逻，防止发生治安</w:t>
      </w:r>
      <w:r>
        <w:rPr>
          <w:spacing w:val="-22"/>
          <w:sz w:val="24"/>
          <w:szCs w:val="24"/>
        </w:rPr>
        <w:t>事故，防止无关人员进场。</w:t>
      </w:r>
    </w:p>
    <w:p w14:paraId="1936B56C">
      <w:pPr>
        <w:pStyle w:val="2"/>
        <w:spacing w:before="119" w:line="216" w:lineRule="auto"/>
        <w:ind w:left="1893"/>
        <w:rPr>
          <w:sz w:val="24"/>
          <w:szCs w:val="24"/>
        </w:rPr>
      </w:pPr>
      <w:r>
        <w:rPr>
          <w:spacing w:val="-21"/>
          <w:sz w:val="24"/>
          <w:szCs w:val="24"/>
        </w:rPr>
        <w:t>（11）环保和市容工作须得到环保环卫市容管理部门的批准和支持，接受其检查监督。</w:t>
      </w:r>
    </w:p>
    <w:p w14:paraId="66FD9E2D">
      <w:pPr>
        <w:pStyle w:val="2"/>
        <w:spacing w:before="118" w:line="263" w:lineRule="auto"/>
        <w:ind w:left="1458" w:right="1410" w:firstLine="434"/>
        <w:rPr>
          <w:sz w:val="24"/>
          <w:szCs w:val="24"/>
        </w:rPr>
      </w:pPr>
      <w:r>
        <w:rPr>
          <w:spacing w:val="-19"/>
          <w:sz w:val="24"/>
          <w:szCs w:val="24"/>
        </w:rPr>
        <w:t>（12）机械、车辆消音系统完好无损，尽可能降低施工噪音，停放位置适当；材料</w:t>
      </w:r>
      <w:r>
        <w:rPr>
          <w:spacing w:val="-20"/>
          <w:sz w:val="24"/>
          <w:szCs w:val="24"/>
        </w:rPr>
        <w:t>码放整齐，各交通要道畅通干净。</w:t>
      </w:r>
    </w:p>
    <w:p w14:paraId="1418D233">
      <w:pPr>
        <w:pStyle w:val="2"/>
        <w:spacing w:before="117" w:line="216" w:lineRule="auto"/>
        <w:ind w:left="1893"/>
        <w:rPr>
          <w:sz w:val="24"/>
          <w:szCs w:val="24"/>
        </w:rPr>
      </w:pPr>
      <w:r>
        <w:rPr>
          <w:spacing w:val="-20"/>
          <w:sz w:val="24"/>
          <w:szCs w:val="24"/>
        </w:rPr>
        <w:t>（13）保护好预留建筑及花草树木。</w:t>
      </w:r>
    </w:p>
    <w:p w14:paraId="7721C3AD">
      <w:pPr>
        <w:spacing w:line="217" w:lineRule="auto"/>
        <w:rPr>
          <w:sz w:val="24"/>
          <w:szCs w:val="24"/>
        </w:rPr>
        <w:sectPr>
          <w:footerReference r:id="rId431" w:type="default"/>
          <w:pgSz w:w="11907" w:h="16839"/>
          <w:pgMar w:top="933" w:right="4" w:bottom="1038" w:left="0" w:header="478" w:footer="357" w:gutter="0"/>
          <w:pgBorders>
            <w:top w:val="none" w:sz="0" w:space="0"/>
            <w:left w:val="none" w:sz="0" w:space="0"/>
            <w:bottom w:val="none" w:sz="0" w:space="0"/>
            <w:right w:val="none" w:sz="0" w:space="0"/>
          </w:pgBorders>
          <w:cols w:space="720" w:num="1"/>
        </w:sectPr>
      </w:pPr>
    </w:p>
    <w:p w14:paraId="4ED27744">
      <w:pPr>
        <w:pStyle w:val="2"/>
        <w:spacing w:before="283" w:line="210" w:lineRule="auto"/>
        <w:ind w:left="3294"/>
        <w:outlineLvl w:val="0"/>
        <w:rPr>
          <w:sz w:val="31"/>
          <w:szCs w:val="31"/>
        </w:rPr>
      </w:pPr>
      <w:bookmarkStart w:id="307" w:name="bookmark292"/>
      <w:bookmarkEnd w:id="307"/>
      <w:r>
        <w:rPr>
          <w:b/>
          <w:bCs/>
          <w:color w:val="7030A0"/>
          <w:spacing w:val="-15"/>
          <w:sz w:val="31"/>
          <w:szCs w:val="31"/>
        </w:rPr>
        <w:t>附表一：拟投入本标段的主要施工设备表</w:t>
      </w:r>
    </w:p>
    <w:tbl>
      <w:tblPr>
        <w:tblStyle w:val="6"/>
        <w:tblW w:w="9839" w:type="dxa"/>
        <w:tblInd w:w="103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79"/>
        <w:gridCol w:w="595"/>
        <w:gridCol w:w="1657"/>
        <w:gridCol w:w="1559"/>
        <w:gridCol w:w="649"/>
        <w:gridCol w:w="793"/>
        <w:gridCol w:w="793"/>
        <w:gridCol w:w="791"/>
        <w:gridCol w:w="794"/>
        <w:gridCol w:w="1302"/>
        <w:gridCol w:w="727"/>
      </w:tblGrid>
      <w:tr w14:paraId="649FFB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86" w:hRule="atLeast"/>
        </w:trPr>
        <w:tc>
          <w:tcPr>
            <w:tcW w:w="774" w:type="dxa"/>
            <w:gridSpan w:val="2"/>
            <w:tcBorders>
              <w:top w:val="single" w:color="000000" w:sz="4" w:space="0"/>
              <w:left w:val="single" w:color="000000" w:sz="4" w:space="0"/>
            </w:tcBorders>
            <w:shd w:val="clear" w:color="auto" w:fill="DEEAF6"/>
            <w:vAlign w:val="top"/>
          </w:tcPr>
          <w:p w14:paraId="4BE57155">
            <w:pPr>
              <w:spacing w:line="282" w:lineRule="auto"/>
              <w:rPr>
                <w:rFonts w:ascii="Arial"/>
                <w:sz w:val="21"/>
              </w:rPr>
            </w:pPr>
          </w:p>
          <w:p w14:paraId="65B453C2">
            <w:pPr>
              <w:pStyle w:val="7"/>
              <w:spacing w:before="79" w:line="218" w:lineRule="auto"/>
              <w:ind w:left="185"/>
            </w:pPr>
            <w:r>
              <w:rPr>
                <w:b/>
                <w:bCs/>
                <w:spacing w:val="-11"/>
              </w:rPr>
              <w:t>序号</w:t>
            </w:r>
          </w:p>
        </w:tc>
        <w:tc>
          <w:tcPr>
            <w:tcW w:w="1657" w:type="dxa"/>
            <w:tcBorders>
              <w:top w:val="single" w:color="000000" w:sz="4" w:space="0"/>
            </w:tcBorders>
            <w:shd w:val="clear" w:color="auto" w:fill="DEEAF6"/>
            <w:vAlign w:val="top"/>
          </w:tcPr>
          <w:p w14:paraId="06DEE71F">
            <w:pPr>
              <w:spacing w:line="282" w:lineRule="auto"/>
              <w:rPr>
                <w:rFonts w:ascii="Arial"/>
                <w:sz w:val="21"/>
              </w:rPr>
            </w:pPr>
          </w:p>
          <w:p w14:paraId="27D79996">
            <w:pPr>
              <w:pStyle w:val="7"/>
              <w:spacing w:before="78" w:line="217" w:lineRule="auto"/>
              <w:ind w:left="398"/>
            </w:pPr>
            <w:r>
              <w:rPr>
                <w:b/>
                <w:bCs/>
                <w:spacing w:val="-18"/>
              </w:rPr>
              <w:t>设备名称</w:t>
            </w:r>
          </w:p>
        </w:tc>
        <w:tc>
          <w:tcPr>
            <w:tcW w:w="1559" w:type="dxa"/>
            <w:tcBorders>
              <w:top w:val="single" w:color="000000" w:sz="4" w:space="0"/>
            </w:tcBorders>
            <w:shd w:val="clear" w:color="auto" w:fill="DEEAF6"/>
            <w:vAlign w:val="top"/>
          </w:tcPr>
          <w:p w14:paraId="342776EA">
            <w:pPr>
              <w:spacing w:line="282" w:lineRule="auto"/>
              <w:rPr>
                <w:rFonts w:ascii="Arial"/>
                <w:sz w:val="21"/>
              </w:rPr>
            </w:pPr>
          </w:p>
          <w:p w14:paraId="61B7982C">
            <w:pPr>
              <w:pStyle w:val="7"/>
              <w:spacing w:before="79" w:line="218" w:lineRule="auto"/>
              <w:ind w:left="361"/>
            </w:pPr>
            <w:r>
              <w:rPr>
                <w:b/>
                <w:bCs/>
                <w:spacing w:val="-21"/>
              </w:rPr>
              <w:t>型号规格</w:t>
            </w:r>
          </w:p>
        </w:tc>
        <w:tc>
          <w:tcPr>
            <w:tcW w:w="649" w:type="dxa"/>
            <w:tcBorders>
              <w:top w:val="single" w:color="000000" w:sz="4" w:space="0"/>
            </w:tcBorders>
            <w:shd w:val="clear" w:color="auto" w:fill="DEEAF6"/>
            <w:vAlign w:val="top"/>
          </w:tcPr>
          <w:p w14:paraId="63517397">
            <w:pPr>
              <w:spacing w:before="33" w:line="60" w:lineRule="exact"/>
              <w:ind w:firstLine="33"/>
            </w:pPr>
            <w:r>
              <w:rPr>
                <w:position w:val="-1"/>
              </w:rPr>
              <w:pict>
                <v:shape id="_x0000_s4610" o:spid="_x0000_s4610" style="height:3pt;width:30.4pt;" fillcolor="#DEEAF6" filled="t" stroked="f" coordsize="607,60" path="m0,60l607,60,607,0,0,0,0,60xe">
                  <v:path/>
                  <v:fill on="t" focussize="0,0"/>
                  <v:stroke on="f"/>
                  <v:imagedata o:title=""/>
                  <o:lock v:ext="edit"/>
                  <w10:wrap type="none"/>
                  <w10:anchorlock/>
                </v:shape>
              </w:pict>
            </w:r>
          </w:p>
          <w:p w14:paraId="2BFEF1AE">
            <w:pPr>
              <w:pStyle w:val="7"/>
              <w:spacing w:before="269" w:line="219" w:lineRule="auto"/>
              <w:ind w:left="115"/>
            </w:pPr>
            <w:r>
              <w:rPr>
                <w:b/>
                <w:bCs/>
                <w:spacing w:val="-11"/>
              </w:rPr>
              <w:t>数量</w:t>
            </w:r>
          </w:p>
          <w:p w14:paraId="2D93F42D">
            <w:pPr>
              <w:spacing w:line="375" w:lineRule="auto"/>
              <w:rPr>
                <w:rFonts w:ascii="Arial"/>
                <w:sz w:val="21"/>
              </w:rPr>
            </w:pPr>
          </w:p>
          <w:p w14:paraId="14E914D5">
            <w:pPr>
              <w:spacing w:line="51" w:lineRule="exact"/>
            </w:pPr>
            <w:r>
              <w:rPr>
                <w:position w:val="-1"/>
              </w:rPr>
              <w:pict>
                <v:shape id="_x0000_s4612" o:spid="_x0000_s4612" style="height:2.9pt;width:32.55pt;" fillcolor="#DEEAF6" filled="t" stroked="f" coordsize="650,58" path="m0,57l650,57,650,0,0,0,0,57xe">
                  <v:path/>
                  <v:fill on="t" focussize="0,0"/>
                  <v:stroke on="f"/>
                  <v:imagedata o:title=""/>
                  <o:lock v:ext="edit"/>
                  <w10:wrap type="none"/>
                  <w10:anchorlock/>
                </v:shape>
              </w:pict>
            </w:r>
          </w:p>
        </w:tc>
        <w:tc>
          <w:tcPr>
            <w:tcW w:w="793" w:type="dxa"/>
            <w:tcBorders>
              <w:top w:val="single" w:color="000000" w:sz="4" w:space="0"/>
            </w:tcBorders>
            <w:shd w:val="clear" w:color="auto" w:fill="DEEAF6"/>
            <w:vAlign w:val="top"/>
          </w:tcPr>
          <w:p w14:paraId="7F5519BA">
            <w:pPr>
              <w:pStyle w:val="7"/>
              <w:spacing w:before="126" w:line="365" w:lineRule="auto"/>
              <w:ind w:left="300" w:right="47" w:hanging="194"/>
            </w:pPr>
            <w:r>
              <w:rPr>
                <w:b/>
                <w:bCs/>
                <w:spacing w:val="-32"/>
              </w:rPr>
              <w:t>国别产</w:t>
            </w:r>
            <w:r>
              <w:rPr>
                <w:b/>
                <w:bCs/>
                <w:spacing w:val="-3"/>
              </w:rPr>
              <w:t>地</w:t>
            </w:r>
          </w:p>
        </w:tc>
        <w:tc>
          <w:tcPr>
            <w:tcW w:w="793" w:type="dxa"/>
            <w:tcBorders>
              <w:top w:val="single" w:color="000000" w:sz="4" w:space="0"/>
            </w:tcBorders>
            <w:shd w:val="clear" w:color="auto" w:fill="DEEAF6"/>
            <w:vAlign w:val="top"/>
          </w:tcPr>
          <w:p w14:paraId="3D3FA2AE">
            <w:pPr>
              <w:pStyle w:val="7"/>
              <w:spacing w:before="128" w:line="361" w:lineRule="auto"/>
              <w:ind w:left="300" w:right="46" w:hanging="219"/>
            </w:pPr>
            <w:r>
              <w:rPr>
                <w:b/>
                <w:bCs/>
                <w:spacing w:val="-23"/>
              </w:rPr>
              <w:t>制造年</w:t>
            </w:r>
            <w:r>
              <w:rPr>
                <w:b/>
                <w:bCs/>
                <w:spacing w:val="-3"/>
              </w:rPr>
              <w:t>份</w:t>
            </w:r>
          </w:p>
        </w:tc>
        <w:tc>
          <w:tcPr>
            <w:tcW w:w="791" w:type="dxa"/>
            <w:tcBorders>
              <w:top w:val="single" w:color="000000" w:sz="4" w:space="0"/>
            </w:tcBorders>
            <w:shd w:val="clear" w:color="auto" w:fill="DEEAF6"/>
            <w:vAlign w:val="top"/>
          </w:tcPr>
          <w:p w14:paraId="6D89EE27">
            <w:pPr>
              <w:pStyle w:val="7"/>
              <w:spacing w:before="126" w:line="362" w:lineRule="auto"/>
              <w:ind w:left="87" w:right="45" w:hanging="8"/>
            </w:pPr>
            <w:r>
              <w:rPr>
                <w:b/>
                <w:bCs/>
                <w:spacing w:val="-22"/>
              </w:rPr>
              <w:t>额定功率（KW</w:t>
            </w:r>
          </w:p>
        </w:tc>
        <w:tc>
          <w:tcPr>
            <w:tcW w:w="794" w:type="dxa"/>
            <w:tcBorders>
              <w:top w:val="single" w:color="000000" w:sz="4" w:space="0"/>
            </w:tcBorders>
            <w:shd w:val="clear" w:color="auto" w:fill="DEEAF6"/>
            <w:vAlign w:val="top"/>
          </w:tcPr>
          <w:p w14:paraId="3026B0CC">
            <w:pPr>
              <w:pStyle w:val="7"/>
              <w:spacing w:before="127" w:line="362" w:lineRule="auto"/>
              <w:ind w:left="307" w:right="44" w:hanging="210"/>
            </w:pPr>
            <w:r>
              <w:rPr>
                <w:b/>
                <w:bCs/>
                <w:spacing w:val="-27"/>
              </w:rPr>
              <w:t>生产能</w:t>
            </w:r>
            <w:r>
              <w:rPr>
                <w:b/>
                <w:bCs/>
                <w:spacing w:val="-3"/>
              </w:rPr>
              <w:t>力</w:t>
            </w:r>
          </w:p>
        </w:tc>
        <w:tc>
          <w:tcPr>
            <w:tcW w:w="1302" w:type="dxa"/>
            <w:tcBorders>
              <w:top w:val="single" w:color="000000" w:sz="4" w:space="0"/>
            </w:tcBorders>
            <w:shd w:val="clear" w:color="auto" w:fill="DEEAF6"/>
            <w:vAlign w:val="top"/>
          </w:tcPr>
          <w:p w14:paraId="560B60D5">
            <w:pPr>
              <w:pStyle w:val="7"/>
              <w:spacing w:before="127" w:line="218" w:lineRule="auto"/>
              <w:ind w:left="120"/>
            </w:pPr>
            <w:r>
              <w:rPr>
                <w:b/>
                <w:bCs/>
                <w:spacing w:val="-19"/>
              </w:rPr>
              <w:t>用于施工部</w:t>
            </w:r>
          </w:p>
          <w:p w14:paraId="1F15DF24">
            <w:pPr>
              <w:pStyle w:val="7"/>
              <w:spacing w:before="184" w:line="217" w:lineRule="auto"/>
              <w:ind w:left="560"/>
            </w:pPr>
            <w:r>
              <w:rPr>
                <w:b/>
                <w:bCs/>
                <w:spacing w:val="-3"/>
              </w:rPr>
              <w:t>位</w:t>
            </w:r>
          </w:p>
        </w:tc>
        <w:tc>
          <w:tcPr>
            <w:tcW w:w="727" w:type="dxa"/>
            <w:tcBorders>
              <w:top w:val="single" w:color="5B9BD5" w:sz="4" w:space="0"/>
              <w:right w:val="single" w:color="5B9BD5" w:sz="4" w:space="0"/>
            </w:tcBorders>
            <w:shd w:val="clear" w:color="auto" w:fill="DEEAF6"/>
            <w:vAlign w:val="top"/>
          </w:tcPr>
          <w:p w14:paraId="630B249F">
            <w:pPr>
              <w:spacing w:line="283" w:lineRule="auto"/>
              <w:rPr>
                <w:rFonts w:ascii="Arial"/>
                <w:sz w:val="21"/>
              </w:rPr>
            </w:pPr>
          </w:p>
          <w:p w14:paraId="16383406">
            <w:pPr>
              <w:pStyle w:val="7"/>
              <w:spacing w:before="78" w:line="220" w:lineRule="auto"/>
              <w:ind w:left="154"/>
            </w:pPr>
            <w:r>
              <w:rPr>
                <w:b/>
                <w:bCs/>
                <w:spacing w:val="-12"/>
              </w:rPr>
              <w:t>备注</w:t>
            </w:r>
          </w:p>
        </w:tc>
      </w:tr>
      <w:tr w14:paraId="4665C3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5" w:hRule="atLeast"/>
        </w:trPr>
        <w:tc>
          <w:tcPr>
            <w:tcW w:w="774" w:type="dxa"/>
            <w:gridSpan w:val="2"/>
            <w:tcBorders>
              <w:left w:val="single" w:color="000000" w:sz="4" w:space="0"/>
            </w:tcBorders>
            <w:vAlign w:val="top"/>
          </w:tcPr>
          <w:p w14:paraId="2C826AD0">
            <w:pPr>
              <w:pStyle w:val="7"/>
              <w:spacing w:before="145" w:line="238" w:lineRule="auto"/>
              <w:ind w:left="359"/>
            </w:pPr>
            <w:r>
              <w:t>1</w:t>
            </w:r>
          </w:p>
        </w:tc>
        <w:tc>
          <w:tcPr>
            <w:tcW w:w="1657" w:type="dxa"/>
            <w:vAlign w:val="top"/>
          </w:tcPr>
          <w:p w14:paraId="5E000AF2">
            <w:pPr>
              <w:pStyle w:val="7"/>
              <w:spacing w:before="145" w:line="218" w:lineRule="auto"/>
              <w:ind w:left="291"/>
            </w:pPr>
            <w:r>
              <w:rPr>
                <w:spacing w:val="-17"/>
              </w:rPr>
              <w:t>反铲挖掘机</w:t>
            </w:r>
          </w:p>
        </w:tc>
        <w:tc>
          <w:tcPr>
            <w:tcW w:w="1559" w:type="dxa"/>
            <w:vAlign w:val="top"/>
          </w:tcPr>
          <w:p w14:paraId="451D5B82">
            <w:pPr>
              <w:pStyle w:val="7"/>
              <w:spacing w:before="145" w:line="237" w:lineRule="auto"/>
              <w:ind w:left="450"/>
            </w:pPr>
            <w:r>
              <w:rPr>
                <w:spacing w:val="-9"/>
              </w:rPr>
              <w:t>XE150D</w:t>
            </w:r>
          </w:p>
        </w:tc>
        <w:tc>
          <w:tcPr>
            <w:tcW w:w="649" w:type="dxa"/>
            <w:vAlign w:val="top"/>
          </w:tcPr>
          <w:p w14:paraId="1C3CB1B7">
            <w:pPr>
              <w:pStyle w:val="7"/>
              <w:spacing w:before="145" w:line="237" w:lineRule="auto"/>
              <w:ind w:left="234"/>
            </w:pPr>
            <w:r>
              <w:rPr>
                <w:spacing w:val="-10"/>
              </w:rPr>
              <w:t>10</w:t>
            </w:r>
          </w:p>
        </w:tc>
        <w:tc>
          <w:tcPr>
            <w:tcW w:w="793" w:type="dxa"/>
            <w:vAlign w:val="top"/>
          </w:tcPr>
          <w:p w14:paraId="31A0F7E8">
            <w:pPr>
              <w:pStyle w:val="7"/>
              <w:spacing w:before="145" w:line="220" w:lineRule="auto"/>
              <w:ind w:left="211"/>
            </w:pPr>
            <w:r>
              <w:rPr>
                <w:spacing w:val="-15"/>
              </w:rPr>
              <w:t>山东</w:t>
            </w:r>
          </w:p>
        </w:tc>
        <w:tc>
          <w:tcPr>
            <w:tcW w:w="793" w:type="dxa"/>
            <w:vAlign w:val="top"/>
          </w:tcPr>
          <w:p w14:paraId="41C1067E">
            <w:pPr>
              <w:pStyle w:val="7"/>
              <w:spacing w:before="145" w:line="237" w:lineRule="auto"/>
              <w:ind w:left="186"/>
              <w:rPr>
                <w:rFonts w:hint="eastAsia" w:eastAsia="仿宋"/>
                <w:lang w:eastAsia="zh-CN"/>
              </w:rPr>
            </w:pPr>
            <w:r>
              <w:rPr>
                <w:spacing w:val="-9"/>
              </w:rPr>
              <w:t>202</w:t>
            </w:r>
            <w:r>
              <w:rPr>
                <w:rFonts w:hint="eastAsia"/>
                <w:spacing w:val="-9"/>
                <w:lang w:val="en-US" w:eastAsia="zh-CN"/>
              </w:rPr>
              <w:t>1</w:t>
            </w:r>
          </w:p>
        </w:tc>
        <w:tc>
          <w:tcPr>
            <w:tcW w:w="791" w:type="dxa"/>
            <w:vAlign w:val="top"/>
          </w:tcPr>
          <w:p w14:paraId="166D4669">
            <w:pPr>
              <w:pStyle w:val="7"/>
              <w:spacing w:before="144" w:line="222" w:lineRule="auto"/>
              <w:ind w:left="347"/>
            </w:pPr>
            <w:r>
              <w:t>/</w:t>
            </w:r>
          </w:p>
        </w:tc>
        <w:tc>
          <w:tcPr>
            <w:tcW w:w="794" w:type="dxa"/>
            <w:vAlign w:val="top"/>
          </w:tcPr>
          <w:p w14:paraId="7E1E17DF">
            <w:pPr>
              <w:pStyle w:val="7"/>
              <w:spacing w:before="145" w:line="236" w:lineRule="auto"/>
              <w:ind w:left="151"/>
            </w:pPr>
            <w:r>
              <w:rPr>
                <w:spacing w:val="-12"/>
              </w:rPr>
              <w:t>1.1m3</w:t>
            </w:r>
          </w:p>
        </w:tc>
        <w:tc>
          <w:tcPr>
            <w:tcW w:w="1302" w:type="dxa"/>
            <w:vAlign w:val="top"/>
          </w:tcPr>
          <w:p w14:paraId="26A555B8">
            <w:pPr>
              <w:pStyle w:val="7"/>
              <w:spacing w:before="145" w:line="218" w:lineRule="auto"/>
              <w:ind w:left="233"/>
            </w:pPr>
            <w:r>
              <w:rPr>
                <w:spacing w:val="-15"/>
              </w:rPr>
              <w:t>基础开挖</w:t>
            </w:r>
          </w:p>
        </w:tc>
        <w:tc>
          <w:tcPr>
            <w:tcW w:w="727" w:type="dxa"/>
            <w:vMerge w:val="restart"/>
            <w:tcBorders>
              <w:bottom w:val="nil"/>
              <w:right w:val="single" w:color="5B9BD5" w:sz="4" w:space="0"/>
            </w:tcBorders>
            <w:vAlign w:val="top"/>
          </w:tcPr>
          <w:p w14:paraId="7EC3E8EF">
            <w:pPr>
              <w:spacing w:line="58" w:lineRule="exact"/>
              <w:ind w:firstLine="686"/>
            </w:pPr>
            <w:r>
              <w:pict>
                <v:group id="_x0000_s4614" o:spid="_x0000_s4614" o:spt="203" style="position:absolute;left:0pt;margin-left:34.5pt;margin-top:276.2pt;height:3.4pt;width:1.45pt;mso-position-horizontal-relative:page;mso-position-vertical-relative:page;z-index:252413952;mso-width-relative:page;mso-height-relative:page;" coordsize="29,68">
                  <o:lock v:ext="edit"/>
                  <v:shape id="_x0000_s4616" o:spid="_x0000_s4616" style="position:absolute;left:14;top:0;height:68;width:15;" fillcolor="#20507B" filled="t" stroked="f" coordsize="15,68" path="m0,67l14,67,14,0,0,0,0,67xe">
                    <v:path/>
                    <v:fill on="t" focussize="0,0"/>
                    <v:stroke on="f"/>
                    <v:imagedata o:title=""/>
                    <o:lock v:ext="edit"/>
                  </v:shape>
                  <v:shape id="_x0000_s4618" o:spid="_x0000_s4618" style="position:absolute;left:0;top:0;height:68;width:15;" fillcolor="#1C456A" filled="t" stroked="f" coordsize="15,68" path="m0,67l14,67,14,0,0,0,0,67xe">
                    <v:path/>
                    <v:fill on="t" focussize="0,0"/>
                    <v:stroke on="f"/>
                    <v:imagedata o:title=""/>
                    <o:lock v:ext="edit"/>
                  </v:shape>
                </v:group>
              </w:pict>
            </w:r>
            <w:r>
              <w:pict>
                <v:group id="_x0000_s4620" o:spid="_x0000_s4620" o:spt="203" style="position:absolute;left:0pt;margin-left:34.5pt;margin-top:310.75pt;height:3.4pt;width:1.45pt;mso-position-horizontal-relative:page;mso-position-vertical-relative:page;z-index:252412928;mso-width-relative:page;mso-height-relative:page;" coordsize="29,68">
                  <o:lock v:ext="edit"/>
                  <v:shape id="_x0000_s4622" o:spid="_x0000_s4622" style="position:absolute;left:14;top:0;height:68;width:15;" fillcolor="#20507B" filled="t" stroked="f" coordsize="15,68" path="m0,67l14,67,14,0,0,0,0,67xe">
                    <v:path/>
                    <v:fill on="t" focussize="0,0"/>
                    <v:stroke on="f"/>
                    <v:imagedata o:title=""/>
                    <o:lock v:ext="edit"/>
                  </v:shape>
                  <v:shape id="_x0000_s4624" o:spid="_x0000_s4624" style="position:absolute;left:0;top:0;height:68;width:15;" fillcolor="#1C456A" filled="t" stroked="f" coordsize="15,68" path="m0,67l14,67,14,0,0,0,0,67xe">
                    <v:path/>
                    <v:fill on="t" focussize="0,0"/>
                    <v:stroke on="f"/>
                    <v:imagedata o:title=""/>
                    <o:lock v:ext="edit"/>
                  </v:shape>
                </v:group>
              </w:pict>
            </w:r>
            <w:r>
              <w:pict>
                <v:group id="_x0000_s4626" o:spid="_x0000_s4626" o:spt="203" style="position:absolute;left:0pt;margin-left:34.5pt;margin-top:345.2pt;height:3.4pt;width:1.45pt;mso-position-horizontal-relative:page;mso-position-vertical-relative:page;z-index:252414976;mso-width-relative:page;mso-height-relative:page;" coordsize="29,68">
                  <o:lock v:ext="edit"/>
                  <v:shape id="_x0000_s4628" o:spid="_x0000_s4628" style="position:absolute;left:14;top:0;height:68;width:15;" fillcolor="#20507B" filled="t" stroked="f" coordsize="15,68" path="m0,67l14,67,14,0,0,0,0,67xe">
                    <v:path/>
                    <v:fill on="t" focussize="0,0"/>
                    <v:stroke on="f"/>
                    <v:imagedata o:title=""/>
                    <o:lock v:ext="edit"/>
                  </v:shape>
                  <v:shape id="_x0000_s4630" o:spid="_x0000_s4630" style="position:absolute;left:0;top:0;height:68;width:15;" fillcolor="#1C456A" filled="t" stroked="f" coordsize="15,68" path="m0,67l14,67,14,0,0,0,0,67xe">
                    <v:path/>
                    <v:fill on="t" focussize="0,0"/>
                    <v:stroke on="f"/>
                    <v:imagedata o:title=""/>
                    <o:lock v:ext="edit"/>
                  </v:shape>
                </v:group>
              </w:pict>
            </w:r>
            <w:r>
              <w:rPr>
                <w:position w:val="-1"/>
              </w:rPr>
              <w:pict>
                <v:group id="_x0000_s4632" o:spid="_x0000_s4632" o:spt="203" style="height:3.4pt;width:1.45pt;" coordsize="29,68">
                  <o:lock v:ext="edit"/>
                  <v:shape id="_x0000_s4634" o:spid="_x0000_s4634" style="position:absolute;left:14;top:0;height:68;width:15;" fillcolor="#20507B" filled="t" stroked="f" coordsize="15,68" path="m0,67l14,67,14,0,0,0,0,67xe">
                    <v:path/>
                    <v:fill on="t" focussize="0,0"/>
                    <v:stroke on="f"/>
                    <v:imagedata o:title=""/>
                    <o:lock v:ext="edit"/>
                  </v:shape>
                  <v:shape id="_x0000_s4636" o:spid="_x0000_s4636" style="position:absolute;left:0;top:0;height:68;width:15;" fillcolor="#1C456A" filled="t" stroked="f" coordsize="15,68" path="m0,67l14,67,14,0,0,0,0,67xe">
                    <v:path/>
                    <v:fill on="t" focussize="0,0"/>
                    <v:stroke on="f"/>
                    <v:imagedata o:title=""/>
                    <o:lock v:ext="edit"/>
                  </v:shape>
                  <w10:wrap type="none"/>
                  <w10:anchorlock/>
                </v:group>
              </w:pict>
            </w:r>
          </w:p>
          <w:p w14:paraId="08F94E80">
            <w:pPr>
              <w:spacing w:line="310" w:lineRule="auto"/>
              <w:rPr>
                <w:rFonts w:ascii="Arial"/>
                <w:sz w:val="21"/>
              </w:rPr>
            </w:pPr>
          </w:p>
          <w:p w14:paraId="7C089E77">
            <w:pPr>
              <w:spacing w:line="310" w:lineRule="auto"/>
              <w:rPr>
                <w:rFonts w:ascii="Arial"/>
                <w:sz w:val="21"/>
              </w:rPr>
            </w:pPr>
          </w:p>
          <w:p w14:paraId="321F0DD9">
            <w:pPr>
              <w:spacing w:line="67" w:lineRule="exact"/>
              <w:ind w:firstLine="686"/>
            </w:pPr>
            <w:r>
              <w:rPr>
                <w:position w:val="-1"/>
              </w:rPr>
              <w:pict>
                <v:group id="_x0000_s4638" o:spid="_x0000_s4638" o:spt="203" style="height:3.4pt;width:1.45pt;" coordsize="29,68">
                  <o:lock v:ext="edit"/>
                  <v:shape id="_x0000_s4640" o:spid="_x0000_s4640" style="position:absolute;left:14;top:0;height:68;width:15;" fillcolor="#20507B" filled="t" stroked="f" coordsize="15,68" path="m0,67l14,67,14,0,0,0,0,67xe">
                    <v:path/>
                    <v:fill on="t" focussize="0,0"/>
                    <v:stroke on="f"/>
                    <v:imagedata o:title=""/>
                    <o:lock v:ext="edit"/>
                  </v:shape>
                  <v:shape id="_x0000_s4642" o:spid="_x0000_s4642" style="position:absolute;left:0;top:0;height:68;width:15;" fillcolor="#1C456A" filled="t" stroked="f" coordsize="15,68" path="m0,67l14,67,14,0,0,0,0,67xe">
                    <v:path/>
                    <v:fill on="t" focussize="0,0"/>
                    <v:stroke on="f"/>
                    <v:imagedata o:title=""/>
                    <o:lock v:ext="edit"/>
                  </v:shape>
                  <w10:wrap type="none"/>
                  <w10:anchorlock/>
                </v:group>
              </w:pict>
            </w:r>
          </w:p>
          <w:p w14:paraId="7170A884">
            <w:pPr>
              <w:spacing w:line="310" w:lineRule="auto"/>
              <w:rPr>
                <w:rFonts w:ascii="Arial"/>
                <w:sz w:val="21"/>
              </w:rPr>
            </w:pPr>
          </w:p>
          <w:p w14:paraId="5B98A38A">
            <w:pPr>
              <w:spacing w:line="310" w:lineRule="auto"/>
              <w:rPr>
                <w:rFonts w:ascii="Arial"/>
                <w:sz w:val="21"/>
              </w:rPr>
            </w:pPr>
          </w:p>
          <w:p w14:paraId="14900FA8">
            <w:pPr>
              <w:spacing w:line="67" w:lineRule="exact"/>
              <w:ind w:firstLine="686"/>
            </w:pPr>
            <w:r>
              <w:rPr>
                <w:position w:val="-1"/>
              </w:rPr>
              <w:pict>
                <v:group id="_x0000_s4644" o:spid="_x0000_s4644" o:spt="203" style="height:3.4pt;width:1.45pt;" coordsize="29,68">
                  <o:lock v:ext="edit"/>
                  <v:shape id="_x0000_s4646" o:spid="_x0000_s4646" style="position:absolute;left:14;top:0;height:68;width:15;" fillcolor="#20507B" filled="t" stroked="f" coordsize="15,68" path="m0,67l14,67,14,0,0,0,0,67xe">
                    <v:path/>
                    <v:fill on="t" focussize="0,0"/>
                    <v:stroke on="f"/>
                    <v:imagedata o:title=""/>
                    <o:lock v:ext="edit"/>
                  </v:shape>
                  <v:shape id="_x0000_s4648" o:spid="_x0000_s4648" style="position:absolute;left:0;top:0;height:68;width:15;" fillcolor="#1C456A" filled="t" stroked="f" coordsize="15,68" path="m0,67l14,67,14,0,0,0,0,67xe">
                    <v:path/>
                    <v:fill on="t" focussize="0,0"/>
                    <v:stroke on="f"/>
                    <v:imagedata o:title=""/>
                    <o:lock v:ext="edit"/>
                  </v:shape>
                  <w10:wrap type="none"/>
                  <w10:anchorlock/>
                </v:group>
              </w:pict>
            </w:r>
          </w:p>
          <w:p w14:paraId="4349CEF8">
            <w:pPr>
              <w:spacing w:line="310" w:lineRule="auto"/>
              <w:rPr>
                <w:rFonts w:ascii="Arial"/>
                <w:sz w:val="21"/>
              </w:rPr>
            </w:pPr>
          </w:p>
          <w:p w14:paraId="1276B7F7">
            <w:pPr>
              <w:spacing w:line="310" w:lineRule="auto"/>
              <w:rPr>
                <w:rFonts w:ascii="Arial"/>
                <w:sz w:val="21"/>
              </w:rPr>
            </w:pPr>
          </w:p>
          <w:p w14:paraId="72CCB89C">
            <w:pPr>
              <w:spacing w:line="67" w:lineRule="exact"/>
              <w:ind w:firstLine="686"/>
            </w:pPr>
            <w:r>
              <w:rPr>
                <w:position w:val="-1"/>
              </w:rPr>
              <w:pict>
                <v:group id="_x0000_s4650" o:spid="_x0000_s4650" o:spt="203" style="height:3.4pt;width:1.45pt;" coordsize="29,68">
                  <o:lock v:ext="edit"/>
                  <v:shape id="_x0000_s4652" o:spid="_x0000_s4652" style="position:absolute;left:14;top:0;height:68;width:15;" fillcolor="#20507B" filled="t" stroked="f" coordsize="15,68" path="m0,67l14,67,14,0,0,0,0,67xe">
                    <v:path/>
                    <v:fill on="t" focussize="0,0"/>
                    <v:stroke on="f"/>
                    <v:imagedata o:title=""/>
                    <o:lock v:ext="edit"/>
                  </v:shape>
                  <v:shape id="_x0000_s4654" o:spid="_x0000_s4654" style="position:absolute;left:0;top:0;height:68;width:15;" fillcolor="#1C456A" filled="t" stroked="f" coordsize="15,68" path="m0,67l14,67,14,0,0,0,0,67xe">
                    <v:path/>
                    <v:fill on="t" focussize="0,0"/>
                    <v:stroke on="f"/>
                    <v:imagedata o:title=""/>
                    <o:lock v:ext="edit"/>
                  </v:shape>
                  <w10:wrap type="none"/>
                  <w10:anchorlock/>
                </v:group>
              </w:pict>
            </w:r>
          </w:p>
          <w:p w14:paraId="2611B626">
            <w:pPr>
              <w:spacing w:line="310" w:lineRule="auto"/>
              <w:rPr>
                <w:rFonts w:ascii="Arial"/>
                <w:sz w:val="21"/>
              </w:rPr>
            </w:pPr>
          </w:p>
          <w:p w14:paraId="22490C50">
            <w:pPr>
              <w:spacing w:line="310" w:lineRule="auto"/>
              <w:rPr>
                <w:rFonts w:ascii="Arial"/>
                <w:sz w:val="21"/>
              </w:rPr>
            </w:pPr>
          </w:p>
          <w:p w14:paraId="5F71E283">
            <w:pPr>
              <w:spacing w:line="67" w:lineRule="exact"/>
              <w:ind w:firstLine="686"/>
            </w:pPr>
            <w:r>
              <w:rPr>
                <w:position w:val="-1"/>
              </w:rPr>
              <w:pict>
                <v:group id="_x0000_s4656" o:spid="_x0000_s4656" o:spt="203" style="height:3.4pt;width:1.45pt;" coordsize="29,68">
                  <o:lock v:ext="edit"/>
                  <v:shape id="_x0000_s4658" o:spid="_x0000_s4658" style="position:absolute;left:14;top:0;height:68;width:15;" fillcolor="#20507B" filled="t" stroked="f" coordsize="15,68" path="m0,67l14,67,14,0,0,0,0,67xe">
                    <v:path/>
                    <v:fill on="t" focussize="0,0"/>
                    <v:stroke on="f"/>
                    <v:imagedata o:title=""/>
                    <o:lock v:ext="edit"/>
                  </v:shape>
                  <v:shape id="_x0000_s4660" o:spid="_x0000_s4660" style="position:absolute;left:0;top:0;height:68;width:15;" fillcolor="#1C456A" filled="t" stroked="f" coordsize="15,68" path="m0,67l14,67,14,0,0,0,0,67xe">
                    <v:path/>
                    <v:fill on="t" focussize="0,0"/>
                    <v:stroke on="f"/>
                    <v:imagedata o:title=""/>
                    <o:lock v:ext="edit"/>
                  </v:shape>
                  <w10:wrap type="none"/>
                  <w10:anchorlock/>
                </v:group>
              </w:pict>
            </w:r>
          </w:p>
          <w:p w14:paraId="25B06B31">
            <w:pPr>
              <w:spacing w:line="308" w:lineRule="auto"/>
              <w:rPr>
                <w:rFonts w:ascii="Arial"/>
                <w:sz w:val="21"/>
              </w:rPr>
            </w:pPr>
          </w:p>
          <w:p w14:paraId="41ABCD86">
            <w:pPr>
              <w:spacing w:line="309" w:lineRule="auto"/>
              <w:rPr>
                <w:rFonts w:ascii="Arial"/>
                <w:sz w:val="21"/>
              </w:rPr>
            </w:pPr>
          </w:p>
          <w:p w14:paraId="3E526342">
            <w:pPr>
              <w:spacing w:before="1" w:line="67" w:lineRule="exact"/>
              <w:ind w:firstLine="686"/>
            </w:pPr>
            <w:r>
              <w:rPr>
                <w:position w:val="-1"/>
              </w:rPr>
              <w:pict>
                <v:group id="_x0000_s4662" o:spid="_x0000_s4662" o:spt="203" style="height:3.4pt;width:1.45pt;" coordsize="29,68">
                  <o:lock v:ext="edit"/>
                  <v:shape id="_x0000_s4664" o:spid="_x0000_s4664" style="position:absolute;left:14;top:0;height:68;width:15;" fillcolor="#20507B" filled="t" stroked="f" coordsize="15,68" path="m0,67l14,67,14,0,0,0,0,67xe">
                    <v:path/>
                    <v:fill on="t" focussize="0,0"/>
                    <v:stroke on="f"/>
                    <v:imagedata o:title=""/>
                    <o:lock v:ext="edit"/>
                  </v:shape>
                  <v:shape id="_x0000_s4666" o:spid="_x0000_s4666" style="position:absolute;left:0;top:0;height:68;width:15;" fillcolor="#1C456A" filled="t" stroked="f" coordsize="15,68" path="m0,67l14,67,14,0,0,0,0,67xe">
                    <v:path/>
                    <v:fill on="t" focussize="0,0"/>
                    <v:stroke on="f"/>
                    <v:imagedata o:title=""/>
                    <o:lock v:ext="edit"/>
                  </v:shape>
                  <w10:wrap type="none"/>
                  <w10:anchorlock/>
                </v:group>
              </w:pict>
            </w:r>
          </w:p>
          <w:p w14:paraId="709B7B9E">
            <w:pPr>
              <w:spacing w:line="310" w:lineRule="auto"/>
              <w:rPr>
                <w:rFonts w:ascii="Arial"/>
                <w:sz w:val="21"/>
              </w:rPr>
            </w:pPr>
          </w:p>
          <w:p w14:paraId="01B1D142">
            <w:pPr>
              <w:spacing w:line="310" w:lineRule="auto"/>
              <w:rPr>
                <w:rFonts w:ascii="Arial"/>
                <w:sz w:val="21"/>
              </w:rPr>
            </w:pPr>
          </w:p>
          <w:p w14:paraId="0295D75F">
            <w:pPr>
              <w:spacing w:line="68" w:lineRule="exact"/>
              <w:ind w:firstLine="686"/>
            </w:pPr>
            <w:r>
              <w:rPr>
                <w:position w:val="-1"/>
              </w:rPr>
              <w:pict>
                <v:group id="_x0000_s4668" o:spid="_x0000_s4668" o:spt="203" style="height:3.4pt;width:1.45pt;" coordsize="29,68">
                  <o:lock v:ext="edit"/>
                  <v:shape id="_x0000_s4670" o:spid="_x0000_s4670" style="position:absolute;left:14;top:0;height:68;width:15;" fillcolor="#20507B" filled="t" stroked="f" coordsize="15,68" path="m0,67l14,67,14,0,0,0,0,67xe">
                    <v:path/>
                    <v:fill on="t" focussize="0,0"/>
                    <v:stroke on="f"/>
                    <v:imagedata o:title=""/>
                    <o:lock v:ext="edit"/>
                  </v:shape>
                  <v:shape id="_x0000_s4672" o:spid="_x0000_s4672" style="position:absolute;left:0;top:0;height:68;width:15;" fillcolor="#1C456A" filled="t" stroked="f" coordsize="15,68" path="m0,67l14,67,14,0,0,0,0,67xe">
                    <v:path/>
                    <v:fill on="t" focussize="0,0"/>
                    <v:stroke on="f"/>
                    <v:imagedata o:title=""/>
                    <o:lock v:ext="edit"/>
                  </v:shape>
                  <w10:wrap type="none"/>
                  <w10:anchorlock/>
                </v:group>
              </w:pict>
            </w:r>
          </w:p>
          <w:p w14:paraId="3BD2FC0E">
            <w:pPr>
              <w:spacing w:line="310" w:lineRule="auto"/>
              <w:rPr>
                <w:rFonts w:ascii="Arial"/>
                <w:sz w:val="21"/>
              </w:rPr>
            </w:pPr>
          </w:p>
          <w:p w14:paraId="48940AE5">
            <w:pPr>
              <w:spacing w:line="310" w:lineRule="auto"/>
              <w:rPr>
                <w:rFonts w:ascii="Arial"/>
                <w:sz w:val="21"/>
              </w:rPr>
            </w:pPr>
          </w:p>
          <w:p w14:paraId="604763A4">
            <w:pPr>
              <w:spacing w:line="67" w:lineRule="exact"/>
              <w:ind w:firstLine="686"/>
            </w:pPr>
            <w:r>
              <w:rPr>
                <w:position w:val="-1"/>
              </w:rPr>
              <w:pict>
                <v:group id="_x0000_s4674" o:spid="_x0000_s4674" o:spt="203" style="height:3.4pt;width:1.45pt;" coordsize="29,68">
                  <o:lock v:ext="edit"/>
                  <v:shape id="_x0000_s4676" o:spid="_x0000_s4676" style="position:absolute;left:14;top:0;height:68;width:15;" fillcolor="#20507B" filled="t" stroked="f" coordsize="15,68" path="m0,67l14,67,14,0,0,0,0,67xe">
                    <v:path/>
                    <v:fill on="t" focussize="0,0"/>
                    <v:stroke on="f"/>
                    <v:imagedata o:title=""/>
                    <o:lock v:ext="edit"/>
                  </v:shape>
                  <v:shape id="_x0000_s4678" o:spid="_x0000_s4678" style="position:absolute;left:0;top:0;height:68;width:15;" fillcolor="#1C456A" filled="t" stroked="f" coordsize="15,68" path="m0,67l14,67,14,0,0,0,0,67xe">
                    <v:path/>
                    <v:fill on="t" focussize="0,0"/>
                    <v:stroke on="f"/>
                    <v:imagedata o:title=""/>
                    <o:lock v:ext="edit"/>
                  </v:shape>
                  <w10:wrap type="none"/>
                  <w10:anchorlock/>
                </v:group>
              </w:pict>
            </w:r>
          </w:p>
          <w:p w14:paraId="087849F7">
            <w:pPr>
              <w:spacing w:line="340" w:lineRule="auto"/>
              <w:rPr>
                <w:rFonts w:ascii="Arial"/>
                <w:sz w:val="21"/>
              </w:rPr>
            </w:pPr>
          </w:p>
          <w:p w14:paraId="646554DB">
            <w:pPr>
              <w:pStyle w:val="7"/>
              <w:spacing w:before="78" w:line="218" w:lineRule="auto"/>
              <w:ind w:left="152"/>
            </w:pPr>
            <w:r>
              <w:rPr>
                <w:spacing w:val="-10"/>
              </w:rPr>
              <w:t>开工</w:t>
            </w:r>
          </w:p>
          <w:p w14:paraId="2506D885">
            <w:pPr>
              <w:pStyle w:val="7"/>
              <w:spacing w:before="185" w:line="217" w:lineRule="auto"/>
              <w:ind w:left="182"/>
            </w:pPr>
            <w:r>
              <w:rPr>
                <w:spacing w:val="12"/>
              </w:rPr>
              <w:t>前3</w:t>
            </w:r>
          </w:p>
          <w:p w14:paraId="7702C788">
            <w:pPr>
              <w:pStyle w:val="7"/>
              <w:spacing w:before="186" w:line="360" w:lineRule="auto"/>
              <w:ind w:left="261" w:right="124" w:hanging="108"/>
            </w:pPr>
            <w:r>
              <w:rPr>
                <w:spacing w:val="-20"/>
              </w:rPr>
              <w:t>天进</w:t>
            </w:r>
            <w:r>
              <w:t>场</w:t>
            </w:r>
          </w:p>
          <w:p w14:paraId="71938231">
            <w:pPr>
              <w:spacing w:line="400" w:lineRule="auto"/>
              <w:rPr>
                <w:rFonts w:ascii="Arial"/>
                <w:sz w:val="21"/>
              </w:rPr>
            </w:pPr>
          </w:p>
          <w:p w14:paraId="395030BC">
            <w:pPr>
              <w:spacing w:before="1" w:line="67" w:lineRule="exact"/>
              <w:ind w:firstLine="686"/>
            </w:pPr>
            <w:r>
              <w:rPr>
                <w:position w:val="-1"/>
              </w:rPr>
              <w:pict>
                <v:group id="_x0000_s4680" o:spid="_x0000_s4680" o:spt="203" style="height:3.4pt;width:1.45pt;" coordsize="29,68">
                  <o:lock v:ext="edit"/>
                  <v:shape id="_x0000_s4682" o:spid="_x0000_s4682" style="position:absolute;left:14;top:0;height:68;width:15;" fillcolor="#20507B" filled="t" stroked="f" coordsize="15,68" path="m0,67l14,67,14,0,0,0,0,67xe">
                    <v:path/>
                    <v:fill on="t" focussize="0,0"/>
                    <v:stroke on="f"/>
                    <v:imagedata o:title=""/>
                    <o:lock v:ext="edit"/>
                  </v:shape>
                  <v:shape id="_x0000_s4684" o:spid="_x0000_s4684" style="position:absolute;left:0;top:0;height:68;width:15;" fillcolor="#1C456A" filled="t" stroked="f" coordsize="15,68" path="m0,67l14,67,14,0,0,0,0,67xe">
                    <v:path/>
                    <v:fill on="t" focussize="0,0"/>
                    <v:stroke on="f"/>
                    <v:imagedata o:title=""/>
                    <o:lock v:ext="edit"/>
                  </v:shape>
                  <w10:wrap type="none"/>
                  <w10:anchorlock/>
                </v:group>
              </w:pict>
            </w:r>
          </w:p>
          <w:p w14:paraId="4469125C">
            <w:pPr>
              <w:spacing w:line="310" w:lineRule="auto"/>
              <w:rPr>
                <w:rFonts w:ascii="Arial"/>
                <w:sz w:val="21"/>
              </w:rPr>
            </w:pPr>
          </w:p>
          <w:p w14:paraId="21085E9E">
            <w:pPr>
              <w:spacing w:line="310" w:lineRule="auto"/>
              <w:rPr>
                <w:rFonts w:ascii="Arial"/>
                <w:sz w:val="21"/>
              </w:rPr>
            </w:pPr>
          </w:p>
          <w:p w14:paraId="5439FC8B">
            <w:pPr>
              <w:spacing w:line="67" w:lineRule="exact"/>
              <w:ind w:firstLine="686"/>
            </w:pPr>
            <w:r>
              <w:rPr>
                <w:position w:val="-1"/>
              </w:rPr>
              <w:pict>
                <v:group id="_x0000_s4686" o:spid="_x0000_s4686" o:spt="203" style="height:3.4pt;width:1.45pt;" coordsize="29,68">
                  <o:lock v:ext="edit"/>
                  <v:shape id="_x0000_s4688" o:spid="_x0000_s4688" style="position:absolute;left:14;top:0;height:68;width:15;" fillcolor="#20507B" filled="t" stroked="f" coordsize="15,68" path="m0,67l14,67,14,0,0,0,0,67xe">
                    <v:path/>
                    <v:fill on="t" focussize="0,0"/>
                    <v:stroke on="f"/>
                    <v:imagedata o:title=""/>
                    <o:lock v:ext="edit"/>
                  </v:shape>
                  <v:shape id="_x0000_s4690" o:spid="_x0000_s4690" style="position:absolute;left:0;top:0;height:68;width:15;" fillcolor="#1C456A" filled="t" stroked="f" coordsize="15,68" path="m0,67l14,67,14,0,0,0,0,67xe">
                    <v:path/>
                    <v:fill on="t" focussize="0,0"/>
                    <v:stroke on="f"/>
                    <v:imagedata o:title=""/>
                    <o:lock v:ext="edit"/>
                  </v:shape>
                  <w10:wrap type="none"/>
                  <w10:anchorlock/>
                </v:group>
              </w:pict>
            </w:r>
          </w:p>
          <w:p w14:paraId="45D5C036">
            <w:pPr>
              <w:spacing w:line="310" w:lineRule="auto"/>
              <w:rPr>
                <w:rFonts w:ascii="Arial"/>
                <w:sz w:val="21"/>
              </w:rPr>
            </w:pPr>
          </w:p>
          <w:p w14:paraId="61037737">
            <w:pPr>
              <w:spacing w:line="310" w:lineRule="auto"/>
              <w:rPr>
                <w:rFonts w:ascii="Arial"/>
                <w:sz w:val="21"/>
              </w:rPr>
            </w:pPr>
          </w:p>
          <w:p w14:paraId="7FE2C334">
            <w:pPr>
              <w:spacing w:line="67" w:lineRule="exact"/>
              <w:ind w:firstLine="686"/>
            </w:pPr>
            <w:r>
              <w:rPr>
                <w:position w:val="-1"/>
              </w:rPr>
              <w:pict>
                <v:group id="_x0000_s4692" o:spid="_x0000_s4692" o:spt="203" style="height:3.4pt;width:1.45pt;" coordsize="29,68">
                  <o:lock v:ext="edit"/>
                  <v:shape id="_x0000_s4694" o:spid="_x0000_s4694" style="position:absolute;left:14;top:0;height:68;width:15;" fillcolor="#20507B" filled="t" stroked="f" coordsize="15,68" path="m0,67l14,67,14,0,0,0,0,67xe">
                    <v:path/>
                    <v:fill on="t" focussize="0,0"/>
                    <v:stroke on="f"/>
                    <v:imagedata o:title=""/>
                    <o:lock v:ext="edit"/>
                  </v:shape>
                  <v:shape id="_x0000_s4696" o:spid="_x0000_s4696" style="position:absolute;left:0;top:0;height:68;width:15;" fillcolor="#1C456A" filled="t" stroked="f" coordsize="15,68" path="m0,67l14,67,14,0,0,0,0,67xe">
                    <v:path/>
                    <v:fill on="t" focussize="0,0"/>
                    <v:stroke on="f"/>
                    <v:imagedata o:title=""/>
                    <o:lock v:ext="edit"/>
                  </v:shape>
                  <w10:wrap type="none"/>
                  <w10:anchorlock/>
                </v:group>
              </w:pict>
            </w:r>
          </w:p>
          <w:p w14:paraId="3B01DA1F">
            <w:pPr>
              <w:spacing w:line="308" w:lineRule="auto"/>
              <w:rPr>
                <w:rFonts w:ascii="Arial"/>
                <w:sz w:val="21"/>
              </w:rPr>
            </w:pPr>
          </w:p>
          <w:p w14:paraId="7CCD2645">
            <w:pPr>
              <w:spacing w:line="309" w:lineRule="auto"/>
              <w:rPr>
                <w:rFonts w:ascii="Arial"/>
                <w:sz w:val="21"/>
              </w:rPr>
            </w:pPr>
          </w:p>
          <w:p w14:paraId="424A0C03">
            <w:pPr>
              <w:spacing w:before="1" w:line="67" w:lineRule="exact"/>
              <w:ind w:firstLine="686"/>
            </w:pPr>
            <w:r>
              <w:rPr>
                <w:position w:val="-1"/>
              </w:rPr>
              <w:pict>
                <v:group id="_x0000_s4698" o:spid="_x0000_s4698" o:spt="203" style="height:3.4pt;width:1.45pt;" coordsize="29,68">
                  <o:lock v:ext="edit"/>
                  <v:shape id="_x0000_s4700" o:spid="_x0000_s4700" style="position:absolute;left:14;top:0;height:68;width:15;" fillcolor="#20507B" filled="t" stroked="f" coordsize="15,68" path="m0,67l14,67,14,0,0,0,0,67xe">
                    <v:path/>
                    <v:fill on="t" focussize="0,0"/>
                    <v:stroke on="f"/>
                    <v:imagedata o:title=""/>
                    <o:lock v:ext="edit"/>
                  </v:shape>
                  <v:shape id="_x0000_s4702" o:spid="_x0000_s4702" style="position:absolute;left:0;top:0;height:68;width:15;" fillcolor="#1C456A" filled="t" stroked="f" coordsize="15,68" path="m0,67l14,67,14,0,0,0,0,67xe">
                    <v:path/>
                    <v:fill on="t" focussize="0,0"/>
                    <v:stroke on="f"/>
                    <v:imagedata o:title=""/>
                    <o:lock v:ext="edit"/>
                  </v:shape>
                  <w10:wrap type="none"/>
                  <w10:anchorlock/>
                </v:group>
              </w:pict>
            </w:r>
          </w:p>
          <w:p w14:paraId="03290D6E">
            <w:pPr>
              <w:spacing w:line="310" w:lineRule="auto"/>
              <w:rPr>
                <w:rFonts w:ascii="Arial"/>
                <w:sz w:val="21"/>
              </w:rPr>
            </w:pPr>
          </w:p>
          <w:p w14:paraId="09EBD046">
            <w:pPr>
              <w:spacing w:line="310" w:lineRule="auto"/>
              <w:rPr>
                <w:rFonts w:ascii="Arial"/>
                <w:sz w:val="21"/>
              </w:rPr>
            </w:pPr>
          </w:p>
          <w:p w14:paraId="32A35EF1">
            <w:pPr>
              <w:spacing w:before="1" w:line="67" w:lineRule="exact"/>
              <w:ind w:firstLine="686"/>
            </w:pPr>
            <w:r>
              <w:rPr>
                <w:position w:val="-1"/>
              </w:rPr>
              <w:pict>
                <v:group id="_x0000_s4704" o:spid="_x0000_s4704" o:spt="203" style="height:3.4pt;width:1.45pt;" coordsize="29,68">
                  <o:lock v:ext="edit"/>
                  <v:shape id="_x0000_s4706" o:spid="_x0000_s4706" style="position:absolute;left:14;top:0;height:68;width:15;" fillcolor="#20507B" filled="t" stroked="f" coordsize="15,68" path="m0,67l14,67,14,0,0,0,0,67xe">
                    <v:path/>
                    <v:fill on="t" focussize="0,0"/>
                    <v:stroke on="f"/>
                    <v:imagedata o:title=""/>
                    <o:lock v:ext="edit"/>
                  </v:shape>
                  <v:shape id="_x0000_s4708" o:spid="_x0000_s4708" style="position:absolute;left:0;top:0;height:68;width:15;" fillcolor="#1C456A" filled="t" stroked="f" coordsize="15,68" path="m0,67l14,67,14,0,0,0,0,67xe">
                    <v:path/>
                    <v:fill on="t" focussize="0,0"/>
                    <v:stroke on="f"/>
                    <v:imagedata o:title=""/>
                    <o:lock v:ext="edit"/>
                  </v:shape>
                  <w10:wrap type="none"/>
                  <w10:anchorlock/>
                </v:group>
              </w:pict>
            </w:r>
          </w:p>
          <w:p w14:paraId="2588E05F">
            <w:pPr>
              <w:spacing w:line="310" w:lineRule="auto"/>
              <w:rPr>
                <w:rFonts w:ascii="Arial"/>
                <w:sz w:val="21"/>
              </w:rPr>
            </w:pPr>
          </w:p>
          <w:p w14:paraId="499E6A76">
            <w:pPr>
              <w:spacing w:line="310" w:lineRule="auto"/>
              <w:rPr>
                <w:rFonts w:ascii="Arial"/>
                <w:sz w:val="21"/>
              </w:rPr>
            </w:pPr>
          </w:p>
          <w:p w14:paraId="3F30DB57">
            <w:pPr>
              <w:spacing w:before="1" w:line="67" w:lineRule="exact"/>
              <w:ind w:firstLine="686"/>
            </w:pPr>
            <w:r>
              <w:rPr>
                <w:position w:val="-1"/>
              </w:rPr>
              <w:pict>
                <v:group id="_x0000_s4710" o:spid="_x0000_s4710" o:spt="203" style="height:3.4pt;width:1.45pt;" coordsize="29,68">
                  <o:lock v:ext="edit"/>
                  <v:shape id="_x0000_s4712" o:spid="_x0000_s4712" style="position:absolute;left:14;top:0;height:68;width:15;" fillcolor="#20507B" filled="t" stroked="f" coordsize="15,68" path="m0,67l14,67,14,0,0,0,0,67xe">
                    <v:path/>
                    <v:fill on="t" focussize="0,0"/>
                    <v:stroke on="f"/>
                    <v:imagedata o:title=""/>
                    <o:lock v:ext="edit"/>
                  </v:shape>
                  <v:shape id="_x0000_s4714" o:spid="_x0000_s4714" style="position:absolute;left:0;top:0;height:68;width:15;" fillcolor="#1C456A" filled="t" stroked="f" coordsize="15,68" path="m0,67l14,67,14,0,0,0,0,67xe">
                    <v:path/>
                    <v:fill on="t" focussize="0,0"/>
                    <v:stroke on="f"/>
                    <v:imagedata o:title=""/>
                    <o:lock v:ext="edit"/>
                  </v:shape>
                  <w10:wrap type="none"/>
                  <w10:anchorlock/>
                </v:group>
              </w:pict>
            </w:r>
          </w:p>
          <w:p w14:paraId="50783FFB">
            <w:pPr>
              <w:spacing w:line="310" w:lineRule="auto"/>
              <w:rPr>
                <w:rFonts w:ascii="Arial"/>
                <w:sz w:val="21"/>
              </w:rPr>
            </w:pPr>
          </w:p>
          <w:p w14:paraId="3DA2A896">
            <w:pPr>
              <w:spacing w:line="310" w:lineRule="auto"/>
              <w:rPr>
                <w:rFonts w:ascii="Arial"/>
                <w:sz w:val="21"/>
              </w:rPr>
            </w:pPr>
          </w:p>
          <w:p w14:paraId="055745FF">
            <w:pPr>
              <w:spacing w:line="67" w:lineRule="exact"/>
              <w:ind w:firstLine="686"/>
            </w:pPr>
            <w:r>
              <w:rPr>
                <w:position w:val="-1"/>
              </w:rPr>
              <w:pict>
                <v:group id="_x0000_s4716" o:spid="_x0000_s4716" o:spt="203" style="height:3.4pt;width:1.45pt;" coordsize="29,68">
                  <o:lock v:ext="edit"/>
                  <v:shape id="_x0000_s4718" o:spid="_x0000_s4718" style="position:absolute;left:14;top:0;height:68;width:15;" fillcolor="#20507B" filled="t" stroked="f" coordsize="15,68" path="m0,67l14,67,14,0,0,0,0,67xe">
                    <v:path/>
                    <v:fill on="t" focussize="0,0"/>
                    <v:stroke on="f"/>
                    <v:imagedata o:title=""/>
                    <o:lock v:ext="edit"/>
                  </v:shape>
                  <v:shape id="_x0000_s4720" o:spid="_x0000_s4720" style="position:absolute;left:0;top:0;height:68;width:15;" fillcolor="#1C456A" filled="t" stroked="f" coordsize="15,68" path="m0,67l14,67,14,0,0,0,0,67xe">
                    <v:path/>
                    <v:fill on="t" focussize="0,0"/>
                    <v:stroke on="f"/>
                    <v:imagedata o:title=""/>
                    <o:lock v:ext="edit"/>
                  </v:shape>
                  <w10:wrap type="none"/>
                  <w10:anchorlock/>
                </v:group>
              </w:pict>
            </w:r>
          </w:p>
          <w:p w14:paraId="19459E95">
            <w:pPr>
              <w:spacing w:line="310" w:lineRule="auto"/>
              <w:rPr>
                <w:rFonts w:ascii="Arial"/>
                <w:sz w:val="21"/>
              </w:rPr>
            </w:pPr>
          </w:p>
          <w:p w14:paraId="688A676A">
            <w:pPr>
              <w:spacing w:line="310" w:lineRule="auto"/>
              <w:rPr>
                <w:rFonts w:ascii="Arial"/>
                <w:sz w:val="21"/>
              </w:rPr>
            </w:pPr>
          </w:p>
          <w:p w14:paraId="5A3678F2">
            <w:pPr>
              <w:spacing w:line="23" w:lineRule="exact"/>
              <w:ind w:firstLine="686"/>
            </w:pPr>
            <w:r>
              <w:rPr>
                <w:position w:val="-2"/>
              </w:rPr>
              <w:pict>
                <v:group id="_x0000_s4722" o:spid="_x0000_s4722" o:spt="203" style="height:2.2pt;width:2.2pt;" coordsize="44,44">
                  <o:lock v:ext="edit"/>
                  <v:shape id="_x0000_s4724" o:spid="_x0000_s4724" style="position:absolute;left:0;top:28;height:15;width:44;" fillcolor="#5B9BD5" filled="t" stroked="f" coordsize="44,15" path="m0,14l43,14,43,0,0,0,0,14xe">
                    <v:path/>
                    <v:fill on="t" focussize="0,0"/>
                    <v:stroke on="f"/>
                    <v:imagedata o:title=""/>
                    <o:lock v:ext="edit"/>
                  </v:shape>
                  <v:shape id="_x0000_s4726" o:spid="_x0000_s4726" style="position:absolute;left:14;top:0;height:29;width:15;" fillcolor="#20507B" filled="t" stroked="f" coordsize="15,29" path="m0,28l14,28,14,0,0,0,0,28xe">
                    <v:path/>
                    <v:fill on="t" focussize="0,0"/>
                    <v:stroke on="f"/>
                    <v:imagedata o:title=""/>
                    <o:lock v:ext="edit"/>
                  </v:shape>
                  <w10:wrap type="none"/>
                  <w10:anchorlock/>
                </v:group>
              </w:pict>
            </w:r>
          </w:p>
        </w:tc>
      </w:tr>
      <w:tr w14:paraId="764E9D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5" w:hRule="atLeast"/>
        </w:trPr>
        <w:tc>
          <w:tcPr>
            <w:tcW w:w="774" w:type="dxa"/>
            <w:gridSpan w:val="2"/>
            <w:tcBorders>
              <w:left w:val="single" w:color="000000" w:sz="4" w:space="0"/>
            </w:tcBorders>
            <w:vAlign w:val="top"/>
          </w:tcPr>
          <w:p w14:paraId="3BDF16AD">
            <w:pPr>
              <w:pStyle w:val="7"/>
              <w:spacing w:before="146" w:line="238" w:lineRule="auto"/>
              <w:ind w:left="344"/>
            </w:pPr>
            <w:r>
              <w:t>2</w:t>
            </w:r>
          </w:p>
        </w:tc>
        <w:tc>
          <w:tcPr>
            <w:tcW w:w="1657" w:type="dxa"/>
            <w:vAlign w:val="top"/>
          </w:tcPr>
          <w:p w14:paraId="36BFBB0E">
            <w:pPr>
              <w:pStyle w:val="7"/>
              <w:spacing w:before="146" w:line="215" w:lineRule="auto"/>
              <w:ind w:left="446"/>
            </w:pPr>
            <w:r>
              <w:rPr>
                <w:spacing w:val="-27"/>
              </w:rPr>
              <w:t>自卸汽车</w:t>
            </w:r>
          </w:p>
        </w:tc>
        <w:tc>
          <w:tcPr>
            <w:tcW w:w="1559" w:type="dxa"/>
            <w:vAlign w:val="top"/>
          </w:tcPr>
          <w:p w14:paraId="2B3903D0">
            <w:pPr>
              <w:pStyle w:val="7"/>
              <w:spacing w:before="146" w:line="237" w:lineRule="auto"/>
              <w:ind w:left="418"/>
            </w:pPr>
            <w:r>
              <w:rPr>
                <w:spacing w:val="-14"/>
              </w:rPr>
              <w:t>15～20t</w:t>
            </w:r>
          </w:p>
        </w:tc>
        <w:tc>
          <w:tcPr>
            <w:tcW w:w="649" w:type="dxa"/>
            <w:vAlign w:val="top"/>
          </w:tcPr>
          <w:p w14:paraId="61C493A2">
            <w:pPr>
              <w:pStyle w:val="7"/>
              <w:spacing w:before="146" w:line="237" w:lineRule="auto"/>
              <w:ind w:left="219"/>
            </w:pPr>
            <w:r>
              <w:rPr>
                <w:spacing w:val="-6"/>
              </w:rPr>
              <w:t>25</w:t>
            </w:r>
          </w:p>
        </w:tc>
        <w:tc>
          <w:tcPr>
            <w:tcW w:w="793" w:type="dxa"/>
            <w:vAlign w:val="top"/>
          </w:tcPr>
          <w:p w14:paraId="34B1D084">
            <w:pPr>
              <w:pStyle w:val="7"/>
              <w:spacing w:before="146" w:line="220" w:lineRule="auto"/>
              <w:ind w:left="191"/>
            </w:pPr>
            <w:r>
              <w:rPr>
                <w:spacing w:val="-9"/>
              </w:rPr>
              <w:t>上海</w:t>
            </w:r>
          </w:p>
        </w:tc>
        <w:tc>
          <w:tcPr>
            <w:tcW w:w="793" w:type="dxa"/>
            <w:vAlign w:val="top"/>
          </w:tcPr>
          <w:p w14:paraId="4694BE4D">
            <w:pPr>
              <w:pStyle w:val="7"/>
              <w:spacing w:before="146" w:line="237" w:lineRule="auto"/>
              <w:ind w:left="186"/>
            </w:pPr>
            <w:r>
              <w:rPr>
                <w:spacing w:val="-9"/>
              </w:rPr>
              <w:t>2022</w:t>
            </w:r>
          </w:p>
        </w:tc>
        <w:tc>
          <w:tcPr>
            <w:tcW w:w="791" w:type="dxa"/>
            <w:vAlign w:val="top"/>
          </w:tcPr>
          <w:p w14:paraId="4A3E8062">
            <w:pPr>
              <w:pStyle w:val="7"/>
              <w:spacing w:before="146" w:line="222" w:lineRule="auto"/>
              <w:ind w:left="347"/>
            </w:pPr>
            <w:r>
              <w:t>/</w:t>
            </w:r>
          </w:p>
        </w:tc>
        <w:tc>
          <w:tcPr>
            <w:tcW w:w="794" w:type="dxa"/>
            <w:vAlign w:val="top"/>
          </w:tcPr>
          <w:p w14:paraId="6C6C4922">
            <w:pPr>
              <w:pStyle w:val="7"/>
              <w:spacing w:before="146" w:line="219" w:lineRule="auto"/>
              <w:ind w:left="229"/>
            </w:pPr>
            <w:r>
              <w:rPr>
                <w:spacing w:val="-26"/>
              </w:rPr>
              <w:t>良好</w:t>
            </w:r>
          </w:p>
        </w:tc>
        <w:tc>
          <w:tcPr>
            <w:tcW w:w="1302" w:type="dxa"/>
            <w:vAlign w:val="top"/>
          </w:tcPr>
          <w:p w14:paraId="44E590B0">
            <w:pPr>
              <w:pStyle w:val="7"/>
              <w:spacing w:before="146" w:line="218" w:lineRule="auto"/>
              <w:ind w:left="233"/>
            </w:pPr>
            <w:r>
              <w:rPr>
                <w:spacing w:val="-15"/>
              </w:rPr>
              <w:t>基础开挖</w:t>
            </w:r>
          </w:p>
        </w:tc>
        <w:tc>
          <w:tcPr>
            <w:tcW w:w="727" w:type="dxa"/>
            <w:vMerge w:val="continue"/>
            <w:tcBorders>
              <w:top w:val="nil"/>
              <w:bottom w:val="nil"/>
              <w:right w:val="single" w:color="5B9BD5" w:sz="4" w:space="0"/>
            </w:tcBorders>
            <w:vAlign w:val="top"/>
          </w:tcPr>
          <w:p w14:paraId="27BF5F39">
            <w:pPr>
              <w:rPr>
                <w:rFonts w:ascii="Arial"/>
                <w:sz w:val="21"/>
              </w:rPr>
            </w:pPr>
          </w:p>
        </w:tc>
      </w:tr>
      <w:tr w14:paraId="52C5B5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6" w:hRule="atLeast"/>
        </w:trPr>
        <w:tc>
          <w:tcPr>
            <w:tcW w:w="774" w:type="dxa"/>
            <w:gridSpan w:val="2"/>
            <w:tcBorders>
              <w:left w:val="single" w:color="000000" w:sz="4" w:space="0"/>
            </w:tcBorders>
            <w:vAlign w:val="top"/>
          </w:tcPr>
          <w:p w14:paraId="256B826D">
            <w:pPr>
              <w:pStyle w:val="7"/>
              <w:spacing w:before="145" w:line="237" w:lineRule="auto"/>
              <w:ind w:left="346"/>
            </w:pPr>
            <w:r>
              <w:t>3</w:t>
            </w:r>
          </w:p>
        </w:tc>
        <w:tc>
          <w:tcPr>
            <w:tcW w:w="1657" w:type="dxa"/>
            <w:vAlign w:val="top"/>
          </w:tcPr>
          <w:p w14:paraId="2C4CE7A0">
            <w:pPr>
              <w:pStyle w:val="7"/>
              <w:spacing w:before="145" w:line="218" w:lineRule="auto"/>
              <w:ind w:left="512"/>
            </w:pPr>
            <w:r>
              <w:rPr>
                <w:spacing w:val="-14"/>
              </w:rPr>
              <w:t>装载机</w:t>
            </w:r>
          </w:p>
        </w:tc>
        <w:tc>
          <w:tcPr>
            <w:tcW w:w="1559" w:type="dxa"/>
            <w:vAlign w:val="top"/>
          </w:tcPr>
          <w:p w14:paraId="28232AF6">
            <w:pPr>
              <w:pStyle w:val="7"/>
              <w:spacing w:before="189" w:line="178" w:lineRule="auto"/>
              <w:ind w:left="451"/>
            </w:pPr>
            <w:r>
              <w:rPr>
                <w:spacing w:val="-9"/>
              </w:rPr>
              <w:t>LW500E</w:t>
            </w:r>
          </w:p>
        </w:tc>
        <w:tc>
          <w:tcPr>
            <w:tcW w:w="649" w:type="dxa"/>
            <w:vAlign w:val="top"/>
          </w:tcPr>
          <w:p w14:paraId="7C7F50F8">
            <w:pPr>
              <w:pStyle w:val="7"/>
              <w:spacing w:before="145" w:line="238" w:lineRule="auto"/>
              <w:ind w:left="274"/>
            </w:pPr>
            <w:r>
              <w:t>2</w:t>
            </w:r>
          </w:p>
        </w:tc>
        <w:tc>
          <w:tcPr>
            <w:tcW w:w="793" w:type="dxa"/>
            <w:vAlign w:val="top"/>
          </w:tcPr>
          <w:p w14:paraId="7EF46665">
            <w:pPr>
              <w:pStyle w:val="7"/>
              <w:spacing w:before="145" w:line="218" w:lineRule="auto"/>
              <w:ind w:left="191"/>
            </w:pPr>
            <w:r>
              <w:rPr>
                <w:spacing w:val="-10"/>
              </w:rPr>
              <w:t>浙江</w:t>
            </w:r>
          </w:p>
        </w:tc>
        <w:tc>
          <w:tcPr>
            <w:tcW w:w="793" w:type="dxa"/>
            <w:vAlign w:val="top"/>
          </w:tcPr>
          <w:p w14:paraId="3B19BF7B">
            <w:pPr>
              <w:pStyle w:val="7"/>
              <w:spacing w:before="145" w:line="237" w:lineRule="auto"/>
              <w:ind w:left="186" w:leftChars="0"/>
            </w:pPr>
            <w:r>
              <w:rPr>
                <w:spacing w:val="-9"/>
              </w:rPr>
              <w:t>202</w:t>
            </w:r>
            <w:r>
              <w:rPr>
                <w:rFonts w:hint="eastAsia"/>
                <w:spacing w:val="-9"/>
                <w:lang w:val="en-US" w:eastAsia="zh-CN"/>
              </w:rPr>
              <w:t>1</w:t>
            </w:r>
          </w:p>
        </w:tc>
        <w:tc>
          <w:tcPr>
            <w:tcW w:w="791" w:type="dxa"/>
            <w:vAlign w:val="top"/>
          </w:tcPr>
          <w:p w14:paraId="0FC7A603">
            <w:pPr>
              <w:pStyle w:val="7"/>
              <w:spacing w:before="144" w:line="222" w:lineRule="auto"/>
              <w:ind w:left="347"/>
            </w:pPr>
            <w:r>
              <w:t>/</w:t>
            </w:r>
          </w:p>
        </w:tc>
        <w:tc>
          <w:tcPr>
            <w:tcW w:w="794" w:type="dxa"/>
            <w:vAlign w:val="top"/>
          </w:tcPr>
          <w:p w14:paraId="4D26576D">
            <w:pPr>
              <w:pStyle w:val="7"/>
              <w:spacing w:before="145" w:line="236" w:lineRule="auto"/>
              <w:ind w:left="136"/>
            </w:pPr>
            <w:r>
              <w:rPr>
                <w:spacing w:val="-9"/>
              </w:rPr>
              <w:t>2.9m3</w:t>
            </w:r>
          </w:p>
        </w:tc>
        <w:tc>
          <w:tcPr>
            <w:tcW w:w="1302" w:type="dxa"/>
            <w:vAlign w:val="top"/>
          </w:tcPr>
          <w:p w14:paraId="2A1F64D9">
            <w:pPr>
              <w:pStyle w:val="7"/>
              <w:spacing w:before="145" w:line="218" w:lineRule="auto"/>
              <w:ind w:left="233"/>
            </w:pPr>
            <w:r>
              <w:rPr>
                <w:spacing w:val="-15"/>
              </w:rPr>
              <w:t>基础开挖</w:t>
            </w:r>
          </w:p>
        </w:tc>
        <w:tc>
          <w:tcPr>
            <w:tcW w:w="727" w:type="dxa"/>
            <w:vMerge w:val="continue"/>
            <w:tcBorders>
              <w:top w:val="nil"/>
              <w:bottom w:val="nil"/>
              <w:right w:val="single" w:color="5B9BD5" w:sz="4" w:space="0"/>
            </w:tcBorders>
            <w:vAlign w:val="top"/>
          </w:tcPr>
          <w:p w14:paraId="466BAFAA">
            <w:pPr>
              <w:rPr>
                <w:rFonts w:ascii="Arial"/>
                <w:sz w:val="21"/>
              </w:rPr>
            </w:pPr>
          </w:p>
        </w:tc>
      </w:tr>
      <w:tr w14:paraId="165CF0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6" w:hRule="atLeast"/>
        </w:trPr>
        <w:tc>
          <w:tcPr>
            <w:tcW w:w="774" w:type="dxa"/>
            <w:gridSpan w:val="2"/>
            <w:tcBorders>
              <w:left w:val="single" w:color="000000" w:sz="4" w:space="0"/>
            </w:tcBorders>
            <w:vAlign w:val="top"/>
          </w:tcPr>
          <w:p w14:paraId="71F10B41">
            <w:pPr>
              <w:pStyle w:val="7"/>
              <w:spacing w:before="145" w:line="238" w:lineRule="auto"/>
              <w:ind w:left="341"/>
            </w:pPr>
            <w:r>
              <w:t>4</w:t>
            </w:r>
          </w:p>
        </w:tc>
        <w:tc>
          <w:tcPr>
            <w:tcW w:w="1657" w:type="dxa"/>
            <w:vAlign w:val="top"/>
          </w:tcPr>
          <w:p w14:paraId="11A90C52">
            <w:pPr>
              <w:pStyle w:val="7"/>
              <w:spacing w:before="145" w:line="215" w:lineRule="auto"/>
              <w:ind w:left="298"/>
            </w:pPr>
            <w:r>
              <w:rPr>
                <w:spacing w:val="-19"/>
              </w:rPr>
              <w:t>高空作业车</w:t>
            </w:r>
          </w:p>
        </w:tc>
        <w:tc>
          <w:tcPr>
            <w:tcW w:w="1559" w:type="dxa"/>
            <w:vAlign w:val="top"/>
          </w:tcPr>
          <w:p w14:paraId="1918663A">
            <w:pPr>
              <w:pStyle w:val="7"/>
              <w:spacing w:before="145" w:line="218" w:lineRule="auto"/>
              <w:ind w:left="358"/>
            </w:pPr>
            <w:r>
              <w:rPr>
                <w:spacing w:val="-17"/>
              </w:rPr>
              <w:t>蓝牌支臂</w:t>
            </w:r>
          </w:p>
        </w:tc>
        <w:tc>
          <w:tcPr>
            <w:tcW w:w="649" w:type="dxa"/>
            <w:vAlign w:val="top"/>
          </w:tcPr>
          <w:p w14:paraId="09F8975C">
            <w:pPr>
              <w:pStyle w:val="7"/>
              <w:spacing w:before="145" w:line="238" w:lineRule="auto"/>
              <w:ind w:left="274"/>
            </w:pPr>
            <w:r>
              <w:t>2</w:t>
            </w:r>
          </w:p>
        </w:tc>
        <w:tc>
          <w:tcPr>
            <w:tcW w:w="793" w:type="dxa"/>
            <w:vAlign w:val="top"/>
          </w:tcPr>
          <w:p w14:paraId="0B03E0D1">
            <w:pPr>
              <w:pStyle w:val="7"/>
              <w:spacing w:before="145" w:line="219" w:lineRule="auto"/>
              <w:ind w:left="200"/>
            </w:pPr>
            <w:r>
              <w:rPr>
                <w:spacing w:val="-13"/>
              </w:rPr>
              <w:t>南京</w:t>
            </w:r>
          </w:p>
        </w:tc>
        <w:tc>
          <w:tcPr>
            <w:tcW w:w="793" w:type="dxa"/>
            <w:vAlign w:val="top"/>
          </w:tcPr>
          <w:p w14:paraId="710FA126">
            <w:pPr>
              <w:pStyle w:val="7"/>
              <w:spacing w:before="146" w:line="237" w:lineRule="auto"/>
              <w:ind w:left="186" w:leftChars="0"/>
            </w:pPr>
            <w:r>
              <w:rPr>
                <w:spacing w:val="-9"/>
              </w:rPr>
              <w:t>2022</w:t>
            </w:r>
          </w:p>
        </w:tc>
        <w:tc>
          <w:tcPr>
            <w:tcW w:w="791" w:type="dxa"/>
            <w:vAlign w:val="top"/>
          </w:tcPr>
          <w:p w14:paraId="46A7B9E0">
            <w:pPr>
              <w:pStyle w:val="7"/>
              <w:spacing w:before="145" w:line="222" w:lineRule="auto"/>
              <w:ind w:left="347"/>
            </w:pPr>
            <w:r>
              <w:t>/</w:t>
            </w:r>
          </w:p>
        </w:tc>
        <w:tc>
          <w:tcPr>
            <w:tcW w:w="794" w:type="dxa"/>
            <w:vAlign w:val="top"/>
          </w:tcPr>
          <w:p w14:paraId="69AF5A3B">
            <w:pPr>
              <w:pStyle w:val="7"/>
              <w:spacing w:before="145" w:line="237" w:lineRule="auto"/>
              <w:ind w:left="244"/>
            </w:pPr>
            <w:r>
              <w:rPr>
                <w:spacing w:val="-8"/>
              </w:rPr>
              <w:t>20m</w:t>
            </w:r>
          </w:p>
        </w:tc>
        <w:tc>
          <w:tcPr>
            <w:tcW w:w="1302" w:type="dxa"/>
            <w:vAlign w:val="top"/>
          </w:tcPr>
          <w:p w14:paraId="626FE7BC">
            <w:pPr>
              <w:pStyle w:val="7"/>
              <w:spacing w:before="145" w:line="216" w:lineRule="auto"/>
              <w:ind w:left="240"/>
            </w:pPr>
            <w:r>
              <w:rPr>
                <w:spacing w:val="-17"/>
              </w:rPr>
              <w:t>高处作业</w:t>
            </w:r>
          </w:p>
        </w:tc>
        <w:tc>
          <w:tcPr>
            <w:tcW w:w="727" w:type="dxa"/>
            <w:vMerge w:val="continue"/>
            <w:tcBorders>
              <w:top w:val="nil"/>
              <w:bottom w:val="nil"/>
              <w:right w:val="single" w:color="5B9BD5" w:sz="4" w:space="0"/>
            </w:tcBorders>
            <w:vAlign w:val="top"/>
          </w:tcPr>
          <w:p w14:paraId="5CE6ADE5">
            <w:pPr>
              <w:rPr>
                <w:rFonts w:ascii="Arial"/>
                <w:sz w:val="21"/>
              </w:rPr>
            </w:pPr>
          </w:p>
        </w:tc>
      </w:tr>
      <w:tr w14:paraId="7F891A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3" w:hRule="atLeast"/>
        </w:trPr>
        <w:tc>
          <w:tcPr>
            <w:tcW w:w="774" w:type="dxa"/>
            <w:gridSpan w:val="2"/>
            <w:tcBorders>
              <w:left w:val="single" w:color="000000" w:sz="4" w:space="0"/>
            </w:tcBorders>
            <w:vAlign w:val="top"/>
          </w:tcPr>
          <w:p w14:paraId="2D323E41">
            <w:pPr>
              <w:pStyle w:val="7"/>
              <w:spacing w:before="146" w:line="237" w:lineRule="auto"/>
              <w:ind w:left="346"/>
            </w:pPr>
            <w:r>
              <w:t>5</w:t>
            </w:r>
          </w:p>
        </w:tc>
        <w:tc>
          <w:tcPr>
            <w:tcW w:w="1657" w:type="dxa"/>
            <w:vAlign w:val="top"/>
          </w:tcPr>
          <w:p w14:paraId="5F114E26">
            <w:pPr>
              <w:pStyle w:val="7"/>
              <w:spacing w:before="146" w:line="215" w:lineRule="auto"/>
              <w:ind w:left="298"/>
            </w:pPr>
            <w:r>
              <w:rPr>
                <w:spacing w:val="-19"/>
              </w:rPr>
              <w:t>高空作业车</w:t>
            </w:r>
          </w:p>
        </w:tc>
        <w:tc>
          <w:tcPr>
            <w:tcW w:w="1559" w:type="dxa"/>
            <w:vAlign w:val="top"/>
          </w:tcPr>
          <w:p w14:paraId="52B50374">
            <w:pPr>
              <w:pStyle w:val="7"/>
              <w:spacing w:before="146" w:line="218" w:lineRule="auto"/>
              <w:ind w:left="573"/>
            </w:pPr>
            <w:r>
              <w:rPr>
                <w:spacing w:val="-10"/>
              </w:rPr>
              <w:t>解放</w:t>
            </w:r>
          </w:p>
        </w:tc>
        <w:tc>
          <w:tcPr>
            <w:tcW w:w="649" w:type="dxa"/>
            <w:vAlign w:val="top"/>
          </w:tcPr>
          <w:p w14:paraId="0A7404FD">
            <w:pPr>
              <w:pStyle w:val="7"/>
              <w:spacing w:before="146" w:line="238" w:lineRule="auto"/>
              <w:ind w:left="274"/>
            </w:pPr>
            <w:r>
              <w:t>2</w:t>
            </w:r>
          </w:p>
        </w:tc>
        <w:tc>
          <w:tcPr>
            <w:tcW w:w="793" w:type="dxa"/>
            <w:vAlign w:val="top"/>
          </w:tcPr>
          <w:p w14:paraId="2A0EC194">
            <w:pPr>
              <w:pStyle w:val="7"/>
              <w:spacing w:before="145" w:line="219" w:lineRule="auto"/>
              <w:ind w:left="200"/>
            </w:pPr>
            <w:r>
              <w:rPr>
                <w:spacing w:val="-13"/>
              </w:rPr>
              <w:t>南京</w:t>
            </w:r>
          </w:p>
        </w:tc>
        <w:tc>
          <w:tcPr>
            <w:tcW w:w="793" w:type="dxa"/>
            <w:vAlign w:val="top"/>
          </w:tcPr>
          <w:p w14:paraId="0DB23943">
            <w:pPr>
              <w:pStyle w:val="7"/>
              <w:spacing w:before="145" w:line="237" w:lineRule="auto"/>
              <w:ind w:left="186" w:leftChars="0"/>
            </w:pPr>
            <w:r>
              <w:rPr>
                <w:spacing w:val="-9"/>
              </w:rPr>
              <w:t>202</w:t>
            </w:r>
            <w:r>
              <w:rPr>
                <w:rFonts w:hint="eastAsia"/>
                <w:spacing w:val="-9"/>
                <w:lang w:val="en-US" w:eastAsia="zh-CN"/>
              </w:rPr>
              <w:t>1</w:t>
            </w:r>
          </w:p>
        </w:tc>
        <w:tc>
          <w:tcPr>
            <w:tcW w:w="791" w:type="dxa"/>
            <w:vAlign w:val="top"/>
          </w:tcPr>
          <w:p w14:paraId="078BB5A6">
            <w:pPr>
              <w:pStyle w:val="7"/>
              <w:spacing w:before="145" w:line="222" w:lineRule="auto"/>
              <w:ind w:left="347"/>
            </w:pPr>
            <w:r>
              <w:t>/</w:t>
            </w:r>
          </w:p>
        </w:tc>
        <w:tc>
          <w:tcPr>
            <w:tcW w:w="794" w:type="dxa"/>
            <w:vAlign w:val="top"/>
          </w:tcPr>
          <w:p w14:paraId="363CA77F">
            <w:pPr>
              <w:pStyle w:val="7"/>
              <w:spacing w:before="146" w:line="237" w:lineRule="auto"/>
              <w:ind w:left="259"/>
            </w:pPr>
            <w:r>
              <w:rPr>
                <w:spacing w:val="-12"/>
              </w:rPr>
              <w:t>13m</w:t>
            </w:r>
          </w:p>
        </w:tc>
        <w:tc>
          <w:tcPr>
            <w:tcW w:w="1302" w:type="dxa"/>
            <w:vAlign w:val="top"/>
          </w:tcPr>
          <w:p w14:paraId="332B3078">
            <w:pPr>
              <w:pStyle w:val="7"/>
              <w:spacing w:before="146" w:line="216" w:lineRule="auto"/>
              <w:ind w:left="240"/>
            </w:pPr>
            <w:r>
              <w:rPr>
                <w:spacing w:val="-17"/>
              </w:rPr>
              <w:t>高处作业</w:t>
            </w:r>
          </w:p>
        </w:tc>
        <w:tc>
          <w:tcPr>
            <w:tcW w:w="727" w:type="dxa"/>
            <w:vMerge w:val="continue"/>
            <w:tcBorders>
              <w:top w:val="nil"/>
              <w:bottom w:val="nil"/>
              <w:right w:val="single" w:color="5B9BD5" w:sz="4" w:space="0"/>
            </w:tcBorders>
            <w:vAlign w:val="top"/>
          </w:tcPr>
          <w:p w14:paraId="39D7FFB4">
            <w:pPr>
              <w:rPr>
                <w:rFonts w:ascii="Arial"/>
                <w:sz w:val="21"/>
              </w:rPr>
            </w:pPr>
          </w:p>
        </w:tc>
      </w:tr>
      <w:tr w14:paraId="42A139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5" w:hRule="atLeast"/>
        </w:trPr>
        <w:tc>
          <w:tcPr>
            <w:tcW w:w="774" w:type="dxa"/>
            <w:gridSpan w:val="2"/>
            <w:tcBorders>
              <w:left w:val="single" w:color="000000" w:sz="4" w:space="0"/>
            </w:tcBorders>
            <w:vAlign w:val="top"/>
          </w:tcPr>
          <w:p w14:paraId="063190EF">
            <w:pPr>
              <w:pStyle w:val="7"/>
              <w:spacing w:before="149" w:line="237" w:lineRule="auto"/>
              <w:ind w:left="343"/>
            </w:pPr>
            <w:r>
              <w:t>6</w:t>
            </w:r>
          </w:p>
        </w:tc>
        <w:tc>
          <w:tcPr>
            <w:tcW w:w="1657" w:type="dxa"/>
            <w:vAlign w:val="top"/>
          </w:tcPr>
          <w:p w14:paraId="17C1F8E2">
            <w:pPr>
              <w:pStyle w:val="7"/>
              <w:spacing w:before="149" w:line="219" w:lineRule="auto"/>
              <w:ind w:left="186"/>
            </w:pPr>
            <w:r>
              <w:rPr>
                <w:spacing w:val="-18"/>
              </w:rPr>
              <w:t>混凝土输送泵</w:t>
            </w:r>
          </w:p>
        </w:tc>
        <w:tc>
          <w:tcPr>
            <w:tcW w:w="1559" w:type="dxa"/>
            <w:vAlign w:val="top"/>
          </w:tcPr>
          <w:p w14:paraId="5E194AC3">
            <w:pPr>
              <w:pStyle w:val="7"/>
              <w:spacing w:before="149" w:line="237" w:lineRule="auto"/>
              <w:ind w:left="447"/>
            </w:pPr>
            <w:r>
              <w:rPr>
                <w:spacing w:val="-8"/>
              </w:rPr>
              <w:t>HBT-80</w:t>
            </w:r>
          </w:p>
        </w:tc>
        <w:tc>
          <w:tcPr>
            <w:tcW w:w="649" w:type="dxa"/>
            <w:vAlign w:val="top"/>
          </w:tcPr>
          <w:p w14:paraId="5285DD8A">
            <w:pPr>
              <w:pStyle w:val="7"/>
              <w:spacing w:before="149" w:line="238" w:lineRule="auto"/>
              <w:ind w:left="274"/>
            </w:pPr>
            <w:r>
              <w:t>2</w:t>
            </w:r>
          </w:p>
        </w:tc>
        <w:tc>
          <w:tcPr>
            <w:tcW w:w="793" w:type="dxa"/>
            <w:vAlign w:val="top"/>
          </w:tcPr>
          <w:p w14:paraId="32FF4ED9">
            <w:pPr>
              <w:pStyle w:val="7"/>
              <w:spacing w:before="149" w:line="218" w:lineRule="auto"/>
              <w:ind w:left="188"/>
            </w:pPr>
            <w:r>
              <w:rPr>
                <w:spacing w:val="-10"/>
              </w:rPr>
              <w:t>杭州</w:t>
            </w:r>
          </w:p>
        </w:tc>
        <w:tc>
          <w:tcPr>
            <w:tcW w:w="793" w:type="dxa"/>
            <w:vAlign w:val="top"/>
          </w:tcPr>
          <w:p w14:paraId="2C2794A0">
            <w:pPr>
              <w:pStyle w:val="7"/>
              <w:spacing w:before="146" w:line="237" w:lineRule="auto"/>
              <w:ind w:left="186" w:leftChars="0"/>
            </w:pPr>
            <w:r>
              <w:rPr>
                <w:spacing w:val="-9"/>
              </w:rPr>
              <w:t>2022</w:t>
            </w:r>
          </w:p>
        </w:tc>
        <w:tc>
          <w:tcPr>
            <w:tcW w:w="791" w:type="dxa"/>
            <w:vAlign w:val="top"/>
          </w:tcPr>
          <w:p w14:paraId="48EE5D2F">
            <w:pPr>
              <w:pStyle w:val="7"/>
              <w:spacing w:before="149" w:line="237" w:lineRule="auto"/>
              <w:ind w:left="255"/>
            </w:pPr>
            <w:r>
              <w:rPr>
                <w:spacing w:val="-13"/>
              </w:rPr>
              <w:t>110</w:t>
            </w:r>
          </w:p>
        </w:tc>
        <w:tc>
          <w:tcPr>
            <w:tcW w:w="794" w:type="dxa"/>
            <w:vAlign w:val="top"/>
          </w:tcPr>
          <w:p w14:paraId="3F5EA0FC">
            <w:pPr>
              <w:pStyle w:val="7"/>
              <w:spacing w:before="149" w:line="222" w:lineRule="auto"/>
              <w:ind w:left="79"/>
            </w:pPr>
            <w:r>
              <w:rPr>
                <w:spacing w:val="-10"/>
              </w:rPr>
              <w:t>80m3/h</w:t>
            </w:r>
          </w:p>
        </w:tc>
        <w:tc>
          <w:tcPr>
            <w:tcW w:w="1302" w:type="dxa"/>
            <w:vAlign w:val="top"/>
          </w:tcPr>
          <w:p w14:paraId="2AE67D88">
            <w:pPr>
              <w:pStyle w:val="7"/>
              <w:spacing w:before="149" w:line="219" w:lineRule="auto"/>
              <w:ind w:left="126"/>
            </w:pPr>
            <w:r>
              <w:rPr>
                <w:spacing w:val="-18"/>
              </w:rPr>
              <w:t>混凝土浇筑</w:t>
            </w:r>
          </w:p>
        </w:tc>
        <w:tc>
          <w:tcPr>
            <w:tcW w:w="727" w:type="dxa"/>
            <w:vMerge w:val="continue"/>
            <w:tcBorders>
              <w:top w:val="nil"/>
              <w:bottom w:val="nil"/>
              <w:right w:val="single" w:color="5B9BD5" w:sz="4" w:space="0"/>
            </w:tcBorders>
            <w:vAlign w:val="top"/>
          </w:tcPr>
          <w:p w14:paraId="1AFA537E">
            <w:pPr>
              <w:rPr>
                <w:rFonts w:ascii="Arial"/>
                <w:sz w:val="21"/>
              </w:rPr>
            </w:pPr>
          </w:p>
        </w:tc>
      </w:tr>
      <w:tr w14:paraId="046EE7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6" w:hRule="atLeast"/>
        </w:trPr>
        <w:tc>
          <w:tcPr>
            <w:tcW w:w="774" w:type="dxa"/>
            <w:gridSpan w:val="2"/>
            <w:tcBorders>
              <w:left w:val="single" w:color="000000" w:sz="4" w:space="0"/>
            </w:tcBorders>
            <w:vAlign w:val="top"/>
          </w:tcPr>
          <w:p w14:paraId="01B74C6B">
            <w:pPr>
              <w:pStyle w:val="7"/>
              <w:spacing w:before="150" w:line="237" w:lineRule="auto"/>
              <w:ind w:left="347"/>
            </w:pPr>
            <w:r>
              <w:t>7</w:t>
            </w:r>
          </w:p>
        </w:tc>
        <w:tc>
          <w:tcPr>
            <w:tcW w:w="1657" w:type="dxa"/>
            <w:vAlign w:val="top"/>
          </w:tcPr>
          <w:p w14:paraId="7E352641">
            <w:pPr>
              <w:pStyle w:val="7"/>
              <w:spacing w:before="150" w:line="215" w:lineRule="auto"/>
              <w:ind w:left="512"/>
            </w:pPr>
            <w:r>
              <w:rPr>
                <w:spacing w:val="-14"/>
              </w:rPr>
              <w:t>汽车吊</w:t>
            </w:r>
          </w:p>
        </w:tc>
        <w:tc>
          <w:tcPr>
            <w:tcW w:w="1559" w:type="dxa"/>
            <w:vAlign w:val="top"/>
          </w:tcPr>
          <w:p w14:paraId="0F58A413">
            <w:pPr>
              <w:pStyle w:val="7"/>
              <w:spacing w:before="150" w:line="237" w:lineRule="auto"/>
              <w:ind w:left="127"/>
            </w:pPr>
            <w:r>
              <w:rPr>
                <w:spacing w:val="-11"/>
              </w:rPr>
              <w:t>SY5368THB-45</w:t>
            </w:r>
          </w:p>
        </w:tc>
        <w:tc>
          <w:tcPr>
            <w:tcW w:w="649" w:type="dxa"/>
            <w:vAlign w:val="top"/>
          </w:tcPr>
          <w:p w14:paraId="60B7398D">
            <w:pPr>
              <w:pStyle w:val="7"/>
              <w:spacing w:before="150" w:line="237" w:lineRule="auto"/>
              <w:ind w:left="276"/>
            </w:pPr>
            <w:r>
              <w:t>5</w:t>
            </w:r>
          </w:p>
        </w:tc>
        <w:tc>
          <w:tcPr>
            <w:tcW w:w="793" w:type="dxa"/>
            <w:vAlign w:val="top"/>
          </w:tcPr>
          <w:p w14:paraId="77781BED">
            <w:pPr>
              <w:pStyle w:val="7"/>
              <w:spacing w:before="150" w:line="218" w:lineRule="auto"/>
              <w:ind w:left="190"/>
            </w:pPr>
            <w:r>
              <w:rPr>
                <w:spacing w:val="-10"/>
              </w:rPr>
              <w:t>天津</w:t>
            </w:r>
          </w:p>
        </w:tc>
        <w:tc>
          <w:tcPr>
            <w:tcW w:w="793" w:type="dxa"/>
            <w:vAlign w:val="top"/>
          </w:tcPr>
          <w:p w14:paraId="63BA1BF5">
            <w:pPr>
              <w:pStyle w:val="7"/>
              <w:spacing w:before="145" w:line="237" w:lineRule="auto"/>
              <w:ind w:left="186" w:leftChars="0"/>
            </w:pPr>
            <w:r>
              <w:rPr>
                <w:spacing w:val="-9"/>
              </w:rPr>
              <w:t>202</w:t>
            </w:r>
            <w:r>
              <w:rPr>
                <w:rFonts w:hint="eastAsia"/>
                <w:spacing w:val="-9"/>
                <w:lang w:val="en-US" w:eastAsia="zh-CN"/>
              </w:rPr>
              <w:t>1</w:t>
            </w:r>
          </w:p>
        </w:tc>
        <w:tc>
          <w:tcPr>
            <w:tcW w:w="791" w:type="dxa"/>
            <w:vAlign w:val="top"/>
          </w:tcPr>
          <w:p w14:paraId="1FC6A297">
            <w:pPr>
              <w:pStyle w:val="7"/>
              <w:spacing w:before="150" w:line="222" w:lineRule="auto"/>
              <w:ind w:left="347"/>
            </w:pPr>
            <w:r>
              <w:t>/</w:t>
            </w:r>
          </w:p>
        </w:tc>
        <w:tc>
          <w:tcPr>
            <w:tcW w:w="794" w:type="dxa"/>
            <w:vAlign w:val="top"/>
          </w:tcPr>
          <w:p w14:paraId="24EB5653">
            <w:pPr>
              <w:pStyle w:val="7"/>
              <w:spacing w:before="150" w:line="219" w:lineRule="auto"/>
              <w:ind w:left="229"/>
            </w:pPr>
            <w:r>
              <w:rPr>
                <w:spacing w:val="-19"/>
              </w:rPr>
              <w:t>良好</w:t>
            </w:r>
          </w:p>
        </w:tc>
        <w:tc>
          <w:tcPr>
            <w:tcW w:w="1302" w:type="dxa"/>
            <w:vAlign w:val="top"/>
          </w:tcPr>
          <w:p w14:paraId="5C04C9D2">
            <w:pPr>
              <w:pStyle w:val="7"/>
              <w:spacing w:before="150" w:line="218" w:lineRule="auto"/>
              <w:ind w:left="234"/>
            </w:pPr>
            <w:r>
              <w:rPr>
                <w:spacing w:val="-15"/>
              </w:rPr>
              <w:t>起重吊装</w:t>
            </w:r>
          </w:p>
        </w:tc>
        <w:tc>
          <w:tcPr>
            <w:tcW w:w="727" w:type="dxa"/>
            <w:vMerge w:val="continue"/>
            <w:tcBorders>
              <w:top w:val="nil"/>
              <w:bottom w:val="nil"/>
              <w:right w:val="single" w:color="5B9BD5" w:sz="4" w:space="0"/>
            </w:tcBorders>
            <w:vAlign w:val="top"/>
          </w:tcPr>
          <w:p w14:paraId="174D02D5">
            <w:pPr>
              <w:rPr>
                <w:rFonts w:ascii="Arial"/>
                <w:sz w:val="21"/>
              </w:rPr>
            </w:pPr>
          </w:p>
        </w:tc>
      </w:tr>
      <w:tr w14:paraId="7D4AD5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6" w:hRule="atLeast"/>
        </w:trPr>
        <w:tc>
          <w:tcPr>
            <w:tcW w:w="774" w:type="dxa"/>
            <w:gridSpan w:val="2"/>
            <w:tcBorders>
              <w:left w:val="single" w:color="000000" w:sz="4" w:space="0"/>
            </w:tcBorders>
            <w:vAlign w:val="top"/>
          </w:tcPr>
          <w:p w14:paraId="692CDD77">
            <w:pPr>
              <w:pStyle w:val="7"/>
              <w:spacing w:before="150" w:line="237" w:lineRule="auto"/>
              <w:ind w:left="343"/>
            </w:pPr>
            <w:r>
              <w:t>8</w:t>
            </w:r>
          </w:p>
        </w:tc>
        <w:tc>
          <w:tcPr>
            <w:tcW w:w="1657" w:type="dxa"/>
            <w:vAlign w:val="top"/>
          </w:tcPr>
          <w:p w14:paraId="4FE97CD0">
            <w:pPr>
              <w:pStyle w:val="7"/>
              <w:spacing w:before="150" w:line="216" w:lineRule="auto"/>
              <w:ind w:left="295"/>
            </w:pPr>
            <w:r>
              <w:rPr>
                <w:spacing w:val="-18"/>
              </w:rPr>
              <w:t>履带式吊机</w:t>
            </w:r>
          </w:p>
        </w:tc>
        <w:tc>
          <w:tcPr>
            <w:tcW w:w="1559" w:type="dxa"/>
            <w:vAlign w:val="top"/>
          </w:tcPr>
          <w:p w14:paraId="12FB92DA">
            <w:pPr>
              <w:pStyle w:val="7"/>
              <w:spacing w:before="195" w:line="178" w:lineRule="auto"/>
              <w:ind w:left="506"/>
            </w:pPr>
            <w:r>
              <w:rPr>
                <w:spacing w:val="-9"/>
              </w:rPr>
              <w:t>QUY50</w:t>
            </w:r>
          </w:p>
        </w:tc>
        <w:tc>
          <w:tcPr>
            <w:tcW w:w="649" w:type="dxa"/>
            <w:vAlign w:val="top"/>
          </w:tcPr>
          <w:p w14:paraId="3D17F61A">
            <w:pPr>
              <w:pStyle w:val="7"/>
              <w:spacing w:before="150" w:line="237" w:lineRule="auto"/>
              <w:ind w:left="276"/>
            </w:pPr>
            <w:r>
              <w:t>5</w:t>
            </w:r>
          </w:p>
        </w:tc>
        <w:tc>
          <w:tcPr>
            <w:tcW w:w="793" w:type="dxa"/>
            <w:vAlign w:val="top"/>
          </w:tcPr>
          <w:p w14:paraId="5C76AFB5">
            <w:pPr>
              <w:pStyle w:val="7"/>
              <w:spacing w:before="150" w:line="218" w:lineRule="auto"/>
              <w:ind w:left="191"/>
            </w:pPr>
            <w:r>
              <w:rPr>
                <w:spacing w:val="-10"/>
              </w:rPr>
              <w:t>浙江</w:t>
            </w:r>
          </w:p>
        </w:tc>
        <w:tc>
          <w:tcPr>
            <w:tcW w:w="793" w:type="dxa"/>
            <w:vAlign w:val="top"/>
          </w:tcPr>
          <w:p w14:paraId="0568F1EF">
            <w:pPr>
              <w:pStyle w:val="7"/>
              <w:spacing w:before="146" w:line="237" w:lineRule="auto"/>
              <w:ind w:left="186" w:leftChars="0"/>
            </w:pPr>
            <w:r>
              <w:rPr>
                <w:spacing w:val="-9"/>
              </w:rPr>
              <w:t>2022</w:t>
            </w:r>
          </w:p>
        </w:tc>
        <w:tc>
          <w:tcPr>
            <w:tcW w:w="791" w:type="dxa"/>
            <w:vAlign w:val="top"/>
          </w:tcPr>
          <w:p w14:paraId="36726458">
            <w:pPr>
              <w:pStyle w:val="7"/>
              <w:spacing w:before="150" w:line="237" w:lineRule="auto"/>
              <w:ind w:left="255"/>
            </w:pPr>
            <w:r>
              <w:rPr>
                <w:spacing w:val="-12"/>
              </w:rPr>
              <w:t>115</w:t>
            </w:r>
          </w:p>
        </w:tc>
        <w:tc>
          <w:tcPr>
            <w:tcW w:w="794" w:type="dxa"/>
            <w:vAlign w:val="top"/>
          </w:tcPr>
          <w:p w14:paraId="1B72AC43">
            <w:pPr>
              <w:pStyle w:val="7"/>
              <w:spacing w:before="150" w:line="237" w:lineRule="auto"/>
              <w:ind w:left="246"/>
            </w:pPr>
            <w:r>
              <w:rPr>
                <w:spacing w:val="-9"/>
              </w:rPr>
              <w:t>50T</w:t>
            </w:r>
          </w:p>
        </w:tc>
        <w:tc>
          <w:tcPr>
            <w:tcW w:w="1302" w:type="dxa"/>
            <w:vAlign w:val="top"/>
          </w:tcPr>
          <w:p w14:paraId="721F4A14">
            <w:pPr>
              <w:pStyle w:val="7"/>
              <w:spacing w:before="150" w:line="218" w:lineRule="auto"/>
              <w:ind w:left="234"/>
            </w:pPr>
            <w:r>
              <w:rPr>
                <w:spacing w:val="-15"/>
              </w:rPr>
              <w:t>起重吊装</w:t>
            </w:r>
          </w:p>
        </w:tc>
        <w:tc>
          <w:tcPr>
            <w:tcW w:w="727" w:type="dxa"/>
            <w:vMerge w:val="continue"/>
            <w:tcBorders>
              <w:top w:val="nil"/>
              <w:bottom w:val="nil"/>
              <w:right w:val="single" w:color="5B9BD5" w:sz="4" w:space="0"/>
            </w:tcBorders>
            <w:vAlign w:val="top"/>
          </w:tcPr>
          <w:p w14:paraId="1176114B">
            <w:pPr>
              <w:rPr>
                <w:rFonts w:ascii="Arial"/>
                <w:sz w:val="21"/>
              </w:rPr>
            </w:pPr>
          </w:p>
        </w:tc>
      </w:tr>
      <w:tr w14:paraId="72B4C7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6" w:hRule="atLeast"/>
        </w:trPr>
        <w:tc>
          <w:tcPr>
            <w:tcW w:w="774" w:type="dxa"/>
            <w:gridSpan w:val="2"/>
            <w:tcBorders>
              <w:left w:val="single" w:color="000000" w:sz="4" w:space="0"/>
            </w:tcBorders>
            <w:vAlign w:val="top"/>
          </w:tcPr>
          <w:p w14:paraId="197A351B">
            <w:pPr>
              <w:pStyle w:val="7"/>
              <w:spacing w:before="150" w:line="237" w:lineRule="auto"/>
              <w:ind w:left="343"/>
            </w:pPr>
            <w:r>
              <w:t>9</w:t>
            </w:r>
          </w:p>
        </w:tc>
        <w:tc>
          <w:tcPr>
            <w:tcW w:w="1657" w:type="dxa"/>
            <w:vAlign w:val="top"/>
          </w:tcPr>
          <w:p w14:paraId="55819F20">
            <w:pPr>
              <w:pStyle w:val="7"/>
              <w:spacing w:before="151" w:line="215" w:lineRule="auto"/>
              <w:ind w:left="512"/>
            </w:pPr>
            <w:r>
              <w:rPr>
                <w:spacing w:val="-14"/>
              </w:rPr>
              <w:t>汽车吊</w:t>
            </w:r>
          </w:p>
        </w:tc>
        <w:tc>
          <w:tcPr>
            <w:tcW w:w="1559" w:type="dxa"/>
            <w:vAlign w:val="top"/>
          </w:tcPr>
          <w:p w14:paraId="21B906D1">
            <w:pPr>
              <w:pStyle w:val="7"/>
              <w:spacing w:before="195" w:line="178" w:lineRule="auto"/>
              <w:ind w:left="621"/>
            </w:pPr>
            <w:r>
              <w:rPr>
                <w:spacing w:val="-8"/>
              </w:rPr>
              <w:t>25T</w:t>
            </w:r>
          </w:p>
        </w:tc>
        <w:tc>
          <w:tcPr>
            <w:tcW w:w="649" w:type="dxa"/>
            <w:vAlign w:val="top"/>
          </w:tcPr>
          <w:p w14:paraId="5CCC185E">
            <w:pPr>
              <w:pStyle w:val="7"/>
              <w:spacing w:before="151" w:line="238" w:lineRule="auto"/>
              <w:ind w:left="274"/>
            </w:pPr>
            <w:r>
              <w:t>2</w:t>
            </w:r>
          </w:p>
        </w:tc>
        <w:tc>
          <w:tcPr>
            <w:tcW w:w="793" w:type="dxa"/>
            <w:vAlign w:val="top"/>
          </w:tcPr>
          <w:p w14:paraId="1B23C274">
            <w:pPr>
              <w:pStyle w:val="7"/>
              <w:spacing w:before="151" w:line="218" w:lineRule="auto"/>
              <w:ind w:left="191"/>
            </w:pPr>
            <w:r>
              <w:rPr>
                <w:spacing w:val="-10"/>
              </w:rPr>
              <w:t>浙江</w:t>
            </w:r>
          </w:p>
        </w:tc>
        <w:tc>
          <w:tcPr>
            <w:tcW w:w="793" w:type="dxa"/>
            <w:vAlign w:val="top"/>
          </w:tcPr>
          <w:p w14:paraId="44CAAE3A">
            <w:pPr>
              <w:pStyle w:val="7"/>
              <w:spacing w:before="145" w:line="237" w:lineRule="auto"/>
              <w:ind w:left="186" w:leftChars="0"/>
            </w:pPr>
            <w:r>
              <w:rPr>
                <w:spacing w:val="-9"/>
              </w:rPr>
              <w:t>202</w:t>
            </w:r>
            <w:r>
              <w:rPr>
                <w:rFonts w:hint="eastAsia"/>
                <w:spacing w:val="-9"/>
                <w:lang w:val="en-US" w:eastAsia="zh-CN"/>
              </w:rPr>
              <w:t>1</w:t>
            </w:r>
          </w:p>
        </w:tc>
        <w:tc>
          <w:tcPr>
            <w:tcW w:w="791" w:type="dxa"/>
            <w:vAlign w:val="top"/>
          </w:tcPr>
          <w:p w14:paraId="179D2536">
            <w:pPr>
              <w:pStyle w:val="7"/>
              <w:spacing w:before="150" w:line="222" w:lineRule="auto"/>
              <w:ind w:left="347"/>
            </w:pPr>
            <w:r>
              <w:t>/</w:t>
            </w:r>
          </w:p>
        </w:tc>
        <w:tc>
          <w:tcPr>
            <w:tcW w:w="794" w:type="dxa"/>
            <w:vAlign w:val="top"/>
          </w:tcPr>
          <w:p w14:paraId="59FE8029">
            <w:pPr>
              <w:pStyle w:val="7"/>
              <w:spacing w:before="195" w:line="178" w:lineRule="auto"/>
              <w:ind w:left="244"/>
            </w:pPr>
            <w:r>
              <w:rPr>
                <w:spacing w:val="-8"/>
              </w:rPr>
              <w:t>25T</w:t>
            </w:r>
          </w:p>
        </w:tc>
        <w:tc>
          <w:tcPr>
            <w:tcW w:w="1302" w:type="dxa"/>
            <w:vAlign w:val="top"/>
          </w:tcPr>
          <w:p w14:paraId="7C6FF7E4">
            <w:pPr>
              <w:pStyle w:val="7"/>
              <w:spacing w:before="151" w:line="218" w:lineRule="auto"/>
              <w:ind w:left="234"/>
            </w:pPr>
            <w:r>
              <w:rPr>
                <w:spacing w:val="-15"/>
              </w:rPr>
              <w:t>起重吊装</w:t>
            </w:r>
          </w:p>
        </w:tc>
        <w:tc>
          <w:tcPr>
            <w:tcW w:w="727" w:type="dxa"/>
            <w:vMerge w:val="continue"/>
            <w:tcBorders>
              <w:top w:val="nil"/>
              <w:bottom w:val="nil"/>
              <w:right w:val="single" w:color="5B9BD5" w:sz="4" w:space="0"/>
            </w:tcBorders>
            <w:vAlign w:val="top"/>
          </w:tcPr>
          <w:p w14:paraId="120536EE">
            <w:pPr>
              <w:rPr>
                <w:rFonts w:ascii="Arial"/>
                <w:sz w:val="21"/>
              </w:rPr>
            </w:pPr>
          </w:p>
        </w:tc>
      </w:tr>
      <w:tr w14:paraId="7CE509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4" w:hRule="atLeast"/>
        </w:trPr>
        <w:tc>
          <w:tcPr>
            <w:tcW w:w="774" w:type="dxa"/>
            <w:gridSpan w:val="2"/>
            <w:tcBorders>
              <w:left w:val="single" w:color="000000" w:sz="4" w:space="0"/>
            </w:tcBorders>
            <w:vAlign w:val="top"/>
          </w:tcPr>
          <w:p w14:paraId="6DE60D19">
            <w:pPr>
              <w:pStyle w:val="7"/>
              <w:spacing w:before="149" w:line="237" w:lineRule="auto"/>
              <w:ind w:left="304"/>
            </w:pPr>
            <w:r>
              <w:rPr>
                <w:spacing w:val="-10"/>
              </w:rPr>
              <w:t>10</w:t>
            </w:r>
          </w:p>
        </w:tc>
        <w:tc>
          <w:tcPr>
            <w:tcW w:w="1657" w:type="dxa"/>
            <w:vAlign w:val="top"/>
          </w:tcPr>
          <w:p w14:paraId="38F780BD">
            <w:pPr>
              <w:pStyle w:val="7"/>
              <w:spacing w:before="149" w:line="218" w:lineRule="auto"/>
              <w:ind w:left="290"/>
            </w:pPr>
            <w:r>
              <w:rPr>
                <w:spacing w:val="-17"/>
              </w:rPr>
              <w:t>钢筋弯曲机</w:t>
            </w:r>
          </w:p>
        </w:tc>
        <w:tc>
          <w:tcPr>
            <w:tcW w:w="1559" w:type="dxa"/>
            <w:vAlign w:val="top"/>
          </w:tcPr>
          <w:p w14:paraId="59068049">
            <w:pPr>
              <w:pStyle w:val="7"/>
              <w:spacing w:before="149" w:line="237" w:lineRule="auto"/>
              <w:ind w:left="342"/>
            </w:pPr>
            <w:r>
              <w:rPr>
                <w:spacing w:val="-10"/>
              </w:rPr>
              <w:t>GTJB7-40</w:t>
            </w:r>
          </w:p>
        </w:tc>
        <w:tc>
          <w:tcPr>
            <w:tcW w:w="649" w:type="dxa"/>
            <w:vAlign w:val="top"/>
          </w:tcPr>
          <w:p w14:paraId="1BE6E1F2">
            <w:pPr>
              <w:pStyle w:val="7"/>
              <w:spacing w:before="149" w:line="238" w:lineRule="auto"/>
              <w:ind w:left="274"/>
            </w:pPr>
            <w:r>
              <w:t>2</w:t>
            </w:r>
          </w:p>
        </w:tc>
        <w:tc>
          <w:tcPr>
            <w:tcW w:w="793" w:type="dxa"/>
            <w:vAlign w:val="top"/>
          </w:tcPr>
          <w:p w14:paraId="2C21EF28">
            <w:pPr>
              <w:pStyle w:val="7"/>
              <w:spacing w:before="148" w:line="219" w:lineRule="auto"/>
              <w:ind w:left="196"/>
            </w:pPr>
            <w:r>
              <w:rPr>
                <w:spacing w:val="-12"/>
              </w:rPr>
              <w:t>河南</w:t>
            </w:r>
          </w:p>
        </w:tc>
        <w:tc>
          <w:tcPr>
            <w:tcW w:w="793" w:type="dxa"/>
            <w:vAlign w:val="top"/>
          </w:tcPr>
          <w:p w14:paraId="7D20CB04">
            <w:pPr>
              <w:pStyle w:val="7"/>
              <w:spacing w:before="146" w:line="237" w:lineRule="auto"/>
              <w:ind w:left="186" w:leftChars="0"/>
            </w:pPr>
            <w:r>
              <w:rPr>
                <w:spacing w:val="-9"/>
              </w:rPr>
              <w:t>2022</w:t>
            </w:r>
          </w:p>
        </w:tc>
        <w:tc>
          <w:tcPr>
            <w:tcW w:w="791" w:type="dxa"/>
            <w:vAlign w:val="top"/>
          </w:tcPr>
          <w:p w14:paraId="16645C77">
            <w:pPr>
              <w:pStyle w:val="7"/>
              <w:spacing w:before="149" w:line="237" w:lineRule="auto"/>
              <w:ind w:left="353"/>
            </w:pPr>
            <w:r>
              <w:t>3</w:t>
            </w:r>
          </w:p>
        </w:tc>
        <w:tc>
          <w:tcPr>
            <w:tcW w:w="794" w:type="dxa"/>
            <w:vAlign w:val="top"/>
          </w:tcPr>
          <w:p w14:paraId="32A47099">
            <w:pPr>
              <w:pStyle w:val="7"/>
              <w:spacing w:before="148" w:line="219" w:lineRule="auto"/>
              <w:ind w:left="229"/>
            </w:pPr>
            <w:r>
              <w:rPr>
                <w:spacing w:val="-19"/>
              </w:rPr>
              <w:t>良好</w:t>
            </w:r>
          </w:p>
        </w:tc>
        <w:tc>
          <w:tcPr>
            <w:tcW w:w="1302" w:type="dxa"/>
            <w:vAlign w:val="top"/>
          </w:tcPr>
          <w:p w14:paraId="1CDA6F9A">
            <w:pPr>
              <w:pStyle w:val="7"/>
              <w:spacing w:before="148" w:line="219" w:lineRule="auto"/>
              <w:ind w:left="232"/>
            </w:pPr>
            <w:r>
              <w:rPr>
                <w:spacing w:val="-15"/>
              </w:rPr>
              <w:t>钢筋加工</w:t>
            </w:r>
          </w:p>
        </w:tc>
        <w:tc>
          <w:tcPr>
            <w:tcW w:w="727" w:type="dxa"/>
            <w:vMerge w:val="continue"/>
            <w:tcBorders>
              <w:top w:val="nil"/>
              <w:bottom w:val="nil"/>
              <w:right w:val="single" w:color="5B9BD5" w:sz="4" w:space="0"/>
            </w:tcBorders>
            <w:vAlign w:val="top"/>
          </w:tcPr>
          <w:p w14:paraId="092F7DAE">
            <w:pPr>
              <w:rPr>
                <w:rFonts w:ascii="Arial"/>
                <w:sz w:val="21"/>
              </w:rPr>
            </w:pPr>
          </w:p>
        </w:tc>
      </w:tr>
      <w:tr w14:paraId="004338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6" w:hRule="atLeast"/>
        </w:trPr>
        <w:tc>
          <w:tcPr>
            <w:tcW w:w="774" w:type="dxa"/>
            <w:gridSpan w:val="2"/>
            <w:tcBorders>
              <w:left w:val="single" w:color="000000" w:sz="4" w:space="0"/>
            </w:tcBorders>
            <w:vAlign w:val="top"/>
          </w:tcPr>
          <w:p w14:paraId="73AD18EB">
            <w:pPr>
              <w:pStyle w:val="7"/>
              <w:spacing w:before="151" w:line="238" w:lineRule="auto"/>
              <w:ind w:left="304"/>
            </w:pPr>
            <w:r>
              <w:rPr>
                <w:spacing w:val="-10"/>
              </w:rPr>
              <w:t>11</w:t>
            </w:r>
          </w:p>
        </w:tc>
        <w:tc>
          <w:tcPr>
            <w:tcW w:w="1657" w:type="dxa"/>
            <w:vAlign w:val="top"/>
          </w:tcPr>
          <w:p w14:paraId="2FA56CDA">
            <w:pPr>
              <w:pStyle w:val="7"/>
              <w:spacing w:before="150" w:line="217" w:lineRule="auto"/>
              <w:ind w:left="290"/>
            </w:pPr>
            <w:r>
              <w:rPr>
                <w:spacing w:val="-17"/>
              </w:rPr>
              <w:t>钢筋切断机</w:t>
            </w:r>
          </w:p>
        </w:tc>
        <w:tc>
          <w:tcPr>
            <w:tcW w:w="1559" w:type="dxa"/>
            <w:vAlign w:val="top"/>
          </w:tcPr>
          <w:p w14:paraId="5502C9A8">
            <w:pPr>
              <w:pStyle w:val="7"/>
              <w:spacing w:before="151" w:line="222" w:lineRule="auto"/>
              <w:ind w:left="450"/>
            </w:pPr>
            <w:r>
              <w:rPr>
                <w:spacing w:val="-9"/>
              </w:rPr>
              <w:t>GQ40-B</w:t>
            </w:r>
          </w:p>
        </w:tc>
        <w:tc>
          <w:tcPr>
            <w:tcW w:w="649" w:type="dxa"/>
            <w:vAlign w:val="top"/>
          </w:tcPr>
          <w:p w14:paraId="768F9F74">
            <w:pPr>
              <w:pStyle w:val="7"/>
              <w:spacing w:before="151" w:line="238" w:lineRule="auto"/>
              <w:ind w:left="274"/>
            </w:pPr>
            <w:r>
              <w:t>2</w:t>
            </w:r>
          </w:p>
        </w:tc>
        <w:tc>
          <w:tcPr>
            <w:tcW w:w="793" w:type="dxa"/>
            <w:vAlign w:val="top"/>
          </w:tcPr>
          <w:p w14:paraId="6727D209">
            <w:pPr>
              <w:pStyle w:val="7"/>
              <w:spacing w:before="151" w:line="219" w:lineRule="auto"/>
              <w:ind w:left="196"/>
            </w:pPr>
            <w:r>
              <w:rPr>
                <w:spacing w:val="-12"/>
              </w:rPr>
              <w:t>河南</w:t>
            </w:r>
          </w:p>
        </w:tc>
        <w:tc>
          <w:tcPr>
            <w:tcW w:w="793" w:type="dxa"/>
            <w:vAlign w:val="top"/>
          </w:tcPr>
          <w:p w14:paraId="2B98054D">
            <w:pPr>
              <w:pStyle w:val="7"/>
              <w:spacing w:before="145" w:line="237" w:lineRule="auto"/>
              <w:ind w:left="186" w:leftChars="0"/>
            </w:pPr>
            <w:r>
              <w:rPr>
                <w:spacing w:val="-9"/>
              </w:rPr>
              <w:t>202</w:t>
            </w:r>
            <w:r>
              <w:rPr>
                <w:rFonts w:hint="eastAsia"/>
                <w:spacing w:val="-9"/>
                <w:lang w:val="en-US" w:eastAsia="zh-CN"/>
              </w:rPr>
              <w:t>1</w:t>
            </w:r>
          </w:p>
        </w:tc>
        <w:tc>
          <w:tcPr>
            <w:tcW w:w="791" w:type="dxa"/>
            <w:vAlign w:val="top"/>
          </w:tcPr>
          <w:p w14:paraId="321FF67C">
            <w:pPr>
              <w:pStyle w:val="7"/>
              <w:spacing w:before="151" w:line="237" w:lineRule="auto"/>
              <w:ind w:left="354"/>
            </w:pPr>
            <w:r>
              <w:t>7</w:t>
            </w:r>
          </w:p>
        </w:tc>
        <w:tc>
          <w:tcPr>
            <w:tcW w:w="794" w:type="dxa"/>
            <w:vAlign w:val="top"/>
          </w:tcPr>
          <w:p w14:paraId="6A0358E5">
            <w:pPr>
              <w:pStyle w:val="7"/>
              <w:spacing w:before="151" w:line="219" w:lineRule="auto"/>
              <w:ind w:left="229"/>
            </w:pPr>
            <w:r>
              <w:rPr>
                <w:spacing w:val="-19"/>
              </w:rPr>
              <w:t>良好</w:t>
            </w:r>
          </w:p>
        </w:tc>
        <w:tc>
          <w:tcPr>
            <w:tcW w:w="1302" w:type="dxa"/>
            <w:vAlign w:val="top"/>
          </w:tcPr>
          <w:p w14:paraId="3DA5E418">
            <w:pPr>
              <w:pStyle w:val="7"/>
              <w:spacing w:before="151" w:line="219" w:lineRule="auto"/>
              <w:ind w:left="232"/>
            </w:pPr>
            <w:r>
              <w:rPr>
                <w:spacing w:val="-15"/>
              </w:rPr>
              <w:t>钢筋加工</w:t>
            </w:r>
          </w:p>
        </w:tc>
        <w:tc>
          <w:tcPr>
            <w:tcW w:w="727" w:type="dxa"/>
            <w:vMerge w:val="continue"/>
            <w:tcBorders>
              <w:top w:val="nil"/>
              <w:bottom w:val="nil"/>
              <w:right w:val="single" w:color="5B9BD5" w:sz="4" w:space="0"/>
            </w:tcBorders>
            <w:vAlign w:val="top"/>
          </w:tcPr>
          <w:p w14:paraId="3A30BD91">
            <w:pPr>
              <w:rPr>
                <w:rFonts w:ascii="Arial"/>
                <w:sz w:val="21"/>
              </w:rPr>
            </w:pPr>
          </w:p>
        </w:tc>
      </w:tr>
      <w:tr w14:paraId="622229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6" w:hRule="atLeast"/>
        </w:trPr>
        <w:tc>
          <w:tcPr>
            <w:tcW w:w="774" w:type="dxa"/>
            <w:gridSpan w:val="2"/>
            <w:tcBorders>
              <w:left w:val="single" w:color="000000" w:sz="4" w:space="0"/>
            </w:tcBorders>
            <w:vAlign w:val="top"/>
          </w:tcPr>
          <w:p w14:paraId="2C75BF0F">
            <w:pPr>
              <w:pStyle w:val="7"/>
              <w:spacing w:before="151" w:line="238" w:lineRule="auto"/>
              <w:ind w:left="304"/>
            </w:pPr>
            <w:r>
              <w:rPr>
                <w:spacing w:val="-10"/>
              </w:rPr>
              <w:t>12</w:t>
            </w:r>
          </w:p>
        </w:tc>
        <w:tc>
          <w:tcPr>
            <w:tcW w:w="1657" w:type="dxa"/>
            <w:vAlign w:val="top"/>
          </w:tcPr>
          <w:p w14:paraId="2E73AD22">
            <w:pPr>
              <w:pStyle w:val="7"/>
              <w:spacing w:before="151" w:line="218" w:lineRule="auto"/>
              <w:ind w:left="290"/>
            </w:pPr>
            <w:r>
              <w:rPr>
                <w:spacing w:val="-17"/>
              </w:rPr>
              <w:t>钢筋调直机</w:t>
            </w:r>
          </w:p>
        </w:tc>
        <w:tc>
          <w:tcPr>
            <w:tcW w:w="1559" w:type="dxa"/>
            <w:vAlign w:val="top"/>
          </w:tcPr>
          <w:p w14:paraId="796468C4">
            <w:pPr>
              <w:pStyle w:val="7"/>
              <w:spacing w:before="151" w:line="222" w:lineRule="auto"/>
              <w:ind w:left="342"/>
            </w:pPr>
            <w:r>
              <w:rPr>
                <w:spacing w:val="-10"/>
              </w:rPr>
              <w:t>GJ4-4/14</w:t>
            </w:r>
          </w:p>
        </w:tc>
        <w:tc>
          <w:tcPr>
            <w:tcW w:w="649" w:type="dxa"/>
            <w:vAlign w:val="top"/>
          </w:tcPr>
          <w:p w14:paraId="37DA61B3">
            <w:pPr>
              <w:pStyle w:val="7"/>
              <w:spacing w:before="151" w:line="238" w:lineRule="auto"/>
              <w:ind w:left="274"/>
            </w:pPr>
            <w:r>
              <w:t>2</w:t>
            </w:r>
          </w:p>
        </w:tc>
        <w:tc>
          <w:tcPr>
            <w:tcW w:w="793" w:type="dxa"/>
            <w:vAlign w:val="top"/>
          </w:tcPr>
          <w:p w14:paraId="71C09034">
            <w:pPr>
              <w:pStyle w:val="7"/>
              <w:spacing w:before="151" w:line="219" w:lineRule="auto"/>
              <w:ind w:left="196"/>
            </w:pPr>
            <w:r>
              <w:rPr>
                <w:spacing w:val="-12"/>
              </w:rPr>
              <w:t>河南</w:t>
            </w:r>
          </w:p>
        </w:tc>
        <w:tc>
          <w:tcPr>
            <w:tcW w:w="793" w:type="dxa"/>
            <w:vAlign w:val="top"/>
          </w:tcPr>
          <w:p w14:paraId="10C095D9">
            <w:pPr>
              <w:pStyle w:val="7"/>
              <w:spacing w:before="146" w:line="237" w:lineRule="auto"/>
              <w:ind w:left="186" w:leftChars="0"/>
            </w:pPr>
            <w:r>
              <w:rPr>
                <w:spacing w:val="-9"/>
              </w:rPr>
              <w:t>2022</w:t>
            </w:r>
          </w:p>
        </w:tc>
        <w:tc>
          <w:tcPr>
            <w:tcW w:w="791" w:type="dxa"/>
            <w:vAlign w:val="top"/>
          </w:tcPr>
          <w:p w14:paraId="74CB7268">
            <w:pPr>
              <w:pStyle w:val="7"/>
              <w:spacing w:before="151" w:line="236" w:lineRule="auto"/>
              <w:ind w:left="243"/>
            </w:pPr>
            <w:r>
              <w:rPr>
                <w:spacing w:val="-9"/>
              </w:rPr>
              <w:t>7.5</w:t>
            </w:r>
          </w:p>
        </w:tc>
        <w:tc>
          <w:tcPr>
            <w:tcW w:w="794" w:type="dxa"/>
            <w:vAlign w:val="top"/>
          </w:tcPr>
          <w:p w14:paraId="7BF7B091">
            <w:pPr>
              <w:pStyle w:val="7"/>
              <w:spacing w:before="151" w:line="219" w:lineRule="auto"/>
              <w:ind w:left="229"/>
            </w:pPr>
            <w:r>
              <w:rPr>
                <w:spacing w:val="-19"/>
              </w:rPr>
              <w:t>良好</w:t>
            </w:r>
          </w:p>
        </w:tc>
        <w:tc>
          <w:tcPr>
            <w:tcW w:w="1302" w:type="dxa"/>
            <w:vAlign w:val="top"/>
          </w:tcPr>
          <w:p w14:paraId="42293D52">
            <w:pPr>
              <w:pStyle w:val="7"/>
              <w:spacing w:before="151" w:line="219" w:lineRule="auto"/>
              <w:ind w:left="232"/>
            </w:pPr>
            <w:r>
              <w:rPr>
                <w:spacing w:val="-15"/>
              </w:rPr>
              <w:t>钢筋调直</w:t>
            </w:r>
          </w:p>
        </w:tc>
        <w:tc>
          <w:tcPr>
            <w:tcW w:w="727" w:type="dxa"/>
            <w:vMerge w:val="continue"/>
            <w:tcBorders>
              <w:top w:val="nil"/>
              <w:bottom w:val="nil"/>
              <w:right w:val="single" w:color="5B9BD5" w:sz="4" w:space="0"/>
            </w:tcBorders>
            <w:vAlign w:val="top"/>
          </w:tcPr>
          <w:p w14:paraId="45AAE2A0">
            <w:pPr>
              <w:rPr>
                <w:rFonts w:ascii="Arial"/>
                <w:sz w:val="21"/>
              </w:rPr>
            </w:pPr>
          </w:p>
        </w:tc>
      </w:tr>
      <w:tr w14:paraId="7D8F89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6" w:hRule="atLeast"/>
        </w:trPr>
        <w:tc>
          <w:tcPr>
            <w:tcW w:w="774" w:type="dxa"/>
            <w:gridSpan w:val="2"/>
            <w:tcBorders>
              <w:left w:val="single" w:color="000000" w:sz="4" w:space="0"/>
            </w:tcBorders>
            <w:vAlign w:val="top"/>
          </w:tcPr>
          <w:p w14:paraId="4C5ECB88">
            <w:pPr>
              <w:pStyle w:val="7"/>
              <w:spacing w:before="149" w:line="237" w:lineRule="auto"/>
              <w:ind w:left="304"/>
            </w:pPr>
            <w:r>
              <w:rPr>
                <w:spacing w:val="-14"/>
              </w:rPr>
              <w:t>13</w:t>
            </w:r>
          </w:p>
        </w:tc>
        <w:tc>
          <w:tcPr>
            <w:tcW w:w="1657" w:type="dxa"/>
            <w:vAlign w:val="top"/>
          </w:tcPr>
          <w:p w14:paraId="60A34E5F">
            <w:pPr>
              <w:pStyle w:val="7"/>
              <w:spacing w:before="149" w:line="218" w:lineRule="auto"/>
              <w:ind w:left="535"/>
            </w:pPr>
            <w:r>
              <w:rPr>
                <w:spacing w:val="-19"/>
              </w:rPr>
              <w:t>电焊机</w:t>
            </w:r>
          </w:p>
        </w:tc>
        <w:tc>
          <w:tcPr>
            <w:tcW w:w="1559" w:type="dxa"/>
            <w:vAlign w:val="top"/>
          </w:tcPr>
          <w:p w14:paraId="7EF34083">
            <w:pPr>
              <w:pStyle w:val="7"/>
              <w:spacing w:before="193" w:line="178" w:lineRule="auto"/>
              <w:ind w:left="502"/>
            </w:pPr>
            <w:r>
              <w:rPr>
                <w:spacing w:val="-8"/>
              </w:rPr>
              <w:t>BX300</w:t>
            </w:r>
          </w:p>
        </w:tc>
        <w:tc>
          <w:tcPr>
            <w:tcW w:w="649" w:type="dxa"/>
            <w:vAlign w:val="top"/>
          </w:tcPr>
          <w:p w14:paraId="153222F7">
            <w:pPr>
              <w:pStyle w:val="7"/>
              <w:spacing w:before="149" w:line="238" w:lineRule="auto"/>
              <w:ind w:left="270"/>
            </w:pPr>
            <w:r>
              <w:t>4</w:t>
            </w:r>
          </w:p>
        </w:tc>
        <w:tc>
          <w:tcPr>
            <w:tcW w:w="793" w:type="dxa"/>
            <w:vAlign w:val="top"/>
          </w:tcPr>
          <w:p w14:paraId="52A37C1B">
            <w:pPr>
              <w:pStyle w:val="7"/>
              <w:spacing w:before="149" w:line="219" w:lineRule="auto"/>
              <w:ind w:left="196"/>
            </w:pPr>
            <w:r>
              <w:rPr>
                <w:spacing w:val="-12"/>
              </w:rPr>
              <w:t>河南</w:t>
            </w:r>
          </w:p>
        </w:tc>
        <w:tc>
          <w:tcPr>
            <w:tcW w:w="793" w:type="dxa"/>
            <w:vAlign w:val="top"/>
          </w:tcPr>
          <w:p w14:paraId="32C18BB7">
            <w:pPr>
              <w:pStyle w:val="7"/>
              <w:spacing w:before="145" w:line="237" w:lineRule="auto"/>
              <w:ind w:left="186" w:leftChars="0"/>
            </w:pPr>
            <w:r>
              <w:rPr>
                <w:spacing w:val="-9"/>
              </w:rPr>
              <w:t>202</w:t>
            </w:r>
            <w:r>
              <w:rPr>
                <w:rFonts w:hint="eastAsia"/>
                <w:spacing w:val="-9"/>
                <w:lang w:val="en-US" w:eastAsia="zh-CN"/>
              </w:rPr>
              <w:t>1</w:t>
            </w:r>
          </w:p>
        </w:tc>
        <w:tc>
          <w:tcPr>
            <w:tcW w:w="791" w:type="dxa"/>
            <w:vAlign w:val="top"/>
          </w:tcPr>
          <w:p w14:paraId="333ECD3D">
            <w:pPr>
              <w:pStyle w:val="7"/>
              <w:spacing w:before="149" w:line="238" w:lineRule="auto"/>
              <w:ind w:left="296"/>
            </w:pPr>
            <w:r>
              <w:rPr>
                <w:spacing w:val="-6"/>
              </w:rPr>
              <w:t>22</w:t>
            </w:r>
          </w:p>
        </w:tc>
        <w:tc>
          <w:tcPr>
            <w:tcW w:w="794" w:type="dxa"/>
            <w:vAlign w:val="top"/>
          </w:tcPr>
          <w:p w14:paraId="07F48CFC">
            <w:pPr>
              <w:pStyle w:val="7"/>
              <w:spacing w:before="149" w:line="219" w:lineRule="auto"/>
              <w:ind w:left="229"/>
            </w:pPr>
            <w:r>
              <w:rPr>
                <w:spacing w:val="-19"/>
              </w:rPr>
              <w:t>良好</w:t>
            </w:r>
          </w:p>
        </w:tc>
        <w:tc>
          <w:tcPr>
            <w:tcW w:w="1302" w:type="dxa"/>
            <w:vAlign w:val="top"/>
          </w:tcPr>
          <w:p w14:paraId="17D7D167">
            <w:pPr>
              <w:pStyle w:val="7"/>
              <w:spacing w:before="149" w:line="219" w:lineRule="auto"/>
              <w:ind w:left="232"/>
            </w:pPr>
            <w:r>
              <w:rPr>
                <w:spacing w:val="-15"/>
              </w:rPr>
              <w:t>钢筋连接</w:t>
            </w:r>
          </w:p>
        </w:tc>
        <w:tc>
          <w:tcPr>
            <w:tcW w:w="727" w:type="dxa"/>
            <w:vMerge w:val="continue"/>
            <w:tcBorders>
              <w:top w:val="nil"/>
              <w:bottom w:val="nil"/>
              <w:right w:val="single" w:color="5B9BD5" w:sz="4" w:space="0"/>
            </w:tcBorders>
            <w:vAlign w:val="top"/>
          </w:tcPr>
          <w:p w14:paraId="611A3167">
            <w:pPr>
              <w:rPr>
                <w:rFonts w:ascii="Arial"/>
                <w:sz w:val="21"/>
              </w:rPr>
            </w:pPr>
          </w:p>
        </w:tc>
      </w:tr>
      <w:tr w14:paraId="0C9A83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3" w:hRule="atLeast"/>
        </w:trPr>
        <w:tc>
          <w:tcPr>
            <w:tcW w:w="774" w:type="dxa"/>
            <w:gridSpan w:val="2"/>
            <w:tcBorders>
              <w:left w:val="single" w:color="000000" w:sz="4" w:space="0"/>
            </w:tcBorders>
            <w:vAlign w:val="top"/>
          </w:tcPr>
          <w:p w14:paraId="6ECDF1F9">
            <w:pPr>
              <w:pStyle w:val="7"/>
              <w:spacing w:before="149" w:line="238" w:lineRule="auto"/>
              <w:ind w:left="304"/>
            </w:pPr>
            <w:r>
              <w:rPr>
                <w:spacing w:val="-10"/>
              </w:rPr>
              <w:t>14</w:t>
            </w:r>
          </w:p>
        </w:tc>
        <w:tc>
          <w:tcPr>
            <w:tcW w:w="1657" w:type="dxa"/>
            <w:vAlign w:val="top"/>
          </w:tcPr>
          <w:p w14:paraId="258A8962">
            <w:pPr>
              <w:pStyle w:val="7"/>
              <w:spacing w:before="149" w:line="218" w:lineRule="auto"/>
              <w:ind w:left="77"/>
            </w:pPr>
            <w:r>
              <w:rPr>
                <w:spacing w:val="-19"/>
              </w:rPr>
              <w:t>氧气、乙炔设备</w:t>
            </w:r>
          </w:p>
        </w:tc>
        <w:tc>
          <w:tcPr>
            <w:tcW w:w="1559" w:type="dxa"/>
            <w:vAlign w:val="top"/>
          </w:tcPr>
          <w:p w14:paraId="6F9CDF32">
            <w:pPr>
              <w:pStyle w:val="7"/>
              <w:spacing w:before="149" w:line="237" w:lineRule="auto"/>
              <w:ind w:left="394"/>
            </w:pPr>
            <w:r>
              <w:rPr>
                <w:spacing w:val="-9"/>
              </w:rPr>
              <w:t>UN1-100</w:t>
            </w:r>
          </w:p>
        </w:tc>
        <w:tc>
          <w:tcPr>
            <w:tcW w:w="649" w:type="dxa"/>
            <w:vAlign w:val="top"/>
          </w:tcPr>
          <w:p w14:paraId="716DBD31">
            <w:pPr>
              <w:pStyle w:val="7"/>
              <w:spacing w:before="149" w:line="237" w:lineRule="auto"/>
              <w:ind w:left="276"/>
            </w:pPr>
            <w:r>
              <w:t>3</w:t>
            </w:r>
          </w:p>
        </w:tc>
        <w:tc>
          <w:tcPr>
            <w:tcW w:w="793" w:type="dxa"/>
            <w:vAlign w:val="top"/>
          </w:tcPr>
          <w:p w14:paraId="56821AD3">
            <w:pPr>
              <w:pStyle w:val="7"/>
              <w:spacing w:before="149" w:line="218" w:lineRule="auto"/>
              <w:ind w:left="190"/>
            </w:pPr>
            <w:r>
              <w:rPr>
                <w:spacing w:val="-10"/>
              </w:rPr>
              <w:t>天津</w:t>
            </w:r>
          </w:p>
        </w:tc>
        <w:tc>
          <w:tcPr>
            <w:tcW w:w="793" w:type="dxa"/>
            <w:vAlign w:val="top"/>
          </w:tcPr>
          <w:p w14:paraId="0C756AC7">
            <w:pPr>
              <w:pStyle w:val="7"/>
              <w:spacing w:before="146" w:line="237" w:lineRule="auto"/>
              <w:ind w:left="186" w:leftChars="0"/>
            </w:pPr>
            <w:r>
              <w:rPr>
                <w:spacing w:val="-9"/>
              </w:rPr>
              <w:t>2022</w:t>
            </w:r>
          </w:p>
        </w:tc>
        <w:tc>
          <w:tcPr>
            <w:tcW w:w="791" w:type="dxa"/>
            <w:vAlign w:val="top"/>
          </w:tcPr>
          <w:p w14:paraId="5E472904">
            <w:pPr>
              <w:pStyle w:val="7"/>
              <w:spacing w:before="149" w:line="237" w:lineRule="auto"/>
              <w:ind w:left="255"/>
            </w:pPr>
            <w:r>
              <w:rPr>
                <w:spacing w:val="-12"/>
              </w:rPr>
              <w:t>100</w:t>
            </w:r>
          </w:p>
        </w:tc>
        <w:tc>
          <w:tcPr>
            <w:tcW w:w="794" w:type="dxa"/>
            <w:vAlign w:val="top"/>
          </w:tcPr>
          <w:p w14:paraId="2EB64B6F">
            <w:pPr>
              <w:pStyle w:val="7"/>
              <w:spacing w:before="149" w:line="219" w:lineRule="auto"/>
              <w:ind w:left="229"/>
            </w:pPr>
            <w:r>
              <w:rPr>
                <w:spacing w:val="-19"/>
              </w:rPr>
              <w:t>良好</w:t>
            </w:r>
          </w:p>
        </w:tc>
        <w:tc>
          <w:tcPr>
            <w:tcW w:w="1302" w:type="dxa"/>
            <w:vAlign w:val="top"/>
          </w:tcPr>
          <w:p w14:paraId="56289BC8">
            <w:pPr>
              <w:pStyle w:val="7"/>
              <w:spacing w:before="149" w:line="218" w:lineRule="auto"/>
              <w:ind w:left="246"/>
            </w:pPr>
            <w:r>
              <w:rPr>
                <w:spacing w:val="-19"/>
              </w:rPr>
              <w:t>管道焊接</w:t>
            </w:r>
          </w:p>
        </w:tc>
        <w:tc>
          <w:tcPr>
            <w:tcW w:w="727" w:type="dxa"/>
            <w:vMerge w:val="continue"/>
            <w:tcBorders>
              <w:top w:val="nil"/>
              <w:bottom w:val="nil"/>
              <w:right w:val="single" w:color="5B9BD5" w:sz="4" w:space="0"/>
            </w:tcBorders>
            <w:vAlign w:val="top"/>
          </w:tcPr>
          <w:p w14:paraId="1DAB1D83">
            <w:pPr>
              <w:rPr>
                <w:rFonts w:ascii="Arial"/>
                <w:sz w:val="21"/>
              </w:rPr>
            </w:pPr>
          </w:p>
        </w:tc>
      </w:tr>
      <w:tr w14:paraId="2BF4A8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6" w:hRule="atLeast"/>
        </w:trPr>
        <w:tc>
          <w:tcPr>
            <w:tcW w:w="774" w:type="dxa"/>
            <w:gridSpan w:val="2"/>
            <w:tcBorders>
              <w:left w:val="single" w:color="000000" w:sz="4" w:space="0"/>
            </w:tcBorders>
            <w:vAlign w:val="top"/>
          </w:tcPr>
          <w:p w14:paraId="7A2BF20F">
            <w:pPr>
              <w:pStyle w:val="7"/>
              <w:spacing w:before="153" w:line="237" w:lineRule="auto"/>
              <w:ind w:left="304"/>
            </w:pPr>
            <w:r>
              <w:rPr>
                <w:spacing w:val="-14"/>
              </w:rPr>
              <w:t>15</w:t>
            </w:r>
          </w:p>
        </w:tc>
        <w:tc>
          <w:tcPr>
            <w:tcW w:w="1657" w:type="dxa"/>
            <w:vAlign w:val="top"/>
          </w:tcPr>
          <w:p w14:paraId="56DC289B">
            <w:pPr>
              <w:pStyle w:val="7"/>
              <w:spacing w:before="153" w:line="218" w:lineRule="auto"/>
              <w:ind w:left="509"/>
            </w:pPr>
            <w:r>
              <w:rPr>
                <w:spacing w:val="-14"/>
              </w:rPr>
              <w:t>压刨机</w:t>
            </w:r>
          </w:p>
        </w:tc>
        <w:tc>
          <w:tcPr>
            <w:tcW w:w="1559" w:type="dxa"/>
            <w:vAlign w:val="top"/>
          </w:tcPr>
          <w:p w14:paraId="7ACE386A">
            <w:pPr>
              <w:pStyle w:val="7"/>
              <w:spacing w:before="196" w:line="179" w:lineRule="auto"/>
              <w:ind w:left="501"/>
            </w:pPr>
            <w:r>
              <w:rPr>
                <w:spacing w:val="-7"/>
              </w:rPr>
              <w:t>MY100</w:t>
            </w:r>
          </w:p>
        </w:tc>
        <w:tc>
          <w:tcPr>
            <w:tcW w:w="649" w:type="dxa"/>
            <w:vAlign w:val="top"/>
          </w:tcPr>
          <w:p w14:paraId="6DC6B196">
            <w:pPr>
              <w:pStyle w:val="7"/>
              <w:spacing w:before="153" w:line="238" w:lineRule="auto"/>
              <w:ind w:left="274"/>
            </w:pPr>
            <w:r>
              <w:t>2</w:t>
            </w:r>
          </w:p>
        </w:tc>
        <w:tc>
          <w:tcPr>
            <w:tcW w:w="793" w:type="dxa"/>
            <w:vAlign w:val="top"/>
          </w:tcPr>
          <w:p w14:paraId="17A94A32">
            <w:pPr>
              <w:pStyle w:val="7"/>
              <w:spacing w:before="153" w:line="220" w:lineRule="auto"/>
              <w:ind w:left="211"/>
            </w:pPr>
            <w:r>
              <w:rPr>
                <w:spacing w:val="-15"/>
              </w:rPr>
              <w:t>山东</w:t>
            </w:r>
          </w:p>
        </w:tc>
        <w:tc>
          <w:tcPr>
            <w:tcW w:w="793" w:type="dxa"/>
            <w:vAlign w:val="top"/>
          </w:tcPr>
          <w:p w14:paraId="0C86C3EF">
            <w:pPr>
              <w:pStyle w:val="7"/>
              <w:spacing w:before="145" w:line="237" w:lineRule="auto"/>
              <w:ind w:left="186" w:leftChars="0"/>
            </w:pPr>
            <w:r>
              <w:rPr>
                <w:spacing w:val="-9"/>
              </w:rPr>
              <w:t>202</w:t>
            </w:r>
            <w:r>
              <w:rPr>
                <w:rFonts w:hint="eastAsia"/>
                <w:spacing w:val="-9"/>
                <w:lang w:val="en-US" w:eastAsia="zh-CN"/>
              </w:rPr>
              <w:t>1</w:t>
            </w:r>
          </w:p>
        </w:tc>
        <w:tc>
          <w:tcPr>
            <w:tcW w:w="791" w:type="dxa"/>
            <w:vAlign w:val="top"/>
          </w:tcPr>
          <w:p w14:paraId="66938F8A">
            <w:pPr>
              <w:pStyle w:val="7"/>
              <w:spacing w:before="153" w:line="238" w:lineRule="auto"/>
              <w:ind w:left="347"/>
            </w:pPr>
            <w:r>
              <w:t>4</w:t>
            </w:r>
          </w:p>
        </w:tc>
        <w:tc>
          <w:tcPr>
            <w:tcW w:w="794" w:type="dxa"/>
            <w:vAlign w:val="top"/>
          </w:tcPr>
          <w:p w14:paraId="3130E4F7">
            <w:pPr>
              <w:pStyle w:val="7"/>
              <w:spacing w:before="153" w:line="219" w:lineRule="auto"/>
              <w:ind w:left="229"/>
            </w:pPr>
            <w:r>
              <w:rPr>
                <w:spacing w:val="-19"/>
              </w:rPr>
              <w:t>良好</w:t>
            </w:r>
          </w:p>
        </w:tc>
        <w:tc>
          <w:tcPr>
            <w:tcW w:w="1302" w:type="dxa"/>
            <w:vAlign w:val="top"/>
          </w:tcPr>
          <w:p w14:paraId="02301747">
            <w:pPr>
              <w:pStyle w:val="7"/>
              <w:spacing w:before="153" w:line="218" w:lineRule="auto"/>
              <w:ind w:left="232"/>
            </w:pPr>
            <w:r>
              <w:rPr>
                <w:spacing w:val="-15"/>
              </w:rPr>
              <w:t>模板加工</w:t>
            </w:r>
          </w:p>
        </w:tc>
        <w:tc>
          <w:tcPr>
            <w:tcW w:w="727" w:type="dxa"/>
            <w:vMerge w:val="continue"/>
            <w:tcBorders>
              <w:top w:val="nil"/>
              <w:bottom w:val="nil"/>
              <w:right w:val="single" w:color="5B9BD5" w:sz="4" w:space="0"/>
            </w:tcBorders>
            <w:vAlign w:val="top"/>
          </w:tcPr>
          <w:p w14:paraId="52F332E9">
            <w:pPr>
              <w:rPr>
                <w:rFonts w:ascii="Arial"/>
                <w:sz w:val="21"/>
              </w:rPr>
            </w:pPr>
          </w:p>
        </w:tc>
      </w:tr>
      <w:tr w14:paraId="3165E1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6" w:hRule="atLeast"/>
        </w:trPr>
        <w:tc>
          <w:tcPr>
            <w:tcW w:w="774" w:type="dxa"/>
            <w:gridSpan w:val="2"/>
            <w:tcBorders>
              <w:left w:val="single" w:color="000000" w:sz="4" w:space="0"/>
            </w:tcBorders>
            <w:vAlign w:val="top"/>
          </w:tcPr>
          <w:p w14:paraId="6D4566F0">
            <w:pPr>
              <w:pStyle w:val="7"/>
              <w:spacing w:before="153" w:line="237" w:lineRule="auto"/>
              <w:ind w:left="304"/>
            </w:pPr>
            <w:r>
              <w:rPr>
                <w:spacing w:val="-10"/>
              </w:rPr>
              <w:t>16</w:t>
            </w:r>
          </w:p>
        </w:tc>
        <w:tc>
          <w:tcPr>
            <w:tcW w:w="1657" w:type="dxa"/>
            <w:vAlign w:val="top"/>
          </w:tcPr>
          <w:p w14:paraId="6E064E71">
            <w:pPr>
              <w:pStyle w:val="7"/>
              <w:spacing w:before="153" w:line="219" w:lineRule="auto"/>
              <w:ind w:left="531"/>
            </w:pPr>
            <w:r>
              <w:rPr>
                <w:spacing w:val="-19"/>
              </w:rPr>
              <w:t>圆盘锯</w:t>
            </w:r>
          </w:p>
        </w:tc>
        <w:tc>
          <w:tcPr>
            <w:tcW w:w="1559" w:type="dxa"/>
            <w:vAlign w:val="top"/>
          </w:tcPr>
          <w:p w14:paraId="77A9CABE">
            <w:pPr>
              <w:pStyle w:val="7"/>
              <w:spacing w:before="196" w:line="179" w:lineRule="auto"/>
              <w:ind w:left="501"/>
            </w:pPr>
            <w:r>
              <w:rPr>
                <w:spacing w:val="-7"/>
              </w:rPr>
              <w:t>MJ105</w:t>
            </w:r>
          </w:p>
        </w:tc>
        <w:tc>
          <w:tcPr>
            <w:tcW w:w="649" w:type="dxa"/>
            <w:vAlign w:val="top"/>
          </w:tcPr>
          <w:p w14:paraId="5B093F07">
            <w:pPr>
              <w:pStyle w:val="7"/>
              <w:spacing w:before="153" w:line="238" w:lineRule="auto"/>
              <w:ind w:left="274"/>
            </w:pPr>
            <w:r>
              <w:t>2</w:t>
            </w:r>
          </w:p>
        </w:tc>
        <w:tc>
          <w:tcPr>
            <w:tcW w:w="793" w:type="dxa"/>
            <w:vAlign w:val="top"/>
          </w:tcPr>
          <w:p w14:paraId="242814F9">
            <w:pPr>
              <w:pStyle w:val="7"/>
              <w:spacing w:before="153" w:line="217" w:lineRule="auto"/>
              <w:ind w:left="212"/>
            </w:pPr>
            <w:r>
              <w:rPr>
                <w:spacing w:val="-15"/>
              </w:rPr>
              <w:t>台州</w:t>
            </w:r>
          </w:p>
        </w:tc>
        <w:tc>
          <w:tcPr>
            <w:tcW w:w="793" w:type="dxa"/>
            <w:vAlign w:val="top"/>
          </w:tcPr>
          <w:p w14:paraId="1465BA1F">
            <w:pPr>
              <w:pStyle w:val="7"/>
              <w:spacing w:before="146" w:line="237" w:lineRule="auto"/>
              <w:ind w:left="186" w:leftChars="0"/>
            </w:pPr>
            <w:r>
              <w:rPr>
                <w:spacing w:val="-9"/>
              </w:rPr>
              <w:t>2022</w:t>
            </w:r>
          </w:p>
        </w:tc>
        <w:tc>
          <w:tcPr>
            <w:tcW w:w="791" w:type="dxa"/>
            <w:vAlign w:val="top"/>
          </w:tcPr>
          <w:p w14:paraId="2556BFAA">
            <w:pPr>
              <w:pStyle w:val="7"/>
              <w:spacing w:before="153" w:line="238" w:lineRule="auto"/>
              <w:ind w:left="347"/>
            </w:pPr>
            <w:r>
              <w:t>4</w:t>
            </w:r>
          </w:p>
        </w:tc>
        <w:tc>
          <w:tcPr>
            <w:tcW w:w="794" w:type="dxa"/>
            <w:vAlign w:val="top"/>
          </w:tcPr>
          <w:p w14:paraId="00BE786B">
            <w:pPr>
              <w:pStyle w:val="7"/>
              <w:spacing w:before="153" w:line="219" w:lineRule="auto"/>
              <w:ind w:left="229"/>
            </w:pPr>
            <w:r>
              <w:rPr>
                <w:spacing w:val="-19"/>
              </w:rPr>
              <w:t>良好</w:t>
            </w:r>
          </w:p>
        </w:tc>
        <w:tc>
          <w:tcPr>
            <w:tcW w:w="1302" w:type="dxa"/>
            <w:vAlign w:val="top"/>
          </w:tcPr>
          <w:p w14:paraId="518F94B0">
            <w:pPr>
              <w:pStyle w:val="7"/>
              <w:spacing w:before="153" w:line="218" w:lineRule="auto"/>
              <w:ind w:left="232"/>
            </w:pPr>
            <w:r>
              <w:rPr>
                <w:spacing w:val="-15"/>
              </w:rPr>
              <w:t>模板加工</w:t>
            </w:r>
          </w:p>
        </w:tc>
        <w:tc>
          <w:tcPr>
            <w:tcW w:w="727" w:type="dxa"/>
            <w:vMerge w:val="continue"/>
            <w:tcBorders>
              <w:top w:val="nil"/>
              <w:bottom w:val="nil"/>
              <w:right w:val="single" w:color="5B9BD5" w:sz="4" w:space="0"/>
            </w:tcBorders>
            <w:vAlign w:val="top"/>
          </w:tcPr>
          <w:p w14:paraId="16FCF894">
            <w:pPr>
              <w:rPr>
                <w:rFonts w:ascii="Arial"/>
                <w:sz w:val="21"/>
              </w:rPr>
            </w:pPr>
          </w:p>
        </w:tc>
      </w:tr>
      <w:tr w14:paraId="215E7C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6" w:hRule="atLeast"/>
        </w:trPr>
        <w:tc>
          <w:tcPr>
            <w:tcW w:w="774" w:type="dxa"/>
            <w:gridSpan w:val="2"/>
            <w:tcBorders>
              <w:left w:val="single" w:color="000000" w:sz="4" w:space="0"/>
            </w:tcBorders>
            <w:vAlign w:val="top"/>
          </w:tcPr>
          <w:p w14:paraId="54C04511">
            <w:pPr>
              <w:pStyle w:val="7"/>
              <w:spacing w:before="153" w:line="237" w:lineRule="auto"/>
              <w:ind w:left="304"/>
            </w:pPr>
            <w:r>
              <w:rPr>
                <w:spacing w:val="-14"/>
              </w:rPr>
              <w:t>17</w:t>
            </w:r>
          </w:p>
        </w:tc>
        <w:tc>
          <w:tcPr>
            <w:tcW w:w="1657" w:type="dxa"/>
            <w:vAlign w:val="top"/>
          </w:tcPr>
          <w:p w14:paraId="63B39337">
            <w:pPr>
              <w:pStyle w:val="7"/>
              <w:spacing w:before="153" w:line="219" w:lineRule="auto"/>
              <w:ind w:left="404"/>
            </w:pPr>
            <w:r>
              <w:rPr>
                <w:spacing w:val="-16"/>
              </w:rPr>
              <w:t>手提电锯</w:t>
            </w:r>
          </w:p>
        </w:tc>
        <w:tc>
          <w:tcPr>
            <w:tcW w:w="1559" w:type="dxa"/>
            <w:vAlign w:val="top"/>
          </w:tcPr>
          <w:p w14:paraId="54EACC19">
            <w:pPr>
              <w:pStyle w:val="7"/>
              <w:spacing w:before="198" w:line="178" w:lineRule="auto"/>
              <w:ind w:left="556"/>
            </w:pPr>
            <w:r>
              <w:rPr>
                <w:spacing w:val="-7"/>
              </w:rPr>
              <w:t>MJ50</w:t>
            </w:r>
          </w:p>
        </w:tc>
        <w:tc>
          <w:tcPr>
            <w:tcW w:w="649" w:type="dxa"/>
            <w:vAlign w:val="top"/>
          </w:tcPr>
          <w:p w14:paraId="6CDF0571">
            <w:pPr>
              <w:pStyle w:val="7"/>
              <w:spacing w:before="154" w:line="238" w:lineRule="auto"/>
              <w:ind w:left="274"/>
            </w:pPr>
            <w:r>
              <w:t>2</w:t>
            </w:r>
          </w:p>
        </w:tc>
        <w:tc>
          <w:tcPr>
            <w:tcW w:w="793" w:type="dxa"/>
            <w:vAlign w:val="top"/>
          </w:tcPr>
          <w:p w14:paraId="7BFFA239">
            <w:pPr>
              <w:pStyle w:val="7"/>
              <w:spacing w:before="153" w:line="217" w:lineRule="auto"/>
              <w:ind w:left="212"/>
            </w:pPr>
            <w:r>
              <w:rPr>
                <w:spacing w:val="-15"/>
              </w:rPr>
              <w:t>台州</w:t>
            </w:r>
          </w:p>
        </w:tc>
        <w:tc>
          <w:tcPr>
            <w:tcW w:w="793" w:type="dxa"/>
            <w:vAlign w:val="top"/>
          </w:tcPr>
          <w:p w14:paraId="17BF9515">
            <w:pPr>
              <w:pStyle w:val="7"/>
              <w:spacing w:before="145" w:line="237" w:lineRule="auto"/>
              <w:ind w:left="186" w:leftChars="0"/>
            </w:pPr>
            <w:r>
              <w:rPr>
                <w:spacing w:val="-9"/>
              </w:rPr>
              <w:t>202</w:t>
            </w:r>
            <w:r>
              <w:rPr>
                <w:rFonts w:hint="eastAsia"/>
                <w:spacing w:val="-9"/>
                <w:lang w:val="en-US" w:eastAsia="zh-CN"/>
              </w:rPr>
              <w:t>1</w:t>
            </w:r>
          </w:p>
        </w:tc>
        <w:tc>
          <w:tcPr>
            <w:tcW w:w="791" w:type="dxa"/>
            <w:vAlign w:val="top"/>
          </w:tcPr>
          <w:p w14:paraId="66A54D7E">
            <w:pPr>
              <w:pStyle w:val="7"/>
              <w:spacing w:before="153" w:line="236" w:lineRule="auto"/>
              <w:ind w:left="255"/>
            </w:pPr>
            <w:r>
              <w:rPr>
                <w:spacing w:val="-12"/>
              </w:rPr>
              <w:t>1.1</w:t>
            </w:r>
          </w:p>
        </w:tc>
        <w:tc>
          <w:tcPr>
            <w:tcW w:w="794" w:type="dxa"/>
            <w:vAlign w:val="top"/>
          </w:tcPr>
          <w:p w14:paraId="3D4C3EC3">
            <w:pPr>
              <w:pStyle w:val="7"/>
              <w:spacing w:before="153" w:line="219" w:lineRule="auto"/>
              <w:ind w:left="229"/>
            </w:pPr>
            <w:r>
              <w:rPr>
                <w:spacing w:val="-19"/>
              </w:rPr>
              <w:t>良好</w:t>
            </w:r>
          </w:p>
        </w:tc>
        <w:tc>
          <w:tcPr>
            <w:tcW w:w="1302" w:type="dxa"/>
            <w:vAlign w:val="top"/>
          </w:tcPr>
          <w:p w14:paraId="26726A90">
            <w:pPr>
              <w:pStyle w:val="7"/>
              <w:spacing w:before="153" w:line="218" w:lineRule="auto"/>
              <w:ind w:left="232"/>
            </w:pPr>
            <w:r>
              <w:rPr>
                <w:spacing w:val="-15"/>
              </w:rPr>
              <w:t>模板加工</w:t>
            </w:r>
          </w:p>
        </w:tc>
        <w:tc>
          <w:tcPr>
            <w:tcW w:w="727" w:type="dxa"/>
            <w:vMerge w:val="continue"/>
            <w:tcBorders>
              <w:top w:val="nil"/>
              <w:bottom w:val="nil"/>
              <w:right w:val="single" w:color="5B9BD5" w:sz="4" w:space="0"/>
            </w:tcBorders>
            <w:vAlign w:val="top"/>
          </w:tcPr>
          <w:p w14:paraId="30F8D76F">
            <w:pPr>
              <w:rPr>
                <w:rFonts w:ascii="Arial"/>
                <w:sz w:val="21"/>
              </w:rPr>
            </w:pPr>
          </w:p>
        </w:tc>
      </w:tr>
      <w:tr w14:paraId="39C598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4" w:hRule="atLeast"/>
        </w:trPr>
        <w:tc>
          <w:tcPr>
            <w:tcW w:w="179" w:type="dxa"/>
            <w:tcBorders>
              <w:left w:val="single" w:color="1C456A" w:sz="4" w:space="0"/>
              <w:bottom w:val="single" w:color="1C456A" w:sz="4" w:space="0"/>
              <w:right w:val="nil"/>
            </w:tcBorders>
            <w:vAlign w:val="top"/>
          </w:tcPr>
          <w:p w14:paraId="06B73CA7">
            <w:pPr>
              <w:rPr>
                <w:rFonts w:ascii="Arial"/>
                <w:sz w:val="21"/>
              </w:rPr>
            </w:pPr>
            <w:r>
              <w:pict>
                <v:shape id="_x0000_s4728" o:spid="_x0000_s4728" style="position:absolute;left:0pt;margin-left:-0.25pt;margin-top:36.25pt;height:0.75pt;width:2.2pt;mso-position-horizontal-relative:page;mso-position-vertical-relative:page;z-index:252416000;mso-width-relative:page;mso-height-relative:page;" fillcolor="#5B9BD5" filled="t" stroked="f" coordsize="44,15" path="m0,14l43,14,43,0,0,0,0,14xe">
                  <v:path/>
                  <v:fill on="t" focussize="0,0"/>
                  <v:stroke on="f"/>
                  <v:imagedata o:title=""/>
                  <o:lock v:ext="edit"/>
                </v:shape>
              </w:pict>
            </w:r>
          </w:p>
        </w:tc>
        <w:tc>
          <w:tcPr>
            <w:tcW w:w="595" w:type="dxa"/>
            <w:tcBorders>
              <w:left w:val="nil"/>
              <w:bottom w:val="single" w:color="1C456A" w:sz="4" w:space="0"/>
            </w:tcBorders>
            <w:vAlign w:val="top"/>
          </w:tcPr>
          <w:p w14:paraId="5D26E465">
            <w:pPr>
              <w:pStyle w:val="7"/>
              <w:spacing w:before="153" w:line="237" w:lineRule="auto"/>
              <w:ind w:left="130"/>
            </w:pPr>
            <w:r>
              <w:rPr>
                <w:spacing w:val="-14"/>
              </w:rPr>
              <w:t>18</w:t>
            </w:r>
          </w:p>
        </w:tc>
        <w:tc>
          <w:tcPr>
            <w:tcW w:w="1657" w:type="dxa"/>
            <w:tcBorders>
              <w:bottom w:val="single" w:color="000000" w:sz="4" w:space="0"/>
            </w:tcBorders>
            <w:vAlign w:val="top"/>
          </w:tcPr>
          <w:p w14:paraId="240C0131">
            <w:pPr>
              <w:pStyle w:val="7"/>
              <w:spacing w:before="153" w:line="219" w:lineRule="auto"/>
              <w:ind w:left="512"/>
            </w:pPr>
            <w:r>
              <w:rPr>
                <w:spacing w:val="-14"/>
              </w:rPr>
              <w:t>潜水泵</w:t>
            </w:r>
          </w:p>
        </w:tc>
        <w:tc>
          <w:tcPr>
            <w:tcW w:w="1559" w:type="dxa"/>
            <w:tcBorders>
              <w:bottom w:val="single" w:color="000000" w:sz="4" w:space="0"/>
            </w:tcBorders>
            <w:vAlign w:val="top"/>
          </w:tcPr>
          <w:p w14:paraId="74D03F97">
            <w:pPr>
              <w:pStyle w:val="7"/>
              <w:spacing w:before="153" w:line="237" w:lineRule="auto"/>
              <w:ind w:left="396"/>
            </w:pPr>
            <w:r>
              <w:rPr>
                <w:spacing w:val="-9"/>
              </w:rPr>
              <w:t>PX10-34</w:t>
            </w:r>
          </w:p>
        </w:tc>
        <w:tc>
          <w:tcPr>
            <w:tcW w:w="649" w:type="dxa"/>
            <w:tcBorders>
              <w:bottom w:val="single" w:color="000000" w:sz="4" w:space="0"/>
            </w:tcBorders>
            <w:vAlign w:val="top"/>
          </w:tcPr>
          <w:p w14:paraId="16506EA6">
            <w:pPr>
              <w:pStyle w:val="7"/>
              <w:spacing w:before="153" w:line="237" w:lineRule="auto"/>
              <w:ind w:left="234"/>
            </w:pPr>
            <w:r>
              <w:rPr>
                <w:spacing w:val="-10"/>
              </w:rPr>
              <w:t>10</w:t>
            </w:r>
          </w:p>
        </w:tc>
        <w:tc>
          <w:tcPr>
            <w:tcW w:w="793" w:type="dxa"/>
            <w:tcBorders>
              <w:bottom w:val="single" w:color="000000" w:sz="4" w:space="0"/>
            </w:tcBorders>
            <w:vAlign w:val="top"/>
          </w:tcPr>
          <w:p w14:paraId="7F005BE5">
            <w:pPr>
              <w:pStyle w:val="7"/>
              <w:spacing w:before="154" w:line="218" w:lineRule="auto"/>
              <w:ind w:left="188"/>
            </w:pPr>
            <w:r>
              <w:rPr>
                <w:spacing w:val="-10"/>
              </w:rPr>
              <w:t>杭州</w:t>
            </w:r>
          </w:p>
        </w:tc>
        <w:tc>
          <w:tcPr>
            <w:tcW w:w="793" w:type="dxa"/>
            <w:tcBorders>
              <w:bottom w:val="single" w:color="000000" w:sz="4" w:space="0"/>
            </w:tcBorders>
            <w:vAlign w:val="top"/>
          </w:tcPr>
          <w:p w14:paraId="40890B5A">
            <w:pPr>
              <w:pStyle w:val="7"/>
              <w:spacing w:before="146" w:line="237" w:lineRule="auto"/>
              <w:ind w:left="186" w:leftChars="0"/>
            </w:pPr>
            <w:r>
              <w:rPr>
                <w:spacing w:val="-9"/>
              </w:rPr>
              <w:t>2022</w:t>
            </w:r>
          </w:p>
        </w:tc>
        <w:tc>
          <w:tcPr>
            <w:tcW w:w="791" w:type="dxa"/>
            <w:tcBorders>
              <w:bottom w:val="single" w:color="000000" w:sz="4" w:space="0"/>
            </w:tcBorders>
            <w:vAlign w:val="top"/>
          </w:tcPr>
          <w:p w14:paraId="6E238DE9">
            <w:pPr>
              <w:pStyle w:val="7"/>
              <w:spacing w:before="153" w:line="237" w:lineRule="auto"/>
              <w:ind w:left="311"/>
            </w:pPr>
            <w:r>
              <w:rPr>
                <w:spacing w:val="-10"/>
              </w:rPr>
              <w:t>15</w:t>
            </w:r>
          </w:p>
        </w:tc>
        <w:tc>
          <w:tcPr>
            <w:tcW w:w="794" w:type="dxa"/>
            <w:tcBorders>
              <w:bottom w:val="single" w:color="000000" w:sz="4" w:space="0"/>
            </w:tcBorders>
            <w:vAlign w:val="top"/>
          </w:tcPr>
          <w:p w14:paraId="4BD6EA40">
            <w:pPr>
              <w:pStyle w:val="7"/>
              <w:spacing w:before="153" w:line="219" w:lineRule="auto"/>
              <w:ind w:left="229"/>
            </w:pPr>
            <w:r>
              <w:rPr>
                <w:spacing w:val="-19"/>
              </w:rPr>
              <w:t>良好</w:t>
            </w:r>
          </w:p>
        </w:tc>
        <w:tc>
          <w:tcPr>
            <w:tcW w:w="1302" w:type="dxa"/>
            <w:tcBorders>
              <w:bottom w:val="single" w:color="000000" w:sz="4" w:space="0"/>
            </w:tcBorders>
            <w:vAlign w:val="top"/>
          </w:tcPr>
          <w:p w14:paraId="06B3749C">
            <w:pPr>
              <w:pStyle w:val="7"/>
              <w:spacing w:before="153" w:line="219" w:lineRule="auto"/>
              <w:ind w:left="448"/>
            </w:pPr>
            <w:r>
              <w:rPr>
                <w:spacing w:val="-10"/>
              </w:rPr>
              <w:t>抽水</w:t>
            </w:r>
          </w:p>
        </w:tc>
        <w:tc>
          <w:tcPr>
            <w:tcW w:w="727" w:type="dxa"/>
            <w:vMerge w:val="continue"/>
            <w:tcBorders>
              <w:top w:val="nil"/>
              <w:bottom w:val="single" w:color="5B9BD5" w:sz="4" w:space="0"/>
              <w:right w:val="single" w:color="5B9BD5" w:sz="4" w:space="0"/>
            </w:tcBorders>
            <w:vAlign w:val="top"/>
          </w:tcPr>
          <w:p w14:paraId="778CA866">
            <w:pPr>
              <w:rPr>
                <w:rFonts w:ascii="Arial"/>
                <w:sz w:val="21"/>
              </w:rPr>
            </w:pPr>
          </w:p>
        </w:tc>
      </w:tr>
    </w:tbl>
    <w:p w14:paraId="7D5E0FD5">
      <w:pPr>
        <w:rPr>
          <w:rFonts w:ascii="Arial"/>
          <w:sz w:val="21"/>
        </w:rPr>
      </w:pPr>
    </w:p>
    <w:p w14:paraId="31E91E1C">
      <w:pPr>
        <w:rPr>
          <w:rFonts w:ascii="Arial" w:hAnsi="Arial" w:eastAsia="Arial" w:cs="Arial"/>
          <w:sz w:val="21"/>
          <w:szCs w:val="21"/>
        </w:rPr>
        <w:sectPr>
          <w:footerReference r:id="rId432" w:type="default"/>
          <w:pgSz w:w="11907" w:h="16839"/>
          <w:pgMar w:top="933" w:right="4" w:bottom="1038" w:left="0" w:header="478" w:footer="357" w:gutter="0"/>
          <w:pgBorders>
            <w:top w:val="none" w:sz="0" w:space="0"/>
            <w:left w:val="none" w:sz="0" w:space="0"/>
            <w:bottom w:val="none" w:sz="0" w:space="0"/>
            <w:right w:val="none" w:sz="0" w:space="0"/>
          </w:pgBorders>
          <w:cols w:space="720" w:num="1"/>
        </w:sectPr>
      </w:pPr>
    </w:p>
    <w:p w14:paraId="15CDEA18">
      <w:pPr>
        <w:spacing w:line="235" w:lineRule="exact"/>
      </w:pPr>
    </w:p>
    <w:tbl>
      <w:tblPr>
        <w:tblStyle w:val="6"/>
        <w:tblW w:w="9839" w:type="dxa"/>
        <w:tblInd w:w="103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72"/>
        <w:gridCol w:w="600"/>
        <w:gridCol w:w="1657"/>
        <w:gridCol w:w="1559"/>
        <w:gridCol w:w="650"/>
        <w:gridCol w:w="794"/>
        <w:gridCol w:w="794"/>
        <w:gridCol w:w="791"/>
        <w:gridCol w:w="794"/>
        <w:gridCol w:w="1302"/>
        <w:gridCol w:w="726"/>
      </w:tblGrid>
      <w:tr w14:paraId="441014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9" w:hRule="atLeast"/>
        </w:trPr>
        <w:tc>
          <w:tcPr>
            <w:tcW w:w="772" w:type="dxa"/>
            <w:gridSpan w:val="2"/>
            <w:tcBorders>
              <w:top w:val="single" w:color="000000" w:sz="4" w:space="0"/>
              <w:left w:val="single" w:color="000000" w:sz="4" w:space="0"/>
            </w:tcBorders>
            <w:vAlign w:val="top"/>
          </w:tcPr>
          <w:p w14:paraId="180B2F50">
            <w:pPr>
              <w:pStyle w:val="7"/>
              <w:spacing w:before="177" w:line="237" w:lineRule="auto"/>
              <w:ind w:left="304"/>
            </w:pPr>
            <w:r>
              <w:rPr>
                <w:spacing w:val="-10"/>
              </w:rPr>
              <w:t>19</w:t>
            </w:r>
          </w:p>
        </w:tc>
        <w:tc>
          <w:tcPr>
            <w:tcW w:w="1657" w:type="dxa"/>
            <w:tcBorders>
              <w:top w:val="single" w:color="000000" w:sz="4" w:space="0"/>
            </w:tcBorders>
            <w:vAlign w:val="top"/>
          </w:tcPr>
          <w:p w14:paraId="1DD833CB">
            <w:pPr>
              <w:pStyle w:val="7"/>
              <w:spacing w:before="177" w:line="218" w:lineRule="auto"/>
              <w:ind w:left="524"/>
            </w:pPr>
            <w:r>
              <w:rPr>
                <w:spacing w:val="-17"/>
              </w:rPr>
              <w:t>空压机</w:t>
            </w:r>
          </w:p>
        </w:tc>
        <w:tc>
          <w:tcPr>
            <w:tcW w:w="1559" w:type="dxa"/>
            <w:tcBorders>
              <w:top w:val="single" w:color="000000" w:sz="4" w:space="0"/>
            </w:tcBorders>
            <w:vAlign w:val="top"/>
          </w:tcPr>
          <w:p w14:paraId="52D1EB1C">
            <w:pPr>
              <w:pStyle w:val="7"/>
              <w:spacing w:before="177" w:line="237" w:lineRule="auto"/>
              <w:ind w:left="621"/>
            </w:pPr>
            <w:r>
              <w:rPr>
                <w:spacing w:val="-8"/>
              </w:rPr>
              <w:t>9m3</w:t>
            </w:r>
          </w:p>
        </w:tc>
        <w:tc>
          <w:tcPr>
            <w:tcW w:w="650" w:type="dxa"/>
            <w:tcBorders>
              <w:top w:val="single" w:color="000000" w:sz="4" w:space="0"/>
            </w:tcBorders>
            <w:vAlign w:val="top"/>
          </w:tcPr>
          <w:p w14:paraId="082B5E87">
            <w:pPr>
              <w:pStyle w:val="7"/>
              <w:spacing w:before="177" w:line="238" w:lineRule="auto"/>
              <w:ind w:left="272"/>
            </w:pPr>
            <w:r>
              <w:t>4</w:t>
            </w:r>
          </w:p>
        </w:tc>
        <w:tc>
          <w:tcPr>
            <w:tcW w:w="794" w:type="dxa"/>
            <w:tcBorders>
              <w:top w:val="single" w:color="000000" w:sz="4" w:space="0"/>
            </w:tcBorders>
            <w:vAlign w:val="top"/>
          </w:tcPr>
          <w:p w14:paraId="68121F67">
            <w:pPr>
              <w:pStyle w:val="7"/>
              <w:spacing w:before="177" w:line="220" w:lineRule="auto"/>
              <w:ind w:left="212"/>
            </w:pPr>
            <w:r>
              <w:rPr>
                <w:spacing w:val="-15"/>
              </w:rPr>
              <w:t>山东</w:t>
            </w:r>
          </w:p>
        </w:tc>
        <w:tc>
          <w:tcPr>
            <w:tcW w:w="794" w:type="dxa"/>
            <w:tcBorders>
              <w:top w:val="single" w:color="000000" w:sz="4" w:space="0"/>
            </w:tcBorders>
            <w:vAlign w:val="top"/>
          </w:tcPr>
          <w:p w14:paraId="0951CE7D">
            <w:pPr>
              <w:pStyle w:val="7"/>
              <w:spacing w:before="145" w:line="237" w:lineRule="auto"/>
              <w:ind w:left="186" w:leftChars="0"/>
            </w:pPr>
            <w:r>
              <w:rPr>
                <w:spacing w:val="-9"/>
              </w:rPr>
              <w:t>202</w:t>
            </w:r>
            <w:r>
              <w:rPr>
                <w:rFonts w:hint="eastAsia"/>
                <w:spacing w:val="-9"/>
                <w:lang w:val="en-US" w:eastAsia="zh-CN"/>
              </w:rPr>
              <w:t>1</w:t>
            </w:r>
          </w:p>
        </w:tc>
        <w:tc>
          <w:tcPr>
            <w:tcW w:w="791" w:type="dxa"/>
            <w:tcBorders>
              <w:top w:val="single" w:color="000000" w:sz="4" w:space="0"/>
            </w:tcBorders>
            <w:vAlign w:val="top"/>
          </w:tcPr>
          <w:p w14:paraId="0D769B4B">
            <w:pPr>
              <w:pStyle w:val="7"/>
              <w:spacing w:before="177" w:line="236" w:lineRule="auto"/>
              <w:ind w:left="184"/>
            </w:pPr>
            <w:r>
              <w:rPr>
                <w:spacing w:val="-9"/>
              </w:rPr>
              <w:t>22.3</w:t>
            </w:r>
          </w:p>
        </w:tc>
        <w:tc>
          <w:tcPr>
            <w:tcW w:w="794" w:type="dxa"/>
            <w:tcBorders>
              <w:top w:val="single" w:color="000000" w:sz="4" w:space="0"/>
            </w:tcBorders>
            <w:vAlign w:val="top"/>
          </w:tcPr>
          <w:p w14:paraId="7CC91454">
            <w:pPr>
              <w:pStyle w:val="7"/>
              <w:spacing w:before="177" w:line="219" w:lineRule="auto"/>
              <w:ind w:left="228"/>
            </w:pPr>
            <w:r>
              <w:rPr>
                <w:spacing w:val="-19"/>
              </w:rPr>
              <w:t>良好</w:t>
            </w:r>
          </w:p>
        </w:tc>
        <w:tc>
          <w:tcPr>
            <w:tcW w:w="1302" w:type="dxa"/>
            <w:tcBorders>
              <w:top w:val="single" w:color="000000" w:sz="4" w:space="0"/>
            </w:tcBorders>
            <w:vAlign w:val="top"/>
          </w:tcPr>
          <w:p w14:paraId="2D79B8E2">
            <w:pPr>
              <w:pStyle w:val="7"/>
              <w:spacing w:before="176" w:line="220" w:lineRule="auto"/>
              <w:ind w:left="245"/>
            </w:pPr>
            <w:r>
              <w:rPr>
                <w:spacing w:val="-19"/>
              </w:rPr>
              <w:t>管道试验</w:t>
            </w:r>
          </w:p>
        </w:tc>
        <w:tc>
          <w:tcPr>
            <w:tcW w:w="726" w:type="dxa"/>
            <w:vMerge w:val="restart"/>
            <w:tcBorders>
              <w:top w:val="single" w:color="5B9BD5" w:sz="4" w:space="0"/>
              <w:bottom w:val="nil"/>
              <w:right w:val="single" w:color="5B9BD5" w:sz="4" w:space="0"/>
            </w:tcBorders>
            <w:vAlign w:val="top"/>
          </w:tcPr>
          <w:p w14:paraId="2F80A75C">
            <w:pPr>
              <w:spacing w:line="355" w:lineRule="auto"/>
              <w:rPr>
                <w:rFonts w:ascii="Arial"/>
                <w:sz w:val="21"/>
              </w:rPr>
            </w:pPr>
            <w:r>
              <w:pict>
                <v:shape id="_x0000_s4730" o:spid="_x0000_s4730" style="position:absolute;left:0pt;margin-left:34.4pt;margin-top:711.9pt;height:0.75pt;width:2.2pt;mso-position-horizontal-relative:page;mso-position-vertical-relative:page;z-index:252418048;mso-width-relative:page;mso-height-relative:page;" fillcolor="#5B9BD5" filled="t" stroked="f" coordsize="44,15" path="m0,14l43,14,43,0,0,0,0,14xe">
                  <v:path/>
                  <v:fill on="t" focussize="0,0"/>
                  <v:stroke on="f"/>
                  <v:imagedata o:title=""/>
                  <o:lock v:ext="edit"/>
                </v:shape>
              </w:pict>
            </w:r>
          </w:p>
          <w:p w14:paraId="392479CA">
            <w:pPr>
              <w:spacing w:line="355" w:lineRule="auto"/>
              <w:rPr>
                <w:rFonts w:ascii="Arial"/>
                <w:sz w:val="21"/>
              </w:rPr>
            </w:pPr>
          </w:p>
          <w:p w14:paraId="0ED2086D">
            <w:pPr>
              <w:spacing w:line="68" w:lineRule="exact"/>
              <w:ind w:firstLine="685"/>
            </w:pPr>
            <w:r>
              <w:rPr>
                <w:position w:val="-1"/>
              </w:rPr>
              <w:pict>
                <v:group id="_x0000_s4732" o:spid="_x0000_s4732" o:spt="203" style="height:3.4pt;width:1.45pt;" coordsize="29,68">
                  <o:lock v:ext="edit"/>
                  <v:shape id="_x0000_s4734" o:spid="_x0000_s4734" style="position:absolute;left:14;top:0;height:68;width:15;" fillcolor="#20507B" filled="t" stroked="f" coordsize="15,68" path="m0,67l14,67,14,0,0,0,0,67xe">
                    <v:path/>
                    <v:fill on="t" focussize="0,0"/>
                    <v:stroke on="f"/>
                    <v:imagedata o:title=""/>
                    <o:lock v:ext="edit"/>
                  </v:shape>
                  <v:shape id="_x0000_s4736" o:spid="_x0000_s4736" style="position:absolute;left:0;top:0;height:68;width:15;" fillcolor="#1C456A" filled="t" stroked="f" coordsize="15,68" path="m0,67l14,67,14,0,0,0,0,67xe">
                    <v:path/>
                    <v:fill on="t" focussize="0,0"/>
                    <v:stroke on="f"/>
                    <v:imagedata o:title=""/>
                    <o:lock v:ext="edit"/>
                  </v:shape>
                  <w10:wrap type="none"/>
                  <w10:anchorlock/>
                </v:group>
              </w:pict>
            </w:r>
          </w:p>
          <w:p w14:paraId="72D7B24E">
            <w:pPr>
              <w:spacing w:line="307" w:lineRule="auto"/>
              <w:rPr>
                <w:rFonts w:ascii="Arial"/>
                <w:sz w:val="21"/>
              </w:rPr>
            </w:pPr>
          </w:p>
          <w:p w14:paraId="0FD0785A">
            <w:pPr>
              <w:spacing w:line="308" w:lineRule="auto"/>
              <w:rPr>
                <w:rFonts w:ascii="Arial"/>
                <w:sz w:val="21"/>
              </w:rPr>
            </w:pPr>
          </w:p>
          <w:p w14:paraId="369A0E5D">
            <w:pPr>
              <w:spacing w:line="67" w:lineRule="exact"/>
              <w:ind w:firstLine="685"/>
            </w:pPr>
            <w:r>
              <w:rPr>
                <w:position w:val="-1"/>
              </w:rPr>
              <w:pict>
                <v:group id="_x0000_s4738" o:spid="_x0000_s4738" o:spt="203" style="height:3.4pt;width:1.45pt;" coordsize="29,68">
                  <o:lock v:ext="edit"/>
                  <v:shape id="_x0000_s4740" o:spid="_x0000_s4740" style="position:absolute;left:14;top:0;height:68;width:15;" fillcolor="#20507B" filled="t" stroked="f" coordsize="15,68" path="m0,67l14,67,14,0,0,0,0,67xe">
                    <v:path/>
                    <v:fill on="t" focussize="0,0"/>
                    <v:stroke on="f"/>
                    <v:imagedata o:title=""/>
                    <o:lock v:ext="edit"/>
                  </v:shape>
                  <v:shape id="_x0000_s4742" o:spid="_x0000_s4742" style="position:absolute;left:0;top:0;height:68;width:15;" fillcolor="#1C456A" filled="t" stroked="f" coordsize="15,68" path="m0,67l14,67,14,0,0,0,0,67xe">
                    <v:path/>
                    <v:fill on="t" focussize="0,0"/>
                    <v:stroke on="f"/>
                    <v:imagedata o:title=""/>
                    <o:lock v:ext="edit"/>
                  </v:shape>
                  <w10:wrap type="none"/>
                  <w10:anchorlock/>
                </v:group>
              </w:pict>
            </w:r>
          </w:p>
          <w:p w14:paraId="3C0807EC">
            <w:pPr>
              <w:spacing w:line="310" w:lineRule="auto"/>
              <w:rPr>
                <w:rFonts w:ascii="Arial"/>
                <w:sz w:val="21"/>
              </w:rPr>
            </w:pPr>
          </w:p>
          <w:p w14:paraId="5DB20472">
            <w:pPr>
              <w:spacing w:line="310" w:lineRule="auto"/>
              <w:rPr>
                <w:rFonts w:ascii="Arial"/>
                <w:sz w:val="21"/>
              </w:rPr>
            </w:pPr>
          </w:p>
          <w:p w14:paraId="0E5B50D9">
            <w:pPr>
              <w:spacing w:line="67" w:lineRule="exact"/>
              <w:ind w:firstLine="685"/>
            </w:pPr>
            <w:r>
              <w:rPr>
                <w:position w:val="-1"/>
              </w:rPr>
              <w:pict>
                <v:group id="_x0000_s4744" o:spid="_x0000_s4744" o:spt="203" style="height:3.4pt;width:1.45pt;" coordsize="29,68">
                  <o:lock v:ext="edit"/>
                  <v:shape id="_x0000_s4746" o:spid="_x0000_s4746" style="position:absolute;left:14;top:0;height:68;width:15;" fillcolor="#20507B" filled="t" stroked="f" coordsize="15,68" path="m0,67l14,67,14,0,0,0,0,67xe">
                    <v:path/>
                    <v:fill on="t" focussize="0,0"/>
                    <v:stroke on="f"/>
                    <v:imagedata o:title=""/>
                    <o:lock v:ext="edit"/>
                  </v:shape>
                  <v:shape id="_x0000_s4748" o:spid="_x0000_s4748" style="position:absolute;left:0;top:0;height:68;width:15;" fillcolor="#1C456A" filled="t" stroked="f" coordsize="15,68" path="m0,67l14,67,14,0,0,0,0,67xe">
                    <v:path/>
                    <v:fill on="t" focussize="0,0"/>
                    <v:stroke on="f"/>
                    <v:imagedata o:title=""/>
                    <o:lock v:ext="edit"/>
                  </v:shape>
                  <w10:wrap type="none"/>
                  <w10:anchorlock/>
                </v:group>
              </w:pict>
            </w:r>
          </w:p>
          <w:p w14:paraId="711816EF">
            <w:pPr>
              <w:spacing w:line="310" w:lineRule="auto"/>
              <w:rPr>
                <w:rFonts w:ascii="Arial"/>
                <w:sz w:val="21"/>
              </w:rPr>
            </w:pPr>
          </w:p>
          <w:p w14:paraId="1A4F80AB">
            <w:pPr>
              <w:spacing w:line="310" w:lineRule="auto"/>
              <w:rPr>
                <w:rFonts w:ascii="Arial"/>
                <w:sz w:val="21"/>
              </w:rPr>
            </w:pPr>
          </w:p>
          <w:p w14:paraId="2B7E9316">
            <w:pPr>
              <w:spacing w:line="67" w:lineRule="exact"/>
              <w:ind w:firstLine="685"/>
            </w:pPr>
            <w:r>
              <w:rPr>
                <w:position w:val="-1"/>
              </w:rPr>
              <w:pict>
                <v:group id="_x0000_s4750" o:spid="_x0000_s4750" o:spt="203" style="height:3.4pt;width:1.45pt;" coordsize="29,68">
                  <o:lock v:ext="edit"/>
                  <v:shape id="_x0000_s4752" o:spid="_x0000_s4752" style="position:absolute;left:14;top:0;height:68;width:15;" fillcolor="#20507B" filled="t" stroked="f" coordsize="15,68" path="m0,67l14,67,14,0,0,0,0,67xe">
                    <v:path/>
                    <v:fill on="t" focussize="0,0"/>
                    <v:stroke on="f"/>
                    <v:imagedata o:title=""/>
                    <o:lock v:ext="edit"/>
                  </v:shape>
                  <v:shape id="_x0000_s4754" o:spid="_x0000_s4754" style="position:absolute;left:0;top:0;height:68;width:15;" fillcolor="#1C456A" filled="t" stroked="f" coordsize="15,68" path="m0,67l14,67,14,0,0,0,0,67xe">
                    <v:path/>
                    <v:fill on="t" focussize="0,0"/>
                    <v:stroke on="f"/>
                    <v:imagedata o:title=""/>
                    <o:lock v:ext="edit"/>
                  </v:shape>
                  <w10:wrap type="none"/>
                  <w10:anchorlock/>
                </v:group>
              </w:pict>
            </w:r>
          </w:p>
          <w:p w14:paraId="2CBF2C95">
            <w:pPr>
              <w:spacing w:line="310" w:lineRule="auto"/>
              <w:rPr>
                <w:rFonts w:ascii="Arial"/>
                <w:sz w:val="21"/>
              </w:rPr>
            </w:pPr>
          </w:p>
          <w:p w14:paraId="7B1E8068">
            <w:pPr>
              <w:spacing w:line="310" w:lineRule="auto"/>
              <w:rPr>
                <w:rFonts w:ascii="Arial"/>
                <w:sz w:val="21"/>
              </w:rPr>
            </w:pPr>
          </w:p>
          <w:p w14:paraId="3986E4EB">
            <w:pPr>
              <w:spacing w:line="67" w:lineRule="exact"/>
              <w:ind w:firstLine="685"/>
            </w:pPr>
            <w:r>
              <w:rPr>
                <w:position w:val="-1"/>
              </w:rPr>
              <w:pict>
                <v:group id="_x0000_s4756" o:spid="_x0000_s4756" o:spt="203" style="height:3.4pt;width:1.45pt;" coordsize="29,68">
                  <o:lock v:ext="edit"/>
                  <v:shape id="_x0000_s4758" o:spid="_x0000_s4758" style="position:absolute;left:14;top:0;height:68;width:15;" fillcolor="#20507B" filled="t" stroked="f" coordsize="15,68" path="m0,67l14,67,14,0,0,0,0,67xe">
                    <v:path/>
                    <v:fill on="t" focussize="0,0"/>
                    <v:stroke on="f"/>
                    <v:imagedata o:title=""/>
                    <o:lock v:ext="edit"/>
                  </v:shape>
                  <v:shape id="_x0000_s4760" o:spid="_x0000_s4760" style="position:absolute;left:0;top:0;height:68;width:15;" fillcolor="#1C456A" filled="t" stroked="f" coordsize="15,68" path="m0,67l14,67,14,0,0,0,0,67xe">
                    <v:path/>
                    <v:fill on="t" focussize="0,0"/>
                    <v:stroke on="f"/>
                    <v:imagedata o:title=""/>
                    <o:lock v:ext="edit"/>
                  </v:shape>
                  <w10:wrap type="none"/>
                  <w10:anchorlock/>
                </v:group>
              </w:pict>
            </w:r>
          </w:p>
          <w:p w14:paraId="074E70B1">
            <w:pPr>
              <w:spacing w:line="308" w:lineRule="auto"/>
              <w:rPr>
                <w:rFonts w:ascii="Arial"/>
                <w:sz w:val="21"/>
              </w:rPr>
            </w:pPr>
          </w:p>
          <w:p w14:paraId="1965D676">
            <w:pPr>
              <w:spacing w:line="309" w:lineRule="auto"/>
              <w:rPr>
                <w:rFonts w:ascii="Arial"/>
                <w:sz w:val="21"/>
              </w:rPr>
            </w:pPr>
          </w:p>
          <w:p w14:paraId="6706730D">
            <w:pPr>
              <w:spacing w:line="68" w:lineRule="exact"/>
              <w:ind w:firstLine="685"/>
            </w:pPr>
            <w:r>
              <w:rPr>
                <w:position w:val="-1"/>
              </w:rPr>
              <w:pict>
                <v:group id="_x0000_s4762" o:spid="_x0000_s4762" o:spt="203" style="height:3.4pt;width:1.45pt;" coordsize="29,68">
                  <o:lock v:ext="edit"/>
                  <v:shape id="_x0000_s4764" o:spid="_x0000_s4764" style="position:absolute;left:14;top:0;height:68;width:15;" fillcolor="#20507B" filled="t" stroked="f" coordsize="15,68" path="m0,67l14,67,14,0,0,0,0,67xe">
                    <v:path/>
                    <v:fill on="t" focussize="0,0"/>
                    <v:stroke on="f"/>
                    <v:imagedata o:title=""/>
                    <o:lock v:ext="edit"/>
                  </v:shape>
                  <v:shape id="_x0000_s4766" o:spid="_x0000_s4766" style="position:absolute;left:0;top:0;height:68;width:15;" fillcolor="#1C456A" filled="t" stroked="f" coordsize="15,68" path="m0,67l14,67,14,0,0,0,0,67xe">
                    <v:path/>
                    <v:fill on="t" focussize="0,0"/>
                    <v:stroke on="f"/>
                    <v:imagedata o:title=""/>
                    <o:lock v:ext="edit"/>
                  </v:shape>
                  <w10:wrap type="none"/>
                  <w10:anchorlock/>
                </v:group>
              </w:pict>
            </w:r>
          </w:p>
          <w:p w14:paraId="45DF77E2">
            <w:pPr>
              <w:spacing w:line="310" w:lineRule="auto"/>
              <w:rPr>
                <w:rFonts w:ascii="Arial"/>
                <w:sz w:val="21"/>
              </w:rPr>
            </w:pPr>
          </w:p>
          <w:p w14:paraId="4D2CF22D">
            <w:pPr>
              <w:spacing w:line="310" w:lineRule="auto"/>
              <w:rPr>
                <w:rFonts w:ascii="Arial"/>
                <w:sz w:val="21"/>
              </w:rPr>
            </w:pPr>
          </w:p>
          <w:p w14:paraId="24184E91">
            <w:pPr>
              <w:spacing w:line="67" w:lineRule="exact"/>
              <w:ind w:firstLine="685"/>
            </w:pPr>
            <w:r>
              <w:rPr>
                <w:position w:val="-1"/>
              </w:rPr>
              <w:pict>
                <v:group id="_x0000_s4768" o:spid="_x0000_s4768" o:spt="203" style="height:3.4pt;width:1.45pt;" coordsize="29,68">
                  <o:lock v:ext="edit"/>
                  <v:shape id="_x0000_s4770" o:spid="_x0000_s4770" style="position:absolute;left:14;top:0;height:68;width:15;" fillcolor="#20507B" filled="t" stroked="f" coordsize="15,68" path="m0,67l14,67,14,0,0,0,0,67xe">
                    <v:path/>
                    <v:fill on="t" focussize="0,0"/>
                    <v:stroke on="f"/>
                    <v:imagedata o:title=""/>
                    <o:lock v:ext="edit"/>
                  </v:shape>
                  <v:shape id="_x0000_s4772" o:spid="_x0000_s4772" style="position:absolute;left:0;top:0;height:68;width:15;" fillcolor="#1C456A" filled="t" stroked="f" coordsize="15,68" path="m0,67l14,67,14,0,0,0,0,67xe">
                    <v:path/>
                    <v:fill on="t" focussize="0,0"/>
                    <v:stroke on="f"/>
                    <v:imagedata o:title=""/>
                    <o:lock v:ext="edit"/>
                  </v:shape>
                  <w10:wrap type="none"/>
                  <w10:anchorlock/>
                </v:group>
              </w:pict>
            </w:r>
          </w:p>
          <w:p w14:paraId="60BDAABF">
            <w:pPr>
              <w:spacing w:line="310" w:lineRule="auto"/>
              <w:rPr>
                <w:rFonts w:ascii="Arial"/>
                <w:sz w:val="21"/>
              </w:rPr>
            </w:pPr>
          </w:p>
          <w:p w14:paraId="759CE1F1">
            <w:pPr>
              <w:spacing w:line="310" w:lineRule="auto"/>
              <w:rPr>
                <w:rFonts w:ascii="Arial"/>
                <w:sz w:val="21"/>
              </w:rPr>
            </w:pPr>
          </w:p>
          <w:p w14:paraId="5104D642">
            <w:pPr>
              <w:spacing w:line="68" w:lineRule="exact"/>
              <w:ind w:firstLine="685"/>
            </w:pPr>
            <w:r>
              <w:rPr>
                <w:position w:val="-1"/>
              </w:rPr>
              <w:pict>
                <v:group id="_x0000_s4774" o:spid="_x0000_s4774" o:spt="203" style="height:3.4pt;width:1.45pt;" coordsize="29,68">
                  <o:lock v:ext="edit"/>
                  <v:shape id="_x0000_s4776" o:spid="_x0000_s4776" style="position:absolute;left:14;top:0;height:68;width:15;" fillcolor="#20507B" filled="t" stroked="f" coordsize="15,68" path="m0,67l14,67,14,0,0,0,0,67xe">
                    <v:path/>
                    <v:fill on="t" focussize="0,0"/>
                    <v:stroke on="f"/>
                    <v:imagedata o:title=""/>
                    <o:lock v:ext="edit"/>
                  </v:shape>
                  <v:shape id="_x0000_s4778" o:spid="_x0000_s4778" style="position:absolute;left:0;top:0;height:68;width:15;" fillcolor="#1C456A" filled="t" stroked="f" coordsize="15,68" path="m0,67l14,67,14,0,0,0,0,67xe">
                    <v:path/>
                    <v:fill on="t" focussize="0,0"/>
                    <v:stroke on="f"/>
                    <v:imagedata o:title=""/>
                    <o:lock v:ext="edit"/>
                  </v:shape>
                  <w10:wrap type="none"/>
                  <w10:anchorlock/>
                </v:group>
              </w:pict>
            </w:r>
          </w:p>
          <w:p w14:paraId="58B97F8F">
            <w:pPr>
              <w:spacing w:line="310" w:lineRule="auto"/>
              <w:rPr>
                <w:rFonts w:ascii="Arial"/>
                <w:sz w:val="21"/>
              </w:rPr>
            </w:pPr>
          </w:p>
          <w:p w14:paraId="0DD0CC21">
            <w:pPr>
              <w:spacing w:line="310" w:lineRule="auto"/>
              <w:rPr>
                <w:rFonts w:ascii="Arial"/>
                <w:sz w:val="21"/>
              </w:rPr>
            </w:pPr>
          </w:p>
          <w:p w14:paraId="5FDB3E6C">
            <w:pPr>
              <w:spacing w:line="67" w:lineRule="exact"/>
              <w:ind w:firstLine="685"/>
            </w:pPr>
            <w:r>
              <w:rPr>
                <w:position w:val="-1"/>
              </w:rPr>
              <w:pict>
                <v:group id="_x0000_s4780" o:spid="_x0000_s4780" o:spt="203" style="height:3.4pt;width:1.45pt;" coordsize="29,68">
                  <o:lock v:ext="edit"/>
                  <v:shape id="_x0000_s4782" o:spid="_x0000_s4782" style="position:absolute;left:14;top:0;height:68;width:15;" fillcolor="#20507B" filled="t" stroked="f" coordsize="15,68" path="m0,67l14,67,14,0,0,0,0,67xe">
                    <v:path/>
                    <v:fill on="t" focussize="0,0"/>
                    <v:stroke on="f"/>
                    <v:imagedata o:title=""/>
                    <o:lock v:ext="edit"/>
                  </v:shape>
                  <v:shape id="_x0000_s4784" o:spid="_x0000_s4784" style="position:absolute;left:0;top:0;height:68;width:15;" fillcolor="#1C456A" filled="t" stroked="f" coordsize="15,68" path="m0,67l14,67,14,0,0,0,0,67xe">
                    <v:path/>
                    <v:fill on="t" focussize="0,0"/>
                    <v:stroke on="f"/>
                    <v:imagedata o:title=""/>
                    <o:lock v:ext="edit"/>
                  </v:shape>
                  <w10:wrap type="none"/>
                  <w10:anchorlock/>
                </v:group>
              </w:pict>
            </w:r>
          </w:p>
          <w:p w14:paraId="6DEC004E">
            <w:pPr>
              <w:spacing w:line="310" w:lineRule="auto"/>
              <w:rPr>
                <w:rFonts w:ascii="Arial"/>
                <w:sz w:val="21"/>
              </w:rPr>
            </w:pPr>
          </w:p>
          <w:p w14:paraId="61D6D6EC">
            <w:pPr>
              <w:spacing w:line="310" w:lineRule="auto"/>
              <w:rPr>
                <w:rFonts w:ascii="Arial"/>
                <w:sz w:val="21"/>
              </w:rPr>
            </w:pPr>
          </w:p>
          <w:p w14:paraId="29B23091">
            <w:pPr>
              <w:spacing w:line="67" w:lineRule="exact"/>
              <w:ind w:firstLine="685"/>
            </w:pPr>
            <w:r>
              <w:rPr>
                <w:position w:val="-1"/>
              </w:rPr>
              <w:pict>
                <v:group id="_x0000_s4786" o:spid="_x0000_s4786" o:spt="203" style="height:3.4pt;width:1.45pt;" coordsize="29,68">
                  <o:lock v:ext="edit"/>
                  <v:shape id="_x0000_s4788" o:spid="_x0000_s4788" style="position:absolute;left:14;top:0;height:68;width:15;" fillcolor="#20507B" filled="t" stroked="f" coordsize="15,68" path="m0,67l14,67,14,0,0,0,0,67xe">
                    <v:path/>
                    <v:fill on="t" focussize="0,0"/>
                    <v:stroke on="f"/>
                    <v:imagedata o:title=""/>
                    <o:lock v:ext="edit"/>
                  </v:shape>
                  <v:shape id="_x0000_s4790" o:spid="_x0000_s4790" style="position:absolute;left:0;top:0;height:68;width:15;" fillcolor="#1C456A" filled="t" stroked="f" coordsize="15,68" path="m0,67l14,67,14,0,0,0,0,67xe">
                    <v:path/>
                    <v:fill on="t" focussize="0,0"/>
                    <v:stroke on="f"/>
                    <v:imagedata o:title=""/>
                    <o:lock v:ext="edit"/>
                  </v:shape>
                  <w10:wrap type="none"/>
                  <w10:anchorlock/>
                </v:group>
              </w:pict>
            </w:r>
          </w:p>
          <w:p w14:paraId="2219BDB0">
            <w:pPr>
              <w:spacing w:line="245" w:lineRule="auto"/>
              <w:rPr>
                <w:rFonts w:ascii="Arial"/>
                <w:sz w:val="21"/>
              </w:rPr>
            </w:pPr>
          </w:p>
          <w:p w14:paraId="3BB002F5">
            <w:pPr>
              <w:spacing w:line="246" w:lineRule="auto"/>
              <w:rPr>
                <w:rFonts w:ascii="Arial"/>
                <w:sz w:val="21"/>
              </w:rPr>
            </w:pPr>
          </w:p>
          <w:p w14:paraId="709092BF">
            <w:pPr>
              <w:spacing w:line="246" w:lineRule="auto"/>
              <w:rPr>
                <w:rFonts w:ascii="Arial"/>
                <w:sz w:val="21"/>
              </w:rPr>
            </w:pPr>
          </w:p>
          <w:p w14:paraId="2E4DA2F7">
            <w:pPr>
              <w:spacing w:line="246" w:lineRule="auto"/>
              <w:rPr>
                <w:rFonts w:ascii="Arial"/>
                <w:sz w:val="21"/>
              </w:rPr>
            </w:pPr>
          </w:p>
          <w:p w14:paraId="0E827649">
            <w:pPr>
              <w:spacing w:before="1" w:line="67" w:lineRule="exact"/>
              <w:ind w:firstLine="685"/>
            </w:pPr>
            <w:r>
              <w:rPr>
                <w:position w:val="-1"/>
              </w:rPr>
              <w:pict>
                <v:group id="_x0000_s4792" o:spid="_x0000_s4792" o:spt="203" style="height:3.4pt;width:1.45pt;" coordsize="29,68">
                  <o:lock v:ext="edit"/>
                  <v:shape id="_x0000_s4794" o:spid="_x0000_s4794" style="position:absolute;left:14;top:0;height:68;width:15;" fillcolor="#20507B" filled="t" stroked="f" coordsize="15,68" path="m0,67l14,67,14,0,0,0,0,67xe">
                    <v:path/>
                    <v:fill on="t" focussize="0,0"/>
                    <v:stroke on="f"/>
                    <v:imagedata o:title=""/>
                    <o:lock v:ext="edit"/>
                  </v:shape>
                  <v:shape id="_x0000_s4796" o:spid="_x0000_s4796" style="position:absolute;left:0;top:0;height:68;width:15;" fillcolor="#1C456A" filled="t" stroked="f" coordsize="15,68" path="m0,67l14,67,14,0,0,0,0,67xe">
                    <v:path/>
                    <v:fill on="t" focussize="0,0"/>
                    <v:stroke on="f"/>
                    <v:imagedata o:title=""/>
                    <o:lock v:ext="edit"/>
                  </v:shape>
                  <w10:wrap type="none"/>
                  <w10:anchorlock/>
                </v:group>
              </w:pict>
            </w:r>
          </w:p>
          <w:p w14:paraId="3EEA2E75">
            <w:pPr>
              <w:spacing w:line="310" w:lineRule="auto"/>
              <w:rPr>
                <w:rFonts w:ascii="Arial"/>
                <w:sz w:val="21"/>
              </w:rPr>
            </w:pPr>
          </w:p>
          <w:p w14:paraId="184745FD">
            <w:pPr>
              <w:spacing w:line="310" w:lineRule="auto"/>
              <w:rPr>
                <w:rFonts w:ascii="Arial"/>
                <w:sz w:val="21"/>
              </w:rPr>
            </w:pPr>
          </w:p>
          <w:p w14:paraId="61989250">
            <w:pPr>
              <w:spacing w:line="67" w:lineRule="exact"/>
              <w:ind w:firstLine="685"/>
            </w:pPr>
            <w:r>
              <w:rPr>
                <w:position w:val="-1"/>
              </w:rPr>
              <w:pict>
                <v:group id="_x0000_s4798" o:spid="_x0000_s4798" o:spt="203" style="height:3.4pt;width:1.45pt;" coordsize="29,68">
                  <o:lock v:ext="edit"/>
                  <v:shape id="_x0000_s4800" o:spid="_x0000_s4800" style="position:absolute;left:14;top:0;height:68;width:15;" fillcolor="#20507B" filled="t" stroked="f" coordsize="15,68" path="m0,67l14,67,14,0,0,0,0,67xe">
                    <v:path/>
                    <v:fill on="t" focussize="0,0"/>
                    <v:stroke on="f"/>
                    <v:imagedata o:title=""/>
                    <o:lock v:ext="edit"/>
                  </v:shape>
                  <v:shape id="_x0000_s4802" o:spid="_x0000_s4802" style="position:absolute;left:0;top:0;height:68;width:15;" fillcolor="#1C456A" filled="t" stroked="f" coordsize="15,68" path="m0,67l14,67,14,0,0,0,0,67xe">
                    <v:path/>
                    <v:fill on="t" focussize="0,0"/>
                    <v:stroke on="f"/>
                    <v:imagedata o:title=""/>
                    <o:lock v:ext="edit"/>
                  </v:shape>
                  <w10:wrap type="none"/>
                  <w10:anchorlock/>
                </v:group>
              </w:pict>
            </w:r>
          </w:p>
          <w:p w14:paraId="21E4F751">
            <w:pPr>
              <w:spacing w:line="310" w:lineRule="auto"/>
              <w:rPr>
                <w:rFonts w:ascii="Arial"/>
                <w:sz w:val="21"/>
              </w:rPr>
            </w:pPr>
          </w:p>
          <w:p w14:paraId="03813D85">
            <w:pPr>
              <w:spacing w:line="310" w:lineRule="auto"/>
              <w:rPr>
                <w:rFonts w:ascii="Arial"/>
                <w:sz w:val="21"/>
              </w:rPr>
            </w:pPr>
          </w:p>
          <w:p w14:paraId="2C43419A">
            <w:pPr>
              <w:spacing w:line="67" w:lineRule="exact"/>
              <w:ind w:firstLine="685"/>
            </w:pPr>
            <w:r>
              <w:rPr>
                <w:position w:val="-1"/>
              </w:rPr>
              <w:pict>
                <v:group id="_x0000_s4804" o:spid="_x0000_s4804" o:spt="203" style="height:3.4pt;width:1.45pt;" coordsize="29,68">
                  <o:lock v:ext="edit"/>
                  <v:shape id="_x0000_s4806" o:spid="_x0000_s4806" style="position:absolute;left:14;top:0;height:68;width:15;" fillcolor="#20507B" filled="t" stroked="f" coordsize="15,68" path="m0,67l14,67,14,0,0,0,0,67xe">
                    <v:path/>
                    <v:fill on="t" focussize="0,0"/>
                    <v:stroke on="f"/>
                    <v:imagedata o:title=""/>
                    <o:lock v:ext="edit"/>
                  </v:shape>
                  <v:shape id="_x0000_s4808" o:spid="_x0000_s4808" style="position:absolute;left:0;top:0;height:68;width:15;" fillcolor="#1C456A" filled="t" stroked="f" coordsize="15,68" path="m0,67l14,67,14,0,0,0,0,67xe">
                    <v:path/>
                    <v:fill on="t" focussize="0,0"/>
                    <v:stroke on="f"/>
                    <v:imagedata o:title=""/>
                    <o:lock v:ext="edit"/>
                  </v:shape>
                  <w10:wrap type="none"/>
                  <w10:anchorlock/>
                </v:group>
              </w:pict>
            </w:r>
          </w:p>
          <w:p w14:paraId="5A2D96EF">
            <w:pPr>
              <w:spacing w:line="308" w:lineRule="auto"/>
              <w:rPr>
                <w:rFonts w:ascii="Arial"/>
                <w:sz w:val="21"/>
              </w:rPr>
            </w:pPr>
          </w:p>
          <w:p w14:paraId="661B36B2">
            <w:pPr>
              <w:spacing w:line="309" w:lineRule="auto"/>
              <w:rPr>
                <w:rFonts w:ascii="Arial"/>
                <w:sz w:val="21"/>
              </w:rPr>
            </w:pPr>
          </w:p>
          <w:p w14:paraId="53798C0B">
            <w:pPr>
              <w:spacing w:before="1" w:line="67" w:lineRule="exact"/>
              <w:ind w:firstLine="685"/>
            </w:pPr>
            <w:r>
              <w:rPr>
                <w:position w:val="-1"/>
              </w:rPr>
              <w:pict>
                <v:group id="_x0000_s4810" o:spid="_x0000_s4810" o:spt="203" style="height:3.4pt;width:1.45pt;" coordsize="29,68">
                  <o:lock v:ext="edit"/>
                  <v:shape id="_x0000_s4812" o:spid="_x0000_s4812" style="position:absolute;left:14;top:0;height:68;width:15;" fillcolor="#20507B" filled="t" stroked="f" coordsize="15,68" path="m0,67l14,67,14,0,0,0,0,67xe">
                    <v:path/>
                    <v:fill on="t" focussize="0,0"/>
                    <v:stroke on="f"/>
                    <v:imagedata o:title=""/>
                    <o:lock v:ext="edit"/>
                  </v:shape>
                  <v:shape id="_x0000_s4814" o:spid="_x0000_s4814" style="position:absolute;left:0;top:0;height:68;width:15;" fillcolor="#1C456A" filled="t" stroked="f" coordsize="15,68" path="m0,67l14,67,14,0,0,0,0,67xe">
                    <v:path/>
                    <v:fill on="t" focussize="0,0"/>
                    <v:stroke on="f"/>
                    <v:imagedata o:title=""/>
                    <o:lock v:ext="edit"/>
                  </v:shape>
                  <w10:wrap type="none"/>
                  <w10:anchorlock/>
                </v:group>
              </w:pict>
            </w:r>
          </w:p>
          <w:p w14:paraId="56A9646F">
            <w:pPr>
              <w:spacing w:line="310" w:lineRule="auto"/>
              <w:rPr>
                <w:rFonts w:ascii="Arial"/>
                <w:sz w:val="21"/>
              </w:rPr>
            </w:pPr>
          </w:p>
          <w:p w14:paraId="75179931">
            <w:pPr>
              <w:spacing w:line="310" w:lineRule="auto"/>
              <w:rPr>
                <w:rFonts w:ascii="Arial"/>
                <w:sz w:val="21"/>
              </w:rPr>
            </w:pPr>
          </w:p>
          <w:p w14:paraId="62F1C6DE">
            <w:pPr>
              <w:spacing w:before="1" w:line="67" w:lineRule="exact"/>
              <w:ind w:firstLine="685"/>
            </w:pPr>
            <w:r>
              <w:rPr>
                <w:position w:val="-1"/>
              </w:rPr>
              <w:pict>
                <v:group id="_x0000_s4816" o:spid="_x0000_s4816" o:spt="203" style="height:3.4pt;width:1.45pt;" coordsize="29,68">
                  <o:lock v:ext="edit"/>
                  <v:shape id="_x0000_s4818" o:spid="_x0000_s4818" style="position:absolute;left:14;top:0;height:68;width:15;" fillcolor="#20507B" filled="t" stroked="f" coordsize="15,68" path="m0,67l14,67,14,0,0,0,0,67xe">
                    <v:path/>
                    <v:fill on="t" focussize="0,0"/>
                    <v:stroke on="f"/>
                    <v:imagedata o:title=""/>
                    <o:lock v:ext="edit"/>
                  </v:shape>
                  <v:shape id="_x0000_s4820" o:spid="_x0000_s4820" style="position:absolute;left:0;top:0;height:68;width:15;" fillcolor="#1C456A" filled="t" stroked="f" coordsize="15,68" path="m0,67l14,67,14,0,0,0,0,67xe">
                    <v:path/>
                    <v:fill on="t" focussize="0,0"/>
                    <v:stroke on="f"/>
                    <v:imagedata o:title=""/>
                    <o:lock v:ext="edit"/>
                  </v:shape>
                  <w10:wrap type="none"/>
                  <w10:anchorlock/>
                </v:group>
              </w:pict>
            </w:r>
          </w:p>
          <w:p w14:paraId="1ED643CF">
            <w:pPr>
              <w:spacing w:line="309" w:lineRule="auto"/>
              <w:rPr>
                <w:rFonts w:ascii="Arial"/>
                <w:sz w:val="21"/>
              </w:rPr>
            </w:pPr>
          </w:p>
          <w:p w14:paraId="7542AE6E">
            <w:pPr>
              <w:spacing w:line="309" w:lineRule="auto"/>
              <w:rPr>
                <w:rFonts w:ascii="Arial"/>
                <w:sz w:val="21"/>
              </w:rPr>
            </w:pPr>
          </w:p>
          <w:p w14:paraId="04E3EA7E">
            <w:pPr>
              <w:spacing w:line="67" w:lineRule="exact"/>
              <w:ind w:firstLine="685"/>
            </w:pPr>
            <w:r>
              <w:rPr>
                <w:position w:val="-1"/>
              </w:rPr>
              <w:pict>
                <v:group id="_x0000_s4822" o:spid="_x0000_s4822" o:spt="203" style="height:3.4pt;width:1.45pt;" coordsize="29,68">
                  <o:lock v:ext="edit"/>
                  <v:shape id="_x0000_s4824" o:spid="_x0000_s4824" style="position:absolute;left:14;top:0;height:68;width:15;" fillcolor="#20507B" filled="t" stroked="f" coordsize="15,68" path="m0,67l14,67,14,0,0,0,0,67xe">
                    <v:path/>
                    <v:fill on="t" focussize="0,0"/>
                    <v:stroke on="f"/>
                    <v:imagedata o:title=""/>
                    <o:lock v:ext="edit"/>
                  </v:shape>
                  <v:shape id="_x0000_s4826" o:spid="_x0000_s4826" style="position:absolute;left:0;top:0;height:68;width:15;" fillcolor="#1C456A" filled="t" stroked="f" coordsize="15,68" path="m0,67l14,67,14,0,0,0,0,67xe">
                    <v:path/>
                    <v:fill on="t" focussize="0,0"/>
                    <v:stroke on="f"/>
                    <v:imagedata o:title=""/>
                    <o:lock v:ext="edit"/>
                  </v:shape>
                  <w10:wrap type="none"/>
                  <w10:anchorlock/>
                </v:group>
              </w:pict>
            </w:r>
          </w:p>
          <w:p w14:paraId="3DA2EBB6">
            <w:pPr>
              <w:spacing w:line="310" w:lineRule="auto"/>
              <w:rPr>
                <w:rFonts w:ascii="Arial"/>
                <w:sz w:val="21"/>
              </w:rPr>
            </w:pPr>
          </w:p>
          <w:p w14:paraId="428AC67D">
            <w:pPr>
              <w:spacing w:line="310" w:lineRule="auto"/>
              <w:rPr>
                <w:rFonts w:ascii="Arial"/>
                <w:sz w:val="21"/>
              </w:rPr>
            </w:pPr>
          </w:p>
          <w:p w14:paraId="101244B4">
            <w:pPr>
              <w:spacing w:before="1" w:line="67" w:lineRule="exact"/>
              <w:ind w:firstLine="685"/>
            </w:pPr>
            <w:r>
              <w:rPr>
                <w:position w:val="-1"/>
              </w:rPr>
              <w:pict>
                <v:group id="_x0000_s4828" o:spid="_x0000_s4828" o:spt="203" style="height:3.4pt;width:1.45pt;" coordsize="29,68">
                  <o:lock v:ext="edit"/>
                  <v:shape id="_x0000_s4830" o:spid="_x0000_s4830" style="position:absolute;left:14;top:0;height:68;width:15;" fillcolor="#20507B" filled="t" stroked="f" coordsize="15,68" path="m0,67l14,67,14,0,0,0,0,67xe">
                    <v:path/>
                    <v:fill on="t" focussize="0,0"/>
                    <v:stroke on="f"/>
                    <v:imagedata o:title=""/>
                    <o:lock v:ext="edit"/>
                  </v:shape>
                  <v:shape id="_x0000_s4832" o:spid="_x0000_s4832" style="position:absolute;left:0;top:0;height:68;width:15;" fillcolor="#1C456A" filled="t" stroked="f" coordsize="15,68" path="m0,67l14,67,14,0,0,0,0,67xe">
                    <v:path/>
                    <v:fill on="t" focussize="0,0"/>
                    <v:stroke on="f"/>
                    <v:imagedata o:title=""/>
                    <o:lock v:ext="edit"/>
                  </v:shape>
                  <w10:wrap type="none"/>
                  <w10:anchorlock/>
                </v:group>
              </w:pict>
            </w:r>
          </w:p>
          <w:p w14:paraId="1991F50A">
            <w:pPr>
              <w:spacing w:line="308" w:lineRule="auto"/>
              <w:rPr>
                <w:rFonts w:ascii="Arial"/>
                <w:sz w:val="21"/>
              </w:rPr>
            </w:pPr>
          </w:p>
          <w:p w14:paraId="108FB422">
            <w:pPr>
              <w:spacing w:line="309" w:lineRule="auto"/>
              <w:rPr>
                <w:rFonts w:ascii="Arial"/>
                <w:sz w:val="21"/>
              </w:rPr>
            </w:pPr>
          </w:p>
          <w:p w14:paraId="117ECDF0">
            <w:pPr>
              <w:spacing w:before="1" w:line="67" w:lineRule="exact"/>
              <w:ind w:firstLine="685"/>
            </w:pPr>
            <w:r>
              <w:rPr>
                <w:position w:val="-1"/>
              </w:rPr>
              <w:pict>
                <v:group id="_x0000_s4834" o:spid="_x0000_s4834" o:spt="203" style="height:3.4pt;width:1.45pt;" coordsize="29,68">
                  <o:lock v:ext="edit"/>
                  <v:shape id="_x0000_s4836" o:spid="_x0000_s4836" style="position:absolute;left:14;top:0;height:68;width:15;" fillcolor="#20507B" filled="t" stroked="f" coordsize="15,68" path="m0,67l14,67,14,0,0,0,0,67xe">
                    <v:path/>
                    <v:fill on="t" focussize="0,0"/>
                    <v:stroke on="f"/>
                    <v:imagedata o:title=""/>
                    <o:lock v:ext="edit"/>
                  </v:shape>
                  <v:shape id="_x0000_s4838" o:spid="_x0000_s4838" style="position:absolute;left:0;top:0;height:68;width:15;" fillcolor="#1C456A" filled="t" stroked="f" coordsize="15,68" path="m0,67l14,67,14,0,0,0,0,67xe">
                    <v:path/>
                    <v:fill on="t" focussize="0,0"/>
                    <v:stroke on="f"/>
                    <v:imagedata o:title=""/>
                    <o:lock v:ext="edit"/>
                  </v:shape>
                  <w10:wrap type="none"/>
                  <w10:anchorlock/>
                </v:group>
              </w:pict>
            </w:r>
          </w:p>
          <w:p w14:paraId="3C0D327B">
            <w:pPr>
              <w:spacing w:line="310" w:lineRule="auto"/>
              <w:rPr>
                <w:rFonts w:ascii="Arial"/>
                <w:sz w:val="21"/>
              </w:rPr>
            </w:pPr>
          </w:p>
          <w:p w14:paraId="0DC222E3">
            <w:pPr>
              <w:spacing w:line="310" w:lineRule="auto"/>
              <w:rPr>
                <w:rFonts w:ascii="Arial"/>
                <w:sz w:val="21"/>
              </w:rPr>
            </w:pPr>
          </w:p>
          <w:p w14:paraId="736F0E27">
            <w:pPr>
              <w:spacing w:line="67" w:lineRule="exact"/>
              <w:ind w:firstLine="685"/>
            </w:pPr>
            <w:r>
              <w:rPr>
                <w:position w:val="-1"/>
              </w:rPr>
              <w:pict>
                <v:group id="_x0000_s4840" o:spid="_x0000_s4840" o:spt="203" style="height:3.4pt;width:1.45pt;" coordsize="29,68">
                  <o:lock v:ext="edit"/>
                  <v:shape id="_x0000_s4842" o:spid="_x0000_s4842" style="position:absolute;left:14;top:0;height:68;width:15;" fillcolor="#20507B" filled="t" stroked="f" coordsize="15,68" path="m0,67l14,67,14,0,0,0,0,67xe">
                    <v:path/>
                    <v:fill on="t" focussize="0,0"/>
                    <v:stroke on="f"/>
                    <v:imagedata o:title=""/>
                    <o:lock v:ext="edit"/>
                  </v:shape>
                  <v:shape id="_x0000_s4844" o:spid="_x0000_s4844" style="position:absolute;left:0;top:0;height:68;width:15;" fillcolor="#1C456A" filled="t" stroked="f" coordsize="15,68" path="m0,67l14,67,14,0,0,0,0,67xe">
                    <v:path/>
                    <v:fill on="t" focussize="0,0"/>
                    <v:stroke on="f"/>
                    <v:imagedata o:title=""/>
                    <o:lock v:ext="edit"/>
                  </v:shape>
                  <w10:wrap type="none"/>
                  <w10:anchorlock/>
                </v:group>
              </w:pict>
            </w:r>
          </w:p>
        </w:tc>
      </w:tr>
      <w:tr w14:paraId="7A6882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1" w:hRule="atLeast"/>
        </w:trPr>
        <w:tc>
          <w:tcPr>
            <w:tcW w:w="772" w:type="dxa"/>
            <w:gridSpan w:val="2"/>
            <w:tcBorders>
              <w:left w:val="single" w:color="000000" w:sz="4" w:space="0"/>
            </w:tcBorders>
            <w:vAlign w:val="top"/>
          </w:tcPr>
          <w:p w14:paraId="6E9E3433">
            <w:pPr>
              <w:pStyle w:val="7"/>
              <w:spacing w:before="142" w:line="237" w:lineRule="auto"/>
              <w:ind w:left="289"/>
            </w:pPr>
            <w:r>
              <w:rPr>
                <w:spacing w:val="-6"/>
              </w:rPr>
              <w:t>20</w:t>
            </w:r>
          </w:p>
        </w:tc>
        <w:tc>
          <w:tcPr>
            <w:tcW w:w="1657" w:type="dxa"/>
            <w:vAlign w:val="top"/>
          </w:tcPr>
          <w:p w14:paraId="71B0AB66">
            <w:pPr>
              <w:pStyle w:val="7"/>
              <w:spacing w:before="142" w:line="218" w:lineRule="auto"/>
              <w:ind w:left="291"/>
            </w:pPr>
            <w:r>
              <w:rPr>
                <w:spacing w:val="-17"/>
              </w:rPr>
              <w:t>蛙式打夯机</w:t>
            </w:r>
          </w:p>
        </w:tc>
        <w:tc>
          <w:tcPr>
            <w:tcW w:w="1559" w:type="dxa"/>
            <w:vAlign w:val="top"/>
          </w:tcPr>
          <w:p w14:paraId="5F16500E">
            <w:pPr>
              <w:pStyle w:val="7"/>
              <w:spacing w:before="142" w:line="237" w:lineRule="auto"/>
              <w:ind w:left="449"/>
            </w:pPr>
            <w:r>
              <w:rPr>
                <w:spacing w:val="-9"/>
              </w:rPr>
              <w:t>HZ-400</w:t>
            </w:r>
          </w:p>
        </w:tc>
        <w:tc>
          <w:tcPr>
            <w:tcW w:w="650" w:type="dxa"/>
            <w:vAlign w:val="top"/>
          </w:tcPr>
          <w:p w14:paraId="2EC07231">
            <w:pPr>
              <w:pStyle w:val="7"/>
              <w:spacing w:before="142" w:line="237" w:lineRule="auto"/>
              <w:ind w:left="236"/>
            </w:pPr>
            <w:r>
              <w:rPr>
                <w:spacing w:val="-10"/>
              </w:rPr>
              <w:t>10</w:t>
            </w:r>
          </w:p>
        </w:tc>
        <w:tc>
          <w:tcPr>
            <w:tcW w:w="794" w:type="dxa"/>
            <w:vAlign w:val="top"/>
          </w:tcPr>
          <w:p w14:paraId="567BCA05">
            <w:pPr>
              <w:pStyle w:val="7"/>
              <w:spacing w:before="142" w:line="220" w:lineRule="auto"/>
              <w:ind w:left="192"/>
            </w:pPr>
            <w:r>
              <w:rPr>
                <w:spacing w:val="-10"/>
              </w:rPr>
              <w:t>上海</w:t>
            </w:r>
          </w:p>
        </w:tc>
        <w:tc>
          <w:tcPr>
            <w:tcW w:w="794" w:type="dxa"/>
            <w:vAlign w:val="top"/>
          </w:tcPr>
          <w:p w14:paraId="1015C5F2">
            <w:pPr>
              <w:pStyle w:val="7"/>
              <w:spacing w:before="146" w:line="237" w:lineRule="auto"/>
              <w:ind w:left="186" w:leftChars="0"/>
            </w:pPr>
            <w:r>
              <w:rPr>
                <w:spacing w:val="-9"/>
              </w:rPr>
              <w:t>2022</w:t>
            </w:r>
          </w:p>
        </w:tc>
        <w:tc>
          <w:tcPr>
            <w:tcW w:w="791" w:type="dxa"/>
            <w:vAlign w:val="top"/>
          </w:tcPr>
          <w:p w14:paraId="104748FD">
            <w:pPr>
              <w:pStyle w:val="7"/>
              <w:spacing w:before="142" w:line="237" w:lineRule="auto"/>
              <w:ind w:left="352"/>
            </w:pPr>
            <w:r>
              <w:t>3</w:t>
            </w:r>
          </w:p>
        </w:tc>
        <w:tc>
          <w:tcPr>
            <w:tcW w:w="794" w:type="dxa"/>
            <w:vAlign w:val="top"/>
          </w:tcPr>
          <w:p w14:paraId="39E80309">
            <w:pPr>
              <w:pStyle w:val="7"/>
              <w:spacing w:before="142" w:line="219" w:lineRule="auto"/>
              <w:ind w:left="228"/>
            </w:pPr>
            <w:r>
              <w:rPr>
                <w:spacing w:val="-19"/>
              </w:rPr>
              <w:t>良好</w:t>
            </w:r>
          </w:p>
        </w:tc>
        <w:tc>
          <w:tcPr>
            <w:tcW w:w="1302" w:type="dxa"/>
            <w:vAlign w:val="top"/>
          </w:tcPr>
          <w:p w14:paraId="62746291">
            <w:pPr>
              <w:pStyle w:val="7"/>
              <w:spacing w:before="142" w:line="218" w:lineRule="auto"/>
              <w:ind w:left="448"/>
            </w:pPr>
            <w:r>
              <w:rPr>
                <w:spacing w:val="-10"/>
              </w:rPr>
              <w:t>压实</w:t>
            </w:r>
          </w:p>
        </w:tc>
        <w:tc>
          <w:tcPr>
            <w:tcW w:w="726" w:type="dxa"/>
            <w:vMerge w:val="continue"/>
            <w:tcBorders>
              <w:top w:val="nil"/>
              <w:bottom w:val="nil"/>
              <w:right w:val="single" w:color="5B9BD5" w:sz="4" w:space="0"/>
            </w:tcBorders>
            <w:vAlign w:val="top"/>
          </w:tcPr>
          <w:p w14:paraId="76BC0B21">
            <w:pPr>
              <w:rPr>
                <w:rFonts w:ascii="Arial"/>
                <w:sz w:val="21"/>
              </w:rPr>
            </w:pPr>
          </w:p>
        </w:tc>
      </w:tr>
      <w:tr w14:paraId="1A2DD3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6" w:hRule="atLeast"/>
        </w:trPr>
        <w:tc>
          <w:tcPr>
            <w:tcW w:w="772" w:type="dxa"/>
            <w:gridSpan w:val="2"/>
            <w:tcBorders>
              <w:left w:val="single" w:color="000000" w:sz="4" w:space="0"/>
            </w:tcBorders>
            <w:vAlign w:val="top"/>
          </w:tcPr>
          <w:p w14:paraId="2CF96822">
            <w:pPr>
              <w:pStyle w:val="7"/>
              <w:spacing w:before="145" w:line="238" w:lineRule="auto"/>
              <w:ind w:left="289"/>
            </w:pPr>
            <w:r>
              <w:rPr>
                <w:spacing w:val="-6"/>
              </w:rPr>
              <w:t>21</w:t>
            </w:r>
          </w:p>
        </w:tc>
        <w:tc>
          <w:tcPr>
            <w:tcW w:w="1657" w:type="dxa"/>
            <w:vAlign w:val="top"/>
          </w:tcPr>
          <w:p w14:paraId="5FB876CD">
            <w:pPr>
              <w:pStyle w:val="7"/>
              <w:spacing w:before="145" w:line="216" w:lineRule="auto"/>
              <w:ind w:left="293"/>
            </w:pPr>
            <w:r>
              <w:rPr>
                <w:spacing w:val="-17"/>
              </w:rPr>
              <w:t>柴油发电机</w:t>
            </w:r>
          </w:p>
        </w:tc>
        <w:tc>
          <w:tcPr>
            <w:tcW w:w="1559" w:type="dxa"/>
            <w:vAlign w:val="top"/>
          </w:tcPr>
          <w:p w14:paraId="18A8297D">
            <w:pPr>
              <w:pStyle w:val="7"/>
              <w:spacing w:before="145" w:line="237" w:lineRule="auto"/>
              <w:ind w:left="407"/>
            </w:pPr>
            <w:r>
              <w:rPr>
                <w:spacing w:val="-10"/>
              </w:rPr>
              <w:t>350KWGF</w:t>
            </w:r>
          </w:p>
        </w:tc>
        <w:tc>
          <w:tcPr>
            <w:tcW w:w="650" w:type="dxa"/>
            <w:vAlign w:val="top"/>
          </w:tcPr>
          <w:p w14:paraId="62505668">
            <w:pPr>
              <w:pStyle w:val="7"/>
              <w:spacing w:before="145" w:line="237" w:lineRule="auto"/>
              <w:ind w:left="278"/>
            </w:pPr>
            <w:r>
              <w:t>3</w:t>
            </w:r>
          </w:p>
        </w:tc>
        <w:tc>
          <w:tcPr>
            <w:tcW w:w="794" w:type="dxa"/>
            <w:vAlign w:val="top"/>
          </w:tcPr>
          <w:p w14:paraId="2EEE9F9A">
            <w:pPr>
              <w:pStyle w:val="7"/>
              <w:spacing w:before="145" w:line="218" w:lineRule="auto"/>
              <w:ind w:left="197"/>
            </w:pPr>
            <w:r>
              <w:rPr>
                <w:spacing w:val="-12"/>
              </w:rPr>
              <w:t>北京</w:t>
            </w:r>
          </w:p>
        </w:tc>
        <w:tc>
          <w:tcPr>
            <w:tcW w:w="794" w:type="dxa"/>
            <w:vAlign w:val="top"/>
          </w:tcPr>
          <w:p w14:paraId="089A6074">
            <w:pPr>
              <w:pStyle w:val="7"/>
              <w:spacing w:before="145" w:line="237" w:lineRule="auto"/>
              <w:ind w:left="186" w:leftChars="0"/>
            </w:pPr>
            <w:r>
              <w:rPr>
                <w:spacing w:val="-9"/>
              </w:rPr>
              <w:t>202</w:t>
            </w:r>
            <w:r>
              <w:rPr>
                <w:rFonts w:hint="eastAsia"/>
                <w:spacing w:val="-9"/>
                <w:lang w:val="en-US" w:eastAsia="zh-CN"/>
              </w:rPr>
              <w:t>1</w:t>
            </w:r>
          </w:p>
        </w:tc>
        <w:tc>
          <w:tcPr>
            <w:tcW w:w="791" w:type="dxa"/>
            <w:vAlign w:val="top"/>
          </w:tcPr>
          <w:p w14:paraId="31A0688F">
            <w:pPr>
              <w:pStyle w:val="7"/>
              <w:spacing w:before="145" w:line="237" w:lineRule="auto"/>
              <w:ind w:left="241"/>
            </w:pPr>
            <w:r>
              <w:rPr>
                <w:spacing w:val="-9"/>
              </w:rPr>
              <w:t>350</w:t>
            </w:r>
          </w:p>
        </w:tc>
        <w:tc>
          <w:tcPr>
            <w:tcW w:w="794" w:type="dxa"/>
            <w:vAlign w:val="top"/>
          </w:tcPr>
          <w:p w14:paraId="508D3EE0">
            <w:pPr>
              <w:pStyle w:val="7"/>
              <w:spacing w:before="145" w:line="219" w:lineRule="auto"/>
              <w:ind w:left="228"/>
            </w:pPr>
            <w:r>
              <w:rPr>
                <w:spacing w:val="-19"/>
              </w:rPr>
              <w:t>良好</w:t>
            </w:r>
          </w:p>
        </w:tc>
        <w:tc>
          <w:tcPr>
            <w:tcW w:w="1302" w:type="dxa"/>
            <w:vAlign w:val="top"/>
          </w:tcPr>
          <w:p w14:paraId="600CDCD4">
            <w:pPr>
              <w:pStyle w:val="7"/>
              <w:spacing w:before="144" w:line="220" w:lineRule="auto"/>
              <w:ind w:left="238"/>
            </w:pPr>
            <w:r>
              <w:rPr>
                <w:spacing w:val="-17"/>
              </w:rPr>
              <w:t>发电应急</w:t>
            </w:r>
          </w:p>
        </w:tc>
        <w:tc>
          <w:tcPr>
            <w:tcW w:w="726" w:type="dxa"/>
            <w:vMerge w:val="continue"/>
            <w:tcBorders>
              <w:top w:val="nil"/>
              <w:bottom w:val="nil"/>
              <w:right w:val="single" w:color="5B9BD5" w:sz="4" w:space="0"/>
            </w:tcBorders>
            <w:vAlign w:val="top"/>
          </w:tcPr>
          <w:p w14:paraId="5D4E61FF">
            <w:pPr>
              <w:rPr>
                <w:rFonts w:ascii="Arial"/>
                <w:sz w:val="21"/>
              </w:rPr>
            </w:pPr>
          </w:p>
        </w:tc>
      </w:tr>
      <w:tr w14:paraId="138E95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5" w:hRule="atLeast"/>
        </w:trPr>
        <w:tc>
          <w:tcPr>
            <w:tcW w:w="772" w:type="dxa"/>
            <w:gridSpan w:val="2"/>
            <w:tcBorders>
              <w:left w:val="single" w:color="000000" w:sz="4" w:space="0"/>
            </w:tcBorders>
            <w:vAlign w:val="top"/>
          </w:tcPr>
          <w:p w14:paraId="498F807B">
            <w:pPr>
              <w:pStyle w:val="7"/>
              <w:spacing w:before="145" w:line="238" w:lineRule="auto"/>
              <w:ind w:left="289"/>
            </w:pPr>
            <w:r>
              <w:rPr>
                <w:spacing w:val="-6"/>
              </w:rPr>
              <w:t>22</w:t>
            </w:r>
          </w:p>
        </w:tc>
        <w:tc>
          <w:tcPr>
            <w:tcW w:w="1657" w:type="dxa"/>
            <w:vAlign w:val="top"/>
          </w:tcPr>
          <w:p w14:paraId="1220CECC">
            <w:pPr>
              <w:pStyle w:val="7"/>
              <w:spacing w:before="145" w:line="219" w:lineRule="auto"/>
              <w:ind w:left="410"/>
            </w:pPr>
            <w:r>
              <w:rPr>
                <w:spacing w:val="-17"/>
              </w:rPr>
              <w:t>高压水泵</w:t>
            </w:r>
          </w:p>
        </w:tc>
        <w:tc>
          <w:tcPr>
            <w:tcW w:w="1559" w:type="dxa"/>
            <w:vAlign w:val="top"/>
          </w:tcPr>
          <w:p w14:paraId="5C20A114">
            <w:pPr>
              <w:pStyle w:val="7"/>
              <w:spacing w:before="145" w:line="237" w:lineRule="auto"/>
              <w:ind w:left="398"/>
            </w:pPr>
            <w:r>
              <w:rPr>
                <w:spacing w:val="-9"/>
              </w:rPr>
              <w:t>YBZSZ-2</w:t>
            </w:r>
          </w:p>
        </w:tc>
        <w:tc>
          <w:tcPr>
            <w:tcW w:w="650" w:type="dxa"/>
            <w:vAlign w:val="top"/>
          </w:tcPr>
          <w:p w14:paraId="4D31E93A">
            <w:pPr>
              <w:pStyle w:val="7"/>
              <w:spacing w:before="145" w:line="237" w:lineRule="auto"/>
              <w:ind w:left="236"/>
            </w:pPr>
            <w:r>
              <w:rPr>
                <w:spacing w:val="-10"/>
              </w:rPr>
              <w:t>10</w:t>
            </w:r>
          </w:p>
        </w:tc>
        <w:tc>
          <w:tcPr>
            <w:tcW w:w="794" w:type="dxa"/>
            <w:vAlign w:val="top"/>
          </w:tcPr>
          <w:p w14:paraId="64FE8218">
            <w:pPr>
              <w:pStyle w:val="7"/>
              <w:spacing w:before="145" w:line="218" w:lineRule="auto"/>
              <w:ind w:left="191"/>
            </w:pPr>
            <w:r>
              <w:rPr>
                <w:spacing w:val="-10"/>
              </w:rPr>
              <w:t>天津</w:t>
            </w:r>
          </w:p>
        </w:tc>
        <w:tc>
          <w:tcPr>
            <w:tcW w:w="794" w:type="dxa"/>
            <w:vAlign w:val="top"/>
          </w:tcPr>
          <w:p w14:paraId="2F65CA66">
            <w:pPr>
              <w:pStyle w:val="7"/>
              <w:spacing w:before="146" w:line="237" w:lineRule="auto"/>
              <w:ind w:left="186" w:leftChars="0"/>
            </w:pPr>
            <w:r>
              <w:rPr>
                <w:spacing w:val="-9"/>
              </w:rPr>
              <w:t>2022</w:t>
            </w:r>
          </w:p>
        </w:tc>
        <w:tc>
          <w:tcPr>
            <w:tcW w:w="791" w:type="dxa"/>
            <w:vAlign w:val="top"/>
          </w:tcPr>
          <w:p w14:paraId="71FD07D0">
            <w:pPr>
              <w:pStyle w:val="7"/>
              <w:spacing w:before="145" w:line="237" w:lineRule="auto"/>
              <w:ind w:left="199"/>
            </w:pPr>
            <w:r>
              <w:rPr>
                <w:spacing w:val="-13"/>
              </w:rPr>
              <w:t>150m</w:t>
            </w:r>
          </w:p>
        </w:tc>
        <w:tc>
          <w:tcPr>
            <w:tcW w:w="794" w:type="dxa"/>
            <w:vAlign w:val="top"/>
          </w:tcPr>
          <w:p w14:paraId="769AC21D">
            <w:pPr>
              <w:pStyle w:val="7"/>
              <w:spacing w:before="145" w:line="219" w:lineRule="auto"/>
              <w:ind w:left="228"/>
            </w:pPr>
            <w:r>
              <w:rPr>
                <w:spacing w:val="-19"/>
              </w:rPr>
              <w:t>良好</w:t>
            </w:r>
          </w:p>
        </w:tc>
        <w:tc>
          <w:tcPr>
            <w:tcW w:w="1302" w:type="dxa"/>
            <w:vAlign w:val="top"/>
          </w:tcPr>
          <w:p w14:paraId="3BE70799">
            <w:pPr>
              <w:pStyle w:val="7"/>
              <w:spacing w:before="145" w:line="219" w:lineRule="auto"/>
              <w:ind w:left="231"/>
            </w:pPr>
            <w:r>
              <w:rPr>
                <w:spacing w:val="-15"/>
              </w:rPr>
              <w:t>施工用水</w:t>
            </w:r>
          </w:p>
        </w:tc>
        <w:tc>
          <w:tcPr>
            <w:tcW w:w="726" w:type="dxa"/>
            <w:vMerge w:val="continue"/>
            <w:tcBorders>
              <w:top w:val="nil"/>
              <w:bottom w:val="nil"/>
              <w:right w:val="single" w:color="5B9BD5" w:sz="4" w:space="0"/>
            </w:tcBorders>
            <w:vAlign w:val="top"/>
          </w:tcPr>
          <w:p w14:paraId="719EAFE0">
            <w:pPr>
              <w:rPr>
                <w:rFonts w:ascii="Arial"/>
                <w:sz w:val="21"/>
              </w:rPr>
            </w:pPr>
          </w:p>
        </w:tc>
      </w:tr>
      <w:tr w14:paraId="388DBA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6" w:hRule="atLeast"/>
        </w:trPr>
        <w:tc>
          <w:tcPr>
            <w:tcW w:w="772" w:type="dxa"/>
            <w:gridSpan w:val="2"/>
            <w:tcBorders>
              <w:left w:val="single" w:color="000000" w:sz="4" w:space="0"/>
            </w:tcBorders>
            <w:vAlign w:val="top"/>
          </w:tcPr>
          <w:p w14:paraId="5E20D921">
            <w:pPr>
              <w:pStyle w:val="7"/>
              <w:spacing w:before="146" w:line="237" w:lineRule="auto"/>
              <w:ind w:left="289"/>
            </w:pPr>
            <w:r>
              <w:rPr>
                <w:spacing w:val="-6"/>
              </w:rPr>
              <w:t>23</w:t>
            </w:r>
          </w:p>
        </w:tc>
        <w:tc>
          <w:tcPr>
            <w:tcW w:w="1657" w:type="dxa"/>
            <w:vAlign w:val="top"/>
          </w:tcPr>
          <w:p w14:paraId="4CE9E14B">
            <w:pPr>
              <w:pStyle w:val="7"/>
              <w:spacing w:before="146" w:line="218" w:lineRule="auto"/>
              <w:ind w:left="298"/>
            </w:pPr>
            <w:r>
              <w:rPr>
                <w:spacing w:val="-18"/>
              </w:rPr>
              <w:t>交流电焊机</w:t>
            </w:r>
          </w:p>
        </w:tc>
        <w:tc>
          <w:tcPr>
            <w:tcW w:w="1559" w:type="dxa"/>
            <w:vAlign w:val="top"/>
          </w:tcPr>
          <w:p w14:paraId="240117DF">
            <w:pPr>
              <w:pStyle w:val="7"/>
              <w:spacing w:before="146" w:line="237" w:lineRule="auto"/>
              <w:ind w:left="395"/>
            </w:pPr>
            <w:r>
              <w:rPr>
                <w:spacing w:val="-9"/>
              </w:rPr>
              <w:t>AX500-7</w:t>
            </w:r>
          </w:p>
        </w:tc>
        <w:tc>
          <w:tcPr>
            <w:tcW w:w="650" w:type="dxa"/>
            <w:vAlign w:val="top"/>
          </w:tcPr>
          <w:p w14:paraId="4BE19925">
            <w:pPr>
              <w:pStyle w:val="7"/>
              <w:spacing w:before="146" w:line="237" w:lineRule="auto"/>
              <w:ind w:left="278"/>
            </w:pPr>
            <w:r>
              <w:t>5</w:t>
            </w:r>
          </w:p>
        </w:tc>
        <w:tc>
          <w:tcPr>
            <w:tcW w:w="794" w:type="dxa"/>
            <w:vAlign w:val="top"/>
          </w:tcPr>
          <w:p w14:paraId="5296B031">
            <w:pPr>
              <w:pStyle w:val="7"/>
              <w:spacing w:before="146" w:line="218" w:lineRule="auto"/>
              <w:ind w:left="201"/>
            </w:pPr>
            <w:r>
              <w:rPr>
                <w:spacing w:val="-13"/>
              </w:rPr>
              <w:t>宁波</w:t>
            </w:r>
          </w:p>
        </w:tc>
        <w:tc>
          <w:tcPr>
            <w:tcW w:w="794" w:type="dxa"/>
            <w:vAlign w:val="top"/>
          </w:tcPr>
          <w:p w14:paraId="735E892E">
            <w:pPr>
              <w:pStyle w:val="7"/>
              <w:spacing w:before="145" w:line="237" w:lineRule="auto"/>
              <w:ind w:left="186" w:leftChars="0"/>
            </w:pPr>
            <w:r>
              <w:rPr>
                <w:spacing w:val="-9"/>
              </w:rPr>
              <w:t>202</w:t>
            </w:r>
            <w:r>
              <w:rPr>
                <w:rFonts w:hint="eastAsia"/>
                <w:spacing w:val="-9"/>
                <w:lang w:val="en-US" w:eastAsia="zh-CN"/>
              </w:rPr>
              <w:t>1</w:t>
            </w:r>
          </w:p>
        </w:tc>
        <w:tc>
          <w:tcPr>
            <w:tcW w:w="791" w:type="dxa"/>
            <w:vAlign w:val="top"/>
          </w:tcPr>
          <w:p w14:paraId="1D1508D0">
            <w:pPr>
              <w:pStyle w:val="7"/>
              <w:spacing w:before="146" w:line="237" w:lineRule="auto"/>
              <w:ind w:left="295"/>
            </w:pPr>
            <w:r>
              <w:rPr>
                <w:spacing w:val="-6"/>
              </w:rPr>
              <w:t>26</w:t>
            </w:r>
          </w:p>
        </w:tc>
        <w:tc>
          <w:tcPr>
            <w:tcW w:w="794" w:type="dxa"/>
            <w:vAlign w:val="top"/>
          </w:tcPr>
          <w:p w14:paraId="2F8D427A">
            <w:pPr>
              <w:pStyle w:val="7"/>
              <w:spacing w:before="146" w:line="219" w:lineRule="auto"/>
              <w:ind w:left="228"/>
            </w:pPr>
            <w:r>
              <w:rPr>
                <w:spacing w:val="-19"/>
              </w:rPr>
              <w:t>良好</w:t>
            </w:r>
          </w:p>
        </w:tc>
        <w:tc>
          <w:tcPr>
            <w:tcW w:w="1302" w:type="dxa"/>
            <w:vAlign w:val="top"/>
          </w:tcPr>
          <w:p w14:paraId="60315D5C">
            <w:pPr>
              <w:pStyle w:val="7"/>
              <w:spacing w:before="146" w:line="218" w:lineRule="auto"/>
              <w:ind w:left="245"/>
            </w:pPr>
            <w:r>
              <w:rPr>
                <w:spacing w:val="-19"/>
              </w:rPr>
              <w:t>管道焊接</w:t>
            </w:r>
          </w:p>
        </w:tc>
        <w:tc>
          <w:tcPr>
            <w:tcW w:w="726" w:type="dxa"/>
            <w:vMerge w:val="continue"/>
            <w:tcBorders>
              <w:top w:val="nil"/>
              <w:bottom w:val="nil"/>
              <w:right w:val="single" w:color="5B9BD5" w:sz="4" w:space="0"/>
            </w:tcBorders>
            <w:vAlign w:val="top"/>
          </w:tcPr>
          <w:p w14:paraId="68C16D0B">
            <w:pPr>
              <w:rPr>
                <w:rFonts w:ascii="Arial"/>
                <w:sz w:val="21"/>
              </w:rPr>
            </w:pPr>
          </w:p>
        </w:tc>
      </w:tr>
      <w:tr w14:paraId="1BC9A6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3" w:hRule="atLeast"/>
        </w:trPr>
        <w:tc>
          <w:tcPr>
            <w:tcW w:w="772" w:type="dxa"/>
            <w:gridSpan w:val="2"/>
            <w:tcBorders>
              <w:left w:val="single" w:color="000000" w:sz="4" w:space="0"/>
              <w:bottom w:val="single" w:color="000000" w:sz="4" w:space="0"/>
            </w:tcBorders>
            <w:vAlign w:val="top"/>
          </w:tcPr>
          <w:p w14:paraId="48019D93">
            <w:pPr>
              <w:pStyle w:val="7"/>
              <w:spacing w:before="147" w:line="238" w:lineRule="auto"/>
              <w:ind w:left="289"/>
            </w:pPr>
            <w:r>
              <w:rPr>
                <w:spacing w:val="-6"/>
              </w:rPr>
              <w:t>24</w:t>
            </w:r>
          </w:p>
        </w:tc>
        <w:tc>
          <w:tcPr>
            <w:tcW w:w="1657" w:type="dxa"/>
            <w:tcBorders>
              <w:bottom w:val="single" w:color="000000" w:sz="4" w:space="0"/>
            </w:tcBorders>
            <w:vAlign w:val="top"/>
          </w:tcPr>
          <w:p w14:paraId="547D2A24">
            <w:pPr>
              <w:pStyle w:val="7"/>
              <w:spacing w:before="147" w:line="215" w:lineRule="auto"/>
              <w:ind w:left="292"/>
            </w:pPr>
            <w:r>
              <w:rPr>
                <w:spacing w:val="-17"/>
              </w:rPr>
              <w:t>砂轮切割机</w:t>
            </w:r>
          </w:p>
        </w:tc>
        <w:tc>
          <w:tcPr>
            <w:tcW w:w="1559" w:type="dxa"/>
            <w:tcBorders>
              <w:bottom w:val="single" w:color="000000" w:sz="4" w:space="0"/>
            </w:tcBorders>
            <w:vAlign w:val="top"/>
          </w:tcPr>
          <w:p w14:paraId="60CAA938">
            <w:pPr>
              <w:pStyle w:val="7"/>
              <w:spacing w:before="147" w:line="225" w:lineRule="auto"/>
              <w:ind w:left="483"/>
            </w:pPr>
            <w:r>
              <w:rPr>
                <w:spacing w:val="-8"/>
              </w:rPr>
              <w:t>400型</w:t>
            </w:r>
          </w:p>
        </w:tc>
        <w:tc>
          <w:tcPr>
            <w:tcW w:w="650" w:type="dxa"/>
            <w:tcBorders>
              <w:bottom w:val="single" w:color="000000" w:sz="4" w:space="0"/>
            </w:tcBorders>
            <w:vAlign w:val="top"/>
          </w:tcPr>
          <w:p w14:paraId="1C39413E">
            <w:pPr>
              <w:pStyle w:val="7"/>
              <w:spacing w:before="146" w:line="237" w:lineRule="auto"/>
              <w:ind w:left="278"/>
            </w:pPr>
            <w:r>
              <w:t>5</w:t>
            </w:r>
          </w:p>
        </w:tc>
        <w:tc>
          <w:tcPr>
            <w:tcW w:w="794" w:type="dxa"/>
            <w:tcBorders>
              <w:bottom w:val="single" w:color="000000" w:sz="4" w:space="0"/>
            </w:tcBorders>
            <w:vAlign w:val="top"/>
          </w:tcPr>
          <w:p w14:paraId="51B25AE0">
            <w:pPr>
              <w:pStyle w:val="7"/>
              <w:spacing w:before="147" w:line="218" w:lineRule="auto"/>
              <w:ind w:left="218"/>
            </w:pPr>
            <w:r>
              <w:rPr>
                <w:spacing w:val="-17"/>
              </w:rPr>
              <w:t>四川</w:t>
            </w:r>
          </w:p>
        </w:tc>
        <w:tc>
          <w:tcPr>
            <w:tcW w:w="794" w:type="dxa"/>
            <w:tcBorders>
              <w:bottom w:val="single" w:color="000000" w:sz="4" w:space="0"/>
            </w:tcBorders>
            <w:vAlign w:val="top"/>
          </w:tcPr>
          <w:p w14:paraId="32B8CAB6">
            <w:pPr>
              <w:pStyle w:val="7"/>
              <w:spacing w:before="146" w:line="237" w:lineRule="auto"/>
              <w:ind w:left="186" w:leftChars="0"/>
            </w:pPr>
            <w:r>
              <w:rPr>
                <w:spacing w:val="-9"/>
              </w:rPr>
              <w:t>2022</w:t>
            </w:r>
          </w:p>
        </w:tc>
        <w:tc>
          <w:tcPr>
            <w:tcW w:w="791" w:type="dxa"/>
            <w:tcBorders>
              <w:bottom w:val="single" w:color="000000" w:sz="4" w:space="0"/>
            </w:tcBorders>
            <w:vAlign w:val="top"/>
          </w:tcPr>
          <w:p w14:paraId="3C3DD962">
            <w:pPr>
              <w:pStyle w:val="7"/>
              <w:spacing w:before="147" w:line="236" w:lineRule="auto"/>
              <w:ind w:left="239"/>
            </w:pPr>
            <w:r>
              <w:rPr>
                <w:spacing w:val="-8"/>
              </w:rPr>
              <w:t>0.5</w:t>
            </w:r>
          </w:p>
        </w:tc>
        <w:tc>
          <w:tcPr>
            <w:tcW w:w="794" w:type="dxa"/>
            <w:tcBorders>
              <w:bottom w:val="single" w:color="000000" w:sz="4" w:space="0"/>
            </w:tcBorders>
            <w:vAlign w:val="top"/>
          </w:tcPr>
          <w:p w14:paraId="6DC6575C">
            <w:pPr>
              <w:pStyle w:val="7"/>
              <w:spacing w:before="146" w:line="219" w:lineRule="auto"/>
              <w:ind w:left="228"/>
            </w:pPr>
            <w:r>
              <w:rPr>
                <w:spacing w:val="-19"/>
              </w:rPr>
              <w:t>良好</w:t>
            </w:r>
          </w:p>
        </w:tc>
        <w:tc>
          <w:tcPr>
            <w:tcW w:w="1302" w:type="dxa"/>
            <w:tcBorders>
              <w:bottom w:val="single" w:color="000000" w:sz="4" w:space="0"/>
            </w:tcBorders>
            <w:vAlign w:val="top"/>
          </w:tcPr>
          <w:p w14:paraId="35ACA6F6">
            <w:pPr>
              <w:pStyle w:val="7"/>
              <w:spacing w:before="147" w:line="218" w:lineRule="auto"/>
              <w:ind w:left="245"/>
            </w:pPr>
            <w:r>
              <w:rPr>
                <w:spacing w:val="-19"/>
              </w:rPr>
              <w:t>管道切割</w:t>
            </w:r>
          </w:p>
        </w:tc>
        <w:tc>
          <w:tcPr>
            <w:tcW w:w="726" w:type="dxa"/>
            <w:vMerge w:val="continue"/>
            <w:tcBorders>
              <w:top w:val="nil"/>
              <w:bottom w:val="nil"/>
              <w:right w:val="single" w:color="5B9BD5" w:sz="4" w:space="0"/>
            </w:tcBorders>
            <w:vAlign w:val="top"/>
          </w:tcPr>
          <w:p w14:paraId="1B6FAA61">
            <w:pPr>
              <w:rPr>
                <w:rFonts w:ascii="Arial"/>
                <w:sz w:val="21"/>
              </w:rPr>
            </w:pPr>
          </w:p>
        </w:tc>
      </w:tr>
      <w:tr w14:paraId="0E79A5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1" w:hRule="atLeast"/>
        </w:trPr>
        <w:tc>
          <w:tcPr>
            <w:tcW w:w="772" w:type="dxa"/>
            <w:gridSpan w:val="2"/>
            <w:tcBorders>
              <w:top w:val="single" w:color="000000" w:sz="4" w:space="0"/>
              <w:left w:val="single" w:color="000000" w:sz="4" w:space="0"/>
            </w:tcBorders>
            <w:vAlign w:val="top"/>
          </w:tcPr>
          <w:p w14:paraId="2D05D8DD">
            <w:pPr>
              <w:pStyle w:val="7"/>
              <w:spacing w:before="143" w:line="237" w:lineRule="auto"/>
              <w:ind w:left="289"/>
            </w:pPr>
            <w:r>
              <w:rPr>
                <w:spacing w:val="-6"/>
              </w:rPr>
              <w:t>25</w:t>
            </w:r>
          </w:p>
        </w:tc>
        <w:tc>
          <w:tcPr>
            <w:tcW w:w="1657" w:type="dxa"/>
            <w:tcBorders>
              <w:top w:val="single" w:color="000000" w:sz="4" w:space="0"/>
            </w:tcBorders>
            <w:vAlign w:val="top"/>
          </w:tcPr>
          <w:p w14:paraId="5004CD73">
            <w:pPr>
              <w:pStyle w:val="7"/>
              <w:spacing w:before="143" w:line="218" w:lineRule="auto"/>
              <w:ind w:left="510"/>
            </w:pPr>
            <w:r>
              <w:rPr>
                <w:spacing w:val="-13"/>
              </w:rPr>
              <w:t>抛光机</w:t>
            </w:r>
          </w:p>
        </w:tc>
        <w:tc>
          <w:tcPr>
            <w:tcW w:w="1559" w:type="dxa"/>
            <w:tcBorders>
              <w:top w:val="single" w:color="000000" w:sz="4" w:space="0"/>
            </w:tcBorders>
            <w:vAlign w:val="top"/>
          </w:tcPr>
          <w:p w14:paraId="60EDD70D">
            <w:pPr>
              <w:pStyle w:val="7"/>
              <w:spacing w:before="143" w:line="237" w:lineRule="auto"/>
              <w:ind w:left="395"/>
            </w:pPr>
            <w:r>
              <w:rPr>
                <w:spacing w:val="-9"/>
              </w:rPr>
              <w:t>MD-3215</w:t>
            </w:r>
          </w:p>
        </w:tc>
        <w:tc>
          <w:tcPr>
            <w:tcW w:w="650" w:type="dxa"/>
            <w:tcBorders>
              <w:top w:val="single" w:color="000000" w:sz="4" w:space="0"/>
            </w:tcBorders>
            <w:vAlign w:val="top"/>
          </w:tcPr>
          <w:p w14:paraId="327F41B6">
            <w:pPr>
              <w:pStyle w:val="7"/>
              <w:spacing w:before="143" w:line="237" w:lineRule="auto"/>
              <w:ind w:left="278"/>
            </w:pPr>
            <w:r>
              <w:t>5</w:t>
            </w:r>
          </w:p>
        </w:tc>
        <w:tc>
          <w:tcPr>
            <w:tcW w:w="794" w:type="dxa"/>
            <w:tcBorders>
              <w:top w:val="single" w:color="000000" w:sz="4" w:space="0"/>
            </w:tcBorders>
            <w:vAlign w:val="top"/>
          </w:tcPr>
          <w:p w14:paraId="56EC7DDB">
            <w:pPr>
              <w:pStyle w:val="7"/>
              <w:spacing w:before="143" w:line="218" w:lineRule="auto"/>
              <w:ind w:left="189"/>
            </w:pPr>
            <w:r>
              <w:rPr>
                <w:spacing w:val="-10"/>
              </w:rPr>
              <w:t>徐州</w:t>
            </w:r>
          </w:p>
        </w:tc>
        <w:tc>
          <w:tcPr>
            <w:tcW w:w="794" w:type="dxa"/>
            <w:tcBorders>
              <w:top w:val="single" w:color="000000" w:sz="4" w:space="0"/>
            </w:tcBorders>
            <w:vAlign w:val="top"/>
          </w:tcPr>
          <w:p w14:paraId="43565798">
            <w:pPr>
              <w:pStyle w:val="7"/>
              <w:spacing w:before="145" w:line="237" w:lineRule="auto"/>
              <w:ind w:left="186" w:leftChars="0"/>
            </w:pPr>
            <w:r>
              <w:rPr>
                <w:spacing w:val="-9"/>
              </w:rPr>
              <w:t>202</w:t>
            </w:r>
            <w:r>
              <w:rPr>
                <w:rFonts w:hint="eastAsia"/>
                <w:spacing w:val="-9"/>
                <w:lang w:val="en-US" w:eastAsia="zh-CN"/>
              </w:rPr>
              <w:t>1</w:t>
            </w:r>
          </w:p>
        </w:tc>
        <w:tc>
          <w:tcPr>
            <w:tcW w:w="791" w:type="dxa"/>
            <w:tcBorders>
              <w:top w:val="single" w:color="000000" w:sz="4" w:space="0"/>
            </w:tcBorders>
            <w:vAlign w:val="top"/>
          </w:tcPr>
          <w:p w14:paraId="4059E000">
            <w:pPr>
              <w:pStyle w:val="7"/>
              <w:spacing w:before="143" w:line="236" w:lineRule="auto"/>
              <w:ind w:left="239"/>
            </w:pPr>
            <w:r>
              <w:rPr>
                <w:spacing w:val="-8"/>
              </w:rPr>
              <w:t>0.5</w:t>
            </w:r>
          </w:p>
        </w:tc>
        <w:tc>
          <w:tcPr>
            <w:tcW w:w="794" w:type="dxa"/>
            <w:tcBorders>
              <w:top w:val="single" w:color="000000" w:sz="4" w:space="0"/>
            </w:tcBorders>
            <w:vAlign w:val="top"/>
          </w:tcPr>
          <w:p w14:paraId="29F230B3">
            <w:pPr>
              <w:pStyle w:val="7"/>
              <w:spacing w:before="143" w:line="219" w:lineRule="auto"/>
              <w:ind w:left="228"/>
            </w:pPr>
            <w:r>
              <w:rPr>
                <w:spacing w:val="-19"/>
              </w:rPr>
              <w:t>良好</w:t>
            </w:r>
          </w:p>
        </w:tc>
        <w:tc>
          <w:tcPr>
            <w:tcW w:w="1302" w:type="dxa"/>
            <w:tcBorders>
              <w:top w:val="single" w:color="000000" w:sz="4" w:space="0"/>
            </w:tcBorders>
            <w:vAlign w:val="top"/>
          </w:tcPr>
          <w:p w14:paraId="61B67346">
            <w:pPr>
              <w:pStyle w:val="7"/>
              <w:spacing w:before="143" w:line="219" w:lineRule="auto"/>
              <w:ind w:left="245"/>
            </w:pPr>
            <w:r>
              <w:rPr>
                <w:spacing w:val="-19"/>
              </w:rPr>
              <w:t>管道打磨</w:t>
            </w:r>
          </w:p>
        </w:tc>
        <w:tc>
          <w:tcPr>
            <w:tcW w:w="726" w:type="dxa"/>
            <w:vMerge w:val="continue"/>
            <w:tcBorders>
              <w:top w:val="nil"/>
              <w:bottom w:val="nil"/>
              <w:right w:val="single" w:color="5B9BD5" w:sz="4" w:space="0"/>
            </w:tcBorders>
            <w:vAlign w:val="top"/>
          </w:tcPr>
          <w:p w14:paraId="330B5533">
            <w:pPr>
              <w:rPr>
                <w:rFonts w:ascii="Arial"/>
                <w:sz w:val="21"/>
              </w:rPr>
            </w:pPr>
          </w:p>
        </w:tc>
      </w:tr>
      <w:tr w14:paraId="7B467E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6" w:hRule="atLeast"/>
        </w:trPr>
        <w:tc>
          <w:tcPr>
            <w:tcW w:w="772" w:type="dxa"/>
            <w:gridSpan w:val="2"/>
            <w:tcBorders>
              <w:left w:val="single" w:color="000000" w:sz="4" w:space="0"/>
            </w:tcBorders>
            <w:vAlign w:val="top"/>
          </w:tcPr>
          <w:p w14:paraId="1A4FA6BF">
            <w:pPr>
              <w:pStyle w:val="7"/>
              <w:spacing w:before="148" w:line="237" w:lineRule="auto"/>
              <w:ind w:left="289"/>
            </w:pPr>
            <w:r>
              <w:rPr>
                <w:spacing w:val="-6"/>
              </w:rPr>
              <w:t>26</w:t>
            </w:r>
          </w:p>
        </w:tc>
        <w:tc>
          <w:tcPr>
            <w:tcW w:w="1657" w:type="dxa"/>
            <w:vAlign w:val="top"/>
          </w:tcPr>
          <w:p w14:paraId="244BE0E9">
            <w:pPr>
              <w:pStyle w:val="7"/>
              <w:spacing w:before="148" w:line="218" w:lineRule="auto"/>
              <w:ind w:left="511"/>
            </w:pPr>
            <w:r>
              <w:rPr>
                <w:spacing w:val="-14"/>
              </w:rPr>
              <w:t>套丝机</w:t>
            </w:r>
          </w:p>
        </w:tc>
        <w:tc>
          <w:tcPr>
            <w:tcW w:w="1559" w:type="dxa"/>
            <w:vAlign w:val="top"/>
          </w:tcPr>
          <w:p w14:paraId="2898D435">
            <w:pPr>
              <w:pStyle w:val="7"/>
              <w:spacing w:before="191" w:line="179" w:lineRule="auto"/>
              <w:ind w:left="511"/>
            </w:pPr>
            <w:r>
              <w:rPr>
                <w:spacing w:val="-9"/>
              </w:rPr>
              <w:t>S8139</w:t>
            </w:r>
          </w:p>
        </w:tc>
        <w:tc>
          <w:tcPr>
            <w:tcW w:w="650" w:type="dxa"/>
            <w:vAlign w:val="top"/>
          </w:tcPr>
          <w:p w14:paraId="5420E54D">
            <w:pPr>
              <w:pStyle w:val="7"/>
              <w:spacing w:before="148" w:line="237" w:lineRule="auto"/>
              <w:ind w:left="236"/>
            </w:pPr>
            <w:r>
              <w:rPr>
                <w:spacing w:val="-10"/>
              </w:rPr>
              <w:t>10</w:t>
            </w:r>
          </w:p>
        </w:tc>
        <w:tc>
          <w:tcPr>
            <w:tcW w:w="794" w:type="dxa"/>
            <w:vAlign w:val="top"/>
          </w:tcPr>
          <w:p w14:paraId="52F5DCBA">
            <w:pPr>
              <w:pStyle w:val="7"/>
              <w:spacing w:before="148" w:line="218" w:lineRule="auto"/>
              <w:ind w:left="189"/>
            </w:pPr>
            <w:r>
              <w:rPr>
                <w:spacing w:val="-8"/>
              </w:rPr>
              <w:t>徐州</w:t>
            </w:r>
          </w:p>
        </w:tc>
        <w:tc>
          <w:tcPr>
            <w:tcW w:w="794" w:type="dxa"/>
            <w:vAlign w:val="top"/>
          </w:tcPr>
          <w:p w14:paraId="05EC60AB">
            <w:pPr>
              <w:pStyle w:val="7"/>
              <w:spacing w:before="146" w:line="237" w:lineRule="auto"/>
              <w:ind w:left="186" w:leftChars="0"/>
            </w:pPr>
            <w:r>
              <w:rPr>
                <w:spacing w:val="-9"/>
              </w:rPr>
              <w:t>2022</w:t>
            </w:r>
          </w:p>
        </w:tc>
        <w:tc>
          <w:tcPr>
            <w:tcW w:w="791" w:type="dxa"/>
            <w:vAlign w:val="top"/>
          </w:tcPr>
          <w:p w14:paraId="2676FFA1">
            <w:pPr>
              <w:pStyle w:val="7"/>
              <w:spacing w:before="148" w:line="238" w:lineRule="auto"/>
              <w:ind w:left="350"/>
            </w:pPr>
            <w:r>
              <w:t>2</w:t>
            </w:r>
          </w:p>
        </w:tc>
        <w:tc>
          <w:tcPr>
            <w:tcW w:w="794" w:type="dxa"/>
            <w:vAlign w:val="top"/>
          </w:tcPr>
          <w:p w14:paraId="2A14DF07">
            <w:pPr>
              <w:pStyle w:val="7"/>
              <w:spacing w:before="148" w:line="219" w:lineRule="auto"/>
              <w:ind w:left="228"/>
            </w:pPr>
            <w:r>
              <w:rPr>
                <w:spacing w:val="-19"/>
              </w:rPr>
              <w:t>良好</w:t>
            </w:r>
          </w:p>
        </w:tc>
        <w:tc>
          <w:tcPr>
            <w:tcW w:w="1302" w:type="dxa"/>
            <w:vAlign w:val="top"/>
          </w:tcPr>
          <w:p w14:paraId="16AECADE">
            <w:pPr>
              <w:pStyle w:val="7"/>
              <w:spacing w:before="148" w:line="220" w:lineRule="auto"/>
              <w:ind w:left="245"/>
            </w:pPr>
            <w:r>
              <w:rPr>
                <w:spacing w:val="-19"/>
              </w:rPr>
              <w:t>管道套丝</w:t>
            </w:r>
          </w:p>
        </w:tc>
        <w:tc>
          <w:tcPr>
            <w:tcW w:w="726" w:type="dxa"/>
            <w:vMerge w:val="continue"/>
            <w:tcBorders>
              <w:top w:val="nil"/>
              <w:bottom w:val="nil"/>
              <w:right w:val="single" w:color="5B9BD5" w:sz="4" w:space="0"/>
            </w:tcBorders>
            <w:vAlign w:val="top"/>
          </w:tcPr>
          <w:p w14:paraId="2D82B337">
            <w:pPr>
              <w:rPr>
                <w:rFonts w:ascii="Arial"/>
                <w:sz w:val="21"/>
              </w:rPr>
            </w:pPr>
          </w:p>
        </w:tc>
      </w:tr>
      <w:tr w14:paraId="47D9CF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6" w:hRule="atLeast"/>
        </w:trPr>
        <w:tc>
          <w:tcPr>
            <w:tcW w:w="772" w:type="dxa"/>
            <w:gridSpan w:val="2"/>
            <w:tcBorders>
              <w:left w:val="single" w:color="000000" w:sz="4" w:space="0"/>
            </w:tcBorders>
            <w:vAlign w:val="top"/>
          </w:tcPr>
          <w:p w14:paraId="64D44338">
            <w:pPr>
              <w:pStyle w:val="7"/>
              <w:spacing w:before="148" w:line="237" w:lineRule="auto"/>
              <w:ind w:left="289"/>
            </w:pPr>
            <w:r>
              <w:rPr>
                <w:spacing w:val="-6"/>
              </w:rPr>
              <w:t>27</w:t>
            </w:r>
          </w:p>
        </w:tc>
        <w:tc>
          <w:tcPr>
            <w:tcW w:w="1657" w:type="dxa"/>
            <w:vAlign w:val="top"/>
          </w:tcPr>
          <w:p w14:paraId="20F1CA7A">
            <w:pPr>
              <w:pStyle w:val="7"/>
              <w:spacing w:before="148" w:line="218" w:lineRule="auto"/>
              <w:ind w:left="293"/>
            </w:pPr>
            <w:r>
              <w:rPr>
                <w:spacing w:val="-17"/>
              </w:rPr>
              <w:t>液压弯管器</w:t>
            </w:r>
          </w:p>
        </w:tc>
        <w:tc>
          <w:tcPr>
            <w:tcW w:w="1559" w:type="dxa"/>
            <w:vAlign w:val="top"/>
          </w:tcPr>
          <w:p w14:paraId="63CA2DDA">
            <w:pPr>
              <w:pStyle w:val="7"/>
              <w:spacing w:before="148" w:line="236" w:lineRule="auto"/>
              <w:ind w:left="286"/>
            </w:pPr>
            <w:r>
              <w:rPr>
                <w:spacing w:val="-10"/>
              </w:rPr>
              <w:t>DB4-1.5-2</w:t>
            </w:r>
          </w:p>
        </w:tc>
        <w:tc>
          <w:tcPr>
            <w:tcW w:w="650" w:type="dxa"/>
            <w:vAlign w:val="top"/>
          </w:tcPr>
          <w:p w14:paraId="0C9AE8AC">
            <w:pPr>
              <w:pStyle w:val="7"/>
              <w:spacing w:before="148" w:line="237" w:lineRule="auto"/>
              <w:ind w:left="278"/>
            </w:pPr>
            <w:r>
              <w:t>5</w:t>
            </w:r>
          </w:p>
        </w:tc>
        <w:tc>
          <w:tcPr>
            <w:tcW w:w="794" w:type="dxa"/>
            <w:vAlign w:val="top"/>
          </w:tcPr>
          <w:p w14:paraId="1EA7B794">
            <w:pPr>
              <w:pStyle w:val="7"/>
              <w:spacing w:before="148" w:line="220" w:lineRule="auto"/>
              <w:ind w:left="196"/>
            </w:pPr>
            <w:r>
              <w:rPr>
                <w:spacing w:val="-11"/>
              </w:rPr>
              <w:t>江苏</w:t>
            </w:r>
          </w:p>
        </w:tc>
        <w:tc>
          <w:tcPr>
            <w:tcW w:w="794" w:type="dxa"/>
            <w:vAlign w:val="top"/>
          </w:tcPr>
          <w:p w14:paraId="14A60EF6">
            <w:pPr>
              <w:pStyle w:val="7"/>
              <w:spacing w:before="145" w:line="237" w:lineRule="auto"/>
              <w:ind w:left="186" w:leftChars="0"/>
            </w:pPr>
            <w:r>
              <w:rPr>
                <w:spacing w:val="-9"/>
              </w:rPr>
              <w:t>202</w:t>
            </w:r>
            <w:r>
              <w:rPr>
                <w:rFonts w:hint="eastAsia"/>
                <w:spacing w:val="-9"/>
                <w:lang w:val="en-US" w:eastAsia="zh-CN"/>
              </w:rPr>
              <w:t>1</w:t>
            </w:r>
          </w:p>
        </w:tc>
        <w:tc>
          <w:tcPr>
            <w:tcW w:w="791" w:type="dxa"/>
            <w:vAlign w:val="top"/>
          </w:tcPr>
          <w:p w14:paraId="66FE1226">
            <w:pPr>
              <w:rPr>
                <w:rFonts w:ascii="Arial"/>
                <w:sz w:val="21"/>
              </w:rPr>
            </w:pPr>
          </w:p>
        </w:tc>
        <w:tc>
          <w:tcPr>
            <w:tcW w:w="794" w:type="dxa"/>
            <w:vAlign w:val="top"/>
          </w:tcPr>
          <w:p w14:paraId="0737B344">
            <w:pPr>
              <w:pStyle w:val="7"/>
              <w:spacing w:before="148" w:line="219" w:lineRule="auto"/>
              <w:ind w:left="228"/>
            </w:pPr>
            <w:r>
              <w:rPr>
                <w:spacing w:val="-26"/>
              </w:rPr>
              <w:t>良好</w:t>
            </w:r>
          </w:p>
        </w:tc>
        <w:tc>
          <w:tcPr>
            <w:tcW w:w="1302" w:type="dxa"/>
            <w:vAlign w:val="top"/>
          </w:tcPr>
          <w:p w14:paraId="6DA287A1">
            <w:pPr>
              <w:pStyle w:val="7"/>
              <w:spacing w:before="148" w:line="220" w:lineRule="auto"/>
              <w:ind w:left="451"/>
            </w:pPr>
            <w:r>
              <w:rPr>
                <w:spacing w:val="-11"/>
              </w:rPr>
              <w:t>配管</w:t>
            </w:r>
          </w:p>
        </w:tc>
        <w:tc>
          <w:tcPr>
            <w:tcW w:w="726" w:type="dxa"/>
            <w:vMerge w:val="continue"/>
            <w:tcBorders>
              <w:top w:val="nil"/>
              <w:bottom w:val="nil"/>
              <w:right w:val="single" w:color="5B9BD5" w:sz="4" w:space="0"/>
            </w:tcBorders>
            <w:vAlign w:val="top"/>
          </w:tcPr>
          <w:p w14:paraId="76B7620C">
            <w:pPr>
              <w:rPr>
                <w:rFonts w:ascii="Arial"/>
                <w:sz w:val="21"/>
              </w:rPr>
            </w:pPr>
          </w:p>
        </w:tc>
      </w:tr>
      <w:tr w14:paraId="0E0D3D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6" w:hRule="atLeast"/>
        </w:trPr>
        <w:tc>
          <w:tcPr>
            <w:tcW w:w="772" w:type="dxa"/>
            <w:gridSpan w:val="2"/>
            <w:tcBorders>
              <w:left w:val="single" w:color="000000" w:sz="4" w:space="0"/>
            </w:tcBorders>
            <w:vAlign w:val="top"/>
          </w:tcPr>
          <w:p w14:paraId="684545DA">
            <w:pPr>
              <w:pStyle w:val="7"/>
              <w:spacing w:before="148" w:line="237" w:lineRule="auto"/>
              <w:ind w:left="289"/>
            </w:pPr>
            <w:r>
              <w:rPr>
                <w:spacing w:val="-6"/>
              </w:rPr>
              <w:t>28</w:t>
            </w:r>
          </w:p>
        </w:tc>
        <w:tc>
          <w:tcPr>
            <w:tcW w:w="1657" w:type="dxa"/>
            <w:vAlign w:val="top"/>
          </w:tcPr>
          <w:p w14:paraId="05BFFDF9">
            <w:pPr>
              <w:pStyle w:val="7"/>
              <w:spacing w:before="148" w:line="219" w:lineRule="auto"/>
              <w:ind w:left="319"/>
            </w:pPr>
            <w:r>
              <w:rPr>
                <w:spacing w:val="-22"/>
              </w:rPr>
              <w:t>电动试压泵</w:t>
            </w:r>
          </w:p>
        </w:tc>
        <w:tc>
          <w:tcPr>
            <w:tcW w:w="1559" w:type="dxa"/>
            <w:vAlign w:val="top"/>
          </w:tcPr>
          <w:p w14:paraId="4699A8B5">
            <w:pPr>
              <w:pStyle w:val="7"/>
              <w:spacing w:before="148" w:line="222" w:lineRule="auto"/>
              <w:ind w:left="346"/>
            </w:pPr>
            <w:r>
              <w:rPr>
                <w:spacing w:val="-10"/>
              </w:rPr>
              <w:t>4D-SY/35</w:t>
            </w:r>
          </w:p>
        </w:tc>
        <w:tc>
          <w:tcPr>
            <w:tcW w:w="650" w:type="dxa"/>
            <w:vAlign w:val="top"/>
          </w:tcPr>
          <w:p w14:paraId="42A60893">
            <w:pPr>
              <w:pStyle w:val="7"/>
              <w:spacing w:before="149" w:line="238" w:lineRule="auto"/>
              <w:ind w:left="236"/>
            </w:pPr>
            <w:r>
              <w:rPr>
                <w:spacing w:val="-14"/>
              </w:rPr>
              <w:t>12</w:t>
            </w:r>
          </w:p>
        </w:tc>
        <w:tc>
          <w:tcPr>
            <w:tcW w:w="794" w:type="dxa"/>
            <w:vAlign w:val="top"/>
          </w:tcPr>
          <w:p w14:paraId="5A27DBAA">
            <w:pPr>
              <w:pStyle w:val="7"/>
              <w:spacing w:before="149" w:line="218" w:lineRule="auto"/>
              <w:ind w:left="193"/>
            </w:pPr>
            <w:r>
              <w:rPr>
                <w:spacing w:val="-10"/>
              </w:rPr>
              <w:t>安徽</w:t>
            </w:r>
          </w:p>
        </w:tc>
        <w:tc>
          <w:tcPr>
            <w:tcW w:w="794" w:type="dxa"/>
            <w:vAlign w:val="top"/>
          </w:tcPr>
          <w:p w14:paraId="2A8F6706">
            <w:pPr>
              <w:pStyle w:val="7"/>
              <w:spacing w:before="146" w:line="237" w:lineRule="auto"/>
              <w:ind w:left="186" w:leftChars="0"/>
            </w:pPr>
            <w:r>
              <w:rPr>
                <w:spacing w:val="-9"/>
              </w:rPr>
              <w:t>2022</w:t>
            </w:r>
          </w:p>
        </w:tc>
        <w:tc>
          <w:tcPr>
            <w:tcW w:w="791" w:type="dxa"/>
            <w:vAlign w:val="top"/>
          </w:tcPr>
          <w:p w14:paraId="2DB61902">
            <w:pPr>
              <w:pStyle w:val="7"/>
              <w:spacing w:before="149" w:line="238" w:lineRule="auto"/>
              <w:ind w:left="350"/>
            </w:pPr>
            <w:r>
              <w:t>2</w:t>
            </w:r>
          </w:p>
        </w:tc>
        <w:tc>
          <w:tcPr>
            <w:tcW w:w="794" w:type="dxa"/>
            <w:vAlign w:val="top"/>
          </w:tcPr>
          <w:p w14:paraId="1AF89DB4">
            <w:pPr>
              <w:pStyle w:val="7"/>
              <w:spacing w:before="148" w:line="219" w:lineRule="auto"/>
              <w:ind w:left="228"/>
            </w:pPr>
            <w:r>
              <w:rPr>
                <w:spacing w:val="-19"/>
              </w:rPr>
              <w:t>良好</w:t>
            </w:r>
          </w:p>
        </w:tc>
        <w:tc>
          <w:tcPr>
            <w:tcW w:w="1302" w:type="dxa"/>
            <w:vAlign w:val="top"/>
          </w:tcPr>
          <w:p w14:paraId="5D77ABED">
            <w:pPr>
              <w:pStyle w:val="7"/>
              <w:spacing w:before="148" w:line="220" w:lineRule="auto"/>
              <w:ind w:left="245"/>
            </w:pPr>
            <w:r>
              <w:rPr>
                <w:spacing w:val="-19"/>
              </w:rPr>
              <w:t>管道试压</w:t>
            </w:r>
          </w:p>
        </w:tc>
        <w:tc>
          <w:tcPr>
            <w:tcW w:w="726" w:type="dxa"/>
            <w:vMerge w:val="continue"/>
            <w:tcBorders>
              <w:top w:val="nil"/>
              <w:bottom w:val="nil"/>
              <w:right w:val="single" w:color="5B9BD5" w:sz="4" w:space="0"/>
            </w:tcBorders>
            <w:vAlign w:val="top"/>
          </w:tcPr>
          <w:p w14:paraId="14F1D51B">
            <w:pPr>
              <w:rPr>
                <w:rFonts w:ascii="Arial"/>
                <w:sz w:val="21"/>
              </w:rPr>
            </w:pPr>
          </w:p>
        </w:tc>
      </w:tr>
      <w:tr w14:paraId="756435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50" w:hRule="atLeast"/>
        </w:trPr>
        <w:tc>
          <w:tcPr>
            <w:tcW w:w="772" w:type="dxa"/>
            <w:gridSpan w:val="2"/>
            <w:tcBorders>
              <w:left w:val="single" w:color="000000" w:sz="4" w:space="0"/>
            </w:tcBorders>
            <w:vAlign w:val="top"/>
          </w:tcPr>
          <w:p w14:paraId="343DD556">
            <w:pPr>
              <w:spacing w:line="251" w:lineRule="auto"/>
              <w:rPr>
                <w:rFonts w:ascii="Arial"/>
                <w:sz w:val="21"/>
              </w:rPr>
            </w:pPr>
          </w:p>
          <w:p w14:paraId="4412A209">
            <w:pPr>
              <w:pStyle w:val="7"/>
              <w:spacing w:before="78" w:line="237" w:lineRule="auto"/>
              <w:ind w:left="289"/>
            </w:pPr>
            <w:r>
              <w:rPr>
                <w:spacing w:val="-6"/>
              </w:rPr>
              <w:t>29</w:t>
            </w:r>
          </w:p>
        </w:tc>
        <w:tc>
          <w:tcPr>
            <w:tcW w:w="1657" w:type="dxa"/>
            <w:vAlign w:val="top"/>
          </w:tcPr>
          <w:p w14:paraId="3AF2BD20">
            <w:pPr>
              <w:pStyle w:val="7"/>
              <w:spacing w:before="99" w:line="359" w:lineRule="auto"/>
              <w:ind w:left="620" w:right="45" w:hanging="543"/>
            </w:pPr>
            <w:r>
              <w:rPr>
                <w:spacing w:val="-22"/>
              </w:rPr>
              <w:t>无油高压空气压</w:t>
            </w:r>
            <w:r>
              <w:rPr>
                <w:spacing w:val="-10"/>
              </w:rPr>
              <w:t>缩机</w:t>
            </w:r>
          </w:p>
        </w:tc>
        <w:tc>
          <w:tcPr>
            <w:tcW w:w="1559" w:type="dxa"/>
            <w:vAlign w:val="top"/>
          </w:tcPr>
          <w:p w14:paraId="3F560D5F">
            <w:pPr>
              <w:rPr>
                <w:rFonts w:ascii="Arial"/>
                <w:sz w:val="21"/>
              </w:rPr>
            </w:pPr>
          </w:p>
        </w:tc>
        <w:tc>
          <w:tcPr>
            <w:tcW w:w="650" w:type="dxa"/>
            <w:vAlign w:val="top"/>
          </w:tcPr>
          <w:p w14:paraId="723516CB">
            <w:pPr>
              <w:spacing w:line="251" w:lineRule="auto"/>
              <w:rPr>
                <w:rFonts w:ascii="Arial"/>
                <w:sz w:val="21"/>
              </w:rPr>
            </w:pPr>
          </w:p>
          <w:p w14:paraId="7233CB3C">
            <w:pPr>
              <w:pStyle w:val="7"/>
              <w:spacing w:before="78" w:line="237" w:lineRule="auto"/>
              <w:ind w:left="278"/>
            </w:pPr>
            <w:r>
              <w:t>5</w:t>
            </w:r>
          </w:p>
        </w:tc>
        <w:tc>
          <w:tcPr>
            <w:tcW w:w="794" w:type="dxa"/>
            <w:vAlign w:val="top"/>
          </w:tcPr>
          <w:p w14:paraId="4714B847">
            <w:pPr>
              <w:spacing w:line="252" w:lineRule="auto"/>
              <w:rPr>
                <w:rFonts w:ascii="Arial"/>
                <w:sz w:val="21"/>
              </w:rPr>
            </w:pPr>
          </w:p>
          <w:p w14:paraId="7C7DEBD1">
            <w:pPr>
              <w:pStyle w:val="7"/>
              <w:spacing w:before="78" w:line="218" w:lineRule="auto"/>
              <w:ind w:left="221"/>
            </w:pPr>
            <w:r>
              <w:rPr>
                <w:spacing w:val="-18"/>
              </w:rPr>
              <w:t>中国</w:t>
            </w:r>
          </w:p>
        </w:tc>
        <w:tc>
          <w:tcPr>
            <w:tcW w:w="794" w:type="dxa"/>
            <w:vAlign w:val="top"/>
          </w:tcPr>
          <w:p w14:paraId="5A5A56AC">
            <w:pPr>
              <w:pStyle w:val="7"/>
              <w:spacing w:before="145" w:line="237" w:lineRule="auto"/>
              <w:ind w:left="186" w:leftChars="0"/>
            </w:pPr>
            <w:r>
              <w:rPr>
                <w:spacing w:val="-9"/>
              </w:rPr>
              <w:t>202</w:t>
            </w:r>
            <w:r>
              <w:rPr>
                <w:rFonts w:hint="eastAsia"/>
                <w:spacing w:val="-9"/>
                <w:lang w:val="en-US" w:eastAsia="zh-CN"/>
              </w:rPr>
              <w:t>1</w:t>
            </w:r>
          </w:p>
        </w:tc>
        <w:tc>
          <w:tcPr>
            <w:tcW w:w="791" w:type="dxa"/>
            <w:vAlign w:val="top"/>
          </w:tcPr>
          <w:p w14:paraId="18606016">
            <w:pPr>
              <w:rPr>
                <w:rFonts w:ascii="Arial"/>
                <w:sz w:val="21"/>
              </w:rPr>
            </w:pPr>
          </w:p>
        </w:tc>
        <w:tc>
          <w:tcPr>
            <w:tcW w:w="794" w:type="dxa"/>
            <w:vAlign w:val="top"/>
          </w:tcPr>
          <w:p w14:paraId="04F043AB">
            <w:pPr>
              <w:spacing w:line="251" w:lineRule="auto"/>
              <w:rPr>
                <w:rFonts w:ascii="Arial"/>
                <w:sz w:val="21"/>
              </w:rPr>
            </w:pPr>
          </w:p>
          <w:p w14:paraId="21962384">
            <w:pPr>
              <w:pStyle w:val="7"/>
              <w:spacing w:before="78" w:line="219" w:lineRule="auto"/>
              <w:ind w:left="228"/>
            </w:pPr>
            <w:r>
              <w:rPr>
                <w:spacing w:val="-19"/>
              </w:rPr>
              <w:t>良好</w:t>
            </w:r>
          </w:p>
        </w:tc>
        <w:tc>
          <w:tcPr>
            <w:tcW w:w="1302" w:type="dxa"/>
            <w:vAlign w:val="top"/>
          </w:tcPr>
          <w:p w14:paraId="402E4A2B">
            <w:pPr>
              <w:spacing w:line="252" w:lineRule="auto"/>
              <w:rPr>
                <w:rFonts w:ascii="Arial"/>
                <w:sz w:val="21"/>
              </w:rPr>
            </w:pPr>
          </w:p>
          <w:p w14:paraId="092B4FFA">
            <w:pPr>
              <w:pStyle w:val="7"/>
              <w:spacing w:before="78" w:line="218" w:lineRule="auto"/>
              <w:ind w:left="229"/>
            </w:pPr>
            <w:r>
              <w:rPr>
                <w:spacing w:val="-15"/>
              </w:rPr>
              <w:t>排水工程</w:t>
            </w:r>
          </w:p>
        </w:tc>
        <w:tc>
          <w:tcPr>
            <w:tcW w:w="726" w:type="dxa"/>
            <w:vMerge w:val="continue"/>
            <w:tcBorders>
              <w:top w:val="nil"/>
              <w:bottom w:val="nil"/>
              <w:right w:val="single" w:color="5B9BD5" w:sz="4" w:space="0"/>
            </w:tcBorders>
            <w:vAlign w:val="top"/>
          </w:tcPr>
          <w:p w14:paraId="7A177D93">
            <w:pPr>
              <w:rPr>
                <w:rFonts w:ascii="Arial"/>
                <w:sz w:val="21"/>
              </w:rPr>
            </w:pPr>
          </w:p>
        </w:tc>
      </w:tr>
      <w:tr w14:paraId="1BDA82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6" w:hRule="atLeast"/>
        </w:trPr>
        <w:tc>
          <w:tcPr>
            <w:tcW w:w="772" w:type="dxa"/>
            <w:gridSpan w:val="2"/>
            <w:tcBorders>
              <w:left w:val="single" w:color="000000" w:sz="4" w:space="0"/>
            </w:tcBorders>
            <w:vAlign w:val="top"/>
          </w:tcPr>
          <w:p w14:paraId="5CB8801B">
            <w:pPr>
              <w:pStyle w:val="7"/>
              <w:spacing w:before="150" w:line="237" w:lineRule="auto"/>
              <w:ind w:left="291"/>
            </w:pPr>
            <w:r>
              <w:rPr>
                <w:spacing w:val="-7"/>
              </w:rPr>
              <w:t>30</w:t>
            </w:r>
          </w:p>
        </w:tc>
        <w:tc>
          <w:tcPr>
            <w:tcW w:w="1657" w:type="dxa"/>
            <w:vAlign w:val="top"/>
          </w:tcPr>
          <w:p w14:paraId="5ABD9064">
            <w:pPr>
              <w:pStyle w:val="7"/>
              <w:spacing w:before="150" w:line="217" w:lineRule="auto"/>
              <w:ind w:left="641"/>
            </w:pPr>
            <w:r>
              <w:rPr>
                <w:spacing w:val="-15"/>
              </w:rPr>
              <w:t>台钻</w:t>
            </w:r>
          </w:p>
        </w:tc>
        <w:tc>
          <w:tcPr>
            <w:tcW w:w="1559" w:type="dxa"/>
            <w:vAlign w:val="top"/>
          </w:tcPr>
          <w:p w14:paraId="5378711B">
            <w:pPr>
              <w:pStyle w:val="7"/>
              <w:spacing w:before="194" w:line="178" w:lineRule="auto"/>
              <w:ind w:left="452"/>
            </w:pPr>
            <w:r>
              <w:rPr>
                <w:spacing w:val="-9"/>
              </w:rPr>
              <w:t>EQ3025</w:t>
            </w:r>
          </w:p>
        </w:tc>
        <w:tc>
          <w:tcPr>
            <w:tcW w:w="650" w:type="dxa"/>
            <w:vAlign w:val="top"/>
          </w:tcPr>
          <w:p w14:paraId="31382792">
            <w:pPr>
              <w:pStyle w:val="7"/>
              <w:spacing w:before="150" w:line="237" w:lineRule="auto"/>
              <w:ind w:left="274"/>
            </w:pPr>
            <w:r>
              <w:t>8</w:t>
            </w:r>
          </w:p>
        </w:tc>
        <w:tc>
          <w:tcPr>
            <w:tcW w:w="794" w:type="dxa"/>
            <w:vAlign w:val="top"/>
          </w:tcPr>
          <w:p w14:paraId="5AD256A8">
            <w:pPr>
              <w:pStyle w:val="7"/>
              <w:spacing w:before="150" w:line="220" w:lineRule="auto"/>
              <w:ind w:left="193"/>
            </w:pPr>
            <w:r>
              <w:rPr>
                <w:spacing w:val="-10"/>
              </w:rPr>
              <w:t>西安</w:t>
            </w:r>
          </w:p>
        </w:tc>
        <w:tc>
          <w:tcPr>
            <w:tcW w:w="794" w:type="dxa"/>
            <w:vAlign w:val="top"/>
          </w:tcPr>
          <w:p w14:paraId="0F32F15A">
            <w:pPr>
              <w:pStyle w:val="7"/>
              <w:spacing w:before="146" w:line="237" w:lineRule="auto"/>
              <w:ind w:left="186" w:leftChars="0"/>
            </w:pPr>
            <w:r>
              <w:rPr>
                <w:spacing w:val="-9"/>
              </w:rPr>
              <w:t>2022</w:t>
            </w:r>
          </w:p>
        </w:tc>
        <w:tc>
          <w:tcPr>
            <w:tcW w:w="791" w:type="dxa"/>
            <w:vAlign w:val="top"/>
          </w:tcPr>
          <w:p w14:paraId="7B3B72B9">
            <w:pPr>
              <w:pStyle w:val="7"/>
              <w:spacing w:before="150" w:line="236" w:lineRule="auto"/>
              <w:ind w:left="239"/>
            </w:pPr>
            <w:r>
              <w:rPr>
                <w:spacing w:val="-8"/>
              </w:rPr>
              <w:t>0.5</w:t>
            </w:r>
          </w:p>
        </w:tc>
        <w:tc>
          <w:tcPr>
            <w:tcW w:w="794" w:type="dxa"/>
            <w:vAlign w:val="top"/>
          </w:tcPr>
          <w:p w14:paraId="5A06CB03">
            <w:pPr>
              <w:pStyle w:val="7"/>
              <w:spacing w:before="150" w:line="219" w:lineRule="auto"/>
              <w:ind w:left="228"/>
            </w:pPr>
            <w:r>
              <w:rPr>
                <w:spacing w:val="-19"/>
              </w:rPr>
              <w:t>良好</w:t>
            </w:r>
          </w:p>
        </w:tc>
        <w:tc>
          <w:tcPr>
            <w:tcW w:w="1302" w:type="dxa"/>
            <w:vAlign w:val="top"/>
          </w:tcPr>
          <w:p w14:paraId="78F04FAD">
            <w:pPr>
              <w:pStyle w:val="7"/>
              <w:spacing w:before="150" w:line="216" w:lineRule="auto"/>
              <w:ind w:left="232"/>
            </w:pPr>
            <w:r>
              <w:rPr>
                <w:spacing w:val="-15"/>
              </w:rPr>
              <w:t>支架制作</w:t>
            </w:r>
          </w:p>
        </w:tc>
        <w:tc>
          <w:tcPr>
            <w:tcW w:w="726" w:type="dxa"/>
            <w:vMerge w:val="continue"/>
            <w:tcBorders>
              <w:top w:val="nil"/>
              <w:bottom w:val="nil"/>
              <w:right w:val="single" w:color="5B9BD5" w:sz="4" w:space="0"/>
            </w:tcBorders>
            <w:vAlign w:val="top"/>
          </w:tcPr>
          <w:p w14:paraId="0348D31A">
            <w:pPr>
              <w:rPr>
                <w:rFonts w:ascii="Arial"/>
                <w:sz w:val="21"/>
              </w:rPr>
            </w:pPr>
          </w:p>
        </w:tc>
      </w:tr>
      <w:tr w14:paraId="11EF13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6" w:hRule="atLeast"/>
        </w:trPr>
        <w:tc>
          <w:tcPr>
            <w:tcW w:w="772" w:type="dxa"/>
            <w:gridSpan w:val="2"/>
            <w:tcBorders>
              <w:left w:val="single" w:color="000000" w:sz="4" w:space="0"/>
            </w:tcBorders>
            <w:vAlign w:val="top"/>
          </w:tcPr>
          <w:p w14:paraId="2CA02BA2">
            <w:pPr>
              <w:pStyle w:val="7"/>
              <w:spacing w:before="150" w:line="237" w:lineRule="auto"/>
              <w:ind w:left="291"/>
            </w:pPr>
            <w:r>
              <w:rPr>
                <w:spacing w:val="-7"/>
              </w:rPr>
              <w:t>31</w:t>
            </w:r>
          </w:p>
        </w:tc>
        <w:tc>
          <w:tcPr>
            <w:tcW w:w="1657" w:type="dxa"/>
            <w:vAlign w:val="top"/>
          </w:tcPr>
          <w:p w14:paraId="54E8645F">
            <w:pPr>
              <w:pStyle w:val="7"/>
              <w:spacing w:before="150" w:line="218" w:lineRule="auto"/>
              <w:ind w:left="304"/>
            </w:pPr>
            <w:r>
              <w:rPr>
                <w:spacing w:val="-19"/>
              </w:rPr>
              <w:t>型材切割机</w:t>
            </w:r>
          </w:p>
        </w:tc>
        <w:tc>
          <w:tcPr>
            <w:tcW w:w="1559" w:type="dxa"/>
            <w:vAlign w:val="top"/>
          </w:tcPr>
          <w:p w14:paraId="1C9F9774">
            <w:pPr>
              <w:pStyle w:val="7"/>
              <w:spacing w:before="150" w:line="237" w:lineRule="auto"/>
              <w:ind w:left="177"/>
            </w:pPr>
            <w:r>
              <w:rPr>
                <w:spacing w:val="-10"/>
              </w:rPr>
              <w:t>HDA1304-355</w:t>
            </w:r>
          </w:p>
        </w:tc>
        <w:tc>
          <w:tcPr>
            <w:tcW w:w="650" w:type="dxa"/>
            <w:vAlign w:val="top"/>
          </w:tcPr>
          <w:p w14:paraId="36BDB328">
            <w:pPr>
              <w:pStyle w:val="7"/>
              <w:spacing w:before="150" w:line="237" w:lineRule="auto"/>
              <w:ind w:left="236"/>
            </w:pPr>
            <w:r>
              <w:rPr>
                <w:spacing w:val="-10"/>
              </w:rPr>
              <w:t>15</w:t>
            </w:r>
          </w:p>
        </w:tc>
        <w:tc>
          <w:tcPr>
            <w:tcW w:w="794" w:type="dxa"/>
            <w:vAlign w:val="top"/>
          </w:tcPr>
          <w:p w14:paraId="6CF1771C">
            <w:pPr>
              <w:pStyle w:val="7"/>
              <w:spacing w:before="150" w:line="220" w:lineRule="auto"/>
              <w:ind w:left="193"/>
            </w:pPr>
            <w:r>
              <w:rPr>
                <w:spacing w:val="-11"/>
              </w:rPr>
              <w:t>西安</w:t>
            </w:r>
          </w:p>
        </w:tc>
        <w:tc>
          <w:tcPr>
            <w:tcW w:w="794" w:type="dxa"/>
            <w:vAlign w:val="top"/>
          </w:tcPr>
          <w:p w14:paraId="7BA23306">
            <w:pPr>
              <w:pStyle w:val="7"/>
              <w:spacing w:before="145" w:line="237" w:lineRule="auto"/>
              <w:ind w:left="186" w:leftChars="0"/>
            </w:pPr>
            <w:r>
              <w:rPr>
                <w:spacing w:val="-9"/>
              </w:rPr>
              <w:t>202</w:t>
            </w:r>
            <w:r>
              <w:rPr>
                <w:rFonts w:hint="eastAsia"/>
                <w:spacing w:val="-9"/>
                <w:lang w:val="en-US" w:eastAsia="zh-CN"/>
              </w:rPr>
              <w:t>1</w:t>
            </w:r>
          </w:p>
        </w:tc>
        <w:tc>
          <w:tcPr>
            <w:tcW w:w="791" w:type="dxa"/>
            <w:vAlign w:val="top"/>
          </w:tcPr>
          <w:p w14:paraId="719E5757">
            <w:pPr>
              <w:pStyle w:val="7"/>
              <w:spacing w:before="150" w:line="236" w:lineRule="auto"/>
              <w:ind w:left="239"/>
            </w:pPr>
            <w:r>
              <w:rPr>
                <w:spacing w:val="-8"/>
              </w:rPr>
              <w:t>0.5</w:t>
            </w:r>
          </w:p>
        </w:tc>
        <w:tc>
          <w:tcPr>
            <w:tcW w:w="794" w:type="dxa"/>
            <w:vAlign w:val="top"/>
          </w:tcPr>
          <w:p w14:paraId="02B78442">
            <w:pPr>
              <w:pStyle w:val="7"/>
              <w:spacing w:before="150" w:line="219" w:lineRule="auto"/>
              <w:ind w:left="228"/>
            </w:pPr>
            <w:r>
              <w:rPr>
                <w:spacing w:val="-19"/>
              </w:rPr>
              <w:t>良好</w:t>
            </w:r>
          </w:p>
        </w:tc>
        <w:tc>
          <w:tcPr>
            <w:tcW w:w="1302" w:type="dxa"/>
            <w:vAlign w:val="top"/>
          </w:tcPr>
          <w:p w14:paraId="720FBCE4">
            <w:pPr>
              <w:pStyle w:val="7"/>
              <w:spacing w:before="150" w:line="216" w:lineRule="auto"/>
              <w:ind w:left="232"/>
            </w:pPr>
            <w:r>
              <w:rPr>
                <w:spacing w:val="-15"/>
              </w:rPr>
              <w:t>支架制作</w:t>
            </w:r>
          </w:p>
        </w:tc>
        <w:tc>
          <w:tcPr>
            <w:tcW w:w="726" w:type="dxa"/>
            <w:vMerge w:val="continue"/>
            <w:tcBorders>
              <w:top w:val="nil"/>
              <w:bottom w:val="nil"/>
              <w:right w:val="single" w:color="5B9BD5" w:sz="4" w:space="0"/>
            </w:tcBorders>
            <w:vAlign w:val="top"/>
          </w:tcPr>
          <w:p w14:paraId="6A7D7D62">
            <w:pPr>
              <w:rPr>
                <w:rFonts w:ascii="Arial"/>
                <w:sz w:val="21"/>
              </w:rPr>
            </w:pPr>
          </w:p>
        </w:tc>
      </w:tr>
      <w:tr w14:paraId="09B733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3" w:hRule="atLeast"/>
        </w:trPr>
        <w:tc>
          <w:tcPr>
            <w:tcW w:w="772" w:type="dxa"/>
            <w:gridSpan w:val="2"/>
            <w:tcBorders>
              <w:left w:val="single" w:color="000000" w:sz="4" w:space="0"/>
            </w:tcBorders>
            <w:vAlign w:val="top"/>
          </w:tcPr>
          <w:p w14:paraId="6E8CF309">
            <w:pPr>
              <w:pStyle w:val="7"/>
              <w:spacing w:before="148" w:line="237" w:lineRule="auto"/>
              <w:ind w:left="291"/>
            </w:pPr>
            <w:r>
              <w:rPr>
                <w:spacing w:val="-7"/>
              </w:rPr>
              <w:t>32</w:t>
            </w:r>
          </w:p>
        </w:tc>
        <w:tc>
          <w:tcPr>
            <w:tcW w:w="1657" w:type="dxa"/>
            <w:vAlign w:val="top"/>
          </w:tcPr>
          <w:p w14:paraId="2439C4F8">
            <w:pPr>
              <w:pStyle w:val="7"/>
              <w:spacing w:before="148" w:line="218" w:lineRule="auto"/>
              <w:ind w:left="514"/>
            </w:pPr>
            <w:r>
              <w:rPr>
                <w:spacing w:val="-14"/>
              </w:rPr>
              <w:t>热熔器</w:t>
            </w:r>
          </w:p>
        </w:tc>
        <w:tc>
          <w:tcPr>
            <w:tcW w:w="1559" w:type="dxa"/>
            <w:vAlign w:val="top"/>
          </w:tcPr>
          <w:p w14:paraId="66D43E06">
            <w:pPr>
              <w:pStyle w:val="7"/>
              <w:spacing w:before="148" w:line="237" w:lineRule="auto"/>
              <w:ind w:left="399"/>
            </w:pPr>
            <w:r>
              <w:rPr>
                <w:spacing w:val="-9"/>
              </w:rPr>
              <w:t>GF20-63</w:t>
            </w:r>
          </w:p>
        </w:tc>
        <w:tc>
          <w:tcPr>
            <w:tcW w:w="650" w:type="dxa"/>
            <w:vAlign w:val="top"/>
          </w:tcPr>
          <w:p w14:paraId="2CD7EA7C">
            <w:pPr>
              <w:pStyle w:val="7"/>
              <w:spacing w:before="148" w:line="237" w:lineRule="auto"/>
              <w:ind w:left="274"/>
            </w:pPr>
            <w:r>
              <w:t>8</w:t>
            </w:r>
          </w:p>
        </w:tc>
        <w:tc>
          <w:tcPr>
            <w:tcW w:w="794" w:type="dxa"/>
            <w:vAlign w:val="top"/>
          </w:tcPr>
          <w:p w14:paraId="77346FFC">
            <w:pPr>
              <w:pStyle w:val="7"/>
              <w:spacing w:before="148" w:line="220" w:lineRule="auto"/>
              <w:ind w:left="193"/>
            </w:pPr>
            <w:r>
              <w:rPr>
                <w:spacing w:val="-11"/>
              </w:rPr>
              <w:t>西安</w:t>
            </w:r>
          </w:p>
        </w:tc>
        <w:tc>
          <w:tcPr>
            <w:tcW w:w="794" w:type="dxa"/>
            <w:vAlign w:val="top"/>
          </w:tcPr>
          <w:p w14:paraId="7A592E37">
            <w:pPr>
              <w:pStyle w:val="7"/>
              <w:spacing w:before="146" w:line="237" w:lineRule="auto"/>
              <w:ind w:left="186" w:leftChars="0"/>
            </w:pPr>
            <w:r>
              <w:rPr>
                <w:spacing w:val="-9"/>
              </w:rPr>
              <w:t>2022</w:t>
            </w:r>
          </w:p>
        </w:tc>
        <w:tc>
          <w:tcPr>
            <w:tcW w:w="791" w:type="dxa"/>
            <w:vAlign w:val="top"/>
          </w:tcPr>
          <w:p w14:paraId="3A5B36B1">
            <w:pPr>
              <w:pStyle w:val="7"/>
              <w:spacing w:before="148" w:line="236" w:lineRule="auto"/>
              <w:ind w:left="239"/>
            </w:pPr>
            <w:r>
              <w:rPr>
                <w:spacing w:val="-8"/>
              </w:rPr>
              <w:t>0.2</w:t>
            </w:r>
          </w:p>
        </w:tc>
        <w:tc>
          <w:tcPr>
            <w:tcW w:w="794" w:type="dxa"/>
            <w:vAlign w:val="top"/>
          </w:tcPr>
          <w:p w14:paraId="0CDCBC1B">
            <w:pPr>
              <w:pStyle w:val="7"/>
              <w:spacing w:before="148" w:line="219" w:lineRule="auto"/>
              <w:ind w:left="228"/>
            </w:pPr>
            <w:r>
              <w:rPr>
                <w:spacing w:val="-19"/>
              </w:rPr>
              <w:t>良好</w:t>
            </w:r>
          </w:p>
        </w:tc>
        <w:tc>
          <w:tcPr>
            <w:tcW w:w="1302" w:type="dxa"/>
            <w:vAlign w:val="top"/>
          </w:tcPr>
          <w:p w14:paraId="2CD885F4">
            <w:pPr>
              <w:pStyle w:val="7"/>
              <w:spacing w:before="148" w:line="220" w:lineRule="auto"/>
              <w:ind w:left="245"/>
            </w:pPr>
            <w:r>
              <w:rPr>
                <w:spacing w:val="-19"/>
              </w:rPr>
              <w:t>管道施工</w:t>
            </w:r>
          </w:p>
        </w:tc>
        <w:tc>
          <w:tcPr>
            <w:tcW w:w="726" w:type="dxa"/>
            <w:vMerge w:val="continue"/>
            <w:tcBorders>
              <w:top w:val="nil"/>
              <w:bottom w:val="nil"/>
              <w:right w:val="single" w:color="5B9BD5" w:sz="4" w:space="0"/>
            </w:tcBorders>
            <w:vAlign w:val="top"/>
          </w:tcPr>
          <w:p w14:paraId="14356585">
            <w:pPr>
              <w:rPr>
                <w:rFonts w:ascii="Arial"/>
                <w:sz w:val="21"/>
              </w:rPr>
            </w:pPr>
          </w:p>
        </w:tc>
      </w:tr>
      <w:tr w14:paraId="76453A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6" w:hRule="atLeast"/>
        </w:trPr>
        <w:tc>
          <w:tcPr>
            <w:tcW w:w="772" w:type="dxa"/>
            <w:gridSpan w:val="2"/>
            <w:tcBorders>
              <w:left w:val="single" w:color="000000" w:sz="4" w:space="0"/>
            </w:tcBorders>
            <w:vAlign w:val="top"/>
          </w:tcPr>
          <w:p w14:paraId="3BA0C24B">
            <w:pPr>
              <w:pStyle w:val="7"/>
              <w:spacing w:before="151" w:line="237" w:lineRule="auto"/>
              <w:ind w:left="291"/>
            </w:pPr>
            <w:r>
              <w:rPr>
                <w:spacing w:val="-7"/>
              </w:rPr>
              <w:t>33</w:t>
            </w:r>
          </w:p>
        </w:tc>
        <w:tc>
          <w:tcPr>
            <w:tcW w:w="1657" w:type="dxa"/>
            <w:vAlign w:val="top"/>
          </w:tcPr>
          <w:p w14:paraId="7130415F">
            <w:pPr>
              <w:pStyle w:val="7"/>
              <w:spacing w:before="151" w:line="218" w:lineRule="auto"/>
              <w:ind w:left="292"/>
            </w:pPr>
            <w:r>
              <w:rPr>
                <w:spacing w:val="-17"/>
              </w:rPr>
              <w:t>振动压路机</w:t>
            </w:r>
          </w:p>
        </w:tc>
        <w:tc>
          <w:tcPr>
            <w:tcW w:w="1559" w:type="dxa"/>
            <w:vAlign w:val="top"/>
          </w:tcPr>
          <w:p w14:paraId="43129CC8">
            <w:pPr>
              <w:pStyle w:val="7"/>
              <w:spacing w:before="151" w:line="222" w:lineRule="auto"/>
              <w:ind w:left="458"/>
            </w:pPr>
            <w:r>
              <w:rPr>
                <w:spacing w:val="-10"/>
              </w:rPr>
              <w:t>2Y8/10</w:t>
            </w:r>
          </w:p>
        </w:tc>
        <w:tc>
          <w:tcPr>
            <w:tcW w:w="650" w:type="dxa"/>
            <w:vAlign w:val="top"/>
          </w:tcPr>
          <w:p w14:paraId="2DF51596">
            <w:pPr>
              <w:pStyle w:val="7"/>
              <w:spacing w:before="152" w:line="238" w:lineRule="auto"/>
              <w:ind w:left="276"/>
            </w:pPr>
            <w:r>
              <w:t>2</w:t>
            </w:r>
          </w:p>
        </w:tc>
        <w:tc>
          <w:tcPr>
            <w:tcW w:w="794" w:type="dxa"/>
            <w:vAlign w:val="top"/>
          </w:tcPr>
          <w:p w14:paraId="6319C0D8">
            <w:pPr>
              <w:pStyle w:val="7"/>
              <w:spacing w:before="151" w:line="218" w:lineRule="auto"/>
              <w:ind w:left="221"/>
            </w:pPr>
            <w:r>
              <w:rPr>
                <w:spacing w:val="-18"/>
              </w:rPr>
              <w:t>中国</w:t>
            </w:r>
          </w:p>
        </w:tc>
        <w:tc>
          <w:tcPr>
            <w:tcW w:w="794" w:type="dxa"/>
            <w:vAlign w:val="top"/>
          </w:tcPr>
          <w:p w14:paraId="620EF2D2">
            <w:pPr>
              <w:pStyle w:val="7"/>
              <w:spacing w:before="145" w:line="237" w:lineRule="auto"/>
              <w:ind w:left="186" w:leftChars="0"/>
            </w:pPr>
            <w:r>
              <w:rPr>
                <w:spacing w:val="-9"/>
              </w:rPr>
              <w:t>202</w:t>
            </w:r>
            <w:r>
              <w:rPr>
                <w:rFonts w:hint="eastAsia"/>
                <w:spacing w:val="-9"/>
                <w:lang w:val="en-US" w:eastAsia="zh-CN"/>
              </w:rPr>
              <w:t>1</w:t>
            </w:r>
          </w:p>
        </w:tc>
        <w:tc>
          <w:tcPr>
            <w:tcW w:w="791" w:type="dxa"/>
            <w:vAlign w:val="top"/>
          </w:tcPr>
          <w:p w14:paraId="041781F6">
            <w:pPr>
              <w:pStyle w:val="7"/>
              <w:spacing w:before="194" w:line="179" w:lineRule="auto"/>
              <w:ind w:left="146"/>
            </w:pPr>
            <w:r>
              <w:rPr>
                <w:spacing w:val="-12"/>
              </w:rPr>
              <w:t>150KW</w:t>
            </w:r>
          </w:p>
        </w:tc>
        <w:tc>
          <w:tcPr>
            <w:tcW w:w="794" w:type="dxa"/>
            <w:vAlign w:val="top"/>
          </w:tcPr>
          <w:p w14:paraId="6947C8E2">
            <w:pPr>
              <w:pStyle w:val="7"/>
              <w:spacing w:before="151" w:line="219" w:lineRule="auto"/>
              <w:ind w:left="228"/>
            </w:pPr>
            <w:r>
              <w:rPr>
                <w:spacing w:val="-19"/>
              </w:rPr>
              <w:t>良好</w:t>
            </w:r>
          </w:p>
        </w:tc>
        <w:tc>
          <w:tcPr>
            <w:tcW w:w="1302" w:type="dxa"/>
            <w:vAlign w:val="top"/>
          </w:tcPr>
          <w:p w14:paraId="0E1AC338">
            <w:pPr>
              <w:pStyle w:val="7"/>
              <w:spacing w:before="151" w:line="219" w:lineRule="auto"/>
              <w:ind w:left="230"/>
            </w:pPr>
            <w:r>
              <w:rPr>
                <w:spacing w:val="-15"/>
              </w:rPr>
              <w:t>路基碾压</w:t>
            </w:r>
          </w:p>
        </w:tc>
        <w:tc>
          <w:tcPr>
            <w:tcW w:w="726" w:type="dxa"/>
            <w:vMerge w:val="continue"/>
            <w:tcBorders>
              <w:top w:val="nil"/>
              <w:bottom w:val="nil"/>
              <w:right w:val="single" w:color="5B9BD5" w:sz="4" w:space="0"/>
            </w:tcBorders>
            <w:vAlign w:val="top"/>
          </w:tcPr>
          <w:p w14:paraId="6FABD595">
            <w:pPr>
              <w:rPr>
                <w:rFonts w:ascii="Arial"/>
                <w:sz w:val="21"/>
              </w:rPr>
            </w:pPr>
          </w:p>
        </w:tc>
      </w:tr>
      <w:tr w14:paraId="5406C9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4" w:hRule="atLeast"/>
        </w:trPr>
        <w:tc>
          <w:tcPr>
            <w:tcW w:w="772" w:type="dxa"/>
            <w:gridSpan w:val="2"/>
            <w:tcBorders>
              <w:left w:val="single" w:color="000000" w:sz="4" w:space="0"/>
            </w:tcBorders>
            <w:vAlign w:val="top"/>
          </w:tcPr>
          <w:p w14:paraId="76EA22BD">
            <w:pPr>
              <w:pStyle w:val="7"/>
              <w:spacing w:before="149" w:line="237" w:lineRule="auto"/>
              <w:ind w:left="291"/>
            </w:pPr>
            <w:r>
              <w:rPr>
                <w:spacing w:val="-7"/>
              </w:rPr>
              <w:t>34</w:t>
            </w:r>
          </w:p>
        </w:tc>
        <w:tc>
          <w:tcPr>
            <w:tcW w:w="1657" w:type="dxa"/>
            <w:vAlign w:val="top"/>
          </w:tcPr>
          <w:p w14:paraId="5B4A72FF">
            <w:pPr>
              <w:pStyle w:val="7"/>
              <w:spacing w:before="149" w:line="215" w:lineRule="auto"/>
              <w:ind w:left="298"/>
            </w:pPr>
            <w:r>
              <w:rPr>
                <w:spacing w:val="-18"/>
              </w:rPr>
              <w:t>光轮压路机</w:t>
            </w:r>
          </w:p>
        </w:tc>
        <w:tc>
          <w:tcPr>
            <w:tcW w:w="1559" w:type="dxa"/>
            <w:vAlign w:val="top"/>
          </w:tcPr>
          <w:p w14:paraId="0480BB12">
            <w:pPr>
              <w:pStyle w:val="7"/>
              <w:spacing w:before="149" w:line="237" w:lineRule="auto"/>
              <w:ind w:left="398"/>
            </w:pPr>
            <w:r>
              <w:rPr>
                <w:spacing w:val="-9"/>
              </w:rPr>
              <w:t>YZ18J-3</w:t>
            </w:r>
          </w:p>
        </w:tc>
        <w:tc>
          <w:tcPr>
            <w:tcW w:w="650" w:type="dxa"/>
            <w:vAlign w:val="top"/>
          </w:tcPr>
          <w:p w14:paraId="7D7ACEBD">
            <w:pPr>
              <w:pStyle w:val="7"/>
              <w:spacing w:before="149" w:line="238" w:lineRule="auto"/>
              <w:ind w:left="276"/>
            </w:pPr>
            <w:r>
              <w:t>2</w:t>
            </w:r>
          </w:p>
        </w:tc>
        <w:tc>
          <w:tcPr>
            <w:tcW w:w="794" w:type="dxa"/>
            <w:vAlign w:val="top"/>
          </w:tcPr>
          <w:p w14:paraId="01911C78">
            <w:pPr>
              <w:pStyle w:val="7"/>
              <w:spacing w:before="149" w:line="218" w:lineRule="auto"/>
              <w:ind w:left="221"/>
            </w:pPr>
            <w:r>
              <w:rPr>
                <w:spacing w:val="-18"/>
              </w:rPr>
              <w:t>中国</w:t>
            </w:r>
          </w:p>
        </w:tc>
        <w:tc>
          <w:tcPr>
            <w:tcW w:w="794" w:type="dxa"/>
            <w:vAlign w:val="top"/>
          </w:tcPr>
          <w:p w14:paraId="6A99B176">
            <w:pPr>
              <w:pStyle w:val="7"/>
              <w:spacing w:before="146" w:line="237" w:lineRule="auto"/>
              <w:ind w:left="186" w:leftChars="0"/>
            </w:pPr>
            <w:r>
              <w:rPr>
                <w:spacing w:val="-9"/>
              </w:rPr>
              <w:t>2022</w:t>
            </w:r>
          </w:p>
        </w:tc>
        <w:tc>
          <w:tcPr>
            <w:tcW w:w="791" w:type="dxa"/>
            <w:vAlign w:val="top"/>
          </w:tcPr>
          <w:p w14:paraId="019BEBF1">
            <w:pPr>
              <w:pStyle w:val="7"/>
              <w:spacing w:before="192" w:line="179" w:lineRule="auto"/>
              <w:ind w:left="199"/>
            </w:pPr>
            <w:r>
              <w:rPr>
                <w:spacing w:val="-13"/>
              </w:rPr>
              <w:t>150K</w:t>
            </w:r>
          </w:p>
        </w:tc>
        <w:tc>
          <w:tcPr>
            <w:tcW w:w="794" w:type="dxa"/>
            <w:vAlign w:val="top"/>
          </w:tcPr>
          <w:p w14:paraId="39F9F932">
            <w:pPr>
              <w:pStyle w:val="7"/>
              <w:spacing w:before="149" w:line="219" w:lineRule="auto"/>
              <w:ind w:left="228"/>
            </w:pPr>
            <w:r>
              <w:rPr>
                <w:spacing w:val="-19"/>
              </w:rPr>
              <w:t>良好</w:t>
            </w:r>
          </w:p>
        </w:tc>
        <w:tc>
          <w:tcPr>
            <w:tcW w:w="1302" w:type="dxa"/>
            <w:vAlign w:val="top"/>
          </w:tcPr>
          <w:p w14:paraId="61A16190">
            <w:pPr>
              <w:pStyle w:val="7"/>
              <w:spacing w:before="149" w:line="219" w:lineRule="auto"/>
              <w:ind w:left="230"/>
            </w:pPr>
            <w:r>
              <w:rPr>
                <w:spacing w:val="-15"/>
              </w:rPr>
              <w:t>路基碾压</w:t>
            </w:r>
          </w:p>
        </w:tc>
        <w:tc>
          <w:tcPr>
            <w:tcW w:w="726" w:type="dxa"/>
            <w:vMerge w:val="continue"/>
            <w:tcBorders>
              <w:top w:val="nil"/>
              <w:bottom w:val="nil"/>
              <w:right w:val="single" w:color="5B9BD5" w:sz="4" w:space="0"/>
            </w:tcBorders>
            <w:vAlign w:val="top"/>
          </w:tcPr>
          <w:p w14:paraId="4E7ACA8B">
            <w:pPr>
              <w:rPr>
                <w:rFonts w:ascii="Arial"/>
                <w:sz w:val="21"/>
              </w:rPr>
            </w:pPr>
          </w:p>
        </w:tc>
      </w:tr>
      <w:tr w14:paraId="3A7BA4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6" w:hRule="atLeast"/>
        </w:trPr>
        <w:tc>
          <w:tcPr>
            <w:tcW w:w="772" w:type="dxa"/>
            <w:gridSpan w:val="2"/>
            <w:tcBorders>
              <w:left w:val="single" w:color="000000" w:sz="4" w:space="0"/>
            </w:tcBorders>
            <w:vAlign w:val="top"/>
          </w:tcPr>
          <w:p w14:paraId="01A718F4">
            <w:pPr>
              <w:pStyle w:val="7"/>
              <w:spacing w:before="152" w:line="237" w:lineRule="auto"/>
              <w:ind w:left="291"/>
            </w:pPr>
            <w:r>
              <w:rPr>
                <w:spacing w:val="-7"/>
              </w:rPr>
              <w:t>35</w:t>
            </w:r>
          </w:p>
        </w:tc>
        <w:tc>
          <w:tcPr>
            <w:tcW w:w="1657" w:type="dxa"/>
            <w:vAlign w:val="top"/>
          </w:tcPr>
          <w:p w14:paraId="02726EE7">
            <w:pPr>
              <w:pStyle w:val="7"/>
              <w:spacing w:before="152" w:line="215" w:lineRule="auto"/>
              <w:ind w:left="293"/>
            </w:pPr>
            <w:r>
              <w:rPr>
                <w:spacing w:val="-17"/>
              </w:rPr>
              <w:t>胶轮压路机</w:t>
            </w:r>
          </w:p>
        </w:tc>
        <w:tc>
          <w:tcPr>
            <w:tcW w:w="1559" w:type="dxa"/>
            <w:vAlign w:val="top"/>
          </w:tcPr>
          <w:p w14:paraId="21739AA4">
            <w:pPr>
              <w:pStyle w:val="7"/>
              <w:spacing w:before="152" w:line="237" w:lineRule="auto"/>
              <w:ind w:left="398"/>
            </w:pPr>
            <w:r>
              <w:rPr>
                <w:spacing w:val="-9"/>
              </w:rPr>
              <w:t>YZ18J-3</w:t>
            </w:r>
          </w:p>
        </w:tc>
        <w:tc>
          <w:tcPr>
            <w:tcW w:w="650" w:type="dxa"/>
            <w:vAlign w:val="top"/>
          </w:tcPr>
          <w:p w14:paraId="63112274">
            <w:pPr>
              <w:pStyle w:val="7"/>
              <w:spacing w:before="152" w:line="238" w:lineRule="auto"/>
              <w:ind w:left="276"/>
            </w:pPr>
            <w:r>
              <w:t>2</w:t>
            </w:r>
          </w:p>
        </w:tc>
        <w:tc>
          <w:tcPr>
            <w:tcW w:w="794" w:type="dxa"/>
            <w:vAlign w:val="top"/>
          </w:tcPr>
          <w:p w14:paraId="12DC4799">
            <w:pPr>
              <w:pStyle w:val="7"/>
              <w:spacing w:before="152" w:line="218" w:lineRule="auto"/>
              <w:ind w:left="221"/>
            </w:pPr>
            <w:r>
              <w:rPr>
                <w:spacing w:val="-24"/>
              </w:rPr>
              <w:t>中国</w:t>
            </w:r>
          </w:p>
        </w:tc>
        <w:tc>
          <w:tcPr>
            <w:tcW w:w="794" w:type="dxa"/>
            <w:vAlign w:val="top"/>
          </w:tcPr>
          <w:p w14:paraId="1D7EA67B">
            <w:pPr>
              <w:pStyle w:val="7"/>
              <w:spacing w:before="145" w:line="237" w:lineRule="auto"/>
              <w:ind w:left="186" w:leftChars="0"/>
            </w:pPr>
            <w:r>
              <w:rPr>
                <w:spacing w:val="-9"/>
              </w:rPr>
              <w:t>202</w:t>
            </w:r>
            <w:r>
              <w:rPr>
                <w:rFonts w:hint="eastAsia"/>
                <w:spacing w:val="-9"/>
                <w:lang w:val="en-US" w:eastAsia="zh-CN"/>
              </w:rPr>
              <w:t>1</w:t>
            </w:r>
          </w:p>
        </w:tc>
        <w:tc>
          <w:tcPr>
            <w:tcW w:w="791" w:type="dxa"/>
            <w:vAlign w:val="top"/>
          </w:tcPr>
          <w:p w14:paraId="14DB647F">
            <w:pPr>
              <w:pStyle w:val="7"/>
              <w:spacing w:before="195" w:line="179" w:lineRule="auto"/>
              <w:ind w:left="199"/>
            </w:pPr>
            <w:r>
              <w:rPr>
                <w:spacing w:val="-13"/>
              </w:rPr>
              <w:t>150K</w:t>
            </w:r>
          </w:p>
        </w:tc>
        <w:tc>
          <w:tcPr>
            <w:tcW w:w="794" w:type="dxa"/>
            <w:vAlign w:val="top"/>
          </w:tcPr>
          <w:p w14:paraId="2642BAA8">
            <w:pPr>
              <w:pStyle w:val="7"/>
              <w:spacing w:before="152" w:line="219" w:lineRule="auto"/>
              <w:ind w:left="228"/>
            </w:pPr>
            <w:r>
              <w:rPr>
                <w:spacing w:val="-26"/>
              </w:rPr>
              <w:t>良好</w:t>
            </w:r>
          </w:p>
        </w:tc>
        <w:tc>
          <w:tcPr>
            <w:tcW w:w="1302" w:type="dxa"/>
            <w:vAlign w:val="top"/>
          </w:tcPr>
          <w:p w14:paraId="77549D71">
            <w:pPr>
              <w:pStyle w:val="7"/>
              <w:spacing w:before="152" w:line="219" w:lineRule="auto"/>
              <w:ind w:left="230"/>
            </w:pPr>
            <w:r>
              <w:rPr>
                <w:spacing w:val="-15"/>
              </w:rPr>
              <w:t>路面碾压</w:t>
            </w:r>
          </w:p>
        </w:tc>
        <w:tc>
          <w:tcPr>
            <w:tcW w:w="726" w:type="dxa"/>
            <w:vMerge w:val="continue"/>
            <w:tcBorders>
              <w:top w:val="nil"/>
              <w:bottom w:val="nil"/>
              <w:right w:val="single" w:color="5B9BD5" w:sz="4" w:space="0"/>
            </w:tcBorders>
            <w:vAlign w:val="top"/>
          </w:tcPr>
          <w:p w14:paraId="68199965">
            <w:pPr>
              <w:rPr>
                <w:rFonts w:ascii="Arial"/>
                <w:sz w:val="21"/>
              </w:rPr>
            </w:pPr>
          </w:p>
        </w:tc>
      </w:tr>
      <w:tr w14:paraId="3C7052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3" w:hRule="atLeast"/>
        </w:trPr>
        <w:tc>
          <w:tcPr>
            <w:tcW w:w="772" w:type="dxa"/>
            <w:gridSpan w:val="2"/>
            <w:tcBorders>
              <w:left w:val="single" w:color="000000" w:sz="4" w:space="0"/>
            </w:tcBorders>
            <w:vAlign w:val="top"/>
          </w:tcPr>
          <w:p w14:paraId="3116B6E5">
            <w:pPr>
              <w:pStyle w:val="7"/>
              <w:spacing w:before="150" w:line="237" w:lineRule="auto"/>
              <w:ind w:left="291"/>
            </w:pPr>
            <w:r>
              <w:rPr>
                <w:spacing w:val="-7"/>
              </w:rPr>
              <w:t>36</w:t>
            </w:r>
          </w:p>
        </w:tc>
        <w:tc>
          <w:tcPr>
            <w:tcW w:w="1657" w:type="dxa"/>
            <w:vAlign w:val="top"/>
          </w:tcPr>
          <w:p w14:paraId="32C113FF">
            <w:pPr>
              <w:pStyle w:val="7"/>
              <w:spacing w:before="150" w:line="218" w:lineRule="auto"/>
              <w:ind w:left="296"/>
            </w:pPr>
            <w:r>
              <w:rPr>
                <w:spacing w:val="-18"/>
              </w:rPr>
              <w:t>沥青摊铺机</w:t>
            </w:r>
          </w:p>
        </w:tc>
        <w:tc>
          <w:tcPr>
            <w:tcW w:w="1559" w:type="dxa"/>
            <w:vAlign w:val="top"/>
          </w:tcPr>
          <w:p w14:paraId="689AE769">
            <w:pPr>
              <w:pStyle w:val="7"/>
              <w:spacing w:before="193" w:line="179" w:lineRule="auto"/>
              <w:ind w:left="292"/>
            </w:pPr>
            <w:r>
              <w:rPr>
                <w:spacing w:val="-10"/>
              </w:rPr>
              <w:t>SUPER1900</w:t>
            </w:r>
          </w:p>
        </w:tc>
        <w:tc>
          <w:tcPr>
            <w:tcW w:w="650" w:type="dxa"/>
            <w:vAlign w:val="top"/>
          </w:tcPr>
          <w:p w14:paraId="7C7E04A9">
            <w:pPr>
              <w:pStyle w:val="7"/>
              <w:spacing w:before="150" w:line="238" w:lineRule="auto"/>
              <w:ind w:left="276"/>
            </w:pPr>
            <w:r>
              <w:t>2</w:t>
            </w:r>
          </w:p>
        </w:tc>
        <w:tc>
          <w:tcPr>
            <w:tcW w:w="794" w:type="dxa"/>
            <w:vAlign w:val="top"/>
          </w:tcPr>
          <w:p w14:paraId="66B4135D">
            <w:pPr>
              <w:pStyle w:val="7"/>
              <w:spacing w:before="149" w:line="220" w:lineRule="auto"/>
              <w:ind w:left="217"/>
            </w:pPr>
            <w:r>
              <w:rPr>
                <w:spacing w:val="-17"/>
              </w:rPr>
              <w:t>国产</w:t>
            </w:r>
          </w:p>
        </w:tc>
        <w:tc>
          <w:tcPr>
            <w:tcW w:w="794" w:type="dxa"/>
            <w:vAlign w:val="top"/>
          </w:tcPr>
          <w:p w14:paraId="3AB66A9E">
            <w:pPr>
              <w:pStyle w:val="7"/>
              <w:spacing w:before="146" w:line="237" w:lineRule="auto"/>
              <w:ind w:left="186" w:leftChars="0"/>
            </w:pPr>
            <w:r>
              <w:rPr>
                <w:spacing w:val="-9"/>
              </w:rPr>
              <w:t>2022</w:t>
            </w:r>
          </w:p>
        </w:tc>
        <w:tc>
          <w:tcPr>
            <w:tcW w:w="791" w:type="dxa"/>
            <w:vAlign w:val="top"/>
          </w:tcPr>
          <w:p w14:paraId="0A0B5F2A">
            <w:pPr>
              <w:rPr>
                <w:rFonts w:ascii="Arial"/>
                <w:sz w:val="21"/>
              </w:rPr>
            </w:pPr>
          </w:p>
        </w:tc>
        <w:tc>
          <w:tcPr>
            <w:tcW w:w="794" w:type="dxa"/>
            <w:vAlign w:val="top"/>
          </w:tcPr>
          <w:p w14:paraId="56C7948A">
            <w:pPr>
              <w:pStyle w:val="7"/>
              <w:spacing w:before="150" w:line="237" w:lineRule="auto"/>
              <w:ind w:left="296"/>
            </w:pPr>
            <w:r>
              <w:rPr>
                <w:spacing w:val="-6"/>
              </w:rPr>
              <w:t>9m</w:t>
            </w:r>
          </w:p>
        </w:tc>
        <w:tc>
          <w:tcPr>
            <w:tcW w:w="1302" w:type="dxa"/>
            <w:vAlign w:val="top"/>
          </w:tcPr>
          <w:p w14:paraId="6AA1AEB5">
            <w:pPr>
              <w:pStyle w:val="7"/>
              <w:spacing w:before="149" w:line="219" w:lineRule="auto"/>
              <w:ind w:left="449"/>
            </w:pPr>
            <w:r>
              <w:rPr>
                <w:spacing w:val="-10"/>
              </w:rPr>
              <w:t>道路</w:t>
            </w:r>
          </w:p>
        </w:tc>
        <w:tc>
          <w:tcPr>
            <w:tcW w:w="726" w:type="dxa"/>
            <w:vMerge w:val="continue"/>
            <w:tcBorders>
              <w:top w:val="nil"/>
              <w:bottom w:val="nil"/>
              <w:right w:val="single" w:color="5B9BD5" w:sz="4" w:space="0"/>
            </w:tcBorders>
            <w:vAlign w:val="top"/>
          </w:tcPr>
          <w:p w14:paraId="6FBBCD82">
            <w:pPr>
              <w:rPr>
                <w:rFonts w:ascii="Arial"/>
                <w:sz w:val="21"/>
              </w:rPr>
            </w:pPr>
          </w:p>
        </w:tc>
      </w:tr>
      <w:tr w14:paraId="3E930A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6" w:hRule="atLeast"/>
        </w:trPr>
        <w:tc>
          <w:tcPr>
            <w:tcW w:w="772" w:type="dxa"/>
            <w:gridSpan w:val="2"/>
            <w:tcBorders>
              <w:left w:val="single" w:color="000000" w:sz="4" w:space="0"/>
            </w:tcBorders>
            <w:vAlign w:val="top"/>
          </w:tcPr>
          <w:p w14:paraId="03623B49">
            <w:pPr>
              <w:pStyle w:val="7"/>
              <w:spacing w:before="153" w:line="237" w:lineRule="auto"/>
              <w:ind w:left="291"/>
            </w:pPr>
            <w:r>
              <w:rPr>
                <w:spacing w:val="-7"/>
              </w:rPr>
              <w:t>37</w:t>
            </w:r>
          </w:p>
        </w:tc>
        <w:tc>
          <w:tcPr>
            <w:tcW w:w="1657" w:type="dxa"/>
            <w:vAlign w:val="top"/>
          </w:tcPr>
          <w:p w14:paraId="69DD6329">
            <w:pPr>
              <w:pStyle w:val="7"/>
              <w:spacing w:before="153" w:line="215" w:lineRule="auto"/>
              <w:ind w:left="296"/>
            </w:pPr>
            <w:r>
              <w:rPr>
                <w:spacing w:val="-18"/>
              </w:rPr>
              <w:t>沥青洒布车</w:t>
            </w:r>
          </w:p>
        </w:tc>
        <w:tc>
          <w:tcPr>
            <w:tcW w:w="1559" w:type="dxa"/>
            <w:vAlign w:val="top"/>
          </w:tcPr>
          <w:p w14:paraId="77C536E5">
            <w:pPr>
              <w:pStyle w:val="7"/>
              <w:spacing w:before="196" w:line="179" w:lineRule="auto"/>
              <w:ind w:left="345"/>
            </w:pPr>
            <w:r>
              <w:rPr>
                <w:spacing w:val="-10"/>
              </w:rPr>
              <w:t>CZL513GL</w:t>
            </w:r>
          </w:p>
        </w:tc>
        <w:tc>
          <w:tcPr>
            <w:tcW w:w="650" w:type="dxa"/>
            <w:vAlign w:val="top"/>
          </w:tcPr>
          <w:p w14:paraId="51DC48BF">
            <w:pPr>
              <w:pStyle w:val="7"/>
              <w:spacing w:before="153" w:line="238" w:lineRule="auto"/>
              <w:ind w:left="276"/>
            </w:pPr>
            <w:r>
              <w:t>2</w:t>
            </w:r>
          </w:p>
        </w:tc>
        <w:tc>
          <w:tcPr>
            <w:tcW w:w="794" w:type="dxa"/>
            <w:vAlign w:val="top"/>
          </w:tcPr>
          <w:p w14:paraId="5FFE488D">
            <w:pPr>
              <w:pStyle w:val="7"/>
              <w:spacing w:before="152" w:line="220" w:lineRule="auto"/>
              <w:ind w:left="217"/>
            </w:pPr>
            <w:r>
              <w:rPr>
                <w:spacing w:val="-17"/>
              </w:rPr>
              <w:t>国产</w:t>
            </w:r>
          </w:p>
        </w:tc>
        <w:tc>
          <w:tcPr>
            <w:tcW w:w="794" w:type="dxa"/>
            <w:vAlign w:val="top"/>
          </w:tcPr>
          <w:p w14:paraId="4C449668">
            <w:pPr>
              <w:pStyle w:val="7"/>
              <w:spacing w:before="145" w:line="237" w:lineRule="auto"/>
              <w:ind w:left="186" w:leftChars="0"/>
            </w:pPr>
            <w:r>
              <w:rPr>
                <w:spacing w:val="-9"/>
              </w:rPr>
              <w:t>202</w:t>
            </w:r>
            <w:r>
              <w:rPr>
                <w:rFonts w:hint="eastAsia"/>
                <w:spacing w:val="-9"/>
                <w:lang w:val="en-US" w:eastAsia="zh-CN"/>
              </w:rPr>
              <w:t>1</w:t>
            </w:r>
          </w:p>
        </w:tc>
        <w:tc>
          <w:tcPr>
            <w:tcW w:w="791" w:type="dxa"/>
            <w:vAlign w:val="top"/>
          </w:tcPr>
          <w:p w14:paraId="01B953FA">
            <w:pPr>
              <w:rPr>
                <w:rFonts w:ascii="Arial"/>
                <w:sz w:val="21"/>
              </w:rPr>
            </w:pPr>
          </w:p>
        </w:tc>
        <w:tc>
          <w:tcPr>
            <w:tcW w:w="794" w:type="dxa"/>
            <w:vAlign w:val="top"/>
          </w:tcPr>
          <w:p w14:paraId="6E23C1BE">
            <w:pPr>
              <w:rPr>
                <w:rFonts w:ascii="Arial"/>
                <w:sz w:val="21"/>
              </w:rPr>
            </w:pPr>
          </w:p>
        </w:tc>
        <w:tc>
          <w:tcPr>
            <w:tcW w:w="1302" w:type="dxa"/>
            <w:vAlign w:val="top"/>
          </w:tcPr>
          <w:p w14:paraId="567F3D30">
            <w:pPr>
              <w:pStyle w:val="7"/>
              <w:spacing w:before="153" w:line="219" w:lineRule="auto"/>
              <w:ind w:left="449"/>
            </w:pPr>
            <w:r>
              <w:rPr>
                <w:spacing w:val="-10"/>
              </w:rPr>
              <w:t>道路</w:t>
            </w:r>
          </w:p>
        </w:tc>
        <w:tc>
          <w:tcPr>
            <w:tcW w:w="726" w:type="dxa"/>
            <w:vMerge w:val="continue"/>
            <w:tcBorders>
              <w:top w:val="nil"/>
              <w:bottom w:val="nil"/>
              <w:right w:val="single" w:color="5B9BD5" w:sz="4" w:space="0"/>
            </w:tcBorders>
            <w:vAlign w:val="top"/>
          </w:tcPr>
          <w:p w14:paraId="1EBD7F66">
            <w:pPr>
              <w:rPr>
                <w:rFonts w:ascii="Arial"/>
                <w:sz w:val="21"/>
              </w:rPr>
            </w:pPr>
          </w:p>
        </w:tc>
      </w:tr>
      <w:tr w14:paraId="68DC16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4" w:hRule="atLeast"/>
        </w:trPr>
        <w:tc>
          <w:tcPr>
            <w:tcW w:w="172" w:type="dxa"/>
            <w:tcBorders>
              <w:left w:val="single" w:color="1C456A" w:sz="4" w:space="0"/>
              <w:bottom w:val="single" w:color="1C456A" w:sz="4" w:space="0"/>
              <w:right w:val="nil"/>
            </w:tcBorders>
            <w:vAlign w:val="top"/>
          </w:tcPr>
          <w:p w14:paraId="4712B1E7">
            <w:pPr>
              <w:rPr>
                <w:rFonts w:ascii="Arial"/>
                <w:sz w:val="21"/>
              </w:rPr>
            </w:pPr>
            <w:r>
              <w:pict>
                <v:shape id="_x0000_s4846" o:spid="_x0000_s4846" style="position:absolute;left:0pt;margin-left:-0.25pt;margin-top:36.2pt;height:0.75pt;width:2.2pt;mso-position-horizontal-relative:page;mso-position-vertical-relative:page;z-index:252417024;mso-width-relative:page;mso-height-relative:page;" fillcolor="#5B9BD5" filled="t" stroked="f" coordsize="44,15" path="m0,14l43,14,43,0,0,0,0,14xe">
                  <v:path/>
                  <v:fill on="t" focussize="0,0"/>
                  <v:stroke on="f"/>
                  <v:imagedata o:title=""/>
                  <o:lock v:ext="edit"/>
                </v:shape>
              </w:pict>
            </w:r>
          </w:p>
        </w:tc>
        <w:tc>
          <w:tcPr>
            <w:tcW w:w="600" w:type="dxa"/>
            <w:tcBorders>
              <w:left w:val="nil"/>
              <w:bottom w:val="single" w:color="1C456A" w:sz="4" w:space="0"/>
            </w:tcBorders>
            <w:vAlign w:val="top"/>
          </w:tcPr>
          <w:p w14:paraId="19F696E8">
            <w:pPr>
              <w:pStyle w:val="7"/>
              <w:spacing w:before="150" w:line="237" w:lineRule="auto"/>
              <w:ind w:left="124"/>
            </w:pPr>
            <w:r>
              <w:rPr>
                <w:spacing w:val="-7"/>
              </w:rPr>
              <w:t>38</w:t>
            </w:r>
          </w:p>
        </w:tc>
        <w:tc>
          <w:tcPr>
            <w:tcW w:w="1657" w:type="dxa"/>
            <w:tcBorders>
              <w:bottom w:val="single" w:color="000000" w:sz="4" w:space="0"/>
            </w:tcBorders>
            <w:vAlign w:val="top"/>
          </w:tcPr>
          <w:p w14:paraId="20EB550A">
            <w:pPr>
              <w:pStyle w:val="7"/>
              <w:spacing w:before="151" w:line="216" w:lineRule="auto"/>
              <w:ind w:left="294"/>
            </w:pPr>
            <w:r>
              <w:rPr>
                <w:spacing w:val="-17"/>
              </w:rPr>
              <w:t>轴流通风机</w:t>
            </w:r>
          </w:p>
        </w:tc>
        <w:tc>
          <w:tcPr>
            <w:tcW w:w="1559" w:type="dxa"/>
            <w:tcBorders>
              <w:bottom w:val="single" w:color="000000" w:sz="4" w:space="0"/>
            </w:tcBorders>
            <w:vAlign w:val="top"/>
          </w:tcPr>
          <w:p w14:paraId="4814E236">
            <w:pPr>
              <w:pStyle w:val="7"/>
              <w:spacing w:before="151" w:line="236" w:lineRule="auto"/>
              <w:ind w:left="513"/>
            </w:pPr>
            <w:r>
              <w:rPr>
                <w:spacing w:val="-9"/>
              </w:rPr>
              <w:t>2.2kw</w:t>
            </w:r>
          </w:p>
        </w:tc>
        <w:tc>
          <w:tcPr>
            <w:tcW w:w="650" w:type="dxa"/>
            <w:tcBorders>
              <w:bottom w:val="single" w:color="000000" w:sz="4" w:space="0"/>
            </w:tcBorders>
            <w:vAlign w:val="top"/>
          </w:tcPr>
          <w:p w14:paraId="3A7C3BE7">
            <w:pPr>
              <w:pStyle w:val="7"/>
              <w:spacing w:before="150" w:line="237" w:lineRule="auto"/>
              <w:ind w:left="278"/>
            </w:pPr>
            <w:r>
              <w:t>5</w:t>
            </w:r>
          </w:p>
        </w:tc>
        <w:tc>
          <w:tcPr>
            <w:tcW w:w="794" w:type="dxa"/>
            <w:tcBorders>
              <w:bottom w:val="single" w:color="000000" w:sz="4" w:space="0"/>
            </w:tcBorders>
            <w:vAlign w:val="top"/>
          </w:tcPr>
          <w:p w14:paraId="092E6671">
            <w:pPr>
              <w:pStyle w:val="7"/>
              <w:spacing w:before="151" w:line="218" w:lineRule="auto"/>
              <w:ind w:left="221"/>
            </w:pPr>
            <w:r>
              <w:rPr>
                <w:spacing w:val="-18"/>
              </w:rPr>
              <w:t>中国</w:t>
            </w:r>
          </w:p>
        </w:tc>
        <w:tc>
          <w:tcPr>
            <w:tcW w:w="794" w:type="dxa"/>
            <w:tcBorders>
              <w:bottom w:val="single" w:color="000000" w:sz="4" w:space="0"/>
            </w:tcBorders>
            <w:vAlign w:val="top"/>
          </w:tcPr>
          <w:p w14:paraId="52FE04BF">
            <w:pPr>
              <w:pStyle w:val="7"/>
              <w:spacing w:before="146" w:line="237" w:lineRule="auto"/>
              <w:ind w:left="186" w:leftChars="0"/>
            </w:pPr>
            <w:r>
              <w:rPr>
                <w:spacing w:val="-9"/>
              </w:rPr>
              <w:t>2022</w:t>
            </w:r>
          </w:p>
        </w:tc>
        <w:tc>
          <w:tcPr>
            <w:tcW w:w="791" w:type="dxa"/>
            <w:tcBorders>
              <w:bottom w:val="single" w:color="000000" w:sz="4" w:space="0"/>
            </w:tcBorders>
            <w:vAlign w:val="top"/>
          </w:tcPr>
          <w:p w14:paraId="5012BED1">
            <w:pPr>
              <w:rPr>
                <w:rFonts w:ascii="Arial"/>
                <w:sz w:val="21"/>
              </w:rPr>
            </w:pPr>
          </w:p>
        </w:tc>
        <w:tc>
          <w:tcPr>
            <w:tcW w:w="794" w:type="dxa"/>
            <w:tcBorders>
              <w:bottom w:val="single" w:color="000000" w:sz="4" w:space="0"/>
            </w:tcBorders>
            <w:vAlign w:val="top"/>
          </w:tcPr>
          <w:p w14:paraId="248EFAAC">
            <w:pPr>
              <w:pStyle w:val="7"/>
              <w:spacing w:before="150" w:line="219" w:lineRule="auto"/>
              <w:ind w:left="228"/>
            </w:pPr>
            <w:r>
              <w:rPr>
                <w:spacing w:val="-19"/>
              </w:rPr>
              <w:t>良好</w:t>
            </w:r>
          </w:p>
        </w:tc>
        <w:tc>
          <w:tcPr>
            <w:tcW w:w="1302" w:type="dxa"/>
            <w:tcBorders>
              <w:bottom w:val="single" w:color="000000" w:sz="4" w:space="0"/>
            </w:tcBorders>
            <w:vAlign w:val="top"/>
          </w:tcPr>
          <w:p w14:paraId="6BBF4968">
            <w:pPr>
              <w:pStyle w:val="7"/>
              <w:spacing w:before="150" w:line="219" w:lineRule="auto"/>
              <w:ind w:left="245"/>
            </w:pPr>
            <w:r>
              <w:rPr>
                <w:spacing w:val="-19"/>
              </w:rPr>
              <w:t>管道工程</w:t>
            </w:r>
          </w:p>
        </w:tc>
        <w:tc>
          <w:tcPr>
            <w:tcW w:w="726" w:type="dxa"/>
            <w:vMerge w:val="continue"/>
            <w:tcBorders>
              <w:top w:val="nil"/>
              <w:bottom w:val="single" w:color="5B9BD5" w:sz="4" w:space="0"/>
              <w:right w:val="single" w:color="5B9BD5" w:sz="4" w:space="0"/>
            </w:tcBorders>
            <w:vAlign w:val="top"/>
          </w:tcPr>
          <w:p w14:paraId="28886C3D">
            <w:pPr>
              <w:rPr>
                <w:rFonts w:ascii="Arial"/>
                <w:sz w:val="21"/>
              </w:rPr>
            </w:pPr>
          </w:p>
        </w:tc>
      </w:tr>
    </w:tbl>
    <w:p w14:paraId="7B90337A">
      <w:pPr>
        <w:rPr>
          <w:rFonts w:ascii="Arial"/>
          <w:sz w:val="21"/>
        </w:rPr>
      </w:pPr>
    </w:p>
    <w:p w14:paraId="04739BB4">
      <w:pPr>
        <w:rPr>
          <w:rFonts w:ascii="Arial" w:hAnsi="Arial" w:eastAsia="Arial" w:cs="Arial"/>
          <w:sz w:val="21"/>
          <w:szCs w:val="21"/>
        </w:rPr>
        <w:sectPr>
          <w:footerReference r:id="rId433" w:type="default"/>
          <w:pgSz w:w="11907" w:h="16839"/>
          <w:pgMar w:top="933" w:right="4" w:bottom="1038" w:left="0" w:header="478" w:footer="357" w:gutter="0"/>
          <w:pgBorders>
            <w:top w:val="none" w:sz="0" w:space="0"/>
            <w:left w:val="none" w:sz="0" w:space="0"/>
            <w:bottom w:val="none" w:sz="0" w:space="0"/>
            <w:right w:val="none" w:sz="0" w:space="0"/>
          </w:pgBorders>
          <w:cols w:space="720" w:num="1"/>
        </w:sectPr>
      </w:pPr>
    </w:p>
    <w:p w14:paraId="33676D84">
      <w:pPr>
        <w:spacing w:line="235" w:lineRule="exact"/>
      </w:pPr>
    </w:p>
    <w:tbl>
      <w:tblPr>
        <w:tblStyle w:val="6"/>
        <w:tblW w:w="9839" w:type="dxa"/>
        <w:tblInd w:w="103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2"/>
        <w:gridCol w:w="1657"/>
        <w:gridCol w:w="1559"/>
        <w:gridCol w:w="650"/>
        <w:gridCol w:w="794"/>
        <w:gridCol w:w="794"/>
        <w:gridCol w:w="791"/>
        <w:gridCol w:w="794"/>
        <w:gridCol w:w="1302"/>
        <w:gridCol w:w="726"/>
      </w:tblGrid>
      <w:tr w14:paraId="5AAA8B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8" w:hRule="atLeast"/>
        </w:trPr>
        <w:tc>
          <w:tcPr>
            <w:tcW w:w="772" w:type="dxa"/>
            <w:tcBorders>
              <w:top w:val="single" w:color="1C456A" w:sz="4" w:space="0"/>
              <w:left w:val="single" w:color="1C456A" w:sz="4" w:space="0"/>
            </w:tcBorders>
            <w:vAlign w:val="top"/>
          </w:tcPr>
          <w:p w14:paraId="2F65BE92">
            <w:pPr>
              <w:pStyle w:val="7"/>
              <w:spacing w:before="177" w:line="237" w:lineRule="auto"/>
              <w:ind w:left="291"/>
            </w:pPr>
            <w:r>
              <w:rPr>
                <w:spacing w:val="-7"/>
              </w:rPr>
              <w:t>39</w:t>
            </w:r>
          </w:p>
        </w:tc>
        <w:tc>
          <w:tcPr>
            <w:tcW w:w="1657" w:type="dxa"/>
            <w:tcBorders>
              <w:top w:val="single" w:color="000000" w:sz="4" w:space="0"/>
            </w:tcBorders>
            <w:vAlign w:val="top"/>
          </w:tcPr>
          <w:p w14:paraId="65C8281D">
            <w:pPr>
              <w:pStyle w:val="7"/>
              <w:spacing w:before="177" w:line="218" w:lineRule="auto"/>
              <w:ind w:left="434"/>
            </w:pPr>
            <w:r>
              <w:rPr>
                <w:spacing w:val="-23"/>
              </w:rPr>
              <w:t>中风压机</w:t>
            </w:r>
          </w:p>
        </w:tc>
        <w:tc>
          <w:tcPr>
            <w:tcW w:w="1559" w:type="dxa"/>
            <w:tcBorders>
              <w:top w:val="single" w:color="000000" w:sz="4" w:space="0"/>
            </w:tcBorders>
            <w:vAlign w:val="top"/>
          </w:tcPr>
          <w:p w14:paraId="2C6362BF">
            <w:pPr>
              <w:pStyle w:val="7"/>
              <w:spacing w:before="177" w:line="236" w:lineRule="auto"/>
              <w:ind w:left="513"/>
            </w:pPr>
            <w:r>
              <w:rPr>
                <w:spacing w:val="-9"/>
              </w:rPr>
              <w:t>2.2kw</w:t>
            </w:r>
          </w:p>
        </w:tc>
        <w:tc>
          <w:tcPr>
            <w:tcW w:w="650" w:type="dxa"/>
            <w:tcBorders>
              <w:top w:val="single" w:color="000000" w:sz="4" w:space="0"/>
            </w:tcBorders>
            <w:vAlign w:val="top"/>
          </w:tcPr>
          <w:p w14:paraId="7A254298">
            <w:pPr>
              <w:pStyle w:val="7"/>
              <w:spacing w:before="177" w:line="237" w:lineRule="auto"/>
              <w:ind w:left="275"/>
            </w:pPr>
            <w:r>
              <w:t>6</w:t>
            </w:r>
          </w:p>
        </w:tc>
        <w:tc>
          <w:tcPr>
            <w:tcW w:w="794" w:type="dxa"/>
            <w:tcBorders>
              <w:top w:val="single" w:color="000000" w:sz="4" w:space="0"/>
            </w:tcBorders>
            <w:vAlign w:val="top"/>
          </w:tcPr>
          <w:p w14:paraId="5D9F1C31">
            <w:pPr>
              <w:pStyle w:val="7"/>
              <w:spacing w:before="177" w:line="218" w:lineRule="auto"/>
              <w:ind w:left="221"/>
            </w:pPr>
            <w:r>
              <w:rPr>
                <w:spacing w:val="-24"/>
              </w:rPr>
              <w:t>中国</w:t>
            </w:r>
          </w:p>
        </w:tc>
        <w:tc>
          <w:tcPr>
            <w:tcW w:w="794" w:type="dxa"/>
            <w:tcBorders>
              <w:top w:val="single" w:color="000000" w:sz="4" w:space="0"/>
            </w:tcBorders>
            <w:vAlign w:val="top"/>
          </w:tcPr>
          <w:p w14:paraId="54DC6954">
            <w:pPr>
              <w:pStyle w:val="7"/>
              <w:spacing w:before="145" w:line="237" w:lineRule="auto"/>
              <w:ind w:left="186" w:leftChars="0"/>
            </w:pPr>
            <w:r>
              <w:rPr>
                <w:spacing w:val="-9"/>
              </w:rPr>
              <w:t>202</w:t>
            </w:r>
            <w:r>
              <w:rPr>
                <w:rFonts w:hint="eastAsia"/>
                <w:spacing w:val="-9"/>
                <w:lang w:val="en-US" w:eastAsia="zh-CN"/>
              </w:rPr>
              <w:t>1</w:t>
            </w:r>
          </w:p>
        </w:tc>
        <w:tc>
          <w:tcPr>
            <w:tcW w:w="791" w:type="dxa"/>
            <w:tcBorders>
              <w:top w:val="single" w:color="000000" w:sz="4" w:space="0"/>
            </w:tcBorders>
            <w:vAlign w:val="top"/>
          </w:tcPr>
          <w:p w14:paraId="1FCBBFF8">
            <w:pPr>
              <w:rPr>
                <w:rFonts w:ascii="Arial"/>
                <w:sz w:val="21"/>
              </w:rPr>
            </w:pPr>
          </w:p>
        </w:tc>
        <w:tc>
          <w:tcPr>
            <w:tcW w:w="794" w:type="dxa"/>
            <w:tcBorders>
              <w:top w:val="single" w:color="000000" w:sz="4" w:space="0"/>
            </w:tcBorders>
            <w:vAlign w:val="top"/>
          </w:tcPr>
          <w:p w14:paraId="1AB3DCDC">
            <w:pPr>
              <w:pStyle w:val="7"/>
              <w:spacing w:before="177" w:line="219" w:lineRule="auto"/>
              <w:ind w:left="228"/>
            </w:pPr>
            <w:r>
              <w:rPr>
                <w:spacing w:val="-19"/>
              </w:rPr>
              <w:t>良好</w:t>
            </w:r>
          </w:p>
        </w:tc>
        <w:tc>
          <w:tcPr>
            <w:tcW w:w="1302" w:type="dxa"/>
            <w:tcBorders>
              <w:top w:val="single" w:color="000000" w:sz="4" w:space="0"/>
            </w:tcBorders>
            <w:vAlign w:val="top"/>
          </w:tcPr>
          <w:p w14:paraId="262DBF8D">
            <w:pPr>
              <w:pStyle w:val="7"/>
              <w:spacing w:before="177" w:line="219" w:lineRule="auto"/>
              <w:ind w:left="245"/>
            </w:pPr>
            <w:r>
              <w:rPr>
                <w:spacing w:val="-19"/>
              </w:rPr>
              <w:t>管道工程</w:t>
            </w:r>
          </w:p>
        </w:tc>
        <w:tc>
          <w:tcPr>
            <w:tcW w:w="726" w:type="dxa"/>
            <w:vMerge w:val="restart"/>
            <w:tcBorders>
              <w:top w:val="single" w:color="1C456A" w:sz="4" w:space="0"/>
              <w:bottom w:val="nil"/>
              <w:right w:val="single" w:color="1C456A" w:sz="4" w:space="0"/>
            </w:tcBorders>
            <w:vAlign w:val="top"/>
          </w:tcPr>
          <w:p w14:paraId="5EE8E5C0">
            <w:pPr>
              <w:spacing w:line="355" w:lineRule="auto"/>
              <w:rPr>
                <w:rFonts w:ascii="Arial"/>
                <w:sz w:val="21"/>
              </w:rPr>
            </w:pPr>
          </w:p>
          <w:p w14:paraId="0D2A2828">
            <w:pPr>
              <w:spacing w:line="355" w:lineRule="auto"/>
              <w:rPr>
                <w:rFonts w:ascii="Arial"/>
                <w:sz w:val="21"/>
              </w:rPr>
            </w:pPr>
          </w:p>
          <w:p w14:paraId="2AFF0295">
            <w:pPr>
              <w:spacing w:line="68" w:lineRule="exact"/>
              <w:ind w:firstLine="685"/>
            </w:pPr>
            <w:r>
              <w:rPr>
                <w:position w:val="-1"/>
              </w:rPr>
              <w:pict>
                <v:group id="_x0000_s4848" o:spid="_x0000_s4848" o:spt="203" style="height:3.4pt;width:1.45pt;" coordsize="29,68">
                  <o:lock v:ext="edit"/>
                  <v:shape id="_x0000_s4850" o:spid="_x0000_s4850" style="position:absolute;left:14;top:0;height:68;width:15;" fillcolor="#20507B" filled="t" stroked="f" coordsize="15,68" path="m0,67l14,67,14,0,0,0,0,67xe">
                    <v:path/>
                    <v:fill on="t" focussize="0,0"/>
                    <v:stroke on="f"/>
                    <v:imagedata o:title=""/>
                    <o:lock v:ext="edit"/>
                  </v:shape>
                  <v:shape id="_x0000_s4852" o:spid="_x0000_s4852" style="position:absolute;left:0;top:0;height:68;width:15;" fillcolor="#1C456A" filled="t" stroked="f" coordsize="15,68" path="m0,67l14,67,14,0,0,0,0,67xe">
                    <v:path/>
                    <v:fill on="t" focussize="0,0"/>
                    <v:stroke on="f"/>
                    <v:imagedata o:title=""/>
                    <o:lock v:ext="edit"/>
                  </v:shape>
                  <w10:wrap type="none"/>
                  <w10:anchorlock/>
                </v:group>
              </w:pict>
            </w:r>
          </w:p>
          <w:p w14:paraId="589319A9">
            <w:pPr>
              <w:spacing w:line="310" w:lineRule="auto"/>
              <w:rPr>
                <w:rFonts w:ascii="Arial"/>
                <w:sz w:val="21"/>
              </w:rPr>
            </w:pPr>
          </w:p>
          <w:p w14:paraId="035500C1">
            <w:pPr>
              <w:spacing w:line="310" w:lineRule="auto"/>
              <w:rPr>
                <w:rFonts w:ascii="Arial"/>
                <w:sz w:val="21"/>
              </w:rPr>
            </w:pPr>
          </w:p>
          <w:p w14:paraId="5EA53CAF">
            <w:pPr>
              <w:spacing w:line="67" w:lineRule="exact"/>
              <w:ind w:firstLine="685"/>
            </w:pPr>
            <w:r>
              <w:rPr>
                <w:position w:val="-1"/>
              </w:rPr>
              <w:pict>
                <v:group id="_x0000_s4854" o:spid="_x0000_s4854" o:spt="203" style="height:3.4pt;width:1.45pt;" coordsize="29,68">
                  <o:lock v:ext="edit"/>
                  <v:shape id="_x0000_s4856" o:spid="_x0000_s4856" style="position:absolute;left:14;top:0;height:68;width:15;" fillcolor="#20507B" filled="t" stroked="f" coordsize="15,68" path="m0,67l14,67,14,0,0,0,0,67xe">
                    <v:path/>
                    <v:fill on="t" focussize="0,0"/>
                    <v:stroke on="f"/>
                    <v:imagedata o:title=""/>
                    <o:lock v:ext="edit"/>
                  </v:shape>
                  <v:shape id="_x0000_s4858" o:spid="_x0000_s4858" style="position:absolute;left:0;top:0;height:68;width:15;" fillcolor="#1C456A" filled="t" stroked="f" coordsize="15,68" path="m0,67l14,67,14,0,0,0,0,67xe">
                    <v:path/>
                    <v:fill on="t" focussize="0,0"/>
                    <v:stroke on="f"/>
                    <v:imagedata o:title=""/>
                    <o:lock v:ext="edit"/>
                  </v:shape>
                  <w10:wrap type="none"/>
                  <w10:anchorlock/>
                </v:group>
              </w:pict>
            </w:r>
          </w:p>
          <w:p w14:paraId="476460F7">
            <w:pPr>
              <w:spacing w:line="308" w:lineRule="auto"/>
              <w:rPr>
                <w:rFonts w:ascii="Arial"/>
                <w:sz w:val="21"/>
              </w:rPr>
            </w:pPr>
          </w:p>
          <w:p w14:paraId="61CAABA9">
            <w:pPr>
              <w:spacing w:line="309" w:lineRule="auto"/>
              <w:rPr>
                <w:rFonts w:ascii="Arial"/>
                <w:sz w:val="21"/>
              </w:rPr>
            </w:pPr>
          </w:p>
          <w:p w14:paraId="4C13D06C">
            <w:pPr>
              <w:spacing w:line="67" w:lineRule="exact"/>
              <w:ind w:firstLine="685"/>
            </w:pPr>
            <w:r>
              <w:rPr>
                <w:position w:val="-1"/>
              </w:rPr>
              <w:pict>
                <v:group id="_x0000_s4860" o:spid="_x0000_s4860" o:spt="203" style="height:3.4pt;width:1.45pt;" coordsize="29,68">
                  <o:lock v:ext="edit"/>
                  <v:shape id="_x0000_s4862" o:spid="_x0000_s4862" style="position:absolute;left:14;top:0;height:68;width:15;" fillcolor="#20507B" filled="t" stroked="f" coordsize="15,68" path="m0,67l14,67,14,0,0,0,0,67xe">
                    <v:path/>
                    <v:fill on="t" focussize="0,0"/>
                    <v:stroke on="f"/>
                    <v:imagedata o:title=""/>
                    <o:lock v:ext="edit"/>
                  </v:shape>
                  <v:shape id="_x0000_s4864" o:spid="_x0000_s4864" style="position:absolute;left:0;top:0;height:68;width:15;" fillcolor="#1C456A" filled="t" stroked="f" coordsize="15,68" path="m0,67l14,67,14,0,0,0,0,67xe">
                    <v:path/>
                    <v:fill on="t" focussize="0,0"/>
                    <v:stroke on="f"/>
                    <v:imagedata o:title=""/>
                    <o:lock v:ext="edit"/>
                  </v:shape>
                  <w10:wrap type="none"/>
                  <w10:anchorlock/>
                </v:group>
              </w:pict>
            </w:r>
          </w:p>
          <w:p w14:paraId="067BDCD9">
            <w:pPr>
              <w:spacing w:line="310" w:lineRule="auto"/>
              <w:rPr>
                <w:rFonts w:ascii="Arial"/>
                <w:sz w:val="21"/>
              </w:rPr>
            </w:pPr>
          </w:p>
          <w:p w14:paraId="465754AF">
            <w:pPr>
              <w:spacing w:line="310" w:lineRule="auto"/>
              <w:rPr>
                <w:rFonts w:ascii="Arial"/>
                <w:sz w:val="21"/>
              </w:rPr>
            </w:pPr>
          </w:p>
          <w:p w14:paraId="70A49489">
            <w:pPr>
              <w:spacing w:line="67" w:lineRule="exact"/>
              <w:ind w:firstLine="685"/>
            </w:pPr>
            <w:r>
              <w:rPr>
                <w:position w:val="-1"/>
              </w:rPr>
              <w:pict>
                <v:group id="_x0000_s4866" o:spid="_x0000_s4866" o:spt="203" style="height:3.4pt;width:1.45pt;" coordsize="29,68">
                  <o:lock v:ext="edit"/>
                  <v:shape id="_x0000_s4868" o:spid="_x0000_s4868" style="position:absolute;left:14;top:0;height:68;width:15;" fillcolor="#20507B" filled="t" stroked="f" coordsize="15,68" path="m0,67l14,67,14,0,0,0,0,67xe">
                    <v:path/>
                    <v:fill on="t" focussize="0,0"/>
                    <v:stroke on="f"/>
                    <v:imagedata o:title=""/>
                    <o:lock v:ext="edit"/>
                  </v:shape>
                  <v:shape id="_x0000_s4870" o:spid="_x0000_s4870" style="position:absolute;left:0;top:0;height:68;width:15;" fillcolor="#1C456A" filled="t" stroked="f" coordsize="15,68" path="m0,67l14,67,14,0,0,0,0,67xe">
                    <v:path/>
                    <v:fill on="t" focussize="0,0"/>
                    <v:stroke on="f"/>
                    <v:imagedata o:title=""/>
                    <o:lock v:ext="edit"/>
                  </v:shape>
                  <w10:wrap type="none"/>
                  <w10:anchorlock/>
                </v:group>
              </w:pict>
            </w:r>
          </w:p>
          <w:p w14:paraId="5F911FCF">
            <w:pPr>
              <w:spacing w:line="308" w:lineRule="auto"/>
              <w:rPr>
                <w:rFonts w:ascii="Arial"/>
                <w:sz w:val="21"/>
              </w:rPr>
            </w:pPr>
          </w:p>
          <w:p w14:paraId="607F0BE8">
            <w:pPr>
              <w:spacing w:line="309" w:lineRule="auto"/>
              <w:rPr>
                <w:rFonts w:ascii="Arial"/>
                <w:sz w:val="21"/>
              </w:rPr>
            </w:pPr>
          </w:p>
          <w:p w14:paraId="2FBAB5B1">
            <w:pPr>
              <w:spacing w:line="67" w:lineRule="exact"/>
              <w:ind w:firstLine="685"/>
            </w:pPr>
            <w:r>
              <w:rPr>
                <w:position w:val="-1"/>
              </w:rPr>
              <w:pict>
                <v:group id="_x0000_s4872" o:spid="_x0000_s4872" o:spt="203" style="height:3.4pt;width:1.45pt;" coordsize="29,68">
                  <o:lock v:ext="edit"/>
                  <v:shape id="_x0000_s4874" o:spid="_x0000_s4874" style="position:absolute;left:14;top:0;height:68;width:15;" fillcolor="#20507B" filled="t" stroked="f" coordsize="15,68" path="m0,67l14,67,14,0,0,0,0,67xe">
                    <v:path/>
                    <v:fill on="t" focussize="0,0"/>
                    <v:stroke on="f"/>
                    <v:imagedata o:title=""/>
                    <o:lock v:ext="edit"/>
                  </v:shape>
                  <v:shape id="_x0000_s4876" o:spid="_x0000_s4876" style="position:absolute;left:0;top:0;height:68;width:15;" fillcolor="#1C456A" filled="t" stroked="f" coordsize="15,68" path="m0,67l14,67,14,0,0,0,0,67xe">
                    <v:path/>
                    <v:fill on="t" focussize="0,0"/>
                    <v:stroke on="f"/>
                    <v:imagedata o:title=""/>
                    <o:lock v:ext="edit"/>
                  </v:shape>
                  <w10:wrap type="none"/>
                  <w10:anchorlock/>
                </v:group>
              </w:pict>
            </w:r>
          </w:p>
          <w:p w14:paraId="7E332D99">
            <w:pPr>
              <w:spacing w:line="311" w:lineRule="auto"/>
              <w:rPr>
                <w:rFonts w:ascii="Arial"/>
                <w:sz w:val="21"/>
              </w:rPr>
            </w:pPr>
          </w:p>
          <w:p w14:paraId="6B6C1362">
            <w:pPr>
              <w:spacing w:line="312" w:lineRule="auto"/>
              <w:rPr>
                <w:rFonts w:ascii="Arial"/>
                <w:sz w:val="21"/>
              </w:rPr>
            </w:pPr>
          </w:p>
          <w:p w14:paraId="5CDEB0C8">
            <w:pPr>
              <w:spacing w:line="23" w:lineRule="exact"/>
            </w:pPr>
            <w:r>
              <w:rPr>
                <w:position w:val="-1"/>
              </w:rPr>
              <w:pict>
                <v:group id="_x0000_s4878" o:spid="_x0000_s4878" o:spt="203" style="height:1.45pt;width:35.9pt;" coordsize="718,29">
                  <o:lock v:ext="edit"/>
                  <v:shape id="_x0000_s4880" o:spid="_x0000_s4880" style="position:absolute;left:0;top:0;height:15;width:44;" fillcolor="#1C456A" filled="t" stroked="f" coordsize="44,15" path="m0,14l43,14,43,0,0,0,0,14xe">
                    <v:path/>
                    <v:fill on="t" focussize="0,0"/>
                    <v:stroke on="f"/>
                    <v:imagedata o:title=""/>
                    <o:lock v:ext="edit"/>
                  </v:shape>
                  <v:shape id="_x0000_s4882" o:spid="_x0000_s4882" style="position:absolute;left:0;top:14;height:15;width:44;" fillcolor="#20507B" filled="t" stroked="f" coordsize="44,15" path="m0,14l43,14,43,0,0,0,0,14xe">
                    <v:path/>
                    <v:fill on="t" focussize="0,0"/>
                    <v:stroke on="f"/>
                    <v:imagedata o:title=""/>
                    <o:lock v:ext="edit"/>
                  </v:shape>
                  <v:shape id="_x0000_s4884" o:spid="_x0000_s4884" style="position:absolute;left:43;top:0;height:15;width:645;" fillcolor="#1C456A" filled="t" stroked="f" coordsize="645,15" path="m0,14l645,14,645,0,0,0,0,14xe">
                    <v:path/>
                    <v:fill on="t" focussize="0,0"/>
                    <v:stroke on="f"/>
                    <v:imagedata o:title=""/>
                    <o:lock v:ext="edit"/>
                  </v:shape>
                  <v:shape id="_x0000_s4886" o:spid="_x0000_s4886" style="position:absolute;left:688;top:0;height:29;width:29;" fillcolor="#20507B" filled="t" stroked="f" coordsize="29,29" path="m14,28l28,28,28,0,14,0,14,28xem0,28l28,28,28,14,0,14,0,28xe">
                    <v:path/>
                    <v:fill on="t" focussize="0,0"/>
                    <v:stroke on="f"/>
                    <v:imagedata o:title=""/>
                    <o:lock v:ext="edit"/>
                  </v:shape>
                  <v:shape id="_x0000_s4888" o:spid="_x0000_s4888" style="position:absolute;left:688;top:0;height:15;width:15;" fillcolor="#1C456A" filled="t" stroked="f" coordsize="15,15" path="m0,14l14,14,14,0,0,0,0,14xem0,14l14,14,14,0,0,0,0,14xe">
                    <v:path/>
                    <v:fill on="t" focussize="0,0"/>
                    <v:stroke on="f"/>
                    <v:imagedata o:title=""/>
                    <o:lock v:ext="edit"/>
                  </v:shape>
                  <w10:wrap type="none"/>
                  <w10:anchorlock/>
                </v:group>
              </w:pict>
            </w:r>
          </w:p>
        </w:tc>
      </w:tr>
      <w:tr w14:paraId="542771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4" w:hRule="atLeast"/>
        </w:trPr>
        <w:tc>
          <w:tcPr>
            <w:tcW w:w="772" w:type="dxa"/>
            <w:tcBorders>
              <w:left w:val="single" w:color="000000" w:sz="4" w:space="0"/>
            </w:tcBorders>
            <w:vAlign w:val="top"/>
          </w:tcPr>
          <w:p w14:paraId="378C8E6E">
            <w:pPr>
              <w:pStyle w:val="7"/>
              <w:spacing w:before="145" w:line="237" w:lineRule="auto"/>
              <w:ind w:left="285"/>
            </w:pPr>
            <w:r>
              <w:rPr>
                <w:spacing w:val="-4"/>
              </w:rPr>
              <w:t>40</w:t>
            </w:r>
          </w:p>
        </w:tc>
        <w:tc>
          <w:tcPr>
            <w:tcW w:w="1657" w:type="dxa"/>
            <w:vAlign w:val="top"/>
          </w:tcPr>
          <w:p w14:paraId="297B5DB8">
            <w:pPr>
              <w:pStyle w:val="7"/>
              <w:spacing w:before="146" w:line="218" w:lineRule="auto"/>
              <w:ind w:left="514"/>
            </w:pPr>
            <w:r>
              <w:rPr>
                <w:spacing w:val="-14"/>
              </w:rPr>
              <w:t>绿篱机</w:t>
            </w:r>
          </w:p>
        </w:tc>
        <w:tc>
          <w:tcPr>
            <w:tcW w:w="1559" w:type="dxa"/>
            <w:vAlign w:val="top"/>
          </w:tcPr>
          <w:p w14:paraId="4AAE78BD">
            <w:pPr>
              <w:pStyle w:val="7"/>
              <w:spacing w:before="190" w:line="178" w:lineRule="auto"/>
              <w:ind w:left="504"/>
            </w:pPr>
            <w:r>
              <w:rPr>
                <w:spacing w:val="-8"/>
              </w:rPr>
              <w:t>HT750</w:t>
            </w:r>
          </w:p>
        </w:tc>
        <w:tc>
          <w:tcPr>
            <w:tcW w:w="650" w:type="dxa"/>
            <w:vAlign w:val="top"/>
          </w:tcPr>
          <w:p w14:paraId="6D149114">
            <w:pPr>
              <w:pStyle w:val="7"/>
              <w:spacing w:before="145" w:line="237" w:lineRule="auto"/>
              <w:ind w:left="236"/>
            </w:pPr>
            <w:r>
              <w:rPr>
                <w:spacing w:val="-10"/>
              </w:rPr>
              <w:t>10</w:t>
            </w:r>
          </w:p>
        </w:tc>
        <w:tc>
          <w:tcPr>
            <w:tcW w:w="794" w:type="dxa"/>
            <w:vAlign w:val="top"/>
          </w:tcPr>
          <w:p w14:paraId="7A7ED1E6">
            <w:pPr>
              <w:pStyle w:val="7"/>
              <w:spacing w:before="145" w:line="220" w:lineRule="auto"/>
              <w:ind w:left="217"/>
            </w:pPr>
            <w:r>
              <w:rPr>
                <w:spacing w:val="-22"/>
              </w:rPr>
              <w:t>国产</w:t>
            </w:r>
          </w:p>
        </w:tc>
        <w:tc>
          <w:tcPr>
            <w:tcW w:w="794" w:type="dxa"/>
            <w:vAlign w:val="top"/>
          </w:tcPr>
          <w:p w14:paraId="65D56594">
            <w:pPr>
              <w:pStyle w:val="7"/>
              <w:spacing w:before="146" w:line="237" w:lineRule="auto"/>
              <w:ind w:left="186" w:leftChars="0"/>
            </w:pPr>
            <w:r>
              <w:rPr>
                <w:spacing w:val="-9"/>
              </w:rPr>
              <w:t>2022</w:t>
            </w:r>
          </w:p>
        </w:tc>
        <w:tc>
          <w:tcPr>
            <w:tcW w:w="791" w:type="dxa"/>
            <w:vAlign w:val="top"/>
          </w:tcPr>
          <w:p w14:paraId="45166A9A">
            <w:pPr>
              <w:rPr>
                <w:rFonts w:ascii="Arial"/>
                <w:sz w:val="21"/>
              </w:rPr>
            </w:pPr>
          </w:p>
        </w:tc>
        <w:tc>
          <w:tcPr>
            <w:tcW w:w="794" w:type="dxa"/>
            <w:vAlign w:val="top"/>
          </w:tcPr>
          <w:p w14:paraId="01D3FA04">
            <w:pPr>
              <w:rPr>
                <w:rFonts w:ascii="Arial"/>
                <w:sz w:val="21"/>
              </w:rPr>
            </w:pPr>
          </w:p>
        </w:tc>
        <w:tc>
          <w:tcPr>
            <w:tcW w:w="1302" w:type="dxa"/>
            <w:vAlign w:val="top"/>
          </w:tcPr>
          <w:p w14:paraId="00BD98C8">
            <w:pPr>
              <w:pStyle w:val="7"/>
              <w:spacing w:before="146" w:line="218" w:lineRule="auto"/>
              <w:ind w:left="451"/>
            </w:pPr>
            <w:r>
              <w:rPr>
                <w:spacing w:val="-11"/>
              </w:rPr>
              <w:t>绿化</w:t>
            </w:r>
          </w:p>
        </w:tc>
        <w:tc>
          <w:tcPr>
            <w:tcW w:w="726" w:type="dxa"/>
            <w:vMerge w:val="continue"/>
            <w:tcBorders>
              <w:top w:val="nil"/>
              <w:bottom w:val="nil"/>
              <w:right w:val="single" w:color="1C456A" w:sz="4" w:space="0"/>
            </w:tcBorders>
            <w:vAlign w:val="top"/>
          </w:tcPr>
          <w:p w14:paraId="221E19BC">
            <w:pPr>
              <w:rPr>
                <w:rFonts w:ascii="Arial"/>
                <w:sz w:val="21"/>
              </w:rPr>
            </w:pPr>
          </w:p>
        </w:tc>
      </w:tr>
      <w:tr w14:paraId="634233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2" w:hRule="atLeast"/>
        </w:trPr>
        <w:tc>
          <w:tcPr>
            <w:tcW w:w="772" w:type="dxa"/>
            <w:tcBorders>
              <w:left w:val="single" w:color="000000" w:sz="4" w:space="0"/>
            </w:tcBorders>
            <w:vAlign w:val="top"/>
          </w:tcPr>
          <w:p w14:paraId="3B3E7143">
            <w:pPr>
              <w:pStyle w:val="7"/>
              <w:spacing w:before="146" w:line="238" w:lineRule="auto"/>
              <w:ind w:left="285"/>
            </w:pPr>
            <w:r>
              <w:rPr>
                <w:spacing w:val="-4"/>
              </w:rPr>
              <w:t>41</w:t>
            </w:r>
          </w:p>
        </w:tc>
        <w:tc>
          <w:tcPr>
            <w:tcW w:w="1657" w:type="dxa"/>
            <w:vAlign w:val="top"/>
          </w:tcPr>
          <w:p w14:paraId="70E73324">
            <w:pPr>
              <w:pStyle w:val="7"/>
              <w:spacing w:before="145" w:line="218" w:lineRule="auto"/>
              <w:ind w:left="522"/>
            </w:pPr>
            <w:r>
              <w:rPr>
                <w:spacing w:val="-16"/>
              </w:rPr>
              <w:t>喷药机</w:t>
            </w:r>
          </w:p>
        </w:tc>
        <w:tc>
          <w:tcPr>
            <w:tcW w:w="1559" w:type="dxa"/>
            <w:vAlign w:val="top"/>
          </w:tcPr>
          <w:p w14:paraId="2E7BB1E3">
            <w:pPr>
              <w:pStyle w:val="7"/>
              <w:spacing w:before="187" w:line="180" w:lineRule="auto"/>
              <w:ind w:left="339"/>
            </w:pPr>
            <w:r>
              <w:rPr>
                <w:spacing w:val="-9"/>
              </w:rPr>
              <w:t>WL-45ASB</w:t>
            </w:r>
          </w:p>
        </w:tc>
        <w:tc>
          <w:tcPr>
            <w:tcW w:w="650" w:type="dxa"/>
            <w:vAlign w:val="top"/>
          </w:tcPr>
          <w:p w14:paraId="7B73ADB0">
            <w:pPr>
              <w:pStyle w:val="7"/>
              <w:spacing w:before="145" w:line="237" w:lineRule="auto"/>
              <w:ind w:left="236"/>
            </w:pPr>
            <w:r>
              <w:rPr>
                <w:spacing w:val="-10"/>
              </w:rPr>
              <w:t>10</w:t>
            </w:r>
          </w:p>
        </w:tc>
        <w:tc>
          <w:tcPr>
            <w:tcW w:w="794" w:type="dxa"/>
            <w:vAlign w:val="top"/>
          </w:tcPr>
          <w:p w14:paraId="3024FC2D">
            <w:pPr>
              <w:pStyle w:val="7"/>
              <w:spacing w:before="145" w:line="220" w:lineRule="auto"/>
              <w:ind w:left="217"/>
            </w:pPr>
            <w:r>
              <w:rPr>
                <w:spacing w:val="-17"/>
              </w:rPr>
              <w:t>国产</w:t>
            </w:r>
          </w:p>
        </w:tc>
        <w:tc>
          <w:tcPr>
            <w:tcW w:w="794" w:type="dxa"/>
            <w:vAlign w:val="top"/>
          </w:tcPr>
          <w:p w14:paraId="50819276">
            <w:pPr>
              <w:pStyle w:val="7"/>
              <w:spacing w:before="145" w:line="237" w:lineRule="auto"/>
              <w:ind w:left="186" w:leftChars="0"/>
            </w:pPr>
            <w:r>
              <w:rPr>
                <w:spacing w:val="-9"/>
              </w:rPr>
              <w:t>202</w:t>
            </w:r>
            <w:r>
              <w:rPr>
                <w:rFonts w:hint="eastAsia"/>
                <w:spacing w:val="-9"/>
                <w:lang w:val="en-US" w:eastAsia="zh-CN"/>
              </w:rPr>
              <w:t>1</w:t>
            </w:r>
          </w:p>
        </w:tc>
        <w:tc>
          <w:tcPr>
            <w:tcW w:w="791" w:type="dxa"/>
            <w:vAlign w:val="top"/>
          </w:tcPr>
          <w:p w14:paraId="0E64CE5C">
            <w:pPr>
              <w:pStyle w:val="7"/>
              <w:spacing w:before="145" w:line="237" w:lineRule="auto"/>
              <w:ind w:left="352"/>
            </w:pPr>
            <w:r>
              <w:t>5</w:t>
            </w:r>
          </w:p>
        </w:tc>
        <w:tc>
          <w:tcPr>
            <w:tcW w:w="794" w:type="dxa"/>
            <w:vAlign w:val="top"/>
          </w:tcPr>
          <w:p w14:paraId="7D52C9C4">
            <w:pPr>
              <w:rPr>
                <w:rFonts w:ascii="Arial"/>
                <w:sz w:val="21"/>
              </w:rPr>
            </w:pPr>
          </w:p>
        </w:tc>
        <w:tc>
          <w:tcPr>
            <w:tcW w:w="1302" w:type="dxa"/>
            <w:vAlign w:val="top"/>
          </w:tcPr>
          <w:p w14:paraId="41217ED2">
            <w:pPr>
              <w:pStyle w:val="7"/>
              <w:spacing w:before="145" w:line="217" w:lineRule="auto"/>
              <w:ind w:left="448"/>
            </w:pPr>
            <w:r>
              <w:rPr>
                <w:spacing w:val="-10"/>
              </w:rPr>
              <w:t>养护</w:t>
            </w:r>
          </w:p>
        </w:tc>
        <w:tc>
          <w:tcPr>
            <w:tcW w:w="726" w:type="dxa"/>
            <w:vMerge w:val="continue"/>
            <w:tcBorders>
              <w:top w:val="nil"/>
              <w:bottom w:val="nil"/>
              <w:right w:val="single" w:color="1C456A" w:sz="4" w:space="0"/>
            </w:tcBorders>
            <w:vAlign w:val="top"/>
          </w:tcPr>
          <w:p w14:paraId="2C5DD1A4">
            <w:pPr>
              <w:rPr>
                <w:rFonts w:ascii="Arial"/>
                <w:sz w:val="21"/>
              </w:rPr>
            </w:pPr>
          </w:p>
        </w:tc>
      </w:tr>
      <w:tr w14:paraId="460F85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5" w:hRule="atLeast"/>
        </w:trPr>
        <w:tc>
          <w:tcPr>
            <w:tcW w:w="772" w:type="dxa"/>
            <w:tcBorders>
              <w:left w:val="single" w:color="000000" w:sz="4" w:space="0"/>
            </w:tcBorders>
            <w:vAlign w:val="top"/>
          </w:tcPr>
          <w:p w14:paraId="4BAC1746">
            <w:pPr>
              <w:pStyle w:val="7"/>
              <w:spacing w:before="150" w:line="238" w:lineRule="auto"/>
              <w:ind w:left="285"/>
            </w:pPr>
            <w:r>
              <w:rPr>
                <w:spacing w:val="-4"/>
              </w:rPr>
              <w:t>42</w:t>
            </w:r>
          </w:p>
        </w:tc>
        <w:tc>
          <w:tcPr>
            <w:tcW w:w="1657" w:type="dxa"/>
            <w:vAlign w:val="top"/>
          </w:tcPr>
          <w:p w14:paraId="60ED7858">
            <w:pPr>
              <w:pStyle w:val="7"/>
              <w:spacing w:before="150" w:line="218" w:lineRule="auto"/>
              <w:ind w:left="184"/>
            </w:pPr>
            <w:r>
              <w:rPr>
                <w:spacing w:val="-18"/>
              </w:rPr>
              <w:t>钢板桩打桩机</w:t>
            </w:r>
          </w:p>
        </w:tc>
        <w:tc>
          <w:tcPr>
            <w:tcW w:w="1559" w:type="dxa"/>
            <w:vAlign w:val="top"/>
          </w:tcPr>
          <w:p w14:paraId="569106DD">
            <w:pPr>
              <w:pStyle w:val="7"/>
              <w:spacing w:before="149" w:line="237" w:lineRule="auto"/>
              <w:ind w:left="568"/>
            </w:pPr>
            <w:r>
              <w:rPr>
                <w:spacing w:val="-9"/>
              </w:rPr>
              <w:t>2400</w:t>
            </w:r>
          </w:p>
        </w:tc>
        <w:tc>
          <w:tcPr>
            <w:tcW w:w="650" w:type="dxa"/>
            <w:vAlign w:val="top"/>
          </w:tcPr>
          <w:p w14:paraId="0F936500">
            <w:pPr>
              <w:pStyle w:val="7"/>
              <w:spacing w:before="149" w:line="237" w:lineRule="auto"/>
              <w:ind w:left="278"/>
            </w:pPr>
            <w:r>
              <w:t>3</w:t>
            </w:r>
          </w:p>
        </w:tc>
        <w:tc>
          <w:tcPr>
            <w:tcW w:w="794" w:type="dxa"/>
            <w:vAlign w:val="top"/>
          </w:tcPr>
          <w:p w14:paraId="012F30DE">
            <w:pPr>
              <w:pStyle w:val="7"/>
              <w:spacing w:before="149" w:line="220" w:lineRule="auto"/>
              <w:ind w:left="217"/>
            </w:pPr>
            <w:r>
              <w:rPr>
                <w:spacing w:val="-22"/>
              </w:rPr>
              <w:t>国产</w:t>
            </w:r>
          </w:p>
        </w:tc>
        <w:tc>
          <w:tcPr>
            <w:tcW w:w="794" w:type="dxa"/>
            <w:vAlign w:val="top"/>
          </w:tcPr>
          <w:p w14:paraId="04AEC958">
            <w:pPr>
              <w:pStyle w:val="7"/>
              <w:spacing w:before="146" w:line="237" w:lineRule="auto"/>
              <w:ind w:left="186" w:leftChars="0"/>
            </w:pPr>
            <w:r>
              <w:rPr>
                <w:spacing w:val="-9"/>
              </w:rPr>
              <w:t>2022</w:t>
            </w:r>
          </w:p>
        </w:tc>
        <w:tc>
          <w:tcPr>
            <w:tcW w:w="791" w:type="dxa"/>
            <w:vAlign w:val="top"/>
          </w:tcPr>
          <w:p w14:paraId="3B3BA020">
            <w:pPr>
              <w:rPr>
                <w:rFonts w:ascii="Arial"/>
                <w:sz w:val="21"/>
              </w:rPr>
            </w:pPr>
          </w:p>
        </w:tc>
        <w:tc>
          <w:tcPr>
            <w:tcW w:w="794" w:type="dxa"/>
            <w:vAlign w:val="top"/>
          </w:tcPr>
          <w:p w14:paraId="138BEB29">
            <w:pPr>
              <w:pStyle w:val="7"/>
              <w:spacing w:before="150" w:line="238" w:lineRule="auto"/>
              <w:ind w:left="258"/>
            </w:pPr>
            <w:r>
              <w:rPr>
                <w:spacing w:val="-13"/>
              </w:rPr>
              <w:t>12m</w:t>
            </w:r>
          </w:p>
        </w:tc>
        <w:tc>
          <w:tcPr>
            <w:tcW w:w="1302" w:type="dxa"/>
            <w:vAlign w:val="top"/>
          </w:tcPr>
          <w:p w14:paraId="494758E3">
            <w:pPr>
              <w:pStyle w:val="7"/>
              <w:spacing w:before="150" w:line="218" w:lineRule="auto"/>
              <w:ind w:left="232"/>
            </w:pPr>
            <w:r>
              <w:rPr>
                <w:spacing w:val="-15"/>
              </w:rPr>
              <w:t>基坑支护</w:t>
            </w:r>
          </w:p>
        </w:tc>
        <w:tc>
          <w:tcPr>
            <w:tcW w:w="726" w:type="dxa"/>
            <w:vMerge w:val="continue"/>
            <w:tcBorders>
              <w:top w:val="nil"/>
              <w:bottom w:val="nil"/>
              <w:right w:val="single" w:color="1C456A" w:sz="4" w:space="0"/>
            </w:tcBorders>
            <w:vAlign w:val="top"/>
          </w:tcPr>
          <w:p w14:paraId="00E20277">
            <w:pPr>
              <w:rPr>
                <w:rFonts w:ascii="Arial"/>
                <w:sz w:val="21"/>
              </w:rPr>
            </w:pPr>
          </w:p>
        </w:tc>
      </w:tr>
      <w:tr w14:paraId="5134E7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2" w:hRule="atLeast"/>
        </w:trPr>
        <w:tc>
          <w:tcPr>
            <w:tcW w:w="772" w:type="dxa"/>
            <w:tcBorders>
              <w:left w:val="single" w:color="000000" w:sz="4" w:space="0"/>
            </w:tcBorders>
            <w:vAlign w:val="top"/>
          </w:tcPr>
          <w:p w14:paraId="7C02034F">
            <w:pPr>
              <w:pStyle w:val="7"/>
              <w:spacing w:before="148" w:line="237" w:lineRule="auto"/>
              <w:ind w:left="285"/>
            </w:pPr>
            <w:r>
              <w:rPr>
                <w:spacing w:val="-5"/>
              </w:rPr>
              <w:t>43</w:t>
            </w:r>
          </w:p>
        </w:tc>
        <w:tc>
          <w:tcPr>
            <w:tcW w:w="1657" w:type="dxa"/>
            <w:vAlign w:val="top"/>
          </w:tcPr>
          <w:p w14:paraId="701C7BE0">
            <w:pPr>
              <w:pStyle w:val="7"/>
              <w:spacing w:before="149" w:line="217" w:lineRule="auto"/>
              <w:ind w:left="510"/>
            </w:pPr>
            <w:r>
              <w:rPr>
                <w:spacing w:val="-13"/>
              </w:rPr>
              <w:t>摄像头</w:t>
            </w:r>
          </w:p>
        </w:tc>
        <w:tc>
          <w:tcPr>
            <w:tcW w:w="1559" w:type="dxa"/>
            <w:vAlign w:val="top"/>
          </w:tcPr>
          <w:p w14:paraId="75DB6FFD">
            <w:pPr>
              <w:rPr>
                <w:rFonts w:ascii="Arial"/>
                <w:sz w:val="21"/>
              </w:rPr>
            </w:pPr>
          </w:p>
        </w:tc>
        <w:tc>
          <w:tcPr>
            <w:tcW w:w="650" w:type="dxa"/>
            <w:vAlign w:val="top"/>
          </w:tcPr>
          <w:p w14:paraId="1DD06293">
            <w:pPr>
              <w:pStyle w:val="7"/>
              <w:spacing w:before="148" w:line="237" w:lineRule="auto"/>
              <w:ind w:left="236"/>
            </w:pPr>
            <w:r>
              <w:rPr>
                <w:spacing w:val="-14"/>
              </w:rPr>
              <w:t>15</w:t>
            </w:r>
          </w:p>
        </w:tc>
        <w:tc>
          <w:tcPr>
            <w:tcW w:w="794" w:type="dxa"/>
            <w:vAlign w:val="top"/>
          </w:tcPr>
          <w:p w14:paraId="515BC29B">
            <w:pPr>
              <w:pStyle w:val="7"/>
              <w:spacing w:before="148" w:line="220" w:lineRule="auto"/>
              <w:ind w:left="217"/>
            </w:pPr>
            <w:r>
              <w:rPr>
                <w:spacing w:val="-17"/>
              </w:rPr>
              <w:t>国产</w:t>
            </w:r>
          </w:p>
        </w:tc>
        <w:tc>
          <w:tcPr>
            <w:tcW w:w="794" w:type="dxa"/>
            <w:vAlign w:val="top"/>
          </w:tcPr>
          <w:p w14:paraId="406DED57">
            <w:pPr>
              <w:pStyle w:val="7"/>
              <w:spacing w:before="145" w:line="237" w:lineRule="auto"/>
              <w:ind w:left="186" w:leftChars="0"/>
            </w:pPr>
            <w:r>
              <w:rPr>
                <w:spacing w:val="-9"/>
              </w:rPr>
              <w:t>202</w:t>
            </w:r>
            <w:r>
              <w:rPr>
                <w:rFonts w:hint="eastAsia"/>
                <w:spacing w:val="-9"/>
                <w:lang w:val="en-US" w:eastAsia="zh-CN"/>
              </w:rPr>
              <w:t>1</w:t>
            </w:r>
          </w:p>
        </w:tc>
        <w:tc>
          <w:tcPr>
            <w:tcW w:w="791" w:type="dxa"/>
            <w:vAlign w:val="top"/>
          </w:tcPr>
          <w:p w14:paraId="371828C0">
            <w:pPr>
              <w:rPr>
                <w:rFonts w:ascii="Arial"/>
                <w:sz w:val="21"/>
              </w:rPr>
            </w:pPr>
          </w:p>
        </w:tc>
        <w:tc>
          <w:tcPr>
            <w:tcW w:w="794" w:type="dxa"/>
            <w:vAlign w:val="top"/>
          </w:tcPr>
          <w:p w14:paraId="581FB1CF">
            <w:pPr>
              <w:rPr>
                <w:rFonts w:ascii="Arial"/>
                <w:sz w:val="21"/>
              </w:rPr>
            </w:pPr>
          </w:p>
        </w:tc>
        <w:tc>
          <w:tcPr>
            <w:tcW w:w="1302" w:type="dxa"/>
            <w:vAlign w:val="top"/>
          </w:tcPr>
          <w:p w14:paraId="09EF4387">
            <w:pPr>
              <w:pStyle w:val="7"/>
              <w:spacing w:before="148" w:line="219" w:lineRule="auto"/>
              <w:ind w:left="454"/>
            </w:pPr>
            <w:r>
              <w:rPr>
                <w:spacing w:val="-12"/>
              </w:rPr>
              <w:t>监控</w:t>
            </w:r>
          </w:p>
        </w:tc>
        <w:tc>
          <w:tcPr>
            <w:tcW w:w="726" w:type="dxa"/>
            <w:vMerge w:val="continue"/>
            <w:tcBorders>
              <w:top w:val="nil"/>
              <w:bottom w:val="nil"/>
              <w:right w:val="single" w:color="1C456A" w:sz="4" w:space="0"/>
            </w:tcBorders>
            <w:vAlign w:val="top"/>
          </w:tcPr>
          <w:p w14:paraId="37884775">
            <w:pPr>
              <w:rPr>
                <w:rFonts w:ascii="Arial"/>
                <w:sz w:val="21"/>
              </w:rPr>
            </w:pPr>
          </w:p>
        </w:tc>
      </w:tr>
      <w:tr w14:paraId="1222D7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6" w:hRule="atLeast"/>
        </w:trPr>
        <w:tc>
          <w:tcPr>
            <w:tcW w:w="772" w:type="dxa"/>
            <w:tcBorders>
              <w:left w:val="single" w:color="000000" w:sz="4" w:space="0"/>
              <w:bottom w:val="single" w:color="000000" w:sz="4" w:space="0"/>
            </w:tcBorders>
            <w:vAlign w:val="top"/>
          </w:tcPr>
          <w:p w14:paraId="4590B21A">
            <w:pPr>
              <w:pStyle w:val="7"/>
              <w:spacing w:before="153" w:line="238" w:lineRule="auto"/>
              <w:ind w:left="285"/>
            </w:pPr>
            <w:r>
              <w:pict>
                <v:shape id="_x0000_s4890" o:spid="_x0000_s4890" style="position:absolute;left:0pt;margin-left:1.95pt;margin-top:34.9pt;height:0.75pt;width:36.3pt;mso-position-horizontal-relative:page;mso-position-vertical-relative:page;z-index:252422144;mso-width-relative:page;mso-height-relative:page;" fillcolor="#1C456A" filled="t" stroked="f" coordsize="725,15" path="m0,14l725,14,725,0,0,0,0,14xe">
                  <v:path/>
                  <v:fill on="t" focussize="0,0"/>
                  <v:stroke on="f"/>
                  <v:imagedata o:title=""/>
                  <o:lock v:ext="edit"/>
                </v:shape>
              </w:pict>
            </w:r>
            <w:r>
              <w:rPr>
                <w:spacing w:val="-5"/>
              </w:rPr>
              <w:t>44</w:t>
            </w:r>
          </w:p>
        </w:tc>
        <w:tc>
          <w:tcPr>
            <w:tcW w:w="1657" w:type="dxa"/>
            <w:tcBorders>
              <w:bottom w:val="single" w:color="000000" w:sz="4" w:space="0"/>
            </w:tcBorders>
            <w:vAlign w:val="top"/>
          </w:tcPr>
          <w:p w14:paraId="24056525">
            <w:pPr>
              <w:pStyle w:val="7"/>
              <w:spacing w:before="153" w:line="217" w:lineRule="auto"/>
              <w:ind w:left="414"/>
            </w:pPr>
            <w:r>
              <w:rPr>
                <w:spacing w:val="-18"/>
              </w:rPr>
              <w:t>喷淋系统</w:t>
            </w:r>
          </w:p>
          <w:p w14:paraId="4A15ED5F">
            <w:pPr>
              <w:spacing w:line="256" w:lineRule="auto"/>
              <w:rPr>
                <w:rFonts w:ascii="Arial"/>
                <w:sz w:val="21"/>
              </w:rPr>
            </w:pPr>
          </w:p>
          <w:p w14:paraId="4FEF15BD">
            <w:pPr>
              <w:spacing w:line="22" w:lineRule="exact"/>
            </w:pPr>
            <w:r>
              <w:rPr>
                <w:position w:val="-1"/>
              </w:rPr>
              <w:pict>
                <v:group id="_x0000_s4892" o:spid="_x0000_s4892" o:spt="203" style="height:1.45pt;width:82.95pt;" coordsize="1658,29">
                  <o:lock v:ext="edit"/>
                  <v:shape id="_x0000_s4894" o:spid="_x0000_s4894" style="position:absolute;left:0;top:0;height:15;width:44;" fillcolor="#1C456A" filled="t" stroked="f" coordsize="44,15" path="m0,14l43,14,43,0,0,0,0,14xe">
                    <v:path/>
                    <v:fill on="t" focussize="0,0"/>
                    <v:stroke on="f"/>
                    <v:imagedata o:title=""/>
                    <o:lock v:ext="edit"/>
                  </v:shape>
                  <v:shape id="_x0000_s4896" o:spid="_x0000_s4896" style="position:absolute;left:0;top:14;height:15;width:44;" fillcolor="#20507B" filled="t" stroked="f" coordsize="44,15" path="m0,14l43,14,43,0,0,0,0,14xe">
                    <v:path/>
                    <v:fill on="t" focussize="0,0"/>
                    <v:stroke on="f"/>
                    <v:imagedata o:title=""/>
                    <o:lock v:ext="edit"/>
                  </v:shape>
                  <v:shape id="_x0000_s4898" o:spid="_x0000_s4898" style="position:absolute;left:43;top:0;height:15;width:1616;" fillcolor="#1C456A" filled="t" stroked="f" coordsize="1616,15" path="m0,14l1615,14,1615,0,0,0,0,14xe">
                    <v:path/>
                    <v:fill on="t" focussize="0,0"/>
                    <v:stroke on="f"/>
                    <v:imagedata o:title=""/>
                    <o:lock v:ext="edit"/>
                  </v:shape>
                  <w10:wrap type="none"/>
                  <w10:anchorlock/>
                </v:group>
              </w:pict>
            </w:r>
          </w:p>
        </w:tc>
        <w:tc>
          <w:tcPr>
            <w:tcW w:w="1559" w:type="dxa"/>
            <w:tcBorders>
              <w:bottom w:val="single" w:color="000000" w:sz="4" w:space="0"/>
            </w:tcBorders>
            <w:vAlign w:val="top"/>
          </w:tcPr>
          <w:p w14:paraId="55C44146">
            <w:pPr>
              <w:spacing w:line="344" w:lineRule="auto"/>
              <w:rPr>
                <w:rFonts w:ascii="Arial"/>
                <w:sz w:val="21"/>
              </w:rPr>
            </w:pPr>
            <w:r>
              <w:pict>
                <v:shape id="_x0000_s4900" o:spid="_x0000_s4900" style="position:absolute;left:0pt;margin-left:1.85pt;margin-top:34.9pt;height:0.75pt;width:75.9pt;mso-position-horizontal-relative:page;mso-position-vertical-relative:page;z-index:252419072;mso-width-relative:page;mso-height-relative:page;" fillcolor="#1C456A" filled="t" stroked="f" coordsize="1518,15" path="m0,14l1517,14,1517,0,0,0,0,14xe">
                  <v:path/>
                  <v:fill on="t" focussize="0,0"/>
                  <v:stroke on="f"/>
                  <v:imagedata o:title=""/>
                  <o:lock v:ext="edit"/>
                </v:shape>
              </w:pict>
            </w:r>
          </w:p>
          <w:p w14:paraId="7BC6FC1F">
            <w:pPr>
              <w:spacing w:line="345" w:lineRule="auto"/>
              <w:rPr>
                <w:rFonts w:ascii="Arial"/>
                <w:sz w:val="21"/>
              </w:rPr>
            </w:pPr>
          </w:p>
          <w:p w14:paraId="6D1B3A7C">
            <w:pPr>
              <w:spacing w:line="22" w:lineRule="exact"/>
            </w:pPr>
            <w:r>
              <w:rPr>
                <w:position w:val="-1"/>
              </w:rPr>
              <w:pict>
                <v:group id="_x0000_s4902" o:spid="_x0000_s4902" o:spt="203" style="height:1.45pt;width:2.2pt;" coordsize="44,29">
                  <o:lock v:ext="edit"/>
                  <v:shape id="_x0000_s4904" o:spid="_x0000_s4904" style="position:absolute;left:0;top:0;height:15;width:44;" fillcolor="#1C456A" filled="t" stroked="f" coordsize="44,15" path="m0,14l43,14,43,0,0,0,0,14xe">
                    <v:path/>
                    <v:fill on="t" focussize="0,0"/>
                    <v:stroke on="f"/>
                    <v:imagedata o:title=""/>
                    <o:lock v:ext="edit"/>
                  </v:shape>
                  <v:shape id="_x0000_s4906" o:spid="_x0000_s4906" style="position:absolute;left:0;top:14;height:15;width:44;" fillcolor="#20507B" filled="t" stroked="f" coordsize="44,15" path="m0,14l43,14,43,0,0,0,0,14xe">
                    <v:path/>
                    <v:fill on="t" focussize="0,0"/>
                    <v:stroke on="f"/>
                    <v:imagedata o:title=""/>
                    <o:lock v:ext="edit"/>
                  </v:shape>
                  <w10:wrap type="none"/>
                  <w10:anchorlock/>
                </v:group>
              </w:pict>
            </w:r>
          </w:p>
        </w:tc>
        <w:tc>
          <w:tcPr>
            <w:tcW w:w="650" w:type="dxa"/>
            <w:tcBorders>
              <w:bottom w:val="single" w:color="000000" w:sz="4" w:space="0"/>
            </w:tcBorders>
            <w:vAlign w:val="top"/>
          </w:tcPr>
          <w:p w14:paraId="16AE245E">
            <w:pPr>
              <w:pStyle w:val="7"/>
              <w:spacing w:before="152" w:line="237" w:lineRule="auto"/>
              <w:ind w:left="236"/>
            </w:pPr>
            <w:r>
              <w:rPr>
                <w:spacing w:val="-10"/>
              </w:rPr>
              <w:t>10</w:t>
            </w:r>
          </w:p>
          <w:p w14:paraId="0C1209C9">
            <w:pPr>
              <w:spacing w:before="232" w:line="23" w:lineRule="exact"/>
            </w:pPr>
            <w:r>
              <w:rPr>
                <w:position w:val="-1"/>
              </w:rPr>
              <w:pict>
                <v:group id="_x0000_s4908" o:spid="_x0000_s4908" o:spt="203" style="height:1.45pt;width:32.55pt;" coordsize="650,29">
                  <o:lock v:ext="edit"/>
                  <v:shape id="_x0000_s4910" o:spid="_x0000_s4910" style="position:absolute;left:0;top:0;height:15;width:44;" fillcolor="#1C456A" filled="t" stroked="f" coordsize="44,15" path="m0,14l43,14,43,0,0,0,0,14xe">
                    <v:path/>
                    <v:fill on="t" focussize="0,0"/>
                    <v:stroke on="f"/>
                    <v:imagedata o:title=""/>
                    <o:lock v:ext="edit"/>
                  </v:shape>
                  <v:shape id="_x0000_s4912" o:spid="_x0000_s4912" style="position:absolute;left:0;top:14;height:15;width:44;" fillcolor="#20507B" filled="t" stroked="f" coordsize="44,15" path="m0,14l43,14,43,0,0,0,0,14xe">
                    <v:path/>
                    <v:fill on="t" focussize="0,0"/>
                    <v:stroke on="f"/>
                    <v:imagedata o:title=""/>
                    <o:lock v:ext="edit"/>
                  </v:shape>
                  <v:shape id="_x0000_s4914" o:spid="_x0000_s4914" style="position:absolute;left:43;top:0;height:15;width:607;" fillcolor="#1C456A" filled="t" stroked="f" coordsize="607,15" path="m0,14l607,14,607,0,0,0,0,14xe">
                    <v:path/>
                    <v:fill on="t" focussize="0,0"/>
                    <v:stroke on="f"/>
                    <v:imagedata o:title=""/>
                    <o:lock v:ext="edit"/>
                  </v:shape>
                  <w10:wrap type="none"/>
                  <w10:anchorlock/>
                </v:group>
              </w:pict>
            </w:r>
          </w:p>
        </w:tc>
        <w:tc>
          <w:tcPr>
            <w:tcW w:w="794" w:type="dxa"/>
            <w:tcBorders>
              <w:bottom w:val="single" w:color="000000" w:sz="4" w:space="0"/>
            </w:tcBorders>
            <w:vAlign w:val="top"/>
          </w:tcPr>
          <w:p w14:paraId="2BD7B3CB">
            <w:pPr>
              <w:pStyle w:val="7"/>
              <w:spacing w:before="152" w:line="220" w:lineRule="auto"/>
              <w:ind w:left="217"/>
            </w:pPr>
            <w:r>
              <w:rPr>
                <w:spacing w:val="-17"/>
              </w:rPr>
              <w:t>国产</w:t>
            </w:r>
          </w:p>
          <w:p w14:paraId="510350AF">
            <w:pPr>
              <w:spacing w:line="253" w:lineRule="auto"/>
              <w:rPr>
                <w:rFonts w:ascii="Arial"/>
                <w:sz w:val="21"/>
              </w:rPr>
            </w:pPr>
          </w:p>
          <w:p w14:paraId="46C35E6D">
            <w:pPr>
              <w:spacing w:line="23" w:lineRule="exact"/>
            </w:pPr>
            <w:r>
              <w:rPr>
                <w:position w:val="-1"/>
              </w:rPr>
              <w:pict>
                <v:group id="_x0000_s4916" o:spid="_x0000_s4916" o:spt="203" style="height:1.45pt;width:39.75pt;" coordsize="795,29">
                  <o:lock v:ext="edit"/>
                  <v:shape id="_x0000_s4918" o:spid="_x0000_s4918" style="position:absolute;left:0;top:0;height:15;width:44;" fillcolor="#1C456A" filled="t" stroked="f" coordsize="44,15" path="m0,14l43,14,43,0,0,0,0,14xe">
                    <v:path/>
                    <v:fill on="t" focussize="0,0"/>
                    <v:stroke on="f"/>
                    <v:imagedata o:title=""/>
                    <o:lock v:ext="edit"/>
                  </v:shape>
                  <v:shape id="_x0000_s4920" o:spid="_x0000_s4920" style="position:absolute;left:0;top:14;height:15;width:44;" fillcolor="#20507B" filled="t" stroked="f" coordsize="44,15" path="m0,14l43,14,43,0,0,0,0,14xe">
                    <v:path/>
                    <v:fill on="t" focussize="0,0"/>
                    <v:stroke on="f"/>
                    <v:imagedata o:title=""/>
                    <o:lock v:ext="edit"/>
                  </v:shape>
                  <v:shape id="_x0000_s4922" o:spid="_x0000_s4922" style="position:absolute;left:43;top:0;height:15;width:751;" fillcolor="#1C456A" filled="t" stroked="f" coordsize="751,15" path="m0,14l751,14,751,0,0,0,0,14xe">
                    <v:path/>
                    <v:fill on="t" focussize="0,0"/>
                    <v:stroke on="f"/>
                    <v:imagedata o:title=""/>
                    <o:lock v:ext="edit"/>
                  </v:shape>
                  <w10:wrap type="none"/>
                  <w10:anchorlock/>
                </v:group>
              </w:pict>
            </w:r>
          </w:p>
        </w:tc>
        <w:tc>
          <w:tcPr>
            <w:tcW w:w="794" w:type="dxa"/>
            <w:tcBorders>
              <w:bottom w:val="single" w:color="000000" w:sz="4" w:space="0"/>
            </w:tcBorders>
            <w:vAlign w:val="top"/>
          </w:tcPr>
          <w:p w14:paraId="28AFA847">
            <w:pPr>
              <w:pStyle w:val="7"/>
              <w:spacing w:before="146" w:line="237" w:lineRule="auto"/>
              <w:ind w:left="186" w:leftChars="0"/>
            </w:pPr>
            <w:r>
              <w:rPr>
                <w:spacing w:val="-9"/>
              </w:rPr>
              <w:t>2022</w:t>
            </w:r>
          </w:p>
        </w:tc>
        <w:tc>
          <w:tcPr>
            <w:tcW w:w="791" w:type="dxa"/>
            <w:tcBorders>
              <w:bottom w:val="single" w:color="000000" w:sz="4" w:space="0"/>
            </w:tcBorders>
            <w:vAlign w:val="top"/>
          </w:tcPr>
          <w:p w14:paraId="096B3723">
            <w:pPr>
              <w:spacing w:line="344" w:lineRule="auto"/>
              <w:rPr>
                <w:rFonts w:ascii="Arial"/>
                <w:sz w:val="21"/>
              </w:rPr>
            </w:pPr>
            <w:r>
              <w:pict>
                <v:shape id="_x0000_s4932" o:spid="_x0000_s4932" style="position:absolute;left:0pt;margin-left:2pt;margin-top:34.9pt;height:0.75pt;width:37.45pt;mso-position-horizontal-relative:page;mso-position-vertical-relative:page;z-index:252421120;mso-width-relative:page;mso-height-relative:page;" fillcolor="#1C456A" filled="t" stroked="f" coordsize="749,15" path="m0,14l748,14,748,0,0,0,0,14xe">
                  <v:path/>
                  <v:fill on="t" focussize="0,0"/>
                  <v:stroke on="f"/>
                  <v:imagedata o:title=""/>
                  <o:lock v:ext="edit"/>
                </v:shape>
              </w:pict>
            </w:r>
          </w:p>
          <w:p w14:paraId="6ED397C9">
            <w:pPr>
              <w:spacing w:line="345" w:lineRule="auto"/>
              <w:rPr>
                <w:rFonts w:ascii="Arial"/>
                <w:sz w:val="21"/>
              </w:rPr>
            </w:pPr>
          </w:p>
          <w:p w14:paraId="5065736A">
            <w:pPr>
              <w:spacing w:line="22" w:lineRule="exact"/>
            </w:pPr>
            <w:r>
              <w:rPr>
                <w:position w:val="-1"/>
              </w:rPr>
              <w:pict>
                <v:group id="_x0000_s4934" o:spid="_x0000_s4934" o:spt="203" style="height:1.45pt;width:2.2pt;" coordsize="44,29">
                  <o:lock v:ext="edit"/>
                  <v:shape id="_x0000_s4936" o:spid="_x0000_s4936" style="position:absolute;left:0;top:0;height:15;width:44;" fillcolor="#1C456A" filled="t" stroked="f" coordsize="44,15" path="m0,14l43,14,43,0,0,0,0,14xe">
                    <v:path/>
                    <v:fill on="t" focussize="0,0"/>
                    <v:stroke on="f"/>
                    <v:imagedata o:title=""/>
                    <o:lock v:ext="edit"/>
                  </v:shape>
                  <v:shape id="_x0000_s4938" o:spid="_x0000_s4938" style="position:absolute;left:0;top:14;height:15;width:44;" fillcolor="#20507B" filled="t" stroked="f" coordsize="44,15" path="m0,14l43,14,43,0,0,0,0,14xe">
                    <v:path/>
                    <v:fill on="t" focussize="0,0"/>
                    <v:stroke on="f"/>
                    <v:imagedata o:title=""/>
                    <o:lock v:ext="edit"/>
                  </v:shape>
                  <w10:wrap type="none"/>
                  <w10:anchorlock/>
                </v:group>
              </w:pict>
            </w:r>
          </w:p>
        </w:tc>
        <w:tc>
          <w:tcPr>
            <w:tcW w:w="794" w:type="dxa"/>
            <w:tcBorders>
              <w:bottom w:val="single" w:color="000000" w:sz="4" w:space="0"/>
            </w:tcBorders>
            <w:vAlign w:val="top"/>
          </w:tcPr>
          <w:p w14:paraId="555F6429">
            <w:pPr>
              <w:spacing w:line="344" w:lineRule="auto"/>
              <w:rPr>
                <w:rFonts w:ascii="Arial"/>
                <w:sz w:val="21"/>
              </w:rPr>
            </w:pPr>
            <w:r>
              <w:pict>
                <v:shape id="_x0000_s4940" o:spid="_x0000_s4940" style="position:absolute;left:0pt;margin-left:2.05pt;margin-top:34.9pt;height:0.75pt;width:37.6pt;mso-position-horizontal-relative:page;mso-position-vertical-relative:page;z-index:252420096;mso-width-relative:page;mso-height-relative:page;" fillcolor="#1C456A" filled="t" stroked="f" coordsize="751,15" path="m0,14l751,14,751,0,0,0,0,14xe">
                  <v:path/>
                  <v:fill on="t" focussize="0,0"/>
                  <v:stroke on="f"/>
                  <v:imagedata o:title=""/>
                  <o:lock v:ext="edit"/>
                </v:shape>
              </w:pict>
            </w:r>
          </w:p>
          <w:p w14:paraId="3392B681">
            <w:pPr>
              <w:spacing w:line="345" w:lineRule="auto"/>
              <w:rPr>
                <w:rFonts w:ascii="Arial"/>
                <w:sz w:val="21"/>
              </w:rPr>
            </w:pPr>
          </w:p>
          <w:p w14:paraId="1C3B6B9A">
            <w:pPr>
              <w:spacing w:line="22" w:lineRule="exact"/>
            </w:pPr>
            <w:r>
              <w:rPr>
                <w:position w:val="-1"/>
              </w:rPr>
              <w:pict>
                <v:group id="_x0000_s4942" o:spid="_x0000_s4942" o:spt="203" style="height:1.45pt;width:2.2pt;" coordsize="44,29">
                  <o:lock v:ext="edit"/>
                  <v:shape id="_x0000_s4944" o:spid="_x0000_s4944" style="position:absolute;left:0;top:0;height:15;width:44;" fillcolor="#1C456A" filled="t" stroked="f" coordsize="44,15" path="m0,14l43,14,43,0,0,0,0,14xe">
                    <v:path/>
                    <v:fill on="t" focussize="0,0"/>
                    <v:stroke on="f"/>
                    <v:imagedata o:title=""/>
                    <o:lock v:ext="edit"/>
                  </v:shape>
                  <v:shape id="_x0000_s4946" o:spid="_x0000_s4946" style="position:absolute;left:0;top:14;height:15;width:44;" fillcolor="#20507B" filled="t" stroked="f" coordsize="44,15" path="m0,14l43,14,43,0,0,0,0,14xe">
                    <v:path/>
                    <v:fill on="t" focussize="0,0"/>
                    <v:stroke on="f"/>
                    <v:imagedata o:title=""/>
                    <o:lock v:ext="edit"/>
                  </v:shape>
                  <w10:wrap type="none"/>
                  <w10:anchorlock/>
                </v:group>
              </w:pict>
            </w:r>
          </w:p>
        </w:tc>
        <w:tc>
          <w:tcPr>
            <w:tcW w:w="1302" w:type="dxa"/>
            <w:tcBorders>
              <w:bottom w:val="single" w:color="000000" w:sz="4" w:space="0"/>
            </w:tcBorders>
            <w:vAlign w:val="top"/>
          </w:tcPr>
          <w:p w14:paraId="3DCD6B1C">
            <w:pPr>
              <w:pStyle w:val="7"/>
              <w:spacing w:before="153" w:line="220" w:lineRule="auto"/>
              <w:ind w:left="464"/>
            </w:pPr>
            <w:r>
              <w:rPr>
                <w:spacing w:val="-14"/>
              </w:rPr>
              <w:t>防尘</w:t>
            </w:r>
          </w:p>
          <w:p w14:paraId="3152EA1B">
            <w:pPr>
              <w:spacing w:line="252" w:lineRule="auto"/>
              <w:rPr>
                <w:rFonts w:ascii="Arial"/>
                <w:sz w:val="21"/>
              </w:rPr>
            </w:pPr>
          </w:p>
          <w:p w14:paraId="017A999B">
            <w:pPr>
              <w:spacing w:line="23" w:lineRule="exact"/>
            </w:pPr>
            <w:r>
              <w:rPr>
                <w:position w:val="-1"/>
              </w:rPr>
              <w:pict>
                <v:group id="_x0000_s4948" o:spid="_x0000_s4948" o:spt="203" style="height:1.45pt;width:65.2pt;" coordsize="1303,29">
                  <o:lock v:ext="edit"/>
                  <v:shape id="_x0000_s4950" o:spid="_x0000_s4950" style="position:absolute;left:0;top:0;height:15;width:44;" fillcolor="#1C456A" filled="t" stroked="f" coordsize="44,15" path="m0,14l43,14,43,0,0,0,0,14xe">
                    <v:path/>
                    <v:fill on="t" focussize="0,0"/>
                    <v:stroke on="f"/>
                    <v:imagedata o:title=""/>
                    <o:lock v:ext="edit"/>
                  </v:shape>
                  <v:shape id="_x0000_s4952" o:spid="_x0000_s4952" style="position:absolute;left:0;top:14;height:15;width:44;" fillcolor="#20507B" filled="t" stroked="f" coordsize="44,15" path="m0,14l43,14,43,0,0,0,0,14xe">
                    <v:path/>
                    <v:fill on="t" focussize="0,0"/>
                    <v:stroke on="f"/>
                    <v:imagedata o:title=""/>
                    <o:lock v:ext="edit"/>
                  </v:shape>
                  <v:shape id="_x0000_s4954" o:spid="_x0000_s4954" style="position:absolute;left:43;top:0;height:15;width:1260;" fillcolor="#1C456A" filled="t" stroked="f" coordsize="1260,15" path="m0,14l1260,14,1260,0,0,0,0,14xe">
                    <v:path/>
                    <v:fill on="t" focussize="0,0"/>
                    <v:stroke on="f"/>
                    <v:imagedata o:title=""/>
                    <o:lock v:ext="edit"/>
                  </v:shape>
                  <w10:wrap type="none"/>
                  <w10:anchorlock/>
                </v:group>
              </w:pict>
            </w:r>
          </w:p>
        </w:tc>
        <w:tc>
          <w:tcPr>
            <w:tcW w:w="726" w:type="dxa"/>
            <w:vMerge w:val="continue"/>
            <w:tcBorders>
              <w:top w:val="nil"/>
              <w:bottom w:val="single" w:color="1C456A" w:sz="4" w:space="0"/>
              <w:right w:val="single" w:color="1C456A" w:sz="4" w:space="0"/>
            </w:tcBorders>
            <w:vAlign w:val="top"/>
          </w:tcPr>
          <w:p w14:paraId="4B4E3ABE">
            <w:pPr>
              <w:rPr>
                <w:rFonts w:ascii="Arial"/>
                <w:sz w:val="21"/>
              </w:rPr>
            </w:pPr>
          </w:p>
        </w:tc>
      </w:tr>
    </w:tbl>
    <w:p w14:paraId="12F92A1D">
      <w:pPr>
        <w:rPr>
          <w:rFonts w:ascii="Arial"/>
          <w:sz w:val="21"/>
        </w:rPr>
      </w:pPr>
    </w:p>
    <w:p w14:paraId="13070178">
      <w:pPr>
        <w:rPr>
          <w:rFonts w:ascii="Arial" w:hAnsi="Arial" w:eastAsia="Arial" w:cs="Arial"/>
          <w:sz w:val="21"/>
          <w:szCs w:val="21"/>
        </w:rPr>
        <w:sectPr>
          <w:footerReference r:id="rId434" w:type="default"/>
          <w:pgSz w:w="11907" w:h="16839"/>
          <w:pgMar w:top="933" w:right="4" w:bottom="1038" w:left="0" w:header="478" w:footer="357" w:gutter="0"/>
          <w:pgBorders>
            <w:top w:val="none" w:sz="0" w:space="0"/>
            <w:left w:val="none" w:sz="0" w:space="0"/>
            <w:bottom w:val="none" w:sz="0" w:space="0"/>
            <w:right w:val="none" w:sz="0" w:space="0"/>
          </w:pgBorders>
          <w:cols w:space="720" w:num="1"/>
        </w:sectPr>
      </w:pPr>
    </w:p>
    <w:p w14:paraId="66D493B5">
      <w:pPr>
        <w:pStyle w:val="2"/>
        <w:spacing w:before="283" w:line="210" w:lineRule="auto"/>
        <w:ind w:left="2845"/>
        <w:outlineLvl w:val="0"/>
        <w:rPr>
          <w:sz w:val="31"/>
          <w:szCs w:val="31"/>
        </w:rPr>
      </w:pPr>
      <w:bookmarkStart w:id="308" w:name="bookmark293"/>
      <w:bookmarkEnd w:id="308"/>
      <w:r>
        <w:rPr>
          <w:b/>
          <w:bCs/>
          <w:color w:val="7030A0"/>
          <w:spacing w:val="-15"/>
          <w:sz w:val="31"/>
          <w:szCs w:val="31"/>
        </w:rPr>
        <w:t>附表二：拟配备本标段的试验和检测仪器设备表</w:t>
      </w:r>
    </w:p>
    <w:tbl>
      <w:tblPr>
        <w:tblStyle w:val="6"/>
        <w:tblW w:w="9265" w:type="dxa"/>
        <w:tblInd w:w="132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05"/>
        <w:gridCol w:w="1465"/>
        <w:gridCol w:w="1674"/>
        <w:gridCol w:w="681"/>
        <w:gridCol w:w="1117"/>
        <w:gridCol w:w="695"/>
        <w:gridCol w:w="909"/>
        <w:gridCol w:w="1274"/>
        <w:gridCol w:w="845"/>
      </w:tblGrid>
      <w:tr w14:paraId="0B6EB9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54" w:hRule="atLeast"/>
        </w:trPr>
        <w:tc>
          <w:tcPr>
            <w:tcW w:w="605" w:type="dxa"/>
            <w:tcBorders>
              <w:top w:val="single" w:color="000000" w:sz="4" w:space="0"/>
              <w:left w:val="single" w:color="000000" w:sz="4" w:space="0"/>
            </w:tcBorders>
            <w:shd w:val="clear" w:color="auto" w:fill="DEEAF6"/>
            <w:vAlign w:val="top"/>
          </w:tcPr>
          <w:p w14:paraId="5F65CACF">
            <w:pPr>
              <w:spacing w:before="33" w:line="60" w:lineRule="exact"/>
              <w:ind w:firstLine="33"/>
            </w:pPr>
            <w:r>
              <w:rPr>
                <w:position w:val="-1"/>
              </w:rPr>
              <w:pict>
                <v:shape id="_x0000_s4956" o:spid="_x0000_s4956" style="height:3pt;width:27.85pt;" fillcolor="#DEEAF6" filled="t" stroked="f" coordsize="557,60" path="m0,60l556,60,556,0,0,0,0,60xe">
                  <v:path/>
                  <v:fill on="t" focussize="0,0"/>
                  <v:stroke on="f"/>
                  <v:imagedata o:title=""/>
                  <o:lock v:ext="edit"/>
                  <w10:wrap type="none"/>
                  <w10:anchorlock/>
                </v:shape>
              </w:pict>
            </w:r>
          </w:p>
          <w:p w14:paraId="362E792B">
            <w:pPr>
              <w:spacing w:line="421" w:lineRule="auto"/>
              <w:rPr>
                <w:rFonts w:ascii="Arial"/>
                <w:sz w:val="21"/>
              </w:rPr>
            </w:pPr>
          </w:p>
          <w:p w14:paraId="77905E74">
            <w:pPr>
              <w:pStyle w:val="7"/>
              <w:spacing w:before="78" w:line="218" w:lineRule="auto"/>
              <w:ind w:left="99"/>
            </w:pPr>
            <w:r>
              <w:rPr>
                <w:b/>
                <w:bCs/>
                <w:spacing w:val="-11"/>
              </w:rPr>
              <w:t>序号</w:t>
            </w:r>
          </w:p>
          <w:p w14:paraId="59F5DA52">
            <w:pPr>
              <w:spacing w:line="305" w:lineRule="auto"/>
              <w:rPr>
                <w:rFonts w:ascii="Arial"/>
                <w:sz w:val="21"/>
              </w:rPr>
            </w:pPr>
          </w:p>
          <w:p w14:paraId="1C77F009">
            <w:pPr>
              <w:spacing w:line="305" w:lineRule="auto"/>
              <w:rPr>
                <w:rFonts w:ascii="Arial"/>
                <w:sz w:val="21"/>
              </w:rPr>
            </w:pPr>
          </w:p>
          <w:p w14:paraId="28271E22">
            <w:pPr>
              <w:spacing w:line="51" w:lineRule="exact"/>
              <w:ind w:firstLine="11"/>
            </w:pPr>
            <w:r>
              <w:rPr>
                <w:position w:val="-1"/>
              </w:rPr>
              <w:pict>
                <v:shape id="_x0000_s4958" o:spid="_x0000_s4958" style="height:2.9pt;width:29.2pt;" fillcolor="#DEEAF6" filled="t" stroked="f" coordsize="584,58" path="m0,57l583,57,583,0,0,0,0,57xe">
                  <v:path/>
                  <v:fill on="t" focussize="0,0"/>
                  <v:stroke on="f"/>
                  <v:imagedata o:title=""/>
                  <o:lock v:ext="edit"/>
                  <w10:wrap type="none"/>
                  <w10:anchorlock/>
                </v:shape>
              </w:pict>
            </w:r>
          </w:p>
        </w:tc>
        <w:tc>
          <w:tcPr>
            <w:tcW w:w="1465" w:type="dxa"/>
            <w:tcBorders>
              <w:top w:val="single" w:color="000000" w:sz="4" w:space="0"/>
              <w:left w:val="nil"/>
              <w:right w:val="nil"/>
            </w:tcBorders>
            <w:shd w:val="clear" w:color="auto" w:fill="DEEAF6"/>
            <w:vAlign w:val="top"/>
          </w:tcPr>
          <w:p w14:paraId="67661018">
            <w:pPr>
              <w:spacing w:line="248" w:lineRule="auto"/>
              <w:rPr>
                <w:rFonts w:ascii="Arial"/>
                <w:sz w:val="21"/>
              </w:rPr>
            </w:pPr>
          </w:p>
          <w:p w14:paraId="5337845D">
            <w:pPr>
              <w:spacing w:line="248" w:lineRule="auto"/>
              <w:rPr>
                <w:rFonts w:ascii="Arial"/>
                <w:sz w:val="21"/>
              </w:rPr>
            </w:pPr>
          </w:p>
          <w:p w14:paraId="0C629A80">
            <w:pPr>
              <w:spacing w:line="249" w:lineRule="auto"/>
              <w:rPr>
                <w:rFonts w:ascii="Arial"/>
                <w:sz w:val="21"/>
              </w:rPr>
            </w:pPr>
          </w:p>
          <w:p w14:paraId="166D9D19">
            <w:pPr>
              <w:pStyle w:val="7"/>
              <w:spacing w:before="78" w:line="217" w:lineRule="auto"/>
              <w:ind w:left="85"/>
            </w:pPr>
            <w:r>
              <w:rPr>
                <w:b/>
                <w:bCs/>
                <w:spacing w:val="-20"/>
              </w:rPr>
              <w:t>仪器设备名称</w:t>
            </w:r>
          </w:p>
        </w:tc>
        <w:tc>
          <w:tcPr>
            <w:tcW w:w="1674" w:type="dxa"/>
            <w:tcBorders>
              <w:top w:val="single" w:color="000000" w:sz="4" w:space="0"/>
              <w:left w:val="nil"/>
              <w:right w:val="nil"/>
            </w:tcBorders>
            <w:shd w:val="clear" w:color="auto" w:fill="DEEAF6"/>
            <w:vAlign w:val="top"/>
          </w:tcPr>
          <w:p w14:paraId="229C7385">
            <w:pPr>
              <w:spacing w:line="257" w:lineRule="auto"/>
              <w:rPr>
                <w:rFonts w:ascii="Arial"/>
                <w:sz w:val="21"/>
              </w:rPr>
            </w:pPr>
          </w:p>
          <w:p w14:paraId="07C5257D">
            <w:pPr>
              <w:spacing w:line="257" w:lineRule="auto"/>
              <w:rPr>
                <w:rFonts w:ascii="Arial"/>
                <w:sz w:val="21"/>
              </w:rPr>
            </w:pPr>
          </w:p>
          <w:p w14:paraId="0B81FA89">
            <w:pPr>
              <w:pStyle w:val="7"/>
              <w:spacing w:before="78" w:line="218" w:lineRule="auto"/>
              <w:ind w:left="410"/>
            </w:pPr>
            <w:r>
              <w:rPr>
                <w:b/>
                <w:bCs/>
                <w:spacing w:val="-18"/>
              </w:rPr>
              <w:t>规格型号</w:t>
            </w:r>
          </w:p>
        </w:tc>
        <w:tc>
          <w:tcPr>
            <w:tcW w:w="681" w:type="dxa"/>
            <w:tcBorders>
              <w:top w:val="single" w:color="000000" w:sz="4" w:space="0"/>
              <w:left w:val="nil"/>
              <w:right w:val="nil"/>
            </w:tcBorders>
            <w:shd w:val="clear" w:color="auto" w:fill="DEEAF6"/>
            <w:vAlign w:val="top"/>
          </w:tcPr>
          <w:p w14:paraId="0E4399AE">
            <w:pPr>
              <w:spacing w:line="257" w:lineRule="auto"/>
              <w:rPr>
                <w:rFonts w:ascii="Arial"/>
                <w:sz w:val="21"/>
              </w:rPr>
            </w:pPr>
          </w:p>
          <w:p w14:paraId="4D85CE20">
            <w:pPr>
              <w:spacing w:line="257" w:lineRule="auto"/>
              <w:rPr>
                <w:rFonts w:ascii="Arial"/>
                <w:sz w:val="21"/>
              </w:rPr>
            </w:pPr>
          </w:p>
          <w:p w14:paraId="6E76F2F0">
            <w:pPr>
              <w:pStyle w:val="7"/>
              <w:spacing w:before="78" w:line="219" w:lineRule="auto"/>
              <w:ind w:left="135"/>
            </w:pPr>
            <w:r>
              <w:rPr>
                <w:b/>
                <w:bCs/>
                <w:spacing w:val="-12"/>
              </w:rPr>
              <w:t>数量</w:t>
            </w:r>
          </w:p>
        </w:tc>
        <w:tc>
          <w:tcPr>
            <w:tcW w:w="1117" w:type="dxa"/>
            <w:tcBorders>
              <w:top w:val="single" w:color="000000" w:sz="4" w:space="0"/>
              <w:left w:val="nil"/>
              <w:right w:val="nil"/>
            </w:tcBorders>
            <w:shd w:val="clear" w:color="auto" w:fill="DEEAF6"/>
            <w:vAlign w:val="top"/>
          </w:tcPr>
          <w:p w14:paraId="13D07553">
            <w:pPr>
              <w:spacing w:line="248" w:lineRule="auto"/>
              <w:rPr>
                <w:rFonts w:ascii="Arial"/>
                <w:sz w:val="21"/>
              </w:rPr>
            </w:pPr>
          </w:p>
          <w:p w14:paraId="446DCC6B">
            <w:pPr>
              <w:spacing w:line="248" w:lineRule="auto"/>
              <w:rPr>
                <w:rFonts w:ascii="Arial"/>
                <w:sz w:val="21"/>
              </w:rPr>
            </w:pPr>
          </w:p>
          <w:p w14:paraId="5F5CB3C0">
            <w:pPr>
              <w:spacing w:line="249" w:lineRule="auto"/>
              <w:rPr>
                <w:rFonts w:ascii="Arial"/>
                <w:sz w:val="21"/>
              </w:rPr>
            </w:pPr>
          </w:p>
          <w:p w14:paraId="1B9ACE15">
            <w:pPr>
              <w:pStyle w:val="7"/>
              <w:spacing w:before="78" w:line="219" w:lineRule="auto"/>
              <w:ind w:left="161"/>
            </w:pPr>
            <w:r>
              <w:rPr>
                <w:b/>
                <w:bCs/>
                <w:spacing w:val="-23"/>
              </w:rPr>
              <w:t>国别产地</w:t>
            </w:r>
          </w:p>
        </w:tc>
        <w:tc>
          <w:tcPr>
            <w:tcW w:w="695" w:type="dxa"/>
            <w:tcBorders>
              <w:top w:val="single" w:color="000000" w:sz="4" w:space="0"/>
              <w:left w:val="nil"/>
              <w:right w:val="nil"/>
            </w:tcBorders>
            <w:shd w:val="clear" w:color="auto" w:fill="DEEAF6"/>
            <w:textDirection w:val="tbRlV"/>
            <w:vAlign w:val="top"/>
          </w:tcPr>
          <w:p w14:paraId="04257CB1">
            <w:pPr>
              <w:pStyle w:val="7"/>
              <w:spacing w:before="214" w:line="202" w:lineRule="auto"/>
              <w:ind w:left="595"/>
            </w:pPr>
            <w:r>
              <w:pict>
                <v:shape id="_x0000_s4960" o:spid="_x0000_s4960" o:spt="202" type="#_x0000_t202" style="position:absolute;left:0pt;margin-left:6.35pt;margin-top:5.85pt;height:16.15pt;width:24.1pt;mso-position-horizontal-relative:page;mso-position-vertical-relative:page;z-index:252440576;mso-width-relative:page;mso-height-relative:page;" filled="f" stroked="f" coordsize="21600,21600">
                  <v:path/>
                  <v:fill on="f" focussize="0,0"/>
                  <v:stroke on="f"/>
                  <v:imagedata o:title=""/>
                  <o:lock v:ext="edit" aspectratio="f"/>
                  <v:textbox inset="0mm,0mm,0mm,0mm">
                    <w:txbxContent>
                      <w:p w14:paraId="6B081D12">
                        <w:pPr>
                          <w:pStyle w:val="7"/>
                          <w:spacing w:before="20" w:line="217" w:lineRule="auto"/>
                          <w:jc w:val="right"/>
                        </w:pPr>
                        <w:r>
                          <w:rPr>
                            <w:b/>
                            <w:bCs/>
                            <w:spacing w:val="-13"/>
                          </w:rPr>
                          <w:t>制造</w:t>
                        </w:r>
                      </w:p>
                    </w:txbxContent>
                  </v:textbox>
                </v:shape>
              </w:pict>
            </w:r>
            <w:r>
              <w:rPr>
                <w:b/>
                <w:bCs/>
                <w:spacing w:val="-3"/>
              </w:rPr>
              <w:t>年份</w:t>
            </w:r>
          </w:p>
        </w:tc>
        <w:tc>
          <w:tcPr>
            <w:tcW w:w="909" w:type="dxa"/>
            <w:tcBorders>
              <w:top w:val="single" w:color="000000" w:sz="4" w:space="0"/>
              <w:left w:val="nil"/>
              <w:right w:val="nil"/>
            </w:tcBorders>
            <w:shd w:val="clear" w:color="auto" w:fill="DEEAF6"/>
            <w:vAlign w:val="top"/>
          </w:tcPr>
          <w:p w14:paraId="780A6066">
            <w:pPr>
              <w:spacing w:line="282" w:lineRule="auto"/>
              <w:rPr>
                <w:rFonts w:ascii="Arial"/>
                <w:sz w:val="21"/>
              </w:rPr>
            </w:pPr>
          </w:p>
          <w:p w14:paraId="2C7CB527">
            <w:pPr>
              <w:pStyle w:val="7"/>
              <w:spacing w:before="79" w:line="218" w:lineRule="auto"/>
              <w:ind w:left="175"/>
            </w:pPr>
            <w:r>
              <w:rPr>
                <w:b/>
                <w:bCs/>
                <w:spacing w:val="-23"/>
              </w:rPr>
              <w:t>已使用</w:t>
            </w:r>
          </w:p>
          <w:p w14:paraId="7D09078A">
            <w:pPr>
              <w:pStyle w:val="7"/>
              <w:spacing w:before="181" w:line="217" w:lineRule="auto"/>
              <w:ind w:left="166"/>
            </w:pPr>
            <w:r>
              <w:rPr>
                <w:b/>
                <w:bCs/>
                <w:spacing w:val="-21"/>
              </w:rPr>
              <w:t>台时数</w:t>
            </w:r>
          </w:p>
        </w:tc>
        <w:tc>
          <w:tcPr>
            <w:tcW w:w="1274" w:type="dxa"/>
            <w:tcBorders>
              <w:top w:val="single" w:color="000000" w:sz="4" w:space="0"/>
              <w:left w:val="nil"/>
              <w:right w:val="nil"/>
            </w:tcBorders>
            <w:shd w:val="clear" w:color="auto" w:fill="DEEAF6"/>
            <w:vAlign w:val="top"/>
          </w:tcPr>
          <w:p w14:paraId="2AFD6F87">
            <w:pPr>
              <w:spacing w:line="256" w:lineRule="auto"/>
              <w:rPr>
                <w:rFonts w:ascii="Arial"/>
                <w:sz w:val="21"/>
              </w:rPr>
            </w:pPr>
          </w:p>
          <w:p w14:paraId="24382F84">
            <w:pPr>
              <w:spacing w:line="257" w:lineRule="auto"/>
              <w:rPr>
                <w:rFonts w:ascii="Arial"/>
                <w:sz w:val="21"/>
              </w:rPr>
            </w:pPr>
          </w:p>
          <w:p w14:paraId="22D0BCE7">
            <w:pPr>
              <w:pStyle w:val="7"/>
              <w:spacing w:before="78" w:line="220" w:lineRule="auto"/>
              <w:ind w:left="336"/>
            </w:pPr>
            <w:r>
              <w:rPr>
                <w:b/>
                <w:bCs/>
                <w:spacing w:val="-11"/>
              </w:rPr>
              <w:t>用途</w:t>
            </w:r>
          </w:p>
        </w:tc>
        <w:tc>
          <w:tcPr>
            <w:tcW w:w="845" w:type="dxa"/>
            <w:tcBorders>
              <w:top w:val="single" w:color="5B9BD5" w:sz="4" w:space="0"/>
              <w:right w:val="single" w:color="5B9BD5" w:sz="4" w:space="0"/>
            </w:tcBorders>
            <w:shd w:val="clear" w:color="auto" w:fill="DEEAF6"/>
            <w:vAlign w:val="top"/>
          </w:tcPr>
          <w:p w14:paraId="1B57E12F">
            <w:pPr>
              <w:spacing w:line="257" w:lineRule="auto"/>
              <w:rPr>
                <w:rFonts w:ascii="Arial"/>
                <w:sz w:val="21"/>
              </w:rPr>
            </w:pPr>
          </w:p>
          <w:p w14:paraId="56F4314E">
            <w:pPr>
              <w:spacing w:line="257" w:lineRule="auto"/>
              <w:rPr>
                <w:rFonts w:ascii="Arial"/>
                <w:sz w:val="21"/>
              </w:rPr>
            </w:pPr>
          </w:p>
          <w:p w14:paraId="254371DC">
            <w:pPr>
              <w:pStyle w:val="7"/>
              <w:spacing w:before="78" w:line="220" w:lineRule="auto"/>
              <w:ind w:left="212"/>
            </w:pPr>
            <w:r>
              <w:rPr>
                <w:b/>
                <w:bCs/>
                <w:spacing w:val="-13"/>
              </w:rPr>
              <w:t>备注</w:t>
            </w:r>
          </w:p>
        </w:tc>
      </w:tr>
      <w:tr w14:paraId="555CF5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5" w:hRule="atLeast"/>
        </w:trPr>
        <w:tc>
          <w:tcPr>
            <w:tcW w:w="605" w:type="dxa"/>
            <w:tcBorders>
              <w:left w:val="single" w:color="000000" w:sz="4" w:space="0"/>
            </w:tcBorders>
            <w:vAlign w:val="top"/>
          </w:tcPr>
          <w:p w14:paraId="5384649E">
            <w:pPr>
              <w:pStyle w:val="7"/>
              <w:spacing w:before="145" w:line="238" w:lineRule="auto"/>
              <w:ind w:left="275"/>
            </w:pPr>
            <w:r>
              <w:t>1</w:t>
            </w:r>
          </w:p>
        </w:tc>
        <w:tc>
          <w:tcPr>
            <w:tcW w:w="1465" w:type="dxa"/>
            <w:vAlign w:val="top"/>
          </w:tcPr>
          <w:p w14:paraId="1E32E237">
            <w:pPr>
              <w:pStyle w:val="7"/>
              <w:spacing w:before="144" w:line="217" w:lineRule="auto"/>
              <w:ind w:left="413"/>
            </w:pPr>
            <w:r>
              <w:rPr>
                <w:spacing w:val="-13"/>
              </w:rPr>
              <w:t>经纬仪</w:t>
            </w:r>
          </w:p>
        </w:tc>
        <w:tc>
          <w:tcPr>
            <w:tcW w:w="1674" w:type="dxa"/>
            <w:vAlign w:val="top"/>
          </w:tcPr>
          <w:p w14:paraId="4B9A0167">
            <w:pPr>
              <w:pStyle w:val="7"/>
              <w:spacing w:before="189" w:line="178" w:lineRule="auto"/>
              <w:ind w:left="570"/>
            </w:pPr>
            <w:r>
              <w:rPr>
                <w:spacing w:val="-10"/>
              </w:rPr>
              <w:t>J2-JD</w:t>
            </w:r>
          </w:p>
        </w:tc>
        <w:tc>
          <w:tcPr>
            <w:tcW w:w="681" w:type="dxa"/>
            <w:vAlign w:val="top"/>
          </w:tcPr>
          <w:p w14:paraId="2B7E32C2">
            <w:pPr>
              <w:pStyle w:val="7"/>
              <w:spacing w:before="145" w:line="237" w:lineRule="auto"/>
              <w:ind w:left="296"/>
            </w:pPr>
            <w:r>
              <w:t>5</w:t>
            </w:r>
          </w:p>
        </w:tc>
        <w:tc>
          <w:tcPr>
            <w:tcW w:w="1117" w:type="dxa"/>
            <w:vAlign w:val="top"/>
          </w:tcPr>
          <w:p w14:paraId="1B60084D">
            <w:pPr>
              <w:pStyle w:val="7"/>
              <w:spacing w:before="145" w:line="218" w:lineRule="auto"/>
              <w:ind w:left="359"/>
            </w:pPr>
            <w:r>
              <w:rPr>
                <w:spacing w:val="-12"/>
              </w:rPr>
              <w:t>苏州</w:t>
            </w:r>
          </w:p>
        </w:tc>
        <w:tc>
          <w:tcPr>
            <w:tcW w:w="695" w:type="dxa"/>
            <w:vAlign w:val="top"/>
          </w:tcPr>
          <w:p w14:paraId="3E9B63E0">
            <w:pPr>
              <w:pStyle w:val="7"/>
              <w:spacing w:before="145" w:line="237" w:lineRule="auto"/>
              <w:ind w:left="186" w:leftChars="0"/>
            </w:pPr>
            <w:r>
              <w:rPr>
                <w:spacing w:val="-9"/>
              </w:rPr>
              <w:t>202</w:t>
            </w:r>
            <w:r>
              <w:rPr>
                <w:rFonts w:hint="eastAsia"/>
                <w:spacing w:val="-9"/>
                <w:lang w:val="en-US" w:eastAsia="zh-CN"/>
              </w:rPr>
              <w:t>1</w:t>
            </w:r>
          </w:p>
        </w:tc>
        <w:tc>
          <w:tcPr>
            <w:tcW w:w="909" w:type="dxa"/>
            <w:vAlign w:val="top"/>
          </w:tcPr>
          <w:p w14:paraId="304BD808">
            <w:pPr>
              <w:pStyle w:val="7"/>
              <w:spacing w:before="145" w:line="237" w:lineRule="auto"/>
              <w:ind w:left="357"/>
            </w:pPr>
            <w:r>
              <w:rPr>
                <w:spacing w:val="-7"/>
              </w:rPr>
              <w:t>50</w:t>
            </w:r>
          </w:p>
        </w:tc>
        <w:tc>
          <w:tcPr>
            <w:tcW w:w="1274" w:type="dxa"/>
            <w:vAlign w:val="top"/>
          </w:tcPr>
          <w:p w14:paraId="6F6F55F9">
            <w:pPr>
              <w:pStyle w:val="7"/>
              <w:spacing w:before="144" w:line="219" w:lineRule="auto"/>
              <w:ind w:left="216"/>
            </w:pPr>
            <w:r>
              <w:rPr>
                <w:spacing w:val="-15"/>
              </w:rPr>
              <w:t>测量放线</w:t>
            </w:r>
          </w:p>
        </w:tc>
        <w:tc>
          <w:tcPr>
            <w:tcW w:w="845" w:type="dxa"/>
            <w:vMerge w:val="restart"/>
            <w:tcBorders>
              <w:bottom w:val="nil"/>
              <w:right w:val="single" w:color="5B9BD5" w:sz="4" w:space="0"/>
            </w:tcBorders>
            <w:vAlign w:val="top"/>
          </w:tcPr>
          <w:p w14:paraId="2517F17F">
            <w:pPr>
              <w:spacing w:line="244" w:lineRule="auto"/>
              <w:rPr>
                <w:rFonts w:ascii="Arial"/>
                <w:sz w:val="21"/>
              </w:rPr>
            </w:pPr>
            <w:r>
              <w:pict>
                <v:shape id="_x0000_s4962" o:spid="_x0000_s4962" style="position:absolute;left:0pt;margin-left:40.35pt;margin-top:278.95pt;height:3.4pt;width:0.75pt;mso-position-horizontal-relative:page;mso-position-vertical-relative:page;z-index:252435456;mso-width-relative:page;mso-height-relative:page;" fillcolor="#1C456A" filled="t" stroked="f" coordsize="15,68" path="m0,67l14,67,14,0,0,0,0,67xe">
                  <v:path/>
                  <v:fill on="t" focussize="0,0"/>
                  <v:stroke on="f"/>
                  <v:imagedata o:title=""/>
                  <o:lock v:ext="edit"/>
                </v:shape>
              </w:pict>
            </w:r>
            <w:r>
              <w:pict>
                <v:shape id="_x0000_s4964" o:spid="_x0000_s4964" style="position:absolute;left:0pt;margin-left:40.35pt;margin-top:313.4pt;height:3.4pt;width:0.75pt;mso-position-horizontal-relative:page;mso-position-vertical-relative:page;z-index:252427264;mso-width-relative:page;mso-height-relative:page;" fillcolor="#1C456A" filled="t" stroked="f" coordsize="15,68" path="m0,67l14,67,14,0,0,0,0,67xe">
                  <v:path/>
                  <v:fill on="t" focussize="0,0"/>
                  <v:stroke on="f"/>
                  <v:imagedata o:title=""/>
                  <o:lock v:ext="edit"/>
                </v:shape>
              </w:pict>
            </w:r>
            <w:r>
              <w:pict>
                <v:shape id="_x0000_s4966" o:spid="_x0000_s4966" style="position:absolute;left:0pt;margin-left:40.35pt;margin-top:347.95pt;height:3.4pt;width:0.75pt;mso-position-horizontal-relative:page;mso-position-vertical-relative:page;z-index:252428288;mso-width-relative:page;mso-height-relative:page;" fillcolor="#1C456A" filled="t" stroked="f" coordsize="15,68" path="m0,67l14,67,14,0,0,0,0,67xe">
                  <v:path/>
                  <v:fill on="t" focussize="0,0"/>
                  <v:stroke on="f"/>
                  <v:imagedata o:title=""/>
                  <o:lock v:ext="edit"/>
                </v:shape>
              </w:pict>
            </w:r>
            <w:r>
              <w:pict>
                <v:shape id="_x0000_s4968" o:spid="_x0000_s4968" style="position:absolute;left:0pt;margin-left:40.35pt;margin-top:-0.15pt;height:3.4pt;width:0.75pt;mso-position-horizontal-relative:page;mso-position-vertical-relative:page;z-index:252429312;mso-width-relative:page;mso-height-relative:page;" fillcolor="#1C456A" filled="t" stroked="f" coordsize="15,68" path="m0,67l14,67,14,0,0,0,0,67xe">
                  <v:path/>
                  <v:fill on="t" focussize="0,0"/>
                  <v:stroke on="f"/>
                  <v:imagedata o:title=""/>
                  <o:lock v:ext="edit"/>
                </v:shape>
              </w:pict>
            </w:r>
            <w:r>
              <w:pict>
                <v:shape id="_x0000_s4970" o:spid="_x0000_s4970" style="position:absolute;left:0pt;margin-left:40.35pt;margin-top:34.35pt;height:3.4pt;width:0.75pt;mso-position-horizontal-relative:page;mso-position-vertical-relative:page;z-index:252430336;mso-width-relative:page;mso-height-relative:page;" fillcolor="#1C456A" filled="t" stroked="f" coordsize="15,68" path="m0,67l14,67,14,0,0,0,0,67xe">
                  <v:path/>
                  <v:fill on="t" focussize="0,0"/>
                  <v:stroke on="f"/>
                  <v:imagedata o:title=""/>
                  <o:lock v:ext="edit"/>
                </v:shape>
              </w:pict>
            </w:r>
            <w:r>
              <w:pict>
                <v:shape id="_x0000_s4972" o:spid="_x0000_s4972" style="position:absolute;left:0pt;margin-left:40.35pt;margin-top:68.9pt;height:3.4pt;width:0.75pt;mso-position-horizontal-relative:page;mso-position-vertical-relative:page;z-index:252431360;mso-width-relative:page;mso-height-relative:page;" fillcolor="#1C456A" filled="t" stroked="f" coordsize="15,68" path="m0,67l14,67,14,0,0,0,0,67xe">
                  <v:path/>
                  <v:fill on="t" focussize="0,0"/>
                  <v:stroke on="f"/>
                  <v:imagedata o:title=""/>
                  <o:lock v:ext="edit"/>
                </v:shape>
              </w:pict>
            </w:r>
            <w:r>
              <w:pict>
                <v:shape id="_x0000_s4974" o:spid="_x0000_s4974" style="position:absolute;left:0pt;margin-left:40.35pt;margin-top:103.5pt;height:3.4pt;width:0.75pt;mso-position-horizontal-relative:page;mso-position-vertical-relative:page;z-index:252432384;mso-width-relative:page;mso-height-relative:page;" fillcolor="#1C456A" filled="t" stroked="f" coordsize="15,68" path="m0,67l14,67,14,0,0,0,0,67xe">
                  <v:path/>
                  <v:fill on="t" focussize="0,0"/>
                  <v:stroke on="f"/>
                  <v:imagedata o:title=""/>
                  <o:lock v:ext="edit"/>
                </v:shape>
              </w:pict>
            </w:r>
            <w:r>
              <w:pict>
                <v:shape id="_x0000_s4976" o:spid="_x0000_s4976" style="position:absolute;left:0pt;margin-left:40.35pt;margin-top:140.7pt;height:3.4pt;width:0.75pt;mso-position-horizontal-relative:page;mso-position-vertical-relative:page;z-index:252433408;mso-width-relative:page;mso-height-relative:page;" fillcolor="#1C456A" filled="t" stroked="f" coordsize="15,68" path="m0,67l14,67,14,0,0,0,0,67xe">
                  <v:path/>
                  <v:fill on="t" focussize="0,0"/>
                  <v:stroke on="f"/>
                  <v:imagedata o:title=""/>
                  <o:lock v:ext="edit"/>
                </v:shape>
              </w:pict>
            </w:r>
            <w:r>
              <w:pict>
                <v:shape id="_x0000_s4978" o:spid="_x0000_s4978" style="position:absolute;left:0pt;margin-left:40.35pt;margin-top:175.25pt;height:3.4pt;width:0.75pt;mso-position-horizontal-relative:page;mso-position-vertical-relative:page;z-index:252434432;mso-width-relative:page;mso-height-relative:page;" fillcolor="#1C456A" filled="t" stroked="f" coordsize="15,68" path="m0,67l14,67,14,0,0,0,0,67xe">
                  <v:path/>
                  <v:fill on="t" focussize="0,0"/>
                  <v:stroke on="f"/>
                  <v:imagedata o:title=""/>
                  <o:lock v:ext="edit"/>
                </v:shape>
              </w:pict>
            </w:r>
            <w:r>
              <w:pict>
                <v:shape id="_x0000_s4980" o:spid="_x0000_s4980" style="position:absolute;left:0pt;margin-left:40.35pt;margin-top:209.85pt;height:3.4pt;width:0.75pt;mso-position-horizontal-relative:page;mso-position-vertical-relative:page;z-index:252436480;mso-width-relative:page;mso-height-relative:page;" fillcolor="#1C456A" filled="t" stroked="f" coordsize="15,68" path="m0,67l14,67,14,0,0,0,0,67xe">
                  <v:path/>
                  <v:fill on="t" focussize="0,0"/>
                  <v:stroke on="f"/>
                  <v:imagedata o:title=""/>
                  <o:lock v:ext="edit"/>
                </v:shape>
              </w:pict>
            </w:r>
            <w:r>
              <w:pict>
                <v:shape id="_x0000_s4982" o:spid="_x0000_s4982" style="position:absolute;left:0pt;margin-left:40.35pt;margin-top:244.4pt;height:3.4pt;width:0.75pt;mso-position-horizontal-relative:page;mso-position-vertical-relative:page;z-index:252437504;mso-width-relative:page;mso-height-relative:page;" fillcolor="#1C456A" filled="t" stroked="f" coordsize="15,68" path="m0,67l14,67,14,0,0,0,0,67xe">
                  <v:path/>
                  <v:fill on="t" focussize="0,0"/>
                  <v:stroke on="f"/>
                  <v:imagedata o:title=""/>
                  <o:lock v:ext="edit"/>
                </v:shape>
              </w:pict>
            </w:r>
            <w:r>
              <w:pict>
                <v:shape id="_x0000_s4984" o:spid="_x0000_s4984" style="position:absolute;left:0pt;margin-left:40.35pt;margin-top:382.55pt;height:3.4pt;width:0.75pt;mso-position-horizontal-relative:page;mso-position-vertical-relative:page;z-index:252438528;mso-width-relative:page;mso-height-relative:page;" fillcolor="#1C456A" filled="t" stroked="f" coordsize="15,68" path="m0,67l14,67,14,0,0,0,0,67xe">
                  <v:path/>
                  <v:fill on="t" focussize="0,0"/>
                  <v:stroke on="f"/>
                  <v:imagedata o:title=""/>
                  <o:lock v:ext="edit"/>
                </v:shape>
              </w:pict>
            </w:r>
            <w:r>
              <w:pict>
                <v:shape id="_x0000_s4986" o:spid="_x0000_s4986" style="position:absolute;left:0pt;margin-left:40.35pt;margin-top:435.45pt;height:3.4pt;width:0.75pt;mso-position-horizontal-relative:page;mso-position-vertical-relative:page;z-index:252423168;mso-width-relative:page;mso-height-relative:page;" fillcolor="#1C456A" filled="t" stroked="f" coordsize="15,68" path="m0,67l14,67,14,0,0,0,0,67xe">
                  <v:path/>
                  <v:fill on="t" focussize="0,0"/>
                  <v:stroke on="f"/>
                  <v:imagedata o:title=""/>
                  <o:lock v:ext="edit"/>
                </v:shape>
              </w:pict>
            </w:r>
            <w:r>
              <w:pict>
                <v:shape id="_x0000_s4988" o:spid="_x0000_s4988" style="position:absolute;left:0pt;margin-left:40.35pt;margin-top:488.3pt;height:3.4pt;width:0.75pt;mso-position-horizontal-relative:page;mso-position-vertical-relative:page;z-index:252426240;mso-width-relative:page;mso-height-relative:page;" fillcolor="#1C456A" filled="t" stroked="f" coordsize="15,68" path="m0,67l14,67,14,0,0,0,0,67xe">
                  <v:path/>
                  <v:fill on="t" focussize="0,0"/>
                  <v:stroke on="f"/>
                  <v:imagedata o:title=""/>
                  <o:lock v:ext="edit"/>
                </v:shape>
              </w:pict>
            </w:r>
            <w:r>
              <w:pict>
                <v:shape id="_x0000_s4990" o:spid="_x0000_s4990" style="position:absolute;left:0pt;margin-left:40.35pt;margin-top:541.2pt;height:3.4pt;width:0.75pt;mso-position-horizontal-relative:page;mso-position-vertical-relative:page;z-index:252425216;mso-width-relative:page;mso-height-relative:page;" fillcolor="#1C456A" filled="t" stroked="f" coordsize="15,68" path="m0,67l14,67,14,0,0,0,0,67xe">
                  <v:path/>
                  <v:fill on="t" focussize="0,0"/>
                  <v:stroke on="f"/>
                  <v:imagedata o:title=""/>
                  <o:lock v:ext="edit"/>
                </v:shape>
              </w:pict>
            </w:r>
            <w:r>
              <w:pict>
                <v:shape id="_x0000_s4992" o:spid="_x0000_s4992" style="position:absolute;left:0pt;margin-left:40.35pt;margin-top:578.5pt;height:3.4pt;width:0.75pt;mso-position-horizontal-relative:page;mso-position-vertical-relative:page;z-index:252424192;mso-width-relative:page;mso-height-relative:page;" fillcolor="#1C456A" filled="t" stroked="f" coordsize="15,68" path="m0,67l14,67,14,0,0,0,0,67xe">
                  <v:path/>
                  <v:fill on="t" focussize="0,0"/>
                  <v:stroke on="f"/>
                  <v:imagedata o:title=""/>
                  <o:lock v:ext="edit"/>
                </v:shape>
              </w:pict>
            </w:r>
            <w:r>
              <w:pict>
                <v:shape id="_x0000_s4994" o:spid="_x0000_s4994" style="position:absolute;left:0pt;margin-left:40.35pt;margin-top:617.4pt;height:0.75pt;width:2.2pt;mso-position-horizontal-relative:page;mso-position-vertical-relative:page;z-index:252439552;mso-width-relative:page;mso-height-relative:page;" fillcolor="#5B9BD5" filled="t" stroked="f" coordsize="44,15" path="m0,14l43,14,43,0,0,0,0,14xe">
                  <v:path/>
                  <v:fill on="t" focussize="0,0"/>
                  <v:stroke on="f"/>
                  <v:imagedata o:title=""/>
                  <o:lock v:ext="edit"/>
                </v:shape>
              </w:pict>
            </w:r>
          </w:p>
          <w:p w14:paraId="034F4168">
            <w:pPr>
              <w:spacing w:line="244" w:lineRule="auto"/>
              <w:rPr>
                <w:rFonts w:ascii="Arial"/>
                <w:sz w:val="21"/>
              </w:rPr>
            </w:pPr>
          </w:p>
          <w:p w14:paraId="715843F4">
            <w:pPr>
              <w:spacing w:line="244" w:lineRule="auto"/>
              <w:rPr>
                <w:rFonts w:ascii="Arial"/>
                <w:sz w:val="21"/>
              </w:rPr>
            </w:pPr>
          </w:p>
          <w:p w14:paraId="5BBC1F38">
            <w:pPr>
              <w:spacing w:line="244" w:lineRule="auto"/>
              <w:rPr>
                <w:rFonts w:ascii="Arial"/>
                <w:sz w:val="21"/>
              </w:rPr>
            </w:pPr>
          </w:p>
          <w:p w14:paraId="4E563158">
            <w:pPr>
              <w:spacing w:line="244" w:lineRule="auto"/>
              <w:rPr>
                <w:rFonts w:ascii="Arial"/>
                <w:sz w:val="21"/>
              </w:rPr>
            </w:pPr>
          </w:p>
          <w:p w14:paraId="3D8E6A5B">
            <w:pPr>
              <w:spacing w:line="244" w:lineRule="auto"/>
              <w:rPr>
                <w:rFonts w:ascii="Arial"/>
                <w:sz w:val="21"/>
              </w:rPr>
            </w:pPr>
          </w:p>
          <w:p w14:paraId="234C3E71">
            <w:pPr>
              <w:spacing w:line="244" w:lineRule="auto"/>
              <w:rPr>
                <w:rFonts w:ascii="Arial"/>
                <w:sz w:val="21"/>
              </w:rPr>
            </w:pPr>
          </w:p>
          <w:p w14:paraId="66410E93">
            <w:pPr>
              <w:spacing w:line="244" w:lineRule="auto"/>
              <w:rPr>
                <w:rFonts w:ascii="Arial"/>
                <w:sz w:val="21"/>
              </w:rPr>
            </w:pPr>
          </w:p>
          <w:p w14:paraId="54F2A8C6">
            <w:pPr>
              <w:spacing w:line="245" w:lineRule="auto"/>
              <w:rPr>
                <w:rFonts w:ascii="Arial"/>
                <w:sz w:val="21"/>
              </w:rPr>
            </w:pPr>
          </w:p>
          <w:p w14:paraId="3808F65C">
            <w:pPr>
              <w:spacing w:line="245" w:lineRule="auto"/>
              <w:rPr>
                <w:rFonts w:ascii="Arial"/>
                <w:sz w:val="21"/>
              </w:rPr>
            </w:pPr>
          </w:p>
          <w:p w14:paraId="7191F81F">
            <w:pPr>
              <w:spacing w:line="245" w:lineRule="auto"/>
              <w:rPr>
                <w:rFonts w:ascii="Arial"/>
                <w:sz w:val="21"/>
              </w:rPr>
            </w:pPr>
          </w:p>
          <w:p w14:paraId="18541943">
            <w:pPr>
              <w:spacing w:line="245" w:lineRule="auto"/>
              <w:rPr>
                <w:rFonts w:ascii="Arial"/>
                <w:sz w:val="21"/>
              </w:rPr>
            </w:pPr>
          </w:p>
          <w:p w14:paraId="1185F17C">
            <w:pPr>
              <w:spacing w:line="245" w:lineRule="auto"/>
              <w:rPr>
                <w:rFonts w:ascii="Arial"/>
                <w:sz w:val="21"/>
              </w:rPr>
            </w:pPr>
          </w:p>
          <w:p w14:paraId="2BCBA69A">
            <w:pPr>
              <w:spacing w:line="245" w:lineRule="auto"/>
              <w:rPr>
                <w:rFonts w:ascii="Arial"/>
                <w:sz w:val="21"/>
              </w:rPr>
            </w:pPr>
          </w:p>
          <w:p w14:paraId="32769D57">
            <w:pPr>
              <w:spacing w:line="245" w:lineRule="auto"/>
              <w:rPr>
                <w:rFonts w:ascii="Arial"/>
                <w:sz w:val="21"/>
              </w:rPr>
            </w:pPr>
          </w:p>
          <w:p w14:paraId="7CC90A71">
            <w:pPr>
              <w:spacing w:line="245" w:lineRule="auto"/>
              <w:rPr>
                <w:rFonts w:ascii="Arial"/>
                <w:sz w:val="21"/>
              </w:rPr>
            </w:pPr>
          </w:p>
          <w:p w14:paraId="28C9F711">
            <w:pPr>
              <w:spacing w:line="245" w:lineRule="auto"/>
              <w:rPr>
                <w:rFonts w:ascii="Arial"/>
                <w:sz w:val="21"/>
              </w:rPr>
            </w:pPr>
          </w:p>
          <w:p w14:paraId="7198F966">
            <w:pPr>
              <w:spacing w:line="245" w:lineRule="auto"/>
              <w:rPr>
                <w:rFonts w:ascii="Arial"/>
                <w:sz w:val="21"/>
              </w:rPr>
            </w:pPr>
          </w:p>
          <w:p w14:paraId="7DCFE4B0">
            <w:pPr>
              <w:spacing w:line="245" w:lineRule="auto"/>
              <w:rPr>
                <w:rFonts w:ascii="Arial"/>
                <w:sz w:val="21"/>
              </w:rPr>
            </w:pPr>
          </w:p>
          <w:p w14:paraId="4F16D463">
            <w:pPr>
              <w:spacing w:line="245" w:lineRule="auto"/>
              <w:rPr>
                <w:rFonts w:ascii="Arial"/>
                <w:sz w:val="21"/>
              </w:rPr>
            </w:pPr>
          </w:p>
          <w:p w14:paraId="55FCB8ED">
            <w:pPr>
              <w:spacing w:line="245" w:lineRule="auto"/>
              <w:rPr>
                <w:rFonts w:ascii="Arial"/>
                <w:sz w:val="21"/>
              </w:rPr>
            </w:pPr>
          </w:p>
          <w:p w14:paraId="1BDBF990">
            <w:pPr>
              <w:spacing w:line="245" w:lineRule="auto"/>
              <w:rPr>
                <w:rFonts w:ascii="Arial"/>
                <w:sz w:val="21"/>
              </w:rPr>
            </w:pPr>
          </w:p>
          <w:p w14:paraId="740215B7">
            <w:pPr>
              <w:pStyle w:val="7"/>
              <w:spacing w:before="78" w:line="217" w:lineRule="auto"/>
              <w:ind w:left="102"/>
            </w:pPr>
            <w:r>
              <w:rPr>
                <w:spacing w:val="-14"/>
              </w:rPr>
              <w:t>开工前</w:t>
            </w:r>
          </w:p>
          <w:p w14:paraId="61938921">
            <w:pPr>
              <w:pStyle w:val="7"/>
              <w:spacing w:before="182" w:line="362" w:lineRule="auto"/>
              <w:ind w:left="321" w:right="102" w:hanging="195"/>
            </w:pPr>
            <w:r>
              <w:rPr>
                <w:spacing w:val="-18"/>
              </w:rPr>
              <w:t>3天进</w:t>
            </w:r>
            <w:r>
              <w:t>场</w:t>
            </w:r>
          </w:p>
        </w:tc>
      </w:tr>
      <w:tr w14:paraId="0DCE38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6" w:hRule="atLeast"/>
        </w:trPr>
        <w:tc>
          <w:tcPr>
            <w:tcW w:w="605" w:type="dxa"/>
            <w:tcBorders>
              <w:left w:val="single" w:color="000000" w:sz="4" w:space="0"/>
            </w:tcBorders>
            <w:vAlign w:val="top"/>
          </w:tcPr>
          <w:p w14:paraId="5375D123">
            <w:pPr>
              <w:pStyle w:val="7"/>
              <w:spacing w:before="144" w:line="238" w:lineRule="auto"/>
              <w:ind w:left="260"/>
            </w:pPr>
            <w:r>
              <w:t>2</w:t>
            </w:r>
          </w:p>
        </w:tc>
        <w:tc>
          <w:tcPr>
            <w:tcW w:w="1465" w:type="dxa"/>
            <w:vAlign w:val="top"/>
          </w:tcPr>
          <w:p w14:paraId="6FE53994">
            <w:pPr>
              <w:pStyle w:val="7"/>
              <w:spacing w:before="144" w:line="218" w:lineRule="auto"/>
              <w:ind w:left="419"/>
            </w:pPr>
            <w:r>
              <w:rPr>
                <w:spacing w:val="-15"/>
              </w:rPr>
              <w:t>全站仪</w:t>
            </w:r>
          </w:p>
        </w:tc>
        <w:tc>
          <w:tcPr>
            <w:tcW w:w="1674" w:type="dxa"/>
            <w:vAlign w:val="top"/>
          </w:tcPr>
          <w:p w14:paraId="6599864F">
            <w:pPr>
              <w:rPr>
                <w:rFonts w:ascii="Arial"/>
                <w:sz w:val="21"/>
              </w:rPr>
            </w:pPr>
          </w:p>
        </w:tc>
        <w:tc>
          <w:tcPr>
            <w:tcW w:w="681" w:type="dxa"/>
            <w:vAlign w:val="top"/>
          </w:tcPr>
          <w:p w14:paraId="48DBCD84">
            <w:pPr>
              <w:pStyle w:val="7"/>
              <w:spacing w:before="143" w:line="237" w:lineRule="auto"/>
              <w:ind w:left="296"/>
            </w:pPr>
            <w:r>
              <w:t>5</w:t>
            </w:r>
          </w:p>
        </w:tc>
        <w:tc>
          <w:tcPr>
            <w:tcW w:w="1117" w:type="dxa"/>
            <w:vAlign w:val="top"/>
          </w:tcPr>
          <w:p w14:paraId="222B1189">
            <w:pPr>
              <w:pStyle w:val="7"/>
              <w:spacing w:before="144" w:line="218" w:lineRule="auto"/>
              <w:ind w:left="359"/>
            </w:pPr>
            <w:r>
              <w:rPr>
                <w:spacing w:val="-12"/>
              </w:rPr>
              <w:t>苏州</w:t>
            </w:r>
          </w:p>
        </w:tc>
        <w:tc>
          <w:tcPr>
            <w:tcW w:w="695" w:type="dxa"/>
            <w:vAlign w:val="top"/>
          </w:tcPr>
          <w:p w14:paraId="6F0A938A">
            <w:pPr>
              <w:pStyle w:val="7"/>
              <w:spacing w:before="146" w:line="237" w:lineRule="auto"/>
              <w:ind w:left="186" w:leftChars="0"/>
            </w:pPr>
            <w:r>
              <w:rPr>
                <w:spacing w:val="-9"/>
              </w:rPr>
              <w:t>2022</w:t>
            </w:r>
          </w:p>
        </w:tc>
        <w:tc>
          <w:tcPr>
            <w:tcW w:w="909" w:type="dxa"/>
            <w:vAlign w:val="top"/>
          </w:tcPr>
          <w:p w14:paraId="30A1B6DA">
            <w:pPr>
              <w:pStyle w:val="7"/>
              <w:spacing w:before="143" w:line="237" w:lineRule="auto"/>
              <w:ind w:left="317"/>
            </w:pPr>
            <w:r>
              <w:rPr>
                <w:spacing w:val="-12"/>
              </w:rPr>
              <w:t>120</w:t>
            </w:r>
          </w:p>
        </w:tc>
        <w:tc>
          <w:tcPr>
            <w:tcW w:w="1274" w:type="dxa"/>
            <w:vAlign w:val="top"/>
          </w:tcPr>
          <w:p w14:paraId="711E7930">
            <w:pPr>
              <w:pStyle w:val="7"/>
              <w:spacing w:before="144" w:line="217" w:lineRule="auto"/>
              <w:ind w:left="221"/>
            </w:pPr>
            <w:r>
              <w:rPr>
                <w:spacing w:val="-16"/>
              </w:rPr>
              <w:t>定位测量</w:t>
            </w:r>
          </w:p>
        </w:tc>
        <w:tc>
          <w:tcPr>
            <w:tcW w:w="845" w:type="dxa"/>
            <w:vMerge w:val="continue"/>
            <w:tcBorders>
              <w:top w:val="nil"/>
              <w:bottom w:val="nil"/>
              <w:right w:val="single" w:color="5B9BD5" w:sz="4" w:space="0"/>
            </w:tcBorders>
            <w:vAlign w:val="top"/>
          </w:tcPr>
          <w:p w14:paraId="65FEB1D8">
            <w:pPr>
              <w:rPr>
                <w:rFonts w:ascii="Arial"/>
                <w:sz w:val="21"/>
              </w:rPr>
            </w:pPr>
          </w:p>
        </w:tc>
      </w:tr>
      <w:tr w14:paraId="41B808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6" w:hRule="atLeast"/>
        </w:trPr>
        <w:tc>
          <w:tcPr>
            <w:tcW w:w="605" w:type="dxa"/>
            <w:tcBorders>
              <w:left w:val="single" w:color="000000" w:sz="4" w:space="0"/>
            </w:tcBorders>
            <w:vAlign w:val="top"/>
          </w:tcPr>
          <w:p w14:paraId="1F9D2168">
            <w:pPr>
              <w:pStyle w:val="7"/>
              <w:spacing w:before="144" w:line="237" w:lineRule="auto"/>
              <w:ind w:left="262"/>
            </w:pPr>
            <w:r>
              <w:t>3</w:t>
            </w:r>
          </w:p>
        </w:tc>
        <w:tc>
          <w:tcPr>
            <w:tcW w:w="1465" w:type="dxa"/>
            <w:vAlign w:val="top"/>
          </w:tcPr>
          <w:p w14:paraId="4841E7B7">
            <w:pPr>
              <w:pStyle w:val="7"/>
              <w:spacing w:before="144" w:line="218" w:lineRule="auto"/>
              <w:ind w:left="412"/>
            </w:pPr>
            <w:r>
              <w:rPr>
                <w:spacing w:val="-13"/>
              </w:rPr>
              <w:t>水准仪</w:t>
            </w:r>
          </w:p>
        </w:tc>
        <w:tc>
          <w:tcPr>
            <w:tcW w:w="1674" w:type="dxa"/>
            <w:vAlign w:val="top"/>
          </w:tcPr>
          <w:p w14:paraId="7D8470C5">
            <w:pPr>
              <w:pStyle w:val="7"/>
              <w:spacing w:before="188" w:line="178" w:lineRule="auto"/>
              <w:ind w:left="672"/>
            </w:pPr>
            <w:r>
              <w:rPr>
                <w:spacing w:val="-6"/>
              </w:rPr>
              <w:t>DS3</w:t>
            </w:r>
          </w:p>
        </w:tc>
        <w:tc>
          <w:tcPr>
            <w:tcW w:w="681" w:type="dxa"/>
            <w:vAlign w:val="top"/>
          </w:tcPr>
          <w:p w14:paraId="4C6E415D">
            <w:pPr>
              <w:pStyle w:val="7"/>
              <w:spacing w:before="144" w:line="237" w:lineRule="auto"/>
              <w:ind w:left="254"/>
            </w:pPr>
            <w:r>
              <w:rPr>
                <w:spacing w:val="-10"/>
              </w:rPr>
              <w:t>10</w:t>
            </w:r>
          </w:p>
        </w:tc>
        <w:tc>
          <w:tcPr>
            <w:tcW w:w="1117" w:type="dxa"/>
            <w:vAlign w:val="top"/>
          </w:tcPr>
          <w:p w14:paraId="4542341B">
            <w:pPr>
              <w:pStyle w:val="7"/>
              <w:spacing w:before="144" w:line="218" w:lineRule="auto"/>
              <w:ind w:left="359"/>
            </w:pPr>
            <w:r>
              <w:rPr>
                <w:spacing w:val="-12"/>
              </w:rPr>
              <w:t>苏州</w:t>
            </w:r>
          </w:p>
        </w:tc>
        <w:tc>
          <w:tcPr>
            <w:tcW w:w="695" w:type="dxa"/>
            <w:vAlign w:val="top"/>
          </w:tcPr>
          <w:p w14:paraId="51E0467E">
            <w:pPr>
              <w:pStyle w:val="7"/>
              <w:spacing w:before="145" w:line="237" w:lineRule="auto"/>
              <w:ind w:left="186" w:leftChars="0"/>
            </w:pPr>
            <w:r>
              <w:rPr>
                <w:spacing w:val="-9"/>
              </w:rPr>
              <w:t>202</w:t>
            </w:r>
            <w:r>
              <w:rPr>
                <w:rFonts w:hint="eastAsia"/>
                <w:spacing w:val="-9"/>
                <w:lang w:val="en-US" w:eastAsia="zh-CN"/>
              </w:rPr>
              <w:t>1</w:t>
            </w:r>
          </w:p>
        </w:tc>
        <w:tc>
          <w:tcPr>
            <w:tcW w:w="909" w:type="dxa"/>
            <w:vAlign w:val="top"/>
          </w:tcPr>
          <w:p w14:paraId="34781AC1">
            <w:pPr>
              <w:pStyle w:val="7"/>
              <w:spacing w:before="144" w:line="237" w:lineRule="auto"/>
              <w:ind w:left="357"/>
            </w:pPr>
            <w:r>
              <w:rPr>
                <w:spacing w:val="-7"/>
              </w:rPr>
              <w:t>30</w:t>
            </w:r>
          </w:p>
        </w:tc>
        <w:tc>
          <w:tcPr>
            <w:tcW w:w="1274" w:type="dxa"/>
            <w:vAlign w:val="top"/>
          </w:tcPr>
          <w:p w14:paraId="1F84DD60">
            <w:pPr>
              <w:pStyle w:val="7"/>
              <w:spacing w:before="144" w:line="218" w:lineRule="auto"/>
              <w:ind w:left="216"/>
            </w:pPr>
            <w:r>
              <w:rPr>
                <w:spacing w:val="-15"/>
              </w:rPr>
              <w:t>水准测量</w:t>
            </w:r>
          </w:p>
        </w:tc>
        <w:tc>
          <w:tcPr>
            <w:tcW w:w="845" w:type="dxa"/>
            <w:vMerge w:val="continue"/>
            <w:tcBorders>
              <w:top w:val="nil"/>
              <w:bottom w:val="nil"/>
              <w:right w:val="single" w:color="5B9BD5" w:sz="4" w:space="0"/>
            </w:tcBorders>
            <w:vAlign w:val="top"/>
          </w:tcPr>
          <w:p w14:paraId="27EBB51C">
            <w:pPr>
              <w:rPr>
                <w:rFonts w:ascii="Arial"/>
                <w:sz w:val="21"/>
              </w:rPr>
            </w:pPr>
          </w:p>
        </w:tc>
      </w:tr>
      <w:tr w14:paraId="707ADE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9" w:hRule="atLeast"/>
        </w:trPr>
        <w:tc>
          <w:tcPr>
            <w:tcW w:w="605" w:type="dxa"/>
            <w:tcBorders>
              <w:left w:val="single" w:color="000000" w:sz="4" w:space="0"/>
            </w:tcBorders>
            <w:vAlign w:val="top"/>
          </w:tcPr>
          <w:p w14:paraId="6C7D9573">
            <w:pPr>
              <w:pStyle w:val="7"/>
              <w:spacing w:before="174" w:line="238" w:lineRule="auto"/>
              <w:ind w:left="256"/>
            </w:pPr>
            <w:r>
              <w:t>4</w:t>
            </w:r>
          </w:p>
        </w:tc>
        <w:tc>
          <w:tcPr>
            <w:tcW w:w="1465" w:type="dxa"/>
            <w:vAlign w:val="top"/>
          </w:tcPr>
          <w:p w14:paraId="462C9E8A">
            <w:pPr>
              <w:pStyle w:val="7"/>
              <w:spacing w:before="173" w:line="218" w:lineRule="auto"/>
              <w:ind w:left="91"/>
            </w:pPr>
            <w:r>
              <w:rPr>
                <w:spacing w:val="-19"/>
              </w:rPr>
              <w:t>激光垂准仪器</w:t>
            </w:r>
          </w:p>
        </w:tc>
        <w:tc>
          <w:tcPr>
            <w:tcW w:w="1674" w:type="dxa"/>
            <w:vAlign w:val="top"/>
          </w:tcPr>
          <w:p w14:paraId="1B1E7852">
            <w:pPr>
              <w:pStyle w:val="7"/>
              <w:spacing w:before="218" w:line="178" w:lineRule="auto"/>
              <w:ind w:left="617"/>
            </w:pPr>
            <w:r>
              <w:rPr>
                <w:spacing w:val="-7"/>
              </w:rPr>
              <w:t>DZJ2</w:t>
            </w:r>
          </w:p>
        </w:tc>
        <w:tc>
          <w:tcPr>
            <w:tcW w:w="681" w:type="dxa"/>
            <w:vAlign w:val="top"/>
          </w:tcPr>
          <w:p w14:paraId="0860AE16">
            <w:pPr>
              <w:pStyle w:val="7"/>
              <w:spacing w:before="173" w:line="237" w:lineRule="auto"/>
              <w:ind w:left="296"/>
            </w:pPr>
            <w:r>
              <w:t>5</w:t>
            </w:r>
          </w:p>
        </w:tc>
        <w:tc>
          <w:tcPr>
            <w:tcW w:w="1117" w:type="dxa"/>
            <w:vAlign w:val="top"/>
          </w:tcPr>
          <w:p w14:paraId="58397B7F">
            <w:pPr>
              <w:pStyle w:val="7"/>
              <w:spacing w:before="173" w:line="218" w:lineRule="auto"/>
              <w:ind w:left="359"/>
            </w:pPr>
            <w:r>
              <w:rPr>
                <w:spacing w:val="-12"/>
              </w:rPr>
              <w:t>苏州</w:t>
            </w:r>
          </w:p>
        </w:tc>
        <w:tc>
          <w:tcPr>
            <w:tcW w:w="695" w:type="dxa"/>
            <w:vAlign w:val="top"/>
          </w:tcPr>
          <w:p w14:paraId="16E8143D">
            <w:pPr>
              <w:pStyle w:val="7"/>
              <w:spacing w:before="146" w:line="237" w:lineRule="auto"/>
              <w:ind w:left="186" w:leftChars="0"/>
            </w:pPr>
            <w:r>
              <w:rPr>
                <w:spacing w:val="-9"/>
              </w:rPr>
              <w:t>2022</w:t>
            </w:r>
          </w:p>
        </w:tc>
        <w:tc>
          <w:tcPr>
            <w:tcW w:w="909" w:type="dxa"/>
            <w:vAlign w:val="top"/>
          </w:tcPr>
          <w:p w14:paraId="4FCA504E">
            <w:pPr>
              <w:pStyle w:val="7"/>
              <w:spacing w:before="173" w:line="237" w:lineRule="auto"/>
              <w:ind w:left="357"/>
            </w:pPr>
            <w:r>
              <w:rPr>
                <w:spacing w:val="-7"/>
              </w:rPr>
              <w:t>50</w:t>
            </w:r>
          </w:p>
        </w:tc>
        <w:tc>
          <w:tcPr>
            <w:tcW w:w="1274" w:type="dxa"/>
            <w:vAlign w:val="top"/>
          </w:tcPr>
          <w:p w14:paraId="3A4FF142">
            <w:pPr>
              <w:pStyle w:val="7"/>
              <w:spacing w:before="173" w:line="218" w:lineRule="auto"/>
              <w:ind w:left="223"/>
            </w:pPr>
            <w:r>
              <w:rPr>
                <w:spacing w:val="-17"/>
              </w:rPr>
              <w:t>垂直引测</w:t>
            </w:r>
          </w:p>
        </w:tc>
        <w:tc>
          <w:tcPr>
            <w:tcW w:w="845" w:type="dxa"/>
            <w:vMerge w:val="continue"/>
            <w:tcBorders>
              <w:top w:val="nil"/>
              <w:bottom w:val="nil"/>
              <w:right w:val="single" w:color="5B9BD5" w:sz="4" w:space="0"/>
            </w:tcBorders>
            <w:vAlign w:val="top"/>
          </w:tcPr>
          <w:p w14:paraId="1575A566">
            <w:pPr>
              <w:rPr>
                <w:rFonts w:ascii="Arial"/>
                <w:sz w:val="21"/>
              </w:rPr>
            </w:pPr>
          </w:p>
        </w:tc>
      </w:tr>
      <w:tr w14:paraId="69DB28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6" w:hRule="atLeast"/>
        </w:trPr>
        <w:tc>
          <w:tcPr>
            <w:tcW w:w="605" w:type="dxa"/>
            <w:tcBorders>
              <w:left w:val="single" w:color="000000" w:sz="4" w:space="0"/>
            </w:tcBorders>
            <w:vAlign w:val="top"/>
          </w:tcPr>
          <w:p w14:paraId="533E38FF">
            <w:pPr>
              <w:pStyle w:val="7"/>
              <w:spacing w:before="147" w:line="237" w:lineRule="auto"/>
              <w:ind w:left="262"/>
            </w:pPr>
            <w:r>
              <w:t>5</w:t>
            </w:r>
          </w:p>
        </w:tc>
        <w:tc>
          <w:tcPr>
            <w:tcW w:w="1465" w:type="dxa"/>
            <w:vAlign w:val="top"/>
          </w:tcPr>
          <w:p w14:paraId="54E99FB9">
            <w:pPr>
              <w:pStyle w:val="7"/>
              <w:spacing w:before="147" w:line="216" w:lineRule="auto"/>
              <w:ind w:left="203"/>
            </w:pPr>
            <w:r>
              <w:rPr>
                <w:spacing w:val="-18"/>
              </w:rPr>
              <w:t>质量检测器</w:t>
            </w:r>
          </w:p>
        </w:tc>
        <w:tc>
          <w:tcPr>
            <w:tcW w:w="1674" w:type="dxa"/>
            <w:vAlign w:val="top"/>
          </w:tcPr>
          <w:p w14:paraId="5B418ED0">
            <w:pPr>
              <w:rPr>
                <w:rFonts w:ascii="Arial"/>
                <w:sz w:val="21"/>
              </w:rPr>
            </w:pPr>
          </w:p>
        </w:tc>
        <w:tc>
          <w:tcPr>
            <w:tcW w:w="681" w:type="dxa"/>
            <w:vAlign w:val="top"/>
          </w:tcPr>
          <w:p w14:paraId="29AA95DC">
            <w:pPr>
              <w:pStyle w:val="7"/>
              <w:spacing w:before="147" w:line="238" w:lineRule="auto"/>
              <w:ind w:left="294"/>
            </w:pPr>
            <w:r>
              <w:t>2</w:t>
            </w:r>
          </w:p>
        </w:tc>
        <w:tc>
          <w:tcPr>
            <w:tcW w:w="1117" w:type="dxa"/>
            <w:vAlign w:val="top"/>
          </w:tcPr>
          <w:p w14:paraId="41128730">
            <w:pPr>
              <w:pStyle w:val="7"/>
              <w:spacing w:before="147" w:line="218" w:lineRule="auto"/>
              <w:ind w:left="359"/>
            </w:pPr>
            <w:r>
              <w:rPr>
                <w:spacing w:val="-12"/>
              </w:rPr>
              <w:t>苏州</w:t>
            </w:r>
          </w:p>
        </w:tc>
        <w:tc>
          <w:tcPr>
            <w:tcW w:w="695" w:type="dxa"/>
            <w:vAlign w:val="top"/>
          </w:tcPr>
          <w:p w14:paraId="4F830645">
            <w:pPr>
              <w:pStyle w:val="7"/>
              <w:spacing w:before="145" w:line="237" w:lineRule="auto"/>
              <w:ind w:left="186" w:leftChars="0"/>
            </w:pPr>
            <w:r>
              <w:rPr>
                <w:spacing w:val="-9"/>
              </w:rPr>
              <w:t>202</w:t>
            </w:r>
            <w:r>
              <w:rPr>
                <w:rFonts w:hint="eastAsia"/>
                <w:spacing w:val="-9"/>
                <w:lang w:val="en-US" w:eastAsia="zh-CN"/>
              </w:rPr>
              <w:t>1</w:t>
            </w:r>
          </w:p>
        </w:tc>
        <w:tc>
          <w:tcPr>
            <w:tcW w:w="909" w:type="dxa"/>
            <w:vAlign w:val="top"/>
          </w:tcPr>
          <w:p w14:paraId="218F5E42">
            <w:pPr>
              <w:pStyle w:val="7"/>
              <w:spacing w:before="147" w:line="237" w:lineRule="auto"/>
              <w:ind w:left="355"/>
            </w:pPr>
            <w:r>
              <w:rPr>
                <w:spacing w:val="-6"/>
              </w:rPr>
              <w:t>20</w:t>
            </w:r>
          </w:p>
        </w:tc>
        <w:tc>
          <w:tcPr>
            <w:tcW w:w="1274" w:type="dxa"/>
            <w:vAlign w:val="top"/>
          </w:tcPr>
          <w:p w14:paraId="62CDBC79">
            <w:pPr>
              <w:pStyle w:val="7"/>
              <w:spacing w:before="147" w:line="216" w:lineRule="auto"/>
              <w:ind w:left="222"/>
            </w:pPr>
            <w:r>
              <w:rPr>
                <w:spacing w:val="-17"/>
              </w:rPr>
              <w:t>质量检测</w:t>
            </w:r>
          </w:p>
        </w:tc>
        <w:tc>
          <w:tcPr>
            <w:tcW w:w="845" w:type="dxa"/>
            <w:vMerge w:val="continue"/>
            <w:tcBorders>
              <w:top w:val="nil"/>
              <w:bottom w:val="nil"/>
              <w:right w:val="single" w:color="5B9BD5" w:sz="4" w:space="0"/>
            </w:tcBorders>
            <w:vAlign w:val="top"/>
          </w:tcPr>
          <w:p w14:paraId="4F8ED8C5">
            <w:pPr>
              <w:rPr>
                <w:rFonts w:ascii="Arial"/>
                <w:sz w:val="21"/>
              </w:rPr>
            </w:pPr>
          </w:p>
        </w:tc>
      </w:tr>
      <w:tr w14:paraId="606D20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6" w:hRule="atLeast"/>
        </w:trPr>
        <w:tc>
          <w:tcPr>
            <w:tcW w:w="605" w:type="dxa"/>
            <w:tcBorders>
              <w:left w:val="single" w:color="000000" w:sz="4" w:space="0"/>
            </w:tcBorders>
            <w:vAlign w:val="top"/>
          </w:tcPr>
          <w:p w14:paraId="4E1BFD0C">
            <w:pPr>
              <w:pStyle w:val="7"/>
              <w:spacing w:before="147" w:line="237" w:lineRule="auto"/>
              <w:ind w:left="259"/>
            </w:pPr>
            <w:r>
              <w:t>6</w:t>
            </w:r>
          </w:p>
        </w:tc>
        <w:tc>
          <w:tcPr>
            <w:tcW w:w="1465" w:type="dxa"/>
            <w:vAlign w:val="top"/>
          </w:tcPr>
          <w:p w14:paraId="162B0FE7">
            <w:pPr>
              <w:pStyle w:val="7"/>
              <w:spacing w:before="147" w:line="218" w:lineRule="auto"/>
              <w:ind w:left="304"/>
            </w:pPr>
            <w:r>
              <w:rPr>
                <w:spacing w:val="-15"/>
              </w:rPr>
              <w:t>水准标尺</w:t>
            </w:r>
          </w:p>
        </w:tc>
        <w:tc>
          <w:tcPr>
            <w:tcW w:w="1674" w:type="dxa"/>
            <w:vAlign w:val="top"/>
          </w:tcPr>
          <w:p w14:paraId="732AD03A">
            <w:pPr>
              <w:pStyle w:val="7"/>
              <w:spacing w:before="147" w:line="237" w:lineRule="auto"/>
              <w:ind w:left="734"/>
            </w:pPr>
            <w:r>
              <w:rPr>
                <w:spacing w:val="-7"/>
              </w:rPr>
              <w:t>5m</w:t>
            </w:r>
          </w:p>
        </w:tc>
        <w:tc>
          <w:tcPr>
            <w:tcW w:w="681" w:type="dxa"/>
            <w:vAlign w:val="top"/>
          </w:tcPr>
          <w:p w14:paraId="3348DE86">
            <w:pPr>
              <w:pStyle w:val="7"/>
              <w:spacing w:before="147" w:line="238" w:lineRule="auto"/>
              <w:ind w:left="294"/>
            </w:pPr>
            <w:r>
              <w:t>2</w:t>
            </w:r>
          </w:p>
        </w:tc>
        <w:tc>
          <w:tcPr>
            <w:tcW w:w="1117" w:type="dxa"/>
            <w:vAlign w:val="top"/>
          </w:tcPr>
          <w:p w14:paraId="2B561AB5">
            <w:pPr>
              <w:pStyle w:val="7"/>
              <w:spacing w:before="147" w:line="218" w:lineRule="auto"/>
              <w:ind w:left="359"/>
            </w:pPr>
            <w:r>
              <w:rPr>
                <w:spacing w:val="-12"/>
              </w:rPr>
              <w:t>苏州</w:t>
            </w:r>
          </w:p>
        </w:tc>
        <w:tc>
          <w:tcPr>
            <w:tcW w:w="695" w:type="dxa"/>
            <w:vAlign w:val="top"/>
          </w:tcPr>
          <w:p w14:paraId="3F538BE8">
            <w:pPr>
              <w:pStyle w:val="7"/>
              <w:spacing w:before="146" w:line="237" w:lineRule="auto"/>
              <w:ind w:left="186" w:leftChars="0"/>
            </w:pPr>
            <w:r>
              <w:rPr>
                <w:spacing w:val="-9"/>
              </w:rPr>
              <w:t>2022</w:t>
            </w:r>
          </w:p>
        </w:tc>
        <w:tc>
          <w:tcPr>
            <w:tcW w:w="909" w:type="dxa"/>
            <w:vAlign w:val="top"/>
          </w:tcPr>
          <w:p w14:paraId="02DD0688">
            <w:pPr>
              <w:pStyle w:val="7"/>
              <w:spacing w:before="147" w:line="237" w:lineRule="auto"/>
              <w:ind w:left="355"/>
            </w:pPr>
            <w:r>
              <w:rPr>
                <w:spacing w:val="-6"/>
              </w:rPr>
              <w:t>20</w:t>
            </w:r>
          </w:p>
        </w:tc>
        <w:tc>
          <w:tcPr>
            <w:tcW w:w="1274" w:type="dxa"/>
            <w:vAlign w:val="top"/>
          </w:tcPr>
          <w:p w14:paraId="566778BD">
            <w:pPr>
              <w:pStyle w:val="7"/>
              <w:spacing w:before="147" w:line="218" w:lineRule="auto"/>
              <w:ind w:left="216"/>
            </w:pPr>
            <w:r>
              <w:rPr>
                <w:spacing w:val="-15"/>
              </w:rPr>
              <w:t>水准测量</w:t>
            </w:r>
          </w:p>
        </w:tc>
        <w:tc>
          <w:tcPr>
            <w:tcW w:w="845" w:type="dxa"/>
            <w:vMerge w:val="continue"/>
            <w:tcBorders>
              <w:top w:val="nil"/>
              <w:bottom w:val="nil"/>
              <w:right w:val="single" w:color="5B9BD5" w:sz="4" w:space="0"/>
            </w:tcBorders>
            <w:vAlign w:val="top"/>
          </w:tcPr>
          <w:p w14:paraId="29C226E3">
            <w:pPr>
              <w:rPr>
                <w:rFonts w:ascii="Arial"/>
                <w:sz w:val="21"/>
              </w:rPr>
            </w:pPr>
          </w:p>
        </w:tc>
      </w:tr>
      <w:tr w14:paraId="4CCD0F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6" w:hRule="atLeast"/>
        </w:trPr>
        <w:tc>
          <w:tcPr>
            <w:tcW w:w="605" w:type="dxa"/>
            <w:tcBorders>
              <w:left w:val="single" w:color="000000" w:sz="4" w:space="0"/>
            </w:tcBorders>
            <w:vAlign w:val="top"/>
          </w:tcPr>
          <w:p w14:paraId="769B4F02">
            <w:pPr>
              <w:pStyle w:val="7"/>
              <w:spacing w:before="147" w:line="237" w:lineRule="auto"/>
              <w:ind w:left="263"/>
            </w:pPr>
            <w:r>
              <w:t>7</w:t>
            </w:r>
          </w:p>
        </w:tc>
        <w:tc>
          <w:tcPr>
            <w:tcW w:w="1465" w:type="dxa"/>
            <w:vAlign w:val="top"/>
          </w:tcPr>
          <w:p w14:paraId="11B2D03D">
            <w:pPr>
              <w:pStyle w:val="7"/>
              <w:spacing w:before="147" w:line="219" w:lineRule="auto"/>
              <w:ind w:left="412"/>
            </w:pPr>
            <w:r>
              <w:rPr>
                <w:spacing w:val="-13"/>
              </w:rPr>
              <w:t>钢卷尺</w:t>
            </w:r>
          </w:p>
        </w:tc>
        <w:tc>
          <w:tcPr>
            <w:tcW w:w="1674" w:type="dxa"/>
            <w:vAlign w:val="top"/>
          </w:tcPr>
          <w:p w14:paraId="49C3C1DC">
            <w:pPr>
              <w:pStyle w:val="7"/>
              <w:spacing w:before="147" w:line="237" w:lineRule="auto"/>
              <w:ind w:left="639"/>
            </w:pPr>
            <w:r>
              <w:rPr>
                <w:spacing w:val="-13"/>
              </w:rPr>
              <w:t>100m</w:t>
            </w:r>
          </w:p>
        </w:tc>
        <w:tc>
          <w:tcPr>
            <w:tcW w:w="681" w:type="dxa"/>
            <w:vAlign w:val="top"/>
          </w:tcPr>
          <w:p w14:paraId="5609191F">
            <w:pPr>
              <w:pStyle w:val="7"/>
              <w:spacing w:before="148" w:line="238" w:lineRule="auto"/>
              <w:ind w:left="294"/>
            </w:pPr>
            <w:r>
              <w:t>2</w:t>
            </w:r>
          </w:p>
        </w:tc>
        <w:tc>
          <w:tcPr>
            <w:tcW w:w="1117" w:type="dxa"/>
            <w:vAlign w:val="top"/>
          </w:tcPr>
          <w:p w14:paraId="7C4EA060">
            <w:pPr>
              <w:pStyle w:val="7"/>
              <w:spacing w:before="147" w:line="218" w:lineRule="auto"/>
              <w:ind w:left="359"/>
            </w:pPr>
            <w:r>
              <w:rPr>
                <w:spacing w:val="-12"/>
              </w:rPr>
              <w:t>北京</w:t>
            </w:r>
          </w:p>
        </w:tc>
        <w:tc>
          <w:tcPr>
            <w:tcW w:w="695" w:type="dxa"/>
            <w:vAlign w:val="top"/>
          </w:tcPr>
          <w:p w14:paraId="0393EB32">
            <w:pPr>
              <w:pStyle w:val="7"/>
              <w:spacing w:before="145" w:line="237" w:lineRule="auto"/>
              <w:ind w:left="186" w:leftChars="0"/>
            </w:pPr>
            <w:r>
              <w:rPr>
                <w:spacing w:val="-9"/>
              </w:rPr>
              <w:t>202</w:t>
            </w:r>
            <w:r>
              <w:rPr>
                <w:rFonts w:hint="eastAsia"/>
                <w:spacing w:val="-9"/>
                <w:lang w:val="en-US" w:eastAsia="zh-CN"/>
              </w:rPr>
              <w:t>1</w:t>
            </w:r>
          </w:p>
        </w:tc>
        <w:tc>
          <w:tcPr>
            <w:tcW w:w="909" w:type="dxa"/>
            <w:vAlign w:val="top"/>
          </w:tcPr>
          <w:p w14:paraId="4850B18F">
            <w:pPr>
              <w:pStyle w:val="7"/>
              <w:spacing w:before="147" w:line="237" w:lineRule="auto"/>
              <w:ind w:left="355"/>
            </w:pPr>
            <w:r>
              <w:rPr>
                <w:spacing w:val="-6"/>
              </w:rPr>
              <w:t>25</w:t>
            </w:r>
          </w:p>
        </w:tc>
        <w:tc>
          <w:tcPr>
            <w:tcW w:w="1274" w:type="dxa"/>
            <w:vAlign w:val="top"/>
          </w:tcPr>
          <w:p w14:paraId="6121E027">
            <w:pPr>
              <w:pStyle w:val="7"/>
              <w:spacing w:before="148" w:line="215" w:lineRule="auto"/>
              <w:ind w:left="216"/>
            </w:pPr>
            <w:r>
              <w:rPr>
                <w:spacing w:val="-15"/>
              </w:rPr>
              <w:t>施工放样</w:t>
            </w:r>
          </w:p>
        </w:tc>
        <w:tc>
          <w:tcPr>
            <w:tcW w:w="845" w:type="dxa"/>
            <w:vMerge w:val="continue"/>
            <w:tcBorders>
              <w:top w:val="nil"/>
              <w:bottom w:val="nil"/>
              <w:right w:val="single" w:color="5B9BD5" w:sz="4" w:space="0"/>
            </w:tcBorders>
            <w:vAlign w:val="top"/>
          </w:tcPr>
          <w:p w14:paraId="374A1CEA">
            <w:pPr>
              <w:rPr>
                <w:rFonts w:ascii="Arial"/>
                <w:sz w:val="21"/>
              </w:rPr>
            </w:pPr>
          </w:p>
        </w:tc>
      </w:tr>
      <w:tr w14:paraId="409668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5" w:hRule="atLeast"/>
        </w:trPr>
        <w:tc>
          <w:tcPr>
            <w:tcW w:w="605" w:type="dxa"/>
            <w:tcBorders>
              <w:left w:val="single" w:color="000000" w:sz="4" w:space="0"/>
            </w:tcBorders>
            <w:vAlign w:val="top"/>
          </w:tcPr>
          <w:p w14:paraId="0A26F2BC">
            <w:pPr>
              <w:pStyle w:val="7"/>
              <w:spacing w:before="145" w:line="237" w:lineRule="auto"/>
              <w:ind w:left="258"/>
            </w:pPr>
            <w:r>
              <w:t>8</w:t>
            </w:r>
          </w:p>
        </w:tc>
        <w:tc>
          <w:tcPr>
            <w:tcW w:w="1465" w:type="dxa"/>
            <w:vAlign w:val="top"/>
          </w:tcPr>
          <w:p w14:paraId="3AF49CF3">
            <w:pPr>
              <w:pStyle w:val="7"/>
              <w:spacing w:before="145" w:line="219" w:lineRule="auto"/>
              <w:ind w:left="412"/>
            </w:pPr>
            <w:r>
              <w:rPr>
                <w:spacing w:val="-13"/>
              </w:rPr>
              <w:t>钢卷尺</w:t>
            </w:r>
          </w:p>
        </w:tc>
        <w:tc>
          <w:tcPr>
            <w:tcW w:w="1674" w:type="dxa"/>
            <w:vAlign w:val="top"/>
          </w:tcPr>
          <w:p w14:paraId="380A4420">
            <w:pPr>
              <w:pStyle w:val="7"/>
              <w:spacing w:before="145" w:line="237" w:lineRule="auto"/>
              <w:ind w:left="734"/>
            </w:pPr>
            <w:r>
              <w:rPr>
                <w:spacing w:val="-7"/>
              </w:rPr>
              <w:t>5m</w:t>
            </w:r>
          </w:p>
        </w:tc>
        <w:tc>
          <w:tcPr>
            <w:tcW w:w="681" w:type="dxa"/>
            <w:vAlign w:val="top"/>
          </w:tcPr>
          <w:p w14:paraId="7DFD0644">
            <w:pPr>
              <w:pStyle w:val="7"/>
              <w:spacing w:before="145" w:line="237" w:lineRule="auto"/>
              <w:ind w:left="254"/>
            </w:pPr>
            <w:r>
              <w:rPr>
                <w:spacing w:val="-10"/>
              </w:rPr>
              <w:t>10</w:t>
            </w:r>
          </w:p>
        </w:tc>
        <w:tc>
          <w:tcPr>
            <w:tcW w:w="1117" w:type="dxa"/>
            <w:vAlign w:val="top"/>
          </w:tcPr>
          <w:p w14:paraId="5D75AA77">
            <w:pPr>
              <w:pStyle w:val="7"/>
              <w:spacing w:before="145" w:line="218" w:lineRule="auto"/>
              <w:ind w:left="359"/>
            </w:pPr>
            <w:r>
              <w:rPr>
                <w:spacing w:val="-12"/>
              </w:rPr>
              <w:t>北京</w:t>
            </w:r>
          </w:p>
        </w:tc>
        <w:tc>
          <w:tcPr>
            <w:tcW w:w="695" w:type="dxa"/>
            <w:vAlign w:val="top"/>
          </w:tcPr>
          <w:p w14:paraId="02F9C8B3">
            <w:pPr>
              <w:pStyle w:val="7"/>
              <w:spacing w:before="146" w:line="237" w:lineRule="auto"/>
              <w:ind w:left="186" w:leftChars="0"/>
            </w:pPr>
            <w:r>
              <w:rPr>
                <w:spacing w:val="-9"/>
              </w:rPr>
              <w:t>2022</w:t>
            </w:r>
          </w:p>
        </w:tc>
        <w:tc>
          <w:tcPr>
            <w:tcW w:w="909" w:type="dxa"/>
            <w:vAlign w:val="top"/>
          </w:tcPr>
          <w:p w14:paraId="52632303">
            <w:pPr>
              <w:pStyle w:val="7"/>
              <w:spacing w:before="145" w:line="238" w:lineRule="auto"/>
              <w:ind w:left="355"/>
            </w:pPr>
            <w:r>
              <w:rPr>
                <w:spacing w:val="-6"/>
              </w:rPr>
              <w:t>21</w:t>
            </w:r>
          </w:p>
        </w:tc>
        <w:tc>
          <w:tcPr>
            <w:tcW w:w="1274" w:type="dxa"/>
            <w:vAlign w:val="top"/>
          </w:tcPr>
          <w:p w14:paraId="31D431A5">
            <w:pPr>
              <w:pStyle w:val="7"/>
              <w:spacing w:before="145" w:line="215" w:lineRule="auto"/>
              <w:ind w:left="216"/>
            </w:pPr>
            <w:r>
              <w:rPr>
                <w:spacing w:val="-15"/>
              </w:rPr>
              <w:t>施工放样</w:t>
            </w:r>
          </w:p>
        </w:tc>
        <w:tc>
          <w:tcPr>
            <w:tcW w:w="845" w:type="dxa"/>
            <w:vMerge w:val="continue"/>
            <w:tcBorders>
              <w:top w:val="nil"/>
              <w:bottom w:val="nil"/>
              <w:right w:val="single" w:color="5B9BD5" w:sz="4" w:space="0"/>
            </w:tcBorders>
            <w:vAlign w:val="top"/>
          </w:tcPr>
          <w:p w14:paraId="2075B478">
            <w:pPr>
              <w:rPr>
                <w:rFonts w:ascii="Arial"/>
                <w:sz w:val="21"/>
              </w:rPr>
            </w:pPr>
          </w:p>
        </w:tc>
      </w:tr>
      <w:tr w14:paraId="72B7CA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4" w:hRule="atLeast"/>
        </w:trPr>
        <w:tc>
          <w:tcPr>
            <w:tcW w:w="605" w:type="dxa"/>
            <w:tcBorders>
              <w:left w:val="single" w:color="000000" w:sz="4" w:space="0"/>
            </w:tcBorders>
            <w:vAlign w:val="top"/>
          </w:tcPr>
          <w:p w14:paraId="6FD402A9">
            <w:pPr>
              <w:pStyle w:val="7"/>
              <w:spacing w:before="147" w:line="237" w:lineRule="auto"/>
              <w:ind w:left="258"/>
            </w:pPr>
            <w:r>
              <w:t>9</w:t>
            </w:r>
          </w:p>
        </w:tc>
        <w:tc>
          <w:tcPr>
            <w:tcW w:w="1465" w:type="dxa"/>
            <w:vAlign w:val="top"/>
          </w:tcPr>
          <w:p w14:paraId="2BA2E1FA">
            <w:pPr>
              <w:pStyle w:val="7"/>
              <w:spacing w:before="147" w:line="218" w:lineRule="auto"/>
              <w:ind w:left="308"/>
            </w:pPr>
            <w:r>
              <w:rPr>
                <w:spacing w:val="-16"/>
              </w:rPr>
              <w:t>游标卡尺</w:t>
            </w:r>
          </w:p>
        </w:tc>
        <w:tc>
          <w:tcPr>
            <w:tcW w:w="1674" w:type="dxa"/>
            <w:vAlign w:val="top"/>
          </w:tcPr>
          <w:p w14:paraId="05CAAD85">
            <w:pPr>
              <w:pStyle w:val="7"/>
              <w:spacing w:before="147" w:line="237" w:lineRule="auto"/>
              <w:ind w:left="639"/>
            </w:pPr>
            <w:r>
              <w:rPr>
                <w:spacing w:val="-13"/>
              </w:rPr>
              <w:t>125m</w:t>
            </w:r>
          </w:p>
        </w:tc>
        <w:tc>
          <w:tcPr>
            <w:tcW w:w="681" w:type="dxa"/>
            <w:vAlign w:val="top"/>
          </w:tcPr>
          <w:p w14:paraId="78D659D4">
            <w:pPr>
              <w:pStyle w:val="7"/>
              <w:spacing w:before="147" w:line="237" w:lineRule="auto"/>
              <w:ind w:left="296"/>
            </w:pPr>
            <w:r>
              <w:t>5</w:t>
            </w:r>
          </w:p>
        </w:tc>
        <w:tc>
          <w:tcPr>
            <w:tcW w:w="1117" w:type="dxa"/>
            <w:vAlign w:val="top"/>
          </w:tcPr>
          <w:p w14:paraId="339B297C">
            <w:pPr>
              <w:pStyle w:val="7"/>
              <w:spacing w:before="147" w:line="218" w:lineRule="auto"/>
              <w:ind w:left="359"/>
            </w:pPr>
            <w:r>
              <w:rPr>
                <w:spacing w:val="-12"/>
              </w:rPr>
              <w:t>北京</w:t>
            </w:r>
          </w:p>
        </w:tc>
        <w:tc>
          <w:tcPr>
            <w:tcW w:w="695" w:type="dxa"/>
            <w:vAlign w:val="top"/>
          </w:tcPr>
          <w:p w14:paraId="3177FFA9">
            <w:pPr>
              <w:pStyle w:val="7"/>
              <w:spacing w:before="145" w:line="237" w:lineRule="auto"/>
              <w:ind w:left="186" w:leftChars="0"/>
            </w:pPr>
            <w:r>
              <w:rPr>
                <w:spacing w:val="-9"/>
              </w:rPr>
              <w:t>202</w:t>
            </w:r>
            <w:r>
              <w:rPr>
                <w:rFonts w:hint="eastAsia"/>
                <w:spacing w:val="-9"/>
                <w:lang w:val="en-US" w:eastAsia="zh-CN"/>
              </w:rPr>
              <w:t>1</w:t>
            </w:r>
          </w:p>
        </w:tc>
        <w:tc>
          <w:tcPr>
            <w:tcW w:w="909" w:type="dxa"/>
            <w:vAlign w:val="top"/>
          </w:tcPr>
          <w:p w14:paraId="68633B90">
            <w:pPr>
              <w:pStyle w:val="7"/>
              <w:spacing w:before="147" w:line="237" w:lineRule="auto"/>
              <w:ind w:left="355"/>
            </w:pPr>
            <w:r>
              <w:rPr>
                <w:spacing w:val="-6"/>
              </w:rPr>
              <w:t>26</w:t>
            </w:r>
          </w:p>
        </w:tc>
        <w:tc>
          <w:tcPr>
            <w:tcW w:w="1274" w:type="dxa"/>
            <w:vAlign w:val="top"/>
          </w:tcPr>
          <w:p w14:paraId="6207DEA8">
            <w:pPr>
              <w:pStyle w:val="7"/>
              <w:spacing w:before="147" w:line="216" w:lineRule="auto"/>
              <w:ind w:left="222"/>
            </w:pPr>
            <w:r>
              <w:rPr>
                <w:spacing w:val="-17"/>
              </w:rPr>
              <w:t>质量检测</w:t>
            </w:r>
          </w:p>
        </w:tc>
        <w:tc>
          <w:tcPr>
            <w:tcW w:w="845" w:type="dxa"/>
            <w:vMerge w:val="continue"/>
            <w:tcBorders>
              <w:top w:val="nil"/>
              <w:bottom w:val="nil"/>
              <w:right w:val="single" w:color="5B9BD5" w:sz="4" w:space="0"/>
            </w:tcBorders>
            <w:vAlign w:val="top"/>
          </w:tcPr>
          <w:p w14:paraId="664A72B0">
            <w:pPr>
              <w:rPr>
                <w:rFonts w:ascii="Arial"/>
                <w:sz w:val="21"/>
              </w:rPr>
            </w:pPr>
          </w:p>
        </w:tc>
      </w:tr>
      <w:tr w14:paraId="3704A7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6" w:hRule="atLeast"/>
        </w:trPr>
        <w:tc>
          <w:tcPr>
            <w:tcW w:w="605" w:type="dxa"/>
            <w:tcBorders>
              <w:left w:val="single" w:color="000000" w:sz="4" w:space="0"/>
            </w:tcBorders>
            <w:vAlign w:val="top"/>
          </w:tcPr>
          <w:p w14:paraId="113A67A0">
            <w:pPr>
              <w:pStyle w:val="7"/>
              <w:spacing w:before="149" w:line="237" w:lineRule="auto"/>
              <w:ind w:left="220"/>
            </w:pPr>
            <w:r>
              <w:rPr>
                <w:spacing w:val="-10"/>
              </w:rPr>
              <w:t>10</w:t>
            </w:r>
          </w:p>
        </w:tc>
        <w:tc>
          <w:tcPr>
            <w:tcW w:w="1465" w:type="dxa"/>
            <w:vAlign w:val="top"/>
          </w:tcPr>
          <w:p w14:paraId="63C066B3">
            <w:pPr>
              <w:pStyle w:val="7"/>
              <w:spacing w:before="148" w:line="217" w:lineRule="auto"/>
              <w:ind w:left="546"/>
            </w:pPr>
            <w:r>
              <w:rPr>
                <w:spacing w:val="-15"/>
              </w:rPr>
              <w:t>台秤</w:t>
            </w:r>
          </w:p>
        </w:tc>
        <w:tc>
          <w:tcPr>
            <w:tcW w:w="1674" w:type="dxa"/>
            <w:vAlign w:val="top"/>
          </w:tcPr>
          <w:p w14:paraId="22E05A42">
            <w:pPr>
              <w:pStyle w:val="7"/>
              <w:spacing w:before="149" w:line="237" w:lineRule="auto"/>
              <w:ind w:left="462"/>
            </w:pPr>
            <w:r>
              <w:rPr>
                <w:spacing w:val="-10"/>
              </w:rPr>
              <w:t>JGJ-500</w:t>
            </w:r>
          </w:p>
        </w:tc>
        <w:tc>
          <w:tcPr>
            <w:tcW w:w="681" w:type="dxa"/>
            <w:vAlign w:val="top"/>
          </w:tcPr>
          <w:p w14:paraId="735DB4A0">
            <w:pPr>
              <w:pStyle w:val="7"/>
              <w:spacing w:before="149" w:line="237" w:lineRule="auto"/>
              <w:ind w:left="254"/>
            </w:pPr>
            <w:r>
              <w:rPr>
                <w:spacing w:val="-10"/>
              </w:rPr>
              <w:t>10</w:t>
            </w:r>
          </w:p>
        </w:tc>
        <w:tc>
          <w:tcPr>
            <w:tcW w:w="1117" w:type="dxa"/>
            <w:vAlign w:val="top"/>
          </w:tcPr>
          <w:p w14:paraId="6045A2FC">
            <w:pPr>
              <w:pStyle w:val="7"/>
              <w:spacing w:before="148" w:line="217" w:lineRule="auto"/>
              <w:ind w:left="375"/>
            </w:pPr>
            <w:r>
              <w:rPr>
                <w:spacing w:val="-15"/>
              </w:rPr>
              <w:t>台州</w:t>
            </w:r>
          </w:p>
        </w:tc>
        <w:tc>
          <w:tcPr>
            <w:tcW w:w="695" w:type="dxa"/>
            <w:vAlign w:val="top"/>
          </w:tcPr>
          <w:p w14:paraId="537F7A76">
            <w:pPr>
              <w:pStyle w:val="7"/>
              <w:spacing w:before="146" w:line="237" w:lineRule="auto"/>
              <w:ind w:left="186" w:leftChars="0"/>
            </w:pPr>
            <w:r>
              <w:rPr>
                <w:spacing w:val="-9"/>
              </w:rPr>
              <w:t>2022</w:t>
            </w:r>
          </w:p>
        </w:tc>
        <w:tc>
          <w:tcPr>
            <w:tcW w:w="909" w:type="dxa"/>
            <w:vAlign w:val="top"/>
          </w:tcPr>
          <w:p w14:paraId="26F8D97E">
            <w:pPr>
              <w:pStyle w:val="7"/>
              <w:spacing w:before="149" w:line="238" w:lineRule="auto"/>
              <w:ind w:left="355"/>
            </w:pPr>
            <w:r>
              <w:rPr>
                <w:spacing w:val="-6"/>
              </w:rPr>
              <w:t>22</w:t>
            </w:r>
          </w:p>
        </w:tc>
        <w:tc>
          <w:tcPr>
            <w:tcW w:w="1274" w:type="dxa"/>
            <w:vAlign w:val="top"/>
          </w:tcPr>
          <w:p w14:paraId="410C7AB6">
            <w:pPr>
              <w:pStyle w:val="7"/>
              <w:spacing w:before="148" w:line="217" w:lineRule="auto"/>
              <w:ind w:left="435"/>
            </w:pPr>
            <w:r>
              <w:rPr>
                <w:spacing w:val="-10"/>
              </w:rPr>
              <w:t>称重</w:t>
            </w:r>
          </w:p>
        </w:tc>
        <w:tc>
          <w:tcPr>
            <w:tcW w:w="845" w:type="dxa"/>
            <w:vMerge w:val="continue"/>
            <w:tcBorders>
              <w:top w:val="nil"/>
              <w:bottom w:val="nil"/>
              <w:right w:val="single" w:color="5B9BD5" w:sz="4" w:space="0"/>
            </w:tcBorders>
            <w:vAlign w:val="top"/>
          </w:tcPr>
          <w:p w14:paraId="425A159A">
            <w:pPr>
              <w:rPr>
                <w:rFonts w:ascii="Arial"/>
                <w:sz w:val="21"/>
              </w:rPr>
            </w:pPr>
          </w:p>
        </w:tc>
      </w:tr>
      <w:tr w14:paraId="3AA544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6" w:hRule="atLeast"/>
        </w:trPr>
        <w:tc>
          <w:tcPr>
            <w:tcW w:w="605" w:type="dxa"/>
            <w:tcBorders>
              <w:left w:val="single" w:color="000000" w:sz="4" w:space="0"/>
            </w:tcBorders>
            <w:vAlign w:val="top"/>
          </w:tcPr>
          <w:p w14:paraId="7981E501">
            <w:pPr>
              <w:pStyle w:val="7"/>
              <w:spacing w:before="149" w:line="238" w:lineRule="auto"/>
              <w:ind w:left="220"/>
            </w:pPr>
            <w:r>
              <w:rPr>
                <w:spacing w:val="-10"/>
              </w:rPr>
              <w:t>11</w:t>
            </w:r>
          </w:p>
        </w:tc>
        <w:tc>
          <w:tcPr>
            <w:tcW w:w="1465" w:type="dxa"/>
            <w:vAlign w:val="top"/>
          </w:tcPr>
          <w:p w14:paraId="49CAB94A">
            <w:pPr>
              <w:pStyle w:val="7"/>
              <w:spacing w:before="149" w:line="219" w:lineRule="auto"/>
              <w:ind w:left="412"/>
            </w:pPr>
            <w:r>
              <w:rPr>
                <w:spacing w:val="-13"/>
              </w:rPr>
              <w:t>水平尺</w:t>
            </w:r>
          </w:p>
        </w:tc>
        <w:tc>
          <w:tcPr>
            <w:tcW w:w="1674" w:type="dxa"/>
            <w:vAlign w:val="top"/>
          </w:tcPr>
          <w:p w14:paraId="10734B5D">
            <w:pPr>
              <w:pStyle w:val="7"/>
              <w:spacing w:before="149" w:line="237" w:lineRule="auto"/>
              <w:ind w:left="571"/>
            </w:pPr>
            <w:r>
              <w:rPr>
                <w:spacing w:val="-10"/>
              </w:rPr>
              <w:t>500mm</w:t>
            </w:r>
          </w:p>
        </w:tc>
        <w:tc>
          <w:tcPr>
            <w:tcW w:w="681" w:type="dxa"/>
            <w:vAlign w:val="top"/>
          </w:tcPr>
          <w:p w14:paraId="40F3C7EE">
            <w:pPr>
              <w:pStyle w:val="7"/>
              <w:spacing w:before="149" w:line="237" w:lineRule="auto"/>
              <w:ind w:left="254"/>
            </w:pPr>
            <w:r>
              <w:rPr>
                <w:spacing w:val="-10"/>
              </w:rPr>
              <w:t>15</w:t>
            </w:r>
          </w:p>
        </w:tc>
        <w:tc>
          <w:tcPr>
            <w:tcW w:w="1117" w:type="dxa"/>
            <w:vAlign w:val="top"/>
          </w:tcPr>
          <w:p w14:paraId="15F7408C">
            <w:pPr>
              <w:pStyle w:val="7"/>
              <w:spacing w:before="149" w:line="218" w:lineRule="auto"/>
              <w:ind w:left="355"/>
            </w:pPr>
            <w:r>
              <w:rPr>
                <w:spacing w:val="-11"/>
              </w:rPr>
              <w:t>安徽</w:t>
            </w:r>
          </w:p>
        </w:tc>
        <w:tc>
          <w:tcPr>
            <w:tcW w:w="695" w:type="dxa"/>
            <w:vAlign w:val="top"/>
          </w:tcPr>
          <w:p w14:paraId="223BF2B2">
            <w:pPr>
              <w:pStyle w:val="7"/>
              <w:spacing w:before="145" w:line="237" w:lineRule="auto"/>
              <w:ind w:left="186" w:leftChars="0"/>
            </w:pPr>
            <w:r>
              <w:rPr>
                <w:spacing w:val="-9"/>
              </w:rPr>
              <w:t>202</w:t>
            </w:r>
            <w:r>
              <w:rPr>
                <w:rFonts w:hint="eastAsia"/>
                <w:spacing w:val="-9"/>
                <w:lang w:val="en-US" w:eastAsia="zh-CN"/>
              </w:rPr>
              <w:t>1</w:t>
            </w:r>
          </w:p>
        </w:tc>
        <w:tc>
          <w:tcPr>
            <w:tcW w:w="909" w:type="dxa"/>
            <w:vAlign w:val="top"/>
          </w:tcPr>
          <w:p w14:paraId="7995350D">
            <w:pPr>
              <w:pStyle w:val="7"/>
              <w:spacing w:before="149" w:line="237" w:lineRule="auto"/>
              <w:ind w:left="355"/>
            </w:pPr>
            <w:r>
              <w:rPr>
                <w:spacing w:val="-6"/>
              </w:rPr>
              <w:t>25</w:t>
            </w:r>
          </w:p>
        </w:tc>
        <w:tc>
          <w:tcPr>
            <w:tcW w:w="1274" w:type="dxa"/>
            <w:vAlign w:val="top"/>
          </w:tcPr>
          <w:p w14:paraId="774CBECC">
            <w:pPr>
              <w:pStyle w:val="7"/>
              <w:spacing w:before="149" w:line="219" w:lineRule="auto"/>
              <w:ind w:left="216"/>
            </w:pPr>
            <w:r>
              <w:rPr>
                <w:spacing w:val="-15"/>
              </w:rPr>
              <w:t>水平测量</w:t>
            </w:r>
          </w:p>
        </w:tc>
        <w:tc>
          <w:tcPr>
            <w:tcW w:w="845" w:type="dxa"/>
            <w:vMerge w:val="continue"/>
            <w:tcBorders>
              <w:top w:val="nil"/>
              <w:bottom w:val="nil"/>
              <w:right w:val="single" w:color="5B9BD5" w:sz="4" w:space="0"/>
            </w:tcBorders>
            <w:vAlign w:val="top"/>
          </w:tcPr>
          <w:p w14:paraId="5D8931E9">
            <w:pPr>
              <w:rPr>
                <w:rFonts w:ascii="Arial"/>
                <w:sz w:val="21"/>
              </w:rPr>
            </w:pPr>
          </w:p>
        </w:tc>
      </w:tr>
      <w:tr w14:paraId="01DC22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52" w:hRule="atLeast"/>
        </w:trPr>
        <w:tc>
          <w:tcPr>
            <w:tcW w:w="605" w:type="dxa"/>
            <w:tcBorders>
              <w:left w:val="single" w:color="000000" w:sz="4" w:space="0"/>
            </w:tcBorders>
            <w:vAlign w:val="top"/>
          </w:tcPr>
          <w:p w14:paraId="2C49BF2C">
            <w:pPr>
              <w:spacing w:line="253" w:lineRule="auto"/>
              <w:rPr>
                <w:rFonts w:ascii="Arial"/>
                <w:sz w:val="21"/>
              </w:rPr>
            </w:pPr>
          </w:p>
          <w:p w14:paraId="5DF25938">
            <w:pPr>
              <w:pStyle w:val="7"/>
              <w:spacing w:before="78" w:line="238" w:lineRule="auto"/>
              <w:ind w:left="220"/>
            </w:pPr>
            <w:r>
              <w:rPr>
                <w:spacing w:val="-10"/>
              </w:rPr>
              <w:t>12</w:t>
            </w:r>
          </w:p>
        </w:tc>
        <w:tc>
          <w:tcPr>
            <w:tcW w:w="1465" w:type="dxa"/>
            <w:vAlign w:val="top"/>
          </w:tcPr>
          <w:p w14:paraId="0D235DF7">
            <w:pPr>
              <w:spacing w:line="252" w:lineRule="auto"/>
              <w:rPr>
                <w:rFonts w:ascii="Arial"/>
                <w:sz w:val="21"/>
              </w:rPr>
            </w:pPr>
          </w:p>
          <w:p w14:paraId="64B59817">
            <w:pPr>
              <w:pStyle w:val="7"/>
              <w:spacing w:before="78" w:line="218" w:lineRule="auto"/>
              <w:ind w:left="307"/>
            </w:pPr>
            <w:r>
              <w:rPr>
                <w:spacing w:val="-16"/>
              </w:rPr>
              <w:t>坍落度筒</w:t>
            </w:r>
          </w:p>
        </w:tc>
        <w:tc>
          <w:tcPr>
            <w:tcW w:w="1674" w:type="dxa"/>
            <w:vAlign w:val="top"/>
          </w:tcPr>
          <w:p w14:paraId="7AF8A39B">
            <w:pPr>
              <w:rPr>
                <w:rFonts w:ascii="Arial"/>
                <w:sz w:val="21"/>
              </w:rPr>
            </w:pPr>
          </w:p>
        </w:tc>
        <w:tc>
          <w:tcPr>
            <w:tcW w:w="681" w:type="dxa"/>
            <w:vAlign w:val="top"/>
          </w:tcPr>
          <w:p w14:paraId="72FFF19B">
            <w:pPr>
              <w:spacing w:line="252" w:lineRule="auto"/>
              <w:rPr>
                <w:rFonts w:ascii="Arial"/>
                <w:sz w:val="21"/>
              </w:rPr>
            </w:pPr>
          </w:p>
          <w:p w14:paraId="46F74BA0">
            <w:pPr>
              <w:pStyle w:val="7"/>
              <w:spacing w:before="78" w:line="237" w:lineRule="auto"/>
              <w:ind w:left="296"/>
            </w:pPr>
            <w:r>
              <w:t>5</w:t>
            </w:r>
          </w:p>
        </w:tc>
        <w:tc>
          <w:tcPr>
            <w:tcW w:w="1117" w:type="dxa"/>
            <w:vAlign w:val="top"/>
          </w:tcPr>
          <w:p w14:paraId="37450EDB">
            <w:pPr>
              <w:spacing w:line="252" w:lineRule="auto"/>
              <w:rPr>
                <w:rFonts w:ascii="Arial"/>
                <w:sz w:val="21"/>
              </w:rPr>
            </w:pPr>
          </w:p>
          <w:p w14:paraId="5A9AA8B7">
            <w:pPr>
              <w:pStyle w:val="7"/>
              <w:spacing w:before="78" w:line="218" w:lineRule="auto"/>
              <w:ind w:left="355"/>
            </w:pPr>
            <w:r>
              <w:rPr>
                <w:spacing w:val="-11"/>
              </w:rPr>
              <w:t>安徽</w:t>
            </w:r>
          </w:p>
        </w:tc>
        <w:tc>
          <w:tcPr>
            <w:tcW w:w="695" w:type="dxa"/>
            <w:vAlign w:val="top"/>
          </w:tcPr>
          <w:p w14:paraId="47606372">
            <w:pPr>
              <w:pStyle w:val="7"/>
              <w:spacing w:before="146" w:line="237" w:lineRule="auto"/>
              <w:ind w:left="186" w:leftChars="0"/>
            </w:pPr>
            <w:r>
              <w:rPr>
                <w:spacing w:val="-9"/>
              </w:rPr>
              <w:t>2022</w:t>
            </w:r>
          </w:p>
        </w:tc>
        <w:tc>
          <w:tcPr>
            <w:tcW w:w="909" w:type="dxa"/>
            <w:vAlign w:val="top"/>
          </w:tcPr>
          <w:p w14:paraId="686787E5">
            <w:pPr>
              <w:spacing w:line="253" w:lineRule="auto"/>
              <w:rPr>
                <w:rFonts w:ascii="Arial"/>
                <w:sz w:val="21"/>
              </w:rPr>
            </w:pPr>
          </w:p>
          <w:p w14:paraId="2512E6F6">
            <w:pPr>
              <w:pStyle w:val="7"/>
              <w:spacing w:before="78" w:line="238" w:lineRule="auto"/>
              <w:ind w:left="355"/>
            </w:pPr>
            <w:r>
              <w:rPr>
                <w:spacing w:val="-6"/>
              </w:rPr>
              <w:t>24</w:t>
            </w:r>
          </w:p>
        </w:tc>
        <w:tc>
          <w:tcPr>
            <w:tcW w:w="1274" w:type="dxa"/>
            <w:vAlign w:val="top"/>
          </w:tcPr>
          <w:p w14:paraId="611CCE25">
            <w:pPr>
              <w:pStyle w:val="7"/>
              <w:spacing w:before="99" w:line="216" w:lineRule="auto"/>
              <w:ind w:left="220"/>
            </w:pPr>
            <w:r>
              <w:rPr>
                <w:spacing w:val="-16"/>
              </w:rPr>
              <w:t>混凝土检</w:t>
            </w:r>
          </w:p>
          <w:p w14:paraId="5C475A03">
            <w:pPr>
              <w:pStyle w:val="7"/>
              <w:spacing w:before="184" w:line="225" w:lineRule="auto"/>
              <w:ind w:left="545"/>
            </w:pPr>
            <w:r>
              <w:t>查</w:t>
            </w:r>
          </w:p>
        </w:tc>
        <w:tc>
          <w:tcPr>
            <w:tcW w:w="845" w:type="dxa"/>
            <w:vMerge w:val="continue"/>
            <w:tcBorders>
              <w:top w:val="nil"/>
              <w:bottom w:val="nil"/>
              <w:right w:val="single" w:color="5B9BD5" w:sz="4" w:space="0"/>
            </w:tcBorders>
            <w:vAlign w:val="top"/>
          </w:tcPr>
          <w:p w14:paraId="17F77464">
            <w:pPr>
              <w:rPr>
                <w:rFonts w:ascii="Arial"/>
                <w:sz w:val="21"/>
              </w:rPr>
            </w:pPr>
          </w:p>
        </w:tc>
      </w:tr>
      <w:tr w14:paraId="09EE04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51" w:hRule="atLeast"/>
        </w:trPr>
        <w:tc>
          <w:tcPr>
            <w:tcW w:w="605" w:type="dxa"/>
            <w:tcBorders>
              <w:left w:val="single" w:color="000000" w:sz="4" w:space="0"/>
            </w:tcBorders>
            <w:vAlign w:val="top"/>
          </w:tcPr>
          <w:p w14:paraId="1EC8FD3B">
            <w:pPr>
              <w:spacing w:line="253" w:lineRule="auto"/>
              <w:rPr>
                <w:rFonts w:ascii="Arial"/>
                <w:sz w:val="21"/>
              </w:rPr>
            </w:pPr>
          </w:p>
          <w:p w14:paraId="45980B7C">
            <w:pPr>
              <w:pStyle w:val="7"/>
              <w:spacing w:before="78" w:line="237" w:lineRule="auto"/>
              <w:ind w:left="220"/>
            </w:pPr>
            <w:r>
              <w:rPr>
                <w:spacing w:val="-10"/>
              </w:rPr>
              <w:t>13</w:t>
            </w:r>
          </w:p>
        </w:tc>
        <w:tc>
          <w:tcPr>
            <w:tcW w:w="1465" w:type="dxa"/>
            <w:vAlign w:val="top"/>
          </w:tcPr>
          <w:p w14:paraId="7BAD322A">
            <w:pPr>
              <w:pStyle w:val="7"/>
              <w:spacing w:before="101" w:line="217" w:lineRule="auto"/>
              <w:ind w:left="203"/>
            </w:pPr>
            <w:r>
              <w:rPr>
                <w:spacing w:val="-18"/>
              </w:rPr>
              <w:t>互感器校验</w:t>
            </w:r>
          </w:p>
          <w:p w14:paraId="7DFA8FAA">
            <w:pPr>
              <w:pStyle w:val="7"/>
              <w:spacing w:before="183" w:line="218" w:lineRule="auto"/>
              <w:ind w:left="633"/>
            </w:pPr>
            <w:r>
              <w:t>仪</w:t>
            </w:r>
          </w:p>
        </w:tc>
        <w:tc>
          <w:tcPr>
            <w:tcW w:w="1674" w:type="dxa"/>
            <w:vAlign w:val="top"/>
          </w:tcPr>
          <w:p w14:paraId="337887AF">
            <w:pPr>
              <w:spacing w:line="297" w:lineRule="auto"/>
              <w:rPr>
                <w:rFonts w:ascii="Arial"/>
                <w:sz w:val="21"/>
              </w:rPr>
            </w:pPr>
          </w:p>
          <w:p w14:paraId="4331A564">
            <w:pPr>
              <w:pStyle w:val="7"/>
              <w:spacing w:before="78" w:line="179" w:lineRule="auto"/>
              <w:ind w:left="616"/>
            </w:pPr>
            <w:r>
              <w:rPr>
                <w:spacing w:val="-7"/>
              </w:rPr>
              <w:t>HE11</w:t>
            </w:r>
          </w:p>
        </w:tc>
        <w:tc>
          <w:tcPr>
            <w:tcW w:w="681" w:type="dxa"/>
            <w:vAlign w:val="top"/>
          </w:tcPr>
          <w:p w14:paraId="5CD11A0A">
            <w:pPr>
              <w:spacing w:line="253" w:lineRule="auto"/>
              <w:rPr>
                <w:rFonts w:ascii="Arial"/>
                <w:sz w:val="21"/>
              </w:rPr>
            </w:pPr>
          </w:p>
          <w:p w14:paraId="4FFD9375">
            <w:pPr>
              <w:pStyle w:val="7"/>
              <w:spacing w:before="78" w:line="237" w:lineRule="auto"/>
              <w:ind w:left="296"/>
            </w:pPr>
            <w:r>
              <w:t>5</w:t>
            </w:r>
          </w:p>
        </w:tc>
        <w:tc>
          <w:tcPr>
            <w:tcW w:w="1117" w:type="dxa"/>
            <w:vAlign w:val="top"/>
          </w:tcPr>
          <w:p w14:paraId="7C51E06E">
            <w:pPr>
              <w:spacing w:line="254" w:lineRule="auto"/>
              <w:rPr>
                <w:rFonts w:ascii="Arial"/>
                <w:sz w:val="21"/>
              </w:rPr>
            </w:pPr>
          </w:p>
          <w:p w14:paraId="65B3B256">
            <w:pPr>
              <w:pStyle w:val="7"/>
              <w:spacing w:before="78" w:line="220" w:lineRule="auto"/>
              <w:ind w:left="354"/>
            </w:pPr>
            <w:r>
              <w:rPr>
                <w:spacing w:val="-10"/>
              </w:rPr>
              <w:t>上海</w:t>
            </w:r>
          </w:p>
        </w:tc>
        <w:tc>
          <w:tcPr>
            <w:tcW w:w="695" w:type="dxa"/>
            <w:vAlign w:val="top"/>
          </w:tcPr>
          <w:p w14:paraId="33855C54">
            <w:pPr>
              <w:pStyle w:val="7"/>
              <w:spacing w:before="145" w:line="237" w:lineRule="auto"/>
              <w:ind w:left="186" w:leftChars="0"/>
            </w:pPr>
            <w:r>
              <w:rPr>
                <w:spacing w:val="-9"/>
              </w:rPr>
              <w:t>202</w:t>
            </w:r>
            <w:r>
              <w:rPr>
                <w:rFonts w:hint="eastAsia"/>
                <w:spacing w:val="-9"/>
                <w:lang w:val="en-US" w:eastAsia="zh-CN"/>
              </w:rPr>
              <w:t>1</w:t>
            </w:r>
          </w:p>
        </w:tc>
        <w:tc>
          <w:tcPr>
            <w:tcW w:w="909" w:type="dxa"/>
            <w:vAlign w:val="top"/>
          </w:tcPr>
          <w:p w14:paraId="02A1155F">
            <w:pPr>
              <w:spacing w:line="253" w:lineRule="auto"/>
              <w:rPr>
                <w:rFonts w:ascii="Arial"/>
                <w:sz w:val="21"/>
              </w:rPr>
            </w:pPr>
          </w:p>
          <w:p w14:paraId="22FB3850">
            <w:pPr>
              <w:pStyle w:val="7"/>
              <w:spacing w:before="78" w:line="237" w:lineRule="auto"/>
              <w:ind w:left="370"/>
            </w:pPr>
            <w:r>
              <w:rPr>
                <w:spacing w:val="-10"/>
              </w:rPr>
              <w:t>10</w:t>
            </w:r>
          </w:p>
        </w:tc>
        <w:tc>
          <w:tcPr>
            <w:tcW w:w="1274" w:type="dxa"/>
            <w:vAlign w:val="top"/>
          </w:tcPr>
          <w:p w14:paraId="3E79C4E9">
            <w:pPr>
              <w:spacing w:line="253" w:lineRule="auto"/>
              <w:rPr>
                <w:rFonts w:ascii="Arial"/>
                <w:sz w:val="21"/>
              </w:rPr>
            </w:pPr>
          </w:p>
          <w:p w14:paraId="18101904">
            <w:pPr>
              <w:pStyle w:val="7"/>
              <w:spacing w:before="78" w:line="216" w:lineRule="auto"/>
              <w:ind w:left="216"/>
            </w:pPr>
            <w:r>
              <w:rPr>
                <w:spacing w:val="-15"/>
              </w:rPr>
              <w:t>施工检测</w:t>
            </w:r>
          </w:p>
        </w:tc>
        <w:tc>
          <w:tcPr>
            <w:tcW w:w="845" w:type="dxa"/>
            <w:vMerge w:val="continue"/>
            <w:tcBorders>
              <w:top w:val="nil"/>
              <w:bottom w:val="nil"/>
              <w:right w:val="single" w:color="5B9BD5" w:sz="4" w:space="0"/>
            </w:tcBorders>
            <w:vAlign w:val="top"/>
          </w:tcPr>
          <w:p w14:paraId="4C334C5E">
            <w:pPr>
              <w:rPr>
                <w:rFonts w:ascii="Arial"/>
                <w:sz w:val="21"/>
              </w:rPr>
            </w:pPr>
          </w:p>
        </w:tc>
      </w:tr>
      <w:tr w14:paraId="0A48F1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52" w:hRule="atLeast"/>
        </w:trPr>
        <w:tc>
          <w:tcPr>
            <w:tcW w:w="605" w:type="dxa"/>
            <w:tcBorders>
              <w:left w:val="single" w:color="000000" w:sz="4" w:space="0"/>
            </w:tcBorders>
            <w:vAlign w:val="top"/>
          </w:tcPr>
          <w:p w14:paraId="391CD4AD">
            <w:pPr>
              <w:spacing w:line="257" w:lineRule="auto"/>
              <w:rPr>
                <w:rFonts w:ascii="Arial"/>
                <w:sz w:val="21"/>
              </w:rPr>
            </w:pPr>
          </w:p>
          <w:p w14:paraId="06673E1B">
            <w:pPr>
              <w:pStyle w:val="7"/>
              <w:spacing w:before="78" w:line="238" w:lineRule="auto"/>
              <w:ind w:left="220"/>
            </w:pPr>
            <w:r>
              <w:rPr>
                <w:spacing w:val="-10"/>
              </w:rPr>
              <w:t>14</w:t>
            </w:r>
          </w:p>
        </w:tc>
        <w:tc>
          <w:tcPr>
            <w:tcW w:w="1465" w:type="dxa"/>
            <w:vAlign w:val="top"/>
          </w:tcPr>
          <w:p w14:paraId="58B55642">
            <w:pPr>
              <w:pStyle w:val="7"/>
              <w:spacing w:before="101" w:line="218" w:lineRule="auto"/>
              <w:ind w:left="196"/>
            </w:pPr>
            <w:r>
              <w:rPr>
                <w:spacing w:val="-17"/>
              </w:rPr>
              <w:t>标准电压互</w:t>
            </w:r>
          </w:p>
          <w:p w14:paraId="7919A429">
            <w:pPr>
              <w:pStyle w:val="7"/>
              <w:spacing w:before="184" w:line="220" w:lineRule="auto"/>
              <w:ind w:left="528"/>
            </w:pPr>
            <w:r>
              <w:rPr>
                <w:spacing w:val="-11"/>
              </w:rPr>
              <w:t>感器</w:t>
            </w:r>
          </w:p>
        </w:tc>
        <w:tc>
          <w:tcPr>
            <w:tcW w:w="1674" w:type="dxa"/>
            <w:vAlign w:val="top"/>
          </w:tcPr>
          <w:p w14:paraId="0459BC03">
            <w:pPr>
              <w:spacing w:line="301" w:lineRule="auto"/>
              <w:rPr>
                <w:rFonts w:ascii="Arial"/>
                <w:sz w:val="21"/>
              </w:rPr>
            </w:pPr>
          </w:p>
          <w:p w14:paraId="07118342">
            <w:pPr>
              <w:pStyle w:val="7"/>
              <w:spacing w:before="78" w:line="178" w:lineRule="auto"/>
              <w:ind w:left="671"/>
            </w:pPr>
            <w:r>
              <w:rPr>
                <w:spacing w:val="-6"/>
              </w:rPr>
              <w:t>HIS</w:t>
            </w:r>
          </w:p>
        </w:tc>
        <w:tc>
          <w:tcPr>
            <w:tcW w:w="681" w:type="dxa"/>
            <w:vAlign w:val="top"/>
          </w:tcPr>
          <w:p w14:paraId="3BCB67FD">
            <w:pPr>
              <w:spacing w:line="256" w:lineRule="auto"/>
              <w:rPr>
                <w:rFonts w:ascii="Arial"/>
                <w:sz w:val="21"/>
              </w:rPr>
            </w:pPr>
          </w:p>
          <w:p w14:paraId="1DF6AAC0">
            <w:pPr>
              <w:pStyle w:val="7"/>
              <w:spacing w:before="78" w:line="237" w:lineRule="auto"/>
              <w:ind w:left="296"/>
            </w:pPr>
            <w:r>
              <w:t>5</w:t>
            </w:r>
          </w:p>
        </w:tc>
        <w:tc>
          <w:tcPr>
            <w:tcW w:w="1117" w:type="dxa"/>
            <w:vAlign w:val="top"/>
          </w:tcPr>
          <w:p w14:paraId="75CDAF3D">
            <w:pPr>
              <w:spacing w:line="257" w:lineRule="auto"/>
              <w:rPr>
                <w:rFonts w:ascii="Arial"/>
                <w:sz w:val="21"/>
              </w:rPr>
            </w:pPr>
          </w:p>
          <w:p w14:paraId="6D0A6172">
            <w:pPr>
              <w:pStyle w:val="7"/>
              <w:spacing w:before="78" w:line="220" w:lineRule="auto"/>
              <w:ind w:left="354"/>
            </w:pPr>
            <w:r>
              <w:rPr>
                <w:spacing w:val="-10"/>
              </w:rPr>
              <w:t>上海</w:t>
            </w:r>
          </w:p>
        </w:tc>
        <w:tc>
          <w:tcPr>
            <w:tcW w:w="695" w:type="dxa"/>
            <w:vAlign w:val="top"/>
          </w:tcPr>
          <w:p w14:paraId="10D8D48A">
            <w:pPr>
              <w:pStyle w:val="7"/>
              <w:spacing w:before="146" w:line="237" w:lineRule="auto"/>
              <w:ind w:left="186" w:leftChars="0"/>
            </w:pPr>
            <w:r>
              <w:rPr>
                <w:spacing w:val="-9"/>
              </w:rPr>
              <w:t>2022</w:t>
            </w:r>
          </w:p>
        </w:tc>
        <w:tc>
          <w:tcPr>
            <w:tcW w:w="909" w:type="dxa"/>
            <w:vAlign w:val="top"/>
          </w:tcPr>
          <w:p w14:paraId="404FDE89">
            <w:pPr>
              <w:spacing w:line="256" w:lineRule="auto"/>
              <w:rPr>
                <w:rFonts w:ascii="Arial"/>
                <w:sz w:val="21"/>
              </w:rPr>
            </w:pPr>
          </w:p>
          <w:p w14:paraId="7D7D9786">
            <w:pPr>
              <w:pStyle w:val="7"/>
              <w:spacing w:before="78" w:line="237" w:lineRule="auto"/>
              <w:ind w:left="370"/>
            </w:pPr>
            <w:r>
              <w:rPr>
                <w:spacing w:val="-10"/>
              </w:rPr>
              <w:t>15</w:t>
            </w:r>
          </w:p>
        </w:tc>
        <w:tc>
          <w:tcPr>
            <w:tcW w:w="1274" w:type="dxa"/>
            <w:vAlign w:val="top"/>
          </w:tcPr>
          <w:p w14:paraId="3A82A618">
            <w:pPr>
              <w:spacing w:line="256" w:lineRule="auto"/>
              <w:rPr>
                <w:rFonts w:ascii="Arial"/>
                <w:sz w:val="21"/>
              </w:rPr>
            </w:pPr>
          </w:p>
          <w:p w14:paraId="362AE7A1">
            <w:pPr>
              <w:pStyle w:val="7"/>
              <w:spacing w:before="78" w:line="216" w:lineRule="auto"/>
              <w:ind w:left="216"/>
            </w:pPr>
            <w:r>
              <w:rPr>
                <w:spacing w:val="-15"/>
              </w:rPr>
              <w:t>施工检测</w:t>
            </w:r>
          </w:p>
        </w:tc>
        <w:tc>
          <w:tcPr>
            <w:tcW w:w="845" w:type="dxa"/>
            <w:vMerge w:val="continue"/>
            <w:tcBorders>
              <w:top w:val="nil"/>
              <w:bottom w:val="nil"/>
              <w:right w:val="single" w:color="5B9BD5" w:sz="4" w:space="0"/>
            </w:tcBorders>
            <w:vAlign w:val="top"/>
          </w:tcPr>
          <w:p w14:paraId="05ED62D9">
            <w:pPr>
              <w:rPr>
                <w:rFonts w:ascii="Arial"/>
                <w:sz w:val="21"/>
              </w:rPr>
            </w:pPr>
          </w:p>
        </w:tc>
      </w:tr>
      <w:tr w14:paraId="78084A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1" w:hRule="atLeast"/>
        </w:trPr>
        <w:tc>
          <w:tcPr>
            <w:tcW w:w="605" w:type="dxa"/>
            <w:tcBorders>
              <w:left w:val="single" w:color="000000" w:sz="4" w:space="0"/>
            </w:tcBorders>
            <w:vAlign w:val="top"/>
          </w:tcPr>
          <w:p w14:paraId="2979D309">
            <w:pPr>
              <w:pStyle w:val="7"/>
              <w:spacing w:before="179" w:line="237" w:lineRule="auto"/>
              <w:ind w:left="220"/>
            </w:pPr>
            <w:r>
              <w:rPr>
                <w:spacing w:val="-10"/>
              </w:rPr>
              <w:t>15</w:t>
            </w:r>
          </w:p>
        </w:tc>
        <w:tc>
          <w:tcPr>
            <w:tcW w:w="1465" w:type="dxa"/>
            <w:vAlign w:val="top"/>
          </w:tcPr>
          <w:p w14:paraId="0DFF7D08">
            <w:pPr>
              <w:pStyle w:val="7"/>
              <w:spacing w:before="179" w:line="218" w:lineRule="auto"/>
              <w:ind w:left="87"/>
            </w:pPr>
            <w:r>
              <w:rPr>
                <w:spacing w:val="-18"/>
              </w:rPr>
              <w:t>直流双臂电桥</w:t>
            </w:r>
          </w:p>
        </w:tc>
        <w:tc>
          <w:tcPr>
            <w:tcW w:w="1674" w:type="dxa"/>
            <w:vAlign w:val="top"/>
          </w:tcPr>
          <w:p w14:paraId="57FC6D7E">
            <w:pPr>
              <w:pStyle w:val="7"/>
              <w:spacing w:before="223" w:line="178" w:lineRule="auto"/>
              <w:ind w:left="619"/>
            </w:pPr>
            <w:r>
              <w:rPr>
                <w:spacing w:val="-8"/>
              </w:rPr>
              <w:t>QJ44</w:t>
            </w:r>
          </w:p>
        </w:tc>
        <w:tc>
          <w:tcPr>
            <w:tcW w:w="681" w:type="dxa"/>
            <w:vAlign w:val="top"/>
          </w:tcPr>
          <w:p w14:paraId="1DF25CDB">
            <w:pPr>
              <w:pStyle w:val="7"/>
              <w:spacing w:before="179" w:line="237" w:lineRule="auto"/>
              <w:ind w:left="296"/>
            </w:pPr>
            <w:r>
              <w:t>5</w:t>
            </w:r>
          </w:p>
        </w:tc>
        <w:tc>
          <w:tcPr>
            <w:tcW w:w="1117" w:type="dxa"/>
            <w:vAlign w:val="top"/>
          </w:tcPr>
          <w:p w14:paraId="464746D7">
            <w:pPr>
              <w:pStyle w:val="7"/>
              <w:spacing w:before="179" w:line="220" w:lineRule="auto"/>
              <w:ind w:left="354"/>
            </w:pPr>
            <w:r>
              <w:rPr>
                <w:spacing w:val="-10"/>
              </w:rPr>
              <w:t>上海</w:t>
            </w:r>
          </w:p>
        </w:tc>
        <w:tc>
          <w:tcPr>
            <w:tcW w:w="695" w:type="dxa"/>
            <w:vAlign w:val="top"/>
          </w:tcPr>
          <w:p w14:paraId="47817C6B">
            <w:pPr>
              <w:pStyle w:val="7"/>
              <w:spacing w:before="145" w:line="237" w:lineRule="auto"/>
              <w:ind w:left="186" w:leftChars="0"/>
            </w:pPr>
            <w:r>
              <w:rPr>
                <w:spacing w:val="-9"/>
              </w:rPr>
              <w:t>202</w:t>
            </w:r>
            <w:r>
              <w:rPr>
                <w:rFonts w:hint="eastAsia"/>
                <w:spacing w:val="-9"/>
                <w:lang w:val="en-US" w:eastAsia="zh-CN"/>
              </w:rPr>
              <w:t>1</w:t>
            </w:r>
          </w:p>
        </w:tc>
        <w:tc>
          <w:tcPr>
            <w:tcW w:w="909" w:type="dxa"/>
            <w:vAlign w:val="top"/>
          </w:tcPr>
          <w:p w14:paraId="309A2A1C">
            <w:pPr>
              <w:pStyle w:val="7"/>
              <w:spacing w:before="179" w:line="237" w:lineRule="auto"/>
              <w:ind w:left="370"/>
            </w:pPr>
            <w:r>
              <w:rPr>
                <w:spacing w:val="-10"/>
              </w:rPr>
              <w:t>10</w:t>
            </w:r>
          </w:p>
        </w:tc>
        <w:tc>
          <w:tcPr>
            <w:tcW w:w="1274" w:type="dxa"/>
            <w:vAlign w:val="top"/>
          </w:tcPr>
          <w:p w14:paraId="10DFA9BD">
            <w:pPr>
              <w:pStyle w:val="7"/>
              <w:spacing w:before="179" w:line="216" w:lineRule="auto"/>
              <w:ind w:left="216"/>
            </w:pPr>
            <w:r>
              <w:rPr>
                <w:spacing w:val="-15"/>
              </w:rPr>
              <w:t>施工检测</w:t>
            </w:r>
          </w:p>
        </w:tc>
        <w:tc>
          <w:tcPr>
            <w:tcW w:w="845" w:type="dxa"/>
            <w:vMerge w:val="continue"/>
            <w:tcBorders>
              <w:top w:val="nil"/>
              <w:bottom w:val="nil"/>
              <w:right w:val="single" w:color="5B9BD5" w:sz="4" w:space="0"/>
            </w:tcBorders>
            <w:vAlign w:val="top"/>
          </w:tcPr>
          <w:p w14:paraId="0075D2A1">
            <w:pPr>
              <w:rPr>
                <w:rFonts w:ascii="Arial"/>
                <w:sz w:val="21"/>
              </w:rPr>
            </w:pPr>
          </w:p>
        </w:tc>
      </w:tr>
      <w:tr w14:paraId="03846C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1" w:hRule="atLeast"/>
        </w:trPr>
        <w:tc>
          <w:tcPr>
            <w:tcW w:w="605" w:type="dxa"/>
            <w:tcBorders>
              <w:left w:val="single" w:color="1C456A" w:sz="4" w:space="0"/>
              <w:bottom w:val="single" w:color="1C456A" w:sz="4" w:space="0"/>
            </w:tcBorders>
            <w:vAlign w:val="top"/>
          </w:tcPr>
          <w:p w14:paraId="5DB012EA">
            <w:pPr>
              <w:pStyle w:val="7"/>
              <w:spacing w:before="179" w:line="237" w:lineRule="auto"/>
              <w:ind w:left="220"/>
            </w:pPr>
            <w:r>
              <w:rPr>
                <w:spacing w:val="-10"/>
              </w:rPr>
              <w:t>16</w:t>
            </w:r>
          </w:p>
        </w:tc>
        <w:tc>
          <w:tcPr>
            <w:tcW w:w="1465" w:type="dxa"/>
            <w:tcBorders>
              <w:bottom w:val="single" w:color="000000" w:sz="4" w:space="0"/>
            </w:tcBorders>
            <w:vAlign w:val="top"/>
          </w:tcPr>
          <w:p w14:paraId="6F501EBE">
            <w:pPr>
              <w:pStyle w:val="7"/>
              <w:spacing w:before="180" w:line="217" w:lineRule="auto"/>
              <w:ind w:left="198"/>
            </w:pPr>
            <w:r>
              <w:rPr>
                <w:spacing w:val="-17"/>
              </w:rPr>
              <w:t>接地电阻表</w:t>
            </w:r>
          </w:p>
        </w:tc>
        <w:tc>
          <w:tcPr>
            <w:tcW w:w="1674" w:type="dxa"/>
            <w:tcBorders>
              <w:bottom w:val="single" w:color="000000" w:sz="4" w:space="0"/>
            </w:tcBorders>
            <w:vAlign w:val="top"/>
          </w:tcPr>
          <w:p w14:paraId="66853C6F">
            <w:pPr>
              <w:pStyle w:val="7"/>
              <w:spacing w:before="179" w:line="220" w:lineRule="auto"/>
              <w:ind w:left="130"/>
            </w:pPr>
            <w:r>
              <w:rPr>
                <w:spacing w:val="-10"/>
              </w:rPr>
              <w:t>ZC-7(2500v)、</w:t>
            </w:r>
          </w:p>
        </w:tc>
        <w:tc>
          <w:tcPr>
            <w:tcW w:w="681" w:type="dxa"/>
            <w:tcBorders>
              <w:bottom w:val="single" w:color="000000" w:sz="4" w:space="0"/>
            </w:tcBorders>
            <w:vAlign w:val="top"/>
          </w:tcPr>
          <w:p w14:paraId="67BE5F49">
            <w:pPr>
              <w:pStyle w:val="7"/>
              <w:spacing w:before="179" w:line="237" w:lineRule="auto"/>
              <w:ind w:left="296"/>
            </w:pPr>
            <w:r>
              <w:t>5</w:t>
            </w:r>
          </w:p>
        </w:tc>
        <w:tc>
          <w:tcPr>
            <w:tcW w:w="1117" w:type="dxa"/>
            <w:tcBorders>
              <w:bottom w:val="single" w:color="000000" w:sz="4" w:space="0"/>
            </w:tcBorders>
            <w:vAlign w:val="top"/>
          </w:tcPr>
          <w:p w14:paraId="4925A456">
            <w:pPr>
              <w:pStyle w:val="7"/>
              <w:spacing w:before="180" w:line="220" w:lineRule="auto"/>
              <w:ind w:left="354"/>
            </w:pPr>
            <w:r>
              <w:rPr>
                <w:spacing w:val="-10"/>
              </w:rPr>
              <w:t>上海</w:t>
            </w:r>
          </w:p>
        </w:tc>
        <w:tc>
          <w:tcPr>
            <w:tcW w:w="695" w:type="dxa"/>
            <w:tcBorders>
              <w:bottom w:val="single" w:color="000000" w:sz="4" w:space="0"/>
            </w:tcBorders>
            <w:vAlign w:val="top"/>
          </w:tcPr>
          <w:p w14:paraId="1B1ED690">
            <w:pPr>
              <w:pStyle w:val="7"/>
              <w:spacing w:before="146" w:line="237" w:lineRule="auto"/>
              <w:ind w:left="186" w:leftChars="0"/>
            </w:pPr>
            <w:r>
              <w:rPr>
                <w:spacing w:val="-9"/>
              </w:rPr>
              <w:t>2022</w:t>
            </w:r>
          </w:p>
        </w:tc>
        <w:tc>
          <w:tcPr>
            <w:tcW w:w="909" w:type="dxa"/>
            <w:tcBorders>
              <w:bottom w:val="single" w:color="000000" w:sz="4" w:space="0"/>
            </w:tcBorders>
            <w:vAlign w:val="top"/>
          </w:tcPr>
          <w:p w14:paraId="3A3DE85F">
            <w:pPr>
              <w:pStyle w:val="7"/>
              <w:spacing w:before="179" w:line="237" w:lineRule="auto"/>
              <w:ind w:left="370"/>
            </w:pPr>
            <w:r>
              <w:rPr>
                <w:spacing w:val="-10"/>
              </w:rPr>
              <w:t>10</w:t>
            </w:r>
          </w:p>
        </w:tc>
        <w:tc>
          <w:tcPr>
            <w:tcW w:w="1274" w:type="dxa"/>
            <w:tcBorders>
              <w:bottom w:val="single" w:color="000000" w:sz="4" w:space="0"/>
            </w:tcBorders>
            <w:vAlign w:val="top"/>
          </w:tcPr>
          <w:p w14:paraId="0C3FCA04">
            <w:pPr>
              <w:pStyle w:val="7"/>
              <w:spacing w:before="179" w:line="216" w:lineRule="auto"/>
              <w:ind w:left="216"/>
            </w:pPr>
            <w:r>
              <w:rPr>
                <w:spacing w:val="-15"/>
              </w:rPr>
              <w:t>施工检测</w:t>
            </w:r>
          </w:p>
        </w:tc>
        <w:tc>
          <w:tcPr>
            <w:tcW w:w="845" w:type="dxa"/>
            <w:vMerge w:val="continue"/>
            <w:tcBorders>
              <w:top w:val="nil"/>
              <w:bottom w:val="single" w:color="5B9BD5" w:sz="4" w:space="0"/>
              <w:right w:val="single" w:color="5B9BD5" w:sz="4" w:space="0"/>
            </w:tcBorders>
            <w:vAlign w:val="top"/>
          </w:tcPr>
          <w:p w14:paraId="2901F3FB">
            <w:pPr>
              <w:rPr>
                <w:rFonts w:ascii="Arial"/>
                <w:sz w:val="21"/>
              </w:rPr>
            </w:pPr>
          </w:p>
        </w:tc>
      </w:tr>
    </w:tbl>
    <w:p w14:paraId="3B7C8362">
      <w:pPr>
        <w:rPr>
          <w:rFonts w:ascii="Arial"/>
          <w:sz w:val="21"/>
        </w:rPr>
      </w:pPr>
    </w:p>
    <w:p w14:paraId="6DD7D66D">
      <w:pPr>
        <w:rPr>
          <w:rFonts w:ascii="Arial" w:hAnsi="Arial" w:eastAsia="Arial" w:cs="Arial"/>
          <w:sz w:val="21"/>
          <w:szCs w:val="21"/>
        </w:rPr>
        <w:sectPr>
          <w:footerReference r:id="rId435" w:type="default"/>
          <w:pgSz w:w="11907" w:h="16839"/>
          <w:pgMar w:top="933" w:right="4" w:bottom="1038" w:left="0" w:header="478" w:footer="357" w:gutter="0"/>
          <w:pgBorders>
            <w:top w:val="none" w:sz="0" w:space="0"/>
            <w:left w:val="none" w:sz="0" w:space="0"/>
            <w:bottom w:val="none" w:sz="0" w:space="0"/>
            <w:right w:val="none" w:sz="0" w:space="0"/>
          </w:pgBorders>
          <w:cols w:space="720" w:num="1"/>
        </w:sectPr>
      </w:pPr>
    </w:p>
    <w:p w14:paraId="5DCFE7DD">
      <w:pPr>
        <w:spacing w:line="235" w:lineRule="exact"/>
      </w:pPr>
    </w:p>
    <w:tbl>
      <w:tblPr>
        <w:tblStyle w:val="6"/>
        <w:tblW w:w="9265" w:type="dxa"/>
        <w:tblInd w:w="132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04"/>
        <w:gridCol w:w="1465"/>
        <w:gridCol w:w="1674"/>
        <w:gridCol w:w="681"/>
        <w:gridCol w:w="1117"/>
        <w:gridCol w:w="695"/>
        <w:gridCol w:w="909"/>
        <w:gridCol w:w="1274"/>
        <w:gridCol w:w="846"/>
      </w:tblGrid>
      <w:tr w14:paraId="6B4A7B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7" w:hRule="atLeast"/>
        </w:trPr>
        <w:tc>
          <w:tcPr>
            <w:tcW w:w="604" w:type="dxa"/>
            <w:tcBorders>
              <w:top w:val="single" w:color="000000" w:sz="4" w:space="0"/>
              <w:left w:val="single" w:color="000000" w:sz="4" w:space="0"/>
            </w:tcBorders>
            <w:vAlign w:val="top"/>
          </w:tcPr>
          <w:p w14:paraId="5AC66FA9">
            <w:pPr>
              <w:rPr>
                <w:rFonts w:ascii="Arial"/>
                <w:sz w:val="21"/>
              </w:rPr>
            </w:pPr>
          </w:p>
        </w:tc>
        <w:tc>
          <w:tcPr>
            <w:tcW w:w="1465" w:type="dxa"/>
            <w:tcBorders>
              <w:top w:val="single" w:color="000000" w:sz="4" w:space="0"/>
              <w:left w:val="nil"/>
              <w:right w:val="nil"/>
            </w:tcBorders>
            <w:vAlign w:val="top"/>
          </w:tcPr>
          <w:p w14:paraId="242CA78A">
            <w:pPr>
              <w:rPr>
                <w:rFonts w:ascii="Arial"/>
                <w:sz w:val="21"/>
              </w:rPr>
            </w:pPr>
          </w:p>
        </w:tc>
        <w:tc>
          <w:tcPr>
            <w:tcW w:w="1674" w:type="dxa"/>
            <w:tcBorders>
              <w:top w:val="single" w:color="000000" w:sz="4" w:space="0"/>
              <w:left w:val="nil"/>
              <w:right w:val="nil"/>
            </w:tcBorders>
            <w:vAlign w:val="top"/>
          </w:tcPr>
          <w:p w14:paraId="6BE7706D">
            <w:pPr>
              <w:pStyle w:val="7"/>
              <w:spacing w:before="129" w:line="236" w:lineRule="auto"/>
              <w:ind w:left="624"/>
            </w:pPr>
            <w:r>
              <w:rPr>
                <w:spacing w:val="-8"/>
              </w:rPr>
              <w:t>ZC-8</w:t>
            </w:r>
          </w:p>
        </w:tc>
        <w:tc>
          <w:tcPr>
            <w:tcW w:w="681" w:type="dxa"/>
            <w:tcBorders>
              <w:top w:val="single" w:color="000000" w:sz="4" w:space="0"/>
              <w:left w:val="nil"/>
              <w:right w:val="nil"/>
            </w:tcBorders>
            <w:vAlign w:val="top"/>
          </w:tcPr>
          <w:p w14:paraId="4CBF6D3D">
            <w:pPr>
              <w:rPr>
                <w:rFonts w:ascii="Arial"/>
                <w:sz w:val="21"/>
              </w:rPr>
            </w:pPr>
          </w:p>
        </w:tc>
        <w:tc>
          <w:tcPr>
            <w:tcW w:w="1117" w:type="dxa"/>
            <w:tcBorders>
              <w:top w:val="single" w:color="000000" w:sz="4" w:space="0"/>
              <w:left w:val="nil"/>
              <w:right w:val="nil"/>
            </w:tcBorders>
            <w:vAlign w:val="top"/>
          </w:tcPr>
          <w:p w14:paraId="490ACFB8">
            <w:pPr>
              <w:rPr>
                <w:rFonts w:ascii="Arial"/>
                <w:sz w:val="21"/>
              </w:rPr>
            </w:pPr>
          </w:p>
        </w:tc>
        <w:tc>
          <w:tcPr>
            <w:tcW w:w="695" w:type="dxa"/>
            <w:tcBorders>
              <w:top w:val="single" w:color="000000" w:sz="4" w:space="0"/>
              <w:left w:val="nil"/>
              <w:right w:val="nil"/>
            </w:tcBorders>
            <w:vAlign w:val="top"/>
          </w:tcPr>
          <w:p w14:paraId="6900539B">
            <w:pPr>
              <w:rPr>
                <w:rFonts w:ascii="Arial"/>
                <w:sz w:val="21"/>
              </w:rPr>
            </w:pPr>
          </w:p>
        </w:tc>
        <w:tc>
          <w:tcPr>
            <w:tcW w:w="909" w:type="dxa"/>
            <w:tcBorders>
              <w:top w:val="single" w:color="000000" w:sz="4" w:space="0"/>
              <w:left w:val="nil"/>
              <w:right w:val="nil"/>
            </w:tcBorders>
            <w:vAlign w:val="top"/>
          </w:tcPr>
          <w:p w14:paraId="21A6CAD8">
            <w:pPr>
              <w:rPr>
                <w:rFonts w:ascii="Arial"/>
                <w:sz w:val="21"/>
              </w:rPr>
            </w:pPr>
          </w:p>
        </w:tc>
        <w:tc>
          <w:tcPr>
            <w:tcW w:w="1274" w:type="dxa"/>
            <w:tcBorders>
              <w:top w:val="single" w:color="000000" w:sz="4" w:space="0"/>
              <w:left w:val="nil"/>
              <w:right w:val="nil"/>
            </w:tcBorders>
            <w:vAlign w:val="top"/>
          </w:tcPr>
          <w:p w14:paraId="11223B91">
            <w:pPr>
              <w:rPr>
                <w:rFonts w:ascii="Arial"/>
                <w:sz w:val="21"/>
              </w:rPr>
            </w:pPr>
          </w:p>
        </w:tc>
        <w:tc>
          <w:tcPr>
            <w:tcW w:w="846" w:type="dxa"/>
            <w:vMerge w:val="restart"/>
            <w:tcBorders>
              <w:top w:val="single" w:color="5B9BD5" w:sz="4" w:space="0"/>
              <w:bottom w:val="nil"/>
              <w:right w:val="single" w:color="5B9BD5" w:sz="4" w:space="0"/>
            </w:tcBorders>
            <w:vAlign w:val="top"/>
          </w:tcPr>
          <w:p w14:paraId="49BDCEE6">
            <w:pPr>
              <w:rPr>
                <w:rFonts w:ascii="Arial"/>
                <w:sz w:val="21"/>
              </w:rPr>
            </w:pPr>
            <w:r>
              <w:pict>
                <v:shape id="_x0000_s4996" o:spid="_x0000_s4996" style="position:absolute;left:0pt;margin-left:40.4pt;margin-top:39.1pt;height:3.4pt;width:0.75pt;mso-position-horizontal-relative:page;mso-position-vertical-relative:page;z-index:252455936;mso-width-relative:page;mso-height-relative:page;" fillcolor="#1C456A" filled="t" stroked="f" coordsize="15,68" path="m0,67l14,67,14,0,0,0,0,67xe">
                  <v:path/>
                  <v:fill on="t" focussize="0,0"/>
                  <v:stroke on="f"/>
                  <v:imagedata o:title=""/>
                  <o:lock v:ext="edit"/>
                </v:shape>
              </w:pict>
            </w:r>
            <w:r>
              <w:pict>
                <v:shape id="_x0000_s4998" o:spid="_x0000_s4998" style="position:absolute;left:0pt;margin-left:40.4pt;margin-top:73.55pt;height:3.4pt;width:0.75pt;mso-position-horizontal-relative:page;mso-position-vertical-relative:page;z-index:252446720;mso-width-relative:page;mso-height-relative:page;" fillcolor="#1C456A" filled="t" stroked="f" coordsize="15,68" path="m0,67l14,67,14,0,0,0,0,67xe">
                  <v:path/>
                  <v:fill on="t" focussize="0,0"/>
                  <v:stroke on="f"/>
                  <v:imagedata o:title=""/>
                  <o:lock v:ext="edit"/>
                </v:shape>
              </w:pict>
            </w:r>
            <w:r>
              <w:pict>
                <v:shape id="_x0000_s5000" o:spid="_x0000_s5000" style="position:absolute;left:0pt;margin-left:40.4pt;margin-top:108.1pt;height:3.4pt;width:0.75pt;mso-position-horizontal-relative:page;mso-position-vertical-relative:page;z-index:252447744;mso-width-relative:page;mso-height-relative:page;" fillcolor="#1C456A" filled="t" stroked="f" coordsize="15,68" path="m0,67l14,67,14,0,0,0,0,67xe">
                  <v:path/>
                  <v:fill on="t" focussize="0,0"/>
                  <v:stroke on="f"/>
                  <v:imagedata o:title=""/>
                  <o:lock v:ext="edit"/>
                </v:shape>
              </w:pict>
            </w:r>
            <w:r>
              <w:pict>
                <v:shape id="_x0000_s5002" o:spid="_x0000_s5002" style="position:absolute;left:0pt;margin-left:40.4pt;margin-top:142.7pt;height:3.4pt;width:0.75pt;mso-position-horizontal-relative:page;mso-position-vertical-relative:page;z-index:252448768;mso-width-relative:page;mso-height-relative:page;" fillcolor="#1C456A" filled="t" stroked="f" coordsize="15,68" path="m0,67l14,67,14,0,0,0,0,67xe">
                  <v:path/>
                  <v:fill on="t" focussize="0,0"/>
                  <v:stroke on="f"/>
                  <v:imagedata o:title=""/>
                  <o:lock v:ext="edit"/>
                </v:shape>
              </w:pict>
            </w:r>
            <w:r>
              <w:pict>
                <v:shape id="_x0000_s5004" o:spid="_x0000_s5004" style="position:absolute;left:0pt;margin-left:40.4pt;margin-top:177.1pt;height:3.4pt;width:0.75pt;mso-position-horizontal-relative:page;mso-position-vertical-relative:page;z-index:252453888;mso-width-relative:page;mso-height-relative:page;" fillcolor="#1C456A" filled="t" stroked="f" coordsize="15,68" path="m0,67l14,67,14,0,0,0,0,67xe">
                  <v:path/>
                  <v:fill on="t" focussize="0,0"/>
                  <v:stroke on="f"/>
                  <v:imagedata o:title=""/>
                  <o:lock v:ext="edit"/>
                </v:shape>
              </w:pict>
            </w:r>
            <w:r>
              <w:pict>
                <v:shape id="_x0000_s5006" o:spid="_x0000_s5006" style="position:absolute;left:0pt;margin-left:40.4pt;margin-top:230.05pt;height:3.4pt;width:0.75pt;mso-position-horizontal-relative:page;mso-position-vertical-relative:page;z-index:252449792;mso-width-relative:page;mso-height-relative:page;" fillcolor="#1C456A" filled="t" stroked="f" coordsize="15,68" path="m0,67l14,67,14,0,0,0,0,67xe">
                  <v:path/>
                  <v:fill on="t" focussize="0,0"/>
                  <v:stroke on="f"/>
                  <v:imagedata o:title=""/>
                  <o:lock v:ext="edit"/>
                </v:shape>
              </w:pict>
            </w:r>
            <w:r>
              <w:pict>
                <v:shape id="_x0000_s5008" o:spid="_x0000_s5008" style="position:absolute;left:0pt;margin-left:40.4pt;margin-top:264.5pt;height:3.4pt;width:0.75pt;mso-position-horizontal-relative:page;mso-position-vertical-relative:page;z-index:252450816;mso-width-relative:page;mso-height-relative:page;" fillcolor="#1C456A" filled="t" stroked="f" coordsize="15,68" path="m0,67l14,67,14,0,0,0,0,67xe">
                  <v:path/>
                  <v:fill on="t" focussize="0,0"/>
                  <v:stroke on="f"/>
                  <v:imagedata o:title=""/>
                  <o:lock v:ext="edit"/>
                </v:shape>
              </w:pict>
            </w:r>
            <w:r>
              <w:pict>
                <v:shape id="_x0000_s5010" o:spid="_x0000_s5010" style="position:absolute;left:0pt;margin-left:40.4pt;margin-top:299.05pt;height:3.4pt;width:0.75pt;mso-position-horizontal-relative:page;mso-position-vertical-relative:page;z-index:252454912;mso-width-relative:page;mso-height-relative:page;" fillcolor="#1C456A" filled="t" stroked="f" coordsize="15,68" path="m0,67l14,67,14,0,0,0,0,67xe">
                  <v:path/>
                  <v:fill on="t" focussize="0,0"/>
                  <v:stroke on="f"/>
                  <v:imagedata o:title=""/>
                  <o:lock v:ext="edit"/>
                </v:shape>
              </w:pict>
            </w:r>
            <w:r>
              <w:pict>
                <v:shape id="_x0000_s5012" o:spid="_x0000_s5012" style="position:absolute;left:0pt;margin-left:40.4pt;margin-top:352pt;height:3.4pt;width:0.75pt;mso-position-horizontal-relative:page;mso-position-vertical-relative:page;z-index:252445696;mso-width-relative:page;mso-height-relative:page;" fillcolor="#1C456A" filled="t" stroked="f" coordsize="15,68" path="m0,67l14,67,14,0,0,0,0,67xe">
                  <v:path/>
                  <v:fill on="t" focussize="0,0"/>
                  <v:stroke on="f"/>
                  <v:imagedata o:title=""/>
                  <o:lock v:ext="edit"/>
                </v:shape>
              </w:pict>
            </w:r>
            <w:r>
              <w:pict>
                <v:shape id="_x0000_s5014" o:spid="_x0000_s5014" style="position:absolute;left:0pt;margin-left:40.4pt;margin-top:386.55pt;height:3.4pt;width:0.75pt;mso-position-horizontal-relative:page;mso-position-vertical-relative:page;z-index:252441600;mso-width-relative:page;mso-height-relative:page;" fillcolor="#1C456A" filled="t" stroked="f" coordsize="15,68" path="m0,67l14,67,14,0,0,0,0,67xe">
                  <v:path/>
                  <v:fill on="t" focussize="0,0"/>
                  <v:stroke on="f"/>
                  <v:imagedata o:title=""/>
                  <o:lock v:ext="edit"/>
                </v:shape>
              </w:pict>
            </w:r>
            <w:r>
              <w:pict>
                <v:shape id="_x0000_s5016" o:spid="_x0000_s5016" style="position:absolute;left:0pt;margin-left:40.4pt;margin-top:421.15pt;height:3.4pt;width:0.75pt;mso-position-horizontal-relative:page;mso-position-vertical-relative:page;z-index:252444672;mso-width-relative:page;mso-height-relative:page;" fillcolor="#1C456A" filled="t" stroked="f" coordsize="15,68" path="m0,67l14,67,14,0,0,0,0,67xe">
                  <v:path/>
                  <v:fill on="t" focussize="0,0"/>
                  <v:stroke on="f"/>
                  <v:imagedata o:title=""/>
                  <o:lock v:ext="edit"/>
                </v:shape>
              </w:pict>
            </w:r>
            <w:r>
              <w:pict>
                <v:shape id="_x0000_s5018" o:spid="_x0000_s5018" style="position:absolute;left:0pt;margin-left:40.4pt;margin-top:455.55pt;height:3.4pt;width:0.75pt;mso-position-horizontal-relative:page;mso-position-vertical-relative:page;z-index:252451840;mso-width-relative:page;mso-height-relative:page;" fillcolor="#1C456A" filled="t" stroked="f" coordsize="15,68" path="m0,67l14,67,14,0,0,0,0,67xe">
                  <v:path/>
                  <v:fill on="t" focussize="0,0"/>
                  <v:stroke on="f"/>
                  <v:imagedata o:title=""/>
                  <o:lock v:ext="edit"/>
                </v:shape>
              </w:pict>
            </w:r>
            <w:r>
              <w:pict>
                <v:shape id="_x0000_s5020" o:spid="_x0000_s5020" style="position:absolute;left:0pt;margin-left:40.4pt;margin-top:508.5pt;height:3.4pt;width:0.75pt;mso-position-horizontal-relative:page;mso-position-vertical-relative:page;z-index:252452864;mso-width-relative:page;mso-height-relative:page;" fillcolor="#1C456A" filled="t" stroked="f" coordsize="15,68" path="m0,67l14,67,14,0,0,0,0,67xe">
                  <v:path/>
                  <v:fill on="t" focussize="0,0"/>
                  <v:stroke on="f"/>
                  <v:imagedata o:title=""/>
                  <o:lock v:ext="edit"/>
                </v:shape>
              </w:pict>
            </w:r>
            <w:r>
              <w:pict>
                <v:shape id="_x0000_s5022" o:spid="_x0000_s5022" style="position:absolute;left:0pt;margin-left:40.4pt;margin-top:561.4pt;height:3.4pt;width:0.75pt;mso-position-horizontal-relative:page;mso-position-vertical-relative:page;z-index:252443648;mso-width-relative:page;mso-height-relative:page;" fillcolor="#1C456A" filled="t" stroked="f" coordsize="15,68" path="m0,67l14,67,14,0,0,0,0,67xe">
                  <v:path/>
                  <v:fill on="t" focussize="0,0"/>
                  <v:stroke on="f"/>
                  <v:imagedata o:title=""/>
                  <o:lock v:ext="edit"/>
                </v:shape>
              </w:pict>
            </w:r>
          </w:p>
        </w:tc>
      </w:tr>
      <w:tr w14:paraId="71A530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3" w:hRule="atLeast"/>
        </w:trPr>
        <w:tc>
          <w:tcPr>
            <w:tcW w:w="604" w:type="dxa"/>
            <w:tcBorders>
              <w:left w:val="single" w:color="000000" w:sz="4" w:space="0"/>
            </w:tcBorders>
            <w:vAlign w:val="top"/>
          </w:tcPr>
          <w:p w14:paraId="2D11C814">
            <w:pPr>
              <w:pStyle w:val="7"/>
              <w:spacing w:before="142" w:line="237" w:lineRule="auto"/>
              <w:ind w:left="220"/>
            </w:pPr>
            <w:r>
              <w:rPr>
                <w:spacing w:val="-10"/>
              </w:rPr>
              <w:t>17</w:t>
            </w:r>
          </w:p>
        </w:tc>
        <w:tc>
          <w:tcPr>
            <w:tcW w:w="1465" w:type="dxa"/>
            <w:vAlign w:val="top"/>
          </w:tcPr>
          <w:p w14:paraId="425D9B64">
            <w:pPr>
              <w:pStyle w:val="7"/>
              <w:spacing w:before="141" w:line="219" w:lineRule="auto"/>
              <w:ind w:left="420"/>
            </w:pPr>
            <w:r>
              <w:rPr>
                <w:spacing w:val="-15"/>
              </w:rPr>
              <w:t>兆欧表</w:t>
            </w:r>
          </w:p>
        </w:tc>
        <w:tc>
          <w:tcPr>
            <w:tcW w:w="1674" w:type="dxa"/>
            <w:vAlign w:val="top"/>
          </w:tcPr>
          <w:p w14:paraId="6655C55A">
            <w:pPr>
              <w:pStyle w:val="7"/>
              <w:spacing w:before="185" w:line="179" w:lineRule="auto"/>
              <w:ind w:left="695"/>
            </w:pPr>
            <w:r>
              <w:rPr>
                <w:spacing w:val="-12"/>
              </w:rPr>
              <w:t>1KV</w:t>
            </w:r>
          </w:p>
        </w:tc>
        <w:tc>
          <w:tcPr>
            <w:tcW w:w="681" w:type="dxa"/>
            <w:vAlign w:val="top"/>
          </w:tcPr>
          <w:p w14:paraId="1A8B4561">
            <w:pPr>
              <w:pStyle w:val="7"/>
              <w:spacing w:before="142" w:line="237" w:lineRule="auto"/>
              <w:ind w:left="297"/>
            </w:pPr>
            <w:r>
              <w:t>5</w:t>
            </w:r>
          </w:p>
        </w:tc>
        <w:tc>
          <w:tcPr>
            <w:tcW w:w="1117" w:type="dxa"/>
            <w:vAlign w:val="top"/>
          </w:tcPr>
          <w:p w14:paraId="30E2D4D4">
            <w:pPr>
              <w:pStyle w:val="7"/>
              <w:spacing w:before="141" w:line="220" w:lineRule="auto"/>
              <w:ind w:left="356"/>
            </w:pPr>
            <w:r>
              <w:rPr>
                <w:spacing w:val="-11"/>
              </w:rPr>
              <w:t>西安</w:t>
            </w:r>
          </w:p>
        </w:tc>
        <w:tc>
          <w:tcPr>
            <w:tcW w:w="695" w:type="dxa"/>
            <w:vAlign w:val="top"/>
          </w:tcPr>
          <w:p w14:paraId="2FFA776C">
            <w:pPr>
              <w:pStyle w:val="7"/>
              <w:spacing w:before="145" w:line="237" w:lineRule="auto"/>
              <w:ind w:left="186" w:leftChars="0"/>
            </w:pPr>
            <w:r>
              <w:rPr>
                <w:spacing w:val="-9"/>
              </w:rPr>
              <w:t>202</w:t>
            </w:r>
            <w:r>
              <w:rPr>
                <w:rFonts w:hint="eastAsia"/>
                <w:spacing w:val="-9"/>
                <w:lang w:val="en-US" w:eastAsia="zh-CN"/>
              </w:rPr>
              <w:t>1</w:t>
            </w:r>
          </w:p>
        </w:tc>
        <w:tc>
          <w:tcPr>
            <w:tcW w:w="909" w:type="dxa"/>
            <w:vAlign w:val="top"/>
          </w:tcPr>
          <w:p w14:paraId="2B549B7C">
            <w:pPr>
              <w:pStyle w:val="7"/>
              <w:spacing w:before="142" w:line="237" w:lineRule="auto"/>
              <w:ind w:left="371"/>
            </w:pPr>
            <w:r>
              <w:rPr>
                <w:spacing w:val="-10"/>
              </w:rPr>
              <w:t>10</w:t>
            </w:r>
          </w:p>
        </w:tc>
        <w:tc>
          <w:tcPr>
            <w:tcW w:w="1274" w:type="dxa"/>
            <w:vAlign w:val="top"/>
          </w:tcPr>
          <w:p w14:paraId="5693137A">
            <w:pPr>
              <w:pStyle w:val="7"/>
              <w:spacing w:before="142" w:line="216" w:lineRule="auto"/>
              <w:ind w:left="217"/>
            </w:pPr>
            <w:r>
              <w:rPr>
                <w:spacing w:val="-15"/>
              </w:rPr>
              <w:t>施工检测</w:t>
            </w:r>
          </w:p>
        </w:tc>
        <w:tc>
          <w:tcPr>
            <w:tcW w:w="846" w:type="dxa"/>
            <w:vMerge w:val="continue"/>
            <w:tcBorders>
              <w:top w:val="nil"/>
              <w:bottom w:val="nil"/>
              <w:right w:val="single" w:color="5B9BD5" w:sz="4" w:space="0"/>
            </w:tcBorders>
            <w:vAlign w:val="top"/>
          </w:tcPr>
          <w:p w14:paraId="0D38DC8C">
            <w:pPr>
              <w:rPr>
                <w:rFonts w:ascii="Arial"/>
                <w:sz w:val="21"/>
              </w:rPr>
            </w:pPr>
          </w:p>
        </w:tc>
      </w:tr>
      <w:tr w14:paraId="79FB8A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6" w:hRule="atLeast"/>
        </w:trPr>
        <w:tc>
          <w:tcPr>
            <w:tcW w:w="604" w:type="dxa"/>
            <w:tcBorders>
              <w:left w:val="single" w:color="000000" w:sz="4" w:space="0"/>
            </w:tcBorders>
            <w:vAlign w:val="top"/>
          </w:tcPr>
          <w:p w14:paraId="32226D1D">
            <w:pPr>
              <w:pStyle w:val="7"/>
              <w:spacing w:before="145" w:line="237" w:lineRule="auto"/>
              <w:ind w:left="220"/>
            </w:pPr>
            <w:r>
              <w:rPr>
                <w:spacing w:val="-10"/>
              </w:rPr>
              <w:t>18</w:t>
            </w:r>
          </w:p>
        </w:tc>
        <w:tc>
          <w:tcPr>
            <w:tcW w:w="1465" w:type="dxa"/>
            <w:vAlign w:val="top"/>
          </w:tcPr>
          <w:p w14:paraId="2A8454AA">
            <w:pPr>
              <w:pStyle w:val="7"/>
              <w:spacing w:before="145" w:line="219" w:lineRule="auto"/>
              <w:ind w:left="420"/>
            </w:pPr>
            <w:r>
              <w:rPr>
                <w:spacing w:val="-15"/>
              </w:rPr>
              <w:t>兆欧表</w:t>
            </w:r>
          </w:p>
        </w:tc>
        <w:tc>
          <w:tcPr>
            <w:tcW w:w="1674" w:type="dxa"/>
            <w:vAlign w:val="top"/>
          </w:tcPr>
          <w:p w14:paraId="1D6AC06B">
            <w:pPr>
              <w:pStyle w:val="7"/>
              <w:spacing w:before="189" w:line="178" w:lineRule="auto"/>
              <w:ind w:left="627"/>
            </w:pPr>
            <w:r>
              <w:rPr>
                <w:spacing w:val="-10"/>
              </w:rPr>
              <w:t>500V</w:t>
            </w:r>
          </w:p>
        </w:tc>
        <w:tc>
          <w:tcPr>
            <w:tcW w:w="681" w:type="dxa"/>
            <w:vAlign w:val="top"/>
          </w:tcPr>
          <w:p w14:paraId="58B819C5">
            <w:pPr>
              <w:pStyle w:val="7"/>
              <w:spacing w:before="145" w:line="237" w:lineRule="auto"/>
              <w:ind w:left="297"/>
            </w:pPr>
            <w:r>
              <w:t>5</w:t>
            </w:r>
          </w:p>
        </w:tc>
        <w:tc>
          <w:tcPr>
            <w:tcW w:w="1117" w:type="dxa"/>
            <w:vAlign w:val="top"/>
          </w:tcPr>
          <w:p w14:paraId="1AF071C3">
            <w:pPr>
              <w:pStyle w:val="7"/>
              <w:spacing w:before="144" w:line="220" w:lineRule="auto"/>
              <w:ind w:left="356"/>
            </w:pPr>
            <w:r>
              <w:rPr>
                <w:spacing w:val="-11"/>
              </w:rPr>
              <w:t>西安</w:t>
            </w:r>
          </w:p>
        </w:tc>
        <w:tc>
          <w:tcPr>
            <w:tcW w:w="695" w:type="dxa"/>
            <w:vAlign w:val="top"/>
          </w:tcPr>
          <w:p w14:paraId="418A3488">
            <w:pPr>
              <w:pStyle w:val="7"/>
              <w:spacing w:before="146" w:line="237" w:lineRule="auto"/>
              <w:ind w:left="186" w:leftChars="0"/>
            </w:pPr>
            <w:r>
              <w:rPr>
                <w:spacing w:val="-9"/>
              </w:rPr>
              <w:t>2022</w:t>
            </w:r>
          </w:p>
        </w:tc>
        <w:tc>
          <w:tcPr>
            <w:tcW w:w="909" w:type="dxa"/>
            <w:vAlign w:val="top"/>
          </w:tcPr>
          <w:p w14:paraId="7215B649">
            <w:pPr>
              <w:pStyle w:val="7"/>
              <w:spacing w:before="145" w:line="237" w:lineRule="auto"/>
              <w:ind w:left="356"/>
            </w:pPr>
            <w:r>
              <w:rPr>
                <w:spacing w:val="-6"/>
              </w:rPr>
              <w:t>20</w:t>
            </w:r>
          </w:p>
        </w:tc>
        <w:tc>
          <w:tcPr>
            <w:tcW w:w="1274" w:type="dxa"/>
            <w:vAlign w:val="top"/>
          </w:tcPr>
          <w:p w14:paraId="70BFC278">
            <w:pPr>
              <w:pStyle w:val="7"/>
              <w:spacing w:before="145" w:line="216" w:lineRule="auto"/>
              <w:ind w:left="217"/>
            </w:pPr>
            <w:r>
              <w:rPr>
                <w:spacing w:val="-15"/>
              </w:rPr>
              <w:t>施工检测</w:t>
            </w:r>
          </w:p>
        </w:tc>
        <w:tc>
          <w:tcPr>
            <w:tcW w:w="846" w:type="dxa"/>
            <w:vMerge w:val="continue"/>
            <w:tcBorders>
              <w:top w:val="nil"/>
              <w:bottom w:val="nil"/>
              <w:right w:val="single" w:color="5B9BD5" w:sz="4" w:space="0"/>
            </w:tcBorders>
            <w:vAlign w:val="top"/>
          </w:tcPr>
          <w:p w14:paraId="48EEE2E1">
            <w:pPr>
              <w:rPr>
                <w:rFonts w:ascii="Arial"/>
                <w:sz w:val="21"/>
              </w:rPr>
            </w:pPr>
          </w:p>
        </w:tc>
      </w:tr>
      <w:tr w14:paraId="3DBAF1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6" w:hRule="atLeast"/>
        </w:trPr>
        <w:tc>
          <w:tcPr>
            <w:tcW w:w="604" w:type="dxa"/>
            <w:tcBorders>
              <w:left w:val="single" w:color="000000" w:sz="4" w:space="0"/>
            </w:tcBorders>
            <w:vAlign w:val="top"/>
          </w:tcPr>
          <w:p w14:paraId="24F9631D">
            <w:pPr>
              <w:pStyle w:val="7"/>
              <w:spacing w:before="145" w:line="237" w:lineRule="auto"/>
              <w:ind w:left="220"/>
            </w:pPr>
            <w:r>
              <w:rPr>
                <w:spacing w:val="-10"/>
              </w:rPr>
              <w:t>19</w:t>
            </w:r>
          </w:p>
        </w:tc>
        <w:tc>
          <w:tcPr>
            <w:tcW w:w="1465" w:type="dxa"/>
            <w:vAlign w:val="top"/>
          </w:tcPr>
          <w:p w14:paraId="6B8D25EC">
            <w:pPr>
              <w:pStyle w:val="7"/>
              <w:spacing w:before="145" w:line="220" w:lineRule="auto"/>
              <w:ind w:left="416"/>
            </w:pPr>
            <w:r>
              <w:rPr>
                <w:spacing w:val="-14"/>
              </w:rPr>
              <w:t>万用表</w:t>
            </w:r>
          </w:p>
        </w:tc>
        <w:tc>
          <w:tcPr>
            <w:tcW w:w="1674" w:type="dxa"/>
            <w:vAlign w:val="top"/>
          </w:tcPr>
          <w:p w14:paraId="7F71480B">
            <w:pPr>
              <w:rPr>
                <w:rFonts w:ascii="Arial"/>
                <w:sz w:val="21"/>
              </w:rPr>
            </w:pPr>
          </w:p>
        </w:tc>
        <w:tc>
          <w:tcPr>
            <w:tcW w:w="681" w:type="dxa"/>
            <w:vAlign w:val="top"/>
          </w:tcPr>
          <w:p w14:paraId="60959609">
            <w:pPr>
              <w:pStyle w:val="7"/>
              <w:spacing w:before="145" w:line="237" w:lineRule="auto"/>
              <w:ind w:left="297"/>
            </w:pPr>
            <w:r>
              <w:t>5</w:t>
            </w:r>
          </w:p>
        </w:tc>
        <w:tc>
          <w:tcPr>
            <w:tcW w:w="1117" w:type="dxa"/>
            <w:vAlign w:val="top"/>
          </w:tcPr>
          <w:p w14:paraId="3A6DFF9C">
            <w:pPr>
              <w:pStyle w:val="7"/>
              <w:spacing w:before="145" w:line="219" w:lineRule="auto"/>
              <w:ind w:left="364"/>
            </w:pPr>
            <w:r>
              <w:rPr>
                <w:spacing w:val="-14"/>
              </w:rPr>
              <w:t>南京</w:t>
            </w:r>
          </w:p>
        </w:tc>
        <w:tc>
          <w:tcPr>
            <w:tcW w:w="695" w:type="dxa"/>
            <w:vAlign w:val="top"/>
          </w:tcPr>
          <w:p w14:paraId="470DDBAB">
            <w:pPr>
              <w:pStyle w:val="7"/>
              <w:spacing w:before="145" w:line="237" w:lineRule="auto"/>
              <w:ind w:left="186" w:leftChars="0"/>
            </w:pPr>
            <w:r>
              <w:rPr>
                <w:spacing w:val="-9"/>
              </w:rPr>
              <w:t>202</w:t>
            </w:r>
            <w:r>
              <w:rPr>
                <w:rFonts w:hint="eastAsia"/>
                <w:spacing w:val="-9"/>
                <w:lang w:val="en-US" w:eastAsia="zh-CN"/>
              </w:rPr>
              <w:t>1</w:t>
            </w:r>
          </w:p>
        </w:tc>
        <w:tc>
          <w:tcPr>
            <w:tcW w:w="909" w:type="dxa"/>
            <w:vAlign w:val="top"/>
          </w:tcPr>
          <w:p w14:paraId="45ECB842">
            <w:pPr>
              <w:pStyle w:val="7"/>
              <w:spacing w:before="145" w:line="237" w:lineRule="auto"/>
              <w:ind w:left="371"/>
            </w:pPr>
            <w:r>
              <w:rPr>
                <w:spacing w:val="-10"/>
              </w:rPr>
              <w:t>15</w:t>
            </w:r>
          </w:p>
        </w:tc>
        <w:tc>
          <w:tcPr>
            <w:tcW w:w="1274" w:type="dxa"/>
            <w:vAlign w:val="top"/>
          </w:tcPr>
          <w:p w14:paraId="51B4A7D2">
            <w:pPr>
              <w:pStyle w:val="7"/>
              <w:spacing w:before="145" w:line="216" w:lineRule="auto"/>
              <w:ind w:left="217"/>
            </w:pPr>
            <w:r>
              <w:rPr>
                <w:spacing w:val="-15"/>
              </w:rPr>
              <w:t>施工检测</w:t>
            </w:r>
          </w:p>
        </w:tc>
        <w:tc>
          <w:tcPr>
            <w:tcW w:w="846" w:type="dxa"/>
            <w:vMerge w:val="continue"/>
            <w:tcBorders>
              <w:top w:val="nil"/>
              <w:bottom w:val="nil"/>
              <w:right w:val="single" w:color="5B9BD5" w:sz="4" w:space="0"/>
            </w:tcBorders>
            <w:vAlign w:val="top"/>
          </w:tcPr>
          <w:p w14:paraId="27AA9C93">
            <w:pPr>
              <w:rPr>
                <w:rFonts w:ascii="Arial"/>
                <w:sz w:val="21"/>
              </w:rPr>
            </w:pPr>
          </w:p>
        </w:tc>
      </w:tr>
      <w:tr w14:paraId="54D36C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3" w:hRule="atLeast"/>
        </w:trPr>
        <w:tc>
          <w:tcPr>
            <w:tcW w:w="604" w:type="dxa"/>
            <w:tcBorders>
              <w:left w:val="single" w:color="000000" w:sz="4" w:space="0"/>
            </w:tcBorders>
            <w:vAlign w:val="top"/>
          </w:tcPr>
          <w:p w14:paraId="039CEAC4">
            <w:pPr>
              <w:pStyle w:val="7"/>
              <w:spacing w:before="143" w:line="237" w:lineRule="auto"/>
              <w:ind w:left="205"/>
            </w:pPr>
            <w:r>
              <w:rPr>
                <w:spacing w:val="-6"/>
              </w:rPr>
              <w:t>20</w:t>
            </w:r>
          </w:p>
        </w:tc>
        <w:tc>
          <w:tcPr>
            <w:tcW w:w="1465" w:type="dxa"/>
            <w:vAlign w:val="top"/>
          </w:tcPr>
          <w:p w14:paraId="30358E2B">
            <w:pPr>
              <w:pStyle w:val="7"/>
              <w:spacing w:before="143" w:line="217" w:lineRule="auto"/>
              <w:ind w:left="413"/>
            </w:pPr>
            <w:r>
              <w:rPr>
                <w:spacing w:val="-13"/>
              </w:rPr>
              <w:t>核相器</w:t>
            </w:r>
          </w:p>
        </w:tc>
        <w:tc>
          <w:tcPr>
            <w:tcW w:w="1674" w:type="dxa"/>
            <w:vAlign w:val="top"/>
          </w:tcPr>
          <w:p w14:paraId="11806EF4">
            <w:pPr>
              <w:pStyle w:val="7"/>
              <w:spacing w:before="143" w:line="222" w:lineRule="auto"/>
              <w:ind w:left="399"/>
            </w:pPr>
            <w:r>
              <w:rPr>
                <w:spacing w:val="-9"/>
              </w:rPr>
              <w:t>DZ-10/35</w:t>
            </w:r>
          </w:p>
        </w:tc>
        <w:tc>
          <w:tcPr>
            <w:tcW w:w="681" w:type="dxa"/>
            <w:vAlign w:val="top"/>
          </w:tcPr>
          <w:p w14:paraId="028CAA18">
            <w:pPr>
              <w:pStyle w:val="7"/>
              <w:spacing w:before="143" w:line="237" w:lineRule="auto"/>
              <w:ind w:left="297"/>
            </w:pPr>
            <w:r>
              <w:t>5</w:t>
            </w:r>
          </w:p>
        </w:tc>
        <w:tc>
          <w:tcPr>
            <w:tcW w:w="1117" w:type="dxa"/>
            <w:vAlign w:val="top"/>
          </w:tcPr>
          <w:p w14:paraId="7A5365E8">
            <w:pPr>
              <w:pStyle w:val="7"/>
              <w:spacing w:before="143" w:line="219" w:lineRule="auto"/>
              <w:ind w:left="364"/>
            </w:pPr>
            <w:r>
              <w:rPr>
                <w:spacing w:val="-13"/>
              </w:rPr>
              <w:t>南京</w:t>
            </w:r>
          </w:p>
        </w:tc>
        <w:tc>
          <w:tcPr>
            <w:tcW w:w="695" w:type="dxa"/>
            <w:vAlign w:val="top"/>
          </w:tcPr>
          <w:p w14:paraId="38871D84">
            <w:pPr>
              <w:pStyle w:val="7"/>
              <w:spacing w:before="146" w:line="237" w:lineRule="auto"/>
              <w:ind w:left="186" w:leftChars="0"/>
            </w:pPr>
            <w:r>
              <w:rPr>
                <w:spacing w:val="-9"/>
              </w:rPr>
              <w:t>2022</w:t>
            </w:r>
          </w:p>
        </w:tc>
        <w:tc>
          <w:tcPr>
            <w:tcW w:w="909" w:type="dxa"/>
            <w:vAlign w:val="top"/>
          </w:tcPr>
          <w:p w14:paraId="720E92D3">
            <w:pPr>
              <w:pStyle w:val="7"/>
              <w:spacing w:before="143" w:line="237" w:lineRule="auto"/>
              <w:ind w:left="371"/>
            </w:pPr>
            <w:r>
              <w:rPr>
                <w:spacing w:val="-10"/>
              </w:rPr>
              <w:t>10</w:t>
            </w:r>
          </w:p>
        </w:tc>
        <w:tc>
          <w:tcPr>
            <w:tcW w:w="1274" w:type="dxa"/>
            <w:vAlign w:val="top"/>
          </w:tcPr>
          <w:p w14:paraId="6A419836">
            <w:pPr>
              <w:pStyle w:val="7"/>
              <w:spacing w:before="143" w:line="216" w:lineRule="auto"/>
              <w:ind w:left="217"/>
            </w:pPr>
            <w:r>
              <w:rPr>
                <w:spacing w:val="-15"/>
              </w:rPr>
              <w:t>施工检测</w:t>
            </w:r>
          </w:p>
        </w:tc>
        <w:tc>
          <w:tcPr>
            <w:tcW w:w="846" w:type="dxa"/>
            <w:vMerge w:val="continue"/>
            <w:tcBorders>
              <w:top w:val="nil"/>
              <w:bottom w:val="nil"/>
              <w:right w:val="single" w:color="5B9BD5" w:sz="4" w:space="0"/>
            </w:tcBorders>
            <w:vAlign w:val="top"/>
          </w:tcPr>
          <w:p w14:paraId="328C777C">
            <w:pPr>
              <w:rPr>
                <w:rFonts w:ascii="Arial"/>
                <w:sz w:val="21"/>
              </w:rPr>
            </w:pPr>
          </w:p>
        </w:tc>
      </w:tr>
      <w:tr w14:paraId="029C90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53" w:hRule="atLeast"/>
        </w:trPr>
        <w:tc>
          <w:tcPr>
            <w:tcW w:w="604" w:type="dxa"/>
            <w:tcBorders>
              <w:left w:val="single" w:color="000000" w:sz="4" w:space="0"/>
            </w:tcBorders>
            <w:vAlign w:val="top"/>
          </w:tcPr>
          <w:p w14:paraId="3E0CBDE8">
            <w:pPr>
              <w:spacing w:line="249" w:lineRule="auto"/>
              <w:rPr>
                <w:rFonts w:ascii="Arial"/>
                <w:sz w:val="21"/>
              </w:rPr>
            </w:pPr>
          </w:p>
          <w:p w14:paraId="6280EACD">
            <w:pPr>
              <w:pStyle w:val="7"/>
              <w:spacing w:before="78" w:line="238" w:lineRule="auto"/>
              <w:ind w:left="205"/>
            </w:pPr>
            <w:r>
              <w:rPr>
                <w:spacing w:val="-6"/>
              </w:rPr>
              <w:t>21</w:t>
            </w:r>
          </w:p>
        </w:tc>
        <w:tc>
          <w:tcPr>
            <w:tcW w:w="1465" w:type="dxa"/>
            <w:vAlign w:val="top"/>
          </w:tcPr>
          <w:p w14:paraId="0AD4BAD9">
            <w:pPr>
              <w:pStyle w:val="7"/>
              <w:spacing w:before="95" w:line="220" w:lineRule="auto"/>
              <w:ind w:left="204"/>
            </w:pPr>
            <w:r>
              <w:rPr>
                <w:spacing w:val="-18"/>
              </w:rPr>
              <w:t>交直流电流</w:t>
            </w:r>
          </w:p>
          <w:p w14:paraId="7CF9068B">
            <w:pPr>
              <w:pStyle w:val="7"/>
              <w:spacing w:before="183" w:line="220" w:lineRule="auto"/>
              <w:ind w:left="634"/>
            </w:pPr>
            <w:r>
              <w:t>表</w:t>
            </w:r>
          </w:p>
        </w:tc>
        <w:tc>
          <w:tcPr>
            <w:tcW w:w="1674" w:type="dxa"/>
            <w:vAlign w:val="top"/>
          </w:tcPr>
          <w:p w14:paraId="7720C0A2">
            <w:pPr>
              <w:spacing w:line="290" w:lineRule="auto"/>
              <w:rPr>
                <w:rFonts w:ascii="Arial"/>
                <w:sz w:val="21"/>
              </w:rPr>
            </w:pPr>
          </w:p>
          <w:p w14:paraId="0FCA6134">
            <w:pPr>
              <w:pStyle w:val="7"/>
              <w:spacing w:before="78" w:line="180" w:lineRule="auto"/>
              <w:ind w:left="563"/>
            </w:pPr>
            <w:r>
              <w:rPr>
                <w:spacing w:val="-8"/>
              </w:rPr>
              <w:t>D26-A</w:t>
            </w:r>
          </w:p>
        </w:tc>
        <w:tc>
          <w:tcPr>
            <w:tcW w:w="681" w:type="dxa"/>
            <w:vAlign w:val="top"/>
          </w:tcPr>
          <w:p w14:paraId="75C78164">
            <w:pPr>
              <w:spacing w:line="249" w:lineRule="auto"/>
              <w:rPr>
                <w:rFonts w:ascii="Arial"/>
                <w:sz w:val="21"/>
              </w:rPr>
            </w:pPr>
          </w:p>
          <w:p w14:paraId="7D3C8759">
            <w:pPr>
              <w:pStyle w:val="7"/>
              <w:spacing w:before="78" w:line="237" w:lineRule="auto"/>
              <w:ind w:left="297"/>
            </w:pPr>
            <w:r>
              <w:t>5</w:t>
            </w:r>
          </w:p>
        </w:tc>
        <w:tc>
          <w:tcPr>
            <w:tcW w:w="1117" w:type="dxa"/>
            <w:vAlign w:val="top"/>
          </w:tcPr>
          <w:p w14:paraId="5AC33AD9">
            <w:pPr>
              <w:spacing w:line="249" w:lineRule="auto"/>
              <w:rPr>
                <w:rFonts w:ascii="Arial"/>
                <w:sz w:val="21"/>
              </w:rPr>
            </w:pPr>
          </w:p>
          <w:p w14:paraId="18C7DBBF">
            <w:pPr>
              <w:pStyle w:val="7"/>
              <w:spacing w:before="78" w:line="219" w:lineRule="auto"/>
              <w:ind w:left="364"/>
            </w:pPr>
            <w:r>
              <w:rPr>
                <w:spacing w:val="-13"/>
              </w:rPr>
              <w:t>南京</w:t>
            </w:r>
          </w:p>
        </w:tc>
        <w:tc>
          <w:tcPr>
            <w:tcW w:w="695" w:type="dxa"/>
            <w:vAlign w:val="top"/>
          </w:tcPr>
          <w:p w14:paraId="2F1F2A39">
            <w:pPr>
              <w:pStyle w:val="7"/>
              <w:spacing w:before="145" w:line="237" w:lineRule="auto"/>
              <w:ind w:left="186" w:leftChars="0"/>
            </w:pPr>
            <w:r>
              <w:rPr>
                <w:spacing w:val="-9"/>
              </w:rPr>
              <w:t>202</w:t>
            </w:r>
            <w:r>
              <w:rPr>
                <w:rFonts w:hint="eastAsia"/>
                <w:spacing w:val="-9"/>
                <w:lang w:val="en-US" w:eastAsia="zh-CN"/>
              </w:rPr>
              <w:t>1</w:t>
            </w:r>
          </w:p>
        </w:tc>
        <w:tc>
          <w:tcPr>
            <w:tcW w:w="909" w:type="dxa"/>
            <w:vAlign w:val="top"/>
          </w:tcPr>
          <w:p w14:paraId="72FDD86A">
            <w:pPr>
              <w:spacing w:line="249" w:lineRule="auto"/>
              <w:rPr>
                <w:rFonts w:ascii="Arial"/>
                <w:sz w:val="21"/>
              </w:rPr>
            </w:pPr>
          </w:p>
          <w:p w14:paraId="24CA2D67">
            <w:pPr>
              <w:pStyle w:val="7"/>
              <w:spacing w:before="78" w:line="237" w:lineRule="auto"/>
              <w:ind w:left="371"/>
            </w:pPr>
            <w:r>
              <w:rPr>
                <w:spacing w:val="-10"/>
              </w:rPr>
              <w:t>10</w:t>
            </w:r>
          </w:p>
        </w:tc>
        <w:tc>
          <w:tcPr>
            <w:tcW w:w="1274" w:type="dxa"/>
            <w:vAlign w:val="top"/>
          </w:tcPr>
          <w:p w14:paraId="7A6A6440">
            <w:pPr>
              <w:spacing w:line="249" w:lineRule="auto"/>
              <w:rPr>
                <w:rFonts w:ascii="Arial"/>
                <w:sz w:val="21"/>
              </w:rPr>
            </w:pPr>
          </w:p>
          <w:p w14:paraId="0AF4A6B4">
            <w:pPr>
              <w:pStyle w:val="7"/>
              <w:spacing w:before="78" w:line="216" w:lineRule="auto"/>
              <w:ind w:left="217"/>
            </w:pPr>
            <w:r>
              <w:rPr>
                <w:spacing w:val="-15"/>
              </w:rPr>
              <w:t>施工检测</w:t>
            </w:r>
          </w:p>
        </w:tc>
        <w:tc>
          <w:tcPr>
            <w:tcW w:w="846" w:type="dxa"/>
            <w:vMerge w:val="continue"/>
            <w:tcBorders>
              <w:top w:val="nil"/>
              <w:bottom w:val="nil"/>
              <w:right w:val="single" w:color="5B9BD5" w:sz="4" w:space="0"/>
            </w:tcBorders>
            <w:vAlign w:val="top"/>
          </w:tcPr>
          <w:p w14:paraId="50C68653">
            <w:pPr>
              <w:rPr>
                <w:rFonts w:ascii="Arial"/>
                <w:sz w:val="21"/>
              </w:rPr>
            </w:pPr>
          </w:p>
        </w:tc>
      </w:tr>
      <w:tr w14:paraId="747854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3" w:hRule="atLeast"/>
        </w:trPr>
        <w:tc>
          <w:tcPr>
            <w:tcW w:w="604" w:type="dxa"/>
            <w:tcBorders>
              <w:left w:val="single" w:color="000000" w:sz="4" w:space="0"/>
            </w:tcBorders>
            <w:vAlign w:val="top"/>
          </w:tcPr>
          <w:p w14:paraId="642046E6">
            <w:pPr>
              <w:pStyle w:val="7"/>
              <w:spacing w:before="145" w:line="238" w:lineRule="auto"/>
              <w:ind w:left="205"/>
            </w:pPr>
            <w:r>
              <w:rPr>
                <w:spacing w:val="-6"/>
              </w:rPr>
              <w:t>22</w:t>
            </w:r>
          </w:p>
        </w:tc>
        <w:tc>
          <w:tcPr>
            <w:tcW w:w="1465" w:type="dxa"/>
            <w:vAlign w:val="top"/>
          </w:tcPr>
          <w:p w14:paraId="4C773DC4">
            <w:pPr>
              <w:pStyle w:val="7"/>
              <w:spacing w:before="145" w:line="218" w:lineRule="auto"/>
              <w:ind w:left="309"/>
            </w:pPr>
            <w:r>
              <w:rPr>
                <w:spacing w:val="-16"/>
              </w:rPr>
              <w:t>游标卡尺</w:t>
            </w:r>
          </w:p>
        </w:tc>
        <w:tc>
          <w:tcPr>
            <w:tcW w:w="1674" w:type="dxa"/>
            <w:vAlign w:val="top"/>
          </w:tcPr>
          <w:p w14:paraId="054FCD32">
            <w:pPr>
              <w:pStyle w:val="7"/>
              <w:spacing w:before="145" w:line="237" w:lineRule="auto"/>
              <w:ind w:left="406"/>
            </w:pPr>
            <w:r>
              <w:rPr>
                <w:spacing w:val="-12"/>
              </w:rPr>
              <w:t>0～300mm</w:t>
            </w:r>
          </w:p>
        </w:tc>
        <w:tc>
          <w:tcPr>
            <w:tcW w:w="681" w:type="dxa"/>
            <w:vAlign w:val="top"/>
          </w:tcPr>
          <w:p w14:paraId="47A4473E">
            <w:pPr>
              <w:pStyle w:val="7"/>
              <w:spacing w:before="145" w:line="237" w:lineRule="auto"/>
              <w:ind w:left="255"/>
            </w:pPr>
            <w:r>
              <w:rPr>
                <w:spacing w:val="-10"/>
              </w:rPr>
              <w:t>15</w:t>
            </w:r>
          </w:p>
        </w:tc>
        <w:tc>
          <w:tcPr>
            <w:tcW w:w="1117" w:type="dxa"/>
            <w:vAlign w:val="top"/>
          </w:tcPr>
          <w:p w14:paraId="311E827C">
            <w:pPr>
              <w:pStyle w:val="7"/>
              <w:spacing w:before="144" w:line="220" w:lineRule="auto"/>
              <w:ind w:left="356"/>
            </w:pPr>
            <w:r>
              <w:rPr>
                <w:spacing w:val="-10"/>
              </w:rPr>
              <w:t>西安</w:t>
            </w:r>
          </w:p>
        </w:tc>
        <w:tc>
          <w:tcPr>
            <w:tcW w:w="695" w:type="dxa"/>
            <w:vAlign w:val="top"/>
          </w:tcPr>
          <w:p w14:paraId="5428C639">
            <w:pPr>
              <w:pStyle w:val="7"/>
              <w:spacing w:before="146" w:line="237" w:lineRule="auto"/>
              <w:ind w:left="186" w:leftChars="0"/>
            </w:pPr>
            <w:r>
              <w:rPr>
                <w:spacing w:val="-9"/>
              </w:rPr>
              <w:t>2022</w:t>
            </w:r>
          </w:p>
        </w:tc>
        <w:tc>
          <w:tcPr>
            <w:tcW w:w="909" w:type="dxa"/>
            <w:vAlign w:val="top"/>
          </w:tcPr>
          <w:p w14:paraId="144E894D">
            <w:pPr>
              <w:pStyle w:val="7"/>
              <w:spacing w:before="145" w:line="237" w:lineRule="auto"/>
              <w:ind w:left="371"/>
            </w:pPr>
            <w:r>
              <w:rPr>
                <w:spacing w:val="-10"/>
              </w:rPr>
              <w:t>10</w:t>
            </w:r>
          </w:p>
        </w:tc>
        <w:tc>
          <w:tcPr>
            <w:tcW w:w="1274" w:type="dxa"/>
            <w:vAlign w:val="top"/>
          </w:tcPr>
          <w:p w14:paraId="342D2D57">
            <w:pPr>
              <w:pStyle w:val="7"/>
              <w:spacing w:before="145" w:line="216" w:lineRule="auto"/>
              <w:ind w:left="217"/>
            </w:pPr>
            <w:r>
              <w:rPr>
                <w:spacing w:val="-15"/>
              </w:rPr>
              <w:t>施工检测</w:t>
            </w:r>
          </w:p>
        </w:tc>
        <w:tc>
          <w:tcPr>
            <w:tcW w:w="846" w:type="dxa"/>
            <w:vMerge w:val="continue"/>
            <w:tcBorders>
              <w:top w:val="nil"/>
              <w:bottom w:val="nil"/>
              <w:right w:val="single" w:color="5B9BD5" w:sz="4" w:space="0"/>
            </w:tcBorders>
            <w:vAlign w:val="top"/>
          </w:tcPr>
          <w:p w14:paraId="6D187488">
            <w:pPr>
              <w:rPr>
                <w:rFonts w:ascii="Arial"/>
                <w:sz w:val="21"/>
              </w:rPr>
            </w:pPr>
          </w:p>
        </w:tc>
      </w:tr>
      <w:tr w14:paraId="15517C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6" w:hRule="atLeast"/>
        </w:trPr>
        <w:tc>
          <w:tcPr>
            <w:tcW w:w="604" w:type="dxa"/>
            <w:tcBorders>
              <w:left w:val="single" w:color="000000" w:sz="4" w:space="0"/>
            </w:tcBorders>
            <w:vAlign w:val="top"/>
          </w:tcPr>
          <w:p w14:paraId="181E9E54">
            <w:pPr>
              <w:pStyle w:val="7"/>
              <w:spacing w:before="148" w:line="237" w:lineRule="auto"/>
              <w:ind w:left="205"/>
            </w:pPr>
            <w:r>
              <w:rPr>
                <w:spacing w:val="-6"/>
              </w:rPr>
              <w:t>23</w:t>
            </w:r>
          </w:p>
        </w:tc>
        <w:tc>
          <w:tcPr>
            <w:tcW w:w="1465" w:type="dxa"/>
            <w:vAlign w:val="top"/>
          </w:tcPr>
          <w:p w14:paraId="239E125F">
            <w:pPr>
              <w:pStyle w:val="7"/>
              <w:spacing w:before="148" w:line="216" w:lineRule="auto"/>
              <w:ind w:left="198"/>
            </w:pPr>
            <w:r>
              <w:rPr>
                <w:spacing w:val="-17"/>
              </w:rPr>
              <w:t>焊接检验尺</w:t>
            </w:r>
          </w:p>
        </w:tc>
        <w:tc>
          <w:tcPr>
            <w:tcW w:w="1674" w:type="dxa"/>
            <w:vAlign w:val="top"/>
          </w:tcPr>
          <w:p w14:paraId="1190BCDB">
            <w:pPr>
              <w:pStyle w:val="7"/>
              <w:spacing w:before="148" w:line="237" w:lineRule="auto"/>
              <w:ind w:left="204"/>
            </w:pPr>
            <w:r>
              <w:rPr>
                <w:spacing w:val="-11"/>
              </w:rPr>
              <w:t>65°30mm</w:t>
            </w:r>
          </w:p>
        </w:tc>
        <w:tc>
          <w:tcPr>
            <w:tcW w:w="681" w:type="dxa"/>
            <w:vAlign w:val="top"/>
          </w:tcPr>
          <w:p w14:paraId="6FD8C00D">
            <w:pPr>
              <w:pStyle w:val="7"/>
              <w:spacing w:before="148" w:line="237" w:lineRule="auto"/>
              <w:ind w:left="255"/>
            </w:pPr>
            <w:r>
              <w:rPr>
                <w:spacing w:val="-10"/>
              </w:rPr>
              <w:t>15</w:t>
            </w:r>
          </w:p>
        </w:tc>
        <w:tc>
          <w:tcPr>
            <w:tcW w:w="1117" w:type="dxa"/>
            <w:vAlign w:val="top"/>
          </w:tcPr>
          <w:p w14:paraId="672C7D9D">
            <w:pPr>
              <w:pStyle w:val="7"/>
              <w:spacing w:before="147" w:line="220" w:lineRule="auto"/>
              <w:ind w:left="356"/>
            </w:pPr>
            <w:r>
              <w:rPr>
                <w:spacing w:val="-11"/>
              </w:rPr>
              <w:t>西安</w:t>
            </w:r>
          </w:p>
        </w:tc>
        <w:tc>
          <w:tcPr>
            <w:tcW w:w="695" w:type="dxa"/>
            <w:vAlign w:val="top"/>
          </w:tcPr>
          <w:p w14:paraId="02E5351C">
            <w:pPr>
              <w:pStyle w:val="7"/>
              <w:spacing w:before="145" w:line="237" w:lineRule="auto"/>
              <w:ind w:left="186" w:leftChars="0"/>
            </w:pPr>
            <w:r>
              <w:rPr>
                <w:spacing w:val="-9"/>
              </w:rPr>
              <w:t>202</w:t>
            </w:r>
            <w:r>
              <w:rPr>
                <w:rFonts w:hint="eastAsia"/>
                <w:spacing w:val="-9"/>
                <w:lang w:val="en-US" w:eastAsia="zh-CN"/>
              </w:rPr>
              <w:t>1</w:t>
            </w:r>
          </w:p>
        </w:tc>
        <w:tc>
          <w:tcPr>
            <w:tcW w:w="909" w:type="dxa"/>
            <w:vAlign w:val="top"/>
          </w:tcPr>
          <w:p w14:paraId="2579869A">
            <w:pPr>
              <w:pStyle w:val="7"/>
              <w:spacing w:before="148" w:line="237" w:lineRule="auto"/>
              <w:ind w:left="356"/>
            </w:pPr>
            <w:r>
              <w:rPr>
                <w:spacing w:val="-6"/>
              </w:rPr>
              <w:t>20</w:t>
            </w:r>
          </w:p>
        </w:tc>
        <w:tc>
          <w:tcPr>
            <w:tcW w:w="1274" w:type="dxa"/>
            <w:vAlign w:val="top"/>
          </w:tcPr>
          <w:p w14:paraId="1B652F79">
            <w:pPr>
              <w:pStyle w:val="7"/>
              <w:spacing w:before="148" w:line="216" w:lineRule="auto"/>
              <w:ind w:left="217"/>
            </w:pPr>
            <w:r>
              <w:rPr>
                <w:spacing w:val="-15"/>
              </w:rPr>
              <w:t>施工检测</w:t>
            </w:r>
          </w:p>
        </w:tc>
        <w:tc>
          <w:tcPr>
            <w:tcW w:w="846" w:type="dxa"/>
            <w:vMerge w:val="continue"/>
            <w:tcBorders>
              <w:top w:val="nil"/>
              <w:bottom w:val="nil"/>
              <w:right w:val="single" w:color="5B9BD5" w:sz="4" w:space="0"/>
            </w:tcBorders>
            <w:vAlign w:val="top"/>
          </w:tcPr>
          <w:p w14:paraId="4F610AE8">
            <w:pPr>
              <w:rPr>
                <w:rFonts w:ascii="Arial"/>
                <w:sz w:val="21"/>
              </w:rPr>
            </w:pPr>
          </w:p>
        </w:tc>
      </w:tr>
      <w:tr w14:paraId="09A2F2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52" w:hRule="atLeast"/>
        </w:trPr>
        <w:tc>
          <w:tcPr>
            <w:tcW w:w="604" w:type="dxa"/>
            <w:tcBorders>
              <w:left w:val="single" w:color="000000" w:sz="4" w:space="0"/>
            </w:tcBorders>
            <w:vAlign w:val="top"/>
          </w:tcPr>
          <w:p w14:paraId="10148719">
            <w:pPr>
              <w:spacing w:line="251" w:lineRule="auto"/>
              <w:rPr>
                <w:rFonts w:ascii="Arial"/>
                <w:sz w:val="21"/>
              </w:rPr>
            </w:pPr>
          </w:p>
          <w:p w14:paraId="79679DA5">
            <w:pPr>
              <w:pStyle w:val="7"/>
              <w:spacing w:before="78" w:line="238" w:lineRule="auto"/>
              <w:ind w:left="205"/>
            </w:pPr>
            <w:r>
              <w:rPr>
                <w:spacing w:val="-6"/>
              </w:rPr>
              <w:t>24</w:t>
            </w:r>
          </w:p>
        </w:tc>
        <w:tc>
          <w:tcPr>
            <w:tcW w:w="1465" w:type="dxa"/>
            <w:vAlign w:val="top"/>
          </w:tcPr>
          <w:p w14:paraId="0C394554">
            <w:pPr>
              <w:spacing w:line="250" w:lineRule="auto"/>
              <w:rPr>
                <w:rFonts w:ascii="Arial"/>
                <w:sz w:val="21"/>
              </w:rPr>
            </w:pPr>
          </w:p>
          <w:p w14:paraId="73917747">
            <w:pPr>
              <w:pStyle w:val="7"/>
              <w:spacing w:before="78" w:line="220" w:lineRule="auto"/>
              <w:ind w:left="414"/>
            </w:pPr>
            <w:r>
              <w:rPr>
                <w:spacing w:val="-14"/>
              </w:rPr>
              <w:t>压力表</w:t>
            </w:r>
          </w:p>
        </w:tc>
        <w:tc>
          <w:tcPr>
            <w:tcW w:w="1674" w:type="dxa"/>
            <w:vAlign w:val="top"/>
          </w:tcPr>
          <w:p w14:paraId="06D8097F">
            <w:pPr>
              <w:pStyle w:val="7"/>
              <w:spacing w:before="97" w:line="220" w:lineRule="auto"/>
              <w:ind w:left="366"/>
            </w:pPr>
            <w:r>
              <w:rPr>
                <w:spacing w:val="8"/>
              </w:rPr>
              <w:t>1.5级0~</w:t>
            </w:r>
          </w:p>
          <w:p w14:paraId="5786F552">
            <w:pPr>
              <w:pStyle w:val="7"/>
              <w:spacing w:before="182" w:line="236" w:lineRule="auto"/>
              <w:ind w:left="530"/>
            </w:pPr>
            <w:r>
              <w:rPr>
                <w:spacing w:val="-12"/>
              </w:rPr>
              <w:t>1.6MPa</w:t>
            </w:r>
          </w:p>
        </w:tc>
        <w:tc>
          <w:tcPr>
            <w:tcW w:w="681" w:type="dxa"/>
            <w:vAlign w:val="top"/>
          </w:tcPr>
          <w:p w14:paraId="3024B913">
            <w:pPr>
              <w:spacing w:line="251" w:lineRule="auto"/>
              <w:rPr>
                <w:rFonts w:ascii="Arial"/>
                <w:sz w:val="21"/>
              </w:rPr>
            </w:pPr>
          </w:p>
          <w:p w14:paraId="220826CB">
            <w:pPr>
              <w:pStyle w:val="7"/>
              <w:spacing w:before="78" w:line="237" w:lineRule="auto"/>
              <w:ind w:left="297"/>
            </w:pPr>
            <w:r>
              <w:t>5</w:t>
            </w:r>
          </w:p>
        </w:tc>
        <w:tc>
          <w:tcPr>
            <w:tcW w:w="1117" w:type="dxa"/>
            <w:vAlign w:val="top"/>
          </w:tcPr>
          <w:p w14:paraId="71DA4EFA">
            <w:pPr>
              <w:spacing w:line="250" w:lineRule="auto"/>
              <w:rPr>
                <w:rFonts w:ascii="Arial"/>
                <w:sz w:val="21"/>
              </w:rPr>
            </w:pPr>
          </w:p>
          <w:p w14:paraId="67A4E8DF">
            <w:pPr>
              <w:pStyle w:val="7"/>
              <w:spacing w:before="78" w:line="220" w:lineRule="auto"/>
              <w:ind w:left="356"/>
            </w:pPr>
            <w:r>
              <w:rPr>
                <w:spacing w:val="-11"/>
              </w:rPr>
              <w:t>西安</w:t>
            </w:r>
          </w:p>
        </w:tc>
        <w:tc>
          <w:tcPr>
            <w:tcW w:w="695" w:type="dxa"/>
            <w:vAlign w:val="top"/>
          </w:tcPr>
          <w:p w14:paraId="56DF8B68">
            <w:pPr>
              <w:pStyle w:val="7"/>
              <w:spacing w:before="146" w:line="237" w:lineRule="auto"/>
              <w:ind w:left="186" w:leftChars="0"/>
            </w:pPr>
            <w:r>
              <w:rPr>
                <w:spacing w:val="-9"/>
              </w:rPr>
              <w:t>2022</w:t>
            </w:r>
          </w:p>
        </w:tc>
        <w:tc>
          <w:tcPr>
            <w:tcW w:w="909" w:type="dxa"/>
            <w:vAlign w:val="top"/>
          </w:tcPr>
          <w:p w14:paraId="1C6B8574">
            <w:pPr>
              <w:spacing w:line="251" w:lineRule="auto"/>
              <w:rPr>
                <w:rFonts w:ascii="Arial"/>
                <w:sz w:val="21"/>
              </w:rPr>
            </w:pPr>
          </w:p>
          <w:p w14:paraId="0401DD45">
            <w:pPr>
              <w:pStyle w:val="7"/>
              <w:spacing w:before="78" w:line="237" w:lineRule="auto"/>
              <w:ind w:left="356"/>
            </w:pPr>
            <w:r>
              <w:rPr>
                <w:spacing w:val="-6"/>
              </w:rPr>
              <w:t>20</w:t>
            </w:r>
          </w:p>
        </w:tc>
        <w:tc>
          <w:tcPr>
            <w:tcW w:w="1274" w:type="dxa"/>
            <w:vAlign w:val="top"/>
          </w:tcPr>
          <w:p w14:paraId="31D02AC5">
            <w:pPr>
              <w:spacing w:line="251" w:lineRule="auto"/>
              <w:rPr>
                <w:rFonts w:ascii="Arial"/>
                <w:sz w:val="21"/>
              </w:rPr>
            </w:pPr>
          </w:p>
          <w:p w14:paraId="2BF1AAEB">
            <w:pPr>
              <w:pStyle w:val="7"/>
              <w:spacing w:before="78" w:line="216" w:lineRule="auto"/>
              <w:ind w:left="217"/>
            </w:pPr>
            <w:r>
              <w:rPr>
                <w:spacing w:val="-15"/>
              </w:rPr>
              <w:t>施工检测</w:t>
            </w:r>
          </w:p>
        </w:tc>
        <w:tc>
          <w:tcPr>
            <w:tcW w:w="846" w:type="dxa"/>
            <w:vMerge w:val="continue"/>
            <w:tcBorders>
              <w:top w:val="nil"/>
              <w:bottom w:val="nil"/>
              <w:right w:val="single" w:color="5B9BD5" w:sz="4" w:space="0"/>
            </w:tcBorders>
            <w:vAlign w:val="top"/>
          </w:tcPr>
          <w:p w14:paraId="1320BA66">
            <w:pPr>
              <w:rPr>
                <w:rFonts w:ascii="Arial"/>
                <w:sz w:val="21"/>
              </w:rPr>
            </w:pPr>
          </w:p>
        </w:tc>
      </w:tr>
      <w:tr w14:paraId="769500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6" w:hRule="atLeast"/>
        </w:trPr>
        <w:tc>
          <w:tcPr>
            <w:tcW w:w="604" w:type="dxa"/>
            <w:tcBorders>
              <w:left w:val="single" w:color="000000" w:sz="4" w:space="0"/>
              <w:bottom w:val="single" w:color="000000" w:sz="4" w:space="0"/>
            </w:tcBorders>
            <w:vAlign w:val="top"/>
          </w:tcPr>
          <w:p w14:paraId="38CE5A87">
            <w:pPr>
              <w:pStyle w:val="7"/>
              <w:spacing w:before="149" w:line="237" w:lineRule="auto"/>
              <w:ind w:left="205"/>
            </w:pPr>
            <w:r>
              <w:rPr>
                <w:spacing w:val="-6"/>
              </w:rPr>
              <w:t>25</w:t>
            </w:r>
          </w:p>
        </w:tc>
        <w:tc>
          <w:tcPr>
            <w:tcW w:w="1465" w:type="dxa"/>
            <w:tcBorders>
              <w:bottom w:val="single" w:color="000000" w:sz="4" w:space="0"/>
            </w:tcBorders>
            <w:vAlign w:val="top"/>
          </w:tcPr>
          <w:p w14:paraId="3898D040">
            <w:pPr>
              <w:pStyle w:val="7"/>
              <w:spacing w:before="149" w:line="220" w:lineRule="auto"/>
              <w:ind w:left="306"/>
            </w:pPr>
            <w:r>
              <w:rPr>
                <w:spacing w:val="-15"/>
              </w:rPr>
              <w:t>磁力线坠</w:t>
            </w:r>
          </w:p>
        </w:tc>
        <w:tc>
          <w:tcPr>
            <w:tcW w:w="1674" w:type="dxa"/>
            <w:tcBorders>
              <w:bottom w:val="single" w:color="000000" w:sz="4" w:space="0"/>
            </w:tcBorders>
            <w:vAlign w:val="top"/>
          </w:tcPr>
          <w:p w14:paraId="6AE592E9">
            <w:pPr>
              <w:pStyle w:val="7"/>
              <w:spacing w:before="149" w:line="211" w:lineRule="auto"/>
              <w:ind w:left="625"/>
            </w:pPr>
            <w:r>
              <w:rPr>
                <w:spacing w:val="-9"/>
              </w:rPr>
              <w:t>200g</w:t>
            </w:r>
          </w:p>
        </w:tc>
        <w:tc>
          <w:tcPr>
            <w:tcW w:w="681" w:type="dxa"/>
            <w:tcBorders>
              <w:bottom w:val="single" w:color="000000" w:sz="4" w:space="0"/>
            </w:tcBorders>
            <w:vAlign w:val="top"/>
          </w:tcPr>
          <w:p w14:paraId="0FE6D679">
            <w:pPr>
              <w:pStyle w:val="7"/>
              <w:spacing w:before="149" w:line="237" w:lineRule="auto"/>
              <w:ind w:left="240"/>
            </w:pPr>
            <w:r>
              <w:rPr>
                <w:spacing w:val="-6"/>
              </w:rPr>
              <w:t>20</w:t>
            </w:r>
          </w:p>
        </w:tc>
        <w:tc>
          <w:tcPr>
            <w:tcW w:w="1117" w:type="dxa"/>
            <w:tcBorders>
              <w:bottom w:val="single" w:color="000000" w:sz="4" w:space="0"/>
            </w:tcBorders>
            <w:vAlign w:val="top"/>
          </w:tcPr>
          <w:p w14:paraId="68D08AF9">
            <w:pPr>
              <w:pStyle w:val="7"/>
              <w:spacing w:before="149" w:line="220" w:lineRule="auto"/>
              <w:ind w:left="356"/>
            </w:pPr>
            <w:r>
              <w:rPr>
                <w:spacing w:val="-11"/>
              </w:rPr>
              <w:t>西安</w:t>
            </w:r>
          </w:p>
        </w:tc>
        <w:tc>
          <w:tcPr>
            <w:tcW w:w="695" w:type="dxa"/>
            <w:tcBorders>
              <w:bottom w:val="single" w:color="000000" w:sz="4" w:space="0"/>
            </w:tcBorders>
            <w:vAlign w:val="top"/>
          </w:tcPr>
          <w:p w14:paraId="067F6BCA">
            <w:pPr>
              <w:pStyle w:val="7"/>
              <w:spacing w:before="145" w:line="237" w:lineRule="auto"/>
              <w:ind w:left="186" w:leftChars="0"/>
            </w:pPr>
            <w:r>
              <w:rPr>
                <w:spacing w:val="-9"/>
              </w:rPr>
              <w:t>202</w:t>
            </w:r>
            <w:r>
              <w:rPr>
                <w:rFonts w:hint="eastAsia"/>
                <w:spacing w:val="-9"/>
                <w:lang w:val="en-US" w:eastAsia="zh-CN"/>
              </w:rPr>
              <w:t>1</w:t>
            </w:r>
          </w:p>
        </w:tc>
        <w:tc>
          <w:tcPr>
            <w:tcW w:w="909" w:type="dxa"/>
            <w:tcBorders>
              <w:bottom w:val="single" w:color="000000" w:sz="4" w:space="0"/>
            </w:tcBorders>
            <w:vAlign w:val="top"/>
          </w:tcPr>
          <w:p w14:paraId="4E5C4758">
            <w:pPr>
              <w:pStyle w:val="7"/>
              <w:spacing w:before="149" w:line="237" w:lineRule="auto"/>
              <w:ind w:left="356"/>
            </w:pPr>
            <w:r>
              <w:rPr>
                <w:spacing w:val="-6"/>
              </w:rPr>
              <w:t>20</w:t>
            </w:r>
          </w:p>
        </w:tc>
        <w:tc>
          <w:tcPr>
            <w:tcW w:w="1274" w:type="dxa"/>
            <w:tcBorders>
              <w:bottom w:val="single" w:color="000000" w:sz="4" w:space="0"/>
            </w:tcBorders>
            <w:vAlign w:val="top"/>
          </w:tcPr>
          <w:p w14:paraId="2CDDB4AD">
            <w:pPr>
              <w:pStyle w:val="7"/>
              <w:spacing w:before="149" w:line="216" w:lineRule="auto"/>
              <w:ind w:left="217"/>
            </w:pPr>
            <w:r>
              <w:rPr>
                <w:spacing w:val="-15"/>
              </w:rPr>
              <w:t>施工检测</w:t>
            </w:r>
          </w:p>
        </w:tc>
        <w:tc>
          <w:tcPr>
            <w:tcW w:w="846" w:type="dxa"/>
            <w:vMerge w:val="continue"/>
            <w:tcBorders>
              <w:top w:val="nil"/>
              <w:bottom w:val="nil"/>
              <w:right w:val="single" w:color="5B9BD5" w:sz="4" w:space="0"/>
            </w:tcBorders>
            <w:vAlign w:val="top"/>
          </w:tcPr>
          <w:p w14:paraId="2FBDFEC8">
            <w:pPr>
              <w:rPr>
                <w:rFonts w:ascii="Arial"/>
                <w:sz w:val="21"/>
              </w:rPr>
            </w:pPr>
          </w:p>
        </w:tc>
      </w:tr>
      <w:tr w14:paraId="77F731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1" w:hRule="atLeast"/>
        </w:trPr>
        <w:tc>
          <w:tcPr>
            <w:tcW w:w="604" w:type="dxa"/>
            <w:tcBorders>
              <w:top w:val="single" w:color="000000" w:sz="4" w:space="0"/>
              <w:left w:val="single" w:color="000000" w:sz="4" w:space="0"/>
            </w:tcBorders>
            <w:vAlign w:val="top"/>
          </w:tcPr>
          <w:p w14:paraId="39127129">
            <w:pPr>
              <w:pStyle w:val="7"/>
              <w:spacing w:before="145" w:line="237" w:lineRule="auto"/>
              <w:ind w:left="205"/>
            </w:pPr>
            <w:r>
              <w:rPr>
                <w:spacing w:val="-6"/>
              </w:rPr>
              <w:t>26</w:t>
            </w:r>
          </w:p>
        </w:tc>
        <w:tc>
          <w:tcPr>
            <w:tcW w:w="1465" w:type="dxa"/>
            <w:tcBorders>
              <w:top w:val="single" w:color="000000" w:sz="4" w:space="0"/>
            </w:tcBorders>
            <w:vAlign w:val="top"/>
          </w:tcPr>
          <w:p w14:paraId="7C92AF30">
            <w:pPr>
              <w:pStyle w:val="7"/>
              <w:spacing w:before="145" w:line="218" w:lineRule="auto"/>
              <w:ind w:left="201"/>
            </w:pPr>
            <w:r>
              <w:rPr>
                <w:spacing w:val="-18"/>
              </w:rPr>
              <w:t>热电风速仪</w:t>
            </w:r>
          </w:p>
        </w:tc>
        <w:tc>
          <w:tcPr>
            <w:tcW w:w="1674" w:type="dxa"/>
            <w:tcBorders>
              <w:top w:val="single" w:color="000000" w:sz="4" w:space="0"/>
            </w:tcBorders>
            <w:vAlign w:val="top"/>
          </w:tcPr>
          <w:p w14:paraId="70D5AD35">
            <w:pPr>
              <w:pStyle w:val="7"/>
              <w:spacing w:before="145" w:line="222" w:lineRule="auto"/>
              <w:ind w:left="565"/>
            </w:pPr>
            <w:r>
              <w:rPr>
                <w:spacing w:val="-9"/>
              </w:rPr>
              <w:t>QDF-2</w:t>
            </w:r>
          </w:p>
        </w:tc>
        <w:tc>
          <w:tcPr>
            <w:tcW w:w="681" w:type="dxa"/>
            <w:tcBorders>
              <w:top w:val="single" w:color="000000" w:sz="4" w:space="0"/>
            </w:tcBorders>
            <w:vAlign w:val="top"/>
          </w:tcPr>
          <w:p w14:paraId="0FA17899">
            <w:pPr>
              <w:pStyle w:val="7"/>
              <w:spacing w:before="145" w:line="237" w:lineRule="auto"/>
              <w:ind w:left="297"/>
            </w:pPr>
            <w:r>
              <w:t>5</w:t>
            </w:r>
          </w:p>
        </w:tc>
        <w:tc>
          <w:tcPr>
            <w:tcW w:w="1117" w:type="dxa"/>
            <w:tcBorders>
              <w:top w:val="single" w:color="000000" w:sz="4" w:space="0"/>
            </w:tcBorders>
            <w:vAlign w:val="top"/>
          </w:tcPr>
          <w:p w14:paraId="541D1E8B">
            <w:pPr>
              <w:pStyle w:val="7"/>
              <w:spacing w:before="145" w:line="219" w:lineRule="auto"/>
              <w:ind w:left="364"/>
            </w:pPr>
            <w:r>
              <w:rPr>
                <w:spacing w:val="-14"/>
              </w:rPr>
              <w:t>南京</w:t>
            </w:r>
          </w:p>
        </w:tc>
        <w:tc>
          <w:tcPr>
            <w:tcW w:w="695" w:type="dxa"/>
            <w:tcBorders>
              <w:top w:val="single" w:color="000000" w:sz="4" w:space="0"/>
            </w:tcBorders>
            <w:vAlign w:val="top"/>
          </w:tcPr>
          <w:p w14:paraId="785FB43C">
            <w:pPr>
              <w:pStyle w:val="7"/>
              <w:spacing w:before="146" w:line="237" w:lineRule="auto"/>
              <w:ind w:left="186" w:leftChars="0"/>
            </w:pPr>
            <w:r>
              <w:rPr>
                <w:spacing w:val="-9"/>
              </w:rPr>
              <w:t>2022</w:t>
            </w:r>
          </w:p>
        </w:tc>
        <w:tc>
          <w:tcPr>
            <w:tcW w:w="909" w:type="dxa"/>
            <w:tcBorders>
              <w:top w:val="single" w:color="000000" w:sz="4" w:space="0"/>
            </w:tcBorders>
            <w:vAlign w:val="top"/>
          </w:tcPr>
          <w:p w14:paraId="1A37E8F6">
            <w:pPr>
              <w:pStyle w:val="7"/>
              <w:spacing w:before="145" w:line="237" w:lineRule="auto"/>
              <w:ind w:left="371"/>
            </w:pPr>
            <w:r>
              <w:rPr>
                <w:spacing w:val="-10"/>
              </w:rPr>
              <w:t>10</w:t>
            </w:r>
          </w:p>
        </w:tc>
        <w:tc>
          <w:tcPr>
            <w:tcW w:w="1274" w:type="dxa"/>
            <w:tcBorders>
              <w:top w:val="single" w:color="000000" w:sz="4" w:space="0"/>
            </w:tcBorders>
            <w:vAlign w:val="top"/>
          </w:tcPr>
          <w:p w14:paraId="2702D18A">
            <w:pPr>
              <w:pStyle w:val="7"/>
              <w:spacing w:before="145" w:line="216" w:lineRule="auto"/>
              <w:ind w:left="217"/>
            </w:pPr>
            <w:r>
              <w:rPr>
                <w:spacing w:val="-15"/>
              </w:rPr>
              <w:t>施工检测</w:t>
            </w:r>
          </w:p>
        </w:tc>
        <w:tc>
          <w:tcPr>
            <w:tcW w:w="846" w:type="dxa"/>
            <w:vMerge w:val="continue"/>
            <w:tcBorders>
              <w:top w:val="nil"/>
              <w:bottom w:val="nil"/>
              <w:right w:val="single" w:color="5B9BD5" w:sz="4" w:space="0"/>
            </w:tcBorders>
            <w:vAlign w:val="top"/>
          </w:tcPr>
          <w:p w14:paraId="6A0D26D8">
            <w:pPr>
              <w:rPr>
                <w:rFonts w:ascii="Arial"/>
                <w:sz w:val="21"/>
              </w:rPr>
            </w:pPr>
          </w:p>
        </w:tc>
      </w:tr>
      <w:tr w14:paraId="4E9BCF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3" w:hRule="atLeast"/>
        </w:trPr>
        <w:tc>
          <w:tcPr>
            <w:tcW w:w="604" w:type="dxa"/>
            <w:tcBorders>
              <w:left w:val="single" w:color="000000" w:sz="4" w:space="0"/>
            </w:tcBorders>
            <w:vAlign w:val="top"/>
          </w:tcPr>
          <w:p w14:paraId="07C0BCC8">
            <w:pPr>
              <w:pStyle w:val="7"/>
              <w:spacing w:before="148" w:line="237" w:lineRule="auto"/>
              <w:ind w:left="205"/>
            </w:pPr>
            <w:r>
              <w:rPr>
                <w:spacing w:val="-6"/>
              </w:rPr>
              <w:t>27</w:t>
            </w:r>
          </w:p>
        </w:tc>
        <w:tc>
          <w:tcPr>
            <w:tcW w:w="1465" w:type="dxa"/>
            <w:vAlign w:val="top"/>
          </w:tcPr>
          <w:p w14:paraId="56086877">
            <w:pPr>
              <w:pStyle w:val="7"/>
              <w:spacing w:before="148" w:line="218" w:lineRule="auto"/>
              <w:ind w:left="413"/>
            </w:pPr>
            <w:r>
              <w:rPr>
                <w:spacing w:val="-13"/>
              </w:rPr>
              <w:t>声级计</w:t>
            </w:r>
          </w:p>
        </w:tc>
        <w:tc>
          <w:tcPr>
            <w:tcW w:w="1674" w:type="dxa"/>
            <w:vAlign w:val="top"/>
          </w:tcPr>
          <w:p w14:paraId="5BFE515D">
            <w:pPr>
              <w:pStyle w:val="7"/>
              <w:spacing w:before="191" w:line="179" w:lineRule="auto"/>
              <w:ind w:left="615"/>
            </w:pPr>
            <w:r>
              <w:rPr>
                <w:spacing w:val="-7"/>
              </w:rPr>
              <w:t>N010</w:t>
            </w:r>
          </w:p>
        </w:tc>
        <w:tc>
          <w:tcPr>
            <w:tcW w:w="681" w:type="dxa"/>
            <w:vAlign w:val="top"/>
          </w:tcPr>
          <w:p w14:paraId="53CDF153">
            <w:pPr>
              <w:pStyle w:val="7"/>
              <w:spacing w:before="148" w:line="237" w:lineRule="auto"/>
              <w:ind w:left="297"/>
            </w:pPr>
            <w:r>
              <w:t>5</w:t>
            </w:r>
          </w:p>
        </w:tc>
        <w:tc>
          <w:tcPr>
            <w:tcW w:w="1117" w:type="dxa"/>
            <w:vAlign w:val="top"/>
          </w:tcPr>
          <w:p w14:paraId="6A24C910">
            <w:pPr>
              <w:pStyle w:val="7"/>
              <w:spacing w:before="148" w:line="219" w:lineRule="auto"/>
              <w:ind w:left="364"/>
            </w:pPr>
            <w:r>
              <w:rPr>
                <w:spacing w:val="-13"/>
              </w:rPr>
              <w:t>南京</w:t>
            </w:r>
          </w:p>
        </w:tc>
        <w:tc>
          <w:tcPr>
            <w:tcW w:w="695" w:type="dxa"/>
            <w:vAlign w:val="top"/>
          </w:tcPr>
          <w:p w14:paraId="079DE01B">
            <w:pPr>
              <w:pStyle w:val="7"/>
              <w:spacing w:before="145" w:line="237" w:lineRule="auto"/>
              <w:ind w:left="186" w:leftChars="0"/>
            </w:pPr>
            <w:r>
              <w:rPr>
                <w:spacing w:val="-9"/>
              </w:rPr>
              <w:t>202</w:t>
            </w:r>
            <w:r>
              <w:rPr>
                <w:rFonts w:hint="eastAsia"/>
                <w:spacing w:val="-9"/>
                <w:lang w:val="en-US" w:eastAsia="zh-CN"/>
              </w:rPr>
              <w:t>1</w:t>
            </w:r>
          </w:p>
        </w:tc>
        <w:tc>
          <w:tcPr>
            <w:tcW w:w="909" w:type="dxa"/>
            <w:vAlign w:val="top"/>
          </w:tcPr>
          <w:p w14:paraId="69311CA3">
            <w:pPr>
              <w:pStyle w:val="7"/>
              <w:spacing w:before="148" w:line="237" w:lineRule="auto"/>
              <w:ind w:left="356"/>
            </w:pPr>
            <w:r>
              <w:rPr>
                <w:spacing w:val="-6"/>
              </w:rPr>
              <w:t>20</w:t>
            </w:r>
          </w:p>
        </w:tc>
        <w:tc>
          <w:tcPr>
            <w:tcW w:w="1274" w:type="dxa"/>
            <w:vAlign w:val="top"/>
          </w:tcPr>
          <w:p w14:paraId="38C3CFAB">
            <w:pPr>
              <w:pStyle w:val="7"/>
              <w:spacing w:before="148" w:line="216" w:lineRule="auto"/>
              <w:ind w:left="217"/>
            </w:pPr>
            <w:r>
              <w:rPr>
                <w:spacing w:val="-15"/>
              </w:rPr>
              <w:t>施工检测</w:t>
            </w:r>
          </w:p>
        </w:tc>
        <w:tc>
          <w:tcPr>
            <w:tcW w:w="846" w:type="dxa"/>
            <w:vMerge w:val="continue"/>
            <w:tcBorders>
              <w:top w:val="nil"/>
              <w:bottom w:val="nil"/>
              <w:right w:val="single" w:color="5B9BD5" w:sz="4" w:space="0"/>
            </w:tcBorders>
            <w:vAlign w:val="top"/>
          </w:tcPr>
          <w:p w14:paraId="4D86D896">
            <w:pPr>
              <w:rPr>
                <w:rFonts w:ascii="Arial"/>
                <w:sz w:val="21"/>
              </w:rPr>
            </w:pPr>
          </w:p>
        </w:tc>
      </w:tr>
      <w:tr w14:paraId="378F24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53" w:hRule="atLeast"/>
        </w:trPr>
        <w:tc>
          <w:tcPr>
            <w:tcW w:w="604" w:type="dxa"/>
            <w:tcBorders>
              <w:left w:val="single" w:color="000000" w:sz="4" w:space="0"/>
            </w:tcBorders>
            <w:vAlign w:val="top"/>
          </w:tcPr>
          <w:p w14:paraId="25788473">
            <w:pPr>
              <w:spacing w:line="256" w:lineRule="auto"/>
              <w:rPr>
                <w:rFonts w:ascii="Arial"/>
                <w:sz w:val="21"/>
              </w:rPr>
            </w:pPr>
          </w:p>
          <w:p w14:paraId="66A31085">
            <w:pPr>
              <w:pStyle w:val="7"/>
              <w:spacing w:before="78" w:line="237" w:lineRule="auto"/>
              <w:ind w:left="205"/>
            </w:pPr>
            <w:r>
              <w:rPr>
                <w:spacing w:val="-6"/>
              </w:rPr>
              <w:t>28</w:t>
            </w:r>
          </w:p>
        </w:tc>
        <w:tc>
          <w:tcPr>
            <w:tcW w:w="1465" w:type="dxa"/>
            <w:vAlign w:val="top"/>
          </w:tcPr>
          <w:p w14:paraId="71D137EA">
            <w:pPr>
              <w:pStyle w:val="7"/>
              <w:spacing w:before="100" w:line="219" w:lineRule="auto"/>
              <w:ind w:left="212"/>
            </w:pPr>
            <w:r>
              <w:rPr>
                <w:spacing w:val="-20"/>
              </w:rPr>
              <w:t>多点数字温</w:t>
            </w:r>
          </w:p>
          <w:p w14:paraId="6373941C">
            <w:pPr>
              <w:pStyle w:val="7"/>
              <w:spacing w:before="183" w:line="218" w:lineRule="auto"/>
              <w:ind w:left="525"/>
            </w:pPr>
            <w:r>
              <w:rPr>
                <w:spacing w:val="-10"/>
              </w:rPr>
              <w:t>度计</w:t>
            </w:r>
          </w:p>
        </w:tc>
        <w:tc>
          <w:tcPr>
            <w:tcW w:w="1674" w:type="dxa"/>
            <w:vAlign w:val="top"/>
          </w:tcPr>
          <w:p w14:paraId="4CF81156">
            <w:pPr>
              <w:spacing w:line="256" w:lineRule="auto"/>
              <w:rPr>
                <w:rFonts w:ascii="Arial"/>
                <w:sz w:val="21"/>
              </w:rPr>
            </w:pPr>
          </w:p>
          <w:p w14:paraId="24294E28">
            <w:pPr>
              <w:pStyle w:val="7"/>
              <w:spacing w:before="78" w:line="237" w:lineRule="auto"/>
              <w:ind w:left="504"/>
            </w:pPr>
            <w:r>
              <w:rPr>
                <w:spacing w:val="-8"/>
              </w:rPr>
              <w:t>WMS-05</w:t>
            </w:r>
          </w:p>
        </w:tc>
        <w:tc>
          <w:tcPr>
            <w:tcW w:w="681" w:type="dxa"/>
            <w:vAlign w:val="top"/>
          </w:tcPr>
          <w:p w14:paraId="1F0A147E">
            <w:pPr>
              <w:spacing w:line="256" w:lineRule="auto"/>
              <w:rPr>
                <w:rFonts w:ascii="Arial"/>
                <w:sz w:val="21"/>
              </w:rPr>
            </w:pPr>
          </w:p>
          <w:p w14:paraId="70AFDB12">
            <w:pPr>
              <w:pStyle w:val="7"/>
              <w:spacing w:before="78" w:line="237" w:lineRule="auto"/>
              <w:ind w:left="255"/>
            </w:pPr>
            <w:r>
              <w:rPr>
                <w:spacing w:val="-10"/>
              </w:rPr>
              <w:t>15</w:t>
            </w:r>
          </w:p>
        </w:tc>
        <w:tc>
          <w:tcPr>
            <w:tcW w:w="1117" w:type="dxa"/>
            <w:vAlign w:val="top"/>
          </w:tcPr>
          <w:p w14:paraId="5DD6C15C">
            <w:pPr>
              <w:spacing w:line="256" w:lineRule="auto"/>
              <w:rPr>
                <w:rFonts w:ascii="Arial"/>
                <w:sz w:val="21"/>
              </w:rPr>
            </w:pPr>
          </w:p>
          <w:p w14:paraId="4F121C9F">
            <w:pPr>
              <w:pStyle w:val="7"/>
              <w:spacing w:before="78" w:line="219" w:lineRule="auto"/>
              <w:ind w:left="364"/>
            </w:pPr>
            <w:r>
              <w:rPr>
                <w:spacing w:val="-13"/>
              </w:rPr>
              <w:t>南京</w:t>
            </w:r>
          </w:p>
        </w:tc>
        <w:tc>
          <w:tcPr>
            <w:tcW w:w="695" w:type="dxa"/>
            <w:vAlign w:val="top"/>
          </w:tcPr>
          <w:p w14:paraId="359C4863">
            <w:pPr>
              <w:pStyle w:val="7"/>
              <w:spacing w:before="146" w:line="237" w:lineRule="auto"/>
              <w:ind w:left="186" w:leftChars="0"/>
            </w:pPr>
            <w:r>
              <w:rPr>
                <w:spacing w:val="-9"/>
              </w:rPr>
              <w:t>2022</w:t>
            </w:r>
          </w:p>
        </w:tc>
        <w:tc>
          <w:tcPr>
            <w:tcW w:w="909" w:type="dxa"/>
            <w:vAlign w:val="top"/>
          </w:tcPr>
          <w:p w14:paraId="0C90E3B1">
            <w:pPr>
              <w:spacing w:line="256" w:lineRule="auto"/>
              <w:rPr>
                <w:rFonts w:ascii="Arial"/>
                <w:sz w:val="21"/>
              </w:rPr>
            </w:pPr>
          </w:p>
          <w:p w14:paraId="149E897A">
            <w:pPr>
              <w:pStyle w:val="7"/>
              <w:spacing w:before="78" w:line="237" w:lineRule="auto"/>
              <w:ind w:left="356"/>
            </w:pPr>
            <w:r>
              <w:rPr>
                <w:spacing w:val="-6"/>
              </w:rPr>
              <w:t>20</w:t>
            </w:r>
          </w:p>
        </w:tc>
        <w:tc>
          <w:tcPr>
            <w:tcW w:w="1274" w:type="dxa"/>
            <w:vAlign w:val="top"/>
          </w:tcPr>
          <w:p w14:paraId="5F1B2C13">
            <w:pPr>
              <w:spacing w:line="256" w:lineRule="auto"/>
              <w:rPr>
                <w:rFonts w:ascii="Arial"/>
                <w:sz w:val="21"/>
              </w:rPr>
            </w:pPr>
          </w:p>
          <w:p w14:paraId="3F7C72E1">
            <w:pPr>
              <w:pStyle w:val="7"/>
              <w:spacing w:before="78" w:line="216" w:lineRule="auto"/>
              <w:ind w:left="217"/>
            </w:pPr>
            <w:r>
              <w:rPr>
                <w:spacing w:val="-15"/>
              </w:rPr>
              <w:t>施工检测</w:t>
            </w:r>
          </w:p>
        </w:tc>
        <w:tc>
          <w:tcPr>
            <w:tcW w:w="846" w:type="dxa"/>
            <w:vMerge w:val="continue"/>
            <w:tcBorders>
              <w:top w:val="nil"/>
              <w:bottom w:val="nil"/>
              <w:right w:val="single" w:color="5B9BD5" w:sz="4" w:space="0"/>
            </w:tcBorders>
            <w:vAlign w:val="top"/>
          </w:tcPr>
          <w:p w14:paraId="3C1A8C45">
            <w:pPr>
              <w:rPr>
                <w:rFonts w:ascii="Arial"/>
                <w:sz w:val="21"/>
              </w:rPr>
            </w:pPr>
          </w:p>
        </w:tc>
      </w:tr>
      <w:tr w14:paraId="6804BD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52" w:hRule="atLeast"/>
        </w:trPr>
        <w:tc>
          <w:tcPr>
            <w:tcW w:w="604" w:type="dxa"/>
            <w:tcBorders>
              <w:left w:val="single" w:color="000000" w:sz="4" w:space="0"/>
            </w:tcBorders>
            <w:vAlign w:val="top"/>
          </w:tcPr>
          <w:p w14:paraId="26873F43">
            <w:pPr>
              <w:spacing w:line="254" w:lineRule="auto"/>
              <w:rPr>
                <w:rFonts w:ascii="Arial"/>
                <w:sz w:val="21"/>
              </w:rPr>
            </w:pPr>
          </w:p>
          <w:p w14:paraId="773092AE">
            <w:pPr>
              <w:pStyle w:val="7"/>
              <w:spacing w:before="78" w:line="237" w:lineRule="auto"/>
              <w:ind w:left="205"/>
            </w:pPr>
            <w:r>
              <w:rPr>
                <w:spacing w:val="-6"/>
              </w:rPr>
              <w:t>29</w:t>
            </w:r>
          </w:p>
        </w:tc>
        <w:tc>
          <w:tcPr>
            <w:tcW w:w="1465" w:type="dxa"/>
            <w:vAlign w:val="top"/>
          </w:tcPr>
          <w:p w14:paraId="5E68B4AC">
            <w:pPr>
              <w:pStyle w:val="7"/>
              <w:spacing w:before="101" w:line="218" w:lineRule="auto"/>
              <w:ind w:left="198"/>
            </w:pPr>
            <w:r>
              <w:rPr>
                <w:spacing w:val="-17"/>
              </w:rPr>
              <w:t>倾斜式微压</w:t>
            </w:r>
          </w:p>
          <w:p w14:paraId="06032B86">
            <w:pPr>
              <w:pStyle w:val="7"/>
              <w:spacing w:before="184" w:line="218" w:lineRule="auto"/>
              <w:ind w:left="633"/>
            </w:pPr>
            <w:r>
              <w:t>计</w:t>
            </w:r>
          </w:p>
        </w:tc>
        <w:tc>
          <w:tcPr>
            <w:tcW w:w="1674" w:type="dxa"/>
            <w:vAlign w:val="top"/>
          </w:tcPr>
          <w:p w14:paraId="526DFDD0">
            <w:pPr>
              <w:spacing w:line="254" w:lineRule="auto"/>
              <w:rPr>
                <w:rFonts w:ascii="Arial"/>
                <w:sz w:val="21"/>
              </w:rPr>
            </w:pPr>
          </w:p>
          <w:p w14:paraId="58D4159C">
            <w:pPr>
              <w:pStyle w:val="7"/>
              <w:spacing w:before="78" w:line="237" w:lineRule="auto"/>
              <w:ind w:left="400"/>
            </w:pPr>
            <w:r>
              <w:rPr>
                <w:spacing w:val="-9"/>
              </w:rPr>
              <w:t>YYT-200B</w:t>
            </w:r>
          </w:p>
        </w:tc>
        <w:tc>
          <w:tcPr>
            <w:tcW w:w="681" w:type="dxa"/>
            <w:vAlign w:val="top"/>
          </w:tcPr>
          <w:p w14:paraId="09E7BFC1">
            <w:pPr>
              <w:spacing w:line="254" w:lineRule="auto"/>
              <w:rPr>
                <w:rFonts w:ascii="Arial"/>
                <w:sz w:val="21"/>
              </w:rPr>
            </w:pPr>
          </w:p>
          <w:p w14:paraId="2129FAD6">
            <w:pPr>
              <w:pStyle w:val="7"/>
              <w:spacing w:before="78" w:line="237" w:lineRule="auto"/>
              <w:ind w:left="297"/>
            </w:pPr>
            <w:r>
              <w:t>5</w:t>
            </w:r>
          </w:p>
        </w:tc>
        <w:tc>
          <w:tcPr>
            <w:tcW w:w="1117" w:type="dxa"/>
            <w:vAlign w:val="top"/>
          </w:tcPr>
          <w:p w14:paraId="5B1F0988">
            <w:pPr>
              <w:spacing w:line="254" w:lineRule="auto"/>
              <w:rPr>
                <w:rFonts w:ascii="Arial"/>
                <w:sz w:val="21"/>
              </w:rPr>
            </w:pPr>
          </w:p>
          <w:p w14:paraId="2C1B98C5">
            <w:pPr>
              <w:pStyle w:val="7"/>
              <w:spacing w:before="78" w:line="219" w:lineRule="auto"/>
              <w:ind w:left="364"/>
            </w:pPr>
            <w:r>
              <w:rPr>
                <w:spacing w:val="-13"/>
              </w:rPr>
              <w:t>南京</w:t>
            </w:r>
          </w:p>
        </w:tc>
        <w:tc>
          <w:tcPr>
            <w:tcW w:w="695" w:type="dxa"/>
            <w:vAlign w:val="top"/>
          </w:tcPr>
          <w:p w14:paraId="3A7A4715">
            <w:pPr>
              <w:pStyle w:val="7"/>
              <w:spacing w:before="145" w:line="237" w:lineRule="auto"/>
              <w:ind w:left="186" w:leftChars="0"/>
            </w:pPr>
            <w:r>
              <w:rPr>
                <w:spacing w:val="-9"/>
              </w:rPr>
              <w:t>202</w:t>
            </w:r>
            <w:r>
              <w:rPr>
                <w:rFonts w:hint="eastAsia"/>
                <w:spacing w:val="-9"/>
                <w:lang w:val="en-US" w:eastAsia="zh-CN"/>
              </w:rPr>
              <w:t>1</w:t>
            </w:r>
          </w:p>
        </w:tc>
        <w:tc>
          <w:tcPr>
            <w:tcW w:w="909" w:type="dxa"/>
            <w:vAlign w:val="top"/>
          </w:tcPr>
          <w:p w14:paraId="0B198BE8">
            <w:pPr>
              <w:spacing w:line="254" w:lineRule="auto"/>
              <w:rPr>
                <w:rFonts w:ascii="Arial"/>
                <w:sz w:val="21"/>
              </w:rPr>
            </w:pPr>
          </w:p>
          <w:p w14:paraId="75D331BF">
            <w:pPr>
              <w:pStyle w:val="7"/>
              <w:spacing w:before="78" w:line="237" w:lineRule="auto"/>
              <w:ind w:left="356"/>
            </w:pPr>
            <w:r>
              <w:rPr>
                <w:spacing w:val="-6"/>
              </w:rPr>
              <w:t>20</w:t>
            </w:r>
          </w:p>
        </w:tc>
        <w:tc>
          <w:tcPr>
            <w:tcW w:w="1274" w:type="dxa"/>
            <w:vAlign w:val="top"/>
          </w:tcPr>
          <w:p w14:paraId="10BA68A2">
            <w:pPr>
              <w:spacing w:line="254" w:lineRule="auto"/>
              <w:rPr>
                <w:rFonts w:ascii="Arial"/>
                <w:sz w:val="21"/>
              </w:rPr>
            </w:pPr>
          </w:p>
          <w:p w14:paraId="49B22586">
            <w:pPr>
              <w:pStyle w:val="7"/>
              <w:spacing w:before="78" w:line="216" w:lineRule="auto"/>
              <w:ind w:left="217"/>
            </w:pPr>
            <w:r>
              <w:rPr>
                <w:spacing w:val="-15"/>
              </w:rPr>
              <w:t>施工检测</w:t>
            </w:r>
          </w:p>
        </w:tc>
        <w:tc>
          <w:tcPr>
            <w:tcW w:w="846" w:type="dxa"/>
            <w:vMerge w:val="continue"/>
            <w:tcBorders>
              <w:top w:val="nil"/>
              <w:bottom w:val="nil"/>
              <w:right w:val="single" w:color="5B9BD5" w:sz="4" w:space="0"/>
            </w:tcBorders>
            <w:vAlign w:val="top"/>
          </w:tcPr>
          <w:p w14:paraId="3569C5D5">
            <w:pPr>
              <w:rPr>
                <w:rFonts w:ascii="Arial"/>
                <w:sz w:val="21"/>
              </w:rPr>
            </w:pPr>
          </w:p>
        </w:tc>
      </w:tr>
      <w:tr w14:paraId="0EEBF3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4" w:hRule="atLeast"/>
        </w:trPr>
        <w:tc>
          <w:tcPr>
            <w:tcW w:w="604" w:type="dxa"/>
            <w:tcBorders>
              <w:left w:val="single" w:color="000000" w:sz="4" w:space="0"/>
            </w:tcBorders>
            <w:vAlign w:val="top"/>
          </w:tcPr>
          <w:p w14:paraId="3EFC5E2D">
            <w:pPr>
              <w:pStyle w:val="7"/>
              <w:spacing w:before="151" w:line="237" w:lineRule="auto"/>
              <w:ind w:left="207"/>
            </w:pPr>
            <w:r>
              <w:rPr>
                <w:spacing w:val="-7"/>
              </w:rPr>
              <w:t>30</w:t>
            </w:r>
          </w:p>
        </w:tc>
        <w:tc>
          <w:tcPr>
            <w:tcW w:w="1465" w:type="dxa"/>
            <w:vAlign w:val="top"/>
          </w:tcPr>
          <w:p w14:paraId="1E51B662">
            <w:pPr>
              <w:pStyle w:val="7"/>
              <w:spacing w:before="152" w:line="214" w:lineRule="auto"/>
              <w:ind w:left="417"/>
            </w:pPr>
            <w:r>
              <w:rPr>
                <w:spacing w:val="-14"/>
              </w:rPr>
              <w:t>转速仪</w:t>
            </w:r>
          </w:p>
        </w:tc>
        <w:tc>
          <w:tcPr>
            <w:tcW w:w="1674" w:type="dxa"/>
            <w:vAlign w:val="top"/>
          </w:tcPr>
          <w:p w14:paraId="4A9A22AC">
            <w:pPr>
              <w:pStyle w:val="7"/>
              <w:spacing w:before="151" w:line="237" w:lineRule="auto"/>
              <w:ind w:left="565"/>
            </w:pPr>
            <w:r>
              <w:rPr>
                <w:spacing w:val="-9"/>
              </w:rPr>
              <w:t>L2-30</w:t>
            </w:r>
          </w:p>
        </w:tc>
        <w:tc>
          <w:tcPr>
            <w:tcW w:w="681" w:type="dxa"/>
            <w:vAlign w:val="top"/>
          </w:tcPr>
          <w:p w14:paraId="42EA74AC">
            <w:pPr>
              <w:pStyle w:val="7"/>
              <w:spacing w:before="151" w:line="237" w:lineRule="auto"/>
              <w:ind w:left="297"/>
            </w:pPr>
            <w:r>
              <w:t>5</w:t>
            </w:r>
          </w:p>
        </w:tc>
        <w:tc>
          <w:tcPr>
            <w:tcW w:w="1117" w:type="dxa"/>
            <w:vAlign w:val="top"/>
          </w:tcPr>
          <w:p w14:paraId="3FF8E849">
            <w:pPr>
              <w:pStyle w:val="7"/>
              <w:spacing w:before="151" w:line="219" w:lineRule="auto"/>
              <w:ind w:left="364"/>
            </w:pPr>
            <w:r>
              <w:rPr>
                <w:spacing w:val="-13"/>
              </w:rPr>
              <w:t>南京</w:t>
            </w:r>
          </w:p>
        </w:tc>
        <w:tc>
          <w:tcPr>
            <w:tcW w:w="695" w:type="dxa"/>
            <w:vAlign w:val="top"/>
          </w:tcPr>
          <w:p w14:paraId="38517AF5">
            <w:pPr>
              <w:pStyle w:val="7"/>
              <w:spacing w:before="146" w:line="237" w:lineRule="auto"/>
              <w:ind w:left="186" w:leftChars="0"/>
            </w:pPr>
            <w:r>
              <w:rPr>
                <w:spacing w:val="-9"/>
              </w:rPr>
              <w:t>2022</w:t>
            </w:r>
          </w:p>
        </w:tc>
        <w:tc>
          <w:tcPr>
            <w:tcW w:w="909" w:type="dxa"/>
            <w:vAlign w:val="top"/>
          </w:tcPr>
          <w:p w14:paraId="3B1090E4">
            <w:pPr>
              <w:pStyle w:val="7"/>
              <w:spacing w:before="151" w:line="237" w:lineRule="auto"/>
              <w:ind w:left="356"/>
            </w:pPr>
            <w:r>
              <w:rPr>
                <w:spacing w:val="-6"/>
              </w:rPr>
              <w:t>20</w:t>
            </w:r>
          </w:p>
        </w:tc>
        <w:tc>
          <w:tcPr>
            <w:tcW w:w="1274" w:type="dxa"/>
            <w:vAlign w:val="top"/>
          </w:tcPr>
          <w:p w14:paraId="6AEFEAA6">
            <w:pPr>
              <w:pStyle w:val="7"/>
              <w:spacing w:before="151" w:line="216" w:lineRule="auto"/>
              <w:ind w:left="217"/>
            </w:pPr>
            <w:r>
              <w:rPr>
                <w:spacing w:val="-15"/>
              </w:rPr>
              <w:t>施工检测</w:t>
            </w:r>
          </w:p>
        </w:tc>
        <w:tc>
          <w:tcPr>
            <w:tcW w:w="846" w:type="dxa"/>
            <w:vMerge w:val="continue"/>
            <w:tcBorders>
              <w:top w:val="nil"/>
              <w:right w:val="single" w:color="5B9BD5" w:sz="4" w:space="0"/>
            </w:tcBorders>
            <w:vAlign w:val="top"/>
          </w:tcPr>
          <w:p w14:paraId="1E3E6CC7">
            <w:pPr>
              <w:rPr>
                <w:rFonts w:ascii="Arial"/>
                <w:sz w:val="21"/>
              </w:rPr>
            </w:pPr>
          </w:p>
        </w:tc>
      </w:tr>
      <w:tr w14:paraId="183944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6" w:hRule="atLeast"/>
        </w:trPr>
        <w:tc>
          <w:tcPr>
            <w:tcW w:w="604" w:type="dxa"/>
            <w:tcBorders>
              <w:left w:val="single" w:color="000000" w:sz="4" w:space="0"/>
            </w:tcBorders>
            <w:vAlign w:val="top"/>
          </w:tcPr>
          <w:p w14:paraId="269CBFB6">
            <w:pPr>
              <w:pStyle w:val="7"/>
              <w:spacing w:before="153" w:line="237" w:lineRule="auto"/>
              <w:ind w:left="207"/>
            </w:pPr>
            <w:r>
              <w:rPr>
                <w:spacing w:val="-7"/>
              </w:rPr>
              <w:t>31</w:t>
            </w:r>
          </w:p>
        </w:tc>
        <w:tc>
          <w:tcPr>
            <w:tcW w:w="1465" w:type="dxa"/>
            <w:vAlign w:val="top"/>
          </w:tcPr>
          <w:p w14:paraId="585F8C62">
            <w:pPr>
              <w:pStyle w:val="7"/>
              <w:spacing w:before="153" w:line="220" w:lineRule="auto"/>
              <w:ind w:left="414"/>
            </w:pPr>
            <w:r>
              <w:rPr>
                <w:spacing w:val="-14"/>
              </w:rPr>
              <w:t>压力盒</w:t>
            </w:r>
          </w:p>
        </w:tc>
        <w:tc>
          <w:tcPr>
            <w:tcW w:w="1674" w:type="dxa"/>
            <w:vAlign w:val="top"/>
          </w:tcPr>
          <w:p w14:paraId="2FD72239">
            <w:pPr>
              <w:pStyle w:val="7"/>
              <w:spacing w:before="153" w:line="219" w:lineRule="auto"/>
              <w:ind w:left="520"/>
            </w:pPr>
            <w:r>
              <w:rPr>
                <w:spacing w:val="-14"/>
              </w:rPr>
              <w:t>液压式</w:t>
            </w:r>
          </w:p>
        </w:tc>
        <w:tc>
          <w:tcPr>
            <w:tcW w:w="681" w:type="dxa"/>
            <w:vAlign w:val="top"/>
          </w:tcPr>
          <w:p w14:paraId="7E93CC12">
            <w:pPr>
              <w:pStyle w:val="7"/>
              <w:spacing w:before="154" w:line="238" w:lineRule="auto"/>
              <w:ind w:left="295"/>
            </w:pPr>
            <w:r>
              <w:t>2</w:t>
            </w:r>
          </w:p>
        </w:tc>
        <w:tc>
          <w:tcPr>
            <w:tcW w:w="1117" w:type="dxa"/>
            <w:vAlign w:val="top"/>
          </w:tcPr>
          <w:p w14:paraId="4842E231">
            <w:pPr>
              <w:pStyle w:val="7"/>
              <w:spacing w:before="154" w:line="220" w:lineRule="auto"/>
              <w:ind w:left="375"/>
            </w:pPr>
            <w:r>
              <w:rPr>
                <w:spacing w:val="-15"/>
              </w:rPr>
              <w:t>山东</w:t>
            </w:r>
          </w:p>
        </w:tc>
        <w:tc>
          <w:tcPr>
            <w:tcW w:w="695" w:type="dxa"/>
            <w:vAlign w:val="top"/>
          </w:tcPr>
          <w:p w14:paraId="29A18E58">
            <w:pPr>
              <w:pStyle w:val="7"/>
              <w:spacing w:before="145" w:line="237" w:lineRule="auto"/>
              <w:ind w:left="186" w:leftChars="0"/>
            </w:pPr>
            <w:r>
              <w:rPr>
                <w:spacing w:val="-9"/>
              </w:rPr>
              <w:t>202</w:t>
            </w:r>
            <w:r>
              <w:rPr>
                <w:rFonts w:hint="eastAsia"/>
                <w:spacing w:val="-9"/>
                <w:lang w:val="en-US" w:eastAsia="zh-CN"/>
              </w:rPr>
              <w:t>1</w:t>
            </w:r>
          </w:p>
        </w:tc>
        <w:tc>
          <w:tcPr>
            <w:tcW w:w="909" w:type="dxa"/>
            <w:vAlign w:val="top"/>
          </w:tcPr>
          <w:p w14:paraId="576A5C12">
            <w:pPr>
              <w:pStyle w:val="7"/>
              <w:spacing w:before="153" w:line="237" w:lineRule="auto"/>
              <w:ind w:left="371"/>
            </w:pPr>
            <w:r>
              <w:rPr>
                <w:spacing w:val="-10"/>
              </w:rPr>
              <w:t>10</w:t>
            </w:r>
          </w:p>
        </w:tc>
        <w:tc>
          <w:tcPr>
            <w:tcW w:w="1274" w:type="dxa"/>
            <w:vAlign w:val="top"/>
          </w:tcPr>
          <w:p w14:paraId="2D16633E">
            <w:pPr>
              <w:pStyle w:val="7"/>
              <w:spacing w:before="153" w:line="222" w:lineRule="auto"/>
              <w:ind w:left="434"/>
            </w:pPr>
            <w:r>
              <w:rPr>
                <w:spacing w:val="-9"/>
              </w:rPr>
              <w:t>试验</w:t>
            </w:r>
          </w:p>
        </w:tc>
        <w:tc>
          <w:tcPr>
            <w:tcW w:w="846" w:type="dxa"/>
            <w:tcBorders>
              <w:right w:val="single" w:color="000000" w:sz="4" w:space="0"/>
            </w:tcBorders>
            <w:vAlign w:val="top"/>
          </w:tcPr>
          <w:p w14:paraId="460C58D6">
            <w:pPr>
              <w:rPr>
                <w:rFonts w:ascii="Arial"/>
                <w:sz w:val="21"/>
              </w:rPr>
            </w:pPr>
            <w:r>
              <w:pict>
                <v:rect id="_x0000_s5024" o:spid="_x0000_s5024" o:spt="1" style="position:absolute;left:0pt;margin-left:40.4pt;margin-top:0.25pt;height:3.4pt;width:0.75pt;mso-position-horizontal-relative:page;mso-position-vertical-relative:page;z-index:252457984;mso-width-relative:page;mso-height-relative:page;" fillcolor="#1C456A" filled="t" stroked="f" coordsize="21600,21600">
                  <v:path/>
                  <v:fill on="t" focussize="0,0"/>
                  <v:stroke on="f"/>
                  <v:imagedata o:title=""/>
                  <o:lock v:ext="edit"/>
                </v:rect>
              </w:pict>
            </w:r>
          </w:p>
        </w:tc>
      </w:tr>
      <w:tr w14:paraId="142F4A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4" w:hRule="atLeast"/>
        </w:trPr>
        <w:tc>
          <w:tcPr>
            <w:tcW w:w="604" w:type="dxa"/>
            <w:tcBorders>
              <w:left w:val="single" w:color="1C456A" w:sz="4" w:space="0"/>
              <w:bottom w:val="single" w:color="1C456A" w:sz="4" w:space="0"/>
            </w:tcBorders>
            <w:vAlign w:val="top"/>
          </w:tcPr>
          <w:p w14:paraId="3205E30C">
            <w:pPr>
              <w:pStyle w:val="7"/>
              <w:spacing w:before="151" w:line="237" w:lineRule="auto"/>
              <w:ind w:left="207"/>
            </w:pPr>
            <w:r>
              <w:rPr>
                <w:spacing w:val="-7"/>
              </w:rPr>
              <w:t>32</w:t>
            </w:r>
          </w:p>
        </w:tc>
        <w:tc>
          <w:tcPr>
            <w:tcW w:w="1465" w:type="dxa"/>
            <w:tcBorders>
              <w:bottom w:val="single" w:color="000000" w:sz="4" w:space="0"/>
            </w:tcBorders>
            <w:vAlign w:val="top"/>
          </w:tcPr>
          <w:p w14:paraId="60890075">
            <w:pPr>
              <w:pStyle w:val="7"/>
              <w:spacing w:before="151" w:line="218" w:lineRule="auto"/>
              <w:ind w:left="414"/>
            </w:pPr>
            <w:r>
              <w:rPr>
                <w:spacing w:val="-14"/>
              </w:rPr>
              <w:t>应力计</w:t>
            </w:r>
          </w:p>
        </w:tc>
        <w:tc>
          <w:tcPr>
            <w:tcW w:w="1674" w:type="dxa"/>
            <w:tcBorders>
              <w:bottom w:val="single" w:color="000000" w:sz="4" w:space="0"/>
            </w:tcBorders>
            <w:vAlign w:val="top"/>
          </w:tcPr>
          <w:p w14:paraId="388A3750">
            <w:pPr>
              <w:pStyle w:val="7"/>
              <w:spacing w:before="194" w:line="179" w:lineRule="auto"/>
              <w:ind w:left="455"/>
            </w:pPr>
            <w:r>
              <w:rPr>
                <w:spacing w:val="-9"/>
              </w:rPr>
              <w:t>DYC-10B</w:t>
            </w:r>
          </w:p>
        </w:tc>
        <w:tc>
          <w:tcPr>
            <w:tcW w:w="681" w:type="dxa"/>
            <w:tcBorders>
              <w:bottom w:val="single" w:color="000000" w:sz="4" w:space="0"/>
            </w:tcBorders>
            <w:vAlign w:val="top"/>
          </w:tcPr>
          <w:p w14:paraId="5025FE43">
            <w:pPr>
              <w:pStyle w:val="7"/>
              <w:spacing w:before="151" w:line="238" w:lineRule="auto"/>
              <w:ind w:left="295"/>
            </w:pPr>
            <w:r>
              <w:t>2</w:t>
            </w:r>
          </w:p>
        </w:tc>
        <w:tc>
          <w:tcPr>
            <w:tcW w:w="1117" w:type="dxa"/>
            <w:tcBorders>
              <w:bottom w:val="single" w:color="000000" w:sz="4" w:space="0"/>
            </w:tcBorders>
            <w:vAlign w:val="top"/>
          </w:tcPr>
          <w:p w14:paraId="6B510947">
            <w:pPr>
              <w:pStyle w:val="7"/>
              <w:spacing w:before="151" w:line="220" w:lineRule="auto"/>
              <w:ind w:left="375"/>
            </w:pPr>
            <w:r>
              <w:rPr>
                <w:spacing w:val="-15"/>
              </w:rPr>
              <w:t>山东</w:t>
            </w:r>
          </w:p>
        </w:tc>
        <w:tc>
          <w:tcPr>
            <w:tcW w:w="695" w:type="dxa"/>
            <w:tcBorders>
              <w:bottom w:val="single" w:color="000000" w:sz="4" w:space="0"/>
            </w:tcBorders>
            <w:vAlign w:val="top"/>
          </w:tcPr>
          <w:p w14:paraId="32F35139">
            <w:pPr>
              <w:pStyle w:val="7"/>
              <w:spacing w:before="146" w:line="237" w:lineRule="auto"/>
              <w:ind w:left="186" w:leftChars="0"/>
            </w:pPr>
            <w:r>
              <w:rPr>
                <w:spacing w:val="-9"/>
              </w:rPr>
              <w:t>2022</w:t>
            </w:r>
          </w:p>
        </w:tc>
        <w:tc>
          <w:tcPr>
            <w:tcW w:w="909" w:type="dxa"/>
            <w:tcBorders>
              <w:bottom w:val="single" w:color="000000" w:sz="4" w:space="0"/>
            </w:tcBorders>
            <w:vAlign w:val="top"/>
          </w:tcPr>
          <w:p w14:paraId="61EEF1F3">
            <w:pPr>
              <w:pStyle w:val="7"/>
              <w:spacing w:before="151" w:line="237" w:lineRule="auto"/>
              <w:ind w:left="371"/>
            </w:pPr>
            <w:r>
              <w:rPr>
                <w:spacing w:val="-10"/>
              </w:rPr>
              <w:t>10</w:t>
            </w:r>
          </w:p>
        </w:tc>
        <w:tc>
          <w:tcPr>
            <w:tcW w:w="1274" w:type="dxa"/>
            <w:tcBorders>
              <w:bottom w:val="single" w:color="000000" w:sz="4" w:space="0"/>
            </w:tcBorders>
            <w:vAlign w:val="top"/>
          </w:tcPr>
          <w:p w14:paraId="421D754D">
            <w:pPr>
              <w:pStyle w:val="7"/>
              <w:spacing w:before="151" w:line="222" w:lineRule="auto"/>
              <w:ind w:left="434"/>
            </w:pPr>
            <w:r>
              <w:rPr>
                <w:spacing w:val="-9"/>
              </w:rPr>
              <w:t>试验</w:t>
            </w:r>
          </w:p>
        </w:tc>
        <w:tc>
          <w:tcPr>
            <w:tcW w:w="846" w:type="dxa"/>
            <w:tcBorders>
              <w:bottom w:val="single" w:color="5B9BD5" w:sz="4" w:space="0"/>
              <w:right w:val="single" w:color="5B9BD5" w:sz="4" w:space="0"/>
            </w:tcBorders>
            <w:vAlign w:val="top"/>
          </w:tcPr>
          <w:p w14:paraId="744028E2">
            <w:pPr>
              <w:rPr>
                <w:rFonts w:ascii="Arial"/>
                <w:sz w:val="21"/>
              </w:rPr>
            </w:pPr>
            <w:r>
              <w:pict>
                <v:shape id="_x0000_s5026" o:spid="_x0000_s5026" style="position:absolute;left:0pt;margin-left:40.4pt;margin-top:0.25pt;height:3.4pt;width:0.75pt;mso-position-horizontal-relative:page;mso-position-vertical-relative:page;z-index:252442624;mso-width-relative:page;mso-height-relative:page;" fillcolor="#1C456A" filled="t" stroked="f" coordsize="15,68" path="m0,67l14,67,14,0,0,0,0,67xe">
                  <v:path/>
                  <v:fill on="t" focussize="0,0"/>
                  <v:stroke on="f"/>
                  <v:imagedata o:title=""/>
                  <o:lock v:ext="edit"/>
                </v:shape>
              </w:pict>
            </w:r>
            <w:r>
              <w:pict>
                <v:shape id="_x0000_s5028" o:spid="_x0000_s5028" style="position:absolute;left:0pt;margin-left:40.4pt;margin-top:36.25pt;height:0.75pt;width:2.2pt;mso-position-horizontal-relative:page;mso-position-vertical-relative:page;z-index:252456960;mso-width-relative:page;mso-height-relative:page;" fillcolor="#5B9BD5" filled="t" stroked="f" coordsize="44,15" path="m0,14l43,14,43,0,0,0,0,14xe">
                  <v:path/>
                  <v:fill on="t" focussize="0,0"/>
                  <v:stroke on="f"/>
                  <v:imagedata o:title=""/>
                  <o:lock v:ext="edit"/>
                </v:shape>
              </w:pict>
            </w:r>
          </w:p>
        </w:tc>
      </w:tr>
    </w:tbl>
    <w:p w14:paraId="00C20570">
      <w:pPr>
        <w:rPr>
          <w:rFonts w:ascii="Arial"/>
          <w:sz w:val="21"/>
        </w:rPr>
      </w:pPr>
    </w:p>
    <w:p w14:paraId="0B580853">
      <w:pPr>
        <w:rPr>
          <w:rFonts w:ascii="Arial" w:hAnsi="Arial" w:eastAsia="Arial" w:cs="Arial"/>
          <w:sz w:val="21"/>
          <w:szCs w:val="21"/>
        </w:rPr>
        <w:sectPr>
          <w:footerReference r:id="rId436" w:type="default"/>
          <w:pgSz w:w="11907" w:h="16839"/>
          <w:pgMar w:top="933" w:right="4" w:bottom="1038" w:left="0" w:header="478" w:footer="357" w:gutter="0"/>
          <w:pgBorders>
            <w:top w:val="none" w:sz="0" w:space="0"/>
            <w:left w:val="none" w:sz="0" w:space="0"/>
            <w:bottom w:val="none" w:sz="0" w:space="0"/>
            <w:right w:val="none" w:sz="0" w:space="0"/>
          </w:pgBorders>
          <w:cols w:space="720" w:num="1"/>
        </w:sectPr>
      </w:pPr>
    </w:p>
    <w:p w14:paraId="388BCDB0">
      <w:pPr>
        <w:pStyle w:val="2"/>
        <w:spacing w:before="282" w:line="224" w:lineRule="auto"/>
        <w:ind w:left="4492"/>
        <w:outlineLvl w:val="0"/>
        <w:rPr>
          <w:sz w:val="31"/>
          <w:szCs w:val="31"/>
        </w:rPr>
      </w:pPr>
      <w:bookmarkStart w:id="309" w:name="bookmark294"/>
      <w:bookmarkEnd w:id="309"/>
      <w:r>
        <w:rPr>
          <w:b/>
          <w:bCs/>
          <w:color w:val="7030A0"/>
          <w:spacing w:val="-15"/>
          <w:sz w:val="31"/>
          <w:szCs w:val="31"/>
        </w:rPr>
        <w:t>附表三：劳动力计划表</w:t>
      </w:r>
    </w:p>
    <w:p w14:paraId="5FEBAEA5">
      <w:pPr>
        <w:pStyle w:val="2"/>
        <w:spacing w:before="20" w:line="217" w:lineRule="auto"/>
        <w:ind w:left="9366"/>
        <w:rPr>
          <w:sz w:val="28"/>
          <w:szCs w:val="28"/>
        </w:rPr>
      </w:pPr>
      <w:r>
        <w:rPr>
          <w:b/>
          <w:bCs/>
          <w:spacing w:val="-3"/>
          <w:sz w:val="28"/>
          <w:szCs w:val="28"/>
        </w:rPr>
        <w:t>单位：人</w:t>
      </w:r>
    </w:p>
    <w:p w14:paraId="54AEB536">
      <w:pPr>
        <w:spacing w:line="173" w:lineRule="exact"/>
      </w:pPr>
    </w:p>
    <w:tbl>
      <w:tblPr>
        <w:tblStyle w:val="6"/>
        <w:tblW w:w="8753" w:type="dxa"/>
        <w:tblInd w:w="157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43"/>
        <w:gridCol w:w="791"/>
        <w:gridCol w:w="2467"/>
        <w:gridCol w:w="1743"/>
        <w:gridCol w:w="1741"/>
        <w:gridCol w:w="1768"/>
      </w:tblGrid>
      <w:tr w14:paraId="75CD86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4" w:hRule="atLeast"/>
        </w:trPr>
        <w:tc>
          <w:tcPr>
            <w:tcW w:w="1034" w:type="dxa"/>
            <w:gridSpan w:val="2"/>
            <w:vMerge w:val="restart"/>
            <w:tcBorders>
              <w:top w:val="single" w:color="000000" w:sz="4" w:space="0"/>
              <w:left w:val="single" w:color="000000" w:sz="4" w:space="0"/>
              <w:bottom w:val="nil"/>
            </w:tcBorders>
            <w:shd w:val="clear" w:color="auto" w:fill="DEEAF6"/>
            <w:vAlign w:val="top"/>
          </w:tcPr>
          <w:p w14:paraId="6FABD858">
            <w:pPr>
              <w:spacing w:line="468" w:lineRule="auto"/>
              <w:rPr>
                <w:rFonts w:ascii="Arial"/>
                <w:sz w:val="21"/>
              </w:rPr>
            </w:pPr>
          </w:p>
          <w:p w14:paraId="50E30F1F">
            <w:pPr>
              <w:pStyle w:val="7"/>
              <w:spacing w:before="78" w:line="218" w:lineRule="auto"/>
              <w:ind w:left="313"/>
            </w:pPr>
            <w:r>
              <w:rPr>
                <w:b/>
                <w:bCs/>
                <w:spacing w:val="-12"/>
              </w:rPr>
              <w:t>序号</w:t>
            </w:r>
          </w:p>
        </w:tc>
        <w:tc>
          <w:tcPr>
            <w:tcW w:w="2467" w:type="dxa"/>
            <w:vMerge w:val="restart"/>
            <w:tcBorders>
              <w:top w:val="single" w:color="000000" w:sz="4" w:space="0"/>
              <w:bottom w:val="nil"/>
            </w:tcBorders>
            <w:shd w:val="clear" w:color="auto" w:fill="DEEAF6"/>
            <w:vAlign w:val="top"/>
          </w:tcPr>
          <w:p w14:paraId="1D7F2B6E">
            <w:pPr>
              <w:spacing w:line="468" w:lineRule="auto"/>
              <w:rPr>
                <w:rFonts w:ascii="Arial"/>
                <w:sz w:val="21"/>
              </w:rPr>
            </w:pPr>
          </w:p>
          <w:p w14:paraId="74BE8826">
            <w:pPr>
              <w:pStyle w:val="7"/>
              <w:spacing w:before="78" w:line="217" w:lineRule="auto"/>
              <w:ind w:left="1027"/>
            </w:pPr>
            <w:r>
              <w:rPr>
                <w:b/>
                <w:bCs/>
                <w:spacing w:val="-14"/>
              </w:rPr>
              <w:t>工种</w:t>
            </w:r>
          </w:p>
        </w:tc>
        <w:tc>
          <w:tcPr>
            <w:tcW w:w="5252" w:type="dxa"/>
            <w:gridSpan w:val="3"/>
            <w:tcBorders>
              <w:top w:val="single" w:color="5B9BD5" w:sz="4" w:space="0"/>
              <w:right w:val="single" w:color="5B9BD5" w:sz="4" w:space="0"/>
            </w:tcBorders>
            <w:shd w:val="clear" w:color="auto" w:fill="DEEAF6"/>
            <w:vAlign w:val="top"/>
          </w:tcPr>
          <w:p w14:paraId="112F6FF0">
            <w:pPr>
              <w:pStyle w:val="7"/>
              <w:spacing w:before="175" w:line="217" w:lineRule="auto"/>
              <w:ind w:left="1096"/>
            </w:pPr>
            <w:r>
              <w:rPr>
                <w:b/>
                <w:bCs/>
                <w:spacing w:val="-22"/>
              </w:rPr>
              <w:t>按工程施工阶段投入劳动力情况</w:t>
            </w:r>
          </w:p>
        </w:tc>
      </w:tr>
      <w:tr w14:paraId="7B59A4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5" w:hRule="atLeast"/>
        </w:trPr>
        <w:tc>
          <w:tcPr>
            <w:tcW w:w="1034" w:type="dxa"/>
            <w:gridSpan w:val="2"/>
            <w:vMerge w:val="continue"/>
            <w:tcBorders>
              <w:top w:val="nil"/>
              <w:left w:val="single" w:color="000000" w:sz="4" w:space="0"/>
            </w:tcBorders>
            <w:vAlign w:val="top"/>
          </w:tcPr>
          <w:p w14:paraId="5E7B7569">
            <w:pPr>
              <w:rPr>
                <w:rFonts w:ascii="Arial"/>
                <w:sz w:val="21"/>
              </w:rPr>
            </w:pPr>
          </w:p>
        </w:tc>
        <w:tc>
          <w:tcPr>
            <w:tcW w:w="2467" w:type="dxa"/>
            <w:vMerge w:val="continue"/>
            <w:tcBorders>
              <w:top w:val="nil"/>
            </w:tcBorders>
            <w:vAlign w:val="top"/>
          </w:tcPr>
          <w:p w14:paraId="2C4C72D8">
            <w:pPr>
              <w:rPr>
                <w:rFonts w:ascii="Arial"/>
                <w:sz w:val="21"/>
              </w:rPr>
            </w:pPr>
          </w:p>
        </w:tc>
        <w:tc>
          <w:tcPr>
            <w:tcW w:w="1743" w:type="dxa"/>
            <w:vAlign w:val="top"/>
          </w:tcPr>
          <w:p w14:paraId="7BB4408E">
            <w:pPr>
              <w:pStyle w:val="7"/>
              <w:spacing w:before="174" w:line="217" w:lineRule="auto"/>
              <w:ind w:left="229"/>
            </w:pPr>
            <w:r>
              <w:rPr>
                <w:spacing w:val="-18"/>
              </w:rPr>
              <w:t>施工准备阶段</w:t>
            </w:r>
          </w:p>
        </w:tc>
        <w:tc>
          <w:tcPr>
            <w:tcW w:w="1741" w:type="dxa"/>
            <w:vAlign w:val="top"/>
          </w:tcPr>
          <w:p w14:paraId="24AEE3BA">
            <w:pPr>
              <w:pStyle w:val="7"/>
              <w:spacing w:before="174" w:line="217" w:lineRule="auto"/>
              <w:ind w:left="447"/>
            </w:pPr>
            <w:r>
              <w:rPr>
                <w:spacing w:val="-15"/>
              </w:rPr>
              <w:t>施工阶段</w:t>
            </w:r>
          </w:p>
        </w:tc>
        <w:tc>
          <w:tcPr>
            <w:tcW w:w="1768" w:type="dxa"/>
            <w:tcBorders>
              <w:right w:val="single" w:color="000000" w:sz="4" w:space="0"/>
            </w:tcBorders>
            <w:vAlign w:val="top"/>
          </w:tcPr>
          <w:p w14:paraId="303E9038">
            <w:pPr>
              <w:pStyle w:val="7"/>
              <w:spacing w:before="174" w:line="217" w:lineRule="auto"/>
              <w:ind w:left="235"/>
            </w:pPr>
            <w:r>
              <w:rPr>
                <w:spacing w:val="-18"/>
              </w:rPr>
              <w:t>施工扫尾阶段</w:t>
            </w:r>
          </w:p>
        </w:tc>
      </w:tr>
      <w:tr w14:paraId="7DF7FF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8" w:hRule="atLeast"/>
        </w:trPr>
        <w:tc>
          <w:tcPr>
            <w:tcW w:w="1034" w:type="dxa"/>
            <w:gridSpan w:val="2"/>
            <w:tcBorders>
              <w:left w:val="single" w:color="000000" w:sz="4" w:space="0"/>
            </w:tcBorders>
            <w:vAlign w:val="top"/>
          </w:tcPr>
          <w:p w14:paraId="4B91027F">
            <w:pPr>
              <w:pStyle w:val="7"/>
              <w:spacing w:before="287" w:line="238" w:lineRule="auto"/>
              <w:ind w:left="488"/>
            </w:pPr>
            <w:r>
              <w:t>1</w:t>
            </w:r>
          </w:p>
        </w:tc>
        <w:tc>
          <w:tcPr>
            <w:tcW w:w="2467" w:type="dxa"/>
            <w:vAlign w:val="top"/>
          </w:tcPr>
          <w:p w14:paraId="51BCE963">
            <w:pPr>
              <w:pStyle w:val="7"/>
              <w:spacing w:before="287" w:line="220" w:lineRule="auto"/>
              <w:ind w:left="818"/>
            </w:pPr>
            <w:r>
              <w:rPr>
                <w:spacing w:val="-19"/>
              </w:rPr>
              <w:t>管理人员</w:t>
            </w:r>
          </w:p>
        </w:tc>
        <w:tc>
          <w:tcPr>
            <w:tcW w:w="1743" w:type="dxa"/>
            <w:vAlign w:val="top"/>
          </w:tcPr>
          <w:p w14:paraId="1D0D81B3">
            <w:pPr>
              <w:pStyle w:val="7"/>
              <w:spacing w:before="287" w:line="237" w:lineRule="auto"/>
              <w:ind w:left="785"/>
            </w:pPr>
            <w:r>
              <w:rPr>
                <w:spacing w:val="-14"/>
              </w:rPr>
              <w:t>10</w:t>
            </w:r>
          </w:p>
        </w:tc>
        <w:tc>
          <w:tcPr>
            <w:tcW w:w="1741" w:type="dxa"/>
            <w:vAlign w:val="top"/>
          </w:tcPr>
          <w:p w14:paraId="09C9034C">
            <w:pPr>
              <w:pStyle w:val="7"/>
              <w:spacing w:before="287" w:line="238" w:lineRule="auto"/>
              <w:ind w:left="785"/>
            </w:pPr>
            <w:r>
              <w:rPr>
                <w:spacing w:val="-10"/>
              </w:rPr>
              <w:t>14</w:t>
            </w:r>
          </w:p>
        </w:tc>
        <w:tc>
          <w:tcPr>
            <w:tcW w:w="1768" w:type="dxa"/>
            <w:tcBorders>
              <w:right w:val="single" w:color="000000" w:sz="4" w:space="0"/>
            </w:tcBorders>
            <w:vAlign w:val="top"/>
          </w:tcPr>
          <w:p w14:paraId="1661A0E1">
            <w:pPr>
              <w:pStyle w:val="7"/>
              <w:spacing w:before="287" w:line="237" w:lineRule="auto"/>
              <w:ind w:left="791"/>
            </w:pPr>
            <w:r>
              <w:rPr>
                <w:spacing w:val="-10"/>
              </w:rPr>
              <w:t>10</w:t>
            </w:r>
          </w:p>
        </w:tc>
      </w:tr>
      <w:tr w14:paraId="316019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7" w:hRule="atLeast"/>
        </w:trPr>
        <w:tc>
          <w:tcPr>
            <w:tcW w:w="1034" w:type="dxa"/>
            <w:gridSpan w:val="2"/>
            <w:tcBorders>
              <w:left w:val="single" w:color="000000" w:sz="4" w:space="0"/>
            </w:tcBorders>
            <w:vAlign w:val="top"/>
          </w:tcPr>
          <w:p w14:paraId="5074EC02">
            <w:pPr>
              <w:pStyle w:val="7"/>
              <w:spacing w:before="286" w:line="238" w:lineRule="auto"/>
              <w:ind w:left="474"/>
            </w:pPr>
            <w:r>
              <w:t>2</w:t>
            </w:r>
          </w:p>
        </w:tc>
        <w:tc>
          <w:tcPr>
            <w:tcW w:w="2467" w:type="dxa"/>
            <w:vAlign w:val="top"/>
          </w:tcPr>
          <w:p w14:paraId="088FD764">
            <w:pPr>
              <w:pStyle w:val="7"/>
              <w:spacing w:before="286" w:line="217" w:lineRule="auto"/>
              <w:ind w:left="913"/>
            </w:pPr>
            <w:r>
              <w:rPr>
                <w:spacing w:val="-14"/>
              </w:rPr>
              <w:t>机械工</w:t>
            </w:r>
          </w:p>
        </w:tc>
        <w:tc>
          <w:tcPr>
            <w:tcW w:w="1743" w:type="dxa"/>
            <w:vAlign w:val="top"/>
          </w:tcPr>
          <w:p w14:paraId="6320DAA0">
            <w:pPr>
              <w:pStyle w:val="7"/>
              <w:spacing w:before="286" w:line="237" w:lineRule="auto"/>
              <w:ind w:left="785"/>
            </w:pPr>
            <w:r>
              <w:rPr>
                <w:spacing w:val="-10"/>
              </w:rPr>
              <w:t>10</w:t>
            </w:r>
          </w:p>
        </w:tc>
        <w:tc>
          <w:tcPr>
            <w:tcW w:w="1741" w:type="dxa"/>
            <w:vAlign w:val="top"/>
          </w:tcPr>
          <w:p w14:paraId="449486D8">
            <w:pPr>
              <w:pStyle w:val="7"/>
              <w:spacing w:before="286" w:line="237" w:lineRule="auto"/>
              <w:ind w:left="770"/>
            </w:pPr>
            <w:r>
              <w:rPr>
                <w:spacing w:val="-6"/>
              </w:rPr>
              <w:t>20</w:t>
            </w:r>
          </w:p>
        </w:tc>
        <w:tc>
          <w:tcPr>
            <w:tcW w:w="1768" w:type="dxa"/>
            <w:tcBorders>
              <w:right w:val="single" w:color="000000" w:sz="4" w:space="0"/>
            </w:tcBorders>
            <w:vAlign w:val="top"/>
          </w:tcPr>
          <w:p w14:paraId="2875F0FA">
            <w:pPr>
              <w:pStyle w:val="7"/>
              <w:spacing w:before="286" w:line="237" w:lineRule="auto"/>
              <w:ind w:left="791"/>
            </w:pPr>
            <w:r>
              <w:rPr>
                <w:spacing w:val="-10"/>
              </w:rPr>
              <w:t>10</w:t>
            </w:r>
          </w:p>
        </w:tc>
      </w:tr>
      <w:tr w14:paraId="2DD0C0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9" w:hRule="atLeast"/>
        </w:trPr>
        <w:tc>
          <w:tcPr>
            <w:tcW w:w="1034" w:type="dxa"/>
            <w:gridSpan w:val="2"/>
            <w:tcBorders>
              <w:left w:val="single" w:color="000000" w:sz="4" w:space="0"/>
            </w:tcBorders>
            <w:vAlign w:val="top"/>
          </w:tcPr>
          <w:p w14:paraId="19516054">
            <w:pPr>
              <w:pStyle w:val="7"/>
              <w:spacing w:before="289" w:line="237" w:lineRule="auto"/>
              <w:ind w:left="475"/>
            </w:pPr>
            <w:r>
              <w:t>3</w:t>
            </w:r>
          </w:p>
        </w:tc>
        <w:tc>
          <w:tcPr>
            <w:tcW w:w="2467" w:type="dxa"/>
            <w:vAlign w:val="top"/>
          </w:tcPr>
          <w:p w14:paraId="37C195A1">
            <w:pPr>
              <w:pStyle w:val="7"/>
              <w:spacing w:before="290" w:line="217" w:lineRule="auto"/>
              <w:ind w:left="1021"/>
            </w:pPr>
            <w:r>
              <w:rPr>
                <w:spacing w:val="-10"/>
              </w:rPr>
              <w:t>木工</w:t>
            </w:r>
          </w:p>
        </w:tc>
        <w:tc>
          <w:tcPr>
            <w:tcW w:w="1743" w:type="dxa"/>
            <w:vAlign w:val="top"/>
          </w:tcPr>
          <w:p w14:paraId="0DD7DEFC">
            <w:pPr>
              <w:pStyle w:val="7"/>
              <w:spacing w:before="289" w:line="237" w:lineRule="auto"/>
              <w:ind w:left="827"/>
            </w:pPr>
            <w:r>
              <w:t>5</w:t>
            </w:r>
          </w:p>
        </w:tc>
        <w:tc>
          <w:tcPr>
            <w:tcW w:w="1741" w:type="dxa"/>
            <w:vAlign w:val="top"/>
          </w:tcPr>
          <w:p w14:paraId="22E805CF">
            <w:pPr>
              <w:pStyle w:val="7"/>
              <w:spacing w:before="289" w:line="237" w:lineRule="auto"/>
              <w:ind w:left="785"/>
            </w:pPr>
            <w:r>
              <w:rPr>
                <w:spacing w:val="-10"/>
              </w:rPr>
              <w:t>10</w:t>
            </w:r>
          </w:p>
        </w:tc>
        <w:tc>
          <w:tcPr>
            <w:tcW w:w="1768" w:type="dxa"/>
            <w:tcBorders>
              <w:right w:val="single" w:color="000000" w:sz="4" w:space="0"/>
            </w:tcBorders>
            <w:vAlign w:val="top"/>
          </w:tcPr>
          <w:p w14:paraId="650241BB">
            <w:pPr>
              <w:pStyle w:val="7"/>
              <w:spacing w:before="289" w:line="238" w:lineRule="auto"/>
              <w:ind w:left="832"/>
            </w:pPr>
            <w:r>
              <w:t>2</w:t>
            </w:r>
          </w:p>
        </w:tc>
      </w:tr>
      <w:tr w14:paraId="7DD969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9" w:hRule="atLeast"/>
        </w:trPr>
        <w:tc>
          <w:tcPr>
            <w:tcW w:w="1034" w:type="dxa"/>
            <w:gridSpan w:val="2"/>
            <w:tcBorders>
              <w:left w:val="single" w:color="000000" w:sz="4" w:space="0"/>
            </w:tcBorders>
            <w:vAlign w:val="top"/>
          </w:tcPr>
          <w:p w14:paraId="1CD105E0">
            <w:pPr>
              <w:pStyle w:val="7"/>
              <w:spacing w:before="290" w:line="238" w:lineRule="auto"/>
              <w:ind w:left="470"/>
            </w:pPr>
            <w:r>
              <w:t>4</w:t>
            </w:r>
          </w:p>
        </w:tc>
        <w:tc>
          <w:tcPr>
            <w:tcW w:w="2467" w:type="dxa"/>
            <w:vAlign w:val="top"/>
          </w:tcPr>
          <w:p w14:paraId="14514504">
            <w:pPr>
              <w:pStyle w:val="7"/>
              <w:spacing w:before="290" w:line="218" w:lineRule="auto"/>
              <w:ind w:left="258"/>
            </w:pPr>
            <w:r>
              <w:rPr>
                <w:spacing w:val="-19"/>
              </w:rPr>
              <w:t>砼浇筑、沥青摊铺工</w:t>
            </w:r>
          </w:p>
        </w:tc>
        <w:tc>
          <w:tcPr>
            <w:tcW w:w="1743" w:type="dxa"/>
            <w:vAlign w:val="top"/>
          </w:tcPr>
          <w:p w14:paraId="5BB6790D">
            <w:pPr>
              <w:pStyle w:val="7"/>
              <w:spacing w:before="290" w:line="238" w:lineRule="auto"/>
              <w:ind w:left="825"/>
            </w:pPr>
            <w:r>
              <w:t>2</w:t>
            </w:r>
          </w:p>
        </w:tc>
        <w:tc>
          <w:tcPr>
            <w:tcW w:w="1741" w:type="dxa"/>
            <w:vAlign w:val="top"/>
          </w:tcPr>
          <w:p w14:paraId="4A6F43A6">
            <w:pPr>
              <w:pStyle w:val="7"/>
              <w:spacing w:before="289" w:line="237" w:lineRule="auto"/>
              <w:ind w:left="770"/>
            </w:pPr>
            <w:r>
              <w:rPr>
                <w:spacing w:val="-6"/>
              </w:rPr>
              <w:t>20</w:t>
            </w:r>
          </w:p>
        </w:tc>
        <w:tc>
          <w:tcPr>
            <w:tcW w:w="1768" w:type="dxa"/>
            <w:tcBorders>
              <w:right w:val="single" w:color="000000" w:sz="4" w:space="0"/>
            </w:tcBorders>
            <w:vAlign w:val="top"/>
          </w:tcPr>
          <w:p w14:paraId="243B1BD8">
            <w:pPr>
              <w:pStyle w:val="7"/>
              <w:spacing w:before="289" w:line="237" w:lineRule="auto"/>
              <w:ind w:left="834"/>
            </w:pPr>
            <w:r>
              <w:t>5</w:t>
            </w:r>
          </w:p>
        </w:tc>
      </w:tr>
      <w:tr w14:paraId="03A82A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9" w:hRule="atLeast"/>
        </w:trPr>
        <w:tc>
          <w:tcPr>
            <w:tcW w:w="1034" w:type="dxa"/>
            <w:gridSpan w:val="2"/>
            <w:tcBorders>
              <w:left w:val="single" w:color="000000" w:sz="4" w:space="0"/>
            </w:tcBorders>
            <w:vAlign w:val="top"/>
          </w:tcPr>
          <w:p w14:paraId="35F5ACAC">
            <w:pPr>
              <w:pStyle w:val="7"/>
              <w:spacing w:before="290" w:line="237" w:lineRule="auto"/>
              <w:ind w:left="475"/>
            </w:pPr>
            <w:r>
              <w:t>5</w:t>
            </w:r>
          </w:p>
        </w:tc>
        <w:tc>
          <w:tcPr>
            <w:tcW w:w="2467" w:type="dxa"/>
            <w:vAlign w:val="top"/>
          </w:tcPr>
          <w:p w14:paraId="4D6CD673">
            <w:pPr>
              <w:pStyle w:val="7"/>
              <w:spacing w:before="290" w:line="219" w:lineRule="auto"/>
              <w:ind w:left="804"/>
            </w:pPr>
            <w:r>
              <w:rPr>
                <w:spacing w:val="-15"/>
              </w:rPr>
              <w:t>水、电工</w:t>
            </w:r>
          </w:p>
        </w:tc>
        <w:tc>
          <w:tcPr>
            <w:tcW w:w="1743" w:type="dxa"/>
            <w:vAlign w:val="top"/>
          </w:tcPr>
          <w:p w14:paraId="0FB7326D">
            <w:pPr>
              <w:pStyle w:val="7"/>
              <w:spacing w:before="290" w:line="237" w:lineRule="auto"/>
              <w:ind w:left="827"/>
            </w:pPr>
            <w:r>
              <w:t>5</w:t>
            </w:r>
          </w:p>
        </w:tc>
        <w:tc>
          <w:tcPr>
            <w:tcW w:w="1741" w:type="dxa"/>
            <w:vAlign w:val="top"/>
          </w:tcPr>
          <w:p w14:paraId="2067016E">
            <w:pPr>
              <w:pStyle w:val="7"/>
              <w:spacing w:before="290" w:line="237" w:lineRule="auto"/>
              <w:ind w:left="785"/>
            </w:pPr>
            <w:r>
              <w:rPr>
                <w:spacing w:val="-10"/>
              </w:rPr>
              <w:t>10</w:t>
            </w:r>
          </w:p>
        </w:tc>
        <w:tc>
          <w:tcPr>
            <w:tcW w:w="1768" w:type="dxa"/>
            <w:tcBorders>
              <w:right w:val="single" w:color="000000" w:sz="4" w:space="0"/>
            </w:tcBorders>
            <w:vAlign w:val="top"/>
          </w:tcPr>
          <w:p w14:paraId="7E431ADF">
            <w:pPr>
              <w:pStyle w:val="7"/>
              <w:spacing w:before="290" w:line="237" w:lineRule="auto"/>
              <w:ind w:left="834"/>
            </w:pPr>
            <w:r>
              <w:t>5</w:t>
            </w:r>
          </w:p>
        </w:tc>
      </w:tr>
      <w:tr w14:paraId="47B74A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9" w:hRule="atLeast"/>
        </w:trPr>
        <w:tc>
          <w:tcPr>
            <w:tcW w:w="1034" w:type="dxa"/>
            <w:gridSpan w:val="2"/>
            <w:tcBorders>
              <w:left w:val="single" w:color="000000" w:sz="4" w:space="0"/>
            </w:tcBorders>
            <w:vAlign w:val="top"/>
          </w:tcPr>
          <w:p w14:paraId="5F2A96EC">
            <w:pPr>
              <w:pStyle w:val="7"/>
              <w:spacing w:before="291" w:line="237" w:lineRule="auto"/>
              <w:ind w:left="473"/>
            </w:pPr>
            <w:r>
              <w:t>6</w:t>
            </w:r>
          </w:p>
        </w:tc>
        <w:tc>
          <w:tcPr>
            <w:tcW w:w="2467" w:type="dxa"/>
            <w:vAlign w:val="top"/>
          </w:tcPr>
          <w:p w14:paraId="7E435AD4">
            <w:pPr>
              <w:pStyle w:val="7"/>
              <w:spacing w:before="291" w:line="218" w:lineRule="auto"/>
              <w:ind w:left="939"/>
            </w:pPr>
            <w:r>
              <w:rPr>
                <w:spacing w:val="-19"/>
              </w:rPr>
              <w:t>电焊工</w:t>
            </w:r>
          </w:p>
        </w:tc>
        <w:tc>
          <w:tcPr>
            <w:tcW w:w="1743" w:type="dxa"/>
            <w:vAlign w:val="top"/>
          </w:tcPr>
          <w:p w14:paraId="354E7875">
            <w:pPr>
              <w:pStyle w:val="7"/>
              <w:spacing w:before="291" w:line="237" w:lineRule="auto"/>
              <w:ind w:left="827"/>
            </w:pPr>
            <w:r>
              <w:t>5</w:t>
            </w:r>
          </w:p>
        </w:tc>
        <w:tc>
          <w:tcPr>
            <w:tcW w:w="1741" w:type="dxa"/>
            <w:vAlign w:val="top"/>
          </w:tcPr>
          <w:p w14:paraId="4C38CE87">
            <w:pPr>
              <w:pStyle w:val="7"/>
              <w:spacing w:before="291" w:line="237" w:lineRule="auto"/>
              <w:ind w:left="785"/>
            </w:pPr>
            <w:r>
              <w:rPr>
                <w:spacing w:val="-10"/>
              </w:rPr>
              <w:t>10</w:t>
            </w:r>
          </w:p>
        </w:tc>
        <w:tc>
          <w:tcPr>
            <w:tcW w:w="1768" w:type="dxa"/>
            <w:tcBorders>
              <w:right w:val="single" w:color="000000" w:sz="4" w:space="0"/>
            </w:tcBorders>
            <w:vAlign w:val="top"/>
          </w:tcPr>
          <w:p w14:paraId="1E60B72A">
            <w:pPr>
              <w:pStyle w:val="7"/>
              <w:spacing w:before="291" w:line="237" w:lineRule="auto"/>
              <w:ind w:left="834"/>
            </w:pPr>
            <w:r>
              <w:t>5</w:t>
            </w:r>
          </w:p>
        </w:tc>
      </w:tr>
      <w:tr w14:paraId="651464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9" w:hRule="atLeast"/>
        </w:trPr>
        <w:tc>
          <w:tcPr>
            <w:tcW w:w="1034" w:type="dxa"/>
            <w:gridSpan w:val="2"/>
            <w:tcBorders>
              <w:left w:val="single" w:color="000000" w:sz="4" w:space="0"/>
            </w:tcBorders>
            <w:vAlign w:val="top"/>
          </w:tcPr>
          <w:p w14:paraId="3BDB2EBB">
            <w:pPr>
              <w:pStyle w:val="7"/>
              <w:spacing w:before="291" w:line="237" w:lineRule="auto"/>
              <w:ind w:left="476"/>
            </w:pPr>
            <w:r>
              <w:t>7</w:t>
            </w:r>
          </w:p>
        </w:tc>
        <w:tc>
          <w:tcPr>
            <w:tcW w:w="2467" w:type="dxa"/>
            <w:vAlign w:val="top"/>
          </w:tcPr>
          <w:p w14:paraId="724C9F97">
            <w:pPr>
              <w:pStyle w:val="7"/>
              <w:spacing w:before="291" w:line="219" w:lineRule="auto"/>
              <w:ind w:left="912"/>
            </w:pPr>
            <w:r>
              <w:rPr>
                <w:spacing w:val="-13"/>
              </w:rPr>
              <w:t>钢筋工</w:t>
            </w:r>
          </w:p>
        </w:tc>
        <w:tc>
          <w:tcPr>
            <w:tcW w:w="1743" w:type="dxa"/>
            <w:vAlign w:val="top"/>
          </w:tcPr>
          <w:p w14:paraId="00EE77D4">
            <w:pPr>
              <w:pStyle w:val="7"/>
              <w:spacing w:before="291" w:line="237" w:lineRule="auto"/>
              <w:ind w:left="827"/>
            </w:pPr>
            <w:r>
              <w:t>5</w:t>
            </w:r>
          </w:p>
        </w:tc>
        <w:tc>
          <w:tcPr>
            <w:tcW w:w="1741" w:type="dxa"/>
            <w:vAlign w:val="top"/>
          </w:tcPr>
          <w:p w14:paraId="5A315240">
            <w:pPr>
              <w:pStyle w:val="7"/>
              <w:spacing w:before="291" w:line="237" w:lineRule="auto"/>
              <w:ind w:left="785"/>
            </w:pPr>
            <w:r>
              <w:rPr>
                <w:spacing w:val="-10"/>
              </w:rPr>
              <w:t>10</w:t>
            </w:r>
          </w:p>
        </w:tc>
        <w:tc>
          <w:tcPr>
            <w:tcW w:w="1768" w:type="dxa"/>
            <w:tcBorders>
              <w:right w:val="single" w:color="000000" w:sz="4" w:space="0"/>
            </w:tcBorders>
            <w:vAlign w:val="top"/>
          </w:tcPr>
          <w:p w14:paraId="1B5A9A4F">
            <w:pPr>
              <w:pStyle w:val="7"/>
              <w:spacing w:before="291" w:line="237" w:lineRule="auto"/>
              <w:ind w:left="834"/>
            </w:pPr>
            <w:r>
              <w:t>5</w:t>
            </w:r>
          </w:p>
        </w:tc>
      </w:tr>
      <w:tr w14:paraId="70610B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6" w:hRule="atLeast"/>
        </w:trPr>
        <w:tc>
          <w:tcPr>
            <w:tcW w:w="1034" w:type="dxa"/>
            <w:gridSpan w:val="2"/>
            <w:tcBorders>
              <w:left w:val="single" w:color="000000" w:sz="4" w:space="0"/>
            </w:tcBorders>
            <w:vAlign w:val="top"/>
          </w:tcPr>
          <w:p w14:paraId="7DF3B253">
            <w:pPr>
              <w:pStyle w:val="7"/>
              <w:spacing w:before="289" w:line="237" w:lineRule="auto"/>
              <w:ind w:left="472"/>
            </w:pPr>
            <w:r>
              <w:t>8</w:t>
            </w:r>
          </w:p>
        </w:tc>
        <w:tc>
          <w:tcPr>
            <w:tcW w:w="2467" w:type="dxa"/>
            <w:vAlign w:val="top"/>
          </w:tcPr>
          <w:p w14:paraId="0861C3FA">
            <w:pPr>
              <w:pStyle w:val="7"/>
              <w:spacing w:before="289" w:line="216" w:lineRule="auto"/>
              <w:ind w:left="588"/>
            </w:pPr>
            <w:r>
              <w:rPr>
                <w:spacing w:val="-18"/>
              </w:rPr>
              <w:t>检查井砌筑工</w:t>
            </w:r>
          </w:p>
        </w:tc>
        <w:tc>
          <w:tcPr>
            <w:tcW w:w="1743" w:type="dxa"/>
            <w:vAlign w:val="top"/>
          </w:tcPr>
          <w:p w14:paraId="4E3CF03B">
            <w:pPr>
              <w:pStyle w:val="7"/>
              <w:spacing w:before="289" w:line="237" w:lineRule="auto"/>
              <w:ind w:left="785"/>
            </w:pPr>
            <w:r>
              <w:rPr>
                <w:spacing w:val="-10"/>
              </w:rPr>
              <w:t>10</w:t>
            </w:r>
          </w:p>
        </w:tc>
        <w:tc>
          <w:tcPr>
            <w:tcW w:w="1741" w:type="dxa"/>
            <w:vAlign w:val="top"/>
          </w:tcPr>
          <w:p w14:paraId="7BA6731B">
            <w:pPr>
              <w:pStyle w:val="7"/>
              <w:spacing w:before="289" w:line="237" w:lineRule="auto"/>
              <w:ind w:left="772"/>
            </w:pPr>
            <w:r>
              <w:rPr>
                <w:spacing w:val="-7"/>
              </w:rPr>
              <w:t>30</w:t>
            </w:r>
          </w:p>
        </w:tc>
        <w:tc>
          <w:tcPr>
            <w:tcW w:w="1768" w:type="dxa"/>
            <w:tcBorders>
              <w:right w:val="single" w:color="000000" w:sz="4" w:space="0"/>
            </w:tcBorders>
            <w:vAlign w:val="top"/>
          </w:tcPr>
          <w:p w14:paraId="7DC738CC">
            <w:pPr>
              <w:pStyle w:val="7"/>
              <w:spacing w:before="289" w:line="237" w:lineRule="auto"/>
              <w:ind w:left="777"/>
            </w:pPr>
            <w:r>
              <w:rPr>
                <w:spacing w:val="-6"/>
              </w:rPr>
              <w:t>20</w:t>
            </w:r>
          </w:p>
        </w:tc>
      </w:tr>
      <w:tr w14:paraId="686D8A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9" w:hRule="atLeast"/>
        </w:trPr>
        <w:tc>
          <w:tcPr>
            <w:tcW w:w="1034" w:type="dxa"/>
            <w:gridSpan w:val="2"/>
            <w:tcBorders>
              <w:left w:val="single" w:color="000000" w:sz="4" w:space="0"/>
            </w:tcBorders>
            <w:vAlign w:val="top"/>
          </w:tcPr>
          <w:p w14:paraId="24A37179">
            <w:pPr>
              <w:pStyle w:val="7"/>
              <w:spacing w:before="292" w:line="237" w:lineRule="auto"/>
              <w:ind w:left="472"/>
            </w:pPr>
            <w:r>
              <w:t>9</w:t>
            </w:r>
          </w:p>
        </w:tc>
        <w:tc>
          <w:tcPr>
            <w:tcW w:w="2467" w:type="dxa"/>
            <w:vAlign w:val="top"/>
          </w:tcPr>
          <w:p w14:paraId="4C76B624">
            <w:pPr>
              <w:pStyle w:val="7"/>
              <w:spacing w:before="293" w:line="218" w:lineRule="auto"/>
              <w:ind w:left="947"/>
            </w:pPr>
            <w:r>
              <w:rPr>
                <w:spacing w:val="-21"/>
              </w:rPr>
              <w:t>吊装工</w:t>
            </w:r>
          </w:p>
        </w:tc>
        <w:tc>
          <w:tcPr>
            <w:tcW w:w="1743" w:type="dxa"/>
            <w:vAlign w:val="top"/>
          </w:tcPr>
          <w:p w14:paraId="0692D699">
            <w:pPr>
              <w:pStyle w:val="7"/>
              <w:spacing w:before="292" w:line="237" w:lineRule="auto"/>
              <w:ind w:left="785"/>
            </w:pPr>
            <w:r>
              <w:rPr>
                <w:spacing w:val="-14"/>
              </w:rPr>
              <w:t>10</w:t>
            </w:r>
          </w:p>
        </w:tc>
        <w:tc>
          <w:tcPr>
            <w:tcW w:w="1741" w:type="dxa"/>
            <w:vAlign w:val="top"/>
          </w:tcPr>
          <w:p w14:paraId="46B2F514">
            <w:pPr>
              <w:pStyle w:val="7"/>
              <w:spacing w:before="292" w:line="237" w:lineRule="auto"/>
              <w:ind w:left="770"/>
            </w:pPr>
            <w:r>
              <w:rPr>
                <w:spacing w:val="-6"/>
              </w:rPr>
              <w:t>20</w:t>
            </w:r>
          </w:p>
        </w:tc>
        <w:tc>
          <w:tcPr>
            <w:tcW w:w="1768" w:type="dxa"/>
            <w:tcBorders>
              <w:right w:val="single" w:color="000000" w:sz="4" w:space="0"/>
            </w:tcBorders>
            <w:vAlign w:val="top"/>
          </w:tcPr>
          <w:p w14:paraId="0D5E1F95">
            <w:pPr>
              <w:pStyle w:val="7"/>
              <w:spacing w:before="292" w:line="237" w:lineRule="auto"/>
              <w:ind w:left="834"/>
            </w:pPr>
            <w:r>
              <w:t>5</w:t>
            </w:r>
          </w:p>
        </w:tc>
      </w:tr>
      <w:tr w14:paraId="7944F2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9" w:hRule="atLeast"/>
        </w:trPr>
        <w:tc>
          <w:tcPr>
            <w:tcW w:w="1034" w:type="dxa"/>
            <w:gridSpan w:val="2"/>
            <w:tcBorders>
              <w:left w:val="single" w:color="000000" w:sz="4" w:space="0"/>
            </w:tcBorders>
            <w:vAlign w:val="top"/>
          </w:tcPr>
          <w:p w14:paraId="3DBCC11A">
            <w:pPr>
              <w:pStyle w:val="7"/>
              <w:spacing w:before="293" w:line="237" w:lineRule="auto"/>
              <w:ind w:left="433"/>
            </w:pPr>
            <w:r>
              <w:rPr>
                <w:spacing w:val="-14"/>
              </w:rPr>
              <w:t>10</w:t>
            </w:r>
          </w:p>
        </w:tc>
        <w:tc>
          <w:tcPr>
            <w:tcW w:w="2467" w:type="dxa"/>
            <w:vAlign w:val="top"/>
          </w:tcPr>
          <w:p w14:paraId="70073F7A">
            <w:pPr>
              <w:pStyle w:val="7"/>
              <w:spacing w:before="294" w:line="218" w:lineRule="auto"/>
              <w:ind w:left="708"/>
            </w:pPr>
            <w:r>
              <w:rPr>
                <w:spacing w:val="-20"/>
              </w:rPr>
              <w:t>管道焊接工</w:t>
            </w:r>
          </w:p>
        </w:tc>
        <w:tc>
          <w:tcPr>
            <w:tcW w:w="1743" w:type="dxa"/>
            <w:vAlign w:val="top"/>
          </w:tcPr>
          <w:p w14:paraId="6CB22D7E">
            <w:pPr>
              <w:pStyle w:val="7"/>
              <w:spacing w:before="293" w:line="237" w:lineRule="auto"/>
              <w:ind w:left="785"/>
            </w:pPr>
            <w:r>
              <w:rPr>
                <w:spacing w:val="-14"/>
              </w:rPr>
              <w:t>10</w:t>
            </w:r>
          </w:p>
        </w:tc>
        <w:tc>
          <w:tcPr>
            <w:tcW w:w="1741" w:type="dxa"/>
            <w:vAlign w:val="top"/>
          </w:tcPr>
          <w:p w14:paraId="56C86908">
            <w:pPr>
              <w:pStyle w:val="7"/>
              <w:spacing w:before="293" w:line="237" w:lineRule="auto"/>
              <w:ind w:left="770"/>
            </w:pPr>
            <w:r>
              <w:rPr>
                <w:spacing w:val="-6"/>
              </w:rPr>
              <w:t>20</w:t>
            </w:r>
          </w:p>
        </w:tc>
        <w:tc>
          <w:tcPr>
            <w:tcW w:w="1768" w:type="dxa"/>
            <w:tcBorders>
              <w:right w:val="single" w:color="000000" w:sz="4" w:space="0"/>
            </w:tcBorders>
            <w:vAlign w:val="top"/>
          </w:tcPr>
          <w:p w14:paraId="68B80B9A">
            <w:pPr>
              <w:pStyle w:val="7"/>
              <w:spacing w:before="293" w:line="237" w:lineRule="auto"/>
              <w:ind w:left="834"/>
            </w:pPr>
            <w:r>
              <w:t>5</w:t>
            </w:r>
          </w:p>
        </w:tc>
      </w:tr>
      <w:tr w14:paraId="426F73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9" w:hRule="atLeast"/>
        </w:trPr>
        <w:tc>
          <w:tcPr>
            <w:tcW w:w="1034" w:type="dxa"/>
            <w:gridSpan w:val="2"/>
            <w:tcBorders>
              <w:left w:val="single" w:color="000000" w:sz="4" w:space="0"/>
            </w:tcBorders>
            <w:vAlign w:val="top"/>
          </w:tcPr>
          <w:p w14:paraId="664EF1FA">
            <w:pPr>
              <w:pStyle w:val="7"/>
              <w:spacing w:before="294" w:line="238" w:lineRule="auto"/>
              <w:ind w:left="433"/>
            </w:pPr>
            <w:r>
              <w:rPr>
                <w:spacing w:val="-10"/>
              </w:rPr>
              <w:t>11</w:t>
            </w:r>
          </w:p>
        </w:tc>
        <w:tc>
          <w:tcPr>
            <w:tcW w:w="2467" w:type="dxa"/>
            <w:vAlign w:val="top"/>
          </w:tcPr>
          <w:p w14:paraId="189CA494">
            <w:pPr>
              <w:pStyle w:val="7"/>
              <w:spacing w:before="294" w:line="216" w:lineRule="auto"/>
              <w:ind w:left="699"/>
            </w:pPr>
            <w:r>
              <w:rPr>
                <w:spacing w:val="-18"/>
              </w:rPr>
              <w:t>登高作业工</w:t>
            </w:r>
          </w:p>
        </w:tc>
        <w:tc>
          <w:tcPr>
            <w:tcW w:w="1743" w:type="dxa"/>
            <w:vAlign w:val="top"/>
          </w:tcPr>
          <w:p w14:paraId="29E0EC7A">
            <w:pPr>
              <w:pStyle w:val="7"/>
              <w:spacing w:before="294" w:line="238" w:lineRule="auto"/>
              <w:ind w:left="825"/>
            </w:pPr>
            <w:r>
              <w:t>2</w:t>
            </w:r>
          </w:p>
        </w:tc>
        <w:tc>
          <w:tcPr>
            <w:tcW w:w="1741" w:type="dxa"/>
            <w:vAlign w:val="top"/>
          </w:tcPr>
          <w:p w14:paraId="21802FF2">
            <w:pPr>
              <w:pStyle w:val="7"/>
              <w:spacing w:before="294" w:line="237" w:lineRule="auto"/>
              <w:ind w:left="827"/>
            </w:pPr>
            <w:r>
              <w:t>5</w:t>
            </w:r>
          </w:p>
        </w:tc>
        <w:tc>
          <w:tcPr>
            <w:tcW w:w="1768" w:type="dxa"/>
            <w:tcBorders>
              <w:right w:val="single" w:color="000000" w:sz="4" w:space="0"/>
            </w:tcBorders>
            <w:vAlign w:val="top"/>
          </w:tcPr>
          <w:p w14:paraId="1A08056E">
            <w:pPr>
              <w:pStyle w:val="7"/>
              <w:spacing w:before="294" w:line="238" w:lineRule="auto"/>
              <w:ind w:left="832"/>
            </w:pPr>
            <w:r>
              <w:t>2</w:t>
            </w:r>
          </w:p>
        </w:tc>
      </w:tr>
      <w:tr w14:paraId="16DEEE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09" w:hRule="atLeast"/>
        </w:trPr>
        <w:tc>
          <w:tcPr>
            <w:tcW w:w="243" w:type="dxa"/>
            <w:tcBorders>
              <w:left w:val="single" w:color="1C456A" w:sz="4" w:space="0"/>
              <w:bottom w:val="single" w:color="1C456A" w:sz="4" w:space="0"/>
              <w:right w:val="nil"/>
            </w:tcBorders>
            <w:vAlign w:val="top"/>
          </w:tcPr>
          <w:p w14:paraId="68A1E7FD">
            <w:pPr>
              <w:rPr>
                <w:rFonts w:ascii="Arial"/>
                <w:sz w:val="21"/>
              </w:rPr>
            </w:pPr>
            <w:r>
              <w:pict>
                <v:shape id="_x0000_s5030" o:spid="_x0000_s5030" style="position:absolute;left:0pt;margin-left:-0.25pt;margin-top:50.45pt;height:0.75pt;width:2.2pt;mso-position-horizontal-relative:page;mso-position-vertical-relative:page;z-index:252459008;mso-width-relative:page;mso-height-relative:page;" fillcolor="#5B9BD5" filled="t" stroked="f" coordsize="44,15" path="m0,14l43,14,43,0,0,0,0,14xe">
                  <v:path/>
                  <v:fill on="t" focussize="0,0"/>
                  <v:stroke on="f"/>
                  <v:imagedata o:title=""/>
                  <o:lock v:ext="edit"/>
                </v:shape>
              </w:pict>
            </w:r>
          </w:p>
        </w:tc>
        <w:tc>
          <w:tcPr>
            <w:tcW w:w="791" w:type="dxa"/>
            <w:tcBorders>
              <w:left w:val="nil"/>
              <w:bottom w:val="single" w:color="1C456A" w:sz="4" w:space="0"/>
            </w:tcBorders>
            <w:vAlign w:val="top"/>
          </w:tcPr>
          <w:p w14:paraId="34E89735">
            <w:pPr>
              <w:pStyle w:val="7"/>
              <w:spacing w:before="295" w:line="238" w:lineRule="auto"/>
              <w:ind w:left="195"/>
            </w:pPr>
            <w:r>
              <w:rPr>
                <w:spacing w:val="-14"/>
              </w:rPr>
              <w:t>12</w:t>
            </w:r>
          </w:p>
        </w:tc>
        <w:tc>
          <w:tcPr>
            <w:tcW w:w="2467" w:type="dxa"/>
            <w:tcBorders>
              <w:bottom w:val="single" w:color="000000" w:sz="4" w:space="0"/>
            </w:tcBorders>
            <w:vAlign w:val="top"/>
          </w:tcPr>
          <w:p w14:paraId="63FC3368">
            <w:pPr>
              <w:pStyle w:val="7"/>
              <w:spacing w:before="294" w:line="221" w:lineRule="auto"/>
              <w:ind w:left="1030"/>
            </w:pPr>
            <w:r>
              <w:rPr>
                <w:spacing w:val="-13"/>
              </w:rPr>
              <w:t>瓦工</w:t>
            </w:r>
          </w:p>
        </w:tc>
        <w:tc>
          <w:tcPr>
            <w:tcW w:w="1743" w:type="dxa"/>
            <w:tcBorders>
              <w:bottom w:val="single" w:color="000000" w:sz="4" w:space="0"/>
            </w:tcBorders>
            <w:vAlign w:val="top"/>
          </w:tcPr>
          <w:p w14:paraId="7619E7A7">
            <w:pPr>
              <w:pStyle w:val="7"/>
              <w:spacing w:before="294" w:line="237" w:lineRule="auto"/>
              <w:ind w:left="785"/>
            </w:pPr>
            <w:r>
              <w:rPr>
                <w:spacing w:val="-10"/>
              </w:rPr>
              <w:t>10</w:t>
            </w:r>
          </w:p>
        </w:tc>
        <w:tc>
          <w:tcPr>
            <w:tcW w:w="1741" w:type="dxa"/>
            <w:tcBorders>
              <w:bottom w:val="single" w:color="000000" w:sz="4" w:space="0"/>
            </w:tcBorders>
            <w:vAlign w:val="top"/>
          </w:tcPr>
          <w:p w14:paraId="308DF463">
            <w:pPr>
              <w:pStyle w:val="7"/>
              <w:spacing w:before="294" w:line="237" w:lineRule="auto"/>
              <w:ind w:left="785"/>
            </w:pPr>
            <w:r>
              <w:rPr>
                <w:spacing w:val="-10"/>
              </w:rPr>
              <w:t>15</w:t>
            </w:r>
          </w:p>
        </w:tc>
        <w:tc>
          <w:tcPr>
            <w:tcW w:w="1768" w:type="dxa"/>
            <w:tcBorders>
              <w:bottom w:val="single" w:color="5B9BD5" w:sz="4" w:space="0"/>
              <w:right w:val="single" w:color="5B9BD5" w:sz="4" w:space="0"/>
            </w:tcBorders>
            <w:vAlign w:val="top"/>
          </w:tcPr>
          <w:p w14:paraId="3E0B0FFA">
            <w:pPr>
              <w:pStyle w:val="7"/>
              <w:spacing w:before="294" w:line="237" w:lineRule="auto"/>
              <w:ind w:left="834"/>
            </w:pPr>
            <w:r>
              <w:t>5</w:t>
            </w:r>
          </w:p>
        </w:tc>
      </w:tr>
    </w:tbl>
    <w:p w14:paraId="49BB0DA6">
      <w:pPr>
        <w:rPr>
          <w:rFonts w:ascii="Arial"/>
          <w:sz w:val="21"/>
        </w:rPr>
      </w:pPr>
    </w:p>
    <w:p w14:paraId="113B36E8">
      <w:pPr>
        <w:rPr>
          <w:rFonts w:ascii="Arial" w:hAnsi="Arial" w:eastAsia="Arial" w:cs="Arial"/>
          <w:sz w:val="21"/>
          <w:szCs w:val="21"/>
        </w:rPr>
        <w:sectPr>
          <w:footerReference r:id="rId437" w:type="default"/>
          <w:pgSz w:w="11907" w:h="16839"/>
          <w:pgMar w:top="933" w:right="4" w:bottom="1038" w:left="0" w:header="478" w:footer="357" w:gutter="0"/>
          <w:pgBorders>
            <w:top w:val="none" w:sz="0" w:space="0"/>
            <w:left w:val="none" w:sz="0" w:space="0"/>
            <w:bottom w:val="none" w:sz="0" w:space="0"/>
            <w:right w:val="none" w:sz="0" w:space="0"/>
          </w:pgBorders>
          <w:cols w:space="720" w:num="1"/>
        </w:sectPr>
      </w:pPr>
    </w:p>
    <w:p w14:paraId="5A909A9F">
      <w:pPr>
        <w:spacing w:line="235" w:lineRule="exact"/>
      </w:pPr>
    </w:p>
    <w:tbl>
      <w:tblPr>
        <w:tblStyle w:val="6"/>
        <w:tblW w:w="8753" w:type="dxa"/>
        <w:tblInd w:w="157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30"/>
        <w:gridCol w:w="2470"/>
        <w:gridCol w:w="1743"/>
        <w:gridCol w:w="1740"/>
        <w:gridCol w:w="1770"/>
      </w:tblGrid>
      <w:tr w14:paraId="0EC9CD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04" w:hRule="atLeast"/>
        </w:trPr>
        <w:tc>
          <w:tcPr>
            <w:tcW w:w="1030" w:type="dxa"/>
            <w:tcBorders>
              <w:top w:val="single" w:color="000000" w:sz="4" w:space="0"/>
              <w:left w:val="single" w:color="000000" w:sz="4" w:space="0"/>
            </w:tcBorders>
            <w:vAlign w:val="top"/>
          </w:tcPr>
          <w:p w14:paraId="1B37E051">
            <w:pPr>
              <w:spacing w:line="241" w:lineRule="auto"/>
              <w:rPr>
                <w:rFonts w:ascii="Arial"/>
                <w:sz w:val="21"/>
              </w:rPr>
            </w:pPr>
          </w:p>
          <w:p w14:paraId="2CA6CBA2">
            <w:pPr>
              <w:pStyle w:val="7"/>
              <w:spacing w:before="78" w:line="237" w:lineRule="auto"/>
              <w:ind w:left="433"/>
            </w:pPr>
            <w:r>
              <w:rPr>
                <w:spacing w:val="-10"/>
              </w:rPr>
              <w:t>13</w:t>
            </w:r>
          </w:p>
        </w:tc>
        <w:tc>
          <w:tcPr>
            <w:tcW w:w="2470" w:type="dxa"/>
            <w:tcBorders>
              <w:top w:val="single" w:color="000000" w:sz="4" w:space="0"/>
            </w:tcBorders>
            <w:vAlign w:val="top"/>
          </w:tcPr>
          <w:p w14:paraId="1142DE2F">
            <w:pPr>
              <w:spacing w:line="241" w:lineRule="auto"/>
              <w:rPr>
                <w:rFonts w:ascii="Arial"/>
                <w:sz w:val="21"/>
              </w:rPr>
            </w:pPr>
          </w:p>
          <w:p w14:paraId="0FE62B0B">
            <w:pPr>
              <w:pStyle w:val="7"/>
              <w:spacing w:before="78" w:line="219" w:lineRule="auto"/>
              <w:ind w:left="916"/>
            </w:pPr>
            <w:r>
              <w:rPr>
                <w:spacing w:val="-13"/>
              </w:rPr>
              <w:t>铺装工</w:t>
            </w:r>
          </w:p>
        </w:tc>
        <w:tc>
          <w:tcPr>
            <w:tcW w:w="1743" w:type="dxa"/>
            <w:tcBorders>
              <w:top w:val="single" w:color="000000" w:sz="4" w:space="0"/>
            </w:tcBorders>
            <w:vAlign w:val="top"/>
          </w:tcPr>
          <w:p w14:paraId="0BA4D3E4">
            <w:pPr>
              <w:spacing w:line="241" w:lineRule="auto"/>
              <w:rPr>
                <w:rFonts w:ascii="Arial"/>
                <w:sz w:val="21"/>
              </w:rPr>
            </w:pPr>
          </w:p>
          <w:p w14:paraId="17F12C36">
            <w:pPr>
              <w:pStyle w:val="7"/>
              <w:spacing w:before="78" w:line="237" w:lineRule="auto"/>
              <w:ind w:left="828"/>
            </w:pPr>
            <w:r>
              <w:t>5</w:t>
            </w:r>
          </w:p>
        </w:tc>
        <w:tc>
          <w:tcPr>
            <w:tcW w:w="1740" w:type="dxa"/>
            <w:tcBorders>
              <w:top w:val="single" w:color="000000" w:sz="4" w:space="0"/>
            </w:tcBorders>
            <w:vAlign w:val="top"/>
          </w:tcPr>
          <w:p w14:paraId="054E23F1">
            <w:pPr>
              <w:spacing w:line="241" w:lineRule="auto"/>
              <w:rPr>
                <w:rFonts w:ascii="Arial"/>
                <w:sz w:val="21"/>
              </w:rPr>
            </w:pPr>
          </w:p>
          <w:p w14:paraId="01DBE214">
            <w:pPr>
              <w:pStyle w:val="7"/>
              <w:spacing w:before="78" w:line="237" w:lineRule="auto"/>
              <w:ind w:left="786"/>
            </w:pPr>
            <w:r>
              <w:rPr>
                <w:spacing w:val="-10"/>
              </w:rPr>
              <w:t>15</w:t>
            </w:r>
          </w:p>
        </w:tc>
        <w:tc>
          <w:tcPr>
            <w:tcW w:w="1770" w:type="dxa"/>
            <w:tcBorders>
              <w:top w:val="single" w:color="5B9BD5" w:sz="4" w:space="0"/>
              <w:right w:val="single" w:color="5B9BD5" w:sz="4" w:space="0"/>
            </w:tcBorders>
            <w:vAlign w:val="top"/>
          </w:tcPr>
          <w:p w14:paraId="1CB3D713">
            <w:pPr>
              <w:spacing w:line="241" w:lineRule="auto"/>
              <w:rPr>
                <w:rFonts w:ascii="Arial"/>
                <w:sz w:val="21"/>
              </w:rPr>
            </w:pPr>
          </w:p>
          <w:p w14:paraId="3850D0C7">
            <w:pPr>
              <w:pStyle w:val="7"/>
              <w:spacing w:before="78" w:line="237" w:lineRule="auto"/>
              <w:ind w:left="793"/>
            </w:pPr>
            <w:r>
              <w:rPr>
                <w:spacing w:val="-10"/>
              </w:rPr>
              <w:t>15</w:t>
            </w:r>
          </w:p>
        </w:tc>
      </w:tr>
      <w:tr w14:paraId="172387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7" w:hRule="atLeast"/>
        </w:trPr>
        <w:tc>
          <w:tcPr>
            <w:tcW w:w="1030" w:type="dxa"/>
            <w:tcBorders>
              <w:left w:val="single" w:color="000000" w:sz="4" w:space="0"/>
            </w:tcBorders>
            <w:vAlign w:val="top"/>
          </w:tcPr>
          <w:p w14:paraId="45E47608">
            <w:pPr>
              <w:pStyle w:val="7"/>
              <w:spacing w:before="285" w:line="238" w:lineRule="auto"/>
              <w:ind w:left="433"/>
            </w:pPr>
            <w:r>
              <w:rPr>
                <w:spacing w:val="-14"/>
              </w:rPr>
              <w:t>14</w:t>
            </w:r>
          </w:p>
        </w:tc>
        <w:tc>
          <w:tcPr>
            <w:tcW w:w="2470" w:type="dxa"/>
            <w:vAlign w:val="top"/>
          </w:tcPr>
          <w:p w14:paraId="1AB9BD87">
            <w:pPr>
              <w:pStyle w:val="7"/>
              <w:spacing w:before="284" w:line="218" w:lineRule="auto"/>
              <w:ind w:left="921"/>
            </w:pPr>
            <w:r>
              <w:rPr>
                <w:spacing w:val="-14"/>
              </w:rPr>
              <w:t>绿化工</w:t>
            </w:r>
          </w:p>
        </w:tc>
        <w:tc>
          <w:tcPr>
            <w:tcW w:w="1743" w:type="dxa"/>
            <w:vAlign w:val="top"/>
          </w:tcPr>
          <w:p w14:paraId="658EE0F2">
            <w:pPr>
              <w:pStyle w:val="7"/>
              <w:spacing w:before="284" w:line="237" w:lineRule="auto"/>
              <w:ind w:left="825"/>
            </w:pPr>
            <w:r>
              <w:t>0</w:t>
            </w:r>
          </w:p>
        </w:tc>
        <w:tc>
          <w:tcPr>
            <w:tcW w:w="1740" w:type="dxa"/>
            <w:vAlign w:val="top"/>
          </w:tcPr>
          <w:p w14:paraId="4ED58F29">
            <w:pPr>
              <w:pStyle w:val="7"/>
              <w:spacing w:before="284" w:line="237" w:lineRule="auto"/>
              <w:ind w:left="786"/>
            </w:pPr>
            <w:r>
              <w:rPr>
                <w:spacing w:val="-10"/>
              </w:rPr>
              <w:t>10</w:t>
            </w:r>
          </w:p>
        </w:tc>
        <w:tc>
          <w:tcPr>
            <w:tcW w:w="1770" w:type="dxa"/>
            <w:tcBorders>
              <w:right w:val="single" w:color="000000" w:sz="4" w:space="0"/>
            </w:tcBorders>
            <w:vAlign w:val="top"/>
          </w:tcPr>
          <w:p w14:paraId="2AC45C17">
            <w:pPr>
              <w:pStyle w:val="7"/>
              <w:spacing w:before="284" w:line="237" w:lineRule="auto"/>
              <w:ind w:left="793"/>
            </w:pPr>
            <w:r>
              <w:rPr>
                <w:spacing w:val="-10"/>
              </w:rPr>
              <w:t>15</w:t>
            </w:r>
          </w:p>
        </w:tc>
      </w:tr>
      <w:tr w14:paraId="56D461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5" w:hRule="atLeast"/>
        </w:trPr>
        <w:tc>
          <w:tcPr>
            <w:tcW w:w="1030" w:type="dxa"/>
            <w:tcBorders>
              <w:left w:val="single" w:color="000000" w:sz="4" w:space="0"/>
            </w:tcBorders>
            <w:vAlign w:val="top"/>
          </w:tcPr>
          <w:p w14:paraId="5E8878EC">
            <w:pPr>
              <w:pStyle w:val="7"/>
              <w:spacing w:before="287" w:line="237" w:lineRule="auto"/>
              <w:ind w:left="433"/>
            </w:pPr>
            <w:r>
              <w:rPr>
                <w:spacing w:val="-14"/>
              </w:rPr>
              <w:t>15</w:t>
            </w:r>
          </w:p>
        </w:tc>
        <w:tc>
          <w:tcPr>
            <w:tcW w:w="2470" w:type="dxa"/>
            <w:vAlign w:val="top"/>
          </w:tcPr>
          <w:p w14:paraId="09224F91">
            <w:pPr>
              <w:pStyle w:val="7"/>
              <w:spacing w:before="286" w:line="217" w:lineRule="auto"/>
              <w:ind w:left="916"/>
            </w:pPr>
            <w:r>
              <w:rPr>
                <w:spacing w:val="-13"/>
              </w:rPr>
              <w:t>特种工</w:t>
            </w:r>
          </w:p>
        </w:tc>
        <w:tc>
          <w:tcPr>
            <w:tcW w:w="1743" w:type="dxa"/>
            <w:vAlign w:val="top"/>
          </w:tcPr>
          <w:p w14:paraId="54A9443F">
            <w:pPr>
              <w:pStyle w:val="7"/>
              <w:spacing w:before="287" w:line="237" w:lineRule="auto"/>
              <w:ind w:left="828"/>
            </w:pPr>
            <w:r>
              <w:t>5</w:t>
            </w:r>
          </w:p>
        </w:tc>
        <w:tc>
          <w:tcPr>
            <w:tcW w:w="1740" w:type="dxa"/>
            <w:vAlign w:val="top"/>
          </w:tcPr>
          <w:p w14:paraId="1FAB26D7">
            <w:pPr>
              <w:pStyle w:val="7"/>
              <w:spacing w:before="287" w:line="237" w:lineRule="auto"/>
              <w:ind w:left="828"/>
            </w:pPr>
            <w:r>
              <w:t>5</w:t>
            </w:r>
          </w:p>
        </w:tc>
        <w:tc>
          <w:tcPr>
            <w:tcW w:w="1770" w:type="dxa"/>
            <w:tcBorders>
              <w:right w:val="single" w:color="000000" w:sz="4" w:space="0"/>
            </w:tcBorders>
            <w:vAlign w:val="top"/>
          </w:tcPr>
          <w:p w14:paraId="1245BDC6">
            <w:pPr>
              <w:pStyle w:val="7"/>
              <w:spacing w:before="287" w:line="238" w:lineRule="auto"/>
              <w:ind w:left="834"/>
            </w:pPr>
            <w:r>
              <w:t>2</w:t>
            </w:r>
          </w:p>
        </w:tc>
      </w:tr>
      <w:tr w14:paraId="4EB4E6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7" w:hRule="atLeast"/>
        </w:trPr>
        <w:tc>
          <w:tcPr>
            <w:tcW w:w="1030" w:type="dxa"/>
            <w:tcBorders>
              <w:left w:val="single" w:color="000000" w:sz="4" w:space="0"/>
            </w:tcBorders>
            <w:vAlign w:val="top"/>
          </w:tcPr>
          <w:p w14:paraId="6358C3EC">
            <w:pPr>
              <w:pStyle w:val="7"/>
              <w:spacing w:before="291" w:line="237" w:lineRule="auto"/>
              <w:ind w:left="433"/>
            </w:pPr>
            <w:r>
              <w:rPr>
                <w:spacing w:val="-14"/>
              </w:rPr>
              <w:t>16</w:t>
            </w:r>
          </w:p>
        </w:tc>
        <w:tc>
          <w:tcPr>
            <w:tcW w:w="2470" w:type="dxa"/>
            <w:vAlign w:val="top"/>
          </w:tcPr>
          <w:p w14:paraId="4CAFDEFF">
            <w:pPr>
              <w:pStyle w:val="7"/>
              <w:spacing w:before="291" w:line="221" w:lineRule="auto"/>
              <w:ind w:left="1028"/>
            </w:pPr>
            <w:r>
              <w:rPr>
                <w:spacing w:val="-11"/>
              </w:rPr>
              <w:t>普工</w:t>
            </w:r>
          </w:p>
        </w:tc>
        <w:tc>
          <w:tcPr>
            <w:tcW w:w="1743" w:type="dxa"/>
            <w:vAlign w:val="top"/>
          </w:tcPr>
          <w:p w14:paraId="554FF573">
            <w:pPr>
              <w:pStyle w:val="7"/>
              <w:spacing w:before="291" w:line="237" w:lineRule="auto"/>
              <w:ind w:left="771"/>
            </w:pPr>
            <w:r>
              <w:rPr>
                <w:spacing w:val="-6"/>
              </w:rPr>
              <w:t>20</w:t>
            </w:r>
          </w:p>
        </w:tc>
        <w:tc>
          <w:tcPr>
            <w:tcW w:w="1740" w:type="dxa"/>
            <w:vAlign w:val="top"/>
          </w:tcPr>
          <w:p w14:paraId="50EA3242">
            <w:pPr>
              <w:pStyle w:val="7"/>
              <w:spacing w:before="291" w:line="237" w:lineRule="auto"/>
              <w:ind w:left="767"/>
            </w:pPr>
            <w:r>
              <w:rPr>
                <w:spacing w:val="-5"/>
              </w:rPr>
              <w:t>40</w:t>
            </w:r>
          </w:p>
        </w:tc>
        <w:tc>
          <w:tcPr>
            <w:tcW w:w="1770" w:type="dxa"/>
            <w:tcBorders>
              <w:right w:val="single" w:color="000000" w:sz="4" w:space="0"/>
            </w:tcBorders>
            <w:vAlign w:val="top"/>
          </w:tcPr>
          <w:p w14:paraId="1B879EF4">
            <w:pPr>
              <w:pStyle w:val="7"/>
              <w:spacing w:before="291" w:line="237" w:lineRule="auto"/>
              <w:ind w:left="779"/>
            </w:pPr>
            <w:r>
              <w:rPr>
                <w:spacing w:val="-6"/>
              </w:rPr>
              <w:t>20</w:t>
            </w:r>
          </w:p>
        </w:tc>
      </w:tr>
      <w:tr w14:paraId="61F40F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09" w:hRule="atLeast"/>
        </w:trPr>
        <w:tc>
          <w:tcPr>
            <w:tcW w:w="1030" w:type="dxa"/>
            <w:tcBorders>
              <w:left w:val="single" w:color="1C456A" w:sz="4" w:space="0"/>
              <w:bottom w:val="single" w:color="1C456A" w:sz="4" w:space="0"/>
            </w:tcBorders>
            <w:vAlign w:val="top"/>
          </w:tcPr>
          <w:p w14:paraId="44760E20">
            <w:pPr>
              <w:pStyle w:val="7"/>
              <w:spacing w:before="294" w:line="237" w:lineRule="auto"/>
              <w:ind w:left="433"/>
            </w:pPr>
            <w:r>
              <w:rPr>
                <w:spacing w:val="-14"/>
              </w:rPr>
              <w:t>17</w:t>
            </w:r>
          </w:p>
        </w:tc>
        <w:tc>
          <w:tcPr>
            <w:tcW w:w="2470" w:type="dxa"/>
            <w:tcBorders>
              <w:bottom w:val="single" w:color="000000" w:sz="4" w:space="0"/>
            </w:tcBorders>
            <w:vAlign w:val="top"/>
          </w:tcPr>
          <w:p w14:paraId="1BDDC8A3">
            <w:pPr>
              <w:pStyle w:val="7"/>
              <w:spacing w:before="294" w:line="218" w:lineRule="auto"/>
              <w:ind w:left="1032"/>
            </w:pPr>
            <w:r>
              <w:rPr>
                <w:spacing w:val="-12"/>
              </w:rPr>
              <w:t>合计</w:t>
            </w:r>
          </w:p>
        </w:tc>
        <w:tc>
          <w:tcPr>
            <w:tcW w:w="1743" w:type="dxa"/>
            <w:tcBorders>
              <w:bottom w:val="single" w:color="000000" w:sz="4" w:space="0"/>
            </w:tcBorders>
            <w:vAlign w:val="top"/>
          </w:tcPr>
          <w:p w14:paraId="35020511">
            <w:pPr>
              <w:pStyle w:val="7"/>
              <w:spacing w:before="294" w:line="238" w:lineRule="auto"/>
              <w:ind w:left="731"/>
            </w:pPr>
            <w:r>
              <w:rPr>
                <w:spacing w:val="-12"/>
              </w:rPr>
              <w:t>114</w:t>
            </w:r>
          </w:p>
        </w:tc>
        <w:tc>
          <w:tcPr>
            <w:tcW w:w="1740" w:type="dxa"/>
            <w:tcBorders>
              <w:bottom w:val="single" w:color="000000" w:sz="4" w:space="0"/>
            </w:tcBorders>
            <w:vAlign w:val="top"/>
          </w:tcPr>
          <w:p w14:paraId="3695D93E">
            <w:pPr>
              <w:pStyle w:val="7"/>
              <w:spacing w:before="294" w:line="237" w:lineRule="auto"/>
              <w:ind w:left="716"/>
            </w:pPr>
            <w:r>
              <w:rPr>
                <w:spacing w:val="-8"/>
              </w:rPr>
              <w:t>254</w:t>
            </w:r>
          </w:p>
        </w:tc>
        <w:tc>
          <w:tcPr>
            <w:tcW w:w="1770" w:type="dxa"/>
            <w:tcBorders>
              <w:bottom w:val="single" w:color="5B9BD5" w:sz="4" w:space="0"/>
              <w:right w:val="single" w:color="5B9BD5" w:sz="4" w:space="0"/>
            </w:tcBorders>
            <w:vAlign w:val="top"/>
          </w:tcPr>
          <w:p w14:paraId="69EB9111">
            <w:pPr>
              <w:pStyle w:val="7"/>
              <w:spacing w:before="294" w:line="237" w:lineRule="auto"/>
              <w:ind w:left="738"/>
            </w:pPr>
            <w:r>
              <w:rPr>
                <w:spacing w:val="-12"/>
              </w:rPr>
              <w:t>131</w:t>
            </w:r>
          </w:p>
        </w:tc>
      </w:tr>
    </w:tbl>
    <w:p w14:paraId="533EB969">
      <w:pPr>
        <w:rPr>
          <w:rFonts w:ascii="Arial"/>
          <w:sz w:val="21"/>
        </w:rPr>
      </w:pPr>
    </w:p>
    <w:p w14:paraId="2458F55C">
      <w:pPr>
        <w:rPr>
          <w:rFonts w:ascii="Arial" w:hAnsi="Arial" w:eastAsia="Arial" w:cs="Arial"/>
          <w:sz w:val="21"/>
          <w:szCs w:val="21"/>
        </w:rPr>
        <w:sectPr>
          <w:footerReference r:id="rId438" w:type="default"/>
          <w:pgSz w:w="11907" w:h="16839"/>
          <w:pgMar w:top="933" w:right="4" w:bottom="1038" w:left="0" w:header="478" w:footer="357" w:gutter="0"/>
          <w:pgBorders>
            <w:top w:val="none" w:sz="0" w:space="0"/>
            <w:left w:val="none" w:sz="0" w:space="0"/>
            <w:bottom w:val="none" w:sz="0" w:space="0"/>
            <w:right w:val="none" w:sz="0" w:space="0"/>
          </w:pgBorders>
          <w:cols w:space="720" w:num="1"/>
        </w:sectPr>
      </w:pPr>
    </w:p>
    <w:p w14:paraId="644534A3">
      <w:pPr>
        <w:pStyle w:val="2"/>
        <w:spacing w:before="244" w:line="210" w:lineRule="auto"/>
        <w:ind w:left="6808"/>
        <w:outlineLvl w:val="0"/>
        <w:rPr>
          <w:b/>
          <w:bCs/>
          <w:color w:val="7030A0"/>
          <w:spacing w:val="-15"/>
          <w:sz w:val="31"/>
          <w:szCs w:val="31"/>
        </w:rPr>
      </w:pPr>
      <w:bookmarkStart w:id="310" w:name="bookmark295"/>
      <w:bookmarkEnd w:id="310"/>
      <w:r>
        <w:rPr>
          <w:b/>
          <w:bCs/>
          <w:color w:val="7030A0"/>
          <w:spacing w:val="-15"/>
          <w:sz w:val="31"/>
          <w:szCs w:val="31"/>
        </w:rPr>
        <w:t>附表四：施工进度网络图</w:t>
      </w:r>
    </w:p>
    <w:p w14:paraId="1DA737A2">
      <w:pPr>
        <w:bidi w:val="0"/>
      </w:pPr>
    </w:p>
    <w:p w14:paraId="3CED53F3">
      <w:pPr>
        <w:bidi w:val="0"/>
        <w:jc w:val="center"/>
        <w:sectPr>
          <w:footerReference r:id="rId439" w:type="default"/>
          <w:pgSz w:w="16839" w:h="11907"/>
          <w:pgMar w:top="973" w:right="4" w:bottom="1058" w:left="0" w:header="330" w:footer="409" w:gutter="0"/>
          <w:pgBorders>
            <w:top w:val="none" w:sz="0" w:space="0"/>
            <w:left w:val="none" w:sz="0" w:space="0"/>
            <w:bottom w:val="none" w:sz="0" w:space="0"/>
            <w:right w:val="none" w:sz="0" w:space="0"/>
          </w:pgBorders>
          <w:cols w:space="720" w:num="1"/>
        </w:sectPr>
      </w:pPr>
      <w:r>
        <w:rPr>
          <w:position w:val="-180"/>
        </w:rPr>
        <w:drawing>
          <wp:inline distT="0" distB="0" distL="0" distR="0">
            <wp:extent cx="9359900" cy="4781550"/>
            <wp:effectExtent l="0" t="0" r="12700" b="0"/>
            <wp:docPr id="1780" name="IM 1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0" name="IM 1780"/>
                    <pic:cNvPicPr>
                      <a:picLocks noChangeAspect="1"/>
                    </pic:cNvPicPr>
                  </pic:nvPicPr>
                  <pic:blipFill>
                    <a:blip r:embed="rId748"/>
                    <a:srcRect t="12851" b="13250"/>
                    <a:stretch>
                      <a:fillRect/>
                    </a:stretch>
                  </pic:blipFill>
                  <pic:spPr>
                    <a:xfrm>
                      <a:off x="0" y="0"/>
                      <a:ext cx="9359900" cy="4781550"/>
                    </a:xfrm>
                    <a:prstGeom prst="rect">
                      <a:avLst/>
                    </a:prstGeom>
                  </pic:spPr>
                </pic:pic>
              </a:graphicData>
            </a:graphic>
          </wp:inline>
        </w:drawing>
      </w:r>
    </w:p>
    <w:p w14:paraId="47BFCEEA">
      <w:pPr>
        <w:spacing w:line="9009" w:lineRule="exact"/>
        <w:jc w:val="center"/>
      </w:pPr>
      <w:r>
        <w:rPr>
          <w:position w:val="-180"/>
        </w:rPr>
        <w:drawing>
          <wp:inline distT="0" distB="0" distL="0" distR="0">
            <wp:extent cx="8260080" cy="4881880"/>
            <wp:effectExtent l="0" t="0" r="7620" b="13970"/>
            <wp:docPr id="1782" name="IM 1782"/>
            <wp:cNvGraphicFramePr/>
            <a:graphic xmlns:a="http://schemas.openxmlformats.org/drawingml/2006/main">
              <a:graphicData uri="http://schemas.openxmlformats.org/drawingml/2006/picture">
                <pic:pic xmlns:pic="http://schemas.openxmlformats.org/drawingml/2006/picture">
                  <pic:nvPicPr>
                    <pic:cNvPr id="1782" name="IM 1782"/>
                    <pic:cNvPicPr/>
                  </pic:nvPicPr>
                  <pic:blipFill>
                    <a:blip r:embed="rId749"/>
                    <a:srcRect t="3641" b="11022"/>
                    <a:stretch>
                      <a:fillRect/>
                    </a:stretch>
                  </pic:blipFill>
                  <pic:spPr>
                    <a:xfrm>
                      <a:off x="0" y="0"/>
                      <a:ext cx="8260080" cy="4881880"/>
                    </a:xfrm>
                    <a:prstGeom prst="rect">
                      <a:avLst/>
                    </a:prstGeom>
                  </pic:spPr>
                </pic:pic>
              </a:graphicData>
            </a:graphic>
          </wp:inline>
        </w:drawing>
      </w:r>
    </w:p>
    <w:p w14:paraId="6F2BCD8C">
      <w:pPr>
        <w:spacing w:line="9009" w:lineRule="exact"/>
        <w:sectPr>
          <w:footerReference r:id="rId440" w:type="default"/>
          <w:pgSz w:w="16839" w:h="11907"/>
          <w:pgMar w:top="973" w:right="4" w:bottom="1058" w:left="0" w:header="330" w:footer="409" w:gutter="0"/>
          <w:pgBorders>
            <w:top w:val="none" w:sz="0" w:space="0"/>
            <w:left w:val="none" w:sz="0" w:space="0"/>
            <w:bottom w:val="none" w:sz="0" w:space="0"/>
            <w:right w:val="none" w:sz="0" w:space="0"/>
          </w:pgBorders>
          <w:cols w:space="720" w:num="1"/>
        </w:sectPr>
      </w:pPr>
    </w:p>
    <w:p w14:paraId="28D6B759">
      <w:pPr>
        <w:pStyle w:val="2"/>
        <w:spacing w:before="80" w:line="210" w:lineRule="auto"/>
        <w:ind w:left="10144"/>
        <w:outlineLvl w:val="0"/>
        <w:rPr>
          <w:sz w:val="31"/>
          <w:szCs w:val="31"/>
        </w:rPr>
      </w:pPr>
      <w:bookmarkStart w:id="311" w:name="bookmark296"/>
      <w:bookmarkEnd w:id="311"/>
      <w:r>
        <w:rPr>
          <w:b/>
          <w:bCs/>
          <w:color w:val="7030A0"/>
          <w:spacing w:val="-15"/>
          <w:sz w:val="31"/>
          <w:szCs w:val="31"/>
        </w:rPr>
        <w:t>附表五：施工总平面布置图</w:t>
      </w:r>
    </w:p>
    <w:tbl>
      <w:tblPr>
        <w:tblStyle w:val="6"/>
        <w:tblW w:w="21181" w:type="dxa"/>
        <w:tblInd w:w="131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473"/>
        <w:gridCol w:w="2291"/>
        <w:gridCol w:w="1694"/>
        <w:gridCol w:w="2269"/>
        <w:gridCol w:w="1454"/>
      </w:tblGrid>
      <w:tr w14:paraId="042F08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0" w:hRule="atLeast"/>
        </w:trPr>
        <w:tc>
          <w:tcPr>
            <w:tcW w:w="21181" w:type="dxa"/>
            <w:gridSpan w:val="5"/>
            <w:tcBorders>
              <w:top w:val="single" w:color="5B9BD5" w:sz="4" w:space="0"/>
              <w:left w:val="single" w:color="5B9BD5" w:sz="4" w:space="0"/>
              <w:right w:val="single" w:color="5B9BD5" w:sz="4" w:space="0"/>
            </w:tcBorders>
            <w:shd w:val="clear" w:color="auto" w:fill="DEEAF6"/>
            <w:vAlign w:val="top"/>
          </w:tcPr>
          <w:p w14:paraId="72889A3E">
            <w:pPr>
              <w:pStyle w:val="7"/>
              <w:spacing w:before="144" w:line="218" w:lineRule="auto"/>
              <w:ind w:left="7796"/>
              <w:rPr>
                <w:rFonts w:hint="eastAsia" w:eastAsia="仿宋"/>
                <w:lang w:eastAsia="zh-CN"/>
              </w:rPr>
            </w:pPr>
            <w:r>
              <w:rPr>
                <w:rFonts w:hint="eastAsia"/>
                <w:b/>
                <w:bCs/>
                <w:spacing w:val="-20"/>
                <w:lang w:eastAsia="zh-CN"/>
              </w:rPr>
              <w:t>供水管道工程施工</w:t>
            </w:r>
          </w:p>
        </w:tc>
      </w:tr>
      <w:tr w14:paraId="495644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92" w:hRule="atLeast"/>
        </w:trPr>
        <w:tc>
          <w:tcPr>
            <w:tcW w:w="13473" w:type="dxa"/>
            <w:vMerge w:val="restart"/>
            <w:tcBorders>
              <w:left w:val="single" w:color="000000" w:sz="4" w:space="0"/>
            </w:tcBorders>
            <w:vAlign w:val="top"/>
          </w:tcPr>
          <w:p w14:paraId="4F59D60A">
            <w:pPr>
              <w:pStyle w:val="7"/>
              <w:spacing w:before="303" w:line="251" w:lineRule="auto"/>
              <w:ind w:left="85" w:right="54" w:firstLine="490"/>
            </w:pPr>
            <w:r>
              <mc:AlternateContent>
                <mc:Choice Requires="wps">
                  <w:drawing>
                    <wp:anchor distT="0" distB="0" distL="114300" distR="114300" simplePos="0" relativeHeight="252462080" behindDoc="0" locked="0" layoutInCell="1" allowOverlap="1">
                      <wp:simplePos x="0" y="0"/>
                      <wp:positionH relativeFrom="page">
                        <wp:posOffset>-2540</wp:posOffset>
                      </wp:positionH>
                      <wp:positionV relativeFrom="page">
                        <wp:posOffset>2397125</wp:posOffset>
                      </wp:positionV>
                      <wp:extent cx="27940" cy="9525"/>
                      <wp:effectExtent l="0" t="0" r="0" b="0"/>
                      <wp:wrapNone/>
                      <wp:docPr id="2" name="任意多边形 2"/>
                      <wp:cNvGraphicFramePr/>
                      <a:graphic xmlns:a="http://schemas.openxmlformats.org/drawingml/2006/main">
                        <a:graphicData uri="http://schemas.microsoft.com/office/word/2010/wordprocessingShape">
                          <wps:wsp>
                            <wps:cNvSpPr/>
                            <wps:spPr>
                              <a:xfrm>
                                <a:off x="0" y="0"/>
                                <a:ext cx="27940" cy="9525"/>
                              </a:xfrm>
                              <a:custGeom>
                                <a:avLst/>
                                <a:gdLst/>
                                <a:ahLst/>
                                <a:cxnLst/>
                                <a:pathLst>
                                  <a:path w="44" h="15">
                                    <a:moveTo>
                                      <a:pt x="0" y="14"/>
                                    </a:moveTo>
                                    <a:lnTo>
                                      <a:pt x="43" y="14"/>
                                    </a:lnTo>
                                    <a:lnTo>
                                      <a:pt x="43" y="0"/>
                                    </a:lnTo>
                                    <a:lnTo>
                                      <a:pt x="0" y="0"/>
                                    </a:lnTo>
                                    <a:lnTo>
                                      <a:pt x="0" y="14"/>
                                    </a:lnTo>
                                    <a:close/>
                                  </a:path>
                                </a:pathLst>
                              </a:custGeom>
                              <a:solidFill>
                                <a:srgbClr val="5B9BD5"/>
                              </a:solidFill>
                              <a:ln>
                                <a:noFill/>
                              </a:ln>
                            </wps:spPr>
                            <wps:bodyPr upright="1"/>
                          </wps:wsp>
                        </a:graphicData>
                      </a:graphic>
                    </wp:anchor>
                  </w:drawing>
                </mc:Choice>
                <mc:Fallback>
                  <w:pict>
                    <v:shape id="_x0000_s1026" o:spid="_x0000_s1026" o:spt="100" style="position:absolute;left:0pt;margin-left:-0.2pt;margin-top:188.75pt;height:0.75pt;width:2.2pt;mso-position-horizontal-relative:page;mso-position-vertical-relative:page;z-index:252462080;mso-width-relative:page;mso-height-relative:page;" fillcolor="#5B9BD5" filled="t" stroked="f" coordsize="44,15" o:gfxdata="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cg3iUdYAAAAHAQAADwAAAAAA&#10;AAABACAAAAAiAAAAZHJzL2Rvd25yZXYueG1sUEsBAhQAFAAAAAgAh07iQN7/SsoVAgAAdAQAAA4A&#10;AAAAAAAAAQAgAAAAJQEAAGRycy9lMm9Eb2MueG1sUEsFBgAAAAAGAAYAWQEAAKwFAAAAAA==&#10;" path="m0,14l43,14,43,0,0,0,0,14xe">
                      <v:fill on="t" focussize="0,0"/>
                      <v:stroke on="f"/>
                      <v:imagedata o:title=""/>
                      <o:lock v:ext="edit" aspectratio="f"/>
                    </v:shape>
                  </w:pict>
                </mc:Fallback>
              </mc:AlternateContent>
            </w:r>
            <w:r>
              <w:rPr>
                <w:spacing w:val="-2"/>
              </w:rPr>
              <w:t>1、本图为总平面示意图，具体根据业主及现场实际情况调</w:t>
            </w:r>
            <w:r>
              <w:rPr>
                <w:spacing w:val="-12"/>
              </w:rPr>
              <w:t>整。</w:t>
            </w:r>
          </w:p>
          <w:p w14:paraId="486AE50E">
            <w:pPr>
              <w:pStyle w:val="7"/>
              <w:spacing w:before="64" w:line="247" w:lineRule="auto"/>
              <w:ind w:left="92" w:right="55" w:firstLine="467"/>
            </w:pPr>
            <w:r>
              <w:rPr>
                <w:spacing w:val="-1"/>
              </w:rPr>
              <w:t>2、现场临时便道利用既有道路同时根据现场</w:t>
            </w:r>
            <w:r>
              <w:rPr>
                <w:spacing w:val="-2"/>
              </w:rPr>
              <w:t>需求进行材料</w:t>
            </w:r>
            <w:r>
              <w:rPr>
                <w:spacing w:val="-9"/>
              </w:rPr>
              <w:t>二次运输。</w:t>
            </w:r>
          </w:p>
          <w:p w14:paraId="623309E7">
            <w:pPr>
              <w:pStyle w:val="7"/>
              <w:spacing w:before="74" w:line="255" w:lineRule="auto"/>
              <w:ind w:left="85" w:firstLine="476"/>
            </w:pPr>
            <w:r>
              <w:rPr>
                <w:spacing w:val="-8"/>
              </w:rPr>
              <w:t>3、本项目为供水管道施工项目，经我司项目团队现场勘察，</w:t>
            </w:r>
            <w:r>
              <w:rPr>
                <w:spacing w:val="2"/>
              </w:rPr>
              <w:t>拟在皇嘉北路与</w:t>
            </w:r>
            <w:r>
              <w:rPr>
                <w:rFonts w:hint="eastAsia"/>
                <w:spacing w:val="2"/>
                <w:lang w:eastAsia="zh-CN"/>
              </w:rPr>
              <w:t>某路</w:t>
            </w:r>
            <w:r>
              <w:rPr>
                <w:spacing w:val="2"/>
              </w:rPr>
              <w:t>交口西北角搭设临时项目部，沿线合理</w:t>
            </w:r>
            <w:r>
              <w:rPr>
                <w:spacing w:val="-2"/>
              </w:rPr>
              <w:t>位置布设临时材料堆场及加工区，具体根据业</w:t>
            </w:r>
            <w:r>
              <w:rPr>
                <w:spacing w:val="-3"/>
              </w:rPr>
              <w:t>主要求确定。</w:t>
            </w:r>
          </w:p>
          <w:p w14:paraId="217B9EDD">
            <w:pPr>
              <w:pStyle w:val="7"/>
              <w:spacing w:before="80" w:line="245" w:lineRule="auto"/>
              <w:ind w:left="85" w:firstLine="469"/>
            </w:pPr>
            <w:r>
              <w:rPr>
                <w:spacing w:val="-4"/>
              </w:rPr>
              <w:t>4、施工现场采用彩钢板做围挡,项目部及劳务队、试验室、</w:t>
            </w:r>
            <w:r>
              <w:rPr>
                <w:spacing w:val="-3"/>
              </w:rPr>
              <w:t>小型材料机具库房、现场办公区及生活区采用活动板房。</w:t>
            </w:r>
          </w:p>
          <w:p w14:paraId="1B580E2B">
            <w:pPr>
              <w:spacing w:line="265" w:lineRule="auto"/>
              <w:rPr>
                <w:rFonts w:ascii="Arial"/>
                <w:sz w:val="21"/>
              </w:rPr>
            </w:pPr>
          </w:p>
          <w:p w14:paraId="11EF0BAE">
            <w:pPr>
              <w:spacing w:line="265" w:lineRule="auto"/>
              <w:rPr>
                <w:rFonts w:ascii="Arial"/>
                <w:sz w:val="21"/>
              </w:rPr>
            </w:pPr>
          </w:p>
          <w:p w14:paraId="3C25A6A3">
            <w:pPr>
              <w:spacing w:line="265" w:lineRule="auto"/>
              <w:rPr>
                <w:rFonts w:ascii="Arial"/>
                <w:sz w:val="21"/>
              </w:rPr>
            </w:pPr>
          </w:p>
          <w:p w14:paraId="759B16BC">
            <w:pPr>
              <w:spacing w:line="265" w:lineRule="auto"/>
              <w:rPr>
                <w:rFonts w:ascii="Arial"/>
                <w:sz w:val="21"/>
              </w:rPr>
            </w:pPr>
          </w:p>
          <w:p w14:paraId="205F37BE">
            <w:pPr>
              <w:spacing w:line="266" w:lineRule="auto"/>
              <w:rPr>
                <w:rFonts w:ascii="Arial"/>
                <w:sz w:val="21"/>
              </w:rPr>
            </w:pPr>
          </w:p>
          <w:p w14:paraId="020939CD">
            <w:pPr>
              <w:spacing w:line="266" w:lineRule="auto"/>
              <w:rPr>
                <w:rFonts w:ascii="Arial"/>
                <w:sz w:val="21"/>
              </w:rPr>
            </w:pPr>
          </w:p>
          <w:p w14:paraId="3F49ADE4">
            <w:pPr>
              <w:pStyle w:val="7"/>
              <w:spacing w:before="78" w:line="215" w:lineRule="auto"/>
              <w:ind w:left="252"/>
            </w:pPr>
            <w:r>
              <w:rPr>
                <w:spacing w:val="-15"/>
              </w:rPr>
              <w:t>洗车槽</w:t>
            </w:r>
          </w:p>
          <w:p w14:paraId="31319A25">
            <w:pPr>
              <w:spacing w:before="72" w:line="240" w:lineRule="auto"/>
              <w:ind w:firstLine="226"/>
            </w:pPr>
            <w:r>
              <w:rPr>
                <w:position w:val="-69"/>
              </w:rPr>
              <w:drawing>
                <wp:inline distT="0" distB="0" distL="0" distR="0">
                  <wp:extent cx="8279765" cy="4319905"/>
                  <wp:effectExtent l="0" t="0" r="6985" b="4445"/>
                  <wp:docPr id="1794" name="IM 1794"/>
                  <wp:cNvGraphicFramePr/>
                  <a:graphic xmlns:a="http://schemas.openxmlformats.org/drawingml/2006/main">
                    <a:graphicData uri="http://schemas.openxmlformats.org/drawingml/2006/picture">
                      <pic:pic xmlns:pic="http://schemas.openxmlformats.org/drawingml/2006/picture">
                        <pic:nvPicPr>
                          <pic:cNvPr id="1794" name="IM 1794"/>
                          <pic:cNvPicPr/>
                        </pic:nvPicPr>
                        <pic:blipFill>
                          <a:blip r:embed="rId750"/>
                          <a:stretch>
                            <a:fillRect/>
                          </a:stretch>
                        </pic:blipFill>
                        <pic:spPr>
                          <a:xfrm>
                            <a:off x="0" y="0"/>
                            <a:ext cx="8279765" cy="4319905"/>
                          </a:xfrm>
                          <a:prstGeom prst="rect">
                            <a:avLst/>
                          </a:prstGeom>
                        </pic:spPr>
                      </pic:pic>
                    </a:graphicData>
                  </a:graphic>
                </wp:inline>
              </w:drawing>
            </w:r>
          </w:p>
        </w:tc>
        <w:tc>
          <w:tcPr>
            <w:tcW w:w="2291" w:type="dxa"/>
            <w:vAlign w:val="top"/>
          </w:tcPr>
          <w:p w14:paraId="2B0706F2">
            <w:pPr>
              <w:spacing w:line="258" w:lineRule="auto"/>
              <w:rPr>
                <w:rFonts w:ascii="Arial"/>
                <w:sz w:val="21"/>
              </w:rPr>
            </w:pPr>
          </w:p>
          <w:p w14:paraId="1C731C18">
            <w:pPr>
              <w:spacing w:line="258" w:lineRule="auto"/>
              <w:rPr>
                <w:rFonts w:ascii="Arial"/>
                <w:sz w:val="21"/>
              </w:rPr>
            </w:pPr>
          </w:p>
          <w:p w14:paraId="75813964">
            <w:pPr>
              <w:spacing w:line="258" w:lineRule="auto"/>
              <w:rPr>
                <w:rFonts w:ascii="Arial"/>
                <w:sz w:val="21"/>
              </w:rPr>
            </w:pPr>
          </w:p>
          <w:p w14:paraId="44A0D397">
            <w:pPr>
              <w:spacing w:line="258" w:lineRule="auto"/>
              <w:rPr>
                <w:rFonts w:ascii="Arial"/>
                <w:sz w:val="21"/>
              </w:rPr>
            </w:pPr>
          </w:p>
          <w:p w14:paraId="20FBC360">
            <w:pPr>
              <w:spacing w:line="258" w:lineRule="auto"/>
              <w:rPr>
                <w:rFonts w:ascii="Arial"/>
                <w:sz w:val="21"/>
              </w:rPr>
            </w:pPr>
          </w:p>
          <w:p w14:paraId="0BCDC7F3">
            <w:pPr>
              <w:pStyle w:val="7"/>
              <w:spacing w:before="78" w:line="219" w:lineRule="auto"/>
              <w:ind w:left="737"/>
            </w:pPr>
            <w:r>
              <w:rPr>
                <w:spacing w:val="-19"/>
              </w:rPr>
              <w:t>临时围挡</w:t>
            </w:r>
          </w:p>
        </w:tc>
        <w:tc>
          <w:tcPr>
            <w:tcW w:w="5417" w:type="dxa"/>
            <w:gridSpan w:val="3"/>
            <w:tcBorders>
              <w:right w:val="single" w:color="000000" w:sz="4" w:space="0"/>
            </w:tcBorders>
            <w:vAlign w:val="top"/>
          </w:tcPr>
          <w:p w14:paraId="3C94F6CD">
            <w:pPr>
              <w:spacing w:before="89" w:line="2811" w:lineRule="exact"/>
              <w:ind w:firstLine="114"/>
            </w:pPr>
            <w:r>
              <w:rPr>
                <w:position w:val="-56"/>
              </w:rPr>
              <w:drawing>
                <wp:inline distT="0" distB="0" distL="0" distR="0">
                  <wp:extent cx="3280410" cy="1784350"/>
                  <wp:effectExtent l="0" t="0" r="0" b="0"/>
                  <wp:docPr id="1788" name="IM 1788"/>
                  <wp:cNvGraphicFramePr/>
                  <a:graphic xmlns:a="http://schemas.openxmlformats.org/drawingml/2006/main">
                    <a:graphicData uri="http://schemas.openxmlformats.org/drawingml/2006/picture">
                      <pic:pic xmlns:pic="http://schemas.openxmlformats.org/drawingml/2006/picture">
                        <pic:nvPicPr>
                          <pic:cNvPr id="1788" name="IM 1788"/>
                          <pic:cNvPicPr/>
                        </pic:nvPicPr>
                        <pic:blipFill>
                          <a:blip r:embed="rId751"/>
                          <a:stretch>
                            <a:fillRect/>
                          </a:stretch>
                        </pic:blipFill>
                        <pic:spPr>
                          <a:xfrm>
                            <a:off x="0" y="0"/>
                            <a:ext cx="3281043" cy="1784984"/>
                          </a:xfrm>
                          <a:prstGeom prst="rect">
                            <a:avLst/>
                          </a:prstGeom>
                        </pic:spPr>
                      </pic:pic>
                    </a:graphicData>
                  </a:graphic>
                </wp:inline>
              </w:drawing>
            </w:r>
          </w:p>
        </w:tc>
      </w:tr>
      <w:tr w14:paraId="1F0112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5" w:hRule="atLeast"/>
        </w:trPr>
        <w:tc>
          <w:tcPr>
            <w:tcW w:w="13473" w:type="dxa"/>
            <w:vMerge w:val="continue"/>
            <w:tcBorders>
              <w:left w:val="single" w:color="000000" w:sz="4" w:space="0"/>
            </w:tcBorders>
            <w:vAlign w:val="top"/>
          </w:tcPr>
          <w:p w14:paraId="3CF4A1CB">
            <w:pPr>
              <w:rPr>
                <w:rFonts w:ascii="Arial"/>
                <w:sz w:val="21"/>
              </w:rPr>
            </w:pPr>
          </w:p>
        </w:tc>
        <w:tc>
          <w:tcPr>
            <w:tcW w:w="2291" w:type="dxa"/>
            <w:vAlign w:val="top"/>
          </w:tcPr>
          <w:p w14:paraId="1E01729F">
            <w:pPr>
              <w:spacing w:line="374" w:lineRule="auto"/>
              <w:rPr>
                <w:rFonts w:ascii="Arial"/>
                <w:sz w:val="21"/>
              </w:rPr>
            </w:pPr>
          </w:p>
          <w:p w14:paraId="44F7E71B">
            <w:pPr>
              <w:pStyle w:val="7"/>
              <w:spacing w:before="78" w:line="216" w:lineRule="auto"/>
              <w:ind w:left="504"/>
            </w:pPr>
            <w:r>
              <w:rPr>
                <w:spacing w:val="-18"/>
              </w:rPr>
              <w:t>材料堆放场区</w:t>
            </w:r>
          </w:p>
        </w:tc>
        <w:tc>
          <w:tcPr>
            <w:tcW w:w="5417" w:type="dxa"/>
            <w:gridSpan w:val="3"/>
            <w:vMerge w:val="restart"/>
            <w:tcBorders>
              <w:bottom w:val="nil"/>
              <w:right w:val="single" w:color="000000" w:sz="4" w:space="0"/>
            </w:tcBorders>
            <w:vAlign w:val="top"/>
          </w:tcPr>
          <w:p w14:paraId="748E3808">
            <w:pPr>
              <w:spacing w:before="84" w:line="3062" w:lineRule="exact"/>
              <w:ind w:firstLine="174"/>
            </w:pPr>
            <w:r>
              <w:rPr>
                <w:position w:val="-61"/>
              </w:rPr>
              <w:drawing>
                <wp:inline distT="0" distB="0" distL="0" distR="0">
                  <wp:extent cx="3206750" cy="1944370"/>
                  <wp:effectExtent l="0" t="0" r="0" b="0"/>
                  <wp:docPr id="1790" name="IM 1790"/>
                  <wp:cNvGraphicFramePr/>
                  <a:graphic xmlns:a="http://schemas.openxmlformats.org/drawingml/2006/main">
                    <a:graphicData uri="http://schemas.openxmlformats.org/drawingml/2006/picture">
                      <pic:pic xmlns:pic="http://schemas.openxmlformats.org/drawingml/2006/picture">
                        <pic:nvPicPr>
                          <pic:cNvPr id="1790" name="IM 1790"/>
                          <pic:cNvPicPr/>
                        </pic:nvPicPr>
                        <pic:blipFill>
                          <a:blip r:embed="rId752"/>
                          <a:stretch>
                            <a:fillRect/>
                          </a:stretch>
                        </pic:blipFill>
                        <pic:spPr>
                          <a:xfrm>
                            <a:off x="0" y="0"/>
                            <a:ext cx="3206750" cy="1944370"/>
                          </a:xfrm>
                          <a:prstGeom prst="rect">
                            <a:avLst/>
                          </a:prstGeom>
                        </pic:spPr>
                      </pic:pic>
                    </a:graphicData>
                  </a:graphic>
                </wp:inline>
              </w:drawing>
            </w:r>
          </w:p>
        </w:tc>
      </w:tr>
      <w:tr w14:paraId="2925BE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82" w:hRule="atLeast"/>
        </w:trPr>
        <w:tc>
          <w:tcPr>
            <w:tcW w:w="13473" w:type="dxa"/>
            <w:vMerge w:val="continue"/>
            <w:tcBorders>
              <w:left w:val="single" w:color="000000" w:sz="4" w:space="0"/>
            </w:tcBorders>
            <w:vAlign w:val="top"/>
          </w:tcPr>
          <w:p w14:paraId="55EA175D">
            <w:pPr>
              <w:rPr>
                <w:rFonts w:ascii="Arial"/>
                <w:sz w:val="21"/>
              </w:rPr>
            </w:pPr>
          </w:p>
        </w:tc>
        <w:tc>
          <w:tcPr>
            <w:tcW w:w="2291" w:type="dxa"/>
            <w:vAlign w:val="top"/>
          </w:tcPr>
          <w:p w14:paraId="16836F7C">
            <w:pPr>
              <w:spacing w:line="352" w:lineRule="auto"/>
              <w:rPr>
                <w:rFonts w:ascii="Arial"/>
                <w:sz w:val="21"/>
              </w:rPr>
            </w:pPr>
          </w:p>
          <w:p w14:paraId="4DF5F70E">
            <w:pPr>
              <w:spacing w:line="352" w:lineRule="auto"/>
              <w:rPr>
                <w:rFonts w:ascii="Arial"/>
                <w:sz w:val="21"/>
              </w:rPr>
            </w:pPr>
          </w:p>
          <w:p w14:paraId="14EA8B58">
            <w:pPr>
              <w:spacing w:line="878" w:lineRule="exact"/>
              <w:ind w:firstLine="639"/>
            </w:pPr>
            <w:r>
              <w:rPr>
                <w:position w:val="-17"/>
              </w:rPr>
              <w:pict>
                <v:shape id="_x0000_s5050" o:spid="_x0000_s5050" style="height:43.9pt;width:48.25pt;" fillcolor="#FF0000" filled="t" stroked="f" coordsize="965,878" path="m482,0c215,0,0,196,0,438c0,681,215,877,482,877c749,877,965,681,965,438c965,196,749,0,482,0e">
                  <v:path/>
                  <v:fill on="t" focussize="0,0"/>
                  <v:stroke on="f"/>
                  <v:imagedata o:title=""/>
                  <o:lock v:ext="edit"/>
                  <w10:wrap type="none"/>
                  <w10:anchorlock/>
                </v:shape>
              </w:pict>
            </w:r>
          </w:p>
        </w:tc>
        <w:tc>
          <w:tcPr>
            <w:tcW w:w="5417" w:type="dxa"/>
            <w:gridSpan w:val="3"/>
            <w:vMerge w:val="continue"/>
            <w:tcBorders>
              <w:top w:val="nil"/>
              <w:right w:val="single" w:color="000000" w:sz="4" w:space="0"/>
            </w:tcBorders>
            <w:vAlign w:val="top"/>
          </w:tcPr>
          <w:p w14:paraId="0E5818E7">
            <w:pPr>
              <w:rPr>
                <w:rFonts w:ascii="Arial"/>
                <w:sz w:val="21"/>
              </w:rPr>
            </w:pPr>
          </w:p>
        </w:tc>
      </w:tr>
      <w:tr w14:paraId="7747CA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82" w:hRule="atLeast"/>
        </w:trPr>
        <w:tc>
          <w:tcPr>
            <w:tcW w:w="13473" w:type="dxa"/>
            <w:vMerge w:val="continue"/>
            <w:tcBorders>
              <w:left w:val="single" w:color="000000" w:sz="4" w:space="0"/>
            </w:tcBorders>
            <w:vAlign w:val="top"/>
          </w:tcPr>
          <w:p w14:paraId="0E5037D7">
            <w:pPr>
              <w:rPr>
                <w:rFonts w:ascii="Arial"/>
                <w:sz w:val="21"/>
              </w:rPr>
            </w:pPr>
          </w:p>
        </w:tc>
        <w:tc>
          <w:tcPr>
            <w:tcW w:w="2291" w:type="dxa"/>
            <w:vAlign w:val="top"/>
          </w:tcPr>
          <w:p w14:paraId="01E4AD79">
            <w:pPr>
              <w:spacing w:line="380" w:lineRule="auto"/>
              <w:rPr>
                <w:rFonts w:ascii="Arial"/>
                <w:sz w:val="21"/>
              </w:rPr>
            </w:pPr>
          </w:p>
          <w:p w14:paraId="45AF1FA2">
            <w:pPr>
              <w:pStyle w:val="7"/>
              <w:spacing w:before="78" w:line="216" w:lineRule="auto"/>
              <w:ind w:left="614"/>
            </w:pPr>
            <w:r>
              <w:rPr>
                <w:spacing w:val="-17"/>
              </w:rPr>
              <w:t>材料加工区</w:t>
            </w:r>
          </w:p>
        </w:tc>
        <w:tc>
          <w:tcPr>
            <w:tcW w:w="5417" w:type="dxa"/>
            <w:gridSpan w:val="3"/>
            <w:vMerge w:val="restart"/>
            <w:tcBorders>
              <w:bottom w:val="nil"/>
              <w:right w:val="single" w:color="000000" w:sz="4" w:space="0"/>
            </w:tcBorders>
            <w:vAlign w:val="top"/>
          </w:tcPr>
          <w:p w14:paraId="554F0613">
            <w:pPr>
              <w:spacing w:before="77" w:line="3022" w:lineRule="exact"/>
              <w:ind w:firstLine="112"/>
            </w:pPr>
            <w:r>
              <w:rPr>
                <w:position w:val="-60"/>
              </w:rPr>
              <w:drawing>
                <wp:inline distT="0" distB="0" distL="0" distR="0">
                  <wp:extent cx="3284220" cy="1918335"/>
                  <wp:effectExtent l="0" t="0" r="0" b="0"/>
                  <wp:docPr id="1792" name="IM 1792"/>
                  <wp:cNvGraphicFramePr/>
                  <a:graphic xmlns:a="http://schemas.openxmlformats.org/drawingml/2006/main">
                    <a:graphicData uri="http://schemas.openxmlformats.org/drawingml/2006/picture">
                      <pic:pic xmlns:pic="http://schemas.openxmlformats.org/drawingml/2006/picture">
                        <pic:nvPicPr>
                          <pic:cNvPr id="1792" name="IM 1792"/>
                          <pic:cNvPicPr/>
                        </pic:nvPicPr>
                        <pic:blipFill>
                          <a:blip r:embed="rId753"/>
                          <a:stretch>
                            <a:fillRect/>
                          </a:stretch>
                        </pic:blipFill>
                        <pic:spPr>
                          <a:xfrm>
                            <a:off x="0" y="0"/>
                            <a:ext cx="3284220" cy="1918969"/>
                          </a:xfrm>
                          <a:prstGeom prst="rect">
                            <a:avLst/>
                          </a:prstGeom>
                        </pic:spPr>
                      </pic:pic>
                    </a:graphicData>
                  </a:graphic>
                </wp:inline>
              </w:drawing>
            </w:r>
          </w:p>
        </w:tc>
      </w:tr>
      <w:tr w14:paraId="18274F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74" w:hRule="atLeast"/>
        </w:trPr>
        <w:tc>
          <w:tcPr>
            <w:tcW w:w="13473" w:type="dxa"/>
            <w:vMerge w:val="continue"/>
            <w:tcBorders>
              <w:left w:val="single" w:color="000000" w:sz="4" w:space="0"/>
            </w:tcBorders>
            <w:vAlign w:val="top"/>
          </w:tcPr>
          <w:p w14:paraId="582B3A40">
            <w:pPr>
              <w:rPr>
                <w:rFonts w:ascii="Arial"/>
                <w:sz w:val="21"/>
              </w:rPr>
            </w:pPr>
          </w:p>
        </w:tc>
        <w:tc>
          <w:tcPr>
            <w:tcW w:w="2291" w:type="dxa"/>
            <w:tcBorders>
              <w:bottom w:val="nil"/>
            </w:tcBorders>
            <w:vAlign w:val="top"/>
          </w:tcPr>
          <w:p w14:paraId="1F1D431D">
            <w:pPr>
              <w:spacing w:line="312" w:lineRule="auto"/>
              <w:rPr>
                <w:rFonts w:ascii="Arial"/>
                <w:sz w:val="21"/>
              </w:rPr>
            </w:pPr>
          </w:p>
          <w:p w14:paraId="64C6C2D1">
            <w:pPr>
              <w:spacing w:line="313" w:lineRule="auto"/>
              <w:rPr>
                <w:rFonts w:ascii="Arial"/>
                <w:sz w:val="21"/>
              </w:rPr>
            </w:pPr>
          </w:p>
          <w:p w14:paraId="06FD15D8">
            <w:pPr>
              <w:spacing w:line="928" w:lineRule="exact"/>
              <w:ind w:firstLine="630"/>
            </w:pPr>
            <w:r>
              <w:rPr>
                <w:position w:val="-18"/>
              </w:rPr>
              <w:pict>
                <v:group id="_x0000_s5052" o:spid="_x0000_s5052" o:spt="203" style="height:46.4pt;width:49.75pt;" coordsize="995,928">
                  <o:lock v:ext="edit"/>
                  <v:shape id="_x0000_s5054" o:spid="_x0000_s5054" style="position:absolute;left:30;top:50;height:878;width:965;" fillcolor="#7F5F00" filled="t" stroked="f" coordsize="965,878" path="m482,0c215,0,0,196,0,439c0,681,215,877,482,877c749,877,965,681,965,439c965,196,749,0,482,0e">
                    <v:path/>
                    <v:fill on="t" opacity="32897f" focussize="0,0"/>
                    <v:stroke on="f"/>
                    <v:imagedata o:title=""/>
                    <o:lock v:ext="edit"/>
                  </v:shape>
                  <v:shape id="_x0000_s5056" o:spid="_x0000_s5056" style="position:absolute;left:10;top:10;height:878;width:965;" fillcolor="#FFFF00" filled="t" stroked="f" coordsize="965,878" path="m482,0c215,0,0,196,0,439c0,681,215,877,482,877c749,877,965,681,965,439c965,196,749,0,482,0e">
                    <v:path/>
                    <v:fill on="t" focussize="0,0"/>
                    <v:stroke on="f"/>
                    <v:imagedata o:title=""/>
                    <o:lock v:ext="edit"/>
                  </v:shape>
                  <v:shape id="_x0000_s5058" o:spid="_x0000_s5058" style="position:absolute;left:0;top:0;height:898;width:985;" filled="f" stroked="t" coordsize="985,898" path="m492,10c225,10,10,206,10,449c10,691,225,887,492,887c759,887,975,691,975,449c975,206,759,10,492,10e">
                    <v:fill on="f" focussize="0,0"/>
                    <v:stroke weight="1pt" color="#FFD966" miterlimit="10" endcap="round"/>
                    <v:imagedata o:title=""/>
                    <o:lock v:ext="edit"/>
                  </v:shape>
                  <w10:wrap type="none"/>
                  <w10:anchorlock/>
                </v:group>
              </w:pict>
            </w:r>
          </w:p>
        </w:tc>
        <w:tc>
          <w:tcPr>
            <w:tcW w:w="5417" w:type="dxa"/>
            <w:gridSpan w:val="3"/>
            <w:vMerge w:val="continue"/>
            <w:tcBorders>
              <w:top w:val="nil"/>
              <w:bottom w:val="nil"/>
              <w:right w:val="single" w:color="000000" w:sz="4" w:space="0"/>
            </w:tcBorders>
            <w:vAlign w:val="top"/>
          </w:tcPr>
          <w:p w14:paraId="1B137B35">
            <w:pPr>
              <w:rPr>
                <w:rFonts w:ascii="Arial"/>
                <w:sz w:val="21"/>
              </w:rPr>
            </w:pPr>
          </w:p>
        </w:tc>
      </w:tr>
      <w:tr w14:paraId="0EFDD0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26" w:hRule="atLeast"/>
        </w:trPr>
        <w:tc>
          <w:tcPr>
            <w:tcW w:w="13473" w:type="dxa"/>
            <w:vMerge w:val="continue"/>
            <w:tcBorders>
              <w:left w:val="single" w:color="000000" w:sz="4" w:space="0"/>
            </w:tcBorders>
            <w:vAlign w:val="top"/>
          </w:tcPr>
          <w:p w14:paraId="4D6562C1">
            <w:pPr>
              <w:rPr>
                <w:rFonts w:ascii="Arial"/>
                <w:sz w:val="21"/>
              </w:rPr>
            </w:pPr>
          </w:p>
        </w:tc>
        <w:tc>
          <w:tcPr>
            <w:tcW w:w="2291" w:type="dxa"/>
            <w:vAlign w:val="top"/>
          </w:tcPr>
          <w:p w14:paraId="24B9A569">
            <w:pPr>
              <w:pStyle w:val="7"/>
              <w:spacing w:before="277" w:line="219" w:lineRule="auto"/>
              <w:ind w:left="737"/>
            </w:pPr>
            <w:r>
              <w:rPr>
                <w:spacing w:val="-19"/>
              </w:rPr>
              <w:t>临时用电</w:t>
            </w:r>
          </w:p>
        </w:tc>
        <w:tc>
          <w:tcPr>
            <w:tcW w:w="1694" w:type="dxa"/>
            <w:vAlign w:val="top"/>
          </w:tcPr>
          <w:p w14:paraId="3A2C2BC2">
            <w:pPr>
              <w:spacing w:before="93" w:line="602" w:lineRule="exact"/>
              <w:ind w:firstLine="488"/>
            </w:pPr>
            <w:r>
              <w:rPr>
                <w:position w:val="-12"/>
              </w:rPr>
              <w:drawing>
                <wp:inline distT="0" distB="0" distL="0" distR="0">
                  <wp:extent cx="454025" cy="382270"/>
                  <wp:effectExtent l="0" t="0" r="0" b="0"/>
                  <wp:docPr id="1796" name="IM 1796"/>
                  <wp:cNvGraphicFramePr/>
                  <a:graphic xmlns:a="http://schemas.openxmlformats.org/drawingml/2006/main">
                    <a:graphicData uri="http://schemas.openxmlformats.org/drawingml/2006/picture">
                      <pic:pic xmlns:pic="http://schemas.openxmlformats.org/drawingml/2006/picture">
                        <pic:nvPicPr>
                          <pic:cNvPr id="1796" name="IM 1796"/>
                          <pic:cNvPicPr/>
                        </pic:nvPicPr>
                        <pic:blipFill>
                          <a:blip r:embed="rId754"/>
                          <a:stretch>
                            <a:fillRect/>
                          </a:stretch>
                        </pic:blipFill>
                        <pic:spPr>
                          <a:xfrm>
                            <a:off x="0" y="0"/>
                            <a:ext cx="454659" cy="382270"/>
                          </a:xfrm>
                          <a:prstGeom prst="rect">
                            <a:avLst/>
                          </a:prstGeom>
                        </pic:spPr>
                      </pic:pic>
                    </a:graphicData>
                  </a:graphic>
                </wp:inline>
              </w:drawing>
            </w:r>
          </w:p>
        </w:tc>
        <w:tc>
          <w:tcPr>
            <w:tcW w:w="2269" w:type="dxa"/>
            <w:vAlign w:val="top"/>
          </w:tcPr>
          <w:p w14:paraId="5EDE2202">
            <w:pPr>
              <w:pStyle w:val="7"/>
              <w:spacing w:before="277" w:line="219" w:lineRule="auto"/>
              <w:ind w:left="729"/>
            </w:pPr>
            <w:r>
              <w:rPr>
                <w:spacing w:val="-19"/>
              </w:rPr>
              <w:t>临时用水</w:t>
            </w:r>
          </w:p>
        </w:tc>
        <w:tc>
          <w:tcPr>
            <w:tcW w:w="1454" w:type="dxa"/>
            <w:tcBorders>
              <w:right w:val="single" w:color="000000" w:sz="4" w:space="0"/>
            </w:tcBorders>
            <w:vAlign w:val="top"/>
          </w:tcPr>
          <w:p w14:paraId="7C54DFD3">
            <w:pPr>
              <w:spacing w:before="71" w:line="648" w:lineRule="exact"/>
              <w:ind w:firstLine="406"/>
            </w:pPr>
            <w:r>
              <w:rPr>
                <w:position w:val="-12"/>
              </w:rPr>
              <w:drawing>
                <wp:inline distT="0" distB="0" distL="0" distR="0">
                  <wp:extent cx="395605" cy="411480"/>
                  <wp:effectExtent l="0" t="0" r="0" b="0"/>
                  <wp:docPr id="1798" name="IM 1798"/>
                  <wp:cNvGraphicFramePr/>
                  <a:graphic xmlns:a="http://schemas.openxmlformats.org/drawingml/2006/main">
                    <a:graphicData uri="http://schemas.openxmlformats.org/drawingml/2006/picture">
                      <pic:pic xmlns:pic="http://schemas.openxmlformats.org/drawingml/2006/picture">
                        <pic:nvPicPr>
                          <pic:cNvPr id="1798" name="IM 1798"/>
                          <pic:cNvPicPr/>
                        </pic:nvPicPr>
                        <pic:blipFill>
                          <a:blip r:embed="rId755"/>
                          <a:stretch>
                            <a:fillRect/>
                          </a:stretch>
                        </pic:blipFill>
                        <pic:spPr>
                          <a:xfrm>
                            <a:off x="0" y="0"/>
                            <a:ext cx="396239" cy="411480"/>
                          </a:xfrm>
                          <a:prstGeom prst="rect">
                            <a:avLst/>
                          </a:prstGeom>
                        </pic:spPr>
                      </pic:pic>
                    </a:graphicData>
                  </a:graphic>
                </wp:inline>
              </w:drawing>
            </w:r>
          </w:p>
        </w:tc>
      </w:tr>
      <w:tr w14:paraId="65DEA7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03" w:hRule="atLeast"/>
        </w:trPr>
        <w:tc>
          <w:tcPr>
            <w:tcW w:w="13473" w:type="dxa"/>
            <w:vMerge w:val="continue"/>
            <w:tcBorders>
              <w:left w:val="single" w:color="000000" w:sz="4" w:space="0"/>
              <w:bottom w:val="single" w:color="1C456A" w:sz="4" w:space="0"/>
            </w:tcBorders>
            <w:vAlign w:val="top"/>
          </w:tcPr>
          <w:p w14:paraId="3B9F760F">
            <w:pPr>
              <w:rPr>
                <w:rFonts w:ascii="Arial"/>
                <w:sz w:val="21"/>
              </w:rPr>
            </w:pPr>
          </w:p>
        </w:tc>
        <w:tc>
          <w:tcPr>
            <w:tcW w:w="3985" w:type="dxa"/>
            <w:gridSpan w:val="2"/>
            <w:tcBorders>
              <w:bottom w:val="single" w:color="000000" w:sz="4" w:space="0"/>
            </w:tcBorders>
            <w:vAlign w:val="top"/>
          </w:tcPr>
          <w:p w14:paraId="7006272C">
            <w:pPr>
              <w:spacing w:before="122" w:line="1678" w:lineRule="exact"/>
              <w:ind w:firstLine="610"/>
            </w:pPr>
            <w:r>
              <w:rPr>
                <w:position w:val="-33"/>
              </w:rPr>
              <w:drawing>
                <wp:inline distT="0" distB="0" distL="0" distR="0">
                  <wp:extent cx="1749425" cy="1065530"/>
                  <wp:effectExtent l="0" t="0" r="0" b="0"/>
                  <wp:docPr id="1800" name="IM 1800"/>
                  <wp:cNvGraphicFramePr/>
                  <a:graphic xmlns:a="http://schemas.openxmlformats.org/drawingml/2006/main">
                    <a:graphicData uri="http://schemas.openxmlformats.org/drawingml/2006/picture">
                      <pic:pic xmlns:pic="http://schemas.openxmlformats.org/drawingml/2006/picture">
                        <pic:nvPicPr>
                          <pic:cNvPr id="1800" name="IM 1800"/>
                          <pic:cNvPicPr/>
                        </pic:nvPicPr>
                        <pic:blipFill>
                          <a:blip r:embed="rId756"/>
                          <a:stretch>
                            <a:fillRect/>
                          </a:stretch>
                        </pic:blipFill>
                        <pic:spPr>
                          <a:xfrm>
                            <a:off x="0" y="0"/>
                            <a:ext cx="1749425" cy="1065530"/>
                          </a:xfrm>
                          <a:prstGeom prst="rect">
                            <a:avLst/>
                          </a:prstGeom>
                        </pic:spPr>
                      </pic:pic>
                    </a:graphicData>
                  </a:graphic>
                </wp:inline>
              </w:drawing>
            </w:r>
          </w:p>
        </w:tc>
        <w:tc>
          <w:tcPr>
            <w:tcW w:w="3723" w:type="dxa"/>
            <w:gridSpan w:val="2"/>
            <w:tcBorders>
              <w:bottom w:val="single" w:color="5B9BD5" w:sz="4" w:space="0"/>
              <w:right w:val="single" w:color="5B9BD5" w:sz="4" w:space="0"/>
            </w:tcBorders>
            <w:vAlign w:val="top"/>
          </w:tcPr>
          <w:p w14:paraId="3AAF9A3C">
            <w:pPr>
              <w:spacing w:before="206" w:line="1510" w:lineRule="exact"/>
              <w:ind w:firstLine="503"/>
            </w:pPr>
            <w:r>
              <w:rPr>
                <w:position w:val="-30"/>
              </w:rPr>
              <w:drawing>
                <wp:inline distT="0" distB="0" distL="0" distR="0">
                  <wp:extent cx="1708150" cy="958850"/>
                  <wp:effectExtent l="0" t="0" r="0" b="0"/>
                  <wp:docPr id="1802" name="IM 1802"/>
                  <wp:cNvGraphicFramePr/>
                  <a:graphic xmlns:a="http://schemas.openxmlformats.org/drawingml/2006/main">
                    <a:graphicData uri="http://schemas.openxmlformats.org/drawingml/2006/picture">
                      <pic:pic xmlns:pic="http://schemas.openxmlformats.org/drawingml/2006/picture">
                        <pic:nvPicPr>
                          <pic:cNvPr id="1802" name="IM 1802"/>
                          <pic:cNvPicPr/>
                        </pic:nvPicPr>
                        <pic:blipFill>
                          <a:blip r:embed="rId757"/>
                          <a:stretch>
                            <a:fillRect/>
                          </a:stretch>
                        </pic:blipFill>
                        <pic:spPr>
                          <a:xfrm>
                            <a:off x="0" y="0"/>
                            <a:ext cx="1708784" cy="958850"/>
                          </a:xfrm>
                          <a:prstGeom prst="rect">
                            <a:avLst/>
                          </a:prstGeom>
                        </pic:spPr>
                      </pic:pic>
                    </a:graphicData>
                  </a:graphic>
                </wp:inline>
              </w:drawing>
            </w:r>
          </w:p>
        </w:tc>
      </w:tr>
    </w:tbl>
    <w:p w14:paraId="5C26BB96">
      <w:pPr>
        <w:rPr>
          <w:rFonts w:ascii="Arial"/>
          <w:sz w:val="21"/>
        </w:rPr>
      </w:pPr>
    </w:p>
    <w:p w14:paraId="7C601D5E">
      <w:pPr>
        <w:rPr>
          <w:rFonts w:ascii="Arial" w:hAnsi="Arial" w:eastAsia="Arial" w:cs="Arial"/>
          <w:sz w:val="21"/>
          <w:szCs w:val="21"/>
        </w:rPr>
        <w:sectPr>
          <w:headerReference r:id="rId441" w:type="default"/>
          <w:footerReference r:id="rId442" w:type="default"/>
          <w:pgSz w:w="23811" w:h="16839"/>
          <w:pgMar w:top="1136" w:right="0" w:bottom="1160" w:left="0" w:header="398" w:footer="444" w:gutter="0"/>
          <w:pgBorders>
            <w:top w:val="none" w:sz="0" w:space="0"/>
            <w:left w:val="none" w:sz="0" w:space="0"/>
            <w:bottom w:val="none" w:sz="0" w:space="0"/>
            <w:right w:val="none" w:sz="0" w:space="0"/>
          </w:pgBorders>
          <w:cols w:space="720" w:num="1"/>
        </w:sectPr>
      </w:pPr>
    </w:p>
    <w:p w14:paraId="37CDBFC6">
      <w:pPr>
        <w:spacing w:before="195" w:line="8409" w:lineRule="exact"/>
        <w:ind w:firstLine="1461"/>
      </w:pPr>
      <w:r>
        <w:rPr>
          <w:position w:val="-168"/>
        </w:rPr>
        <w:drawing>
          <wp:inline distT="0" distB="0" distL="0" distR="0">
            <wp:extent cx="8836025" cy="5339080"/>
            <wp:effectExtent l="0" t="0" r="0" b="0"/>
            <wp:docPr id="1804" name="IM 1804"/>
            <wp:cNvGraphicFramePr/>
            <a:graphic xmlns:a="http://schemas.openxmlformats.org/drawingml/2006/main">
              <a:graphicData uri="http://schemas.openxmlformats.org/drawingml/2006/picture">
                <pic:pic xmlns:pic="http://schemas.openxmlformats.org/drawingml/2006/picture">
                  <pic:nvPicPr>
                    <pic:cNvPr id="1804" name="IM 1804"/>
                    <pic:cNvPicPr/>
                  </pic:nvPicPr>
                  <pic:blipFill>
                    <a:blip r:embed="rId758"/>
                    <a:stretch>
                      <a:fillRect/>
                    </a:stretch>
                  </pic:blipFill>
                  <pic:spPr>
                    <a:xfrm>
                      <a:off x="0" y="0"/>
                      <a:ext cx="8836025" cy="5339714"/>
                    </a:xfrm>
                    <a:prstGeom prst="rect">
                      <a:avLst/>
                    </a:prstGeom>
                  </pic:spPr>
                </pic:pic>
              </a:graphicData>
            </a:graphic>
          </wp:inline>
        </w:drawing>
      </w:r>
    </w:p>
    <w:p w14:paraId="14391FBE">
      <w:pPr>
        <w:spacing w:line="8409" w:lineRule="exact"/>
        <w:sectPr>
          <w:footerReference r:id="rId443" w:type="default"/>
          <w:pgSz w:w="16839" w:h="11907"/>
          <w:pgMar w:top="973" w:right="4" w:bottom="1058" w:left="0" w:header="330" w:footer="409" w:gutter="0"/>
          <w:pgBorders>
            <w:top w:val="none" w:sz="0" w:space="0"/>
            <w:left w:val="none" w:sz="0" w:space="0"/>
            <w:bottom w:val="none" w:sz="0" w:space="0"/>
            <w:right w:val="none" w:sz="0" w:space="0"/>
          </w:pgBorders>
          <w:cols w:space="720" w:num="1"/>
        </w:sectPr>
      </w:pPr>
    </w:p>
    <w:p w14:paraId="23102BE7">
      <w:pPr>
        <w:spacing w:before="195" w:line="8196" w:lineRule="exact"/>
        <w:ind w:firstLine="1877"/>
      </w:pPr>
      <w:r>
        <w:rPr>
          <w:position w:val="-163"/>
        </w:rPr>
        <w:drawing>
          <wp:inline distT="0" distB="0" distL="0" distR="0">
            <wp:extent cx="8521700" cy="5203825"/>
            <wp:effectExtent l="0" t="0" r="0" b="0"/>
            <wp:docPr id="1806" name="IM 1806"/>
            <wp:cNvGraphicFramePr/>
            <a:graphic xmlns:a="http://schemas.openxmlformats.org/drawingml/2006/main">
              <a:graphicData uri="http://schemas.openxmlformats.org/drawingml/2006/picture">
                <pic:pic xmlns:pic="http://schemas.openxmlformats.org/drawingml/2006/picture">
                  <pic:nvPicPr>
                    <pic:cNvPr id="1806" name="IM 1806"/>
                    <pic:cNvPicPr/>
                  </pic:nvPicPr>
                  <pic:blipFill>
                    <a:blip r:embed="rId759"/>
                    <a:stretch>
                      <a:fillRect/>
                    </a:stretch>
                  </pic:blipFill>
                  <pic:spPr>
                    <a:xfrm>
                      <a:off x="0" y="0"/>
                      <a:ext cx="8522334" cy="5204459"/>
                    </a:xfrm>
                    <a:prstGeom prst="rect">
                      <a:avLst/>
                    </a:prstGeom>
                  </pic:spPr>
                </pic:pic>
              </a:graphicData>
            </a:graphic>
          </wp:inline>
        </w:drawing>
      </w:r>
    </w:p>
    <w:p w14:paraId="3EC9C2C2">
      <w:pPr>
        <w:spacing w:line="8196" w:lineRule="exact"/>
        <w:sectPr>
          <w:footerReference r:id="rId444" w:type="default"/>
          <w:pgSz w:w="16839" w:h="11907"/>
          <w:pgMar w:top="973" w:right="4" w:bottom="1058" w:left="0" w:header="330" w:footer="409" w:gutter="0"/>
          <w:pgBorders>
            <w:top w:val="none" w:sz="0" w:space="0"/>
            <w:left w:val="none" w:sz="0" w:space="0"/>
            <w:bottom w:val="none" w:sz="0" w:space="0"/>
            <w:right w:val="none" w:sz="0" w:space="0"/>
          </w:pgBorders>
          <w:cols w:space="720" w:num="1"/>
        </w:sectPr>
      </w:pPr>
    </w:p>
    <w:p w14:paraId="5B167234">
      <w:pPr>
        <w:pStyle w:val="2"/>
        <w:spacing w:before="283" w:line="210" w:lineRule="auto"/>
        <w:ind w:left="4641"/>
        <w:outlineLvl w:val="0"/>
        <w:rPr>
          <w:sz w:val="31"/>
          <w:szCs w:val="31"/>
        </w:rPr>
      </w:pPr>
      <w:bookmarkStart w:id="312" w:name="bookmark297"/>
      <w:bookmarkEnd w:id="312"/>
      <w:r>
        <w:rPr>
          <w:b/>
          <w:bCs/>
          <w:color w:val="7030A0"/>
          <w:spacing w:val="-15"/>
          <w:sz w:val="31"/>
          <w:szCs w:val="31"/>
        </w:rPr>
        <w:t>附表六：临时用地表</w:t>
      </w:r>
    </w:p>
    <w:tbl>
      <w:tblPr>
        <w:tblStyle w:val="6"/>
        <w:tblW w:w="8840" w:type="dxa"/>
        <w:tblInd w:w="153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210"/>
        <w:gridCol w:w="1794"/>
        <w:gridCol w:w="2828"/>
        <w:gridCol w:w="2008"/>
      </w:tblGrid>
      <w:tr w14:paraId="154A48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88" w:hRule="atLeast"/>
        </w:trPr>
        <w:tc>
          <w:tcPr>
            <w:tcW w:w="2210" w:type="dxa"/>
            <w:tcBorders>
              <w:top w:val="single" w:color="000000" w:sz="4" w:space="0"/>
              <w:left w:val="single" w:color="000000" w:sz="4" w:space="0"/>
            </w:tcBorders>
            <w:shd w:val="clear" w:color="auto" w:fill="DEEAF6"/>
            <w:vAlign w:val="top"/>
          </w:tcPr>
          <w:p w14:paraId="468EFCEA">
            <w:pPr>
              <w:spacing w:line="380" w:lineRule="auto"/>
              <w:rPr>
                <w:rFonts w:ascii="Arial"/>
                <w:sz w:val="21"/>
              </w:rPr>
            </w:pPr>
          </w:p>
          <w:p w14:paraId="4E51DF57">
            <w:pPr>
              <w:pStyle w:val="7"/>
              <w:spacing w:before="78" w:line="220" w:lineRule="auto"/>
              <w:ind w:left="802"/>
            </w:pPr>
            <w:r>
              <w:rPr>
                <w:b/>
                <w:bCs/>
                <w:spacing w:val="-11"/>
              </w:rPr>
              <w:t>用途</w:t>
            </w:r>
          </w:p>
        </w:tc>
        <w:tc>
          <w:tcPr>
            <w:tcW w:w="1794" w:type="dxa"/>
            <w:tcBorders>
              <w:top w:val="single" w:color="000000" w:sz="4" w:space="0"/>
            </w:tcBorders>
            <w:shd w:val="clear" w:color="auto" w:fill="DEEAF6"/>
            <w:vAlign w:val="top"/>
          </w:tcPr>
          <w:p w14:paraId="7222BFA8">
            <w:pPr>
              <w:spacing w:line="380" w:lineRule="auto"/>
              <w:rPr>
                <w:rFonts w:ascii="Arial"/>
                <w:sz w:val="21"/>
              </w:rPr>
            </w:pPr>
          </w:p>
          <w:p w14:paraId="5FEC877D">
            <w:pPr>
              <w:pStyle w:val="7"/>
              <w:spacing w:before="78" w:line="218" w:lineRule="auto"/>
              <w:ind w:left="143"/>
            </w:pPr>
            <w:r>
              <w:rPr>
                <w:b/>
                <w:bCs/>
                <w:spacing w:val="-21"/>
              </w:rPr>
              <w:t>面积（平方米）</w:t>
            </w:r>
          </w:p>
        </w:tc>
        <w:tc>
          <w:tcPr>
            <w:tcW w:w="2828" w:type="dxa"/>
            <w:tcBorders>
              <w:top w:val="single" w:color="000000" w:sz="4" w:space="0"/>
            </w:tcBorders>
            <w:shd w:val="clear" w:color="auto" w:fill="DEEAF6"/>
            <w:vAlign w:val="top"/>
          </w:tcPr>
          <w:p w14:paraId="11A44A20">
            <w:pPr>
              <w:spacing w:line="381" w:lineRule="auto"/>
              <w:rPr>
                <w:rFonts w:ascii="Arial"/>
                <w:sz w:val="21"/>
              </w:rPr>
            </w:pPr>
          </w:p>
          <w:p w14:paraId="432C5997">
            <w:pPr>
              <w:pStyle w:val="7"/>
              <w:spacing w:before="78" w:line="217" w:lineRule="auto"/>
              <w:ind w:left="1108"/>
            </w:pPr>
            <w:r>
              <w:rPr>
                <w:b/>
                <w:bCs/>
                <w:spacing w:val="-11"/>
              </w:rPr>
              <w:t>位置</w:t>
            </w:r>
          </w:p>
        </w:tc>
        <w:tc>
          <w:tcPr>
            <w:tcW w:w="2008" w:type="dxa"/>
            <w:tcBorders>
              <w:top w:val="single" w:color="5B9BD5" w:sz="4" w:space="0"/>
              <w:right w:val="single" w:color="5B9BD5" w:sz="4" w:space="0"/>
            </w:tcBorders>
            <w:shd w:val="clear" w:color="auto" w:fill="DEEAF6"/>
            <w:vAlign w:val="top"/>
          </w:tcPr>
          <w:p w14:paraId="44D307F4">
            <w:pPr>
              <w:spacing w:line="380" w:lineRule="auto"/>
              <w:rPr>
                <w:rFonts w:ascii="Arial"/>
                <w:sz w:val="21"/>
              </w:rPr>
            </w:pPr>
          </w:p>
          <w:p w14:paraId="5610CF0F">
            <w:pPr>
              <w:pStyle w:val="7"/>
              <w:spacing w:before="78" w:line="218" w:lineRule="auto"/>
              <w:ind w:left="581"/>
            </w:pPr>
            <w:r>
              <w:rPr>
                <w:b/>
                <w:bCs/>
                <w:spacing w:val="-20"/>
              </w:rPr>
              <w:t>需用时间</w:t>
            </w:r>
          </w:p>
        </w:tc>
      </w:tr>
      <w:tr w14:paraId="2FA493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8" w:hRule="atLeast"/>
        </w:trPr>
        <w:tc>
          <w:tcPr>
            <w:tcW w:w="2210" w:type="dxa"/>
            <w:tcBorders>
              <w:left w:val="single" w:color="000000" w:sz="4" w:space="0"/>
            </w:tcBorders>
            <w:vAlign w:val="top"/>
          </w:tcPr>
          <w:p w14:paraId="5F015B81">
            <w:pPr>
              <w:pStyle w:val="7"/>
              <w:spacing w:before="283" w:line="220" w:lineRule="auto"/>
              <w:ind w:left="474"/>
            </w:pPr>
            <w:r>
              <w:rPr>
                <w:spacing w:val="-19"/>
              </w:rPr>
              <w:t>办公、生活区</w:t>
            </w:r>
          </w:p>
        </w:tc>
        <w:tc>
          <w:tcPr>
            <w:tcW w:w="1794" w:type="dxa"/>
            <w:vAlign w:val="top"/>
          </w:tcPr>
          <w:p w14:paraId="698CA531">
            <w:pPr>
              <w:pStyle w:val="7"/>
              <w:spacing w:before="283" w:line="237" w:lineRule="auto"/>
              <w:ind w:left="626"/>
            </w:pPr>
            <w:r>
              <w:rPr>
                <w:spacing w:val="-9"/>
              </w:rPr>
              <w:t>800m2</w:t>
            </w:r>
          </w:p>
        </w:tc>
        <w:tc>
          <w:tcPr>
            <w:tcW w:w="2828" w:type="dxa"/>
            <w:vMerge w:val="restart"/>
            <w:tcBorders>
              <w:bottom w:val="nil"/>
            </w:tcBorders>
            <w:vAlign w:val="top"/>
          </w:tcPr>
          <w:p w14:paraId="1588ACDE">
            <w:pPr>
              <w:spacing w:line="243" w:lineRule="auto"/>
              <w:rPr>
                <w:rFonts w:ascii="Arial"/>
                <w:sz w:val="21"/>
              </w:rPr>
            </w:pPr>
          </w:p>
          <w:p w14:paraId="49DAE33B">
            <w:pPr>
              <w:spacing w:line="243" w:lineRule="auto"/>
              <w:rPr>
                <w:rFonts w:ascii="Arial"/>
                <w:sz w:val="21"/>
              </w:rPr>
            </w:pPr>
          </w:p>
          <w:p w14:paraId="0B722ED6">
            <w:pPr>
              <w:spacing w:line="243" w:lineRule="auto"/>
              <w:rPr>
                <w:rFonts w:ascii="Arial"/>
                <w:sz w:val="21"/>
              </w:rPr>
            </w:pPr>
          </w:p>
          <w:p w14:paraId="5D29CF83">
            <w:pPr>
              <w:spacing w:line="243" w:lineRule="auto"/>
              <w:rPr>
                <w:rFonts w:ascii="Arial"/>
                <w:sz w:val="21"/>
              </w:rPr>
            </w:pPr>
          </w:p>
          <w:p w14:paraId="5F1078BC">
            <w:pPr>
              <w:spacing w:line="244" w:lineRule="auto"/>
              <w:rPr>
                <w:rFonts w:ascii="Arial"/>
                <w:sz w:val="21"/>
              </w:rPr>
            </w:pPr>
          </w:p>
          <w:p w14:paraId="58DCCFD9">
            <w:pPr>
              <w:spacing w:line="244" w:lineRule="auto"/>
              <w:rPr>
                <w:rFonts w:ascii="Arial"/>
                <w:sz w:val="21"/>
              </w:rPr>
            </w:pPr>
          </w:p>
          <w:p w14:paraId="5967BE6A">
            <w:pPr>
              <w:spacing w:line="244" w:lineRule="auto"/>
              <w:rPr>
                <w:rFonts w:ascii="Arial"/>
                <w:sz w:val="21"/>
              </w:rPr>
            </w:pPr>
          </w:p>
          <w:p w14:paraId="02974FCF">
            <w:pPr>
              <w:spacing w:line="244" w:lineRule="auto"/>
              <w:rPr>
                <w:rFonts w:ascii="Arial"/>
                <w:sz w:val="21"/>
              </w:rPr>
            </w:pPr>
          </w:p>
          <w:p w14:paraId="5F61DF8D">
            <w:pPr>
              <w:spacing w:line="244" w:lineRule="auto"/>
              <w:rPr>
                <w:rFonts w:ascii="Arial"/>
                <w:sz w:val="21"/>
              </w:rPr>
            </w:pPr>
          </w:p>
          <w:p w14:paraId="39B20DB3">
            <w:pPr>
              <w:spacing w:line="244" w:lineRule="auto"/>
              <w:rPr>
                <w:rFonts w:ascii="Arial"/>
                <w:sz w:val="21"/>
              </w:rPr>
            </w:pPr>
          </w:p>
          <w:p w14:paraId="26FACBBA">
            <w:pPr>
              <w:spacing w:line="244" w:lineRule="auto"/>
              <w:rPr>
                <w:rFonts w:ascii="Arial"/>
                <w:sz w:val="21"/>
              </w:rPr>
            </w:pPr>
          </w:p>
          <w:p w14:paraId="6AD406A9">
            <w:pPr>
              <w:spacing w:line="244" w:lineRule="auto"/>
              <w:rPr>
                <w:rFonts w:ascii="Arial"/>
                <w:sz w:val="21"/>
              </w:rPr>
            </w:pPr>
          </w:p>
          <w:p w14:paraId="09AFAE1F">
            <w:pPr>
              <w:spacing w:line="244" w:lineRule="auto"/>
              <w:rPr>
                <w:rFonts w:ascii="Arial"/>
                <w:sz w:val="21"/>
              </w:rPr>
            </w:pPr>
          </w:p>
          <w:p w14:paraId="0043A5F4">
            <w:pPr>
              <w:spacing w:line="244" w:lineRule="auto"/>
              <w:rPr>
                <w:rFonts w:ascii="Arial"/>
                <w:sz w:val="21"/>
              </w:rPr>
            </w:pPr>
          </w:p>
          <w:p w14:paraId="3BBA999A">
            <w:pPr>
              <w:spacing w:line="244" w:lineRule="auto"/>
              <w:rPr>
                <w:rFonts w:ascii="Arial"/>
                <w:sz w:val="21"/>
              </w:rPr>
            </w:pPr>
          </w:p>
          <w:p w14:paraId="192AC7CC">
            <w:pPr>
              <w:pStyle w:val="7"/>
              <w:spacing w:before="79" w:line="218" w:lineRule="auto"/>
              <w:ind w:left="127"/>
            </w:pPr>
            <w:r>
              <w:rPr>
                <w:spacing w:val="-21"/>
              </w:rPr>
              <w:t>与业主充分沟通，严格按照</w:t>
            </w:r>
          </w:p>
          <w:p w14:paraId="3FD43E0E">
            <w:pPr>
              <w:pStyle w:val="7"/>
              <w:spacing w:before="182" w:line="218" w:lineRule="auto"/>
              <w:ind w:left="118"/>
            </w:pPr>
            <w:r>
              <w:rPr>
                <w:spacing w:val="-20"/>
              </w:rPr>
              <w:t>业主要求结合工程实际情况</w:t>
            </w:r>
          </w:p>
          <w:p w14:paraId="52C3E7FC">
            <w:pPr>
              <w:pStyle w:val="7"/>
              <w:spacing w:before="184" w:line="216" w:lineRule="auto"/>
              <w:ind w:left="775"/>
            </w:pPr>
            <w:r>
              <w:rPr>
                <w:spacing w:val="-18"/>
              </w:rPr>
              <w:t>进行合理布置</w:t>
            </w:r>
          </w:p>
        </w:tc>
        <w:tc>
          <w:tcPr>
            <w:tcW w:w="2008" w:type="dxa"/>
            <w:tcBorders>
              <w:right w:val="single" w:color="000000" w:sz="4" w:space="0"/>
            </w:tcBorders>
            <w:vAlign w:val="top"/>
          </w:tcPr>
          <w:p w14:paraId="5123E22E">
            <w:pPr>
              <w:pStyle w:val="7"/>
              <w:spacing w:before="284" w:line="218" w:lineRule="auto"/>
              <w:ind w:left="466"/>
            </w:pPr>
            <w:r>
              <w:rPr>
                <w:spacing w:val="-17"/>
              </w:rPr>
              <w:t>开工至竣工</w:t>
            </w:r>
          </w:p>
        </w:tc>
      </w:tr>
      <w:tr w14:paraId="4E3196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6" w:hRule="atLeast"/>
        </w:trPr>
        <w:tc>
          <w:tcPr>
            <w:tcW w:w="2210" w:type="dxa"/>
            <w:tcBorders>
              <w:left w:val="single" w:color="000000" w:sz="4" w:space="0"/>
            </w:tcBorders>
            <w:vAlign w:val="top"/>
          </w:tcPr>
          <w:p w14:paraId="373FA451">
            <w:pPr>
              <w:pStyle w:val="7"/>
              <w:spacing w:before="285" w:line="217" w:lineRule="auto"/>
              <w:ind w:left="816"/>
            </w:pPr>
            <w:r>
              <w:rPr>
                <w:spacing w:val="-19"/>
              </w:rPr>
              <w:t>门卫房</w:t>
            </w:r>
          </w:p>
        </w:tc>
        <w:tc>
          <w:tcPr>
            <w:tcW w:w="1794" w:type="dxa"/>
            <w:vAlign w:val="top"/>
          </w:tcPr>
          <w:p w14:paraId="580379D7">
            <w:pPr>
              <w:pStyle w:val="7"/>
              <w:spacing w:before="285" w:line="238" w:lineRule="auto"/>
              <w:ind w:left="698"/>
            </w:pPr>
            <w:r>
              <w:rPr>
                <w:spacing w:val="-13"/>
              </w:rPr>
              <w:t>12m2</w:t>
            </w:r>
          </w:p>
        </w:tc>
        <w:tc>
          <w:tcPr>
            <w:tcW w:w="2828" w:type="dxa"/>
            <w:vMerge w:val="continue"/>
            <w:tcBorders>
              <w:top w:val="nil"/>
              <w:bottom w:val="nil"/>
            </w:tcBorders>
            <w:vAlign w:val="top"/>
          </w:tcPr>
          <w:p w14:paraId="70E98468">
            <w:pPr>
              <w:rPr>
                <w:rFonts w:ascii="Arial"/>
                <w:sz w:val="21"/>
              </w:rPr>
            </w:pPr>
          </w:p>
        </w:tc>
        <w:tc>
          <w:tcPr>
            <w:tcW w:w="2008" w:type="dxa"/>
            <w:tcBorders>
              <w:right w:val="single" w:color="000000" w:sz="4" w:space="0"/>
            </w:tcBorders>
            <w:vAlign w:val="top"/>
          </w:tcPr>
          <w:p w14:paraId="0F563C82">
            <w:pPr>
              <w:pStyle w:val="7"/>
              <w:spacing w:before="285" w:line="218" w:lineRule="auto"/>
              <w:ind w:left="466"/>
            </w:pPr>
            <w:r>
              <w:rPr>
                <w:spacing w:val="-17"/>
              </w:rPr>
              <w:t>开工至竣工</w:t>
            </w:r>
          </w:p>
        </w:tc>
      </w:tr>
      <w:tr w14:paraId="7281D6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53" w:hRule="atLeast"/>
        </w:trPr>
        <w:tc>
          <w:tcPr>
            <w:tcW w:w="2210" w:type="dxa"/>
            <w:tcBorders>
              <w:left w:val="single" w:color="000000" w:sz="4" w:space="0"/>
            </w:tcBorders>
            <w:vAlign w:val="top"/>
          </w:tcPr>
          <w:p w14:paraId="679DDDFA">
            <w:pPr>
              <w:pStyle w:val="7"/>
              <w:spacing w:before="97" w:line="362" w:lineRule="auto"/>
              <w:ind w:left="683" w:right="93" w:hanging="544"/>
            </w:pPr>
            <w:r>
              <w:rPr>
                <w:spacing w:val="-22"/>
              </w:rPr>
              <w:t>钢筋及供水管材等原</w:t>
            </w:r>
            <w:r>
              <w:rPr>
                <w:spacing w:val="-15"/>
              </w:rPr>
              <w:t>材加工区</w:t>
            </w:r>
          </w:p>
        </w:tc>
        <w:tc>
          <w:tcPr>
            <w:tcW w:w="1794" w:type="dxa"/>
            <w:vAlign w:val="top"/>
          </w:tcPr>
          <w:p w14:paraId="0FA30924">
            <w:pPr>
              <w:spacing w:line="252" w:lineRule="auto"/>
              <w:rPr>
                <w:rFonts w:ascii="Arial"/>
                <w:sz w:val="21"/>
              </w:rPr>
            </w:pPr>
          </w:p>
          <w:p w14:paraId="7EED02A7">
            <w:pPr>
              <w:pStyle w:val="7"/>
              <w:spacing w:before="78" w:line="237" w:lineRule="auto"/>
              <w:ind w:left="627"/>
            </w:pPr>
            <w:r>
              <w:rPr>
                <w:spacing w:val="-10"/>
              </w:rPr>
              <w:t>600m2</w:t>
            </w:r>
          </w:p>
        </w:tc>
        <w:tc>
          <w:tcPr>
            <w:tcW w:w="2828" w:type="dxa"/>
            <w:vMerge w:val="continue"/>
            <w:tcBorders>
              <w:top w:val="nil"/>
              <w:bottom w:val="nil"/>
            </w:tcBorders>
            <w:vAlign w:val="top"/>
          </w:tcPr>
          <w:p w14:paraId="6160399B">
            <w:pPr>
              <w:rPr>
                <w:rFonts w:ascii="Arial"/>
                <w:sz w:val="21"/>
              </w:rPr>
            </w:pPr>
          </w:p>
        </w:tc>
        <w:tc>
          <w:tcPr>
            <w:tcW w:w="2008" w:type="dxa"/>
            <w:tcBorders>
              <w:right w:val="single" w:color="000000" w:sz="4" w:space="0"/>
            </w:tcBorders>
            <w:vAlign w:val="top"/>
          </w:tcPr>
          <w:p w14:paraId="4D2AE9CA">
            <w:pPr>
              <w:spacing w:line="253" w:lineRule="auto"/>
              <w:rPr>
                <w:rFonts w:ascii="Arial"/>
                <w:sz w:val="21"/>
              </w:rPr>
            </w:pPr>
          </w:p>
          <w:p w14:paraId="520160BE">
            <w:pPr>
              <w:pStyle w:val="7"/>
              <w:spacing w:before="78" w:line="218" w:lineRule="auto"/>
              <w:ind w:left="466"/>
            </w:pPr>
            <w:r>
              <w:rPr>
                <w:spacing w:val="-17"/>
              </w:rPr>
              <w:t>开工至竣工</w:t>
            </w:r>
          </w:p>
        </w:tc>
      </w:tr>
      <w:tr w14:paraId="1104B8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9" w:hRule="atLeast"/>
        </w:trPr>
        <w:tc>
          <w:tcPr>
            <w:tcW w:w="2210" w:type="dxa"/>
            <w:tcBorders>
              <w:left w:val="single" w:color="000000" w:sz="4" w:space="0"/>
            </w:tcBorders>
            <w:vAlign w:val="top"/>
          </w:tcPr>
          <w:p w14:paraId="5301CD6F">
            <w:pPr>
              <w:pStyle w:val="7"/>
              <w:spacing w:before="290" w:line="217" w:lineRule="auto"/>
              <w:ind w:left="576"/>
            </w:pPr>
            <w:r>
              <w:rPr>
                <w:spacing w:val="-17"/>
              </w:rPr>
              <w:t>木工加工棚</w:t>
            </w:r>
          </w:p>
        </w:tc>
        <w:tc>
          <w:tcPr>
            <w:tcW w:w="1794" w:type="dxa"/>
            <w:vAlign w:val="top"/>
          </w:tcPr>
          <w:p w14:paraId="2685536B">
            <w:pPr>
              <w:pStyle w:val="7"/>
              <w:spacing w:before="289" w:line="237" w:lineRule="auto"/>
              <w:ind w:left="643"/>
            </w:pPr>
            <w:r>
              <w:rPr>
                <w:spacing w:val="-13"/>
              </w:rPr>
              <w:t>180m2</w:t>
            </w:r>
          </w:p>
        </w:tc>
        <w:tc>
          <w:tcPr>
            <w:tcW w:w="2828" w:type="dxa"/>
            <w:vMerge w:val="continue"/>
            <w:tcBorders>
              <w:top w:val="nil"/>
              <w:bottom w:val="nil"/>
            </w:tcBorders>
            <w:vAlign w:val="top"/>
          </w:tcPr>
          <w:p w14:paraId="11549C49">
            <w:pPr>
              <w:rPr>
                <w:rFonts w:ascii="Arial"/>
                <w:sz w:val="21"/>
              </w:rPr>
            </w:pPr>
          </w:p>
        </w:tc>
        <w:tc>
          <w:tcPr>
            <w:tcW w:w="2008" w:type="dxa"/>
            <w:tcBorders>
              <w:right w:val="single" w:color="000000" w:sz="4" w:space="0"/>
            </w:tcBorders>
            <w:vAlign w:val="top"/>
          </w:tcPr>
          <w:p w14:paraId="0452B461">
            <w:pPr>
              <w:pStyle w:val="7"/>
              <w:spacing w:before="289" w:line="218" w:lineRule="auto"/>
              <w:ind w:left="466"/>
            </w:pPr>
            <w:r>
              <w:rPr>
                <w:spacing w:val="-17"/>
              </w:rPr>
              <w:t>开工至竣工</w:t>
            </w:r>
          </w:p>
        </w:tc>
      </w:tr>
      <w:tr w14:paraId="1C10E9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8" w:hRule="atLeast"/>
        </w:trPr>
        <w:tc>
          <w:tcPr>
            <w:tcW w:w="2210" w:type="dxa"/>
            <w:tcBorders>
              <w:left w:val="single" w:color="000000" w:sz="4" w:space="0"/>
            </w:tcBorders>
            <w:vAlign w:val="top"/>
          </w:tcPr>
          <w:p w14:paraId="74B95801">
            <w:pPr>
              <w:pStyle w:val="7"/>
              <w:spacing w:before="290" w:line="218" w:lineRule="auto"/>
              <w:ind w:left="468"/>
            </w:pPr>
            <w:r>
              <w:rPr>
                <w:spacing w:val="-18"/>
              </w:rPr>
              <w:t>预拌砂浆场地</w:t>
            </w:r>
          </w:p>
        </w:tc>
        <w:tc>
          <w:tcPr>
            <w:tcW w:w="1794" w:type="dxa"/>
            <w:vAlign w:val="top"/>
          </w:tcPr>
          <w:p w14:paraId="125A5A48">
            <w:pPr>
              <w:pStyle w:val="7"/>
              <w:spacing w:before="290" w:line="237" w:lineRule="auto"/>
              <w:ind w:left="628"/>
            </w:pPr>
            <w:r>
              <w:rPr>
                <w:spacing w:val="-10"/>
              </w:rPr>
              <w:t>240m2</w:t>
            </w:r>
          </w:p>
        </w:tc>
        <w:tc>
          <w:tcPr>
            <w:tcW w:w="2828" w:type="dxa"/>
            <w:vMerge w:val="continue"/>
            <w:tcBorders>
              <w:top w:val="nil"/>
              <w:bottom w:val="nil"/>
            </w:tcBorders>
            <w:vAlign w:val="top"/>
          </w:tcPr>
          <w:p w14:paraId="4987B033">
            <w:pPr>
              <w:rPr>
                <w:rFonts w:ascii="Arial"/>
                <w:sz w:val="21"/>
              </w:rPr>
            </w:pPr>
          </w:p>
        </w:tc>
        <w:tc>
          <w:tcPr>
            <w:tcW w:w="2008" w:type="dxa"/>
            <w:tcBorders>
              <w:right w:val="single" w:color="000000" w:sz="4" w:space="0"/>
            </w:tcBorders>
            <w:vAlign w:val="top"/>
          </w:tcPr>
          <w:p w14:paraId="607A2F8A">
            <w:pPr>
              <w:pStyle w:val="7"/>
              <w:spacing w:before="290" w:line="218" w:lineRule="auto"/>
              <w:ind w:left="466"/>
            </w:pPr>
            <w:r>
              <w:rPr>
                <w:spacing w:val="-17"/>
              </w:rPr>
              <w:t>开工至竣工</w:t>
            </w:r>
          </w:p>
        </w:tc>
      </w:tr>
      <w:tr w14:paraId="27B55C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8" w:hRule="atLeast"/>
        </w:trPr>
        <w:tc>
          <w:tcPr>
            <w:tcW w:w="2210" w:type="dxa"/>
            <w:tcBorders>
              <w:left w:val="single" w:color="000000" w:sz="4" w:space="0"/>
            </w:tcBorders>
            <w:vAlign w:val="top"/>
          </w:tcPr>
          <w:p w14:paraId="62878539">
            <w:pPr>
              <w:pStyle w:val="7"/>
              <w:spacing w:before="288" w:line="217" w:lineRule="auto"/>
              <w:ind w:left="684"/>
            </w:pPr>
            <w:r>
              <w:rPr>
                <w:spacing w:val="-15"/>
              </w:rPr>
              <w:t>砌块堆场</w:t>
            </w:r>
          </w:p>
        </w:tc>
        <w:tc>
          <w:tcPr>
            <w:tcW w:w="1794" w:type="dxa"/>
            <w:vAlign w:val="top"/>
          </w:tcPr>
          <w:p w14:paraId="557E1ABC">
            <w:pPr>
              <w:pStyle w:val="7"/>
              <w:spacing w:before="289" w:line="237" w:lineRule="auto"/>
              <w:ind w:left="643"/>
            </w:pPr>
            <w:r>
              <w:rPr>
                <w:spacing w:val="-13"/>
              </w:rPr>
              <w:t>180m2</w:t>
            </w:r>
          </w:p>
        </w:tc>
        <w:tc>
          <w:tcPr>
            <w:tcW w:w="2828" w:type="dxa"/>
            <w:vMerge w:val="continue"/>
            <w:tcBorders>
              <w:top w:val="nil"/>
              <w:bottom w:val="nil"/>
            </w:tcBorders>
            <w:vAlign w:val="top"/>
          </w:tcPr>
          <w:p w14:paraId="38971615">
            <w:pPr>
              <w:rPr>
                <w:rFonts w:ascii="Arial"/>
                <w:sz w:val="21"/>
              </w:rPr>
            </w:pPr>
          </w:p>
        </w:tc>
        <w:tc>
          <w:tcPr>
            <w:tcW w:w="2008" w:type="dxa"/>
            <w:tcBorders>
              <w:right w:val="single" w:color="000000" w:sz="4" w:space="0"/>
            </w:tcBorders>
            <w:vAlign w:val="top"/>
          </w:tcPr>
          <w:p w14:paraId="3ED746B9">
            <w:pPr>
              <w:pStyle w:val="7"/>
              <w:spacing w:before="289" w:line="218" w:lineRule="auto"/>
              <w:ind w:left="466"/>
            </w:pPr>
            <w:r>
              <w:rPr>
                <w:spacing w:val="-17"/>
              </w:rPr>
              <w:t>开工至竣工</w:t>
            </w:r>
          </w:p>
        </w:tc>
      </w:tr>
      <w:tr w14:paraId="2F698B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7" w:hRule="atLeast"/>
        </w:trPr>
        <w:tc>
          <w:tcPr>
            <w:tcW w:w="2210" w:type="dxa"/>
            <w:tcBorders>
              <w:left w:val="single" w:color="000000" w:sz="4" w:space="0"/>
            </w:tcBorders>
            <w:vAlign w:val="top"/>
          </w:tcPr>
          <w:p w14:paraId="5B2CC6A4">
            <w:pPr>
              <w:pStyle w:val="7"/>
              <w:spacing w:before="290" w:line="216" w:lineRule="auto"/>
              <w:ind w:left="792"/>
            </w:pPr>
            <w:r>
              <w:rPr>
                <w:spacing w:val="-13"/>
              </w:rPr>
              <w:t>材料库</w:t>
            </w:r>
          </w:p>
        </w:tc>
        <w:tc>
          <w:tcPr>
            <w:tcW w:w="1794" w:type="dxa"/>
            <w:vAlign w:val="top"/>
          </w:tcPr>
          <w:p w14:paraId="2379D9DB">
            <w:pPr>
              <w:pStyle w:val="7"/>
              <w:spacing w:before="290" w:line="237" w:lineRule="auto"/>
              <w:ind w:left="628"/>
            </w:pPr>
            <w:r>
              <w:rPr>
                <w:spacing w:val="-10"/>
              </w:rPr>
              <w:t>240m2</w:t>
            </w:r>
          </w:p>
        </w:tc>
        <w:tc>
          <w:tcPr>
            <w:tcW w:w="2828" w:type="dxa"/>
            <w:vMerge w:val="continue"/>
            <w:tcBorders>
              <w:top w:val="nil"/>
              <w:bottom w:val="nil"/>
            </w:tcBorders>
            <w:vAlign w:val="top"/>
          </w:tcPr>
          <w:p w14:paraId="5149FB53">
            <w:pPr>
              <w:rPr>
                <w:rFonts w:ascii="Arial"/>
                <w:sz w:val="21"/>
              </w:rPr>
            </w:pPr>
          </w:p>
        </w:tc>
        <w:tc>
          <w:tcPr>
            <w:tcW w:w="2008" w:type="dxa"/>
            <w:tcBorders>
              <w:right w:val="single" w:color="000000" w:sz="4" w:space="0"/>
            </w:tcBorders>
            <w:vAlign w:val="top"/>
          </w:tcPr>
          <w:p w14:paraId="0168D370">
            <w:pPr>
              <w:pStyle w:val="7"/>
              <w:spacing w:before="291" w:line="218" w:lineRule="auto"/>
              <w:ind w:left="466"/>
            </w:pPr>
            <w:r>
              <w:rPr>
                <w:spacing w:val="-17"/>
              </w:rPr>
              <w:t>开工至竣工</w:t>
            </w:r>
          </w:p>
        </w:tc>
      </w:tr>
      <w:tr w14:paraId="2EFBEA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9" w:hRule="atLeast"/>
        </w:trPr>
        <w:tc>
          <w:tcPr>
            <w:tcW w:w="2210" w:type="dxa"/>
            <w:tcBorders>
              <w:left w:val="single" w:color="000000" w:sz="4" w:space="0"/>
            </w:tcBorders>
            <w:vAlign w:val="top"/>
          </w:tcPr>
          <w:p w14:paraId="2D31197E">
            <w:pPr>
              <w:pStyle w:val="7"/>
              <w:spacing w:before="292" w:line="217" w:lineRule="auto"/>
              <w:ind w:left="576"/>
            </w:pPr>
            <w:r>
              <w:rPr>
                <w:spacing w:val="-17"/>
              </w:rPr>
              <w:t>机械停放场</w:t>
            </w:r>
          </w:p>
        </w:tc>
        <w:tc>
          <w:tcPr>
            <w:tcW w:w="1794" w:type="dxa"/>
            <w:vAlign w:val="top"/>
          </w:tcPr>
          <w:p w14:paraId="5F5F6FD9">
            <w:pPr>
              <w:pStyle w:val="7"/>
              <w:spacing w:before="293" w:line="237" w:lineRule="auto"/>
              <w:ind w:left="627"/>
            </w:pPr>
            <w:r>
              <w:rPr>
                <w:spacing w:val="-10"/>
              </w:rPr>
              <w:t>600m2</w:t>
            </w:r>
          </w:p>
        </w:tc>
        <w:tc>
          <w:tcPr>
            <w:tcW w:w="2828" w:type="dxa"/>
            <w:vMerge w:val="continue"/>
            <w:tcBorders>
              <w:top w:val="nil"/>
              <w:bottom w:val="nil"/>
            </w:tcBorders>
            <w:vAlign w:val="top"/>
          </w:tcPr>
          <w:p w14:paraId="69F80C98">
            <w:pPr>
              <w:rPr>
                <w:rFonts w:ascii="Arial"/>
                <w:sz w:val="21"/>
              </w:rPr>
            </w:pPr>
          </w:p>
        </w:tc>
        <w:tc>
          <w:tcPr>
            <w:tcW w:w="2008" w:type="dxa"/>
            <w:tcBorders>
              <w:right w:val="single" w:color="000000" w:sz="4" w:space="0"/>
            </w:tcBorders>
            <w:vAlign w:val="top"/>
          </w:tcPr>
          <w:p w14:paraId="3ED7199A">
            <w:pPr>
              <w:pStyle w:val="7"/>
              <w:spacing w:before="293" w:line="218" w:lineRule="auto"/>
              <w:ind w:left="466"/>
            </w:pPr>
            <w:r>
              <w:rPr>
                <w:spacing w:val="-17"/>
              </w:rPr>
              <w:t>开工至竣工</w:t>
            </w:r>
          </w:p>
        </w:tc>
      </w:tr>
      <w:tr w14:paraId="054200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8" w:hRule="atLeast"/>
        </w:trPr>
        <w:tc>
          <w:tcPr>
            <w:tcW w:w="2210" w:type="dxa"/>
            <w:tcBorders>
              <w:left w:val="single" w:color="000000" w:sz="4" w:space="0"/>
            </w:tcBorders>
            <w:vAlign w:val="top"/>
          </w:tcPr>
          <w:p w14:paraId="6FC68D5F">
            <w:pPr>
              <w:pStyle w:val="7"/>
              <w:spacing w:before="293" w:line="219" w:lineRule="auto"/>
              <w:ind w:left="699"/>
            </w:pPr>
            <w:r>
              <w:rPr>
                <w:spacing w:val="-19"/>
              </w:rPr>
              <w:t>临时道路</w:t>
            </w:r>
          </w:p>
        </w:tc>
        <w:tc>
          <w:tcPr>
            <w:tcW w:w="1794" w:type="dxa"/>
            <w:vAlign w:val="top"/>
          </w:tcPr>
          <w:p w14:paraId="03BC1EF8">
            <w:pPr>
              <w:pStyle w:val="7"/>
              <w:spacing w:before="293" w:line="237" w:lineRule="auto"/>
              <w:ind w:left="630"/>
            </w:pPr>
            <w:r>
              <w:rPr>
                <w:spacing w:val="-10"/>
              </w:rPr>
              <w:t>520m2</w:t>
            </w:r>
          </w:p>
        </w:tc>
        <w:tc>
          <w:tcPr>
            <w:tcW w:w="2828" w:type="dxa"/>
            <w:vMerge w:val="continue"/>
            <w:tcBorders>
              <w:top w:val="nil"/>
            </w:tcBorders>
            <w:vAlign w:val="top"/>
          </w:tcPr>
          <w:p w14:paraId="218EE30D">
            <w:pPr>
              <w:rPr>
                <w:rFonts w:ascii="Arial"/>
                <w:sz w:val="21"/>
              </w:rPr>
            </w:pPr>
          </w:p>
        </w:tc>
        <w:tc>
          <w:tcPr>
            <w:tcW w:w="2008" w:type="dxa"/>
            <w:tcBorders>
              <w:right w:val="single" w:color="000000" w:sz="4" w:space="0"/>
            </w:tcBorders>
            <w:vAlign w:val="top"/>
          </w:tcPr>
          <w:p w14:paraId="4A500844">
            <w:pPr>
              <w:pStyle w:val="7"/>
              <w:spacing w:before="293" w:line="218" w:lineRule="auto"/>
              <w:ind w:left="466"/>
            </w:pPr>
            <w:r>
              <w:rPr>
                <w:spacing w:val="-17"/>
              </w:rPr>
              <w:t>开工至竣工</w:t>
            </w:r>
          </w:p>
        </w:tc>
      </w:tr>
      <w:tr w14:paraId="4E65FF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10" w:hRule="atLeast"/>
        </w:trPr>
        <w:tc>
          <w:tcPr>
            <w:tcW w:w="2210" w:type="dxa"/>
            <w:tcBorders>
              <w:left w:val="single" w:color="1C456A" w:sz="4" w:space="0"/>
              <w:bottom w:val="single" w:color="1C456A" w:sz="4" w:space="0"/>
            </w:tcBorders>
            <w:vAlign w:val="top"/>
          </w:tcPr>
          <w:p w14:paraId="7FB87F7A">
            <w:pPr>
              <w:pStyle w:val="7"/>
              <w:spacing w:before="295" w:line="218" w:lineRule="auto"/>
              <w:ind w:left="809"/>
            </w:pPr>
            <w:r>
              <w:pict>
                <v:shape id="_x0000_s5074" o:spid="_x0000_s5074" style="position:absolute;left:0pt;margin-left:-0.2pt;margin-top:50.5pt;height:0.75pt;width:2.2pt;mso-position-horizontal-relative:page;mso-position-vertical-relative:page;z-index:252461056;mso-width-relative:page;mso-height-relative:page;" fillcolor="#5B9BD5" filled="t" stroked="f" coordsize="44,15" path="m0,14l43,14,43,0,0,0,0,14xe">
                  <v:path/>
                  <v:fill on="t" focussize="0,0"/>
                  <v:stroke on="f"/>
                  <v:imagedata o:title=""/>
                  <o:lock v:ext="edit"/>
                </v:shape>
              </w:pict>
            </w:r>
            <w:r>
              <w:rPr>
                <w:spacing w:val="-12"/>
              </w:rPr>
              <w:t>合计</w:t>
            </w:r>
          </w:p>
        </w:tc>
        <w:tc>
          <w:tcPr>
            <w:tcW w:w="6630" w:type="dxa"/>
            <w:gridSpan w:val="3"/>
            <w:tcBorders>
              <w:bottom w:val="single" w:color="5B9BD5" w:sz="4" w:space="0"/>
              <w:right w:val="single" w:color="5B9BD5" w:sz="4" w:space="0"/>
            </w:tcBorders>
            <w:vAlign w:val="top"/>
          </w:tcPr>
          <w:p w14:paraId="2540B812">
            <w:pPr>
              <w:pStyle w:val="7"/>
              <w:spacing w:before="295" w:line="237" w:lineRule="auto"/>
              <w:ind w:left="2985"/>
            </w:pPr>
            <w:r>
              <w:pict>
                <v:shape id="_x0000_s5076" o:spid="_x0000_s5076" style="position:absolute;left:0pt;margin-left:329.65pt;margin-top:50.5pt;height:0.75pt;width:2.2pt;mso-position-horizontal-relative:page;mso-position-vertical-relative:page;z-index:252460032;mso-width-relative:page;mso-height-relative:page;" fillcolor="#5B9BD5" filled="t" stroked="f" coordsize="44,15" path="m0,14l43,14,43,0,0,0,0,14xe">
                  <v:path/>
                  <v:fill on="t" focussize="0,0"/>
                  <v:stroke on="f"/>
                  <v:imagedata o:title=""/>
                  <o:lock v:ext="edit"/>
                </v:shape>
              </w:pict>
            </w:r>
            <w:r>
              <w:rPr>
                <w:spacing w:val="-10"/>
              </w:rPr>
              <w:t>3372m2</w:t>
            </w:r>
          </w:p>
        </w:tc>
      </w:tr>
    </w:tbl>
    <w:p w14:paraId="0CC0A261">
      <w:pPr>
        <w:rPr>
          <w:rFonts w:ascii="Arial"/>
          <w:sz w:val="21"/>
        </w:rPr>
      </w:pPr>
    </w:p>
    <w:sectPr>
      <w:headerReference r:id="rId445" w:type="default"/>
      <w:footerReference r:id="rId446" w:type="default"/>
      <w:pgSz w:w="11907" w:h="16839"/>
      <w:pgMar w:top="933" w:right="4" w:bottom="1038" w:left="0" w:header="478" w:footer="357" w:gutter="0"/>
      <w:pgBorders>
        <w:top w:val="none" w:sz="0" w:space="0"/>
        <w:left w:val="none" w:sz="0" w:space="0"/>
        <w:bottom w:val="none" w:sz="0" w:space="0"/>
        <w:right w:val="none" w:sz="0" w:space="0"/>
      </w:pgBorders>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1"/>
    <w:family w:val="roma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auto"/>
    <w:pitch w:val="default"/>
    <w:sig w:usb0="800002BF" w:usb1="38CF7CFA" w:usb2="00000016" w:usb3="00000000" w:csb0="00040001" w:csb1="00000000"/>
  </w:font>
  <w:font w:name="Cambria Math">
    <w:panose1 w:val="02040503050406030204"/>
    <w:charset w:val="00"/>
    <w:family w:val="auto"/>
    <w:pitch w:val="default"/>
    <w:sig w:usb0="E00006FF" w:usb1="420024FF" w:usb2="02000000" w:usb3="00000000" w:csb0="2000019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B5A20C">
    <w:pPr>
      <w:spacing w:line="444" w:lineRule="exact"/>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2D741A">
    <w:pPr>
      <w:spacing w:after="12" w:line="455" w:lineRule="exact"/>
    </w:pPr>
  </w:p>
  <w:p w14:paraId="5A2051E4">
    <w:pPr>
      <w:pStyle w:val="2"/>
      <w:spacing w:line="207" w:lineRule="auto"/>
      <w:ind w:left="5466"/>
      <w:rPr>
        <w:sz w:val="18"/>
        <w:szCs w:val="18"/>
      </w:rPr>
    </w:pPr>
    <w:r>
      <w:rPr>
        <w:b/>
        <w:bCs/>
        <w:spacing w:val="-14"/>
        <w:sz w:val="18"/>
        <w:szCs w:val="18"/>
      </w:rPr>
      <w:t>第</w:t>
    </w:r>
    <w:r>
      <w:rPr>
        <w:spacing w:val="-18"/>
        <w:sz w:val="18"/>
        <w:szCs w:val="18"/>
      </w:rPr>
      <w:t xml:space="preserve"> </w:t>
    </w:r>
    <w:r>
      <w:rPr>
        <w:b/>
        <w:bCs/>
        <w:spacing w:val="-14"/>
        <w:sz w:val="18"/>
        <w:szCs w:val="18"/>
      </w:rPr>
      <w:t>10</w:t>
    </w:r>
    <w:r>
      <w:rPr>
        <w:spacing w:val="-14"/>
        <w:sz w:val="18"/>
        <w:szCs w:val="18"/>
      </w:rPr>
      <w:t xml:space="preserve"> </w:t>
    </w:r>
    <w:r>
      <w:rPr>
        <w:b/>
        <w:bCs/>
        <w:spacing w:val="-14"/>
        <w:sz w:val="18"/>
        <w:szCs w:val="18"/>
      </w:rPr>
      <w:t>页</w:t>
    </w:r>
    <w:r>
      <w:rPr>
        <w:spacing w:val="-27"/>
        <w:sz w:val="18"/>
        <w:szCs w:val="18"/>
      </w:rPr>
      <w:t xml:space="preserve"> </w:t>
    </w:r>
    <w:r>
      <w:rPr>
        <w:b/>
        <w:bCs/>
        <w:spacing w:val="-14"/>
        <w:sz w:val="18"/>
        <w:szCs w:val="18"/>
      </w:rPr>
      <w:t>共</w:t>
    </w:r>
    <w:r>
      <w:rPr>
        <w:spacing w:val="-38"/>
        <w:sz w:val="18"/>
        <w:szCs w:val="18"/>
      </w:rPr>
      <w:t xml:space="preserve"> </w:t>
    </w:r>
    <w:r>
      <w:rPr>
        <w:b/>
        <w:bCs/>
        <w:spacing w:val="-14"/>
        <w:sz w:val="18"/>
        <w:szCs w:val="18"/>
      </w:rPr>
      <w:t>499</w:t>
    </w:r>
    <w:r>
      <w:rPr>
        <w:spacing w:val="-14"/>
        <w:sz w:val="18"/>
        <w:szCs w:val="18"/>
      </w:rPr>
      <w:t xml:space="preserve"> </w:t>
    </w:r>
    <w:r>
      <w:rPr>
        <w:b/>
        <w:bCs/>
        <w:spacing w:val="-14"/>
        <w:sz w:val="18"/>
        <w:szCs w:val="18"/>
      </w:rPr>
      <w:t>页</w:t>
    </w:r>
  </w:p>
</w:ftr>
</file>

<file path=word/footer1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C0C538">
    <w:pPr>
      <w:spacing w:after="13" w:line="454" w:lineRule="exact"/>
    </w:pPr>
  </w:p>
  <w:p w14:paraId="09CF328A">
    <w:pPr>
      <w:pStyle w:val="2"/>
      <w:spacing w:line="207" w:lineRule="auto"/>
      <w:ind w:left="5067"/>
      <w:rPr>
        <w:sz w:val="18"/>
        <w:szCs w:val="18"/>
      </w:rPr>
    </w:pPr>
    <w:r>
      <w:rPr>
        <w:b/>
        <w:bCs/>
        <w:spacing w:val="-14"/>
        <w:sz w:val="18"/>
        <w:szCs w:val="18"/>
      </w:rPr>
      <w:t>第</w:t>
    </w:r>
    <w:r>
      <w:rPr>
        <w:spacing w:val="-16"/>
        <w:sz w:val="18"/>
        <w:szCs w:val="18"/>
      </w:rPr>
      <w:t xml:space="preserve"> </w:t>
    </w:r>
    <w:r>
      <w:rPr>
        <w:b/>
        <w:bCs/>
        <w:spacing w:val="-14"/>
        <w:sz w:val="18"/>
        <w:szCs w:val="18"/>
      </w:rPr>
      <w:t>151</w:t>
    </w:r>
    <w:r>
      <w:rPr>
        <w:spacing w:val="-14"/>
        <w:sz w:val="18"/>
        <w:szCs w:val="18"/>
      </w:rPr>
      <w:t xml:space="preserve"> </w:t>
    </w:r>
    <w:r>
      <w:rPr>
        <w:b/>
        <w:bCs/>
        <w:spacing w:val="-14"/>
        <w:sz w:val="18"/>
        <w:szCs w:val="18"/>
      </w:rPr>
      <w:t>页</w:t>
    </w:r>
    <w:r>
      <w:rPr>
        <w:spacing w:val="-27"/>
        <w:sz w:val="18"/>
        <w:szCs w:val="18"/>
      </w:rPr>
      <w:t xml:space="preserve"> </w:t>
    </w:r>
    <w:r>
      <w:rPr>
        <w:b/>
        <w:bCs/>
        <w:spacing w:val="-14"/>
        <w:sz w:val="18"/>
        <w:szCs w:val="18"/>
      </w:rPr>
      <w:t>共</w:t>
    </w:r>
    <w:r>
      <w:rPr>
        <w:spacing w:val="-39"/>
        <w:sz w:val="18"/>
        <w:szCs w:val="18"/>
      </w:rPr>
      <w:t xml:space="preserve"> </w:t>
    </w:r>
    <w:r>
      <w:rPr>
        <w:b/>
        <w:bCs/>
        <w:spacing w:val="-14"/>
        <w:sz w:val="18"/>
        <w:szCs w:val="18"/>
      </w:rPr>
      <w:t>499</w:t>
    </w:r>
    <w:r>
      <w:rPr>
        <w:spacing w:val="-14"/>
        <w:sz w:val="18"/>
        <w:szCs w:val="18"/>
      </w:rPr>
      <w:t xml:space="preserve"> </w:t>
    </w:r>
    <w:r>
      <w:rPr>
        <w:b/>
        <w:bCs/>
        <w:spacing w:val="-14"/>
        <w:sz w:val="18"/>
        <w:szCs w:val="18"/>
      </w:rPr>
      <w:t>页</w:t>
    </w:r>
  </w:p>
</w:ftr>
</file>

<file path=word/footer1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0EF6DB">
    <w:pPr>
      <w:spacing w:after="13" w:line="454" w:lineRule="exact"/>
    </w:pPr>
  </w:p>
  <w:p w14:paraId="0D48DC59">
    <w:pPr>
      <w:pStyle w:val="2"/>
      <w:spacing w:line="207" w:lineRule="auto"/>
      <w:ind w:left="5067"/>
      <w:rPr>
        <w:sz w:val="18"/>
        <w:szCs w:val="18"/>
      </w:rPr>
    </w:pPr>
    <w:r>
      <w:rPr>
        <w:b/>
        <w:bCs/>
        <w:spacing w:val="-14"/>
        <w:sz w:val="18"/>
        <w:szCs w:val="18"/>
      </w:rPr>
      <w:t>第</w:t>
    </w:r>
    <w:r>
      <w:rPr>
        <w:spacing w:val="-16"/>
        <w:sz w:val="18"/>
        <w:szCs w:val="18"/>
      </w:rPr>
      <w:t xml:space="preserve"> </w:t>
    </w:r>
    <w:r>
      <w:rPr>
        <w:b/>
        <w:bCs/>
        <w:spacing w:val="-14"/>
        <w:sz w:val="18"/>
        <w:szCs w:val="18"/>
      </w:rPr>
      <w:t>152</w:t>
    </w:r>
    <w:r>
      <w:rPr>
        <w:spacing w:val="-14"/>
        <w:sz w:val="18"/>
        <w:szCs w:val="18"/>
      </w:rPr>
      <w:t xml:space="preserve"> </w:t>
    </w:r>
    <w:r>
      <w:rPr>
        <w:b/>
        <w:bCs/>
        <w:spacing w:val="-14"/>
        <w:sz w:val="18"/>
        <w:szCs w:val="18"/>
      </w:rPr>
      <w:t>页</w:t>
    </w:r>
    <w:r>
      <w:rPr>
        <w:spacing w:val="-27"/>
        <w:sz w:val="18"/>
        <w:szCs w:val="18"/>
      </w:rPr>
      <w:t xml:space="preserve"> </w:t>
    </w:r>
    <w:r>
      <w:rPr>
        <w:b/>
        <w:bCs/>
        <w:spacing w:val="-14"/>
        <w:sz w:val="18"/>
        <w:szCs w:val="18"/>
      </w:rPr>
      <w:t>共</w:t>
    </w:r>
    <w:r>
      <w:rPr>
        <w:spacing w:val="-39"/>
        <w:sz w:val="18"/>
        <w:szCs w:val="18"/>
      </w:rPr>
      <w:t xml:space="preserve"> </w:t>
    </w:r>
    <w:r>
      <w:rPr>
        <w:b/>
        <w:bCs/>
        <w:spacing w:val="-14"/>
        <w:sz w:val="18"/>
        <w:szCs w:val="18"/>
      </w:rPr>
      <w:t>499</w:t>
    </w:r>
    <w:r>
      <w:rPr>
        <w:spacing w:val="-14"/>
        <w:sz w:val="18"/>
        <w:szCs w:val="18"/>
      </w:rPr>
      <w:t xml:space="preserve"> </w:t>
    </w:r>
    <w:r>
      <w:rPr>
        <w:b/>
        <w:bCs/>
        <w:spacing w:val="-14"/>
        <w:sz w:val="18"/>
        <w:szCs w:val="18"/>
      </w:rPr>
      <w:t>页</w:t>
    </w:r>
  </w:p>
</w:ftr>
</file>

<file path=word/footer1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4C1A54">
    <w:pPr>
      <w:spacing w:after="13" w:line="454" w:lineRule="exact"/>
    </w:pPr>
  </w:p>
  <w:p w14:paraId="733A1246">
    <w:pPr>
      <w:pStyle w:val="2"/>
      <w:spacing w:line="207" w:lineRule="auto"/>
      <w:ind w:left="5067"/>
      <w:rPr>
        <w:sz w:val="18"/>
        <w:szCs w:val="18"/>
      </w:rPr>
    </w:pPr>
    <w:r>
      <w:rPr>
        <w:b/>
        <w:bCs/>
        <w:spacing w:val="-14"/>
        <w:sz w:val="18"/>
        <w:szCs w:val="18"/>
      </w:rPr>
      <w:t>第</w:t>
    </w:r>
    <w:r>
      <w:rPr>
        <w:spacing w:val="-16"/>
        <w:sz w:val="18"/>
        <w:szCs w:val="18"/>
      </w:rPr>
      <w:t xml:space="preserve"> </w:t>
    </w:r>
    <w:r>
      <w:rPr>
        <w:b/>
        <w:bCs/>
        <w:spacing w:val="-14"/>
        <w:sz w:val="18"/>
        <w:szCs w:val="18"/>
      </w:rPr>
      <w:t>153</w:t>
    </w:r>
    <w:r>
      <w:rPr>
        <w:spacing w:val="-14"/>
        <w:sz w:val="18"/>
        <w:szCs w:val="18"/>
      </w:rPr>
      <w:t xml:space="preserve"> </w:t>
    </w:r>
    <w:r>
      <w:rPr>
        <w:b/>
        <w:bCs/>
        <w:spacing w:val="-14"/>
        <w:sz w:val="18"/>
        <w:szCs w:val="18"/>
      </w:rPr>
      <w:t>页</w:t>
    </w:r>
    <w:r>
      <w:rPr>
        <w:spacing w:val="-27"/>
        <w:sz w:val="18"/>
        <w:szCs w:val="18"/>
      </w:rPr>
      <w:t xml:space="preserve"> </w:t>
    </w:r>
    <w:r>
      <w:rPr>
        <w:b/>
        <w:bCs/>
        <w:spacing w:val="-14"/>
        <w:sz w:val="18"/>
        <w:szCs w:val="18"/>
      </w:rPr>
      <w:t>共</w:t>
    </w:r>
    <w:r>
      <w:rPr>
        <w:spacing w:val="-39"/>
        <w:sz w:val="18"/>
        <w:szCs w:val="18"/>
      </w:rPr>
      <w:t xml:space="preserve"> </w:t>
    </w:r>
    <w:r>
      <w:rPr>
        <w:b/>
        <w:bCs/>
        <w:spacing w:val="-14"/>
        <w:sz w:val="18"/>
        <w:szCs w:val="18"/>
      </w:rPr>
      <w:t>499</w:t>
    </w:r>
    <w:r>
      <w:rPr>
        <w:spacing w:val="-14"/>
        <w:sz w:val="18"/>
        <w:szCs w:val="18"/>
      </w:rPr>
      <w:t xml:space="preserve"> </w:t>
    </w:r>
    <w:r>
      <w:rPr>
        <w:b/>
        <w:bCs/>
        <w:spacing w:val="-14"/>
        <w:sz w:val="18"/>
        <w:szCs w:val="18"/>
      </w:rPr>
      <w:t>页</w:t>
    </w:r>
  </w:p>
</w:ftr>
</file>

<file path=word/footer1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B07785">
    <w:pPr>
      <w:spacing w:after="13" w:line="454" w:lineRule="exact"/>
    </w:pPr>
  </w:p>
  <w:p w14:paraId="33D099B6">
    <w:pPr>
      <w:pStyle w:val="2"/>
      <w:spacing w:line="207" w:lineRule="auto"/>
      <w:ind w:left="5067"/>
      <w:rPr>
        <w:sz w:val="18"/>
        <w:szCs w:val="18"/>
      </w:rPr>
    </w:pPr>
    <w:r>
      <w:rPr>
        <w:b/>
        <w:bCs/>
        <w:spacing w:val="-14"/>
        <w:sz w:val="18"/>
        <w:szCs w:val="18"/>
      </w:rPr>
      <w:t>第</w:t>
    </w:r>
    <w:r>
      <w:rPr>
        <w:spacing w:val="-16"/>
        <w:sz w:val="18"/>
        <w:szCs w:val="18"/>
      </w:rPr>
      <w:t xml:space="preserve"> </w:t>
    </w:r>
    <w:r>
      <w:rPr>
        <w:b/>
        <w:bCs/>
        <w:spacing w:val="-14"/>
        <w:sz w:val="18"/>
        <w:szCs w:val="18"/>
      </w:rPr>
      <w:t>154</w:t>
    </w:r>
    <w:r>
      <w:rPr>
        <w:spacing w:val="-14"/>
        <w:sz w:val="18"/>
        <w:szCs w:val="18"/>
      </w:rPr>
      <w:t xml:space="preserve"> </w:t>
    </w:r>
    <w:r>
      <w:rPr>
        <w:b/>
        <w:bCs/>
        <w:spacing w:val="-14"/>
        <w:sz w:val="18"/>
        <w:szCs w:val="18"/>
      </w:rPr>
      <w:t>页</w:t>
    </w:r>
    <w:r>
      <w:rPr>
        <w:spacing w:val="-27"/>
        <w:sz w:val="18"/>
        <w:szCs w:val="18"/>
      </w:rPr>
      <w:t xml:space="preserve"> </w:t>
    </w:r>
    <w:r>
      <w:rPr>
        <w:b/>
        <w:bCs/>
        <w:spacing w:val="-14"/>
        <w:sz w:val="18"/>
        <w:szCs w:val="18"/>
      </w:rPr>
      <w:t>共</w:t>
    </w:r>
    <w:r>
      <w:rPr>
        <w:spacing w:val="-39"/>
        <w:sz w:val="18"/>
        <w:szCs w:val="18"/>
      </w:rPr>
      <w:t xml:space="preserve"> </w:t>
    </w:r>
    <w:r>
      <w:rPr>
        <w:b/>
        <w:bCs/>
        <w:spacing w:val="-14"/>
        <w:sz w:val="18"/>
        <w:szCs w:val="18"/>
      </w:rPr>
      <w:t>499</w:t>
    </w:r>
    <w:r>
      <w:rPr>
        <w:spacing w:val="-14"/>
        <w:sz w:val="18"/>
        <w:szCs w:val="18"/>
      </w:rPr>
      <w:t xml:space="preserve"> </w:t>
    </w:r>
    <w:r>
      <w:rPr>
        <w:b/>
        <w:bCs/>
        <w:spacing w:val="-14"/>
        <w:sz w:val="18"/>
        <w:szCs w:val="18"/>
      </w:rPr>
      <w:t>页</w:t>
    </w:r>
  </w:p>
</w:ftr>
</file>

<file path=word/footer1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7DF9D0">
    <w:pPr>
      <w:spacing w:after="13" w:line="454" w:lineRule="exact"/>
    </w:pPr>
  </w:p>
  <w:p w14:paraId="10DF9EC8">
    <w:pPr>
      <w:pStyle w:val="2"/>
      <w:spacing w:line="207" w:lineRule="auto"/>
      <w:ind w:left="5067"/>
      <w:rPr>
        <w:sz w:val="18"/>
        <w:szCs w:val="18"/>
      </w:rPr>
    </w:pPr>
    <w:r>
      <w:rPr>
        <w:b/>
        <w:bCs/>
        <w:spacing w:val="-14"/>
        <w:sz w:val="18"/>
        <w:szCs w:val="18"/>
      </w:rPr>
      <w:t>第</w:t>
    </w:r>
    <w:r>
      <w:rPr>
        <w:spacing w:val="-16"/>
        <w:sz w:val="18"/>
        <w:szCs w:val="18"/>
      </w:rPr>
      <w:t xml:space="preserve"> </w:t>
    </w:r>
    <w:r>
      <w:rPr>
        <w:b/>
        <w:bCs/>
        <w:spacing w:val="-14"/>
        <w:sz w:val="18"/>
        <w:szCs w:val="18"/>
      </w:rPr>
      <w:t>155</w:t>
    </w:r>
    <w:r>
      <w:rPr>
        <w:spacing w:val="-14"/>
        <w:sz w:val="18"/>
        <w:szCs w:val="18"/>
      </w:rPr>
      <w:t xml:space="preserve"> </w:t>
    </w:r>
    <w:r>
      <w:rPr>
        <w:b/>
        <w:bCs/>
        <w:spacing w:val="-14"/>
        <w:sz w:val="18"/>
        <w:szCs w:val="18"/>
      </w:rPr>
      <w:t>页</w:t>
    </w:r>
    <w:r>
      <w:rPr>
        <w:spacing w:val="-27"/>
        <w:sz w:val="18"/>
        <w:szCs w:val="18"/>
      </w:rPr>
      <w:t xml:space="preserve"> </w:t>
    </w:r>
    <w:r>
      <w:rPr>
        <w:b/>
        <w:bCs/>
        <w:spacing w:val="-14"/>
        <w:sz w:val="18"/>
        <w:szCs w:val="18"/>
      </w:rPr>
      <w:t>共</w:t>
    </w:r>
    <w:r>
      <w:rPr>
        <w:spacing w:val="-39"/>
        <w:sz w:val="18"/>
        <w:szCs w:val="18"/>
      </w:rPr>
      <w:t xml:space="preserve"> </w:t>
    </w:r>
    <w:r>
      <w:rPr>
        <w:b/>
        <w:bCs/>
        <w:spacing w:val="-14"/>
        <w:sz w:val="18"/>
        <w:szCs w:val="18"/>
      </w:rPr>
      <w:t>499</w:t>
    </w:r>
    <w:r>
      <w:rPr>
        <w:spacing w:val="-14"/>
        <w:sz w:val="18"/>
        <w:szCs w:val="18"/>
      </w:rPr>
      <w:t xml:space="preserve"> </w:t>
    </w:r>
    <w:r>
      <w:rPr>
        <w:b/>
        <w:bCs/>
        <w:spacing w:val="-14"/>
        <w:sz w:val="18"/>
        <w:szCs w:val="18"/>
      </w:rPr>
      <w:t>页</w:t>
    </w:r>
  </w:p>
</w:ftr>
</file>

<file path=word/footer1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A49648">
    <w:pPr>
      <w:spacing w:after="13" w:line="454" w:lineRule="exact"/>
    </w:pPr>
  </w:p>
  <w:p w14:paraId="7EB61AE3">
    <w:pPr>
      <w:pStyle w:val="2"/>
      <w:spacing w:line="207" w:lineRule="auto"/>
      <w:ind w:left="5067"/>
      <w:rPr>
        <w:sz w:val="18"/>
        <w:szCs w:val="18"/>
      </w:rPr>
    </w:pPr>
    <w:r>
      <w:rPr>
        <w:b/>
        <w:bCs/>
        <w:spacing w:val="-14"/>
        <w:sz w:val="18"/>
        <w:szCs w:val="18"/>
      </w:rPr>
      <w:t>第</w:t>
    </w:r>
    <w:r>
      <w:rPr>
        <w:spacing w:val="-16"/>
        <w:sz w:val="18"/>
        <w:szCs w:val="18"/>
      </w:rPr>
      <w:t xml:space="preserve"> </w:t>
    </w:r>
    <w:r>
      <w:rPr>
        <w:b/>
        <w:bCs/>
        <w:spacing w:val="-14"/>
        <w:sz w:val="18"/>
        <w:szCs w:val="18"/>
      </w:rPr>
      <w:t>156</w:t>
    </w:r>
    <w:r>
      <w:rPr>
        <w:spacing w:val="-14"/>
        <w:sz w:val="18"/>
        <w:szCs w:val="18"/>
      </w:rPr>
      <w:t xml:space="preserve"> </w:t>
    </w:r>
    <w:r>
      <w:rPr>
        <w:b/>
        <w:bCs/>
        <w:spacing w:val="-14"/>
        <w:sz w:val="18"/>
        <w:szCs w:val="18"/>
      </w:rPr>
      <w:t>页</w:t>
    </w:r>
    <w:r>
      <w:rPr>
        <w:spacing w:val="-27"/>
        <w:sz w:val="18"/>
        <w:szCs w:val="18"/>
      </w:rPr>
      <w:t xml:space="preserve"> </w:t>
    </w:r>
    <w:r>
      <w:rPr>
        <w:b/>
        <w:bCs/>
        <w:spacing w:val="-14"/>
        <w:sz w:val="18"/>
        <w:szCs w:val="18"/>
      </w:rPr>
      <w:t>共</w:t>
    </w:r>
    <w:r>
      <w:rPr>
        <w:spacing w:val="-39"/>
        <w:sz w:val="18"/>
        <w:szCs w:val="18"/>
      </w:rPr>
      <w:t xml:space="preserve"> </w:t>
    </w:r>
    <w:r>
      <w:rPr>
        <w:b/>
        <w:bCs/>
        <w:spacing w:val="-14"/>
        <w:sz w:val="18"/>
        <w:szCs w:val="18"/>
      </w:rPr>
      <w:t>499</w:t>
    </w:r>
    <w:r>
      <w:rPr>
        <w:spacing w:val="-14"/>
        <w:sz w:val="18"/>
        <w:szCs w:val="18"/>
      </w:rPr>
      <w:t xml:space="preserve"> </w:t>
    </w:r>
    <w:r>
      <w:rPr>
        <w:b/>
        <w:bCs/>
        <w:spacing w:val="-14"/>
        <w:sz w:val="18"/>
        <w:szCs w:val="18"/>
      </w:rPr>
      <w:t>页</w:t>
    </w:r>
  </w:p>
</w:ftr>
</file>

<file path=word/footer1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258A5D">
    <w:pPr>
      <w:spacing w:after="13" w:line="454" w:lineRule="exact"/>
    </w:pPr>
  </w:p>
  <w:p w14:paraId="7E744EDE">
    <w:pPr>
      <w:pStyle w:val="2"/>
      <w:spacing w:line="207" w:lineRule="auto"/>
      <w:ind w:left="5067"/>
      <w:rPr>
        <w:sz w:val="18"/>
        <w:szCs w:val="18"/>
      </w:rPr>
    </w:pPr>
    <w:r>
      <w:rPr>
        <w:b/>
        <w:bCs/>
        <w:spacing w:val="-14"/>
        <w:sz w:val="18"/>
        <w:szCs w:val="18"/>
      </w:rPr>
      <w:t>第</w:t>
    </w:r>
    <w:r>
      <w:rPr>
        <w:spacing w:val="-16"/>
        <w:sz w:val="18"/>
        <w:szCs w:val="18"/>
      </w:rPr>
      <w:t xml:space="preserve"> </w:t>
    </w:r>
    <w:r>
      <w:rPr>
        <w:b/>
        <w:bCs/>
        <w:spacing w:val="-14"/>
        <w:sz w:val="18"/>
        <w:szCs w:val="18"/>
      </w:rPr>
      <w:t>157</w:t>
    </w:r>
    <w:r>
      <w:rPr>
        <w:spacing w:val="-14"/>
        <w:sz w:val="18"/>
        <w:szCs w:val="18"/>
      </w:rPr>
      <w:t xml:space="preserve"> </w:t>
    </w:r>
    <w:r>
      <w:rPr>
        <w:b/>
        <w:bCs/>
        <w:spacing w:val="-14"/>
        <w:sz w:val="18"/>
        <w:szCs w:val="18"/>
      </w:rPr>
      <w:t>页</w:t>
    </w:r>
    <w:r>
      <w:rPr>
        <w:spacing w:val="-27"/>
        <w:sz w:val="18"/>
        <w:szCs w:val="18"/>
      </w:rPr>
      <w:t xml:space="preserve"> </w:t>
    </w:r>
    <w:r>
      <w:rPr>
        <w:b/>
        <w:bCs/>
        <w:spacing w:val="-14"/>
        <w:sz w:val="18"/>
        <w:szCs w:val="18"/>
      </w:rPr>
      <w:t>共</w:t>
    </w:r>
    <w:r>
      <w:rPr>
        <w:spacing w:val="-39"/>
        <w:sz w:val="18"/>
        <w:szCs w:val="18"/>
      </w:rPr>
      <w:t xml:space="preserve"> </w:t>
    </w:r>
    <w:r>
      <w:rPr>
        <w:b/>
        <w:bCs/>
        <w:spacing w:val="-14"/>
        <w:sz w:val="18"/>
        <w:szCs w:val="18"/>
      </w:rPr>
      <w:t>499</w:t>
    </w:r>
    <w:r>
      <w:rPr>
        <w:spacing w:val="-14"/>
        <w:sz w:val="18"/>
        <w:szCs w:val="18"/>
      </w:rPr>
      <w:t xml:space="preserve"> </w:t>
    </w:r>
    <w:r>
      <w:rPr>
        <w:b/>
        <w:bCs/>
        <w:spacing w:val="-14"/>
        <w:sz w:val="18"/>
        <w:szCs w:val="18"/>
      </w:rPr>
      <w:t>页</w:t>
    </w:r>
  </w:p>
</w:ftr>
</file>

<file path=word/footer1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7C3B5E">
    <w:pPr>
      <w:spacing w:after="13" w:line="454" w:lineRule="exact"/>
    </w:pPr>
  </w:p>
  <w:p w14:paraId="38A47560">
    <w:pPr>
      <w:pStyle w:val="2"/>
      <w:spacing w:line="207" w:lineRule="auto"/>
      <w:ind w:left="5067"/>
      <w:rPr>
        <w:sz w:val="18"/>
        <w:szCs w:val="18"/>
      </w:rPr>
    </w:pPr>
    <w:r>
      <w:rPr>
        <w:b/>
        <w:bCs/>
        <w:spacing w:val="-14"/>
        <w:sz w:val="18"/>
        <w:szCs w:val="18"/>
      </w:rPr>
      <w:t>第</w:t>
    </w:r>
    <w:r>
      <w:rPr>
        <w:spacing w:val="-16"/>
        <w:sz w:val="18"/>
        <w:szCs w:val="18"/>
      </w:rPr>
      <w:t xml:space="preserve"> </w:t>
    </w:r>
    <w:r>
      <w:rPr>
        <w:b/>
        <w:bCs/>
        <w:spacing w:val="-14"/>
        <w:sz w:val="18"/>
        <w:szCs w:val="18"/>
      </w:rPr>
      <w:t>158</w:t>
    </w:r>
    <w:r>
      <w:rPr>
        <w:spacing w:val="-14"/>
        <w:sz w:val="18"/>
        <w:szCs w:val="18"/>
      </w:rPr>
      <w:t xml:space="preserve"> </w:t>
    </w:r>
    <w:r>
      <w:rPr>
        <w:b/>
        <w:bCs/>
        <w:spacing w:val="-14"/>
        <w:sz w:val="18"/>
        <w:szCs w:val="18"/>
      </w:rPr>
      <w:t>页</w:t>
    </w:r>
    <w:r>
      <w:rPr>
        <w:spacing w:val="-27"/>
        <w:sz w:val="18"/>
        <w:szCs w:val="18"/>
      </w:rPr>
      <w:t xml:space="preserve"> </w:t>
    </w:r>
    <w:r>
      <w:rPr>
        <w:b/>
        <w:bCs/>
        <w:spacing w:val="-14"/>
        <w:sz w:val="18"/>
        <w:szCs w:val="18"/>
      </w:rPr>
      <w:t>共</w:t>
    </w:r>
    <w:r>
      <w:rPr>
        <w:spacing w:val="-39"/>
        <w:sz w:val="18"/>
        <w:szCs w:val="18"/>
      </w:rPr>
      <w:t xml:space="preserve"> </w:t>
    </w:r>
    <w:r>
      <w:rPr>
        <w:b/>
        <w:bCs/>
        <w:spacing w:val="-14"/>
        <w:sz w:val="18"/>
        <w:szCs w:val="18"/>
      </w:rPr>
      <w:t>499</w:t>
    </w:r>
    <w:r>
      <w:rPr>
        <w:spacing w:val="-14"/>
        <w:sz w:val="18"/>
        <w:szCs w:val="18"/>
      </w:rPr>
      <w:t xml:space="preserve"> </w:t>
    </w:r>
    <w:r>
      <w:rPr>
        <w:b/>
        <w:bCs/>
        <w:spacing w:val="-14"/>
        <w:sz w:val="18"/>
        <w:szCs w:val="18"/>
      </w:rPr>
      <w:t>页</w:t>
    </w:r>
  </w:p>
</w:ftr>
</file>

<file path=word/footer1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F0509F">
    <w:pPr>
      <w:spacing w:after="13" w:line="454" w:lineRule="exact"/>
    </w:pPr>
  </w:p>
  <w:p w14:paraId="71DCFDC7">
    <w:pPr>
      <w:pStyle w:val="2"/>
      <w:spacing w:line="207" w:lineRule="auto"/>
      <w:ind w:left="5067"/>
      <w:rPr>
        <w:sz w:val="18"/>
        <w:szCs w:val="18"/>
      </w:rPr>
    </w:pPr>
    <w:r>
      <w:rPr>
        <w:b/>
        <w:bCs/>
        <w:spacing w:val="-14"/>
        <w:sz w:val="18"/>
        <w:szCs w:val="18"/>
      </w:rPr>
      <w:t>第</w:t>
    </w:r>
    <w:r>
      <w:rPr>
        <w:spacing w:val="-16"/>
        <w:sz w:val="18"/>
        <w:szCs w:val="18"/>
      </w:rPr>
      <w:t xml:space="preserve"> </w:t>
    </w:r>
    <w:r>
      <w:rPr>
        <w:b/>
        <w:bCs/>
        <w:spacing w:val="-14"/>
        <w:sz w:val="18"/>
        <w:szCs w:val="18"/>
      </w:rPr>
      <w:t>159</w:t>
    </w:r>
    <w:r>
      <w:rPr>
        <w:spacing w:val="-14"/>
        <w:sz w:val="18"/>
        <w:szCs w:val="18"/>
      </w:rPr>
      <w:t xml:space="preserve"> </w:t>
    </w:r>
    <w:r>
      <w:rPr>
        <w:b/>
        <w:bCs/>
        <w:spacing w:val="-14"/>
        <w:sz w:val="18"/>
        <w:szCs w:val="18"/>
      </w:rPr>
      <w:t>页</w:t>
    </w:r>
    <w:r>
      <w:rPr>
        <w:spacing w:val="-27"/>
        <w:sz w:val="18"/>
        <w:szCs w:val="18"/>
      </w:rPr>
      <w:t xml:space="preserve"> </w:t>
    </w:r>
    <w:r>
      <w:rPr>
        <w:b/>
        <w:bCs/>
        <w:spacing w:val="-14"/>
        <w:sz w:val="18"/>
        <w:szCs w:val="18"/>
      </w:rPr>
      <w:t>共</w:t>
    </w:r>
    <w:r>
      <w:rPr>
        <w:spacing w:val="-39"/>
        <w:sz w:val="18"/>
        <w:szCs w:val="18"/>
      </w:rPr>
      <w:t xml:space="preserve"> </w:t>
    </w:r>
    <w:r>
      <w:rPr>
        <w:b/>
        <w:bCs/>
        <w:spacing w:val="-14"/>
        <w:sz w:val="18"/>
        <w:szCs w:val="18"/>
      </w:rPr>
      <w:t>499</w:t>
    </w:r>
    <w:r>
      <w:rPr>
        <w:spacing w:val="-14"/>
        <w:sz w:val="18"/>
        <w:szCs w:val="18"/>
      </w:rPr>
      <w:t xml:space="preserve"> </w:t>
    </w:r>
    <w:r>
      <w:rPr>
        <w:b/>
        <w:bCs/>
        <w:spacing w:val="-14"/>
        <w:sz w:val="18"/>
        <w:szCs w:val="18"/>
      </w:rPr>
      <w:t>页</w:t>
    </w:r>
  </w:p>
</w:ftr>
</file>

<file path=word/footer1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A5185E">
    <w:pPr>
      <w:spacing w:after="13" w:line="454" w:lineRule="exact"/>
    </w:pPr>
  </w:p>
  <w:p w14:paraId="00CD2D44">
    <w:pPr>
      <w:pStyle w:val="2"/>
      <w:spacing w:line="207" w:lineRule="auto"/>
      <w:ind w:left="5067"/>
      <w:rPr>
        <w:sz w:val="18"/>
        <w:szCs w:val="18"/>
      </w:rPr>
    </w:pPr>
    <w:r>
      <w:rPr>
        <w:b/>
        <w:bCs/>
        <w:spacing w:val="-14"/>
        <w:sz w:val="18"/>
        <w:szCs w:val="18"/>
      </w:rPr>
      <w:t>第</w:t>
    </w:r>
    <w:r>
      <w:rPr>
        <w:spacing w:val="-16"/>
        <w:sz w:val="18"/>
        <w:szCs w:val="18"/>
      </w:rPr>
      <w:t xml:space="preserve"> </w:t>
    </w:r>
    <w:r>
      <w:rPr>
        <w:b/>
        <w:bCs/>
        <w:spacing w:val="-14"/>
        <w:sz w:val="18"/>
        <w:szCs w:val="18"/>
      </w:rPr>
      <w:t>160</w:t>
    </w:r>
    <w:r>
      <w:rPr>
        <w:spacing w:val="-14"/>
        <w:sz w:val="18"/>
        <w:szCs w:val="18"/>
      </w:rPr>
      <w:t xml:space="preserve"> </w:t>
    </w:r>
    <w:r>
      <w:rPr>
        <w:b/>
        <w:bCs/>
        <w:spacing w:val="-14"/>
        <w:sz w:val="18"/>
        <w:szCs w:val="18"/>
      </w:rPr>
      <w:t>页</w:t>
    </w:r>
    <w:r>
      <w:rPr>
        <w:spacing w:val="-27"/>
        <w:sz w:val="18"/>
        <w:szCs w:val="18"/>
      </w:rPr>
      <w:t xml:space="preserve"> </w:t>
    </w:r>
    <w:r>
      <w:rPr>
        <w:b/>
        <w:bCs/>
        <w:spacing w:val="-14"/>
        <w:sz w:val="18"/>
        <w:szCs w:val="18"/>
      </w:rPr>
      <w:t>共</w:t>
    </w:r>
    <w:r>
      <w:rPr>
        <w:spacing w:val="-39"/>
        <w:sz w:val="18"/>
        <w:szCs w:val="18"/>
      </w:rPr>
      <w:t xml:space="preserve"> </w:t>
    </w:r>
    <w:r>
      <w:rPr>
        <w:b/>
        <w:bCs/>
        <w:spacing w:val="-14"/>
        <w:sz w:val="18"/>
        <w:szCs w:val="18"/>
      </w:rPr>
      <w:t>499</w:t>
    </w:r>
    <w:r>
      <w:rPr>
        <w:spacing w:val="-14"/>
        <w:sz w:val="18"/>
        <w:szCs w:val="18"/>
      </w:rPr>
      <w:t xml:space="preserve"> </w:t>
    </w:r>
    <w:r>
      <w:rPr>
        <w:b/>
        <w:bCs/>
        <w:spacing w:val="-14"/>
        <w:sz w:val="18"/>
        <w:szCs w:val="18"/>
      </w:rPr>
      <w:t>页</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82939D">
    <w:pPr>
      <w:spacing w:after="12" w:line="455" w:lineRule="exact"/>
    </w:pPr>
  </w:p>
  <w:p w14:paraId="76B01EB6">
    <w:pPr>
      <w:pStyle w:val="2"/>
      <w:spacing w:line="207" w:lineRule="auto"/>
      <w:ind w:left="5466"/>
      <w:rPr>
        <w:sz w:val="18"/>
        <w:szCs w:val="18"/>
      </w:rPr>
    </w:pPr>
    <w:r>
      <w:rPr>
        <w:b/>
        <w:bCs/>
        <w:spacing w:val="-14"/>
        <w:sz w:val="18"/>
        <w:szCs w:val="18"/>
      </w:rPr>
      <w:t>第</w:t>
    </w:r>
    <w:r>
      <w:rPr>
        <w:spacing w:val="-18"/>
        <w:sz w:val="18"/>
        <w:szCs w:val="18"/>
      </w:rPr>
      <w:t xml:space="preserve"> </w:t>
    </w:r>
    <w:r>
      <w:rPr>
        <w:b/>
        <w:bCs/>
        <w:spacing w:val="-14"/>
        <w:sz w:val="18"/>
        <w:szCs w:val="18"/>
      </w:rPr>
      <w:t>11</w:t>
    </w:r>
    <w:r>
      <w:rPr>
        <w:spacing w:val="-14"/>
        <w:sz w:val="18"/>
        <w:szCs w:val="18"/>
      </w:rPr>
      <w:t xml:space="preserve"> </w:t>
    </w:r>
    <w:r>
      <w:rPr>
        <w:b/>
        <w:bCs/>
        <w:spacing w:val="-14"/>
        <w:sz w:val="18"/>
        <w:szCs w:val="18"/>
      </w:rPr>
      <w:t>页</w:t>
    </w:r>
    <w:r>
      <w:rPr>
        <w:spacing w:val="-27"/>
        <w:sz w:val="18"/>
        <w:szCs w:val="18"/>
      </w:rPr>
      <w:t xml:space="preserve"> </w:t>
    </w:r>
    <w:r>
      <w:rPr>
        <w:b/>
        <w:bCs/>
        <w:spacing w:val="-14"/>
        <w:sz w:val="18"/>
        <w:szCs w:val="18"/>
      </w:rPr>
      <w:t>共</w:t>
    </w:r>
    <w:r>
      <w:rPr>
        <w:spacing w:val="-38"/>
        <w:sz w:val="18"/>
        <w:szCs w:val="18"/>
      </w:rPr>
      <w:t xml:space="preserve"> </w:t>
    </w:r>
    <w:r>
      <w:rPr>
        <w:b/>
        <w:bCs/>
        <w:spacing w:val="-14"/>
        <w:sz w:val="18"/>
        <w:szCs w:val="18"/>
      </w:rPr>
      <w:t>499</w:t>
    </w:r>
    <w:r>
      <w:rPr>
        <w:spacing w:val="-14"/>
        <w:sz w:val="18"/>
        <w:szCs w:val="18"/>
      </w:rPr>
      <w:t xml:space="preserve"> </w:t>
    </w:r>
    <w:r>
      <w:rPr>
        <w:b/>
        <w:bCs/>
        <w:spacing w:val="-14"/>
        <w:sz w:val="18"/>
        <w:szCs w:val="18"/>
      </w:rPr>
      <w:t>页</w:t>
    </w:r>
  </w:p>
</w:ftr>
</file>

<file path=word/footer1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ADE6B6">
    <w:pPr>
      <w:spacing w:after="13" w:line="454" w:lineRule="exact"/>
    </w:pPr>
  </w:p>
  <w:p w14:paraId="0541B350">
    <w:pPr>
      <w:pStyle w:val="2"/>
      <w:spacing w:line="207" w:lineRule="auto"/>
      <w:ind w:left="5067"/>
      <w:rPr>
        <w:sz w:val="18"/>
        <w:szCs w:val="18"/>
      </w:rPr>
    </w:pPr>
    <w:r>
      <w:rPr>
        <w:b/>
        <w:bCs/>
        <w:spacing w:val="-14"/>
        <w:sz w:val="18"/>
        <w:szCs w:val="18"/>
      </w:rPr>
      <w:t>第</w:t>
    </w:r>
    <w:r>
      <w:rPr>
        <w:spacing w:val="-16"/>
        <w:sz w:val="18"/>
        <w:szCs w:val="18"/>
      </w:rPr>
      <w:t xml:space="preserve"> </w:t>
    </w:r>
    <w:r>
      <w:rPr>
        <w:b/>
        <w:bCs/>
        <w:spacing w:val="-14"/>
        <w:sz w:val="18"/>
        <w:szCs w:val="18"/>
      </w:rPr>
      <w:t>161</w:t>
    </w:r>
    <w:r>
      <w:rPr>
        <w:spacing w:val="-14"/>
        <w:sz w:val="18"/>
        <w:szCs w:val="18"/>
      </w:rPr>
      <w:t xml:space="preserve"> </w:t>
    </w:r>
    <w:r>
      <w:rPr>
        <w:b/>
        <w:bCs/>
        <w:spacing w:val="-14"/>
        <w:sz w:val="18"/>
        <w:szCs w:val="18"/>
      </w:rPr>
      <w:t>页</w:t>
    </w:r>
    <w:r>
      <w:rPr>
        <w:spacing w:val="-27"/>
        <w:sz w:val="18"/>
        <w:szCs w:val="18"/>
      </w:rPr>
      <w:t xml:space="preserve"> </w:t>
    </w:r>
    <w:r>
      <w:rPr>
        <w:b/>
        <w:bCs/>
        <w:spacing w:val="-14"/>
        <w:sz w:val="18"/>
        <w:szCs w:val="18"/>
      </w:rPr>
      <w:t>共</w:t>
    </w:r>
    <w:r>
      <w:rPr>
        <w:spacing w:val="-39"/>
        <w:sz w:val="18"/>
        <w:szCs w:val="18"/>
      </w:rPr>
      <w:t xml:space="preserve"> </w:t>
    </w:r>
    <w:r>
      <w:rPr>
        <w:b/>
        <w:bCs/>
        <w:spacing w:val="-14"/>
        <w:sz w:val="18"/>
        <w:szCs w:val="18"/>
      </w:rPr>
      <w:t>499</w:t>
    </w:r>
    <w:r>
      <w:rPr>
        <w:spacing w:val="-14"/>
        <w:sz w:val="18"/>
        <w:szCs w:val="18"/>
      </w:rPr>
      <w:t xml:space="preserve"> </w:t>
    </w:r>
    <w:r>
      <w:rPr>
        <w:b/>
        <w:bCs/>
        <w:spacing w:val="-14"/>
        <w:sz w:val="18"/>
        <w:szCs w:val="18"/>
      </w:rPr>
      <w:t>页</w:t>
    </w:r>
  </w:p>
</w:ftr>
</file>

<file path=word/footer1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4C2D4A">
    <w:pPr>
      <w:spacing w:after="13" w:line="454" w:lineRule="exact"/>
    </w:pPr>
  </w:p>
  <w:p w14:paraId="6BE23A30">
    <w:pPr>
      <w:pStyle w:val="2"/>
      <w:spacing w:line="207" w:lineRule="auto"/>
      <w:ind w:left="5067"/>
      <w:rPr>
        <w:sz w:val="18"/>
        <w:szCs w:val="18"/>
      </w:rPr>
    </w:pPr>
    <w:r>
      <w:rPr>
        <w:b/>
        <w:bCs/>
        <w:spacing w:val="-14"/>
        <w:sz w:val="18"/>
        <w:szCs w:val="18"/>
      </w:rPr>
      <w:t>第</w:t>
    </w:r>
    <w:r>
      <w:rPr>
        <w:spacing w:val="-16"/>
        <w:sz w:val="18"/>
        <w:szCs w:val="18"/>
      </w:rPr>
      <w:t xml:space="preserve"> </w:t>
    </w:r>
    <w:r>
      <w:rPr>
        <w:b/>
        <w:bCs/>
        <w:spacing w:val="-14"/>
        <w:sz w:val="18"/>
        <w:szCs w:val="18"/>
      </w:rPr>
      <w:t>162</w:t>
    </w:r>
    <w:r>
      <w:rPr>
        <w:spacing w:val="-14"/>
        <w:sz w:val="18"/>
        <w:szCs w:val="18"/>
      </w:rPr>
      <w:t xml:space="preserve"> </w:t>
    </w:r>
    <w:r>
      <w:rPr>
        <w:b/>
        <w:bCs/>
        <w:spacing w:val="-14"/>
        <w:sz w:val="18"/>
        <w:szCs w:val="18"/>
      </w:rPr>
      <w:t>页</w:t>
    </w:r>
    <w:r>
      <w:rPr>
        <w:spacing w:val="-27"/>
        <w:sz w:val="18"/>
        <w:szCs w:val="18"/>
      </w:rPr>
      <w:t xml:space="preserve"> </w:t>
    </w:r>
    <w:r>
      <w:rPr>
        <w:b/>
        <w:bCs/>
        <w:spacing w:val="-14"/>
        <w:sz w:val="18"/>
        <w:szCs w:val="18"/>
      </w:rPr>
      <w:t>共</w:t>
    </w:r>
    <w:r>
      <w:rPr>
        <w:spacing w:val="-39"/>
        <w:sz w:val="18"/>
        <w:szCs w:val="18"/>
      </w:rPr>
      <w:t xml:space="preserve"> </w:t>
    </w:r>
    <w:r>
      <w:rPr>
        <w:b/>
        <w:bCs/>
        <w:spacing w:val="-14"/>
        <w:sz w:val="18"/>
        <w:szCs w:val="18"/>
      </w:rPr>
      <w:t>499</w:t>
    </w:r>
    <w:r>
      <w:rPr>
        <w:spacing w:val="-14"/>
        <w:sz w:val="18"/>
        <w:szCs w:val="18"/>
      </w:rPr>
      <w:t xml:space="preserve"> </w:t>
    </w:r>
    <w:r>
      <w:rPr>
        <w:b/>
        <w:bCs/>
        <w:spacing w:val="-14"/>
        <w:sz w:val="18"/>
        <w:szCs w:val="18"/>
      </w:rPr>
      <w:t>页</w:t>
    </w:r>
  </w:p>
</w:ftr>
</file>

<file path=word/footer1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065A29">
    <w:pPr>
      <w:spacing w:after="13" w:line="454" w:lineRule="exact"/>
    </w:pPr>
  </w:p>
  <w:p w14:paraId="39AD3455">
    <w:pPr>
      <w:pStyle w:val="2"/>
      <w:spacing w:line="207" w:lineRule="auto"/>
      <w:ind w:left="5067"/>
      <w:rPr>
        <w:sz w:val="18"/>
        <w:szCs w:val="18"/>
      </w:rPr>
    </w:pPr>
    <w:r>
      <w:rPr>
        <w:b/>
        <w:bCs/>
        <w:spacing w:val="-14"/>
        <w:sz w:val="18"/>
        <w:szCs w:val="18"/>
      </w:rPr>
      <w:t>第</w:t>
    </w:r>
    <w:r>
      <w:rPr>
        <w:spacing w:val="-16"/>
        <w:sz w:val="18"/>
        <w:szCs w:val="18"/>
      </w:rPr>
      <w:t xml:space="preserve"> </w:t>
    </w:r>
    <w:r>
      <w:rPr>
        <w:b/>
        <w:bCs/>
        <w:spacing w:val="-14"/>
        <w:sz w:val="18"/>
        <w:szCs w:val="18"/>
      </w:rPr>
      <w:t>163</w:t>
    </w:r>
    <w:r>
      <w:rPr>
        <w:spacing w:val="-14"/>
        <w:sz w:val="18"/>
        <w:szCs w:val="18"/>
      </w:rPr>
      <w:t xml:space="preserve"> </w:t>
    </w:r>
    <w:r>
      <w:rPr>
        <w:b/>
        <w:bCs/>
        <w:spacing w:val="-14"/>
        <w:sz w:val="18"/>
        <w:szCs w:val="18"/>
      </w:rPr>
      <w:t>页</w:t>
    </w:r>
    <w:r>
      <w:rPr>
        <w:spacing w:val="-27"/>
        <w:sz w:val="18"/>
        <w:szCs w:val="18"/>
      </w:rPr>
      <w:t xml:space="preserve"> </w:t>
    </w:r>
    <w:r>
      <w:rPr>
        <w:b/>
        <w:bCs/>
        <w:spacing w:val="-14"/>
        <w:sz w:val="18"/>
        <w:szCs w:val="18"/>
      </w:rPr>
      <w:t>共</w:t>
    </w:r>
    <w:r>
      <w:rPr>
        <w:spacing w:val="-39"/>
        <w:sz w:val="18"/>
        <w:szCs w:val="18"/>
      </w:rPr>
      <w:t xml:space="preserve"> </w:t>
    </w:r>
    <w:r>
      <w:rPr>
        <w:b/>
        <w:bCs/>
        <w:spacing w:val="-14"/>
        <w:sz w:val="18"/>
        <w:szCs w:val="18"/>
      </w:rPr>
      <w:t>499</w:t>
    </w:r>
    <w:r>
      <w:rPr>
        <w:spacing w:val="-14"/>
        <w:sz w:val="18"/>
        <w:szCs w:val="18"/>
      </w:rPr>
      <w:t xml:space="preserve"> </w:t>
    </w:r>
    <w:r>
      <w:rPr>
        <w:b/>
        <w:bCs/>
        <w:spacing w:val="-14"/>
        <w:sz w:val="18"/>
        <w:szCs w:val="18"/>
      </w:rPr>
      <w:t>页</w:t>
    </w:r>
  </w:p>
</w:ftr>
</file>

<file path=word/footer1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A87E1A">
    <w:pPr>
      <w:spacing w:after="13" w:line="454" w:lineRule="exact"/>
    </w:pPr>
  </w:p>
  <w:p w14:paraId="6B6E69C2">
    <w:pPr>
      <w:pStyle w:val="2"/>
      <w:spacing w:line="207" w:lineRule="auto"/>
      <w:ind w:left="5067"/>
      <w:rPr>
        <w:sz w:val="18"/>
        <w:szCs w:val="18"/>
      </w:rPr>
    </w:pPr>
    <w:r>
      <w:rPr>
        <w:b/>
        <w:bCs/>
        <w:spacing w:val="-14"/>
        <w:sz w:val="18"/>
        <w:szCs w:val="18"/>
      </w:rPr>
      <w:t>第</w:t>
    </w:r>
    <w:r>
      <w:rPr>
        <w:spacing w:val="-16"/>
        <w:sz w:val="18"/>
        <w:szCs w:val="18"/>
      </w:rPr>
      <w:t xml:space="preserve"> </w:t>
    </w:r>
    <w:r>
      <w:rPr>
        <w:b/>
        <w:bCs/>
        <w:spacing w:val="-14"/>
        <w:sz w:val="18"/>
        <w:szCs w:val="18"/>
      </w:rPr>
      <w:t>164</w:t>
    </w:r>
    <w:r>
      <w:rPr>
        <w:spacing w:val="-14"/>
        <w:sz w:val="18"/>
        <w:szCs w:val="18"/>
      </w:rPr>
      <w:t xml:space="preserve"> </w:t>
    </w:r>
    <w:r>
      <w:rPr>
        <w:b/>
        <w:bCs/>
        <w:spacing w:val="-14"/>
        <w:sz w:val="18"/>
        <w:szCs w:val="18"/>
      </w:rPr>
      <w:t>页</w:t>
    </w:r>
    <w:r>
      <w:rPr>
        <w:spacing w:val="-27"/>
        <w:sz w:val="18"/>
        <w:szCs w:val="18"/>
      </w:rPr>
      <w:t xml:space="preserve"> </w:t>
    </w:r>
    <w:r>
      <w:rPr>
        <w:b/>
        <w:bCs/>
        <w:spacing w:val="-14"/>
        <w:sz w:val="18"/>
        <w:szCs w:val="18"/>
      </w:rPr>
      <w:t>共</w:t>
    </w:r>
    <w:r>
      <w:rPr>
        <w:spacing w:val="-39"/>
        <w:sz w:val="18"/>
        <w:szCs w:val="18"/>
      </w:rPr>
      <w:t xml:space="preserve"> </w:t>
    </w:r>
    <w:r>
      <w:rPr>
        <w:b/>
        <w:bCs/>
        <w:spacing w:val="-14"/>
        <w:sz w:val="18"/>
        <w:szCs w:val="18"/>
      </w:rPr>
      <w:t>499</w:t>
    </w:r>
    <w:r>
      <w:rPr>
        <w:spacing w:val="-14"/>
        <w:sz w:val="18"/>
        <w:szCs w:val="18"/>
      </w:rPr>
      <w:t xml:space="preserve"> </w:t>
    </w:r>
    <w:r>
      <w:rPr>
        <w:b/>
        <w:bCs/>
        <w:spacing w:val="-14"/>
        <w:sz w:val="18"/>
        <w:szCs w:val="18"/>
      </w:rPr>
      <w:t>页</w:t>
    </w:r>
  </w:p>
</w:ftr>
</file>

<file path=word/footer1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9390A7">
    <w:pPr>
      <w:spacing w:after="13" w:line="454" w:lineRule="exact"/>
    </w:pPr>
  </w:p>
  <w:p w14:paraId="5BE4669D">
    <w:pPr>
      <w:pStyle w:val="2"/>
      <w:spacing w:line="207" w:lineRule="auto"/>
      <w:ind w:left="5067"/>
      <w:rPr>
        <w:sz w:val="18"/>
        <w:szCs w:val="18"/>
      </w:rPr>
    </w:pPr>
    <w:r>
      <w:rPr>
        <w:b/>
        <w:bCs/>
        <w:spacing w:val="-14"/>
        <w:sz w:val="18"/>
        <w:szCs w:val="18"/>
      </w:rPr>
      <w:t>第</w:t>
    </w:r>
    <w:r>
      <w:rPr>
        <w:spacing w:val="-16"/>
        <w:sz w:val="18"/>
        <w:szCs w:val="18"/>
      </w:rPr>
      <w:t xml:space="preserve"> </w:t>
    </w:r>
    <w:r>
      <w:rPr>
        <w:b/>
        <w:bCs/>
        <w:spacing w:val="-14"/>
        <w:sz w:val="18"/>
        <w:szCs w:val="18"/>
      </w:rPr>
      <w:t>165</w:t>
    </w:r>
    <w:r>
      <w:rPr>
        <w:spacing w:val="-14"/>
        <w:sz w:val="18"/>
        <w:szCs w:val="18"/>
      </w:rPr>
      <w:t xml:space="preserve"> </w:t>
    </w:r>
    <w:r>
      <w:rPr>
        <w:b/>
        <w:bCs/>
        <w:spacing w:val="-14"/>
        <w:sz w:val="18"/>
        <w:szCs w:val="18"/>
      </w:rPr>
      <w:t>页</w:t>
    </w:r>
    <w:r>
      <w:rPr>
        <w:spacing w:val="-27"/>
        <w:sz w:val="18"/>
        <w:szCs w:val="18"/>
      </w:rPr>
      <w:t xml:space="preserve"> </w:t>
    </w:r>
    <w:r>
      <w:rPr>
        <w:b/>
        <w:bCs/>
        <w:spacing w:val="-14"/>
        <w:sz w:val="18"/>
        <w:szCs w:val="18"/>
      </w:rPr>
      <w:t>共</w:t>
    </w:r>
    <w:r>
      <w:rPr>
        <w:spacing w:val="-39"/>
        <w:sz w:val="18"/>
        <w:szCs w:val="18"/>
      </w:rPr>
      <w:t xml:space="preserve"> </w:t>
    </w:r>
    <w:r>
      <w:rPr>
        <w:b/>
        <w:bCs/>
        <w:spacing w:val="-14"/>
        <w:sz w:val="18"/>
        <w:szCs w:val="18"/>
      </w:rPr>
      <w:t>499</w:t>
    </w:r>
    <w:r>
      <w:rPr>
        <w:spacing w:val="-14"/>
        <w:sz w:val="18"/>
        <w:szCs w:val="18"/>
      </w:rPr>
      <w:t xml:space="preserve"> </w:t>
    </w:r>
    <w:r>
      <w:rPr>
        <w:b/>
        <w:bCs/>
        <w:spacing w:val="-14"/>
        <w:sz w:val="18"/>
        <w:szCs w:val="18"/>
      </w:rPr>
      <w:t>页</w:t>
    </w:r>
  </w:p>
</w:ftr>
</file>

<file path=word/footer1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2C9E9B">
    <w:pPr>
      <w:spacing w:after="13" w:line="454" w:lineRule="exact"/>
    </w:pPr>
  </w:p>
  <w:p w14:paraId="28F2CB7E">
    <w:pPr>
      <w:pStyle w:val="2"/>
      <w:spacing w:line="207" w:lineRule="auto"/>
      <w:ind w:left="5067"/>
      <w:rPr>
        <w:sz w:val="18"/>
        <w:szCs w:val="18"/>
      </w:rPr>
    </w:pPr>
    <w:r>
      <w:rPr>
        <w:b/>
        <w:bCs/>
        <w:spacing w:val="-14"/>
        <w:sz w:val="18"/>
        <w:szCs w:val="18"/>
      </w:rPr>
      <w:t>第</w:t>
    </w:r>
    <w:r>
      <w:rPr>
        <w:spacing w:val="-16"/>
        <w:sz w:val="18"/>
        <w:szCs w:val="18"/>
      </w:rPr>
      <w:t xml:space="preserve"> </w:t>
    </w:r>
    <w:r>
      <w:rPr>
        <w:b/>
        <w:bCs/>
        <w:spacing w:val="-14"/>
        <w:sz w:val="18"/>
        <w:szCs w:val="18"/>
      </w:rPr>
      <w:t>166</w:t>
    </w:r>
    <w:r>
      <w:rPr>
        <w:spacing w:val="-14"/>
        <w:sz w:val="18"/>
        <w:szCs w:val="18"/>
      </w:rPr>
      <w:t xml:space="preserve"> </w:t>
    </w:r>
    <w:r>
      <w:rPr>
        <w:b/>
        <w:bCs/>
        <w:spacing w:val="-14"/>
        <w:sz w:val="18"/>
        <w:szCs w:val="18"/>
      </w:rPr>
      <w:t>页</w:t>
    </w:r>
    <w:r>
      <w:rPr>
        <w:spacing w:val="-27"/>
        <w:sz w:val="18"/>
        <w:szCs w:val="18"/>
      </w:rPr>
      <w:t xml:space="preserve"> </w:t>
    </w:r>
    <w:r>
      <w:rPr>
        <w:b/>
        <w:bCs/>
        <w:spacing w:val="-14"/>
        <w:sz w:val="18"/>
        <w:szCs w:val="18"/>
      </w:rPr>
      <w:t>共</w:t>
    </w:r>
    <w:r>
      <w:rPr>
        <w:spacing w:val="-39"/>
        <w:sz w:val="18"/>
        <w:szCs w:val="18"/>
      </w:rPr>
      <w:t xml:space="preserve"> </w:t>
    </w:r>
    <w:r>
      <w:rPr>
        <w:b/>
        <w:bCs/>
        <w:spacing w:val="-14"/>
        <w:sz w:val="18"/>
        <w:szCs w:val="18"/>
      </w:rPr>
      <w:t>499</w:t>
    </w:r>
    <w:r>
      <w:rPr>
        <w:spacing w:val="-14"/>
        <w:sz w:val="18"/>
        <w:szCs w:val="18"/>
      </w:rPr>
      <w:t xml:space="preserve"> </w:t>
    </w:r>
    <w:r>
      <w:rPr>
        <w:b/>
        <w:bCs/>
        <w:spacing w:val="-14"/>
        <w:sz w:val="18"/>
        <w:szCs w:val="18"/>
      </w:rPr>
      <w:t>页</w:t>
    </w:r>
  </w:p>
</w:ftr>
</file>

<file path=word/footer1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A232A9">
    <w:pPr>
      <w:spacing w:after="13" w:line="454" w:lineRule="exact"/>
    </w:pPr>
  </w:p>
  <w:p w14:paraId="25F657B9">
    <w:pPr>
      <w:pStyle w:val="2"/>
      <w:spacing w:line="207" w:lineRule="auto"/>
      <w:ind w:left="5067"/>
      <w:rPr>
        <w:sz w:val="18"/>
        <w:szCs w:val="18"/>
      </w:rPr>
    </w:pPr>
    <w:r>
      <w:rPr>
        <w:b/>
        <w:bCs/>
        <w:spacing w:val="-14"/>
        <w:sz w:val="18"/>
        <w:szCs w:val="18"/>
      </w:rPr>
      <w:t>第</w:t>
    </w:r>
    <w:r>
      <w:rPr>
        <w:spacing w:val="-16"/>
        <w:sz w:val="18"/>
        <w:szCs w:val="18"/>
      </w:rPr>
      <w:t xml:space="preserve"> </w:t>
    </w:r>
    <w:r>
      <w:rPr>
        <w:b/>
        <w:bCs/>
        <w:spacing w:val="-14"/>
        <w:sz w:val="18"/>
        <w:szCs w:val="18"/>
      </w:rPr>
      <w:t>167</w:t>
    </w:r>
    <w:r>
      <w:rPr>
        <w:spacing w:val="-14"/>
        <w:sz w:val="18"/>
        <w:szCs w:val="18"/>
      </w:rPr>
      <w:t xml:space="preserve"> </w:t>
    </w:r>
    <w:r>
      <w:rPr>
        <w:b/>
        <w:bCs/>
        <w:spacing w:val="-14"/>
        <w:sz w:val="18"/>
        <w:szCs w:val="18"/>
      </w:rPr>
      <w:t>页</w:t>
    </w:r>
    <w:r>
      <w:rPr>
        <w:spacing w:val="-27"/>
        <w:sz w:val="18"/>
        <w:szCs w:val="18"/>
      </w:rPr>
      <w:t xml:space="preserve"> </w:t>
    </w:r>
    <w:r>
      <w:rPr>
        <w:b/>
        <w:bCs/>
        <w:spacing w:val="-14"/>
        <w:sz w:val="18"/>
        <w:szCs w:val="18"/>
      </w:rPr>
      <w:t>共</w:t>
    </w:r>
    <w:r>
      <w:rPr>
        <w:spacing w:val="-39"/>
        <w:sz w:val="18"/>
        <w:szCs w:val="18"/>
      </w:rPr>
      <w:t xml:space="preserve"> </w:t>
    </w:r>
    <w:r>
      <w:rPr>
        <w:b/>
        <w:bCs/>
        <w:spacing w:val="-14"/>
        <w:sz w:val="18"/>
        <w:szCs w:val="18"/>
      </w:rPr>
      <w:t>499</w:t>
    </w:r>
    <w:r>
      <w:rPr>
        <w:spacing w:val="-14"/>
        <w:sz w:val="18"/>
        <w:szCs w:val="18"/>
      </w:rPr>
      <w:t xml:space="preserve"> </w:t>
    </w:r>
    <w:r>
      <w:rPr>
        <w:b/>
        <w:bCs/>
        <w:spacing w:val="-14"/>
        <w:sz w:val="18"/>
        <w:szCs w:val="18"/>
      </w:rPr>
      <w:t>页</w:t>
    </w:r>
  </w:p>
</w:ftr>
</file>

<file path=word/footer1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4506DC">
    <w:pPr>
      <w:spacing w:after="13" w:line="454" w:lineRule="exact"/>
    </w:pPr>
  </w:p>
  <w:p w14:paraId="276F2219">
    <w:pPr>
      <w:pStyle w:val="2"/>
      <w:spacing w:line="207" w:lineRule="auto"/>
      <w:ind w:left="5067"/>
      <w:rPr>
        <w:sz w:val="18"/>
        <w:szCs w:val="18"/>
      </w:rPr>
    </w:pPr>
    <w:r>
      <w:rPr>
        <w:b/>
        <w:bCs/>
        <w:spacing w:val="-14"/>
        <w:sz w:val="18"/>
        <w:szCs w:val="18"/>
      </w:rPr>
      <w:t>第</w:t>
    </w:r>
    <w:r>
      <w:rPr>
        <w:spacing w:val="-16"/>
        <w:sz w:val="18"/>
        <w:szCs w:val="18"/>
      </w:rPr>
      <w:t xml:space="preserve"> </w:t>
    </w:r>
    <w:r>
      <w:rPr>
        <w:b/>
        <w:bCs/>
        <w:spacing w:val="-14"/>
        <w:sz w:val="18"/>
        <w:szCs w:val="18"/>
      </w:rPr>
      <w:t>168</w:t>
    </w:r>
    <w:r>
      <w:rPr>
        <w:spacing w:val="-14"/>
        <w:sz w:val="18"/>
        <w:szCs w:val="18"/>
      </w:rPr>
      <w:t xml:space="preserve"> </w:t>
    </w:r>
    <w:r>
      <w:rPr>
        <w:b/>
        <w:bCs/>
        <w:spacing w:val="-14"/>
        <w:sz w:val="18"/>
        <w:szCs w:val="18"/>
      </w:rPr>
      <w:t>页</w:t>
    </w:r>
    <w:r>
      <w:rPr>
        <w:spacing w:val="-27"/>
        <w:sz w:val="18"/>
        <w:szCs w:val="18"/>
      </w:rPr>
      <w:t xml:space="preserve"> </w:t>
    </w:r>
    <w:r>
      <w:rPr>
        <w:b/>
        <w:bCs/>
        <w:spacing w:val="-14"/>
        <w:sz w:val="18"/>
        <w:szCs w:val="18"/>
      </w:rPr>
      <w:t>共</w:t>
    </w:r>
    <w:r>
      <w:rPr>
        <w:spacing w:val="-39"/>
        <w:sz w:val="18"/>
        <w:szCs w:val="18"/>
      </w:rPr>
      <w:t xml:space="preserve"> </w:t>
    </w:r>
    <w:r>
      <w:rPr>
        <w:b/>
        <w:bCs/>
        <w:spacing w:val="-14"/>
        <w:sz w:val="18"/>
        <w:szCs w:val="18"/>
      </w:rPr>
      <w:t>499</w:t>
    </w:r>
    <w:r>
      <w:rPr>
        <w:spacing w:val="-14"/>
        <w:sz w:val="18"/>
        <w:szCs w:val="18"/>
      </w:rPr>
      <w:t xml:space="preserve"> </w:t>
    </w:r>
    <w:r>
      <w:rPr>
        <w:b/>
        <w:bCs/>
        <w:spacing w:val="-14"/>
        <w:sz w:val="18"/>
        <w:szCs w:val="18"/>
      </w:rPr>
      <w:t>页</w:t>
    </w:r>
  </w:p>
</w:ftr>
</file>

<file path=word/footer1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C74185">
    <w:pPr>
      <w:spacing w:after="13" w:line="454" w:lineRule="exact"/>
    </w:pPr>
  </w:p>
  <w:p w14:paraId="20A82C5F">
    <w:pPr>
      <w:pStyle w:val="2"/>
      <w:spacing w:line="207" w:lineRule="auto"/>
      <w:ind w:left="5067"/>
      <w:rPr>
        <w:sz w:val="18"/>
        <w:szCs w:val="18"/>
      </w:rPr>
    </w:pPr>
    <w:r>
      <w:rPr>
        <w:b/>
        <w:bCs/>
        <w:spacing w:val="-14"/>
        <w:sz w:val="18"/>
        <w:szCs w:val="18"/>
      </w:rPr>
      <w:t>第</w:t>
    </w:r>
    <w:r>
      <w:rPr>
        <w:spacing w:val="-16"/>
        <w:sz w:val="18"/>
        <w:szCs w:val="18"/>
      </w:rPr>
      <w:t xml:space="preserve"> </w:t>
    </w:r>
    <w:r>
      <w:rPr>
        <w:b/>
        <w:bCs/>
        <w:spacing w:val="-14"/>
        <w:sz w:val="18"/>
        <w:szCs w:val="18"/>
      </w:rPr>
      <w:t>169</w:t>
    </w:r>
    <w:r>
      <w:rPr>
        <w:spacing w:val="-14"/>
        <w:sz w:val="18"/>
        <w:szCs w:val="18"/>
      </w:rPr>
      <w:t xml:space="preserve"> </w:t>
    </w:r>
    <w:r>
      <w:rPr>
        <w:b/>
        <w:bCs/>
        <w:spacing w:val="-14"/>
        <w:sz w:val="18"/>
        <w:szCs w:val="18"/>
      </w:rPr>
      <w:t>页</w:t>
    </w:r>
    <w:r>
      <w:rPr>
        <w:spacing w:val="-27"/>
        <w:sz w:val="18"/>
        <w:szCs w:val="18"/>
      </w:rPr>
      <w:t xml:space="preserve"> </w:t>
    </w:r>
    <w:r>
      <w:rPr>
        <w:b/>
        <w:bCs/>
        <w:spacing w:val="-14"/>
        <w:sz w:val="18"/>
        <w:szCs w:val="18"/>
      </w:rPr>
      <w:t>共</w:t>
    </w:r>
    <w:r>
      <w:rPr>
        <w:spacing w:val="-39"/>
        <w:sz w:val="18"/>
        <w:szCs w:val="18"/>
      </w:rPr>
      <w:t xml:space="preserve"> </w:t>
    </w:r>
    <w:r>
      <w:rPr>
        <w:b/>
        <w:bCs/>
        <w:spacing w:val="-14"/>
        <w:sz w:val="18"/>
        <w:szCs w:val="18"/>
      </w:rPr>
      <w:t>499</w:t>
    </w:r>
    <w:r>
      <w:rPr>
        <w:spacing w:val="-14"/>
        <w:sz w:val="18"/>
        <w:szCs w:val="18"/>
      </w:rPr>
      <w:t xml:space="preserve"> </w:t>
    </w:r>
    <w:r>
      <w:rPr>
        <w:b/>
        <w:bCs/>
        <w:spacing w:val="-14"/>
        <w:sz w:val="18"/>
        <w:szCs w:val="18"/>
      </w:rPr>
      <w:t>页</w:t>
    </w:r>
  </w:p>
</w:ftr>
</file>

<file path=word/footer1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1FD5D0">
    <w:pPr>
      <w:spacing w:after="13" w:line="454" w:lineRule="exact"/>
    </w:pPr>
  </w:p>
  <w:p w14:paraId="0F4E02B1">
    <w:pPr>
      <w:pStyle w:val="2"/>
      <w:spacing w:line="207" w:lineRule="auto"/>
      <w:ind w:left="5067"/>
      <w:rPr>
        <w:sz w:val="18"/>
        <w:szCs w:val="18"/>
      </w:rPr>
    </w:pPr>
    <w:r>
      <w:rPr>
        <w:b/>
        <w:bCs/>
        <w:spacing w:val="-14"/>
        <w:sz w:val="18"/>
        <w:szCs w:val="18"/>
      </w:rPr>
      <w:t>第</w:t>
    </w:r>
    <w:r>
      <w:rPr>
        <w:spacing w:val="-16"/>
        <w:sz w:val="18"/>
        <w:szCs w:val="18"/>
      </w:rPr>
      <w:t xml:space="preserve"> </w:t>
    </w:r>
    <w:r>
      <w:rPr>
        <w:b/>
        <w:bCs/>
        <w:spacing w:val="-14"/>
        <w:sz w:val="18"/>
        <w:szCs w:val="18"/>
      </w:rPr>
      <w:t>170</w:t>
    </w:r>
    <w:r>
      <w:rPr>
        <w:spacing w:val="-14"/>
        <w:sz w:val="18"/>
        <w:szCs w:val="18"/>
      </w:rPr>
      <w:t xml:space="preserve"> </w:t>
    </w:r>
    <w:r>
      <w:rPr>
        <w:b/>
        <w:bCs/>
        <w:spacing w:val="-14"/>
        <w:sz w:val="18"/>
        <w:szCs w:val="18"/>
      </w:rPr>
      <w:t>页</w:t>
    </w:r>
    <w:r>
      <w:rPr>
        <w:spacing w:val="-27"/>
        <w:sz w:val="18"/>
        <w:szCs w:val="18"/>
      </w:rPr>
      <w:t xml:space="preserve"> </w:t>
    </w:r>
    <w:r>
      <w:rPr>
        <w:b/>
        <w:bCs/>
        <w:spacing w:val="-14"/>
        <w:sz w:val="18"/>
        <w:szCs w:val="18"/>
      </w:rPr>
      <w:t>共</w:t>
    </w:r>
    <w:r>
      <w:rPr>
        <w:spacing w:val="-39"/>
        <w:sz w:val="18"/>
        <w:szCs w:val="18"/>
      </w:rPr>
      <w:t xml:space="preserve"> </w:t>
    </w:r>
    <w:r>
      <w:rPr>
        <w:b/>
        <w:bCs/>
        <w:spacing w:val="-14"/>
        <w:sz w:val="18"/>
        <w:szCs w:val="18"/>
      </w:rPr>
      <w:t>499</w:t>
    </w:r>
    <w:r>
      <w:rPr>
        <w:spacing w:val="-14"/>
        <w:sz w:val="18"/>
        <w:szCs w:val="18"/>
      </w:rPr>
      <w:t xml:space="preserve"> </w:t>
    </w:r>
    <w:r>
      <w:rPr>
        <w:b/>
        <w:bCs/>
        <w:spacing w:val="-14"/>
        <w:sz w:val="18"/>
        <w:szCs w:val="18"/>
      </w:rPr>
      <w:t>页</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D41925">
    <w:pPr>
      <w:spacing w:after="12" w:line="455" w:lineRule="exact"/>
    </w:pPr>
  </w:p>
  <w:p w14:paraId="29065416">
    <w:pPr>
      <w:pStyle w:val="2"/>
      <w:spacing w:line="207" w:lineRule="auto"/>
      <w:ind w:left="5466"/>
      <w:rPr>
        <w:sz w:val="18"/>
        <w:szCs w:val="18"/>
      </w:rPr>
    </w:pPr>
    <w:r>
      <w:rPr>
        <w:b/>
        <w:bCs/>
        <w:spacing w:val="-14"/>
        <w:sz w:val="18"/>
        <w:szCs w:val="18"/>
      </w:rPr>
      <w:t>第</w:t>
    </w:r>
    <w:r>
      <w:rPr>
        <w:spacing w:val="-18"/>
        <w:sz w:val="18"/>
        <w:szCs w:val="18"/>
      </w:rPr>
      <w:t xml:space="preserve"> </w:t>
    </w:r>
    <w:r>
      <w:rPr>
        <w:b/>
        <w:bCs/>
        <w:spacing w:val="-14"/>
        <w:sz w:val="18"/>
        <w:szCs w:val="18"/>
      </w:rPr>
      <w:t>13</w:t>
    </w:r>
    <w:r>
      <w:rPr>
        <w:spacing w:val="-14"/>
        <w:sz w:val="18"/>
        <w:szCs w:val="18"/>
      </w:rPr>
      <w:t xml:space="preserve"> </w:t>
    </w:r>
    <w:r>
      <w:rPr>
        <w:b/>
        <w:bCs/>
        <w:spacing w:val="-14"/>
        <w:sz w:val="18"/>
        <w:szCs w:val="18"/>
      </w:rPr>
      <w:t>页</w:t>
    </w:r>
    <w:r>
      <w:rPr>
        <w:spacing w:val="-27"/>
        <w:sz w:val="18"/>
        <w:szCs w:val="18"/>
      </w:rPr>
      <w:t xml:space="preserve"> </w:t>
    </w:r>
    <w:r>
      <w:rPr>
        <w:b/>
        <w:bCs/>
        <w:spacing w:val="-14"/>
        <w:sz w:val="18"/>
        <w:szCs w:val="18"/>
      </w:rPr>
      <w:t>共</w:t>
    </w:r>
    <w:r>
      <w:rPr>
        <w:spacing w:val="-38"/>
        <w:sz w:val="18"/>
        <w:szCs w:val="18"/>
      </w:rPr>
      <w:t xml:space="preserve"> </w:t>
    </w:r>
    <w:r>
      <w:rPr>
        <w:b/>
        <w:bCs/>
        <w:spacing w:val="-14"/>
        <w:sz w:val="18"/>
        <w:szCs w:val="18"/>
      </w:rPr>
      <w:t>499</w:t>
    </w:r>
    <w:r>
      <w:rPr>
        <w:spacing w:val="-14"/>
        <w:sz w:val="18"/>
        <w:szCs w:val="18"/>
      </w:rPr>
      <w:t xml:space="preserve"> </w:t>
    </w:r>
    <w:r>
      <w:rPr>
        <w:b/>
        <w:bCs/>
        <w:spacing w:val="-14"/>
        <w:sz w:val="18"/>
        <w:szCs w:val="18"/>
      </w:rPr>
      <w:t>页</w:t>
    </w:r>
  </w:p>
</w:ftr>
</file>

<file path=word/footer1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35FBF0">
    <w:pPr>
      <w:spacing w:after="13" w:line="454" w:lineRule="exact"/>
    </w:pPr>
  </w:p>
  <w:p w14:paraId="013A4A89">
    <w:pPr>
      <w:pStyle w:val="2"/>
      <w:spacing w:line="207" w:lineRule="auto"/>
      <w:ind w:left="5067"/>
      <w:rPr>
        <w:sz w:val="18"/>
        <w:szCs w:val="18"/>
      </w:rPr>
    </w:pPr>
    <w:r>
      <w:rPr>
        <w:b/>
        <w:bCs/>
        <w:spacing w:val="-14"/>
        <w:sz w:val="18"/>
        <w:szCs w:val="18"/>
      </w:rPr>
      <w:t>第</w:t>
    </w:r>
    <w:r>
      <w:rPr>
        <w:spacing w:val="-16"/>
        <w:sz w:val="18"/>
        <w:szCs w:val="18"/>
      </w:rPr>
      <w:t xml:space="preserve"> </w:t>
    </w:r>
    <w:r>
      <w:rPr>
        <w:b/>
        <w:bCs/>
        <w:spacing w:val="-14"/>
        <w:sz w:val="18"/>
        <w:szCs w:val="18"/>
      </w:rPr>
      <w:t>171</w:t>
    </w:r>
    <w:r>
      <w:rPr>
        <w:spacing w:val="-14"/>
        <w:sz w:val="18"/>
        <w:szCs w:val="18"/>
      </w:rPr>
      <w:t xml:space="preserve"> </w:t>
    </w:r>
    <w:r>
      <w:rPr>
        <w:b/>
        <w:bCs/>
        <w:spacing w:val="-14"/>
        <w:sz w:val="18"/>
        <w:szCs w:val="18"/>
      </w:rPr>
      <w:t>页</w:t>
    </w:r>
    <w:r>
      <w:rPr>
        <w:spacing w:val="-27"/>
        <w:sz w:val="18"/>
        <w:szCs w:val="18"/>
      </w:rPr>
      <w:t xml:space="preserve"> </w:t>
    </w:r>
    <w:r>
      <w:rPr>
        <w:b/>
        <w:bCs/>
        <w:spacing w:val="-14"/>
        <w:sz w:val="18"/>
        <w:szCs w:val="18"/>
      </w:rPr>
      <w:t>共</w:t>
    </w:r>
    <w:r>
      <w:rPr>
        <w:spacing w:val="-39"/>
        <w:sz w:val="18"/>
        <w:szCs w:val="18"/>
      </w:rPr>
      <w:t xml:space="preserve"> </w:t>
    </w:r>
    <w:r>
      <w:rPr>
        <w:b/>
        <w:bCs/>
        <w:spacing w:val="-14"/>
        <w:sz w:val="18"/>
        <w:szCs w:val="18"/>
      </w:rPr>
      <w:t>499</w:t>
    </w:r>
    <w:r>
      <w:rPr>
        <w:spacing w:val="-14"/>
        <w:sz w:val="18"/>
        <w:szCs w:val="18"/>
      </w:rPr>
      <w:t xml:space="preserve"> </w:t>
    </w:r>
    <w:r>
      <w:rPr>
        <w:b/>
        <w:bCs/>
        <w:spacing w:val="-14"/>
        <w:sz w:val="18"/>
        <w:szCs w:val="18"/>
      </w:rPr>
      <w:t>页</w:t>
    </w:r>
  </w:p>
</w:ftr>
</file>

<file path=word/footer1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2186F9">
    <w:pPr>
      <w:spacing w:after="13" w:line="454" w:lineRule="exact"/>
    </w:pPr>
  </w:p>
  <w:p w14:paraId="2A178B13">
    <w:pPr>
      <w:pStyle w:val="2"/>
      <w:spacing w:line="207" w:lineRule="auto"/>
      <w:ind w:left="5067"/>
      <w:rPr>
        <w:sz w:val="18"/>
        <w:szCs w:val="18"/>
      </w:rPr>
    </w:pPr>
    <w:r>
      <w:rPr>
        <w:b/>
        <w:bCs/>
        <w:spacing w:val="-14"/>
        <w:sz w:val="18"/>
        <w:szCs w:val="18"/>
      </w:rPr>
      <w:t>第</w:t>
    </w:r>
    <w:r>
      <w:rPr>
        <w:spacing w:val="-16"/>
        <w:sz w:val="18"/>
        <w:szCs w:val="18"/>
      </w:rPr>
      <w:t xml:space="preserve"> </w:t>
    </w:r>
    <w:r>
      <w:rPr>
        <w:b/>
        <w:bCs/>
        <w:spacing w:val="-14"/>
        <w:sz w:val="18"/>
        <w:szCs w:val="18"/>
      </w:rPr>
      <w:t>172</w:t>
    </w:r>
    <w:r>
      <w:rPr>
        <w:spacing w:val="-14"/>
        <w:sz w:val="18"/>
        <w:szCs w:val="18"/>
      </w:rPr>
      <w:t xml:space="preserve"> </w:t>
    </w:r>
    <w:r>
      <w:rPr>
        <w:b/>
        <w:bCs/>
        <w:spacing w:val="-14"/>
        <w:sz w:val="18"/>
        <w:szCs w:val="18"/>
      </w:rPr>
      <w:t>页</w:t>
    </w:r>
    <w:r>
      <w:rPr>
        <w:spacing w:val="-27"/>
        <w:sz w:val="18"/>
        <w:szCs w:val="18"/>
      </w:rPr>
      <w:t xml:space="preserve"> </w:t>
    </w:r>
    <w:r>
      <w:rPr>
        <w:b/>
        <w:bCs/>
        <w:spacing w:val="-14"/>
        <w:sz w:val="18"/>
        <w:szCs w:val="18"/>
      </w:rPr>
      <w:t>共</w:t>
    </w:r>
    <w:r>
      <w:rPr>
        <w:spacing w:val="-39"/>
        <w:sz w:val="18"/>
        <w:szCs w:val="18"/>
      </w:rPr>
      <w:t xml:space="preserve"> </w:t>
    </w:r>
    <w:r>
      <w:rPr>
        <w:b/>
        <w:bCs/>
        <w:spacing w:val="-14"/>
        <w:sz w:val="18"/>
        <w:szCs w:val="18"/>
      </w:rPr>
      <w:t>499</w:t>
    </w:r>
    <w:r>
      <w:rPr>
        <w:spacing w:val="-14"/>
        <w:sz w:val="18"/>
        <w:szCs w:val="18"/>
      </w:rPr>
      <w:t xml:space="preserve"> </w:t>
    </w:r>
    <w:r>
      <w:rPr>
        <w:b/>
        <w:bCs/>
        <w:spacing w:val="-14"/>
        <w:sz w:val="18"/>
        <w:szCs w:val="18"/>
      </w:rPr>
      <w:t>页</w:t>
    </w:r>
  </w:p>
</w:ftr>
</file>

<file path=word/footer1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914BA3">
    <w:pPr>
      <w:spacing w:after="13" w:line="454" w:lineRule="exact"/>
    </w:pPr>
  </w:p>
  <w:p w14:paraId="487214AA">
    <w:pPr>
      <w:pStyle w:val="2"/>
      <w:spacing w:line="207" w:lineRule="auto"/>
      <w:ind w:left="5067"/>
      <w:rPr>
        <w:sz w:val="18"/>
        <w:szCs w:val="18"/>
      </w:rPr>
    </w:pPr>
    <w:r>
      <w:rPr>
        <w:b/>
        <w:bCs/>
        <w:spacing w:val="-14"/>
        <w:sz w:val="18"/>
        <w:szCs w:val="18"/>
      </w:rPr>
      <w:t>第</w:t>
    </w:r>
    <w:r>
      <w:rPr>
        <w:spacing w:val="-16"/>
        <w:sz w:val="18"/>
        <w:szCs w:val="18"/>
      </w:rPr>
      <w:t xml:space="preserve"> </w:t>
    </w:r>
    <w:r>
      <w:rPr>
        <w:b/>
        <w:bCs/>
        <w:spacing w:val="-14"/>
        <w:sz w:val="18"/>
        <w:szCs w:val="18"/>
      </w:rPr>
      <w:t>173</w:t>
    </w:r>
    <w:r>
      <w:rPr>
        <w:spacing w:val="-14"/>
        <w:sz w:val="18"/>
        <w:szCs w:val="18"/>
      </w:rPr>
      <w:t xml:space="preserve"> </w:t>
    </w:r>
    <w:r>
      <w:rPr>
        <w:b/>
        <w:bCs/>
        <w:spacing w:val="-14"/>
        <w:sz w:val="18"/>
        <w:szCs w:val="18"/>
      </w:rPr>
      <w:t>页</w:t>
    </w:r>
    <w:r>
      <w:rPr>
        <w:spacing w:val="-27"/>
        <w:sz w:val="18"/>
        <w:szCs w:val="18"/>
      </w:rPr>
      <w:t xml:space="preserve"> </w:t>
    </w:r>
    <w:r>
      <w:rPr>
        <w:b/>
        <w:bCs/>
        <w:spacing w:val="-14"/>
        <w:sz w:val="18"/>
        <w:szCs w:val="18"/>
      </w:rPr>
      <w:t>共</w:t>
    </w:r>
    <w:r>
      <w:rPr>
        <w:spacing w:val="-39"/>
        <w:sz w:val="18"/>
        <w:szCs w:val="18"/>
      </w:rPr>
      <w:t xml:space="preserve"> </w:t>
    </w:r>
    <w:r>
      <w:rPr>
        <w:b/>
        <w:bCs/>
        <w:spacing w:val="-14"/>
        <w:sz w:val="18"/>
        <w:szCs w:val="18"/>
      </w:rPr>
      <w:t>499</w:t>
    </w:r>
    <w:r>
      <w:rPr>
        <w:spacing w:val="-14"/>
        <w:sz w:val="18"/>
        <w:szCs w:val="18"/>
      </w:rPr>
      <w:t xml:space="preserve"> </w:t>
    </w:r>
    <w:r>
      <w:rPr>
        <w:b/>
        <w:bCs/>
        <w:spacing w:val="-14"/>
        <w:sz w:val="18"/>
        <w:szCs w:val="18"/>
      </w:rPr>
      <w:t>页</w:t>
    </w:r>
  </w:p>
</w:ftr>
</file>

<file path=word/footer1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01E921">
    <w:pPr>
      <w:spacing w:after="13" w:line="454" w:lineRule="exact"/>
    </w:pPr>
  </w:p>
  <w:p w14:paraId="16B1F3A0">
    <w:pPr>
      <w:pStyle w:val="2"/>
      <w:spacing w:line="207" w:lineRule="auto"/>
      <w:ind w:left="5067"/>
      <w:rPr>
        <w:sz w:val="18"/>
        <w:szCs w:val="18"/>
      </w:rPr>
    </w:pPr>
    <w:r>
      <w:rPr>
        <w:b/>
        <w:bCs/>
        <w:spacing w:val="-14"/>
        <w:sz w:val="18"/>
        <w:szCs w:val="18"/>
      </w:rPr>
      <w:t>第</w:t>
    </w:r>
    <w:r>
      <w:rPr>
        <w:spacing w:val="-16"/>
        <w:sz w:val="18"/>
        <w:szCs w:val="18"/>
      </w:rPr>
      <w:t xml:space="preserve"> </w:t>
    </w:r>
    <w:r>
      <w:rPr>
        <w:b/>
        <w:bCs/>
        <w:spacing w:val="-14"/>
        <w:sz w:val="18"/>
        <w:szCs w:val="18"/>
      </w:rPr>
      <w:t>174</w:t>
    </w:r>
    <w:r>
      <w:rPr>
        <w:spacing w:val="-14"/>
        <w:sz w:val="18"/>
        <w:szCs w:val="18"/>
      </w:rPr>
      <w:t xml:space="preserve"> </w:t>
    </w:r>
    <w:r>
      <w:rPr>
        <w:b/>
        <w:bCs/>
        <w:spacing w:val="-14"/>
        <w:sz w:val="18"/>
        <w:szCs w:val="18"/>
      </w:rPr>
      <w:t>页</w:t>
    </w:r>
    <w:r>
      <w:rPr>
        <w:spacing w:val="-27"/>
        <w:sz w:val="18"/>
        <w:szCs w:val="18"/>
      </w:rPr>
      <w:t xml:space="preserve"> </w:t>
    </w:r>
    <w:r>
      <w:rPr>
        <w:b/>
        <w:bCs/>
        <w:spacing w:val="-14"/>
        <w:sz w:val="18"/>
        <w:szCs w:val="18"/>
      </w:rPr>
      <w:t>共</w:t>
    </w:r>
    <w:r>
      <w:rPr>
        <w:spacing w:val="-39"/>
        <w:sz w:val="18"/>
        <w:szCs w:val="18"/>
      </w:rPr>
      <w:t xml:space="preserve"> </w:t>
    </w:r>
    <w:r>
      <w:rPr>
        <w:b/>
        <w:bCs/>
        <w:spacing w:val="-14"/>
        <w:sz w:val="18"/>
        <w:szCs w:val="18"/>
      </w:rPr>
      <w:t>499</w:t>
    </w:r>
    <w:r>
      <w:rPr>
        <w:spacing w:val="-14"/>
        <w:sz w:val="18"/>
        <w:szCs w:val="18"/>
      </w:rPr>
      <w:t xml:space="preserve"> </w:t>
    </w:r>
    <w:r>
      <w:rPr>
        <w:b/>
        <w:bCs/>
        <w:spacing w:val="-14"/>
        <w:sz w:val="18"/>
        <w:szCs w:val="18"/>
      </w:rPr>
      <w:t>页</w:t>
    </w:r>
  </w:p>
</w:ftr>
</file>

<file path=word/footer1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CA8395">
    <w:pPr>
      <w:spacing w:after="13" w:line="454" w:lineRule="exact"/>
    </w:pPr>
  </w:p>
  <w:p w14:paraId="052AD926">
    <w:pPr>
      <w:pStyle w:val="2"/>
      <w:spacing w:line="207" w:lineRule="auto"/>
      <w:ind w:left="5067"/>
      <w:rPr>
        <w:sz w:val="18"/>
        <w:szCs w:val="18"/>
      </w:rPr>
    </w:pPr>
    <w:r>
      <w:rPr>
        <w:b/>
        <w:bCs/>
        <w:spacing w:val="-14"/>
        <w:sz w:val="18"/>
        <w:szCs w:val="18"/>
      </w:rPr>
      <w:t>第</w:t>
    </w:r>
    <w:r>
      <w:rPr>
        <w:spacing w:val="-16"/>
        <w:sz w:val="18"/>
        <w:szCs w:val="18"/>
      </w:rPr>
      <w:t xml:space="preserve"> </w:t>
    </w:r>
    <w:r>
      <w:rPr>
        <w:b/>
        <w:bCs/>
        <w:spacing w:val="-14"/>
        <w:sz w:val="18"/>
        <w:szCs w:val="18"/>
      </w:rPr>
      <w:t>175</w:t>
    </w:r>
    <w:r>
      <w:rPr>
        <w:spacing w:val="-14"/>
        <w:sz w:val="18"/>
        <w:szCs w:val="18"/>
      </w:rPr>
      <w:t xml:space="preserve"> </w:t>
    </w:r>
    <w:r>
      <w:rPr>
        <w:b/>
        <w:bCs/>
        <w:spacing w:val="-14"/>
        <w:sz w:val="18"/>
        <w:szCs w:val="18"/>
      </w:rPr>
      <w:t>页</w:t>
    </w:r>
    <w:r>
      <w:rPr>
        <w:spacing w:val="-27"/>
        <w:sz w:val="18"/>
        <w:szCs w:val="18"/>
      </w:rPr>
      <w:t xml:space="preserve"> </w:t>
    </w:r>
    <w:r>
      <w:rPr>
        <w:b/>
        <w:bCs/>
        <w:spacing w:val="-14"/>
        <w:sz w:val="18"/>
        <w:szCs w:val="18"/>
      </w:rPr>
      <w:t>共</w:t>
    </w:r>
    <w:r>
      <w:rPr>
        <w:spacing w:val="-39"/>
        <w:sz w:val="18"/>
        <w:szCs w:val="18"/>
      </w:rPr>
      <w:t xml:space="preserve"> </w:t>
    </w:r>
    <w:r>
      <w:rPr>
        <w:b/>
        <w:bCs/>
        <w:spacing w:val="-14"/>
        <w:sz w:val="18"/>
        <w:szCs w:val="18"/>
      </w:rPr>
      <w:t>499</w:t>
    </w:r>
    <w:r>
      <w:rPr>
        <w:spacing w:val="-14"/>
        <w:sz w:val="18"/>
        <w:szCs w:val="18"/>
      </w:rPr>
      <w:t xml:space="preserve"> </w:t>
    </w:r>
    <w:r>
      <w:rPr>
        <w:b/>
        <w:bCs/>
        <w:spacing w:val="-14"/>
        <w:sz w:val="18"/>
        <w:szCs w:val="18"/>
      </w:rPr>
      <w:t>页</w:t>
    </w:r>
  </w:p>
</w:ftr>
</file>

<file path=word/footer1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4F6EF3">
    <w:pPr>
      <w:spacing w:after="13" w:line="454" w:lineRule="exact"/>
    </w:pPr>
  </w:p>
  <w:p w14:paraId="0121C4C0">
    <w:pPr>
      <w:pStyle w:val="2"/>
      <w:spacing w:line="207" w:lineRule="auto"/>
      <w:ind w:left="5067"/>
      <w:rPr>
        <w:sz w:val="18"/>
        <w:szCs w:val="18"/>
      </w:rPr>
    </w:pPr>
    <w:r>
      <w:rPr>
        <w:b/>
        <w:bCs/>
        <w:spacing w:val="-14"/>
        <w:sz w:val="18"/>
        <w:szCs w:val="18"/>
      </w:rPr>
      <w:t>第</w:t>
    </w:r>
    <w:r>
      <w:rPr>
        <w:spacing w:val="-16"/>
        <w:sz w:val="18"/>
        <w:szCs w:val="18"/>
      </w:rPr>
      <w:t xml:space="preserve"> </w:t>
    </w:r>
    <w:r>
      <w:rPr>
        <w:b/>
        <w:bCs/>
        <w:spacing w:val="-14"/>
        <w:sz w:val="18"/>
        <w:szCs w:val="18"/>
      </w:rPr>
      <w:t>176</w:t>
    </w:r>
    <w:r>
      <w:rPr>
        <w:spacing w:val="-14"/>
        <w:sz w:val="18"/>
        <w:szCs w:val="18"/>
      </w:rPr>
      <w:t xml:space="preserve"> </w:t>
    </w:r>
    <w:r>
      <w:rPr>
        <w:b/>
        <w:bCs/>
        <w:spacing w:val="-14"/>
        <w:sz w:val="18"/>
        <w:szCs w:val="18"/>
      </w:rPr>
      <w:t>页</w:t>
    </w:r>
    <w:r>
      <w:rPr>
        <w:spacing w:val="-27"/>
        <w:sz w:val="18"/>
        <w:szCs w:val="18"/>
      </w:rPr>
      <w:t xml:space="preserve"> </w:t>
    </w:r>
    <w:r>
      <w:rPr>
        <w:b/>
        <w:bCs/>
        <w:spacing w:val="-14"/>
        <w:sz w:val="18"/>
        <w:szCs w:val="18"/>
      </w:rPr>
      <w:t>共</w:t>
    </w:r>
    <w:r>
      <w:rPr>
        <w:spacing w:val="-39"/>
        <w:sz w:val="18"/>
        <w:szCs w:val="18"/>
      </w:rPr>
      <w:t xml:space="preserve"> </w:t>
    </w:r>
    <w:r>
      <w:rPr>
        <w:b/>
        <w:bCs/>
        <w:spacing w:val="-14"/>
        <w:sz w:val="18"/>
        <w:szCs w:val="18"/>
      </w:rPr>
      <w:t>499</w:t>
    </w:r>
    <w:r>
      <w:rPr>
        <w:spacing w:val="-14"/>
        <w:sz w:val="18"/>
        <w:szCs w:val="18"/>
      </w:rPr>
      <w:t xml:space="preserve"> </w:t>
    </w:r>
    <w:r>
      <w:rPr>
        <w:b/>
        <w:bCs/>
        <w:spacing w:val="-14"/>
        <w:sz w:val="18"/>
        <w:szCs w:val="18"/>
      </w:rPr>
      <w:t>页</w:t>
    </w:r>
  </w:p>
</w:ftr>
</file>

<file path=word/footer1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FD1A5B">
    <w:pPr>
      <w:spacing w:after="13" w:line="454" w:lineRule="exact"/>
    </w:pPr>
  </w:p>
  <w:p w14:paraId="58B0676A">
    <w:pPr>
      <w:pStyle w:val="2"/>
      <w:spacing w:line="207" w:lineRule="auto"/>
      <w:ind w:left="5067"/>
      <w:rPr>
        <w:sz w:val="18"/>
        <w:szCs w:val="18"/>
      </w:rPr>
    </w:pPr>
    <w:r>
      <w:rPr>
        <w:b/>
        <w:bCs/>
        <w:spacing w:val="-14"/>
        <w:sz w:val="18"/>
        <w:szCs w:val="18"/>
      </w:rPr>
      <w:t>第</w:t>
    </w:r>
    <w:r>
      <w:rPr>
        <w:spacing w:val="-16"/>
        <w:sz w:val="18"/>
        <w:szCs w:val="18"/>
      </w:rPr>
      <w:t xml:space="preserve"> </w:t>
    </w:r>
    <w:r>
      <w:rPr>
        <w:b/>
        <w:bCs/>
        <w:spacing w:val="-14"/>
        <w:sz w:val="18"/>
        <w:szCs w:val="18"/>
      </w:rPr>
      <w:t>177</w:t>
    </w:r>
    <w:r>
      <w:rPr>
        <w:spacing w:val="-14"/>
        <w:sz w:val="18"/>
        <w:szCs w:val="18"/>
      </w:rPr>
      <w:t xml:space="preserve"> </w:t>
    </w:r>
    <w:r>
      <w:rPr>
        <w:b/>
        <w:bCs/>
        <w:spacing w:val="-14"/>
        <w:sz w:val="18"/>
        <w:szCs w:val="18"/>
      </w:rPr>
      <w:t>页</w:t>
    </w:r>
    <w:r>
      <w:rPr>
        <w:spacing w:val="-27"/>
        <w:sz w:val="18"/>
        <w:szCs w:val="18"/>
      </w:rPr>
      <w:t xml:space="preserve"> </w:t>
    </w:r>
    <w:r>
      <w:rPr>
        <w:b/>
        <w:bCs/>
        <w:spacing w:val="-14"/>
        <w:sz w:val="18"/>
        <w:szCs w:val="18"/>
      </w:rPr>
      <w:t>共</w:t>
    </w:r>
    <w:r>
      <w:rPr>
        <w:spacing w:val="-39"/>
        <w:sz w:val="18"/>
        <w:szCs w:val="18"/>
      </w:rPr>
      <w:t xml:space="preserve"> </w:t>
    </w:r>
    <w:r>
      <w:rPr>
        <w:b/>
        <w:bCs/>
        <w:spacing w:val="-14"/>
        <w:sz w:val="18"/>
        <w:szCs w:val="18"/>
      </w:rPr>
      <w:t>499</w:t>
    </w:r>
    <w:r>
      <w:rPr>
        <w:spacing w:val="-14"/>
        <w:sz w:val="18"/>
        <w:szCs w:val="18"/>
      </w:rPr>
      <w:t xml:space="preserve"> </w:t>
    </w:r>
    <w:r>
      <w:rPr>
        <w:b/>
        <w:bCs/>
        <w:spacing w:val="-14"/>
        <w:sz w:val="18"/>
        <w:szCs w:val="18"/>
      </w:rPr>
      <w:t>页</w:t>
    </w:r>
  </w:p>
</w:ftr>
</file>

<file path=word/footer1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796073">
    <w:pPr>
      <w:spacing w:after="13" w:line="454" w:lineRule="exact"/>
    </w:pPr>
  </w:p>
  <w:p w14:paraId="2211B439">
    <w:pPr>
      <w:pStyle w:val="2"/>
      <w:spacing w:line="207" w:lineRule="auto"/>
      <w:ind w:left="5067"/>
      <w:rPr>
        <w:sz w:val="18"/>
        <w:szCs w:val="18"/>
      </w:rPr>
    </w:pPr>
    <w:r>
      <w:rPr>
        <w:b/>
        <w:bCs/>
        <w:spacing w:val="-14"/>
        <w:sz w:val="18"/>
        <w:szCs w:val="18"/>
      </w:rPr>
      <w:t>第</w:t>
    </w:r>
    <w:r>
      <w:rPr>
        <w:spacing w:val="-16"/>
        <w:sz w:val="18"/>
        <w:szCs w:val="18"/>
      </w:rPr>
      <w:t xml:space="preserve"> </w:t>
    </w:r>
    <w:r>
      <w:rPr>
        <w:b/>
        <w:bCs/>
        <w:spacing w:val="-14"/>
        <w:sz w:val="18"/>
        <w:szCs w:val="18"/>
      </w:rPr>
      <w:t>178</w:t>
    </w:r>
    <w:r>
      <w:rPr>
        <w:spacing w:val="-14"/>
        <w:sz w:val="18"/>
        <w:szCs w:val="18"/>
      </w:rPr>
      <w:t xml:space="preserve"> </w:t>
    </w:r>
    <w:r>
      <w:rPr>
        <w:b/>
        <w:bCs/>
        <w:spacing w:val="-14"/>
        <w:sz w:val="18"/>
        <w:szCs w:val="18"/>
      </w:rPr>
      <w:t>页</w:t>
    </w:r>
    <w:r>
      <w:rPr>
        <w:spacing w:val="-27"/>
        <w:sz w:val="18"/>
        <w:szCs w:val="18"/>
      </w:rPr>
      <w:t xml:space="preserve"> </w:t>
    </w:r>
    <w:r>
      <w:rPr>
        <w:b/>
        <w:bCs/>
        <w:spacing w:val="-14"/>
        <w:sz w:val="18"/>
        <w:szCs w:val="18"/>
      </w:rPr>
      <w:t>共</w:t>
    </w:r>
    <w:r>
      <w:rPr>
        <w:spacing w:val="-39"/>
        <w:sz w:val="18"/>
        <w:szCs w:val="18"/>
      </w:rPr>
      <w:t xml:space="preserve"> </w:t>
    </w:r>
    <w:r>
      <w:rPr>
        <w:b/>
        <w:bCs/>
        <w:spacing w:val="-14"/>
        <w:sz w:val="18"/>
        <w:szCs w:val="18"/>
      </w:rPr>
      <w:t>499</w:t>
    </w:r>
    <w:r>
      <w:rPr>
        <w:spacing w:val="-14"/>
        <w:sz w:val="18"/>
        <w:szCs w:val="18"/>
      </w:rPr>
      <w:t xml:space="preserve"> </w:t>
    </w:r>
    <w:r>
      <w:rPr>
        <w:b/>
        <w:bCs/>
        <w:spacing w:val="-14"/>
        <w:sz w:val="18"/>
        <w:szCs w:val="18"/>
      </w:rPr>
      <w:t>页</w:t>
    </w:r>
  </w:p>
</w:ftr>
</file>

<file path=word/footer1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39E4E5">
    <w:pPr>
      <w:spacing w:after="13" w:line="454" w:lineRule="exact"/>
    </w:pPr>
  </w:p>
  <w:p w14:paraId="7C8187C4">
    <w:pPr>
      <w:pStyle w:val="2"/>
      <w:spacing w:line="207" w:lineRule="auto"/>
      <w:ind w:left="5067"/>
      <w:rPr>
        <w:sz w:val="18"/>
        <w:szCs w:val="18"/>
      </w:rPr>
    </w:pPr>
    <w:r>
      <w:rPr>
        <w:b/>
        <w:bCs/>
        <w:spacing w:val="-14"/>
        <w:sz w:val="18"/>
        <w:szCs w:val="18"/>
      </w:rPr>
      <w:t>第</w:t>
    </w:r>
    <w:r>
      <w:rPr>
        <w:spacing w:val="-16"/>
        <w:sz w:val="18"/>
        <w:szCs w:val="18"/>
      </w:rPr>
      <w:t xml:space="preserve"> </w:t>
    </w:r>
    <w:r>
      <w:rPr>
        <w:b/>
        <w:bCs/>
        <w:spacing w:val="-14"/>
        <w:sz w:val="18"/>
        <w:szCs w:val="18"/>
      </w:rPr>
      <w:t>179</w:t>
    </w:r>
    <w:r>
      <w:rPr>
        <w:spacing w:val="-14"/>
        <w:sz w:val="18"/>
        <w:szCs w:val="18"/>
      </w:rPr>
      <w:t xml:space="preserve"> </w:t>
    </w:r>
    <w:r>
      <w:rPr>
        <w:b/>
        <w:bCs/>
        <w:spacing w:val="-14"/>
        <w:sz w:val="18"/>
        <w:szCs w:val="18"/>
      </w:rPr>
      <w:t>页</w:t>
    </w:r>
    <w:r>
      <w:rPr>
        <w:spacing w:val="-27"/>
        <w:sz w:val="18"/>
        <w:szCs w:val="18"/>
      </w:rPr>
      <w:t xml:space="preserve"> </w:t>
    </w:r>
    <w:r>
      <w:rPr>
        <w:b/>
        <w:bCs/>
        <w:spacing w:val="-14"/>
        <w:sz w:val="18"/>
        <w:szCs w:val="18"/>
      </w:rPr>
      <w:t>共</w:t>
    </w:r>
    <w:r>
      <w:rPr>
        <w:spacing w:val="-39"/>
        <w:sz w:val="18"/>
        <w:szCs w:val="18"/>
      </w:rPr>
      <w:t xml:space="preserve"> </w:t>
    </w:r>
    <w:r>
      <w:rPr>
        <w:b/>
        <w:bCs/>
        <w:spacing w:val="-14"/>
        <w:sz w:val="18"/>
        <w:szCs w:val="18"/>
      </w:rPr>
      <w:t>499</w:t>
    </w:r>
    <w:r>
      <w:rPr>
        <w:spacing w:val="-14"/>
        <w:sz w:val="18"/>
        <w:szCs w:val="18"/>
      </w:rPr>
      <w:t xml:space="preserve"> </w:t>
    </w:r>
    <w:r>
      <w:rPr>
        <w:b/>
        <w:bCs/>
        <w:spacing w:val="-14"/>
        <w:sz w:val="18"/>
        <w:szCs w:val="18"/>
      </w:rPr>
      <w:t>页</w:t>
    </w:r>
  </w:p>
</w:ftr>
</file>

<file path=word/footer1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660284">
    <w:pPr>
      <w:spacing w:after="13" w:line="454" w:lineRule="exact"/>
    </w:pPr>
  </w:p>
  <w:p w14:paraId="5B15E7C1">
    <w:pPr>
      <w:pStyle w:val="2"/>
      <w:spacing w:line="207" w:lineRule="auto"/>
      <w:ind w:left="5067"/>
      <w:rPr>
        <w:sz w:val="18"/>
        <w:szCs w:val="18"/>
      </w:rPr>
    </w:pPr>
    <w:r>
      <w:rPr>
        <w:b/>
        <w:bCs/>
        <w:spacing w:val="-14"/>
        <w:sz w:val="18"/>
        <w:szCs w:val="18"/>
      </w:rPr>
      <w:t>第</w:t>
    </w:r>
    <w:r>
      <w:rPr>
        <w:spacing w:val="-16"/>
        <w:sz w:val="18"/>
        <w:szCs w:val="18"/>
      </w:rPr>
      <w:t xml:space="preserve"> </w:t>
    </w:r>
    <w:r>
      <w:rPr>
        <w:b/>
        <w:bCs/>
        <w:spacing w:val="-14"/>
        <w:sz w:val="18"/>
        <w:szCs w:val="18"/>
      </w:rPr>
      <w:t>180</w:t>
    </w:r>
    <w:r>
      <w:rPr>
        <w:spacing w:val="-14"/>
        <w:sz w:val="18"/>
        <w:szCs w:val="18"/>
      </w:rPr>
      <w:t xml:space="preserve"> </w:t>
    </w:r>
    <w:r>
      <w:rPr>
        <w:b/>
        <w:bCs/>
        <w:spacing w:val="-14"/>
        <w:sz w:val="18"/>
        <w:szCs w:val="18"/>
      </w:rPr>
      <w:t>页</w:t>
    </w:r>
    <w:r>
      <w:rPr>
        <w:spacing w:val="-27"/>
        <w:sz w:val="18"/>
        <w:szCs w:val="18"/>
      </w:rPr>
      <w:t xml:space="preserve"> </w:t>
    </w:r>
    <w:r>
      <w:rPr>
        <w:b/>
        <w:bCs/>
        <w:spacing w:val="-14"/>
        <w:sz w:val="18"/>
        <w:szCs w:val="18"/>
      </w:rPr>
      <w:t>共</w:t>
    </w:r>
    <w:r>
      <w:rPr>
        <w:spacing w:val="-39"/>
        <w:sz w:val="18"/>
        <w:szCs w:val="18"/>
      </w:rPr>
      <w:t xml:space="preserve"> </w:t>
    </w:r>
    <w:r>
      <w:rPr>
        <w:b/>
        <w:bCs/>
        <w:spacing w:val="-14"/>
        <w:sz w:val="18"/>
        <w:szCs w:val="18"/>
      </w:rPr>
      <w:t>499</w:t>
    </w:r>
    <w:r>
      <w:rPr>
        <w:spacing w:val="-14"/>
        <w:sz w:val="18"/>
        <w:szCs w:val="18"/>
      </w:rPr>
      <w:t xml:space="preserve"> </w:t>
    </w:r>
    <w:r>
      <w:rPr>
        <w:b/>
        <w:bCs/>
        <w:spacing w:val="-14"/>
        <w:sz w:val="18"/>
        <w:szCs w:val="18"/>
      </w:rPr>
      <w:t>页</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D78797">
    <w:pPr>
      <w:spacing w:after="12" w:line="455" w:lineRule="exact"/>
    </w:pPr>
  </w:p>
  <w:p w14:paraId="05C9D959">
    <w:pPr>
      <w:pStyle w:val="2"/>
      <w:spacing w:line="207" w:lineRule="auto"/>
      <w:ind w:left="5466"/>
      <w:rPr>
        <w:sz w:val="18"/>
        <w:szCs w:val="18"/>
      </w:rPr>
    </w:pPr>
    <w:r>
      <w:rPr>
        <w:b/>
        <w:bCs/>
        <w:spacing w:val="-14"/>
        <w:sz w:val="18"/>
        <w:szCs w:val="18"/>
      </w:rPr>
      <w:t>第</w:t>
    </w:r>
    <w:r>
      <w:rPr>
        <w:spacing w:val="-18"/>
        <w:sz w:val="18"/>
        <w:szCs w:val="18"/>
      </w:rPr>
      <w:t xml:space="preserve"> </w:t>
    </w:r>
    <w:r>
      <w:rPr>
        <w:b/>
        <w:bCs/>
        <w:spacing w:val="-14"/>
        <w:sz w:val="18"/>
        <w:szCs w:val="18"/>
      </w:rPr>
      <w:t>14</w:t>
    </w:r>
    <w:r>
      <w:rPr>
        <w:spacing w:val="-14"/>
        <w:sz w:val="18"/>
        <w:szCs w:val="18"/>
      </w:rPr>
      <w:t xml:space="preserve"> </w:t>
    </w:r>
    <w:r>
      <w:rPr>
        <w:b/>
        <w:bCs/>
        <w:spacing w:val="-14"/>
        <w:sz w:val="18"/>
        <w:szCs w:val="18"/>
      </w:rPr>
      <w:t>页</w:t>
    </w:r>
    <w:r>
      <w:rPr>
        <w:spacing w:val="-27"/>
        <w:sz w:val="18"/>
        <w:szCs w:val="18"/>
      </w:rPr>
      <w:t xml:space="preserve"> </w:t>
    </w:r>
    <w:r>
      <w:rPr>
        <w:b/>
        <w:bCs/>
        <w:spacing w:val="-14"/>
        <w:sz w:val="18"/>
        <w:szCs w:val="18"/>
      </w:rPr>
      <w:t>共</w:t>
    </w:r>
    <w:r>
      <w:rPr>
        <w:spacing w:val="-38"/>
        <w:sz w:val="18"/>
        <w:szCs w:val="18"/>
      </w:rPr>
      <w:t xml:space="preserve"> </w:t>
    </w:r>
    <w:r>
      <w:rPr>
        <w:b/>
        <w:bCs/>
        <w:spacing w:val="-14"/>
        <w:sz w:val="18"/>
        <w:szCs w:val="18"/>
      </w:rPr>
      <w:t>499</w:t>
    </w:r>
    <w:r>
      <w:rPr>
        <w:spacing w:val="-14"/>
        <w:sz w:val="18"/>
        <w:szCs w:val="18"/>
      </w:rPr>
      <w:t xml:space="preserve"> </w:t>
    </w:r>
    <w:r>
      <w:rPr>
        <w:b/>
        <w:bCs/>
        <w:spacing w:val="-14"/>
        <w:sz w:val="18"/>
        <w:szCs w:val="18"/>
      </w:rPr>
      <w:t>页</w:t>
    </w:r>
  </w:p>
</w:ftr>
</file>

<file path=word/footer1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C9E876">
    <w:pPr>
      <w:spacing w:after="13" w:line="454" w:lineRule="exact"/>
    </w:pPr>
  </w:p>
  <w:p w14:paraId="7FEA5662">
    <w:pPr>
      <w:pStyle w:val="2"/>
      <w:spacing w:line="207" w:lineRule="auto"/>
      <w:ind w:left="5067"/>
      <w:rPr>
        <w:sz w:val="18"/>
        <w:szCs w:val="18"/>
      </w:rPr>
    </w:pPr>
    <w:r>
      <w:rPr>
        <w:b/>
        <w:bCs/>
        <w:spacing w:val="-14"/>
        <w:sz w:val="18"/>
        <w:szCs w:val="18"/>
      </w:rPr>
      <w:t>第</w:t>
    </w:r>
    <w:r>
      <w:rPr>
        <w:spacing w:val="-16"/>
        <w:sz w:val="18"/>
        <w:szCs w:val="18"/>
      </w:rPr>
      <w:t xml:space="preserve"> </w:t>
    </w:r>
    <w:r>
      <w:rPr>
        <w:b/>
        <w:bCs/>
        <w:spacing w:val="-14"/>
        <w:sz w:val="18"/>
        <w:szCs w:val="18"/>
      </w:rPr>
      <w:t>181</w:t>
    </w:r>
    <w:r>
      <w:rPr>
        <w:spacing w:val="-14"/>
        <w:sz w:val="18"/>
        <w:szCs w:val="18"/>
      </w:rPr>
      <w:t xml:space="preserve"> </w:t>
    </w:r>
    <w:r>
      <w:rPr>
        <w:b/>
        <w:bCs/>
        <w:spacing w:val="-14"/>
        <w:sz w:val="18"/>
        <w:szCs w:val="18"/>
      </w:rPr>
      <w:t>页</w:t>
    </w:r>
    <w:r>
      <w:rPr>
        <w:spacing w:val="-27"/>
        <w:sz w:val="18"/>
        <w:szCs w:val="18"/>
      </w:rPr>
      <w:t xml:space="preserve"> </w:t>
    </w:r>
    <w:r>
      <w:rPr>
        <w:b/>
        <w:bCs/>
        <w:spacing w:val="-14"/>
        <w:sz w:val="18"/>
        <w:szCs w:val="18"/>
      </w:rPr>
      <w:t>共</w:t>
    </w:r>
    <w:r>
      <w:rPr>
        <w:spacing w:val="-39"/>
        <w:sz w:val="18"/>
        <w:szCs w:val="18"/>
      </w:rPr>
      <w:t xml:space="preserve"> </w:t>
    </w:r>
    <w:r>
      <w:rPr>
        <w:b/>
        <w:bCs/>
        <w:spacing w:val="-14"/>
        <w:sz w:val="18"/>
        <w:szCs w:val="18"/>
      </w:rPr>
      <w:t>499</w:t>
    </w:r>
    <w:r>
      <w:rPr>
        <w:spacing w:val="-14"/>
        <w:sz w:val="18"/>
        <w:szCs w:val="18"/>
      </w:rPr>
      <w:t xml:space="preserve"> </w:t>
    </w:r>
    <w:r>
      <w:rPr>
        <w:b/>
        <w:bCs/>
        <w:spacing w:val="-14"/>
        <w:sz w:val="18"/>
        <w:szCs w:val="18"/>
      </w:rPr>
      <w:t>页</w:t>
    </w:r>
  </w:p>
</w:ftr>
</file>

<file path=word/footer1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2F7FD7">
    <w:pPr>
      <w:spacing w:after="13" w:line="454" w:lineRule="exact"/>
    </w:pPr>
  </w:p>
  <w:p w14:paraId="3264566F">
    <w:pPr>
      <w:pStyle w:val="2"/>
      <w:spacing w:line="207" w:lineRule="auto"/>
      <w:ind w:left="5067"/>
      <w:rPr>
        <w:sz w:val="18"/>
        <w:szCs w:val="18"/>
      </w:rPr>
    </w:pPr>
    <w:r>
      <w:rPr>
        <w:b/>
        <w:bCs/>
        <w:spacing w:val="-14"/>
        <w:sz w:val="18"/>
        <w:szCs w:val="18"/>
      </w:rPr>
      <w:t>第</w:t>
    </w:r>
    <w:r>
      <w:rPr>
        <w:spacing w:val="-16"/>
        <w:sz w:val="18"/>
        <w:szCs w:val="18"/>
      </w:rPr>
      <w:t xml:space="preserve"> </w:t>
    </w:r>
    <w:r>
      <w:rPr>
        <w:b/>
        <w:bCs/>
        <w:spacing w:val="-14"/>
        <w:sz w:val="18"/>
        <w:szCs w:val="18"/>
      </w:rPr>
      <w:t>182</w:t>
    </w:r>
    <w:r>
      <w:rPr>
        <w:spacing w:val="-14"/>
        <w:sz w:val="18"/>
        <w:szCs w:val="18"/>
      </w:rPr>
      <w:t xml:space="preserve"> </w:t>
    </w:r>
    <w:r>
      <w:rPr>
        <w:b/>
        <w:bCs/>
        <w:spacing w:val="-14"/>
        <w:sz w:val="18"/>
        <w:szCs w:val="18"/>
      </w:rPr>
      <w:t>页</w:t>
    </w:r>
    <w:r>
      <w:rPr>
        <w:spacing w:val="-27"/>
        <w:sz w:val="18"/>
        <w:szCs w:val="18"/>
      </w:rPr>
      <w:t xml:space="preserve"> </w:t>
    </w:r>
    <w:r>
      <w:rPr>
        <w:b/>
        <w:bCs/>
        <w:spacing w:val="-14"/>
        <w:sz w:val="18"/>
        <w:szCs w:val="18"/>
      </w:rPr>
      <w:t>共</w:t>
    </w:r>
    <w:r>
      <w:rPr>
        <w:spacing w:val="-39"/>
        <w:sz w:val="18"/>
        <w:szCs w:val="18"/>
      </w:rPr>
      <w:t xml:space="preserve"> </w:t>
    </w:r>
    <w:r>
      <w:rPr>
        <w:b/>
        <w:bCs/>
        <w:spacing w:val="-14"/>
        <w:sz w:val="18"/>
        <w:szCs w:val="18"/>
      </w:rPr>
      <w:t>499</w:t>
    </w:r>
    <w:r>
      <w:rPr>
        <w:spacing w:val="-14"/>
        <w:sz w:val="18"/>
        <w:szCs w:val="18"/>
      </w:rPr>
      <w:t xml:space="preserve"> </w:t>
    </w:r>
    <w:r>
      <w:rPr>
        <w:b/>
        <w:bCs/>
        <w:spacing w:val="-14"/>
        <w:sz w:val="18"/>
        <w:szCs w:val="18"/>
      </w:rPr>
      <w:t>页</w:t>
    </w:r>
  </w:p>
</w:ftr>
</file>

<file path=word/footer1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AE3280">
    <w:pPr>
      <w:spacing w:after="13" w:line="454" w:lineRule="exact"/>
    </w:pPr>
  </w:p>
  <w:p w14:paraId="1027FBB4">
    <w:pPr>
      <w:pStyle w:val="2"/>
      <w:spacing w:line="207" w:lineRule="auto"/>
      <w:ind w:left="5067"/>
      <w:rPr>
        <w:sz w:val="18"/>
        <w:szCs w:val="18"/>
      </w:rPr>
    </w:pPr>
    <w:r>
      <w:rPr>
        <w:b/>
        <w:bCs/>
        <w:spacing w:val="-14"/>
        <w:sz w:val="18"/>
        <w:szCs w:val="18"/>
      </w:rPr>
      <w:t>第</w:t>
    </w:r>
    <w:r>
      <w:rPr>
        <w:spacing w:val="-16"/>
        <w:sz w:val="18"/>
        <w:szCs w:val="18"/>
      </w:rPr>
      <w:t xml:space="preserve"> </w:t>
    </w:r>
    <w:r>
      <w:rPr>
        <w:b/>
        <w:bCs/>
        <w:spacing w:val="-14"/>
        <w:sz w:val="18"/>
        <w:szCs w:val="18"/>
      </w:rPr>
      <w:t>183</w:t>
    </w:r>
    <w:r>
      <w:rPr>
        <w:spacing w:val="-14"/>
        <w:sz w:val="18"/>
        <w:szCs w:val="18"/>
      </w:rPr>
      <w:t xml:space="preserve"> </w:t>
    </w:r>
    <w:r>
      <w:rPr>
        <w:b/>
        <w:bCs/>
        <w:spacing w:val="-14"/>
        <w:sz w:val="18"/>
        <w:szCs w:val="18"/>
      </w:rPr>
      <w:t>页</w:t>
    </w:r>
    <w:r>
      <w:rPr>
        <w:spacing w:val="-27"/>
        <w:sz w:val="18"/>
        <w:szCs w:val="18"/>
      </w:rPr>
      <w:t xml:space="preserve"> </w:t>
    </w:r>
    <w:r>
      <w:rPr>
        <w:b/>
        <w:bCs/>
        <w:spacing w:val="-14"/>
        <w:sz w:val="18"/>
        <w:szCs w:val="18"/>
      </w:rPr>
      <w:t>共</w:t>
    </w:r>
    <w:r>
      <w:rPr>
        <w:spacing w:val="-39"/>
        <w:sz w:val="18"/>
        <w:szCs w:val="18"/>
      </w:rPr>
      <w:t xml:space="preserve"> </w:t>
    </w:r>
    <w:r>
      <w:rPr>
        <w:b/>
        <w:bCs/>
        <w:spacing w:val="-14"/>
        <w:sz w:val="18"/>
        <w:szCs w:val="18"/>
      </w:rPr>
      <w:t>499</w:t>
    </w:r>
    <w:r>
      <w:rPr>
        <w:spacing w:val="-14"/>
        <w:sz w:val="18"/>
        <w:szCs w:val="18"/>
      </w:rPr>
      <w:t xml:space="preserve"> </w:t>
    </w:r>
    <w:r>
      <w:rPr>
        <w:b/>
        <w:bCs/>
        <w:spacing w:val="-14"/>
        <w:sz w:val="18"/>
        <w:szCs w:val="18"/>
      </w:rPr>
      <w:t>页</w:t>
    </w:r>
  </w:p>
</w:ftr>
</file>

<file path=word/footer1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8A137D">
    <w:pPr>
      <w:spacing w:after="13" w:line="454" w:lineRule="exact"/>
    </w:pPr>
  </w:p>
  <w:p w14:paraId="6CF3E1EE">
    <w:pPr>
      <w:pStyle w:val="2"/>
      <w:spacing w:line="207" w:lineRule="auto"/>
      <w:ind w:left="5067"/>
      <w:rPr>
        <w:sz w:val="18"/>
        <w:szCs w:val="18"/>
      </w:rPr>
    </w:pPr>
    <w:r>
      <w:rPr>
        <w:b/>
        <w:bCs/>
        <w:spacing w:val="-14"/>
        <w:sz w:val="18"/>
        <w:szCs w:val="18"/>
      </w:rPr>
      <w:t>第</w:t>
    </w:r>
    <w:r>
      <w:rPr>
        <w:spacing w:val="-16"/>
        <w:sz w:val="18"/>
        <w:szCs w:val="18"/>
      </w:rPr>
      <w:t xml:space="preserve"> </w:t>
    </w:r>
    <w:r>
      <w:rPr>
        <w:b/>
        <w:bCs/>
        <w:spacing w:val="-14"/>
        <w:sz w:val="18"/>
        <w:szCs w:val="18"/>
      </w:rPr>
      <w:t>184</w:t>
    </w:r>
    <w:r>
      <w:rPr>
        <w:spacing w:val="-14"/>
        <w:sz w:val="18"/>
        <w:szCs w:val="18"/>
      </w:rPr>
      <w:t xml:space="preserve"> </w:t>
    </w:r>
    <w:r>
      <w:rPr>
        <w:b/>
        <w:bCs/>
        <w:spacing w:val="-14"/>
        <w:sz w:val="18"/>
        <w:szCs w:val="18"/>
      </w:rPr>
      <w:t>页</w:t>
    </w:r>
    <w:r>
      <w:rPr>
        <w:spacing w:val="-27"/>
        <w:sz w:val="18"/>
        <w:szCs w:val="18"/>
      </w:rPr>
      <w:t xml:space="preserve"> </w:t>
    </w:r>
    <w:r>
      <w:rPr>
        <w:b/>
        <w:bCs/>
        <w:spacing w:val="-14"/>
        <w:sz w:val="18"/>
        <w:szCs w:val="18"/>
      </w:rPr>
      <w:t>共</w:t>
    </w:r>
    <w:r>
      <w:rPr>
        <w:spacing w:val="-39"/>
        <w:sz w:val="18"/>
        <w:szCs w:val="18"/>
      </w:rPr>
      <w:t xml:space="preserve"> </w:t>
    </w:r>
    <w:r>
      <w:rPr>
        <w:b/>
        <w:bCs/>
        <w:spacing w:val="-14"/>
        <w:sz w:val="18"/>
        <w:szCs w:val="18"/>
      </w:rPr>
      <w:t>499</w:t>
    </w:r>
    <w:r>
      <w:rPr>
        <w:spacing w:val="-14"/>
        <w:sz w:val="18"/>
        <w:szCs w:val="18"/>
      </w:rPr>
      <w:t xml:space="preserve"> </w:t>
    </w:r>
    <w:r>
      <w:rPr>
        <w:b/>
        <w:bCs/>
        <w:spacing w:val="-14"/>
        <w:sz w:val="18"/>
        <w:szCs w:val="18"/>
      </w:rPr>
      <w:t>页</w:t>
    </w:r>
  </w:p>
</w:ftr>
</file>

<file path=word/footer1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77ABE3">
    <w:pPr>
      <w:spacing w:after="13" w:line="454" w:lineRule="exact"/>
    </w:pPr>
  </w:p>
  <w:p w14:paraId="54A9538F">
    <w:pPr>
      <w:pStyle w:val="2"/>
      <w:spacing w:line="207" w:lineRule="auto"/>
      <w:ind w:left="5067"/>
      <w:rPr>
        <w:sz w:val="18"/>
        <w:szCs w:val="18"/>
      </w:rPr>
    </w:pPr>
    <w:r>
      <w:rPr>
        <w:b/>
        <w:bCs/>
        <w:spacing w:val="-14"/>
        <w:sz w:val="18"/>
        <w:szCs w:val="18"/>
      </w:rPr>
      <w:t>第</w:t>
    </w:r>
    <w:r>
      <w:rPr>
        <w:spacing w:val="-16"/>
        <w:sz w:val="18"/>
        <w:szCs w:val="18"/>
      </w:rPr>
      <w:t xml:space="preserve"> </w:t>
    </w:r>
    <w:r>
      <w:rPr>
        <w:b/>
        <w:bCs/>
        <w:spacing w:val="-14"/>
        <w:sz w:val="18"/>
        <w:szCs w:val="18"/>
      </w:rPr>
      <w:t>185</w:t>
    </w:r>
    <w:r>
      <w:rPr>
        <w:spacing w:val="-14"/>
        <w:sz w:val="18"/>
        <w:szCs w:val="18"/>
      </w:rPr>
      <w:t xml:space="preserve"> </w:t>
    </w:r>
    <w:r>
      <w:rPr>
        <w:b/>
        <w:bCs/>
        <w:spacing w:val="-14"/>
        <w:sz w:val="18"/>
        <w:szCs w:val="18"/>
      </w:rPr>
      <w:t>页</w:t>
    </w:r>
    <w:r>
      <w:rPr>
        <w:spacing w:val="-27"/>
        <w:sz w:val="18"/>
        <w:szCs w:val="18"/>
      </w:rPr>
      <w:t xml:space="preserve"> </w:t>
    </w:r>
    <w:r>
      <w:rPr>
        <w:b/>
        <w:bCs/>
        <w:spacing w:val="-14"/>
        <w:sz w:val="18"/>
        <w:szCs w:val="18"/>
      </w:rPr>
      <w:t>共</w:t>
    </w:r>
    <w:r>
      <w:rPr>
        <w:spacing w:val="-39"/>
        <w:sz w:val="18"/>
        <w:szCs w:val="18"/>
      </w:rPr>
      <w:t xml:space="preserve"> </w:t>
    </w:r>
    <w:r>
      <w:rPr>
        <w:b/>
        <w:bCs/>
        <w:spacing w:val="-14"/>
        <w:sz w:val="18"/>
        <w:szCs w:val="18"/>
      </w:rPr>
      <w:t>499</w:t>
    </w:r>
    <w:r>
      <w:rPr>
        <w:spacing w:val="-14"/>
        <w:sz w:val="18"/>
        <w:szCs w:val="18"/>
      </w:rPr>
      <w:t xml:space="preserve"> </w:t>
    </w:r>
    <w:r>
      <w:rPr>
        <w:b/>
        <w:bCs/>
        <w:spacing w:val="-14"/>
        <w:sz w:val="18"/>
        <w:szCs w:val="18"/>
      </w:rPr>
      <w:t>页</w:t>
    </w:r>
  </w:p>
</w:ftr>
</file>

<file path=word/footer1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C4ABB8">
    <w:pPr>
      <w:spacing w:after="13" w:line="454" w:lineRule="exact"/>
    </w:pPr>
  </w:p>
  <w:p w14:paraId="33323C9C">
    <w:pPr>
      <w:pStyle w:val="2"/>
      <w:spacing w:line="207" w:lineRule="auto"/>
      <w:ind w:left="5067"/>
      <w:rPr>
        <w:sz w:val="18"/>
        <w:szCs w:val="18"/>
      </w:rPr>
    </w:pPr>
    <w:r>
      <w:rPr>
        <w:b/>
        <w:bCs/>
        <w:spacing w:val="-14"/>
        <w:sz w:val="18"/>
        <w:szCs w:val="18"/>
      </w:rPr>
      <w:t>第</w:t>
    </w:r>
    <w:r>
      <w:rPr>
        <w:spacing w:val="-16"/>
        <w:sz w:val="18"/>
        <w:szCs w:val="18"/>
      </w:rPr>
      <w:t xml:space="preserve"> </w:t>
    </w:r>
    <w:r>
      <w:rPr>
        <w:b/>
        <w:bCs/>
        <w:spacing w:val="-14"/>
        <w:sz w:val="18"/>
        <w:szCs w:val="18"/>
      </w:rPr>
      <w:t>190</w:t>
    </w:r>
    <w:r>
      <w:rPr>
        <w:spacing w:val="-14"/>
        <w:sz w:val="18"/>
        <w:szCs w:val="18"/>
      </w:rPr>
      <w:t xml:space="preserve"> </w:t>
    </w:r>
    <w:r>
      <w:rPr>
        <w:b/>
        <w:bCs/>
        <w:spacing w:val="-14"/>
        <w:sz w:val="18"/>
        <w:szCs w:val="18"/>
      </w:rPr>
      <w:t>页</w:t>
    </w:r>
    <w:r>
      <w:rPr>
        <w:spacing w:val="-27"/>
        <w:sz w:val="18"/>
        <w:szCs w:val="18"/>
      </w:rPr>
      <w:t xml:space="preserve"> </w:t>
    </w:r>
    <w:r>
      <w:rPr>
        <w:b/>
        <w:bCs/>
        <w:spacing w:val="-14"/>
        <w:sz w:val="18"/>
        <w:szCs w:val="18"/>
      </w:rPr>
      <w:t>共</w:t>
    </w:r>
    <w:r>
      <w:rPr>
        <w:spacing w:val="-39"/>
        <w:sz w:val="18"/>
        <w:szCs w:val="18"/>
      </w:rPr>
      <w:t xml:space="preserve"> </w:t>
    </w:r>
    <w:r>
      <w:rPr>
        <w:b/>
        <w:bCs/>
        <w:spacing w:val="-14"/>
        <w:sz w:val="18"/>
        <w:szCs w:val="18"/>
      </w:rPr>
      <w:t>499</w:t>
    </w:r>
    <w:r>
      <w:rPr>
        <w:spacing w:val="-14"/>
        <w:sz w:val="18"/>
        <w:szCs w:val="18"/>
      </w:rPr>
      <w:t xml:space="preserve"> </w:t>
    </w:r>
    <w:r>
      <w:rPr>
        <w:b/>
        <w:bCs/>
        <w:spacing w:val="-14"/>
        <w:sz w:val="18"/>
        <w:szCs w:val="18"/>
      </w:rPr>
      <w:t>页</w:t>
    </w:r>
  </w:p>
</w:ftr>
</file>

<file path=word/footer1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78249D">
    <w:pPr>
      <w:spacing w:after="13" w:line="454" w:lineRule="exact"/>
    </w:pPr>
  </w:p>
  <w:p w14:paraId="33434ED7">
    <w:pPr>
      <w:pStyle w:val="2"/>
      <w:spacing w:line="207" w:lineRule="auto"/>
      <w:ind w:left="5067"/>
      <w:rPr>
        <w:sz w:val="18"/>
        <w:szCs w:val="18"/>
      </w:rPr>
    </w:pPr>
    <w:r>
      <w:rPr>
        <w:b/>
        <w:bCs/>
        <w:spacing w:val="-14"/>
        <w:sz w:val="18"/>
        <w:szCs w:val="18"/>
      </w:rPr>
      <w:t>第</w:t>
    </w:r>
    <w:r>
      <w:rPr>
        <w:spacing w:val="-16"/>
        <w:sz w:val="18"/>
        <w:szCs w:val="18"/>
      </w:rPr>
      <w:t xml:space="preserve"> </w:t>
    </w:r>
    <w:r>
      <w:rPr>
        <w:b/>
        <w:bCs/>
        <w:spacing w:val="-14"/>
        <w:sz w:val="18"/>
        <w:szCs w:val="18"/>
      </w:rPr>
      <w:t>191</w:t>
    </w:r>
    <w:r>
      <w:rPr>
        <w:spacing w:val="-14"/>
        <w:sz w:val="18"/>
        <w:szCs w:val="18"/>
      </w:rPr>
      <w:t xml:space="preserve"> </w:t>
    </w:r>
    <w:r>
      <w:rPr>
        <w:b/>
        <w:bCs/>
        <w:spacing w:val="-14"/>
        <w:sz w:val="18"/>
        <w:szCs w:val="18"/>
      </w:rPr>
      <w:t>页</w:t>
    </w:r>
    <w:r>
      <w:rPr>
        <w:spacing w:val="-27"/>
        <w:sz w:val="18"/>
        <w:szCs w:val="18"/>
      </w:rPr>
      <w:t xml:space="preserve"> </w:t>
    </w:r>
    <w:r>
      <w:rPr>
        <w:b/>
        <w:bCs/>
        <w:spacing w:val="-14"/>
        <w:sz w:val="18"/>
        <w:szCs w:val="18"/>
      </w:rPr>
      <w:t>共</w:t>
    </w:r>
    <w:r>
      <w:rPr>
        <w:spacing w:val="-39"/>
        <w:sz w:val="18"/>
        <w:szCs w:val="18"/>
      </w:rPr>
      <w:t xml:space="preserve"> </w:t>
    </w:r>
    <w:r>
      <w:rPr>
        <w:b/>
        <w:bCs/>
        <w:spacing w:val="-14"/>
        <w:sz w:val="18"/>
        <w:szCs w:val="18"/>
      </w:rPr>
      <w:t>499</w:t>
    </w:r>
    <w:r>
      <w:rPr>
        <w:spacing w:val="-14"/>
        <w:sz w:val="18"/>
        <w:szCs w:val="18"/>
      </w:rPr>
      <w:t xml:space="preserve"> </w:t>
    </w:r>
    <w:r>
      <w:rPr>
        <w:b/>
        <w:bCs/>
        <w:spacing w:val="-14"/>
        <w:sz w:val="18"/>
        <w:szCs w:val="18"/>
      </w:rPr>
      <w:t>页</w:t>
    </w:r>
  </w:p>
</w:ftr>
</file>

<file path=word/footer1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CD39CA">
    <w:pPr>
      <w:spacing w:after="13" w:line="454" w:lineRule="exact"/>
    </w:pPr>
  </w:p>
  <w:p w14:paraId="73FABBAB">
    <w:pPr>
      <w:pStyle w:val="2"/>
      <w:spacing w:line="207" w:lineRule="auto"/>
      <w:ind w:left="5067"/>
      <w:rPr>
        <w:sz w:val="18"/>
        <w:szCs w:val="18"/>
      </w:rPr>
    </w:pPr>
    <w:r>
      <w:rPr>
        <w:b/>
        <w:bCs/>
        <w:spacing w:val="-14"/>
        <w:sz w:val="18"/>
        <w:szCs w:val="18"/>
      </w:rPr>
      <w:t>第</w:t>
    </w:r>
    <w:r>
      <w:rPr>
        <w:spacing w:val="-16"/>
        <w:sz w:val="18"/>
        <w:szCs w:val="18"/>
      </w:rPr>
      <w:t xml:space="preserve"> </w:t>
    </w:r>
    <w:r>
      <w:rPr>
        <w:b/>
        <w:bCs/>
        <w:spacing w:val="-14"/>
        <w:sz w:val="18"/>
        <w:szCs w:val="18"/>
      </w:rPr>
      <w:t>192</w:t>
    </w:r>
    <w:r>
      <w:rPr>
        <w:spacing w:val="-14"/>
        <w:sz w:val="18"/>
        <w:szCs w:val="18"/>
      </w:rPr>
      <w:t xml:space="preserve"> </w:t>
    </w:r>
    <w:r>
      <w:rPr>
        <w:b/>
        <w:bCs/>
        <w:spacing w:val="-14"/>
        <w:sz w:val="18"/>
        <w:szCs w:val="18"/>
      </w:rPr>
      <w:t>页</w:t>
    </w:r>
    <w:r>
      <w:rPr>
        <w:spacing w:val="-27"/>
        <w:sz w:val="18"/>
        <w:szCs w:val="18"/>
      </w:rPr>
      <w:t xml:space="preserve"> </w:t>
    </w:r>
    <w:r>
      <w:rPr>
        <w:b/>
        <w:bCs/>
        <w:spacing w:val="-14"/>
        <w:sz w:val="18"/>
        <w:szCs w:val="18"/>
      </w:rPr>
      <w:t>共</w:t>
    </w:r>
    <w:r>
      <w:rPr>
        <w:spacing w:val="-39"/>
        <w:sz w:val="18"/>
        <w:szCs w:val="18"/>
      </w:rPr>
      <w:t xml:space="preserve"> </w:t>
    </w:r>
    <w:r>
      <w:rPr>
        <w:b/>
        <w:bCs/>
        <w:spacing w:val="-14"/>
        <w:sz w:val="18"/>
        <w:szCs w:val="18"/>
      </w:rPr>
      <w:t>499</w:t>
    </w:r>
    <w:r>
      <w:rPr>
        <w:spacing w:val="-14"/>
        <w:sz w:val="18"/>
        <w:szCs w:val="18"/>
      </w:rPr>
      <w:t xml:space="preserve"> </w:t>
    </w:r>
    <w:r>
      <w:rPr>
        <w:b/>
        <w:bCs/>
        <w:spacing w:val="-14"/>
        <w:sz w:val="18"/>
        <w:szCs w:val="18"/>
      </w:rPr>
      <w:t>页</w:t>
    </w:r>
  </w:p>
</w:ftr>
</file>

<file path=word/footer1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FFEB83">
    <w:pPr>
      <w:spacing w:after="13" w:line="454" w:lineRule="exact"/>
    </w:pPr>
  </w:p>
  <w:p w14:paraId="16E0C6B4">
    <w:pPr>
      <w:pStyle w:val="2"/>
      <w:spacing w:line="207" w:lineRule="auto"/>
      <w:ind w:left="5067"/>
      <w:rPr>
        <w:sz w:val="18"/>
        <w:szCs w:val="18"/>
      </w:rPr>
    </w:pPr>
    <w:r>
      <w:rPr>
        <w:b/>
        <w:bCs/>
        <w:spacing w:val="-14"/>
        <w:sz w:val="18"/>
        <w:szCs w:val="18"/>
      </w:rPr>
      <w:t>第</w:t>
    </w:r>
    <w:r>
      <w:rPr>
        <w:spacing w:val="-16"/>
        <w:sz w:val="18"/>
        <w:szCs w:val="18"/>
      </w:rPr>
      <w:t xml:space="preserve"> </w:t>
    </w:r>
    <w:r>
      <w:rPr>
        <w:b/>
        <w:bCs/>
        <w:spacing w:val="-14"/>
        <w:sz w:val="18"/>
        <w:szCs w:val="18"/>
      </w:rPr>
      <w:t>193</w:t>
    </w:r>
    <w:r>
      <w:rPr>
        <w:spacing w:val="-14"/>
        <w:sz w:val="18"/>
        <w:szCs w:val="18"/>
      </w:rPr>
      <w:t xml:space="preserve"> </w:t>
    </w:r>
    <w:r>
      <w:rPr>
        <w:b/>
        <w:bCs/>
        <w:spacing w:val="-14"/>
        <w:sz w:val="18"/>
        <w:szCs w:val="18"/>
      </w:rPr>
      <w:t>页</w:t>
    </w:r>
    <w:r>
      <w:rPr>
        <w:spacing w:val="-27"/>
        <w:sz w:val="18"/>
        <w:szCs w:val="18"/>
      </w:rPr>
      <w:t xml:space="preserve"> </w:t>
    </w:r>
    <w:r>
      <w:rPr>
        <w:b/>
        <w:bCs/>
        <w:spacing w:val="-14"/>
        <w:sz w:val="18"/>
        <w:szCs w:val="18"/>
      </w:rPr>
      <w:t>共</w:t>
    </w:r>
    <w:r>
      <w:rPr>
        <w:spacing w:val="-39"/>
        <w:sz w:val="18"/>
        <w:szCs w:val="18"/>
      </w:rPr>
      <w:t xml:space="preserve"> </w:t>
    </w:r>
    <w:r>
      <w:rPr>
        <w:b/>
        <w:bCs/>
        <w:spacing w:val="-14"/>
        <w:sz w:val="18"/>
        <w:szCs w:val="18"/>
      </w:rPr>
      <w:t>499</w:t>
    </w:r>
    <w:r>
      <w:rPr>
        <w:spacing w:val="-14"/>
        <w:sz w:val="18"/>
        <w:szCs w:val="18"/>
      </w:rPr>
      <w:t xml:space="preserve"> </w:t>
    </w:r>
    <w:r>
      <w:rPr>
        <w:b/>
        <w:bCs/>
        <w:spacing w:val="-14"/>
        <w:sz w:val="18"/>
        <w:szCs w:val="18"/>
      </w:rPr>
      <w:t>页</w:t>
    </w:r>
  </w:p>
</w:ftr>
</file>

<file path=word/footer1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BEFDC9">
    <w:pPr>
      <w:spacing w:after="13" w:line="454" w:lineRule="exact"/>
    </w:pPr>
  </w:p>
  <w:p w14:paraId="1F6798B2">
    <w:pPr>
      <w:pStyle w:val="2"/>
      <w:spacing w:line="207" w:lineRule="auto"/>
      <w:ind w:left="5067"/>
      <w:rPr>
        <w:sz w:val="18"/>
        <w:szCs w:val="18"/>
      </w:rPr>
    </w:pPr>
    <w:r>
      <w:rPr>
        <w:b/>
        <w:bCs/>
        <w:spacing w:val="-14"/>
        <w:sz w:val="18"/>
        <w:szCs w:val="18"/>
      </w:rPr>
      <w:t>第</w:t>
    </w:r>
    <w:r>
      <w:rPr>
        <w:spacing w:val="-16"/>
        <w:sz w:val="18"/>
        <w:szCs w:val="18"/>
      </w:rPr>
      <w:t xml:space="preserve"> </w:t>
    </w:r>
    <w:r>
      <w:rPr>
        <w:b/>
        <w:bCs/>
        <w:spacing w:val="-14"/>
        <w:sz w:val="18"/>
        <w:szCs w:val="18"/>
      </w:rPr>
      <w:t>194</w:t>
    </w:r>
    <w:r>
      <w:rPr>
        <w:spacing w:val="-14"/>
        <w:sz w:val="18"/>
        <w:szCs w:val="18"/>
      </w:rPr>
      <w:t xml:space="preserve"> </w:t>
    </w:r>
    <w:r>
      <w:rPr>
        <w:b/>
        <w:bCs/>
        <w:spacing w:val="-14"/>
        <w:sz w:val="18"/>
        <w:szCs w:val="18"/>
      </w:rPr>
      <w:t>页</w:t>
    </w:r>
    <w:r>
      <w:rPr>
        <w:spacing w:val="-27"/>
        <w:sz w:val="18"/>
        <w:szCs w:val="18"/>
      </w:rPr>
      <w:t xml:space="preserve"> </w:t>
    </w:r>
    <w:r>
      <w:rPr>
        <w:b/>
        <w:bCs/>
        <w:spacing w:val="-14"/>
        <w:sz w:val="18"/>
        <w:szCs w:val="18"/>
      </w:rPr>
      <w:t>共</w:t>
    </w:r>
    <w:r>
      <w:rPr>
        <w:spacing w:val="-39"/>
        <w:sz w:val="18"/>
        <w:szCs w:val="18"/>
      </w:rPr>
      <w:t xml:space="preserve"> </w:t>
    </w:r>
    <w:r>
      <w:rPr>
        <w:b/>
        <w:bCs/>
        <w:spacing w:val="-14"/>
        <w:sz w:val="18"/>
        <w:szCs w:val="18"/>
      </w:rPr>
      <w:t>499</w:t>
    </w:r>
    <w:r>
      <w:rPr>
        <w:spacing w:val="-14"/>
        <w:sz w:val="18"/>
        <w:szCs w:val="18"/>
      </w:rPr>
      <w:t xml:space="preserve"> </w:t>
    </w:r>
    <w:r>
      <w:rPr>
        <w:b/>
        <w:bCs/>
        <w:spacing w:val="-14"/>
        <w:sz w:val="18"/>
        <w:szCs w:val="18"/>
      </w:rPr>
      <w:t>页</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977F69">
    <w:pPr>
      <w:spacing w:after="12" w:line="455" w:lineRule="exact"/>
    </w:pPr>
  </w:p>
  <w:p w14:paraId="519A3C19">
    <w:pPr>
      <w:pStyle w:val="2"/>
      <w:spacing w:line="207" w:lineRule="auto"/>
      <w:ind w:left="5466"/>
      <w:rPr>
        <w:sz w:val="18"/>
        <w:szCs w:val="18"/>
      </w:rPr>
    </w:pPr>
    <w:r>
      <w:rPr>
        <w:b/>
        <w:bCs/>
        <w:spacing w:val="-14"/>
        <w:sz w:val="18"/>
        <w:szCs w:val="18"/>
      </w:rPr>
      <w:t>第</w:t>
    </w:r>
    <w:r>
      <w:rPr>
        <w:spacing w:val="-18"/>
        <w:sz w:val="18"/>
        <w:szCs w:val="18"/>
      </w:rPr>
      <w:t xml:space="preserve"> </w:t>
    </w:r>
    <w:r>
      <w:rPr>
        <w:b/>
        <w:bCs/>
        <w:spacing w:val="-14"/>
        <w:sz w:val="18"/>
        <w:szCs w:val="18"/>
      </w:rPr>
      <w:t>17</w:t>
    </w:r>
    <w:r>
      <w:rPr>
        <w:spacing w:val="-14"/>
        <w:sz w:val="18"/>
        <w:szCs w:val="18"/>
      </w:rPr>
      <w:t xml:space="preserve"> </w:t>
    </w:r>
    <w:r>
      <w:rPr>
        <w:b/>
        <w:bCs/>
        <w:spacing w:val="-14"/>
        <w:sz w:val="18"/>
        <w:szCs w:val="18"/>
      </w:rPr>
      <w:t>页</w:t>
    </w:r>
    <w:r>
      <w:rPr>
        <w:spacing w:val="-27"/>
        <w:sz w:val="18"/>
        <w:szCs w:val="18"/>
      </w:rPr>
      <w:t xml:space="preserve"> </w:t>
    </w:r>
    <w:r>
      <w:rPr>
        <w:b/>
        <w:bCs/>
        <w:spacing w:val="-14"/>
        <w:sz w:val="18"/>
        <w:szCs w:val="18"/>
      </w:rPr>
      <w:t>共</w:t>
    </w:r>
    <w:r>
      <w:rPr>
        <w:spacing w:val="-38"/>
        <w:sz w:val="18"/>
        <w:szCs w:val="18"/>
      </w:rPr>
      <w:t xml:space="preserve"> </w:t>
    </w:r>
    <w:r>
      <w:rPr>
        <w:b/>
        <w:bCs/>
        <w:spacing w:val="-14"/>
        <w:sz w:val="18"/>
        <w:szCs w:val="18"/>
      </w:rPr>
      <w:t>499</w:t>
    </w:r>
    <w:r>
      <w:rPr>
        <w:spacing w:val="-14"/>
        <w:sz w:val="18"/>
        <w:szCs w:val="18"/>
      </w:rPr>
      <w:t xml:space="preserve"> </w:t>
    </w:r>
    <w:r>
      <w:rPr>
        <w:b/>
        <w:bCs/>
        <w:spacing w:val="-14"/>
        <w:sz w:val="18"/>
        <w:szCs w:val="18"/>
      </w:rPr>
      <w:t>页</w:t>
    </w:r>
  </w:p>
</w:ftr>
</file>

<file path=word/footer1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81F5D7">
    <w:pPr>
      <w:spacing w:after="13" w:line="454" w:lineRule="exact"/>
    </w:pPr>
  </w:p>
  <w:p w14:paraId="7E54A050">
    <w:pPr>
      <w:pStyle w:val="2"/>
      <w:spacing w:line="207" w:lineRule="auto"/>
      <w:ind w:left="5067"/>
      <w:rPr>
        <w:sz w:val="18"/>
        <w:szCs w:val="18"/>
      </w:rPr>
    </w:pPr>
    <w:r>
      <w:rPr>
        <w:b/>
        <w:bCs/>
        <w:spacing w:val="-14"/>
        <w:sz w:val="18"/>
        <w:szCs w:val="18"/>
      </w:rPr>
      <w:t>第</w:t>
    </w:r>
    <w:r>
      <w:rPr>
        <w:spacing w:val="-16"/>
        <w:sz w:val="18"/>
        <w:szCs w:val="18"/>
      </w:rPr>
      <w:t xml:space="preserve"> </w:t>
    </w:r>
    <w:r>
      <w:rPr>
        <w:b/>
        <w:bCs/>
        <w:spacing w:val="-14"/>
        <w:sz w:val="18"/>
        <w:szCs w:val="18"/>
      </w:rPr>
      <w:t>195</w:t>
    </w:r>
    <w:r>
      <w:rPr>
        <w:spacing w:val="-14"/>
        <w:sz w:val="18"/>
        <w:szCs w:val="18"/>
      </w:rPr>
      <w:t xml:space="preserve"> </w:t>
    </w:r>
    <w:r>
      <w:rPr>
        <w:b/>
        <w:bCs/>
        <w:spacing w:val="-14"/>
        <w:sz w:val="18"/>
        <w:szCs w:val="18"/>
      </w:rPr>
      <w:t>页</w:t>
    </w:r>
    <w:r>
      <w:rPr>
        <w:spacing w:val="-27"/>
        <w:sz w:val="18"/>
        <w:szCs w:val="18"/>
      </w:rPr>
      <w:t xml:space="preserve"> </w:t>
    </w:r>
    <w:r>
      <w:rPr>
        <w:b/>
        <w:bCs/>
        <w:spacing w:val="-14"/>
        <w:sz w:val="18"/>
        <w:szCs w:val="18"/>
      </w:rPr>
      <w:t>共</w:t>
    </w:r>
    <w:r>
      <w:rPr>
        <w:spacing w:val="-39"/>
        <w:sz w:val="18"/>
        <w:szCs w:val="18"/>
      </w:rPr>
      <w:t xml:space="preserve"> </w:t>
    </w:r>
    <w:r>
      <w:rPr>
        <w:b/>
        <w:bCs/>
        <w:spacing w:val="-14"/>
        <w:sz w:val="18"/>
        <w:szCs w:val="18"/>
      </w:rPr>
      <w:t>499</w:t>
    </w:r>
    <w:r>
      <w:rPr>
        <w:spacing w:val="-14"/>
        <w:sz w:val="18"/>
        <w:szCs w:val="18"/>
      </w:rPr>
      <w:t xml:space="preserve"> </w:t>
    </w:r>
    <w:r>
      <w:rPr>
        <w:b/>
        <w:bCs/>
        <w:spacing w:val="-14"/>
        <w:sz w:val="18"/>
        <w:szCs w:val="18"/>
      </w:rPr>
      <w:t>页</w:t>
    </w:r>
  </w:p>
</w:ftr>
</file>

<file path=word/footer1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FA5D6C">
    <w:pPr>
      <w:spacing w:after="13" w:line="454" w:lineRule="exact"/>
    </w:pPr>
  </w:p>
  <w:p w14:paraId="5D3660D8">
    <w:pPr>
      <w:pStyle w:val="2"/>
      <w:spacing w:line="207" w:lineRule="auto"/>
      <w:ind w:left="5067"/>
      <w:rPr>
        <w:sz w:val="18"/>
        <w:szCs w:val="18"/>
      </w:rPr>
    </w:pPr>
    <w:r>
      <w:rPr>
        <w:b/>
        <w:bCs/>
        <w:spacing w:val="-14"/>
        <w:sz w:val="18"/>
        <w:szCs w:val="18"/>
      </w:rPr>
      <w:t>第</w:t>
    </w:r>
    <w:r>
      <w:rPr>
        <w:spacing w:val="-16"/>
        <w:sz w:val="18"/>
        <w:szCs w:val="18"/>
      </w:rPr>
      <w:t xml:space="preserve"> </w:t>
    </w:r>
    <w:r>
      <w:rPr>
        <w:b/>
        <w:bCs/>
        <w:spacing w:val="-14"/>
        <w:sz w:val="18"/>
        <w:szCs w:val="18"/>
      </w:rPr>
      <w:t>196</w:t>
    </w:r>
    <w:r>
      <w:rPr>
        <w:spacing w:val="-14"/>
        <w:sz w:val="18"/>
        <w:szCs w:val="18"/>
      </w:rPr>
      <w:t xml:space="preserve"> </w:t>
    </w:r>
    <w:r>
      <w:rPr>
        <w:b/>
        <w:bCs/>
        <w:spacing w:val="-14"/>
        <w:sz w:val="18"/>
        <w:szCs w:val="18"/>
      </w:rPr>
      <w:t>页</w:t>
    </w:r>
    <w:r>
      <w:rPr>
        <w:spacing w:val="-27"/>
        <w:sz w:val="18"/>
        <w:szCs w:val="18"/>
      </w:rPr>
      <w:t xml:space="preserve"> </w:t>
    </w:r>
    <w:r>
      <w:rPr>
        <w:b/>
        <w:bCs/>
        <w:spacing w:val="-14"/>
        <w:sz w:val="18"/>
        <w:szCs w:val="18"/>
      </w:rPr>
      <w:t>共</w:t>
    </w:r>
    <w:r>
      <w:rPr>
        <w:spacing w:val="-39"/>
        <w:sz w:val="18"/>
        <w:szCs w:val="18"/>
      </w:rPr>
      <w:t xml:space="preserve"> </w:t>
    </w:r>
    <w:r>
      <w:rPr>
        <w:b/>
        <w:bCs/>
        <w:spacing w:val="-14"/>
        <w:sz w:val="18"/>
        <w:szCs w:val="18"/>
      </w:rPr>
      <w:t>499</w:t>
    </w:r>
    <w:r>
      <w:rPr>
        <w:spacing w:val="-14"/>
        <w:sz w:val="18"/>
        <w:szCs w:val="18"/>
      </w:rPr>
      <w:t xml:space="preserve"> </w:t>
    </w:r>
    <w:r>
      <w:rPr>
        <w:b/>
        <w:bCs/>
        <w:spacing w:val="-14"/>
        <w:sz w:val="18"/>
        <w:szCs w:val="18"/>
      </w:rPr>
      <w:t>页</w:t>
    </w:r>
  </w:p>
</w:ftr>
</file>

<file path=word/footer1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D21759">
    <w:pPr>
      <w:spacing w:after="13" w:line="454" w:lineRule="exact"/>
    </w:pPr>
  </w:p>
  <w:p w14:paraId="737E386C">
    <w:pPr>
      <w:pStyle w:val="2"/>
      <w:spacing w:line="207" w:lineRule="auto"/>
      <w:ind w:left="5067"/>
      <w:rPr>
        <w:sz w:val="18"/>
        <w:szCs w:val="18"/>
      </w:rPr>
    </w:pPr>
    <w:r>
      <w:rPr>
        <w:b/>
        <w:bCs/>
        <w:spacing w:val="-14"/>
        <w:sz w:val="18"/>
        <w:szCs w:val="18"/>
      </w:rPr>
      <w:t>第</w:t>
    </w:r>
    <w:r>
      <w:rPr>
        <w:spacing w:val="-16"/>
        <w:sz w:val="18"/>
        <w:szCs w:val="18"/>
      </w:rPr>
      <w:t xml:space="preserve"> </w:t>
    </w:r>
    <w:r>
      <w:rPr>
        <w:b/>
        <w:bCs/>
        <w:spacing w:val="-14"/>
        <w:sz w:val="18"/>
        <w:szCs w:val="18"/>
      </w:rPr>
      <w:t>197</w:t>
    </w:r>
    <w:r>
      <w:rPr>
        <w:spacing w:val="-14"/>
        <w:sz w:val="18"/>
        <w:szCs w:val="18"/>
      </w:rPr>
      <w:t xml:space="preserve"> </w:t>
    </w:r>
    <w:r>
      <w:rPr>
        <w:b/>
        <w:bCs/>
        <w:spacing w:val="-14"/>
        <w:sz w:val="18"/>
        <w:szCs w:val="18"/>
      </w:rPr>
      <w:t>页</w:t>
    </w:r>
    <w:r>
      <w:rPr>
        <w:spacing w:val="-27"/>
        <w:sz w:val="18"/>
        <w:szCs w:val="18"/>
      </w:rPr>
      <w:t xml:space="preserve"> </w:t>
    </w:r>
    <w:r>
      <w:rPr>
        <w:b/>
        <w:bCs/>
        <w:spacing w:val="-14"/>
        <w:sz w:val="18"/>
        <w:szCs w:val="18"/>
      </w:rPr>
      <w:t>共</w:t>
    </w:r>
    <w:r>
      <w:rPr>
        <w:spacing w:val="-39"/>
        <w:sz w:val="18"/>
        <w:szCs w:val="18"/>
      </w:rPr>
      <w:t xml:space="preserve"> </w:t>
    </w:r>
    <w:r>
      <w:rPr>
        <w:b/>
        <w:bCs/>
        <w:spacing w:val="-14"/>
        <w:sz w:val="18"/>
        <w:szCs w:val="18"/>
      </w:rPr>
      <w:t>499</w:t>
    </w:r>
    <w:r>
      <w:rPr>
        <w:spacing w:val="-14"/>
        <w:sz w:val="18"/>
        <w:szCs w:val="18"/>
      </w:rPr>
      <w:t xml:space="preserve"> </w:t>
    </w:r>
    <w:r>
      <w:rPr>
        <w:b/>
        <w:bCs/>
        <w:spacing w:val="-14"/>
        <w:sz w:val="18"/>
        <w:szCs w:val="18"/>
      </w:rPr>
      <w:t>页</w:t>
    </w:r>
  </w:p>
</w:ftr>
</file>

<file path=word/footer1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B7B693">
    <w:pPr>
      <w:spacing w:after="13" w:line="454" w:lineRule="exact"/>
    </w:pPr>
  </w:p>
  <w:p w14:paraId="525AA08D">
    <w:pPr>
      <w:pStyle w:val="2"/>
      <w:spacing w:line="207" w:lineRule="auto"/>
      <w:ind w:left="5067"/>
      <w:rPr>
        <w:sz w:val="18"/>
        <w:szCs w:val="18"/>
      </w:rPr>
    </w:pPr>
    <w:r>
      <w:rPr>
        <w:b/>
        <w:bCs/>
        <w:spacing w:val="-14"/>
        <w:sz w:val="18"/>
        <w:szCs w:val="18"/>
      </w:rPr>
      <w:t>第</w:t>
    </w:r>
    <w:r>
      <w:rPr>
        <w:spacing w:val="-16"/>
        <w:sz w:val="18"/>
        <w:szCs w:val="18"/>
      </w:rPr>
      <w:t xml:space="preserve"> </w:t>
    </w:r>
    <w:r>
      <w:rPr>
        <w:b/>
        <w:bCs/>
        <w:spacing w:val="-14"/>
        <w:sz w:val="18"/>
        <w:szCs w:val="18"/>
      </w:rPr>
      <w:t>198</w:t>
    </w:r>
    <w:r>
      <w:rPr>
        <w:spacing w:val="-14"/>
        <w:sz w:val="18"/>
        <w:szCs w:val="18"/>
      </w:rPr>
      <w:t xml:space="preserve"> </w:t>
    </w:r>
    <w:r>
      <w:rPr>
        <w:b/>
        <w:bCs/>
        <w:spacing w:val="-14"/>
        <w:sz w:val="18"/>
        <w:szCs w:val="18"/>
      </w:rPr>
      <w:t>页</w:t>
    </w:r>
    <w:r>
      <w:rPr>
        <w:spacing w:val="-27"/>
        <w:sz w:val="18"/>
        <w:szCs w:val="18"/>
      </w:rPr>
      <w:t xml:space="preserve"> </w:t>
    </w:r>
    <w:r>
      <w:rPr>
        <w:b/>
        <w:bCs/>
        <w:spacing w:val="-14"/>
        <w:sz w:val="18"/>
        <w:szCs w:val="18"/>
      </w:rPr>
      <w:t>共</w:t>
    </w:r>
    <w:r>
      <w:rPr>
        <w:spacing w:val="-39"/>
        <w:sz w:val="18"/>
        <w:szCs w:val="18"/>
      </w:rPr>
      <w:t xml:space="preserve"> </w:t>
    </w:r>
    <w:r>
      <w:rPr>
        <w:b/>
        <w:bCs/>
        <w:spacing w:val="-14"/>
        <w:sz w:val="18"/>
        <w:szCs w:val="18"/>
      </w:rPr>
      <w:t>499</w:t>
    </w:r>
    <w:r>
      <w:rPr>
        <w:spacing w:val="-14"/>
        <w:sz w:val="18"/>
        <w:szCs w:val="18"/>
      </w:rPr>
      <w:t xml:space="preserve"> </w:t>
    </w:r>
    <w:r>
      <w:rPr>
        <w:b/>
        <w:bCs/>
        <w:spacing w:val="-14"/>
        <w:sz w:val="18"/>
        <w:szCs w:val="18"/>
      </w:rPr>
      <w:t>页</w:t>
    </w:r>
  </w:p>
</w:ftr>
</file>

<file path=word/footer1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F59AD7">
    <w:pPr>
      <w:spacing w:after="13" w:line="454" w:lineRule="exact"/>
    </w:pPr>
  </w:p>
  <w:p w14:paraId="58EBCCCD">
    <w:pPr>
      <w:pStyle w:val="2"/>
      <w:spacing w:line="207" w:lineRule="auto"/>
      <w:ind w:left="5067"/>
      <w:rPr>
        <w:sz w:val="18"/>
        <w:szCs w:val="18"/>
      </w:rPr>
    </w:pPr>
    <w:r>
      <w:rPr>
        <w:b/>
        <w:bCs/>
        <w:spacing w:val="-14"/>
        <w:sz w:val="18"/>
        <w:szCs w:val="18"/>
      </w:rPr>
      <w:t>第</w:t>
    </w:r>
    <w:r>
      <w:rPr>
        <w:spacing w:val="-16"/>
        <w:sz w:val="18"/>
        <w:szCs w:val="18"/>
      </w:rPr>
      <w:t xml:space="preserve"> </w:t>
    </w:r>
    <w:r>
      <w:rPr>
        <w:b/>
        <w:bCs/>
        <w:spacing w:val="-14"/>
        <w:sz w:val="18"/>
        <w:szCs w:val="18"/>
      </w:rPr>
      <w:t>199</w:t>
    </w:r>
    <w:r>
      <w:rPr>
        <w:spacing w:val="-14"/>
        <w:sz w:val="18"/>
        <w:szCs w:val="18"/>
      </w:rPr>
      <w:t xml:space="preserve"> </w:t>
    </w:r>
    <w:r>
      <w:rPr>
        <w:b/>
        <w:bCs/>
        <w:spacing w:val="-14"/>
        <w:sz w:val="18"/>
        <w:szCs w:val="18"/>
      </w:rPr>
      <w:t>页</w:t>
    </w:r>
    <w:r>
      <w:rPr>
        <w:spacing w:val="-27"/>
        <w:sz w:val="18"/>
        <w:szCs w:val="18"/>
      </w:rPr>
      <w:t xml:space="preserve"> </w:t>
    </w:r>
    <w:r>
      <w:rPr>
        <w:b/>
        <w:bCs/>
        <w:spacing w:val="-14"/>
        <w:sz w:val="18"/>
        <w:szCs w:val="18"/>
      </w:rPr>
      <w:t>共</w:t>
    </w:r>
    <w:r>
      <w:rPr>
        <w:spacing w:val="-39"/>
        <w:sz w:val="18"/>
        <w:szCs w:val="18"/>
      </w:rPr>
      <w:t xml:space="preserve"> </w:t>
    </w:r>
    <w:r>
      <w:rPr>
        <w:b/>
        <w:bCs/>
        <w:spacing w:val="-14"/>
        <w:sz w:val="18"/>
        <w:szCs w:val="18"/>
      </w:rPr>
      <w:t>499</w:t>
    </w:r>
    <w:r>
      <w:rPr>
        <w:spacing w:val="-14"/>
        <w:sz w:val="18"/>
        <w:szCs w:val="18"/>
      </w:rPr>
      <w:t xml:space="preserve"> </w:t>
    </w:r>
    <w:r>
      <w:rPr>
        <w:b/>
        <w:bCs/>
        <w:spacing w:val="-14"/>
        <w:sz w:val="18"/>
        <w:szCs w:val="18"/>
      </w:rPr>
      <w:t>页</w:t>
    </w:r>
  </w:p>
</w:ftr>
</file>

<file path=word/footer1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C969D2">
    <w:pPr>
      <w:spacing w:after="13" w:line="454" w:lineRule="exact"/>
    </w:pPr>
  </w:p>
  <w:p w14:paraId="2F109B40">
    <w:pPr>
      <w:pStyle w:val="2"/>
      <w:spacing w:line="207" w:lineRule="auto"/>
      <w:ind w:left="5067"/>
      <w:rPr>
        <w:sz w:val="18"/>
        <w:szCs w:val="18"/>
      </w:rPr>
    </w:pPr>
    <w:r>
      <w:rPr>
        <w:b/>
        <w:bCs/>
        <w:spacing w:val="-13"/>
        <w:sz w:val="18"/>
        <w:szCs w:val="18"/>
      </w:rPr>
      <w:t>第</w:t>
    </w:r>
    <w:r>
      <w:rPr>
        <w:spacing w:val="-28"/>
        <w:sz w:val="18"/>
        <w:szCs w:val="18"/>
      </w:rPr>
      <w:t xml:space="preserve"> </w:t>
    </w:r>
    <w:r>
      <w:rPr>
        <w:b/>
        <w:bCs/>
        <w:spacing w:val="-13"/>
        <w:sz w:val="18"/>
        <w:szCs w:val="18"/>
      </w:rPr>
      <w:t>200</w:t>
    </w:r>
    <w:r>
      <w:rPr>
        <w:spacing w:val="-13"/>
        <w:sz w:val="18"/>
        <w:szCs w:val="18"/>
      </w:rPr>
      <w:t xml:space="preserve"> </w:t>
    </w:r>
    <w:r>
      <w:rPr>
        <w:b/>
        <w:bCs/>
        <w:spacing w:val="-13"/>
        <w:sz w:val="18"/>
        <w:szCs w:val="18"/>
      </w:rPr>
      <w:t>页</w:t>
    </w:r>
    <w:r>
      <w:rPr>
        <w:spacing w:val="-27"/>
        <w:sz w:val="18"/>
        <w:szCs w:val="18"/>
      </w:rPr>
      <w:t xml:space="preserve"> </w:t>
    </w:r>
    <w:r>
      <w:rPr>
        <w:b/>
        <w:bCs/>
        <w:spacing w:val="-13"/>
        <w:sz w:val="18"/>
        <w:szCs w:val="18"/>
      </w:rPr>
      <w:t>共</w:t>
    </w:r>
    <w:r>
      <w:rPr>
        <w:spacing w:val="-39"/>
        <w:sz w:val="18"/>
        <w:szCs w:val="18"/>
      </w:rPr>
      <w:t xml:space="preserve"> </w:t>
    </w:r>
    <w:r>
      <w:rPr>
        <w:b/>
        <w:bCs/>
        <w:spacing w:val="-13"/>
        <w:sz w:val="18"/>
        <w:szCs w:val="18"/>
      </w:rPr>
      <w:t>499</w:t>
    </w:r>
    <w:r>
      <w:rPr>
        <w:spacing w:val="-13"/>
        <w:sz w:val="18"/>
        <w:szCs w:val="18"/>
      </w:rPr>
      <w:t xml:space="preserve"> </w:t>
    </w:r>
    <w:r>
      <w:rPr>
        <w:b/>
        <w:bCs/>
        <w:spacing w:val="-13"/>
        <w:sz w:val="18"/>
        <w:szCs w:val="18"/>
      </w:rPr>
      <w:t>页</w:t>
    </w:r>
  </w:p>
</w:ftr>
</file>

<file path=word/footer1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99CD62">
    <w:pPr>
      <w:spacing w:after="13" w:line="454" w:lineRule="exact"/>
    </w:pPr>
  </w:p>
  <w:p w14:paraId="31245DC0">
    <w:pPr>
      <w:pStyle w:val="2"/>
      <w:spacing w:line="207" w:lineRule="auto"/>
      <w:ind w:left="5067"/>
      <w:rPr>
        <w:sz w:val="18"/>
        <w:szCs w:val="18"/>
      </w:rPr>
    </w:pPr>
    <w:r>
      <w:rPr>
        <w:b/>
        <w:bCs/>
        <w:spacing w:val="-13"/>
        <w:sz w:val="18"/>
        <w:szCs w:val="18"/>
      </w:rPr>
      <w:t>第</w:t>
    </w:r>
    <w:r>
      <w:rPr>
        <w:spacing w:val="-28"/>
        <w:sz w:val="18"/>
        <w:szCs w:val="18"/>
      </w:rPr>
      <w:t xml:space="preserve"> </w:t>
    </w:r>
    <w:r>
      <w:rPr>
        <w:b/>
        <w:bCs/>
        <w:spacing w:val="-13"/>
        <w:sz w:val="18"/>
        <w:szCs w:val="18"/>
      </w:rPr>
      <w:t>201</w:t>
    </w:r>
    <w:r>
      <w:rPr>
        <w:spacing w:val="-13"/>
        <w:sz w:val="18"/>
        <w:szCs w:val="18"/>
      </w:rPr>
      <w:t xml:space="preserve"> </w:t>
    </w:r>
    <w:r>
      <w:rPr>
        <w:b/>
        <w:bCs/>
        <w:spacing w:val="-13"/>
        <w:sz w:val="18"/>
        <w:szCs w:val="18"/>
      </w:rPr>
      <w:t>页</w:t>
    </w:r>
    <w:r>
      <w:rPr>
        <w:spacing w:val="-27"/>
        <w:sz w:val="18"/>
        <w:szCs w:val="18"/>
      </w:rPr>
      <w:t xml:space="preserve"> </w:t>
    </w:r>
    <w:r>
      <w:rPr>
        <w:b/>
        <w:bCs/>
        <w:spacing w:val="-13"/>
        <w:sz w:val="18"/>
        <w:szCs w:val="18"/>
      </w:rPr>
      <w:t>共</w:t>
    </w:r>
    <w:r>
      <w:rPr>
        <w:spacing w:val="-39"/>
        <w:sz w:val="18"/>
        <w:szCs w:val="18"/>
      </w:rPr>
      <w:t xml:space="preserve"> </w:t>
    </w:r>
    <w:r>
      <w:rPr>
        <w:b/>
        <w:bCs/>
        <w:spacing w:val="-13"/>
        <w:sz w:val="18"/>
        <w:szCs w:val="18"/>
      </w:rPr>
      <w:t>499</w:t>
    </w:r>
    <w:r>
      <w:rPr>
        <w:spacing w:val="-13"/>
        <w:sz w:val="18"/>
        <w:szCs w:val="18"/>
      </w:rPr>
      <w:t xml:space="preserve"> </w:t>
    </w:r>
    <w:r>
      <w:rPr>
        <w:b/>
        <w:bCs/>
        <w:spacing w:val="-13"/>
        <w:sz w:val="18"/>
        <w:szCs w:val="18"/>
      </w:rPr>
      <w:t>页</w:t>
    </w:r>
  </w:p>
</w:ftr>
</file>

<file path=word/footer1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F513FC">
    <w:pPr>
      <w:spacing w:after="13" w:line="454" w:lineRule="exact"/>
    </w:pPr>
  </w:p>
  <w:p w14:paraId="1B62680E">
    <w:pPr>
      <w:pStyle w:val="2"/>
      <w:spacing w:line="207" w:lineRule="auto"/>
      <w:ind w:left="5067"/>
      <w:rPr>
        <w:sz w:val="18"/>
        <w:szCs w:val="18"/>
      </w:rPr>
    </w:pPr>
    <w:r>
      <w:rPr>
        <w:b/>
        <w:bCs/>
        <w:spacing w:val="-13"/>
        <w:sz w:val="18"/>
        <w:szCs w:val="18"/>
      </w:rPr>
      <w:t>第</w:t>
    </w:r>
    <w:r>
      <w:rPr>
        <w:spacing w:val="-28"/>
        <w:sz w:val="18"/>
        <w:szCs w:val="18"/>
      </w:rPr>
      <w:t xml:space="preserve"> </w:t>
    </w:r>
    <w:r>
      <w:rPr>
        <w:b/>
        <w:bCs/>
        <w:spacing w:val="-13"/>
        <w:sz w:val="18"/>
        <w:szCs w:val="18"/>
      </w:rPr>
      <w:t>202</w:t>
    </w:r>
    <w:r>
      <w:rPr>
        <w:spacing w:val="-13"/>
        <w:sz w:val="18"/>
        <w:szCs w:val="18"/>
      </w:rPr>
      <w:t xml:space="preserve"> </w:t>
    </w:r>
    <w:r>
      <w:rPr>
        <w:b/>
        <w:bCs/>
        <w:spacing w:val="-13"/>
        <w:sz w:val="18"/>
        <w:szCs w:val="18"/>
      </w:rPr>
      <w:t>页</w:t>
    </w:r>
    <w:r>
      <w:rPr>
        <w:spacing w:val="-27"/>
        <w:sz w:val="18"/>
        <w:szCs w:val="18"/>
      </w:rPr>
      <w:t xml:space="preserve"> </w:t>
    </w:r>
    <w:r>
      <w:rPr>
        <w:b/>
        <w:bCs/>
        <w:spacing w:val="-13"/>
        <w:sz w:val="18"/>
        <w:szCs w:val="18"/>
      </w:rPr>
      <w:t>共</w:t>
    </w:r>
    <w:r>
      <w:rPr>
        <w:spacing w:val="-39"/>
        <w:sz w:val="18"/>
        <w:szCs w:val="18"/>
      </w:rPr>
      <w:t xml:space="preserve"> </w:t>
    </w:r>
    <w:r>
      <w:rPr>
        <w:b/>
        <w:bCs/>
        <w:spacing w:val="-13"/>
        <w:sz w:val="18"/>
        <w:szCs w:val="18"/>
      </w:rPr>
      <w:t>499</w:t>
    </w:r>
    <w:r>
      <w:rPr>
        <w:spacing w:val="-13"/>
        <w:sz w:val="18"/>
        <w:szCs w:val="18"/>
      </w:rPr>
      <w:t xml:space="preserve"> </w:t>
    </w:r>
    <w:r>
      <w:rPr>
        <w:b/>
        <w:bCs/>
        <w:spacing w:val="-13"/>
        <w:sz w:val="18"/>
        <w:szCs w:val="18"/>
      </w:rPr>
      <w:t>页</w:t>
    </w:r>
  </w:p>
</w:ftr>
</file>

<file path=word/footer1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1BDABC">
    <w:pPr>
      <w:spacing w:after="13" w:line="454" w:lineRule="exact"/>
    </w:pPr>
  </w:p>
  <w:p w14:paraId="2AFD0ECC">
    <w:pPr>
      <w:pStyle w:val="2"/>
      <w:spacing w:line="207" w:lineRule="auto"/>
      <w:ind w:left="5067"/>
      <w:rPr>
        <w:sz w:val="18"/>
        <w:szCs w:val="18"/>
      </w:rPr>
    </w:pPr>
    <w:r>
      <w:rPr>
        <w:b/>
        <w:bCs/>
        <w:spacing w:val="-13"/>
        <w:sz w:val="18"/>
        <w:szCs w:val="18"/>
      </w:rPr>
      <w:t>第</w:t>
    </w:r>
    <w:r>
      <w:rPr>
        <w:spacing w:val="-28"/>
        <w:sz w:val="18"/>
        <w:szCs w:val="18"/>
      </w:rPr>
      <w:t xml:space="preserve"> </w:t>
    </w:r>
    <w:r>
      <w:rPr>
        <w:b/>
        <w:bCs/>
        <w:spacing w:val="-13"/>
        <w:sz w:val="18"/>
        <w:szCs w:val="18"/>
      </w:rPr>
      <w:t>203</w:t>
    </w:r>
    <w:r>
      <w:rPr>
        <w:spacing w:val="-13"/>
        <w:sz w:val="18"/>
        <w:szCs w:val="18"/>
      </w:rPr>
      <w:t xml:space="preserve"> </w:t>
    </w:r>
    <w:r>
      <w:rPr>
        <w:b/>
        <w:bCs/>
        <w:spacing w:val="-13"/>
        <w:sz w:val="18"/>
        <w:szCs w:val="18"/>
      </w:rPr>
      <w:t>页</w:t>
    </w:r>
    <w:r>
      <w:rPr>
        <w:spacing w:val="-27"/>
        <w:sz w:val="18"/>
        <w:szCs w:val="18"/>
      </w:rPr>
      <w:t xml:space="preserve"> </w:t>
    </w:r>
    <w:r>
      <w:rPr>
        <w:b/>
        <w:bCs/>
        <w:spacing w:val="-13"/>
        <w:sz w:val="18"/>
        <w:szCs w:val="18"/>
      </w:rPr>
      <w:t>共</w:t>
    </w:r>
    <w:r>
      <w:rPr>
        <w:spacing w:val="-39"/>
        <w:sz w:val="18"/>
        <w:szCs w:val="18"/>
      </w:rPr>
      <w:t xml:space="preserve"> </w:t>
    </w:r>
    <w:r>
      <w:rPr>
        <w:b/>
        <w:bCs/>
        <w:spacing w:val="-13"/>
        <w:sz w:val="18"/>
        <w:szCs w:val="18"/>
      </w:rPr>
      <w:t>499</w:t>
    </w:r>
    <w:r>
      <w:rPr>
        <w:spacing w:val="-13"/>
        <w:sz w:val="18"/>
        <w:szCs w:val="18"/>
      </w:rPr>
      <w:t xml:space="preserve"> </w:t>
    </w:r>
    <w:r>
      <w:rPr>
        <w:b/>
        <w:bCs/>
        <w:spacing w:val="-13"/>
        <w:sz w:val="18"/>
        <w:szCs w:val="18"/>
      </w:rPr>
      <w:t>页</w:t>
    </w:r>
  </w:p>
</w:ftr>
</file>

<file path=word/footer1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70A87A">
    <w:pPr>
      <w:spacing w:after="13" w:line="454" w:lineRule="exact"/>
    </w:pPr>
  </w:p>
  <w:p w14:paraId="2A693271">
    <w:pPr>
      <w:pStyle w:val="2"/>
      <w:spacing w:line="207" w:lineRule="auto"/>
      <w:ind w:left="5067"/>
      <w:rPr>
        <w:sz w:val="18"/>
        <w:szCs w:val="18"/>
      </w:rPr>
    </w:pPr>
    <w:r>
      <w:rPr>
        <w:b/>
        <w:bCs/>
        <w:spacing w:val="-13"/>
        <w:sz w:val="18"/>
        <w:szCs w:val="18"/>
      </w:rPr>
      <w:t>第</w:t>
    </w:r>
    <w:r>
      <w:rPr>
        <w:spacing w:val="-28"/>
        <w:sz w:val="18"/>
        <w:szCs w:val="18"/>
      </w:rPr>
      <w:t xml:space="preserve"> </w:t>
    </w:r>
    <w:r>
      <w:rPr>
        <w:b/>
        <w:bCs/>
        <w:spacing w:val="-13"/>
        <w:sz w:val="18"/>
        <w:szCs w:val="18"/>
      </w:rPr>
      <w:t>204</w:t>
    </w:r>
    <w:r>
      <w:rPr>
        <w:spacing w:val="-13"/>
        <w:sz w:val="18"/>
        <w:szCs w:val="18"/>
      </w:rPr>
      <w:t xml:space="preserve"> </w:t>
    </w:r>
    <w:r>
      <w:rPr>
        <w:b/>
        <w:bCs/>
        <w:spacing w:val="-13"/>
        <w:sz w:val="18"/>
        <w:szCs w:val="18"/>
      </w:rPr>
      <w:t>页</w:t>
    </w:r>
    <w:r>
      <w:rPr>
        <w:spacing w:val="-27"/>
        <w:sz w:val="18"/>
        <w:szCs w:val="18"/>
      </w:rPr>
      <w:t xml:space="preserve"> </w:t>
    </w:r>
    <w:r>
      <w:rPr>
        <w:b/>
        <w:bCs/>
        <w:spacing w:val="-13"/>
        <w:sz w:val="18"/>
        <w:szCs w:val="18"/>
      </w:rPr>
      <w:t>共</w:t>
    </w:r>
    <w:r>
      <w:rPr>
        <w:spacing w:val="-39"/>
        <w:sz w:val="18"/>
        <w:szCs w:val="18"/>
      </w:rPr>
      <w:t xml:space="preserve"> </w:t>
    </w:r>
    <w:r>
      <w:rPr>
        <w:b/>
        <w:bCs/>
        <w:spacing w:val="-13"/>
        <w:sz w:val="18"/>
        <w:szCs w:val="18"/>
      </w:rPr>
      <w:t>499</w:t>
    </w:r>
    <w:r>
      <w:rPr>
        <w:spacing w:val="-13"/>
        <w:sz w:val="18"/>
        <w:szCs w:val="18"/>
      </w:rPr>
      <w:t xml:space="preserve"> </w:t>
    </w:r>
    <w:r>
      <w:rPr>
        <w:b/>
        <w:bCs/>
        <w:spacing w:val="-13"/>
        <w:sz w:val="18"/>
        <w:szCs w:val="18"/>
      </w:rPr>
      <w:t>页</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0F4AB3">
    <w:pPr>
      <w:spacing w:after="13" w:line="454" w:lineRule="exact"/>
    </w:pPr>
  </w:p>
  <w:p w14:paraId="75909EC7">
    <w:pPr>
      <w:pStyle w:val="2"/>
      <w:spacing w:line="207" w:lineRule="auto"/>
      <w:ind w:left="5106"/>
      <w:rPr>
        <w:sz w:val="18"/>
        <w:szCs w:val="18"/>
      </w:rPr>
    </w:pPr>
    <w:r>
      <w:rPr>
        <w:b/>
        <w:bCs/>
        <w:spacing w:val="-13"/>
        <w:sz w:val="18"/>
        <w:szCs w:val="18"/>
      </w:rPr>
      <w:t>第</w:t>
    </w:r>
    <w:r>
      <w:rPr>
        <w:spacing w:val="-28"/>
        <w:sz w:val="18"/>
        <w:szCs w:val="18"/>
      </w:rPr>
      <w:t xml:space="preserve"> </w:t>
    </w:r>
    <w:r>
      <w:rPr>
        <w:b/>
        <w:bCs/>
        <w:spacing w:val="-13"/>
        <w:sz w:val="18"/>
        <w:szCs w:val="18"/>
      </w:rPr>
      <w:t>43</w:t>
    </w:r>
    <w:r>
      <w:rPr>
        <w:spacing w:val="-13"/>
        <w:sz w:val="18"/>
        <w:szCs w:val="18"/>
      </w:rPr>
      <w:t xml:space="preserve"> </w:t>
    </w:r>
    <w:r>
      <w:rPr>
        <w:b/>
        <w:bCs/>
        <w:spacing w:val="-13"/>
        <w:sz w:val="18"/>
        <w:szCs w:val="18"/>
      </w:rPr>
      <w:t>页</w:t>
    </w:r>
    <w:r>
      <w:rPr>
        <w:spacing w:val="-28"/>
        <w:sz w:val="18"/>
        <w:szCs w:val="18"/>
      </w:rPr>
      <w:t xml:space="preserve"> </w:t>
    </w:r>
    <w:r>
      <w:rPr>
        <w:b/>
        <w:bCs/>
        <w:spacing w:val="-13"/>
        <w:sz w:val="18"/>
        <w:szCs w:val="18"/>
      </w:rPr>
      <w:t>共</w:t>
    </w:r>
    <w:r>
      <w:rPr>
        <w:spacing w:val="-38"/>
        <w:sz w:val="18"/>
        <w:szCs w:val="18"/>
      </w:rPr>
      <w:t xml:space="preserve"> </w:t>
    </w:r>
    <w:r>
      <w:rPr>
        <w:b/>
        <w:bCs/>
        <w:spacing w:val="-13"/>
        <w:sz w:val="18"/>
        <w:szCs w:val="18"/>
      </w:rPr>
      <w:t>499</w:t>
    </w:r>
    <w:r>
      <w:rPr>
        <w:spacing w:val="-13"/>
        <w:sz w:val="18"/>
        <w:szCs w:val="18"/>
      </w:rPr>
      <w:t xml:space="preserve"> </w:t>
    </w:r>
    <w:r>
      <w:rPr>
        <w:b/>
        <w:bCs/>
        <w:spacing w:val="-13"/>
        <w:sz w:val="18"/>
        <w:szCs w:val="18"/>
      </w:rPr>
      <w:t>页</w:t>
    </w:r>
  </w:p>
</w:ftr>
</file>

<file path=word/footer1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CBFAFB">
    <w:pPr>
      <w:spacing w:after="13" w:line="454" w:lineRule="exact"/>
    </w:pPr>
  </w:p>
  <w:p w14:paraId="1436E71E">
    <w:pPr>
      <w:pStyle w:val="2"/>
      <w:spacing w:line="207" w:lineRule="auto"/>
      <w:ind w:left="5067"/>
      <w:rPr>
        <w:sz w:val="18"/>
        <w:szCs w:val="18"/>
      </w:rPr>
    </w:pPr>
    <w:r>
      <w:rPr>
        <w:b/>
        <w:bCs/>
        <w:spacing w:val="-13"/>
        <w:sz w:val="18"/>
        <w:szCs w:val="18"/>
      </w:rPr>
      <w:t>第</w:t>
    </w:r>
    <w:r>
      <w:rPr>
        <w:spacing w:val="-28"/>
        <w:sz w:val="18"/>
        <w:szCs w:val="18"/>
      </w:rPr>
      <w:t xml:space="preserve"> </w:t>
    </w:r>
    <w:r>
      <w:rPr>
        <w:b/>
        <w:bCs/>
        <w:spacing w:val="-13"/>
        <w:sz w:val="18"/>
        <w:szCs w:val="18"/>
      </w:rPr>
      <w:t>205</w:t>
    </w:r>
    <w:r>
      <w:rPr>
        <w:spacing w:val="-13"/>
        <w:sz w:val="18"/>
        <w:szCs w:val="18"/>
      </w:rPr>
      <w:t xml:space="preserve"> </w:t>
    </w:r>
    <w:r>
      <w:rPr>
        <w:b/>
        <w:bCs/>
        <w:spacing w:val="-13"/>
        <w:sz w:val="18"/>
        <w:szCs w:val="18"/>
      </w:rPr>
      <w:t>页</w:t>
    </w:r>
    <w:r>
      <w:rPr>
        <w:spacing w:val="-27"/>
        <w:sz w:val="18"/>
        <w:szCs w:val="18"/>
      </w:rPr>
      <w:t xml:space="preserve"> </w:t>
    </w:r>
    <w:r>
      <w:rPr>
        <w:b/>
        <w:bCs/>
        <w:spacing w:val="-13"/>
        <w:sz w:val="18"/>
        <w:szCs w:val="18"/>
      </w:rPr>
      <w:t>共</w:t>
    </w:r>
    <w:r>
      <w:rPr>
        <w:spacing w:val="-39"/>
        <w:sz w:val="18"/>
        <w:szCs w:val="18"/>
      </w:rPr>
      <w:t xml:space="preserve"> </w:t>
    </w:r>
    <w:r>
      <w:rPr>
        <w:b/>
        <w:bCs/>
        <w:spacing w:val="-13"/>
        <w:sz w:val="18"/>
        <w:szCs w:val="18"/>
      </w:rPr>
      <w:t>499</w:t>
    </w:r>
    <w:r>
      <w:rPr>
        <w:spacing w:val="-13"/>
        <w:sz w:val="18"/>
        <w:szCs w:val="18"/>
      </w:rPr>
      <w:t xml:space="preserve"> </w:t>
    </w:r>
    <w:r>
      <w:rPr>
        <w:b/>
        <w:bCs/>
        <w:spacing w:val="-13"/>
        <w:sz w:val="18"/>
        <w:szCs w:val="18"/>
      </w:rPr>
      <w:t>页</w:t>
    </w:r>
  </w:p>
</w:ftr>
</file>

<file path=word/footer1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971216">
    <w:pPr>
      <w:spacing w:after="13" w:line="454" w:lineRule="exact"/>
    </w:pPr>
  </w:p>
  <w:p w14:paraId="362F4729">
    <w:pPr>
      <w:pStyle w:val="2"/>
      <w:spacing w:line="207" w:lineRule="auto"/>
      <w:ind w:left="5067"/>
      <w:rPr>
        <w:sz w:val="18"/>
        <w:szCs w:val="18"/>
      </w:rPr>
    </w:pPr>
    <w:r>
      <w:rPr>
        <w:b/>
        <w:bCs/>
        <w:spacing w:val="-13"/>
        <w:sz w:val="18"/>
        <w:szCs w:val="18"/>
      </w:rPr>
      <w:t>第</w:t>
    </w:r>
    <w:r>
      <w:rPr>
        <w:spacing w:val="-28"/>
        <w:sz w:val="18"/>
        <w:szCs w:val="18"/>
      </w:rPr>
      <w:t xml:space="preserve"> </w:t>
    </w:r>
    <w:r>
      <w:rPr>
        <w:b/>
        <w:bCs/>
        <w:spacing w:val="-13"/>
        <w:sz w:val="18"/>
        <w:szCs w:val="18"/>
      </w:rPr>
      <w:t>206</w:t>
    </w:r>
    <w:r>
      <w:rPr>
        <w:spacing w:val="-13"/>
        <w:sz w:val="18"/>
        <w:szCs w:val="18"/>
      </w:rPr>
      <w:t xml:space="preserve"> </w:t>
    </w:r>
    <w:r>
      <w:rPr>
        <w:b/>
        <w:bCs/>
        <w:spacing w:val="-13"/>
        <w:sz w:val="18"/>
        <w:szCs w:val="18"/>
      </w:rPr>
      <w:t>页</w:t>
    </w:r>
    <w:r>
      <w:rPr>
        <w:spacing w:val="-27"/>
        <w:sz w:val="18"/>
        <w:szCs w:val="18"/>
      </w:rPr>
      <w:t xml:space="preserve"> </w:t>
    </w:r>
    <w:r>
      <w:rPr>
        <w:b/>
        <w:bCs/>
        <w:spacing w:val="-13"/>
        <w:sz w:val="18"/>
        <w:szCs w:val="18"/>
      </w:rPr>
      <w:t>共</w:t>
    </w:r>
    <w:r>
      <w:rPr>
        <w:spacing w:val="-39"/>
        <w:sz w:val="18"/>
        <w:szCs w:val="18"/>
      </w:rPr>
      <w:t xml:space="preserve"> </w:t>
    </w:r>
    <w:r>
      <w:rPr>
        <w:b/>
        <w:bCs/>
        <w:spacing w:val="-13"/>
        <w:sz w:val="18"/>
        <w:szCs w:val="18"/>
      </w:rPr>
      <w:t>499</w:t>
    </w:r>
    <w:r>
      <w:rPr>
        <w:spacing w:val="-13"/>
        <w:sz w:val="18"/>
        <w:szCs w:val="18"/>
      </w:rPr>
      <w:t xml:space="preserve"> </w:t>
    </w:r>
    <w:r>
      <w:rPr>
        <w:b/>
        <w:bCs/>
        <w:spacing w:val="-13"/>
        <w:sz w:val="18"/>
        <w:szCs w:val="18"/>
      </w:rPr>
      <w:t>页</w:t>
    </w:r>
  </w:p>
</w:ftr>
</file>

<file path=word/footer1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3ACA37">
    <w:pPr>
      <w:spacing w:after="13" w:line="454" w:lineRule="exact"/>
    </w:pPr>
  </w:p>
  <w:p w14:paraId="3B463AD5">
    <w:pPr>
      <w:pStyle w:val="2"/>
      <w:spacing w:line="207" w:lineRule="auto"/>
      <w:ind w:left="5067"/>
      <w:rPr>
        <w:sz w:val="18"/>
        <w:szCs w:val="18"/>
      </w:rPr>
    </w:pPr>
    <w:r>
      <w:rPr>
        <w:b/>
        <w:bCs/>
        <w:spacing w:val="-13"/>
        <w:sz w:val="18"/>
        <w:szCs w:val="18"/>
      </w:rPr>
      <w:t>第</w:t>
    </w:r>
    <w:r>
      <w:rPr>
        <w:spacing w:val="-28"/>
        <w:sz w:val="18"/>
        <w:szCs w:val="18"/>
      </w:rPr>
      <w:t xml:space="preserve"> </w:t>
    </w:r>
    <w:r>
      <w:rPr>
        <w:b/>
        <w:bCs/>
        <w:spacing w:val="-13"/>
        <w:sz w:val="18"/>
        <w:szCs w:val="18"/>
      </w:rPr>
      <w:t>207</w:t>
    </w:r>
    <w:r>
      <w:rPr>
        <w:spacing w:val="-13"/>
        <w:sz w:val="18"/>
        <w:szCs w:val="18"/>
      </w:rPr>
      <w:t xml:space="preserve"> </w:t>
    </w:r>
    <w:r>
      <w:rPr>
        <w:b/>
        <w:bCs/>
        <w:spacing w:val="-13"/>
        <w:sz w:val="18"/>
        <w:szCs w:val="18"/>
      </w:rPr>
      <w:t>页</w:t>
    </w:r>
    <w:r>
      <w:rPr>
        <w:spacing w:val="-27"/>
        <w:sz w:val="18"/>
        <w:szCs w:val="18"/>
      </w:rPr>
      <w:t xml:space="preserve"> </w:t>
    </w:r>
    <w:r>
      <w:rPr>
        <w:b/>
        <w:bCs/>
        <w:spacing w:val="-13"/>
        <w:sz w:val="18"/>
        <w:szCs w:val="18"/>
      </w:rPr>
      <w:t>共</w:t>
    </w:r>
    <w:r>
      <w:rPr>
        <w:spacing w:val="-39"/>
        <w:sz w:val="18"/>
        <w:szCs w:val="18"/>
      </w:rPr>
      <w:t xml:space="preserve"> </w:t>
    </w:r>
    <w:r>
      <w:rPr>
        <w:b/>
        <w:bCs/>
        <w:spacing w:val="-13"/>
        <w:sz w:val="18"/>
        <w:szCs w:val="18"/>
      </w:rPr>
      <w:t>499</w:t>
    </w:r>
    <w:r>
      <w:rPr>
        <w:spacing w:val="-13"/>
        <w:sz w:val="18"/>
        <w:szCs w:val="18"/>
      </w:rPr>
      <w:t xml:space="preserve"> </w:t>
    </w:r>
    <w:r>
      <w:rPr>
        <w:b/>
        <w:bCs/>
        <w:spacing w:val="-13"/>
        <w:sz w:val="18"/>
        <w:szCs w:val="18"/>
      </w:rPr>
      <w:t>页</w:t>
    </w:r>
  </w:p>
</w:ftr>
</file>

<file path=word/footer1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6E4790">
    <w:pPr>
      <w:spacing w:after="13" w:line="454" w:lineRule="exact"/>
    </w:pPr>
  </w:p>
  <w:p w14:paraId="203C58F1">
    <w:pPr>
      <w:pStyle w:val="2"/>
      <w:spacing w:line="207" w:lineRule="auto"/>
      <w:ind w:left="5067"/>
      <w:rPr>
        <w:sz w:val="18"/>
        <w:szCs w:val="18"/>
      </w:rPr>
    </w:pPr>
    <w:r>
      <w:rPr>
        <w:b/>
        <w:bCs/>
        <w:spacing w:val="-13"/>
        <w:sz w:val="18"/>
        <w:szCs w:val="18"/>
      </w:rPr>
      <w:t>第</w:t>
    </w:r>
    <w:r>
      <w:rPr>
        <w:spacing w:val="-28"/>
        <w:sz w:val="18"/>
        <w:szCs w:val="18"/>
      </w:rPr>
      <w:t xml:space="preserve"> </w:t>
    </w:r>
    <w:r>
      <w:rPr>
        <w:b/>
        <w:bCs/>
        <w:spacing w:val="-13"/>
        <w:sz w:val="18"/>
        <w:szCs w:val="18"/>
      </w:rPr>
      <w:t>208</w:t>
    </w:r>
    <w:r>
      <w:rPr>
        <w:spacing w:val="-13"/>
        <w:sz w:val="18"/>
        <w:szCs w:val="18"/>
      </w:rPr>
      <w:t xml:space="preserve"> </w:t>
    </w:r>
    <w:r>
      <w:rPr>
        <w:b/>
        <w:bCs/>
        <w:spacing w:val="-13"/>
        <w:sz w:val="18"/>
        <w:szCs w:val="18"/>
      </w:rPr>
      <w:t>页</w:t>
    </w:r>
    <w:r>
      <w:rPr>
        <w:spacing w:val="-27"/>
        <w:sz w:val="18"/>
        <w:szCs w:val="18"/>
      </w:rPr>
      <w:t xml:space="preserve"> </w:t>
    </w:r>
    <w:r>
      <w:rPr>
        <w:b/>
        <w:bCs/>
        <w:spacing w:val="-13"/>
        <w:sz w:val="18"/>
        <w:szCs w:val="18"/>
      </w:rPr>
      <w:t>共</w:t>
    </w:r>
    <w:r>
      <w:rPr>
        <w:spacing w:val="-39"/>
        <w:sz w:val="18"/>
        <w:szCs w:val="18"/>
      </w:rPr>
      <w:t xml:space="preserve"> </w:t>
    </w:r>
    <w:r>
      <w:rPr>
        <w:b/>
        <w:bCs/>
        <w:spacing w:val="-13"/>
        <w:sz w:val="18"/>
        <w:szCs w:val="18"/>
      </w:rPr>
      <w:t>499</w:t>
    </w:r>
    <w:r>
      <w:rPr>
        <w:spacing w:val="-13"/>
        <w:sz w:val="18"/>
        <w:szCs w:val="18"/>
      </w:rPr>
      <w:t xml:space="preserve"> </w:t>
    </w:r>
    <w:r>
      <w:rPr>
        <w:b/>
        <w:bCs/>
        <w:spacing w:val="-13"/>
        <w:sz w:val="18"/>
        <w:szCs w:val="18"/>
      </w:rPr>
      <w:t>页</w:t>
    </w:r>
  </w:p>
</w:ftr>
</file>

<file path=word/footer1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204B80">
    <w:pPr>
      <w:spacing w:after="13" w:line="454" w:lineRule="exact"/>
    </w:pPr>
  </w:p>
  <w:p w14:paraId="3EFD1C75">
    <w:pPr>
      <w:pStyle w:val="2"/>
      <w:spacing w:line="207" w:lineRule="auto"/>
      <w:ind w:left="5067"/>
      <w:rPr>
        <w:sz w:val="18"/>
        <w:szCs w:val="18"/>
      </w:rPr>
    </w:pPr>
    <w:r>
      <w:rPr>
        <w:b/>
        <w:bCs/>
        <w:spacing w:val="-13"/>
        <w:sz w:val="18"/>
        <w:szCs w:val="18"/>
      </w:rPr>
      <w:t>第</w:t>
    </w:r>
    <w:r>
      <w:rPr>
        <w:spacing w:val="-28"/>
        <w:sz w:val="18"/>
        <w:szCs w:val="18"/>
      </w:rPr>
      <w:t xml:space="preserve"> </w:t>
    </w:r>
    <w:r>
      <w:rPr>
        <w:b/>
        <w:bCs/>
        <w:spacing w:val="-13"/>
        <w:sz w:val="18"/>
        <w:szCs w:val="18"/>
      </w:rPr>
      <w:t>209</w:t>
    </w:r>
    <w:r>
      <w:rPr>
        <w:spacing w:val="-13"/>
        <w:sz w:val="18"/>
        <w:szCs w:val="18"/>
      </w:rPr>
      <w:t xml:space="preserve"> </w:t>
    </w:r>
    <w:r>
      <w:rPr>
        <w:b/>
        <w:bCs/>
        <w:spacing w:val="-13"/>
        <w:sz w:val="18"/>
        <w:szCs w:val="18"/>
      </w:rPr>
      <w:t>页</w:t>
    </w:r>
    <w:r>
      <w:rPr>
        <w:spacing w:val="-27"/>
        <w:sz w:val="18"/>
        <w:szCs w:val="18"/>
      </w:rPr>
      <w:t xml:space="preserve"> </w:t>
    </w:r>
    <w:r>
      <w:rPr>
        <w:b/>
        <w:bCs/>
        <w:spacing w:val="-13"/>
        <w:sz w:val="18"/>
        <w:szCs w:val="18"/>
      </w:rPr>
      <w:t>共</w:t>
    </w:r>
    <w:r>
      <w:rPr>
        <w:spacing w:val="-39"/>
        <w:sz w:val="18"/>
        <w:szCs w:val="18"/>
      </w:rPr>
      <w:t xml:space="preserve"> </w:t>
    </w:r>
    <w:r>
      <w:rPr>
        <w:b/>
        <w:bCs/>
        <w:spacing w:val="-13"/>
        <w:sz w:val="18"/>
        <w:szCs w:val="18"/>
      </w:rPr>
      <w:t>499</w:t>
    </w:r>
    <w:r>
      <w:rPr>
        <w:spacing w:val="-13"/>
        <w:sz w:val="18"/>
        <w:szCs w:val="18"/>
      </w:rPr>
      <w:t xml:space="preserve"> </w:t>
    </w:r>
    <w:r>
      <w:rPr>
        <w:b/>
        <w:bCs/>
        <w:spacing w:val="-13"/>
        <w:sz w:val="18"/>
        <w:szCs w:val="18"/>
      </w:rPr>
      <w:t>页</w:t>
    </w:r>
  </w:p>
</w:ftr>
</file>

<file path=word/footer1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459C79">
    <w:pPr>
      <w:spacing w:after="13" w:line="454" w:lineRule="exact"/>
    </w:pPr>
  </w:p>
  <w:p w14:paraId="60E6BB92">
    <w:pPr>
      <w:pStyle w:val="2"/>
      <w:spacing w:line="207" w:lineRule="auto"/>
      <w:ind w:left="5067"/>
      <w:rPr>
        <w:sz w:val="18"/>
        <w:szCs w:val="18"/>
      </w:rPr>
    </w:pPr>
    <w:r>
      <w:rPr>
        <w:b/>
        <w:bCs/>
        <w:spacing w:val="-13"/>
        <w:sz w:val="18"/>
        <w:szCs w:val="18"/>
      </w:rPr>
      <w:t>第</w:t>
    </w:r>
    <w:r>
      <w:rPr>
        <w:spacing w:val="-28"/>
        <w:sz w:val="18"/>
        <w:szCs w:val="18"/>
      </w:rPr>
      <w:t xml:space="preserve"> </w:t>
    </w:r>
    <w:r>
      <w:rPr>
        <w:b/>
        <w:bCs/>
        <w:spacing w:val="-13"/>
        <w:sz w:val="18"/>
        <w:szCs w:val="18"/>
      </w:rPr>
      <w:t>210</w:t>
    </w:r>
    <w:r>
      <w:rPr>
        <w:spacing w:val="-13"/>
        <w:sz w:val="18"/>
        <w:szCs w:val="18"/>
      </w:rPr>
      <w:t xml:space="preserve"> </w:t>
    </w:r>
    <w:r>
      <w:rPr>
        <w:b/>
        <w:bCs/>
        <w:spacing w:val="-13"/>
        <w:sz w:val="18"/>
        <w:szCs w:val="18"/>
      </w:rPr>
      <w:t>页</w:t>
    </w:r>
    <w:r>
      <w:rPr>
        <w:spacing w:val="-27"/>
        <w:sz w:val="18"/>
        <w:szCs w:val="18"/>
      </w:rPr>
      <w:t xml:space="preserve"> </w:t>
    </w:r>
    <w:r>
      <w:rPr>
        <w:b/>
        <w:bCs/>
        <w:spacing w:val="-13"/>
        <w:sz w:val="18"/>
        <w:szCs w:val="18"/>
      </w:rPr>
      <w:t>共</w:t>
    </w:r>
    <w:r>
      <w:rPr>
        <w:spacing w:val="-39"/>
        <w:sz w:val="18"/>
        <w:szCs w:val="18"/>
      </w:rPr>
      <w:t xml:space="preserve"> </w:t>
    </w:r>
    <w:r>
      <w:rPr>
        <w:b/>
        <w:bCs/>
        <w:spacing w:val="-13"/>
        <w:sz w:val="18"/>
        <w:szCs w:val="18"/>
      </w:rPr>
      <w:t>499</w:t>
    </w:r>
    <w:r>
      <w:rPr>
        <w:spacing w:val="-13"/>
        <w:sz w:val="18"/>
        <w:szCs w:val="18"/>
      </w:rPr>
      <w:t xml:space="preserve"> </w:t>
    </w:r>
    <w:r>
      <w:rPr>
        <w:b/>
        <w:bCs/>
        <w:spacing w:val="-13"/>
        <w:sz w:val="18"/>
        <w:szCs w:val="18"/>
      </w:rPr>
      <w:t>页</w:t>
    </w:r>
  </w:p>
</w:ftr>
</file>

<file path=word/footer1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3761E1">
    <w:pPr>
      <w:spacing w:after="13" w:line="454" w:lineRule="exact"/>
    </w:pPr>
  </w:p>
  <w:p w14:paraId="24AD7DB1">
    <w:pPr>
      <w:pStyle w:val="2"/>
      <w:spacing w:line="207" w:lineRule="auto"/>
      <w:ind w:left="5067"/>
      <w:rPr>
        <w:sz w:val="18"/>
        <w:szCs w:val="18"/>
      </w:rPr>
    </w:pPr>
    <w:r>
      <w:rPr>
        <w:b/>
        <w:bCs/>
        <w:spacing w:val="-13"/>
        <w:sz w:val="18"/>
        <w:szCs w:val="18"/>
      </w:rPr>
      <w:t>第</w:t>
    </w:r>
    <w:r>
      <w:rPr>
        <w:spacing w:val="-28"/>
        <w:sz w:val="18"/>
        <w:szCs w:val="18"/>
      </w:rPr>
      <w:t xml:space="preserve"> </w:t>
    </w:r>
    <w:r>
      <w:rPr>
        <w:b/>
        <w:bCs/>
        <w:spacing w:val="-13"/>
        <w:sz w:val="18"/>
        <w:szCs w:val="18"/>
      </w:rPr>
      <w:t>211</w:t>
    </w:r>
    <w:r>
      <w:rPr>
        <w:spacing w:val="-13"/>
        <w:sz w:val="18"/>
        <w:szCs w:val="18"/>
      </w:rPr>
      <w:t xml:space="preserve"> </w:t>
    </w:r>
    <w:r>
      <w:rPr>
        <w:b/>
        <w:bCs/>
        <w:spacing w:val="-13"/>
        <w:sz w:val="18"/>
        <w:szCs w:val="18"/>
      </w:rPr>
      <w:t>页</w:t>
    </w:r>
    <w:r>
      <w:rPr>
        <w:spacing w:val="-27"/>
        <w:sz w:val="18"/>
        <w:szCs w:val="18"/>
      </w:rPr>
      <w:t xml:space="preserve"> </w:t>
    </w:r>
    <w:r>
      <w:rPr>
        <w:b/>
        <w:bCs/>
        <w:spacing w:val="-13"/>
        <w:sz w:val="18"/>
        <w:szCs w:val="18"/>
      </w:rPr>
      <w:t>共</w:t>
    </w:r>
    <w:r>
      <w:rPr>
        <w:spacing w:val="-39"/>
        <w:sz w:val="18"/>
        <w:szCs w:val="18"/>
      </w:rPr>
      <w:t xml:space="preserve"> </w:t>
    </w:r>
    <w:r>
      <w:rPr>
        <w:b/>
        <w:bCs/>
        <w:spacing w:val="-13"/>
        <w:sz w:val="18"/>
        <w:szCs w:val="18"/>
      </w:rPr>
      <w:t>499</w:t>
    </w:r>
    <w:r>
      <w:rPr>
        <w:spacing w:val="-13"/>
        <w:sz w:val="18"/>
        <w:szCs w:val="18"/>
      </w:rPr>
      <w:t xml:space="preserve"> </w:t>
    </w:r>
    <w:r>
      <w:rPr>
        <w:b/>
        <w:bCs/>
        <w:spacing w:val="-13"/>
        <w:sz w:val="18"/>
        <w:szCs w:val="18"/>
      </w:rPr>
      <w:t>页</w:t>
    </w:r>
  </w:p>
</w:ftr>
</file>

<file path=word/footer1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B5C0E3">
    <w:pPr>
      <w:spacing w:after="13" w:line="454" w:lineRule="exact"/>
    </w:pPr>
  </w:p>
  <w:p w14:paraId="349538B4">
    <w:pPr>
      <w:pStyle w:val="2"/>
      <w:spacing w:line="207" w:lineRule="auto"/>
      <w:ind w:left="5067"/>
      <w:rPr>
        <w:sz w:val="18"/>
        <w:szCs w:val="18"/>
      </w:rPr>
    </w:pPr>
    <w:r>
      <w:rPr>
        <w:b/>
        <w:bCs/>
        <w:spacing w:val="-13"/>
        <w:sz w:val="18"/>
        <w:szCs w:val="18"/>
      </w:rPr>
      <w:t>第</w:t>
    </w:r>
    <w:r>
      <w:rPr>
        <w:spacing w:val="-28"/>
        <w:sz w:val="18"/>
        <w:szCs w:val="18"/>
      </w:rPr>
      <w:t xml:space="preserve"> </w:t>
    </w:r>
    <w:r>
      <w:rPr>
        <w:b/>
        <w:bCs/>
        <w:spacing w:val="-13"/>
        <w:sz w:val="18"/>
        <w:szCs w:val="18"/>
      </w:rPr>
      <w:t>212</w:t>
    </w:r>
    <w:r>
      <w:rPr>
        <w:spacing w:val="-13"/>
        <w:sz w:val="18"/>
        <w:szCs w:val="18"/>
      </w:rPr>
      <w:t xml:space="preserve"> </w:t>
    </w:r>
    <w:r>
      <w:rPr>
        <w:b/>
        <w:bCs/>
        <w:spacing w:val="-13"/>
        <w:sz w:val="18"/>
        <w:szCs w:val="18"/>
      </w:rPr>
      <w:t>页</w:t>
    </w:r>
    <w:r>
      <w:rPr>
        <w:spacing w:val="-27"/>
        <w:sz w:val="18"/>
        <w:szCs w:val="18"/>
      </w:rPr>
      <w:t xml:space="preserve"> </w:t>
    </w:r>
    <w:r>
      <w:rPr>
        <w:b/>
        <w:bCs/>
        <w:spacing w:val="-13"/>
        <w:sz w:val="18"/>
        <w:szCs w:val="18"/>
      </w:rPr>
      <w:t>共</w:t>
    </w:r>
    <w:r>
      <w:rPr>
        <w:spacing w:val="-39"/>
        <w:sz w:val="18"/>
        <w:szCs w:val="18"/>
      </w:rPr>
      <w:t xml:space="preserve"> </w:t>
    </w:r>
    <w:r>
      <w:rPr>
        <w:b/>
        <w:bCs/>
        <w:spacing w:val="-13"/>
        <w:sz w:val="18"/>
        <w:szCs w:val="18"/>
      </w:rPr>
      <w:t>499</w:t>
    </w:r>
    <w:r>
      <w:rPr>
        <w:spacing w:val="-13"/>
        <w:sz w:val="18"/>
        <w:szCs w:val="18"/>
      </w:rPr>
      <w:t xml:space="preserve"> </w:t>
    </w:r>
    <w:r>
      <w:rPr>
        <w:b/>
        <w:bCs/>
        <w:spacing w:val="-13"/>
        <w:sz w:val="18"/>
        <w:szCs w:val="18"/>
      </w:rPr>
      <w:t>页</w:t>
    </w:r>
  </w:p>
</w:ftr>
</file>

<file path=word/footer1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EC10A4">
    <w:pPr>
      <w:spacing w:after="13" w:line="454" w:lineRule="exact"/>
    </w:pPr>
  </w:p>
  <w:p w14:paraId="7C93B707">
    <w:pPr>
      <w:pStyle w:val="2"/>
      <w:spacing w:line="207" w:lineRule="auto"/>
      <w:ind w:left="5067"/>
      <w:rPr>
        <w:sz w:val="18"/>
        <w:szCs w:val="18"/>
      </w:rPr>
    </w:pPr>
    <w:r>
      <w:rPr>
        <w:b/>
        <w:bCs/>
        <w:spacing w:val="-13"/>
        <w:sz w:val="18"/>
        <w:szCs w:val="18"/>
      </w:rPr>
      <w:t>第</w:t>
    </w:r>
    <w:r>
      <w:rPr>
        <w:spacing w:val="-28"/>
        <w:sz w:val="18"/>
        <w:szCs w:val="18"/>
      </w:rPr>
      <w:t xml:space="preserve"> </w:t>
    </w:r>
    <w:r>
      <w:rPr>
        <w:b/>
        <w:bCs/>
        <w:spacing w:val="-13"/>
        <w:sz w:val="18"/>
        <w:szCs w:val="18"/>
      </w:rPr>
      <w:t>213</w:t>
    </w:r>
    <w:r>
      <w:rPr>
        <w:spacing w:val="-13"/>
        <w:sz w:val="18"/>
        <w:szCs w:val="18"/>
      </w:rPr>
      <w:t xml:space="preserve"> </w:t>
    </w:r>
    <w:r>
      <w:rPr>
        <w:b/>
        <w:bCs/>
        <w:spacing w:val="-13"/>
        <w:sz w:val="18"/>
        <w:szCs w:val="18"/>
      </w:rPr>
      <w:t>页</w:t>
    </w:r>
    <w:r>
      <w:rPr>
        <w:spacing w:val="-27"/>
        <w:sz w:val="18"/>
        <w:szCs w:val="18"/>
      </w:rPr>
      <w:t xml:space="preserve"> </w:t>
    </w:r>
    <w:r>
      <w:rPr>
        <w:b/>
        <w:bCs/>
        <w:spacing w:val="-13"/>
        <w:sz w:val="18"/>
        <w:szCs w:val="18"/>
      </w:rPr>
      <w:t>共</w:t>
    </w:r>
    <w:r>
      <w:rPr>
        <w:spacing w:val="-39"/>
        <w:sz w:val="18"/>
        <w:szCs w:val="18"/>
      </w:rPr>
      <w:t xml:space="preserve"> </w:t>
    </w:r>
    <w:r>
      <w:rPr>
        <w:b/>
        <w:bCs/>
        <w:spacing w:val="-13"/>
        <w:sz w:val="18"/>
        <w:szCs w:val="18"/>
      </w:rPr>
      <w:t>499</w:t>
    </w:r>
    <w:r>
      <w:rPr>
        <w:spacing w:val="-13"/>
        <w:sz w:val="18"/>
        <w:szCs w:val="18"/>
      </w:rPr>
      <w:t xml:space="preserve"> </w:t>
    </w:r>
    <w:r>
      <w:rPr>
        <w:b/>
        <w:bCs/>
        <w:spacing w:val="-13"/>
        <w:sz w:val="18"/>
        <w:szCs w:val="18"/>
      </w:rPr>
      <w:t>页</w:t>
    </w:r>
  </w:p>
</w:ftr>
</file>

<file path=word/footer1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549A00">
    <w:pPr>
      <w:spacing w:after="13" w:line="454" w:lineRule="exact"/>
    </w:pPr>
  </w:p>
  <w:p w14:paraId="53220E84">
    <w:pPr>
      <w:pStyle w:val="2"/>
      <w:spacing w:line="207" w:lineRule="auto"/>
      <w:ind w:left="5067"/>
      <w:rPr>
        <w:sz w:val="18"/>
        <w:szCs w:val="18"/>
      </w:rPr>
    </w:pPr>
    <w:r>
      <w:rPr>
        <w:b/>
        <w:bCs/>
        <w:spacing w:val="-13"/>
        <w:sz w:val="18"/>
        <w:szCs w:val="18"/>
      </w:rPr>
      <w:t>第</w:t>
    </w:r>
    <w:r>
      <w:rPr>
        <w:spacing w:val="-28"/>
        <w:sz w:val="18"/>
        <w:szCs w:val="18"/>
      </w:rPr>
      <w:t xml:space="preserve"> </w:t>
    </w:r>
    <w:r>
      <w:rPr>
        <w:b/>
        <w:bCs/>
        <w:spacing w:val="-13"/>
        <w:sz w:val="18"/>
        <w:szCs w:val="18"/>
      </w:rPr>
      <w:t>214</w:t>
    </w:r>
    <w:r>
      <w:rPr>
        <w:spacing w:val="-13"/>
        <w:sz w:val="18"/>
        <w:szCs w:val="18"/>
      </w:rPr>
      <w:t xml:space="preserve"> </w:t>
    </w:r>
    <w:r>
      <w:rPr>
        <w:b/>
        <w:bCs/>
        <w:spacing w:val="-13"/>
        <w:sz w:val="18"/>
        <w:szCs w:val="18"/>
      </w:rPr>
      <w:t>页</w:t>
    </w:r>
    <w:r>
      <w:rPr>
        <w:spacing w:val="-27"/>
        <w:sz w:val="18"/>
        <w:szCs w:val="18"/>
      </w:rPr>
      <w:t xml:space="preserve"> </w:t>
    </w:r>
    <w:r>
      <w:rPr>
        <w:b/>
        <w:bCs/>
        <w:spacing w:val="-13"/>
        <w:sz w:val="18"/>
        <w:szCs w:val="18"/>
      </w:rPr>
      <w:t>共</w:t>
    </w:r>
    <w:r>
      <w:rPr>
        <w:spacing w:val="-39"/>
        <w:sz w:val="18"/>
        <w:szCs w:val="18"/>
      </w:rPr>
      <w:t xml:space="preserve"> </w:t>
    </w:r>
    <w:r>
      <w:rPr>
        <w:b/>
        <w:bCs/>
        <w:spacing w:val="-13"/>
        <w:sz w:val="18"/>
        <w:szCs w:val="18"/>
      </w:rPr>
      <w:t>499</w:t>
    </w:r>
    <w:r>
      <w:rPr>
        <w:spacing w:val="-13"/>
        <w:sz w:val="18"/>
        <w:szCs w:val="18"/>
      </w:rPr>
      <w:t xml:space="preserve"> </w:t>
    </w:r>
    <w:r>
      <w:rPr>
        <w:b/>
        <w:bCs/>
        <w:spacing w:val="-13"/>
        <w:sz w:val="18"/>
        <w:szCs w:val="18"/>
      </w:rPr>
      <w:t>页</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4F9E0F">
    <w:pPr>
      <w:spacing w:after="13" w:line="454" w:lineRule="exact"/>
    </w:pPr>
  </w:p>
  <w:p w14:paraId="71D6375D">
    <w:pPr>
      <w:pStyle w:val="2"/>
      <w:spacing w:line="207" w:lineRule="auto"/>
      <w:ind w:left="5106"/>
      <w:rPr>
        <w:sz w:val="18"/>
        <w:szCs w:val="18"/>
      </w:rPr>
    </w:pPr>
    <w:r>
      <w:rPr>
        <w:b/>
        <w:bCs/>
        <w:spacing w:val="-13"/>
        <w:sz w:val="18"/>
        <w:szCs w:val="18"/>
      </w:rPr>
      <w:t>第</w:t>
    </w:r>
    <w:r>
      <w:rPr>
        <w:spacing w:val="-28"/>
        <w:sz w:val="18"/>
        <w:szCs w:val="18"/>
      </w:rPr>
      <w:t xml:space="preserve"> </w:t>
    </w:r>
    <w:r>
      <w:rPr>
        <w:b/>
        <w:bCs/>
        <w:spacing w:val="-13"/>
        <w:sz w:val="18"/>
        <w:szCs w:val="18"/>
      </w:rPr>
      <w:t>44</w:t>
    </w:r>
    <w:r>
      <w:rPr>
        <w:spacing w:val="-13"/>
        <w:sz w:val="18"/>
        <w:szCs w:val="18"/>
      </w:rPr>
      <w:t xml:space="preserve"> </w:t>
    </w:r>
    <w:r>
      <w:rPr>
        <w:b/>
        <w:bCs/>
        <w:spacing w:val="-13"/>
        <w:sz w:val="18"/>
        <w:szCs w:val="18"/>
      </w:rPr>
      <w:t>页</w:t>
    </w:r>
    <w:r>
      <w:rPr>
        <w:spacing w:val="-28"/>
        <w:sz w:val="18"/>
        <w:szCs w:val="18"/>
      </w:rPr>
      <w:t xml:space="preserve"> </w:t>
    </w:r>
    <w:r>
      <w:rPr>
        <w:b/>
        <w:bCs/>
        <w:spacing w:val="-13"/>
        <w:sz w:val="18"/>
        <w:szCs w:val="18"/>
      </w:rPr>
      <w:t>共</w:t>
    </w:r>
    <w:r>
      <w:rPr>
        <w:spacing w:val="-38"/>
        <w:sz w:val="18"/>
        <w:szCs w:val="18"/>
      </w:rPr>
      <w:t xml:space="preserve"> </w:t>
    </w:r>
    <w:r>
      <w:rPr>
        <w:b/>
        <w:bCs/>
        <w:spacing w:val="-13"/>
        <w:sz w:val="18"/>
        <w:szCs w:val="18"/>
      </w:rPr>
      <w:t>499</w:t>
    </w:r>
    <w:r>
      <w:rPr>
        <w:spacing w:val="-13"/>
        <w:sz w:val="18"/>
        <w:szCs w:val="18"/>
      </w:rPr>
      <w:t xml:space="preserve"> </w:t>
    </w:r>
    <w:r>
      <w:rPr>
        <w:b/>
        <w:bCs/>
        <w:spacing w:val="-13"/>
        <w:sz w:val="18"/>
        <w:szCs w:val="18"/>
      </w:rPr>
      <w:t>页</w:t>
    </w:r>
  </w:p>
</w:ftr>
</file>

<file path=word/footer1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2E00BE">
    <w:pPr>
      <w:spacing w:after="13" w:line="454" w:lineRule="exact"/>
    </w:pPr>
  </w:p>
  <w:p w14:paraId="097D0514">
    <w:pPr>
      <w:pStyle w:val="2"/>
      <w:spacing w:line="207" w:lineRule="auto"/>
      <w:ind w:left="5067"/>
      <w:rPr>
        <w:sz w:val="18"/>
        <w:szCs w:val="18"/>
      </w:rPr>
    </w:pPr>
    <w:r>
      <w:rPr>
        <w:b/>
        <w:bCs/>
        <w:spacing w:val="-13"/>
        <w:sz w:val="18"/>
        <w:szCs w:val="18"/>
      </w:rPr>
      <w:t>第</w:t>
    </w:r>
    <w:r>
      <w:rPr>
        <w:spacing w:val="-28"/>
        <w:sz w:val="18"/>
        <w:szCs w:val="18"/>
      </w:rPr>
      <w:t xml:space="preserve"> </w:t>
    </w:r>
    <w:r>
      <w:rPr>
        <w:b/>
        <w:bCs/>
        <w:spacing w:val="-13"/>
        <w:sz w:val="18"/>
        <w:szCs w:val="18"/>
      </w:rPr>
      <w:t>216</w:t>
    </w:r>
    <w:r>
      <w:rPr>
        <w:spacing w:val="-13"/>
        <w:sz w:val="18"/>
        <w:szCs w:val="18"/>
      </w:rPr>
      <w:t xml:space="preserve"> </w:t>
    </w:r>
    <w:r>
      <w:rPr>
        <w:b/>
        <w:bCs/>
        <w:spacing w:val="-13"/>
        <w:sz w:val="18"/>
        <w:szCs w:val="18"/>
      </w:rPr>
      <w:t>页</w:t>
    </w:r>
    <w:r>
      <w:rPr>
        <w:spacing w:val="-27"/>
        <w:sz w:val="18"/>
        <w:szCs w:val="18"/>
      </w:rPr>
      <w:t xml:space="preserve"> </w:t>
    </w:r>
    <w:r>
      <w:rPr>
        <w:b/>
        <w:bCs/>
        <w:spacing w:val="-13"/>
        <w:sz w:val="18"/>
        <w:szCs w:val="18"/>
      </w:rPr>
      <w:t>共</w:t>
    </w:r>
    <w:r>
      <w:rPr>
        <w:spacing w:val="-39"/>
        <w:sz w:val="18"/>
        <w:szCs w:val="18"/>
      </w:rPr>
      <w:t xml:space="preserve"> </w:t>
    </w:r>
    <w:r>
      <w:rPr>
        <w:b/>
        <w:bCs/>
        <w:spacing w:val="-13"/>
        <w:sz w:val="18"/>
        <w:szCs w:val="18"/>
      </w:rPr>
      <w:t>499</w:t>
    </w:r>
    <w:r>
      <w:rPr>
        <w:spacing w:val="-13"/>
        <w:sz w:val="18"/>
        <w:szCs w:val="18"/>
      </w:rPr>
      <w:t xml:space="preserve"> </w:t>
    </w:r>
    <w:r>
      <w:rPr>
        <w:b/>
        <w:bCs/>
        <w:spacing w:val="-13"/>
        <w:sz w:val="18"/>
        <w:szCs w:val="18"/>
      </w:rPr>
      <w:t>页</w:t>
    </w:r>
  </w:p>
</w:ftr>
</file>

<file path=word/footer1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7F54C5">
    <w:pPr>
      <w:spacing w:after="13" w:line="454" w:lineRule="exact"/>
    </w:pPr>
  </w:p>
  <w:p w14:paraId="1720A6D6">
    <w:pPr>
      <w:pStyle w:val="2"/>
      <w:spacing w:line="207" w:lineRule="auto"/>
      <w:ind w:left="5067"/>
      <w:rPr>
        <w:sz w:val="18"/>
        <w:szCs w:val="18"/>
      </w:rPr>
    </w:pPr>
    <w:r>
      <w:rPr>
        <w:b/>
        <w:bCs/>
        <w:spacing w:val="-13"/>
        <w:sz w:val="18"/>
        <w:szCs w:val="18"/>
      </w:rPr>
      <w:t>第</w:t>
    </w:r>
    <w:r>
      <w:rPr>
        <w:spacing w:val="-28"/>
        <w:sz w:val="18"/>
        <w:szCs w:val="18"/>
      </w:rPr>
      <w:t xml:space="preserve"> </w:t>
    </w:r>
    <w:r>
      <w:rPr>
        <w:b/>
        <w:bCs/>
        <w:spacing w:val="-13"/>
        <w:sz w:val="18"/>
        <w:szCs w:val="18"/>
      </w:rPr>
      <w:t>217</w:t>
    </w:r>
    <w:r>
      <w:rPr>
        <w:spacing w:val="-13"/>
        <w:sz w:val="18"/>
        <w:szCs w:val="18"/>
      </w:rPr>
      <w:t xml:space="preserve"> </w:t>
    </w:r>
    <w:r>
      <w:rPr>
        <w:b/>
        <w:bCs/>
        <w:spacing w:val="-13"/>
        <w:sz w:val="18"/>
        <w:szCs w:val="18"/>
      </w:rPr>
      <w:t>页</w:t>
    </w:r>
    <w:r>
      <w:rPr>
        <w:spacing w:val="-27"/>
        <w:sz w:val="18"/>
        <w:szCs w:val="18"/>
      </w:rPr>
      <w:t xml:space="preserve"> </w:t>
    </w:r>
    <w:r>
      <w:rPr>
        <w:b/>
        <w:bCs/>
        <w:spacing w:val="-13"/>
        <w:sz w:val="18"/>
        <w:szCs w:val="18"/>
      </w:rPr>
      <w:t>共</w:t>
    </w:r>
    <w:r>
      <w:rPr>
        <w:spacing w:val="-39"/>
        <w:sz w:val="18"/>
        <w:szCs w:val="18"/>
      </w:rPr>
      <w:t xml:space="preserve"> </w:t>
    </w:r>
    <w:r>
      <w:rPr>
        <w:b/>
        <w:bCs/>
        <w:spacing w:val="-13"/>
        <w:sz w:val="18"/>
        <w:szCs w:val="18"/>
      </w:rPr>
      <w:t>499</w:t>
    </w:r>
    <w:r>
      <w:rPr>
        <w:spacing w:val="-13"/>
        <w:sz w:val="18"/>
        <w:szCs w:val="18"/>
      </w:rPr>
      <w:t xml:space="preserve"> </w:t>
    </w:r>
    <w:r>
      <w:rPr>
        <w:b/>
        <w:bCs/>
        <w:spacing w:val="-13"/>
        <w:sz w:val="18"/>
        <w:szCs w:val="18"/>
      </w:rPr>
      <w:t>页</w:t>
    </w:r>
  </w:p>
</w:ftr>
</file>

<file path=word/footer1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6F3D3E">
    <w:pPr>
      <w:spacing w:after="13" w:line="454" w:lineRule="exact"/>
    </w:pPr>
  </w:p>
  <w:p w14:paraId="2B9FC9D0">
    <w:pPr>
      <w:pStyle w:val="2"/>
      <w:spacing w:line="207" w:lineRule="auto"/>
      <w:ind w:left="5067"/>
      <w:rPr>
        <w:sz w:val="18"/>
        <w:szCs w:val="18"/>
      </w:rPr>
    </w:pPr>
    <w:r>
      <w:rPr>
        <w:b/>
        <w:bCs/>
        <w:spacing w:val="-13"/>
        <w:sz w:val="18"/>
        <w:szCs w:val="18"/>
      </w:rPr>
      <w:t>第</w:t>
    </w:r>
    <w:r>
      <w:rPr>
        <w:spacing w:val="-28"/>
        <w:sz w:val="18"/>
        <w:szCs w:val="18"/>
      </w:rPr>
      <w:t xml:space="preserve"> </w:t>
    </w:r>
    <w:r>
      <w:rPr>
        <w:b/>
        <w:bCs/>
        <w:spacing w:val="-13"/>
        <w:sz w:val="18"/>
        <w:szCs w:val="18"/>
      </w:rPr>
      <w:t>218</w:t>
    </w:r>
    <w:r>
      <w:rPr>
        <w:spacing w:val="-13"/>
        <w:sz w:val="18"/>
        <w:szCs w:val="18"/>
      </w:rPr>
      <w:t xml:space="preserve"> </w:t>
    </w:r>
    <w:r>
      <w:rPr>
        <w:b/>
        <w:bCs/>
        <w:spacing w:val="-13"/>
        <w:sz w:val="18"/>
        <w:szCs w:val="18"/>
      </w:rPr>
      <w:t>页</w:t>
    </w:r>
    <w:r>
      <w:rPr>
        <w:spacing w:val="-27"/>
        <w:sz w:val="18"/>
        <w:szCs w:val="18"/>
      </w:rPr>
      <w:t xml:space="preserve"> </w:t>
    </w:r>
    <w:r>
      <w:rPr>
        <w:b/>
        <w:bCs/>
        <w:spacing w:val="-13"/>
        <w:sz w:val="18"/>
        <w:szCs w:val="18"/>
      </w:rPr>
      <w:t>共</w:t>
    </w:r>
    <w:r>
      <w:rPr>
        <w:spacing w:val="-39"/>
        <w:sz w:val="18"/>
        <w:szCs w:val="18"/>
      </w:rPr>
      <w:t xml:space="preserve"> </w:t>
    </w:r>
    <w:r>
      <w:rPr>
        <w:b/>
        <w:bCs/>
        <w:spacing w:val="-13"/>
        <w:sz w:val="18"/>
        <w:szCs w:val="18"/>
      </w:rPr>
      <w:t>499</w:t>
    </w:r>
    <w:r>
      <w:rPr>
        <w:spacing w:val="-13"/>
        <w:sz w:val="18"/>
        <w:szCs w:val="18"/>
      </w:rPr>
      <w:t xml:space="preserve"> </w:t>
    </w:r>
    <w:r>
      <w:rPr>
        <w:b/>
        <w:bCs/>
        <w:spacing w:val="-13"/>
        <w:sz w:val="18"/>
        <w:szCs w:val="18"/>
      </w:rPr>
      <w:t>页</w:t>
    </w:r>
  </w:p>
</w:ftr>
</file>

<file path=word/footer1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EF2CC7">
    <w:pPr>
      <w:spacing w:after="13" w:line="454" w:lineRule="exact"/>
    </w:pPr>
  </w:p>
  <w:p w14:paraId="378EC08B">
    <w:pPr>
      <w:pStyle w:val="2"/>
      <w:spacing w:line="207" w:lineRule="auto"/>
      <w:ind w:left="5067"/>
      <w:rPr>
        <w:sz w:val="18"/>
        <w:szCs w:val="18"/>
      </w:rPr>
    </w:pPr>
    <w:r>
      <w:rPr>
        <w:b/>
        <w:bCs/>
        <w:spacing w:val="-13"/>
        <w:sz w:val="18"/>
        <w:szCs w:val="18"/>
      </w:rPr>
      <w:t>第</w:t>
    </w:r>
    <w:r>
      <w:rPr>
        <w:spacing w:val="-28"/>
        <w:sz w:val="18"/>
        <w:szCs w:val="18"/>
      </w:rPr>
      <w:t xml:space="preserve"> </w:t>
    </w:r>
    <w:r>
      <w:rPr>
        <w:b/>
        <w:bCs/>
        <w:spacing w:val="-13"/>
        <w:sz w:val="18"/>
        <w:szCs w:val="18"/>
      </w:rPr>
      <w:t>219</w:t>
    </w:r>
    <w:r>
      <w:rPr>
        <w:spacing w:val="-13"/>
        <w:sz w:val="18"/>
        <w:szCs w:val="18"/>
      </w:rPr>
      <w:t xml:space="preserve"> </w:t>
    </w:r>
    <w:r>
      <w:rPr>
        <w:b/>
        <w:bCs/>
        <w:spacing w:val="-13"/>
        <w:sz w:val="18"/>
        <w:szCs w:val="18"/>
      </w:rPr>
      <w:t>页</w:t>
    </w:r>
    <w:r>
      <w:rPr>
        <w:spacing w:val="-27"/>
        <w:sz w:val="18"/>
        <w:szCs w:val="18"/>
      </w:rPr>
      <w:t xml:space="preserve"> </w:t>
    </w:r>
    <w:r>
      <w:rPr>
        <w:b/>
        <w:bCs/>
        <w:spacing w:val="-13"/>
        <w:sz w:val="18"/>
        <w:szCs w:val="18"/>
      </w:rPr>
      <w:t>共</w:t>
    </w:r>
    <w:r>
      <w:rPr>
        <w:spacing w:val="-39"/>
        <w:sz w:val="18"/>
        <w:szCs w:val="18"/>
      </w:rPr>
      <w:t xml:space="preserve"> </w:t>
    </w:r>
    <w:r>
      <w:rPr>
        <w:b/>
        <w:bCs/>
        <w:spacing w:val="-13"/>
        <w:sz w:val="18"/>
        <w:szCs w:val="18"/>
      </w:rPr>
      <w:t>499</w:t>
    </w:r>
    <w:r>
      <w:rPr>
        <w:spacing w:val="-13"/>
        <w:sz w:val="18"/>
        <w:szCs w:val="18"/>
      </w:rPr>
      <w:t xml:space="preserve"> </w:t>
    </w:r>
    <w:r>
      <w:rPr>
        <w:b/>
        <w:bCs/>
        <w:spacing w:val="-13"/>
        <w:sz w:val="18"/>
        <w:szCs w:val="18"/>
      </w:rPr>
      <w:t>页</w:t>
    </w:r>
  </w:p>
</w:ftr>
</file>

<file path=word/footer1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A6FCEE">
    <w:pPr>
      <w:spacing w:after="13" w:line="454" w:lineRule="exact"/>
    </w:pPr>
  </w:p>
  <w:p w14:paraId="20932615">
    <w:pPr>
      <w:pStyle w:val="2"/>
      <w:spacing w:line="207" w:lineRule="auto"/>
      <w:ind w:left="5067"/>
      <w:rPr>
        <w:sz w:val="18"/>
        <w:szCs w:val="18"/>
      </w:rPr>
    </w:pPr>
    <w:r>
      <w:rPr>
        <w:b/>
        <w:bCs/>
        <w:spacing w:val="-13"/>
        <w:sz w:val="18"/>
        <w:szCs w:val="18"/>
      </w:rPr>
      <w:t>第</w:t>
    </w:r>
    <w:r>
      <w:rPr>
        <w:spacing w:val="-28"/>
        <w:sz w:val="18"/>
        <w:szCs w:val="18"/>
      </w:rPr>
      <w:t xml:space="preserve"> </w:t>
    </w:r>
    <w:r>
      <w:rPr>
        <w:b/>
        <w:bCs/>
        <w:spacing w:val="-13"/>
        <w:sz w:val="18"/>
        <w:szCs w:val="18"/>
      </w:rPr>
      <w:t>220</w:t>
    </w:r>
    <w:r>
      <w:rPr>
        <w:spacing w:val="-13"/>
        <w:sz w:val="18"/>
        <w:szCs w:val="18"/>
      </w:rPr>
      <w:t xml:space="preserve"> </w:t>
    </w:r>
    <w:r>
      <w:rPr>
        <w:b/>
        <w:bCs/>
        <w:spacing w:val="-13"/>
        <w:sz w:val="18"/>
        <w:szCs w:val="18"/>
      </w:rPr>
      <w:t>页</w:t>
    </w:r>
    <w:r>
      <w:rPr>
        <w:spacing w:val="-27"/>
        <w:sz w:val="18"/>
        <w:szCs w:val="18"/>
      </w:rPr>
      <w:t xml:space="preserve"> </w:t>
    </w:r>
    <w:r>
      <w:rPr>
        <w:b/>
        <w:bCs/>
        <w:spacing w:val="-13"/>
        <w:sz w:val="18"/>
        <w:szCs w:val="18"/>
      </w:rPr>
      <w:t>共</w:t>
    </w:r>
    <w:r>
      <w:rPr>
        <w:spacing w:val="-39"/>
        <w:sz w:val="18"/>
        <w:szCs w:val="18"/>
      </w:rPr>
      <w:t xml:space="preserve"> </w:t>
    </w:r>
    <w:r>
      <w:rPr>
        <w:b/>
        <w:bCs/>
        <w:spacing w:val="-13"/>
        <w:sz w:val="18"/>
        <w:szCs w:val="18"/>
      </w:rPr>
      <w:t>499</w:t>
    </w:r>
    <w:r>
      <w:rPr>
        <w:spacing w:val="-13"/>
        <w:sz w:val="18"/>
        <w:szCs w:val="18"/>
      </w:rPr>
      <w:t xml:space="preserve"> </w:t>
    </w:r>
    <w:r>
      <w:rPr>
        <w:b/>
        <w:bCs/>
        <w:spacing w:val="-13"/>
        <w:sz w:val="18"/>
        <w:szCs w:val="18"/>
      </w:rPr>
      <w:t>页</w:t>
    </w:r>
  </w:p>
</w:ftr>
</file>

<file path=word/footer1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B260CC">
    <w:pPr>
      <w:spacing w:after="13" w:line="454" w:lineRule="exact"/>
    </w:pPr>
  </w:p>
  <w:p w14:paraId="6EFFD6C6">
    <w:pPr>
      <w:pStyle w:val="2"/>
      <w:spacing w:line="207" w:lineRule="auto"/>
      <w:ind w:left="5067"/>
      <w:rPr>
        <w:sz w:val="18"/>
        <w:szCs w:val="18"/>
      </w:rPr>
    </w:pPr>
    <w:r>
      <w:rPr>
        <w:b/>
        <w:bCs/>
        <w:spacing w:val="-13"/>
        <w:sz w:val="18"/>
        <w:szCs w:val="18"/>
      </w:rPr>
      <w:t>第</w:t>
    </w:r>
    <w:r>
      <w:rPr>
        <w:spacing w:val="-28"/>
        <w:sz w:val="18"/>
        <w:szCs w:val="18"/>
      </w:rPr>
      <w:t xml:space="preserve"> </w:t>
    </w:r>
    <w:r>
      <w:rPr>
        <w:b/>
        <w:bCs/>
        <w:spacing w:val="-13"/>
        <w:sz w:val="18"/>
        <w:szCs w:val="18"/>
      </w:rPr>
      <w:t>221</w:t>
    </w:r>
    <w:r>
      <w:rPr>
        <w:spacing w:val="-13"/>
        <w:sz w:val="18"/>
        <w:szCs w:val="18"/>
      </w:rPr>
      <w:t xml:space="preserve"> </w:t>
    </w:r>
    <w:r>
      <w:rPr>
        <w:b/>
        <w:bCs/>
        <w:spacing w:val="-13"/>
        <w:sz w:val="18"/>
        <w:szCs w:val="18"/>
      </w:rPr>
      <w:t>页</w:t>
    </w:r>
    <w:r>
      <w:rPr>
        <w:spacing w:val="-27"/>
        <w:sz w:val="18"/>
        <w:szCs w:val="18"/>
      </w:rPr>
      <w:t xml:space="preserve"> </w:t>
    </w:r>
    <w:r>
      <w:rPr>
        <w:b/>
        <w:bCs/>
        <w:spacing w:val="-13"/>
        <w:sz w:val="18"/>
        <w:szCs w:val="18"/>
      </w:rPr>
      <w:t>共</w:t>
    </w:r>
    <w:r>
      <w:rPr>
        <w:spacing w:val="-39"/>
        <w:sz w:val="18"/>
        <w:szCs w:val="18"/>
      </w:rPr>
      <w:t xml:space="preserve"> </w:t>
    </w:r>
    <w:r>
      <w:rPr>
        <w:b/>
        <w:bCs/>
        <w:spacing w:val="-13"/>
        <w:sz w:val="18"/>
        <w:szCs w:val="18"/>
      </w:rPr>
      <w:t>499</w:t>
    </w:r>
    <w:r>
      <w:rPr>
        <w:spacing w:val="-13"/>
        <w:sz w:val="18"/>
        <w:szCs w:val="18"/>
      </w:rPr>
      <w:t xml:space="preserve"> </w:t>
    </w:r>
    <w:r>
      <w:rPr>
        <w:b/>
        <w:bCs/>
        <w:spacing w:val="-13"/>
        <w:sz w:val="18"/>
        <w:szCs w:val="18"/>
      </w:rPr>
      <w:t>页</w:t>
    </w:r>
  </w:p>
</w:ftr>
</file>

<file path=word/footer1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25E13B">
    <w:pPr>
      <w:spacing w:after="13" w:line="454" w:lineRule="exact"/>
    </w:pPr>
  </w:p>
  <w:p w14:paraId="39420D49">
    <w:pPr>
      <w:pStyle w:val="2"/>
      <w:spacing w:line="207" w:lineRule="auto"/>
      <w:ind w:left="5067"/>
      <w:rPr>
        <w:sz w:val="18"/>
        <w:szCs w:val="18"/>
      </w:rPr>
    </w:pPr>
    <w:r>
      <w:rPr>
        <w:b/>
        <w:bCs/>
        <w:spacing w:val="-13"/>
        <w:sz w:val="18"/>
        <w:szCs w:val="18"/>
      </w:rPr>
      <w:t>第</w:t>
    </w:r>
    <w:r>
      <w:rPr>
        <w:spacing w:val="-28"/>
        <w:sz w:val="18"/>
        <w:szCs w:val="18"/>
      </w:rPr>
      <w:t xml:space="preserve"> </w:t>
    </w:r>
    <w:r>
      <w:rPr>
        <w:b/>
        <w:bCs/>
        <w:spacing w:val="-13"/>
        <w:sz w:val="18"/>
        <w:szCs w:val="18"/>
      </w:rPr>
      <w:t>222</w:t>
    </w:r>
    <w:r>
      <w:rPr>
        <w:spacing w:val="-13"/>
        <w:sz w:val="18"/>
        <w:szCs w:val="18"/>
      </w:rPr>
      <w:t xml:space="preserve"> </w:t>
    </w:r>
    <w:r>
      <w:rPr>
        <w:b/>
        <w:bCs/>
        <w:spacing w:val="-13"/>
        <w:sz w:val="18"/>
        <w:szCs w:val="18"/>
      </w:rPr>
      <w:t>页</w:t>
    </w:r>
    <w:r>
      <w:rPr>
        <w:spacing w:val="-27"/>
        <w:sz w:val="18"/>
        <w:szCs w:val="18"/>
      </w:rPr>
      <w:t xml:space="preserve"> </w:t>
    </w:r>
    <w:r>
      <w:rPr>
        <w:b/>
        <w:bCs/>
        <w:spacing w:val="-13"/>
        <w:sz w:val="18"/>
        <w:szCs w:val="18"/>
      </w:rPr>
      <w:t>共</w:t>
    </w:r>
    <w:r>
      <w:rPr>
        <w:spacing w:val="-39"/>
        <w:sz w:val="18"/>
        <w:szCs w:val="18"/>
      </w:rPr>
      <w:t xml:space="preserve"> </w:t>
    </w:r>
    <w:r>
      <w:rPr>
        <w:b/>
        <w:bCs/>
        <w:spacing w:val="-13"/>
        <w:sz w:val="18"/>
        <w:szCs w:val="18"/>
      </w:rPr>
      <w:t>499</w:t>
    </w:r>
    <w:r>
      <w:rPr>
        <w:spacing w:val="-13"/>
        <w:sz w:val="18"/>
        <w:szCs w:val="18"/>
      </w:rPr>
      <w:t xml:space="preserve"> </w:t>
    </w:r>
    <w:r>
      <w:rPr>
        <w:b/>
        <w:bCs/>
        <w:spacing w:val="-13"/>
        <w:sz w:val="18"/>
        <w:szCs w:val="18"/>
      </w:rPr>
      <w:t>页</w:t>
    </w:r>
  </w:p>
</w:ftr>
</file>

<file path=word/footer1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3028D2">
    <w:pPr>
      <w:spacing w:after="13" w:line="454" w:lineRule="exact"/>
    </w:pPr>
  </w:p>
  <w:p w14:paraId="491FADBF">
    <w:pPr>
      <w:pStyle w:val="2"/>
      <w:spacing w:line="207" w:lineRule="auto"/>
      <w:ind w:left="5067"/>
      <w:rPr>
        <w:sz w:val="18"/>
        <w:szCs w:val="18"/>
      </w:rPr>
    </w:pPr>
    <w:r>
      <w:rPr>
        <w:b/>
        <w:bCs/>
        <w:spacing w:val="-13"/>
        <w:sz w:val="18"/>
        <w:szCs w:val="18"/>
      </w:rPr>
      <w:t>第</w:t>
    </w:r>
    <w:r>
      <w:rPr>
        <w:spacing w:val="-28"/>
        <w:sz w:val="18"/>
        <w:szCs w:val="18"/>
      </w:rPr>
      <w:t xml:space="preserve"> </w:t>
    </w:r>
    <w:r>
      <w:rPr>
        <w:b/>
        <w:bCs/>
        <w:spacing w:val="-13"/>
        <w:sz w:val="18"/>
        <w:szCs w:val="18"/>
      </w:rPr>
      <w:t>223</w:t>
    </w:r>
    <w:r>
      <w:rPr>
        <w:spacing w:val="-13"/>
        <w:sz w:val="18"/>
        <w:szCs w:val="18"/>
      </w:rPr>
      <w:t xml:space="preserve"> </w:t>
    </w:r>
    <w:r>
      <w:rPr>
        <w:b/>
        <w:bCs/>
        <w:spacing w:val="-13"/>
        <w:sz w:val="18"/>
        <w:szCs w:val="18"/>
      </w:rPr>
      <w:t>页</w:t>
    </w:r>
    <w:r>
      <w:rPr>
        <w:spacing w:val="-27"/>
        <w:sz w:val="18"/>
        <w:szCs w:val="18"/>
      </w:rPr>
      <w:t xml:space="preserve"> </w:t>
    </w:r>
    <w:r>
      <w:rPr>
        <w:b/>
        <w:bCs/>
        <w:spacing w:val="-13"/>
        <w:sz w:val="18"/>
        <w:szCs w:val="18"/>
      </w:rPr>
      <w:t>共</w:t>
    </w:r>
    <w:r>
      <w:rPr>
        <w:spacing w:val="-39"/>
        <w:sz w:val="18"/>
        <w:szCs w:val="18"/>
      </w:rPr>
      <w:t xml:space="preserve"> </w:t>
    </w:r>
    <w:r>
      <w:rPr>
        <w:b/>
        <w:bCs/>
        <w:spacing w:val="-13"/>
        <w:sz w:val="18"/>
        <w:szCs w:val="18"/>
      </w:rPr>
      <w:t>499</w:t>
    </w:r>
    <w:r>
      <w:rPr>
        <w:spacing w:val="-13"/>
        <w:sz w:val="18"/>
        <w:szCs w:val="18"/>
      </w:rPr>
      <w:t xml:space="preserve"> </w:t>
    </w:r>
    <w:r>
      <w:rPr>
        <w:b/>
        <w:bCs/>
        <w:spacing w:val="-13"/>
        <w:sz w:val="18"/>
        <w:szCs w:val="18"/>
      </w:rPr>
      <w:t>页</w:t>
    </w:r>
  </w:p>
</w:ftr>
</file>

<file path=word/footer1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64A07A">
    <w:pPr>
      <w:spacing w:after="13" w:line="454" w:lineRule="exact"/>
    </w:pPr>
  </w:p>
  <w:p w14:paraId="5413B5EE">
    <w:pPr>
      <w:pStyle w:val="2"/>
      <w:spacing w:line="207" w:lineRule="auto"/>
      <w:ind w:left="5067"/>
      <w:rPr>
        <w:sz w:val="18"/>
        <w:szCs w:val="18"/>
      </w:rPr>
    </w:pPr>
    <w:r>
      <w:rPr>
        <w:b/>
        <w:bCs/>
        <w:spacing w:val="-13"/>
        <w:sz w:val="18"/>
        <w:szCs w:val="18"/>
      </w:rPr>
      <w:t>第</w:t>
    </w:r>
    <w:r>
      <w:rPr>
        <w:spacing w:val="-28"/>
        <w:sz w:val="18"/>
        <w:szCs w:val="18"/>
      </w:rPr>
      <w:t xml:space="preserve"> </w:t>
    </w:r>
    <w:r>
      <w:rPr>
        <w:b/>
        <w:bCs/>
        <w:spacing w:val="-13"/>
        <w:sz w:val="18"/>
        <w:szCs w:val="18"/>
      </w:rPr>
      <w:t>224</w:t>
    </w:r>
    <w:r>
      <w:rPr>
        <w:spacing w:val="-13"/>
        <w:sz w:val="18"/>
        <w:szCs w:val="18"/>
      </w:rPr>
      <w:t xml:space="preserve"> </w:t>
    </w:r>
    <w:r>
      <w:rPr>
        <w:b/>
        <w:bCs/>
        <w:spacing w:val="-13"/>
        <w:sz w:val="18"/>
        <w:szCs w:val="18"/>
      </w:rPr>
      <w:t>页</w:t>
    </w:r>
    <w:r>
      <w:rPr>
        <w:spacing w:val="-27"/>
        <w:sz w:val="18"/>
        <w:szCs w:val="18"/>
      </w:rPr>
      <w:t xml:space="preserve"> </w:t>
    </w:r>
    <w:r>
      <w:rPr>
        <w:b/>
        <w:bCs/>
        <w:spacing w:val="-13"/>
        <w:sz w:val="18"/>
        <w:szCs w:val="18"/>
      </w:rPr>
      <w:t>共</w:t>
    </w:r>
    <w:r>
      <w:rPr>
        <w:spacing w:val="-39"/>
        <w:sz w:val="18"/>
        <w:szCs w:val="18"/>
      </w:rPr>
      <w:t xml:space="preserve"> </w:t>
    </w:r>
    <w:r>
      <w:rPr>
        <w:b/>
        <w:bCs/>
        <w:spacing w:val="-13"/>
        <w:sz w:val="18"/>
        <w:szCs w:val="18"/>
      </w:rPr>
      <w:t>499</w:t>
    </w:r>
    <w:r>
      <w:rPr>
        <w:spacing w:val="-13"/>
        <w:sz w:val="18"/>
        <w:szCs w:val="18"/>
      </w:rPr>
      <w:t xml:space="preserve"> </w:t>
    </w:r>
    <w:r>
      <w:rPr>
        <w:b/>
        <w:bCs/>
        <w:spacing w:val="-13"/>
        <w:sz w:val="18"/>
        <w:szCs w:val="18"/>
      </w:rPr>
      <w:t>页</w:t>
    </w:r>
  </w:p>
</w:ftr>
</file>

<file path=word/footer1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942B80">
    <w:pPr>
      <w:spacing w:after="13" w:line="454" w:lineRule="exact"/>
    </w:pPr>
  </w:p>
  <w:p w14:paraId="4932C79F">
    <w:pPr>
      <w:pStyle w:val="2"/>
      <w:spacing w:line="207" w:lineRule="auto"/>
      <w:ind w:left="5067"/>
      <w:rPr>
        <w:sz w:val="18"/>
        <w:szCs w:val="18"/>
      </w:rPr>
    </w:pPr>
    <w:r>
      <w:rPr>
        <w:b/>
        <w:bCs/>
        <w:spacing w:val="-13"/>
        <w:sz w:val="18"/>
        <w:szCs w:val="18"/>
      </w:rPr>
      <w:t>第</w:t>
    </w:r>
    <w:r>
      <w:rPr>
        <w:spacing w:val="-28"/>
        <w:sz w:val="18"/>
        <w:szCs w:val="18"/>
      </w:rPr>
      <w:t xml:space="preserve"> </w:t>
    </w:r>
    <w:r>
      <w:rPr>
        <w:b/>
        <w:bCs/>
        <w:spacing w:val="-13"/>
        <w:sz w:val="18"/>
        <w:szCs w:val="18"/>
      </w:rPr>
      <w:t>225</w:t>
    </w:r>
    <w:r>
      <w:rPr>
        <w:spacing w:val="-13"/>
        <w:sz w:val="18"/>
        <w:szCs w:val="18"/>
      </w:rPr>
      <w:t xml:space="preserve"> </w:t>
    </w:r>
    <w:r>
      <w:rPr>
        <w:b/>
        <w:bCs/>
        <w:spacing w:val="-13"/>
        <w:sz w:val="18"/>
        <w:szCs w:val="18"/>
      </w:rPr>
      <w:t>页</w:t>
    </w:r>
    <w:r>
      <w:rPr>
        <w:spacing w:val="-27"/>
        <w:sz w:val="18"/>
        <w:szCs w:val="18"/>
      </w:rPr>
      <w:t xml:space="preserve"> </w:t>
    </w:r>
    <w:r>
      <w:rPr>
        <w:b/>
        <w:bCs/>
        <w:spacing w:val="-13"/>
        <w:sz w:val="18"/>
        <w:szCs w:val="18"/>
      </w:rPr>
      <w:t>共</w:t>
    </w:r>
    <w:r>
      <w:rPr>
        <w:spacing w:val="-39"/>
        <w:sz w:val="18"/>
        <w:szCs w:val="18"/>
      </w:rPr>
      <w:t xml:space="preserve"> </w:t>
    </w:r>
    <w:r>
      <w:rPr>
        <w:b/>
        <w:bCs/>
        <w:spacing w:val="-13"/>
        <w:sz w:val="18"/>
        <w:szCs w:val="18"/>
      </w:rPr>
      <w:t>499</w:t>
    </w:r>
    <w:r>
      <w:rPr>
        <w:spacing w:val="-13"/>
        <w:sz w:val="18"/>
        <w:szCs w:val="18"/>
      </w:rPr>
      <w:t xml:space="preserve"> </w:t>
    </w:r>
    <w:r>
      <w:rPr>
        <w:b/>
        <w:bCs/>
        <w:spacing w:val="-13"/>
        <w:sz w:val="18"/>
        <w:szCs w:val="18"/>
      </w:rPr>
      <w:t>页</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341248">
    <w:pPr>
      <w:spacing w:after="13" w:line="454" w:lineRule="exact"/>
    </w:pPr>
  </w:p>
  <w:p w14:paraId="4EF991B8">
    <w:pPr>
      <w:pStyle w:val="2"/>
      <w:spacing w:line="207" w:lineRule="auto"/>
      <w:ind w:left="5106"/>
      <w:rPr>
        <w:sz w:val="18"/>
        <w:szCs w:val="18"/>
      </w:rPr>
    </w:pPr>
    <w:r>
      <w:rPr>
        <w:b/>
        <w:bCs/>
        <w:spacing w:val="-13"/>
        <w:sz w:val="18"/>
        <w:szCs w:val="18"/>
      </w:rPr>
      <w:t>第</w:t>
    </w:r>
    <w:r>
      <w:rPr>
        <w:spacing w:val="-28"/>
        <w:sz w:val="18"/>
        <w:szCs w:val="18"/>
      </w:rPr>
      <w:t xml:space="preserve"> </w:t>
    </w:r>
    <w:r>
      <w:rPr>
        <w:b/>
        <w:bCs/>
        <w:spacing w:val="-13"/>
        <w:sz w:val="18"/>
        <w:szCs w:val="18"/>
      </w:rPr>
      <w:t>45</w:t>
    </w:r>
    <w:r>
      <w:rPr>
        <w:spacing w:val="-13"/>
        <w:sz w:val="18"/>
        <w:szCs w:val="18"/>
      </w:rPr>
      <w:t xml:space="preserve"> </w:t>
    </w:r>
    <w:r>
      <w:rPr>
        <w:b/>
        <w:bCs/>
        <w:spacing w:val="-13"/>
        <w:sz w:val="18"/>
        <w:szCs w:val="18"/>
      </w:rPr>
      <w:t>页</w:t>
    </w:r>
    <w:r>
      <w:rPr>
        <w:spacing w:val="-28"/>
        <w:sz w:val="18"/>
        <w:szCs w:val="18"/>
      </w:rPr>
      <w:t xml:space="preserve"> </w:t>
    </w:r>
    <w:r>
      <w:rPr>
        <w:b/>
        <w:bCs/>
        <w:spacing w:val="-13"/>
        <w:sz w:val="18"/>
        <w:szCs w:val="18"/>
      </w:rPr>
      <w:t>共</w:t>
    </w:r>
    <w:r>
      <w:rPr>
        <w:spacing w:val="-38"/>
        <w:sz w:val="18"/>
        <w:szCs w:val="18"/>
      </w:rPr>
      <w:t xml:space="preserve"> </w:t>
    </w:r>
    <w:r>
      <w:rPr>
        <w:b/>
        <w:bCs/>
        <w:spacing w:val="-13"/>
        <w:sz w:val="18"/>
        <w:szCs w:val="18"/>
      </w:rPr>
      <w:t>499</w:t>
    </w:r>
    <w:r>
      <w:rPr>
        <w:spacing w:val="-13"/>
        <w:sz w:val="18"/>
        <w:szCs w:val="18"/>
      </w:rPr>
      <w:t xml:space="preserve"> </w:t>
    </w:r>
    <w:r>
      <w:rPr>
        <w:b/>
        <w:bCs/>
        <w:spacing w:val="-13"/>
        <w:sz w:val="18"/>
        <w:szCs w:val="18"/>
      </w:rPr>
      <w:t>页</w:t>
    </w:r>
  </w:p>
</w:ftr>
</file>

<file path=word/footer1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7F5A61">
    <w:pPr>
      <w:spacing w:after="13" w:line="454" w:lineRule="exact"/>
    </w:pPr>
  </w:p>
  <w:p w14:paraId="0EB98B24">
    <w:pPr>
      <w:pStyle w:val="2"/>
      <w:spacing w:line="207" w:lineRule="auto"/>
      <w:ind w:left="5067"/>
      <w:rPr>
        <w:sz w:val="18"/>
        <w:szCs w:val="18"/>
      </w:rPr>
    </w:pPr>
    <w:r>
      <w:rPr>
        <w:b/>
        <w:bCs/>
        <w:spacing w:val="-13"/>
        <w:sz w:val="18"/>
        <w:szCs w:val="18"/>
      </w:rPr>
      <w:t>第</w:t>
    </w:r>
    <w:r>
      <w:rPr>
        <w:spacing w:val="-28"/>
        <w:sz w:val="18"/>
        <w:szCs w:val="18"/>
      </w:rPr>
      <w:t xml:space="preserve"> </w:t>
    </w:r>
    <w:r>
      <w:rPr>
        <w:b/>
        <w:bCs/>
        <w:spacing w:val="-13"/>
        <w:sz w:val="18"/>
        <w:szCs w:val="18"/>
      </w:rPr>
      <w:t>226</w:t>
    </w:r>
    <w:r>
      <w:rPr>
        <w:spacing w:val="-13"/>
        <w:sz w:val="18"/>
        <w:szCs w:val="18"/>
      </w:rPr>
      <w:t xml:space="preserve"> </w:t>
    </w:r>
    <w:r>
      <w:rPr>
        <w:b/>
        <w:bCs/>
        <w:spacing w:val="-13"/>
        <w:sz w:val="18"/>
        <w:szCs w:val="18"/>
      </w:rPr>
      <w:t>页</w:t>
    </w:r>
    <w:r>
      <w:rPr>
        <w:spacing w:val="-27"/>
        <w:sz w:val="18"/>
        <w:szCs w:val="18"/>
      </w:rPr>
      <w:t xml:space="preserve"> </w:t>
    </w:r>
    <w:r>
      <w:rPr>
        <w:b/>
        <w:bCs/>
        <w:spacing w:val="-13"/>
        <w:sz w:val="18"/>
        <w:szCs w:val="18"/>
      </w:rPr>
      <w:t>共</w:t>
    </w:r>
    <w:r>
      <w:rPr>
        <w:spacing w:val="-39"/>
        <w:sz w:val="18"/>
        <w:szCs w:val="18"/>
      </w:rPr>
      <w:t xml:space="preserve"> </w:t>
    </w:r>
    <w:r>
      <w:rPr>
        <w:b/>
        <w:bCs/>
        <w:spacing w:val="-13"/>
        <w:sz w:val="18"/>
        <w:szCs w:val="18"/>
      </w:rPr>
      <w:t>499</w:t>
    </w:r>
    <w:r>
      <w:rPr>
        <w:spacing w:val="-13"/>
        <w:sz w:val="18"/>
        <w:szCs w:val="18"/>
      </w:rPr>
      <w:t xml:space="preserve"> </w:t>
    </w:r>
    <w:r>
      <w:rPr>
        <w:b/>
        <w:bCs/>
        <w:spacing w:val="-13"/>
        <w:sz w:val="18"/>
        <w:szCs w:val="18"/>
      </w:rPr>
      <w:t>页</w:t>
    </w:r>
  </w:p>
</w:ftr>
</file>

<file path=word/footer1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E9D7A6">
    <w:pPr>
      <w:spacing w:after="13" w:line="454" w:lineRule="exact"/>
    </w:pPr>
  </w:p>
  <w:p w14:paraId="59A0622E">
    <w:pPr>
      <w:pStyle w:val="2"/>
      <w:spacing w:line="207" w:lineRule="auto"/>
      <w:ind w:left="5067"/>
      <w:rPr>
        <w:sz w:val="18"/>
        <w:szCs w:val="18"/>
      </w:rPr>
    </w:pPr>
    <w:r>
      <w:rPr>
        <w:b/>
        <w:bCs/>
        <w:spacing w:val="-13"/>
        <w:sz w:val="18"/>
        <w:szCs w:val="18"/>
      </w:rPr>
      <w:t>第</w:t>
    </w:r>
    <w:r>
      <w:rPr>
        <w:spacing w:val="-28"/>
        <w:sz w:val="18"/>
        <w:szCs w:val="18"/>
      </w:rPr>
      <w:t xml:space="preserve"> </w:t>
    </w:r>
    <w:r>
      <w:rPr>
        <w:b/>
        <w:bCs/>
        <w:spacing w:val="-13"/>
        <w:sz w:val="18"/>
        <w:szCs w:val="18"/>
      </w:rPr>
      <w:t>227</w:t>
    </w:r>
    <w:r>
      <w:rPr>
        <w:spacing w:val="-13"/>
        <w:sz w:val="18"/>
        <w:szCs w:val="18"/>
      </w:rPr>
      <w:t xml:space="preserve"> </w:t>
    </w:r>
    <w:r>
      <w:rPr>
        <w:b/>
        <w:bCs/>
        <w:spacing w:val="-13"/>
        <w:sz w:val="18"/>
        <w:szCs w:val="18"/>
      </w:rPr>
      <w:t>页</w:t>
    </w:r>
    <w:r>
      <w:rPr>
        <w:spacing w:val="-27"/>
        <w:sz w:val="18"/>
        <w:szCs w:val="18"/>
      </w:rPr>
      <w:t xml:space="preserve"> </w:t>
    </w:r>
    <w:r>
      <w:rPr>
        <w:b/>
        <w:bCs/>
        <w:spacing w:val="-13"/>
        <w:sz w:val="18"/>
        <w:szCs w:val="18"/>
      </w:rPr>
      <w:t>共</w:t>
    </w:r>
    <w:r>
      <w:rPr>
        <w:spacing w:val="-39"/>
        <w:sz w:val="18"/>
        <w:szCs w:val="18"/>
      </w:rPr>
      <w:t xml:space="preserve"> </w:t>
    </w:r>
    <w:r>
      <w:rPr>
        <w:b/>
        <w:bCs/>
        <w:spacing w:val="-13"/>
        <w:sz w:val="18"/>
        <w:szCs w:val="18"/>
      </w:rPr>
      <w:t>499</w:t>
    </w:r>
    <w:r>
      <w:rPr>
        <w:spacing w:val="-13"/>
        <w:sz w:val="18"/>
        <w:szCs w:val="18"/>
      </w:rPr>
      <w:t xml:space="preserve"> </w:t>
    </w:r>
    <w:r>
      <w:rPr>
        <w:b/>
        <w:bCs/>
        <w:spacing w:val="-13"/>
        <w:sz w:val="18"/>
        <w:szCs w:val="18"/>
      </w:rPr>
      <w:t>页</w:t>
    </w:r>
  </w:p>
</w:ftr>
</file>

<file path=word/footer1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71274D">
    <w:pPr>
      <w:spacing w:after="13" w:line="454" w:lineRule="exact"/>
    </w:pPr>
  </w:p>
  <w:p w14:paraId="172A61FC">
    <w:pPr>
      <w:pStyle w:val="2"/>
      <w:spacing w:line="207" w:lineRule="auto"/>
      <w:ind w:left="5067"/>
      <w:rPr>
        <w:sz w:val="18"/>
        <w:szCs w:val="18"/>
      </w:rPr>
    </w:pPr>
    <w:r>
      <w:rPr>
        <w:b/>
        <w:bCs/>
        <w:spacing w:val="-13"/>
        <w:sz w:val="18"/>
        <w:szCs w:val="18"/>
      </w:rPr>
      <w:t>第</w:t>
    </w:r>
    <w:r>
      <w:rPr>
        <w:spacing w:val="-28"/>
        <w:sz w:val="18"/>
        <w:szCs w:val="18"/>
      </w:rPr>
      <w:t xml:space="preserve"> </w:t>
    </w:r>
    <w:r>
      <w:rPr>
        <w:b/>
        <w:bCs/>
        <w:spacing w:val="-13"/>
        <w:sz w:val="18"/>
        <w:szCs w:val="18"/>
      </w:rPr>
      <w:t>228</w:t>
    </w:r>
    <w:r>
      <w:rPr>
        <w:spacing w:val="-13"/>
        <w:sz w:val="18"/>
        <w:szCs w:val="18"/>
      </w:rPr>
      <w:t xml:space="preserve"> </w:t>
    </w:r>
    <w:r>
      <w:rPr>
        <w:b/>
        <w:bCs/>
        <w:spacing w:val="-13"/>
        <w:sz w:val="18"/>
        <w:szCs w:val="18"/>
      </w:rPr>
      <w:t>页</w:t>
    </w:r>
    <w:r>
      <w:rPr>
        <w:spacing w:val="-27"/>
        <w:sz w:val="18"/>
        <w:szCs w:val="18"/>
      </w:rPr>
      <w:t xml:space="preserve"> </w:t>
    </w:r>
    <w:r>
      <w:rPr>
        <w:b/>
        <w:bCs/>
        <w:spacing w:val="-13"/>
        <w:sz w:val="18"/>
        <w:szCs w:val="18"/>
      </w:rPr>
      <w:t>共</w:t>
    </w:r>
    <w:r>
      <w:rPr>
        <w:spacing w:val="-39"/>
        <w:sz w:val="18"/>
        <w:szCs w:val="18"/>
      </w:rPr>
      <w:t xml:space="preserve"> </w:t>
    </w:r>
    <w:r>
      <w:rPr>
        <w:b/>
        <w:bCs/>
        <w:spacing w:val="-13"/>
        <w:sz w:val="18"/>
        <w:szCs w:val="18"/>
      </w:rPr>
      <w:t>499</w:t>
    </w:r>
    <w:r>
      <w:rPr>
        <w:spacing w:val="-13"/>
        <w:sz w:val="18"/>
        <w:szCs w:val="18"/>
      </w:rPr>
      <w:t xml:space="preserve"> </w:t>
    </w:r>
    <w:r>
      <w:rPr>
        <w:b/>
        <w:bCs/>
        <w:spacing w:val="-13"/>
        <w:sz w:val="18"/>
        <w:szCs w:val="18"/>
      </w:rPr>
      <w:t>页</w:t>
    </w:r>
  </w:p>
</w:ftr>
</file>

<file path=word/footer1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7B81E7">
    <w:pPr>
      <w:spacing w:after="13" w:line="454" w:lineRule="exact"/>
    </w:pPr>
  </w:p>
  <w:p w14:paraId="139CFB8B">
    <w:pPr>
      <w:pStyle w:val="2"/>
      <w:spacing w:line="207" w:lineRule="auto"/>
      <w:ind w:left="5067"/>
      <w:rPr>
        <w:sz w:val="18"/>
        <w:szCs w:val="18"/>
      </w:rPr>
    </w:pPr>
    <w:r>
      <w:rPr>
        <w:b/>
        <w:bCs/>
        <w:spacing w:val="-13"/>
        <w:sz w:val="18"/>
        <w:szCs w:val="18"/>
      </w:rPr>
      <w:t>第</w:t>
    </w:r>
    <w:r>
      <w:rPr>
        <w:spacing w:val="-28"/>
        <w:sz w:val="18"/>
        <w:szCs w:val="18"/>
      </w:rPr>
      <w:t xml:space="preserve"> </w:t>
    </w:r>
    <w:r>
      <w:rPr>
        <w:b/>
        <w:bCs/>
        <w:spacing w:val="-13"/>
        <w:sz w:val="18"/>
        <w:szCs w:val="18"/>
      </w:rPr>
      <w:t>229</w:t>
    </w:r>
    <w:r>
      <w:rPr>
        <w:spacing w:val="-13"/>
        <w:sz w:val="18"/>
        <w:szCs w:val="18"/>
      </w:rPr>
      <w:t xml:space="preserve"> </w:t>
    </w:r>
    <w:r>
      <w:rPr>
        <w:b/>
        <w:bCs/>
        <w:spacing w:val="-13"/>
        <w:sz w:val="18"/>
        <w:szCs w:val="18"/>
      </w:rPr>
      <w:t>页</w:t>
    </w:r>
    <w:r>
      <w:rPr>
        <w:spacing w:val="-27"/>
        <w:sz w:val="18"/>
        <w:szCs w:val="18"/>
      </w:rPr>
      <w:t xml:space="preserve"> </w:t>
    </w:r>
    <w:r>
      <w:rPr>
        <w:b/>
        <w:bCs/>
        <w:spacing w:val="-13"/>
        <w:sz w:val="18"/>
        <w:szCs w:val="18"/>
      </w:rPr>
      <w:t>共</w:t>
    </w:r>
    <w:r>
      <w:rPr>
        <w:spacing w:val="-39"/>
        <w:sz w:val="18"/>
        <w:szCs w:val="18"/>
      </w:rPr>
      <w:t xml:space="preserve"> </w:t>
    </w:r>
    <w:r>
      <w:rPr>
        <w:b/>
        <w:bCs/>
        <w:spacing w:val="-13"/>
        <w:sz w:val="18"/>
        <w:szCs w:val="18"/>
      </w:rPr>
      <w:t>499</w:t>
    </w:r>
    <w:r>
      <w:rPr>
        <w:spacing w:val="-13"/>
        <w:sz w:val="18"/>
        <w:szCs w:val="18"/>
      </w:rPr>
      <w:t xml:space="preserve"> </w:t>
    </w:r>
    <w:r>
      <w:rPr>
        <w:b/>
        <w:bCs/>
        <w:spacing w:val="-13"/>
        <w:sz w:val="18"/>
        <w:szCs w:val="18"/>
      </w:rPr>
      <w:t>页</w:t>
    </w:r>
  </w:p>
</w:ftr>
</file>

<file path=word/footer1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501D59">
    <w:pPr>
      <w:spacing w:after="13" w:line="454" w:lineRule="exact"/>
    </w:pPr>
  </w:p>
  <w:p w14:paraId="2DAEC1D2">
    <w:pPr>
      <w:pStyle w:val="2"/>
      <w:spacing w:line="207" w:lineRule="auto"/>
      <w:ind w:left="5067"/>
      <w:rPr>
        <w:sz w:val="18"/>
        <w:szCs w:val="18"/>
      </w:rPr>
    </w:pPr>
    <w:r>
      <w:rPr>
        <w:b/>
        <w:bCs/>
        <w:spacing w:val="-13"/>
        <w:sz w:val="18"/>
        <w:szCs w:val="18"/>
      </w:rPr>
      <w:t>第</w:t>
    </w:r>
    <w:r>
      <w:rPr>
        <w:spacing w:val="-28"/>
        <w:sz w:val="18"/>
        <w:szCs w:val="18"/>
      </w:rPr>
      <w:t xml:space="preserve"> </w:t>
    </w:r>
    <w:r>
      <w:rPr>
        <w:b/>
        <w:bCs/>
        <w:spacing w:val="-13"/>
        <w:sz w:val="18"/>
        <w:szCs w:val="18"/>
      </w:rPr>
      <w:t>230</w:t>
    </w:r>
    <w:r>
      <w:rPr>
        <w:spacing w:val="-13"/>
        <w:sz w:val="18"/>
        <w:szCs w:val="18"/>
      </w:rPr>
      <w:t xml:space="preserve"> </w:t>
    </w:r>
    <w:r>
      <w:rPr>
        <w:b/>
        <w:bCs/>
        <w:spacing w:val="-13"/>
        <w:sz w:val="18"/>
        <w:szCs w:val="18"/>
      </w:rPr>
      <w:t>页</w:t>
    </w:r>
    <w:r>
      <w:rPr>
        <w:spacing w:val="-27"/>
        <w:sz w:val="18"/>
        <w:szCs w:val="18"/>
      </w:rPr>
      <w:t xml:space="preserve"> </w:t>
    </w:r>
    <w:r>
      <w:rPr>
        <w:b/>
        <w:bCs/>
        <w:spacing w:val="-13"/>
        <w:sz w:val="18"/>
        <w:szCs w:val="18"/>
      </w:rPr>
      <w:t>共</w:t>
    </w:r>
    <w:r>
      <w:rPr>
        <w:spacing w:val="-39"/>
        <w:sz w:val="18"/>
        <w:szCs w:val="18"/>
      </w:rPr>
      <w:t xml:space="preserve"> </w:t>
    </w:r>
    <w:r>
      <w:rPr>
        <w:b/>
        <w:bCs/>
        <w:spacing w:val="-13"/>
        <w:sz w:val="18"/>
        <w:szCs w:val="18"/>
      </w:rPr>
      <w:t>499</w:t>
    </w:r>
    <w:r>
      <w:rPr>
        <w:spacing w:val="-13"/>
        <w:sz w:val="18"/>
        <w:szCs w:val="18"/>
      </w:rPr>
      <w:t xml:space="preserve"> </w:t>
    </w:r>
    <w:r>
      <w:rPr>
        <w:b/>
        <w:bCs/>
        <w:spacing w:val="-13"/>
        <w:sz w:val="18"/>
        <w:szCs w:val="18"/>
      </w:rPr>
      <w:t>页</w:t>
    </w:r>
  </w:p>
</w:ftr>
</file>

<file path=word/footer1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4514A0">
    <w:pPr>
      <w:spacing w:after="13" w:line="454" w:lineRule="exact"/>
    </w:pPr>
  </w:p>
  <w:p w14:paraId="145D52FB">
    <w:pPr>
      <w:pStyle w:val="2"/>
      <w:spacing w:line="207" w:lineRule="auto"/>
      <w:ind w:left="5067"/>
      <w:rPr>
        <w:sz w:val="18"/>
        <w:szCs w:val="18"/>
      </w:rPr>
    </w:pPr>
    <w:r>
      <w:rPr>
        <w:b/>
        <w:bCs/>
        <w:spacing w:val="-13"/>
        <w:sz w:val="18"/>
        <w:szCs w:val="18"/>
      </w:rPr>
      <w:t>第</w:t>
    </w:r>
    <w:r>
      <w:rPr>
        <w:spacing w:val="-28"/>
        <w:sz w:val="18"/>
        <w:szCs w:val="18"/>
      </w:rPr>
      <w:t xml:space="preserve"> </w:t>
    </w:r>
    <w:r>
      <w:rPr>
        <w:b/>
        <w:bCs/>
        <w:spacing w:val="-13"/>
        <w:sz w:val="18"/>
        <w:szCs w:val="18"/>
      </w:rPr>
      <w:t>231</w:t>
    </w:r>
    <w:r>
      <w:rPr>
        <w:spacing w:val="-13"/>
        <w:sz w:val="18"/>
        <w:szCs w:val="18"/>
      </w:rPr>
      <w:t xml:space="preserve"> </w:t>
    </w:r>
    <w:r>
      <w:rPr>
        <w:b/>
        <w:bCs/>
        <w:spacing w:val="-13"/>
        <w:sz w:val="18"/>
        <w:szCs w:val="18"/>
      </w:rPr>
      <w:t>页</w:t>
    </w:r>
    <w:r>
      <w:rPr>
        <w:spacing w:val="-27"/>
        <w:sz w:val="18"/>
        <w:szCs w:val="18"/>
      </w:rPr>
      <w:t xml:space="preserve"> </w:t>
    </w:r>
    <w:r>
      <w:rPr>
        <w:b/>
        <w:bCs/>
        <w:spacing w:val="-13"/>
        <w:sz w:val="18"/>
        <w:szCs w:val="18"/>
      </w:rPr>
      <w:t>共</w:t>
    </w:r>
    <w:r>
      <w:rPr>
        <w:spacing w:val="-39"/>
        <w:sz w:val="18"/>
        <w:szCs w:val="18"/>
      </w:rPr>
      <w:t xml:space="preserve"> </w:t>
    </w:r>
    <w:r>
      <w:rPr>
        <w:b/>
        <w:bCs/>
        <w:spacing w:val="-13"/>
        <w:sz w:val="18"/>
        <w:szCs w:val="18"/>
      </w:rPr>
      <w:t>499</w:t>
    </w:r>
    <w:r>
      <w:rPr>
        <w:spacing w:val="-13"/>
        <w:sz w:val="18"/>
        <w:szCs w:val="18"/>
      </w:rPr>
      <w:t xml:space="preserve"> </w:t>
    </w:r>
    <w:r>
      <w:rPr>
        <w:b/>
        <w:bCs/>
        <w:spacing w:val="-13"/>
        <w:sz w:val="18"/>
        <w:szCs w:val="18"/>
      </w:rPr>
      <w:t>页</w:t>
    </w:r>
  </w:p>
</w:ftr>
</file>

<file path=word/footer1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C84456">
    <w:pPr>
      <w:spacing w:after="13" w:line="454" w:lineRule="exact"/>
    </w:pPr>
  </w:p>
  <w:p w14:paraId="6C818FD5">
    <w:pPr>
      <w:pStyle w:val="2"/>
      <w:spacing w:line="207" w:lineRule="auto"/>
      <w:ind w:left="5067"/>
      <w:rPr>
        <w:sz w:val="18"/>
        <w:szCs w:val="18"/>
      </w:rPr>
    </w:pPr>
    <w:r>
      <w:rPr>
        <w:b/>
        <w:bCs/>
        <w:spacing w:val="-13"/>
        <w:sz w:val="18"/>
        <w:szCs w:val="18"/>
      </w:rPr>
      <w:t>第</w:t>
    </w:r>
    <w:r>
      <w:rPr>
        <w:spacing w:val="-28"/>
        <w:sz w:val="18"/>
        <w:szCs w:val="18"/>
      </w:rPr>
      <w:t xml:space="preserve"> </w:t>
    </w:r>
    <w:r>
      <w:rPr>
        <w:b/>
        <w:bCs/>
        <w:spacing w:val="-13"/>
        <w:sz w:val="18"/>
        <w:szCs w:val="18"/>
      </w:rPr>
      <w:t>232</w:t>
    </w:r>
    <w:r>
      <w:rPr>
        <w:spacing w:val="-13"/>
        <w:sz w:val="18"/>
        <w:szCs w:val="18"/>
      </w:rPr>
      <w:t xml:space="preserve"> </w:t>
    </w:r>
    <w:r>
      <w:rPr>
        <w:b/>
        <w:bCs/>
        <w:spacing w:val="-13"/>
        <w:sz w:val="18"/>
        <w:szCs w:val="18"/>
      </w:rPr>
      <w:t>页</w:t>
    </w:r>
    <w:r>
      <w:rPr>
        <w:spacing w:val="-27"/>
        <w:sz w:val="18"/>
        <w:szCs w:val="18"/>
      </w:rPr>
      <w:t xml:space="preserve"> </w:t>
    </w:r>
    <w:r>
      <w:rPr>
        <w:b/>
        <w:bCs/>
        <w:spacing w:val="-13"/>
        <w:sz w:val="18"/>
        <w:szCs w:val="18"/>
      </w:rPr>
      <w:t>共</w:t>
    </w:r>
    <w:r>
      <w:rPr>
        <w:spacing w:val="-39"/>
        <w:sz w:val="18"/>
        <w:szCs w:val="18"/>
      </w:rPr>
      <w:t xml:space="preserve"> </w:t>
    </w:r>
    <w:r>
      <w:rPr>
        <w:b/>
        <w:bCs/>
        <w:spacing w:val="-13"/>
        <w:sz w:val="18"/>
        <w:szCs w:val="18"/>
      </w:rPr>
      <w:t>499</w:t>
    </w:r>
    <w:r>
      <w:rPr>
        <w:spacing w:val="-13"/>
        <w:sz w:val="18"/>
        <w:szCs w:val="18"/>
      </w:rPr>
      <w:t xml:space="preserve"> </w:t>
    </w:r>
    <w:r>
      <w:rPr>
        <w:b/>
        <w:bCs/>
        <w:spacing w:val="-13"/>
        <w:sz w:val="18"/>
        <w:szCs w:val="18"/>
      </w:rPr>
      <w:t>页</w:t>
    </w:r>
  </w:p>
</w:ftr>
</file>

<file path=word/footer1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BAE21A">
    <w:pPr>
      <w:spacing w:after="13" w:line="454" w:lineRule="exact"/>
    </w:pPr>
  </w:p>
  <w:p w14:paraId="0A295020">
    <w:pPr>
      <w:pStyle w:val="2"/>
      <w:spacing w:line="207" w:lineRule="auto"/>
      <w:ind w:left="5067"/>
      <w:rPr>
        <w:sz w:val="18"/>
        <w:szCs w:val="18"/>
      </w:rPr>
    </w:pPr>
    <w:r>
      <w:rPr>
        <w:b/>
        <w:bCs/>
        <w:spacing w:val="-13"/>
        <w:sz w:val="18"/>
        <w:szCs w:val="18"/>
      </w:rPr>
      <w:t>第</w:t>
    </w:r>
    <w:r>
      <w:rPr>
        <w:spacing w:val="-28"/>
        <w:sz w:val="18"/>
        <w:szCs w:val="18"/>
      </w:rPr>
      <w:t xml:space="preserve"> </w:t>
    </w:r>
    <w:r>
      <w:rPr>
        <w:b/>
        <w:bCs/>
        <w:spacing w:val="-13"/>
        <w:sz w:val="18"/>
        <w:szCs w:val="18"/>
      </w:rPr>
      <w:t>233</w:t>
    </w:r>
    <w:r>
      <w:rPr>
        <w:spacing w:val="-13"/>
        <w:sz w:val="18"/>
        <w:szCs w:val="18"/>
      </w:rPr>
      <w:t xml:space="preserve"> </w:t>
    </w:r>
    <w:r>
      <w:rPr>
        <w:b/>
        <w:bCs/>
        <w:spacing w:val="-13"/>
        <w:sz w:val="18"/>
        <w:szCs w:val="18"/>
      </w:rPr>
      <w:t>页</w:t>
    </w:r>
    <w:r>
      <w:rPr>
        <w:spacing w:val="-27"/>
        <w:sz w:val="18"/>
        <w:szCs w:val="18"/>
      </w:rPr>
      <w:t xml:space="preserve"> </w:t>
    </w:r>
    <w:r>
      <w:rPr>
        <w:b/>
        <w:bCs/>
        <w:spacing w:val="-13"/>
        <w:sz w:val="18"/>
        <w:szCs w:val="18"/>
      </w:rPr>
      <w:t>共</w:t>
    </w:r>
    <w:r>
      <w:rPr>
        <w:spacing w:val="-39"/>
        <w:sz w:val="18"/>
        <w:szCs w:val="18"/>
      </w:rPr>
      <w:t xml:space="preserve"> </w:t>
    </w:r>
    <w:r>
      <w:rPr>
        <w:b/>
        <w:bCs/>
        <w:spacing w:val="-13"/>
        <w:sz w:val="18"/>
        <w:szCs w:val="18"/>
      </w:rPr>
      <w:t>499</w:t>
    </w:r>
    <w:r>
      <w:rPr>
        <w:spacing w:val="-13"/>
        <w:sz w:val="18"/>
        <w:szCs w:val="18"/>
      </w:rPr>
      <w:t xml:space="preserve"> </w:t>
    </w:r>
    <w:r>
      <w:rPr>
        <w:b/>
        <w:bCs/>
        <w:spacing w:val="-13"/>
        <w:sz w:val="18"/>
        <w:szCs w:val="18"/>
      </w:rPr>
      <w:t>页</w:t>
    </w:r>
  </w:p>
</w:ftr>
</file>

<file path=word/footer1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15A458">
    <w:pPr>
      <w:spacing w:after="13" w:line="454" w:lineRule="exact"/>
    </w:pPr>
  </w:p>
  <w:p w14:paraId="3D25F1C7">
    <w:pPr>
      <w:pStyle w:val="2"/>
      <w:spacing w:line="207" w:lineRule="auto"/>
      <w:ind w:left="5067"/>
      <w:rPr>
        <w:sz w:val="18"/>
        <w:szCs w:val="18"/>
      </w:rPr>
    </w:pPr>
    <w:r>
      <w:rPr>
        <w:b/>
        <w:bCs/>
        <w:spacing w:val="-13"/>
        <w:sz w:val="18"/>
        <w:szCs w:val="18"/>
      </w:rPr>
      <w:t>第</w:t>
    </w:r>
    <w:r>
      <w:rPr>
        <w:spacing w:val="-28"/>
        <w:sz w:val="18"/>
        <w:szCs w:val="18"/>
      </w:rPr>
      <w:t xml:space="preserve"> </w:t>
    </w:r>
    <w:r>
      <w:rPr>
        <w:b/>
        <w:bCs/>
        <w:spacing w:val="-13"/>
        <w:sz w:val="18"/>
        <w:szCs w:val="18"/>
      </w:rPr>
      <w:t>234</w:t>
    </w:r>
    <w:r>
      <w:rPr>
        <w:spacing w:val="-13"/>
        <w:sz w:val="18"/>
        <w:szCs w:val="18"/>
      </w:rPr>
      <w:t xml:space="preserve"> </w:t>
    </w:r>
    <w:r>
      <w:rPr>
        <w:b/>
        <w:bCs/>
        <w:spacing w:val="-13"/>
        <w:sz w:val="18"/>
        <w:szCs w:val="18"/>
      </w:rPr>
      <w:t>页</w:t>
    </w:r>
    <w:r>
      <w:rPr>
        <w:spacing w:val="-27"/>
        <w:sz w:val="18"/>
        <w:szCs w:val="18"/>
      </w:rPr>
      <w:t xml:space="preserve"> </w:t>
    </w:r>
    <w:r>
      <w:rPr>
        <w:b/>
        <w:bCs/>
        <w:spacing w:val="-13"/>
        <w:sz w:val="18"/>
        <w:szCs w:val="18"/>
      </w:rPr>
      <w:t>共</w:t>
    </w:r>
    <w:r>
      <w:rPr>
        <w:spacing w:val="-39"/>
        <w:sz w:val="18"/>
        <w:szCs w:val="18"/>
      </w:rPr>
      <w:t xml:space="preserve"> </w:t>
    </w:r>
    <w:r>
      <w:rPr>
        <w:b/>
        <w:bCs/>
        <w:spacing w:val="-13"/>
        <w:sz w:val="18"/>
        <w:szCs w:val="18"/>
      </w:rPr>
      <w:t>499</w:t>
    </w:r>
    <w:r>
      <w:rPr>
        <w:spacing w:val="-13"/>
        <w:sz w:val="18"/>
        <w:szCs w:val="18"/>
      </w:rPr>
      <w:t xml:space="preserve"> </w:t>
    </w:r>
    <w:r>
      <w:rPr>
        <w:b/>
        <w:bCs/>
        <w:spacing w:val="-13"/>
        <w:sz w:val="18"/>
        <w:szCs w:val="18"/>
      </w:rPr>
      <w:t>页</w:t>
    </w:r>
  </w:p>
</w:ftr>
</file>

<file path=word/footer1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7A5AC2">
    <w:pPr>
      <w:spacing w:after="13" w:line="454" w:lineRule="exact"/>
    </w:pPr>
  </w:p>
  <w:p w14:paraId="1470F568">
    <w:pPr>
      <w:pStyle w:val="2"/>
      <w:spacing w:line="207" w:lineRule="auto"/>
      <w:ind w:left="5067"/>
      <w:rPr>
        <w:sz w:val="18"/>
        <w:szCs w:val="18"/>
      </w:rPr>
    </w:pPr>
    <w:r>
      <w:rPr>
        <w:b/>
        <w:bCs/>
        <w:spacing w:val="-13"/>
        <w:sz w:val="18"/>
        <w:szCs w:val="18"/>
      </w:rPr>
      <w:t>第</w:t>
    </w:r>
    <w:r>
      <w:rPr>
        <w:spacing w:val="-28"/>
        <w:sz w:val="18"/>
        <w:szCs w:val="18"/>
      </w:rPr>
      <w:t xml:space="preserve"> </w:t>
    </w:r>
    <w:r>
      <w:rPr>
        <w:b/>
        <w:bCs/>
        <w:spacing w:val="-13"/>
        <w:sz w:val="18"/>
        <w:szCs w:val="18"/>
      </w:rPr>
      <w:t>235</w:t>
    </w:r>
    <w:r>
      <w:rPr>
        <w:spacing w:val="-13"/>
        <w:sz w:val="18"/>
        <w:szCs w:val="18"/>
      </w:rPr>
      <w:t xml:space="preserve"> </w:t>
    </w:r>
    <w:r>
      <w:rPr>
        <w:b/>
        <w:bCs/>
        <w:spacing w:val="-13"/>
        <w:sz w:val="18"/>
        <w:szCs w:val="18"/>
      </w:rPr>
      <w:t>页</w:t>
    </w:r>
    <w:r>
      <w:rPr>
        <w:spacing w:val="-27"/>
        <w:sz w:val="18"/>
        <w:szCs w:val="18"/>
      </w:rPr>
      <w:t xml:space="preserve"> </w:t>
    </w:r>
    <w:r>
      <w:rPr>
        <w:b/>
        <w:bCs/>
        <w:spacing w:val="-13"/>
        <w:sz w:val="18"/>
        <w:szCs w:val="18"/>
      </w:rPr>
      <w:t>共</w:t>
    </w:r>
    <w:r>
      <w:rPr>
        <w:spacing w:val="-39"/>
        <w:sz w:val="18"/>
        <w:szCs w:val="18"/>
      </w:rPr>
      <w:t xml:space="preserve"> </w:t>
    </w:r>
    <w:r>
      <w:rPr>
        <w:b/>
        <w:bCs/>
        <w:spacing w:val="-13"/>
        <w:sz w:val="18"/>
        <w:szCs w:val="18"/>
      </w:rPr>
      <w:t>499</w:t>
    </w:r>
    <w:r>
      <w:rPr>
        <w:spacing w:val="-13"/>
        <w:sz w:val="18"/>
        <w:szCs w:val="18"/>
      </w:rPr>
      <w:t xml:space="preserve"> </w:t>
    </w:r>
    <w:r>
      <w:rPr>
        <w:b/>
        <w:bCs/>
        <w:spacing w:val="-13"/>
        <w:sz w:val="18"/>
        <w:szCs w:val="18"/>
      </w:rPr>
      <w:t>页</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CCC512">
    <w:pPr>
      <w:spacing w:after="13" w:line="454" w:lineRule="exact"/>
    </w:pPr>
  </w:p>
  <w:p w14:paraId="69699477">
    <w:pPr>
      <w:pStyle w:val="2"/>
      <w:spacing w:line="207" w:lineRule="auto"/>
      <w:ind w:left="5106"/>
      <w:rPr>
        <w:sz w:val="18"/>
        <w:szCs w:val="18"/>
      </w:rPr>
    </w:pPr>
    <w:r>
      <w:rPr>
        <w:b/>
        <w:bCs/>
        <w:spacing w:val="-13"/>
        <w:sz w:val="18"/>
        <w:szCs w:val="18"/>
      </w:rPr>
      <w:t>第</w:t>
    </w:r>
    <w:r>
      <w:rPr>
        <w:spacing w:val="-28"/>
        <w:sz w:val="18"/>
        <w:szCs w:val="18"/>
      </w:rPr>
      <w:t xml:space="preserve"> </w:t>
    </w:r>
    <w:r>
      <w:rPr>
        <w:b/>
        <w:bCs/>
        <w:spacing w:val="-13"/>
        <w:sz w:val="18"/>
        <w:szCs w:val="18"/>
      </w:rPr>
      <w:t>46</w:t>
    </w:r>
    <w:r>
      <w:rPr>
        <w:spacing w:val="-13"/>
        <w:sz w:val="18"/>
        <w:szCs w:val="18"/>
      </w:rPr>
      <w:t xml:space="preserve"> </w:t>
    </w:r>
    <w:r>
      <w:rPr>
        <w:b/>
        <w:bCs/>
        <w:spacing w:val="-13"/>
        <w:sz w:val="18"/>
        <w:szCs w:val="18"/>
      </w:rPr>
      <w:t>页</w:t>
    </w:r>
    <w:r>
      <w:rPr>
        <w:spacing w:val="-28"/>
        <w:sz w:val="18"/>
        <w:szCs w:val="18"/>
      </w:rPr>
      <w:t xml:space="preserve"> </w:t>
    </w:r>
    <w:r>
      <w:rPr>
        <w:b/>
        <w:bCs/>
        <w:spacing w:val="-13"/>
        <w:sz w:val="18"/>
        <w:szCs w:val="18"/>
      </w:rPr>
      <w:t>共</w:t>
    </w:r>
    <w:r>
      <w:rPr>
        <w:spacing w:val="-38"/>
        <w:sz w:val="18"/>
        <w:szCs w:val="18"/>
      </w:rPr>
      <w:t xml:space="preserve"> </w:t>
    </w:r>
    <w:r>
      <w:rPr>
        <w:b/>
        <w:bCs/>
        <w:spacing w:val="-13"/>
        <w:sz w:val="18"/>
        <w:szCs w:val="18"/>
      </w:rPr>
      <w:t>499</w:t>
    </w:r>
    <w:r>
      <w:rPr>
        <w:spacing w:val="-13"/>
        <w:sz w:val="18"/>
        <w:szCs w:val="18"/>
      </w:rPr>
      <w:t xml:space="preserve"> </w:t>
    </w:r>
    <w:r>
      <w:rPr>
        <w:b/>
        <w:bCs/>
        <w:spacing w:val="-13"/>
        <w:sz w:val="18"/>
        <w:szCs w:val="18"/>
      </w:rPr>
      <w:t>页</w:t>
    </w:r>
  </w:p>
</w:ftr>
</file>

<file path=word/footer1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2B3482">
    <w:pPr>
      <w:spacing w:after="13" w:line="454" w:lineRule="exact"/>
    </w:pPr>
  </w:p>
  <w:p w14:paraId="5EDB10B2">
    <w:pPr>
      <w:pStyle w:val="2"/>
      <w:spacing w:line="207" w:lineRule="auto"/>
      <w:ind w:left="5067"/>
      <w:rPr>
        <w:sz w:val="18"/>
        <w:szCs w:val="18"/>
      </w:rPr>
    </w:pPr>
    <w:r>
      <w:rPr>
        <w:b/>
        <w:bCs/>
        <w:spacing w:val="-13"/>
        <w:sz w:val="18"/>
        <w:szCs w:val="18"/>
      </w:rPr>
      <w:t>第</w:t>
    </w:r>
    <w:r>
      <w:rPr>
        <w:spacing w:val="-28"/>
        <w:sz w:val="18"/>
        <w:szCs w:val="18"/>
      </w:rPr>
      <w:t xml:space="preserve"> </w:t>
    </w:r>
    <w:r>
      <w:rPr>
        <w:b/>
        <w:bCs/>
        <w:spacing w:val="-13"/>
        <w:sz w:val="18"/>
        <w:szCs w:val="18"/>
      </w:rPr>
      <w:t>236</w:t>
    </w:r>
    <w:r>
      <w:rPr>
        <w:spacing w:val="-13"/>
        <w:sz w:val="18"/>
        <w:szCs w:val="18"/>
      </w:rPr>
      <w:t xml:space="preserve"> </w:t>
    </w:r>
    <w:r>
      <w:rPr>
        <w:b/>
        <w:bCs/>
        <w:spacing w:val="-13"/>
        <w:sz w:val="18"/>
        <w:szCs w:val="18"/>
      </w:rPr>
      <w:t>页</w:t>
    </w:r>
    <w:r>
      <w:rPr>
        <w:spacing w:val="-27"/>
        <w:sz w:val="18"/>
        <w:szCs w:val="18"/>
      </w:rPr>
      <w:t xml:space="preserve"> </w:t>
    </w:r>
    <w:r>
      <w:rPr>
        <w:b/>
        <w:bCs/>
        <w:spacing w:val="-13"/>
        <w:sz w:val="18"/>
        <w:szCs w:val="18"/>
      </w:rPr>
      <w:t>共</w:t>
    </w:r>
    <w:r>
      <w:rPr>
        <w:spacing w:val="-39"/>
        <w:sz w:val="18"/>
        <w:szCs w:val="18"/>
      </w:rPr>
      <w:t xml:space="preserve"> </w:t>
    </w:r>
    <w:r>
      <w:rPr>
        <w:b/>
        <w:bCs/>
        <w:spacing w:val="-13"/>
        <w:sz w:val="18"/>
        <w:szCs w:val="18"/>
      </w:rPr>
      <w:t>499</w:t>
    </w:r>
    <w:r>
      <w:rPr>
        <w:spacing w:val="-13"/>
        <w:sz w:val="18"/>
        <w:szCs w:val="18"/>
      </w:rPr>
      <w:t xml:space="preserve"> </w:t>
    </w:r>
    <w:r>
      <w:rPr>
        <w:b/>
        <w:bCs/>
        <w:spacing w:val="-13"/>
        <w:sz w:val="18"/>
        <w:szCs w:val="18"/>
      </w:rPr>
      <w:t>页</w:t>
    </w:r>
  </w:p>
</w:ftr>
</file>

<file path=word/footer1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95F645">
    <w:pPr>
      <w:spacing w:after="13" w:line="454" w:lineRule="exact"/>
    </w:pPr>
  </w:p>
  <w:p w14:paraId="79F5F446">
    <w:pPr>
      <w:pStyle w:val="2"/>
      <w:spacing w:line="207" w:lineRule="auto"/>
      <w:ind w:left="5067"/>
      <w:rPr>
        <w:sz w:val="18"/>
        <w:szCs w:val="18"/>
      </w:rPr>
    </w:pPr>
    <w:r>
      <w:rPr>
        <w:b/>
        <w:bCs/>
        <w:spacing w:val="-13"/>
        <w:sz w:val="18"/>
        <w:szCs w:val="18"/>
      </w:rPr>
      <w:t>第</w:t>
    </w:r>
    <w:r>
      <w:rPr>
        <w:spacing w:val="-28"/>
        <w:sz w:val="18"/>
        <w:szCs w:val="18"/>
      </w:rPr>
      <w:t xml:space="preserve"> </w:t>
    </w:r>
    <w:r>
      <w:rPr>
        <w:b/>
        <w:bCs/>
        <w:spacing w:val="-13"/>
        <w:sz w:val="18"/>
        <w:szCs w:val="18"/>
      </w:rPr>
      <w:t>237</w:t>
    </w:r>
    <w:r>
      <w:rPr>
        <w:spacing w:val="-13"/>
        <w:sz w:val="18"/>
        <w:szCs w:val="18"/>
      </w:rPr>
      <w:t xml:space="preserve"> </w:t>
    </w:r>
    <w:r>
      <w:rPr>
        <w:b/>
        <w:bCs/>
        <w:spacing w:val="-13"/>
        <w:sz w:val="18"/>
        <w:szCs w:val="18"/>
      </w:rPr>
      <w:t>页</w:t>
    </w:r>
    <w:r>
      <w:rPr>
        <w:spacing w:val="-27"/>
        <w:sz w:val="18"/>
        <w:szCs w:val="18"/>
      </w:rPr>
      <w:t xml:space="preserve"> </w:t>
    </w:r>
    <w:r>
      <w:rPr>
        <w:b/>
        <w:bCs/>
        <w:spacing w:val="-13"/>
        <w:sz w:val="18"/>
        <w:szCs w:val="18"/>
      </w:rPr>
      <w:t>共</w:t>
    </w:r>
    <w:r>
      <w:rPr>
        <w:spacing w:val="-39"/>
        <w:sz w:val="18"/>
        <w:szCs w:val="18"/>
      </w:rPr>
      <w:t xml:space="preserve"> </w:t>
    </w:r>
    <w:r>
      <w:rPr>
        <w:b/>
        <w:bCs/>
        <w:spacing w:val="-13"/>
        <w:sz w:val="18"/>
        <w:szCs w:val="18"/>
      </w:rPr>
      <w:t>499</w:t>
    </w:r>
    <w:r>
      <w:rPr>
        <w:spacing w:val="-13"/>
        <w:sz w:val="18"/>
        <w:szCs w:val="18"/>
      </w:rPr>
      <w:t xml:space="preserve"> </w:t>
    </w:r>
    <w:r>
      <w:rPr>
        <w:b/>
        <w:bCs/>
        <w:spacing w:val="-13"/>
        <w:sz w:val="18"/>
        <w:szCs w:val="18"/>
      </w:rPr>
      <w:t>页</w:t>
    </w:r>
  </w:p>
</w:ftr>
</file>

<file path=word/footer1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47024B">
    <w:pPr>
      <w:spacing w:after="13" w:line="454" w:lineRule="exact"/>
    </w:pPr>
  </w:p>
  <w:p w14:paraId="3B07502F">
    <w:pPr>
      <w:pStyle w:val="2"/>
      <w:spacing w:line="207" w:lineRule="auto"/>
      <w:ind w:left="5067"/>
      <w:rPr>
        <w:sz w:val="18"/>
        <w:szCs w:val="18"/>
      </w:rPr>
    </w:pPr>
    <w:r>
      <w:rPr>
        <w:b/>
        <w:bCs/>
        <w:spacing w:val="-13"/>
        <w:sz w:val="18"/>
        <w:szCs w:val="18"/>
      </w:rPr>
      <w:t>第</w:t>
    </w:r>
    <w:r>
      <w:rPr>
        <w:spacing w:val="-28"/>
        <w:sz w:val="18"/>
        <w:szCs w:val="18"/>
      </w:rPr>
      <w:t xml:space="preserve"> </w:t>
    </w:r>
    <w:r>
      <w:rPr>
        <w:b/>
        <w:bCs/>
        <w:spacing w:val="-13"/>
        <w:sz w:val="18"/>
        <w:szCs w:val="18"/>
      </w:rPr>
      <w:t>238</w:t>
    </w:r>
    <w:r>
      <w:rPr>
        <w:spacing w:val="-13"/>
        <w:sz w:val="18"/>
        <w:szCs w:val="18"/>
      </w:rPr>
      <w:t xml:space="preserve"> </w:t>
    </w:r>
    <w:r>
      <w:rPr>
        <w:b/>
        <w:bCs/>
        <w:spacing w:val="-13"/>
        <w:sz w:val="18"/>
        <w:szCs w:val="18"/>
      </w:rPr>
      <w:t>页</w:t>
    </w:r>
    <w:r>
      <w:rPr>
        <w:spacing w:val="-27"/>
        <w:sz w:val="18"/>
        <w:szCs w:val="18"/>
      </w:rPr>
      <w:t xml:space="preserve"> </w:t>
    </w:r>
    <w:r>
      <w:rPr>
        <w:b/>
        <w:bCs/>
        <w:spacing w:val="-13"/>
        <w:sz w:val="18"/>
        <w:szCs w:val="18"/>
      </w:rPr>
      <w:t>共</w:t>
    </w:r>
    <w:r>
      <w:rPr>
        <w:spacing w:val="-39"/>
        <w:sz w:val="18"/>
        <w:szCs w:val="18"/>
      </w:rPr>
      <w:t xml:space="preserve"> </w:t>
    </w:r>
    <w:r>
      <w:rPr>
        <w:b/>
        <w:bCs/>
        <w:spacing w:val="-13"/>
        <w:sz w:val="18"/>
        <w:szCs w:val="18"/>
      </w:rPr>
      <w:t>499</w:t>
    </w:r>
    <w:r>
      <w:rPr>
        <w:spacing w:val="-13"/>
        <w:sz w:val="18"/>
        <w:szCs w:val="18"/>
      </w:rPr>
      <w:t xml:space="preserve"> </w:t>
    </w:r>
    <w:r>
      <w:rPr>
        <w:b/>
        <w:bCs/>
        <w:spacing w:val="-13"/>
        <w:sz w:val="18"/>
        <w:szCs w:val="18"/>
      </w:rPr>
      <w:t>页</w:t>
    </w:r>
  </w:p>
</w:ftr>
</file>

<file path=word/footer1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D3379A">
    <w:pPr>
      <w:spacing w:after="13" w:line="454" w:lineRule="exact"/>
    </w:pPr>
  </w:p>
  <w:p w14:paraId="06FDE970">
    <w:pPr>
      <w:pStyle w:val="2"/>
      <w:spacing w:line="207" w:lineRule="auto"/>
      <w:ind w:left="5067"/>
      <w:rPr>
        <w:sz w:val="18"/>
        <w:szCs w:val="18"/>
      </w:rPr>
    </w:pPr>
    <w:r>
      <w:rPr>
        <w:b/>
        <w:bCs/>
        <w:spacing w:val="-13"/>
        <w:sz w:val="18"/>
        <w:szCs w:val="18"/>
      </w:rPr>
      <w:t>第</w:t>
    </w:r>
    <w:r>
      <w:rPr>
        <w:spacing w:val="-28"/>
        <w:sz w:val="18"/>
        <w:szCs w:val="18"/>
      </w:rPr>
      <w:t xml:space="preserve"> </w:t>
    </w:r>
    <w:r>
      <w:rPr>
        <w:b/>
        <w:bCs/>
        <w:spacing w:val="-13"/>
        <w:sz w:val="18"/>
        <w:szCs w:val="18"/>
      </w:rPr>
      <w:t>239</w:t>
    </w:r>
    <w:r>
      <w:rPr>
        <w:spacing w:val="-13"/>
        <w:sz w:val="18"/>
        <w:szCs w:val="18"/>
      </w:rPr>
      <w:t xml:space="preserve"> </w:t>
    </w:r>
    <w:r>
      <w:rPr>
        <w:b/>
        <w:bCs/>
        <w:spacing w:val="-13"/>
        <w:sz w:val="18"/>
        <w:szCs w:val="18"/>
      </w:rPr>
      <w:t>页</w:t>
    </w:r>
    <w:r>
      <w:rPr>
        <w:spacing w:val="-27"/>
        <w:sz w:val="18"/>
        <w:szCs w:val="18"/>
      </w:rPr>
      <w:t xml:space="preserve"> </w:t>
    </w:r>
    <w:r>
      <w:rPr>
        <w:b/>
        <w:bCs/>
        <w:spacing w:val="-13"/>
        <w:sz w:val="18"/>
        <w:szCs w:val="18"/>
      </w:rPr>
      <w:t>共</w:t>
    </w:r>
    <w:r>
      <w:rPr>
        <w:spacing w:val="-39"/>
        <w:sz w:val="18"/>
        <w:szCs w:val="18"/>
      </w:rPr>
      <w:t xml:space="preserve"> </w:t>
    </w:r>
    <w:r>
      <w:rPr>
        <w:b/>
        <w:bCs/>
        <w:spacing w:val="-13"/>
        <w:sz w:val="18"/>
        <w:szCs w:val="18"/>
      </w:rPr>
      <w:t>499</w:t>
    </w:r>
    <w:r>
      <w:rPr>
        <w:spacing w:val="-13"/>
        <w:sz w:val="18"/>
        <w:szCs w:val="18"/>
      </w:rPr>
      <w:t xml:space="preserve"> </w:t>
    </w:r>
    <w:r>
      <w:rPr>
        <w:b/>
        <w:bCs/>
        <w:spacing w:val="-13"/>
        <w:sz w:val="18"/>
        <w:szCs w:val="18"/>
      </w:rPr>
      <w:t>页</w:t>
    </w:r>
  </w:p>
</w:ftr>
</file>

<file path=word/footer1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E04501">
    <w:pPr>
      <w:spacing w:after="13" w:line="454" w:lineRule="exact"/>
    </w:pPr>
  </w:p>
  <w:p w14:paraId="2FC8C08C">
    <w:pPr>
      <w:pStyle w:val="2"/>
      <w:spacing w:line="207" w:lineRule="auto"/>
      <w:ind w:left="5067"/>
      <w:rPr>
        <w:sz w:val="18"/>
        <w:szCs w:val="18"/>
      </w:rPr>
    </w:pPr>
    <w:r>
      <w:rPr>
        <w:b/>
        <w:bCs/>
        <w:spacing w:val="-13"/>
        <w:sz w:val="18"/>
        <w:szCs w:val="18"/>
      </w:rPr>
      <w:t>第</w:t>
    </w:r>
    <w:r>
      <w:rPr>
        <w:spacing w:val="-28"/>
        <w:sz w:val="18"/>
        <w:szCs w:val="18"/>
      </w:rPr>
      <w:t xml:space="preserve"> </w:t>
    </w:r>
    <w:r>
      <w:rPr>
        <w:b/>
        <w:bCs/>
        <w:spacing w:val="-13"/>
        <w:sz w:val="18"/>
        <w:szCs w:val="18"/>
      </w:rPr>
      <w:t>240</w:t>
    </w:r>
    <w:r>
      <w:rPr>
        <w:spacing w:val="-13"/>
        <w:sz w:val="18"/>
        <w:szCs w:val="18"/>
      </w:rPr>
      <w:t xml:space="preserve"> </w:t>
    </w:r>
    <w:r>
      <w:rPr>
        <w:b/>
        <w:bCs/>
        <w:spacing w:val="-13"/>
        <w:sz w:val="18"/>
        <w:szCs w:val="18"/>
      </w:rPr>
      <w:t>页</w:t>
    </w:r>
    <w:r>
      <w:rPr>
        <w:spacing w:val="-27"/>
        <w:sz w:val="18"/>
        <w:szCs w:val="18"/>
      </w:rPr>
      <w:t xml:space="preserve"> </w:t>
    </w:r>
    <w:r>
      <w:rPr>
        <w:b/>
        <w:bCs/>
        <w:spacing w:val="-13"/>
        <w:sz w:val="18"/>
        <w:szCs w:val="18"/>
      </w:rPr>
      <w:t>共</w:t>
    </w:r>
    <w:r>
      <w:rPr>
        <w:spacing w:val="-39"/>
        <w:sz w:val="18"/>
        <w:szCs w:val="18"/>
      </w:rPr>
      <w:t xml:space="preserve"> </w:t>
    </w:r>
    <w:r>
      <w:rPr>
        <w:b/>
        <w:bCs/>
        <w:spacing w:val="-13"/>
        <w:sz w:val="18"/>
        <w:szCs w:val="18"/>
      </w:rPr>
      <w:t>499</w:t>
    </w:r>
    <w:r>
      <w:rPr>
        <w:spacing w:val="-13"/>
        <w:sz w:val="18"/>
        <w:szCs w:val="18"/>
      </w:rPr>
      <w:t xml:space="preserve"> </w:t>
    </w:r>
    <w:r>
      <w:rPr>
        <w:b/>
        <w:bCs/>
        <w:spacing w:val="-13"/>
        <w:sz w:val="18"/>
        <w:szCs w:val="18"/>
      </w:rPr>
      <w:t>页</w:t>
    </w:r>
  </w:p>
</w:ftr>
</file>

<file path=word/footer1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215905">
    <w:pPr>
      <w:spacing w:after="13" w:line="454" w:lineRule="exact"/>
    </w:pPr>
  </w:p>
  <w:p w14:paraId="4288D806">
    <w:pPr>
      <w:pStyle w:val="2"/>
      <w:spacing w:line="207" w:lineRule="auto"/>
      <w:ind w:left="5067"/>
      <w:rPr>
        <w:sz w:val="18"/>
        <w:szCs w:val="18"/>
      </w:rPr>
    </w:pPr>
    <w:r>
      <w:rPr>
        <w:b/>
        <w:bCs/>
        <w:spacing w:val="-13"/>
        <w:sz w:val="18"/>
        <w:szCs w:val="18"/>
      </w:rPr>
      <w:t>第</w:t>
    </w:r>
    <w:r>
      <w:rPr>
        <w:spacing w:val="-28"/>
        <w:sz w:val="18"/>
        <w:szCs w:val="18"/>
      </w:rPr>
      <w:t xml:space="preserve"> </w:t>
    </w:r>
    <w:r>
      <w:rPr>
        <w:b/>
        <w:bCs/>
        <w:spacing w:val="-13"/>
        <w:sz w:val="18"/>
        <w:szCs w:val="18"/>
      </w:rPr>
      <w:t>241</w:t>
    </w:r>
    <w:r>
      <w:rPr>
        <w:spacing w:val="-13"/>
        <w:sz w:val="18"/>
        <w:szCs w:val="18"/>
      </w:rPr>
      <w:t xml:space="preserve"> </w:t>
    </w:r>
    <w:r>
      <w:rPr>
        <w:b/>
        <w:bCs/>
        <w:spacing w:val="-13"/>
        <w:sz w:val="18"/>
        <w:szCs w:val="18"/>
      </w:rPr>
      <w:t>页</w:t>
    </w:r>
    <w:r>
      <w:rPr>
        <w:spacing w:val="-27"/>
        <w:sz w:val="18"/>
        <w:szCs w:val="18"/>
      </w:rPr>
      <w:t xml:space="preserve"> </w:t>
    </w:r>
    <w:r>
      <w:rPr>
        <w:b/>
        <w:bCs/>
        <w:spacing w:val="-13"/>
        <w:sz w:val="18"/>
        <w:szCs w:val="18"/>
      </w:rPr>
      <w:t>共</w:t>
    </w:r>
    <w:r>
      <w:rPr>
        <w:spacing w:val="-39"/>
        <w:sz w:val="18"/>
        <w:szCs w:val="18"/>
      </w:rPr>
      <w:t xml:space="preserve"> </w:t>
    </w:r>
    <w:r>
      <w:rPr>
        <w:b/>
        <w:bCs/>
        <w:spacing w:val="-13"/>
        <w:sz w:val="18"/>
        <w:szCs w:val="18"/>
      </w:rPr>
      <w:t>499</w:t>
    </w:r>
    <w:r>
      <w:rPr>
        <w:spacing w:val="-13"/>
        <w:sz w:val="18"/>
        <w:szCs w:val="18"/>
      </w:rPr>
      <w:t xml:space="preserve"> </w:t>
    </w:r>
    <w:r>
      <w:rPr>
        <w:b/>
        <w:bCs/>
        <w:spacing w:val="-13"/>
        <w:sz w:val="18"/>
        <w:szCs w:val="18"/>
      </w:rPr>
      <w:t>页</w:t>
    </w:r>
  </w:p>
</w:ftr>
</file>

<file path=word/footer1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8D1A6D">
    <w:pPr>
      <w:spacing w:after="13" w:line="454" w:lineRule="exact"/>
    </w:pPr>
  </w:p>
  <w:p w14:paraId="2479837B">
    <w:pPr>
      <w:pStyle w:val="2"/>
      <w:spacing w:line="207" w:lineRule="auto"/>
      <w:ind w:left="5067"/>
      <w:rPr>
        <w:sz w:val="18"/>
        <w:szCs w:val="18"/>
      </w:rPr>
    </w:pPr>
    <w:r>
      <w:rPr>
        <w:b/>
        <w:bCs/>
        <w:spacing w:val="-13"/>
        <w:sz w:val="18"/>
        <w:szCs w:val="18"/>
      </w:rPr>
      <w:t>第</w:t>
    </w:r>
    <w:r>
      <w:rPr>
        <w:spacing w:val="-28"/>
        <w:sz w:val="18"/>
        <w:szCs w:val="18"/>
      </w:rPr>
      <w:t xml:space="preserve"> </w:t>
    </w:r>
    <w:r>
      <w:rPr>
        <w:b/>
        <w:bCs/>
        <w:spacing w:val="-13"/>
        <w:sz w:val="18"/>
        <w:szCs w:val="18"/>
      </w:rPr>
      <w:t>242</w:t>
    </w:r>
    <w:r>
      <w:rPr>
        <w:spacing w:val="-13"/>
        <w:sz w:val="18"/>
        <w:szCs w:val="18"/>
      </w:rPr>
      <w:t xml:space="preserve"> </w:t>
    </w:r>
    <w:r>
      <w:rPr>
        <w:b/>
        <w:bCs/>
        <w:spacing w:val="-13"/>
        <w:sz w:val="18"/>
        <w:szCs w:val="18"/>
      </w:rPr>
      <w:t>页</w:t>
    </w:r>
    <w:r>
      <w:rPr>
        <w:spacing w:val="-27"/>
        <w:sz w:val="18"/>
        <w:szCs w:val="18"/>
      </w:rPr>
      <w:t xml:space="preserve"> </w:t>
    </w:r>
    <w:r>
      <w:rPr>
        <w:b/>
        <w:bCs/>
        <w:spacing w:val="-13"/>
        <w:sz w:val="18"/>
        <w:szCs w:val="18"/>
      </w:rPr>
      <w:t>共</w:t>
    </w:r>
    <w:r>
      <w:rPr>
        <w:spacing w:val="-39"/>
        <w:sz w:val="18"/>
        <w:szCs w:val="18"/>
      </w:rPr>
      <w:t xml:space="preserve"> </w:t>
    </w:r>
    <w:r>
      <w:rPr>
        <w:b/>
        <w:bCs/>
        <w:spacing w:val="-13"/>
        <w:sz w:val="18"/>
        <w:szCs w:val="18"/>
      </w:rPr>
      <w:t>499</w:t>
    </w:r>
    <w:r>
      <w:rPr>
        <w:spacing w:val="-13"/>
        <w:sz w:val="18"/>
        <w:szCs w:val="18"/>
      </w:rPr>
      <w:t xml:space="preserve"> </w:t>
    </w:r>
    <w:r>
      <w:rPr>
        <w:b/>
        <w:bCs/>
        <w:spacing w:val="-13"/>
        <w:sz w:val="18"/>
        <w:szCs w:val="18"/>
      </w:rPr>
      <w:t>页</w:t>
    </w:r>
  </w:p>
</w:ftr>
</file>

<file path=word/footer1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A5585C">
    <w:pPr>
      <w:spacing w:after="13" w:line="454" w:lineRule="exact"/>
    </w:pPr>
  </w:p>
  <w:p w14:paraId="4599881C">
    <w:pPr>
      <w:pStyle w:val="2"/>
      <w:spacing w:line="207" w:lineRule="auto"/>
      <w:ind w:left="5067"/>
      <w:rPr>
        <w:sz w:val="18"/>
        <w:szCs w:val="18"/>
      </w:rPr>
    </w:pPr>
    <w:r>
      <w:rPr>
        <w:b/>
        <w:bCs/>
        <w:spacing w:val="-13"/>
        <w:sz w:val="18"/>
        <w:szCs w:val="18"/>
      </w:rPr>
      <w:t>第</w:t>
    </w:r>
    <w:r>
      <w:rPr>
        <w:spacing w:val="-28"/>
        <w:sz w:val="18"/>
        <w:szCs w:val="18"/>
      </w:rPr>
      <w:t xml:space="preserve"> </w:t>
    </w:r>
    <w:r>
      <w:rPr>
        <w:b/>
        <w:bCs/>
        <w:spacing w:val="-13"/>
        <w:sz w:val="18"/>
        <w:szCs w:val="18"/>
      </w:rPr>
      <w:t>243</w:t>
    </w:r>
    <w:r>
      <w:rPr>
        <w:spacing w:val="-13"/>
        <w:sz w:val="18"/>
        <w:szCs w:val="18"/>
      </w:rPr>
      <w:t xml:space="preserve"> </w:t>
    </w:r>
    <w:r>
      <w:rPr>
        <w:b/>
        <w:bCs/>
        <w:spacing w:val="-13"/>
        <w:sz w:val="18"/>
        <w:szCs w:val="18"/>
      </w:rPr>
      <w:t>页</w:t>
    </w:r>
    <w:r>
      <w:rPr>
        <w:spacing w:val="-27"/>
        <w:sz w:val="18"/>
        <w:szCs w:val="18"/>
      </w:rPr>
      <w:t xml:space="preserve"> </w:t>
    </w:r>
    <w:r>
      <w:rPr>
        <w:b/>
        <w:bCs/>
        <w:spacing w:val="-13"/>
        <w:sz w:val="18"/>
        <w:szCs w:val="18"/>
      </w:rPr>
      <w:t>共</w:t>
    </w:r>
    <w:r>
      <w:rPr>
        <w:spacing w:val="-39"/>
        <w:sz w:val="18"/>
        <w:szCs w:val="18"/>
      </w:rPr>
      <w:t xml:space="preserve"> </w:t>
    </w:r>
    <w:r>
      <w:rPr>
        <w:b/>
        <w:bCs/>
        <w:spacing w:val="-13"/>
        <w:sz w:val="18"/>
        <w:szCs w:val="18"/>
      </w:rPr>
      <w:t>499</w:t>
    </w:r>
    <w:r>
      <w:rPr>
        <w:spacing w:val="-13"/>
        <w:sz w:val="18"/>
        <w:szCs w:val="18"/>
      </w:rPr>
      <w:t xml:space="preserve"> </w:t>
    </w:r>
    <w:r>
      <w:rPr>
        <w:b/>
        <w:bCs/>
        <w:spacing w:val="-13"/>
        <w:sz w:val="18"/>
        <w:szCs w:val="18"/>
      </w:rPr>
      <w:t>页</w:t>
    </w:r>
  </w:p>
</w:ftr>
</file>

<file path=word/footer1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AC718B">
    <w:pPr>
      <w:spacing w:after="13" w:line="454" w:lineRule="exact"/>
    </w:pPr>
  </w:p>
  <w:p w14:paraId="08C29A4B">
    <w:pPr>
      <w:pStyle w:val="2"/>
      <w:spacing w:line="207" w:lineRule="auto"/>
      <w:ind w:left="5067"/>
      <w:rPr>
        <w:sz w:val="18"/>
        <w:szCs w:val="18"/>
      </w:rPr>
    </w:pPr>
    <w:r>
      <w:rPr>
        <w:b/>
        <w:bCs/>
        <w:spacing w:val="-13"/>
        <w:sz w:val="18"/>
        <w:szCs w:val="18"/>
      </w:rPr>
      <w:t>第</w:t>
    </w:r>
    <w:r>
      <w:rPr>
        <w:spacing w:val="-28"/>
        <w:sz w:val="18"/>
        <w:szCs w:val="18"/>
      </w:rPr>
      <w:t xml:space="preserve"> </w:t>
    </w:r>
    <w:r>
      <w:rPr>
        <w:b/>
        <w:bCs/>
        <w:spacing w:val="-13"/>
        <w:sz w:val="18"/>
        <w:szCs w:val="18"/>
      </w:rPr>
      <w:t>244</w:t>
    </w:r>
    <w:r>
      <w:rPr>
        <w:spacing w:val="-13"/>
        <w:sz w:val="18"/>
        <w:szCs w:val="18"/>
      </w:rPr>
      <w:t xml:space="preserve"> </w:t>
    </w:r>
    <w:r>
      <w:rPr>
        <w:b/>
        <w:bCs/>
        <w:spacing w:val="-13"/>
        <w:sz w:val="18"/>
        <w:szCs w:val="18"/>
      </w:rPr>
      <w:t>页</w:t>
    </w:r>
    <w:r>
      <w:rPr>
        <w:spacing w:val="-27"/>
        <w:sz w:val="18"/>
        <w:szCs w:val="18"/>
      </w:rPr>
      <w:t xml:space="preserve"> </w:t>
    </w:r>
    <w:r>
      <w:rPr>
        <w:b/>
        <w:bCs/>
        <w:spacing w:val="-13"/>
        <w:sz w:val="18"/>
        <w:szCs w:val="18"/>
      </w:rPr>
      <w:t>共</w:t>
    </w:r>
    <w:r>
      <w:rPr>
        <w:spacing w:val="-39"/>
        <w:sz w:val="18"/>
        <w:szCs w:val="18"/>
      </w:rPr>
      <w:t xml:space="preserve"> </w:t>
    </w:r>
    <w:r>
      <w:rPr>
        <w:b/>
        <w:bCs/>
        <w:spacing w:val="-13"/>
        <w:sz w:val="18"/>
        <w:szCs w:val="18"/>
      </w:rPr>
      <w:t>499</w:t>
    </w:r>
    <w:r>
      <w:rPr>
        <w:spacing w:val="-13"/>
        <w:sz w:val="18"/>
        <w:szCs w:val="18"/>
      </w:rPr>
      <w:t xml:space="preserve"> </w:t>
    </w:r>
    <w:r>
      <w:rPr>
        <w:b/>
        <w:bCs/>
        <w:spacing w:val="-13"/>
        <w:sz w:val="18"/>
        <w:szCs w:val="18"/>
      </w:rPr>
      <w:t>页</w:t>
    </w:r>
  </w:p>
</w:ftr>
</file>

<file path=word/footer1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F2AEE8">
    <w:pPr>
      <w:spacing w:after="13" w:line="454" w:lineRule="exact"/>
    </w:pPr>
  </w:p>
  <w:p w14:paraId="1E68323A">
    <w:pPr>
      <w:pStyle w:val="2"/>
      <w:spacing w:line="207" w:lineRule="auto"/>
      <w:ind w:left="5067"/>
      <w:rPr>
        <w:sz w:val="18"/>
        <w:szCs w:val="18"/>
      </w:rPr>
    </w:pPr>
    <w:r>
      <w:rPr>
        <w:b/>
        <w:bCs/>
        <w:spacing w:val="-13"/>
        <w:sz w:val="18"/>
        <w:szCs w:val="18"/>
      </w:rPr>
      <w:t>第</w:t>
    </w:r>
    <w:r>
      <w:rPr>
        <w:spacing w:val="-28"/>
        <w:sz w:val="18"/>
        <w:szCs w:val="18"/>
      </w:rPr>
      <w:t xml:space="preserve"> </w:t>
    </w:r>
    <w:r>
      <w:rPr>
        <w:b/>
        <w:bCs/>
        <w:spacing w:val="-13"/>
        <w:sz w:val="18"/>
        <w:szCs w:val="18"/>
      </w:rPr>
      <w:t>245</w:t>
    </w:r>
    <w:r>
      <w:rPr>
        <w:spacing w:val="-13"/>
        <w:sz w:val="18"/>
        <w:szCs w:val="18"/>
      </w:rPr>
      <w:t xml:space="preserve"> </w:t>
    </w:r>
    <w:r>
      <w:rPr>
        <w:b/>
        <w:bCs/>
        <w:spacing w:val="-13"/>
        <w:sz w:val="18"/>
        <w:szCs w:val="18"/>
      </w:rPr>
      <w:t>页</w:t>
    </w:r>
    <w:r>
      <w:rPr>
        <w:spacing w:val="-27"/>
        <w:sz w:val="18"/>
        <w:szCs w:val="18"/>
      </w:rPr>
      <w:t xml:space="preserve"> </w:t>
    </w:r>
    <w:r>
      <w:rPr>
        <w:b/>
        <w:bCs/>
        <w:spacing w:val="-13"/>
        <w:sz w:val="18"/>
        <w:szCs w:val="18"/>
      </w:rPr>
      <w:t>共</w:t>
    </w:r>
    <w:r>
      <w:rPr>
        <w:spacing w:val="-39"/>
        <w:sz w:val="18"/>
        <w:szCs w:val="18"/>
      </w:rPr>
      <w:t xml:space="preserve"> </w:t>
    </w:r>
    <w:r>
      <w:rPr>
        <w:b/>
        <w:bCs/>
        <w:spacing w:val="-13"/>
        <w:sz w:val="18"/>
        <w:szCs w:val="18"/>
      </w:rPr>
      <w:t>499</w:t>
    </w:r>
    <w:r>
      <w:rPr>
        <w:spacing w:val="-13"/>
        <w:sz w:val="18"/>
        <w:szCs w:val="18"/>
      </w:rPr>
      <w:t xml:space="preserve"> </w:t>
    </w:r>
    <w:r>
      <w:rPr>
        <w:b/>
        <w:bCs/>
        <w:spacing w:val="-13"/>
        <w:sz w:val="18"/>
        <w:szCs w:val="18"/>
      </w:rPr>
      <w:t>页</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E94DFE">
    <w:pPr>
      <w:spacing w:after="13" w:line="454" w:lineRule="exact"/>
    </w:pPr>
  </w:p>
  <w:p w14:paraId="18B15020">
    <w:pPr>
      <w:pStyle w:val="2"/>
      <w:spacing w:line="207" w:lineRule="auto"/>
      <w:ind w:left="5106"/>
      <w:rPr>
        <w:sz w:val="18"/>
        <w:szCs w:val="18"/>
      </w:rPr>
    </w:pPr>
    <w:r>
      <w:rPr>
        <w:b/>
        <w:bCs/>
        <w:spacing w:val="-13"/>
        <w:sz w:val="18"/>
        <w:szCs w:val="18"/>
      </w:rPr>
      <w:t>第</w:t>
    </w:r>
    <w:r>
      <w:rPr>
        <w:spacing w:val="-28"/>
        <w:sz w:val="18"/>
        <w:szCs w:val="18"/>
      </w:rPr>
      <w:t xml:space="preserve"> </w:t>
    </w:r>
    <w:r>
      <w:rPr>
        <w:b/>
        <w:bCs/>
        <w:spacing w:val="-13"/>
        <w:sz w:val="18"/>
        <w:szCs w:val="18"/>
      </w:rPr>
      <w:t>47</w:t>
    </w:r>
    <w:r>
      <w:rPr>
        <w:spacing w:val="-13"/>
        <w:sz w:val="18"/>
        <w:szCs w:val="18"/>
      </w:rPr>
      <w:t xml:space="preserve"> </w:t>
    </w:r>
    <w:r>
      <w:rPr>
        <w:b/>
        <w:bCs/>
        <w:spacing w:val="-13"/>
        <w:sz w:val="18"/>
        <w:szCs w:val="18"/>
      </w:rPr>
      <w:t>页</w:t>
    </w:r>
    <w:r>
      <w:rPr>
        <w:spacing w:val="-28"/>
        <w:sz w:val="18"/>
        <w:szCs w:val="18"/>
      </w:rPr>
      <w:t xml:space="preserve"> </w:t>
    </w:r>
    <w:r>
      <w:rPr>
        <w:b/>
        <w:bCs/>
        <w:spacing w:val="-13"/>
        <w:sz w:val="18"/>
        <w:szCs w:val="18"/>
      </w:rPr>
      <w:t>共</w:t>
    </w:r>
    <w:r>
      <w:rPr>
        <w:spacing w:val="-38"/>
        <w:sz w:val="18"/>
        <w:szCs w:val="18"/>
      </w:rPr>
      <w:t xml:space="preserve"> </w:t>
    </w:r>
    <w:r>
      <w:rPr>
        <w:b/>
        <w:bCs/>
        <w:spacing w:val="-13"/>
        <w:sz w:val="18"/>
        <w:szCs w:val="18"/>
      </w:rPr>
      <w:t>499</w:t>
    </w:r>
    <w:r>
      <w:rPr>
        <w:spacing w:val="-13"/>
        <w:sz w:val="18"/>
        <w:szCs w:val="18"/>
      </w:rPr>
      <w:t xml:space="preserve"> </w:t>
    </w:r>
    <w:r>
      <w:rPr>
        <w:b/>
        <w:bCs/>
        <w:spacing w:val="-13"/>
        <w:sz w:val="18"/>
        <w:szCs w:val="18"/>
      </w:rPr>
      <w:t>页</w:t>
    </w:r>
  </w:p>
</w:ftr>
</file>

<file path=word/footer1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890AB8">
    <w:pPr>
      <w:spacing w:after="13" w:line="454" w:lineRule="exact"/>
    </w:pPr>
  </w:p>
  <w:p w14:paraId="0BEDFFFF">
    <w:pPr>
      <w:pStyle w:val="2"/>
      <w:spacing w:line="207" w:lineRule="auto"/>
      <w:ind w:left="5067"/>
      <w:rPr>
        <w:sz w:val="18"/>
        <w:szCs w:val="18"/>
      </w:rPr>
    </w:pPr>
    <w:r>
      <w:rPr>
        <w:b/>
        <w:bCs/>
        <w:spacing w:val="-13"/>
        <w:sz w:val="18"/>
        <w:szCs w:val="18"/>
      </w:rPr>
      <w:t>第</w:t>
    </w:r>
    <w:r>
      <w:rPr>
        <w:spacing w:val="-28"/>
        <w:sz w:val="18"/>
        <w:szCs w:val="18"/>
      </w:rPr>
      <w:t xml:space="preserve"> </w:t>
    </w:r>
    <w:r>
      <w:rPr>
        <w:b/>
        <w:bCs/>
        <w:spacing w:val="-13"/>
        <w:sz w:val="18"/>
        <w:szCs w:val="18"/>
      </w:rPr>
      <w:t>246</w:t>
    </w:r>
    <w:r>
      <w:rPr>
        <w:spacing w:val="-13"/>
        <w:sz w:val="18"/>
        <w:szCs w:val="18"/>
      </w:rPr>
      <w:t xml:space="preserve"> </w:t>
    </w:r>
    <w:r>
      <w:rPr>
        <w:b/>
        <w:bCs/>
        <w:spacing w:val="-13"/>
        <w:sz w:val="18"/>
        <w:szCs w:val="18"/>
      </w:rPr>
      <w:t>页</w:t>
    </w:r>
    <w:r>
      <w:rPr>
        <w:spacing w:val="-27"/>
        <w:sz w:val="18"/>
        <w:szCs w:val="18"/>
      </w:rPr>
      <w:t xml:space="preserve"> </w:t>
    </w:r>
    <w:r>
      <w:rPr>
        <w:b/>
        <w:bCs/>
        <w:spacing w:val="-13"/>
        <w:sz w:val="18"/>
        <w:szCs w:val="18"/>
      </w:rPr>
      <w:t>共</w:t>
    </w:r>
    <w:r>
      <w:rPr>
        <w:spacing w:val="-39"/>
        <w:sz w:val="18"/>
        <w:szCs w:val="18"/>
      </w:rPr>
      <w:t xml:space="preserve"> </w:t>
    </w:r>
    <w:r>
      <w:rPr>
        <w:b/>
        <w:bCs/>
        <w:spacing w:val="-13"/>
        <w:sz w:val="18"/>
        <w:szCs w:val="18"/>
      </w:rPr>
      <w:t>499</w:t>
    </w:r>
    <w:r>
      <w:rPr>
        <w:spacing w:val="-13"/>
        <w:sz w:val="18"/>
        <w:szCs w:val="18"/>
      </w:rPr>
      <w:t xml:space="preserve"> </w:t>
    </w:r>
    <w:r>
      <w:rPr>
        <w:b/>
        <w:bCs/>
        <w:spacing w:val="-13"/>
        <w:sz w:val="18"/>
        <w:szCs w:val="18"/>
      </w:rPr>
      <w:t>页</w:t>
    </w:r>
  </w:p>
</w:ftr>
</file>

<file path=word/footer1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102A07">
    <w:pPr>
      <w:spacing w:after="13" w:line="454" w:lineRule="exact"/>
    </w:pPr>
  </w:p>
  <w:p w14:paraId="5305F706">
    <w:pPr>
      <w:pStyle w:val="2"/>
      <w:spacing w:line="207" w:lineRule="auto"/>
      <w:ind w:left="5067"/>
      <w:rPr>
        <w:sz w:val="18"/>
        <w:szCs w:val="18"/>
      </w:rPr>
    </w:pPr>
    <w:r>
      <w:rPr>
        <w:b/>
        <w:bCs/>
        <w:spacing w:val="-13"/>
        <w:sz w:val="18"/>
        <w:szCs w:val="18"/>
      </w:rPr>
      <w:t>第</w:t>
    </w:r>
    <w:r>
      <w:rPr>
        <w:spacing w:val="-28"/>
        <w:sz w:val="18"/>
        <w:szCs w:val="18"/>
      </w:rPr>
      <w:t xml:space="preserve"> </w:t>
    </w:r>
    <w:r>
      <w:rPr>
        <w:b/>
        <w:bCs/>
        <w:spacing w:val="-13"/>
        <w:sz w:val="18"/>
        <w:szCs w:val="18"/>
      </w:rPr>
      <w:t>247</w:t>
    </w:r>
    <w:r>
      <w:rPr>
        <w:spacing w:val="-13"/>
        <w:sz w:val="18"/>
        <w:szCs w:val="18"/>
      </w:rPr>
      <w:t xml:space="preserve"> </w:t>
    </w:r>
    <w:r>
      <w:rPr>
        <w:b/>
        <w:bCs/>
        <w:spacing w:val="-13"/>
        <w:sz w:val="18"/>
        <w:szCs w:val="18"/>
      </w:rPr>
      <w:t>页</w:t>
    </w:r>
    <w:r>
      <w:rPr>
        <w:spacing w:val="-27"/>
        <w:sz w:val="18"/>
        <w:szCs w:val="18"/>
      </w:rPr>
      <w:t xml:space="preserve"> </w:t>
    </w:r>
    <w:r>
      <w:rPr>
        <w:b/>
        <w:bCs/>
        <w:spacing w:val="-13"/>
        <w:sz w:val="18"/>
        <w:szCs w:val="18"/>
      </w:rPr>
      <w:t>共</w:t>
    </w:r>
    <w:r>
      <w:rPr>
        <w:spacing w:val="-39"/>
        <w:sz w:val="18"/>
        <w:szCs w:val="18"/>
      </w:rPr>
      <w:t xml:space="preserve"> </w:t>
    </w:r>
    <w:r>
      <w:rPr>
        <w:b/>
        <w:bCs/>
        <w:spacing w:val="-13"/>
        <w:sz w:val="18"/>
        <w:szCs w:val="18"/>
      </w:rPr>
      <w:t>499</w:t>
    </w:r>
    <w:r>
      <w:rPr>
        <w:spacing w:val="-13"/>
        <w:sz w:val="18"/>
        <w:szCs w:val="18"/>
      </w:rPr>
      <w:t xml:space="preserve"> </w:t>
    </w:r>
    <w:r>
      <w:rPr>
        <w:b/>
        <w:bCs/>
        <w:spacing w:val="-13"/>
        <w:sz w:val="18"/>
        <w:szCs w:val="18"/>
      </w:rPr>
      <w:t>页</w:t>
    </w:r>
  </w:p>
</w:ftr>
</file>

<file path=word/footer1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156AF4">
    <w:pPr>
      <w:spacing w:after="13" w:line="454" w:lineRule="exact"/>
    </w:pPr>
  </w:p>
  <w:p w14:paraId="4B3FA22F">
    <w:pPr>
      <w:pStyle w:val="2"/>
      <w:spacing w:line="207" w:lineRule="auto"/>
      <w:ind w:left="5067"/>
      <w:rPr>
        <w:sz w:val="18"/>
        <w:szCs w:val="18"/>
      </w:rPr>
    </w:pPr>
    <w:r>
      <w:rPr>
        <w:b/>
        <w:bCs/>
        <w:spacing w:val="-13"/>
        <w:sz w:val="18"/>
        <w:szCs w:val="18"/>
      </w:rPr>
      <w:t>第</w:t>
    </w:r>
    <w:r>
      <w:rPr>
        <w:spacing w:val="-28"/>
        <w:sz w:val="18"/>
        <w:szCs w:val="18"/>
      </w:rPr>
      <w:t xml:space="preserve"> </w:t>
    </w:r>
    <w:r>
      <w:rPr>
        <w:b/>
        <w:bCs/>
        <w:spacing w:val="-13"/>
        <w:sz w:val="18"/>
        <w:szCs w:val="18"/>
      </w:rPr>
      <w:t>248</w:t>
    </w:r>
    <w:r>
      <w:rPr>
        <w:spacing w:val="-13"/>
        <w:sz w:val="18"/>
        <w:szCs w:val="18"/>
      </w:rPr>
      <w:t xml:space="preserve"> </w:t>
    </w:r>
    <w:r>
      <w:rPr>
        <w:b/>
        <w:bCs/>
        <w:spacing w:val="-13"/>
        <w:sz w:val="18"/>
        <w:szCs w:val="18"/>
      </w:rPr>
      <w:t>页</w:t>
    </w:r>
    <w:r>
      <w:rPr>
        <w:spacing w:val="-27"/>
        <w:sz w:val="18"/>
        <w:szCs w:val="18"/>
      </w:rPr>
      <w:t xml:space="preserve"> </w:t>
    </w:r>
    <w:r>
      <w:rPr>
        <w:b/>
        <w:bCs/>
        <w:spacing w:val="-13"/>
        <w:sz w:val="18"/>
        <w:szCs w:val="18"/>
      </w:rPr>
      <w:t>共</w:t>
    </w:r>
    <w:r>
      <w:rPr>
        <w:spacing w:val="-39"/>
        <w:sz w:val="18"/>
        <w:szCs w:val="18"/>
      </w:rPr>
      <w:t xml:space="preserve"> </w:t>
    </w:r>
    <w:r>
      <w:rPr>
        <w:b/>
        <w:bCs/>
        <w:spacing w:val="-13"/>
        <w:sz w:val="18"/>
        <w:szCs w:val="18"/>
      </w:rPr>
      <w:t>499</w:t>
    </w:r>
    <w:r>
      <w:rPr>
        <w:spacing w:val="-13"/>
        <w:sz w:val="18"/>
        <w:szCs w:val="18"/>
      </w:rPr>
      <w:t xml:space="preserve"> </w:t>
    </w:r>
    <w:r>
      <w:rPr>
        <w:b/>
        <w:bCs/>
        <w:spacing w:val="-13"/>
        <w:sz w:val="18"/>
        <w:szCs w:val="18"/>
      </w:rPr>
      <w:t>页</w:t>
    </w:r>
  </w:p>
</w:ftr>
</file>

<file path=word/footer1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0B01F4">
    <w:pPr>
      <w:spacing w:after="13" w:line="454" w:lineRule="exact"/>
    </w:pPr>
  </w:p>
  <w:p w14:paraId="4F3868FF">
    <w:pPr>
      <w:pStyle w:val="2"/>
      <w:spacing w:line="207" w:lineRule="auto"/>
      <w:ind w:left="5067"/>
      <w:rPr>
        <w:sz w:val="18"/>
        <w:szCs w:val="18"/>
      </w:rPr>
    </w:pPr>
    <w:r>
      <w:rPr>
        <w:b/>
        <w:bCs/>
        <w:spacing w:val="-13"/>
        <w:sz w:val="18"/>
        <w:szCs w:val="18"/>
      </w:rPr>
      <w:t>第</w:t>
    </w:r>
    <w:r>
      <w:rPr>
        <w:spacing w:val="-28"/>
        <w:sz w:val="18"/>
        <w:szCs w:val="18"/>
      </w:rPr>
      <w:t xml:space="preserve"> </w:t>
    </w:r>
    <w:r>
      <w:rPr>
        <w:b/>
        <w:bCs/>
        <w:spacing w:val="-13"/>
        <w:sz w:val="18"/>
        <w:szCs w:val="18"/>
      </w:rPr>
      <w:t>249</w:t>
    </w:r>
    <w:r>
      <w:rPr>
        <w:spacing w:val="-13"/>
        <w:sz w:val="18"/>
        <w:szCs w:val="18"/>
      </w:rPr>
      <w:t xml:space="preserve"> </w:t>
    </w:r>
    <w:r>
      <w:rPr>
        <w:b/>
        <w:bCs/>
        <w:spacing w:val="-13"/>
        <w:sz w:val="18"/>
        <w:szCs w:val="18"/>
      </w:rPr>
      <w:t>页</w:t>
    </w:r>
    <w:r>
      <w:rPr>
        <w:spacing w:val="-27"/>
        <w:sz w:val="18"/>
        <w:szCs w:val="18"/>
      </w:rPr>
      <w:t xml:space="preserve"> </w:t>
    </w:r>
    <w:r>
      <w:rPr>
        <w:b/>
        <w:bCs/>
        <w:spacing w:val="-13"/>
        <w:sz w:val="18"/>
        <w:szCs w:val="18"/>
      </w:rPr>
      <w:t>共</w:t>
    </w:r>
    <w:r>
      <w:rPr>
        <w:spacing w:val="-39"/>
        <w:sz w:val="18"/>
        <w:szCs w:val="18"/>
      </w:rPr>
      <w:t xml:space="preserve"> </w:t>
    </w:r>
    <w:r>
      <w:rPr>
        <w:b/>
        <w:bCs/>
        <w:spacing w:val="-13"/>
        <w:sz w:val="18"/>
        <w:szCs w:val="18"/>
      </w:rPr>
      <w:t>499</w:t>
    </w:r>
    <w:r>
      <w:rPr>
        <w:spacing w:val="-13"/>
        <w:sz w:val="18"/>
        <w:szCs w:val="18"/>
      </w:rPr>
      <w:t xml:space="preserve"> </w:t>
    </w:r>
    <w:r>
      <w:rPr>
        <w:b/>
        <w:bCs/>
        <w:spacing w:val="-13"/>
        <w:sz w:val="18"/>
        <w:szCs w:val="18"/>
      </w:rPr>
      <w:t>页</w:t>
    </w:r>
  </w:p>
</w:ftr>
</file>

<file path=word/footer1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9CC5A6">
    <w:pPr>
      <w:spacing w:after="13" w:line="454" w:lineRule="exact"/>
    </w:pPr>
  </w:p>
  <w:p w14:paraId="28D5A393">
    <w:pPr>
      <w:pStyle w:val="2"/>
      <w:spacing w:line="207" w:lineRule="auto"/>
      <w:ind w:left="5067"/>
      <w:rPr>
        <w:sz w:val="18"/>
        <w:szCs w:val="18"/>
      </w:rPr>
    </w:pPr>
    <w:r>
      <w:rPr>
        <w:b/>
        <w:bCs/>
        <w:spacing w:val="-13"/>
        <w:sz w:val="18"/>
        <w:szCs w:val="18"/>
      </w:rPr>
      <w:t>第</w:t>
    </w:r>
    <w:r>
      <w:rPr>
        <w:spacing w:val="-28"/>
        <w:sz w:val="18"/>
        <w:szCs w:val="18"/>
      </w:rPr>
      <w:t xml:space="preserve"> </w:t>
    </w:r>
    <w:r>
      <w:rPr>
        <w:b/>
        <w:bCs/>
        <w:spacing w:val="-13"/>
        <w:sz w:val="18"/>
        <w:szCs w:val="18"/>
      </w:rPr>
      <w:t>250</w:t>
    </w:r>
    <w:r>
      <w:rPr>
        <w:spacing w:val="-13"/>
        <w:sz w:val="18"/>
        <w:szCs w:val="18"/>
      </w:rPr>
      <w:t xml:space="preserve"> </w:t>
    </w:r>
    <w:r>
      <w:rPr>
        <w:b/>
        <w:bCs/>
        <w:spacing w:val="-13"/>
        <w:sz w:val="18"/>
        <w:szCs w:val="18"/>
      </w:rPr>
      <w:t>页</w:t>
    </w:r>
    <w:r>
      <w:rPr>
        <w:spacing w:val="-27"/>
        <w:sz w:val="18"/>
        <w:szCs w:val="18"/>
      </w:rPr>
      <w:t xml:space="preserve"> </w:t>
    </w:r>
    <w:r>
      <w:rPr>
        <w:b/>
        <w:bCs/>
        <w:spacing w:val="-13"/>
        <w:sz w:val="18"/>
        <w:szCs w:val="18"/>
      </w:rPr>
      <w:t>共</w:t>
    </w:r>
    <w:r>
      <w:rPr>
        <w:spacing w:val="-39"/>
        <w:sz w:val="18"/>
        <w:szCs w:val="18"/>
      </w:rPr>
      <w:t xml:space="preserve"> </w:t>
    </w:r>
    <w:r>
      <w:rPr>
        <w:b/>
        <w:bCs/>
        <w:spacing w:val="-13"/>
        <w:sz w:val="18"/>
        <w:szCs w:val="18"/>
      </w:rPr>
      <w:t>499</w:t>
    </w:r>
    <w:r>
      <w:rPr>
        <w:spacing w:val="-13"/>
        <w:sz w:val="18"/>
        <w:szCs w:val="18"/>
      </w:rPr>
      <w:t xml:space="preserve"> </w:t>
    </w:r>
    <w:r>
      <w:rPr>
        <w:b/>
        <w:bCs/>
        <w:spacing w:val="-13"/>
        <w:sz w:val="18"/>
        <w:szCs w:val="18"/>
      </w:rPr>
      <w:t>页</w:t>
    </w:r>
  </w:p>
</w:ftr>
</file>

<file path=word/footer1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C9CF8F">
    <w:pPr>
      <w:pStyle w:val="2"/>
      <w:spacing w:line="207" w:lineRule="auto"/>
      <w:ind w:left="5067"/>
      <w:rPr>
        <w:sz w:val="18"/>
        <w:szCs w:val="18"/>
      </w:rPr>
    </w:pPr>
    <w:r>
      <w:rPr>
        <w:b/>
        <w:bCs/>
        <w:spacing w:val="-13"/>
        <w:sz w:val="18"/>
        <w:szCs w:val="18"/>
      </w:rPr>
      <w:t>第</w:t>
    </w:r>
    <w:r>
      <w:rPr>
        <w:spacing w:val="-28"/>
        <w:sz w:val="18"/>
        <w:szCs w:val="18"/>
      </w:rPr>
      <w:t xml:space="preserve"> </w:t>
    </w:r>
    <w:r>
      <w:rPr>
        <w:b/>
        <w:bCs/>
        <w:spacing w:val="-13"/>
        <w:sz w:val="18"/>
        <w:szCs w:val="18"/>
      </w:rPr>
      <w:t>251</w:t>
    </w:r>
    <w:r>
      <w:rPr>
        <w:spacing w:val="-13"/>
        <w:sz w:val="18"/>
        <w:szCs w:val="18"/>
      </w:rPr>
      <w:t xml:space="preserve"> </w:t>
    </w:r>
    <w:r>
      <w:rPr>
        <w:b/>
        <w:bCs/>
        <w:spacing w:val="-13"/>
        <w:sz w:val="18"/>
        <w:szCs w:val="18"/>
      </w:rPr>
      <w:t>页</w:t>
    </w:r>
    <w:r>
      <w:rPr>
        <w:spacing w:val="-27"/>
        <w:sz w:val="18"/>
        <w:szCs w:val="18"/>
      </w:rPr>
      <w:t xml:space="preserve"> </w:t>
    </w:r>
    <w:r>
      <w:rPr>
        <w:b/>
        <w:bCs/>
        <w:spacing w:val="-13"/>
        <w:sz w:val="18"/>
        <w:szCs w:val="18"/>
      </w:rPr>
      <w:t>共</w:t>
    </w:r>
    <w:r>
      <w:rPr>
        <w:spacing w:val="-39"/>
        <w:sz w:val="18"/>
        <w:szCs w:val="18"/>
      </w:rPr>
      <w:t xml:space="preserve"> </w:t>
    </w:r>
    <w:r>
      <w:rPr>
        <w:b/>
        <w:bCs/>
        <w:spacing w:val="-13"/>
        <w:sz w:val="18"/>
        <w:szCs w:val="18"/>
      </w:rPr>
      <w:t>499</w:t>
    </w:r>
    <w:r>
      <w:rPr>
        <w:spacing w:val="-13"/>
        <w:sz w:val="18"/>
        <w:szCs w:val="18"/>
      </w:rPr>
      <w:t xml:space="preserve"> </w:t>
    </w:r>
    <w:r>
      <w:rPr>
        <w:b/>
        <w:bCs/>
        <w:spacing w:val="-13"/>
        <w:sz w:val="18"/>
        <w:szCs w:val="18"/>
      </w:rPr>
      <w:t>页</w:t>
    </w:r>
  </w:p>
</w:ftr>
</file>

<file path=word/footer1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0A2FAB">
    <w:pPr>
      <w:spacing w:after="13" w:line="454" w:lineRule="exact"/>
    </w:pPr>
  </w:p>
  <w:p w14:paraId="4D8918F6">
    <w:pPr>
      <w:pStyle w:val="2"/>
      <w:spacing w:line="207" w:lineRule="auto"/>
      <w:ind w:left="5067"/>
      <w:rPr>
        <w:sz w:val="18"/>
        <w:szCs w:val="18"/>
      </w:rPr>
    </w:pPr>
    <w:r>
      <w:rPr>
        <w:b/>
        <w:bCs/>
        <w:spacing w:val="-13"/>
        <w:sz w:val="18"/>
        <w:szCs w:val="18"/>
      </w:rPr>
      <w:t>第</w:t>
    </w:r>
    <w:r>
      <w:rPr>
        <w:spacing w:val="-28"/>
        <w:sz w:val="18"/>
        <w:szCs w:val="18"/>
      </w:rPr>
      <w:t xml:space="preserve"> </w:t>
    </w:r>
    <w:r>
      <w:rPr>
        <w:b/>
        <w:bCs/>
        <w:spacing w:val="-13"/>
        <w:sz w:val="18"/>
        <w:szCs w:val="18"/>
      </w:rPr>
      <w:t>252</w:t>
    </w:r>
    <w:r>
      <w:rPr>
        <w:spacing w:val="-13"/>
        <w:sz w:val="18"/>
        <w:szCs w:val="18"/>
      </w:rPr>
      <w:t xml:space="preserve"> </w:t>
    </w:r>
    <w:r>
      <w:rPr>
        <w:b/>
        <w:bCs/>
        <w:spacing w:val="-13"/>
        <w:sz w:val="18"/>
        <w:szCs w:val="18"/>
      </w:rPr>
      <w:t>页</w:t>
    </w:r>
    <w:r>
      <w:rPr>
        <w:spacing w:val="-27"/>
        <w:sz w:val="18"/>
        <w:szCs w:val="18"/>
      </w:rPr>
      <w:t xml:space="preserve"> </w:t>
    </w:r>
    <w:r>
      <w:rPr>
        <w:b/>
        <w:bCs/>
        <w:spacing w:val="-13"/>
        <w:sz w:val="18"/>
        <w:szCs w:val="18"/>
      </w:rPr>
      <w:t>共</w:t>
    </w:r>
    <w:r>
      <w:rPr>
        <w:spacing w:val="-39"/>
        <w:sz w:val="18"/>
        <w:szCs w:val="18"/>
      </w:rPr>
      <w:t xml:space="preserve"> </w:t>
    </w:r>
    <w:r>
      <w:rPr>
        <w:b/>
        <w:bCs/>
        <w:spacing w:val="-13"/>
        <w:sz w:val="18"/>
        <w:szCs w:val="18"/>
      </w:rPr>
      <w:t>499</w:t>
    </w:r>
    <w:r>
      <w:rPr>
        <w:spacing w:val="-13"/>
        <w:sz w:val="18"/>
        <w:szCs w:val="18"/>
      </w:rPr>
      <w:t xml:space="preserve"> </w:t>
    </w:r>
    <w:r>
      <w:rPr>
        <w:b/>
        <w:bCs/>
        <w:spacing w:val="-13"/>
        <w:sz w:val="18"/>
        <w:szCs w:val="18"/>
      </w:rPr>
      <w:t>页</w:t>
    </w:r>
  </w:p>
</w:ftr>
</file>

<file path=word/footer1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2EECA7">
    <w:pPr>
      <w:spacing w:after="13" w:line="454" w:lineRule="exact"/>
    </w:pPr>
  </w:p>
  <w:p w14:paraId="1B92FE54">
    <w:pPr>
      <w:pStyle w:val="2"/>
      <w:spacing w:line="207" w:lineRule="auto"/>
      <w:ind w:left="5067"/>
      <w:rPr>
        <w:sz w:val="18"/>
        <w:szCs w:val="18"/>
      </w:rPr>
    </w:pPr>
    <w:r>
      <w:rPr>
        <w:b/>
        <w:bCs/>
        <w:spacing w:val="-13"/>
        <w:sz w:val="18"/>
        <w:szCs w:val="18"/>
      </w:rPr>
      <w:t>第</w:t>
    </w:r>
    <w:r>
      <w:rPr>
        <w:spacing w:val="-28"/>
        <w:sz w:val="18"/>
        <w:szCs w:val="18"/>
      </w:rPr>
      <w:t xml:space="preserve"> </w:t>
    </w:r>
    <w:r>
      <w:rPr>
        <w:b/>
        <w:bCs/>
        <w:spacing w:val="-13"/>
        <w:sz w:val="18"/>
        <w:szCs w:val="18"/>
      </w:rPr>
      <w:t>253</w:t>
    </w:r>
    <w:r>
      <w:rPr>
        <w:spacing w:val="-13"/>
        <w:sz w:val="18"/>
        <w:szCs w:val="18"/>
      </w:rPr>
      <w:t xml:space="preserve"> </w:t>
    </w:r>
    <w:r>
      <w:rPr>
        <w:b/>
        <w:bCs/>
        <w:spacing w:val="-13"/>
        <w:sz w:val="18"/>
        <w:szCs w:val="18"/>
      </w:rPr>
      <w:t>页</w:t>
    </w:r>
    <w:r>
      <w:rPr>
        <w:spacing w:val="-27"/>
        <w:sz w:val="18"/>
        <w:szCs w:val="18"/>
      </w:rPr>
      <w:t xml:space="preserve"> </w:t>
    </w:r>
    <w:r>
      <w:rPr>
        <w:b/>
        <w:bCs/>
        <w:spacing w:val="-13"/>
        <w:sz w:val="18"/>
        <w:szCs w:val="18"/>
      </w:rPr>
      <w:t>共</w:t>
    </w:r>
    <w:r>
      <w:rPr>
        <w:spacing w:val="-39"/>
        <w:sz w:val="18"/>
        <w:szCs w:val="18"/>
      </w:rPr>
      <w:t xml:space="preserve"> </w:t>
    </w:r>
    <w:r>
      <w:rPr>
        <w:b/>
        <w:bCs/>
        <w:spacing w:val="-13"/>
        <w:sz w:val="18"/>
        <w:szCs w:val="18"/>
      </w:rPr>
      <w:t>499</w:t>
    </w:r>
    <w:r>
      <w:rPr>
        <w:spacing w:val="-13"/>
        <w:sz w:val="18"/>
        <w:szCs w:val="18"/>
      </w:rPr>
      <w:t xml:space="preserve"> </w:t>
    </w:r>
    <w:r>
      <w:rPr>
        <w:b/>
        <w:bCs/>
        <w:spacing w:val="-13"/>
        <w:sz w:val="18"/>
        <w:szCs w:val="18"/>
      </w:rPr>
      <w:t>页</w:t>
    </w:r>
  </w:p>
</w:ftr>
</file>

<file path=word/footer1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7D56DC">
    <w:pPr>
      <w:spacing w:after="13" w:line="454" w:lineRule="exact"/>
    </w:pPr>
  </w:p>
  <w:p w14:paraId="04068950">
    <w:pPr>
      <w:pStyle w:val="2"/>
      <w:spacing w:line="207" w:lineRule="auto"/>
      <w:ind w:left="5067"/>
      <w:rPr>
        <w:sz w:val="18"/>
        <w:szCs w:val="18"/>
      </w:rPr>
    </w:pPr>
    <w:r>
      <w:rPr>
        <w:b/>
        <w:bCs/>
        <w:spacing w:val="-13"/>
        <w:sz w:val="18"/>
        <w:szCs w:val="18"/>
      </w:rPr>
      <w:t>第</w:t>
    </w:r>
    <w:r>
      <w:rPr>
        <w:spacing w:val="-28"/>
        <w:sz w:val="18"/>
        <w:szCs w:val="18"/>
      </w:rPr>
      <w:t xml:space="preserve"> </w:t>
    </w:r>
    <w:r>
      <w:rPr>
        <w:b/>
        <w:bCs/>
        <w:spacing w:val="-13"/>
        <w:sz w:val="18"/>
        <w:szCs w:val="18"/>
      </w:rPr>
      <w:t>254</w:t>
    </w:r>
    <w:r>
      <w:rPr>
        <w:spacing w:val="-13"/>
        <w:sz w:val="18"/>
        <w:szCs w:val="18"/>
      </w:rPr>
      <w:t xml:space="preserve"> </w:t>
    </w:r>
    <w:r>
      <w:rPr>
        <w:b/>
        <w:bCs/>
        <w:spacing w:val="-13"/>
        <w:sz w:val="18"/>
        <w:szCs w:val="18"/>
      </w:rPr>
      <w:t>页</w:t>
    </w:r>
    <w:r>
      <w:rPr>
        <w:spacing w:val="-27"/>
        <w:sz w:val="18"/>
        <w:szCs w:val="18"/>
      </w:rPr>
      <w:t xml:space="preserve"> </w:t>
    </w:r>
    <w:r>
      <w:rPr>
        <w:b/>
        <w:bCs/>
        <w:spacing w:val="-13"/>
        <w:sz w:val="18"/>
        <w:szCs w:val="18"/>
      </w:rPr>
      <w:t>共</w:t>
    </w:r>
    <w:r>
      <w:rPr>
        <w:spacing w:val="-39"/>
        <w:sz w:val="18"/>
        <w:szCs w:val="18"/>
      </w:rPr>
      <w:t xml:space="preserve"> </w:t>
    </w:r>
    <w:r>
      <w:rPr>
        <w:b/>
        <w:bCs/>
        <w:spacing w:val="-13"/>
        <w:sz w:val="18"/>
        <w:szCs w:val="18"/>
      </w:rPr>
      <w:t>499</w:t>
    </w:r>
    <w:r>
      <w:rPr>
        <w:spacing w:val="-13"/>
        <w:sz w:val="18"/>
        <w:szCs w:val="18"/>
      </w:rPr>
      <w:t xml:space="preserve"> </w:t>
    </w:r>
    <w:r>
      <w:rPr>
        <w:b/>
        <w:bCs/>
        <w:spacing w:val="-13"/>
        <w:sz w:val="18"/>
        <w:szCs w:val="18"/>
      </w:rPr>
      <w:t>页</w:t>
    </w:r>
  </w:p>
</w:ftr>
</file>

<file path=word/footer1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8AF8F1">
    <w:pPr>
      <w:spacing w:after="13" w:line="454" w:lineRule="exact"/>
    </w:pPr>
  </w:p>
  <w:p w14:paraId="4E10C8F1">
    <w:pPr>
      <w:pStyle w:val="2"/>
      <w:spacing w:line="207" w:lineRule="auto"/>
      <w:ind w:left="5067"/>
      <w:rPr>
        <w:sz w:val="18"/>
        <w:szCs w:val="18"/>
      </w:rPr>
    </w:pPr>
    <w:r>
      <w:rPr>
        <w:b/>
        <w:bCs/>
        <w:spacing w:val="-13"/>
        <w:sz w:val="18"/>
        <w:szCs w:val="18"/>
      </w:rPr>
      <w:t>第</w:t>
    </w:r>
    <w:r>
      <w:rPr>
        <w:spacing w:val="-28"/>
        <w:sz w:val="18"/>
        <w:szCs w:val="18"/>
      </w:rPr>
      <w:t xml:space="preserve"> </w:t>
    </w:r>
    <w:r>
      <w:rPr>
        <w:b/>
        <w:bCs/>
        <w:spacing w:val="-13"/>
        <w:sz w:val="18"/>
        <w:szCs w:val="18"/>
      </w:rPr>
      <w:t>255</w:t>
    </w:r>
    <w:r>
      <w:rPr>
        <w:spacing w:val="-13"/>
        <w:sz w:val="18"/>
        <w:szCs w:val="18"/>
      </w:rPr>
      <w:t xml:space="preserve"> </w:t>
    </w:r>
    <w:r>
      <w:rPr>
        <w:b/>
        <w:bCs/>
        <w:spacing w:val="-13"/>
        <w:sz w:val="18"/>
        <w:szCs w:val="18"/>
      </w:rPr>
      <w:t>页</w:t>
    </w:r>
    <w:r>
      <w:rPr>
        <w:spacing w:val="-27"/>
        <w:sz w:val="18"/>
        <w:szCs w:val="18"/>
      </w:rPr>
      <w:t xml:space="preserve"> </w:t>
    </w:r>
    <w:r>
      <w:rPr>
        <w:b/>
        <w:bCs/>
        <w:spacing w:val="-13"/>
        <w:sz w:val="18"/>
        <w:szCs w:val="18"/>
      </w:rPr>
      <w:t>共</w:t>
    </w:r>
    <w:r>
      <w:rPr>
        <w:spacing w:val="-39"/>
        <w:sz w:val="18"/>
        <w:szCs w:val="18"/>
      </w:rPr>
      <w:t xml:space="preserve"> </w:t>
    </w:r>
    <w:r>
      <w:rPr>
        <w:b/>
        <w:bCs/>
        <w:spacing w:val="-13"/>
        <w:sz w:val="18"/>
        <w:szCs w:val="18"/>
      </w:rPr>
      <w:t>499</w:t>
    </w:r>
    <w:r>
      <w:rPr>
        <w:spacing w:val="-13"/>
        <w:sz w:val="18"/>
        <w:szCs w:val="18"/>
      </w:rPr>
      <w:t xml:space="preserve"> </w:t>
    </w:r>
    <w:r>
      <w:rPr>
        <w:b/>
        <w:bCs/>
        <w:spacing w:val="-13"/>
        <w:sz w:val="18"/>
        <w:szCs w:val="18"/>
      </w:rPr>
      <w:t>页</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8B40ED">
    <w:pPr>
      <w:spacing w:after="12" w:line="455" w:lineRule="exact"/>
    </w:pPr>
  </w:p>
  <w:p w14:paraId="226BD3EE">
    <w:pPr>
      <w:pStyle w:val="2"/>
      <w:spacing w:line="207" w:lineRule="auto"/>
      <w:ind w:left="5507"/>
      <w:rPr>
        <w:sz w:val="18"/>
        <w:szCs w:val="18"/>
      </w:rPr>
    </w:pPr>
    <w:r>
      <w:rPr>
        <w:b/>
        <w:bCs/>
        <w:spacing w:val="-13"/>
        <w:sz w:val="18"/>
        <w:szCs w:val="18"/>
      </w:rPr>
      <w:t>第</w:t>
    </w:r>
    <w:r>
      <w:rPr>
        <w:spacing w:val="-31"/>
        <w:sz w:val="18"/>
        <w:szCs w:val="18"/>
      </w:rPr>
      <w:t xml:space="preserve"> </w:t>
    </w:r>
    <w:r>
      <w:rPr>
        <w:b/>
        <w:bCs/>
        <w:spacing w:val="-13"/>
        <w:sz w:val="18"/>
        <w:szCs w:val="18"/>
      </w:rPr>
      <w:t>2</w:t>
    </w:r>
    <w:r>
      <w:rPr>
        <w:spacing w:val="-13"/>
        <w:sz w:val="18"/>
        <w:szCs w:val="18"/>
      </w:rPr>
      <w:t xml:space="preserve"> </w:t>
    </w:r>
    <w:r>
      <w:rPr>
        <w:b/>
        <w:bCs/>
        <w:spacing w:val="-13"/>
        <w:sz w:val="18"/>
        <w:szCs w:val="18"/>
      </w:rPr>
      <w:t>页</w:t>
    </w:r>
    <w:r>
      <w:rPr>
        <w:spacing w:val="-25"/>
        <w:sz w:val="18"/>
        <w:szCs w:val="18"/>
      </w:rPr>
      <w:t xml:space="preserve"> </w:t>
    </w:r>
    <w:r>
      <w:rPr>
        <w:b/>
        <w:bCs/>
        <w:spacing w:val="-13"/>
        <w:sz w:val="18"/>
        <w:szCs w:val="18"/>
      </w:rPr>
      <w:t>共</w:t>
    </w:r>
    <w:r>
      <w:rPr>
        <w:spacing w:val="-39"/>
        <w:sz w:val="18"/>
        <w:szCs w:val="18"/>
      </w:rPr>
      <w:t xml:space="preserve"> </w:t>
    </w:r>
    <w:r>
      <w:rPr>
        <w:b/>
        <w:bCs/>
        <w:spacing w:val="-13"/>
        <w:sz w:val="18"/>
        <w:szCs w:val="18"/>
      </w:rPr>
      <w:t>499</w:t>
    </w:r>
    <w:r>
      <w:rPr>
        <w:spacing w:val="-13"/>
        <w:sz w:val="18"/>
        <w:szCs w:val="18"/>
      </w:rPr>
      <w:t xml:space="preserve"> </w:t>
    </w:r>
    <w:r>
      <w:rPr>
        <w:b/>
        <w:bCs/>
        <w:spacing w:val="-13"/>
        <w:sz w:val="18"/>
        <w:szCs w:val="18"/>
      </w:rPr>
      <w:t>页</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E338D2">
    <w:pPr>
      <w:spacing w:after="13" w:line="454" w:lineRule="exact"/>
    </w:pPr>
  </w:p>
  <w:p w14:paraId="511D2909">
    <w:pPr>
      <w:pStyle w:val="2"/>
      <w:spacing w:line="207" w:lineRule="auto"/>
      <w:ind w:left="5106"/>
      <w:rPr>
        <w:sz w:val="18"/>
        <w:szCs w:val="18"/>
      </w:rPr>
    </w:pPr>
    <w:r>
      <w:rPr>
        <w:b/>
        <w:bCs/>
        <w:spacing w:val="-13"/>
        <w:sz w:val="18"/>
        <w:szCs w:val="18"/>
      </w:rPr>
      <w:t>第</w:t>
    </w:r>
    <w:r>
      <w:rPr>
        <w:spacing w:val="-28"/>
        <w:sz w:val="18"/>
        <w:szCs w:val="18"/>
      </w:rPr>
      <w:t xml:space="preserve"> </w:t>
    </w:r>
    <w:r>
      <w:rPr>
        <w:b/>
        <w:bCs/>
        <w:spacing w:val="-13"/>
        <w:sz w:val="18"/>
        <w:szCs w:val="18"/>
      </w:rPr>
      <w:t>48</w:t>
    </w:r>
    <w:r>
      <w:rPr>
        <w:spacing w:val="-13"/>
        <w:sz w:val="18"/>
        <w:szCs w:val="18"/>
      </w:rPr>
      <w:t xml:space="preserve"> </w:t>
    </w:r>
    <w:r>
      <w:rPr>
        <w:b/>
        <w:bCs/>
        <w:spacing w:val="-13"/>
        <w:sz w:val="18"/>
        <w:szCs w:val="18"/>
      </w:rPr>
      <w:t>页</w:t>
    </w:r>
    <w:r>
      <w:rPr>
        <w:spacing w:val="-28"/>
        <w:sz w:val="18"/>
        <w:szCs w:val="18"/>
      </w:rPr>
      <w:t xml:space="preserve"> </w:t>
    </w:r>
    <w:r>
      <w:rPr>
        <w:b/>
        <w:bCs/>
        <w:spacing w:val="-13"/>
        <w:sz w:val="18"/>
        <w:szCs w:val="18"/>
      </w:rPr>
      <w:t>共</w:t>
    </w:r>
    <w:r>
      <w:rPr>
        <w:spacing w:val="-38"/>
        <w:sz w:val="18"/>
        <w:szCs w:val="18"/>
      </w:rPr>
      <w:t xml:space="preserve"> </w:t>
    </w:r>
    <w:r>
      <w:rPr>
        <w:b/>
        <w:bCs/>
        <w:spacing w:val="-13"/>
        <w:sz w:val="18"/>
        <w:szCs w:val="18"/>
      </w:rPr>
      <w:t>499</w:t>
    </w:r>
    <w:r>
      <w:rPr>
        <w:spacing w:val="-13"/>
        <w:sz w:val="18"/>
        <w:szCs w:val="18"/>
      </w:rPr>
      <w:t xml:space="preserve"> </w:t>
    </w:r>
    <w:r>
      <w:rPr>
        <w:b/>
        <w:bCs/>
        <w:spacing w:val="-13"/>
        <w:sz w:val="18"/>
        <w:szCs w:val="18"/>
      </w:rPr>
      <w:t>页</w:t>
    </w:r>
  </w:p>
</w:ftr>
</file>

<file path=word/footer2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1371BA">
    <w:pPr>
      <w:spacing w:after="13" w:line="454" w:lineRule="exact"/>
    </w:pPr>
  </w:p>
  <w:p w14:paraId="670424BB">
    <w:pPr>
      <w:pStyle w:val="2"/>
      <w:spacing w:line="207" w:lineRule="auto"/>
      <w:ind w:left="5067"/>
      <w:rPr>
        <w:sz w:val="18"/>
        <w:szCs w:val="18"/>
      </w:rPr>
    </w:pPr>
    <w:r>
      <w:rPr>
        <w:b/>
        <w:bCs/>
        <w:spacing w:val="-13"/>
        <w:sz w:val="18"/>
        <w:szCs w:val="18"/>
      </w:rPr>
      <w:t>第</w:t>
    </w:r>
    <w:r>
      <w:rPr>
        <w:spacing w:val="-28"/>
        <w:sz w:val="18"/>
        <w:szCs w:val="18"/>
      </w:rPr>
      <w:t xml:space="preserve"> </w:t>
    </w:r>
    <w:r>
      <w:rPr>
        <w:b/>
        <w:bCs/>
        <w:spacing w:val="-13"/>
        <w:sz w:val="18"/>
        <w:szCs w:val="18"/>
      </w:rPr>
      <w:t>256</w:t>
    </w:r>
    <w:r>
      <w:rPr>
        <w:spacing w:val="-13"/>
        <w:sz w:val="18"/>
        <w:szCs w:val="18"/>
      </w:rPr>
      <w:t xml:space="preserve"> </w:t>
    </w:r>
    <w:r>
      <w:rPr>
        <w:b/>
        <w:bCs/>
        <w:spacing w:val="-13"/>
        <w:sz w:val="18"/>
        <w:szCs w:val="18"/>
      </w:rPr>
      <w:t>页</w:t>
    </w:r>
    <w:r>
      <w:rPr>
        <w:spacing w:val="-27"/>
        <w:sz w:val="18"/>
        <w:szCs w:val="18"/>
      </w:rPr>
      <w:t xml:space="preserve"> </w:t>
    </w:r>
    <w:r>
      <w:rPr>
        <w:b/>
        <w:bCs/>
        <w:spacing w:val="-13"/>
        <w:sz w:val="18"/>
        <w:szCs w:val="18"/>
      </w:rPr>
      <w:t>共</w:t>
    </w:r>
    <w:r>
      <w:rPr>
        <w:spacing w:val="-39"/>
        <w:sz w:val="18"/>
        <w:szCs w:val="18"/>
      </w:rPr>
      <w:t xml:space="preserve"> </w:t>
    </w:r>
    <w:r>
      <w:rPr>
        <w:b/>
        <w:bCs/>
        <w:spacing w:val="-13"/>
        <w:sz w:val="18"/>
        <w:szCs w:val="18"/>
      </w:rPr>
      <w:t>499</w:t>
    </w:r>
    <w:r>
      <w:rPr>
        <w:spacing w:val="-13"/>
        <w:sz w:val="18"/>
        <w:szCs w:val="18"/>
      </w:rPr>
      <w:t xml:space="preserve"> </w:t>
    </w:r>
    <w:r>
      <w:rPr>
        <w:b/>
        <w:bCs/>
        <w:spacing w:val="-13"/>
        <w:sz w:val="18"/>
        <w:szCs w:val="18"/>
      </w:rPr>
      <w:t>页</w:t>
    </w:r>
  </w:p>
</w:ftr>
</file>

<file path=word/footer2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147A42">
    <w:pPr>
      <w:spacing w:after="13" w:line="454" w:lineRule="exact"/>
    </w:pPr>
  </w:p>
  <w:p w14:paraId="4B4238D7">
    <w:pPr>
      <w:pStyle w:val="2"/>
      <w:spacing w:line="207" w:lineRule="auto"/>
      <w:ind w:left="5067"/>
      <w:rPr>
        <w:sz w:val="18"/>
        <w:szCs w:val="18"/>
      </w:rPr>
    </w:pPr>
    <w:r>
      <w:rPr>
        <w:b/>
        <w:bCs/>
        <w:spacing w:val="-13"/>
        <w:sz w:val="18"/>
        <w:szCs w:val="18"/>
      </w:rPr>
      <w:t>第</w:t>
    </w:r>
    <w:r>
      <w:rPr>
        <w:spacing w:val="-28"/>
        <w:sz w:val="18"/>
        <w:szCs w:val="18"/>
      </w:rPr>
      <w:t xml:space="preserve"> </w:t>
    </w:r>
    <w:r>
      <w:rPr>
        <w:b/>
        <w:bCs/>
        <w:spacing w:val="-13"/>
        <w:sz w:val="18"/>
        <w:szCs w:val="18"/>
      </w:rPr>
      <w:t>257</w:t>
    </w:r>
    <w:r>
      <w:rPr>
        <w:spacing w:val="-13"/>
        <w:sz w:val="18"/>
        <w:szCs w:val="18"/>
      </w:rPr>
      <w:t xml:space="preserve"> </w:t>
    </w:r>
    <w:r>
      <w:rPr>
        <w:b/>
        <w:bCs/>
        <w:spacing w:val="-13"/>
        <w:sz w:val="18"/>
        <w:szCs w:val="18"/>
      </w:rPr>
      <w:t>页</w:t>
    </w:r>
    <w:r>
      <w:rPr>
        <w:spacing w:val="-27"/>
        <w:sz w:val="18"/>
        <w:szCs w:val="18"/>
      </w:rPr>
      <w:t xml:space="preserve"> </w:t>
    </w:r>
    <w:r>
      <w:rPr>
        <w:b/>
        <w:bCs/>
        <w:spacing w:val="-13"/>
        <w:sz w:val="18"/>
        <w:szCs w:val="18"/>
      </w:rPr>
      <w:t>共</w:t>
    </w:r>
    <w:r>
      <w:rPr>
        <w:spacing w:val="-39"/>
        <w:sz w:val="18"/>
        <w:szCs w:val="18"/>
      </w:rPr>
      <w:t xml:space="preserve"> </w:t>
    </w:r>
    <w:r>
      <w:rPr>
        <w:b/>
        <w:bCs/>
        <w:spacing w:val="-13"/>
        <w:sz w:val="18"/>
        <w:szCs w:val="18"/>
      </w:rPr>
      <w:t>499</w:t>
    </w:r>
    <w:r>
      <w:rPr>
        <w:spacing w:val="-13"/>
        <w:sz w:val="18"/>
        <w:szCs w:val="18"/>
      </w:rPr>
      <w:t xml:space="preserve"> </w:t>
    </w:r>
    <w:r>
      <w:rPr>
        <w:b/>
        <w:bCs/>
        <w:spacing w:val="-13"/>
        <w:sz w:val="18"/>
        <w:szCs w:val="18"/>
      </w:rPr>
      <w:t>页</w:t>
    </w:r>
  </w:p>
</w:ftr>
</file>

<file path=word/footer2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3BCAAC">
    <w:pPr>
      <w:spacing w:after="13" w:line="454" w:lineRule="exact"/>
    </w:pPr>
  </w:p>
  <w:p w14:paraId="7DE03C87">
    <w:pPr>
      <w:pStyle w:val="2"/>
      <w:spacing w:line="207" w:lineRule="auto"/>
      <w:ind w:left="5067"/>
      <w:rPr>
        <w:sz w:val="18"/>
        <w:szCs w:val="18"/>
      </w:rPr>
    </w:pPr>
    <w:r>
      <w:rPr>
        <w:b/>
        <w:bCs/>
        <w:spacing w:val="-13"/>
        <w:sz w:val="18"/>
        <w:szCs w:val="18"/>
      </w:rPr>
      <w:t>第</w:t>
    </w:r>
    <w:r>
      <w:rPr>
        <w:spacing w:val="-28"/>
        <w:sz w:val="18"/>
        <w:szCs w:val="18"/>
      </w:rPr>
      <w:t xml:space="preserve"> </w:t>
    </w:r>
    <w:r>
      <w:rPr>
        <w:b/>
        <w:bCs/>
        <w:spacing w:val="-13"/>
        <w:sz w:val="18"/>
        <w:szCs w:val="18"/>
      </w:rPr>
      <w:t>258</w:t>
    </w:r>
    <w:r>
      <w:rPr>
        <w:spacing w:val="-13"/>
        <w:sz w:val="18"/>
        <w:szCs w:val="18"/>
      </w:rPr>
      <w:t xml:space="preserve"> </w:t>
    </w:r>
    <w:r>
      <w:rPr>
        <w:b/>
        <w:bCs/>
        <w:spacing w:val="-13"/>
        <w:sz w:val="18"/>
        <w:szCs w:val="18"/>
      </w:rPr>
      <w:t>页</w:t>
    </w:r>
    <w:r>
      <w:rPr>
        <w:spacing w:val="-27"/>
        <w:sz w:val="18"/>
        <w:szCs w:val="18"/>
      </w:rPr>
      <w:t xml:space="preserve"> </w:t>
    </w:r>
    <w:r>
      <w:rPr>
        <w:b/>
        <w:bCs/>
        <w:spacing w:val="-13"/>
        <w:sz w:val="18"/>
        <w:szCs w:val="18"/>
      </w:rPr>
      <w:t>共</w:t>
    </w:r>
    <w:r>
      <w:rPr>
        <w:spacing w:val="-39"/>
        <w:sz w:val="18"/>
        <w:szCs w:val="18"/>
      </w:rPr>
      <w:t xml:space="preserve"> </w:t>
    </w:r>
    <w:r>
      <w:rPr>
        <w:b/>
        <w:bCs/>
        <w:spacing w:val="-13"/>
        <w:sz w:val="18"/>
        <w:szCs w:val="18"/>
      </w:rPr>
      <w:t>499</w:t>
    </w:r>
    <w:r>
      <w:rPr>
        <w:spacing w:val="-13"/>
        <w:sz w:val="18"/>
        <w:szCs w:val="18"/>
      </w:rPr>
      <w:t xml:space="preserve"> </w:t>
    </w:r>
    <w:r>
      <w:rPr>
        <w:b/>
        <w:bCs/>
        <w:spacing w:val="-13"/>
        <w:sz w:val="18"/>
        <w:szCs w:val="18"/>
      </w:rPr>
      <w:t>页</w:t>
    </w:r>
  </w:p>
</w:ftr>
</file>

<file path=word/footer2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9D4092">
    <w:pPr>
      <w:spacing w:after="13" w:line="454" w:lineRule="exact"/>
    </w:pPr>
  </w:p>
  <w:p w14:paraId="11E7F4EC">
    <w:pPr>
      <w:pStyle w:val="2"/>
      <w:spacing w:line="207" w:lineRule="auto"/>
      <w:ind w:left="5067"/>
      <w:rPr>
        <w:sz w:val="18"/>
        <w:szCs w:val="18"/>
      </w:rPr>
    </w:pPr>
    <w:r>
      <w:rPr>
        <w:b/>
        <w:bCs/>
        <w:spacing w:val="-13"/>
        <w:sz w:val="18"/>
        <w:szCs w:val="18"/>
      </w:rPr>
      <w:t>第</w:t>
    </w:r>
    <w:r>
      <w:rPr>
        <w:spacing w:val="-28"/>
        <w:sz w:val="18"/>
        <w:szCs w:val="18"/>
      </w:rPr>
      <w:t xml:space="preserve"> </w:t>
    </w:r>
    <w:r>
      <w:rPr>
        <w:b/>
        <w:bCs/>
        <w:spacing w:val="-13"/>
        <w:sz w:val="18"/>
        <w:szCs w:val="18"/>
      </w:rPr>
      <w:t>259</w:t>
    </w:r>
    <w:r>
      <w:rPr>
        <w:spacing w:val="-13"/>
        <w:sz w:val="18"/>
        <w:szCs w:val="18"/>
      </w:rPr>
      <w:t xml:space="preserve"> </w:t>
    </w:r>
    <w:r>
      <w:rPr>
        <w:b/>
        <w:bCs/>
        <w:spacing w:val="-13"/>
        <w:sz w:val="18"/>
        <w:szCs w:val="18"/>
      </w:rPr>
      <w:t>页</w:t>
    </w:r>
    <w:r>
      <w:rPr>
        <w:spacing w:val="-27"/>
        <w:sz w:val="18"/>
        <w:szCs w:val="18"/>
      </w:rPr>
      <w:t xml:space="preserve"> </w:t>
    </w:r>
    <w:r>
      <w:rPr>
        <w:b/>
        <w:bCs/>
        <w:spacing w:val="-13"/>
        <w:sz w:val="18"/>
        <w:szCs w:val="18"/>
      </w:rPr>
      <w:t>共</w:t>
    </w:r>
    <w:r>
      <w:rPr>
        <w:spacing w:val="-39"/>
        <w:sz w:val="18"/>
        <w:szCs w:val="18"/>
      </w:rPr>
      <w:t xml:space="preserve"> </w:t>
    </w:r>
    <w:r>
      <w:rPr>
        <w:b/>
        <w:bCs/>
        <w:spacing w:val="-13"/>
        <w:sz w:val="18"/>
        <w:szCs w:val="18"/>
      </w:rPr>
      <w:t>499</w:t>
    </w:r>
    <w:r>
      <w:rPr>
        <w:spacing w:val="-13"/>
        <w:sz w:val="18"/>
        <w:szCs w:val="18"/>
      </w:rPr>
      <w:t xml:space="preserve"> </w:t>
    </w:r>
    <w:r>
      <w:rPr>
        <w:b/>
        <w:bCs/>
        <w:spacing w:val="-13"/>
        <w:sz w:val="18"/>
        <w:szCs w:val="18"/>
      </w:rPr>
      <w:t>页</w:t>
    </w:r>
  </w:p>
</w:ftr>
</file>

<file path=word/footer2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E7A325">
    <w:pPr>
      <w:spacing w:after="13" w:line="454" w:lineRule="exact"/>
    </w:pPr>
  </w:p>
  <w:p w14:paraId="1C49B302">
    <w:pPr>
      <w:pStyle w:val="2"/>
      <w:spacing w:line="207" w:lineRule="auto"/>
      <w:ind w:left="5067"/>
      <w:rPr>
        <w:sz w:val="18"/>
        <w:szCs w:val="18"/>
      </w:rPr>
    </w:pPr>
    <w:r>
      <w:rPr>
        <w:b/>
        <w:bCs/>
        <w:spacing w:val="-13"/>
        <w:sz w:val="18"/>
        <w:szCs w:val="18"/>
      </w:rPr>
      <w:t>第</w:t>
    </w:r>
    <w:r>
      <w:rPr>
        <w:spacing w:val="-28"/>
        <w:sz w:val="18"/>
        <w:szCs w:val="18"/>
      </w:rPr>
      <w:t xml:space="preserve"> </w:t>
    </w:r>
    <w:r>
      <w:rPr>
        <w:b/>
        <w:bCs/>
        <w:spacing w:val="-13"/>
        <w:sz w:val="18"/>
        <w:szCs w:val="18"/>
      </w:rPr>
      <w:t>260</w:t>
    </w:r>
    <w:r>
      <w:rPr>
        <w:spacing w:val="-13"/>
        <w:sz w:val="18"/>
        <w:szCs w:val="18"/>
      </w:rPr>
      <w:t xml:space="preserve"> </w:t>
    </w:r>
    <w:r>
      <w:rPr>
        <w:b/>
        <w:bCs/>
        <w:spacing w:val="-13"/>
        <w:sz w:val="18"/>
        <w:szCs w:val="18"/>
      </w:rPr>
      <w:t>页</w:t>
    </w:r>
    <w:r>
      <w:rPr>
        <w:spacing w:val="-27"/>
        <w:sz w:val="18"/>
        <w:szCs w:val="18"/>
      </w:rPr>
      <w:t xml:space="preserve"> </w:t>
    </w:r>
    <w:r>
      <w:rPr>
        <w:b/>
        <w:bCs/>
        <w:spacing w:val="-13"/>
        <w:sz w:val="18"/>
        <w:szCs w:val="18"/>
      </w:rPr>
      <w:t>共</w:t>
    </w:r>
    <w:r>
      <w:rPr>
        <w:spacing w:val="-39"/>
        <w:sz w:val="18"/>
        <w:szCs w:val="18"/>
      </w:rPr>
      <w:t xml:space="preserve"> </w:t>
    </w:r>
    <w:r>
      <w:rPr>
        <w:b/>
        <w:bCs/>
        <w:spacing w:val="-13"/>
        <w:sz w:val="18"/>
        <w:szCs w:val="18"/>
      </w:rPr>
      <w:t>499</w:t>
    </w:r>
    <w:r>
      <w:rPr>
        <w:spacing w:val="-13"/>
        <w:sz w:val="18"/>
        <w:szCs w:val="18"/>
      </w:rPr>
      <w:t xml:space="preserve"> </w:t>
    </w:r>
    <w:r>
      <w:rPr>
        <w:b/>
        <w:bCs/>
        <w:spacing w:val="-13"/>
        <w:sz w:val="18"/>
        <w:szCs w:val="18"/>
      </w:rPr>
      <w:t>页</w:t>
    </w:r>
  </w:p>
</w:ftr>
</file>

<file path=word/footer2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10993A">
    <w:pPr>
      <w:spacing w:after="13" w:line="454" w:lineRule="exact"/>
    </w:pPr>
  </w:p>
  <w:p w14:paraId="687F48F1">
    <w:pPr>
      <w:pStyle w:val="2"/>
      <w:spacing w:line="207" w:lineRule="auto"/>
      <w:ind w:left="5067"/>
      <w:rPr>
        <w:sz w:val="18"/>
        <w:szCs w:val="18"/>
      </w:rPr>
    </w:pPr>
    <w:r>
      <w:rPr>
        <w:b/>
        <w:bCs/>
        <w:spacing w:val="-13"/>
        <w:sz w:val="18"/>
        <w:szCs w:val="18"/>
      </w:rPr>
      <w:t>第</w:t>
    </w:r>
    <w:r>
      <w:rPr>
        <w:spacing w:val="-28"/>
        <w:sz w:val="18"/>
        <w:szCs w:val="18"/>
      </w:rPr>
      <w:t xml:space="preserve"> </w:t>
    </w:r>
    <w:r>
      <w:rPr>
        <w:b/>
        <w:bCs/>
        <w:spacing w:val="-13"/>
        <w:sz w:val="18"/>
        <w:szCs w:val="18"/>
      </w:rPr>
      <w:t>261</w:t>
    </w:r>
    <w:r>
      <w:rPr>
        <w:spacing w:val="-13"/>
        <w:sz w:val="18"/>
        <w:szCs w:val="18"/>
      </w:rPr>
      <w:t xml:space="preserve"> </w:t>
    </w:r>
    <w:r>
      <w:rPr>
        <w:b/>
        <w:bCs/>
        <w:spacing w:val="-13"/>
        <w:sz w:val="18"/>
        <w:szCs w:val="18"/>
      </w:rPr>
      <w:t>页</w:t>
    </w:r>
    <w:r>
      <w:rPr>
        <w:spacing w:val="-27"/>
        <w:sz w:val="18"/>
        <w:szCs w:val="18"/>
      </w:rPr>
      <w:t xml:space="preserve"> </w:t>
    </w:r>
    <w:r>
      <w:rPr>
        <w:b/>
        <w:bCs/>
        <w:spacing w:val="-13"/>
        <w:sz w:val="18"/>
        <w:szCs w:val="18"/>
      </w:rPr>
      <w:t>共</w:t>
    </w:r>
    <w:r>
      <w:rPr>
        <w:spacing w:val="-39"/>
        <w:sz w:val="18"/>
        <w:szCs w:val="18"/>
      </w:rPr>
      <w:t xml:space="preserve"> </w:t>
    </w:r>
    <w:r>
      <w:rPr>
        <w:b/>
        <w:bCs/>
        <w:spacing w:val="-13"/>
        <w:sz w:val="18"/>
        <w:szCs w:val="18"/>
      </w:rPr>
      <w:t>499</w:t>
    </w:r>
    <w:r>
      <w:rPr>
        <w:spacing w:val="-13"/>
        <w:sz w:val="18"/>
        <w:szCs w:val="18"/>
      </w:rPr>
      <w:t xml:space="preserve"> </w:t>
    </w:r>
    <w:r>
      <w:rPr>
        <w:b/>
        <w:bCs/>
        <w:spacing w:val="-13"/>
        <w:sz w:val="18"/>
        <w:szCs w:val="18"/>
      </w:rPr>
      <w:t>页</w:t>
    </w:r>
  </w:p>
</w:ftr>
</file>

<file path=word/footer2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830A17">
    <w:pPr>
      <w:spacing w:after="13" w:line="454" w:lineRule="exact"/>
    </w:pPr>
  </w:p>
  <w:p w14:paraId="746D2FCB">
    <w:pPr>
      <w:pStyle w:val="2"/>
      <w:spacing w:line="207" w:lineRule="auto"/>
      <w:ind w:left="5067"/>
      <w:rPr>
        <w:sz w:val="18"/>
        <w:szCs w:val="18"/>
      </w:rPr>
    </w:pPr>
    <w:r>
      <w:rPr>
        <w:b/>
        <w:bCs/>
        <w:spacing w:val="-13"/>
        <w:sz w:val="18"/>
        <w:szCs w:val="18"/>
      </w:rPr>
      <w:t>第</w:t>
    </w:r>
    <w:r>
      <w:rPr>
        <w:spacing w:val="-28"/>
        <w:sz w:val="18"/>
        <w:szCs w:val="18"/>
      </w:rPr>
      <w:t xml:space="preserve"> </w:t>
    </w:r>
    <w:r>
      <w:rPr>
        <w:b/>
        <w:bCs/>
        <w:spacing w:val="-13"/>
        <w:sz w:val="18"/>
        <w:szCs w:val="18"/>
      </w:rPr>
      <w:t>262</w:t>
    </w:r>
    <w:r>
      <w:rPr>
        <w:spacing w:val="-13"/>
        <w:sz w:val="18"/>
        <w:szCs w:val="18"/>
      </w:rPr>
      <w:t xml:space="preserve"> </w:t>
    </w:r>
    <w:r>
      <w:rPr>
        <w:b/>
        <w:bCs/>
        <w:spacing w:val="-13"/>
        <w:sz w:val="18"/>
        <w:szCs w:val="18"/>
      </w:rPr>
      <w:t>页</w:t>
    </w:r>
    <w:r>
      <w:rPr>
        <w:spacing w:val="-27"/>
        <w:sz w:val="18"/>
        <w:szCs w:val="18"/>
      </w:rPr>
      <w:t xml:space="preserve"> </w:t>
    </w:r>
    <w:r>
      <w:rPr>
        <w:b/>
        <w:bCs/>
        <w:spacing w:val="-13"/>
        <w:sz w:val="18"/>
        <w:szCs w:val="18"/>
      </w:rPr>
      <w:t>共</w:t>
    </w:r>
    <w:r>
      <w:rPr>
        <w:spacing w:val="-39"/>
        <w:sz w:val="18"/>
        <w:szCs w:val="18"/>
      </w:rPr>
      <w:t xml:space="preserve"> </w:t>
    </w:r>
    <w:r>
      <w:rPr>
        <w:b/>
        <w:bCs/>
        <w:spacing w:val="-13"/>
        <w:sz w:val="18"/>
        <w:szCs w:val="18"/>
      </w:rPr>
      <w:t>499</w:t>
    </w:r>
    <w:r>
      <w:rPr>
        <w:spacing w:val="-13"/>
        <w:sz w:val="18"/>
        <w:szCs w:val="18"/>
      </w:rPr>
      <w:t xml:space="preserve"> </w:t>
    </w:r>
    <w:r>
      <w:rPr>
        <w:b/>
        <w:bCs/>
        <w:spacing w:val="-13"/>
        <w:sz w:val="18"/>
        <w:szCs w:val="18"/>
      </w:rPr>
      <w:t>页</w:t>
    </w:r>
  </w:p>
</w:ftr>
</file>

<file path=word/footer2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D7D987">
    <w:pPr>
      <w:spacing w:after="13" w:line="454" w:lineRule="exact"/>
    </w:pPr>
  </w:p>
  <w:p w14:paraId="2CEE5CBD">
    <w:pPr>
      <w:pStyle w:val="2"/>
      <w:spacing w:line="207" w:lineRule="auto"/>
      <w:ind w:left="5067"/>
      <w:rPr>
        <w:sz w:val="18"/>
        <w:szCs w:val="18"/>
      </w:rPr>
    </w:pPr>
    <w:r>
      <w:rPr>
        <w:b/>
        <w:bCs/>
        <w:spacing w:val="-13"/>
        <w:sz w:val="18"/>
        <w:szCs w:val="18"/>
      </w:rPr>
      <w:t>第</w:t>
    </w:r>
    <w:r>
      <w:rPr>
        <w:spacing w:val="-28"/>
        <w:sz w:val="18"/>
        <w:szCs w:val="18"/>
      </w:rPr>
      <w:t xml:space="preserve"> </w:t>
    </w:r>
    <w:r>
      <w:rPr>
        <w:b/>
        <w:bCs/>
        <w:spacing w:val="-13"/>
        <w:sz w:val="18"/>
        <w:szCs w:val="18"/>
      </w:rPr>
      <w:t>263</w:t>
    </w:r>
    <w:r>
      <w:rPr>
        <w:spacing w:val="-13"/>
        <w:sz w:val="18"/>
        <w:szCs w:val="18"/>
      </w:rPr>
      <w:t xml:space="preserve"> </w:t>
    </w:r>
    <w:r>
      <w:rPr>
        <w:b/>
        <w:bCs/>
        <w:spacing w:val="-13"/>
        <w:sz w:val="18"/>
        <w:szCs w:val="18"/>
      </w:rPr>
      <w:t>页</w:t>
    </w:r>
    <w:r>
      <w:rPr>
        <w:spacing w:val="-27"/>
        <w:sz w:val="18"/>
        <w:szCs w:val="18"/>
      </w:rPr>
      <w:t xml:space="preserve"> </w:t>
    </w:r>
    <w:r>
      <w:rPr>
        <w:b/>
        <w:bCs/>
        <w:spacing w:val="-13"/>
        <w:sz w:val="18"/>
        <w:szCs w:val="18"/>
      </w:rPr>
      <w:t>共</w:t>
    </w:r>
    <w:r>
      <w:rPr>
        <w:spacing w:val="-39"/>
        <w:sz w:val="18"/>
        <w:szCs w:val="18"/>
      </w:rPr>
      <w:t xml:space="preserve"> </w:t>
    </w:r>
    <w:r>
      <w:rPr>
        <w:b/>
        <w:bCs/>
        <w:spacing w:val="-13"/>
        <w:sz w:val="18"/>
        <w:szCs w:val="18"/>
      </w:rPr>
      <w:t>499</w:t>
    </w:r>
    <w:r>
      <w:rPr>
        <w:spacing w:val="-13"/>
        <w:sz w:val="18"/>
        <w:szCs w:val="18"/>
      </w:rPr>
      <w:t xml:space="preserve"> </w:t>
    </w:r>
    <w:r>
      <w:rPr>
        <w:b/>
        <w:bCs/>
        <w:spacing w:val="-13"/>
        <w:sz w:val="18"/>
        <w:szCs w:val="18"/>
      </w:rPr>
      <w:t>页</w:t>
    </w:r>
  </w:p>
</w:ftr>
</file>

<file path=word/footer2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8F1849">
    <w:pPr>
      <w:spacing w:after="13" w:line="454" w:lineRule="exact"/>
    </w:pPr>
  </w:p>
  <w:p w14:paraId="0EDBFFEB">
    <w:pPr>
      <w:pStyle w:val="2"/>
      <w:spacing w:line="207" w:lineRule="auto"/>
      <w:ind w:left="5067"/>
      <w:rPr>
        <w:sz w:val="18"/>
        <w:szCs w:val="18"/>
      </w:rPr>
    </w:pPr>
    <w:r>
      <w:rPr>
        <w:b/>
        <w:bCs/>
        <w:spacing w:val="-13"/>
        <w:sz w:val="18"/>
        <w:szCs w:val="18"/>
      </w:rPr>
      <w:t>第</w:t>
    </w:r>
    <w:r>
      <w:rPr>
        <w:spacing w:val="-28"/>
        <w:sz w:val="18"/>
        <w:szCs w:val="18"/>
      </w:rPr>
      <w:t xml:space="preserve"> </w:t>
    </w:r>
    <w:r>
      <w:rPr>
        <w:b/>
        <w:bCs/>
        <w:spacing w:val="-13"/>
        <w:sz w:val="18"/>
        <w:szCs w:val="18"/>
      </w:rPr>
      <w:t>264</w:t>
    </w:r>
    <w:r>
      <w:rPr>
        <w:spacing w:val="-13"/>
        <w:sz w:val="18"/>
        <w:szCs w:val="18"/>
      </w:rPr>
      <w:t xml:space="preserve"> </w:t>
    </w:r>
    <w:r>
      <w:rPr>
        <w:b/>
        <w:bCs/>
        <w:spacing w:val="-13"/>
        <w:sz w:val="18"/>
        <w:szCs w:val="18"/>
      </w:rPr>
      <w:t>页</w:t>
    </w:r>
    <w:r>
      <w:rPr>
        <w:spacing w:val="-27"/>
        <w:sz w:val="18"/>
        <w:szCs w:val="18"/>
      </w:rPr>
      <w:t xml:space="preserve"> </w:t>
    </w:r>
    <w:r>
      <w:rPr>
        <w:b/>
        <w:bCs/>
        <w:spacing w:val="-13"/>
        <w:sz w:val="18"/>
        <w:szCs w:val="18"/>
      </w:rPr>
      <w:t>共</w:t>
    </w:r>
    <w:r>
      <w:rPr>
        <w:spacing w:val="-39"/>
        <w:sz w:val="18"/>
        <w:szCs w:val="18"/>
      </w:rPr>
      <w:t xml:space="preserve"> </w:t>
    </w:r>
    <w:r>
      <w:rPr>
        <w:b/>
        <w:bCs/>
        <w:spacing w:val="-13"/>
        <w:sz w:val="18"/>
        <w:szCs w:val="18"/>
      </w:rPr>
      <w:t>499</w:t>
    </w:r>
    <w:r>
      <w:rPr>
        <w:spacing w:val="-13"/>
        <w:sz w:val="18"/>
        <w:szCs w:val="18"/>
      </w:rPr>
      <w:t xml:space="preserve"> </w:t>
    </w:r>
    <w:r>
      <w:rPr>
        <w:b/>
        <w:bCs/>
        <w:spacing w:val="-13"/>
        <w:sz w:val="18"/>
        <w:szCs w:val="18"/>
      </w:rPr>
      <w:t>页</w:t>
    </w:r>
  </w:p>
</w:ftr>
</file>

<file path=word/footer2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45249C">
    <w:pPr>
      <w:spacing w:after="13" w:line="454" w:lineRule="exact"/>
    </w:pPr>
  </w:p>
  <w:p w14:paraId="7A6C70ED">
    <w:pPr>
      <w:pStyle w:val="2"/>
      <w:spacing w:line="207" w:lineRule="auto"/>
      <w:ind w:left="5067"/>
      <w:rPr>
        <w:sz w:val="18"/>
        <w:szCs w:val="18"/>
      </w:rPr>
    </w:pPr>
    <w:r>
      <w:rPr>
        <w:b/>
        <w:bCs/>
        <w:spacing w:val="-13"/>
        <w:sz w:val="18"/>
        <w:szCs w:val="18"/>
      </w:rPr>
      <w:t>第</w:t>
    </w:r>
    <w:r>
      <w:rPr>
        <w:spacing w:val="-28"/>
        <w:sz w:val="18"/>
        <w:szCs w:val="18"/>
      </w:rPr>
      <w:t xml:space="preserve"> </w:t>
    </w:r>
    <w:r>
      <w:rPr>
        <w:b/>
        <w:bCs/>
        <w:spacing w:val="-13"/>
        <w:sz w:val="18"/>
        <w:szCs w:val="18"/>
      </w:rPr>
      <w:t>265</w:t>
    </w:r>
    <w:r>
      <w:rPr>
        <w:spacing w:val="-13"/>
        <w:sz w:val="18"/>
        <w:szCs w:val="18"/>
      </w:rPr>
      <w:t xml:space="preserve"> </w:t>
    </w:r>
    <w:r>
      <w:rPr>
        <w:b/>
        <w:bCs/>
        <w:spacing w:val="-13"/>
        <w:sz w:val="18"/>
        <w:szCs w:val="18"/>
      </w:rPr>
      <w:t>页</w:t>
    </w:r>
    <w:r>
      <w:rPr>
        <w:spacing w:val="-27"/>
        <w:sz w:val="18"/>
        <w:szCs w:val="18"/>
      </w:rPr>
      <w:t xml:space="preserve"> </w:t>
    </w:r>
    <w:r>
      <w:rPr>
        <w:b/>
        <w:bCs/>
        <w:spacing w:val="-13"/>
        <w:sz w:val="18"/>
        <w:szCs w:val="18"/>
      </w:rPr>
      <w:t>共</w:t>
    </w:r>
    <w:r>
      <w:rPr>
        <w:spacing w:val="-39"/>
        <w:sz w:val="18"/>
        <w:szCs w:val="18"/>
      </w:rPr>
      <w:t xml:space="preserve"> </w:t>
    </w:r>
    <w:r>
      <w:rPr>
        <w:b/>
        <w:bCs/>
        <w:spacing w:val="-13"/>
        <w:sz w:val="18"/>
        <w:szCs w:val="18"/>
      </w:rPr>
      <w:t>499</w:t>
    </w:r>
    <w:r>
      <w:rPr>
        <w:spacing w:val="-13"/>
        <w:sz w:val="18"/>
        <w:szCs w:val="18"/>
      </w:rPr>
      <w:t xml:space="preserve"> </w:t>
    </w:r>
    <w:r>
      <w:rPr>
        <w:b/>
        <w:bCs/>
        <w:spacing w:val="-13"/>
        <w:sz w:val="18"/>
        <w:szCs w:val="18"/>
      </w:rPr>
      <w:t>页</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09A82A">
    <w:pPr>
      <w:spacing w:after="13" w:line="454" w:lineRule="exact"/>
    </w:pPr>
  </w:p>
  <w:p w14:paraId="5974B8FF">
    <w:pPr>
      <w:pStyle w:val="2"/>
      <w:spacing w:line="207" w:lineRule="auto"/>
      <w:ind w:left="5106"/>
      <w:rPr>
        <w:sz w:val="18"/>
        <w:szCs w:val="18"/>
      </w:rPr>
    </w:pPr>
    <w:r>
      <w:rPr>
        <w:b/>
        <w:bCs/>
        <w:spacing w:val="-13"/>
        <w:sz w:val="18"/>
        <w:szCs w:val="18"/>
      </w:rPr>
      <w:t>第</w:t>
    </w:r>
    <w:r>
      <w:rPr>
        <w:spacing w:val="-28"/>
        <w:sz w:val="18"/>
        <w:szCs w:val="18"/>
      </w:rPr>
      <w:t xml:space="preserve"> </w:t>
    </w:r>
    <w:r>
      <w:rPr>
        <w:b/>
        <w:bCs/>
        <w:spacing w:val="-13"/>
        <w:sz w:val="18"/>
        <w:szCs w:val="18"/>
      </w:rPr>
      <w:t>49</w:t>
    </w:r>
    <w:r>
      <w:rPr>
        <w:spacing w:val="-13"/>
        <w:sz w:val="18"/>
        <w:szCs w:val="18"/>
      </w:rPr>
      <w:t xml:space="preserve"> </w:t>
    </w:r>
    <w:r>
      <w:rPr>
        <w:b/>
        <w:bCs/>
        <w:spacing w:val="-13"/>
        <w:sz w:val="18"/>
        <w:szCs w:val="18"/>
      </w:rPr>
      <w:t>页</w:t>
    </w:r>
    <w:r>
      <w:rPr>
        <w:spacing w:val="-28"/>
        <w:sz w:val="18"/>
        <w:szCs w:val="18"/>
      </w:rPr>
      <w:t xml:space="preserve"> </w:t>
    </w:r>
    <w:r>
      <w:rPr>
        <w:b/>
        <w:bCs/>
        <w:spacing w:val="-13"/>
        <w:sz w:val="18"/>
        <w:szCs w:val="18"/>
      </w:rPr>
      <w:t>共</w:t>
    </w:r>
    <w:r>
      <w:rPr>
        <w:spacing w:val="-38"/>
        <w:sz w:val="18"/>
        <w:szCs w:val="18"/>
      </w:rPr>
      <w:t xml:space="preserve"> </w:t>
    </w:r>
    <w:r>
      <w:rPr>
        <w:b/>
        <w:bCs/>
        <w:spacing w:val="-13"/>
        <w:sz w:val="18"/>
        <w:szCs w:val="18"/>
      </w:rPr>
      <w:t>499</w:t>
    </w:r>
    <w:r>
      <w:rPr>
        <w:spacing w:val="-13"/>
        <w:sz w:val="18"/>
        <w:szCs w:val="18"/>
      </w:rPr>
      <w:t xml:space="preserve"> </w:t>
    </w:r>
    <w:r>
      <w:rPr>
        <w:b/>
        <w:bCs/>
        <w:spacing w:val="-13"/>
        <w:sz w:val="18"/>
        <w:szCs w:val="18"/>
      </w:rPr>
      <w:t>页</w:t>
    </w:r>
  </w:p>
</w:ftr>
</file>

<file path=word/footer2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A3CCED">
    <w:pPr>
      <w:spacing w:after="13" w:line="454" w:lineRule="exact"/>
    </w:pPr>
  </w:p>
  <w:p w14:paraId="70B15B5D">
    <w:pPr>
      <w:pStyle w:val="2"/>
      <w:spacing w:line="207" w:lineRule="auto"/>
      <w:ind w:left="5067"/>
      <w:rPr>
        <w:sz w:val="18"/>
        <w:szCs w:val="18"/>
      </w:rPr>
    </w:pPr>
    <w:r>
      <w:rPr>
        <w:b/>
        <w:bCs/>
        <w:spacing w:val="-13"/>
        <w:sz w:val="18"/>
        <w:szCs w:val="18"/>
      </w:rPr>
      <w:t>第</w:t>
    </w:r>
    <w:r>
      <w:rPr>
        <w:spacing w:val="-28"/>
        <w:sz w:val="18"/>
        <w:szCs w:val="18"/>
      </w:rPr>
      <w:t xml:space="preserve"> </w:t>
    </w:r>
    <w:r>
      <w:rPr>
        <w:b/>
        <w:bCs/>
        <w:spacing w:val="-13"/>
        <w:sz w:val="18"/>
        <w:szCs w:val="18"/>
      </w:rPr>
      <w:t>266</w:t>
    </w:r>
    <w:r>
      <w:rPr>
        <w:spacing w:val="-13"/>
        <w:sz w:val="18"/>
        <w:szCs w:val="18"/>
      </w:rPr>
      <w:t xml:space="preserve"> </w:t>
    </w:r>
    <w:r>
      <w:rPr>
        <w:b/>
        <w:bCs/>
        <w:spacing w:val="-13"/>
        <w:sz w:val="18"/>
        <w:szCs w:val="18"/>
      </w:rPr>
      <w:t>页</w:t>
    </w:r>
    <w:r>
      <w:rPr>
        <w:spacing w:val="-27"/>
        <w:sz w:val="18"/>
        <w:szCs w:val="18"/>
      </w:rPr>
      <w:t xml:space="preserve"> </w:t>
    </w:r>
    <w:r>
      <w:rPr>
        <w:b/>
        <w:bCs/>
        <w:spacing w:val="-13"/>
        <w:sz w:val="18"/>
        <w:szCs w:val="18"/>
      </w:rPr>
      <w:t>共</w:t>
    </w:r>
    <w:r>
      <w:rPr>
        <w:spacing w:val="-39"/>
        <w:sz w:val="18"/>
        <w:szCs w:val="18"/>
      </w:rPr>
      <w:t xml:space="preserve"> </w:t>
    </w:r>
    <w:r>
      <w:rPr>
        <w:b/>
        <w:bCs/>
        <w:spacing w:val="-13"/>
        <w:sz w:val="18"/>
        <w:szCs w:val="18"/>
      </w:rPr>
      <w:t>499</w:t>
    </w:r>
    <w:r>
      <w:rPr>
        <w:spacing w:val="-13"/>
        <w:sz w:val="18"/>
        <w:szCs w:val="18"/>
      </w:rPr>
      <w:t xml:space="preserve"> </w:t>
    </w:r>
    <w:r>
      <w:rPr>
        <w:b/>
        <w:bCs/>
        <w:spacing w:val="-13"/>
        <w:sz w:val="18"/>
        <w:szCs w:val="18"/>
      </w:rPr>
      <w:t>页</w:t>
    </w:r>
  </w:p>
</w:ftr>
</file>

<file path=word/footer2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C6D969">
    <w:pPr>
      <w:spacing w:after="13" w:line="454" w:lineRule="exact"/>
    </w:pPr>
  </w:p>
  <w:p w14:paraId="2E222191">
    <w:pPr>
      <w:pStyle w:val="2"/>
      <w:spacing w:line="207" w:lineRule="auto"/>
      <w:ind w:left="5067"/>
      <w:rPr>
        <w:sz w:val="18"/>
        <w:szCs w:val="18"/>
      </w:rPr>
    </w:pPr>
    <w:r>
      <w:rPr>
        <w:b/>
        <w:bCs/>
        <w:spacing w:val="-13"/>
        <w:sz w:val="18"/>
        <w:szCs w:val="18"/>
      </w:rPr>
      <w:t>第</w:t>
    </w:r>
    <w:r>
      <w:rPr>
        <w:spacing w:val="-28"/>
        <w:sz w:val="18"/>
        <w:szCs w:val="18"/>
      </w:rPr>
      <w:t xml:space="preserve"> </w:t>
    </w:r>
    <w:r>
      <w:rPr>
        <w:b/>
        <w:bCs/>
        <w:spacing w:val="-13"/>
        <w:sz w:val="18"/>
        <w:szCs w:val="18"/>
      </w:rPr>
      <w:t>267</w:t>
    </w:r>
    <w:r>
      <w:rPr>
        <w:spacing w:val="-13"/>
        <w:sz w:val="18"/>
        <w:szCs w:val="18"/>
      </w:rPr>
      <w:t xml:space="preserve"> </w:t>
    </w:r>
    <w:r>
      <w:rPr>
        <w:b/>
        <w:bCs/>
        <w:spacing w:val="-13"/>
        <w:sz w:val="18"/>
        <w:szCs w:val="18"/>
      </w:rPr>
      <w:t>页</w:t>
    </w:r>
    <w:r>
      <w:rPr>
        <w:spacing w:val="-27"/>
        <w:sz w:val="18"/>
        <w:szCs w:val="18"/>
      </w:rPr>
      <w:t xml:space="preserve"> </w:t>
    </w:r>
    <w:r>
      <w:rPr>
        <w:b/>
        <w:bCs/>
        <w:spacing w:val="-13"/>
        <w:sz w:val="18"/>
        <w:szCs w:val="18"/>
      </w:rPr>
      <w:t>共</w:t>
    </w:r>
    <w:r>
      <w:rPr>
        <w:spacing w:val="-39"/>
        <w:sz w:val="18"/>
        <w:szCs w:val="18"/>
      </w:rPr>
      <w:t xml:space="preserve"> </w:t>
    </w:r>
    <w:r>
      <w:rPr>
        <w:b/>
        <w:bCs/>
        <w:spacing w:val="-13"/>
        <w:sz w:val="18"/>
        <w:szCs w:val="18"/>
      </w:rPr>
      <w:t>499</w:t>
    </w:r>
    <w:r>
      <w:rPr>
        <w:spacing w:val="-13"/>
        <w:sz w:val="18"/>
        <w:szCs w:val="18"/>
      </w:rPr>
      <w:t xml:space="preserve"> </w:t>
    </w:r>
    <w:r>
      <w:rPr>
        <w:b/>
        <w:bCs/>
        <w:spacing w:val="-13"/>
        <w:sz w:val="18"/>
        <w:szCs w:val="18"/>
      </w:rPr>
      <w:t>页</w:t>
    </w:r>
  </w:p>
</w:ftr>
</file>

<file path=word/footer2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8A742B">
    <w:pPr>
      <w:spacing w:after="13" w:line="454" w:lineRule="exact"/>
    </w:pPr>
  </w:p>
  <w:p w14:paraId="458A185B">
    <w:pPr>
      <w:pStyle w:val="2"/>
      <w:spacing w:line="207" w:lineRule="auto"/>
      <w:ind w:left="5067"/>
      <w:rPr>
        <w:sz w:val="18"/>
        <w:szCs w:val="18"/>
      </w:rPr>
    </w:pPr>
    <w:r>
      <w:rPr>
        <w:b/>
        <w:bCs/>
        <w:spacing w:val="-13"/>
        <w:sz w:val="18"/>
        <w:szCs w:val="18"/>
      </w:rPr>
      <w:t>第</w:t>
    </w:r>
    <w:r>
      <w:rPr>
        <w:spacing w:val="-28"/>
        <w:sz w:val="18"/>
        <w:szCs w:val="18"/>
      </w:rPr>
      <w:t xml:space="preserve"> </w:t>
    </w:r>
    <w:r>
      <w:rPr>
        <w:b/>
        <w:bCs/>
        <w:spacing w:val="-13"/>
        <w:sz w:val="18"/>
        <w:szCs w:val="18"/>
      </w:rPr>
      <w:t>268</w:t>
    </w:r>
    <w:r>
      <w:rPr>
        <w:spacing w:val="-13"/>
        <w:sz w:val="18"/>
        <w:szCs w:val="18"/>
      </w:rPr>
      <w:t xml:space="preserve"> </w:t>
    </w:r>
    <w:r>
      <w:rPr>
        <w:b/>
        <w:bCs/>
        <w:spacing w:val="-13"/>
        <w:sz w:val="18"/>
        <w:szCs w:val="18"/>
      </w:rPr>
      <w:t>页</w:t>
    </w:r>
    <w:r>
      <w:rPr>
        <w:spacing w:val="-27"/>
        <w:sz w:val="18"/>
        <w:szCs w:val="18"/>
      </w:rPr>
      <w:t xml:space="preserve"> </w:t>
    </w:r>
    <w:r>
      <w:rPr>
        <w:b/>
        <w:bCs/>
        <w:spacing w:val="-13"/>
        <w:sz w:val="18"/>
        <w:szCs w:val="18"/>
      </w:rPr>
      <w:t>共</w:t>
    </w:r>
    <w:r>
      <w:rPr>
        <w:spacing w:val="-39"/>
        <w:sz w:val="18"/>
        <w:szCs w:val="18"/>
      </w:rPr>
      <w:t xml:space="preserve"> </w:t>
    </w:r>
    <w:r>
      <w:rPr>
        <w:b/>
        <w:bCs/>
        <w:spacing w:val="-13"/>
        <w:sz w:val="18"/>
        <w:szCs w:val="18"/>
      </w:rPr>
      <w:t>499</w:t>
    </w:r>
    <w:r>
      <w:rPr>
        <w:spacing w:val="-13"/>
        <w:sz w:val="18"/>
        <w:szCs w:val="18"/>
      </w:rPr>
      <w:t xml:space="preserve"> </w:t>
    </w:r>
    <w:r>
      <w:rPr>
        <w:b/>
        <w:bCs/>
        <w:spacing w:val="-13"/>
        <w:sz w:val="18"/>
        <w:szCs w:val="18"/>
      </w:rPr>
      <w:t>页</w:t>
    </w:r>
  </w:p>
</w:ftr>
</file>

<file path=word/footer2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0D5D8C">
    <w:pPr>
      <w:spacing w:after="13" w:line="454" w:lineRule="exact"/>
    </w:pPr>
  </w:p>
  <w:p w14:paraId="08EF290A">
    <w:pPr>
      <w:pStyle w:val="2"/>
      <w:spacing w:line="207" w:lineRule="auto"/>
      <w:ind w:left="5067"/>
      <w:rPr>
        <w:sz w:val="18"/>
        <w:szCs w:val="18"/>
      </w:rPr>
    </w:pPr>
    <w:r>
      <w:rPr>
        <w:b/>
        <w:bCs/>
        <w:spacing w:val="-13"/>
        <w:sz w:val="18"/>
        <w:szCs w:val="18"/>
      </w:rPr>
      <w:t>第</w:t>
    </w:r>
    <w:r>
      <w:rPr>
        <w:spacing w:val="-28"/>
        <w:sz w:val="18"/>
        <w:szCs w:val="18"/>
      </w:rPr>
      <w:t xml:space="preserve"> </w:t>
    </w:r>
    <w:r>
      <w:rPr>
        <w:b/>
        <w:bCs/>
        <w:spacing w:val="-13"/>
        <w:sz w:val="18"/>
        <w:szCs w:val="18"/>
      </w:rPr>
      <w:t>269</w:t>
    </w:r>
    <w:r>
      <w:rPr>
        <w:spacing w:val="-13"/>
        <w:sz w:val="18"/>
        <w:szCs w:val="18"/>
      </w:rPr>
      <w:t xml:space="preserve"> </w:t>
    </w:r>
    <w:r>
      <w:rPr>
        <w:b/>
        <w:bCs/>
        <w:spacing w:val="-13"/>
        <w:sz w:val="18"/>
        <w:szCs w:val="18"/>
      </w:rPr>
      <w:t>页</w:t>
    </w:r>
    <w:r>
      <w:rPr>
        <w:spacing w:val="-27"/>
        <w:sz w:val="18"/>
        <w:szCs w:val="18"/>
      </w:rPr>
      <w:t xml:space="preserve"> </w:t>
    </w:r>
    <w:r>
      <w:rPr>
        <w:b/>
        <w:bCs/>
        <w:spacing w:val="-13"/>
        <w:sz w:val="18"/>
        <w:szCs w:val="18"/>
      </w:rPr>
      <w:t>共</w:t>
    </w:r>
    <w:r>
      <w:rPr>
        <w:spacing w:val="-39"/>
        <w:sz w:val="18"/>
        <w:szCs w:val="18"/>
      </w:rPr>
      <w:t xml:space="preserve"> </w:t>
    </w:r>
    <w:r>
      <w:rPr>
        <w:b/>
        <w:bCs/>
        <w:spacing w:val="-13"/>
        <w:sz w:val="18"/>
        <w:szCs w:val="18"/>
      </w:rPr>
      <w:t>499</w:t>
    </w:r>
    <w:r>
      <w:rPr>
        <w:spacing w:val="-13"/>
        <w:sz w:val="18"/>
        <w:szCs w:val="18"/>
      </w:rPr>
      <w:t xml:space="preserve"> </w:t>
    </w:r>
    <w:r>
      <w:rPr>
        <w:b/>
        <w:bCs/>
        <w:spacing w:val="-13"/>
        <w:sz w:val="18"/>
        <w:szCs w:val="18"/>
      </w:rPr>
      <w:t>页</w:t>
    </w:r>
  </w:p>
</w:ftr>
</file>

<file path=word/footer2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74EFF3">
    <w:pPr>
      <w:spacing w:after="13" w:line="454" w:lineRule="exact"/>
    </w:pPr>
  </w:p>
  <w:p w14:paraId="604CC300">
    <w:pPr>
      <w:pStyle w:val="2"/>
      <w:spacing w:line="207" w:lineRule="auto"/>
      <w:ind w:left="5067"/>
      <w:rPr>
        <w:sz w:val="18"/>
        <w:szCs w:val="18"/>
      </w:rPr>
    </w:pPr>
    <w:r>
      <w:rPr>
        <w:b/>
        <w:bCs/>
        <w:spacing w:val="-13"/>
        <w:sz w:val="18"/>
        <w:szCs w:val="18"/>
      </w:rPr>
      <w:t>第</w:t>
    </w:r>
    <w:r>
      <w:rPr>
        <w:spacing w:val="-28"/>
        <w:sz w:val="18"/>
        <w:szCs w:val="18"/>
      </w:rPr>
      <w:t xml:space="preserve"> </w:t>
    </w:r>
    <w:r>
      <w:rPr>
        <w:b/>
        <w:bCs/>
        <w:spacing w:val="-13"/>
        <w:sz w:val="18"/>
        <w:szCs w:val="18"/>
      </w:rPr>
      <w:t>270</w:t>
    </w:r>
    <w:r>
      <w:rPr>
        <w:spacing w:val="-13"/>
        <w:sz w:val="18"/>
        <w:szCs w:val="18"/>
      </w:rPr>
      <w:t xml:space="preserve"> </w:t>
    </w:r>
    <w:r>
      <w:rPr>
        <w:b/>
        <w:bCs/>
        <w:spacing w:val="-13"/>
        <w:sz w:val="18"/>
        <w:szCs w:val="18"/>
      </w:rPr>
      <w:t>页</w:t>
    </w:r>
    <w:r>
      <w:rPr>
        <w:spacing w:val="-27"/>
        <w:sz w:val="18"/>
        <w:szCs w:val="18"/>
      </w:rPr>
      <w:t xml:space="preserve"> </w:t>
    </w:r>
    <w:r>
      <w:rPr>
        <w:b/>
        <w:bCs/>
        <w:spacing w:val="-13"/>
        <w:sz w:val="18"/>
        <w:szCs w:val="18"/>
      </w:rPr>
      <w:t>共</w:t>
    </w:r>
    <w:r>
      <w:rPr>
        <w:spacing w:val="-39"/>
        <w:sz w:val="18"/>
        <w:szCs w:val="18"/>
      </w:rPr>
      <w:t xml:space="preserve"> </w:t>
    </w:r>
    <w:r>
      <w:rPr>
        <w:b/>
        <w:bCs/>
        <w:spacing w:val="-13"/>
        <w:sz w:val="18"/>
        <w:szCs w:val="18"/>
      </w:rPr>
      <w:t>499</w:t>
    </w:r>
    <w:r>
      <w:rPr>
        <w:spacing w:val="-13"/>
        <w:sz w:val="18"/>
        <w:szCs w:val="18"/>
      </w:rPr>
      <w:t xml:space="preserve"> </w:t>
    </w:r>
    <w:r>
      <w:rPr>
        <w:b/>
        <w:bCs/>
        <w:spacing w:val="-13"/>
        <w:sz w:val="18"/>
        <w:szCs w:val="18"/>
      </w:rPr>
      <w:t>页</w:t>
    </w:r>
  </w:p>
</w:ftr>
</file>

<file path=word/footer2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67A415">
    <w:pPr>
      <w:spacing w:after="13" w:line="454" w:lineRule="exact"/>
    </w:pPr>
  </w:p>
  <w:p w14:paraId="13DF431C">
    <w:pPr>
      <w:pStyle w:val="2"/>
      <w:spacing w:line="207" w:lineRule="auto"/>
      <w:ind w:left="5067"/>
      <w:rPr>
        <w:sz w:val="18"/>
        <w:szCs w:val="18"/>
      </w:rPr>
    </w:pPr>
    <w:r>
      <w:rPr>
        <w:b/>
        <w:bCs/>
        <w:spacing w:val="-13"/>
        <w:sz w:val="18"/>
        <w:szCs w:val="18"/>
      </w:rPr>
      <w:t>第</w:t>
    </w:r>
    <w:r>
      <w:rPr>
        <w:spacing w:val="-28"/>
        <w:sz w:val="18"/>
        <w:szCs w:val="18"/>
      </w:rPr>
      <w:t xml:space="preserve"> </w:t>
    </w:r>
    <w:r>
      <w:rPr>
        <w:b/>
        <w:bCs/>
        <w:spacing w:val="-13"/>
        <w:sz w:val="18"/>
        <w:szCs w:val="18"/>
      </w:rPr>
      <w:t>271</w:t>
    </w:r>
    <w:r>
      <w:rPr>
        <w:spacing w:val="-13"/>
        <w:sz w:val="18"/>
        <w:szCs w:val="18"/>
      </w:rPr>
      <w:t xml:space="preserve"> </w:t>
    </w:r>
    <w:r>
      <w:rPr>
        <w:b/>
        <w:bCs/>
        <w:spacing w:val="-13"/>
        <w:sz w:val="18"/>
        <w:szCs w:val="18"/>
      </w:rPr>
      <w:t>页</w:t>
    </w:r>
    <w:r>
      <w:rPr>
        <w:spacing w:val="-27"/>
        <w:sz w:val="18"/>
        <w:szCs w:val="18"/>
      </w:rPr>
      <w:t xml:space="preserve"> </w:t>
    </w:r>
    <w:r>
      <w:rPr>
        <w:b/>
        <w:bCs/>
        <w:spacing w:val="-13"/>
        <w:sz w:val="18"/>
        <w:szCs w:val="18"/>
      </w:rPr>
      <w:t>共</w:t>
    </w:r>
    <w:r>
      <w:rPr>
        <w:spacing w:val="-39"/>
        <w:sz w:val="18"/>
        <w:szCs w:val="18"/>
      </w:rPr>
      <w:t xml:space="preserve"> </w:t>
    </w:r>
    <w:r>
      <w:rPr>
        <w:b/>
        <w:bCs/>
        <w:spacing w:val="-13"/>
        <w:sz w:val="18"/>
        <w:szCs w:val="18"/>
      </w:rPr>
      <w:t>499</w:t>
    </w:r>
    <w:r>
      <w:rPr>
        <w:spacing w:val="-13"/>
        <w:sz w:val="18"/>
        <w:szCs w:val="18"/>
      </w:rPr>
      <w:t xml:space="preserve"> </w:t>
    </w:r>
    <w:r>
      <w:rPr>
        <w:b/>
        <w:bCs/>
        <w:spacing w:val="-13"/>
        <w:sz w:val="18"/>
        <w:szCs w:val="18"/>
      </w:rPr>
      <w:t>页</w:t>
    </w:r>
  </w:p>
</w:ftr>
</file>

<file path=word/footer2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A7AF80">
    <w:pPr>
      <w:spacing w:after="13" w:line="454" w:lineRule="exact"/>
    </w:pPr>
  </w:p>
  <w:p w14:paraId="70E1E0C8">
    <w:pPr>
      <w:pStyle w:val="2"/>
      <w:spacing w:line="207" w:lineRule="auto"/>
      <w:ind w:left="5067"/>
      <w:rPr>
        <w:sz w:val="18"/>
        <w:szCs w:val="18"/>
      </w:rPr>
    </w:pPr>
    <w:r>
      <w:rPr>
        <w:b/>
        <w:bCs/>
        <w:spacing w:val="-13"/>
        <w:sz w:val="18"/>
        <w:szCs w:val="18"/>
      </w:rPr>
      <w:t>第</w:t>
    </w:r>
    <w:r>
      <w:rPr>
        <w:spacing w:val="-28"/>
        <w:sz w:val="18"/>
        <w:szCs w:val="18"/>
      </w:rPr>
      <w:t xml:space="preserve"> </w:t>
    </w:r>
    <w:r>
      <w:rPr>
        <w:b/>
        <w:bCs/>
        <w:spacing w:val="-13"/>
        <w:sz w:val="18"/>
        <w:szCs w:val="18"/>
      </w:rPr>
      <w:t>272</w:t>
    </w:r>
    <w:r>
      <w:rPr>
        <w:spacing w:val="-13"/>
        <w:sz w:val="18"/>
        <w:szCs w:val="18"/>
      </w:rPr>
      <w:t xml:space="preserve"> </w:t>
    </w:r>
    <w:r>
      <w:rPr>
        <w:b/>
        <w:bCs/>
        <w:spacing w:val="-13"/>
        <w:sz w:val="18"/>
        <w:szCs w:val="18"/>
      </w:rPr>
      <w:t>页</w:t>
    </w:r>
    <w:r>
      <w:rPr>
        <w:spacing w:val="-27"/>
        <w:sz w:val="18"/>
        <w:szCs w:val="18"/>
      </w:rPr>
      <w:t xml:space="preserve"> </w:t>
    </w:r>
    <w:r>
      <w:rPr>
        <w:b/>
        <w:bCs/>
        <w:spacing w:val="-13"/>
        <w:sz w:val="18"/>
        <w:szCs w:val="18"/>
      </w:rPr>
      <w:t>共</w:t>
    </w:r>
    <w:r>
      <w:rPr>
        <w:spacing w:val="-39"/>
        <w:sz w:val="18"/>
        <w:szCs w:val="18"/>
      </w:rPr>
      <w:t xml:space="preserve"> </w:t>
    </w:r>
    <w:r>
      <w:rPr>
        <w:b/>
        <w:bCs/>
        <w:spacing w:val="-13"/>
        <w:sz w:val="18"/>
        <w:szCs w:val="18"/>
      </w:rPr>
      <w:t>499</w:t>
    </w:r>
    <w:r>
      <w:rPr>
        <w:spacing w:val="-13"/>
        <w:sz w:val="18"/>
        <w:szCs w:val="18"/>
      </w:rPr>
      <w:t xml:space="preserve"> </w:t>
    </w:r>
    <w:r>
      <w:rPr>
        <w:b/>
        <w:bCs/>
        <w:spacing w:val="-13"/>
        <w:sz w:val="18"/>
        <w:szCs w:val="18"/>
      </w:rPr>
      <w:t>页</w:t>
    </w:r>
  </w:p>
</w:ftr>
</file>

<file path=word/footer2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956F86">
    <w:pPr>
      <w:spacing w:after="13" w:line="454" w:lineRule="exact"/>
    </w:pPr>
  </w:p>
  <w:p w14:paraId="2A8413FD">
    <w:pPr>
      <w:pStyle w:val="2"/>
      <w:spacing w:line="207" w:lineRule="auto"/>
      <w:ind w:left="5067"/>
      <w:rPr>
        <w:sz w:val="18"/>
        <w:szCs w:val="18"/>
      </w:rPr>
    </w:pPr>
    <w:r>
      <w:rPr>
        <w:b/>
        <w:bCs/>
        <w:spacing w:val="-13"/>
        <w:sz w:val="18"/>
        <w:szCs w:val="18"/>
      </w:rPr>
      <w:t>第</w:t>
    </w:r>
    <w:r>
      <w:rPr>
        <w:spacing w:val="-28"/>
        <w:sz w:val="18"/>
        <w:szCs w:val="18"/>
      </w:rPr>
      <w:t xml:space="preserve"> </w:t>
    </w:r>
    <w:r>
      <w:rPr>
        <w:b/>
        <w:bCs/>
        <w:spacing w:val="-13"/>
        <w:sz w:val="18"/>
        <w:szCs w:val="18"/>
      </w:rPr>
      <w:t>273</w:t>
    </w:r>
    <w:r>
      <w:rPr>
        <w:spacing w:val="-13"/>
        <w:sz w:val="18"/>
        <w:szCs w:val="18"/>
      </w:rPr>
      <w:t xml:space="preserve"> </w:t>
    </w:r>
    <w:r>
      <w:rPr>
        <w:b/>
        <w:bCs/>
        <w:spacing w:val="-13"/>
        <w:sz w:val="18"/>
        <w:szCs w:val="18"/>
      </w:rPr>
      <w:t>页</w:t>
    </w:r>
    <w:r>
      <w:rPr>
        <w:spacing w:val="-27"/>
        <w:sz w:val="18"/>
        <w:szCs w:val="18"/>
      </w:rPr>
      <w:t xml:space="preserve"> </w:t>
    </w:r>
    <w:r>
      <w:rPr>
        <w:b/>
        <w:bCs/>
        <w:spacing w:val="-13"/>
        <w:sz w:val="18"/>
        <w:szCs w:val="18"/>
      </w:rPr>
      <w:t>共</w:t>
    </w:r>
    <w:r>
      <w:rPr>
        <w:spacing w:val="-39"/>
        <w:sz w:val="18"/>
        <w:szCs w:val="18"/>
      </w:rPr>
      <w:t xml:space="preserve"> </w:t>
    </w:r>
    <w:r>
      <w:rPr>
        <w:b/>
        <w:bCs/>
        <w:spacing w:val="-13"/>
        <w:sz w:val="18"/>
        <w:szCs w:val="18"/>
      </w:rPr>
      <w:t>499</w:t>
    </w:r>
    <w:r>
      <w:rPr>
        <w:spacing w:val="-13"/>
        <w:sz w:val="18"/>
        <w:szCs w:val="18"/>
      </w:rPr>
      <w:t xml:space="preserve"> </w:t>
    </w:r>
    <w:r>
      <w:rPr>
        <w:b/>
        <w:bCs/>
        <w:spacing w:val="-13"/>
        <w:sz w:val="18"/>
        <w:szCs w:val="18"/>
      </w:rPr>
      <w:t>页</w:t>
    </w:r>
  </w:p>
</w:ftr>
</file>

<file path=word/footer2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3E1434">
    <w:pPr>
      <w:spacing w:after="13" w:line="454" w:lineRule="exact"/>
    </w:pPr>
  </w:p>
  <w:p w14:paraId="17FC3C65">
    <w:pPr>
      <w:pStyle w:val="2"/>
      <w:spacing w:line="207" w:lineRule="auto"/>
      <w:ind w:left="5067"/>
      <w:rPr>
        <w:sz w:val="18"/>
        <w:szCs w:val="18"/>
      </w:rPr>
    </w:pPr>
    <w:r>
      <w:rPr>
        <w:b/>
        <w:bCs/>
        <w:spacing w:val="-13"/>
        <w:sz w:val="18"/>
        <w:szCs w:val="18"/>
      </w:rPr>
      <w:t>第</w:t>
    </w:r>
    <w:r>
      <w:rPr>
        <w:spacing w:val="-28"/>
        <w:sz w:val="18"/>
        <w:szCs w:val="18"/>
      </w:rPr>
      <w:t xml:space="preserve"> </w:t>
    </w:r>
    <w:r>
      <w:rPr>
        <w:b/>
        <w:bCs/>
        <w:spacing w:val="-13"/>
        <w:sz w:val="18"/>
        <w:szCs w:val="18"/>
      </w:rPr>
      <w:t>274</w:t>
    </w:r>
    <w:r>
      <w:rPr>
        <w:spacing w:val="-13"/>
        <w:sz w:val="18"/>
        <w:szCs w:val="18"/>
      </w:rPr>
      <w:t xml:space="preserve"> </w:t>
    </w:r>
    <w:r>
      <w:rPr>
        <w:b/>
        <w:bCs/>
        <w:spacing w:val="-13"/>
        <w:sz w:val="18"/>
        <w:szCs w:val="18"/>
      </w:rPr>
      <w:t>页</w:t>
    </w:r>
    <w:r>
      <w:rPr>
        <w:spacing w:val="-27"/>
        <w:sz w:val="18"/>
        <w:szCs w:val="18"/>
      </w:rPr>
      <w:t xml:space="preserve"> </w:t>
    </w:r>
    <w:r>
      <w:rPr>
        <w:b/>
        <w:bCs/>
        <w:spacing w:val="-13"/>
        <w:sz w:val="18"/>
        <w:szCs w:val="18"/>
      </w:rPr>
      <w:t>共</w:t>
    </w:r>
    <w:r>
      <w:rPr>
        <w:spacing w:val="-39"/>
        <w:sz w:val="18"/>
        <w:szCs w:val="18"/>
      </w:rPr>
      <w:t xml:space="preserve"> </w:t>
    </w:r>
    <w:r>
      <w:rPr>
        <w:b/>
        <w:bCs/>
        <w:spacing w:val="-13"/>
        <w:sz w:val="18"/>
        <w:szCs w:val="18"/>
      </w:rPr>
      <w:t>499</w:t>
    </w:r>
    <w:r>
      <w:rPr>
        <w:spacing w:val="-13"/>
        <w:sz w:val="18"/>
        <w:szCs w:val="18"/>
      </w:rPr>
      <w:t xml:space="preserve"> </w:t>
    </w:r>
    <w:r>
      <w:rPr>
        <w:b/>
        <w:bCs/>
        <w:spacing w:val="-13"/>
        <w:sz w:val="18"/>
        <w:szCs w:val="18"/>
      </w:rPr>
      <w:t>页</w:t>
    </w:r>
  </w:p>
</w:ftr>
</file>

<file path=word/footer2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7FE3A3">
    <w:pPr>
      <w:spacing w:after="13" w:line="454" w:lineRule="exact"/>
    </w:pPr>
  </w:p>
  <w:p w14:paraId="7F64C6CA">
    <w:pPr>
      <w:pStyle w:val="2"/>
      <w:spacing w:line="207" w:lineRule="auto"/>
      <w:ind w:left="5067"/>
      <w:rPr>
        <w:sz w:val="18"/>
        <w:szCs w:val="18"/>
      </w:rPr>
    </w:pPr>
    <w:r>
      <w:rPr>
        <w:b/>
        <w:bCs/>
        <w:spacing w:val="-13"/>
        <w:sz w:val="18"/>
        <w:szCs w:val="18"/>
      </w:rPr>
      <w:t>第</w:t>
    </w:r>
    <w:r>
      <w:rPr>
        <w:spacing w:val="-28"/>
        <w:sz w:val="18"/>
        <w:szCs w:val="18"/>
      </w:rPr>
      <w:t xml:space="preserve"> </w:t>
    </w:r>
    <w:r>
      <w:rPr>
        <w:b/>
        <w:bCs/>
        <w:spacing w:val="-13"/>
        <w:sz w:val="18"/>
        <w:szCs w:val="18"/>
      </w:rPr>
      <w:t>275</w:t>
    </w:r>
    <w:r>
      <w:rPr>
        <w:spacing w:val="-13"/>
        <w:sz w:val="18"/>
        <w:szCs w:val="18"/>
      </w:rPr>
      <w:t xml:space="preserve"> </w:t>
    </w:r>
    <w:r>
      <w:rPr>
        <w:b/>
        <w:bCs/>
        <w:spacing w:val="-13"/>
        <w:sz w:val="18"/>
        <w:szCs w:val="18"/>
      </w:rPr>
      <w:t>页</w:t>
    </w:r>
    <w:r>
      <w:rPr>
        <w:spacing w:val="-27"/>
        <w:sz w:val="18"/>
        <w:szCs w:val="18"/>
      </w:rPr>
      <w:t xml:space="preserve"> </w:t>
    </w:r>
    <w:r>
      <w:rPr>
        <w:b/>
        <w:bCs/>
        <w:spacing w:val="-13"/>
        <w:sz w:val="18"/>
        <w:szCs w:val="18"/>
      </w:rPr>
      <w:t>共</w:t>
    </w:r>
    <w:r>
      <w:rPr>
        <w:spacing w:val="-39"/>
        <w:sz w:val="18"/>
        <w:szCs w:val="18"/>
      </w:rPr>
      <w:t xml:space="preserve"> </w:t>
    </w:r>
    <w:r>
      <w:rPr>
        <w:b/>
        <w:bCs/>
        <w:spacing w:val="-13"/>
        <w:sz w:val="18"/>
        <w:szCs w:val="18"/>
      </w:rPr>
      <w:t>499</w:t>
    </w:r>
    <w:r>
      <w:rPr>
        <w:spacing w:val="-13"/>
        <w:sz w:val="18"/>
        <w:szCs w:val="18"/>
      </w:rPr>
      <w:t xml:space="preserve"> </w:t>
    </w:r>
    <w:r>
      <w:rPr>
        <w:b/>
        <w:bCs/>
        <w:spacing w:val="-13"/>
        <w:sz w:val="18"/>
        <w:szCs w:val="18"/>
      </w:rPr>
      <w:t>页</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1C65C5">
    <w:pPr>
      <w:spacing w:after="13" w:line="454" w:lineRule="exact"/>
    </w:pPr>
  </w:p>
  <w:p w14:paraId="11180042">
    <w:pPr>
      <w:pStyle w:val="2"/>
      <w:spacing w:line="207" w:lineRule="auto"/>
      <w:ind w:left="5106"/>
      <w:rPr>
        <w:sz w:val="18"/>
        <w:szCs w:val="18"/>
      </w:rPr>
    </w:pPr>
    <w:r>
      <w:rPr>
        <w:b/>
        <w:bCs/>
        <w:spacing w:val="-13"/>
        <w:sz w:val="18"/>
        <w:szCs w:val="18"/>
      </w:rPr>
      <w:t>第</w:t>
    </w:r>
    <w:r>
      <w:rPr>
        <w:spacing w:val="-28"/>
        <w:sz w:val="18"/>
        <w:szCs w:val="18"/>
      </w:rPr>
      <w:t xml:space="preserve"> </w:t>
    </w:r>
    <w:r>
      <w:rPr>
        <w:b/>
        <w:bCs/>
        <w:spacing w:val="-13"/>
        <w:sz w:val="18"/>
        <w:szCs w:val="18"/>
      </w:rPr>
      <w:t>50</w:t>
    </w:r>
    <w:r>
      <w:rPr>
        <w:spacing w:val="-13"/>
        <w:sz w:val="18"/>
        <w:szCs w:val="18"/>
      </w:rPr>
      <w:t xml:space="preserve"> </w:t>
    </w:r>
    <w:r>
      <w:rPr>
        <w:b/>
        <w:bCs/>
        <w:spacing w:val="-13"/>
        <w:sz w:val="18"/>
        <w:szCs w:val="18"/>
      </w:rPr>
      <w:t>页</w:t>
    </w:r>
    <w:r>
      <w:rPr>
        <w:spacing w:val="-28"/>
        <w:sz w:val="18"/>
        <w:szCs w:val="18"/>
      </w:rPr>
      <w:t xml:space="preserve"> </w:t>
    </w:r>
    <w:r>
      <w:rPr>
        <w:b/>
        <w:bCs/>
        <w:spacing w:val="-13"/>
        <w:sz w:val="18"/>
        <w:szCs w:val="18"/>
      </w:rPr>
      <w:t>共</w:t>
    </w:r>
    <w:r>
      <w:rPr>
        <w:spacing w:val="-38"/>
        <w:sz w:val="18"/>
        <w:szCs w:val="18"/>
      </w:rPr>
      <w:t xml:space="preserve"> </w:t>
    </w:r>
    <w:r>
      <w:rPr>
        <w:b/>
        <w:bCs/>
        <w:spacing w:val="-13"/>
        <w:sz w:val="18"/>
        <w:szCs w:val="18"/>
      </w:rPr>
      <w:t>499</w:t>
    </w:r>
    <w:r>
      <w:rPr>
        <w:spacing w:val="-13"/>
        <w:sz w:val="18"/>
        <w:szCs w:val="18"/>
      </w:rPr>
      <w:t xml:space="preserve"> </w:t>
    </w:r>
    <w:r>
      <w:rPr>
        <w:b/>
        <w:bCs/>
        <w:spacing w:val="-13"/>
        <w:sz w:val="18"/>
        <w:szCs w:val="18"/>
      </w:rPr>
      <w:t>页</w:t>
    </w:r>
  </w:p>
</w:ftr>
</file>

<file path=word/footer2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27BB5A">
    <w:pPr>
      <w:spacing w:after="13" w:line="454" w:lineRule="exact"/>
    </w:pPr>
  </w:p>
  <w:p w14:paraId="1AA43674">
    <w:pPr>
      <w:pStyle w:val="2"/>
      <w:spacing w:line="207" w:lineRule="auto"/>
      <w:ind w:left="5067"/>
      <w:rPr>
        <w:sz w:val="18"/>
        <w:szCs w:val="18"/>
      </w:rPr>
    </w:pPr>
    <w:r>
      <w:rPr>
        <w:b/>
        <w:bCs/>
        <w:spacing w:val="-13"/>
        <w:sz w:val="18"/>
        <w:szCs w:val="18"/>
      </w:rPr>
      <w:t>第</w:t>
    </w:r>
    <w:r>
      <w:rPr>
        <w:spacing w:val="-28"/>
        <w:sz w:val="18"/>
        <w:szCs w:val="18"/>
      </w:rPr>
      <w:t xml:space="preserve"> </w:t>
    </w:r>
    <w:r>
      <w:rPr>
        <w:b/>
        <w:bCs/>
        <w:spacing w:val="-13"/>
        <w:sz w:val="18"/>
        <w:szCs w:val="18"/>
      </w:rPr>
      <w:t>276</w:t>
    </w:r>
    <w:r>
      <w:rPr>
        <w:spacing w:val="-13"/>
        <w:sz w:val="18"/>
        <w:szCs w:val="18"/>
      </w:rPr>
      <w:t xml:space="preserve"> </w:t>
    </w:r>
    <w:r>
      <w:rPr>
        <w:b/>
        <w:bCs/>
        <w:spacing w:val="-13"/>
        <w:sz w:val="18"/>
        <w:szCs w:val="18"/>
      </w:rPr>
      <w:t>页</w:t>
    </w:r>
    <w:r>
      <w:rPr>
        <w:spacing w:val="-27"/>
        <w:sz w:val="18"/>
        <w:szCs w:val="18"/>
      </w:rPr>
      <w:t xml:space="preserve"> </w:t>
    </w:r>
    <w:r>
      <w:rPr>
        <w:b/>
        <w:bCs/>
        <w:spacing w:val="-13"/>
        <w:sz w:val="18"/>
        <w:szCs w:val="18"/>
      </w:rPr>
      <w:t>共</w:t>
    </w:r>
    <w:r>
      <w:rPr>
        <w:spacing w:val="-39"/>
        <w:sz w:val="18"/>
        <w:szCs w:val="18"/>
      </w:rPr>
      <w:t xml:space="preserve"> </w:t>
    </w:r>
    <w:r>
      <w:rPr>
        <w:b/>
        <w:bCs/>
        <w:spacing w:val="-13"/>
        <w:sz w:val="18"/>
        <w:szCs w:val="18"/>
      </w:rPr>
      <w:t>499</w:t>
    </w:r>
    <w:r>
      <w:rPr>
        <w:spacing w:val="-13"/>
        <w:sz w:val="18"/>
        <w:szCs w:val="18"/>
      </w:rPr>
      <w:t xml:space="preserve"> </w:t>
    </w:r>
    <w:r>
      <w:rPr>
        <w:b/>
        <w:bCs/>
        <w:spacing w:val="-13"/>
        <w:sz w:val="18"/>
        <w:szCs w:val="18"/>
      </w:rPr>
      <w:t>页</w:t>
    </w:r>
  </w:p>
</w:ftr>
</file>

<file path=word/footer2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F5E536">
    <w:pPr>
      <w:spacing w:after="13" w:line="454" w:lineRule="exact"/>
    </w:pPr>
  </w:p>
  <w:p w14:paraId="30D1C981">
    <w:pPr>
      <w:pStyle w:val="2"/>
      <w:spacing w:line="207" w:lineRule="auto"/>
      <w:ind w:left="5067"/>
      <w:rPr>
        <w:sz w:val="18"/>
        <w:szCs w:val="18"/>
      </w:rPr>
    </w:pPr>
    <w:r>
      <w:rPr>
        <w:b/>
        <w:bCs/>
        <w:spacing w:val="-13"/>
        <w:sz w:val="18"/>
        <w:szCs w:val="18"/>
      </w:rPr>
      <w:t>第</w:t>
    </w:r>
    <w:r>
      <w:rPr>
        <w:spacing w:val="-28"/>
        <w:sz w:val="18"/>
        <w:szCs w:val="18"/>
      </w:rPr>
      <w:t xml:space="preserve"> </w:t>
    </w:r>
    <w:r>
      <w:rPr>
        <w:b/>
        <w:bCs/>
        <w:spacing w:val="-13"/>
        <w:sz w:val="18"/>
        <w:szCs w:val="18"/>
      </w:rPr>
      <w:t>277</w:t>
    </w:r>
    <w:r>
      <w:rPr>
        <w:spacing w:val="-13"/>
        <w:sz w:val="18"/>
        <w:szCs w:val="18"/>
      </w:rPr>
      <w:t xml:space="preserve"> </w:t>
    </w:r>
    <w:r>
      <w:rPr>
        <w:b/>
        <w:bCs/>
        <w:spacing w:val="-13"/>
        <w:sz w:val="18"/>
        <w:szCs w:val="18"/>
      </w:rPr>
      <w:t>页</w:t>
    </w:r>
    <w:r>
      <w:rPr>
        <w:spacing w:val="-27"/>
        <w:sz w:val="18"/>
        <w:szCs w:val="18"/>
      </w:rPr>
      <w:t xml:space="preserve"> </w:t>
    </w:r>
    <w:r>
      <w:rPr>
        <w:b/>
        <w:bCs/>
        <w:spacing w:val="-13"/>
        <w:sz w:val="18"/>
        <w:szCs w:val="18"/>
      </w:rPr>
      <w:t>共</w:t>
    </w:r>
    <w:r>
      <w:rPr>
        <w:spacing w:val="-39"/>
        <w:sz w:val="18"/>
        <w:szCs w:val="18"/>
      </w:rPr>
      <w:t xml:space="preserve"> </w:t>
    </w:r>
    <w:r>
      <w:rPr>
        <w:b/>
        <w:bCs/>
        <w:spacing w:val="-13"/>
        <w:sz w:val="18"/>
        <w:szCs w:val="18"/>
      </w:rPr>
      <w:t>499</w:t>
    </w:r>
    <w:r>
      <w:rPr>
        <w:spacing w:val="-13"/>
        <w:sz w:val="18"/>
        <w:szCs w:val="18"/>
      </w:rPr>
      <w:t xml:space="preserve"> </w:t>
    </w:r>
    <w:r>
      <w:rPr>
        <w:b/>
        <w:bCs/>
        <w:spacing w:val="-13"/>
        <w:sz w:val="18"/>
        <w:szCs w:val="18"/>
      </w:rPr>
      <w:t>页</w:t>
    </w:r>
  </w:p>
</w:ftr>
</file>

<file path=word/footer2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C4B498">
    <w:pPr>
      <w:spacing w:after="13" w:line="454" w:lineRule="exact"/>
    </w:pPr>
  </w:p>
  <w:p w14:paraId="1BD12848">
    <w:pPr>
      <w:pStyle w:val="2"/>
      <w:spacing w:line="207" w:lineRule="auto"/>
      <w:ind w:left="5067"/>
      <w:rPr>
        <w:sz w:val="18"/>
        <w:szCs w:val="18"/>
      </w:rPr>
    </w:pPr>
    <w:r>
      <w:rPr>
        <w:b/>
        <w:bCs/>
        <w:spacing w:val="-13"/>
        <w:sz w:val="18"/>
        <w:szCs w:val="18"/>
      </w:rPr>
      <w:t>第</w:t>
    </w:r>
    <w:r>
      <w:rPr>
        <w:spacing w:val="-28"/>
        <w:sz w:val="18"/>
        <w:szCs w:val="18"/>
      </w:rPr>
      <w:t xml:space="preserve"> </w:t>
    </w:r>
    <w:r>
      <w:rPr>
        <w:b/>
        <w:bCs/>
        <w:spacing w:val="-13"/>
        <w:sz w:val="18"/>
        <w:szCs w:val="18"/>
      </w:rPr>
      <w:t>278</w:t>
    </w:r>
    <w:r>
      <w:rPr>
        <w:spacing w:val="-13"/>
        <w:sz w:val="18"/>
        <w:szCs w:val="18"/>
      </w:rPr>
      <w:t xml:space="preserve"> </w:t>
    </w:r>
    <w:r>
      <w:rPr>
        <w:b/>
        <w:bCs/>
        <w:spacing w:val="-13"/>
        <w:sz w:val="18"/>
        <w:szCs w:val="18"/>
      </w:rPr>
      <w:t>页</w:t>
    </w:r>
    <w:r>
      <w:rPr>
        <w:spacing w:val="-27"/>
        <w:sz w:val="18"/>
        <w:szCs w:val="18"/>
      </w:rPr>
      <w:t xml:space="preserve"> </w:t>
    </w:r>
    <w:r>
      <w:rPr>
        <w:b/>
        <w:bCs/>
        <w:spacing w:val="-13"/>
        <w:sz w:val="18"/>
        <w:szCs w:val="18"/>
      </w:rPr>
      <w:t>共</w:t>
    </w:r>
    <w:r>
      <w:rPr>
        <w:spacing w:val="-39"/>
        <w:sz w:val="18"/>
        <w:szCs w:val="18"/>
      </w:rPr>
      <w:t xml:space="preserve"> </w:t>
    </w:r>
    <w:r>
      <w:rPr>
        <w:b/>
        <w:bCs/>
        <w:spacing w:val="-13"/>
        <w:sz w:val="18"/>
        <w:szCs w:val="18"/>
      </w:rPr>
      <w:t>499</w:t>
    </w:r>
    <w:r>
      <w:rPr>
        <w:spacing w:val="-13"/>
        <w:sz w:val="18"/>
        <w:szCs w:val="18"/>
      </w:rPr>
      <w:t xml:space="preserve"> </w:t>
    </w:r>
    <w:r>
      <w:rPr>
        <w:b/>
        <w:bCs/>
        <w:spacing w:val="-13"/>
        <w:sz w:val="18"/>
        <w:szCs w:val="18"/>
      </w:rPr>
      <w:t>页</w:t>
    </w:r>
  </w:p>
</w:ftr>
</file>

<file path=word/footer2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DFB320">
    <w:pPr>
      <w:spacing w:after="13" w:line="454" w:lineRule="exact"/>
    </w:pPr>
  </w:p>
  <w:p w14:paraId="41573B05">
    <w:pPr>
      <w:pStyle w:val="2"/>
      <w:spacing w:line="207" w:lineRule="auto"/>
      <w:ind w:left="5067"/>
      <w:rPr>
        <w:sz w:val="18"/>
        <w:szCs w:val="18"/>
      </w:rPr>
    </w:pPr>
    <w:r>
      <w:rPr>
        <w:b/>
        <w:bCs/>
        <w:spacing w:val="-13"/>
        <w:sz w:val="18"/>
        <w:szCs w:val="18"/>
      </w:rPr>
      <w:t>第</w:t>
    </w:r>
    <w:r>
      <w:rPr>
        <w:spacing w:val="-28"/>
        <w:sz w:val="18"/>
        <w:szCs w:val="18"/>
      </w:rPr>
      <w:t xml:space="preserve"> </w:t>
    </w:r>
    <w:r>
      <w:rPr>
        <w:b/>
        <w:bCs/>
        <w:spacing w:val="-13"/>
        <w:sz w:val="18"/>
        <w:szCs w:val="18"/>
      </w:rPr>
      <w:t>279</w:t>
    </w:r>
    <w:r>
      <w:rPr>
        <w:spacing w:val="-13"/>
        <w:sz w:val="18"/>
        <w:szCs w:val="18"/>
      </w:rPr>
      <w:t xml:space="preserve"> </w:t>
    </w:r>
    <w:r>
      <w:rPr>
        <w:b/>
        <w:bCs/>
        <w:spacing w:val="-13"/>
        <w:sz w:val="18"/>
        <w:szCs w:val="18"/>
      </w:rPr>
      <w:t>页</w:t>
    </w:r>
    <w:r>
      <w:rPr>
        <w:spacing w:val="-27"/>
        <w:sz w:val="18"/>
        <w:szCs w:val="18"/>
      </w:rPr>
      <w:t xml:space="preserve"> </w:t>
    </w:r>
    <w:r>
      <w:rPr>
        <w:b/>
        <w:bCs/>
        <w:spacing w:val="-13"/>
        <w:sz w:val="18"/>
        <w:szCs w:val="18"/>
      </w:rPr>
      <w:t>共</w:t>
    </w:r>
    <w:r>
      <w:rPr>
        <w:spacing w:val="-39"/>
        <w:sz w:val="18"/>
        <w:szCs w:val="18"/>
      </w:rPr>
      <w:t xml:space="preserve"> </w:t>
    </w:r>
    <w:r>
      <w:rPr>
        <w:b/>
        <w:bCs/>
        <w:spacing w:val="-13"/>
        <w:sz w:val="18"/>
        <w:szCs w:val="18"/>
      </w:rPr>
      <w:t>499</w:t>
    </w:r>
    <w:r>
      <w:rPr>
        <w:spacing w:val="-13"/>
        <w:sz w:val="18"/>
        <w:szCs w:val="18"/>
      </w:rPr>
      <w:t xml:space="preserve"> </w:t>
    </w:r>
    <w:r>
      <w:rPr>
        <w:b/>
        <w:bCs/>
        <w:spacing w:val="-13"/>
        <w:sz w:val="18"/>
        <w:szCs w:val="18"/>
      </w:rPr>
      <w:t>页</w:t>
    </w:r>
  </w:p>
</w:ftr>
</file>

<file path=word/footer2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7843A7">
    <w:pPr>
      <w:spacing w:after="13" w:line="454" w:lineRule="exact"/>
    </w:pPr>
  </w:p>
  <w:p w14:paraId="4CA3CA1D">
    <w:pPr>
      <w:pStyle w:val="2"/>
      <w:spacing w:line="207" w:lineRule="auto"/>
      <w:ind w:left="5067"/>
      <w:rPr>
        <w:sz w:val="18"/>
        <w:szCs w:val="18"/>
      </w:rPr>
    </w:pPr>
    <w:r>
      <w:rPr>
        <w:b/>
        <w:bCs/>
        <w:spacing w:val="-13"/>
        <w:sz w:val="18"/>
        <w:szCs w:val="18"/>
      </w:rPr>
      <w:t>第</w:t>
    </w:r>
    <w:r>
      <w:rPr>
        <w:spacing w:val="-28"/>
        <w:sz w:val="18"/>
        <w:szCs w:val="18"/>
      </w:rPr>
      <w:t xml:space="preserve"> </w:t>
    </w:r>
    <w:r>
      <w:rPr>
        <w:b/>
        <w:bCs/>
        <w:spacing w:val="-13"/>
        <w:sz w:val="18"/>
        <w:szCs w:val="18"/>
      </w:rPr>
      <w:t>280</w:t>
    </w:r>
    <w:r>
      <w:rPr>
        <w:spacing w:val="-13"/>
        <w:sz w:val="18"/>
        <w:szCs w:val="18"/>
      </w:rPr>
      <w:t xml:space="preserve"> </w:t>
    </w:r>
    <w:r>
      <w:rPr>
        <w:b/>
        <w:bCs/>
        <w:spacing w:val="-13"/>
        <w:sz w:val="18"/>
        <w:szCs w:val="18"/>
      </w:rPr>
      <w:t>页</w:t>
    </w:r>
    <w:r>
      <w:rPr>
        <w:spacing w:val="-27"/>
        <w:sz w:val="18"/>
        <w:szCs w:val="18"/>
      </w:rPr>
      <w:t xml:space="preserve"> </w:t>
    </w:r>
    <w:r>
      <w:rPr>
        <w:b/>
        <w:bCs/>
        <w:spacing w:val="-13"/>
        <w:sz w:val="18"/>
        <w:szCs w:val="18"/>
      </w:rPr>
      <w:t>共</w:t>
    </w:r>
    <w:r>
      <w:rPr>
        <w:spacing w:val="-39"/>
        <w:sz w:val="18"/>
        <w:szCs w:val="18"/>
      </w:rPr>
      <w:t xml:space="preserve"> </w:t>
    </w:r>
    <w:r>
      <w:rPr>
        <w:b/>
        <w:bCs/>
        <w:spacing w:val="-13"/>
        <w:sz w:val="18"/>
        <w:szCs w:val="18"/>
      </w:rPr>
      <w:t>499</w:t>
    </w:r>
    <w:r>
      <w:rPr>
        <w:spacing w:val="-13"/>
        <w:sz w:val="18"/>
        <w:szCs w:val="18"/>
      </w:rPr>
      <w:t xml:space="preserve"> </w:t>
    </w:r>
    <w:r>
      <w:rPr>
        <w:b/>
        <w:bCs/>
        <w:spacing w:val="-13"/>
        <w:sz w:val="18"/>
        <w:szCs w:val="18"/>
      </w:rPr>
      <w:t>页</w:t>
    </w:r>
  </w:p>
</w:ftr>
</file>

<file path=word/footer2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35CF7E">
    <w:pPr>
      <w:spacing w:after="13" w:line="454" w:lineRule="exact"/>
    </w:pPr>
  </w:p>
  <w:p w14:paraId="27FCBEFE">
    <w:pPr>
      <w:pStyle w:val="2"/>
      <w:spacing w:line="207" w:lineRule="auto"/>
      <w:ind w:left="5067"/>
      <w:rPr>
        <w:sz w:val="18"/>
        <w:szCs w:val="18"/>
      </w:rPr>
    </w:pPr>
    <w:r>
      <w:rPr>
        <w:b/>
        <w:bCs/>
        <w:spacing w:val="-13"/>
        <w:sz w:val="18"/>
        <w:szCs w:val="18"/>
      </w:rPr>
      <w:t>第</w:t>
    </w:r>
    <w:r>
      <w:rPr>
        <w:spacing w:val="-28"/>
        <w:sz w:val="18"/>
        <w:szCs w:val="18"/>
      </w:rPr>
      <w:t xml:space="preserve"> </w:t>
    </w:r>
    <w:r>
      <w:rPr>
        <w:b/>
        <w:bCs/>
        <w:spacing w:val="-13"/>
        <w:sz w:val="18"/>
        <w:szCs w:val="18"/>
      </w:rPr>
      <w:t>281</w:t>
    </w:r>
    <w:r>
      <w:rPr>
        <w:spacing w:val="-13"/>
        <w:sz w:val="18"/>
        <w:szCs w:val="18"/>
      </w:rPr>
      <w:t xml:space="preserve"> </w:t>
    </w:r>
    <w:r>
      <w:rPr>
        <w:b/>
        <w:bCs/>
        <w:spacing w:val="-13"/>
        <w:sz w:val="18"/>
        <w:szCs w:val="18"/>
      </w:rPr>
      <w:t>页</w:t>
    </w:r>
    <w:r>
      <w:rPr>
        <w:spacing w:val="-27"/>
        <w:sz w:val="18"/>
        <w:szCs w:val="18"/>
      </w:rPr>
      <w:t xml:space="preserve"> </w:t>
    </w:r>
    <w:r>
      <w:rPr>
        <w:b/>
        <w:bCs/>
        <w:spacing w:val="-13"/>
        <w:sz w:val="18"/>
        <w:szCs w:val="18"/>
      </w:rPr>
      <w:t>共</w:t>
    </w:r>
    <w:r>
      <w:rPr>
        <w:spacing w:val="-39"/>
        <w:sz w:val="18"/>
        <w:szCs w:val="18"/>
      </w:rPr>
      <w:t xml:space="preserve"> </w:t>
    </w:r>
    <w:r>
      <w:rPr>
        <w:b/>
        <w:bCs/>
        <w:spacing w:val="-13"/>
        <w:sz w:val="18"/>
        <w:szCs w:val="18"/>
      </w:rPr>
      <w:t>499</w:t>
    </w:r>
    <w:r>
      <w:rPr>
        <w:spacing w:val="-13"/>
        <w:sz w:val="18"/>
        <w:szCs w:val="18"/>
      </w:rPr>
      <w:t xml:space="preserve"> </w:t>
    </w:r>
    <w:r>
      <w:rPr>
        <w:b/>
        <w:bCs/>
        <w:spacing w:val="-13"/>
        <w:sz w:val="18"/>
        <w:szCs w:val="18"/>
      </w:rPr>
      <w:t>页</w:t>
    </w:r>
  </w:p>
</w:ftr>
</file>

<file path=word/footer2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959ACE">
    <w:pPr>
      <w:spacing w:after="13" w:line="454" w:lineRule="exact"/>
    </w:pPr>
  </w:p>
  <w:p w14:paraId="0963FF28">
    <w:pPr>
      <w:pStyle w:val="2"/>
      <w:spacing w:line="207" w:lineRule="auto"/>
      <w:ind w:left="5067"/>
      <w:rPr>
        <w:sz w:val="18"/>
        <w:szCs w:val="18"/>
      </w:rPr>
    </w:pPr>
    <w:r>
      <w:rPr>
        <w:b/>
        <w:bCs/>
        <w:spacing w:val="-13"/>
        <w:sz w:val="18"/>
        <w:szCs w:val="18"/>
      </w:rPr>
      <w:t>第</w:t>
    </w:r>
    <w:r>
      <w:rPr>
        <w:spacing w:val="-28"/>
        <w:sz w:val="18"/>
        <w:szCs w:val="18"/>
      </w:rPr>
      <w:t xml:space="preserve"> </w:t>
    </w:r>
    <w:r>
      <w:rPr>
        <w:b/>
        <w:bCs/>
        <w:spacing w:val="-13"/>
        <w:sz w:val="18"/>
        <w:szCs w:val="18"/>
      </w:rPr>
      <w:t>282</w:t>
    </w:r>
    <w:r>
      <w:rPr>
        <w:spacing w:val="-13"/>
        <w:sz w:val="18"/>
        <w:szCs w:val="18"/>
      </w:rPr>
      <w:t xml:space="preserve"> </w:t>
    </w:r>
    <w:r>
      <w:rPr>
        <w:b/>
        <w:bCs/>
        <w:spacing w:val="-13"/>
        <w:sz w:val="18"/>
        <w:szCs w:val="18"/>
      </w:rPr>
      <w:t>页</w:t>
    </w:r>
    <w:r>
      <w:rPr>
        <w:spacing w:val="-27"/>
        <w:sz w:val="18"/>
        <w:szCs w:val="18"/>
      </w:rPr>
      <w:t xml:space="preserve"> </w:t>
    </w:r>
    <w:r>
      <w:rPr>
        <w:b/>
        <w:bCs/>
        <w:spacing w:val="-13"/>
        <w:sz w:val="18"/>
        <w:szCs w:val="18"/>
      </w:rPr>
      <w:t>共</w:t>
    </w:r>
    <w:r>
      <w:rPr>
        <w:spacing w:val="-39"/>
        <w:sz w:val="18"/>
        <w:szCs w:val="18"/>
      </w:rPr>
      <w:t xml:space="preserve"> </w:t>
    </w:r>
    <w:r>
      <w:rPr>
        <w:b/>
        <w:bCs/>
        <w:spacing w:val="-13"/>
        <w:sz w:val="18"/>
        <w:szCs w:val="18"/>
      </w:rPr>
      <w:t>499</w:t>
    </w:r>
    <w:r>
      <w:rPr>
        <w:spacing w:val="-13"/>
        <w:sz w:val="18"/>
        <w:szCs w:val="18"/>
      </w:rPr>
      <w:t xml:space="preserve"> </w:t>
    </w:r>
    <w:r>
      <w:rPr>
        <w:b/>
        <w:bCs/>
        <w:spacing w:val="-13"/>
        <w:sz w:val="18"/>
        <w:szCs w:val="18"/>
      </w:rPr>
      <w:t>页</w:t>
    </w:r>
  </w:p>
</w:ftr>
</file>

<file path=word/footer2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1D0BC3">
    <w:pPr>
      <w:spacing w:after="13" w:line="454" w:lineRule="exact"/>
    </w:pPr>
  </w:p>
  <w:p w14:paraId="41EF6346">
    <w:pPr>
      <w:pStyle w:val="2"/>
      <w:spacing w:line="207" w:lineRule="auto"/>
      <w:ind w:left="5067"/>
      <w:rPr>
        <w:sz w:val="18"/>
        <w:szCs w:val="18"/>
      </w:rPr>
    </w:pPr>
    <w:r>
      <w:rPr>
        <w:b/>
        <w:bCs/>
        <w:spacing w:val="-13"/>
        <w:sz w:val="18"/>
        <w:szCs w:val="18"/>
      </w:rPr>
      <w:t>第</w:t>
    </w:r>
    <w:r>
      <w:rPr>
        <w:spacing w:val="-28"/>
        <w:sz w:val="18"/>
        <w:szCs w:val="18"/>
      </w:rPr>
      <w:t xml:space="preserve"> </w:t>
    </w:r>
    <w:r>
      <w:rPr>
        <w:b/>
        <w:bCs/>
        <w:spacing w:val="-13"/>
        <w:sz w:val="18"/>
        <w:szCs w:val="18"/>
      </w:rPr>
      <w:t>283</w:t>
    </w:r>
    <w:r>
      <w:rPr>
        <w:spacing w:val="-13"/>
        <w:sz w:val="18"/>
        <w:szCs w:val="18"/>
      </w:rPr>
      <w:t xml:space="preserve"> </w:t>
    </w:r>
    <w:r>
      <w:rPr>
        <w:b/>
        <w:bCs/>
        <w:spacing w:val="-13"/>
        <w:sz w:val="18"/>
        <w:szCs w:val="18"/>
      </w:rPr>
      <w:t>页</w:t>
    </w:r>
    <w:r>
      <w:rPr>
        <w:spacing w:val="-27"/>
        <w:sz w:val="18"/>
        <w:szCs w:val="18"/>
      </w:rPr>
      <w:t xml:space="preserve"> </w:t>
    </w:r>
    <w:r>
      <w:rPr>
        <w:b/>
        <w:bCs/>
        <w:spacing w:val="-13"/>
        <w:sz w:val="18"/>
        <w:szCs w:val="18"/>
      </w:rPr>
      <w:t>共</w:t>
    </w:r>
    <w:r>
      <w:rPr>
        <w:spacing w:val="-39"/>
        <w:sz w:val="18"/>
        <w:szCs w:val="18"/>
      </w:rPr>
      <w:t xml:space="preserve"> </w:t>
    </w:r>
    <w:r>
      <w:rPr>
        <w:b/>
        <w:bCs/>
        <w:spacing w:val="-13"/>
        <w:sz w:val="18"/>
        <w:szCs w:val="18"/>
      </w:rPr>
      <w:t>499</w:t>
    </w:r>
    <w:r>
      <w:rPr>
        <w:spacing w:val="-13"/>
        <w:sz w:val="18"/>
        <w:szCs w:val="18"/>
      </w:rPr>
      <w:t xml:space="preserve"> </w:t>
    </w:r>
    <w:r>
      <w:rPr>
        <w:b/>
        <w:bCs/>
        <w:spacing w:val="-13"/>
        <w:sz w:val="18"/>
        <w:szCs w:val="18"/>
      </w:rPr>
      <w:t>页</w:t>
    </w:r>
  </w:p>
</w:ftr>
</file>

<file path=word/footer2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EAA874">
    <w:pPr>
      <w:spacing w:after="13" w:line="454" w:lineRule="exact"/>
    </w:pPr>
  </w:p>
  <w:p w14:paraId="6550D836">
    <w:pPr>
      <w:pStyle w:val="2"/>
      <w:spacing w:line="207" w:lineRule="auto"/>
      <w:ind w:left="5067"/>
      <w:rPr>
        <w:sz w:val="18"/>
        <w:szCs w:val="18"/>
      </w:rPr>
    </w:pPr>
    <w:r>
      <w:rPr>
        <w:b/>
        <w:bCs/>
        <w:spacing w:val="-13"/>
        <w:sz w:val="18"/>
        <w:szCs w:val="18"/>
      </w:rPr>
      <w:t>第</w:t>
    </w:r>
    <w:r>
      <w:rPr>
        <w:spacing w:val="-28"/>
        <w:sz w:val="18"/>
        <w:szCs w:val="18"/>
      </w:rPr>
      <w:t xml:space="preserve"> </w:t>
    </w:r>
    <w:r>
      <w:rPr>
        <w:b/>
        <w:bCs/>
        <w:spacing w:val="-13"/>
        <w:sz w:val="18"/>
        <w:szCs w:val="18"/>
      </w:rPr>
      <w:t>284</w:t>
    </w:r>
    <w:r>
      <w:rPr>
        <w:spacing w:val="-13"/>
        <w:sz w:val="18"/>
        <w:szCs w:val="18"/>
      </w:rPr>
      <w:t xml:space="preserve"> </w:t>
    </w:r>
    <w:r>
      <w:rPr>
        <w:b/>
        <w:bCs/>
        <w:spacing w:val="-13"/>
        <w:sz w:val="18"/>
        <w:szCs w:val="18"/>
      </w:rPr>
      <w:t>页</w:t>
    </w:r>
    <w:r>
      <w:rPr>
        <w:spacing w:val="-27"/>
        <w:sz w:val="18"/>
        <w:szCs w:val="18"/>
      </w:rPr>
      <w:t xml:space="preserve"> </w:t>
    </w:r>
    <w:r>
      <w:rPr>
        <w:b/>
        <w:bCs/>
        <w:spacing w:val="-13"/>
        <w:sz w:val="18"/>
        <w:szCs w:val="18"/>
      </w:rPr>
      <w:t>共</w:t>
    </w:r>
    <w:r>
      <w:rPr>
        <w:spacing w:val="-39"/>
        <w:sz w:val="18"/>
        <w:szCs w:val="18"/>
      </w:rPr>
      <w:t xml:space="preserve"> </w:t>
    </w:r>
    <w:r>
      <w:rPr>
        <w:b/>
        <w:bCs/>
        <w:spacing w:val="-13"/>
        <w:sz w:val="18"/>
        <w:szCs w:val="18"/>
      </w:rPr>
      <w:t>499</w:t>
    </w:r>
    <w:r>
      <w:rPr>
        <w:spacing w:val="-13"/>
        <w:sz w:val="18"/>
        <w:szCs w:val="18"/>
      </w:rPr>
      <w:t xml:space="preserve"> </w:t>
    </w:r>
    <w:r>
      <w:rPr>
        <w:b/>
        <w:bCs/>
        <w:spacing w:val="-13"/>
        <w:sz w:val="18"/>
        <w:szCs w:val="18"/>
      </w:rPr>
      <w:t>页</w:t>
    </w:r>
  </w:p>
</w:ftr>
</file>

<file path=word/footer2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FD85C1">
    <w:pPr>
      <w:spacing w:after="13" w:line="454" w:lineRule="exact"/>
    </w:pPr>
  </w:p>
  <w:p w14:paraId="6C4C97A5">
    <w:pPr>
      <w:pStyle w:val="2"/>
      <w:spacing w:line="207" w:lineRule="auto"/>
      <w:ind w:left="5067"/>
      <w:rPr>
        <w:sz w:val="18"/>
        <w:szCs w:val="18"/>
      </w:rPr>
    </w:pPr>
    <w:r>
      <w:rPr>
        <w:b/>
        <w:bCs/>
        <w:spacing w:val="-13"/>
        <w:sz w:val="18"/>
        <w:szCs w:val="18"/>
      </w:rPr>
      <w:t>第</w:t>
    </w:r>
    <w:r>
      <w:rPr>
        <w:spacing w:val="-28"/>
        <w:sz w:val="18"/>
        <w:szCs w:val="18"/>
      </w:rPr>
      <w:t xml:space="preserve"> </w:t>
    </w:r>
    <w:r>
      <w:rPr>
        <w:b/>
        <w:bCs/>
        <w:spacing w:val="-13"/>
        <w:sz w:val="18"/>
        <w:szCs w:val="18"/>
      </w:rPr>
      <w:t>285</w:t>
    </w:r>
    <w:r>
      <w:rPr>
        <w:spacing w:val="-13"/>
        <w:sz w:val="18"/>
        <w:szCs w:val="18"/>
      </w:rPr>
      <w:t xml:space="preserve"> </w:t>
    </w:r>
    <w:r>
      <w:rPr>
        <w:b/>
        <w:bCs/>
        <w:spacing w:val="-13"/>
        <w:sz w:val="18"/>
        <w:szCs w:val="18"/>
      </w:rPr>
      <w:t>页</w:t>
    </w:r>
    <w:r>
      <w:rPr>
        <w:spacing w:val="-27"/>
        <w:sz w:val="18"/>
        <w:szCs w:val="18"/>
      </w:rPr>
      <w:t xml:space="preserve"> </w:t>
    </w:r>
    <w:r>
      <w:rPr>
        <w:b/>
        <w:bCs/>
        <w:spacing w:val="-13"/>
        <w:sz w:val="18"/>
        <w:szCs w:val="18"/>
      </w:rPr>
      <w:t>共</w:t>
    </w:r>
    <w:r>
      <w:rPr>
        <w:spacing w:val="-39"/>
        <w:sz w:val="18"/>
        <w:szCs w:val="18"/>
      </w:rPr>
      <w:t xml:space="preserve"> </w:t>
    </w:r>
    <w:r>
      <w:rPr>
        <w:b/>
        <w:bCs/>
        <w:spacing w:val="-13"/>
        <w:sz w:val="18"/>
        <w:szCs w:val="18"/>
      </w:rPr>
      <w:t>499</w:t>
    </w:r>
    <w:r>
      <w:rPr>
        <w:spacing w:val="-13"/>
        <w:sz w:val="18"/>
        <w:szCs w:val="18"/>
      </w:rPr>
      <w:t xml:space="preserve"> </w:t>
    </w:r>
    <w:r>
      <w:rPr>
        <w:b/>
        <w:bCs/>
        <w:spacing w:val="-13"/>
        <w:sz w:val="18"/>
        <w:szCs w:val="18"/>
      </w:rPr>
      <w:t>页</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F7B0DA">
    <w:pPr>
      <w:spacing w:after="13" w:line="454" w:lineRule="exact"/>
    </w:pPr>
  </w:p>
  <w:p w14:paraId="59BDF4FA">
    <w:pPr>
      <w:pStyle w:val="2"/>
      <w:spacing w:line="207" w:lineRule="auto"/>
      <w:ind w:left="5106"/>
      <w:rPr>
        <w:sz w:val="18"/>
        <w:szCs w:val="18"/>
      </w:rPr>
    </w:pPr>
    <w:r>
      <w:rPr>
        <w:b/>
        <w:bCs/>
        <w:spacing w:val="-13"/>
        <w:sz w:val="18"/>
        <w:szCs w:val="18"/>
      </w:rPr>
      <w:t>第</w:t>
    </w:r>
    <w:r>
      <w:rPr>
        <w:spacing w:val="-28"/>
        <w:sz w:val="18"/>
        <w:szCs w:val="18"/>
      </w:rPr>
      <w:t xml:space="preserve"> </w:t>
    </w:r>
    <w:r>
      <w:rPr>
        <w:b/>
        <w:bCs/>
        <w:spacing w:val="-13"/>
        <w:sz w:val="18"/>
        <w:szCs w:val="18"/>
      </w:rPr>
      <w:t>51</w:t>
    </w:r>
    <w:r>
      <w:rPr>
        <w:spacing w:val="-13"/>
        <w:sz w:val="18"/>
        <w:szCs w:val="18"/>
      </w:rPr>
      <w:t xml:space="preserve"> </w:t>
    </w:r>
    <w:r>
      <w:rPr>
        <w:b/>
        <w:bCs/>
        <w:spacing w:val="-13"/>
        <w:sz w:val="18"/>
        <w:szCs w:val="18"/>
      </w:rPr>
      <w:t>页</w:t>
    </w:r>
    <w:r>
      <w:rPr>
        <w:spacing w:val="-28"/>
        <w:sz w:val="18"/>
        <w:szCs w:val="18"/>
      </w:rPr>
      <w:t xml:space="preserve"> </w:t>
    </w:r>
    <w:r>
      <w:rPr>
        <w:b/>
        <w:bCs/>
        <w:spacing w:val="-13"/>
        <w:sz w:val="18"/>
        <w:szCs w:val="18"/>
      </w:rPr>
      <w:t>共</w:t>
    </w:r>
    <w:r>
      <w:rPr>
        <w:spacing w:val="-38"/>
        <w:sz w:val="18"/>
        <w:szCs w:val="18"/>
      </w:rPr>
      <w:t xml:space="preserve"> </w:t>
    </w:r>
    <w:r>
      <w:rPr>
        <w:b/>
        <w:bCs/>
        <w:spacing w:val="-13"/>
        <w:sz w:val="18"/>
        <w:szCs w:val="18"/>
      </w:rPr>
      <w:t>499</w:t>
    </w:r>
    <w:r>
      <w:rPr>
        <w:spacing w:val="-13"/>
        <w:sz w:val="18"/>
        <w:szCs w:val="18"/>
      </w:rPr>
      <w:t xml:space="preserve"> </w:t>
    </w:r>
    <w:r>
      <w:rPr>
        <w:b/>
        <w:bCs/>
        <w:spacing w:val="-13"/>
        <w:sz w:val="18"/>
        <w:szCs w:val="18"/>
      </w:rPr>
      <w:t>页</w:t>
    </w:r>
  </w:p>
</w:ftr>
</file>

<file path=word/footer2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086F96">
    <w:pPr>
      <w:spacing w:after="13" w:line="454" w:lineRule="exact"/>
    </w:pPr>
  </w:p>
  <w:p w14:paraId="3209FA19">
    <w:pPr>
      <w:pStyle w:val="2"/>
      <w:spacing w:line="207" w:lineRule="auto"/>
      <w:ind w:left="5067"/>
      <w:rPr>
        <w:sz w:val="18"/>
        <w:szCs w:val="18"/>
      </w:rPr>
    </w:pPr>
    <w:r>
      <w:rPr>
        <w:b/>
        <w:bCs/>
        <w:spacing w:val="-13"/>
        <w:sz w:val="18"/>
        <w:szCs w:val="18"/>
      </w:rPr>
      <w:t>第</w:t>
    </w:r>
    <w:r>
      <w:rPr>
        <w:spacing w:val="-28"/>
        <w:sz w:val="18"/>
        <w:szCs w:val="18"/>
      </w:rPr>
      <w:t xml:space="preserve"> </w:t>
    </w:r>
    <w:r>
      <w:rPr>
        <w:b/>
        <w:bCs/>
        <w:spacing w:val="-13"/>
        <w:sz w:val="18"/>
        <w:szCs w:val="18"/>
      </w:rPr>
      <w:t>286</w:t>
    </w:r>
    <w:r>
      <w:rPr>
        <w:spacing w:val="-13"/>
        <w:sz w:val="18"/>
        <w:szCs w:val="18"/>
      </w:rPr>
      <w:t xml:space="preserve"> </w:t>
    </w:r>
    <w:r>
      <w:rPr>
        <w:b/>
        <w:bCs/>
        <w:spacing w:val="-13"/>
        <w:sz w:val="18"/>
        <w:szCs w:val="18"/>
      </w:rPr>
      <w:t>页</w:t>
    </w:r>
    <w:r>
      <w:rPr>
        <w:spacing w:val="-27"/>
        <w:sz w:val="18"/>
        <w:szCs w:val="18"/>
      </w:rPr>
      <w:t xml:space="preserve"> </w:t>
    </w:r>
    <w:r>
      <w:rPr>
        <w:b/>
        <w:bCs/>
        <w:spacing w:val="-13"/>
        <w:sz w:val="18"/>
        <w:szCs w:val="18"/>
      </w:rPr>
      <w:t>共</w:t>
    </w:r>
    <w:r>
      <w:rPr>
        <w:spacing w:val="-39"/>
        <w:sz w:val="18"/>
        <w:szCs w:val="18"/>
      </w:rPr>
      <w:t xml:space="preserve"> </w:t>
    </w:r>
    <w:r>
      <w:rPr>
        <w:b/>
        <w:bCs/>
        <w:spacing w:val="-13"/>
        <w:sz w:val="18"/>
        <w:szCs w:val="18"/>
      </w:rPr>
      <w:t>499</w:t>
    </w:r>
    <w:r>
      <w:rPr>
        <w:spacing w:val="-13"/>
        <w:sz w:val="18"/>
        <w:szCs w:val="18"/>
      </w:rPr>
      <w:t xml:space="preserve"> </w:t>
    </w:r>
    <w:r>
      <w:rPr>
        <w:b/>
        <w:bCs/>
        <w:spacing w:val="-13"/>
        <w:sz w:val="18"/>
        <w:szCs w:val="18"/>
      </w:rPr>
      <w:t>页</w:t>
    </w:r>
  </w:p>
</w:ftr>
</file>

<file path=word/footer2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A83E81">
    <w:pPr>
      <w:spacing w:after="13" w:line="454" w:lineRule="exact"/>
    </w:pPr>
  </w:p>
  <w:p w14:paraId="6D50A40F">
    <w:pPr>
      <w:pStyle w:val="2"/>
      <w:spacing w:line="207" w:lineRule="auto"/>
      <w:ind w:left="5067"/>
      <w:rPr>
        <w:sz w:val="18"/>
        <w:szCs w:val="18"/>
      </w:rPr>
    </w:pPr>
    <w:r>
      <w:rPr>
        <w:b/>
        <w:bCs/>
        <w:spacing w:val="-13"/>
        <w:sz w:val="18"/>
        <w:szCs w:val="18"/>
      </w:rPr>
      <w:t>第</w:t>
    </w:r>
    <w:r>
      <w:rPr>
        <w:spacing w:val="-28"/>
        <w:sz w:val="18"/>
        <w:szCs w:val="18"/>
      </w:rPr>
      <w:t xml:space="preserve"> </w:t>
    </w:r>
    <w:r>
      <w:rPr>
        <w:b/>
        <w:bCs/>
        <w:spacing w:val="-13"/>
        <w:sz w:val="18"/>
        <w:szCs w:val="18"/>
      </w:rPr>
      <w:t>287</w:t>
    </w:r>
    <w:r>
      <w:rPr>
        <w:spacing w:val="-13"/>
        <w:sz w:val="18"/>
        <w:szCs w:val="18"/>
      </w:rPr>
      <w:t xml:space="preserve"> </w:t>
    </w:r>
    <w:r>
      <w:rPr>
        <w:b/>
        <w:bCs/>
        <w:spacing w:val="-13"/>
        <w:sz w:val="18"/>
        <w:szCs w:val="18"/>
      </w:rPr>
      <w:t>页</w:t>
    </w:r>
    <w:r>
      <w:rPr>
        <w:spacing w:val="-27"/>
        <w:sz w:val="18"/>
        <w:szCs w:val="18"/>
      </w:rPr>
      <w:t xml:space="preserve"> </w:t>
    </w:r>
    <w:r>
      <w:rPr>
        <w:b/>
        <w:bCs/>
        <w:spacing w:val="-13"/>
        <w:sz w:val="18"/>
        <w:szCs w:val="18"/>
      </w:rPr>
      <w:t>共</w:t>
    </w:r>
    <w:r>
      <w:rPr>
        <w:spacing w:val="-39"/>
        <w:sz w:val="18"/>
        <w:szCs w:val="18"/>
      </w:rPr>
      <w:t xml:space="preserve"> </w:t>
    </w:r>
    <w:r>
      <w:rPr>
        <w:b/>
        <w:bCs/>
        <w:spacing w:val="-13"/>
        <w:sz w:val="18"/>
        <w:szCs w:val="18"/>
      </w:rPr>
      <w:t>499</w:t>
    </w:r>
    <w:r>
      <w:rPr>
        <w:spacing w:val="-13"/>
        <w:sz w:val="18"/>
        <w:szCs w:val="18"/>
      </w:rPr>
      <w:t xml:space="preserve"> </w:t>
    </w:r>
    <w:r>
      <w:rPr>
        <w:b/>
        <w:bCs/>
        <w:spacing w:val="-13"/>
        <w:sz w:val="18"/>
        <w:szCs w:val="18"/>
      </w:rPr>
      <w:t>页</w:t>
    </w:r>
  </w:p>
</w:ftr>
</file>

<file path=word/footer2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BBAAA7">
    <w:pPr>
      <w:spacing w:after="13" w:line="454" w:lineRule="exact"/>
    </w:pPr>
  </w:p>
  <w:p w14:paraId="4BD124A7">
    <w:pPr>
      <w:pStyle w:val="2"/>
      <w:spacing w:line="207" w:lineRule="auto"/>
      <w:ind w:left="5067"/>
      <w:rPr>
        <w:sz w:val="18"/>
        <w:szCs w:val="18"/>
      </w:rPr>
    </w:pPr>
    <w:r>
      <w:rPr>
        <w:b/>
        <w:bCs/>
        <w:spacing w:val="-13"/>
        <w:sz w:val="18"/>
        <w:szCs w:val="18"/>
      </w:rPr>
      <w:t>第</w:t>
    </w:r>
    <w:r>
      <w:rPr>
        <w:spacing w:val="-28"/>
        <w:sz w:val="18"/>
        <w:szCs w:val="18"/>
      </w:rPr>
      <w:t xml:space="preserve"> </w:t>
    </w:r>
    <w:r>
      <w:rPr>
        <w:b/>
        <w:bCs/>
        <w:spacing w:val="-13"/>
        <w:sz w:val="18"/>
        <w:szCs w:val="18"/>
      </w:rPr>
      <w:t>290</w:t>
    </w:r>
    <w:r>
      <w:rPr>
        <w:spacing w:val="-13"/>
        <w:sz w:val="18"/>
        <w:szCs w:val="18"/>
      </w:rPr>
      <w:t xml:space="preserve"> </w:t>
    </w:r>
    <w:r>
      <w:rPr>
        <w:b/>
        <w:bCs/>
        <w:spacing w:val="-13"/>
        <w:sz w:val="18"/>
        <w:szCs w:val="18"/>
      </w:rPr>
      <w:t>页</w:t>
    </w:r>
    <w:r>
      <w:rPr>
        <w:spacing w:val="-27"/>
        <w:sz w:val="18"/>
        <w:szCs w:val="18"/>
      </w:rPr>
      <w:t xml:space="preserve"> </w:t>
    </w:r>
    <w:r>
      <w:rPr>
        <w:b/>
        <w:bCs/>
        <w:spacing w:val="-13"/>
        <w:sz w:val="18"/>
        <w:szCs w:val="18"/>
      </w:rPr>
      <w:t>共</w:t>
    </w:r>
    <w:r>
      <w:rPr>
        <w:spacing w:val="-39"/>
        <w:sz w:val="18"/>
        <w:szCs w:val="18"/>
      </w:rPr>
      <w:t xml:space="preserve"> </w:t>
    </w:r>
    <w:r>
      <w:rPr>
        <w:b/>
        <w:bCs/>
        <w:spacing w:val="-13"/>
        <w:sz w:val="18"/>
        <w:szCs w:val="18"/>
      </w:rPr>
      <w:t>499</w:t>
    </w:r>
    <w:r>
      <w:rPr>
        <w:spacing w:val="-13"/>
        <w:sz w:val="18"/>
        <w:szCs w:val="18"/>
      </w:rPr>
      <w:t xml:space="preserve"> </w:t>
    </w:r>
    <w:r>
      <w:rPr>
        <w:b/>
        <w:bCs/>
        <w:spacing w:val="-13"/>
        <w:sz w:val="18"/>
        <w:szCs w:val="18"/>
      </w:rPr>
      <w:t>页</w:t>
    </w:r>
  </w:p>
</w:ftr>
</file>

<file path=word/footer2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59D8B4">
    <w:pPr>
      <w:spacing w:after="13" w:line="454" w:lineRule="exact"/>
    </w:pPr>
  </w:p>
  <w:p w14:paraId="25A1254B">
    <w:pPr>
      <w:pStyle w:val="2"/>
      <w:spacing w:line="207" w:lineRule="auto"/>
      <w:ind w:left="5067"/>
      <w:rPr>
        <w:sz w:val="18"/>
        <w:szCs w:val="18"/>
      </w:rPr>
    </w:pPr>
    <w:r>
      <w:rPr>
        <w:b/>
        <w:bCs/>
        <w:spacing w:val="-13"/>
        <w:sz w:val="18"/>
        <w:szCs w:val="18"/>
      </w:rPr>
      <w:t>第</w:t>
    </w:r>
    <w:r>
      <w:rPr>
        <w:spacing w:val="-28"/>
        <w:sz w:val="18"/>
        <w:szCs w:val="18"/>
      </w:rPr>
      <w:t xml:space="preserve"> </w:t>
    </w:r>
    <w:r>
      <w:rPr>
        <w:b/>
        <w:bCs/>
        <w:spacing w:val="-13"/>
        <w:sz w:val="18"/>
        <w:szCs w:val="18"/>
      </w:rPr>
      <w:t>291</w:t>
    </w:r>
    <w:r>
      <w:rPr>
        <w:spacing w:val="-13"/>
        <w:sz w:val="18"/>
        <w:szCs w:val="18"/>
      </w:rPr>
      <w:t xml:space="preserve"> </w:t>
    </w:r>
    <w:r>
      <w:rPr>
        <w:b/>
        <w:bCs/>
        <w:spacing w:val="-13"/>
        <w:sz w:val="18"/>
        <w:szCs w:val="18"/>
      </w:rPr>
      <w:t>页</w:t>
    </w:r>
    <w:r>
      <w:rPr>
        <w:spacing w:val="-27"/>
        <w:sz w:val="18"/>
        <w:szCs w:val="18"/>
      </w:rPr>
      <w:t xml:space="preserve"> </w:t>
    </w:r>
    <w:r>
      <w:rPr>
        <w:b/>
        <w:bCs/>
        <w:spacing w:val="-13"/>
        <w:sz w:val="18"/>
        <w:szCs w:val="18"/>
      </w:rPr>
      <w:t>共</w:t>
    </w:r>
    <w:r>
      <w:rPr>
        <w:spacing w:val="-39"/>
        <w:sz w:val="18"/>
        <w:szCs w:val="18"/>
      </w:rPr>
      <w:t xml:space="preserve"> </w:t>
    </w:r>
    <w:r>
      <w:rPr>
        <w:b/>
        <w:bCs/>
        <w:spacing w:val="-13"/>
        <w:sz w:val="18"/>
        <w:szCs w:val="18"/>
      </w:rPr>
      <w:t>499</w:t>
    </w:r>
    <w:r>
      <w:rPr>
        <w:spacing w:val="-13"/>
        <w:sz w:val="18"/>
        <w:szCs w:val="18"/>
      </w:rPr>
      <w:t xml:space="preserve"> </w:t>
    </w:r>
    <w:r>
      <w:rPr>
        <w:b/>
        <w:bCs/>
        <w:spacing w:val="-13"/>
        <w:sz w:val="18"/>
        <w:szCs w:val="18"/>
      </w:rPr>
      <w:t>页</w:t>
    </w:r>
  </w:p>
</w:ftr>
</file>

<file path=word/footer2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D3C308">
    <w:pPr>
      <w:spacing w:after="13" w:line="454" w:lineRule="exact"/>
    </w:pPr>
  </w:p>
  <w:p w14:paraId="09747B83">
    <w:pPr>
      <w:pStyle w:val="2"/>
      <w:spacing w:line="207" w:lineRule="auto"/>
      <w:ind w:left="5067"/>
      <w:rPr>
        <w:sz w:val="18"/>
        <w:szCs w:val="18"/>
      </w:rPr>
    </w:pPr>
    <w:r>
      <w:rPr>
        <w:b/>
        <w:bCs/>
        <w:spacing w:val="-13"/>
        <w:sz w:val="18"/>
        <w:szCs w:val="18"/>
      </w:rPr>
      <w:t>第</w:t>
    </w:r>
    <w:r>
      <w:rPr>
        <w:spacing w:val="-28"/>
        <w:sz w:val="18"/>
        <w:szCs w:val="18"/>
      </w:rPr>
      <w:t xml:space="preserve"> </w:t>
    </w:r>
    <w:r>
      <w:rPr>
        <w:b/>
        <w:bCs/>
        <w:spacing w:val="-13"/>
        <w:sz w:val="18"/>
        <w:szCs w:val="18"/>
      </w:rPr>
      <w:t>292</w:t>
    </w:r>
    <w:r>
      <w:rPr>
        <w:spacing w:val="-13"/>
        <w:sz w:val="18"/>
        <w:szCs w:val="18"/>
      </w:rPr>
      <w:t xml:space="preserve"> </w:t>
    </w:r>
    <w:r>
      <w:rPr>
        <w:b/>
        <w:bCs/>
        <w:spacing w:val="-13"/>
        <w:sz w:val="18"/>
        <w:szCs w:val="18"/>
      </w:rPr>
      <w:t>页</w:t>
    </w:r>
    <w:r>
      <w:rPr>
        <w:spacing w:val="-27"/>
        <w:sz w:val="18"/>
        <w:szCs w:val="18"/>
      </w:rPr>
      <w:t xml:space="preserve"> </w:t>
    </w:r>
    <w:r>
      <w:rPr>
        <w:b/>
        <w:bCs/>
        <w:spacing w:val="-13"/>
        <w:sz w:val="18"/>
        <w:szCs w:val="18"/>
      </w:rPr>
      <w:t>共</w:t>
    </w:r>
    <w:r>
      <w:rPr>
        <w:spacing w:val="-39"/>
        <w:sz w:val="18"/>
        <w:szCs w:val="18"/>
      </w:rPr>
      <w:t xml:space="preserve"> </w:t>
    </w:r>
    <w:r>
      <w:rPr>
        <w:b/>
        <w:bCs/>
        <w:spacing w:val="-13"/>
        <w:sz w:val="18"/>
        <w:szCs w:val="18"/>
      </w:rPr>
      <w:t>499</w:t>
    </w:r>
    <w:r>
      <w:rPr>
        <w:spacing w:val="-13"/>
        <w:sz w:val="18"/>
        <w:szCs w:val="18"/>
      </w:rPr>
      <w:t xml:space="preserve"> </w:t>
    </w:r>
    <w:r>
      <w:rPr>
        <w:b/>
        <w:bCs/>
        <w:spacing w:val="-13"/>
        <w:sz w:val="18"/>
        <w:szCs w:val="18"/>
      </w:rPr>
      <w:t>页</w:t>
    </w:r>
  </w:p>
</w:ftr>
</file>

<file path=word/footer2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8AF780">
    <w:pPr>
      <w:spacing w:after="13" w:line="454" w:lineRule="exact"/>
    </w:pPr>
  </w:p>
  <w:p w14:paraId="658E9783">
    <w:pPr>
      <w:pStyle w:val="2"/>
      <w:spacing w:line="207" w:lineRule="auto"/>
      <w:ind w:left="5067"/>
      <w:rPr>
        <w:sz w:val="18"/>
        <w:szCs w:val="18"/>
      </w:rPr>
    </w:pPr>
    <w:r>
      <w:rPr>
        <w:b/>
        <w:bCs/>
        <w:spacing w:val="-13"/>
        <w:sz w:val="18"/>
        <w:szCs w:val="18"/>
      </w:rPr>
      <w:t>第</w:t>
    </w:r>
    <w:r>
      <w:rPr>
        <w:spacing w:val="-28"/>
        <w:sz w:val="18"/>
        <w:szCs w:val="18"/>
      </w:rPr>
      <w:t xml:space="preserve"> </w:t>
    </w:r>
    <w:r>
      <w:rPr>
        <w:b/>
        <w:bCs/>
        <w:spacing w:val="-13"/>
        <w:sz w:val="18"/>
        <w:szCs w:val="18"/>
      </w:rPr>
      <w:t>296</w:t>
    </w:r>
    <w:r>
      <w:rPr>
        <w:spacing w:val="-13"/>
        <w:sz w:val="18"/>
        <w:szCs w:val="18"/>
      </w:rPr>
      <w:t xml:space="preserve"> </w:t>
    </w:r>
    <w:r>
      <w:rPr>
        <w:b/>
        <w:bCs/>
        <w:spacing w:val="-13"/>
        <w:sz w:val="18"/>
        <w:szCs w:val="18"/>
      </w:rPr>
      <w:t>页</w:t>
    </w:r>
    <w:r>
      <w:rPr>
        <w:spacing w:val="-27"/>
        <w:sz w:val="18"/>
        <w:szCs w:val="18"/>
      </w:rPr>
      <w:t xml:space="preserve"> </w:t>
    </w:r>
    <w:r>
      <w:rPr>
        <w:b/>
        <w:bCs/>
        <w:spacing w:val="-13"/>
        <w:sz w:val="18"/>
        <w:szCs w:val="18"/>
      </w:rPr>
      <w:t>共</w:t>
    </w:r>
    <w:r>
      <w:rPr>
        <w:spacing w:val="-39"/>
        <w:sz w:val="18"/>
        <w:szCs w:val="18"/>
      </w:rPr>
      <w:t xml:space="preserve"> </w:t>
    </w:r>
    <w:r>
      <w:rPr>
        <w:b/>
        <w:bCs/>
        <w:spacing w:val="-13"/>
        <w:sz w:val="18"/>
        <w:szCs w:val="18"/>
      </w:rPr>
      <w:t>499</w:t>
    </w:r>
    <w:r>
      <w:rPr>
        <w:spacing w:val="-13"/>
        <w:sz w:val="18"/>
        <w:szCs w:val="18"/>
      </w:rPr>
      <w:t xml:space="preserve"> </w:t>
    </w:r>
    <w:r>
      <w:rPr>
        <w:b/>
        <w:bCs/>
        <w:spacing w:val="-13"/>
        <w:sz w:val="18"/>
        <w:szCs w:val="18"/>
      </w:rPr>
      <w:t>页</w:t>
    </w:r>
  </w:p>
</w:ftr>
</file>

<file path=word/footer2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78EAC1">
    <w:pPr>
      <w:spacing w:after="13" w:line="454" w:lineRule="exact"/>
    </w:pPr>
  </w:p>
  <w:p w14:paraId="0C9D5541">
    <w:pPr>
      <w:pStyle w:val="2"/>
      <w:spacing w:line="207" w:lineRule="auto"/>
      <w:ind w:left="5067"/>
      <w:rPr>
        <w:sz w:val="18"/>
        <w:szCs w:val="18"/>
      </w:rPr>
    </w:pPr>
    <w:r>
      <w:rPr>
        <w:b/>
        <w:bCs/>
        <w:spacing w:val="-13"/>
        <w:sz w:val="18"/>
        <w:szCs w:val="18"/>
      </w:rPr>
      <w:t>第</w:t>
    </w:r>
    <w:r>
      <w:rPr>
        <w:spacing w:val="-28"/>
        <w:sz w:val="18"/>
        <w:szCs w:val="18"/>
      </w:rPr>
      <w:t xml:space="preserve"> </w:t>
    </w:r>
    <w:r>
      <w:rPr>
        <w:b/>
        <w:bCs/>
        <w:spacing w:val="-13"/>
        <w:sz w:val="18"/>
        <w:szCs w:val="18"/>
      </w:rPr>
      <w:t>297</w:t>
    </w:r>
    <w:r>
      <w:rPr>
        <w:spacing w:val="-13"/>
        <w:sz w:val="18"/>
        <w:szCs w:val="18"/>
      </w:rPr>
      <w:t xml:space="preserve"> </w:t>
    </w:r>
    <w:r>
      <w:rPr>
        <w:b/>
        <w:bCs/>
        <w:spacing w:val="-13"/>
        <w:sz w:val="18"/>
        <w:szCs w:val="18"/>
      </w:rPr>
      <w:t>页</w:t>
    </w:r>
    <w:r>
      <w:rPr>
        <w:spacing w:val="-27"/>
        <w:sz w:val="18"/>
        <w:szCs w:val="18"/>
      </w:rPr>
      <w:t xml:space="preserve"> </w:t>
    </w:r>
    <w:r>
      <w:rPr>
        <w:b/>
        <w:bCs/>
        <w:spacing w:val="-13"/>
        <w:sz w:val="18"/>
        <w:szCs w:val="18"/>
      </w:rPr>
      <w:t>共</w:t>
    </w:r>
    <w:r>
      <w:rPr>
        <w:spacing w:val="-39"/>
        <w:sz w:val="18"/>
        <w:szCs w:val="18"/>
      </w:rPr>
      <w:t xml:space="preserve"> </w:t>
    </w:r>
    <w:r>
      <w:rPr>
        <w:b/>
        <w:bCs/>
        <w:spacing w:val="-13"/>
        <w:sz w:val="18"/>
        <w:szCs w:val="18"/>
      </w:rPr>
      <w:t>499</w:t>
    </w:r>
    <w:r>
      <w:rPr>
        <w:spacing w:val="-13"/>
        <w:sz w:val="18"/>
        <w:szCs w:val="18"/>
      </w:rPr>
      <w:t xml:space="preserve"> </w:t>
    </w:r>
    <w:r>
      <w:rPr>
        <w:b/>
        <w:bCs/>
        <w:spacing w:val="-13"/>
        <w:sz w:val="18"/>
        <w:szCs w:val="18"/>
      </w:rPr>
      <w:t>页</w:t>
    </w:r>
  </w:p>
</w:ftr>
</file>

<file path=word/footer2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E9AF28">
    <w:pPr>
      <w:spacing w:after="13" w:line="454" w:lineRule="exact"/>
    </w:pPr>
  </w:p>
  <w:p w14:paraId="01FD30B1">
    <w:pPr>
      <w:pStyle w:val="2"/>
      <w:spacing w:line="207" w:lineRule="auto"/>
      <w:ind w:left="5067"/>
      <w:rPr>
        <w:sz w:val="18"/>
        <w:szCs w:val="18"/>
      </w:rPr>
    </w:pPr>
    <w:r>
      <w:rPr>
        <w:b/>
        <w:bCs/>
        <w:spacing w:val="-13"/>
        <w:sz w:val="18"/>
        <w:szCs w:val="18"/>
      </w:rPr>
      <w:t>第</w:t>
    </w:r>
    <w:r>
      <w:rPr>
        <w:spacing w:val="-28"/>
        <w:sz w:val="18"/>
        <w:szCs w:val="18"/>
      </w:rPr>
      <w:t xml:space="preserve"> </w:t>
    </w:r>
    <w:r>
      <w:rPr>
        <w:b/>
        <w:bCs/>
        <w:spacing w:val="-13"/>
        <w:sz w:val="18"/>
        <w:szCs w:val="18"/>
      </w:rPr>
      <w:t>298</w:t>
    </w:r>
    <w:r>
      <w:rPr>
        <w:spacing w:val="-13"/>
        <w:sz w:val="18"/>
        <w:szCs w:val="18"/>
      </w:rPr>
      <w:t xml:space="preserve"> </w:t>
    </w:r>
    <w:r>
      <w:rPr>
        <w:b/>
        <w:bCs/>
        <w:spacing w:val="-13"/>
        <w:sz w:val="18"/>
        <w:szCs w:val="18"/>
      </w:rPr>
      <w:t>页</w:t>
    </w:r>
    <w:r>
      <w:rPr>
        <w:spacing w:val="-27"/>
        <w:sz w:val="18"/>
        <w:szCs w:val="18"/>
      </w:rPr>
      <w:t xml:space="preserve"> </w:t>
    </w:r>
    <w:r>
      <w:rPr>
        <w:b/>
        <w:bCs/>
        <w:spacing w:val="-13"/>
        <w:sz w:val="18"/>
        <w:szCs w:val="18"/>
      </w:rPr>
      <w:t>共</w:t>
    </w:r>
    <w:r>
      <w:rPr>
        <w:spacing w:val="-39"/>
        <w:sz w:val="18"/>
        <w:szCs w:val="18"/>
      </w:rPr>
      <w:t xml:space="preserve"> </w:t>
    </w:r>
    <w:r>
      <w:rPr>
        <w:b/>
        <w:bCs/>
        <w:spacing w:val="-13"/>
        <w:sz w:val="18"/>
        <w:szCs w:val="18"/>
      </w:rPr>
      <w:t>499</w:t>
    </w:r>
    <w:r>
      <w:rPr>
        <w:spacing w:val="-13"/>
        <w:sz w:val="18"/>
        <w:szCs w:val="18"/>
      </w:rPr>
      <w:t xml:space="preserve"> </w:t>
    </w:r>
    <w:r>
      <w:rPr>
        <w:b/>
        <w:bCs/>
        <w:spacing w:val="-13"/>
        <w:sz w:val="18"/>
        <w:szCs w:val="18"/>
      </w:rPr>
      <w:t>页</w:t>
    </w:r>
  </w:p>
</w:ftr>
</file>

<file path=word/footer2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EB9C57">
    <w:pPr>
      <w:spacing w:after="13" w:line="454" w:lineRule="exact"/>
    </w:pPr>
  </w:p>
  <w:p w14:paraId="7E622BCE">
    <w:pPr>
      <w:pStyle w:val="2"/>
      <w:spacing w:line="207" w:lineRule="auto"/>
      <w:ind w:left="5067"/>
      <w:rPr>
        <w:sz w:val="18"/>
        <w:szCs w:val="18"/>
      </w:rPr>
    </w:pPr>
    <w:r>
      <w:rPr>
        <w:b/>
        <w:bCs/>
        <w:spacing w:val="-13"/>
        <w:sz w:val="18"/>
        <w:szCs w:val="18"/>
      </w:rPr>
      <w:t>第</w:t>
    </w:r>
    <w:r>
      <w:rPr>
        <w:spacing w:val="-28"/>
        <w:sz w:val="18"/>
        <w:szCs w:val="18"/>
      </w:rPr>
      <w:t xml:space="preserve"> </w:t>
    </w:r>
    <w:r>
      <w:rPr>
        <w:b/>
        <w:bCs/>
        <w:spacing w:val="-13"/>
        <w:sz w:val="18"/>
        <w:szCs w:val="18"/>
      </w:rPr>
      <w:t>299</w:t>
    </w:r>
    <w:r>
      <w:rPr>
        <w:spacing w:val="-13"/>
        <w:sz w:val="18"/>
        <w:szCs w:val="18"/>
      </w:rPr>
      <w:t xml:space="preserve"> </w:t>
    </w:r>
    <w:r>
      <w:rPr>
        <w:b/>
        <w:bCs/>
        <w:spacing w:val="-13"/>
        <w:sz w:val="18"/>
        <w:szCs w:val="18"/>
      </w:rPr>
      <w:t>页</w:t>
    </w:r>
    <w:r>
      <w:rPr>
        <w:spacing w:val="-27"/>
        <w:sz w:val="18"/>
        <w:szCs w:val="18"/>
      </w:rPr>
      <w:t xml:space="preserve"> </w:t>
    </w:r>
    <w:r>
      <w:rPr>
        <w:b/>
        <w:bCs/>
        <w:spacing w:val="-13"/>
        <w:sz w:val="18"/>
        <w:szCs w:val="18"/>
      </w:rPr>
      <w:t>共</w:t>
    </w:r>
    <w:r>
      <w:rPr>
        <w:spacing w:val="-39"/>
        <w:sz w:val="18"/>
        <w:szCs w:val="18"/>
      </w:rPr>
      <w:t xml:space="preserve"> </w:t>
    </w:r>
    <w:r>
      <w:rPr>
        <w:b/>
        <w:bCs/>
        <w:spacing w:val="-13"/>
        <w:sz w:val="18"/>
        <w:szCs w:val="18"/>
      </w:rPr>
      <w:t>499</w:t>
    </w:r>
    <w:r>
      <w:rPr>
        <w:spacing w:val="-13"/>
        <w:sz w:val="18"/>
        <w:szCs w:val="18"/>
      </w:rPr>
      <w:t xml:space="preserve"> </w:t>
    </w:r>
    <w:r>
      <w:rPr>
        <w:b/>
        <w:bCs/>
        <w:spacing w:val="-13"/>
        <w:sz w:val="18"/>
        <w:szCs w:val="18"/>
      </w:rPr>
      <w:t>页</w:t>
    </w:r>
  </w:p>
</w:ftr>
</file>

<file path=word/footer2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0379E1">
    <w:pPr>
      <w:spacing w:after="13" w:line="454" w:lineRule="exact"/>
    </w:pPr>
  </w:p>
  <w:p w14:paraId="3909A6A3">
    <w:pPr>
      <w:pStyle w:val="2"/>
      <w:spacing w:line="207" w:lineRule="auto"/>
      <w:ind w:left="5067"/>
      <w:rPr>
        <w:sz w:val="18"/>
        <w:szCs w:val="18"/>
      </w:rPr>
    </w:pPr>
    <w:r>
      <w:rPr>
        <w:b/>
        <w:bCs/>
        <w:spacing w:val="-13"/>
        <w:sz w:val="18"/>
        <w:szCs w:val="18"/>
      </w:rPr>
      <w:t>第</w:t>
    </w:r>
    <w:r>
      <w:rPr>
        <w:spacing w:val="-28"/>
        <w:sz w:val="18"/>
        <w:szCs w:val="18"/>
      </w:rPr>
      <w:t xml:space="preserve"> </w:t>
    </w:r>
    <w:r>
      <w:rPr>
        <w:b/>
        <w:bCs/>
        <w:spacing w:val="-13"/>
        <w:sz w:val="18"/>
        <w:szCs w:val="18"/>
      </w:rPr>
      <w:t>300</w:t>
    </w:r>
    <w:r>
      <w:rPr>
        <w:spacing w:val="-13"/>
        <w:sz w:val="18"/>
        <w:szCs w:val="18"/>
      </w:rPr>
      <w:t xml:space="preserve"> </w:t>
    </w:r>
    <w:r>
      <w:rPr>
        <w:b/>
        <w:bCs/>
        <w:spacing w:val="-13"/>
        <w:sz w:val="18"/>
        <w:szCs w:val="18"/>
      </w:rPr>
      <w:t>页</w:t>
    </w:r>
    <w:r>
      <w:rPr>
        <w:spacing w:val="-27"/>
        <w:sz w:val="18"/>
        <w:szCs w:val="18"/>
      </w:rPr>
      <w:t xml:space="preserve"> </w:t>
    </w:r>
    <w:r>
      <w:rPr>
        <w:b/>
        <w:bCs/>
        <w:spacing w:val="-13"/>
        <w:sz w:val="18"/>
        <w:szCs w:val="18"/>
      </w:rPr>
      <w:t>共</w:t>
    </w:r>
    <w:r>
      <w:rPr>
        <w:spacing w:val="-39"/>
        <w:sz w:val="18"/>
        <w:szCs w:val="18"/>
      </w:rPr>
      <w:t xml:space="preserve"> </w:t>
    </w:r>
    <w:r>
      <w:rPr>
        <w:b/>
        <w:bCs/>
        <w:spacing w:val="-13"/>
        <w:sz w:val="18"/>
        <w:szCs w:val="18"/>
      </w:rPr>
      <w:t>499</w:t>
    </w:r>
    <w:r>
      <w:rPr>
        <w:spacing w:val="-13"/>
        <w:sz w:val="18"/>
        <w:szCs w:val="18"/>
      </w:rPr>
      <w:t xml:space="preserve"> </w:t>
    </w:r>
    <w:r>
      <w:rPr>
        <w:b/>
        <w:bCs/>
        <w:spacing w:val="-13"/>
        <w:sz w:val="18"/>
        <w:szCs w:val="18"/>
      </w:rPr>
      <w:t>页</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CA48D7">
    <w:pPr>
      <w:spacing w:after="13" w:line="454" w:lineRule="exact"/>
    </w:pPr>
  </w:p>
  <w:p w14:paraId="3AD40764">
    <w:pPr>
      <w:pStyle w:val="2"/>
      <w:spacing w:line="207" w:lineRule="auto"/>
      <w:ind w:left="5106"/>
      <w:rPr>
        <w:sz w:val="18"/>
        <w:szCs w:val="18"/>
      </w:rPr>
    </w:pPr>
    <w:r>
      <w:rPr>
        <w:b/>
        <w:bCs/>
        <w:spacing w:val="-13"/>
        <w:sz w:val="18"/>
        <w:szCs w:val="18"/>
      </w:rPr>
      <w:t>第</w:t>
    </w:r>
    <w:r>
      <w:rPr>
        <w:spacing w:val="-28"/>
        <w:sz w:val="18"/>
        <w:szCs w:val="18"/>
      </w:rPr>
      <w:t xml:space="preserve"> </w:t>
    </w:r>
    <w:r>
      <w:rPr>
        <w:b/>
        <w:bCs/>
        <w:spacing w:val="-13"/>
        <w:sz w:val="18"/>
        <w:szCs w:val="18"/>
      </w:rPr>
      <w:t>52</w:t>
    </w:r>
    <w:r>
      <w:rPr>
        <w:spacing w:val="-13"/>
        <w:sz w:val="18"/>
        <w:szCs w:val="18"/>
      </w:rPr>
      <w:t xml:space="preserve"> </w:t>
    </w:r>
    <w:r>
      <w:rPr>
        <w:b/>
        <w:bCs/>
        <w:spacing w:val="-13"/>
        <w:sz w:val="18"/>
        <w:szCs w:val="18"/>
      </w:rPr>
      <w:t>页</w:t>
    </w:r>
    <w:r>
      <w:rPr>
        <w:spacing w:val="-28"/>
        <w:sz w:val="18"/>
        <w:szCs w:val="18"/>
      </w:rPr>
      <w:t xml:space="preserve"> </w:t>
    </w:r>
    <w:r>
      <w:rPr>
        <w:b/>
        <w:bCs/>
        <w:spacing w:val="-13"/>
        <w:sz w:val="18"/>
        <w:szCs w:val="18"/>
      </w:rPr>
      <w:t>共</w:t>
    </w:r>
    <w:r>
      <w:rPr>
        <w:spacing w:val="-38"/>
        <w:sz w:val="18"/>
        <w:szCs w:val="18"/>
      </w:rPr>
      <w:t xml:space="preserve"> </w:t>
    </w:r>
    <w:r>
      <w:rPr>
        <w:b/>
        <w:bCs/>
        <w:spacing w:val="-13"/>
        <w:sz w:val="18"/>
        <w:szCs w:val="18"/>
      </w:rPr>
      <w:t>499</w:t>
    </w:r>
    <w:r>
      <w:rPr>
        <w:spacing w:val="-13"/>
        <w:sz w:val="18"/>
        <w:szCs w:val="18"/>
      </w:rPr>
      <w:t xml:space="preserve"> </w:t>
    </w:r>
    <w:r>
      <w:rPr>
        <w:b/>
        <w:bCs/>
        <w:spacing w:val="-13"/>
        <w:sz w:val="18"/>
        <w:szCs w:val="18"/>
      </w:rPr>
      <w:t>页</w:t>
    </w:r>
  </w:p>
</w:ftr>
</file>

<file path=word/footer2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5EA393">
    <w:pPr>
      <w:spacing w:after="13" w:line="454" w:lineRule="exact"/>
    </w:pPr>
  </w:p>
  <w:p w14:paraId="52ADBE3A">
    <w:pPr>
      <w:pStyle w:val="2"/>
      <w:spacing w:line="207" w:lineRule="auto"/>
      <w:ind w:left="5067"/>
      <w:rPr>
        <w:sz w:val="18"/>
        <w:szCs w:val="18"/>
      </w:rPr>
    </w:pPr>
    <w:r>
      <w:rPr>
        <w:b/>
        <w:bCs/>
        <w:spacing w:val="-13"/>
        <w:sz w:val="18"/>
        <w:szCs w:val="18"/>
      </w:rPr>
      <w:t>第</w:t>
    </w:r>
    <w:r>
      <w:rPr>
        <w:spacing w:val="-28"/>
        <w:sz w:val="18"/>
        <w:szCs w:val="18"/>
      </w:rPr>
      <w:t xml:space="preserve"> </w:t>
    </w:r>
    <w:r>
      <w:rPr>
        <w:b/>
        <w:bCs/>
        <w:spacing w:val="-13"/>
        <w:sz w:val="18"/>
        <w:szCs w:val="18"/>
      </w:rPr>
      <w:t>301</w:t>
    </w:r>
    <w:r>
      <w:rPr>
        <w:spacing w:val="-13"/>
        <w:sz w:val="18"/>
        <w:szCs w:val="18"/>
      </w:rPr>
      <w:t xml:space="preserve"> </w:t>
    </w:r>
    <w:r>
      <w:rPr>
        <w:b/>
        <w:bCs/>
        <w:spacing w:val="-13"/>
        <w:sz w:val="18"/>
        <w:szCs w:val="18"/>
      </w:rPr>
      <w:t>页</w:t>
    </w:r>
    <w:r>
      <w:rPr>
        <w:spacing w:val="-27"/>
        <w:sz w:val="18"/>
        <w:szCs w:val="18"/>
      </w:rPr>
      <w:t xml:space="preserve"> </w:t>
    </w:r>
    <w:r>
      <w:rPr>
        <w:b/>
        <w:bCs/>
        <w:spacing w:val="-13"/>
        <w:sz w:val="18"/>
        <w:szCs w:val="18"/>
      </w:rPr>
      <w:t>共</w:t>
    </w:r>
    <w:r>
      <w:rPr>
        <w:spacing w:val="-39"/>
        <w:sz w:val="18"/>
        <w:szCs w:val="18"/>
      </w:rPr>
      <w:t xml:space="preserve"> </w:t>
    </w:r>
    <w:r>
      <w:rPr>
        <w:b/>
        <w:bCs/>
        <w:spacing w:val="-13"/>
        <w:sz w:val="18"/>
        <w:szCs w:val="18"/>
      </w:rPr>
      <w:t>499</w:t>
    </w:r>
    <w:r>
      <w:rPr>
        <w:spacing w:val="-13"/>
        <w:sz w:val="18"/>
        <w:szCs w:val="18"/>
      </w:rPr>
      <w:t xml:space="preserve"> </w:t>
    </w:r>
    <w:r>
      <w:rPr>
        <w:b/>
        <w:bCs/>
        <w:spacing w:val="-13"/>
        <w:sz w:val="18"/>
        <w:szCs w:val="18"/>
      </w:rPr>
      <w:t>页</w:t>
    </w:r>
  </w:p>
</w:ftr>
</file>

<file path=word/footer2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691088">
    <w:pPr>
      <w:spacing w:after="13" w:line="454" w:lineRule="exact"/>
    </w:pPr>
  </w:p>
  <w:p w14:paraId="6350A1FB">
    <w:pPr>
      <w:pStyle w:val="2"/>
      <w:spacing w:line="207" w:lineRule="auto"/>
      <w:ind w:left="5067"/>
      <w:rPr>
        <w:sz w:val="18"/>
        <w:szCs w:val="18"/>
      </w:rPr>
    </w:pPr>
    <w:r>
      <w:rPr>
        <w:b/>
        <w:bCs/>
        <w:spacing w:val="-13"/>
        <w:sz w:val="18"/>
        <w:szCs w:val="18"/>
      </w:rPr>
      <w:t>第</w:t>
    </w:r>
    <w:r>
      <w:rPr>
        <w:spacing w:val="-28"/>
        <w:sz w:val="18"/>
        <w:szCs w:val="18"/>
      </w:rPr>
      <w:t xml:space="preserve"> </w:t>
    </w:r>
    <w:r>
      <w:rPr>
        <w:b/>
        <w:bCs/>
        <w:spacing w:val="-13"/>
        <w:sz w:val="18"/>
        <w:szCs w:val="18"/>
      </w:rPr>
      <w:t>302</w:t>
    </w:r>
    <w:r>
      <w:rPr>
        <w:spacing w:val="-13"/>
        <w:sz w:val="18"/>
        <w:szCs w:val="18"/>
      </w:rPr>
      <w:t xml:space="preserve"> </w:t>
    </w:r>
    <w:r>
      <w:rPr>
        <w:b/>
        <w:bCs/>
        <w:spacing w:val="-13"/>
        <w:sz w:val="18"/>
        <w:szCs w:val="18"/>
      </w:rPr>
      <w:t>页</w:t>
    </w:r>
    <w:r>
      <w:rPr>
        <w:spacing w:val="-27"/>
        <w:sz w:val="18"/>
        <w:szCs w:val="18"/>
      </w:rPr>
      <w:t xml:space="preserve"> </w:t>
    </w:r>
    <w:r>
      <w:rPr>
        <w:b/>
        <w:bCs/>
        <w:spacing w:val="-13"/>
        <w:sz w:val="18"/>
        <w:szCs w:val="18"/>
      </w:rPr>
      <w:t>共</w:t>
    </w:r>
    <w:r>
      <w:rPr>
        <w:spacing w:val="-39"/>
        <w:sz w:val="18"/>
        <w:szCs w:val="18"/>
      </w:rPr>
      <w:t xml:space="preserve"> </w:t>
    </w:r>
    <w:r>
      <w:rPr>
        <w:b/>
        <w:bCs/>
        <w:spacing w:val="-13"/>
        <w:sz w:val="18"/>
        <w:szCs w:val="18"/>
      </w:rPr>
      <w:t>499</w:t>
    </w:r>
    <w:r>
      <w:rPr>
        <w:spacing w:val="-13"/>
        <w:sz w:val="18"/>
        <w:szCs w:val="18"/>
      </w:rPr>
      <w:t xml:space="preserve"> </w:t>
    </w:r>
    <w:r>
      <w:rPr>
        <w:b/>
        <w:bCs/>
        <w:spacing w:val="-13"/>
        <w:sz w:val="18"/>
        <w:szCs w:val="18"/>
      </w:rPr>
      <w:t>页</w:t>
    </w:r>
  </w:p>
</w:ftr>
</file>

<file path=word/footer2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41B5A3">
    <w:pPr>
      <w:spacing w:after="13" w:line="454" w:lineRule="exact"/>
    </w:pPr>
  </w:p>
  <w:p w14:paraId="29A87F8E">
    <w:pPr>
      <w:pStyle w:val="2"/>
      <w:spacing w:line="207" w:lineRule="auto"/>
      <w:ind w:left="5067"/>
      <w:rPr>
        <w:sz w:val="18"/>
        <w:szCs w:val="18"/>
      </w:rPr>
    </w:pPr>
    <w:r>
      <w:rPr>
        <w:b/>
        <w:bCs/>
        <w:spacing w:val="-13"/>
        <w:sz w:val="18"/>
        <w:szCs w:val="18"/>
      </w:rPr>
      <w:t>第</w:t>
    </w:r>
    <w:r>
      <w:rPr>
        <w:spacing w:val="-28"/>
        <w:sz w:val="18"/>
        <w:szCs w:val="18"/>
      </w:rPr>
      <w:t xml:space="preserve"> </w:t>
    </w:r>
    <w:r>
      <w:rPr>
        <w:b/>
        <w:bCs/>
        <w:spacing w:val="-13"/>
        <w:sz w:val="18"/>
        <w:szCs w:val="18"/>
      </w:rPr>
      <w:t>303</w:t>
    </w:r>
    <w:r>
      <w:rPr>
        <w:spacing w:val="-13"/>
        <w:sz w:val="18"/>
        <w:szCs w:val="18"/>
      </w:rPr>
      <w:t xml:space="preserve"> </w:t>
    </w:r>
    <w:r>
      <w:rPr>
        <w:b/>
        <w:bCs/>
        <w:spacing w:val="-13"/>
        <w:sz w:val="18"/>
        <w:szCs w:val="18"/>
      </w:rPr>
      <w:t>页</w:t>
    </w:r>
    <w:r>
      <w:rPr>
        <w:spacing w:val="-27"/>
        <w:sz w:val="18"/>
        <w:szCs w:val="18"/>
      </w:rPr>
      <w:t xml:space="preserve"> </w:t>
    </w:r>
    <w:r>
      <w:rPr>
        <w:b/>
        <w:bCs/>
        <w:spacing w:val="-13"/>
        <w:sz w:val="18"/>
        <w:szCs w:val="18"/>
      </w:rPr>
      <w:t>共</w:t>
    </w:r>
    <w:r>
      <w:rPr>
        <w:spacing w:val="-39"/>
        <w:sz w:val="18"/>
        <w:szCs w:val="18"/>
      </w:rPr>
      <w:t xml:space="preserve"> </w:t>
    </w:r>
    <w:r>
      <w:rPr>
        <w:b/>
        <w:bCs/>
        <w:spacing w:val="-13"/>
        <w:sz w:val="18"/>
        <w:szCs w:val="18"/>
      </w:rPr>
      <w:t>499</w:t>
    </w:r>
    <w:r>
      <w:rPr>
        <w:spacing w:val="-13"/>
        <w:sz w:val="18"/>
        <w:szCs w:val="18"/>
      </w:rPr>
      <w:t xml:space="preserve"> </w:t>
    </w:r>
    <w:r>
      <w:rPr>
        <w:b/>
        <w:bCs/>
        <w:spacing w:val="-13"/>
        <w:sz w:val="18"/>
        <w:szCs w:val="18"/>
      </w:rPr>
      <w:t>页</w:t>
    </w:r>
  </w:p>
</w:ftr>
</file>

<file path=word/footer2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8999E2">
    <w:pPr>
      <w:spacing w:after="13" w:line="454" w:lineRule="exact"/>
    </w:pPr>
  </w:p>
  <w:p w14:paraId="32DB7109">
    <w:pPr>
      <w:pStyle w:val="2"/>
      <w:spacing w:line="207" w:lineRule="auto"/>
      <w:ind w:left="5067"/>
      <w:rPr>
        <w:sz w:val="18"/>
        <w:szCs w:val="18"/>
      </w:rPr>
    </w:pPr>
    <w:r>
      <w:rPr>
        <w:b/>
        <w:bCs/>
        <w:spacing w:val="-13"/>
        <w:sz w:val="18"/>
        <w:szCs w:val="18"/>
      </w:rPr>
      <w:t>第</w:t>
    </w:r>
    <w:r>
      <w:rPr>
        <w:spacing w:val="-28"/>
        <w:sz w:val="18"/>
        <w:szCs w:val="18"/>
      </w:rPr>
      <w:t xml:space="preserve"> </w:t>
    </w:r>
    <w:r>
      <w:rPr>
        <w:b/>
        <w:bCs/>
        <w:spacing w:val="-13"/>
        <w:sz w:val="18"/>
        <w:szCs w:val="18"/>
      </w:rPr>
      <w:t>304</w:t>
    </w:r>
    <w:r>
      <w:rPr>
        <w:spacing w:val="-13"/>
        <w:sz w:val="18"/>
        <w:szCs w:val="18"/>
      </w:rPr>
      <w:t xml:space="preserve"> </w:t>
    </w:r>
    <w:r>
      <w:rPr>
        <w:b/>
        <w:bCs/>
        <w:spacing w:val="-13"/>
        <w:sz w:val="18"/>
        <w:szCs w:val="18"/>
      </w:rPr>
      <w:t>页</w:t>
    </w:r>
    <w:r>
      <w:rPr>
        <w:spacing w:val="-27"/>
        <w:sz w:val="18"/>
        <w:szCs w:val="18"/>
      </w:rPr>
      <w:t xml:space="preserve"> </w:t>
    </w:r>
    <w:r>
      <w:rPr>
        <w:b/>
        <w:bCs/>
        <w:spacing w:val="-13"/>
        <w:sz w:val="18"/>
        <w:szCs w:val="18"/>
      </w:rPr>
      <w:t>共</w:t>
    </w:r>
    <w:r>
      <w:rPr>
        <w:spacing w:val="-39"/>
        <w:sz w:val="18"/>
        <w:szCs w:val="18"/>
      </w:rPr>
      <w:t xml:space="preserve"> </w:t>
    </w:r>
    <w:r>
      <w:rPr>
        <w:b/>
        <w:bCs/>
        <w:spacing w:val="-13"/>
        <w:sz w:val="18"/>
        <w:szCs w:val="18"/>
      </w:rPr>
      <w:t>499</w:t>
    </w:r>
    <w:r>
      <w:rPr>
        <w:spacing w:val="-13"/>
        <w:sz w:val="18"/>
        <w:szCs w:val="18"/>
      </w:rPr>
      <w:t xml:space="preserve"> </w:t>
    </w:r>
    <w:r>
      <w:rPr>
        <w:b/>
        <w:bCs/>
        <w:spacing w:val="-13"/>
        <w:sz w:val="18"/>
        <w:szCs w:val="18"/>
      </w:rPr>
      <w:t>页</w:t>
    </w:r>
  </w:p>
</w:ftr>
</file>

<file path=word/footer2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F008F7">
    <w:pPr>
      <w:spacing w:after="13" w:line="454" w:lineRule="exact"/>
    </w:pPr>
  </w:p>
  <w:p w14:paraId="722C51EE">
    <w:pPr>
      <w:pStyle w:val="2"/>
      <w:spacing w:line="207" w:lineRule="auto"/>
      <w:ind w:left="5067"/>
      <w:rPr>
        <w:sz w:val="18"/>
        <w:szCs w:val="18"/>
      </w:rPr>
    </w:pPr>
    <w:r>
      <w:rPr>
        <w:b/>
        <w:bCs/>
        <w:spacing w:val="-13"/>
        <w:sz w:val="18"/>
        <w:szCs w:val="18"/>
      </w:rPr>
      <w:t>第</w:t>
    </w:r>
    <w:r>
      <w:rPr>
        <w:spacing w:val="-28"/>
        <w:sz w:val="18"/>
        <w:szCs w:val="18"/>
      </w:rPr>
      <w:t xml:space="preserve"> </w:t>
    </w:r>
    <w:r>
      <w:rPr>
        <w:b/>
        <w:bCs/>
        <w:spacing w:val="-13"/>
        <w:sz w:val="18"/>
        <w:szCs w:val="18"/>
      </w:rPr>
      <w:t>305</w:t>
    </w:r>
    <w:r>
      <w:rPr>
        <w:spacing w:val="-13"/>
        <w:sz w:val="18"/>
        <w:szCs w:val="18"/>
      </w:rPr>
      <w:t xml:space="preserve"> </w:t>
    </w:r>
    <w:r>
      <w:rPr>
        <w:b/>
        <w:bCs/>
        <w:spacing w:val="-13"/>
        <w:sz w:val="18"/>
        <w:szCs w:val="18"/>
      </w:rPr>
      <w:t>页</w:t>
    </w:r>
    <w:r>
      <w:rPr>
        <w:spacing w:val="-27"/>
        <w:sz w:val="18"/>
        <w:szCs w:val="18"/>
      </w:rPr>
      <w:t xml:space="preserve"> </w:t>
    </w:r>
    <w:r>
      <w:rPr>
        <w:b/>
        <w:bCs/>
        <w:spacing w:val="-13"/>
        <w:sz w:val="18"/>
        <w:szCs w:val="18"/>
      </w:rPr>
      <w:t>共</w:t>
    </w:r>
    <w:r>
      <w:rPr>
        <w:spacing w:val="-39"/>
        <w:sz w:val="18"/>
        <w:szCs w:val="18"/>
      </w:rPr>
      <w:t xml:space="preserve"> </w:t>
    </w:r>
    <w:r>
      <w:rPr>
        <w:b/>
        <w:bCs/>
        <w:spacing w:val="-13"/>
        <w:sz w:val="18"/>
        <w:szCs w:val="18"/>
      </w:rPr>
      <w:t>499</w:t>
    </w:r>
    <w:r>
      <w:rPr>
        <w:spacing w:val="-13"/>
        <w:sz w:val="18"/>
        <w:szCs w:val="18"/>
      </w:rPr>
      <w:t xml:space="preserve"> </w:t>
    </w:r>
    <w:r>
      <w:rPr>
        <w:b/>
        <w:bCs/>
        <w:spacing w:val="-13"/>
        <w:sz w:val="18"/>
        <w:szCs w:val="18"/>
      </w:rPr>
      <w:t>页</w:t>
    </w:r>
  </w:p>
</w:ftr>
</file>

<file path=word/footer2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118FEB">
    <w:pPr>
      <w:spacing w:after="13" w:line="454" w:lineRule="exact"/>
    </w:pPr>
  </w:p>
  <w:p w14:paraId="26281636">
    <w:pPr>
      <w:pStyle w:val="2"/>
      <w:spacing w:line="207" w:lineRule="auto"/>
      <w:ind w:left="5067"/>
      <w:rPr>
        <w:sz w:val="18"/>
        <w:szCs w:val="18"/>
      </w:rPr>
    </w:pPr>
    <w:r>
      <w:rPr>
        <w:b/>
        <w:bCs/>
        <w:spacing w:val="-13"/>
        <w:sz w:val="18"/>
        <w:szCs w:val="18"/>
      </w:rPr>
      <w:t>第</w:t>
    </w:r>
    <w:r>
      <w:rPr>
        <w:spacing w:val="-28"/>
        <w:sz w:val="18"/>
        <w:szCs w:val="18"/>
      </w:rPr>
      <w:t xml:space="preserve"> </w:t>
    </w:r>
    <w:r>
      <w:rPr>
        <w:b/>
        <w:bCs/>
        <w:spacing w:val="-13"/>
        <w:sz w:val="18"/>
        <w:szCs w:val="18"/>
      </w:rPr>
      <w:t>306</w:t>
    </w:r>
    <w:r>
      <w:rPr>
        <w:spacing w:val="-13"/>
        <w:sz w:val="18"/>
        <w:szCs w:val="18"/>
      </w:rPr>
      <w:t xml:space="preserve"> </w:t>
    </w:r>
    <w:r>
      <w:rPr>
        <w:b/>
        <w:bCs/>
        <w:spacing w:val="-13"/>
        <w:sz w:val="18"/>
        <w:szCs w:val="18"/>
      </w:rPr>
      <w:t>页</w:t>
    </w:r>
    <w:r>
      <w:rPr>
        <w:spacing w:val="-27"/>
        <w:sz w:val="18"/>
        <w:szCs w:val="18"/>
      </w:rPr>
      <w:t xml:space="preserve"> </w:t>
    </w:r>
    <w:r>
      <w:rPr>
        <w:b/>
        <w:bCs/>
        <w:spacing w:val="-13"/>
        <w:sz w:val="18"/>
        <w:szCs w:val="18"/>
      </w:rPr>
      <w:t>共</w:t>
    </w:r>
    <w:r>
      <w:rPr>
        <w:spacing w:val="-39"/>
        <w:sz w:val="18"/>
        <w:szCs w:val="18"/>
      </w:rPr>
      <w:t xml:space="preserve"> </w:t>
    </w:r>
    <w:r>
      <w:rPr>
        <w:b/>
        <w:bCs/>
        <w:spacing w:val="-13"/>
        <w:sz w:val="18"/>
        <w:szCs w:val="18"/>
      </w:rPr>
      <w:t>499</w:t>
    </w:r>
    <w:r>
      <w:rPr>
        <w:spacing w:val="-13"/>
        <w:sz w:val="18"/>
        <w:szCs w:val="18"/>
      </w:rPr>
      <w:t xml:space="preserve"> </w:t>
    </w:r>
    <w:r>
      <w:rPr>
        <w:b/>
        <w:bCs/>
        <w:spacing w:val="-13"/>
        <w:sz w:val="18"/>
        <w:szCs w:val="18"/>
      </w:rPr>
      <w:t>页</w:t>
    </w:r>
  </w:p>
</w:ftr>
</file>

<file path=word/footer2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8844EF">
    <w:pPr>
      <w:spacing w:after="13" w:line="454" w:lineRule="exact"/>
    </w:pPr>
  </w:p>
  <w:p w14:paraId="26851EEC">
    <w:pPr>
      <w:pStyle w:val="2"/>
      <w:spacing w:line="207" w:lineRule="auto"/>
      <w:ind w:left="5067"/>
      <w:rPr>
        <w:sz w:val="18"/>
        <w:szCs w:val="18"/>
      </w:rPr>
    </w:pPr>
    <w:r>
      <w:rPr>
        <w:b/>
        <w:bCs/>
        <w:spacing w:val="-13"/>
        <w:sz w:val="18"/>
        <w:szCs w:val="18"/>
      </w:rPr>
      <w:t>第</w:t>
    </w:r>
    <w:r>
      <w:rPr>
        <w:spacing w:val="-28"/>
        <w:sz w:val="18"/>
        <w:szCs w:val="18"/>
      </w:rPr>
      <w:t xml:space="preserve"> </w:t>
    </w:r>
    <w:r>
      <w:rPr>
        <w:b/>
        <w:bCs/>
        <w:spacing w:val="-13"/>
        <w:sz w:val="18"/>
        <w:szCs w:val="18"/>
      </w:rPr>
      <w:t>307</w:t>
    </w:r>
    <w:r>
      <w:rPr>
        <w:spacing w:val="-13"/>
        <w:sz w:val="18"/>
        <w:szCs w:val="18"/>
      </w:rPr>
      <w:t xml:space="preserve"> </w:t>
    </w:r>
    <w:r>
      <w:rPr>
        <w:b/>
        <w:bCs/>
        <w:spacing w:val="-13"/>
        <w:sz w:val="18"/>
        <w:szCs w:val="18"/>
      </w:rPr>
      <w:t>页</w:t>
    </w:r>
    <w:r>
      <w:rPr>
        <w:spacing w:val="-27"/>
        <w:sz w:val="18"/>
        <w:szCs w:val="18"/>
      </w:rPr>
      <w:t xml:space="preserve"> </w:t>
    </w:r>
    <w:r>
      <w:rPr>
        <w:b/>
        <w:bCs/>
        <w:spacing w:val="-13"/>
        <w:sz w:val="18"/>
        <w:szCs w:val="18"/>
      </w:rPr>
      <w:t>共</w:t>
    </w:r>
    <w:r>
      <w:rPr>
        <w:spacing w:val="-39"/>
        <w:sz w:val="18"/>
        <w:szCs w:val="18"/>
      </w:rPr>
      <w:t xml:space="preserve"> </w:t>
    </w:r>
    <w:r>
      <w:rPr>
        <w:b/>
        <w:bCs/>
        <w:spacing w:val="-13"/>
        <w:sz w:val="18"/>
        <w:szCs w:val="18"/>
      </w:rPr>
      <w:t>499</w:t>
    </w:r>
    <w:r>
      <w:rPr>
        <w:spacing w:val="-13"/>
        <w:sz w:val="18"/>
        <w:szCs w:val="18"/>
      </w:rPr>
      <w:t xml:space="preserve"> </w:t>
    </w:r>
    <w:r>
      <w:rPr>
        <w:b/>
        <w:bCs/>
        <w:spacing w:val="-13"/>
        <w:sz w:val="18"/>
        <w:szCs w:val="18"/>
      </w:rPr>
      <w:t>页</w:t>
    </w:r>
  </w:p>
</w:ftr>
</file>

<file path=word/footer2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6B7992">
    <w:pPr>
      <w:spacing w:after="13" w:line="454" w:lineRule="exact"/>
    </w:pPr>
  </w:p>
  <w:p w14:paraId="3149829A">
    <w:pPr>
      <w:pStyle w:val="2"/>
      <w:spacing w:line="207" w:lineRule="auto"/>
      <w:ind w:left="5067"/>
      <w:rPr>
        <w:sz w:val="18"/>
        <w:szCs w:val="18"/>
      </w:rPr>
    </w:pPr>
    <w:r>
      <w:rPr>
        <w:b/>
        <w:bCs/>
        <w:spacing w:val="-13"/>
        <w:sz w:val="18"/>
        <w:szCs w:val="18"/>
      </w:rPr>
      <w:t>第</w:t>
    </w:r>
    <w:r>
      <w:rPr>
        <w:spacing w:val="-28"/>
        <w:sz w:val="18"/>
        <w:szCs w:val="18"/>
      </w:rPr>
      <w:t xml:space="preserve"> </w:t>
    </w:r>
    <w:r>
      <w:rPr>
        <w:b/>
        <w:bCs/>
        <w:spacing w:val="-13"/>
        <w:sz w:val="18"/>
        <w:szCs w:val="18"/>
      </w:rPr>
      <w:t>308</w:t>
    </w:r>
    <w:r>
      <w:rPr>
        <w:spacing w:val="-13"/>
        <w:sz w:val="18"/>
        <w:szCs w:val="18"/>
      </w:rPr>
      <w:t xml:space="preserve"> </w:t>
    </w:r>
    <w:r>
      <w:rPr>
        <w:b/>
        <w:bCs/>
        <w:spacing w:val="-13"/>
        <w:sz w:val="18"/>
        <w:szCs w:val="18"/>
      </w:rPr>
      <w:t>页</w:t>
    </w:r>
    <w:r>
      <w:rPr>
        <w:spacing w:val="-27"/>
        <w:sz w:val="18"/>
        <w:szCs w:val="18"/>
      </w:rPr>
      <w:t xml:space="preserve"> </w:t>
    </w:r>
    <w:r>
      <w:rPr>
        <w:b/>
        <w:bCs/>
        <w:spacing w:val="-13"/>
        <w:sz w:val="18"/>
        <w:szCs w:val="18"/>
      </w:rPr>
      <w:t>共</w:t>
    </w:r>
    <w:r>
      <w:rPr>
        <w:spacing w:val="-39"/>
        <w:sz w:val="18"/>
        <w:szCs w:val="18"/>
      </w:rPr>
      <w:t xml:space="preserve"> </w:t>
    </w:r>
    <w:r>
      <w:rPr>
        <w:b/>
        <w:bCs/>
        <w:spacing w:val="-13"/>
        <w:sz w:val="18"/>
        <w:szCs w:val="18"/>
      </w:rPr>
      <w:t>499</w:t>
    </w:r>
    <w:r>
      <w:rPr>
        <w:spacing w:val="-13"/>
        <w:sz w:val="18"/>
        <w:szCs w:val="18"/>
      </w:rPr>
      <w:t xml:space="preserve"> </w:t>
    </w:r>
    <w:r>
      <w:rPr>
        <w:b/>
        <w:bCs/>
        <w:spacing w:val="-13"/>
        <w:sz w:val="18"/>
        <w:szCs w:val="18"/>
      </w:rPr>
      <w:t>页</w:t>
    </w:r>
  </w:p>
</w:ftr>
</file>

<file path=word/footer2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A74906">
    <w:pPr>
      <w:spacing w:after="13" w:line="454" w:lineRule="exact"/>
    </w:pPr>
  </w:p>
  <w:p w14:paraId="534BA29E">
    <w:pPr>
      <w:pStyle w:val="2"/>
      <w:spacing w:line="207" w:lineRule="auto"/>
      <w:ind w:left="5067"/>
      <w:rPr>
        <w:sz w:val="18"/>
        <w:szCs w:val="18"/>
      </w:rPr>
    </w:pPr>
    <w:r>
      <w:rPr>
        <w:b/>
        <w:bCs/>
        <w:spacing w:val="-13"/>
        <w:sz w:val="18"/>
        <w:szCs w:val="18"/>
      </w:rPr>
      <w:t>第</w:t>
    </w:r>
    <w:r>
      <w:rPr>
        <w:spacing w:val="-28"/>
        <w:sz w:val="18"/>
        <w:szCs w:val="18"/>
      </w:rPr>
      <w:t xml:space="preserve"> </w:t>
    </w:r>
    <w:r>
      <w:rPr>
        <w:b/>
        <w:bCs/>
        <w:spacing w:val="-13"/>
        <w:sz w:val="18"/>
        <w:szCs w:val="18"/>
      </w:rPr>
      <w:t>309</w:t>
    </w:r>
    <w:r>
      <w:rPr>
        <w:spacing w:val="-13"/>
        <w:sz w:val="18"/>
        <w:szCs w:val="18"/>
      </w:rPr>
      <w:t xml:space="preserve"> </w:t>
    </w:r>
    <w:r>
      <w:rPr>
        <w:b/>
        <w:bCs/>
        <w:spacing w:val="-13"/>
        <w:sz w:val="18"/>
        <w:szCs w:val="18"/>
      </w:rPr>
      <w:t>页</w:t>
    </w:r>
    <w:r>
      <w:rPr>
        <w:spacing w:val="-27"/>
        <w:sz w:val="18"/>
        <w:szCs w:val="18"/>
      </w:rPr>
      <w:t xml:space="preserve"> </w:t>
    </w:r>
    <w:r>
      <w:rPr>
        <w:b/>
        <w:bCs/>
        <w:spacing w:val="-13"/>
        <w:sz w:val="18"/>
        <w:szCs w:val="18"/>
      </w:rPr>
      <w:t>共</w:t>
    </w:r>
    <w:r>
      <w:rPr>
        <w:spacing w:val="-39"/>
        <w:sz w:val="18"/>
        <w:szCs w:val="18"/>
      </w:rPr>
      <w:t xml:space="preserve"> </w:t>
    </w:r>
    <w:r>
      <w:rPr>
        <w:b/>
        <w:bCs/>
        <w:spacing w:val="-13"/>
        <w:sz w:val="18"/>
        <w:szCs w:val="18"/>
      </w:rPr>
      <w:t>499</w:t>
    </w:r>
    <w:r>
      <w:rPr>
        <w:spacing w:val="-13"/>
        <w:sz w:val="18"/>
        <w:szCs w:val="18"/>
      </w:rPr>
      <w:t xml:space="preserve"> </w:t>
    </w:r>
    <w:r>
      <w:rPr>
        <w:b/>
        <w:bCs/>
        <w:spacing w:val="-13"/>
        <w:sz w:val="18"/>
        <w:szCs w:val="18"/>
      </w:rPr>
      <w:t>页</w:t>
    </w:r>
  </w:p>
</w:ftr>
</file>

<file path=word/footer2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93678F">
    <w:pPr>
      <w:spacing w:after="13" w:line="454" w:lineRule="exact"/>
    </w:pPr>
  </w:p>
  <w:p w14:paraId="16F9E95C">
    <w:pPr>
      <w:pStyle w:val="2"/>
      <w:spacing w:line="207" w:lineRule="auto"/>
      <w:ind w:left="5067"/>
      <w:rPr>
        <w:sz w:val="18"/>
        <w:szCs w:val="18"/>
      </w:rPr>
    </w:pPr>
    <w:r>
      <w:rPr>
        <w:b/>
        <w:bCs/>
        <w:spacing w:val="-13"/>
        <w:sz w:val="18"/>
        <w:szCs w:val="18"/>
      </w:rPr>
      <w:t>第</w:t>
    </w:r>
    <w:r>
      <w:rPr>
        <w:spacing w:val="-28"/>
        <w:sz w:val="18"/>
        <w:szCs w:val="18"/>
      </w:rPr>
      <w:t xml:space="preserve"> </w:t>
    </w:r>
    <w:r>
      <w:rPr>
        <w:b/>
        <w:bCs/>
        <w:spacing w:val="-13"/>
        <w:sz w:val="18"/>
        <w:szCs w:val="18"/>
      </w:rPr>
      <w:t>310</w:t>
    </w:r>
    <w:r>
      <w:rPr>
        <w:spacing w:val="-13"/>
        <w:sz w:val="18"/>
        <w:szCs w:val="18"/>
      </w:rPr>
      <w:t xml:space="preserve"> </w:t>
    </w:r>
    <w:r>
      <w:rPr>
        <w:b/>
        <w:bCs/>
        <w:spacing w:val="-13"/>
        <w:sz w:val="18"/>
        <w:szCs w:val="18"/>
      </w:rPr>
      <w:t>页</w:t>
    </w:r>
    <w:r>
      <w:rPr>
        <w:spacing w:val="-27"/>
        <w:sz w:val="18"/>
        <w:szCs w:val="18"/>
      </w:rPr>
      <w:t xml:space="preserve"> </w:t>
    </w:r>
    <w:r>
      <w:rPr>
        <w:b/>
        <w:bCs/>
        <w:spacing w:val="-13"/>
        <w:sz w:val="18"/>
        <w:szCs w:val="18"/>
      </w:rPr>
      <w:t>共</w:t>
    </w:r>
    <w:r>
      <w:rPr>
        <w:spacing w:val="-39"/>
        <w:sz w:val="18"/>
        <w:szCs w:val="18"/>
      </w:rPr>
      <w:t xml:space="preserve"> </w:t>
    </w:r>
    <w:r>
      <w:rPr>
        <w:b/>
        <w:bCs/>
        <w:spacing w:val="-13"/>
        <w:sz w:val="18"/>
        <w:szCs w:val="18"/>
      </w:rPr>
      <w:t>499</w:t>
    </w:r>
    <w:r>
      <w:rPr>
        <w:spacing w:val="-13"/>
        <w:sz w:val="18"/>
        <w:szCs w:val="18"/>
      </w:rPr>
      <w:t xml:space="preserve"> </w:t>
    </w:r>
    <w:r>
      <w:rPr>
        <w:b/>
        <w:bCs/>
        <w:spacing w:val="-13"/>
        <w:sz w:val="18"/>
        <w:szCs w:val="18"/>
      </w:rPr>
      <w:t>页</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BA2827">
    <w:pPr>
      <w:spacing w:after="13" w:line="454" w:lineRule="exact"/>
    </w:pPr>
  </w:p>
  <w:p w14:paraId="0C6078F6">
    <w:pPr>
      <w:pStyle w:val="2"/>
      <w:spacing w:line="207" w:lineRule="auto"/>
      <w:ind w:left="5106"/>
      <w:rPr>
        <w:sz w:val="18"/>
        <w:szCs w:val="18"/>
      </w:rPr>
    </w:pPr>
    <w:r>
      <w:rPr>
        <w:b/>
        <w:bCs/>
        <w:spacing w:val="-13"/>
        <w:sz w:val="18"/>
        <w:szCs w:val="18"/>
      </w:rPr>
      <w:t>第</w:t>
    </w:r>
    <w:r>
      <w:rPr>
        <w:spacing w:val="-28"/>
        <w:sz w:val="18"/>
        <w:szCs w:val="18"/>
      </w:rPr>
      <w:t xml:space="preserve"> </w:t>
    </w:r>
    <w:r>
      <w:rPr>
        <w:b/>
        <w:bCs/>
        <w:spacing w:val="-13"/>
        <w:sz w:val="18"/>
        <w:szCs w:val="18"/>
      </w:rPr>
      <w:t>53</w:t>
    </w:r>
    <w:r>
      <w:rPr>
        <w:spacing w:val="-13"/>
        <w:sz w:val="18"/>
        <w:szCs w:val="18"/>
      </w:rPr>
      <w:t xml:space="preserve"> </w:t>
    </w:r>
    <w:r>
      <w:rPr>
        <w:b/>
        <w:bCs/>
        <w:spacing w:val="-13"/>
        <w:sz w:val="18"/>
        <w:szCs w:val="18"/>
      </w:rPr>
      <w:t>页</w:t>
    </w:r>
    <w:r>
      <w:rPr>
        <w:spacing w:val="-28"/>
        <w:sz w:val="18"/>
        <w:szCs w:val="18"/>
      </w:rPr>
      <w:t xml:space="preserve"> </w:t>
    </w:r>
    <w:r>
      <w:rPr>
        <w:b/>
        <w:bCs/>
        <w:spacing w:val="-13"/>
        <w:sz w:val="18"/>
        <w:szCs w:val="18"/>
      </w:rPr>
      <w:t>共</w:t>
    </w:r>
    <w:r>
      <w:rPr>
        <w:spacing w:val="-38"/>
        <w:sz w:val="18"/>
        <w:szCs w:val="18"/>
      </w:rPr>
      <w:t xml:space="preserve"> </w:t>
    </w:r>
    <w:r>
      <w:rPr>
        <w:b/>
        <w:bCs/>
        <w:spacing w:val="-13"/>
        <w:sz w:val="18"/>
        <w:szCs w:val="18"/>
      </w:rPr>
      <w:t>499</w:t>
    </w:r>
    <w:r>
      <w:rPr>
        <w:spacing w:val="-13"/>
        <w:sz w:val="18"/>
        <w:szCs w:val="18"/>
      </w:rPr>
      <w:t xml:space="preserve"> </w:t>
    </w:r>
    <w:r>
      <w:rPr>
        <w:b/>
        <w:bCs/>
        <w:spacing w:val="-13"/>
        <w:sz w:val="18"/>
        <w:szCs w:val="18"/>
      </w:rPr>
      <w:t>页</w:t>
    </w:r>
  </w:p>
</w:ftr>
</file>

<file path=word/footer2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FAB469">
    <w:pPr>
      <w:spacing w:after="13" w:line="454" w:lineRule="exact"/>
    </w:pPr>
  </w:p>
  <w:p w14:paraId="6B75882F">
    <w:pPr>
      <w:pStyle w:val="2"/>
      <w:spacing w:line="207" w:lineRule="auto"/>
      <w:ind w:left="5067"/>
      <w:rPr>
        <w:sz w:val="18"/>
        <w:szCs w:val="18"/>
      </w:rPr>
    </w:pPr>
    <w:r>
      <w:rPr>
        <w:b/>
        <w:bCs/>
        <w:spacing w:val="-13"/>
        <w:sz w:val="18"/>
        <w:szCs w:val="18"/>
      </w:rPr>
      <w:t>第</w:t>
    </w:r>
    <w:r>
      <w:rPr>
        <w:spacing w:val="-28"/>
        <w:sz w:val="18"/>
        <w:szCs w:val="18"/>
      </w:rPr>
      <w:t xml:space="preserve"> </w:t>
    </w:r>
    <w:r>
      <w:rPr>
        <w:b/>
        <w:bCs/>
        <w:spacing w:val="-13"/>
        <w:sz w:val="18"/>
        <w:szCs w:val="18"/>
      </w:rPr>
      <w:t>311</w:t>
    </w:r>
    <w:r>
      <w:rPr>
        <w:spacing w:val="-13"/>
        <w:sz w:val="18"/>
        <w:szCs w:val="18"/>
      </w:rPr>
      <w:t xml:space="preserve"> </w:t>
    </w:r>
    <w:r>
      <w:rPr>
        <w:b/>
        <w:bCs/>
        <w:spacing w:val="-13"/>
        <w:sz w:val="18"/>
        <w:szCs w:val="18"/>
      </w:rPr>
      <w:t>页</w:t>
    </w:r>
    <w:r>
      <w:rPr>
        <w:spacing w:val="-27"/>
        <w:sz w:val="18"/>
        <w:szCs w:val="18"/>
      </w:rPr>
      <w:t xml:space="preserve"> </w:t>
    </w:r>
    <w:r>
      <w:rPr>
        <w:b/>
        <w:bCs/>
        <w:spacing w:val="-13"/>
        <w:sz w:val="18"/>
        <w:szCs w:val="18"/>
      </w:rPr>
      <w:t>共</w:t>
    </w:r>
    <w:r>
      <w:rPr>
        <w:spacing w:val="-39"/>
        <w:sz w:val="18"/>
        <w:szCs w:val="18"/>
      </w:rPr>
      <w:t xml:space="preserve"> </w:t>
    </w:r>
    <w:r>
      <w:rPr>
        <w:b/>
        <w:bCs/>
        <w:spacing w:val="-13"/>
        <w:sz w:val="18"/>
        <w:szCs w:val="18"/>
      </w:rPr>
      <w:t>499</w:t>
    </w:r>
    <w:r>
      <w:rPr>
        <w:spacing w:val="-13"/>
        <w:sz w:val="18"/>
        <w:szCs w:val="18"/>
      </w:rPr>
      <w:t xml:space="preserve"> </w:t>
    </w:r>
    <w:r>
      <w:rPr>
        <w:b/>
        <w:bCs/>
        <w:spacing w:val="-13"/>
        <w:sz w:val="18"/>
        <w:szCs w:val="18"/>
      </w:rPr>
      <w:t>页</w:t>
    </w:r>
  </w:p>
</w:ftr>
</file>

<file path=word/footer2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2070E6">
    <w:pPr>
      <w:spacing w:after="13" w:line="454" w:lineRule="exact"/>
    </w:pPr>
  </w:p>
  <w:p w14:paraId="42F184AB">
    <w:pPr>
      <w:pStyle w:val="2"/>
      <w:spacing w:line="207" w:lineRule="auto"/>
      <w:ind w:left="5067"/>
      <w:rPr>
        <w:sz w:val="18"/>
        <w:szCs w:val="18"/>
      </w:rPr>
    </w:pPr>
    <w:r>
      <w:rPr>
        <w:b/>
        <w:bCs/>
        <w:spacing w:val="-13"/>
        <w:sz w:val="18"/>
        <w:szCs w:val="18"/>
      </w:rPr>
      <w:t>第</w:t>
    </w:r>
    <w:r>
      <w:rPr>
        <w:spacing w:val="-28"/>
        <w:sz w:val="18"/>
        <w:szCs w:val="18"/>
      </w:rPr>
      <w:t xml:space="preserve"> </w:t>
    </w:r>
    <w:r>
      <w:rPr>
        <w:b/>
        <w:bCs/>
        <w:spacing w:val="-13"/>
        <w:sz w:val="18"/>
        <w:szCs w:val="18"/>
      </w:rPr>
      <w:t>312</w:t>
    </w:r>
    <w:r>
      <w:rPr>
        <w:spacing w:val="-13"/>
        <w:sz w:val="18"/>
        <w:szCs w:val="18"/>
      </w:rPr>
      <w:t xml:space="preserve"> </w:t>
    </w:r>
    <w:r>
      <w:rPr>
        <w:b/>
        <w:bCs/>
        <w:spacing w:val="-13"/>
        <w:sz w:val="18"/>
        <w:szCs w:val="18"/>
      </w:rPr>
      <w:t>页</w:t>
    </w:r>
    <w:r>
      <w:rPr>
        <w:spacing w:val="-27"/>
        <w:sz w:val="18"/>
        <w:szCs w:val="18"/>
      </w:rPr>
      <w:t xml:space="preserve"> </w:t>
    </w:r>
    <w:r>
      <w:rPr>
        <w:b/>
        <w:bCs/>
        <w:spacing w:val="-13"/>
        <w:sz w:val="18"/>
        <w:szCs w:val="18"/>
      </w:rPr>
      <w:t>共</w:t>
    </w:r>
    <w:r>
      <w:rPr>
        <w:spacing w:val="-39"/>
        <w:sz w:val="18"/>
        <w:szCs w:val="18"/>
      </w:rPr>
      <w:t xml:space="preserve"> </w:t>
    </w:r>
    <w:r>
      <w:rPr>
        <w:b/>
        <w:bCs/>
        <w:spacing w:val="-13"/>
        <w:sz w:val="18"/>
        <w:szCs w:val="18"/>
      </w:rPr>
      <w:t>499</w:t>
    </w:r>
    <w:r>
      <w:rPr>
        <w:spacing w:val="-13"/>
        <w:sz w:val="18"/>
        <w:szCs w:val="18"/>
      </w:rPr>
      <w:t xml:space="preserve"> </w:t>
    </w:r>
    <w:r>
      <w:rPr>
        <w:b/>
        <w:bCs/>
        <w:spacing w:val="-13"/>
        <w:sz w:val="18"/>
        <w:szCs w:val="18"/>
      </w:rPr>
      <w:t>页</w:t>
    </w:r>
  </w:p>
</w:ftr>
</file>

<file path=word/footer2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F5DA47">
    <w:pPr>
      <w:spacing w:after="13" w:line="454" w:lineRule="exact"/>
    </w:pPr>
  </w:p>
  <w:p w14:paraId="7A18A1E3">
    <w:pPr>
      <w:pStyle w:val="2"/>
      <w:spacing w:line="207" w:lineRule="auto"/>
      <w:ind w:left="5067"/>
      <w:rPr>
        <w:sz w:val="18"/>
        <w:szCs w:val="18"/>
      </w:rPr>
    </w:pPr>
    <w:r>
      <w:rPr>
        <w:b/>
        <w:bCs/>
        <w:spacing w:val="-13"/>
        <w:sz w:val="18"/>
        <w:szCs w:val="18"/>
      </w:rPr>
      <w:t>第</w:t>
    </w:r>
    <w:r>
      <w:rPr>
        <w:spacing w:val="-28"/>
        <w:sz w:val="18"/>
        <w:szCs w:val="18"/>
      </w:rPr>
      <w:t xml:space="preserve"> </w:t>
    </w:r>
    <w:r>
      <w:rPr>
        <w:b/>
        <w:bCs/>
        <w:spacing w:val="-13"/>
        <w:sz w:val="18"/>
        <w:szCs w:val="18"/>
      </w:rPr>
      <w:t>313</w:t>
    </w:r>
    <w:r>
      <w:rPr>
        <w:spacing w:val="-13"/>
        <w:sz w:val="18"/>
        <w:szCs w:val="18"/>
      </w:rPr>
      <w:t xml:space="preserve"> </w:t>
    </w:r>
    <w:r>
      <w:rPr>
        <w:b/>
        <w:bCs/>
        <w:spacing w:val="-13"/>
        <w:sz w:val="18"/>
        <w:szCs w:val="18"/>
      </w:rPr>
      <w:t>页</w:t>
    </w:r>
    <w:r>
      <w:rPr>
        <w:spacing w:val="-27"/>
        <w:sz w:val="18"/>
        <w:szCs w:val="18"/>
      </w:rPr>
      <w:t xml:space="preserve"> </w:t>
    </w:r>
    <w:r>
      <w:rPr>
        <w:b/>
        <w:bCs/>
        <w:spacing w:val="-13"/>
        <w:sz w:val="18"/>
        <w:szCs w:val="18"/>
      </w:rPr>
      <w:t>共</w:t>
    </w:r>
    <w:r>
      <w:rPr>
        <w:spacing w:val="-39"/>
        <w:sz w:val="18"/>
        <w:szCs w:val="18"/>
      </w:rPr>
      <w:t xml:space="preserve"> </w:t>
    </w:r>
    <w:r>
      <w:rPr>
        <w:b/>
        <w:bCs/>
        <w:spacing w:val="-13"/>
        <w:sz w:val="18"/>
        <w:szCs w:val="18"/>
      </w:rPr>
      <w:t>499</w:t>
    </w:r>
    <w:r>
      <w:rPr>
        <w:spacing w:val="-13"/>
        <w:sz w:val="18"/>
        <w:szCs w:val="18"/>
      </w:rPr>
      <w:t xml:space="preserve"> </w:t>
    </w:r>
    <w:r>
      <w:rPr>
        <w:b/>
        <w:bCs/>
        <w:spacing w:val="-13"/>
        <w:sz w:val="18"/>
        <w:szCs w:val="18"/>
      </w:rPr>
      <w:t>页</w:t>
    </w:r>
  </w:p>
</w:ftr>
</file>

<file path=word/footer2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857B17">
    <w:pPr>
      <w:spacing w:after="13" w:line="454" w:lineRule="exact"/>
    </w:pPr>
  </w:p>
  <w:p w14:paraId="4E067D67">
    <w:pPr>
      <w:pStyle w:val="2"/>
      <w:spacing w:line="207" w:lineRule="auto"/>
      <w:ind w:left="5067"/>
      <w:rPr>
        <w:sz w:val="18"/>
        <w:szCs w:val="18"/>
      </w:rPr>
    </w:pPr>
    <w:r>
      <w:rPr>
        <w:b/>
        <w:bCs/>
        <w:spacing w:val="-13"/>
        <w:sz w:val="18"/>
        <w:szCs w:val="18"/>
      </w:rPr>
      <w:t>第</w:t>
    </w:r>
    <w:r>
      <w:rPr>
        <w:spacing w:val="-28"/>
        <w:sz w:val="18"/>
        <w:szCs w:val="18"/>
      </w:rPr>
      <w:t xml:space="preserve"> </w:t>
    </w:r>
    <w:r>
      <w:rPr>
        <w:b/>
        <w:bCs/>
        <w:spacing w:val="-13"/>
        <w:sz w:val="18"/>
        <w:szCs w:val="18"/>
      </w:rPr>
      <w:t>314</w:t>
    </w:r>
    <w:r>
      <w:rPr>
        <w:spacing w:val="-13"/>
        <w:sz w:val="18"/>
        <w:szCs w:val="18"/>
      </w:rPr>
      <w:t xml:space="preserve"> </w:t>
    </w:r>
    <w:r>
      <w:rPr>
        <w:b/>
        <w:bCs/>
        <w:spacing w:val="-13"/>
        <w:sz w:val="18"/>
        <w:szCs w:val="18"/>
      </w:rPr>
      <w:t>页</w:t>
    </w:r>
    <w:r>
      <w:rPr>
        <w:spacing w:val="-27"/>
        <w:sz w:val="18"/>
        <w:szCs w:val="18"/>
      </w:rPr>
      <w:t xml:space="preserve"> </w:t>
    </w:r>
    <w:r>
      <w:rPr>
        <w:b/>
        <w:bCs/>
        <w:spacing w:val="-13"/>
        <w:sz w:val="18"/>
        <w:szCs w:val="18"/>
      </w:rPr>
      <w:t>共</w:t>
    </w:r>
    <w:r>
      <w:rPr>
        <w:spacing w:val="-39"/>
        <w:sz w:val="18"/>
        <w:szCs w:val="18"/>
      </w:rPr>
      <w:t xml:space="preserve"> </w:t>
    </w:r>
    <w:r>
      <w:rPr>
        <w:b/>
        <w:bCs/>
        <w:spacing w:val="-13"/>
        <w:sz w:val="18"/>
        <w:szCs w:val="18"/>
      </w:rPr>
      <w:t>499</w:t>
    </w:r>
    <w:r>
      <w:rPr>
        <w:spacing w:val="-13"/>
        <w:sz w:val="18"/>
        <w:szCs w:val="18"/>
      </w:rPr>
      <w:t xml:space="preserve"> </w:t>
    </w:r>
    <w:r>
      <w:rPr>
        <w:b/>
        <w:bCs/>
        <w:spacing w:val="-13"/>
        <w:sz w:val="18"/>
        <w:szCs w:val="18"/>
      </w:rPr>
      <w:t>页</w:t>
    </w:r>
  </w:p>
</w:ftr>
</file>

<file path=word/footer2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5781D7">
    <w:pPr>
      <w:spacing w:after="13" w:line="454" w:lineRule="exact"/>
    </w:pPr>
  </w:p>
  <w:p w14:paraId="7E9B36E8">
    <w:pPr>
      <w:pStyle w:val="2"/>
      <w:spacing w:line="207" w:lineRule="auto"/>
      <w:ind w:left="5067"/>
      <w:rPr>
        <w:sz w:val="18"/>
        <w:szCs w:val="18"/>
      </w:rPr>
    </w:pPr>
    <w:r>
      <w:rPr>
        <w:b/>
        <w:bCs/>
        <w:spacing w:val="-13"/>
        <w:sz w:val="18"/>
        <w:szCs w:val="18"/>
      </w:rPr>
      <w:t>第</w:t>
    </w:r>
    <w:r>
      <w:rPr>
        <w:spacing w:val="-28"/>
        <w:sz w:val="18"/>
        <w:szCs w:val="18"/>
      </w:rPr>
      <w:t xml:space="preserve"> </w:t>
    </w:r>
    <w:r>
      <w:rPr>
        <w:b/>
        <w:bCs/>
        <w:spacing w:val="-13"/>
        <w:sz w:val="18"/>
        <w:szCs w:val="18"/>
      </w:rPr>
      <w:t>315</w:t>
    </w:r>
    <w:r>
      <w:rPr>
        <w:spacing w:val="-13"/>
        <w:sz w:val="18"/>
        <w:szCs w:val="18"/>
      </w:rPr>
      <w:t xml:space="preserve"> </w:t>
    </w:r>
    <w:r>
      <w:rPr>
        <w:b/>
        <w:bCs/>
        <w:spacing w:val="-13"/>
        <w:sz w:val="18"/>
        <w:szCs w:val="18"/>
      </w:rPr>
      <w:t>页</w:t>
    </w:r>
    <w:r>
      <w:rPr>
        <w:spacing w:val="-27"/>
        <w:sz w:val="18"/>
        <w:szCs w:val="18"/>
      </w:rPr>
      <w:t xml:space="preserve"> </w:t>
    </w:r>
    <w:r>
      <w:rPr>
        <w:b/>
        <w:bCs/>
        <w:spacing w:val="-13"/>
        <w:sz w:val="18"/>
        <w:szCs w:val="18"/>
      </w:rPr>
      <w:t>共</w:t>
    </w:r>
    <w:r>
      <w:rPr>
        <w:spacing w:val="-39"/>
        <w:sz w:val="18"/>
        <w:szCs w:val="18"/>
      </w:rPr>
      <w:t xml:space="preserve"> </w:t>
    </w:r>
    <w:r>
      <w:rPr>
        <w:b/>
        <w:bCs/>
        <w:spacing w:val="-13"/>
        <w:sz w:val="18"/>
        <w:szCs w:val="18"/>
      </w:rPr>
      <w:t>499</w:t>
    </w:r>
    <w:r>
      <w:rPr>
        <w:spacing w:val="-13"/>
        <w:sz w:val="18"/>
        <w:szCs w:val="18"/>
      </w:rPr>
      <w:t xml:space="preserve"> </w:t>
    </w:r>
    <w:r>
      <w:rPr>
        <w:b/>
        <w:bCs/>
        <w:spacing w:val="-13"/>
        <w:sz w:val="18"/>
        <w:szCs w:val="18"/>
      </w:rPr>
      <w:t>页</w:t>
    </w:r>
  </w:p>
</w:ftr>
</file>

<file path=word/footer2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DF0D48">
    <w:pPr>
      <w:spacing w:after="13" w:line="454" w:lineRule="exact"/>
    </w:pPr>
  </w:p>
  <w:p w14:paraId="294F3018">
    <w:pPr>
      <w:pStyle w:val="2"/>
      <w:spacing w:line="207" w:lineRule="auto"/>
      <w:ind w:left="5067"/>
      <w:rPr>
        <w:sz w:val="18"/>
        <w:szCs w:val="18"/>
      </w:rPr>
    </w:pPr>
    <w:r>
      <w:rPr>
        <w:b/>
        <w:bCs/>
        <w:spacing w:val="-13"/>
        <w:sz w:val="18"/>
        <w:szCs w:val="18"/>
      </w:rPr>
      <w:t>第</w:t>
    </w:r>
    <w:r>
      <w:rPr>
        <w:spacing w:val="-28"/>
        <w:sz w:val="18"/>
        <w:szCs w:val="18"/>
      </w:rPr>
      <w:t xml:space="preserve"> </w:t>
    </w:r>
    <w:r>
      <w:rPr>
        <w:b/>
        <w:bCs/>
        <w:spacing w:val="-13"/>
        <w:sz w:val="18"/>
        <w:szCs w:val="18"/>
      </w:rPr>
      <w:t>316</w:t>
    </w:r>
    <w:r>
      <w:rPr>
        <w:spacing w:val="-13"/>
        <w:sz w:val="18"/>
        <w:szCs w:val="18"/>
      </w:rPr>
      <w:t xml:space="preserve"> </w:t>
    </w:r>
    <w:r>
      <w:rPr>
        <w:b/>
        <w:bCs/>
        <w:spacing w:val="-13"/>
        <w:sz w:val="18"/>
        <w:szCs w:val="18"/>
      </w:rPr>
      <w:t>页</w:t>
    </w:r>
    <w:r>
      <w:rPr>
        <w:spacing w:val="-27"/>
        <w:sz w:val="18"/>
        <w:szCs w:val="18"/>
      </w:rPr>
      <w:t xml:space="preserve"> </w:t>
    </w:r>
    <w:r>
      <w:rPr>
        <w:b/>
        <w:bCs/>
        <w:spacing w:val="-13"/>
        <w:sz w:val="18"/>
        <w:szCs w:val="18"/>
      </w:rPr>
      <w:t>共</w:t>
    </w:r>
    <w:r>
      <w:rPr>
        <w:spacing w:val="-39"/>
        <w:sz w:val="18"/>
        <w:szCs w:val="18"/>
      </w:rPr>
      <w:t xml:space="preserve"> </w:t>
    </w:r>
    <w:r>
      <w:rPr>
        <w:b/>
        <w:bCs/>
        <w:spacing w:val="-13"/>
        <w:sz w:val="18"/>
        <w:szCs w:val="18"/>
      </w:rPr>
      <w:t>499</w:t>
    </w:r>
    <w:r>
      <w:rPr>
        <w:spacing w:val="-13"/>
        <w:sz w:val="18"/>
        <w:szCs w:val="18"/>
      </w:rPr>
      <w:t xml:space="preserve"> </w:t>
    </w:r>
    <w:r>
      <w:rPr>
        <w:b/>
        <w:bCs/>
        <w:spacing w:val="-13"/>
        <w:sz w:val="18"/>
        <w:szCs w:val="18"/>
      </w:rPr>
      <w:t>页</w:t>
    </w:r>
  </w:p>
</w:ftr>
</file>

<file path=word/footer2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284623">
    <w:pPr>
      <w:spacing w:after="13" w:line="454" w:lineRule="exact"/>
    </w:pPr>
  </w:p>
  <w:p w14:paraId="4A761F82">
    <w:pPr>
      <w:pStyle w:val="2"/>
      <w:spacing w:line="207" w:lineRule="auto"/>
      <w:ind w:left="5067"/>
      <w:rPr>
        <w:sz w:val="18"/>
        <w:szCs w:val="18"/>
      </w:rPr>
    </w:pPr>
    <w:r>
      <w:rPr>
        <w:b/>
        <w:bCs/>
        <w:spacing w:val="-13"/>
        <w:sz w:val="18"/>
        <w:szCs w:val="18"/>
      </w:rPr>
      <w:t>第</w:t>
    </w:r>
    <w:r>
      <w:rPr>
        <w:spacing w:val="-28"/>
        <w:sz w:val="18"/>
        <w:szCs w:val="18"/>
      </w:rPr>
      <w:t xml:space="preserve"> </w:t>
    </w:r>
    <w:r>
      <w:rPr>
        <w:b/>
        <w:bCs/>
        <w:spacing w:val="-13"/>
        <w:sz w:val="18"/>
        <w:szCs w:val="18"/>
      </w:rPr>
      <w:t>317</w:t>
    </w:r>
    <w:r>
      <w:rPr>
        <w:spacing w:val="-13"/>
        <w:sz w:val="18"/>
        <w:szCs w:val="18"/>
      </w:rPr>
      <w:t xml:space="preserve"> </w:t>
    </w:r>
    <w:r>
      <w:rPr>
        <w:b/>
        <w:bCs/>
        <w:spacing w:val="-13"/>
        <w:sz w:val="18"/>
        <w:szCs w:val="18"/>
      </w:rPr>
      <w:t>页</w:t>
    </w:r>
    <w:r>
      <w:rPr>
        <w:spacing w:val="-27"/>
        <w:sz w:val="18"/>
        <w:szCs w:val="18"/>
      </w:rPr>
      <w:t xml:space="preserve"> </w:t>
    </w:r>
    <w:r>
      <w:rPr>
        <w:b/>
        <w:bCs/>
        <w:spacing w:val="-13"/>
        <w:sz w:val="18"/>
        <w:szCs w:val="18"/>
      </w:rPr>
      <w:t>共</w:t>
    </w:r>
    <w:r>
      <w:rPr>
        <w:spacing w:val="-39"/>
        <w:sz w:val="18"/>
        <w:szCs w:val="18"/>
      </w:rPr>
      <w:t xml:space="preserve"> </w:t>
    </w:r>
    <w:r>
      <w:rPr>
        <w:b/>
        <w:bCs/>
        <w:spacing w:val="-13"/>
        <w:sz w:val="18"/>
        <w:szCs w:val="18"/>
      </w:rPr>
      <w:t>499</w:t>
    </w:r>
    <w:r>
      <w:rPr>
        <w:spacing w:val="-13"/>
        <w:sz w:val="18"/>
        <w:szCs w:val="18"/>
      </w:rPr>
      <w:t xml:space="preserve"> </w:t>
    </w:r>
    <w:r>
      <w:rPr>
        <w:b/>
        <w:bCs/>
        <w:spacing w:val="-13"/>
        <w:sz w:val="18"/>
        <w:szCs w:val="18"/>
      </w:rPr>
      <w:t>页</w:t>
    </w:r>
  </w:p>
</w:ftr>
</file>

<file path=word/footer2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CB2B08">
    <w:pPr>
      <w:spacing w:after="13" w:line="454" w:lineRule="exact"/>
    </w:pPr>
  </w:p>
  <w:p w14:paraId="1CA4237F">
    <w:pPr>
      <w:pStyle w:val="2"/>
      <w:spacing w:line="207" w:lineRule="auto"/>
      <w:ind w:left="5067"/>
      <w:rPr>
        <w:sz w:val="18"/>
        <w:szCs w:val="18"/>
      </w:rPr>
    </w:pPr>
    <w:r>
      <w:rPr>
        <w:b/>
        <w:bCs/>
        <w:spacing w:val="-13"/>
        <w:sz w:val="18"/>
        <w:szCs w:val="18"/>
      </w:rPr>
      <w:t>第</w:t>
    </w:r>
    <w:r>
      <w:rPr>
        <w:spacing w:val="-28"/>
        <w:sz w:val="18"/>
        <w:szCs w:val="18"/>
      </w:rPr>
      <w:t xml:space="preserve"> </w:t>
    </w:r>
    <w:r>
      <w:rPr>
        <w:b/>
        <w:bCs/>
        <w:spacing w:val="-13"/>
        <w:sz w:val="18"/>
        <w:szCs w:val="18"/>
      </w:rPr>
      <w:t>318</w:t>
    </w:r>
    <w:r>
      <w:rPr>
        <w:spacing w:val="-13"/>
        <w:sz w:val="18"/>
        <w:szCs w:val="18"/>
      </w:rPr>
      <w:t xml:space="preserve"> </w:t>
    </w:r>
    <w:r>
      <w:rPr>
        <w:b/>
        <w:bCs/>
        <w:spacing w:val="-13"/>
        <w:sz w:val="18"/>
        <w:szCs w:val="18"/>
      </w:rPr>
      <w:t>页</w:t>
    </w:r>
    <w:r>
      <w:rPr>
        <w:spacing w:val="-27"/>
        <w:sz w:val="18"/>
        <w:szCs w:val="18"/>
      </w:rPr>
      <w:t xml:space="preserve"> </w:t>
    </w:r>
    <w:r>
      <w:rPr>
        <w:b/>
        <w:bCs/>
        <w:spacing w:val="-13"/>
        <w:sz w:val="18"/>
        <w:szCs w:val="18"/>
      </w:rPr>
      <w:t>共</w:t>
    </w:r>
    <w:r>
      <w:rPr>
        <w:spacing w:val="-39"/>
        <w:sz w:val="18"/>
        <w:szCs w:val="18"/>
      </w:rPr>
      <w:t xml:space="preserve"> </w:t>
    </w:r>
    <w:r>
      <w:rPr>
        <w:b/>
        <w:bCs/>
        <w:spacing w:val="-13"/>
        <w:sz w:val="18"/>
        <w:szCs w:val="18"/>
      </w:rPr>
      <w:t>499</w:t>
    </w:r>
    <w:r>
      <w:rPr>
        <w:spacing w:val="-13"/>
        <w:sz w:val="18"/>
        <w:szCs w:val="18"/>
      </w:rPr>
      <w:t xml:space="preserve"> </w:t>
    </w:r>
    <w:r>
      <w:rPr>
        <w:b/>
        <w:bCs/>
        <w:spacing w:val="-13"/>
        <w:sz w:val="18"/>
        <w:szCs w:val="18"/>
      </w:rPr>
      <w:t>页</w:t>
    </w:r>
  </w:p>
</w:ftr>
</file>

<file path=word/footer2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77D4F5">
    <w:pPr>
      <w:spacing w:after="13" w:line="454" w:lineRule="exact"/>
    </w:pPr>
  </w:p>
  <w:p w14:paraId="6A48DF07">
    <w:pPr>
      <w:pStyle w:val="2"/>
      <w:spacing w:line="207" w:lineRule="auto"/>
      <w:ind w:left="5067"/>
      <w:rPr>
        <w:sz w:val="18"/>
        <w:szCs w:val="18"/>
      </w:rPr>
    </w:pPr>
    <w:r>
      <w:rPr>
        <w:b/>
        <w:bCs/>
        <w:spacing w:val="-13"/>
        <w:sz w:val="18"/>
        <w:szCs w:val="18"/>
      </w:rPr>
      <w:t>第</w:t>
    </w:r>
    <w:r>
      <w:rPr>
        <w:spacing w:val="-28"/>
        <w:sz w:val="18"/>
        <w:szCs w:val="18"/>
      </w:rPr>
      <w:t xml:space="preserve"> </w:t>
    </w:r>
    <w:r>
      <w:rPr>
        <w:b/>
        <w:bCs/>
        <w:spacing w:val="-13"/>
        <w:sz w:val="18"/>
        <w:szCs w:val="18"/>
      </w:rPr>
      <w:t>319</w:t>
    </w:r>
    <w:r>
      <w:rPr>
        <w:spacing w:val="-13"/>
        <w:sz w:val="18"/>
        <w:szCs w:val="18"/>
      </w:rPr>
      <w:t xml:space="preserve"> </w:t>
    </w:r>
    <w:r>
      <w:rPr>
        <w:b/>
        <w:bCs/>
        <w:spacing w:val="-13"/>
        <w:sz w:val="18"/>
        <w:szCs w:val="18"/>
      </w:rPr>
      <w:t>页</w:t>
    </w:r>
    <w:r>
      <w:rPr>
        <w:spacing w:val="-27"/>
        <w:sz w:val="18"/>
        <w:szCs w:val="18"/>
      </w:rPr>
      <w:t xml:space="preserve"> </w:t>
    </w:r>
    <w:r>
      <w:rPr>
        <w:b/>
        <w:bCs/>
        <w:spacing w:val="-13"/>
        <w:sz w:val="18"/>
        <w:szCs w:val="18"/>
      </w:rPr>
      <w:t>共</w:t>
    </w:r>
    <w:r>
      <w:rPr>
        <w:spacing w:val="-39"/>
        <w:sz w:val="18"/>
        <w:szCs w:val="18"/>
      </w:rPr>
      <w:t xml:space="preserve"> </w:t>
    </w:r>
    <w:r>
      <w:rPr>
        <w:b/>
        <w:bCs/>
        <w:spacing w:val="-13"/>
        <w:sz w:val="18"/>
        <w:szCs w:val="18"/>
      </w:rPr>
      <w:t>499</w:t>
    </w:r>
    <w:r>
      <w:rPr>
        <w:spacing w:val="-13"/>
        <w:sz w:val="18"/>
        <w:szCs w:val="18"/>
      </w:rPr>
      <w:t xml:space="preserve"> </w:t>
    </w:r>
    <w:r>
      <w:rPr>
        <w:b/>
        <w:bCs/>
        <w:spacing w:val="-13"/>
        <w:sz w:val="18"/>
        <w:szCs w:val="18"/>
      </w:rPr>
      <w:t>页</w:t>
    </w:r>
  </w:p>
</w:ftr>
</file>

<file path=word/footer2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0F3F2B">
    <w:pPr>
      <w:spacing w:after="13" w:line="454" w:lineRule="exact"/>
    </w:pPr>
  </w:p>
  <w:p w14:paraId="038F4B31">
    <w:pPr>
      <w:pStyle w:val="2"/>
      <w:spacing w:line="207" w:lineRule="auto"/>
      <w:ind w:left="5067"/>
      <w:rPr>
        <w:sz w:val="18"/>
        <w:szCs w:val="18"/>
      </w:rPr>
    </w:pPr>
    <w:r>
      <w:rPr>
        <w:b/>
        <w:bCs/>
        <w:spacing w:val="-13"/>
        <w:sz w:val="18"/>
        <w:szCs w:val="18"/>
      </w:rPr>
      <w:t>第</w:t>
    </w:r>
    <w:r>
      <w:rPr>
        <w:spacing w:val="-28"/>
        <w:sz w:val="18"/>
        <w:szCs w:val="18"/>
      </w:rPr>
      <w:t xml:space="preserve"> </w:t>
    </w:r>
    <w:r>
      <w:rPr>
        <w:b/>
        <w:bCs/>
        <w:spacing w:val="-13"/>
        <w:sz w:val="18"/>
        <w:szCs w:val="18"/>
      </w:rPr>
      <w:t>320</w:t>
    </w:r>
    <w:r>
      <w:rPr>
        <w:spacing w:val="-13"/>
        <w:sz w:val="18"/>
        <w:szCs w:val="18"/>
      </w:rPr>
      <w:t xml:space="preserve"> </w:t>
    </w:r>
    <w:r>
      <w:rPr>
        <w:b/>
        <w:bCs/>
        <w:spacing w:val="-13"/>
        <w:sz w:val="18"/>
        <w:szCs w:val="18"/>
      </w:rPr>
      <w:t>页</w:t>
    </w:r>
    <w:r>
      <w:rPr>
        <w:spacing w:val="-27"/>
        <w:sz w:val="18"/>
        <w:szCs w:val="18"/>
      </w:rPr>
      <w:t xml:space="preserve"> </w:t>
    </w:r>
    <w:r>
      <w:rPr>
        <w:b/>
        <w:bCs/>
        <w:spacing w:val="-13"/>
        <w:sz w:val="18"/>
        <w:szCs w:val="18"/>
      </w:rPr>
      <w:t>共</w:t>
    </w:r>
    <w:r>
      <w:rPr>
        <w:spacing w:val="-39"/>
        <w:sz w:val="18"/>
        <w:szCs w:val="18"/>
      </w:rPr>
      <w:t xml:space="preserve"> </w:t>
    </w:r>
    <w:r>
      <w:rPr>
        <w:b/>
        <w:bCs/>
        <w:spacing w:val="-13"/>
        <w:sz w:val="18"/>
        <w:szCs w:val="18"/>
      </w:rPr>
      <w:t>499</w:t>
    </w:r>
    <w:r>
      <w:rPr>
        <w:spacing w:val="-13"/>
        <w:sz w:val="18"/>
        <w:szCs w:val="18"/>
      </w:rPr>
      <w:t xml:space="preserve"> </w:t>
    </w:r>
    <w:r>
      <w:rPr>
        <w:b/>
        <w:bCs/>
        <w:spacing w:val="-13"/>
        <w:sz w:val="18"/>
        <w:szCs w:val="18"/>
      </w:rPr>
      <w:t>页</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926545">
    <w:pPr>
      <w:spacing w:after="13" w:line="454" w:lineRule="exact"/>
    </w:pPr>
  </w:p>
  <w:p w14:paraId="77C5828D">
    <w:pPr>
      <w:pStyle w:val="2"/>
      <w:spacing w:line="207" w:lineRule="auto"/>
      <w:ind w:left="5106"/>
      <w:rPr>
        <w:sz w:val="18"/>
        <w:szCs w:val="18"/>
      </w:rPr>
    </w:pPr>
    <w:r>
      <w:rPr>
        <w:b/>
        <w:bCs/>
        <w:spacing w:val="-13"/>
        <w:sz w:val="18"/>
        <w:szCs w:val="18"/>
      </w:rPr>
      <w:t>第</w:t>
    </w:r>
    <w:r>
      <w:rPr>
        <w:spacing w:val="-28"/>
        <w:sz w:val="18"/>
        <w:szCs w:val="18"/>
      </w:rPr>
      <w:t xml:space="preserve"> </w:t>
    </w:r>
    <w:r>
      <w:rPr>
        <w:b/>
        <w:bCs/>
        <w:spacing w:val="-13"/>
        <w:sz w:val="18"/>
        <w:szCs w:val="18"/>
      </w:rPr>
      <w:t>54</w:t>
    </w:r>
    <w:r>
      <w:rPr>
        <w:spacing w:val="-13"/>
        <w:sz w:val="18"/>
        <w:szCs w:val="18"/>
      </w:rPr>
      <w:t xml:space="preserve"> </w:t>
    </w:r>
    <w:r>
      <w:rPr>
        <w:b/>
        <w:bCs/>
        <w:spacing w:val="-13"/>
        <w:sz w:val="18"/>
        <w:szCs w:val="18"/>
      </w:rPr>
      <w:t>页</w:t>
    </w:r>
    <w:r>
      <w:rPr>
        <w:spacing w:val="-28"/>
        <w:sz w:val="18"/>
        <w:szCs w:val="18"/>
      </w:rPr>
      <w:t xml:space="preserve"> </w:t>
    </w:r>
    <w:r>
      <w:rPr>
        <w:b/>
        <w:bCs/>
        <w:spacing w:val="-13"/>
        <w:sz w:val="18"/>
        <w:szCs w:val="18"/>
      </w:rPr>
      <w:t>共</w:t>
    </w:r>
    <w:r>
      <w:rPr>
        <w:spacing w:val="-38"/>
        <w:sz w:val="18"/>
        <w:szCs w:val="18"/>
      </w:rPr>
      <w:t xml:space="preserve"> </w:t>
    </w:r>
    <w:r>
      <w:rPr>
        <w:b/>
        <w:bCs/>
        <w:spacing w:val="-13"/>
        <w:sz w:val="18"/>
        <w:szCs w:val="18"/>
      </w:rPr>
      <w:t>499</w:t>
    </w:r>
    <w:r>
      <w:rPr>
        <w:spacing w:val="-13"/>
        <w:sz w:val="18"/>
        <w:szCs w:val="18"/>
      </w:rPr>
      <w:t xml:space="preserve"> </w:t>
    </w:r>
    <w:r>
      <w:rPr>
        <w:b/>
        <w:bCs/>
        <w:spacing w:val="-13"/>
        <w:sz w:val="18"/>
        <w:szCs w:val="18"/>
      </w:rPr>
      <w:t>页</w:t>
    </w:r>
  </w:p>
</w:ftr>
</file>

<file path=word/footer2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0F96DC">
    <w:pPr>
      <w:spacing w:after="13" w:line="454" w:lineRule="exact"/>
    </w:pPr>
  </w:p>
  <w:p w14:paraId="5E86B09F">
    <w:pPr>
      <w:pStyle w:val="2"/>
      <w:spacing w:line="207" w:lineRule="auto"/>
      <w:ind w:left="5067"/>
      <w:rPr>
        <w:sz w:val="18"/>
        <w:szCs w:val="18"/>
      </w:rPr>
    </w:pPr>
    <w:r>
      <w:rPr>
        <w:b/>
        <w:bCs/>
        <w:spacing w:val="-13"/>
        <w:sz w:val="18"/>
        <w:szCs w:val="18"/>
      </w:rPr>
      <w:t>第</w:t>
    </w:r>
    <w:r>
      <w:rPr>
        <w:spacing w:val="-28"/>
        <w:sz w:val="18"/>
        <w:szCs w:val="18"/>
      </w:rPr>
      <w:t xml:space="preserve"> </w:t>
    </w:r>
    <w:r>
      <w:rPr>
        <w:b/>
        <w:bCs/>
        <w:spacing w:val="-13"/>
        <w:sz w:val="18"/>
        <w:szCs w:val="18"/>
      </w:rPr>
      <w:t>321</w:t>
    </w:r>
    <w:r>
      <w:rPr>
        <w:spacing w:val="-13"/>
        <w:sz w:val="18"/>
        <w:szCs w:val="18"/>
      </w:rPr>
      <w:t xml:space="preserve"> </w:t>
    </w:r>
    <w:r>
      <w:rPr>
        <w:b/>
        <w:bCs/>
        <w:spacing w:val="-13"/>
        <w:sz w:val="18"/>
        <w:szCs w:val="18"/>
      </w:rPr>
      <w:t>页</w:t>
    </w:r>
    <w:r>
      <w:rPr>
        <w:spacing w:val="-27"/>
        <w:sz w:val="18"/>
        <w:szCs w:val="18"/>
      </w:rPr>
      <w:t xml:space="preserve"> </w:t>
    </w:r>
    <w:r>
      <w:rPr>
        <w:b/>
        <w:bCs/>
        <w:spacing w:val="-13"/>
        <w:sz w:val="18"/>
        <w:szCs w:val="18"/>
      </w:rPr>
      <w:t>共</w:t>
    </w:r>
    <w:r>
      <w:rPr>
        <w:spacing w:val="-39"/>
        <w:sz w:val="18"/>
        <w:szCs w:val="18"/>
      </w:rPr>
      <w:t xml:space="preserve"> </w:t>
    </w:r>
    <w:r>
      <w:rPr>
        <w:b/>
        <w:bCs/>
        <w:spacing w:val="-13"/>
        <w:sz w:val="18"/>
        <w:szCs w:val="18"/>
      </w:rPr>
      <w:t>499</w:t>
    </w:r>
    <w:r>
      <w:rPr>
        <w:spacing w:val="-13"/>
        <w:sz w:val="18"/>
        <w:szCs w:val="18"/>
      </w:rPr>
      <w:t xml:space="preserve"> </w:t>
    </w:r>
    <w:r>
      <w:rPr>
        <w:b/>
        <w:bCs/>
        <w:spacing w:val="-13"/>
        <w:sz w:val="18"/>
        <w:szCs w:val="18"/>
      </w:rPr>
      <w:t>页</w:t>
    </w:r>
  </w:p>
</w:ftr>
</file>

<file path=word/footer2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4D47AB">
    <w:pPr>
      <w:spacing w:after="13" w:line="454" w:lineRule="exact"/>
    </w:pPr>
  </w:p>
  <w:p w14:paraId="6F8BEE71">
    <w:pPr>
      <w:pStyle w:val="2"/>
      <w:spacing w:line="207" w:lineRule="auto"/>
      <w:ind w:left="5067"/>
      <w:rPr>
        <w:sz w:val="18"/>
        <w:szCs w:val="18"/>
      </w:rPr>
    </w:pPr>
    <w:r>
      <w:rPr>
        <w:b/>
        <w:bCs/>
        <w:spacing w:val="-13"/>
        <w:sz w:val="18"/>
        <w:szCs w:val="18"/>
      </w:rPr>
      <w:t>第</w:t>
    </w:r>
    <w:r>
      <w:rPr>
        <w:spacing w:val="-28"/>
        <w:sz w:val="18"/>
        <w:szCs w:val="18"/>
      </w:rPr>
      <w:t xml:space="preserve"> </w:t>
    </w:r>
    <w:r>
      <w:rPr>
        <w:b/>
        <w:bCs/>
        <w:spacing w:val="-13"/>
        <w:sz w:val="18"/>
        <w:szCs w:val="18"/>
      </w:rPr>
      <w:t>322</w:t>
    </w:r>
    <w:r>
      <w:rPr>
        <w:spacing w:val="-13"/>
        <w:sz w:val="18"/>
        <w:szCs w:val="18"/>
      </w:rPr>
      <w:t xml:space="preserve"> </w:t>
    </w:r>
    <w:r>
      <w:rPr>
        <w:b/>
        <w:bCs/>
        <w:spacing w:val="-13"/>
        <w:sz w:val="18"/>
        <w:szCs w:val="18"/>
      </w:rPr>
      <w:t>页</w:t>
    </w:r>
    <w:r>
      <w:rPr>
        <w:spacing w:val="-27"/>
        <w:sz w:val="18"/>
        <w:szCs w:val="18"/>
      </w:rPr>
      <w:t xml:space="preserve"> </w:t>
    </w:r>
    <w:r>
      <w:rPr>
        <w:b/>
        <w:bCs/>
        <w:spacing w:val="-13"/>
        <w:sz w:val="18"/>
        <w:szCs w:val="18"/>
      </w:rPr>
      <w:t>共</w:t>
    </w:r>
    <w:r>
      <w:rPr>
        <w:spacing w:val="-39"/>
        <w:sz w:val="18"/>
        <w:szCs w:val="18"/>
      </w:rPr>
      <w:t xml:space="preserve"> </w:t>
    </w:r>
    <w:r>
      <w:rPr>
        <w:b/>
        <w:bCs/>
        <w:spacing w:val="-13"/>
        <w:sz w:val="18"/>
        <w:szCs w:val="18"/>
      </w:rPr>
      <w:t>499</w:t>
    </w:r>
    <w:r>
      <w:rPr>
        <w:spacing w:val="-13"/>
        <w:sz w:val="18"/>
        <w:szCs w:val="18"/>
      </w:rPr>
      <w:t xml:space="preserve"> </w:t>
    </w:r>
    <w:r>
      <w:rPr>
        <w:b/>
        <w:bCs/>
        <w:spacing w:val="-13"/>
        <w:sz w:val="18"/>
        <w:szCs w:val="18"/>
      </w:rPr>
      <w:t>页</w:t>
    </w:r>
  </w:p>
</w:ftr>
</file>

<file path=word/footer2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E14B29">
    <w:pPr>
      <w:spacing w:after="13" w:line="454" w:lineRule="exact"/>
    </w:pPr>
  </w:p>
  <w:p w14:paraId="128CCC20">
    <w:pPr>
      <w:pStyle w:val="2"/>
      <w:spacing w:line="207" w:lineRule="auto"/>
      <w:ind w:left="5067"/>
      <w:rPr>
        <w:sz w:val="18"/>
        <w:szCs w:val="18"/>
      </w:rPr>
    </w:pPr>
    <w:r>
      <w:rPr>
        <w:b/>
        <w:bCs/>
        <w:spacing w:val="-13"/>
        <w:sz w:val="18"/>
        <w:szCs w:val="18"/>
      </w:rPr>
      <w:t>第</w:t>
    </w:r>
    <w:r>
      <w:rPr>
        <w:spacing w:val="-28"/>
        <w:sz w:val="18"/>
        <w:szCs w:val="18"/>
      </w:rPr>
      <w:t xml:space="preserve"> </w:t>
    </w:r>
    <w:r>
      <w:rPr>
        <w:b/>
        <w:bCs/>
        <w:spacing w:val="-13"/>
        <w:sz w:val="18"/>
        <w:szCs w:val="18"/>
      </w:rPr>
      <w:t>323</w:t>
    </w:r>
    <w:r>
      <w:rPr>
        <w:spacing w:val="-13"/>
        <w:sz w:val="18"/>
        <w:szCs w:val="18"/>
      </w:rPr>
      <w:t xml:space="preserve"> </w:t>
    </w:r>
    <w:r>
      <w:rPr>
        <w:b/>
        <w:bCs/>
        <w:spacing w:val="-13"/>
        <w:sz w:val="18"/>
        <w:szCs w:val="18"/>
      </w:rPr>
      <w:t>页</w:t>
    </w:r>
    <w:r>
      <w:rPr>
        <w:spacing w:val="-27"/>
        <w:sz w:val="18"/>
        <w:szCs w:val="18"/>
      </w:rPr>
      <w:t xml:space="preserve"> </w:t>
    </w:r>
    <w:r>
      <w:rPr>
        <w:b/>
        <w:bCs/>
        <w:spacing w:val="-13"/>
        <w:sz w:val="18"/>
        <w:szCs w:val="18"/>
      </w:rPr>
      <w:t>共</w:t>
    </w:r>
    <w:r>
      <w:rPr>
        <w:spacing w:val="-39"/>
        <w:sz w:val="18"/>
        <w:szCs w:val="18"/>
      </w:rPr>
      <w:t xml:space="preserve"> </w:t>
    </w:r>
    <w:r>
      <w:rPr>
        <w:b/>
        <w:bCs/>
        <w:spacing w:val="-13"/>
        <w:sz w:val="18"/>
        <w:szCs w:val="18"/>
      </w:rPr>
      <w:t>499</w:t>
    </w:r>
    <w:r>
      <w:rPr>
        <w:spacing w:val="-13"/>
        <w:sz w:val="18"/>
        <w:szCs w:val="18"/>
      </w:rPr>
      <w:t xml:space="preserve"> </w:t>
    </w:r>
    <w:r>
      <w:rPr>
        <w:b/>
        <w:bCs/>
        <w:spacing w:val="-13"/>
        <w:sz w:val="18"/>
        <w:szCs w:val="18"/>
      </w:rPr>
      <w:t>页</w:t>
    </w:r>
  </w:p>
</w:ftr>
</file>

<file path=word/footer2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67CABE">
    <w:pPr>
      <w:spacing w:after="13" w:line="454" w:lineRule="exact"/>
    </w:pPr>
  </w:p>
  <w:p w14:paraId="2E237CF9">
    <w:pPr>
      <w:pStyle w:val="2"/>
      <w:spacing w:line="207" w:lineRule="auto"/>
      <w:ind w:left="5067"/>
      <w:rPr>
        <w:sz w:val="18"/>
        <w:szCs w:val="18"/>
      </w:rPr>
    </w:pPr>
    <w:r>
      <w:rPr>
        <w:b/>
        <w:bCs/>
        <w:spacing w:val="-13"/>
        <w:sz w:val="18"/>
        <w:szCs w:val="18"/>
      </w:rPr>
      <w:t>第</w:t>
    </w:r>
    <w:r>
      <w:rPr>
        <w:spacing w:val="-28"/>
        <w:sz w:val="18"/>
        <w:szCs w:val="18"/>
      </w:rPr>
      <w:t xml:space="preserve"> </w:t>
    </w:r>
    <w:r>
      <w:rPr>
        <w:b/>
        <w:bCs/>
        <w:spacing w:val="-13"/>
        <w:sz w:val="18"/>
        <w:szCs w:val="18"/>
      </w:rPr>
      <w:t>324</w:t>
    </w:r>
    <w:r>
      <w:rPr>
        <w:spacing w:val="-13"/>
        <w:sz w:val="18"/>
        <w:szCs w:val="18"/>
      </w:rPr>
      <w:t xml:space="preserve"> </w:t>
    </w:r>
    <w:r>
      <w:rPr>
        <w:b/>
        <w:bCs/>
        <w:spacing w:val="-13"/>
        <w:sz w:val="18"/>
        <w:szCs w:val="18"/>
      </w:rPr>
      <w:t>页</w:t>
    </w:r>
    <w:r>
      <w:rPr>
        <w:spacing w:val="-27"/>
        <w:sz w:val="18"/>
        <w:szCs w:val="18"/>
      </w:rPr>
      <w:t xml:space="preserve"> </w:t>
    </w:r>
    <w:r>
      <w:rPr>
        <w:b/>
        <w:bCs/>
        <w:spacing w:val="-13"/>
        <w:sz w:val="18"/>
        <w:szCs w:val="18"/>
      </w:rPr>
      <w:t>共</w:t>
    </w:r>
    <w:r>
      <w:rPr>
        <w:spacing w:val="-39"/>
        <w:sz w:val="18"/>
        <w:szCs w:val="18"/>
      </w:rPr>
      <w:t xml:space="preserve"> </w:t>
    </w:r>
    <w:r>
      <w:rPr>
        <w:b/>
        <w:bCs/>
        <w:spacing w:val="-13"/>
        <w:sz w:val="18"/>
        <w:szCs w:val="18"/>
      </w:rPr>
      <w:t>499</w:t>
    </w:r>
    <w:r>
      <w:rPr>
        <w:spacing w:val="-13"/>
        <w:sz w:val="18"/>
        <w:szCs w:val="18"/>
      </w:rPr>
      <w:t xml:space="preserve"> </w:t>
    </w:r>
    <w:r>
      <w:rPr>
        <w:b/>
        <w:bCs/>
        <w:spacing w:val="-13"/>
        <w:sz w:val="18"/>
        <w:szCs w:val="18"/>
      </w:rPr>
      <w:t>页</w:t>
    </w:r>
  </w:p>
</w:ftr>
</file>

<file path=word/footer2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80F72E">
    <w:pPr>
      <w:spacing w:after="13" w:line="454" w:lineRule="exact"/>
    </w:pPr>
  </w:p>
  <w:p w14:paraId="12FE0AD1">
    <w:pPr>
      <w:pStyle w:val="2"/>
      <w:spacing w:line="207" w:lineRule="auto"/>
      <w:ind w:left="5067"/>
      <w:rPr>
        <w:sz w:val="18"/>
        <w:szCs w:val="18"/>
      </w:rPr>
    </w:pPr>
    <w:r>
      <w:rPr>
        <w:b/>
        <w:bCs/>
        <w:spacing w:val="-13"/>
        <w:sz w:val="18"/>
        <w:szCs w:val="18"/>
      </w:rPr>
      <w:t>第</w:t>
    </w:r>
    <w:r>
      <w:rPr>
        <w:spacing w:val="-28"/>
        <w:sz w:val="18"/>
        <w:szCs w:val="18"/>
      </w:rPr>
      <w:t xml:space="preserve"> </w:t>
    </w:r>
    <w:r>
      <w:rPr>
        <w:b/>
        <w:bCs/>
        <w:spacing w:val="-13"/>
        <w:sz w:val="18"/>
        <w:szCs w:val="18"/>
      </w:rPr>
      <w:t>325</w:t>
    </w:r>
    <w:r>
      <w:rPr>
        <w:spacing w:val="-13"/>
        <w:sz w:val="18"/>
        <w:szCs w:val="18"/>
      </w:rPr>
      <w:t xml:space="preserve"> </w:t>
    </w:r>
    <w:r>
      <w:rPr>
        <w:b/>
        <w:bCs/>
        <w:spacing w:val="-13"/>
        <w:sz w:val="18"/>
        <w:szCs w:val="18"/>
      </w:rPr>
      <w:t>页</w:t>
    </w:r>
    <w:r>
      <w:rPr>
        <w:spacing w:val="-27"/>
        <w:sz w:val="18"/>
        <w:szCs w:val="18"/>
      </w:rPr>
      <w:t xml:space="preserve"> </w:t>
    </w:r>
    <w:r>
      <w:rPr>
        <w:b/>
        <w:bCs/>
        <w:spacing w:val="-13"/>
        <w:sz w:val="18"/>
        <w:szCs w:val="18"/>
      </w:rPr>
      <w:t>共</w:t>
    </w:r>
    <w:r>
      <w:rPr>
        <w:spacing w:val="-39"/>
        <w:sz w:val="18"/>
        <w:szCs w:val="18"/>
      </w:rPr>
      <w:t xml:space="preserve"> </w:t>
    </w:r>
    <w:r>
      <w:rPr>
        <w:b/>
        <w:bCs/>
        <w:spacing w:val="-13"/>
        <w:sz w:val="18"/>
        <w:szCs w:val="18"/>
      </w:rPr>
      <w:t>499</w:t>
    </w:r>
    <w:r>
      <w:rPr>
        <w:spacing w:val="-13"/>
        <w:sz w:val="18"/>
        <w:szCs w:val="18"/>
      </w:rPr>
      <w:t xml:space="preserve"> </w:t>
    </w:r>
    <w:r>
      <w:rPr>
        <w:b/>
        <w:bCs/>
        <w:spacing w:val="-13"/>
        <w:sz w:val="18"/>
        <w:szCs w:val="18"/>
      </w:rPr>
      <w:t>页</w:t>
    </w:r>
  </w:p>
</w:ftr>
</file>

<file path=word/footer2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168E9E">
    <w:pPr>
      <w:spacing w:after="13" w:line="454" w:lineRule="exact"/>
    </w:pPr>
  </w:p>
  <w:p w14:paraId="2B7E9AF5">
    <w:pPr>
      <w:pStyle w:val="2"/>
      <w:spacing w:line="207" w:lineRule="auto"/>
      <w:ind w:left="5067"/>
      <w:rPr>
        <w:sz w:val="18"/>
        <w:szCs w:val="18"/>
      </w:rPr>
    </w:pPr>
    <w:r>
      <w:rPr>
        <w:b/>
        <w:bCs/>
        <w:spacing w:val="-13"/>
        <w:sz w:val="18"/>
        <w:szCs w:val="18"/>
      </w:rPr>
      <w:t>第</w:t>
    </w:r>
    <w:r>
      <w:rPr>
        <w:spacing w:val="-28"/>
        <w:sz w:val="18"/>
        <w:szCs w:val="18"/>
      </w:rPr>
      <w:t xml:space="preserve"> </w:t>
    </w:r>
    <w:r>
      <w:rPr>
        <w:b/>
        <w:bCs/>
        <w:spacing w:val="-13"/>
        <w:sz w:val="18"/>
        <w:szCs w:val="18"/>
      </w:rPr>
      <w:t>326</w:t>
    </w:r>
    <w:r>
      <w:rPr>
        <w:spacing w:val="-13"/>
        <w:sz w:val="18"/>
        <w:szCs w:val="18"/>
      </w:rPr>
      <w:t xml:space="preserve"> </w:t>
    </w:r>
    <w:r>
      <w:rPr>
        <w:b/>
        <w:bCs/>
        <w:spacing w:val="-13"/>
        <w:sz w:val="18"/>
        <w:szCs w:val="18"/>
      </w:rPr>
      <w:t>页</w:t>
    </w:r>
    <w:r>
      <w:rPr>
        <w:spacing w:val="-27"/>
        <w:sz w:val="18"/>
        <w:szCs w:val="18"/>
      </w:rPr>
      <w:t xml:space="preserve"> </w:t>
    </w:r>
    <w:r>
      <w:rPr>
        <w:b/>
        <w:bCs/>
        <w:spacing w:val="-13"/>
        <w:sz w:val="18"/>
        <w:szCs w:val="18"/>
      </w:rPr>
      <w:t>共</w:t>
    </w:r>
    <w:r>
      <w:rPr>
        <w:spacing w:val="-39"/>
        <w:sz w:val="18"/>
        <w:szCs w:val="18"/>
      </w:rPr>
      <w:t xml:space="preserve"> </w:t>
    </w:r>
    <w:r>
      <w:rPr>
        <w:b/>
        <w:bCs/>
        <w:spacing w:val="-13"/>
        <w:sz w:val="18"/>
        <w:szCs w:val="18"/>
      </w:rPr>
      <w:t>499</w:t>
    </w:r>
    <w:r>
      <w:rPr>
        <w:spacing w:val="-13"/>
        <w:sz w:val="18"/>
        <w:szCs w:val="18"/>
      </w:rPr>
      <w:t xml:space="preserve"> </w:t>
    </w:r>
    <w:r>
      <w:rPr>
        <w:b/>
        <w:bCs/>
        <w:spacing w:val="-13"/>
        <w:sz w:val="18"/>
        <w:szCs w:val="18"/>
      </w:rPr>
      <w:t>页</w:t>
    </w:r>
  </w:p>
</w:ftr>
</file>

<file path=word/footer2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296D8F">
    <w:pPr>
      <w:spacing w:after="13" w:line="454" w:lineRule="exact"/>
    </w:pPr>
  </w:p>
  <w:p w14:paraId="45167CF9">
    <w:pPr>
      <w:pStyle w:val="2"/>
      <w:spacing w:line="207" w:lineRule="auto"/>
      <w:ind w:left="5067"/>
      <w:rPr>
        <w:sz w:val="18"/>
        <w:szCs w:val="18"/>
      </w:rPr>
    </w:pPr>
    <w:r>
      <w:rPr>
        <w:b/>
        <w:bCs/>
        <w:spacing w:val="-13"/>
        <w:sz w:val="18"/>
        <w:szCs w:val="18"/>
      </w:rPr>
      <w:t>第</w:t>
    </w:r>
    <w:r>
      <w:rPr>
        <w:spacing w:val="-28"/>
        <w:sz w:val="18"/>
        <w:szCs w:val="18"/>
      </w:rPr>
      <w:t xml:space="preserve"> </w:t>
    </w:r>
    <w:r>
      <w:rPr>
        <w:b/>
        <w:bCs/>
        <w:spacing w:val="-13"/>
        <w:sz w:val="18"/>
        <w:szCs w:val="18"/>
      </w:rPr>
      <w:t>327</w:t>
    </w:r>
    <w:r>
      <w:rPr>
        <w:spacing w:val="-13"/>
        <w:sz w:val="18"/>
        <w:szCs w:val="18"/>
      </w:rPr>
      <w:t xml:space="preserve"> </w:t>
    </w:r>
    <w:r>
      <w:rPr>
        <w:b/>
        <w:bCs/>
        <w:spacing w:val="-13"/>
        <w:sz w:val="18"/>
        <w:szCs w:val="18"/>
      </w:rPr>
      <w:t>页</w:t>
    </w:r>
    <w:r>
      <w:rPr>
        <w:spacing w:val="-27"/>
        <w:sz w:val="18"/>
        <w:szCs w:val="18"/>
      </w:rPr>
      <w:t xml:space="preserve"> </w:t>
    </w:r>
    <w:r>
      <w:rPr>
        <w:b/>
        <w:bCs/>
        <w:spacing w:val="-13"/>
        <w:sz w:val="18"/>
        <w:szCs w:val="18"/>
      </w:rPr>
      <w:t>共</w:t>
    </w:r>
    <w:r>
      <w:rPr>
        <w:spacing w:val="-39"/>
        <w:sz w:val="18"/>
        <w:szCs w:val="18"/>
      </w:rPr>
      <w:t xml:space="preserve"> </w:t>
    </w:r>
    <w:r>
      <w:rPr>
        <w:b/>
        <w:bCs/>
        <w:spacing w:val="-13"/>
        <w:sz w:val="18"/>
        <w:szCs w:val="18"/>
      </w:rPr>
      <w:t>499</w:t>
    </w:r>
    <w:r>
      <w:rPr>
        <w:spacing w:val="-13"/>
        <w:sz w:val="18"/>
        <w:szCs w:val="18"/>
      </w:rPr>
      <w:t xml:space="preserve"> </w:t>
    </w:r>
    <w:r>
      <w:rPr>
        <w:b/>
        <w:bCs/>
        <w:spacing w:val="-13"/>
        <w:sz w:val="18"/>
        <w:szCs w:val="18"/>
      </w:rPr>
      <w:t>页</w:t>
    </w:r>
  </w:p>
</w:ftr>
</file>

<file path=word/footer2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C9379A">
    <w:pPr>
      <w:spacing w:after="13" w:line="454" w:lineRule="exact"/>
    </w:pPr>
  </w:p>
  <w:p w14:paraId="129E1499">
    <w:pPr>
      <w:pStyle w:val="2"/>
      <w:spacing w:line="207" w:lineRule="auto"/>
      <w:ind w:left="5067"/>
      <w:rPr>
        <w:sz w:val="18"/>
        <w:szCs w:val="18"/>
      </w:rPr>
    </w:pPr>
    <w:r>
      <w:rPr>
        <w:b/>
        <w:bCs/>
        <w:spacing w:val="-13"/>
        <w:sz w:val="18"/>
        <w:szCs w:val="18"/>
      </w:rPr>
      <w:t>第</w:t>
    </w:r>
    <w:r>
      <w:rPr>
        <w:spacing w:val="-28"/>
        <w:sz w:val="18"/>
        <w:szCs w:val="18"/>
      </w:rPr>
      <w:t xml:space="preserve"> </w:t>
    </w:r>
    <w:r>
      <w:rPr>
        <w:b/>
        <w:bCs/>
        <w:spacing w:val="-13"/>
        <w:sz w:val="18"/>
        <w:szCs w:val="18"/>
      </w:rPr>
      <w:t>328</w:t>
    </w:r>
    <w:r>
      <w:rPr>
        <w:spacing w:val="-13"/>
        <w:sz w:val="18"/>
        <w:szCs w:val="18"/>
      </w:rPr>
      <w:t xml:space="preserve"> </w:t>
    </w:r>
    <w:r>
      <w:rPr>
        <w:b/>
        <w:bCs/>
        <w:spacing w:val="-13"/>
        <w:sz w:val="18"/>
        <w:szCs w:val="18"/>
      </w:rPr>
      <w:t>页</w:t>
    </w:r>
    <w:r>
      <w:rPr>
        <w:spacing w:val="-27"/>
        <w:sz w:val="18"/>
        <w:szCs w:val="18"/>
      </w:rPr>
      <w:t xml:space="preserve"> </w:t>
    </w:r>
    <w:r>
      <w:rPr>
        <w:b/>
        <w:bCs/>
        <w:spacing w:val="-13"/>
        <w:sz w:val="18"/>
        <w:szCs w:val="18"/>
      </w:rPr>
      <w:t>共</w:t>
    </w:r>
    <w:r>
      <w:rPr>
        <w:spacing w:val="-39"/>
        <w:sz w:val="18"/>
        <w:szCs w:val="18"/>
      </w:rPr>
      <w:t xml:space="preserve"> </w:t>
    </w:r>
    <w:r>
      <w:rPr>
        <w:b/>
        <w:bCs/>
        <w:spacing w:val="-13"/>
        <w:sz w:val="18"/>
        <w:szCs w:val="18"/>
      </w:rPr>
      <w:t>499</w:t>
    </w:r>
    <w:r>
      <w:rPr>
        <w:spacing w:val="-13"/>
        <w:sz w:val="18"/>
        <w:szCs w:val="18"/>
      </w:rPr>
      <w:t xml:space="preserve"> </w:t>
    </w:r>
    <w:r>
      <w:rPr>
        <w:b/>
        <w:bCs/>
        <w:spacing w:val="-13"/>
        <w:sz w:val="18"/>
        <w:szCs w:val="18"/>
      </w:rPr>
      <w:t>页</w:t>
    </w:r>
  </w:p>
</w:ftr>
</file>

<file path=word/footer2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B4C663">
    <w:pPr>
      <w:spacing w:after="13" w:line="454" w:lineRule="exact"/>
    </w:pPr>
  </w:p>
  <w:p w14:paraId="3C7BB6AD">
    <w:pPr>
      <w:pStyle w:val="2"/>
      <w:spacing w:line="207" w:lineRule="auto"/>
      <w:ind w:left="5067"/>
      <w:rPr>
        <w:sz w:val="18"/>
        <w:szCs w:val="18"/>
      </w:rPr>
    </w:pPr>
    <w:r>
      <w:rPr>
        <w:b/>
        <w:bCs/>
        <w:spacing w:val="-13"/>
        <w:sz w:val="18"/>
        <w:szCs w:val="18"/>
      </w:rPr>
      <w:t>第</w:t>
    </w:r>
    <w:r>
      <w:rPr>
        <w:spacing w:val="-28"/>
        <w:sz w:val="18"/>
        <w:szCs w:val="18"/>
      </w:rPr>
      <w:t xml:space="preserve"> </w:t>
    </w:r>
    <w:r>
      <w:rPr>
        <w:b/>
        <w:bCs/>
        <w:spacing w:val="-13"/>
        <w:sz w:val="18"/>
        <w:szCs w:val="18"/>
      </w:rPr>
      <w:t>329</w:t>
    </w:r>
    <w:r>
      <w:rPr>
        <w:spacing w:val="-13"/>
        <w:sz w:val="18"/>
        <w:szCs w:val="18"/>
      </w:rPr>
      <w:t xml:space="preserve"> </w:t>
    </w:r>
    <w:r>
      <w:rPr>
        <w:b/>
        <w:bCs/>
        <w:spacing w:val="-13"/>
        <w:sz w:val="18"/>
        <w:szCs w:val="18"/>
      </w:rPr>
      <w:t>页</w:t>
    </w:r>
    <w:r>
      <w:rPr>
        <w:spacing w:val="-27"/>
        <w:sz w:val="18"/>
        <w:szCs w:val="18"/>
      </w:rPr>
      <w:t xml:space="preserve"> </w:t>
    </w:r>
    <w:r>
      <w:rPr>
        <w:b/>
        <w:bCs/>
        <w:spacing w:val="-13"/>
        <w:sz w:val="18"/>
        <w:szCs w:val="18"/>
      </w:rPr>
      <w:t>共</w:t>
    </w:r>
    <w:r>
      <w:rPr>
        <w:spacing w:val="-39"/>
        <w:sz w:val="18"/>
        <w:szCs w:val="18"/>
      </w:rPr>
      <w:t xml:space="preserve"> </w:t>
    </w:r>
    <w:r>
      <w:rPr>
        <w:b/>
        <w:bCs/>
        <w:spacing w:val="-13"/>
        <w:sz w:val="18"/>
        <w:szCs w:val="18"/>
      </w:rPr>
      <w:t>499</w:t>
    </w:r>
    <w:r>
      <w:rPr>
        <w:spacing w:val="-13"/>
        <w:sz w:val="18"/>
        <w:szCs w:val="18"/>
      </w:rPr>
      <w:t xml:space="preserve"> </w:t>
    </w:r>
    <w:r>
      <w:rPr>
        <w:b/>
        <w:bCs/>
        <w:spacing w:val="-13"/>
        <w:sz w:val="18"/>
        <w:szCs w:val="18"/>
      </w:rPr>
      <w:t>页</w:t>
    </w:r>
  </w:p>
</w:ftr>
</file>

<file path=word/footer2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429CB0">
    <w:pPr>
      <w:spacing w:after="13" w:line="454" w:lineRule="exact"/>
    </w:pPr>
  </w:p>
  <w:p w14:paraId="2163668E">
    <w:pPr>
      <w:pStyle w:val="2"/>
      <w:spacing w:line="207" w:lineRule="auto"/>
      <w:ind w:left="5067"/>
      <w:rPr>
        <w:sz w:val="18"/>
        <w:szCs w:val="18"/>
      </w:rPr>
    </w:pPr>
    <w:r>
      <w:rPr>
        <w:b/>
        <w:bCs/>
        <w:spacing w:val="-13"/>
        <w:sz w:val="18"/>
        <w:szCs w:val="18"/>
      </w:rPr>
      <w:t>第</w:t>
    </w:r>
    <w:r>
      <w:rPr>
        <w:spacing w:val="-28"/>
        <w:sz w:val="18"/>
        <w:szCs w:val="18"/>
      </w:rPr>
      <w:t xml:space="preserve"> </w:t>
    </w:r>
    <w:r>
      <w:rPr>
        <w:b/>
        <w:bCs/>
        <w:spacing w:val="-13"/>
        <w:sz w:val="18"/>
        <w:szCs w:val="18"/>
      </w:rPr>
      <w:t>330</w:t>
    </w:r>
    <w:r>
      <w:rPr>
        <w:spacing w:val="-13"/>
        <w:sz w:val="18"/>
        <w:szCs w:val="18"/>
      </w:rPr>
      <w:t xml:space="preserve"> </w:t>
    </w:r>
    <w:r>
      <w:rPr>
        <w:b/>
        <w:bCs/>
        <w:spacing w:val="-13"/>
        <w:sz w:val="18"/>
        <w:szCs w:val="18"/>
      </w:rPr>
      <w:t>页</w:t>
    </w:r>
    <w:r>
      <w:rPr>
        <w:spacing w:val="-27"/>
        <w:sz w:val="18"/>
        <w:szCs w:val="18"/>
      </w:rPr>
      <w:t xml:space="preserve"> </w:t>
    </w:r>
    <w:r>
      <w:rPr>
        <w:b/>
        <w:bCs/>
        <w:spacing w:val="-13"/>
        <w:sz w:val="18"/>
        <w:szCs w:val="18"/>
      </w:rPr>
      <w:t>共</w:t>
    </w:r>
    <w:r>
      <w:rPr>
        <w:spacing w:val="-39"/>
        <w:sz w:val="18"/>
        <w:szCs w:val="18"/>
      </w:rPr>
      <w:t xml:space="preserve"> </w:t>
    </w:r>
    <w:r>
      <w:rPr>
        <w:b/>
        <w:bCs/>
        <w:spacing w:val="-13"/>
        <w:sz w:val="18"/>
        <w:szCs w:val="18"/>
      </w:rPr>
      <w:t>499</w:t>
    </w:r>
    <w:r>
      <w:rPr>
        <w:spacing w:val="-13"/>
        <w:sz w:val="18"/>
        <w:szCs w:val="18"/>
      </w:rPr>
      <w:t xml:space="preserve"> </w:t>
    </w:r>
    <w:r>
      <w:rPr>
        <w:b/>
        <w:bCs/>
        <w:spacing w:val="-13"/>
        <w:sz w:val="18"/>
        <w:szCs w:val="18"/>
      </w:rPr>
      <w:t>页</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459FE6">
    <w:pPr>
      <w:spacing w:after="13" w:line="454" w:lineRule="exact"/>
    </w:pPr>
  </w:p>
  <w:p w14:paraId="1D9841B2">
    <w:pPr>
      <w:pStyle w:val="2"/>
      <w:spacing w:line="207" w:lineRule="auto"/>
      <w:ind w:left="5106"/>
      <w:rPr>
        <w:sz w:val="18"/>
        <w:szCs w:val="18"/>
      </w:rPr>
    </w:pPr>
    <w:r>
      <w:rPr>
        <w:b/>
        <w:bCs/>
        <w:spacing w:val="-13"/>
        <w:sz w:val="18"/>
        <w:szCs w:val="18"/>
      </w:rPr>
      <w:t>第</w:t>
    </w:r>
    <w:r>
      <w:rPr>
        <w:spacing w:val="-28"/>
        <w:sz w:val="18"/>
        <w:szCs w:val="18"/>
      </w:rPr>
      <w:t xml:space="preserve"> </w:t>
    </w:r>
    <w:r>
      <w:rPr>
        <w:b/>
        <w:bCs/>
        <w:spacing w:val="-13"/>
        <w:sz w:val="18"/>
        <w:szCs w:val="18"/>
      </w:rPr>
      <w:t>55</w:t>
    </w:r>
    <w:r>
      <w:rPr>
        <w:spacing w:val="-13"/>
        <w:sz w:val="18"/>
        <w:szCs w:val="18"/>
      </w:rPr>
      <w:t xml:space="preserve"> </w:t>
    </w:r>
    <w:r>
      <w:rPr>
        <w:b/>
        <w:bCs/>
        <w:spacing w:val="-13"/>
        <w:sz w:val="18"/>
        <w:szCs w:val="18"/>
      </w:rPr>
      <w:t>页</w:t>
    </w:r>
    <w:r>
      <w:rPr>
        <w:spacing w:val="-28"/>
        <w:sz w:val="18"/>
        <w:szCs w:val="18"/>
      </w:rPr>
      <w:t xml:space="preserve"> </w:t>
    </w:r>
    <w:r>
      <w:rPr>
        <w:b/>
        <w:bCs/>
        <w:spacing w:val="-13"/>
        <w:sz w:val="18"/>
        <w:szCs w:val="18"/>
      </w:rPr>
      <w:t>共</w:t>
    </w:r>
    <w:r>
      <w:rPr>
        <w:spacing w:val="-38"/>
        <w:sz w:val="18"/>
        <w:szCs w:val="18"/>
      </w:rPr>
      <w:t xml:space="preserve"> </w:t>
    </w:r>
    <w:r>
      <w:rPr>
        <w:b/>
        <w:bCs/>
        <w:spacing w:val="-13"/>
        <w:sz w:val="18"/>
        <w:szCs w:val="18"/>
      </w:rPr>
      <w:t>499</w:t>
    </w:r>
    <w:r>
      <w:rPr>
        <w:spacing w:val="-13"/>
        <w:sz w:val="18"/>
        <w:szCs w:val="18"/>
      </w:rPr>
      <w:t xml:space="preserve"> </w:t>
    </w:r>
    <w:r>
      <w:rPr>
        <w:b/>
        <w:bCs/>
        <w:spacing w:val="-13"/>
        <w:sz w:val="18"/>
        <w:szCs w:val="18"/>
      </w:rPr>
      <w:t>页</w:t>
    </w:r>
  </w:p>
</w:ftr>
</file>

<file path=word/footer2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1E675B">
    <w:pPr>
      <w:spacing w:after="13" w:line="454" w:lineRule="exact"/>
    </w:pPr>
  </w:p>
  <w:p w14:paraId="60D42706">
    <w:pPr>
      <w:pStyle w:val="2"/>
      <w:spacing w:line="207" w:lineRule="auto"/>
      <w:ind w:left="5067"/>
      <w:rPr>
        <w:sz w:val="18"/>
        <w:szCs w:val="18"/>
      </w:rPr>
    </w:pPr>
    <w:r>
      <w:rPr>
        <w:b/>
        <w:bCs/>
        <w:spacing w:val="-13"/>
        <w:sz w:val="18"/>
        <w:szCs w:val="18"/>
      </w:rPr>
      <w:t>第</w:t>
    </w:r>
    <w:r>
      <w:rPr>
        <w:spacing w:val="-28"/>
        <w:sz w:val="18"/>
        <w:szCs w:val="18"/>
      </w:rPr>
      <w:t xml:space="preserve"> </w:t>
    </w:r>
    <w:r>
      <w:rPr>
        <w:b/>
        <w:bCs/>
        <w:spacing w:val="-13"/>
        <w:sz w:val="18"/>
        <w:szCs w:val="18"/>
      </w:rPr>
      <w:t>331</w:t>
    </w:r>
    <w:r>
      <w:rPr>
        <w:spacing w:val="-13"/>
        <w:sz w:val="18"/>
        <w:szCs w:val="18"/>
      </w:rPr>
      <w:t xml:space="preserve"> </w:t>
    </w:r>
    <w:r>
      <w:rPr>
        <w:b/>
        <w:bCs/>
        <w:spacing w:val="-13"/>
        <w:sz w:val="18"/>
        <w:szCs w:val="18"/>
      </w:rPr>
      <w:t>页</w:t>
    </w:r>
    <w:r>
      <w:rPr>
        <w:spacing w:val="-27"/>
        <w:sz w:val="18"/>
        <w:szCs w:val="18"/>
      </w:rPr>
      <w:t xml:space="preserve"> </w:t>
    </w:r>
    <w:r>
      <w:rPr>
        <w:b/>
        <w:bCs/>
        <w:spacing w:val="-13"/>
        <w:sz w:val="18"/>
        <w:szCs w:val="18"/>
      </w:rPr>
      <w:t>共</w:t>
    </w:r>
    <w:r>
      <w:rPr>
        <w:spacing w:val="-39"/>
        <w:sz w:val="18"/>
        <w:szCs w:val="18"/>
      </w:rPr>
      <w:t xml:space="preserve"> </w:t>
    </w:r>
    <w:r>
      <w:rPr>
        <w:b/>
        <w:bCs/>
        <w:spacing w:val="-13"/>
        <w:sz w:val="18"/>
        <w:szCs w:val="18"/>
      </w:rPr>
      <w:t>499</w:t>
    </w:r>
    <w:r>
      <w:rPr>
        <w:spacing w:val="-13"/>
        <w:sz w:val="18"/>
        <w:szCs w:val="18"/>
      </w:rPr>
      <w:t xml:space="preserve"> </w:t>
    </w:r>
    <w:r>
      <w:rPr>
        <w:b/>
        <w:bCs/>
        <w:spacing w:val="-13"/>
        <w:sz w:val="18"/>
        <w:szCs w:val="18"/>
      </w:rPr>
      <w:t>页</w:t>
    </w:r>
  </w:p>
</w:ftr>
</file>

<file path=word/footer2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C6B94C">
    <w:pPr>
      <w:spacing w:after="13" w:line="454" w:lineRule="exact"/>
    </w:pPr>
  </w:p>
  <w:p w14:paraId="37343922">
    <w:pPr>
      <w:pStyle w:val="2"/>
      <w:spacing w:line="207" w:lineRule="auto"/>
      <w:ind w:left="5067"/>
      <w:rPr>
        <w:sz w:val="18"/>
        <w:szCs w:val="18"/>
      </w:rPr>
    </w:pPr>
    <w:r>
      <w:rPr>
        <w:b/>
        <w:bCs/>
        <w:spacing w:val="-13"/>
        <w:sz w:val="18"/>
        <w:szCs w:val="18"/>
      </w:rPr>
      <w:t>第</w:t>
    </w:r>
    <w:r>
      <w:rPr>
        <w:spacing w:val="-28"/>
        <w:sz w:val="18"/>
        <w:szCs w:val="18"/>
      </w:rPr>
      <w:t xml:space="preserve"> </w:t>
    </w:r>
    <w:r>
      <w:rPr>
        <w:b/>
        <w:bCs/>
        <w:spacing w:val="-13"/>
        <w:sz w:val="18"/>
        <w:szCs w:val="18"/>
      </w:rPr>
      <w:t>332</w:t>
    </w:r>
    <w:r>
      <w:rPr>
        <w:spacing w:val="-13"/>
        <w:sz w:val="18"/>
        <w:szCs w:val="18"/>
      </w:rPr>
      <w:t xml:space="preserve"> </w:t>
    </w:r>
    <w:r>
      <w:rPr>
        <w:b/>
        <w:bCs/>
        <w:spacing w:val="-13"/>
        <w:sz w:val="18"/>
        <w:szCs w:val="18"/>
      </w:rPr>
      <w:t>页</w:t>
    </w:r>
    <w:r>
      <w:rPr>
        <w:spacing w:val="-27"/>
        <w:sz w:val="18"/>
        <w:szCs w:val="18"/>
      </w:rPr>
      <w:t xml:space="preserve"> </w:t>
    </w:r>
    <w:r>
      <w:rPr>
        <w:b/>
        <w:bCs/>
        <w:spacing w:val="-13"/>
        <w:sz w:val="18"/>
        <w:szCs w:val="18"/>
      </w:rPr>
      <w:t>共</w:t>
    </w:r>
    <w:r>
      <w:rPr>
        <w:spacing w:val="-39"/>
        <w:sz w:val="18"/>
        <w:szCs w:val="18"/>
      </w:rPr>
      <w:t xml:space="preserve"> </w:t>
    </w:r>
    <w:r>
      <w:rPr>
        <w:b/>
        <w:bCs/>
        <w:spacing w:val="-13"/>
        <w:sz w:val="18"/>
        <w:szCs w:val="18"/>
      </w:rPr>
      <w:t>499</w:t>
    </w:r>
    <w:r>
      <w:rPr>
        <w:spacing w:val="-13"/>
        <w:sz w:val="18"/>
        <w:szCs w:val="18"/>
      </w:rPr>
      <w:t xml:space="preserve"> </w:t>
    </w:r>
    <w:r>
      <w:rPr>
        <w:b/>
        <w:bCs/>
        <w:spacing w:val="-13"/>
        <w:sz w:val="18"/>
        <w:szCs w:val="18"/>
      </w:rPr>
      <w:t>页</w:t>
    </w:r>
  </w:p>
</w:ftr>
</file>

<file path=word/footer2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252C72">
    <w:pPr>
      <w:spacing w:after="13" w:line="454" w:lineRule="exact"/>
    </w:pPr>
  </w:p>
  <w:p w14:paraId="31D7756E">
    <w:pPr>
      <w:pStyle w:val="2"/>
      <w:spacing w:line="207" w:lineRule="auto"/>
      <w:ind w:left="5067"/>
      <w:rPr>
        <w:sz w:val="18"/>
        <w:szCs w:val="18"/>
      </w:rPr>
    </w:pPr>
    <w:r>
      <w:rPr>
        <w:b/>
        <w:bCs/>
        <w:spacing w:val="-13"/>
        <w:sz w:val="18"/>
        <w:szCs w:val="18"/>
      </w:rPr>
      <w:t>第</w:t>
    </w:r>
    <w:r>
      <w:rPr>
        <w:spacing w:val="-28"/>
        <w:sz w:val="18"/>
        <w:szCs w:val="18"/>
      </w:rPr>
      <w:t xml:space="preserve"> </w:t>
    </w:r>
    <w:r>
      <w:rPr>
        <w:b/>
        <w:bCs/>
        <w:spacing w:val="-13"/>
        <w:sz w:val="18"/>
        <w:szCs w:val="18"/>
      </w:rPr>
      <w:t>333</w:t>
    </w:r>
    <w:r>
      <w:rPr>
        <w:spacing w:val="-13"/>
        <w:sz w:val="18"/>
        <w:szCs w:val="18"/>
      </w:rPr>
      <w:t xml:space="preserve"> </w:t>
    </w:r>
    <w:r>
      <w:rPr>
        <w:b/>
        <w:bCs/>
        <w:spacing w:val="-13"/>
        <w:sz w:val="18"/>
        <w:szCs w:val="18"/>
      </w:rPr>
      <w:t>页</w:t>
    </w:r>
    <w:r>
      <w:rPr>
        <w:spacing w:val="-27"/>
        <w:sz w:val="18"/>
        <w:szCs w:val="18"/>
      </w:rPr>
      <w:t xml:space="preserve"> </w:t>
    </w:r>
    <w:r>
      <w:rPr>
        <w:b/>
        <w:bCs/>
        <w:spacing w:val="-13"/>
        <w:sz w:val="18"/>
        <w:szCs w:val="18"/>
      </w:rPr>
      <w:t>共</w:t>
    </w:r>
    <w:r>
      <w:rPr>
        <w:spacing w:val="-39"/>
        <w:sz w:val="18"/>
        <w:szCs w:val="18"/>
      </w:rPr>
      <w:t xml:space="preserve"> </w:t>
    </w:r>
    <w:r>
      <w:rPr>
        <w:b/>
        <w:bCs/>
        <w:spacing w:val="-13"/>
        <w:sz w:val="18"/>
        <w:szCs w:val="18"/>
      </w:rPr>
      <w:t>499</w:t>
    </w:r>
    <w:r>
      <w:rPr>
        <w:spacing w:val="-13"/>
        <w:sz w:val="18"/>
        <w:szCs w:val="18"/>
      </w:rPr>
      <w:t xml:space="preserve"> </w:t>
    </w:r>
    <w:r>
      <w:rPr>
        <w:b/>
        <w:bCs/>
        <w:spacing w:val="-13"/>
        <w:sz w:val="18"/>
        <w:szCs w:val="18"/>
      </w:rPr>
      <w:t>页</w:t>
    </w:r>
  </w:p>
</w:ftr>
</file>

<file path=word/footer2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B782EB">
    <w:pPr>
      <w:spacing w:after="13" w:line="454" w:lineRule="exact"/>
    </w:pPr>
  </w:p>
  <w:p w14:paraId="7DACCC5E">
    <w:pPr>
      <w:pStyle w:val="2"/>
      <w:spacing w:line="207" w:lineRule="auto"/>
      <w:ind w:left="5067"/>
      <w:rPr>
        <w:sz w:val="18"/>
        <w:szCs w:val="18"/>
      </w:rPr>
    </w:pPr>
    <w:r>
      <w:rPr>
        <w:b/>
        <w:bCs/>
        <w:spacing w:val="-13"/>
        <w:sz w:val="18"/>
        <w:szCs w:val="18"/>
      </w:rPr>
      <w:t>第</w:t>
    </w:r>
    <w:r>
      <w:rPr>
        <w:spacing w:val="-28"/>
        <w:sz w:val="18"/>
        <w:szCs w:val="18"/>
      </w:rPr>
      <w:t xml:space="preserve"> </w:t>
    </w:r>
    <w:r>
      <w:rPr>
        <w:b/>
        <w:bCs/>
        <w:spacing w:val="-13"/>
        <w:sz w:val="18"/>
        <w:szCs w:val="18"/>
      </w:rPr>
      <w:t>334</w:t>
    </w:r>
    <w:r>
      <w:rPr>
        <w:spacing w:val="-13"/>
        <w:sz w:val="18"/>
        <w:szCs w:val="18"/>
      </w:rPr>
      <w:t xml:space="preserve"> </w:t>
    </w:r>
    <w:r>
      <w:rPr>
        <w:b/>
        <w:bCs/>
        <w:spacing w:val="-13"/>
        <w:sz w:val="18"/>
        <w:szCs w:val="18"/>
      </w:rPr>
      <w:t>页</w:t>
    </w:r>
    <w:r>
      <w:rPr>
        <w:spacing w:val="-27"/>
        <w:sz w:val="18"/>
        <w:szCs w:val="18"/>
      </w:rPr>
      <w:t xml:space="preserve"> </w:t>
    </w:r>
    <w:r>
      <w:rPr>
        <w:b/>
        <w:bCs/>
        <w:spacing w:val="-13"/>
        <w:sz w:val="18"/>
        <w:szCs w:val="18"/>
      </w:rPr>
      <w:t>共</w:t>
    </w:r>
    <w:r>
      <w:rPr>
        <w:spacing w:val="-39"/>
        <w:sz w:val="18"/>
        <w:szCs w:val="18"/>
      </w:rPr>
      <w:t xml:space="preserve"> </w:t>
    </w:r>
    <w:r>
      <w:rPr>
        <w:b/>
        <w:bCs/>
        <w:spacing w:val="-13"/>
        <w:sz w:val="18"/>
        <w:szCs w:val="18"/>
      </w:rPr>
      <w:t>499</w:t>
    </w:r>
    <w:r>
      <w:rPr>
        <w:spacing w:val="-13"/>
        <w:sz w:val="18"/>
        <w:szCs w:val="18"/>
      </w:rPr>
      <w:t xml:space="preserve"> </w:t>
    </w:r>
    <w:r>
      <w:rPr>
        <w:b/>
        <w:bCs/>
        <w:spacing w:val="-13"/>
        <w:sz w:val="18"/>
        <w:szCs w:val="18"/>
      </w:rPr>
      <w:t>页</w:t>
    </w:r>
  </w:p>
</w:ftr>
</file>

<file path=word/footer2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8988D1">
    <w:pPr>
      <w:spacing w:after="13" w:line="454" w:lineRule="exact"/>
    </w:pPr>
  </w:p>
  <w:p w14:paraId="5612124D">
    <w:pPr>
      <w:pStyle w:val="2"/>
      <w:spacing w:line="207" w:lineRule="auto"/>
      <w:ind w:left="5067"/>
      <w:rPr>
        <w:sz w:val="18"/>
        <w:szCs w:val="18"/>
      </w:rPr>
    </w:pPr>
    <w:r>
      <w:rPr>
        <w:b/>
        <w:bCs/>
        <w:spacing w:val="-13"/>
        <w:sz w:val="18"/>
        <w:szCs w:val="18"/>
      </w:rPr>
      <w:t>第</w:t>
    </w:r>
    <w:r>
      <w:rPr>
        <w:spacing w:val="-28"/>
        <w:sz w:val="18"/>
        <w:szCs w:val="18"/>
      </w:rPr>
      <w:t xml:space="preserve"> </w:t>
    </w:r>
    <w:r>
      <w:rPr>
        <w:b/>
        <w:bCs/>
        <w:spacing w:val="-13"/>
        <w:sz w:val="18"/>
        <w:szCs w:val="18"/>
      </w:rPr>
      <w:t>335</w:t>
    </w:r>
    <w:r>
      <w:rPr>
        <w:spacing w:val="-13"/>
        <w:sz w:val="18"/>
        <w:szCs w:val="18"/>
      </w:rPr>
      <w:t xml:space="preserve"> </w:t>
    </w:r>
    <w:r>
      <w:rPr>
        <w:b/>
        <w:bCs/>
        <w:spacing w:val="-13"/>
        <w:sz w:val="18"/>
        <w:szCs w:val="18"/>
      </w:rPr>
      <w:t>页</w:t>
    </w:r>
    <w:r>
      <w:rPr>
        <w:spacing w:val="-27"/>
        <w:sz w:val="18"/>
        <w:szCs w:val="18"/>
      </w:rPr>
      <w:t xml:space="preserve"> </w:t>
    </w:r>
    <w:r>
      <w:rPr>
        <w:b/>
        <w:bCs/>
        <w:spacing w:val="-13"/>
        <w:sz w:val="18"/>
        <w:szCs w:val="18"/>
      </w:rPr>
      <w:t>共</w:t>
    </w:r>
    <w:r>
      <w:rPr>
        <w:spacing w:val="-39"/>
        <w:sz w:val="18"/>
        <w:szCs w:val="18"/>
      </w:rPr>
      <w:t xml:space="preserve"> </w:t>
    </w:r>
    <w:r>
      <w:rPr>
        <w:b/>
        <w:bCs/>
        <w:spacing w:val="-13"/>
        <w:sz w:val="18"/>
        <w:szCs w:val="18"/>
      </w:rPr>
      <w:t>499</w:t>
    </w:r>
    <w:r>
      <w:rPr>
        <w:spacing w:val="-13"/>
        <w:sz w:val="18"/>
        <w:szCs w:val="18"/>
      </w:rPr>
      <w:t xml:space="preserve"> </w:t>
    </w:r>
    <w:r>
      <w:rPr>
        <w:b/>
        <w:bCs/>
        <w:spacing w:val="-13"/>
        <w:sz w:val="18"/>
        <w:szCs w:val="18"/>
      </w:rPr>
      <w:t>页</w:t>
    </w:r>
  </w:p>
</w:ftr>
</file>

<file path=word/footer2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B6BF0F">
    <w:pPr>
      <w:spacing w:after="13" w:line="454" w:lineRule="exact"/>
    </w:pPr>
  </w:p>
  <w:p w14:paraId="5DA1CA92">
    <w:pPr>
      <w:pStyle w:val="2"/>
      <w:spacing w:line="207" w:lineRule="auto"/>
      <w:ind w:left="5067"/>
      <w:rPr>
        <w:sz w:val="18"/>
        <w:szCs w:val="18"/>
      </w:rPr>
    </w:pPr>
    <w:r>
      <w:rPr>
        <w:b/>
        <w:bCs/>
        <w:spacing w:val="-13"/>
        <w:sz w:val="18"/>
        <w:szCs w:val="18"/>
      </w:rPr>
      <w:t>第</w:t>
    </w:r>
    <w:r>
      <w:rPr>
        <w:spacing w:val="-28"/>
        <w:sz w:val="18"/>
        <w:szCs w:val="18"/>
      </w:rPr>
      <w:t xml:space="preserve"> </w:t>
    </w:r>
    <w:r>
      <w:rPr>
        <w:b/>
        <w:bCs/>
        <w:spacing w:val="-13"/>
        <w:sz w:val="18"/>
        <w:szCs w:val="18"/>
      </w:rPr>
      <w:t>336</w:t>
    </w:r>
    <w:r>
      <w:rPr>
        <w:spacing w:val="-13"/>
        <w:sz w:val="18"/>
        <w:szCs w:val="18"/>
      </w:rPr>
      <w:t xml:space="preserve"> </w:t>
    </w:r>
    <w:r>
      <w:rPr>
        <w:b/>
        <w:bCs/>
        <w:spacing w:val="-13"/>
        <w:sz w:val="18"/>
        <w:szCs w:val="18"/>
      </w:rPr>
      <w:t>页</w:t>
    </w:r>
    <w:r>
      <w:rPr>
        <w:spacing w:val="-27"/>
        <w:sz w:val="18"/>
        <w:szCs w:val="18"/>
      </w:rPr>
      <w:t xml:space="preserve"> </w:t>
    </w:r>
    <w:r>
      <w:rPr>
        <w:b/>
        <w:bCs/>
        <w:spacing w:val="-13"/>
        <w:sz w:val="18"/>
        <w:szCs w:val="18"/>
      </w:rPr>
      <w:t>共</w:t>
    </w:r>
    <w:r>
      <w:rPr>
        <w:spacing w:val="-39"/>
        <w:sz w:val="18"/>
        <w:szCs w:val="18"/>
      </w:rPr>
      <w:t xml:space="preserve"> </w:t>
    </w:r>
    <w:r>
      <w:rPr>
        <w:b/>
        <w:bCs/>
        <w:spacing w:val="-13"/>
        <w:sz w:val="18"/>
        <w:szCs w:val="18"/>
      </w:rPr>
      <w:t>499</w:t>
    </w:r>
    <w:r>
      <w:rPr>
        <w:spacing w:val="-13"/>
        <w:sz w:val="18"/>
        <w:szCs w:val="18"/>
      </w:rPr>
      <w:t xml:space="preserve"> </w:t>
    </w:r>
    <w:r>
      <w:rPr>
        <w:b/>
        <w:bCs/>
        <w:spacing w:val="-13"/>
        <w:sz w:val="18"/>
        <w:szCs w:val="18"/>
      </w:rPr>
      <w:t>页</w:t>
    </w:r>
  </w:p>
</w:ftr>
</file>

<file path=word/footer2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E0707E">
    <w:pPr>
      <w:spacing w:after="13" w:line="454" w:lineRule="exact"/>
    </w:pPr>
  </w:p>
  <w:p w14:paraId="267031A3">
    <w:pPr>
      <w:pStyle w:val="2"/>
      <w:spacing w:line="207" w:lineRule="auto"/>
      <w:ind w:left="5067"/>
      <w:rPr>
        <w:sz w:val="18"/>
        <w:szCs w:val="18"/>
      </w:rPr>
    </w:pPr>
    <w:r>
      <w:rPr>
        <w:b/>
        <w:bCs/>
        <w:spacing w:val="-13"/>
        <w:sz w:val="18"/>
        <w:szCs w:val="18"/>
      </w:rPr>
      <w:t>第</w:t>
    </w:r>
    <w:r>
      <w:rPr>
        <w:spacing w:val="-28"/>
        <w:sz w:val="18"/>
        <w:szCs w:val="18"/>
      </w:rPr>
      <w:t xml:space="preserve"> </w:t>
    </w:r>
    <w:r>
      <w:rPr>
        <w:b/>
        <w:bCs/>
        <w:spacing w:val="-13"/>
        <w:sz w:val="18"/>
        <w:szCs w:val="18"/>
      </w:rPr>
      <w:t>337</w:t>
    </w:r>
    <w:r>
      <w:rPr>
        <w:spacing w:val="-13"/>
        <w:sz w:val="18"/>
        <w:szCs w:val="18"/>
      </w:rPr>
      <w:t xml:space="preserve"> </w:t>
    </w:r>
    <w:r>
      <w:rPr>
        <w:b/>
        <w:bCs/>
        <w:spacing w:val="-13"/>
        <w:sz w:val="18"/>
        <w:szCs w:val="18"/>
      </w:rPr>
      <w:t>页</w:t>
    </w:r>
    <w:r>
      <w:rPr>
        <w:spacing w:val="-27"/>
        <w:sz w:val="18"/>
        <w:szCs w:val="18"/>
      </w:rPr>
      <w:t xml:space="preserve"> </w:t>
    </w:r>
    <w:r>
      <w:rPr>
        <w:b/>
        <w:bCs/>
        <w:spacing w:val="-13"/>
        <w:sz w:val="18"/>
        <w:szCs w:val="18"/>
      </w:rPr>
      <w:t>共</w:t>
    </w:r>
    <w:r>
      <w:rPr>
        <w:spacing w:val="-39"/>
        <w:sz w:val="18"/>
        <w:szCs w:val="18"/>
      </w:rPr>
      <w:t xml:space="preserve"> </w:t>
    </w:r>
    <w:r>
      <w:rPr>
        <w:b/>
        <w:bCs/>
        <w:spacing w:val="-13"/>
        <w:sz w:val="18"/>
        <w:szCs w:val="18"/>
      </w:rPr>
      <w:t>499</w:t>
    </w:r>
    <w:r>
      <w:rPr>
        <w:spacing w:val="-13"/>
        <w:sz w:val="18"/>
        <w:szCs w:val="18"/>
      </w:rPr>
      <w:t xml:space="preserve"> </w:t>
    </w:r>
    <w:r>
      <w:rPr>
        <w:b/>
        <w:bCs/>
        <w:spacing w:val="-13"/>
        <w:sz w:val="18"/>
        <w:szCs w:val="18"/>
      </w:rPr>
      <w:t>页</w:t>
    </w:r>
  </w:p>
</w:ftr>
</file>

<file path=word/footer2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8312B1">
    <w:pPr>
      <w:spacing w:after="13" w:line="454" w:lineRule="exact"/>
    </w:pPr>
  </w:p>
  <w:p w14:paraId="2A30498B">
    <w:pPr>
      <w:pStyle w:val="2"/>
      <w:spacing w:line="207" w:lineRule="auto"/>
      <w:ind w:left="5067"/>
      <w:rPr>
        <w:sz w:val="18"/>
        <w:szCs w:val="18"/>
      </w:rPr>
    </w:pPr>
    <w:r>
      <w:rPr>
        <w:b/>
        <w:bCs/>
        <w:spacing w:val="-13"/>
        <w:sz w:val="18"/>
        <w:szCs w:val="18"/>
      </w:rPr>
      <w:t>第</w:t>
    </w:r>
    <w:r>
      <w:rPr>
        <w:spacing w:val="-28"/>
        <w:sz w:val="18"/>
        <w:szCs w:val="18"/>
      </w:rPr>
      <w:t xml:space="preserve"> </w:t>
    </w:r>
    <w:r>
      <w:rPr>
        <w:b/>
        <w:bCs/>
        <w:spacing w:val="-13"/>
        <w:sz w:val="18"/>
        <w:szCs w:val="18"/>
      </w:rPr>
      <w:t>338</w:t>
    </w:r>
    <w:r>
      <w:rPr>
        <w:spacing w:val="-13"/>
        <w:sz w:val="18"/>
        <w:szCs w:val="18"/>
      </w:rPr>
      <w:t xml:space="preserve"> </w:t>
    </w:r>
    <w:r>
      <w:rPr>
        <w:b/>
        <w:bCs/>
        <w:spacing w:val="-13"/>
        <w:sz w:val="18"/>
        <w:szCs w:val="18"/>
      </w:rPr>
      <w:t>页</w:t>
    </w:r>
    <w:r>
      <w:rPr>
        <w:spacing w:val="-27"/>
        <w:sz w:val="18"/>
        <w:szCs w:val="18"/>
      </w:rPr>
      <w:t xml:space="preserve"> </w:t>
    </w:r>
    <w:r>
      <w:rPr>
        <w:b/>
        <w:bCs/>
        <w:spacing w:val="-13"/>
        <w:sz w:val="18"/>
        <w:szCs w:val="18"/>
      </w:rPr>
      <w:t>共</w:t>
    </w:r>
    <w:r>
      <w:rPr>
        <w:spacing w:val="-39"/>
        <w:sz w:val="18"/>
        <w:szCs w:val="18"/>
      </w:rPr>
      <w:t xml:space="preserve"> </w:t>
    </w:r>
    <w:r>
      <w:rPr>
        <w:b/>
        <w:bCs/>
        <w:spacing w:val="-13"/>
        <w:sz w:val="18"/>
        <w:szCs w:val="18"/>
      </w:rPr>
      <w:t>499</w:t>
    </w:r>
    <w:r>
      <w:rPr>
        <w:spacing w:val="-13"/>
        <w:sz w:val="18"/>
        <w:szCs w:val="18"/>
      </w:rPr>
      <w:t xml:space="preserve"> </w:t>
    </w:r>
    <w:r>
      <w:rPr>
        <w:b/>
        <w:bCs/>
        <w:spacing w:val="-13"/>
        <w:sz w:val="18"/>
        <w:szCs w:val="18"/>
      </w:rPr>
      <w:t>页</w:t>
    </w:r>
  </w:p>
</w:ftr>
</file>

<file path=word/footer2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DE3304">
    <w:pPr>
      <w:spacing w:after="13" w:line="454" w:lineRule="exact"/>
    </w:pPr>
  </w:p>
  <w:p w14:paraId="17AF0768">
    <w:pPr>
      <w:pStyle w:val="2"/>
      <w:spacing w:line="207" w:lineRule="auto"/>
      <w:ind w:left="5067"/>
      <w:rPr>
        <w:sz w:val="18"/>
        <w:szCs w:val="18"/>
      </w:rPr>
    </w:pPr>
    <w:r>
      <w:rPr>
        <w:b/>
        <w:bCs/>
        <w:spacing w:val="-13"/>
        <w:sz w:val="18"/>
        <w:szCs w:val="18"/>
      </w:rPr>
      <w:t>第</w:t>
    </w:r>
    <w:r>
      <w:rPr>
        <w:spacing w:val="-28"/>
        <w:sz w:val="18"/>
        <w:szCs w:val="18"/>
      </w:rPr>
      <w:t xml:space="preserve"> </w:t>
    </w:r>
    <w:r>
      <w:rPr>
        <w:b/>
        <w:bCs/>
        <w:spacing w:val="-13"/>
        <w:sz w:val="18"/>
        <w:szCs w:val="18"/>
      </w:rPr>
      <w:t>339</w:t>
    </w:r>
    <w:r>
      <w:rPr>
        <w:spacing w:val="-13"/>
        <w:sz w:val="18"/>
        <w:szCs w:val="18"/>
      </w:rPr>
      <w:t xml:space="preserve"> </w:t>
    </w:r>
    <w:r>
      <w:rPr>
        <w:b/>
        <w:bCs/>
        <w:spacing w:val="-13"/>
        <w:sz w:val="18"/>
        <w:szCs w:val="18"/>
      </w:rPr>
      <w:t>页</w:t>
    </w:r>
    <w:r>
      <w:rPr>
        <w:spacing w:val="-27"/>
        <w:sz w:val="18"/>
        <w:szCs w:val="18"/>
      </w:rPr>
      <w:t xml:space="preserve"> </w:t>
    </w:r>
    <w:r>
      <w:rPr>
        <w:b/>
        <w:bCs/>
        <w:spacing w:val="-13"/>
        <w:sz w:val="18"/>
        <w:szCs w:val="18"/>
      </w:rPr>
      <w:t>共</w:t>
    </w:r>
    <w:r>
      <w:rPr>
        <w:spacing w:val="-39"/>
        <w:sz w:val="18"/>
        <w:szCs w:val="18"/>
      </w:rPr>
      <w:t xml:space="preserve"> </w:t>
    </w:r>
    <w:r>
      <w:rPr>
        <w:b/>
        <w:bCs/>
        <w:spacing w:val="-13"/>
        <w:sz w:val="18"/>
        <w:szCs w:val="18"/>
      </w:rPr>
      <w:t>499</w:t>
    </w:r>
    <w:r>
      <w:rPr>
        <w:spacing w:val="-13"/>
        <w:sz w:val="18"/>
        <w:szCs w:val="18"/>
      </w:rPr>
      <w:t xml:space="preserve"> </w:t>
    </w:r>
    <w:r>
      <w:rPr>
        <w:b/>
        <w:bCs/>
        <w:spacing w:val="-13"/>
        <w:sz w:val="18"/>
        <w:szCs w:val="18"/>
      </w:rPr>
      <w:t>页</w:t>
    </w:r>
  </w:p>
</w:ftr>
</file>

<file path=word/footer2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751C9C">
    <w:pPr>
      <w:spacing w:after="13" w:line="454" w:lineRule="exact"/>
    </w:pPr>
  </w:p>
  <w:p w14:paraId="2F8C7CA8">
    <w:pPr>
      <w:pStyle w:val="2"/>
      <w:spacing w:line="207" w:lineRule="auto"/>
      <w:ind w:left="5067"/>
      <w:rPr>
        <w:sz w:val="18"/>
        <w:szCs w:val="18"/>
      </w:rPr>
    </w:pPr>
    <w:r>
      <w:rPr>
        <w:b/>
        <w:bCs/>
        <w:spacing w:val="-13"/>
        <w:sz w:val="18"/>
        <w:szCs w:val="18"/>
      </w:rPr>
      <w:t>第</w:t>
    </w:r>
    <w:r>
      <w:rPr>
        <w:spacing w:val="-28"/>
        <w:sz w:val="18"/>
        <w:szCs w:val="18"/>
      </w:rPr>
      <w:t xml:space="preserve"> </w:t>
    </w:r>
    <w:r>
      <w:rPr>
        <w:b/>
        <w:bCs/>
        <w:spacing w:val="-13"/>
        <w:sz w:val="18"/>
        <w:szCs w:val="18"/>
      </w:rPr>
      <w:t>340</w:t>
    </w:r>
    <w:r>
      <w:rPr>
        <w:spacing w:val="-13"/>
        <w:sz w:val="18"/>
        <w:szCs w:val="18"/>
      </w:rPr>
      <w:t xml:space="preserve"> </w:t>
    </w:r>
    <w:r>
      <w:rPr>
        <w:b/>
        <w:bCs/>
        <w:spacing w:val="-13"/>
        <w:sz w:val="18"/>
        <w:szCs w:val="18"/>
      </w:rPr>
      <w:t>页</w:t>
    </w:r>
    <w:r>
      <w:rPr>
        <w:spacing w:val="-27"/>
        <w:sz w:val="18"/>
        <w:szCs w:val="18"/>
      </w:rPr>
      <w:t xml:space="preserve"> </w:t>
    </w:r>
    <w:r>
      <w:rPr>
        <w:b/>
        <w:bCs/>
        <w:spacing w:val="-13"/>
        <w:sz w:val="18"/>
        <w:szCs w:val="18"/>
      </w:rPr>
      <w:t>共</w:t>
    </w:r>
    <w:r>
      <w:rPr>
        <w:spacing w:val="-39"/>
        <w:sz w:val="18"/>
        <w:szCs w:val="18"/>
      </w:rPr>
      <w:t xml:space="preserve"> </w:t>
    </w:r>
    <w:r>
      <w:rPr>
        <w:b/>
        <w:bCs/>
        <w:spacing w:val="-13"/>
        <w:sz w:val="18"/>
        <w:szCs w:val="18"/>
      </w:rPr>
      <w:t>499</w:t>
    </w:r>
    <w:r>
      <w:rPr>
        <w:spacing w:val="-13"/>
        <w:sz w:val="18"/>
        <w:szCs w:val="18"/>
      </w:rPr>
      <w:t xml:space="preserve"> </w:t>
    </w:r>
    <w:r>
      <w:rPr>
        <w:b/>
        <w:bCs/>
        <w:spacing w:val="-13"/>
        <w:sz w:val="18"/>
        <w:szCs w:val="18"/>
      </w:rPr>
      <w:t>页</w: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CFFF98">
    <w:pPr>
      <w:spacing w:after="13" w:line="454" w:lineRule="exact"/>
    </w:pPr>
  </w:p>
  <w:p w14:paraId="4364DACA">
    <w:pPr>
      <w:pStyle w:val="2"/>
      <w:spacing w:line="207" w:lineRule="auto"/>
      <w:ind w:left="5106"/>
      <w:rPr>
        <w:sz w:val="18"/>
        <w:szCs w:val="18"/>
      </w:rPr>
    </w:pPr>
    <w:r>
      <w:rPr>
        <w:b/>
        <w:bCs/>
        <w:spacing w:val="-13"/>
        <w:sz w:val="18"/>
        <w:szCs w:val="18"/>
      </w:rPr>
      <w:t>第</w:t>
    </w:r>
    <w:r>
      <w:rPr>
        <w:spacing w:val="-28"/>
        <w:sz w:val="18"/>
        <w:szCs w:val="18"/>
      </w:rPr>
      <w:t xml:space="preserve"> </w:t>
    </w:r>
    <w:r>
      <w:rPr>
        <w:b/>
        <w:bCs/>
        <w:spacing w:val="-13"/>
        <w:sz w:val="18"/>
        <w:szCs w:val="18"/>
      </w:rPr>
      <w:t>56</w:t>
    </w:r>
    <w:r>
      <w:rPr>
        <w:spacing w:val="-13"/>
        <w:sz w:val="18"/>
        <w:szCs w:val="18"/>
      </w:rPr>
      <w:t xml:space="preserve"> </w:t>
    </w:r>
    <w:r>
      <w:rPr>
        <w:b/>
        <w:bCs/>
        <w:spacing w:val="-13"/>
        <w:sz w:val="18"/>
        <w:szCs w:val="18"/>
      </w:rPr>
      <w:t>页</w:t>
    </w:r>
    <w:r>
      <w:rPr>
        <w:spacing w:val="-28"/>
        <w:sz w:val="18"/>
        <w:szCs w:val="18"/>
      </w:rPr>
      <w:t xml:space="preserve"> </w:t>
    </w:r>
    <w:r>
      <w:rPr>
        <w:b/>
        <w:bCs/>
        <w:spacing w:val="-13"/>
        <w:sz w:val="18"/>
        <w:szCs w:val="18"/>
      </w:rPr>
      <w:t>共</w:t>
    </w:r>
    <w:r>
      <w:rPr>
        <w:spacing w:val="-38"/>
        <w:sz w:val="18"/>
        <w:szCs w:val="18"/>
      </w:rPr>
      <w:t xml:space="preserve"> </w:t>
    </w:r>
    <w:r>
      <w:rPr>
        <w:b/>
        <w:bCs/>
        <w:spacing w:val="-13"/>
        <w:sz w:val="18"/>
        <w:szCs w:val="18"/>
      </w:rPr>
      <w:t>499</w:t>
    </w:r>
    <w:r>
      <w:rPr>
        <w:spacing w:val="-13"/>
        <w:sz w:val="18"/>
        <w:szCs w:val="18"/>
      </w:rPr>
      <w:t xml:space="preserve"> </w:t>
    </w:r>
    <w:r>
      <w:rPr>
        <w:b/>
        <w:bCs/>
        <w:spacing w:val="-13"/>
        <w:sz w:val="18"/>
        <w:szCs w:val="18"/>
      </w:rPr>
      <w:t>页</w:t>
    </w:r>
  </w:p>
</w:ftr>
</file>

<file path=word/footer2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42F8B4">
    <w:pPr>
      <w:spacing w:after="13" w:line="454" w:lineRule="exact"/>
    </w:pPr>
  </w:p>
  <w:p w14:paraId="4CA40541">
    <w:pPr>
      <w:pStyle w:val="2"/>
      <w:spacing w:line="207" w:lineRule="auto"/>
      <w:ind w:left="5067"/>
      <w:rPr>
        <w:sz w:val="18"/>
        <w:szCs w:val="18"/>
      </w:rPr>
    </w:pPr>
    <w:r>
      <w:rPr>
        <w:b/>
        <w:bCs/>
        <w:spacing w:val="-13"/>
        <w:sz w:val="18"/>
        <w:szCs w:val="18"/>
      </w:rPr>
      <w:t>第</w:t>
    </w:r>
    <w:r>
      <w:rPr>
        <w:spacing w:val="-28"/>
        <w:sz w:val="18"/>
        <w:szCs w:val="18"/>
      </w:rPr>
      <w:t xml:space="preserve"> </w:t>
    </w:r>
    <w:r>
      <w:rPr>
        <w:b/>
        <w:bCs/>
        <w:spacing w:val="-13"/>
        <w:sz w:val="18"/>
        <w:szCs w:val="18"/>
      </w:rPr>
      <w:t>341</w:t>
    </w:r>
    <w:r>
      <w:rPr>
        <w:spacing w:val="-13"/>
        <w:sz w:val="18"/>
        <w:szCs w:val="18"/>
      </w:rPr>
      <w:t xml:space="preserve"> </w:t>
    </w:r>
    <w:r>
      <w:rPr>
        <w:b/>
        <w:bCs/>
        <w:spacing w:val="-13"/>
        <w:sz w:val="18"/>
        <w:szCs w:val="18"/>
      </w:rPr>
      <w:t>页</w:t>
    </w:r>
    <w:r>
      <w:rPr>
        <w:spacing w:val="-27"/>
        <w:sz w:val="18"/>
        <w:szCs w:val="18"/>
      </w:rPr>
      <w:t xml:space="preserve"> </w:t>
    </w:r>
    <w:r>
      <w:rPr>
        <w:b/>
        <w:bCs/>
        <w:spacing w:val="-13"/>
        <w:sz w:val="18"/>
        <w:szCs w:val="18"/>
      </w:rPr>
      <w:t>共</w:t>
    </w:r>
    <w:r>
      <w:rPr>
        <w:spacing w:val="-39"/>
        <w:sz w:val="18"/>
        <w:szCs w:val="18"/>
      </w:rPr>
      <w:t xml:space="preserve"> </w:t>
    </w:r>
    <w:r>
      <w:rPr>
        <w:b/>
        <w:bCs/>
        <w:spacing w:val="-13"/>
        <w:sz w:val="18"/>
        <w:szCs w:val="18"/>
      </w:rPr>
      <w:t>499</w:t>
    </w:r>
    <w:r>
      <w:rPr>
        <w:spacing w:val="-13"/>
        <w:sz w:val="18"/>
        <w:szCs w:val="18"/>
      </w:rPr>
      <w:t xml:space="preserve"> </w:t>
    </w:r>
    <w:r>
      <w:rPr>
        <w:b/>
        <w:bCs/>
        <w:spacing w:val="-13"/>
        <w:sz w:val="18"/>
        <w:szCs w:val="18"/>
      </w:rPr>
      <w:t>页</w:t>
    </w:r>
  </w:p>
</w:ftr>
</file>

<file path=word/footer2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A31CF5">
    <w:pPr>
      <w:spacing w:after="13" w:line="454" w:lineRule="exact"/>
    </w:pPr>
  </w:p>
  <w:p w14:paraId="3172F8BA">
    <w:pPr>
      <w:pStyle w:val="2"/>
      <w:spacing w:line="207" w:lineRule="auto"/>
      <w:ind w:left="5067"/>
      <w:rPr>
        <w:sz w:val="18"/>
        <w:szCs w:val="18"/>
      </w:rPr>
    </w:pPr>
    <w:r>
      <w:rPr>
        <w:b/>
        <w:bCs/>
        <w:spacing w:val="-13"/>
        <w:sz w:val="18"/>
        <w:szCs w:val="18"/>
      </w:rPr>
      <w:t>第</w:t>
    </w:r>
    <w:r>
      <w:rPr>
        <w:spacing w:val="-28"/>
        <w:sz w:val="18"/>
        <w:szCs w:val="18"/>
      </w:rPr>
      <w:t xml:space="preserve"> </w:t>
    </w:r>
    <w:r>
      <w:rPr>
        <w:b/>
        <w:bCs/>
        <w:spacing w:val="-13"/>
        <w:sz w:val="18"/>
        <w:szCs w:val="18"/>
      </w:rPr>
      <w:t>342</w:t>
    </w:r>
    <w:r>
      <w:rPr>
        <w:spacing w:val="-13"/>
        <w:sz w:val="18"/>
        <w:szCs w:val="18"/>
      </w:rPr>
      <w:t xml:space="preserve"> </w:t>
    </w:r>
    <w:r>
      <w:rPr>
        <w:b/>
        <w:bCs/>
        <w:spacing w:val="-13"/>
        <w:sz w:val="18"/>
        <w:szCs w:val="18"/>
      </w:rPr>
      <w:t>页</w:t>
    </w:r>
    <w:r>
      <w:rPr>
        <w:spacing w:val="-27"/>
        <w:sz w:val="18"/>
        <w:szCs w:val="18"/>
      </w:rPr>
      <w:t xml:space="preserve"> </w:t>
    </w:r>
    <w:r>
      <w:rPr>
        <w:b/>
        <w:bCs/>
        <w:spacing w:val="-13"/>
        <w:sz w:val="18"/>
        <w:szCs w:val="18"/>
      </w:rPr>
      <w:t>共</w:t>
    </w:r>
    <w:r>
      <w:rPr>
        <w:spacing w:val="-39"/>
        <w:sz w:val="18"/>
        <w:szCs w:val="18"/>
      </w:rPr>
      <w:t xml:space="preserve"> </w:t>
    </w:r>
    <w:r>
      <w:rPr>
        <w:b/>
        <w:bCs/>
        <w:spacing w:val="-13"/>
        <w:sz w:val="18"/>
        <w:szCs w:val="18"/>
      </w:rPr>
      <w:t>499</w:t>
    </w:r>
    <w:r>
      <w:rPr>
        <w:spacing w:val="-13"/>
        <w:sz w:val="18"/>
        <w:szCs w:val="18"/>
      </w:rPr>
      <w:t xml:space="preserve"> </w:t>
    </w:r>
    <w:r>
      <w:rPr>
        <w:b/>
        <w:bCs/>
        <w:spacing w:val="-13"/>
        <w:sz w:val="18"/>
        <w:szCs w:val="18"/>
      </w:rPr>
      <w:t>页</w:t>
    </w:r>
  </w:p>
</w:ftr>
</file>

<file path=word/footer2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A59269">
    <w:pPr>
      <w:spacing w:after="13" w:line="454" w:lineRule="exact"/>
    </w:pPr>
  </w:p>
  <w:p w14:paraId="49B5A4EE">
    <w:pPr>
      <w:pStyle w:val="2"/>
      <w:spacing w:line="207" w:lineRule="auto"/>
      <w:ind w:left="5067"/>
      <w:rPr>
        <w:sz w:val="18"/>
        <w:szCs w:val="18"/>
      </w:rPr>
    </w:pPr>
    <w:r>
      <w:rPr>
        <w:b/>
        <w:bCs/>
        <w:spacing w:val="-13"/>
        <w:sz w:val="18"/>
        <w:szCs w:val="18"/>
      </w:rPr>
      <w:t>第</w:t>
    </w:r>
    <w:r>
      <w:rPr>
        <w:spacing w:val="-28"/>
        <w:sz w:val="18"/>
        <w:szCs w:val="18"/>
      </w:rPr>
      <w:t xml:space="preserve"> </w:t>
    </w:r>
    <w:r>
      <w:rPr>
        <w:b/>
        <w:bCs/>
        <w:spacing w:val="-13"/>
        <w:sz w:val="18"/>
        <w:szCs w:val="18"/>
      </w:rPr>
      <w:t>343</w:t>
    </w:r>
    <w:r>
      <w:rPr>
        <w:spacing w:val="-13"/>
        <w:sz w:val="18"/>
        <w:szCs w:val="18"/>
      </w:rPr>
      <w:t xml:space="preserve"> </w:t>
    </w:r>
    <w:r>
      <w:rPr>
        <w:b/>
        <w:bCs/>
        <w:spacing w:val="-13"/>
        <w:sz w:val="18"/>
        <w:szCs w:val="18"/>
      </w:rPr>
      <w:t>页</w:t>
    </w:r>
    <w:r>
      <w:rPr>
        <w:spacing w:val="-27"/>
        <w:sz w:val="18"/>
        <w:szCs w:val="18"/>
      </w:rPr>
      <w:t xml:space="preserve"> </w:t>
    </w:r>
    <w:r>
      <w:rPr>
        <w:b/>
        <w:bCs/>
        <w:spacing w:val="-13"/>
        <w:sz w:val="18"/>
        <w:szCs w:val="18"/>
      </w:rPr>
      <w:t>共</w:t>
    </w:r>
    <w:r>
      <w:rPr>
        <w:spacing w:val="-39"/>
        <w:sz w:val="18"/>
        <w:szCs w:val="18"/>
      </w:rPr>
      <w:t xml:space="preserve"> </w:t>
    </w:r>
    <w:r>
      <w:rPr>
        <w:b/>
        <w:bCs/>
        <w:spacing w:val="-13"/>
        <w:sz w:val="18"/>
        <w:szCs w:val="18"/>
      </w:rPr>
      <w:t>499</w:t>
    </w:r>
    <w:r>
      <w:rPr>
        <w:spacing w:val="-13"/>
        <w:sz w:val="18"/>
        <w:szCs w:val="18"/>
      </w:rPr>
      <w:t xml:space="preserve"> </w:t>
    </w:r>
    <w:r>
      <w:rPr>
        <w:b/>
        <w:bCs/>
        <w:spacing w:val="-13"/>
        <w:sz w:val="18"/>
        <w:szCs w:val="18"/>
      </w:rPr>
      <w:t>页</w:t>
    </w:r>
  </w:p>
</w:ftr>
</file>

<file path=word/footer2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319F74">
    <w:pPr>
      <w:spacing w:after="13" w:line="454" w:lineRule="exact"/>
    </w:pPr>
  </w:p>
  <w:p w14:paraId="588FA477">
    <w:pPr>
      <w:pStyle w:val="2"/>
      <w:spacing w:line="207" w:lineRule="auto"/>
      <w:ind w:left="5067"/>
      <w:rPr>
        <w:sz w:val="18"/>
        <w:szCs w:val="18"/>
      </w:rPr>
    </w:pPr>
    <w:r>
      <w:rPr>
        <w:b/>
        <w:bCs/>
        <w:spacing w:val="-13"/>
        <w:sz w:val="18"/>
        <w:szCs w:val="18"/>
      </w:rPr>
      <w:t>第</w:t>
    </w:r>
    <w:r>
      <w:rPr>
        <w:spacing w:val="-28"/>
        <w:sz w:val="18"/>
        <w:szCs w:val="18"/>
      </w:rPr>
      <w:t xml:space="preserve"> </w:t>
    </w:r>
    <w:r>
      <w:rPr>
        <w:b/>
        <w:bCs/>
        <w:spacing w:val="-13"/>
        <w:sz w:val="18"/>
        <w:szCs w:val="18"/>
      </w:rPr>
      <w:t>344</w:t>
    </w:r>
    <w:r>
      <w:rPr>
        <w:spacing w:val="-13"/>
        <w:sz w:val="18"/>
        <w:szCs w:val="18"/>
      </w:rPr>
      <w:t xml:space="preserve"> </w:t>
    </w:r>
    <w:r>
      <w:rPr>
        <w:b/>
        <w:bCs/>
        <w:spacing w:val="-13"/>
        <w:sz w:val="18"/>
        <w:szCs w:val="18"/>
      </w:rPr>
      <w:t>页</w:t>
    </w:r>
    <w:r>
      <w:rPr>
        <w:spacing w:val="-27"/>
        <w:sz w:val="18"/>
        <w:szCs w:val="18"/>
      </w:rPr>
      <w:t xml:space="preserve"> </w:t>
    </w:r>
    <w:r>
      <w:rPr>
        <w:b/>
        <w:bCs/>
        <w:spacing w:val="-13"/>
        <w:sz w:val="18"/>
        <w:szCs w:val="18"/>
      </w:rPr>
      <w:t>共</w:t>
    </w:r>
    <w:r>
      <w:rPr>
        <w:spacing w:val="-39"/>
        <w:sz w:val="18"/>
        <w:szCs w:val="18"/>
      </w:rPr>
      <w:t xml:space="preserve"> </w:t>
    </w:r>
    <w:r>
      <w:rPr>
        <w:b/>
        <w:bCs/>
        <w:spacing w:val="-13"/>
        <w:sz w:val="18"/>
        <w:szCs w:val="18"/>
      </w:rPr>
      <w:t>499</w:t>
    </w:r>
    <w:r>
      <w:rPr>
        <w:spacing w:val="-13"/>
        <w:sz w:val="18"/>
        <w:szCs w:val="18"/>
      </w:rPr>
      <w:t xml:space="preserve"> </w:t>
    </w:r>
    <w:r>
      <w:rPr>
        <w:b/>
        <w:bCs/>
        <w:spacing w:val="-13"/>
        <w:sz w:val="18"/>
        <w:szCs w:val="18"/>
      </w:rPr>
      <w:t>页</w:t>
    </w:r>
  </w:p>
</w:ftr>
</file>

<file path=word/footer2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566AAB">
    <w:pPr>
      <w:spacing w:after="13" w:line="454" w:lineRule="exact"/>
    </w:pPr>
  </w:p>
  <w:p w14:paraId="28A39FC0">
    <w:pPr>
      <w:pStyle w:val="2"/>
      <w:spacing w:line="207" w:lineRule="auto"/>
      <w:ind w:left="5067"/>
      <w:rPr>
        <w:sz w:val="18"/>
        <w:szCs w:val="18"/>
      </w:rPr>
    </w:pPr>
    <w:r>
      <w:rPr>
        <w:b/>
        <w:bCs/>
        <w:spacing w:val="-13"/>
        <w:sz w:val="18"/>
        <w:szCs w:val="18"/>
      </w:rPr>
      <w:t>第</w:t>
    </w:r>
    <w:r>
      <w:rPr>
        <w:spacing w:val="-28"/>
        <w:sz w:val="18"/>
        <w:szCs w:val="18"/>
      </w:rPr>
      <w:t xml:space="preserve"> </w:t>
    </w:r>
    <w:r>
      <w:rPr>
        <w:b/>
        <w:bCs/>
        <w:spacing w:val="-13"/>
        <w:sz w:val="18"/>
        <w:szCs w:val="18"/>
      </w:rPr>
      <w:t>345</w:t>
    </w:r>
    <w:r>
      <w:rPr>
        <w:spacing w:val="-13"/>
        <w:sz w:val="18"/>
        <w:szCs w:val="18"/>
      </w:rPr>
      <w:t xml:space="preserve"> </w:t>
    </w:r>
    <w:r>
      <w:rPr>
        <w:b/>
        <w:bCs/>
        <w:spacing w:val="-13"/>
        <w:sz w:val="18"/>
        <w:szCs w:val="18"/>
      </w:rPr>
      <w:t>页</w:t>
    </w:r>
    <w:r>
      <w:rPr>
        <w:spacing w:val="-27"/>
        <w:sz w:val="18"/>
        <w:szCs w:val="18"/>
      </w:rPr>
      <w:t xml:space="preserve"> </w:t>
    </w:r>
    <w:r>
      <w:rPr>
        <w:b/>
        <w:bCs/>
        <w:spacing w:val="-13"/>
        <w:sz w:val="18"/>
        <w:szCs w:val="18"/>
      </w:rPr>
      <w:t>共</w:t>
    </w:r>
    <w:r>
      <w:rPr>
        <w:spacing w:val="-39"/>
        <w:sz w:val="18"/>
        <w:szCs w:val="18"/>
      </w:rPr>
      <w:t xml:space="preserve"> </w:t>
    </w:r>
    <w:r>
      <w:rPr>
        <w:b/>
        <w:bCs/>
        <w:spacing w:val="-13"/>
        <w:sz w:val="18"/>
        <w:szCs w:val="18"/>
      </w:rPr>
      <w:t>499</w:t>
    </w:r>
    <w:r>
      <w:rPr>
        <w:spacing w:val="-13"/>
        <w:sz w:val="18"/>
        <w:szCs w:val="18"/>
      </w:rPr>
      <w:t xml:space="preserve"> </w:t>
    </w:r>
    <w:r>
      <w:rPr>
        <w:b/>
        <w:bCs/>
        <w:spacing w:val="-13"/>
        <w:sz w:val="18"/>
        <w:szCs w:val="18"/>
      </w:rPr>
      <w:t>页</w:t>
    </w:r>
  </w:p>
</w:ftr>
</file>

<file path=word/footer2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8312AA">
    <w:pPr>
      <w:spacing w:after="13" w:line="454" w:lineRule="exact"/>
    </w:pPr>
  </w:p>
  <w:p w14:paraId="4AECBDDE">
    <w:pPr>
      <w:pStyle w:val="2"/>
      <w:spacing w:line="207" w:lineRule="auto"/>
      <w:ind w:left="5067"/>
      <w:rPr>
        <w:sz w:val="18"/>
        <w:szCs w:val="18"/>
      </w:rPr>
    </w:pPr>
    <w:r>
      <w:rPr>
        <w:b/>
        <w:bCs/>
        <w:spacing w:val="-13"/>
        <w:sz w:val="18"/>
        <w:szCs w:val="18"/>
      </w:rPr>
      <w:t>第</w:t>
    </w:r>
    <w:r>
      <w:rPr>
        <w:spacing w:val="-28"/>
        <w:sz w:val="18"/>
        <w:szCs w:val="18"/>
      </w:rPr>
      <w:t xml:space="preserve"> </w:t>
    </w:r>
    <w:r>
      <w:rPr>
        <w:b/>
        <w:bCs/>
        <w:spacing w:val="-13"/>
        <w:sz w:val="18"/>
        <w:szCs w:val="18"/>
      </w:rPr>
      <w:t>346</w:t>
    </w:r>
    <w:r>
      <w:rPr>
        <w:spacing w:val="-13"/>
        <w:sz w:val="18"/>
        <w:szCs w:val="18"/>
      </w:rPr>
      <w:t xml:space="preserve"> </w:t>
    </w:r>
    <w:r>
      <w:rPr>
        <w:b/>
        <w:bCs/>
        <w:spacing w:val="-13"/>
        <w:sz w:val="18"/>
        <w:szCs w:val="18"/>
      </w:rPr>
      <w:t>页</w:t>
    </w:r>
    <w:r>
      <w:rPr>
        <w:spacing w:val="-27"/>
        <w:sz w:val="18"/>
        <w:szCs w:val="18"/>
      </w:rPr>
      <w:t xml:space="preserve"> </w:t>
    </w:r>
    <w:r>
      <w:rPr>
        <w:b/>
        <w:bCs/>
        <w:spacing w:val="-13"/>
        <w:sz w:val="18"/>
        <w:szCs w:val="18"/>
      </w:rPr>
      <w:t>共</w:t>
    </w:r>
    <w:r>
      <w:rPr>
        <w:spacing w:val="-39"/>
        <w:sz w:val="18"/>
        <w:szCs w:val="18"/>
      </w:rPr>
      <w:t xml:space="preserve"> </w:t>
    </w:r>
    <w:r>
      <w:rPr>
        <w:b/>
        <w:bCs/>
        <w:spacing w:val="-13"/>
        <w:sz w:val="18"/>
        <w:szCs w:val="18"/>
      </w:rPr>
      <w:t>499</w:t>
    </w:r>
    <w:r>
      <w:rPr>
        <w:spacing w:val="-13"/>
        <w:sz w:val="18"/>
        <w:szCs w:val="18"/>
      </w:rPr>
      <w:t xml:space="preserve"> </w:t>
    </w:r>
    <w:r>
      <w:rPr>
        <w:b/>
        <w:bCs/>
        <w:spacing w:val="-13"/>
        <w:sz w:val="18"/>
        <w:szCs w:val="18"/>
      </w:rPr>
      <w:t>页</w:t>
    </w:r>
  </w:p>
</w:ftr>
</file>

<file path=word/footer2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3AA729">
    <w:pPr>
      <w:spacing w:after="13" w:line="454" w:lineRule="exact"/>
    </w:pPr>
  </w:p>
  <w:p w14:paraId="5EE2A3B5">
    <w:pPr>
      <w:pStyle w:val="2"/>
      <w:spacing w:line="207" w:lineRule="auto"/>
      <w:ind w:left="5067"/>
      <w:rPr>
        <w:sz w:val="18"/>
        <w:szCs w:val="18"/>
      </w:rPr>
    </w:pPr>
    <w:r>
      <w:rPr>
        <w:b/>
        <w:bCs/>
        <w:spacing w:val="-13"/>
        <w:sz w:val="18"/>
        <w:szCs w:val="18"/>
      </w:rPr>
      <w:t>第</w:t>
    </w:r>
    <w:r>
      <w:rPr>
        <w:spacing w:val="-28"/>
        <w:sz w:val="18"/>
        <w:szCs w:val="18"/>
      </w:rPr>
      <w:t xml:space="preserve"> </w:t>
    </w:r>
    <w:r>
      <w:rPr>
        <w:b/>
        <w:bCs/>
        <w:spacing w:val="-13"/>
        <w:sz w:val="18"/>
        <w:szCs w:val="18"/>
      </w:rPr>
      <w:t>347</w:t>
    </w:r>
    <w:r>
      <w:rPr>
        <w:spacing w:val="-13"/>
        <w:sz w:val="18"/>
        <w:szCs w:val="18"/>
      </w:rPr>
      <w:t xml:space="preserve"> </w:t>
    </w:r>
    <w:r>
      <w:rPr>
        <w:b/>
        <w:bCs/>
        <w:spacing w:val="-13"/>
        <w:sz w:val="18"/>
        <w:szCs w:val="18"/>
      </w:rPr>
      <w:t>页</w:t>
    </w:r>
    <w:r>
      <w:rPr>
        <w:spacing w:val="-27"/>
        <w:sz w:val="18"/>
        <w:szCs w:val="18"/>
      </w:rPr>
      <w:t xml:space="preserve"> </w:t>
    </w:r>
    <w:r>
      <w:rPr>
        <w:b/>
        <w:bCs/>
        <w:spacing w:val="-13"/>
        <w:sz w:val="18"/>
        <w:szCs w:val="18"/>
      </w:rPr>
      <w:t>共</w:t>
    </w:r>
    <w:r>
      <w:rPr>
        <w:spacing w:val="-39"/>
        <w:sz w:val="18"/>
        <w:szCs w:val="18"/>
      </w:rPr>
      <w:t xml:space="preserve"> </w:t>
    </w:r>
    <w:r>
      <w:rPr>
        <w:b/>
        <w:bCs/>
        <w:spacing w:val="-13"/>
        <w:sz w:val="18"/>
        <w:szCs w:val="18"/>
      </w:rPr>
      <w:t>499</w:t>
    </w:r>
    <w:r>
      <w:rPr>
        <w:spacing w:val="-13"/>
        <w:sz w:val="18"/>
        <w:szCs w:val="18"/>
      </w:rPr>
      <w:t xml:space="preserve"> </w:t>
    </w:r>
    <w:r>
      <w:rPr>
        <w:b/>
        <w:bCs/>
        <w:spacing w:val="-13"/>
        <w:sz w:val="18"/>
        <w:szCs w:val="18"/>
      </w:rPr>
      <w:t>页</w:t>
    </w:r>
  </w:p>
</w:ftr>
</file>

<file path=word/footer2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5E4A09">
    <w:pPr>
      <w:spacing w:after="13" w:line="454" w:lineRule="exact"/>
    </w:pPr>
  </w:p>
  <w:p w14:paraId="2C391C08">
    <w:pPr>
      <w:pStyle w:val="2"/>
      <w:spacing w:line="207" w:lineRule="auto"/>
      <w:ind w:left="5067"/>
      <w:rPr>
        <w:sz w:val="18"/>
        <w:szCs w:val="18"/>
      </w:rPr>
    </w:pPr>
    <w:r>
      <w:rPr>
        <w:b/>
        <w:bCs/>
        <w:spacing w:val="-13"/>
        <w:sz w:val="18"/>
        <w:szCs w:val="18"/>
      </w:rPr>
      <w:t>第</w:t>
    </w:r>
    <w:r>
      <w:rPr>
        <w:spacing w:val="-28"/>
        <w:sz w:val="18"/>
        <w:szCs w:val="18"/>
      </w:rPr>
      <w:t xml:space="preserve"> </w:t>
    </w:r>
    <w:r>
      <w:rPr>
        <w:b/>
        <w:bCs/>
        <w:spacing w:val="-13"/>
        <w:sz w:val="18"/>
        <w:szCs w:val="18"/>
      </w:rPr>
      <w:t>348</w:t>
    </w:r>
    <w:r>
      <w:rPr>
        <w:spacing w:val="-13"/>
        <w:sz w:val="18"/>
        <w:szCs w:val="18"/>
      </w:rPr>
      <w:t xml:space="preserve"> </w:t>
    </w:r>
    <w:r>
      <w:rPr>
        <w:b/>
        <w:bCs/>
        <w:spacing w:val="-13"/>
        <w:sz w:val="18"/>
        <w:szCs w:val="18"/>
      </w:rPr>
      <w:t>页</w:t>
    </w:r>
    <w:r>
      <w:rPr>
        <w:spacing w:val="-27"/>
        <w:sz w:val="18"/>
        <w:szCs w:val="18"/>
      </w:rPr>
      <w:t xml:space="preserve"> </w:t>
    </w:r>
    <w:r>
      <w:rPr>
        <w:b/>
        <w:bCs/>
        <w:spacing w:val="-13"/>
        <w:sz w:val="18"/>
        <w:szCs w:val="18"/>
      </w:rPr>
      <w:t>共</w:t>
    </w:r>
    <w:r>
      <w:rPr>
        <w:spacing w:val="-39"/>
        <w:sz w:val="18"/>
        <w:szCs w:val="18"/>
      </w:rPr>
      <w:t xml:space="preserve"> </w:t>
    </w:r>
    <w:r>
      <w:rPr>
        <w:b/>
        <w:bCs/>
        <w:spacing w:val="-13"/>
        <w:sz w:val="18"/>
        <w:szCs w:val="18"/>
      </w:rPr>
      <w:t>499</w:t>
    </w:r>
    <w:r>
      <w:rPr>
        <w:spacing w:val="-13"/>
        <w:sz w:val="18"/>
        <w:szCs w:val="18"/>
      </w:rPr>
      <w:t xml:space="preserve"> </w:t>
    </w:r>
    <w:r>
      <w:rPr>
        <w:b/>
        <w:bCs/>
        <w:spacing w:val="-13"/>
        <w:sz w:val="18"/>
        <w:szCs w:val="18"/>
      </w:rPr>
      <w:t>页</w:t>
    </w:r>
  </w:p>
</w:ftr>
</file>

<file path=word/footer2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E96DFA">
    <w:pPr>
      <w:spacing w:after="13" w:line="454" w:lineRule="exact"/>
    </w:pPr>
  </w:p>
  <w:p w14:paraId="438987C7">
    <w:pPr>
      <w:pStyle w:val="2"/>
      <w:spacing w:line="207" w:lineRule="auto"/>
      <w:ind w:left="5067"/>
      <w:rPr>
        <w:sz w:val="18"/>
        <w:szCs w:val="18"/>
      </w:rPr>
    </w:pPr>
    <w:r>
      <w:rPr>
        <w:b/>
        <w:bCs/>
        <w:spacing w:val="-13"/>
        <w:sz w:val="18"/>
        <w:szCs w:val="18"/>
      </w:rPr>
      <w:t>第</w:t>
    </w:r>
    <w:r>
      <w:rPr>
        <w:spacing w:val="-28"/>
        <w:sz w:val="18"/>
        <w:szCs w:val="18"/>
      </w:rPr>
      <w:t xml:space="preserve"> </w:t>
    </w:r>
    <w:r>
      <w:rPr>
        <w:b/>
        <w:bCs/>
        <w:spacing w:val="-13"/>
        <w:sz w:val="18"/>
        <w:szCs w:val="18"/>
      </w:rPr>
      <w:t>349</w:t>
    </w:r>
    <w:r>
      <w:rPr>
        <w:spacing w:val="-13"/>
        <w:sz w:val="18"/>
        <w:szCs w:val="18"/>
      </w:rPr>
      <w:t xml:space="preserve"> </w:t>
    </w:r>
    <w:r>
      <w:rPr>
        <w:b/>
        <w:bCs/>
        <w:spacing w:val="-13"/>
        <w:sz w:val="18"/>
        <w:szCs w:val="18"/>
      </w:rPr>
      <w:t>页</w:t>
    </w:r>
    <w:r>
      <w:rPr>
        <w:spacing w:val="-27"/>
        <w:sz w:val="18"/>
        <w:szCs w:val="18"/>
      </w:rPr>
      <w:t xml:space="preserve"> </w:t>
    </w:r>
    <w:r>
      <w:rPr>
        <w:b/>
        <w:bCs/>
        <w:spacing w:val="-13"/>
        <w:sz w:val="18"/>
        <w:szCs w:val="18"/>
      </w:rPr>
      <w:t>共</w:t>
    </w:r>
    <w:r>
      <w:rPr>
        <w:spacing w:val="-39"/>
        <w:sz w:val="18"/>
        <w:szCs w:val="18"/>
      </w:rPr>
      <w:t xml:space="preserve"> </w:t>
    </w:r>
    <w:r>
      <w:rPr>
        <w:b/>
        <w:bCs/>
        <w:spacing w:val="-13"/>
        <w:sz w:val="18"/>
        <w:szCs w:val="18"/>
      </w:rPr>
      <w:t>499</w:t>
    </w:r>
    <w:r>
      <w:rPr>
        <w:spacing w:val="-13"/>
        <w:sz w:val="18"/>
        <w:szCs w:val="18"/>
      </w:rPr>
      <w:t xml:space="preserve"> </w:t>
    </w:r>
    <w:r>
      <w:rPr>
        <w:b/>
        <w:bCs/>
        <w:spacing w:val="-13"/>
        <w:sz w:val="18"/>
        <w:szCs w:val="18"/>
      </w:rPr>
      <w:t>页</w:t>
    </w:r>
  </w:p>
</w:ftr>
</file>

<file path=word/footer2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41C609">
    <w:pPr>
      <w:spacing w:after="13" w:line="454" w:lineRule="exact"/>
    </w:pPr>
  </w:p>
  <w:p w14:paraId="5DD5F2E5">
    <w:pPr>
      <w:pStyle w:val="2"/>
      <w:spacing w:line="207" w:lineRule="auto"/>
      <w:ind w:left="5067"/>
      <w:rPr>
        <w:sz w:val="18"/>
        <w:szCs w:val="18"/>
      </w:rPr>
    </w:pPr>
    <w:r>
      <w:rPr>
        <w:b/>
        <w:bCs/>
        <w:spacing w:val="-13"/>
        <w:sz w:val="18"/>
        <w:szCs w:val="18"/>
      </w:rPr>
      <w:t>第</w:t>
    </w:r>
    <w:r>
      <w:rPr>
        <w:spacing w:val="-28"/>
        <w:sz w:val="18"/>
        <w:szCs w:val="18"/>
      </w:rPr>
      <w:t xml:space="preserve"> </w:t>
    </w:r>
    <w:r>
      <w:rPr>
        <w:b/>
        <w:bCs/>
        <w:spacing w:val="-13"/>
        <w:sz w:val="18"/>
        <w:szCs w:val="18"/>
      </w:rPr>
      <w:t>350</w:t>
    </w:r>
    <w:r>
      <w:rPr>
        <w:spacing w:val="-13"/>
        <w:sz w:val="18"/>
        <w:szCs w:val="18"/>
      </w:rPr>
      <w:t xml:space="preserve"> </w:t>
    </w:r>
    <w:r>
      <w:rPr>
        <w:b/>
        <w:bCs/>
        <w:spacing w:val="-13"/>
        <w:sz w:val="18"/>
        <w:szCs w:val="18"/>
      </w:rPr>
      <w:t>页</w:t>
    </w:r>
    <w:r>
      <w:rPr>
        <w:spacing w:val="-27"/>
        <w:sz w:val="18"/>
        <w:szCs w:val="18"/>
      </w:rPr>
      <w:t xml:space="preserve"> </w:t>
    </w:r>
    <w:r>
      <w:rPr>
        <w:b/>
        <w:bCs/>
        <w:spacing w:val="-13"/>
        <w:sz w:val="18"/>
        <w:szCs w:val="18"/>
      </w:rPr>
      <w:t>共</w:t>
    </w:r>
    <w:r>
      <w:rPr>
        <w:spacing w:val="-39"/>
        <w:sz w:val="18"/>
        <w:szCs w:val="18"/>
      </w:rPr>
      <w:t xml:space="preserve"> </w:t>
    </w:r>
    <w:r>
      <w:rPr>
        <w:b/>
        <w:bCs/>
        <w:spacing w:val="-13"/>
        <w:sz w:val="18"/>
        <w:szCs w:val="18"/>
      </w:rPr>
      <w:t>499</w:t>
    </w:r>
    <w:r>
      <w:rPr>
        <w:spacing w:val="-13"/>
        <w:sz w:val="18"/>
        <w:szCs w:val="18"/>
      </w:rPr>
      <w:t xml:space="preserve"> </w:t>
    </w:r>
    <w:r>
      <w:rPr>
        <w:b/>
        <w:bCs/>
        <w:spacing w:val="-13"/>
        <w:sz w:val="18"/>
        <w:szCs w:val="18"/>
      </w:rPr>
      <w:t>页</w: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8B30C4">
    <w:pPr>
      <w:spacing w:after="13" w:line="454" w:lineRule="exact"/>
    </w:pPr>
  </w:p>
  <w:p w14:paraId="5B72886F">
    <w:pPr>
      <w:pStyle w:val="2"/>
      <w:spacing w:line="207" w:lineRule="auto"/>
      <w:ind w:left="5106"/>
      <w:rPr>
        <w:sz w:val="18"/>
        <w:szCs w:val="18"/>
      </w:rPr>
    </w:pPr>
    <w:r>
      <w:rPr>
        <w:b/>
        <w:bCs/>
        <w:spacing w:val="-13"/>
        <w:sz w:val="18"/>
        <w:szCs w:val="18"/>
      </w:rPr>
      <w:t>第</w:t>
    </w:r>
    <w:r>
      <w:rPr>
        <w:spacing w:val="-28"/>
        <w:sz w:val="18"/>
        <w:szCs w:val="18"/>
      </w:rPr>
      <w:t xml:space="preserve"> </w:t>
    </w:r>
    <w:r>
      <w:rPr>
        <w:b/>
        <w:bCs/>
        <w:spacing w:val="-13"/>
        <w:sz w:val="18"/>
        <w:szCs w:val="18"/>
      </w:rPr>
      <w:t>57</w:t>
    </w:r>
    <w:r>
      <w:rPr>
        <w:spacing w:val="-13"/>
        <w:sz w:val="18"/>
        <w:szCs w:val="18"/>
      </w:rPr>
      <w:t xml:space="preserve"> </w:t>
    </w:r>
    <w:r>
      <w:rPr>
        <w:b/>
        <w:bCs/>
        <w:spacing w:val="-13"/>
        <w:sz w:val="18"/>
        <w:szCs w:val="18"/>
      </w:rPr>
      <w:t>页</w:t>
    </w:r>
    <w:r>
      <w:rPr>
        <w:spacing w:val="-28"/>
        <w:sz w:val="18"/>
        <w:szCs w:val="18"/>
      </w:rPr>
      <w:t xml:space="preserve"> </w:t>
    </w:r>
    <w:r>
      <w:rPr>
        <w:b/>
        <w:bCs/>
        <w:spacing w:val="-13"/>
        <w:sz w:val="18"/>
        <w:szCs w:val="18"/>
      </w:rPr>
      <w:t>共</w:t>
    </w:r>
    <w:r>
      <w:rPr>
        <w:spacing w:val="-38"/>
        <w:sz w:val="18"/>
        <w:szCs w:val="18"/>
      </w:rPr>
      <w:t xml:space="preserve"> </w:t>
    </w:r>
    <w:r>
      <w:rPr>
        <w:b/>
        <w:bCs/>
        <w:spacing w:val="-13"/>
        <w:sz w:val="18"/>
        <w:szCs w:val="18"/>
      </w:rPr>
      <w:t>499</w:t>
    </w:r>
    <w:r>
      <w:rPr>
        <w:spacing w:val="-13"/>
        <w:sz w:val="18"/>
        <w:szCs w:val="18"/>
      </w:rPr>
      <w:t xml:space="preserve"> </w:t>
    </w:r>
    <w:r>
      <w:rPr>
        <w:b/>
        <w:bCs/>
        <w:spacing w:val="-13"/>
        <w:sz w:val="18"/>
        <w:szCs w:val="18"/>
      </w:rPr>
      <w:t>页</w:t>
    </w:r>
  </w:p>
</w:ftr>
</file>

<file path=word/footer2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5334F6">
    <w:pPr>
      <w:spacing w:after="13" w:line="454" w:lineRule="exact"/>
    </w:pPr>
  </w:p>
  <w:p w14:paraId="18AAA6C0">
    <w:pPr>
      <w:pStyle w:val="2"/>
      <w:spacing w:line="207" w:lineRule="auto"/>
      <w:ind w:left="5067"/>
      <w:rPr>
        <w:sz w:val="18"/>
        <w:szCs w:val="18"/>
      </w:rPr>
    </w:pPr>
    <w:r>
      <w:rPr>
        <w:b/>
        <w:bCs/>
        <w:spacing w:val="-13"/>
        <w:sz w:val="18"/>
        <w:szCs w:val="18"/>
      </w:rPr>
      <w:t>第</w:t>
    </w:r>
    <w:r>
      <w:rPr>
        <w:spacing w:val="-28"/>
        <w:sz w:val="18"/>
        <w:szCs w:val="18"/>
      </w:rPr>
      <w:t xml:space="preserve"> </w:t>
    </w:r>
    <w:r>
      <w:rPr>
        <w:b/>
        <w:bCs/>
        <w:spacing w:val="-13"/>
        <w:sz w:val="18"/>
        <w:szCs w:val="18"/>
      </w:rPr>
      <w:t>351</w:t>
    </w:r>
    <w:r>
      <w:rPr>
        <w:spacing w:val="-13"/>
        <w:sz w:val="18"/>
        <w:szCs w:val="18"/>
      </w:rPr>
      <w:t xml:space="preserve"> </w:t>
    </w:r>
    <w:r>
      <w:rPr>
        <w:b/>
        <w:bCs/>
        <w:spacing w:val="-13"/>
        <w:sz w:val="18"/>
        <w:szCs w:val="18"/>
      </w:rPr>
      <w:t>页</w:t>
    </w:r>
    <w:r>
      <w:rPr>
        <w:spacing w:val="-27"/>
        <w:sz w:val="18"/>
        <w:szCs w:val="18"/>
      </w:rPr>
      <w:t xml:space="preserve"> </w:t>
    </w:r>
    <w:r>
      <w:rPr>
        <w:b/>
        <w:bCs/>
        <w:spacing w:val="-13"/>
        <w:sz w:val="18"/>
        <w:szCs w:val="18"/>
      </w:rPr>
      <w:t>共</w:t>
    </w:r>
    <w:r>
      <w:rPr>
        <w:spacing w:val="-39"/>
        <w:sz w:val="18"/>
        <w:szCs w:val="18"/>
      </w:rPr>
      <w:t xml:space="preserve"> </w:t>
    </w:r>
    <w:r>
      <w:rPr>
        <w:b/>
        <w:bCs/>
        <w:spacing w:val="-13"/>
        <w:sz w:val="18"/>
        <w:szCs w:val="18"/>
      </w:rPr>
      <w:t>499</w:t>
    </w:r>
    <w:r>
      <w:rPr>
        <w:spacing w:val="-13"/>
        <w:sz w:val="18"/>
        <w:szCs w:val="18"/>
      </w:rPr>
      <w:t xml:space="preserve"> </w:t>
    </w:r>
    <w:r>
      <w:rPr>
        <w:b/>
        <w:bCs/>
        <w:spacing w:val="-13"/>
        <w:sz w:val="18"/>
        <w:szCs w:val="18"/>
      </w:rPr>
      <w:t>页</w:t>
    </w:r>
  </w:p>
</w:ftr>
</file>

<file path=word/footer2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E1AFBF">
    <w:pPr>
      <w:spacing w:after="13" w:line="454" w:lineRule="exact"/>
    </w:pPr>
  </w:p>
  <w:p w14:paraId="7D285AAD">
    <w:pPr>
      <w:pStyle w:val="2"/>
      <w:spacing w:line="207" w:lineRule="auto"/>
      <w:ind w:left="5067"/>
      <w:rPr>
        <w:sz w:val="18"/>
        <w:szCs w:val="18"/>
      </w:rPr>
    </w:pPr>
    <w:r>
      <w:rPr>
        <w:b/>
        <w:bCs/>
        <w:spacing w:val="-13"/>
        <w:sz w:val="18"/>
        <w:szCs w:val="18"/>
      </w:rPr>
      <w:t>第</w:t>
    </w:r>
    <w:r>
      <w:rPr>
        <w:spacing w:val="-28"/>
        <w:sz w:val="18"/>
        <w:szCs w:val="18"/>
      </w:rPr>
      <w:t xml:space="preserve"> </w:t>
    </w:r>
    <w:r>
      <w:rPr>
        <w:b/>
        <w:bCs/>
        <w:spacing w:val="-13"/>
        <w:sz w:val="18"/>
        <w:szCs w:val="18"/>
      </w:rPr>
      <w:t>352</w:t>
    </w:r>
    <w:r>
      <w:rPr>
        <w:spacing w:val="-13"/>
        <w:sz w:val="18"/>
        <w:szCs w:val="18"/>
      </w:rPr>
      <w:t xml:space="preserve"> </w:t>
    </w:r>
    <w:r>
      <w:rPr>
        <w:b/>
        <w:bCs/>
        <w:spacing w:val="-13"/>
        <w:sz w:val="18"/>
        <w:szCs w:val="18"/>
      </w:rPr>
      <w:t>页</w:t>
    </w:r>
    <w:r>
      <w:rPr>
        <w:spacing w:val="-27"/>
        <w:sz w:val="18"/>
        <w:szCs w:val="18"/>
      </w:rPr>
      <w:t xml:space="preserve"> </w:t>
    </w:r>
    <w:r>
      <w:rPr>
        <w:b/>
        <w:bCs/>
        <w:spacing w:val="-13"/>
        <w:sz w:val="18"/>
        <w:szCs w:val="18"/>
      </w:rPr>
      <w:t>共</w:t>
    </w:r>
    <w:r>
      <w:rPr>
        <w:spacing w:val="-39"/>
        <w:sz w:val="18"/>
        <w:szCs w:val="18"/>
      </w:rPr>
      <w:t xml:space="preserve"> </w:t>
    </w:r>
    <w:r>
      <w:rPr>
        <w:b/>
        <w:bCs/>
        <w:spacing w:val="-13"/>
        <w:sz w:val="18"/>
        <w:szCs w:val="18"/>
      </w:rPr>
      <w:t>499</w:t>
    </w:r>
    <w:r>
      <w:rPr>
        <w:spacing w:val="-13"/>
        <w:sz w:val="18"/>
        <w:szCs w:val="18"/>
      </w:rPr>
      <w:t xml:space="preserve"> </w:t>
    </w:r>
    <w:r>
      <w:rPr>
        <w:b/>
        <w:bCs/>
        <w:spacing w:val="-13"/>
        <w:sz w:val="18"/>
        <w:szCs w:val="18"/>
      </w:rPr>
      <w:t>页</w:t>
    </w:r>
  </w:p>
</w:ftr>
</file>

<file path=word/footer2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CFEC2D">
    <w:pPr>
      <w:spacing w:after="13" w:line="454" w:lineRule="exact"/>
    </w:pPr>
  </w:p>
  <w:p w14:paraId="1778ADD1">
    <w:pPr>
      <w:pStyle w:val="2"/>
      <w:spacing w:line="207" w:lineRule="auto"/>
      <w:ind w:left="5067"/>
      <w:rPr>
        <w:sz w:val="18"/>
        <w:szCs w:val="18"/>
      </w:rPr>
    </w:pPr>
    <w:r>
      <w:rPr>
        <w:b/>
        <w:bCs/>
        <w:spacing w:val="-13"/>
        <w:sz w:val="18"/>
        <w:szCs w:val="18"/>
      </w:rPr>
      <w:t>第</w:t>
    </w:r>
    <w:r>
      <w:rPr>
        <w:spacing w:val="-28"/>
        <w:sz w:val="18"/>
        <w:szCs w:val="18"/>
      </w:rPr>
      <w:t xml:space="preserve"> </w:t>
    </w:r>
    <w:r>
      <w:rPr>
        <w:b/>
        <w:bCs/>
        <w:spacing w:val="-13"/>
        <w:sz w:val="18"/>
        <w:szCs w:val="18"/>
      </w:rPr>
      <w:t>353</w:t>
    </w:r>
    <w:r>
      <w:rPr>
        <w:spacing w:val="-13"/>
        <w:sz w:val="18"/>
        <w:szCs w:val="18"/>
      </w:rPr>
      <w:t xml:space="preserve"> </w:t>
    </w:r>
    <w:r>
      <w:rPr>
        <w:b/>
        <w:bCs/>
        <w:spacing w:val="-13"/>
        <w:sz w:val="18"/>
        <w:szCs w:val="18"/>
      </w:rPr>
      <w:t>页</w:t>
    </w:r>
    <w:r>
      <w:rPr>
        <w:spacing w:val="-27"/>
        <w:sz w:val="18"/>
        <w:szCs w:val="18"/>
      </w:rPr>
      <w:t xml:space="preserve"> </w:t>
    </w:r>
    <w:r>
      <w:rPr>
        <w:b/>
        <w:bCs/>
        <w:spacing w:val="-13"/>
        <w:sz w:val="18"/>
        <w:szCs w:val="18"/>
      </w:rPr>
      <w:t>共</w:t>
    </w:r>
    <w:r>
      <w:rPr>
        <w:spacing w:val="-39"/>
        <w:sz w:val="18"/>
        <w:szCs w:val="18"/>
      </w:rPr>
      <w:t xml:space="preserve"> </w:t>
    </w:r>
    <w:r>
      <w:rPr>
        <w:b/>
        <w:bCs/>
        <w:spacing w:val="-13"/>
        <w:sz w:val="18"/>
        <w:szCs w:val="18"/>
      </w:rPr>
      <w:t>499</w:t>
    </w:r>
    <w:r>
      <w:rPr>
        <w:spacing w:val="-13"/>
        <w:sz w:val="18"/>
        <w:szCs w:val="18"/>
      </w:rPr>
      <w:t xml:space="preserve"> </w:t>
    </w:r>
    <w:r>
      <w:rPr>
        <w:b/>
        <w:bCs/>
        <w:spacing w:val="-13"/>
        <w:sz w:val="18"/>
        <w:szCs w:val="18"/>
      </w:rPr>
      <w:t>页</w:t>
    </w:r>
  </w:p>
</w:ftr>
</file>

<file path=word/footer2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CAE0E8">
    <w:pPr>
      <w:spacing w:after="13" w:line="454" w:lineRule="exact"/>
    </w:pPr>
  </w:p>
  <w:p w14:paraId="3F2C9ECC">
    <w:pPr>
      <w:pStyle w:val="2"/>
      <w:spacing w:line="207" w:lineRule="auto"/>
      <w:ind w:left="5067"/>
      <w:rPr>
        <w:sz w:val="18"/>
        <w:szCs w:val="18"/>
      </w:rPr>
    </w:pPr>
    <w:r>
      <w:rPr>
        <w:b/>
        <w:bCs/>
        <w:spacing w:val="-13"/>
        <w:sz w:val="18"/>
        <w:szCs w:val="18"/>
      </w:rPr>
      <w:t>第</w:t>
    </w:r>
    <w:r>
      <w:rPr>
        <w:spacing w:val="-28"/>
        <w:sz w:val="18"/>
        <w:szCs w:val="18"/>
      </w:rPr>
      <w:t xml:space="preserve"> </w:t>
    </w:r>
    <w:r>
      <w:rPr>
        <w:b/>
        <w:bCs/>
        <w:spacing w:val="-13"/>
        <w:sz w:val="18"/>
        <w:szCs w:val="18"/>
      </w:rPr>
      <w:t>354</w:t>
    </w:r>
    <w:r>
      <w:rPr>
        <w:spacing w:val="-13"/>
        <w:sz w:val="18"/>
        <w:szCs w:val="18"/>
      </w:rPr>
      <w:t xml:space="preserve"> </w:t>
    </w:r>
    <w:r>
      <w:rPr>
        <w:b/>
        <w:bCs/>
        <w:spacing w:val="-13"/>
        <w:sz w:val="18"/>
        <w:szCs w:val="18"/>
      </w:rPr>
      <w:t>页</w:t>
    </w:r>
    <w:r>
      <w:rPr>
        <w:spacing w:val="-27"/>
        <w:sz w:val="18"/>
        <w:szCs w:val="18"/>
      </w:rPr>
      <w:t xml:space="preserve"> </w:t>
    </w:r>
    <w:r>
      <w:rPr>
        <w:b/>
        <w:bCs/>
        <w:spacing w:val="-13"/>
        <w:sz w:val="18"/>
        <w:szCs w:val="18"/>
      </w:rPr>
      <w:t>共</w:t>
    </w:r>
    <w:r>
      <w:rPr>
        <w:spacing w:val="-39"/>
        <w:sz w:val="18"/>
        <w:szCs w:val="18"/>
      </w:rPr>
      <w:t xml:space="preserve"> </w:t>
    </w:r>
    <w:r>
      <w:rPr>
        <w:b/>
        <w:bCs/>
        <w:spacing w:val="-13"/>
        <w:sz w:val="18"/>
        <w:szCs w:val="18"/>
      </w:rPr>
      <w:t>499</w:t>
    </w:r>
    <w:r>
      <w:rPr>
        <w:spacing w:val="-13"/>
        <w:sz w:val="18"/>
        <w:szCs w:val="18"/>
      </w:rPr>
      <w:t xml:space="preserve"> </w:t>
    </w:r>
    <w:r>
      <w:rPr>
        <w:b/>
        <w:bCs/>
        <w:spacing w:val="-13"/>
        <w:sz w:val="18"/>
        <w:szCs w:val="18"/>
      </w:rPr>
      <w:t>页</w:t>
    </w:r>
  </w:p>
</w:ftr>
</file>

<file path=word/footer2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CAB4C9">
    <w:pPr>
      <w:spacing w:after="13" w:line="454" w:lineRule="exact"/>
    </w:pPr>
  </w:p>
  <w:p w14:paraId="21011591">
    <w:pPr>
      <w:pStyle w:val="2"/>
      <w:spacing w:line="207" w:lineRule="auto"/>
      <w:ind w:left="5067"/>
      <w:rPr>
        <w:sz w:val="18"/>
        <w:szCs w:val="18"/>
      </w:rPr>
    </w:pPr>
    <w:r>
      <w:rPr>
        <w:b/>
        <w:bCs/>
        <w:spacing w:val="-13"/>
        <w:sz w:val="18"/>
        <w:szCs w:val="18"/>
      </w:rPr>
      <w:t>第</w:t>
    </w:r>
    <w:r>
      <w:rPr>
        <w:spacing w:val="-28"/>
        <w:sz w:val="18"/>
        <w:szCs w:val="18"/>
      </w:rPr>
      <w:t xml:space="preserve"> </w:t>
    </w:r>
    <w:r>
      <w:rPr>
        <w:b/>
        <w:bCs/>
        <w:spacing w:val="-13"/>
        <w:sz w:val="18"/>
        <w:szCs w:val="18"/>
      </w:rPr>
      <w:t>355</w:t>
    </w:r>
    <w:r>
      <w:rPr>
        <w:spacing w:val="-13"/>
        <w:sz w:val="18"/>
        <w:szCs w:val="18"/>
      </w:rPr>
      <w:t xml:space="preserve"> </w:t>
    </w:r>
    <w:r>
      <w:rPr>
        <w:b/>
        <w:bCs/>
        <w:spacing w:val="-13"/>
        <w:sz w:val="18"/>
        <w:szCs w:val="18"/>
      </w:rPr>
      <w:t>页</w:t>
    </w:r>
    <w:r>
      <w:rPr>
        <w:spacing w:val="-27"/>
        <w:sz w:val="18"/>
        <w:szCs w:val="18"/>
      </w:rPr>
      <w:t xml:space="preserve"> </w:t>
    </w:r>
    <w:r>
      <w:rPr>
        <w:b/>
        <w:bCs/>
        <w:spacing w:val="-13"/>
        <w:sz w:val="18"/>
        <w:szCs w:val="18"/>
      </w:rPr>
      <w:t>共</w:t>
    </w:r>
    <w:r>
      <w:rPr>
        <w:spacing w:val="-39"/>
        <w:sz w:val="18"/>
        <w:szCs w:val="18"/>
      </w:rPr>
      <w:t xml:space="preserve"> </w:t>
    </w:r>
    <w:r>
      <w:rPr>
        <w:b/>
        <w:bCs/>
        <w:spacing w:val="-13"/>
        <w:sz w:val="18"/>
        <w:szCs w:val="18"/>
      </w:rPr>
      <w:t>499</w:t>
    </w:r>
    <w:r>
      <w:rPr>
        <w:spacing w:val="-13"/>
        <w:sz w:val="18"/>
        <w:szCs w:val="18"/>
      </w:rPr>
      <w:t xml:space="preserve"> </w:t>
    </w:r>
    <w:r>
      <w:rPr>
        <w:b/>
        <w:bCs/>
        <w:spacing w:val="-13"/>
        <w:sz w:val="18"/>
        <w:szCs w:val="18"/>
      </w:rPr>
      <w:t>页</w:t>
    </w:r>
  </w:p>
</w:ftr>
</file>

<file path=word/footer2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09907B">
    <w:pPr>
      <w:spacing w:after="13" w:line="454" w:lineRule="exact"/>
    </w:pPr>
  </w:p>
  <w:p w14:paraId="4B645CB6">
    <w:pPr>
      <w:pStyle w:val="2"/>
      <w:spacing w:line="207" w:lineRule="auto"/>
      <w:ind w:left="5067"/>
      <w:rPr>
        <w:sz w:val="18"/>
        <w:szCs w:val="18"/>
      </w:rPr>
    </w:pPr>
    <w:r>
      <w:rPr>
        <w:b/>
        <w:bCs/>
        <w:spacing w:val="-13"/>
        <w:sz w:val="18"/>
        <w:szCs w:val="18"/>
      </w:rPr>
      <w:t>第</w:t>
    </w:r>
    <w:r>
      <w:rPr>
        <w:spacing w:val="-28"/>
        <w:sz w:val="18"/>
        <w:szCs w:val="18"/>
      </w:rPr>
      <w:t xml:space="preserve"> </w:t>
    </w:r>
    <w:r>
      <w:rPr>
        <w:b/>
        <w:bCs/>
        <w:spacing w:val="-13"/>
        <w:sz w:val="18"/>
        <w:szCs w:val="18"/>
      </w:rPr>
      <w:t>356</w:t>
    </w:r>
    <w:r>
      <w:rPr>
        <w:spacing w:val="-13"/>
        <w:sz w:val="18"/>
        <w:szCs w:val="18"/>
      </w:rPr>
      <w:t xml:space="preserve"> </w:t>
    </w:r>
    <w:r>
      <w:rPr>
        <w:b/>
        <w:bCs/>
        <w:spacing w:val="-13"/>
        <w:sz w:val="18"/>
        <w:szCs w:val="18"/>
      </w:rPr>
      <w:t>页</w:t>
    </w:r>
    <w:r>
      <w:rPr>
        <w:spacing w:val="-27"/>
        <w:sz w:val="18"/>
        <w:szCs w:val="18"/>
      </w:rPr>
      <w:t xml:space="preserve"> </w:t>
    </w:r>
    <w:r>
      <w:rPr>
        <w:b/>
        <w:bCs/>
        <w:spacing w:val="-13"/>
        <w:sz w:val="18"/>
        <w:szCs w:val="18"/>
      </w:rPr>
      <w:t>共</w:t>
    </w:r>
    <w:r>
      <w:rPr>
        <w:spacing w:val="-39"/>
        <w:sz w:val="18"/>
        <w:szCs w:val="18"/>
      </w:rPr>
      <w:t xml:space="preserve"> </w:t>
    </w:r>
    <w:r>
      <w:rPr>
        <w:b/>
        <w:bCs/>
        <w:spacing w:val="-13"/>
        <w:sz w:val="18"/>
        <w:szCs w:val="18"/>
      </w:rPr>
      <w:t>499</w:t>
    </w:r>
    <w:r>
      <w:rPr>
        <w:spacing w:val="-13"/>
        <w:sz w:val="18"/>
        <w:szCs w:val="18"/>
      </w:rPr>
      <w:t xml:space="preserve"> </w:t>
    </w:r>
    <w:r>
      <w:rPr>
        <w:b/>
        <w:bCs/>
        <w:spacing w:val="-13"/>
        <w:sz w:val="18"/>
        <w:szCs w:val="18"/>
      </w:rPr>
      <w:t>页</w:t>
    </w:r>
  </w:p>
</w:ftr>
</file>

<file path=word/footer2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650B1F">
    <w:pPr>
      <w:spacing w:after="13" w:line="454" w:lineRule="exact"/>
    </w:pPr>
  </w:p>
  <w:p w14:paraId="20B756AE">
    <w:pPr>
      <w:pStyle w:val="2"/>
      <w:spacing w:line="207" w:lineRule="auto"/>
      <w:ind w:left="5067"/>
      <w:rPr>
        <w:sz w:val="18"/>
        <w:szCs w:val="18"/>
      </w:rPr>
    </w:pPr>
    <w:r>
      <w:rPr>
        <w:b/>
        <w:bCs/>
        <w:spacing w:val="-13"/>
        <w:sz w:val="18"/>
        <w:szCs w:val="18"/>
      </w:rPr>
      <w:t>第</w:t>
    </w:r>
    <w:r>
      <w:rPr>
        <w:spacing w:val="-28"/>
        <w:sz w:val="18"/>
        <w:szCs w:val="18"/>
      </w:rPr>
      <w:t xml:space="preserve"> </w:t>
    </w:r>
    <w:r>
      <w:rPr>
        <w:b/>
        <w:bCs/>
        <w:spacing w:val="-13"/>
        <w:sz w:val="18"/>
        <w:szCs w:val="18"/>
      </w:rPr>
      <w:t>357</w:t>
    </w:r>
    <w:r>
      <w:rPr>
        <w:spacing w:val="-13"/>
        <w:sz w:val="18"/>
        <w:szCs w:val="18"/>
      </w:rPr>
      <w:t xml:space="preserve"> </w:t>
    </w:r>
    <w:r>
      <w:rPr>
        <w:b/>
        <w:bCs/>
        <w:spacing w:val="-13"/>
        <w:sz w:val="18"/>
        <w:szCs w:val="18"/>
      </w:rPr>
      <w:t>页</w:t>
    </w:r>
    <w:r>
      <w:rPr>
        <w:spacing w:val="-27"/>
        <w:sz w:val="18"/>
        <w:szCs w:val="18"/>
      </w:rPr>
      <w:t xml:space="preserve"> </w:t>
    </w:r>
    <w:r>
      <w:rPr>
        <w:b/>
        <w:bCs/>
        <w:spacing w:val="-13"/>
        <w:sz w:val="18"/>
        <w:szCs w:val="18"/>
      </w:rPr>
      <w:t>共</w:t>
    </w:r>
    <w:r>
      <w:rPr>
        <w:spacing w:val="-39"/>
        <w:sz w:val="18"/>
        <w:szCs w:val="18"/>
      </w:rPr>
      <w:t xml:space="preserve"> </w:t>
    </w:r>
    <w:r>
      <w:rPr>
        <w:b/>
        <w:bCs/>
        <w:spacing w:val="-13"/>
        <w:sz w:val="18"/>
        <w:szCs w:val="18"/>
      </w:rPr>
      <w:t>499</w:t>
    </w:r>
    <w:r>
      <w:rPr>
        <w:spacing w:val="-13"/>
        <w:sz w:val="18"/>
        <w:szCs w:val="18"/>
      </w:rPr>
      <w:t xml:space="preserve"> </w:t>
    </w:r>
    <w:r>
      <w:rPr>
        <w:b/>
        <w:bCs/>
        <w:spacing w:val="-13"/>
        <w:sz w:val="18"/>
        <w:szCs w:val="18"/>
      </w:rPr>
      <w:t>页</w:t>
    </w:r>
  </w:p>
</w:ftr>
</file>

<file path=word/footer2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BFA699">
    <w:pPr>
      <w:spacing w:after="13" w:line="454" w:lineRule="exact"/>
    </w:pPr>
  </w:p>
  <w:p w14:paraId="408B8666">
    <w:pPr>
      <w:pStyle w:val="2"/>
      <w:spacing w:line="207" w:lineRule="auto"/>
      <w:ind w:left="5067"/>
      <w:rPr>
        <w:sz w:val="18"/>
        <w:szCs w:val="18"/>
      </w:rPr>
    </w:pPr>
    <w:r>
      <w:rPr>
        <w:b/>
        <w:bCs/>
        <w:spacing w:val="-13"/>
        <w:sz w:val="18"/>
        <w:szCs w:val="18"/>
      </w:rPr>
      <w:t>第</w:t>
    </w:r>
    <w:r>
      <w:rPr>
        <w:spacing w:val="-28"/>
        <w:sz w:val="18"/>
        <w:szCs w:val="18"/>
      </w:rPr>
      <w:t xml:space="preserve"> </w:t>
    </w:r>
    <w:r>
      <w:rPr>
        <w:b/>
        <w:bCs/>
        <w:spacing w:val="-13"/>
        <w:sz w:val="18"/>
        <w:szCs w:val="18"/>
      </w:rPr>
      <w:t>358</w:t>
    </w:r>
    <w:r>
      <w:rPr>
        <w:spacing w:val="-13"/>
        <w:sz w:val="18"/>
        <w:szCs w:val="18"/>
      </w:rPr>
      <w:t xml:space="preserve"> </w:t>
    </w:r>
    <w:r>
      <w:rPr>
        <w:b/>
        <w:bCs/>
        <w:spacing w:val="-13"/>
        <w:sz w:val="18"/>
        <w:szCs w:val="18"/>
      </w:rPr>
      <w:t>页</w:t>
    </w:r>
    <w:r>
      <w:rPr>
        <w:spacing w:val="-27"/>
        <w:sz w:val="18"/>
        <w:szCs w:val="18"/>
      </w:rPr>
      <w:t xml:space="preserve"> </w:t>
    </w:r>
    <w:r>
      <w:rPr>
        <w:b/>
        <w:bCs/>
        <w:spacing w:val="-13"/>
        <w:sz w:val="18"/>
        <w:szCs w:val="18"/>
      </w:rPr>
      <w:t>共</w:t>
    </w:r>
    <w:r>
      <w:rPr>
        <w:spacing w:val="-39"/>
        <w:sz w:val="18"/>
        <w:szCs w:val="18"/>
      </w:rPr>
      <w:t xml:space="preserve"> </w:t>
    </w:r>
    <w:r>
      <w:rPr>
        <w:b/>
        <w:bCs/>
        <w:spacing w:val="-13"/>
        <w:sz w:val="18"/>
        <w:szCs w:val="18"/>
      </w:rPr>
      <w:t>499</w:t>
    </w:r>
    <w:r>
      <w:rPr>
        <w:spacing w:val="-13"/>
        <w:sz w:val="18"/>
        <w:szCs w:val="18"/>
      </w:rPr>
      <w:t xml:space="preserve"> </w:t>
    </w:r>
    <w:r>
      <w:rPr>
        <w:b/>
        <w:bCs/>
        <w:spacing w:val="-13"/>
        <w:sz w:val="18"/>
        <w:szCs w:val="18"/>
      </w:rPr>
      <w:t>页</w:t>
    </w:r>
  </w:p>
</w:ftr>
</file>

<file path=word/footer2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32E5D5">
    <w:pPr>
      <w:spacing w:after="13" w:line="454" w:lineRule="exact"/>
    </w:pPr>
  </w:p>
  <w:p w14:paraId="7A50CA47">
    <w:pPr>
      <w:pStyle w:val="2"/>
      <w:spacing w:line="207" w:lineRule="auto"/>
      <w:ind w:left="5067"/>
      <w:rPr>
        <w:sz w:val="18"/>
        <w:szCs w:val="18"/>
      </w:rPr>
    </w:pPr>
    <w:r>
      <w:rPr>
        <w:b/>
        <w:bCs/>
        <w:spacing w:val="-13"/>
        <w:sz w:val="18"/>
        <w:szCs w:val="18"/>
      </w:rPr>
      <w:t>第</w:t>
    </w:r>
    <w:r>
      <w:rPr>
        <w:spacing w:val="-28"/>
        <w:sz w:val="18"/>
        <w:szCs w:val="18"/>
      </w:rPr>
      <w:t xml:space="preserve"> </w:t>
    </w:r>
    <w:r>
      <w:rPr>
        <w:b/>
        <w:bCs/>
        <w:spacing w:val="-13"/>
        <w:sz w:val="18"/>
        <w:szCs w:val="18"/>
      </w:rPr>
      <w:t>359</w:t>
    </w:r>
    <w:r>
      <w:rPr>
        <w:spacing w:val="-13"/>
        <w:sz w:val="18"/>
        <w:szCs w:val="18"/>
      </w:rPr>
      <w:t xml:space="preserve"> </w:t>
    </w:r>
    <w:r>
      <w:rPr>
        <w:b/>
        <w:bCs/>
        <w:spacing w:val="-13"/>
        <w:sz w:val="18"/>
        <w:szCs w:val="18"/>
      </w:rPr>
      <w:t>页</w:t>
    </w:r>
    <w:r>
      <w:rPr>
        <w:spacing w:val="-27"/>
        <w:sz w:val="18"/>
        <w:szCs w:val="18"/>
      </w:rPr>
      <w:t xml:space="preserve"> </w:t>
    </w:r>
    <w:r>
      <w:rPr>
        <w:b/>
        <w:bCs/>
        <w:spacing w:val="-13"/>
        <w:sz w:val="18"/>
        <w:szCs w:val="18"/>
      </w:rPr>
      <w:t>共</w:t>
    </w:r>
    <w:r>
      <w:rPr>
        <w:spacing w:val="-39"/>
        <w:sz w:val="18"/>
        <w:szCs w:val="18"/>
      </w:rPr>
      <w:t xml:space="preserve"> </w:t>
    </w:r>
    <w:r>
      <w:rPr>
        <w:b/>
        <w:bCs/>
        <w:spacing w:val="-13"/>
        <w:sz w:val="18"/>
        <w:szCs w:val="18"/>
      </w:rPr>
      <w:t>499</w:t>
    </w:r>
    <w:r>
      <w:rPr>
        <w:spacing w:val="-13"/>
        <w:sz w:val="18"/>
        <w:szCs w:val="18"/>
      </w:rPr>
      <w:t xml:space="preserve"> </w:t>
    </w:r>
    <w:r>
      <w:rPr>
        <w:b/>
        <w:bCs/>
        <w:spacing w:val="-13"/>
        <w:sz w:val="18"/>
        <w:szCs w:val="18"/>
      </w:rPr>
      <w:t>页</w:t>
    </w:r>
  </w:p>
</w:ftr>
</file>

<file path=word/footer2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2DF5A2">
    <w:pPr>
      <w:spacing w:after="13" w:line="454" w:lineRule="exact"/>
    </w:pPr>
  </w:p>
  <w:p w14:paraId="63F1E402">
    <w:pPr>
      <w:pStyle w:val="2"/>
      <w:spacing w:line="207" w:lineRule="auto"/>
      <w:ind w:left="5067"/>
      <w:rPr>
        <w:sz w:val="18"/>
        <w:szCs w:val="18"/>
      </w:rPr>
    </w:pPr>
    <w:r>
      <w:rPr>
        <w:b/>
        <w:bCs/>
        <w:spacing w:val="-13"/>
        <w:sz w:val="18"/>
        <w:szCs w:val="18"/>
      </w:rPr>
      <w:t>第</w:t>
    </w:r>
    <w:r>
      <w:rPr>
        <w:spacing w:val="-28"/>
        <w:sz w:val="18"/>
        <w:szCs w:val="18"/>
      </w:rPr>
      <w:t xml:space="preserve"> </w:t>
    </w:r>
    <w:r>
      <w:rPr>
        <w:b/>
        <w:bCs/>
        <w:spacing w:val="-13"/>
        <w:sz w:val="18"/>
        <w:szCs w:val="18"/>
      </w:rPr>
      <w:t>360</w:t>
    </w:r>
    <w:r>
      <w:rPr>
        <w:spacing w:val="-13"/>
        <w:sz w:val="18"/>
        <w:szCs w:val="18"/>
      </w:rPr>
      <w:t xml:space="preserve"> </w:t>
    </w:r>
    <w:r>
      <w:rPr>
        <w:b/>
        <w:bCs/>
        <w:spacing w:val="-13"/>
        <w:sz w:val="18"/>
        <w:szCs w:val="18"/>
      </w:rPr>
      <w:t>页</w:t>
    </w:r>
    <w:r>
      <w:rPr>
        <w:spacing w:val="-27"/>
        <w:sz w:val="18"/>
        <w:szCs w:val="18"/>
      </w:rPr>
      <w:t xml:space="preserve"> </w:t>
    </w:r>
    <w:r>
      <w:rPr>
        <w:b/>
        <w:bCs/>
        <w:spacing w:val="-13"/>
        <w:sz w:val="18"/>
        <w:szCs w:val="18"/>
      </w:rPr>
      <w:t>共</w:t>
    </w:r>
    <w:r>
      <w:rPr>
        <w:spacing w:val="-39"/>
        <w:sz w:val="18"/>
        <w:szCs w:val="18"/>
      </w:rPr>
      <w:t xml:space="preserve"> </w:t>
    </w:r>
    <w:r>
      <w:rPr>
        <w:b/>
        <w:bCs/>
        <w:spacing w:val="-13"/>
        <w:sz w:val="18"/>
        <w:szCs w:val="18"/>
      </w:rPr>
      <w:t>499</w:t>
    </w:r>
    <w:r>
      <w:rPr>
        <w:spacing w:val="-13"/>
        <w:sz w:val="18"/>
        <w:szCs w:val="18"/>
      </w:rPr>
      <w:t xml:space="preserve"> </w:t>
    </w:r>
    <w:r>
      <w:rPr>
        <w:b/>
        <w:bCs/>
        <w:spacing w:val="-13"/>
        <w:sz w:val="18"/>
        <w:szCs w:val="18"/>
      </w:rPr>
      <w:t>页</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1A2B83">
    <w:pPr>
      <w:spacing w:after="12" w:line="455" w:lineRule="exact"/>
    </w:pPr>
  </w:p>
  <w:p w14:paraId="09E618EA">
    <w:pPr>
      <w:pStyle w:val="2"/>
      <w:spacing w:line="207" w:lineRule="auto"/>
      <w:ind w:left="5507"/>
      <w:rPr>
        <w:sz w:val="18"/>
        <w:szCs w:val="18"/>
      </w:rPr>
    </w:pPr>
    <w:r>
      <w:rPr>
        <w:b/>
        <w:bCs/>
        <w:spacing w:val="-13"/>
        <w:sz w:val="18"/>
        <w:szCs w:val="18"/>
      </w:rPr>
      <w:t>第</w:t>
    </w:r>
    <w:r>
      <w:rPr>
        <w:spacing w:val="-31"/>
        <w:sz w:val="18"/>
        <w:szCs w:val="18"/>
      </w:rPr>
      <w:t xml:space="preserve"> </w:t>
    </w:r>
    <w:r>
      <w:rPr>
        <w:b/>
        <w:bCs/>
        <w:spacing w:val="-13"/>
        <w:sz w:val="18"/>
        <w:szCs w:val="18"/>
      </w:rPr>
      <w:t>3</w:t>
    </w:r>
    <w:r>
      <w:rPr>
        <w:spacing w:val="-13"/>
        <w:sz w:val="18"/>
        <w:szCs w:val="18"/>
      </w:rPr>
      <w:t xml:space="preserve"> </w:t>
    </w:r>
    <w:r>
      <w:rPr>
        <w:b/>
        <w:bCs/>
        <w:spacing w:val="-13"/>
        <w:sz w:val="18"/>
        <w:szCs w:val="18"/>
      </w:rPr>
      <w:t>页</w:t>
    </w:r>
    <w:r>
      <w:rPr>
        <w:spacing w:val="-25"/>
        <w:sz w:val="18"/>
        <w:szCs w:val="18"/>
      </w:rPr>
      <w:t xml:space="preserve"> </w:t>
    </w:r>
    <w:r>
      <w:rPr>
        <w:b/>
        <w:bCs/>
        <w:spacing w:val="-13"/>
        <w:sz w:val="18"/>
        <w:szCs w:val="18"/>
      </w:rPr>
      <w:t>共</w:t>
    </w:r>
    <w:r>
      <w:rPr>
        <w:spacing w:val="-39"/>
        <w:sz w:val="18"/>
        <w:szCs w:val="18"/>
      </w:rPr>
      <w:t xml:space="preserve"> </w:t>
    </w:r>
    <w:r>
      <w:rPr>
        <w:b/>
        <w:bCs/>
        <w:spacing w:val="-13"/>
        <w:sz w:val="18"/>
        <w:szCs w:val="18"/>
      </w:rPr>
      <w:t>499</w:t>
    </w:r>
    <w:r>
      <w:rPr>
        <w:spacing w:val="-13"/>
        <w:sz w:val="18"/>
        <w:szCs w:val="18"/>
      </w:rPr>
      <w:t xml:space="preserve"> </w:t>
    </w:r>
    <w:r>
      <w:rPr>
        <w:b/>
        <w:bCs/>
        <w:spacing w:val="-13"/>
        <w:sz w:val="18"/>
        <w:szCs w:val="18"/>
      </w:rPr>
      <w:t>页</w: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5CDEE5">
    <w:pPr>
      <w:spacing w:after="13" w:line="454" w:lineRule="exact"/>
    </w:pPr>
  </w:p>
  <w:p w14:paraId="1FF0200F">
    <w:pPr>
      <w:pStyle w:val="2"/>
      <w:spacing w:line="207" w:lineRule="auto"/>
      <w:ind w:left="5106"/>
      <w:rPr>
        <w:sz w:val="18"/>
        <w:szCs w:val="18"/>
      </w:rPr>
    </w:pPr>
    <w:r>
      <w:rPr>
        <w:b/>
        <w:bCs/>
        <w:spacing w:val="-13"/>
        <w:sz w:val="18"/>
        <w:szCs w:val="18"/>
      </w:rPr>
      <w:t>第</w:t>
    </w:r>
    <w:r>
      <w:rPr>
        <w:spacing w:val="-28"/>
        <w:sz w:val="18"/>
        <w:szCs w:val="18"/>
      </w:rPr>
      <w:t xml:space="preserve"> </w:t>
    </w:r>
    <w:r>
      <w:rPr>
        <w:b/>
        <w:bCs/>
        <w:spacing w:val="-13"/>
        <w:sz w:val="18"/>
        <w:szCs w:val="18"/>
      </w:rPr>
      <w:t>58</w:t>
    </w:r>
    <w:r>
      <w:rPr>
        <w:spacing w:val="-13"/>
        <w:sz w:val="18"/>
        <w:szCs w:val="18"/>
      </w:rPr>
      <w:t xml:space="preserve"> </w:t>
    </w:r>
    <w:r>
      <w:rPr>
        <w:b/>
        <w:bCs/>
        <w:spacing w:val="-13"/>
        <w:sz w:val="18"/>
        <w:szCs w:val="18"/>
      </w:rPr>
      <w:t>页</w:t>
    </w:r>
    <w:r>
      <w:rPr>
        <w:spacing w:val="-28"/>
        <w:sz w:val="18"/>
        <w:szCs w:val="18"/>
      </w:rPr>
      <w:t xml:space="preserve"> </w:t>
    </w:r>
    <w:r>
      <w:rPr>
        <w:b/>
        <w:bCs/>
        <w:spacing w:val="-13"/>
        <w:sz w:val="18"/>
        <w:szCs w:val="18"/>
      </w:rPr>
      <w:t>共</w:t>
    </w:r>
    <w:r>
      <w:rPr>
        <w:spacing w:val="-38"/>
        <w:sz w:val="18"/>
        <w:szCs w:val="18"/>
      </w:rPr>
      <w:t xml:space="preserve"> </w:t>
    </w:r>
    <w:r>
      <w:rPr>
        <w:b/>
        <w:bCs/>
        <w:spacing w:val="-13"/>
        <w:sz w:val="18"/>
        <w:szCs w:val="18"/>
      </w:rPr>
      <w:t>499</w:t>
    </w:r>
    <w:r>
      <w:rPr>
        <w:spacing w:val="-13"/>
        <w:sz w:val="18"/>
        <w:szCs w:val="18"/>
      </w:rPr>
      <w:t xml:space="preserve"> </w:t>
    </w:r>
    <w:r>
      <w:rPr>
        <w:b/>
        <w:bCs/>
        <w:spacing w:val="-13"/>
        <w:sz w:val="18"/>
        <w:szCs w:val="18"/>
      </w:rPr>
      <w:t>页</w:t>
    </w:r>
  </w:p>
</w:ftr>
</file>

<file path=word/footer3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C28896">
    <w:pPr>
      <w:spacing w:after="13" w:line="454" w:lineRule="exact"/>
    </w:pPr>
  </w:p>
  <w:p w14:paraId="67DB7719">
    <w:pPr>
      <w:pStyle w:val="2"/>
      <w:spacing w:line="207" w:lineRule="auto"/>
      <w:ind w:left="5067"/>
      <w:rPr>
        <w:sz w:val="18"/>
        <w:szCs w:val="18"/>
      </w:rPr>
    </w:pPr>
    <w:r>
      <w:rPr>
        <w:b/>
        <w:bCs/>
        <w:spacing w:val="-13"/>
        <w:sz w:val="18"/>
        <w:szCs w:val="18"/>
      </w:rPr>
      <w:t>第</w:t>
    </w:r>
    <w:r>
      <w:rPr>
        <w:spacing w:val="-28"/>
        <w:sz w:val="18"/>
        <w:szCs w:val="18"/>
      </w:rPr>
      <w:t xml:space="preserve"> </w:t>
    </w:r>
    <w:r>
      <w:rPr>
        <w:b/>
        <w:bCs/>
        <w:spacing w:val="-13"/>
        <w:sz w:val="18"/>
        <w:szCs w:val="18"/>
      </w:rPr>
      <w:t>361</w:t>
    </w:r>
    <w:r>
      <w:rPr>
        <w:spacing w:val="-13"/>
        <w:sz w:val="18"/>
        <w:szCs w:val="18"/>
      </w:rPr>
      <w:t xml:space="preserve"> </w:t>
    </w:r>
    <w:r>
      <w:rPr>
        <w:b/>
        <w:bCs/>
        <w:spacing w:val="-13"/>
        <w:sz w:val="18"/>
        <w:szCs w:val="18"/>
      </w:rPr>
      <w:t>页</w:t>
    </w:r>
    <w:r>
      <w:rPr>
        <w:spacing w:val="-27"/>
        <w:sz w:val="18"/>
        <w:szCs w:val="18"/>
      </w:rPr>
      <w:t xml:space="preserve"> </w:t>
    </w:r>
    <w:r>
      <w:rPr>
        <w:b/>
        <w:bCs/>
        <w:spacing w:val="-13"/>
        <w:sz w:val="18"/>
        <w:szCs w:val="18"/>
      </w:rPr>
      <w:t>共</w:t>
    </w:r>
    <w:r>
      <w:rPr>
        <w:spacing w:val="-39"/>
        <w:sz w:val="18"/>
        <w:szCs w:val="18"/>
      </w:rPr>
      <w:t xml:space="preserve"> </w:t>
    </w:r>
    <w:r>
      <w:rPr>
        <w:b/>
        <w:bCs/>
        <w:spacing w:val="-13"/>
        <w:sz w:val="18"/>
        <w:szCs w:val="18"/>
      </w:rPr>
      <w:t>499</w:t>
    </w:r>
    <w:r>
      <w:rPr>
        <w:spacing w:val="-13"/>
        <w:sz w:val="18"/>
        <w:szCs w:val="18"/>
      </w:rPr>
      <w:t xml:space="preserve"> </w:t>
    </w:r>
    <w:r>
      <w:rPr>
        <w:b/>
        <w:bCs/>
        <w:spacing w:val="-13"/>
        <w:sz w:val="18"/>
        <w:szCs w:val="18"/>
      </w:rPr>
      <w:t>页</w:t>
    </w:r>
  </w:p>
</w:ftr>
</file>

<file path=word/footer3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17F61D">
    <w:pPr>
      <w:spacing w:after="13" w:line="454" w:lineRule="exact"/>
    </w:pPr>
  </w:p>
  <w:p w14:paraId="72843C5C">
    <w:pPr>
      <w:pStyle w:val="2"/>
      <w:spacing w:line="207" w:lineRule="auto"/>
      <w:ind w:left="5067"/>
      <w:rPr>
        <w:sz w:val="18"/>
        <w:szCs w:val="18"/>
      </w:rPr>
    </w:pPr>
    <w:r>
      <w:rPr>
        <w:b/>
        <w:bCs/>
        <w:spacing w:val="-13"/>
        <w:sz w:val="18"/>
        <w:szCs w:val="18"/>
      </w:rPr>
      <w:t>第</w:t>
    </w:r>
    <w:r>
      <w:rPr>
        <w:spacing w:val="-28"/>
        <w:sz w:val="18"/>
        <w:szCs w:val="18"/>
      </w:rPr>
      <w:t xml:space="preserve"> </w:t>
    </w:r>
    <w:r>
      <w:rPr>
        <w:b/>
        <w:bCs/>
        <w:spacing w:val="-13"/>
        <w:sz w:val="18"/>
        <w:szCs w:val="18"/>
      </w:rPr>
      <w:t>362</w:t>
    </w:r>
    <w:r>
      <w:rPr>
        <w:spacing w:val="-13"/>
        <w:sz w:val="18"/>
        <w:szCs w:val="18"/>
      </w:rPr>
      <w:t xml:space="preserve"> </w:t>
    </w:r>
    <w:r>
      <w:rPr>
        <w:b/>
        <w:bCs/>
        <w:spacing w:val="-13"/>
        <w:sz w:val="18"/>
        <w:szCs w:val="18"/>
      </w:rPr>
      <w:t>页</w:t>
    </w:r>
    <w:r>
      <w:rPr>
        <w:spacing w:val="-27"/>
        <w:sz w:val="18"/>
        <w:szCs w:val="18"/>
      </w:rPr>
      <w:t xml:space="preserve"> </w:t>
    </w:r>
    <w:r>
      <w:rPr>
        <w:b/>
        <w:bCs/>
        <w:spacing w:val="-13"/>
        <w:sz w:val="18"/>
        <w:szCs w:val="18"/>
      </w:rPr>
      <w:t>共</w:t>
    </w:r>
    <w:r>
      <w:rPr>
        <w:spacing w:val="-39"/>
        <w:sz w:val="18"/>
        <w:szCs w:val="18"/>
      </w:rPr>
      <w:t xml:space="preserve"> </w:t>
    </w:r>
    <w:r>
      <w:rPr>
        <w:b/>
        <w:bCs/>
        <w:spacing w:val="-13"/>
        <w:sz w:val="18"/>
        <w:szCs w:val="18"/>
      </w:rPr>
      <w:t>499</w:t>
    </w:r>
    <w:r>
      <w:rPr>
        <w:spacing w:val="-13"/>
        <w:sz w:val="18"/>
        <w:szCs w:val="18"/>
      </w:rPr>
      <w:t xml:space="preserve"> </w:t>
    </w:r>
    <w:r>
      <w:rPr>
        <w:b/>
        <w:bCs/>
        <w:spacing w:val="-13"/>
        <w:sz w:val="18"/>
        <w:szCs w:val="18"/>
      </w:rPr>
      <w:t>页</w:t>
    </w:r>
  </w:p>
</w:ftr>
</file>

<file path=word/footer3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B5D207">
    <w:pPr>
      <w:spacing w:after="13" w:line="454" w:lineRule="exact"/>
    </w:pPr>
  </w:p>
  <w:p w14:paraId="6858F42B">
    <w:pPr>
      <w:pStyle w:val="2"/>
      <w:spacing w:line="207" w:lineRule="auto"/>
      <w:ind w:left="5067"/>
      <w:rPr>
        <w:sz w:val="18"/>
        <w:szCs w:val="18"/>
      </w:rPr>
    </w:pPr>
    <w:r>
      <w:rPr>
        <w:b/>
        <w:bCs/>
        <w:spacing w:val="-13"/>
        <w:sz w:val="18"/>
        <w:szCs w:val="18"/>
      </w:rPr>
      <w:t>第</w:t>
    </w:r>
    <w:r>
      <w:rPr>
        <w:spacing w:val="-28"/>
        <w:sz w:val="18"/>
        <w:szCs w:val="18"/>
      </w:rPr>
      <w:t xml:space="preserve"> </w:t>
    </w:r>
    <w:r>
      <w:rPr>
        <w:b/>
        <w:bCs/>
        <w:spacing w:val="-13"/>
        <w:sz w:val="18"/>
        <w:szCs w:val="18"/>
      </w:rPr>
      <w:t>363</w:t>
    </w:r>
    <w:r>
      <w:rPr>
        <w:spacing w:val="-13"/>
        <w:sz w:val="18"/>
        <w:szCs w:val="18"/>
      </w:rPr>
      <w:t xml:space="preserve"> </w:t>
    </w:r>
    <w:r>
      <w:rPr>
        <w:b/>
        <w:bCs/>
        <w:spacing w:val="-13"/>
        <w:sz w:val="18"/>
        <w:szCs w:val="18"/>
      </w:rPr>
      <w:t>页</w:t>
    </w:r>
    <w:r>
      <w:rPr>
        <w:spacing w:val="-27"/>
        <w:sz w:val="18"/>
        <w:szCs w:val="18"/>
      </w:rPr>
      <w:t xml:space="preserve"> </w:t>
    </w:r>
    <w:r>
      <w:rPr>
        <w:b/>
        <w:bCs/>
        <w:spacing w:val="-13"/>
        <w:sz w:val="18"/>
        <w:szCs w:val="18"/>
      </w:rPr>
      <w:t>共</w:t>
    </w:r>
    <w:r>
      <w:rPr>
        <w:spacing w:val="-39"/>
        <w:sz w:val="18"/>
        <w:szCs w:val="18"/>
      </w:rPr>
      <w:t xml:space="preserve"> </w:t>
    </w:r>
    <w:r>
      <w:rPr>
        <w:b/>
        <w:bCs/>
        <w:spacing w:val="-13"/>
        <w:sz w:val="18"/>
        <w:szCs w:val="18"/>
      </w:rPr>
      <w:t>499</w:t>
    </w:r>
    <w:r>
      <w:rPr>
        <w:spacing w:val="-13"/>
        <w:sz w:val="18"/>
        <w:szCs w:val="18"/>
      </w:rPr>
      <w:t xml:space="preserve"> </w:t>
    </w:r>
    <w:r>
      <w:rPr>
        <w:b/>
        <w:bCs/>
        <w:spacing w:val="-13"/>
        <w:sz w:val="18"/>
        <w:szCs w:val="18"/>
      </w:rPr>
      <w:t>页</w:t>
    </w:r>
  </w:p>
</w:ftr>
</file>

<file path=word/footer3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9BAD0C">
    <w:pPr>
      <w:spacing w:after="13" w:line="454" w:lineRule="exact"/>
    </w:pPr>
  </w:p>
  <w:p w14:paraId="3A520E05">
    <w:pPr>
      <w:pStyle w:val="2"/>
      <w:spacing w:line="207" w:lineRule="auto"/>
      <w:ind w:left="5067"/>
      <w:rPr>
        <w:sz w:val="18"/>
        <w:szCs w:val="18"/>
      </w:rPr>
    </w:pPr>
    <w:r>
      <w:rPr>
        <w:b/>
        <w:bCs/>
        <w:spacing w:val="-13"/>
        <w:sz w:val="18"/>
        <w:szCs w:val="18"/>
      </w:rPr>
      <w:t>第</w:t>
    </w:r>
    <w:r>
      <w:rPr>
        <w:spacing w:val="-28"/>
        <w:sz w:val="18"/>
        <w:szCs w:val="18"/>
      </w:rPr>
      <w:t xml:space="preserve"> </w:t>
    </w:r>
    <w:r>
      <w:rPr>
        <w:b/>
        <w:bCs/>
        <w:spacing w:val="-13"/>
        <w:sz w:val="18"/>
        <w:szCs w:val="18"/>
      </w:rPr>
      <w:t>364</w:t>
    </w:r>
    <w:r>
      <w:rPr>
        <w:spacing w:val="-13"/>
        <w:sz w:val="18"/>
        <w:szCs w:val="18"/>
      </w:rPr>
      <w:t xml:space="preserve"> </w:t>
    </w:r>
    <w:r>
      <w:rPr>
        <w:b/>
        <w:bCs/>
        <w:spacing w:val="-13"/>
        <w:sz w:val="18"/>
        <w:szCs w:val="18"/>
      </w:rPr>
      <w:t>页</w:t>
    </w:r>
    <w:r>
      <w:rPr>
        <w:spacing w:val="-27"/>
        <w:sz w:val="18"/>
        <w:szCs w:val="18"/>
      </w:rPr>
      <w:t xml:space="preserve"> </w:t>
    </w:r>
    <w:r>
      <w:rPr>
        <w:b/>
        <w:bCs/>
        <w:spacing w:val="-13"/>
        <w:sz w:val="18"/>
        <w:szCs w:val="18"/>
      </w:rPr>
      <w:t>共</w:t>
    </w:r>
    <w:r>
      <w:rPr>
        <w:spacing w:val="-39"/>
        <w:sz w:val="18"/>
        <w:szCs w:val="18"/>
      </w:rPr>
      <w:t xml:space="preserve"> </w:t>
    </w:r>
    <w:r>
      <w:rPr>
        <w:b/>
        <w:bCs/>
        <w:spacing w:val="-13"/>
        <w:sz w:val="18"/>
        <w:szCs w:val="18"/>
      </w:rPr>
      <w:t>499</w:t>
    </w:r>
    <w:r>
      <w:rPr>
        <w:spacing w:val="-13"/>
        <w:sz w:val="18"/>
        <w:szCs w:val="18"/>
      </w:rPr>
      <w:t xml:space="preserve"> </w:t>
    </w:r>
    <w:r>
      <w:rPr>
        <w:b/>
        <w:bCs/>
        <w:spacing w:val="-13"/>
        <w:sz w:val="18"/>
        <w:szCs w:val="18"/>
      </w:rPr>
      <w:t>页</w:t>
    </w:r>
  </w:p>
</w:ftr>
</file>

<file path=word/footer3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A0B75B">
    <w:pPr>
      <w:spacing w:after="13" w:line="454" w:lineRule="exact"/>
    </w:pPr>
  </w:p>
  <w:p w14:paraId="723A707A">
    <w:pPr>
      <w:pStyle w:val="2"/>
      <w:spacing w:line="207" w:lineRule="auto"/>
      <w:ind w:left="5067"/>
      <w:rPr>
        <w:sz w:val="18"/>
        <w:szCs w:val="18"/>
      </w:rPr>
    </w:pPr>
    <w:r>
      <w:rPr>
        <w:b/>
        <w:bCs/>
        <w:spacing w:val="-13"/>
        <w:sz w:val="18"/>
        <w:szCs w:val="18"/>
      </w:rPr>
      <w:t>第</w:t>
    </w:r>
    <w:r>
      <w:rPr>
        <w:spacing w:val="-28"/>
        <w:sz w:val="18"/>
        <w:szCs w:val="18"/>
      </w:rPr>
      <w:t xml:space="preserve"> </w:t>
    </w:r>
    <w:r>
      <w:rPr>
        <w:b/>
        <w:bCs/>
        <w:spacing w:val="-13"/>
        <w:sz w:val="18"/>
        <w:szCs w:val="18"/>
      </w:rPr>
      <w:t>365</w:t>
    </w:r>
    <w:r>
      <w:rPr>
        <w:spacing w:val="-13"/>
        <w:sz w:val="18"/>
        <w:szCs w:val="18"/>
      </w:rPr>
      <w:t xml:space="preserve"> </w:t>
    </w:r>
    <w:r>
      <w:rPr>
        <w:b/>
        <w:bCs/>
        <w:spacing w:val="-13"/>
        <w:sz w:val="18"/>
        <w:szCs w:val="18"/>
      </w:rPr>
      <w:t>页</w:t>
    </w:r>
    <w:r>
      <w:rPr>
        <w:spacing w:val="-27"/>
        <w:sz w:val="18"/>
        <w:szCs w:val="18"/>
      </w:rPr>
      <w:t xml:space="preserve"> </w:t>
    </w:r>
    <w:r>
      <w:rPr>
        <w:b/>
        <w:bCs/>
        <w:spacing w:val="-13"/>
        <w:sz w:val="18"/>
        <w:szCs w:val="18"/>
      </w:rPr>
      <w:t>共</w:t>
    </w:r>
    <w:r>
      <w:rPr>
        <w:spacing w:val="-39"/>
        <w:sz w:val="18"/>
        <w:szCs w:val="18"/>
      </w:rPr>
      <w:t xml:space="preserve"> </w:t>
    </w:r>
    <w:r>
      <w:rPr>
        <w:b/>
        <w:bCs/>
        <w:spacing w:val="-13"/>
        <w:sz w:val="18"/>
        <w:szCs w:val="18"/>
      </w:rPr>
      <w:t>499</w:t>
    </w:r>
    <w:r>
      <w:rPr>
        <w:spacing w:val="-13"/>
        <w:sz w:val="18"/>
        <w:szCs w:val="18"/>
      </w:rPr>
      <w:t xml:space="preserve"> </w:t>
    </w:r>
    <w:r>
      <w:rPr>
        <w:b/>
        <w:bCs/>
        <w:spacing w:val="-13"/>
        <w:sz w:val="18"/>
        <w:szCs w:val="18"/>
      </w:rPr>
      <w:t>页</w:t>
    </w:r>
  </w:p>
</w:ftr>
</file>

<file path=word/footer3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7DC061">
    <w:pPr>
      <w:spacing w:after="13" w:line="454" w:lineRule="exact"/>
    </w:pPr>
  </w:p>
  <w:p w14:paraId="21DCE7A4">
    <w:pPr>
      <w:pStyle w:val="2"/>
      <w:spacing w:line="207" w:lineRule="auto"/>
      <w:ind w:left="5067"/>
      <w:rPr>
        <w:sz w:val="18"/>
        <w:szCs w:val="18"/>
      </w:rPr>
    </w:pPr>
    <w:r>
      <w:rPr>
        <w:b/>
        <w:bCs/>
        <w:spacing w:val="-13"/>
        <w:sz w:val="18"/>
        <w:szCs w:val="18"/>
      </w:rPr>
      <w:t>第</w:t>
    </w:r>
    <w:r>
      <w:rPr>
        <w:spacing w:val="-28"/>
        <w:sz w:val="18"/>
        <w:szCs w:val="18"/>
      </w:rPr>
      <w:t xml:space="preserve"> </w:t>
    </w:r>
    <w:r>
      <w:rPr>
        <w:b/>
        <w:bCs/>
        <w:spacing w:val="-13"/>
        <w:sz w:val="18"/>
        <w:szCs w:val="18"/>
      </w:rPr>
      <w:t>366</w:t>
    </w:r>
    <w:r>
      <w:rPr>
        <w:spacing w:val="-13"/>
        <w:sz w:val="18"/>
        <w:szCs w:val="18"/>
      </w:rPr>
      <w:t xml:space="preserve"> </w:t>
    </w:r>
    <w:r>
      <w:rPr>
        <w:b/>
        <w:bCs/>
        <w:spacing w:val="-13"/>
        <w:sz w:val="18"/>
        <w:szCs w:val="18"/>
      </w:rPr>
      <w:t>页</w:t>
    </w:r>
    <w:r>
      <w:rPr>
        <w:spacing w:val="-27"/>
        <w:sz w:val="18"/>
        <w:szCs w:val="18"/>
      </w:rPr>
      <w:t xml:space="preserve"> </w:t>
    </w:r>
    <w:r>
      <w:rPr>
        <w:b/>
        <w:bCs/>
        <w:spacing w:val="-13"/>
        <w:sz w:val="18"/>
        <w:szCs w:val="18"/>
      </w:rPr>
      <w:t>共</w:t>
    </w:r>
    <w:r>
      <w:rPr>
        <w:spacing w:val="-39"/>
        <w:sz w:val="18"/>
        <w:szCs w:val="18"/>
      </w:rPr>
      <w:t xml:space="preserve"> </w:t>
    </w:r>
    <w:r>
      <w:rPr>
        <w:b/>
        <w:bCs/>
        <w:spacing w:val="-13"/>
        <w:sz w:val="18"/>
        <w:szCs w:val="18"/>
      </w:rPr>
      <w:t>499</w:t>
    </w:r>
    <w:r>
      <w:rPr>
        <w:spacing w:val="-13"/>
        <w:sz w:val="18"/>
        <w:szCs w:val="18"/>
      </w:rPr>
      <w:t xml:space="preserve"> </w:t>
    </w:r>
    <w:r>
      <w:rPr>
        <w:b/>
        <w:bCs/>
        <w:spacing w:val="-13"/>
        <w:sz w:val="18"/>
        <w:szCs w:val="18"/>
      </w:rPr>
      <w:t>页</w:t>
    </w:r>
  </w:p>
</w:ftr>
</file>

<file path=word/footer3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9424F0">
    <w:pPr>
      <w:spacing w:after="13" w:line="454" w:lineRule="exact"/>
    </w:pPr>
  </w:p>
  <w:p w14:paraId="39E43970">
    <w:pPr>
      <w:pStyle w:val="2"/>
      <w:spacing w:line="207" w:lineRule="auto"/>
      <w:ind w:left="5067"/>
      <w:rPr>
        <w:sz w:val="18"/>
        <w:szCs w:val="18"/>
      </w:rPr>
    </w:pPr>
    <w:r>
      <w:rPr>
        <w:b/>
        <w:bCs/>
        <w:spacing w:val="-13"/>
        <w:sz w:val="18"/>
        <w:szCs w:val="18"/>
      </w:rPr>
      <w:t>第</w:t>
    </w:r>
    <w:r>
      <w:rPr>
        <w:spacing w:val="-28"/>
        <w:sz w:val="18"/>
        <w:szCs w:val="18"/>
      </w:rPr>
      <w:t xml:space="preserve"> </w:t>
    </w:r>
    <w:r>
      <w:rPr>
        <w:b/>
        <w:bCs/>
        <w:spacing w:val="-13"/>
        <w:sz w:val="18"/>
        <w:szCs w:val="18"/>
      </w:rPr>
      <w:t>367</w:t>
    </w:r>
    <w:r>
      <w:rPr>
        <w:spacing w:val="-13"/>
        <w:sz w:val="18"/>
        <w:szCs w:val="18"/>
      </w:rPr>
      <w:t xml:space="preserve"> </w:t>
    </w:r>
    <w:r>
      <w:rPr>
        <w:b/>
        <w:bCs/>
        <w:spacing w:val="-13"/>
        <w:sz w:val="18"/>
        <w:szCs w:val="18"/>
      </w:rPr>
      <w:t>页</w:t>
    </w:r>
    <w:r>
      <w:rPr>
        <w:spacing w:val="-27"/>
        <w:sz w:val="18"/>
        <w:szCs w:val="18"/>
      </w:rPr>
      <w:t xml:space="preserve"> </w:t>
    </w:r>
    <w:r>
      <w:rPr>
        <w:b/>
        <w:bCs/>
        <w:spacing w:val="-13"/>
        <w:sz w:val="18"/>
        <w:szCs w:val="18"/>
      </w:rPr>
      <w:t>共</w:t>
    </w:r>
    <w:r>
      <w:rPr>
        <w:spacing w:val="-39"/>
        <w:sz w:val="18"/>
        <w:szCs w:val="18"/>
      </w:rPr>
      <w:t xml:space="preserve"> </w:t>
    </w:r>
    <w:r>
      <w:rPr>
        <w:b/>
        <w:bCs/>
        <w:spacing w:val="-13"/>
        <w:sz w:val="18"/>
        <w:szCs w:val="18"/>
      </w:rPr>
      <w:t>499</w:t>
    </w:r>
    <w:r>
      <w:rPr>
        <w:spacing w:val="-13"/>
        <w:sz w:val="18"/>
        <w:szCs w:val="18"/>
      </w:rPr>
      <w:t xml:space="preserve"> </w:t>
    </w:r>
    <w:r>
      <w:rPr>
        <w:b/>
        <w:bCs/>
        <w:spacing w:val="-13"/>
        <w:sz w:val="18"/>
        <w:szCs w:val="18"/>
      </w:rPr>
      <w:t>页</w:t>
    </w:r>
  </w:p>
</w:ftr>
</file>

<file path=word/footer3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52083F">
    <w:pPr>
      <w:spacing w:after="13" w:line="454" w:lineRule="exact"/>
    </w:pPr>
  </w:p>
  <w:p w14:paraId="0127E414">
    <w:pPr>
      <w:pStyle w:val="2"/>
      <w:spacing w:line="207" w:lineRule="auto"/>
      <w:ind w:left="5067"/>
      <w:rPr>
        <w:sz w:val="18"/>
        <w:szCs w:val="18"/>
      </w:rPr>
    </w:pPr>
    <w:r>
      <w:rPr>
        <w:b/>
        <w:bCs/>
        <w:spacing w:val="-13"/>
        <w:sz w:val="18"/>
        <w:szCs w:val="18"/>
      </w:rPr>
      <w:t>第</w:t>
    </w:r>
    <w:r>
      <w:rPr>
        <w:spacing w:val="-28"/>
        <w:sz w:val="18"/>
        <w:szCs w:val="18"/>
      </w:rPr>
      <w:t xml:space="preserve"> </w:t>
    </w:r>
    <w:r>
      <w:rPr>
        <w:b/>
        <w:bCs/>
        <w:spacing w:val="-13"/>
        <w:sz w:val="18"/>
        <w:szCs w:val="18"/>
      </w:rPr>
      <w:t>368</w:t>
    </w:r>
    <w:r>
      <w:rPr>
        <w:spacing w:val="-13"/>
        <w:sz w:val="18"/>
        <w:szCs w:val="18"/>
      </w:rPr>
      <w:t xml:space="preserve"> </w:t>
    </w:r>
    <w:r>
      <w:rPr>
        <w:b/>
        <w:bCs/>
        <w:spacing w:val="-13"/>
        <w:sz w:val="18"/>
        <w:szCs w:val="18"/>
      </w:rPr>
      <w:t>页</w:t>
    </w:r>
    <w:r>
      <w:rPr>
        <w:spacing w:val="-27"/>
        <w:sz w:val="18"/>
        <w:szCs w:val="18"/>
      </w:rPr>
      <w:t xml:space="preserve"> </w:t>
    </w:r>
    <w:r>
      <w:rPr>
        <w:b/>
        <w:bCs/>
        <w:spacing w:val="-13"/>
        <w:sz w:val="18"/>
        <w:szCs w:val="18"/>
      </w:rPr>
      <w:t>共</w:t>
    </w:r>
    <w:r>
      <w:rPr>
        <w:spacing w:val="-39"/>
        <w:sz w:val="18"/>
        <w:szCs w:val="18"/>
      </w:rPr>
      <w:t xml:space="preserve"> </w:t>
    </w:r>
    <w:r>
      <w:rPr>
        <w:b/>
        <w:bCs/>
        <w:spacing w:val="-13"/>
        <w:sz w:val="18"/>
        <w:szCs w:val="18"/>
      </w:rPr>
      <w:t>499</w:t>
    </w:r>
    <w:r>
      <w:rPr>
        <w:spacing w:val="-13"/>
        <w:sz w:val="18"/>
        <w:szCs w:val="18"/>
      </w:rPr>
      <w:t xml:space="preserve"> </w:t>
    </w:r>
    <w:r>
      <w:rPr>
        <w:b/>
        <w:bCs/>
        <w:spacing w:val="-13"/>
        <w:sz w:val="18"/>
        <w:szCs w:val="18"/>
      </w:rPr>
      <w:t>页</w:t>
    </w:r>
  </w:p>
</w:ftr>
</file>

<file path=word/footer3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81057E">
    <w:pPr>
      <w:spacing w:after="13" w:line="454" w:lineRule="exact"/>
    </w:pPr>
  </w:p>
  <w:p w14:paraId="73C4A2B9">
    <w:pPr>
      <w:pStyle w:val="2"/>
      <w:spacing w:line="207" w:lineRule="auto"/>
      <w:ind w:left="5067"/>
      <w:rPr>
        <w:sz w:val="18"/>
        <w:szCs w:val="18"/>
      </w:rPr>
    </w:pPr>
    <w:r>
      <w:rPr>
        <w:b/>
        <w:bCs/>
        <w:spacing w:val="-13"/>
        <w:sz w:val="18"/>
        <w:szCs w:val="18"/>
      </w:rPr>
      <w:t>第</w:t>
    </w:r>
    <w:r>
      <w:rPr>
        <w:spacing w:val="-28"/>
        <w:sz w:val="18"/>
        <w:szCs w:val="18"/>
      </w:rPr>
      <w:t xml:space="preserve"> </w:t>
    </w:r>
    <w:r>
      <w:rPr>
        <w:b/>
        <w:bCs/>
        <w:spacing w:val="-13"/>
        <w:sz w:val="18"/>
        <w:szCs w:val="18"/>
      </w:rPr>
      <w:t>369</w:t>
    </w:r>
    <w:r>
      <w:rPr>
        <w:spacing w:val="-13"/>
        <w:sz w:val="18"/>
        <w:szCs w:val="18"/>
      </w:rPr>
      <w:t xml:space="preserve"> </w:t>
    </w:r>
    <w:r>
      <w:rPr>
        <w:b/>
        <w:bCs/>
        <w:spacing w:val="-13"/>
        <w:sz w:val="18"/>
        <w:szCs w:val="18"/>
      </w:rPr>
      <w:t>页</w:t>
    </w:r>
    <w:r>
      <w:rPr>
        <w:spacing w:val="-27"/>
        <w:sz w:val="18"/>
        <w:szCs w:val="18"/>
      </w:rPr>
      <w:t xml:space="preserve"> </w:t>
    </w:r>
    <w:r>
      <w:rPr>
        <w:b/>
        <w:bCs/>
        <w:spacing w:val="-13"/>
        <w:sz w:val="18"/>
        <w:szCs w:val="18"/>
      </w:rPr>
      <w:t>共</w:t>
    </w:r>
    <w:r>
      <w:rPr>
        <w:spacing w:val="-39"/>
        <w:sz w:val="18"/>
        <w:szCs w:val="18"/>
      </w:rPr>
      <w:t xml:space="preserve"> </w:t>
    </w:r>
    <w:r>
      <w:rPr>
        <w:b/>
        <w:bCs/>
        <w:spacing w:val="-13"/>
        <w:sz w:val="18"/>
        <w:szCs w:val="18"/>
      </w:rPr>
      <w:t>499</w:t>
    </w:r>
    <w:r>
      <w:rPr>
        <w:spacing w:val="-13"/>
        <w:sz w:val="18"/>
        <w:szCs w:val="18"/>
      </w:rPr>
      <w:t xml:space="preserve"> </w:t>
    </w:r>
    <w:r>
      <w:rPr>
        <w:b/>
        <w:bCs/>
        <w:spacing w:val="-13"/>
        <w:sz w:val="18"/>
        <w:szCs w:val="18"/>
      </w:rPr>
      <w:t>页</w:t>
    </w:r>
  </w:p>
</w:ftr>
</file>

<file path=word/footer3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27CB3D">
    <w:pPr>
      <w:spacing w:after="13" w:line="454" w:lineRule="exact"/>
    </w:pPr>
  </w:p>
  <w:p w14:paraId="4EBD177A">
    <w:pPr>
      <w:pStyle w:val="2"/>
      <w:spacing w:line="207" w:lineRule="auto"/>
      <w:ind w:left="5067"/>
      <w:rPr>
        <w:sz w:val="18"/>
        <w:szCs w:val="18"/>
      </w:rPr>
    </w:pPr>
    <w:r>
      <w:rPr>
        <w:b/>
        <w:bCs/>
        <w:spacing w:val="-13"/>
        <w:sz w:val="18"/>
        <w:szCs w:val="18"/>
      </w:rPr>
      <w:t>第</w:t>
    </w:r>
    <w:r>
      <w:rPr>
        <w:spacing w:val="-28"/>
        <w:sz w:val="18"/>
        <w:szCs w:val="18"/>
      </w:rPr>
      <w:t xml:space="preserve"> </w:t>
    </w:r>
    <w:r>
      <w:rPr>
        <w:b/>
        <w:bCs/>
        <w:spacing w:val="-13"/>
        <w:sz w:val="18"/>
        <w:szCs w:val="18"/>
      </w:rPr>
      <w:t>370</w:t>
    </w:r>
    <w:r>
      <w:rPr>
        <w:spacing w:val="-13"/>
        <w:sz w:val="18"/>
        <w:szCs w:val="18"/>
      </w:rPr>
      <w:t xml:space="preserve"> </w:t>
    </w:r>
    <w:r>
      <w:rPr>
        <w:b/>
        <w:bCs/>
        <w:spacing w:val="-13"/>
        <w:sz w:val="18"/>
        <w:szCs w:val="18"/>
      </w:rPr>
      <w:t>页</w:t>
    </w:r>
    <w:r>
      <w:rPr>
        <w:spacing w:val="-27"/>
        <w:sz w:val="18"/>
        <w:szCs w:val="18"/>
      </w:rPr>
      <w:t xml:space="preserve"> </w:t>
    </w:r>
    <w:r>
      <w:rPr>
        <w:b/>
        <w:bCs/>
        <w:spacing w:val="-13"/>
        <w:sz w:val="18"/>
        <w:szCs w:val="18"/>
      </w:rPr>
      <w:t>共</w:t>
    </w:r>
    <w:r>
      <w:rPr>
        <w:spacing w:val="-39"/>
        <w:sz w:val="18"/>
        <w:szCs w:val="18"/>
      </w:rPr>
      <w:t xml:space="preserve"> </w:t>
    </w:r>
    <w:r>
      <w:rPr>
        <w:b/>
        <w:bCs/>
        <w:spacing w:val="-13"/>
        <w:sz w:val="18"/>
        <w:szCs w:val="18"/>
      </w:rPr>
      <w:t>499</w:t>
    </w:r>
    <w:r>
      <w:rPr>
        <w:spacing w:val="-13"/>
        <w:sz w:val="18"/>
        <w:szCs w:val="18"/>
      </w:rPr>
      <w:t xml:space="preserve"> </w:t>
    </w:r>
    <w:r>
      <w:rPr>
        <w:b/>
        <w:bCs/>
        <w:spacing w:val="-13"/>
        <w:sz w:val="18"/>
        <w:szCs w:val="18"/>
      </w:rPr>
      <w:t>页</w: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FD583E">
    <w:pPr>
      <w:spacing w:after="13" w:line="454" w:lineRule="exact"/>
    </w:pPr>
  </w:p>
  <w:p w14:paraId="0510591D">
    <w:pPr>
      <w:pStyle w:val="2"/>
      <w:spacing w:line="207" w:lineRule="auto"/>
      <w:ind w:left="5106"/>
      <w:rPr>
        <w:sz w:val="18"/>
        <w:szCs w:val="18"/>
      </w:rPr>
    </w:pPr>
    <w:r>
      <w:rPr>
        <w:b/>
        <w:bCs/>
        <w:spacing w:val="-13"/>
        <w:sz w:val="18"/>
        <w:szCs w:val="18"/>
      </w:rPr>
      <w:t>第</w:t>
    </w:r>
    <w:r>
      <w:rPr>
        <w:spacing w:val="-28"/>
        <w:sz w:val="18"/>
        <w:szCs w:val="18"/>
      </w:rPr>
      <w:t xml:space="preserve"> </w:t>
    </w:r>
    <w:r>
      <w:rPr>
        <w:b/>
        <w:bCs/>
        <w:spacing w:val="-13"/>
        <w:sz w:val="18"/>
        <w:szCs w:val="18"/>
      </w:rPr>
      <w:t>59</w:t>
    </w:r>
    <w:r>
      <w:rPr>
        <w:spacing w:val="-13"/>
        <w:sz w:val="18"/>
        <w:szCs w:val="18"/>
      </w:rPr>
      <w:t xml:space="preserve"> </w:t>
    </w:r>
    <w:r>
      <w:rPr>
        <w:b/>
        <w:bCs/>
        <w:spacing w:val="-13"/>
        <w:sz w:val="18"/>
        <w:szCs w:val="18"/>
      </w:rPr>
      <w:t>页</w:t>
    </w:r>
    <w:r>
      <w:rPr>
        <w:spacing w:val="-28"/>
        <w:sz w:val="18"/>
        <w:szCs w:val="18"/>
      </w:rPr>
      <w:t xml:space="preserve"> </w:t>
    </w:r>
    <w:r>
      <w:rPr>
        <w:b/>
        <w:bCs/>
        <w:spacing w:val="-13"/>
        <w:sz w:val="18"/>
        <w:szCs w:val="18"/>
      </w:rPr>
      <w:t>共</w:t>
    </w:r>
    <w:r>
      <w:rPr>
        <w:spacing w:val="-38"/>
        <w:sz w:val="18"/>
        <w:szCs w:val="18"/>
      </w:rPr>
      <w:t xml:space="preserve"> </w:t>
    </w:r>
    <w:r>
      <w:rPr>
        <w:b/>
        <w:bCs/>
        <w:spacing w:val="-13"/>
        <w:sz w:val="18"/>
        <w:szCs w:val="18"/>
      </w:rPr>
      <w:t>499</w:t>
    </w:r>
    <w:r>
      <w:rPr>
        <w:spacing w:val="-13"/>
        <w:sz w:val="18"/>
        <w:szCs w:val="18"/>
      </w:rPr>
      <w:t xml:space="preserve"> </w:t>
    </w:r>
    <w:r>
      <w:rPr>
        <w:b/>
        <w:bCs/>
        <w:spacing w:val="-13"/>
        <w:sz w:val="18"/>
        <w:szCs w:val="18"/>
      </w:rPr>
      <w:t>页</w:t>
    </w:r>
  </w:p>
</w:ftr>
</file>

<file path=word/footer3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304204">
    <w:pPr>
      <w:spacing w:after="13" w:line="454" w:lineRule="exact"/>
    </w:pPr>
  </w:p>
  <w:p w14:paraId="1E214483">
    <w:pPr>
      <w:pStyle w:val="2"/>
      <w:spacing w:line="207" w:lineRule="auto"/>
      <w:ind w:left="5067"/>
      <w:rPr>
        <w:sz w:val="18"/>
        <w:szCs w:val="18"/>
      </w:rPr>
    </w:pPr>
    <w:r>
      <w:rPr>
        <w:b/>
        <w:bCs/>
        <w:spacing w:val="-13"/>
        <w:sz w:val="18"/>
        <w:szCs w:val="18"/>
      </w:rPr>
      <w:t>第</w:t>
    </w:r>
    <w:r>
      <w:rPr>
        <w:spacing w:val="-28"/>
        <w:sz w:val="18"/>
        <w:szCs w:val="18"/>
      </w:rPr>
      <w:t xml:space="preserve"> </w:t>
    </w:r>
    <w:r>
      <w:rPr>
        <w:b/>
        <w:bCs/>
        <w:spacing w:val="-13"/>
        <w:sz w:val="18"/>
        <w:szCs w:val="18"/>
      </w:rPr>
      <w:t>371</w:t>
    </w:r>
    <w:r>
      <w:rPr>
        <w:spacing w:val="-13"/>
        <w:sz w:val="18"/>
        <w:szCs w:val="18"/>
      </w:rPr>
      <w:t xml:space="preserve"> </w:t>
    </w:r>
    <w:r>
      <w:rPr>
        <w:b/>
        <w:bCs/>
        <w:spacing w:val="-13"/>
        <w:sz w:val="18"/>
        <w:szCs w:val="18"/>
      </w:rPr>
      <w:t>页</w:t>
    </w:r>
    <w:r>
      <w:rPr>
        <w:spacing w:val="-27"/>
        <w:sz w:val="18"/>
        <w:szCs w:val="18"/>
      </w:rPr>
      <w:t xml:space="preserve"> </w:t>
    </w:r>
    <w:r>
      <w:rPr>
        <w:b/>
        <w:bCs/>
        <w:spacing w:val="-13"/>
        <w:sz w:val="18"/>
        <w:szCs w:val="18"/>
      </w:rPr>
      <w:t>共</w:t>
    </w:r>
    <w:r>
      <w:rPr>
        <w:spacing w:val="-39"/>
        <w:sz w:val="18"/>
        <w:szCs w:val="18"/>
      </w:rPr>
      <w:t xml:space="preserve"> </w:t>
    </w:r>
    <w:r>
      <w:rPr>
        <w:b/>
        <w:bCs/>
        <w:spacing w:val="-13"/>
        <w:sz w:val="18"/>
        <w:szCs w:val="18"/>
      </w:rPr>
      <w:t>499</w:t>
    </w:r>
    <w:r>
      <w:rPr>
        <w:spacing w:val="-13"/>
        <w:sz w:val="18"/>
        <w:szCs w:val="18"/>
      </w:rPr>
      <w:t xml:space="preserve"> </w:t>
    </w:r>
    <w:r>
      <w:rPr>
        <w:b/>
        <w:bCs/>
        <w:spacing w:val="-13"/>
        <w:sz w:val="18"/>
        <w:szCs w:val="18"/>
      </w:rPr>
      <w:t>页</w:t>
    </w:r>
  </w:p>
</w:ftr>
</file>

<file path=word/footer3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7C6A17">
    <w:pPr>
      <w:spacing w:after="13" w:line="454" w:lineRule="exact"/>
    </w:pPr>
  </w:p>
  <w:p w14:paraId="5AD3567D">
    <w:pPr>
      <w:pStyle w:val="2"/>
      <w:spacing w:line="207" w:lineRule="auto"/>
      <w:ind w:left="5067"/>
      <w:rPr>
        <w:sz w:val="18"/>
        <w:szCs w:val="18"/>
      </w:rPr>
    </w:pPr>
    <w:r>
      <w:rPr>
        <w:b/>
        <w:bCs/>
        <w:spacing w:val="-13"/>
        <w:sz w:val="18"/>
        <w:szCs w:val="18"/>
      </w:rPr>
      <w:t>第</w:t>
    </w:r>
    <w:r>
      <w:rPr>
        <w:spacing w:val="-28"/>
        <w:sz w:val="18"/>
        <w:szCs w:val="18"/>
      </w:rPr>
      <w:t xml:space="preserve"> </w:t>
    </w:r>
    <w:r>
      <w:rPr>
        <w:b/>
        <w:bCs/>
        <w:spacing w:val="-13"/>
        <w:sz w:val="18"/>
        <w:szCs w:val="18"/>
      </w:rPr>
      <w:t>372</w:t>
    </w:r>
    <w:r>
      <w:rPr>
        <w:spacing w:val="-13"/>
        <w:sz w:val="18"/>
        <w:szCs w:val="18"/>
      </w:rPr>
      <w:t xml:space="preserve"> </w:t>
    </w:r>
    <w:r>
      <w:rPr>
        <w:b/>
        <w:bCs/>
        <w:spacing w:val="-13"/>
        <w:sz w:val="18"/>
        <w:szCs w:val="18"/>
      </w:rPr>
      <w:t>页</w:t>
    </w:r>
    <w:r>
      <w:rPr>
        <w:spacing w:val="-27"/>
        <w:sz w:val="18"/>
        <w:szCs w:val="18"/>
      </w:rPr>
      <w:t xml:space="preserve"> </w:t>
    </w:r>
    <w:r>
      <w:rPr>
        <w:b/>
        <w:bCs/>
        <w:spacing w:val="-13"/>
        <w:sz w:val="18"/>
        <w:szCs w:val="18"/>
      </w:rPr>
      <w:t>共</w:t>
    </w:r>
    <w:r>
      <w:rPr>
        <w:spacing w:val="-39"/>
        <w:sz w:val="18"/>
        <w:szCs w:val="18"/>
      </w:rPr>
      <w:t xml:space="preserve"> </w:t>
    </w:r>
    <w:r>
      <w:rPr>
        <w:b/>
        <w:bCs/>
        <w:spacing w:val="-13"/>
        <w:sz w:val="18"/>
        <w:szCs w:val="18"/>
      </w:rPr>
      <w:t>499</w:t>
    </w:r>
    <w:r>
      <w:rPr>
        <w:spacing w:val="-13"/>
        <w:sz w:val="18"/>
        <w:szCs w:val="18"/>
      </w:rPr>
      <w:t xml:space="preserve"> </w:t>
    </w:r>
    <w:r>
      <w:rPr>
        <w:b/>
        <w:bCs/>
        <w:spacing w:val="-13"/>
        <w:sz w:val="18"/>
        <w:szCs w:val="18"/>
      </w:rPr>
      <w:t>页</w:t>
    </w:r>
  </w:p>
</w:ftr>
</file>

<file path=word/footer3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BE20F4">
    <w:pPr>
      <w:spacing w:after="13" w:line="454" w:lineRule="exact"/>
    </w:pPr>
  </w:p>
  <w:p w14:paraId="0C49D690">
    <w:pPr>
      <w:pStyle w:val="2"/>
      <w:spacing w:line="207" w:lineRule="auto"/>
      <w:ind w:left="5067"/>
      <w:rPr>
        <w:sz w:val="18"/>
        <w:szCs w:val="18"/>
      </w:rPr>
    </w:pPr>
    <w:r>
      <w:rPr>
        <w:b/>
        <w:bCs/>
        <w:spacing w:val="-13"/>
        <w:sz w:val="18"/>
        <w:szCs w:val="18"/>
      </w:rPr>
      <w:t>第</w:t>
    </w:r>
    <w:r>
      <w:rPr>
        <w:spacing w:val="-28"/>
        <w:sz w:val="18"/>
        <w:szCs w:val="18"/>
      </w:rPr>
      <w:t xml:space="preserve"> </w:t>
    </w:r>
    <w:r>
      <w:rPr>
        <w:b/>
        <w:bCs/>
        <w:spacing w:val="-13"/>
        <w:sz w:val="18"/>
        <w:szCs w:val="18"/>
      </w:rPr>
      <w:t>373</w:t>
    </w:r>
    <w:r>
      <w:rPr>
        <w:spacing w:val="-13"/>
        <w:sz w:val="18"/>
        <w:szCs w:val="18"/>
      </w:rPr>
      <w:t xml:space="preserve"> </w:t>
    </w:r>
    <w:r>
      <w:rPr>
        <w:b/>
        <w:bCs/>
        <w:spacing w:val="-13"/>
        <w:sz w:val="18"/>
        <w:szCs w:val="18"/>
      </w:rPr>
      <w:t>页</w:t>
    </w:r>
    <w:r>
      <w:rPr>
        <w:spacing w:val="-27"/>
        <w:sz w:val="18"/>
        <w:szCs w:val="18"/>
      </w:rPr>
      <w:t xml:space="preserve"> </w:t>
    </w:r>
    <w:r>
      <w:rPr>
        <w:b/>
        <w:bCs/>
        <w:spacing w:val="-13"/>
        <w:sz w:val="18"/>
        <w:szCs w:val="18"/>
      </w:rPr>
      <w:t>共</w:t>
    </w:r>
    <w:r>
      <w:rPr>
        <w:spacing w:val="-39"/>
        <w:sz w:val="18"/>
        <w:szCs w:val="18"/>
      </w:rPr>
      <w:t xml:space="preserve"> </w:t>
    </w:r>
    <w:r>
      <w:rPr>
        <w:b/>
        <w:bCs/>
        <w:spacing w:val="-13"/>
        <w:sz w:val="18"/>
        <w:szCs w:val="18"/>
      </w:rPr>
      <w:t>499</w:t>
    </w:r>
    <w:r>
      <w:rPr>
        <w:spacing w:val="-13"/>
        <w:sz w:val="18"/>
        <w:szCs w:val="18"/>
      </w:rPr>
      <w:t xml:space="preserve"> </w:t>
    </w:r>
    <w:r>
      <w:rPr>
        <w:b/>
        <w:bCs/>
        <w:spacing w:val="-13"/>
        <w:sz w:val="18"/>
        <w:szCs w:val="18"/>
      </w:rPr>
      <w:t>页</w:t>
    </w:r>
  </w:p>
</w:ftr>
</file>

<file path=word/footer3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EA6E86">
    <w:pPr>
      <w:spacing w:after="13" w:line="454" w:lineRule="exact"/>
    </w:pPr>
  </w:p>
  <w:p w14:paraId="61471FEC">
    <w:pPr>
      <w:pStyle w:val="2"/>
      <w:spacing w:line="207" w:lineRule="auto"/>
      <w:ind w:left="5067"/>
      <w:rPr>
        <w:sz w:val="18"/>
        <w:szCs w:val="18"/>
      </w:rPr>
    </w:pPr>
    <w:r>
      <w:rPr>
        <w:b/>
        <w:bCs/>
        <w:spacing w:val="-13"/>
        <w:sz w:val="18"/>
        <w:szCs w:val="18"/>
      </w:rPr>
      <w:t>第</w:t>
    </w:r>
    <w:r>
      <w:rPr>
        <w:spacing w:val="-28"/>
        <w:sz w:val="18"/>
        <w:szCs w:val="18"/>
      </w:rPr>
      <w:t xml:space="preserve"> </w:t>
    </w:r>
    <w:r>
      <w:rPr>
        <w:b/>
        <w:bCs/>
        <w:spacing w:val="-13"/>
        <w:sz w:val="18"/>
        <w:szCs w:val="18"/>
      </w:rPr>
      <w:t>374</w:t>
    </w:r>
    <w:r>
      <w:rPr>
        <w:spacing w:val="-13"/>
        <w:sz w:val="18"/>
        <w:szCs w:val="18"/>
      </w:rPr>
      <w:t xml:space="preserve"> </w:t>
    </w:r>
    <w:r>
      <w:rPr>
        <w:b/>
        <w:bCs/>
        <w:spacing w:val="-13"/>
        <w:sz w:val="18"/>
        <w:szCs w:val="18"/>
      </w:rPr>
      <w:t>页</w:t>
    </w:r>
    <w:r>
      <w:rPr>
        <w:spacing w:val="-27"/>
        <w:sz w:val="18"/>
        <w:szCs w:val="18"/>
      </w:rPr>
      <w:t xml:space="preserve"> </w:t>
    </w:r>
    <w:r>
      <w:rPr>
        <w:b/>
        <w:bCs/>
        <w:spacing w:val="-13"/>
        <w:sz w:val="18"/>
        <w:szCs w:val="18"/>
      </w:rPr>
      <w:t>共</w:t>
    </w:r>
    <w:r>
      <w:rPr>
        <w:spacing w:val="-39"/>
        <w:sz w:val="18"/>
        <w:szCs w:val="18"/>
      </w:rPr>
      <w:t xml:space="preserve"> </w:t>
    </w:r>
    <w:r>
      <w:rPr>
        <w:b/>
        <w:bCs/>
        <w:spacing w:val="-13"/>
        <w:sz w:val="18"/>
        <w:szCs w:val="18"/>
      </w:rPr>
      <w:t>499</w:t>
    </w:r>
    <w:r>
      <w:rPr>
        <w:spacing w:val="-13"/>
        <w:sz w:val="18"/>
        <w:szCs w:val="18"/>
      </w:rPr>
      <w:t xml:space="preserve"> </w:t>
    </w:r>
    <w:r>
      <w:rPr>
        <w:b/>
        <w:bCs/>
        <w:spacing w:val="-13"/>
        <w:sz w:val="18"/>
        <w:szCs w:val="18"/>
      </w:rPr>
      <w:t>页</w:t>
    </w:r>
  </w:p>
</w:ftr>
</file>

<file path=word/footer3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1BA303">
    <w:pPr>
      <w:spacing w:after="13" w:line="454" w:lineRule="exact"/>
    </w:pPr>
  </w:p>
  <w:p w14:paraId="0FE53F94">
    <w:pPr>
      <w:pStyle w:val="2"/>
      <w:spacing w:line="207" w:lineRule="auto"/>
      <w:ind w:left="5067"/>
      <w:rPr>
        <w:sz w:val="18"/>
        <w:szCs w:val="18"/>
      </w:rPr>
    </w:pPr>
    <w:r>
      <w:rPr>
        <w:b/>
        <w:bCs/>
        <w:spacing w:val="-13"/>
        <w:sz w:val="18"/>
        <w:szCs w:val="18"/>
      </w:rPr>
      <w:t>第</w:t>
    </w:r>
    <w:r>
      <w:rPr>
        <w:spacing w:val="-28"/>
        <w:sz w:val="18"/>
        <w:szCs w:val="18"/>
      </w:rPr>
      <w:t xml:space="preserve"> </w:t>
    </w:r>
    <w:r>
      <w:rPr>
        <w:b/>
        <w:bCs/>
        <w:spacing w:val="-13"/>
        <w:sz w:val="18"/>
        <w:szCs w:val="18"/>
      </w:rPr>
      <w:t>375</w:t>
    </w:r>
    <w:r>
      <w:rPr>
        <w:spacing w:val="-13"/>
        <w:sz w:val="18"/>
        <w:szCs w:val="18"/>
      </w:rPr>
      <w:t xml:space="preserve"> </w:t>
    </w:r>
    <w:r>
      <w:rPr>
        <w:b/>
        <w:bCs/>
        <w:spacing w:val="-13"/>
        <w:sz w:val="18"/>
        <w:szCs w:val="18"/>
      </w:rPr>
      <w:t>页</w:t>
    </w:r>
    <w:r>
      <w:rPr>
        <w:spacing w:val="-27"/>
        <w:sz w:val="18"/>
        <w:szCs w:val="18"/>
      </w:rPr>
      <w:t xml:space="preserve"> </w:t>
    </w:r>
    <w:r>
      <w:rPr>
        <w:b/>
        <w:bCs/>
        <w:spacing w:val="-13"/>
        <w:sz w:val="18"/>
        <w:szCs w:val="18"/>
      </w:rPr>
      <w:t>共</w:t>
    </w:r>
    <w:r>
      <w:rPr>
        <w:spacing w:val="-39"/>
        <w:sz w:val="18"/>
        <w:szCs w:val="18"/>
      </w:rPr>
      <w:t xml:space="preserve"> </w:t>
    </w:r>
    <w:r>
      <w:rPr>
        <w:b/>
        <w:bCs/>
        <w:spacing w:val="-13"/>
        <w:sz w:val="18"/>
        <w:szCs w:val="18"/>
      </w:rPr>
      <w:t>499</w:t>
    </w:r>
    <w:r>
      <w:rPr>
        <w:spacing w:val="-13"/>
        <w:sz w:val="18"/>
        <w:szCs w:val="18"/>
      </w:rPr>
      <w:t xml:space="preserve"> </w:t>
    </w:r>
    <w:r>
      <w:rPr>
        <w:b/>
        <w:bCs/>
        <w:spacing w:val="-13"/>
        <w:sz w:val="18"/>
        <w:szCs w:val="18"/>
      </w:rPr>
      <w:t>页</w:t>
    </w:r>
  </w:p>
</w:ftr>
</file>

<file path=word/footer3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AF0D5B">
    <w:pPr>
      <w:spacing w:after="13" w:line="454" w:lineRule="exact"/>
    </w:pPr>
  </w:p>
  <w:p w14:paraId="1B28D239">
    <w:pPr>
      <w:pStyle w:val="2"/>
      <w:spacing w:line="207" w:lineRule="auto"/>
      <w:ind w:left="5067"/>
      <w:rPr>
        <w:sz w:val="18"/>
        <w:szCs w:val="18"/>
      </w:rPr>
    </w:pPr>
    <w:r>
      <w:rPr>
        <w:b/>
        <w:bCs/>
        <w:spacing w:val="-13"/>
        <w:sz w:val="18"/>
        <w:szCs w:val="18"/>
      </w:rPr>
      <w:t>第</w:t>
    </w:r>
    <w:r>
      <w:rPr>
        <w:spacing w:val="-28"/>
        <w:sz w:val="18"/>
        <w:szCs w:val="18"/>
      </w:rPr>
      <w:t xml:space="preserve"> </w:t>
    </w:r>
    <w:r>
      <w:rPr>
        <w:b/>
        <w:bCs/>
        <w:spacing w:val="-13"/>
        <w:sz w:val="18"/>
        <w:szCs w:val="18"/>
      </w:rPr>
      <w:t>376</w:t>
    </w:r>
    <w:r>
      <w:rPr>
        <w:spacing w:val="-13"/>
        <w:sz w:val="18"/>
        <w:szCs w:val="18"/>
      </w:rPr>
      <w:t xml:space="preserve"> </w:t>
    </w:r>
    <w:r>
      <w:rPr>
        <w:b/>
        <w:bCs/>
        <w:spacing w:val="-13"/>
        <w:sz w:val="18"/>
        <w:szCs w:val="18"/>
      </w:rPr>
      <w:t>页</w:t>
    </w:r>
    <w:r>
      <w:rPr>
        <w:spacing w:val="-27"/>
        <w:sz w:val="18"/>
        <w:szCs w:val="18"/>
      </w:rPr>
      <w:t xml:space="preserve"> </w:t>
    </w:r>
    <w:r>
      <w:rPr>
        <w:b/>
        <w:bCs/>
        <w:spacing w:val="-13"/>
        <w:sz w:val="18"/>
        <w:szCs w:val="18"/>
      </w:rPr>
      <w:t>共</w:t>
    </w:r>
    <w:r>
      <w:rPr>
        <w:spacing w:val="-39"/>
        <w:sz w:val="18"/>
        <w:szCs w:val="18"/>
      </w:rPr>
      <w:t xml:space="preserve"> </w:t>
    </w:r>
    <w:r>
      <w:rPr>
        <w:b/>
        <w:bCs/>
        <w:spacing w:val="-13"/>
        <w:sz w:val="18"/>
        <w:szCs w:val="18"/>
      </w:rPr>
      <w:t>499</w:t>
    </w:r>
    <w:r>
      <w:rPr>
        <w:spacing w:val="-13"/>
        <w:sz w:val="18"/>
        <w:szCs w:val="18"/>
      </w:rPr>
      <w:t xml:space="preserve"> </w:t>
    </w:r>
    <w:r>
      <w:rPr>
        <w:b/>
        <w:bCs/>
        <w:spacing w:val="-13"/>
        <w:sz w:val="18"/>
        <w:szCs w:val="18"/>
      </w:rPr>
      <w:t>页</w:t>
    </w:r>
  </w:p>
</w:ftr>
</file>

<file path=word/footer3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EC6E5F">
    <w:pPr>
      <w:spacing w:after="13" w:line="454" w:lineRule="exact"/>
    </w:pPr>
  </w:p>
  <w:p w14:paraId="5A2DB1F6">
    <w:pPr>
      <w:pStyle w:val="2"/>
      <w:spacing w:line="207" w:lineRule="auto"/>
      <w:ind w:left="5067"/>
      <w:rPr>
        <w:sz w:val="18"/>
        <w:szCs w:val="18"/>
      </w:rPr>
    </w:pPr>
    <w:r>
      <w:rPr>
        <w:b/>
        <w:bCs/>
        <w:spacing w:val="-13"/>
        <w:sz w:val="18"/>
        <w:szCs w:val="18"/>
      </w:rPr>
      <w:t>第</w:t>
    </w:r>
    <w:r>
      <w:rPr>
        <w:spacing w:val="-28"/>
        <w:sz w:val="18"/>
        <w:szCs w:val="18"/>
      </w:rPr>
      <w:t xml:space="preserve"> </w:t>
    </w:r>
    <w:r>
      <w:rPr>
        <w:b/>
        <w:bCs/>
        <w:spacing w:val="-13"/>
        <w:sz w:val="18"/>
        <w:szCs w:val="18"/>
      </w:rPr>
      <w:t>377</w:t>
    </w:r>
    <w:r>
      <w:rPr>
        <w:spacing w:val="-13"/>
        <w:sz w:val="18"/>
        <w:szCs w:val="18"/>
      </w:rPr>
      <w:t xml:space="preserve"> </w:t>
    </w:r>
    <w:r>
      <w:rPr>
        <w:b/>
        <w:bCs/>
        <w:spacing w:val="-13"/>
        <w:sz w:val="18"/>
        <w:szCs w:val="18"/>
      </w:rPr>
      <w:t>页</w:t>
    </w:r>
    <w:r>
      <w:rPr>
        <w:spacing w:val="-27"/>
        <w:sz w:val="18"/>
        <w:szCs w:val="18"/>
      </w:rPr>
      <w:t xml:space="preserve"> </w:t>
    </w:r>
    <w:r>
      <w:rPr>
        <w:b/>
        <w:bCs/>
        <w:spacing w:val="-13"/>
        <w:sz w:val="18"/>
        <w:szCs w:val="18"/>
      </w:rPr>
      <w:t>共</w:t>
    </w:r>
    <w:r>
      <w:rPr>
        <w:spacing w:val="-39"/>
        <w:sz w:val="18"/>
        <w:szCs w:val="18"/>
      </w:rPr>
      <w:t xml:space="preserve"> </w:t>
    </w:r>
    <w:r>
      <w:rPr>
        <w:b/>
        <w:bCs/>
        <w:spacing w:val="-13"/>
        <w:sz w:val="18"/>
        <w:szCs w:val="18"/>
      </w:rPr>
      <w:t>499</w:t>
    </w:r>
    <w:r>
      <w:rPr>
        <w:spacing w:val="-13"/>
        <w:sz w:val="18"/>
        <w:szCs w:val="18"/>
      </w:rPr>
      <w:t xml:space="preserve"> </w:t>
    </w:r>
    <w:r>
      <w:rPr>
        <w:b/>
        <w:bCs/>
        <w:spacing w:val="-13"/>
        <w:sz w:val="18"/>
        <w:szCs w:val="18"/>
      </w:rPr>
      <w:t>页</w:t>
    </w:r>
  </w:p>
</w:ftr>
</file>

<file path=word/footer3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9057C4">
    <w:pPr>
      <w:spacing w:after="13" w:line="454" w:lineRule="exact"/>
    </w:pPr>
  </w:p>
  <w:p w14:paraId="59A9DDF9">
    <w:pPr>
      <w:pStyle w:val="2"/>
      <w:spacing w:line="207" w:lineRule="auto"/>
      <w:ind w:left="5067"/>
      <w:rPr>
        <w:sz w:val="18"/>
        <w:szCs w:val="18"/>
      </w:rPr>
    </w:pPr>
    <w:r>
      <w:rPr>
        <w:b/>
        <w:bCs/>
        <w:spacing w:val="-13"/>
        <w:sz w:val="18"/>
        <w:szCs w:val="18"/>
      </w:rPr>
      <w:t>第</w:t>
    </w:r>
    <w:r>
      <w:rPr>
        <w:spacing w:val="-28"/>
        <w:sz w:val="18"/>
        <w:szCs w:val="18"/>
      </w:rPr>
      <w:t xml:space="preserve"> </w:t>
    </w:r>
    <w:r>
      <w:rPr>
        <w:b/>
        <w:bCs/>
        <w:spacing w:val="-13"/>
        <w:sz w:val="18"/>
        <w:szCs w:val="18"/>
      </w:rPr>
      <w:t>378</w:t>
    </w:r>
    <w:r>
      <w:rPr>
        <w:spacing w:val="-13"/>
        <w:sz w:val="18"/>
        <w:szCs w:val="18"/>
      </w:rPr>
      <w:t xml:space="preserve"> </w:t>
    </w:r>
    <w:r>
      <w:rPr>
        <w:b/>
        <w:bCs/>
        <w:spacing w:val="-13"/>
        <w:sz w:val="18"/>
        <w:szCs w:val="18"/>
      </w:rPr>
      <w:t>页</w:t>
    </w:r>
    <w:r>
      <w:rPr>
        <w:spacing w:val="-27"/>
        <w:sz w:val="18"/>
        <w:szCs w:val="18"/>
      </w:rPr>
      <w:t xml:space="preserve"> </w:t>
    </w:r>
    <w:r>
      <w:rPr>
        <w:b/>
        <w:bCs/>
        <w:spacing w:val="-13"/>
        <w:sz w:val="18"/>
        <w:szCs w:val="18"/>
      </w:rPr>
      <w:t>共</w:t>
    </w:r>
    <w:r>
      <w:rPr>
        <w:spacing w:val="-39"/>
        <w:sz w:val="18"/>
        <w:szCs w:val="18"/>
      </w:rPr>
      <w:t xml:space="preserve"> </w:t>
    </w:r>
    <w:r>
      <w:rPr>
        <w:b/>
        <w:bCs/>
        <w:spacing w:val="-13"/>
        <w:sz w:val="18"/>
        <w:szCs w:val="18"/>
      </w:rPr>
      <w:t>499</w:t>
    </w:r>
    <w:r>
      <w:rPr>
        <w:spacing w:val="-13"/>
        <w:sz w:val="18"/>
        <w:szCs w:val="18"/>
      </w:rPr>
      <w:t xml:space="preserve"> </w:t>
    </w:r>
    <w:r>
      <w:rPr>
        <w:b/>
        <w:bCs/>
        <w:spacing w:val="-13"/>
        <w:sz w:val="18"/>
        <w:szCs w:val="18"/>
      </w:rPr>
      <w:t>页</w:t>
    </w:r>
  </w:p>
</w:ftr>
</file>

<file path=word/footer3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C0D8A0">
    <w:pPr>
      <w:spacing w:after="13" w:line="454" w:lineRule="exact"/>
    </w:pPr>
  </w:p>
  <w:p w14:paraId="096D2958">
    <w:pPr>
      <w:pStyle w:val="2"/>
      <w:spacing w:line="207" w:lineRule="auto"/>
      <w:ind w:left="5067"/>
      <w:rPr>
        <w:sz w:val="18"/>
        <w:szCs w:val="18"/>
      </w:rPr>
    </w:pPr>
    <w:r>
      <w:rPr>
        <w:b/>
        <w:bCs/>
        <w:spacing w:val="-13"/>
        <w:sz w:val="18"/>
        <w:szCs w:val="18"/>
      </w:rPr>
      <w:t>第</w:t>
    </w:r>
    <w:r>
      <w:rPr>
        <w:spacing w:val="-28"/>
        <w:sz w:val="18"/>
        <w:szCs w:val="18"/>
      </w:rPr>
      <w:t xml:space="preserve"> </w:t>
    </w:r>
    <w:r>
      <w:rPr>
        <w:b/>
        <w:bCs/>
        <w:spacing w:val="-13"/>
        <w:sz w:val="18"/>
        <w:szCs w:val="18"/>
      </w:rPr>
      <w:t>379</w:t>
    </w:r>
    <w:r>
      <w:rPr>
        <w:spacing w:val="-13"/>
        <w:sz w:val="18"/>
        <w:szCs w:val="18"/>
      </w:rPr>
      <w:t xml:space="preserve"> </w:t>
    </w:r>
    <w:r>
      <w:rPr>
        <w:b/>
        <w:bCs/>
        <w:spacing w:val="-13"/>
        <w:sz w:val="18"/>
        <w:szCs w:val="18"/>
      </w:rPr>
      <w:t>页</w:t>
    </w:r>
    <w:r>
      <w:rPr>
        <w:spacing w:val="-27"/>
        <w:sz w:val="18"/>
        <w:szCs w:val="18"/>
      </w:rPr>
      <w:t xml:space="preserve"> </w:t>
    </w:r>
    <w:r>
      <w:rPr>
        <w:b/>
        <w:bCs/>
        <w:spacing w:val="-13"/>
        <w:sz w:val="18"/>
        <w:szCs w:val="18"/>
      </w:rPr>
      <w:t>共</w:t>
    </w:r>
    <w:r>
      <w:rPr>
        <w:spacing w:val="-39"/>
        <w:sz w:val="18"/>
        <w:szCs w:val="18"/>
      </w:rPr>
      <w:t xml:space="preserve"> </w:t>
    </w:r>
    <w:r>
      <w:rPr>
        <w:b/>
        <w:bCs/>
        <w:spacing w:val="-13"/>
        <w:sz w:val="18"/>
        <w:szCs w:val="18"/>
      </w:rPr>
      <w:t>499</w:t>
    </w:r>
    <w:r>
      <w:rPr>
        <w:spacing w:val="-13"/>
        <w:sz w:val="18"/>
        <w:szCs w:val="18"/>
      </w:rPr>
      <w:t xml:space="preserve"> </w:t>
    </w:r>
    <w:r>
      <w:rPr>
        <w:b/>
        <w:bCs/>
        <w:spacing w:val="-13"/>
        <w:sz w:val="18"/>
        <w:szCs w:val="18"/>
      </w:rPr>
      <w:t>页</w:t>
    </w:r>
  </w:p>
</w:ftr>
</file>

<file path=word/footer3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209938">
    <w:pPr>
      <w:spacing w:after="13" w:line="454" w:lineRule="exact"/>
    </w:pPr>
  </w:p>
  <w:p w14:paraId="4FBD81EC">
    <w:pPr>
      <w:pStyle w:val="2"/>
      <w:spacing w:line="207" w:lineRule="auto"/>
      <w:ind w:left="5067"/>
      <w:rPr>
        <w:sz w:val="18"/>
        <w:szCs w:val="18"/>
      </w:rPr>
    </w:pPr>
    <w:r>
      <w:rPr>
        <w:b/>
        <w:bCs/>
        <w:spacing w:val="-13"/>
        <w:sz w:val="18"/>
        <w:szCs w:val="18"/>
      </w:rPr>
      <w:t>第</w:t>
    </w:r>
    <w:r>
      <w:rPr>
        <w:spacing w:val="-28"/>
        <w:sz w:val="18"/>
        <w:szCs w:val="18"/>
      </w:rPr>
      <w:t xml:space="preserve"> </w:t>
    </w:r>
    <w:r>
      <w:rPr>
        <w:b/>
        <w:bCs/>
        <w:spacing w:val="-13"/>
        <w:sz w:val="18"/>
        <w:szCs w:val="18"/>
      </w:rPr>
      <w:t>380</w:t>
    </w:r>
    <w:r>
      <w:rPr>
        <w:spacing w:val="-13"/>
        <w:sz w:val="18"/>
        <w:szCs w:val="18"/>
      </w:rPr>
      <w:t xml:space="preserve"> </w:t>
    </w:r>
    <w:r>
      <w:rPr>
        <w:b/>
        <w:bCs/>
        <w:spacing w:val="-13"/>
        <w:sz w:val="18"/>
        <w:szCs w:val="18"/>
      </w:rPr>
      <w:t>页</w:t>
    </w:r>
    <w:r>
      <w:rPr>
        <w:spacing w:val="-27"/>
        <w:sz w:val="18"/>
        <w:szCs w:val="18"/>
      </w:rPr>
      <w:t xml:space="preserve"> </w:t>
    </w:r>
    <w:r>
      <w:rPr>
        <w:b/>
        <w:bCs/>
        <w:spacing w:val="-13"/>
        <w:sz w:val="18"/>
        <w:szCs w:val="18"/>
      </w:rPr>
      <w:t>共</w:t>
    </w:r>
    <w:r>
      <w:rPr>
        <w:spacing w:val="-39"/>
        <w:sz w:val="18"/>
        <w:szCs w:val="18"/>
      </w:rPr>
      <w:t xml:space="preserve"> </w:t>
    </w:r>
    <w:r>
      <w:rPr>
        <w:b/>
        <w:bCs/>
        <w:spacing w:val="-13"/>
        <w:sz w:val="18"/>
        <w:szCs w:val="18"/>
      </w:rPr>
      <w:t>499</w:t>
    </w:r>
    <w:r>
      <w:rPr>
        <w:spacing w:val="-13"/>
        <w:sz w:val="18"/>
        <w:szCs w:val="18"/>
      </w:rPr>
      <w:t xml:space="preserve"> </w:t>
    </w:r>
    <w:r>
      <w:rPr>
        <w:b/>
        <w:bCs/>
        <w:spacing w:val="-13"/>
        <w:sz w:val="18"/>
        <w:szCs w:val="18"/>
      </w:rPr>
      <w:t>页</w: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62AACB">
    <w:pPr>
      <w:spacing w:after="13" w:line="454" w:lineRule="exact"/>
    </w:pPr>
  </w:p>
  <w:p w14:paraId="3EB0AB90">
    <w:pPr>
      <w:pStyle w:val="2"/>
      <w:spacing w:line="207" w:lineRule="auto"/>
      <w:ind w:left="5106"/>
      <w:rPr>
        <w:sz w:val="18"/>
        <w:szCs w:val="18"/>
      </w:rPr>
    </w:pPr>
    <w:r>
      <w:rPr>
        <w:b/>
        <w:bCs/>
        <w:spacing w:val="-13"/>
        <w:sz w:val="18"/>
        <w:szCs w:val="18"/>
      </w:rPr>
      <w:t>第</w:t>
    </w:r>
    <w:r>
      <w:rPr>
        <w:spacing w:val="-28"/>
        <w:sz w:val="18"/>
        <w:szCs w:val="18"/>
      </w:rPr>
      <w:t xml:space="preserve"> </w:t>
    </w:r>
    <w:r>
      <w:rPr>
        <w:b/>
        <w:bCs/>
        <w:spacing w:val="-13"/>
        <w:sz w:val="18"/>
        <w:szCs w:val="18"/>
      </w:rPr>
      <w:t>60</w:t>
    </w:r>
    <w:r>
      <w:rPr>
        <w:spacing w:val="-13"/>
        <w:sz w:val="18"/>
        <w:szCs w:val="18"/>
      </w:rPr>
      <w:t xml:space="preserve"> </w:t>
    </w:r>
    <w:r>
      <w:rPr>
        <w:b/>
        <w:bCs/>
        <w:spacing w:val="-13"/>
        <w:sz w:val="18"/>
        <w:szCs w:val="18"/>
      </w:rPr>
      <w:t>页</w:t>
    </w:r>
    <w:r>
      <w:rPr>
        <w:spacing w:val="-28"/>
        <w:sz w:val="18"/>
        <w:szCs w:val="18"/>
      </w:rPr>
      <w:t xml:space="preserve"> </w:t>
    </w:r>
    <w:r>
      <w:rPr>
        <w:b/>
        <w:bCs/>
        <w:spacing w:val="-13"/>
        <w:sz w:val="18"/>
        <w:szCs w:val="18"/>
      </w:rPr>
      <w:t>共</w:t>
    </w:r>
    <w:r>
      <w:rPr>
        <w:spacing w:val="-38"/>
        <w:sz w:val="18"/>
        <w:szCs w:val="18"/>
      </w:rPr>
      <w:t xml:space="preserve"> </w:t>
    </w:r>
    <w:r>
      <w:rPr>
        <w:b/>
        <w:bCs/>
        <w:spacing w:val="-13"/>
        <w:sz w:val="18"/>
        <w:szCs w:val="18"/>
      </w:rPr>
      <w:t>499</w:t>
    </w:r>
    <w:r>
      <w:rPr>
        <w:spacing w:val="-13"/>
        <w:sz w:val="18"/>
        <w:szCs w:val="18"/>
      </w:rPr>
      <w:t xml:space="preserve"> </w:t>
    </w:r>
    <w:r>
      <w:rPr>
        <w:b/>
        <w:bCs/>
        <w:spacing w:val="-13"/>
        <w:sz w:val="18"/>
        <w:szCs w:val="18"/>
      </w:rPr>
      <w:t>页</w:t>
    </w:r>
  </w:p>
</w:ftr>
</file>

<file path=word/footer3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B9DD7A">
    <w:pPr>
      <w:spacing w:after="13" w:line="454" w:lineRule="exact"/>
    </w:pPr>
  </w:p>
  <w:p w14:paraId="6FBC420B">
    <w:pPr>
      <w:pStyle w:val="2"/>
      <w:spacing w:line="207" w:lineRule="auto"/>
      <w:ind w:left="5067"/>
      <w:rPr>
        <w:sz w:val="18"/>
        <w:szCs w:val="18"/>
      </w:rPr>
    </w:pPr>
    <w:r>
      <w:rPr>
        <w:b/>
        <w:bCs/>
        <w:spacing w:val="-13"/>
        <w:sz w:val="18"/>
        <w:szCs w:val="18"/>
      </w:rPr>
      <w:t>第</w:t>
    </w:r>
    <w:r>
      <w:rPr>
        <w:spacing w:val="-28"/>
        <w:sz w:val="18"/>
        <w:szCs w:val="18"/>
      </w:rPr>
      <w:t xml:space="preserve"> </w:t>
    </w:r>
    <w:r>
      <w:rPr>
        <w:b/>
        <w:bCs/>
        <w:spacing w:val="-13"/>
        <w:sz w:val="18"/>
        <w:szCs w:val="18"/>
      </w:rPr>
      <w:t>381</w:t>
    </w:r>
    <w:r>
      <w:rPr>
        <w:spacing w:val="-13"/>
        <w:sz w:val="18"/>
        <w:szCs w:val="18"/>
      </w:rPr>
      <w:t xml:space="preserve"> </w:t>
    </w:r>
    <w:r>
      <w:rPr>
        <w:b/>
        <w:bCs/>
        <w:spacing w:val="-13"/>
        <w:sz w:val="18"/>
        <w:szCs w:val="18"/>
      </w:rPr>
      <w:t>页</w:t>
    </w:r>
    <w:r>
      <w:rPr>
        <w:spacing w:val="-27"/>
        <w:sz w:val="18"/>
        <w:szCs w:val="18"/>
      </w:rPr>
      <w:t xml:space="preserve"> </w:t>
    </w:r>
    <w:r>
      <w:rPr>
        <w:b/>
        <w:bCs/>
        <w:spacing w:val="-13"/>
        <w:sz w:val="18"/>
        <w:szCs w:val="18"/>
      </w:rPr>
      <w:t>共</w:t>
    </w:r>
    <w:r>
      <w:rPr>
        <w:spacing w:val="-39"/>
        <w:sz w:val="18"/>
        <w:szCs w:val="18"/>
      </w:rPr>
      <w:t xml:space="preserve"> </w:t>
    </w:r>
    <w:r>
      <w:rPr>
        <w:b/>
        <w:bCs/>
        <w:spacing w:val="-13"/>
        <w:sz w:val="18"/>
        <w:szCs w:val="18"/>
      </w:rPr>
      <w:t>499</w:t>
    </w:r>
    <w:r>
      <w:rPr>
        <w:spacing w:val="-13"/>
        <w:sz w:val="18"/>
        <w:szCs w:val="18"/>
      </w:rPr>
      <w:t xml:space="preserve"> </w:t>
    </w:r>
    <w:r>
      <w:rPr>
        <w:b/>
        <w:bCs/>
        <w:spacing w:val="-13"/>
        <w:sz w:val="18"/>
        <w:szCs w:val="18"/>
      </w:rPr>
      <w:t>页</w:t>
    </w:r>
  </w:p>
</w:ftr>
</file>

<file path=word/footer3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80BBEA">
    <w:pPr>
      <w:spacing w:after="13" w:line="454" w:lineRule="exact"/>
    </w:pPr>
  </w:p>
  <w:p w14:paraId="65266D2B">
    <w:pPr>
      <w:pStyle w:val="2"/>
      <w:spacing w:line="207" w:lineRule="auto"/>
      <w:ind w:left="5067"/>
      <w:rPr>
        <w:sz w:val="18"/>
        <w:szCs w:val="18"/>
      </w:rPr>
    </w:pPr>
    <w:r>
      <w:rPr>
        <w:b/>
        <w:bCs/>
        <w:spacing w:val="-13"/>
        <w:sz w:val="18"/>
        <w:szCs w:val="18"/>
      </w:rPr>
      <w:t>第</w:t>
    </w:r>
    <w:r>
      <w:rPr>
        <w:spacing w:val="-28"/>
        <w:sz w:val="18"/>
        <w:szCs w:val="18"/>
      </w:rPr>
      <w:t xml:space="preserve"> </w:t>
    </w:r>
    <w:r>
      <w:rPr>
        <w:b/>
        <w:bCs/>
        <w:spacing w:val="-13"/>
        <w:sz w:val="18"/>
        <w:szCs w:val="18"/>
      </w:rPr>
      <w:t>382</w:t>
    </w:r>
    <w:r>
      <w:rPr>
        <w:spacing w:val="-13"/>
        <w:sz w:val="18"/>
        <w:szCs w:val="18"/>
      </w:rPr>
      <w:t xml:space="preserve"> </w:t>
    </w:r>
    <w:r>
      <w:rPr>
        <w:b/>
        <w:bCs/>
        <w:spacing w:val="-13"/>
        <w:sz w:val="18"/>
        <w:szCs w:val="18"/>
      </w:rPr>
      <w:t>页</w:t>
    </w:r>
    <w:r>
      <w:rPr>
        <w:spacing w:val="-27"/>
        <w:sz w:val="18"/>
        <w:szCs w:val="18"/>
      </w:rPr>
      <w:t xml:space="preserve"> </w:t>
    </w:r>
    <w:r>
      <w:rPr>
        <w:b/>
        <w:bCs/>
        <w:spacing w:val="-13"/>
        <w:sz w:val="18"/>
        <w:szCs w:val="18"/>
      </w:rPr>
      <w:t>共</w:t>
    </w:r>
    <w:r>
      <w:rPr>
        <w:spacing w:val="-39"/>
        <w:sz w:val="18"/>
        <w:szCs w:val="18"/>
      </w:rPr>
      <w:t xml:space="preserve"> </w:t>
    </w:r>
    <w:r>
      <w:rPr>
        <w:b/>
        <w:bCs/>
        <w:spacing w:val="-13"/>
        <w:sz w:val="18"/>
        <w:szCs w:val="18"/>
      </w:rPr>
      <w:t>499</w:t>
    </w:r>
    <w:r>
      <w:rPr>
        <w:spacing w:val="-13"/>
        <w:sz w:val="18"/>
        <w:szCs w:val="18"/>
      </w:rPr>
      <w:t xml:space="preserve"> </w:t>
    </w:r>
    <w:r>
      <w:rPr>
        <w:b/>
        <w:bCs/>
        <w:spacing w:val="-13"/>
        <w:sz w:val="18"/>
        <w:szCs w:val="18"/>
      </w:rPr>
      <w:t>页</w:t>
    </w:r>
  </w:p>
</w:ftr>
</file>

<file path=word/footer3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EDCAF9">
    <w:pPr>
      <w:spacing w:after="13" w:line="454" w:lineRule="exact"/>
    </w:pPr>
  </w:p>
  <w:p w14:paraId="2907698B">
    <w:pPr>
      <w:pStyle w:val="2"/>
      <w:spacing w:line="207" w:lineRule="auto"/>
      <w:ind w:left="5067"/>
      <w:rPr>
        <w:sz w:val="18"/>
        <w:szCs w:val="18"/>
      </w:rPr>
    </w:pPr>
    <w:r>
      <w:rPr>
        <w:b/>
        <w:bCs/>
        <w:spacing w:val="-13"/>
        <w:sz w:val="18"/>
        <w:szCs w:val="18"/>
      </w:rPr>
      <w:t>第</w:t>
    </w:r>
    <w:r>
      <w:rPr>
        <w:spacing w:val="-28"/>
        <w:sz w:val="18"/>
        <w:szCs w:val="18"/>
      </w:rPr>
      <w:t xml:space="preserve"> </w:t>
    </w:r>
    <w:r>
      <w:rPr>
        <w:b/>
        <w:bCs/>
        <w:spacing w:val="-13"/>
        <w:sz w:val="18"/>
        <w:szCs w:val="18"/>
      </w:rPr>
      <w:t>383</w:t>
    </w:r>
    <w:r>
      <w:rPr>
        <w:spacing w:val="-13"/>
        <w:sz w:val="18"/>
        <w:szCs w:val="18"/>
      </w:rPr>
      <w:t xml:space="preserve"> </w:t>
    </w:r>
    <w:r>
      <w:rPr>
        <w:b/>
        <w:bCs/>
        <w:spacing w:val="-13"/>
        <w:sz w:val="18"/>
        <w:szCs w:val="18"/>
      </w:rPr>
      <w:t>页</w:t>
    </w:r>
    <w:r>
      <w:rPr>
        <w:spacing w:val="-27"/>
        <w:sz w:val="18"/>
        <w:szCs w:val="18"/>
      </w:rPr>
      <w:t xml:space="preserve"> </w:t>
    </w:r>
    <w:r>
      <w:rPr>
        <w:b/>
        <w:bCs/>
        <w:spacing w:val="-13"/>
        <w:sz w:val="18"/>
        <w:szCs w:val="18"/>
      </w:rPr>
      <w:t>共</w:t>
    </w:r>
    <w:r>
      <w:rPr>
        <w:spacing w:val="-39"/>
        <w:sz w:val="18"/>
        <w:szCs w:val="18"/>
      </w:rPr>
      <w:t xml:space="preserve"> </w:t>
    </w:r>
    <w:r>
      <w:rPr>
        <w:b/>
        <w:bCs/>
        <w:spacing w:val="-13"/>
        <w:sz w:val="18"/>
        <w:szCs w:val="18"/>
      </w:rPr>
      <w:t>499</w:t>
    </w:r>
    <w:r>
      <w:rPr>
        <w:spacing w:val="-13"/>
        <w:sz w:val="18"/>
        <w:szCs w:val="18"/>
      </w:rPr>
      <w:t xml:space="preserve"> </w:t>
    </w:r>
    <w:r>
      <w:rPr>
        <w:b/>
        <w:bCs/>
        <w:spacing w:val="-13"/>
        <w:sz w:val="18"/>
        <w:szCs w:val="18"/>
      </w:rPr>
      <w:t>页</w:t>
    </w:r>
  </w:p>
</w:ftr>
</file>

<file path=word/footer3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3678D4">
    <w:pPr>
      <w:spacing w:after="13" w:line="454" w:lineRule="exact"/>
    </w:pPr>
  </w:p>
  <w:p w14:paraId="3A0538B9">
    <w:pPr>
      <w:pStyle w:val="2"/>
      <w:spacing w:line="207" w:lineRule="auto"/>
      <w:ind w:left="5067"/>
      <w:rPr>
        <w:sz w:val="18"/>
        <w:szCs w:val="18"/>
      </w:rPr>
    </w:pPr>
    <w:r>
      <w:rPr>
        <w:b/>
        <w:bCs/>
        <w:spacing w:val="-13"/>
        <w:sz w:val="18"/>
        <w:szCs w:val="18"/>
      </w:rPr>
      <w:t>第</w:t>
    </w:r>
    <w:r>
      <w:rPr>
        <w:spacing w:val="-28"/>
        <w:sz w:val="18"/>
        <w:szCs w:val="18"/>
      </w:rPr>
      <w:t xml:space="preserve"> </w:t>
    </w:r>
    <w:r>
      <w:rPr>
        <w:b/>
        <w:bCs/>
        <w:spacing w:val="-13"/>
        <w:sz w:val="18"/>
        <w:szCs w:val="18"/>
      </w:rPr>
      <w:t>384</w:t>
    </w:r>
    <w:r>
      <w:rPr>
        <w:spacing w:val="-13"/>
        <w:sz w:val="18"/>
        <w:szCs w:val="18"/>
      </w:rPr>
      <w:t xml:space="preserve"> </w:t>
    </w:r>
    <w:r>
      <w:rPr>
        <w:b/>
        <w:bCs/>
        <w:spacing w:val="-13"/>
        <w:sz w:val="18"/>
        <w:szCs w:val="18"/>
      </w:rPr>
      <w:t>页</w:t>
    </w:r>
    <w:r>
      <w:rPr>
        <w:spacing w:val="-27"/>
        <w:sz w:val="18"/>
        <w:szCs w:val="18"/>
      </w:rPr>
      <w:t xml:space="preserve"> </w:t>
    </w:r>
    <w:r>
      <w:rPr>
        <w:b/>
        <w:bCs/>
        <w:spacing w:val="-13"/>
        <w:sz w:val="18"/>
        <w:szCs w:val="18"/>
      </w:rPr>
      <w:t>共</w:t>
    </w:r>
    <w:r>
      <w:rPr>
        <w:spacing w:val="-39"/>
        <w:sz w:val="18"/>
        <w:szCs w:val="18"/>
      </w:rPr>
      <w:t xml:space="preserve"> </w:t>
    </w:r>
    <w:r>
      <w:rPr>
        <w:b/>
        <w:bCs/>
        <w:spacing w:val="-13"/>
        <w:sz w:val="18"/>
        <w:szCs w:val="18"/>
      </w:rPr>
      <w:t>499</w:t>
    </w:r>
    <w:r>
      <w:rPr>
        <w:spacing w:val="-13"/>
        <w:sz w:val="18"/>
        <w:szCs w:val="18"/>
      </w:rPr>
      <w:t xml:space="preserve"> </w:t>
    </w:r>
    <w:r>
      <w:rPr>
        <w:b/>
        <w:bCs/>
        <w:spacing w:val="-13"/>
        <w:sz w:val="18"/>
        <w:szCs w:val="18"/>
      </w:rPr>
      <w:t>页</w:t>
    </w:r>
  </w:p>
</w:ftr>
</file>

<file path=word/footer3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B0DB8F">
    <w:pPr>
      <w:spacing w:after="13" w:line="454" w:lineRule="exact"/>
    </w:pPr>
  </w:p>
  <w:p w14:paraId="0F33670F">
    <w:pPr>
      <w:pStyle w:val="2"/>
      <w:spacing w:line="207" w:lineRule="auto"/>
      <w:ind w:left="5067"/>
      <w:rPr>
        <w:sz w:val="18"/>
        <w:szCs w:val="18"/>
      </w:rPr>
    </w:pPr>
    <w:r>
      <w:rPr>
        <w:b/>
        <w:bCs/>
        <w:spacing w:val="-13"/>
        <w:sz w:val="18"/>
        <w:szCs w:val="18"/>
      </w:rPr>
      <w:t>第</w:t>
    </w:r>
    <w:r>
      <w:rPr>
        <w:spacing w:val="-28"/>
        <w:sz w:val="18"/>
        <w:szCs w:val="18"/>
      </w:rPr>
      <w:t xml:space="preserve"> </w:t>
    </w:r>
    <w:r>
      <w:rPr>
        <w:b/>
        <w:bCs/>
        <w:spacing w:val="-13"/>
        <w:sz w:val="18"/>
        <w:szCs w:val="18"/>
      </w:rPr>
      <w:t>385</w:t>
    </w:r>
    <w:r>
      <w:rPr>
        <w:spacing w:val="-13"/>
        <w:sz w:val="18"/>
        <w:szCs w:val="18"/>
      </w:rPr>
      <w:t xml:space="preserve"> </w:t>
    </w:r>
    <w:r>
      <w:rPr>
        <w:b/>
        <w:bCs/>
        <w:spacing w:val="-13"/>
        <w:sz w:val="18"/>
        <w:szCs w:val="18"/>
      </w:rPr>
      <w:t>页</w:t>
    </w:r>
    <w:r>
      <w:rPr>
        <w:spacing w:val="-27"/>
        <w:sz w:val="18"/>
        <w:szCs w:val="18"/>
      </w:rPr>
      <w:t xml:space="preserve"> </w:t>
    </w:r>
    <w:r>
      <w:rPr>
        <w:b/>
        <w:bCs/>
        <w:spacing w:val="-13"/>
        <w:sz w:val="18"/>
        <w:szCs w:val="18"/>
      </w:rPr>
      <w:t>共</w:t>
    </w:r>
    <w:r>
      <w:rPr>
        <w:spacing w:val="-39"/>
        <w:sz w:val="18"/>
        <w:szCs w:val="18"/>
      </w:rPr>
      <w:t xml:space="preserve"> </w:t>
    </w:r>
    <w:r>
      <w:rPr>
        <w:b/>
        <w:bCs/>
        <w:spacing w:val="-13"/>
        <w:sz w:val="18"/>
        <w:szCs w:val="18"/>
      </w:rPr>
      <w:t>499</w:t>
    </w:r>
    <w:r>
      <w:rPr>
        <w:spacing w:val="-13"/>
        <w:sz w:val="18"/>
        <w:szCs w:val="18"/>
      </w:rPr>
      <w:t xml:space="preserve"> </w:t>
    </w:r>
    <w:r>
      <w:rPr>
        <w:b/>
        <w:bCs/>
        <w:spacing w:val="-13"/>
        <w:sz w:val="18"/>
        <w:szCs w:val="18"/>
      </w:rPr>
      <w:t>页</w:t>
    </w:r>
  </w:p>
</w:ftr>
</file>

<file path=word/footer3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29AC8E">
    <w:pPr>
      <w:spacing w:after="13" w:line="454" w:lineRule="exact"/>
    </w:pPr>
  </w:p>
  <w:p w14:paraId="3959EBFC">
    <w:pPr>
      <w:pStyle w:val="2"/>
      <w:spacing w:line="207" w:lineRule="auto"/>
      <w:ind w:left="5067"/>
      <w:rPr>
        <w:sz w:val="18"/>
        <w:szCs w:val="18"/>
      </w:rPr>
    </w:pPr>
    <w:r>
      <w:rPr>
        <w:b/>
        <w:bCs/>
        <w:spacing w:val="-13"/>
        <w:sz w:val="18"/>
        <w:szCs w:val="18"/>
      </w:rPr>
      <w:t>第</w:t>
    </w:r>
    <w:r>
      <w:rPr>
        <w:spacing w:val="-28"/>
        <w:sz w:val="18"/>
        <w:szCs w:val="18"/>
      </w:rPr>
      <w:t xml:space="preserve"> </w:t>
    </w:r>
    <w:r>
      <w:rPr>
        <w:b/>
        <w:bCs/>
        <w:spacing w:val="-13"/>
        <w:sz w:val="18"/>
        <w:szCs w:val="18"/>
      </w:rPr>
      <w:t>386</w:t>
    </w:r>
    <w:r>
      <w:rPr>
        <w:spacing w:val="-13"/>
        <w:sz w:val="18"/>
        <w:szCs w:val="18"/>
      </w:rPr>
      <w:t xml:space="preserve"> </w:t>
    </w:r>
    <w:r>
      <w:rPr>
        <w:b/>
        <w:bCs/>
        <w:spacing w:val="-13"/>
        <w:sz w:val="18"/>
        <w:szCs w:val="18"/>
      </w:rPr>
      <w:t>页</w:t>
    </w:r>
    <w:r>
      <w:rPr>
        <w:spacing w:val="-27"/>
        <w:sz w:val="18"/>
        <w:szCs w:val="18"/>
      </w:rPr>
      <w:t xml:space="preserve"> </w:t>
    </w:r>
    <w:r>
      <w:rPr>
        <w:b/>
        <w:bCs/>
        <w:spacing w:val="-13"/>
        <w:sz w:val="18"/>
        <w:szCs w:val="18"/>
      </w:rPr>
      <w:t>共</w:t>
    </w:r>
    <w:r>
      <w:rPr>
        <w:spacing w:val="-39"/>
        <w:sz w:val="18"/>
        <w:szCs w:val="18"/>
      </w:rPr>
      <w:t xml:space="preserve"> </w:t>
    </w:r>
    <w:r>
      <w:rPr>
        <w:b/>
        <w:bCs/>
        <w:spacing w:val="-13"/>
        <w:sz w:val="18"/>
        <w:szCs w:val="18"/>
      </w:rPr>
      <w:t>499</w:t>
    </w:r>
    <w:r>
      <w:rPr>
        <w:spacing w:val="-13"/>
        <w:sz w:val="18"/>
        <w:szCs w:val="18"/>
      </w:rPr>
      <w:t xml:space="preserve"> </w:t>
    </w:r>
    <w:r>
      <w:rPr>
        <w:b/>
        <w:bCs/>
        <w:spacing w:val="-13"/>
        <w:sz w:val="18"/>
        <w:szCs w:val="18"/>
      </w:rPr>
      <w:t>页</w:t>
    </w:r>
  </w:p>
</w:ftr>
</file>

<file path=word/footer3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DA6573">
    <w:pPr>
      <w:spacing w:after="13" w:line="454" w:lineRule="exact"/>
    </w:pPr>
  </w:p>
  <w:p w14:paraId="004658EB">
    <w:pPr>
      <w:pStyle w:val="2"/>
      <w:spacing w:line="207" w:lineRule="auto"/>
      <w:ind w:left="5067"/>
      <w:rPr>
        <w:sz w:val="18"/>
        <w:szCs w:val="18"/>
      </w:rPr>
    </w:pPr>
    <w:r>
      <w:rPr>
        <w:b/>
        <w:bCs/>
        <w:spacing w:val="-13"/>
        <w:sz w:val="18"/>
        <w:szCs w:val="18"/>
      </w:rPr>
      <w:t>第</w:t>
    </w:r>
    <w:r>
      <w:rPr>
        <w:spacing w:val="-28"/>
        <w:sz w:val="18"/>
        <w:szCs w:val="18"/>
      </w:rPr>
      <w:t xml:space="preserve"> </w:t>
    </w:r>
    <w:r>
      <w:rPr>
        <w:b/>
        <w:bCs/>
        <w:spacing w:val="-13"/>
        <w:sz w:val="18"/>
        <w:szCs w:val="18"/>
      </w:rPr>
      <w:t>387</w:t>
    </w:r>
    <w:r>
      <w:rPr>
        <w:spacing w:val="-13"/>
        <w:sz w:val="18"/>
        <w:szCs w:val="18"/>
      </w:rPr>
      <w:t xml:space="preserve"> </w:t>
    </w:r>
    <w:r>
      <w:rPr>
        <w:b/>
        <w:bCs/>
        <w:spacing w:val="-13"/>
        <w:sz w:val="18"/>
        <w:szCs w:val="18"/>
      </w:rPr>
      <w:t>页</w:t>
    </w:r>
    <w:r>
      <w:rPr>
        <w:spacing w:val="-27"/>
        <w:sz w:val="18"/>
        <w:szCs w:val="18"/>
      </w:rPr>
      <w:t xml:space="preserve"> </w:t>
    </w:r>
    <w:r>
      <w:rPr>
        <w:b/>
        <w:bCs/>
        <w:spacing w:val="-13"/>
        <w:sz w:val="18"/>
        <w:szCs w:val="18"/>
      </w:rPr>
      <w:t>共</w:t>
    </w:r>
    <w:r>
      <w:rPr>
        <w:spacing w:val="-39"/>
        <w:sz w:val="18"/>
        <w:szCs w:val="18"/>
      </w:rPr>
      <w:t xml:space="preserve"> </w:t>
    </w:r>
    <w:r>
      <w:rPr>
        <w:b/>
        <w:bCs/>
        <w:spacing w:val="-13"/>
        <w:sz w:val="18"/>
        <w:szCs w:val="18"/>
      </w:rPr>
      <w:t>499</w:t>
    </w:r>
    <w:r>
      <w:rPr>
        <w:spacing w:val="-13"/>
        <w:sz w:val="18"/>
        <w:szCs w:val="18"/>
      </w:rPr>
      <w:t xml:space="preserve"> </w:t>
    </w:r>
    <w:r>
      <w:rPr>
        <w:b/>
        <w:bCs/>
        <w:spacing w:val="-13"/>
        <w:sz w:val="18"/>
        <w:szCs w:val="18"/>
      </w:rPr>
      <w:t>页</w:t>
    </w:r>
  </w:p>
</w:ftr>
</file>

<file path=word/footer3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9F89B5">
    <w:pPr>
      <w:spacing w:after="13" w:line="454" w:lineRule="exact"/>
    </w:pPr>
  </w:p>
  <w:p w14:paraId="63560E12">
    <w:pPr>
      <w:pStyle w:val="2"/>
      <w:spacing w:line="207" w:lineRule="auto"/>
      <w:ind w:left="5067"/>
      <w:rPr>
        <w:sz w:val="18"/>
        <w:szCs w:val="18"/>
      </w:rPr>
    </w:pPr>
    <w:r>
      <w:rPr>
        <w:b/>
        <w:bCs/>
        <w:spacing w:val="-13"/>
        <w:sz w:val="18"/>
        <w:szCs w:val="18"/>
      </w:rPr>
      <w:t>第</w:t>
    </w:r>
    <w:r>
      <w:rPr>
        <w:spacing w:val="-28"/>
        <w:sz w:val="18"/>
        <w:szCs w:val="18"/>
      </w:rPr>
      <w:t xml:space="preserve"> </w:t>
    </w:r>
    <w:r>
      <w:rPr>
        <w:b/>
        <w:bCs/>
        <w:spacing w:val="-13"/>
        <w:sz w:val="18"/>
        <w:szCs w:val="18"/>
      </w:rPr>
      <w:t>388</w:t>
    </w:r>
    <w:r>
      <w:rPr>
        <w:spacing w:val="-13"/>
        <w:sz w:val="18"/>
        <w:szCs w:val="18"/>
      </w:rPr>
      <w:t xml:space="preserve"> </w:t>
    </w:r>
    <w:r>
      <w:rPr>
        <w:b/>
        <w:bCs/>
        <w:spacing w:val="-13"/>
        <w:sz w:val="18"/>
        <w:szCs w:val="18"/>
      </w:rPr>
      <w:t>页</w:t>
    </w:r>
    <w:r>
      <w:rPr>
        <w:spacing w:val="-27"/>
        <w:sz w:val="18"/>
        <w:szCs w:val="18"/>
      </w:rPr>
      <w:t xml:space="preserve"> </w:t>
    </w:r>
    <w:r>
      <w:rPr>
        <w:b/>
        <w:bCs/>
        <w:spacing w:val="-13"/>
        <w:sz w:val="18"/>
        <w:szCs w:val="18"/>
      </w:rPr>
      <w:t>共</w:t>
    </w:r>
    <w:r>
      <w:rPr>
        <w:spacing w:val="-39"/>
        <w:sz w:val="18"/>
        <w:szCs w:val="18"/>
      </w:rPr>
      <w:t xml:space="preserve"> </w:t>
    </w:r>
    <w:r>
      <w:rPr>
        <w:b/>
        <w:bCs/>
        <w:spacing w:val="-13"/>
        <w:sz w:val="18"/>
        <w:szCs w:val="18"/>
      </w:rPr>
      <w:t>499</w:t>
    </w:r>
    <w:r>
      <w:rPr>
        <w:spacing w:val="-13"/>
        <w:sz w:val="18"/>
        <w:szCs w:val="18"/>
      </w:rPr>
      <w:t xml:space="preserve"> </w:t>
    </w:r>
    <w:r>
      <w:rPr>
        <w:b/>
        <w:bCs/>
        <w:spacing w:val="-13"/>
        <w:sz w:val="18"/>
        <w:szCs w:val="18"/>
      </w:rPr>
      <w:t>页</w:t>
    </w:r>
  </w:p>
</w:ftr>
</file>

<file path=word/footer3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591DB1">
    <w:pPr>
      <w:spacing w:after="13" w:line="454" w:lineRule="exact"/>
    </w:pPr>
  </w:p>
  <w:p w14:paraId="7CFC20D1">
    <w:pPr>
      <w:pStyle w:val="2"/>
      <w:spacing w:line="207" w:lineRule="auto"/>
      <w:ind w:left="5067"/>
      <w:rPr>
        <w:sz w:val="18"/>
        <w:szCs w:val="18"/>
      </w:rPr>
    </w:pPr>
    <w:r>
      <w:rPr>
        <w:b/>
        <w:bCs/>
        <w:spacing w:val="-13"/>
        <w:sz w:val="18"/>
        <w:szCs w:val="18"/>
      </w:rPr>
      <w:t>第</w:t>
    </w:r>
    <w:r>
      <w:rPr>
        <w:spacing w:val="-28"/>
        <w:sz w:val="18"/>
        <w:szCs w:val="18"/>
      </w:rPr>
      <w:t xml:space="preserve"> </w:t>
    </w:r>
    <w:r>
      <w:rPr>
        <w:b/>
        <w:bCs/>
        <w:spacing w:val="-13"/>
        <w:sz w:val="18"/>
        <w:szCs w:val="18"/>
      </w:rPr>
      <w:t>389</w:t>
    </w:r>
    <w:r>
      <w:rPr>
        <w:spacing w:val="-13"/>
        <w:sz w:val="18"/>
        <w:szCs w:val="18"/>
      </w:rPr>
      <w:t xml:space="preserve"> </w:t>
    </w:r>
    <w:r>
      <w:rPr>
        <w:b/>
        <w:bCs/>
        <w:spacing w:val="-13"/>
        <w:sz w:val="18"/>
        <w:szCs w:val="18"/>
      </w:rPr>
      <w:t>页</w:t>
    </w:r>
    <w:r>
      <w:rPr>
        <w:spacing w:val="-27"/>
        <w:sz w:val="18"/>
        <w:szCs w:val="18"/>
      </w:rPr>
      <w:t xml:space="preserve"> </w:t>
    </w:r>
    <w:r>
      <w:rPr>
        <w:b/>
        <w:bCs/>
        <w:spacing w:val="-13"/>
        <w:sz w:val="18"/>
        <w:szCs w:val="18"/>
      </w:rPr>
      <w:t>共</w:t>
    </w:r>
    <w:r>
      <w:rPr>
        <w:spacing w:val="-39"/>
        <w:sz w:val="18"/>
        <w:szCs w:val="18"/>
      </w:rPr>
      <w:t xml:space="preserve"> </w:t>
    </w:r>
    <w:r>
      <w:rPr>
        <w:b/>
        <w:bCs/>
        <w:spacing w:val="-13"/>
        <w:sz w:val="18"/>
        <w:szCs w:val="18"/>
      </w:rPr>
      <w:t>499</w:t>
    </w:r>
    <w:r>
      <w:rPr>
        <w:spacing w:val="-13"/>
        <w:sz w:val="18"/>
        <w:szCs w:val="18"/>
      </w:rPr>
      <w:t xml:space="preserve"> </w:t>
    </w:r>
    <w:r>
      <w:rPr>
        <w:b/>
        <w:bCs/>
        <w:spacing w:val="-13"/>
        <w:sz w:val="18"/>
        <w:szCs w:val="18"/>
      </w:rPr>
      <w:t>页</w:t>
    </w:r>
  </w:p>
</w:ftr>
</file>

<file path=word/footer3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4F8EE5">
    <w:pPr>
      <w:spacing w:after="13" w:line="454" w:lineRule="exact"/>
    </w:pPr>
  </w:p>
  <w:p w14:paraId="6E537473">
    <w:pPr>
      <w:pStyle w:val="2"/>
      <w:spacing w:line="207" w:lineRule="auto"/>
      <w:ind w:left="5067"/>
      <w:rPr>
        <w:sz w:val="18"/>
        <w:szCs w:val="18"/>
      </w:rPr>
    </w:pPr>
    <w:r>
      <w:rPr>
        <w:b/>
        <w:bCs/>
        <w:spacing w:val="-13"/>
        <w:sz w:val="18"/>
        <w:szCs w:val="18"/>
      </w:rPr>
      <w:t>第</w:t>
    </w:r>
    <w:r>
      <w:rPr>
        <w:spacing w:val="-28"/>
        <w:sz w:val="18"/>
        <w:szCs w:val="18"/>
      </w:rPr>
      <w:t xml:space="preserve"> </w:t>
    </w:r>
    <w:r>
      <w:rPr>
        <w:b/>
        <w:bCs/>
        <w:spacing w:val="-13"/>
        <w:sz w:val="18"/>
        <w:szCs w:val="18"/>
      </w:rPr>
      <w:t>390</w:t>
    </w:r>
    <w:r>
      <w:rPr>
        <w:spacing w:val="-13"/>
        <w:sz w:val="18"/>
        <w:szCs w:val="18"/>
      </w:rPr>
      <w:t xml:space="preserve"> </w:t>
    </w:r>
    <w:r>
      <w:rPr>
        <w:b/>
        <w:bCs/>
        <w:spacing w:val="-13"/>
        <w:sz w:val="18"/>
        <w:szCs w:val="18"/>
      </w:rPr>
      <w:t>页</w:t>
    </w:r>
    <w:r>
      <w:rPr>
        <w:spacing w:val="-27"/>
        <w:sz w:val="18"/>
        <w:szCs w:val="18"/>
      </w:rPr>
      <w:t xml:space="preserve"> </w:t>
    </w:r>
    <w:r>
      <w:rPr>
        <w:b/>
        <w:bCs/>
        <w:spacing w:val="-13"/>
        <w:sz w:val="18"/>
        <w:szCs w:val="18"/>
      </w:rPr>
      <w:t>共</w:t>
    </w:r>
    <w:r>
      <w:rPr>
        <w:spacing w:val="-39"/>
        <w:sz w:val="18"/>
        <w:szCs w:val="18"/>
      </w:rPr>
      <w:t xml:space="preserve"> </w:t>
    </w:r>
    <w:r>
      <w:rPr>
        <w:b/>
        <w:bCs/>
        <w:spacing w:val="-13"/>
        <w:sz w:val="18"/>
        <w:szCs w:val="18"/>
      </w:rPr>
      <w:t>499</w:t>
    </w:r>
    <w:r>
      <w:rPr>
        <w:spacing w:val="-13"/>
        <w:sz w:val="18"/>
        <w:szCs w:val="18"/>
      </w:rPr>
      <w:t xml:space="preserve"> </w:t>
    </w:r>
    <w:r>
      <w:rPr>
        <w:b/>
        <w:bCs/>
        <w:spacing w:val="-13"/>
        <w:sz w:val="18"/>
        <w:szCs w:val="18"/>
      </w:rPr>
      <w:t>页</w: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D5EFC4">
    <w:pPr>
      <w:spacing w:after="13" w:line="454" w:lineRule="exact"/>
    </w:pPr>
  </w:p>
  <w:p w14:paraId="1DE75EDF">
    <w:pPr>
      <w:pStyle w:val="2"/>
      <w:spacing w:line="207" w:lineRule="auto"/>
      <w:ind w:left="5106"/>
      <w:rPr>
        <w:sz w:val="18"/>
        <w:szCs w:val="18"/>
      </w:rPr>
    </w:pPr>
    <w:r>
      <w:rPr>
        <w:b/>
        <w:bCs/>
        <w:spacing w:val="-13"/>
        <w:sz w:val="18"/>
        <w:szCs w:val="18"/>
      </w:rPr>
      <w:t>第</w:t>
    </w:r>
    <w:r>
      <w:rPr>
        <w:spacing w:val="-28"/>
        <w:sz w:val="18"/>
        <w:szCs w:val="18"/>
      </w:rPr>
      <w:t xml:space="preserve"> </w:t>
    </w:r>
    <w:r>
      <w:rPr>
        <w:b/>
        <w:bCs/>
        <w:spacing w:val="-13"/>
        <w:sz w:val="18"/>
        <w:szCs w:val="18"/>
      </w:rPr>
      <w:t>61</w:t>
    </w:r>
    <w:r>
      <w:rPr>
        <w:spacing w:val="-13"/>
        <w:sz w:val="18"/>
        <w:szCs w:val="18"/>
      </w:rPr>
      <w:t xml:space="preserve"> </w:t>
    </w:r>
    <w:r>
      <w:rPr>
        <w:b/>
        <w:bCs/>
        <w:spacing w:val="-13"/>
        <w:sz w:val="18"/>
        <w:szCs w:val="18"/>
      </w:rPr>
      <w:t>页</w:t>
    </w:r>
    <w:r>
      <w:rPr>
        <w:spacing w:val="-28"/>
        <w:sz w:val="18"/>
        <w:szCs w:val="18"/>
      </w:rPr>
      <w:t xml:space="preserve"> </w:t>
    </w:r>
    <w:r>
      <w:rPr>
        <w:b/>
        <w:bCs/>
        <w:spacing w:val="-13"/>
        <w:sz w:val="18"/>
        <w:szCs w:val="18"/>
      </w:rPr>
      <w:t>共</w:t>
    </w:r>
    <w:r>
      <w:rPr>
        <w:spacing w:val="-38"/>
        <w:sz w:val="18"/>
        <w:szCs w:val="18"/>
      </w:rPr>
      <w:t xml:space="preserve"> </w:t>
    </w:r>
    <w:r>
      <w:rPr>
        <w:b/>
        <w:bCs/>
        <w:spacing w:val="-13"/>
        <w:sz w:val="18"/>
        <w:szCs w:val="18"/>
      </w:rPr>
      <w:t>499</w:t>
    </w:r>
    <w:r>
      <w:rPr>
        <w:spacing w:val="-13"/>
        <w:sz w:val="18"/>
        <w:szCs w:val="18"/>
      </w:rPr>
      <w:t xml:space="preserve"> </w:t>
    </w:r>
    <w:r>
      <w:rPr>
        <w:b/>
        <w:bCs/>
        <w:spacing w:val="-13"/>
        <w:sz w:val="18"/>
        <w:szCs w:val="18"/>
      </w:rPr>
      <w:t>页</w:t>
    </w:r>
  </w:p>
</w:ftr>
</file>

<file path=word/footer3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425297">
    <w:pPr>
      <w:spacing w:after="13" w:line="454" w:lineRule="exact"/>
    </w:pPr>
  </w:p>
  <w:p w14:paraId="64CAF83F">
    <w:pPr>
      <w:pStyle w:val="2"/>
      <w:spacing w:line="207" w:lineRule="auto"/>
      <w:ind w:left="5067"/>
      <w:rPr>
        <w:sz w:val="18"/>
        <w:szCs w:val="18"/>
      </w:rPr>
    </w:pPr>
    <w:r>
      <w:rPr>
        <w:b/>
        <w:bCs/>
        <w:spacing w:val="-13"/>
        <w:sz w:val="18"/>
        <w:szCs w:val="18"/>
      </w:rPr>
      <w:t>第</w:t>
    </w:r>
    <w:r>
      <w:rPr>
        <w:spacing w:val="-28"/>
        <w:sz w:val="18"/>
        <w:szCs w:val="18"/>
      </w:rPr>
      <w:t xml:space="preserve"> </w:t>
    </w:r>
    <w:r>
      <w:rPr>
        <w:b/>
        <w:bCs/>
        <w:spacing w:val="-13"/>
        <w:sz w:val="18"/>
        <w:szCs w:val="18"/>
      </w:rPr>
      <w:t>391</w:t>
    </w:r>
    <w:r>
      <w:rPr>
        <w:spacing w:val="-13"/>
        <w:sz w:val="18"/>
        <w:szCs w:val="18"/>
      </w:rPr>
      <w:t xml:space="preserve"> </w:t>
    </w:r>
    <w:r>
      <w:rPr>
        <w:b/>
        <w:bCs/>
        <w:spacing w:val="-13"/>
        <w:sz w:val="18"/>
        <w:szCs w:val="18"/>
      </w:rPr>
      <w:t>页</w:t>
    </w:r>
    <w:r>
      <w:rPr>
        <w:spacing w:val="-27"/>
        <w:sz w:val="18"/>
        <w:szCs w:val="18"/>
      </w:rPr>
      <w:t xml:space="preserve"> </w:t>
    </w:r>
    <w:r>
      <w:rPr>
        <w:b/>
        <w:bCs/>
        <w:spacing w:val="-13"/>
        <w:sz w:val="18"/>
        <w:szCs w:val="18"/>
      </w:rPr>
      <w:t>共</w:t>
    </w:r>
    <w:r>
      <w:rPr>
        <w:spacing w:val="-39"/>
        <w:sz w:val="18"/>
        <w:szCs w:val="18"/>
      </w:rPr>
      <w:t xml:space="preserve"> </w:t>
    </w:r>
    <w:r>
      <w:rPr>
        <w:b/>
        <w:bCs/>
        <w:spacing w:val="-13"/>
        <w:sz w:val="18"/>
        <w:szCs w:val="18"/>
      </w:rPr>
      <w:t>499</w:t>
    </w:r>
    <w:r>
      <w:rPr>
        <w:spacing w:val="-13"/>
        <w:sz w:val="18"/>
        <w:szCs w:val="18"/>
      </w:rPr>
      <w:t xml:space="preserve"> </w:t>
    </w:r>
    <w:r>
      <w:rPr>
        <w:b/>
        <w:bCs/>
        <w:spacing w:val="-13"/>
        <w:sz w:val="18"/>
        <w:szCs w:val="18"/>
      </w:rPr>
      <w:t>页</w:t>
    </w:r>
  </w:p>
</w:ftr>
</file>

<file path=word/footer3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6FBE02">
    <w:pPr>
      <w:spacing w:after="13" w:line="454" w:lineRule="exact"/>
    </w:pPr>
  </w:p>
  <w:p w14:paraId="75EC7018">
    <w:pPr>
      <w:pStyle w:val="2"/>
      <w:spacing w:line="207" w:lineRule="auto"/>
      <w:ind w:left="5067"/>
      <w:rPr>
        <w:sz w:val="18"/>
        <w:szCs w:val="18"/>
      </w:rPr>
    </w:pPr>
    <w:r>
      <w:rPr>
        <w:b/>
        <w:bCs/>
        <w:spacing w:val="-13"/>
        <w:sz w:val="18"/>
        <w:szCs w:val="18"/>
      </w:rPr>
      <w:t>第</w:t>
    </w:r>
    <w:r>
      <w:rPr>
        <w:spacing w:val="-28"/>
        <w:sz w:val="18"/>
        <w:szCs w:val="18"/>
      </w:rPr>
      <w:t xml:space="preserve"> </w:t>
    </w:r>
    <w:r>
      <w:rPr>
        <w:b/>
        <w:bCs/>
        <w:spacing w:val="-13"/>
        <w:sz w:val="18"/>
        <w:szCs w:val="18"/>
      </w:rPr>
      <w:t>392</w:t>
    </w:r>
    <w:r>
      <w:rPr>
        <w:spacing w:val="-13"/>
        <w:sz w:val="18"/>
        <w:szCs w:val="18"/>
      </w:rPr>
      <w:t xml:space="preserve"> </w:t>
    </w:r>
    <w:r>
      <w:rPr>
        <w:b/>
        <w:bCs/>
        <w:spacing w:val="-13"/>
        <w:sz w:val="18"/>
        <w:szCs w:val="18"/>
      </w:rPr>
      <w:t>页</w:t>
    </w:r>
    <w:r>
      <w:rPr>
        <w:spacing w:val="-27"/>
        <w:sz w:val="18"/>
        <w:szCs w:val="18"/>
      </w:rPr>
      <w:t xml:space="preserve"> </w:t>
    </w:r>
    <w:r>
      <w:rPr>
        <w:b/>
        <w:bCs/>
        <w:spacing w:val="-13"/>
        <w:sz w:val="18"/>
        <w:szCs w:val="18"/>
      </w:rPr>
      <w:t>共</w:t>
    </w:r>
    <w:r>
      <w:rPr>
        <w:spacing w:val="-39"/>
        <w:sz w:val="18"/>
        <w:szCs w:val="18"/>
      </w:rPr>
      <w:t xml:space="preserve"> </w:t>
    </w:r>
    <w:r>
      <w:rPr>
        <w:b/>
        <w:bCs/>
        <w:spacing w:val="-13"/>
        <w:sz w:val="18"/>
        <w:szCs w:val="18"/>
      </w:rPr>
      <w:t>499</w:t>
    </w:r>
    <w:r>
      <w:rPr>
        <w:spacing w:val="-13"/>
        <w:sz w:val="18"/>
        <w:szCs w:val="18"/>
      </w:rPr>
      <w:t xml:space="preserve"> </w:t>
    </w:r>
    <w:r>
      <w:rPr>
        <w:b/>
        <w:bCs/>
        <w:spacing w:val="-13"/>
        <w:sz w:val="18"/>
        <w:szCs w:val="18"/>
      </w:rPr>
      <w:t>页</w:t>
    </w:r>
  </w:p>
</w:ftr>
</file>

<file path=word/footer3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8E2A84">
    <w:pPr>
      <w:spacing w:after="13" w:line="454" w:lineRule="exact"/>
    </w:pPr>
  </w:p>
  <w:p w14:paraId="2A546784">
    <w:pPr>
      <w:pStyle w:val="2"/>
      <w:spacing w:line="207" w:lineRule="auto"/>
      <w:ind w:left="5067"/>
      <w:rPr>
        <w:sz w:val="18"/>
        <w:szCs w:val="18"/>
      </w:rPr>
    </w:pPr>
    <w:r>
      <w:rPr>
        <w:b/>
        <w:bCs/>
        <w:spacing w:val="-13"/>
        <w:sz w:val="18"/>
        <w:szCs w:val="18"/>
      </w:rPr>
      <w:t>第</w:t>
    </w:r>
    <w:r>
      <w:rPr>
        <w:spacing w:val="-28"/>
        <w:sz w:val="18"/>
        <w:szCs w:val="18"/>
      </w:rPr>
      <w:t xml:space="preserve"> </w:t>
    </w:r>
    <w:r>
      <w:rPr>
        <w:b/>
        <w:bCs/>
        <w:spacing w:val="-13"/>
        <w:sz w:val="18"/>
        <w:szCs w:val="18"/>
      </w:rPr>
      <w:t>393</w:t>
    </w:r>
    <w:r>
      <w:rPr>
        <w:spacing w:val="-13"/>
        <w:sz w:val="18"/>
        <w:szCs w:val="18"/>
      </w:rPr>
      <w:t xml:space="preserve"> </w:t>
    </w:r>
    <w:r>
      <w:rPr>
        <w:b/>
        <w:bCs/>
        <w:spacing w:val="-13"/>
        <w:sz w:val="18"/>
        <w:szCs w:val="18"/>
      </w:rPr>
      <w:t>页</w:t>
    </w:r>
    <w:r>
      <w:rPr>
        <w:spacing w:val="-27"/>
        <w:sz w:val="18"/>
        <w:szCs w:val="18"/>
      </w:rPr>
      <w:t xml:space="preserve"> </w:t>
    </w:r>
    <w:r>
      <w:rPr>
        <w:b/>
        <w:bCs/>
        <w:spacing w:val="-13"/>
        <w:sz w:val="18"/>
        <w:szCs w:val="18"/>
      </w:rPr>
      <w:t>共</w:t>
    </w:r>
    <w:r>
      <w:rPr>
        <w:spacing w:val="-39"/>
        <w:sz w:val="18"/>
        <w:szCs w:val="18"/>
      </w:rPr>
      <w:t xml:space="preserve"> </w:t>
    </w:r>
    <w:r>
      <w:rPr>
        <w:b/>
        <w:bCs/>
        <w:spacing w:val="-13"/>
        <w:sz w:val="18"/>
        <w:szCs w:val="18"/>
      </w:rPr>
      <w:t>499</w:t>
    </w:r>
    <w:r>
      <w:rPr>
        <w:spacing w:val="-13"/>
        <w:sz w:val="18"/>
        <w:szCs w:val="18"/>
      </w:rPr>
      <w:t xml:space="preserve"> </w:t>
    </w:r>
    <w:r>
      <w:rPr>
        <w:b/>
        <w:bCs/>
        <w:spacing w:val="-13"/>
        <w:sz w:val="18"/>
        <w:szCs w:val="18"/>
      </w:rPr>
      <w:t>页</w:t>
    </w:r>
  </w:p>
</w:ftr>
</file>

<file path=word/footer3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CA6A21">
    <w:pPr>
      <w:spacing w:after="13" w:line="454" w:lineRule="exact"/>
    </w:pPr>
  </w:p>
  <w:p w14:paraId="435DE7E7">
    <w:pPr>
      <w:pStyle w:val="2"/>
      <w:spacing w:line="207" w:lineRule="auto"/>
      <w:ind w:left="5067"/>
      <w:rPr>
        <w:sz w:val="18"/>
        <w:szCs w:val="18"/>
      </w:rPr>
    </w:pPr>
    <w:r>
      <w:rPr>
        <w:b/>
        <w:bCs/>
        <w:spacing w:val="-13"/>
        <w:sz w:val="18"/>
        <w:szCs w:val="18"/>
      </w:rPr>
      <w:t>第</w:t>
    </w:r>
    <w:r>
      <w:rPr>
        <w:spacing w:val="-28"/>
        <w:sz w:val="18"/>
        <w:szCs w:val="18"/>
      </w:rPr>
      <w:t xml:space="preserve"> </w:t>
    </w:r>
    <w:r>
      <w:rPr>
        <w:b/>
        <w:bCs/>
        <w:spacing w:val="-13"/>
        <w:sz w:val="18"/>
        <w:szCs w:val="18"/>
      </w:rPr>
      <w:t>394</w:t>
    </w:r>
    <w:r>
      <w:rPr>
        <w:spacing w:val="-13"/>
        <w:sz w:val="18"/>
        <w:szCs w:val="18"/>
      </w:rPr>
      <w:t xml:space="preserve"> </w:t>
    </w:r>
    <w:r>
      <w:rPr>
        <w:b/>
        <w:bCs/>
        <w:spacing w:val="-13"/>
        <w:sz w:val="18"/>
        <w:szCs w:val="18"/>
      </w:rPr>
      <w:t>页</w:t>
    </w:r>
    <w:r>
      <w:rPr>
        <w:spacing w:val="-27"/>
        <w:sz w:val="18"/>
        <w:szCs w:val="18"/>
      </w:rPr>
      <w:t xml:space="preserve"> </w:t>
    </w:r>
    <w:r>
      <w:rPr>
        <w:b/>
        <w:bCs/>
        <w:spacing w:val="-13"/>
        <w:sz w:val="18"/>
        <w:szCs w:val="18"/>
      </w:rPr>
      <w:t>共</w:t>
    </w:r>
    <w:r>
      <w:rPr>
        <w:spacing w:val="-39"/>
        <w:sz w:val="18"/>
        <w:szCs w:val="18"/>
      </w:rPr>
      <w:t xml:space="preserve"> </w:t>
    </w:r>
    <w:r>
      <w:rPr>
        <w:b/>
        <w:bCs/>
        <w:spacing w:val="-13"/>
        <w:sz w:val="18"/>
        <w:szCs w:val="18"/>
      </w:rPr>
      <w:t>499</w:t>
    </w:r>
    <w:r>
      <w:rPr>
        <w:spacing w:val="-13"/>
        <w:sz w:val="18"/>
        <w:szCs w:val="18"/>
      </w:rPr>
      <w:t xml:space="preserve"> </w:t>
    </w:r>
    <w:r>
      <w:rPr>
        <w:b/>
        <w:bCs/>
        <w:spacing w:val="-13"/>
        <w:sz w:val="18"/>
        <w:szCs w:val="18"/>
      </w:rPr>
      <w:t>页</w:t>
    </w:r>
  </w:p>
</w:ftr>
</file>

<file path=word/footer3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E9F836">
    <w:pPr>
      <w:spacing w:after="13" w:line="454" w:lineRule="exact"/>
    </w:pPr>
  </w:p>
  <w:p w14:paraId="1BE2AF22">
    <w:pPr>
      <w:pStyle w:val="2"/>
      <w:spacing w:line="207" w:lineRule="auto"/>
      <w:ind w:left="5067"/>
      <w:rPr>
        <w:sz w:val="18"/>
        <w:szCs w:val="18"/>
      </w:rPr>
    </w:pPr>
    <w:r>
      <w:rPr>
        <w:b/>
        <w:bCs/>
        <w:spacing w:val="-13"/>
        <w:sz w:val="18"/>
        <w:szCs w:val="18"/>
      </w:rPr>
      <w:t>第</w:t>
    </w:r>
    <w:r>
      <w:rPr>
        <w:spacing w:val="-28"/>
        <w:sz w:val="18"/>
        <w:szCs w:val="18"/>
      </w:rPr>
      <w:t xml:space="preserve"> </w:t>
    </w:r>
    <w:r>
      <w:rPr>
        <w:b/>
        <w:bCs/>
        <w:spacing w:val="-13"/>
        <w:sz w:val="18"/>
        <w:szCs w:val="18"/>
      </w:rPr>
      <w:t>395</w:t>
    </w:r>
    <w:r>
      <w:rPr>
        <w:spacing w:val="-13"/>
        <w:sz w:val="18"/>
        <w:szCs w:val="18"/>
      </w:rPr>
      <w:t xml:space="preserve"> </w:t>
    </w:r>
    <w:r>
      <w:rPr>
        <w:b/>
        <w:bCs/>
        <w:spacing w:val="-13"/>
        <w:sz w:val="18"/>
        <w:szCs w:val="18"/>
      </w:rPr>
      <w:t>页</w:t>
    </w:r>
    <w:r>
      <w:rPr>
        <w:spacing w:val="-27"/>
        <w:sz w:val="18"/>
        <w:szCs w:val="18"/>
      </w:rPr>
      <w:t xml:space="preserve"> </w:t>
    </w:r>
    <w:r>
      <w:rPr>
        <w:b/>
        <w:bCs/>
        <w:spacing w:val="-13"/>
        <w:sz w:val="18"/>
        <w:szCs w:val="18"/>
      </w:rPr>
      <w:t>共</w:t>
    </w:r>
    <w:r>
      <w:rPr>
        <w:spacing w:val="-39"/>
        <w:sz w:val="18"/>
        <w:szCs w:val="18"/>
      </w:rPr>
      <w:t xml:space="preserve"> </w:t>
    </w:r>
    <w:r>
      <w:rPr>
        <w:b/>
        <w:bCs/>
        <w:spacing w:val="-13"/>
        <w:sz w:val="18"/>
        <w:szCs w:val="18"/>
      </w:rPr>
      <w:t>499</w:t>
    </w:r>
    <w:r>
      <w:rPr>
        <w:spacing w:val="-13"/>
        <w:sz w:val="18"/>
        <w:szCs w:val="18"/>
      </w:rPr>
      <w:t xml:space="preserve"> </w:t>
    </w:r>
    <w:r>
      <w:rPr>
        <w:b/>
        <w:bCs/>
        <w:spacing w:val="-13"/>
        <w:sz w:val="18"/>
        <w:szCs w:val="18"/>
      </w:rPr>
      <w:t>页</w:t>
    </w:r>
  </w:p>
</w:ftr>
</file>

<file path=word/footer3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1C33DB">
    <w:pPr>
      <w:spacing w:after="13" w:line="454" w:lineRule="exact"/>
    </w:pPr>
  </w:p>
  <w:p w14:paraId="72FEC884">
    <w:pPr>
      <w:pStyle w:val="2"/>
      <w:spacing w:line="207" w:lineRule="auto"/>
      <w:ind w:left="5067"/>
      <w:rPr>
        <w:sz w:val="18"/>
        <w:szCs w:val="18"/>
      </w:rPr>
    </w:pPr>
    <w:r>
      <w:rPr>
        <w:b/>
        <w:bCs/>
        <w:spacing w:val="-13"/>
        <w:sz w:val="18"/>
        <w:szCs w:val="18"/>
      </w:rPr>
      <w:t>第</w:t>
    </w:r>
    <w:r>
      <w:rPr>
        <w:spacing w:val="-28"/>
        <w:sz w:val="18"/>
        <w:szCs w:val="18"/>
      </w:rPr>
      <w:t xml:space="preserve"> </w:t>
    </w:r>
    <w:r>
      <w:rPr>
        <w:b/>
        <w:bCs/>
        <w:spacing w:val="-13"/>
        <w:sz w:val="18"/>
        <w:szCs w:val="18"/>
      </w:rPr>
      <w:t>396</w:t>
    </w:r>
    <w:r>
      <w:rPr>
        <w:spacing w:val="-13"/>
        <w:sz w:val="18"/>
        <w:szCs w:val="18"/>
      </w:rPr>
      <w:t xml:space="preserve"> </w:t>
    </w:r>
    <w:r>
      <w:rPr>
        <w:b/>
        <w:bCs/>
        <w:spacing w:val="-13"/>
        <w:sz w:val="18"/>
        <w:szCs w:val="18"/>
      </w:rPr>
      <w:t>页</w:t>
    </w:r>
    <w:r>
      <w:rPr>
        <w:spacing w:val="-27"/>
        <w:sz w:val="18"/>
        <w:szCs w:val="18"/>
      </w:rPr>
      <w:t xml:space="preserve"> </w:t>
    </w:r>
    <w:r>
      <w:rPr>
        <w:b/>
        <w:bCs/>
        <w:spacing w:val="-13"/>
        <w:sz w:val="18"/>
        <w:szCs w:val="18"/>
      </w:rPr>
      <w:t>共</w:t>
    </w:r>
    <w:r>
      <w:rPr>
        <w:spacing w:val="-39"/>
        <w:sz w:val="18"/>
        <w:szCs w:val="18"/>
      </w:rPr>
      <w:t xml:space="preserve"> </w:t>
    </w:r>
    <w:r>
      <w:rPr>
        <w:b/>
        <w:bCs/>
        <w:spacing w:val="-13"/>
        <w:sz w:val="18"/>
        <w:szCs w:val="18"/>
      </w:rPr>
      <w:t>499</w:t>
    </w:r>
    <w:r>
      <w:rPr>
        <w:spacing w:val="-13"/>
        <w:sz w:val="18"/>
        <w:szCs w:val="18"/>
      </w:rPr>
      <w:t xml:space="preserve"> </w:t>
    </w:r>
    <w:r>
      <w:rPr>
        <w:b/>
        <w:bCs/>
        <w:spacing w:val="-13"/>
        <w:sz w:val="18"/>
        <w:szCs w:val="18"/>
      </w:rPr>
      <w:t>页</w:t>
    </w:r>
  </w:p>
</w:ftr>
</file>

<file path=word/footer3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40A024">
    <w:pPr>
      <w:spacing w:after="13" w:line="454" w:lineRule="exact"/>
    </w:pPr>
  </w:p>
  <w:p w14:paraId="4ED453E6">
    <w:pPr>
      <w:pStyle w:val="2"/>
      <w:spacing w:line="207" w:lineRule="auto"/>
      <w:ind w:left="5067"/>
      <w:rPr>
        <w:sz w:val="18"/>
        <w:szCs w:val="18"/>
      </w:rPr>
    </w:pPr>
    <w:r>
      <w:rPr>
        <w:b/>
        <w:bCs/>
        <w:spacing w:val="-13"/>
        <w:sz w:val="18"/>
        <w:szCs w:val="18"/>
      </w:rPr>
      <w:t>第</w:t>
    </w:r>
    <w:r>
      <w:rPr>
        <w:spacing w:val="-28"/>
        <w:sz w:val="18"/>
        <w:szCs w:val="18"/>
      </w:rPr>
      <w:t xml:space="preserve"> </w:t>
    </w:r>
    <w:r>
      <w:rPr>
        <w:b/>
        <w:bCs/>
        <w:spacing w:val="-13"/>
        <w:sz w:val="18"/>
        <w:szCs w:val="18"/>
      </w:rPr>
      <w:t>397</w:t>
    </w:r>
    <w:r>
      <w:rPr>
        <w:spacing w:val="-13"/>
        <w:sz w:val="18"/>
        <w:szCs w:val="18"/>
      </w:rPr>
      <w:t xml:space="preserve"> </w:t>
    </w:r>
    <w:r>
      <w:rPr>
        <w:b/>
        <w:bCs/>
        <w:spacing w:val="-13"/>
        <w:sz w:val="18"/>
        <w:szCs w:val="18"/>
      </w:rPr>
      <w:t>页</w:t>
    </w:r>
    <w:r>
      <w:rPr>
        <w:spacing w:val="-27"/>
        <w:sz w:val="18"/>
        <w:szCs w:val="18"/>
      </w:rPr>
      <w:t xml:space="preserve"> </w:t>
    </w:r>
    <w:r>
      <w:rPr>
        <w:b/>
        <w:bCs/>
        <w:spacing w:val="-13"/>
        <w:sz w:val="18"/>
        <w:szCs w:val="18"/>
      </w:rPr>
      <w:t>共</w:t>
    </w:r>
    <w:r>
      <w:rPr>
        <w:spacing w:val="-39"/>
        <w:sz w:val="18"/>
        <w:szCs w:val="18"/>
      </w:rPr>
      <w:t xml:space="preserve"> </w:t>
    </w:r>
    <w:r>
      <w:rPr>
        <w:b/>
        <w:bCs/>
        <w:spacing w:val="-13"/>
        <w:sz w:val="18"/>
        <w:szCs w:val="18"/>
      </w:rPr>
      <w:t>499</w:t>
    </w:r>
    <w:r>
      <w:rPr>
        <w:spacing w:val="-13"/>
        <w:sz w:val="18"/>
        <w:szCs w:val="18"/>
      </w:rPr>
      <w:t xml:space="preserve"> </w:t>
    </w:r>
    <w:r>
      <w:rPr>
        <w:b/>
        <w:bCs/>
        <w:spacing w:val="-13"/>
        <w:sz w:val="18"/>
        <w:szCs w:val="18"/>
      </w:rPr>
      <w:t>页</w:t>
    </w:r>
  </w:p>
</w:ftr>
</file>

<file path=word/footer3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636FF0">
    <w:pPr>
      <w:spacing w:after="13" w:line="454" w:lineRule="exact"/>
    </w:pPr>
  </w:p>
  <w:p w14:paraId="0501E3FC">
    <w:pPr>
      <w:pStyle w:val="2"/>
      <w:spacing w:line="207" w:lineRule="auto"/>
      <w:ind w:left="5067"/>
      <w:rPr>
        <w:sz w:val="18"/>
        <w:szCs w:val="18"/>
      </w:rPr>
    </w:pPr>
    <w:r>
      <w:rPr>
        <w:b/>
        <w:bCs/>
        <w:spacing w:val="-13"/>
        <w:sz w:val="18"/>
        <w:szCs w:val="18"/>
      </w:rPr>
      <w:t>第</w:t>
    </w:r>
    <w:r>
      <w:rPr>
        <w:spacing w:val="-28"/>
        <w:sz w:val="18"/>
        <w:szCs w:val="18"/>
      </w:rPr>
      <w:t xml:space="preserve"> </w:t>
    </w:r>
    <w:r>
      <w:rPr>
        <w:b/>
        <w:bCs/>
        <w:spacing w:val="-13"/>
        <w:sz w:val="18"/>
        <w:szCs w:val="18"/>
      </w:rPr>
      <w:t>398</w:t>
    </w:r>
    <w:r>
      <w:rPr>
        <w:spacing w:val="-13"/>
        <w:sz w:val="18"/>
        <w:szCs w:val="18"/>
      </w:rPr>
      <w:t xml:space="preserve"> </w:t>
    </w:r>
    <w:r>
      <w:rPr>
        <w:b/>
        <w:bCs/>
        <w:spacing w:val="-13"/>
        <w:sz w:val="18"/>
        <w:szCs w:val="18"/>
      </w:rPr>
      <w:t>页</w:t>
    </w:r>
    <w:r>
      <w:rPr>
        <w:spacing w:val="-27"/>
        <w:sz w:val="18"/>
        <w:szCs w:val="18"/>
      </w:rPr>
      <w:t xml:space="preserve"> </w:t>
    </w:r>
    <w:r>
      <w:rPr>
        <w:b/>
        <w:bCs/>
        <w:spacing w:val="-13"/>
        <w:sz w:val="18"/>
        <w:szCs w:val="18"/>
      </w:rPr>
      <w:t>共</w:t>
    </w:r>
    <w:r>
      <w:rPr>
        <w:spacing w:val="-39"/>
        <w:sz w:val="18"/>
        <w:szCs w:val="18"/>
      </w:rPr>
      <w:t xml:space="preserve"> </w:t>
    </w:r>
    <w:r>
      <w:rPr>
        <w:b/>
        <w:bCs/>
        <w:spacing w:val="-13"/>
        <w:sz w:val="18"/>
        <w:szCs w:val="18"/>
      </w:rPr>
      <w:t>499</w:t>
    </w:r>
    <w:r>
      <w:rPr>
        <w:spacing w:val="-13"/>
        <w:sz w:val="18"/>
        <w:szCs w:val="18"/>
      </w:rPr>
      <w:t xml:space="preserve"> </w:t>
    </w:r>
    <w:r>
      <w:rPr>
        <w:b/>
        <w:bCs/>
        <w:spacing w:val="-13"/>
        <w:sz w:val="18"/>
        <w:szCs w:val="18"/>
      </w:rPr>
      <w:t>页</w:t>
    </w:r>
  </w:p>
</w:ftr>
</file>

<file path=word/footer3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489AB0">
    <w:pPr>
      <w:spacing w:after="13" w:line="454" w:lineRule="exact"/>
    </w:pPr>
  </w:p>
  <w:p w14:paraId="687B00C5">
    <w:pPr>
      <w:pStyle w:val="2"/>
      <w:spacing w:line="207" w:lineRule="auto"/>
      <w:ind w:left="5067"/>
      <w:rPr>
        <w:sz w:val="18"/>
        <w:szCs w:val="18"/>
      </w:rPr>
    </w:pPr>
    <w:r>
      <w:rPr>
        <w:b/>
        <w:bCs/>
        <w:spacing w:val="-13"/>
        <w:sz w:val="18"/>
        <w:szCs w:val="18"/>
      </w:rPr>
      <w:t>第</w:t>
    </w:r>
    <w:r>
      <w:rPr>
        <w:spacing w:val="-28"/>
        <w:sz w:val="18"/>
        <w:szCs w:val="18"/>
      </w:rPr>
      <w:t xml:space="preserve"> </w:t>
    </w:r>
    <w:r>
      <w:rPr>
        <w:b/>
        <w:bCs/>
        <w:spacing w:val="-13"/>
        <w:sz w:val="18"/>
        <w:szCs w:val="18"/>
      </w:rPr>
      <w:t>399</w:t>
    </w:r>
    <w:r>
      <w:rPr>
        <w:spacing w:val="-13"/>
        <w:sz w:val="18"/>
        <w:szCs w:val="18"/>
      </w:rPr>
      <w:t xml:space="preserve"> </w:t>
    </w:r>
    <w:r>
      <w:rPr>
        <w:b/>
        <w:bCs/>
        <w:spacing w:val="-13"/>
        <w:sz w:val="18"/>
        <w:szCs w:val="18"/>
      </w:rPr>
      <w:t>页</w:t>
    </w:r>
    <w:r>
      <w:rPr>
        <w:spacing w:val="-27"/>
        <w:sz w:val="18"/>
        <w:szCs w:val="18"/>
      </w:rPr>
      <w:t xml:space="preserve"> </w:t>
    </w:r>
    <w:r>
      <w:rPr>
        <w:b/>
        <w:bCs/>
        <w:spacing w:val="-13"/>
        <w:sz w:val="18"/>
        <w:szCs w:val="18"/>
      </w:rPr>
      <w:t>共</w:t>
    </w:r>
    <w:r>
      <w:rPr>
        <w:spacing w:val="-39"/>
        <w:sz w:val="18"/>
        <w:szCs w:val="18"/>
      </w:rPr>
      <w:t xml:space="preserve"> </w:t>
    </w:r>
    <w:r>
      <w:rPr>
        <w:b/>
        <w:bCs/>
        <w:spacing w:val="-13"/>
        <w:sz w:val="18"/>
        <w:szCs w:val="18"/>
      </w:rPr>
      <w:t>499</w:t>
    </w:r>
    <w:r>
      <w:rPr>
        <w:spacing w:val="-13"/>
        <w:sz w:val="18"/>
        <w:szCs w:val="18"/>
      </w:rPr>
      <w:t xml:space="preserve"> </w:t>
    </w:r>
    <w:r>
      <w:rPr>
        <w:b/>
        <w:bCs/>
        <w:spacing w:val="-13"/>
        <w:sz w:val="18"/>
        <w:szCs w:val="18"/>
      </w:rPr>
      <w:t>页</w:t>
    </w:r>
  </w:p>
</w:ftr>
</file>

<file path=word/footer3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684FC7">
    <w:pPr>
      <w:spacing w:after="13" w:line="454" w:lineRule="exact"/>
    </w:pPr>
  </w:p>
  <w:p w14:paraId="1B82D4A4">
    <w:pPr>
      <w:pStyle w:val="2"/>
      <w:spacing w:line="207" w:lineRule="auto"/>
      <w:ind w:left="5067"/>
      <w:rPr>
        <w:sz w:val="18"/>
        <w:szCs w:val="18"/>
      </w:rPr>
    </w:pPr>
    <w:r>
      <w:rPr>
        <w:b/>
        <w:bCs/>
        <w:spacing w:val="-13"/>
        <w:sz w:val="18"/>
        <w:szCs w:val="18"/>
      </w:rPr>
      <w:t>第</w:t>
    </w:r>
    <w:r>
      <w:rPr>
        <w:spacing w:val="-28"/>
        <w:sz w:val="18"/>
        <w:szCs w:val="18"/>
      </w:rPr>
      <w:t xml:space="preserve"> </w:t>
    </w:r>
    <w:r>
      <w:rPr>
        <w:b/>
        <w:bCs/>
        <w:spacing w:val="-13"/>
        <w:sz w:val="18"/>
        <w:szCs w:val="18"/>
      </w:rPr>
      <w:t>400</w:t>
    </w:r>
    <w:r>
      <w:rPr>
        <w:spacing w:val="-13"/>
        <w:sz w:val="18"/>
        <w:szCs w:val="18"/>
      </w:rPr>
      <w:t xml:space="preserve"> </w:t>
    </w:r>
    <w:r>
      <w:rPr>
        <w:b/>
        <w:bCs/>
        <w:spacing w:val="-13"/>
        <w:sz w:val="18"/>
        <w:szCs w:val="18"/>
      </w:rPr>
      <w:t>页</w:t>
    </w:r>
    <w:r>
      <w:rPr>
        <w:spacing w:val="-27"/>
        <w:sz w:val="18"/>
        <w:szCs w:val="18"/>
      </w:rPr>
      <w:t xml:space="preserve"> </w:t>
    </w:r>
    <w:r>
      <w:rPr>
        <w:b/>
        <w:bCs/>
        <w:spacing w:val="-13"/>
        <w:sz w:val="18"/>
        <w:szCs w:val="18"/>
      </w:rPr>
      <w:t>共</w:t>
    </w:r>
    <w:r>
      <w:rPr>
        <w:spacing w:val="-39"/>
        <w:sz w:val="18"/>
        <w:szCs w:val="18"/>
      </w:rPr>
      <w:t xml:space="preserve"> </w:t>
    </w:r>
    <w:r>
      <w:rPr>
        <w:b/>
        <w:bCs/>
        <w:spacing w:val="-13"/>
        <w:sz w:val="18"/>
        <w:szCs w:val="18"/>
      </w:rPr>
      <w:t>499</w:t>
    </w:r>
    <w:r>
      <w:rPr>
        <w:spacing w:val="-13"/>
        <w:sz w:val="18"/>
        <w:szCs w:val="18"/>
      </w:rPr>
      <w:t xml:space="preserve"> </w:t>
    </w:r>
    <w:r>
      <w:rPr>
        <w:b/>
        <w:bCs/>
        <w:spacing w:val="-13"/>
        <w:sz w:val="18"/>
        <w:szCs w:val="18"/>
      </w:rPr>
      <w:t>页</w: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B82A6A">
    <w:pPr>
      <w:spacing w:after="13" w:line="454" w:lineRule="exact"/>
    </w:pPr>
  </w:p>
  <w:p w14:paraId="4D3F9F0D">
    <w:pPr>
      <w:pStyle w:val="2"/>
      <w:spacing w:line="207" w:lineRule="auto"/>
      <w:ind w:left="5106"/>
      <w:rPr>
        <w:sz w:val="18"/>
        <w:szCs w:val="18"/>
      </w:rPr>
    </w:pPr>
    <w:r>
      <w:rPr>
        <w:b/>
        <w:bCs/>
        <w:spacing w:val="-13"/>
        <w:sz w:val="18"/>
        <w:szCs w:val="18"/>
      </w:rPr>
      <w:t>第</w:t>
    </w:r>
    <w:r>
      <w:rPr>
        <w:spacing w:val="-28"/>
        <w:sz w:val="18"/>
        <w:szCs w:val="18"/>
      </w:rPr>
      <w:t xml:space="preserve"> </w:t>
    </w:r>
    <w:r>
      <w:rPr>
        <w:b/>
        <w:bCs/>
        <w:spacing w:val="-13"/>
        <w:sz w:val="18"/>
        <w:szCs w:val="18"/>
      </w:rPr>
      <w:t>62</w:t>
    </w:r>
    <w:r>
      <w:rPr>
        <w:spacing w:val="-13"/>
        <w:sz w:val="18"/>
        <w:szCs w:val="18"/>
      </w:rPr>
      <w:t xml:space="preserve"> </w:t>
    </w:r>
    <w:r>
      <w:rPr>
        <w:b/>
        <w:bCs/>
        <w:spacing w:val="-13"/>
        <w:sz w:val="18"/>
        <w:szCs w:val="18"/>
      </w:rPr>
      <w:t>页</w:t>
    </w:r>
    <w:r>
      <w:rPr>
        <w:spacing w:val="-28"/>
        <w:sz w:val="18"/>
        <w:szCs w:val="18"/>
      </w:rPr>
      <w:t xml:space="preserve"> </w:t>
    </w:r>
    <w:r>
      <w:rPr>
        <w:b/>
        <w:bCs/>
        <w:spacing w:val="-13"/>
        <w:sz w:val="18"/>
        <w:szCs w:val="18"/>
      </w:rPr>
      <w:t>共</w:t>
    </w:r>
    <w:r>
      <w:rPr>
        <w:spacing w:val="-38"/>
        <w:sz w:val="18"/>
        <w:szCs w:val="18"/>
      </w:rPr>
      <w:t xml:space="preserve"> </w:t>
    </w:r>
    <w:r>
      <w:rPr>
        <w:b/>
        <w:bCs/>
        <w:spacing w:val="-13"/>
        <w:sz w:val="18"/>
        <w:szCs w:val="18"/>
      </w:rPr>
      <w:t>499</w:t>
    </w:r>
    <w:r>
      <w:rPr>
        <w:spacing w:val="-13"/>
        <w:sz w:val="18"/>
        <w:szCs w:val="18"/>
      </w:rPr>
      <w:t xml:space="preserve"> </w:t>
    </w:r>
    <w:r>
      <w:rPr>
        <w:b/>
        <w:bCs/>
        <w:spacing w:val="-13"/>
        <w:sz w:val="18"/>
        <w:szCs w:val="18"/>
      </w:rPr>
      <w:t>页</w:t>
    </w:r>
  </w:p>
</w:ftr>
</file>

<file path=word/footer3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E42F0E">
    <w:pPr>
      <w:spacing w:after="13" w:line="454" w:lineRule="exact"/>
    </w:pPr>
  </w:p>
  <w:p w14:paraId="68269019">
    <w:pPr>
      <w:pStyle w:val="2"/>
      <w:spacing w:line="207" w:lineRule="auto"/>
      <w:ind w:left="5067"/>
      <w:rPr>
        <w:sz w:val="18"/>
        <w:szCs w:val="18"/>
      </w:rPr>
    </w:pPr>
    <w:r>
      <w:rPr>
        <w:b/>
        <w:bCs/>
        <w:spacing w:val="-13"/>
        <w:sz w:val="18"/>
        <w:szCs w:val="18"/>
      </w:rPr>
      <w:t>第</w:t>
    </w:r>
    <w:r>
      <w:rPr>
        <w:spacing w:val="-28"/>
        <w:sz w:val="18"/>
        <w:szCs w:val="18"/>
      </w:rPr>
      <w:t xml:space="preserve"> </w:t>
    </w:r>
    <w:r>
      <w:rPr>
        <w:b/>
        <w:bCs/>
        <w:spacing w:val="-13"/>
        <w:sz w:val="18"/>
        <w:szCs w:val="18"/>
      </w:rPr>
      <w:t>401</w:t>
    </w:r>
    <w:r>
      <w:rPr>
        <w:spacing w:val="-13"/>
        <w:sz w:val="18"/>
        <w:szCs w:val="18"/>
      </w:rPr>
      <w:t xml:space="preserve"> </w:t>
    </w:r>
    <w:r>
      <w:rPr>
        <w:b/>
        <w:bCs/>
        <w:spacing w:val="-13"/>
        <w:sz w:val="18"/>
        <w:szCs w:val="18"/>
      </w:rPr>
      <w:t>页</w:t>
    </w:r>
    <w:r>
      <w:rPr>
        <w:spacing w:val="-27"/>
        <w:sz w:val="18"/>
        <w:szCs w:val="18"/>
      </w:rPr>
      <w:t xml:space="preserve"> </w:t>
    </w:r>
    <w:r>
      <w:rPr>
        <w:b/>
        <w:bCs/>
        <w:spacing w:val="-13"/>
        <w:sz w:val="18"/>
        <w:szCs w:val="18"/>
      </w:rPr>
      <w:t>共</w:t>
    </w:r>
    <w:r>
      <w:rPr>
        <w:spacing w:val="-39"/>
        <w:sz w:val="18"/>
        <w:szCs w:val="18"/>
      </w:rPr>
      <w:t xml:space="preserve"> </w:t>
    </w:r>
    <w:r>
      <w:rPr>
        <w:b/>
        <w:bCs/>
        <w:spacing w:val="-13"/>
        <w:sz w:val="18"/>
        <w:szCs w:val="18"/>
      </w:rPr>
      <w:t>499</w:t>
    </w:r>
    <w:r>
      <w:rPr>
        <w:spacing w:val="-13"/>
        <w:sz w:val="18"/>
        <w:szCs w:val="18"/>
      </w:rPr>
      <w:t xml:space="preserve"> </w:t>
    </w:r>
    <w:r>
      <w:rPr>
        <w:b/>
        <w:bCs/>
        <w:spacing w:val="-13"/>
        <w:sz w:val="18"/>
        <w:szCs w:val="18"/>
      </w:rPr>
      <w:t>页</w:t>
    </w:r>
  </w:p>
</w:ftr>
</file>

<file path=word/footer3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A9D4F8">
    <w:pPr>
      <w:spacing w:after="13" w:line="454" w:lineRule="exact"/>
    </w:pPr>
  </w:p>
  <w:p w14:paraId="58E4290E">
    <w:pPr>
      <w:pStyle w:val="2"/>
      <w:spacing w:line="207" w:lineRule="auto"/>
      <w:ind w:left="5067"/>
      <w:rPr>
        <w:sz w:val="18"/>
        <w:szCs w:val="18"/>
      </w:rPr>
    </w:pPr>
    <w:r>
      <w:rPr>
        <w:b/>
        <w:bCs/>
        <w:spacing w:val="-13"/>
        <w:sz w:val="18"/>
        <w:szCs w:val="18"/>
      </w:rPr>
      <w:t>第</w:t>
    </w:r>
    <w:r>
      <w:rPr>
        <w:spacing w:val="-28"/>
        <w:sz w:val="18"/>
        <w:szCs w:val="18"/>
      </w:rPr>
      <w:t xml:space="preserve"> </w:t>
    </w:r>
    <w:r>
      <w:rPr>
        <w:b/>
        <w:bCs/>
        <w:spacing w:val="-13"/>
        <w:sz w:val="18"/>
        <w:szCs w:val="18"/>
      </w:rPr>
      <w:t>402</w:t>
    </w:r>
    <w:r>
      <w:rPr>
        <w:spacing w:val="-13"/>
        <w:sz w:val="18"/>
        <w:szCs w:val="18"/>
      </w:rPr>
      <w:t xml:space="preserve"> </w:t>
    </w:r>
    <w:r>
      <w:rPr>
        <w:b/>
        <w:bCs/>
        <w:spacing w:val="-13"/>
        <w:sz w:val="18"/>
        <w:szCs w:val="18"/>
      </w:rPr>
      <w:t>页</w:t>
    </w:r>
    <w:r>
      <w:rPr>
        <w:spacing w:val="-27"/>
        <w:sz w:val="18"/>
        <w:szCs w:val="18"/>
      </w:rPr>
      <w:t xml:space="preserve"> </w:t>
    </w:r>
    <w:r>
      <w:rPr>
        <w:b/>
        <w:bCs/>
        <w:spacing w:val="-13"/>
        <w:sz w:val="18"/>
        <w:szCs w:val="18"/>
      </w:rPr>
      <w:t>共</w:t>
    </w:r>
    <w:r>
      <w:rPr>
        <w:spacing w:val="-39"/>
        <w:sz w:val="18"/>
        <w:szCs w:val="18"/>
      </w:rPr>
      <w:t xml:space="preserve"> </w:t>
    </w:r>
    <w:r>
      <w:rPr>
        <w:b/>
        <w:bCs/>
        <w:spacing w:val="-13"/>
        <w:sz w:val="18"/>
        <w:szCs w:val="18"/>
      </w:rPr>
      <w:t>499</w:t>
    </w:r>
    <w:r>
      <w:rPr>
        <w:spacing w:val="-13"/>
        <w:sz w:val="18"/>
        <w:szCs w:val="18"/>
      </w:rPr>
      <w:t xml:space="preserve"> </w:t>
    </w:r>
    <w:r>
      <w:rPr>
        <w:b/>
        <w:bCs/>
        <w:spacing w:val="-13"/>
        <w:sz w:val="18"/>
        <w:szCs w:val="18"/>
      </w:rPr>
      <w:t>页</w:t>
    </w:r>
  </w:p>
</w:ftr>
</file>

<file path=word/footer3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B4E0E3">
    <w:pPr>
      <w:spacing w:after="13" w:line="454" w:lineRule="exact"/>
    </w:pPr>
  </w:p>
  <w:p w14:paraId="64D6E93B">
    <w:pPr>
      <w:pStyle w:val="2"/>
      <w:spacing w:line="207" w:lineRule="auto"/>
      <w:ind w:left="5067"/>
      <w:rPr>
        <w:sz w:val="18"/>
        <w:szCs w:val="18"/>
      </w:rPr>
    </w:pPr>
    <w:r>
      <w:rPr>
        <w:b/>
        <w:bCs/>
        <w:spacing w:val="-13"/>
        <w:sz w:val="18"/>
        <w:szCs w:val="18"/>
      </w:rPr>
      <w:t>第</w:t>
    </w:r>
    <w:r>
      <w:rPr>
        <w:spacing w:val="-28"/>
        <w:sz w:val="18"/>
        <w:szCs w:val="18"/>
      </w:rPr>
      <w:t xml:space="preserve"> </w:t>
    </w:r>
    <w:r>
      <w:rPr>
        <w:b/>
        <w:bCs/>
        <w:spacing w:val="-13"/>
        <w:sz w:val="18"/>
        <w:szCs w:val="18"/>
      </w:rPr>
      <w:t>403</w:t>
    </w:r>
    <w:r>
      <w:rPr>
        <w:spacing w:val="-13"/>
        <w:sz w:val="18"/>
        <w:szCs w:val="18"/>
      </w:rPr>
      <w:t xml:space="preserve"> </w:t>
    </w:r>
    <w:r>
      <w:rPr>
        <w:b/>
        <w:bCs/>
        <w:spacing w:val="-13"/>
        <w:sz w:val="18"/>
        <w:szCs w:val="18"/>
      </w:rPr>
      <w:t>页</w:t>
    </w:r>
    <w:r>
      <w:rPr>
        <w:spacing w:val="-27"/>
        <w:sz w:val="18"/>
        <w:szCs w:val="18"/>
      </w:rPr>
      <w:t xml:space="preserve"> </w:t>
    </w:r>
    <w:r>
      <w:rPr>
        <w:b/>
        <w:bCs/>
        <w:spacing w:val="-13"/>
        <w:sz w:val="18"/>
        <w:szCs w:val="18"/>
      </w:rPr>
      <w:t>共</w:t>
    </w:r>
    <w:r>
      <w:rPr>
        <w:spacing w:val="-39"/>
        <w:sz w:val="18"/>
        <w:szCs w:val="18"/>
      </w:rPr>
      <w:t xml:space="preserve"> </w:t>
    </w:r>
    <w:r>
      <w:rPr>
        <w:b/>
        <w:bCs/>
        <w:spacing w:val="-13"/>
        <w:sz w:val="18"/>
        <w:szCs w:val="18"/>
      </w:rPr>
      <w:t>499</w:t>
    </w:r>
    <w:r>
      <w:rPr>
        <w:spacing w:val="-13"/>
        <w:sz w:val="18"/>
        <w:szCs w:val="18"/>
      </w:rPr>
      <w:t xml:space="preserve"> </w:t>
    </w:r>
    <w:r>
      <w:rPr>
        <w:b/>
        <w:bCs/>
        <w:spacing w:val="-13"/>
        <w:sz w:val="18"/>
        <w:szCs w:val="18"/>
      </w:rPr>
      <w:t>页</w:t>
    </w:r>
  </w:p>
</w:ftr>
</file>

<file path=word/footer3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807624">
    <w:pPr>
      <w:spacing w:after="13" w:line="454" w:lineRule="exact"/>
    </w:pPr>
  </w:p>
  <w:p w14:paraId="58B745C6">
    <w:pPr>
      <w:pStyle w:val="2"/>
      <w:spacing w:line="207" w:lineRule="auto"/>
      <w:ind w:left="5067"/>
      <w:rPr>
        <w:sz w:val="18"/>
        <w:szCs w:val="18"/>
      </w:rPr>
    </w:pPr>
    <w:r>
      <w:rPr>
        <w:b/>
        <w:bCs/>
        <w:spacing w:val="-13"/>
        <w:sz w:val="18"/>
        <w:szCs w:val="18"/>
      </w:rPr>
      <w:t>第</w:t>
    </w:r>
    <w:r>
      <w:rPr>
        <w:spacing w:val="-28"/>
        <w:sz w:val="18"/>
        <w:szCs w:val="18"/>
      </w:rPr>
      <w:t xml:space="preserve"> </w:t>
    </w:r>
    <w:r>
      <w:rPr>
        <w:b/>
        <w:bCs/>
        <w:spacing w:val="-13"/>
        <w:sz w:val="18"/>
        <w:szCs w:val="18"/>
      </w:rPr>
      <w:t>404</w:t>
    </w:r>
    <w:r>
      <w:rPr>
        <w:spacing w:val="-13"/>
        <w:sz w:val="18"/>
        <w:szCs w:val="18"/>
      </w:rPr>
      <w:t xml:space="preserve"> </w:t>
    </w:r>
    <w:r>
      <w:rPr>
        <w:b/>
        <w:bCs/>
        <w:spacing w:val="-13"/>
        <w:sz w:val="18"/>
        <w:szCs w:val="18"/>
      </w:rPr>
      <w:t>页</w:t>
    </w:r>
    <w:r>
      <w:rPr>
        <w:spacing w:val="-27"/>
        <w:sz w:val="18"/>
        <w:szCs w:val="18"/>
      </w:rPr>
      <w:t xml:space="preserve"> </w:t>
    </w:r>
    <w:r>
      <w:rPr>
        <w:b/>
        <w:bCs/>
        <w:spacing w:val="-13"/>
        <w:sz w:val="18"/>
        <w:szCs w:val="18"/>
      </w:rPr>
      <w:t>共</w:t>
    </w:r>
    <w:r>
      <w:rPr>
        <w:spacing w:val="-39"/>
        <w:sz w:val="18"/>
        <w:szCs w:val="18"/>
      </w:rPr>
      <w:t xml:space="preserve"> </w:t>
    </w:r>
    <w:r>
      <w:rPr>
        <w:b/>
        <w:bCs/>
        <w:spacing w:val="-13"/>
        <w:sz w:val="18"/>
        <w:szCs w:val="18"/>
      </w:rPr>
      <w:t>499</w:t>
    </w:r>
    <w:r>
      <w:rPr>
        <w:spacing w:val="-13"/>
        <w:sz w:val="18"/>
        <w:szCs w:val="18"/>
      </w:rPr>
      <w:t xml:space="preserve"> </w:t>
    </w:r>
    <w:r>
      <w:rPr>
        <w:b/>
        <w:bCs/>
        <w:spacing w:val="-13"/>
        <w:sz w:val="18"/>
        <w:szCs w:val="18"/>
      </w:rPr>
      <w:t>页</w:t>
    </w:r>
  </w:p>
</w:ftr>
</file>

<file path=word/footer3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AA07DE">
    <w:pPr>
      <w:spacing w:after="13" w:line="454" w:lineRule="exact"/>
    </w:pPr>
  </w:p>
  <w:p w14:paraId="44BB8701">
    <w:pPr>
      <w:pStyle w:val="2"/>
      <w:spacing w:line="207" w:lineRule="auto"/>
      <w:ind w:left="5067"/>
      <w:rPr>
        <w:sz w:val="18"/>
        <w:szCs w:val="18"/>
      </w:rPr>
    </w:pPr>
    <w:r>
      <w:rPr>
        <w:b/>
        <w:bCs/>
        <w:spacing w:val="-13"/>
        <w:sz w:val="18"/>
        <w:szCs w:val="18"/>
      </w:rPr>
      <w:t>第</w:t>
    </w:r>
    <w:r>
      <w:rPr>
        <w:spacing w:val="-28"/>
        <w:sz w:val="18"/>
        <w:szCs w:val="18"/>
      </w:rPr>
      <w:t xml:space="preserve"> </w:t>
    </w:r>
    <w:r>
      <w:rPr>
        <w:b/>
        <w:bCs/>
        <w:spacing w:val="-13"/>
        <w:sz w:val="18"/>
        <w:szCs w:val="18"/>
      </w:rPr>
      <w:t>405</w:t>
    </w:r>
    <w:r>
      <w:rPr>
        <w:spacing w:val="-13"/>
        <w:sz w:val="18"/>
        <w:szCs w:val="18"/>
      </w:rPr>
      <w:t xml:space="preserve"> </w:t>
    </w:r>
    <w:r>
      <w:rPr>
        <w:b/>
        <w:bCs/>
        <w:spacing w:val="-13"/>
        <w:sz w:val="18"/>
        <w:szCs w:val="18"/>
      </w:rPr>
      <w:t>页</w:t>
    </w:r>
    <w:r>
      <w:rPr>
        <w:spacing w:val="-27"/>
        <w:sz w:val="18"/>
        <w:szCs w:val="18"/>
      </w:rPr>
      <w:t xml:space="preserve"> </w:t>
    </w:r>
    <w:r>
      <w:rPr>
        <w:b/>
        <w:bCs/>
        <w:spacing w:val="-13"/>
        <w:sz w:val="18"/>
        <w:szCs w:val="18"/>
      </w:rPr>
      <w:t>共</w:t>
    </w:r>
    <w:r>
      <w:rPr>
        <w:spacing w:val="-39"/>
        <w:sz w:val="18"/>
        <w:szCs w:val="18"/>
      </w:rPr>
      <w:t xml:space="preserve"> </w:t>
    </w:r>
    <w:r>
      <w:rPr>
        <w:b/>
        <w:bCs/>
        <w:spacing w:val="-13"/>
        <w:sz w:val="18"/>
        <w:szCs w:val="18"/>
      </w:rPr>
      <w:t>499</w:t>
    </w:r>
    <w:r>
      <w:rPr>
        <w:spacing w:val="-13"/>
        <w:sz w:val="18"/>
        <w:szCs w:val="18"/>
      </w:rPr>
      <w:t xml:space="preserve"> </w:t>
    </w:r>
    <w:r>
      <w:rPr>
        <w:b/>
        <w:bCs/>
        <w:spacing w:val="-13"/>
        <w:sz w:val="18"/>
        <w:szCs w:val="18"/>
      </w:rPr>
      <w:t>页</w:t>
    </w:r>
  </w:p>
</w:ftr>
</file>

<file path=word/footer3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DC5218">
    <w:pPr>
      <w:spacing w:after="13" w:line="454" w:lineRule="exact"/>
    </w:pPr>
  </w:p>
  <w:p w14:paraId="43F3E592">
    <w:pPr>
      <w:pStyle w:val="2"/>
      <w:spacing w:line="207" w:lineRule="auto"/>
      <w:ind w:left="5067"/>
      <w:rPr>
        <w:sz w:val="18"/>
        <w:szCs w:val="18"/>
      </w:rPr>
    </w:pPr>
    <w:r>
      <w:rPr>
        <w:b/>
        <w:bCs/>
        <w:spacing w:val="-13"/>
        <w:sz w:val="18"/>
        <w:szCs w:val="18"/>
      </w:rPr>
      <w:t>第</w:t>
    </w:r>
    <w:r>
      <w:rPr>
        <w:spacing w:val="-28"/>
        <w:sz w:val="18"/>
        <w:szCs w:val="18"/>
      </w:rPr>
      <w:t xml:space="preserve"> </w:t>
    </w:r>
    <w:r>
      <w:rPr>
        <w:b/>
        <w:bCs/>
        <w:spacing w:val="-13"/>
        <w:sz w:val="18"/>
        <w:szCs w:val="18"/>
      </w:rPr>
      <w:t>406</w:t>
    </w:r>
    <w:r>
      <w:rPr>
        <w:spacing w:val="-13"/>
        <w:sz w:val="18"/>
        <w:szCs w:val="18"/>
      </w:rPr>
      <w:t xml:space="preserve"> </w:t>
    </w:r>
    <w:r>
      <w:rPr>
        <w:b/>
        <w:bCs/>
        <w:spacing w:val="-13"/>
        <w:sz w:val="18"/>
        <w:szCs w:val="18"/>
      </w:rPr>
      <w:t>页</w:t>
    </w:r>
    <w:r>
      <w:rPr>
        <w:spacing w:val="-27"/>
        <w:sz w:val="18"/>
        <w:szCs w:val="18"/>
      </w:rPr>
      <w:t xml:space="preserve"> </w:t>
    </w:r>
    <w:r>
      <w:rPr>
        <w:b/>
        <w:bCs/>
        <w:spacing w:val="-13"/>
        <w:sz w:val="18"/>
        <w:szCs w:val="18"/>
      </w:rPr>
      <w:t>共</w:t>
    </w:r>
    <w:r>
      <w:rPr>
        <w:spacing w:val="-39"/>
        <w:sz w:val="18"/>
        <w:szCs w:val="18"/>
      </w:rPr>
      <w:t xml:space="preserve"> </w:t>
    </w:r>
    <w:r>
      <w:rPr>
        <w:b/>
        <w:bCs/>
        <w:spacing w:val="-13"/>
        <w:sz w:val="18"/>
        <w:szCs w:val="18"/>
      </w:rPr>
      <w:t>499</w:t>
    </w:r>
    <w:r>
      <w:rPr>
        <w:spacing w:val="-13"/>
        <w:sz w:val="18"/>
        <w:szCs w:val="18"/>
      </w:rPr>
      <w:t xml:space="preserve"> </w:t>
    </w:r>
    <w:r>
      <w:rPr>
        <w:b/>
        <w:bCs/>
        <w:spacing w:val="-13"/>
        <w:sz w:val="18"/>
        <w:szCs w:val="18"/>
      </w:rPr>
      <w:t>页</w:t>
    </w:r>
  </w:p>
</w:ftr>
</file>

<file path=word/footer3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4450E2">
    <w:pPr>
      <w:spacing w:after="13" w:line="454" w:lineRule="exact"/>
    </w:pPr>
  </w:p>
  <w:p w14:paraId="6B1A031A">
    <w:pPr>
      <w:pStyle w:val="2"/>
      <w:spacing w:line="207" w:lineRule="auto"/>
      <w:ind w:left="5067"/>
      <w:rPr>
        <w:sz w:val="18"/>
        <w:szCs w:val="18"/>
      </w:rPr>
    </w:pPr>
    <w:r>
      <w:rPr>
        <w:b/>
        <w:bCs/>
        <w:spacing w:val="-13"/>
        <w:sz w:val="18"/>
        <w:szCs w:val="18"/>
      </w:rPr>
      <w:t>第</w:t>
    </w:r>
    <w:r>
      <w:rPr>
        <w:spacing w:val="-28"/>
        <w:sz w:val="18"/>
        <w:szCs w:val="18"/>
      </w:rPr>
      <w:t xml:space="preserve"> </w:t>
    </w:r>
    <w:r>
      <w:rPr>
        <w:b/>
        <w:bCs/>
        <w:spacing w:val="-13"/>
        <w:sz w:val="18"/>
        <w:szCs w:val="18"/>
      </w:rPr>
      <w:t>407</w:t>
    </w:r>
    <w:r>
      <w:rPr>
        <w:spacing w:val="-13"/>
        <w:sz w:val="18"/>
        <w:szCs w:val="18"/>
      </w:rPr>
      <w:t xml:space="preserve"> </w:t>
    </w:r>
    <w:r>
      <w:rPr>
        <w:b/>
        <w:bCs/>
        <w:spacing w:val="-13"/>
        <w:sz w:val="18"/>
        <w:szCs w:val="18"/>
      </w:rPr>
      <w:t>页</w:t>
    </w:r>
    <w:r>
      <w:rPr>
        <w:spacing w:val="-27"/>
        <w:sz w:val="18"/>
        <w:szCs w:val="18"/>
      </w:rPr>
      <w:t xml:space="preserve"> </w:t>
    </w:r>
    <w:r>
      <w:rPr>
        <w:b/>
        <w:bCs/>
        <w:spacing w:val="-13"/>
        <w:sz w:val="18"/>
        <w:szCs w:val="18"/>
      </w:rPr>
      <w:t>共</w:t>
    </w:r>
    <w:r>
      <w:rPr>
        <w:spacing w:val="-39"/>
        <w:sz w:val="18"/>
        <w:szCs w:val="18"/>
      </w:rPr>
      <w:t xml:space="preserve"> </w:t>
    </w:r>
    <w:r>
      <w:rPr>
        <w:b/>
        <w:bCs/>
        <w:spacing w:val="-13"/>
        <w:sz w:val="18"/>
        <w:szCs w:val="18"/>
      </w:rPr>
      <w:t>499</w:t>
    </w:r>
    <w:r>
      <w:rPr>
        <w:spacing w:val="-13"/>
        <w:sz w:val="18"/>
        <w:szCs w:val="18"/>
      </w:rPr>
      <w:t xml:space="preserve"> </w:t>
    </w:r>
    <w:r>
      <w:rPr>
        <w:b/>
        <w:bCs/>
        <w:spacing w:val="-13"/>
        <w:sz w:val="18"/>
        <w:szCs w:val="18"/>
      </w:rPr>
      <w:t>页</w:t>
    </w:r>
  </w:p>
</w:ftr>
</file>

<file path=word/footer3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DCCF5F">
    <w:pPr>
      <w:spacing w:after="13" w:line="454" w:lineRule="exact"/>
    </w:pPr>
  </w:p>
  <w:p w14:paraId="7B540E47">
    <w:pPr>
      <w:pStyle w:val="2"/>
      <w:spacing w:line="207" w:lineRule="auto"/>
      <w:ind w:left="5067"/>
      <w:rPr>
        <w:sz w:val="18"/>
        <w:szCs w:val="18"/>
      </w:rPr>
    </w:pPr>
    <w:r>
      <w:rPr>
        <w:b/>
        <w:bCs/>
        <w:spacing w:val="-13"/>
        <w:sz w:val="18"/>
        <w:szCs w:val="18"/>
      </w:rPr>
      <w:t>第</w:t>
    </w:r>
    <w:r>
      <w:rPr>
        <w:spacing w:val="-28"/>
        <w:sz w:val="18"/>
        <w:szCs w:val="18"/>
      </w:rPr>
      <w:t xml:space="preserve"> </w:t>
    </w:r>
    <w:r>
      <w:rPr>
        <w:b/>
        <w:bCs/>
        <w:spacing w:val="-13"/>
        <w:sz w:val="18"/>
        <w:szCs w:val="18"/>
      </w:rPr>
      <w:t>408</w:t>
    </w:r>
    <w:r>
      <w:rPr>
        <w:spacing w:val="-13"/>
        <w:sz w:val="18"/>
        <w:szCs w:val="18"/>
      </w:rPr>
      <w:t xml:space="preserve"> </w:t>
    </w:r>
    <w:r>
      <w:rPr>
        <w:b/>
        <w:bCs/>
        <w:spacing w:val="-13"/>
        <w:sz w:val="18"/>
        <w:szCs w:val="18"/>
      </w:rPr>
      <w:t>页</w:t>
    </w:r>
    <w:r>
      <w:rPr>
        <w:spacing w:val="-27"/>
        <w:sz w:val="18"/>
        <w:szCs w:val="18"/>
      </w:rPr>
      <w:t xml:space="preserve"> </w:t>
    </w:r>
    <w:r>
      <w:rPr>
        <w:b/>
        <w:bCs/>
        <w:spacing w:val="-13"/>
        <w:sz w:val="18"/>
        <w:szCs w:val="18"/>
      </w:rPr>
      <w:t>共</w:t>
    </w:r>
    <w:r>
      <w:rPr>
        <w:spacing w:val="-39"/>
        <w:sz w:val="18"/>
        <w:szCs w:val="18"/>
      </w:rPr>
      <w:t xml:space="preserve"> </w:t>
    </w:r>
    <w:r>
      <w:rPr>
        <w:b/>
        <w:bCs/>
        <w:spacing w:val="-13"/>
        <w:sz w:val="18"/>
        <w:szCs w:val="18"/>
      </w:rPr>
      <w:t>499</w:t>
    </w:r>
    <w:r>
      <w:rPr>
        <w:spacing w:val="-13"/>
        <w:sz w:val="18"/>
        <w:szCs w:val="18"/>
      </w:rPr>
      <w:t xml:space="preserve"> </w:t>
    </w:r>
    <w:r>
      <w:rPr>
        <w:b/>
        <w:bCs/>
        <w:spacing w:val="-13"/>
        <w:sz w:val="18"/>
        <w:szCs w:val="18"/>
      </w:rPr>
      <w:t>页</w:t>
    </w:r>
  </w:p>
</w:ftr>
</file>

<file path=word/footer3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3A4FDA">
    <w:pPr>
      <w:spacing w:after="13" w:line="454" w:lineRule="exact"/>
    </w:pPr>
  </w:p>
  <w:p w14:paraId="0DBD315A">
    <w:pPr>
      <w:pStyle w:val="2"/>
      <w:spacing w:line="207" w:lineRule="auto"/>
      <w:ind w:left="5067"/>
      <w:rPr>
        <w:sz w:val="18"/>
        <w:szCs w:val="18"/>
      </w:rPr>
    </w:pPr>
    <w:r>
      <w:rPr>
        <w:b/>
        <w:bCs/>
        <w:spacing w:val="-13"/>
        <w:sz w:val="18"/>
        <w:szCs w:val="18"/>
      </w:rPr>
      <w:t>第</w:t>
    </w:r>
    <w:r>
      <w:rPr>
        <w:spacing w:val="-28"/>
        <w:sz w:val="18"/>
        <w:szCs w:val="18"/>
      </w:rPr>
      <w:t xml:space="preserve"> </w:t>
    </w:r>
    <w:r>
      <w:rPr>
        <w:b/>
        <w:bCs/>
        <w:spacing w:val="-13"/>
        <w:sz w:val="18"/>
        <w:szCs w:val="18"/>
      </w:rPr>
      <w:t>409</w:t>
    </w:r>
    <w:r>
      <w:rPr>
        <w:spacing w:val="-13"/>
        <w:sz w:val="18"/>
        <w:szCs w:val="18"/>
      </w:rPr>
      <w:t xml:space="preserve"> </w:t>
    </w:r>
    <w:r>
      <w:rPr>
        <w:b/>
        <w:bCs/>
        <w:spacing w:val="-13"/>
        <w:sz w:val="18"/>
        <w:szCs w:val="18"/>
      </w:rPr>
      <w:t>页</w:t>
    </w:r>
    <w:r>
      <w:rPr>
        <w:spacing w:val="-27"/>
        <w:sz w:val="18"/>
        <w:szCs w:val="18"/>
      </w:rPr>
      <w:t xml:space="preserve"> </w:t>
    </w:r>
    <w:r>
      <w:rPr>
        <w:b/>
        <w:bCs/>
        <w:spacing w:val="-13"/>
        <w:sz w:val="18"/>
        <w:szCs w:val="18"/>
      </w:rPr>
      <w:t>共</w:t>
    </w:r>
    <w:r>
      <w:rPr>
        <w:spacing w:val="-39"/>
        <w:sz w:val="18"/>
        <w:szCs w:val="18"/>
      </w:rPr>
      <w:t xml:space="preserve"> </w:t>
    </w:r>
    <w:r>
      <w:rPr>
        <w:b/>
        <w:bCs/>
        <w:spacing w:val="-13"/>
        <w:sz w:val="18"/>
        <w:szCs w:val="18"/>
      </w:rPr>
      <w:t>499</w:t>
    </w:r>
    <w:r>
      <w:rPr>
        <w:spacing w:val="-13"/>
        <w:sz w:val="18"/>
        <w:szCs w:val="18"/>
      </w:rPr>
      <w:t xml:space="preserve"> </w:t>
    </w:r>
    <w:r>
      <w:rPr>
        <w:b/>
        <w:bCs/>
        <w:spacing w:val="-13"/>
        <w:sz w:val="18"/>
        <w:szCs w:val="18"/>
      </w:rPr>
      <w:t>页</w:t>
    </w:r>
  </w:p>
</w:ftr>
</file>

<file path=word/footer3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4E6664">
    <w:pPr>
      <w:spacing w:after="13" w:line="454" w:lineRule="exact"/>
    </w:pPr>
  </w:p>
  <w:p w14:paraId="060C1911">
    <w:pPr>
      <w:pStyle w:val="2"/>
      <w:spacing w:line="207" w:lineRule="auto"/>
      <w:ind w:left="5067"/>
      <w:rPr>
        <w:sz w:val="18"/>
        <w:szCs w:val="18"/>
      </w:rPr>
    </w:pPr>
    <w:r>
      <w:rPr>
        <w:b/>
        <w:bCs/>
        <w:spacing w:val="-13"/>
        <w:sz w:val="18"/>
        <w:szCs w:val="18"/>
      </w:rPr>
      <w:t>第</w:t>
    </w:r>
    <w:r>
      <w:rPr>
        <w:spacing w:val="-28"/>
        <w:sz w:val="18"/>
        <w:szCs w:val="18"/>
      </w:rPr>
      <w:t xml:space="preserve"> </w:t>
    </w:r>
    <w:r>
      <w:rPr>
        <w:b/>
        <w:bCs/>
        <w:spacing w:val="-13"/>
        <w:sz w:val="18"/>
        <w:szCs w:val="18"/>
      </w:rPr>
      <w:t>410</w:t>
    </w:r>
    <w:r>
      <w:rPr>
        <w:spacing w:val="-13"/>
        <w:sz w:val="18"/>
        <w:szCs w:val="18"/>
      </w:rPr>
      <w:t xml:space="preserve"> </w:t>
    </w:r>
    <w:r>
      <w:rPr>
        <w:b/>
        <w:bCs/>
        <w:spacing w:val="-13"/>
        <w:sz w:val="18"/>
        <w:szCs w:val="18"/>
      </w:rPr>
      <w:t>页</w:t>
    </w:r>
    <w:r>
      <w:rPr>
        <w:spacing w:val="-27"/>
        <w:sz w:val="18"/>
        <w:szCs w:val="18"/>
      </w:rPr>
      <w:t xml:space="preserve"> </w:t>
    </w:r>
    <w:r>
      <w:rPr>
        <w:b/>
        <w:bCs/>
        <w:spacing w:val="-13"/>
        <w:sz w:val="18"/>
        <w:szCs w:val="18"/>
      </w:rPr>
      <w:t>共</w:t>
    </w:r>
    <w:r>
      <w:rPr>
        <w:spacing w:val="-39"/>
        <w:sz w:val="18"/>
        <w:szCs w:val="18"/>
      </w:rPr>
      <w:t xml:space="preserve"> </w:t>
    </w:r>
    <w:r>
      <w:rPr>
        <w:b/>
        <w:bCs/>
        <w:spacing w:val="-13"/>
        <w:sz w:val="18"/>
        <w:szCs w:val="18"/>
      </w:rPr>
      <w:t>499</w:t>
    </w:r>
    <w:r>
      <w:rPr>
        <w:spacing w:val="-13"/>
        <w:sz w:val="18"/>
        <w:szCs w:val="18"/>
      </w:rPr>
      <w:t xml:space="preserve"> </w:t>
    </w:r>
    <w:r>
      <w:rPr>
        <w:b/>
        <w:bCs/>
        <w:spacing w:val="-13"/>
        <w:sz w:val="18"/>
        <w:szCs w:val="18"/>
      </w:rPr>
      <w:t>页</w: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0E7994">
    <w:pPr>
      <w:spacing w:after="13" w:line="454" w:lineRule="exact"/>
    </w:pPr>
  </w:p>
  <w:p w14:paraId="2EC942A9">
    <w:pPr>
      <w:pStyle w:val="2"/>
      <w:spacing w:line="207" w:lineRule="auto"/>
      <w:ind w:left="5106"/>
      <w:rPr>
        <w:sz w:val="18"/>
        <w:szCs w:val="18"/>
      </w:rPr>
    </w:pPr>
    <w:r>
      <w:rPr>
        <w:b/>
        <w:bCs/>
        <w:spacing w:val="-13"/>
        <w:sz w:val="18"/>
        <w:szCs w:val="18"/>
      </w:rPr>
      <w:t>第</w:t>
    </w:r>
    <w:r>
      <w:rPr>
        <w:spacing w:val="-28"/>
        <w:sz w:val="18"/>
        <w:szCs w:val="18"/>
      </w:rPr>
      <w:t xml:space="preserve"> </w:t>
    </w:r>
    <w:r>
      <w:rPr>
        <w:b/>
        <w:bCs/>
        <w:spacing w:val="-13"/>
        <w:sz w:val="18"/>
        <w:szCs w:val="18"/>
      </w:rPr>
      <w:t>63</w:t>
    </w:r>
    <w:r>
      <w:rPr>
        <w:spacing w:val="-13"/>
        <w:sz w:val="18"/>
        <w:szCs w:val="18"/>
      </w:rPr>
      <w:t xml:space="preserve"> </w:t>
    </w:r>
    <w:r>
      <w:rPr>
        <w:b/>
        <w:bCs/>
        <w:spacing w:val="-13"/>
        <w:sz w:val="18"/>
        <w:szCs w:val="18"/>
      </w:rPr>
      <w:t>页</w:t>
    </w:r>
    <w:r>
      <w:rPr>
        <w:spacing w:val="-28"/>
        <w:sz w:val="18"/>
        <w:szCs w:val="18"/>
      </w:rPr>
      <w:t xml:space="preserve"> </w:t>
    </w:r>
    <w:r>
      <w:rPr>
        <w:b/>
        <w:bCs/>
        <w:spacing w:val="-13"/>
        <w:sz w:val="18"/>
        <w:szCs w:val="18"/>
      </w:rPr>
      <w:t>共</w:t>
    </w:r>
    <w:r>
      <w:rPr>
        <w:spacing w:val="-38"/>
        <w:sz w:val="18"/>
        <w:szCs w:val="18"/>
      </w:rPr>
      <w:t xml:space="preserve"> </w:t>
    </w:r>
    <w:r>
      <w:rPr>
        <w:b/>
        <w:bCs/>
        <w:spacing w:val="-13"/>
        <w:sz w:val="18"/>
        <w:szCs w:val="18"/>
      </w:rPr>
      <w:t>499</w:t>
    </w:r>
    <w:r>
      <w:rPr>
        <w:spacing w:val="-13"/>
        <w:sz w:val="18"/>
        <w:szCs w:val="18"/>
      </w:rPr>
      <w:t xml:space="preserve"> </w:t>
    </w:r>
    <w:r>
      <w:rPr>
        <w:b/>
        <w:bCs/>
        <w:spacing w:val="-13"/>
        <w:sz w:val="18"/>
        <w:szCs w:val="18"/>
      </w:rPr>
      <w:t>页</w:t>
    </w:r>
  </w:p>
</w:ftr>
</file>

<file path=word/footer3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66EEB4">
    <w:pPr>
      <w:spacing w:after="13" w:line="454" w:lineRule="exact"/>
    </w:pPr>
  </w:p>
  <w:p w14:paraId="7A17C2E0">
    <w:pPr>
      <w:pStyle w:val="2"/>
      <w:spacing w:line="207" w:lineRule="auto"/>
      <w:ind w:left="5067"/>
      <w:rPr>
        <w:sz w:val="18"/>
        <w:szCs w:val="18"/>
      </w:rPr>
    </w:pPr>
    <w:r>
      <w:rPr>
        <w:b/>
        <w:bCs/>
        <w:spacing w:val="-13"/>
        <w:sz w:val="18"/>
        <w:szCs w:val="18"/>
      </w:rPr>
      <w:t>第</w:t>
    </w:r>
    <w:r>
      <w:rPr>
        <w:spacing w:val="-28"/>
        <w:sz w:val="18"/>
        <w:szCs w:val="18"/>
      </w:rPr>
      <w:t xml:space="preserve"> </w:t>
    </w:r>
    <w:r>
      <w:rPr>
        <w:b/>
        <w:bCs/>
        <w:spacing w:val="-13"/>
        <w:sz w:val="18"/>
        <w:szCs w:val="18"/>
      </w:rPr>
      <w:t>411</w:t>
    </w:r>
    <w:r>
      <w:rPr>
        <w:spacing w:val="-13"/>
        <w:sz w:val="18"/>
        <w:szCs w:val="18"/>
      </w:rPr>
      <w:t xml:space="preserve"> </w:t>
    </w:r>
    <w:r>
      <w:rPr>
        <w:b/>
        <w:bCs/>
        <w:spacing w:val="-13"/>
        <w:sz w:val="18"/>
        <w:szCs w:val="18"/>
      </w:rPr>
      <w:t>页</w:t>
    </w:r>
    <w:r>
      <w:rPr>
        <w:spacing w:val="-27"/>
        <w:sz w:val="18"/>
        <w:szCs w:val="18"/>
      </w:rPr>
      <w:t xml:space="preserve"> </w:t>
    </w:r>
    <w:r>
      <w:rPr>
        <w:b/>
        <w:bCs/>
        <w:spacing w:val="-13"/>
        <w:sz w:val="18"/>
        <w:szCs w:val="18"/>
      </w:rPr>
      <w:t>共</w:t>
    </w:r>
    <w:r>
      <w:rPr>
        <w:spacing w:val="-39"/>
        <w:sz w:val="18"/>
        <w:szCs w:val="18"/>
      </w:rPr>
      <w:t xml:space="preserve"> </w:t>
    </w:r>
    <w:r>
      <w:rPr>
        <w:b/>
        <w:bCs/>
        <w:spacing w:val="-13"/>
        <w:sz w:val="18"/>
        <w:szCs w:val="18"/>
      </w:rPr>
      <w:t>499</w:t>
    </w:r>
    <w:r>
      <w:rPr>
        <w:spacing w:val="-13"/>
        <w:sz w:val="18"/>
        <w:szCs w:val="18"/>
      </w:rPr>
      <w:t xml:space="preserve"> </w:t>
    </w:r>
    <w:r>
      <w:rPr>
        <w:b/>
        <w:bCs/>
        <w:spacing w:val="-13"/>
        <w:sz w:val="18"/>
        <w:szCs w:val="18"/>
      </w:rPr>
      <w:t>页</w:t>
    </w:r>
  </w:p>
</w:ftr>
</file>

<file path=word/footer3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6AD213">
    <w:pPr>
      <w:spacing w:after="13" w:line="454" w:lineRule="exact"/>
    </w:pPr>
  </w:p>
  <w:p w14:paraId="387D4750">
    <w:pPr>
      <w:pStyle w:val="2"/>
      <w:spacing w:line="207" w:lineRule="auto"/>
      <w:ind w:left="5067"/>
      <w:rPr>
        <w:sz w:val="18"/>
        <w:szCs w:val="18"/>
      </w:rPr>
    </w:pPr>
    <w:r>
      <w:rPr>
        <w:b/>
        <w:bCs/>
        <w:spacing w:val="-13"/>
        <w:sz w:val="18"/>
        <w:szCs w:val="18"/>
      </w:rPr>
      <w:t>第</w:t>
    </w:r>
    <w:r>
      <w:rPr>
        <w:spacing w:val="-28"/>
        <w:sz w:val="18"/>
        <w:szCs w:val="18"/>
      </w:rPr>
      <w:t xml:space="preserve"> </w:t>
    </w:r>
    <w:r>
      <w:rPr>
        <w:b/>
        <w:bCs/>
        <w:spacing w:val="-13"/>
        <w:sz w:val="18"/>
        <w:szCs w:val="18"/>
      </w:rPr>
      <w:t>412</w:t>
    </w:r>
    <w:r>
      <w:rPr>
        <w:spacing w:val="-13"/>
        <w:sz w:val="18"/>
        <w:szCs w:val="18"/>
      </w:rPr>
      <w:t xml:space="preserve"> </w:t>
    </w:r>
    <w:r>
      <w:rPr>
        <w:b/>
        <w:bCs/>
        <w:spacing w:val="-13"/>
        <w:sz w:val="18"/>
        <w:szCs w:val="18"/>
      </w:rPr>
      <w:t>页</w:t>
    </w:r>
    <w:r>
      <w:rPr>
        <w:spacing w:val="-27"/>
        <w:sz w:val="18"/>
        <w:szCs w:val="18"/>
      </w:rPr>
      <w:t xml:space="preserve"> </w:t>
    </w:r>
    <w:r>
      <w:rPr>
        <w:b/>
        <w:bCs/>
        <w:spacing w:val="-13"/>
        <w:sz w:val="18"/>
        <w:szCs w:val="18"/>
      </w:rPr>
      <w:t>共</w:t>
    </w:r>
    <w:r>
      <w:rPr>
        <w:spacing w:val="-39"/>
        <w:sz w:val="18"/>
        <w:szCs w:val="18"/>
      </w:rPr>
      <w:t xml:space="preserve"> </w:t>
    </w:r>
    <w:r>
      <w:rPr>
        <w:b/>
        <w:bCs/>
        <w:spacing w:val="-13"/>
        <w:sz w:val="18"/>
        <w:szCs w:val="18"/>
      </w:rPr>
      <w:t>499</w:t>
    </w:r>
    <w:r>
      <w:rPr>
        <w:spacing w:val="-13"/>
        <w:sz w:val="18"/>
        <w:szCs w:val="18"/>
      </w:rPr>
      <w:t xml:space="preserve"> </w:t>
    </w:r>
    <w:r>
      <w:rPr>
        <w:b/>
        <w:bCs/>
        <w:spacing w:val="-13"/>
        <w:sz w:val="18"/>
        <w:szCs w:val="18"/>
      </w:rPr>
      <w:t>页</w:t>
    </w:r>
  </w:p>
</w:ftr>
</file>

<file path=word/footer3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C9517F">
    <w:pPr>
      <w:spacing w:after="13" w:line="454" w:lineRule="exact"/>
    </w:pPr>
  </w:p>
  <w:p w14:paraId="589BC693">
    <w:pPr>
      <w:pStyle w:val="2"/>
      <w:spacing w:line="207" w:lineRule="auto"/>
      <w:ind w:left="5067"/>
      <w:rPr>
        <w:sz w:val="18"/>
        <w:szCs w:val="18"/>
      </w:rPr>
    </w:pPr>
    <w:r>
      <w:rPr>
        <w:b/>
        <w:bCs/>
        <w:spacing w:val="-13"/>
        <w:sz w:val="18"/>
        <w:szCs w:val="18"/>
      </w:rPr>
      <w:t>第</w:t>
    </w:r>
    <w:r>
      <w:rPr>
        <w:spacing w:val="-28"/>
        <w:sz w:val="18"/>
        <w:szCs w:val="18"/>
      </w:rPr>
      <w:t xml:space="preserve"> </w:t>
    </w:r>
    <w:r>
      <w:rPr>
        <w:b/>
        <w:bCs/>
        <w:spacing w:val="-13"/>
        <w:sz w:val="18"/>
        <w:szCs w:val="18"/>
      </w:rPr>
      <w:t>413</w:t>
    </w:r>
    <w:r>
      <w:rPr>
        <w:spacing w:val="-13"/>
        <w:sz w:val="18"/>
        <w:szCs w:val="18"/>
      </w:rPr>
      <w:t xml:space="preserve"> </w:t>
    </w:r>
    <w:r>
      <w:rPr>
        <w:b/>
        <w:bCs/>
        <w:spacing w:val="-13"/>
        <w:sz w:val="18"/>
        <w:szCs w:val="18"/>
      </w:rPr>
      <w:t>页</w:t>
    </w:r>
    <w:r>
      <w:rPr>
        <w:spacing w:val="-27"/>
        <w:sz w:val="18"/>
        <w:szCs w:val="18"/>
      </w:rPr>
      <w:t xml:space="preserve"> </w:t>
    </w:r>
    <w:r>
      <w:rPr>
        <w:b/>
        <w:bCs/>
        <w:spacing w:val="-13"/>
        <w:sz w:val="18"/>
        <w:szCs w:val="18"/>
      </w:rPr>
      <w:t>共</w:t>
    </w:r>
    <w:r>
      <w:rPr>
        <w:spacing w:val="-39"/>
        <w:sz w:val="18"/>
        <w:szCs w:val="18"/>
      </w:rPr>
      <w:t xml:space="preserve"> </w:t>
    </w:r>
    <w:r>
      <w:rPr>
        <w:b/>
        <w:bCs/>
        <w:spacing w:val="-13"/>
        <w:sz w:val="18"/>
        <w:szCs w:val="18"/>
      </w:rPr>
      <w:t>499</w:t>
    </w:r>
    <w:r>
      <w:rPr>
        <w:spacing w:val="-13"/>
        <w:sz w:val="18"/>
        <w:szCs w:val="18"/>
      </w:rPr>
      <w:t xml:space="preserve"> </w:t>
    </w:r>
    <w:r>
      <w:rPr>
        <w:b/>
        <w:bCs/>
        <w:spacing w:val="-13"/>
        <w:sz w:val="18"/>
        <w:szCs w:val="18"/>
      </w:rPr>
      <w:t>页</w:t>
    </w:r>
  </w:p>
</w:ftr>
</file>

<file path=word/footer3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47FABF">
    <w:pPr>
      <w:spacing w:after="13" w:line="454" w:lineRule="exact"/>
    </w:pPr>
  </w:p>
  <w:p w14:paraId="1CC15E7E">
    <w:pPr>
      <w:pStyle w:val="2"/>
      <w:spacing w:line="207" w:lineRule="auto"/>
      <w:ind w:left="5067"/>
      <w:rPr>
        <w:sz w:val="18"/>
        <w:szCs w:val="18"/>
      </w:rPr>
    </w:pPr>
    <w:r>
      <w:rPr>
        <w:b/>
        <w:bCs/>
        <w:spacing w:val="-13"/>
        <w:sz w:val="18"/>
        <w:szCs w:val="18"/>
      </w:rPr>
      <w:t>第</w:t>
    </w:r>
    <w:r>
      <w:rPr>
        <w:spacing w:val="-28"/>
        <w:sz w:val="18"/>
        <w:szCs w:val="18"/>
      </w:rPr>
      <w:t xml:space="preserve"> </w:t>
    </w:r>
    <w:r>
      <w:rPr>
        <w:b/>
        <w:bCs/>
        <w:spacing w:val="-13"/>
        <w:sz w:val="18"/>
        <w:szCs w:val="18"/>
      </w:rPr>
      <w:t>414</w:t>
    </w:r>
    <w:r>
      <w:rPr>
        <w:spacing w:val="-13"/>
        <w:sz w:val="18"/>
        <w:szCs w:val="18"/>
      </w:rPr>
      <w:t xml:space="preserve"> </w:t>
    </w:r>
    <w:r>
      <w:rPr>
        <w:b/>
        <w:bCs/>
        <w:spacing w:val="-13"/>
        <w:sz w:val="18"/>
        <w:szCs w:val="18"/>
      </w:rPr>
      <w:t>页</w:t>
    </w:r>
    <w:r>
      <w:rPr>
        <w:spacing w:val="-27"/>
        <w:sz w:val="18"/>
        <w:szCs w:val="18"/>
      </w:rPr>
      <w:t xml:space="preserve"> </w:t>
    </w:r>
    <w:r>
      <w:rPr>
        <w:b/>
        <w:bCs/>
        <w:spacing w:val="-13"/>
        <w:sz w:val="18"/>
        <w:szCs w:val="18"/>
      </w:rPr>
      <w:t>共</w:t>
    </w:r>
    <w:r>
      <w:rPr>
        <w:spacing w:val="-39"/>
        <w:sz w:val="18"/>
        <w:szCs w:val="18"/>
      </w:rPr>
      <w:t xml:space="preserve"> </w:t>
    </w:r>
    <w:r>
      <w:rPr>
        <w:b/>
        <w:bCs/>
        <w:spacing w:val="-13"/>
        <w:sz w:val="18"/>
        <w:szCs w:val="18"/>
      </w:rPr>
      <w:t>499</w:t>
    </w:r>
    <w:r>
      <w:rPr>
        <w:spacing w:val="-13"/>
        <w:sz w:val="18"/>
        <w:szCs w:val="18"/>
      </w:rPr>
      <w:t xml:space="preserve"> </w:t>
    </w:r>
    <w:r>
      <w:rPr>
        <w:b/>
        <w:bCs/>
        <w:spacing w:val="-13"/>
        <w:sz w:val="18"/>
        <w:szCs w:val="18"/>
      </w:rPr>
      <w:t>页</w:t>
    </w:r>
  </w:p>
</w:ftr>
</file>

<file path=word/footer3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59ABFF">
    <w:pPr>
      <w:spacing w:after="13" w:line="454" w:lineRule="exact"/>
    </w:pPr>
  </w:p>
  <w:p w14:paraId="1009B464">
    <w:pPr>
      <w:pStyle w:val="2"/>
      <w:spacing w:line="207" w:lineRule="auto"/>
      <w:ind w:left="5067"/>
      <w:rPr>
        <w:sz w:val="18"/>
        <w:szCs w:val="18"/>
      </w:rPr>
    </w:pPr>
    <w:r>
      <w:rPr>
        <w:b/>
        <w:bCs/>
        <w:spacing w:val="-13"/>
        <w:sz w:val="18"/>
        <w:szCs w:val="18"/>
      </w:rPr>
      <w:t>第</w:t>
    </w:r>
    <w:r>
      <w:rPr>
        <w:spacing w:val="-28"/>
        <w:sz w:val="18"/>
        <w:szCs w:val="18"/>
      </w:rPr>
      <w:t xml:space="preserve"> </w:t>
    </w:r>
    <w:r>
      <w:rPr>
        <w:b/>
        <w:bCs/>
        <w:spacing w:val="-13"/>
        <w:sz w:val="18"/>
        <w:szCs w:val="18"/>
      </w:rPr>
      <w:t>415</w:t>
    </w:r>
    <w:r>
      <w:rPr>
        <w:spacing w:val="-13"/>
        <w:sz w:val="18"/>
        <w:szCs w:val="18"/>
      </w:rPr>
      <w:t xml:space="preserve"> </w:t>
    </w:r>
    <w:r>
      <w:rPr>
        <w:b/>
        <w:bCs/>
        <w:spacing w:val="-13"/>
        <w:sz w:val="18"/>
        <w:szCs w:val="18"/>
      </w:rPr>
      <w:t>页</w:t>
    </w:r>
    <w:r>
      <w:rPr>
        <w:spacing w:val="-27"/>
        <w:sz w:val="18"/>
        <w:szCs w:val="18"/>
      </w:rPr>
      <w:t xml:space="preserve"> </w:t>
    </w:r>
    <w:r>
      <w:rPr>
        <w:b/>
        <w:bCs/>
        <w:spacing w:val="-13"/>
        <w:sz w:val="18"/>
        <w:szCs w:val="18"/>
      </w:rPr>
      <w:t>共</w:t>
    </w:r>
    <w:r>
      <w:rPr>
        <w:spacing w:val="-39"/>
        <w:sz w:val="18"/>
        <w:szCs w:val="18"/>
      </w:rPr>
      <w:t xml:space="preserve"> </w:t>
    </w:r>
    <w:r>
      <w:rPr>
        <w:b/>
        <w:bCs/>
        <w:spacing w:val="-13"/>
        <w:sz w:val="18"/>
        <w:szCs w:val="18"/>
      </w:rPr>
      <w:t>499</w:t>
    </w:r>
    <w:r>
      <w:rPr>
        <w:spacing w:val="-13"/>
        <w:sz w:val="18"/>
        <w:szCs w:val="18"/>
      </w:rPr>
      <w:t xml:space="preserve"> </w:t>
    </w:r>
    <w:r>
      <w:rPr>
        <w:b/>
        <w:bCs/>
        <w:spacing w:val="-13"/>
        <w:sz w:val="18"/>
        <w:szCs w:val="18"/>
      </w:rPr>
      <w:t>页</w:t>
    </w:r>
  </w:p>
</w:ftr>
</file>

<file path=word/footer3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EEDADE">
    <w:pPr>
      <w:spacing w:after="13" w:line="454" w:lineRule="exact"/>
    </w:pPr>
  </w:p>
  <w:p w14:paraId="29F26B02">
    <w:pPr>
      <w:pStyle w:val="2"/>
      <w:spacing w:line="207" w:lineRule="auto"/>
      <w:ind w:left="5067"/>
      <w:rPr>
        <w:sz w:val="18"/>
        <w:szCs w:val="18"/>
      </w:rPr>
    </w:pPr>
    <w:r>
      <w:rPr>
        <w:b/>
        <w:bCs/>
        <w:spacing w:val="-13"/>
        <w:sz w:val="18"/>
        <w:szCs w:val="18"/>
      </w:rPr>
      <w:t>第</w:t>
    </w:r>
    <w:r>
      <w:rPr>
        <w:spacing w:val="-28"/>
        <w:sz w:val="18"/>
        <w:szCs w:val="18"/>
      </w:rPr>
      <w:t xml:space="preserve"> </w:t>
    </w:r>
    <w:r>
      <w:rPr>
        <w:b/>
        <w:bCs/>
        <w:spacing w:val="-13"/>
        <w:sz w:val="18"/>
        <w:szCs w:val="18"/>
      </w:rPr>
      <w:t>416</w:t>
    </w:r>
    <w:r>
      <w:rPr>
        <w:spacing w:val="-13"/>
        <w:sz w:val="18"/>
        <w:szCs w:val="18"/>
      </w:rPr>
      <w:t xml:space="preserve"> </w:t>
    </w:r>
    <w:r>
      <w:rPr>
        <w:b/>
        <w:bCs/>
        <w:spacing w:val="-13"/>
        <w:sz w:val="18"/>
        <w:szCs w:val="18"/>
      </w:rPr>
      <w:t>页</w:t>
    </w:r>
    <w:r>
      <w:rPr>
        <w:spacing w:val="-27"/>
        <w:sz w:val="18"/>
        <w:szCs w:val="18"/>
      </w:rPr>
      <w:t xml:space="preserve"> </w:t>
    </w:r>
    <w:r>
      <w:rPr>
        <w:b/>
        <w:bCs/>
        <w:spacing w:val="-13"/>
        <w:sz w:val="18"/>
        <w:szCs w:val="18"/>
      </w:rPr>
      <w:t>共</w:t>
    </w:r>
    <w:r>
      <w:rPr>
        <w:spacing w:val="-39"/>
        <w:sz w:val="18"/>
        <w:szCs w:val="18"/>
      </w:rPr>
      <w:t xml:space="preserve"> </w:t>
    </w:r>
    <w:r>
      <w:rPr>
        <w:b/>
        <w:bCs/>
        <w:spacing w:val="-13"/>
        <w:sz w:val="18"/>
        <w:szCs w:val="18"/>
      </w:rPr>
      <w:t>499</w:t>
    </w:r>
    <w:r>
      <w:rPr>
        <w:spacing w:val="-13"/>
        <w:sz w:val="18"/>
        <w:szCs w:val="18"/>
      </w:rPr>
      <w:t xml:space="preserve"> </w:t>
    </w:r>
    <w:r>
      <w:rPr>
        <w:b/>
        <w:bCs/>
        <w:spacing w:val="-13"/>
        <w:sz w:val="18"/>
        <w:szCs w:val="18"/>
      </w:rPr>
      <w:t>页</w:t>
    </w:r>
  </w:p>
</w:ftr>
</file>

<file path=word/footer3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32EE99">
    <w:pPr>
      <w:spacing w:after="13" w:line="454" w:lineRule="exact"/>
    </w:pPr>
  </w:p>
  <w:p w14:paraId="01ACCC38">
    <w:pPr>
      <w:pStyle w:val="2"/>
      <w:spacing w:line="207" w:lineRule="auto"/>
      <w:ind w:left="5067"/>
      <w:rPr>
        <w:sz w:val="18"/>
        <w:szCs w:val="18"/>
      </w:rPr>
    </w:pPr>
    <w:r>
      <w:rPr>
        <w:b/>
        <w:bCs/>
        <w:spacing w:val="-13"/>
        <w:sz w:val="18"/>
        <w:szCs w:val="18"/>
      </w:rPr>
      <w:t>第</w:t>
    </w:r>
    <w:r>
      <w:rPr>
        <w:spacing w:val="-28"/>
        <w:sz w:val="18"/>
        <w:szCs w:val="18"/>
      </w:rPr>
      <w:t xml:space="preserve"> </w:t>
    </w:r>
    <w:r>
      <w:rPr>
        <w:b/>
        <w:bCs/>
        <w:spacing w:val="-13"/>
        <w:sz w:val="18"/>
        <w:szCs w:val="18"/>
      </w:rPr>
      <w:t>417</w:t>
    </w:r>
    <w:r>
      <w:rPr>
        <w:spacing w:val="-13"/>
        <w:sz w:val="18"/>
        <w:szCs w:val="18"/>
      </w:rPr>
      <w:t xml:space="preserve"> </w:t>
    </w:r>
    <w:r>
      <w:rPr>
        <w:b/>
        <w:bCs/>
        <w:spacing w:val="-13"/>
        <w:sz w:val="18"/>
        <w:szCs w:val="18"/>
      </w:rPr>
      <w:t>页</w:t>
    </w:r>
    <w:r>
      <w:rPr>
        <w:spacing w:val="-27"/>
        <w:sz w:val="18"/>
        <w:szCs w:val="18"/>
      </w:rPr>
      <w:t xml:space="preserve"> </w:t>
    </w:r>
    <w:r>
      <w:rPr>
        <w:b/>
        <w:bCs/>
        <w:spacing w:val="-13"/>
        <w:sz w:val="18"/>
        <w:szCs w:val="18"/>
      </w:rPr>
      <w:t>共</w:t>
    </w:r>
    <w:r>
      <w:rPr>
        <w:spacing w:val="-39"/>
        <w:sz w:val="18"/>
        <w:szCs w:val="18"/>
      </w:rPr>
      <w:t xml:space="preserve"> </w:t>
    </w:r>
    <w:r>
      <w:rPr>
        <w:b/>
        <w:bCs/>
        <w:spacing w:val="-13"/>
        <w:sz w:val="18"/>
        <w:szCs w:val="18"/>
      </w:rPr>
      <w:t>499</w:t>
    </w:r>
    <w:r>
      <w:rPr>
        <w:spacing w:val="-13"/>
        <w:sz w:val="18"/>
        <w:szCs w:val="18"/>
      </w:rPr>
      <w:t xml:space="preserve"> </w:t>
    </w:r>
    <w:r>
      <w:rPr>
        <w:b/>
        <w:bCs/>
        <w:spacing w:val="-13"/>
        <w:sz w:val="18"/>
        <w:szCs w:val="18"/>
      </w:rPr>
      <w:t>页</w:t>
    </w:r>
  </w:p>
</w:ftr>
</file>

<file path=word/footer3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17570C">
    <w:pPr>
      <w:spacing w:after="13" w:line="454" w:lineRule="exact"/>
    </w:pPr>
  </w:p>
  <w:p w14:paraId="344B92BC">
    <w:pPr>
      <w:pStyle w:val="2"/>
      <w:spacing w:line="207" w:lineRule="auto"/>
      <w:ind w:left="5067"/>
      <w:rPr>
        <w:sz w:val="18"/>
        <w:szCs w:val="18"/>
      </w:rPr>
    </w:pPr>
    <w:r>
      <w:rPr>
        <w:b/>
        <w:bCs/>
        <w:spacing w:val="-13"/>
        <w:sz w:val="18"/>
        <w:szCs w:val="18"/>
      </w:rPr>
      <w:t>第</w:t>
    </w:r>
    <w:r>
      <w:rPr>
        <w:spacing w:val="-28"/>
        <w:sz w:val="18"/>
        <w:szCs w:val="18"/>
      </w:rPr>
      <w:t xml:space="preserve"> </w:t>
    </w:r>
    <w:r>
      <w:rPr>
        <w:b/>
        <w:bCs/>
        <w:spacing w:val="-13"/>
        <w:sz w:val="18"/>
        <w:szCs w:val="18"/>
      </w:rPr>
      <w:t>418</w:t>
    </w:r>
    <w:r>
      <w:rPr>
        <w:spacing w:val="-13"/>
        <w:sz w:val="18"/>
        <w:szCs w:val="18"/>
      </w:rPr>
      <w:t xml:space="preserve"> </w:t>
    </w:r>
    <w:r>
      <w:rPr>
        <w:b/>
        <w:bCs/>
        <w:spacing w:val="-13"/>
        <w:sz w:val="18"/>
        <w:szCs w:val="18"/>
      </w:rPr>
      <w:t>页</w:t>
    </w:r>
    <w:r>
      <w:rPr>
        <w:spacing w:val="-27"/>
        <w:sz w:val="18"/>
        <w:szCs w:val="18"/>
      </w:rPr>
      <w:t xml:space="preserve"> </w:t>
    </w:r>
    <w:r>
      <w:rPr>
        <w:b/>
        <w:bCs/>
        <w:spacing w:val="-13"/>
        <w:sz w:val="18"/>
        <w:szCs w:val="18"/>
      </w:rPr>
      <w:t>共</w:t>
    </w:r>
    <w:r>
      <w:rPr>
        <w:spacing w:val="-39"/>
        <w:sz w:val="18"/>
        <w:szCs w:val="18"/>
      </w:rPr>
      <w:t xml:space="preserve"> </w:t>
    </w:r>
    <w:r>
      <w:rPr>
        <w:b/>
        <w:bCs/>
        <w:spacing w:val="-13"/>
        <w:sz w:val="18"/>
        <w:szCs w:val="18"/>
      </w:rPr>
      <w:t>499</w:t>
    </w:r>
    <w:r>
      <w:rPr>
        <w:spacing w:val="-13"/>
        <w:sz w:val="18"/>
        <w:szCs w:val="18"/>
      </w:rPr>
      <w:t xml:space="preserve"> </w:t>
    </w:r>
    <w:r>
      <w:rPr>
        <w:b/>
        <w:bCs/>
        <w:spacing w:val="-13"/>
        <w:sz w:val="18"/>
        <w:szCs w:val="18"/>
      </w:rPr>
      <w:t>页</w:t>
    </w:r>
  </w:p>
</w:ftr>
</file>

<file path=word/footer3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366526">
    <w:pPr>
      <w:spacing w:after="13" w:line="454" w:lineRule="exact"/>
    </w:pPr>
  </w:p>
  <w:p w14:paraId="4BCDF961">
    <w:pPr>
      <w:pStyle w:val="2"/>
      <w:spacing w:line="207" w:lineRule="auto"/>
      <w:ind w:left="5067"/>
      <w:rPr>
        <w:sz w:val="18"/>
        <w:szCs w:val="18"/>
      </w:rPr>
    </w:pPr>
    <w:r>
      <w:rPr>
        <w:b/>
        <w:bCs/>
        <w:spacing w:val="-13"/>
        <w:sz w:val="18"/>
        <w:szCs w:val="18"/>
      </w:rPr>
      <w:t>第</w:t>
    </w:r>
    <w:r>
      <w:rPr>
        <w:spacing w:val="-28"/>
        <w:sz w:val="18"/>
        <w:szCs w:val="18"/>
      </w:rPr>
      <w:t xml:space="preserve"> </w:t>
    </w:r>
    <w:r>
      <w:rPr>
        <w:b/>
        <w:bCs/>
        <w:spacing w:val="-13"/>
        <w:sz w:val="18"/>
        <w:szCs w:val="18"/>
      </w:rPr>
      <w:t>419</w:t>
    </w:r>
    <w:r>
      <w:rPr>
        <w:spacing w:val="-13"/>
        <w:sz w:val="18"/>
        <w:szCs w:val="18"/>
      </w:rPr>
      <w:t xml:space="preserve"> </w:t>
    </w:r>
    <w:r>
      <w:rPr>
        <w:b/>
        <w:bCs/>
        <w:spacing w:val="-13"/>
        <w:sz w:val="18"/>
        <w:szCs w:val="18"/>
      </w:rPr>
      <w:t>页</w:t>
    </w:r>
    <w:r>
      <w:rPr>
        <w:spacing w:val="-27"/>
        <w:sz w:val="18"/>
        <w:szCs w:val="18"/>
      </w:rPr>
      <w:t xml:space="preserve"> </w:t>
    </w:r>
    <w:r>
      <w:rPr>
        <w:b/>
        <w:bCs/>
        <w:spacing w:val="-13"/>
        <w:sz w:val="18"/>
        <w:szCs w:val="18"/>
      </w:rPr>
      <w:t>共</w:t>
    </w:r>
    <w:r>
      <w:rPr>
        <w:spacing w:val="-39"/>
        <w:sz w:val="18"/>
        <w:szCs w:val="18"/>
      </w:rPr>
      <w:t xml:space="preserve"> </w:t>
    </w:r>
    <w:r>
      <w:rPr>
        <w:b/>
        <w:bCs/>
        <w:spacing w:val="-13"/>
        <w:sz w:val="18"/>
        <w:szCs w:val="18"/>
      </w:rPr>
      <w:t>499</w:t>
    </w:r>
    <w:r>
      <w:rPr>
        <w:spacing w:val="-13"/>
        <w:sz w:val="18"/>
        <w:szCs w:val="18"/>
      </w:rPr>
      <w:t xml:space="preserve"> </w:t>
    </w:r>
    <w:r>
      <w:rPr>
        <w:b/>
        <w:bCs/>
        <w:spacing w:val="-13"/>
        <w:sz w:val="18"/>
        <w:szCs w:val="18"/>
      </w:rPr>
      <w:t>页</w:t>
    </w:r>
  </w:p>
</w:ftr>
</file>

<file path=word/footer3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E57AB0">
    <w:pPr>
      <w:spacing w:after="13" w:line="454" w:lineRule="exact"/>
    </w:pPr>
  </w:p>
  <w:p w14:paraId="4FDFFFCA">
    <w:pPr>
      <w:pStyle w:val="2"/>
      <w:spacing w:line="207" w:lineRule="auto"/>
      <w:ind w:left="5067"/>
      <w:rPr>
        <w:sz w:val="18"/>
        <w:szCs w:val="18"/>
      </w:rPr>
    </w:pPr>
    <w:r>
      <w:rPr>
        <w:b/>
        <w:bCs/>
        <w:spacing w:val="-13"/>
        <w:sz w:val="18"/>
        <w:szCs w:val="18"/>
      </w:rPr>
      <w:t>第</w:t>
    </w:r>
    <w:r>
      <w:rPr>
        <w:spacing w:val="-28"/>
        <w:sz w:val="18"/>
        <w:szCs w:val="18"/>
      </w:rPr>
      <w:t xml:space="preserve"> </w:t>
    </w:r>
    <w:r>
      <w:rPr>
        <w:b/>
        <w:bCs/>
        <w:spacing w:val="-13"/>
        <w:sz w:val="18"/>
        <w:szCs w:val="18"/>
      </w:rPr>
      <w:t>420</w:t>
    </w:r>
    <w:r>
      <w:rPr>
        <w:spacing w:val="-13"/>
        <w:sz w:val="18"/>
        <w:szCs w:val="18"/>
      </w:rPr>
      <w:t xml:space="preserve"> </w:t>
    </w:r>
    <w:r>
      <w:rPr>
        <w:b/>
        <w:bCs/>
        <w:spacing w:val="-13"/>
        <w:sz w:val="18"/>
        <w:szCs w:val="18"/>
      </w:rPr>
      <w:t>页</w:t>
    </w:r>
    <w:r>
      <w:rPr>
        <w:spacing w:val="-27"/>
        <w:sz w:val="18"/>
        <w:szCs w:val="18"/>
      </w:rPr>
      <w:t xml:space="preserve"> </w:t>
    </w:r>
    <w:r>
      <w:rPr>
        <w:b/>
        <w:bCs/>
        <w:spacing w:val="-13"/>
        <w:sz w:val="18"/>
        <w:szCs w:val="18"/>
      </w:rPr>
      <w:t>共</w:t>
    </w:r>
    <w:r>
      <w:rPr>
        <w:spacing w:val="-39"/>
        <w:sz w:val="18"/>
        <w:szCs w:val="18"/>
      </w:rPr>
      <w:t xml:space="preserve"> </w:t>
    </w:r>
    <w:r>
      <w:rPr>
        <w:b/>
        <w:bCs/>
        <w:spacing w:val="-13"/>
        <w:sz w:val="18"/>
        <w:szCs w:val="18"/>
      </w:rPr>
      <w:t>499</w:t>
    </w:r>
    <w:r>
      <w:rPr>
        <w:spacing w:val="-13"/>
        <w:sz w:val="18"/>
        <w:szCs w:val="18"/>
      </w:rPr>
      <w:t xml:space="preserve"> </w:t>
    </w:r>
    <w:r>
      <w:rPr>
        <w:b/>
        <w:bCs/>
        <w:spacing w:val="-13"/>
        <w:sz w:val="18"/>
        <w:szCs w:val="18"/>
      </w:rPr>
      <w:t>页</w: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DB8178">
    <w:pPr>
      <w:spacing w:after="13" w:line="454" w:lineRule="exact"/>
    </w:pPr>
  </w:p>
  <w:p w14:paraId="17872392">
    <w:pPr>
      <w:pStyle w:val="2"/>
      <w:spacing w:line="207" w:lineRule="auto"/>
      <w:ind w:left="5106"/>
      <w:rPr>
        <w:sz w:val="18"/>
        <w:szCs w:val="18"/>
      </w:rPr>
    </w:pPr>
    <w:r>
      <w:rPr>
        <w:b/>
        <w:bCs/>
        <w:spacing w:val="-13"/>
        <w:sz w:val="18"/>
        <w:szCs w:val="18"/>
      </w:rPr>
      <w:t>第</w:t>
    </w:r>
    <w:r>
      <w:rPr>
        <w:spacing w:val="-28"/>
        <w:sz w:val="18"/>
        <w:szCs w:val="18"/>
      </w:rPr>
      <w:t xml:space="preserve"> </w:t>
    </w:r>
    <w:r>
      <w:rPr>
        <w:b/>
        <w:bCs/>
        <w:spacing w:val="-13"/>
        <w:sz w:val="18"/>
        <w:szCs w:val="18"/>
      </w:rPr>
      <w:t>64</w:t>
    </w:r>
    <w:r>
      <w:rPr>
        <w:spacing w:val="-13"/>
        <w:sz w:val="18"/>
        <w:szCs w:val="18"/>
      </w:rPr>
      <w:t xml:space="preserve"> </w:t>
    </w:r>
    <w:r>
      <w:rPr>
        <w:b/>
        <w:bCs/>
        <w:spacing w:val="-13"/>
        <w:sz w:val="18"/>
        <w:szCs w:val="18"/>
      </w:rPr>
      <w:t>页</w:t>
    </w:r>
    <w:r>
      <w:rPr>
        <w:spacing w:val="-28"/>
        <w:sz w:val="18"/>
        <w:szCs w:val="18"/>
      </w:rPr>
      <w:t xml:space="preserve"> </w:t>
    </w:r>
    <w:r>
      <w:rPr>
        <w:b/>
        <w:bCs/>
        <w:spacing w:val="-13"/>
        <w:sz w:val="18"/>
        <w:szCs w:val="18"/>
      </w:rPr>
      <w:t>共</w:t>
    </w:r>
    <w:r>
      <w:rPr>
        <w:spacing w:val="-38"/>
        <w:sz w:val="18"/>
        <w:szCs w:val="18"/>
      </w:rPr>
      <w:t xml:space="preserve"> </w:t>
    </w:r>
    <w:r>
      <w:rPr>
        <w:b/>
        <w:bCs/>
        <w:spacing w:val="-13"/>
        <w:sz w:val="18"/>
        <w:szCs w:val="18"/>
      </w:rPr>
      <w:t>499</w:t>
    </w:r>
    <w:r>
      <w:rPr>
        <w:spacing w:val="-13"/>
        <w:sz w:val="18"/>
        <w:szCs w:val="18"/>
      </w:rPr>
      <w:t xml:space="preserve"> </w:t>
    </w:r>
    <w:r>
      <w:rPr>
        <w:b/>
        <w:bCs/>
        <w:spacing w:val="-13"/>
        <w:sz w:val="18"/>
        <w:szCs w:val="18"/>
      </w:rPr>
      <w:t>页</w:t>
    </w:r>
  </w:p>
</w:ftr>
</file>

<file path=word/footer3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245917">
    <w:pPr>
      <w:spacing w:after="13" w:line="454" w:lineRule="exact"/>
    </w:pPr>
  </w:p>
  <w:p w14:paraId="7AD31BBE">
    <w:pPr>
      <w:pStyle w:val="2"/>
      <w:spacing w:line="207" w:lineRule="auto"/>
      <w:ind w:left="5067"/>
      <w:rPr>
        <w:sz w:val="18"/>
        <w:szCs w:val="18"/>
      </w:rPr>
    </w:pPr>
    <w:r>
      <w:rPr>
        <w:b/>
        <w:bCs/>
        <w:spacing w:val="-13"/>
        <w:sz w:val="18"/>
        <w:szCs w:val="18"/>
      </w:rPr>
      <w:t>第</w:t>
    </w:r>
    <w:r>
      <w:rPr>
        <w:spacing w:val="-28"/>
        <w:sz w:val="18"/>
        <w:szCs w:val="18"/>
      </w:rPr>
      <w:t xml:space="preserve"> </w:t>
    </w:r>
    <w:r>
      <w:rPr>
        <w:b/>
        <w:bCs/>
        <w:spacing w:val="-13"/>
        <w:sz w:val="18"/>
        <w:szCs w:val="18"/>
      </w:rPr>
      <w:t>421</w:t>
    </w:r>
    <w:r>
      <w:rPr>
        <w:spacing w:val="-13"/>
        <w:sz w:val="18"/>
        <w:szCs w:val="18"/>
      </w:rPr>
      <w:t xml:space="preserve"> </w:t>
    </w:r>
    <w:r>
      <w:rPr>
        <w:b/>
        <w:bCs/>
        <w:spacing w:val="-13"/>
        <w:sz w:val="18"/>
        <w:szCs w:val="18"/>
      </w:rPr>
      <w:t>页</w:t>
    </w:r>
    <w:r>
      <w:rPr>
        <w:spacing w:val="-27"/>
        <w:sz w:val="18"/>
        <w:szCs w:val="18"/>
      </w:rPr>
      <w:t xml:space="preserve"> </w:t>
    </w:r>
    <w:r>
      <w:rPr>
        <w:b/>
        <w:bCs/>
        <w:spacing w:val="-13"/>
        <w:sz w:val="18"/>
        <w:szCs w:val="18"/>
      </w:rPr>
      <w:t>共</w:t>
    </w:r>
    <w:r>
      <w:rPr>
        <w:spacing w:val="-39"/>
        <w:sz w:val="18"/>
        <w:szCs w:val="18"/>
      </w:rPr>
      <w:t xml:space="preserve"> </w:t>
    </w:r>
    <w:r>
      <w:rPr>
        <w:b/>
        <w:bCs/>
        <w:spacing w:val="-13"/>
        <w:sz w:val="18"/>
        <w:szCs w:val="18"/>
      </w:rPr>
      <w:t>499</w:t>
    </w:r>
    <w:r>
      <w:rPr>
        <w:spacing w:val="-13"/>
        <w:sz w:val="18"/>
        <w:szCs w:val="18"/>
      </w:rPr>
      <w:t xml:space="preserve"> </w:t>
    </w:r>
    <w:r>
      <w:rPr>
        <w:b/>
        <w:bCs/>
        <w:spacing w:val="-13"/>
        <w:sz w:val="18"/>
        <w:szCs w:val="18"/>
      </w:rPr>
      <w:t>页</w:t>
    </w:r>
  </w:p>
</w:ftr>
</file>

<file path=word/footer3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125ADC">
    <w:pPr>
      <w:spacing w:after="13" w:line="454" w:lineRule="exact"/>
    </w:pPr>
  </w:p>
  <w:p w14:paraId="7CC638F7">
    <w:pPr>
      <w:pStyle w:val="2"/>
      <w:spacing w:line="207" w:lineRule="auto"/>
      <w:ind w:left="5067"/>
      <w:rPr>
        <w:sz w:val="18"/>
        <w:szCs w:val="18"/>
      </w:rPr>
    </w:pPr>
    <w:r>
      <w:rPr>
        <w:b/>
        <w:bCs/>
        <w:spacing w:val="-13"/>
        <w:sz w:val="18"/>
        <w:szCs w:val="18"/>
      </w:rPr>
      <w:t>第</w:t>
    </w:r>
    <w:r>
      <w:rPr>
        <w:spacing w:val="-28"/>
        <w:sz w:val="18"/>
        <w:szCs w:val="18"/>
      </w:rPr>
      <w:t xml:space="preserve"> </w:t>
    </w:r>
    <w:r>
      <w:rPr>
        <w:b/>
        <w:bCs/>
        <w:spacing w:val="-13"/>
        <w:sz w:val="18"/>
        <w:szCs w:val="18"/>
      </w:rPr>
      <w:t>422</w:t>
    </w:r>
    <w:r>
      <w:rPr>
        <w:spacing w:val="-13"/>
        <w:sz w:val="18"/>
        <w:szCs w:val="18"/>
      </w:rPr>
      <w:t xml:space="preserve"> </w:t>
    </w:r>
    <w:r>
      <w:rPr>
        <w:b/>
        <w:bCs/>
        <w:spacing w:val="-13"/>
        <w:sz w:val="18"/>
        <w:szCs w:val="18"/>
      </w:rPr>
      <w:t>页</w:t>
    </w:r>
    <w:r>
      <w:rPr>
        <w:spacing w:val="-27"/>
        <w:sz w:val="18"/>
        <w:szCs w:val="18"/>
      </w:rPr>
      <w:t xml:space="preserve"> </w:t>
    </w:r>
    <w:r>
      <w:rPr>
        <w:b/>
        <w:bCs/>
        <w:spacing w:val="-13"/>
        <w:sz w:val="18"/>
        <w:szCs w:val="18"/>
      </w:rPr>
      <w:t>共</w:t>
    </w:r>
    <w:r>
      <w:rPr>
        <w:spacing w:val="-39"/>
        <w:sz w:val="18"/>
        <w:szCs w:val="18"/>
      </w:rPr>
      <w:t xml:space="preserve"> </w:t>
    </w:r>
    <w:r>
      <w:rPr>
        <w:b/>
        <w:bCs/>
        <w:spacing w:val="-13"/>
        <w:sz w:val="18"/>
        <w:szCs w:val="18"/>
      </w:rPr>
      <w:t>499</w:t>
    </w:r>
    <w:r>
      <w:rPr>
        <w:spacing w:val="-13"/>
        <w:sz w:val="18"/>
        <w:szCs w:val="18"/>
      </w:rPr>
      <w:t xml:space="preserve"> </w:t>
    </w:r>
    <w:r>
      <w:rPr>
        <w:b/>
        <w:bCs/>
        <w:spacing w:val="-13"/>
        <w:sz w:val="18"/>
        <w:szCs w:val="18"/>
      </w:rPr>
      <w:t>页</w:t>
    </w:r>
  </w:p>
</w:ftr>
</file>

<file path=word/footer3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BAB947">
    <w:pPr>
      <w:spacing w:after="13" w:line="454" w:lineRule="exact"/>
    </w:pPr>
  </w:p>
  <w:p w14:paraId="2B13D299">
    <w:pPr>
      <w:pStyle w:val="2"/>
      <w:spacing w:line="207" w:lineRule="auto"/>
      <w:ind w:left="5067"/>
      <w:rPr>
        <w:sz w:val="18"/>
        <w:szCs w:val="18"/>
      </w:rPr>
    </w:pPr>
    <w:r>
      <w:rPr>
        <w:b/>
        <w:bCs/>
        <w:spacing w:val="-13"/>
        <w:sz w:val="18"/>
        <w:szCs w:val="18"/>
      </w:rPr>
      <w:t>第</w:t>
    </w:r>
    <w:r>
      <w:rPr>
        <w:spacing w:val="-28"/>
        <w:sz w:val="18"/>
        <w:szCs w:val="18"/>
      </w:rPr>
      <w:t xml:space="preserve"> </w:t>
    </w:r>
    <w:r>
      <w:rPr>
        <w:b/>
        <w:bCs/>
        <w:spacing w:val="-13"/>
        <w:sz w:val="18"/>
        <w:szCs w:val="18"/>
      </w:rPr>
      <w:t>423</w:t>
    </w:r>
    <w:r>
      <w:rPr>
        <w:spacing w:val="-13"/>
        <w:sz w:val="18"/>
        <w:szCs w:val="18"/>
      </w:rPr>
      <w:t xml:space="preserve"> </w:t>
    </w:r>
    <w:r>
      <w:rPr>
        <w:b/>
        <w:bCs/>
        <w:spacing w:val="-13"/>
        <w:sz w:val="18"/>
        <w:szCs w:val="18"/>
      </w:rPr>
      <w:t>页</w:t>
    </w:r>
    <w:r>
      <w:rPr>
        <w:spacing w:val="-27"/>
        <w:sz w:val="18"/>
        <w:szCs w:val="18"/>
      </w:rPr>
      <w:t xml:space="preserve"> </w:t>
    </w:r>
    <w:r>
      <w:rPr>
        <w:b/>
        <w:bCs/>
        <w:spacing w:val="-13"/>
        <w:sz w:val="18"/>
        <w:szCs w:val="18"/>
      </w:rPr>
      <w:t>共</w:t>
    </w:r>
    <w:r>
      <w:rPr>
        <w:spacing w:val="-39"/>
        <w:sz w:val="18"/>
        <w:szCs w:val="18"/>
      </w:rPr>
      <w:t xml:space="preserve"> </w:t>
    </w:r>
    <w:r>
      <w:rPr>
        <w:b/>
        <w:bCs/>
        <w:spacing w:val="-13"/>
        <w:sz w:val="18"/>
        <w:szCs w:val="18"/>
      </w:rPr>
      <w:t>499</w:t>
    </w:r>
    <w:r>
      <w:rPr>
        <w:spacing w:val="-13"/>
        <w:sz w:val="18"/>
        <w:szCs w:val="18"/>
      </w:rPr>
      <w:t xml:space="preserve"> </w:t>
    </w:r>
    <w:r>
      <w:rPr>
        <w:b/>
        <w:bCs/>
        <w:spacing w:val="-13"/>
        <w:sz w:val="18"/>
        <w:szCs w:val="18"/>
      </w:rPr>
      <w:t>页</w:t>
    </w:r>
  </w:p>
</w:ftr>
</file>

<file path=word/footer3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84ADC6">
    <w:pPr>
      <w:spacing w:after="13" w:line="454" w:lineRule="exact"/>
    </w:pPr>
  </w:p>
  <w:p w14:paraId="2C098CC7">
    <w:pPr>
      <w:pStyle w:val="2"/>
      <w:spacing w:line="207" w:lineRule="auto"/>
      <w:ind w:left="5067"/>
      <w:rPr>
        <w:sz w:val="18"/>
        <w:szCs w:val="18"/>
      </w:rPr>
    </w:pPr>
    <w:r>
      <w:rPr>
        <w:b/>
        <w:bCs/>
        <w:spacing w:val="-13"/>
        <w:sz w:val="18"/>
        <w:szCs w:val="18"/>
      </w:rPr>
      <w:t>第</w:t>
    </w:r>
    <w:r>
      <w:rPr>
        <w:spacing w:val="-28"/>
        <w:sz w:val="18"/>
        <w:szCs w:val="18"/>
      </w:rPr>
      <w:t xml:space="preserve"> </w:t>
    </w:r>
    <w:r>
      <w:rPr>
        <w:b/>
        <w:bCs/>
        <w:spacing w:val="-13"/>
        <w:sz w:val="18"/>
        <w:szCs w:val="18"/>
      </w:rPr>
      <w:t>424</w:t>
    </w:r>
    <w:r>
      <w:rPr>
        <w:spacing w:val="-13"/>
        <w:sz w:val="18"/>
        <w:szCs w:val="18"/>
      </w:rPr>
      <w:t xml:space="preserve"> </w:t>
    </w:r>
    <w:r>
      <w:rPr>
        <w:b/>
        <w:bCs/>
        <w:spacing w:val="-13"/>
        <w:sz w:val="18"/>
        <w:szCs w:val="18"/>
      </w:rPr>
      <w:t>页</w:t>
    </w:r>
    <w:r>
      <w:rPr>
        <w:spacing w:val="-27"/>
        <w:sz w:val="18"/>
        <w:szCs w:val="18"/>
      </w:rPr>
      <w:t xml:space="preserve"> </w:t>
    </w:r>
    <w:r>
      <w:rPr>
        <w:b/>
        <w:bCs/>
        <w:spacing w:val="-13"/>
        <w:sz w:val="18"/>
        <w:szCs w:val="18"/>
      </w:rPr>
      <w:t>共</w:t>
    </w:r>
    <w:r>
      <w:rPr>
        <w:spacing w:val="-39"/>
        <w:sz w:val="18"/>
        <w:szCs w:val="18"/>
      </w:rPr>
      <w:t xml:space="preserve"> </w:t>
    </w:r>
    <w:r>
      <w:rPr>
        <w:b/>
        <w:bCs/>
        <w:spacing w:val="-13"/>
        <w:sz w:val="18"/>
        <w:szCs w:val="18"/>
      </w:rPr>
      <w:t>499</w:t>
    </w:r>
    <w:r>
      <w:rPr>
        <w:spacing w:val="-13"/>
        <w:sz w:val="18"/>
        <w:szCs w:val="18"/>
      </w:rPr>
      <w:t xml:space="preserve"> </w:t>
    </w:r>
    <w:r>
      <w:rPr>
        <w:b/>
        <w:bCs/>
        <w:spacing w:val="-13"/>
        <w:sz w:val="18"/>
        <w:szCs w:val="18"/>
      </w:rPr>
      <w:t>页</w:t>
    </w:r>
  </w:p>
</w:ftr>
</file>

<file path=word/footer3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057FE4">
    <w:pPr>
      <w:spacing w:after="13" w:line="454" w:lineRule="exact"/>
    </w:pPr>
  </w:p>
  <w:p w14:paraId="0F6101BA">
    <w:pPr>
      <w:pStyle w:val="2"/>
      <w:spacing w:line="207" w:lineRule="auto"/>
      <w:ind w:left="5067"/>
      <w:rPr>
        <w:sz w:val="18"/>
        <w:szCs w:val="18"/>
      </w:rPr>
    </w:pPr>
    <w:r>
      <w:rPr>
        <w:b/>
        <w:bCs/>
        <w:spacing w:val="-13"/>
        <w:sz w:val="18"/>
        <w:szCs w:val="18"/>
      </w:rPr>
      <w:t>第</w:t>
    </w:r>
    <w:r>
      <w:rPr>
        <w:spacing w:val="-28"/>
        <w:sz w:val="18"/>
        <w:szCs w:val="18"/>
      </w:rPr>
      <w:t xml:space="preserve"> </w:t>
    </w:r>
    <w:r>
      <w:rPr>
        <w:b/>
        <w:bCs/>
        <w:spacing w:val="-13"/>
        <w:sz w:val="18"/>
        <w:szCs w:val="18"/>
      </w:rPr>
      <w:t>425</w:t>
    </w:r>
    <w:r>
      <w:rPr>
        <w:spacing w:val="-13"/>
        <w:sz w:val="18"/>
        <w:szCs w:val="18"/>
      </w:rPr>
      <w:t xml:space="preserve"> </w:t>
    </w:r>
    <w:r>
      <w:rPr>
        <w:b/>
        <w:bCs/>
        <w:spacing w:val="-13"/>
        <w:sz w:val="18"/>
        <w:szCs w:val="18"/>
      </w:rPr>
      <w:t>页</w:t>
    </w:r>
    <w:r>
      <w:rPr>
        <w:spacing w:val="-27"/>
        <w:sz w:val="18"/>
        <w:szCs w:val="18"/>
      </w:rPr>
      <w:t xml:space="preserve"> </w:t>
    </w:r>
    <w:r>
      <w:rPr>
        <w:b/>
        <w:bCs/>
        <w:spacing w:val="-13"/>
        <w:sz w:val="18"/>
        <w:szCs w:val="18"/>
      </w:rPr>
      <w:t>共</w:t>
    </w:r>
    <w:r>
      <w:rPr>
        <w:spacing w:val="-39"/>
        <w:sz w:val="18"/>
        <w:szCs w:val="18"/>
      </w:rPr>
      <w:t xml:space="preserve"> </w:t>
    </w:r>
    <w:r>
      <w:rPr>
        <w:b/>
        <w:bCs/>
        <w:spacing w:val="-13"/>
        <w:sz w:val="18"/>
        <w:szCs w:val="18"/>
      </w:rPr>
      <w:t>499</w:t>
    </w:r>
    <w:r>
      <w:rPr>
        <w:spacing w:val="-13"/>
        <w:sz w:val="18"/>
        <w:szCs w:val="18"/>
      </w:rPr>
      <w:t xml:space="preserve"> </w:t>
    </w:r>
    <w:r>
      <w:rPr>
        <w:b/>
        <w:bCs/>
        <w:spacing w:val="-13"/>
        <w:sz w:val="18"/>
        <w:szCs w:val="18"/>
      </w:rPr>
      <w:t>页</w:t>
    </w:r>
  </w:p>
</w:ftr>
</file>

<file path=word/footer3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F9C890">
    <w:pPr>
      <w:spacing w:after="13" w:line="454" w:lineRule="exact"/>
    </w:pPr>
  </w:p>
  <w:p w14:paraId="559087EA">
    <w:pPr>
      <w:pStyle w:val="2"/>
      <w:spacing w:line="207" w:lineRule="auto"/>
      <w:ind w:left="5067"/>
      <w:rPr>
        <w:sz w:val="18"/>
        <w:szCs w:val="18"/>
      </w:rPr>
    </w:pPr>
    <w:r>
      <w:rPr>
        <w:b/>
        <w:bCs/>
        <w:spacing w:val="-13"/>
        <w:sz w:val="18"/>
        <w:szCs w:val="18"/>
      </w:rPr>
      <w:t>第</w:t>
    </w:r>
    <w:r>
      <w:rPr>
        <w:spacing w:val="-28"/>
        <w:sz w:val="18"/>
        <w:szCs w:val="18"/>
      </w:rPr>
      <w:t xml:space="preserve"> </w:t>
    </w:r>
    <w:r>
      <w:rPr>
        <w:b/>
        <w:bCs/>
        <w:spacing w:val="-13"/>
        <w:sz w:val="18"/>
        <w:szCs w:val="18"/>
      </w:rPr>
      <w:t>426</w:t>
    </w:r>
    <w:r>
      <w:rPr>
        <w:spacing w:val="-13"/>
        <w:sz w:val="18"/>
        <w:szCs w:val="18"/>
      </w:rPr>
      <w:t xml:space="preserve"> </w:t>
    </w:r>
    <w:r>
      <w:rPr>
        <w:b/>
        <w:bCs/>
        <w:spacing w:val="-13"/>
        <w:sz w:val="18"/>
        <w:szCs w:val="18"/>
      </w:rPr>
      <w:t>页</w:t>
    </w:r>
    <w:r>
      <w:rPr>
        <w:spacing w:val="-27"/>
        <w:sz w:val="18"/>
        <w:szCs w:val="18"/>
      </w:rPr>
      <w:t xml:space="preserve"> </w:t>
    </w:r>
    <w:r>
      <w:rPr>
        <w:b/>
        <w:bCs/>
        <w:spacing w:val="-13"/>
        <w:sz w:val="18"/>
        <w:szCs w:val="18"/>
      </w:rPr>
      <w:t>共</w:t>
    </w:r>
    <w:r>
      <w:rPr>
        <w:spacing w:val="-39"/>
        <w:sz w:val="18"/>
        <w:szCs w:val="18"/>
      </w:rPr>
      <w:t xml:space="preserve"> </w:t>
    </w:r>
    <w:r>
      <w:rPr>
        <w:b/>
        <w:bCs/>
        <w:spacing w:val="-13"/>
        <w:sz w:val="18"/>
        <w:szCs w:val="18"/>
      </w:rPr>
      <w:t>499</w:t>
    </w:r>
    <w:r>
      <w:rPr>
        <w:spacing w:val="-13"/>
        <w:sz w:val="18"/>
        <w:szCs w:val="18"/>
      </w:rPr>
      <w:t xml:space="preserve"> </w:t>
    </w:r>
    <w:r>
      <w:rPr>
        <w:b/>
        <w:bCs/>
        <w:spacing w:val="-13"/>
        <w:sz w:val="18"/>
        <w:szCs w:val="18"/>
      </w:rPr>
      <w:t>页</w:t>
    </w:r>
  </w:p>
</w:ftr>
</file>

<file path=word/footer3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071F28">
    <w:pPr>
      <w:spacing w:after="13" w:line="454" w:lineRule="exact"/>
    </w:pPr>
  </w:p>
  <w:p w14:paraId="310AC4B8">
    <w:pPr>
      <w:pStyle w:val="2"/>
      <w:spacing w:line="207" w:lineRule="auto"/>
      <w:ind w:left="5067"/>
      <w:rPr>
        <w:sz w:val="18"/>
        <w:szCs w:val="18"/>
      </w:rPr>
    </w:pPr>
    <w:r>
      <w:rPr>
        <w:b/>
        <w:bCs/>
        <w:spacing w:val="-13"/>
        <w:sz w:val="18"/>
        <w:szCs w:val="18"/>
      </w:rPr>
      <w:t>第</w:t>
    </w:r>
    <w:r>
      <w:rPr>
        <w:spacing w:val="-28"/>
        <w:sz w:val="18"/>
        <w:szCs w:val="18"/>
      </w:rPr>
      <w:t xml:space="preserve"> </w:t>
    </w:r>
    <w:r>
      <w:rPr>
        <w:b/>
        <w:bCs/>
        <w:spacing w:val="-13"/>
        <w:sz w:val="18"/>
        <w:szCs w:val="18"/>
      </w:rPr>
      <w:t>427</w:t>
    </w:r>
    <w:r>
      <w:rPr>
        <w:spacing w:val="-13"/>
        <w:sz w:val="18"/>
        <w:szCs w:val="18"/>
      </w:rPr>
      <w:t xml:space="preserve"> </w:t>
    </w:r>
    <w:r>
      <w:rPr>
        <w:b/>
        <w:bCs/>
        <w:spacing w:val="-13"/>
        <w:sz w:val="18"/>
        <w:szCs w:val="18"/>
      </w:rPr>
      <w:t>页</w:t>
    </w:r>
    <w:r>
      <w:rPr>
        <w:spacing w:val="-27"/>
        <w:sz w:val="18"/>
        <w:szCs w:val="18"/>
      </w:rPr>
      <w:t xml:space="preserve"> </w:t>
    </w:r>
    <w:r>
      <w:rPr>
        <w:b/>
        <w:bCs/>
        <w:spacing w:val="-13"/>
        <w:sz w:val="18"/>
        <w:szCs w:val="18"/>
      </w:rPr>
      <w:t>共</w:t>
    </w:r>
    <w:r>
      <w:rPr>
        <w:spacing w:val="-39"/>
        <w:sz w:val="18"/>
        <w:szCs w:val="18"/>
      </w:rPr>
      <w:t xml:space="preserve"> </w:t>
    </w:r>
    <w:r>
      <w:rPr>
        <w:b/>
        <w:bCs/>
        <w:spacing w:val="-13"/>
        <w:sz w:val="18"/>
        <w:szCs w:val="18"/>
      </w:rPr>
      <w:t>499</w:t>
    </w:r>
    <w:r>
      <w:rPr>
        <w:spacing w:val="-13"/>
        <w:sz w:val="18"/>
        <w:szCs w:val="18"/>
      </w:rPr>
      <w:t xml:space="preserve"> </w:t>
    </w:r>
    <w:r>
      <w:rPr>
        <w:b/>
        <w:bCs/>
        <w:spacing w:val="-13"/>
        <w:sz w:val="18"/>
        <w:szCs w:val="18"/>
      </w:rPr>
      <w:t>页</w:t>
    </w:r>
  </w:p>
</w:ftr>
</file>

<file path=word/footer3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F703F2">
    <w:pPr>
      <w:spacing w:after="13" w:line="454" w:lineRule="exact"/>
    </w:pPr>
  </w:p>
  <w:p w14:paraId="6FBF632F">
    <w:pPr>
      <w:pStyle w:val="2"/>
      <w:spacing w:line="207" w:lineRule="auto"/>
      <w:ind w:left="5067"/>
      <w:rPr>
        <w:sz w:val="18"/>
        <w:szCs w:val="18"/>
      </w:rPr>
    </w:pPr>
    <w:r>
      <w:rPr>
        <w:b/>
        <w:bCs/>
        <w:spacing w:val="-13"/>
        <w:sz w:val="18"/>
        <w:szCs w:val="18"/>
      </w:rPr>
      <w:t>第</w:t>
    </w:r>
    <w:r>
      <w:rPr>
        <w:spacing w:val="-28"/>
        <w:sz w:val="18"/>
        <w:szCs w:val="18"/>
      </w:rPr>
      <w:t xml:space="preserve"> </w:t>
    </w:r>
    <w:r>
      <w:rPr>
        <w:b/>
        <w:bCs/>
        <w:spacing w:val="-13"/>
        <w:sz w:val="18"/>
        <w:szCs w:val="18"/>
      </w:rPr>
      <w:t>428</w:t>
    </w:r>
    <w:r>
      <w:rPr>
        <w:spacing w:val="-13"/>
        <w:sz w:val="18"/>
        <w:szCs w:val="18"/>
      </w:rPr>
      <w:t xml:space="preserve"> </w:t>
    </w:r>
    <w:r>
      <w:rPr>
        <w:b/>
        <w:bCs/>
        <w:spacing w:val="-13"/>
        <w:sz w:val="18"/>
        <w:szCs w:val="18"/>
      </w:rPr>
      <w:t>页</w:t>
    </w:r>
    <w:r>
      <w:rPr>
        <w:spacing w:val="-27"/>
        <w:sz w:val="18"/>
        <w:szCs w:val="18"/>
      </w:rPr>
      <w:t xml:space="preserve"> </w:t>
    </w:r>
    <w:r>
      <w:rPr>
        <w:b/>
        <w:bCs/>
        <w:spacing w:val="-13"/>
        <w:sz w:val="18"/>
        <w:szCs w:val="18"/>
      </w:rPr>
      <w:t>共</w:t>
    </w:r>
    <w:r>
      <w:rPr>
        <w:spacing w:val="-39"/>
        <w:sz w:val="18"/>
        <w:szCs w:val="18"/>
      </w:rPr>
      <w:t xml:space="preserve"> </w:t>
    </w:r>
    <w:r>
      <w:rPr>
        <w:b/>
        <w:bCs/>
        <w:spacing w:val="-13"/>
        <w:sz w:val="18"/>
        <w:szCs w:val="18"/>
      </w:rPr>
      <w:t>499</w:t>
    </w:r>
    <w:r>
      <w:rPr>
        <w:spacing w:val="-13"/>
        <w:sz w:val="18"/>
        <w:szCs w:val="18"/>
      </w:rPr>
      <w:t xml:space="preserve"> </w:t>
    </w:r>
    <w:r>
      <w:rPr>
        <w:b/>
        <w:bCs/>
        <w:spacing w:val="-13"/>
        <w:sz w:val="18"/>
        <w:szCs w:val="18"/>
      </w:rPr>
      <w:t>页</w:t>
    </w:r>
  </w:p>
</w:ftr>
</file>

<file path=word/footer3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F6D1DC">
    <w:pPr>
      <w:spacing w:after="13" w:line="454" w:lineRule="exact"/>
    </w:pPr>
  </w:p>
  <w:p w14:paraId="1966B667">
    <w:pPr>
      <w:pStyle w:val="2"/>
      <w:spacing w:line="207" w:lineRule="auto"/>
      <w:ind w:left="5067"/>
      <w:rPr>
        <w:sz w:val="18"/>
        <w:szCs w:val="18"/>
      </w:rPr>
    </w:pPr>
    <w:r>
      <w:rPr>
        <w:b/>
        <w:bCs/>
        <w:spacing w:val="-13"/>
        <w:sz w:val="18"/>
        <w:szCs w:val="18"/>
      </w:rPr>
      <w:t>第</w:t>
    </w:r>
    <w:r>
      <w:rPr>
        <w:spacing w:val="-28"/>
        <w:sz w:val="18"/>
        <w:szCs w:val="18"/>
      </w:rPr>
      <w:t xml:space="preserve"> </w:t>
    </w:r>
    <w:r>
      <w:rPr>
        <w:b/>
        <w:bCs/>
        <w:spacing w:val="-13"/>
        <w:sz w:val="18"/>
        <w:szCs w:val="18"/>
      </w:rPr>
      <w:t>429</w:t>
    </w:r>
    <w:r>
      <w:rPr>
        <w:spacing w:val="-13"/>
        <w:sz w:val="18"/>
        <w:szCs w:val="18"/>
      </w:rPr>
      <w:t xml:space="preserve"> </w:t>
    </w:r>
    <w:r>
      <w:rPr>
        <w:b/>
        <w:bCs/>
        <w:spacing w:val="-13"/>
        <w:sz w:val="18"/>
        <w:szCs w:val="18"/>
      </w:rPr>
      <w:t>页</w:t>
    </w:r>
    <w:r>
      <w:rPr>
        <w:spacing w:val="-27"/>
        <w:sz w:val="18"/>
        <w:szCs w:val="18"/>
      </w:rPr>
      <w:t xml:space="preserve"> </w:t>
    </w:r>
    <w:r>
      <w:rPr>
        <w:b/>
        <w:bCs/>
        <w:spacing w:val="-13"/>
        <w:sz w:val="18"/>
        <w:szCs w:val="18"/>
      </w:rPr>
      <w:t>共</w:t>
    </w:r>
    <w:r>
      <w:rPr>
        <w:spacing w:val="-39"/>
        <w:sz w:val="18"/>
        <w:szCs w:val="18"/>
      </w:rPr>
      <w:t xml:space="preserve"> </w:t>
    </w:r>
    <w:r>
      <w:rPr>
        <w:b/>
        <w:bCs/>
        <w:spacing w:val="-13"/>
        <w:sz w:val="18"/>
        <w:szCs w:val="18"/>
      </w:rPr>
      <w:t>499</w:t>
    </w:r>
    <w:r>
      <w:rPr>
        <w:spacing w:val="-13"/>
        <w:sz w:val="18"/>
        <w:szCs w:val="18"/>
      </w:rPr>
      <w:t xml:space="preserve"> </w:t>
    </w:r>
    <w:r>
      <w:rPr>
        <w:b/>
        <w:bCs/>
        <w:spacing w:val="-13"/>
        <w:sz w:val="18"/>
        <w:szCs w:val="18"/>
      </w:rPr>
      <w:t>页</w:t>
    </w:r>
  </w:p>
</w:ftr>
</file>

<file path=word/footer3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F6BA0E">
    <w:pPr>
      <w:spacing w:after="13" w:line="454" w:lineRule="exact"/>
    </w:pPr>
  </w:p>
  <w:p w14:paraId="149835C5">
    <w:pPr>
      <w:pStyle w:val="2"/>
      <w:spacing w:line="207" w:lineRule="auto"/>
      <w:ind w:left="5067"/>
      <w:rPr>
        <w:sz w:val="18"/>
        <w:szCs w:val="18"/>
      </w:rPr>
    </w:pPr>
    <w:r>
      <w:rPr>
        <w:b/>
        <w:bCs/>
        <w:spacing w:val="-13"/>
        <w:sz w:val="18"/>
        <w:szCs w:val="18"/>
      </w:rPr>
      <w:t>第</w:t>
    </w:r>
    <w:r>
      <w:rPr>
        <w:spacing w:val="-28"/>
        <w:sz w:val="18"/>
        <w:szCs w:val="18"/>
      </w:rPr>
      <w:t xml:space="preserve"> </w:t>
    </w:r>
    <w:r>
      <w:rPr>
        <w:b/>
        <w:bCs/>
        <w:spacing w:val="-13"/>
        <w:sz w:val="18"/>
        <w:szCs w:val="18"/>
      </w:rPr>
      <w:t>430</w:t>
    </w:r>
    <w:r>
      <w:rPr>
        <w:spacing w:val="-13"/>
        <w:sz w:val="18"/>
        <w:szCs w:val="18"/>
      </w:rPr>
      <w:t xml:space="preserve"> </w:t>
    </w:r>
    <w:r>
      <w:rPr>
        <w:b/>
        <w:bCs/>
        <w:spacing w:val="-13"/>
        <w:sz w:val="18"/>
        <w:szCs w:val="18"/>
      </w:rPr>
      <w:t>页</w:t>
    </w:r>
    <w:r>
      <w:rPr>
        <w:spacing w:val="-27"/>
        <w:sz w:val="18"/>
        <w:szCs w:val="18"/>
      </w:rPr>
      <w:t xml:space="preserve"> </w:t>
    </w:r>
    <w:r>
      <w:rPr>
        <w:b/>
        <w:bCs/>
        <w:spacing w:val="-13"/>
        <w:sz w:val="18"/>
        <w:szCs w:val="18"/>
      </w:rPr>
      <w:t>共</w:t>
    </w:r>
    <w:r>
      <w:rPr>
        <w:spacing w:val="-39"/>
        <w:sz w:val="18"/>
        <w:szCs w:val="18"/>
      </w:rPr>
      <w:t xml:space="preserve"> </w:t>
    </w:r>
    <w:r>
      <w:rPr>
        <w:b/>
        <w:bCs/>
        <w:spacing w:val="-13"/>
        <w:sz w:val="18"/>
        <w:szCs w:val="18"/>
      </w:rPr>
      <w:t>499</w:t>
    </w:r>
    <w:r>
      <w:rPr>
        <w:spacing w:val="-13"/>
        <w:sz w:val="18"/>
        <w:szCs w:val="18"/>
      </w:rPr>
      <w:t xml:space="preserve"> </w:t>
    </w:r>
    <w:r>
      <w:rPr>
        <w:b/>
        <w:bCs/>
        <w:spacing w:val="-13"/>
        <w:sz w:val="18"/>
        <w:szCs w:val="18"/>
      </w:rPr>
      <w:t>页</w: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D6FAF4">
    <w:pPr>
      <w:spacing w:after="13" w:line="454" w:lineRule="exact"/>
    </w:pPr>
  </w:p>
  <w:p w14:paraId="59B48FAE">
    <w:pPr>
      <w:pStyle w:val="2"/>
      <w:spacing w:line="207" w:lineRule="auto"/>
      <w:ind w:left="5106"/>
      <w:rPr>
        <w:sz w:val="18"/>
        <w:szCs w:val="18"/>
      </w:rPr>
    </w:pPr>
    <w:r>
      <w:rPr>
        <w:b/>
        <w:bCs/>
        <w:spacing w:val="-13"/>
        <w:sz w:val="18"/>
        <w:szCs w:val="18"/>
      </w:rPr>
      <w:t>第</w:t>
    </w:r>
    <w:r>
      <w:rPr>
        <w:spacing w:val="-28"/>
        <w:sz w:val="18"/>
        <w:szCs w:val="18"/>
      </w:rPr>
      <w:t xml:space="preserve"> </w:t>
    </w:r>
    <w:r>
      <w:rPr>
        <w:b/>
        <w:bCs/>
        <w:spacing w:val="-13"/>
        <w:sz w:val="18"/>
        <w:szCs w:val="18"/>
      </w:rPr>
      <w:t>65</w:t>
    </w:r>
    <w:r>
      <w:rPr>
        <w:spacing w:val="-13"/>
        <w:sz w:val="18"/>
        <w:szCs w:val="18"/>
      </w:rPr>
      <w:t xml:space="preserve"> </w:t>
    </w:r>
    <w:r>
      <w:rPr>
        <w:b/>
        <w:bCs/>
        <w:spacing w:val="-13"/>
        <w:sz w:val="18"/>
        <w:szCs w:val="18"/>
      </w:rPr>
      <w:t>页</w:t>
    </w:r>
    <w:r>
      <w:rPr>
        <w:spacing w:val="-28"/>
        <w:sz w:val="18"/>
        <w:szCs w:val="18"/>
      </w:rPr>
      <w:t xml:space="preserve"> </w:t>
    </w:r>
    <w:r>
      <w:rPr>
        <w:b/>
        <w:bCs/>
        <w:spacing w:val="-13"/>
        <w:sz w:val="18"/>
        <w:szCs w:val="18"/>
      </w:rPr>
      <w:t>共</w:t>
    </w:r>
    <w:r>
      <w:rPr>
        <w:spacing w:val="-38"/>
        <w:sz w:val="18"/>
        <w:szCs w:val="18"/>
      </w:rPr>
      <w:t xml:space="preserve"> </w:t>
    </w:r>
    <w:r>
      <w:rPr>
        <w:b/>
        <w:bCs/>
        <w:spacing w:val="-13"/>
        <w:sz w:val="18"/>
        <w:szCs w:val="18"/>
      </w:rPr>
      <w:t>499</w:t>
    </w:r>
    <w:r>
      <w:rPr>
        <w:spacing w:val="-13"/>
        <w:sz w:val="18"/>
        <w:szCs w:val="18"/>
      </w:rPr>
      <w:t xml:space="preserve"> </w:t>
    </w:r>
    <w:r>
      <w:rPr>
        <w:b/>
        <w:bCs/>
        <w:spacing w:val="-13"/>
        <w:sz w:val="18"/>
        <w:szCs w:val="18"/>
      </w:rPr>
      <w:t>页</w:t>
    </w:r>
  </w:p>
</w:ftr>
</file>

<file path=word/footer3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11F9B7">
    <w:pPr>
      <w:spacing w:after="13" w:line="454" w:lineRule="exact"/>
    </w:pPr>
  </w:p>
  <w:p w14:paraId="3A3D5E8B">
    <w:pPr>
      <w:pStyle w:val="2"/>
      <w:spacing w:line="207" w:lineRule="auto"/>
      <w:ind w:left="5067"/>
      <w:rPr>
        <w:sz w:val="18"/>
        <w:szCs w:val="18"/>
      </w:rPr>
    </w:pPr>
    <w:r>
      <w:rPr>
        <w:b/>
        <w:bCs/>
        <w:spacing w:val="-13"/>
        <w:sz w:val="18"/>
        <w:szCs w:val="18"/>
      </w:rPr>
      <w:t>第</w:t>
    </w:r>
    <w:r>
      <w:rPr>
        <w:spacing w:val="-28"/>
        <w:sz w:val="18"/>
        <w:szCs w:val="18"/>
      </w:rPr>
      <w:t xml:space="preserve"> </w:t>
    </w:r>
    <w:r>
      <w:rPr>
        <w:b/>
        <w:bCs/>
        <w:spacing w:val="-13"/>
        <w:sz w:val="18"/>
        <w:szCs w:val="18"/>
      </w:rPr>
      <w:t>431</w:t>
    </w:r>
    <w:r>
      <w:rPr>
        <w:spacing w:val="-13"/>
        <w:sz w:val="18"/>
        <w:szCs w:val="18"/>
      </w:rPr>
      <w:t xml:space="preserve"> </w:t>
    </w:r>
    <w:r>
      <w:rPr>
        <w:b/>
        <w:bCs/>
        <w:spacing w:val="-13"/>
        <w:sz w:val="18"/>
        <w:szCs w:val="18"/>
      </w:rPr>
      <w:t>页</w:t>
    </w:r>
    <w:r>
      <w:rPr>
        <w:spacing w:val="-27"/>
        <w:sz w:val="18"/>
        <w:szCs w:val="18"/>
      </w:rPr>
      <w:t xml:space="preserve"> </w:t>
    </w:r>
    <w:r>
      <w:rPr>
        <w:b/>
        <w:bCs/>
        <w:spacing w:val="-13"/>
        <w:sz w:val="18"/>
        <w:szCs w:val="18"/>
      </w:rPr>
      <w:t>共</w:t>
    </w:r>
    <w:r>
      <w:rPr>
        <w:spacing w:val="-39"/>
        <w:sz w:val="18"/>
        <w:szCs w:val="18"/>
      </w:rPr>
      <w:t xml:space="preserve"> </w:t>
    </w:r>
    <w:r>
      <w:rPr>
        <w:b/>
        <w:bCs/>
        <w:spacing w:val="-13"/>
        <w:sz w:val="18"/>
        <w:szCs w:val="18"/>
      </w:rPr>
      <w:t>499</w:t>
    </w:r>
    <w:r>
      <w:rPr>
        <w:spacing w:val="-13"/>
        <w:sz w:val="18"/>
        <w:szCs w:val="18"/>
      </w:rPr>
      <w:t xml:space="preserve"> </w:t>
    </w:r>
    <w:r>
      <w:rPr>
        <w:b/>
        <w:bCs/>
        <w:spacing w:val="-13"/>
        <w:sz w:val="18"/>
        <w:szCs w:val="18"/>
      </w:rPr>
      <w:t>页</w:t>
    </w:r>
  </w:p>
</w:ftr>
</file>

<file path=word/footer3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BCA702">
    <w:pPr>
      <w:spacing w:after="13" w:line="454" w:lineRule="exact"/>
    </w:pPr>
  </w:p>
  <w:p w14:paraId="363FB335">
    <w:pPr>
      <w:pStyle w:val="2"/>
      <w:spacing w:line="207" w:lineRule="auto"/>
      <w:ind w:left="5067"/>
      <w:rPr>
        <w:sz w:val="18"/>
        <w:szCs w:val="18"/>
      </w:rPr>
    </w:pPr>
    <w:r>
      <w:rPr>
        <w:b/>
        <w:bCs/>
        <w:spacing w:val="-13"/>
        <w:sz w:val="18"/>
        <w:szCs w:val="18"/>
      </w:rPr>
      <w:t>第</w:t>
    </w:r>
    <w:r>
      <w:rPr>
        <w:spacing w:val="-28"/>
        <w:sz w:val="18"/>
        <w:szCs w:val="18"/>
      </w:rPr>
      <w:t xml:space="preserve"> </w:t>
    </w:r>
    <w:r>
      <w:rPr>
        <w:b/>
        <w:bCs/>
        <w:spacing w:val="-13"/>
        <w:sz w:val="18"/>
        <w:szCs w:val="18"/>
      </w:rPr>
      <w:t>432</w:t>
    </w:r>
    <w:r>
      <w:rPr>
        <w:spacing w:val="-13"/>
        <w:sz w:val="18"/>
        <w:szCs w:val="18"/>
      </w:rPr>
      <w:t xml:space="preserve"> </w:t>
    </w:r>
    <w:r>
      <w:rPr>
        <w:b/>
        <w:bCs/>
        <w:spacing w:val="-13"/>
        <w:sz w:val="18"/>
        <w:szCs w:val="18"/>
      </w:rPr>
      <w:t>页</w:t>
    </w:r>
    <w:r>
      <w:rPr>
        <w:spacing w:val="-27"/>
        <w:sz w:val="18"/>
        <w:szCs w:val="18"/>
      </w:rPr>
      <w:t xml:space="preserve"> </w:t>
    </w:r>
    <w:r>
      <w:rPr>
        <w:b/>
        <w:bCs/>
        <w:spacing w:val="-13"/>
        <w:sz w:val="18"/>
        <w:szCs w:val="18"/>
      </w:rPr>
      <w:t>共</w:t>
    </w:r>
    <w:r>
      <w:rPr>
        <w:spacing w:val="-39"/>
        <w:sz w:val="18"/>
        <w:szCs w:val="18"/>
      </w:rPr>
      <w:t xml:space="preserve"> </w:t>
    </w:r>
    <w:r>
      <w:rPr>
        <w:b/>
        <w:bCs/>
        <w:spacing w:val="-13"/>
        <w:sz w:val="18"/>
        <w:szCs w:val="18"/>
      </w:rPr>
      <w:t>499</w:t>
    </w:r>
    <w:r>
      <w:rPr>
        <w:spacing w:val="-13"/>
        <w:sz w:val="18"/>
        <w:szCs w:val="18"/>
      </w:rPr>
      <w:t xml:space="preserve"> </w:t>
    </w:r>
    <w:r>
      <w:rPr>
        <w:b/>
        <w:bCs/>
        <w:spacing w:val="-13"/>
        <w:sz w:val="18"/>
        <w:szCs w:val="18"/>
      </w:rPr>
      <w:t>页</w:t>
    </w:r>
  </w:p>
</w:ftr>
</file>

<file path=word/footer3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7B05B5">
    <w:pPr>
      <w:spacing w:after="13" w:line="454" w:lineRule="exact"/>
    </w:pPr>
  </w:p>
  <w:p w14:paraId="274D82CA">
    <w:pPr>
      <w:pStyle w:val="2"/>
      <w:spacing w:line="207" w:lineRule="auto"/>
      <w:ind w:left="5067"/>
      <w:rPr>
        <w:sz w:val="18"/>
        <w:szCs w:val="18"/>
      </w:rPr>
    </w:pPr>
    <w:r>
      <w:rPr>
        <w:b/>
        <w:bCs/>
        <w:spacing w:val="-13"/>
        <w:sz w:val="18"/>
        <w:szCs w:val="18"/>
      </w:rPr>
      <w:t>第</w:t>
    </w:r>
    <w:r>
      <w:rPr>
        <w:spacing w:val="-28"/>
        <w:sz w:val="18"/>
        <w:szCs w:val="18"/>
      </w:rPr>
      <w:t xml:space="preserve"> </w:t>
    </w:r>
    <w:r>
      <w:rPr>
        <w:b/>
        <w:bCs/>
        <w:spacing w:val="-13"/>
        <w:sz w:val="18"/>
        <w:szCs w:val="18"/>
      </w:rPr>
      <w:t>433</w:t>
    </w:r>
    <w:r>
      <w:rPr>
        <w:spacing w:val="-13"/>
        <w:sz w:val="18"/>
        <w:szCs w:val="18"/>
      </w:rPr>
      <w:t xml:space="preserve"> </w:t>
    </w:r>
    <w:r>
      <w:rPr>
        <w:b/>
        <w:bCs/>
        <w:spacing w:val="-13"/>
        <w:sz w:val="18"/>
        <w:szCs w:val="18"/>
      </w:rPr>
      <w:t>页</w:t>
    </w:r>
    <w:r>
      <w:rPr>
        <w:spacing w:val="-27"/>
        <w:sz w:val="18"/>
        <w:szCs w:val="18"/>
      </w:rPr>
      <w:t xml:space="preserve"> </w:t>
    </w:r>
    <w:r>
      <w:rPr>
        <w:b/>
        <w:bCs/>
        <w:spacing w:val="-13"/>
        <w:sz w:val="18"/>
        <w:szCs w:val="18"/>
      </w:rPr>
      <w:t>共</w:t>
    </w:r>
    <w:r>
      <w:rPr>
        <w:spacing w:val="-39"/>
        <w:sz w:val="18"/>
        <w:szCs w:val="18"/>
      </w:rPr>
      <w:t xml:space="preserve"> </w:t>
    </w:r>
    <w:r>
      <w:rPr>
        <w:b/>
        <w:bCs/>
        <w:spacing w:val="-13"/>
        <w:sz w:val="18"/>
        <w:szCs w:val="18"/>
      </w:rPr>
      <w:t>499</w:t>
    </w:r>
    <w:r>
      <w:rPr>
        <w:spacing w:val="-13"/>
        <w:sz w:val="18"/>
        <w:szCs w:val="18"/>
      </w:rPr>
      <w:t xml:space="preserve"> </w:t>
    </w:r>
    <w:r>
      <w:rPr>
        <w:b/>
        <w:bCs/>
        <w:spacing w:val="-13"/>
        <w:sz w:val="18"/>
        <w:szCs w:val="18"/>
      </w:rPr>
      <w:t>页</w:t>
    </w:r>
  </w:p>
</w:ftr>
</file>

<file path=word/footer3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40FF53">
    <w:pPr>
      <w:spacing w:after="13" w:line="454" w:lineRule="exact"/>
    </w:pPr>
  </w:p>
  <w:p w14:paraId="5A0F5918">
    <w:pPr>
      <w:pStyle w:val="2"/>
      <w:spacing w:line="207" w:lineRule="auto"/>
      <w:ind w:left="5067"/>
      <w:rPr>
        <w:sz w:val="18"/>
        <w:szCs w:val="18"/>
      </w:rPr>
    </w:pPr>
    <w:r>
      <w:rPr>
        <w:b/>
        <w:bCs/>
        <w:spacing w:val="-13"/>
        <w:sz w:val="18"/>
        <w:szCs w:val="18"/>
      </w:rPr>
      <w:t>第</w:t>
    </w:r>
    <w:r>
      <w:rPr>
        <w:spacing w:val="-28"/>
        <w:sz w:val="18"/>
        <w:szCs w:val="18"/>
      </w:rPr>
      <w:t xml:space="preserve"> </w:t>
    </w:r>
    <w:r>
      <w:rPr>
        <w:b/>
        <w:bCs/>
        <w:spacing w:val="-13"/>
        <w:sz w:val="18"/>
        <w:szCs w:val="18"/>
      </w:rPr>
      <w:t>434</w:t>
    </w:r>
    <w:r>
      <w:rPr>
        <w:spacing w:val="-13"/>
        <w:sz w:val="18"/>
        <w:szCs w:val="18"/>
      </w:rPr>
      <w:t xml:space="preserve"> </w:t>
    </w:r>
    <w:r>
      <w:rPr>
        <w:b/>
        <w:bCs/>
        <w:spacing w:val="-13"/>
        <w:sz w:val="18"/>
        <w:szCs w:val="18"/>
      </w:rPr>
      <w:t>页</w:t>
    </w:r>
    <w:r>
      <w:rPr>
        <w:spacing w:val="-27"/>
        <w:sz w:val="18"/>
        <w:szCs w:val="18"/>
      </w:rPr>
      <w:t xml:space="preserve"> </w:t>
    </w:r>
    <w:r>
      <w:rPr>
        <w:b/>
        <w:bCs/>
        <w:spacing w:val="-13"/>
        <w:sz w:val="18"/>
        <w:szCs w:val="18"/>
      </w:rPr>
      <w:t>共</w:t>
    </w:r>
    <w:r>
      <w:rPr>
        <w:spacing w:val="-39"/>
        <w:sz w:val="18"/>
        <w:szCs w:val="18"/>
      </w:rPr>
      <w:t xml:space="preserve"> </w:t>
    </w:r>
    <w:r>
      <w:rPr>
        <w:b/>
        <w:bCs/>
        <w:spacing w:val="-13"/>
        <w:sz w:val="18"/>
        <w:szCs w:val="18"/>
      </w:rPr>
      <w:t>499</w:t>
    </w:r>
    <w:r>
      <w:rPr>
        <w:spacing w:val="-13"/>
        <w:sz w:val="18"/>
        <w:szCs w:val="18"/>
      </w:rPr>
      <w:t xml:space="preserve"> </w:t>
    </w:r>
    <w:r>
      <w:rPr>
        <w:b/>
        <w:bCs/>
        <w:spacing w:val="-13"/>
        <w:sz w:val="18"/>
        <w:szCs w:val="18"/>
      </w:rPr>
      <w:t>页</w:t>
    </w:r>
  </w:p>
</w:ftr>
</file>

<file path=word/footer3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B41B0D">
    <w:pPr>
      <w:spacing w:after="13" w:line="454" w:lineRule="exact"/>
    </w:pPr>
  </w:p>
  <w:p w14:paraId="52E3FB0A">
    <w:pPr>
      <w:pStyle w:val="2"/>
      <w:spacing w:line="207" w:lineRule="auto"/>
      <w:ind w:left="5067"/>
      <w:rPr>
        <w:sz w:val="18"/>
        <w:szCs w:val="18"/>
      </w:rPr>
    </w:pPr>
    <w:r>
      <w:rPr>
        <w:b/>
        <w:bCs/>
        <w:spacing w:val="-13"/>
        <w:sz w:val="18"/>
        <w:szCs w:val="18"/>
      </w:rPr>
      <w:t>第</w:t>
    </w:r>
    <w:r>
      <w:rPr>
        <w:spacing w:val="-28"/>
        <w:sz w:val="18"/>
        <w:szCs w:val="18"/>
      </w:rPr>
      <w:t xml:space="preserve"> </w:t>
    </w:r>
    <w:r>
      <w:rPr>
        <w:b/>
        <w:bCs/>
        <w:spacing w:val="-13"/>
        <w:sz w:val="18"/>
        <w:szCs w:val="18"/>
      </w:rPr>
      <w:t>435</w:t>
    </w:r>
    <w:r>
      <w:rPr>
        <w:spacing w:val="-13"/>
        <w:sz w:val="18"/>
        <w:szCs w:val="18"/>
      </w:rPr>
      <w:t xml:space="preserve"> </w:t>
    </w:r>
    <w:r>
      <w:rPr>
        <w:b/>
        <w:bCs/>
        <w:spacing w:val="-13"/>
        <w:sz w:val="18"/>
        <w:szCs w:val="18"/>
      </w:rPr>
      <w:t>页</w:t>
    </w:r>
    <w:r>
      <w:rPr>
        <w:spacing w:val="-27"/>
        <w:sz w:val="18"/>
        <w:szCs w:val="18"/>
      </w:rPr>
      <w:t xml:space="preserve"> </w:t>
    </w:r>
    <w:r>
      <w:rPr>
        <w:b/>
        <w:bCs/>
        <w:spacing w:val="-13"/>
        <w:sz w:val="18"/>
        <w:szCs w:val="18"/>
      </w:rPr>
      <w:t>共</w:t>
    </w:r>
    <w:r>
      <w:rPr>
        <w:spacing w:val="-39"/>
        <w:sz w:val="18"/>
        <w:szCs w:val="18"/>
      </w:rPr>
      <w:t xml:space="preserve"> </w:t>
    </w:r>
    <w:r>
      <w:rPr>
        <w:b/>
        <w:bCs/>
        <w:spacing w:val="-13"/>
        <w:sz w:val="18"/>
        <w:szCs w:val="18"/>
      </w:rPr>
      <w:t>499</w:t>
    </w:r>
    <w:r>
      <w:rPr>
        <w:spacing w:val="-13"/>
        <w:sz w:val="18"/>
        <w:szCs w:val="18"/>
      </w:rPr>
      <w:t xml:space="preserve"> </w:t>
    </w:r>
    <w:r>
      <w:rPr>
        <w:b/>
        <w:bCs/>
        <w:spacing w:val="-13"/>
        <w:sz w:val="18"/>
        <w:szCs w:val="18"/>
      </w:rPr>
      <w:t>页</w:t>
    </w:r>
  </w:p>
</w:ftr>
</file>

<file path=word/footer3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9AD73D">
    <w:pPr>
      <w:spacing w:after="13" w:line="454" w:lineRule="exact"/>
    </w:pPr>
  </w:p>
  <w:p w14:paraId="1984F4ED">
    <w:pPr>
      <w:pStyle w:val="2"/>
      <w:spacing w:line="207" w:lineRule="auto"/>
      <w:ind w:left="5067"/>
      <w:rPr>
        <w:sz w:val="18"/>
        <w:szCs w:val="18"/>
      </w:rPr>
    </w:pPr>
    <w:r>
      <w:rPr>
        <w:b/>
        <w:bCs/>
        <w:spacing w:val="-13"/>
        <w:sz w:val="18"/>
        <w:szCs w:val="18"/>
      </w:rPr>
      <w:t>第</w:t>
    </w:r>
    <w:r>
      <w:rPr>
        <w:spacing w:val="-28"/>
        <w:sz w:val="18"/>
        <w:szCs w:val="18"/>
      </w:rPr>
      <w:t xml:space="preserve"> </w:t>
    </w:r>
    <w:r>
      <w:rPr>
        <w:b/>
        <w:bCs/>
        <w:spacing w:val="-13"/>
        <w:sz w:val="18"/>
        <w:szCs w:val="18"/>
      </w:rPr>
      <w:t>436</w:t>
    </w:r>
    <w:r>
      <w:rPr>
        <w:spacing w:val="-13"/>
        <w:sz w:val="18"/>
        <w:szCs w:val="18"/>
      </w:rPr>
      <w:t xml:space="preserve"> </w:t>
    </w:r>
    <w:r>
      <w:rPr>
        <w:b/>
        <w:bCs/>
        <w:spacing w:val="-13"/>
        <w:sz w:val="18"/>
        <w:szCs w:val="18"/>
      </w:rPr>
      <w:t>页</w:t>
    </w:r>
    <w:r>
      <w:rPr>
        <w:spacing w:val="-27"/>
        <w:sz w:val="18"/>
        <w:szCs w:val="18"/>
      </w:rPr>
      <w:t xml:space="preserve"> </w:t>
    </w:r>
    <w:r>
      <w:rPr>
        <w:b/>
        <w:bCs/>
        <w:spacing w:val="-13"/>
        <w:sz w:val="18"/>
        <w:szCs w:val="18"/>
      </w:rPr>
      <w:t>共</w:t>
    </w:r>
    <w:r>
      <w:rPr>
        <w:spacing w:val="-39"/>
        <w:sz w:val="18"/>
        <w:szCs w:val="18"/>
      </w:rPr>
      <w:t xml:space="preserve"> </w:t>
    </w:r>
    <w:r>
      <w:rPr>
        <w:b/>
        <w:bCs/>
        <w:spacing w:val="-13"/>
        <w:sz w:val="18"/>
        <w:szCs w:val="18"/>
      </w:rPr>
      <w:t>499</w:t>
    </w:r>
    <w:r>
      <w:rPr>
        <w:spacing w:val="-13"/>
        <w:sz w:val="18"/>
        <w:szCs w:val="18"/>
      </w:rPr>
      <w:t xml:space="preserve"> </w:t>
    </w:r>
    <w:r>
      <w:rPr>
        <w:b/>
        <w:bCs/>
        <w:spacing w:val="-13"/>
        <w:sz w:val="18"/>
        <w:szCs w:val="18"/>
      </w:rPr>
      <w:t>页</w:t>
    </w:r>
  </w:p>
</w:ftr>
</file>

<file path=word/footer3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CCF9FB">
    <w:pPr>
      <w:spacing w:after="13" w:line="454" w:lineRule="exact"/>
    </w:pPr>
  </w:p>
  <w:p w14:paraId="64756F68">
    <w:pPr>
      <w:pStyle w:val="2"/>
      <w:spacing w:line="207" w:lineRule="auto"/>
      <w:ind w:left="5067"/>
      <w:rPr>
        <w:sz w:val="18"/>
        <w:szCs w:val="18"/>
      </w:rPr>
    </w:pPr>
    <w:r>
      <w:rPr>
        <w:b/>
        <w:bCs/>
        <w:spacing w:val="-13"/>
        <w:sz w:val="18"/>
        <w:szCs w:val="18"/>
      </w:rPr>
      <w:t>第</w:t>
    </w:r>
    <w:r>
      <w:rPr>
        <w:spacing w:val="-28"/>
        <w:sz w:val="18"/>
        <w:szCs w:val="18"/>
      </w:rPr>
      <w:t xml:space="preserve"> </w:t>
    </w:r>
    <w:r>
      <w:rPr>
        <w:b/>
        <w:bCs/>
        <w:spacing w:val="-13"/>
        <w:sz w:val="18"/>
        <w:szCs w:val="18"/>
      </w:rPr>
      <w:t>437</w:t>
    </w:r>
    <w:r>
      <w:rPr>
        <w:spacing w:val="-13"/>
        <w:sz w:val="18"/>
        <w:szCs w:val="18"/>
      </w:rPr>
      <w:t xml:space="preserve"> </w:t>
    </w:r>
    <w:r>
      <w:rPr>
        <w:b/>
        <w:bCs/>
        <w:spacing w:val="-13"/>
        <w:sz w:val="18"/>
        <w:szCs w:val="18"/>
      </w:rPr>
      <w:t>页</w:t>
    </w:r>
    <w:r>
      <w:rPr>
        <w:spacing w:val="-27"/>
        <w:sz w:val="18"/>
        <w:szCs w:val="18"/>
      </w:rPr>
      <w:t xml:space="preserve"> </w:t>
    </w:r>
    <w:r>
      <w:rPr>
        <w:b/>
        <w:bCs/>
        <w:spacing w:val="-13"/>
        <w:sz w:val="18"/>
        <w:szCs w:val="18"/>
      </w:rPr>
      <w:t>共</w:t>
    </w:r>
    <w:r>
      <w:rPr>
        <w:spacing w:val="-39"/>
        <w:sz w:val="18"/>
        <w:szCs w:val="18"/>
      </w:rPr>
      <w:t xml:space="preserve"> </w:t>
    </w:r>
    <w:r>
      <w:rPr>
        <w:b/>
        <w:bCs/>
        <w:spacing w:val="-13"/>
        <w:sz w:val="18"/>
        <w:szCs w:val="18"/>
      </w:rPr>
      <w:t>499</w:t>
    </w:r>
    <w:r>
      <w:rPr>
        <w:spacing w:val="-13"/>
        <w:sz w:val="18"/>
        <w:szCs w:val="18"/>
      </w:rPr>
      <w:t xml:space="preserve"> </w:t>
    </w:r>
    <w:r>
      <w:rPr>
        <w:b/>
        <w:bCs/>
        <w:spacing w:val="-13"/>
        <w:sz w:val="18"/>
        <w:szCs w:val="18"/>
      </w:rPr>
      <w:t>页</w:t>
    </w:r>
  </w:p>
</w:ftr>
</file>

<file path=word/footer3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5E494E">
    <w:pPr>
      <w:spacing w:after="13" w:line="454" w:lineRule="exact"/>
    </w:pPr>
  </w:p>
  <w:p w14:paraId="067D318E">
    <w:pPr>
      <w:pStyle w:val="2"/>
      <w:spacing w:line="207" w:lineRule="auto"/>
      <w:ind w:left="5067"/>
      <w:rPr>
        <w:sz w:val="18"/>
        <w:szCs w:val="18"/>
      </w:rPr>
    </w:pPr>
    <w:r>
      <w:rPr>
        <w:b/>
        <w:bCs/>
        <w:spacing w:val="-13"/>
        <w:sz w:val="18"/>
        <w:szCs w:val="18"/>
      </w:rPr>
      <w:t>第</w:t>
    </w:r>
    <w:r>
      <w:rPr>
        <w:spacing w:val="-28"/>
        <w:sz w:val="18"/>
        <w:szCs w:val="18"/>
      </w:rPr>
      <w:t xml:space="preserve"> </w:t>
    </w:r>
    <w:r>
      <w:rPr>
        <w:b/>
        <w:bCs/>
        <w:spacing w:val="-13"/>
        <w:sz w:val="18"/>
        <w:szCs w:val="18"/>
      </w:rPr>
      <w:t>438</w:t>
    </w:r>
    <w:r>
      <w:rPr>
        <w:spacing w:val="-13"/>
        <w:sz w:val="18"/>
        <w:szCs w:val="18"/>
      </w:rPr>
      <w:t xml:space="preserve"> </w:t>
    </w:r>
    <w:r>
      <w:rPr>
        <w:b/>
        <w:bCs/>
        <w:spacing w:val="-13"/>
        <w:sz w:val="18"/>
        <w:szCs w:val="18"/>
      </w:rPr>
      <w:t>页</w:t>
    </w:r>
    <w:r>
      <w:rPr>
        <w:spacing w:val="-27"/>
        <w:sz w:val="18"/>
        <w:szCs w:val="18"/>
      </w:rPr>
      <w:t xml:space="preserve"> </w:t>
    </w:r>
    <w:r>
      <w:rPr>
        <w:b/>
        <w:bCs/>
        <w:spacing w:val="-13"/>
        <w:sz w:val="18"/>
        <w:szCs w:val="18"/>
      </w:rPr>
      <w:t>共</w:t>
    </w:r>
    <w:r>
      <w:rPr>
        <w:spacing w:val="-39"/>
        <w:sz w:val="18"/>
        <w:szCs w:val="18"/>
      </w:rPr>
      <w:t xml:space="preserve"> </w:t>
    </w:r>
    <w:r>
      <w:rPr>
        <w:b/>
        <w:bCs/>
        <w:spacing w:val="-13"/>
        <w:sz w:val="18"/>
        <w:szCs w:val="18"/>
      </w:rPr>
      <w:t>499</w:t>
    </w:r>
    <w:r>
      <w:rPr>
        <w:spacing w:val="-13"/>
        <w:sz w:val="18"/>
        <w:szCs w:val="18"/>
      </w:rPr>
      <w:t xml:space="preserve"> </w:t>
    </w:r>
    <w:r>
      <w:rPr>
        <w:b/>
        <w:bCs/>
        <w:spacing w:val="-13"/>
        <w:sz w:val="18"/>
        <w:szCs w:val="18"/>
      </w:rPr>
      <w:t>页</w:t>
    </w:r>
  </w:p>
</w:ftr>
</file>

<file path=word/footer3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DD6FB4">
    <w:pPr>
      <w:spacing w:after="13" w:line="454" w:lineRule="exact"/>
    </w:pPr>
  </w:p>
  <w:p w14:paraId="3D9B05A3">
    <w:pPr>
      <w:pStyle w:val="2"/>
      <w:spacing w:line="207" w:lineRule="auto"/>
      <w:ind w:left="5067"/>
      <w:rPr>
        <w:sz w:val="18"/>
        <w:szCs w:val="18"/>
      </w:rPr>
    </w:pPr>
    <w:r>
      <w:rPr>
        <w:b/>
        <w:bCs/>
        <w:spacing w:val="-13"/>
        <w:sz w:val="18"/>
        <w:szCs w:val="18"/>
      </w:rPr>
      <w:t>第</w:t>
    </w:r>
    <w:r>
      <w:rPr>
        <w:spacing w:val="-28"/>
        <w:sz w:val="18"/>
        <w:szCs w:val="18"/>
      </w:rPr>
      <w:t xml:space="preserve"> </w:t>
    </w:r>
    <w:r>
      <w:rPr>
        <w:b/>
        <w:bCs/>
        <w:spacing w:val="-13"/>
        <w:sz w:val="18"/>
        <w:szCs w:val="18"/>
      </w:rPr>
      <w:t>439</w:t>
    </w:r>
    <w:r>
      <w:rPr>
        <w:spacing w:val="-13"/>
        <w:sz w:val="18"/>
        <w:szCs w:val="18"/>
      </w:rPr>
      <w:t xml:space="preserve"> </w:t>
    </w:r>
    <w:r>
      <w:rPr>
        <w:b/>
        <w:bCs/>
        <w:spacing w:val="-13"/>
        <w:sz w:val="18"/>
        <w:szCs w:val="18"/>
      </w:rPr>
      <w:t>页</w:t>
    </w:r>
    <w:r>
      <w:rPr>
        <w:spacing w:val="-27"/>
        <w:sz w:val="18"/>
        <w:szCs w:val="18"/>
      </w:rPr>
      <w:t xml:space="preserve"> </w:t>
    </w:r>
    <w:r>
      <w:rPr>
        <w:b/>
        <w:bCs/>
        <w:spacing w:val="-13"/>
        <w:sz w:val="18"/>
        <w:szCs w:val="18"/>
      </w:rPr>
      <w:t>共</w:t>
    </w:r>
    <w:r>
      <w:rPr>
        <w:spacing w:val="-39"/>
        <w:sz w:val="18"/>
        <w:szCs w:val="18"/>
      </w:rPr>
      <w:t xml:space="preserve"> </w:t>
    </w:r>
    <w:r>
      <w:rPr>
        <w:b/>
        <w:bCs/>
        <w:spacing w:val="-13"/>
        <w:sz w:val="18"/>
        <w:szCs w:val="18"/>
      </w:rPr>
      <w:t>499</w:t>
    </w:r>
    <w:r>
      <w:rPr>
        <w:spacing w:val="-13"/>
        <w:sz w:val="18"/>
        <w:szCs w:val="18"/>
      </w:rPr>
      <w:t xml:space="preserve"> </w:t>
    </w:r>
    <w:r>
      <w:rPr>
        <w:b/>
        <w:bCs/>
        <w:spacing w:val="-13"/>
        <w:sz w:val="18"/>
        <w:szCs w:val="18"/>
      </w:rPr>
      <w:t>页</w:t>
    </w:r>
  </w:p>
</w:ftr>
</file>

<file path=word/footer3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5EEAC5">
    <w:pPr>
      <w:spacing w:after="13" w:line="454" w:lineRule="exact"/>
    </w:pPr>
  </w:p>
  <w:p w14:paraId="050DB727">
    <w:pPr>
      <w:pStyle w:val="2"/>
      <w:spacing w:line="207" w:lineRule="auto"/>
      <w:ind w:left="5067"/>
      <w:rPr>
        <w:sz w:val="18"/>
        <w:szCs w:val="18"/>
      </w:rPr>
    </w:pPr>
    <w:r>
      <w:rPr>
        <w:b/>
        <w:bCs/>
        <w:spacing w:val="-13"/>
        <w:sz w:val="18"/>
        <w:szCs w:val="18"/>
      </w:rPr>
      <w:t>第</w:t>
    </w:r>
    <w:r>
      <w:rPr>
        <w:spacing w:val="-28"/>
        <w:sz w:val="18"/>
        <w:szCs w:val="18"/>
      </w:rPr>
      <w:t xml:space="preserve"> </w:t>
    </w:r>
    <w:r>
      <w:rPr>
        <w:b/>
        <w:bCs/>
        <w:spacing w:val="-13"/>
        <w:sz w:val="18"/>
        <w:szCs w:val="18"/>
      </w:rPr>
      <w:t>440</w:t>
    </w:r>
    <w:r>
      <w:rPr>
        <w:spacing w:val="-13"/>
        <w:sz w:val="18"/>
        <w:szCs w:val="18"/>
      </w:rPr>
      <w:t xml:space="preserve"> </w:t>
    </w:r>
    <w:r>
      <w:rPr>
        <w:b/>
        <w:bCs/>
        <w:spacing w:val="-13"/>
        <w:sz w:val="18"/>
        <w:szCs w:val="18"/>
      </w:rPr>
      <w:t>页</w:t>
    </w:r>
    <w:r>
      <w:rPr>
        <w:spacing w:val="-27"/>
        <w:sz w:val="18"/>
        <w:szCs w:val="18"/>
      </w:rPr>
      <w:t xml:space="preserve"> </w:t>
    </w:r>
    <w:r>
      <w:rPr>
        <w:b/>
        <w:bCs/>
        <w:spacing w:val="-13"/>
        <w:sz w:val="18"/>
        <w:szCs w:val="18"/>
      </w:rPr>
      <w:t>共</w:t>
    </w:r>
    <w:r>
      <w:rPr>
        <w:spacing w:val="-39"/>
        <w:sz w:val="18"/>
        <w:szCs w:val="18"/>
      </w:rPr>
      <w:t xml:space="preserve"> </w:t>
    </w:r>
    <w:r>
      <w:rPr>
        <w:b/>
        <w:bCs/>
        <w:spacing w:val="-13"/>
        <w:sz w:val="18"/>
        <w:szCs w:val="18"/>
      </w:rPr>
      <w:t>499</w:t>
    </w:r>
    <w:r>
      <w:rPr>
        <w:spacing w:val="-13"/>
        <w:sz w:val="18"/>
        <w:szCs w:val="18"/>
      </w:rPr>
      <w:t xml:space="preserve"> </w:t>
    </w:r>
    <w:r>
      <w:rPr>
        <w:b/>
        <w:bCs/>
        <w:spacing w:val="-13"/>
        <w:sz w:val="18"/>
        <w:szCs w:val="18"/>
      </w:rPr>
      <w:t>页</w: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8DE802">
    <w:pPr>
      <w:spacing w:after="13" w:line="454" w:lineRule="exact"/>
    </w:pPr>
  </w:p>
  <w:p w14:paraId="10717170">
    <w:pPr>
      <w:pStyle w:val="2"/>
      <w:spacing w:line="207" w:lineRule="auto"/>
      <w:ind w:left="5106"/>
      <w:rPr>
        <w:sz w:val="18"/>
        <w:szCs w:val="18"/>
      </w:rPr>
    </w:pPr>
    <w:r>
      <w:rPr>
        <w:b/>
        <w:bCs/>
        <w:spacing w:val="-13"/>
        <w:sz w:val="18"/>
        <w:szCs w:val="18"/>
      </w:rPr>
      <w:t>第</w:t>
    </w:r>
    <w:r>
      <w:rPr>
        <w:spacing w:val="-28"/>
        <w:sz w:val="18"/>
        <w:szCs w:val="18"/>
      </w:rPr>
      <w:t xml:space="preserve"> </w:t>
    </w:r>
    <w:r>
      <w:rPr>
        <w:b/>
        <w:bCs/>
        <w:spacing w:val="-13"/>
        <w:sz w:val="18"/>
        <w:szCs w:val="18"/>
      </w:rPr>
      <w:t>66</w:t>
    </w:r>
    <w:r>
      <w:rPr>
        <w:spacing w:val="-13"/>
        <w:sz w:val="18"/>
        <w:szCs w:val="18"/>
      </w:rPr>
      <w:t xml:space="preserve"> </w:t>
    </w:r>
    <w:r>
      <w:rPr>
        <w:b/>
        <w:bCs/>
        <w:spacing w:val="-13"/>
        <w:sz w:val="18"/>
        <w:szCs w:val="18"/>
      </w:rPr>
      <w:t>页</w:t>
    </w:r>
    <w:r>
      <w:rPr>
        <w:spacing w:val="-28"/>
        <w:sz w:val="18"/>
        <w:szCs w:val="18"/>
      </w:rPr>
      <w:t xml:space="preserve"> </w:t>
    </w:r>
    <w:r>
      <w:rPr>
        <w:b/>
        <w:bCs/>
        <w:spacing w:val="-13"/>
        <w:sz w:val="18"/>
        <w:szCs w:val="18"/>
      </w:rPr>
      <w:t>共</w:t>
    </w:r>
    <w:r>
      <w:rPr>
        <w:spacing w:val="-38"/>
        <w:sz w:val="18"/>
        <w:szCs w:val="18"/>
      </w:rPr>
      <w:t xml:space="preserve"> </w:t>
    </w:r>
    <w:r>
      <w:rPr>
        <w:b/>
        <w:bCs/>
        <w:spacing w:val="-13"/>
        <w:sz w:val="18"/>
        <w:szCs w:val="18"/>
      </w:rPr>
      <w:t>499</w:t>
    </w:r>
    <w:r>
      <w:rPr>
        <w:spacing w:val="-13"/>
        <w:sz w:val="18"/>
        <w:szCs w:val="18"/>
      </w:rPr>
      <w:t xml:space="preserve"> </w:t>
    </w:r>
    <w:r>
      <w:rPr>
        <w:b/>
        <w:bCs/>
        <w:spacing w:val="-13"/>
        <w:sz w:val="18"/>
        <w:szCs w:val="18"/>
      </w:rPr>
      <w:t>页</w:t>
    </w:r>
  </w:p>
</w:ftr>
</file>

<file path=word/footer3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B4A831">
    <w:pPr>
      <w:spacing w:after="13" w:line="454" w:lineRule="exact"/>
    </w:pPr>
  </w:p>
  <w:p w14:paraId="46FD7DB9">
    <w:pPr>
      <w:pStyle w:val="2"/>
      <w:spacing w:line="207" w:lineRule="auto"/>
      <w:ind w:left="5067"/>
      <w:rPr>
        <w:sz w:val="18"/>
        <w:szCs w:val="18"/>
      </w:rPr>
    </w:pPr>
    <w:r>
      <w:rPr>
        <w:b/>
        <w:bCs/>
        <w:spacing w:val="-13"/>
        <w:sz w:val="18"/>
        <w:szCs w:val="18"/>
      </w:rPr>
      <w:t>第</w:t>
    </w:r>
    <w:r>
      <w:rPr>
        <w:spacing w:val="-28"/>
        <w:sz w:val="18"/>
        <w:szCs w:val="18"/>
      </w:rPr>
      <w:t xml:space="preserve"> </w:t>
    </w:r>
    <w:r>
      <w:rPr>
        <w:b/>
        <w:bCs/>
        <w:spacing w:val="-13"/>
        <w:sz w:val="18"/>
        <w:szCs w:val="18"/>
      </w:rPr>
      <w:t>441</w:t>
    </w:r>
    <w:r>
      <w:rPr>
        <w:spacing w:val="-13"/>
        <w:sz w:val="18"/>
        <w:szCs w:val="18"/>
      </w:rPr>
      <w:t xml:space="preserve"> </w:t>
    </w:r>
    <w:r>
      <w:rPr>
        <w:b/>
        <w:bCs/>
        <w:spacing w:val="-13"/>
        <w:sz w:val="18"/>
        <w:szCs w:val="18"/>
      </w:rPr>
      <w:t>页</w:t>
    </w:r>
    <w:r>
      <w:rPr>
        <w:spacing w:val="-27"/>
        <w:sz w:val="18"/>
        <w:szCs w:val="18"/>
      </w:rPr>
      <w:t xml:space="preserve"> </w:t>
    </w:r>
    <w:r>
      <w:rPr>
        <w:b/>
        <w:bCs/>
        <w:spacing w:val="-13"/>
        <w:sz w:val="18"/>
        <w:szCs w:val="18"/>
      </w:rPr>
      <w:t>共</w:t>
    </w:r>
    <w:r>
      <w:rPr>
        <w:spacing w:val="-39"/>
        <w:sz w:val="18"/>
        <w:szCs w:val="18"/>
      </w:rPr>
      <w:t xml:space="preserve"> </w:t>
    </w:r>
    <w:r>
      <w:rPr>
        <w:b/>
        <w:bCs/>
        <w:spacing w:val="-13"/>
        <w:sz w:val="18"/>
        <w:szCs w:val="18"/>
      </w:rPr>
      <w:t>499</w:t>
    </w:r>
    <w:r>
      <w:rPr>
        <w:spacing w:val="-13"/>
        <w:sz w:val="18"/>
        <w:szCs w:val="18"/>
      </w:rPr>
      <w:t xml:space="preserve"> </w:t>
    </w:r>
    <w:r>
      <w:rPr>
        <w:b/>
        <w:bCs/>
        <w:spacing w:val="-13"/>
        <w:sz w:val="18"/>
        <w:szCs w:val="18"/>
      </w:rPr>
      <w:t>页</w:t>
    </w:r>
  </w:p>
</w:ftr>
</file>

<file path=word/footer3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68C764">
    <w:pPr>
      <w:spacing w:after="13" w:line="454" w:lineRule="exact"/>
    </w:pPr>
  </w:p>
  <w:p w14:paraId="6EF9C558">
    <w:pPr>
      <w:pStyle w:val="2"/>
      <w:spacing w:line="207" w:lineRule="auto"/>
      <w:ind w:left="5067"/>
      <w:rPr>
        <w:sz w:val="18"/>
        <w:szCs w:val="18"/>
      </w:rPr>
    </w:pPr>
    <w:r>
      <w:rPr>
        <w:b/>
        <w:bCs/>
        <w:spacing w:val="-13"/>
        <w:sz w:val="18"/>
        <w:szCs w:val="18"/>
      </w:rPr>
      <w:t>第</w:t>
    </w:r>
    <w:r>
      <w:rPr>
        <w:spacing w:val="-28"/>
        <w:sz w:val="18"/>
        <w:szCs w:val="18"/>
      </w:rPr>
      <w:t xml:space="preserve"> </w:t>
    </w:r>
    <w:r>
      <w:rPr>
        <w:b/>
        <w:bCs/>
        <w:spacing w:val="-13"/>
        <w:sz w:val="18"/>
        <w:szCs w:val="18"/>
      </w:rPr>
      <w:t>442</w:t>
    </w:r>
    <w:r>
      <w:rPr>
        <w:spacing w:val="-13"/>
        <w:sz w:val="18"/>
        <w:szCs w:val="18"/>
      </w:rPr>
      <w:t xml:space="preserve"> </w:t>
    </w:r>
    <w:r>
      <w:rPr>
        <w:b/>
        <w:bCs/>
        <w:spacing w:val="-13"/>
        <w:sz w:val="18"/>
        <w:szCs w:val="18"/>
      </w:rPr>
      <w:t>页</w:t>
    </w:r>
    <w:r>
      <w:rPr>
        <w:spacing w:val="-27"/>
        <w:sz w:val="18"/>
        <w:szCs w:val="18"/>
      </w:rPr>
      <w:t xml:space="preserve"> </w:t>
    </w:r>
    <w:r>
      <w:rPr>
        <w:b/>
        <w:bCs/>
        <w:spacing w:val="-13"/>
        <w:sz w:val="18"/>
        <w:szCs w:val="18"/>
      </w:rPr>
      <w:t>共</w:t>
    </w:r>
    <w:r>
      <w:rPr>
        <w:spacing w:val="-39"/>
        <w:sz w:val="18"/>
        <w:szCs w:val="18"/>
      </w:rPr>
      <w:t xml:space="preserve"> </w:t>
    </w:r>
    <w:r>
      <w:rPr>
        <w:b/>
        <w:bCs/>
        <w:spacing w:val="-13"/>
        <w:sz w:val="18"/>
        <w:szCs w:val="18"/>
      </w:rPr>
      <w:t>499</w:t>
    </w:r>
    <w:r>
      <w:rPr>
        <w:spacing w:val="-13"/>
        <w:sz w:val="18"/>
        <w:szCs w:val="18"/>
      </w:rPr>
      <w:t xml:space="preserve"> </w:t>
    </w:r>
    <w:r>
      <w:rPr>
        <w:b/>
        <w:bCs/>
        <w:spacing w:val="-13"/>
        <w:sz w:val="18"/>
        <w:szCs w:val="18"/>
      </w:rPr>
      <w:t>页</w:t>
    </w:r>
  </w:p>
</w:ftr>
</file>

<file path=word/footer3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428163">
    <w:pPr>
      <w:spacing w:after="13" w:line="454" w:lineRule="exact"/>
    </w:pPr>
  </w:p>
  <w:p w14:paraId="014DE40A">
    <w:pPr>
      <w:pStyle w:val="2"/>
      <w:spacing w:line="207" w:lineRule="auto"/>
      <w:ind w:left="5067"/>
      <w:rPr>
        <w:sz w:val="18"/>
        <w:szCs w:val="18"/>
      </w:rPr>
    </w:pPr>
    <w:r>
      <w:rPr>
        <w:b/>
        <w:bCs/>
        <w:spacing w:val="-13"/>
        <w:sz w:val="18"/>
        <w:szCs w:val="18"/>
      </w:rPr>
      <w:t>第</w:t>
    </w:r>
    <w:r>
      <w:rPr>
        <w:spacing w:val="-28"/>
        <w:sz w:val="18"/>
        <w:szCs w:val="18"/>
      </w:rPr>
      <w:t xml:space="preserve"> </w:t>
    </w:r>
    <w:r>
      <w:rPr>
        <w:b/>
        <w:bCs/>
        <w:spacing w:val="-13"/>
        <w:sz w:val="18"/>
        <w:szCs w:val="18"/>
      </w:rPr>
      <w:t>443</w:t>
    </w:r>
    <w:r>
      <w:rPr>
        <w:spacing w:val="-13"/>
        <w:sz w:val="18"/>
        <w:szCs w:val="18"/>
      </w:rPr>
      <w:t xml:space="preserve"> </w:t>
    </w:r>
    <w:r>
      <w:rPr>
        <w:b/>
        <w:bCs/>
        <w:spacing w:val="-13"/>
        <w:sz w:val="18"/>
        <w:szCs w:val="18"/>
      </w:rPr>
      <w:t>页</w:t>
    </w:r>
    <w:r>
      <w:rPr>
        <w:spacing w:val="-27"/>
        <w:sz w:val="18"/>
        <w:szCs w:val="18"/>
      </w:rPr>
      <w:t xml:space="preserve"> </w:t>
    </w:r>
    <w:r>
      <w:rPr>
        <w:b/>
        <w:bCs/>
        <w:spacing w:val="-13"/>
        <w:sz w:val="18"/>
        <w:szCs w:val="18"/>
      </w:rPr>
      <w:t>共</w:t>
    </w:r>
    <w:r>
      <w:rPr>
        <w:spacing w:val="-39"/>
        <w:sz w:val="18"/>
        <w:szCs w:val="18"/>
      </w:rPr>
      <w:t xml:space="preserve"> </w:t>
    </w:r>
    <w:r>
      <w:rPr>
        <w:b/>
        <w:bCs/>
        <w:spacing w:val="-13"/>
        <w:sz w:val="18"/>
        <w:szCs w:val="18"/>
      </w:rPr>
      <w:t>499</w:t>
    </w:r>
    <w:r>
      <w:rPr>
        <w:spacing w:val="-13"/>
        <w:sz w:val="18"/>
        <w:szCs w:val="18"/>
      </w:rPr>
      <w:t xml:space="preserve"> </w:t>
    </w:r>
    <w:r>
      <w:rPr>
        <w:b/>
        <w:bCs/>
        <w:spacing w:val="-13"/>
        <w:sz w:val="18"/>
        <w:szCs w:val="18"/>
      </w:rPr>
      <w:t>页</w:t>
    </w:r>
  </w:p>
</w:ftr>
</file>

<file path=word/footer3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A2D30E">
    <w:pPr>
      <w:spacing w:after="13" w:line="454" w:lineRule="exact"/>
    </w:pPr>
  </w:p>
  <w:p w14:paraId="13EB2B47">
    <w:pPr>
      <w:pStyle w:val="2"/>
      <w:spacing w:line="207" w:lineRule="auto"/>
      <w:ind w:left="5067"/>
      <w:rPr>
        <w:sz w:val="18"/>
        <w:szCs w:val="18"/>
      </w:rPr>
    </w:pPr>
    <w:r>
      <w:rPr>
        <w:b/>
        <w:bCs/>
        <w:spacing w:val="-13"/>
        <w:sz w:val="18"/>
        <w:szCs w:val="18"/>
      </w:rPr>
      <w:t>第</w:t>
    </w:r>
    <w:r>
      <w:rPr>
        <w:spacing w:val="-28"/>
        <w:sz w:val="18"/>
        <w:szCs w:val="18"/>
      </w:rPr>
      <w:t xml:space="preserve"> </w:t>
    </w:r>
    <w:r>
      <w:rPr>
        <w:b/>
        <w:bCs/>
        <w:spacing w:val="-13"/>
        <w:sz w:val="18"/>
        <w:szCs w:val="18"/>
      </w:rPr>
      <w:t>444</w:t>
    </w:r>
    <w:r>
      <w:rPr>
        <w:spacing w:val="-13"/>
        <w:sz w:val="18"/>
        <w:szCs w:val="18"/>
      </w:rPr>
      <w:t xml:space="preserve"> </w:t>
    </w:r>
    <w:r>
      <w:rPr>
        <w:b/>
        <w:bCs/>
        <w:spacing w:val="-13"/>
        <w:sz w:val="18"/>
        <w:szCs w:val="18"/>
      </w:rPr>
      <w:t>页</w:t>
    </w:r>
    <w:r>
      <w:rPr>
        <w:spacing w:val="-27"/>
        <w:sz w:val="18"/>
        <w:szCs w:val="18"/>
      </w:rPr>
      <w:t xml:space="preserve"> </w:t>
    </w:r>
    <w:r>
      <w:rPr>
        <w:b/>
        <w:bCs/>
        <w:spacing w:val="-13"/>
        <w:sz w:val="18"/>
        <w:szCs w:val="18"/>
      </w:rPr>
      <w:t>共</w:t>
    </w:r>
    <w:r>
      <w:rPr>
        <w:spacing w:val="-39"/>
        <w:sz w:val="18"/>
        <w:szCs w:val="18"/>
      </w:rPr>
      <w:t xml:space="preserve"> </w:t>
    </w:r>
    <w:r>
      <w:rPr>
        <w:b/>
        <w:bCs/>
        <w:spacing w:val="-13"/>
        <w:sz w:val="18"/>
        <w:szCs w:val="18"/>
      </w:rPr>
      <w:t>499</w:t>
    </w:r>
    <w:r>
      <w:rPr>
        <w:spacing w:val="-13"/>
        <w:sz w:val="18"/>
        <w:szCs w:val="18"/>
      </w:rPr>
      <w:t xml:space="preserve"> </w:t>
    </w:r>
    <w:r>
      <w:rPr>
        <w:b/>
        <w:bCs/>
        <w:spacing w:val="-13"/>
        <w:sz w:val="18"/>
        <w:szCs w:val="18"/>
      </w:rPr>
      <w:t>页</w:t>
    </w:r>
  </w:p>
</w:ftr>
</file>

<file path=word/footer3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DDC38D">
    <w:pPr>
      <w:spacing w:after="13" w:line="454" w:lineRule="exact"/>
    </w:pPr>
  </w:p>
  <w:p w14:paraId="511E5ADE">
    <w:pPr>
      <w:pStyle w:val="2"/>
      <w:spacing w:line="207" w:lineRule="auto"/>
      <w:ind w:left="5067"/>
      <w:rPr>
        <w:sz w:val="18"/>
        <w:szCs w:val="18"/>
      </w:rPr>
    </w:pPr>
    <w:r>
      <w:rPr>
        <w:b/>
        <w:bCs/>
        <w:spacing w:val="-13"/>
        <w:sz w:val="18"/>
        <w:szCs w:val="18"/>
      </w:rPr>
      <w:t>第</w:t>
    </w:r>
    <w:r>
      <w:rPr>
        <w:spacing w:val="-28"/>
        <w:sz w:val="18"/>
        <w:szCs w:val="18"/>
      </w:rPr>
      <w:t xml:space="preserve"> </w:t>
    </w:r>
    <w:r>
      <w:rPr>
        <w:b/>
        <w:bCs/>
        <w:spacing w:val="-13"/>
        <w:sz w:val="18"/>
        <w:szCs w:val="18"/>
      </w:rPr>
      <w:t>445</w:t>
    </w:r>
    <w:r>
      <w:rPr>
        <w:spacing w:val="-13"/>
        <w:sz w:val="18"/>
        <w:szCs w:val="18"/>
      </w:rPr>
      <w:t xml:space="preserve"> </w:t>
    </w:r>
    <w:r>
      <w:rPr>
        <w:b/>
        <w:bCs/>
        <w:spacing w:val="-13"/>
        <w:sz w:val="18"/>
        <w:szCs w:val="18"/>
      </w:rPr>
      <w:t>页</w:t>
    </w:r>
    <w:r>
      <w:rPr>
        <w:spacing w:val="-27"/>
        <w:sz w:val="18"/>
        <w:szCs w:val="18"/>
      </w:rPr>
      <w:t xml:space="preserve"> </w:t>
    </w:r>
    <w:r>
      <w:rPr>
        <w:b/>
        <w:bCs/>
        <w:spacing w:val="-13"/>
        <w:sz w:val="18"/>
        <w:szCs w:val="18"/>
      </w:rPr>
      <w:t>共</w:t>
    </w:r>
    <w:r>
      <w:rPr>
        <w:spacing w:val="-39"/>
        <w:sz w:val="18"/>
        <w:szCs w:val="18"/>
      </w:rPr>
      <w:t xml:space="preserve"> </w:t>
    </w:r>
    <w:r>
      <w:rPr>
        <w:b/>
        <w:bCs/>
        <w:spacing w:val="-13"/>
        <w:sz w:val="18"/>
        <w:szCs w:val="18"/>
      </w:rPr>
      <w:t>499</w:t>
    </w:r>
    <w:r>
      <w:rPr>
        <w:spacing w:val="-13"/>
        <w:sz w:val="18"/>
        <w:szCs w:val="18"/>
      </w:rPr>
      <w:t xml:space="preserve"> </w:t>
    </w:r>
    <w:r>
      <w:rPr>
        <w:b/>
        <w:bCs/>
        <w:spacing w:val="-13"/>
        <w:sz w:val="18"/>
        <w:szCs w:val="18"/>
      </w:rPr>
      <w:t>页</w:t>
    </w:r>
  </w:p>
</w:ftr>
</file>

<file path=word/footer3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84798C">
    <w:pPr>
      <w:spacing w:after="13" w:line="454" w:lineRule="exact"/>
    </w:pPr>
  </w:p>
  <w:p w14:paraId="28F959B3">
    <w:pPr>
      <w:pStyle w:val="2"/>
      <w:spacing w:line="207" w:lineRule="auto"/>
      <w:ind w:left="5067"/>
      <w:rPr>
        <w:sz w:val="18"/>
        <w:szCs w:val="18"/>
      </w:rPr>
    </w:pPr>
    <w:r>
      <w:rPr>
        <w:b/>
        <w:bCs/>
        <w:spacing w:val="-13"/>
        <w:sz w:val="18"/>
        <w:szCs w:val="18"/>
      </w:rPr>
      <w:t>第</w:t>
    </w:r>
    <w:r>
      <w:rPr>
        <w:spacing w:val="-28"/>
        <w:sz w:val="18"/>
        <w:szCs w:val="18"/>
      </w:rPr>
      <w:t xml:space="preserve"> </w:t>
    </w:r>
    <w:r>
      <w:rPr>
        <w:b/>
        <w:bCs/>
        <w:spacing w:val="-13"/>
        <w:sz w:val="18"/>
        <w:szCs w:val="18"/>
      </w:rPr>
      <w:t>446</w:t>
    </w:r>
    <w:r>
      <w:rPr>
        <w:spacing w:val="-13"/>
        <w:sz w:val="18"/>
        <w:szCs w:val="18"/>
      </w:rPr>
      <w:t xml:space="preserve"> </w:t>
    </w:r>
    <w:r>
      <w:rPr>
        <w:b/>
        <w:bCs/>
        <w:spacing w:val="-13"/>
        <w:sz w:val="18"/>
        <w:szCs w:val="18"/>
      </w:rPr>
      <w:t>页</w:t>
    </w:r>
    <w:r>
      <w:rPr>
        <w:spacing w:val="-27"/>
        <w:sz w:val="18"/>
        <w:szCs w:val="18"/>
      </w:rPr>
      <w:t xml:space="preserve"> </w:t>
    </w:r>
    <w:r>
      <w:rPr>
        <w:b/>
        <w:bCs/>
        <w:spacing w:val="-13"/>
        <w:sz w:val="18"/>
        <w:szCs w:val="18"/>
      </w:rPr>
      <w:t>共</w:t>
    </w:r>
    <w:r>
      <w:rPr>
        <w:spacing w:val="-39"/>
        <w:sz w:val="18"/>
        <w:szCs w:val="18"/>
      </w:rPr>
      <w:t xml:space="preserve"> </w:t>
    </w:r>
    <w:r>
      <w:rPr>
        <w:b/>
        <w:bCs/>
        <w:spacing w:val="-13"/>
        <w:sz w:val="18"/>
        <w:szCs w:val="18"/>
      </w:rPr>
      <w:t>499</w:t>
    </w:r>
    <w:r>
      <w:rPr>
        <w:spacing w:val="-13"/>
        <w:sz w:val="18"/>
        <w:szCs w:val="18"/>
      </w:rPr>
      <w:t xml:space="preserve"> </w:t>
    </w:r>
    <w:r>
      <w:rPr>
        <w:b/>
        <w:bCs/>
        <w:spacing w:val="-13"/>
        <w:sz w:val="18"/>
        <w:szCs w:val="18"/>
      </w:rPr>
      <w:t>页</w:t>
    </w:r>
  </w:p>
</w:ftr>
</file>

<file path=word/footer3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686D35">
    <w:pPr>
      <w:spacing w:after="13" w:line="454" w:lineRule="exact"/>
    </w:pPr>
  </w:p>
  <w:p w14:paraId="187F9AFD">
    <w:pPr>
      <w:pStyle w:val="2"/>
      <w:spacing w:line="207" w:lineRule="auto"/>
      <w:ind w:left="5067"/>
      <w:rPr>
        <w:sz w:val="18"/>
        <w:szCs w:val="18"/>
      </w:rPr>
    </w:pPr>
    <w:r>
      <w:rPr>
        <w:b/>
        <w:bCs/>
        <w:spacing w:val="-13"/>
        <w:sz w:val="18"/>
        <w:szCs w:val="18"/>
      </w:rPr>
      <w:t>第</w:t>
    </w:r>
    <w:r>
      <w:rPr>
        <w:spacing w:val="-28"/>
        <w:sz w:val="18"/>
        <w:szCs w:val="18"/>
      </w:rPr>
      <w:t xml:space="preserve"> </w:t>
    </w:r>
    <w:r>
      <w:rPr>
        <w:b/>
        <w:bCs/>
        <w:spacing w:val="-13"/>
        <w:sz w:val="18"/>
        <w:szCs w:val="18"/>
      </w:rPr>
      <w:t>447</w:t>
    </w:r>
    <w:r>
      <w:rPr>
        <w:spacing w:val="-13"/>
        <w:sz w:val="18"/>
        <w:szCs w:val="18"/>
      </w:rPr>
      <w:t xml:space="preserve"> </w:t>
    </w:r>
    <w:r>
      <w:rPr>
        <w:b/>
        <w:bCs/>
        <w:spacing w:val="-13"/>
        <w:sz w:val="18"/>
        <w:szCs w:val="18"/>
      </w:rPr>
      <w:t>页</w:t>
    </w:r>
    <w:r>
      <w:rPr>
        <w:spacing w:val="-27"/>
        <w:sz w:val="18"/>
        <w:szCs w:val="18"/>
      </w:rPr>
      <w:t xml:space="preserve"> </w:t>
    </w:r>
    <w:r>
      <w:rPr>
        <w:b/>
        <w:bCs/>
        <w:spacing w:val="-13"/>
        <w:sz w:val="18"/>
        <w:szCs w:val="18"/>
      </w:rPr>
      <w:t>共</w:t>
    </w:r>
    <w:r>
      <w:rPr>
        <w:spacing w:val="-39"/>
        <w:sz w:val="18"/>
        <w:szCs w:val="18"/>
      </w:rPr>
      <w:t xml:space="preserve"> </w:t>
    </w:r>
    <w:r>
      <w:rPr>
        <w:b/>
        <w:bCs/>
        <w:spacing w:val="-13"/>
        <w:sz w:val="18"/>
        <w:szCs w:val="18"/>
      </w:rPr>
      <w:t>499</w:t>
    </w:r>
    <w:r>
      <w:rPr>
        <w:spacing w:val="-13"/>
        <w:sz w:val="18"/>
        <w:szCs w:val="18"/>
      </w:rPr>
      <w:t xml:space="preserve"> </w:t>
    </w:r>
    <w:r>
      <w:rPr>
        <w:b/>
        <w:bCs/>
        <w:spacing w:val="-13"/>
        <w:sz w:val="18"/>
        <w:szCs w:val="18"/>
      </w:rPr>
      <w:t>页</w:t>
    </w:r>
  </w:p>
</w:ftr>
</file>

<file path=word/footer3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D36BC1">
    <w:pPr>
      <w:spacing w:after="13" w:line="454" w:lineRule="exact"/>
    </w:pPr>
  </w:p>
  <w:p w14:paraId="67140C5A">
    <w:pPr>
      <w:pStyle w:val="2"/>
      <w:spacing w:line="207" w:lineRule="auto"/>
      <w:ind w:left="5067"/>
      <w:rPr>
        <w:sz w:val="18"/>
        <w:szCs w:val="18"/>
      </w:rPr>
    </w:pPr>
    <w:r>
      <w:rPr>
        <w:b/>
        <w:bCs/>
        <w:spacing w:val="-13"/>
        <w:sz w:val="18"/>
        <w:szCs w:val="18"/>
      </w:rPr>
      <w:t>第</w:t>
    </w:r>
    <w:r>
      <w:rPr>
        <w:spacing w:val="-28"/>
        <w:sz w:val="18"/>
        <w:szCs w:val="18"/>
      </w:rPr>
      <w:t xml:space="preserve"> </w:t>
    </w:r>
    <w:r>
      <w:rPr>
        <w:b/>
        <w:bCs/>
        <w:spacing w:val="-13"/>
        <w:sz w:val="18"/>
        <w:szCs w:val="18"/>
      </w:rPr>
      <w:t>454</w:t>
    </w:r>
    <w:r>
      <w:rPr>
        <w:spacing w:val="-13"/>
        <w:sz w:val="18"/>
        <w:szCs w:val="18"/>
      </w:rPr>
      <w:t xml:space="preserve"> </w:t>
    </w:r>
    <w:r>
      <w:rPr>
        <w:b/>
        <w:bCs/>
        <w:spacing w:val="-13"/>
        <w:sz w:val="18"/>
        <w:szCs w:val="18"/>
      </w:rPr>
      <w:t>页</w:t>
    </w:r>
    <w:r>
      <w:rPr>
        <w:spacing w:val="-27"/>
        <w:sz w:val="18"/>
        <w:szCs w:val="18"/>
      </w:rPr>
      <w:t xml:space="preserve"> </w:t>
    </w:r>
    <w:r>
      <w:rPr>
        <w:b/>
        <w:bCs/>
        <w:spacing w:val="-13"/>
        <w:sz w:val="18"/>
        <w:szCs w:val="18"/>
      </w:rPr>
      <w:t>共</w:t>
    </w:r>
    <w:r>
      <w:rPr>
        <w:spacing w:val="-39"/>
        <w:sz w:val="18"/>
        <w:szCs w:val="18"/>
      </w:rPr>
      <w:t xml:space="preserve"> </w:t>
    </w:r>
    <w:r>
      <w:rPr>
        <w:b/>
        <w:bCs/>
        <w:spacing w:val="-13"/>
        <w:sz w:val="18"/>
        <w:szCs w:val="18"/>
      </w:rPr>
      <w:t>499</w:t>
    </w:r>
    <w:r>
      <w:rPr>
        <w:spacing w:val="-13"/>
        <w:sz w:val="18"/>
        <w:szCs w:val="18"/>
      </w:rPr>
      <w:t xml:space="preserve"> </w:t>
    </w:r>
    <w:r>
      <w:rPr>
        <w:b/>
        <w:bCs/>
        <w:spacing w:val="-13"/>
        <w:sz w:val="18"/>
        <w:szCs w:val="18"/>
      </w:rPr>
      <w:t>页</w:t>
    </w:r>
  </w:p>
</w:ftr>
</file>

<file path=word/footer3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EEA978">
    <w:pPr>
      <w:spacing w:after="13" w:line="454" w:lineRule="exact"/>
    </w:pPr>
  </w:p>
  <w:p w14:paraId="38A91206">
    <w:pPr>
      <w:pStyle w:val="2"/>
      <w:spacing w:line="207" w:lineRule="auto"/>
      <w:ind w:left="5067"/>
      <w:rPr>
        <w:sz w:val="18"/>
        <w:szCs w:val="18"/>
      </w:rPr>
    </w:pPr>
    <w:r>
      <w:rPr>
        <w:b/>
        <w:bCs/>
        <w:spacing w:val="-13"/>
        <w:sz w:val="18"/>
        <w:szCs w:val="18"/>
      </w:rPr>
      <w:t>第</w:t>
    </w:r>
    <w:r>
      <w:rPr>
        <w:spacing w:val="-28"/>
        <w:sz w:val="18"/>
        <w:szCs w:val="18"/>
      </w:rPr>
      <w:t xml:space="preserve"> </w:t>
    </w:r>
    <w:r>
      <w:rPr>
        <w:b/>
        <w:bCs/>
        <w:spacing w:val="-13"/>
        <w:sz w:val="18"/>
        <w:szCs w:val="18"/>
      </w:rPr>
      <w:t>456</w:t>
    </w:r>
    <w:r>
      <w:rPr>
        <w:spacing w:val="-13"/>
        <w:sz w:val="18"/>
        <w:szCs w:val="18"/>
      </w:rPr>
      <w:t xml:space="preserve"> </w:t>
    </w:r>
    <w:r>
      <w:rPr>
        <w:b/>
        <w:bCs/>
        <w:spacing w:val="-13"/>
        <w:sz w:val="18"/>
        <w:szCs w:val="18"/>
      </w:rPr>
      <w:t>页</w:t>
    </w:r>
    <w:r>
      <w:rPr>
        <w:spacing w:val="-27"/>
        <w:sz w:val="18"/>
        <w:szCs w:val="18"/>
      </w:rPr>
      <w:t xml:space="preserve"> </w:t>
    </w:r>
    <w:r>
      <w:rPr>
        <w:b/>
        <w:bCs/>
        <w:spacing w:val="-13"/>
        <w:sz w:val="18"/>
        <w:szCs w:val="18"/>
      </w:rPr>
      <w:t>共</w:t>
    </w:r>
    <w:r>
      <w:rPr>
        <w:spacing w:val="-39"/>
        <w:sz w:val="18"/>
        <w:szCs w:val="18"/>
      </w:rPr>
      <w:t xml:space="preserve"> </w:t>
    </w:r>
    <w:r>
      <w:rPr>
        <w:b/>
        <w:bCs/>
        <w:spacing w:val="-13"/>
        <w:sz w:val="18"/>
        <w:szCs w:val="18"/>
      </w:rPr>
      <w:t>499</w:t>
    </w:r>
    <w:r>
      <w:rPr>
        <w:spacing w:val="-13"/>
        <w:sz w:val="18"/>
        <w:szCs w:val="18"/>
      </w:rPr>
      <w:t xml:space="preserve"> </w:t>
    </w:r>
    <w:r>
      <w:rPr>
        <w:b/>
        <w:bCs/>
        <w:spacing w:val="-13"/>
        <w:sz w:val="18"/>
        <w:szCs w:val="18"/>
      </w:rPr>
      <w:t>页</w:t>
    </w:r>
  </w:p>
</w:ftr>
</file>

<file path=word/footer3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E13CD5">
    <w:pPr>
      <w:spacing w:after="13" w:line="454" w:lineRule="exact"/>
    </w:pPr>
  </w:p>
  <w:p w14:paraId="5F99DD83">
    <w:pPr>
      <w:pStyle w:val="2"/>
      <w:spacing w:line="207" w:lineRule="auto"/>
      <w:ind w:left="5067"/>
      <w:rPr>
        <w:sz w:val="18"/>
        <w:szCs w:val="18"/>
      </w:rPr>
    </w:pPr>
    <w:r>
      <w:rPr>
        <w:b/>
        <w:bCs/>
        <w:spacing w:val="-13"/>
        <w:sz w:val="18"/>
        <w:szCs w:val="18"/>
      </w:rPr>
      <w:t>第</w:t>
    </w:r>
    <w:r>
      <w:rPr>
        <w:spacing w:val="-28"/>
        <w:sz w:val="18"/>
        <w:szCs w:val="18"/>
      </w:rPr>
      <w:t xml:space="preserve"> </w:t>
    </w:r>
    <w:r>
      <w:rPr>
        <w:b/>
        <w:bCs/>
        <w:spacing w:val="-13"/>
        <w:sz w:val="18"/>
        <w:szCs w:val="18"/>
      </w:rPr>
      <w:t>457</w:t>
    </w:r>
    <w:r>
      <w:rPr>
        <w:spacing w:val="-13"/>
        <w:sz w:val="18"/>
        <w:szCs w:val="18"/>
      </w:rPr>
      <w:t xml:space="preserve"> </w:t>
    </w:r>
    <w:r>
      <w:rPr>
        <w:b/>
        <w:bCs/>
        <w:spacing w:val="-13"/>
        <w:sz w:val="18"/>
        <w:szCs w:val="18"/>
      </w:rPr>
      <w:t>页</w:t>
    </w:r>
    <w:r>
      <w:rPr>
        <w:spacing w:val="-27"/>
        <w:sz w:val="18"/>
        <w:szCs w:val="18"/>
      </w:rPr>
      <w:t xml:space="preserve"> </w:t>
    </w:r>
    <w:r>
      <w:rPr>
        <w:b/>
        <w:bCs/>
        <w:spacing w:val="-13"/>
        <w:sz w:val="18"/>
        <w:szCs w:val="18"/>
      </w:rPr>
      <w:t>共</w:t>
    </w:r>
    <w:r>
      <w:rPr>
        <w:spacing w:val="-39"/>
        <w:sz w:val="18"/>
        <w:szCs w:val="18"/>
      </w:rPr>
      <w:t xml:space="preserve"> </w:t>
    </w:r>
    <w:r>
      <w:rPr>
        <w:b/>
        <w:bCs/>
        <w:spacing w:val="-13"/>
        <w:sz w:val="18"/>
        <w:szCs w:val="18"/>
      </w:rPr>
      <w:t>499</w:t>
    </w:r>
    <w:r>
      <w:rPr>
        <w:spacing w:val="-13"/>
        <w:sz w:val="18"/>
        <w:szCs w:val="18"/>
      </w:rPr>
      <w:t xml:space="preserve"> </w:t>
    </w:r>
    <w:r>
      <w:rPr>
        <w:b/>
        <w:bCs/>
        <w:spacing w:val="-13"/>
        <w:sz w:val="18"/>
        <w:szCs w:val="18"/>
      </w:rPr>
      <w:t>页</w: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8C9B28">
    <w:pPr>
      <w:spacing w:after="13" w:line="454" w:lineRule="exact"/>
    </w:pPr>
  </w:p>
  <w:p w14:paraId="6C616D14">
    <w:pPr>
      <w:pStyle w:val="2"/>
      <w:spacing w:line="207" w:lineRule="auto"/>
      <w:ind w:left="5106"/>
      <w:rPr>
        <w:sz w:val="18"/>
        <w:szCs w:val="18"/>
      </w:rPr>
    </w:pPr>
    <w:r>
      <w:rPr>
        <w:b/>
        <w:bCs/>
        <w:spacing w:val="-13"/>
        <w:sz w:val="18"/>
        <w:szCs w:val="18"/>
      </w:rPr>
      <w:t>第</w:t>
    </w:r>
    <w:r>
      <w:rPr>
        <w:spacing w:val="-28"/>
        <w:sz w:val="18"/>
        <w:szCs w:val="18"/>
      </w:rPr>
      <w:t xml:space="preserve"> </w:t>
    </w:r>
    <w:r>
      <w:rPr>
        <w:b/>
        <w:bCs/>
        <w:spacing w:val="-13"/>
        <w:sz w:val="18"/>
        <w:szCs w:val="18"/>
      </w:rPr>
      <w:t>67</w:t>
    </w:r>
    <w:r>
      <w:rPr>
        <w:spacing w:val="-13"/>
        <w:sz w:val="18"/>
        <w:szCs w:val="18"/>
      </w:rPr>
      <w:t xml:space="preserve"> </w:t>
    </w:r>
    <w:r>
      <w:rPr>
        <w:b/>
        <w:bCs/>
        <w:spacing w:val="-13"/>
        <w:sz w:val="18"/>
        <w:szCs w:val="18"/>
      </w:rPr>
      <w:t>页</w:t>
    </w:r>
    <w:r>
      <w:rPr>
        <w:spacing w:val="-28"/>
        <w:sz w:val="18"/>
        <w:szCs w:val="18"/>
      </w:rPr>
      <w:t xml:space="preserve"> </w:t>
    </w:r>
    <w:r>
      <w:rPr>
        <w:b/>
        <w:bCs/>
        <w:spacing w:val="-13"/>
        <w:sz w:val="18"/>
        <w:szCs w:val="18"/>
      </w:rPr>
      <w:t>共</w:t>
    </w:r>
    <w:r>
      <w:rPr>
        <w:spacing w:val="-38"/>
        <w:sz w:val="18"/>
        <w:szCs w:val="18"/>
      </w:rPr>
      <w:t xml:space="preserve"> </w:t>
    </w:r>
    <w:r>
      <w:rPr>
        <w:b/>
        <w:bCs/>
        <w:spacing w:val="-13"/>
        <w:sz w:val="18"/>
        <w:szCs w:val="18"/>
      </w:rPr>
      <w:t>499</w:t>
    </w:r>
    <w:r>
      <w:rPr>
        <w:spacing w:val="-13"/>
        <w:sz w:val="18"/>
        <w:szCs w:val="18"/>
      </w:rPr>
      <w:t xml:space="preserve"> </w:t>
    </w:r>
    <w:r>
      <w:rPr>
        <w:b/>
        <w:bCs/>
        <w:spacing w:val="-13"/>
        <w:sz w:val="18"/>
        <w:szCs w:val="18"/>
      </w:rPr>
      <w:t>页</w:t>
    </w:r>
  </w:p>
</w:ftr>
</file>

<file path=word/footer3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5775D4">
    <w:pPr>
      <w:spacing w:after="13" w:line="454" w:lineRule="exact"/>
    </w:pPr>
  </w:p>
  <w:p w14:paraId="28379503">
    <w:pPr>
      <w:pStyle w:val="2"/>
      <w:spacing w:line="207" w:lineRule="auto"/>
      <w:ind w:left="5067"/>
      <w:rPr>
        <w:sz w:val="18"/>
        <w:szCs w:val="18"/>
      </w:rPr>
    </w:pPr>
    <w:r>
      <w:rPr>
        <w:b/>
        <w:bCs/>
        <w:spacing w:val="-13"/>
        <w:sz w:val="18"/>
        <w:szCs w:val="18"/>
      </w:rPr>
      <w:t>第</w:t>
    </w:r>
    <w:r>
      <w:rPr>
        <w:spacing w:val="-28"/>
        <w:sz w:val="18"/>
        <w:szCs w:val="18"/>
      </w:rPr>
      <w:t xml:space="preserve"> </w:t>
    </w:r>
    <w:r>
      <w:rPr>
        <w:b/>
        <w:bCs/>
        <w:spacing w:val="-13"/>
        <w:sz w:val="18"/>
        <w:szCs w:val="18"/>
      </w:rPr>
      <w:t>458</w:t>
    </w:r>
    <w:r>
      <w:rPr>
        <w:spacing w:val="-13"/>
        <w:sz w:val="18"/>
        <w:szCs w:val="18"/>
      </w:rPr>
      <w:t xml:space="preserve"> </w:t>
    </w:r>
    <w:r>
      <w:rPr>
        <w:b/>
        <w:bCs/>
        <w:spacing w:val="-13"/>
        <w:sz w:val="18"/>
        <w:szCs w:val="18"/>
      </w:rPr>
      <w:t>页</w:t>
    </w:r>
    <w:r>
      <w:rPr>
        <w:spacing w:val="-27"/>
        <w:sz w:val="18"/>
        <w:szCs w:val="18"/>
      </w:rPr>
      <w:t xml:space="preserve"> </w:t>
    </w:r>
    <w:r>
      <w:rPr>
        <w:b/>
        <w:bCs/>
        <w:spacing w:val="-13"/>
        <w:sz w:val="18"/>
        <w:szCs w:val="18"/>
      </w:rPr>
      <w:t>共</w:t>
    </w:r>
    <w:r>
      <w:rPr>
        <w:spacing w:val="-39"/>
        <w:sz w:val="18"/>
        <w:szCs w:val="18"/>
      </w:rPr>
      <w:t xml:space="preserve"> </w:t>
    </w:r>
    <w:r>
      <w:rPr>
        <w:b/>
        <w:bCs/>
        <w:spacing w:val="-13"/>
        <w:sz w:val="18"/>
        <w:szCs w:val="18"/>
      </w:rPr>
      <w:t>499</w:t>
    </w:r>
    <w:r>
      <w:rPr>
        <w:spacing w:val="-13"/>
        <w:sz w:val="18"/>
        <w:szCs w:val="18"/>
      </w:rPr>
      <w:t xml:space="preserve"> </w:t>
    </w:r>
    <w:r>
      <w:rPr>
        <w:b/>
        <w:bCs/>
        <w:spacing w:val="-13"/>
        <w:sz w:val="18"/>
        <w:szCs w:val="18"/>
      </w:rPr>
      <w:t>页</w:t>
    </w:r>
  </w:p>
</w:ftr>
</file>

<file path=word/footer3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194F6D">
    <w:pPr>
      <w:spacing w:after="13" w:line="454" w:lineRule="exact"/>
    </w:pPr>
  </w:p>
  <w:p w14:paraId="64C61D8B">
    <w:pPr>
      <w:pStyle w:val="2"/>
      <w:spacing w:line="207" w:lineRule="auto"/>
      <w:ind w:left="5067"/>
      <w:rPr>
        <w:sz w:val="18"/>
        <w:szCs w:val="18"/>
      </w:rPr>
    </w:pPr>
    <w:r>
      <w:rPr>
        <w:b/>
        <w:bCs/>
        <w:spacing w:val="-13"/>
        <w:sz w:val="18"/>
        <w:szCs w:val="18"/>
      </w:rPr>
      <w:t>第</w:t>
    </w:r>
    <w:r>
      <w:rPr>
        <w:spacing w:val="-28"/>
        <w:sz w:val="18"/>
        <w:szCs w:val="18"/>
      </w:rPr>
      <w:t xml:space="preserve"> </w:t>
    </w:r>
    <w:r>
      <w:rPr>
        <w:b/>
        <w:bCs/>
        <w:spacing w:val="-13"/>
        <w:sz w:val="18"/>
        <w:szCs w:val="18"/>
      </w:rPr>
      <w:t>459</w:t>
    </w:r>
    <w:r>
      <w:rPr>
        <w:spacing w:val="-13"/>
        <w:sz w:val="18"/>
        <w:szCs w:val="18"/>
      </w:rPr>
      <w:t xml:space="preserve"> </w:t>
    </w:r>
    <w:r>
      <w:rPr>
        <w:b/>
        <w:bCs/>
        <w:spacing w:val="-13"/>
        <w:sz w:val="18"/>
        <w:szCs w:val="18"/>
      </w:rPr>
      <w:t>页</w:t>
    </w:r>
    <w:r>
      <w:rPr>
        <w:spacing w:val="-27"/>
        <w:sz w:val="18"/>
        <w:szCs w:val="18"/>
      </w:rPr>
      <w:t xml:space="preserve"> </w:t>
    </w:r>
    <w:r>
      <w:rPr>
        <w:b/>
        <w:bCs/>
        <w:spacing w:val="-13"/>
        <w:sz w:val="18"/>
        <w:szCs w:val="18"/>
      </w:rPr>
      <w:t>共</w:t>
    </w:r>
    <w:r>
      <w:rPr>
        <w:spacing w:val="-39"/>
        <w:sz w:val="18"/>
        <w:szCs w:val="18"/>
      </w:rPr>
      <w:t xml:space="preserve"> </w:t>
    </w:r>
    <w:r>
      <w:rPr>
        <w:b/>
        <w:bCs/>
        <w:spacing w:val="-13"/>
        <w:sz w:val="18"/>
        <w:szCs w:val="18"/>
      </w:rPr>
      <w:t>499</w:t>
    </w:r>
    <w:r>
      <w:rPr>
        <w:spacing w:val="-13"/>
        <w:sz w:val="18"/>
        <w:szCs w:val="18"/>
      </w:rPr>
      <w:t xml:space="preserve"> </w:t>
    </w:r>
    <w:r>
      <w:rPr>
        <w:b/>
        <w:bCs/>
        <w:spacing w:val="-13"/>
        <w:sz w:val="18"/>
        <w:szCs w:val="18"/>
      </w:rPr>
      <w:t>页</w:t>
    </w:r>
  </w:p>
</w:ftr>
</file>

<file path=word/footer3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98F08C">
    <w:pPr>
      <w:spacing w:after="13" w:line="454" w:lineRule="exact"/>
    </w:pPr>
  </w:p>
  <w:p w14:paraId="17226200">
    <w:pPr>
      <w:pStyle w:val="2"/>
      <w:spacing w:line="207" w:lineRule="auto"/>
      <w:ind w:left="5067"/>
      <w:rPr>
        <w:sz w:val="18"/>
        <w:szCs w:val="18"/>
      </w:rPr>
    </w:pPr>
    <w:r>
      <w:rPr>
        <w:b/>
        <w:bCs/>
        <w:spacing w:val="-13"/>
        <w:sz w:val="18"/>
        <w:szCs w:val="18"/>
      </w:rPr>
      <w:t>第</w:t>
    </w:r>
    <w:r>
      <w:rPr>
        <w:spacing w:val="-28"/>
        <w:sz w:val="18"/>
        <w:szCs w:val="18"/>
      </w:rPr>
      <w:t xml:space="preserve"> </w:t>
    </w:r>
    <w:r>
      <w:rPr>
        <w:b/>
        <w:bCs/>
        <w:spacing w:val="-13"/>
        <w:sz w:val="18"/>
        <w:szCs w:val="18"/>
      </w:rPr>
      <w:t>460</w:t>
    </w:r>
    <w:r>
      <w:rPr>
        <w:spacing w:val="-13"/>
        <w:sz w:val="18"/>
        <w:szCs w:val="18"/>
      </w:rPr>
      <w:t xml:space="preserve"> </w:t>
    </w:r>
    <w:r>
      <w:rPr>
        <w:b/>
        <w:bCs/>
        <w:spacing w:val="-13"/>
        <w:sz w:val="18"/>
        <w:szCs w:val="18"/>
      </w:rPr>
      <w:t>页</w:t>
    </w:r>
    <w:r>
      <w:rPr>
        <w:spacing w:val="-27"/>
        <w:sz w:val="18"/>
        <w:szCs w:val="18"/>
      </w:rPr>
      <w:t xml:space="preserve"> </w:t>
    </w:r>
    <w:r>
      <w:rPr>
        <w:b/>
        <w:bCs/>
        <w:spacing w:val="-13"/>
        <w:sz w:val="18"/>
        <w:szCs w:val="18"/>
      </w:rPr>
      <w:t>共</w:t>
    </w:r>
    <w:r>
      <w:rPr>
        <w:spacing w:val="-39"/>
        <w:sz w:val="18"/>
        <w:szCs w:val="18"/>
      </w:rPr>
      <w:t xml:space="preserve"> </w:t>
    </w:r>
    <w:r>
      <w:rPr>
        <w:b/>
        <w:bCs/>
        <w:spacing w:val="-13"/>
        <w:sz w:val="18"/>
        <w:szCs w:val="18"/>
      </w:rPr>
      <w:t>499</w:t>
    </w:r>
    <w:r>
      <w:rPr>
        <w:spacing w:val="-13"/>
        <w:sz w:val="18"/>
        <w:szCs w:val="18"/>
      </w:rPr>
      <w:t xml:space="preserve"> </w:t>
    </w:r>
    <w:r>
      <w:rPr>
        <w:b/>
        <w:bCs/>
        <w:spacing w:val="-13"/>
        <w:sz w:val="18"/>
        <w:szCs w:val="18"/>
      </w:rPr>
      <w:t>页</w:t>
    </w:r>
  </w:p>
</w:ftr>
</file>

<file path=word/footer3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F5BB6A">
    <w:pPr>
      <w:spacing w:after="13" w:line="454" w:lineRule="exact"/>
    </w:pPr>
  </w:p>
  <w:p w14:paraId="20E8B801">
    <w:pPr>
      <w:pStyle w:val="2"/>
      <w:spacing w:line="207" w:lineRule="auto"/>
      <w:ind w:left="5067"/>
      <w:rPr>
        <w:sz w:val="18"/>
        <w:szCs w:val="18"/>
      </w:rPr>
    </w:pPr>
    <w:r>
      <w:rPr>
        <w:b/>
        <w:bCs/>
        <w:spacing w:val="-13"/>
        <w:sz w:val="18"/>
        <w:szCs w:val="18"/>
      </w:rPr>
      <w:t>第</w:t>
    </w:r>
    <w:r>
      <w:rPr>
        <w:spacing w:val="-28"/>
        <w:sz w:val="18"/>
        <w:szCs w:val="18"/>
      </w:rPr>
      <w:t xml:space="preserve"> </w:t>
    </w:r>
    <w:r>
      <w:rPr>
        <w:b/>
        <w:bCs/>
        <w:spacing w:val="-13"/>
        <w:sz w:val="18"/>
        <w:szCs w:val="18"/>
      </w:rPr>
      <w:t>461</w:t>
    </w:r>
    <w:r>
      <w:rPr>
        <w:spacing w:val="-13"/>
        <w:sz w:val="18"/>
        <w:szCs w:val="18"/>
      </w:rPr>
      <w:t xml:space="preserve"> </w:t>
    </w:r>
    <w:r>
      <w:rPr>
        <w:b/>
        <w:bCs/>
        <w:spacing w:val="-13"/>
        <w:sz w:val="18"/>
        <w:szCs w:val="18"/>
      </w:rPr>
      <w:t>页</w:t>
    </w:r>
    <w:r>
      <w:rPr>
        <w:spacing w:val="-27"/>
        <w:sz w:val="18"/>
        <w:szCs w:val="18"/>
      </w:rPr>
      <w:t xml:space="preserve"> </w:t>
    </w:r>
    <w:r>
      <w:rPr>
        <w:b/>
        <w:bCs/>
        <w:spacing w:val="-13"/>
        <w:sz w:val="18"/>
        <w:szCs w:val="18"/>
      </w:rPr>
      <w:t>共</w:t>
    </w:r>
    <w:r>
      <w:rPr>
        <w:spacing w:val="-39"/>
        <w:sz w:val="18"/>
        <w:szCs w:val="18"/>
      </w:rPr>
      <w:t xml:space="preserve"> </w:t>
    </w:r>
    <w:r>
      <w:rPr>
        <w:b/>
        <w:bCs/>
        <w:spacing w:val="-13"/>
        <w:sz w:val="18"/>
        <w:szCs w:val="18"/>
      </w:rPr>
      <w:t>499</w:t>
    </w:r>
    <w:r>
      <w:rPr>
        <w:spacing w:val="-13"/>
        <w:sz w:val="18"/>
        <w:szCs w:val="18"/>
      </w:rPr>
      <w:t xml:space="preserve"> </w:t>
    </w:r>
    <w:r>
      <w:rPr>
        <w:b/>
        <w:bCs/>
        <w:spacing w:val="-13"/>
        <w:sz w:val="18"/>
        <w:szCs w:val="18"/>
      </w:rPr>
      <w:t>页</w:t>
    </w:r>
  </w:p>
</w:ftr>
</file>

<file path=word/footer3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917AFE">
    <w:pPr>
      <w:spacing w:after="13" w:line="454" w:lineRule="exact"/>
    </w:pPr>
  </w:p>
  <w:p w14:paraId="3C72E6C0">
    <w:pPr>
      <w:pStyle w:val="2"/>
      <w:spacing w:line="207" w:lineRule="auto"/>
      <w:ind w:left="5067"/>
      <w:rPr>
        <w:sz w:val="18"/>
        <w:szCs w:val="18"/>
      </w:rPr>
    </w:pPr>
    <w:r>
      <w:rPr>
        <w:b/>
        <w:bCs/>
        <w:spacing w:val="-13"/>
        <w:sz w:val="18"/>
        <w:szCs w:val="18"/>
      </w:rPr>
      <w:t>第</w:t>
    </w:r>
    <w:r>
      <w:rPr>
        <w:spacing w:val="-28"/>
        <w:sz w:val="18"/>
        <w:szCs w:val="18"/>
      </w:rPr>
      <w:t xml:space="preserve"> </w:t>
    </w:r>
    <w:r>
      <w:rPr>
        <w:b/>
        <w:bCs/>
        <w:spacing w:val="-13"/>
        <w:sz w:val="18"/>
        <w:szCs w:val="18"/>
      </w:rPr>
      <w:t>462</w:t>
    </w:r>
    <w:r>
      <w:rPr>
        <w:spacing w:val="-13"/>
        <w:sz w:val="18"/>
        <w:szCs w:val="18"/>
      </w:rPr>
      <w:t xml:space="preserve"> </w:t>
    </w:r>
    <w:r>
      <w:rPr>
        <w:b/>
        <w:bCs/>
        <w:spacing w:val="-13"/>
        <w:sz w:val="18"/>
        <w:szCs w:val="18"/>
      </w:rPr>
      <w:t>页</w:t>
    </w:r>
    <w:r>
      <w:rPr>
        <w:spacing w:val="-27"/>
        <w:sz w:val="18"/>
        <w:szCs w:val="18"/>
      </w:rPr>
      <w:t xml:space="preserve"> </w:t>
    </w:r>
    <w:r>
      <w:rPr>
        <w:b/>
        <w:bCs/>
        <w:spacing w:val="-13"/>
        <w:sz w:val="18"/>
        <w:szCs w:val="18"/>
      </w:rPr>
      <w:t>共</w:t>
    </w:r>
    <w:r>
      <w:rPr>
        <w:spacing w:val="-39"/>
        <w:sz w:val="18"/>
        <w:szCs w:val="18"/>
      </w:rPr>
      <w:t xml:space="preserve"> </w:t>
    </w:r>
    <w:r>
      <w:rPr>
        <w:b/>
        <w:bCs/>
        <w:spacing w:val="-13"/>
        <w:sz w:val="18"/>
        <w:szCs w:val="18"/>
      </w:rPr>
      <w:t>499</w:t>
    </w:r>
    <w:r>
      <w:rPr>
        <w:spacing w:val="-13"/>
        <w:sz w:val="18"/>
        <w:szCs w:val="18"/>
      </w:rPr>
      <w:t xml:space="preserve"> </w:t>
    </w:r>
    <w:r>
      <w:rPr>
        <w:b/>
        <w:bCs/>
        <w:spacing w:val="-13"/>
        <w:sz w:val="18"/>
        <w:szCs w:val="18"/>
      </w:rPr>
      <w:t>页</w:t>
    </w:r>
  </w:p>
</w:ftr>
</file>

<file path=word/footer3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B73B0F">
    <w:pPr>
      <w:spacing w:after="13" w:line="454" w:lineRule="exact"/>
    </w:pPr>
  </w:p>
  <w:p w14:paraId="246A8749">
    <w:pPr>
      <w:pStyle w:val="2"/>
      <w:spacing w:line="207" w:lineRule="auto"/>
      <w:ind w:left="5067"/>
      <w:rPr>
        <w:sz w:val="18"/>
        <w:szCs w:val="18"/>
      </w:rPr>
    </w:pPr>
    <w:r>
      <w:rPr>
        <w:b/>
        <w:bCs/>
        <w:spacing w:val="-13"/>
        <w:sz w:val="18"/>
        <w:szCs w:val="18"/>
      </w:rPr>
      <w:t>第</w:t>
    </w:r>
    <w:r>
      <w:rPr>
        <w:spacing w:val="-28"/>
        <w:sz w:val="18"/>
        <w:szCs w:val="18"/>
      </w:rPr>
      <w:t xml:space="preserve"> </w:t>
    </w:r>
    <w:r>
      <w:rPr>
        <w:b/>
        <w:bCs/>
        <w:spacing w:val="-13"/>
        <w:sz w:val="18"/>
        <w:szCs w:val="18"/>
      </w:rPr>
      <w:t>463</w:t>
    </w:r>
    <w:r>
      <w:rPr>
        <w:spacing w:val="-13"/>
        <w:sz w:val="18"/>
        <w:szCs w:val="18"/>
      </w:rPr>
      <w:t xml:space="preserve"> </w:t>
    </w:r>
    <w:r>
      <w:rPr>
        <w:b/>
        <w:bCs/>
        <w:spacing w:val="-13"/>
        <w:sz w:val="18"/>
        <w:szCs w:val="18"/>
      </w:rPr>
      <w:t>页</w:t>
    </w:r>
    <w:r>
      <w:rPr>
        <w:spacing w:val="-27"/>
        <w:sz w:val="18"/>
        <w:szCs w:val="18"/>
      </w:rPr>
      <w:t xml:space="preserve"> </w:t>
    </w:r>
    <w:r>
      <w:rPr>
        <w:b/>
        <w:bCs/>
        <w:spacing w:val="-13"/>
        <w:sz w:val="18"/>
        <w:szCs w:val="18"/>
      </w:rPr>
      <w:t>共</w:t>
    </w:r>
    <w:r>
      <w:rPr>
        <w:spacing w:val="-39"/>
        <w:sz w:val="18"/>
        <w:szCs w:val="18"/>
      </w:rPr>
      <w:t xml:space="preserve"> </w:t>
    </w:r>
    <w:r>
      <w:rPr>
        <w:b/>
        <w:bCs/>
        <w:spacing w:val="-13"/>
        <w:sz w:val="18"/>
        <w:szCs w:val="18"/>
      </w:rPr>
      <w:t>499</w:t>
    </w:r>
    <w:r>
      <w:rPr>
        <w:spacing w:val="-13"/>
        <w:sz w:val="18"/>
        <w:szCs w:val="18"/>
      </w:rPr>
      <w:t xml:space="preserve"> </w:t>
    </w:r>
    <w:r>
      <w:rPr>
        <w:b/>
        <w:bCs/>
        <w:spacing w:val="-13"/>
        <w:sz w:val="18"/>
        <w:szCs w:val="18"/>
      </w:rPr>
      <w:t>页</w:t>
    </w:r>
  </w:p>
</w:ftr>
</file>

<file path=word/footer3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E674A1">
    <w:pPr>
      <w:spacing w:after="13" w:line="454" w:lineRule="exact"/>
    </w:pPr>
  </w:p>
  <w:p w14:paraId="1D29BACB">
    <w:pPr>
      <w:pStyle w:val="2"/>
      <w:spacing w:line="207" w:lineRule="auto"/>
      <w:ind w:left="5067"/>
      <w:rPr>
        <w:sz w:val="18"/>
        <w:szCs w:val="18"/>
      </w:rPr>
    </w:pPr>
    <w:r>
      <w:rPr>
        <w:b/>
        <w:bCs/>
        <w:spacing w:val="-13"/>
        <w:sz w:val="18"/>
        <w:szCs w:val="18"/>
      </w:rPr>
      <w:t>第</w:t>
    </w:r>
    <w:r>
      <w:rPr>
        <w:spacing w:val="-28"/>
        <w:sz w:val="18"/>
        <w:szCs w:val="18"/>
      </w:rPr>
      <w:t xml:space="preserve"> </w:t>
    </w:r>
    <w:r>
      <w:rPr>
        <w:b/>
        <w:bCs/>
        <w:spacing w:val="-13"/>
        <w:sz w:val="18"/>
        <w:szCs w:val="18"/>
      </w:rPr>
      <w:t>464</w:t>
    </w:r>
    <w:r>
      <w:rPr>
        <w:spacing w:val="-13"/>
        <w:sz w:val="18"/>
        <w:szCs w:val="18"/>
      </w:rPr>
      <w:t xml:space="preserve"> </w:t>
    </w:r>
    <w:r>
      <w:rPr>
        <w:b/>
        <w:bCs/>
        <w:spacing w:val="-13"/>
        <w:sz w:val="18"/>
        <w:szCs w:val="18"/>
      </w:rPr>
      <w:t>页</w:t>
    </w:r>
    <w:r>
      <w:rPr>
        <w:spacing w:val="-27"/>
        <w:sz w:val="18"/>
        <w:szCs w:val="18"/>
      </w:rPr>
      <w:t xml:space="preserve"> </w:t>
    </w:r>
    <w:r>
      <w:rPr>
        <w:b/>
        <w:bCs/>
        <w:spacing w:val="-13"/>
        <w:sz w:val="18"/>
        <w:szCs w:val="18"/>
      </w:rPr>
      <w:t>共</w:t>
    </w:r>
    <w:r>
      <w:rPr>
        <w:spacing w:val="-39"/>
        <w:sz w:val="18"/>
        <w:szCs w:val="18"/>
      </w:rPr>
      <w:t xml:space="preserve"> </w:t>
    </w:r>
    <w:r>
      <w:rPr>
        <w:b/>
        <w:bCs/>
        <w:spacing w:val="-13"/>
        <w:sz w:val="18"/>
        <w:szCs w:val="18"/>
      </w:rPr>
      <w:t>499</w:t>
    </w:r>
    <w:r>
      <w:rPr>
        <w:spacing w:val="-13"/>
        <w:sz w:val="18"/>
        <w:szCs w:val="18"/>
      </w:rPr>
      <w:t xml:space="preserve"> </w:t>
    </w:r>
    <w:r>
      <w:rPr>
        <w:b/>
        <w:bCs/>
        <w:spacing w:val="-13"/>
        <w:sz w:val="18"/>
        <w:szCs w:val="18"/>
      </w:rPr>
      <w:t>页</w:t>
    </w:r>
  </w:p>
</w:ftr>
</file>

<file path=word/footer3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388CD4">
    <w:pPr>
      <w:spacing w:after="13" w:line="454" w:lineRule="exact"/>
    </w:pPr>
  </w:p>
  <w:p w14:paraId="76C5E24F">
    <w:pPr>
      <w:pStyle w:val="2"/>
      <w:spacing w:line="207" w:lineRule="auto"/>
      <w:ind w:left="5067"/>
      <w:rPr>
        <w:sz w:val="18"/>
        <w:szCs w:val="18"/>
      </w:rPr>
    </w:pPr>
    <w:r>
      <w:rPr>
        <w:b/>
        <w:bCs/>
        <w:spacing w:val="-13"/>
        <w:sz w:val="18"/>
        <w:szCs w:val="18"/>
      </w:rPr>
      <w:t>第</w:t>
    </w:r>
    <w:r>
      <w:rPr>
        <w:spacing w:val="-28"/>
        <w:sz w:val="18"/>
        <w:szCs w:val="18"/>
      </w:rPr>
      <w:t xml:space="preserve"> </w:t>
    </w:r>
    <w:r>
      <w:rPr>
        <w:b/>
        <w:bCs/>
        <w:spacing w:val="-13"/>
        <w:sz w:val="18"/>
        <w:szCs w:val="18"/>
      </w:rPr>
      <w:t>465</w:t>
    </w:r>
    <w:r>
      <w:rPr>
        <w:spacing w:val="-13"/>
        <w:sz w:val="18"/>
        <w:szCs w:val="18"/>
      </w:rPr>
      <w:t xml:space="preserve"> </w:t>
    </w:r>
    <w:r>
      <w:rPr>
        <w:b/>
        <w:bCs/>
        <w:spacing w:val="-13"/>
        <w:sz w:val="18"/>
        <w:szCs w:val="18"/>
      </w:rPr>
      <w:t>页</w:t>
    </w:r>
    <w:r>
      <w:rPr>
        <w:spacing w:val="-27"/>
        <w:sz w:val="18"/>
        <w:szCs w:val="18"/>
      </w:rPr>
      <w:t xml:space="preserve"> </w:t>
    </w:r>
    <w:r>
      <w:rPr>
        <w:b/>
        <w:bCs/>
        <w:spacing w:val="-13"/>
        <w:sz w:val="18"/>
        <w:szCs w:val="18"/>
      </w:rPr>
      <w:t>共</w:t>
    </w:r>
    <w:r>
      <w:rPr>
        <w:spacing w:val="-39"/>
        <w:sz w:val="18"/>
        <w:szCs w:val="18"/>
      </w:rPr>
      <w:t xml:space="preserve"> </w:t>
    </w:r>
    <w:r>
      <w:rPr>
        <w:b/>
        <w:bCs/>
        <w:spacing w:val="-13"/>
        <w:sz w:val="18"/>
        <w:szCs w:val="18"/>
      </w:rPr>
      <w:t>499</w:t>
    </w:r>
    <w:r>
      <w:rPr>
        <w:spacing w:val="-13"/>
        <w:sz w:val="18"/>
        <w:szCs w:val="18"/>
      </w:rPr>
      <w:t xml:space="preserve"> </w:t>
    </w:r>
    <w:r>
      <w:rPr>
        <w:b/>
        <w:bCs/>
        <w:spacing w:val="-13"/>
        <w:sz w:val="18"/>
        <w:szCs w:val="18"/>
      </w:rPr>
      <w:t>页</w:t>
    </w:r>
  </w:p>
</w:ftr>
</file>

<file path=word/footer3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A2C65A">
    <w:pPr>
      <w:spacing w:after="13" w:line="454" w:lineRule="exact"/>
    </w:pPr>
  </w:p>
  <w:p w14:paraId="64086CF5">
    <w:pPr>
      <w:pStyle w:val="2"/>
      <w:spacing w:line="207" w:lineRule="auto"/>
      <w:ind w:left="5067"/>
      <w:rPr>
        <w:sz w:val="18"/>
        <w:szCs w:val="18"/>
      </w:rPr>
    </w:pPr>
    <w:r>
      <w:rPr>
        <w:b/>
        <w:bCs/>
        <w:spacing w:val="-13"/>
        <w:sz w:val="18"/>
        <w:szCs w:val="18"/>
      </w:rPr>
      <w:t>第</w:t>
    </w:r>
    <w:r>
      <w:rPr>
        <w:spacing w:val="-28"/>
        <w:sz w:val="18"/>
        <w:szCs w:val="18"/>
      </w:rPr>
      <w:t xml:space="preserve"> </w:t>
    </w:r>
    <w:r>
      <w:rPr>
        <w:b/>
        <w:bCs/>
        <w:spacing w:val="-13"/>
        <w:sz w:val="18"/>
        <w:szCs w:val="18"/>
      </w:rPr>
      <w:t>466</w:t>
    </w:r>
    <w:r>
      <w:rPr>
        <w:spacing w:val="-13"/>
        <w:sz w:val="18"/>
        <w:szCs w:val="18"/>
      </w:rPr>
      <w:t xml:space="preserve"> </w:t>
    </w:r>
    <w:r>
      <w:rPr>
        <w:b/>
        <w:bCs/>
        <w:spacing w:val="-13"/>
        <w:sz w:val="18"/>
        <w:szCs w:val="18"/>
      </w:rPr>
      <w:t>页</w:t>
    </w:r>
    <w:r>
      <w:rPr>
        <w:spacing w:val="-27"/>
        <w:sz w:val="18"/>
        <w:szCs w:val="18"/>
      </w:rPr>
      <w:t xml:space="preserve"> </w:t>
    </w:r>
    <w:r>
      <w:rPr>
        <w:b/>
        <w:bCs/>
        <w:spacing w:val="-13"/>
        <w:sz w:val="18"/>
        <w:szCs w:val="18"/>
      </w:rPr>
      <w:t>共</w:t>
    </w:r>
    <w:r>
      <w:rPr>
        <w:spacing w:val="-39"/>
        <w:sz w:val="18"/>
        <w:szCs w:val="18"/>
      </w:rPr>
      <w:t xml:space="preserve"> </w:t>
    </w:r>
    <w:r>
      <w:rPr>
        <w:b/>
        <w:bCs/>
        <w:spacing w:val="-13"/>
        <w:sz w:val="18"/>
        <w:szCs w:val="18"/>
      </w:rPr>
      <w:t>499</w:t>
    </w:r>
    <w:r>
      <w:rPr>
        <w:spacing w:val="-13"/>
        <w:sz w:val="18"/>
        <w:szCs w:val="18"/>
      </w:rPr>
      <w:t xml:space="preserve"> </w:t>
    </w:r>
    <w:r>
      <w:rPr>
        <w:b/>
        <w:bCs/>
        <w:spacing w:val="-13"/>
        <w:sz w:val="18"/>
        <w:szCs w:val="18"/>
      </w:rPr>
      <w:t>页</w:t>
    </w:r>
  </w:p>
</w:ftr>
</file>

<file path=word/footer3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BD5B27">
    <w:pPr>
      <w:spacing w:after="13" w:line="454" w:lineRule="exact"/>
    </w:pPr>
  </w:p>
  <w:p w14:paraId="6B0BF75F">
    <w:pPr>
      <w:pStyle w:val="2"/>
      <w:spacing w:line="207" w:lineRule="auto"/>
      <w:ind w:left="5067"/>
      <w:rPr>
        <w:sz w:val="18"/>
        <w:szCs w:val="18"/>
      </w:rPr>
    </w:pPr>
    <w:r>
      <w:rPr>
        <w:b/>
        <w:bCs/>
        <w:spacing w:val="-13"/>
        <w:sz w:val="18"/>
        <w:szCs w:val="18"/>
      </w:rPr>
      <w:t>第</w:t>
    </w:r>
    <w:r>
      <w:rPr>
        <w:spacing w:val="-28"/>
        <w:sz w:val="18"/>
        <w:szCs w:val="18"/>
      </w:rPr>
      <w:t xml:space="preserve"> </w:t>
    </w:r>
    <w:r>
      <w:rPr>
        <w:b/>
        <w:bCs/>
        <w:spacing w:val="-13"/>
        <w:sz w:val="18"/>
        <w:szCs w:val="18"/>
      </w:rPr>
      <w:t>467</w:t>
    </w:r>
    <w:r>
      <w:rPr>
        <w:spacing w:val="-13"/>
        <w:sz w:val="18"/>
        <w:szCs w:val="18"/>
      </w:rPr>
      <w:t xml:space="preserve"> </w:t>
    </w:r>
    <w:r>
      <w:rPr>
        <w:b/>
        <w:bCs/>
        <w:spacing w:val="-13"/>
        <w:sz w:val="18"/>
        <w:szCs w:val="18"/>
      </w:rPr>
      <w:t>页</w:t>
    </w:r>
    <w:r>
      <w:rPr>
        <w:spacing w:val="-27"/>
        <w:sz w:val="18"/>
        <w:szCs w:val="18"/>
      </w:rPr>
      <w:t xml:space="preserve"> </w:t>
    </w:r>
    <w:r>
      <w:rPr>
        <w:b/>
        <w:bCs/>
        <w:spacing w:val="-13"/>
        <w:sz w:val="18"/>
        <w:szCs w:val="18"/>
      </w:rPr>
      <w:t>共</w:t>
    </w:r>
    <w:r>
      <w:rPr>
        <w:spacing w:val="-39"/>
        <w:sz w:val="18"/>
        <w:szCs w:val="18"/>
      </w:rPr>
      <w:t xml:space="preserve"> </w:t>
    </w:r>
    <w:r>
      <w:rPr>
        <w:b/>
        <w:bCs/>
        <w:spacing w:val="-13"/>
        <w:sz w:val="18"/>
        <w:szCs w:val="18"/>
      </w:rPr>
      <w:t>499</w:t>
    </w:r>
    <w:r>
      <w:rPr>
        <w:spacing w:val="-13"/>
        <w:sz w:val="18"/>
        <w:szCs w:val="18"/>
      </w:rPr>
      <w:t xml:space="preserve"> </w:t>
    </w:r>
    <w:r>
      <w:rPr>
        <w:b/>
        <w:bCs/>
        <w:spacing w:val="-13"/>
        <w:sz w:val="18"/>
        <w:szCs w:val="18"/>
      </w:rPr>
      <w:t>页</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46F3C0">
    <w:pPr>
      <w:spacing w:after="12" w:line="455" w:lineRule="exact"/>
    </w:pPr>
  </w:p>
  <w:p w14:paraId="3754492F">
    <w:pPr>
      <w:pStyle w:val="2"/>
      <w:spacing w:line="207" w:lineRule="auto"/>
      <w:ind w:left="5507"/>
      <w:rPr>
        <w:sz w:val="18"/>
        <w:szCs w:val="18"/>
      </w:rPr>
    </w:pPr>
    <w:r>
      <w:rPr>
        <w:b/>
        <w:bCs/>
        <w:spacing w:val="-13"/>
        <w:sz w:val="18"/>
        <w:szCs w:val="18"/>
      </w:rPr>
      <w:t>第</w:t>
    </w:r>
    <w:r>
      <w:rPr>
        <w:spacing w:val="-31"/>
        <w:sz w:val="18"/>
        <w:szCs w:val="18"/>
      </w:rPr>
      <w:t xml:space="preserve"> </w:t>
    </w:r>
    <w:r>
      <w:rPr>
        <w:b/>
        <w:bCs/>
        <w:spacing w:val="-13"/>
        <w:sz w:val="18"/>
        <w:szCs w:val="18"/>
      </w:rPr>
      <w:t>4</w:t>
    </w:r>
    <w:r>
      <w:rPr>
        <w:spacing w:val="-13"/>
        <w:sz w:val="18"/>
        <w:szCs w:val="18"/>
      </w:rPr>
      <w:t xml:space="preserve"> </w:t>
    </w:r>
    <w:r>
      <w:rPr>
        <w:b/>
        <w:bCs/>
        <w:spacing w:val="-13"/>
        <w:sz w:val="18"/>
        <w:szCs w:val="18"/>
      </w:rPr>
      <w:t>页</w:t>
    </w:r>
    <w:r>
      <w:rPr>
        <w:spacing w:val="-25"/>
        <w:sz w:val="18"/>
        <w:szCs w:val="18"/>
      </w:rPr>
      <w:t xml:space="preserve"> </w:t>
    </w:r>
    <w:r>
      <w:rPr>
        <w:b/>
        <w:bCs/>
        <w:spacing w:val="-13"/>
        <w:sz w:val="18"/>
        <w:szCs w:val="18"/>
      </w:rPr>
      <w:t>共</w:t>
    </w:r>
    <w:r>
      <w:rPr>
        <w:spacing w:val="-39"/>
        <w:sz w:val="18"/>
        <w:szCs w:val="18"/>
      </w:rPr>
      <w:t xml:space="preserve"> </w:t>
    </w:r>
    <w:r>
      <w:rPr>
        <w:b/>
        <w:bCs/>
        <w:spacing w:val="-13"/>
        <w:sz w:val="18"/>
        <w:szCs w:val="18"/>
      </w:rPr>
      <w:t>499</w:t>
    </w:r>
    <w:r>
      <w:rPr>
        <w:spacing w:val="-13"/>
        <w:sz w:val="18"/>
        <w:szCs w:val="18"/>
      </w:rPr>
      <w:t xml:space="preserve"> </w:t>
    </w:r>
    <w:r>
      <w:rPr>
        <w:b/>
        <w:bCs/>
        <w:spacing w:val="-13"/>
        <w:sz w:val="18"/>
        <w:szCs w:val="18"/>
      </w:rPr>
      <w:t>页</w: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B97CA0">
    <w:pPr>
      <w:spacing w:after="13" w:line="454" w:lineRule="exact"/>
    </w:pPr>
  </w:p>
  <w:p w14:paraId="1F367640">
    <w:pPr>
      <w:pStyle w:val="2"/>
      <w:spacing w:line="207" w:lineRule="auto"/>
      <w:ind w:left="5106"/>
      <w:rPr>
        <w:sz w:val="18"/>
        <w:szCs w:val="18"/>
      </w:rPr>
    </w:pPr>
    <w:r>
      <w:rPr>
        <w:b/>
        <w:bCs/>
        <w:spacing w:val="-13"/>
        <w:sz w:val="18"/>
        <w:szCs w:val="18"/>
      </w:rPr>
      <w:t>第</w:t>
    </w:r>
    <w:r>
      <w:rPr>
        <w:spacing w:val="-28"/>
        <w:sz w:val="18"/>
        <w:szCs w:val="18"/>
      </w:rPr>
      <w:t xml:space="preserve"> </w:t>
    </w:r>
    <w:r>
      <w:rPr>
        <w:b/>
        <w:bCs/>
        <w:spacing w:val="-13"/>
        <w:sz w:val="18"/>
        <w:szCs w:val="18"/>
      </w:rPr>
      <w:t>68</w:t>
    </w:r>
    <w:r>
      <w:rPr>
        <w:spacing w:val="-13"/>
        <w:sz w:val="18"/>
        <w:szCs w:val="18"/>
      </w:rPr>
      <w:t xml:space="preserve"> </w:t>
    </w:r>
    <w:r>
      <w:rPr>
        <w:b/>
        <w:bCs/>
        <w:spacing w:val="-13"/>
        <w:sz w:val="18"/>
        <w:szCs w:val="18"/>
      </w:rPr>
      <w:t>页</w:t>
    </w:r>
    <w:r>
      <w:rPr>
        <w:spacing w:val="-28"/>
        <w:sz w:val="18"/>
        <w:szCs w:val="18"/>
      </w:rPr>
      <w:t xml:space="preserve"> </w:t>
    </w:r>
    <w:r>
      <w:rPr>
        <w:b/>
        <w:bCs/>
        <w:spacing w:val="-13"/>
        <w:sz w:val="18"/>
        <w:szCs w:val="18"/>
      </w:rPr>
      <w:t>共</w:t>
    </w:r>
    <w:r>
      <w:rPr>
        <w:spacing w:val="-38"/>
        <w:sz w:val="18"/>
        <w:szCs w:val="18"/>
      </w:rPr>
      <w:t xml:space="preserve"> </w:t>
    </w:r>
    <w:r>
      <w:rPr>
        <w:b/>
        <w:bCs/>
        <w:spacing w:val="-13"/>
        <w:sz w:val="18"/>
        <w:szCs w:val="18"/>
      </w:rPr>
      <w:t>499</w:t>
    </w:r>
    <w:r>
      <w:rPr>
        <w:spacing w:val="-13"/>
        <w:sz w:val="18"/>
        <w:szCs w:val="18"/>
      </w:rPr>
      <w:t xml:space="preserve"> </w:t>
    </w:r>
    <w:r>
      <w:rPr>
        <w:b/>
        <w:bCs/>
        <w:spacing w:val="-13"/>
        <w:sz w:val="18"/>
        <w:szCs w:val="18"/>
      </w:rPr>
      <w:t>页</w:t>
    </w:r>
  </w:p>
</w:ftr>
</file>

<file path=word/footer4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A2AAFF">
    <w:pPr>
      <w:spacing w:after="13" w:line="454" w:lineRule="exact"/>
    </w:pPr>
  </w:p>
  <w:p w14:paraId="49A6640A">
    <w:pPr>
      <w:pStyle w:val="2"/>
      <w:spacing w:line="207" w:lineRule="auto"/>
      <w:ind w:left="5067"/>
      <w:rPr>
        <w:sz w:val="18"/>
        <w:szCs w:val="18"/>
      </w:rPr>
    </w:pPr>
    <w:r>
      <w:rPr>
        <w:b/>
        <w:bCs/>
        <w:spacing w:val="-13"/>
        <w:sz w:val="18"/>
        <w:szCs w:val="18"/>
      </w:rPr>
      <w:t>第</w:t>
    </w:r>
    <w:r>
      <w:rPr>
        <w:spacing w:val="-28"/>
        <w:sz w:val="18"/>
        <w:szCs w:val="18"/>
      </w:rPr>
      <w:t xml:space="preserve"> </w:t>
    </w:r>
    <w:r>
      <w:rPr>
        <w:b/>
        <w:bCs/>
        <w:spacing w:val="-13"/>
        <w:sz w:val="18"/>
        <w:szCs w:val="18"/>
      </w:rPr>
      <w:t>468</w:t>
    </w:r>
    <w:r>
      <w:rPr>
        <w:spacing w:val="-13"/>
        <w:sz w:val="18"/>
        <w:szCs w:val="18"/>
      </w:rPr>
      <w:t xml:space="preserve"> </w:t>
    </w:r>
    <w:r>
      <w:rPr>
        <w:b/>
        <w:bCs/>
        <w:spacing w:val="-13"/>
        <w:sz w:val="18"/>
        <w:szCs w:val="18"/>
      </w:rPr>
      <w:t>页</w:t>
    </w:r>
    <w:r>
      <w:rPr>
        <w:spacing w:val="-27"/>
        <w:sz w:val="18"/>
        <w:szCs w:val="18"/>
      </w:rPr>
      <w:t xml:space="preserve"> </w:t>
    </w:r>
    <w:r>
      <w:rPr>
        <w:b/>
        <w:bCs/>
        <w:spacing w:val="-13"/>
        <w:sz w:val="18"/>
        <w:szCs w:val="18"/>
      </w:rPr>
      <w:t>共</w:t>
    </w:r>
    <w:r>
      <w:rPr>
        <w:spacing w:val="-39"/>
        <w:sz w:val="18"/>
        <w:szCs w:val="18"/>
      </w:rPr>
      <w:t xml:space="preserve"> </w:t>
    </w:r>
    <w:r>
      <w:rPr>
        <w:b/>
        <w:bCs/>
        <w:spacing w:val="-13"/>
        <w:sz w:val="18"/>
        <w:szCs w:val="18"/>
      </w:rPr>
      <w:t>499</w:t>
    </w:r>
    <w:r>
      <w:rPr>
        <w:spacing w:val="-13"/>
        <w:sz w:val="18"/>
        <w:szCs w:val="18"/>
      </w:rPr>
      <w:t xml:space="preserve"> </w:t>
    </w:r>
    <w:r>
      <w:rPr>
        <w:b/>
        <w:bCs/>
        <w:spacing w:val="-13"/>
        <w:sz w:val="18"/>
        <w:szCs w:val="18"/>
      </w:rPr>
      <w:t>页</w:t>
    </w:r>
  </w:p>
</w:ftr>
</file>

<file path=word/footer4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DE780A">
    <w:pPr>
      <w:spacing w:after="13" w:line="454" w:lineRule="exact"/>
    </w:pPr>
  </w:p>
  <w:p w14:paraId="25AF8D6D">
    <w:pPr>
      <w:pStyle w:val="2"/>
      <w:spacing w:line="207" w:lineRule="auto"/>
      <w:ind w:left="5067"/>
      <w:rPr>
        <w:sz w:val="18"/>
        <w:szCs w:val="18"/>
      </w:rPr>
    </w:pPr>
    <w:r>
      <w:rPr>
        <w:b/>
        <w:bCs/>
        <w:spacing w:val="-13"/>
        <w:sz w:val="18"/>
        <w:szCs w:val="18"/>
      </w:rPr>
      <w:t>第</w:t>
    </w:r>
    <w:r>
      <w:rPr>
        <w:spacing w:val="-28"/>
        <w:sz w:val="18"/>
        <w:szCs w:val="18"/>
      </w:rPr>
      <w:t xml:space="preserve"> </w:t>
    </w:r>
    <w:r>
      <w:rPr>
        <w:b/>
        <w:bCs/>
        <w:spacing w:val="-13"/>
        <w:sz w:val="18"/>
        <w:szCs w:val="18"/>
      </w:rPr>
      <w:t>469</w:t>
    </w:r>
    <w:r>
      <w:rPr>
        <w:spacing w:val="-13"/>
        <w:sz w:val="18"/>
        <w:szCs w:val="18"/>
      </w:rPr>
      <w:t xml:space="preserve"> </w:t>
    </w:r>
    <w:r>
      <w:rPr>
        <w:b/>
        <w:bCs/>
        <w:spacing w:val="-13"/>
        <w:sz w:val="18"/>
        <w:szCs w:val="18"/>
      </w:rPr>
      <w:t>页</w:t>
    </w:r>
    <w:r>
      <w:rPr>
        <w:spacing w:val="-27"/>
        <w:sz w:val="18"/>
        <w:szCs w:val="18"/>
      </w:rPr>
      <w:t xml:space="preserve"> </w:t>
    </w:r>
    <w:r>
      <w:rPr>
        <w:b/>
        <w:bCs/>
        <w:spacing w:val="-13"/>
        <w:sz w:val="18"/>
        <w:szCs w:val="18"/>
      </w:rPr>
      <w:t>共</w:t>
    </w:r>
    <w:r>
      <w:rPr>
        <w:spacing w:val="-39"/>
        <w:sz w:val="18"/>
        <w:szCs w:val="18"/>
      </w:rPr>
      <w:t xml:space="preserve"> </w:t>
    </w:r>
    <w:r>
      <w:rPr>
        <w:b/>
        <w:bCs/>
        <w:spacing w:val="-13"/>
        <w:sz w:val="18"/>
        <w:szCs w:val="18"/>
      </w:rPr>
      <w:t>499</w:t>
    </w:r>
    <w:r>
      <w:rPr>
        <w:spacing w:val="-13"/>
        <w:sz w:val="18"/>
        <w:szCs w:val="18"/>
      </w:rPr>
      <w:t xml:space="preserve"> </w:t>
    </w:r>
    <w:r>
      <w:rPr>
        <w:b/>
        <w:bCs/>
        <w:spacing w:val="-13"/>
        <w:sz w:val="18"/>
        <w:szCs w:val="18"/>
      </w:rPr>
      <w:t>页</w:t>
    </w:r>
  </w:p>
</w:ftr>
</file>

<file path=word/footer4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944B16">
    <w:pPr>
      <w:spacing w:after="13" w:line="454" w:lineRule="exact"/>
    </w:pPr>
  </w:p>
  <w:p w14:paraId="6571F663">
    <w:pPr>
      <w:pStyle w:val="2"/>
      <w:spacing w:line="207" w:lineRule="auto"/>
      <w:ind w:left="5067"/>
      <w:rPr>
        <w:sz w:val="18"/>
        <w:szCs w:val="18"/>
      </w:rPr>
    </w:pPr>
    <w:r>
      <w:rPr>
        <w:b/>
        <w:bCs/>
        <w:spacing w:val="-13"/>
        <w:sz w:val="18"/>
        <w:szCs w:val="18"/>
      </w:rPr>
      <w:t>第</w:t>
    </w:r>
    <w:r>
      <w:rPr>
        <w:spacing w:val="-28"/>
        <w:sz w:val="18"/>
        <w:szCs w:val="18"/>
      </w:rPr>
      <w:t xml:space="preserve"> </w:t>
    </w:r>
    <w:r>
      <w:rPr>
        <w:b/>
        <w:bCs/>
        <w:spacing w:val="-13"/>
        <w:sz w:val="18"/>
        <w:szCs w:val="18"/>
      </w:rPr>
      <w:t>470</w:t>
    </w:r>
    <w:r>
      <w:rPr>
        <w:spacing w:val="-13"/>
        <w:sz w:val="18"/>
        <w:szCs w:val="18"/>
      </w:rPr>
      <w:t xml:space="preserve"> </w:t>
    </w:r>
    <w:r>
      <w:rPr>
        <w:b/>
        <w:bCs/>
        <w:spacing w:val="-13"/>
        <w:sz w:val="18"/>
        <w:szCs w:val="18"/>
      </w:rPr>
      <w:t>页</w:t>
    </w:r>
    <w:r>
      <w:rPr>
        <w:spacing w:val="-27"/>
        <w:sz w:val="18"/>
        <w:szCs w:val="18"/>
      </w:rPr>
      <w:t xml:space="preserve"> </w:t>
    </w:r>
    <w:r>
      <w:rPr>
        <w:b/>
        <w:bCs/>
        <w:spacing w:val="-13"/>
        <w:sz w:val="18"/>
        <w:szCs w:val="18"/>
      </w:rPr>
      <w:t>共</w:t>
    </w:r>
    <w:r>
      <w:rPr>
        <w:spacing w:val="-39"/>
        <w:sz w:val="18"/>
        <w:szCs w:val="18"/>
      </w:rPr>
      <w:t xml:space="preserve"> </w:t>
    </w:r>
    <w:r>
      <w:rPr>
        <w:b/>
        <w:bCs/>
        <w:spacing w:val="-13"/>
        <w:sz w:val="18"/>
        <w:szCs w:val="18"/>
      </w:rPr>
      <w:t>499</w:t>
    </w:r>
    <w:r>
      <w:rPr>
        <w:spacing w:val="-13"/>
        <w:sz w:val="18"/>
        <w:szCs w:val="18"/>
      </w:rPr>
      <w:t xml:space="preserve"> </w:t>
    </w:r>
    <w:r>
      <w:rPr>
        <w:b/>
        <w:bCs/>
        <w:spacing w:val="-13"/>
        <w:sz w:val="18"/>
        <w:szCs w:val="18"/>
      </w:rPr>
      <w:t>页</w:t>
    </w:r>
  </w:p>
</w:ftr>
</file>

<file path=word/footer4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C25D5D">
    <w:pPr>
      <w:spacing w:after="13" w:line="454" w:lineRule="exact"/>
    </w:pPr>
  </w:p>
  <w:p w14:paraId="034CE394">
    <w:pPr>
      <w:pStyle w:val="2"/>
      <w:spacing w:line="207" w:lineRule="auto"/>
      <w:ind w:left="5067"/>
      <w:rPr>
        <w:sz w:val="18"/>
        <w:szCs w:val="18"/>
      </w:rPr>
    </w:pPr>
    <w:r>
      <w:rPr>
        <w:b/>
        <w:bCs/>
        <w:spacing w:val="-13"/>
        <w:sz w:val="18"/>
        <w:szCs w:val="18"/>
      </w:rPr>
      <w:t>第</w:t>
    </w:r>
    <w:r>
      <w:rPr>
        <w:spacing w:val="-28"/>
        <w:sz w:val="18"/>
        <w:szCs w:val="18"/>
      </w:rPr>
      <w:t xml:space="preserve"> </w:t>
    </w:r>
    <w:r>
      <w:rPr>
        <w:b/>
        <w:bCs/>
        <w:spacing w:val="-13"/>
        <w:sz w:val="18"/>
        <w:szCs w:val="18"/>
      </w:rPr>
      <w:t>471</w:t>
    </w:r>
    <w:r>
      <w:rPr>
        <w:spacing w:val="-13"/>
        <w:sz w:val="18"/>
        <w:szCs w:val="18"/>
      </w:rPr>
      <w:t xml:space="preserve"> </w:t>
    </w:r>
    <w:r>
      <w:rPr>
        <w:b/>
        <w:bCs/>
        <w:spacing w:val="-13"/>
        <w:sz w:val="18"/>
        <w:szCs w:val="18"/>
      </w:rPr>
      <w:t>页</w:t>
    </w:r>
    <w:r>
      <w:rPr>
        <w:spacing w:val="-27"/>
        <w:sz w:val="18"/>
        <w:szCs w:val="18"/>
      </w:rPr>
      <w:t xml:space="preserve"> </w:t>
    </w:r>
    <w:r>
      <w:rPr>
        <w:b/>
        <w:bCs/>
        <w:spacing w:val="-13"/>
        <w:sz w:val="18"/>
        <w:szCs w:val="18"/>
      </w:rPr>
      <w:t>共</w:t>
    </w:r>
    <w:r>
      <w:rPr>
        <w:spacing w:val="-39"/>
        <w:sz w:val="18"/>
        <w:szCs w:val="18"/>
      </w:rPr>
      <w:t xml:space="preserve"> </w:t>
    </w:r>
    <w:r>
      <w:rPr>
        <w:b/>
        <w:bCs/>
        <w:spacing w:val="-13"/>
        <w:sz w:val="18"/>
        <w:szCs w:val="18"/>
      </w:rPr>
      <w:t>499</w:t>
    </w:r>
    <w:r>
      <w:rPr>
        <w:spacing w:val="-13"/>
        <w:sz w:val="18"/>
        <w:szCs w:val="18"/>
      </w:rPr>
      <w:t xml:space="preserve"> </w:t>
    </w:r>
    <w:r>
      <w:rPr>
        <w:b/>
        <w:bCs/>
        <w:spacing w:val="-13"/>
        <w:sz w:val="18"/>
        <w:szCs w:val="18"/>
      </w:rPr>
      <w:t>页</w:t>
    </w:r>
  </w:p>
</w:ftr>
</file>

<file path=word/footer4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554C08">
    <w:pPr>
      <w:spacing w:after="13" w:line="454" w:lineRule="exact"/>
    </w:pPr>
  </w:p>
  <w:p w14:paraId="2BB9FB05">
    <w:pPr>
      <w:pStyle w:val="2"/>
      <w:spacing w:line="207" w:lineRule="auto"/>
      <w:ind w:left="5067"/>
      <w:rPr>
        <w:sz w:val="18"/>
        <w:szCs w:val="18"/>
      </w:rPr>
    </w:pPr>
    <w:r>
      <w:rPr>
        <w:b/>
        <w:bCs/>
        <w:spacing w:val="-13"/>
        <w:sz w:val="18"/>
        <w:szCs w:val="18"/>
      </w:rPr>
      <w:t>第</w:t>
    </w:r>
    <w:r>
      <w:rPr>
        <w:spacing w:val="-28"/>
        <w:sz w:val="18"/>
        <w:szCs w:val="18"/>
      </w:rPr>
      <w:t xml:space="preserve"> </w:t>
    </w:r>
    <w:r>
      <w:rPr>
        <w:b/>
        <w:bCs/>
        <w:spacing w:val="-13"/>
        <w:sz w:val="18"/>
        <w:szCs w:val="18"/>
      </w:rPr>
      <w:t>472</w:t>
    </w:r>
    <w:r>
      <w:rPr>
        <w:spacing w:val="-13"/>
        <w:sz w:val="18"/>
        <w:szCs w:val="18"/>
      </w:rPr>
      <w:t xml:space="preserve"> </w:t>
    </w:r>
    <w:r>
      <w:rPr>
        <w:b/>
        <w:bCs/>
        <w:spacing w:val="-13"/>
        <w:sz w:val="18"/>
        <w:szCs w:val="18"/>
      </w:rPr>
      <w:t>页</w:t>
    </w:r>
    <w:r>
      <w:rPr>
        <w:spacing w:val="-27"/>
        <w:sz w:val="18"/>
        <w:szCs w:val="18"/>
      </w:rPr>
      <w:t xml:space="preserve"> </w:t>
    </w:r>
    <w:r>
      <w:rPr>
        <w:b/>
        <w:bCs/>
        <w:spacing w:val="-13"/>
        <w:sz w:val="18"/>
        <w:szCs w:val="18"/>
      </w:rPr>
      <w:t>共</w:t>
    </w:r>
    <w:r>
      <w:rPr>
        <w:spacing w:val="-39"/>
        <w:sz w:val="18"/>
        <w:szCs w:val="18"/>
      </w:rPr>
      <w:t xml:space="preserve"> </w:t>
    </w:r>
    <w:r>
      <w:rPr>
        <w:b/>
        <w:bCs/>
        <w:spacing w:val="-13"/>
        <w:sz w:val="18"/>
        <w:szCs w:val="18"/>
      </w:rPr>
      <w:t>499</w:t>
    </w:r>
    <w:r>
      <w:rPr>
        <w:spacing w:val="-13"/>
        <w:sz w:val="18"/>
        <w:szCs w:val="18"/>
      </w:rPr>
      <w:t xml:space="preserve"> </w:t>
    </w:r>
    <w:r>
      <w:rPr>
        <w:b/>
        <w:bCs/>
        <w:spacing w:val="-13"/>
        <w:sz w:val="18"/>
        <w:szCs w:val="18"/>
      </w:rPr>
      <w:t>页</w:t>
    </w:r>
  </w:p>
</w:ftr>
</file>

<file path=word/footer4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764286">
    <w:pPr>
      <w:spacing w:after="13" w:line="454" w:lineRule="exact"/>
    </w:pPr>
  </w:p>
  <w:p w14:paraId="3D5E7FC2">
    <w:pPr>
      <w:pStyle w:val="2"/>
      <w:spacing w:line="207" w:lineRule="auto"/>
      <w:ind w:left="5067"/>
      <w:rPr>
        <w:sz w:val="18"/>
        <w:szCs w:val="18"/>
      </w:rPr>
    </w:pPr>
    <w:r>
      <w:rPr>
        <w:b/>
        <w:bCs/>
        <w:spacing w:val="-13"/>
        <w:sz w:val="18"/>
        <w:szCs w:val="18"/>
      </w:rPr>
      <w:t>第</w:t>
    </w:r>
    <w:r>
      <w:rPr>
        <w:spacing w:val="-28"/>
        <w:sz w:val="18"/>
        <w:szCs w:val="18"/>
      </w:rPr>
      <w:t xml:space="preserve"> </w:t>
    </w:r>
    <w:r>
      <w:rPr>
        <w:b/>
        <w:bCs/>
        <w:spacing w:val="-13"/>
        <w:sz w:val="18"/>
        <w:szCs w:val="18"/>
      </w:rPr>
      <w:t>473</w:t>
    </w:r>
    <w:r>
      <w:rPr>
        <w:spacing w:val="-13"/>
        <w:sz w:val="18"/>
        <w:szCs w:val="18"/>
      </w:rPr>
      <w:t xml:space="preserve"> </w:t>
    </w:r>
    <w:r>
      <w:rPr>
        <w:b/>
        <w:bCs/>
        <w:spacing w:val="-13"/>
        <w:sz w:val="18"/>
        <w:szCs w:val="18"/>
      </w:rPr>
      <w:t>页</w:t>
    </w:r>
    <w:r>
      <w:rPr>
        <w:spacing w:val="-27"/>
        <w:sz w:val="18"/>
        <w:szCs w:val="18"/>
      </w:rPr>
      <w:t xml:space="preserve"> </w:t>
    </w:r>
    <w:r>
      <w:rPr>
        <w:b/>
        <w:bCs/>
        <w:spacing w:val="-13"/>
        <w:sz w:val="18"/>
        <w:szCs w:val="18"/>
      </w:rPr>
      <w:t>共</w:t>
    </w:r>
    <w:r>
      <w:rPr>
        <w:spacing w:val="-39"/>
        <w:sz w:val="18"/>
        <w:szCs w:val="18"/>
      </w:rPr>
      <w:t xml:space="preserve"> </w:t>
    </w:r>
    <w:r>
      <w:rPr>
        <w:b/>
        <w:bCs/>
        <w:spacing w:val="-13"/>
        <w:sz w:val="18"/>
        <w:szCs w:val="18"/>
      </w:rPr>
      <w:t>499</w:t>
    </w:r>
    <w:r>
      <w:rPr>
        <w:spacing w:val="-13"/>
        <w:sz w:val="18"/>
        <w:szCs w:val="18"/>
      </w:rPr>
      <w:t xml:space="preserve"> </w:t>
    </w:r>
    <w:r>
      <w:rPr>
        <w:b/>
        <w:bCs/>
        <w:spacing w:val="-13"/>
        <w:sz w:val="18"/>
        <w:szCs w:val="18"/>
      </w:rPr>
      <w:t>页</w:t>
    </w:r>
  </w:p>
</w:ftr>
</file>

<file path=word/footer4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A12885">
    <w:pPr>
      <w:spacing w:after="13" w:line="454" w:lineRule="exact"/>
    </w:pPr>
  </w:p>
  <w:p w14:paraId="1742ABD6">
    <w:pPr>
      <w:pStyle w:val="2"/>
      <w:spacing w:line="207" w:lineRule="auto"/>
      <w:ind w:left="5067"/>
      <w:rPr>
        <w:sz w:val="18"/>
        <w:szCs w:val="18"/>
      </w:rPr>
    </w:pPr>
    <w:r>
      <w:rPr>
        <w:b/>
        <w:bCs/>
        <w:spacing w:val="-13"/>
        <w:sz w:val="18"/>
        <w:szCs w:val="18"/>
      </w:rPr>
      <w:t>第</w:t>
    </w:r>
    <w:r>
      <w:rPr>
        <w:spacing w:val="-28"/>
        <w:sz w:val="18"/>
        <w:szCs w:val="18"/>
      </w:rPr>
      <w:t xml:space="preserve"> </w:t>
    </w:r>
    <w:r>
      <w:rPr>
        <w:b/>
        <w:bCs/>
        <w:spacing w:val="-13"/>
        <w:sz w:val="18"/>
        <w:szCs w:val="18"/>
      </w:rPr>
      <w:t>474</w:t>
    </w:r>
    <w:r>
      <w:rPr>
        <w:spacing w:val="-13"/>
        <w:sz w:val="18"/>
        <w:szCs w:val="18"/>
      </w:rPr>
      <w:t xml:space="preserve"> </w:t>
    </w:r>
    <w:r>
      <w:rPr>
        <w:b/>
        <w:bCs/>
        <w:spacing w:val="-13"/>
        <w:sz w:val="18"/>
        <w:szCs w:val="18"/>
      </w:rPr>
      <w:t>页</w:t>
    </w:r>
    <w:r>
      <w:rPr>
        <w:spacing w:val="-27"/>
        <w:sz w:val="18"/>
        <w:szCs w:val="18"/>
      </w:rPr>
      <w:t xml:space="preserve"> </w:t>
    </w:r>
    <w:r>
      <w:rPr>
        <w:b/>
        <w:bCs/>
        <w:spacing w:val="-13"/>
        <w:sz w:val="18"/>
        <w:szCs w:val="18"/>
      </w:rPr>
      <w:t>共</w:t>
    </w:r>
    <w:r>
      <w:rPr>
        <w:spacing w:val="-39"/>
        <w:sz w:val="18"/>
        <w:szCs w:val="18"/>
      </w:rPr>
      <w:t xml:space="preserve"> </w:t>
    </w:r>
    <w:r>
      <w:rPr>
        <w:b/>
        <w:bCs/>
        <w:spacing w:val="-13"/>
        <w:sz w:val="18"/>
        <w:szCs w:val="18"/>
      </w:rPr>
      <w:t>499</w:t>
    </w:r>
    <w:r>
      <w:rPr>
        <w:spacing w:val="-13"/>
        <w:sz w:val="18"/>
        <w:szCs w:val="18"/>
      </w:rPr>
      <w:t xml:space="preserve"> </w:t>
    </w:r>
    <w:r>
      <w:rPr>
        <w:b/>
        <w:bCs/>
        <w:spacing w:val="-13"/>
        <w:sz w:val="18"/>
        <w:szCs w:val="18"/>
      </w:rPr>
      <w:t>页</w:t>
    </w:r>
  </w:p>
</w:ftr>
</file>

<file path=word/footer4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DE407E">
    <w:pPr>
      <w:spacing w:after="13" w:line="454" w:lineRule="exact"/>
    </w:pPr>
  </w:p>
  <w:p w14:paraId="1A3B6624">
    <w:pPr>
      <w:pStyle w:val="2"/>
      <w:spacing w:line="207" w:lineRule="auto"/>
      <w:ind w:left="5067"/>
      <w:rPr>
        <w:sz w:val="18"/>
        <w:szCs w:val="18"/>
      </w:rPr>
    </w:pPr>
    <w:r>
      <w:rPr>
        <w:b/>
        <w:bCs/>
        <w:spacing w:val="-13"/>
        <w:sz w:val="18"/>
        <w:szCs w:val="18"/>
      </w:rPr>
      <w:t>第</w:t>
    </w:r>
    <w:r>
      <w:rPr>
        <w:spacing w:val="-28"/>
        <w:sz w:val="18"/>
        <w:szCs w:val="18"/>
      </w:rPr>
      <w:t xml:space="preserve"> </w:t>
    </w:r>
    <w:r>
      <w:rPr>
        <w:b/>
        <w:bCs/>
        <w:spacing w:val="-13"/>
        <w:sz w:val="18"/>
        <w:szCs w:val="18"/>
      </w:rPr>
      <w:t>475</w:t>
    </w:r>
    <w:r>
      <w:rPr>
        <w:spacing w:val="-13"/>
        <w:sz w:val="18"/>
        <w:szCs w:val="18"/>
      </w:rPr>
      <w:t xml:space="preserve"> </w:t>
    </w:r>
    <w:r>
      <w:rPr>
        <w:b/>
        <w:bCs/>
        <w:spacing w:val="-13"/>
        <w:sz w:val="18"/>
        <w:szCs w:val="18"/>
      </w:rPr>
      <w:t>页</w:t>
    </w:r>
    <w:r>
      <w:rPr>
        <w:spacing w:val="-27"/>
        <w:sz w:val="18"/>
        <w:szCs w:val="18"/>
      </w:rPr>
      <w:t xml:space="preserve"> </w:t>
    </w:r>
    <w:r>
      <w:rPr>
        <w:b/>
        <w:bCs/>
        <w:spacing w:val="-13"/>
        <w:sz w:val="18"/>
        <w:szCs w:val="18"/>
      </w:rPr>
      <w:t>共</w:t>
    </w:r>
    <w:r>
      <w:rPr>
        <w:spacing w:val="-39"/>
        <w:sz w:val="18"/>
        <w:szCs w:val="18"/>
      </w:rPr>
      <w:t xml:space="preserve"> </w:t>
    </w:r>
    <w:r>
      <w:rPr>
        <w:b/>
        <w:bCs/>
        <w:spacing w:val="-13"/>
        <w:sz w:val="18"/>
        <w:szCs w:val="18"/>
      </w:rPr>
      <w:t>499</w:t>
    </w:r>
    <w:r>
      <w:rPr>
        <w:spacing w:val="-13"/>
        <w:sz w:val="18"/>
        <w:szCs w:val="18"/>
      </w:rPr>
      <w:t xml:space="preserve"> </w:t>
    </w:r>
    <w:r>
      <w:rPr>
        <w:b/>
        <w:bCs/>
        <w:spacing w:val="-13"/>
        <w:sz w:val="18"/>
        <w:szCs w:val="18"/>
      </w:rPr>
      <w:t>页</w:t>
    </w:r>
  </w:p>
</w:ftr>
</file>

<file path=word/footer4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575BB6">
    <w:pPr>
      <w:spacing w:after="13" w:line="454" w:lineRule="exact"/>
    </w:pPr>
  </w:p>
  <w:p w14:paraId="6FBCB085">
    <w:pPr>
      <w:pStyle w:val="2"/>
      <w:spacing w:after="121" w:line="218" w:lineRule="auto"/>
      <w:ind w:left="5067"/>
      <w:rPr>
        <w:sz w:val="18"/>
        <w:szCs w:val="18"/>
      </w:rPr>
    </w:pPr>
    <w:r>
      <w:rPr>
        <w:b/>
        <w:bCs/>
        <w:spacing w:val="-13"/>
        <w:sz w:val="18"/>
        <w:szCs w:val="18"/>
      </w:rPr>
      <w:t>第</w:t>
    </w:r>
    <w:r>
      <w:rPr>
        <w:spacing w:val="-28"/>
        <w:sz w:val="18"/>
        <w:szCs w:val="18"/>
      </w:rPr>
      <w:t xml:space="preserve"> </w:t>
    </w:r>
    <w:r>
      <w:rPr>
        <w:b/>
        <w:bCs/>
        <w:spacing w:val="-13"/>
        <w:sz w:val="18"/>
        <w:szCs w:val="18"/>
      </w:rPr>
      <w:t>476</w:t>
    </w:r>
    <w:r>
      <w:rPr>
        <w:spacing w:val="-13"/>
        <w:sz w:val="18"/>
        <w:szCs w:val="18"/>
      </w:rPr>
      <w:t xml:space="preserve"> </w:t>
    </w:r>
    <w:r>
      <w:rPr>
        <w:b/>
        <w:bCs/>
        <w:spacing w:val="-13"/>
        <w:sz w:val="18"/>
        <w:szCs w:val="18"/>
      </w:rPr>
      <w:t>页</w:t>
    </w:r>
    <w:r>
      <w:rPr>
        <w:spacing w:val="-27"/>
        <w:sz w:val="18"/>
        <w:szCs w:val="18"/>
      </w:rPr>
      <w:t xml:space="preserve"> </w:t>
    </w:r>
    <w:r>
      <w:rPr>
        <w:b/>
        <w:bCs/>
        <w:spacing w:val="-13"/>
        <w:sz w:val="18"/>
        <w:szCs w:val="18"/>
      </w:rPr>
      <w:t>共</w:t>
    </w:r>
    <w:r>
      <w:rPr>
        <w:spacing w:val="-39"/>
        <w:sz w:val="18"/>
        <w:szCs w:val="18"/>
      </w:rPr>
      <w:t xml:space="preserve"> </w:t>
    </w:r>
    <w:r>
      <w:rPr>
        <w:b/>
        <w:bCs/>
        <w:spacing w:val="-13"/>
        <w:sz w:val="18"/>
        <w:szCs w:val="18"/>
      </w:rPr>
      <w:t>499</w:t>
    </w:r>
    <w:r>
      <w:rPr>
        <w:spacing w:val="-13"/>
        <w:sz w:val="18"/>
        <w:szCs w:val="18"/>
      </w:rPr>
      <w:t xml:space="preserve"> </w:t>
    </w:r>
    <w:r>
      <w:rPr>
        <w:b/>
        <w:bCs/>
        <w:spacing w:val="-13"/>
        <w:sz w:val="18"/>
        <w:szCs w:val="18"/>
      </w:rPr>
      <w:t>页</w:t>
    </w:r>
  </w:p>
</w:ftr>
</file>

<file path=word/footer4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B9A0D8">
    <w:pPr>
      <w:spacing w:after="13" w:line="454" w:lineRule="exact"/>
    </w:pPr>
  </w:p>
  <w:p w14:paraId="7FA80FFC">
    <w:pPr>
      <w:pStyle w:val="2"/>
      <w:spacing w:line="207" w:lineRule="auto"/>
      <w:ind w:left="5067"/>
      <w:rPr>
        <w:sz w:val="18"/>
        <w:szCs w:val="18"/>
      </w:rPr>
    </w:pPr>
    <w:r>
      <w:rPr>
        <w:b/>
        <w:bCs/>
        <w:spacing w:val="-13"/>
        <w:sz w:val="18"/>
        <w:szCs w:val="18"/>
      </w:rPr>
      <w:t>第</w:t>
    </w:r>
    <w:r>
      <w:rPr>
        <w:spacing w:val="-28"/>
        <w:sz w:val="18"/>
        <w:szCs w:val="18"/>
      </w:rPr>
      <w:t xml:space="preserve"> </w:t>
    </w:r>
    <w:r>
      <w:rPr>
        <w:b/>
        <w:bCs/>
        <w:spacing w:val="-13"/>
        <w:sz w:val="18"/>
        <w:szCs w:val="18"/>
      </w:rPr>
      <w:t>477</w:t>
    </w:r>
    <w:r>
      <w:rPr>
        <w:spacing w:val="-13"/>
        <w:sz w:val="18"/>
        <w:szCs w:val="18"/>
      </w:rPr>
      <w:t xml:space="preserve"> </w:t>
    </w:r>
    <w:r>
      <w:rPr>
        <w:b/>
        <w:bCs/>
        <w:spacing w:val="-13"/>
        <w:sz w:val="18"/>
        <w:szCs w:val="18"/>
      </w:rPr>
      <w:t>页</w:t>
    </w:r>
    <w:r>
      <w:rPr>
        <w:spacing w:val="-27"/>
        <w:sz w:val="18"/>
        <w:szCs w:val="18"/>
      </w:rPr>
      <w:t xml:space="preserve"> </w:t>
    </w:r>
    <w:r>
      <w:rPr>
        <w:b/>
        <w:bCs/>
        <w:spacing w:val="-13"/>
        <w:sz w:val="18"/>
        <w:szCs w:val="18"/>
      </w:rPr>
      <w:t>共</w:t>
    </w:r>
    <w:r>
      <w:rPr>
        <w:spacing w:val="-39"/>
        <w:sz w:val="18"/>
        <w:szCs w:val="18"/>
      </w:rPr>
      <w:t xml:space="preserve"> </w:t>
    </w:r>
    <w:r>
      <w:rPr>
        <w:b/>
        <w:bCs/>
        <w:spacing w:val="-13"/>
        <w:sz w:val="18"/>
        <w:szCs w:val="18"/>
      </w:rPr>
      <w:t>499</w:t>
    </w:r>
    <w:r>
      <w:rPr>
        <w:spacing w:val="-13"/>
        <w:sz w:val="18"/>
        <w:szCs w:val="18"/>
      </w:rPr>
      <w:t xml:space="preserve"> </w:t>
    </w:r>
    <w:r>
      <w:rPr>
        <w:b/>
        <w:bCs/>
        <w:spacing w:val="-13"/>
        <w:sz w:val="18"/>
        <w:szCs w:val="18"/>
      </w:rPr>
      <w:t>页</w: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6C708F">
    <w:pPr>
      <w:spacing w:after="13" w:line="454" w:lineRule="exact"/>
    </w:pPr>
  </w:p>
  <w:p w14:paraId="7D8EF197">
    <w:pPr>
      <w:pStyle w:val="2"/>
      <w:spacing w:line="207" w:lineRule="auto"/>
      <w:ind w:left="5106"/>
      <w:rPr>
        <w:sz w:val="18"/>
        <w:szCs w:val="18"/>
      </w:rPr>
    </w:pPr>
    <w:r>
      <w:rPr>
        <w:b/>
        <w:bCs/>
        <w:spacing w:val="-13"/>
        <w:sz w:val="18"/>
        <w:szCs w:val="18"/>
      </w:rPr>
      <w:t>第</w:t>
    </w:r>
    <w:r>
      <w:rPr>
        <w:spacing w:val="-28"/>
        <w:sz w:val="18"/>
        <w:szCs w:val="18"/>
      </w:rPr>
      <w:t xml:space="preserve"> </w:t>
    </w:r>
    <w:r>
      <w:rPr>
        <w:b/>
        <w:bCs/>
        <w:spacing w:val="-13"/>
        <w:sz w:val="18"/>
        <w:szCs w:val="18"/>
      </w:rPr>
      <w:t>69</w:t>
    </w:r>
    <w:r>
      <w:rPr>
        <w:spacing w:val="-13"/>
        <w:sz w:val="18"/>
        <w:szCs w:val="18"/>
      </w:rPr>
      <w:t xml:space="preserve"> </w:t>
    </w:r>
    <w:r>
      <w:rPr>
        <w:b/>
        <w:bCs/>
        <w:spacing w:val="-13"/>
        <w:sz w:val="18"/>
        <w:szCs w:val="18"/>
      </w:rPr>
      <w:t>页</w:t>
    </w:r>
    <w:r>
      <w:rPr>
        <w:spacing w:val="-28"/>
        <w:sz w:val="18"/>
        <w:szCs w:val="18"/>
      </w:rPr>
      <w:t xml:space="preserve"> </w:t>
    </w:r>
    <w:r>
      <w:rPr>
        <w:b/>
        <w:bCs/>
        <w:spacing w:val="-13"/>
        <w:sz w:val="18"/>
        <w:szCs w:val="18"/>
      </w:rPr>
      <w:t>共</w:t>
    </w:r>
    <w:r>
      <w:rPr>
        <w:spacing w:val="-38"/>
        <w:sz w:val="18"/>
        <w:szCs w:val="18"/>
      </w:rPr>
      <w:t xml:space="preserve"> </w:t>
    </w:r>
    <w:r>
      <w:rPr>
        <w:b/>
        <w:bCs/>
        <w:spacing w:val="-13"/>
        <w:sz w:val="18"/>
        <w:szCs w:val="18"/>
      </w:rPr>
      <w:t>499</w:t>
    </w:r>
    <w:r>
      <w:rPr>
        <w:spacing w:val="-13"/>
        <w:sz w:val="18"/>
        <w:szCs w:val="18"/>
      </w:rPr>
      <w:t xml:space="preserve"> </w:t>
    </w:r>
    <w:r>
      <w:rPr>
        <w:b/>
        <w:bCs/>
        <w:spacing w:val="-13"/>
        <w:sz w:val="18"/>
        <w:szCs w:val="18"/>
      </w:rPr>
      <w:t>页</w:t>
    </w:r>
  </w:p>
</w:ftr>
</file>

<file path=word/footer4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EAB983">
    <w:pPr>
      <w:spacing w:after="13" w:line="454" w:lineRule="exact"/>
    </w:pPr>
  </w:p>
  <w:p w14:paraId="5E3FEA51">
    <w:pPr>
      <w:pStyle w:val="2"/>
      <w:spacing w:line="207" w:lineRule="auto"/>
      <w:ind w:left="5067"/>
      <w:rPr>
        <w:sz w:val="18"/>
        <w:szCs w:val="18"/>
      </w:rPr>
    </w:pPr>
    <w:r>
      <w:rPr>
        <w:b/>
        <w:bCs/>
        <w:spacing w:val="-13"/>
        <w:sz w:val="18"/>
        <w:szCs w:val="18"/>
      </w:rPr>
      <w:t>第</w:t>
    </w:r>
    <w:r>
      <w:rPr>
        <w:spacing w:val="-28"/>
        <w:sz w:val="18"/>
        <w:szCs w:val="18"/>
      </w:rPr>
      <w:t xml:space="preserve"> </w:t>
    </w:r>
    <w:r>
      <w:rPr>
        <w:b/>
        <w:bCs/>
        <w:spacing w:val="-13"/>
        <w:sz w:val="18"/>
        <w:szCs w:val="18"/>
      </w:rPr>
      <w:t>478</w:t>
    </w:r>
    <w:r>
      <w:rPr>
        <w:spacing w:val="-13"/>
        <w:sz w:val="18"/>
        <w:szCs w:val="18"/>
      </w:rPr>
      <w:t xml:space="preserve"> </w:t>
    </w:r>
    <w:r>
      <w:rPr>
        <w:b/>
        <w:bCs/>
        <w:spacing w:val="-13"/>
        <w:sz w:val="18"/>
        <w:szCs w:val="18"/>
      </w:rPr>
      <w:t>页</w:t>
    </w:r>
    <w:r>
      <w:rPr>
        <w:spacing w:val="-27"/>
        <w:sz w:val="18"/>
        <w:szCs w:val="18"/>
      </w:rPr>
      <w:t xml:space="preserve"> </w:t>
    </w:r>
    <w:r>
      <w:rPr>
        <w:b/>
        <w:bCs/>
        <w:spacing w:val="-13"/>
        <w:sz w:val="18"/>
        <w:szCs w:val="18"/>
      </w:rPr>
      <w:t>共</w:t>
    </w:r>
    <w:r>
      <w:rPr>
        <w:spacing w:val="-39"/>
        <w:sz w:val="18"/>
        <w:szCs w:val="18"/>
      </w:rPr>
      <w:t xml:space="preserve"> </w:t>
    </w:r>
    <w:r>
      <w:rPr>
        <w:b/>
        <w:bCs/>
        <w:spacing w:val="-13"/>
        <w:sz w:val="18"/>
        <w:szCs w:val="18"/>
      </w:rPr>
      <w:t>499</w:t>
    </w:r>
    <w:r>
      <w:rPr>
        <w:spacing w:val="-13"/>
        <w:sz w:val="18"/>
        <w:szCs w:val="18"/>
      </w:rPr>
      <w:t xml:space="preserve"> </w:t>
    </w:r>
    <w:r>
      <w:rPr>
        <w:b/>
        <w:bCs/>
        <w:spacing w:val="-13"/>
        <w:sz w:val="18"/>
        <w:szCs w:val="18"/>
      </w:rPr>
      <w:t>页</w:t>
    </w:r>
  </w:p>
</w:ftr>
</file>

<file path=word/footer4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879569">
    <w:pPr>
      <w:spacing w:after="13" w:line="454" w:lineRule="exact"/>
    </w:pPr>
  </w:p>
  <w:p w14:paraId="53A3094F">
    <w:pPr>
      <w:pStyle w:val="2"/>
      <w:spacing w:line="207" w:lineRule="auto"/>
      <w:ind w:left="5067"/>
      <w:rPr>
        <w:sz w:val="18"/>
        <w:szCs w:val="18"/>
      </w:rPr>
    </w:pPr>
    <w:r>
      <w:rPr>
        <w:b/>
        <w:bCs/>
        <w:spacing w:val="-13"/>
        <w:sz w:val="18"/>
        <w:szCs w:val="18"/>
      </w:rPr>
      <w:t>第</w:t>
    </w:r>
    <w:r>
      <w:rPr>
        <w:spacing w:val="-28"/>
        <w:sz w:val="18"/>
        <w:szCs w:val="18"/>
      </w:rPr>
      <w:t xml:space="preserve"> </w:t>
    </w:r>
    <w:r>
      <w:rPr>
        <w:b/>
        <w:bCs/>
        <w:spacing w:val="-13"/>
        <w:sz w:val="18"/>
        <w:szCs w:val="18"/>
      </w:rPr>
      <w:t>479</w:t>
    </w:r>
    <w:r>
      <w:rPr>
        <w:spacing w:val="-13"/>
        <w:sz w:val="18"/>
        <w:szCs w:val="18"/>
      </w:rPr>
      <w:t xml:space="preserve"> </w:t>
    </w:r>
    <w:r>
      <w:rPr>
        <w:b/>
        <w:bCs/>
        <w:spacing w:val="-13"/>
        <w:sz w:val="18"/>
        <w:szCs w:val="18"/>
      </w:rPr>
      <w:t>页</w:t>
    </w:r>
    <w:r>
      <w:rPr>
        <w:spacing w:val="-27"/>
        <w:sz w:val="18"/>
        <w:szCs w:val="18"/>
      </w:rPr>
      <w:t xml:space="preserve"> </w:t>
    </w:r>
    <w:r>
      <w:rPr>
        <w:b/>
        <w:bCs/>
        <w:spacing w:val="-13"/>
        <w:sz w:val="18"/>
        <w:szCs w:val="18"/>
      </w:rPr>
      <w:t>共</w:t>
    </w:r>
    <w:r>
      <w:rPr>
        <w:spacing w:val="-39"/>
        <w:sz w:val="18"/>
        <w:szCs w:val="18"/>
      </w:rPr>
      <w:t xml:space="preserve"> </w:t>
    </w:r>
    <w:r>
      <w:rPr>
        <w:b/>
        <w:bCs/>
        <w:spacing w:val="-13"/>
        <w:sz w:val="18"/>
        <w:szCs w:val="18"/>
      </w:rPr>
      <w:t>499</w:t>
    </w:r>
    <w:r>
      <w:rPr>
        <w:spacing w:val="-13"/>
        <w:sz w:val="18"/>
        <w:szCs w:val="18"/>
      </w:rPr>
      <w:t xml:space="preserve"> </w:t>
    </w:r>
    <w:r>
      <w:rPr>
        <w:b/>
        <w:bCs/>
        <w:spacing w:val="-13"/>
        <w:sz w:val="18"/>
        <w:szCs w:val="18"/>
      </w:rPr>
      <w:t>页</w:t>
    </w:r>
  </w:p>
</w:ftr>
</file>

<file path=word/footer4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E73164">
    <w:pPr>
      <w:spacing w:after="13" w:line="454" w:lineRule="exact"/>
    </w:pPr>
  </w:p>
  <w:p w14:paraId="59C4F910">
    <w:pPr>
      <w:pStyle w:val="2"/>
      <w:spacing w:line="207" w:lineRule="auto"/>
      <w:ind w:left="5067"/>
      <w:rPr>
        <w:sz w:val="18"/>
        <w:szCs w:val="18"/>
      </w:rPr>
    </w:pPr>
    <w:r>
      <w:rPr>
        <w:b/>
        <w:bCs/>
        <w:spacing w:val="-13"/>
        <w:sz w:val="18"/>
        <w:szCs w:val="18"/>
      </w:rPr>
      <w:t>第</w:t>
    </w:r>
    <w:r>
      <w:rPr>
        <w:spacing w:val="-28"/>
        <w:sz w:val="18"/>
        <w:szCs w:val="18"/>
      </w:rPr>
      <w:t xml:space="preserve"> </w:t>
    </w:r>
    <w:r>
      <w:rPr>
        <w:b/>
        <w:bCs/>
        <w:spacing w:val="-13"/>
        <w:sz w:val="18"/>
        <w:szCs w:val="18"/>
      </w:rPr>
      <w:t>480</w:t>
    </w:r>
    <w:r>
      <w:rPr>
        <w:spacing w:val="-13"/>
        <w:sz w:val="18"/>
        <w:szCs w:val="18"/>
      </w:rPr>
      <w:t xml:space="preserve"> </w:t>
    </w:r>
    <w:r>
      <w:rPr>
        <w:b/>
        <w:bCs/>
        <w:spacing w:val="-13"/>
        <w:sz w:val="18"/>
        <w:szCs w:val="18"/>
      </w:rPr>
      <w:t>页</w:t>
    </w:r>
    <w:r>
      <w:rPr>
        <w:spacing w:val="-27"/>
        <w:sz w:val="18"/>
        <w:szCs w:val="18"/>
      </w:rPr>
      <w:t xml:space="preserve"> </w:t>
    </w:r>
    <w:r>
      <w:rPr>
        <w:b/>
        <w:bCs/>
        <w:spacing w:val="-13"/>
        <w:sz w:val="18"/>
        <w:szCs w:val="18"/>
      </w:rPr>
      <w:t>共</w:t>
    </w:r>
    <w:r>
      <w:rPr>
        <w:spacing w:val="-39"/>
        <w:sz w:val="18"/>
        <w:szCs w:val="18"/>
      </w:rPr>
      <w:t xml:space="preserve"> </w:t>
    </w:r>
    <w:r>
      <w:rPr>
        <w:b/>
        <w:bCs/>
        <w:spacing w:val="-13"/>
        <w:sz w:val="18"/>
        <w:szCs w:val="18"/>
      </w:rPr>
      <w:t>499</w:t>
    </w:r>
    <w:r>
      <w:rPr>
        <w:spacing w:val="-13"/>
        <w:sz w:val="18"/>
        <w:szCs w:val="18"/>
      </w:rPr>
      <w:t xml:space="preserve"> </w:t>
    </w:r>
    <w:r>
      <w:rPr>
        <w:b/>
        <w:bCs/>
        <w:spacing w:val="-13"/>
        <w:sz w:val="18"/>
        <w:szCs w:val="18"/>
      </w:rPr>
      <w:t>页</w:t>
    </w:r>
  </w:p>
</w:ftr>
</file>

<file path=word/footer4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F6C758">
    <w:pPr>
      <w:spacing w:after="13" w:line="454" w:lineRule="exact"/>
    </w:pPr>
  </w:p>
  <w:p w14:paraId="40CE87CC">
    <w:pPr>
      <w:pStyle w:val="2"/>
      <w:spacing w:line="207" w:lineRule="auto"/>
      <w:ind w:left="5067"/>
      <w:rPr>
        <w:sz w:val="18"/>
        <w:szCs w:val="18"/>
      </w:rPr>
    </w:pPr>
    <w:r>
      <w:rPr>
        <w:b/>
        <w:bCs/>
        <w:spacing w:val="-13"/>
        <w:sz w:val="18"/>
        <w:szCs w:val="18"/>
      </w:rPr>
      <w:t>第</w:t>
    </w:r>
    <w:r>
      <w:rPr>
        <w:spacing w:val="-28"/>
        <w:sz w:val="18"/>
        <w:szCs w:val="18"/>
      </w:rPr>
      <w:t xml:space="preserve"> </w:t>
    </w:r>
    <w:r>
      <w:rPr>
        <w:b/>
        <w:bCs/>
        <w:spacing w:val="-13"/>
        <w:sz w:val="18"/>
        <w:szCs w:val="18"/>
      </w:rPr>
      <w:t>481</w:t>
    </w:r>
    <w:r>
      <w:rPr>
        <w:spacing w:val="-13"/>
        <w:sz w:val="18"/>
        <w:szCs w:val="18"/>
      </w:rPr>
      <w:t xml:space="preserve"> </w:t>
    </w:r>
    <w:r>
      <w:rPr>
        <w:b/>
        <w:bCs/>
        <w:spacing w:val="-13"/>
        <w:sz w:val="18"/>
        <w:szCs w:val="18"/>
      </w:rPr>
      <w:t>页</w:t>
    </w:r>
    <w:r>
      <w:rPr>
        <w:spacing w:val="-27"/>
        <w:sz w:val="18"/>
        <w:szCs w:val="18"/>
      </w:rPr>
      <w:t xml:space="preserve"> </w:t>
    </w:r>
    <w:r>
      <w:rPr>
        <w:b/>
        <w:bCs/>
        <w:spacing w:val="-13"/>
        <w:sz w:val="18"/>
        <w:szCs w:val="18"/>
      </w:rPr>
      <w:t>共</w:t>
    </w:r>
    <w:r>
      <w:rPr>
        <w:spacing w:val="-39"/>
        <w:sz w:val="18"/>
        <w:szCs w:val="18"/>
      </w:rPr>
      <w:t xml:space="preserve"> </w:t>
    </w:r>
    <w:r>
      <w:rPr>
        <w:b/>
        <w:bCs/>
        <w:spacing w:val="-13"/>
        <w:sz w:val="18"/>
        <w:szCs w:val="18"/>
      </w:rPr>
      <w:t>499</w:t>
    </w:r>
    <w:r>
      <w:rPr>
        <w:spacing w:val="-13"/>
        <w:sz w:val="18"/>
        <w:szCs w:val="18"/>
      </w:rPr>
      <w:t xml:space="preserve"> </w:t>
    </w:r>
    <w:r>
      <w:rPr>
        <w:b/>
        <w:bCs/>
        <w:spacing w:val="-13"/>
        <w:sz w:val="18"/>
        <w:szCs w:val="18"/>
      </w:rPr>
      <w:t>页</w:t>
    </w:r>
  </w:p>
</w:ftr>
</file>

<file path=word/footer4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7EC5FE">
    <w:pPr>
      <w:spacing w:after="13" w:line="454" w:lineRule="exact"/>
    </w:pPr>
  </w:p>
  <w:p w14:paraId="30BFA175">
    <w:pPr>
      <w:pStyle w:val="2"/>
      <w:spacing w:line="207" w:lineRule="auto"/>
      <w:ind w:left="5067"/>
      <w:rPr>
        <w:sz w:val="18"/>
        <w:szCs w:val="18"/>
      </w:rPr>
    </w:pPr>
    <w:r>
      <w:rPr>
        <w:b/>
        <w:bCs/>
        <w:spacing w:val="-13"/>
        <w:sz w:val="18"/>
        <w:szCs w:val="18"/>
      </w:rPr>
      <w:t>第</w:t>
    </w:r>
    <w:r>
      <w:rPr>
        <w:spacing w:val="-28"/>
        <w:sz w:val="18"/>
        <w:szCs w:val="18"/>
      </w:rPr>
      <w:t xml:space="preserve"> </w:t>
    </w:r>
    <w:r>
      <w:rPr>
        <w:b/>
        <w:bCs/>
        <w:spacing w:val="-13"/>
        <w:sz w:val="18"/>
        <w:szCs w:val="18"/>
      </w:rPr>
      <w:t>482</w:t>
    </w:r>
    <w:r>
      <w:rPr>
        <w:spacing w:val="-13"/>
        <w:sz w:val="18"/>
        <w:szCs w:val="18"/>
      </w:rPr>
      <w:t xml:space="preserve"> </w:t>
    </w:r>
    <w:r>
      <w:rPr>
        <w:b/>
        <w:bCs/>
        <w:spacing w:val="-13"/>
        <w:sz w:val="18"/>
        <w:szCs w:val="18"/>
      </w:rPr>
      <w:t>页</w:t>
    </w:r>
    <w:r>
      <w:rPr>
        <w:spacing w:val="-27"/>
        <w:sz w:val="18"/>
        <w:szCs w:val="18"/>
      </w:rPr>
      <w:t xml:space="preserve"> </w:t>
    </w:r>
    <w:r>
      <w:rPr>
        <w:b/>
        <w:bCs/>
        <w:spacing w:val="-13"/>
        <w:sz w:val="18"/>
        <w:szCs w:val="18"/>
      </w:rPr>
      <w:t>共</w:t>
    </w:r>
    <w:r>
      <w:rPr>
        <w:spacing w:val="-39"/>
        <w:sz w:val="18"/>
        <w:szCs w:val="18"/>
      </w:rPr>
      <w:t xml:space="preserve"> </w:t>
    </w:r>
    <w:r>
      <w:rPr>
        <w:b/>
        <w:bCs/>
        <w:spacing w:val="-13"/>
        <w:sz w:val="18"/>
        <w:szCs w:val="18"/>
      </w:rPr>
      <w:t>499</w:t>
    </w:r>
    <w:r>
      <w:rPr>
        <w:spacing w:val="-13"/>
        <w:sz w:val="18"/>
        <w:szCs w:val="18"/>
      </w:rPr>
      <w:t xml:space="preserve"> </w:t>
    </w:r>
    <w:r>
      <w:rPr>
        <w:b/>
        <w:bCs/>
        <w:spacing w:val="-13"/>
        <w:sz w:val="18"/>
        <w:szCs w:val="18"/>
      </w:rPr>
      <w:t>页</w:t>
    </w:r>
  </w:p>
</w:ftr>
</file>

<file path=word/footer4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75DC34">
    <w:pPr>
      <w:spacing w:after="13" w:line="454" w:lineRule="exact"/>
    </w:pPr>
  </w:p>
  <w:p w14:paraId="2ECCD730">
    <w:pPr>
      <w:pStyle w:val="2"/>
      <w:spacing w:line="207" w:lineRule="auto"/>
      <w:ind w:left="5067"/>
      <w:rPr>
        <w:sz w:val="18"/>
        <w:szCs w:val="18"/>
      </w:rPr>
    </w:pPr>
    <w:r>
      <w:rPr>
        <w:b/>
        <w:bCs/>
        <w:spacing w:val="-13"/>
        <w:sz w:val="18"/>
        <w:szCs w:val="18"/>
      </w:rPr>
      <w:t>第</w:t>
    </w:r>
    <w:r>
      <w:rPr>
        <w:spacing w:val="-28"/>
        <w:sz w:val="18"/>
        <w:szCs w:val="18"/>
      </w:rPr>
      <w:t xml:space="preserve"> </w:t>
    </w:r>
    <w:r>
      <w:rPr>
        <w:b/>
        <w:bCs/>
        <w:spacing w:val="-13"/>
        <w:sz w:val="18"/>
        <w:szCs w:val="18"/>
      </w:rPr>
      <w:t>483</w:t>
    </w:r>
    <w:r>
      <w:rPr>
        <w:spacing w:val="-13"/>
        <w:sz w:val="18"/>
        <w:szCs w:val="18"/>
      </w:rPr>
      <w:t xml:space="preserve"> </w:t>
    </w:r>
    <w:r>
      <w:rPr>
        <w:b/>
        <w:bCs/>
        <w:spacing w:val="-13"/>
        <w:sz w:val="18"/>
        <w:szCs w:val="18"/>
      </w:rPr>
      <w:t>页</w:t>
    </w:r>
    <w:r>
      <w:rPr>
        <w:spacing w:val="-27"/>
        <w:sz w:val="18"/>
        <w:szCs w:val="18"/>
      </w:rPr>
      <w:t xml:space="preserve"> </w:t>
    </w:r>
    <w:r>
      <w:rPr>
        <w:b/>
        <w:bCs/>
        <w:spacing w:val="-13"/>
        <w:sz w:val="18"/>
        <w:szCs w:val="18"/>
      </w:rPr>
      <w:t>共</w:t>
    </w:r>
    <w:r>
      <w:rPr>
        <w:spacing w:val="-39"/>
        <w:sz w:val="18"/>
        <w:szCs w:val="18"/>
      </w:rPr>
      <w:t xml:space="preserve"> </w:t>
    </w:r>
    <w:r>
      <w:rPr>
        <w:b/>
        <w:bCs/>
        <w:spacing w:val="-13"/>
        <w:sz w:val="18"/>
        <w:szCs w:val="18"/>
      </w:rPr>
      <w:t>499</w:t>
    </w:r>
    <w:r>
      <w:rPr>
        <w:spacing w:val="-13"/>
        <w:sz w:val="18"/>
        <w:szCs w:val="18"/>
      </w:rPr>
      <w:t xml:space="preserve"> </w:t>
    </w:r>
    <w:r>
      <w:rPr>
        <w:b/>
        <w:bCs/>
        <w:spacing w:val="-13"/>
        <w:sz w:val="18"/>
        <w:szCs w:val="18"/>
      </w:rPr>
      <w:t>页</w:t>
    </w:r>
  </w:p>
</w:ftr>
</file>

<file path=word/footer4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F5B321">
    <w:pPr>
      <w:spacing w:after="13" w:line="454" w:lineRule="exact"/>
    </w:pPr>
  </w:p>
  <w:p w14:paraId="63814D0C">
    <w:pPr>
      <w:pStyle w:val="2"/>
      <w:spacing w:line="207" w:lineRule="auto"/>
      <w:ind w:left="5067"/>
      <w:rPr>
        <w:sz w:val="18"/>
        <w:szCs w:val="18"/>
      </w:rPr>
    </w:pPr>
    <w:r>
      <w:rPr>
        <w:b/>
        <w:bCs/>
        <w:spacing w:val="-13"/>
        <w:sz w:val="18"/>
        <w:szCs w:val="18"/>
      </w:rPr>
      <w:t>第</w:t>
    </w:r>
    <w:r>
      <w:rPr>
        <w:spacing w:val="-28"/>
        <w:sz w:val="18"/>
        <w:szCs w:val="18"/>
      </w:rPr>
      <w:t xml:space="preserve"> </w:t>
    </w:r>
    <w:r>
      <w:rPr>
        <w:b/>
        <w:bCs/>
        <w:spacing w:val="-13"/>
        <w:sz w:val="18"/>
        <w:szCs w:val="18"/>
      </w:rPr>
      <w:t>484</w:t>
    </w:r>
    <w:r>
      <w:rPr>
        <w:spacing w:val="-13"/>
        <w:sz w:val="18"/>
        <w:szCs w:val="18"/>
      </w:rPr>
      <w:t xml:space="preserve"> </w:t>
    </w:r>
    <w:r>
      <w:rPr>
        <w:b/>
        <w:bCs/>
        <w:spacing w:val="-13"/>
        <w:sz w:val="18"/>
        <w:szCs w:val="18"/>
      </w:rPr>
      <w:t>页</w:t>
    </w:r>
    <w:r>
      <w:rPr>
        <w:spacing w:val="-27"/>
        <w:sz w:val="18"/>
        <w:szCs w:val="18"/>
      </w:rPr>
      <w:t xml:space="preserve"> </w:t>
    </w:r>
    <w:r>
      <w:rPr>
        <w:b/>
        <w:bCs/>
        <w:spacing w:val="-13"/>
        <w:sz w:val="18"/>
        <w:szCs w:val="18"/>
      </w:rPr>
      <w:t>共</w:t>
    </w:r>
    <w:r>
      <w:rPr>
        <w:spacing w:val="-39"/>
        <w:sz w:val="18"/>
        <w:szCs w:val="18"/>
      </w:rPr>
      <w:t xml:space="preserve"> </w:t>
    </w:r>
    <w:r>
      <w:rPr>
        <w:b/>
        <w:bCs/>
        <w:spacing w:val="-13"/>
        <w:sz w:val="18"/>
        <w:szCs w:val="18"/>
      </w:rPr>
      <w:t>499</w:t>
    </w:r>
    <w:r>
      <w:rPr>
        <w:spacing w:val="-13"/>
        <w:sz w:val="18"/>
        <w:szCs w:val="18"/>
      </w:rPr>
      <w:t xml:space="preserve"> </w:t>
    </w:r>
    <w:r>
      <w:rPr>
        <w:b/>
        <w:bCs/>
        <w:spacing w:val="-13"/>
        <w:sz w:val="18"/>
        <w:szCs w:val="18"/>
      </w:rPr>
      <w:t>页</w:t>
    </w:r>
  </w:p>
</w:ftr>
</file>

<file path=word/footer4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E0F9FD">
    <w:pPr>
      <w:spacing w:after="13" w:line="454" w:lineRule="exact"/>
    </w:pPr>
  </w:p>
  <w:p w14:paraId="4894E750">
    <w:pPr>
      <w:pStyle w:val="2"/>
      <w:spacing w:line="207" w:lineRule="auto"/>
      <w:ind w:left="5067"/>
      <w:rPr>
        <w:sz w:val="18"/>
        <w:szCs w:val="18"/>
      </w:rPr>
    </w:pPr>
    <w:r>
      <w:rPr>
        <w:b/>
        <w:bCs/>
        <w:spacing w:val="-13"/>
        <w:sz w:val="18"/>
        <w:szCs w:val="18"/>
      </w:rPr>
      <w:t>第</w:t>
    </w:r>
    <w:r>
      <w:rPr>
        <w:spacing w:val="-28"/>
        <w:sz w:val="18"/>
        <w:szCs w:val="18"/>
      </w:rPr>
      <w:t xml:space="preserve"> </w:t>
    </w:r>
    <w:r>
      <w:rPr>
        <w:b/>
        <w:bCs/>
        <w:spacing w:val="-13"/>
        <w:sz w:val="18"/>
        <w:szCs w:val="18"/>
      </w:rPr>
      <w:t>485</w:t>
    </w:r>
    <w:r>
      <w:rPr>
        <w:spacing w:val="-13"/>
        <w:sz w:val="18"/>
        <w:szCs w:val="18"/>
      </w:rPr>
      <w:t xml:space="preserve"> </w:t>
    </w:r>
    <w:r>
      <w:rPr>
        <w:b/>
        <w:bCs/>
        <w:spacing w:val="-13"/>
        <w:sz w:val="18"/>
        <w:szCs w:val="18"/>
      </w:rPr>
      <w:t>页</w:t>
    </w:r>
    <w:r>
      <w:rPr>
        <w:spacing w:val="-27"/>
        <w:sz w:val="18"/>
        <w:szCs w:val="18"/>
      </w:rPr>
      <w:t xml:space="preserve"> </w:t>
    </w:r>
    <w:r>
      <w:rPr>
        <w:b/>
        <w:bCs/>
        <w:spacing w:val="-13"/>
        <w:sz w:val="18"/>
        <w:szCs w:val="18"/>
      </w:rPr>
      <w:t>共</w:t>
    </w:r>
    <w:r>
      <w:rPr>
        <w:spacing w:val="-39"/>
        <w:sz w:val="18"/>
        <w:szCs w:val="18"/>
      </w:rPr>
      <w:t xml:space="preserve"> </w:t>
    </w:r>
    <w:r>
      <w:rPr>
        <w:b/>
        <w:bCs/>
        <w:spacing w:val="-13"/>
        <w:sz w:val="18"/>
        <w:szCs w:val="18"/>
      </w:rPr>
      <w:t>499</w:t>
    </w:r>
    <w:r>
      <w:rPr>
        <w:spacing w:val="-13"/>
        <w:sz w:val="18"/>
        <w:szCs w:val="18"/>
      </w:rPr>
      <w:t xml:space="preserve"> </w:t>
    </w:r>
    <w:r>
      <w:rPr>
        <w:b/>
        <w:bCs/>
        <w:spacing w:val="-13"/>
        <w:sz w:val="18"/>
        <w:szCs w:val="18"/>
      </w:rPr>
      <w:t>页</w:t>
    </w:r>
  </w:p>
</w:ftr>
</file>

<file path=word/footer4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D7E29C">
    <w:pPr>
      <w:spacing w:after="13" w:line="454" w:lineRule="exact"/>
    </w:pPr>
  </w:p>
  <w:p w14:paraId="4CDABE97">
    <w:pPr>
      <w:pStyle w:val="2"/>
      <w:spacing w:line="207" w:lineRule="auto"/>
      <w:ind w:left="5067"/>
      <w:rPr>
        <w:sz w:val="18"/>
        <w:szCs w:val="18"/>
      </w:rPr>
    </w:pPr>
    <w:r>
      <w:rPr>
        <w:b/>
        <w:bCs/>
        <w:spacing w:val="-13"/>
        <w:sz w:val="18"/>
        <w:szCs w:val="18"/>
      </w:rPr>
      <w:t>第</w:t>
    </w:r>
    <w:r>
      <w:rPr>
        <w:spacing w:val="-28"/>
        <w:sz w:val="18"/>
        <w:szCs w:val="18"/>
      </w:rPr>
      <w:t xml:space="preserve"> </w:t>
    </w:r>
    <w:r>
      <w:rPr>
        <w:b/>
        <w:bCs/>
        <w:spacing w:val="-13"/>
        <w:sz w:val="18"/>
        <w:szCs w:val="18"/>
      </w:rPr>
      <w:t>486</w:t>
    </w:r>
    <w:r>
      <w:rPr>
        <w:spacing w:val="-13"/>
        <w:sz w:val="18"/>
        <w:szCs w:val="18"/>
      </w:rPr>
      <w:t xml:space="preserve"> </w:t>
    </w:r>
    <w:r>
      <w:rPr>
        <w:b/>
        <w:bCs/>
        <w:spacing w:val="-13"/>
        <w:sz w:val="18"/>
        <w:szCs w:val="18"/>
      </w:rPr>
      <w:t>页</w:t>
    </w:r>
    <w:r>
      <w:rPr>
        <w:spacing w:val="-27"/>
        <w:sz w:val="18"/>
        <w:szCs w:val="18"/>
      </w:rPr>
      <w:t xml:space="preserve"> </w:t>
    </w:r>
    <w:r>
      <w:rPr>
        <w:b/>
        <w:bCs/>
        <w:spacing w:val="-13"/>
        <w:sz w:val="18"/>
        <w:szCs w:val="18"/>
      </w:rPr>
      <w:t>共</w:t>
    </w:r>
    <w:r>
      <w:rPr>
        <w:spacing w:val="-39"/>
        <w:sz w:val="18"/>
        <w:szCs w:val="18"/>
      </w:rPr>
      <w:t xml:space="preserve"> </w:t>
    </w:r>
    <w:r>
      <w:rPr>
        <w:b/>
        <w:bCs/>
        <w:spacing w:val="-13"/>
        <w:sz w:val="18"/>
        <w:szCs w:val="18"/>
      </w:rPr>
      <w:t>499</w:t>
    </w:r>
    <w:r>
      <w:rPr>
        <w:spacing w:val="-13"/>
        <w:sz w:val="18"/>
        <w:szCs w:val="18"/>
      </w:rPr>
      <w:t xml:space="preserve"> </w:t>
    </w:r>
    <w:r>
      <w:rPr>
        <w:b/>
        <w:bCs/>
        <w:spacing w:val="-13"/>
        <w:sz w:val="18"/>
        <w:szCs w:val="18"/>
      </w:rPr>
      <w:t>页</w:t>
    </w:r>
  </w:p>
</w:ftr>
</file>

<file path=word/footer4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D069F3">
    <w:pPr>
      <w:spacing w:after="13" w:line="454" w:lineRule="exact"/>
    </w:pPr>
  </w:p>
  <w:p w14:paraId="7969B75D">
    <w:pPr>
      <w:pStyle w:val="2"/>
      <w:spacing w:line="207" w:lineRule="auto"/>
      <w:ind w:left="5067"/>
      <w:rPr>
        <w:sz w:val="18"/>
        <w:szCs w:val="18"/>
      </w:rPr>
    </w:pPr>
    <w:r>
      <w:rPr>
        <w:b/>
        <w:bCs/>
        <w:spacing w:val="-13"/>
        <w:sz w:val="18"/>
        <w:szCs w:val="18"/>
      </w:rPr>
      <w:t>第</w:t>
    </w:r>
    <w:r>
      <w:rPr>
        <w:spacing w:val="-28"/>
        <w:sz w:val="18"/>
        <w:szCs w:val="18"/>
      </w:rPr>
      <w:t xml:space="preserve"> </w:t>
    </w:r>
    <w:r>
      <w:rPr>
        <w:b/>
        <w:bCs/>
        <w:spacing w:val="-13"/>
        <w:sz w:val="18"/>
        <w:szCs w:val="18"/>
      </w:rPr>
      <w:t>487</w:t>
    </w:r>
    <w:r>
      <w:rPr>
        <w:spacing w:val="-13"/>
        <w:sz w:val="18"/>
        <w:szCs w:val="18"/>
      </w:rPr>
      <w:t xml:space="preserve"> </w:t>
    </w:r>
    <w:r>
      <w:rPr>
        <w:b/>
        <w:bCs/>
        <w:spacing w:val="-13"/>
        <w:sz w:val="18"/>
        <w:szCs w:val="18"/>
      </w:rPr>
      <w:t>页</w:t>
    </w:r>
    <w:r>
      <w:rPr>
        <w:spacing w:val="-27"/>
        <w:sz w:val="18"/>
        <w:szCs w:val="18"/>
      </w:rPr>
      <w:t xml:space="preserve"> </w:t>
    </w:r>
    <w:r>
      <w:rPr>
        <w:b/>
        <w:bCs/>
        <w:spacing w:val="-13"/>
        <w:sz w:val="18"/>
        <w:szCs w:val="18"/>
      </w:rPr>
      <w:t>共</w:t>
    </w:r>
    <w:r>
      <w:rPr>
        <w:spacing w:val="-39"/>
        <w:sz w:val="18"/>
        <w:szCs w:val="18"/>
      </w:rPr>
      <w:t xml:space="preserve"> </w:t>
    </w:r>
    <w:r>
      <w:rPr>
        <w:b/>
        <w:bCs/>
        <w:spacing w:val="-13"/>
        <w:sz w:val="18"/>
        <w:szCs w:val="18"/>
      </w:rPr>
      <w:t>499</w:t>
    </w:r>
    <w:r>
      <w:rPr>
        <w:spacing w:val="-13"/>
        <w:sz w:val="18"/>
        <w:szCs w:val="18"/>
      </w:rPr>
      <w:t xml:space="preserve"> </w:t>
    </w:r>
    <w:r>
      <w:rPr>
        <w:b/>
        <w:bCs/>
        <w:spacing w:val="-13"/>
        <w:sz w:val="18"/>
        <w:szCs w:val="18"/>
      </w:rPr>
      <w:t>页</w: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4E4154">
    <w:pPr>
      <w:spacing w:after="13" w:line="454" w:lineRule="exact"/>
    </w:pPr>
  </w:p>
  <w:p w14:paraId="2DD27F2C">
    <w:pPr>
      <w:pStyle w:val="2"/>
      <w:spacing w:line="207" w:lineRule="auto"/>
      <w:ind w:left="5106"/>
      <w:rPr>
        <w:sz w:val="18"/>
        <w:szCs w:val="18"/>
      </w:rPr>
    </w:pPr>
    <w:r>
      <w:rPr>
        <w:b/>
        <w:bCs/>
        <w:spacing w:val="-13"/>
        <w:sz w:val="18"/>
        <w:szCs w:val="18"/>
      </w:rPr>
      <w:t>第</w:t>
    </w:r>
    <w:r>
      <w:rPr>
        <w:spacing w:val="-28"/>
        <w:sz w:val="18"/>
        <w:szCs w:val="18"/>
      </w:rPr>
      <w:t xml:space="preserve"> </w:t>
    </w:r>
    <w:r>
      <w:rPr>
        <w:b/>
        <w:bCs/>
        <w:spacing w:val="-13"/>
        <w:sz w:val="18"/>
        <w:szCs w:val="18"/>
      </w:rPr>
      <w:t>70</w:t>
    </w:r>
    <w:r>
      <w:rPr>
        <w:spacing w:val="-13"/>
        <w:sz w:val="18"/>
        <w:szCs w:val="18"/>
      </w:rPr>
      <w:t xml:space="preserve"> </w:t>
    </w:r>
    <w:r>
      <w:rPr>
        <w:b/>
        <w:bCs/>
        <w:spacing w:val="-13"/>
        <w:sz w:val="18"/>
        <w:szCs w:val="18"/>
      </w:rPr>
      <w:t>页</w:t>
    </w:r>
    <w:r>
      <w:rPr>
        <w:spacing w:val="-28"/>
        <w:sz w:val="18"/>
        <w:szCs w:val="18"/>
      </w:rPr>
      <w:t xml:space="preserve"> </w:t>
    </w:r>
    <w:r>
      <w:rPr>
        <w:b/>
        <w:bCs/>
        <w:spacing w:val="-13"/>
        <w:sz w:val="18"/>
        <w:szCs w:val="18"/>
      </w:rPr>
      <w:t>共</w:t>
    </w:r>
    <w:r>
      <w:rPr>
        <w:spacing w:val="-38"/>
        <w:sz w:val="18"/>
        <w:szCs w:val="18"/>
      </w:rPr>
      <w:t xml:space="preserve"> </w:t>
    </w:r>
    <w:r>
      <w:rPr>
        <w:b/>
        <w:bCs/>
        <w:spacing w:val="-13"/>
        <w:sz w:val="18"/>
        <w:szCs w:val="18"/>
      </w:rPr>
      <w:t>499</w:t>
    </w:r>
    <w:r>
      <w:rPr>
        <w:spacing w:val="-13"/>
        <w:sz w:val="18"/>
        <w:szCs w:val="18"/>
      </w:rPr>
      <w:t xml:space="preserve"> </w:t>
    </w:r>
    <w:r>
      <w:rPr>
        <w:b/>
        <w:bCs/>
        <w:spacing w:val="-13"/>
        <w:sz w:val="18"/>
        <w:szCs w:val="18"/>
      </w:rPr>
      <w:t>页</w:t>
    </w:r>
  </w:p>
</w:ftr>
</file>

<file path=word/footer4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DCBC5C">
    <w:pPr>
      <w:spacing w:after="13" w:line="454" w:lineRule="exact"/>
    </w:pPr>
  </w:p>
  <w:p w14:paraId="5A51A252">
    <w:pPr>
      <w:pStyle w:val="2"/>
      <w:spacing w:line="207" w:lineRule="auto"/>
      <w:ind w:left="5067"/>
      <w:rPr>
        <w:sz w:val="18"/>
        <w:szCs w:val="18"/>
      </w:rPr>
    </w:pPr>
    <w:r>
      <w:rPr>
        <w:b/>
        <w:bCs/>
        <w:spacing w:val="-13"/>
        <w:sz w:val="18"/>
        <w:szCs w:val="18"/>
      </w:rPr>
      <w:t>第</w:t>
    </w:r>
    <w:r>
      <w:rPr>
        <w:spacing w:val="-28"/>
        <w:sz w:val="18"/>
        <w:szCs w:val="18"/>
      </w:rPr>
      <w:t xml:space="preserve"> </w:t>
    </w:r>
    <w:r>
      <w:rPr>
        <w:b/>
        <w:bCs/>
        <w:spacing w:val="-13"/>
        <w:sz w:val="18"/>
        <w:szCs w:val="18"/>
      </w:rPr>
      <w:t>488</w:t>
    </w:r>
    <w:r>
      <w:rPr>
        <w:spacing w:val="-13"/>
        <w:sz w:val="18"/>
        <w:szCs w:val="18"/>
      </w:rPr>
      <w:t xml:space="preserve"> </w:t>
    </w:r>
    <w:r>
      <w:rPr>
        <w:b/>
        <w:bCs/>
        <w:spacing w:val="-13"/>
        <w:sz w:val="18"/>
        <w:szCs w:val="18"/>
      </w:rPr>
      <w:t>页</w:t>
    </w:r>
    <w:r>
      <w:rPr>
        <w:spacing w:val="-27"/>
        <w:sz w:val="18"/>
        <w:szCs w:val="18"/>
      </w:rPr>
      <w:t xml:space="preserve"> </w:t>
    </w:r>
    <w:r>
      <w:rPr>
        <w:b/>
        <w:bCs/>
        <w:spacing w:val="-13"/>
        <w:sz w:val="18"/>
        <w:szCs w:val="18"/>
      </w:rPr>
      <w:t>共</w:t>
    </w:r>
    <w:r>
      <w:rPr>
        <w:spacing w:val="-39"/>
        <w:sz w:val="18"/>
        <w:szCs w:val="18"/>
      </w:rPr>
      <w:t xml:space="preserve"> </w:t>
    </w:r>
    <w:r>
      <w:rPr>
        <w:b/>
        <w:bCs/>
        <w:spacing w:val="-13"/>
        <w:sz w:val="18"/>
        <w:szCs w:val="18"/>
      </w:rPr>
      <w:t>499</w:t>
    </w:r>
    <w:r>
      <w:rPr>
        <w:spacing w:val="-13"/>
        <w:sz w:val="18"/>
        <w:szCs w:val="18"/>
      </w:rPr>
      <w:t xml:space="preserve"> </w:t>
    </w:r>
    <w:r>
      <w:rPr>
        <w:b/>
        <w:bCs/>
        <w:spacing w:val="-13"/>
        <w:sz w:val="18"/>
        <w:szCs w:val="18"/>
      </w:rPr>
      <w:t>页</w:t>
    </w:r>
  </w:p>
</w:ftr>
</file>

<file path=word/footer4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CE6CA6">
    <w:pPr>
      <w:spacing w:after="13" w:line="454" w:lineRule="exact"/>
    </w:pPr>
  </w:p>
  <w:p w14:paraId="0516398B">
    <w:pPr>
      <w:pStyle w:val="2"/>
      <w:spacing w:line="207" w:lineRule="auto"/>
      <w:ind w:left="5067"/>
      <w:rPr>
        <w:sz w:val="18"/>
        <w:szCs w:val="18"/>
      </w:rPr>
    </w:pPr>
    <w:r>
      <w:rPr>
        <w:b/>
        <w:bCs/>
        <w:spacing w:val="-13"/>
        <w:sz w:val="18"/>
        <w:szCs w:val="18"/>
      </w:rPr>
      <w:t>第</w:t>
    </w:r>
    <w:r>
      <w:rPr>
        <w:spacing w:val="-28"/>
        <w:sz w:val="18"/>
        <w:szCs w:val="18"/>
      </w:rPr>
      <w:t xml:space="preserve"> </w:t>
    </w:r>
    <w:r>
      <w:rPr>
        <w:b/>
        <w:bCs/>
        <w:spacing w:val="-13"/>
        <w:sz w:val="18"/>
        <w:szCs w:val="18"/>
      </w:rPr>
      <w:t>489</w:t>
    </w:r>
    <w:r>
      <w:rPr>
        <w:spacing w:val="-13"/>
        <w:sz w:val="18"/>
        <w:szCs w:val="18"/>
      </w:rPr>
      <w:t xml:space="preserve"> </w:t>
    </w:r>
    <w:r>
      <w:rPr>
        <w:b/>
        <w:bCs/>
        <w:spacing w:val="-13"/>
        <w:sz w:val="18"/>
        <w:szCs w:val="18"/>
      </w:rPr>
      <w:t>页</w:t>
    </w:r>
    <w:r>
      <w:rPr>
        <w:spacing w:val="-27"/>
        <w:sz w:val="18"/>
        <w:szCs w:val="18"/>
      </w:rPr>
      <w:t xml:space="preserve"> </w:t>
    </w:r>
    <w:r>
      <w:rPr>
        <w:b/>
        <w:bCs/>
        <w:spacing w:val="-13"/>
        <w:sz w:val="18"/>
        <w:szCs w:val="18"/>
      </w:rPr>
      <w:t>共</w:t>
    </w:r>
    <w:r>
      <w:rPr>
        <w:spacing w:val="-39"/>
        <w:sz w:val="18"/>
        <w:szCs w:val="18"/>
      </w:rPr>
      <w:t xml:space="preserve"> </w:t>
    </w:r>
    <w:r>
      <w:rPr>
        <w:b/>
        <w:bCs/>
        <w:spacing w:val="-13"/>
        <w:sz w:val="18"/>
        <w:szCs w:val="18"/>
      </w:rPr>
      <w:t>499</w:t>
    </w:r>
    <w:r>
      <w:rPr>
        <w:spacing w:val="-13"/>
        <w:sz w:val="18"/>
        <w:szCs w:val="18"/>
      </w:rPr>
      <w:t xml:space="preserve"> </w:t>
    </w:r>
    <w:r>
      <w:rPr>
        <w:b/>
        <w:bCs/>
        <w:spacing w:val="-13"/>
        <w:sz w:val="18"/>
        <w:szCs w:val="18"/>
      </w:rPr>
      <w:t>页</w:t>
    </w:r>
  </w:p>
</w:ftr>
</file>

<file path=word/footer4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2F5259">
    <w:pPr>
      <w:spacing w:after="13" w:line="454" w:lineRule="exact"/>
    </w:pPr>
  </w:p>
  <w:p w14:paraId="0B2590FD">
    <w:pPr>
      <w:pStyle w:val="2"/>
      <w:spacing w:line="207" w:lineRule="auto"/>
      <w:ind w:left="5067"/>
      <w:rPr>
        <w:sz w:val="18"/>
        <w:szCs w:val="18"/>
      </w:rPr>
    </w:pPr>
    <w:r>
      <w:rPr>
        <w:b/>
        <w:bCs/>
        <w:spacing w:val="-13"/>
        <w:sz w:val="18"/>
        <w:szCs w:val="18"/>
      </w:rPr>
      <w:t>第</w:t>
    </w:r>
    <w:r>
      <w:rPr>
        <w:spacing w:val="-28"/>
        <w:sz w:val="18"/>
        <w:szCs w:val="18"/>
      </w:rPr>
      <w:t xml:space="preserve"> </w:t>
    </w:r>
    <w:r>
      <w:rPr>
        <w:b/>
        <w:bCs/>
        <w:spacing w:val="-13"/>
        <w:sz w:val="18"/>
        <w:szCs w:val="18"/>
      </w:rPr>
      <w:t>490</w:t>
    </w:r>
    <w:r>
      <w:rPr>
        <w:spacing w:val="-13"/>
        <w:sz w:val="18"/>
        <w:szCs w:val="18"/>
      </w:rPr>
      <w:t xml:space="preserve"> </w:t>
    </w:r>
    <w:r>
      <w:rPr>
        <w:b/>
        <w:bCs/>
        <w:spacing w:val="-13"/>
        <w:sz w:val="18"/>
        <w:szCs w:val="18"/>
      </w:rPr>
      <w:t>页</w:t>
    </w:r>
    <w:r>
      <w:rPr>
        <w:spacing w:val="-27"/>
        <w:sz w:val="18"/>
        <w:szCs w:val="18"/>
      </w:rPr>
      <w:t xml:space="preserve"> </w:t>
    </w:r>
    <w:r>
      <w:rPr>
        <w:b/>
        <w:bCs/>
        <w:spacing w:val="-13"/>
        <w:sz w:val="18"/>
        <w:szCs w:val="18"/>
      </w:rPr>
      <w:t>共</w:t>
    </w:r>
    <w:r>
      <w:rPr>
        <w:spacing w:val="-39"/>
        <w:sz w:val="18"/>
        <w:szCs w:val="18"/>
      </w:rPr>
      <w:t xml:space="preserve"> </w:t>
    </w:r>
    <w:r>
      <w:rPr>
        <w:b/>
        <w:bCs/>
        <w:spacing w:val="-13"/>
        <w:sz w:val="18"/>
        <w:szCs w:val="18"/>
      </w:rPr>
      <w:t>499</w:t>
    </w:r>
    <w:r>
      <w:rPr>
        <w:spacing w:val="-13"/>
        <w:sz w:val="18"/>
        <w:szCs w:val="18"/>
      </w:rPr>
      <w:t xml:space="preserve"> </w:t>
    </w:r>
    <w:r>
      <w:rPr>
        <w:b/>
        <w:bCs/>
        <w:spacing w:val="-13"/>
        <w:sz w:val="18"/>
        <w:szCs w:val="18"/>
      </w:rPr>
      <w:t>页</w:t>
    </w:r>
  </w:p>
</w:ftr>
</file>

<file path=word/footer4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D8C293">
    <w:pPr>
      <w:spacing w:after="13" w:line="454" w:lineRule="exact"/>
    </w:pPr>
  </w:p>
  <w:p w14:paraId="4510DD2C">
    <w:pPr>
      <w:pStyle w:val="2"/>
      <w:spacing w:line="207" w:lineRule="auto"/>
      <w:ind w:left="5067"/>
      <w:rPr>
        <w:sz w:val="18"/>
        <w:szCs w:val="18"/>
      </w:rPr>
    </w:pPr>
    <w:r>
      <w:rPr>
        <w:b/>
        <w:bCs/>
        <w:spacing w:val="-13"/>
        <w:sz w:val="18"/>
        <w:szCs w:val="18"/>
      </w:rPr>
      <w:t>第</w:t>
    </w:r>
    <w:r>
      <w:rPr>
        <w:spacing w:val="-28"/>
        <w:sz w:val="18"/>
        <w:szCs w:val="18"/>
      </w:rPr>
      <w:t xml:space="preserve"> </w:t>
    </w:r>
    <w:r>
      <w:rPr>
        <w:b/>
        <w:bCs/>
        <w:spacing w:val="-13"/>
        <w:sz w:val="18"/>
        <w:szCs w:val="18"/>
      </w:rPr>
      <w:t>491</w:t>
    </w:r>
    <w:r>
      <w:rPr>
        <w:spacing w:val="-13"/>
        <w:sz w:val="18"/>
        <w:szCs w:val="18"/>
      </w:rPr>
      <w:t xml:space="preserve"> </w:t>
    </w:r>
    <w:r>
      <w:rPr>
        <w:b/>
        <w:bCs/>
        <w:spacing w:val="-13"/>
        <w:sz w:val="18"/>
        <w:szCs w:val="18"/>
      </w:rPr>
      <w:t>页</w:t>
    </w:r>
    <w:r>
      <w:rPr>
        <w:spacing w:val="-27"/>
        <w:sz w:val="18"/>
        <w:szCs w:val="18"/>
      </w:rPr>
      <w:t xml:space="preserve"> </w:t>
    </w:r>
    <w:r>
      <w:rPr>
        <w:b/>
        <w:bCs/>
        <w:spacing w:val="-13"/>
        <w:sz w:val="18"/>
        <w:szCs w:val="18"/>
      </w:rPr>
      <w:t>共</w:t>
    </w:r>
    <w:r>
      <w:rPr>
        <w:spacing w:val="-39"/>
        <w:sz w:val="18"/>
        <w:szCs w:val="18"/>
      </w:rPr>
      <w:t xml:space="preserve"> </w:t>
    </w:r>
    <w:r>
      <w:rPr>
        <w:b/>
        <w:bCs/>
        <w:spacing w:val="-13"/>
        <w:sz w:val="18"/>
        <w:szCs w:val="18"/>
      </w:rPr>
      <w:t>499</w:t>
    </w:r>
    <w:r>
      <w:rPr>
        <w:spacing w:val="-13"/>
        <w:sz w:val="18"/>
        <w:szCs w:val="18"/>
      </w:rPr>
      <w:t xml:space="preserve"> </w:t>
    </w:r>
    <w:r>
      <w:rPr>
        <w:b/>
        <w:bCs/>
        <w:spacing w:val="-13"/>
        <w:sz w:val="18"/>
        <w:szCs w:val="18"/>
      </w:rPr>
      <w:t>页</w:t>
    </w:r>
  </w:p>
</w:ftr>
</file>

<file path=word/footer4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875EBE">
    <w:pPr>
      <w:spacing w:after="13" w:line="454" w:lineRule="exact"/>
    </w:pPr>
  </w:p>
  <w:p w14:paraId="21EC1D48">
    <w:pPr>
      <w:pStyle w:val="2"/>
      <w:spacing w:line="207" w:lineRule="auto"/>
      <w:ind w:left="5067"/>
      <w:rPr>
        <w:sz w:val="18"/>
        <w:szCs w:val="18"/>
      </w:rPr>
    </w:pPr>
    <w:r>
      <w:rPr>
        <w:b/>
        <w:bCs/>
        <w:spacing w:val="-13"/>
        <w:sz w:val="18"/>
        <w:szCs w:val="18"/>
      </w:rPr>
      <w:t>第</w:t>
    </w:r>
    <w:r>
      <w:rPr>
        <w:spacing w:val="-28"/>
        <w:sz w:val="18"/>
        <w:szCs w:val="18"/>
      </w:rPr>
      <w:t xml:space="preserve"> </w:t>
    </w:r>
    <w:r>
      <w:rPr>
        <w:b/>
        <w:bCs/>
        <w:spacing w:val="-13"/>
        <w:sz w:val="18"/>
        <w:szCs w:val="18"/>
      </w:rPr>
      <w:t>492</w:t>
    </w:r>
    <w:r>
      <w:rPr>
        <w:spacing w:val="-13"/>
        <w:sz w:val="18"/>
        <w:szCs w:val="18"/>
      </w:rPr>
      <w:t xml:space="preserve"> </w:t>
    </w:r>
    <w:r>
      <w:rPr>
        <w:b/>
        <w:bCs/>
        <w:spacing w:val="-13"/>
        <w:sz w:val="18"/>
        <w:szCs w:val="18"/>
      </w:rPr>
      <w:t>页</w:t>
    </w:r>
    <w:r>
      <w:rPr>
        <w:spacing w:val="-27"/>
        <w:sz w:val="18"/>
        <w:szCs w:val="18"/>
      </w:rPr>
      <w:t xml:space="preserve"> </w:t>
    </w:r>
    <w:r>
      <w:rPr>
        <w:b/>
        <w:bCs/>
        <w:spacing w:val="-13"/>
        <w:sz w:val="18"/>
        <w:szCs w:val="18"/>
      </w:rPr>
      <w:t>共</w:t>
    </w:r>
    <w:r>
      <w:rPr>
        <w:spacing w:val="-39"/>
        <w:sz w:val="18"/>
        <w:szCs w:val="18"/>
      </w:rPr>
      <w:t xml:space="preserve"> </w:t>
    </w:r>
    <w:r>
      <w:rPr>
        <w:b/>
        <w:bCs/>
        <w:spacing w:val="-13"/>
        <w:sz w:val="18"/>
        <w:szCs w:val="18"/>
      </w:rPr>
      <w:t>499</w:t>
    </w:r>
    <w:r>
      <w:rPr>
        <w:spacing w:val="-13"/>
        <w:sz w:val="18"/>
        <w:szCs w:val="18"/>
      </w:rPr>
      <w:t xml:space="preserve"> </w:t>
    </w:r>
    <w:r>
      <w:rPr>
        <w:b/>
        <w:bCs/>
        <w:spacing w:val="-13"/>
        <w:sz w:val="18"/>
        <w:szCs w:val="18"/>
      </w:rPr>
      <w:t>页</w:t>
    </w:r>
  </w:p>
</w:ftr>
</file>

<file path=word/footer4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808976">
    <w:pPr>
      <w:pStyle w:val="2"/>
      <w:spacing w:line="639" w:lineRule="exact"/>
    </w:pPr>
  </w:p>
</w:ftr>
</file>

<file path=word/footer4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B51E61">
    <w:pPr>
      <w:pStyle w:val="2"/>
      <w:spacing w:line="639" w:lineRule="exact"/>
    </w:pPr>
  </w:p>
</w:ftr>
</file>

<file path=word/footer4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121FC8">
    <w:pPr>
      <w:spacing w:line="706" w:lineRule="exact"/>
    </w:pPr>
  </w:p>
</w:ftr>
</file>

<file path=word/footer4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6B0059">
    <w:pPr>
      <w:pStyle w:val="2"/>
      <w:spacing w:line="639" w:lineRule="exact"/>
    </w:pPr>
  </w:p>
</w:ftr>
</file>

<file path=word/footer4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50739A">
    <w:pPr>
      <w:pStyle w:val="2"/>
      <w:spacing w:line="639" w:lineRule="exact"/>
    </w:pP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B74B90">
    <w:pPr>
      <w:spacing w:after="13" w:line="454" w:lineRule="exact"/>
    </w:pPr>
  </w:p>
  <w:p w14:paraId="443CB8FC">
    <w:pPr>
      <w:pStyle w:val="2"/>
      <w:spacing w:line="207" w:lineRule="auto"/>
      <w:ind w:left="5106"/>
      <w:rPr>
        <w:sz w:val="18"/>
        <w:szCs w:val="18"/>
      </w:rPr>
    </w:pPr>
    <w:r>
      <w:rPr>
        <w:b/>
        <w:bCs/>
        <w:spacing w:val="-13"/>
        <w:sz w:val="18"/>
        <w:szCs w:val="18"/>
      </w:rPr>
      <w:t>第</w:t>
    </w:r>
    <w:r>
      <w:rPr>
        <w:spacing w:val="-28"/>
        <w:sz w:val="18"/>
        <w:szCs w:val="18"/>
      </w:rPr>
      <w:t xml:space="preserve"> </w:t>
    </w:r>
    <w:r>
      <w:rPr>
        <w:b/>
        <w:bCs/>
        <w:spacing w:val="-13"/>
        <w:sz w:val="18"/>
        <w:szCs w:val="18"/>
      </w:rPr>
      <w:t>71</w:t>
    </w:r>
    <w:r>
      <w:rPr>
        <w:spacing w:val="-13"/>
        <w:sz w:val="18"/>
        <w:szCs w:val="18"/>
      </w:rPr>
      <w:t xml:space="preserve"> </w:t>
    </w:r>
    <w:r>
      <w:rPr>
        <w:b/>
        <w:bCs/>
        <w:spacing w:val="-13"/>
        <w:sz w:val="18"/>
        <w:szCs w:val="18"/>
      </w:rPr>
      <w:t>页</w:t>
    </w:r>
    <w:r>
      <w:rPr>
        <w:spacing w:val="-28"/>
        <w:sz w:val="18"/>
        <w:szCs w:val="18"/>
      </w:rPr>
      <w:t xml:space="preserve"> </w:t>
    </w:r>
    <w:r>
      <w:rPr>
        <w:b/>
        <w:bCs/>
        <w:spacing w:val="-13"/>
        <w:sz w:val="18"/>
        <w:szCs w:val="18"/>
      </w:rPr>
      <w:t>共</w:t>
    </w:r>
    <w:r>
      <w:rPr>
        <w:spacing w:val="-38"/>
        <w:sz w:val="18"/>
        <w:szCs w:val="18"/>
      </w:rPr>
      <w:t xml:space="preserve"> </w:t>
    </w:r>
    <w:r>
      <w:rPr>
        <w:b/>
        <w:bCs/>
        <w:spacing w:val="-13"/>
        <w:sz w:val="18"/>
        <w:szCs w:val="18"/>
      </w:rPr>
      <w:t>499</w:t>
    </w:r>
    <w:r>
      <w:rPr>
        <w:spacing w:val="-13"/>
        <w:sz w:val="18"/>
        <w:szCs w:val="18"/>
      </w:rPr>
      <w:t xml:space="preserve"> </w:t>
    </w:r>
    <w:r>
      <w:rPr>
        <w:b/>
        <w:bCs/>
        <w:spacing w:val="-13"/>
        <w:sz w:val="18"/>
        <w:szCs w:val="18"/>
      </w:rPr>
      <w:t>页</w:t>
    </w:r>
  </w:p>
</w:ftr>
</file>

<file path=word/footer4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C3DACA">
    <w:pPr>
      <w:spacing w:after="13" w:line="454" w:lineRule="exact"/>
    </w:pPr>
  </w:p>
  <w:p w14:paraId="3407B77D">
    <w:pPr>
      <w:pStyle w:val="2"/>
      <w:spacing w:line="207" w:lineRule="auto"/>
      <w:ind w:left="5067"/>
      <w:rPr>
        <w:sz w:val="18"/>
        <w:szCs w:val="18"/>
      </w:rPr>
    </w:pPr>
    <w:r>
      <w:rPr>
        <w:b/>
        <w:bCs/>
        <w:spacing w:val="-13"/>
        <w:sz w:val="18"/>
        <w:szCs w:val="18"/>
      </w:rPr>
      <w:t>第</w:t>
    </w:r>
    <w:r>
      <w:rPr>
        <w:spacing w:val="-28"/>
        <w:sz w:val="18"/>
        <w:szCs w:val="18"/>
      </w:rPr>
      <w:t xml:space="preserve"> </w:t>
    </w:r>
    <w:r>
      <w:rPr>
        <w:b/>
        <w:bCs/>
        <w:spacing w:val="-13"/>
        <w:sz w:val="18"/>
        <w:szCs w:val="18"/>
      </w:rPr>
      <w:t>498</w:t>
    </w:r>
    <w:r>
      <w:rPr>
        <w:spacing w:val="-13"/>
        <w:sz w:val="18"/>
        <w:szCs w:val="18"/>
      </w:rPr>
      <w:t xml:space="preserve"> </w:t>
    </w:r>
    <w:r>
      <w:rPr>
        <w:b/>
        <w:bCs/>
        <w:spacing w:val="-13"/>
        <w:sz w:val="18"/>
        <w:szCs w:val="18"/>
      </w:rPr>
      <w:t>页</w:t>
    </w:r>
    <w:r>
      <w:rPr>
        <w:spacing w:val="-27"/>
        <w:sz w:val="18"/>
        <w:szCs w:val="18"/>
      </w:rPr>
      <w:t xml:space="preserve"> </w:t>
    </w:r>
    <w:r>
      <w:rPr>
        <w:b/>
        <w:bCs/>
        <w:spacing w:val="-13"/>
        <w:sz w:val="18"/>
        <w:szCs w:val="18"/>
      </w:rPr>
      <w:t>共</w:t>
    </w:r>
    <w:r>
      <w:rPr>
        <w:spacing w:val="-39"/>
        <w:sz w:val="18"/>
        <w:szCs w:val="18"/>
      </w:rPr>
      <w:t xml:space="preserve"> </w:t>
    </w:r>
    <w:r>
      <w:rPr>
        <w:b/>
        <w:bCs/>
        <w:spacing w:val="-13"/>
        <w:sz w:val="18"/>
        <w:szCs w:val="18"/>
      </w:rPr>
      <w:t>499</w:t>
    </w:r>
    <w:r>
      <w:rPr>
        <w:spacing w:val="-13"/>
        <w:sz w:val="18"/>
        <w:szCs w:val="18"/>
      </w:rPr>
      <w:t xml:space="preserve"> </w:t>
    </w:r>
    <w:r>
      <w:rPr>
        <w:b/>
        <w:bCs/>
        <w:spacing w:val="-13"/>
        <w:sz w:val="18"/>
        <w:szCs w:val="18"/>
      </w:rPr>
      <w:t>页</w: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E8FE8A">
    <w:pPr>
      <w:spacing w:after="13" w:line="454" w:lineRule="exact"/>
    </w:pPr>
  </w:p>
  <w:p w14:paraId="19086D28">
    <w:pPr>
      <w:pStyle w:val="2"/>
      <w:spacing w:line="207" w:lineRule="auto"/>
      <w:ind w:left="5106"/>
      <w:rPr>
        <w:sz w:val="18"/>
        <w:szCs w:val="18"/>
      </w:rPr>
    </w:pPr>
    <w:r>
      <w:rPr>
        <w:b/>
        <w:bCs/>
        <w:spacing w:val="-13"/>
        <w:sz w:val="18"/>
        <w:szCs w:val="18"/>
      </w:rPr>
      <w:t>第</w:t>
    </w:r>
    <w:r>
      <w:rPr>
        <w:spacing w:val="-28"/>
        <w:sz w:val="18"/>
        <w:szCs w:val="18"/>
      </w:rPr>
      <w:t xml:space="preserve"> </w:t>
    </w:r>
    <w:r>
      <w:rPr>
        <w:b/>
        <w:bCs/>
        <w:spacing w:val="-13"/>
        <w:sz w:val="18"/>
        <w:szCs w:val="18"/>
      </w:rPr>
      <w:t>72</w:t>
    </w:r>
    <w:r>
      <w:rPr>
        <w:spacing w:val="-13"/>
        <w:sz w:val="18"/>
        <w:szCs w:val="18"/>
      </w:rPr>
      <w:t xml:space="preserve"> </w:t>
    </w:r>
    <w:r>
      <w:rPr>
        <w:b/>
        <w:bCs/>
        <w:spacing w:val="-13"/>
        <w:sz w:val="18"/>
        <w:szCs w:val="18"/>
      </w:rPr>
      <w:t>页</w:t>
    </w:r>
    <w:r>
      <w:rPr>
        <w:spacing w:val="-28"/>
        <w:sz w:val="18"/>
        <w:szCs w:val="18"/>
      </w:rPr>
      <w:t xml:space="preserve"> </w:t>
    </w:r>
    <w:r>
      <w:rPr>
        <w:b/>
        <w:bCs/>
        <w:spacing w:val="-13"/>
        <w:sz w:val="18"/>
        <w:szCs w:val="18"/>
      </w:rPr>
      <w:t>共</w:t>
    </w:r>
    <w:r>
      <w:rPr>
        <w:spacing w:val="-38"/>
        <w:sz w:val="18"/>
        <w:szCs w:val="18"/>
      </w:rPr>
      <w:t xml:space="preserve"> </w:t>
    </w:r>
    <w:r>
      <w:rPr>
        <w:b/>
        <w:bCs/>
        <w:spacing w:val="-13"/>
        <w:sz w:val="18"/>
        <w:szCs w:val="18"/>
      </w:rPr>
      <w:t>499</w:t>
    </w:r>
    <w:r>
      <w:rPr>
        <w:spacing w:val="-13"/>
        <w:sz w:val="18"/>
        <w:szCs w:val="18"/>
      </w:rPr>
      <w:t xml:space="preserve"> </w:t>
    </w:r>
    <w:r>
      <w:rPr>
        <w:b/>
        <w:bCs/>
        <w:spacing w:val="-13"/>
        <w:sz w:val="18"/>
        <w:szCs w:val="18"/>
      </w:rPr>
      <w:t>页</w: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959BA9">
    <w:pPr>
      <w:spacing w:after="13" w:line="454" w:lineRule="exact"/>
    </w:pPr>
  </w:p>
  <w:p w14:paraId="7EB53859">
    <w:pPr>
      <w:pStyle w:val="2"/>
      <w:spacing w:after="121" w:line="218" w:lineRule="auto"/>
      <w:ind w:left="5106"/>
      <w:rPr>
        <w:sz w:val="18"/>
        <w:szCs w:val="18"/>
      </w:rPr>
    </w:pPr>
    <w:r>
      <w:rPr>
        <w:b/>
        <w:bCs/>
        <w:spacing w:val="-13"/>
        <w:sz w:val="18"/>
        <w:szCs w:val="18"/>
      </w:rPr>
      <w:t>第</w:t>
    </w:r>
    <w:r>
      <w:rPr>
        <w:spacing w:val="-28"/>
        <w:sz w:val="18"/>
        <w:szCs w:val="18"/>
      </w:rPr>
      <w:t xml:space="preserve"> </w:t>
    </w:r>
    <w:r>
      <w:rPr>
        <w:b/>
        <w:bCs/>
        <w:spacing w:val="-13"/>
        <w:sz w:val="18"/>
        <w:szCs w:val="18"/>
      </w:rPr>
      <w:t>73</w:t>
    </w:r>
    <w:r>
      <w:rPr>
        <w:spacing w:val="-13"/>
        <w:sz w:val="18"/>
        <w:szCs w:val="18"/>
      </w:rPr>
      <w:t xml:space="preserve"> </w:t>
    </w:r>
    <w:r>
      <w:rPr>
        <w:b/>
        <w:bCs/>
        <w:spacing w:val="-13"/>
        <w:sz w:val="18"/>
        <w:szCs w:val="18"/>
      </w:rPr>
      <w:t>页</w:t>
    </w:r>
    <w:r>
      <w:rPr>
        <w:spacing w:val="-28"/>
        <w:sz w:val="18"/>
        <w:szCs w:val="18"/>
      </w:rPr>
      <w:t xml:space="preserve"> </w:t>
    </w:r>
    <w:r>
      <w:rPr>
        <w:b/>
        <w:bCs/>
        <w:spacing w:val="-13"/>
        <w:sz w:val="18"/>
        <w:szCs w:val="18"/>
      </w:rPr>
      <w:t>共</w:t>
    </w:r>
    <w:r>
      <w:rPr>
        <w:spacing w:val="-38"/>
        <w:sz w:val="18"/>
        <w:szCs w:val="18"/>
      </w:rPr>
      <w:t xml:space="preserve"> </w:t>
    </w:r>
    <w:r>
      <w:rPr>
        <w:b/>
        <w:bCs/>
        <w:spacing w:val="-13"/>
        <w:sz w:val="18"/>
        <w:szCs w:val="18"/>
      </w:rPr>
      <w:t>499</w:t>
    </w:r>
    <w:r>
      <w:rPr>
        <w:spacing w:val="-13"/>
        <w:sz w:val="18"/>
        <w:szCs w:val="18"/>
      </w:rPr>
      <w:t xml:space="preserve"> </w:t>
    </w:r>
    <w:r>
      <w:rPr>
        <w:b/>
        <w:bCs/>
        <w:spacing w:val="-13"/>
        <w:sz w:val="18"/>
        <w:szCs w:val="18"/>
      </w:rPr>
      <w:t>页</w: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243D23">
    <w:pPr>
      <w:spacing w:after="13" w:line="454" w:lineRule="exact"/>
    </w:pPr>
  </w:p>
  <w:p w14:paraId="72EF5AC0">
    <w:pPr>
      <w:pStyle w:val="2"/>
      <w:spacing w:line="207" w:lineRule="auto"/>
      <w:ind w:left="5106"/>
      <w:rPr>
        <w:sz w:val="18"/>
        <w:szCs w:val="18"/>
      </w:rPr>
    </w:pPr>
    <w:r>
      <w:rPr>
        <w:b/>
        <w:bCs/>
        <w:spacing w:val="-13"/>
        <w:sz w:val="18"/>
        <w:szCs w:val="18"/>
      </w:rPr>
      <w:t>第</w:t>
    </w:r>
    <w:r>
      <w:rPr>
        <w:spacing w:val="-28"/>
        <w:sz w:val="18"/>
        <w:szCs w:val="18"/>
      </w:rPr>
      <w:t xml:space="preserve"> </w:t>
    </w:r>
    <w:r>
      <w:rPr>
        <w:b/>
        <w:bCs/>
        <w:spacing w:val="-13"/>
        <w:sz w:val="18"/>
        <w:szCs w:val="18"/>
      </w:rPr>
      <w:t>97</w:t>
    </w:r>
    <w:r>
      <w:rPr>
        <w:spacing w:val="-13"/>
        <w:sz w:val="18"/>
        <w:szCs w:val="18"/>
      </w:rPr>
      <w:t xml:space="preserve"> </w:t>
    </w:r>
    <w:r>
      <w:rPr>
        <w:b/>
        <w:bCs/>
        <w:spacing w:val="-13"/>
        <w:sz w:val="18"/>
        <w:szCs w:val="18"/>
      </w:rPr>
      <w:t>页</w:t>
    </w:r>
    <w:r>
      <w:rPr>
        <w:spacing w:val="-28"/>
        <w:sz w:val="18"/>
        <w:szCs w:val="18"/>
      </w:rPr>
      <w:t xml:space="preserve"> </w:t>
    </w:r>
    <w:r>
      <w:rPr>
        <w:b/>
        <w:bCs/>
        <w:spacing w:val="-13"/>
        <w:sz w:val="18"/>
        <w:szCs w:val="18"/>
      </w:rPr>
      <w:t>共</w:t>
    </w:r>
    <w:r>
      <w:rPr>
        <w:spacing w:val="-38"/>
        <w:sz w:val="18"/>
        <w:szCs w:val="18"/>
      </w:rPr>
      <w:t xml:space="preserve"> </w:t>
    </w:r>
    <w:r>
      <w:rPr>
        <w:b/>
        <w:bCs/>
        <w:spacing w:val="-13"/>
        <w:sz w:val="18"/>
        <w:szCs w:val="18"/>
      </w:rPr>
      <w:t>499</w:t>
    </w:r>
    <w:r>
      <w:rPr>
        <w:spacing w:val="-13"/>
        <w:sz w:val="18"/>
        <w:szCs w:val="18"/>
      </w:rPr>
      <w:t xml:space="preserve"> </w:t>
    </w:r>
    <w:r>
      <w:rPr>
        <w:b/>
        <w:bCs/>
        <w:spacing w:val="-13"/>
        <w:sz w:val="18"/>
        <w:szCs w:val="18"/>
      </w:rPr>
      <w:t>页</w: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537D85">
    <w:pPr>
      <w:spacing w:after="13" w:line="454" w:lineRule="exact"/>
    </w:pPr>
  </w:p>
  <w:p w14:paraId="3195F42A">
    <w:pPr>
      <w:pStyle w:val="2"/>
      <w:spacing w:line="207" w:lineRule="auto"/>
      <w:ind w:left="5106"/>
      <w:rPr>
        <w:sz w:val="18"/>
        <w:szCs w:val="18"/>
      </w:rPr>
    </w:pPr>
    <w:r>
      <w:rPr>
        <w:b/>
        <w:bCs/>
        <w:spacing w:val="-13"/>
        <w:sz w:val="18"/>
        <w:szCs w:val="18"/>
      </w:rPr>
      <w:t>第</w:t>
    </w:r>
    <w:r>
      <w:rPr>
        <w:spacing w:val="-28"/>
        <w:sz w:val="18"/>
        <w:szCs w:val="18"/>
      </w:rPr>
      <w:t xml:space="preserve"> </w:t>
    </w:r>
    <w:r>
      <w:rPr>
        <w:b/>
        <w:bCs/>
        <w:spacing w:val="-13"/>
        <w:sz w:val="18"/>
        <w:szCs w:val="18"/>
      </w:rPr>
      <w:t>98</w:t>
    </w:r>
    <w:r>
      <w:rPr>
        <w:spacing w:val="-13"/>
        <w:sz w:val="18"/>
        <w:szCs w:val="18"/>
      </w:rPr>
      <w:t xml:space="preserve"> </w:t>
    </w:r>
    <w:r>
      <w:rPr>
        <w:b/>
        <w:bCs/>
        <w:spacing w:val="-13"/>
        <w:sz w:val="18"/>
        <w:szCs w:val="18"/>
      </w:rPr>
      <w:t>页</w:t>
    </w:r>
    <w:r>
      <w:rPr>
        <w:spacing w:val="-28"/>
        <w:sz w:val="18"/>
        <w:szCs w:val="18"/>
      </w:rPr>
      <w:t xml:space="preserve"> </w:t>
    </w:r>
    <w:r>
      <w:rPr>
        <w:b/>
        <w:bCs/>
        <w:spacing w:val="-13"/>
        <w:sz w:val="18"/>
        <w:szCs w:val="18"/>
      </w:rPr>
      <w:t>共</w:t>
    </w:r>
    <w:r>
      <w:rPr>
        <w:spacing w:val="-38"/>
        <w:sz w:val="18"/>
        <w:szCs w:val="18"/>
      </w:rPr>
      <w:t xml:space="preserve"> </w:t>
    </w:r>
    <w:r>
      <w:rPr>
        <w:b/>
        <w:bCs/>
        <w:spacing w:val="-13"/>
        <w:sz w:val="18"/>
        <w:szCs w:val="18"/>
      </w:rPr>
      <w:t>499</w:t>
    </w:r>
    <w:r>
      <w:rPr>
        <w:spacing w:val="-13"/>
        <w:sz w:val="18"/>
        <w:szCs w:val="18"/>
      </w:rPr>
      <w:t xml:space="preserve"> </w:t>
    </w:r>
    <w:r>
      <w:rPr>
        <w:b/>
        <w:bCs/>
        <w:spacing w:val="-13"/>
        <w:sz w:val="18"/>
        <w:szCs w:val="18"/>
      </w:rPr>
      <w:t>页</w: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5DCC0F">
    <w:pPr>
      <w:spacing w:after="13" w:line="454" w:lineRule="exact"/>
    </w:pPr>
  </w:p>
  <w:p w14:paraId="0CB233F5">
    <w:pPr>
      <w:pStyle w:val="2"/>
      <w:spacing w:line="207" w:lineRule="auto"/>
      <w:ind w:left="5106"/>
      <w:rPr>
        <w:sz w:val="18"/>
        <w:szCs w:val="18"/>
      </w:rPr>
    </w:pPr>
    <w:r>
      <w:rPr>
        <w:b/>
        <w:bCs/>
        <w:spacing w:val="-13"/>
        <w:sz w:val="18"/>
        <w:szCs w:val="18"/>
      </w:rPr>
      <w:t>第</w:t>
    </w:r>
    <w:r>
      <w:rPr>
        <w:spacing w:val="-28"/>
        <w:sz w:val="18"/>
        <w:szCs w:val="18"/>
      </w:rPr>
      <w:t xml:space="preserve"> </w:t>
    </w:r>
    <w:r>
      <w:rPr>
        <w:b/>
        <w:bCs/>
        <w:spacing w:val="-13"/>
        <w:sz w:val="18"/>
        <w:szCs w:val="18"/>
      </w:rPr>
      <w:t>99</w:t>
    </w:r>
    <w:r>
      <w:rPr>
        <w:spacing w:val="-13"/>
        <w:sz w:val="18"/>
        <w:szCs w:val="18"/>
      </w:rPr>
      <w:t xml:space="preserve"> </w:t>
    </w:r>
    <w:r>
      <w:rPr>
        <w:b/>
        <w:bCs/>
        <w:spacing w:val="-13"/>
        <w:sz w:val="18"/>
        <w:szCs w:val="18"/>
      </w:rPr>
      <w:t>页</w:t>
    </w:r>
    <w:r>
      <w:rPr>
        <w:spacing w:val="-28"/>
        <w:sz w:val="18"/>
        <w:szCs w:val="18"/>
      </w:rPr>
      <w:t xml:space="preserve"> </w:t>
    </w:r>
    <w:r>
      <w:rPr>
        <w:b/>
        <w:bCs/>
        <w:spacing w:val="-13"/>
        <w:sz w:val="18"/>
        <w:szCs w:val="18"/>
      </w:rPr>
      <w:t>共</w:t>
    </w:r>
    <w:r>
      <w:rPr>
        <w:spacing w:val="-38"/>
        <w:sz w:val="18"/>
        <w:szCs w:val="18"/>
      </w:rPr>
      <w:t xml:space="preserve"> </w:t>
    </w:r>
    <w:r>
      <w:rPr>
        <w:b/>
        <w:bCs/>
        <w:spacing w:val="-13"/>
        <w:sz w:val="18"/>
        <w:szCs w:val="18"/>
      </w:rPr>
      <w:t>499</w:t>
    </w:r>
    <w:r>
      <w:rPr>
        <w:spacing w:val="-13"/>
        <w:sz w:val="18"/>
        <w:szCs w:val="18"/>
      </w:rPr>
      <w:t xml:space="preserve"> </w:t>
    </w:r>
    <w:r>
      <w:rPr>
        <w:b/>
        <w:bCs/>
        <w:spacing w:val="-13"/>
        <w:sz w:val="18"/>
        <w:szCs w:val="18"/>
      </w:rPr>
      <w:t>页</w:t>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278CD9">
    <w:pPr>
      <w:spacing w:after="13" w:line="454" w:lineRule="exact"/>
    </w:pPr>
  </w:p>
  <w:p w14:paraId="201B435D">
    <w:pPr>
      <w:pStyle w:val="2"/>
      <w:spacing w:line="207" w:lineRule="auto"/>
      <w:ind w:left="5067"/>
      <w:rPr>
        <w:sz w:val="18"/>
        <w:szCs w:val="18"/>
      </w:rPr>
    </w:pPr>
    <w:r>
      <w:rPr>
        <w:b/>
        <w:bCs/>
        <w:spacing w:val="-14"/>
        <w:sz w:val="18"/>
        <w:szCs w:val="18"/>
      </w:rPr>
      <w:t>第</w:t>
    </w:r>
    <w:r>
      <w:rPr>
        <w:spacing w:val="-16"/>
        <w:sz w:val="18"/>
        <w:szCs w:val="18"/>
      </w:rPr>
      <w:t xml:space="preserve"> </w:t>
    </w:r>
    <w:r>
      <w:rPr>
        <w:b/>
        <w:bCs/>
        <w:spacing w:val="-14"/>
        <w:sz w:val="18"/>
        <w:szCs w:val="18"/>
      </w:rPr>
      <w:t>100</w:t>
    </w:r>
    <w:r>
      <w:rPr>
        <w:spacing w:val="-14"/>
        <w:sz w:val="18"/>
        <w:szCs w:val="18"/>
      </w:rPr>
      <w:t xml:space="preserve"> </w:t>
    </w:r>
    <w:r>
      <w:rPr>
        <w:b/>
        <w:bCs/>
        <w:spacing w:val="-14"/>
        <w:sz w:val="18"/>
        <w:szCs w:val="18"/>
      </w:rPr>
      <w:t>页</w:t>
    </w:r>
    <w:r>
      <w:rPr>
        <w:spacing w:val="-27"/>
        <w:sz w:val="18"/>
        <w:szCs w:val="18"/>
      </w:rPr>
      <w:t xml:space="preserve"> </w:t>
    </w:r>
    <w:r>
      <w:rPr>
        <w:b/>
        <w:bCs/>
        <w:spacing w:val="-14"/>
        <w:sz w:val="18"/>
        <w:szCs w:val="18"/>
      </w:rPr>
      <w:t>共</w:t>
    </w:r>
    <w:r>
      <w:rPr>
        <w:spacing w:val="-39"/>
        <w:sz w:val="18"/>
        <w:szCs w:val="18"/>
      </w:rPr>
      <w:t xml:space="preserve"> </w:t>
    </w:r>
    <w:r>
      <w:rPr>
        <w:b/>
        <w:bCs/>
        <w:spacing w:val="-14"/>
        <w:sz w:val="18"/>
        <w:szCs w:val="18"/>
      </w:rPr>
      <w:t>499</w:t>
    </w:r>
    <w:r>
      <w:rPr>
        <w:spacing w:val="-14"/>
        <w:sz w:val="18"/>
        <w:szCs w:val="18"/>
      </w:rPr>
      <w:t xml:space="preserve"> </w:t>
    </w:r>
    <w:r>
      <w:rPr>
        <w:b/>
        <w:bCs/>
        <w:spacing w:val="-14"/>
        <w:sz w:val="18"/>
        <w:szCs w:val="18"/>
      </w:rPr>
      <w:t>页</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A13224">
    <w:pPr>
      <w:spacing w:after="12" w:line="455" w:lineRule="exact"/>
    </w:pPr>
  </w:p>
  <w:p w14:paraId="7FDFB4D5">
    <w:pPr>
      <w:pStyle w:val="2"/>
      <w:spacing w:line="207" w:lineRule="auto"/>
      <w:ind w:left="5507"/>
      <w:rPr>
        <w:sz w:val="18"/>
        <w:szCs w:val="18"/>
      </w:rPr>
    </w:pPr>
    <w:r>
      <w:rPr>
        <w:b/>
        <w:bCs/>
        <w:spacing w:val="-13"/>
        <w:sz w:val="18"/>
        <w:szCs w:val="18"/>
      </w:rPr>
      <w:t>第</w:t>
    </w:r>
    <w:r>
      <w:rPr>
        <w:spacing w:val="-31"/>
        <w:sz w:val="18"/>
        <w:szCs w:val="18"/>
      </w:rPr>
      <w:t xml:space="preserve"> </w:t>
    </w:r>
    <w:r>
      <w:rPr>
        <w:b/>
        <w:bCs/>
        <w:spacing w:val="-13"/>
        <w:sz w:val="18"/>
        <w:szCs w:val="18"/>
      </w:rPr>
      <w:t>5</w:t>
    </w:r>
    <w:r>
      <w:rPr>
        <w:spacing w:val="-13"/>
        <w:sz w:val="18"/>
        <w:szCs w:val="18"/>
      </w:rPr>
      <w:t xml:space="preserve"> </w:t>
    </w:r>
    <w:r>
      <w:rPr>
        <w:b/>
        <w:bCs/>
        <w:spacing w:val="-13"/>
        <w:sz w:val="18"/>
        <w:szCs w:val="18"/>
      </w:rPr>
      <w:t>页</w:t>
    </w:r>
    <w:r>
      <w:rPr>
        <w:spacing w:val="-25"/>
        <w:sz w:val="18"/>
        <w:szCs w:val="18"/>
      </w:rPr>
      <w:t xml:space="preserve"> </w:t>
    </w:r>
    <w:r>
      <w:rPr>
        <w:b/>
        <w:bCs/>
        <w:spacing w:val="-13"/>
        <w:sz w:val="18"/>
        <w:szCs w:val="18"/>
      </w:rPr>
      <w:t>共</w:t>
    </w:r>
    <w:r>
      <w:rPr>
        <w:spacing w:val="-39"/>
        <w:sz w:val="18"/>
        <w:szCs w:val="18"/>
      </w:rPr>
      <w:t xml:space="preserve"> </w:t>
    </w:r>
    <w:r>
      <w:rPr>
        <w:b/>
        <w:bCs/>
        <w:spacing w:val="-13"/>
        <w:sz w:val="18"/>
        <w:szCs w:val="18"/>
      </w:rPr>
      <w:t>499</w:t>
    </w:r>
    <w:r>
      <w:rPr>
        <w:spacing w:val="-13"/>
        <w:sz w:val="18"/>
        <w:szCs w:val="18"/>
      </w:rPr>
      <w:t xml:space="preserve"> </w:t>
    </w:r>
    <w:r>
      <w:rPr>
        <w:b/>
        <w:bCs/>
        <w:spacing w:val="-13"/>
        <w:sz w:val="18"/>
        <w:szCs w:val="18"/>
      </w:rPr>
      <w:t>页</w:t>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719807">
    <w:pPr>
      <w:spacing w:after="13" w:line="454" w:lineRule="exact"/>
    </w:pPr>
  </w:p>
  <w:p w14:paraId="7B8A852E">
    <w:pPr>
      <w:pStyle w:val="2"/>
      <w:spacing w:line="207" w:lineRule="auto"/>
      <w:ind w:left="5067"/>
      <w:rPr>
        <w:sz w:val="18"/>
        <w:szCs w:val="18"/>
      </w:rPr>
    </w:pPr>
    <w:r>
      <w:rPr>
        <w:b/>
        <w:bCs/>
        <w:spacing w:val="-14"/>
        <w:sz w:val="18"/>
        <w:szCs w:val="18"/>
      </w:rPr>
      <w:t>第</w:t>
    </w:r>
    <w:r>
      <w:rPr>
        <w:spacing w:val="-16"/>
        <w:sz w:val="18"/>
        <w:szCs w:val="18"/>
      </w:rPr>
      <w:t xml:space="preserve"> </w:t>
    </w:r>
    <w:r>
      <w:rPr>
        <w:b/>
        <w:bCs/>
        <w:spacing w:val="-14"/>
        <w:sz w:val="18"/>
        <w:szCs w:val="18"/>
      </w:rPr>
      <w:t>101</w:t>
    </w:r>
    <w:r>
      <w:rPr>
        <w:spacing w:val="-14"/>
        <w:sz w:val="18"/>
        <w:szCs w:val="18"/>
      </w:rPr>
      <w:t xml:space="preserve"> </w:t>
    </w:r>
    <w:r>
      <w:rPr>
        <w:b/>
        <w:bCs/>
        <w:spacing w:val="-14"/>
        <w:sz w:val="18"/>
        <w:szCs w:val="18"/>
      </w:rPr>
      <w:t>页</w:t>
    </w:r>
    <w:r>
      <w:rPr>
        <w:spacing w:val="-27"/>
        <w:sz w:val="18"/>
        <w:szCs w:val="18"/>
      </w:rPr>
      <w:t xml:space="preserve"> </w:t>
    </w:r>
    <w:r>
      <w:rPr>
        <w:b/>
        <w:bCs/>
        <w:spacing w:val="-14"/>
        <w:sz w:val="18"/>
        <w:szCs w:val="18"/>
      </w:rPr>
      <w:t>共</w:t>
    </w:r>
    <w:r>
      <w:rPr>
        <w:spacing w:val="-39"/>
        <w:sz w:val="18"/>
        <w:szCs w:val="18"/>
      </w:rPr>
      <w:t xml:space="preserve"> </w:t>
    </w:r>
    <w:r>
      <w:rPr>
        <w:b/>
        <w:bCs/>
        <w:spacing w:val="-14"/>
        <w:sz w:val="18"/>
        <w:szCs w:val="18"/>
      </w:rPr>
      <w:t>499</w:t>
    </w:r>
    <w:r>
      <w:rPr>
        <w:spacing w:val="-14"/>
        <w:sz w:val="18"/>
        <w:szCs w:val="18"/>
      </w:rPr>
      <w:t xml:space="preserve"> </w:t>
    </w:r>
    <w:r>
      <w:rPr>
        <w:b/>
        <w:bCs/>
        <w:spacing w:val="-14"/>
        <w:sz w:val="18"/>
        <w:szCs w:val="18"/>
      </w:rPr>
      <w:t>页</w:t>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0C50E5">
    <w:pPr>
      <w:spacing w:after="13" w:line="454" w:lineRule="exact"/>
    </w:pPr>
  </w:p>
  <w:p w14:paraId="09A74CF8">
    <w:pPr>
      <w:pStyle w:val="2"/>
      <w:spacing w:line="207" w:lineRule="auto"/>
      <w:ind w:left="5067"/>
      <w:rPr>
        <w:sz w:val="18"/>
        <w:szCs w:val="18"/>
      </w:rPr>
    </w:pPr>
    <w:r>
      <w:rPr>
        <w:b/>
        <w:bCs/>
        <w:spacing w:val="-14"/>
        <w:sz w:val="18"/>
        <w:szCs w:val="18"/>
      </w:rPr>
      <w:t>第</w:t>
    </w:r>
    <w:r>
      <w:rPr>
        <w:spacing w:val="-16"/>
        <w:sz w:val="18"/>
        <w:szCs w:val="18"/>
      </w:rPr>
      <w:t xml:space="preserve"> </w:t>
    </w:r>
    <w:r>
      <w:rPr>
        <w:b/>
        <w:bCs/>
        <w:spacing w:val="-14"/>
        <w:sz w:val="18"/>
        <w:szCs w:val="18"/>
      </w:rPr>
      <w:t>102</w:t>
    </w:r>
    <w:r>
      <w:rPr>
        <w:spacing w:val="-14"/>
        <w:sz w:val="18"/>
        <w:szCs w:val="18"/>
      </w:rPr>
      <w:t xml:space="preserve"> </w:t>
    </w:r>
    <w:r>
      <w:rPr>
        <w:b/>
        <w:bCs/>
        <w:spacing w:val="-14"/>
        <w:sz w:val="18"/>
        <w:szCs w:val="18"/>
      </w:rPr>
      <w:t>页</w:t>
    </w:r>
    <w:r>
      <w:rPr>
        <w:spacing w:val="-27"/>
        <w:sz w:val="18"/>
        <w:szCs w:val="18"/>
      </w:rPr>
      <w:t xml:space="preserve"> </w:t>
    </w:r>
    <w:r>
      <w:rPr>
        <w:b/>
        <w:bCs/>
        <w:spacing w:val="-14"/>
        <w:sz w:val="18"/>
        <w:szCs w:val="18"/>
      </w:rPr>
      <w:t>共</w:t>
    </w:r>
    <w:r>
      <w:rPr>
        <w:spacing w:val="-39"/>
        <w:sz w:val="18"/>
        <w:szCs w:val="18"/>
      </w:rPr>
      <w:t xml:space="preserve"> </w:t>
    </w:r>
    <w:r>
      <w:rPr>
        <w:b/>
        <w:bCs/>
        <w:spacing w:val="-14"/>
        <w:sz w:val="18"/>
        <w:szCs w:val="18"/>
      </w:rPr>
      <w:t>499</w:t>
    </w:r>
    <w:r>
      <w:rPr>
        <w:spacing w:val="-14"/>
        <w:sz w:val="18"/>
        <w:szCs w:val="18"/>
      </w:rPr>
      <w:t xml:space="preserve"> </w:t>
    </w:r>
    <w:r>
      <w:rPr>
        <w:b/>
        <w:bCs/>
        <w:spacing w:val="-14"/>
        <w:sz w:val="18"/>
        <w:szCs w:val="18"/>
      </w:rPr>
      <w:t>页</w:t>
    </w: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84D57F">
    <w:pPr>
      <w:spacing w:after="13" w:line="454" w:lineRule="exact"/>
    </w:pPr>
  </w:p>
  <w:p w14:paraId="77CF1E23">
    <w:pPr>
      <w:pStyle w:val="2"/>
      <w:spacing w:line="207" w:lineRule="auto"/>
      <w:ind w:left="5067"/>
      <w:rPr>
        <w:sz w:val="18"/>
        <w:szCs w:val="18"/>
      </w:rPr>
    </w:pPr>
    <w:r>
      <w:rPr>
        <w:b/>
        <w:bCs/>
        <w:spacing w:val="-14"/>
        <w:sz w:val="18"/>
        <w:szCs w:val="18"/>
      </w:rPr>
      <w:t>第</w:t>
    </w:r>
    <w:r>
      <w:rPr>
        <w:spacing w:val="-16"/>
        <w:sz w:val="18"/>
        <w:szCs w:val="18"/>
      </w:rPr>
      <w:t xml:space="preserve"> </w:t>
    </w:r>
    <w:r>
      <w:rPr>
        <w:b/>
        <w:bCs/>
        <w:spacing w:val="-14"/>
        <w:sz w:val="18"/>
        <w:szCs w:val="18"/>
      </w:rPr>
      <w:t>103</w:t>
    </w:r>
    <w:r>
      <w:rPr>
        <w:spacing w:val="-14"/>
        <w:sz w:val="18"/>
        <w:szCs w:val="18"/>
      </w:rPr>
      <w:t xml:space="preserve"> </w:t>
    </w:r>
    <w:r>
      <w:rPr>
        <w:b/>
        <w:bCs/>
        <w:spacing w:val="-14"/>
        <w:sz w:val="18"/>
        <w:szCs w:val="18"/>
      </w:rPr>
      <w:t>页</w:t>
    </w:r>
    <w:r>
      <w:rPr>
        <w:spacing w:val="-27"/>
        <w:sz w:val="18"/>
        <w:szCs w:val="18"/>
      </w:rPr>
      <w:t xml:space="preserve"> </w:t>
    </w:r>
    <w:r>
      <w:rPr>
        <w:b/>
        <w:bCs/>
        <w:spacing w:val="-14"/>
        <w:sz w:val="18"/>
        <w:szCs w:val="18"/>
      </w:rPr>
      <w:t>共</w:t>
    </w:r>
    <w:r>
      <w:rPr>
        <w:spacing w:val="-39"/>
        <w:sz w:val="18"/>
        <w:szCs w:val="18"/>
      </w:rPr>
      <w:t xml:space="preserve"> </w:t>
    </w:r>
    <w:r>
      <w:rPr>
        <w:b/>
        <w:bCs/>
        <w:spacing w:val="-14"/>
        <w:sz w:val="18"/>
        <w:szCs w:val="18"/>
      </w:rPr>
      <w:t>499</w:t>
    </w:r>
    <w:r>
      <w:rPr>
        <w:spacing w:val="-14"/>
        <w:sz w:val="18"/>
        <w:szCs w:val="18"/>
      </w:rPr>
      <w:t xml:space="preserve"> </w:t>
    </w:r>
    <w:r>
      <w:rPr>
        <w:b/>
        <w:bCs/>
        <w:spacing w:val="-14"/>
        <w:sz w:val="18"/>
        <w:szCs w:val="18"/>
      </w:rPr>
      <w:t>页</w:t>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D2E007">
    <w:pPr>
      <w:spacing w:after="13" w:line="454" w:lineRule="exact"/>
    </w:pPr>
  </w:p>
  <w:p w14:paraId="07FABCB2">
    <w:pPr>
      <w:pStyle w:val="2"/>
      <w:spacing w:line="207" w:lineRule="auto"/>
      <w:ind w:left="5067"/>
      <w:rPr>
        <w:sz w:val="18"/>
        <w:szCs w:val="18"/>
      </w:rPr>
    </w:pPr>
    <w:r>
      <w:rPr>
        <w:b/>
        <w:bCs/>
        <w:spacing w:val="-14"/>
        <w:sz w:val="18"/>
        <w:szCs w:val="18"/>
      </w:rPr>
      <w:t>第</w:t>
    </w:r>
    <w:r>
      <w:rPr>
        <w:spacing w:val="-16"/>
        <w:sz w:val="18"/>
        <w:szCs w:val="18"/>
      </w:rPr>
      <w:t xml:space="preserve"> </w:t>
    </w:r>
    <w:r>
      <w:rPr>
        <w:b/>
        <w:bCs/>
        <w:spacing w:val="-14"/>
        <w:sz w:val="18"/>
        <w:szCs w:val="18"/>
      </w:rPr>
      <w:t>104</w:t>
    </w:r>
    <w:r>
      <w:rPr>
        <w:spacing w:val="-14"/>
        <w:sz w:val="18"/>
        <w:szCs w:val="18"/>
      </w:rPr>
      <w:t xml:space="preserve"> </w:t>
    </w:r>
    <w:r>
      <w:rPr>
        <w:b/>
        <w:bCs/>
        <w:spacing w:val="-14"/>
        <w:sz w:val="18"/>
        <w:szCs w:val="18"/>
      </w:rPr>
      <w:t>页</w:t>
    </w:r>
    <w:r>
      <w:rPr>
        <w:spacing w:val="-27"/>
        <w:sz w:val="18"/>
        <w:szCs w:val="18"/>
      </w:rPr>
      <w:t xml:space="preserve"> </w:t>
    </w:r>
    <w:r>
      <w:rPr>
        <w:b/>
        <w:bCs/>
        <w:spacing w:val="-14"/>
        <w:sz w:val="18"/>
        <w:szCs w:val="18"/>
      </w:rPr>
      <w:t>共</w:t>
    </w:r>
    <w:r>
      <w:rPr>
        <w:spacing w:val="-39"/>
        <w:sz w:val="18"/>
        <w:szCs w:val="18"/>
      </w:rPr>
      <w:t xml:space="preserve"> </w:t>
    </w:r>
    <w:r>
      <w:rPr>
        <w:b/>
        <w:bCs/>
        <w:spacing w:val="-14"/>
        <w:sz w:val="18"/>
        <w:szCs w:val="18"/>
      </w:rPr>
      <w:t>499</w:t>
    </w:r>
    <w:r>
      <w:rPr>
        <w:spacing w:val="-14"/>
        <w:sz w:val="18"/>
        <w:szCs w:val="18"/>
      </w:rPr>
      <w:t xml:space="preserve"> </w:t>
    </w:r>
    <w:r>
      <w:rPr>
        <w:b/>
        <w:bCs/>
        <w:spacing w:val="-14"/>
        <w:sz w:val="18"/>
        <w:szCs w:val="18"/>
      </w:rPr>
      <w:t>页</w:t>
    </w: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6E067D">
    <w:pPr>
      <w:spacing w:after="13" w:line="454" w:lineRule="exact"/>
    </w:pPr>
  </w:p>
  <w:p w14:paraId="49DFA5F4">
    <w:pPr>
      <w:pStyle w:val="2"/>
      <w:spacing w:line="207" w:lineRule="auto"/>
      <w:ind w:left="5067"/>
      <w:rPr>
        <w:sz w:val="18"/>
        <w:szCs w:val="18"/>
      </w:rPr>
    </w:pPr>
    <w:r>
      <w:rPr>
        <w:b/>
        <w:bCs/>
        <w:spacing w:val="-14"/>
        <w:sz w:val="18"/>
        <w:szCs w:val="18"/>
      </w:rPr>
      <w:t>第</w:t>
    </w:r>
    <w:r>
      <w:rPr>
        <w:spacing w:val="-16"/>
        <w:sz w:val="18"/>
        <w:szCs w:val="18"/>
      </w:rPr>
      <w:t xml:space="preserve"> </w:t>
    </w:r>
    <w:r>
      <w:rPr>
        <w:b/>
        <w:bCs/>
        <w:spacing w:val="-14"/>
        <w:sz w:val="18"/>
        <w:szCs w:val="18"/>
      </w:rPr>
      <w:t>105</w:t>
    </w:r>
    <w:r>
      <w:rPr>
        <w:spacing w:val="-14"/>
        <w:sz w:val="18"/>
        <w:szCs w:val="18"/>
      </w:rPr>
      <w:t xml:space="preserve"> </w:t>
    </w:r>
    <w:r>
      <w:rPr>
        <w:b/>
        <w:bCs/>
        <w:spacing w:val="-14"/>
        <w:sz w:val="18"/>
        <w:szCs w:val="18"/>
      </w:rPr>
      <w:t>页</w:t>
    </w:r>
    <w:r>
      <w:rPr>
        <w:spacing w:val="-27"/>
        <w:sz w:val="18"/>
        <w:szCs w:val="18"/>
      </w:rPr>
      <w:t xml:space="preserve"> </w:t>
    </w:r>
    <w:r>
      <w:rPr>
        <w:b/>
        <w:bCs/>
        <w:spacing w:val="-14"/>
        <w:sz w:val="18"/>
        <w:szCs w:val="18"/>
      </w:rPr>
      <w:t>共</w:t>
    </w:r>
    <w:r>
      <w:rPr>
        <w:spacing w:val="-39"/>
        <w:sz w:val="18"/>
        <w:szCs w:val="18"/>
      </w:rPr>
      <w:t xml:space="preserve"> </w:t>
    </w:r>
    <w:r>
      <w:rPr>
        <w:b/>
        <w:bCs/>
        <w:spacing w:val="-14"/>
        <w:sz w:val="18"/>
        <w:szCs w:val="18"/>
      </w:rPr>
      <w:t>499</w:t>
    </w:r>
    <w:r>
      <w:rPr>
        <w:spacing w:val="-14"/>
        <w:sz w:val="18"/>
        <w:szCs w:val="18"/>
      </w:rPr>
      <w:t xml:space="preserve"> </w:t>
    </w:r>
    <w:r>
      <w:rPr>
        <w:b/>
        <w:bCs/>
        <w:spacing w:val="-14"/>
        <w:sz w:val="18"/>
        <w:szCs w:val="18"/>
      </w:rPr>
      <w:t>页</w:t>
    </w: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FCCD2A">
    <w:pPr>
      <w:spacing w:after="13" w:line="454" w:lineRule="exact"/>
    </w:pPr>
  </w:p>
  <w:p w14:paraId="4F94A333">
    <w:pPr>
      <w:pStyle w:val="2"/>
      <w:spacing w:line="207" w:lineRule="auto"/>
      <w:ind w:left="5067"/>
      <w:rPr>
        <w:sz w:val="18"/>
        <w:szCs w:val="18"/>
      </w:rPr>
    </w:pPr>
    <w:r>
      <w:rPr>
        <w:b/>
        <w:bCs/>
        <w:spacing w:val="-14"/>
        <w:sz w:val="18"/>
        <w:szCs w:val="18"/>
      </w:rPr>
      <w:t>第</w:t>
    </w:r>
    <w:r>
      <w:rPr>
        <w:spacing w:val="-16"/>
        <w:sz w:val="18"/>
        <w:szCs w:val="18"/>
      </w:rPr>
      <w:t xml:space="preserve"> </w:t>
    </w:r>
    <w:r>
      <w:rPr>
        <w:b/>
        <w:bCs/>
        <w:spacing w:val="-14"/>
        <w:sz w:val="18"/>
        <w:szCs w:val="18"/>
      </w:rPr>
      <w:t>106</w:t>
    </w:r>
    <w:r>
      <w:rPr>
        <w:spacing w:val="-14"/>
        <w:sz w:val="18"/>
        <w:szCs w:val="18"/>
      </w:rPr>
      <w:t xml:space="preserve"> </w:t>
    </w:r>
    <w:r>
      <w:rPr>
        <w:b/>
        <w:bCs/>
        <w:spacing w:val="-14"/>
        <w:sz w:val="18"/>
        <w:szCs w:val="18"/>
      </w:rPr>
      <w:t>页</w:t>
    </w:r>
    <w:r>
      <w:rPr>
        <w:spacing w:val="-27"/>
        <w:sz w:val="18"/>
        <w:szCs w:val="18"/>
      </w:rPr>
      <w:t xml:space="preserve"> </w:t>
    </w:r>
    <w:r>
      <w:rPr>
        <w:b/>
        <w:bCs/>
        <w:spacing w:val="-14"/>
        <w:sz w:val="18"/>
        <w:szCs w:val="18"/>
      </w:rPr>
      <w:t>共</w:t>
    </w:r>
    <w:r>
      <w:rPr>
        <w:spacing w:val="-39"/>
        <w:sz w:val="18"/>
        <w:szCs w:val="18"/>
      </w:rPr>
      <w:t xml:space="preserve"> </w:t>
    </w:r>
    <w:r>
      <w:rPr>
        <w:b/>
        <w:bCs/>
        <w:spacing w:val="-14"/>
        <w:sz w:val="18"/>
        <w:szCs w:val="18"/>
      </w:rPr>
      <w:t>499</w:t>
    </w:r>
    <w:r>
      <w:rPr>
        <w:spacing w:val="-14"/>
        <w:sz w:val="18"/>
        <w:szCs w:val="18"/>
      </w:rPr>
      <w:t xml:space="preserve"> </w:t>
    </w:r>
    <w:r>
      <w:rPr>
        <w:b/>
        <w:bCs/>
        <w:spacing w:val="-14"/>
        <w:sz w:val="18"/>
        <w:szCs w:val="18"/>
      </w:rPr>
      <w:t>页</w:t>
    </w: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4A3AAD">
    <w:pPr>
      <w:spacing w:after="13" w:line="454" w:lineRule="exact"/>
    </w:pPr>
  </w:p>
  <w:p w14:paraId="79C27F97">
    <w:pPr>
      <w:pStyle w:val="2"/>
      <w:spacing w:line="207" w:lineRule="auto"/>
      <w:ind w:left="5067"/>
      <w:rPr>
        <w:sz w:val="18"/>
        <w:szCs w:val="18"/>
      </w:rPr>
    </w:pPr>
    <w:r>
      <w:rPr>
        <w:b/>
        <w:bCs/>
        <w:spacing w:val="-14"/>
        <w:sz w:val="18"/>
        <w:szCs w:val="18"/>
      </w:rPr>
      <w:t>第</w:t>
    </w:r>
    <w:r>
      <w:rPr>
        <w:spacing w:val="-16"/>
        <w:sz w:val="18"/>
        <w:szCs w:val="18"/>
      </w:rPr>
      <w:t xml:space="preserve"> </w:t>
    </w:r>
    <w:r>
      <w:rPr>
        <w:b/>
        <w:bCs/>
        <w:spacing w:val="-14"/>
        <w:sz w:val="18"/>
        <w:szCs w:val="18"/>
      </w:rPr>
      <w:t>107</w:t>
    </w:r>
    <w:r>
      <w:rPr>
        <w:spacing w:val="-14"/>
        <w:sz w:val="18"/>
        <w:szCs w:val="18"/>
      </w:rPr>
      <w:t xml:space="preserve"> </w:t>
    </w:r>
    <w:r>
      <w:rPr>
        <w:b/>
        <w:bCs/>
        <w:spacing w:val="-14"/>
        <w:sz w:val="18"/>
        <w:szCs w:val="18"/>
      </w:rPr>
      <w:t>页</w:t>
    </w:r>
    <w:r>
      <w:rPr>
        <w:spacing w:val="-27"/>
        <w:sz w:val="18"/>
        <w:szCs w:val="18"/>
      </w:rPr>
      <w:t xml:space="preserve"> </w:t>
    </w:r>
    <w:r>
      <w:rPr>
        <w:b/>
        <w:bCs/>
        <w:spacing w:val="-14"/>
        <w:sz w:val="18"/>
        <w:szCs w:val="18"/>
      </w:rPr>
      <w:t>共</w:t>
    </w:r>
    <w:r>
      <w:rPr>
        <w:spacing w:val="-39"/>
        <w:sz w:val="18"/>
        <w:szCs w:val="18"/>
      </w:rPr>
      <w:t xml:space="preserve"> </w:t>
    </w:r>
    <w:r>
      <w:rPr>
        <w:b/>
        <w:bCs/>
        <w:spacing w:val="-14"/>
        <w:sz w:val="18"/>
        <w:szCs w:val="18"/>
      </w:rPr>
      <w:t>499</w:t>
    </w:r>
    <w:r>
      <w:rPr>
        <w:spacing w:val="-14"/>
        <w:sz w:val="18"/>
        <w:szCs w:val="18"/>
      </w:rPr>
      <w:t xml:space="preserve"> </w:t>
    </w:r>
    <w:r>
      <w:rPr>
        <w:b/>
        <w:bCs/>
        <w:spacing w:val="-14"/>
        <w:sz w:val="18"/>
        <w:szCs w:val="18"/>
      </w:rPr>
      <w:t>页</w:t>
    </w: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8D1540">
    <w:pPr>
      <w:spacing w:after="13" w:line="454" w:lineRule="exact"/>
    </w:pPr>
  </w:p>
  <w:p w14:paraId="7368E463">
    <w:pPr>
      <w:pStyle w:val="2"/>
      <w:spacing w:line="207" w:lineRule="auto"/>
      <w:ind w:left="5067"/>
      <w:rPr>
        <w:sz w:val="18"/>
        <w:szCs w:val="18"/>
      </w:rPr>
    </w:pPr>
    <w:r>
      <w:rPr>
        <w:b/>
        <w:bCs/>
        <w:spacing w:val="-14"/>
        <w:sz w:val="18"/>
        <w:szCs w:val="18"/>
      </w:rPr>
      <w:t>第</w:t>
    </w:r>
    <w:r>
      <w:rPr>
        <w:spacing w:val="-16"/>
        <w:sz w:val="18"/>
        <w:szCs w:val="18"/>
      </w:rPr>
      <w:t xml:space="preserve"> </w:t>
    </w:r>
    <w:r>
      <w:rPr>
        <w:b/>
        <w:bCs/>
        <w:spacing w:val="-14"/>
        <w:sz w:val="18"/>
        <w:szCs w:val="18"/>
      </w:rPr>
      <w:t>108</w:t>
    </w:r>
    <w:r>
      <w:rPr>
        <w:spacing w:val="-14"/>
        <w:sz w:val="18"/>
        <w:szCs w:val="18"/>
      </w:rPr>
      <w:t xml:space="preserve"> </w:t>
    </w:r>
    <w:r>
      <w:rPr>
        <w:b/>
        <w:bCs/>
        <w:spacing w:val="-14"/>
        <w:sz w:val="18"/>
        <w:szCs w:val="18"/>
      </w:rPr>
      <w:t>页</w:t>
    </w:r>
    <w:r>
      <w:rPr>
        <w:spacing w:val="-27"/>
        <w:sz w:val="18"/>
        <w:szCs w:val="18"/>
      </w:rPr>
      <w:t xml:space="preserve"> </w:t>
    </w:r>
    <w:r>
      <w:rPr>
        <w:b/>
        <w:bCs/>
        <w:spacing w:val="-14"/>
        <w:sz w:val="18"/>
        <w:szCs w:val="18"/>
      </w:rPr>
      <w:t>共</w:t>
    </w:r>
    <w:r>
      <w:rPr>
        <w:spacing w:val="-39"/>
        <w:sz w:val="18"/>
        <w:szCs w:val="18"/>
      </w:rPr>
      <w:t xml:space="preserve"> </w:t>
    </w:r>
    <w:r>
      <w:rPr>
        <w:b/>
        <w:bCs/>
        <w:spacing w:val="-14"/>
        <w:sz w:val="18"/>
        <w:szCs w:val="18"/>
      </w:rPr>
      <w:t>499</w:t>
    </w:r>
    <w:r>
      <w:rPr>
        <w:spacing w:val="-14"/>
        <w:sz w:val="18"/>
        <w:szCs w:val="18"/>
      </w:rPr>
      <w:t xml:space="preserve"> </w:t>
    </w:r>
    <w:r>
      <w:rPr>
        <w:b/>
        <w:bCs/>
        <w:spacing w:val="-14"/>
        <w:sz w:val="18"/>
        <w:szCs w:val="18"/>
      </w:rPr>
      <w:t>页</w:t>
    </w: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ECB53E">
    <w:pPr>
      <w:spacing w:after="13" w:line="454" w:lineRule="exact"/>
    </w:pPr>
  </w:p>
  <w:p w14:paraId="421772BD">
    <w:pPr>
      <w:pStyle w:val="2"/>
      <w:spacing w:line="207" w:lineRule="auto"/>
      <w:ind w:left="5067"/>
      <w:rPr>
        <w:sz w:val="18"/>
        <w:szCs w:val="18"/>
      </w:rPr>
    </w:pPr>
    <w:r>
      <w:rPr>
        <w:b/>
        <w:bCs/>
        <w:spacing w:val="-14"/>
        <w:sz w:val="18"/>
        <w:szCs w:val="18"/>
      </w:rPr>
      <w:t>第</w:t>
    </w:r>
    <w:r>
      <w:rPr>
        <w:spacing w:val="-16"/>
        <w:sz w:val="18"/>
        <w:szCs w:val="18"/>
      </w:rPr>
      <w:t xml:space="preserve"> </w:t>
    </w:r>
    <w:r>
      <w:rPr>
        <w:b/>
        <w:bCs/>
        <w:spacing w:val="-14"/>
        <w:sz w:val="18"/>
        <w:szCs w:val="18"/>
      </w:rPr>
      <w:t>109</w:t>
    </w:r>
    <w:r>
      <w:rPr>
        <w:spacing w:val="-14"/>
        <w:sz w:val="18"/>
        <w:szCs w:val="18"/>
      </w:rPr>
      <w:t xml:space="preserve"> </w:t>
    </w:r>
    <w:r>
      <w:rPr>
        <w:b/>
        <w:bCs/>
        <w:spacing w:val="-14"/>
        <w:sz w:val="18"/>
        <w:szCs w:val="18"/>
      </w:rPr>
      <w:t>页</w:t>
    </w:r>
    <w:r>
      <w:rPr>
        <w:spacing w:val="-27"/>
        <w:sz w:val="18"/>
        <w:szCs w:val="18"/>
      </w:rPr>
      <w:t xml:space="preserve"> </w:t>
    </w:r>
    <w:r>
      <w:rPr>
        <w:b/>
        <w:bCs/>
        <w:spacing w:val="-14"/>
        <w:sz w:val="18"/>
        <w:szCs w:val="18"/>
      </w:rPr>
      <w:t>共</w:t>
    </w:r>
    <w:r>
      <w:rPr>
        <w:spacing w:val="-39"/>
        <w:sz w:val="18"/>
        <w:szCs w:val="18"/>
      </w:rPr>
      <w:t xml:space="preserve"> </w:t>
    </w:r>
    <w:r>
      <w:rPr>
        <w:b/>
        <w:bCs/>
        <w:spacing w:val="-14"/>
        <w:sz w:val="18"/>
        <w:szCs w:val="18"/>
      </w:rPr>
      <w:t>499</w:t>
    </w:r>
    <w:r>
      <w:rPr>
        <w:spacing w:val="-14"/>
        <w:sz w:val="18"/>
        <w:szCs w:val="18"/>
      </w:rPr>
      <w:t xml:space="preserve"> </w:t>
    </w:r>
    <w:r>
      <w:rPr>
        <w:b/>
        <w:bCs/>
        <w:spacing w:val="-14"/>
        <w:sz w:val="18"/>
        <w:szCs w:val="18"/>
      </w:rPr>
      <w:t>页</w:t>
    </w: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0DD434">
    <w:pPr>
      <w:spacing w:after="13" w:line="454" w:lineRule="exact"/>
    </w:pPr>
  </w:p>
  <w:p w14:paraId="7EC5BB9E">
    <w:pPr>
      <w:pStyle w:val="2"/>
      <w:spacing w:line="207" w:lineRule="auto"/>
      <w:ind w:left="5067"/>
      <w:rPr>
        <w:sz w:val="18"/>
        <w:szCs w:val="18"/>
      </w:rPr>
    </w:pPr>
    <w:r>
      <w:rPr>
        <w:b/>
        <w:bCs/>
        <w:spacing w:val="-14"/>
        <w:sz w:val="18"/>
        <w:szCs w:val="18"/>
      </w:rPr>
      <w:t>第</w:t>
    </w:r>
    <w:r>
      <w:rPr>
        <w:spacing w:val="-16"/>
        <w:sz w:val="18"/>
        <w:szCs w:val="18"/>
      </w:rPr>
      <w:t xml:space="preserve"> </w:t>
    </w:r>
    <w:r>
      <w:rPr>
        <w:b/>
        <w:bCs/>
        <w:spacing w:val="-14"/>
        <w:sz w:val="18"/>
        <w:szCs w:val="18"/>
      </w:rPr>
      <w:t>110</w:t>
    </w:r>
    <w:r>
      <w:rPr>
        <w:spacing w:val="-14"/>
        <w:sz w:val="18"/>
        <w:szCs w:val="18"/>
      </w:rPr>
      <w:t xml:space="preserve"> </w:t>
    </w:r>
    <w:r>
      <w:rPr>
        <w:b/>
        <w:bCs/>
        <w:spacing w:val="-14"/>
        <w:sz w:val="18"/>
        <w:szCs w:val="18"/>
      </w:rPr>
      <w:t>页</w:t>
    </w:r>
    <w:r>
      <w:rPr>
        <w:spacing w:val="-27"/>
        <w:sz w:val="18"/>
        <w:szCs w:val="18"/>
      </w:rPr>
      <w:t xml:space="preserve"> </w:t>
    </w:r>
    <w:r>
      <w:rPr>
        <w:b/>
        <w:bCs/>
        <w:spacing w:val="-14"/>
        <w:sz w:val="18"/>
        <w:szCs w:val="18"/>
      </w:rPr>
      <w:t>共</w:t>
    </w:r>
    <w:r>
      <w:rPr>
        <w:spacing w:val="-39"/>
        <w:sz w:val="18"/>
        <w:szCs w:val="18"/>
      </w:rPr>
      <w:t xml:space="preserve"> </w:t>
    </w:r>
    <w:r>
      <w:rPr>
        <w:b/>
        <w:bCs/>
        <w:spacing w:val="-14"/>
        <w:sz w:val="18"/>
        <w:szCs w:val="18"/>
      </w:rPr>
      <w:t>499</w:t>
    </w:r>
    <w:r>
      <w:rPr>
        <w:spacing w:val="-14"/>
        <w:sz w:val="18"/>
        <w:szCs w:val="18"/>
      </w:rPr>
      <w:t xml:space="preserve"> </w:t>
    </w:r>
    <w:r>
      <w:rPr>
        <w:b/>
        <w:bCs/>
        <w:spacing w:val="-14"/>
        <w:sz w:val="18"/>
        <w:szCs w:val="18"/>
      </w:rPr>
      <w:t>页</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1FF77D">
    <w:pPr>
      <w:spacing w:after="12" w:line="455" w:lineRule="exact"/>
    </w:pPr>
  </w:p>
  <w:p w14:paraId="63ABEF9B">
    <w:pPr>
      <w:pStyle w:val="2"/>
      <w:spacing w:line="207" w:lineRule="auto"/>
      <w:ind w:left="5507"/>
      <w:rPr>
        <w:sz w:val="18"/>
        <w:szCs w:val="18"/>
      </w:rPr>
    </w:pPr>
    <w:r>
      <w:rPr>
        <w:b/>
        <w:bCs/>
        <w:spacing w:val="-13"/>
        <w:sz w:val="18"/>
        <w:szCs w:val="18"/>
      </w:rPr>
      <w:t>第</w:t>
    </w:r>
    <w:r>
      <w:rPr>
        <w:spacing w:val="-31"/>
        <w:sz w:val="18"/>
        <w:szCs w:val="18"/>
      </w:rPr>
      <w:t xml:space="preserve"> </w:t>
    </w:r>
    <w:r>
      <w:rPr>
        <w:b/>
        <w:bCs/>
        <w:spacing w:val="-13"/>
        <w:sz w:val="18"/>
        <w:szCs w:val="18"/>
      </w:rPr>
      <w:t>6</w:t>
    </w:r>
    <w:r>
      <w:rPr>
        <w:spacing w:val="-13"/>
        <w:sz w:val="18"/>
        <w:szCs w:val="18"/>
      </w:rPr>
      <w:t xml:space="preserve"> </w:t>
    </w:r>
    <w:r>
      <w:rPr>
        <w:b/>
        <w:bCs/>
        <w:spacing w:val="-13"/>
        <w:sz w:val="18"/>
        <w:szCs w:val="18"/>
      </w:rPr>
      <w:t>页</w:t>
    </w:r>
    <w:r>
      <w:rPr>
        <w:spacing w:val="-25"/>
        <w:sz w:val="18"/>
        <w:szCs w:val="18"/>
      </w:rPr>
      <w:t xml:space="preserve"> </w:t>
    </w:r>
    <w:r>
      <w:rPr>
        <w:b/>
        <w:bCs/>
        <w:spacing w:val="-13"/>
        <w:sz w:val="18"/>
        <w:szCs w:val="18"/>
      </w:rPr>
      <w:t>共</w:t>
    </w:r>
    <w:r>
      <w:rPr>
        <w:spacing w:val="-39"/>
        <w:sz w:val="18"/>
        <w:szCs w:val="18"/>
      </w:rPr>
      <w:t xml:space="preserve"> </w:t>
    </w:r>
    <w:r>
      <w:rPr>
        <w:b/>
        <w:bCs/>
        <w:spacing w:val="-13"/>
        <w:sz w:val="18"/>
        <w:szCs w:val="18"/>
      </w:rPr>
      <w:t>499</w:t>
    </w:r>
    <w:r>
      <w:rPr>
        <w:spacing w:val="-13"/>
        <w:sz w:val="18"/>
        <w:szCs w:val="18"/>
      </w:rPr>
      <w:t xml:space="preserve"> </w:t>
    </w:r>
    <w:r>
      <w:rPr>
        <w:b/>
        <w:bCs/>
        <w:spacing w:val="-13"/>
        <w:sz w:val="18"/>
        <w:szCs w:val="18"/>
      </w:rPr>
      <w:t>页</w:t>
    </w: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E7A232">
    <w:pPr>
      <w:spacing w:after="13" w:line="454" w:lineRule="exact"/>
    </w:pPr>
  </w:p>
  <w:p w14:paraId="04D5EFBD">
    <w:pPr>
      <w:pStyle w:val="2"/>
      <w:spacing w:line="207" w:lineRule="auto"/>
      <w:ind w:left="5067"/>
      <w:rPr>
        <w:sz w:val="18"/>
        <w:szCs w:val="18"/>
      </w:rPr>
    </w:pPr>
    <w:r>
      <w:rPr>
        <w:b/>
        <w:bCs/>
        <w:spacing w:val="-14"/>
        <w:sz w:val="18"/>
        <w:szCs w:val="18"/>
      </w:rPr>
      <w:t>第</w:t>
    </w:r>
    <w:r>
      <w:rPr>
        <w:spacing w:val="-16"/>
        <w:sz w:val="18"/>
        <w:szCs w:val="18"/>
      </w:rPr>
      <w:t xml:space="preserve"> </w:t>
    </w:r>
    <w:r>
      <w:rPr>
        <w:b/>
        <w:bCs/>
        <w:spacing w:val="-14"/>
        <w:sz w:val="18"/>
        <w:szCs w:val="18"/>
      </w:rPr>
      <w:t>111</w:t>
    </w:r>
    <w:r>
      <w:rPr>
        <w:spacing w:val="-14"/>
        <w:sz w:val="18"/>
        <w:szCs w:val="18"/>
      </w:rPr>
      <w:t xml:space="preserve"> </w:t>
    </w:r>
    <w:r>
      <w:rPr>
        <w:b/>
        <w:bCs/>
        <w:spacing w:val="-14"/>
        <w:sz w:val="18"/>
        <w:szCs w:val="18"/>
      </w:rPr>
      <w:t>页</w:t>
    </w:r>
    <w:r>
      <w:rPr>
        <w:spacing w:val="-27"/>
        <w:sz w:val="18"/>
        <w:szCs w:val="18"/>
      </w:rPr>
      <w:t xml:space="preserve"> </w:t>
    </w:r>
    <w:r>
      <w:rPr>
        <w:b/>
        <w:bCs/>
        <w:spacing w:val="-14"/>
        <w:sz w:val="18"/>
        <w:szCs w:val="18"/>
      </w:rPr>
      <w:t>共</w:t>
    </w:r>
    <w:r>
      <w:rPr>
        <w:spacing w:val="-39"/>
        <w:sz w:val="18"/>
        <w:szCs w:val="18"/>
      </w:rPr>
      <w:t xml:space="preserve"> </w:t>
    </w:r>
    <w:r>
      <w:rPr>
        <w:b/>
        <w:bCs/>
        <w:spacing w:val="-14"/>
        <w:sz w:val="18"/>
        <w:szCs w:val="18"/>
      </w:rPr>
      <w:t>499</w:t>
    </w:r>
    <w:r>
      <w:rPr>
        <w:spacing w:val="-14"/>
        <w:sz w:val="18"/>
        <w:szCs w:val="18"/>
      </w:rPr>
      <w:t xml:space="preserve"> </w:t>
    </w:r>
    <w:r>
      <w:rPr>
        <w:b/>
        <w:bCs/>
        <w:spacing w:val="-14"/>
        <w:sz w:val="18"/>
        <w:szCs w:val="18"/>
      </w:rPr>
      <w:t>页</w:t>
    </w: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62258E">
    <w:pPr>
      <w:spacing w:after="13" w:line="454" w:lineRule="exact"/>
    </w:pPr>
  </w:p>
  <w:p w14:paraId="2428497D">
    <w:pPr>
      <w:pStyle w:val="2"/>
      <w:spacing w:line="207" w:lineRule="auto"/>
      <w:ind w:left="5067"/>
      <w:rPr>
        <w:sz w:val="18"/>
        <w:szCs w:val="18"/>
      </w:rPr>
    </w:pPr>
    <w:r>
      <w:rPr>
        <w:b/>
        <w:bCs/>
        <w:spacing w:val="-14"/>
        <w:sz w:val="18"/>
        <w:szCs w:val="18"/>
      </w:rPr>
      <w:t>第</w:t>
    </w:r>
    <w:r>
      <w:rPr>
        <w:spacing w:val="-16"/>
        <w:sz w:val="18"/>
        <w:szCs w:val="18"/>
      </w:rPr>
      <w:t xml:space="preserve"> </w:t>
    </w:r>
    <w:r>
      <w:rPr>
        <w:b/>
        <w:bCs/>
        <w:spacing w:val="-14"/>
        <w:sz w:val="18"/>
        <w:szCs w:val="18"/>
      </w:rPr>
      <w:t>112</w:t>
    </w:r>
    <w:r>
      <w:rPr>
        <w:spacing w:val="-14"/>
        <w:sz w:val="18"/>
        <w:szCs w:val="18"/>
      </w:rPr>
      <w:t xml:space="preserve"> </w:t>
    </w:r>
    <w:r>
      <w:rPr>
        <w:b/>
        <w:bCs/>
        <w:spacing w:val="-14"/>
        <w:sz w:val="18"/>
        <w:szCs w:val="18"/>
      </w:rPr>
      <w:t>页</w:t>
    </w:r>
    <w:r>
      <w:rPr>
        <w:spacing w:val="-27"/>
        <w:sz w:val="18"/>
        <w:szCs w:val="18"/>
      </w:rPr>
      <w:t xml:space="preserve"> </w:t>
    </w:r>
    <w:r>
      <w:rPr>
        <w:b/>
        <w:bCs/>
        <w:spacing w:val="-14"/>
        <w:sz w:val="18"/>
        <w:szCs w:val="18"/>
      </w:rPr>
      <w:t>共</w:t>
    </w:r>
    <w:r>
      <w:rPr>
        <w:spacing w:val="-39"/>
        <w:sz w:val="18"/>
        <w:szCs w:val="18"/>
      </w:rPr>
      <w:t xml:space="preserve"> </w:t>
    </w:r>
    <w:r>
      <w:rPr>
        <w:b/>
        <w:bCs/>
        <w:spacing w:val="-14"/>
        <w:sz w:val="18"/>
        <w:szCs w:val="18"/>
      </w:rPr>
      <w:t>499</w:t>
    </w:r>
    <w:r>
      <w:rPr>
        <w:spacing w:val="-14"/>
        <w:sz w:val="18"/>
        <w:szCs w:val="18"/>
      </w:rPr>
      <w:t xml:space="preserve"> </w:t>
    </w:r>
    <w:r>
      <w:rPr>
        <w:b/>
        <w:bCs/>
        <w:spacing w:val="-14"/>
        <w:sz w:val="18"/>
        <w:szCs w:val="18"/>
      </w:rPr>
      <w:t>页</w:t>
    </w: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19F4E9">
    <w:pPr>
      <w:spacing w:after="13" w:line="454" w:lineRule="exact"/>
    </w:pPr>
  </w:p>
  <w:p w14:paraId="72A2D531">
    <w:pPr>
      <w:pStyle w:val="2"/>
      <w:spacing w:line="207" w:lineRule="auto"/>
      <w:ind w:left="5067"/>
      <w:rPr>
        <w:sz w:val="18"/>
        <w:szCs w:val="18"/>
      </w:rPr>
    </w:pPr>
    <w:r>
      <w:rPr>
        <w:b/>
        <w:bCs/>
        <w:spacing w:val="-14"/>
        <w:sz w:val="18"/>
        <w:szCs w:val="18"/>
      </w:rPr>
      <w:t>第</w:t>
    </w:r>
    <w:r>
      <w:rPr>
        <w:spacing w:val="-16"/>
        <w:sz w:val="18"/>
        <w:szCs w:val="18"/>
      </w:rPr>
      <w:t xml:space="preserve"> </w:t>
    </w:r>
    <w:r>
      <w:rPr>
        <w:b/>
        <w:bCs/>
        <w:spacing w:val="-14"/>
        <w:sz w:val="18"/>
        <w:szCs w:val="18"/>
      </w:rPr>
      <w:t>113</w:t>
    </w:r>
    <w:r>
      <w:rPr>
        <w:spacing w:val="-14"/>
        <w:sz w:val="18"/>
        <w:szCs w:val="18"/>
      </w:rPr>
      <w:t xml:space="preserve"> </w:t>
    </w:r>
    <w:r>
      <w:rPr>
        <w:b/>
        <w:bCs/>
        <w:spacing w:val="-14"/>
        <w:sz w:val="18"/>
        <w:szCs w:val="18"/>
      </w:rPr>
      <w:t>页</w:t>
    </w:r>
    <w:r>
      <w:rPr>
        <w:spacing w:val="-27"/>
        <w:sz w:val="18"/>
        <w:szCs w:val="18"/>
      </w:rPr>
      <w:t xml:space="preserve"> </w:t>
    </w:r>
    <w:r>
      <w:rPr>
        <w:b/>
        <w:bCs/>
        <w:spacing w:val="-14"/>
        <w:sz w:val="18"/>
        <w:szCs w:val="18"/>
      </w:rPr>
      <w:t>共</w:t>
    </w:r>
    <w:r>
      <w:rPr>
        <w:spacing w:val="-39"/>
        <w:sz w:val="18"/>
        <w:szCs w:val="18"/>
      </w:rPr>
      <w:t xml:space="preserve"> </w:t>
    </w:r>
    <w:r>
      <w:rPr>
        <w:b/>
        <w:bCs/>
        <w:spacing w:val="-14"/>
        <w:sz w:val="18"/>
        <w:szCs w:val="18"/>
      </w:rPr>
      <w:t>499</w:t>
    </w:r>
    <w:r>
      <w:rPr>
        <w:spacing w:val="-14"/>
        <w:sz w:val="18"/>
        <w:szCs w:val="18"/>
      </w:rPr>
      <w:t xml:space="preserve"> </w:t>
    </w:r>
    <w:r>
      <w:rPr>
        <w:b/>
        <w:bCs/>
        <w:spacing w:val="-14"/>
        <w:sz w:val="18"/>
        <w:szCs w:val="18"/>
      </w:rPr>
      <w:t>页</w:t>
    </w: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4C19C5">
    <w:pPr>
      <w:spacing w:after="13" w:line="454" w:lineRule="exact"/>
    </w:pPr>
  </w:p>
  <w:p w14:paraId="5B55C974">
    <w:pPr>
      <w:pStyle w:val="2"/>
      <w:spacing w:line="207" w:lineRule="auto"/>
      <w:ind w:left="5067"/>
      <w:rPr>
        <w:sz w:val="18"/>
        <w:szCs w:val="18"/>
      </w:rPr>
    </w:pPr>
    <w:r>
      <w:rPr>
        <w:b/>
        <w:bCs/>
        <w:spacing w:val="-14"/>
        <w:sz w:val="18"/>
        <w:szCs w:val="18"/>
      </w:rPr>
      <w:t>第</w:t>
    </w:r>
    <w:r>
      <w:rPr>
        <w:spacing w:val="-16"/>
        <w:sz w:val="18"/>
        <w:szCs w:val="18"/>
      </w:rPr>
      <w:t xml:space="preserve"> </w:t>
    </w:r>
    <w:r>
      <w:rPr>
        <w:b/>
        <w:bCs/>
        <w:spacing w:val="-14"/>
        <w:sz w:val="18"/>
        <w:szCs w:val="18"/>
      </w:rPr>
      <w:t>114</w:t>
    </w:r>
    <w:r>
      <w:rPr>
        <w:spacing w:val="-14"/>
        <w:sz w:val="18"/>
        <w:szCs w:val="18"/>
      </w:rPr>
      <w:t xml:space="preserve"> </w:t>
    </w:r>
    <w:r>
      <w:rPr>
        <w:b/>
        <w:bCs/>
        <w:spacing w:val="-14"/>
        <w:sz w:val="18"/>
        <w:szCs w:val="18"/>
      </w:rPr>
      <w:t>页</w:t>
    </w:r>
    <w:r>
      <w:rPr>
        <w:spacing w:val="-27"/>
        <w:sz w:val="18"/>
        <w:szCs w:val="18"/>
      </w:rPr>
      <w:t xml:space="preserve"> </w:t>
    </w:r>
    <w:r>
      <w:rPr>
        <w:b/>
        <w:bCs/>
        <w:spacing w:val="-14"/>
        <w:sz w:val="18"/>
        <w:szCs w:val="18"/>
      </w:rPr>
      <w:t>共</w:t>
    </w:r>
    <w:r>
      <w:rPr>
        <w:spacing w:val="-39"/>
        <w:sz w:val="18"/>
        <w:szCs w:val="18"/>
      </w:rPr>
      <w:t xml:space="preserve"> </w:t>
    </w:r>
    <w:r>
      <w:rPr>
        <w:b/>
        <w:bCs/>
        <w:spacing w:val="-14"/>
        <w:sz w:val="18"/>
        <w:szCs w:val="18"/>
      </w:rPr>
      <w:t>499</w:t>
    </w:r>
    <w:r>
      <w:rPr>
        <w:spacing w:val="-14"/>
        <w:sz w:val="18"/>
        <w:szCs w:val="18"/>
      </w:rPr>
      <w:t xml:space="preserve"> </w:t>
    </w:r>
    <w:r>
      <w:rPr>
        <w:b/>
        <w:bCs/>
        <w:spacing w:val="-14"/>
        <w:sz w:val="18"/>
        <w:szCs w:val="18"/>
      </w:rPr>
      <w:t>页</w:t>
    </w: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D3E1BC">
    <w:pPr>
      <w:spacing w:after="13" w:line="454" w:lineRule="exact"/>
    </w:pPr>
  </w:p>
  <w:p w14:paraId="334A2B68">
    <w:pPr>
      <w:pStyle w:val="2"/>
      <w:spacing w:line="207" w:lineRule="auto"/>
      <w:ind w:left="5067"/>
      <w:rPr>
        <w:sz w:val="18"/>
        <w:szCs w:val="18"/>
      </w:rPr>
    </w:pPr>
    <w:r>
      <w:rPr>
        <w:b/>
        <w:bCs/>
        <w:spacing w:val="-14"/>
        <w:sz w:val="18"/>
        <w:szCs w:val="18"/>
      </w:rPr>
      <w:t>第</w:t>
    </w:r>
    <w:r>
      <w:rPr>
        <w:spacing w:val="-16"/>
        <w:sz w:val="18"/>
        <w:szCs w:val="18"/>
      </w:rPr>
      <w:t xml:space="preserve"> </w:t>
    </w:r>
    <w:r>
      <w:rPr>
        <w:b/>
        <w:bCs/>
        <w:spacing w:val="-14"/>
        <w:sz w:val="18"/>
        <w:szCs w:val="18"/>
      </w:rPr>
      <w:t>115</w:t>
    </w:r>
    <w:r>
      <w:rPr>
        <w:spacing w:val="-14"/>
        <w:sz w:val="18"/>
        <w:szCs w:val="18"/>
      </w:rPr>
      <w:t xml:space="preserve"> </w:t>
    </w:r>
    <w:r>
      <w:rPr>
        <w:b/>
        <w:bCs/>
        <w:spacing w:val="-14"/>
        <w:sz w:val="18"/>
        <w:szCs w:val="18"/>
      </w:rPr>
      <w:t>页</w:t>
    </w:r>
    <w:r>
      <w:rPr>
        <w:spacing w:val="-27"/>
        <w:sz w:val="18"/>
        <w:szCs w:val="18"/>
      </w:rPr>
      <w:t xml:space="preserve"> </w:t>
    </w:r>
    <w:r>
      <w:rPr>
        <w:b/>
        <w:bCs/>
        <w:spacing w:val="-14"/>
        <w:sz w:val="18"/>
        <w:szCs w:val="18"/>
      </w:rPr>
      <w:t>共</w:t>
    </w:r>
    <w:r>
      <w:rPr>
        <w:spacing w:val="-39"/>
        <w:sz w:val="18"/>
        <w:szCs w:val="18"/>
      </w:rPr>
      <w:t xml:space="preserve"> </w:t>
    </w:r>
    <w:r>
      <w:rPr>
        <w:b/>
        <w:bCs/>
        <w:spacing w:val="-14"/>
        <w:sz w:val="18"/>
        <w:szCs w:val="18"/>
      </w:rPr>
      <w:t>499</w:t>
    </w:r>
    <w:r>
      <w:rPr>
        <w:spacing w:val="-14"/>
        <w:sz w:val="18"/>
        <w:szCs w:val="18"/>
      </w:rPr>
      <w:t xml:space="preserve"> </w:t>
    </w:r>
    <w:r>
      <w:rPr>
        <w:b/>
        <w:bCs/>
        <w:spacing w:val="-14"/>
        <w:sz w:val="18"/>
        <w:szCs w:val="18"/>
      </w:rPr>
      <w:t>页</w:t>
    </w: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7D603C">
    <w:pPr>
      <w:spacing w:after="13" w:line="454" w:lineRule="exact"/>
    </w:pPr>
  </w:p>
  <w:p w14:paraId="5065E697">
    <w:pPr>
      <w:pStyle w:val="2"/>
      <w:spacing w:line="207" w:lineRule="auto"/>
      <w:ind w:left="5067"/>
      <w:rPr>
        <w:sz w:val="18"/>
        <w:szCs w:val="18"/>
      </w:rPr>
    </w:pPr>
    <w:r>
      <w:rPr>
        <w:b/>
        <w:bCs/>
        <w:spacing w:val="-14"/>
        <w:sz w:val="18"/>
        <w:szCs w:val="18"/>
      </w:rPr>
      <w:t>第</w:t>
    </w:r>
    <w:r>
      <w:rPr>
        <w:spacing w:val="-16"/>
        <w:sz w:val="18"/>
        <w:szCs w:val="18"/>
      </w:rPr>
      <w:t xml:space="preserve"> </w:t>
    </w:r>
    <w:r>
      <w:rPr>
        <w:b/>
        <w:bCs/>
        <w:spacing w:val="-14"/>
        <w:sz w:val="18"/>
        <w:szCs w:val="18"/>
      </w:rPr>
      <w:t>116</w:t>
    </w:r>
    <w:r>
      <w:rPr>
        <w:spacing w:val="-14"/>
        <w:sz w:val="18"/>
        <w:szCs w:val="18"/>
      </w:rPr>
      <w:t xml:space="preserve"> </w:t>
    </w:r>
    <w:r>
      <w:rPr>
        <w:b/>
        <w:bCs/>
        <w:spacing w:val="-14"/>
        <w:sz w:val="18"/>
        <w:szCs w:val="18"/>
      </w:rPr>
      <w:t>页</w:t>
    </w:r>
    <w:r>
      <w:rPr>
        <w:spacing w:val="-27"/>
        <w:sz w:val="18"/>
        <w:szCs w:val="18"/>
      </w:rPr>
      <w:t xml:space="preserve"> </w:t>
    </w:r>
    <w:r>
      <w:rPr>
        <w:b/>
        <w:bCs/>
        <w:spacing w:val="-14"/>
        <w:sz w:val="18"/>
        <w:szCs w:val="18"/>
      </w:rPr>
      <w:t>共</w:t>
    </w:r>
    <w:r>
      <w:rPr>
        <w:spacing w:val="-39"/>
        <w:sz w:val="18"/>
        <w:szCs w:val="18"/>
      </w:rPr>
      <w:t xml:space="preserve"> </w:t>
    </w:r>
    <w:r>
      <w:rPr>
        <w:b/>
        <w:bCs/>
        <w:spacing w:val="-14"/>
        <w:sz w:val="18"/>
        <w:szCs w:val="18"/>
      </w:rPr>
      <w:t>499</w:t>
    </w:r>
    <w:r>
      <w:rPr>
        <w:spacing w:val="-14"/>
        <w:sz w:val="18"/>
        <w:szCs w:val="18"/>
      </w:rPr>
      <w:t xml:space="preserve"> </w:t>
    </w:r>
    <w:r>
      <w:rPr>
        <w:b/>
        <w:bCs/>
        <w:spacing w:val="-14"/>
        <w:sz w:val="18"/>
        <w:szCs w:val="18"/>
      </w:rPr>
      <w:t>页</w:t>
    </w: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A02343">
    <w:pPr>
      <w:spacing w:after="13" w:line="454" w:lineRule="exact"/>
    </w:pPr>
  </w:p>
  <w:p w14:paraId="3A26D98C">
    <w:pPr>
      <w:pStyle w:val="2"/>
      <w:spacing w:line="207" w:lineRule="auto"/>
      <w:ind w:left="5067"/>
      <w:rPr>
        <w:sz w:val="18"/>
        <w:szCs w:val="18"/>
      </w:rPr>
    </w:pPr>
    <w:r>
      <w:rPr>
        <w:b/>
        <w:bCs/>
        <w:spacing w:val="-14"/>
        <w:sz w:val="18"/>
        <w:szCs w:val="18"/>
      </w:rPr>
      <w:t>第</w:t>
    </w:r>
    <w:r>
      <w:rPr>
        <w:spacing w:val="-16"/>
        <w:sz w:val="18"/>
        <w:szCs w:val="18"/>
      </w:rPr>
      <w:t xml:space="preserve"> </w:t>
    </w:r>
    <w:r>
      <w:rPr>
        <w:b/>
        <w:bCs/>
        <w:spacing w:val="-14"/>
        <w:sz w:val="18"/>
        <w:szCs w:val="18"/>
      </w:rPr>
      <w:t>117</w:t>
    </w:r>
    <w:r>
      <w:rPr>
        <w:spacing w:val="-14"/>
        <w:sz w:val="18"/>
        <w:szCs w:val="18"/>
      </w:rPr>
      <w:t xml:space="preserve"> </w:t>
    </w:r>
    <w:r>
      <w:rPr>
        <w:b/>
        <w:bCs/>
        <w:spacing w:val="-14"/>
        <w:sz w:val="18"/>
        <w:szCs w:val="18"/>
      </w:rPr>
      <w:t>页</w:t>
    </w:r>
    <w:r>
      <w:rPr>
        <w:spacing w:val="-27"/>
        <w:sz w:val="18"/>
        <w:szCs w:val="18"/>
      </w:rPr>
      <w:t xml:space="preserve"> </w:t>
    </w:r>
    <w:r>
      <w:rPr>
        <w:b/>
        <w:bCs/>
        <w:spacing w:val="-14"/>
        <w:sz w:val="18"/>
        <w:szCs w:val="18"/>
      </w:rPr>
      <w:t>共</w:t>
    </w:r>
    <w:r>
      <w:rPr>
        <w:spacing w:val="-39"/>
        <w:sz w:val="18"/>
        <w:szCs w:val="18"/>
      </w:rPr>
      <w:t xml:space="preserve"> </w:t>
    </w:r>
    <w:r>
      <w:rPr>
        <w:b/>
        <w:bCs/>
        <w:spacing w:val="-14"/>
        <w:sz w:val="18"/>
        <w:szCs w:val="18"/>
      </w:rPr>
      <w:t>499</w:t>
    </w:r>
    <w:r>
      <w:rPr>
        <w:spacing w:val="-14"/>
        <w:sz w:val="18"/>
        <w:szCs w:val="18"/>
      </w:rPr>
      <w:t xml:space="preserve"> </w:t>
    </w:r>
    <w:r>
      <w:rPr>
        <w:b/>
        <w:bCs/>
        <w:spacing w:val="-14"/>
        <w:sz w:val="18"/>
        <w:szCs w:val="18"/>
      </w:rPr>
      <w:t>页</w:t>
    </w: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C5F2AB">
    <w:pPr>
      <w:spacing w:after="13" w:line="454" w:lineRule="exact"/>
    </w:pPr>
  </w:p>
  <w:p w14:paraId="42E82F48">
    <w:pPr>
      <w:pStyle w:val="2"/>
      <w:spacing w:line="207" w:lineRule="auto"/>
      <w:ind w:left="5067"/>
      <w:rPr>
        <w:sz w:val="18"/>
        <w:szCs w:val="18"/>
      </w:rPr>
    </w:pPr>
    <w:r>
      <w:rPr>
        <w:b/>
        <w:bCs/>
        <w:spacing w:val="-14"/>
        <w:sz w:val="18"/>
        <w:szCs w:val="18"/>
      </w:rPr>
      <w:t>第</w:t>
    </w:r>
    <w:r>
      <w:rPr>
        <w:spacing w:val="-16"/>
        <w:sz w:val="18"/>
        <w:szCs w:val="18"/>
      </w:rPr>
      <w:t xml:space="preserve"> </w:t>
    </w:r>
    <w:r>
      <w:rPr>
        <w:b/>
        <w:bCs/>
        <w:spacing w:val="-14"/>
        <w:sz w:val="18"/>
        <w:szCs w:val="18"/>
      </w:rPr>
      <w:t>118</w:t>
    </w:r>
    <w:r>
      <w:rPr>
        <w:spacing w:val="-14"/>
        <w:sz w:val="18"/>
        <w:szCs w:val="18"/>
      </w:rPr>
      <w:t xml:space="preserve"> </w:t>
    </w:r>
    <w:r>
      <w:rPr>
        <w:b/>
        <w:bCs/>
        <w:spacing w:val="-14"/>
        <w:sz w:val="18"/>
        <w:szCs w:val="18"/>
      </w:rPr>
      <w:t>页</w:t>
    </w:r>
    <w:r>
      <w:rPr>
        <w:spacing w:val="-27"/>
        <w:sz w:val="18"/>
        <w:szCs w:val="18"/>
      </w:rPr>
      <w:t xml:space="preserve"> </w:t>
    </w:r>
    <w:r>
      <w:rPr>
        <w:b/>
        <w:bCs/>
        <w:spacing w:val="-14"/>
        <w:sz w:val="18"/>
        <w:szCs w:val="18"/>
      </w:rPr>
      <w:t>共</w:t>
    </w:r>
    <w:r>
      <w:rPr>
        <w:spacing w:val="-39"/>
        <w:sz w:val="18"/>
        <w:szCs w:val="18"/>
      </w:rPr>
      <w:t xml:space="preserve"> </w:t>
    </w:r>
    <w:r>
      <w:rPr>
        <w:b/>
        <w:bCs/>
        <w:spacing w:val="-14"/>
        <w:sz w:val="18"/>
        <w:szCs w:val="18"/>
      </w:rPr>
      <w:t>499</w:t>
    </w:r>
    <w:r>
      <w:rPr>
        <w:spacing w:val="-14"/>
        <w:sz w:val="18"/>
        <w:szCs w:val="18"/>
      </w:rPr>
      <w:t xml:space="preserve"> </w:t>
    </w:r>
    <w:r>
      <w:rPr>
        <w:b/>
        <w:bCs/>
        <w:spacing w:val="-14"/>
        <w:sz w:val="18"/>
        <w:szCs w:val="18"/>
      </w:rPr>
      <w:t>页</w:t>
    </w: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482B15">
    <w:pPr>
      <w:spacing w:after="13" w:line="454" w:lineRule="exact"/>
    </w:pPr>
  </w:p>
  <w:p w14:paraId="7DF22BC9">
    <w:pPr>
      <w:pStyle w:val="2"/>
      <w:spacing w:line="207" w:lineRule="auto"/>
      <w:ind w:left="5067"/>
      <w:rPr>
        <w:sz w:val="18"/>
        <w:szCs w:val="18"/>
      </w:rPr>
    </w:pPr>
    <w:r>
      <w:rPr>
        <w:b/>
        <w:bCs/>
        <w:spacing w:val="-14"/>
        <w:sz w:val="18"/>
        <w:szCs w:val="18"/>
      </w:rPr>
      <w:t>第</w:t>
    </w:r>
    <w:r>
      <w:rPr>
        <w:spacing w:val="-16"/>
        <w:sz w:val="18"/>
        <w:szCs w:val="18"/>
      </w:rPr>
      <w:t xml:space="preserve"> </w:t>
    </w:r>
    <w:r>
      <w:rPr>
        <w:b/>
        <w:bCs/>
        <w:spacing w:val="-14"/>
        <w:sz w:val="18"/>
        <w:szCs w:val="18"/>
      </w:rPr>
      <w:t>119</w:t>
    </w:r>
    <w:r>
      <w:rPr>
        <w:spacing w:val="-14"/>
        <w:sz w:val="18"/>
        <w:szCs w:val="18"/>
      </w:rPr>
      <w:t xml:space="preserve"> </w:t>
    </w:r>
    <w:r>
      <w:rPr>
        <w:b/>
        <w:bCs/>
        <w:spacing w:val="-14"/>
        <w:sz w:val="18"/>
        <w:szCs w:val="18"/>
      </w:rPr>
      <w:t>页</w:t>
    </w:r>
    <w:r>
      <w:rPr>
        <w:spacing w:val="-27"/>
        <w:sz w:val="18"/>
        <w:szCs w:val="18"/>
      </w:rPr>
      <w:t xml:space="preserve"> </w:t>
    </w:r>
    <w:r>
      <w:rPr>
        <w:b/>
        <w:bCs/>
        <w:spacing w:val="-14"/>
        <w:sz w:val="18"/>
        <w:szCs w:val="18"/>
      </w:rPr>
      <w:t>共</w:t>
    </w:r>
    <w:r>
      <w:rPr>
        <w:spacing w:val="-39"/>
        <w:sz w:val="18"/>
        <w:szCs w:val="18"/>
      </w:rPr>
      <w:t xml:space="preserve"> </w:t>
    </w:r>
    <w:r>
      <w:rPr>
        <w:b/>
        <w:bCs/>
        <w:spacing w:val="-14"/>
        <w:sz w:val="18"/>
        <w:szCs w:val="18"/>
      </w:rPr>
      <w:t>499</w:t>
    </w:r>
    <w:r>
      <w:rPr>
        <w:spacing w:val="-14"/>
        <w:sz w:val="18"/>
        <w:szCs w:val="18"/>
      </w:rPr>
      <w:t xml:space="preserve"> </w:t>
    </w:r>
    <w:r>
      <w:rPr>
        <w:b/>
        <w:bCs/>
        <w:spacing w:val="-14"/>
        <w:sz w:val="18"/>
        <w:szCs w:val="18"/>
      </w:rPr>
      <w:t>页</w:t>
    </w: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C107AA">
    <w:pPr>
      <w:spacing w:after="13" w:line="454" w:lineRule="exact"/>
    </w:pPr>
  </w:p>
  <w:p w14:paraId="3012840B">
    <w:pPr>
      <w:pStyle w:val="2"/>
      <w:spacing w:line="207" w:lineRule="auto"/>
      <w:ind w:left="5067"/>
      <w:rPr>
        <w:sz w:val="18"/>
        <w:szCs w:val="18"/>
      </w:rPr>
    </w:pPr>
    <w:r>
      <w:rPr>
        <w:b/>
        <w:bCs/>
        <w:spacing w:val="-14"/>
        <w:sz w:val="18"/>
        <w:szCs w:val="18"/>
      </w:rPr>
      <w:t>第</w:t>
    </w:r>
    <w:r>
      <w:rPr>
        <w:spacing w:val="-16"/>
        <w:sz w:val="18"/>
        <w:szCs w:val="18"/>
      </w:rPr>
      <w:t xml:space="preserve"> </w:t>
    </w:r>
    <w:r>
      <w:rPr>
        <w:b/>
        <w:bCs/>
        <w:spacing w:val="-14"/>
        <w:sz w:val="18"/>
        <w:szCs w:val="18"/>
      </w:rPr>
      <w:t>120</w:t>
    </w:r>
    <w:r>
      <w:rPr>
        <w:spacing w:val="-14"/>
        <w:sz w:val="18"/>
        <w:szCs w:val="18"/>
      </w:rPr>
      <w:t xml:space="preserve"> </w:t>
    </w:r>
    <w:r>
      <w:rPr>
        <w:b/>
        <w:bCs/>
        <w:spacing w:val="-14"/>
        <w:sz w:val="18"/>
        <w:szCs w:val="18"/>
      </w:rPr>
      <w:t>页</w:t>
    </w:r>
    <w:r>
      <w:rPr>
        <w:spacing w:val="-27"/>
        <w:sz w:val="18"/>
        <w:szCs w:val="18"/>
      </w:rPr>
      <w:t xml:space="preserve"> </w:t>
    </w:r>
    <w:r>
      <w:rPr>
        <w:b/>
        <w:bCs/>
        <w:spacing w:val="-14"/>
        <w:sz w:val="18"/>
        <w:szCs w:val="18"/>
      </w:rPr>
      <w:t>共</w:t>
    </w:r>
    <w:r>
      <w:rPr>
        <w:spacing w:val="-39"/>
        <w:sz w:val="18"/>
        <w:szCs w:val="18"/>
      </w:rPr>
      <w:t xml:space="preserve"> </w:t>
    </w:r>
    <w:r>
      <w:rPr>
        <w:b/>
        <w:bCs/>
        <w:spacing w:val="-14"/>
        <w:sz w:val="18"/>
        <w:szCs w:val="18"/>
      </w:rPr>
      <w:t>499</w:t>
    </w:r>
    <w:r>
      <w:rPr>
        <w:spacing w:val="-14"/>
        <w:sz w:val="18"/>
        <w:szCs w:val="18"/>
      </w:rPr>
      <w:t xml:space="preserve"> </w:t>
    </w:r>
    <w:r>
      <w:rPr>
        <w:b/>
        <w:bCs/>
        <w:spacing w:val="-14"/>
        <w:sz w:val="18"/>
        <w:szCs w:val="18"/>
      </w:rPr>
      <w:t>页</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F109E4">
    <w:pPr>
      <w:spacing w:after="12" w:line="455" w:lineRule="exact"/>
    </w:pPr>
  </w:p>
  <w:p w14:paraId="4CC25575">
    <w:pPr>
      <w:pStyle w:val="2"/>
      <w:spacing w:line="207" w:lineRule="auto"/>
      <w:ind w:left="5507"/>
      <w:rPr>
        <w:sz w:val="18"/>
        <w:szCs w:val="18"/>
      </w:rPr>
    </w:pPr>
    <w:r>
      <w:rPr>
        <w:b/>
        <w:bCs/>
        <w:spacing w:val="-13"/>
        <w:sz w:val="18"/>
        <w:szCs w:val="18"/>
      </w:rPr>
      <w:t>第</w:t>
    </w:r>
    <w:r>
      <w:rPr>
        <w:spacing w:val="-31"/>
        <w:sz w:val="18"/>
        <w:szCs w:val="18"/>
      </w:rPr>
      <w:t xml:space="preserve"> </w:t>
    </w:r>
    <w:r>
      <w:rPr>
        <w:b/>
        <w:bCs/>
        <w:spacing w:val="-13"/>
        <w:sz w:val="18"/>
        <w:szCs w:val="18"/>
      </w:rPr>
      <w:t>7</w:t>
    </w:r>
    <w:r>
      <w:rPr>
        <w:spacing w:val="-13"/>
        <w:sz w:val="18"/>
        <w:szCs w:val="18"/>
      </w:rPr>
      <w:t xml:space="preserve"> </w:t>
    </w:r>
    <w:r>
      <w:rPr>
        <w:b/>
        <w:bCs/>
        <w:spacing w:val="-13"/>
        <w:sz w:val="18"/>
        <w:szCs w:val="18"/>
      </w:rPr>
      <w:t>页</w:t>
    </w:r>
    <w:r>
      <w:rPr>
        <w:spacing w:val="-25"/>
        <w:sz w:val="18"/>
        <w:szCs w:val="18"/>
      </w:rPr>
      <w:t xml:space="preserve"> </w:t>
    </w:r>
    <w:r>
      <w:rPr>
        <w:b/>
        <w:bCs/>
        <w:spacing w:val="-13"/>
        <w:sz w:val="18"/>
        <w:szCs w:val="18"/>
      </w:rPr>
      <w:t>共</w:t>
    </w:r>
    <w:r>
      <w:rPr>
        <w:spacing w:val="-39"/>
        <w:sz w:val="18"/>
        <w:szCs w:val="18"/>
      </w:rPr>
      <w:t xml:space="preserve"> </w:t>
    </w:r>
    <w:r>
      <w:rPr>
        <w:b/>
        <w:bCs/>
        <w:spacing w:val="-13"/>
        <w:sz w:val="18"/>
        <w:szCs w:val="18"/>
      </w:rPr>
      <w:t>499</w:t>
    </w:r>
    <w:r>
      <w:rPr>
        <w:spacing w:val="-13"/>
        <w:sz w:val="18"/>
        <w:szCs w:val="18"/>
      </w:rPr>
      <w:t xml:space="preserve"> </w:t>
    </w:r>
    <w:r>
      <w:rPr>
        <w:b/>
        <w:bCs/>
        <w:spacing w:val="-13"/>
        <w:sz w:val="18"/>
        <w:szCs w:val="18"/>
      </w:rPr>
      <w:t>页</w:t>
    </w: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D23980">
    <w:pPr>
      <w:spacing w:after="13" w:line="454" w:lineRule="exact"/>
    </w:pPr>
  </w:p>
  <w:p w14:paraId="37A0E4C8">
    <w:pPr>
      <w:pStyle w:val="2"/>
      <w:spacing w:line="207" w:lineRule="auto"/>
      <w:ind w:left="5067"/>
      <w:rPr>
        <w:sz w:val="18"/>
        <w:szCs w:val="18"/>
      </w:rPr>
    </w:pPr>
    <w:r>
      <w:rPr>
        <w:b/>
        <w:bCs/>
        <w:spacing w:val="-14"/>
        <w:sz w:val="18"/>
        <w:szCs w:val="18"/>
      </w:rPr>
      <w:t>第</w:t>
    </w:r>
    <w:r>
      <w:rPr>
        <w:spacing w:val="-16"/>
        <w:sz w:val="18"/>
        <w:szCs w:val="18"/>
      </w:rPr>
      <w:t xml:space="preserve"> </w:t>
    </w:r>
    <w:r>
      <w:rPr>
        <w:b/>
        <w:bCs/>
        <w:spacing w:val="-14"/>
        <w:sz w:val="18"/>
        <w:szCs w:val="18"/>
      </w:rPr>
      <w:t>121</w:t>
    </w:r>
    <w:r>
      <w:rPr>
        <w:spacing w:val="-14"/>
        <w:sz w:val="18"/>
        <w:szCs w:val="18"/>
      </w:rPr>
      <w:t xml:space="preserve"> </w:t>
    </w:r>
    <w:r>
      <w:rPr>
        <w:b/>
        <w:bCs/>
        <w:spacing w:val="-14"/>
        <w:sz w:val="18"/>
        <w:szCs w:val="18"/>
      </w:rPr>
      <w:t>页</w:t>
    </w:r>
    <w:r>
      <w:rPr>
        <w:spacing w:val="-27"/>
        <w:sz w:val="18"/>
        <w:szCs w:val="18"/>
      </w:rPr>
      <w:t xml:space="preserve"> </w:t>
    </w:r>
    <w:r>
      <w:rPr>
        <w:b/>
        <w:bCs/>
        <w:spacing w:val="-14"/>
        <w:sz w:val="18"/>
        <w:szCs w:val="18"/>
      </w:rPr>
      <w:t>共</w:t>
    </w:r>
    <w:r>
      <w:rPr>
        <w:spacing w:val="-39"/>
        <w:sz w:val="18"/>
        <w:szCs w:val="18"/>
      </w:rPr>
      <w:t xml:space="preserve"> </w:t>
    </w:r>
    <w:r>
      <w:rPr>
        <w:b/>
        <w:bCs/>
        <w:spacing w:val="-14"/>
        <w:sz w:val="18"/>
        <w:szCs w:val="18"/>
      </w:rPr>
      <w:t>499</w:t>
    </w:r>
    <w:r>
      <w:rPr>
        <w:spacing w:val="-14"/>
        <w:sz w:val="18"/>
        <w:szCs w:val="18"/>
      </w:rPr>
      <w:t xml:space="preserve"> </w:t>
    </w:r>
    <w:r>
      <w:rPr>
        <w:b/>
        <w:bCs/>
        <w:spacing w:val="-14"/>
        <w:sz w:val="18"/>
        <w:szCs w:val="18"/>
      </w:rPr>
      <w:t>页</w:t>
    </w: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0D8E43">
    <w:pPr>
      <w:spacing w:after="13" w:line="454" w:lineRule="exact"/>
    </w:pPr>
  </w:p>
  <w:p w14:paraId="6FFB0220">
    <w:pPr>
      <w:pStyle w:val="2"/>
      <w:spacing w:line="207" w:lineRule="auto"/>
      <w:ind w:left="5067"/>
      <w:rPr>
        <w:sz w:val="18"/>
        <w:szCs w:val="18"/>
      </w:rPr>
    </w:pPr>
    <w:r>
      <w:rPr>
        <w:b/>
        <w:bCs/>
        <w:spacing w:val="-14"/>
        <w:sz w:val="18"/>
        <w:szCs w:val="18"/>
      </w:rPr>
      <w:t>第</w:t>
    </w:r>
    <w:r>
      <w:rPr>
        <w:spacing w:val="-16"/>
        <w:sz w:val="18"/>
        <w:szCs w:val="18"/>
      </w:rPr>
      <w:t xml:space="preserve"> </w:t>
    </w:r>
    <w:r>
      <w:rPr>
        <w:b/>
        <w:bCs/>
        <w:spacing w:val="-14"/>
        <w:sz w:val="18"/>
        <w:szCs w:val="18"/>
      </w:rPr>
      <w:t>122</w:t>
    </w:r>
    <w:r>
      <w:rPr>
        <w:spacing w:val="-14"/>
        <w:sz w:val="18"/>
        <w:szCs w:val="18"/>
      </w:rPr>
      <w:t xml:space="preserve"> </w:t>
    </w:r>
    <w:r>
      <w:rPr>
        <w:b/>
        <w:bCs/>
        <w:spacing w:val="-14"/>
        <w:sz w:val="18"/>
        <w:szCs w:val="18"/>
      </w:rPr>
      <w:t>页</w:t>
    </w:r>
    <w:r>
      <w:rPr>
        <w:spacing w:val="-27"/>
        <w:sz w:val="18"/>
        <w:szCs w:val="18"/>
      </w:rPr>
      <w:t xml:space="preserve"> </w:t>
    </w:r>
    <w:r>
      <w:rPr>
        <w:b/>
        <w:bCs/>
        <w:spacing w:val="-14"/>
        <w:sz w:val="18"/>
        <w:szCs w:val="18"/>
      </w:rPr>
      <w:t>共</w:t>
    </w:r>
    <w:r>
      <w:rPr>
        <w:spacing w:val="-39"/>
        <w:sz w:val="18"/>
        <w:szCs w:val="18"/>
      </w:rPr>
      <w:t xml:space="preserve"> </w:t>
    </w:r>
    <w:r>
      <w:rPr>
        <w:b/>
        <w:bCs/>
        <w:spacing w:val="-14"/>
        <w:sz w:val="18"/>
        <w:szCs w:val="18"/>
      </w:rPr>
      <w:t>499</w:t>
    </w:r>
    <w:r>
      <w:rPr>
        <w:spacing w:val="-14"/>
        <w:sz w:val="18"/>
        <w:szCs w:val="18"/>
      </w:rPr>
      <w:t xml:space="preserve"> </w:t>
    </w:r>
    <w:r>
      <w:rPr>
        <w:b/>
        <w:bCs/>
        <w:spacing w:val="-14"/>
        <w:sz w:val="18"/>
        <w:szCs w:val="18"/>
      </w:rPr>
      <w:t>页</w:t>
    </w:r>
  </w:p>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D58CC3">
    <w:pPr>
      <w:spacing w:after="13" w:line="454" w:lineRule="exact"/>
    </w:pPr>
  </w:p>
  <w:p w14:paraId="0ABFD6CB">
    <w:pPr>
      <w:pStyle w:val="2"/>
      <w:spacing w:line="207" w:lineRule="auto"/>
      <w:ind w:left="5067"/>
      <w:rPr>
        <w:sz w:val="18"/>
        <w:szCs w:val="18"/>
      </w:rPr>
    </w:pPr>
    <w:r>
      <w:rPr>
        <w:b/>
        <w:bCs/>
        <w:spacing w:val="-14"/>
        <w:sz w:val="18"/>
        <w:szCs w:val="18"/>
      </w:rPr>
      <w:t>第</w:t>
    </w:r>
    <w:r>
      <w:rPr>
        <w:spacing w:val="-16"/>
        <w:sz w:val="18"/>
        <w:szCs w:val="18"/>
      </w:rPr>
      <w:t xml:space="preserve"> </w:t>
    </w:r>
    <w:r>
      <w:rPr>
        <w:b/>
        <w:bCs/>
        <w:spacing w:val="-14"/>
        <w:sz w:val="18"/>
        <w:szCs w:val="18"/>
      </w:rPr>
      <w:t>123</w:t>
    </w:r>
    <w:r>
      <w:rPr>
        <w:spacing w:val="-14"/>
        <w:sz w:val="18"/>
        <w:szCs w:val="18"/>
      </w:rPr>
      <w:t xml:space="preserve"> </w:t>
    </w:r>
    <w:r>
      <w:rPr>
        <w:b/>
        <w:bCs/>
        <w:spacing w:val="-14"/>
        <w:sz w:val="18"/>
        <w:szCs w:val="18"/>
      </w:rPr>
      <w:t>页</w:t>
    </w:r>
    <w:r>
      <w:rPr>
        <w:spacing w:val="-27"/>
        <w:sz w:val="18"/>
        <w:szCs w:val="18"/>
      </w:rPr>
      <w:t xml:space="preserve"> </w:t>
    </w:r>
    <w:r>
      <w:rPr>
        <w:b/>
        <w:bCs/>
        <w:spacing w:val="-14"/>
        <w:sz w:val="18"/>
        <w:szCs w:val="18"/>
      </w:rPr>
      <w:t>共</w:t>
    </w:r>
    <w:r>
      <w:rPr>
        <w:spacing w:val="-39"/>
        <w:sz w:val="18"/>
        <w:szCs w:val="18"/>
      </w:rPr>
      <w:t xml:space="preserve"> </w:t>
    </w:r>
    <w:r>
      <w:rPr>
        <w:b/>
        <w:bCs/>
        <w:spacing w:val="-14"/>
        <w:sz w:val="18"/>
        <w:szCs w:val="18"/>
      </w:rPr>
      <w:t>499</w:t>
    </w:r>
    <w:r>
      <w:rPr>
        <w:spacing w:val="-14"/>
        <w:sz w:val="18"/>
        <w:szCs w:val="18"/>
      </w:rPr>
      <w:t xml:space="preserve"> </w:t>
    </w:r>
    <w:r>
      <w:rPr>
        <w:b/>
        <w:bCs/>
        <w:spacing w:val="-14"/>
        <w:sz w:val="18"/>
        <w:szCs w:val="18"/>
      </w:rPr>
      <w:t>页</w:t>
    </w:r>
  </w:p>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477798">
    <w:pPr>
      <w:spacing w:after="13" w:line="454" w:lineRule="exact"/>
    </w:pPr>
  </w:p>
  <w:p w14:paraId="4260036B">
    <w:pPr>
      <w:pStyle w:val="2"/>
      <w:spacing w:line="207" w:lineRule="auto"/>
      <w:ind w:left="5067"/>
      <w:rPr>
        <w:sz w:val="18"/>
        <w:szCs w:val="18"/>
      </w:rPr>
    </w:pPr>
    <w:r>
      <w:rPr>
        <w:b/>
        <w:bCs/>
        <w:spacing w:val="-14"/>
        <w:sz w:val="18"/>
        <w:szCs w:val="18"/>
      </w:rPr>
      <w:t>第</w:t>
    </w:r>
    <w:r>
      <w:rPr>
        <w:spacing w:val="-16"/>
        <w:sz w:val="18"/>
        <w:szCs w:val="18"/>
      </w:rPr>
      <w:t xml:space="preserve"> </w:t>
    </w:r>
    <w:r>
      <w:rPr>
        <w:b/>
        <w:bCs/>
        <w:spacing w:val="-14"/>
        <w:sz w:val="18"/>
        <w:szCs w:val="18"/>
      </w:rPr>
      <w:t>124</w:t>
    </w:r>
    <w:r>
      <w:rPr>
        <w:spacing w:val="-14"/>
        <w:sz w:val="18"/>
        <w:szCs w:val="18"/>
      </w:rPr>
      <w:t xml:space="preserve"> </w:t>
    </w:r>
    <w:r>
      <w:rPr>
        <w:b/>
        <w:bCs/>
        <w:spacing w:val="-14"/>
        <w:sz w:val="18"/>
        <w:szCs w:val="18"/>
      </w:rPr>
      <w:t>页</w:t>
    </w:r>
    <w:r>
      <w:rPr>
        <w:spacing w:val="-27"/>
        <w:sz w:val="18"/>
        <w:szCs w:val="18"/>
      </w:rPr>
      <w:t xml:space="preserve"> </w:t>
    </w:r>
    <w:r>
      <w:rPr>
        <w:b/>
        <w:bCs/>
        <w:spacing w:val="-14"/>
        <w:sz w:val="18"/>
        <w:szCs w:val="18"/>
      </w:rPr>
      <w:t>共</w:t>
    </w:r>
    <w:r>
      <w:rPr>
        <w:spacing w:val="-39"/>
        <w:sz w:val="18"/>
        <w:szCs w:val="18"/>
      </w:rPr>
      <w:t xml:space="preserve"> </w:t>
    </w:r>
    <w:r>
      <w:rPr>
        <w:b/>
        <w:bCs/>
        <w:spacing w:val="-14"/>
        <w:sz w:val="18"/>
        <w:szCs w:val="18"/>
      </w:rPr>
      <w:t>499</w:t>
    </w:r>
    <w:r>
      <w:rPr>
        <w:spacing w:val="-14"/>
        <w:sz w:val="18"/>
        <w:szCs w:val="18"/>
      </w:rPr>
      <w:t xml:space="preserve"> </w:t>
    </w:r>
    <w:r>
      <w:rPr>
        <w:b/>
        <w:bCs/>
        <w:spacing w:val="-14"/>
        <w:sz w:val="18"/>
        <w:szCs w:val="18"/>
      </w:rPr>
      <w:t>页</w:t>
    </w:r>
  </w:p>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A6C9A4">
    <w:pPr>
      <w:spacing w:after="13" w:line="454" w:lineRule="exact"/>
    </w:pPr>
  </w:p>
  <w:p w14:paraId="1687208B">
    <w:pPr>
      <w:pStyle w:val="2"/>
      <w:spacing w:line="207" w:lineRule="auto"/>
      <w:ind w:left="5067"/>
      <w:rPr>
        <w:sz w:val="18"/>
        <w:szCs w:val="18"/>
      </w:rPr>
    </w:pPr>
    <w:r>
      <w:rPr>
        <w:b/>
        <w:bCs/>
        <w:spacing w:val="-14"/>
        <w:sz w:val="18"/>
        <w:szCs w:val="18"/>
      </w:rPr>
      <w:t>第</w:t>
    </w:r>
    <w:r>
      <w:rPr>
        <w:spacing w:val="-16"/>
        <w:sz w:val="18"/>
        <w:szCs w:val="18"/>
      </w:rPr>
      <w:t xml:space="preserve"> </w:t>
    </w:r>
    <w:r>
      <w:rPr>
        <w:b/>
        <w:bCs/>
        <w:spacing w:val="-14"/>
        <w:sz w:val="18"/>
        <w:szCs w:val="18"/>
      </w:rPr>
      <w:t>125</w:t>
    </w:r>
    <w:r>
      <w:rPr>
        <w:spacing w:val="-14"/>
        <w:sz w:val="18"/>
        <w:szCs w:val="18"/>
      </w:rPr>
      <w:t xml:space="preserve"> </w:t>
    </w:r>
    <w:r>
      <w:rPr>
        <w:b/>
        <w:bCs/>
        <w:spacing w:val="-14"/>
        <w:sz w:val="18"/>
        <w:szCs w:val="18"/>
      </w:rPr>
      <w:t>页</w:t>
    </w:r>
    <w:r>
      <w:rPr>
        <w:spacing w:val="-27"/>
        <w:sz w:val="18"/>
        <w:szCs w:val="18"/>
      </w:rPr>
      <w:t xml:space="preserve"> </w:t>
    </w:r>
    <w:r>
      <w:rPr>
        <w:b/>
        <w:bCs/>
        <w:spacing w:val="-14"/>
        <w:sz w:val="18"/>
        <w:szCs w:val="18"/>
      </w:rPr>
      <w:t>共</w:t>
    </w:r>
    <w:r>
      <w:rPr>
        <w:spacing w:val="-39"/>
        <w:sz w:val="18"/>
        <w:szCs w:val="18"/>
      </w:rPr>
      <w:t xml:space="preserve"> </w:t>
    </w:r>
    <w:r>
      <w:rPr>
        <w:b/>
        <w:bCs/>
        <w:spacing w:val="-14"/>
        <w:sz w:val="18"/>
        <w:szCs w:val="18"/>
      </w:rPr>
      <w:t>499</w:t>
    </w:r>
    <w:r>
      <w:rPr>
        <w:spacing w:val="-14"/>
        <w:sz w:val="18"/>
        <w:szCs w:val="18"/>
      </w:rPr>
      <w:t xml:space="preserve"> </w:t>
    </w:r>
    <w:r>
      <w:rPr>
        <w:b/>
        <w:bCs/>
        <w:spacing w:val="-14"/>
        <w:sz w:val="18"/>
        <w:szCs w:val="18"/>
      </w:rPr>
      <w:t>页</w:t>
    </w:r>
  </w:p>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8BC606">
    <w:pPr>
      <w:spacing w:after="13" w:line="454" w:lineRule="exact"/>
    </w:pPr>
  </w:p>
  <w:p w14:paraId="140C003E">
    <w:pPr>
      <w:pStyle w:val="2"/>
      <w:spacing w:line="207" w:lineRule="auto"/>
      <w:ind w:left="5067"/>
      <w:rPr>
        <w:sz w:val="18"/>
        <w:szCs w:val="18"/>
      </w:rPr>
    </w:pPr>
    <w:r>
      <w:rPr>
        <w:b/>
        <w:bCs/>
        <w:spacing w:val="-14"/>
        <w:sz w:val="18"/>
        <w:szCs w:val="18"/>
      </w:rPr>
      <w:t>第</w:t>
    </w:r>
    <w:r>
      <w:rPr>
        <w:spacing w:val="-16"/>
        <w:sz w:val="18"/>
        <w:szCs w:val="18"/>
      </w:rPr>
      <w:t xml:space="preserve"> </w:t>
    </w:r>
    <w:r>
      <w:rPr>
        <w:b/>
        <w:bCs/>
        <w:spacing w:val="-14"/>
        <w:sz w:val="18"/>
        <w:szCs w:val="18"/>
      </w:rPr>
      <w:t>126</w:t>
    </w:r>
    <w:r>
      <w:rPr>
        <w:spacing w:val="-14"/>
        <w:sz w:val="18"/>
        <w:szCs w:val="18"/>
      </w:rPr>
      <w:t xml:space="preserve"> </w:t>
    </w:r>
    <w:r>
      <w:rPr>
        <w:b/>
        <w:bCs/>
        <w:spacing w:val="-14"/>
        <w:sz w:val="18"/>
        <w:szCs w:val="18"/>
      </w:rPr>
      <w:t>页</w:t>
    </w:r>
    <w:r>
      <w:rPr>
        <w:spacing w:val="-27"/>
        <w:sz w:val="18"/>
        <w:szCs w:val="18"/>
      </w:rPr>
      <w:t xml:space="preserve"> </w:t>
    </w:r>
    <w:r>
      <w:rPr>
        <w:b/>
        <w:bCs/>
        <w:spacing w:val="-14"/>
        <w:sz w:val="18"/>
        <w:szCs w:val="18"/>
      </w:rPr>
      <w:t>共</w:t>
    </w:r>
    <w:r>
      <w:rPr>
        <w:spacing w:val="-39"/>
        <w:sz w:val="18"/>
        <w:szCs w:val="18"/>
      </w:rPr>
      <w:t xml:space="preserve"> </w:t>
    </w:r>
    <w:r>
      <w:rPr>
        <w:b/>
        <w:bCs/>
        <w:spacing w:val="-14"/>
        <w:sz w:val="18"/>
        <w:szCs w:val="18"/>
      </w:rPr>
      <w:t>499</w:t>
    </w:r>
    <w:r>
      <w:rPr>
        <w:spacing w:val="-14"/>
        <w:sz w:val="18"/>
        <w:szCs w:val="18"/>
      </w:rPr>
      <w:t xml:space="preserve"> </w:t>
    </w:r>
    <w:r>
      <w:rPr>
        <w:b/>
        <w:bCs/>
        <w:spacing w:val="-14"/>
        <w:sz w:val="18"/>
        <w:szCs w:val="18"/>
      </w:rPr>
      <w:t>页</w:t>
    </w:r>
  </w:p>
</w:ftr>
</file>

<file path=word/footer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B89135">
    <w:pPr>
      <w:spacing w:after="13" w:line="454" w:lineRule="exact"/>
    </w:pPr>
  </w:p>
  <w:p w14:paraId="6A3A9C2C">
    <w:pPr>
      <w:pStyle w:val="2"/>
      <w:spacing w:line="207" w:lineRule="auto"/>
      <w:ind w:left="5067"/>
      <w:rPr>
        <w:sz w:val="18"/>
        <w:szCs w:val="18"/>
      </w:rPr>
    </w:pPr>
    <w:r>
      <w:rPr>
        <w:b/>
        <w:bCs/>
        <w:spacing w:val="-14"/>
        <w:sz w:val="18"/>
        <w:szCs w:val="18"/>
      </w:rPr>
      <w:t>第</w:t>
    </w:r>
    <w:r>
      <w:rPr>
        <w:spacing w:val="-16"/>
        <w:sz w:val="18"/>
        <w:szCs w:val="18"/>
      </w:rPr>
      <w:t xml:space="preserve"> </w:t>
    </w:r>
    <w:r>
      <w:rPr>
        <w:b/>
        <w:bCs/>
        <w:spacing w:val="-14"/>
        <w:sz w:val="18"/>
        <w:szCs w:val="18"/>
      </w:rPr>
      <w:t>127</w:t>
    </w:r>
    <w:r>
      <w:rPr>
        <w:spacing w:val="-14"/>
        <w:sz w:val="18"/>
        <w:szCs w:val="18"/>
      </w:rPr>
      <w:t xml:space="preserve"> </w:t>
    </w:r>
    <w:r>
      <w:rPr>
        <w:b/>
        <w:bCs/>
        <w:spacing w:val="-14"/>
        <w:sz w:val="18"/>
        <w:szCs w:val="18"/>
      </w:rPr>
      <w:t>页</w:t>
    </w:r>
    <w:r>
      <w:rPr>
        <w:spacing w:val="-27"/>
        <w:sz w:val="18"/>
        <w:szCs w:val="18"/>
      </w:rPr>
      <w:t xml:space="preserve"> </w:t>
    </w:r>
    <w:r>
      <w:rPr>
        <w:b/>
        <w:bCs/>
        <w:spacing w:val="-14"/>
        <w:sz w:val="18"/>
        <w:szCs w:val="18"/>
      </w:rPr>
      <w:t>共</w:t>
    </w:r>
    <w:r>
      <w:rPr>
        <w:spacing w:val="-39"/>
        <w:sz w:val="18"/>
        <w:szCs w:val="18"/>
      </w:rPr>
      <w:t xml:space="preserve"> </w:t>
    </w:r>
    <w:r>
      <w:rPr>
        <w:b/>
        <w:bCs/>
        <w:spacing w:val="-14"/>
        <w:sz w:val="18"/>
        <w:szCs w:val="18"/>
      </w:rPr>
      <w:t>499</w:t>
    </w:r>
    <w:r>
      <w:rPr>
        <w:spacing w:val="-14"/>
        <w:sz w:val="18"/>
        <w:szCs w:val="18"/>
      </w:rPr>
      <w:t xml:space="preserve"> </w:t>
    </w:r>
    <w:r>
      <w:rPr>
        <w:b/>
        <w:bCs/>
        <w:spacing w:val="-14"/>
        <w:sz w:val="18"/>
        <w:szCs w:val="18"/>
      </w:rPr>
      <w:t>页</w:t>
    </w:r>
  </w:p>
</w:ftr>
</file>

<file path=word/footer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7D4E43">
    <w:pPr>
      <w:spacing w:after="13" w:line="454" w:lineRule="exact"/>
    </w:pPr>
  </w:p>
  <w:p w14:paraId="3B8D82C9">
    <w:pPr>
      <w:pStyle w:val="2"/>
      <w:spacing w:line="207" w:lineRule="auto"/>
      <w:ind w:left="5067"/>
      <w:rPr>
        <w:sz w:val="18"/>
        <w:szCs w:val="18"/>
      </w:rPr>
    </w:pPr>
    <w:r>
      <w:rPr>
        <w:b/>
        <w:bCs/>
        <w:spacing w:val="-14"/>
        <w:sz w:val="18"/>
        <w:szCs w:val="18"/>
      </w:rPr>
      <w:t>第</w:t>
    </w:r>
    <w:r>
      <w:rPr>
        <w:spacing w:val="-16"/>
        <w:sz w:val="18"/>
        <w:szCs w:val="18"/>
      </w:rPr>
      <w:t xml:space="preserve"> </w:t>
    </w:r>
    <w:r>
      <w:rPr>
        <w:b/>
        <w:bCs/>
        <w:spacing w:val="-14"/>
        <w:sz w:val="18"/>
        <w:szCs w:val="18"/>
      </w:rPr>
      <w:t>128</w:t>
    </w:r>
    <w:r>
      <w:rPr>
        <w:spacing w:val="-14"/>
        <w:sz w:val="18"/>
        <w:szCs w:val="18"/>
      </w:rPr>
      <w:t xml:space="preserve"> </w:t>
    </w:r>
    <w:r>
      <w:rPr>
        <w:b/>
        <w:bCs/>
        <w:spacing w:val="-14"/>
        <w:sz w:val="18"/>
        <w:szCs w:val="18"/>
      </w:rPr>
      <w:t>页</w:t>
    </w:r>
    <w:r>
      <w:rPr>
        <w:spacing w:val="-27"/>
        <w:sz w:val="18"/>
        <w:szCs w:val="18"/>
      </w:rPr>
      <w:t xml:space="preserve"> </w:t>
    </w:r>
    <w:r>
      <w:rPr>
        <w:b/>
        <w:bCs/>
        <w:spacing w:val="-14"/>
        <w:sz w:val="18"/>
        <w:szCs w:val="18"/>
      </w:rPr>
      <w:t>共</w:t>
    </w:r>
    <w:r>
      <w:rPr>
        <w:spacing w:val="-39"/>
        <w:sz w:val="18"/>
        <w:szCs w:val="18"/>
      </w:rPr>
      <w:t xml:space="preserve"> </w:t>
    </w:r>
    <w:r>
      <w:rPr>
        <w:b/>
        <w:bCs/>
        <w:spacing w:val="-14"/>
        <w:sz w:val="18"/>
        <w:szCs w:val="18"/>
      </w:rPr>
      <w:t>499</w:t>
    </w:r>
    <w:r>
      <w:rPr>
        <w:spacing w:val="-14"/>
        <w:sz w:val="18"/>
        <w:szCs w:val="18"/>
      </w:rPr>
      <w:t xml:space="preserve"> </w:t>
    </w:r>
    <w:r>
      <w:rPr>
        <w:b/>
        <w:bCs/>
        <w:spacing w:val="-14"/>
        <w:sz w:val="18"/>
        <w:szCs w:val="18"/>
      </w:rPr>
      <w:t>页</w:t>
    </w:r>
  </w:p>
</w:ftr>
</file>

<file path=word/footer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7F121A">
    <w:pPr>
      <w:spacing w:after="13" w:line="454" w:lineRule="exact"/>
    </w:pPr>
  </w:p>
  <w:p w14:paraId="1E9E060D">
    <w:pPr>
      <w:pStyle w:val="2"/>
      <w:spacing w:line="207" w:lineRule="auto"/>
      <w:ind w:left="5067"/>
      <w:rPr>
        <w:sz w:val="18"/>
        <w:szCs w:val="18"/>
      </w:rPr>
    </w:pPr>
    <w:r>
      <w:rPr>
        <w:b/>
        <w:bCs/>
        <w:spacing w:val="-14"/>
        <w:sz w:val="18"/>
        <w:szCs w:val="18"/>
      </w:rPr>
      <w:t>第</w:t>
    </w:r>
    <w:r>
      <w:rPr>
        <w:spacing w:val="-16"/>
        <w:sz w:val="18"/>
        <w:szCs w:val="18"/>
      </w:rPr>
      <w:t xml:space="preserve"> </w:t>
    </w:r>
    <w:r>
      <w:rPr>
        <w:b/>
        <w:bCs/>
        <w:spacing w:val="-14"/>
        <w:sz w:val="18"/>
        <w:szCs w:val="18"/>
      </w:rPr>
      <w:t>129</w:t>
    </w:r>
    <w:r>
      <w:rPr>
        <w:spacing w:val="-14"/>
        <w:sz w:val="18"/>
        <w:szCs w:val="18"/>
      </w:rPr>
      <w:t xml:space="preserve"> </w:t>
    </w:r>
    <w:r>
      <w:rPr>
        <w:b/>
        <w:bCs/>
        <w:spacing w:val="-14"/>
        <w:sz w:val="18"/>
        <w:szCs w:val="18"/>
      </w:rPr>
      <w:t>页</w:t>
    </w:r>
    <w:r>
      <w:rPr>
        <w:spacing w:val="-27"/>
        <w:sz w:val="18"/>
        <w:szCs w:val="18"/>
      </w:rPr>
      <w:t xml:space="preserve"> </w:t>
    </w:r>
    <w:r>
      <w:rPr>
        <w:b/>
        <w:bCs/>
        <w:spacing w:val="-14"/>
        <w:sz w:val="18"/>
        <w:szCs w:val="18"/>
      </w:rPr>
      <w:t>共</w:t>
    </w:r>
    <w:r>
      <w:rPr>
        <w:spacing w:val="-39"/>
        <w:sz w:val="18"/>
        <w:szCs w:val="18"/>
      </w:rPr>
      <w:t xml:space="preserve"> </w:t>
    </w:r>
    <w:r>
      <w:rPr>
        <w:b/>
        <w:bCs/>
        <w:spacing w:val="-14"/>
        <w:sz w:val="18"/>
        <w:szCs w:val="18"/>
      </w:rPr>
      <w:t>499</w:t>
    </w:r>
    <w:r>
      <w:rPr>
        <w:spacing w:val="-14"/>
        <w:sz w:val="18"/>
        <w:szCs w:val="18"/>
      </w:rPr>
      <w:t xml:space="preserve"> </w:t>
    </w:r>
    <w:r>
      <w:rPr>
        <w:b/>
        <w:bCs/>
        <w:spacing w:val="-14"/>
        <w:sz w:val="18"/>
        <w:szCs w:val="18"/>
      </w:rPr>
      <w:t>页</w:t>
    </w:r>
  </w:p>
</w:ftr>
</file>

<file path=word/footer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9FB04E">
    <w:pPr>
      <w:spacing w:after="13" w:line="454" w:lineRule="exact"/>
    </w:pPr>
  </w:p>
  <w:p w14:paraId="50AEF9AB">
    <w:pPr>
      <w:pStyle w:val="2"/>
      <w:spacing w:line="207" w:lineRule="auto"/>
      <w:ind w:left="5067"/>
      <w:rPr>
        <w:sz w:val="18"/>
        <w:szCs w:val="18"/>
      </w:rPr>
    </w:pPr>
    <w:r>
      <w:rPr>
        <w:b/>
        <w:bCs/>
        <w:spacing w:val="-14"/>
        <w:sz w:val="18"/>
        <w:szCs w:val="18"/>
      </w:rPr>
      <w:t>第</w:t>
    </w:r>
    <w:r>
      <w:rPr>
        <w:spacing w:val="-16"/>
        <w:sz w:val="18"/>
        <w:szCs w:val="18"/>
      </w:rPr>
      <w:t xml:space="preserve"> </w:t>
    </w:r>
    <w:r>
      <w:rPr>
        <w:b/>
        <w:bCs/>
        <w:spacing w:val="-14"/>
        <w:sz w:val="18"/>
        <w:szCs w:val="18"/>
      </w:rPr>
      <w:t>130</w:t>
    </w:r>
    <w:r>
      <w:rPr>
        <w:spacing w:val="-14"/>
        <w:sz w:val="18"/>
        <w:szCs w:val="18"/>
      </w:rPr>
      <w:t xml:space="preserve"> </w:t>
    </w:r>
    <w:r>
      <w:rPr>
        <w:b/>
        <w:bCs/>
        <w:spacing w:val="-14"/>
        <w:sz w:val="18"/>
        <w:szCs w:val="18"/>
      </w:rPr>
      <w:t>页</w:t>
    </w:r>
    <w:r>
      <w:rPr>
        <w:spacing w:val="-27"/>
        <w:sz w:val="18"/>
        <w:szCs w:val="18"/>
      </w:rPr>
      <w:t xml:space="preserve"> </w:t>
    </w:r>
    <w:r>
      <w:rPr>
        <w:b/>
        <w:bCs/>
        <w:spacing w:val="-14"/>
        <w:sz w:val="18"/>
        <w:szCs w:val="18"/>
      </w:rPr>
      <w:t>共</w:t>
    </w:r>
    <w:r>
      <w:rPr>
        <w:spacing w:val="-39"/>
        <w:sz w:val="18"/>
        <w:szCs w:val="18"/>
      </w:rPr>
      <w:t xml:space="preserve"> </w:t>
    </w:r>
    <w:r>
      <w:rPr>
        <w:b/>
        <w:bCs/>
        <w:spacing w:val="-14"/>
        <w:sz w:val="18"/>
        <w:szCs w:val="18"/>
      </w:rPr>
      <w:t>499</w:t>
    </w:r>
    <w:r>
      <w:rPr>
        <w:spacing w:val="-14"/>
        <w:sz w:val="18"/>
        <w:szCs w:val="18"/>
      </w:rPr>
      <w:t xml:space="preserve"> </w:t>
    </w:r>
    <w:r>
      <w:rPr>
        <w:b/>
        <w:bCs/>
        <w:spacing w:val="-14"/>
        <w:sz w:val="18"/>
        <w:szCs w:val="18"/>
      </w:rPr>
      <w:t>页</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200EB7">
    <w:pPr>
      <w:spacing w:after="12" w:line="455" w:lineRule="exact"/>
    </w:pPr>
  </w:p>
  <w:p w14:paraId="4CB2ED8D">
    <w:pPr>
      <w:pStyle w:val="2"/>
      <w:spacing w:line="207" w:lineRule="auto"/>
      <w:ind w:left="5507"/>
      <w:rPr>
        <w:sz w:val="18"/>
        <w:szCs w:val="18"/>
      </w:rPr>
    </w:pPr>
    <w:r>
      <w:rPr>
        <w:b/>
        <w:bCs/>
        <w:spacing w:val="-13"/>
        <w:sz w:val="18"/>
        <w:szCs w:val="18"/>
      </w:rPr>
      <w:t>第</w:t>
    </w:r>
    <w:r>
      <w:rPr>
        <w:spacing w:val="-31"/>
        <w:sz w:val="18"/>
        <w:szCs w:val="18"/>
      </w:rPr>
      <w:t xml:space="preserve"> </w:t>
    </w:r>
    <w:r>
      <w:rPr>
        <w:b/>
        <w:bCs/>
        <w:spacing w:val="-13"/>
        <w:sz w:val="18"/>
        <w:szCs w:val="18"/>
      </w:rPr>
      <w:t>8</w:t>
    </w:r>
    <w:r>
      <w:rPr>
        <w:spacing w:val="-13"/>
        <w:sz w:val="18"/>
        <w:szCs w:val="18"/>
      </w:rPr>
      <w:t xml:space="preserve"> </w:t>
    </w:r>
    <w:r>
      <w:rPr>
        <w:b/>
        <w:bCs/>
        <w:spacing w:val="-13"/>
        <w:sz w:val="18"/>
        <w:szCs w:val="18"/>
      </w:rPr>
      <w:t>页</w:t>
    </w:r>
    <w:r>
      <w:rPr>
        <w:spacing w:val="-25"/>
        <w:sz w:val="18"/>
        <w:szCs w:val="18"/>
      </w:rPr>
      <w:t xml:space="preserve"> </w:t>
    </w:r>
    <w:r>
      <w:rPr>
        <w:b/>
        <w:bCs/>
        <w:spacing w:val="-13"/>
        <w:sz w:val="18"/>
        <w:szCs w:val="18"/>
      </w:rPr>
      <w:t>共</w:t>
    </w:r>
    <w:r>
      <w:rPr>
        <w:spacing w:val="-39"/>
        <w:sz w:val="18"/>
        <w:szCs w:val="18"/>
      </w:rPr>
      <w:t xml:space="preserve"> </w:t>
    </w:r>
    <w:r>
      <w:rPr>
        <w:b/>
        <w:bCs/>
        <w:spacing w:val="-13"/>
        <w:sz w:val="18"/>
        <w:szCs w:val="18"/>
      </w:rPr>
      <w:t>499</w:t>
    </w:r>
    <w:r>
      <w:rPr>
        <w:spacing w:val="-13"/>
        <w:sz w:val="18"/>
        <w:szCs w:val="18"/>
      </w:rPr>
      <w:t xml:space="preserve"> </w:t>
    </w:r>
    <w:r>
      <w:rPr>
        <w:b/>
        <w:bCs/>
        <w:spacing w:val="-13"/>
        <w:sz w:val="18"/>
        <w:szCs w:val="18"/>
      </w:rPr>
      <w:t>页</w:t>
    </w:r>
  </w:p>
</w:ftr>
</file>

<file path=word/footer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8F397E">
    <w:pPr>
      <w:spacing w:after="13" w:line="454" w:lineRule="exact"/>
    </w:pPr>
  </w:p>
  <w:p w14:paraId="147A6E69">
    <w:pPr>
      <w:pStyle w:val="2"/>
      <w:spacing w:line="207" w:lineRule="auto"/>
      <w:ind w:left="5067"/>
      <w:rPr>
        <w:sz w:val="18"/>
        <w:szCs w:val="18"/>
      </w:rPr>
    </w:pPr>
    <w:r>
      <w:rPr>
        <w:b/>
        <w:bCs/>
        <w:spacing w:val="-14"/>
        <w:sz w:val="18"/>
        <w:szCs w:val="18"/>
      </w:rPr>
      <w:t>第</w:t>
    </w:r>
    <w:r>
      <w:rPr>
        <w:spacing w:val="-16"/>
        <w:sz w:val="18"/>
        <w:szCs w:val="18"/>
      </w:rPr>
      <w:t xml:space="preserve"> </w:t>
    </w:r>
    <w:r>
      <w:rPr>
        <w:b/>
        <w:bCs/>
        <w:spacing w:val="-14"/>
        <w:sz w:val="18"/>
        <w:szCs w:val="18"/>
      </w:rPr>
      <w:t>131</w:t>
    </w:r>
    <w:r>
      <w:rPr>
        <w:spacing w:val="-14"/>
        <w:sz w:val="18"/>
        <w:szCs w:val="18"/>
      </w:rPr>
      <w:t xml:space="preserve"> </w:t>
    </w:r>
    <w:r>
      <w:rPr>
        <w:b/>
        <w:bCs/>
        <w:spacing w:val="-14"/>
        <w:sz w:val="18"/>
        <w:szCs w:val="18"/>
      </w:rPr>
      <w:t>页</w:t>
    </w:r>
    <w:r>
      <w:rPr>
        <w:spacing w:val="-27"/>
        <w:sz w:val="18"/>
        <w:szCs w:val="18"/>
      </w:rPr>
      <w:t xml:space="preserve"> </w:t>
    </w:r>
    <w:r>
      <w:rPr>
        <w:b/>
        <w:bCs/>
        <w:spacing w:val="-14"/>
        <w:sz w:val="18"/>
        <w:szCs w:val="18"/>
      </w:rPr>
      <w:t>共</w:t>
    </w:r>
    <w:r>
      <w:rPr>
        <w:spacing w:val="-39"/>
        <w:sz w:val="18"/>
        <w:szCs w:val="18"/>
      </w:rPr>
      <w:t xml:space="preserve"> </w:t>
    </w:r>
    <w:r>
      <w:rPr>
        <w:b/>
        <w:bCs/>
        <w:spacing w:val="-14"/>
        <w:sz w:val="18"/>
        <w:szCs w:val="18"/>
      </w:rPr>
      <w:t>499</w:t>
    </w:r>
    <w:r>
      <w:rPr>
        <w:spacing w:val="-14"/>
        <w:sz w:val="18"/>
        <w:szCs w:val="18"/>
      </w:rPr>
      <w:t xml:space="preserve"> </w:t>
    </w:r>
    <w:r>
      <w:rPr>
        <w:b/>
        <w:bCs/>
        <w:spacing w:val="-14"/>
        <w:sz w:val="18"/>
        <w:szCs w:val="18"/>
      </w:rPr>
      <w:t>页</w:t>
    </w:r>
  </w:p>
</w:ftr>
</file>

<file path=word/footer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9C85E5">
    <w:pPr>
      <w:spacing w:after="13" w:line="454" w:lineRule="exact"/>
    </w:pPr>
  </w:p>
  <w:p w14:paraId="741F60B2">
    <w:pPr>
      <w:pStyle w:val="2"/>
      <w:spacing w:line="207" w:lineRule="auto"/>
      <w:ind w:left="5067"/>
      <w:rPr>
        <w:sz w:val="18"/>
        <w:szCs w:val="18"/>
      </w:rPr>
    </w:pPr>
    <w:r>
      <w:rPr>
        <w:b/>
        <w:bCs/>
        <w:spacing w:val="-14"/>
        <w:sz w:val="18"/>
        <w:szCs w:val="18"/>
      </w:rPr>
      <w:t>第</w:t>
    </w:r>
    <w:r>
      <w:rPr>
        <w:spacing w:val="-16"/>
        <w:sz w:val="18"/>
        <w:szCs w:val="18"/>
      </w:rPr>
      <w:t xml:space="preserve"> </w:t>
    </w:r>
    <w:r>
      <w:rPr>
        <w:b/>
        <w:bCs/>
        <w:spacing w:val="-14"/>
        <w:sz w:val="18"/>
        <w:szCs w:val="18"/>
      </w:rPr>
      <w:t>132</w:t>
    </w:r>
    <w:r>
      <w:rPr>
        <w:spacing w:val="-14"/>
        <w:sz w:val="18"/>
        <w:szCs w:val="18"/>
      </w:rPr>
      <w:t xml:space="preserve"> </w:t>
    </w:r>
    <w:r>
      <w:rPr>
        <w:b/>
        <w:bCs/>
        <w:spacing w:val="-14"/>
        <w:sz w:val="18"/>
        <w:szCs w:val="18"/>
      </w:rPr>
      <w:t>页</w:t>
    </w:r>
    <w:r>
      <w:rPr>
        <w:spacing w:val="-27"/>
        <w:sz w:val="18"/>
        <w:szCs w:val="18"/>
      </w:rPr>
      <w:t xml:space="preserve"> </w:t>
    </w:r>
    <w:r>
      <w:rPr>
        <w:b/>
        <w:bCs/>
        <w:spacing w:val="-14"/>
        <w:sz w:val="18"/>
        <w:szCs w:val="18"/>
      </w:rPr>
      <w:t>共</w:t>
    </w:r>
    <w:r>
      <w:rPr>
        <w:spacing w:val="-39"/>
        <w:sz w:val="18"/>
        <w:szCs w:val="18"/>
      </w:rPr>
      <w:t xml:space="preserve"> </w:t>
    </w:r>
    <w:r>
      <w:rPr>
        <w:b/>
        <w:bCs/>
        <w:spacing w:val="-14"/>
        <w:sz w:val="18"/>
        <w:szCs w:val="18"/>
      </w:rPr>
      <w:t>499</w:t>
    </w:r>
    <w:r>
      <w:rPr>
        <w:spacing w:val="-14"/>
        <w:sz w:val="18"/>
        <w:szCs w:val="18"/>
      </w:rPr>
      <w:t xml:space="preserve"> </w:t>
    </w:r>
    <w:r>
      <w:rPr>
        <w:b/>
        <w:bCs/>
        <w:spacing w:val="-14"/>
        <w:sz w:val="18"/>
        <w:szCs w:val="18"/>
      </w:rPr>
      <w:t>页</w:t>
    </w:r>
  </w:p>
</w:ftr>
</file>

<file path=word/footer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205272">
    <w:pPr>
      <w:spacing w:after="13" w:line="454" w:lineRule="exact"/>
    </w:pPr>
  </w:p>
  <w:p w14:paraId="3A81CA12">
    <w:pPr>
      <w:pStyle w:val="2"/>
      <w:spacing w:line="207" w:lineRule="auto"/>
      <w:ind w:left="5067"/>
      <w:rPr>
        <w:sz w:val="18"/>
        <w:szCs w:val="18"/>
      </w:rPr>
    </w:pPr>
    <w:r>
      <w:rPr>
        <w:b/>
        <w:bCs/>
        <w:spacing w:val="-14"/>
        <w:sz w:val="18"/>
        <w:szCs w:val="18"/>
      </w:rPr>
      <w:t>第</w:t>
    </w:r>
    <w:r>
      <w:rPr>
        <w:spacing w:val="-16"/>
        <w:sz w:val="18"/>
        <w:szCs w:val="18"/>
      </w:rPr>
      <w:t xml:space="preserve"> </w:t>
    </w:r>
    <w:r>
      <w:rPr>
        <w:b/>
        <w:bCs/>
        <w:spacing w:val="-14"/>
        <w:sz w:val="18"/>
        <w:szCs w:val="18"/>
      </w:rPr>
      <w:t>133</w:t>
    </w:r>
    <w:r>
      <w:rPr>
        <w:spacing w:val="-14"/>
        <w:sz w:val="18"/>
        <w:szCs w:val="18"/>
      </w:rPr>
      <w:t xml:space="preserve"> </w:t>
    </w:r>
    <w:r>
      <w:rPr>
        <w:b/>
        <w:bCs/>
        <w:spacing w:val="-14"/>
        <w:sz w:val="18"/>
        <w:szCs w:val="18"/>
      </w:rPr>
      <w:t>页</w:t>
    </w:r>
    <w:r>
      <w:rPr>
        <w:spacing w:val="-27"/>
        <w:sz w:val="18"/>
        <w:szCs w:val="18"/>
      </w:rPr>
      <w:t xml:space="preserve"> </w:t>
    </w:r>
    <w:r>
      <w:rPr>
        <w:b/>
        <w:bCs/>
        <w:spacing w:val="-14"/>
        <w:sz w:val="18"/>
        <w:szCs w:val="18"/>
      </w:rPr>
      <w:t>共</w:t>
    </w:r>
    <w:r>
      <w:rPr>
        <w:spacing w:val="-39"/>
        <w:sz w:val="18"/>
        <w:szCs w:val="18"/>
      </w:rPr>
      <w:t xml:space="preserve"> </w:t>
    </w:r>
    <w:r>
      <w:rPr>
        <w:b/>
        <w:bCs/>
        <w:spacing w:val="-14"/>
        <w:sz w:val="18"/>
        <w:szCs w:val="18"/>
      </w:rPr>
      <w:t>499</w:t>
    </w:r>
    <w:r>
      <w:rPr>
        <w:spacing w:val="-14"/>
        <w:sz w:val="18"/>
        <w:szCs w:val="18"/>
      </w:rPr>
      <w:t xml:space="preserve"> </w:t>
    </w:r>
    <w:r>
      <w:rPr>
        <w:b/>
        <w:bCs/>
        <w:spacing w:val="-14"/>
        <w:sz w:val="18"/>
        <w:szCs w:val="18"/>
      </w:rPr>
      <w:t>页</w:t>
    </w:r>
  </w:p>
</w:ftr>
</file>

<file path=word/footer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4CD06D">
    <w:pPr>
      <w:spacing w:after="13" w:line="454" w:lineRule="exact"/>
    </w:pPr>
  </w:p>
  <w:p w14:paraId="1FD19FB7">
    <w:pPr>
      <w:pStyle w:val="2"/>
      <w:spacing w:line="207" w:lineRule="auto"/>
      <w:ind w:left="5067"/>
      <w:rPr>
        <w:sz w:val="18"/>
        <w:szCs w:val="18"/>
      </w:rPr>
    </w:pPr>
    <w:r>
      <w:rPr>
        <w:b/>
        <w:bCs/>
        <w:spacing w:val="-14"/>
        <w:sz w:val="18"/>
        <w:szCs w:val="18"/>
      </w:rPr>
      <w:t>第</w:t>
    </w:r>
    <w:r>
      <w:rPr>
        <w:spacing w:val="-16"/>
        <w:sz w:val="18"/>
        <w:szCs w:val="18"/>
      </w:rPr>
      <w:t xml:space="preserve"> </w:t>
    </w:r>
    <w:r>
      <w:rPr>
        <w:b/>
        <w:bCs/>
        <w:spacing w:val="-14"/>
        <w:sz w:val="18"/>
        <w:szCs w:val="18"/>
      </w:rPr>
      <w:t>134</w:t>
    </w:r>
    <w:r>
      <w:rPr>
        <w:spacing w:val="-14"/>
        <w:sz w:val="18"/>
        <w:szCs w:val="18"/>
      </w:rPr>
      <w:t xml:space="preserve"> </w:t>
    </w:r>
    <w:r>
      <w:rPr>
        <w:b/>
        <w:bCs/>
        <w:spacing w:val="-14"/>
        <w:sz w:val="18"/>
        <w:szCs w:val="18"/>
      </w:rPr>
      <w:t>页</w:t>
    </w:r>
    <w:r>
      <w:rPr>
        <w:spacing w:val="-27"/>
        <w:sz w:val="18"/>
        <w:szCs w:val="18"/>
      </w:rPr>
      <w:t xml:space="preserve"> </w:t>
    </w:r>
    <w:r>
      <w:rPr>
        <w:b/>
        <w:bCs/>
        <w:spacing w:val="-14"/>
        <w:sz w:val="18"/>
        <w:szCs w:val="18"/>
      </w:rPr>
      <w:t>共</w:t>
    </w:r>
    <w:r>
      <w:rPr>
        <w:spacing w:val="-39"/>
        <w:sz w:val="18"/>
        <w:szCs w:val="18"/>
      </w:rPr>
      <w:t xml:space="preserve"> </w:t>
    </w:r>
    <w:r>
      <w:rPr>
        <w:b/>
        <w:bCs/>
        <w:spacing w:val="-14"/>
        <w:sz w:val="18"/>
        <w:szCs w:val="18"/>
      </w:rPr>
      <w:t>499</w:t>
    </w:r>
    <w:r>
      <w:rPr>
        <w:spacing w:val="-14"/>
        <w:sz w:val="18"/>
        <w:szCs w:val="18"/>
      </w:rPr>
      <w:t xml:space="preserve"> </w:t>
    </w:r>
    <w:r>
      <w:rPr>
        <w:b/>
        <w:bCs/>
        <w:spacing w:val="-14"/>
        <w:sz w:val="18"/>
        <w:szCs w:val="18"/>
      </w:rPr>
      <w:t>页</w:t>
    </w:r>
  </w:p>
</w:ftr>
</file>

<file path=word/footer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47FE31">
    <w:pPr>
      <w:spacing w:after="13" w:line="454" w:lineRule="exact"/>
    </w:pPr>
  </w:p>
  <w:p w14:paraId="53BFB55E">
    <w:pPr>
      <w:pStyle w:val="2"/>
      <w:spacing w:line="207" w:lineRule="auto"/>
      <w:ind w:left="5067"/>
      <w:rPr>
        <w:sz w:val="18"/>
        <w:szCs w:val="18"/>
      </w:rPr>
    </w:pPr>
    <w:r>
      <w:rPr>
        <w:b/>
        <w:bCs/>
        <w:spacing w:val="-14"/>
        <w:sz w:val="18"/>
        <w:szCs w:val="18"/>
      </w:rPr>
      <w:t>第</w:t>
    </w:r>
    <w:r>
      <w:rPr>
        <w:spacing w:val="-16"/>
        <w:sz w:val="18"/>
        <w:szCs w:val="18"/>
      </w:rPr>
      <w:t xml:space="preserve"> </w:t>
    </w:r>
    <w:r>
      <w:rPr>
        <w:b/>
        <w:bCs/>
        <w:spacing w:val="-14"/>
        <w:sz w:val="18"/>
        <w:szCs w:val="18"/>
      </w:rPr>
      <w:t>135</w:t>
    </w:r>
    <w:r>
      <w:rPr>
        <w:spacing w:val="-14"/>
        <w:sz w:val="18"/>
        <w:szCs w:val="18"/>
      </w:rPr>
      <w:t xml:space="preserve"> </w:t>
    </w:r>
    <w:r>
      <w:rPr>
        <w:b/>
        <w:bCs/>
        <w:spacing w:val="-14"/>
        <w:sz w:val="18"/>
        <w:szCs w:val="18"/>
      </w:rPr>
      <w:t>页</w:t>
    </w:r>
    <w:r>
      <w:rPr>
        <w:spacing w:val="-27"/>
        <w:sz w:val="18"/>
        <w:szCs w:val="18"/>
      </w:rPr>
      <w:t xml:space="preserve"> </w:t>
    </w:r>
    <w:r>
      <w:rPr>
        <w:b/>
        <w:bCs/>
        <w:spacing w:val="-14"/>
        <w:sz w:val="18"/>
        <w:szCs w:val="18"/>
      </w:rPr>
      <w:t>共</w:t>
    </w:r>
    <w:r>
      <w:rPr>
        <w:spacing w:val="-39"/>
        <w:sz w:val="18"/>
        <w:szCs w:val="18"/>
      </w:rPr>
      <w:t xml:space="preserve"> </w:t>
    </w:r>
    <w:r>
      <w:rPr>
        <w:b/>
        <w:bCs/>
        <w:spacing w:val="-14"/>
        <w:sz w:val="18"/>
        <w:szCs w:val="18"/>
      </w:rPr>
      <w:t>499</w:t>
    </w:r>
    <w:r>
      <w:rPr>
        <w:spacing w:val="-14"/>
        <w:sz w:val="18"/>
        <w:szCs w:val="18"/>
      </w:rPr>
      <w:t xml:space="preserve"> </w:t>
    </w:r>
    <w:r>
      <w:rPr>
        <w:b/>
        <w:bCs/>
        <w:spacing w:val="-14"/>
        <w:sz w:val="18"/>
        <w:szCs w:val="18"/>
      </w:rPr>
      <w:t>页</w:t>
    </w:r>
  </w:p>
</w:ftr>
</file>

<file path=word/footer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23666A">
    <w:pPr>
      <w:spacing w:after="13" w:line="454" w:lineRule="exact"/>
    </w:pPr>
  </w:p>
  <w:p w14:paraId="5570C3CD">
    <w:pPr>
      <w:pStyle w:val="2"/>
      <w:spacing w:line="207" w:lineRule="auto"/>
      <w:ind w:left="5067"/>
      <w:rPr>
        <w:sz w:val="18"/>
        <w:szCs w:val="18"/>
      </w:rPr>
    </w:pPr>
    <w:r>
      <w:rPr>
        <w:b/>
        <w:bCs/>
        <w:spacing w:val="-14"/>
        <w:sz w:val="18"/>
        <w:szCs w:val="18"/>
      </w:rPr>
      <w:t>第</w:t>
    </w:r>
    <w:r>
      <w:rPr>
        <w:spacing w:val="-16"/>
        <w:sz w:val="18"/>
        <w:szCs w:val="18"/>
      </w:rPr>
      <w:t xml:space="preserve"> </w:t>
    </w:r>
    <w:r>
      <w:rPr>
        <w:b/>
        <w:bCs/>
        <w:spacing w:val="-14"/>
        <w:sz w:val="18"/>
        <w:szCs w:val="18"/>
      </w:rPr>
      <w:t>136</w:t>
    </w:r>
    <w:r>
      <w:rPr>
        <w:spacing w:val="-14"/>
        <w:sz w:val="18"/>
        <w:szCs w:val="18"/>
      </w:rPr>
      <w:t xml:space="preserve"> </w:t>
    </w:r>
    <w:r>
      <w:rPr>
        <w:b/>
        <w:bCs/>
        <w:spacing w:val="-14"/>
        <w:sz w:val="18"/>
        <w:szCs w:val="18"/>
      </w:rPr>
      <w:t>页</w:t>
    </w:r>
    <w:r>
      <w:rPr>
        <w:spacing w:val="-27"/>
        <w:sz w:val="18"/>
        <w:szCs w:val="18"/>
      </w:rPr>
      <w:t xml:space="preserve"> </w:t>
    </w:r>
    <w:r>
      <w:rPr>
        <w:b/>
        <w:bCs/>
        <w:spacing w:val="-14"/>
        <w:sz w:val="18"/>
        <w:szCs w:val="18"/>
      </w:rPr>
      <w:t>共</w:t>
    </w:r>
    <w:r>
      <w:rPr>
        <w:spacing w:val="-39"/>
        <w:sz w:val="18"/>
        <w:szCs w:val="18"/>
      </w:rPr>
      <w:t xml:space="preserve"> </w:t>
    </w:r>
    <w:r>
      <w:rPr>
        <w:b/>
        <w:bCs/>
        <w:spacing w:val="-14"/>
        <w:sz w:val="18"/>
        <w:szCs w:val="18"/>
      </w:rPr>
      <w:t>499</w:t>
    </w:r>
    <w:r>
      <w:rPr>
        <w:spacing w:val="-14"/>
        <w:sz w:val="18"/>
        <w:szCs w:val="18"/>
      </w:rPr>
      <w:t xml:space="preserve"> </w:t>
    </w:r>
    <w:r>
      <w:rPr>
        <w:b/>
        <w:bCs/>
        <w:spacing w:val="-14"/>
        <w:sz w:val="18"/>
        <w:szCs w:val="18"/>
      </w:rPr>
      <w:t>页</w:t>
    </w:r>
  </w:p>
</w:ftr>
</file>

<file path=word/footer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9BB40A">
    <w:pPr>
      <w:spacing w:after="13" w:line="454" w:lineRule="exact"/>
    </w:pPr>
  </w:p>
  <w:p w14:paraId="11C44C54">
    <w:pPr>
      <w:pStyle w:val="2"/>
      <w:spacing w:line="207" w:lineRule="auto"/>
      <w:ind w:left="5067"/>
      <w:rPr>
        <w:sz w:val="18"/>
        <w:szCs w:val="18"/>
      </w:rPr>
    </w:pPr>
    <w:r>
      <w:rPr>
        <w:b/>
        <w:bCs/>
        <w:spacing w:val="-14"/>
        <w:sz w:val="18"/>
        <w:szCs w:val="18"/>
      </w:rPr>
      <w:t>第</w:t>
    </w:r>
    <w:r>
      <w:rPr>
        <w:spacing w:val="-16"/>
        <w:sz w:val="18"/>
        <w:szCs w:val="18"/>
      </w:rPr>
      <w:t xml:space="preserve"> </w:t>
    </w:r>
    <w:r>
      <w:rPr>
        <w:b/>
        <w:bCs/>
        <w:spacing w:val="-14"/>
        <w:sz w:val="18"/>
        <w:szCs w:val="18"/>
      </w:rPr>
      <w:t>137</w:t>
    </w:r>
    <w:r>
      <w:rPr>
        <w:spacing w:val="-14"/>
        <w:sz w:val="18"/>
        <w:szCs w:val="18"/>
      </w:rPr>
      <w:t xml:space="preserve"> </w:t>
    </w:r>
    <w:r>
      <w:rPr>
        <w:b/>
        <w:bCs/>
        <w:spacing w:val="-14"/>
        <w:sz w:val="18"/>
        <w:szCs w:val="18"/>
      </w:rPr>
      <w:t>页</w:t>
    </w:r>
    <w:r>
      <w:rPr>
        <w:spacing w:val="-27"/>
        <w:sz w:val="18"/>
        <w:szCs w:val="18"/>
      </w:rPr>
      <w:t xml:space="preserve"> </w:t>
    </w:r>
    <w:r>
      <w:rPr>
        <w:b/>
        <w:bCs/>
        <w:spacing w:val="-14"/>
        <w:sz w:val="18"/>
        <w:szCs w:val="18"/>
      </w:rPr>
      <w:t>共</w:t>
    </w:r>
    <w:r>
      <w:rPr>
        <w:spacing w:val="-39"/>
        <w:sz w:val="18"/>
        <w:szCs w:val="18"/>
      </w:rPr>
      <w:t xml:space="preserve"> </w:t>
    </w:r>
    <w:r>
      <w:rPr>
        <w:b/>
        <w:bCs/>
        <w:spacing w:val="-14"/>
        <w:sz w:val="18"/>
        <w:szCs w:val="18"/>
      </w:rPr>
      <w:t>499</w:t>
    </w:r>
    <w:r>
      <w:rPr>
        <w:spacing w:val="-14"/>
        <w:sz w:val="18"/>
        <w:szCs w:val="18"/>
      </w:rPr>
      <w:t xml:space="preserve"> </w:t>
    </w:r>
    <w:r>
      <w:rPr>
        <w:b/>
        <w:bCs/>
        <w:spacing w:val="-14"/>
        <w:sz w:val="18"/>
        <w:szCs w:val="18"/>
      </w:rPr>
      <w:t>页</w:t>
    </w:r>
  </w:p>
</w:ftr>
</file>

<file path=word/footer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149D8B">
    <w:pPr>
      <w:spacing w:after="13" w:line="454" w:lineRule="exact"/>
    </w:pPr>
  </w:p>
  <w:p w14:paraId="36811740">
    <w:pPr>
      <w:pStyle w:val="2"/>
      <w:spacing w:line="207" w:lineRule="auto"/>
      <w:ind w:left="5067"/>
      <w:rPr>
        <w:sz w:val="18"/>
        <w:szCs w:val="18"/>
      </w:rPr>
    </w:pPr>
    <w:r>
      <w:rPr>
        <w:b/>
        <w:bCs/>
        <w:spacing w:val="-14"/>
        <w:sz w:val="18"/>
        <w:szCs w:val="18"/>
      </w:rPr>
      <w:t>第</w:t>
    </w:r>
    <w:r>
      <w:rPr>
        <w:spacing w:val="-16"/>
        <w:sz w:val="18"/>
        <w:szCs w:val="18"/>
      </w:rPr>
      <w:t xml:space="preserve"> </w:t>
    </w:r>
    <w:r>
      <w:rPr>
        <w:b/>
        <w:bCs/>
        <w:spacing w:val="-14"/>
        <w:sz w:val="18"/>
        <w:szCs w:val="18"/>
      </w:rPr>
      <w:t>138</w:t>
    </w:r>
    <w:r>
      <w:rPr>
        <w:spacing w:val="-14"/>
        <w:sz w:val="18"/>
        <w:szCs w:val="18"/>
      </w:rPr>
      <w:t xml:space="preserve"> </w:t>
    </w:r>
    <w:r>
      <w:rPr>
        <w:b/>
        <w:bCs/>
        <w:spacing w:val="-14"/>
        <w:sz w:val="18"/>
        <w:szCs w:val="18"/>
      </w:rPr>
      <w:t>页</w:t>
    </w:r>
    <w:r>
      <w:rPr>
        <w:spacing w:val="-27"/>
        <w:sz w:val="18"/>
        <w:szCs w:val="18"/>
      </w:rPr>
      <w:t xml:space="preserve"> </w:t>
    </w:r>
    <w:r>
      <w:rPr>
        <w:b/>
        <w:bCs/>
        <w:spacing w:val="-14"/>
        <w:sz w:val="18"/>
        <w:szCs w:val="18"/>
      </w:rPr>
      <w:t>共</w:t>
    </w:r>
    <w:r>
      <w:rPr>
        <w:spacing w:val="-39"/>
        <w:sz w:val="18"/>
        <w:szCs w:val="18"/>
      </w:rPr>
      <w:t xml:space="preserve"> </w:t>
    </w:r>
    <w:r>
      <w:rPr>
        <w:b/>
        <w:bCs/>
        <w:spacing w:val="-14"/>
        <w:sz w:val="18"/>
        <w:szCs w:val="18"/>
      </w:rPr>
      <w:t>499</w:t>
    </w:r>
    <w:r>
      <w:rPr>
        <w:spacing w:val="-14"/>
        <w:sz w:val="18"/>
        <w:szCs w:val="18"/>
      </w:rPr>
      <w:t xml:space="preserve"> </w:t>
    </w:r>
    <w:r>
      <w:rPr>
        <w:b/>
        <w:bCs/>
        <w:spacing w:val="-14"/>
        <w:sz w:val="18"/>
        <w:szCs w:val="18"/>
      </w:rPr>
      <w:t>页</w:t>
    </w:r>
  </w:p>
</w:ftr>
</file>

<file path=word/footer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D36A34">
    <w:pPr>
      <w:spacing w:after="13" w:line="454" w:lineRule="exact"/>
    </w:pPr>
  </w:p>
  <w:p w14:paraId="13FCA58D">
    <w:pPr>
      <w:pStyle w:val="2"/>
      <w:spacing w:line="207" w:lineRule="auto"/>
      <w:ind w:left="5067"/>
      <w:rPr>
        <w:sz w:val="18"/>
        <w:szCs w:val="18"/>
      </w:rPr>
    </w:pPr>
    <w:r>
      <w:rPr>
        <w:b/>
        <w:bCs/>
        <w:spacing w:val="-14"/>
        <w:sz w:val="18"/>
        <w:szCs w:val="18"/>
      </w:rPr>
      <w:t>第</w:t>
    </w:r>
    <w:r>
      <w:rPr>
        <w:spacing w:val="-16"/>
        <w:sz w:val="18"/>
        <w:szCs w:val="18"/>
      </w:rPr>
      <w:t xml:space="preserve"> </w:t>
    </w:r>
    <w:r>
      <w:rPr>
        <w:b/>
        <w:bCs/>
        <w:spacing w:val="-14"/>
        <w:sz w:val="18"/>
        <w:szCs w:val="18"/>
      </w:rPr>
      <w:t>139</w:t>
    </w:r>
    <w:r>
      <w:rPr>
        <w:spacing w:val="-14"/>
        <w:sz w:val="18"/>
        <w:szCs w:val="18"/>
      </w:rPr>
      <w:t xml:space="preserve"> </w:t>
    </w:r>
    <w:r>
      <w:rPr>
        <w:b/>
        <w:bCs/>
        <w:spacing w:val="-14"/>
        <w:sz w:val="18"/>
        <w:szCs w:val="18"/>
      </w:rPr>
      <w:t>页</w:t>
    </w:r>
    <w:r>
      <w:rPr>
        <w:spacing w:val="-27"/>
        <w:sz w:val="18"/>
        <w:szCs w:val="18"/>
      </w:rPr>
      <w:t xml:space="preserve"> </w:t>
    </w:r>
    <w:r>
      <w:rPr>
        <w:b/>
        <w:bCs/>
        <w:spacing w:val="-14"/>
        <w:sz w:val="18"/>
        <w:szCs w:val="18"/>
      </w:rPr>
      <w:t>共</w:t>
    </w:r>
    <w:r>
      <w:rPr>
        <w:spacing w:val="-39"/>
        <w:sz w:val="18"/>
        <w:szCs w:val="18"/>
      </w:rPr>
      <w:t xml:space="preserve"> </w:t>
    </w:r>
    <w:r>
      <w:rPr>
        <w:b/>
        <w:bCs/>
        <w:spacing w:val="-14"/>
        <w:sz w:val="18"/>
        <w:szCs w:val="18"/>
      </w:rPr>
      <w:t>499</w:t>
    </w:r>
    <w:r>
      <w:rPr>
        <w:spacing w:val="-14"/>
        <w:sz w:val="18"/>
        <w:szCs w:val="18"/>
      </w:rPr>
      <w:t xml:space="preserve"> </w:t>
    </w:r>
    <w:r>
      <w:rPr>
        <w:b/>
        <w:bCs/>
        <w:spacing w:val="-14"/>
        <w:sz w:val="18"/>
        <w:szCs w:val="18"/>
      </w:rPr>
      <w:t>页</w:t>
    </w:r>
  </w:p>
</w:ftr>
</file>

<file path=word/footer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AF1489">
    <w:pPr>
      <w:spacing w:after="13" w:line="454" w:lineRule="exact"/>
    </w:pPr>
  </w:p>
  <w:p w14:paraId="5BF42762">
    <w:pPr>
      <w:pStyle w:val="2"/>
      <w:spacing w:line="207" w:lineRule="auto"/>
      <w:ind w:left="5067"/>
      <w:rPr>
        <w:sz w:val="18"/>
        <w:szCs w:val="18"/>
      </w:rPr>
    </w:pPr>
    <w:r>
      <w:rPr>
        <w:b/>
        <w:bCs/>
        <w:spacing w:val="-14"/>
        <w:sz w:val="18"/>
        <w:szCs w:val="18"/>
      </w:rPr>
      <w:t>第</w:t>
    </w:r>
    <w:r>
      <w:rPr>
        <w:spacing w:val="-16"/>
        <w:sz w:val="18"/>
        <w:szCs w:val="18"/>
      </w:rPr>
      <w:t xml:space="preserve"> </w:t>
    </w:r>
    <w:r>
      <w:rPr>
        <w:b/>
        <w:bCs/>
        <w:spacing w:val="-14"/>
        <w:sz w:val="18"/>
        <w:szCs w:val="18"/>
      </w:rPr>
      <w:t>140</w:t>
    </w:r>
    <w:r>
      <w:rPr>
        <w:spacing w:val="-14"/>
        <w:sz w:val="18"/>
        <w:szCs w:val="18"/>
      </w:rPr>
      <w:t xml:space="preserve"> </w:t>
    </w:r>
    <w:r>
      <w:rPr>
        <w:b/>
        <w:bCs/>
        <w:spacing w:val="-14"/>
        <w:sz w:val="18"/>
        <w:szCs w:val="18"/>
      </w:rPr>
      <w:t>页</w:t>
    </w:r>
    <w:r>
      <w:rPr>
        <w:spacing w:val="-27"/>
        <w:sz w:val="18"/>
        <w:szCs w:val="18"/>
      </w:rPr>
      <w:t xml:space="preserve"> </w:t>
    </w:r>
    <w:r>
      <w:rPr>
        <w:b/>
        <w:bCs/>
        <w:spacing w:val="-14"/>
        <w:sz w:val="18"/>
        <w:szCs w:val="18"/>
      </w:rPr>
      <w:t>共</w:t>
    </w:r>
    <w:r>
      <w:rPr>
        <w:spacing w:val="-39"/>
        <w:sz w:val="18"/>
        <w:szCs w:val="18"/>
      </w:rPr>
      <w:t xml:space="preserve"> </w:t>
    </w:r>
    <w:r>
      <w:rPr>
        <w:b/>
        <w:bCs/>
        <w:spacing w:val="-14"/>
        <w:sz w:val="18"/>
        <w:szCs w:val="18"/>
      </w:rPr>
      <w:t>499</w:t>
    </w:r>
    <w:r>
      <w:rPr>
        <w:spacing w:val="-14"/>
        <w:sz w:val="18"/>
        <w:szCs w:val="18"/>
      </w:rPr>
      <w:t xml:space="preserve"> </w:t>
    </w:r>
    <w:r>
      <w:rPr>
        <w:b/>
        <w:bCs/>
        <w:spacing w:val="-14"/>
        <w:sz w:val="18"/>
        <w:szCs w:val="18"/>
      </w:rPr>
      <w:t>页</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6DD3C0">
    <w:pPr>
      <w:spacing w:after="12" w:line="455" w:lineRule="exact"/>
    </w:pPr>
  </w:p>
  <w:p w14:paraId="65E1FEA8">
    <w:pPr>
      <w:pStyle w:val="2"/>
      <w:spacing w:line="207" w:lineRule="auto"/>
      <w:ind w:left="5507"/>
      <w:rPr>
        <w:sz w:val="18"/>
        <w:szCs w:val="18"/>
      </w:rPr>
    </w:pPr>
    <w:r>
      <w:rPr>
        <w:b/>
        <w:bCs/>
        <w:spacing w:val="-13"/>
        <w:sz w:val="18"/>
        <w:szCs w:val="18"/>
      </w:rPr>
      <w:t>第</w:t>
    </w:r>
    <w:r>
      <w:rPr>
        <w:spacing w:val="-31"/>
        <w:sz w:val="18"/>
        <w:szCs w:val="18"/>
      </w:rPr>
      <w:t xml:space="preserve"> </w:t>
    </w:r>
    <w:r>
      <w:rPr>
        <w:b/>
        <w:bCs/>
        <w:spacing w:val="-13"/>
        <w:sz w:val="18"/>
        <w:szCs w:val="18"/>
      </w:rPr>
      <w:t>9</w:t>
    </w:r>
    <w:r>
      <w:rPr>
        <w:spacing w:val="-13"/>
        <w:sz w:val="18"/>
        <w:szCs w:val="18"/>
      </w:rPr>
      <w:t xml:space="preserve"> </w:t>
    </w:r>
    <w:r>
      <w:rPr>
        <w:b/>
        <w:bCs/>
        <w:spacing w:val="-13"/>
        <w:sz w:val="18"/>
        <w:szCs w:val="18"/>
      </w:rPr>
      <w:t>页</w:t>
    </w:r>
    <w:r>
      <w:rPr>
        <w:spacing w:val="-25"/>
        <w:sz w:val="18"/>
        <w:szCs w:val="18"/>
      </w:rPr>
      <w:t xml:space="preserve"> </w:t>
    </w:r>
    <w:r>
      <w:rPr>
        <w:b/>
        <w:bCs/>
        <w:spacing w:val="-13"/>
        <w:sz w:val="18"/>
        <w:szCs w:val="18"/>
      </w:rPr>
      <w:t>共</w:t>
    </w:r>
    <w:r>
      <w:rPr>
        <w:spacing w:val="-39"/>
        <w:sz w:val="18"/>
        <w:szCs w:val="18"/>
      </w:rPr>
      <w:t xml:space="preserve"> </w:t>
    </w:r>
    <w:r>
      <w:rPr>
        <w:b/>
        <w:bCs/>
        <w:spacing w:val="-13"/>
        <w:sz w:val="18"/>
        <w:szCs w:val="18"/>
      </w:rPr>
      <w:t>499</w:t>
    </w:r>
    <w:r>
      <w:rPr>
        <w:spacing w:val="-13"/>
        <w:sz w:val="18"/>
        <w:szCs w:val="18"/>
      </w:rPr>
      <w:t xml:space="preserve"> </w:t>
    </w:r>
    <w:r>
      <w:rPr>
        <w:b/>
        <w:bCs/>
        <w:spacing w:val="-13"/>
        <w:sz w:val="18"/>
        <w:szCs w:val="18"/>
      </w:rPr>
      <w:t>页</w:t>
    </w:r>
  </w:p>
</w:ftr>
</file>

<file path=word/footer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6F2FFA">
    <w:pPr>
      <w:spacing w:after="13" w:line="454" w:lineRule="exact"/>
    </w:pPr>
  </w:p>
  <w:p w14:paraId="4207F11B">
    <w:pPr>
      <w:pStyle w:val="2"/>
      <w:spacing w:line="207" w:lineRule="auto"/>
      <w:ind w:left="5067"/>
      <w:rPr>
        <w:sz w:val="18"/>
        <w:szCs w:val="18"/>
      </w:rPr>
    </w:pPr>
    <w:r>
      <w:rPr>
        <w:b/>
        <w:bCs/>
        <w:spacing w:val="-14"/>
        <w:sz w:val="18"/>
        <w:szCs w:val="18"/>
      </w:rPr>
      <w:t>第</w:t>
    </w:r>
    <w:r>
      <w:rPr>
        <w:spacing w:val="-16"/>
        <w:sz w:val="18"/>
        <w:szCs w:val="18"/>
      </w:rPr>
      <w:t xml:space="preserve"> </w:t>
    </w:r>
    <w:r>
      <w:rPr>
        <w:b/>
        <w:bCs/>
        <w:spacing w:val="-14"/>
        <w:sz w:val="18"/>
        <w:szCs w:val="18"/>
      </w:rPr>
      <w:t>141</w:t>
    </w:r>
    <w:r>
      <w:rPr>
        <w:spacing w:val="-14"/>
        <w:sz w:val="18"/>
        <w:szCs w:val="18"/>
      </w:rPr>
      <w:t xml:space="preserve"> </w:t>
    </w:r>
    <w:r>
      <w:rPr>
        <w:b/>
        <w:bCs/>
        <w:spacing w:val="-14"/>
        <w:sz w:val="18"/>
        <w:szCs w:val="18"/>
      </w:rPr>
      <w:t>页</w:t>
    </w:r>
    <w:r>
      <w:rPr>
        <w:spacing w:val="-27"/>
        <w:sz w:val="18"/>
        <w:szCs w:val="18"/>
      </w:rPr>
      <w:t xml:space="preserve"> </w:t>
    </w:r>
    <w:r>
      <w:rPr>
        <w:b/>
        <w:bCs/>
        <w:spacing w:val="-14"/>
        <w:sz w:val="18"/>
        <w:szCs w:val="18"/>
      </w:rPr>
      <w:t>共</w:t>
    </w:r>
    <w:r>
      <w:rPr>
        <w:spacing w:val="-39"/>
        <w:sz w:val="18"/>
        <w:szCs w:val="18"/>
      </w:rPr>
      <w:t xml:space="preserve"> </w:t>
    </w:r>
    <w:r>
      <w:rPr>
        <w:b/>
        <w:bCs/>
        <w:spacing w:val="-14"/>
        <w:sz w:val="18"/>
        <w:szCs w:val="18"/>
      </w:rPr>
      <w:t>499</w:t>
    </w:r>
    <w:r>
      <w:rPr>
        <w:spacing w:val="-14"/>
        <w:sz w:val="18"/>
        <w:szCs w:val="18"/>
      </w:rPr>
      <w:t xml:space="preserve"> </w:t>
    </w:r>
    <w:r>
      <w:rPr>
        <w:b/>
        <w:bCs/>
        <w:spacing w:val="-14"/>
        <w:sz w:val="18"/>
        <w:szCs w:val="18"/>
      </w:rPr>
      <w:t>页</w:t>
    </w:r>
  </w:p>
</w:ftr>
</file>

<file path=word/footer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FBB062">
    <w:pPr>
      <w:spacing w:after="13" w:line="454" w:lineRule="exact"/>
    </w:pPr>
  </w:p>
  <w:p w14:paraId="13BA7427">
    <w:pPr>
      <w:pStyle w:val="2"/>
      <w:spacing w:line="207" w:lineRule="auto"/>
      <w:ind w:left="5067"/>
      <w:rPr>
        <w:sz w:val="18"/>
        <w:szCs w:val="18"/>
      </w:rPr>
    </w:pPr>
    <w:r>
      <w:rPr>
        <w:b/>
        <w:bCs/>
        <w:spacing w:val="-14"/>
        <w:sz w:val="18"/>
        <w:szCs w:val="18"/>
      </w:rPr>
      <w:t>第</w:t>
    </w:r>
    <w:r>
      <w:rPr>
        <w:spacing w:val="-16"/>
        <w:sz w:val="18"/>
        <w:szCs w:val="18"/>
      </w:rPr>
      <w:t xml:space="preserve"> </w:t>
    </w:r>
    <w:r>
      <w:rPr>
        <w:b/>
        <w:bCs/>
        <w:spacing w:val="-14"/>
        <w:sz w:val="18"/>
        <w:szCs w:val="18"/>
      </w:rPr>
      <w:t>142</w:t>
    </w:r>
    <w:r>
      <w:rPr>
        <w:spacing w:val="-14"/>
        <w:sz w:val="18"/>
        <w:szCs w:val="18"/>
      </w:rPr>
      <w:t xml:space="preserve"> </w:t>
    </w:r>
    <w:r>
      <w:rPr>
        <w:b/>
        <w:bCs/>
        <w:spacing w:val="-14"/>
        <w:sz w:val="18"/>
        <w:szCs w:val="18"/>
      </w:rPr>
      <w:t>页</w:t>
    </w:r>
    <w:r>
      <w:rPr>
        <w:spacing w:val="-27"/>
        <w:sz w:val="18"/>
        <w:szCs w:val="18"/>
      </w:rPr>
      <w:t xml:space="preserve"> </w:t>
    </w:r>
    <w:r>
      <w:rPr>
        <w:b/>
        <w:bCs/>
        <w:spacing w:val="-14"/>
        <w:sz w:val="18"/>
        <w:szCs w:val="18"/>
      </w:rPr>
      <w:t>共</w:t>
    </w:r>
    <w:r>
      <w:rPr>
        <w:spacing w:val="-39"/>
        <w:sz w:val="18"/>
        <w:szCs w:val="18"/>
      </w:rPr>
      <w:t xml:space="preserve"> </w:t>
    </w:r>
    <w:r>
      <w:rPr>
        <w:b/>
        <w:bCs/>
        <w:spacing w:val="-14"/>
        <w:sz w:val="18"/>
        <w:szCs w:val="18"/>
      </w:rPr>
      <w:t>499</w:t>
    </w:r>
    <w:r>
      <w:rPr>
        <w:spacing w:val="-14"/>
        <w:sz w:val="18"/>
        <w:szCs w:val="18"/>
      </w:rPr>
      <w:t xml:space="preserve"> </w:t>
    </w:r>
    <w:r>
      <w:rPr>
        <w:b/>
        <w:bCs/>
        <w:spacing w:val="-14"/>
        <w:sz w:val="18"/>
        <w:szCs w:val="18"/>
      </w:rPr>
      <w:t>页</w:t>
    </w:r>
  </w:p>
</w:ftr>
</file>

<file path=word/footer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0D9006">
    <w:pPr>
      <w:spacing w:after="13" w:line="454" w:lineRule="exact"/>
    </w:pPr>
  </w:p>
  <w:p w14:paraId="2CFC5BC8">
    <w:pPr>
      <w:pStyle w:val="2"/>
      <w:spacing w:line="207" w:lineRule="auto"/>
      <w:ind w:left="5067"/>
      <w:rPr>
        <w:sz w:val="18"/>
        <w:szCs w:val="18"/>
      </w:rPr>
    </w:pPr>
    <w:r>
      <w:rPr>
        <w:b/>
        <w:bCs/>
        <w:spacing w:val="-14"/>
        <w:sz w:val="18"/>
        <w:szCs w:val="18"/>
      </w:rPr>
      <w:t>第</w:t>
    </w:r>
    <w:r>
      <w:rPr>
        <w:spacing w:val="-16"/>
        <w:sz w:val="18"/>
        <w:szCs w:val="18"/>
      </w:rPr>
      <w:t xml:space="preserve"> </w:t>
    </w:r>
    <w:r>
      <w:rPr>
        <w:b/>
        <w:bCs/>
        <w:spacing w:val="-14"/>
        <w:sz w:val="18"/>
        <w:szCs w:val="18"/>
      </w:rPr>
      <w:t>143</w:t>
    </w:r>
    <w:r>
      <w:rPr>
        <w:spacing w:val="-14"/>
        <w:sz w:val="18"/>
        <w:szCs w:val="18"/>
      </w:rPr>
      <w:t xml:space="preserve"> </w:t>
    </w:r>
    <w:r>
      <w:rPr>
        <w:b/>
        <w:bCs/>
        <w:spacing w:val="-14"/>
        <w:sz w:val="18"/>
        <w:szCs w:val="18"/>
      </w:rPr>
      <w:t>页</w:t>
    </w:r>
    <w:r>
      <w:rPr>
        <w:spacing w:val="-27"/>
        <w:sz w:val="18"/>
        <w:szCs w:val="18"/>
      </w:rPr>
      <w:t xml:space="preserve"> </w:t>
    </w:r>
    <w:r>
      <w:rPr>
        <w:b/>
        <w:bCs/>
        <w:spacing w:val="-14"/>
        <w:sz w:val="18"/>
        <w:szCs w:val="18"/>
      </w:rPr>
      <w:t>共</w:t>
    </w:r>
    <w:r>
      <w:rPr>
        <w:spacing w:val="-39"/>
        <w:sz w:val="18"/>
        <w:szCs w:val="18"/>
      </w:rPr>
      <w:t xml:space="preserve"> </w:t>
    </w:r>
    <w:r>
      <w:rPr>
        <w:b/>
        <w:bCs/>
        <w:spacing w:val="-14"/>
        <w:sz w:val="18"/>
        <w:szCs w:val="18"/>
      </w:rPr>
      <w:t>499</w:t>
    </w:r>
    <w:r>
      <w:rPr>
        <w:spacing w:val="-14"/>
        <w:sz w:val="18"/>
        <w:szCs w:val="18"/>
      </w:rPr>
      <w:t xml:space="preserve"> </w:t>
    </w:r>
    <w:r>
      <w:rPr>
        <w:b/>
        <w:bCs/>
        <w:spacing w:val="-14"/>
        <w:sz w:val="18"/>
        <w:szCs w:val="18"/>
      </w:rPr>
      <w:t>页</w:t>
    </w:r>
  </w:p>
</w:ftr>
</file>

<file path=word/footer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64E7AD">
    <w:pPr>
      <w:spacing w:after="13" w:line="454" w:lineRule="exact"/>
    </w:pPr>
  </w:p>
  <w:p w14:paraId="278236A1">
    <w:pPr>
      <w:pStyle w:val="2"/>
      <w:spacing w:line="207" w:lineRule="auto"/>
      <w:ind w:left="5067"/>
      <w:rPr>
        <w:sz w:val="18"/>
        <w:szCs w:val="18"/>
      </w:rPr>
    </w:pPr>
    <w:r>
      <w:rPr>
        <w:b/>
        <w:bCs/>
        <w:spacing w:val="-14"/>
        <w:sz w:val="18"/>
        <w:szCs w:val="18"/>
      </w:rPr>
      <w:t>第</w:t>
    </w:r>
    <w:r>
      <w:rPr>
        <w:spacing w:val="-16"/>
        <w:sz w:val="18"/>
        <w:szCs w:val="18"/>
      </w:rPr>
      <w:t xml:space="preserve"> </w:t>
    </w:r>
    <w:r>
      <w:rPr>
        <w:b/>
        <w:bCs/>
        <w:spacing w:val="-14"/>
        <w:sz w:val="18"/>
        <w:szCs w:val="18"/>
      </w:rPr>
      <w:t>144</w:t>
    </w:r>
    <w:r>
      <w:rPr>
        <w:spacing w:val="-14"/>
        <w:sz w:val="18"/>
        <w:szCs w:val="18"/>
      </w:rPr>
      <w:t xml:space="preserve"> </w:t>
    </w:r>
    <w:r>
      <w:rPr>
        <w:b/>
        <w:bCs/>
        <w:spacing w:val="-14"/>
        <w:sz w:val="18"/>
        <w:szCs w:val="18"/>
      </w:rPr>
      <w:t>页</w:t>
    </w:r>
    <w:r>
      <w:rPr>
        <w:spacing w:val="-27"/>
        <w:sz w:val="18"/>
        <w:szCs w:val="18"/>
      </w:rPr>
      <w:t xml:space="preserve"> </w:t>
    </w:r>
    <w:r>
      <w:rPr>
        <w:b/>
        <w:bCs/>
        <w:spacing w:val="-14"/>
        <w:sz w:val="18"/>
        <w:szCs w:val="18"/>
      </w:rPr>
      <w:t>共</w:t>
    </w:r>
    <w:r>
      <w:rPr>
        <w:spacing w:val="-39"/>
        <w:sz w:val="18"/>
        <w:szCs w:val="18"/>
      </w:rPr>
      <w:t xml:space="preserve"> </w:t>
    </w:r>
    <w:r>
      <w:rPr>
        <w:b/>
        <w:bCs/>
        <w:spacing w:val="-14"/>
        <w:sz w:val="18"/>
        <w:szCs w:val="18"/>
      </w:rPr>
      <w:t>499</w:t>
    </w:r>
    <w:r>
      <w:rPr>
        <w:spacing w:val="-14"/>
        <w:sz w:val="18"/>
        <w:szCs w:val="18"/>
      </w:rPr>
      <w:t xml:space="preserve"> </w:t>
    </w:r>
    <w:r>
      <w:rPr>
        <w:b/>
        <w:bCs/>
        <w:spacing w:val="-14"/>
        <w:sz w:val="18"/>
        <w:szCs w:val="18"/>
      </w:rPr>
      <w:t>页</w:t>
    </w:r>
  </w:p>
</w:ftr>
</file>

<file path=word/footer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63C7C2">
    <w:pPr>
      <w:spacing w:after="13" w:line="454" w:lineRule="exact"/>
    </w:pPr>
  </w:p>
  <w:p w14:paraId="55F2D59E">
    <w:pPr>
      <w:pStyle w:val="2"/>
      <w:spacing w:line="207" w:lineRule="auto"/>
      <w:ind w:left="5067"/>
      <w:rPr>
        <w:sz w:val="18"/>
        <w:szCs w:val="18"/>
      </w:rPr>
    </w:pPr>
    <w:r>
      <w:rPr>
        <w:b/>
        <w:bCs/>
        <w:spacing w:val="-14"/>
        <w:sz w:val="18"/>
        <w:szCs w:val="18"/>
      </w:rPr>
      <w:t>第</w:t>
    </w:r>
    <w:r>
      <w:rPr>
        <w:spacing w:val="-16"/>
        <w:sz w:val="18"/>
        <w:szCs w:val="18"/>
      </w:rPr>
      <w:t xml:space="preserve"> </w:t>
    </w:r>
    <w:r>
      <w:rPr>
        <w:b/>
        <w:bCs/>
        <w:spacing w:val="-14"/>
        <w:sz w:val="18"/>
        <w:szCs w:val="18"/>
      </w:rPr>
      <w:t>145</w:t>
    </w:r>
    <w:r>
      <w:rPr>
        <w:spacing w:val="-14"/>
        <w:sz w:val="18"/>
        <w:szCs w:val="18"/>
      </w:rPr>
      <w:t xml:space="preserve"> </w:t>
    </w:r>
    <w:r>
      <w:rPr>
        <w:b/>
        <w:bCs/>
        <w:spacing w:val="-14"/>
        <w:sz w:val="18"/>
        <w:szCs w:val="18"/>
      </w:rPr>
      <w:t>页</w:t>
    </w:r>
    <w:r>
      <w:rPr>
        <w:spacing w:val="-27"/>
        <w:sz w:val="18"/>
        <w:szCs w:val="18"/>
      </w:rPr>
      <w:t xml:space="preserve"> </w:t>
    </w:r>
    <w:r>
      <w:rPr>
        <w:b/>
        <w:bCs/>
        <w:spacing w:val="-14"/>
        <w:sz w:val="18"/>
        <w:szCs w:val="18"/>
      </w:rPr>
      <w:t>共</w:t>
    </w:r>
    <w:r>
      <w:rPr>
        <w:spacing w:val="-39"/>
        <w:sz w:val="18"/>
        <w:szCs w:val="18"/>
      </w:rPr>
      <w:t xml:space="preserve"> </w:t>
    </w:r>
    <w:r>
      <w:rPr>
        <w:b/>
        <w:bCs/>
        <w:spacing w:val="-14"/>
        <w:sz w:val="18"/>
        <w:szCs w:val="18"/>
      </w:rPr>
      <w:t>499</w:t>
    </w:r>
    <w:r>
      <w:rPr>
        <w:spacing w:val="-14"/>
        <w:sz w:val="18"/>
        <w:szCs w:val="18"/>
      </w:rPr>
      <w:t xml:space="preserve"> </w:t>
    </w:r>
    <w:r>
      <w:rPr>
        <w:b/>
        <w:bCs/>
        <w:spacing w:val="-14"/>
        <w:sz w:val="18"/>
        <w:szCs w:val="18"/>
      </w:rPr>
      <w:t>页</w:t>
    </w:r>
  </w:p>
</w:ftr>
</file>

<file path=word/footer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5AE34B">
    <w:pPr>
      <w:spacing w:after="13" w:line="454" w:lineRule="exact"/>
    </w:pPr>
  </w:p>
  <w:p w14:paraId="50EF1FA9">
    <w:pPr>
      <w:pStyle w:val="2"/>
      <w:spacing w:line="207" w:lineRule="auto"/>
      <w:ind w:left="5067"/>
      <w:rPr>
        <w:sz w:val="18"/>
        <w:szCs w:val="18"/>
      </w:rPr>
    </w:pPr>
    <w:r>
      <w:rPr>
        <w:b/>
        <w:bCs/>
        <w:spacing w:val="-14"/>
        <w:sz w:val="18"/>
        <w:szCs w:val="18"/>
      </w:rPr>
      <w:t>第</w:t>
    </w:r>
    <w:r>
      <w:rPr>
        <w:spacing w:val="-16"/>
        <w:sz w:val="18"/>
        <w:szCs w:val="18"/>
      </w:rPr>
      <w:t xml:space="preserve"> </w:t>
    </w:r>
    <w:r>
      <w:rPr>
        <w:b/>
        <w:bCs/>
        <w:spacing w:val="-14"/>
        <w:sz w:val="18"/>
        <w:szCs w:val="18"/>
      </w:rPr>
      <w:t>146</w:t>
    </w:r>
    <w:r>
      <w:rPr>
        <w:spacing w:val="-14"/>
        <w:sz w:val="18"/>
        <w:szCs w:val="18"/>
      </w:rPr>
      <w:t xml:space="preserve"> </w:t>
    </w:r>
    <w:r>
      <w:rPr>
        <w:b/>
        <w:bCs/>
        <w:spacing w:val="-14"/>
        <w:sz w:val="18"/>
        <w:szCs w:val="18"/>
      </w:rPr>
      <w:t>页</w:t>
    </w:r>
    <w:r>
      <w:rPr>
        <w:spacing w:val="-27"/>
        <w:sz w:val="18"/>
        <w:szCs w:val="18"/>
      </w:rPr>
      <w:t xml:space="preserve"> </w:t>
    </w:r>
    <w:r>
      <w:rPr>
        <w:b/>
        <w:bCs/>
        <w:spacing w:val="-14"/>
        <w:sz w:val="18"/>
        <w:szCs w:val="18"/>
      </w:rPr>
      <w:t>共</w:t>
    </w:r>
    <w:r>
      <w:rPr>
        <w:spacing w:val="-39"/>
        <w:sz w:val="18"/>
        <w:szCs w:val="18"/>
      </w:rPr>
      <w:t xml:space="preserve"> </w:t>
    </w:r>
    <w:r>
      <w:rPr>
        <w:b/>
        <w:bCs/>
        <w:spacing w:val="-14"/>
        <w:sz w:val="18"/>
        <w:szCs w:val="18"/>
      </w:rPr>
      <w:t>499</w:t>
    </w:r>
    <w:r>
      <w:rPr>
        <w:spacing w:val="-14"/>
        <w:sz w:val="18"/>
        <w:szCs w:val="18"/>
      </w:rPr>
      <w:t xml:space="preserve"> </w:t>
    </w:r>
    <w:r>
      <w:rPr>
        <w:b/>
        <w:bCs/>
        <w:spacing w:val="-14"/>
        <w:sz w:val="18"/>
        <w:szCs w:val="18"/>
      </w:rPr>
      <w:t>页</w:t>
    </w:r>
  </w:p>
</w:ftr>
</file>

<file path=word/footer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1CD32E">
    <w:pPr>
      <w:spacing w:after="13" w:line="454" w:lineRule="exact"/>
    </w:pPr>
  </w:p>
  <w:p w14:paraId="70C66DAD">
    <w:pPr>
      <w:pStyle w:val="2"/>
      <w:spacing w:line="207" w:lineRule="auto"/>
      <w:ind w:left="5067"/>
      <w:rPr>
        <w:sz w:val="18"/>
        <w:szCs w:val="18"/>
      </w:rPr>
    </w:pPr>
    <w:r>
      <w:rPr>
        <w:b/>
        <w:bCs/>
        <w:spacing w:val="-14"/>
        <w:sz w:val="18"/>
        <w:szCs w:val="18"/>
      </w:rPr>
      <w:t>第</w:t>
    </w:r>
    <w:r>
      <w:rPr>
        <w:spacing w:val="-16"/>
        <w:sz w:val="18"/>
        <w:szCs w:val="18"/>
      </w:rPr>
      <w:t xml:space="preserve"> </w:t>
    </w:r>
    <w:r>
      <w:rPr>
        <w:b/>
        <w:bCs/>
        <w:spacing w:val="-14"/>
        <w:sz w:val="18"/>
        <w:szCs w:val="18"/>
      </w:rPr>
      <w:t>147</w:t>
    </w:r>
    <w:r>
      <w:rPr>
        <w:spacing w:val="-14"/>
        <w:sz w:val="18"/>
        <w:szCs w:val="18"/>
      </w:rPr>
      <w:t xml:space="preserve"> </w:t>
    </w:r>
    <w:r>
      <w:rPr>
        <w:b/>
        <w:bCs/>
        <w:spacing w:val="-14"/>
        <w:sz w:val="18"/>
        <w:szCs w:val="18"/>
      </w:rPr>
      <w:t>页</w:t>
    </w:r>
    <w:r>
      <w:rPr>
        <w:spacing w:val="-27"/>
        <w:sz w:val="18"/>
        <w:szCs w:val="18"/>
      </w:rPr>
      <w:t xml:space="preserve"> </w:t>
    </w:r>
    <w:r>
      <w:rPr>
        <w:b/>
        <w:bCs/>
        <w:spacing w:val="-14"/>
        <w:sz w:val="18"/>
        <w:szCs w:val="18"/>
      </w:rPr>
      <w:t>共</w:t>
    </w:r>
    <w:r>
      <w:rPr>
        <w:spacing w:val="-39"/>
        <w:sz w:val="18"/>
        <w:szCs w:val="18"/>
      </w:rPr>
      <w:t xml:space="preserve"> </w:t>
    </w:r>
    <w:r>
      <w:rPr>
        <w:b/>
        <w:bCs/>
        <w:spacing w:val="-14"/>
        <w:sz w:val="18"/>
        <w:szCs w:val="18"/>
      </w:rPr>
      <w:t>499</w:t>
    </w:r>
    <w:r>
      <w:rPr>
        <w:spacing w:val="-14"/>
        <w:sz w:val="18"/>
        <w:szCs w:val="18"/>
      </w:rPr>
      <w:t xml:space="preserve"> </w:t>
    </w:r>
    <w:r>
      <w:rPr>
        <w:b/>
        <w:bCs/>
        <w:spacing w:val="-14"/>
        <w:sz w:val="18"/>
        <w:szCs w:val="18"/>
      </w:rPr>
      <w:t>页</w:t>
    </w:r>
  </w:p>
</w:ftr>
</file>

<file path=word/footer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472CC0">
    <w:pPr>
      <w:spacing w:after="13" w:line="454" w:lineRule="exact"/>
    </w:pPr>
  </w:p>
  <w:p w14:paraId="1BF8D6C8">
    <w:pPr>
      <w:pStyle w:val="2"/>
      <w:spacing w:line="207" w:lineRule="auto"/>
      <w:ind w:left="5067"/>
      <w:rPr>
        <w:sz w:val="18"/>
        <w:szCs w:val="18"/>
      </w:rPr>
    </w:pPr>
    <w:r>
      <w:rPr>
        <w:b/>
        <w:bCs/>
        <w:spacing w:val="-14"/>
        <w:sz w:val="18"/>
        <w:szCs w:val="18"/>
      </w:rPr>
      <w:t>第</w:t>
    </w:r>
    <w:r>
      <w:rPr>
        <w:spacing w:val="-16"/>
        <w:sz w:val="18"/>
        <w:szCs w:val="18"/>
      </w:rPr>
      <w:t xml:space="preserve"> </w:t>
    </w:r>
    <w:r>
      <w:rPr>
        <w:b/>
        <w:bCs/>
        <w:spacing w:val="-14"/>
        <w:sz w:val="18"/>
        <w:szCs w:val="18"/>
      </w:rPr>
      <w:t>148</w:t>
    </w:r>
    <w:r>
      <w:rPr>
        <w:spacing w:val="-14"/>
        <w:sz w:val="18"/>
        <w:szCs w:val="18"/>
      </w:rPr>
      <w:t xml:space="preserve"> </w:t>
    </w:r>
    <w:r>
      <w:rPr>
        <w:b/>
        <w:bCs/>
        <w:spacing w:val="-14"/>
        <w:sz w:val="18"/>
        <w:szCs w:val="18"/>
      </w:rPr>
      <w:t>页</w:t>
    </w:r>
    <w:r>
      <w:rPr>
        <w:spacing w:val="-27"/>
        <w:sz w:val="18"/>
        <w:szCs w:val="18"/>
      </w:rPr>
      <w:t xml:space="preserve"> </w:t>
    </w:r>
    <w:r>
      <w:rPr>
        <w:b/>
        <w:bCs/>
        <w:spacing w:val="-14"/>
        <w:sz w:val="18"/>
        <w:szCs w:val="18"/>
      </w:rPr>
      <w:t>共</w:t>
    </w:r>
    <w:r>
      <w:rPr>
        <w:spacing w:val="-39"/>
        <w:sz w:val="18"/>
        <w:szCs w:val="18"/>
      </w:rPr>
      <w:t xml:space="preserve"> </w:t>
    </w:r>
    <w:r>
      <w:rPr>
        <w:b/>
        <w:bCs/>
        <w:spacing w:val="-14"/>
        <w:sz w:val="18"/>
        <w:szCs w:val="18"/>
      </w:rPr>
      <w:t>499</w:t>
    </w:r>
    <w:r>
      <w:rPr>
        <w:spacing w:val="-14"/>
        <w:sz w:val="18"/>
        <w:szCs w:val="18"/>
      </w:rPr>
      <w:t xml:space="preserve"> </w:t>
    </w:r>
    <w:r>
      <w:rPr>
        <w:b/>
        <w:bCs/>
        <w:spacing w:val="-14"/>
        <w:sz w:val="18"/>
        <w:szCs w:val="18"/>
      </w:rPr>
      <w:t>页</w:t>
    </w:r>
  </w:p>
</w:ftr>
</file>

<file path=word/footer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1CB23A">
    <w:pPr>
      <w:spacing w:after="13" w:line="454" w:lineRule="exact"/>
    </w:pPr>
  </w:p>
  <w:p w14:paraId="484EDB53">
    <w:pPr>
      <w:pStyle w:val="2"/>
      <w:spacing w:line="207" w:lineRule="auto"/>
      <w:ind w:left="5067"/>
      <w:rPr>
        <w:sz w:val="18"/>
        <w:szCs w:val="18"/>
      </w:rPr>
    </w:pPr>
    <w:r>
      <w:rPr>
        <w:b/>
        <w:bCs/>
        <w:spacing w:val="-14"/>
        <w:sz w:val="18"/>
        <w:szCs w:val="18"/>
      </w:rPr>
      <w:t>第</w:t>
    </w:r>
    <w:r>
      <w:rPr>
        <w:spacing w:val="-16"/>
        <w:sz w:val="18"/>
        <w:szCs w:val="18"/>
      </w:rPr>
      <w:t xml:space="preserve"> </w:t>
    </w:r>
    <w:r>
      <w:rPr>
        <w:b/>
        <w:bCs/>
        <w:spacing w:val="-14"/>
        <w:sz w:val="18"/>
        <w:szCs w:val="18"/>
      </w:rPr>
      <w:t>149</w:t>
    </w:r>
    <w:r>
      <w:rPr>
        <w:spacing w:val="-14"/>
        <w:sz w:val="18"/>
        <w:szCs w:val="18"/>
      </w:rPr>
      <w:t xml:space="preserve"> </w:t>
    </w:r>
    <w:r>
      <w:rPr>
        <w:b/>
        <w:bCs/>
        <w:spacing w:val="-14"/>
        <w:sz w:val="18"/>
        <w:szCs w:val="18"/>
      </w:rPr>
      <w:t>页</w:t>
    </w:r>
    <w:r>
      <w:rPr>
        <w:spacing w:val="-27"/>
        <w:sz w:val="18"/>
        <w:szCs w:val="18"/>
      </w:rPr>
      <w:t xml:space="preserve"> </w:t>
    </w:r>
    <w:r>
      <w:rPr>
        <w:b/>
        <w:bCs/>
        <w:spacing w:val="-14"/>
        <w:sz w:val="18"/>
        <w:szCs w:val="18"/>
      </w:rPr>
      <w:t>共</w:t>
    </w:r>
    <w:r>
      <w:rPr>
        <w:spacing w:val="-39"/>
        <w:sz w:val="18"/>
        <w:szCs w:val="18"/>
      </w:rPr>
      <w:t xml:space="preserve"> </w:t>
    </w:r>
    <w:r>
      <w:rPr>
        <w:b/>
        <w:bCs/>
        <w:spacing w:val="-14"/>
        <w:sz w:val="18"/>
        <w:szCs w:val="18"/>
      </w:rPr>
      <w:t>499</w:t>
    </w:r>
    <w:r>
      <w:rPr>
        <w:spacing w:val="-14"/>
        <w:sz w:val="18"/>
        <w:szCs w:val="18"/>
      </w:rPr>
      <w:t xml:space="preserve"> </w:t>
    </w:r>
    <w:r>
      <w:rPr>
        <w:b/>
        <w:bCs/>
        <w:spacing w:val="-14"/>
        <w:sz w:val="18"/>
        <w:szCs w:val="18"/>
      </w:rPr>
      <w:t>页</w:t>
    </w:r>
  </w:p>
</w:ftr>
</file>

<file path=word/footer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9990FE">
    <w:pPr>
      <w:spacing w:after="13" w:line="454" w:lineRule="exact"/>
    </w:pPr>
  </w:p>
  <w:p w14:paraId="11D03F8B">
    <w:pPr>
      <w:pStyle w:val="2"/>
      <w:spacing w:line="207" w:lineRule="auto"/>
      <w:ind w:left="5067"/>
      <w:rPr>
        <w:sz w:val="18"/>
        <w:szCs w:val="18"/>
      </w:rPr>
    </w:pPr>
    <w:r>
      <w:rPr>
        <w:b/>
        <w:bCs/>
        <w:spacing w:val="-14"/>
        <w:sz w:val="18"/>
        <w:szCs w:val="18"/>
      </w:rPr>
      <w:t>第</w:t>
    </w:r>
    <w:r>
      <w:rPr>
        <w:spacing w:val="-16"/>
        <w:sz w:val="18"/>
        <w:szCs w:val="18"/>
      </w:rPr>
      <w:t xml:space="preserve"> </w:t>
    </w:r>
    <w:r>
      <w:rPr>
        <w:b/>
        <w:bCs/>
        <w:spacing w:val="-14"/>
        <w:sz w:val="18"/>
        <w:szCs w:val="18"/>
      </w:rPr>
      <w:t>150</w:t>
    </w:r>
    <w:r>
      <w:rPr>
        <w:spacing w:val="-14"/>
        <w:sz w:val="18"/>
        <w:szCs w:val="18"/>
      </w:rPr>
      <w:t xml:space="preserve"> </w:t>
    </w:r>
    <w:r>
      <w:rPr>
        <w:b/>
        <w:bCs/>
        <w:spacing w:val="-14"/>
        <w:sz w:val="18"/>
        <w:szCs w:val="18"/>
      </w:rPr>
      <w:t>页</w:t>
    </w:r>
    <w:r>
      <w:rPr>
        <w:spacing w:val="-27"/>
        <w:sz w:val="18"/>
        <w:szCs w:val="18"/>
      </w:rPr>
      <w:t xml:space="preserve"> </w:t>
    </w:r>
    <w:r>
      <w:rPr>
        <w:b/>
        <w:bCs/>
        <w:spacing w:val="-14"/>
        <w:sz w:val="18"/>
        <w:szCs w:val="18"/>
      </w:rPr>
      <w:t>共</w:t>
    </w:r>
    <w:r>
      <w:rPr>
        <w:spacing w:val="-39"/>
        <w:sz w:val="18"/>
        <w:szCs w:val="18"/>
      </w:rPr>
      <w:t xml:space="preserve"> </w:t>
    </w:r>
    <w:r>
      <w:rPr>
        <w:b/>
        <w:bCs/>
        <w:spacing w:val="-14"/>
        <w:sz w:val="18"/>
        <w:szCs w:val="18"/>
      </w:rPr>
      <w:t>499</w:t>
    </w:r>
    <w:r>
      <w:rPr>
        <w:spacing w:val="-14"/>
        <w:sz w:val="18"/>
        <w:szCs w:val="18"/>
      </w:rPr>
      <w:t xml:space="preserve"> </w:t>
    </w:r>
    <w:r>
      <w:rPr>
        <w:b/>
        <w:bCs/>
        <w:spacing w:val="-14"/>
        <w:sz w:val="18"/>
        <w:szCs w:val="18"/>
      </w:rPr>
      <w:t>页</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1F6F2E">
    <w:pPr>
      <w:spacing w:line="445" w:lineRule="exact"/>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6E49ED">
    <w:pPr>
      <w:spacing w:line="445" w:lineRule="exact"/>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27A182">
    <w:pPr>
      <w:spacing w:line="728" w:lineRule="exact"/>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7AD8CE">
    <w:pPr>
      <w:spacing w:line="445" w:lineRule="exac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903D13">
    <w:pPr>
      <w:spacing w:line="445" w:lineRule="exact"/>
      <w:ind w:firstLine="1"/>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1E455E">
    <w:pPr>
      <w:spacing w:line="445" w:lineRule="exac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80601C">
    <w:pPr>
      <w:spacing w:line="445" w:lineRule="exact"/>
    </w:pPr>
    <w:r>
      <w:pict>
        <v:shape id="_x0000_s2088" o:spid="_x0000_s2088" o:spt="202" type="#_x0000_t202" style="position:absolute;left:0pt;margin-left:82.65pt;margin-top:177.45pt;height:199.95pt;width:430pt;mso-position-horizontal-relative:page;mso-position-vertical-relative:page;z-index:251660288;mso-width-relative:page;mso-height-relative:page;" filled="f" stroked="f" coordsize="21600,21600" o:allowincell="f">
          <v:path/>
          <v:fill on="f" focussize="0,0"/>
          <v:stroke on="f"/>
          <v:imagedata o:title=""/>
          <o:lock v:ext="edit" aspectratio="f"/>
          <v:textbox inset="0mm,0mm,0mm,0mm">
            <w:txbxContent>
              <w:p w14:paraId="01CCE5CC">
                <w:pPr>
                  <w:spacing w:line="20" w:lineRule="exact"/>
                </w:pPr>
              </w:p>
              <w:tbl>
                <w:tblPr>
                  <w:tblStyle w:val="6"/>
                  <w:tblW w:w="8549" w:type="dxa"/>
                  <w:tblInd w:w="25" w:type="dxa"/>
                  <w:tblBorders>
                    <w:top w:val="single" w:color="1C456A" w:sz="4" w:space="0"/>
                    <w:left w:val="single" w:color="1C456A" w:sz="4" w:space="0"/>
                    <w:bottom w:val="single" w:color="1C456A" w:sz="4" w:space="0"/>
                    <w:right w:val="single" w:color="1C456A" w:sz="4" w:space="0"/>
                    <w:insideH w:val="single" w:color="1C456A" w:sz="4" w:space="0"/>
                    <w:insideV w:val="single" w:color="1C456A" w:sz="4" w:space="0"/>
                  </w:tblBorders>
                  <w:tblLayout w:type="fixed"/>
                  <w:tblCellMar>
                    <w:top w:w="0" w:type="dxa"/>
                    <w:left w:w="0" w:type="dxa"/>
                    <w:bottom w:w="0" w:type="dxa"/>
                    <w:right w:w="0" w:type="dxa"/>
                  </w:tblCellMar>
                </w:tblPr>
                <w:tblGrid>
                  <w:gridCol w:w="4375"/>
                  <w:gridCol w:w="4174"/>
                </w:tblGrid>
                <w:tr w14:paraId="6AE9D45D">
                  <w:tblPrEx>
                    <w:tblBorders>
                      <w:top w:val="single" w:color="1C456A" w:sz="4" w:space="0"/>
                      <w:left w:val="single" w:color="1C456A" w:sz="4" w:space="0"/>
                      <w:bottom w:val="single" w:color="1C456A" w:sz="4" w:space="0"/>
                      <w:right w:val="single" w:color="1C456A" w:sz="4" w:space="0"/>
                      <w:insideH w:val="single" w:color="1C456A" w:sz="4" w:space="0"/>
                      <w:insideV w:val="single" w:color="1C456A" w:sz="4" w:space="0"/>
                    </w:tblBorders>
                    <w:tblCellMar>
                      <w:top w:w="0" w:type="dxa"/>
                      <w:left w:w="0" w:type="dxa"/>
                      <w:bottom w:w="0" w:type="dxa"/>
                      <w:right w:w="0" w:type="dxa"/>
                    </w:tblCellMar>
                  </w:tblPrEx>
                  <w:trPr>
                    <w:trHeight w:val="3938" w:hRule="atLeast"/>
                  </w:trPr>
                  <w:tc>
                    <w:tcPr>
                      <w:tcW w:w="4375" w:type="dxa"/>
                      <w:tcBorders>
                        <w:right w:val="single" w:color="000000" w:sz="2" w:space="0"/>
                      </w:tcBorders>
                      <w:shd w:val="clear" w:color="auto" w:fill="DEEAF6"/>
                      <w:vAlign w:val="top"/>
                    </w:tcPr>
                    <w:p w14:paraId="50530C9D">
                      <w:pPr>
                        <w:spacing w:before="33" w:line="60" w:lineRule="exact"/>
                        <w:ind w:firstLine="33"/>
                      </w:pPr>
                      <w:r>
                        <w:rPr>
                          <w:position w:val="-1"/>
                        </w:rPr>
                        <w:drawing>
                          <wp:inline distT="0" distB="0" distL="0" distR="0">
                            <wp:extent cx="2736850" cy="38100"/>
                            <wp:effectExtent l="0" t="0" r="0" b="0"/>
                            <wp:docPr id="206" name="IM 206"/>
                            <wp:cNvGraphicFramePr/>
                            <a:graphic xmlns:a="http://schemas.openxmlformats.org/drawingml/2006/main">
                              <a:graphicData uri="http://schemas.openxmlformats.org/drawingml/2006/picture">
                                <pic:pic xmlns:pic="http://schemas.openxmlformats.org/drawingml/2006/picture">
                                  <pic:nvPicPr>
                                    <pic:cNvPr id="206" name="IM 206"/>
                                    <pic:cNvPicPr/>
                                  </pic:nvPicPr>
                                  <pic:blipFill>
                                    <a:blip r:embed="rId1"/>
                                    <a:stretch>
                                      <a:fillRect/>
                                    </a:stretch>
                                  </pic:blipFill>
                                  <pic:spPr>
                                    <a:xfrm>
                                      <a:off x="0" y="0"/>
                                      <a:ext cx="2737357" cy="38100"/>
                                    </a:xfrm>
                                    <a:prstGeom prst="rect">
                                      <a:avLst/>
                                    </a:prstGeom>
                                  </pic:spPr>
                                </pic:pic>
                              </a:graphicData>
                            </a:graphic>
                          </wp:inline>
                        </w:drawing>
                      </w:r>
                    </w:p>
                    <w:p w14:paraId="18FEDE88">
                      <w:pPr>
                        <w:spacing w:line="248" w:lineRule="auto"/>
                        <w:rPr>
                          <w:rFonts w:ascii="Arial"/>
                          <w:sz w:val="21"/>
                        </w:rPr>
                      </w:pPr>
                    </w:p>
                    <w:p w14:paraId="4BF7D62E">
                      <w:pPr>
                        <w:spacing w:line="248" w:lineRule="auto"/>
                        <w:rPr>
                          <w:rFonts w:ascii="Arial"/>
                          <w:sz w:val="21"/>
                        </w:rPr>
                      </w:pPr>
                    </w:p>
                    <w:p w14:paraId="1CA2E0D8">
                      <w:pPr>
                        <w:spacing w:line="248" w:lineRule="auto"/>
                        <w:rPr>
                          <w:rFonts w:ascii="Arial"/>
                          <w:sz w:val="21"/>
                        </w:rPr>
                      </w:pPr>
                    </w:p>
                    <w:p w14:paraId="176C59CE">
                      <w:pPr>
                        <w:spacing w:line="248" w:lineRule="auto"/>
                        <w:rPr>
                          <w:rFonts w:ascii="Arial"/>
                          <w:sz w:val="21"/>
                        </w:rPr>
                      </w:pPr>
                    </w:p>
                    <w:p w14:paraId="52E40FF5">
                      <w:pPr>
                        <w:spacing w:line="248" w:lineRule="auto"/>
                        <w:rPr>
                          <w:rFonts w:ascii="Arial"/>
                          <w:sz w:val="21"/>
                        </w:rPr>
                      </w:pPr>
                    </w:p>
                    <w:p w14:paraId="426D830C">
                      <w:pPr>
                        <w:spacing w:line="248" w:lineRule="auto"/>
                        <w:rPr>
                          <w:rFonts w:ascii="Arial"/>
                          <w:sz w:val="21"/>
                        </w:rPr>
                      </w:pPr>
                    </w:p>
                    <w:p w14:paraId="7A312D1D">
                      <w:pPr>
                        <w:spacing w:line="248" w:lineRule="auto"/>
                        <w:rPr>
                          <w:rFonts w:ascii="Arial"/>
                          <w:sz w:val="21"/>
                        </w:rPr>
                      </w:pPr>
                    </w:p>
                    <w:p w14:paraId="75891E5E">
                      <w:pPr>
                        <w:spacing w:line="249" w:lineRule="auto"/>
                        <w:rPr>
                          <w:rFonts w:ascii="Arial"/>
                          <w:sz w:val="21"/>
                        </w:rPr>
                      </w:pPr>
                    </w:p>
                    <w:p w14:paraId="0225CFB5">
                      <w:pPr>
                        <w:spacing w:line="249" w:lineRule="auto"/>
                        <w:rPr>
                          <w:rFonts w:ascii="Arial"/>
                          <w:sz w:val="21"/>
                        </w:rPr>
                      </w:pPr>
                    </w:p>
                    <w:p w14:paraId="2F4412BF">
                      <w:pPr>
                        <w:spacing w:line="249" w:lineRule="auto"/>
                        <w:rPr>
                          <w:rFonts w:ascii="Arial"/>
                          <w:sz w:val="21"/>
                        </w:rPr>
                      </w:pPr>
                    </w:p>
                    <w:p w14:paraId="2415F333">
                      <w:pPr>
                        <w:spacing w:line="249" w:lineRule="auto"/>
                        <w:rPr>
                          <w:rFonts w:ascii="Arial"/>
                          <w:sz w:val="21"/>
                        </w:rPr>
                      </w:pPr>
                    </w:p>
                    <w:p w14:paraId="570124D1">
                      <w:pPr>
                        <w:spacing w:line="249" w:lineRule="auto"/>
                        <w:rPr>
                          <w:rFonts w:ascii="Arial"/>
                          <w:sz w:val="21"/>
                        </w:rPr>
                      </w:pPr>
                    </w:p>
                    <w:p w14:paraId="72057489">
                      <w:pPr>
                        <w:spacing w:line="249" w:lineRule="auto"/>
                        <w:rPr>
                          <w:rFonts w:ascii="Arial"/>
                          <w:sz w:val="21"/>
                        </w:rPr>
                      </w:pPr>
                    </w:p>
                    <w:p w14:paraId="4ECE86F2">
                      <w:pPr>
                        <w:spacing w:line="249" w:lineRule="auto"/>
                        <w:rPr>
                          <w:rFonts w:ascii="Arial"/>
                          <w:sz w:val="21"/>
                        </w:rPr>
                      </w:pPr>
                    </w:p>
                    <w:p w14:paraId="18067380">
                      <w:pPr>
                        <w:spacing w:line="249" w:lineRule="auto"/>
                        <w:rPr>
                          <w:rFonts w:ascii="Arial"/>
                          <w:sz w:val="21"/>
                        </w:rPr>
                      </w:pPr>
                    </w:p>
                    <w:p w14:paraId="6B9615E1">
                      <w:pPr>
                        <w:spacing w:line="83" w:lineRule="exact"/>
                      </w:pPr>
                      <w:r>
                        <w:rPr>
                          <w:position w:val="-1"/>
                        </w:rPr>
                        <w:drawing>
                          <wp:inline distT="0" distB="0" distL="0" distR="0">
                            <wp:extent cx="2760980" cy="52705"/>
                            <wp:effectExtent l="0" t="0" r="0" b="0"/>
                            <wp:docPr id="208" name="IM 208"/>
                            <wp:cNvGraphicFramePr/>
                            <a:graphic xmlns:a="http://schemas.openxmlformats.org/drawingml/2006/main">
                              <a:graphicData uri="http://schemas.openxmlformats.org/drawingml/2006/picture">
                                <pic:pic xmlns:pic="http://schemas.openxmlformats.org/drawingml/2006/picture">
                                  <pic:nvPicPr>
                                    <pic:cNvPr id="208" name="IM 208"/>
                                    <pic:cNvPicPr/>
                                  </pic:nvPicPr>
                                  <pic:blipFill>
                                    <a:blip r:embed="rId2"/>
                                    <a:stretch>
                                      <a:fillRect/>
                                    </a:stretch>
                                  </pic:blipFill>
                                  <pic:spPr>
                                    <a:xfrm>
                                      <a:off x="0" y="0"/>
                                      <a:ext cx="2761488" cy="52705"/>
                                    </a:xfrm>
                                    <a:prstGeom prst="rect">
                                      <a:avLst/>
                                    </a:prstGeom>
                                  </pic:spPr>
                                </pic:pic>
                              </a:graphicData>
                            </a:graphic>
                          </wp:inline>
                        </w:drawing>
                      </w:r>
                    </w:p>
                  </w:tc>
                  <w:tc>
                    <w:tcPr>
                      <w:tcW w:w="4174" w:type="dxa"/>
                      <w:tcBorders>
                        <w:top w:val="single" w:color="5B9BD5" w:sz="4" w:space="0"/>
                        <w:left w:val="single" w:color="000000" w:sz="2" w:space="0"/>
                        <w:bottom w:val="single" w:color="5B9BD5" w:sz="4" w:space="0"/>
                        <w:right w:val="single" w:color="5B9BD5" w:sz="4" w:space="0"/>
                      </w:tcBorders>
                      <w:vAlign w:val="top"/>
                    </w:tcPr>
                    <w:p w14:paraId="718BC70B">
                      <w:pPr>
                        <w:spacing w:before="33" w:line="60" w:lineRule="exact"/>
                        <w:ind w:firstLine="14"/>
                      </w:pPr>
                      <w:r>
                        <w:rPr>
                          <w:position w:val="-1"/>
                        </w:rPr>
                        <w:drawing>
                          <wp:inline distT="0" distB="0" distL="0" distR="0">
                            <wp:extent cx="2615565" cy="38100"/>
                            <wp:effectExtent l="0" t="0" r="0" b="0"/>
                            <wp:docPr id="210" name="IM 210"/>
                            <wp:cNvGraphicFramePr/>
                            <a:graphic xmlns:a="http://schemas.openxmlformats.org/drawingml/2006/main">
                              <a:graphicData uri="http://schemas.openxmlformats.org/drawingml/2006/picture">
                                <pic:pic xmlns:pic="http://schemas.openxmlformats.org/drawingml/2006/picture">
                                  <pic:nvPicPr>
                                    <pic:cNvPr id="210" name="IM 210"/>
                                    <pic:cNvPicPr/>
                                  </pic:nvPicPr>
                                  <pic:blipFill>
                                    <a:blip r:embed="rId3"/>
                                    <a:stretch>
                                      <a:fillRect/>
                                    </a:stretch>
                                  </pic:blipFill>
                                  <pic:spPr>
                                    <a:xfrm>
                                      <a:off x="0" y="0"/>
                                      <a:ext cx="2615819" cy="38100"/>
                                    </a:xfrm>
                                    <a:prstGeom prst="rect">
                                      <a:avLst/>
                                    </a:prstGeom>
                                  </pic:spPr>
                                </pic:pic>
                              </a:graphicData>
                            </a:graphic>
                          </wp:inline>
                        </w:drawing>
                      </w:r>
                    </w:p>
                    <w:p w14:paraId="0D7C5353">
                      <w:pPr>
                        <w:spacing w:line="248" w:lineRule="auto"/>
                        <w:rPr>
                          <w:rFonts w:ascii="Arial"/>
                          <w:sz w:val="21"/>
                        </w:rPr>
                      </w:pPr>
                    </w:p>
                    <w:p w14:paraId="3786813F">
                      <w:pPr>
                        <w:spacing w:line="248" w:lineRule="auto"/>
                        <w:rPr>
                          <w:rFonts w:ascii="Arial"/>
                          <w:sz w:val="21"/>
                        </w:rPr>
                      </w:pPr>
                    </w:p>
                    <w:p w14:paraId="4AA4CB48">
                      <w:pPr>
                        <w:spacing w:line="248" w:lineRule="auto"/>
                        <w:rPr>
                          <w:rFonts w:ascii="Arial"/>
                          <w:sz w:val="21"/>
                        </w:rPr>
                      </w:pPr>
                    </w:p>
                    <w:p w14:paraId="64E2A9B4">
                      <w:pPr>
                        <w:spacing w:line="248" w:lineRule="auto"/>
                        <w:rPr>
                          <w:rFonts w:ascii="Arial"/>
                          <w:sz w:val="21"/>
                        </w:rPr>
                      </w:pPr>
                    </w:p>
                    <w:p w14:paraId="29360421">
                      <w:pPr>
                        <w:spacing w:line="248" w:lineRule="auto"/>
                        <w:rPr>
                          <w:rFonts w:ascii="Arial"/>
                          <w:sz w:val="21"/>
                        </w:rPr>
                      </w:pPr>
                    </w:p>
                    <w:p w14:paraId="482FEB4B">
                      <w:pPr>
                        <w:spacing w:line="248" w:lineRule="auto"/>
                        <w:rPr>
                          <w:rFonts w:ascii="Arial"/>
                          <w:sz w:val="21"/>
                        </w:rPr>
                      </w:pPr>
                    </w:p>
                    <w:p w14:paraId="4A4B494F">
                      <w:pPr>
                        <w:spacing w:line="248" w:lineRule="auto"/>
                        <w:rPr>
                          <w:rFonts w:ascii="Arial"/>
                          <w:sz w:val="21"/>
                        </w:rPr>
                      </w:pPr>
                    </w:p>
                    <w:p w14:paraId="117507F6">
                      <w:pPr>
                        <w:spacing w:line="249" w:lineRule="auto"/>
                        <w:rPr>
                          <w:rFonts w:ascii="Arial"/>
                          <w:sz w:val="21"/>
                        </w:rPr>
                      </w:pPr>
                    </w:p>
                    <w:p w14:paraId="51BEF7EB">
                      <w:pPr>
                        <w:spacing w:line="249" w:lineRule="auto"/>
                        <w:rPr>
                          <w:rFonts w:ascii="Arial"/>
                          <w:sz w:val="21"/>
                        </w:rPr>
                      </w:pPr>
                    </w:p>
                    <w:p w14:paraId="2E7EB432">
                      <w:pPr>
                        <w:spacing w:line="249" w:lineRule="auto"/>
                        <w:rPr>
                          <w:rFonts w:ascii="Arial"/>
                          <w:sz w:val="21"/>
                        </w:rPr>
                      </w:pPr>
                    </w:p>
                    <w:p w14:paraId="13DC270F">
                      <w:pPr>
                        <w:spacing w:line="249" w:lineRule="auto"/>
                        <w:rPr>
                          <w:rFonts w:ascii="Arial"/>
                          <w:sz w:val="21"/>
                        </w:rPr>
                      </w:pPr>
                    </w:p>
                    <w:p w14:paraId="31ACB7E9">
                      <w:pPr>
                        <w:spacing w:line="249" w:lineRule="auto"/>
                        <w:rPr>
                          <w:rFonts w:ascii="Arial"/>
                          <w:sz w:val="21"/>
                        </w:rPr>
                      </w:pPr>
                    </w:p>
                    <w:p w14:paraId="3C4512B0">
                      <w:pPr>
                        <w:spacing w:line="249" w:lineRule="auto"/>
                        <w:rPr>
                          <w:rFonts w:ascii="Arial"/>
                          <w:sz w:val="21"/>
                        </w:rPr>
                      </w:pPr>
                    </w:p>
                    <w:p w14:paraId="4AC6FAD3">
                      <w:pPr>
                        <w:spacing w:line="249" w:lineRule="auto"/>
                        <w:rPr>
                          <w:rFonts w:ascii="Arial"/>
                          <w:sz w:val="21"/>
                        </w:rPr>
                      </w:pPr>
                    </w:p>
                    <w:p w14:paraId="7E95F65F">
                      <w:pPr>
                        <w:spacing w:line="249" w:lineRule="auto"/>
                        <w:rPr>
                          <w:rFonts w:ascii="Arial"/>
                          <w:sz w:val="21"/>
                        </w:rPr>
                      </w:pPr>
                    </w:p>
                    <w:p w14:paraId="51507246">
                      <w:pPr>
                        <w:spacing w:line="83" w:lineRule="exact"/>
                      </w:pPr>
                      <w:r>
                        <w:rPr>
                          <w:position w:val="-1"/>
                        </w:rPr>
                        <w:drawing>
                          <wp:inline distT="0" distB="0" distL="0" distR="0">
                            <wp:extent cx="2645410" cy="52705"/>
                            <wp:effectExtent l="0" t="0" r="0" b="0"/>
                            <wp:docPr id="212" name="IM 212"/>
                            <wp:cNvGraphicFramePr/>
                            <a:graphic xmlns:a="http://schemas.openxmlformats.org/drawingml/2006/main">
                              <a:graphicData uri="http://schemas.openxmlformats.org/drawingml/2006/picture">
                                <pic:pic xmlns:pic="http://schemas.openxmlformats.org/drawingml/2006/picture">
                                  <pic:nvPicPr>
                                    <pic:cNvPr id="212" name="IM 212"/>
                                    <pic:cNvPicPr/>
                                  </pic:nvPicPr>
                                  <pic:blipFill>
                                    <a:blip r:embed="rId4"/>
                                    <a:stretch>
                                      <a:fillRect/>
                                    </a:stretch>
                                  </pic:blipFill>
                                  <pic:spPr>
                                    <a:xfrm>
                                      <a:off x="0" y="0"/>
                                      <a:ext cx="2645727" cy="52705"/>
                                    </a:xfrm>
                                    <a:prstGeom prst="rect">
                                      <a:avLst/>
                                    </a:prstGeom>
                                  </pic:spPr>
                                </pic:pic>
                              </a:graphicData>
                            </a:graphic>
                          </wp:inline>
                        </w:drawing>
                      </w:r>
                    </w:p>
                  </w:tc>
                </w:tr>
              </w:tbl>
              <w:p w14:paraId="3FAFD678">
                <w:pPr>
                  <w:rPr>
                    <w:rFonts w:ascii="Arial"/>
                    <w:sz w:val="21"/>
                  </w:rPr>
                </w:pPr>
              </w:p>
            </w:txbxContent>
          </v:textbox>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22CFA3">
    <w:pPr>
      <w:spacing w:line="445" w:lineRule="exact"/>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4CE0DD">
    <w:pPr>
      <w:spacing w:line="445" w:lineRule="exact"/>
    </w:pPr>
    <w:r>
      <w:pict>
        <v:shape id="WordPictureWatermark2976" o:spid="_x0000_s2089" o:spt="75" type="#_x0000_t75" style="position:absolute;left:0pt;margin-left:96.95pt;margin-top:63.6pt;height:418.15pt;width:401.4pt;mso-position-horizontal-relative:page;mso-position-vertical-relative:page;z-index:-251627520;mso-width-relative:page;mso-height-relative:page;" filled="f" stroked="f" coordsize="21600,21600" o:allowincell="f">
          <v:path/>
          <v:fill on="f" focussize="0,0"/>
          <v:stroke on="f"/>
          <v:imagedata r:id="rId1" o:title=""/>
          <o:lock v:ext="edit" aspectratio="t"/>
        </v:shape>
      </w:pict>
    </w:r>
    <w:r>
      <w:rPr>
        <w:position w:val="-8"/>
      </w:rPr>
      <w:drawing>
        <wp:inline distT="0" distB="0" distL="0" distR="0">
          <wp:extent cx="7557135" cy="282575"/>
          <wp:effectExtent l="0" t="0" r="0" b="0"/>
          <wp:docPr id="988" name="IM 988"/>
          <wp:cNvGraphicFramePr/>
          <a:graphic xmlns:a="http://schemas.openxmlformats.org/drawingml/2006/main">
            <a:graphicData uri="http://schemas.openxmlformats.org/drawingml/2006/picture">
              <pic:pic xmlns:pic="http://schemas.openxmlformats.org/drawingml/2006/picture">
                <pic:nvPicPr>
                  <pic:cNvPr id="988" name="IM 988"/>
                  <pic:cNvPicPr/>
                </pic:nvPicPr>
                <pic:blipFill>
                  <a:blip r:embed="rId2"/>
                  <a:stretch>
                    <a:fillRect/>
                  </a:stretch>
                </pic:blipFill>
                <pic:spPr>
                  <a:xfrm>
                    <a:off x="0" y="0"/>
                    <a:ext cx="7557769" cy="282575"/>
                  </a:xfrm>
                  <a:prstGeom prst="rect">
                    <a:avLst/>
                  </a:prstGeom>
                </pic:spPr>
              </pic:pic>
            </a:graphicData>
          </a:graphic>
        </wp:inline>
      </w:drawing>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181734">
    <w:pPr>
      <w:spacing w:line="445" w:lineRule="exact"/>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7FFB39">
    <w:pPr>
      <w:spacing w:line="445" w:lineRule="exact"/>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E55BB7">
    <w:pPr>
      <w:spacing w:line="14" w:lineRule="auto"/>
      <w:rPr>
        <w:rFonts w:ascii="Arial"/>
        <w:sz w:val="2"/>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0"/>
  <w:displayBackgroundShape w:val="1"/>
  <w:documentProtection w:enforcement="0"/>
  <w:characterSpacingControl w:val="doNotCompress"/>
  <w:hdrShapeDefaults>
    <o:shapelayout v:ext="edit">
      <o:idmap v:ext="edit" data="2"/>
    </o:shapelayout>
  </w:hdrShapeDefaults>
  <w:footnotePr>
    <w:footnote w:id="0"/>
    <w:footnote w:id="1"/>
  </w:footnotePr>
  <w:endnotePr>
    <w:endnote w:id="0"/>
    <w:endnote w:id="1"/>
  </w:endnotePr>
  <w:compat>
    <w:spaceForUL/>
    <w:ulTrailSpace/>
    <w:useFELayout/>
    <w:compatSetting w:name="compatibilityMode" w:uri="http://schemas.microsoft.com/office/word" w:val="14"/>
  </w:compat>
  <w:rsids>
    <w:rsidRoot w:val="00000000"/>
    <w:rsid w:val="05356A2C"/>
    <w:rsid w:val="06840B3B"/>
    <w:rsid w:val="06905732"/>
    <w:rsid w:val="069C40D7"/>
    <w:rsid w:val="07267C17"/>
    <w:rsid w:val="088766C0"/>
    <w:rsid w:val="0B4E34C6"/>
    <w:rsid w:val="0BE81B6C"/>
    <w:rsid w:val="0C4A6383"/>
    <w:rsid w:val="0E0407B3"/>
    <w:rsid w:val="100827DD"/>
    <w:rsid w:val="121C256F"/>
    <w:rsid w:val="12DE5A77"/>
    <w:rsid w:val="132D4308"/>
    <w:rsid w:val="134A4EBA"/>
    <w:rsid w:val="13E76BAD"/>
    <w:rsid w:val="151E65FF"/>
    <w:rsid w:val="15634011"/>
    <w:rsid w:val="17EF6101"/>
    <w:rsid w:val="19453803"/>
    <w:rsid w:val="1F091F7C"/>
    <w:rsid w:val="1F7B2B31"/>
    <w:rsid w:val="1FB97650"/>
    <w:rsid w:val="223236E9"/>
    <w:rsid w:val="25535E50"/>
    <w:rsid w:val="26B6250E"/>
    <w:rsid w:val="279A1B15"/>
    <w:rsid w:val="28940C5A"/>
    <w:rsid w:val="29DA067B"/>
    <w:rsid w:val="2DB87198"/>
    <w:rsid w:val="2EDF69A7"/>
    <w:rsid w:val="31EC4E44"/>
    <w:rsid w:val="32DD144F"/>
    <w:rsid w:val="35246EC1"/>
    <w:rsid w:val="37957E64"/>
    <w:rsid w:val="3A706705"/>
    <w:rsid w:val="3D3103CE"/>
    <w:rsid w:val="3E36420B"/>
    <w:rsid w:val="3F5D36FC"/>
    <w:rsid w:val="3FF948DF"/>
    <w:rsid w:val="41026AA7"/>
    <w:rsid w:val="41566655"/>
    <w:rsid w:val="419C74B1"/>
    <w:rsid w:val="423B52A6"/>
    <w:rsid w:val="44E577C5"/>
    <w:rsid w:val="457C2402"/>
    <w:rsid w:val="45BF2F40"/>
    <w:rsid w:val="46B02CAB"/>
    <w:rsid w:val="46EA4E70"/>
    <w:rsid w:val="47A704E7"/>
    <w:rsid w:val="4A8C30E7"/>
    <w:rsid w:val="4C3D6D8F"/>
    <w:rsid w:val="4DEA4CF4"/>
    <w:rsid w:val="4E3B72FE"/>
    <w:rsid w:val="50016325"/>
    <w:rsid w:val="5033552D"/>
    <w:rsid w:val="545B6505"/>
    <w:rsid w:val="55355B6F"/>
    <w:rsid w:val="55AC70CD"/>
    <w:rsid w:val="562C45AA"/>
    <w:rsid w:val="57945CD1"/>
    <w:rsid w:val="5AE14D89"/>
    <w:rsid w:val="5B0867BA"/>
    <w:rsid w:val="5B8421AE"/>
    <w:rsid w:val="5EFC4888"/>
    <w:rsid w:val="60644ECB"/>
    <w:rsid w:val="60B93CBC"/>
    <w:rsid w:val="6841155D"/>
    <w:rsid w:val="6B4355EC"/>
    <w:rsid w:val="6F9B5066"/>
    <w:rsid w:val="71A863FB"/>
    <w:rsid w:val="736E6F7E"/>
    <w:rsid w:val="75AB270C"/>
    <w:rsid w:val="76157B85"/>
    <w:rsid w:val="76432944"/>
    <w:rsid w:val="76481D09"/>
    <w:rsid w:val="76626CD9"/>
    <w:rsid w:val="767C19B2"/>
    <w:rsid w:val="7A286F7C"/>
    <w:rsid w:val="7A3B6018"/>
    <w:rsid w:val="7B2C7E4B"/>
    <w:rsid w:val="7C1903CF"/>
    <w:rsid w:val="7F5636E8"/>
    <w:rsid w:val="7F800765"/>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3,4"/>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Arial" w:hAnsi="Arial" w:eastAsia="Arial" w:cs="Arial"/>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character" w:default="1" w:styleId="5">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Body Text"/>
    <w:basedOn w:val="1"/>
    <w:qFormat/>
    <w:uiPriority w:val="0"/>
    <w:rPr>
      <w:rFonts w:ascii="仿宋" w:hAnsi="仿宋" w:eastAsia="仿宋" w:cs="仿宋"/>
      <w:sz w:val="36"/>
      <w:szCs w:val="36"/>
      <w:lang w:val="en-US" w:eastAsia="en-US" w:bidi="ar-SA"/>
    </w:rPr>
  </w:style>
  <w:style w:type="table" w:styleId="4">
    <w:name w:val="Table Grid"/>
    <w:basedOn w:val="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6">
    <w:name w:val="Table Normal"/>
    <w:semiHidden/>
    <w:unhideWhenUsed/>
    <w:qFormat/>
    <w:uiPriority w:val="0"/>
    <w:tblPr>
      <w:tblCellMar>
        <w:top w:w="0" w:type="dxa"/>
        <w:left w:w="0" w:type="dxa"/>
        <w:bottom w:w="0" w:type="dxa"/>
        <w:right w:w="0" w:type="dxa"/>
      </w:tblCellMar>
    </w:tblPr>
  </w:style>
  <w:style w:type="paragraph" w:customStyle="1" w:styleId="7">
    <w:name w:val="Table Text"/>
    <w:basedOn w:val="1"/>
    <w:semiHidden/>
    <w:qFormat/>
    <w:uiPriority w:val="0"/>
    <w:rPr>
      <w:rFonts w:ascii="仿宋" w:hAnsi="仿宋" w:eastAsia="仿宋" w:cs="仿宋"/>
      <w:sz w:val="24"/>
      <w:szCs w:val="24"/>
      <w:lang w:val="en-US" w:eastAsia="en-US" w:bidi="ar-SA"/>
    </w:rPr>
  </w:style>
  <w:style w:type="paragraph" w:customStyle="1" w:styleId="8">
    <w:name w:val="表格样式"/>
    <w:basedOn w:val="1"/>
    <w:qFormat/>
    <w:uiPriority w:val="0"/>
    <w:pPr>
      <w:spacing w:line="360" w:lineRule="auto"/>
      <w:ind w:firstLine="0" w:firstLineChars="0"/>
      <w:jc w:val="center"/>
    </w:pPr>
    <w:rPr>
      <w:szCs w:val="22"/>
      <w:lang w:val="zh-CN" w:bidi="zh-CN"/>
    </w:rPr>
  </w:style>
  <w:style w:type="paragraph" w:customStyle="1" w:styleId="9">
    <w:name w:val="仿宋"/>
    <w:basedOn w:val="1"/>
    <w:qFormat/>
    <w:uiPriority w:val="0"/>
    <w:pPr>
      <w:spacing w:line="288" w:lineRule="auto"/>
      <w:ind w:left="0" w:right="0" w:firstLine="420" w:firstLineChars="200"/>
      <w:jc w:val="both"/>
    </w:pPr>
    <w:rPr>
      <w:rFonts w:hint="eastAsia" w:ascii="仿宋" w:hAnsi="仿宋" w:eastAsia="仿宋" w:cs="仿宋"/>
      <w:spacing w:val="-20"/>
      <w:sz w:val="24"/>
      <w:szCs w:val="24"/>
    </w:rPr>
  </w:style>
</w:styles>
</file>

<file path=word/_rels/document.xml.rels><?xml version="1.0" encoding="UTF-8" standalone="yes"?>
<Relationships xmlns="http://schemas.openxmlformats.org/package/2006/relationships"><Relationship Id="rId99" Type="http://schemas.openxmlformats.org/officeDocument/2006/relationships/footer" Target="footer90.xml"/><Relationship Id="rId98" Type="http://schemas.openxmlformats.org/officeDocument/2006/relationships/footer" Target="footer89.xml"/><Relationship Id="rId97" Type="http://schemas.openxmlformats.org/officeDocument/2006/relationships/footer" Target="footer88.xml"/><Relationship Id="rId96" Type="http://schemas.openxmlformats.org/officeDocument/2006/relationships/footer" Target="footer87.xml"/><Relationship Id="rId95" Type="http://schemas.openxmlformats.org/officeDocument/2006/relationships/footer" Target="footer86.xml"/><Relationship Id="rId94" Type="http://schemas.openxmlformats.org/officeDocument/2006/relationships/footer" Target="footer85.xml"/><Relationship Id="rId93" Type="http://schemas.openxmlformats.org/officeDocument/2006/relationships/footer" Target="footer84.xml"/><Relationship Id="rId92" Type="http://schemas.openxmlformats.org/officeDocument/2006/relationships/footer" Target="footer83.xml"/><Relationship Id="rId91" Type="http://schemas.openxmlformats.org/officeDocument/2006/relationships/footer" Target="footer82.xml"/><Relationship Id="rId90" Type="http://schemas.openxmlformats.org/officeDocument/2006/relationships/footer" Target="footer81.xml"/><Relationship Id="rId9" Type="http://schemas.openxmlformats.org/officeDocument/2006/relationships/footer" Target="footer3.xml"/><Relationship Id="rId89" Type="http://schemas.openxmlformats.org/officeDocument/2006/relationships/footer" Target="footer80.xml"/><Relationship Id="rId88" Type="http://schemas.openxmlformats.org/officeDocument/2006/relationships/footer" Target="footer79.xml"/><Relationship Id="rId87" Type="http://schemas.openxmlformats.org/officeDocument/2006/relationships/footer" Target="footer78.xml"/><Relationship Id="rId86" Type="http://schemas.openxmlformats.org/officeDocument/2006/relationships/footer" Target="footer77.xml"/><Relationship Id="rId85" Type="http://schemas.openxmlformats.org/officeDocument/2006/relationships/footer" Target="footer76.xml"/><Relationship Id="rId84" Type="http://schemas.openxmlformats.org/officeDocument/2006/relationships/footer" Target="footer75.xml"/><Relationship Id="rId83" Type="http://schemas.openxmlformats.org/officeDocument/2006/relationships/footer" Target="footer74.xml"/><Relationship Id="rId82" Type="http://schemas.openxmlformats.org/officeDocument/2006/relationships/footer" Target="footer73.xml"/><Relationship Id="rId81" Type="http://schemas.openxmlformats.org/officeDocument/2006/relationships/footer" Target="footer72.xml"/><Relationship Id="rId80" Type="http://schemas.openxmlformats.org/officeDocument/2006/relationships/footer" Target="footer71.xml"/><Relationship Id="rId8" Type="http://schemas.openxmlformats.org/officeDocument/2006/relationships/footer" Target="footer2.xml"/><Relationship Id="rId79" Type="http://schemas.openxmlformats.org/officeDocument/2006/relationships/footer" Target="footer70.xml"/><Relationship Id="rId78" Type="http://schemas.openxmlformats.org/officeDocument/2006/relationships/footer" Target="footer69.xml"/><Relationship Id="rId77" Type="http://schemas.openxmlformats.org/officeDocument/2006/relationships/footer" Target="footer68.xml"/><Relationship Id="rId761" Type="http://schemas.openxmlformats.org/officeDocument/2006/relationships/fontTable" Target="fontTable.xml"/><Relationship Id="rId760" Type="http://schemas.openxmlformats.org/officeDocument/2006/relationships/customXml" Target="../customXml/item1.xml"/><Relationship Id="rId76" Type="http://schemas.openxmlformats.org/officeDocument/2006/relationships/footer" Target="footer67.xml"/><Relationship Id="rId759" Type="http://schemas.openxmlformats.org/officeDocument/2006/relationships/image" Target="media/image318.jpeg"/><Relationship Id="rId758" Type="http://schemas.openxmlformats.org/officeDocument/2006/relationships/image" Target="media/image317.jpeg"/><Relationship Id="rId757" Type="http://schemas.openxmlformats.org/officeDocument/2006/relationships/image" Target="media/image316.jpeg"/><Relationship Id="rId756" Type="http://schemas.openxmlformats.org/officeDocument/2006/relationships/image" Target="media/image315.jpeg"/><Relationship Id="rId755" Type="http://schemas.openxmlformats.org/officeDocument/2006/relationships/image" Target="media/image314.jpeg"/><Relationship Id="rId754" Type="http://schemas.openxmlformats.org/officeDocument/2006/relationships/image" Target="media/image313.jpeg"/><Relationship Id="rId753" Type="http://schemas.openxmlformats.org/officeDocument/2006/relationships/image" Target="media/image312.jpeg"/><Relationship Id="rId752" Type="http://schemas.openxmlformats.org/officeDocument/2006/relationships/image" Target="media/image311.jpeg"/><Relationship Id="rId751" Type="http://schemas.openxmlformats.org/officeDocument/2006/relationships/image" Target="media/image310.jpeg"/><Relationship Id="rId750" Type="http://schemas.openxmlformats.org/officeDocument/2006/relationships/image" Target="media/image309.jpeg"/><Relationship Id="rId75" Type="http://schemas.openxmlformats.org/officeDocument/2006/relationships/footer" Target="footer66.xml"/><Relationship Id="rId749" Type="http://schemas.openxmlformats.org/officeDocument/2006/relationships/image" Target="media/image308.png"/><Relationship Id="rId748" Type="http://schemas.openxmlformats.org/officeDocument/2006/relationships/image" Target="media/image307.png"/><Relationship Id="rId747" Type="http://schemas.openxmlformats.org/officeDocument/2006/relationships/image" Target="media/image306.jpeg"/><Relationship Id="rId746" Type="http://schemas.openxmlformats.org/officeDocument/2006/relationships/image" Target="media/image305.jpeg"/><Relationship Id="rId745" Type="http://schemas.openxmlformats.org/officeDocument/2006/relationships/image" Target="media/image304.jpeg"/><Relationship Id="rId744" Type="http://schemas.openxmlformats.org/officeDocument/2006/relationships/image" Target="media/image303.png"/><Relationship Id="rId743" Type="http://schemas.openxmlformats.org/officeDocument/2006/relationships/image" Target="media/image302.png"/><Relationship Id="rId742" Type="http://schemas.openxmlformats.org/officeDocument/2006/relationships/image" Target="media/image301.png"/><Relationship Id="rId741" Type="http://schemas.openxmlformats.org/officeDocument/2006/relationships/image" Target="media/image300.png"/><Relationship Id="rId740" Type="http://schemas.openxmlformats.org/officeDocument/2006/relationships/image" Target="media/image299.png"/><Relationship Id="rId74" Type="http://schemas.openxmlformats.org/officeDocument/2006/relationships/footer" Target="footer65.xml"/><Relationship Id="rId739" Type="http://schemas.openxmlformats.org/officeDocument/2006/relationships/image" Target="media/image298.png"/><Relationship Id="rId738" Type="http://schemas.openxmlformats.org/officeDocument/2006/relationships/image" Target="media/image297.png"/><Relationship Id="rId737" Type="http://schemas.openxmlformats.org/officeDocument/2006/relationships/image" Target="media/image296.png"/><Relationship Id="rId736" Type="http://schemas.openxmlformats.org/officeDocument/2006/relationships/image" Target="media/image295.png"/><Relationship Id="rId735" Type="http://schemas.openxmlformats.org/officeDocument/2006/relationships/image" Target="media/image294.jpeg"/><Relationship Id="rId734" Type="http://schemas.openxmlformats.org/officeDocument/2006/relationships/image" Target="media/image293.jpeg"/><Relationship Id="rId733" Type="http://schemas.openxmlformats.org/officeDocument/2006/relationships/image" Target="media/image292.jpeg"/><Relationship Id="rId732" Type="http://schemas.openxmlformats.org/officeDocument/2006/relationships/image" Target="media/image291.jpeg"/><Relationship Id="rId731" Type="http://schemas.openxmlformats.org/officeDocument/2006/relationships/image" Target="media/image290.jpeg"/><Relationship Id="rId730" Type="http://schemas.openxmlformats.org/officeDocument/2006/relationships/image" Target="media/image289.jpeg"/><Relationship Id="rId73" Type="http://schemas.openxmlformats.org/officeDocument/2006/relationships/footer" Target="footer64.xml"/><Relationship Id="rId729" Type="http://schemas.openxmlformats.org/officeDocument/2006/relationships/image" Target="media/image288.jpeg"/><Relationship Id="rId728" Type="http://schemas.openxmlformats.org/officeDocument/2006/relationships/image" Target="media/image287.jpeg"/><Relationship Id="rId727" Type="http://schemas.openxmlformats.org/officeDocument/2006/relationships/image" Target="media/image286.jpeg"/><Relationship Id="rId726" Type="http://schemas.openxmlformats.org/officeDocument/2006/relationships/image" Target="media/image285.png"/><Relationship Id="rId725" Type="http://schemas.openxmlformats.org/officeDocument/2006/relationships/image" Target="media/image284.jpeg"/><Relationship Id="rId724" Type="http://schemas.openxmlformats.org/officeDocument/2006/relationships/image" Target="media/image283.jpeg"/><Relationship Id="rId723" Type="http://schemas.openxmlformats.org/officeDocument/2006/relationships/image" Target="media/image282.jpeg"/><Relationship Id="rId722" Type="http://schemas.openxmlformats.org/officeDocument/2006/relationships/image" Target="media/image281.jpeg"/><Relationship Id="rId721" Type="http://schemas.openxmlformats.org/officeDocument/2006/relationships/image" Target="media/image280.jpeg"/><Relationship Id="rId720" Type="http://schemas.openxmlformats.org/officeDocument/2006/relationships/image" Target="media/image279.jpeg"/><Relationship Id="rId72" Type="http://schemas.openxmlformats.org/officeDocument/2006/relationships/footer" Target="footer63.xml"/><Relationship Id="rId719" Type="http://schemas.openxmlformats.org/officeDocument/2006/relationships/image" Target="media/image278.jpeg"/><Relationship Id="rId718" Type="http://schemas.openxmlformats.org/officeDocument/2006/relationships/image" Target="media/image277.jpeg"/><Relationship Id="rId717" Type="http://schemas.openxmlformats.org/officeDocument/2006/relationships/image" Target="media/image276.jpeg"/><Relationship Id="rId716" Type="http://schemas.openxmlformats.org/officeDocument/2006/relationships/image" Target="media/image275.jpeg"/><Relationship Id="rId715" Type="http://schemas.openxmlformats.org/officeDocument/2006/relationships/image" Target="media/image274.jpeg"/><Relationship Id="rId714" Type="http://schemas.openxmlformats.org/officeDocument/2006/relationships/image" Target="media/image273.jpeg"/><Relationship Id="rId713" Type="http://schemas.openxmlformats.org/officeDocument/2006/relationships/image" Target="media/image272.jpeg"/><Relationship Id="rId712" Type="http://schemas.openxmlformats.org/officeDocument/2006/relationships/image" Target="media/image271.jpeg"/><Relationship Id="rId711" Type="http://schemas.openxmlformats.org/officeDocument/2006/relationships/image" Target="media/image270.jpeg"/><Relationship Id="rId710" Type="http://schemas.openxmlformats.org/officeDocument/2006/relationships/image" Target="media/image269.jpeg"/><Relationship Id="rId71" Type="http://schemas.openxmlformats.org/officeDocument/2006/relationships/footer" Target="footer62.xml"/><Relationship Id="rId709" Type="http://schemas.openxmlformats.org/officeDocument/2006/relationships/image" Target="media/image268.jpeg"/><Relationship Id="rId708" Type="http://schemas.openxmlformats.org/officeDocument/2006/relationships/image" Target="media/image267.jpeg"/><Relationship Id="rId707" Type="http://schemas.openxmlformats.org/officeDocument/2006/relationships/image" Target="media/image266.jpeg"/><Relationship Id="rId706" Type="http://schemas.openxmlformats.org/officeDocument/2006/relationships/image" Target="media/image265.jpeg"/><Relationship Id="rId705" Type="http://schemas.openxmlformats.org/officeDocument/2006/relationships/image" Target="media/image264.jpeg"/><Relationship Id="rId704" Type="http://schemas.openxmlformats.org/officeDocument/2006/relationships/image" Target="media/image263.jpeg"/><Relationship Id="rId703" Type="http://schemas.openxmlformats.org/officeDocument/2006/relationships/image" Target="media/image262.jpeg"/><Relationship Id="rId702" Type="http://schemas.openxmlformats.org/officeDocument/2006/relationships/image" Target="media/image261.jpeg"/><Relationship Id="rId701" Type="http://schemas.openxmlformats.org/officeDocument/2006/relationships/image" Target="media/image260.jpeg"/><Relationship Id="rId700" Type="http://schemas.openxmlformats.org/officeDocument/2006/relationships/image" Target="media/image259.jpeg"/><Relationship Id="rId70" Type="http://schemas.openxmlformats.org/officeDocument/2006/relationships/footer" Target="footer61.xml"/><Relationship Id="rId7" Type="http://schemas.openxmlformats.org/officeDocument/2006/relationships/header" Target="header2.xml"/><Relationship Id="rId699" Type="http://schemas.openxmlformats.org/officeDocument/2006/relationships/image" Target="media/image258.jpeg"/><Relationship Id="rId698" Type="http://schemas.openxmlformats.org/officeDocument/2006/relationships/image" Target="media/image257.jpeg"/><Relationship Id="rId697" Type="http://schemas.openxmlformats.org/officeDocument/2006/relationships/image" Target="media/image256.jpeg"/><Relationship Id="rId696" Type="http://schemas.openxmlformats.org/officeDocument/2006/relationships/image" Target="media/image255.jpeg"/><Relationship Id="rId695" Type="http://schemas.openxmlformats.org/officeDocument/2006/relationships/image" Target="media/image254.jpeg"/><Relationship Id="rId694" Type="http://schemas.openxmlformats.org/officeDocument/2006/relationships/image" Target="media/image253.jpeg"/><Relationship Id="rId693" Type="http://schemas.openxmlformats.org/officeDocument/2006/relationships/image" Target="media/image252.jpeg"/><Relationship Id="rId692" Type="http://schemas.openxmlformats.org/officeDocument/2006/relationships/image" Target="media/image251.jpeg"/><Relationship Id="rId691" Type="http://schemas.openxmlformats.org/officeDocument/2006/relationships/image" Target="media/image250.jpeg"/><Relationship Id="rId690" Type="http://schemas.openxmlformats.org/officeDocument/2006/relationships/image" Target="media/image249.jpeg"/><Relationship Id="rId69" Type="http://schemas.openxmlformats.org/officeDocument/2006/relationships/footer" Target="footer60.xml"/><Relationship Id="rId689" Type="http://schemas.openxmlformats.org/officeDocument/2006/relationships/image" Target="media/image248.jpeg"/><Relationship Id="rId688" Type="http://schemas.openxmlformats.org/officeDocument/2006/relationships/image" Target="media/image247.png"/><Relationship Id="rId687" Type="http://schemas.openxmlformats.org/officeDocument/2006/relationships/image" Target="media/image246.png"/><Relationship Id="rId686" Type="http://schemas.openxmlformats.org/officeDocument/2006/relationships/image" Target="media/image245.png"/><Relationship Id="rId685" Type="http://schemas.openxmlformats.org/officeDocument/2006/relationships/image" Target="media/image244.png"/><Relationship Id="rId684" Type="http://schemas.openxmlformats.org/officeDocument/2006/relationships/image" Target="media/image243.jpeg"/><Relationship Id="rId683" Type="http://schemas.openxmlformats.org/officeDocument/2006/relationships/image" Target="media/image242.jpeg"/><Relationship Id="rId682" Type="http://schemas.openxmlformats.org/officeDocument/2006/relationships/image" Target="media/image241.jpeg"/><Relationship Id="rId681" Type="http://schemas.openxmlformats.org/officeDocument/2006/relationships/image" Target="media/image240.jpeg"/><Relationship Id="rId680" Type="http://schemas.openxmlformats.org/officeDocument/2006/relationships/image" Target="media/image239.jpeg"/><Relationship Id="rId68" Type="http://schemas.openxmlformats.org/officeDocument/2006/relationships/footer" Target="footer59.xml"/><Relationship Id="rId679" Type="http://schemas.openxmlformats.org/officeDocument/2006/relationships/image" Target="media/image238.png"/><Relationship Id="rId678" Type="http://schemas.openxmlformats.org/officeDocument/2006/relationships/image" Target="media/image237.jpeg"/><Relationship Id="rId677" Type="http://schemas.openxmlformats.org/officeDocument/2006/relationships/image" Target="media/image236.jpeg"/><Relationship Id="rId676" Type="http://schemas.openxmlformats.org/officeDocument/2006/relationships/image" Target="media/image235.jpeg"/><Relationship Id="rId675" Type="http://schemas.openxmlformats.org/officeDocument/2006/relationships/image" Target="media/image234.png"/><Relationship Id="rId674" Type="http://schemas.openxmlformats.org/officeDocument/2006/relationships/image" Target="media/image233.jpeg"/><Relationship Id="rId673" Type="http://schemas.openxmlformats.org/officeDocument/2006/relationships/image" Target="media/image232.jpeg"/><Relationship Id="rId672" Type="http://schemas.openxmlformats.org/officeDocument/2006/relationships/image" Target="media/image231.jpeg"/><Relationship Id="rId671" Type="http://schemas.openxmlformats.org/officeDocument/2006/relationships/image" Target="media/image230.jpeg"/><Relationship Id="rId670" Type="http://schemas.openxmlformats.org/officeDocument/2006/relationships/image" Target="media/image229.jpeg"/><Relationship Id="rId67" Type="http://schemas.openxmlformats.org/officeDocument/2006/relationships/footer" Target="footer58.xml"/><Relationship Id="rId669" Type="http://schemas.openxmlformats.org/officeDocument/2006/relationships/image" Target="media/image228.jpeg"/><Relationship Id="rId668" Type="http://schemas.openxmlformats.org/officeDocument/2006/relationships/image" Target="media/image227.jpeg"/><Relationship Id="rId667" Type="http://schemas.openxmlformats.org/officeDocument/2006/relationships/image" Target="media/image226.jpeg"/><Relationship Id="rId666" Type="http://schemas.openxmlformats.org/officeDocument/2006/relationships/image" Target="media/image225.jpeg"/><Relationship Id="rId665" Type="http://schemas.openxmlformats.org/officeDocument/2006/relationships/image" Target="media/image224.jpeg"/><Relationship Id="rId664" Type="http://schemas.openxmlformats.org/officeDocument/2006/relationships/image" Target="media/image223.jpeg"/><Relationship Id="rId663" Type="http://schemas.openxmlformats.org/officeDocument/2006/relationships/image" Target="media/image222.jpeg"/><Relationship Id="rId662" Type="http://schemas.openxmlformats.org/officeDocument/2006/relationships/image" Target="media/image221.jpeg"/><Relationship Id="rId661" Type="http://schemas.openxmlformats.org/officeDocument/2006/relationships/image" Target="media/image220.jpeg"/><Relationship Id="rId660" Type="http://schemas.openxmlformats.org/officeDocument/2006/relationships/image" Target="media/image219.jpeg"/><Relationship Id="rId66" Type="http://schemas.openxmlformats.org/officeDocument/2006/relationships/footer" Target="footer57.xml"/><Relationship Id="rId659" Type="http://schemas.openxmlformats.org/officeDocument/2006/relationships/image" Target="media/image218.jpeg"/><Relationship Id="rId658" Type="http://schemas.openxmlformats.org/officeDocument/2006/relationships/image" Target="media/image217.png"/><Relationship Id="rId657" Type="http://schemas.openxmlformats.org/officeDocument/2006/relationships/image" Target="media/image216.jpeg"/><Relationship Id="rId656" Type="http://schemas.openxmlformats.org/officeDocument/2006/relationships/image" Target="media/image215.jpeg"/><Relationship Id="rId655" Type="http://schemas.openxmlformats.org/officeDocument/2006/relationships/image" Target="media/image214.jpeg"/><Relationship Id="rId654" Type="http://schemas.openxmlformats.org/officeDocument/2006/relationships/image" Target="media/image213.jpeg"/><Relationship Id="rId653" Type="http://schemas.openxmlformats.org/officeDocument/2006/relationships/image" Target="media/image212.jpeg"/><Relationship Id="rId652" Type="http://schemas.openxmlformats.org/officeDocument/2006/relationships/image" Target="media/image211.jpeg"/><Relationship Id="rId651" Type="http://schemas.openxmlformats.org/officeDocument/2006/relationships/image" Target="media/image210.jpeg"/><Relationship Id="rId650" Type="http://schemas.openxmlformats.org/officeDocument/2006/relationships/image" Target="media/image209.jpeg"/><Relationship Id="rId65" Type="http://schemas.openxmlformats.org/officeDocument/2006/relationships/footer" Target="footer56.xml"/><Relationship Id="rId649" Type="http://schemas.openxmlformats.org/officeDocument/2006/relationships/image" Target="media/image208.jpeg"/><Relationship Id="rId648" Type="http://schemas.openxmlformats.org/officeDocument/2006/relationships/image" Target="media/image207.png"/><Relationship Id="rId647" Type="http://schemas.openxmlformats.org/officeDocument/2006/relationships/image" Target="media/image206.jpeg"/><Relationship Id="rId646" Type="http://schemas.openxmlformats.org/officeDocument/2006/relationships/image" Target="media/image205.jpeg"/><Relationship Id="rId645" Type="http://schemas.openxmlformats.org/officeDocument/2006/relationships/image" Target="media/image204.jpeg"/><Relationship Id="rId644" Type="http://schemas.openxmlformats.org/officeDocument/2006/relationships/image" Target="media/image203.jpeg"/><Relationship Id="rId643" Type="http://schemas.openxmlformats.org/officeDocument/2006/relationships/image" Target="media/image202.jpeg"/><Relationship Id="rId642" Type="http://schemas.openxmlformats.org/officeDocument/2006/relationships/image" Target="media/image201.jpeg"/><Relationship Id="rId641" Type="http://schemas.openxmlformats.org/officeDocument/2006/relationships/image" Target="media/image200.png"/><Relationship Id="rId640" Type="http://schemas.openxmlformats.org/officeDocument/2006/relationships/image" Target="media/image199.jpeg"/><Relationship Id="rId64" Type="http://schemas.openxmlformats.org/officeDocument/2006/relationships/footer" Target="footer55.xml"/><Relationship Id="rId639" Type="http://schemas.openxmlformats.org/officeDocument/2006/relationships/image" Target="media/image198.png"/><Relationship Id="rId638" Type="http://schemas.openxmlformats.org/officeDocument/2006/relationships/image" Target="media/image197.png"/><Relationship Id="rId637" Type="http://schemas.openxmlformats.org/officeDocument/2006/relationships/image" Target="media/image196.png"/><Relationship Id="rId636" Type="http://schemas.openxmlformats.org/officeDocument/2006/relationships/image" Target="media/image195.png"/><Relationship Id="rId635" Type="http://schemas.openxmlformats.org/officeDocument/2006/relationships/image" Target="media/image194.jpeg"/><Relationship Id="rId634" Type="http://schemas.openxmlformats.org/officeDocument/2006/relationships/image" Target="media/image193.jpeg"/><Relationship Id="rId633" Type="http://schemas.openxmlformats.org/officeDocument/2006/relationships/image" Target="media/image192.jpeg"/><Relationship Id="rId632" Type="http://schemas.openxmlformats.org/officeDocument/2006/relationships/image" Target="media/image191.jpeg"/><Relationship Id="rId631" Type="http://schemas.openxmlformats.org/officeDocument/2006/relationships/image" Target="media/image190.jpeg"/><Relationship Id="rId630" Type="http://schemas.openxmlformats.org/officeDocument/2006/relationships/image" Target="media/image189.jpeg"/><Relationship Id="rId63" Type="http://schemas.openxmlformats.org/officeDocument/2006/relationships/footer" Target="footer54.xml"/><Relationship Id="rId629" Type="http://schemas.openxmlformats.org/officeDocument/2006/relationships/image" Target="media/image188.jpeg"/><Relationship Id="rId628" Type="http://schemas.openxmlformats.org/officeDocument/2006/relationships/image" Target="media/image187.jpeg"/><Relationship Id="rId627" Type="http://schemas.openxmlformats.org/officeDocument/2006/relationships/image" Target="media/image186.jpeg"/><Relationship Id="rId626" Type="http://schemas.openxmlformats.org/officeDocument/2006/relationships/image" Target="media/image185.jpeg"/><Relationship Id="rId625" Type="http://schemas.openxmlformats.org/officeDocument/2006/relationships/image" Target="media/image184.jpeg"/><Relationship Id="rId624" Type="http://schemas.openxmlformats.org/officeDocument/2006/relationships/image" Target="media/image183.png"/><Relationship Id="rId623" Type="http://schemas.openxmlformats.org/officeDocument/2006/relationships/image" Target="media/image182.jpeg"/><Relationship Id="rId622" Type="http://schemas.openxmlformats.org/officeDocument/2006/relationships/image" Target="media/image181.jpeg"/><Relationship Id="rId621" Type="http://schemas.openxmlformats.org/officeDocument/2006/relationships/image" Target="media/image180.png"/><Relationship Id="rId620" Type="http://schemas.openxmlformats.org/officeDocument/2006/relationships/image" Target="media/image179.jpeg"/><Relationship Id="rId62" Type="http://schemas.openxmlformats.org/officeDocument/2006/relationships/footer" Target="footer53.xml"/><Relationship Id="rId619" Type="http://schemas.openxmlformats.org/officeDocument/2006/relationships/image" Target="media/image178.jpeg"/><Relationship Id="rId618" Type="http://schemas.openxmlformats.org/officeDocument/2006/relationships/image" Target="media/image177.png"/><Relationship Id="rId617" Type="http://schemas.openxmlformats.org/officeDocument/2006/relationships/image" Target="media/image176.png"/><Relationship Id="rId616" Type="http://schemas.openxmlformats.org/officeDocument/2006/relationships/image" Target="media/image175.png"/><Relationship Id="rId615" Type="http://schemas.openxmlformats.org/officeDocument/2006/relationships/image" Target="media/image174.png"/><Relationship Id="rId614" Type="http://schemas.openxmlformats.org/officeDocument/2006/relationships/image" Target="media/image173.jpeg"/><Relationship Id="rId613" Type="http://schemas.openxmlformats.org/officeDocument/2006/relationships/image" Target="media/image172.png"/><Relationship Id="rId612" Type="http://schemas.openxmlformats.org/officeDocument/2006/relationships/image" Target="media/image171.png"/><Relationship Id="rId611" Type="http://schemas.openxmlformats.org/officeDocument/2006/relationships/image" Target="media/image170.jpeg"/><Relationship Id="rId610" Type="http://schemas.openxmlformats.org/officeDocument/2006/relationships/image" Target="media/image169.jpeg"/><Relationship Id="rId61" Type="http://schemas.openxmlformats.org/officeDocument/2006/relationships/footer" Target="footer52.xml"/><Relationship Id="rId609" Type="http://schemas.openxmlformats.org/officeDocument/2006/relationships/image" Target="media/image168.jpeg"/><Relationship Id="rId608" Type="http://schemas.openxmlformats.org/officeDocument/2006/relationships/image" Target="media/image167.jpeg"/><Relationship Id="rId607" Type="http://schemas.openxmlformats.org/officeDocument/2006/relationships/image" Target="media/image166.jpeg"/><Relationship Id="rId606" Type="http://schemas.openxmlformats.org/officeDocument/2006/relationships/image" Target="media/image165.jpeg"/><Relationship Id="rId605" Type="http://schemas.openxmlformats.org/officeDocument/2006/relationships/image" Target="media/image164.jpeg"/><Relationship Id="rId604" Type="http://schemas.openxmlformats.org/officeDocument/2006/relationships/image" Target="media/image163.jpeg"/><Relationship Id="rId603" Type="http://schemas.openxmlformats.org/officeDocument/2006/relationships/image" Target="media/image162.jpeg"/><Relationship Id="rId602" Type="http://schemas.openxmlformats.org/officeDocument/2006/relationships/image" Target="media/image161.jpeg"/><Relationship Id="rId601" Type="http://schemas.openxmlformats.org/officeDocument/2006/relationships/image" Target="media/image160.jpeg"/><Relationship Id="rId600" Type="http://schemas.openxmlformats.org/officeDocument/2006/relationships/image" Target="media/image159.jpeg"/><Relationship Id="rId60" Type="http://schemas.openxmlformats.org/officeDocument/2006/relationships/footer" Target="footer51.xml"/><Relationship Id="rId6" Type="http://schemas.openxmlformats.org/officeDocument/2006/relationships/footer" Target="footer1.xml"/><Relationship Id="rId599" Type="http://schemas.openxmlformats.org/officeDocument/2006/relationships/image" Target="media/image158.jpeg"/><Relationship Id="rId598" Type="http://schemas.openxmlformats.org/officeDocument/2006/relationships/image" Target="media/image157.jpeg"/><Relationship Id="rId597" Type="http://schemas.openxmlformats.org/officeDocument/2006/relationships/image" Target="media/image156.png"/><Relationship Id="rId596" Type="http://schemas.openxmlformats.org/officeDocument/2006/relationships/image" Target="media/image155.png"/><Relationship Id="rId595" Type="http://schemas.openxmlformats.org/officeDocument/2006/relationships/image" Target="media/image154.png"/><Relationship Id="rId594" Type="http://schemas.openxmlformats.org/officeDocument/2006/relationships/image" Target="media/image153.jpeg"/><Relationship Id="rId593" Type="http://schemas.openxmlformats.org/officeDocument/2006/relationships/image" Target="media/image152.png"/><Relationship Id="rId592" Type="http://schemas.openxmlformats.org/officeDocument/2006/relationships/image" Target="media/image151.png"/><Relationship Id="rId591" Type="http://schemas.openxmlformats.org/officeDocument/2006/relationships/image" Target="media/image150.jpeg"/><Relationship Id="rId590" Type="http://schemas.openxmlformats.org/officeDocument/2006/relationships/image" Target="media/image149.jpeg"/><Relationship Id="rId59" Type="http://schemas.openxmlformats.org/officeDocument/2006/relationships/footer" Target="footer50.xml"/><Relationship Id="rId589" Type="http://schemas.openxmlformats.org/officeDocument/2006/relationships/image" Target="media/image148.jpeg"/><Relationship Id="rId588" Type="http://schemas.openxmlformats.org/officeDocument/2006/relationships/image" Target="media/image147.png"/><Relationship Id="rId587" Type="http://schemas.openxmlformats.org/officeDocument/2006/relationships/image" Target="media/image146.png"/><Relationship Id="rId586" Type="http://schemas.openxmlformats.org/officeDocument/2006/relationships/image" Target="media/image145.jpeg"/><Relationship Id="rId585" Type="http://schemas.openxmlformats.org/officeDocument/2006/relationships/image" Target="media/image144.jpeg"/><Relationship Id="rId584" Type="http://schemas.openxmlformats.org/officeDocument/2006/relationships/image" Target="media/image143.jpeg"/><Relationship Id="rId583" Type="http://schemas.openxmlformats.org/officeDocument/2006/relationships/image" Target="media/image142.jpeg"/><Relationship Id="rId582" Type="http://schemas.openxmlformats.org/officeDocument/2006/relationships/image" Target="media/image141.jpeg"/><Relationship Id="rId581" Type="http://schemas.openxmlformats.org/officeDocument/2006/relationships/image" Target="media/image140.jpeg"/><Relationship Id="rId580" Type="http://schemas.openxmlformats.org/officeDocument/2006/relationships/image" Target="media/image139.jpeg"/><Relationship Id="rId58" Type="http://schemas.openxmlformats.org/officeDocument/2006/relationships/footer" Target="footer49.xml"/><Relationship Id="rId579" Type="http://schemas.openxmlformats.org/officeDocument/2006/relationships/image" Target="media/image138.jpeg"/><Relationship Id="rId578" Type="http://schemas.openxmlformats.org/officeDocument/2006/relationships/image" Target="media/image137.jpeg"/><Relationship Id="rId577" Type="http://schemas.openxmlformats.org/officeDocument/2006/relationships/image" Target="media/image136.jpeg"/><Relationship Id="rId576" Type="http://schemas.openxmlformats.org/officeDocument/2006/relationships/image" Target="media/image135.jpeg"/><Relationship Id="rId575" Type="http://schemas.openxmlformats.org/officeDocument/2006/relationships/image" Target="media/image134.jpeg"/><Relationship Id="rId574" Type="http://schemas.openxmlformats.org/officeDocument/2006/relationships/image" Target="media/image133.jpeg"/><Relationship Id="rId573" Type="http://schemas.openxmlformats.org/officeDocument/2006/relationships/image" Target="media/image132.jpeg"/><Relationship Id="rId572" Type="http://schemas.openxmlformats.org/officeDocument/2006/relationships/image" Target="media/image131.jpeg"/><Relationship Id="rId571" Type="http://schemas.openxmlformats.org/officeDocument/2006/relationships/image" Target="media/image130.jpeg"/><Relationship Id="rId570" Type="http://schemas.openxmlformats.org/officeDocument/2006/relationships/image" Target="media/image129.png"/><Relationship Id="rId57" Type="http://schemas.openxmlformats.org/officeDocument/2006/relationships/footer" Target="footer48.xml"/><Relationship Id="rId569" Type="http://schemas.openxmlformats.org/officeDocument/2006/relationships/image" Target="media/image128.jpeg"/><Relationship Id="rId568" Type="http://schemas.openxmlformats.org/officeDocument/2006/relationships/image" Target="media/image127.jpeg"/><Relationship Id="rId567" Type="http://schemas.openxmlformats.org/officeDocument/2006/relationships/image" Target="media/image126.jpeg"/><Relationship Id="rId566" Type="http://schemas.openxmlformats.org/officeDocument/2006/relationships/image" Target="media/image125.png"/><Relationship Id="rId565" Type="http://schemas.openxmlformats.org/officeDocument/2006/relationships/image" Target="media/image124.jpeg"/><Relationship Id="rId564" Type="http://schemas.openxmlformats.org/officeDocument/2006/relationships/image" Target="media/image123.jpeg"/><Relationship Id="rId563" Type="http://schemas.openxmlformats.org/officeDocument/2006/relationships/image" Target="media/image122.jpeg"/><Relationship Id="rId562" Type="http://schemas.openxmlformats.org/officeDocument/2006/relationships/image" Target="media/image121.jpeg"/><Relationship Id="rId561" Type="http://schemas.openxmlformats.org/officeDocument/2006/relationships/image" Target="media/image120.jpeg"/><Relationship Id="rId560" Type="http://schemas.openxmlformats.org/officeDocument/2006/relationships/image" Target="media/image119.jpeg"/><Relationship Id="rId56" Type="http://schemas.openxmlformats.org/officeDocument/2006/relationships/footer" Target="footer47.xml"/><Relationship Id="rId559" Type="http://schemas.openxmlformats.org/officeDocument/2006/relationships/image" Target="media/image118.jpeg"/><Relationship Id="rId558" Type="http://schemas.openxmlformats.org/officeDocument/2006/relationships/image" Target="media/image117.jpeg"/><Relationship Id="rId557" Type="http://schemas.openxmlformats.org/officeDocument/2006/relationships/image" Target="media/image116.jpeg"/><Relationship Id="rId556" Type="http://schemas.openxmlformats.org/officeDocument/2006/relationships/image" Target="media/image115.jpeg"/><Relationship Id="rId555" Type="http://schemas.openxmlformats.org/officeDocument/2006/relationships/image" Target="media/image114.jpeg"/><Relationship Id="rId554" Type="http://schemas.openxmlformats.org/officeDocument/2006/relationships/image" Target="media/image113.jpeg"/><Relationship Id="rId553" Type="http://schemas.openxmlformats.org/officeDocument/2006/relationships/image" Target="media/image112.jpeg"/><Relationship Id="rId552" Type="http://schemas.openxmlformats.org/officeDocument/2006/relationships/image" Target="media/image111.jpeg"/><Relationship Id="rId551" Type="http://schemas.openxmlformats.org/officeDocument/2006/relationships/image" Target="media/image110.jpeg"/><Relationship Id="rId550" Type="http://schemas.openxmlformats.org/officeDocument/2006/relationships/image" Target="media/image109.jpeg"/><Relationship Id="rId55" Type="http://schemas.openxmlformats.org/officeDocument/2006/relationships/footer" Target="footer46.xml"/><Relationship Id="rId549" Type="http://schemas.openxmlformats.org/officeDocument/2006/relationships/image" Target="media/image108.jpeg"/><Relationship Id="rId548" Type="http://schemas.openxmlformats.org/officeDocument/2006/relationships/image" Target="media/image107.jpeg"/><Relationship Id="rId547" Type="http://schemas.openxmlformats.org/officeDocument/2006/relationships/image" Target="media/image106.jpeg"/><Relationship Id="rId546" Type="http://schemas.openxmlformats.org/officeDocument/2006/relationships/image" Target="media/image105.jpeg"/><Relationship Id="rId545" Type="http://schemas.openxmlformats.org/officeDocument/2006/relationships/image" Target="media/image104.jpeg"/><Relationship Id="rId544" Type="http://schemas.openxmlformats.org/officeDocument/2006/relationships/image" Target="media/image103.jpeg"/><Relationship Id="rId543" Type="http://schemas.openxmlformats.org/officeDocument/2006/relationships/image" Target="media/image102.jpeg"/><Relationship Id="rId542" Type="http://schemas.openxmlformats.org/officeDocument/2006/relationships/image" Target="media/image101.jpeg"/><Relationship Id="rId541" Type="http://schemas.openxmlformats.org/officeDocument/2006/relationships/image" Target="media/image100.jpeg"/><Relationship Id="rId540" Type="http://schemas.openxmlformats.org/officeDocument/2006/relationships/image" Target="media/image99.jpeg"/><Relationship Id="rId54" Type="http://schemas.openxmlformats.org/officeDocument/2006/relationships/footer" Target="footer45.xml"/><Relationship Id="rId539" Type="http://schemas.openxmlformats.org/officeDocument/2006/relationships/image" Target="media/image98.jpeg"/><Relationship Id="rId538" Type="http://schemas.openxmlformats.org/officeDocument/2006/relationships/image" Target="media/image97.jpeg"/><Relationship Id="rId537" Type="http://schemas.openxmlformats.org/officeDocument/2006/relationships/image" Target="media/image96.jpeg"/><Relationship Id="rId536" Type="http://schemas.openxmlformats.org/officeDocument/2006/relationships/image" Target="media/image95.jpeg"/><Relationship Id="rId535" Type="http://schemas.openxmlformats.org/officeDocument/2006/relationships/image" Target="media/image94.jpeg"/><Relationship Id="rId534" Type="http://schemas.openxmlformats.org/officeDocument/2006/relationships/image" Target="media/image93.jpeg"/><Relationship Id="rId533" Type="http://schemas.openxmlformats.org/officeDocument/2006/relationships/image" Target="media/image92.jpeg"/><Relationship Id="rId532" Type="http://schemas.openxmlformats.org/officeDocument/2006/relationships/image" Target="media/image91.jpeg"/><Relationship Id="rId531" Type="http://schemas.openxmlformats.org/officeDocument/2006/relationships/image" Target="media/image90.jpeg"/><Relationship Id="rId530" Type="http://schemas.openxmlformats.org/officeDocument/2006/relationships/image" Target="media/image89.jpeg"/><Relationship Id="rId53" Type="http://schemas.openxmlformats.org/officeDocument/2006/relationships/footer" Target="footer44.xml"/><Relationship Id="rId529" Type="http://schemas.openxmlformats.org/officeDocument/2006/relationships/image" Target="media/image88.jpeg"/><Relationship Id="rId528" Type="http://schemas.openxmlformats.org/officeDocument/2006/relationships/image" Target="media/image87.jpeg"/><Relationship Id="rId527" Type="http://schemas.openxmlformats.org/officeDocument/2006/relationships/image" Target="media/image86.jpeg"/><Relationship Id="rId526" Type="http://schemas.openxmlformats.org/officeDocument/2006/relationships/image" Target="media/image85.jpeg"/><Relationship Id="rId525" Type="http://schemas.openxmlformats.org/officeDocument/2006/relationships/image" Target="media/image84.jpeg"/><Relationship Id="rId524" Type="http://schemas.openxmlformats.org/officeDocument/2006/relationships/image" Target="media/image83.jpeg"/><Relationship Id="rId523" Type="http://schemas.openxmlformats.org/officeDocument/2006/relationships/image" Target="media/image82.jpeg"/><Relationship Id="rId522" Type="http://schemas.openxmlformats.org/officeDocument/2006/relationships/image" Target="media/image81.jpeg"/><Relationship Id="rId521" Type="http://schemas.openxmlformats.org/officeDocument/2006/relationships/image" Target="media/image80.jpeg"/><Relationship Id="rId520" Type="http://schemas.openxmlformats.org/officeDocument/2006/relationships/image" Target="media/image79.jpeg"/><Relationship Id="rId52" Type="http://schemas.openxmlformats.org/officeDocument/2006/relationships/footer" Target="footer43.xml"/><Relationship Id="rId519" Type="http://schemas.openxmlformats.org/officeDocument/2006/relationships/image" Target="media/image78.jpeg"/><Relationship Id="rId518" Type="http://schemas.openxmlformats.org/officeDocument/2006/relationships/image" Target="media/image77.jpeg"/><Relationship Id="rId517" Type="http://schemas.openxmlformats.org/officeDocument/2006/relationships/image" Target="media/image76.jpeg"/><Relationship Id="rId516" Type="http://schemas.openxmlformats.org/officeDocument/2006/relationships/image" Target="media/image75.jpeg"/><Relationship Id="rId515" Type="http://schemas.openxmlformats.org/officeDocument/2006/relationships/image" Target="media/image74.jpeg"/><Relationship Id="rId514" Type="http://schemas.openxmlformats.org/officeDocument/2006/relationships/image" Target="media/image73.jpeg"/><Relationship Id="rId513" Type="http://schemas.openxmlformats.org/officeDocument/2006/relationships/image" Target="media/image72.jpeg"/><Relationship Id="rId512" Type="http://schemas.openxmlformats.org/officeDocument/2006/relationships/image" Target="media/image71.jpeg"/><Relationship Id="rId511" Type="http://schemas.openxmlformats.org/officeDocument/2006/relationships/image" Target="media/image70.jpeg"/><Relationship Id="rId510" Type="http://schemas.openxmlformats.org/officeDocument/2006/relationships/image" Target="media/image69.jpeg"/><Relationship Id="rId51" Type="http://schemas.openxmlformats.org/officeDocument/2006/relationships/footer" Target="footer42.xml"/><Relationship Id="rId509" Type="http://schemas.openxmlformats.org/officeDocument/2006/relationships/image" Target="media/image68.jpeg"/><Relationship Id="rId508" Type="http://schemas.openxmlformats.org/officeDocument/2006/relationships/image" Target="media/image67.jpeg"/><Relationship Id="rId507" Type="http://schemas.openxmlformats.org/officeDocument/2006/relationships/image" Target="media/image66.png"/><Relationship Id="rId506" Type="http://schemas.openxmlformats.org/officeDocument/2006/relationships/image" Target="media/image65.png"/><Relationship Id="rId505" Type="http://schemas.openxmlformats.org/officeDocument/2006/relationships/image" Target="media/image64.jpeg"/><Relationship Id="rId504" Type="http://schemas.openxmlformats.org/officeDocument/2006/relationships/image" Target="media/image63.jpeg"/><Relationship Id="rId503" Type="http://schemas.openxmlformats.org/officeDocument/2006/relationships/image" Target="media/image62.jpeg"/><Relationship Id="rId502" Type="http://schemas.openxmlformats.org/officeDocument/2006/relationships/image" Target="media/image61.jpeg"/><Relationship Id="rId501" Type="http://schemas.openxmlformats.org/officeDocument/2006/relationships/image" Target="media/image60.jpeg"/><Relationship Id="rId500" Type="http://schemas.openxmlformats.org/officeDocument/2006/relationships/image" Target="media/image59.jpeg"/><Relationship Id="rId50" Type="http://schemas.openxmlformats.org/officeDocument/2006/relationships/footer" Target="footer41.xml"/><Relationship Id="rId5" Type="http://schemas.openxmlformats.org/officeDocument/2006/relationships/header" Target="header1.xml"/><Relationship Id="rId499" Type="http://schemas.openxmlformats.org/officeDocument/2006/relationships/image" Target="media/image58.jpeg"/><Relationship Id="rId498" Type="http://schemas.openxmlformats.org/officeDocument/2006/relationships/image" Target="media/image57.jpeg"/><Relationship Id="rId497" Type="http://schemas.openxmlformats.org/officeDocument/2006/relationships/image" Target="media/image56.jpeg"/><Relationship Id="rId496" Type="http://schemas.openxmlformats.org/officeDocument/2006/relationships/image" Target="media/image55.jpeg"/><Relationship Id="rId495" Type="http://schemas.openxmlformats.org/officeDocument/2006/relationships/image" Target="media/image54.jpeg"/><Relationship Id="rId494" Type="http://schemas.openxmlformats.org/officeDocument/2006/relationships/image" Target="media/image53.jpeg"/><Relationship Id="rId493" Type="http://schemas.openxmlformats.org/officeDocument/2006/relationships/image" Target="media/image52.jpeg"/><Relationship Id="rId492" Type="http://schemas.openxmlformats.org/officeDocument/2006/relationships/image" Target="media/image51.jpeg"/><Relationship Id="rId491" Type="http://schemas.openxmlformats.org/officeDocument/2006/relationships/image" Target="media/image50.jpeg"/><Relationship Id="rId490" Type="http://schemas.openxmlformats.org/officeDocument/2006/relationships/image" Target="media/image49.png"/><Relationship Id="rId49" Type="http://schemas.openxmlformats.org/officeDocument/2006/relationships/footer" Target="footer40.xml"/><Relationship Id="rId489" Type="http://schemas.openxmlformats.org/officeDocument/2006/relationships/image" Target="media/image48.jpeg"/><Relationship Id="rId488" Type="http://schemas.openxmlformats.org/officeDocument/2006/relationships/image" Target="media/image47.jpeg"/><Relationship Id="rId487" Type="http://schemas.openxmlformats.org/officeDocument/2006/relationships/image" Target="media/image46.jpeg"/><Relationship Id="rId486" Type="http://schemas.openxmlformats.org/officeDocument/2006/relationships/image" Target="media/image45.jpeg"/><Relationship Id="rId485" Type="http://schemas.openxmlformats.org/officeDocument/2006/relationships/image" Target="media/image44.jpeg"/><Relationship Id="rId484" Type="http://schemas.openxmlformats.org/officeDocument/2006/relationships/image" Target="media/image43.jpeg"/><Relationship Id="rId483" Type="http://schemas.openxmlformats.org/officeDocument/2006/relationships/image" Target="media/image42.jpeg"/><Relationship Id="rId482" Type="http://schemas.openxmlformats.org/officeDocument/2006/relationships/image" Target="media/image41.jpeg"/><Relationship Id="rId481" Type="http://schemas.openxmlformats.org/officeDocument/2006/relationships/image" Target="media/image40.jpeg"/><Relationship Id="rId480" Type="http://schemas.openxmlformats.org/officeDocument/2006/relationships/image" Target="media/image39.png"/><Relationship Id="rId48" Type="http://schemas.openxmlformats.org/officeDocument/2006/relationships/footer" Target="footer39.xml"/><Relationship Id="rId479" Type="http://schemas.openxmlformats.org/officeDocument/2006/relationships/image" Target="media/image38.jpeg"/><Relationship Id="rId478" Type="http://schemas.openxmlformats.org/officeDocument/2006/relationships/image" Target="media/image37.png"/><Relationship Id="rId477" Type="http://schemas.openxmlformats.org/officeDocument/2006/relationships/image" Target="media/image36.jpeg"/><Relationship Id="rId476" Type="http://schemas.openxmlformats.org/officeDocument/2006/relationships/image" Target="media/image35.png"/><Relationship Id="rId475" Type="http://schemas.openxmlformats.org/officeDocument/2006/relationships/image" Target="media/image34.jpeg"/><Relationship Id="rId474" Type="http://schemas.openxmlformats.org/officeDocument/2006/relationships/image" Target="media/image33.jpeg"/><Relationship Id="rId473" Type="http://schemas.openxmlformats.org/officeDocument/2006/relationships/image" Target="media/image32.jpeg"/><Relationship Id="rId472" Type="http://schemas.openxmlformats.org/officeDocument/2006/relationships/image" Target="media/image31.jpeg"/><Relationship Id="rId471" Type="http://schemas.openxmlformats.org/officeDocument/2006/relationships/image" Target="media/image30.png"/><Relationship Id="rId470" Type="http://schemas.openxmlformats.org/officeDocument/2006/relationships/image" Target="media/image29.jpeg"/><Relationship Id="rId47" Type="http://schemas.openxmlformats.org/officeDocument/2006/relationships/footer" Target="footer38.xml"/><Relationship Id="rId469" Type="http://schemas.openxmlformats.org/officeDocument/2006/relationships/image" Target="media/image28.png"/><Relationship Id="rId468" Type="http://schemas.openxmlformats.org/officeDocument/2006/relationships/image" Target="media/image27.jpeg"/><Relationship Id="rId467" Type="http://schemas.openxmlformats.org/officeDocument/2006/relationships/image" Target="media/image26.jpeg"/><Relationship Id="rId466" Type="http://schemas.openxmlformats.org/officeDocument/2006/relationships/image" Target="media/image25.png"/><Relationship Id="rId465" Type="http://schemas.openxmlformats.org/officeDocument/2006/relationships/image" Target="media/image24.jpeg"/><Relationship Id="rId464" Type="http://schemas.openxmlformats.org/officeDocument/2006/relationships/image" Target="media/image23.jpeg"/><Relationship Id="rId463" Type="http://schemas.openxmlformats.org/officeDocument/2006/relationships/image" Target="media/image22.jpeg"/><Relationship Id="rId462" Type="http://schemas.openxmlformats.org/officeDocument/2006/relationships/image" Target="media/image21.jpeg"/><Relationship Id="rId461" Type="http://schemas.openxmlformats.org/officeDocument/2006/relationships/image" Target="media/image20.jpeg"/><Relationship Id="rId460" Type="http://schemas.openxmlformats.org/officeDocument/2006/relationships/image" Target="media/image19.jpeg"/><Relationship Id="rId46" Type="http://schemas.openxmlformats.org/officeDocument/2006/relationships/footer" Target="footer37.xml"/><Relationship Id="rId459" Type="http://schemas.openxmlformats.org/officeDocument/2006/relationships/image" Target="media/image18.jpeg"/><Relationship Id="rId458" Type="http://schemas.openxmlformats.org/officeDocument/2006/relationships/image" Target="media/image17.jpeg"/><Relationship Id="rId457" Type="http://schemas.openxmlformats.org/officeDocument/2006/relationships/image" Target="media/image16.jpeg"/><Relationship Id="rId456" Type="http://schemas.openxmlformats.org/officeDocument/2006/relationships/image" Target="media/image15.png"/><Relationship Id="rId455" Type="http://schemas.openxmlformats.org/officeDocument/2006/relationships/image" Target="media/image14.jpeg"/><Relationship Id="rId454" Type="http://schemas.openxmlformats.org/officeDocument/2006/relationships/image" Target="media/image13.png"/><Relationship Id="rId453" Type="http://schemas.openxmlformats.org/officeDocument/2006/relationships/image" Target="media/image12.jpeg"/><Relationship Id="rId452" Type="http://schemas.openxmlformats.org/officeDocument/2006/relationships/image" Target="media/image11.png"/><Relationship Id="rId451" Type="http://schemas.openxmlformats.org/officeDocument/2006/relationships/image" Target="media/image10.jpeg"/><Relationship Id="rId450" Type="http://schemas.openxmlformats.org/officeDocument/2006/relationships/image" Target="media/image9.jpeg"/><Relationship Id="rId45" Type="http://schemas.openxmlformats.org/officeDocument/2006/relationships/footer" Target="footer36.xml"/><Relationship Id="rId449" Type="http://schemas.openxmlformats.org/officeDocument/2006/relationships/image" Target="media/image8.png"/><Relationship Id="rId448" Type="http://schemas.openxmlformats.org/officeDocument/2006/relationships/image" Target="media/image7.png"/><Relationship Id="rId447" Type="http://schemas.openxmlformats.org/officeDocument/2006/relationships/theme" Target="theme/theme1.xml"/><Relationship Id="rId446" Type="http://schemas.openxmlformats.org/officeDocument/2006/relationships/footer" Target="footer430.xml"/><Relationship Id="rId445" Type="http://schemas.openxmlformats.org/officeDocument/2006/relationships/header" Target="header12.xml"/><Relationship Id="rId444" Type="http://schemas.openxmlformats.org/officeDocument/2006/relationships/footer" Target="footer429.xml"/><Relationship Id="rId443" Type="http://schemas.openxmlformats.org/officeDocument/2006/relationships/footer" Target="footer428.xml"/><Relationship Id="rId442" Type="http://schemas.openxmlformats.org/officeDocument/2006/relationships/footer" Target="footer427.xml"/><Relationship Id="rId441" Type="http://schemas.openxmlformats.org/officeDocument/2006/relationships/header" Target="header11.xml"/><Relationship Id="rId440" Type="http://schemas.openxmlformats.org/officeDocument/2006/relationships/footer" Target="footer426.xml"/><Relationship Id="rId44" Type="http://schemas.openxmlformats.org/officeDocument/2006/relationships/footer" Target="footer35.xml"/><Relationship Id="rId439" Type="http://schemas.openxmlformats.org/officeDocument/2006/relationships/footer" Target="footer425.xml"/><Relationship Id="rId438" Type="http://schemas.openxmlformats.org/officeDocument/2006/relationships/footer" Target="footer424.xml"/><Relationship Id="rId437" Type="http://schemas.openxmlformats.org/officeDocument/2006/relationships/footer" Target="footer423.xml"/><Relationship Id="rId436" Type="http://schemas.openxmlformats.org/officeDocument/2006/relationships/footer" Target="footer422.xml"/><Relationship Id="rId435" Type="http://schemas.openxmlformats.org/officeDocument/2006/relationships/footer" Target="footer421.xml"/><Relationship Id="rId434" Type="http://schemas.openxmlformats.org/officeDocument/2006/relationships/footer" Target="footer420.xml"/><Relationship Id="rId433" Type="http://schemas.openxmlformats.org/officeDocument/2006/relationships/footer" Target="footer419.xml"/><Relationship Id="rId432" Type="http://schemas.openxmlformats.org/officeDocument/2006/relationships/footer" Target="footer418.xml"/><Relationship Id="rId431" Type="http://schemas.openxmlformats.org/officeDocument/2006/relationships/footer" Target="footer417.xml"/><Relationship Id="rId430" Type="http://schemas.openxmlformats.org/officeDocument/2006/relationships/footer" Target="footer416.xml"/><Relationship Id="rId43" Type="http://schemas.openxmlformats.org/officeDocument/2006/relationships/footer" Target="footer34.xml"/><Relationship Id="rId429" Type="http://schemas.openxmlformats.org/officeDocument/2006/relationships/footer" Target="footer415.xml"/><Relationship Id="rId428" Type="http://schemas.openxmlformats.org/officeDocument/2006/relationships/footer" Target="footer414.xml"/><Relationship Id="rId427" Type="http://schemas.openxmlformats.org/officeDocument/2006/relationships/footer" Target="footer413.xml"/><Relationship Id="rId426" Type="http://schemas.openxmlformats.org/officeDocument/2006/relationships/footer" Target="footer412.xml"/><Relationship Id="rId425" Type="http://schemas.openxmlformats.org/officeDocument/2006/relationships/footer" Target="footer411.xml"/><Relationship Id="rId424" Type="http://schemas.openxmlformats.org/officeDocument/2006/relationships/footer" Target="footer410.xml"/><Relationship Id="rId423" Type="http://schemas.openxmlformats.org/officeDocument/2006/relationships/footer" Target="footer409.xml"/><Relationship Id="rId422" Type="http://schemas.openxmlformats.org/officeDocument/2006/relationships/header" Target="header10.xml"/><Relationship Id="rId421" Type="http://schemas.openxmlformats.org/officeDocument/2006/relationships/footer" Target="footer408.xml"/><Relationship Id="rId420" Type="http://schemas.openxmlformats.org/officeDocument/2006/relationships/header" Target="header9.xml"/><Relationship Id="rId42" Type="http://schemas.openxmlformats.org/officeDocument/2006/relationships/footer" Target="footer33.xml"/><Relationship Id="rId419" Type="http://schemas.openxmlformats.org/officeDocument/2006/relationships/footer" Target="footer407.xml"/><Relationship Id="rId418" Type="http://schemas.openxmlformats.org/officeDocument/2006/relationships/footer" Target="footer406.xml"/><Relationship Id="rId417" Type="http://schemas.openxmlformats.org/officeDocument/2006/relationships/footer" Target="footer405.xml"/><Relationship Id="rId416" Type="http://schemas.openxmlformats.org/officeDocument/2006/relationships/footer" Target="footer404.xml"/><Relationship Id="rId415" Type="http://schemas.openxmlformats.org/officeDocument/2006/relationships/footer" Target="footer403.xml"/><Relationship Id="rId414" Type="http://schemas.openxmlformats.org/officeDocument/2006/relationships/footer" Target="footer402.xml"/><Relationship Id="rId413" Type="http://schemas.openxmlformats.org/officeDocument/2006/relationships/footer" Target="footer401.xml"/><Relationship Id="rId412" Type="http://schemas.openxmlformats.org/officeDocument/2006/relationships/footer" Target="footer400.xml"/><Relationship Id="rId411" Type="http://schemas.openxmlformats.org/officeDocument/2006/relationships/footer" Target="footer399.xml"/><Relationship Id="rId410" Type="http://schemas.openxmlformats.org/officeDocument/2006/relationships/footer" Target="footer398.xml"/><Relationship Id="rId41" Type="http://schemas.openxmlformats.org/officeDocument/2006/relationships/footer" Target="footer32.xml"/><Relationship Id="rId409" Type="http://schemas.openxmlformats.org/officeDocument/2006/relationships/footer" Target="footer397.xml"/><Relationship Id="rId408" Type="http://schemas.openxmlformats.org/officeDocument/2006/relationships/footer" Target="footer396.xml"/><Relationship Id="rId407" Type="http://schemas.openxmlformats.org/officeDocument/2006/relationships/footer" Target="footer395.xml"/><Relationship Id="rId406" Type="http://schemas.openxmlformats.org/officeDocument/2006/relationships/footer" Target="footer394.xml"/><Relationship Id="rId405" Type="http://schemas.openxmlformats.org/officeDocument/2006/relationships/footer" Target="footer393.xml"/><Relationship Id="rId404" Type="http://schemas.openxmlformats.org/officeDocument/2006/relationships/footer" Target="footer392.xml"/><Relationship Id="rId403" Type="http://schemas.openxmlformats.org/officeDocument/2006/relationships/footer" Target="footer391.xml"/><Relationship Id="rId402" Type="http://schemas.openxmlformats.org/officeDocument/2006/relationships/footer" Target="footer390.xml"/><Relationship Id="rId401" Type="http://schemas.openxmlformats.org/officeDocument/2006/relationships/footer" Target="footer389.xml"/><Relationship Id="rId400" Type="http://schemas.openxmlformats.org/officeDocument/2006/relationships/footer" Target="footer388.xml"/><Relationship Id="rId40" Type="http://schemas.openxmlformats.org/officeDocument/2006/relationships/footer" Target="footer31.xml"/><Relationship Id="rId4" Type="http://schemas.openxmlformats.org/officeDocument/2006/relationships/endnotes" Target="endnotes.xml"/><Relationship Id="rId399" Type="http://schemas.openxmlformats.org/officeDocument/2006/relationships/footer" Target="footer387.xml"/><Relationship Id="rId398" Type="http://schemas.openxmlformats.org/officeDocument/2006/relationships/footer" Target="footer386.xml"/><Relationship Id="rId397" Type="http://schemas.openxmlformats.org/officeDocument/2006/relationships/footer" Target="footer385.xml"/><Relationship Id="rId396" Type="http://schemas.openxmlformats.org/officeDocument/2006/relationships/footer" Target="footer384.xml"/><Relationship Id="rId395" Type="http://schemas.openxmlformats.org/officeDocument/2006/relationships/footer" Target="footer383.xml"/><Relationship Id="rId394" Type="http://schemas.openxmlformats.org/officeDocument/2006/relationships/footer" Target="footer382.xml"/><Relationship Id="rId393" Type="http://schemas.openxmlformats.org/officeDocument/2006/relationships/footer" Target="footer381.xml"/><Relationship Id="rId392" Type="http://schemas.openxmlformats.org/officeDocument/2006/relationships/footer" Target="footer380.xml"/><Relationship Id="rId391" Type="http://schemas.openxmlformats.org/officeDocument/2006/relationships/footer" Target="footer379.xml"/><Relationship Id="rId390" Type="http://schemas.openxmlformats.org/officeDocument/2006/relationships/footer" Target="footer378.xml"/><Relationship Id="rId39" Type="http://schemas.openxmlformats.org/officeDocument/2006/relationships/footer" Target="footer30.xml"/><Relationship Id="rId389" Type="http://schemas.openxmlformats.org/officeDocument/2006/relationships/footer" Target="footer377.xml"/><Relationship Id="rId388" Type="http://schemas.openxmlformats.org/officeDocument/2006/relationships/footer" Target="footer376.xml"/><Relationship Id="rId387" Type="http://schemas.openxmlformats.org/officeDocument/2006/relationships/footer" Target="footer375.xml"/><Relationship Id="rId386" Type="http://schemas.openxmlformats.org/officeDocument/2006/relationships/footer" Target="footer374.xml"/><Relationship Id="rId385" Type="http://schemas.openxmlformats.org/officeDocument/2006/relationships/footer" Target="footer373.xml"/><Relationship Id="rId384" Type="http://schemas.openxmlformats.org/officeDocument/2006/relationships/footer" Target="footer372.xml"/><Relationship Id="rId383" Type="http://schemas.openxmlformats.org/officeDocument/2006/relationships/footer" Target="footer371.xml"/><Relationship Id="rId382" Type="http://schemas.openxmlformats.org/officeDocument/2006/relationships/footer" Target="footer370.xml"/><Relationship Id="rId381" Type="http://schemas.openxmlformats.org/officeDocument/2006/relationships/footer" Target="footer369.xml"/><Relationship Id="rId380" Type="http://schemas.openxmlformats.org/officeDocument/2006/relationships/footer" Target="footer368.xml"/><Relationship Id="rId38" Type="http://schemas.openxmlformats.org/officeDocument/2006/relationships/header" Target="header5.xml"/><Relationship Id="rId379" Type="http://schemas.openxmlformats.org/officeDocument/2006/relationships/footer" Target="footer367.xml"/><Relationship Id="rId378" Type="http://schemas.openxmlformats.org/officeDocument/2006/relationships/footer" Target="footer366.xml"/><Relationship Id="rId377" Type="http://schemas.openxmlformats.org/officeDocument/2006/relationships/footer" Target="footer365.xml"/><Relationship Id="rId376" Type="http://schemas.openxmlformats.org/officeDocument/2006/relationships/footer" Target="footer364.xml"/><Relationship Id="rId375" Type="http://schemas.openxmlformats.org/officeDocument/2006/relationships/footer" Target="footer363.xml"/><Relationship Id="rId374" Type="http://schemas.openxmlformats.org/officeDocument/2006/relationships/footer" Target="footer362.xml"/><Relationship Id="rId373" Type="http://schemas.openxmlformats.org/officeDocument/2006/relationships/footer" Target="footer361.xml"/><Relationship Id="rId372" Type="http://schemas.openxmlformats.org/officeDocument/2006/relationships/footer" Target="footer360.xml"/><Relationship Id="rId371" Type="http://schemas.openxmlformats.org/officeDocument/2006/relationships/footer" Target="footer359.xml"/><Relationship Id="rId370" Type="http://schemas.openxmlformats.org/officeDocument/2006/relationships/footer" Target="footer358.xml"/><Relationship Id="rId37" Type="http://schemas.openxmlformats.org/officeDocument/2006/relationships/footer" Target="footer29.xml"/><Relationship Id="rId369" Type="http://schemas.openxmlformats.org/officeDocument/2006/relationships/footer" Target="footer357.xml"/><Relationship Id="rId368" Type="http://schemas.openxmlformats.org/officeDocument/2006/relationships/footer" Target="footer356.xml"/><Relationship Id="rId367" Type="http://schemas.openxmlformats.org/officeDocument/2006/relationships/footer" Target="footer355.xml"/><Relationship Id="rId366" Type="http://schemas.openxmlformats.org/officeDocument/2006/relationships/footer" Target="footer354.xml"/><Relationship Id="rId365" Type="http://schemas.openxmlformats.org/officeDocument/2006/relationships/footer" Target="footer353.xml"/><Relationship Id="rId364" Type="http://schemas.openxmlformats.org/officeDocument/2006/relationships/footer" Target="footer352.xml"/><Relationship Id="rId363" Type="http://schemas.openxmlformats.org/officeDocument/2006/relationships/footer" Target="footer351.xml"/><Relationship Id="rId362" Type="http://schemas.openxmlformats.org/officeDocument/2006/relationships/footer" Target="footer350.xml"/><Relationship Id="rId361" Type="http://schemas.openxmlformats.org/officeDocument/2006/relationships/footer" Target="footer349.xml"/><Relationship Id="rId360" Type="http://schemas.openxmlformats.org/officeDocument/2006/relationships/footer" Target="footer348.xml"/><Relationship Id="rId36" Type="http://schemas.openxmlformats.org/officeDocument/2006/relationships/header" Target="header4.xml"/><Relationship Id="rId359" Type="http://schemas.openxmlformats.org/officeDocument/2006/relationships/footer" Target="footer347.xml"/><Relationship Id="rId358" Type="http://schemas.openxmlformats.org/officeDocument/2006/relationships/footer" Target="footer346.xml"/><Relationship Id="rId357" Type="http://schemas.openxmlformats.org/officeDocument/2006/relationships/footer" Target="footer345.xml"/><Relationship Id="rId356" Type="http://schemas.openxmlformats.org/officeDocument/2006/relationships/footer" Target="footer344.xml"/><Relationship Id="rId355" Type="http://schemas.openxmlformats.org/officeDocument/2006/relationships/footer" Target="footer343.xml"/><Relationship Id="rId354" Type="http://schemas.openxmlformats.org/officeDocument/2006/relationships/footer" Target="footer342.xml"/><Relationship Id="rId353" Type="http://schemas.openxmlformats.org/officeDocument/2006/relationships/footer" Target="footer341.xml"/><Relationship Id="rId352" Type="http://schemas.openxmlformats.org/officeDocument/2006/relationships/footer" Target="footer340.xml"/><Relationship Id="rId351" Type="http://schemas.openxmlformats.org/officeDocument/2006/relationships/footer" Target="footer339.xml"/><Relationship Id="rId350" Type="http://schemas.openxmlformats.org/officeDocument/2006/relationships/footer" Target="footer338.xml"/><Relationship Id="rId35" Type="http://schemas.openxmlformats.org/officeDocument/2006/relationships/footer" Target="footer28.xml"/><Relationship Id="rId349" Type="http://schemas.openxmlformats.org/officeDocument/2006/relationships/footer" Target="footer337.xml"/><Relationship Id="rId348" Type="http://schemas.openxmlformats.org/officeDocument/2006/relationships/footer" Target="footer336.xml"/><Relationship Id="rId347" Type="http://schemas.openxmlformats.org/officeDocument/2006/relationships/footer" Target="footer335.xml"/><Relationship Id="rId346" Type="http://schemas.openxmlformats.org/officeDocument/2006/relationships/footer" Target="footer334.xml"/><Relationship Id="rId345" Type="http://schemas.openxmlformats.org/officeDocument/2006/relationships/footer" Target="footer333.xml"/><Relationship Id="rId344" Type="http://schemas.openxmlformats.org/officeDocument/2006/relationships/footer" Target="footer332.xml"/><Relationship Id="rId343" Type="http://schemas.openxmlformats.org/officeDocument/2006/relationships/footer" Target="footer331.xml"/><Relationship Id="rId342" Type="http://schemas.openxmlformats.org/officeDocument/2006/relationships/footer" Target="footer330.xml"/><Relationship Id="rId341" Type="http://schemas.openxmlformats.org/officeDocument/2006/relationships/footer" Target="footer329.xml"/><Relationship Id="rId340" Type="http://schemas.openxmlformats.org/officeDocument/2006/relationships/footer" Target="footer328.xml"/><Relationship Id="rId34" Type="http://schemas.openxmlformats.org/officeDocument/2006/relationships/footer" Target="footer27.xml"/><Relationship Id="rId339" Type="http://schemas.openxmlformats.org/officeDocument/2006/relationships/footer" Target="footer327.xml"/><Relationship Id="rId338" Type="http://schemas.openxmlformats.org/officeDocument/2006/relationships/footer" Target="footer326.xml"/><Relationship Id="rId337" Type="http://schemas.openxmlformats.org/officeDocument/2006/relationships/footer" Target="footer325.xml"/><Relationship Id="rId336" Type="http://schemas.openxmlformats.org/officeDocument/2006/relationships/footer" Target="footer324.xml"/><Relationship Id="rId335" Type="http://schemas.openxmlformats.org/officeDocument/2006/relationships/footer" Target="footer323.xml"/><Relationship Id="rId334" Type="http://schemas.openxmlformats.org/officeDocument/2006/relationships/footer" Target="footer322.xml"/><Relationship Id="rId333" Type="http://schemas.openxmlformats.org/officeDocument/2006/relationships/footer" Target="footer321.xml"/><Relationship Id="rId332" Type="http://schemas.openxmlformats.org/officeDocument/2006/relationships/footer" Target="footer320.xml"/><Relationship Id="rId331" Type="http://schemas.openxmlformats.org/officeDocument/2006/relationships/footer" Target="footer319.xml"/><Relationship Id="rId330" Type="http://schemas.openxmlformats.org/officeDocument/2006/relationships/footer" Target="footer318.xml"/><Relationship Id="rId33" Type="http://schemas.openxmlformats.org/officeDocument/2006/relationships/footer" Target="footer26.xml"/><Relationship Id="rId329" Type="http://schemas.openxmlformats.org/officeDocument/2006/relationships/footer" Target="footer317.xml"/><Relationship Id="rId328" Type="http://schemas.openxmlformats.org/officeDocument/2006/relationships/footer" Target="footer316.xml"/><Relationship Id="rId327" Type="http://schemas.openxmlformats.org/officeDocument/2006/relationships/footer" Target="footer315.xml"/><Relationship Id="rId326" Type="http://schemas.openxmlformats.org/officeDocument/2006/relationships/footer" Target="footer314.xml"/><Relationship Id="rId325" Type="http://schemas.openxmlformats.org/officeDocument/2006/relationships/footer" Target="footer313.xml"/><Relationship Id="rId324" Type="http://schemas.openxmlformats.org/officeDocument/2006/relationships/footer" Target="footer312.xml"/><Relationship Id="rId323" Type="http://schemas.openxmlformats.org/officeDocument/2006/relationships/footer" Target="footer311.xml"/><Relationship Id="rId322" Type="http://schemas.openxmlformats.org/officeDocument/2006/relationships/footer" Target="footer310.xml"/><Relationship Id="rId321" Type="http://schemas.openxmlformats.org/officeDocument/2006/relationships/footer" Target="footer309.xml"/><Relationship Id="rId320" Type="http://schemas.openxmlformats.org/officeDocument/2006/relationships/footer" Target="footer308.xml"/><Relationship Id="rId32" Type="http://schemas.openxmlformats.org/officeDocument/2006/relationships/footer" Target="footer25.xml"/><Relationship Id="rId319" Type="http://schemas.openxmlformats.org/officeDocument/2006/relationships/footer" Target="footer307.xml"/><Relationship Id="rId318" Type="http://schemas.openxmlformats.org/officeDocument/2006/relationships/footer" Target="footer306.xml"/><Relationship Id="rId317" Type="http://schemas.openxmlformats.org/officeDocument/2006/relationships/footer" Target="footer305.xml"/><Relationship Id="rId316" Type="http://schemas.openxmlformats.org/officeDocument/2006/relationships/footer" Target="footer304.xml"/><Relationship Id="rId315" Type="http://schemas.openxmlformats.org/officeDocument/2006/relationships/footer" Target="footer303.xml"/><Relationship Id="rId314" Type="http://schemas.openxmlformats.org/officeDocument/2006/relationships/footer" Target="footer302.xml"/><Relationship Id="rId313" Type="http://schemas.openxmlformats.org/officeDocument/2006/relationships/footer" Target="footer301.xml"/><Relationship Id="rId312" Type="http://schemas.openxmlformats.org/officeDocument/2006/relationships/footer" Target="footer300.xml"/><Relationship Id="rId311" Type="http://schemas.openxmlformats.org/officeDocument/2006/relationships/footer" Target="footer299.xml"/><Relationship Id="rId310" Type="http://schemas.openxmlformats.org/officeDocument/2006/relationships/footer" Target="footer298.xml"/><Relationship Id="rId31" Type="http://schemas.openxmlformats.org/officeDocument/2006/relationships/footer" Target="footer24.xml"/><Relationship Id="rId309" Type="http://schemas.openxmlformats.org/officeDocument/2006/relationships/footer" Target="footer297.xml"/><Relationship Id="rId308" Type="http://schemas.openxmlformats.org/officeDocument/2006/relationships/footer" Target="footer296.xml"/><Relationship Id="rId307" Type="http://schemas.openxmlformats.org/officeDocument/2006/relationships/footer" Target="footer295.xml"/><Relationship Id="rId306" Type="http://schemas.openxmlformats.org/officeDocument/2006/relationships/footer" Target="footer294.xml"/><Relationship Id="rId305" Type="http://schemas.openxmlformats.org/officeDocument/2006/relationships/footer" Target="footer293.xml"/><Relationship Id="rId304" Type="http://schemas.openxmlformats.org/officeDocument/2006/relationships/footer" Target="footer292.xml"/><Relationship Id="rId303" Type="http://schemas.openxmlformats.org/officeDocument/2006/relationships/footer" Target="footer291.xml"/><Relationship Id="rId302" Type="http://schemas.openxmlformats.org/officeDocument/2006/relationships/footer" Target="footer290.xml"/><Relationship Id="rId301" Type="http://schemas.openxmlformats.org/officeDocument/2006/relationships/footer" Target="footer289.xml"/><Relationship Id="rId300" Type="http://schemas.openxmlformats.org/officeDocument/2006/relationships/footer" Target="footer288.xml"/><Relationship Id="rId30" Type="http://schemas.openxmlformats.org/officeDocument/2006/relationships/footer" Target="footer23.xml"/><Relationship Id="rId3" Type="http://schemas.openxmlformats.org/officeDocument/2006/relationships/footnotes" Target="footnotes.xml"/><Relationship Id="rId299" Type="http://schemas.openxmlformats.org/officeDocument/2006/relationships/footer" Target="footer287.xml"/><Relationship Id="rId298" Type="http://schemas.openxmlformats.org/officeDocument/2006/relationships/footer" Target="footer286.xml"/><Relationship Id="rId297" Type="http://schemas.openxmlformats.org/officeDocument/2006/relationships/footer" Target="footer285.xml"/><Relationship Id="rId296" Type="http://schemas.openxmlformats.org/officeDocument/2006/relationships/footer" Target="footer284.xml"/><Relationship Id="rId295" Type="http://schemas.openxmlformats.org/officeDocument/2006/relationships/footer" Target="footer283.xml"/><Relationship Id="rId294" Type="http://schemas.openxmlformats.org/officeDocument/2006/relationships/footer" Target="footer282.xml"/><Relationship Id="rId293" Type="http://schemas.openxmlformats.org/officeDocument/2006/relationships/footer" Target="footer281.xml"/><Relationship Id="rId292" Type="http://schemas.openxmlformats.org/officeDocument/2006/relationships/footer" Target="footer280.xml"/><Relationship Id="rId291" Type="http://schemas.openxmlformats.org/officeDocument/2006/relationships/footer" Target="footer279.xml"/><Relationship Id="rId290" Type="http://schemas.openxmlformats.org/officeDocument/2006/relationships/footer" Target="footer278.xml"/><Relationship Id="rId29" Type="http://schemas.openxmlformats.org/officeDocument/2006/relationships/footer" Target="footer22.xml"/><Relationship Id="rId289" Type="http://schemas.openxmlformats.org/officeDocument/2006/relationships/footer" Target="footer277.xml"/><Relationship Id="rId288" Type="http://schemas.openxmlformats.org/officeDocument/2006/relationships/footer" Target="footer276.xml"/><Relationship Id="rId287" Type="http://schemas.openxmlformats.org/officeDocument/2006/relationships/footer" Target="footer275.xml"/><Relationship Id="rId286" Type="http://schemas.openxmlformats.org/officeDocument/2006/relationships/footer" Target="footer274.xml"/><Relationship Id="rId285" Type="http://schemas.openxmlformats.org/officeDocument/2006/relationships/footer" Target="footer273.xml"/><Relationship Id="rId284" Type="http://schemas.openxmlformats.org/officeDocument/2006/relationships/footer" Target="footer272.xml"/><Relationship Id="rId283" Type="http://schemas.openxmlformats.org/officeDocument/2006/relationships/footer" Target="footer271.xml"/><Relationship Id="rId282" Type="http://schemas.openxmlformats.org/officeDocument/2006/relationships/footer" Target="footer270.xml"/><Relationship Id="rId281" Type="http://schemas.openxmlformats.org/officeDocument/2006/relationships/footer" Target="footer269.xml"/><Relationship Id="rId280" Type="http://schemas.openxmlformats.org/officeDocument/2006/relationships/footer" Target="footer268.xml"/><Relationship Id="rId28" Type="http://schemas.openxmlformats.org/officeDocument/2006/relationships/footer" Target="footer21.xml"/><Relationship Id="rId279" Type="http://schemas.openxmlformats.org/officeDocument/2006/relationships/footer" Target="footer267.xml"/><Relationship Id="rId278" Type="http://schemas.openxmlformats.org/officeDocument/2006/relationships/footer" Target="footer266.xml"/><Relationship Id="rId277" Type="http://schemas.openxmlformats.org/officeDocument/2006/relationships/footer" Target="footer265.xml"/><Relationship Id="rId276" Type="http://schemas.openxmlformats.org/officeDocument/2006/relationships/footer" Target="footer264.xml"/><Relationship Id="rId275" Type="http://schemas.openxmlformats.org/officeDocument/2006/relationships/footer" Target="footer263.xml"/><Relationship Id="rId274" Type="http://schemas.openxmlformats.org/officeDocument/2006/relationships/footer" Target="footer262.xml"/><Relationship Id="rId273" Type="http://schemas.openxmlformats.org/officeDocument/2006/relationships/footer" Target="footer261.xml"/><Relationship Id="rId272" Type="http://schemas.openxmlformats.org/officeDocument/2006/relationships/footer" Target="footer260.xml"/><Relationship Id="rId271" Type="http://schemas.openxmlformats.org/officeDocument/2006/relationships/footer" Target="footer259.xml"/><Relationship Id="rId270" Type="http://schemas.openxmlformats.org/officeDocument/2006/relationships/footer" Target="footer258.xml"/><Relationship Id="rId27" Type="http://schemas.openxmlformats.org/officeDocument/2006/relationships/footer" Target="footer20.xml"/><Relationship Id="rId269" Type="http://schemas.openxmlformats.org/officeDocument/2006/relationships/footer" Target="footer257.xml"/><Relationship Id="rId268" Type="http://schemas.openxmlformats.org/officeDocument/2006/relationships/footer" Target="footer256.xml"/><Relationship Id="rId267" Type="http://schemas.openxmlformats.org/officeDocument/2006/relationships/footer" Target="footer255.xml"/><Relationship Id="rId266" Type="http://schemas.openxmlformats.org/officeDocument/2006/relationships/footer" Target="footer254.xml"/><Relationship Id="rId265" Type="http://schemas.openxmlformats.org/officeDocument/2006/relationships/footer" Target="footer253.xml"/><Relationship Id="rId264" Type="http://schemas.openxmlformats.org/officeDocument/2006/relationships/footer" Target="footer252.xml"/><Relationship Id="rId263" Type="http://schemas.openxmlformats.org/officeDocument/2006/relationships/footer" Target="footer251.xml"/><Relationship Id="rId262" Type="http://schemas.openxmlformats.org/officeDocument/2006/relationships/footer" Target="footer250.xml"/><Relationship Id="rId261" Type="http://schemas.openxmlformats.org/officeDocument/2006/relationships/footer" Target="footer249.xml"/><Relationship Id="rId260" Type="http://schemas.openxmlformats.org/officeDocument/2006/relationships/footer" Target="footer248.xml"/><Relationship Id="rId26" Type="http://schemas.openxmlformats.org/officeDocument/2006/relationships/footer" Target="footer19.xml"/><Relationship Id="rId259" Type="http://schemas.openxmlformats.org/officeDocument/2006/relationships/footer" Target="footer247.xml"/><Relationship Id="rId258" Type="http://schemas.openxmlformats.org/officeDocument/2006/relationships/footer" Target="footer246.xml"/><Relationship Id="rId257" Type="http://schemas.openxmlformats.org/officeDocument/2006/relationships/footer" Target="footer245.xml"/><Relationship Id="rId256" Type="http://schemas.openxmlformats.org/officeDocument/2006/relationships/footer" Target="footer244.xml"/><Relationship Id="rId255" Type="http://schemas.openxmlformats.org/officeDocument/2006/relationships/footer" Target="footer243.xml"/><Relationship Id="rId254" Type="http://schemas.openxmlformats.org/officeDocument/2006/relationships/footer" Target="footer242.xml"/><Relationship Id="rId253" Type="http://schemas.openxmlformats.org/officeDocument/2006/relationships/footer" Target="footer241.xml"/><Relationship Id="rId252" Type="http://schemas.openxmlformats.org/officeDocument/2006/relationships/footer" Target="footer240.xml"/><Relationship Id="rId251" Type="http://schemas.openxmlformats.org/officeDocument/2006/relationships/footer" Target="footer239.xml"/><Relationship Id="rId250" Type="http://schemas.openxmlformats.org/officeDocument/2006/relationships/footer" Target="footer238.xml"/><Relationship Id="rId25" Type="http://schemas.openxmlformats.org/officeDocument/2006/relationships/footer" Target="footer18.xml"/><Relationship Id="rId249" Type="http://schemas.openxmlformats.org/officeDocument/2006/relationships/footer" Target="footer237.xml"/><Relationship Id="rId248" Type="http://schemas.openxmlformats.org/officeDocument/2006/relationships/footer" Target="footer236.xml"/><Relationship Id="rId247" Type="http://schemas.openxmlformats.org/officeDocument/2006/relationships/footer" Target="footer235.xml"/><Relationship Id="rId246" Type="http://schemas.openxmlformats.org/officeDocument/2006/relationships/header" Target="header8.xml"/><Relationship Id="rId245" Type="http://schemas.openxmlformats.org/officeDocument/2006/relationships/footer" Target="footer234.xml"/><Relationship Id="rId244" Type="http://schemas.openxmlformats.org/officeDocument/2006/relationships/footer" Target="footer233.xml"/><Relationship Id="rId243" Type="http://schemas.openxmlformats.org/officeDocument/2006/relationships/footer" Target="footer232.xml"/><Relationship Id="rId242" Type="http://schemas.openxmlformats.org/officeDocument/2006/relationships/footer" Target="footer231.xml"/><Relationship Id="rId241" Type="http://schemas.openxmlformats.org/officeDocument/2006/relationships/footer" Target="footer230.xml"/><Relationship Id="rId240" Type="http://schemas.openxmlformats.org/officeDocument/2006/relationships/footer" Target="footer229.xml"/><Relationship Id="rId24" Type="http://schemas.openxmlformats.org/officeDocument/2006/relationships/footer" Target="footer17.xml"/><Relationship Id="rId239" Type="http://schemas.openxmlformats.org/officeDocument/2006/relationships/footer" Target="footer228.xml"/><Relationship Id="rId238" Type="http://schemas.openxmlformats.org/officeDocument/2006/relationships/footer" Target="footer227.xml"/><Relationship Id="rId237" Type="http://schemas.openxmlformats.org/officeDocument/2006/relationships/footer" Target="footer226.xml"/><Relationship Id="rId236" Type="http://schemas.openxmlformats.org/officeDocument/2006/relationships/footer" Target="footer225.xml"/><Relationship Id="rId235" Type="http://schemas.openxmlformats.org/officeDocument/2006/relationships/footer" Target="footer224.xml"/><Relationship Id="rId234" Type="http://schemas.openxmlformats.org/officeDocument/2006/relationships/footer" Target="footer223.xml"/><Relationship Id="rId233" Type="http://schemas.openxmlformats.org/officeDocument/2006/relationships/footer" Target="footer222.xml"/><Relationship Id="rId232" Type="http://schemas.openxmlformats.org/officeDocument/2006/relationships/footer" Target="footer221.xml"/><Relationship Id="rId231" Type="http://schemas.openxmlformats.org/officeDocument/2006/relationships/footer" Target="footer220.xml"/><Relationship Id="rId230" Type="http://schemas.openxmlformats.org/officeDocument/2006/relationships/footer" Target="footer219.xml"/><Relationship Id="rId23" Type="http://schemas.openxmlformats.org/officeDocument/2006/relationships/footer" Target="footer16.xml"/><Relationship Id="rId229" Type="http://schemas.openxmlformats.org/officeDocument/2006/relationships/footer" Target="footer218.xml"/><Relationship Id="rId228" Type="http://schemas.openxmlformats.org/officeDocument/2006/relationships/footer" Target="footer217.xml"/><Relationship Id="rId227" Type="http://schemas.openxmlformats.org/officeDocument/2006/relationships/footer" Target="footer216.xml"/><Relationship Id="rId226" Type="http://schemas.openxmlformats.org/officeDocument/2006/relationships/footer" Target="footer215.xml"/><Relationship Id="rId225" Type="http://schemas.openxmlformats.org/officeDocument/2006/relationships/footer" Target="footer214.xml"/><Relationship Id="rId224" Type="http://schemas.openxmlformats.org/officeDocument/2006/relationships/footer" Target="footer213.xml"/><Relationship Id="rId223" Type="http://schemas.openxmlformats.org/officeDocument/2006/relationships/footer" Target="footer212.xml"/><Relationship Id="rId222" Type="http://schemas.openxmlformats.org/officeDocument/2006/relationships/footer" Target="footer211.xml"/><Relationship Id="rId221" Type="http://schemas.openxmlformats.org/officeDocument/2006/relationships/footer" Target="footer210.xml"/><Relationship Id="rId220" Type="http://schemas.openxmlformats.org/officeDocument/2006/relationships/footer" Target="footer209.xml"/><Relationship Id="rId22" Type="http://schemas.openxmlformats.org/officeDocument/2006/relationships/footer" Target="footer15.xml"/><Relationship Id="rId219" Type="http://schemas.openxmlformats.org/officeDocument/2006/relationships/footer" Target="footer208.xml"/><Relationship Id="rId218" Type="http://schemas.openxmlformats.org/officeDocument/2006/relationships/footer" Target="footer207.xml"/><Relationship Id="rId217" Type="http://schemas.openxmlformats.org/officeDocument/2006/relationships/footer" Target="footer206.xml"/><Relationship Id="rId216" Type="http://schemas.openxmlformats.org/officeDocument/2006/relationships/footer" Target="footer205.xml"/><Relationship Id="rId215" Type="http://schemas.openxmlformats.org/officeDocument/2006/relationships/footer" Target="footer204.xml"/><Relationship Id="rId214" Type="http://schemas.openxmlformats.org/officeDocument/2006/relationships/footer" Target="footer203.xml"/><Relationship Id="rId213" Type="http://schemas.openxmlformats.org/officeDocument/2006/relationships/footer" Target="footer202.xml"/><Relationship Id="rId212" Type="http://schemas.openxmlformats.org/officeDocument/2006/relationships/footer" Target="footer201.xml"/><Relationship Id="rId211" Type="http://schemas.openxmlformats.org/officeDocument/2006/relationships/footer" Target="footer200.xml"/><Relationship Id="rId210" Type="http://schemas.openxmlformats.org/officeDocument/2006/relationships/footer" Target="footer199.xml"/><Relationship Id="rId21" Type="http://schemas.openxmlformats.org/officeDocument/2006/relationships/header" Target="header3.xml"/><Relationship Id="rId209" Type="http://schemas.openxmlformats.org/officeDocument/2006/relationships/footer" Target="footer198.xml"/><Relationship Id="rId208" Type="http://schemas.openxmlformats.org/officeDocument/2006/relationships/footer" Target="footer197.xml"/><Relationship Id="rId207" Type="http://schemas.openxmlformats.org/officeDocument/2006/relationships/footer" Target="footer196.xml"/><Relationship Id="rId206" Type="http://schemas.openxmlformats.org/officeDocument/2006/relationships/footer" Target="footer195.xml"/><Relationship Id="rId205" Type="http://schemas.openxmlformats.org/officeDocument/2006/relationships/footer" Target="footer194.xml"/><Relationship Id="rId204" Type="http://schemas.openxmlformats.org/officeDocument/2006/relationships/footer" Target="footer193.xml"/><Relationship Id="rId203" Type="http://schemas.openxmlformats.org/officeDocument/2006/relationships/footer" Target="footer192.xml"/><Relationship Id="rId202" Type="http://schemas.openxmlformats.org/officeDocument/2006/relationships/footer" Target="footer191.xml"/><Relationship Id="rId201" Type="http://schemas.openxmlformats.org/officeDocument/2006/relationships/footer" Target="footer190.xml"/><Relationship Id="rId200" Type="http://schemas.openxmlformats.org/officeDocument/2006/relationships/header" Target="header7.xml"/><Relationship Id="rId20" Type="http://schemas.openxmlformats.org/officeDocument/2006/relationships/footer" Target="footer14.xml"/><Relationship Id="rId2" Type="http://schemas.openxmlformats.org/officeDocument/2006/relationships/settings" Target="settings.xml"/><Relationship Id="rId199" Type="http://schemas.openxmlformats.org/officeDocument/2006/relationships/footer" Target="footer189.xml"/><Relationship Id="rId198" Type="http://schemas.openxmlformats.org/officeDocument/2006/relationships/header" Target="header6.xml"/><Relationship Id="rId197" Type="http://schemas.openxmlformats.org/officeDocument/2006/relationships/footer" Target="footer188.xml"/><Relationship Id="rId196" Type="http://schemas.openxmlformats.org/officeDocument/2006/relationships/footer" Target="footer187.xml"/><Relationship Id="rId195" Type="http://schemas.openxmlformats.org/officeDocument/2006/relationships/footer" Target="footer186.xml"/><Relationship Id="rId194" Type="http://schemas.openxmlformats.org/officeDocument/2006/relationships/footer" Target="footer185.xml"/><Relationship Id="rId193" Type="http://schemas.openxmlformats.org/officeDocument/2006/relationships/footer" Target="footer184.xml"/><Relationship Id="rId192" Type="http://schemas.openxmlformats.org/officeDocument/2006/relationships/footer" Target="footer183.xml"/><Relationship Id="rId191" Type="http://schemas.openxmlformats.org/officeDocument/2006/relationships/footer" Target="footer182.xml"/><Relationship Id="rId190" Type="http://schemas.openxmlformats.org/officeDocument/2006/relationships/footer" Target="footer181.xml"/><Relationship Id="rId19" Type="http://schemas.openxmlformats.org/officeDocument/2006/relationships/footer" Target="footer13.xml"/><Relationship Id="rId189" Type="http://schemas.openxmlformats.org/officeDocument/2006/relationships/footer" Target="footer180.xml"/><Relationship Id="rId188" Type="http://schemas.openxmlformats.org/officeDocument/2006/relationships/footer" Target="footer179.xml"/><Relationship Id="rId187" Type="http://schemas.openxmlformats.org/officeDocument/2006/relationships/footer" Target="footer178.xml"/><Relationship Id="rId186" Type="http://schemas.openxmlformats.org/officeDocument/2006/relationships/footer" Target="footer177.xml"/><Relationship Id="rId185" Type="http://schemas.openxmlformats.org/officeDocument/2006/relationships/footer" Target="footer176.xml"/><Relationship Id="rId184" Type="http://schemas.openxmlformats.org/officeDocument/2006/relationships/footer" Target="footer175.xml"/><Relationship Id="rId183" Type="http://schemas.openxmlformats.org/officeDocument/2006/relationships/footer" Target="footer174.xml"/><Relationship Id="rId182" Type="http://schemas.openxmlformats.org/officeDocument/2006/relationships/footer" Target="footer173.xml"/><Relationship Id="rId181" Type="http://schemas.openxmlformats.org/officeDocument/2006/relationships/footer" Target="footer172.xml"/><Relationship Id="rId180" Type="http://schemas.openxmlformats.org/officeDocument/2006/relationships/footer" Target="footer171.xml"/><Relationship Id="rId18" Type="http://schemas.openxmlformats.org/officeDocument/2006/relationships/footer" Target="footer12.xml"/><Relationship Id="rId179" Type="http://schemas.openxmlformats.org/officeDocument/2006/relationships/footer" Target="footer170.xml"/><Relationship Id="rId178" Type="http://schemas.openxmlformats.org/officeDocument/2006/relationships/footer" Target="footer169.xml"/><Relationship Id="rId177" Type="http://schemas.openxmlformats.org/officeDocument/2006/relationships/footer" Target="footer168.xml"/><Relationship Id="rId176" Type="http://schemas.openxmlformats.org/officeDocument/2006/relationships/footer" Target="footer167.xml"/><Relationship Id="rId175" Type="http://schemas.openxmlformats.org/officeDocument/2006/relationships/footer" Target="footer166.xml"/><Relationship Id="rId174" Type="http://schemas.openxmlformats.org/officeDocument/2006/relationships/footer" Target="footer165.xml"/><Relationship Id="rId173" Type="http://schemas.openxmlformats.org/officeDocument/2006/relationships/footer" Target="footer164.xml"/><Relationship Id="rId172" Type="http://schemas.openxmlformats.org/officeDocument/2006/relationships/footer" Target="footer163.xml"/><Relationship Id="rId171" Type="http://schemas.openxmlformats.org/officeDocument/2006/relationships/footer" Target="footer162.xml"/><Relationship Id="rId170" Type="http://schemas.openxmlformats.org/officeDocument/2006/relationships/footer" Target="footer161.xml"/><Relationship Id="rId17" Type="http://schemas.openxmlformats.org/officeDocument/2006/relationships/footer" Target="footer11.xml"/><Relationship Id="rId169" Type="http://schemas.openxmlformats.org/officeDocument/2006/relationships/footer" Target="footer160.xml"/><Relationship Id="rId168" Type="http://schemas.openxmlformats.org/officeDocument/2006/relationships/footer" Target="footer159.xml"/><Relationship Id="rId167" Type="http://schemas.openxmlformats.org/officeDocument/2006/relationships/footer" Target="footer158.xml"/><Relationship Id="rId166" Type="http://schemas.openxmlformats.org/officeDocument/2006/relationships/footer" Target="footer157.xml"/><Relationship Id="rId165" Type="http://schemas.openxmlformats.org/officeDocument/2006/relationships/footer" Target="footer156.xml"/><Relationship Id="rId164" Type="http://schemas.openxmlformats.org/officeDocument/2006/relationships/footer" Target="footer155.xml"/><Relationship Id="rId163" Type="http://schemas.openxmlformats.org/officeDocument/2006/relationships/footer" Target="footer154.xml"/><Relationship Id="rId162" Type="http://schemas.openxmlformats.org/officeDocument/2006/relationships/footer" Target="footer153.xml"/><Relationship Id="rId161" Type="http://schemas.openxmlformats.org/officeDocument/2006/relationships/footer" Target="footer152.xml"/><Relationship Id="rId160" Type="http://schemas.openxmlformats.org/officeDocument/2006/relationships/footer" Target="footer151.xml"/><Relationship Id="rId16" Type="http://schemas.openxmlformats.org/officeDocument/2006/relationships/footer" Target="footer10.xml"/><Relationship Id="rId159" Type="http://schemas.openxmlformats.org/officeDocument/2006/relationships/footer" Target="footer150.xml"/><Relationship Id="rId158" Type="http://schemas.openxmlformats.org/officeDocument/2006/relationships/footer" Target="footer149.xml"/><Relationship Id="rId157" Type="http://schemas.openxmlformats.org/officeDocument/2006/relationships/footer" Target="footer148.xml"/><Relationship Id="rId156" Type="http://schemas.openxmlformats.org/officeDocument/2006/relationships/footer" Target="footer147.xml"/><Relationship Id="rId155" Type="http://schemas.openxmlformats.org/officeDocument/2006/relationships/footer" Target="footer146.xml"/><Relationship Id="rId154" Type="http://schemas.openxmlformats.org/officeDocument/2006/relationships/footer" Target="footer145.xml"/><Relationship Id="rId153" Type="http://schemas.openxmlformats.org/officeDocument/2006/relationships/footer" Target="footer144.xml"/><Relationship Id="rId152" Type="http://schemas.openxmlformats.org/officeDocument/2006/relationships/footer" Target="footer143.xml"/><Relationship Id="rId151" Type="http://schemas.openxmlformats.org/officeDocument/2006/relationships/footer" Target="footer142.xml"/><Relationship Id="rId150" Type="http://schemas.openxmlformats.org/officeDocument/2006/relationships/footer" Target="footer141.xml"/><Relationship Id="rId15" Type="http://schemas.openxmlformats.org/officeDocument/2006/relationships/footer" Target="footer9.xml"/><Relationship Id="rId149" Type="http://schemas.openxmlformats.org/officeDocument/2006/relationships/footer" Target="footer140.xml"/><Relationship Id="rId148" Type="http://schemas.openxmlformats.org/officeDocument/2006/relationships/footer" Target="footer139.xml"/><Relationship Id="rId147" Type="http://schemas.openxmlformats.org/officeDocument/2006/relationships/footer" Target="footer138.xml"/><Relationship Id="rId146" Type="http://schemas.openxmlformats.org/officeDocument/2006/relationships/footer" Target="footer137.xml"/><Relationship Id="rId145" Type="http://schemas.openxmlformats.org/officeDocument/2006/relationships/footer" Target="footer136.xml"/><Relationship Id="rId144" Type="http://schemas.openxmlformats.org/officeDocument/2006/relationships/footer" Target="footer135.xml"/><Relationship Id="rId143" Type="http://schemas.openxmlformats.org/officeDocument/2006/relationships/footer" Target="footer134.xml"/><Relationship Id="rId142" Type="http://schemas.openxmlformats.org/officeDocument/2006/relationships/footer" Target="footer133.xml"/><Relationship Id="rId141" Type="http://schemas.openxmlformats.org/officeDocument/2006/relationships/footer" Target="footer132.xml"/><Relationship Id="rId140" Type="http://schemas.openxmlformats.org/officeDocument/2006/relationships/footer" Target="footer131.xml"/><Relationship Id="rId14" Type="http://schemas.openxmlformats.org/officeDocument/2006/relationships/footer" Target="footer8.xml"/><Relationship Id="rId139" Type="http://schemas.openxmlformats.org/officeDocument/2006/relationships/footer" Target="footer130.xml"/><Relationship Id="rId138" Type="http://schemas.openxmlformats.org/officeDocument/2006/relationships/footer" Target="footer129.xml"/><Relationship Id="rId137" Type="http://schemas.openxmlformats.org/officeDocument/2006/relationships/footer" Target="footer128.xml"/><Relationship Id="rId136" Type="http://schemas.openxmlformats.org/officeDocument/2006/relationships/footer" Target="footer127.xml"/><Relationship Id="rId135" Type="http://schemas.openxmlformats.org/officeDocument/2006/relationships/footer" Target="footer126.xml"/><Relationship Id="rId134" Type="http://schemas.openxmlformats.org/officeDocument/2006/relationships/footer" Target="footer125.xml"/><Relationship Id="rId133" Type="http://schemas.openxmlformats.org/officeDocument/2006/relationships/footer" Target="footer124.xml"/><Relationship Id="rId132" Type="http://schemas.openxmlformats.org/officeDocument/2006/relationships/footer" Target="footer123.xml"/><Relationship Id="rId131" Type="http://schemas.openxmlformats.org/officeDocument/2006/relationships/footer" Target="footer122.xml"/><Relationship Id="rId130" Type="http://schemas.openxmlformats.org/officeDocument/2006/relationships/footer" Target="footer121.xml"/><Relationship Id="rId13" Type="http://schemas.openxmlformats.org/officeDocument/2006/relationships/footer" Target="footer7.xml"/><Relationship Id="rId129" Type="http://schemas.openxmlformats.org/officeDocument/2006/relationships/footer" Target="footer120.xml"/><Relationship Id="rId128" Type="http://schemas.openxmlformats.org/officeDocument/2006/relationships/footer" Target="footer119.xml"/><Relationship Id="rId127" Type="http://schemas.openxmlformats.org/officeDocument/2006/relationships/footer" Target="footer118.xml"/><Relationship Id="rId126" Type="http://schemas.openxmlformats.org/officeDocument/2006/relationships/footer" Target="footer117.xml"/><Relationship Id="rId125" Type="http://schemas.openxmlformats.org/officeDocument/2006/relationships/footer" Target="footer116.xml"/><Relationship Id="rId124" Type="http://schemas.openxmlformats.org/officeDocument/2006/relationships/footer" Target="footer115.xml"/><Relationship Id="rId123" Type="http://schemas.openxmlformats.org/officeDocument/2006/relationships/footer" Target="footer114.xml"/><Relationship Id="rId122" Type="http://schemas.openxmlformats.org/officeDocument/2006/relationships/footer" Target="footer113.xml"/><Relationship Id="rId121" Type="http://schemas.openxmlformats.org/officeDocument/2006/relationships/footer" Target="footer112.xml"/><Relationship Id="rId120" Type="http://schemas.openxmlformats.org/officeDocument/2006/relationships/footer" Target="footer111.xml"/><Relationship Id="rId12" Type="http://schemas.openxmlformats.org/officeDocument/2006/relationships/footer" Target="footer6.xml"/><Relationship Id="rId119" Type="http://schemas.openxmlformats.org/officeDocument/2006/relationships/footer" Target="footer110.xml"/><Relationship Id="rId118" Type="http://schemas.openxmlformats.org/officeDocument/2006/relationships/footer" Target="footer109.xml"/><Relationship Id="rId117" Type="http://schemas.openxmlformats.org/officeDocument/2006/relationships/footer" Target="footer108.xml"/><Relationship Id="rId116" Type="http://schemas.openxmlformats.org/officeDocument/2006/relationships/footer" Target="footer107.xml"/><Relationship Id="rId115" Type="http://schemas.openxmlformats.org/officeDocument/2006/relationships/footer" Target="footer106.xml"/><Relationship Id="rId114" Type="http://schemas.openxmlformats.org/officeDocument/2006/relationships/footer" Target="footer105.xml"/><Relationship Id="rId113" Type="http://schemas.openxmlformats.org/officeDocument/2006/relationships/footer" Target="footer104.xml"/><Relationship Id="rId112" Type="http://schemas.openxmlformats.org/officeDocument/2006/relationships/footer" Target="footer103.xml"/><Relationship Id="rId111" Type="http://schemas.openxmlformats.org/officeDocument/2006/relationships/footer" Target="footer102.xml"/><Relationship Id="rId110" Type="http://schemas.openxmlformats.org/officeDocument/2006/relationships/footer" Target="footer101.xml"/><Relationship Id="rId11" Type="http://schemas.openxmlformats.org/officeDocument/2006/relationships/footer" Target="footer5.xml"/><Relationship Id="rId109" Type="http://schemas.openxmlformats.org/officeDocument/2006/relationships/footer" Target="footer100.xml"/><Relationship Id="rId108" Type="http://schemas.openxmlformats.org/officeDocument/2006/relationships/footer" Target="footer99.xml"/><Relationship Id="rId107" Type="http://schemas.openxmlformats.org/officeDocument/2006/relationships/footer" Target="footer98.xml"/><Relationship Id="rId106" Type="http://schemas.openxmlformats.org/officeDocument/2006/relationships/footer" Target="footer97.xml"/><Relationship Id="rId105" Type="http://schemas.openxmlformats.org/officeDocument/2006/relationships/footer" Target="footer96.xml"/><Relationship Id="rId104" Type="http://schemas.openxmlformats.org/officeDocument/2006/relationships/footer" Target="footer95.xml"/><Relationship Id="rId103" Type="http://schemas.openxmlformats.org/officeDocument/2006/relationships/footer" Target="footer94.xml"/><Relationship Id="rId102" Type="http://schemas.openxmlformats.org/officeDocument/2006/relationships/footer" Target="footer93.xml"/><Relationship Id="rId101" Type="http://schemas.openxmlformats.org/officeDocument/2006/relationships/footer" Target="footer92.xml"/><Relationship Id="rId100" Type="http://schemas.openxmlformats.org/officeDocument/2006/relationships/footer" Target="footer91.xml"/><Relationship Id="rId10" Type="http://schemas.openxmlformats.org/officeDocument/2006/relationships/footer" Target="footer4.xml"/><Relationship Id="rId1" Type="http://schemas.openxmlformats.org/officeDocument/2006/relationships/styles" Target="styles.xml"/></Relationships>
</file>

<file path=word/_rels/header4.xml.rels><?xml version="1.0" encoding="UTF-8" standalone="yes"?>
<Relationships xmlns="http://schemas.openxmlformats.org/package/2006/relationships"><Relationship Id="rId4" Type="http://schemas.openxmlformats.org/officeDocument/2006/relationships/image" Target="media/image4.png"/><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2088"/>
    <customShpInfo spid="_x0000_s2089"/>
    <customShpInfo spid="_x0000_s1033"/>
    <customShpInfo spid="_x0000_s1035"/>
    <customShpInfo spid="_x0000_s1036"/>
    <customShpInfo spid="_x0000_s1037"/>
    <customShpInfo spid="_x0000_s1038"/>
    <customShpInfo spid="_x0000_s1039"/>
    <customShpInfo spid="_x0000_s1034"/>
    <customShpInfo spid="_x0000_s1041"/>
    <customShpInfo spid="_x0000_s1042"/>
    <customShpInfo spid="_x0000_s1040"/>
    <customShpInfo spid="_x0000_s1043"/>
    <customShpInfo spid="_x0000_s1044"/>
    <customShpInfo spid="_x0000_s1045"/>
    <customShpInfo spid="_x0000_s1046"/>
    <customShpInfo spid="_x0000_s1047"/>
    <customShpInfo spid="_x0000_s1049"/>
    <customShpInfo spid="_x0000_s1050"/>
    <customShpInfo spid="_x0000_s1051"/>
    <customShpInfo spid="_x0000_s1052"/>
    <customShpInfo spid="_x0000_s1053"/>
    <customShpInfo spid="_x0000_s1048"/>
    <customShpInfo spid="_x0000_s1054"/>
    <customShpInfo spid="_x0000_s1056"/>
    <customShpInfo spid="_x0000_s1057"/>
    <customShpInfo spid="_x0000_s1055"/>
    <customShpInfo spid="_x0000_s1059"/>
    <customShpInfo spid="_x0000_s1060"/>
    <customShpInfo spid="_x0000_s1058"/>
    <customShpInfo spid="_x0000_s1090"/>
    <customShpInfo spid="_x0000_s1091"/>
    <customShpInfo spid="_x0000_s1089"/>
    <customShpInfo spid="_x0000_s1093"/>
    <customShpInfo spid="_x0000_s1094"/>
    <customShpInfo spid="_x0000_s1092"/>
    <customShpInfo spid="_x0000_s1096"/>
    <customShpInfo spid="_x0000_s1097"/>
    <customShpInfo spid="_x0000_s1095"/>
    <customShpInfo spid="_x0000_s1099"/>
    <customShpInfo spid="_x0000_s1100"/>
    <customShpInfo spid="_x0000_s1098"/>
    <customShpInfo spid="_x0000_s1102"/>
    <customShpInfo spid="_x0000_s1103"/>
    <customShpInfo spid="_x0000_s1101"/>
    <customShpInfo spid="_x0000_s1105"/>
    <customShpInfo spid="_x0000_s1106"/>
    <customShpInfo spid="_x0000_s1104"/>
    <customShpInfo spid="_x0000_s1108"/>
    <customShpInfo spid="_x0000_s1109"/>
    <customShpInfo spid="_x0000_s1107"/>
    <customShpInfo spid="_x0000_s1111"/>
    <customShpInfo spid="_x0000_s1112"/>
    <customShpInfo spid="_x0000_s1110"/>
    <customShpInfo spid="_x0000_s1113"/>
    <customShpInfo spid="_x0000_s1114"/>
    <customShpInfo spid="_x0000_s1116"/>
    <customShpInfo spid="_x0000_s1117"/>
    <customShpInfo spid="_x0000_s1115"/>
    <customShpInfo spid="_x0000_s1119"/>
    <customShpInfo spid="_x0000_s1120"/>
    <customShpInfo spid="_x0000_s1121"/>
    <customShpInfo spid="_x0000_s1122"/>
    <customShpInfo spid="_x0000_s1123"/>
    <customShpInfo spid="_x0000_s1118"/>
    <customShpInfo spid="_x0000_s1124"/>
    <customShpInfo spid="_x0000_s1140"/>
    <customShpInfo spid="_x0000_s1141"/>
    <customShpInfo spid="_x0000_s1139"/>
    <customShpInfo spid="_x0000_s1143"/>
    <customShpInfo spid="_x0000_s1144"/>
    <customShpInfo spid="_x0000_s1142"/>
    <customShpInfo spid="_x0000_s1145"/>
    <customShpInfo spid="_x0000_s1147"/>
    <customShpInfo spid="_x0000_s1148"/>
    <customShpInfo spid="_x0000_s1146"/>
    <customShpInfo spid="_x0000_s1160"/>
    <customShpInfo spid="_x0000_s1161"/>
    <customShpInfo spid="_x0000_s1159"/>
    <customShpInfo spid="_x0000_s1162"/>
    <customShpInfo spid="_x0000_s1164"/>
    <customShpInfo spid="_x0000_s1165"/>
    <customShpInfo spid="_x0000_s1163"/>
    <customShpInfo spid="_x0000_s1167"/>
    <customShpInfo spid="_x0000_s1168"/>
    <customShpInfo spid="_x0000_s1166"/>
    <customShpInfo spid="_x0000_s1174"/>
    <customShpInfo spid="_x0000_s1175"/>
    <customShpInfo spid="_x0000_s1176"/>
    <customShpInfo spid="_x0000_s1177"/>
    <customShpInfo spid="_x0000_s1243"/>
    <customShpInfo spid="_x0000_s1245"/>
    <customShpInfo spid="_x0000_s1246"/>
    <customShpInfo spid="_x0000_s1248"/>
    <customShpInfo spid="_x0000_s1249"/>
    <customShpInfo spid="_x0000_s1247"/>
    <customShpInfo spid="_x0000_s1251"/>
    <customShpInfo spid="_x0000_s1252"/>
    <customShpInfo spid="_x0000_s1250"/>
    <customShpInfo spid="_x0000_s1253"/>
    <customShpInfo spid="_x0000_s1254"/>
    <customShpInfo spid="_x0000_s1255"/>
    <customShpInfo spid="_x0000_s1256"/>
    <customShpInfo spid="_x0000_s1257"/>
    <customShpInfo spid="_x0000_s1258"/>
    <customShpInfo spid="_x0000_s1259"/>
    <customShpInfo spid="_x0000_s1260"/>
    <customShpInfo spid="_x0000_s1261"/>
    <customShpInfo spid="_x0000_s1262"/>
    <customShpInfo spid="_x0000_s1263"/>
    <customShpInfo spid="_x0000_s1264"/>
    <customShpInfo spid="_x0000_s1265"/>
    <customShpInfo spid="_x0000_s1266"/>
    <customShpInfo spid="_x0000_s1267"/>
    <customShpInfo spid="_x0000_s1268"/>
    <customShpInfo spid="_x0000_s1269"/>
    <customShpInfo spid="_x0000_s1270"/>
    <customShpInfo spid="_x0000_s1272"/>
    <customShpInfo spid="_x0000_s1273"/>
    <customShpInfo spid="_x0000_s1271"/>
    <customShpInfo spid="_x0000_s1274"/>
    <customShpInfo spid="_x0000_s1275"/>
    <customShpInfo spid="_x0000_s1276"/>
    <customShpInfo spid="_x0000_s1277"/>
    <customShpInfo spid="_x0000_s1278"/>
    <customShpInfo spid="_x0000_s1281"/>
    <customShpInfo spid="_x0000_s1282"/>
    <customShpInfo spid="_x0000_s1283"/>
    <customShpInfo spid="_x0000_s1284"/>
    <customShpInfo spid="_x0000_s1285"/>
    <customShpInfo spid="_x0000_s1280"/>
    <customShpInfo spid="_x0000_s1287"/>
    <customShpInfo spid="_x0000_s1288"/>
    <customShpInfo spid="_x0000_s1286"/>
    <customShpInfo spid="_x0000_s1279"/>
    <customShpInfo spid="_x0000_s1290"/>
    <customShpInfo spid="_x0000_s1291"/>
    <customShpInfo spid="_x0000_s1289"/>
    <customShpInfo spid="_x0000_s1293"/>
    <customShpInfo spid="_x0000_s1294"/>
    <customShpInfo spid="_x0000_s1292"/>
    <customShpInfo spid="_x0000_s1295"/>
    <customShpInfo spid="_x0000_s1296"/>
    <customShpInfo spid="_x0000_s1298"/>
    <customShpInfo spid="_x0000_s1299"/>
    <customShpInfo spid="_x0000_s1300"/>
    <customShpInfo spid="_x0000_s1301"/>
    <customShpInfo spid="_x0000_s1297"/>
    <customShpInfo spid="_x0000_s1303"/>
    <customShpInfo spid="_x0000_s1304"/>
    <customShpInfo spid="_x0000_s1302"/>
    <customShpInfo spid="_x0000_s1306"/>
    <customShpInfo spid="_x0000_s1307"/>
    <customShpInfo spid="_x0000_s1308"/>
    <customShpInfo spid="_x0000_s1309"/>
    <customShpInfo spid="_x0000_s1305"/>
    <customShpInfo spid="_x0000_s1310"/>
    <customShpInfo spid="_x0000_s1312"/>
    <customShpInfo spid="_x0000_s1313"/>
    <customShpInfo spid="_x0000_s1311"/>
    <customShpInfo spid="_x0000_s1315"/>
    <customShpInfo spid="_x0000_s1316"/>
    <customShpInfo spid="_x0000_s1314"/>
    <customShpInfo spid="_x0000_s1318"/>
    <customShpInfo spid="_x0000_s1319"/>
    <customShpInfo spid="_x0000_s1317"/>
    <customShpInfo spid="_x0000_s1320"/>
    <customShpInfo spid="_x0000_s1321"/>
    <customShpInfo spid="_x0000_s1322"/>
    <customShpInfo spid="_x0000_s1323"/>
    <customShpInfo spid="_x0000_s1325"/>
    <customShpInfo spid="_x0000_s1326"/>
    <customShpInfo spid="_x0000_s1324"/>
    <customShpInfo spid="_x0000_s1328"/>
    <customShpInfo spid="_x0000_s1329"/>
    <customShpInfo spid="_x0000_s1330"/>
    <customShpInfo spid="_x0000_s1327"/>
    <customShpInfo spid="_x0000_s1331"/>
    <customShpInfo spid="_x0000_s1332"/>
    <customShpInfo spid="_x0000_s1333"/>
    <customShpInfo spid="_x0000_s1334"/>
    <customShpInfo spid="_x0000_s1336"/>
    <customShpInfo spid="_x0000_s1337"/>
    <customShpInfo spid="_x0000_s1338"/>
    <customShpInfo spid="_x0000_s1339"/>
    <customShpInfo spid="_x0000_s1340"/>
    <customShpInfo spid="_x0000_s1335"/>
    <customShpInfo spid="_x0000_s1342"/>
    <customShpInfo spid="_x0000_s1343"/>
    <customShpInfo spid="_x0000_s1344"/>
    <customShpInfo spid="_x0000_s1341"/>
    <customShpInfo spid="_x0000_s1347"/>
    <customShpInfo spid="_x0000_s1348"/>
    <customShpInfo spid="_x0000_s1349"/>
    <customShpInfo spid="_x0000_s1346"/>
    <customShpInfo spid="_x0000_s1351"/>
    <customShpInfo spid="_x0000_s1352"/>
    <customShpInfo spid="_x0000_s1350"/>
    <customShpInfo spid="_x0000_s1345"/>
    <customShpInfo spid="_x0000_s1353"/>
    <customShpInfo spid="_x0000_s1354"/>
    <customShpInfo spid="_x0000_s1355"/>
    <customShpInfo spid="_x0000_s1357"/>
    <customShpInfo spid="_x0000_s1358"/>
    <customShpInfo spid="_x0000_s1359"/>
    <customShpInfo spid="_x0000_s1360"/>
    <customShpInfo spid="_x0000_s1361"/>
    <customShpInfo spid="_x0000_s1356"/>
    <customShpInfo spid="_x0000_s1362"/>
    <customShpInfo spid="_x0000_s1364"/>
    <customShpInfo spid="_x0000_s1365"/>
    <customShpInfo spid="_x0000_s1366"/>
    <customShpInfo spid="_x0000_s1367"/>
    <customShpInfo spid="_x0000_s1363"/>
    <customShpInfo spid="_x0000_s1368"/>
    <customShpInfo spid="_x0000_s1370"/>
    <customShpInfo spid="_x0000_s1371"/>
    <customShpInfo spid="_x0000_s1369"/>
    <customShpInfo spid="_x0000_s1372"/>
    <customShpInfo spid="_x0000_s1373"/>
    <customShpInfo spid="_x0000_s1375"/>
    <customShpInfo spid="_x0000_s1376"/>
    <customShpInfo spid="_x0000_s1374"/>
    <customShpInfo spid="_x0000_s1378"/>
    <customShpInfo spid="_x0000_s1379"/>
    <customShpInfo spid="_x0000_s1377"/>
    <customShpInfo spid="_x0000_s1381"/>
    <customShpInfo spid="_x0000_s1382"/>
    <customShpInfo spid="_x0000_s1380"/>
    <customShpInfo spid="_x0000_s1384"/>
    <customShpInfo spid="_x0000_s1385"/>
    <customShpInfo spid="_x0000_s1383"/>
    <customShpInfo spid="_x0000_s1387"/>
    <customShpInfo spid="_x0000_s1388"/>
    <customShpInfo spid="_x0000_s1386"/>
    <customShpInfo spid="_x0000_s1390"/>
    <customShpInfo spid="_x0000_s1391"/>
    <customShpInfo spid="_x0000_s1389"/>
    <customShpInfo spid="_x0000_s1392"/>
    <customShpInfo spid="_x0000_s1394"/>
    <customShpInfo spid="_x0000_s1395"/>
    <customShpInfo spid="_x0000_s1393"/>
    <customShpInfo spid="_x0000_s1397"/>
    <customShpInfo spid="_x0000_s1398"/>
    <customShpInfo spid="_x0000_s1396"/>
    <customShpInfo spid="_x0000_s1399"/>
    <customShpInfo spid="_x0000_s1400"/>
    <customShpInfo spid="_x0000_s1401"/>
    <customShpInfo spid="_x0000_s1402"/>
    <customShpInfo spid="_x0000_s1403"/>
    <customShpInfo spid="_x0000_s1405"/>
    <customShpInfo spid="_x0000_s1406"/>
    <customShpInfo spid="_x0000_s1404"/>
    <customShpInfo spid="_x0000_s1408"/>
    <customShpInfo spid="_x0000_s1409"/>
    <customShpInfo spid="_x0000_s1410"/>
    <customShpInfo spid="_x0000_s1411"/>
    <customShpInfo spid="_x0000_s1412"/>
    <customShpInfo spid="_x0000_s1407"/>
    <customShpInfo spid="_x0000_s1413"/>
    <customShpInfo spid="_x0000_s1414"/>
    <customShpInfo spid="_x0000_s1415"/>
    <customShpInfo spid="_x0000_s1416"/>
    <customShpInfo spid="_x0000_s1417"/>
    <customShpInfo spid="_x0000_s1418"/>
    <customShpInfo spid="_x0000_s1420"/>
    <customShpInfo spid="_x0000_s1421"/>
    <customShpInfo spid="_x0000_s1422"/>
    <customShpInfo spid="_x0000_s1423"/>
    <customShpInfo spid="_x0000_s1424"/>
    <customShpInfo spid="_x0000_s1425"/>
    <customShpInfo spid="_x0000_s1426"/>
    <customShpInfo spid="_x0000_s1427"/>
    <customShpInfo spid="_x0000_s1428"/>
    <customShpInfo spid="_x0000_s1429"/>
    <customShpInfo spid="_x0000_s1430"/>
    <customShpInfo spid="_x0000_s1431"/>
    <customShpInfo spid="_x0000_s1432"/>
    <customShpInfo spid="_x0000_s1433"/>
    <customShpInfo spid="_x0000_s1434"/>
    <customShpInfo spid="_x0000_s1435"/>
    <customShpInfo spid="_x0000_s1436"/>
    <customShpInfo spid="_x0000_s1437"/>
    <customShpInfo spid="_x0000_s1438"/>
    <customShpInfo spid="_x0000_s1439"/>
    <customShpInfo spid="_x0000_s1440"/>
    <customShpInfo spid="_x0000_s1441"/>
    <customShpInfo spid="_x0000_s1442"/>
    <customShpInfo spid="_x0000_s1443"/>
    <customShpInfo spid="_x0000_s1444"/>
    <customShpInfo spid="_x0000_s1445"/>
    <customShpInfo spid="_x0000_s1446"/>
    <customShpInfo spid="_x0000_s1447"/>
    <customShpInfo spid="_x0000_s1448"/>
    <customShpInfo spid="_x0000_s1449"/>
    <customShpInfo spid="_x0000_s1450"/>
    <customShpInfo spid="_x0000_s1451"/>
    <customShpInfo spid="_x0000_s1419"/>
    <customShpInfo spid="_x0000_s1452"/>
    <customShpInfo spid="_x0000_s1454"/>
    <customShpInfo spid="_x0000_s1455"/>
    <customShpInfo spid="_x0000_s1453"/>
    <customShpInfo spid="_x0000_s1457"/>
    <customShpInfo spid="_x0000_s1458"/>
    <customShpInfo spid="_x0000_s1456"/>
    <customShpInfo spid="_x0000_s1459"/>
    <customShpInfo spid="_x0000_s1461"/>
    <customShpInfo spid="_x0000_s1462"/>
    <customShpInfo spid="_x0000_s1463"/>
    <customShpInfo spid="_x0000_s1460"/>
    <customShpInfo spid="_x0000_s1471"/>
    <customShpInfo spid="_x0000_s1472"/>
    <customShpInfo spid="_x0000_s1473"/>
    <customShpInfo spid="_x0000_s1474"/>
    <customShpInfo spid="_x0000_s1475"/>
    <customShpInfo spid="_x0000_s1476"/>
    <customShpInfo spid="_x0000_s1477"/>
    <customShpInfo spid="_x0000_s1478"/>
    <customShpInfo spid="_x0000_s1479"/>
    <customShpInfo spid="_x0000_s1480"/>
    <customShpInfo spid="_x0000_s1481"/>
    <customShpInfo spid="_x0000_s1483"/>
    <customShpInfo spid="_x0000_s1484"/>
    <customShpInfo spid="_x0000_s1482"/>
    <customShpInfo spid="_x0000_s1486"/>
    <customShpInfo spid="_x0000_s1487"/>
    <customShpInfo spid="_x0000_s1485"/>
    <customShpInfo spid="_x0000_s1489"/>
    <customShpInfo spid="_x0000_s1490"/>
    <customShpInfo spid="_x0000_s1488"/>
    <customShpInfo spid="_x0000_s1492"/>
    <customShpInfo spid="_x0000_s1493"/>
    <customShpInfo spid="_x0000_s1491"/>
    <customShpInfo spid="_x0000_s1494"/>
    <customShpInfo spid="_x0000_s1024"/>
    <customShpInfo spid="_x0000_s1496"/>
    <customShpInfo spid="_x0000_s1497"/>
    <customShpInfo spid="_x0000_s1495"/>
    <customShpInfo spid="_x0000_s1499"/>
    <customShpInfo spid="_x0000_s1500"/>
    <customShpInfo spid="_x0000_s1498"/>
    <customShpInfo spid="_x0000_s1501"/>
    <customShpInfo spid="_x0000_s1503"/>
    <customShpInfo spid="_x0000_s1504"/>
    <customShpInfo spid="_x0000_s1502"/>
    <customShpInfo spid="_x0000_s1505"/>
    <customShpInfo spid="_x0000_s1507"/>
    <customShpInfo spid="_x0000_s1508"/>
    <customShpInfo spid="_x0000_s1506"/>
    <customShpInfo spid="_x0000_s1509"/>
    <customShpInfo spid="_x0000_s1510"/>
    <customShpInfo spid="_x0000_s1511"/>
    <customShpInfo spid="_x0000_s1513"/>
    <customShpInfo spid="_x0000_s1514"/>
    <customShpInfo spid="_x0000_s1515"/>
    <customShpInfo spid="_x0000_s1512"/>
    <customShpInfo spid="_x0000_s1516"/>
    <customShpInfo spid="_x0000_s1517"/>
    <customShpInfo spid="_x0000_s1518"/>
    <customShpInfo spid="_x0000_s1519"/>
    <customShpInfo spid="_x0000_s1520"/>
    <customShpInfo spid="_x0000_s1522"/>
    <customShpInfo spid="_x0000_s1523"/>
    <customShpInfo spid="_x0000_s1524"/>
    <customShpInfo spid="_x0000_s1521"/>
    <customShpInfo spid="_x0000_s1525"/>
    <customShpInfo spid="_x0000_s1526"/>
    <customShpInfo spid="_x0000_s1527"/>
    <customShpInfo spid="_x0000_s1529"/>
    <customShpInfo spid="_x0000_s1530"/>
    <customShpInfo spid="_x0000_s1528"/>
    <customShpInfo spid="_x0000_s1533"/>
    <customShpInfo spid="_x0000_s1534"/>
    <customShpInfo spid="_x0000_s1535"/>
    <customShpInfo spid="_x0000_s1532"/>
    <customShpInfo spid="_x0000_s1537"/>
    <customShpInfo spid="_x0000_s1538"/>
    <customShpInfo spid="_x0000_s1536"/>
    <customShpInfo spid="_x0000_s1531"/>
    <customShpInfo spid="_x0000_s1540"/>
    <customShpInfo spid="_x0000_s1541"/>
    <customShpInfo spid="_x0000_s1539"/>
    <customShpInfo spid="_x0000_s1543"/>
    <customShpInfo spid="_x0000_s1544"/>
    <customShpInfo spid="_x0000_s1545"/>
    <customShpInfo spid="_x0000_s1542"/>
    <customShpInfo spid="_x0000_s1546"/>
    <customShpInfo spid="_x0000_s1547"/>
    <customShpInfo spid="_x0000_s1548"/>
    <customShpInfo spid="_x0000_s1549"/>
    <customShpInfo spid="_x0000_s1551"/>
    <customShpInfo spid="_x0000_s1552"/>
    <customShpInfo spid="_x0000_s1550"/>
    <customShpInfo spid="_x0000_s1554"/>
    <customShpInfo spid="_x0000_s1555"/>
    <customShpInfo spid="_x0000_s1553"/>
    <customShpInfo spid="_x0000_s1557"/>
    <customShpInfo spid="_x0000_s1558"/>
    <customShpInfo spid="_x0000_s1556"/>
    <customShpInfo spid="_x0000_s1560"/>
    <customShpInfo spid="_x0000_s1561"/>
    <customShpInfo spid="_x0000_s1559"/>
    <customShpInfo spid="_x0000_s1562"/>
    <customShpInfo spid="_x0000_s1563"/>
    <customShpInfo spid="_x0000_s1565"/>
    <customShpInfo spid="_x0000_s1566"/>
    <customShpInfo spid="_x0000_s1564"/>
    <customShpInfo spid="_x0000_s1567"/>
    <customShpInfo spid="_x0000_s1568"/>
    <customShpInfo spid="_x0000_s1570"/>
    <customShpInfo spid="_x0000_s1571"/>
    <customShpInfo spid="_x0000_s1569"/>
    <customShpInfo spid="_x0000_s1573"/>
    <customShpInfo spid="_x0000_s1574"/>
    <customShpInfo spid="_x0000_s1572"/>
    <customShpInfo spid="_x0000_s1575"/>
    <customShpInfo spid="_x0000_s1577"/>
    <customShpInfo spid="_x0000_s1578"/>
    <customShpInfo spid="_x0000_s1576"/>
    <customShpInfo spid="_x0000_s1579"/>
    <customShpInfo spid="_x0000_s1581"/>
    <customShpInfo spid="_x0000_s1582"/>
    <customShpInfo spid="_x0000_s1580"/>
    <customShpInfo spid="_x0000_s1583"/>
    <customShpInfo spid="_x0000_s1584"/>
    <customShpInfo spid="_x0000_s1585"/>
    <customShpInfo spid="_x0000_s1587"/>
    <customShpInfo spid="_x0000_s1588"/>
    <customShpInfo spid="_x0000_s1589"/>
    <customShpInfo spid="_x0000_s1586"/>
    <customShpInfo spid="_x0000_s1590"/>
    <customShpInfo spid="_x0000_s1591"/>
    <customShpInfo spid="_x0000_s1593"/>
    <customShpInfo spid="_x0000_s1594"/>
    <customShpInfo spid="_x0000_s1595"/>
    <customShpInfo spid="_x0000_s1592"/>
    <customShpInfo spid="_x0000_s1596"/>
    <customShpInfo spid="_x0000_s1597"/>
    <customShpInfo spid="_x0000_s1598"/>
    <customShpInfo spid="_x0000_s1601"/>
    <customShpInfo spid="_x0000_s1602"/>
    <customShpInfo spid="_x0000_s1600"/>
    <customShpInfo spid="_x0000_s1603"/>
    <customShpInfo spid="_x0000_s1599"/>
    <customShpInfo spid="_x0000_s1606"/>
    <customShpInfo spid="_x0000_s1607"/>
    <customShpInfo spid="_x0000_s1605"/>
    <customShpInfo spid="_x0000_s1608"/>
    <customShpInfo spid="_x0000_s1604"/>
    <customShpInfo spid="_x0000_s1609"/>
    <customShpInfo spid="_x0000_s1610"/>
    <customShpInfo spid="_x0000_s1611"/>
    <customShpInfo spid="_x0000_s1612"/>
    <customShpInfo spid="_x0000_s1613"/>
    <customShpInfo spid="_x0000_s1614"/>
    <customShpInfo spid="_x0000_s1617"/>
    <customShpInfo spid="_x0000_s1618"/>
    <customShpInfo spid="_x0000_s1616"/>
    <customShpInfo spid="_x0000_s1619"/>
    <customShpInfo spid="_x0000_s1615"/>
    <customShpInfo spid="_x0000_s1621"/>
    <customShpInfo spid="_x0000_s1622"/>
    <customShpInfo spid="_x0000_s1620"/>
    <customShpInfo spid="_x0000_s1623"/>
    <customShpInfo spid="_x0000_s1624"/>
    <customShpInfo spid="_x0000_s1625"/>
    <customShpInfo spid="_x0000_s1627"/>
    <customShpInfo spid="_x0000_s1628"/>
    <customShpInfo spid="_x0000_s1626"/>
    <customShpInfo spid="_x0000_s1630"/>
    <customShpInfo spid="_x0000_s1631"/>
    <customShpInfo spid="_x0000_s1629"/>
    <customShpInfo spid="_x0000_s1632"/>
    <customShpInfo spid="_x0000_s1633"/>
    <customShpInfo spid="_x0000_s1634"/>
    <customShpInfo spid="_x0000_s1635"/>
    <customShpInfo spid="_x0000_s1637"/>
    <customShpInfo spid="_x0000_s1638"/>
    <customShpInfo spid="_x0000_s1636"/>
    <customShpInfo spid="_x0000_s1639"/>
    <customShpInfo spid="_x0000_s1640"/>
    <customShpInfo spid="_x0000_s1641"/>
    <customShpInfo spid="_x0000_s1643"/>
    <customShpInfo spid="_x0000_s1644"/>
    <customShpInfo spid="_x0000_s1642"/>
    <customShpInfo spid="_x0000_s1646"/>
    <customShpInfo spid="_x0000_s1647"/>
    <customShpInfo spid="_x0000_s1645"/>
    <customShpInfo spid="_x0000_s1648"/>
    <customShpInfo spid="_x0000_s1649"/>
    <customShpInfo spid="_x0000_s1651"/>
    <customShpInfo spid="_x0000_s1652"/>
    <customShpInfo spid="_x0000_s1650"/>
    <customShpInfo spid="_x0000_s1653"/>
    <customShpInfo spid="_x0000_s1655"/>
    <customShpInfo spid="_x0000_s1656"/>
    <customShpInfo spid="_x0000_s1654"/>
    <customShpInfo spid="_x0000_s1657"/>
    <customShpInfo spid="_x0000_s1658"/>
    <customShpInfo spid="_x0000_s1660"/>
    <customShpInfo spid="_x0000_s1661"/>
    <customShpInfo spid="_x0000_s1659"/>
    <customShpInfo spid="_x0000_s1663"/>
    <customShpInfo spid="_x0000_s1664"/>
    <customShpInfo spid="_x0000_s1662"/>
    <customShpInfo spid="_x0000_s1665"/>
    <customShpInfo spid="_x0000_s1666"/>
    <customShpInfo spid="_x0000_s1668"/>
    <customShpInfo spid="_x0000_s1669"/>
    <customShpInfo spid="_x0000_s1667"/>
    <customShpInfo spid="_x0000_s1671"/>
    <customShpInfo spid="_x0000_s1672"/>
    <customShpInfo spid="_x0000_s1670"/>
    <customShpInfo spid="_x0000_s1673"/>
    <customShpInfo spid="_x0000_s1674"/>
    <customShpInfo spid="_x0000_s1676"/>
    <customShpInfo spid="_x0000_s1677"/>
    <customShpInfo spid="_x0000_s1678"/>
    <customShpInfo spid="_x0000_s1679"/>
    <customShpInfo spid="_x0000_s1680"/>
    <customShpInfo spid="_x0000_s1675"/>
    <customShpInfo spid="_x0000_s1683"/>
    <customShpInfo spid="_x0000_s1684"/>
    <customShpInfo spid="_x0000_s1682"/>
    <customShpInfo spid="_x0000_s1685"/>
    <customShpInfo spid="_x0000_s1681"/>
    <customShpInfo spid="_x0000_s1686"/>
    <customShpInfo spid="_x0000_s1687"/>
    <customShpInfo spid="_x0000_s1688"/>
    <customShpInfo spid="_x0000_s1689"/>
    <customShpInfo spid="_x0000_s1690"/>
    <customShpInfo spid="_x0000_s1691"/>
    <customShpInfo spid="_x0000_s1692"/>
    <customShpInfo spid="_x0000_s1693"/>
    <customShpInfo spid="_x0000_s1695"/>
    <customShpInfo spid="_x0000_s1696"/>
    <customShpInfo spid="_x0000_s1694"/>
    <customShpInfo spid="_x0000_s1698"/>
    <customShpInfo spid="_x0000_s1699"/>
    <customShpInfo spid="_x0000_s1697"/>
    <customShpInfo spid="_x0000_s1701"/>
    <customShpInfo spid="_x0000_s1702"/>
    <customShpInfo spid="_x0000_s1700"/>
    <customShpInfo spid="_x0000_s1704"/>
    <customShpInfo spid="_x0000_s1705"/>
    <customShpInfo spid="_x0000_s1703"/>
    <customShpInfo spid="_x0000_s1706"/>
    <customShpInfo spid="_x0000_s1707"/>
    <customShpInfo spid="_x0000_s1708"/>
    <customShpInfo spid="_x0000_s1710"/>
    <customShpInfo spid="_x0000_s1711"/>
    <customShpInfo spid="_x0000_s1709"/>
    <customShpInfo spid="_x0000_s1713"/>
    <customShpInfo spid="_x0000_s1714"/>
    <customShpInfo spid="_x0000_s1712"/>
    <customShpInfo spid="_x0000_s1716"/>
    <customShpInfo spid="_x0000_s1717"/>
    <customShpInfo spid="_x0000_s1715"/>
    <customShpInfo spid="_x0000_s1719"/>
    <customShpInfo spid="_x0000_s1720"/>
    <customShpInfo spid="_x0000_s1718"/>
    <customShpInfo spid="_x0000_s1721"/>
    <customShpInfo spid="_x0000_s1723"/>
    <customShpInfo spid="_x0000_s1724"/>
    <customShpInfo spid="_x0000_s1722"/>
    <customShpInfo spid="_x0000_s1726"/>
    <customShpInfo spid="_x0000_s1727"/>
    <customShpInfo spid="_x0000_s1725"/>
    <customShpInfo spid="_x0000_s1729"/>
    <customShpInfo spid="_x0000_s1730"/>
    <customShpInfo spid="_x0000_s1728"/>
    <customShpInfo spid="_x0000_s1732"/>
    <customShpInfo spid="_x0000_s1733"/>
    <customShpInfo spid="_x0000_s1731"/>
    <customShpInfo spid="_x0000_s1735"/>
    <customShpInfo spid="_x0000_s1736"/>
    <customShpInfo spid="_x0000_s1734"/>
    <customShpInfo spid="_x0000_s1738"/>
    <customShpInfo spid="_x0000_s1739"/>
    <customShpInfo spid="_x0000_s1737"/>
    <customShpInfo spid="_x0000_s1741"/>
    <customShpInfo spid="_x0000_s1742"/>
    <customShpInfo spid="_x0000_s1740"/>
    <customShpInfo spid="_x0000_s1743"/>
    <customShpInfo spid="_x0000_s1744"/>
    <customShpInfo spid="_x0000_s1745"/>
    <customShpInfo spid="_x0000_s1746"/>
    <customShpInfo spid="_x0000_s1747"/>
    <customShpInfo spid="_x0000_s1748"/>
    <customShpInfo spid="_x0000_s1749"/>
    <customShpInfo spid="_x0000_s1751"/>
    <customShpInfo spid="_x0000_s1752"/>
    <customShpInfo spid="_x0000_s1753"/>
    <customShpInfo spid="_x0000_s1750"/>
    <customShpInfo spid="_x0000_s1754"/>
    <customShpInfo spid="_x0000_s1755"/>
    <customShpInfo spid="_x0000_s1756"/>
    <customShpInfo spid="_x0000_s1758"/>
    <customShpInfo spid="_x0000_s1759"/>
    <customShpInfo spid="_x0000_s1757"/>
    <customShpInfo spid="_x0000_s1760"/>
    <customShpInfo spid="_x0000_s1761"/>
    <customShpInfo spid="_x0000_s1762"/>
    <customShpInfo spid="_x0000_s1763"/>
    <customShpInfo spid="_x0000_s1764"/>
    <customShpInfo spid="_x0000_s1765"/>
    <customShpInfo spid="_x0000_s1768"/>
    <customShpInfo spid="_x0000_s1769"/>
    <customShpInfo spid="_x0000_s1767"/>
    <customShpInfo spid="_x0000_s1770"/>
    <customShpInfo spid="_x0000_s1766"/>
    <customShpInfo spid="_x0000_s1771"/>
    <customShpInfo spid="_x0000_s1772"/>
    <customShpInfo spid="_x0000_s1773"/>
    <customShpInfo spid="_x0000_s1774"/>
    <customShpInfo spid="_x0000_s1775"/>
    <customShpInfo spid="_x0000_s1776"/>
    <customShpInfo spid="_x0000_s1777"/>
    <customShpInfo spid="_x0000_s1778"/>
    <customShpInfo spid="_x0000_s1780"/>
    <customShpInfo spid="_x0000_s1781"/>
    <customShpInfo spid="_x0000_s1782"/>
    <customShpInfo spid="_x0000_s1779"/>
    <customShpInfo spid="_x0000_s1784"/>
    <customShpInfo spid="_x0000_s1785"/>
    <customShpInfo spid="_x0000_s1786"/>
    <customShpInfo spid="_x0000_s1783"/>
    <customShpInfo spid="_x0000_s1787"/>
    <customShpInfo spid="_x0000_s1788"/>
    <customShpInfo spid="_x0000_s1789"/>
    <customShpInfo spid="_x0000_s1790"/>
    <customShpInfo spid="_x0000_s1791"/>
    <customShpInfo spid="_x0000_s1792"/>
    <customShpInfo spid="_x0000_s1793"/>
    <customShpInfo spid="_x0000_s1795"/>
    <customShpInfo spid="_x0000_s1796"/>
    <customShpInfo spid="_x0000_s1794"/>
    <customShpInfo spid="_x0000_s1798"/>
    <customShpInfo spid="_x0000_s1799"/>
    <customShpInfo spid="_x0000_s1797"/>
    <customShpInfo spid="_x0000_s1801"/>
    <customShpInfo spid="_x0000_s1802"/>
    <customShpInfo spid="_x0000_s1800"/>
    <customShpInfo spid="_x0000_s1803"/>
    <customShpInfo spid="_x0000_s1804"/>
    <customShpInfo spid="_x0000_s1806"/>
    <customShpInfo spid="_x0000_s1807"/>
    <customShpInfo spid="_x0000_s1808"/>
    <customShpInfo spid="_x0000_s1805"/>
    <customShpInfo spid="_x0000_s1810"/>
    <customShpInfo spid="_x0000_s1811"/>
    <customShpInfo spid="_x0000_s1812"/>
    <customShpInfo spid="_x0000_s1809"/>
    <customShpInfo spid="_x0000_s1813"/>
    <customShpInfo spid="_x0000_s1815"/>
    <customShpInfo spid="_x0000_s1816"/>
    <customShpInfo spid="_x0000_s1814"/>
    <customShpInfo spid="_x0000_s1818"/>
    <customShpInfo spid="_x0000_s1819"/>
    <customShpInfo spid="_x0000_s1817"/>
    <customShpInfo spid="_x0000_s1821"/>
    <customShpInfo spid="_x0000_s1822"/>
    <customShpInfo spid="_x0000_s1820"/>
    <customShpInfo spid="_x0000_s1824"/>
    <customShpInfo spid="_x0000_s1825"/>
    <customShpInfo spid="_x0000_s1823"/>
    <customShpInfo spid="_x0000_s1826"/>
    <customShpInfo spid="_x0000_s1828"/>
    <customShpInfo spid="_x0000_s1829"/>
    <customShpInfo spid="_x0000_s1827"/>
    <customShpInfo spid="_x0000_s1831"/>
    <customShpInfo spid="_x0000_s1832"/>
    <customShpInfo spid="_x0000_s1830"/>
    <customShpInfo spid="_x0000_s1834"/>
    <customShpInfo spid="_x0000_s1835"/>
    <customShpInfo spid="_x0000_s1833"/>
    <customShpInfo spid="_x0000_s1837"/>
    <customShpInfo spid="_x0000_s1838"/>
    <customShpInfo spid="_x0000_s1836"/>
    <customShpInfo spid="_x0000_s1840"/>
    <customShpInfo spid="_x0000_s1841"/>
    <customShpInfo spid="_x0000_s1839"/>
    <customShpInfo spid="_x0000_s1843"/>
    <customShpInfo spid="_x0000_s1844"/>
    <customShpInfo spid="_x0000_s1842"/>
    <customShpInfo spid="_x0000_s1846"/>
    <customShpInfo spid="_x0000_s1847"/>
    <customShpInfo spid="_x0000_s1845"/>
    <customShpInfo spid="_x0000_s1849"/>
    <customShpInfo spid="_x0000_s1850"/>
    <customShpInfo spid="_x0000_s1848"/>
    <customShpInfo spid="_x0000_s1852"/>
    <customShpInfo spid="_x0000_s1853"/>
    <customShpInfo spid="_x0000_s1851"/>
    <customShpInfo spid="_x0000_s1855"/>
    <customShpInfo spid="_x0000_s1856"/>
    <customShpInfo spid="_x0000_s1854"/>
    <customShpInfo spid="_x0000_s1858"/>
    <customShpInfo spid="_x0000_s1859"/>
    <customShpInfo spid="_x0000_s1857"/>
    <customShpInfo spid="_x0000_s1860"/>
    <customShpInfo spid="_x0000_s1861"/>
    <customShpInfo spid="_x0000_s1862"/>
    <customShpInfo spid="_x0000_s1863"/>
    <customShpInfo spid="_x0000_s1864"/>
    <customShpInfo spid="_x0000_s1865"/>
    <customShpInfo spid="_x0000_s1866"/>
    <customShpInfo spid="_x0000_s1867"/>
    <customShpInfo spid="_x0000_s1868"/>
    <customShpInfo spid="_x0000_s1870"/>
    <customShpInfo spid="_x0000_s1871"/>
    <customShpInfo spid="_x0000_s1872"/>
    <customShpInfo spid="_x0000_s1873"/>
    <customShpInfo spid="_x0000_s1869"/>
    <customShpInfo spid="_x0000_s1874"/>
    <customShpInfo spid="_x0000_s1875"/>
    <customShpInfo spid="_x0000_s1876"/>
    <customShpInfo spid="_x0000_s1877"/>
    <customShpInfo spid="_x0000_s1878"/>
    <customShpInfo spid="_x0000_s1879"/>
    <customShpInfo spid="_x0000_s1880"/>
    <customShpInfo spid="_x0000_s1882"/>
    <customShpInfo spid="_x0000_s1883"/>
    <customShpInfo spid="_x0000_s1881"/>
    <customShpInfo spid="_x0000_s1885"/>
    <customShpInfo spid="_x0000_s1886"/>
    <customShpInfo spid="_x0000_s1884"/>
    <customShpInfo spid="_x0000_s1887"/>
    <customShpInfo spid="_x0000_s1888"/>
    <customShpInfo spid="_x0000_s1891"/>
    <customShpInfo spid="_x0000_s1892"/>
    <customShpInfo spid="_x0000_s1890"/>
    <customShpInfo spid="_x0000_s1893"/>
    <customShpInfo spid="_x0000_s1889"/>
    <customShpInfo spid="_x0000_s1895"/>
    <customShpInfo spid="_x0000_s1896"/>
    <customShpInfo spid="_x0000_s1894"/>
    <customShpInfo spid="_x0000_s1897"/>
    <customShpInfo spid="_x0000_s1898"/>
    <customShpInfo spid="_x0000_s1899"/>
    <customShpInfo spid="_x0000_s1900"/>
    <customShpInfo spid="_x0000_s1901"/>
    <customShpInfo spid="_x0000_s1903"/>
    <customShpInfo spid="_x0000_s1904"/>
    <customShpInfo spid="_x0000_s1902"/>
    <customShpInfo spid="_x0000_s1906"/>
    <customShpInfo spid="_x0000_s1907"/>
    <customShpInfo spid="_x0000_s1905"/>
    <customShpInfo spid="_x0000_s1908"/>
    <customShpInfo spid="_x0000_s1909"/>
    <customShpInfo spid="_x0000_s1910"/>
    <customShpInfo spid="_x0000_s1911"/>
    <customShpInfo spid="_x0000_s1912"/>
    <customShpInfo spid="_x0000_s1913"/>
    <customShpInfo spid="_x0000_s1914"/>
    <customShpInfo spid="_x0000_s1916"/>
    <customShpInfo spid="_x0000_s1917"/>
    <customShpInfo spid="_x0000_s1915"/>
    <customShpInfo spid="_x0000_s1918"/>
    <customShpInfo spid="_x0000_s1919"/>
    <customShpInfo spid="_x0000_s1921"/>
    <customShpInfo spid="_x0000_s1922"/>
    <customShpInfo spid="_x0000_s1923"/>
    <customShpInfo spid="_x0000_s1920"/>
    <customShpInfo spid="_x0000_s1925"/>
    <customShpInfo spid="_x0000_s1926"/>
    <customShpInfo spid="_x0000_s1924"/>
    <customShpInfo spid="_x0000_s1927"/>
    <customShpInfo spid="_x0000_s1928"/>
    <customShpInfo spid="_x0000_s1929"/>
    <customShpInfo spid="_x0000_s1930"/>
    <customShpInfo spid="_x0000_s1931"/>
    <customShpInfo spid="_x0000_s1933"/>
    <customShpInfo spid="_x0000_s1934"/>
    <customShpInfo spid="_x0000_s1935"/>
    <customShpInfo spid="_x0000_s1936"/>
    <customShpInfo spid="_x0000_s1932"/>
    <customShpInfo spid="_x0000_s1937"/>
    <customShpInfo spid="_x0000_s1938"/>
    <customShpInfo spid="_x0000_s1939"/>
    <customShpInfo spid="_x0000_s1940"/>
    <customShpInfo spid="_x0000_s1941"/>
    <customShpInfo spid="_x0000_s1942"/>
    <customShpInfo spid="_x0000_s1943"/>
    <customShpInfo spid="_x0000_s1944"/>
    <customShpInfo spid="_x0000_s1946"/>
    <customShpInfo spid="_x0000_s1947"/>
    <customShpInfo spid="_x0000_s1945"/>
    <customShpInfo spid="_x0000_s1949"/>
    <customShpInfo spid="_x0000_s1950"/>
    <customShpInfo spid="_x0000_s1948"/>
    <customShpInfo spid="_x0000_s1953"/>
    <customShpInfo spid="_x0000_s1954"/>
    <customShpInfo spid="_x0000_s1952"/>
    <customShpInfo spid="_x0000_s1955"/>
    <customShpInfo spid="_x0000_s1951"/>
    <customShpInfo spid="_x0000_s1957"/>
    <customShpInfo spid="_x0000_s1958"/>
    <customShpInfo spid="_x0000_s1956"/>
    <customShpInfo spid="_x0000_s1959"/>
    <customShpInfo spid="_x0000_s1961"/>
    <customShpInfo spid="_x0000_s1962"/>
    <customShpInfo spid="_x0000_s1960"/>
    <customShpInfo spid="_x0000_s1964"/>
    <customShpInfo spid="_x0000_s1966"/>
    <customShpInfo spid="_x0000_s1963"/>
    <customShpInfo spid="_x0000_s1968"/>
    <customShpInfo spid="_x0000_s1972"/>
    <customShpInfo spid="_x0000_s1974"/>
    <customShpInfo spid="_x0000_s1970"/>
    <customShpInfo spid="_x0000_s1976"/>
    <customShpInfo spid="_x0000_s1978"/>
    <customShpInfo spid="_x0000_s1980"/>
    <customShpInfo spid="_x0000_s1982"/>
    <customShpInfo spid="_x0000_s1984"/>
    <customShpInfo spid="_x0000_s1986"/>
    <customShpInfo spid="_x0000_s1988"/>
    <customShpInfo spid="_x0000_s1990"/>
    <customShpInfo spid="_x0000_s1994"/>
    <customShpInfo spid="_x0000_s1996"/>
    <customShpInfo spid="_x0000_s1992"/>
    <customShpInfo spid="_x0000_s1998"/>
    <customShpInfo spid="_x0000_s2000"/>
    <customShpInfo spid="_x0000_s2002"/>
    <customShpInfo spid="_x0000_s2004"/>
    <customShpInfo spid="_x0000_s2006"/>
    <customShpInfo spid="_x0000_s2008"/>
    <customShpInfo spid="_x0000_s2010"/>
    <customShpInfo spid="_x0000_s2012"/>
    <customShpInfo spid="_x0000_s2016"/>
    <customShpInfo spid="_x0000_s2018"/>
    <customShpInfo spid="_x0000_s2014"/>
    <customShpInfo spid="_x0000_s2022"/>
    <customShpInfo spid="_x0000_s2024"/>
    <customShpInfo spid="_x0000_s2020"/>
    <customShpInfo spid="_x0000_s2028"/>
    <customShpInfo spid="_x0000_s2030"/>
    <customShpInfo spid="_x0000_s2026"/>
    <customShpInfo spid="_x0000_s2034"/>
    <customShpInfo spid="_x0000_s2036"/>
    <customShpInfo spid="_x0000_s2032"/>
    <customShpInfo spid="_x0000_s2040"/>
    <customShpInfo spid="_x0000_s2042"/>
    <customShpInfo spid="_x0000_s2038"/>
    <customShpInfo spid="_x0000_s2046"/>
    <customShpInfo spid="_x0000_s2047"/>
    <customShpInfo spid="_x0000_s2044"/>
    <customShpInfo spid="_x0000_s3073"/>
    <customShpInfo spid="_x0000_s3074"/>
    <customShpInfo spid="_x0000_s3072"/>
    <customShpInfo spid="_x0000_s3076"/>
    <customShpInfo spid="_x0000_s3077"/>
    <customShpInfo spid="_x0000_s3075"/>
    <customShpInfo spid="_x0000_s3079"/>
    <customShpInfo spid="_x0000_s3080"/>
    <customShpInfo spid="_x0000_s3078"/>
    <customShpInfo spid="_x0000_s3082"/>
    <customShpInfo spid="_x0000_s3083"/>
    <customShpInfo spid="_x0000_s3081"/>
    <customShpInfo spid="_x0000_s3084"/>
    <customShpInfo spid="_x0000_s3086"/>
    <customShpInfo spid="_x0000_s3087"/>
    <customShpInfo spid="_x0000_s3085"/>
    <customShpInfo spid="_x0000_s3089"/>
    <customShpInfo spid="_x0000_s3090"/>
    <customShpInfo spid="_x0000_s3088"/>
    <customShpInfo spid="_x0000_s3092"/>
    <customShpInfo spid="_x0000_s3093"/>
    <customShpInfo spid="_x0000_s3091"/>
    <customShpInfo spid="_x0000_s3095"/>
    <customShpInfo spid="_x0000_s3096"/>
    <customShpInfo spid="_x0000_s3094"/>
    <customShpInfo spid="_x0000_s3098"/>
    <customShpInfo spid="_x0000_s3099"/>
    <customShpInfo spid="_x0000_s3097"/>
    <customShpInfo spid="_x0000_s3100"/>
    <customShpInfo spid="_x0000_s3102"/>
    <customShpInfo spid="_x0000_s3103"/>
    <customShpInfo spid="_x0000_s3101"/>
    <customShpInfo spid="_x0000_s3105"/>
    <customShpInfo spid="_x0000_s3106"/>
    <customShpInfo spid="_x0000_s3104"/>
    <customShpInfo spid="_x0000_s3108"/>
    <customShpInfo spid="_x0000_s3109"/>
    <customShpInfo spid="_x0000_s3107"/>
    <customShpInfo spid="_x0000_s3111"/>
    <customShpInfo spid="_x0000_s3112"/>
    <customShpInfo spid="_x0000_s3110"/>
    <customShpInfo spid="_x0000_s3114"/>
    <customShpInfo spid="_x0000_s3115"/>
    <customShpInfo spid="_x0000_s3113"/>
    <customShpInfo spid="_x0000_s3117"/>
    <customShpInfo spid="_x0000_s3118"/>
    <customShpInfo spid="_x0000_s3116"/>
    <customShpInfo spid="_x0000_s3120"/>
    <customShpInfo spid="_x0000_s3121"/>
    <customShpInfo spid="_x0000_s3119"/>
    <customShpInfo spid="_x0000_s3123"/>
    <customShpInfo spid="_x0000_s3124"/>
    <customShpInfo spid="_x0000_s3122"/>
    <customShpInfo spid="_x0000_s3126"/>
    <customShpInfo spid="_x0000_s3127"/>
    <customShpInfo spid="_x0000_s3125"/>
    <customShpInfo spid="_x0000_s3129"/>
    <customShpInfo spid="_x0000_s3130"/>
    <customShpInfo spid="_x0000_s3128"/>
    <customShpInfo spid="_x0000_s3132"/>
    <customShpInfo spid="_x0000_s3133"/>
    <customShpInfo spid="_x0000_s3131"/>
    <customShpInfo spid="_x0000_s3135"/>
    <customShpInfo spid="_x0000_s3136"/>
    <customShpInfo spid="_x0000_s3134"/>
    <customShpInfo spid="_x0000_s3138"/>
    <customShpInfo spid="_x0000_s3139"/>
    <customShpInfo spid="_x0000_s3137"/>
    <customShpInfo spid="_x0000_s3141"/>
    <customShpInfo spid="_x0000_s3142"/>
    <customShpInfo spid="_x0000_s3140"/>
    <customShpInfo spid="_x0000_s3144"/>
    <customShpInfo spid="_x0000_s3145"/>
    <customShpInfo spid="_x0000_s3143"/>
    <customShpInfo spid="_x0000_s3147"/>
    <customShpInfo spid="_x0000_s3148"/>
    <customShpInfo spid="_x0000_s3146"/>
    <customShpInfo spid="_x0000_s3150"/>
    <customShpInfo spid="_x0000_s3151"/>
    <customShpInfo spid="_x0000_s3149"/>
    <customShpInfo spid="_x0000_s3153"/>
    <customShpInfo spid="_x0000_s3154"/>
    <customShpInfo spid="_x0000_s3152"/>
    <customShpInfo spid="_x0000_s3155"/>
    <customShpInfo spid="_x0000_s3157"/>
    <customShpInfo spid="_x0000_s3158"/>
    <customShpInfo spid="_x0000_s3156"/>
    <customShpInfo spid="_x0000_s3160"/>
    <customShpInfo spid="_x0000_s3161"/>
    <customShpInfo spid="_x0000_s3159"/>
    <customShpInfo spid="_x0000_s3163"/>
    <customShpInfo spid="_x0000_s3164"/>
    <customShpInfo spid="_x0000_s3162"/>
    <customShpInfo spid="_x0000_s3166"/>
    <customShpInfo spid="_x0000_s3167"/>
    <customShpInfo spid="_x0000_s3165"/>
    <customShpInfo spid="_x0000_s3169"/>
    <customShpInfo spid="_x0000_s3170"/>
    <customShpInfo spid="_x0000_s3168"/>
    <customShpInfo spid="_x0000_s3171"/>
    <customShpInfo spid="_x0000_s3173"/>
    <customShpInfo spid="_x0000_s3174"/>
    <customShpInfo spid="_x0000_s3172"/>
    <customShpInfo spid="_x0000_s3175"/>
    <customShpInfo spid="_x0000_s3177"/>
    <customShpInfo spid="_x0000_s3178"/>
    <customShpInfo spid="_x0000_s3179"/>
    <customShpInfo spid="_x0000_s3180"/>
    <customShpInfo spid="_x0000_s3181"/>
    <customShpInfo spid="_x0000_s3176"/>
    <customShpInfo spid="_x0000_s3182"/>
    <customShpInfo spid="_x0000_s3184"/>
    <customShpInfo spid="_x0000_s3185"/>
    <customShpInfo spid="_x0000_s3183"/>
    <customShpInfo spid="_x0000_s3186"/>
    <customShpInfo spid="_x0000_s3187"/>
    <customShpInfo spid="_x0000_s3188"/>
    <customShpInfo spid="_x0000_s3189"/>
    <customShpInfo spid="_x0000_s3190"/>
    <customShpInfo spid="_x0000_s3192"/>
    <customShpInfo spid="_x0000_s3193"/>
    <customShpInfo spid="_x0000_s3194"/>
    <customShpInfo spid="_x0000_s3191"/>
    <customShpInfo spid="_x0000_s3196"/>
    <customShpInfo spid="_x0000_s3197"/>
    <customShpInfo spid="_x0000_s3195"/>
    <customShpInfo spid="_x0000_s3198"/>
    <customShpInfo spid="_x0000_s3199"/>
    <customShpInfo spid="_x0000_s3200"/>
    <customShpInfo spid="_x0000_s3201"/>
    <customShpInfo spid="_x0000_s3202"/>
    <customShpInfo spid="_x0000_s3203"/>
    <customShpInfo spid="_x0000_s3204"/>
    <customShpInfo spid="_x0000_s3206"/>
    <customShpInfo spid="_x0000_s3207"/>
    <customShpInfo spid="_x0000_s3208"/>
    <customShpInfo spid="_x0000_s3205"/>
    <customShpInfo spid="_x0000_s3210"/>
    <customShpInfo spid="_x0000_s3211"/>
    <customShpInfo spid="_x0000_s3209"/>
    <customShpInfo spid="_x0000_s3212"/>
    <customShpInfo spid="_x0000_s3213"/>
    <customShpInfo spid="_x0000_s3214"/>
    <customShpInfo spid="_x0000_s3215"/>
    <customShpInfo spid="_x0000_s3216"/>
    <customShpInfo spid="_x0000_s3217"/>
    <customShpInfo spid="_x0000_s3218"/>
    <customShpInfo spid="_x0000_s3219"/>
    <customShpInfo spid="_x0000_s3220"/>
    <customShpInfo spid="_x0000_s3221"/>
    <customShpInfo spid="_x0000_s3222"/>
    <customShpInfo spid="_x0000_s3223"/>
    <customShpInfo spid="_x0000_s3225"/>
    <customShpInfo spid="_x0000_s3226"/>
    <customShpInfo spid="_x0000_s3227"/>
    <customShpInfo spid="_x0000_s3224"/>
    <customShpInfo spid="_x0000_s3228"/>
    <customShpInfo spid="_x0000_s3229"/>
    <customShpInfo spid="_x0000_s3230"/>
    <customShpInfo spid="_x0000_s3231"/>
    <customShpInfo spid="_x0000_s3232"/>
    <customShpInfo spid="_x0000_s3233"/>
    <customShpInfo spid="_x0000_s3235"/>
    <customShpInfo spid="_x0000_s3236"/>
    <customShpInfo spid="_x0000_s3234"/>
    <customShpInfo spid="_x0000_s3238"/>
    <customShpInfo spid="_x0000_s3239"/>
    <customShpInfo spid="_x0000_s3237"/>
    <customShpInfo spid="_x0000_s3240"/>
    <customShpInfo spid="_x0000_s3241"/>
    <customShpInfo spid="_x0000_s3242"/>
    <customShpInfo spid="_x0000_s3243"/>
    <customShpInfo spid="_x0000_s3244"/>
    <customShpInfo spid="_x0000_s3245"/>
    <customShpInfo spid="_x0000_s3246"/>
    <customShpInfo spid="_x0000_s3247"/>
    <customShpInfo spid="_x0000_s3248"/>
    <customShpInfo spid="_x0000_s3249"/>
    <customShpInfo spid="_x0000_s3250"/>
    <customShpInfo spid="_x0000_s3251"/>
    <customShpInfo spid="_x0000_s3252"/>
    <customShpInfo spid="_x0000_s3253"/>
    <customShpInfo spid="_x0000_s3254"/>
    <customShpInfo spid="_x0000_s3255"/>
    <customShpInfo spid="_x0000_s3256"/>
    <customShpInfo spid="_x0000_s3257"/>
    <customShpInfo spid="_x0000_s3258"/>
    <customShpInfo spid="_x0000_s3259"/>
    <customShpInfo spid="_x0000_s3260"/>
    <customShpInfo spid="_x0000_s3261"/>
    <customShpInfo spid="_x0000_s3262"/>
    <customShpInfo spid="_x0000_s3263"/>
    <customShpInfo spid="_x0000_s3264"/>
    <customShpInfo spid="_x0000_s3265"/>
    <customShpInfo spid="_x0000_s3266"/>
    <customShpInfo spid="_x0000_s3267"/>
    <customShpInfo spid="_x0000_s3268"/>
    <customShpInfo spid="_x0000_s3269"/>
    <customShpInfo spid="_x0000_s3270"/>
    <customShpInfo spid="_x0000_s3271"/>
    <customShpInfo spid="_x0000_s3272"/>
    <customShpInfo spid="_x0000_s3273"/>
    <customShpInfo spid="_x0000_s3274"/>
    <customShpInfo spid="_x0000_s3275"/>
    <customShpInfo spid="_x0000_s3276"/>
    <customShpInfo spid="_x0000_s3278"/>
    <customShpInfo spid="_x0000_s3279"/>
    <customShpInfo spid="_x0000_s3280"/>
    <customShpInfo spid="_x0000_s3281"/>
    <customShpInfo spid="_x0000_s3282"/>
    <customShpInfo spid="_x0000_s3277"/>
    <customShpInfo spid="_x0000_s3284"/>
    <customShpInfo spid="_x0000_s3285"/>
    <customShpInfo spid="_x0000_s3283"/>
    <customShpInfo spid="_x0000_s3286"/>
    <customShpInfo spid="_x0000_s3287"/>
    <customShpInfo spid="_x0000_s3288"/>
    <customShpInfo spid="_x0000_s3289"/>
    <customShpInfo spid="_x0000_s3290"/>
    <customShpInfo spid="_x0000_s3292"/>
    <customShpInfo spid="_x0000_s3293"/>
    <customShpInfo spid="_x0000_s3294"/>
    <customShpInfo spid="_x0000_s3291"/>
    <customShpInfo spid="_x0000_s3295"/>
    <customShpInfo spid="_x0000_s3296"/>
    <customShpInfo spid="_x0000_s3298"/>
    <customShpInfo spid="_x0000_s3299"/>
    <customShpInfo spid="_x0000_s3300"/>
    <customShpInfo spid="_x0000_s3297"/>
    <customShpInfo spid="_x0000_s3301"/>
    <customShpInfo spid="_x0000_s3302"/>
    <customShpInfo spid="_x0000_s3303"/>
    <customShpInfo spid="_x0000_s3304"/>
    <customShpInfo spid="_x0000_s3305"/>
    <customShpInfo spid="_x0000_s3307"/>
    <customShpInfo spid="_x0000_s3308"/>
    <customShpInfo spid="_x0000_s3309"/>
    <customShpInfo spid="_x0000_s3310"/>
    <customShpInfo spid="_x0000_s3311"/>
    <customShpInfo spid="_x0000_s3306"/>
    <customShpInfo spid="_x0000_s3313"/>
    <customShpInfo spid="_x0000_s3314"/>
    <customShpInfo spid="_x0000_s3312"/>
    <customShpInfo spid="_x0000_s3315"/>
    <customShpInfo spid="_x0000_s3316"/>
    <customShpInfo spid="_x0000_s3317"/>
    <customShpInfo spid="_x0000_s3318"/>
    <customShpInfo spid="_x0000_s3319"/>
    <customShpInfo spid="_x0000_s3320"/>
    <customShpInfo spid="_x0000_s3321"/>
    <customShpInfo spid="_x0000_s3322"/>
    <customShpInfo spid="_x0000_s3323"/>
    <customShpInfo spid="_x0000_s3326"/>
    <customShpInfo spid="_x0000_s3327"/>
    <customShpInfo spid="_x0000_s3328"/>
    <customShpInfo spid="_x0000_s3329"/>
    <customShpInfo spid="_x0000_s3330"/>
    <customShpInfo spid="_x0000_s3331"/>
    <customShpInfo spid="_x0000_s3333"/>
    <customShpInfo spid="_x0000_s3334"/>
    <customShpInfo spid="_x0000_s3335"/>
    <customShpInfo spid="_x0000_s3336"/>
    <customShpInfo spid="_x0000_s3337"/>
    <customShpInfo spid="_x0000_s3332"/>
    <customShpInfo spid="_x0000_s3338"/>
    <customShpInfo spid="_x0000_s3339"/>
    <customShpInfo spid="_x0000_s3340"/>
    <customShpInfo spid="_x0000_s3342"/>
    <customShpInfo spid="_x0000_s3343"/>
    <customShpInfo spid="_x0000_s3344"/>
    <customShpInfo spid="_x0000_s3345"/>
    <customShpInfo spid="_x0000_s3346"/>
    <customShpInfo spid="_x0000_s3341"/>
    <customShpInfo spid="_x0000_s3347"/>
    <customShpInfo spid="_x0000_s3348"/>
    <customShpInfo spid="_x0000_s3349"/>
    <customShpInfo spid="_x0000_s3350"/>
    <customShpInfo spid="_x0000_s3351"/>
    <customShpInfo spid="_x0000_s3352"/>
    <customShpInfo spid="_x0000_s3353"/>
    <customShpInfo spid="_x0000_s3354"/>
    <customShpInfo spid="_x0000_s3355"/>
    <customShpInfo spid="_x0000_s3356"/>
    <customShpInfo spid="_x0000_s3357"/>
    <customShpInfo spid="_x0000_s3358"/>
    <customShpInfo spid="_x0000_s3359"/>
    <customShpInfo spid="_x0000_s3360"/>
    <customShpInfo spid="_x0000_s3361"/>
    <customShpInfo spid="_x0000_s3362"/>
    <customShpInfo spid="_x0000_s3363"/>
    <customShpInfo spid="_x0000_s3364"/>
    <customShpInfo spid="_x0000_s3365"/>
    <customShpInfo spid="_x0000_s3366"/>
    <customShpInfo spid="_x0000_s3367"/>
    <customShpInfo spid="_x0000_s3368"/>
    <customShpInfo spid="_x0000_s3369"/>
    <customShpInfo spid="_x0000_s3371"/>
    <customShpInfo spid="_x0000_s3372"/>
    <customShpInfo spid="_x0000_s3370"/>
    <customShpInfo spid="_x0000_s3373"/>
    <customShpInfo spid="_x0000_s3374"/>
    <customShpInfo spid="_x0000_s3376"/>
    <customShpInfo spid="_x0000_s3377"/>
    <customShpInfo spid="_x0000_s3375"/>
    <customShpInfo spid="_x0000_s3378"/>
    <customShpInfo spid="_x0000_s3379"/>
    <customShpInfo spid="_x0000_s3380"/>
    <customShpInfo spid="_x0000_s1026" textRotate="1"/>
    <customShpInfo spid="_x0000_s3382"/>
    <customShpInfo spid="_x0000_s3383"/>
    <customShpInfo spid="_x0000_s3381"/>
    <customShpInfo spid="_x0000_s3384"/>
    <customShpInfo spid="_x0000_s3385"/>
    <customShpInfo spid="_x0000_s3386"/>
    <customShpInfo spid="_x0000_s3388"/>
    <customShpInfo spid="_x0000_s3389"/>
    <customShpInfo spid="_x0000_s3390"/>
    <customShpInfo spid="_x0000_s3387"/>
    <customShpInfo spid="_x0000_s3391"/>
    <customShpInfo spid="_x0000_s3393"/>
    <customShpInfo spid="_x0000_s3394"/>
    <customShpInfo spid="_x0000_s3395"/>
    <customShpInfo spid="_x0000_s3392"/>
    <customShpInfo spid="_x0000_s3396"/>
    <customShpInfo spid="_x0000_s3397"/>
    <customShpInfo spid="_x0000_s3398"/>
    <customShpInfo spid="_x0000_s3399"/>
    <customShpInfo spid="_x0000_s3400"/>
    <customShpInfo spid="_x0000_s3401"/>
    <customShpInfo spid="_x0000_s3402"/>
    <customShpInfo spid="_x0000_s3403"/>
    <customShpInfo spid="_x0000_s3404"/>
    <customShpInfo spid="_x0000_s3405"/>
    <customShpInfo spid="_x0000_s3406"/>
    <customShpInfo spid="_x0000_s3407"/>
    <customShpInfo spid="_x0000_s3408"/>
    <customShpInfo spid="_x0000_s3410"/>
    <customShpInfo spid="_x0000_s3411"/>
    <customShpInfo spid="_x0000_s3412"/>
    <customShpInfo spid="_x0000_s3413"/>
    <customShpInfo spid="_x0000_s3414"/>
    <customShpInfo spid="_x0000_s3409"/>
    <customShpInfo spid="_x0000_s3415"/>
    <customShpInfo spid="_x0000_s3417"/>
    <customShpInfo spid="_x0000_s3418"/>
    <customShpInfo spid="_x0000_s3416"/>
    <customShpInfo spid="_x0000_s3419"/>
    <customShpInfo spid="_x0000_s3420"/>
    <customShpInfo spid="_x0000_s3421"/>
    <customShpInfo spid="_x0000_s3422"/>
    <customShpInfo spid="_x0000_s3423"/>
    <customShpInfo spid="_x0000_s3425"/>
    <customShpInfo spid="_x0000_s3426"/>
    <customShpInfo spid="_x0000_s3427"/>
    <customShpInfo spid="_x0000_s3428"/>
    <customShpInfo spid="_x0000_s3429"/>
    <customShpInfo spid="_x0000_s3424"/>
    <customShpInfo spid="_x0000_s3430"/>
    <customShpInfo spid="_x0000_s3431"/>
    <customShpInfo spid="_x0000_s3432"/>
    <customShpInfo spid="_x0000_s3433"/>
    <customShpInfo spid="_x0000_s3434"/>
    <customShpInfo spid="_x0000_s3436"/>
    <customShpInfo spid="_x0000_s3437"/>
    <customShpInfo spid="_x0000_s3438"/>
    <customShpInfo spid="_x0000_s3439"/>
    <customShpInfo spid="_x0000_s3440"/>
    <customShpInfo spid="_x0000_s3435"/>
    <customShpInfo spid="_x0000_s3441"/>
    <customShpInfo spid="_x0000_s3442"/>
    <customShpInfo spid="_x0000_s3443"/>
    <customShpInfo spid="_x0000_s3445"/>
    <customShpInfo spid="_x0000_s3446"/>
    <customShpInfo spid="_x0000_s3447"/>
    <customShpInfo spid="_x0000_s3448"/>
    <customShpInfo spid="_x0000_s3449"/>
    <customShpInfo spid="_x0000_s3444"/>
    <customShpInfo spid="_x0000_s3450"/>
    <customShpInfo spid="_x0000_s3451"/>
    <customShpInfo spid="_x0000_s3452"/>
    <customShpInfo spid="_x0000_s3453"/>
    <customShpInfo spid="_x0000_s3454"/>
    <customShpInfo spid="_x0000_s3456"/>
    <customShpInfo spid="_x0000_s3457"/>
    <customShpInfo spid="_x0000_s3458"/>
    <customShpInfo spid="_x0000_s3459"/>
    <customShpInfo spid="_x0000_s3460"/>
    <customShpInfo spid="_x0000_s3455"/>
    <customShpInfo spid="_x0000_s3461"/>
    <customShpInfo spid="_x0000_s3462"/>
    <customShpInfo spid="_x0000_s3463"/>
    <customShpInfo spid="_x0000_s3465"/>
    <customShpInfo spid="_x0000_s3466"/>
    <customShpInfo spid="_x0000_s3467"/>
    <customShpInfo spid="_x0000_s3468"/>
    <customShpInfo spid="_x0000_s3469"/>
    <customShpInfo spid="_x0000_s3464"/>
    <customShpInfo spid="_x0000_s3470"/>
    <customShpInfo spid="_x0000_s3471"/>
    <customShpInfo spid="_x0000_s3472"/>
    <customShpInfo spid="_x0000_s3473"/>
    <customShpInfo spid="_x0000_s3474"/>
    <customShpInfo spid="_x0000_s3476"/>
    <customShpInfo spid="_x0000_s3477"/>
    <customShpInfo spid="_x0000_s3478"/>
    <customShpInfo spid="_x0000_s3479"/>
    <customShpInfo spid="_x0000_s3480"/>
    <customShpInfo spid="_x0000_s3475"/>
    <customShpInfo spid="_x0000_s3481"/>
    <customShpInfo spid="_x0000_s3482"/>
    <customShpInfo spid="_x0000_s3483"/>
    <customShpInfo spid="_x0000_s3484"/>
    <customShpInfo spid="_x0000_s3485"/>
    <customShpInfo spid="_x0000_s3486"/>
    <customShpInfo spid="_x0000_s3487"/>
    <customShpInfo spid="_x0000_s3488"/>
    <customShpInfo spid="_x0000_s3489"/>
    <customShpInfo spid="_x0000_s3490"/>
    <customShpInfo spid="_x0000_s3492"/>
    <customShpInfo spid="_x0000_s3493"/>
    <customShpInfo spid="_x0000_s3494"/>
    <customShpInfo spid="_x0000_s3491"/>
    <customShpInfo spid="_x0000_s3496"/>
    <customShpInfo spid="_x0000_s3497"/>
    <customShpInfo spid="_x0000_s3495"/>
    <customShpInfo spid="_x0000_s3498"/>
    <customShpInfo spid="_x0000_s3499"/>
    <customShpInfo spid="_x0000_s3500"/>
    <customShpInfo spid="_x0000_s3501"/>
    <customShpInfo spid="_x0000_s3502"/>
    <customShpInfo spid="_x0000_s3503"/>
    <customShpInfo spid="_x0000_s3504"/>
    <customShpInfo spid="_x0000_s3505"/>
    <customShpInfo spid="_x0000_s3506"/>
    <customShpInfo spid="_x0000_s3507"/>
    <customShpInfo spid="_x0000_s3509"/>
    <customShpInfo spid="_x0000_s3510"/>
    <customShpInfo spid="_x0000_s3511"/>
    <customShpInfo spid="_x0000_s3508"/>
    <customShpInfo spid="_x0000_s3513"/>
    <customShpInfo spid="_x0000_s3514"/>
    <customShpInfo spid="_x0000_s3515"/>
    <customShpInfo spid="_x0000_s3516"/>
    <customShpInfo spid="_x0000_s3512"/>
    <customShpInfo spid="_x0000_s3517"/>
    <customShpInfo spid="_x0000_s3519"/>
    <customShpInfo spid="_x0000_s3520"/>
    <customShpInfo spid="_x0000_s3521"/>
    <customShpInfo spid="_x0000_s3518"/>
    <customShpInfo spid="_x0000_s3522"/>
    <customShpInfo spid="_x0000_s3524"/>
    <customShpInfo spid="_x0000_s3525"/>
    <customShpInfo spid="_x0000_s3523"/>
    <customShpInfo spid="_x0000_s3526"/>
    <customShpInfo spid="_x0000_s3527"/>
    <customShpInfo spid="_x0000_s3528"/>
    <customShpInfo spid="_x0000_s3529"/>
    <customShpInfo spid="_x0000_s3530"/>
    <customShpInfo spid="_x0000_s3531"/>
    <customShpInfo spid="_x0000_s3532"/>
    <customShpInfo spid="_x0000_s3533"/>
    <customShpInfo spid="_x0000_s3534"/>
    <customShpInfo spid="_x0000_s3535"/>
    <customShpInfo spid="_x0000_s3536"/>
    <customShpInfo spid="_x0000_s3537"/>
    <customShpInfo spid="_x0000_s3538"/>
    <customShpInfo spid="_x0000_s3539"/>
    <customShpInfo spid="_x0000_s3540"/>
    <customShpInfo spid="_x0000_s3541"/>
    <customShpInfo spid="_x0000_s3542"/>
    <customShpInfo spid="_x0000_s3543"/>
    <customShpInfo spid="_x0000_s3544"/>
    <customShpInfo spid="_x0000_s3545"/>
    <customShpInfo spid="_x0000_s3546"/>
    <customShpInfo spid="_x0000_s3547"/>
    <customShpInfo spid="_x0000_s3548"/>
    <customShpInfo spid="_x0000_s3549"/>
    <customShpInfo spid="_x0000_s3550"/>
    <customShpInfo spid="_x0000_s3551"/>
    <customShpInfo spid="_x0000_s3552"/>
    <customShpInfo spid="_x0000_s3553"/>
    <customShpInfo spid="_x0000_s3554"/>
    <customShpInfo spid="_x0000_s3555"/>
    <customShpInfo spid="_x0000_s3556"/>
    <customShpInfo spid="_x0000_s3557"/>
    <customShpInfo spid="_x0000_s3558"/>
    <customShpInfo spid="_x0000_s3559"/>
    <customShpInfo spid="_x0000_s3560"/>
    <customShpInfo spid="_x0000_s3562"/>
    <customShpInfo spid="_x0000_s3563"/>
    <customShpInfo spid="_x0000_s3561"/>
    <customShpInfo spid="_x0000_s3564"/>
    <customShpInfo spid="_x0000_s3565"/>
    <customShpInfo spid="_x0000_s3566"/>
    <customShpInfo spid="_x0000_s3568"/>
    <customShpInfo spid="_x0000_s3569"/>
    <customShpInfo spid="_x0000_s3570"/>
    <customShpInfo spid="_x0000_s3567"/>
    <customShpInfo spid="_x0000_s3571"/>
    <customShpInfo spid="_x0000_s3572"/>
    <customShpInfo spid="_x0000_s3573"/>
    <customShpInfo spid="_x0000_s3575"/>
    <customShpInfo spid="_x0000_s3576"/>
    <customShpInfo spid="_x0000_s3577"/>
    <customShpInfo spid="_x0000_s3574"/>
    <customShpInfo spid="_x0000_s3579"/>
    <customShpInfo spid="_x0000_s3580"/>
    <customShpInfo spid="_x0000_s3578"/>
    <customShpInfo spid="_x0000_s3581"/>
    <customShpInfo spid="_x0000_s3582"/>
    <customShpInfo spid="_x0000_s3583"/>
    <customShpInfo spid="_x0000_s3584"/>
    <customShpInfo spid="_x0000_s3585"/>
    <customShpInfo spid="_x0000_s3586"/>
    <customShpInfo spid="_x0000_s3587"/>
    <customShpInfo spid="_x0000_s3588"/>
    <customShpInfo spid="_x0000_s3589"/>
    <customShpInfo spid="_x0000_s3590"/>
    <customShpInfo spid="_x0000_s3591"/>
    <customShpInfo spid="_x0000_s3593"/>
    <customShpInfo spid="_x0000_s3594"/>
    <customShpInfo spid="_x0000_s3592"/>
    <customShpInfo spid="_x0000_s3596"/>
    <customShpInfo spid="_x0000_s3597"/>
    <customShpInfo spid="_x0000_s3598"/>
    <customShpInfo spid="_x0000_s3595"/>
    <customShpInfo spid="_x0000_s3599"/>
    <customShpInfo spid="_x0000_s3600"/>
    <customShpInfo spid="_x0000_s3602"/>
    <customShpInfo spid="_x0000_s3603"/>
    <customShpInfo spid="_x0000_s3601"/>
    <customShpInfo spid="_x0000_s3604"/>
    <customShpInfo spid="_x0000_s3605"/>
    <customShpInfo spid="_x0000_s3606"/>
    <customShpInfo spid="_x0000_s3607"/>
    <customShpInfo spid="_x0000_s3608"/>
    <customShpInfo spid="_x0000_s3609"/>
    <customShpInfo spid="_x0000_s3610"/>
    <customShpInfo spid="_x0000_s3612"/>
    <customShpInfo spid="_x0000_s3613"/>
    <customShpInfo spid="_x0000_s3614"/>
    <customShpInfo spid="_x0000_s3615"/>
    <customShpInfo spid="_x0000_s3616"/>
    <customShpInfo spid="_x0000_s3611"/>
    <customShpInfo spid="_x0000_s3617"/>
    <customShpInfo spid="_x0000_s3619"/>
    <customShpInfo spid="_x0000_s3620"/>
    <customShpInfo spid="_x0000_s3618"/>
    <customShpInfo spid="_x0000_s3621"/>
    <customShpInfo spid="_x0000_s3623"/>
    <customShpInfo spid="_x0000_s3624"/>
    <customShpInfo spid="_x0000_s3622"/>
    <customShpInfo spid="_x0000_s3626"/>
    <customShpInfo spid="_x0000_s3627"/>
    <customShpInfo spid="_x0000_s3625"/>
    <customShpInfo spid="_x0000_s3629"/>
    <customShpInfo spid="_x0000_s3630"/>
    <customShpInfo spid="_x0000_s3628"/>
    <customShpInfo spid="_x0000_s3632"/>
    <customShpInfo spid="_x0000_s3633"/>
    <customShpInfo spid="_x0000_s3631"/>
    <customShpInfo spid="_x0000_s3634"/>
    <customShpInfo spid="_x0000_s3635"/>
    <customShpInfo spid="_x0000_s3637"/>
    <customShpInfo spid="_x0000_s3638"/>
    <customShpInfo spid="_x0000_s3636"/>
    <customShpInfo spid="_x0000_s3671"/>
    <customShpInfo spid="_x0000_s3672"/>
    <customShpInfo spid="_x0000_s3673"/>
    <customShpInfo spid="_x0000_s3674"/>
    <customShpInfo spid="_x0000_s3676"/>
    <customShpInfo spid="_x0000_s3677"/>
    <customShpInfo spid="_x0000_s3678"/>
    <customShpInfo spid="_x0000_s3675"/>
    <customShpInfo spid="_x0000_s3680"/>
    <customShpInfo spid="_x0000_s3681"/>
    <customShpInfo spid="_x0000_s3679"/>
    <customShpInfo spid="_x0000_s3682"/>
    <customShpInfo spid="_x0000_s3683"/>
    <customShpInfo spid="_x0000_s3684"/>
    <customShpInfo spid="_x0000_s3685"/>
    <customShpInfo spid="_x0000_s3686"/>
    <customShpInfo spid="_x0000_s3688"/>
    <customShpInfo spid="_x0000_s3689"/>
    <customShpInfo spid="_x0000_s3687"/>
    <customShpInfo spid="_x0000_s3690"/>
    <customShpInfo spid="_x0000_s3691"/>
    <customShpInfo spid="_x0000_s3692"/>
    <customShpInfo spid="_x0000_s3693"/>
    <customShpInfo spid="_x0000_s3695"/>
    <customShpInfo spid="_x0000_s3696"/>
    <customShpInfo spid="_x0000_s3697"/>
    <customShpInfo spid="_x0000_s3694"/>
    <customShpInfo spid="_x0000_s3699"/>
    <customShpInfo spid="_x0000_s3700"/>
    <customShpInfo spid="_x0000_s3698"/>
    <customShpInfo spid="_x0000_s3701"/>
    <customShpInfo spid="_x0000_s3703"/>
    <customShpInfo spid="_x0000_s3704"/>
    <customShpInfo spid="_x0000_s3702"/>
    <customShpInfo spid="_x0000_s3705"/>
    <customShpInfo spid="_x0000_s3706"/>
    <customShpInfo spid="_x0000_s3707"/>
    <customShpInfo spid="_x0000_s3709"/>
    <customShpInfo spid="_x0000_s3710"/>
    <customShpInfo spid="_x0000_s3708"/>
    <customShpInfo spid="_x0000_s3711"/>
    <customShpInfo spid="_x0000_s3713"/>
    <customShpInfo spid="_x0000_s3714"/>
    <customShpInfo spid="_x0000_s3715"/>
    <customShpInfo spid="_x0000_s3716"/>
    <customShpInfo spid="_x0000_s3717"/>
    <customShpInfo spid="_x0000_s3712"/>
    <customShpInfo spid="_x0000_s3718"/>
    <customShpInfo spid="_x0000_s3719"/>
    <customShpInfo spid="_x0000_s3720"/>
    <customShpInfo spid="_x0000_s3721"/>
    <customShpInfo spid="_x0000_s3722"/>
    <customShpInfo spid="_x0000_s3723"/>
    <customShpInfo spid="_x0000_s3724"/>
    <customShpInfo spid="_x0000_s3725"/>
    <customShpInfo spid="_x0000_s3727"/>
    <customShpInfo spid="_x0000_s3728"/>
    <customShpInfo spid="_x0000_s3729"/>
    <customShpInfo spid="_x0000_s3730"/>
    <customShpInfo spid="_x0000_s3731"/>
    <customShpInfo spid="_x0000_s3726"/>
    <customShpInfo spid="_x0000_s3732"/>
    <customShpInfo spid="_x0000_s3734"/>
    <customShpInfo spid="_x0000_s3735"/>
    <customShpInfo spid="_x0000_s3733"/>
    <customShpInfo spid="_x0000_s3736"/>
    <customShpInfo spid="_x0000_s3737"/>
    <customShpInfo spid="_x0000_s3738"/>
    <customShpInfo spid="_x0000_s3740"/>
    <customShpInfo spid="_x0000_s3741"/>
    <customShpInfo spid="_x0000_s3742"/>
    <customShpInfo spid="_x0000_s3743"/>
    <customShpInfo spid="_x0000_s3744"/>
    <customShpInfo spid="_x0000_s3739"/>
    <customShpInfo spid="_x0000_s3745"/>
    <customShpInfo spid="_x0000_s3747"/>
    <customShpInfo spid="_x0000_s3748"/>
    <customShpInfo spid="_x0000_s3746"/>
    <customShpInfo spid="_x0000_s3749"/>
    <customShpInfo spid="_x0000_s3750"/>
    <customShpInfo spid="_x0000_s3751"/>
    <customShpInfo spid="_x0000_s3752"/>
    <customShpInfo spid="_x0000_s3754"/>
    <customShpInfo spid="_x0000_s3755"/>
    <customShpInfo spid="_x0000_s3756"/>
    <customShpInfo spid="_x0000_s3757"/>
    <customShpInfo spid="_x0000_s3758"/>
    <customShpInfo spid="_x0000_s3753"/>
    <customShpInfo spid="_x0000_s3760"/>
    <customShpInfo spid="_x0000_s3761"/>
    <customShpInfo spid="_x0000_s3759"/>
    <customShpInfo spid="_x0000_s3762"/>
    <customShpInfo spid="_x0000_s3763"/>
    <customShpInfo spid="_x0000_s3764"/>
    <customShpInfo spid="_x0000_s3765"/>
    <customShpInfo spid="_x0000_s3766"/>
    <customShpInfo spid="_x0000_s3767"/>
    <customShpInfo spid="_x0000_s3768"/>
    <customShpInfo spid="_x0000_s3769"/>
    <customShpInfo spid="_x0000_s3770"/>
    <customShpInfo spid="_x0000_s3772"/>
    <customShpInfo spid="_x0000_s3773"/>
    <customShpInfo spid="_x0000_s3771"/>
    <customShpInfo spid="_x0000_s3774"/>
    <customShpInfo spid="_x0000_s3775"/>
    <customShpInfo spid="_x0000_s3776"/>
    <customShpInfo spid="_x0000_s3777"/>
    <customShpInfo spid="_x0000_s3778"/>
    <customShpInfo spid="_x0000_s3779"/>
    <customShpInfo spid="_x0000_s3780"/>
    <customShpInfo spid="_x0000_s3781"/>
    <customShpInfo spid="_x0000_s3782"/>
    <customShpInfo spid="_x0000_s3783"/>
    <customShpInfo spid="_x0000_s3784"/>
    <customShpInfo spid="_x0000_s3786"/>
    <customShpInfo spid="_x0000_s3787"/>
    <customShpInfo spid="_x0000_s3785"/>
    <customShpInfo spid="_x0000_s3789"/>
    <customShpInfo spid="_x0000_s3790"/>
    <customShpInfo spid="_x0000_s3788"/>
    <customShpInfo spid="_x0000_s3791"/>
    <customShpInfo spid="_x0000_s3792"/>
    <customShpInfo spid="_x0000_s3794"/>
    <customShpInfo spid="_x0000_s3795"/>
    <customShpInfo spid="_x0000_s3793"/>
    <customShpInfo spid="_x0000_s3797"/>
    <customShpInfo spid="_x0000_s3798"/>
    <customShpInfo spid="_x0000_s3799"/>
    <customShpInfo spid="_x0000_s3800"/>
    <customShpInfo spid="_x0000_s3801"/>
    <customShpInfo spid="_x0000_s3796"/>
    <customShpInfo spid="_x0000_s3802"/>
    <customShpInfo spid="_x0000_s3803"/>
    <customShpInfo spid="_x0000_s3805"/>
    <customShpInfo spid="_x0000_s3806"/>
    <customShpInfo spid="_x0000_s3804"/>
    <customShpInfo spid="_x0000_s3808"/>
    <customShpInfo spid="_x0000_s3809"/>
    <customShpInfo spid="_x0000_s3807"/>
    <customShpInfo spid="_x0000_s3810"/>
    <customShpInfo spid="_x0000_s3811"/>
    <customShpInfo spid="_x0000_s3813"/>
    <customShpInfo spid="_x0000_s3814"/>
    <customShpInfo spid="_x0000_s3815"/>
    <customShpInfo spid="_x0000_s3816"/>
    <customShpInfo spid="_x0000_s3817"/>
    <customShpInfo spid="_x0000_s3812"/>
    <customShpInfo spid="_x0000_s3818"/>
    <customShpInfo spid="_x0000_s3819"/>
    <customShpInfo spid="_x0000_s3820"/>
    <customShpInfo spid="_x0000_s3821"/>
    <customShpInfo spid="_x0000_s3822"/>
    <customShpInfo spid="_x0000_s3823"/>
    <customShpInfo spid="_x0000_s3824"/>
    <customShpInfo spid="_x0000_s3825"/>
    <customShpInfo spid="_x0000_s3826"/>
    <customShpInfo spid="_x0000_s3827"/>
    <customShpInfo spid="_x0000_s3829"/>
    <customShpInfo spid="_x0000_s3830"/>
    <customShpInfo spid="_x0000_s3831"/>
    <customShpInfo spid="_x0000_s3828"/>
    <customShpInfo spid="_x0000_s3833"/>
    <customShpInfo spid="_x0000_s3834"/>
    <customShpInfo spid="_x0000_s3832"/>
    <customShpInfo spid="_x0000_s3835"/>
    <customShpInfo spid="_x0000_s3836"/>
    <customShpInfo spid="_x0000_s3837"/>
    <customShpInfo spid="_x0000_s3838"/>
    <customShpInfo spid="_x0000_s3839"/>
    <customShpInfo spid="_x0000_s3840"/>
    <customShpInfo spid="_x0000_s3841"/>
    <customShpInfo spid="_x0000_s3842"/>
    <customShpInfo spid="_x0000_s3843"/>
    <customShpInfo spid="_x0000_s3844"/>
    <customShpInfo spid="_x0000_s3846"/>
    <customShpInfo spid="_x0000_s3847"/>
    <customShpInfo spid="_x0000_s3848"/>
    <customShpInfo spid="_x0000_s3845"/>
    <customShpInfo spid="_x0000_s3849"/>
    <customShpInfo spid="_x0000_s3850"/>
    <customShpInfo spid="_x0000_s3852"/>
    <customShpInfo spid="_x0000_s3853"/>
    <customShpInfo spid="_x0000_s3854"/>
    <customShpInfo spid="_x0000_s3851"/>
    <customShpInfo spid="_x0000_s3855"/>
    <customShpInfo spid="_x0000_s3856"/>
    <customShpInfo spid="_x0000_s3857"/>
    <customShpInfo spid="_x0000_s3858"/>
    <customShpInfo spid="_x0000_s3859"/>
    <customShpInfo spid="_x0000_s3860"/>
    <customShpInfo spid="_x0000_s3861"/>
    <customShpInfo spid="_x0000_s3863"/>
    <customShpInfo spid="_x0000_s3864"/>
    <customShpInfo spid="_x0000_s3862"/>
    <customShpInfo spid="_x0000_s3866"/>
    <customShpInfo spid="_x0000_s3867"/>
    <customShpInfo spid="_x0000_s3865"/>
    <customShpInfo spid="_x0000_s3868"/>
    <customShpInfo spid="_x0000_s3869"/>
    <customShpInfo spid="_x0000_s3871"/>
    <customShpInfo spid="_x0000_s3872"/>
    <customShpInfo spid="_x0000_s3870"/>
    <customShpInfo spid="_x0000_s3874"/>
    <customShpInfo spid="_x0000_s3875"/>
    <customShpInfo spid="_x0000_s3873"/>
    <customShpInfo spid="_x0000_s3878"/>
    <customShpInfo spid="_x0000_s3879"/>
    <customShpInfo spid="_x0000_s3877"/>
    <customShpInfo spid="_x0000_s3880"/>
    <customShpInfo spid="_x0000_s3876"/>
    <customShpInfo spid="_x0000_s3882"/>
    <customShpInfo spid="_x0000_s3883"/>
    <customShpInfo spid="_x0000_s3881"/>
    <customShpInfo spid="_x0000_s3884"/>
    <customShpInfo spid="_x0000_s3885"/>
    <customShpInfo spid="_x0000_s3886"/>
    <customShpInfo spid="_x0000_s3888"/>
    <customShpInfo spid="_x0000_s3889"/>
    <customShpInfo spid="_x0000_s3887"/>
    <customShpInfo spid="_x0000_s3891"/>
    <customShpInfo spid="_x0000_s3892"/>
    <customShpInfo spid="_x0000_s3890"/>
    <customShpInfo spid="_x0000_s3893"/>
    <customShpInfo spid="_x0000_s3894"/>
    <customShpInfo spid="_x0000_s3895"/>
    <customShpInfo spid="_x0000_s3896"/>
    <customShpInfo spid="_x0000_s3897"/>
    <customShpInfo spid="_x0000_s3898"/>
    <customShpInfo spid="_x0000_s3899"/>
    <customShpInfo spid="_x0000_s3900"/>
    <customShpInfo spid="_x0000_s3901"/>
    <customShpInfo spid="_x0000_s3902"/>
    <customShpInfo spid="_x0000_s3903"/>
    <customShpInfo spid="_x0000_s3904"/>
    <customShpInfo spid="_x0000_s3905"/>
    <customShpInfo spid="_x0000_s3906"/>
    <customShpInfo spid="_x0000_s3907"/>
    <customShpInfo spid="_x0000_s3908"/>
    <customShpInfo spid="_x0000_s3909"/>
    <customShpInfo spid="_x0000_s3910"/>
    <customShpInfo spid="_x0000_s3911"/>
    <customShpInfo spid="_x0000_s3912"/>
    <customShpInfo spid="_x0000_s3913"/>
    <customShpInfo spid="_x0000_s3914"/>
    <customShpInfo spid="_x0000_s3915"/>
    <customShpInfo spid="_x0000_s3916"/>
    <customShpInfo spid="_x0000_s3918"/>
    <customShpInfo spid="_x0000_s3919"/>
    <customShpInfo spid="_x0000_s3917"/>
    <customShpInfo spid="_x0000_s3921"/>
    <customShpInfo spid="_x0000_s3922"/>
    <customShpInfo spid="_x0000_s3920"/>
    <customShpInfo spid="_x0000_s3924"/>
    <customShpInfo spid="_x0000_s3925"/>
    <customShpInfo spid="_x0000_s3923"/>
    <customShpInfo spid="_x0000_s3927"/>
    <customShpInfo spid="_x0000_s3928"/>
    <customShpInfo spid="_x0000_s3926"/>
    <customShpInfo spid="_x0000_s3930"/>
    <customShpInfo spid="_x0000_s3931"/>
    <customShpInfo spid="_x0000_s3929"/>
    <customShpInfo spid="_x0000_s3932"/>
    <customShpInfo spid="_x0000_s3934"/>
    <customShpInfo spid="_x0000_s3935"/>
    <customShpInfo spid="_x0000_s3933"/>
    <customShpInfo spid="_x0000_s3937"/>
    <customShpInfo spid="_x0000_s3938"/>
    <customShpInfo spid="_x0000_s3936"/>
    <customShpInfo spid="_x0000_s3939"/>
    <customShpInfo spid="_x0000_s3940"/>
    <customShpInfo spid="_x0000_s3941"/>
    <customShpInfo spid="_x0000_s3942"/>
    <customShpInfo spid="_x0000_s3943"/>
    <customShpInfo spid="_x0000_s3944"/>
    <customShpInfo spid="_x0000_s3945"/>
    <customShpInfo spid="_x0000_s3946"/>
    <customShpInfo spid="_x0000_s3947"/>
    <customShpInfo spid="_x0000_s3948"/>
    <customShpInfo spid="_x0000_s3949"/>
    <customShpInfo spid="_x0000_s3950"/>
    <customShpInfo spid="_x0000_s3951"/>
    <customShpInfo spid="_x0000_s3952"/>
    <customShpInfo spid="_x0000_s3953"/>
    <customShpInfo spid="_x0000_s3955"/>
    <customShpInfo spid="_x0000_s3956"/>
    <customShpInfo spid="_x0000_s3957"/>
    <customShpInfo spid="_x0000_s3954"/>
    <customShpInfo spid="_x0000_s3958"/>
    <customShpInfo spid="_x0000_s3959"/>
    <customShpInfo spid="_x0000_s3960"/>
    <customShpInfo spid="_x0000_s3961"/>
    <customShpInfo spid="_x0000_s3962"/>
    <customShpInfo spid="_x0000_s3964"/>
    <customShpInfo spid="_x0000_s3965"/>
    <customShpInfo spid="_x0000_s3966"/>
    <customShpInfo spid="_x0000_s3963"/>
    <customShpInfo spid="_x0000_s3967"/>
    <customShpInfo spid="_x0000_s3968"/>
    <customShpInfo spid="_x0000_s3969"/>
    <customShpInfo spid="_x0000_s3970"/>
    <customShpInfo spid="_x0000_s3971"/>
    <customShpInfo spid="_x0000_s3972"/>
    <customShpInfo spid="_x0000_s3973"/>
    <customShpInfo spid="_x0000_s3974"/>
    <customShpInfo spid="_x0000_s3975"/>
    <customShpInfo spid="_x0000_s3976"/>
    <customShpInfo spid="_x0000_s3977"/>
    <customShpInfo spid="_x0000_s3978"/>
    <customShpInfo spid="_x0000_s3979"/>
    <customShpInfo spid="_x0000_s3981"/>
    <customShpInfo spid="_x0000_s3982"/>
    <customShpInfo spid="_x0000_s3980"/>
    <customShpInfo spid="_x0000_s3983"/>
    <customShpInfo spid="_x0000_s3984"/>
    <customShpInfo spid="_x0000_s3986"/>
    <customShpInfo spid="_x0000_s3987"/>
    <customShpInfo spid="_x0000_s3985"/>
    <customShpInfo spid="_x0000_s3988"/>
    <customShpInfo spid="_x0000_s3989"/>
    <customShpInfo spid="_x0000_s3990"/>
    <customShpInfo spid="_x0000_s3991"/>
    <customShpInfo spid="_x0000_s3992"/>
    <customShpInfo spid="_x0000_s3993"/>
    <customShpInfo spid="_x0000_s3994"/>
    <customShpInfo spid="_x0000_s3995"/>
    <customShpInfo spid="_x0000_s3996"/>
    <customShpInfo spid="_x0000_s3997"/>
    <customShpInfo spid="_x0000_s3998"/>
    <customShpInfo spid="_x0000_s3999"/>
    <customShpInfo spid="_x0000_s4000"/>
    <customShpInfo spid="_x0000_s4001"/>
    <customShpInfo spid="_x0000_s4002"/>
    <customShpInfo spid="_x0000_s4003"/>
    <customShpInfo spid="_x0000_s4004"/>
    <customShpInfo spid="_x0000_s4005"/>
    <customShpInfo spid="_x0000_s4007"/>
    <customShpInfo spid="_x0000_s4008"/>
    <customShpInfo spid="_x0000_s4009"/>
    <customShpInfo spid="_x0000_s4010"/>
    <customShpInfo spid="_x0000_s4011"/>
    <customShpInfo spid="_x0000_s4006"/>
    <customShpInfo spid="_x0000_s4012"/>
    <customShpInfo spid="_x0000_s4013"/>
    <customShpInfo spid="_x0000_s4014"/>
    <customShpInfo spid="_x0000_s4015"/>
    <customShpInfo spid="_x0000_s4016"/>
    <customShpInfo spid="_x0000_s4017"/>
    <customShpInfo spid="_x0000_s4019"/>
    <customShpInfo spid="_x0000_s4020"/>
    <customShpInfo spid="_x0000_s4021"/>
    <customShpInfo spid="_x0000_s4018"/>
    <customShpInfo spid="_x0000_s4022"/>
    <customShpInfo spid="_x0000_s4023"/>
    <customShpInfo spid="_x0000_s4024"/>
    <customShpInfo spid="_x0000_s4025"/>
    <customShpInfo spid="_x0000_s4026"/>
    <customShpInfo spid="_x0000_s4028"/>
    <customShpInfo spid="_x0000_s4029"/>
    <customShpInfo spid="_x0000_s4030"/>
    <customShpInfo spid="_x0000_s4031"/>
    <customShpInfo spid="_x0000_s4032"/>
    <customShpInfo spid="_x0000_s4027"/>
    <customShpInfo spid="_x0000_s4033"/>
    <customShpInfo spid="_x0000_s4034"/>
    <customShpInfo spid="_x0000_s4035"/>
    <customShpInfo spid="_x0000_s4036"/>
    <customShpInfo spid="_x0000_s4037"/>
    <customShpInfo spid="_x0000_s4038"/>
    <customShpInfo spid="_x0000_s4039"/>
    <customShpInfo spid="_x0000_s4040"/>
    <customShpInfo spid="_x0000_s4041"/>
    <customShpInfo spid="_x0000_s4042"/>
    <customShpInfo spid="_x0000_s4043"/>
    <customShpInfo spid="_x0000_s4044"/>
    <customShpInfo spid="_x0000_s4046"/>
    <customShpInfo spid="_x0000_s4047"/>
    <customShpInfo spid="_x0000_s4045"/>
    <customShpInfo spid="_x0000_s4048"/>
    <customShpInfo spid="_x0000_s4049"/>
    <customShpInfo spid="_x0000_s4050"/>
    <customShpInfo spid="_x0000_s4051"/>
    <customShpInfo spid="_x0000_s4052"/>
    <customShpInfo spid="_x0000_s4053"/>
    <customShpInfo spid="_x0000_s4054"/>
    <customShpInfo spid="_x0000_s4055"/>
    <customShpInfo spid="_x0000_s4056"/>
    <customShpInfo spid="_x0000_s4057"/>
    <customShpInfo spid="_x0000_s4059"/>
    <customShpInfo spid="_x0000_s4060"/>
    <customShpInfo spid="_x0000_s4061"/>
    <customShpInfo spid="_x0000_s4062"/>
    <customShpInfo spid="_x0000_s4058"/>
    <customShpInfo spid="_x0000_s4063"/>
    <customShpInfo spid="_x0000_s4065"/>
    <customShpInfo spid="_x0000_s4066"/>
    <customShpInfo spid="_x0000_s4067"/>
    <customShpInfo spid="_x0000_s4068"/>
    <customShpInfo spid="_x0000_s4064"/>
    <customShpInfo spid="_x0000_s4069"/>
    <customShpInfo spid="_x0000_s4071"/>
    <customShpInfo spid="_x0000_s4072"/>
    <customShpInfo spid="_x0000_s4074"/>
    <customShpInfo spid="_x0000_s4076"/>
    <customShpInfo spid="_x0000_s4070"/>
    <customShpInfo spid="_x0000_s4078"/>
    <customShpInfo spid="_x0000_s4082"/>
    <customShpInfo spid="_x0000_s4084"/>
    <customShpInfo spid="_x0000_s4080"/>
    <customShpInfo spid="_x0000_s4088"/>
    <customShpInfo spid="_x0000_s4090"/>
    <customShpInfo spid="_x0000_s4086"/>
    <customShpInfo spid="_x0000_s4094"/>
    <customShpInfo spid="_x0000_s4095"/>
    <customShpInfo spid="_x0000_s4092"/>
    <customShpInfo spid="_x0000_s4100"/>
    <customShpInfo spid="_x0000_s4102"/>
    <customShpInfo spid="_x0000_s4096"/>
    <customShpInfo spid="_x0000_s4106"/>
    <customShpInfo spid="_x0000_s4108"/>
    <customShpInfo spid="_x0000_s4104"/>
    <customShpInfo spid="_x0000_s4112"/>
    <customShpInfo spid="_x0000_s4114"/>
    <customShpInfo spid="_x0000_s4110"/>
    <customShpInfo spid="_x0000_s4118"/>
    <customShpInfo spid="_x0000_s4120"/>
    <customShpInfo spid="_x0000_s4116"/>
    <customShpInfo spid="_x0000_s4124"/>
    <customShpInfo spid="_x0000_s4126"/>
    <customShpInfo spid="_x0000_s4122"/>
    <customShpInfo spid="_x0000_s4130"/>
    <customShpInfo spid="_x0000_s4132"/>
    <customShpInfo spid="_x0000_s4128"/>
    <customShpInfo spid="_x0000_s4136"/>
    <customShpInfo spid="_x0000_s4138"/>
    <customShpInfo spid="_x0000_s4134"/>
    <customShpInfo spid="_x0000_s4142"/>
    <customShpInfo spid="_x0000_s4144"/>
    <customShpInfo spid="_x0000_s4140"/>
    <customShpInfo spid="_x0000_s4146"/>
    <customShpInfo spid="_x0000_s4148"/>
    <customShpInfo spid="_x0000_s4152"/>
    <customShpInfo spid="_x0000_s4154"/>
    <customShpInfo spid="_x0000_s4150"/>
    <customShpInfo spid="_x0000_s4158"/>
    <customShpInfo spid="_x0000_s4160"/>
    <customShpInfo spid="_x0000_s4156"/>
    <customShpInfo spid="_x0000_s4164"/>
    <customShpInfo spid="_x0000_s4166"/>
    <customShpInfo spid="_x0000_s4162"/>
    <customShpInfo spid="_x0000_s4170"/>
    <customShpInfo spid="_x0000_s4172"/>
    <customShpInfo spid="_x0000_s4168"/>
    <customShpInfo spid="_x0000_s4176"/>
    <customShpInfo spid="_x0000_s4178"/>
    <customShpInfo spid="_x0000_s4174"/>
    <customShpInfo spid="_x0000_s4182"/>
    <customShpInfo spid="_x0000_s4184"/>
    <customShpInfo spid="_x0000_s4180"/>
    <customShpInfo spid="_x0000_s4188"/>
    <customShpInfo spid="_x0000_s4190"/>
    <customShpInfo spid="_x0000_s4186"/>
    <customShpInfo spid="_x0000_s4194"/>
    <customShpInfo spid="_x0000_s4196"/>
    <customShpInfo spid="_x0000_s4192"/>
    <customShpInfo spid="_x0000_s4200"/>
    <customShpInfo spid="_x0000_s4202"/>
    <customShpInfo spid="_x0000_s4198"/>
    <customShpInfo spid="_x0000_s4206"/>
    <customShpInfo spid="_x0000_s4208"/>
    <customShpInfo spid="_x0000_s4204"/>
    <customShpInfo spid="_x0000_s4212"/>
    <customShpInfo spid="_x0000_s4214"/>
    <customShpInfo spid="_x0000_s4210"/>
    <customShpInfo spid="_x0000_s4218"/>
    <customShpInfo spid="_x0000_s4220"/>
    <customShpInfo spid="_x0000_s4216"/>
    <customShpInfo spid="_x0000_s4224"/>
    <customShpInfo spid="_x0000_s4226"/>
    <customShpInfo spid="_x0000_s4222"/>
    <customShpInfo spid="_x0000_s4230"/>
    <customShpInfo spid="_x0000_s4232"/>
    <customShpInfo spid="_x0000_s4228"/>
    <customShpInfo spid="_x0000_s4236"/>
    <customShpInfo spid="_x0000_s4238"/>
    <customShpInfo spid="_x0000_s4234"/>
    <customShpInfo spid="_x0000_s4242"/>
    <customShpInfo spid="_x0000_s4244"/>
    <customShpInfo spid="_x0000_s4240"/>
    <customShpInfo spid="_x0000_s4248"/>
    <customShpInfo spid="_x0000_s4250"/>
    <customShpInfo spid="_x0000_s4246"/>
    <customShpInfo spid="_x0000_s4254"/>
    <customShpInfo spid="_x0000_s4256"/>
    <customShpInfo spid="_x0000_s4252"/>
    <customShpInfo spid="_x0000_s4260"/>
    <customShpInfo spid="_x0000_s4262"/>
    <customShpInfo spid="_x0000_s4258"/>
    <customShpInfo spid="_x0000_s4264"/>
    <customShpInfo spid="_x0000_s4268"/>
    <customShpInfo spid="_x0000_s4270"/>
    <customShpInfo spid="_x0000_s4266"/>
    <customShpInfo spid="_x0000_s4274"/>
    <customShpInfo spid="_x0000_s4276"/>
    <customShpInfo spid="_x0000_s4272"/>
    <customShpInfo spid="_x0000_s4280"/>
    <customShpInfo spid="_x0000_s4282"/>
    <customShpInfo spid="_x0000_s4278"/>
    <customShpInfo spid="_x0000_s4286"/>
    <customShpInfo spid="_x0000_s4288"/>
    <customShpInfo spid="_x0000_s4284"/>
    <customShpInfo spid="_x0000_s4292"/>
    <customShpInfo spid="_x0000_s4294"/>
    <customShpInfo spid="_x0000_s4290"/>
    <customShpInfo spid="_x0000_s4298"/>
    <customShpInfo spid="_x0000_s4300"/>
    <customShpInfo spid="_x0000_s4296"/>
    <customShpInfo spid="_x0000_s4304"/>
    <customShpInfo spid="_x0000_s4306"/>
    <customShpInfo spid="_x0000_s4302"/>
    <customShpInfo spid="_x0000_s4310"/>
    <customShpInfo spid="_x0000_s4312"/>
    <customShpInfo spid="_x0000_s4308"/>
    <customShpInfo spid="_x0000_s4316"/>
    <customShpInfo spid="_x0000_s4318"/>
    <customShpInfo spid="_x0000_s4314"/>
    <customShpInfo spid="_x0000_s4322"/>
    <customShpInfo spid="_x0000_s4324"/>
    <customShpInfo spid="_x0000_s4320"/>
    <customShpInfo spid="_x0000_s4328"/>
    <customShpInfo spid="_x0000_s4330"/>
    <customShpInfo spid="_x0000_s4326"/>
    <customShpInfo spid="_x0000_s4334"/>
    <customShpInfo spid="_x0000_s4336"/>
    <customShpInfo spid="_x0000_s4332"/>
    <customShpInfo spid="_x0000_s4340"/>
    <customShpInfo spid="_x0000_s4342"/>
    <customShpInfo spid="_x0000_s4338"/>
    <customShpInfo spid="_x0000_s4346"/>
    <customShpInfo spid="_x0000_s4348"/>
    <customShpInfo spid="_x0000_s4344"/>
    <customShpInfo spid="_x0000_s4350"/>
    <customShpInfo spid="_x0000_s4352"/>
    <customShpInfo spid="_x0000_s4356"/>
    <customShpInfo spid="_x0000_s4358"/>
    <customShpInfo spid="_x0000_s4360"/>
    <customShpInfo spid="_x0000_s4362"/>
    <customShpInfo spid="_x0000_s4364"/>
    <customShpInfo spid="_x0000_s4354"/>
    <customShpInfo spid="_x0000_s4368"/>
    <customShpInfo spid="_x0000_s4370"/>
    <customShpInfo spid="_x0000_s4372"/>
    <customShpInfo spid="_x0000_s4366"/>
    <customShpInfo spid="_x0000_s4376"/>
    <customShpInfo spid="_x0000_s4378"/>
    <customShpInfo spid="_x0000_s4380"/>
    <customShpInfo spid="_x0000_s4374"/>
    <customShpInfo spid="_x0000_s4384"/>
    <customShpInfo spid="_x0000_s4386"/>
    <customShpInfo spid="_x0000_s4382"/>
    <customShpInfo spid="_x0000_s4388"/>
    <customShpInfo spid="_x0000_s4390"/>
    <customShpInfo spid="_x0000_s4392"/>
    <customShpInfo spid="_x0000_s4394"/>
    <customShpInfo spid="_x0000_s4396"/>
    <customShpInfo spid="_x0000_s4398"/>
    <customShpInfo spid="_x0000_s4402"/>
    <customShpInfo spid="_x0000_s4404"/>
    <customShpInfo spid="_x0000_s4406"/>
    <customShpInfo spid="_x0000_s4408"/>
    <customShpInfo spid="_x0000_s4410"/>
    <customShpInfo spid="_x0000_s4400"/>
    <customShpInfo spid="_x0000_s4412"/>
    <customShpInfo spid="_x0000_s4414"/>
    <customShpInfo spid="_x0000_s4416"/>
    <customShpInfo spid="_x0000_s4420"/>
    <customShpInfo spid="_x0000_s4422"/>
    <customShpInfo spid="_x0000_s4424"/>
    <customShpInfo spid="_x0000_s4418"/>
    <customShpInfo spid="_x0000_s4426"/>
    <customShpInfo spid="_x0000_s4458"/>
    <customShpInfo spid="_x0000_s4460"/>
    <customShpInfo spid="_x0000_s4456"/>
    <customShpInfo spid="_x0000_s4464"/>
    <customShpInfo spid="_x0000_s4466"/>
    <customShpInfo spid="_x0000_s4462"/>
    <customShpInfo spid="_x0000_s4468"/>
    <customShpInfo spid="_x0000_s4470"/>
    <customShpInfo spid="_x0000_s4474"/>
    <customShpInfo spid="_x0000_s4476"/>
    <customShpInfo spid="_x0000_s4472"/>
    <customShpInfo spid="_x0000_s4478"/>
    <customShpInfo spid="_x0000_s4480"/>
    <customShpInfo spid="_x0000_s4484"/>
    <customShpInfo spid="_x0000_s4486"/>
    <customShpInfo spid="_x0000_s4482"/>
    <customShpInfo spid="_x0000_s4488"/>
    <customShpInfo spid="_x0000_s4490"/>
    <customShpInfo spid="_x0000_s4494"/>
    <customShpInfo spid="_x0000_s4496"/>
    <customShpInfo spid="_x0000_s4492"/>
    <customShpInfo spid="_x0000_s4498"/>
    <customShpInfo spid="_x0000_s4500"/>
    <customShpInfo spid="_x0000_s4502"/>
    <customShpInfo spid="_x0000_s4504"/>
    <customShpInfo spid="_x0000_s4506"/>
    <customShpInfo spid="_x0000_s4508"/>
    <customShpInfo spid="_x0000_s4512"/>
    <customShpInfo spid="_x0000_s4514"/>
    <customShpInfo spid="_x0000_s4516"/>
    <customShpInfo spid="_x0000_s4518"/>
    <customShpInfo spid="_x0000_s4520"/>
    <customShpInfo spid="_x0000_s4510"/>
    <customShpInfo spid="_x0000_s4522"/>
    <customShpInfo spid="_x0000_s4526"/>
    <customShpInfo spid="_x0000_s4528"/>
    <customShpInfo spid="_x0000_s4530"/>
    <customShpInfo spid="_x0000_s4532"/>
    <customShpInfo spid="_x0000_s4524"/>
    <customShpInfo spid="_x0000_s4534"/>
    <customShpInfo spid="_x0000_s4538"/>
    <customShpInfo spid="_x0000_s4540"/>
    <customShpInfo spid="_x0000_s4536"/>
    <customShpInfo spid="_x0000_s4542"/>
    <customShpInfo spid="_x0000_s4544"/>
    <customShpInfo spid="_x0000_s4546"/>
    <customShpInfo spid="_x0000_s4548"/>
    <customShpInfo spid="_x0000_s4550"/>
    <customShpInfo spid="_x0000_s4552"/>
    <customShpInfo spid="_x0000_s4556"/>
    <customShpInfo spid="_x0000_s4558"/>
    <customShpInfo spid="_x0000_s4560"/>
    <customShpInfo spid="_x0000_s4554"/>
    <customShpInfo spid="_x0000_s4562"/>
    <customShpInfo spid="_x0000_s4564"/>
    <customShpInfo spid="_x0000_s4566"/>
    <customShpInfo spid="_x0000_s4568"/>
    <customShpInfo spid="_x0000_s4570"/>
    <customShpInfo spid="_x0000_s4572"/>
    <customShpInfo spid="_x0000_s4574"/>
    <customShpInfo spid="_x0000_s4576"/>
    <customShpInfo spid="_x0000_s4578"/>
    <customShpInfo spid="_x0000_s4580"/>
    <customShpInfo spid="_x0000_s4586"/>
    <customShpInfo spid="_x0000_s4588"/>
    <customShpInfo spid="_x0000_s4584"/>
    <customShpInfo spid="_x0000_s4590"/>
    <customShpInfo spid="_x0000_s4582"/>
    <customShpInfo spid="_x0000_s4596"/>
    <customShpInfo spid="_x0000_s4598"/>
    <customShpInfo spid="_x0000_s4594"/>
    <customShpInfo spid="_x0000_s4600"/>
    <customShpInfo spid="_x0000_s4592"/>
    <customShpInfo spid="_x0000_s4604"/>
    <customShpInfo spid="_x0000_s4606"/>
    <customShpInfo spid="_x0000_s4608"/>
    <customShpInfo spid="_x0000_s4602"/>
    <customShpInfo spid="_x0000_s4610"/>
    <customShpInfo spid="_x0000_s4612"/>
    <customShpInfo spid="_x0000_s4616"/>
    <customShpInfo spid="_x0000_s4618"/>
    <customShpInfo spid="_x0000_s4614"/>
    <customShpInfo spid="_x0000_s4622"/>
    <customShpInfo spid="_x0000_s4624"/>
    <customShpInfo spid="_x0000_s4620"/>
    <customShpInfo spid="_x0000_s4628"/>
    <customShpInfo spid="_x0000_s4630"/>
    <customShpInfo spid="_x0000_s4626"/>
    <customShpInfo spid="_x0000_s4634"/>
    <customShpInfo spid="_x0000_s4636"/>
    <customShpInfo spid="_x0000_s4632"/>
    <customShpInfo spid="_x0000_s4640"/>
    <customShpInfo spid="_x0000_s4642"/>
    <customShpInfo spid="_x0000_s4638"/>
    <customShpInfo spid="_x0000_s4646"/>
    <customShpInfo spid="_x0000_s4648"/>
    <customShpInfo spid="_x0000_s4644"/>
    <customShpInfo spid="_x0000_s4652"/>
    <customShpInfo spid="_x0000_s4654"/>
    <customShpInfo spid="_x0000_s4650"/>
    <customShpInfo spid="_x0000_s4658"/>
    <customShpInfo spid="_x0000_s4660"/>
    <customShpInfo spid="_x0000_s4656"/>
    <customShpInfo spid="_x0000_s4664"/>
    <customShpInfo spid="_x0000_s4666"/>
    <customShpInfo spid="_x0000_s4662"/>
    <customShpInfo spid="_x0000_s4670"/>
    <customShpInfo spid="_x0000_s4672"/>
    <customShpInfo spid="_x0000_s4668"/>
    <customShpInfo spid="_x0000_s4676"/>
    <customShpInfo spid="_x0000_s4678"/>
    <customShpInfo spid="_x0000_s4674"/>
    <customShpInfo spid="_x0000_s4682"/>
    <customShpInfo spid="_x0000_s4684"/>
    <customShpInfo spid="_x0000_s4680"/>
    <customShpInfo spid="_x0000_s4688"/>
    <customShpInfo spid="_x0000_s4690"/>
    <customShpInfo spid="_x0000_s4686"/>
    <customShpInfo spid="_x0000_s4694"/>
    <customShpInfo spid="_x0000_s4696"/>
    <customShpInfo spid="_x0000_s4692"/>
    <customShpInfo spid="_x0000_s4700"/>
    <customShpInfo spid="_x0000_s4702"/>
    <customShpInfo spid="_x0000_s4698"/>
    <customShpInfo spid="_x0000_s4706"/>
    <customShpInfo spid="_x0000_s4708"/>
    <customShpInfo spid="_x0000_s4704"/>
    <customShpInfo spid="_x0000_s4712"/>
    <customShpInfo spid="_x0000_s4714"/>
    <customShpInfo spid="_x0000_s4710"/>
    <customShpInfo spid="_x0000_s4718"/>
    <customShpInfo spid="_x0000_s4720"/>
    <customShpInfo spid="_x0000_s4716"/>
    <customShpInfo spid="_x0000_s4724"/>
    <customShpInfo spid="_x0000_s4726"/>
    <customShpInfo spid="_x0000_s4722"/>
    <customShpInfo spid="_x0000_s4728"/>
    <customShpInfo spid="_x0000_s4730"/>
    <customShpInfo spid="_x0000_s4734"/>
    <customShpInfo spid="_x0000_s4736"/>
    <customShpInfo spid="_x0000_s4732"/>
    <customShpInfo spid="_x0000_s4740"/>
    <customShpInfo spid="_x0000_s4742"/>
    <customShpInfo spid="_x0000_s4738"/>
    <customShpInfo spid="_x0000_s4746"/>
    <customShpInfo spid="_x0000_s4748"/>
    <customShpInfo spid="_x0000_s4744"/>
    <customShpInfo spid="_x0000_s4752"/>
    <customShpInfo spid="_x0000_s4754"/>
    <customShpInfo spid="_x0000_s4750"/>
    <customShpInfo spid="_x0000_s4758"/>
    <customShpInfo spid="_x0000_s4760"/>
    <customShpInfo spid="_x0000_s4756"/>
    <customShpInfo spid="_x0000_s4764"/>
    <customShpInfo spid="_x0000_s4766"/>
    <customShpInfo spid="_x0000_s4762"/>
    <customShpInfo spid="_x0000_s4770"/>
    <customShpInfo spid="_x0000_s4772"/>
    <customShpInfo spid="_x0000_s4768"/>
    <customShpInfo spid="_x0000_s4776"/>
    <customShpInfo spid="_x0000_s4778"/>
    <customShpInfo spid="_x0000_s4774"/>
    <customShpInfo spid="_x0000_s4782"/>
    <customShpInfo spid="_x0000_s4784"/>
    <customShpInfo spid="_x0000_s4780"/>
    <customShpInfo spid="_x0000_s4788"/>
    <customShpInfo spid="_x0000_s4790"/>
    <customShpInfo spid="_x0000_s4786"/>
    <customShpInfo spid="_x0000_s4794"/>
    <customShpInfo spid="_x0000_s4796"/>
    <customShpInfo spid="_x0000_s4792"/>
    <customShpInfo spid="_x0000_s4800"/>
    <customShpInfo spid="_x0000_s4802"/>
    <customShpInfo spid="_x0000_s4798"/>
    <customShpInfo spid="_x0000_s4806"/>
    <customShpInfo spid="_x0000_s4808"/>
    <customShpInfo spid="_x0000_s4804"/>
    <customShpInfo spid="_x0000_s4812"/>
    <customShpInfo spid="_x0000_s4814"/>
    <customShpInfo spid="_x0000_s4810"/>
    <customShpInfo spid="_x0000_s4818"/>
    <customShpInfo spid="_x0000_s4820"/>
    <customShpInfo spid="_x0000_s4816"/>
    <customShpInfo spid="_x0000_s4824"/>
    <customShpInfo spid="_x0000_s4826"/>
    <customShpInfo spid="_x0000_s4822"/>
    <customShpInfo spid="_x0000_s4830"/>
    <customShpInfo spid="_x0000_s4832"/>
    <customShpInfo spid="_x0000_s4828"/>
    <customShpInfo spid="_x0000_s4836"/>
    <customShpInfo spid="_x0000_s4838"/>
    <customShpInfo spid="_x0000_s4834"/>
    <customShpInfo spid="_x0000_s4842"/>
    <customShpInfo spid="_x0000_s4844"/>
    <customShpInfo spid="_x0000_s4840"/>
    <customShpInfo spid="_x0000_s4846"/>
    <customShpInfo spid="_x0000_s4850"/>
    <customShpInfo spid="_x0000_s4852"/>
    <customShpInfo spid="_x0000_s4848"/>
    <customShpInfo spid="_x0000_s4856"/>
    <customShpInfo spid="_x0000_s4858"/>
    <customShpInfo spid="_x0000_s4854"/>
    <customShpInfo spid="_x0000_s4862"/>
    <customShpInfo spid="_x0000_s4864"/>
    <customShpInfo spid="_x0000_s4860"/>
    <customShpInfo spid="_x0000_s4868"/>
    <customShpInfo spid="_x0000_s4870"/>
    <customShpInfo spid="_x0000_s4866"/>
    <customShpInfo spid="_x0000_s4874"/>
    <customShpInfo spid="_x0000_s4876"/>
    <customShpInfo spid="_x0000_s4872"/>
    <customShpInfo spid="_x0000_s4880"/>
    <customShpInfo spid="_x0000_s4882"/>
    <customShpInfo spid="_x0000_s4884"/>
    <customShpInfo spid="_x0000_s4886"/>
    <customShpInfo spid="_x0000_s4888"/>
    <customShpInfo spid="_x0000_s4878"/>
    <customShpInfo spid="_x0000_s4890"/>
    <customShpInfo spid="_x0000_s4894"/>
    <customShpInfo spid="_x0000_s4896"/>
    <customShpInfo spid="_x0000_s4898"/>
    <customShpInfo spid="_x0000_s4892"/>
    <customShpInfo spid="_x0000_s4900"/>
    <customShpInfo spid="_x0000_s4904"/>
    <customShpInfo spid="_x0000_s4906"/>
    <customShpInfo spid="_x0000_s4902"/>
    <customShpInfo spid="_x0000_s4910"/>
    <customShpInfo spid="_x0000_s4912"/>
    <customShpInfo spid="_x0000_s4914"/>
    <customShpInfo spid="_x0000_s4908"/>
    <customShpInfo spid="_x0000_s4918"/>
    <customShpInfo spid="_x0000_s4920"/>
    <customShpInfo spid="_x0000_s4922"/>
    <customShpInfo spid="_x0000_s4916"/>
    <customShpInfo spid="_x0000_s4932"/>
    <customShpInfo spid="_x0000_s4936"/>
    <customShpInfo spid="_x0000_s4938"/>
    <customShpInfo spid="_x0000_s4934"/>
    <customShpInfo spid="_x0000_s4940"/>
    <customShpInfo spid="_x0000_s4944"/>
    <customShpInfo spid="_x0000_s4946"/>
    <customShpInfo spid="_x0000_s4942"/>
    <customShpInfo spid="_x0000_s4950"/>
    <customShpInfo spid="_x0000_s4952"/>
    <customShpInfo spid="_x0000_s4954"/>
    <customShpInfo spid="_x0000_s4948"/>
    <customShpInfo spid="_x0000_s4956"/>
    <customShpInfo spid="_x0000_s4958"/>
    <customShpInfo spid="_x0000_s4960"/>
    <customShpInfo spid="_x0000_s4962"/>
    <customShpInfo spid="_x0000_s4964"/>
    <customShpInfo spid="_x0000_s4966"/>
    <customShpInfo spid="_x0000_s4968"/>
    <customShpInfo spid="_x0000_s4970"/>
    <customShpInfo spid="_x0000_s4972"/>
    <customShpInfo spid="_x0000_s4974"/>
    <customShpInfo spid="_x0000_s4976"/>
    <customShpInfo spid="_x0000_s4978"/>
    <customShpInfo spid="_x0000_s4980"/>
    <customShpInfo spid="_x0000_s4982"/>
    <customShpInfo spid="_x0000_s4984"/>
    <customShpInfo spid="_x0000_s4986"/>
    <customShpInfo spid="_x0000_s4988"/>
    <customShpInfo spid="_x0000_s4990"/>
    <customShpInfo spid="_x0000_s4992"/>
    <customShpInfo spid="_x0000_s4994"/>
    <customShpInfo spid="_x0000_s4996"/>
    <customShpInfo spid="_x0000_s4998"/>
    <customShpInfo spid="_x0000_s5000"/>
    <customShpInfo spid="_x0000_s5002"/>
    <customShpInfo spid="_x0000_s5004"/>
    <customShpInfo spid="_x0000_s5006"/>
    <customShpInfo spid="_x0000_s5008"/>
    <customShpInfo spid="_x0000_s5010"/>
    <customShpInfo spid="_x0000_s5012"/>
    <customShpInfo spid="_x0000_s5014"/>
    <customShpInfo spid="_x0000_s5016"/>
    <customShpInfo spid="_x0000_s5018"/>
    <customShpInfo spid="_x0000_s5020"/>
    <customShpInfo spid="_x0000_s5022"/>
    <customShpInfo spid="_x0000_s5024"/>
    <customShpInfo spid="_x0000_s5026"/>
    <customShpInfo spid="_x0000_s5028"/>
    <customShpInfo spid="_x0000_s5030"/>
    <customShpInfo spid="_x0000_s5050"/>
    <customShpInfo spid="_x0000_s5054"/>
    <customShpInfo spid="_x0000_s5056"/>
    <customShpInfo spid="_x0000_s5058"/>
    <customShpInfo spid="_x0000_s5052"/>
    <customShpInfo spid="_x0000_s5074"/>
    <customShpInfo spid="_x0000_s507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503</Pages>
  <Words>17021</Words>
  <Characters>17998</Characters>
  <TotalTime>3</TotalTime>
  <ScaleCrop>false</ScaleCrop>
  <LinksUpToDate>false</LinksUpToDate>
  <CharactersWithSpaces>18415</CharactersWithSpaces>
  <Application>WPS Office_12.1.0.21915_F1E327BC-269C-435d-A152-05C5408002CA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2025-07-28T17:23:00Z</dcterms:created>
  <dc:creator>缪 磊</dc:creator>
  <cp:lastModifiedBy>甜瓜</cp:lastModifiedBy>
  <dcterms:modified xsi:type="dcterms:W3CDTF">2025-07-29T11:54:08Z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wqlLaW5nc29mdCBQREYgdG8gV1BTIDExMA</vt:lpwstr>
  </property>
  <property fmtid="{D5CDD505-2E9C-101B-9397-08002B2CF9AE}" pid="3" name="Created">
    <vt:filetime>2025-07-28T17:26:23Z</vt:filetime>
  </property>
  <property fmtid="{D5CDD505-2E9C-101B-9397-08002B2CF9AE}" pid="4" name="KSOTemplateDocerSaveRecord">
    <vt:lpwstr>eyJoZGlkIjoiYTExZGI2MTk1ZmJkZDYxN2FhOWZlN2Y3NzU3NWY5NmUiLCJ1c2VySWQiOiI0MjIyMTc1NDEifQ==</vt:lpwstr>
  </property>
  <property fmtid="{D5CDD505-2E9C-101B-9397-08002B2CF9AE}" pid="5" name="KSOProductBuildVer">
    <vt:lpwstr>2052-12.1.0.21915</vt:lpwstr>
  </property>
  <property fmtid="{D5CDD505-2E9C-101B-9397-08002B2CF9AE}" pid="6" name="ICV">
    <vt:lpwstr>AEA9A236A7244C368F6567DFBF901CD3_13</vt:lpwstr>
  </property>
</Properties>
</file>